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AC05" w14:textId="77777777" w:rsidR="00C92939" w:rsidRPr="00C92939" w:rsidRDefault="00C92939" w:rsidP="00C92939">
      <w:pPr>
        <w:spacing w:after="120"/>
        <w:contextualSpacing/>
        <w:jc w:val="both"/>
        <w:rPr>
          <w:rFonts w:ascii="Verdana" w:eastAsia="Calibri" w:hAnsi="Verdana" w:cs="Arial"/>
          <w:b/>
          <w:lang w:eastAsia="es-ES_tradnl"/>
        </w:rPr>
      </w:pPr>
      <w:r w:rsidRPr="00C92939">
        <w:rPr>
          <w:rFonts w:ascii="Verdana" w:eastAsia="Calibri" w:hAnsi="Verdana" w:cs="Arial"/>
          <w:b/>
          <w:lang w:eastAsia="es-ES_tradnl"/>
        </w:rPr>
        <w:t xml:space="preserve">CONVOCATORIAS LIMITADAS A MIPYMES – Generalidades – Requisitos – Personas naturales - </w:t>
      </w:r>
      <w:r w:rsidRPr="00C92939">
        <w:rPr>
          <w:rFonts w:ascii="Verdana" w:hAnsi="Verdana"/>
          <w:b/>
        </w:rPr>
        <w:t>Convocatorias</w:t>
      </w:r>
      <w:r w:rsidRPr="00C92939">
        <w:rPr>
          <w:rFonts w:ascii="Verdana" w:hAnsi="Verdana"/>
          <w:b/>
          <w:spacing w:val="28"/>
        </w:rPr>
        <w:t xml:space="preserve"> </w:t>
      </w:r>
      <w:r w:rsidRPr="00C92939">
        <w:rPr>
          <w:rFonts w:ascii="Verdana" w:hAnsi="Verdana"/>
          <w:b/>
        </w:rPr>
        <w:t>limitadas</w:t>
      </w:r>
      <w:r w:rsidRPr="00C92939">
        <w:rPr>
          <w:rFonts w:ascii="Verdana" w:hAnsi="Verdana"/>
          <w:b/>
          <w:spacing w:val="26"/>
        </w:rPr>
        <w:t xml:space="preserve"> </w:t>
      </w:r>
      <w:r w:rsidRPr="00C92939">
        <w:rPr>
          <w:rFonts w:ascii="Verdana" w:hAnsi="Verdana"/>
          <w:b/>
        </w:rPr>
        <w:t>territorialmente</w:t>
      </w:r>
    </w:p>
    <w:p w14:paraId="7AB4FEB3" w14:textId="77777777" w:rsidR="00C92939" w:rsidRDefault="00C92939" w:rsidP="00C92939">
      <w:pPr>
        <w:spacing w:after="0"/>
        <w:jc w:val="both"/>
        <w:rPr>
          <w:rFonts w:ascii="Verdana" w:eastAsia="Geomanist Light" w:hAnsi="Verdana" w:cs="Arial"/>
          <w:color w:val="000000" w:themeColor="text1"/>
        </w:rPr>
      </w:pPr>
    </w:p>
    <w:p w14:paraId="08CBA339" w14:textId="29353EBF" w:rsidR="00C92939" w:rsidRPr="00CE28CB" w:rsidRDefault="00C92939" w:rsidP="00C92939">
      <w:pPr>
        <w:spacing w:after="0"/>
        <w:jc w:val="both"/>
        <w:rPr>
          <w:rFonts w:cs="Arial"/>
          <w:color w:val="000000" w:themeColor="text1"/>
        </w:rPr>
      </w:pPr>
      <w:r w:rsidRPr="00CE28CB">
        <w:rPr>
          <w:rFonts w:cs="Arial"/>
          <w:color w:val="000000" w:themeColor="text1"/>
        </w:rPr>
        <w:t>El artículo 2.2.1.2.4.2.3. del Decreto 1082 de 2015, modificado por el artículo 5 del Decreto 1860 de 2021 se refiere a las “</w:t>
      </w:r>
      <w:proofErr w:type="spellStart"/>
      <w:r w:rsidRPr="00CE28CB">
        <w:rPr>
          <w:rFonts w:cs="Arial"/>
          <w:color w:val="000000" w:themeColor="text1"/>
        </w:rPr>
        <w:t>mipyme</w:t>
      </w:r>
      <w:proofErr w:type="spellEnd"/>
      <w:r w:rsidRPr="00CE28CB">
        <w:rPr>
          <w:rFonts w:cs="Arial"/>
          <w:color w:val="000000" w:themeColor="text1"/>
        </w:rPr>
        <w:t xml:space="preserve"> colombianas que tengan domicilio en los departamentos o municipios en donde se va a ejecutar el contrato”. Esta precisión es importante, pues el incentivo previsto en la norma únicamente aplica en el lugar de ejecución del contratado en el que la </w:t>
      </w:r>
      <w:proofErr w:type="spellStart"/>
      <w:r w:rsidRPr="00CE28CB">
        <w:rPr>
          <w:rFonts w:cs="Arial"/>
          <w:color w:val="000000" w:themeColor="text1"/>
        </w:rPr>
        <w:t>Mipyme</w:t>
      </w:r>
      <w:proofErr w:type="spellEnd"/>
      <w:r w:rsidRPr="00CE28CB">
        <w:rPr>
          <w:rFonts w:cs="Arial"/>
          <w:color w:val="000000" w:themeColor="text1"/>
        </w:rPr>
        <w:t xml:space="preserve"> tiene su “domicilio”.</w:t>
      </w:r>
    </w:p>
    <w:p w14:paraId="07418838" w14:textId="77777777" w:rsidR="00C92939" w:rsidRPr="00CE28CB" w:rsidRDefault="00C92939" w:rsidP="00C92939">
      <w:pPr>
        <w:spacing w:after="0"/>
        <w:jc w:val="both"/>
        <w:rPr>
          <w:rFonts w:cs="Arial"/>
          <w:color w:val="000000" w:themeColor="text1"/>
          <w:lang w:val="es-ES_tradnl"/>
        </w:rPr>
      </w:pPr>
    </w:p>
    <w:p w14:paraId="78137CE5" w14:textId="77777777" w:rsidR="00C92939" w:rsidRPr="00CE28CB" w:rsidRDefault="00C92939" w:rsidP="00C92939">
      <w:pPr>
        <w:spacing w:after="0"/>
        <w:jc w:val="both"/>
        <w:rPr>
          <w:rFonts w:cs="Arial"/>
          <w:color w:val="000000" w:themeColor="text1"/>
        </w:rPr>
      </w:pPr>
      <w:r w:rsidRPr="00CE28CB">
        <w:rPr>
          <w:rFonts w:cs="Arial"/>
          <w:color w:val="000000" w:themeColor="text1"/>
        </w:rPr>
        <w:t xml:space="preserve">(..) no puede perderse de vista que la decisión de limitar “a </w:t>
      </w:r>
      <w:proofErr w:type="spellStart"/>
      <w:r w:rsidRPr="00CE28CB">
        <w:rPr>
          <w:rFonts w:cs="Arial"/>
          <w:color w:val="000000" w:themeColor="text1"/>
        </w:rPr>
        <w:t>Mipyme</w:t>
      </w:r>
      <w:proofErr w:type="spellEnd"/>
      <w:r w:rsidRPr="00CE28CB">
        <w:rPr>
          <w:rFonts w:cs="Arial"/>
          <w:color w:val="000000" w:themeColor="text1"/>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CE28CB">
        <w:rPr>
          <w:rFonts w:cs="Arial"/>
          <w:color w:val="000000" w:themeColor="text1"/>
        </w:rPr>
        <w:t>Mipymes</w:t>
      </w:r>
      <w:proofErr w:type="spellEnd"/>
      <w:r w:rsidRPr="00CE28CB">
        <w:rPr>
          <w:rFonts w:cs="Arial"/>
          <w:color w:val="000000" w:themeColor="text1"/>
        </w:rPr>
        <w:t xml:space="preserve">, no puede </w:t>
      </w:r>
      <w:proofErr w:type="gramStart"/>
      <w:r w:rsidRPr="00CE28CB">
        <w:rPr>
          <w:rFonts w:cs="Arial"/>
          <w:color w:val="000000" w:themeColor="text1"/>
        </w:rPr>
        <w:t>motu propio</w:t>
      </w:r>
      <w:proofErr w:type="gramEnd"/>
      <w:r w:rsidRPr="00CE28CB">
        <w:rPr>
          <w:rFonts w:cs="Arial"/>
          <w:color w:val="000000" w:themeColor="text1"/>
        </w:rPr>
        <w:t xml:space="preserve"> proceder con la “limitación territorial” de que trata el artículo 2.2.1.2.4.2.3. del Decreto 1082 de 2015. Esto debido a que el ejercicio de esta facultad solo puede darse ante la “limitación a </w:t>
      </w:r>
      <w:proofErr w:type="spellStart"/>
      <w:r w:rsidRPr="00CE28CB">
        <w:rPr>
          <w:rFonts w:cs="Arial"/>
          <w:color w:val="000000" w:themeColor="text1"/>
        </w:rPr>
        <w:t>Mipymes</w:t>
      </w:r>
      <w:proofErr w:type="spellEnd"/>
      <w:r w:rsidRPr="00CE28CB">
        <w:rPr>
          <w:rFonts w:cs="Arial"/>
          <w:color w:val="000000" w:themeColor="text1"/>
        </w:rPr>
        <w:t xml:space="preserve"> colombianas”, lo cual supone verificar los supuestos legales establecidos en los mencionados numerales.</w:t>
      </w:r>
    </w:p>
    <w:p w14:paraId="035FB17F" w14:textId="77777777" w:rsidR="00C92939" w:rsidRPr="00C92939" w:rsidRDefault="00C92939" w:rsidP="00822A36">
      <w:pPr>
        <w:spacing w:after="0" w:line="240" w:lineRule="auto"/>
        <w:rPr>
          <w:rFonts w:ascii="Verdana" w:eastAsia="Geomanist Light" w:hAnsi="Verdana" w:cs="Arial"/>
          <w:color w:val="000000" w:themeColor="text1"/>
        </w:rPr>
      </w:pPr>
    </w:p>
    <w:p w14:paraId="4973D60C" w14:textId="77777777" w:rsidR="00C92939" w:rsidRDefault="00C92939" w:rsidP="00822A36">
      <w:pPr>
        <w:spacing w:after="0" w:line="240" w:lineRule="auto"/>
        <w:rPr>
          <w:rFonts w:ascii="Verdana" w:eastAsia="Geomanist Light" w:hAnsi="Verdana" w:cs="Arial"/>
          <w:color w:val="000000" w:themeColor="text1"/>
          <w:lang w:val="es-MX"/>
        </w:rPr>
      </w:pPr>
    </w:p>
    <w:p w14:paraId="76AB4DD1" w14:textId="77777777" w:rsidR="00C92939" w:rsidRDefault="00C92939" w:rsidP="00822A36">
      <w:pPr>
        <w:spacing w:after="0" w:line="240" w:lineRule="auto"/>
        <w:rPr>
          <w:rFonts w:ascii="Verdana" w:eastAsia="Geomanist Light" w:hAnsi="Verdana" w:cs="Arial"/>
          <w:color w:val="000000" w:themeColor="text1"/>
          <w:lang w:val="es-MX"/>
        </w:rPr>
      </w:pPr>
    </w:p>
    <w:p w14:paraId="25B002BD" w14:textId="77777777" w:rsidR="00C92939" w:rsidRDefault="00C92939" w:rsidP="00822A36">
      <w:pPr>
        <w:spacing w:after="0" w:line="240" w:lineRule="auto"/>
        <w:rPr>
          <w:rFonts w:ascii="Verdana" w:eastAsia="Geomanist Light" w:hAnsi="Verdana" w:cs="Arial"/>
          <w:color w:val="000000" w:themeColor="text1"/>
          <w:lang w:val="es-MX"/>
        </w:rPr>
      </w:pPr>
    </w:p>
    <w:p w14:paraId="1782E523" w14:textId="77777777" w:rsidR="00C92939" w:rsidRDefault="00C92939" w:rsidP="00822A36">
      <w:pPr>
        <w:spacing w:after="0" w:line="240" w:lineRule="auto"/>
        <w:rPr>
          <w:rFonts w:ascii="Verdana" w:eastAsia="Geomanist Light" w:hAnsi="Verdana" w:cs="Arial"/>
          <w:color w:val="000000" w:themeColor="text1"/>
          <w:lang w:val="es-MX"/>
        </w:rPr>
      </w:pPr>
    </w:p>
    <w:p w14:paraId="121075CC" w14:textId="77777777" w:rsidR="00C92939" w:rsidRDefault="00C92939" w:rsidP="00822A36">
      <w:pPr>
        <w:spacing w:after="0" w:line="240" w:lineRule="auto"/>
        <w:rPr>
          <w:rFonts w:ascii="Verdana" w:eastAsia="Geomanist Light" w:hAnsi="Verdana" w:cs="Arial"/>
          <w:color w:val="000000" w:themeColor="text1"/>
          <w:lang w:val="es-MX"/>
        </w:rPr>
      </w:pPr>
    </w:p>
    <w:p w14:paraId="097F9679" w14:textId="77777777" w:rsidR="00C92939" w:rsidRDefault="00C92939" w:rsidP="00822A36">
      <w:pPr>
        <w:spacing w:after="0" w:line="240" w:lineRule="auto"/>
        <w:rPr>
          <w:rFonts w:ascii="Verdana" w:eastAsia="Geomanist Light" w:hAnsi="Verdana" w:cs="Arial"/>
          <w:color w:val="000000" w:themeColor="text1"/>
          <w:lang w:val="es-MX"/>
        </w:rPr>
      </w:pPr>
    </w:p>
    <w:p w14:paraId="1BCDC47F" w14:textId="77777777" w:rsidR="00C92939" w:rsidRDefault="00C92939" w:rsidP="00822A36">
      <w:pPr>
        <w:spacing w:after="0" w:line="240" w:lineRule="auto"/>
        <w:rPr>
          <w:rFonts w:ascii="Verdana" w:eastAsia="Geomanist Light" w:hAnsi="Verdana" w:cs="Arial"/>
          <w:color w:val="000000" w:themeColor="text1"/>
          <w:lang w:val="es-MX"/>
        </w:rPr>
      </w:pPr>
    </w:p>
    <w:p w14:paraId="2765180D" w14:textId="77777777" w:rsidR="00C92939" w:rsidRDefault="00C92939" w:rsidP="00822A36">
      <w:pPr>
        <w:spacing w:after="0" w:line="240" w:lineRule="auto"/>
        <w:rPr>
          <w:rFonts w:ascii="Verdana" w:eastAsia="Geomanist Light" w:hAnsi="Verdana" w:cs="Arial"/>
          <w:color w:val="000000" w:themeColor="text1"/>
          <w:lang w:val="es-MX"/>
        </w:rPr>
      </w:pPr>
    </w:p>
    <w:p w14:paraId="18EE307D" w14:textId="77777777" w:rsidR="00C92939" w:rsidRDefault="00C92939" w:rsidP="00822A36">
      <w:pPr>
        <w:spacing w:after="0" w:line="240" w:lineRule="auto"/>
        <w:rPr>
          <w:rFonts w:ascii="Verdana" w:eastAsia="Geomanist Light" w:hAnsi="Verdana" w:cs="Arial"/>
          <w:color w:val="000000" w:themeColor="text1"/>
          <w:lang w:val="es-MX"/>
        </w:rPr>
      </w:pPr>
    </w:p>
    <w:p w14:paraId="6049CF21" w14:textId="77777777" w:rsidR="00C92939" w:rsidRDefault="00C92939" w:rsidP="00822A36">
      <w:pPr>
        <w:spacing w:after="0" w:line="240" w:lineRule="auto"/>
        <w:rPr>
          <w:rFonts w:ascii="Verdana" w:eastAsia="Geomanist Light" w:hAnsi="Verdana" w:cs="Arial"/>
          <w:color w:val="000000" w:themeColor="text1"/>
          <w:lang w:val="es-MX"/>
        </w:rPr>
      </w:pPr>
    </w:p>
    <w:p w14:paraId="2106F499" w14:textId="77777777" w:rsidR="00C92939" w:rsidRDefault="00C92939" w:rsidP="00822A36">
      <w:pPr>
        <w:spacing w:after="0" w:line="240" w:lineRule="auto"/>
        <w:rPr>
          <w:rFonts w:ascii="Verdana" w:eastAsia="Geomanist Light" w:hAnsi="Verdana" w:cs="Arial"/>
          <w:color w:val="000000" w:themeColor="text1"/>
          <w:lang w:val="es-MX"/>
        </w:rPr>
      </w:pPr>
    </w:p>
    <w:p w14:paraId="6173F499" w14:textId="77777777" w:rsidR="00C92939" w:rsidRDefault="00C92939" w:rsidP="00822A36">
      <w:pPr>
        <w:spacing w:after="0" w:line="240" w:lineRule="auto"/>
        <w:rPr>
          <w:rFonts w:ascii="Verdana" w:eastAsia="Geomanist Light" w:hAnsi="Verdana" w:cs="Arial"/>
          <w:color w:val="000000" w:themeColor="text1"/>
          <w:lang w:val="es-MX"/>
        </w:rPr>
      </w:pPr>
    </w:p>
    <w:p w14:paraId="72D79444" w14:textId="77777777" w:rsidR="00C92939" w:rsidRDefault="00C92939" w:rsidP="00822A36">
      <w:pPr>
        <w:spacing w:after="0" w:line="240" w:lineRule="auto"/>
        <w:rPr>
          <w:rFonts w:ascii="Verdana" w:eastAsia="Geomanist Light" w:hAnsi="Verdana" w:cs="Arial"/>
          <w:color w:val="000000" w:themeColor="text1"/>
          <w:lang w:val="es-MX"/>
        </w:rPr>
      </w:pPr>
    </w:p>
    <w:p w14:paraId="1F5AE709" w14:textId="77777777" w:rsidR="00C92939" w:rsidRDefault="00C92939" w:rsidP="00822A36">
      <w:pPr>
        <w:spacing w:after="0" w:line="240" w:lineRule="auto"/>
        <w:rPr>
          <w:rFonts w:ascii="Verdana" w:eastAsia="Geomanist Light" w:hAnsi="Verdana" w:cs="Arial"/>
          <w:color w:val="000000" w:themeColor="text1"/>
          <w:lang w:val="es-MX"/>
        </w:rPr>
      </w:pPr>
    </w:p>
    <w:p w14:paraId="1C23A776" w14:textId="77777777" w:rsidR="00C92939" w:rsidRDefault="00C92939" w:rsidP="00822A36">
      <w:pPr>
        <w:spacing w:after="0" w:line="240" w:lineRule="auto"/>
        <w:rPr>
          <w:rFonts w:ascii="Verdana" w:eastAsia="Geomanist Light" w:hAnsi="Verdana" w:cs="Arial"/>
          <w:color w:val="000000" w:themeColor="text1"/>
          <w:lang w:val="es-MX"/>
        </w:rPr>
      </w:pPr>
    </w:p>
    <w:p w14:paraId="7E5CD395" w14:textId="77777777" w:rsidR="00C92939" w:rsidRDefault="00C92939" w:rsidP="00822A36">
      <w:pPr>
        <w:spacing w:after="0" w:line="240" w:lineRule="auto"/>
        <w:rPr>
          <w:rFonts w:ascii="Verdana" w:eastAsia="Geomanist Light" w:hAnsi="Verdana" w:cs="Arial"/>
          <w:color w:val="000000" w:themeColor="text1"/>
          <w:lang w:val="es-MX"/>
        </w:rPr>
      </w:pPr>
    </w:p>
    <w:p w14:paraId="5E74DBA1" w14:textId="77777777" w:rsidR="00C92939" w:rsidRDefault="00C92939" w:rsidP="00822A36">
      <w:pPr>
        <w:spacing w:after="0" w:line="240" w:lineRule="auto"/>
        <w:rPr>
          <w:rFonts w:ascii="Verdana" w:eastAsia="Geomanist Light" w:hAnsi="Verdana" w:cs="Arial"/>
          <w:color w:val="000000" w:themeColor="text1"/>
          <w:lang w:val="es-MX"/>
        </w:rPr>
      </w:pPr>
    </w:p>
    <w:p w14:paraId="499A471C" w14:textId="77777777" w:rsidR="00C92939" w:rsidRDefault="00C92939" w:rsidP="00822A36">
      <w:pPr>
        <w:spacing w:after="0" w:line="240" w:lineRule="auto"/>
        <w:rPr>
          <w:rFonts w:ascii="Verdana" w:eastAsia="Geomanist Light" w:hAnsi="Verdana" w:cs="Arial"/>
          <w:color w:val="000000" w:themeColor="text1"/>
          <w:lang w:val="es-MX"/>
        </w:rPr>
      </w:pPr>
    </w:p>
    <w:p w14:paraId="213A43C6" w14:textId="77777777" w:rsidR="00C92939" w:rsidRDefault="00C92939" w:rsidP="00822A36">
      <w:pPr>
        <w:spacing w:after="0" w:line="240" w:lineRule="auto"/>
        <w:rPr>
          <w:rFonts w:ascii="Verdana" w:eastAsia="Geomanist Light" w:hAnsi="Verdana" w:cs="Arial"/>
          <w:color w:val="000000" w:themeColor="text1"/>
          <w:lang w:val="es-MX"/>
        </w:rPr>
      </w:pPr>
    </w:p>
    <w:p w14:paraId="5CA5105F" w14:textId="77777777" w:rsidR="00C92939" w:rsidRDefault="00C92939" w:rsidP="00822A36">
      <w:pPr>
        <w:spacing w:after="0" w:line="240" w:lineRule="auto"/>
        <w:rPr>
          <w:rFonts w:ascii="Verdana" w:eastAsia="Geomanist Light" w:hAnsi="Verdana" w:cs="Arial"/>
          <w:color w:val="000000" w:themeColor="text1"/>
          <w:lang w:val="es-MX"/>
        </w:rPr>
      </w:pPr>
    </w:p>
    <w:p w14:paraId="065F1CB0" w14:textId="77777777" w:rsidR="00C92939" w:rsidRDefault="00C92939" w:rsidP="00822A36">
      <w:pPr>
        <w:spacing w:after="0" w:line="240" w:lineRule="auto"/>
        <w:rPr>
          <w:rFonts w:ascii="Verdana" w:eastAsia="Geomanist Light" w:hAnsi="Verdana" w:cs="Arial"/>
          <w:color w:val="000000" w:themeColor="text1"/>
          <w:lang w:val="es-MX"/>
        </w:rPr>
      </w:pPr>
    </w:p>
    <w:p w14:paraId="5F93CD09" w14:textId="77777777" w:rsidR="00C92939" w:rsidRDefault="00C92939" w:rsidP="00822A36">
      <w:pPr>
        <w:spacing w:after="0" w:line="240" w:lineRule="auto"/>
        <w:rPr>
          <w:rFonts w:ascii="Verdana" w:eastAsia="Geomanist Light" w:hAnsi="Verdana" w:cs="Arial"/>
          <w:color w:val="000000" w:themeColor="text1"/>
          <w:lang w:val="es-MX"/>
        </w:rPr>
      </w:pPr>
    </w:p>
    <w:p w14:paraId="24C92E92" w14:textId="366EEE8F" w:rsidR="00822A36" w:rsidRPr="00AA1286" w:rsidRDefault="00822A36" w:rsidP="00822A36">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lastRenderedPageBreak/>
        <w:t>B</w:t>
      </w:r>
      <w:r w:rsidRPr="00593A5F">
        <w:rPr>
          <w:rFonts w:ascii="Verdana" w:eastAsia="Geomanist Light" w:hAnsi="Verdana" w:cs="Arial"/>
          <w:color w:val="000000" w:themeColor="text1"/>
          <w:lang w:val="es-MX"/>
        </w:rPr>
        <w:t>ogotá D.C., </w:t>
      </w:r>
      <w:r w:rsidR="00C92939">
        <w:rPr>
          <w:rFonts w:ascii="Verdana" w:eastAsia="Geomanist Light" w:hAnsi="Verdana" w:cs="Arial"/>
          <w:color w:val="201F1E"/>
          <w:lang w:val="es-MX"/>
        </w:rPr>
        <w:t>03</w:t>
      </w:r>
      <w:r w:rsidRPr="00593A5F">
        <w:rPr>
          <w:rFonts w:ascii="Verdana" w:eastAsia="Geomanist Light" w:hAnsi="Verdana" w:cs="Arial"/>
          <w:color w:val="201F1E"/>
          <w:lang w:val="es-MX"/>
        </w:rPr>
        <w:t xml:space="preserve"> de </w:t>
      </w:r>
      <w:r w:rsidR="00C92939">
        <w:rPr>
          <w:rFonts w:ascii="Verdana" w:eastAsia="Geomanist Light" w:hAnsi="Verdana" w:cs="Arial"/>
          <w:color w:val="201F1E"/>
          <w:lang w:val="es-MX"/>
        </w:rPr>
        <w:t xml:space="preserve">diciembre </w:t>
      </w:r>
      <w:r w:rsidRPr="00593A5F">
        <w:rPr>
          <w:rFonts w:ascii="Verdana" w:eastAsia="Geomanist Light" w:hAnsi="Verdana" w:cs="Arial"/>
          <w:color w:val="201F1E"/>
          <w:lang w:val="es-MX"/>
        </w:rPr>
        <w:t xml:space="preserve">de </w:t>
      </w:r>
      <w:r w:rsidR="00C92939">
        <w:rPr>
          <w:rFonts w:ascii="Verdana" w:eastAsia="Geomanist Light" w:hAnsi="Verdana" w:cs="Arial"/>
          <w:color w:val="201F1E"/>
          <w:lang w:val="es-MX"/>
        </w:rPr>
        <w:t>2024</w:t>
      </w:r>
    </w:p>
    <w:p w14:paraId="550C57DA" w14:textId="77777777" w:rsidR="00822A36" w:rsidRDefault="00822A36" w:rsidP="00822A36">
      <w:pPr>
        <w:spacing w:after="0" w:line="240" w:lineRule="auto"/>
        <w:jc w:val="both"/>
        <w:rPr>
          <w:rFonts w:ascii="Verdana" w:eastAsia="Calibri" w:hAnsi="Verdana" w:cs="Arial"/>
          <w:lang w:val="es-ES" w:eastAsia="es-ES"/>
        </w:rPr>
      </w:pPr>
    </w:p>
    <w:p w14:paraId="05897E62" w14:textId="0AAEAA04" w:rsidR="00C92939" w:rsidRDefault="00C92939" w:rsidP="00C92939">
      <w:pPr>
        <w:spacing w:after="0" w:line="240" w:lineRule="auto"/>
        <w:ind w:left="4248"/>
        <w:jc w:val="both"/>
        <w:rPr>
          <w:rFonts w:ascii="Verdana" w:eastAsia="Calibri" w:hAnsi="Verdana" w:cs="Arial"/>
          <w:lang w:val="es-ES" w:eastAsia="es-ES"/>
        </w:rPr>
      </w:pPr>
      <w:r w:rsidRPr="00C92939">
        <w:rPr>
          <w:rFonts w:ascii="Verdana" w:eastAsia="Calibri" w:hAnsi="Verdana" w:cs="Arial"/>
          <w:lang w:val="es-ES" w:eastAsia="es-ES"/>
        </w:rPr>
        <w:drawing>
          <wp:inline distT="0" distB="0" distL="0" distR="0" wp14:anchorId="69BD03B0" wp14:editId="13436589">
            <wp:extent cx="3439005" cy="1305107"/>
            <wp:effectExtent l="0" t="0" r="9525" b="9525"/>
            <wp:docPr id="6832211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21161" name=""/>
                    <pic:cNvPicPr/>
                  </pic:nvPicPr>
                  <pic:blipFill>
                    <a:blip r:embed="rId11"/>
                    <a:stretch>
                      <a:fillRect/>
                    </a:stretch>
                  </pic:blipFill>
                  <pic:spPr>
                    <a:xfrm>
                      <a:off x="0" y="0"/>
                      <a:ext cx="3439005" cy="1305107"/>
                    </a:xfrm>
                    <a:prstGeom prst="rect">
                      <a:avLst/>
                    </a:prstGeom>
                  </pic:spPr>
                </pic:pic>
              </a:graphicData>
            </a:graphic>
          </wp:inline>
        </w:drawing>
      </w:r>
    </w:p>
    <w:p w14:paraId="5593249B" w14:textId="2D147998" w:rsidR="00822A36" w:rsidRDefault="00822A36" w:rsidP="00822A36">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08F0230E" w14:textId="77777777" w:rsidR="00822A36" w:rsidRPr="00991489" w:rsidRDefault="00822A36" w:rsidP="00822A36">
      <w:pPr>
        <w:spacing w:after="0" w:line="240" w:lineRule="auto"/>
        <w:jc w:val="both"/>
        <w:rPr>
          <w:rFonts w:ascii="Verdana" w:eastAsia="Calibri" w:hAnsi="Verdana" w:cs="Arial"/>
          <w:b/>
          <w:bCs/>
          <w:lang w:eastAsia="es-ES_tradnl"/>
        </w:rPr>
      </w:pPr>
      <w:r w:rsidRPr="00991489">
        <w:rPr>
          <w:rFonts w:ascii="Verdana" w:eastAsia="Calibri" w:hAnsi="Verdana" w:cs="Arial"/>
          <w:b/>
          <w:bCs/>
          <w:lang w:eastAsia="es-ES_tradnl"/>
        </w:rPr>
        <w:t>DIDIER OCHOA</w:t>
      </w:r>
      <w:r>
        <w:rPr>
          <w:rFonts w:ascii="Verdana" w:eastAsia="Calibri" w:hAnsi="Verdana" w:cs="Arial"/>
          <w:b/>
          <w:bCs/>
          <w:lang w:eastAsia="es-ES_tradnl"/>
        </w:rPr>
        <w:t xml:space="preserve"> </w:t>
      </w:r>
      <w:r w:rsidRPr="00991489">
        <w:rPr>
          <w:rFonts w:ascii="Verdana" w:eastAsia="Calibri" w:hAnsi="Verdana" w:cs="Arial"/>
          <w:b/>
          <w:bCs/>
          <w:lang w:eastAsia="es-ES_tradnl"/>
        </w:rPr>
        <w:t>ARISTIZABAL</w:t>
      </w:r>
    </w:p>
    <w:p w14:paraId="7F7D9444" w14:textId="77777777" w:rsidR="00822A36" w:rsidRDefault="00822A36" w:rsidP="00822A36">
      <w:pPr>
        <w:spacing w:after="0" w:line="240" w:lineRule="auto"/>
        <w:jc w:val="both"/>
        <w:rPr>
          <w:rFonts w:ascii="Verdana" w:eastAsia="Calibri" w:hAnsi="Verdana" w:cs="Arial"/>
          <w:b/>
          <w:bCs/>
          <w:lang w:eastAsia="es-ES_tradnl"/>
        </w:rPr>
      </w:pPr>
      <w:r w:rsidRPr="00991489">
        <w:rPr>
          <w:rFonts w:ascii="Verdana" w:eastAsia="Calibri" w:hAnsi="Verdana" w:cs="Arial"/>
          <w:b/>
          <w:bCs/>
          <w:lang w:eastAsia="es-ES_tradnl"/>
        </w:rPr>
        <w:t xml:space="preserve">ASOCIACION DE TRANSPORTADORES ESPECIALES </w:t>
      </w:r>
    </w:p>
    <w:p w14:paraId="0FAE0026" w14:textId="77777777" w:rsidR="00822A36" w:rsidRPr="00991489" w:rsidRDefault="00822A36" w:rsidP="00822A36">
      <w:pPr>
        <w:spacing w:after="0" w:line="240" w:lineRule="auto"/>
        <w:jc w:val="both"/>
        <w:rPr>
          <w:rFonts w:ascii="Verdana" w:eastAsia="Calibri" w:hAnsi="Verdana" w:cs="Arial"/>
          <w:b/>
          <w:bCs/>
          <w:lang w:eastAsia="es-ES_tradnl"/>
        </w:rPr>
      </w:pPr>
      <w:hyperlink r:id="rId12" w:history="1">
        <w:r w:rsidRPr="00A35D16">
          <w:rPr>
            <w:rStyle w:val="Hipervnculo"/>
            <w:rFonts w:ascii="Verdana" w:hAnsi="Verdana"/>
          </w:rPr>
          <w:t>licitaciones@astransportes.com.co</w:t>
        </w:r>
      </w:hyperlink>
      <w:r>
        <w:rPr>
          <w:rFonts w:ascii="Verdana" w:hAnsi="Verdana"/>
        </w:rPr>
        <w:t xml:space="preserve">; </w:t>
      </w:r>
      <w:r w:rsidRPr="004A22AA">
        <w:rPr>
          <w:rFonts w:ascii="Verdana" w:hAnsi="Verdana"/>
        </w:rPr>
        <w:t xml:space="preserve">  </w:t>
      </w:r>
    </w:p>
    <w:p w14:paraId="214866A2" w14:textId="77777777" w:rsidR="00822A36" w:rsidRPr="00593A5F" w:rsidRDefault="00822A36" w:rsidP="00822A36">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Medellín, Antioquia.</w:t>
      </w:r>
    </w:p>
    <w:p w14:paraId="71960A7F" w14:textId="77777777" w:rsidR="00822A36" w:rsidRPr="00593A5F" w:rsidRDefault="00822A36" w:rsidP="00822A36">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22A36" w:rsidRPr="00593A5F" w14:paraId="7180FAFD" w14:textId="77777777" w:rsidTr="00E94C9A">
        <w:trPr>
          <w:trHeight w:val="884"/>
        </w:trPr>
        <w:tc>
          <w:tcPr>
            <w:tcW w:w="2689" w:type="dxa"/>
          </w:tcPr>
          <w:p w14:paraId="241DAC70" w14:textId="77777777" w:rsidR="00822A36" w:rsidRPr="00D46ED3" w:rsidRDefault="00822A36" w:rsidP="00E94C9A">
            <w:pPr>
              <w:jc w:val="both"/>
              <w:rPr>
                <w:rFonts w:ascii="Verdana" w:eastAsia="Calibri" w:hAnsi="Verdana" w:cs="Arial"/>
                <w:b/>
                <w:bCs/>
                <w:color w:val="7030A0"/>
                <w:lang w:val="es-ES_tradnl" w:eastAsia="es-ES_tradnl"/>
              </w:rPr>
            </w:pPr>
          </w:p>
        </w:tc>
        <w:tc>
          <w:tcPr>
            <w:tcW w:w="6100" w:type="dxa"/>
          </w:tcPr>
          <w:p w14:paraId="216D19BC" w14:textId="77777777" w:rsidR="00822A36" w:rsidRPr="00D46ED3" w:rsidRDefault="00822A36" w:rsidP="00E94C9A">
            <w:pPr>
              <w:jc w:val="both"/>
              <w:rPr>
                <w:rFonts w:ascii="Verdana" w:eastAsia="Calibri" w:hAnsi="Verdana" w:cs="Arial"/>
                <w:b/>
                <w:bCs/>
                <w:color w:val="7030A0"/>
                <w:lang w:val="es-ES" w:eastAsia="es-ES"/>
              </w:rPr>
            </w:pPr>
            <w:r w:rsidRPr="00D46ED3">
              <w:rPr>
                <w:rFonts w:ascii="Verdana" w:eastAsia="Calibri" w:hAnsi="Verdana" w:cs="Arial"/>
                <w:b/>
                <w:bCs/>
                <w:lang w:val="es-ES" w:eastAsia="es-ES"/>
              </w:rPr>
              <w:t xml:space="preserve">Concepto </w:t>
            </w:r>
            <w:r w:rsidRPr="00991489">
              <w:rPr>
                <w:rFonts w:ascii="Verdana" w:eastAsia="Calibri" w:hAnsi="Verdana" w:cs="Arial"/>
                <w:b/>
                <w:bCs/>
                <w:lang w:val="es-ES" w:eastAsia="es-ES"/>
              </w:rPr>
              <w:t>C-829</w:t>
            </w:r>
            <w:r>
              <w:rPr>
                <w:rFonts w:ascii="Verdana" w:eastAsia="Calibri" w:hAnsi="Verdana" w:cs="Arial"/>
                <w:b/>
                <w:bCs/>
                <w:lang w:val="es-ES" w:eastAsia="es-ES"/>
              </w:rPr>
              <w:t xml:space="preserve"> de 2024</w:t>
            </w:r>
          </w:p>
        </w:tc>
      </w:tr>
      <w:tr w:rsidR="00822A36" w:rsidRPr="001C58F6" w14:paraId="4D46EBBC" w14:textId="77777777" w:rsidTr="00E94C9A">
        <w:trPr>
          <w:trHeight w:val="884"/>
        </w:trPr>
        <w:tc>
          <w:tcPr>
            <w:tcW w:w="2689" w:type="dxa"/>
          </w:tcPr>
          <w:p w14:paraId="7C29B6DD" w14:textId="77777777" w:rsidR="00822A36" w:rsidRPr="007B10DC" w:rsidRDefault="00822A36" w:rsidP="00E94C9A">
            <w:pPr>
              <w:jc w:val="both"/>
              <w:rPr>
                <w:rFonts w:ascii="Verdana" w:eastAsia="Calibri" w:hAnsi="Verdana" w:cs="Arial"/>
                <w:color w:val="000000"/>
                <w:highlight w:val="yellow"/>
                <w:lang w:val="es-ES_tradnl" w:eastAsia="es-ES_tradnl"/>
              </w:rPr>
            </w:pPr>
            <w:r w:rsidRPr="007B10DC">
              <w:rPr>
                <w:rFonts w:ascii="Verdana" w:eastAsia="Calibri" w:hAnsi="Verdana" w:cs="Arial"/>
                <w:b/>
                <w:color w:val="000000"/>
                <w:lang w:val="es-ES_tradnl" w:eastAsia="es-ES_tradnl"/>
              </w:rPr>
              <w:t>Temas:</w:t>
            </w:r>
            <w:r w:rsidRPr="007B10DC">
              <w:rPr>
                <w:rFonts w:ascii="Verdana" w:eastAsia="Calibri" w:hAnsi="Verdana" w:cs="Arial"/>
                <w:color w:val="000000"/>
                <w:lang w:val="es-ES_tradnl" w:eastAsia="es-ES_tradnl"/>
              </w:rPr>
              <w:t xml:space="preserve">                   </w:t>
            </w:r>
          </w:p>
        </w:tc>
        <w:tc>
          <w:tcPr>
            <w:tcW w:w="6100" w:type="dxa"/>
          </w:tcPr>
          <w:p w14:paraId="67593F55" w14:textId="77777777" w:rsidR="00822A36" w:rsidRPr="00991489" w:rsidRDefault="00822A36" w:rsidP="00E94C9A">
            <w:pPr>
              <w:spacing w:after="120"/>
              <w:contextualSpacing/>
              <w:jc w:val="both"/>
              <w:rPr>
                <w:rFonts w:ascii="Verdana" w:eastAsia="Calibri" w:hAnsi="Verdana" w:cs="Arial"/>
                <w:bCs/>
                <w:lang w:eastAsia="es-ES_tradnl"/>
              </w:rPr>
            </w:pPr>
            <w:r w:rsidRPr="00373E9B">
              <w:rPr>
                <w:rFonts w:ascii="Verdana" w:eastAsia="Calibri" w:hAnsi="Verdana" w:cs="Arial"/>
                <w:bCs/>
                <w:lang w:eastAsia="es-ES_tradnl"/>
              </w:rPr>
              <w:t xml:space="preserve">CONVOCATORIAS LIMITADAS A MIPYMES – Generalidades – Requisitos – Personas naturales - </w:t>
            </w:r>
            <w:r w:rsidRPr="00373E9B">
              <w:rPr>
                <w:rFonts w:ascii="Verdana" w:hAnsi="Verdana"/>
              </w:rPr>
              <w:t>Convocatorias</w:t>
            </w:r>
            <w:r w:rsidRPr="00373E9B">
              <w:rPr>
                <w:rFonts w:ascii="Verdana" w:hAnsi="Verdana"/>
                <w:spacing w:val="28"/>
              </w:rPr>
              <w:t xml:space="preserve"> </w:t>
            </w:r>
            <w:r w:rsidRPr="00373E9B">
              <w:rPr>
                <w:rFonts w:ascii="Verdana" w:hAnsi="Verdana"/>
              </w:rPr>
              <w:t>limitadas</w:t>
            </w:r>
            <w:r w:rsidRPr="00373E9B">
              <w:rPr>
                <w:rFonts w:ascii="Verdana" w:hAnsi="Verdana"/>
                <w:spacing w:val="26"/>
              </w:rPr>
              <w:t xml:space="preserve"> </w:t>
            </w:r>
            <w:r w:rsidRPr="00373E9B">
              <w:rPr>
                <w:rFonts w:ascii="Verdana" w:hAnsi="Verdana"/>
              </w:rPr>
              <w:t>territorialmente</w:t>
            </w:r>
          </w:p>
          <w:p w14:paraId="65DF943E" w14:textId="77777777" w:rsidR="00822A36" w:rsidRPr="00D87339" w:rsidRDefault="00822A36" w:rsidP="00E94C9A">
            <w:pPr>
              <w:spacing w:line="276" w:lineRule="auto"/>
              <w:jc w:val="both"/>
              <w:rPr>
                <w:rFonts w:ascii="Verdana" w:eastAsia="Calibri" w:hAnsi="Verdana" w:cs="Arial"/>
                <w:highlight w:val="yellow"/>
                <w:lang w:eastAsia="es-ES"/>
              </w:rPr>
            </w:pPr>
          </w:p>
        </w:tc>
      </w:tr>
      <w:tr w:rsidR="00822A36" w:rsidRPr="00593A5F" w14:paraId="3329868B" w14:textId="77777777" w:rsidTr="00C92939">
        <w:trPr>
          <w:trHeight w:val="331"/>
        </w:trPr>
        <w:tc>
          <w:tcPr>
            <w:tcW w:w="2689" w:type="dxa"/>
          </w:tcPr>
          <w:p w14:paraId="34CE63A3" w14:textId="77777777" w:rsidR="00822A36" w:rsidRPr="00FB2E89" w:rsidRDefault="00822A36" w:rsidP="00E94C9A">
            <w:pPr>
              <w:jc w:val="both"/>
              <w:rPr>
                <w:rFonts w:ascii="Verdana" w:eastAsia="Calibri" w:hAnsi="Verdana" w:cs="Arial"/>
                <w:b/>
                <w:lang w:val="es-ES_tradnl" w:eastAsia="es-ES_tradnl"/>
              </w:rPr>
            </w:pPr>
            <w:r w:rsidRPr="00FB2E89">
              <w:rPr>
                <w:rFonts w:ascii="Verdana" w:eastAsia="Calibri" w:hAnsi="Verdana" w:cs="Arial"/>
                <w:b/>
                <w:lang w:val="es-ES_tradnl" w:eastAsia="es-ES_tradnl"/>
              </w:rPr>
              <w:t xml:space="preserve"> Radicación:</w:t>
            </w:r>
            <w:r w:rsidRPr="00FB2E89">
              <w:rPr>
                <w:rFonts w:ascii="Verdana" w:eastAsia="Calibri" w:hAnsi="Verdana" w:cs="Arial"/>
                <w:lang w:val="es-ES_tradnl" w:eastAsia="es-ES_tradnl"/>
              </w:rPr>
              <w:t xml:space="preserve">               </w:t>
            </w:r>
          </w:p>
        </w:tc>
        <w:tc>
          <w:tcPr>
            <w:tcW w:w="6100" w:type="dxa"/>
          </w:tcPr>
          <w:p w14:paraId="6CD143F9" w14:textId="77777777" w:rsidR="00822A36" w:rsidRPr="00825AF7" w:rsidRDefault="00822A36" w:rsidP="00E94C9A">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Pr="00991489">
              <w:rPr>
                <w:rFonts w:ascii="Verdana" w:eastAsia="Calibri" w:hAnsi="Verdana" w:cs="Arial"/>
                <w:lang w:val="es-ES_tradnl" w:eastAsia="es-ES_tradnl"/>
              </w:rPr>
              <w:t>P20241107011228</w:t>
            </w:r>
          </w:p>
        </w:tc>
      </w:tr>
    </w:tbl>
    <w:p w14:paraId="5B1B494D" w14:textId="77777777" w:rsidR="00822A36" w:rsidRPr="00593A5F" w:rsidRDefault="00822A36" w:rsidP="00822A36">
      <w:pPr>
        <w:spacing w:after="0" w:line="240" w:lineRule="auto"/>
        <w:jc w:val="both"/>
        <w:rPr>
          <w:rFonts w:ascii="Verdana" w:eastAsia="Calibri" w:hAnsi="Verdana" w:cs="Arial"/>
          <w:color w:val="000000"/>
          <w:lang w:val="es-ES_tradnl" w:eastAsia="es-ES_tradnl"/>
        </w:rPr>
      </w:pPr>
    </w:p>
    <w:p w14:paraId="40D801C3" w14:textId="77777777" w:rsidR="00822A36" w:rsidRDefault="00822A36" w:rsidP="00822A36">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o señor</w:t>
      </w:r>
      <w:r>
        <w:rPr>
          <w:rFonts w:ascii="Verdana" w:eastAsia="Calibri" w:hAnsi="Verdana" w:cs="Arial"/>
          <w:lang w:val="es-ES" w:eastAsia="es-ES"/>
        </w:rPr>
        <w:t xml:space="preserve"> Ochoa</w:t>
      </w:r>
      <w:r w:rsidRPr="009A14E8">
        <w:rPr>
          <w:rFonts w:ascii="Verdana" w:eastAsia="Calibri" w:hAnsi="Verdana" w:cs="Arial"/>
          <w:lang w:val="es-ES" w:eastAsia="es-ES"/>
        </w:rPr>
        <w:t xml:space="preserve">: </w:t>
      </w:r>
    </w:p>
    <w:p w14:paraId="39C87A2B" w14:textId="77777777" w:rsidR="00822A36" w:rsidRDefault="00822A36" w:rsidP="00822A36">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B03A5C7" w14:textId="77777777" w:rsidR="00822A36" w:rsidRDefault="00822A36" w:rsidP="00822A36">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D46ED3">
        <w:rPr>
          <w:rFonts w:ascii="Verdana" w:eastAsia="Calibri" w:hAnsi="Verdana" w:cs="Arial"/>
          <w:color w:val="000000" w:themeColor="text1"/>
          <w:lang w:val="es-ES" w:eastAsia="es-ES"/>
        </w:rPr>
        <w:t xml:space="preserve">consulta de </w:t>
      </w:r>
      <w:r w:rsidRPr="00D46ED3">
        <w:rPr>
          <w:rFonts w:ascii="Verdana" w:eastAsia="Calibri" w:hAnsi="Verdana" w:cs="Arial"/>
          <w:lang w:val="es-ES" w:eastAsia="es-ES"/>
        </w:rPr>
        <w:t xml:space="preserve">fecha </w:t>
      </w:r>
      <w:r>
        <w:rPr>
          <w:rFonts w:ascii="Verdana" w:eastAsia="Calibri" w:hAnsi="Verdana" w:cs="Arial"/>
          <w:lang w:val="es-ES" w:eastAsia="es-ES"/>
        </w:rPr>
        <w:t xml:space="preserve">07 </w:t>
      </w:r>
      <w:r w:rsidRPr="00D46ED3">
        <w:rPr>
          <w:rFonts w:ascii="Verdana" w:eastAsia="Calibri" w:hAnsi="Verdana" w:cs="Arial"/>
          <w:lang w:val="es-ES" w:eastAsia="es-ES"/>
        </w:rPr>
        <w:t xml:space="preserve">de </w:t>
      </w:r>
      <w:r>
        <w:rPr>
          <w:rFonts w:ascii="Verdana" w:eastAsia="Calibri" w:hAnsi="Verdana" w:cs="Arial"/>
          <w:lang w:val="es-ES" w:eastAsia="es-ES"/>
        </w:rPr>
        <w:t xml:space="preserve">noviembre </w:t>
      </w:r>
      <w:r w:rsidRPr="00D46ED3">
        <w:rPr>
          <w:rFonts w:ascii="Verdana" w:eastAsia="Calibri" w:hAnsi="Verdana" w:cs="Arial"/>
          <w:lang w:val="es-ES" w:eastAsia="es-ES"/>
        </w:rPr>
        <w:t>de 2024, en</w:t>
      </w:r>
      <w:r w:rsidRPr="00AA1286">
        <w:rPr>
          <w:rFonts w:ascii="Verdana" w:eastAsia="Calibri" w:hAnsi="Verdana" w:cs="Arial"/>
          <w:lang w:val="es-ES" w:eastAsia="es-ES"/>
        </w:rPr>
        <w:t xml:space="preserve"> la cual manifiesta lo siguiente:</w:t>
      </w:r>
    </w:p>
    <w:p w14:paraId="35FB9B2F" w14:textId="77777777" w:rsidR="00822A36" w:rsidRDefault="00822A36" w:rsidP="00822A36">
      <w:pPr>
        <w:spacing w:after="0" w:line="276" w:lineRule="auto"/>
        <w:jc w:val="both"/>
        <w:rPr>
          <w:rFonts w:ascii="Verdana" w:eastAsia="Calibri" w:hAnsi="Verdana" w:cs="Arial"/>
          <w:lang w:val="es-ES" w:eastAsia="es-ES"/>
        </w:rPr>
      </w:pPr>
    </w:p>
    <w:p w14:paraId="107D3664" w14:textId="77777777" w:rsidR="00822A36" w:rsidRPr="00991489" w:rsidRDefault="00822A36" w:rsidP="00822A36">
      <w:pPr>
        <w:spacing w:after="0" w:line="276" w:lineRule="auto"/>
        <w:ind w:left="709" w:right="1041"/>
        <w:jc w:val="both"/>
        <w:rPr>
          <w:rFonts w:ascii="Verdana" w:hAnsi="Verdana" w:cs="ArialMT"/>
          <w:i/>
          <w:iCs/>
          <w:sz w:val="21"/>
          <w:szCs w:val="21"/>
        </w:rPr>
      </w:pPr>
      <w:r w:rsidRPr="00AA1286">
        <w:rPr>
          <w:rFonts w:ascii="Verdana" w:eastAsia="Calibri" w:hAnsi="Verdana" w:cs="Arial"/>
          <w:lang w:val="es-ES" w:eastAsia="es-ES"/>
        </w:rPr>
        <w:t xml:space="preserve"> </w:t>
      </w:r>
      <w:r w:rsidRPr="004A0DB3">
        <w:rPr>
          <w:rFonts w:ascii="Verdana" w:hAnsi="Verdana" w:cs="ArialMT"/>
          <w:i/>
          <w:iCs/>
          <w:sz w:val="21"/>
          <w:szCs w:val="21"/>
        </w:rPr>
        <w:t>“[…]</w:t>
      </w:r>
      <w:r w:rsidRPr="00991489">
        <w:rPr>
          <w:rFonts w:ascii="Verdana" w:hAnsi="Verdana" w:cs="ArialMT"/>
          <w:i/>
          <w:iCs/>
          <w:sz w:val="21"/>
          <w:szCs w:val="21"/>
        </w:rPr>
        <w:t>1. Cuál es la cuant</w:t>
      </w:r>
      <w:r w:rsidRPr="00991489">
        <w:rPr>
          <w:rFonts w:ascii="Verdana" w:hAnsi="Verdana" w:cs="ArialMT" w:hint="eastAsia"/>
          <w:i/>
          <w:iCs/>
          <w:sz w:val="21"/>
          <w:szCs w:val="21"/>
        </w:rPr>
        <w:t>í</w:t>
      </w:r>
      <w:r w:rsidRPr="00991489">
        <w:rPr>
          <w:rFonts w:ascii="Verdana" w:hAnsi="Verdana" w:cs="ArialMT"/>
          <w:i/>
          <w:iCs/>
          <w:sz w:val="21"/>
          <w:szCs w:val="21"/>
        </w:rPr>
        <w:t>a m</w:t>
      </w:r>
      <w:r w:rsidRPr="00991489">
        <w:rPr>
          <w:rFonts w:ascii="Verdana" w:hAnsi="Verdana" w:cs="ArialMT" w:hint="eastAsia"/>
          <w:i/>
          <w:iCs/>
          <w:sz w:val="21"/>
          <w:szCs w:val="21"/>
        </w:rPr>
        <w:t>á</w:t>
      </w:r>
      <w:r w:rsidRPr="00991489">
        <w:rPr>
          <w:rFonts w:ascii="Verdana" w:hAnsi="Verdana" w:cs="ArialMT"/>
          <w:i/>
          <w:iCs/>
          <w:sz w:val="21"/>
          <w:szCs w:val="21"/>
        </w:rPr>
        <w:t>xima y tipo de proceso por la cual se puede limitar</w:t>
      </w:r>
    </w:p>
    <w:p w14:paraId="2E9C456A" w14:textId="77777777" w:rsidR="00822A36" w:rsidRPr="00991489" w:rsidRDefault="00822A36" w:rsidP="00822A36">
      <w:pPr>
        <w:spacing w:after="0" w:line="276" w:lineRule="auto"/>
        <w:ind w:left="709" w:right="1041"/>
        <w:jc w:val="both"/>
        <w:rPr>
          <w:rFonts w:ascii="Verdana" w:hAnsi="Verdana" w:cs="ArialMT"/>
          <w:i/>
          <w:iCs/>
          <w:sz w:val="21"/>
          <w:szCs w:val="21"/>
        </w:rPr>
      </w:pPr>
      <w:r w:rsidRPr="00991489">
        <w:rPr>
          <w:rFonts w:ascii="Verdana" w:hAnsi="Verdana" w:cs="ArialMT"/>
          <w:i/>
          <w:iCs/>
          <w:sz w:val="21"/>
          <w:szCs w:val="21"/>
        </w:rPr>
        <w:t>2. En cuanto a limitaciones de orden territorial, cuáles son los documentos</w:t>
      </w:r>
      <w:r>
        <w:rPr>
          <w:rFonts w:ascii="Verdana" w:hAnsi="Verdana" w:cs="ArialMT"/>
          <w:i/>
          <w:iCs/>
          <w:sz w:val="21"/>
          <w:szCs w:val="21"/>
        </w:rPr>
        <w:t xml:space="preserve"> </w:t>
      </w:r>
      <w:r w:rsidRPr="00991489">
        <w:rPr>
          <w:rFonts w:ascii="Verdana" w:hAnsi="Verdana" w:cs="ArialMT"/>
          <w:i/>
          <w:iCs/>
          <w:sz w:val="21"/>
          <w:szCs w:val="21"/>
        </w:rPr>
        <w:t>reglamentarios solicitados que deben enviar los posibles oferentes para la solicitud</w:t>
      </w:r>
    </w:p>
    <w:p w14:paraId="3C1FB7FE" w14:textId="77777777" w:rsidR="00822A36" w:rsidRPr="00991489" w:rsidRDefault="00822A36" w:rsidP="00822A36">
      <w:pPr>
        <w:spacing w:after="0" w:line="276" w:lineRule="auto"/>
        <w:ind w:left="709" w:right="1041"/>
        <w:jc w:val="both"/>
        <w:rPr>
          <w:rFonts w:ascii="Verdana" w:hAnsi="Verdana" w:cs="ArialMT"/>
          <w:i/>
          <w:iCs/>
          <w:sz w:val="21"/>
          <w:szCs w:val="21"/>
        </w:rPr>
      </w:pPr>
      <w:r w:rsidRPr="00991489">
        <w:rPr>
          <w:rFonts w:ascii="Verdana" w:hAnsi="Verdana" w:cs="ArialMT"/>
          <w:i/>
          <w:iCs/>
          <w:sz w:val="21"/>
          <w:szCs w:val="21"/>
        </w:rPr>
        <w:lastRenderedPageBreak/>
        <w:t xml:space="preserve">3. </w:t>
      </w:r>
      <w:proofErr w:type="spellStart"/>
      <w:r w:rsidRPr="00991489">
        <w:rPr>
          <w:rFonts w:ascii="Verdana" w:hAnsi="Verdana" w:cs="ArialMT"/>
          <w:i/>
          <w:iCs/>
          <w:sz w:val="21"/>
          <w:szCs w:val="21"/>
        </w:rPr>
        <w:t>Cual</w:t>
      </w:r>
      <w:proofErr w:type="spellEnd"/>
      <w:r w:rsidRPr="00991489">
        <w:rPr>
          <w:rFonts w:ascii="Verdana" w:hAnsi="Verdana" w:cs="ArialMT"/>
          <w:i/>
          <w:iCs/>
          <w:sz w:val="21"/>
          <w:szCs w:val="21"/>
        </w:rPr>
        <w:t xml:space="preserve"> es la cantidad m</w:t>
      </w:r>
      <w:r w:rsidRPr="00991489">
        <w:rPr>
          <w:rFonts w:ascii="Verdana" w:hAnsi="Verdana" w:cs="ArialMT" w:hint="eastAsia"/>
          <w:i/>
          <w:iCs/>
          <w:sz w:val="21"/>
          <w:szCs w:val="21"/>
        </w:rPr>
        <w:t>í</w:t>
      </w:r>
      <w:r w:rsidRPr="00991489">
        <w:rPr>
          <w:rFonts w:ascii="Verdana" w:hAnsi="Verdana" w:cs="ArialMT"/>
          <w:i/>
          <w:iCs/>
          <w:sz w:val="21"/>
          <w:szCs w:val="21"/>
        </w:rPr>
        <w:t>nima y m</w:t>
      </w:r>
      <w:r w:rsidRPr="00991489">
        <w:rPr>
          <w:rFonts w:ascii="Verdana" w:hAnsi="Verdana" w:cs="ArialMT" w:hint="eastAsia"/>
          <w:i/>
          <w:iCs/>
          <w:sz w:val="21"/>
          <w:szCs w:val="21"/>
        </w:rPr>
        <w:t>á</w:t>
      </w:r>
      <w:r w:rsidRPr="00991489">
        <w:rPr>
          <w:rFonts w:ascii="Verdana" w:hAnsi="Verdana" w:cs="ArialMT"/>
          <w:i/>
          <w:iCs/>
          <w:sz w:val="21"/>
          <w:szCs w:val="21"/>
        </w:rPr>
        <w:t>xima que la entidad debe solicitar ya sea para</w:t>
      </w:r>
      <w:r>
        <w:rPr>
          <w:rFonts w:ascii="Verdana" w:hAnsi="Verdana" w:cs="ArialMT"/>
          <w:i/>
          <w:iCs/>
          <w:sz w:val="21"/>
          <w:szCs w:val="21"/>
        </w:rPr>
        <w:t xml:space="preserve"> </w:t>
      </w:r>
      <w:r w:rsidRPr="00991489">
        <w:rPr>
          <w:rFonts w:ascii="Verdana" w:hAnsi="Verdana" w:cs="ArialMT"/>
          <w:i/>
          <w:iCs/>
          <w:sz w:val="21"/>
          <w:szCs w:val="21"/>
        </w:rPr>
        <w:t>limitar a regi</w:t>
      </w:r>
      <w:r w:rsidRPr="00991489">
        <w:rPr>
          <w:rFonts w:ascii="Verdana" w:hAnsi="Verdana" w:cs="ArialMT" w:hint="eastAsia"/>
          <w:i/>
          <w:iCs/>
          <w:sz w:val="21"/>
          <w:szCs w:val="21"/>
        </w:rPr>
        <w:t>ó</w:t>
      </w:r>
      <w:r w:rsidRPr="00991489">
        <w:rPr>
          <w:rFonts w:ascii="Verdana" w:hAnsi="Verdana" w:cs="ArialMT"/>
          <w:i/>
          <w:iCs/>
          <w:sz w:val="21"/>
          <w:szCs w:val="21"/>
        </w:rPr>
        <w:t>n o por tama</w:t>
      </w:r>
      <w:r w:rsidRPr="00991489">
        <w:rPr>
          <w:rFonts w:ascii="Verdana" w:hAnsi="Verdana" w:cs="ArialMT" w:hint="eastAsia"/>
          <w:i/>
          <w:iCs/>
          <w:sz w:val="21"/>
          <w:szCs w:val="21"/>
        </w:rPr>
        <w:t>ñ</w:t>
      </w:r>
      <w:r w:rsidRPr="00991489">
        <w:rPr>
          <w:rFonts w:ascii="Verdana" w:hAnsi="Verdana" w:cs="ArialMT"/>
          <w:i/>
          <w:iCs/>
          <w:sz w:val="21"/>
          <w:szCs w:val="21"/>
        </w:rPr>
        <w:t>o de la empresa para poder limitar a MiPymes</w:t>
      </w:r>
    </w:p>
    <w:p w14:paraId="27E265DD" w14:textId="77777777" w:rsidR="00822A36" w:rsidRDefault="00822A36" w:rsidP="00822A36">
      <w:pPr>
        <w:spacing w:after="0" w:line="276" w:lineRule="auto"/>
        <w:ind w:left="709" w:right="1041"/>
        <w:jc w:val="both"/>
        <w:rPr>
          <w:rFonts w:ascii="Verdana" w:hAnsi="Verdana" w:cs="ArialMT"/>
          <w:i/>
          <w:iCs/>
          <w:sz w:val="21"/>
          <w:szCs w:val="21"/>
        </w:rPr>
      </w:pPr>
      <w:r w:rsidRPr="00991489">
        <w:rPr>
          <w:rFonts w:ascii="Verdana" w:hAnsi="Verdana" w:cs="ArialMT"/>
          <w:i/>
          <w:iCs/>
          <w:sz w:val="21"/>
          <w:szCs w:val="21"/>
        </w:rPr>
        <w:t>4. Para oferentes plurales ya sea consorcio o uni</w:t>
      </w:r>
      <w:r w:rsidRPr="00991489">
        <w:rPr>
          <w:rFonts w:ascii="Verdana" w:hAnsi="Verdana" w:cs="ArialMT" w:hint="eastAsia"/>
          <w:i/>
          <w:iCs/>
          <w:sz w:val="21"/>
          <w:szCs w:val="21"/>
        </w:rPr>
        <w:t>ó</w:t>
      </w:r>
      <w:r w:rsidRPr="00991489">
        <w:rPr>
          <w:rFonts w:ascii="Verdana" w:hAnsi="Verdana" w:cs="ArialMT"/>
          <w:i/>
          <w:iCs/>
          <w:sz w:val="21"/>
          <w:szCs w:val="21"/>
        </w:rPr>
        <w:t>n temporal, se puede presentar</w:t>
      </w:r>
      <w:r>
        <w:rPr>
          <w:rFonts w:ascii="Verdana" w:hAnsi="Verdana" w:cs="ArialMT"/>
          <w:i/>
          <w:iCs/>
          <w:sz w:val="21"/>
          <w:szCs w:val="21"/>
        </w:rPr>
        <w:t xml:space="preserve"> </w:t>
      </w:r>
      <w:r w:rsidRPr="00991489">
        <w:rPr>
          <w:rFonts w:ascii="Verdana" w:hAnsi="Verdana" w:cs="ArialMT"/>
          <w:i/>
          <w:iCs/>
          <w:sz w:val="21"/>
          <w:szCs w:val="21"/>
        </w:rPr>
        <w:t>una MiPymes junto con una empresa de gran tamaño? esto teniendo en cuenta</w:t>
      </w:r>
      <w:r>
        <w:rPr>
          <w:rFonts w:ascii="Verdana" w:hAnsi="Verdana" w:cs="ArialMT"/>
          <w:i/>
          <w:iCs/>
          <w:sz w:val="21"/>
          <w:szCs w:val="21"/>
        </w:rPr>
        <w:t xml:space="preserve"> </w:t>
      </w:r>
      <w:r w:rsidRPr="00991489">
        <w:rPr>
          <w:rFonts w:ascii="Verdana" w:hAnsi="Verdana" w:cs="ArialMT"/>
          <w:i/>
          <w:iCs/>
          <w:sz w:val="21"/>
          <w:szCs w:val="21"/>
        </w:rPr>
        <w:t>que la naturaleza para la cual fueron creados este tipo de proponentes es permitir</w:t>
      </w:r>
      <w:r>
        <w:rPr>
          <w:rFonts w:ascii="Verdana" w:hAnsi="Verdana" w:cs="ArialMT"/>
          <w:i/>
          <w:iCs/>
          <w:sz w:val="21"/>
          <w:szCs w:val="21"/>
        </w:rPr>
        <w:t xml:space="preserve"> </w:t>
      </w:r>
      <w:r w:rsidRPr="00991489">
        <w:rPr>
          <w:rFonts w:ascii="Verdana" w:hAnsi="Verdana" w:cs="ArialMT"/>
          <w:i/>
          <w:iCs/>
          <w:sz w:val="21"/>
          <w:szCs w:val="21"/>
        </w:rPr>
        <w:t>aunar esfuerzos para cumplir con los requisitos habilitantes, lo cual al limitarse que</w:t>
      </w:r>
      <w:r>
        <w:rPr>
          <w:rFonts w:ascii="Verdana" w:hAnsi="Verdana" w:cs="ArialMT"/>
          <w:i/>
          <w:iCs/>
          <w:sz w:val="21"/>
          <w:szCs w:val="21"/>
        </w:rPr>
        <w:t xml:space="preserve"> </w:t>
      </w:r>
      <w:r w:rsidRPr="00991489">
        <w:rPr>
          <w:rFonts w:ascii="Verdana" w:hAnsi="Verdana" w:cs="ArialMT"/>
          <w:i/>
          <w:iCs/>
          <w:sz w:val="21"/>
          <w:szCs w:val="21"/>
        </w:rPr>
        <w:t>solo sean plurales de solo MiPymes no se estar</w:t>
      </w:r>
      <w:r w:rsidRPr="00991489">
        <w:rPr>
          <w:rFonts w:ascii="Verdana" w:hAnsi="Verdana" w:cs="ArialMT" w:hint="eastAsia"/>
          <w:i/>
          <w:iCs/>
          <w:sz w:val="21"/>
          <w:szCs w:val="21"/>
        </w:rPr>
        <w:t>í</w:t>
      </w:r>
      <w:r w:rsidRPr="00991489">
        <w:rPr>
          <w:rFonts w:ascii="Verdana" w:hAnsi="Verdana" w:cs="ArialMT"/>
          <w:i/>
          <w:iCs/>
          <w:sz w:val="21"/>
          <w:szCs w:val="21"/>
        </w:rPr>
        <w:t>a dando libre participaci</w:t>
      </w:r>
      <w:r w:rsidRPr="00991489">
        <w:rPr>
          <w:rFonts w:ascii="Verdana" w:hAnsi="Verdana" w:cs="ArialMT" w:hint="eastAsia"/>
          <w:i/>
          <w:iCs/>
          <w:sz w:val="21"/>
          <w:szCs w:val="21"/>
        </w:rPr>
        <w:t>ó</w:t>
      </w:r>
      <w:r w:rsidRPr="00991489">
        <w:rPr>
          <w:rFonts w:ascii="Verdana" w:hAnsi="Verdana" w:cs="ArialMT"/>
          <w:i/>
          <w:iCs/>
          <w:sz w:val="21"/>
          <w:szCs w:val="21"/>
        </w:rPr>
        <w:t>n de</w:t>
      </w:r>
      <w:r>
        <w:rPr>
          <w:rFonts w:ascii="Verdana" w:hAnsi="Verdana" w:cs="ArialMT"/>
          <w:i/>
          <w:iCs/>
          <w:sz w:val="21"/>
          <w:szCs w:val="21"/>
        </w:rPr>
        <w:t xml:space="preserve"> </w:t>
      </w:r>
      <w:r w:rsidRPr="00991489">
        <w:rPr>
          <w:rFonts w:ascii="Verdana" w:hAnsi="Verdana" w:cs="ArialMT"/>
          <w:i/>
          <w:iCs/>
          <w:sz w:val="21"/>
          <w:szCs w:val="21"/>
        </w:rPr>
        <w:t xml:space="preserve">oferentes. </w:t>
      </w:r>
      <w:r w:rsidRPr="004A0DB3">
        <w:rPr>
          <w:rFonts w:ascii="Verdana" w:hAnsi="Verdana" w:cs="ArialMT"/>
          <w:i/>
          <w:iCs/>
          <w:sz w:val="21"/>
          <w:szCs w:val="21"/>
        </w:rPr>
        <w:t>[…]”</w:t>
      </w:r>
    </w:p>
    <w:p w14:paraId="336A99EA" w14:textId="77777777" w:rsidR="00822A36" w:rsidRPr="004A0DB3" w:rsidRDefault="00822A36" w:rsidP="00822A36">
      <w:pPr>
        <w:spacing w:after="0" w:line="276" w:lineRule="auto"/>
        <w:jc w:val="both"/>
        <w:rPr>
          <w:rFonts w:ascii="Verdana" w:eastAsia="Calibri" w:hAnsi="Verdana" w:cs="Arial"/>
          <w:lang w:val="es-ES" w:eastAsia="es-ES"/>
        </w:rPr>
      </w:pPr>
    </w:p>
    <w:p w14:paraId="1B9F7C8D" w14:textId="77777777" w:rsidR="00822A36" w:rsidRDefault="00822A36" w:rsidP="00822A36">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079FF32" w14:textId="77777777" w:rsidR="00822A36" w:rsidRDefault="00822A36" w:rsidP="00822A36">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33FF010" w14:textId="77777777" w:rsidR="00822A36" w:rsidRPr="00593A5F" w:rsidRDefault="00822A36" w:rsidP="00822A36">
      <w:pPr>
        <w:spacing w:after="0" w:line="276" w:lineRule="auto"/>
        <w:ind w:firstLine="709"/>
        <w:jc w:val="both"/>
        <w:rPr>
          <w:rFonts w:ascii="Verdana" w:eastAsia="Calibri" w:hAnsi="Verdana" w:cs="Arial"/>
          <w:color w:val="000000"/>
          <w:lang w:val="es-ES" w:eastAsia="es-ES"/>
        </w:rPr>
      </w:pPr>
    </w:p>
    <w:p w14:paraId="76E979EA" w14:textId="77777777" w:rsidR="00822A36" w:rsidRPr="00593A5F" w:rsidRDefault="00822A36" w:rsidP="00822A3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5F6F99F" w14:textId="77777777" w:rsidR="00822A36" w:rsidRPr="00064EE2" w:rsidRDefault="00822A36" w:rsidP="00822A36">
      <w:pPr>
        <w:tabs>
          <w:tab w:val="left" w:pos="426"/>
        </w:tabs>
        <w:spacing w:after="0" w:line="276" w:lineRule="auto"/>
        <w:jc w:val="both"/>
        <w:rPr>
          <w:rFonts w:ascii="Verdana" w:eastAsia="Century Gothic" w:hAnsi="Verdana" w:cs="Century Gothic"/>
        </w:rPr>
      </w:pPr>
    </w:p>
    <w:p w14:paraId="1ED32D18" w14:textId="083B1566" w:rsidR="00822A36" w:rsidRPr="005474DE" w:rsidRDefault="00822A36" w:rsidP="00822A36">
      <w:pPr>
        <w:spacing w:after="0" w:line="240" w:lineRule="auto"/>
        <w:ind w:right="-93"/>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sidRPr="005651D3">
        <w:rPr>
          <w:rFonts w:ascii="Verdana" w:eastAsia="Century Gothic" w:hAnsi="Verdana" w:cs="Century Gothic"/>
        </w:rPr>
        <w:t xml:space="preserve">: </w:t>
      </w:r>
      <w:r w:rsidRPr="005474DE">
        <w:rPr>
          <w:rFonts w:ascii="Verdana" w:eastAsia="Century Gothic" w:hAnsi="Verdana" w:cs="Century Gothic"/>
        </w:rPr>
        <w:t xml:space="preserve">1. ¿Cuál es el fundamento jurídico para la limitación de los procesos contractuales a favor de las </w:t>
      </w:r>
      <w:proofErr w:type="spellStart"/>
      <w:r w:rsidRPr="005474DE">
        <w:rPr>
          <w:rFonts w:ascii="Verdana" w:eastAsia="Century Gothic" w:hAnsi="Verdana" w:cs="Century Gothic"/>
        </w:rPr>
        <w:t>Mipymes</w:t>
      </w:r>
      <w:proofErr w:type="spellEnd"/>
      <w:r w:rsidRPr="005474DE">
        <w:rPr>
          <w:rFonts w:ascii="Verdana" w:eastAsia="Century Gothic" w:hAnsi="Verdana" w:cs="Century Gothic"/>
        </w:rPr>
        <w:t xml:space="preserve">? 2. ¿Cuáles son los requisitos que deben </w:t>
      </w:r>
      <w:r w:rsidR="00842A45" w:rsidRPr="00842A45">
        <w:rPr>
          <w:rFonts w:ascii="Verdana" w:eastAsia="Century Gothic" w:hAnsi="Verdana" w:cs="Century Gothic"/>
        </w:rPr>
        <w:t>a</w:t>
      </w:r>
      <w:r w:rsidR="00842A45" w:rsidRPr="00527818">
        <w:rPr>
          <w:rFonts w:ascii="Verdana" w:eastAsia="Century Gothic" w:hAnsi="Verdana" w:cs="Century Gothic"/>
        </w:rPr>
        <w:t xml:space="preserve">creditar las </w:t>
      </w:r>
      <w:proofErr w:type="spellStart"/>
      <w:r w:rsidR="00842A45" w:rsidRPr="00527818">
        <w:rPr>
          <w:rFonts w:ascii="Verdana" w:eastAsia="Century Gothic" w:hAnsi="Verdana" w:cs="Century Gothic"/>
        </w:rPr>
        <w:t>Mipymes</w:t>
      </w:r>
      <w:proofErr w:type="spellEnd"/>
      <w:r w:rsidR="00842A45" w:rsidRPr="00527818">
        <w:rPr>
          <w:rFonts w:ascii="Verdana" w:eastAsia="Century Gothic" w:hAnsi="Verdana" w:cs="Century Gothic"/>
        </w:rPr>
        <w:t xml:space="preserve"> para participar en convocatorias limitadas</w:t>
      </w:r>
      <w:r w:rsidRPr="005474DE">
        <w:rPr>
          <w:rFonts w:ascii="Verdana" w:eastAsia="Century Gothic" w:hAnsi="Verdana" w:cs="Century Gothic"/>
        </w:rPr>
        <w:t>?</w:t>
      </w:r>
    </w:p>
    <w:p w14:paraId="2675AD97" w14:textId="77777777" w:rsidR="00822A36" w:rsidRPr="002173A4" w:rsidRDefault="00822A36" w:rsidP="00822A36">
      <w:pPr>
        <w:spacing w:after="0" w:line="240" w:lineRule="auto"/>
        <w:ind w:right="-93"/>
        <w:jc w:val="both"/>
        <w:rPr>
          <w:rFonts w:ascii="Verdana" w:hAnsi="Verdana" w:cs="ArialMT"/>
          <w:i/>
          <w:iCs/>
          <w:sz w:val="21"/>
          <w:szCs w:val="21"/>
        </w:rPr>
      </w:pPr>
    </w:p>
    <w:p w14:paraId="0B91325B" w14:textId="77777777" w:rsidR="00822A36" w:rsidRPr="00593A5F" w:rsidRDefault="00822A36" w:rsidP="00822A36">
      <w:pPr>
        <w:spacing w:after="0" w:line="276" w:lineRule="auto"/>
        <w:jc w:val="both"/>
        <w:rPr>
          <w:rFonts w:ascii="Verdana" w:eastAsia="Calibri" w:hAnsi="Verdana" w:cs="Arial"/>
          <w:color w:val="7030A0"/>
          <w:lang w:val="es-ES"/>
        </w:rPr>
      </w:pPr>
    </w:p>
    <w:p w14:paraId="5C457EE2" w14:textId="77777777" w:rsidR="00822A36" w:rsidRPr="00593A5F" w:rsidRDefault="00822A36" w:rsidP="00822A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1219C49" w14:textId="77777777" w:rsidR="00822A36" w:rsidRPr="00593A5F" w:rsidRDefault="00822A36" w:rsidP="00822A3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22A36" w:rsidRPr="00593A5F" w14:paraId="06A4FBA2" w14:textId="77777777" w:rsidTr="00E94C9A">
        <w:tc>
          <w:tcPr>
            <w:tcW w:w="8828" w:type="dxa"/>
            <w:shd w:val="clear" w:color="auto" w:fill="auto"/>
          </w:tcPr>
          <w:p w14:paraId="3652F118" w14:textId="7187F750" w:rsidR="00587133" w:rsidRDefault="00822A36" w:rsidP="00E94C9A">
            <w:pPr>
              <w:spacing w:line="276" w:lineRule="auto"/>
              <w:contextualSpacing/>
              <w:jc w:val="both"/>
              <w:rPr>
                <w:rFonts w:ascii="Verdana" w:eastAsia="Century Gothic" w:hAnsi="Verdana" w:cs="Century Gothic"/>
              </w:rPr>
            </w:pPr>
            <w:r>
              <w:rPr>
                <w:rFonts w:ascii="Verdana" w:eastAsia="Century Gothic" w:hAnsi="Verdana" w:cs="Century Gothic"/>
              </w:rPr>
              <w:t xml:space="preserve">1.Respecto al primer interrogante, es </w:t>
            </w:r>
            <w:r w:rsidR="00E9431D">
              <w:rPr>
                <w:rFonts w:ascii="Verdana" w:eastAsia="Century Gothic" w:hAnsi="Verdana" w:cs="Century Gothic"/>
              </w:rPr>
              <w:t>menester señalar</w:t>
            </w:r>
            <w:r>
              <w:rPr>
                <w:rFonts w:ascii="Verdana" w:eastAsia="Century Gothic" w:hAnsi="Verdana" w:cs="Century Gothic"/>
              </w:rPr>
              <w:t xml:space="preserve"> que </w:t>
            </w:r>
            <w:r w:rsidR="00E9431D">
              <w:rPr>
                <w:rFonts w:ascii="Verdana" w:eastAsia="Century Gothic" w:hAnsi="Verdana" w:cs="Century Gothic"/>
              </w:rPr>
              <w:t xml:space="preserve">el fundamento jurídico para la limitación de los procesos contractuales a favor de las </w:t>
            </w:r>
            <w:proofErr w:type="spellStart"/>
            <w:r w:rsidR="00E9431D">
              <w:rPr>
                <w:rFonts w:ascii="Verdana" w:eastAsia="Century Gothic" w:hAnsi="Verdana" w:cs="Century Gothic"/>
              </w:rPr>
              <w:t>Mipymes</w:t>
            </w:r>
            <w:proofErr w:type="spellEnd"/>
            <w:r w:rsidR="00E9431D">
              <w:rPr>
                <w:rFonts w:ascii="Verdana" w:eastAsia="Century Gothic" w:hAnsi="Verdana" w:cs="Century Gothic"/>
              </w:rPr>
              <w:t xml:space="preserve"> se encuentra contemplado en la Ley </w:t>
            </w:r>
            <w:r w:rsidR="00BD6874" w:rsidRPr="00527818">
              <w:rPr>
                <w:rFonts w:ascii="Verdana" w:eastAsia="Century Gothic" w:hAnsi="Verdana" w:cs="Century Gothic"/>
              </w:rPr>
              <w:t>2069 de 2020</w:t>
            </w:r>
            <w:r w:rsidR="00701E00" w:rsidRPr="00527818">
              <w:rPr>
                <w:rFonts w:ascii="Verdana" w:eastAsia="Century Gothic" w:hAnsi="Verdana" w:cs="Century Gothic"/>
              </w:rPr>
              <w:t xml:space="preserve"> y </w:t>
            </w:r>
            <w:r w:rsidR="00587133">
              <w:rPr>
                <w:rFonts w:ascii="Verdana" w:eastAsia="Century Gothic" w:hAnsi="Verdana" w:cs="Century Gothic"/>
              </w:rPr>
              <w:t>artículo</w:t>
            </w:r>
            <w:r w:rsidR="00701E00" w:rsidRPr="00482DE5">
              <w:rPr>
                <w:rFonts w:ascii="Verdana" w:eastAsia="Century Gothic" w:hAnsi="Verdana" w:cs="Century Gothic"/>
              </w:rPr>
              <w:t xml:space="preserve"> 2.2.1.2.4.2.2 y </w:t>
            </w:r>
            <w:proofErr w:type="spellStart"/>
            <w:r w:rsidR="00701E00" w:rsidRPr="00482DE5">
              <w:rPr>
                <w:rFonts w:ascii="Verdana" w:eastAsia="Century Gothic" w:hAnsi="Verdana" w:cs="Century Gothic"/>
              </w:rPr>
              <w:t>s.s</w:t>
            </w:r>
            <w:proofErr w:type="spellEnd"/>
            <w:r w:rsidR="00701E00" w:rsidRPr="00482DE5">
              <w:rPr>
                <w:rFonts w:ascii="Verdana" w:eastAsia="Century Gothic" w:hAnsi="Verdana" w:cs="Century Gothic"/>
              </w:rPr>
              <w:t xml:space="preserve"> del Decreto 1082 de 2015.</w:t>
            </w:r>
          </w:p>
          <w:p w14:paraId="5092A93A" w14:textId="77777777" w:rsidR="00446121" w:rsidRPr="00482DE5" w:rsidRDefault="00446121" w:rsidP="00E94C9A">
            <w:pPr>
              <w:spacing w:line="276" w:lineRule="auto"/>
              <w:contextualSpacing/>
              <w:jc w:val="both"/>
              <w:rPr>
                <w:rFonts w:ascii="Verdana" w:eastAsia="Century Gothic" w:hAnsi="Verdana" w:cs="Century Gothic"/>
              </w:rPr>
            </w:pPr>
          </w:p>
          <w:p w14:paraId="317583D9" w14:textId="3A2A24FC" w:rsidR="00822A36" w:rsidRDefault="00446121" w:rsidP="00E94C9A">
            <w:pPr>
              <w:spacing w:line="276" w:lineRule="auto"/>
              <w:contextualSpacing/>
              <w:jc w:val="both"/>
              <w:rPr>
                <w:rFonts w:ascii="Verdana" w:eastAsia="Century Gothic" w:hAnsi="Verdana" w:cs="Century Gothic"/>
              </w:rPr>
            </w:pPr>
            <w:r>
              <w:rPr>
                <w:rFonts w:ascii="Verdana" w:eastAsia="Century Gothic" w:hAnsi="Verdana" w:cs="Century Gothic"/>
              </w:rPr>
              <w:t>Las</w:t>
            </w:r>
            <w:r w:rsidR="00822A36">
              <w:rPr>
                <w:rFonts w:ascii="Verdana" w:eastAsia="Century Gothic" w:hAnsi="Verdana" w:cs="Century Gothic"/>
              </w:rPr>
              <w:t xml:space="preserve"> MIPYMES son unidades de explotación económica en </w:t>
            </w:r>
            <w:r w:rsidR="00822A36" w:rsidRPr="00486D9F">
              <w:rPr>
                <w:rFonts w:ascii="Verdana" w:eastAsia="Century Gothic" w:hAnsi="Verdana" w:cs="Century Gothic"/>
              </w:rPr>
              <w:t>actividades empresariales, agropecuarias, industriales, comerciales o de servicios, rural o urbana</w:t>
            </w:r>
            <w:r w:rsidR="00822A36">
              <w:rPr>
                <w:rFonts w:ascii="Verdana" w:eastAsia="Century Gothic" w:hAnsi="Verdana" w:cs="Century Gothic"/>
              </w:rPr>
              <w:t>,  las cuales fueron clasificadas directamente como estímulo a los empresarios, a fin de promover</w:t>
            </w:r>
            <w:r w:rsidR="00822A36" w:rsidRPr="00486D9F">
              <w:rPr>
                <w:rFonts w:ascii="Verdana" w:eastAsia="Century Gothic" w:hAnsi="Verdana" w:cs="Century Gothic"/>
              </w:rPr>
              <w:t xml:space="preserve"> la </w:t>
            </w:r>
            <w:r w:rsidR="00822A36">
              <w:rPr>
                <w:rFonts w:ascii="Verdana" w:eastAsia="Century Gothic" w:hAnsi="Verdana" w:cs="Century Gothic"/>
              </w:rPr>
              <w:t xml:space="preserve"> creación de micro, pequeñas  y medianas empresas, </w:t>
            </w:r>
            <w:r w:rsidR="00822A36" w:rsidRPr="00486D9F">
              <w:rPr>
                <w:rFonts w:ascii="Verdana" w:eastAsia="Century Gothic" w:hAnsi="Verdana" w:cs="Century Gothic"/>
              </w:rPr>
              <w:t>generación de empleo</w:t>
            </w:r>
            <w:r w:rsidR="00822A36">
              <w:rPr>
                <w:rFonts w:ascii="Verdana" w:eastAsia="Century Gothic" w:hAnsi="Verdana" w:cs="Century Gothic"/>
              </w:rPr>
              <w:t>, introducción hacia un mercado competitivo, c</w:t>
            </w:r>
            <w:r w:rsidR="00822A36" w:rsidRPr="00486D9F">
              <w:rPr>
                <w:rFonts w:ascii="Verdana" w:eastAsia="Century Gothic" w:hAnsi="Verdana" w:cs="Century Gothic"/>
              </w:rPr>
              <w:t>oadyuvar en el desarrollo de las organizaciones empresariales, en</w:t>
            </w:r>
            <w:r w:rsidR="00822A36">
              <w:rPr>
                <w:rFonts w:ascii="Verdana" w:eastAsia="Century Gothic" w:hAnsi="Verdana" w:cs="Century Gothic"/>
              </w:rPr>
              <w:t>caminado a</w:t>
            </w:r>
            <w:r w:rsidR="00822A36" w:rsidRPr="00486D9F">
              <w:rPr>
                <w:rFonts w:ascii="Verdana" w:eastAsia="Century Gothic" w:hAnsi="Verdana" w:cs="Century Gothic"/>
              </w:rPr>
              <w:t xml:space="preserve"> la generación de esquemas de asociatividad empresarial y en alianzas estratégicas entre las entidades públicas y privadas</w:t>
            </w:r>
            <w:r w:rsidR="00822A36">
              <w:rPr>
                <w:rFonts w:ascii="Verdana" w:eastAsia="Century Gothic" w:hAnsi="Verdana" w:cs="Century Gothic"/>
              </w:rPr>
              <w:t>.</w:t>
            </w:r>
          </w:p>
          <w:p w14:paraId="044FE1E5" w14:textId="77777777" w:rsidR="00822A36" w:rsidRDefault="00822A36" w:rsidP="00E94C9A">
            <w:pPr>
              <w:spacing w:line="276" w:lineRule="auto"/>
              <w:contextualSpacing/>
              <w:jc w:val="both"/>
              <w:rPr>
                <w:rFonts w:ascii="Verdana" w:eastAsia="Century Gothic" w:hAnsi="Verdana" w:cs="Century Gothic"/>
              </w:rPr>
            </w:pPr>
          </w:p>
          <w:p w14:paraId="09BCB26F" w14:textId="544B4B3B" w:rsidR="00822A36" w:rsidRPr="006A4100" w:rsidRDefault="00540526" w:rsidP="00E94C9A">
            <w:pPr>
              <w:spacing w:line="276" w:lineRule="auto"/>
              <w:contextualSpacing/>
              <w:jc w:val="both"/>
              <w:rPr>
                <w:rFonts w:ascii="Verdana" w:eastAsia="Century Gothic" w:hAnsi="Verdana" w:cs="Century Gothic"/>
              </w:rPr>
            </w:pPr>
            <w:r>
              <w:rPr>
                <w:rFonts w:ascii="Verdana" w:eastAsia="Century Gothic" w:hAnsi="Verdana" w:cs="Century Gothic"/>
              </w:rPr>
              <w:t xml:space="preserve">Frente al segundo interrogante planteado, </w:t>
            </w:r>
            <w:r w:rsidR="00822A36" w:rsidRPr="00B668DD">
              <w:rPr>
                <w:rFonts w:ascii="Verdana" w:eastAsia="Century Gothic" w:hAnsi="Verdana" w:cs="Century Gothic"/>
              </w:rPr>
              <w:t>el artículo 2.2.1.2.4.2.4 de</w:t>
            </w:r>
            <w:r w:rsidR="00822A36">
              <w:rPr>
                <w:rFonts w:ascii="Verdana" w:eastAsia="Century Gothic" w:hAnsi="Verdana" w:cs="Century Gothic"/>
              </w:rPr>
              <w:t xml:space="preserve">l </w:t>
            </w:r>
            <w:r>
              <w:rPr>
                <w:rFonts w:ascii="Verdana" w:eastAsia="Century Gothic" w:hAnsi="Verdana" w:cs="Century Gothic"/>
              </w:rPr>
              <w:t>D</w:t>
            </w:r>
            <w:r w:rsidR="00822A36">
              <w:rPr>
                <w:rFonts w:ascii="Verdana" w:eastAsia="Century Gothic" w:hAnsi="Verdana" w:cs="Century Gothic"/>
              </w:rPr>
              <w:t>ecreto 1082 del 2015</w:t>
            </w:r>
            <w:r w:rsidR="00822A36" w:rsidRPr="00B668DD">
              <w:rPr>
                <w:rFonts w:ascii="Verdana" w:eastAsia="Century Gothic" w:hAnsi="Verdana" w:cs="Century Gothic"/>
              </w:rPr>
              <w:t xml:space="preserve"> detalla </w:t>
            </w:r>
            <w:r w:rsidR="00822A36">
              <w:rPr>
                <w:rFonts w:ascii="Verdana" w:eastAsia="Century Gothic" w:hAnsi="Verdana" w:cs="Century Gothic"/>
              </w:rPr>
              <w:t>la</w:t>
            </w:r>
            <w:r w:rsidR="00822A36" w:rsidRPr="00B668DD">
              <w:rPr>
                <w:rFonts w:ascii="Verdana" w:eastAsia="Century Gothic" w:hAnsi="Verdana" w:cs="Century Gothic"/>
              </w:rPr>
              <w:t xml:space="preserve"> acredita</w:t>
            </w:r>
            <w:r w:rsidR="00822A36">
              <w:rPr>
                <w:rFonts w:ascii="Verdana" w:eastAsia="Century Gothic" w:hAnsi="Verdana" w:cs="Century Gothic"/>
              </w:rPr>
              <w:t>ción de</w:t>
            </w:r>
            <w:r w:rsidR="00822A36" w:rsidRPr="00B668DD">
              <w:rPr>
                <w:rFonts w:ascii="Verdana" w:eastAsia="Century Gothic" w:hAnsi="Verdana" w:cs="Century Gothic"/>
              </w:rPr>
              <w:t xml:space="preserve"> los requisitos para participar en </w:t>
            </w:r>
            <w:r w:rsidR="00822A36">
              <w:rPr>
                <w:rFonts w:ascii="Verdana" w:eastAsia="Century Gothic" w:hAnsi="Verdana" w:cs="Century Gothic"/>
              </w:rPr>
              <w:t>convoc</w:t>
            </w:r>
            <w:r w:rsidR="00822A36" w:rsidRPr="00B668DD">
              <w:rPr>
                <w:rFonts w:ascii="Verdana" w:eastAsia="Century Gothic" w:hAnsi="Verdana" w:cs="Century Gothic"/>
              </w:rPr>
              <w:t>a</w:t>
            </w:r>
            <w:r w:rsidR="00822A36">
              <w:rPr>
                <w:rFonts w:ascii="Verdana" w:eastAsia="Century Gothic" w:hAnsi="Verdana" w:cs="Century Gothic"/>
              </w:rPr>
              <w:t>torias limitadas</w:t>
            </w:r>
            <w:r w:rsidR="00822A36" w:rsidRPr="00B668DD">
              <w:rPr>
                <w:rFonts w:ascii="Verdana" w:eastAsia="Century Gothic" w:hAnsi="Verdana" w:cs="Century Gothic"/>
              </w:rPr>
              <w:t xml:space="preserve"> </w:t>
            </w:r>
            <w:r w:rsidR="00822A36">
              <w:rPr>
                <w:rFonts w:ascii="Verdana" w:eastAsia="Century Gothic" w:hAnsi="Verdana" w:cs="Century Gothic"/>
              </w:rPr>
              <w:t xml:space="preserve">a </w:t>
            </w:r>
            <w:proofErr w:type="spellStart"/>
            <w:r w:rsidR="00822A36" w:rsidRPr="00B668DD">
              <w:rPr>
                <w:rFonts w:ascii="Verdana" w:eastAsia="Century Gothic" w:hAnsi="Verdana" w:cs="Century Gothic"/>
              </w:rPr>
              <w:t>Mipymes</w:t>
            </w:r>
            <w:proofErr w:type="spellEnd"/>
            <w:r w:rsidR="00822A36" w:rsidRPr="00B668DD">
              <w:rPr>
                <w:rFonts w:ascii="Verdana" w:eastAsia="Century Gothic" w:hAnsi="Verdana" w:cs="Century Gothic"/>
              </w:rPr>
              <w:t>. En particular, el numeral 1°</w:t>
            </w:r>
            <w:r w:rsidR="00822A36">
              <w:rPr>
                <w:rFonts w:ascii="Verdana" w:eastAsia="Century Gothic" w:hAnsi="Verdana" w:cs="Century Gothic"/>
              </w:rPr>
              <w:t xml:space="preserve"> de la norma indica que </w:t>
            </w:r>
            <w:r w:rsidR="00822A36" w:rsidRPr="00B668DD">
              <w:rPr>
                <w:rFonts w:ascii="Verdana" w:eastAsia="Century Gothic" w:hAnsi="Verdana" w:cs="Century Gothic"/>
              </w:rPr>
              <w:t>para las personas naturales</w:t>
            </w:r>
            <w:r w:rsidR="00822A36">
              <w:rPr>
                <w:rFonts w:ascii="Verdana" w:eastAsia="Century Gothic" w:hAnsi="Verdana" w:cs="Century Gothic"/>
              </w:rPr>
              <w:t xml:space="preserve"> deben acreditar el tamaño empresarial mediante </w:t>
            </w:r>
            <w:r w:rsidR="00822A36" w:rsidRPr="00B668DD">
              <w:rPr>
                <w:rFonts w:ascii="Verdana" w:eastAsia="Century Gothic" w:hAnsi="Verdana" w:cs="Century Gothic"/>
              </w:rPr>
              <w:t xml:space="preserve">certificación </w:t>
            </w:r>
            <w:r w:rsidR="00822A36">
              <w:rPr>
                <w:rFonts w:ascii="Verdana" w:eastAsia="Century Gothic" w:hAnsi="Verdana" w:cs="Century Gothic"/>
              </w:rPr>
              <w:t xml:space="preserve">expedida </w:t>
            </w:r>
            <w:r w:rsidR="00822A36" w:rsidRPr="006A4100">
              <w:rPr>
                <w:rFonts w:ascii="Verdana" w:eastAsia="Century Gothic" w:hAnsi="Verdana" w:cs="Century Gothic"/>
              </w:rPr>
              <w:t xml:space="preserve">por ellos y un contador público, adjuntando copia del registro mercantil. </w:t>
            </w:r>
          </w:p>
          <w:p w14:paraId="667F233D" w14:textId="77777777" w:rsidR="006228EF" w:rsidRDefault="006228EF" w:rsidP="00E94C9A">
            <w:pPr>
              <w:spacing w:line="276" w:lineRule="auto"/>
              <w:contextualSpacing/>
              <w:jc w:val="both"/>
              <w:rPr>
                <w:rFonts w:ascii="Verdana" w:eastAsia="Century Gothic" w:hAnsi="Verdana" w:cs="Century Gothic"/>
              </w:rPr>
            </w:pPr>
          </w:p>
          <w:p w14:paraId="2C1E1B7E" w14:textId="5F4488CE" w:rsidR="006228EF" w:rsidRDefault="006228EF" w:rsidP="00E94C9A">
            <w:pPr>
              <w:spacing w:line="276" w:lineRule="auto"/>
              <w:contextualSpacing/>
              <w:jc w:val="both"/>
              <w:rPr>
                <w:rFonts w:ascii="Verdana" w:eastAsia="Century Gothic" w:hAnsi="Verdana" w:cs="Century Gothic"/>
              </w:rPr>
            </w:pPr>
            <w:r>
              <w:rPr>
                <w:rFonts w:ascii="Verdana" w:eastAsia="Century Gothic" w:hAnsi="Verdana" w:cs="Century Gothic"/>
              </w:rPr>
              <w:t xml:space="preserve">Ahora bien, cuando se trate de </w:t>
            </w:r>
            <w:r w:rsidRPr="006228EF">
              <w:rPr>
                <w:rFonts w:ascii="Verdana" w:eastAsia="Century Gothic" w:hAnsi="Verdana" w:cs="Century Gothic"/>
              </w:rPr>
              <w:t xml:space="preserve">personas jurídicas </w:t>
            </w:r>
            <w:r w:rsidR="004344BF">
              <w:rPr>
                <w:rFonts w:ascii="Verdana" w:eastAsia="Century Gothic" w:hAnsi="Verdana" w:cs="Century Gothic"/>
              </w:rPr>
              <w:t xml:space="preserve">el numeral </w:t>
            </w:r>
            <w:r w:rsidR="002A79B0">
              <w:rPr>
                <w:rFonts w:ascii="Verdana" w:eastAsia="Century Gothic" w:hAnsi="Verdana" w:cs="Century Gothic"/>
              </w:rPr>
              <w:t>segundo de la norma ibidem</w:t>
            </w:r>
            <w:r>
              <w:rPr>
                <w:rFonts w:ascii="Verdana" w:eastAsia="Century Gothic" w:hAnsi="Verdana" w:cs="Century Gothic"/>
              </w:rPr>
              <w:t xml:space="preserve"> </w:t>
            </w:r>
            <w:r w:rsidR="002A79B0">
              <w:rPr>
                <w:rFonts w:ascii="Verdana" w:eastAsia="Century Gothic" w:hAnsi="Verdana" w:cs="Century Gothic"/>
              </w:rPr>
              <w:t>señala que estas</w:t>
            </w:r>
            <w:r>
              <w:rPr>
                <w:rFonts w:ascii="Verdana" w:eastAsia="Century Gothic" w:hAnsi="Verdana" w:cs="Century Gothic"/>
              </w:rPr>
              <w:t xml:space="preserve"> </w:t>
            </w:r>
            <w:r w:rsidR="002A79B0">
              <w:rPr>
                <w:rFonts w:ascii="Verdana" w:eastAsia="Century Gothic" w:hAnsi="Verdana" w:cs="Century Gothic"/>
              </w:rPr>
              <w:t>deberán</w:t>
            </w:r>
            <w:r>
              <w:rPr>
                <w:rFonts w:ascii="Verdana" w:eastAsia="Century Gothic" w:hAnsi="Verdana" w:cs="Century Gothic"/>
              </w:rPr>
              <w:t xml:space="preserve"> aportar </w:t>
            </w:r>
            <w:r w:rsidRPr="006228EF">
              <w:rPr>
                <w:rFonts w:ascii="Verdana" w:eastAsia="Century Gothic" w:hAnsi="Verdana" w:cs="Century Gothic"/>
              </w:rPr>
              <w:t>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r>
              <w:rPr>
                <w:rStyle w:val="Refdenotaalpie"/>
                <w:rFonts w:ascii="Verdana" w:eastAsia="Century Gothic" w:hAnsi="Verdana" w:cs="Century Gothic"/>
              </w:rPr>
              <w:footnoteReference w:id="2"/>
            </w:r>
          </w:p>
          <w:p w14:paraId="6413A311" w14:textId="77777777" w:rsidR="005726A8" w:rsidRDefault="005726A8" w:rsidP="00E94C9A">
            <w:pPr>
              <w:spacing w:line="276" w:lineRule="auto"/>
              <w:contextualSpacing/>
              <w:jc w:val="both"/>
              <w:rPr>
                <w:rFonts w:ascii="Verdana" w:eastAsia="Century Gothic" w:hAnsi="Verdana" w:cs="Century Gothic"/>
              </w:rPr>
            </w:pPr>
          </w:p>
          <w:p w14:paraId="113FB5F1" w14:textId="1824AF33" w:rsidR="00822A36" w:rsidRDefault="005726A8" w:rsidP="00E94C9A">
            <w:pPr>
              <w:spacing w:line="276" w:lineRule="auto"/>
              <w:contextualSpacing/>
              <w:jc w:val="both"/>
              <w:rPr>
                <w:rFonts w:ascii="Verdana" w:eastAsia="Century Gothic" w:hAnsi="Verdana" w:cs="Century Gothic"/>
              </w:rPr>
            </w:pPr>
            <w:r>
              <w:rPr>
                <w:rFonts w:ascii="Verdana" w:eastAsia="Century Gothic" w:hAnsi="Verdana" w:cs="Century Gothic"/>
              </w:rPr>
              <w:t xml:space="preserve">Por otra parte, </w:t>
            </w:r>
            <w:r w:rsidR="00822A36">
              <w:rPr>
                <w:rFonts w:ascii="Verdana" w:eastAsia="Century Gothic" w:hAnsi="Verdana" w:cs="Century Gothic"/>
              </w:rPr>
              <w:t>e</w:t>
            </w:r>
            <w:r w:rsidR="00822A36" w:rsidRPr="00B668DD">
              <w:rPr>
                <w:rFonts w:ascii="Verdana" w:eastAsia="Century Gothic" w:hAnsi="Verdana" w:cs="Century Gothic"/>
              </w:rPr>
              <w:t xml:space="preserve">s importante señalar que la norma establece de manera clara </w:t>
            </w:r>
            <w:r w:rsidR="00AF0D39">
              <w:rPr>
                <w:rFonts w:ascii="Verdana" w:eastAsia="Century Gothic" w:hAnsi="Verdana" w:cs="Century Gothic"/>
              </w:rPr>
              <w:t>que las</w:t>
            </w:r>
            <w:r w:rsidR="007F24A9" w:rsidRPr="007F24A9">
              <w:rPr>
                <w:rFonts w:ascii="Verdana" w:eastAsia="Century Gothic" w:hAnsi="Verdana" w:cs="Century Gothic"/>
              </w:rPr>
              <w:t xml:space="preserve">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007F24A9" w:rsidRPr="007F24A9">
              <w:rPr>
                <w:rFonts w:ascii="Verdana" w:eastAsia="Century Gothic" w:hAnsi="Verdana" w:cs="Century Gothic"/>
              </w:rPr>
              <w:t>Mipyme</w:t>
            </w:r>
            <w:proofErr w:type="spellEnd"/>
            <w:r w:rsidR="007F24A9" w:rsidRPr="007F24A9">
              <w:rPr>
                <w:rFonts w:ascii="Verdana" w:eastAsia="Century Gothic" w:hAnsi="Verdana" w:cs="Century Gothic"/>
              </w:rPr>
              <w:t xml:space="preserve"> </w:t>
            </w:r>
            <w:r w:rsidR="007F24A9" w:rsidRPr="007F24A9">
              <w:rPr>
                <w:rFonts w:ascii="Verdana" w:eastAsia="Century Gothic" w:hAnsi="Verdana" w:cs="Century Gothic"/>
              </w:rPr>
              <w:lastRenderedPageBreak/>
              <w:t>colombianas con mínimo un (1) año de existencia, cuando concurran los siguientes requisitos</w:t>
            </w:r>
            <w:r w:rsidR="007F24A9">
              <w:rPr>
                <w:rFonts w:ascii="Verdana" w:eastAsia="Century Gothic" w:hAnsi="Verdana" w:cs="Century Gothic"/>
              </w:rPr>
              <w:t>:</w:t>
            </w:r>
            <w:r w:rsidR="00822A36">
              <w:rPr>
                <w:rFonts w:ascii="Verdana" w:eastAsia="Century Gothic" w:hAnsi="Verdana" w:cs="Century Gothic"/>
              </w:rPr>
              <w:t xml:space="preserve"> </w:t>
            </w:r>
          </w:p>
          <w:p w14:paraId="54339D44" w14:textId="77777777" w:rsidR="00822A36" w:rsidRDefault="00822A36" w:rsidP="00E94C9A">
            <w:pPr>
              <w:spacing w:line="276" w:lineRule="auto"/>
              <w:contextualSpacing/>
              <w:jc w:val="both"/>
              <w:rPr>
                <w:rFonts w:ascii="Verdana" w:eastAsia="Century Gothic" w:hAnsi="Verdana" w:cs="Century Gothic"/>
              </w:rPr>
            </w:pPr>
          </w:p>
          <w:p w14:paraId="5B2514D1" w14:textId="77777777" w:rsidR="00822A36" w:rsidRDefault="00822A36" w:rsidP="00E94C9A">
            <w:pPr>
              <w:spacing w:line="276" w:lineRule="auto"/>
              <w:contextualSpacing/>
              <w:jc w:val="both"/>
              <w:rPr>
                <w:rFonts w:ascii="Verdana" w:eastAsia="Century Gothic" w:hAnsi="Verdana" w:cs="Century Gothic"/>
                <w:lang w:val="es-ES"/>
              </w:rPr>
            </w:pPr>
            <w:r>
              <w:rPr>
                <w:rFonts w:ascii="Verdana" w:eastAsia="Century Gothic" w:hAnsi="Verdana" w:cs="Century Gothic"/>
              </w:rPr>
              <w:t xml:space="preserve">1. </w:t>
            </w:r>
            <w:r w:rsidRPr="00376AD7">
              <w:rPr>
                <w:rFonts w:ascii="Verdana" w:eastAsia="Century Gothic" w:hAnsi="Verdana" w:cs="Century Gothic"/>
                <w:lang w:val="es-ES"/>
              </w:rPr>
              <w:t xml:space="preserve"> El valor del Proceso de Contratación sea menor a ciento veinticinco mil dólares de los Estados Unidos de América (US$125.000), liquidados con la tasa de cambio que para el efecto determina cada dos años el Ministerio de Comercio, Industria y Turismo</w:t>
            </w:r>
            <w:bookmarkStart w:id="0" w:name="2.2.1.2.4.2.2.2"/>
            <w:bookmarkEnd w:id="0"/>
            <w:r>
              <w:rPr>
                <w:rFonts w:ascii="Verdana" w:eastAsia="Century Gothic" w:hAnsi="Verdana" w:cs="Century Gothic"/>
                <w:lang w:val="es-ES"/>
              </w:rPr>
              <w:t xml:space="preserve"> y </w:t>
            </w:r>
          </w:p>
          <w:p w14:paraId="389C6AF8" w14:textId="77777777" w:rsidR="00822A36" w:rsidRDefault="00822A36" w:rsidP="00E94C9A">
            <w:pPr>
              <w:spacing w:line="276" w:lineRule="auto"/>
              <w:contextualSpacing/>
              <w:jc w:val="both"/>
              <w:rPr>
                <w:rFonts w:ascii="Verdana" w:eastAsia="Century Gothic" w:hAnsi="Verdana" w:cs="Century Gothic"/>
              </w:rPr>
            </w:pPr>
          </w:p>
          <w:p w14:paraId="63C08C26" w14:textId="77777777" w:rsidR="00822A36" w:rsidRDefault="00822A36" w:rsidP="00E94C9A">
            <w:pPr>
              <w:spacing w:line="276" w:lineRule="auto"/>
              <w:contextualSpacing/>
              <w:jc w:val="both"/>
              <w:rPr>
                <w:rFonts w:ascii="Verdana" w:eastAsia="Century Gothic" w:hAnsi="Verdana" w:cs="Century Gothic"/>
              </w:rPr>
            </w:pPr>
            <w:r w:rsidRPr="00376AD7">
              <w:rPr>
                <w:rFonts w:ascii="Verdana" w:eastAsia="Century Gothic" w:hAnsi="Verdana" w:cs="Century Gothic"/>
              </w:rPr>
              <w:t xml:space="preserve">2. Se hayan recibido solicitudes de por lo menos dos (2) </w:t>
            </w:r>
            <w:proofErr w:type="spellStart"/>
            <w:r w:rsidRPr="00376AD7">
              <w:rPr>
                <w:rFonts w:ascii="Verdana" w:eastAsia="Century Gothic" w:hAnsi="Verdana" w:cs="Century Gothic"/>
              </w:rPr>
              <w:t>Mipyme</w:t>
            </w:r>
            <w:proofErr w:type="spellEnd"/>
            <w:r w:rsidRPr="00376AD7">
              <w:rPr>
                <w:rFonts w:ascii="Verdana" w:eastAsia="Century Gothic" w:hAnsi="Verdana" w:cs="Century Gothic"/>
              </w:rPr>
              <w:t xml:space="preserve"> colombianas para limitar la convocatoria a </w:t>
            </w:r>
            <w:proofErr w:type="spellStart"/>
            <w:r w:rsidRPr="00376AD7">
              <w:rPr>
                <w:rFonts w:ascii="Verdana" w:eastAsia="Century Gothic" w:hAnsi="Verdana" w:cs="Century Gothic"/>
              </w:rPr>
              <w:t>Mipyme</w:t>
            </w:r>
            <w:proofErr w:type="spellEnd"/>
            <w:r w:rsidRPr="00376AD7">
              <w:rPr>
                <w:rFonts w:ascii="Verdana" w:eastAsia="Century Gothic" w:hAnsi="Verdana" w:cs="Century Gothic"/>
              </w:rPr>
              <w:t xml:space="preserve"> colombianas. Las Entidades Estatales independientemente de su régimen de contratación, los patrimonios autónomos constituidos por Entidades Estatales y los particulares que ejecuten </w:t>
            </w:r>
            <w:r>
              <w:rPr>
                <w:rFonts w:ascii="Verdana" w:eastAsia="Century Gothic" w:hAnsi="Verdana" w:cs="Century Gothic"/>
              </w:rPr>
              <w:t>recursos públicos.</w:t>
            </w:r>
          </w:p>
          <w:p w14:paraId="6CCD88C2" w14:textId="77777777" w:rsidR="00822A36" w:rsidRDefault="00822A36" w:rsidP="00E94C9A">
            <w:pPr>
              <w:spacing w:line="276" w:lineRule="auto"/>
              <w:contextualSpacing/>
              <w:jc w:val="both"/>
              <w:rPr>
                <w:rFonts w:ascii="Verdana" w:eastAsia="Century Gothic" w:hAnsi="Verdana" w:cs="Century Gothic"/>
              </w:rPr>
            </w:pPr>
          </w:p>
          <w:p w14:paraId="1579C5EE" w14:textId="0A906687" w:rsidR="00317778" w:rsidRDefault="007F24A9" w:rsidP="00E94C9A">
            <w:pPr>
              <w:spacing w:line="276" w:lineRule="auto"/>
              <w:contextualSpacing/>
              <w:jc w:val="both"/>
              <w:rPr>
                <w:rFonts w:ascii="Verdana" w:eastAsia="Century Gothic" w:hAnsi="Verdana" w:cs="Century Gothic"/>
              </w:rPr>
            </w:pPr>
            <w:r>
              <w:rPr>
                <w:rFonts w:ascii="Verdana" w:eastAsia="Century Gothic" w:hAnsi="Verdana" w:cs="Century Gothic"/>
              </w:rPr>
              <w:t xml:space="preserve">Adviértase que </w:t>
            </w:r>
            <w:r w:rsidR="00BC4432">
              <w:rPr>
                <w:rFonts w:ascii="Verdana" w:eastAsia="Century Gothic" w:hAnsi="Verdana" w:cs="Century Gothic"/>
              </w:rPr>
              <w:t>la norma señala como deber</w:t>
            </w:r>
            <w:r w:rsidR="0077236C">
              <w:rPr>
                <w:rFonts w:ascii="Verdana" w:eastAsia="Century Gothic" w:hAnsi="Verdana" w:cs="Century Gothic"/>
              </w:rPr>
              <w:t xml:space="preserve"> </w:t>
            </w:r>
            <w:r w:rsidR="00BC4432">
              <w:rPr>
                <w:rFonts w:ascii="Verdana" w:eastAsia="Century Gothic" w:hAnsi="Verdana" w:cs="Century Gothic"/>
              </w:rPr>
              <w:t>la limitación</w:t>
            </w:r>
            <w:r w:rsidR="0077236C">
              <w:rPr>
                <w:rFonts w:ascii="Verdana" w:eastAsia="Century Gothic" w:hAnsi="Verdana" w:cs="Century Gothic"/>
              </w:rPr>
              <w:t xml:space="preserve"> en </w:t>
            </w:r>
            <w:r w:rsidR="00ED7D86">
              <w:rPr>
                <w:rFonts w:ascii="Verdana" w:eastAsia="Century Gothic" w:hAnsi="Verdana" w:cs="Century Gothic"/>
              </w:rPr>
              <w:t>l</w:t>
            </w:r>
            <w:r w:rsidR="0077236C">
              <w:rPr>
                <w:rFonts w:ascii="Verdana" w:eastAsia="Century Gothic" w:hAnsi="Verdana" w:cs="Century Gothic"/>
              </w:rPr>
              <w:t>os procesos de contratación donde se presenten las circunstancias previamente indicadas;</w:t>
            </w:r>
            <w:r w:rsidR="00BC4432">
              <w:rPr>
                <w:rFonts w:ascii="Verdana" w:eastAsia="Century Gothic" w:hAnsi="Verdana" w:cs="Century Gothic"/>
              </w:rPr>
              <w:t xml:space="preserve"> caso contrario sucede con la limitación territorial de que trata el </w:t>
            </w:r>
            <w:r w:rsidR="00BC4432" w:rsidRPr="00DE1D25">
              <w:rPr>
                <w:rFonts w:ascii="Verdana" w:eastAsia="Century Gothic" w:hAnsi="Verdana" w:cs="Century Gothic"/>
              </w:rPr>
              <w:t xml:space="preserve">artículo </w:t>
            </w:r>
            <w:r w:rsidR="009E67BD" w:rsidRPr="00482DE5">
              <w:rPr>
                <w:rFonts w:ascii="Verdana" w:eastAsia="Century Gothic" w:hAnsi="Verdana" w:cs="Century Gothic"/>
              </w:rPr>
              <w:t>2.2.1.2.4.2.3, pues esta</w:t>
            </w:r>
            <w:r w:rsidR="0077236C">
              <w:rPr>
                <w:rFonts w:ascii="Verdana" w:eastAsia="Century Gothic" w:hAnsi="Verdana" w:cs="Century Gothic"/>
              </w:rPr>
              <w:t xml:space="preserve">, </w:t>
            </w:r>
            <w:r w:rsidR="009E67BD" w:rsidRPr="00482DE5">
              <w:rPr>
                <w:rFonts w:ascii="Verdana" w:eastAsia="Century Gothic" w:hAnsi="Verdana" w:cs="Century Gothic"/>
              </w:rPr>
              <w:t xml:space="preserve"> es facultativa de la Entidad contratante</w:t>
            </w:r>
            <w:r w:rsidR="00DE1D25">
              <w:rPr>
                <w:rFonts w:ascii="Verdana" w:eastAsia="Century Gothic" w:hAnsi="Verdana" w:cs="Century Gothic"/>
              </w:rPr>
              <w:t xml:space="preserve"> ya que la misma norma </w:t>
            </w:r>
            <w:r w:rsidR="0077236C">
              <w:rPr>
                <w:rFonts w:ascii="Verdana" w:eastAsia="Century Gothic" w:hAnsi="Verdana" w:cs="Century Gothic"/>
              </w:rPr>
              <w:t>establece</w:t>
            </w:r>
            <w:r w:rsidR="00DE1D25">
              <w:rPr>
                <w:rFonts w:ascii="Verdana" w:eastAsia="Century Gothic" w:hAnsi="Verdana" w:cs="Century Gothic"/>
              </w:rPr>
              <w:t xml:space="preserve"> que </w:t>
            </w:r>
            <w:r w:rsidR="00DE1D25" w:rsidRPr="00482DE5">
              <w:rPr>
                <w:rFonts w:ascii="Verdana" w:eastAsia="Century Gothic" w:hAnsi="Verdana" w:cs="Century Gothic"/>
                <w:i/>
                <w:iCs/>
              </w:rPr>
              <w:t>“</w:t>
            </w:r>
            <w:r w:rsidR="00317778" w:rsidRPr="00482DE5">
              <w:rPr>
                <w:rFonts w:ascii="Verdana" w:eastAsia="Century Gothic" w:hAnsi="Verdana" w:cs="Century Gothic"/>
                <w:i/>
                <w:iCs/>
              </w:rPr>
              <w:t xml:space="preserve">(…) las Entidades Estatales, independientemente de su régimen de contratación, los patrimonios autónomos constituidos por Entidades Estatales y los particulares que ejecuten recursos públicos, </w:t>
            </w:r>
            <w:r w:rsidR="00317778" w:rsidRPr="00482DE5">
              <w:rPr>
                <w:rFonts w:ascii="Verdana" w:eastAsia="Century Gothic" w:hAnsi="Verdana" w:cs="Century Gothic"/>
                <w:b/>
                <w:bCs/>
                <w:i/>
                <w:iCs/>
              </w:rPr>
              <w:t>pueden</w:t>
            </w:r>
            <w:r w:rsidR="00317778" w:rsidRPr="00482DE5">
              <w:rPr>
                <w:rFonts w:ascii="Verdana" w:eastAsia="Century Gothic" w:hAnsi="Verdana" w:cs="Century Gothic"/>
                <w:i/>
                <w:iCs/>
              </w:rPr>
              <w:t xml:space="preserve"> realizar convocatorias limitadas a </w:t>
            </w:r>
            <w:proofErr w:type="spellStart"/>
            <w:r w:rsidR="00317778" w:rsidRPr="00482DE5">
              <w:rPr>
                <w:rFonts w:ascii="Verdana" w:eastAsia="Century Gothic" w:hAnsi="Verdana" w:cs="Century Gothic"/>
                <w:i/>
                <w:iCs/>
              </w:rPr>
              <w:t>Mipyme</w:t>
            </w:r>
            <w:proofErr w:type="spellEnd"/>
            <w:r w:rsidR="00317778" w:rsidRPr="00482DE5">
              <w:rPr>
                <w:rFonts w:ascii="Verdana" w:eastAsia="Century Gothic" w:hAnsi="Verdana" w:cs="Century Gothic"/>
                <w:i/>
                <w:iCs/>
              </w:rPr>
              <w:t xml:space="preserve"> colombianas que tengan domicilio en los departamentos o municipios en donde se va a ejecutar el contrato. (…)”</w:t>
            </w:r>
            <w:r w:rsidR="009E67BD">
              <w:rPr>
                <w:rFonts w:ascii="Verdana" w:eastAsia="Century Gothic" w:hAnsi="Verdana" w:cs="Century Gothic"/>
                <w:b/>
                <w:bCs/>
              </w:rPr>
              <w:t xml:space="preserve"> </w:t>
            </w:r>
            <w:r w:rsidR="00317778" w:rsidRPr="00482DE5">
              <w:rPr>
                <w:rFonts w:ascii="Verdana" w:eastAsia="Century Gothic" w:hAnsi="Verdana" w:cs="Century Gothic"/>
              </w:rPr>
              <w:t>(negrillas fuera del texto original)</w:t>
            </w:r>
            <w:r w:rsidR="00317778">
              <w:rPr>
                <w:rFonts w:ascii="Verdana" w:eastAsia="Century Gothic" w:hAnsi="Verdana" w:cs="Century Gothic"/>
              </w:rPr>
              <w:t>.</w:t>
            </w:r>
          </w:p>
          <w:p w14:paraId="7BA48B8F" w14:textId="77777777" w:rsidR="00317778" w:rsidRDefault="00317778" w:rsidP="00E94C9A">
            <w:pPr>
              <w:spacing w:line="276" w:lineRule="auto"/>
              <w:contextualSpacing/>
              <w:jc w:val="both"/>
              <w:rPr>
                <w:rFonts w:ascii="Verdana" w:eastAsia="Century Gothic" w:hAnsi="Verdana" w:cs="Century Gothic"/>
              </w:rPr>
            </w:pPr>
          </w:p>
          <w:p w14:paraId="49EAA372" w14:textId="1C352C4E" w:rsidR="00822A36" w:rsidRPr="00373E9B" w:rsidRDefault="00822A36" w:rsidP="00E94C9A">
            <w:pPr>
              <w:spacing w:line="276" w:lineRule="auto"/>
              <w:contextualSpacing/>
              <w:jc w:val="both"/>
              <w:rPr>
                <w:rFonts w:ascii="Verdana" w:eastAsia="Century Gothic" w:hAnsi="Verdana" w:cs="Century Gothic"/>
              </w:rPr>
            </w:pPr>
            <w:r w:rsidRPr="00373E9B">
              <w:rPr>
                <w:rFonts w:ascii="Verdana" w:hAnsi="Verdana"/>
              </w:rPr>
              <w:t>Esta precisión es importante, pues el incentivo</w:t>
            </w:r>
            <w:r w:rsidRPr="00373E9B">
              <w:rPr>
                <w:rFonts w:ascii="Verdana" w:hAnsi="Verdana"/>
                <w:spacing w:val="1"/>
              </w:rPr>
              <w:t xml:space="preserve"> </w:t>
            </w:r>
            <w:r w:rsidRPr="00373E9B">
              <w:rPr>
                <w:rFonts w:ascii="Verdana" w:hAnsi="Verdana"/>
              </w:rPr>
              <w:t xml:space="preserve">previsto en la norma únicamente aplica en el lugar de ejecución del </w:t>
            </w:r>
            <w:proofErr w:type="gramStart"/>
            <w:r w:rsidRPr="00373E9B">
              <w:rPr>
                <w:rFonts w:ascii="Verdana" w:hAnsi="Verdana"/>
              </w:rPr>
              <w:t>contrat</w:t>
            </w:r>
            <w:r w:rsidR="00301EFA">
              <w:rPr>
                <w:rFonts w:ascii="Verdana" w:hAnsi="Verdana"/>
              </w:rPr>
              <w:t xml:space="preserve">o, </w:t>
            </w:r>
            <w:r w:rsidRPr="00373E9B">
              <w:rPr>
                <w:rFonts w:ascii="Verdana" w:hAnsi="Verdana"/>
                <w:spacing w:val="-75"/>
              </w:rPr>
              <w:t xml:space="preserve"> </w:t>
            </w:r>
            <w:r w:rsidRPr="00373E9B">
              <w:rPr>
                <w:rFonts w:ascii="Verdana" w:hAnsi="Verdana"/>
              </w:rPr>
              <w:t>en</w:t>
            </w:r>
            <w:proofErr w:type="gramEnd"/>
            <w:r w:rsidRPr="00373E9B">
              <w:rPr>
                <w:rFonts w:ascii="Verdana" w:hAnsi="Verdana"/>
              </w:rPr>
              <w:t xml:space="preserve"> el que la </w:t>
            </w:r>
            <w:proofErr w:type="spellStart"/>
            <w:r w:rsidRPr="00373E9B">
              <w:rPr>
                <w:rFonts w:ascii="Verdana" w:hAnsi="Verdana"/>
              </w:rPr>
              <w:t>Mipyme</w:t>
            </w:r>
            <w:proofErr w:type="spellEnd"/>
            <w:r w:rsidRPr="00373E9B">
              <w:rPr>
                <w:rFonts w:ascii="Verdana" w:hAnsi="Verdana"/>
              </w:rPr>
              <w:t xml:space="preserve"> tiene su “domicilio”, y no en donde tiene sucursales,</w:t>
            </w:r>
            <w:r w:rsidRPr="00373E9B">
              <w:rPr>
                <w:rFonts w:ascii="Verdana" w:hAnsi="Verdana"/>
                <w:spacing w:val="1"/>
              </w:rPr>
              <w:t xml:space="preserve"> </w:t>
            </w:r>
            <w:r w:rsidRPr="00373E9B">
              <w:rPr>
                <w:rFonts w:ascii="Verdana" w:hAnsi="Verdana"/>
              </w:rPr>
              <w:t>agencias</w:t>
            </w:r>
            <w:r w:rsidRPr="00373E9B">
              <w:rPr>
                <w:rFonts w:ascii="Verdana" w:hAnsi="Verdana"/>
                <w:spacing w:val="-2"/>
              </w:rPr>
              <w:t xml:space="preserve"> </w:t>
            </w:r>
            <w:r w:rsidRPr="00373E9B">
              <w:rPr>
                <w:rFonts w:ascii="Verdana" w:hAnsi="Verdana"/>
              </w:rPr>
              <w:t>o</w:t>
            </w:r>
            <w:r w:rsidRPr="00373E9B">
              <w:rPr>
                <w:rFonts w:ascii="Verdana" w:hAnsi="Verdana"/>
                <w:spacing w:val="-2"/>
              </w:rPr>
              <w:t xml:space="preserve"> </w:t>
            </w:r>
            <w:r w:rsidRPr="00373E9B">
              <w:rPr>
                <w:rFonts w:ascii="Verdana" w:hAnsi="Verdana"/>
              </w:rPr>
              <w:t>establecimientos</w:t>
            </w:r>
            <w:r w:rsidRPr="00373E9B">
              <w:rPr>
                <w:rFonts w:ascii="Verdana" w:hAnsi="Verdana"/>
                <w:spacing w:val="-1"/>
              </w:rPr>
              <w:t xml:space="preserve"> </w:t>
            </w:r>
            <w:r w:rsidRPr="00373E9B">
              <w:rPr>
                <w:rFonts w:ascii="Verdana" w:hAnsi="Verdana"/>
              </w:rPr>
              <w:t>de</w:t>
            </w:r>
            <w:r w:rsidRPr="00373E9B">
              <w:rPr>
                <w:rFonts w:ascii="Verdana" w:hAnsi="Verdana"/>
                <w:spacing w:val="-2"/>
              </w:rPr>
              <w:t xml:space="preserve"> </w:t>
            </w:r>
            <w:r w:rsidRPr="00373E9B">
              <w:rPr>
                <w:rFonts w:ascii="Verdana" w:hAnsi="Verdana"/>
              </w:rPr>
              <w:t>comercio.</w:t>
            </w:r>
          </w:p>
          <w:p w14:paraId="498D2880" w14:textId="77777777" w:rsidR="00822A36" w:rsidRPr="00CE1276" w:rsidRDefault="00822A36" w:rsidP="00E94C9A">
            <w:pPr>
              <w:spacing w:line="276" w:lineRule="auto"/>
              <w:contextualSpacing/>
              <w:jc w:val="both"/>
              <w:rPr>
                <w:rFonts w:ascii="Verdana" w:eastAsia="Century Gothic" w:hAnsi="Verdana" w:cs="Century Gothic"/>
              </w:rPr>
            </w:pPr>
          </w:p>
          <w:p w14:paraId="47579968" w14:textId="77777777" w:rsidR="00822A36" w:rsidRPr="00A879B2" w:rsidRDefault="00822A36" w:rsidP="00E94C9A">
            <w:pPr>
              <w:spacing w:line="276" w:lineRule="auto"/>
              <w:contextualSpacing/>
              <w:jc w:val="both"/>
              <w:rPr>
                <w:rFonts w:ascii="Verdana" w:eastAsia="Century Gothic" w:hAnsi="Verdana" w:cs="Century Gothic"/>
              </w:rPr>
            </w:pPr>
            <w:r>
              <w:rPr>
                <w:rFonts w:ascii="Verdana" w:eastAsia="Century Gothic" w:hAnsi="Verdana" w:cs="Century Gothic"/>
              </w:rPr>
              <w:t>Finalmente, en aras de resolver dudas respecto al tema objeto de consulta la Agencia extiende la invitación de consultar la “</w:t>
            </w:r>
            <w:r w:rsidRPr="00EE54D4">
              <w:rPr>
                <w:rFonts w:ascii="Verdana" w:eastAsia="Century Gothic" w:hAnsi="Verdana" w:cs="Century Gothic"/>
              </w:rPr>
              <w:t>GUÍA PARA PROMOVER LA PARTICIPACIÓN DE LAS MIPYMES EN LOS PROCESOS DE COMPRA Y CONTRATACIÓN PÚBLICA</w:t>
            </w:r>
            <w:r>
              <w:rPr>
                <w:rStyle w:val="Refdenotaalpie"/>
                <w:rFonts w:ascii="Verdana" w:eastAsia="Century Gothic" w:hAnsi="Verdana" w:cs="Century Gothic"/>
              </w:rPr>
              <w:footnoteReference w:id="3"/>
            </w:r>
          </w:p>
        </w:tc>
      </w:tr>
    </w:tbl>
    <w:p w14:paraId="025628F5" w14:textId="77777777" w:rsidR="00822A36" w:rsidRPr="00593A5F" w:rsidRDefault="00822A36" w:rsidP="00822A36">
      <w:pPr>
        <w:tabs>
          <w:tab w:val="left" w:pos="142"/>
          <w:tab w:val="left" w:pos="284"/>
        </w:tabs>
        <w:spacing w:after="0" w:line="276" w:lineRule="auto"/>
        <w:jc w:val="both"/>
        <w:rPr>
          <w:rFonts w:ascii="Verdana" w:eastAsia="Century Gothic" w:hAnsi="Verdana" w:cs="Century Gothic"/>
          <w:b/>
          <w:bCs/>
          <w:lang w:val="es-ES"/>
        </w:rPr>
      </w:pPr>
    </w:p>
    <w:p w14:paraId="3E6DEDD6" w14:textId="77777777" w:rsidR="00822A36" w:rsidRPr="00593A5F" w:rsidRDefault="00822A36" w:rsidP="00822A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1A49F261" w14:textId="77777777" w:rsidR="00822A36" w:rsidRPr="00593A5F" w:rsidRDefault="00822A36" w:rsidP="00822A36">
      <w:pPr>
        <w:spacing w:after="0" w:line="276" w:lineRule="auto"/>
        <w:jc w:val="both"/>
        <w:rPr>
          <w:rFonts w:ascii="Verdana" w:eastAsia="Calibri" w:hAnsi="Verdana" w:cs="Arial"/>
          <w:color w:val="7030A0"/>
          <w:lang w:val="es-ES"/>
        </w:rPr>
      </w:pPr>
    </w:p>
    <w:p w14:paraId="21E4303B" w14:textId="77777777" w:rsidR="00822A36" w:rsidRDefault="00822A36" w:rsidP="00822A36">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A1B1BBA" w14:textId="77777777" w:rsidR="00822A36" w:rsidRDefault="00822A36" w:rsidP="00822A36">
      <w:pPr>
        <w:spacing w:after="0" w:line="276" w:lineRule="auto"/>
        <w:jc w:val="both"/>
        <w:rPr>
          <w:rFonts w:ascii="Verdana" w:eastAsia="Calibri" w:hAnsi="Verdana" w:cs="Arial"/>
          <w:lang w:val="es-ES"/>
        </w:rPr>
      </w:pPr>
    </w:p>
    <w:p w14:paraId="0D0395AD" w14:textId="77777777" w:rsidR="00822A36" w:rsidRDefault="00822A36" w:rsidP="00822A36">
      <w:pPr>
        <w:spacing w:after="0" w:line="276" w:lineRule="auto"/>
        <w:jc w:val="both"/>
        <w:rPr>
          <w:rFonts w:ascii="Verdana" w:eastAsia="Calibri" w:hAnsi="Verdana" w:cs="Arial"/>
        </w:rPr>
      </w:pPr>
      <w:r>
        <w:rPr>
          <w:rFonts w:ascii="Verdana" w:eastAsia="Calibri" w:hAnsi="Verdana" w:cs="Arial"/>
          <w:lang w:val="es-ES"/>
        </w:rPr>
        <w:t xml:space="preserve">Que el artículo 43 de la Ley 1450 de 2011 modificó el </w:t>
      </w:r>
      <w:r w:rsidRPr="009527F7">
        <w:rPr>
          <w:rFonts w:ascii="Verdana" w:eastAsia="Calibri" w:hAnsi="Verdana" w:cs="Arial"/>
        </w:rPr>
        <w:t xml:space="preserve">artículo </w:t>
      </w:r>
      <w:proofErr w:type="gramStart"/>
      <w:r w:rsidRPr="009527F7">
        <w:rPr>
          <w:rFonts w:ascii="Verdana" w:eastAsia="Calibri" w:hAnsi="Verdana" w:cs="Arial"/>
        </w:rPr>
        <w:t xml:space="preserve">2 </w:t>
      </w:r>
      <w:r>
        <w:rPr>
          <w:rFonts w:ascii="Verdana" w:eastAsia="Calibri" w:hAnsi="Verdana" w:cs="Arial"/>
        </w:rPr>
        <w:t xml:space="preserve"> </w:t>
      </w:r>
      <w:r>
        <w:rPr>
          <w:rFonts w:ascii="Verdana" w:eastAsia="Calibri" w:hAnsi="Verdana" w:cs="Arial"/>
          <w:lang w:val="es-ES"/>
        </w:rPr>
        <w:t>de</w:t>
      </w:r>
      <w:proofErr w:type="gramEnd"/>
      <w:r>
        <w:rPr>
          <w:rFonts w:ascii="Verdana" w:eastAsia="Calibri" w:hAnsi="Verdana" w:cs="Arial"/>
          <w:lang w:val="es-ES"/>
        </w:rPr>
        <w:t xml:space="preserve"> la L</w:t>
      </w:r>
      <w:r w:rsidRPr="009527F7">
        <w:rPr>
          <w:rFonts w:ascii="Verdana" w:eastAsia="Calibri" w:hAnsi="Verdana" w:cs="Arial"/>
          <w:lang w:val="es-ES"/>
        </w:rPr>
        <w:t xml:space="preserve">ey 590 de 2000 </w:t>
      </w:r>
      <w:r w:rsidRPr="00913A40">
        <w:rPr>
          <w:rFonts w:ascii="Verdana" w:eastAsia="Calibri" w:hAnsi="Verdana" w:cs="Arial"/>
          <w:lang w:val="es-ES"/>
        </w:rPr>
        <w:t xml:space="preserve"> </w:t>
      </w:r>
      <w:r w:rsidRPr="009527F7">
        <w:rPr>
          <w:rFonts w:ascii="Verdana" w:eastAsia="Calibri" w:hAnsi="Verdana" w:cs="Arial"/>
          <w:lang w:val="es-ES"/>
        </w:rPr>
        <w:t>“</w:t>
      </w:r>
      <w:r w:rsidRPr="002024BF">
        <w:rPr>
          <w:rFonts w:ascii="Verdana" w:eastAsia="Calibri" w:hAnsi="Verdana" w:cs="Arial"/>
        </w:rPr>
        <w:t>Por la cual se dictan disposiciones para promover el desarrollo de las micro, pequeñas y medianas empresa",</w:t>
      </w:r>
      <w:r>
        <w:rPr>
          <w:rFonts w:ascii="Verdana" w:eastAsia="Calibri" w:hAnsi="Verdana" w:cs="Arial"/>
        </w:rPr>
        <w:t xml:space="preserve"> en el cual se definió el concepto </w:t>
      </w:r>
      <w:r w:rsidRPr="009527F7">
        <w:rPr>
          <w:rFonts w:ascii="Verdana" w:eastAsia="Calibri" w:hAnsi="Verdana" w:cs="Arial"/>
        </w:rPr>
        <w:t xml:space="preserve"> </w:t>
      </w:r>
      <w:r>
        <w:rPr>
          <w:rFonts w:ascii="Verdana" w:eastAsia="Calibri" w:hAnsi="Verdana" w:cs="Arial"/>
        </w:rPr>
        <w:t>de</w:t>
      </w:r>
      <w:r w:rsidRPr="009527F7">
        <w:rPr>
          <w:rFonts w:ascii="Verdana" w:eastAsia="Calibri" w:hAnsi="Verdana" w:cs="Arial"/>
        </w:rPr>
        <w:t xml:space="preserve"> micro, pequeñas y mediana empresa</w:t>
      </w:r>
      <w:r>
        <w:rPr>
          <w:rFonts w:ascii="Verdana" w:eastAsia="Calibri" w:hAnsi="Verdana" w:cs="Arial"/>
        </w:rPr>
        <w:t>.</w:t>
      </w:r>
      <w:r w:rsidRPr="009527F7">
        <w:rPr>
          <w:rFonts w:ascii="Verdana" w:eastAsia="Calibri" w:hAnsi="Verdana" w:cs="Arial"/>
        </w:rPr>
        <w:t xml:space="preserve"> </w:t>
      </w:r>
      <w:r>
        <w:rPr>
          <w:rFonts w:ascii="Verdana" w:eastAsia="Calibri" w:hAnsi="Verdana" w:cs="Arial"/>
        </w:rPr>
        <w:t>E</w:t>
      </w:r>
      <w:r w:rsidRPr="009527F7">
        <w:rPr>
          <w:rFonts w:ascii="Verdana" w:eastAsia="Calibri" w:hAnsi="Verdana" w:cs="Arial"/>
        </w:rPr>
        <w:t xml:space="preserve">n ese sentido </w:t>
      </w:r>
      <w:r>
        <w:rPr>
          <w:rFonts w:ascii="Verdana" w:eastAsia="Calibri" w:hAnsi="Verdana" w:cs="Arial"/>
        </w:rPr>
        <w:t xml:space="preserve">integró a la definición de </w:t>
      </w:r>
      <w:proofErr w:type="spellStart"/>
      <w:r>
        <w:rPr>
          <w:rFonts w:ascii="Verdana" w:eastAsia="Calibri" w:hAnsi="Verdana" w:cs="Arial"/>
        </w:rPr>
        <w:t>mipyme</w:t>
      </w:r>
      <w:proofErr w:type="spellEnd"/>
      <w:r>
        <w:rPr>
          <w:rFonts w:ascii="Verdana" w:eastAsia="Calibri" w:hAnsi="Verdana" w:cs="Arial"/>
        </w:rPr>
        <w:t xml:space="preserve"> a la persona natural y jurídica de la siguiente manera:</w:t>
      </w:r>
    </w:p>
    <w:p w14:paraId="5D91BEED" w14:textId="77777777" w:rsidR="00822A36" w:rsidRDefault="00822A36" w:rsidP="00822A36">
      <w:pPr>
        <w:spacing w:after="0" w:line="276" w:lineRule="auto"/>
        <w:jc w:val="both"/>
        <w:rPr>
          <w:rFonts w:ascii="Verdana" w:eastAsia="Calibri" w:hAnsi="Verdana" w:cs="Arial"/>
        </w:rPr>
      </w:pPr>
    </w:p>
    <w:p w14:paraId="3B5662F7" w14:textId="77777777" w:rsidR="00822A36" w:rsidRPr="002024BF" w:rsidRDefault="00822A36" w:rsidP="00822A36">
      <w:pPr>
        <w:spacing w:after="0" w:line="276" w:lineRule="auto"/>
        <w:jc w:val="both"/>
        <w:rPr>
          <w:rFonts w:ascii="Verdana" w:eastAsia="Calibri" w:hAnsi="Verdana" w:cs="Arial"/>
          <w:i/>
          <w:iCs/>
        </w:rPr>
      </w:pPr>
      <w:r>
        <w:rPr>
          <w:rFonts w:ascii="Verdana" w:eastAsia="Calibri" w:hAnsi="Verdana" w:cs="Arial"/>
        </w:rPr>
        <w:t xml:space="preserve">“(…) </w:t>
      </w:r>
      <w:r w:rsidRPr="002024BF">
        <w:rPr>
          <w:rFonts w:ascii="Verdana" w:eastAsia="Calibri" w:hAnsi="Verdana" w:cs="Arial"/>
          <w:i/>
          <w:iCs/>
        </w:rPr>
        <w:t>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7C1F618A" w14:textId="77777777" w:rsidR="00822A36" w:rsidRPr="002024BF" w:rsidRDefault="00822A36" w:rsidP="00822A36">
      <w:pPr>
        <w:spacing w:after="0" w:line="276" w:lineRule="auto"/>
        <w:rPr>
          <w:rFonts w:ascii="Verdana" w:eastAsia="Calibri" w:hAnsi="Verdana" w:cs="Arial"/>
          <w:i/>
          <w:iCs/>
        </w:rPr>
      </w:pPr>
    </w:p>
    <w:p w14:paraId="5AEDD3BB" w14:textId="77777777" w:rsidR="00822A36" w:rsidRPr="002024BF" w:rsidRDefault="00822A36" w:rsidP="00822A36">
      <w:pPr>
        <w:spacing w:after="0" w:line="276" w:lineRule="auto"/>
        <w:jc w:val="both"/>
        <w:rPr>
          <w:rFonts w:ascii="Verdana" w:eastAsia="Calibri" w:hAnsi="Verdana" w:cs="Arial"/>
          <w:i/>
          <w:iCs/>
        </w:rPr>
      </w:pPr>
      <w:r w:rsidRPr="002024BF">
        <w:rPr>
          <w:rFonts w:ascii="Verdana" w:eastAsia="Calibri" w:hAnsi="Verdana" w:cs="Arial"/>
          <w:i/>
          <w:iCs/>
        </w:rPr>
        <w:t>1. Número de trabajadores totales.</w:t>
      </w:r>
    </w:p>
    <w:p w14:paraId="70E09CA6" w14:textId="77777777" w:rsidR="00822A36" w:rsidRPr="002024BF" w:rsidRDefault="00822A36" w:rsidP="00822A36">
      <w:pPr>
        <w:spacing w:after="0" w:line="276" w:lineRule="auto"/>
        <w:jc w:val="both"/>
        <w:rPr>
          <w:rFonts w:ascii="Verdana" w:eastAsia="Calibri" w:hAnsi="Verdana" w:cs="Arial"/>
          <w:i/>
          <w:iCs/>
        </w:rPr>
      </w:pPr>
      <w:r w:rsidRPr="002024BF">
        <w:rPr>
          <w:rFonts w:ascii="Verdana" w:eastAsia="Calibri" w:hAnsi="Verdana" w:cs="Arial"/>
          <w:i/>
          <w:iCs/>
        </w:rPr>
        <w:t>2. Valor de ventas brutas anuales.</w:t>
      </w:r>
    </w:p>
    <w:p w14:paraId="73E685D6" w14:textId="77777777" w:rsidR="00822A36" w:rsidRPr="002024BF" w:rsidRDefault="00822A36" w:rsidP="00822A36">
      <w:pPr>
        <w:spacing w:after="0" w:line="276" w:lineRule="auto"/>
        <w:jc w:val="both"/>
        <w:rPr>
          <w:rFonts w:ascii="Verdana" w:eastAsia="Calibri" w:hAnsi="Verdana" w:cs="Arial"/>
          <w:i/>
          <w:iCs/>
        </w:rPr>
      </w:pPr>
      <w:r w:rsidRPr="002024BF">
        <w:rPr>
          <w:rFonts w:ascii="Verdana" w:eastAsia="Calibri" w:hAnsi="Verdana" w:cs="Arial"/>
          <w:i/>
          <w:iCs/>
        </w:rPr>
        <w:t>3. Valor activos totales.</w:t>
      </w:r>
    </w:p>
    <w:p w14:paraId="6DA9548E" w14:textId="77777777" w:rsidR="00822A36" w:rsidRPr="002024BF" w:rsidRDefault="00822A36" w:rsidP="00822A36">
      <w:pPr>
        <w:spacing w:after="0" w:line="276" w:lineRule="auto"/>
        <w:jc w:val="both"/>
        <w:rPr>
          <w:rFonts w:ascii="Verdana" w:eastAsia="Calibri" w:hAnsi="Verdana" w:cs="Arial"/>
          <w:i/>
          <w:iCs/>
        </w:rPr>
      </w:pPr>
    </w:p>
    <w:p w14:paraId="141DC87F" w14:textId="77777777" w:rsidR="00822A36" w:rsidRPr="002024BF" w:rsidRDefault="00822A36" w:rsidP="00822A36">
      <w:pPr>
        <w:spacing w:after="0" w:line="276" w:lineRule="auto"/>
        <w:jc w:val="both"/>
        <w:rPr>
          <w:rFonts w:ascii="Verdana" w:eastAsia="Calibri" w:hAnsi="Verdana" w:cs="Arial"/>
          <w:i/>
          <w:iCs/>
        </w:rPr>
      </w:pPr>
      <w:r w:rsidRPr="002024BF">
        <w:rPr>
          <w:rFonts w:ascii="Verdana" w:eastAsia="Calibri" w:hAnsi="Verdana" w:cs="Arial"/>
          <w:i/>
          <w:iCs/>
        </w:rPr>
        <w:t>Para efectos de los beneficios otorgados por el Gobierno nacional a las micro, pequeñas y medianas empresas el criterio determinante será el valor de ventas brutas anuales. (…)”</w:t>
      </w:r>
    </w:p>
    <w:p w14:paraId="55A15BD2" w14:textId="77777777" w:rsidR="00822A36" w:rsidRPr="002024BF" w:rsidRDefault="00822A36" w:rsidP="00822A36">
      <w:pPr>
        <w:spacing w:after="0" w:line="276" w:lineRule="auto"/>
        <w:jc w:val="both"/>
        <w:rPr>
          <w:rFonts w:ascii="Verdana" w:eastAsia="Calibri" w:hAnsi="Verdana" w:cs="Arial"/>
          <w:i/>
          <w:iCs/>
        </w:rPr>
      </w:pPr>
    </w:p>
    <w:p w14:paraId="2A4C5D29" w14:textId="77777777" w:rsidR="00822A36" w:rsidRPr="00373E9B" w:rsidRDefault="00822A36" w:rsidP="00822A36">
      <w:pPr>
        <w:spacing w:after="0" w:line="276" w:lineRule="auto"/>
        <w:jc w:val="both"/>
        <w:rPr>
          <w:rFonts w:ascii="Verdana" w:eastAsia="Calibri" w:hAnsi="Verdana" w:cs="Arial"/>
        </w:rPr>
      </w:pPr>
      <w:r>
        <w:rPr>
          <w:rFonts w:ascii="Verdana" w:eastAsia="Calibri" w:hAnsi="Verdana" w:cs="Arial"/>
        </w:rPr>
        <w:t>Así mismo, la definición del tamaño empresarial para constituirse como pequeña, micro y mediana empresa corresponderá a lo señalado en el artículo 2.2.1.13.2.2 del Decreto 957 de 2019, el cual prescribe:</w:t>
      </w:r>
    </w:p>
    <w:p w14:paraId="4E9EA784" w14:textId="77777777" w:rsidR="00822A36" w:rsidRPr="002024BF" w:rsidRDefault="00822A36" w:rsidP="00822A36">
      <w:pPr>
        <w:spacing w:after="0" w:line="276" w:lineRule="auto"/>
        <w:jc w:val="both"/>
        <w:rPr>
          <w:rFonts w:ascii="Verdana" w:eastAsia="Calibri" w:hAnsi="Verdana" w:cs="Arial"/>
          <w:i/>
          <w:iCs/>
          <w:sz w:val="20"/>
          <w:szCs w:val="20"/>
        </w:rPr>
      </w:pPr>
    </w:p>
    <w:p w14:paraId="378D4094"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“ARTÍCULO 2.2.1.13.2.2.</w:t>
      </w:r>
      <w:r w:rsidRPr="002024BF">
        <w:rPr>
          <w:rFonts w:ascii="Verdana" w:eastAsia="Calibri" w:hAnsi="Verdana" w:cs="Arial"/>
          <w:i/>
          <w:iCs/>
          <w:sz w:val="20"/>
          <w:szCs w:val="20"/>
        </w:rPr>
        <w:t> 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40F34E80"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51174B15"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1. Para el sector manufacturero:</w:t>
      </w:r>
    </w:p>
    <w:p w14:paraId="05A84285"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230C8C49"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lastRenderedPageBreak/>
        <w:t>Microempresa.</w:t>
      </w:r>
      <w:r w:rsidRPr="002024BF">
        <w:rPr>
          <w:rFonts w:ascii="Verdana" w:eastAsia="Calibri" w:hAnsi="Verdana" w:cs="Arial"/>
          <w:i/>
          <w:iCs/>
          <w:sz w:val="20"/>
          <w:szCs w:val="20"/>
        </w:rPr>
        <w:t> Aquella cuyos ingresos por actividades ordinarias anuales sean inferiores o iguales a veintitrés mil quinientos sesenta y tres Unidades de Valor Tributario (23.563 UVT).</w:t>
      </w:r>
    </w:p>
    <w:p w14:paraId="336E8731"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32451EE5"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Pequeña Empresa.</w:t>
      </w:r>
      <w:r w:rsidRPr="002024BF">
        <w:rPr>
          <w:rFonts w:ascii="Verdana" w:eastAsia="Calibri" w:hAnsi="Verdana" w:cs="Arial"/>
          <w:i/>
          <w:iCs/>
          <w:sz w:val="20"/>
          <w:szCs w:val="20"/>
        </w:rPr>
        <w:t>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20BF0498"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5B20070B"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Mediana Empresa.</w:t>
      </w:r>
      <w:r w:rsidRPr="002024BF">
        <w:rPr>
          <w:rFonts w:ascii="Verdana" w:eastAsia="Calibri" w:hAnsi="Verdana" w:cs="Arial"/>
          <w:i/>
          <w:iCs/>
          <w:sz w:val="20"/>
          <w:szCs w:val="20"/>
        </w:rPr>
        <w:t>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76BB2A4D"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0552CF1A"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2. Para el sector servicios:</w:t>
      </w:r>
    </w:p>
    <w:p w14:paraId="54DFC720"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 </w:t>
      </w:r>
    </w:p>
    <w:p w14:paraId="27E6F6AF"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Microempresa.</w:t>
      </w:r>
      <w:r w:rsidRPr="002024BF">
        <w:rPr>
          <w:rFonts w:ascii="Verdana" w:eastAsia="Calibri" w:hAnsi="Verdana" w:cs="Arial"/>
          <w:i/>
          <w:iCs/>
          <w:sz w:val="20"/>
          <w:szCs w:val="20"/>
        </w:rPr>
        <w:t> Aquella cuyos ingresos por actividades ordinarias anuales sean inferiores o iguales a treinta y dos mil novecientos ochenta y ocho Unidades de Valor Tributario (32.988 UVT).</w:t>
      </w:r>
    </w:p>
    <w:p w14:paraId="62926C2B"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 </w:t>
      </w:r>
    </w:p>
    <w:p w14:paraId="264C8A3C"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Pequeña Empresa.</w:t>
      </w:r>
      <w:r w:rsidRPr="002024BF">
        <w:rPr>
          <w:rFonts w:ascii="Verdana" w:eastAsia="Calibri" w:hAnsi="Verdana" w:cs="Arial"/>
          <w:i/>
          <w:iCs/>
          <w:sz w:val="20"/>
          <w:szCs w:val="20"/>
        </w:rPr>
        <w:t>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615FE6C1"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3724547A"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Mediana Empresa.</w:t>
      </w:r>
      <w:r w:rsidRPr="002024BF">
        <w:rPr>
          <w:rFonts w:ascii="Verdana" w:eastAsia="Calibri" w:hAnsi="Verdana" w:cs="Arial"/>
          <w:i/>
          <w:iCs/>
          <w:sz w:val="20"/>
          <w:szCs w:val="20"/>
        </w:rPr>
        <w:t>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07C9A869"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5E4E80AF"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3. Para el sector de comercio:</w:t>
      </w:r>
    </w:p>
    <w:p w14:paraId="04ABB0CA"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Microempresa. Aquella cuyos ingresos por actividades ordinarias anuales sean inferiores o iguales a cuarenta y cuatro mil setecientos sesenta y nueve Unidades de Valor Tributario (44.769 UVT).</w:t>
      </w:r>
    </w:p>
    <w:p w14:paraId="49A9E87C"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1648B23E"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Pequeña Empresa</w:t>
      </w:r>
      <w:r w:rsidRPr="002024BF">
        <w:rPr>
          <w:rFonts w:ascii="Verdana" w:eastAsia="Calibri" w:hAnsi="Verdana" w:cs="Arial"/>
          <w:i/>
          <w:iCs/>
          <w:sz w:val="20"/>
          <w:szCs w:val="20"/>
        </w:rPr>
        <w:t>.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7DEABC27"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314116E2"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lastRenderedPageBreak/>
        <w:t>Mediana Empresa.</w:t>
      </w:r>
      <w:r w:rsidRPr="002024BF">
        <w:rPr>
          <w:rFonts w:ascii="Verdana" w:eastAsia="Calibri" w:hAnsi="Verdana" w:cs="Arial"/>
          <w:i/>
          <w:iCs/>
          <w:sz w:val="20"/>
          <w:szCs w:val="20"/>
        </w:rPr>
        <w:t>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2917B98A"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0E35AA05"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PARÁGRAFO 1.</w:t>
      </w:r>
      <w:r w:rsidRPr="002024BF">
        <w:rPr>
          <w:rFonts w:ascii="Verdana" w:eastAsia="Calibri" w:hAnsi="Verdana" w:cs="Arial"/>
          <w:i/>
          <w:iCs/>
          <w:sz w:val="20"/>
          <w:szCs w:val="20"/>
        </w:rPr>
        <w:t> Se considera gran empresa aquella que tiene ingresos por actividades ordinarias anuales mayores al rango superior de las medianas empresas, en cada uno de los sectores económicos descritos anteriormente.</w:t>
      </w:r>
    </w:p>
    <w:p w14:paraId="3BC82ED9"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09BA1B0B"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PARÁGRAFO 2.</w:t>
      </w:r>
      <w:r w:rsidRPr="002024BF">
        <w:rPr>
          <w:rFonts w:ascii="Verdana" w:eastAsia="Calibri" w:hAnsi="Verdana" w:cs="Arial"/>
          <w:i/>
          <w:iCs/>
          <w:sz w:val="20"/>
          <w:szCs w:val="20"/>
        </w:rPr>
        <w:t> Para aquella empresa cuya actividad principal no corresponda exclusivamente a uno de los anteriores sectores, los rangos a aplicar serán aquellos previstos para el sector manufacturero.</w:t>
      </w:r>
    </w:p>
    <w:p w14:paraId="43AC312A"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3FE6ECA1"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PARÁGRAFO 3.</w:t>
      </w:r>
      <w:r w:rsidRPr="002024BF">
        <w:rPr>
          <w:rFonts w:ascii="Verdana" w:eastAsia="Calibri" w:hAnsi="Verdana" w:cs="Arial"/>
          <w:i/>
          <w:iCs/>
          <w:sz w:val="20"/>
          <w:szCs w:val="20"/>
        </w:rPr>
        <w:t> Cuando los ingresos de la empresa provengan de más de uno de los sectores contemplados en el presente Capítulo, se considerará la actividad del sector económico cuyos ingresos hayan sido más altos.</w:t>
      </w:r>
    </w:p>
    <w:p w14:paraId="1910A433"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2E77E57C" w14:textId="77777777" w:rsidR="00822A36" w:rsidRPr="002024BF" w:rsidRDefault="00822A36" w:rsidP="00822A36">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PARÁGRAFO 4. EL</w:t>
      </w:r>
      <w:r w:rsidRPr="002024BF">
        <w:rPr>
          <w:rFonts w:ascii="Verdana" w:eastAsia="Calibri" w:hAnsi="Verdana" w:cs="Arial"/>
          <w:i/>
          <w:iCs/>
          <w:sz w:val="20"/>
          <w:szCs w:val="20"/>
        </w:rPr>
        <w:t xml:space="preserve"> Ministerio de Comercio, Industria y Turismo, en conjunto con el Departamento Nacional de Estadística -DANE-, a la fecha de la </w:t>
      </w:r>
      <w:proofErr w:type="gramStart"/>
      <w:r w:rsidRPr="002024BF">
        <w:rPr>
          <w:rFonts w:ascii="Verdana" w:eastAsia="Calibri" w:hAnsi="Verdana" w:cs="Arial"/>
          <w:i/>
          <w:iCs/>
          <w:sz w:val="20"/>
          <w:szCs w:val="20"/>
        </w:rPr>
        <w:t>entrada en vigencia</w:t>
      </w:r>
      <w:proofErr w:type="gramEnd"/>
      <w:r w:rsidRPr="002024BF">
        <w:rPr>
          <w:rFonts w:ascii="Verdana" w:eastAsia="Calibri" w:hAnsi="Verdana" w:cs="Arial"/>
          <w:i/>
          <w:iCs/>
          <w:sz w:val="20"/>
          <w:szCs w:val="20"/>
        </w:rPr>
        <w:t xml:space="preserve"> del presente Capitulo establecerá, mediante acto administrativo, el anexo técnico de correspondencia de los tres sectores, manufactura, comercio y servicios con la Clasificación de las Actividades Económicas - </w:t>
      </w:r>
      <w:proofErr w:type="spellStart"/>
      <w:r w:rsidRPr="002024BF">
        <w:rPr>
          <w:rFonts w:ascii="Verdana" w:eastAsia="Calibri" w:hAnsi="Verdana" w:cs="Arial"/>
          <w:i/>
          <w:iCs/>
          <w:sz w:val="20"/>
          <w:szCs w:val="20"/>
        </w:rPr>
        <w:t>CllU</w:t>
      </w:r>
      <w:proofErr w:type="spellEnd"/>
      <w:r w:rsidRPr="002024BF">
        <w:rPr>
          <w:rFonts w:ascii="Verdana" w:eastAsia="Calibri" w:hAnsi="Verdana" w:cs="Arial"/>
          <w:i/>
          <w:iCs/>
          <w:sz w:val="20"/>
          <w:szCs w:val="20"/>
        </w:rPr>
        <w:t xml:space="preserve"> Revisión 4. (…)”</w:t>
      </w:r>
    </w:p>
    <w:p w14:paraId="48AB9F49" w14:textId="77777777" w:rsidR="00822A36" w:rsidRPr="00913A40" w:rsidRDefault="00822A36" w:rsidP="00822A36">
      <w:pPr>
        <w:spacing w:after="0" w:line="276" w:lineRule="auto"/>
        <w:jc w:val="both"/>
        <w:rPr>
          <w:rFonts w:ascii="Verdana" w:eastAsia="Calibri" w:hAnsi="Verdana" w:cs="Arial"/>
        </w:rPr>
      </w:pPr>
    </w:p>
    <w:p w14:paraId="7B0A9A2B" w14:textId="77777777" w:rsidR="00822A36" w:rsidRPr="009527F7" w:rsidRDefault="00822A36" w:rsidP="00822A36">
      <w:pPr>
        <w:spacing w:after="0" w:line="276" w:lineRule="auto"/>
        <w:jc w:val="both"/>
        <w:rPr>
          <w:rFonts w:ascii="Verdana" w:eastAsia="Calibri" w:hAnsi="Verdana" w:cs="Arial"/>
          <w:lang w:val="es-ES"/>
        </w:rPr>
      </w:pPr>
    </w:p>
    <w:p w14:paraId="60C95DFA" w14:textId="77777777" w:rsidR="00822A36" w:rsidRPr="002024BF" w:rsidRDefault="00822A36" w:rsidP="00822A36">
      <w:pPr>
        <w:spacing w:after="0" w:line="276" w:lineRule="auto"/>
        <w:jc w:val="both"/>
        <w:rPr>
          <w:rFonts w:ascii="Verdana" w:eastAsia="Calibri" w:hAnsi="Verdana" w:cs="Arial"/>
        </w:rPr>
      </w:pPr>
      <w:r>
        <w:rPr>
          <w:rFonts w:ascii="Verdana" w:eastAsia="Calibri" w:hAnsi="Verdana" w:cs="Arial"/>
          <w:lang w:val="es-ES"/>
        </w:rPr>
        <w:t>Ahora bien, frente a la pregunta en concreto, l</w:t>
      </w:r>
      <w:r w:rsidRPr="009527F7">
        <w:rPr>
          <w:rFonts w:ascii="Verdana" w:eastAsia="Calibri" w:hAnsi="Verdana" w:cs="Arial"/>
          <w:lang w:val="es-ES"/>
        </w:rPr>
        <w:t xml:space="preserve">a norma es clara al señalar que una micro, pequeña o mediana empresa puede ser una persona natural o jurídica. Entendiéndose entonces como persona natural </w:t>
      </w:r>
      <w:proofErr w:type="gramStart"/>
      <w:r w:rsidRPr="009527F7">
        <w:rPr>
          <w:rFonts w:ascii="Verdana" w:eastAsia="Calibri" w:hAnsi="Verdana" w:cs="Arial"/>
          <w:lang w:val="es-ES"/>
        </w:rPr>
        <w:t xml:space="preserve">“ </w:t>
      </w:r>
      <w:r w:rsidRPr="009527F7">
        <w:rPr>
          <w:rFonts w:ascii="Verdana" w:eastAsia="Calibri" w:hAnsi="Verdana" w:cs="Arial"/>
        </w:rPr>
        <w:t>todos</w:t>
      </w:r>
      <w:proofErr w:type="gramEnd"/>
      <w:r w:rsidRPr="009527F7">
        <w:rPr>
          <w:rFonts w:ascii="Verdana" w:eastAsia="Calibri" w:hAnsi="Verdana" w:cs="Arial"/>
        </w:rPr>
        <w:t xml:space="preserve"> los individuos de la especie humana, cualquiera que sea su edad, sexo, estirpe o condición”</w:t>
      </w:r>
      <w:r w:rsidRPr="009527F7">
        <w:rPr>
          <w:rFonts w:ascii="Verdana" w:eastAsia="Calibri" w:hAnsi="Verdana" w:cs="Arial"/>
          <w:lang w:val="es-ES"/>
        </w:rPr>
        <w:t xml:space="preserve"> </w:t>
      </w:r>
      <w:r w:rsidRPr="009527F7">
        <w:rPr>
          <w:rStyle w:val="Refdenotaalpie"/>
          <w:rFonts w:ascii="Verdana" w:eastAsia="Calibri" w:hAnsi="Verdana" w:cs="Arial"/>
          <w:lang w:val="es-ES"/>
        </w:rPr>
        <w:footnoteReference w:id="4"/>
      </w:r>
      <w:r>
        <w:rPr>
          <w:rFonts w:ascii="Verdana" w:eastAsia="Calibri" w:hAnsi="Verdana" w:cs="Arial"/>
          <w:lang w:val="es-ES"/>
        </w:rPr>
        <w:t xml:space="preserve"> </w:t>
      </w:r>
      <w:r w:rsidRPr="009527F7">
        <w:rPr>
          <w:rFonts w:ascii="Verdana" w:eastAsia="Calibri" w:hAnsi="Verdana" w:cs="Arial"/>
          <w:lang w:val="es-ES"/>
        </w:rPr>
        <w:t>y como persona jurídica “</w:t>
      </w:r>
      <w:r w:rsidRPr="009527F7">
        <w:rPr>
          <w:rFonts w:ascii="Verdana" w:eastAsia="Calibri" w:hAnsi="Verdana" w:cs="Arial"/>
        </w:rPr>
        <w:t>una persona ficticia, capaz de ejercer derechos y contraer obligaciones civiles, y de ser representada judicial y extrajudicialmente”</w:t>
      </w:r>
      <w:r w:rsidRPr="009527F7">
        <w:rPr>
          <w:rStyle w:val="Refdenotaalpie"/>
          <w:rFonts w:ascii="Verdana" w:eastAsia="Calibri" w:hAnsi="Verdana" w:cs="Arial"/>
        </w:rPr>
        <w:footnoteReference w:id="5"/>
      </w:r>
    </w:p>
    <w:p w14:paraId="2827317D" w14:textId="77777777" w:rsidR="00822A36" w:rsidRDefault="00822A36" w:rsidP="00822A36">
      <w:pPr>
        <w:spacing w:after="0" w:line="276" w:lineRule="auto"/>
        <w:jc w:val="both"/>
        <w:rPr>
          <w:rFonts w:ascii="Verdana" w:eastAsia="Calibri" w:hAnsi="Verdana" w:cs="Arial"/>
          <w:lang w:val="es-ES"/>
        </w:rPr>
      </w:pPr>
    </w:p>
    <w:p w14:paraId="02A250F2" w14:textId="77777777" w:rsidR="00822A36" w:rsidRDefault="00822A36" w:rsidP="00822A36">
      <w:pPr>
        <w:spacing w:after="0" w:line="276" w:lineRule="auto"/>
        <w:jc w:val="both"/>
        <w:rPr>
          <w:rFonts w:ascii="Verdana" w:eastAsia="Calibri" w:hAnsi="Verdana" w:cs="Arial"/>
          <w:lang w:val="es-ES"/>
        </w:rPr>
      </w:pPr>
      <w:r>
        <w:rPr>
          <w:rFonts w:ascii="Verdana" w:eastAsia="Calibri" w:hAnsi="Verdana" w:cs="Arial"/>
          <w:lang w:val="es-ES"/>
        </w:rPr>
        <w:t xml:space="preserve">En ese mismo sentido, la acreditación del tamaño empresarial se efectuará conforme a lo señalado en el artículo 2.2.1.13.2.4 ibidem </w:t>
      </w:r>
      <w:r>
        <w:rPr>
          <w:rStyle w:val="Refdenotaalpie"/>
          <w:rFonts w:ascii="Verdana" w:eastAsia="Calibri" w:hAnsi="Verdana" w:cs="Arial"/>
          <w:lang w:val="es-ES"/>
        </w:rPr>
        <w:footnoteReference w:id="6"/>
      </w:r>
      <w:r>
        <w:rPr>
          <w:rFonts w:ascii="Verdana" w:eastAsia="Calibri" w:hAnsi="Verdana" w:cs="Arial"/>
          <w:lang w:val="es-ES"/>
        </w:rPr>
        <w:t xml:space="preserve">, es decir, mediante </w:t>
      </w:r>
      <w:r>
        <w:rPr>
          <w:rFonts w:ascii="Verdana" w:eastAsia="Calibri" w:hAnsi="Verdana" w:cs="Arial"/>
          <w:lang w:val="es-ES"/>
        </w:rPr>
        <w:lastRenderedPageBreak/>
        <w:t xml:space="preserve">certificación donde conste </w:t>
      </w:r>
      <w:r w:rsidRPr="00496EAA">
        <w:rPr>
          <w:rFonts w:ascii="Verdana" w:eastAsia="Calibri" w:hAnsi="Verdana" w:cs="Arial"/>
        </w:rPr>
        <w:t>el valor de los ingresos por actividades ordinarias al 31 de diciembre del año inmediatamente anterior</w:t>
      </w:r>
      <w:r>
        <w:rPr>
          <w:rFonts w:ascii="Verdana" w:eastAsia="Calibri" w:hAnsi="Verdana" w:cs="Arial"/>
        </w:rPr>
        <w:t>, teniendo en cuenta si es una persona natural o jurídica.</w:t>
      </w:r>
    </w:p>
    <w:p w14:paraId="280800CC" w14:textId="77777777" w:rsidR="00822A36" w:rsidRPr="002024BF" w:rsidRDefault="00822A36" w:rsidP="00822A36">
      <w:pPr>
        <w:spacing w:after="0" w:line="276" w:lineRule="auto"/>
        <w:jc w:val="both"/>
        <w:rPr>
          <w:rFonts w:ascii="Verdana" w:eastAsia="Calibri" w:hAnsi="Verdana" w:cs="Arial"/>
        </w:rPr>
      </w:pPr>
    </w:p>
    <w:p w14:paraId="56136462" w14:textId="77777777" w:rsidR="00822A36" w:rsidRPr="009527F7" w:rsidRDefault="00822A36" w:rsidP="00822A36">
      <w:pPr>
        <w:spacing w:after="0" w:line="276" w:lineRule="auto"/>
        <w:jc w:val="both"/>
        <w:rPr>
          <w:rFonts w:ascii="Verdana" w:hAnsi="Verdana"/>
          <w:lang w:eastAsia="es-ES_tradnl"/>
        </w:rPr>
      </w:pPr>
      <w:r>
        <w:rPr>
          <w:rFonts w:ascii="Verdana" w:eastAsia="Calibri" w:hAnsi="Verdana" w:cs="Arial"/>
          <w:lang w:val="es-ES"/>
        </w:rPr>
        <w:t>Por otro lado</w:t>
      </w:r>
      <w:r w:rsidRPr="009527F7">
        <w:rPr>
          <w:rFonts w:ascii="Verdana" w:eastAsia="Calibri" w:hAnsi="Verdana" w:cs="Arial"/>
          <w:lang w:val="es-ES"/>
        </w:rPr>
        <w:t xml:space="preserve">, </w:t>
      </w:r>
      <w:r w:rsidRPr="009527F7">
        <w:rPr>
          <w:rFonts w:ascii="Verdana" w:hAnsi="Verdana"/>
          <w:lang w:eastAsia="es-ES_tradnl"/>
        </w:rPr>
        <w:t xml:space="preserve">el artículo 2.2.1.2.4.2.2. del Decreto 1082 de 2015 -modificado por el Decreto 1860 de 2021- establece los requisitos que se deben acreditar en las “convocatorias limitadas a </w:t>
      </w:r>
      <w:proofErr w:type="spellStart"/>
      <w:r w:rsidRPr="009527F7">
        <w:rPr>
          <w:rFonts w:ascii="Verdana" w:hAnsi="Verdana"/>
          <w:lang w:eastAsia="es-ES_tradnl"/>
        </w:rPr>
        <w:t>Mipymes</w:t>
      </w:r>
      <w:proofErr w:type="spellEnd"/>
      <w:r w:rsidRPr="009527F7">
        <w:rPr>
          <w:rFonts w:ascii="Verdana" w:hAnsi="Verdana"/>
          <w:lang w:eastAsia="es-ES_tradnl"/>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MiPymes colombianas con mínimo un (1) año de existencia, siempre que se cumplan los requisitos señalados allí. </w:t>
      </w:r>
    </w:p>
    <w:p w14:paraId="40FEDF04" w14:textId="77777777" w:rsidR="00822A36" w:rsidRPr="009527F7" w:rsidRDefault="00822A36" w:rsidP="00822A36">
      <w:pPr>
        <w:spacing w:after="0" w:line="276" w:lineRule="auto"/>
        <w:jc w:val="both"/>
        <w:rPr>
          <w:rFonts w:ascii="Verdana" w:hAnsi="Verdana"/>
          <w:lang w:eastAsia="es-ES_tradnl"/>
        </w:rPr>
      </w:pPr>
    </w:p>
    <w:p w14:paraId="0CBE6703" w14:textId="77777777" w:rsidR="00822A36" w:rsidRDefault="00822A36" w:rsidP="00822A36">
      <w:pPr>
        <w:spacing w:after="0" w:line="276" w:lineRule="auto"/>
        <w:jc w:val="both"/>
        <w:rPr>
          <w:rFonts w:ascii="Verdana" w:hAnsi="Verdana"/>
          <w:lang w:eastAsia="es-ES_tradnl"/>
        </w:rPr>
      </w:pPr>
      <w:r w:rsidRPr="009527F7">
        <w:rPr>
          <w:rFonts w:ascii="Verdana" w:hAnsi="Verdana"/>
          <w:lang w:eastAsia="es-ES_tradnl"/>
        </w:rPr>
        <w:t>Al respecto indica lo siguiente:</w:t>
      </w:r>
    </w:p>
    <w:p w14:paraId="7F82874C" w14:textId="77777777" w:rsidR="00822A36" w:rsidRPr="009527F7" w:rsidRDefault="00822A36" w:rsidP="00822A36">
      <w:pPr>
        <w:spacing w:after="0" w:line="276" w:lineRule="auto"/>
        <w:jc w:val="both"/>
        <w:rPr>
          <w:rFonts w:ascii="Verdana" w:hAnsi="Verdana"/>
          <w:lang w:eastAsia="es-ES_tradnl"/>
        </w:rPr>
      </w:pPr>
    </w:p>
    <w:p w14:paraId="4D8D6B11" w14:textId="77777777" w:rsidR="00822A36" w:rsidRPr="002024BF" w:rsidRDefault="00822A36" w:rsidP="00822A36">
      <w:pPr>
        <w:spacing w:line="240" w:lineRule="auto"/>
        <w:ind w:left="709" w:right="709"/>
        <w:jc w:val="both"/>
        <w:rPr>
          <w:rFonts w:ascii="Verdana" w:hAnsi="Verdana"/>
          <w:lang w:eastAsia="es-ES_tradnl"/>
        </w:rPr>
      </w:pPr>
      <w:r w:rsidRPr="002024BF">
        <w:rPr>
          <w:rFonts w:ascii="Verdana" w:hAnsi="Verdana"/>
          <w:lang w:eastAsia="es-ES_tradnl"/>
        </w:rPr>
        <w:t xml:space="preserve">“Artículo 2.2.1.2.4.2.2. Convocatorias limitadas a MiPymes. Las Entidades Estatales </w:t>
      </w:r>
      <w:r w:rsidRPr="002024BF">
        <w:rPr>
          <w:rFonts w:ascii="Verdana" w:hAnsi="Verdana"/>
          <w:color w:val="000000"/>
          <w:lang w:eastAsia="es-ES_tradnl"/>
        </w:rPr>
        <w:t>independientemente</w:t>
      </w:r>
      <w:r w:rsidRPr="002024BF">
        <w:rPr>
          <w:rFonts w:ascii="Verdana" w:hAnsi="Verdana"/>
          <w:lang w:eastAsia="es-ES_tradnl"/>
        </w:rPr>
        <w:t xml:space="preserv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2024BF">
        <w:rPr>
          <w:rFonts w:ascii="Verdana" w:hAnsi="Verdana"/>
          <w:lang w:eastAsia="es-ES_tradnl"/>
        </w:rPr>
        <w:t>Mipyme</w:t>
      </w:r>
      <w:proofErr w:type="spellEnd"/>
      <w:r w:rsidRPr="002024BF">
        <w:rPr>
          <w:rFonts w:ascii="Verdana" w:hAnsi="Verdana"/>
          <w:lang w:eastAsia="es-ES_tradnl"/>
        </w:rPr>
        <w:t xml:space="preserve"> colombianas con mínimo un (1) año de existencia, cuando concurran los siguientes requisitos:</w:t>
      </w:r>
    </w:p>
    <w:p w14:paraId="455139C7" w14:textId="77777777" w:rsidR="00822A36" w:rsidRPr="002024BF" w:rsidRDefault="00822A36" w:rsidP="00822A36">
      <w:pPr>
        <w:spacing w:after="0" w:line="240" w:lineRule="auto"/>
        <w:ind w:left="709" w:right="709"/>
        <w:jc w:val="both"/>
        <w:rPr>
          <w:rFonts w:ascii="Verdana" w:eastAsia="Calibri" w:hAnsi="Verdana" w:cs="Arial"/>
          <w:lang w:val="es-ES_tradnl" w:eastAsia="es-ES_tradnl"/>
        </w:rPr>
      </w:pPr>
    </w:p>
    <w:p w14:paraId="58224F86" w14:textId="77777777" w:rsidR="00822A36" w:rsidRPr="002024BF" w:rsidRDefault="00822A36" w:rsidP="00822A36">
      <w:pPr>
        <w:spacing w:after="0" w:line="240" w:lineRule="auto"/>
        <w:ind w:left="709" w:right="709"/>
        <w:jc w:val="both"/>
        <w:rPr>
          <w:rFonts w:ascii="Verdana" w:eastAsia="Calibri" w:hAnsi="Verdana" w:cs="Arial"/>
          <w:lang w:val="es-ES_tradnl" w:eastAsia="es-ES_tradnl"/>
        </w:rPr>
      </w:pPr>
      <w:r w:rsidRPr="002024BF">
        <w:rPr>
          <w:rFonts w:ascii="Verdana" w:eastAsia="Calibri" w:hAnsi="Verdana" w:cs="Arial"/>
          <w:lang w:val="es-ES_tradnl" w:eastAsia="es-ES_tradnl"/>
        </w:rPr>
        <w:t>1.</w:t>
      </w:r>
      <w:r w:rsidRPr="002024BF">
        <w:rPr>
          <w:rFonts w:ascii="Verdana" w:eastAsia="Calibri" w:hAnsi="Verdana" w:cs="Arial"/>
          <w:lang w:val="es-ES_tradnl" w:eastAsia="es-ES_tradnl"/>
        </w:rPr>
        <w:tab/>
        <w:t>El valor del Proceso de Contratación sea menor a ciento veinticinco mil dólares de los Estados Unidos de América (US$125.000), liquidados con la tasa de cambio que para el efecto determina cada dos años el Ministerio de Comercio, Industria y Turismo.</w:t>
      </w:r>
    </w:p>
    <w:p w14:paraId="3751A56A" w14:textId="77777777" w:rsidR="00822A36" w:rsidRPr="002024BF" w:rsidRDefault="00822A36" w:rsidP="00822A36">
      <w:pPr>
        <w:spacing w:after="0" w:line="240" w:lineRule="auto"/>
        <w:ind w:left="709" w:right="709"/>
        <w:jc w:val="both"/>
        <w:rPr>
          <w:rFonts w:ascii="Verdana" w:eastAsia="Calibri" w:hAnsi="Verdana" w:cs="Arial"/>
          <w:lang w:val="es-ES_tradnl" w:eastAsia="es-ES_tradnl"/>
        </w:rPr>
      </w:pPr>
    </w:p>
    <w:p w14:paraId="5243B643" w14:textId="77777777" w:rsidR="00822A36" w:rsidRPr="002024BF" w:rsidRDefault="00822A36" w:rsidP="00822A36">
      <w:pPr>
        <w:spacing w:after="0" w:line="240" w:lineRule="auto"/>
        <w:ind w:left="709" w:right="709"/>
        <w:jc w:val="both"/>
        <w:rPr>
          <w:rFonts w:ascii="Verdana" w:eastAsia="Calibri" w:hAnsi="Verdana" w:cs="Arial"/>
          <w:lang w:val="es-ES" w:eastAsia="es-ES"/>
        </w:rPr>
      </w:pPr>
      <w:r w:rsidRPr="6989B8FC">
        <w:rPr>
          <w:rFonts w:ascii="Verdana" w:eastAsia="Calibri" w:hAnsi="Verdana" w:cs="Arial"/>
          <w:lang w:val="es-ES" w:eastAsia="es-ES"/>
        </w:rPr>
        <w:t>2.</w:t>
      </w:r>
      <w:r>
        <w:tab/>
      </w:r>
      <w:r w:rsidRPr="6989B8FC">
        <w:rPr>
          <w:rFonts w:ascii="Verdana" w:eastAsia="Calibri" w:hAnsi="Verdana" w:cs="Arial"/>
          <w:lang w:val="es-ES" w:eastAsia="es-ES"/>
        </w:rPr>
        <w:t>Se hayan recibido solicitudes de por lo menos dos (2) MiPymes colombianas para limitar la convocatoria a MiPymes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MiPymes, cuyo objeto social les permita ejecutar el contrato relacionado con el proceso contractual.</w:t>
      </w:r>
    </w:p>
    <w:p w14:paraId="0AB4119E" w14:textId="77777777" w:rsidR="00822A36" w:rsidRPr="002024BF" w:rsidRDefault="00822A36" w:rsidP="00822A36">
      <w:pPr>
        <w:spacing w:after="0" w:line="240" w:lineRule="auto"/>
        <w:ind w:left="709" w:right="709"/>
        <w:jc w:val="both"/>
        <w:rPr>
          <w:rFonts w:ascii="Verdana" w:eastAsia="Calibri" w:hAnsi="Verdana" w:cs="Arial"/>
          <w:lang w:val="es-ES_tradnl" w:eastAsia="es-ES_tradnl"/>
        </w:rPr>
      </w:pPr>
    </w:p>
    <w:p w14:paraId="391495BE" w14:textId="77777777" w:rsidR="00822A36" w:rsidRPr="002024BF" w:rsidRDefault="00822A36" w:rsidP="00822A36">
      <w:pPr>
        <w:spacing w:after="0" w:line="240" w:lineRule="auto"/>
        <w:ind w:left="709" w:right="709"/>
        <w:jc w:val="both"/>
        <w:rPr>
          <w:rFonts w:ascii="Verdana" w:eastAsia="Calibri" w:hAnsi="Verdana" w:cs="Arial"/>
          <w:lang w:val="es-ES" w:eastAsia="es-ES"/>
        </w:rPr>
      </w:pPr>
      <w:r w:rsidRPr="6989B8FC">
        <w:rPr>
          <w:rFonts w:ascii="Verdana" w:eastAsia="Calibri" w:hAnsi="Verdana" w:cs="Arial"/>
          <w:lang w:val="es-ES" w:eastAsia="es-ES"/>
        </w:rPr>
        <w:t>Parágrafo. Las cooperativas y demás entidades de economía solidaria, siempre que tengan la calidad de MiPymes, podrán solicitar y participar en las convocatorias limitadas en las mismas condiciones dispuestas en el presente artículo”.</w:t>
      </w:r>
    </w:p>
    <w:p w14:paraId="65C16E77" w14:textId="77777777" w:rsidR="00822A36" w:rsidRPr="002024BF" w:rsidRDefault="00822A36" w:rsidP="00822A36">
      <w:pPr>
        <w:spacing w:after="0" w:line="240" w:lineRule="auto"/>
        <w:ind w:left="709" w:right="709"/>
        <w:jc w:val="both"/>
        <w:rPr>
          <w:rFonts w:ascii="Verdana" w:eastAsia="Calibri" w:hAnsi="Verdana" w:cs="Arial"/>
          <w:lang w:val="es-ES_tradnl" w:eastAsia="es-ES_tradnl"/>
        </w:rPr>
      </w:pPr>
    </w:p>
    <w:p w14:paraId="28A65350" w14:textId="20CB9E2C" w:rsidR="00CD3E27" w:rsidRDefault="00822A36" w:rsidP="00822A36">
      <w:pPr>
        <w:spacing w:after="0" w:line="240" w:lineRule="auto"/>
        <w:ind w:left="709" w:right="709"/>
        <w:jc w:val="both"/>
        <w:rPr>
          <w:rFonts w:ascii="Verdana" w:eastAsia="Century Gothic" w:hAnsi="Verdana" w:cs="Century Gothic"/>
        </w:rPr>
      </w:pPr>
      <w:r w:rsidRPr="002024BF">
        <w:rPr>
          <w:rFonts w:ascii="Verdana" w:eastAsia="Calibri" w:hAnsi="Verdana" w:cs="Arial"/>
          <w:lang w:val="es-ES_tradnl" w:eastAsia="es-ES_tradnl"/>
        </w:rPr>
        <w:t xml:space="preserve">Téngase presente que la norma en primera medida no señala que la limitación la pueda solicitar una persona natural o jurídica, solo indica en el numeral 2 </w:t>
      </w:r>
      <w:proofErr w:type="gramStart"/>
      <w:r w:rsidRPr="002024BF">
        <w:rPr>
          <w:rFonts w:ascii="Verdana" w:eastAsia="Calibri" w:hAnsi="Verdana" w:cs="Arial"/>
          <w:lang w:val="es-ES_tradnl" w:eastAsia="es-ES_tradnl"/>
        </w:rPr>
        <w:t>que  se</w:t>
      </w:r>
      <w:proofErr w:type="gramEnd"/>
      <w:r w:rsidRPr="002024BF">
        <w:rPr>
          <w:rFonts w:ascii="Verdana" w:eastAsia="Calibri" w:hAnsi="Verdana" w:cs="Arial"/>
          <w:lang w:val="es-ES_tradnl" w:eastAsia="es-ES_tradnl"/>
        </w:rPr>
        <w:t xml:space="preserve"> reciban solicitudes de por lo menos dos (2) MiPymes colombianas</w:t>
      </w:r>
      <w:r w:rsidRPr="009527F7">
        <w:rPr>
          <w:rFonts w:ascii="Verdana" w:hAnsi="Verdana" w:cs="Arial"/>
          <w:bCs/>
        </w:rPr>
        <w:t>, en ese sentido, teniendo en cuenta que la Ley 590 de 2000 estableció que son MIPYMES las personas naturales o jurídicas que se encuadren dentro de los parámetros del artículo 2 de la norma ibidem.</w:t>
      </w:r>
    </w:p>
    <w:p w14:paraId="32E9A6D0" w14:textId="77777777" w:rsidR="00CD3E27" w:rsidRPr="009527F7" w:rsidRDefault="00CD3E27" w:rsidP="00822A36">
      <w:pPr>
        <w:spacing w:after="0" w:line="240" w:lineRule="auto"/>
        <w:ind w:left="709" w:right="709"/>
        <w:jc w:val="both"/>
        <w:rPr>
          <w:rFonts w:ascii="Verdana" w:hAnsi="Verdana" w:cs="Arial"/>
          <w:bCs/>
        </w:rPr>
      </w:pPr>
    </w:p>
    <w:p w14:paraId="15C2C313" w14:textId="77777777" w:rsidR="00CD3E27" w:rsidRDefault="00ED7D86" w:rsidP="00482DE5">
      <w:pPr>
        <w:spacing w:after="0" w:line="240" w:lineRule="auto"/>
        <w:ind w:left="709" w:right="709"/>
        <w:jc w:val="both"/>
        <w:rPr>
          <w:rFonts w:ascii="Verdana" w:eastAsia="Century Gothic" w:hAnsi="Verdana" w:cs="Century Gothic"/>
        </w:rPr>
      </w:pPr>
      <w:r>
        <w:rPr>
          <w:rFonts w:ascii="Verdana" w:eastAsia="Century Gothic" w:hAnsi="Verdana" w:cs="Century Gothic"/>
        </w:rPr>
        <w:t xml:space="preserve">Adviértase que la norma señala como deber la limitación en los procesos de contratación donde se presenten las circunstancias previamente indicadas; caso contrario sucede con la limitación territorial de que trata el </w:t>
      </w:r>
      <w:r w:rsidRPr="00DE1D25">
        <w:rPr>
          <w:rFonts w:ascii="Verdana" w:eastAsia="Century Gothic" w:hAnsi="Verdana" w:cs="Century Gothic"/>
        </w:rPr>
        <w:t xml:space="preserve">artículo </w:t>
      </w:r>
      <w:r w:rsidRPr="00E03CBA">
        <w:rPr>
          <w:rFonts w:ascii="Verdana" w:eastAsia="Century Gothic" w:hAnsi="Verdana" w:cs="Century Gothic"/>
        </w:rPr>
        <w:t>2.2.1.2.4.2.3, pues esta</w:t>
      </w:r>
      <w:r>
        <w:rPr>
          <w:rFonts w:ascii="Verdana" w:eastAsia="Century Gothic" w:hAnsi="Verdana" w:cs="Century Gothic"/>
        </w:rPr>
        <w:t xml:space="preserve">, </w:t>
      </w:r>
      <w:r w:rsidRPr="00E03CBA">
        <w:rPr>
          <w:rFonts w:ascii="Verdana" w:eastAsia="Century Gothic" w:hAnsi="Verdana" w:cs="Century Gothic"/>
        </w:rPr>
        <w:t xml:space="preserve"> es facultativa de la Entidad contratante</w:t>
      </w:r>
      <w:r>
        <w:rPr>
          <w:rFonts w:ascii="Verdana" w:eastAsia="Century Gothic" w:hAnsi="Verdana" w:cs="Century Gothic"/>
        </w:rPr>
        <w:t xml:space="preserve"> </w:t>
      </w:r>
      <w:r w:rsidR="00CD3E27">
        <w:rPr>
          <w:rFonts w:ascii="Verdana" w:eastAsia="Century Gothic" w:hAnsi="Verdana" w:cs="Century Gothic"/>
        </w:rPr>
        <w:t xml:space="preserve">ya que la misma norma establece que </w:t>
      </w:r>
      <w:r w:rsidR="00CD3E27" w:rsidRPr="00E03CBA">
        <w:rPr>
          <w:rFonts w:ascii="Verdana" w:eastAsia="Century Gothic" w:hAnsi="Verdana" w:cs="Century Gothic"/>
          <w:i/>
          <w:iCs/>
        </w:rPr>
        <w:t xml:space="preserve">“(…) las Entidades Estatales, independientemente de su régimen de contratación, los patrimonios autónomos constituidos por Entidades Estatales y los particulares que ejecuten recursos públicos, </w:t>
      </w:r>
      <w:r w:rsidR="00CD3E27" w:rsidRPr="00E03CBA">
        <w:rPr>
          <w:rFonts w:ascii="Verdana" w:eastAsia="Century Gothic" w:hAnsi="Verdana" w:cs="Century Gothic"/>
          <w:b/>
          <w:bCs/>
          <w:i/>
          <w:iCs/>
        </w:rPr>
        <w:t>pueden</w:t>
      </w:r>
      <w:r w:rsidR="00CD3E27" w:rsidRPr="00E03CBA">
        <w:rPr>
          <w:rFonts w:ascii="Verdana" w:eastAsia="Century Gothic" w:hAnsi="Verdana" w:cs="Century Gothic"/>
          <w:i/>
          <w:iCs/>
        </w:rPr>
        <w:t xml:space="preserve"> realizar convocatorias limitadas a </w:t>
      </w:r>
      <w:proofErr w:type="spellStart"/>
      <w:r w:rsidR="00CD3E27" w:rsidRPr="00E03CBA">
        <w:rPr>
          <w:rFonts w:ascii="Verdana" w:eastAsia="Century Gothic" w:hAnsi="Verdana" w:cs="Century Gothic"/>
          <w:i/>
          <w:iCs/>
        </w:rPr>
        <w:t>Mipyme</w:t>
      </w:r>
      <w:proofErr w:type="spellEnd"/>
      <w:r w:rsidR="00CD3E27" w:rsidRPr="00E03CBA">
        <w:rPr>
          <w:rFonts w:ascii="Verdana" w:eastAsia="Century Gothic" w:hAnsi="Verdana" w:cs="Century Gothic"/>
          <w:i/>
          <w:iCs/>
        </w:rPr>
        <w:t xml:space="preserve"> colombianas que tengan domicilio en los departamentos o municipios en donde se va a ejecutar el contrato. (…)”</w:t>
      </w:r>
      <w:r w:rsidR="00CD3E27">
        <w:rPr>
          <w:rFonts w:ascii="Verdana" w:eastAsia="Century Gothic" w:hAnsi="Verdana" w:cs="Century Gothic"/>
          <w:b/>
          <w:bCs/>
        </w:rPr>
        <w:t xml:space="preserve"> </w:t>
      </w:r>
      <w:r w:rsidR="00CD3E27" w:rsidRPr="00E03CBA">
        <w:rPr>
          <w:rFonts w:ascii="Verdana" w:eastAsia="Century Gothic" w:hAnsi="Verdana" w:cs="Century Gothic"/>
        </w:rPr>
        <w:t>(negrillas fuera del texto original)</w:t>
      </w:r>
      <w:r w:rsidR="00CD3E27">
        <w:rPr>
          <w:rFonts w:ascii="Verdana" w:eastAsia="Century Gothic" w:hAnsi="Verdana" w:cs="Century Gothic"/>
        </w:rPr>
        <w:t>.</w:t>
      </w:r>
    </w:p>
    <w:p w14:paraId="4DC53E8E" w14:textId="77777777" w:rsidR="00822A36" w:rsidRPr="009527F7" w:rsidRDefault="00822A36" w:rsidP="00822A36">
      <w:pPr>
        <w:spacing w:after="0" w:line="240" w:lineRule="auto"/>
        <w:ind w:left="709" w:right="709"/>
        <w:jc w:val="both"/>
        <w:rPr>
          <w:rFonts w:ascii="Verdana" w:hAnsi="Verdana" w:cs="Arial"/>
          <w:bCs/>
        </w:rPr>
      </w:pPr>
    </w:p>
    <w:p w14:paraId="572B78F8" w14:textId="77777777" w:rsidR="00822A36" w:rsidRPr="009527F7" w:rsidRDefault="00822A36" w:rsidP="00822A36">
      <w:pPr>
        <w:spacing w:after="0"/>
        <w:ind w:left="709" w:right="709"/>
        <w:jc w:val="both"/>
        <w:rPr>
          <w:rFonts w:ascii="Verdana" w:hAnsi="Verdana" w:cs="Arial"/>
          <w:bCs/>
        </w:rPr>
      </w:pPr>
    </w:p>
    <w:p w14:paraId="39CC9D5B" w14:textId="60DE7464" w:rsidR="00822A36" w:rsidRPr="009527F7" w:rsidRDefault="00822A36" w:rsidP="00822A36">
      <w:pPr>
        <w:spacing w:after="0"/>
        <w:ind w:left="709" w:right="709"/>
        <w:jc w:val="both"/>
        <w:rPr>
          <w:rFonts w:ascii="Verdana" w:hAnsi="Verdana" w:cs="Arial"/>
          <w:bCs/>
        </w:rPr>
      </w:pPr>
      <w:r w:rsidRPr="009527F7">
        <w:rPr>
          <w:rFonts w:ascii="Verdana" w:hAnsi="Verdana" w:cs="Arial"/>
          <w:bCs/>
        </w:rPr>
        <w:t xml:space="preserve">No puede perderse de vista que la decisión de limitar “a MiPymes colombianas que tengan domicilio en los departamentos o </w:t>
      </w:r>
      <w:r w:rsidRPr="009527F7">
        <w:rPr>
          <w:rFonts w:ascii="Verdana" w:hAnsi="Verdana" w:cs="Arial"/>
          <w:bCs/>
        </w:rPr>
        <w:lastRenderedPageBreak/>
        <w:t xml:space="preserve">municipios en donde se va a ejecutar el contrato”, aunque es </w:t>
      </w:r>
      <w:r w:rsidRPr="009527F7">
        <w:rPr>
          <w:rFonts w:ascii="Verdana" w:hAnsi="Verdana" w:cs="Arial"/>
          <w:bCs/>
          <w:i/>
          <w:iCs/>
        </w:rPr>
        <w:t xml:space="preserve">facultativa </w:t>
      </w:r>
      <w:r w:rsidRPr="009527F7">
        <w:rPr>
          <w:rFonts w:ascii="Verdana" w:hAnsi="Verdana" w:cs="Arial"/>
          <w:bCs/>
        </w:rPr>
        <w:t xml:space="preserve">de la entidad, está supeditada a que se verifiquen los requisitos establecidos en los numerales 1 y 2 del precitado artículo 2.2.1.2.4.2.2 del Decreto 1082 de 2015, modificado por el Decreto 1860 de 2021. En ese sentido, si la entidad no recibió́ las solicitudes para limitar la convocatoria a MiPymes nacionales, no puede </w:t>
      </w:r>
      <w:proofErr w:type="gramStart"/>
      <w:r w:rsidRPr="009527F7">
        <w:rPr>
          <w:rFonts w:ascii="Verdana" w:hAnsi="Verdana" w:cs="Arial"/>
          <w:bCs/>
        </w:rPr>
        <w:t>motu propio</w:t>
      </w:r>
      <w:proofErr w:type="gramEnd"/>
      <w:r w:rsidRPr="009527F7">
        <w:rPr>
          <w:rFonts w:ascii="Verdana" w:hAnsi="Verdana" w:cs="Arial"/>
          <w:bCs/>
        </w:rPr>
        <w:t xml:space="preserve"> proceder con la “limitación territorial” de que trata el artículo 2.2.1.2.4.2.3 del Decreto 1082 de 2015. Esto debido a que el ejercicio de esta facultad solo puede darse ante la “limitación a MiPymes colombianas”, lo cual supone verificar los supuestos legales establecidos previamente.</w:t>
      </w:r>
    </w:p>
    <w:p w14:paraId="79BD8F09" w14:textId="77777777" w:rsidR="00822A36" w:rsidRPr="009527F7" w:rsidRDefault="00822A36" w:rsidP="00822A36">
      <w:pPr>
        <w:spacing w:after="0"/>
        <w:ind w:left="709" w:right="709"/>
        <w:jc w:val="both"/>
        <w:rPr>
          <w:rFonts w:ascii="Verdana" w:hAnsi="Verdana" w:cs="Arial"/>
          <w:bCs/>
        </w:rPr>
      </w:pPr>
    </w:p>
    <w:p w14:paraId="24942DFD" w14:textId="5DE74453" w:rsidR="004C3924" w:rsidRDefault="00822A36" w:rsidP="00822A36">
      <w:pPr>
        <w:spacing w:after="0"/>
        <w:ind w:left="709" w:right="709"/>
        <w:jc w:val="both"/>
        <w:rPr>
          <w:rFonts w:ascii="Verdana" w:hAnsi="Verdana"/>
        </w:rPr>
      </w:pPr>
      <w:r w:rsidRPr="009527F7">
        <w:rPr>
          <w:rFonts w:ascii="Verdana" w:hAnsi="Verdana" w:cs="Arial"/>
          <w:bCs/>
        </w:rPr>
        <w:t xml:space="preserve">En tal sentido, lo que debe adoptarse obligatoriamente es la limitación a MiPymes colombianas siempre que se cumplan las condiciones del artículo 2.2.1.2.4.2.2 del Decreto 1082 de 2015, pero no la “limitación territorial” referida en el artículo 2.2.1.2.4.2.3 ibidem, pues esta es facultativa para la entidad. Las únicas exigencias son que la convocatoria esté limitada a las MiPymes colombianas “domiciliadas en los departamentos o municipios </w:t>
      </w:r>
      <w:r w:rsidR="006B1875">
        <w:rPr>
          <w:rFonts w:ascii="Verdana" w:hAnsi="Verdana" w:cs="Arial"/>
          <w:bCs/>
        </w:rPr>
        <w:t>e</w:t>
      </w:r>
      <w:r w:rsidRPr="009527F7">
        <w:rPr>
          <w:rFonts w:ascii="Verdana" w:hAnsi="Verdana" w:cs="Arial"/>
          <w:bCs/>
        </w:rPr>
        <w:t xml:space="preserve">n donde se va a ejecutar el contrato” y que la entidad justifique su decisión con base en los “estudios del sector”. </w:t>
      </w:r>
      <w:r w:rsidRPr="009527F7">
        <w:rPr>
          <w:rStyle w:val="Refdenotaalpie"/>
          <w:rFonts w:ascii="Verdana" w:hAnsi="Verdana" w:cs="Arial"/>
          <w:bCs/>
        </w:rPr>
        <w:footnoteReference w:id="7"/>
      </w:r>
    </w:p>
    <w:p w14:paraId="6E7865D8" w14:textId="77777777" w:rsidR="004C3924" w:rsidRPr="009527F7" w:rsidRDefault="004C3924" w:rsidP="00822A36">
      <w:pPr>
        <w:spacing w:after="0"/>
        <w:ind w:left="709" w:right="709"/>
        <w:jc w:val="both"/>
        <w:rPr>
          <w:rFonts w:ascii="Verdana" w:hAnsi="Verdana" w:cs="Arial"/>
          <w:bCs/>
        </w:rPr>
      </w:pPr>
    </w:p>
    <w:p w14:paraId="74E8F818" w14:textId="77777777" w:rsidR="004C3924" w:rsidRDefault="00EF3149" w:rsidP="00822A36">
      <w:pPr>
        <w:spacing w:after="0"/>
        <w:ind w:right="709"/>
        <w:jc w:val="both"/>
        <w:rPr>
          <w:rFonts w:ascii="Verdana" w:eastAsia="Century Gothic" w:hAnsi="Verdana" w:cs="Century Gothic"/>
        </w:rPr>
      </w:pPr>
      <w:r w:rsidRPr="00373E9B">
        <w:rPr>
          <w:rFonts w:ascii="Verdana" w:hAnsi="Verdana"/>
        </w:rPr>
        <w:t>Esta precisión es importante, pues el incentivo</w:t>
      </w:r>
      <w:r w:rsidRPr="00373E9B">
        <w:rPr>
          <w:rFonts w:ascii="Verdana" w:hAnsi="Verdana"/>
          <w:spacing w:val="1"/>
        </w:rPr>
        <w:t xml:space="preserve"> </w:t>
      </w:r>
      <w:r w:rsidRPr="00373E9B">
        <w:rPr>
          <w:rFonts w:ascii="Verdana" w:hAnsi="Verdana"/>
        </w:rPr>
        <w:t xml:space="preserve">previsto en la norma únicamente aplica en el lugar de ejecución del </w:t>
      </w:r>
      <w:proofErr w:type="gramStart"/>
      <w:r w:rsidRPr="00373E9B">
        <w:rPr>
          <w:rFonts w:ascii="Verdana" w:hAnsi="Verdana"/>
        </w:rPr>
        <w:t>contrat</w:t>
      </w:r>
      <w:r>
        <w:rPr>
          <w:rFonts w:ascii="Verdana" w:hAnsi="Verdana"/>
        </w:rPr>
        <w:t xml:space="preserve">o, </w:t>
      </w:r>
      <w:r w:rsidRPr="00373E9B">
        <w:rPr>
          <w:rFonts w:ascii="Verdana" w:hAnsi="Verdana"/>
          <w:spacing w:val="-75"/>
        </w:rPr>
        <w:t xml:space="preserve"> </w:t>
      </w:r>
      <w:r w:rsidRPr="00373E9B">
        <w:rPr>
          <w:rFonts w:ascii="Verdana" w:hAnsi="Verdana"/>
        </w:rPr>
        <w:t>en</w:t>
      </w:r>
      <w:proofErr w:type="gramEnd"/>
      <w:r w:rsidRPr="00373E9B">
        <w:rPr>
          <w:rFonts w:ascii="Verdana" w:hAnsi="Verdana"/>
        </w:rPr>
        <w:t xml:space="preserve"> el que la </w:t>
      </w:r>
      <w:proofErr w:type="spellStart"/>
      <w:r w:rsidRPr="00373E9B">
        <w:rPr>
          <w:rFonts w:ascii="Verdana" w:hAnsi="Verdana"/>
        </w:rPr>
        <w:t>Mipyme</w:t>
      </w:r>
      <w:proofErr w:type="spellEnd"/>
      <w:r w:rsidRPr="00373E9B">
        <w:rPr>
          <w:rFonts w:ascii="Verdana" w:hAnsi="Verdana"/>
        </w:rPr>
        <w:t xml:space="preserve"> tiene su “domicilio”, y no en donde tiene sucursales,</w:t>
      </w:r>
      <w:r w:rsidRPr="00373E9B">
        <w:rPr>
          <w:rFonts w:ascii="Verdana" w:hAnsi="Verdana"/>
          <w:spacing w:val="1"/>
        </w:rPr>
        <w:t xml:space="preserve"> </w:t>
      </w:r>
      <w:r w:rsidRPr="00373E9B">
        <w:rPr>
          <w:rFonts w:ascii="Verdana" w:hAnsi="Verdana"/>
        </w:rPr>
        <w:t>agencias</w:t>
      </w:r>
      <w:r w:rsidRPr="00373E9B">
        <w:rPr>
          <w:rFonts w:ascii="Verdana" w:hAnsi="Verdana"/>
          <w:spacing w:val="-2"/>
        </w:rPr>
        <w:t xml:space="preserve"> </w:t>
      </w:r>
      <w:r w:rsidRPr="00373E9B">
        <w:rPr>
          <w:rFonts w:ascii="Verdana" w:hAnsi="Verdana"/>
        </w:rPr>
        <w:t>o</w:t>
      </w:r>
      <w:r w:rsidRPr="00373E9B">
        <w:rPr>
          <w:rFonts w:ascii="Verdana" w:hAnsi="Verdana"/>
          <w:spacing w:val="-2"/>
        </w:rPr>
        <w:t xml:space="preserve"> </w:t>
      </w:r>
      <w:r w:rsidRPr="00373E9B">
        <w:rPr>
          <w:rFonts w:ascii="Verdana" w:hAnsi="Verdana"/>
        </w:rPr>
        <w:t>establecimientos</w:t>
      </w:r>
      <w:r w:rsidRPr="00373E9B">
        <w:rPr>
          <w:rFonts w:ascii="Verdana" w:hAnsi="Verdana"/>
          <w:spacing w:val="-1"/>
        </w:rPr>
        <w:t xml:space="preserve"> </w:t>
      </w:r>
      <w:r w:rsidRPr="00373E9B">
        <w:rPr>
          <w:rFonts w:ascii="Verdana" w:hAnsi="Verdana"/>
        </w:rPr>
        <w:t>de</w:t>
      </w:r>
      <w:r w:rsidRPr="00373E9B">
        <w:rPr>
          <w:rFonts w:ascii="Verdana" w:hAnsi="Verdana"/>
          <w:spacing w:val="-2"/>
        </w:rPr>
        <w:t xml:space="preserve"> </w:t>
      </w:r>
      <w:r w:rsidRPr="00373E9B">
        <w:rPr>
          <w:rFonts w:ascii="Verdana" w:hAnsi="Verdana"/>
        </w:rPr>
        <w:t>comercio.</w:t>
      </w:r>
    </w:p>
    <w:p w14:paraId="031D9437" w14:textId="77777777" w:rsidR="004C3924" w:rsidRDefault="004C3924" w:rsidP="00822A36">
      <w:pPr>
        <w:spacing w:after="0"/>
        <w:ind w:right="709"/>
        <w:jc w:val="both"/>
        <w:rPr>
          <w:rFonts w:ascii="Verdana" w:eastAsia="Century Gothic" w:hAnsi="Verdana" w:cs="Century Gothic"/>
        </w:rPr>
      </w:pPr>
    </w:p>
    <w:p w14:paraId="2D57AC5C" w14:textId="03873FF0" w:rsidR="00822A36" w:rsidRDefault="00EF3149" w:rsidP="00822A36">
      <w:pPr>
        <w:spacing w:after="0"/>
        <w:ind w:right="709"/>
        <w:jc w:val="both"/>
        <w:rPr>
          <w:rFonts w:ascii="Verdana" w:hAnsi="Verdana" w:cs="Arial"/>
        </w:rPr>
      </w:pPr>
      <w:r>
        <w:rPr>
          <w:rFonts w:ascii="Verdana" w:eastAsia="Century Gothic" w:hAnsi="Verdana" w:cs="Century Gothic"/>
        </w:rPr>
        <w:t>Finalmente, en aras de resolver dudas respecto al tema objeto de consulta la Agencia extiende la invitación de consultar la “</w:t>
      </w:r>
      <w:r w:rsidRPr="00EE54D4">
        <w:rPr>
          <w:rFonts w:ascii="Verdana" w:eastAsia="Century Gothic" w:hAnsi="Verdana" w:cs="Century Gothic"/>
        </w:rPr>
        <w:t xml:space="preserve">GUÍA PARA PROMOVER </w:t>
      </w:r>
      <w:r w:rsidRPr="00EE54D4">
        <w:rPr>
          <w:rFonts w:ascii="Verdana" w:eastAsia="Century Gothic" w:hAnsi="Verdana" w:cs="Century Gothic"/>
        </w:rPr>
        <w:lastRenderedPageBreak/>
        <w:t>LA PARTICIPACIÓN DE LAS MIPYMES EN LOS PROCESOS DE COMPRA Y CONTRATACIÓN PÚBLICA</w:t>
      </w:r>
      <w:r>
        <w:rPr>
          <w:rStyle w:val="Refdenotaalpie"/>
          <w:rFonts w:ascii="Verdana" w:eastAsia="Century Gothic" w:hAnsi="Verdana" w:cs="Century Gothic"/>
        </w:rPr>
        <w:footnoteReference w:id="8"/>
      </w:r>
      <w:bookmarkStart w:id="1" w:name="2.2.1.2.4.2.2"/>
      <w:bookmarkEnd w:id="1"/>
    </w:p>
    <w:p w14:paraId="177C1F90" w14:textId="77777777" w:rsidR="00822A36" w:rsidRPr="00593A5F" w:rsidRDefault="00822A36" w:rsidP="00822A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0FD39E7F" w14:textId="77777777" w:rsidR="00822A36" w:rsidRPr="00593A5F" w:rsidRDefault="00822A36" w:rsidP="00822A3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22A36" w:rsidRPr="00593A5F" w14:paraId="1CD9924B" w14:textId="77777777" w:rsidTr="00E94C9A">
        <w:trPr>
          <w:trHeight w:val="870"/>
        </w:trPr>
        <w:tc>
          <w:tcPr>
            <w:tcW w:w="8647" w:type="dxa"/>
          </w:tcPr>
          <w:p w14:paraId="4474370B" w14:textId="77777777" w:rsidR="00822A36" w:rsidRPr="004808FA" w:rsidRDefault="00822A36" w:rsidP="00E94C9A">
            <w:pPr>
              <w:pStyle w:val="Prrafodelista"/>
              <w:numPr>
                <w:ilvl w:val="0"/>
                <w:numId w:val="18"/>
              </w:numPr>
              <w:jc w:val="both"/>
              <w:rPr>
                <w:rFonts w:ascii="Verdana" w:eastAsia="Arial" w:hAnsi="Verdana" w:cs="Arial"/>
                <w:color w:val="000000"/>
                <w:lang w:val="es-MX"/>
              </w:rPr>
            </w:pPr>
            <w:r w:rsidRPr="004808FA">
              <w:rPr>
                <w:rFonts w:ascii="Verdana" w:eastAsia="Arial" w:hAnsi="Verdana" w:cs="Arial"/>
                <w:color w:val="000000"/>
                <w:lang w:val="es-MX"/>
              </w:rPr>
              <w:t xml:space="preserve">Decreto 1082 de 2015, numerales 1 y 2 del artículo 2.2.1.2.4.2.2, artículo 2.2.1.2.4.2.3. del Decreto 1082 de 2015, </w:t>
            </w:r>
            <w:r w:rsidRPr="004808FA">
              <w:rPr>
                <w:rFonts w:ascii="Verdana" w:eastAsia="Calibri" w:hAnsi="Verdana" w:cs="Arial"/>
              </w:rPr>
              <w:t>modificado por el artículo 5 del Decreto 1860 de 2021.</w:t>
            </w:r>
          </w:p>
          <w:p w14:paraId="397070B8" w14:textId="77777777" w:rsidR="00822A36" w:rsidRPr="004808FA" w:rsidRDefault="00822A36" w:rsidP="00E94C9A">
            <w:pPr>
              <w:pStyle w:val="Prrafodelista"/>
              <w:numPr>
                <w:ilvl w:val="0"/>
                <w:numId w:val="18"/>
              </w:numPr>
              <w:jc w:val="both"/>
              <w:rPr>
                <w:rFonts w:ascii="Verdana" w:eastAsia="Calibri" w:hAnsi="Verdana" w:cs="Arial"/>
                <w:lang w:val="es-ES_tradnl"/>
              </w:rPr>
            </w:pPr>
            <w:r w:rsidRPr="004808FA">
              <w:rPr>
                <w:rFonts w:ascii="Verdana" w:eastAsia="Calibri" w:hAnsi="Verdana" w:cs="Arial"/>
                <w:lang w:val="es-ES_tradnl"/>
              </w:rPr>
              <w:t xml:space="preserve">Ley 2069 de 2020 Artículos </w:t>
            </w:r>
            <w:r w:rsidRPr="004808FA">
              <w:rPr>
                <w:rFonts w:ascii="Verdana" w:hAnsi="Verdana"/>
              </w:rPr>
              <w:t>2 al 29, 30 al 36, 37 al 45, 46 al 73, 74</w:t>
            </w:r>
            <w:r w:rsidRPr="004808FA">
              <w:rPr>
                <w:rFonts w:ascii="Verdana" w:hAnsi="Verdana" w:cs="Arial"/>
              </w:rPr>
              <w:t xml:space="preserve"> al 83. </w:t>
            </w:r>
          </w:p>
          <w:p w14:paraId="29A126E0" w14:textId="77777777" w:rsidR="00822A36" w:rsidRPr="004808FA" w:rsidRDefault="00822A36" w:rsidP="00E94C9A">
            <w:pPr>
              <w:pStyle w:val="Prrafodelista"/>
              <w:numPr>
                <w:ilvl w:val="0"/>
                <w:numId w:val="18"/>
              </w:numPr>
              <w:jc w:val="both"/>
              <w:rPr>
                <w:rFonts w:ascii="Verdana" w:eastAsia="Arial" w:hAnsi="Verdana" w:cs="Arial"/>
                <w:color w:val="000000"/>
                <w:lang w:val="es-MX"/>
              </w:rPr>
            </w:pPr>
            <w:r w:rsidRPr="004808FA">
              <w:rPr>
                <w:rFonts w:ascii="Verdana" w:eastAsia="Arial" w:hAnsi="Verdana" w:cs="Arial"/>
                <w:color w:val="000000"/>
                <w:lang w:val="es-MX"/>
              </w:rPr>
              <w:t>la Ley 590 de 2000.</w:t>
            </w:r>
          </w:p>
          <w:p w14:paraId="265D25A9" w14:textId="77777777" w:rsidR="00822A36" w:rsidRDefault="00822A36" w:rsidP="00E94C9A">
            <w:pPr>
              <w:pStyle w:val="Prrafodelista"/>
              <w:numPr>
                <w:ilvl w:val="0"/>
                <w:numId w:val="18"/>
              </w:numPr>
              <w:jc w:val="both"/>
            </w:pPr>
            <w:r w:rsidRPr="004808FA">
              <w:rPr>
                <w:rFonts w:ascii="Verdana" w:eastAsia="Arial" w:hAnsi="Verdana" w:cs="Arial"/>
                <w:color w:val="000000"/>
                <w:lang w:val="es-MX"/>
              </w:rPr>
              <w:t>Decreto 957 de 2019</w:t>
            </w:r>
          </w:p>
          <w:p w14:paraId="5E7A8668" w14:textId="77777777" w:rsidR="00822A36" w:rsidRPr="004808FA" w:rsidRDefault="00822A36" w:rsidP="00E94C9A">
            <w:pPr>
              <w:widowControl w:val="0"/>
              <w:tabs>
                <w:tab w:val="left" w:pos="8419"/>
              </w:tabs>
              <w:autoSpaceDE w:val="0"/>
              <w:autoSpaceDN w:val="0"/>
              <w:jc w:val="both"/>
              <w:rPr>
                <w:rFonts w:ascii="Verdana" w:eastAsia="Calibri" w:hAnsi="Verdana" w:cs="Arial"/>
                <w:color w:val="000000"/>
              </w:rPr>
            </w:pPr>
          </w:p>
          <w:p w14:paraId="1D831E99" w14:textId="77777777" w:rsidR="00822A36" w:rsidRPr="00340039" w:rsidRDefault="00822A36" w:rsidP="00E94C9A">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 xml:space="preserve">Jurisprudencia del Consejo de Estado. Disponible en: </w:t>
            </w:r>
            <w:hyperlink r:id="rId13" w:history="1">
              <w:r w:rsidRPr="006C75AB">
                <w:rPr>
                  <w:rStyle w:val="Hipervnculo"/>
                  <w:rFonts w:ascii="Verdana" w:hAnsi="Verdana" w:cs="Arial"/>
                </w:rPr>
                <w:t>https://relatoria.colombiacompra.gov.co/providencias-consejo-de-estado/</w:t>
              </w:r>
            </w:hyperlink>
            <w:r>
              <w:rPr>
                <w:rFonts w:ascii="Verdana" w:hAnsi="Verdana" w:cs="Arial"/>
              </w:rPr>
              <w:t xml:space="preserve"> </w:t>
            </w:r>
          </w:p>
          <w:p w14:paraId="4A398CC1" w14:textId="77777777" w:rsidR="00822A36" w:rsidRPr="00027814" w:rsidRDefault="00822A36" w:rsidP="00E94C9A">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r:id="rId14"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tc>
      </w:tr>
    </w:tbl>
    <w:p w14:paraId="61CE1A57" w14:textId="77777777" w:rsidR="00822A36" w:rsidRPr="00593A5F" w:rsidRDefault="00822A36" w:rsidP="00822A36">
      <w:pPr>
        <w:widowControl w:val="0"/>
        <w:autoSpaceDE w:val="0"/>
        <w:autoSpaceDN w:val="0"/>
        <w:spacing w:after="0" w:line="276" w:lineRule="auto"/>
        <w:jc w:val="both"/>
        <w:rPr>
          <w:rFonts w:ascii="Verdana" w:hAnsi="Verdana" w:cs="Arial"/>
        </w:rPr>
      </w:pPr>
    </w:p>
    <w:p w14:paraId="3AD5664E" w14:textId="77777777" w:rsidR="00822A36" w:rsidRPr="00593A5F" w:rsidRDefault="00822A36" w:rsidP="00822A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7C28AFD" w14:textId="77777777" w:rsidR="00822A36" w:rsidRPr="00593A5F" w:rsidRDefault="00822A36" w:rsidP="00822A36">
      <w:pPr>
        <w:widowControl w:val="0"/>
        <w:autoSpaceDE w:val="0"/>
        <w:autoSpaceDN w:val="0"/>
        <w:spacing w:after="0" w:line="276" w:lineRule="auto"/>
        <w:jc w:val="both"/>
        <w:rPr>
          <w:rFonts w:ascii="Verdana" w:hAnsi="Verdana" w:cs="Arial"/>
        </w:rPr>
      </w:pPr>
    </w:p>
    <w:p w14:paraId="6D5ADEC7" w14:textId="77777777" w:rsidR="00822A36" w:rsidRPr="001C5B66" w:rsidRDefault="00822A36" w:rsidP="00822A36">
      <w:pPr>
        <w:widowControl w:val="0"/>
        <w:autoSpaceDE w:val="0"/>
        <w:autoSpaceDN w:val="0"/>
        <w:spacing w:after="0" w:line="276" w:lineRule="auto"/>
        <w:jc w:val="both"/>
        <w:rPr>
          <w:rFonts w:ascii="Verdana" w:hAnsi="Verdana" w:cs="Arial"/>
          <w:shd w:val="clear" w:color="auto" w:fill="FFFFFF"/>
        </w:rPr>
      </w:pPr>
      <w:r w:rsidRPr="001C5B66">
        <w:rPr>
          <w:rFonts w:ascii="Verdana" w:hAnsi="Verdana" w:cs="Arial"/>
          <w:shd w:val="clear" w:color="auto" w:fill="FFFFFF"/>
        </w:rPr>
        <w:t>La Subdirección de Gestión Contractual se ha pronunciado en diferentes conceptos sobre los temas expuestos en las consideraciones</w:t>
      </w:r>
      <w:r>
        <w:rPr>
          <w:rFonts w:ascii="Verdana" w:hAnsi="Verdana" w:cs="Arial"/>
          <w:shd w:val="clear" w:color="auto" w:fill="FFFFFF"/>
        </w:rPr>
        <w:t>, e</w:t>
      </w:r>
      <w:r w:rsidRPr="001C5B66">
        <w:rPr>
          <w:rFonts w:ascii="Verdana" w:hAnsi="Verdana" w:cs="Arial"/>
          <w:shd w:val="clear" w:color="auto" w:fill="FFFFFF"/>
        </w:rPr>
        <w:t xml:space="preserve">n los conceptos </w:t>
      </w:r>
      <w:r>
        <w:rPr>
          <w:rFonts w:ascii="Verdana" w:hAnsi="Verdana" w:cs="Arial"/>
          <w:shd w:val="clear" w:color="auto" w:fill="FFFFFF"/>
        </w:rPr>
        <w:t xml:space="preserve"> </w:t>
      </w:r>
      <w:r w:rsidRPr="001C5B66">
        <w:rPr>
          <w:rFonts w:ascii="Verdana" w:hAnsi="Verdana" w:cs="Arial"/>
          <w:shd w:val="clear" w:color="auto" w:fill="FFFFFF"/>
        </w:rPr>
        <w:t xml:space="preserve">C-758 del 10 de noviembre de 2022, C-089 del 28 de abril de 2023, C-159 del </w:t>
      </w:r>
      <w:r>
        <w:rPr>
          <w:rFonts w:ascii="Verdana" w:hAnsi="Verdana" w:cs="Arial"/>
          <w:shd w:val="clear" w:color="auto" w:fill="FFFFFF"/>
        </w:rPr>
        <w:t xml:space="preserve"> </w:t>
      </w:r>
      <w:r w:rsidRPr="001C5B66">
        <w:rPr>
          <w:rFonts w:ascii="Verdana" w:hAnsi="Verdana" w:cs="Arial"/>
          <w:shd w:val="clear" w:color="auto" w:fill="FFFFFF"/>
        </w:rPr>
        <w:t>22 de junio de 2023, C-165 del 2 de junio de 2023, C-269 del 12 de julio de 2023,</w:t>
      </w:r>
      <w:r>
        <w:rPr>
          <w:rFonts w:ascii="Verdana" w:hAnsi="Verdana" w:cs="Arial"/>
          <w:shd w:val="clear" w:color="auto" w:fill="FFFFFF"/>
        </w:rPr>
        <w:t xml:space="preserve"> </w:t>
      </w:r>
      <w:r w:rsidRPr="001C5B66">
        <w:rPr>
          <w:rFonts w:ascii="Verdana" w:hAnsi="Verdana" w:cs="Arial"/>
          <w:shd w:val="clear" w:color="auto" w:fill="FFFFFF"/>
        </w:rPr>
        <w:t xml:space="preserve">C-295 del 24 de julio de 2023, C-302 del 14 de septiembre de 2023, C-366 del </w:t>
      </w:r>
      <w:r>
        <w:rPr>
          <w:rFonts w:ascii="Verdana" w:hAnsi="Verdana" w:cs="Arial"/>
          <w:shd w:val="clear" w:color="auto" w:fill="FFFFFF"/>
        </w:rPr>
        <w:t xml:space="preserve"> </w:t>
      </w:r>
      <w:r w:rsidRPr="001C5B66">
        <w:rPr>
          <w:rFonts w:ascii="Verdana" w:hAnsi="Verdana" w:cs="Arial"/>
          <w:shd w:val="clear" w:color="auto" w:fill="FFFFFF"/>
        </w:rPr>
        <w:t xml:space="preserve">8 de septiembre de 2023, C-436 del 24 de octubre de 2023, C-279 del 31 de </w:t>
      </w:r>
      <w:r>
        <w:rPr>
          <w:rFonts w:ascii="Verdana" w:hAnsi="Verdana" w:cs="Arial"/>
          <w:shd w:val="clear" w:color="auto" w:fill="FFFFFF"/>
        </w:rPr>
        <w:t xml:space="preserve"> </w:t>
      </w:r>
      <w:r w:rsidRPr="001C5B66">
        <w:rPr>
          <w:rFonts w:ascii="Verdana" w:hAnsi="Verdana" w:cs="Arial"/>
          <w:shd w:val="clear" w:color="auto" w:fill="FFFFFF"/>
        </w:rPr>
        <w:t xml:space="preserve">octubre de 2023 y C-017 del 26 de febrero de 2024, </w:t>
      </w:r>
      <w:r>
        <w:rPr>
          <w:rFonts w:ascii="Verdana" w:hAnsi="Verdana" w:cs="Arial"/>
          <w:shd w:val="clear" w:color="auto" w:fill="FFFFFF"/>
        </w:rPr>
        <w:t>201 del 02 de Agosto de 2024.</w:t>
      </w:r>
    </w:p>
    <w:p w14:paraId="52217473" w14:textId="77777777" w:rsidR="00822A36" w:rsidRPr="00593A5F" w:rsidRDefault="00822A36" w:rsidP="00822A36">
      <w:pPr>
        <w:widowControl w:val="0"/>
        <w:autoSpaceDE w:val="0"/>
        <w:autoSpaceDN w:val="0"/>
        <w:spacing w:after="0" w:line="276" w:lineRule="auto"/>
        <w:jc w:val="both"/>
        <w:rPr>
          <w:rFonts w:ascii="Verdana" w:hAnsi="Verdana" w:cs="Arial"/>
        </w:rPr>
      </w:pPr>
    </w:p>
    <w:p w14:paraId="687D38DD" w14:textId="77777777" w:rsidR="00822A36" w:rsidRPr="00D33E27" w:rsidRDefault="00822A36" w:rsidP="00822A36">
      <w:pPr>
        <w:widowControl w:val="0"/>
        <w:autoSpaceDE w:val="0"/>
        <w:autoSpaceDN w:val="0"/>
        <w:spacing w:after="0" w:line="276" w:lineRule="auto"/>
        <w:jc w:val="both"/>
        <w:rPr>
          <w:rStyle w:val="normaltextrun"/>
          <w:rFonts w:ascii="Verdana" w:hAnsi="Verdana" w:cs="Arial"/>
          <w:shd w:val="clear" w:color="auto" w:fill="FFFFFF"/>
          <w:lang w:val="es-ES"/>
        </w:rPr>
      </w:pPr>
      <w:r w:rsidRPr="00D33E27">
        <w:rPr>
          <w:rStyle w:val="normaltextrun"/>
          <w:rFonts w:ascii="Verdana" w:hAnsi="Verdana" w:cs="Arial"/>
          <w:shd w:val="clear" w:color="auto" w:fill="FFFFFF"/>
          <w:lang w:val="es-ES"/>
        </w:rPr>
        <w:t xml:space="preserve">Sobre las limitaciones territoriales de convocatorias a MiPymes, esta Subdirección se ha pronunciado en los conceptos Nro.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w:t>
      </w:r>
      <w:r w:rsidRPr="00D33E27">
        <w:rPr>
          <w:rStyle w:val="normaltextrun"/>
          <w:rFonts w:ascii="Verdana" w:hAnsi="Verdana" w:cs="Arial"/>
          <w:shd w:val="clear" w:color="auto" w:fill="FFFFFF"/>
          <w:lang w:val="es-ES"/>
        </w:rPr>
        <w:lastRenderedPageBreak/>
        <w:t xml:space="preserve">2022, C-627 del 12 de septiembre de 2022, C-643 del 10 de octubre de 2022, C-662 del 13 de octubre de 2022, C-699 del 25 de octubre de 2022, C-744 del 08 de noviembre de 2022 y C-758 del 10 de noviembre de 2022, C-089 del 28 de abril de 2023, C -094 del 19 de junio de 2024 y C-253 del 15 de agosto del 2024. </w:t>
      </w:r>
    </w:p>
    <w:p w14:paraId="26FB755E" w14:textId="77777777" w:rsidR="00822A36" w:rsidRPr="00D33E27" w:rsidRDefault="00822A36" w:rsidP="00822A36">
      <w:pPr>
        <w:widowControl w:val="0"/>
        <w:autoSpaceDE w:val="0"/>
        <w:autoSpaceDN w:val="0"/>
        <w:spacing w:after="0" w:line="276" w:lineRule="auto"/>
        <w:jc w:val="both"/>
        <w:rPr>
          <w:rStyle w:val="normaltextrun"/>
          <w:rFonts w:ascii="Verdana" w:hAnsi="Verdana" w:cs="Arial"/>
          <w:shd w:val="clear" w:color="auto" w:fill="FFFFFF"/>
          <w:lang w:val="es-ES"/>
        </w:rPr>
      </w:pPr>
    </w:p>
    <w:p w14:paraId="17D24D06" w14:textId="77777777" w:rsidR="00822A36" w:rsidRPr="00D33E27" w:rsidRDefault="00822A36" w:rsidP="00822A36">
      <w:pPr>
        <w:widowControl w:val="0"/>
        <w:autoSpaceDE w:val="0"/>
        <w:autoSpaceDN w:val="0"/>
        <w:spacing w:after="0" w:line="276" w:lineRule="auto"/>
        <w:jc w:val="both"/>
        <w:rPr>
          <w:rFonts w:ascii="Verdana" w:hAnsi="Verdana" w:cs="Arial"/>
          <w:shd w:val="clear" w:color="auto" w:fill="FFFFFF"/>
          <w:lang w:val="es-ES"/>
        </w:rPr>
      </w:pPr>
      <w:r w:rsidRPr="00D33E27">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tgtFrame="_blank" w:tooltip="Dirección URL original: https://relatoria.colombiacompra.gov.co/. Haga clic o pulse si confía en este vínculo." w:history="1">
        <w:r w:rsidRPr="00D33E27">
          <w:rPr>
            <w:rStyle w:val="Hipervnculo"/>
            <w:rFonts w:ascii="Verdana" w:hAnsi="Verdana" w:cs="Arial"/>
            <w:shd w:val="clear" w:color="auto" w:fill="FFFFFF"/>
          </w:rPr>
          <w:t>https://relatoria.colombiacompra.gov.co/</w:t>
        </w:r>
      </w:hyperlink>
      <w:r w:rsidRPr="00D33E27">
        <w:rPr>
          <w:rFonts w:ascii="Verdana" w:hAnsi="Verdana" w:cs="Arial"/>
          <w:shd w:val="clear" w:color="auto" w:fill="FFFFFF"/>
        </w:rPr>
        <w:t xml:space="preserve"> . </w:t>
      </w:r>
    </w:p>
    <w:p w14:paraId="79E1A9A8" w14:textId="77777777" w:rsidR="00822A36" w:rsidRPr="00D33E27" w:rsidRDefault="00822A36" w:rsidP="00822A36">
      <w:pPr>
        <w:widowControl w:val="0"/>
        <w:autoSpaceDE w:val="0"/>
        <w:autoSpaceDN w:val="0"/>
        <w:spacing w:after="0" w:line="276" w:lineRule="auto"/>
        <w:jc w:val="both"/>
        <w:rPr>
          <w:rFonts w:ascii="Verdana" w:hAnsi="Verdana" w:cs="Arial"/>
          <w:shd w:val="clear" w:color="auto" w:fill="FFFFFF"/>
        </w:rPr>
      </w:pPr>
    </w:p>
    <w:p w14:paraId="61368100" w14:textId="77777777" w:rsidR="00822A36" w:rsidRPr="003E2460" w:rsidRDefault="00822A36" w:rsidP="00822A36">
      <w:pPr>
        <w:spacing w:after="0" w:line="240" w:lineRule="auto"/>
        <w:jc w:val="both"/>
        <w:rPr>
          <w:rFonts w:ascii="Verdana" w:hAnsi="Verdana"/>
        </w:rPr>
      </w:pPr>
      <w:r w:rsidRPr="00800300">
        <w:rPr>
          <w:rFonts w:ascii="Verdana" w:hAnsi="Verdana" w:cs="Arial"/>
          <w:shd w:val="clear" w:color="auto" w:fill="FFFFFF"/>
        </w:rPr>
        <w:t xml:space="preserve">Te </w:t>
      </w:r>
      <w:proofErr w:type="gramStart"/>
      <w:r w:rsidRPr="00800300">
        <w:rPr>
          <w:rFonts w:ascii="Verdana" w:hAnsi="Verdana" w:cs="Arial"/>
          <w:shd w:val="clear" w:color="auto" w:fill="FFFFFF"/>
        </w:rPr>
        <w:t>invitamos  a</w:t>
      </w:r>
      <w:proofErr w:type="gramEnd"/>
      <w:r w:rsidRPr="00800300">
        <w:rPr>
          <w:rFonts w:ascii="Verdana" w:hAnsi="Verdana" w:cs="Arial"/>
          <w:shd w:val="clear" w:color="auto" w:fill="FFFFFF"/>
        </w:rPr>
        <w:t xml:space="preserve">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6" w:tgtFrame="_blank" w:tooltip="Dirección URL original: https://www.colombiacompra.gov.co/sala-de-prensa/boletin-digital/boletin-de-relatoria-2024-iv. Haga clic o pulse si confía en este vínculo." w:history="1">
        <w:r w:rsidRPr="00800300">
          <w:rPr>
            <w:rStyle w:val="Hipervnculo"/>
            <w:rFonts w:ascii="Verdana" w:hAnsi="Verdana" w:cs="Arial"/>
            <w:shd w:val="clear" w:color="auto" w:fill="FFFFFF"/>
          </w:rPr>
          <w:t>BOLETÍN DE RELATORÍA 2024 – IV | Colombia Compra Eficiente | Agencia Nacional de Contratación Pública</w:t>
        </w:r>
      </w:hyperlink>
      <w:r>
        <w:rPr>
          <w:rFonts w:ascii="Verdana" w:hAnsi="Verdana" w:cs="Arial"/>
          <w:shd w:val="clear" w:color="auto" w:fill="FFFFFF"/>
        </w:rPr>
        <w:t xml:space="preserve"> </w:t>
      </w:r>
      <w:r w:rsidRPr="003E2460">
        <w:rPr>
          <w:rFonts w:ascii="Verdana" w:hAnsi="Verdana"/>
        </w:rPr>
        <w:t xml:space="preserve">Por último, lo invitamos a seguirnos en las redes sociales en las cuales se difunde información institucional: </w:t>
      </w:r>
    </w:p>
    <w:p w14:paraId="02FFB74B" w14:textId="77777777" w:rsidR="00822A36" w:rsidRPr="003E2460" w:rsidRDefault="00822A36" w:rsidP="00822A36">
      <w:pPr>
        <w:spacing w:after="0" w:line="240" w:lineRule="auto"/>
        <w:jc w:val="both"/>
        <w:rPr>
          <w:rFonts w:ascii="Verdana" w:hAnsi="Verdana"/>
        </w:rPr>
      </w:pPr>
    </w:p>
    <w:p w14:paraId="27276701" w14:textId="77777777" w:rsidR="00822A36" w:rsidRPr="003E2460" w:rsidRDefault="00822A36" w:rsidP="00822A36">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2DA75208" w14:textId="77777777" w:rsidR="00822A36" w:rsidRPr="003E2460" w:rsidRDefault="00822A36" w:rsidP="00822A36">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0702BE06" w14:textId="77777777" w:rsidR="00822A36" w:rsidRPr="003E2460" w:rsidRDefault="00822A36" w:rsidP="00822A36">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0F4099BD" w14:textId="77777777" w:rsidR="00822A36" w:rsidRPr="00593A5F" w:rsidRDefault="00822A36" w:rsidP="00822A36">
      <w:pPr>
        <w:widowControl w:val="0"/>
        <w:autoSpaceDE w:val="0"/>
        <w:autoSpaceDN w:val="0"/>
        <w:spacing w:after="0" w:line="276" w:lineRule="auto"/>
        <w:jc w:val="both"/>
        <w:rPr>
          <w:rFonts w:ascii="Verdana" w:hAnsi="Verdana" w:cs="Arial"/>
        </w:rPr>
      </w:pPr>
    </w:p>
    <w:p w14:paraId="3C56ABEC" w14:textId="77777777" w:rsidR="00822A36" w:rsidRPr="00593A5F" w:rsidRDefault="00822A36" w:rsidP="00822A36">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40E426A" w14:textId="77777777" w:rsidR="00822A36" w:rsidRPr="00593A5F" w:rsidRDefault="00822A36" w:rsidP="00822A36">
      <w:pPr>
        <w:widowControl w:val="0"/>
        <w:autoSpaceDE w:val="0"/>
        <w:autoSpaceDN w:val="0"/>
        <w:spacing w:after="0" w:line="276" w:lineRule="auto"/>
        <w:jc w:val="both"/>
        <w:rPr>
          <w:rFonts w:ascii="Verdana" w:hAnsi="Verdana" w:cs="Arial"/>
        </w:rPr>
      </w:pPr>
    </w:p>
    <w:p w14:paraId="1216D9DE" w14:textId="77777777" w:rsidR="00822A36" w:rsidRPr="00593A5F" w:rsidRDefault="00822A36" w:rsidP="00822A36">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1B0C8B5" w14:textId="5328B990" w:rsidR="00822A36" w:rsidRPr="00593A5F" w:rsidRDefault="00C92939" w:rsidP="00822A36">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4F31EFEC" wp14:editId="49CE1BA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22A36" w:rsidRPr="004B2B8D" w14:paraId="6122030D" w14:textId="77777777" w:rsidTr="00E94C9A">
        <w:trPr>
          <w:trHeight w:val="315"/>
        </w:trPr>
        <w:tc>
          <w:tcPr>
            <w:tcW w:w="893" w:type="dxa"/>
            <w:vAlign w:val="center"/>
            <w:hideMark/>
          </w:tcPr>
          <w:p w14:paraId="46107DED" w14:textId="77777777" w:rsidR="00822A36" w:rsidRPr="004B2B8D" w:rsidRDefault="00822A36" w:rsidP="00E94C9A">
            <w:pPr>
              <w:contextualSpacing/>
              <w:rPr>
                <w:rFonts w:ascii="Verdana" w:hAnsi="Verdana" w:cs="Arial"/>
                <w:sz w:val="16"/>
                <w:szCs w:val="16"/>
                <w:lang w:val="es-ES" w:eastAsia="es-ES"/>
              </w:rPr>
            </w:pPr>
            <w:r w:rsidRPr="004B2B8D">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01BBD374" w14:textId="77777777" w:rsidR="00822A36" w:rsidRPr="004B2B8D" w:rsidRDefault="00822A36" w:rsidP="00E94C9A">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1DABC144" w14:textId="77777777" w:rsidR="00822A36" w:rsidRPr="004B2B8D" w:rsidRDefault="00822A36" w:rsidP="00E94C9A">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822A36" w:rsidRPr="004B2B8D" w14:paraId="428CDD99" w14:textId="77777777" w:rsidTr="00E94C9A">
        <w:trPr>
          <w:trHeight w:val="330"/>
        </w:trPr>
        <w:tc>
          <w:tcPr>
            <w:tcW w:w="893" w:type="dxa"/>
            <w:vAlign w:val="center"/>
            <w:hideMark/>
          </w:tcPr>
          <w:p w14:paraId="70DC0726" w14:textId="77777777" w:rsidR="00822A36" w:rsidRPr="004B2B8D" w:rsidRDefault="00822A36" w:rsidP="00E94C9A">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40B3F8E" w14:textId="77777777" w:rsidR="00822A36" w:rsidRPr="009731F5" w:rsidRDefault="00822A36" w:rsidP="00E94C9A">
            <w:pPr>
              <w:jc w:val="both"/>
              <w:rPr>
                <w:rFonts w:ascii="Verdana" w:hAnsi="Verdana" w:cs="Arial"/>
                <w:sz w:val="16"/>
                <w:szCs w:val="16"/>
              </w:rPr>
            </w:pPr>
            <w:r>
              <w:rPr>
                <w:rFonts w:ascii="Verdana" w:hAnsi="Verdana" w:cs="Arial"/>
                <w:sz w:val="16"/>
                <w:szCs w:val="16"/>
              </w:rPr>
              <w:t>Cielo Victoria González Meza</w:t>
            </w:r>
          </w:p>
          <w:p w14:paraId="7E920313" w14:textId="77777777" w:rsidR="00822A36" w:rsidRPr="004B2B8D" w:rsidRDefault="00822A36" w:rsidP="00E94C9A">
            <w:pPr>
              <w:pStyle w:val="paragraph"/>
              <w:spacing w:before="0" w:beforeAutospacing="0" w:after="0" w:afterAutospacing="0"/>
              <w:contextualSpacing/>
              <w:textAlignment w:val="baseline"/>
              <w:rPr>
                <w:rFonts w:ascii="Verdana" w:hAnsi="Verdana" w:cs="Segoe UI"/>
                <w:sz w:val="16"/>
                <w:szCs w:val="16"/>
              </w:rPr>
            </w:pPr>
            <w:r>
              <w:rPr>
                <w:rFonts w:ascii="Verdana" w:hAnsi="Verdana" w:cs="Arial"/>
                <w:sz w:val="16"/>
                <w:szCs w:val="16"/>
                <w:lang w:val="es-ES" w:eastAsia="es-ES"/>
              </w:rPr>
              <w:t>Contratista</w:t>
            </w:r>
            <w:r w:rsidRPr="009731F5">
              <w:rPr>
                <w:rFonts w:ascii="Verdana" w:hAnsi="Verdana" w:cs="Arial"/>
                <w:sz w:val="16"/>
                <w:szCs w:val="16"/>
                <w:lang w:val="es-ES" w:eastAsia="es-ES"/>
              </w:rPr>
              <w:t xml:space="preserve"> de la Subdirección de Gestión Contractual</w:t>
            </w:r>
          </w:p>
        </w:tc>
      </w:tr>
      <w:tr w:rsidR="00822A36" w:rsidRPr="004B2B8D" w14:paraId="5DAF6599" w14:textId="77777777" w:rsidTr="00E94C9A">
        <w:trPr>
          <w:trHeight w:val="300"/>
        </w:trPr>
        <w:tc>
          <w:tcPr>
            <w:tcW w:w="893" w:type="dxa"/>
            <w:vAlign w:val="center"/>
          </w:tcPr>
          <w:p w14:paraId="311E0D6D" w14:textId="77777777" w:rsidR="00822A36" w:rsidRPr="004B2B8D" w:rsidRDefault="00822A36" w:rsidP="00E94C9A">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8F5D614" w14:textId="77777777" w:rsidR="00822A36" w:rsidRPr="004B2B8D" w:rsidRDefault="00822A36" w:rsidP="00E94C9A">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3A22A20B" w14:textId="77777777" w:rsidR="00822A36" w:rsidRPr="004B2B8D" w:rsidRDefault="00822A36" w:rsidP="00E94C9A">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2CD9841D" w14:textId="77777777" w:rsidR="00822A36" w:rsidRPr="00593A5F" w:rsidRDefault="00822A36" w:rsidP="00822A36">
      <w:pPr>
        <w:spacing w:after="0" w:line="240" w:lineRule="auto"/>
        <w:rPr>
          <w:rFonts w:ascii="Verdana" w:eastAsia="Times New Roman" w:hAnsi="Verdana" w:cs="Arial"/>
          <w:sz w:val="24"/>
          <w:szCs w:val="24"/>
          <w:lang w:eastAsia="es-ES"/>
        </w:rPr>
      </w:pPr>
    </w:p>
    <w:p w14:paraId="2FAE04BC" w14:textId="77777777" w:rsidR="00822A36" w:rsidRPr="00564CAF" w:rsidRDefault="00822A36" w:rsidP="00822A36"/>
    <w:p w14:paraId="41F85C9D" w14:textId="77777777" w:rsidR="00822A36" w:rsidRPr="002E6128" w:rsidRDefault="00822A36" w:rsidP="00822A36"/>
    <w:p w14:paraId="3900974D" w14:textId="77777777" w:rsidR="003D5B0D" w:rsidRPr="004B2BC5" w:rsidRDefault="003D5B0D" w:rsidP="004B2BC5"/>
    <w:sectPr w:rsidR="003D5B0D" w:rsidRPr="004B2BC5"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13FE9" w14:textId="77777777" w:rsidR="00746DBC" w:rsidRDefault="00746DBC" w:rsidP="004A1847">
      <w:pPr>
        <w:spacing w:after="0" w:line="240" w:lineRule="auto"/>
      </w:pPr>
      <w:r>
        <w:separator/>
      </w:r>
    </w:p>
  </w:endnote>
  <w:endnote w:type="continuationSeparator" w:id="0">
    <w:p w14:paraId="5655C5F7" w14:textId="77777777" w:rsidR="00746DBC" w:rsidRDefault="00746DBC" w:rsidP="004A1847">
      <w:pPr>
        <w:spacing w:after="0" w:line="240" w:lineRule="auto"/>
      </w:pPr>
      <w:r>
        <w:continuationSeparator/>
      </w:r>
    </w:p>
  </w:endnote>
  <w:endnote w:type="continuationNotice" w:id="1">
    <w:p w14:paraId="7C0FCF1A" w14:textId="77777777" w:rsidR="00746DBC" w:rsidRDefault="00746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MT">
    <w:altName w:val="Klee One"/>
    <w:panose1 w:val="00000000000000000000"/>
    <w:charset w:val="80"/>
    <w:family w:val="auto"/>
    <w:notTrueType/>
    <w:pitch w:val="default"/>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F4882" w14:textId="77777777" w:rsidR="00746DBC" w:rsidRDefault="00746DBC" w:rsidP="004A1847">
      <w:pPr>
        <w:spacing w:after="0" w:line="240" w:lineRule="auto"/>
      </w:pPr>
      <w:r>
        <w:separator/>
      </w:r>
    </w:p>
  </w:footnote>
  <w:footnote w:type="continuationSeparator" w:id="0">
    <w:p w14:paraId="2B0E17A9" w14:textId="77777777" w:rsidR="00746DBC" w:rsidRDefault="00746DBC" w:rsidP="004A1847">
      <w:pPr>
        <w:spacing w:after="0" w:line="240" w:lineRule="auto"/>
      </w:pPr>
      <w:r>
        <w:continuationSeparator/>
      </w:r>
    </w:p>
  </w:footnote>
  <w:footnote w:type="continuationNotice" w:id="1">
    <w:p w14:paraId="00683A94" w14:textId="77777777" w:rsidR="00746DBC" w:rsidRDefault="00746DBC">
      <w:pPr>
        <w:spacing w:after="0" w:line="240" w:lineRule="auto"/>
      </w:pPr>
    </w:p>
  </w:footnote>
  <w:footnote w:id="2">
    <w:p w14:paraId="6A564FE5" w14:textId="7C1EFF86" w:rsidR="006228EF" w:rsidRPr="00482DE5" w:rsidRDefault="006228EF">
      <w:pPr>
        <w:pStyle w:val="Textonotapie"/>
        <w:rPr>
          <w:lang w:val="es-ES"/>
        </w:rPr>
      </w:pPr>
      <w:r>
        <w:rPr>
          <w:rStyle w:val="Refdenotaalpie"/>
        </w:rPr>
        <w:footnoteRef/>
      </w:r>
      <w:r>
        <w:t xml:space="preserve"> </w:t>
      </w:r>
      <w:r w:rsidRPr="00B668DD">
        <w:rPr>
          <w:rFonts w:ascii="Verdana" w:eastAsia="Century Gothic" w:hAnsi="Verdana" w:cs="Century Gothic"/>
        </w:rPr>
        <w:t>artículo 2.2.1.2.4.2.4 de</w:t>
      </w:r>
      <w:r>
        <w:rPr>
          <w:rFonts w:ascii="Verdana" w:eastAsia="Century Gothic" w:hAnsi="Verdana" w:cs="Century Gothic"/>
        </w:rPr>
        <w:t>l Decreto 1082 del 2015</w:t>
      </w:r>
    </w:p>
  </w:footnote>
  <w:footnote w:id="3">
    <w:p w14:paraId="7AD88677" w14:textId="77777777" w:rsidR="00822A36" w:rsidRPr="00C92939" w:rsidRDefault="00822A36" w:rsidP="00822A36">
      <w:pPr>
        <w:pStyle w:val="Textonotapie"/>
        <w:rPr>
          <w:sz w:val="12"/>
          <w:szCs w:val="12"/>
          <w:lang w:val="en-US"/>
        </w:rPr>
      </w:pPr>
      <w:r w:rsidRPr="00EE54D4">
        <w:rPr>
          <w:rStyle w:val="Refdenotaalpie"/>
          <w:sz w:val="12"/>
          <w:szCs w:val="12"/>
        </w:rPr>
        <w:footnoteRef/>
      </w:r>
      <w:r w:rsidRPr="00C92939">
        <w:rPr>
          <w:sz w:val="12"/>
          <w:szCs w:val="12"/>
          <w:lang w:val="en-US"/>
        </w:rPr>
        <w:t xml:space="preserve"> Chrome </w:t>
      </w:r>
      <w:proofErr w:type="gramStart"/>
      <w:r w:rsidRPr="00C92939">
        <w:rPr>
          <w:sz w:val="12"/>
          <w:szCs w:val="12"/>
          <w:lang w:val="en-US"/>
        </w:rPr>
        <w:t>extension://efaidnbmnnnibpcajpcglclefindmkaj/https://www.colombiacompra.gov.co/sites/cce_public/files/cce_documents/guia_para_promover_la_participacion_de_las_mipymes_en_los_procesos_de_compra_publica_cce-gad-gi-26_1.pdf;;</w:t>
      </w:r>
      <w:proofErr w:type="gramEnd"/>
      <w:r w:rsidRPr="00C92939">
        <w:rPr>
          <w:sz w:val="12"/>
          <w:szCs w:val="12"/>
          <w:lang w:val="en-US"/>
        </w:rPr>
        <w:t xml:space="preserve"> </w:t>
      </w:r>
    </w:p>
    <w:p w14:paraId="5FAB82C2" w14:textId="77777777" w:rsidR="00822A36" w:rsidRPr="00C92939" w:rsidRDefault="00822A36" w:rsidP="00822A36">
      <w:pPr>
        <w:pStyle w:val="Textonotapie"/>
        <w:rPr>
          <w:sz w:val="12"/>
          <w:szCs w:val="12"/>
          <w:lang w:val="en-US"/>
        </w:rPr>
      </w:pPr>
    </w:p>
  </w:footnote>
  <w:footnote w:id="4">
    <w:p w14:paraId="51C42C4F" w14:textId="77777777" w:rsidR="00822A36" w:rsidRPr="003E50EB" w:rsidRDefault="00822A36" w:rsidP="00822A36">
      <w:pPr>
        <w:pStyle w:val="Textonotapie"/>
      </w:pPr>
      <w:r>
        <w:rPr>
          <w:rStyle w:val="Refdenotaalpie"/>
        </w:rPr>
        <w:footnoteRef/>
      </w:r>
      <w:r>
        <w:t xml:space="preserve"> Artículo 74 del C. Civil.</w:t>
      </w:r>
    </w:p>
  </w:footnote>
  <w:footnote w:id="5">
    <w:p w14:paraId="6DE4B8C0" w14:textId="77777777" w:rsidR="00822A36" w:rsidRPr="009527F7" w:rsidRDefault="00822A36" w:rsidP="00822A36">
      <w:pPr>
        <w:pStyle w:val="Textonotapie"/>
      </w:pPr>
      <w:r>
        <w:rPr>
          <w:rStyle w:val="Refdenotaalpie"/>
        </w:rPr>
        <w:footnoteRef/>
      </w:r>
      <w:r>
        <w:t xml:space="preserve"> Artículo 633 del C.Civil.</w:t>
      </w:r>
    </w:p>
  </w:footnote>
  <w:footnote w:id="6">
    <w:p w14:paraId="7A9086B9" w14:textId="77777777" w:rsidR="00822A36" w:rsidRPr="002024BF" w:rsidRDefault="00822A36" w:rsidP="00822A36">
      <w:pPr>
        <w:spacing w:after="0" w:line="276" w:lineRule="auto"/>
        <w:jc w:val="both"/>
        <w:rPr>
          <w:rFonts w:ascii="Verdana" w:eastAsia="Calibri" w:hAnsi="Verdana" w:cs="Arial"/>
          <w:sz w:val="16"/>
          <w:szCs w:val="16"/>
        </w:rPr>
      </w:pPr>
      <w:r w:rsidRPr="002024BF">
        <w:rPr>
          <w:rStyle w:val="Refdenotaalpie"/>
          <w:rFonts w:ascii="Verdana" w:hAnsi="Verdana"/>
          <w:sz w:val="16"/>
          <w:szCs w:val="16"/>
        </w:rPr>
        <w:footnoteRef/>
      </w:r>
      <w:r w:rsidRPr="002024BF">
        <w:rPr>
          <w:rFonts w:ascii="Verdana" w:hAnsi="Verdana"/>
          <w:sz w:val="16"/>
          <w:szCs w:val="16"/>
        </w:rPr>
        <w:t xml:space="preserve"> </w:t>
      </w:r>
      <w:r w:rsidRPr="002024BF">
        <w:rPr>
          <w:rFonts w:ascii="Verdana" w:eastAsia="Calibri" w:hAnsi="Verdana" w:cs="Arial"/>
          <w:sz w:val="16"/>
          <w:szCs w:val="16"/>
        </w:rPr>
        <w:t>ARTÍCULO 2.2.1.13.2.4 Decreto 957 de 2019. Acreditación del tamaño empresarial. Las empresas deberán acreditar su tamaño empresarial mediante certificación donde conste el valor de los ingresos por actividades ordinarias al 31 de diciembre del año inmediatamente anterior. o los obtenidos durante el tiempo de su operación, de la siguiente forma:</w:t>
      </w:r>
    </w:p>
    <w:p w14:paraId="158D537B"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69C85B4A"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1. Las personas naturales mediante certificación expedida por estas.</w:t>
      </w:r>
    </w:p>
    <w:p w14:paraId="46631C45"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63405C9B"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2. Las personas jurídicas mediante certificación expedida por el representante legal o el contador o revisor fiscal, si están obligadas a tenerlo.</w:t>
      </w:r>
    </w:p>
    <w:p w14:paraId="372D8279"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67F31F77"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Para los anteriores efectos, deberán observarse los rangos de clasificación establecidos en el presente Capítulo.</w:t>
      </w:r>
    </w:p>
    <w:p w14:paraId="750B0B51"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43BE22A1"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Parágrafo. Para la aplicación de los incentivos del sistema de compras y contratación pública,</w:t>
      </w:r>
    </w:p>
    <w:p w14:paraId="70434C3C"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60D07A27" w14:textId="77777777" w:rsidR="00822A36" w:rsidRPr="002024BF" w:rsidRDefault="00822A36" w:rsidP="00822A36">
      <w:pPr>
        <w:spacing w:after="0" w:line="276" w:lineRule="auto"/>
        <w:jc w:val="both"/>
        <w:rPr>
          <w:rFonts w:ascii="Verdana" w:eastAsia="Calibri" w:hAnsi="Verdana" w:cs="Arial"/>
          <w:sz w:val="16"/>
          <w:szCs w:val="16"/>
        </w:rPr>
      </w:pPr>
      <w:r w:rsidRPr="002024BF">
        <w:rPr>
          <w:rFonts w:ascii="Verdana" w:eastAsia="Calibri" w:hAnsi="Verdana" w:cs="Arial"/>
          <w:sz w:val="16"/>
          <w:szCs w:val="16"/>
        </w:rPr>
        <w:t>la acreditación del tamaño empresarial se efectuará de acuerdo con lo previsto en el artículo 2.2.1.2.4.2.4 del Decreto 1082 de 2015 y demás normas que lo aclaren, modifiquen o adicionen.</w:t>
      </w:r>
    </w:p>
    <w:p w14:paraId="38EB1AC9" w14:textId="77777777" w:rsidR="00822A36" w:rsidRPr="00496EAA" w:rsidRDefault="00822A36" w:rsidP="00822A36">
      <w:pPr>
        <w:pStyle w:val="Textonotapie"/>
      </w:pPr>
    </w:p>
  </w:footnote>
  <w:footnote w:id="7">
    <w:p w14:paraId="2E6F6B16" w14:textId="77777777" w:rsidR="00822A36" w:rsidRPr="00C92939" w:rsidRDefault="00822A36" w:rsidP="00822A36">
      <w:pPr>
        <w:pStyle w:val="Textonotapie"/>
        <w:jc w:val="both"/>
        <w:rPr>
          <w:rFonts w:ascii="Verdana" w:hAnsi="Verdana" w:cstheme="minorHAnsi"/>
          <w:sz w:val="12"/>
          <w:szCs w:val="12"/>
          <w:lang w:val="es-CO"/>
        </w:rPr>
      </w:pPr>
      <w:r>
        <w:rPr>
          <w:rStyle w:val="Refdenotaalpie"/>
        </w:rPr>
        <w:footnoteRef/>
      </w:r>
      <w:r>
        <w:t xml:space="preserve"> </w:t>
      </w:r>
      <w:r w:rsidRPr="00C92939">
        <w:rPr>
          <w:rFonts w:ascii="Verdana" w:hAnsi="Verdana" w:cstheme="minorHAnsi"/>
          <w:sz w:val="12"/>
          <w:szCs w:val="12"/>
          <w:lang w:val="es-CO"/>
        </w:rPr>
        <w:t xml:space="preserve">Al respecto, de acuerdo con el Concepto C-089 del 28 de abril de 2023, la Agencia estima que “el debido ejercicio de la referida potestad discrecional exige que converjan unos mínimos presupuestos de adecuación, para que resulte adecuada la decisión de limitar una convocatoria a la participación exclusiva de MiPymes. Es por esto por lo que la decisión de limitar territorialmente una convocatoria solo puede resultar razonable si la información recolectada en el marco del análisis del sector indica que en el lugar de ejecución del contrato existe un número significativo de MiPymes allí domiciliadas, cuyo objeto social les permitiría desarrollar el contrato o que estén interesadas en participar en el respectivo proceso de contratación. Adicionalmente, se torna relevante determinar que tantas de esas MiPymes tendrían la posibilidad de participar en el respectivo proceso de contratación en consideración en atención a las aptitudes e idoneidad requerida. De acuerdo con lo anterior, difícilmente podría entenderse adecuada la decisión de limitar una convocatoria por el referido factor territorial, si dentro del estudio del sector no se identifican una pluralidad de MiPymes que estén en posición de participar en el respectivo proceso. </w:t>
      </w:r>
    </w:p>
    <w:p w14:paraId="036BEB36" w14:textId="77777777" w:rsidR="00822A36" w:rsidRPr="00C92939" w:rsidRDefault="00822A36" w:rsidP="00822A36">
      <w:pPr>
        <w:pStyle w:val="Textonotapie"/>
        <w:jc w:val="both"/>
        <w:rPr>
          <w:rFonts w:ascii="Verdana" w:hAnsi="Verdana" w:cstheme="minorHAnsi"/>
          <w:sz w:val="12"/>
          <w:szCs w:val="12"/>
          <w:lang w:val="es-CO"/>
        </w:rPr>
      </w:pPr>
      <w:r w:rsidRPr="00C92939">
        <w:rPr>
          <w:rFonts w:ascii="Verdana" w:hAnsi="Verdana" w:cstheme="minorHAnsi"/>
          <w:sz w:val="12"/>
          <w:szCs w:val="12"/>
          <w:lang w:val="es-CO"/>
        </w:rPr>
        <w:t xml:space="preserve">En atención a lo anterior, situaciones en las que se presentan un ejercicio de la potestad de limitar a mipymes desconociendo los anteriores presupuestos mínimos, bien podrían ser cuestionadas por los proponentes, veedores y ciudadanía en general ya sea a través de observaciones, en el ejercicio del derecho fundamental de petición ante la respectiva entidad estatal o la presentación de denuncias antes las autoridades competentes en el caso de que se evidencien prácticas restrictivas a la competencia, o con relevancia penal o disciplinaria. Así mismo, en atención al interés general que revisten los procesos de contratación, cualquier ciudadano podría también solicitar el control judicial del respectivo pliego de condiciones –o invitación en los procesos de mínima cuantía–, cuando encuentre que estos contravienen el marco legal que les aplica”. </w:t>
      </w:r>
    </w:p>
    <w:p w14:paraId="5E2B1D47" w14:textId="77777777" w:rsidR="00822A36" w:rsidRPr="002024BF" w:rsidRDefault="00822A36" w:rsidP="00822A36">
      <w:pPr>
        <w:pStyle w:val="Textonotapie"/>
        <w:rPr>
          <w:lang w:val="es-ES"/>
        </w:rPr>
      </w:pPr>
    </w:p>
  </w:footnote>
  <w:footnote w:id="8">
    <w:p w14:paraId="438120F3" w14:textId="77777777" w:rsidR="00EF3149" w:rsidRPr="00482DE5" w:rsidRDefault="00EF3149" w:rsidP="00EF3149">
      <w:pPr>
        <w:pStyle w:val="Textonotapie"/>
        <w:rPr>
          <w:sz w:val="12"/>
          <w:szCs w:val="12"/>
          <w:lang w:val="en-US"/>
        </w:rPr>
      </w:pPr>
      <w:r w:rsidRPr="00EE54D4">
        <w:rPr>
          <w:rStyle w:val="Refdenotaalpie"/>
          <w:sz w:val="12"/>
          <w:szCs w:val="12"/>
        </w:rPr>
        <w:footnoteRef/>
      </w:r>
      <w:r w:rsidRPr="00482DE5">
        <w:rPr>
          <w:sz w:val="12"/>
          <w:szCs w:val="12"/>
          <w:lang w:val="en-US"/>
        </w:rPr>
        <w:t xml:space="preserve"> Chrome </w:t>
      </w:r>
      <w:proofErr w:type="gramStart"/>
      <w:r w:rsidRPr="00482DE5">
        <w:rPr>
          <w:sz w:val="12"/>
          <w:szCs w:val="12"/>
          <w:lang w:val="en-US"/>
        </w:rPr>
        <w:t>extension://efaidnbmnnnibpcajpcglclefindmkaj/https://www.colombiacompra.gov.co/sites/cce_public/files/cce_documents/guia_para_promover_la_participacion_de_las_mipymes_en_los_procesos_de_compra_publica_cce-gad-gi-26_1.pdf;;</w:t>
      </w:r>
      <w:proofErr w:type="gramEnd"/>
      <w:r w:rsidRPr="00482DE5">
        <w:rPr>
          <w:sz w:val="12"/>
          <w:szCs w:val="12"/>
          <w:lang w:val="en-US"/>
        </w:rPr>
        <w:t xml:space="preserve"> </w:t>
      </w:r>
    </w:p>
    <w:p w14:paraId="4BD9DE1F" w14:textId="77777777" w:rsidR="00EF3149" w:rsidRPr="00482DE5" w:rsidRDefault="00EF3149" w:rsidP="00EF3149">
      <w:pPr>
        <w:pStyle w:val="Textonotapie"/>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266A9"/>
    <w:multiLevelType w:val="hybridMultilevel"/>
    <w:tmpl w:val="647C4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95001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511A0"/>
    <w:rsid w:val="001675F3"/>
    <w:rsid w:val="001D581C"/>
    <w:rsid w:val="001E4177"/>
    <w:rsid w:val="001F7DC6"/>
    <w:rsid w:val="002421BB"/>
    <w:rsid w:val="00252812"/>
    <w:rsid w:val="0025796E"/>
    <w:rsid w:val="002707A2"/>
    <w:rsid w:val="00294465"/>
    <w:rsid w:val="002951A0"/>
    <w:rsid w:val="002962BC"/>
    <w:rsid w:val="002A093D"/>
    <w:rsid w:val="002A0DD0"/>
    <w:rsid w:val="002A49AC"/>
    <w:rsid w:val="002A64FD"/>
    <w:rsid w:val="002A79B0"/>
    <w:rsid w:val="002C7A84"/>
    <w:rsid w:val="002E4FD9"/>
    <w:rsid w:val="00301EFA"/>
    <w:rsid w:val="00317778"/>
    <w:rsid w:val="00322A85"/>
    <w:rsid w:val="00324168"/>
    <w:rsid w:val="003448F4"/>
    <w:rsid w:val="00374F5E"/>
    <w:rsid w:val="00377E3E"/>
    <w:rsid w:val="003A779E"/>
    <w:rsid w:val="003D0F4D"/>
    <w:rsid w:val="003D5B0D"/>
    <w:rsid w:val="003E0499"/>
    <w:rsid w:val="003E086B"/>
    <w:rsid w:val="003F3941"/>
    <w:rsid w:val="00406575"/>
    <w:rsid w:val="00414C74"/>
    <w:rsid w:val="0042722E"/>
    <w:rsid w:val="004344BF"/>
    <w:rsid w:val="004358D6"/>
    <w:rsid w:val="0044528D"/>
    <w:rsid w:val="00446121"/>
    <w:rsid w:val="00482DE5"/>
    <w:rsid w:val="004A1847"/>
    <w:rsid w:val="004A305D"/>
    <w:rsid w:val="004B2BC5"/>
    <w:rsid w:val="004C3924"/>
    <w:rsid w:val="004F21C4"/>
    <w:rsid w:val="004F685F"/>
    <w:rsid w:val="00527818"/>
    <w:rsid w:val="00540526"/>
    <w:rsid w:val="005566E8"/>
    <w:rsid w:val="005726A8"/>
    <w:rsid w:val="00574867"/>
    <w:rsid w:val="00587133"/>
    <w:rsid w:val="00591460"/>
    <w:rsid w:val="005B3816"/>
    <w:rsid w:val="005C3777"/>
    <w:rsid w:val="005C5CDC"/>
    <w:rsid w:val="005D476C"/>
    <w:rsid w:val="005F0CA3"/>
    <w:rsid w:val="006219F8"/>
    <w:rsid w:val="006228EF"/>
    <w:rsid w:val="00623FD9"/>
    <w:rsid w:val="00665D70"/>
    <w:rsid w:val="006900D9"/>
    <w:rsid w:val="006B1875"/>
    <w:rsid w:val="00701E00"/>
    <w:rsid w:val="00706C16"/>
    <w:rsid w:val="00746DBC"/>
    <w:rsid w:val="00756841"/>
    <w:rsid w:val="007649AB"/>
    <w:rsid w:val="00771D0C"/>
    <w:rsid w:val="0077236C"/>
    <w:rsid w:val="007833AC"/>
    <w:rsid w:val="007B268C"/>
    <w:rsid w:val="007B7171"/>
    <w:rsid w:val="007C0C0F"/>
    <w:rsid w:val="007C3DC2"/>
    <w:rsid w:val="007E1ECA"/>
    <w:rsid w:val="007E5497"/>
    <w:rsid w:val="007F24A9"/>
    <w:rsid w:val="007F2EE3"/>
    <w:rsid w:val="00805A49"/>
    <w:rsid w:val="00806F5F"/>
    <w:rsid w:val="00820278"/>
    <w:rsid w:val="00822A36"/>
    <w:rsid w:val="00842A45"/>
    <w:rsid w:val="00867F95"/>
    <w:rsid w:val="008843B6"/>
    <w:rsid w:val="0088699F"/>
    <w:rsid w:val="00891928"/>
    <w:rsid w:val="008A28DB"/>
    <w:rsid w:val="008A446D"/>
    <w:rsid w:val="008D180B"/>
    <w:rsid w:val="008F0EA7"/>
    <w:rsid w:val="00923EEF"/>
    <w:rsid w:val="0093603D"/>
    <w:rsid w:val="009419F9"/>
    <w:rsid w:val="0095685E"/>
    <w:rsid w:val="00961B09"/>
    <w:rsid w:val="00965334"/>
    <w:rsid w:val="0097093E"/>
    <w:rsid w:val="00986AC5"/>
    <w:rsid w:val="009A0DFA"/>
    <w:rsid w:val="009B2D26"/>
    <w:rsid w:val="009C71FA"/>
    <w:rsid w:val="009C72E7"/>
    <w:rsid w:val="009D3058"/>
    <w:rsid w:val="009E67BD"/>
    <w:rsid w:val="009F3A13"/>
    <w:rsid w:val="00A122D3"/>
    <w:rsid w:val="00A17F13"/>
    <w:rsid w:val="00A20739"/>
    <w:rsid w:val="00A33C78"/>
    <w:rsid w:val="00AB0ADB"/>
    <w:rsid w:val="00AF0D39"/>
    <w:rsid w:val="00B01B1A"/>
    <w:rsid w:val="00B65766"/>
    <w:rsid w:val="00B66319"/>
    <w:rsid w:val="00B72CD3"/>
    <w:rsid w:val="00B72FFF"/>
    <w:rsid w:val="00B830E1"/>
    <w:rsid w:val="00BC3D36"/>
    <w:rsid w:val="00BC4432"/>
    <w:rsid w:val="00BD6874"/>
    <w:rsid w:val="00BD7F72"/>
    <w:rsid w:val="00C04FB3"/>
    <w:rsid w:val="00C330EB"/>
    <w:rsid w:val="00C41061"/>
    <w:rsid w:val="00C754BE"/>
    <w:rsid w:val="00C76B1C"/>
    <w:rsid w:val="00C92939"/>
    <w:rsid w:val="00CB6357"/>
    <w:rsid w:val="00CC1B26"/>
    <w:rsid w:val="00CD3E27"/>
    <w:rsid w:val="00D423A2"/>
    <w:rsid w:val="00D520D8"/>
    <w:rsid w:val="00D63AC2"/>
    <w:rsid w:val="00D7383B"/>
    <w:rsid w:val="00DA231B"/>
    <w:rsid w:val="00DC39FC"/>
    <w:rsid w:val="00DD1D1D"/>
    <w:rsid w:val="00DD57ED"/>
    <w:rsid w:val="00DE1D25"/>
    <w:rsid w:val="00DF5254"/>
    <w:rsid w:val="00E16408"/>
    <w:rsid w:val="00E20894"/>
    <w:rsid w:val="00E245AB"/>
    <w:rsid w:val="00E2764C"/>
    <w:rsid w:val="00E27F2E"/>
    <w:rsid w:val="00E50AFE"/>
    <w:rsid w:val="00E75C92"/>
    <w:rsid w:val="00E771DC"/>
    <w:rsid w:val="00E8772A"/>
    <w:rsid w:val="00E90F6B"/>
    <w:rsid w:val="00E92C27"/>
    <w:rsid w:val="00E9431D"/>
    <w:rsid w:val="00EA0E3D"/>
    <w:rsid w:val="00EC38A7"/>
    <w:rsid w:val="00ED7384"/>
    <w:rsid w:val="00ED7D86"/>
    <w:rsid w:val="00EE1AA8"/>
    <w:rsid w:val="00EF3149"/>
    <w:rsid w:val="00F31EDC"/>
    <w:rsid w:val="00F462B3"/>
    <w:rsid w:val="00F5664F"/>
    <w:rsid w:val="00F666C4"/>
    <w:rsid w:val="00F76AFC"/>
    <w:rsid w:val="00FA47C0"/>
    <w:rsid w:val="00FB5DD1"/>
    <w:rsid w:val="00FC2B5D"/>
    <w:rsid w:val="00FD1B2F"/>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22A36"/>
    <w:rPr>
      <w:rFonts w:ascii="Geomanist Light" w:hAnsi="Geomanist Light"/>
      <w:lang w:val="es-ES"/>
    </w:rPr>
  </w:style>
  <w:style w:type="paragraph" w:customStyle="1" w:styleId="Appelnotedebasde">
    <w:name w:val="Appel note de bas de..."/>
    <w:basedOn w:val="Normal"/>
    <w:link w:val="Refdenotaalpie"/>
    <w:uiPriority w:val="99"/>
    <w:rsid w:val="00822A3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citaciones@astransportes.com.c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2Fboletin-de-relatoria-2024-iv&amp;data=05%7C02%7Crichard.montenegro%40colombiacompra.gov.co%7C616b83c3423e4d31151908dce489c00d%7C7b09041e245149d08cb179d5e3d8c1be%7C0%7C0%7C638636527544523753%7CUnknown%7CTWFpbGZsb3d8eyJWIjoiMC4wLjAwMDAiLCJQIjoiV2luMzIiLCJBTiI6Ik1haWwiLCJXVCI6Mn0%3D%7C0%7C%7C%7C&amp;sdata=31YhXeGtv64u7LemD7puqCnYKJJe9dHadN%2BOIWggxZE%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C1D0B-CD17-4F35-9411-AC13913ACB9F}">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AD52A514-B6B9-4B6F-9D2F-481D012191A4}"/>
</file>

<file path=docProps/app.xml><?xml version="1.0" encoding="utf-8"?>
<Properties xmlns="http://schemas.openxmlformats.org/officeDocument/2006/extended-properties" xmlns:vt="http://schemas.openxmlformats.org/officeDocument/2006/docPropsVTypes">
  <Template>Normal.dotm</Template>
  <TotalTime>2</TotalTime>
  <Pages>14</Pages>
  <Words>3863</Words>
  <Characters>21248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2024-12-19T15:12:00Z</dcterms:created>
  <dcterms:modified xsi:type="dcterms:W3CDTF">2024-12-19T15:12:00Z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