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0972" w14:textId="5DA4CCD7" w:rsidR="006A1D7E" w:rsidRDefault="006A1D7E" w:rsidP="00E245AB">
      <w:pPr>
        <w:spacing w:after="0"/>
        <w:rPr>
          <w:rFonts w:ascii="Verdana" w:hAnsi="Verdana"/>
        </w:rPr>
      </w:pPr>
      <w:bookmarkStart w:id="0" w:name="_Hlk143780582"/>
    </w:p>
    <w:p w14:paraId="6E70B59F" w14:textId="77777777" w:rsidR="006A1D7E" w:rsidRPr="000F6264" w:rsidRDefault="006A1D7E" w:rsidP="006A1D7E">
      <w:pPr>
        <w:spacing w:after="0" w:line="240" w:lineRule="auto"/>
        <w:jc w:val="both"/>
        <w:rPr>
          <w:rFonts w:ascii="Verdana" w:eastAsia="Calibri" w:hAnsi="Verdana" w:cs="Arial"/>
          <w:b/>
          <w:bCs/>
          <w:color w:val="000000" w:themeColor="text1"/>
          <w:sz w:val="20"/>
          <w:szCs w:val="20"/>
          <w:lang w:val="es-ES"/>
        </w:rPr>
      </w:pPr>
      <w:r w:rsidRPr="000F6264">
        <w:rPr>
          <w:rFonts w:ascii="Verdana" w:eastAsia="Calibri" w:hAnsi="Verdana" w:cs="Arial"/>
          <w:b/>
          <w:bCs/>
          <w:color w:val="000000" w:themeColor="text1"/>
          <w:sz w:val="20"/>
          <w:szCs w:val="20"/>
          <w:lang w:val="es-ES"/>
        </w:rPr>
        <w:t>SECOP I y II – Principio de Publicidad y Transparencia</w:t>
      </w:r>
    </w:p>
    <w:p w14:paraId="74F475DE" w14:textId="77777777" w:rsidR="006A1D7E" w:rsidRPr="000F6264" w:rsidRDefault="006A1D7E" w:rsidP="006A1D7E">
      <w:pPr>
        <w:spacing w:after="0" w:line="240" w:lineRule="auto"/>
        <w:rPr>
          <w:rFonts w:ascii="Verdana" w:eastAsia="Calibri" w:hAnsi="Verdana" w:cs="Arial"/>
          <w:color w:val="000000" w:themeColor="text1"/>
          <w:sz w:val="20"/>
          <w:szCs w:val="20"/>
          <w:lang w:val="es-ES"/>
        </w:rPr>
      </w:pPr>
    </w:p>
    <w:p w14:paraId="615AAF12" w14:textId="77777777" w:rsidR="006A1D7E" w:rsidRPr="000F6264" w:rsidRDefault="006A1D7E" w:rsidP="006A1D7E">
      <w:pPr>
        <w:spacing w:after="0" w:line="240" w:lineRule="auto"/>
        <w:jc w:val="both"/>
        <w:rPr>
          <w:rFonts w:ascii="Verdana" w:hAnsi="Verdana"/>
          <w:sz w:val="20"/>
          <w:szCs w:val="20"/>
          <w:lang w:val="es-ES"/>
        </w:rPr>
      </w:pPr>
      <w:r w:rsidRPr="000F6264">
        <w:rPr>
          <w:rFonts w:ascii="Verdana" w:eastAsia="Calibri" w:hAnsi="Verdana" w:cs="Arial"/>
          <w:color w:val="000000" w:themeColor="text1"/>
          <w:sz w:val="20"/>
          <w:szCs w:val="20"/>
        </w:rPr>
        <w:t xml:space="preserve">[…] </w:t>
      </w:r>
      <w:r w:rsidRPr="000F6264">
        <w:rPr>
          <w:rFonts w:ascii="Verdana" w:hAnsi="Verdana"/>
          <w:sz w:val="20"/>
          <w:szCs w:val="20"/>
          <w:lang w:val="es-ES"/>
        </w:rPr>
        <w:t xml:space="preserve">Aunque no existe norma expresa que indique la necesidad de adelantar una audiencia pública para la apertura de sobres dentro del proceso de selección abreviada de mínima cuantía, debe cumplirse la Circular Externa Única proferida por la Agencia Nacional de Contratación Pública – Colombia Compra Eficiente. Esta indica que aquellos procesos que se adelanten mediante publicación en SECOP I requieren que la apertura de ofertas se realice en presencia de proponentes o veedores y la elaboración de un acta de cierre, mientras que los procesos adelantados en el SECOP II no requieren de dicha asistencia, pues la publicación de la lista de oferentes hace las veces de acta de cierre. Así mismo debe tenerse en cuenta que en la actualidad, por regla general, los procesos contractuales deben adelantarse en el SECOP II y, al tramitarse por esta plataforma, se podrá prescindir de la audiencia pública de selección. </w:t>
      </w:r>
      <w:r w:rsidRPr="000F6264">
        <w:rPr>
          <w:rFonts w:ascii="Verdana" w:eastAsia="Calibri" w:hAnsi="Verdana" w:cs="Arial"/>
          <w:color w:val="000000" w:themeColor="text1"/>
          <w:sz w:val="20"/>
          <w:szCs w:val="20"/>
        </w:rPr>
        <w:t>[…]</w:t>
      </w:r>
    </w:p>
    <w:p w14:paraId="6EFB3541" w14:textId="77777777" w:rsidR="006A1D7E" w:rsidRPr="000F6264" w:rsidRDefault="006A1D7E" w:rsidP="006A1D7E">
      <w:pPr>
        <w:jc w:val="both"/>
        <w:rPr>
          <w:rFonts w:ascii="Verdana" w:eastAsia="Calibri" w:hAnsi="Verdana" w:cs="Arial"/>
          <w:b/>
          <w:bCs/>
          <w:sz w:val="20"/>
          <w:szCs w:val="20"/>
        </w:rPr>
      </w:pPr>
    </w:p>
    <w:p w14:paraId="3636F826" w14:textId="77777777" w:rsidR="006A1D7E" w:rsidRPr="000F6264" w:rsidRDefault="006A1D7E" w:rsidP="006A1D7E">
      <w:pPr>
        <w:jc w:val="both"/>
        <w:rPr>
          <w:rFonts w:ascii="Verdana" w:eastAsia="Calibri" w:hAnsi="Verdana" w:cs="Arial"/>
          <w:b/>
          <w:bCs/>
          <w:sz w:val="20"/>
          <w:szCs w:val="20"/>
        </w:rPr>
      </w:pPr>
      <w:r w:rsidRPr="000F6264">
        <w:rPr>
          <w:rFonts w:ascii="Verdana" w:eastAsia="Calibri" w:hAnsi="Verdana" w:cs="Arial"/>
          <w:b/>
          <w:bCs/>
          <w:sz w:val="20"/>
          <w:szCs w:val="20"/>
        </w:rPr>
        <w:t>OFERTA – Apertura – Publicidad – Secop</w:t>
      </w:r>
    </w:p>
    <w:p w14:paraId="75DA9541" w14:textId="77777777" w:rsidR="006A1D7E" w:rsidRPr="000F6264" w:rsidRDefault="006A1D7E" w:rsidP="006A1D7E">
      <w:pPr>
        <w:jc w:val="both"/>
        <w:rPr>
          <w:rFonts w:ascii="Verdana" w:eastAsia="Calibri" w:hAnsi="Verdana" w:cs="Arial"/>
          <w:sz w:val="20"/>
          <w:szCs w:val="20"/>
        </w:rPr>
      </w:pPr>
      <w:r w:rsidRPr="000F6264">
        <w:rPr>
          <w:rFonts w:ascii="Verdana" w:eastAsia="Calibri" w:hAnsi="Verdana" w:cs="Arial"/>
          <w:sz w:val="20"/>
          <w:szCs w:val="20"/>
        </w:rPr>
        <w:t>[…] Sin embargo, sobre la obligación de las entidades de abrir los sobres de las ofertas y el momento en que deben hacerlo y publicarlas en sus procedimientos de contratación, le informamos que, de acuerdo con las normas de contratación pública, se observa que no existe una regla que obligue a la entidad a dar apertura y publicar las ofertas en un momento determinado, con excepción de lo señalado por la Ley 1882 de 2018 para la contratación de obras públicas.</w:t>
      </w:r>
    </w:p>
    <w:p w14:paraId="5D9CDB71" w14:textId="77777777" w:rsidR="006A1D7E" w:rsidRPr="000F6264" w:rsidRDefault="006A1D7E" w:rsidP="006A1D7E">
      <w:pPr>
        <w:jc w:val="both"/>
        <w:rPr>
          <w:rFonts w:ascii="Verdana" w:eastAsia="Calibri" w:hAnsi="Verdana" w:cs="Arial"/>
          <w:sz w:val="20"/>
          <w:szCs w:val="20"/>
        </w:rPr>
      </w:pPr>
      <w:r w:rsidRPr="000F6264">
        <w:rPr>
          <w:rFonts w:ascii="Verdana" w:eastAsia="Calibri" w:hAnsi="Verdana" w:cs="Arial"/>
          <w:sz w:val="20"/>
          <w:szCs w:val="20"/>
        </w:rPr>
        <w:t xml:space="preserve">No obstante, las entidades estatales pueden observar cómo buena práctica lo señalado por la Agencia Nacional de Contratación Pública - Colombia Compra Eficiente en la Circular Externa Única, que en su numeral 5 trata de la apertura y publicidad de las ofertas, sin distinguir entre las modalidades de selección, pero diferenciando si el procedimiento de contratación es adelantado en SECOP I o en SECOP II. Para los procedimientos publicados en SECOP I, </w:t>
      </w:r>
      <w:r>
        <w:rPr>
          <w:rFonts w:ascii="Verdana" w:eastAsia="Calibri" w:hAnsi="Verdana" w:cs="Arial"/>
          <w:sz w:val="20"/>
          <w:szCs w:val="20"/>
        </w:rPr>
        <w:t>“</w:t>
      </w:r>
      <w:r w:rsidRPr="000F6264">
        <w:rPr>
          <w:rFonts w:ascii="Verdana" w:eastAsia="Calibri" w:hAnsi="Verdana" w:cs="Arial"/>
          <w:sz w:val="20"/>
          <w:szCs w:val="20"/>
        </w:rPr>
        <w:t>[...]las Entidades Estatales expedirán a costa de aquellas personas que demuestren interés legítimo, copia de las actuaciones y propuestas recibidas, respetando la reserva de que gocen legalmente las patentes, procedimientos y privilegios</w:t>
      </w:r>
      <w:r>
        <w:rPr>
          <w:rFonts w:ascii="Verdana" w:eastAsia="Calibri" w:hAnsi="Verdana" w:cs="Arial"/>
          <w:sz w:val="20"/>
          <w:szCs w:val="20"/>
        </w:rPr>
        <w:t>”</w:t>
      </w:r>
      <w:r w:rsidRPr="000F6264">
        <w:rPr>
          <w:rFonts w:ascii="Verdana" w:eastAsia="Calibri" w:hAnsi="Verdana" w:cs="Arial"/>
          <w:sz w:val="20"/>
          <w:szCs w:val="20"/>
        </w:rPr>
        <w:t xml:space="preserve">. En SECOP II </w:t>
      </w:r>
      <w:r>
        <w:rPr>
          <w:rFonts w:ascii="Verdana" w:eastAsia="Calibri" w:hAnsi="Verdana" w:cs="Arial"/>
          <w:sz w:val="20"/>
          <w:szCs w:val="20"/>
        </w:rPr>
        <w:t>“</w:t>
      </w:r>
      <w:r w:rsidRPr="000F6264">
        <w:rPr>
          <w:rFonts w:ascii="Verdana" w:eastAsia="Calibri" w:hAnsi="Verdana" w:cs="Arial"/>
          <w:sz w:val="20"/>
          <w:szCs w:val="20"/>
        </w:rPr>
        <w:t>[...]la Entidad Estatal dará a conocer las ofertas presentadas en el Proceso de Contratación haciendo clic en la opción “publicar ofertas” para que sean visibles a todos los proponentes</w:t>
      </w:r>
      <w:r>
        <w:rPr>
          <w:rFonts w:ascii="Verdana" w:eastAsia="Calibri" w:hAnsi="Verdana" w:cs="Arial"/>
          <w:sz w:val="20"/>
          <w:szCs w:val="20"/>
        </w:rPr>
        <w:t>”</w:t>
      </w:r>
      <w:r w:rsidRPr="000F6264">
        <w:rPr>
          <w:rFonts w:ascii="Verdana" w:eastAsia="Calibri" w:hAnsi="Verdana" w:cs="Arial"/>
          <w:sz w:val="20"/>
          <w:szCs w:val="20"/>
        </w:rPr>
        <w:t>.</w:t>
      </w:r>
    </w:p>
    <w:p w14:paraId="659B6F91" w14:textId="77777777" w:rsidR="006A1D7E" w:rsidRPr="000F6264" w:rsidRDefault="006A1D7E" w:rsidP="006A1D7E">
      <w:pPr>
        <w:jc w:val="both"/>
        <w:rPr>
          <w:rFonts w:ascii="Verdana" w:eastAsia="Calibri" w:hAnsi="Verdana" w:cs="Arial"/>
          <w:sz w:val="20"/>
          <w:szCs w:val="20"/>
          <w:highlight w:val="yellow"/>
        </w:rPr>
      </w:pPr>
    </w:p>
    <w:p w14:paraId="1713EEA3" w14:textId="77777777" w:rsidR="006A1D7E" w:rsidRPr="000F6264" w:rsidRDefault="006A1D7E" w:rsidP="006A1D7E">
      <w:pPr>
        <w:jc w:val="both"/>
        <w:rPr>
          <w:rFonts w:ascii="Verdana" w:eastAsia="Calibri" w:hAnsi="Verdana" w:cs="Arial"/>
          <w:b/>
          <w:sz w:val="20"/>
          <w:szCs w:val="20"/>
        </w:rPr>
      </w:pPr>
      <w:r w:rsidRPr="000F6264">
        <w:rPr>
          <w:rFonts w:ascii="Verdana" w:eastAsia="Calibri" w:hAnsi="Verdana" w:cs="Arial"/>
          <w:b/>
          <w:sz w:val="20"/>
          <w:szCs w:val="20"/>
        </w:rPr>
        <w:t xml:space="preserve">OFERTA – Principio de transparencia – Acceso de los interesados </w:t>
      </w:r>
    </w:p>
    <w:p w14:paraId="72B69856" w14:textId="77777777" w:rsidR="006A1D7E" w:rsidRPr="000F6264" w:rsidRDefault="006A1D7E" w:rsidP="006A1D7E">
      <w:pPr>
        <w:jc w:val="both"/>
        <w:rPr>
          <w:rFonts w:ascii="Verdana" w:eastAsia="Calibri" w:hAnsi="Verdana" w:cs="Arial"/>
          <w:sz w:val="20"/>
          <w:szCs w:val="20"/>
        </w:rPr>
      </w:pPr>
      <w:r w:rsidRPr="000F6264">
        <w:rPr>
          <w:rFonts w:ascii="Verdana" w:eastAsia="Calibri" w:hAnsi="Verdana" w:cs="Arial"/>
          <w:sz w:val="20"/>
          <w:szCs w:val="20"/>
        </w:rPr>
        <w:t xml:space="preserve">A pesar de que la entidad no tiene la obligación de abrir y publicar las ofertas en un momento determinado, ello no obsta para que los oferentes sí tengan acceso a las ofertas solicitando una copia de estas a la entidad, de acuerdo con los principios que regulan la contratación pública. El artículo 23 de la Ley 80 de 1993 regula los principios que rigen las actuaciones dentro de los procedimientos contractuales que adelantan las entidades, y se destaca el principio de transparencia, desarrollado por el artículo 24, que </w:t>
      </w:r>
      <w:r w:rsidRPr="000F6264">
        <w:rPr>
          <w:rFonts w:ascii="Verdana" w:eastAsia="Calibri" w:hAnsi="Verdana" w:cs="Arial"/>
          <w:sz w:val="20"/>
          <w:szCs w:val="20"/>
        </w:rPr>
        <w:lastRenderedPageBreak/>
        <w:t xml:space="preserve">contiene las reglas que permiten a los </w:t>
      </w:r>
      <w:r>
        <w:rPr>
          <w:rFonts w:ascii="Verdana" w:eastAsia="Calibri" w:hAnsi="Verdana" w:cs="Arial"/>
          <w:sz w:val="20"/>
          <w:szCs w:val="20"/>
        </w:rPr>
        <w:t>“</w:t>
      </w:r>
      <w:r w:rsidRPr="000F6264">
        <w:rPr>
          <w:rFonts w:ascii="Verdana" w:eastAsia="Calibri" w:hAnsi="Verdana" w:cs="Arial"/>
          <w:sz w:val="20"/>
          <w:szCs w:val="20"/>
        </w:rPr>
        <w:t>interesados</w:t>
      </w:r>
      <w:r>
        <w:rPr>
          <w:rFonts w:ascii="Verdana" w:eastAsia="Calibri" w:hAnsi="Verdana" w:cs="Arial"/>
          <w:sz w:val="20"/>
          <w:szCs w:val="20"/>
        </w:rPr>
        <w:t>”</w:t>
      </w:r>
      <w:r w:rsidRPr="000F6264">
        <w:rPr>
          <w:rFonts w:ascii="Verdana" w:eastAsia="Calibri" w:hAnsi="Verdana" w:cs="Arial"/>
          <w:sz w:val="20"/>
          <w:szCs w:val="20"/>
        </w:rPr>
        <w:t xml:space="preserve"> conocer las actuaciones contractuales, que son públicas, para poder controvertirlas a través de observaciones, por lo que se conforma un expediente, de acuerdo con lo prescrito en la norma. Este principio contiene una regla respecto de las ofertas: </w:t>
      </w:r>
      <w:r>
        <w:rPr>
          <w:rFonts w:ascii="Verdana" w:eastAsia="Calibri" w:hAnsi="Verdana" w:cs="Arial"/>
          <w:sz w:val="20"/>
          <w:szCs w:val="20"/>
        </w:rPr>
        <w:t>“</w:t>
      </w:r>
      <w:r w:rsidRPr="000F6264">
        <w:rPr>
          <w:rFonts w:ascii="Verdana" w:eastAsia="Calibri" w:hAnsi="Verdana" w:cs="Arial"/>
          <w:sz w:val="20"/>
          <w:szCs w:val="20"/>
        </w:rPr>
        <w:t>4. Las autoridades expedirán a costa de aquellas personas que demuestren interés legítimo, copias de las actuaciones y propuestas recibidas, respetando la reserva de que gocen legalmente las patentes, procedimientos y privilegios</w:t>
      </w:r>
      <w:r>
        <w:rPr>
          <w:rFonts w:ascii="Verdana" w:eastAsia="Calibri" w:hAnsi="Verdana" w:cs="Arial"/>
          <w:sz w:val="20"/>
          <w:szCs w:val="20"/>
        </w:rPr>
        <w:t>”</w:t>
      </w:r>
      <w:r w:rsidRPr="000F6264">
        <w:rPr>
          <w:rFonts w:ascii="Verdana" w:eastAsia="Calibri" w:hAnsi="Verdana" w:cs="Arial"/>
          <w:sz w:val="20"/>
          <w:szCs w:val="20"/>
        </w:rPr>
        <w:t>.</w:t>
      </w:r>
    </w:p>
    <w:p w14:paraId="61FF1320" w14:textId="77777777" w:rsidR="006A1D7E" w:rsidRPr="000F6264" w:rsidRDefault="006A1D7E" w:rsidP="006A1D7E">
      <w:pPr>
        <w:jc w:val="both"/>
        <w:rPr>
          <w:rFonts w:ascii="Verdana" w:eastAsia="Calibri" w:hAnsi="Verdana" w:cs="Arial"/>
          <w:sz w:val="20"/>
          <w:szCs w:val="20"/>
          <w:highlight w:val="yellow"/>
        </w:rPr>
      </w:pPr>
    </w:p>
    <w:p w14:paraId="118DA472" w14:textId="77777777" w:rsidR="006A1D7E" w:rsidRPr="000F6264" w:rsidRDefault="006A1D7E" w:rsidP="006A1D7E">
      <w:pPr>
        <w:jc w:val="both"/>
        <w:rPr>
          <w:rFonts w:ascii="Verdana" w:eastAsia="Calibri" w:hAnsi="Verdana" w:cs="Arial"/>
          <w:sz w:val="20"/>
          <w:szCs w:val="20"/>
        </w:rPr>
      </w:pPr>
      <w:r w:rsidRPr="000F6264">
        <w:rPr>
          <w:rFonts w:ascii="Verdana" w:eastAsia="Calibri" w:hAnsi="Verdana" w:cs="Arial"/>
          <w:b/>
          <w:sz w:val="20"/>
          <w:szCs w:val="20"/>
        </w:rPr>
        <w:t>OFERTA – Publicidad – SECOP II</w:t>
      </w:r>
    </w:p>
    <w:p w14:paraId="01EA5986" w14:textId="77777777" w:rsidR="006A1D7E" w:rsidRPr="000F6264" w:rsidRDefault="006A1D7E" w:rsidP="006A1D7E">
      <w:pPr>
        <w:jc w:val="both"/>
        <w:rPr>
          <w:rFonts w:ascii="Verdana" w:eastAsia="Calibri" w:hAnsi="Verdana" w:cs="Arial"/>
          <w:sz w:val="20"/>
          <w:szCs w:val="20"/>
          <w:highlight w:val="yellow"/>
        </w:rPr>
      </w:pPr>
      <w:r w:rsidRPr="000F6264">
        <w:rPr>
          <w:rFonts w:ascii="Verdana" w:eastAsia="Calibri" w:hAnsi="Verdana" w:cs="Arial"/>
          <w:sz w:val="20"/>
          <w:szCs w:val="20"/>
        </w:rPr>
        <w:t xml:space="preserve">La Guía señala que en la sección </w:t>
      </w:r>
      <w:r>
        <w:rPr>
          <w:rFonts w:ascii="Verdana" w:eastAsia="Calibri" w:hAnsi="Verdana" w:cs="Arial"/>
          <w:sz w:val="20"/>
          <w:szCs w:val="20"/>
        </w:rPr>
        <w:t>“</w:t>
      </w:r>
      <w:r w:rsidRPr="000F6264">
        <w:rPr>
          <w:rFonts w:ascii="Verdana" w:eastAsia="Calibri" w:hAnsi="Verdana" w:cs="Arial"/>
          <w:sz w:val="20"/>
          <w:szCs w:val="20"/>
        </w:rPr>
        <w:t>Lista de ofertas</w:t>
      </w:r>
      <w:r>
        <w:rPr>
          <w:rFonts w:ascii="Verdana" w:eastAsia="Calibri" w:hAnsi="Verdana" w:cs="Arial"/>
          <w:sz w:val="20"/>
          <w:szCs w:val="20"/>
        </w:rPr>
        <w:t>”</w:t>
      </w:r>
      <w:r w:rsidRPr="000F6264">
        <w:rPr>
          <w:rFonts w:ascii="Verdana" w:eastAsia="Calibri" w:hAnsi="Verdana" w:cs="Arial"/>
          <w:sz w:val="20"/>
          <w:szCs w:val="20"/>
        </w:rPr>
        <w:t xml:space="preserve"> se pueden publicar las ofertas recibidas, lo cual solo se habilita después del cierre del proceso y una vez publicada el acta de cierre, sin límite de tiempo, es decir, ocurrido lo mencionado la entidad contratante puede publicar las ofertas en cualquier momento. En la sección señalada se encuentra el botón </w:t>
      </w:r>
      <w:r>
        <w:rPr>
          <w:rFonts w:ascii="Verdana" w:eastAsia="Calibri" w:hAnsi="Verdana" w:cs="Arial"/>
          <w:sz w:val="20"/>
          <w:szCs w:val="20"/>
        </w:rPr>
        <w:t>“</w:t>
      </w:r>
      <w:r w:rsidRPr="000F6264">
        <w:rPr>
          <w:rFonts w:ascii="Verdana" w:eastAsia="Calibri" w:hAnsi="Verdana" w:cs="Arial"/>
          <w:sz w:val="20"/>
          <w:szCs w:val="20"/>
        </w:rPr>
        <w:t>abrir panel</w:t>
      </w:r>
      <w:r>
        <w:rPr>
          <w:rFonts w:ascii="Verdana" w:eastAsia="Calibri" w:hAnsi="Verdana" w:cs="Arial"/>
          <w:sz w:val="20"/>
          <w:szCs w:val="20"/>
        </w:rPr>
        <w:t>”</w:t>
      </w:r>
      <w:r w:rsidRPr="000F6264">
        <w:rPr>
          <w:rFonts w:ascii="Verdana" w:eastAsia="Calibri" w:hAnsi="Verdana" w:cs="Arial"/>
          <w:sz w:val="20"/>
          <w:szCs w:val="20"/>
        </w:rPr>
        <w:t xml:space="preserve"> y al dar clic la plataforma muestra el botón </w:t>
      </w:r>
      <w:r>
        <w:rPr>
          <w:rFonts w:ascii="Verdana" w:eastAsia="Calibri" w:hAnsi="Verdana" w:cs="Arial"/>
          <w:sz w:val="20"/>
          <w:szCs w:val="20"/>
        </w:rPr>
        <w:t>“</w:t>
      </w:r>
      <w:r w:rsidRPr="000F6264">
        <w:rPr>
          <w:rFonts w:ascii="Verdana" w:eastAsia="Calibri" w:hAnsi="Verdana" w:cs="Arial"/>
          <w:sz w:val="20"/>
          <w:szCs w:val="20"/>
        </w:rPr>
        <w:t>publicar ofertas</w:t>
      </w:r>
      <w:r>
        <w:rPr>
          <w:rFonts w:ascii="Verdana" w:eastAsia="Calibri" w:hAnsi="Verdana" w:cs="Arial"/>
          <w:sz w:val="20"/>
          <w:szCs w:val="20"/>
        </w:rPr>
        <w:t>”</w:t>
      </w:r>
      <w:r w:rsidRPr="000F6264">
        <w:rPr>
          <w:rFonts w:ascii="Verdana" w:eastAsia="Calibri" w:hAnsi="Verdana" w:cs="Arial"/>
          <w:sz w:val="20"/>
          <w:szCs w:val="20"/>
        </w:rPr>
        <w:t xml:space="preserve">, nuevamente se da clic y una ventana emergente muestra la información de los proveedores que ofertaron, además de la opción </w:t>
      </w:r>
      <w:r>
        <w:rPr>
          <w:rFonts w:ascii="Verdana" w:eastAsia="Calibri" w:hAnsi="Verdana" w:cs="Arial"/>
          <w:sz w:val="20"/>
          <w:szCs w:val="20"/>
        </w:rPr>
        <w:t>“</w:t>
      </w:r>
      <w:r w:rsidRPr="000F6264">
        <w:rPr>
          <w:rFonts w:ascii="Verdana" w:eastAsia="Calibri" w:hAnsi="Verdana" w:cs="Arial"/>
          <w:sz w:val="20"/>
          <w:szCs w:val="20"/>
        </w:rPr>
        <w:t>publicar lista de ofertas</w:t>
      </w:r>
      <w:r>
        <w:rPr>
          <w:rFonts w:ascii="Verdana" w:eastAsia="Calibri" w:hAnsi="Verdana" w:cs="Arial"/>
          <w:sz w:val="20"/>
          <w:szCs w:val="20"/>
        </w:rPr>
        <w:t>”</w:t>
      </w:r>
      <w:r w:rsidRPr="000F6264">
        <w:rPr>
          <w:rFonts w:ascii="Verdana" w:eastAsia="Calibri" w:hAnsi="Verdana" w:cs="Arial"/>
          <w:sz w:val="20"/>
          <w:szCs w:val="20"/>
        </w:rPr>
        <w:t xml:space="preserve"> que cuando es seleccionada por la entidad contratante, a partir de ese momento las ofertas son públicas y los </w:t>
      </w:r>
      <w:r>
        <w:rPr>
          <w:rFonts w:ascii="Verdana" w:eastAsia="Calibri" w:hAnsi="Verdana" w:cs="Arial"/>
          <w:sz w:val="20"/>
          <w:szCs w:val="20"/>
        </w:rPr>
        <w:t>“</w:t>
      </w:r>
      <w:r w:rsidRPr="000F6264">
        <w:rPr>
          <w:rFonts w:ascii="Verdana" w:eastAsia="Calibri" w:hAnsi="Verdana" w:cs="Arial"/>
          <w:sz w:val="20"/>
          <w:szCs w:val="20"/>
        </w:rPr>
        <w:t>interesados</w:t>
      </w:r>
      <w:r>
        <w:rPr>
          <w:rFonts w:ascii="Verdana" w:eastAsia="Calibri" w:hAnsi="Verdana" w:cs="Arial"/>
          <w:sz w:val="20"/>
          <w:szCs w:val="20"/>
        </w:rPr>
        <w:t>”</w:t>
      </w:r>
      <w:r w:rsidRPr="000F6264">
        <w:rPr>
          <w:rFonts w:ascii="Verdana" w:eastAsia="Calibri" w:hAnsi="Verdana" w:cs="Arial"/>
          <w:sz w:val="20"/>
          <w:szCs w:val="20"/>
        </w:rPr>
        <w:t xml:space="preserve"> en las ofertas recibidas pueden descargarlas, en cumplimiento de las normas aplicables, particularmente, el principio de transparencia regulado en el artículo 24 de la Ley 80 de 1993, salvo los documentos que se marcaron como confidenciales de forma previa.</w:t>
      </w:r>
    </w:p>
    <w:p w14:paraId="16790E53" w14:textId="77777777" w:rsidR="006A1D7E" w:rsidRDefault="006A1D7E" w:rsidP="006A1D7E">
      <w:pPr>
        <w:rPr>
          <w:rFonts w:ascii="Verdana" w:hAnsi="Verdana"/>
        </w:rPr>
      </w:pPr>
      <w:r>
        <w:rPr>
          <w:rFonts w:ascii="Verdana" w:hAnsi="Verdana"/>
        </w:rPr>
        <w:br w:type="page"/>
      </w:r>
    </w:p>
    <w:p w14:paraId="3FE2184B" w14:textId="143B52E9" w:rsidR="00E245AB" w:rsidRPr="0044528D" w:rsidRDefault="00E245AB" w:rsidP="004B48A2">
      <w:pPr>
        <w:rPr>
          <w:rFonts w:ascii="Verdana" w:hAnsi="Verdana"/>
        </w:rPr>
      </w:pPr>
      <w:r w:rsidRPr="0044528D">
        <w:rPr>
          <w:rFonts w:ascii="Verdana" w:hAnsi="Verdana"/>
        </w:rPr>
        <w:t xml:space="preserve">Bogotá D.C., </w:t>
      </w:r>
      <w:r w:rsidR="00891928" w:rsidRPr="0044528D">
        <w:rPr>
          <w:rFonts w:ascii="Verdana" w:hAnsi="Verdana"/>
        </w:rPr>
        <w:t xml:space="preserve">[Día] </w:t>
      </w:r>
      <w:r w:rsidR="001511A0" w:rsidRPr="001511A0">
        <w:rPr>
          <w:rFonts w:ascii="Verdana" w:hAnsi="Verdana"/>
        </w:rPr>
        <w:t>[</w:t>
      </w:r>
      <w:proofErr w:type="spellStart"/>
      <w:r w:rsidR="001511A0" w:rsidRPr="001511A0">
        <w:rPr>
          <w:rFonts w:ascii="Verdana" w:hAnsi="Verdana"/>
        </w:rPr>
        <w:t>Mes.NombreCapitalizado</w:t>
      </w:r>
      <w:proofErr w:type="spellEnd"/>
      <w:r w:rsidR="001511A0" w:rsidRPr="001511A0">
        <w:rPr>
          <w:rFonts w:ascii="Verdana" w:hAnsi="Verdana"/>
        </w:rPr>
        <w:t xml:space="preserve">] </w:t>
      </w:r>
      <w:r w:rsidR="00891928" w:rsidRPr="0044528D">
        <w:rPr>
          <w:rFonts w:ascii="Verdana" w:hAnsi="Verdana"/>
        </w:rPr>
        <w:t>[Año]</w:t>
      </w:r>
      <w:r w:rsidR="00891928" w:rsidRPr="0044528D">
        <w:rPr>
          <w:rFonts w:ascii="Verdana" w:hAnsi="Verdana"/>
        </w:rPr>
        <w:tab/>
      </w:r>
    </w:p>
    <w:p w14:paraId="5FCADBF9" w14:textId="0FC572DD" w:rsidR="00E245AB" w:rsidRPr="0044528D" w:rsidRDefault="000155F6" w:rsidP="00E245AB">
      <w:pPr>
        <w:spacing w:after="0"/>
        <w:rPr>
          <w:rFonts w:ascii="Verdana" w:hAnsi="Verdana"/>
        </w:rPr>
      </w:pPr>
      <w:r>
        <w:rPr>
          <w:noProof/>
        </w:rPr>
        <w:drawing>
          <wp:anchor distT="0" distB="0" distL="114300" distR="114300" simplePos="0" relativeHeight="251660288" behindDoc="1" locked="0" layoutInCell="1" allowOverlap="1" wp14:anchorId="1E90DE3E" wp14:editId="273AEB61">
            <wp:simplePos x="0" y="0"/>
            <wp:positionH relativeFrom="page">
              <wp:posOffset>5286375</wp:posOffset>
            </wp:positionH>
            <wp:positionV relativeFrom="paragraph">
              <wp:posOffset>7620</wp:posOffset>
            </wp:positionV>
            <wp:extent cx="2209800" cy="866775"/>
            <wp:effectExtent l="0" t="0" r="0" b="9525"/>
            <wp:wrapTight wrapText="bothSides">
              <wp:wrapPolygon edited="0">
                <wp:start x="0" y="0"/>
                <wp:lineTo x="0" y="21363"/>
                <wp:lineTo x="21414" y="21363"/>
                <wp:lineTo x="21414" y="0"/>
                <wp:lineTo x="0" y="0"/>
              </wp:wrapPolygon>
            </wp:wrapTight>
            <wp:docPr id="126651152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1523"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209800" cy="86677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rPr>
        <w:t xml:space="preserve">                                                                 </w:t>
      </w:r>
    </w:p>
    <w:p w14:paraId="0465BA6D" w14:textId="4134D7E9" w:rsidR="00E245AB" w:rsidRPr="001F705C" w:rsidRDefault="00301388" w:rsidP="00E245AB">
      <w:pPr>
        <w:spacing w:after="0"/>
        <w:rPr>
          <w:rFonts w:ascii="Verdana" w:hAnsi="Verdana"/>
          <w:lang w:val="en-US"/>
        </w:rPr>
      </w:pPr>
      <w:r w:rsidRPr="001F705C">
        <w:rPr>
          <w:rFonts w:ascii="Verdana" w:hAnsi="Verdana"/>
          <w:lang w:val="en-US"/>
        </w:rPr>
        <w:t xml:space="preserve">Señor </w:t>
      </w:r>
    </w:p>
    <w:p w14:paraId="77AF6854" w14:textId="20C0DDEE" w:rsidR="00301388" w:rsidRPr="001F705C" w:rsidRDefault="00301388" w:rsidP="00E245AB">
      <w:pPr>
        <w:spacing w:after="0"/>
        <w:rPr>
          <w:rFonts w:ascii="Verdana" w:hAnsi="Verdana"/>
          <w:b/>
          <w:bCs/>
          <w:lang w:val="en-US"/>
        </w:rPr>
      </w:pPr>
      <w:r w:rsidRPr="001F705C">
        <w:rPr>
          <w:rFonts w:ascii="Verdana" w:hAnsi="Verdana"/>
          <w:b/>
          <w:bCs/>
          <w:lang w:val="en-US"/>
        </w:rPr>
        <w:t xml:space="preserve">William Oswaldo Criollo </w:t>
      </w:r>
      <w:proofErr w:type="spellStart"/>
      <w:r w:rsidRPr="001F705C">
        <w:rPr>
          <w:rFonts w:ascii="Verdana" w:hAnsi="Verdana"/>
          <w:b/>
          <w:bCs/>
          <w:lang w:val="en-US"/>
        </w:rPr>
        <w:t>Tulcán</w:t>
      </w:r>
      <w:proofErr w:type="spellEnd"/>
    </w:p>
    <w:p w14:paraId="272CD69A" w14:textId="0B1C836D" w:rsidR="00301388" w:rsidRPr="001F705C" w:rsidRDefault="001822B5" w:rsidP="00E245AB">
      <w:pPr>
        <w:spacing w:after="0"/>
        <w:rPr>
          <w:rFonts w:ascii="Verdana" w:hAnsi="Verdana"/>
          <w:lang w:val="en-US"/>
        </w:rPr>
      </w:pPr>
      <w:hyperlink r:id="rId12" w:history="1">
        <w:r w:rsidRPr="001F705C">
          <w:rPr>
            <w:rStyle w:val="Hipervnculo"/>
            <w:rFonts w:ascii="Verdana" w:hAnsi="Verdana"/>
            <w:lang w:val="en-US"/>
          </w:rPr>
          <w:t>Williamcriollo13@gmail.com</w:t>
        </w:r>
      </w:hyperlink>
    </w:p>
    <w:p w14:paraId="53003B3E" w14:textId="087BE38C" w:rsidR="001822B5" w:rsidRDefault="001822B5" w:rsidP="00E245AB">
      <w:pPr>
        <w:spacing w:after="0"/>
        <w:rPr>
          <w:rFonts w:ascii="Verdana" w:hAnsi="Verdana"/>
        </w:rPr>
      </w:pPr>
      <w:r>
        <w:rPr>
          <w:rFonts w:ascii="Verdana" w:hAnsi="Verdana"/>
        </w:rPr>
        <w:t>Pasto, Nariño</w:t>
      </w:r>
    </w:p>
    <w:p w14:paraId="72EA12C6" w14:textId="77777777" w:rsidR="00A316AF" w:rsidRDefault="00A316AF" w:rsidP="00E245AB">
      <w:pPr>
        <w:spacing w:after="0"/>
        <w:rPr>
          <w:rFonts w:ascii="Verdana" w:hAnsi="Verdana"/>
        </w:rPr>
      </w:pPr>
    </w:p>
    <w:p w14:paraId="2A7E8A61" w14:textId="77777777" w:rsidR="00A316AF" w:rsidRDefault="00A316AF" w:rsidP="00E245AB">
      <w:pPr>
        <w:spacing w:after="0"/>
        <w:rPr>
          <w:rFonts w:ascii="Verdana" w:hAnsi="Verdana"/>
        </w:rPr>
      </w:pPr>
    </w:p>
    <w:tbl>
      <w:tblPr>
        <w:tblStyle w:val="Tablaconcuadrcula"/>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gridCol w:w="388"/>
      </w:tblGrid>
      <w:tr w:rsidR="00F5058F" w:rsidRPr="000802A6" w14:paraId="49F7A1F6" w14:textId="77777777" w:rsidTr="0040728A">
        <w:trPr>
          <w:trHeight w:val="902"/>
        </w:trPr>
        <w:tc>
          <w:tcPr>
            <w:tcW w:w="8931" w:type="dxa"/>
          </w:tcPr>
          <w:p w14:paraId="443FEA94" w14:textId="3435D1FC" w:rsidR="00F5058F" w:rsidRPr="00FD28DB" w:rsidRDefault="00F5058F" w:rsidP="0040728A">
            <w:pPr>
              <w:jc w:val="both"/>
              <w:rPr>
                <w:rFonts w:ascii="Verdana" w:eastAsia="Calibri" w:hAnsi="Verdana" w:cs="Arial"/>
                <w:lang w:val="es-ES" w:eastAsia="es-ES_tradnl"/>
              </w:rPr>
            </w:pPr>
            <w:r w:rsidRPr="00FD28DB">
              <w:rPr>
                <w:rFonts w:ascii="Verdana" w:eastAsia="Calibri" w:hAnsi="Verdana" w:cs="Arial"/>
                <w:b/>
                <w:lang w:val="es-ES" w:eastAsia="es-ES_tradnl"/>
              </w:rPr>
              <w:t xml:space="preserve">                         </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5058F" w:rsidRPr="00FD28DB" w14:paraId="0D5DD5A6" w14:textId="77777777" w:rsidTr="0040728A">
              <w:trPr>
                <w:trHeight w:val="458"/>
              </w:trPr>
              <w:tc>
                <w:tcPr>
                  <w:tcW w:w="2689" w:type="dxa"/>
                </w:tcPr>
                <w:p w14:paraId="63171AB0" w14:textId="77777777" w:rsidR="00F5058F" w:rsidRPr="00FD28DB" w:rsidRDefault="00F5058F" w:rsidP="0040728A">
                  <w:pPr>
                    <w:jc w:val="both"/>
                    <w:rPr>
                      <w:rFonts w:ascii="Verdana" w:eastAsia="Calibri" w:hAnsi="Verdana" w:cs="Arial"/>
                      <w:b/>
                      <w:bCs/>
                      <w:lang w:val="es-ES" w:eastAsia="es-ES_tradnl"/>
                    </w:rPr>
                  </w:pPr>
                </w:p>
              </w:tc>
              <w:tc>
                <w:tcPr>
                  <w:tcW w:w="6100" w:type="dxa"/>
                </w:tcPr>
                <w:p w14:paraId="0867B37F" w14:textId="648DD18E" w:rsidR="00F5058F" w:rsidRPr="00FD28DB" w:rsidRDefault="00F5058F" w:rsidP="0040728A">
                  <w:pPr>
                    <w:jc w:val="both"/>
                    <w:rPr>
                      <w:rFonts w:ascii="Verdana" w:eastAsia="Calibri" w:hAnsi="Verdana" w:cs="Arial"/>
                      <w:b/>
                      <w:bCs/>
                      <w:lang w:val="es-ES" w:eastAsia="es-ES"/>
                    </w:rPr>
                  </w:pPr>
                  <w:r w:rsidRPr="00FD28DB">
                    <w:rPr>
                      <w:rFonts w:ascii="Verdana" w:eastAsia="Calibri" w:hAnsi="Verdana" w:cs="Arial"/>
                      <w:b/>
                      <w:bCs/>
                      <w:lang w:val="es-ES" w:eastAsia="es-ES"/>
                    </w:rPr>
                    <w:t xml:space="preserve">Concepto C- </w:t>
                  </w:r>
                  <w:r w:rsidR="008B72FC">
                    <w:rPr>
                      <w:rFonts w:ascii="Verdana" w:eastAsia="Calibri" w:hAnsi="Verdana" w:cs="Arial"/>
                      <w:b/>
                      <w:bCs/>
                      <w:lang w:val="es-ES" w:eastAsia="es-ES"/>
                    </w:rPr>
                    <w:t>835</w:t>
                  </w:r>
                  <w:r w:rsidRPr="00FD28DB">
                    <w:rPr>
                      <w:rFonts w:ascii="Verdana" w:eastAsia="Calibri" w:hAnsi="Verdana" w:cs="Arial"/>
                      <w:b/>
                      <w:bCs/>
                      <w:lang w:val="es-ES" w:eastAsia="es-ES"/>
                    </w:rPr>
                    <w:t xml:space="preserve"> de 2024</w:t>
                  </w:r>
                </w:p>
              </w:tc>
            </w:tr>
            <w:tr w:rsidR="00F5058F" w:rsidRPr="000802A6" w14:paraId="622B442B" w14:textId="77777777" w:rsidTr="0040728A">
              <w:trPr>
                <w:trHeight w:val="1772"/>
              </w:trPr>
              <w:tc>
                <w:tcPr>
                  <w:tcW w:w="2689" w:type="dxa"/>
                </w:tcPr>
                <w:p w14:paraId="63D9F1DB" w14:textId="77777777" w:rsidR="00F5058F" w:rsidRPr="00FD28DB" w:rsidRDefault="00F5058F" w:rsidP="0040728A">
                  <w:pPr>
                    <w:jc w:val="both"/>
                    <w:rPr>
                      <w:rFonts w:ascii="Verdana" w:eastAsia="Calibri" w:hAnsi="Verdana" w:cs="Arial"/>
                      <w:lang w:val="es-ES" w:eastAsia="es-ES_tradnl"/>
                    </w:rPr>
                  </w:pPr>
                  <w:r w:rsidRPr="00FD28DB">
                    <w:rPr>
                      <w:rFonts w:ascii="Verdana" w:eastAsia="Calibri" w:hAnsi="Verdana" w:cs="Arial"/>
                      <w:b/>
                      <w:lang w:val="es-ES" w:eastAsia="es-ES_tradnl"/>
                    </w:rPr>
                    <w:t>Temas:</w:t>
                  </w:r>
                  <w:r w:rsidRPr="00FD28DB">
                    <w:rPr>
                      <w:rFonts w:ascii="Verdana" w:eastAsia="Calibri" w:hAnsi="Verdana" w:cs="Arial"/>
                      <w:lang w:val="es-ES" w:eastAsia="es-ES_tradnl"/>
                    </w:rPr>
                    <w:t xml:space="preserve">                   </w:t>
                  </w:r>
                </w:p>
              </w:tc>
              <w:tc>
                <w:tcPr>
                  <w:tcW w:w="6100" w:type="dxa"/>
                </w:tcPr>
                <w:p w14:paraId="3B20535F" w14:textId="669CA3CE" w:rsidR="00F5058F" w:rsidRPr="000802A6" w:rsidRDefault="00E67203" w:rsidP="0040728A">
                  <w:pPr>
                    <w:spacing w:line="276" w:lineRule="auto"/>
                    <w:jc w:val="both"/>
                    <w:rPr>
                      <w:rFonts w:ascii="Verdana" w:hAnsi="Verdana" w:cs="Arial"/>
                      <w:bCs/>
                    </w:rPr>
                  </w:pPr>
                  <w:r w:rsidRPr="000802A6">
                    <w:rPr>
                      <w:rFonts w:ascii="Verdana" w:hAnsi="Verdana" w:cs="Arial"/>
                      <w:bCs/>
                    </w:rPr>
                    <w:t>SECOP I Y II</w:t>
                  </w:r>
                  <w:r w:rsidR="000802A6" w:rsidRPr="000802A6">
                    <w:rPr>
                      <w:rFonts w:ascii="Verdana" w:hAnsi="Verdana" w:cs="Arial"/>
                      <w:bCs/>
                    </w:rPr>
                    <w:t xml:space="preserve"> – Principio de</w:t>
                  </w:r>
                  <w:r w:rsidR="000802A6">
                    <w:rPr>
                      <w:rFonts w:ascii="Verdana" w:hAnsi="Verdana" w:cs="Arial"/>
                      <w:bCs/>
                    </w:rPr>
                    <w:t xml:space="preserve"> publicidad y transparencia / OFERTA – Apertura – Publicidad – Secop / OFERTA </w:t>
                  </w:r>
                  <w:r w:rsidR="006C3AB5">
                    <w:rPr>
                      <w:rFonts w:ascii="Verdana" w:hAnsi="Verdana" w:cs="Arial"/>
                      <w:bCs/>
                    </w:rPr>
                    <w:t>–</w:t>
                  </w:r>
                  <w:r w:rsidR="000802A6">
                    <w:rPr>
                      <w:rFonts w:ascii="Verdana" w:hAnsi="Verdana" w:cs="Arial"/>
                      <w:bCs/>
                    </w:rPr>
                    <w:t xml:space="preserve"> </w:t>
                  </w:r>
                  <w:r w:rsidR="006C3AB5">
                    <w:rPr>
                      <w:rFonts w:ascii="Verdana" w:hAnsi="Verdana" w:cs="Arial"/>
                      <w:bCs/>
                    </w:rPr>
                    <w:t>Principio de transparencia – Acceso de los interesados / OFERTA – Publicidad – SECOP II</w:t>
                  </w:r>
                </w:p>
              </w:tc>
            </w:tr>
          </w:tbl>
          <w:p w14:paraId="30E30B9A" w14:textId="77777777" w:rsidR="00F5058F" w:rsidRPr="000802A6" w:rsidRDefault="00F5058F" w:rsidP="0040728A">
            <w:pPr>
              <w:tabs>
                <w:tab w:val="left" w:pos="3768"/>
              </w:tabs>
              <w:spacing w:line="276" w:lineRule="auto"/>
              <w:jc w:val="both"/>
              <w:rPr>
                <w:rFonts w:ascii="Verdana" w:eastAsia="Calibri" w:hAnsi="Verdana" w:cs="Arial"/>
                <w:lang w:eastAsia="es-ES"/>
              </w:rPr>
            </w:pPr>
            <w:r w:rsidRPr="000802A6">
              <w:rPr>
                <w:rFonts w:ascii="Verdana" w:eastAsia="Calibri" w:hAnsi="Verdana" w:cs="Arial"/>
                <w:lang w:eastAsia="es-ES"/>
              </w:rPr>
              <w:tab/>
            </w:r>
          </w:p>
          <w:p w14:paraId="1140CE97" w14:textId="77777777" w:rsidR="00F5058F" w:rsidRPr="000802A6" w:rsidRDefault="00F5058F" w:rsidP="0040728A">
            <w:pPr>
              <w:jc w:val="both"/>
              <w:rPr>
                <w:rFonts w:ascii="Verdana" w:eastAsia="Calibri" w:hAnsi="Verdana" w:cs="Arial"/>
                <w:lang w:eastAsia="es-ES_tradnl"/>
              </w:rPr>
            </w:pPr>
            <w:r w:rsidRPr="000802A6">
              <w:rPr>
                <w:rFonts w:ascii="Verdana" w:eastAsia="Calibri" w:hAnsi="Verdana" w:cs="Arial"/>
                <w:lang w:eastAsia="es-ES_tradnl"/>
              </w:rPr>
              <w:t xml:space="preserve">                                             </w:t>
            </w:r>
          </w:p>
        </w:tc>
        <w:tc>
          <w:tcPr>
            <w:tcW w:w="388" w:type="dxa"/>
          </w:tcPr>
          <w:p w14:paraId="7E4240CE" w14:textId="77777777" w:rsidR="00F5058F" w:rsidRPr="000802A6" w:rsidRDefault="00F5058F" w:rsidP="0040728A">
            <w:pPr>
              <w:spacing w:line="276" w:lineRule="auto"/>
              <w:jc w:val="both"/>
              <w:rPr>
                <w:rFonts w:ascii="Verdana" w:eastAsia="Calibri" w:hAnsi="Verdana" w:cs="Arial"/>
                <w:lang w:eastAsia="es-ES"/>
              </w:rPr>
            </w:pPr>
            <w:r w:rsidRPr="000802A6">
              <w:rPr>
                <w:rFonts w:ascii="Verdana" w:eastAsia="Calibri" w:hAnsi="Verdana" w:cs="Arial"/>
                <w:lang w:eastAsia="es-ES"/>
              </w:rPr>
              <w:t xml:space="preserve">  </w:t>
            </w:r>
          </w:p>
          <w:p w14:paraId="4EBD29C1" w14:textId="77777777" w:rsidR="00F5058F" w:rsidRPr="000802A6" w:rsidRDefault="00F5058F" w:rsidP="0040728A">
            <w:pPr>
              <w:spacing w:line="276" w:lineRule="auto"/>
              <w:jc w:val="both"/>
              <w:rPr>
                <w:rFonts w:ascii="Verdana" w:eastAsia="Calibri" w:hAnsi="Verdana" w:cs="Arial"/>
                <w:highlight w:val="cyan"/>
                <w:lang w:eastAsia="es-ES"/>
              </w:rPr>
            </w:pPr>
          </w:p>
        </w:tc>
      </w:tr>
      <w:tr w:rsidR="00F5058F" w:rsidRPr="00FD28DB" w14:paraId="10E89A09" w14:textId="77777777" w:rsidTr="0040728A">
        <w:trPr>
          <w:trHeight w:val="260"/>
        </w:trPr>
        <w:tc>
          <w:tcPr>
            <w:tcW w:w="8931" w:type="dxa"/>
          </w:tcPr>
          <w:p w14:paraId="3C0D33D5" w14:textId="5D16C226" w:rsidR="00F5058F" w:rsidRPr="00FD28DB" w:rsidRDefault="00F5058F" w:rsidP="0040728A">
            <w:pPr>
              <w:jc w:val="both"/>
              <w:rPr>
                <w:rFonts w:ascii="Verdana" w:eastAsia="Calibri" w:hAnsi="Verdana" w:cs="Arial"/>
                <w:b/>
                <w:lang w:val="es-ES" w:eastAsia="es-ES_tradnl"/>
              </w:rPr>
            </w:pPr>
            <w:r w:rsidRPr="00FD28DB">
              <w:rPr>
                <w:rFonts w:ascii="Verdana" w:eastAsia="Calibri" w:hAnsi="Verdana" w:cs="Arial"/>
                <w:b/>
                <w:lang w:val="es-ES" w:eastAsia="es-ES_tradnl"/>
              </w:rPr>
              <w:t>Radicación:</w:t>
            </w:r>
            <w:r w:rsidRPr="00FD28DB">
              <w:rPr>
                <w:rFonts w:ascii="Verdana" w:eastAsia="Calibri" w:hAnsi="Verdana" w:cs="Arial"/>
                <w:lang w:val="es-ES" w:eastAsia="es-ES_tradnl"/>
              </w:rPr>
              <w:t xml:space="preserve">               Respuesta a consulta con radicado No. </w:t>
            </w:r>
            <w:r w:rsidR="00AB6E7B">
              <w:rPr>
                <w:rFonts w:ascii="Verdana" w:eastAsia="Calibri" w:hAnsi="Verdana" w:cs="Arial"/>
                <w:lang w:val="es-ES" w:eastAsia="es-ES_tradnl"/>
              </w:rPr>
              <w:t>P2024</w:t>
            </w:r>
            <w:r w:rsidR="001F705C">
              <w:rPr>
                <w:rFonts w:ascii="Verdana" w:eastAsia="Calibri" w:hAnsi="Verdana" w:cs="Arial"/>
                <w:lang w:val="es-ES" w:eastAsia="es-ES_tradnl"/>
              </w:rPr>
              <w:t>110811</w:t>
            </w:r>
            <w:r w:rsidR="00D2173D">
              <w:rPr>
                <w:rFonts w:ascii="Verdana" w:eastAsia="Calibri" w:hAnsi="Verdana" w:cs="Arial"/>
                <w:lang w:val="es-ES" w:eastAsia="es-ES_tradnl"/>
              </w:rPr>
              <w:t>1</w:t>
            </w:r>
            <w:r w:rsidR="001F705C">
              <w:rPr>
                <w:rFonts w:ascii="Verdana" w:eastAsia="Calibri" w:hAnsi="Verdana" w:cs="Arial"/>
                <w:lang w:val="es-ES" w:eastAsia="es-ES_tradnl"/>
              </w:rPr>
              <w:t>253</w:t>
            </w:r>
          </w:p>
        </w:tc>
        <w:tc>
          <w:tcPr>
            <w:tcW w:w="388" w:type="dxa"/>
          </w:tcPr>
          <w:p w14:paraId="618A4792" w14:textId="77777777" w:rsidR="00F5058F" w:rsidRPr="00FD28DB" w:rsidRDefault="00F5058F" w:rsidP="0040728A">
            <w:pPr>
              <w:jc w:val="both"/>
              <w:rPr>
                <w:rFonts w:ascii="Verdana" w:eastAsia="Calibri" w:hAnsi="Verdana" w:cs="Arial"/>
                <w:lang w:val="es-ES" w:eastAsia="es-ES_tradnl"/>
              </w:rPr>
            </w:pPr>
          </w:p>
        </w:tc>
      </w:tr>
    </w:tbl>
    <w:p w14:paraId="466A179F" w14:textId="77777777" w:rsidR="00F5058F" w:rsidRPr="00FD28DB" w:rsidRDefault="00F5058F" w:rsidP="00F5058F">
      <w:pPr>
        <w:spacing w:after="0" w:line="240" w:lineRule="auto"/>
        <w:jc w:val="both"/>
        <w:rPr>
          <w:rFonts w:ascii="Verdana" w:eastAsia="Calibri" w:hAnsi="Verdana" w:cs="Arial"/>
          <w:highlight w:val="cyan"/>
          <w:lang w:val="es-ES" w:eastAsia="es-ES_tradnl"/>
        </w:rPr>
      </w:pPr>
    </w:p>
    <w:p w14:paraId="6F190C1F" w14:textId="77777777" w:rsidR="00F5058F" w:rsidRPr="00FD28DB" w:rsidRDefault="00F5058F" w:rsidP="00F5058F">
      <w:pPr>
        <w:spacing w:after="0" w:line="240" w:lineRule="auto"/>
        <w:jc w:val="both"/>
        <w:rPr>
          <w:rFonts w:ascii="Verdana" w:eastAsia="Calibri" w:hAnsi="Verdana" w:cs="Arial"/>
          <w:highlight w:val="cyan"/>
          <w:lang w:val="es-ES" w:eastAsia="es-ES_tradnl"/>
        </w:rPr>
      </w:pPr>
    </w:p>
    <w:p w14:paraId="2EF2E78A" w14:textId="2C30BF6D" w:rsidR="00F5058F" w:rsidRPr="00FD28DB" w:rsidRDefault="00F5058F" w:rsidP="00F5058F">
      <w:pPr>
        <w:spacing w:after="0" w:line="276" w:lineRule="auto"/>
        <w:jc w:val="both"/>
        <w:rPr>
          <w:rFonts w:ascii="Verdana" w:eastAsia="Calibri" w:hAnsi="Verdana" w:cs="Arial"/>
          <w:lang w:val="es-ES" w:eastAsia="es-ES"/>
        </w:rPr>
      </w:pPr>
      <w:r w:rsidRPr="00FD28DB">
        <w:rPr>
          <w:rFonts w:ascii="Verdana" w:eastAsia="Calibri" w:hAnsi="Verdana" w:cs="Arial"/>
          <w:lang w:val="es-ES" w:eastAsia="es-ES"/>
        </w:rPr>
        <w:t xml:space="preserve">Estimado señor </w:t>
      </w:r>
      <w:r w:rsidR="001F705C">
        <w:rPr>
          <w:rFonts w:ascii="Verdana" w:eastAsia="Calibri" w:hAnsi="Verdana" w:cs="Arial"/>
          <w:lang w:val="es-ES" w:eastAsia="es-ES"/>
        </w:rPr>
        <w:t xml:space="preserve">Criollo; </w:t>
      </w:r>
    </w:p>
    <w:p w14:paraId="37A970BA" w14:textId="77777777" w:rsidR="00F5058F" w:rsidRPr="00FD28DB" w:rsidRDefault="00F5058F" w:rsidP="00F5058F">
      <w:pPr>
        <w:spacing w:after="0" w:line="276" w:lineRule="auto"/>
        <w:jc w:val="both"/>
        <w:rPr>
          <w:rFonts w:ascii="Verdana" w:eastAsia="Calibri" w:hAnsi="Verdana" w:cs="Arial"/>
          <w:lang w:val="es-ES" w:eastAsia="es-ES"/>
        </w:rPr>
      </w:pPr>
    </w:p>
    <w:p w14:paraId="7A565001" w14:textId="7A20FA6C" w:rsidR="00F5058F" w:rsidRPr="00FD28DB" w:rsidRDefault="00F5058F" w:rsidP="00F5058F">
      <w:pPr>
        <w:spacing w:after="0" w:line="276" w:lineRule="auto"/>
        <w:jc w:val="both"/>
        <w:rPr>
          <w:rFonts w:ascii="Verdana" w:eastAsia="Calibri" w:hAnsi="Verdana" w:cs="Arial"/>
          <w:lang w:val="es-ES" w:eastAsia="es-ES"/>
        </w:rPr>
      </w:pPr>
      <w:r w:rsidRPr="00FD28DB">
        <w:rPr>
          <w:rFonts w:ascii="Verdana" w:eastAsia="Calibri" w:hAnsi="Verdana" w:cs="Arial"/>
          <w:lang w:val="es-ES" w:eastAsia="es-ES"/>
        </w:rPr>
        <w:t>En ejercicio de la competencia otorgada por los artículos 3, numeral 5º, y 11, numeral 8º, del Decreto Ley 4170 de 2011,</w:t>
      </w:r>
      <w:r w:rsidRPr="00FD28DB">
        <w:rPr>
          <w:rFonts w:ascii="Verdana" w:eastAsia="Arial MT" w:hAnsi="Verdana" w:cs="Arial MT"/>
          <w:lang w:val="es-ES" w:eastAsia="es-ES"/>
        </w:rPr>
        <w:t xml:space="preserve"> </w:t>
      </w:r>
      <w:r w:rsidRPr="00FD28DB">
        <w:rPr>
          <w:rFonts w:ascii="Verdana" w:hAnsi="Verdana" w:cs="Arial"/>
          <w:lang w:val="es-ES"/>
        </w:rPr>
        <w:t xml:space="preserve">así como lo establecido en el artículo 4 de la Resolución 1707 de 2018 expedida por esta Entidad, </w:t>
      </w:r>
      <w:r w:rsidRPr="00FD28DB">
        <w:rPr>
          <w:rFonts w:ascii="Verdana" w:eastAsia="Calibri" w:hAnsi="Verdana" w:cs="Arial"/>
          <w:lang w:val="es-ES" w:eastAsia="es-ES"/>
        </w:rPr>
        <w:t xml:space="preserve">la Agencia Nacional de Contratación Pública – Colombia Compra Eficiente– responde su solicitud de consulta de fecha </w:t>
      </w:r>
      <w:r w:rsidR="0051460D">
        <w:rPr>
          <w:rFonts w:ascii="Verdana" w:eastAsia="Calibri" w:hAnsi="Verdana" w:cs="Arial"/>
          <w:lang w:val="es-ES" w:eastAsia="es-ES"/>
        </w:rPr>
        <w:t>8 de noviembre</w:t>
      </w:r>
      <w:r w:rsidRPr="00FD28DB">
        <w:rPr>
          <w:rFonts w:ascii="Verdana" w:eastAsia="Calibri" w:hAnsi="Verdana" w:cs="Arial"/>
          <w:lang w:val="es-ES" w:eastAsia="es-ES"/>
        </w:rPr>
        <w:t xml:space="preserve"> de 2024, en la cual usted manifiesta lo siguiente:</w:t>
      </w:r>
    </w:p>
    <w:p w14:paraId="5C483EA8" w14:textId="77777777" w:rsidR="00F5058F" w:rsidRPr="00FD28DB" w:rsidRDefault="00F5058F" w:rsidP="00F5058F">
      <w:pPr>
        <w:tabs>
          <w:tab w:val="left" w:pos="3768"/>
        </w:tabs>
        <w:spacing w:after="0" w:line="276" w:lineRule="auto"/>
        <w:jc w:val="both"/>
        <w:rPr>
          <w:rFonts w:ascii="Verdana" w:eastAsia="Calibri" w:hAnsi="Verdana" w:cs="Arial"/>
          <w:lang w:val="es-ES" w:eastAsia="es-ES"/>
        </w:rPr>
      </w:pPr>
    </w:p>
    <w:p w14:paraId="07045E23" w14:textId="44E952C2" w:rsidR="00F5058F" w:rsidRPr="00FD28DB" w:rsidRDefault="00F5058F" w:rsidP="00F5058F">
      <w:pPr>
        <w:tabs>
          <w:tab w:val="left" w:pos="3768"/>
        </w:tabs>
        <w:spacing w:after="0" w:line="276" w:lineRule="auto"/>
        <w:ind w:left="709" w:right="709"/>
        <w:jc w:val="both"/>
        <w:rPr>
          <w:rFonts w:ascii="Verdana" w:eastAsia="Calibri" w:hAnsi="Verdana" w:cs="Arial"/>
          <w:i/>
          <w:iCs/>
          <w:sz w:val="21"/>
          <w:szCs w:val="21"/>
          <w:lang w:val="es-ES" w:eastAsia="es-ES"/>
        </w:rPr>
      </w:pPr>
      <w:r>
        <w:rPr>
          <w:rFonts w:ascii="Verdana" w:eastAsia="Calibri" w:hAnsi="Verdana" w:cs="Arial"/>
          <w:i/>
          <w:iCs/>
          <w:lang w:eastAsia="es-ES"/>
        </w:rPr>
        <w:t>“</w:t>
      </w:r>
      <w:r w:rsidR="000F5FE2">
        <w:rPr>
          <w:rFonts w:ascii="Verdana" w:eastAsia="Calibri" w:hAnsi="Verdana" w:cs="Arial"/>
          <w:i/>
          <w:iCs/>
          <w:sz w:val="21"/>
          <w:szCs w:val="21"/>
          <w:lang w:eastAsia="es-ES"/>
        </w:rPr>
        <w:t xml:space="preserve">Actualmente en todos los procesos licitatorios, específicamente en la modalidad mínima cuantía, he observado que las </w:t>
      </w:r>
      <w:r w:rsidR="001F705C">
        <w:rPr>
          <w:rFonts w:ascii="Verdana" w:eastAsia="Calibri" w:hAnsi="Verdana" w:cs="Arial"/>
          <w:i/>
          <w:iCs/>
          <w:sz w:val="21"/>
          <w:szCs w:val="21"/>
          <w:lang w:eastAsia="es-ES"/>
        </w:rPr>
        <w:t>invitaciones,</w:t>
      </w:r>
      <w:r w:rsidR="00E33F2D">
        <w:rPr>
          <w:rFonts w:ascii="Verdana" w:eastAsia="Calibri" w:hAnsi="Verdana" w:cs="Arial"/>
          <w:i/>
          <w:iCs/>
          <w:sz w:val="21"/>
          <w:szCs w:val="21"/>
          <w:lang w:eastAsia="es-ES"/>
        </w:rPr>
        <w:t xml:space="preserve"> dentro de su CRONOGRAMA, no tienen la hora para realizar la apertura de sobres, es decir, contienen la fecha</w:t>
      </w:r>
      <w:r w:rsidR="00DC79F9">
        <w:rPr>
          <w:rFonts w:ascii="Verdana" w:eastAsia="Calibri" w:hAnsi="Verdana" w:cs="Arial"/>
          <w:i/>
          <w:iCs/>
          <w:sz w:val="21"/>
          <w:szCs w:val="21"/>
          <w:lang w:eastAsia="es-ES"/>
        </w:rPr>
        <w:t xml:space="preserve"> pero no la hora, lo que dificulta que el proponente pueda </w:t>
      </w:r>
      <w:r w:rsidR="00477527">
        <w:rPr>
          <w:rFonts w:ascii="Verdana" w:eastAsia="Calibri" w:hAnsi="Verdana" w:cs="Arial"/>
          <w:i/>
          <w:iCs/>
          <w:sz w:val="21"/>
          <w:szCs w:val="21"/>
          <w:lang w:eastAsia="es-ES"/>
        </w:rPr>
        <w:t xml:space="preserve">verificar que su propuesta no haya sido abierta antes </w:t>
      </w:r>
      <w:r w:rsidR="00645C6E">
        <w:rPr>
          <w:rFonts w:ascii="Verdana" w:eastAsia="Calibri" w:hAnsi="Verdana" w:cs="Arial"/>
          <w:i/>
          <w:iCs/>
          <w:sz w:val="21"/>
          <w:szCs w:val="21"/>
          <w:lang w:eastAsia="es-ES"/>
        </w:rPr>
        <w:t>de la fecha estipulada</w:t>
      </w:r>
      <w:r w:rsidR="006C5478">
        <w:rPr>
          <w:rFonts w:ascii="Verdana" w:eastAsia="Calibri" w:hAnsi="Verdana" w:cs="Arial"/>
          <w:i/>
          <w:iCs/>
          <w:sz w:val="21"/>
          <w:szCs w:val="21"/>
          <w:lang w:eastAsia="es-ES"/>
        </w:rPr>
        <w:t xml:space="preserve"> con el fin de favorecer a un tercero para que presente una propuesta con precio </w:t>
      </w:r>
      <w:proofErr w:type="spellStart"/>
      <w:r w:rsidR="006C5478">
        <w:rPr>
          <w:rFonts w:ascii="Verdana" w:eastAsia="Calibri" w:hAnsi="Verdana" w:cs="Arial"/>
          <w:i/>
          <w:iCs/>
          <w:sz w:val="21"/>
          <w:szCs w:val="21"/>
          <w:lang w:eastAsia="es-ES"/>
        </w:rPr>
        <w:t>mas</w:t>
      </w:r>
      <w:proofErr w:type="spellEnd"/>
      <w:r w:rsidR="006C5478">
        <w:rPr>
          <w:rFonts w:ascii="Verdana" w:eastAsia="Calibri" w:hAnsi="Verdana" w:cs="Arial"/>
          <w:i/>
          <w:iCs/>
          <w:sz w:val="21"/>
          <w:szCs w:val="21"/>
          <w:lang w:eastAsia="es-ES"/>
        </w:rPr>
        <w:t xml:space="preserve"> bajo</w:t>
      </w:r>
      <w:r w:rsidR="00645C6E">
        <w:rPr>
          <w:rFonts w:ascii="Verdana" w:eastAsia="Calibri" w:hAnsi="Verdana" w:cs="Arial"/>
          <w:i/>
          <w:iCs/>
          <w:sz w:val="21"/>
          <w:szCs w:val="21"/>
          <w:lang w:eastAsia="es-ES"/>
        </w:rPr>
        <w:t>. Solicito se me informe, si existe</w:t>
      </w:r>
      <w:r w:rsidR="0052301A">
        <w:rPr>
          <w:rFonts w:ascii="Verdana" w:eastAsia="Calibri" w:hAnsi="Verdana" w:cs="Arial"/>
          <w:i/>
          <w:iCs/>
          <w:sz w:val="21"/>
          <w:szCs w:val="21"/>
          <w:lang w:eastAsia="es-ES"/>
        </w:rPr>
        <w:t xml:space="preserve"> una norma donde se exija que se debe colocar la fecha y hora para la apertura de sobres dentro del proceso. Caso contrario</w:t>
      </w:r>
      <w:r w:rsidR="001C3A35">
        <w:rPr>
          <w:rFonts w:ascii="Verdana" w:eastAsia="Calibri" w:hAnsi="Verdana" w:cs="Arial"/>
          <w:i/>
          <w:iCs/>
          <w:sz w:val="21"/>
          <w:szCs w:val="21"/>
          <w:lang w:eastAsia="es-ES"/>
        </w:rPr>
        <w:t>, solicito sea añadido un pronunciamiento para que a las entidades públicas se les exija anexarlo para demostrar transparencia en el proceso y así</w:t>
      </w:r>
      <w:r w:rsidR="003E6096">
        <w:rPr>
          <w:rFonts w:ascii="Verdana" w:eastAsia="Calibri" w:hAnsi="Verdana" w:cs="Arial"/>
          <w:i/>
          <w:iCs/>
          <w:sz w:val="21"/>
          <w:szCs w:val="21"/>
          <w:lang w:eastAsia="es-ES"/>
        </w:rPr>
        <w:t>, los proponentes que nos presentamos a procesos de otras ciudades, podamos asistir y verificar la transparencia del mencionado proceso y evitar que la oferta se conozca antes de la apertura de sobres” (SIC).</w:t>
      </w:r>
    </w:p>
    <w:p w14:paraId="4D9C0682" w14:textId="77777777" w:rsidR="00F5058F" w:rsidRDefault="00F5058F" w:rsidP="00F5058F">
      <w:pPr>
        <w:tabs>
          <w:tab w:val="left" w:pos="3768"/>
        </w:tabs>
        <w:spacing w:after="0" w:line="276" w:lineRule="auto"/>
        <w:ind w:left="709" w:right="709"/>
        <w:jc w:val="both"/>
        <w:rPr>
          <w:rFonts w:ascii="Verdana" w:eastAsia="Calibri" w:hAnsi="Verdana" w:cs="Arial"/>
          <w:i/>
          <w:iCs/>
          <w:lang w:val="es-ES" w:eastAsia="es-ES"/>
        </w:rPr>
      </w:pPr>
    </w:p>
    <w:p w14:paraId="07673384" w14:textId="77777777" w:rsidR="00715CAB" w:rsidRPr="00FD28DB" w:rsidRDefault="00715CAB" w:rsidP="00F5058F">
      <w:pPr>
        <w:tabs>
          <w:tab w:val="left" w:pos="3768"/>
        </w:tabs>
        <w:spacing w:after="0" w:line="276" w:lineRule="auto"/>
        <w:ind w:left="709" w:right="709"/>
        <w:jc w:val="both"/>
        <w:rPr>
          <w:rFonts w:ascii="Verdana" w:eastAsia="Calibri" w:hAnsi="Verdana" w:cs="Arial"/>
          <w:i/>
          <w:iCs/>
          <w:lang w:val="es-ES" w:eastAsia="es-ES"/>
        </w:rPr>
      </w:pPr>
    </w:p>
    <w:p w14:paraId="75B27FFE" w14:textId="77777777" w:rsidR="00F5058F" w:rsidRDefault="00F5058F" w:rsidP="00F5058F">
      <w:pPr>
        <w:spacing w:after="120" w:line="276" w:lineRule="auto"/>
        <w:ind w:firstLine="709"/>
        <w:jc w:val="both"/>
        <w:rPr>
          <w:rFonts w:ascii="Verdana" w:eastAsia="Calibri" w:hAnsi="Verdana" w:cs="Arial"/>
          <w:lang w:val="es-ES" w:eastAsia="es-ES"/>
        </w:rPr>
      </w:pPr>
      <w:r w:rsidRPr="00FD28DB">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23651362" w14:textId="77777777" w:rsidR="00715CAB" w:rsidRPr="00FD28DB" w:rsidRDefault="00715CAB" w:rsidP="00F5058F">
      <w:pPr>
        <w:spacing w:after="120" w:line="276" w:lineRule="auto"/>
        <w:ind w:firstLine="709"/>
        <w:jc w:val="both"/>
        <w:rPr>
          <w:rFonts w:ascii="Verdana" w:eastAsia="Calibri" w:hAnsi="Verdana" w:cs="Arial"/>
          <w:lang w:val="es-ES" w:eastAsia="es-ES"/>
        </w:rPr>
      </w:pPr>
    </w:p>
    <w:p w14:paraId="5BE51A26" w14:textId="77777777" w:rsidR="00F5058F" w:rsidRPr="00FD28DB" w:rsidRDefault="00F5058F" w:rsidP="00F5058F">
      <w:pPr>
        <w:spacing w:after="0" w:line="276" w:lineRule="auto"/>
        <w:ind w:firstLine="709"/>
        <w:jc w:val="both"/>
        <w:rPr>
          <w:rFonts w:ascii="Verdana" w:eastAsia="Calibri" w:hAnsi="Verdana" w:cs="Arial"/>
          <w:lang w:val="es-ES" w:eastAsia="es-ES"/>
        </w:rPr>
      </w:pPr>
      <w:r w:rsidRPr="00FD28DB">
        <w:rPr>
          <w:rFonts w:ascii="Verdana" w:eastAsia="Calibri" w:hAnsi="Verdana" w:cs="Arial"/>
          <w:lang w:val="es-ES" w:eastAsia="es-ES"/>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7F290CC7" w14:textId="77777777" w:rsidR="00F5058F" w:rsidRDefault="00F5058F" w:rsidP="00F5058F">
      <w:pPr>
        <w:spacing w:after="0" w:line="276" w:lineRule="auto"/>
        <w:ind w:firstLine="708"/>
        <w:jc w:val="both"/>
        <w:rPr>
          <w:rFonts w:ascii="Verdana" w:eastAsia="Calibri" w:hAnsi="Verdana" w:cs="Arial"/>
          <w:lang w:val="es-ES" w:eastAsia="es-ES"/>
        </w:rPr>
      </w:pPr>
    </w:p>
    <w:p w14:paraId="489541C4" w14:textId="77777777" w:rsidR="00715CAB" w:rsidRPr="00FD28DB" w:rsidRDefault="00715CAB" w:rsidP="00F5058F">
      <w:pPr>
        <w:spacing w:after="0" w:line="276" w:lineRule="auto"/>
        <w:ind w:firstLine="708"/>
        <w:jc w:val="both"/>
        <w:rPr>
          <w:rFonts w:ascii="Verdana" w:eastAsia="Calibri" w:hAnsi="Verdana" w:cs="Arial"/>
          <w:lang w:val="es-ES" w:eastAsia="es-ES"/>
        </w:rPr>
      </w:pPr>
    </w:p>
    <w:p w14:paraId="64DC1A7D" w14:textId="77777777" w:rsidR="00F5058F" w:rsidRPr="00FD28DB" w:rsidRDefault="00F5058F" w:rsidP="00F5058F">
      <w:pPr>
        <w:spacing w:after="0" w:line="276" w:lineRule="auto"/>
        <w:jc w:val="both"/>
        <w:rPr>
          <w:rFonts w:ascii="Verdana" w:eastAsia="Calibri" w:hAnsi="Verdana" w:cs="Arial"/>
          <w:b/>
          <w:bCs/>
          <w:lang w:val="es-ES" w:eastAsia="es-ES"/>
        </w:rPr>
      </w:pPr>
      <w:r w:rsidRPr="00FD28DB">
        <w:rPr>
          <w:rFonts w:ascii="Verdana" w:eastAsia="Calibri" w:hAnsi="Verdana" w:cs="Arial"/>
          <w:b/>
          <w:bCs/>
          <w:lang w:val="es-ES" w:eastAsia="es-ES"/>
        </w:rPr>
        <w:t>1. Problemas planteados:</w:t>
      </w:r>
    </w:p>
    <w:p w14:paraId="6AF11256" w14:textId="77777777" w:rsidR="00F5058F" w:rsidRPr="00FD28DB" w:rsidRDefault="00F5058F" w:rsidP="00F5058F">
      <w:pPr>
        <w:pStyle w:val="Prrafodelista"/>
        <w:spacing w:after="0" w:line="276" w:lineRule="auto"/>
        <w:ind w:left="1068"/>
        <w:jc w:val="both"/>
        <w:rPr>
          <w:rFonts w:ascii="Verdana" w:eastAsia="Calibri" w:hAnsi="Verdana" w:cs="Arial"/>
          <w:b/>
          <w:bCs/>
          <w:lang w:eastAsia="es-ES"/>
        </w:rPr>
      </w:pPr>
    </w:p>
    <w:p w14:paraId="3D5960C8" w14:textId="74EE7EBB" w:rsidR="00F5058F" w:rsidRPr="00FD28DB" w:rsidRDefault="00F5058F" w:rsidP="00F5058F">
      <w:pPr>
        <w:spacing w:after="0" w:line="276" w:lineRule="auto"/>
        <w:jc w:val="both"/>
        <w:textAlignment w:val="baseline"/>
        <w:rPr>
          <w:rFonts w:ascii="Verdana" w:eastAsia="Calibri" w:hAnsi="Verdana" w:cs="Arial"/>
          <w:lang w:val="es-ES" w:eastAsia="es-ES"/>
        </w:rPr>
      </w:pPr>
      <w:r w:rsidRPr="00FD28DB">
        <w:rPr>
          <w:rFonts w:ascii="Verdana" w:eastAsia="Calibri" w:hAnsi="Verdana" w:cs="Arial"/>
          <w:lang w:val="es-ES" w:eastAsia="es-ES"/>
        </w:rPr>
        <w:t xml:space="preserve">De acuerdo con el contenido de su solicitud, esta Agencia resolverá los siguientes problemas jurídicos: </w:t>
      </w:r>
      <w:bookmarkStart w:id="1" w:name="_Hlk182581156"/>
      <w:r w:rsidRPr="00FD28DB">
        <w:rPr>
          <w:rFonts w:ascii="Verdana" w:eastAsia="Calibri" w:hAnsi="Verdana" w:cs="Arial"/>
          <w:lang w:val="es-ES" w:eastAsia="es-ES"/>
        </w:rPr>
        <w:t>i) ¿</w:t>
      </w:r>
      <w:bookmarkEnd w:id="1"/>
      <w:r w:rsidR="009C46D7">
        <w:rPr>
          <w:rFonts w:ascii="Verdana" w:eastAsia="Calibri" w:hAnsi="Verdana" w:cs="Arial"/>
          <w:lang w:val="es-ES" w:eastAsia="es-ES"/>
        </w:rPr>
        <w:t xml:space="preserve">En qué procesos de contratación </w:t>
      </w:r>
      <w:r w:rsidR="00715CAB">
        <w:rPr>
          <w:rFonts w:ascii="Verdana" w:eastAsia="Calibri" w:hAnsi="Verdana" w:cs="Arial"/>
          <w:lang w:val="es-ES" w:eastAsia="es-ES"/>
        </w:rPr>
        <w:t xml:space="preserve">pública, </w:t>
      </w:r>
      <w:r w:rsidR="009C46D7">
        <w:rPr>
          <w:rFonts w:ascii="Verdana" w:eastAsia="Calibri" w:hAnsi="Verdana" w:cs="Arial"/>
          <w:lang w:val="es-ES" w:eastAsia="es-ES"/>
        </w:rPr>
        <w:t xml:space="preserve">se debe publicar </w:t>
      </w:r>
      <w:r w:rsidR="005F1E69">
        <w:rPr>
          <w:rFonts w:ascii="Verdana" w:eastAsia="Calibri" w:hAnsi="Verdana" w:cs="Arial"/>
          <w:lang w:val="es-ES" w:eastAsia="es-ES"/>
        </w:rPr>
        <w:t xml:space="preserve">la hora y fecha de la audiencia </w:t>
      </w:r>
      <w:r w:rsidR="003674AC">
        <w:rPr>
          <w:rFonts w:ascii="Verdana" w:eastAsia="Calibri" w:hAnsi="Verdana" w:cs="Arial"/>
          <w:lang w:val="es-ES" w:eastAsia="es-ES"/>
        </w:rPr>
        <w:t>para la apertura de sobres de las ofertas?</w:t>
      </w:r>
    </w:p>
    <w:p w14:paraId="28E2B618" w14:textId="77777777" w:rsidR="00F5058F" w:rsidRDefault="00F5058F" w:rsidP="00F5058F">
      <w:pPr>
        <w:spacing w:after="0" w:line="240" w:lineRule="auto"/>
        <w:jc w:val="both"/>
        <w:textAlignment w:val="baseline"/>
        <w:rPr>
          <w:rFonts w:ascii="Verdana" w:eastAsia="Calibri" w:hAnsi="Verdana" w:cs="Arial"/>
          <w:lang w:val="es-ES" w:eastAsia="es-ES"/>
        </w:rPr>
      </w:pPr>
    </w:p>
    <w:p w14:paraId="2F287EE6" w14:textId="77777777" w:rsidR="00715CAB" w:rsidRDefault="00715CAB" w:rsidP="00F5058F">
      <w:pPr>
        <w:spacing w:after="0" w:line="240" w:lineRule="auto"/>
        <w:jc w:val="both"/>
        <w:textAlignment w:val="baseline"/>
        <w:rPr>
          <w:rFonts w:ascii="Verdana" w:eastAsia="Calibri" w:hAnsi="Verdana" w:cs="Arial"/>
          <w:lang w:val="es-ES" w:eastAsia="es-ES"/>
        </w:rPr>
      </w:pPr>
    </w:p>
    <w:p w14:paraId="07C70033" w14:textId="77777777" w:rsidR="00715CAB" w:rsidRPr="00FD28DB" w:rsidRDefault="00715CAB" w:rsidP="00F5058F">
      <w:pPr>
        <w:spacing w:after="0" w:line="240" w:lineRule="auto"/>
        <w:jc w:val="both"/>
        <w:textAlignment w:val="baseline"/>
        <w:rPr>
          <w:rFonts w:ascii="Verdana" w:eastAsia="Calibri" w:hAnsi="Verdana" w:cs="Arial"/>
          <w:lang w:val="es-ES" w:eastAsia="es-ES"/>
        </w:rPr>
      </w:pPr>
    </w:p>
    <w:p w14:paraId="1C707D9A" w14:textId="77777777" w:rsidR="00F5058F" w:rsidRDefault="00F5058F" w:rsidP="00F5058F">
      <w:pPr>
        <w:spacing w:after="0" w:line="240" w:lineRule="auto"/>
        <w:jc w:val="both"/>
        <w:textAlignment w:val="baseline"/>
        <w:rPr>
          <w:rFonts w:ascii="Verdana" w:eastAsia="Times New Roman" w:hAnsi="Verdana" w:cs="Segoe UI"/>
          <w:b/>
          <w:bCs/>
          <w:lang w:val="es-ES" w:eastAsia="es-CO"/>
        </w:rPr>
      </w:pPr>
      <w:r w:rsidRPr="00FD28DB">
        <w:rPr>
          <w:rFonts w:ascii="Verdana" w:eastAsia="Times New Roman" w:hAnsi="Verdana" w:cs="Segoe UI"/>
          <w:b/>
          <w:bCs/>
          <w:lang w:val="es-ES" w:eastAsia="es-CO"/>
        </w:rPr>
        <w:t xml:space="preserve">2. Respuesta: </w:t>
      </w:r>
    </w:p>
    <w:p w14:paraId="228F5058" w14:textId="77777777" w:rsidR="00F5058F" w:rsidRDefault="00F5058F" w:rsidP="00F5058F">
      <w:pPr>
        <w:spacing w:after="0" w:line="240" w:lineRule="auto"/>
        <w:jc w:val="both"/>
        <w:textAlignment w:val="baseline"/>
        <w:rPr>
          <w:rFonts w:ascii="Verdana" w:eastAsia="Times New Roman" w:hAnsi="Verdana" w:cs="Segoe UI"/>
          <w:b/>
          <w:bCs/>
          <w:lang w:val="es-ES" w:eastAsia="es-CO"/>
        </w:rPr>
      </w:pPr>
    </w:p>
    <w:bookmarkEnd w:id="0"/>
    <w:p w14:paraId="34C56E64" w14:textId="11347792" w:rsidR="00B34844" w:rsidRDefault="009574B0" w:rsidP="004C2ECE">
      <w:pPr>
        <w:pBdr>
          <w:top w:val="single" w:sz="4" w:space="1" w:color="auto"/>
          <w:left w:val="single" w:sz="4" w:space="4" w:color="auto"/>
          <w:bottom w:val="single" w:sz="4" w:space="1" w:color="auto"/>
          <w:right w:val="single" w:sz="4" w:space="4" w:color="auto"/>
        </w:pBdr>
        <w:spacing w:after="0"/>
        <w:jc w:val="both"/>
        <w:rPr>
          <w:rFonts w:ascii="Verdana" w:hAnsi="Verdana"/>
        </w:rPr>
      </w:pPr>
      <w:r>
        <w:rPr>
          <w:rFonts w:ascii="Verdana" w:hAnsi="Verdana"/>
        </w:rPr>
        <w:t xml:space="preserve">Aunque la normativa vigente no determina de manera expresa que se debe adelantar una audiencia para la apertura de sobre dentro de los procesos </w:t>
      </w:r>
      <w:r w:rsidR="00B14DAC">
        <w:rPr>
          <w:rFonts w:ascii="Verdana" w:hAnsi="Verdana"/>
        </w:rPr>
        <w:t>objeto de la consulta, la Circular Externa Única proferida por la Agencia Nacional de</w:t>
      </w:r>
      <w:r w:rsidR="00FF33BA">
        <w:rPr>
          <w:rFonts w:ascii="Verdana" w:hAnsi="Verdana"/>
        </w:rPr>
        <w:t xml:space="preserve"> Contratación Pública – Colombia Compra Eficiente ha </w:t>
      </w:r>
      <w:r w:rsidR="00E55261">
        <w:rPr>
          <w:rFonts w:ascii="Verdana" w:hAnsi="Verdana"/>
        </w:rPr>
        <w:t>fijado un criterio para determinar</w:t>
      </w:r>
      <w:r w:rsidR="000766F7">
        <w:rPr>
          <w:rFonts w:ascii="Verdana" w:hAnsi="Verdana"/>
        </w:rPr>
        <w:t xml:space="preserve"> la necesidad de dicha etapa o actuación, en el marco de los diferentes mecanismos previstos para garantizar</w:t>
      </w:r>
      <w:r w:rsidR="00563CC6">
        <w:rPr>
          <w:rFonts w:ascii="Verdana" w:hAnsi="Verdana"/>
        </w:rPr>
        <w:t xml:space="preserve"> el principio de publicidad. La referida</w:t>
      </w:r>
      <w:r w:rsidR="00A46720">
        <w:rPr>
          <w:rFonts w:ascii="Verdana" w:hAnsi="Verdana"/>
        </w:rPr>
        <w:t xml:space="preserve"> Circular indica que cuando el proceso de contra</w:t>
      </w:r>
      <w:r w:rsidR="00462E7E">
        <w:rPr>
          <w:rFonts w:ascii="Verdana" w:hAnsi="Verdana"/>
        </w:rPr>
        <w:t xml:space="preserve">tación se </w:t>
      </w:r>
      <w:r w:rsidR="00B40F74">
        <w:rPr>
          <w:rFonts w:ascii="Verdana" w:hAnsi="Verdana"/>
        </w:rPr>
        <w:t>publique en el SECOP I, vencido el termino para presentar ofertas, la Entidad Estatal</w:t>
      </w:r>
      <w:r w:rsidR="004C05AC">
        <w:rPr>
          <w:rFonts w:ascii="Verdana" w:hAnsi="Verdana"/>
        </w:rPr>
        <w:t xml:space="preserve"> sin perjuicio de lo dispuesto en el </w:t>
      </w:r>
      <w:r w:rsidR="0041607C">
        <w:rPr>
          <w:rFonts w:ascii="Verdana" w:hAnsi="Verdana"/>
        </w:rPr>
        <w:t>artículo</w:t>
      </w:r>
      <w:r w:rsidR="004C05AC">
        <w:rPr>
          <w:rFonts w:ascii="Verdana" w:hAnsi="Verdana"/>
        </w:rPr>
        <w:t xml:space="preserve"> 2.2.1.1.2.2.5</w:t>
      </w:r>
      <w:r w:rsidR="000E4DB3">
        <w:rPr>
          <w:rFonts w:ascii="Verdana" w:hAnsi="Verdana"/>
        </w:rPr>
        <w:t xml:space="preserve"> del Decreto 1082 de 2015, puede realizar la apertura de las propuestas en presencia de los proponentes</w:t>
      </w:r>
      <w:r w:rsidR="006C69DD">
        <w:rPr>
          <w:rFonts w:ascii="Verdana" w:hAnsi="Verdana"/>
        </w:rPr>
        <w:t xml:space="preserve"> o veedores que desean asistir, y elaborar un acta de cierre en la cual conste</w:t>
      </w:r>
      <w:r w:rsidR="00E347EE">
        <w:rPr>
          <w:rFonts w:ascii="Verdana" w:hAnsi="Verdana"/>
        </w:rPr>
        <w:t xml:space="preserve"> la fecha y hora de recibido de las ofertas, indicando nombre o razón social de los oferentes</w:t>
      </w:r>
      <w:r w:rsidR="00C6281E">
        <w:rPr>
          <w:rFonts w:ascii="Verdana" w:hAnsi="Verdana"/>
        </w:rPr>
        <w:t xml:space="preserve"> y sus representantes legales. Ahora bien, en los procesos realizados en el SECOP II</w:t>
      </w:r>
      <w:r w:rsidR="00C3229F">
        <w:rPr>
          <w:rFonts w:ascii="Verdana" w:hAnsi="Verdana"/>
        </w:rPr>
        <w:t>, la apertura de las ofertas se habilita una vez se cumpla la fecha de cierre</w:t>
      </w:r>
      <w:r w:rsidR="006A14A3">
        <w:rPr>
          <w:rFonts w:ascii="Verdana" w:hAnsi="Verdana"/>
        </w:rPr>
        <w:t xml:space="preserve"> dispuesta en el cronograma</w:t>
      </w:r>
      <w:r w:rsidR="00A571C7">
        <w:rPr>
          <w:rFonts w:ascii="Verdana" w:hAnsi="Verdana"/>
        </w:rPr>
        <w:t>, momento a partir del cual la plataforma permite abrir las ofertas.</w:t>
      </w:r>
    </w:p>
    <w:p w14:paraId="60953CE9" w14:textId="77777777" w:rsidR="00976AB5" w:rsidRDefault="00976AB5" w:rsidP="00976AB5">
      <w:pPr>
        <w:pBdr>
          <w:top w:val="single" w:sz="4" w:space="1" w:color="auto"/>
          <w:left w:val="single" w:sz="4" w:space="4" w:color="auto"/>
          <w:bottom w:val="single" w:sz="4" w:space="1" w:color="auto"/>
          <w:right w:val="single" w:sz="4" w:space="4" w:color="auto"/>
        </w:pBdr>
        <w:spacing w:after="0"/>
        <w:jc w:val="both"/>
        <w:rPr>
          <w:rFonts w:ascii="Verdana" w:hAnsi="Verdana"/>
        </w:rPr>
      </w:pPr>
    </w:p>
    <w:p w14:paraId="2E6A6448" w14:textId="1D4991BF" w:rsidR="00976AB5" w:rsidRPr="00976AB5" w:rsidRDefault="00976AB5" w:rsidP="00976AB5">
      <w:pPr>
        <w:pBdr>
          <w:top w:val="single" w:sz="4" w:space="1" w:color="auto"/>
          <w:left w:val="single" w:sz="4" w:space="4" w:color="auto"/>
          <w:bottom w:val="single" w:sz="4" w:space="1" w:color="auto"/>
          <w:right w:val="single" w:sz="4" w:space="4" w:color="auto"/>
        </w:pBdr>
        <w:spacing w:after="0"/>
        <w:jc w:val="both"/>
        <w:rPr>
          <w:rFonts w:ascii="Verdana" w:hAnsi="Verdana"/>
        </w:rPr>
      </w:pPr>
      <w:r>
        <w:rPr>
          <w:rFonts w:ascii="Verdana" w:hAnsi="Verdana"/>
        </w:rPr>
        <w:t xml:space="preserve">En conclusión, </w:t>
      </w:r>
      <w:r w:rsidRPr="00976AB5">
        <w:rPr>
          <w:rFonts w:ascii="Verdana" w:hAnsi="Verdana"/>
        </w:rPr>
        <w:t xml:space="preserve">no existe una obligación legal o reglamentaria específica que determine un momento exacto para la apertura de sobres, salvo lo señalado en la Ley 1882 de 2018 para contratación de obras públicas. </w:t>
      </w:r>
      <w:r>
        <w:rPr>
          <w:rFonts w:ascii="Verdana" w:hAnsi="Verdana"/>
        </w:rPr>
        <w:t xml:space="preserve">Para el </w:t>
      </w:r>
      <w:r w:rsidRPr="00976AB5">
        <w:rPr>
          <w:rFonts w:ascii="Verdana" w:hAnsi="Verdana"/>
        </w:rPr>
        <w:t>caso de</w:t>
      </w:r>
      <w:r>
        <w:rPr>
          <w:rFonts w:ascii="Verdana" w:hAnsi="Verdana"/>
        </w:rPr>
        <w:t xml:space="preserve"> procesos de selección de</w:t>
      </w:r>
      <w:r w:rsidRPr="00976AB5">
        <w:rPr>
          <w:rFonts w:ascii="Verdana" w:hAnsi="Verdana"/>
        </w:rPr>
        <w:t xml:space="preserve"> mínima cuantía, las entidades deben definir en los pliegos de condiciones el procedimiento y cronograma para la apertura de ofertas, respetando el principio de selección objetiva, </w:t>
      </w:r>
      <w:r>
        <w:rPr>
          <w:rFonts w:ascii="Verdana" w:hAnsi="Verdana"/>
        </w:rPr>
        <w:t xml:space="preserve">reiterando que </w:t>
      </w:r>
      <w:r w:rsidRPr="00976AB5">
        <w:rPr>
          <w:rFonts w:ascii="Verdana" w:hAnsi="Verdana"/>
        </w:rPr>
        <w:t xml:space="preserve">las ofertas deben abrirse </w:t>
      </w:r>
      <w:r w:rsidRPr="006959DE">
        <w:rPr>
          <w:rFonts w:ascii="Verdana" w:hAnsi="Verdana"/>
        </w:rPr>
        <w:t>después del cierre del plazo para su recepción</w:t>
      </w:r>
      <w:r w:rsidRPr="00976AB5">
        <w:rPr>
          <w:rFonts w:ascii="Verdana" w:hAnsi="Verdana"/>
        </w:rPr>
        <w:t xml:space="preserve"> y conforme a lo estipulado en el </w:t>
      </w:r>
      <w:r w:rsidR="001A2D33">
        <w:rPr>
          <w:rFonts w:ascii="Verdana" w:hAnsi="Verdana"/>
        </w:rPr>
        <w:t xml:space="preserve">citado </w:t>
      </w:r>
      <w:r w:rsidRPr="00976AB5">
        <w:rPr>
          <w:rFonts w:ascii="Verdana" w:hAnsi="Verdana"/>
        </w:rPr>
        <w:t>cronograma del proceso, cumpliendo con las normas de transparencia y publicidad. El procedimiento exacto varía dependiendo de si se utiliza SECOP I o SECOP II.</w:t>
      </w:r>
    </w:p>
    <w:p w14:paraId="511F8CC4" w14:textId="55AEA916" w:rsidR="00D12198" w:rsidRDefault="00D12198" w:rsidP="004C2ECE">
      <w:pPr>
        <w:pBdr>
          <w:top w:val="single" w:sz="4" w:space="1" w:color="auto"/>
          <w:left w:val="single" w:sz="4" w:space="4" w:color="auto"/>
          <w:bottom w:val="single" w:sz="4" w:space="1" w:color="auto"/>
          <w:right w:val="single" w:sz="4" w:space="4" w:color="auto"/>
        </w:pBdr>
        <w:spacing w:after="0"/>
        <w:jc w:val="both"/>
        <w:rPr>
          <w:rFonts w:ascii="Verdana" w:hAnsi="Verdana"/>
        </w:rPr>
      </w:pPr>
    </w:p>
    <w:p w14:paraId="237CD3AE" w14:textId="343F717E" w:rsidR="00C41070" w:rsidRDefault="001A2D33" w:rsidP="004C2ECE">
      <w:pPr>
        <w:pBdr>
          <w:top w:val="single" w:sz="4" w:space="1" w:color="auto"/>
          <w:left w:val="single" w:sz="4" w:space="4" w:color="auto"/>
          <w:bottom w:val="single" w:sz="4" w:space="1" w:color="auto"/>
          <w:right w:val="single" w:sz="4" w:space="4" w:color="auto"/>
        </w:pBdr>
        <w:spacing w:after="0"/>
        <w:jc w:val="both"/>
        <w:rPr>
          <w:rFonts w:ascii="Verdana" w:hAnsi="Verdana"/>
        </w:rPr>
      </w:pPr>
      <w:r>
        <w:rPr>
          <w:rFonts w:ascii="Verdana" w:hAnsi="Verdana"/>
        </w:rPr>
        <w:t>Así</w:t>
      </w:r>
      <w:r w:rsidR="00976AB5">
        <w:rPr>
          <w:rFonts w:ascii="Verdana" w:hAnsi="Verdana"/>
        </w:rPr>
        <w:t xml:space="preserve"> las cosas,</w:t>
      </w:r>
      <w:r w:rsidR="00D12198">
        <w:rPr>
          <w:rFonts w:ascii="Verdana" w:hAnsi="Verdana"/>
        </w:rPr>
        <w:t xml:space="preserve"> la necesidad de adelantar la apertura en público de las ofertas presentadas en el marco de un proceso de contratación dependerá de la plataforma que deba surtirse </w:t>
      </w:r>
      <w:r w:rsidR="00D42F07">
        <w:rPr>
          <w:rFonts w:ascii="Verdana" w:hAnsi="Verdana"/>
        </w:rPr>
        <w:t xml:space="preserve">para adelantar el respectivo tramite contractual, en caso que </w:t>
      </w:r>
      <w:r>
        <w:rPr>
          <w:rFonts w:ascii="Verdana" w:hAnsi="Verdana"/>
        </w:rPr>
        <w:t>é</w:t>
      </w:r>
      <w:r w:rsidR="00D42F07">
        <w:rPr>
          <w:rFonts w:ascii="Verdana" w:hAnsi="Verdana"/>
        </w:rPr>
        <w:t>ste deba tramitarse en el SECOP I</w:t>
      </w:r>
      <w:r w:rsidR="003A66EC">
        <w:rPr>
          <w:rFonts w:ascii="Verdana" w:hAnsi="Verdana"/>
        </w:rPr>
        <w:t xml:space="preserve">, es necesario realizar la apertura pública de sobres, mientras que </w:t>
      </w:r>
      <w:r w:rsidR="00793B9B">
        <w:rPr>
          <w:rFonts w:ascii="Verdana" w:hAnsi="Verdana"/>
        </w:rPr>
        <w:t>para aquellos procesos tramitados dentro de</w:t>
      </w:r>
      <w:r w:rsidR="00FF7E6F">
        <w:rPr>
          <w:rFonts w:ascii="Verdana" w:hAnsi="Verdana"/>
        </w:rPr>
        <w:t xml:space="preserve"> </w:t>
      </w:r>
      <w:r w:rsidR="00793B9B">
        <w:rPr>
          <w:rFonts w:ascii="Verdana" w:hAnsi="Verdana"/>
        </w:rPr>
        <w:t>l</w:t>
      </w:r>
      <w:r w:rsidR="00FF7E6F">
        <w:rPr>
          <w:rFonts w:ascii="Verdana" w:hAnsi="Verdana"/>
        </w:rPr>
        <w:t>a transaccionalidad de</w:t>
      </w:r>
      <w:r w:rsidR="00793B9B">
        <w:rPr>
          <w:rFonts w:ascii="Verdana" w:hAnsi="Verdana"/>
        </w:rPr>
        <w:t xml:space="preserve"> SECOP II, la plataforma genera y pública automáticamente la lista de </w:t>
      </w:r>
      <w:r w:rsidR="003A7CDB">
        <w:rPr>
          <w:rFonts w:ascii="Verdana" w:hAnsi="Verdana"/>
        </w:rPr>
        <w:t>oferentes</w:t>
      </w:r>
      <w:r w:rsidR="00585953">
        <w:rPr>
          <w:rFonts w:ascii="Verdana" w:hAnsi="Verdana"/>
        </w:rPr>
        <w:t>, la cual</w:t>
      </w:r>
      <w:r w:rsidR="00E86695">
        <w:rPr>
          <w:rFonts w:ascii="Verdana" w:hAnsi="Verdana"/>
        </w:rPr>
        <w:t xml:space="preserve"> hace las veces </w:t>
      </w:r>
      <w:r w:rsidR="00DA3AFA">
        <w:rPr>
          <w:rFonts w:ascii="Verdana" w:hAnsi="Verdana"/>
        </w:rPr>
        <w:t xml:space="preserve">de acta de cierre, por lo que no requiere de la presencia de los proponentes. En ambos casos se garantiza </w:t>
      </w:r>
      <w:r w:rsidR="004344E2">
        <w:rPr>
          <w:rFonts w:ascii="Verdana" w:hAnsi="Verdana"/>
        </w:rPr>
        <w:t>el principio de publicidad</w:t>
      </w:r>
      <w:r w:rsidR="00976AB5">
        <w:rPr>
          <w:rFonts w:ascii="Verdana" w:hAnsi="Verdana"/>
        </w:rPr>
        <w:t xml:space="preserve"> y por ende de transparencia del proceso de selección</w:t>
      </w:r>
      <w:r w:rsidR="004344E2">
        <w:rPr>
          <w:rFonts w:ascii="Verdana" w:hAnsi="Verdana"/>
        </w:rPr>
        <w:t>.</w:t>
      </w:r>
    </w:p>
    <w:p w14:paraId="7EF07274" w14:textId="77777777" w:rsidR="00C41070" w:rsidRDefault="00C41070" w:rsidP="004C2ECE">
      <w:pPr>
        <w:pBdr>
          <w:top w:val="single" w:sz="4" w:space="1" w:color="auto"/>
          <w:left w:val="single" w:sz="4" w:space="4" w:color="auto"/>
          <w:bottom w:val="single" w:sz="4" w:space="1" w:color="auto"/>
          <w:right w:val="single" w:sz="4" w:space="4" w:color="auto"/>
        </w:pBdr>
        <w:spacing w:after="0"/>
        <w:jc w:val="both"/>
        <w:rPr>
          <w:rFonts w:ascii="Verdana" w:hAnsi="Verdana"/>
        </w:rPr>
      </w:pPr>
    </w:p>
    <w:p w14:paraId="5A7F5A01" w14:textId="77777777" w:rsidR="00C41070" w:rsidRDefault="00C41070" w:rsidP="00C41070">
      <w:pPr>
        <w:spacing w:after="0"/>
        <w:jc w:val="both"/>
        <w:rPr>
          <w:rFonts w:ascii="Verdana" w:hAnsi="Verdana"/>
        </w:rPr>
      </w:pPr>
    </w:p>
    <w:p w14:paraId="39BE8A73" w14:textId="72FD483D" w:rsidR="00C41070" w:rsidRDefault="00C41070" w:rsidP="00C41070">
      <w:pPr>
        <w:spacing w:after="0"/>
        <w:jc w:val="both"/>
        <w:rPr>
          <w:rFonts w:ascii="Verdana" w:hAnsi="Verdana"/>
          <w:b/>
          <w:bCs/>
        </w:rPr>
      </w:pPr>
      <w:r>
        <w:rPr>
          <w:rFonts w:ascii="Verdana" w:hAnsi="Verdana"/>
          <w:b/>
          <w:bCs/>
        </w:rPr>
        <w:t xml:space="preserve">3. Razones de la Respuesta: </w:t>
      </w:r>
    </w:p>
    <w:p w14:paraId="37FC9AB5" w14:textId="77777777" w:rsidR="00C41070" w:rsidRDefault="00C41070" w:rsidP="00C41070">
      <w:pPr>
        <w:spacing w:after="0"/>
        <w:jc w:val="both"/>
        <w:rPr>
          <w:rFonts w:ascii="Verdana" w:hAnsi="Verdana"/>
        </w:rPr>
      </w:pPr>
    </w:p>
    <w:p w14:paraId="3DE89772" w14:textId="3FD0D515" w:rsidR="00C41070" w:rsidRDefault="00C41070" w:rsidP="00C41070">
      <w:pPr>
        <w:spacing w:after="0"/>
        <w:jc w:val="both"/>
        <w:rPr>
          <w:rFonts w:ascii="Verdana" w:hAnsi="Verdana"/>
        </w:rPr>
      </w:pPr>
      <w:r>
        <w:rPr>
          <w:rFonts w:ascii="Verdana" w:hAnsi="Verdana"/>
        </w:rPr>
        <w:t xml:space="preserve">Lo anterior se sustenta en las siguientes consideraciones: </w:t>
      </w:r>
    </w:p>
    <w:p w14:paraId="03F7E226" w14:textId="77777777" w:rsidR="00C41070" w:rsidRDefault="00C41070" w:rsidP="00C41070">
      <w:pPr>
        <w:spacing w:after="0"/>
        <w:jc w:val="both"/>
        <w:rPr>
          <w:rFonts w:ascii="Verdana" w:hAnsi="Verdana"/>
        </w:rPr>
      </w:pPr>
    </w:p>
    <w:p w14:paraId="5EE8A6F2" w14:textId="70A4F2E3" w:rsidR="001A2D33" w:rsidRPr="006959DE" w:rsidRDefault="00E702E1" w:rsidP="001A2D33">
      <w:pPr>
        <w:pStyle w:val="Prrafodelista"/>
        <w:numPr>
          <w:ilvl w:val="0"/>
          <w:numId w:val="16"/>
        </w:numPr>
        <w:spacing w:after="0"/>
        <w:jc w:val="both"/>
        <w:rPr>
          <w:rFonts w:ascii="Verdana" w:hAnsi="Verdana"/>
        </w:rPr>
      </w:pPr>
      <w:r>
        <w:rPr>
          <w:rFonts w:ascii="Verdana" w:hAnsi="Verdana"/>
        </w:rPr>
        <w:t>En lo que respecta a los principios de publicidad y transparencia en los procesos de contratación pública, la Agencia Nacional de Contratación Pública – Colombia Compra Eficiente</w:t>
      </w:r>
      <w:r w:rsidR="00FF6E62">
        <w:rPr>
          <w:rFonts w:ascii="Verdana" w:hAnsi="Verdana"/>
        </w:rPr>
        <w:t xml:space="preserve"> ha indicado que estos principios se encuentran unidos desde el propio Estatuto General de Contratación Pública</w:t>
      </w:r>
      <w:r w:rsidR="00174C0F">
        <w:rPr>
          <w:rFonts w:ascii="Verdana" w:hAnsi="Verdana"/>
        </w:rPr>
        <w:t>, de manera que, en virtud del principio de transparencia, las actuaciones desplegadas durante el proceso de selección</w:t>
      </w:r>
      <w:r w:rsidR="001F692C">
        <w:rPr>
          <w:rFonts w:ascii="Verdana" w:hAnsi="Verdana"/>
        </w:rPr>
        <w:t xml:space="preserve"> de contratistas serán públicas. Con todo, el principio de transparencia guarda estrecha re</w:t>
      </w:r>
      <w:r w:rsidR="00E475E5">
        <w:rPr>
          <w:rFonts w:ascii="Verdana" w:hAnsi="Verdana"/>
        </w:rPr>
        <w:t>lación con otros principios que orientan la contratación pública, como el de igualdad, imparcialidad y selección objetiva</w:t>
      </w:r>
      <w:r w:rsidR="00E475E5">
        <w:rPr>
          <w:rStyle w:val="Refdenotaalpie"/>
          <w:rFonts w:ascii="Verdana" w:hAnsi="Verdana"/>
        </w:rPr>
        <w:footnoteReference w:id="1"/>
      </w:r>
      <w:r w:rsidR="00021B80">
        <w:rPr>
          <w:rFonts w:ascii="Verdana" w:hAnsi="Verdana"/>
        </w:rPr>
        <w:t>.</w:t>
      </w:r>
    </w:p>
    <w:p w14:paraId="400BEA84" w14:textId="77777777" w:rsidR="001A2D33" w:rsidRDefault="001A2D33" w:rsidP="00C41070">
      <w:pPr>
        <w:pStyle w:val="Prrafodelista"/>
        <w:numPr>
          <w:ilvl w:val="0"/>
          <w:numId w:val="16"/>
        </w:numPr>
        <w:spacing w:after="0"/>
        <w:jc w:val="both"/>
        <w:rPr>
          <w:rFonts w:ascii="Verdana" w:hAnsi="Verdana"/>
        </w:rPr>
      </w:pPr>
    </w:p>
    <w:p w14:paraId="71379925" w14:textId="71DCD608" w:rsidR="00021B80" w:rsidRDefault="00021B80" w:rsidP="00C41070">
      <w:pPr>
        <w:pStyle w:val="Prrafodelista"/>
        <w:numPr>
          <w:ilvl w:val="0"/>
          <w:numId w:val="16"/>
        </w:numPr>
        <w:spacing w:after="0"/>
        <w:jc w:val="both"/>
        <w:rPr>
          <w:rFonts w:ascii="Verdana" w:hAnsi="Verdana"/>
        </w:rPr>
      </w:pPr>
      <w:r>
        <w:rPr>
          <w:rFonts w:ascii="Verdana" w:hAnsi="Verdana"/>
        </w:rPr>
        <w:t>A su vez, se ha señalado q</w:t>
      </w:r>
      <w:r w:rsidR="002D6768">
        <w:rPr>
          <w:rFonts w:ascii="Verdana" w:hAnsi="Verdana"/>
        </w:rPr>
        <w:t>ue el desarrollo del principio de publicidad admite diversas formas de realización; cuestión que debe ser determinada por la autoridad legislativa</w:t>
      </w:r>
      <w:r w:rsidR="00872CC3">
        <w:rPr>
          <w:rStyle w:val="Refdenotaalpie"/>
          <w:rFonts w:ascii="Verdana" w:hAnsi="Verdana"/>
        </w:rPr>
        <w:footnoteReference w:id="2"/>
      </w:r>
      <w:r w:rsidR="003D3515">
        <w:rPr>
          <w:rFonts w:ascii="Verdana" w:hAnsi="Verdana"/>
        </w:rPr>
        <w:t>. En esta medida y en relación con la consulta concreta, es posible observar que, aunque la norma no determina expresamente la celebración de una audiencia para la apertura de sobres este mecanismo no es el único mediante el cual puede garantizarse</w:t>
      </w:r>
      <w:r w:rsidR="00872CC3">
        <w:rPr>
          <w:rFonts w:ascii="Verdana" w:hAnsi="Verdana"/>
        </w:rPr>
        <w:t xml:space="preserve"> el principio de transparencia dentro de un proceso de selección.</w:t>
      </w:r>
    </w:p>
    <w:p w14:paraId="5A51FCC7" w14:textId="77777777" w:rsidR="00D10FC5" w:rsidRDefault="00D10FC5" w:rsidP="00D10FC5">
      <w:pPr>
        <w:spacing w:after="0"/>
        <w:jc w:val="both"/>
        <w:rPr>
          <w:rFonts w:ascii="Verdana" w:hAnsi="Verdana"/>
        </w:rPr>
      </w:pPr>
    </w:p>
    <w:p w14:paraId="5AEBC576" w14:textId="1D660F81" w:rsidR="00D10FC5" w:rsidRDefault="00D10FC5" w:rsidP="00D10FC5">
      <w:pPr>
        <w:pStyle w:val="Prrafodelista"/>
        <w:numPr>
          <w:ilvl w:val="0"/>
          <w:numId w:val="16"/>
        </w:numPr>
        <w:spacing w:after="0"/>
        <w:jc w:val="both"/>
        <w:rPr>
          <w:rFonts w:ascii="Verdana" w:hAnsi="Verdana"/>
        </w:rPr>
      </w:pPr>
      <w:r>
        <w:rPr>
          <w:rFonts w:ascii="Verdana" w:hAnsi="Verdana"/>
        </w:rPr>
        <w:t>Aunque la normativa vigente no determina de manera expresa que se deba adelantar aun audiencia</w:t>
      </w:r>
      <w:r w:rsidR="00730742">
        <w:rPr>
          <w:rFonts w:ascii="Verdana" w:hAnsi="Verdana"/>
        </w:rPr>
        <w:t xml:space="preserve"> para la apertura de sobres dentro de los procesos objeto de la consulta, la Circula Externa Única proferida por la A</w:t>
      </w:r>
      <w:r w:rsidR="00AD5F3C">
        <w:rPr>
          <w:rFonts w:ascii="Verdana" w:hAnsi="Verdana"/>
        </w:rPr>
        <w:t>gencia Nacional de Contratación Pública – Colombia Compra Eficiente</w:t>
      </w:r>
      <w:r w:rsidR="003A038E">
        <w:rPr>
          <w:rFonts w:ascii="Verdana" w:hAnsi="Verdana"/>
        </w:rPr>
        <w:t>, ha fijado un criterio para determinar la necesidad de dicha etapa o actuación, en el marco de los diferentes mecanismos previstos para garantizar el principio de publicidad.</w:t>
      </w:r>
    </w:p>
    <w:p w14:paraId="69834DB7" w14:textId="77777777" w:rsidR="003A038E" w:rsidRPr="003A038E" w:rsidRDefault="003A038E" w:rsidP="003A038E">
      <w:pPr>
        <w:pStyle w:val="Prrafodelista"/>
        <w:rPr>
          <w:rFonts w:ascii="Verdana" w:hAnsi="Verdana"/>
        </w:rPr>
      </w:pPr>
    </w:p>
    <w:p w14:paraId="54B093EF" w14:textId="1D75813A" w:rsidR="00F65B9C" w:rsidRDefault="00BD11E2" w:rsidP="00D10FC5">
      <w:pPr>
        <w:pStyle w:val="Prrafodelista"/>
        <w:numPr>
          <w:ilvl w:val="0"/>
          <w:numId w:val="16"/>
        </w:numPr>
        <w:spacing w:after="0"/>
        <w:jc w:val="both"/>
        <w:rPr>
          <w:rFonts w:ascii="Verdana" w:hAnsi="Verdana"/>
        </w:rPr>
      </w:pPr>
      <w:r>
        <w:rPr>
          <w:rFonts w:ascii="Verdana" w:hAnsi="Verdana"/>
        </w:rPr>
        <w:t>La referida circular indica que cuando el proceso de contratación se publique en SECOP I</w:t>
      </w:r>
      <w:r w:rsidR="00FA7AEB">
        <w:rPr>
          <w:rFonts w:ascii="Verdana" w:hAnsi="Verdana"/>
        </w:rPr>
        <w:t>, vencido el termino para presentar ofertas, la Entidad Estatal – sin perjuicio de lo dispuesto en el artículo 2.2.1.1.2.2.5 del Decreto 1082 de 2015</w:t>
      </w:r>
      <w:r w:rsidR="00EB44EB">
        <w:rPr>
          <w:rFonts w:ascii="Verdana" w:hAnsi="Verdana"/>
        </w:rPr>
        <w:t xml:space="preserve"> – puede realizar la apertura de las propuestas en presencia de los proponentes o veedores que deseen asistir, y elaborar un acta de cierre en la cual conste </w:t>
      </w:r>
      <w:r w:rsidR="00FE4854">
        <w:rPr>
          <w:rFonts w:ascii="Verdana" w:hAnsi="Verdana"/>
        </w:rPr>
        <w:t xml:space="preserve">la fecha y hora de recibo de las ofertas, indicando el nombre </w:t>
      </w:r>
      <w:r w:rsidR="00685448">
        <w:rPr>
          <w:rFonts w:ascii="Verdana" w:hAnsi="Verdana"/>
        </w:rPr>
        <w:t xml:space="preserve">o razón social </w:t>
      </w:r>
      <w:r w:rsidR="00734CF3">
        <w:rPr>
          <w:rFonts w:ascii="Verdana" w:hAnsi="Verdana"/>
        </w:rPr>
        <w:t xml:space="preserve">de los oferentes y sus representantes legales. Además, el acta de cierre puede incluir datos generales de las propuestas, </w:t>
      </w:r>
      <w:r w:rsidR="00A35520">
        <w:rPr>
          <w:rFonts w:ascii="Verdana" w:hAnsi="Verdana"/>
        </w:rPr>
        <w:t>como,</w:t>
      </w:r>
      <w:r w:rsidR="00734CF3">
        <w:rPr>
          <w:rFonts w:ascii="Verdana" w:hAnsi="Verdana"/>
        </w:rPr>
        <w:t xml:space="preserve"> por ejemplo, la presentación o no de la garantía de seriedad</w:t>
      </w:r>
      <w:r w:rsidR="004F3C39">
        <w:rPr>
          <w:rFonts w:ascii="Verdana" w:hAnsi="Verdana"/>
        </w:rPr>
        <w:t xml:space="preserve"> de la oferta, en caso de que se haya requerido, o el valor ofertado, salvo en aquellos casos en que se presente sobre económico que deba permanecer cerrado. E</w:t>
      </w:r>
      <w:r w:rsidR="00A35520">
        <w:rPr>
          <w:rFonts w:ascii="Verdana" w:hAnsi="Verdana"/>
        </w:rPr>
        <w:t>laborada el acta de cierre deberá</w:t>
      </w:r>
      <w:r w:rsidR="00F65B9C">
        <w:rPr>
          <w:rFonts w:ascii="Verdana" w:hAnsi="Verdana"/>
        </w:rPr>
        <w:t xml:space="preserve"> publicarse en SECOP I en el término correspondiente.</w:t>
      </w:r>
    </w:p>
    <w:p w14:paraId="15281975" w14:textId="77777777" w:rsidR="00F65B9C" w:rsidRPr="00F65B9C" w:rsidRDefault="00F65B9C" w:rsidP="00F65B9C">
      <w:pPr>
        <w:pStyle w:val="Prrafodelista"/>
        <w:rPr>
          <w:rFonts w:ascii="Verdana" w:hAnsi="Verdana"/>
        </w:rPr>
      </w:pPr>
    </w:p>
    <w:p w14:paraId="56B143CF" w14:textId="0418D83E" w:rsidR="003A038E" w:rsidRDefault="00A35520" w:rsidP="00D10FC5">
      <w:pPr>
        <w:pStyle w:val="Prrafodelista"/>
        <w:numPr>
          <w:ilvl w:val="0"/>
          <w:numId w:val="16"/>
        </w:numPr>
        <w:spacing w:after="0"/>
        <w:jc w:val="both"/>
        <w:rPr>
          <w:rFonts w:ascii="Verdana" w:hAnsi="Verdana"/>
        </w:rPr>
      </w:pPr>
      <w:r>
        <w:rPr>
          <w:rFonts w:ascii="Verdana" w:hAnsi="Verdana"/>
        </w:rPr>
        <w:t xml:space="preserve"> </w:t>
      </w:r>
      <w:r w:rsidR="00F65B9C">
        <w:rPr>
          <w:rFonts w:ascii="Verdana" w:hAnsi="Verdana"/>
        </w:rPr>
        <w:t>En los procesos realizados en SECOP II, la apertura de ofertas se habilita una vez se cumple la fecha de cierre dispuesta en el cronograma, moment</w:t>
      </w:r>
      <w:r w:rsidR="004B07B0">
        <w:rPr>
          <w:rFonts w:ascii="Verdana" w:hAnsi="Verdana"/>
        </w:rPr>
        <w:t xml:space="preserve">o a partir del cual la plataforma permite abrir las ofertas. </w:t>
      </w:r>
      <w:r w:rsidR="006A7540">
        <w:rPr>
          <w:rFonts w:ascii="Verdana" w:hAnsi="Verdana"/>
        </w:rPr>
        <w:t xml:space="preserve">Para realizar la apertura </w:t>
      </w:r>
      <w:r w:rsidR="0041607C">
        <w:rPr>
          <w:rFonts w:ascii="Verdana" w:hAnsi="Verdana"/>
        </w:rPr>
        <w:t>se debe</w:t>
      </w:r>
      <w:r w:rsidR="006A7540">
        <w:rPr>
          <w:rFonts w:ascii="Verdana" w:hAnsi="Verdana"/>
        </w:rPr>
        <w:t xml:space="preserve"> ingresar a la sección “lista de ofertas”. La plataforma muestra</w:t>
      </w:r>
      <w:r w:rsidR="00E421B8">
        <w:rPr>
          <w:rFonts w:ascii="Verdana" w:hAnsi="Verdana"/>
        </w:rPr>
        <w:t xml:space="preserve"> un </w:t>
      </w:r>
      <w:r w:rsidR="001C3779">
        <w:rPr>
          <w:rFonts w:ascii="Verdana" w:hAnsi="Verdana"/>
        </w:rPr>
        <w:t>panel con las ofertas presentadas, en la cual se debe hacer cli</w:t>
      </w:r>
      <w:r w:rsidR="00805EAA">
        <w:rPr>
          <w:rFonts w:ascii="Verdana" w:hAnsi="Verdana"/>
        </w:rPr>
        <w:t>c en “Iniciar” y luego en “Abrir sobres”, para que la plataforma</w:t>
      </w:r>
      <w:r w:rsidR="006856CA">
        <w:rPr>
          <w:rFonts w:ascii="Verdana" w:hAnsi="Verdana"/>
        </w:rPr>
        <w:t xml:space="preserve"> desencripte las ofertas. Luego de abrir los sobres la entidad debe publicar</w:t>
      </w:r>
      <w:r w:rsidR="0009065B">
        <w:rPr>
          <w:rFonts w:ascii="Verdana" w:hAnsi="Verdana"/>
        </w:rPr>
        <w:t xml:space="preserve"> el acta de cierre</w:t>
      </w:r>
      <w:r w:rsidR="006B3FAC">
        <w:rPr>
          <w:rFonts w:ascii="Verdana" w:hAnsi="Verdana"/>
        </w:rPr>
        <w:t>, para lo que se debe hacer clic en “Publicar/Actualizar lista de oferentes”</w:t>
      </w:r>
      <w:r w:rsidR="00272DF0">
        <w:rPr>
          <w:rFonts w:ascii="Verdana" w:hAnsi="Verdana"/>
        </w:rPr>
        <w:t xml:space="preserve">, </w:t>
      </w:r>
      <w:r w:rsidR="00055D36">
        <w:rPr>
          <w:rFonts w:ascii="Verdana" w:hAnsi="Verdana"/>
        </w:rPr>
        <w:t>abriéndose una ventana emergente con la lista de proveedores que presentaro</w:t>
      </w:r>
      <w:r w:rsidR="00D41C37">
        <w:rPr>
          <w:rFonts w:ascii="Verdana" w:hAnsi="Verdana"/>
        </w:rPr>
        <w:t>n oferta en el procedimiento, la fecha y hora de llegada de cada oferta. Al hacer clic en el bot</w:t>
      </w:r>
      <w:r w:rsidR="002B31C3">
        <w:rPr>
          <w:rFonts w:ascii="Verdana" w:hAnsi="Verdana"/>
        </w:rPr>
        <w:t>ón “Publicar/Actualizar lista de oferentes” la plataforma genera</w:t>
      </w:r>
      <w:r w:rsidR="00732E93">
        <w:rPr>
          <w:rFonts w:ascii="Verdana" w:hAnsi="Verdana"/>
        </w:rPr>
        <w:t xml:space="preserve"> y publica </w:t>
      </w:r>
      <w:r w:rsidR="00CC4593">
        <w:rPr>
          <w:rFonts w:ascii="Verdana" w:hAnsi="Verdana"/>
        </w:rPr>
        <w:t>automáticamente la lista de oferentes, la cual hace las veces de acta de cierre</w:t>
      </w:r>
      <w:r w:rsidR="00F406F6">
        <w:rPr>
          <w:rFonts w:ascii="Verdana" w:hAnsi="Verdana"/>
        </w:rPr>
        <w:t>, por lo que no se requiere de la presencia de los proponentes.</w:t>
      </w:r>
    </w:p>
    <w:p w14:paraId="0A7CD02F" w14:textId="77777777" w:rsidR="00F406F6" w:rsidRPr="00F406F6" w:rsidRDefault="00F406F6" w:rsidP="00F406F6">
      <w:pPr>
        <w:pStyle w:val="Prrafodelista"/>
        <w:rPr>
          <w:rFonts w:ascii="Verdana" w:hAnsi="Verdana"/>
        </w:rPr>
      </w:pPr>
    </w:p>
    <w:p w14:paraId="3D233388" w14:textId="66F935B3" w:rsidR="00F406F6" w:rsidRDefault="00F406F6" w:rsidP="00D10FC5">
      <w:pPr>
        <w:pStyle w:val="Prrafodelista"/>
        <w:numPr>
          <w:ilvl w:val="0"/>
          <w:numId w:val="16"/>
        </w:numPr>
        <w:spacing w:after="0"/>
        <w:jc w:val="both"/>
        <w:rPr>
          <w:rFonts w:ascii="Verdana" w:hAnsi="Verdana"/>
        </w:rPr>
      </w:pPr>
      <w:r>
        <w:rPr>
          <w:rFonts w:ascii="Verdana" w:hAnsi="Verdana"/>
        </w:rPr>
        <w:t>Lo anterior, tiene que ver con la naturaleza de uno y otro módulo</w:t>
      </w:r>
      <w:r>
        <w:rPr>
          <w:rStyle w:val="Refdenotaalpie"/>
          <w:rFonts w:ascii="Verdana" w:hAnsi="Verdana"/>
        </w:rPr>
        <w:footnoteReference w:id="3"/>
      </w:r>
      <w:r w:rsidR="001F6383">
        <w:rPr>
          <w:rFonts w:ascii="Verdana" w:hAnsi="Verdana"/>
        </w:rPr>
        <w:t>, pues el SECOP I es una plataforma meramente informativa, es decir que el proceso de contratación tiene lugar fuera de ella. en cambio, el SECOP II</w:t>
      </w:r>
      <w:r w:rsidR="002127C0">
        <w:rPr>
          <w:rFonts w:ascii="Verdana" w:hAnsi="Verdana"/>
        </w:rPr>
        <w:t xml:space="preserve"> es una plataforma transaccional por medio de la cual se surte, en su totalidad, el proceso </w:t>
      </w:r>
      <w:r w:rsidR="008F097E">
        <w:rPr>
          <w:rFonts w:ascii="Verdana" w:hAnsi="Verdana"/>
        </w:rPr>
        <w:t>contractual, cumpliendo así con la publicidad que rige la actuación administrativa y la contratación estatal.</w:t>
      </w:r>
    </w:p>
    <w:p w14:paraId="7E04079E" w14:textId="77777777" w:rsidR="008F097E" w:rsidRPr="008F097E" w:rsidRDefault="008F097E" w:rsidP="008F097E">
      <w:pPr>
        <w:pStyle w:val="Prrafodelista"/>
        <w:rPr>
          <w:rFonts w:ascii="Verdana" w:hAnsi="Verdana"/>
        </w:rPr>
      </w:pPr>
    </w:p>
    <w:p w14:paraId="3D97A790" w14:textId="4E595299" w:rsidR="008F097E" w:rsidRDefault="001A2D33" w:rsidP="00D10FC5">
      <w:pPr>
        <w:pStyle w:val="Prrafodelista"/>
        <w:numPr>
          <w:ilvl w:val="0"/>
          <w:numId w:val="16"/>
        </w:numPr>
        <w:spacing w:after="0"/>
        <w:jc w:val="both"/>
        <w:rPr>
          <w:rFonts w:ascii="Verdana" w:hAnsi="Verdana"/>
        </w:rPr>
      </w:pPr>
      <w:r>
        <w:rPr>
          <w:rFonts w:ascii="Verdana" w:hAnsi="Verdana"/>
        </w:rPr>
        <w:t>L</w:t>
      </w:r>
      <w:r w:rsidR="008F097E">
        <w:rPr>
          <w:rFonts w:ascii="Verdana" w:hAnsi="Verdana"/>
        </w:rPr>
        <w:t>a necesidad de adelantar la apertura</w:t>
      </w:r>
      <w:r w:rsidR="009370D7">
        <w:rPr>
          <w:rFonts w:ascii="Verdana" w:hAnsi="Verdana"/>
        </w:rPr>
        <w:t xml:space="preserve"> en público de las ofertas presentadas en el marco de un proceso de contratación dependerá de la plataforma que deba surtirse para adelantar el respectivo trámite contractual. Así, </w:t>
      </w:r>
      <w:r w:rsidR="0041607C">
        <w:rPr>
          <w:rFonts w:ascii="Verdana" w:hAnsi="Verdana"/>
        </w:rPr>
        <w:t>en caso de que</w:t>
      </w:r>
      <w:r w:rsidR="009370D7">
        <w:rPr>
          <w:rFonts w:ascii="Verdana" w:hAnsi="Verdana"/>
        </w:rPr>
        <w:t xml:space="preserve"> este deba tramitarse en el SECOP I</w:t>
      </w:r>
      <w:r w:rsidR="0087210E">
        <w:rPr>
          <w:rFonts w:ascii="Verdana" w:hAnsi="Verdana"/>
        </w:rPr>
        <w:t>, es necesario realizar la apertura pública de sobres, mientras que para aquellos</w:t>
      </w:r>
      <w:r w:rsidR="00A83A84">
        <w:rPr>
          <w:rFonts w:ascii="Verdana" w:hAnsi="Verdana"/>
        </w:rPr>
        <w:t xml:space="preserve"> procesos tramitados en el SECOP II, la plataforma genera y publica automáticamente la lista de oferentes, la cual hace las veces de acta de cierre, por lo que no se requiere de la presencia de los proponentes.</w:t>
      </w:r>
    </w:p>
    <w:p w14:paraId="1885DF64" w14:textId="77777777" w:rsidR="00A83A84" w:rsidRPr="00A83A84" w:rsidRDefault="00A83A84" w:rsidP="00A83A84">
      <w:pPr>
        <w:pStyle w:val="Prrafodelista"/>
        <w:rPr>
          <w:rFonts w:ascii="Verdana" w:hAnsi="Verdana"/>
        </w:rPr>
      </w:pPr>
    </w:p>
    <w:p w14:paraId="3DB82123" w14:textId="4C640789" w:rsidR="007C4680" w:rsidRDefault="00A83A84" w:rsidP="004B48A2">
      <w:pPr>
        <w:pStyle w:val="Prrafodelista"/>
        <w:numPr>
          <w:ilvl w:val="0"/>
          <w:numId w:val="16"/>
        </w:numPr>
        <w:spacing w:after="0"/>
        <w:jc w:val="both"/>
        <w:rPr>
          <w:rFonts w:ascii="Verdana" w:hAnsi="Verdana"/>
        </w:rPr>
      </w:pPr>
      <w:r>
        <w:rPr>
          <w:rFonts w:ascii="Verdana" w:hAnsi="Verdana"/>
        </w:rPr>
        <w:t>En ese orden de ideas, en ambos casos, se garan</w:t>
      </w:r>
      <w:r w:rsidR="00A05C55">
        <w:rPr>
          <w:rFonts w:ascii="Verdana" w:hAnsi="Verdana"/>
        </w:rPr>
        <w:t>tiza el principio de publicidad, el cual puede materializarse mediante la implementación de distintos mecanismos, sin que tenga una única forma de concreción.</w:t>
      </w:r>
    </w:p>
    <w:p w14:paraId="6CB58D5A" w14:textId="77777777" w:rsidR="004B48A2" w:rsidRPr="004B48A2" w:rsidRDefault="004B48A2" w:rsidP="004B48A2">
      <w:pPr>
        <w:pStyle w:val="Prrafodelista"/>
        <w:rPr>
          <w:rFonts w:ascii="Verdana" w:hAnsi="Verdana"/>
        </w:rPr>
      </w:pPr>
    </w:p>
    <w:p w14:paraId="75EEFEE5" w14:textId="77777777" w:rsidR="004B48A2" w:rsidRPr="004B48A2" w:rsidRDefault="004B48A2" w:rsidP="004B48A2">
      <w:pPr>
        <w:pStyle w:val="Prrafodelista"/>
        <w:spacing w:after="0"/>
        <w:jc w:val="both"/>
        <w:rPr>
          <w:rFonts w:ascii="Verdana" w:hAnsi="Verdana"/>
        </w:rPr>
      </w:pPr>
    </w:p>
    <w:p w14:paraId="6BC9F490" w14:textId="4EA21B63" w:rsidR="007C4680" w:rsidRDefault="007C4680" w:rsidP="00D10FC5">
      <w:pPr>
        <w:pStyle w:val="Prrafodelista"/>
        <w:numPr>
          <w:ilvl w:val="0"/>
          <w:numId w:val="16"/>
        </w:numPr>
        <w:spacing w:after="0"/>
        <w:jc w:val="both"/>
        <w:rPr>
          <w:rFonts w:ascii="Verdana" w:hAnsi="Verdana"/>
        </w:rPr>
      </w:pPr>
      <w:r>
        <w:rPr>
          <w:rFonts w:ascii="Verdana" w:hAnsi="Verdana"/>
        </w:rPr>
        <w:t>Como se observa, la regulación del principio de transparencia menciona como intervinientes en las actuaciones del procedimiento de contratación a los “interesados”, y para definirlos, se acudirá al artículo 77 de la Ley 80 de 1993, que permite aplicar las normas de los procedimientos y actuaciones administrativas a los procedimientos contractuales</w:t>
      </w:r>
      <w:r>
        <w:rPr>
          <w:rStyle w:val="Refdenotaalpie"/>
          <w:rFonts w:ascii="Verdana" w:hAnsi="Verdana"/>
        </w:rPr>
        <w:footnoteReference w:id="4"/>
      </w:r>
      <w:r w:rsidR="00972BEB">
        <w:rPr>
          <w:rFonts w:ascii="Verdana" w:hAnsi="Verdana"/>
        </w:rPr>
        <w:t xml:space="preserve">, y por ello se resalta que el Código de Procedimiento Administrativo y de lo Contencioso Administrativo – CPACA </w:t>
      </w:r>
      <w:r w:rsidR="00A03EFB">
        <w:rPr>
          <w:rFonts w:ascii="Verdana" w:hAnsi="Verdana"/>
        </w:rPr>
        <w:t>–</w:t>
      </w:r>
      <w:r w:rsidR="00972BEB">
        <w:rPr>
          <w:rFonts w:ascii="Verdana" w:hAnsi="Verdana"/>
        </w:rPr>
        <w:t xml:space="preserve"> </w:t>
      </w:r>
      <w:r w:rsidR="00A03EFB">
        <w:rPr>
          <w:rFonts w:ascii="Verdana" w:hAnsi="Verdana"/>
        </w:rPr>
        <w:t>contiene algunas disposiciones sobre la intervención en las actuaciones administrativa</w:t>
      </w:r>
      <w:r w:rsidR="00D70F5A">
        <w:rPr>
          <w:rFonts w:ascii="Verdana" w:hAnsi="Verdana"/>
        </w:rPr>
        <w:t>s</w:t>
      </w:r>
      <w:r w:rsidR="00A03EFB">
        <w:rPr>
          <w:rFonts w:ascii="Verdana" w:hAnsi="Verdana"/>
        </w:rPr>
        <w:t xml:space="preserve">. </w:t>
      </w:r>
    </w:p>
    <w:p w14:paraId="233FAFC2" w14:textId="77777777" w:rsidR="00A03EFB" w:rsidRPr="00A03EFB" w:rsidRDefault="00A03EFB" w:rsidP="00A03EFB">
      <w:pPr>
        <w:pStyle w:val="Prrafodelista"/>
        <w:rPr>
          <w:rFonts w:ascii="Verdana" w:hAnsi="Verdana"/>
        </w:rPr>
      </w:pPr>
    </w:p>
    <w:p w14:paraId="3BCC2F4F" w14:textId="19697D98" w:rsidR="00A03EFB" w:rsidRDefault="00A03EFB" w:rsidP="00D10FC5">
      <w:pPr>
        <w:pStyle w:val="Prrafodelista"/>
        <w:numPr>
          <w:ilvl w:val="0"/>
          <w:numId w:val="16"/>
        </w:numPr>
        <w:spacing w:after="0"/>
        <w:jc w:val="both"/>
        <w:rPr>
          <w:rFonts w:ascii="Verdana" w:hAnsi="Verdana"/>
        </w:rPr>
      </w:pPr>
      <w:r>
        <w:rPr>
          <w:rFonts w:ascii="Verdana" w:hAnsi="Verdana"/>
        </w:rPr>
        <w:t xml:space="preserve">Teniendo en cuenta que a través de las actuaciones contractuales se ejerce función administrativa, en ellas es posible la </w:t>
      </w:r>
      <w:r w:rsidR="00115210">
        <w:rPr>
          <w:rFonts w:ascii="Verdana" w:hAnsi="Verdana"/>
        </w:rPr>
        <w:t>intervención de terceros</w:t>
      </w:r>
      <w:r w:rsidR="00D70F5A">
        <w:rPr>
          <w:rFonts w:ascii="Verdana" w:hAnsi="Verdana"/>
        </w:rPr>
        <w:t xml:space="preserve"> en la forma</w:t>
      </w:r>
      <w:r w:rsidR="00115210">
        <w:rPr>
          <w:rFonts w:ascii="Verdana" w:hAnsi="Verdana"/>
        </w:rPr>
        <w:t xml:space="preserve"> regulada en </w:t>
      </w:r>
      <w:r w:rsidR="00BE1715">
        <w:rPr>
          <w:rFonts w:ascii="Verdana" w:hAnsi="Verdana"/>
        </w:rPr>
        <w:t>los artículos</w:t>
      </w:r>
      <w:r w:rsidR="00115210">
        <w:rPr>
          <w:rFonts w:ascii="Verdana" w:hAnsi="Verdana"/>
        </w:rPr>
        <w:t xml:space="preserve"> 37 y 38 del CPACA. Por tanto, si se presentan las condiciones señaladas en tales normas, es posible que aquellos tengan las mismas oportunidades que </w:t>
      </w:r>
      <w:r w:rsidR="00D70F5A">
        <w:rPr>
          <w:rFonts w:ascii="Verdana" w:hAnsi="Verdana"/>
        </w:rPr>
        <w:t xml:space="preserve">tienen </w:t>
      </w:r>
      <w:r w:rsidR="00115210">
        <w:rPr>
          <w:rFonts w:ascii="Verdana" w:hAnsi="Verdana"/>
        </w:rPr>
        <w:t xml:space="preserve">las partes </w:t>
      </w:r>
      <w:r w:rsidR="00D70F5A">
        <w:rPr>
          <w:rFonts w:ascii="Verdana" w:hAnsi="Verdana"/>
        </w:rPr>
        <w:t xml:space="preserve">intervinientes en el proceso de selección, </w:t>
      </w:r>
      <w:r w:rsidR="00115210">
        <w:rPr>
          <w:rFonts w:ascii="Verdana" w:hAnsi="Verdana"/>
        </w:rPr>
        <w:t>para presentar una petición</w:t>
      </w:r>
      <w:r w:rsidR="00115210">
        <w:rPr>
          <w:rStyle w:val="Refdenotaalpie"/>
          <w:rFonts w:ascii="Verdana" w:hAnsi="Verdana"/>
        </w:rPr>
        <w:footnoteReference w:id="5"/>
      </w:r>
      <w:r w:rsidR="00BE1715">
        <w:rPr>
          <w:rFonts w:ascii="Verdana" w:hAnsi="Verdana"/>
        </w:rPr>
        <w:t>.</w:t>
      </w:r>
    </w:p>
    <w:p w14:paraId="010BEC71" w14:textId="77777777" w:rsidR="00BE1715" w:rsidRPr="00BE1715" w:rsidRDefault="00BE1715" w:rsidP="00BE1715">
      <w:pPr>
        <w:pStyle w:val="Prrafodelista"/>
        <w:rPr>
          <w:rFonts w:ascii="Verdana" w:hAnsi="Verdana"/>
        </w:rPr>
      </w:pPr>
    </w:p>
    <w:p w14:paraId="44D02AEF" w14:textId="7025878A" w:rsidR="00BE1715" w:rsidRDefault="00BE1715" w:rsidP="00D10FC5">
      <w:pPr>
        <w:pStyle w:val="Prrafodelista"/>
        <w:numPr>
          <w:ilvl w:val="0"/>
          <w:numId w:val="16"/>
        </w:numPr>
        <w:spacing w:after="0"/>
        <w:jc w:val="both"/>
        <w:rPr>
          <w:rFonts w:ascii="Verdana" w:hAnsi="Verdana"/>
        </w:rPr>
      </w:pPr>
      <w:r>
        <w:rPr>
          <w:rFonts w:ascii="Verdana" w:hAnsi="Verdana"/>
        </w:rPr>
        <w:t>En ese sentido, el CPACA dispone quienes son las “partes” en una actuación administrativa que, como se expuso, es aplicable a los procedimientos contractuales, y ese concepto  aclara cuando se habla de “interesado,</w:t>
      </w:r>
      <w:r w:rsidR="00D70F5A">
        <w:rPr>
          <w:rFonts w:ascii="Verdana" w:hAnsi="Verdana"/>
        </w:rPr>
        <w:t xml:space="preserve"> se refiere</w:t>
      </w:r>
      <w:r>
        <w:rPr>
          <w:rFonts w:ascii="Verdana" w:hAnsi="Verdana"/>
        </w:rPr>
        <w:t xml:space="preserve">, a quienes les afecta o les concierne los actos de una autoridad administrativa, al </w:t>
      </w:r>
      <w:r w:rsidR="00D4086A">
        <w:rPr>
          <w:rFonts w:ascii="Verdana" w:hAnsi="Verdana"/>
        </w:rPr>
        <w:t>tener que asumir las consecuencias que se deriven de ello, y también complementa estas nociones, al disponer que los terceros pueden llegar a tener los mismos derechos que las partes en ciertas circunstancias.</w:t>
      </w:r>
    </w:p>
    <w:p w14:paraId="34C23725" w14:textId="77777777" w:rsidR="00D4086A" w:rsidRPr="00D4086A" w:rsidRDefault="00D4086A" w:rsidP="00D4086A">
      <w:pPr>
        <w:pStyle w:val="Prrafodelista"/>
        <w:rPr>
          <w:rFonts w:ascii="Verdana" w:hAnsi="Verdana"/>
        </w:rPr>
      </w:pPr>
    </w:p>
    <w:p w14:paraId="6B04DDE9" w14:textId="6ACDA673" w:rsidR="00D4086A" w:rsidRDefault="00D4086A" w:rsidP="00D10FC5">
      <w:pPr>
        <w:pStyle w:val="Prrafodelista"/>
        <w:numPr>
          <w:ilvl w:val="0"/>
          <w:numId w:val="16"/>
        </w:numPr>
        <w:spacing w:after="0"/>
        <w:jc w:val="both"/>
        <w:rPr>
          <w:rFonts w:ascii="Verdana" w:hAnsi="Verdana"/>
        </w:rPr>
      </w:pPr>
      <w:r>
        <w:rPr>
          <w:rFonts w:ascii="Verdana" w:hAnsi="Verdana"/>
        </w:rPr>
        <w:t>Ahora bien, los “interesados</w:t>
      </w:r>
      <w:r w:rsidR="00A865B1">
        <w:rPr>
          <w:rFonts w:ascii="Verdana" w:hAnsi="Verdana"/>
        </w:rPr>
        <w:t xml:space="preserve">” en los procedimientos de selección pueden solicitar la copia de las ofertas mediante una </w:t>
      </w:r>
      <w:r w:rsidR="00B23F5C">
        <w:rPr>
          <w:rFonts w:ascii="Verdana" w:hAnsi="Verdana"/>
        </w:rPr>
        <w:t>petición</w:t>
      </w:r>
      <w:r w:rsidR="00A865B1">
        <w:rPr>
          <w:rFonts w:ascii="Verdana" w:hAnsi="Verdana"/>
        </w:rPr>
        <w:t xml:space="preserve"> de documentos a la entidad contratante, de acuerdo con el artículo 14 de la Ley 1437 de 2011</w:t>
      </w:r>
      <w:r w:rsidR="00B23F5C">
        <w:rPr>
          <w:rFonts w:ascii="Verdana" w:hAnsi="Verdana"/>
        </w:rPr>
        <w:t>, y la entidad tiene un plazo máximo de diez (10) días para responder, so pena que, vencido el termino, deba entregar los documentos, sin la posibilidad de rechazar la solicitud, lo cual se debe cumplir en un plazo de tres (3) día</w:t>
      </w:r>
      <w:r w:rsidR="00CE5FE5">
        <w:rPr>
          <w:rFonts w:ascii="Verdana" w:hAnsi="Verdana"/>
        </w:rPr>
        <w:t>s</w:t>
      </w:r>
      <w:r w:rsidR="009B235D">
        <w:rPr>
          <w:rStyle w:val="Refdenotaalpie"/>
          <w:rFonts w:ascii="Verdana" w:hAnsi="Verdana"/>
        </w:rPr>
        <w:footnoteReference w:id="6"/>
      </w:r>
      <w:r w:rsidR="009B235D">
        <w:rPr>
          <w:rFonts w:ascii="Verdana" w:hAnsi="Verdana"/>
        </w:rPr>
        <w:t>.</w:t>
      </w:r>
    </w:p>
    <w:p w14:paraId="61E0B4B3" w14:textId="77777777" w:rsidR="00CE5FE5" w:rsidRPr="00CE5FE5" w:rsidRDefault="00CE5FE5" w:rsidP="00CE5FE5">
      <w:pPr>
        <w:pStyle w:val="Prrafodelista"/>
        <w:rPr>
          <w:rFonts w:ascii="Verdana" w:hAnsi="Verdana"/>
        </w:rPr>
      </w:pPr>
    </w:p>
    <w:p w14:paraId="41046D45" w14:textId="43104497" w:rsidR="00CE5FE5" w:rsidRDefault="00CE5FE5" w:rsidP="00D10FC5">
      <w:pPr>
        <w:pStyle w:val="Prrafodelista"/>
        <w:numPr>
          <w:ilvl w:val="0"/>
          <w:numId w:val="16"/>
        </w:numPr>
        <w:spacing w:after="0"/>
        <w:jc w:val="both"/>
        <w:rPr>
          <w:rFonts w:ascii="Verdana" w:hAnsi="Verdana"/>
        </w:rPr>
      </w:pPr>
      <w:r>
        <w:rPr>
          <w:rFonts w:ascii="Verdana" w:hAnsi="Verdana"/>
        </w:rPr>
        <w:t>Esas solicitudes versan sobre documentos públicos, teniendo en cuenta que la Ley 1712 de 2014, en el artículo 4, señala que las personas pueden conocer la información pública que posea un sujeto obligado</w:t>
      </w:r>
      <w:r w:rsidR="00D4021D">
        <w:rPr>
          <w:rFonts w:ascii="Verdana" w:hAnsi="Verdana"/>
        </w:rPr>
        <w:t xml:space="preserve">. Y el artículo 6 define la </w:t>
      </w:r>
      <w:r w:rsidR="00E40427">
        <w:rPr>
          <w:rFonts w:ascii="Verdana" w:hAnsi="Verdana"/>
        </w:rPr>
        <w:t>información</w:t>
      </w:r>
      <w:r w:rsidR="00D4021D">
        <w:rPr>
          <w:rFonts w:ascii="Verdana" w:hAnsi="Verdana"/>
        </w:rPr>
        <w:t xml:space="preserve"> pública</w:t>
      </w:r>
      <w:r w:rsidR="00B0759F">
        <w:rPr>
          <w:rFonts w:ascii="Verdana" w:hAnsi="Verdana"/>
        </w:rPr>
        <w:t xml:space="preserve"> como “toda información que un sujeto obligado </w:t>
      </w:r>
      <w:r w:rsidR="00B64E55">
        <w:rPr>
          <w:rFonts w:ascii="Verdana" w:hAnsi="Verdana"/>
        </w:rPr>
        <w:t>genere</w:t>
      </w:r>
      <w:r w:rsidR="00B0759F">
        <w:rPr>
          <w:rFonts w:ascii="Verdana" w:hAnsi="Verdana"/>
        </w:rPr>
        <w:t xml:space="preserve"> obtenga</w:t>
      </w:r>
      <w:r w:rsidR="00E40427">
        <w:rPr>
          <w:rFonts w:ascii="Verdana" w:hAnsi="Verdana"/>
        </w:rPr>
        <w:t xml:space="preserve">, adquiera, o controle en su calidad de tal”, como es el caso de las ofertas que recibe en sus </w:t>
      </w:r>
      <w:r w:rsidR="001840E4">
        <w:rPr>
          <w:rFonts w:ascii="Verdana" w:hAnsi="Verdana"/>
        </w:rPr>
        <w:t>procedimientos contractuales, ya que las obtiene y controla por su rol</w:t>
      </w:r>
      <w:r w:rsidR="00AD4423">
        <w:rPr>
          <w:rFonts w:ascii="Verdana" w:hAnsi="Verdana"/>
        </w:rPr>
        <w:t xml:space="preserve"> de contratante</w:t>
      </w:r>
      <w:r w:rsidR="00E915E7">
        <w:rPr>
          <w:rFonts w:ascii="Verdana" w:hAnsi="Verdana"/>
        </w:rPr>
        <w:t>.</w:t>
      </w:r>
    </w:p>
    <w:p w14:paraId="68017E3F" w14:textId="77777777" w:rsidR="00E915E7" w:rsidRPr="00E915E7" w:rsidRDefault="00E915E7" w:rsidP="00E915E7">
      <w:pPr>
        <w:pStyle w:val="Prrafodelista"/>
        <w:rPr>
          <w:rFonts w:ascii="Verdana" w:hAnsi="Verdana"/>
        </w:rPr>
      </w:pPr>
    </w:p>
    <w:p w14:paraId="3D790D56" w14:textId="557C7A35" w:rsidR="00E915E7" w:rsidRDefault="004C2ECE" w:rsidP="004C2ECE">
      <w:pPr>
        <w:spacing w:after="0"/>
        <w:jc w:val="both"/>
        <w:rPr>
          <w:rFonts w:ascii="Verdana" w:hAnsi="Verdana"/>
          <w:b/>
          <w:bCs/>
        </w:rPr>
      </w:pPr>
      <w:r>
        <w:rPr>
          <w:rFonts w:ascii="Verdana" w:hAnsi="Verdana"/>
          <w:b/>
          <w:bCs/>
        </w:rPr>
        <w:t>4. Referencias normativas, jurisprudenciales y otras fuentes:</w:t>
      </w:r>
    </w:p>
    <w:p w14:paraId="14BB9A4E" w14:textId="77777777" w:rsidR="004C2ECE" w:rsidRDefault="004C2ECE" w:rsidP="004C2ECE">
      <w:pPr>
        <w:spacing w:after="0"/>
        <w:jc w:val="both"/>
        <w:rPr>
          <w:rFonts w:ascii="Verdana" w:hAnsi="Verdana"/>
          <w:b/>
          <w:bCs/>
        </w:rPr>
      </w:pPr>
    </w:p>
    <w:p w14:paraId="2F024D29" w14:textId="77777777" w:rsidR="00C24BE5" w:rsidRPr="006A288A" w:rsidRDefault="00C24BE5" w:rsidP="00C24BE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24BE5" w:rsidRPr="009B0972" w14:paraId="17123123" w14:textId="77777777" w:rsidTr="00AC1300">
        <w:trPr>
          <w:trHeight w:val="870"/>
        </w:trPr>
        <w:tc>
          <w:tcPr>
            <w:tcW w:w="8647" w:type="dxa"/>
          </w:tcPr>
          <w:p w14:paraId="0656E288" w14:textId="77777777" w:rsidR="00C24BE5" w:rsidRPr="009B0972" w:rsidRDefault="00C24BE5" w:rsidP="00C24BE5">
            <w:pPr>
              <w:pStyle w:val="Prrafodelista"/>
              <w:widowControl w:val="0"/>
              <w:numPr>
                <w:ilvl w:val="0"/>
                <w:numId w:val="20"/>
              </w:numPr>
              <w:autoSpaceDE w:val="0"/>
              <w:autoSpaceDN w:val="0"/>
              <w:spacing w:after="120" w:line="276" w:lineRule="auto"/>
              <w:jc w:val="both"/>
              <w:rPr>
                <w:rFonts w:ascii="Verdana" w:hAnsi="Verdana" w:cs="Arial"/>
                <w:lang w:val="es-CO"/>
              </w:rPr>
            </w:pPr>
            <w:r w:rsidRPr="009B0972">
              <w:rPr>
                <w:rFonts w:ascii="Verdana" w:hAnsi="Verdana"/>
              </w:rPr>
              <w:t>A</w:t>
            </w:r>
            <w:r w:rsidRPr="009B0972">
              <w:rPr>
                <w:rFonts w:ascii="Verdana" w:eastAsia="Calibri" w:hAnsi="Verdana" w:cs="Arial"/>
              </w:rPr>
              <w:t xml:space="preserve">rtículo </w:t>
            </w:r>
            <w:r w:rsidRPr="009B0972">
              <w:rPr>
                <w:rFonts w:ascii="Verdana" w:hAnsi="Verdana"/>
              </w:rPr>
              <w:t xml:space="preserve">23, 24, 77 </w:t>
            </w:r>
            <w:r w:rsidRPr="009B0972">
              <w:rPr>
                <w:rFonts w:ascii="Verdana" w:hAnsi="Verdana" w:cs="Arial"/>
              </w:rPr>
              <w:t>Ley 80 de 1993</w:t>
            </w:r>
            <w:r>
              <w:rPr>
                <w:rFonts w:ascii="Verdana" w:hAnsi="Verdana" w:cs="Arial"/>
              </w:rPr>
              <w:t xml:space="preserve">. Disponible en </w:t>
            </w:r>
            <w:hyperlink r:id="rId13" w:history="1">
              <w:r w:rsidRPr="00D94C94">
                <w:rPr>
                  <w:rStyle w:val="Hipervnculo"/>
                  <w:rFonts w:ascii="Verdana" w:hAnsi="Verdana" w:cs="Arial"/>
                </w:rPr>
                <w:t>https://relatoria.colombiacompra.gov.co/normativa/ley-80-de-1993/</w:t>
              </w:r>
            </w:hyperlink>
            <w:r>
              <w:rPr>
                <w:rFonts w:ascii="Verdana" w:hAnsi="Verdana" w:cs="Arial"/>
              </w:rPr>
              <w:t xml:space="preserve"> </w:t>
            </w:r>
          </w:p>
          <w:p w14:paraId="4E3D3D91" w14:textId="77777777" w:rsidR="00C24BE5" w:rsidRPr="009B0972" w:rsidRDefault="00C24BE5" w:rsidP="00AC1300">
            <w:pPr>
              <w:pStyle w:val="Prrafodelista"/>
              <w:widowControl w:val="0"/>
              <w:autoSpaceDE w:val="0"/>
              <w:autoSpaceDN w:val="0"/>
              <w:spacing w:after="120" w:line="276" w:lineRule="auto"/>
              <w:jc w:val="both"/>
              <w:rPr>
                <w:rFonts w:ascii="Verdana" w:hAnsi="Verdana" w:cs="Arial"/>
                <w:lang w:val="es-CO"/>
              </w:rPr>
            </w:pPr>
          </w:p>
          <w:p w14:paraId="1E6FCC6E" w14:textId="77777777" w:rsidR="00C24BE5" w:rsidRPr="009B0972" w:rsidRDefault="00C24BE5" w:rsidP="00C24BE5">
            <w:pPr>
              <w:pStyle w:val="Prrafodelista"/>
              <w:widowControl w:val="0"/>
              <w:numPr>
                <w:ilvl w:val="0"/>
                <w:numId w:val="20"/>
              </w:numPr>
              <w:autoSpaceDE w:val="0"/>
              <w:autoSpaceDN w:val="0"/>
              <w:spacing w:after="120" w:line="276" w:lineRule="auto"/>
              <w:jc w:val="both"/>
              <w:rPr>
                <w:rFonts w:ascii="Verdana" w:hAnsi="Verdana" w:cs="Arial"/>
                <w:lang w:val="es-CO"/>
              </w:rPr>
            </w:pPr>
            <w:r w:rsidRPr="009B0972">
              <w:rPr>
                <w:rFonts w:ascii="Verdana" w:hAnsi="Verdana"/>
              </w:rPr>
              <w:t>A</w:t>
            </w:r>
            <w:r w:rsidRPr="009B0972">
              <w:rPr>
                <w:rFonts w:ascii="Verdana" w:eastAsia="Calibri" w:hAnsi="Verdana" w:cs="Arial"/>
              </w:rPr>
              <w:t xml:space="preserve">rtículo </w:t>
            </w:r>
            <w:r w:rsidRPr="009B0972">
              <w:rPr>
                <w:rFonts w:ascii="Verdana" w:hAnsi="Verdana"/>
              </w:rPr>
              <w:t>2.2.1.1.2.2.5 del Decreto 1082 de 2015</w:t>
            </w:r>
            <w:r>
              <w:rPr>
                <w:rFonts w:ascii="Verdana" w:hAnsi="Verdana"/>
              </w:rPr>
              <w:t xml:space="preserve">. Disponible en </w:t>
            </w:r>
            <w:hyperlink r:id="rId14" w:history="1">
              <w:r w:rsidRPr="00D94C94">
                <w:rPr>
                  <w:rStyle w:val="Hipervnculo"/>
                  <w:rFonts w:ascii="Verdana" w:hAnsi="Verdana"/>
                </w:rPr>
                <w:t>https://relatoria.colombiacompra.gov.co/normativa/decreto-1082-de-2015/</w:t>
              </w:r>
            </w:hyperlink>
            <w:r>
              <w:rPr>
                <w:rFonts w:ascii="Verdana" w:hAnsi="Verdana"/>
              </w:rPr>
              <w:t xml:space="preserve"> </w:t>
            </w:r>
          </w:p>
          <w:p w14:paraId="420248E4" w14:textId="77777777" w:rsidR="00C24BE5" w:rsidRPr="009B0972" w:rsidRDefault="00C24BE5" w:rsidP="00AC1300">
            <w:pPr>
              <w:pStyle w:val="Prrafodelista"/>
              <w:rPr>
                <w:rFonts w:ascii="Verdana" w:hAnsi="Verdana"/>
              </w:rPr>
            </w:pPr>
          </w:p>
          <w:p w14:paraId="6CB31DC1" w14:textId="77777777" w:rsidR="00C24BE5" w:rsidRPr="009B0972" w:rsidRDefault="00C24BE5" w:rsidP="00C24BE5">
            <w:pPr>
              <w:pStyle w:val="Prrafodelista"/>
              <w:widowControl w:val="0"/>
              <w:numPr>
                <w:ilvl w:val="0"/>
                <w:numId w:val="20"/>
              </w:numPr>
              <w:autoSpaceDE w:val="0"/>
              <w:autoSpaceDN w:val="0"/>
              <w:spacing w:after="120" w:line="276" w:lineRule="auto"/>
              <w:jc w:val="both"/>
              <w:rPr>
                <w:rFonts w:ascii="Verdana" w:hAnsi="Verdana" w:cs="Arial"/>
                <w:lang w:val="es-CO"/>
              </w:rPr>
            </w:pPr>
            <w:r w:rsidRPr="009B0972">
              <w:rPr>
                <w:rFonts w:ascii="Verdana" w:hAnsi="Verdana"/>
              </w:rPr>
              <w:t>A</w:t>
            </w:r>
            <w:r w:rsidRPr="009B0972">
              <w:rPr>
                <w:rFonts w:ascii="Verdana" w:eastAsia="Calibri" w:hAnsi="Verdana" w:cs="Arial"/>
              </w:rPr>
              <w:t>rtículo 14, 37 y 38 del CPACA de la Ley 1437 de 2011 (CPACA)</w:t>
            </w:r>
            <w:r>
              <w:rPr>
                <w:rFonts w:ascii="Verdana" w:eastAsia="Calibri" w:hAnsi="Verdana" w:cs="Arial"/>
              </w:rPr>
              <w:t xml:space="preserve">. Disponible en </w:t>
            </w:r>
            <w:hyperlink r:id="rId15" w:history="1">
              <w:r w:rsidRPr="00D94C94">
                <w:rPr>
                  <w:rStyle w:val="Hipervnculo"/>
                  <w:rFonts w:ascii="Verdana" w:eastAsia="Calibri" w:hAnsi="Verdana" w:cs="Arial"/>
                </w:rPr>
                <w:t>https://relatoria.colombiacompra.gov.co/normativa/ley-1437-de-2011/</w:t>
              </w:r>
            </w:hyperlink>
            <w:r>
              <w:rPr>
                <w:rFonts w:ascii="Verdana" w:eastAsia="Calibri" w:hAnsi="Verdana" w:cs="Arial"/>
              </w:rPr>
              <w:t xml:space="preserve"> </w:t>
            </w:r>
          </w:p>
          <w:p w14:paraId="2E896788" w14:textId="77777777" w:rsidR="00C24BE5" w:rsidRPr="009B0972" w:rsidRDefault="00C24BE5" w:rsidP="00AC1300">
            <w:pPr>
              <w:pStyle w:val="Prrafodelista"/>
              <w:rPr>
                <w:rFonts w:ascii="Verdana" w:eastAsia="Calibri" w:hAnsi="Verdana" w:cs="Arial"/>
              </w:rPr>
            </w:pPr>
          </w:p>
          <w:p w14:paraId="68558DF7" w14:textId="77777777" w:rsidR="00C24BE5" w:rsidRPr="009B0972" w:rsidRDefault="00C24BE5" w:rsidP="00C24BE5">
            <w:pPr>
              <w:pStyle w:val="Prrafodelista"/>
              <w:widowControl w:val="0"/>
              <w:numPr>
                <w:ilvl w:val="0"/>
                <w:numId w:val="20"/>
              </w:numPr>
              <w:autoSpaceDE w:val="0"/>
              <w:autoSpaceDN w:val="0"/>
              <w:spacing w:after="120" w:line="276" w:lineRule="auto"/>
              <w:jc w:val="both"/>
              <w:rPr>
                <w:rFonts w:ascii="Verdana" w:hAnsi="Verdana" w:cs="Arial"/>
                <w:lang w:val="es-CO"/>
              </w:rPr>
            </w:pPr>
            <w:r w:rsidRPr="009B0972">
              <w:rPr>
                <w:rFonts w:ascii="Verdana" w:eastAsia="Calibri" w:hAnsi="Verdana" w:cs="Arial"/>
              </w:rPr>
              <w:t>Artículo 4, 6 de la Ley 1712 de 2</w:t>
            </w:r>
            <w:r w:rsidRPr="00C87573">
              <w:rPr>
                <w:rFonts w:ascii="Verdana" w:eastAsia="Calibri" w:hAnsi="Verdana" w:cs="Arial"/>
              </w:rPr>
              <w:t>014</w:t>
            </w:r>
            <w:r w:rsidRPr="00C87573">
              <w:rPr>
                <w:rFonts w:ascii="Verdana" w:hAnsi="Verdana" w:cs="Arial"/>
              </w:rPr>
              <w:t xml:space="preserve">. Disponible en </w:t>
            </w:r>
            <w:hyperlink r:id="rId16" w:history="1">
              <w:r w:rsidRPr="00D94C94">
                <w:rPr>
                  <w:rStyle w:val="Hipervnculo"/>
                  <w:rFonts w:ascii="Verdana" w:hAnsi="Verdana" w:cs="Arial"/>
                </w:rPr>
                <w:t>https://relatoria.colombiacompra.gov.co/normativa/ley-1712-de-2014/</w:t>
              </w:r>
            </w:hyperlink>
            <w:r>
              <w:rPr>
                <w:rFonts w:ascii="Verdana" w:hAnsi="Verdana" w:cs="Arial"/>
              </w:rPr>
              <w:t xml:space="preserve"> </w:t>
            </w:r>
          </w:p>
          <w:p w14:paraId="35343A76" w14:textId="77777777" w:rsidR="00C24BE5" w:rsidRPr="009B0972" w:rsidRDefault="00C24BE5" w:rsidP="00AC1300">
            <w:pPr>
              <w:pStyle w:val="Prrafodelista"/>
              <w:rPr>
                <w:rFonts w:ascii="Verdana" w:hAnsi="Verdana" w:cs="Arial"/>
                <w:lang w:val="es-CO"/>
              </w:rPr>
            </w:pPr>
          </w:p>
          <w:p w14:paraId="2FB392C4" w14:textId="77777777" w:rsidR="00C24BE5" w:rsidRPr="009B0972" w:rsidRDefault="00C24BE5" w:rsidP="00C24BE5">
            <w:pPr>
              <w:pStyle w:val="Prrafodelista"/>
              <w:widowControl w:val="0"/>
              <w:numPr>
                <w:ilvl w:val="0"/>
                <w:numId w:val="20"/>
              </w:numPr>
              <w:autoSpaceDE w:val="0"/>
              <w:autoSpaceDN w:val="0"/>
              <w:spacing w:after="120" w:line="276" w:lineRule="auto"/>
              <w:jc w:val="both"/>
              <w:rPr>
                <w:rFonts w:ascii="Verdana" w:hAnsi="Verdana" w:cs="Arial"/>
                <w:lang w:val="es-CO"/>
              </w:rPr>
            </w:pPr>
            <w:r w:rsidRPr="009B0972">
              <w:rPr>
                <w:rFonts w:ascii="Verdana" w:hAnsi="Verdana"/>
              </w:rPr>
              <w:t>Guía rápida para hacer un Proceso de Contratación de Licitación Pública en el SECOP II</w:t>
            </w:r>
            <w:r>
              <w:rPr>
                <w:rFonts w:ascii="Verdana" w:hAnsi="Verdana"/>
              </w:rPr>
              <w:t xml:space="preserve">. Disponible en </w:t>
            </w:r>
            <w:hyperlink r:id="rId17" w:history="1">
              <w:r w:rsidRPr="00D94C94">
                <w:rPr>
                  <w:rStyle w:val="Hipervnculo"/>
                  <w:rFonts w:ascii="Verdana" w:hAnsi="Verdana"/>
                </w:rPr>
                <w:t>https://www.colombiacompra.gov.co/sites/cce_public/files/cce_documentos/20170407_licitacion_publica_entidades.pdf</w:t>
              </w:r>
            </w:hyperlink>
            <w:r>
              <w:rPr>
                <w:rFonts w:ascii="Verdana" w:hAnsi="Verdana"/>
              </w:rPr>
              <w:t xml:space="preserve"> </w:t>
            </w:r>
          </w:p>
        </w:tc>
      </w:tr>
    </w:tbl>
    <w:p w14:paraId="2FF3CD94" w14:textId="77777777" w:rsidR="00C24BE5" w:rsidRDefault="00C24BE5" w:rsidP="00C24BE5">
      <w:pPr>
        <w:widowControl w:val="0"/>
        <w:autoSpaceDE w:val="0"/>
        <w:autoSpaceDN w:val="0"/>
        <w:spacing w:after="0" w:line="276" w:lineRule="auto"/>
        <w:jc w:val="both"/>
        <w:rPr>
          <w:rFonts w:ascii="Verdana" w:hAnsi="Verdana" w:cs="Arial"/>
        </w:rPr>
      </w:pPr>
    </w:p>
    <w:p w14:paraId="06938152" w14:textId="77777777" w:rsidR="00B95DA7" w:rsidRDefault="00B95DA7" w:rsidP="00C24BE5">
      <w:pPr>
        <w:widowControl w:val="0"/>
        <w:autoSpaceDE w:val="0"/>
        <w:autoSpaceDN w:val="0"/>
        <w:spacing w:after="0" w:line="276" w:lineRule="auto"/>
        <w:jc w:val="both"/>
        <w:rPr>
          <w:rFonts w:ascii="Verdana" w:hAnsi="Verdana" w:cs="Arial"/>
        </w:rPr>
      </w:pPr>
    </w:p>
    <w:p w14:paraId="2649AEB3" w14:textId="77777777" w:rsidR="00D70F5A" w:rsidRDefault="00D70F5A" w:rsidP="00C24BE5">
      <w:pPr>
        <w:widowControl w:val="0"/>
        <w:autoSpaceDE w:val="0"/>
        <w:autoSpaceDN w:val="0"/>
        <w:spacing w:after="0" w:line="276" w:lineRule="auto"/>
        <w:jc w:val="both"/>
        <w:rPr>
          <w:rFonts w:ascii="Verdana" w:hAnsi="Verdana" w:cs="Arial"/>
        </w:rPr>
      </w:pPr>
    </w:p>
    <w:p w14:paraId="150B0128" w14:textId="77777777" w:rsidR="00D70F5A" w:rsidRDefault="00D70F5A" w:rsidP="00C24BE5">
      <w:pPr>
        <w:widowControl w:val="0"/>
        <w:autoSpaceDE w:val="0"/>
        <w:autoSpaceDN w:val="0"/>
        <w:spacing w:after="0" w:line="276" w:lineRule="auto"/>
        <w:jc w:val="both"/>
        <w:rPr>
          <w:rFonts w:ascii="Verdana" w:hAnsi="Verdana" w:cs="Arial"/>
        </w:rPr>
      </w:pPr>
    </w:p>
    <w:p w14:paraId="10E8604F" w14:textId="77777777" w:rsidR="00D70F5A" w:rsidRPr="006A288A" w:rsidRDefault="00D70F5A" w:rsidP="00C24BE5">
      <w:pPr>
        <w:widowControl w:val="0"/>
        <w:autoSpaceDE w:val="0"/>
        <w:autoSpaceDN w:val="0"/>
        <w:spacing w:after="0" w:line="276" w:lineRule="auto"/>
        <w:jc w:val="both"/>
        <w:rPr>
          <w:rFonts w:ascii="Verdana" w:hAnsi="Verdana" w:cs="Arial"/>
        </w:rPr>
      </w:pPr>
    </w:p>
    <w:p w14:paraId="548628ED" w14:textId="77777777" w:rsidR="00B95DA7" w:rsidRPr="00602F84" w:rsidRDefault="00B95DA7" w:rsidP="00B95DA7">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B95DA7">
        <w:rPr>
          <w:rFonts w:ascii="Verdana" w:hAnsi="Verdana" w:cs="Arial"/>
          <w:b/>
          <w:bCs/>
        </w:rPr>
        <w:t>5.</w:t>
      </w:r>
      <w:r>
        <w:rPr>
          <w:rFonts w:ascii="Verdana" w:hAnsi="Verdana" w:cs="Arial"/>
        </w:rPr>
        <w:t xml:space="preserve"> </w:t>
      </w:r>
      <w:r w:rsidRPr="006A288A">
        <w:rPr>
          <w:rFonts w:ascii="Verdana" w:eastAsia="Century Gothic" w:hAnsi="Verdana" w:cs="Century Gothic"/>
          <w:b/>
          <w:bCs/>
        </w:rPr>
        <w:t>Doctrina de la Agencia Nacional de Contratación Pública:</w:t>
      </w:r>
    </w:p>
    <w:p w14:paraId="3FBB425B" w14:textId="39DCE39D" w:rsidR="00C24BE5" w:rsidRPr="00B95DA7" w:rsidRDefault="00C24BE5" w:rsidP="00C24BE5">
      <w:pPr>
        <w:widowControl w:val="0"/>
        <w:autoSpaceDE w:val="0"/>
        <w:autoSpaceDN w:val="0"/>
        <w:spacing w:after="0" w:line="276" w:lineRule="auto"/>
        <w:jc w:val="both"/>
        <w:rPr>
          <w:rFonts w:ascii="Verdana" w:hAnsi="Verdana" w:cs="Arial"/>
          <w:lang w:val="es-ES"/>
        </w:rPr>
      </w:pPr>
    </w:p>
    <w:p w14:paraId="0DED667E" w14:textId="7AAAB983" w:rsidR="00C24BE5" w:rsidRDefault="00C24BE5" w:rsidP="00C24BE5">
      <w:pPr>
        <w:pStyle w:val="Textonotapie"/>
        <w:jc w:val="both"/>
        <w:rPr>
          <w:rFonts w:ascii="Verdana" w:hAnsi="Verdana"/>
          <w:color w:val="000000"/>
          <w:sz w:val="22"/>
          <w:szCs w:val="22"/>
          <w:shd w:val="clear" w:color="auto" w:fill="FFFFFF"/>
        </w:rPr>
      </w:pPr>
      <w:r w:rsidRPr="00C87573">
        <w:rPr>
          <w:rStyle w:val="normaltextrun"/>
          <w:rFonts w:ascii="Verdana" w:hAnsi="Verdana" w:cs="Arial"/>
          <w:sz w:val="22"/>
          <w:szCs w:val="22"/>
          <w:shd w:val="clear" w:color="auto" w:fill="FFFFFF"/>
          <w:lang w:val="es-ES"/>
        </w:rPr>
        <w:t xml:space="preserve">Sobre la presentación de ofertas y el principio de publicidad, se pronunció esta Subdirección en los conceptos 4201912000005935 del 25 de noviembre de 2019, </w:t>
      </w:r>
      <w:r w:rsidRPr="00C87573">
        <w:rPr>
          <w:rFonts w:ascii="Verdana" w:hAnsi="Verdana" w:cs="Arial"/>
          <w:sz w:val="22"/>
          <w:szCs w:val="22"/>
          <w:shd w:val="clear" w:color="auto" w:fill="FFFFFF"/>
        </w:rPr>
        <w:t>C-139 del 31 de febrero de 2020, Concepto C – 575 de 2020, C-080 del 5 de marzo de 2020, C-002 del 5 de mayo de 2020, C-093 del 22 de marzo de 2022, C-261 del 20 de mayo de 2022, C-358 del 30 de junio de 2020, C-905 del 28 de diciembre de 2022, C-313 del 31 de julio del 2023, C-324 del 20 de agosto de 2024</w:t>
      </w:r>
      <w:r w:rsidR="00D70F5A">
        <w:rPr>
          <w:rFonts w:ascii="Verdana" w:hAnsi="Verdana" w:cs="Arial"/>
          <w:sz w:val="22"/>
          <w:szCs w:val="22"/>
          <w:shd w:val="clear" w:color="auto" w:fill="FFFFFF"/>
        </w:rPr>
        <w:t>, C-682 de 2024</w:t>
      </w:r>
      <w:r w:rsidRPr="00C87573">
        <w:rPr>
          <w:rFonts w:ascii="Verdana" w:hAnsi="Verdana" w:cs="Arial"/>
          <w:sz w:val="22"/>
          <w:szCs w:val="22"/>
          <w:shd w:val="clear" w:color="auto" w:fill="FFFFFF"/>
        </w:rPr>
        <w:t xml:space="preserve">. </w:t>
      </w:r>
      <w:r w:rsidRPr="00C87573">
        <w:rPr>
          <w:rStyle w:val="normaltextrun"/>
          <w:rFonts w:ascii="Verdana" w:hAnsi="Verdana" w:cs="Arial"/>
          <w:sz w:val="22"/>
          <w:szCs w:val="22"/>
          <w:shd w:val="clear" w:color="auto" w:fill="FFFFFF"/>
          <w:lang w:val="es-ES"/>
        </w:rPr>
        <w:t xml:space="preserve"> </w:t>
      </w:r>
      <w:r w:rsidRPr="00C87573">
        <w:rPr>
          <w:rFonts w:ascii="Verdana" w:hAnsi="Verdana"/>
          <w:color w:val="000000"/>
          <w:sz w:val="22"/>
          <w:szCs w:val="22"/>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gtFrame="_blank" w:tooltip="Dirección URL original: https://relatoria.colombiacompra.gov.co/. Haga clic o pulse si confía en este vínculo." w:history="1">
        <w:r w:rsidRPr="00C87573">
          <w:rPr>
            <w:rStyle w:val="Hipervnculo"/>
            <w:rFonts w:ascii="Verdana" w:hAnsi="Verdana"/>
            <w:sz w:val="22"/>
            <w:szCs w:val="22"/>
            <w:bdr w:val="none" w:sz="0" w:space="0" w:color="auto" w:frame="1"/>
            <w:shd w:val="clear" w:color="auto" w:fill="FFFFFF"/>
          </w:rPr>
          <w:t>https://relatoria.colombiacompra.gov.co/</w:t>
        </w:r>
      </w:hyperlink>
      <w:r w:rsidRPr="00C87573">
        <w:rPr>
          <w:rFonts w:ascii="Verdana" w:hAnsi="Verdana"/>
          <w:color w:val="000000"/>
          <w:sz w:val="22"/>
          <w:szCs w:val="22"/>
          <w:shd w:val="clear" w:color="auto" w:fill="FFFFFF"/>
        </w:rPr>
        <w:t xml:space="preserve"> . </w:t>
      </w:r>
    </w:p>
    <w:p w14:paraId="76BDC045" w14:textId="77777777" w:rsidR="00B95DA7" w:rsidRDefault="00B95DA7" w:rsidP="00C24BE5">
      <w:pPr>
        <w:pStyle w:val="Textonotapie"/>
        <w:jc w:val="both"/>
        <w:rPr>
          <w:rFonts w:ascii="Verdana" w:hAnsi="Verdana"/>
          <w:color w:val="000000"/>
          <w:sz w:val="22"/>
          <w:szCs w:val="22"/>
          <w:shd w:val="clear" w:color="auto" w:fill="FFFFFF"/>
        </w:rPr>
      </w:pPr>
    </w:p>
    <w:p w14:paraId="6DA3B361" w14:textId="77777777" w:rsidR="00E67203" w:rsidRDefault="00E67203" w:rsidP="00C24BE5">
      <w:pPr>
        <w:pStyle w:val="Textonotapie"/>
        <w:jc w:val="both"/>
        <w:rPr>
          <w:rFonts w:ascii="Verdana" w:hAnsi="Verdana"/>
          <w:color w:val="000000"/>
          <w:sz w:val="22"/>
          <w:szCs w:val="22"/>
          <w:shd w:val="clear" w:color="auto" w:fill="FFFFFF"/>
        </w:rPr>
      </w:pPr>
    </w:p>
    <w:p w14:paraId="5740B2D2" w14:textId="77777777" w:rsidR="00B95DA7" w:rsidRPr="00916188" w:rsidRDefault="00B95DA7" w:rsidP="00B95DA7">
      <w:pPr>
        <w:pStyle w:val="Textonotapie"/>
        <w:spacing w:line="276" w:lineRule="auto"/>
        <w:jc w:val="both"/>
        <w:rPr>
          <w:rFonts w:ascii="Verdana" w:hAnsi="Verdana"/>
          <w:color w:val="000000"/>
          <w:sz w:val="22"/>
          <w:szCs w:val="22"/>
          <w:shd w:val="clear" w:color="auto" w:fill="FFFFFF"/>
        </w:rPr>
      </w:pPr>
      <w:r w:rsidRPr="00916188">
        <w:rPr>
          <w:rFonts w:ascii="Verdana" w:hAnsi="Verdana"/>
          <w:color w:val="000000"/>
          <w:sz w:val="22"/>
          <w:szCs w:val="22"/>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9" w:tgtFrame="_blank" w:tooltip="Dirección URL original: https://www.colombiacompra.gov.co/content/borrador-de-documentos-tipo-de-consultoria-de-obra-publica-de-infraestructura-de-transporte. Haga clic o pulse si confía en este vínculo." w:history="1">
        <w:r w:rsidRPr="00916188">
          <w:rPr>
            <w:rStyle w:val="Hipervnculo"/>
            <w:rFonts w:ascii="Verdana" w:hAnsi="Verdana"/>
            <w:sz w:val="22"/>
            <w:szCs w:val="22"/>
            <w:shd w:val="clear" w:color="auto" w:fill="FFFFFF"/>
          </w:rPr>
          <w:t>https://www.colombiacompra.gov.co/content/borrador-de-documentos-tipo-de-consultoria-de-obra-publica-de-infraestructura-de-transporte</w:t>
        </w:r>
      </w:hyperlink>
      <w:r w:rsidRPr="00916188">
        <w:rPr>
          <w:rFonts w:ascii="Verdana" w:hAnsi="Verdana"/>
          <w:color w:val="000000"/>
          <w:sz w:val="22"/>
          <w:szCs w:val="22"/>
          <w:shd w:val="clear" w:color="auto" w:fill="FFFFFF"/>
        </w:rPr>
        <w:t> y </w:t>
      </w:r>
      <w:hyperlink r:id="rId20" w:tgtFrame="_blank" w:tooltip="Dirección URL original: https://www.colombiacompra.gov.co/content/borrador-de-documentos-tipo-de-interventoria-de-obra-publica-de-infraestructura-de. Haga clic o pulse si confía en este vínculo." w:history="1">
        <w:r w:rsidRPr="00916188">
          <w:rPr>
            <w:rStyle w:val="Hipervnculo"/>
            <w:rFonts w:ascii="Verdana" w:hAnsi="Verdana"/>
            <w:sz w:val="22"/>
            <w:szCs w:val="22"/>
            <w:shd w:val="clear" w:color="auto" w:fill="FFFFFF"/>
          </w:rPr>
          <w:t>https://www.colombiacompra.gov.co/content/borrador-de-documentos-tipo-de-interventoria-de-obra-publica-de-infraestructura-de</w:t>
        </w:r>
      </w:hyperlink>
      <w:r w:rsidRPr="00916188">
        <w:rPr>
          <w:rFonts w:ascii="Verdana" w:hAnsi="Verdana"/>
          <w:color w:val="000000"/>
          <w:sz w:val="22"/>
          <w:szCs w:val="22"/>
          <w:shd w:val="clear" w:color="auto" w:fill="FFFFFF"/>
        </w:rPr>
        <w:t> .</w:t>
      </w:r>
    </w:p>
    <w:p w14:paraId="681916F3" w14:textId="77777777" w:rsidR="00B95DA7" w:rsidRPr="00916188" w:rsidRDefault="00B95DA7" w:rsidP="00B95DA7">
      <w:pPr>
        <w:pStyle w:val="Textonotapie"/>
        <w:spacing w:line="276" w:lineRule="auto"/>
        <w:jc w:val="both"/>
        <w:rPr>
          <w:rFonts w:ascii="Verdana" w:hAnsi="Verdana"/>
          <w:color w:val="000000"/>
          <w:sz w:val="22"/>
          <w:szCs w:val="22"/>
          <w:shd w:val="clear" w:color="auto" w:fill="FFFFFF"/>
        </w:rPr>
      </w:pPr>
    </w:p>
    <w:p w14:paraId="2592615D" w14:textId="77777777" w:rsidR="00B95DA7" w:rsidRPr="00916188" w:rsidRDefault="00B95DA7" w:rsidP="00B95DA7">
      <w:pPr>
        <w:pStyle w:val="Textonotapie"/>
        <w:spacing w:line="276" w:lineRule="auto"/>
        <w:jc w:val="both"/>
        <w:rPr>
          <w:rFonts w:ascii="Verdana" w:hAnsi="Verdana"/>
          <w:color w:val="000000"/>
          <w:sz w:val="22"/>
          <w:szCs w:val="22"/>
          <w:shd w:val="clear" w:color="auto" w:fill="FFFFFF"/>
        </w:rPr>
      </w:pPr>
      <w:r w:rsidRPr="00916188">
        <w:rPr>
          <w:rFonts w:ascii="Verdana" w:hAnsi="Verdana"/>
          <w:color w:val="000000"/>
          <w:sz w:val="22"/>
          <w:szCs w:val="22"/>
          <w:shd w:val="clear" w:color="auto" w:fill="FFFFFF"/>
        </w:rPr>
        <w:t>De otra parte, te contamos que ya publicamos el borrador de la nueva Guía de Contratación Pública Sostenible y Socialmente Responsable. Conoce el documento y realiza tus comentarios hasta el 14 de noviembre de 2024 a través del siguiente enlace: </w:t>
      </w:r>
      <w:hyperlink r:id="rId21" w:tgtFrame="_blank" w:tooltip="Dirección URL original: https://www.sucop.gov.co/entidades/colombiacompra/Normativa?IDNorma=18320. Haga clic o pulse si confía en este vínculo." w:history="1">
        <w:r w:rsidRPr="00916188">
          <w:rPr>
            <w:rStyle w:val="Hipervnculo"/>
            <w:rFonts w:ascii="Verdana" w:hAnsi="Verdana"/>
            <w:sz w:val="22"/>
            <w:szCs w:val="22"/>
            <w:shd w:val="clear" w:color="auto" w:fill="FFFFFF"/>
          </w:rPr>
          <w:t>https://www.sucop.gov.co/entidades/colombiacompra/Normativa?IDNorma=18320</w:t>
        </w:r>
      </w:hyperlink>
      <w:r w:rsidRPr="00916188">
        <w:rPr>
          <w:rFonts w:ascii="Verdana" w:hAnsi="Verdana"/>
          <w:color w:val="000000"/>
          <w:sz w:val="22"/>
          <w:szCs w:val="22"/>
          <w:shd w:val="clear" w:color="auto" w:fill="FFFFFF"/>
        </w:rPr>
        <w:t>  </w:t>
      </w:r>
    </w:p>
    <w:p w14:paraId="7BADF4A3" w14:textId="77777777" w:rsidR="00B95DA7" w:rsidRPr="00916188" w:rsidRDefault="00B95DA7" w:rsidP="00B95DA7">
      <w:pPr>
        <w:pStyle w:val="Textonotapie"/>
        <w:spacing w:line="276" w:lineRule="auto"/>
        <w:jc w:val="both"/>
        <w:rPr>
          <w:rFonts w:ascii="Verdana" w:hAnsi="Verdana"/>
          <w:color w:val="000000"/>
          <w:sz w:val="22"/>
          <w:szCs w:val="22"/>
          <w:shd w:val="clear" w:color="auto" w:fill="FFFFFF"/>
        </w:rPr>
      </w:pPr>
    </w:p>
    <w:p w14:paraId="5B8F18D5" w14:textId="77777777" w:rsidR="00B95DA7" w:rsidRPr="00916188" w:rsidRDefault="00B95DA7" w:rsidP="00B95DA7">
      <w:pPr>
        <w:pStyle w:val="Textonotapie"/>
        <w:spacing w:line="276" w:lineRule="auto"/>
        <w:jc w:val="both"/>
        <w:rPr>
          <w:rFonts w:ascii="Verdana" w:hAnsi="Verdana"/>
          <w:color w:val="000000"/>
          <w:sz w:val="22"/>
          <w:szCs w:val="22"/>
          <w:shd w:val="clear" w:color="auto" w:fill="FFFFFF"/>
        </w:rPr>
      </w:pPr>
      <w:r w:rsidRPr="00916188">
        <w:rPr>
          <w:rFonts w:ascii="Verdana" w:hAnsi="Verdana"/>
          <w:color w:val="000000"/>
          <w:sz w:val="22"/>
          <w:szCs w:val="22"/>
          <w:shd w:val="clear" w:color="auto" w:fill="FFFFFF"/>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22" w:tgtFrame="_blank" w:tooltip="Dirección URL original: https://www.colombiacompra.gov.co/sala-de-prensa/boletin-digital. Haga clic o pulse si confía en este vínculo." w:history="1">
        <w:r w:rsidRPr="0058682B">
          <w:rPr>
            <w:rStyle w:val="Hipervnculo"/>
            <w:rFonts w:ascii="Verdana" w:hAnsi="Verdana"/>
            <w:sz w:val="22"/>
            <w:szCs w:val="22"/>
            <w:shd w:val="clear" w:color="auto" w:fill="FFFFFF"/>
          </w:rPr>
          <w:t>https://www.colombiacompra.gov.co/sala-de-prensa/boletin-digital</w:t>
        </w:r>
      </w:hyperlink>
      <w:r w:rsidRPr="006E41F6">
        <w:rPr>
          <w:rStyle w:val="Hipervnculo"/>
          <w:rFonts w:ascii="Verdana" w:hAnsi="Verdana"/>
          <w:color w:val="auto"/>
          <w:sz w:val="22"/>
          <w:szCs w:val="22"/>
          <w:u w:val="none"/>
          <w:shd w:val="clear" w:color="auto" w:fill="FFFFFF"/>
        </w:rPr>
        <w:t>.</w:t>
      </w:r>
      <w:r w:rsidRPr="00916188">
        <w:rPr>
          <w:rFonts w:ascii="Verdana" w:hAnsi="Verdana"/>
          <w:color w:val="000000"/>
          <w:sz w:val="22"/>
          <w:szCs w:val="22"/>
          <w:shd w:val="clear" w:color="auto" w:fill="FFFFFF"/>
        </w:rPr>
        <w:t>  </w:t>
      </w:r>
    </w:p>
    <w:p w14:paraId="1BB89AE4" w14:textId="77777777" w:rsidR="00B95DA7" w:rsidRDefault="00B95DA7" w:rsidP="00B95DA7">
      <w:pPr>
        <w:spacing w:after="0" w:line="240" w:lineRule="auto"/>
        <w:jc w:val="both"/>
        <w:rPr>
          <w:rFonts w:ascii="Verdana" w:hAnsi="Verdana"/>
        </w:rPr>
      </w:pPr>
    </w:p>
    <w:p w14:paraId="141AEBCE" w14:textId="77777777" w:rsidR="00B95DA7" w:rsidRPr="0011467B" w:rsidRDefault="00B95DA7" w:rsidP="00B95DA7">
      <w:pPr>
        <w:spacing w:after="0" w:line="276"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67D5028B" w14:textId="77777777" w:rsidR="00B95DA7" w:rsidRPr="0011467B" w:rsidRDefault="00B95DA7" w:rsidP="00B95DA7">
      <w:pPr>
        <w:spacing w:after="0" w:line="240" w:lineRule="auto"/>
        <w:jc w:val="both"/>
        <w:rPr>
          <w:rFonts w:ascii="Verdana" w:hAnsi="Verdana"/>
        </w:rPr>
      </w:pPr>
    </w:p>
    <w:p w14:paraId="71CF7DFD" w14:textId="77777777" w:rsidR="00B95DA7" w:rsidRPr="0011467B" w:rsidRDefault="00B95DA7" w:rsidP="00B95DA7">
      <w:pPr>
        <w:spacing w:after="0" w:line="240" w:lineRule="auto"/>
        <w:jc w:val="both"/>
        <w:rPr>
          <w:rFonts w:ascii="Verdana" w:hAnsi="Verdana"/>
        </w:rPr>
      </w:pPr>
      <w:r w:rsidRPr="0011467B">
        <w:rPr>
          <w:rFonts w:ascii="Verdana" w:hAnsi="Verdana"/>
        </w:rPr>
        <w:t xml:space="preserve">Twitter: </w:t>
      </w:r>
      <w:r w:rsidRPr="00CE40A8">
        <w:rPr>
          <w:rStyle w:val="Hipervnculo"/>
          <w:rFonts w:ascii="Verdana" w:hAnsi="Verdana"/>
          <w:color w:val="4472C4" w:themeColor="accent1"/>
        </w:rPr>
        <w:t>@colombiacompra</w:t>
      </w:r>
      <w:r w:rsidRPr="00CE40A8">
        <w:rPr>
          <w:rFonts w:ascii="Verdana" w:hAnsi="Verdana"/>
          <w:color w:val="4472C4" w:themeColor="accent1"/>
        </w:rPr>
        <w:t xml:space="preserve"> </w:t>
      </w:r>
    </w:p>
    <w:p w14:paraId="4021378A" w14:textId="77777777" w:rsidR="00B95DA7" w:rsidRPr="0011467B" w:rsidRDefault="00B95DA7" w:rsidP="00B95DA7">
      <w:pPr>
        <w:spacing w:after="0" w:line="240" w:lineRule="auto"/>
        <w:jc w:val="both"/>
        <w:rPr>
          <w:rFonts w:ascii="Verdana" w:hAnsi="Verdana"/>
        </w:rPr>
      </w:pPr>
      <w:r w:rsidRPr="0011467B">
        <w:rPr>
          <w:rFonts w:ascii="Verdana" w:hAnsi="Verdana"/>
        </w:rPr>
        <w:t xml:space="preserve">Facebook: </w:t>
      </w:r>
      <w:r w:rsidRPr="0011467B">
        <w:rPr>
          <w:rStyle w:val="Hipervnculo"/>
          <w:rFonts w:ascii="Verdana" w:hAnsi="Verdana"/>
          <w:color w:val="4472C4" w:themeColor="accent1"/>
        </w:rPr>
        <w:t>ColombiaCompraEficiente</w:t>
      </w:r>
    </w:p>
    <w:p w14:paraId="555C80DF" w14:textId="77777777" w:rsidR="00B95DA7" w:rsidRPr="0011467B" w:rsidRDefault="00B95DA7" w:rsidP="00B95DA7">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58C8DFC0" w14:textId="77777777" w:rsidR="00B95DA7" w:rsidRPr="0011467B" w:rsidRDefault="00B95DA7" w:rsidP="00B95DA7">
      <w:pPr>
        <w:spacing w:after="120" w:line="276" w:lineRule="auto"/>
        <w:jc w:val="center"/>
        <w:rPr>
          <w:rFonts w:ascii="Verdana" w:hAnsi="Verdana" w:cs="Arial"/>
          <w:lang w:val="es-ES"/>
        </w:rPr>
      </w:pPr>
    </w:p>
    <w:p w14:paraId="2D3CA271" w14:textId="77777777" w:rsidR="00B95DA7" w:rsidRPr="0011467B" w:rsidRDefault="00B95DA7" w:rsidP="00B95DA7">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0A308CCA" w14:textId="77777777" w:rsidR="00B95DA7" w:rsidRPr="0011467B" w:rsidRDefault="00B95DA7" w:rsidP="00B95DA7">
      <w:pPr>
        <w:spacing w:after="120" w:line="276" w:lineRule="auto"/>
        <w:jc w:val="both"/>
        <w:rPr>
          <w:rFonts w:ascii="Verdana" w:eastAsia="Times New Roman" w:hAnsi="Verdana" w:cs="Arial"/>
          <w:i/>
          <w:lang w:val="es-ES" w:eastAsia="es-ES"/>
        </w:rPr>
      </w:pPr>
    </w:p>
    <w:p w14:paraId="0395DCA8" w14:textId="77777777" w:rsidR="00B95DA7" w:rsidRDefault="00B95DA7" w:rsidP="00B95DA7">
      <w:pPr>
        <w:spacing w:after="0" w:line="240" w:lineRule="auto"/>
        <w:rPr>
          <w:rFonts w:ascii="Verdana" w:eastAsia="Times New Roman" w:hAnsi="Verdana" w:cs="Arial"/>
          <w:lang w:eastAsia="es-CO"/>
        </w:rPr>
      </w:pPr>
      <w:r w:rsidRPr="0011467B">
        <w:rPr>
          <w:rFonts w:ascii="Verdana" w:eastAsia="Times New Roman" w:hAnsi="Verdana" w:cs="Arial"/>
          <w:lang w:eastAsia="es-CO"/>
        </w:rPr>
        <w:t>A</w:t>
      </w:r>
      <w:r>
        <w:rPr>
          <w:rFonts w:ascii="Verdana" w:eastAsia="Times New Roman" w:hAnsi="Verdana" w:cs="Arial"/>
          <w:lang w:eastAsia="es-CO"/>
        </w:rPr>
        <w:t xml:space="preserve">tentamente, </w:t>
      </w:r>
    </w:p>
    <w:p w14:paraId="273EC025" w14:textId="77777777" w:rsidR="00B95DA7" w:rsidRPr="00DC1867" w:rsidRDefault="00B95DA7" w:rsidP="00B95DA7">
      <w:pPr>
        <w:spacing w:after="0" w:line="240" w:lineRule="auto"/>
        <w:rPr>
          <w:rFonts w:ascii="Verdana" w:eastAsia="Times New Roman" w:hAnsi="Verdana" w:cs="Arial"/>
          <w:lang w:eastAsia="es-CO"/>
        </w:rPr>
      </w:pPr>
    </w:p>
    <w:p w14:paraId="2D5E1E3D" w14:textId="268C86E0" w:rsidR="00B95DA7" w:rsidRPr="00377184" w:rsidRDefault="00B95DA7" w:rsidP="00B95DA7">
      <w:pPr>
        <w:shd w:val="clear" w:color="auto" w:fill="FFFFFF"/>
        <w:spacing w:after="120"/>
        <w:jc w:val="both"/>
        <w:rPr>
          <w:rFonts w:ascii="Verdana" w:eastAsia="Times New Roman" w:hAnsi="Verdana" w:cs="Times New Roman"/>
          <w:color w:val="333333"/>
          <w:sz w:val="21"/>
          <w:szCs w:val="21"/>
          <w:lang w:eastAsia="es-MX"/>
        </w:rPr>
      </w:pPr>
    </w:p>
    <w:p w14:paraId="0EBAD8FD" w14:textId="781EF40C" w:rsidR="00B95DA7" w:rsidRPr="00EE6FCB" w:rsidRDefault="000155F6" w:rsidP="00B95DA7">
      <w:pPr>
        <w:pStyle w:val="Prrafodelista"/>
        <w:spacing w:after="0"/>
        <w:ind w:left="709" w:right="709"/>
        <w:jc w:val="both"/>
        <w:rPr>
          <w:rFonts w:ascii="Verdana" w:hAnsi="Verdana" w:cs="Arial"/>
          <w:color w:val="000000" w:themeColor="text1"/>
        </w:rPr>
      </w:pPr>
      <w:r w:rsidRPr="0017253A">
        <w:rPr>
          <w:rFonts w:ascii="Verdana" w:hAnsi="Verdana"/>
          <w:noProof/>
          <w:lang w:val="es-MX"/>
        </w:rPr>
        <w:drawing>
          <wp:anchor distT="0" distB="0" distL="114300" distR="114300" simplePos="0" relativeHeight="251659264" behindDoc="1" locked="0" layoutInCell="1" allowOverlap="1" wp14:anchorId="5220C689" wp14:editId="568564CC">
            <wp:simplePos x="0" y="0"/>
            <wp:positionH relativeFrom="margin">
              <wp:align>center</wp:align>
            </wp:positionH>
            <wp:positionV relativeFrom="paragraph">
              <wp:posOffset>12700</wp:posOffset>
            </wp:positionV>
            <wp:extent cx="3771900" cy="1198880"/>
            <wp:effectExtent l="0" t="0" r="0" b="1270"/>
            <wp:wrapTight wrapText="bothSides">
              <wp:wrapPolygon edited="0">
                <wp:start x="0" y="0"/>
                <wp:lineTo x="0" y="21280"/>
                <wp:lineTo x="21491" y="21280"/>
                <wp:lineTo x="21491" y="0"/>
                <wp:lineTo x="0" y="0"/>
              </wp:wrapPolygon>
            </wp:wrapTight>
            <wp:docPr id="148572016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20163" name="Imagen 2" descr="Texto&#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1900" cy="1198880"/>
                    </a:xfrm>
                    <a:prstGeom prst="rect">
                      <a:avLst/>
                    </a:prstGeom>
                    <a:noFill/>
                    <a:ln>
                      <a:noFill/>
                    </a:ln>
                  </pic:spPr>
                </pic:pic>
              </a:graphicData>
            </a:graphic>
            <wp14:sizeRelV relativeFrom="margin">
              <wp14:pctHeight>0</wp14:pctHeight>
            </wp14:sizeRelV>
          </wp:anchor>
        </w:drawing>
      </w:r>
    </w:p>
    <w:p w14:paraId="312318AF" w14:textId="77777777" w:rsidR="00B95DA7" w:rsidRDefault="00B95DA7" w:rsidP="00B95DA7">
      <w:pPr>
        <w:spacing w:after="0"/>
        <w:ind w:left="709" w:right="709"/>
        <w:jc w:val="both"/>
        <w:rPr>
          <w:rFonts w:ascii="Verdana" w:hAnsi="Verdana" w:cs="Arial"/>
          <w:color w:val="000000" w:themeColor="text1"/>
        </w:rPr>
      </w:pPr>
    </w:p>
    <w:p w14:paraId="2A76C2F3" w14:textId="77777777" w:rsidR="00B95DA7" w:rsidRPr="00C047BF" w:rsidRDefault="00B95DA7" w:rsidP="00B95DA7">
      <w:pPr>
        <w:spacing w:after="120"/>
        <w:ind w:left="360"/>
        <w:jc w:val="both"/>
        <w:rPr>
          <w:rFonts w:ascii="Verdana" w:hAnsi="Verdana" w:cs="Arial"/>
          <w:color w:val="000000" w:themeColor="text1"/>
        </w:rPr>
      </w:pPr>
    </w:p>
    <w:p w14:paraId="2921A1CC" w14:textId="77777777" w:rsidR="00B95DA7" w:rsidRDefault="00B95DA7" w:rsidP="00B95DA7">
      <w:pPr>
        <w:pStyle w:val="Prrafodelista"/>
        <w:spacing w:after="0" w:line="240" w:lineRule="auto"/>
        <w:jc w:val="both"/>
        <w:textAlignment w:val="baseline"/>
        <w:rPr>
          <w:rFonts w:ascii="Verdana" w:hAnsi="Verdana"/>
        </w:rPr>
      </w:pPr>
    </w:p>
    <w:p w14:paraId="0A48C776" w14:textId="77777777" w:rsidR="00B95DA7" w:rsidRDefault="00B95DA7" w:rsidP="00B95DA7">
      <w:pPr>
        <w:spacing w:line="276" w:lineRule="auto"/>
        <w:rPr>
          <w:rFonts w:ascii="Verdana" w:eastAsia="Aptos" w:hAnsi="Verdana" w:cs="Arial"/>
          <w:lang w:val="es-ES_tradnl" w:eastAsia="es-CO"/>
        </w:rPr>
      </w:pPr>
    </w:p>
    <w:p w14:paraId="25189DC3" w14:textId="77777777" w:rsidR="00B95DA7" w:rsidRDefault="00B95DA7" w:rsidP="00B95DA7">
      <w:pPr>
        <w:spacing w:line="276" w:lineRule="auto"/>
        <w:jc w:val="center"/>
        <w:rPr>
          <w:rFonts w:ascii="Verdana" w:eastAsia="Aptos" w:hAnsi="Verdana" w:cs="Arial"/>
          <w:lang w:val="es-ES_tradnl" w:eastAsia="es-CO"/>
        </w:rPr>
      </w:pPr>
    </w:p>
    <w:p w14:paraId="72FB0CD7" w14:textId="77777777" w:rsidR="000155F6" w:rsidRPr="00292355" w:rsidRDefault="000155F6" w:rsidP="00B95DA7">
      <w:pPr>
        <w:spacing w:line="276" w:lineRule="auto"/>
        <w:jc w:val="center"/>
        <w:rPr>
          <w:rFonts w:ascii="Verdana" w:eastAsia="Aptos" w:hAnsi="Verdana" w:cs="Arial"/>
          <w:lang w:val="es-ES_tradnl"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B95DA7" w:rsidRPr="00292355" w14:paraId="0B893ECB" w14:textId="77777777" w:rsidTr="00AC1300">
        <w:trPr>
          <w:trHeight w:val="286"/>
        </w:trPr>
        <w:tc>
          <w:tcPr>
            <w:tcW w:w="901" w:type="dxa"/>
            <w:vAlign w:val="center"/>
            <w:hideMark/>
          </w:tcPr>
          <w:p w14:paraId="3C68F58A" w14:textId="77777777" w:rsidR="00B95DA7" w:rsidRPr="00292355" w:rsidRDefault="00B95DA7" w:rsidP="00AC1300">
            <w:pPr>
              <w:rPr>
                <w:rFonts w:ascii="Verdana" w:eastAsia="Aptos" w:hAnsi="Verdana" w:cs="Arial"/>
                <w:sz w:val="14"/>
                <w:szCs w:val="14"/>
                <w:lang w:eastAsia="es-ES"/>
              </w:rPr>
            </w:pPr>
            <w:r w:rsidRPr="00292355">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21A095B6" w14:textId="77777777" w:rsidR="00B95DA7" w:rsidRPr="00292355" w:rsidRDefault="00B95DA7" w:rsidP="00AC1300">
            <w:pPr>
              <w:rPr>
                <w:rFonts w:ascii="Verdana" w:eastAsia="Aptos" w:hAnsi="Verdana" w:cs="Arial"/>
                <w:sz w:val="14"/>
                <w:szCs w:val="14"/>
                <w:lang w:eastAsia="es-ES"/>
              </w:rPr>
            </w:pPr>
            <w:r>
              <w:rPr>
                <w:rFonts w:ascii="Verdana" w:eastAsia="Aptos" w:hAnsi="Verdana" w:cs="Arial"/>
                <w:sz w:val="14"/>
                <w:szCs w:val="14"/>
                <w:lang w:eastAsia="es-ES"/>
              </w:rPr>
              <w:t>Kelmis Yirama Brugés Alvarado</w:t>
            </w:r>
          </w:p>
          <w:p w14:paraId="289C3425" w14:textId="77777777" w:rsidR="00B95DA7" w:rsidRPr="00292355" w:rsidRDefault="00B95DA7" w:rsidP="00AC1300">
            <w:pPr>
              <w:rPr>
                <w:rFonts w:ascii="Verdana" w:eastAsia="Aptos" w:hAnsi="Verdana" w:cs="Arial"/>
                <w:sz w:val="14"/>
                <w:szCs w:val="14"/>
                <w:lang w:eastAsia="es-ES"/>
              </w:rPr>
            </w:pPr>
            <w:r w:rsidRPr="00292355">
              <w:rPr>
                <w:rFonts w:ascii="Verdana" w:eastAsia="Aptos" w:hAnsi="Verdana" w:cs="Arial"/>
                <w:sz w:val="14"/>
                <w:szCs w:val="14"/>
                <w:lang w:eastAsia="es-ES"/>
              </w:rPr>
              <w:t>Analista T2–0</w:t>
            </w:r>
            <w:r>
              <w:rPr>
                <w:rFonts w:ascii="Verdana" w:eastAsia="Aptos" w:hAnsi="Verdana" w:cs="Arial"/>
                <w:sz w:val="14"/>
                <w:szCs w:val="14"/>
                <w:lang w:eastAsia="es-ES"/>
              </w:rPr>
              <w:t xml:space="preserve">4 </w:t>
            </w:r>
            <w:r w:rsidRPr="00292355">
              <w:rPr>
                <w:rFonts w:ascii="Verdana" w:eastAsia="Aptos" w:hAnsi="Verdana" w:cs="Arial"/>
                <w:sz w:val="14"/>
                <w:szCs w:val="14"/>
                <w:lang w:eastAsia="es-ES"/>
              </w:rPr>
              <w:t>de la Subdirección de Gestión Contractual</w:t>
            </w:r>
          </w:p>
        </w:tc>
      </w:tr>
      <w:tr w:rsidR="00B95DA7" w:rsidRPr="00292355" w14:paraId="34EF52D2" w14:textId="77777777" w:rsidTr="00AC1300">
        <w:trPr>
          <w:trHeight w:val="299"/>
        </w:trPr>
        <w:tc>
          <w:tcPr>
            <w:tcW w:w="901" w:type="dxa"/>
            <w:vAlign w:val="center"/>
          </w:tcPr>
          <w:p w14:paraId="2B3AB2EF" w14:textId="77777777" w:rsidR="00B95DA7" w:rsidRPr="00292355" w:rsidRDefault="00B95DA7" w:rsidP="00AC1300">
            <w:pPr>
              <w:rPr>
                <w:rFonts w:ascii="Verdana" w:eastAsia="Aptos" w:hAnsi="Verdana" w:cs="Arial"/>
                <w:sz w:val="14"/>
                <w:szCs w:val="14"/>
                <w:lang w:eastAsia="es-ES"/>
              </w:rPr>
            </w:pPr>
            <w:r w:rsidRPr="00292355">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05EF55B7" w14:textId="37AB7D77" w:rsidR="00B95DA7" w:rsidRPr="00292355" w:rsidRDefault="00B95DA7" w:rsidP="00AC1300">
            <w:pPr>
              <w:rPr>
                <w:rFonts w:ascii="Verdana" w:eastAsia="Aptos" w:hAnsi="Verdana" w:cs="Arial"/>
                <w:sz w:val="14"/>
                <w:szCs w:val="14"/>
                <w:lang w:eastAsia="es-ES"/>
              </w:rPr>
            </w:pPr>
            <w:r>
              <w:rPr>
                <w:rFonts w:ascii="Verdana" w:eastAsia="Aptos" w:hAnsi="Verdana" w:cs="Arial"/>
                <w:sz w:val="14"/>
                <w:szCs w:val="14"/>
                <w:lang w:eastAsia="es-ES"/>
              </w:rPr>
              <w:t>Juan Carlos González</w:t>
            </w:r>
            <w:r w:rsidR="00D70F5A">
              <w:rPr>
                <w:rFonts w:ascii="Verdana" w:eastAsia="Aptos" w:hAnsi="Verdana" w:cs="Arial"/>
                <w:sz w:val="14"/>
                <w:szCs w:val="14"/>
                <w:lang w:eastAsia="es-ES"/>
              </w:rPr>
              <w:t xml:space="preserve"> Vásquez</w:t>
            </w:r>
          </w:p>
          <w:p w14:paraId="49B80D9E" w14:textId="77777777" w:rsidR="00B95DA7" w:rsidRPr="00292355" w:rsidRDefault="00B95DA7" w:rsidP="00AC1300">
            <w:pPr>
              <w:rPr>
                <w:rFonts w:ascii="Verdana" w:eastAsia="Aptos" w:hAnsi="Verdana" w:cs="Arial"/>
                <w:sz w:val="14"/>
                <w:szCs w:val="14"/>
                <w:lang w:eastAsia="es-ES"/>
              </w:rPr>
            </w:pPr>
            <w:r>
              <w:rPr>
                <w:rFonts w:ascii="Verdana" w:eastAsia="Aptos" w:hAnsi="Verdana" w:cs="Arial"/>
                <w:sz w:val="14"/>
                <w:szCs w:val="14"/>
                <w:lang w:eastAsia="es-ES"/>
              </w:rPr>
              <w:t xml:space="preserve">Contratista </w:t>
            </w:r>
            <w:r w:rsidRPr="00292355">
              <w:rPr>
                <w:rFonts w:ascii="Verdana" w:eastAsia="Aptos" w:hAnsi="Verdana" w:cs="Arial"/>
                <w:sz w:val="14"/>
                <w:szCs w:val="14"/>
                <w:lang w:eastAsia="es-ES"/>
              </w:rPr>
              <w:t>de la Subdirección de Gestión Contractual</w:t>
            </w:r>
          </w:p>
        </w:tc>
      </w:tr>
      <w:tr w:rsidR="00B95DA7" w:rsidRPr="00292355" w14:paraId="6470EF02" w14:textId="77777777" w:rsidTr="00AC1300">
        <w:trPr>
          <w:trHeight w:val="272"/>
        </w:trPr>
        <w:tc>
          <w:tcPr>
            <w:tcW w:w="901" w:type="dxa"/>
            <w:vAlign w:val="center"/>
            <w:hideMark/>
          </w:tcPr>
          <w:p w14:paraId="5C4915C2" w14:textId="77777777" w:rsidR="00B95DA7" w:rsidRPr="00292355" w:rsidRDefault="00B95DA7" w:rsidP="00AC1300">
            <w:pPr>
              <w:rPr>
                <w:rFonts w:ascii="Verdana" w:eastAsia="Aptos" w:hAnsi="Verdana" w:cs="Arial"/>
                <w:sz w:val="14"/>
                <w:szCs w:val="14"/>
                <w:lang w:eastAsia="es-ES"/>
              </w:rPr>
            </w:pPr>
            <w:r w:rsidRPr="00292355">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7AD49AA6" w14:textId="77777777" w:rsidR="00B95DA7" w:rsidRPr="00292355" w:rsidRDefault="00B95DA7" w:rsidP="00AC1300">
            <w:pPr>
              <w:rPr>
                <w:rFonts w:ascii="Verdana" w:eastAsia="Aptos" w:hAnsi="Verdana" w:cs="Arial"/>
                <w:sz w:val="14"/>
                <w:szCs w:val="14"/>
                <w:lang w:eastAsia="es-ES"/>
              </w:rPr>
            </w:pPr>
            <w:r w:rsidRPr="00292355">
              <w:rPr>
                <w:rFonts w:ascii="Verdana" w:eastAsia="Aptos" w:hAnsi="Verdana" w:cs="Arial"/>
                <w:sz w:val="14"/>
                <w:szCs w:val="14"/>
                <w:lang w:eastAsia="es-ES"/>
              </w:rPr>
              <w:t>Carolina Quintero Gacharná</w:t>
            </w:r>
          </w:p>
          <w:p w14:paraId="493DD714" w14:textId="77777777" w:rsidR="00B95DA7" w:rsidRPr="00292355" w:rsidRDefault="00B95DA7" w:rsidP="00AC1300">
            <w:pPr>
              <w:rPr>
                <w:rFonts w:ascii="Verdana" w:eastAsia="Aptos" w:hAnsi="Verdana" w:cs="Arial"/>
                <w:sz w:val="14"/>
                <w:szCs w:val="14"/>
                <w:lang w:eastAsia="es-ES"/>
              </w:rPr>
            </w:pPr>
            <w:r w:rsidRPr="00292355">
              <w:rPr>
                <w:rFonts w:ascii="Verdana" w:eastAsia="Aptos" w:hAnsi="Verdana" w:cs="Arial"/>
                <w:sz w:val="14"/>
                <w:szCs w:val="14"/>
                <w:lang w:eastAsia="es-ES"/>
              </w:rPr>
              <w:t>Subdirectora de Gestión Contractual ANCP – CCE</w:t>
            </w:r>
          </w:p>
        </w:tc>
      </w:tr>
    </w:tbl>
    <w:p w14:paraId="5B8E0A46" w14:textId="77777777" w:rsidR="00B95DA7" w:rsidRPr="00292355" w:rsidRDefault="00B95DA7" w:rsidP="00B95DA7">
      <w:pPr>
        <w:spacing w:after="0" w:line="240" w:lineRule="auto"/>
        <w:rPr>
          <w:rFonts w:ascii="Verdana" w:eastAsia="Times New Roman" w:hAnsi="Verdana" w:cs="Arial"/>
          <w:sz w:val="24"/>
          <w:szCs w:val="24"/>
          <w:lang w:eastAsia="es-ES"/>
        </w:rPr>
      </w:pPr>
    </w:p>
    <w:p w14:paraId="732D0481" w14:textId="77777777" w:rsidR="00B95DA7" w:rsidRPr="008F00A2" w:rsidRDefault="00B95DA7" w:rsidP="00B95DA7">
      <w:pPr>
        <w:spacing w:after="120" w:line="240" w:lineRule="auto"/>
        <w:jc w:val="both"/>
        <w:rPr>
          <w:rFonts w:ascii="Verdana" w:hAnsi="Verdana"/>
          <w:vanish/>
          <w:lang w:val="es-ES"/>
          <w:specVanish/>
        </w:rPr>
      </w:pPr>
    </w:p>
    <w:p w14:paraId="2112CA57" w14:textId="77777777" w:rsidR="00B95DA7" w:rsidRPr="00AB3CCA" w:rsidRDefault="00B95DA7" w:rsidP="00B95DA7">
      <w:pPr>
        <w:rPr>
          <w:rFonts w:ascii="Verdana" w:hAnsi="Verdana"/>
          <w:lang w:val="es-ES"/>
        </w:rPr>
      </w:pPr>
    </w:p>
    <w:p w14:paraId="6781A38C" w14:textId="77777777" w:rsidR="00C24BE5" w:rsidRPr="00B95DA7" w:rsidRDefault="00C24BE5" w:rsidP="00C24BE5">
      <w:pPr>
        <w:pStyle w:val="Textonotapie"/>
        <w:jc w:val="both"/>
        <w:rPr>
          <w:rFonts w:ascii="Verdana" w:hAnsi="Verdana"/>
          <w:color w:val="000000"/>
          <w:sz w:val="22"/>
          <w:szCs w:val="22"/>
          <w:shd w:val="clear" w:color="auto" w:fill="FFFFFF"/>
          <w:lang w:val="es-ES"/>
        </w:rPr>
      </w:pPr>
    </w:p>
    <w:sectPr w:rsidR="00C24BE5" w:rsidRPr="00B95DA7" w:rsidSect="007C0C0F">
      <w:headerReference w:type="default" r:id="rId24"/>
      <w:footerReference w:type="default" r:id="rId2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EF9E8" w14:textId="77777777" w:rsidR="004049E1" w:rsidRDefault="004049E1" w:rsidP="004A1847">
      <w:pPr>
        <w:spacing w:after="0" w:line="240" w:lineRule="auto"/>
      </w:pPr>
      <w:r>
        <w:separator/>
      </w:r>
    </w:p>
  </w:endnote>
  <w:endnote w:type="continuationSeparator" w:id="0">
    <w:p w14:paraId="6DF528F1" w14:textId="77777777" w:rsidR="004049E1" w:rsidRDefault="004049E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D7B02" w14:textId="77777777" w:rsidR="004049E1" w:rsidRDefault="004049E1" w:rsidP="004A1847">
      <w:pPr>
        <w:spacing w:after="0" w:line="240" w:lineRule="auto"/>
      </w:pPr>
      <w:r>
        <w:separator/>
      </w:r>
    </w:p>
  </w:footnote>
  <w:footnote w:type="continuationSeparator" w:id="0">
    <w:p w14:paraId="09BB0F7E" w14:textId="77777777" w:rsidR="004049E1" w:rsidRDefault="004049E1" w:rsidP="004A1847">
      <w:pPr>
        <w:spacing w:after="0" w:line="240" w:lineRule="auto"/>
      </w:pPr>
      <w:r>
        <w:continuationSeparator/>
      </w:r>
    </w:p>
  </w:footnote>
  <w:footnote w:id="1">
    <w:p w14:paraId="611058AD" w14:textId="5CB62C45" w:rsidR="00E475E5" w:rsidRPr="00021B80" w:rsidRDefault="00E475E5">
      <w:pPr>
        <w:pStyle w:val="Textonotapie"/>
        <w:rPr>
          <w:rFonts w:ascii="Verdana" w:hAnsi="Verdana"/>
          <w:sz w:val="16"/>
          <w:szCs w:val="16"/>
        </w:rPr>
      </w:pPr>
      <w:r w:rsidRPr="00021B80">
        <w:rPr>
          <w:rStyle w:val="Refdenotaalpie"/>
          <w:rFonts w:ascii="Verdana" w:hAnsi="Verdana"/>
          <w:sz w:val="16"/>
          <w:szCs w:val="16"/>
        </w:rPr>
        <w:footnoteRef/>
      </w:r>
      <w:r w:rsidRPr="00021B80">
        <w:rPr>
          <w:rFonts w:ascii="Verdana" w:hAnsi="Verdana"/>
          <w:sz w:val="16"/>
          <w:szCs w:val="16"/>
        </w:rPr>
        <w:t xml:space="preserve"> </w:t>
      </w:r>
      <w:r w:rsidR="00021B80" w:rsidRPr="00021B80">
        <w:rPr>
          <w:rFonts w:ascii="Verdana" w:hAnsi="Verdana" w:cs="Arial"/>
          <w:color w:val="000000" w:themeColor="text1"/>
          <w:sz w:val="16"/>
          <w:szCs w:val="16"/>
        </w:rPr>
        <w:t>Agencia Nacional de Contratación Pública - Colombia Compra Eficiente</w:t>
      </w:r>
      <w:r w:rsidR="00021B80" w:rsidRPr="00021B80">
        <w:rPr>
          <w:rFonts w:ascii="Verdana" w:hAnsi="Verdana" w:cs="Arial"/>
          <w:color w:val="000000" w:themeColor="text1"/>
          <w:sz w:val="16"/>
          <w:szCs w:val="16"/>
          <w:lang w:val="es-CO"/>
        </w:rPr>
        <w:t>, Concepto 4201912000005935 del 25 de noviembre de 2019.</w:t>
      </w:r>
    </w:p>
  </w:footnote>
  <w:footnote w:id="2">
    <w:p w14:paraId="7FBF5469" w14:textId="3DEBCE07" w:rsidR="00872CC3" w:rsidRPr="00D10FC5" w:rsidRDefault="00872CC3">
      <w:pPr>
        <w:pStyle w:val="Textonotapie"/>
        <w:rPr>
          <w:rFonts w:ascii="Verdana" w:hAnsi="Verdana"/>
          <w:sz w:val="16"/>
          <w:szCs w:val="16"/>
        </w:rPr>
      </w:pPr>
      <w:r w:rsidRPr="00D10FC5">
        <w:rPr>
          <w:rStyle w:val="Refdenotaalpie"/>
          <w:rFonts w:ascii="Verdana" w:hAnsi="Verdana"/>
          <w:sz w:val="16"/>
          <w:szCs w:val="16"/>
        </w:rPr>
        <w:footnoteRef/>
      </w:r>
      <w:r w:rsidRPr="00D10FC5">
        <w:rPr>
          <w:rFonts w:ascii="Verdana" w:hAnsi="Verdana"/>
          <w:sz w:val="16"/>
          <w:szCs w:val="16"/>
        </w:rPr>
        <w:t xml:space="preserve"> </w:t>
      </w:r>
      <w:r w:rsidR="00D10FC5" w:rsidRPr="00D10FC5">
        <w:rPr>
          <w:rFonts w:ascii="Verdana" w:hAnsi="Verdana" w:cs="Arial"/>
          <w:sz w:val="16"/>
          <w:szCs w:val="16"/>
          <w:lang w:val="es-ES"/>
        </w:rPr>
        <w:t>Ibidem.</w:t>
      </w:r>
    </w:p>
  </w:footnote>
  <w:footnote w:id="3">
    <w:p w14:paraId="682E7E83" w14:textId="7C03775E" w:rsidR="00F406F6" w:rsidRPr="001F6383" w:rsidRDefault="00F406F6">
      <w:pPr>
        <w:pStyle w:val="Textonotapie"/>
        <w:rPr>
          <w:rFonts w:ascii="Verdana" w:hAnsi="Verdana"/>
          <w:sz w:val="16"/>
          <w:szCs w:val="16"/>
        </w:rPr>
      </w:pPr>
      <w:r w:rsidRPr="001F6383">
        <w:rPr>
          <w:rStyle w:val="Refdenotaalpie"/>
          <w:rFonts w:ascii="Verdana" w:hAnsi="Verdana"/>
          <w:sz w:val="16"/>
          <w:szCs w:val="16"/>
        </w:rPr>
        <w:footnoteRef/>
      </w:r>
      <w:r w:rsidRPr="001F6383">
        <w:rPr>
          <w:rFonts w:ascii="Verdana" w:hAnsi="Verdana"/>
          <w:sz w:val="16"/>
          <w:szCs w:val="16"/>
        </w:rPr>
        <w:t xml:space="preserve"> </w:t>
      </w:r>
      <w:r w:rsidR="001F6383" w:rsidRPr="001F6383">
        <w:rPr>
          <w:rFonts w:ascii="Verdana" w:hAnsi="Verdana" w:cs="Arial"/>
          <w:color w:val="000000" w:themeColor="text1"/>
          <w:sz w:val="16"/>
          <w:szCs w:val="16"/>
        </w:rPr>
        <w:t>Agencia Nacional de Contratación Pública - Colombia Compra Eficiente</w:t>
      </w:r>
      <w:r w:rsidR="001F6383" w:rsidRPr="001F6383">
        <w:rPr>
          <w:rFonts w:ascii="Verdana" w:hAnsi="Verdana" w:cs="Arial"/>
          <w:color w:val="000000" w:themeColor="text1"/>
          <w:sz w:val="16"/>
          <w:szCs w:val="16"/>
          <w:lang w:val="es-CO"/>
        </w:rPr>
        <w:t>, Concepto C – 575 de 2020.</w:t>
      </w:r>
    </w:p>
  </w:footnote>
  <w:footnote w:id="4">
    <w:p w14:paraId="79EC53B3" w14:textId="77777777" w:rsidR="001D1D4B" w:rsidRPr="001D1D4B" w:rsidRDefault="007C4680" w:rsidP="001D1D4B">
      <w:pPr>
        <w:pStyle w:val="Textonotapie"/>
        <w:spacing w:after="120"/>
        <w:ind w:firstLine="708"/>
        <w:jc w:val="both"/>
        <w:rPr>
          <w:rFonts w:ascii="Abadi" w:hAnsi="Abadi" w:cs="Arial"/>
          <w:sz w:val="16"/>
          <w:szCs w:val="16"/>
        </w:rPr>
      </w:pPr>
      <w:r w:rsidRPr="001D1D4B">
        <w:rPr>
          <w:rStyle w:val="Refdenotaalpie"/>
          <w:rFonts w:ascii="Abadi" w:hAnsi="Abadi"/>
          <w:sz w:val="16"/>
          <w:szCs w:val="16"/>
        </w:rPr>
        <w:footnoteRef/>
      </w:r>
      <w:r w:rsidRPr="001D1D4B">
        <w:rPr>
          <w:rFonts w:ascii="Abadi" w:hAnsi="Abadi"/>
          <w:sz w:val="16"/>
          <w:szCs w:val="16"/>
        </w:rPr>
        <w:t xml:space="preserve"> </w:t>
      </w:r>
      <w:r w:rsidR="001D1D4B" w:rsidRPr="001D1D4B">
        <w:rPr>
          <w:rFonts w:ascii="Abadi" w:hAnsi="Abadi" w:cs="Arial"/>
          <w:sz w:val="16"/>
          <w:szCs w:val="16"/>
        </w:rPr>
        <w:t xml:space="preserve">Ley 80 de 1993: </w:t>
      </w:r>
      <w:r w:rsidR="001D1D4B" w:rsidRPr="001D1D4B">
        <w:rPr>
          <w:rFonts w:ascii="Abadi" w:eastAsia="Calibri" w:hAnsi="Abadi" w:cs="Arial"/>
          <w:sz w:val="16"/>
          <w:szCs w:val="16"/>
        </w:rPr>
        <w:t>«</w:t>
      </w:r>
      <w:r w:rsidR="001D1D4B" w:rsidRPr="001D1D4B">
        <w:rPr>
          <w:rFonts w:ascii="Abadi" w:hAnsi="Abadi" w:cs="Arial"/>
          <w:sz w:val="16"/>
          <w:szCs w:val="16"/>
        </w:rPr>
        <w:t>Artículo 77. De la normatividad aplicable en las actuaciones administrativas.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7A53FFC5" w14:textId="32110F4D" w:rsidR="001D1D4B" w:rsidRPr="001D1D4B" w:rsidRDefault="001D1D4B" w:rsidP="001D1D4B">
      <w:pPr>
        <w:pStyle w:val="Textonotapie"/>
        <w:spacing w:after="120"/>
        <w:ind w:firstLine="708"/>
        <w:jc w:val="both"/>
        <w:rPr>
          <w:rFonts w:ascii="Abadi" w:hAnsi="Abadi" w:cs="Arial"/>
          <w:sz w:val="16"/>
          <w:szCs w:val="16"/>
        </w:rPr>
      </w:pPr>
      <w:r>
        <w:rPr>
          <w:rFonts w:ascii="Abadi" w:eastAsia="Calibri" w:hAnsi="Abadi" w:cs="Arial"/>
          <w:sz w:val="16"/>
          <w:szCs w:val="16"/>
        </w:rPr>
        <w:t>“</w:t>
      </w:r>
      <w:r w:rsidRPr="001D1D4B">
        <w:rPr>
          <w:rFonts w:ascii="Abadi" w:hAnsi="Abadi" w:cs="Arial"/>
          <w:sz w:val="16"/>
          <w:szCs w:val="16"/>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2459D4F0" w14:textId="1BD3269E" w:rsidR="007C4680" w:rsidRDefault="001D1D4B" w:rsidP="001D1D4B">
      <w:pPr>
        <w:pStyle w:val="Textonotapie"/>
      </w:pPr>
      <w:r w:rsidRPr="001D1D4B">
        <w:rPr>
          <w:rFonts w:ascii="Abadi" w:hAnsi="Abadi" w:cs="Arial"/>
          <w:sz w:val="16"/>
          <w:szCs w:val="16"/>
        </w:rPr>
        <w:t>[…]</w:t>
      </w:r>
      <w:r w:rsidR="00972BEB">
        <w:rPr>
          <w:rFonts w:ascii="Abadi" w:eastAsia="Calibri" w:hAnsi="Abadi" w:cs="Arial"/>
          <w:sz w:val="16"/>
          <w:szCs w:val="16"/>
        </w:rPr>
        <w:t>”</w:t>
      </w:r>
      <w:r w:rsidRPr="001D1D4B">
        <w:rPr>
          <w:rFonts w:ascii="Abadi" w:hAnsi="Abadi" w:cs="Arial"/>
          <w:sz w:val="16"/>
          <w:szCs w:val="16"/>
        </w:rPr>
        <w:t>.</w:t>
      </w:r>
    </w:p>
  </w:footnote>
  <w:footnote w:id="5">
    <w:p w14:paraId="66ACDEBB" w14:textId="7246CC6C" w:rsidR="00370556" w:rsidRPr="00BE1715" w:rsidRDefault="00115210" w:rsidP="00370556">
      <w:pPr>
        <w:pStyle w:val="Textonotapie"/>
        <w:spacing w:after="120"/>
        <w:ind w:firstLine="708"/>
        <w:jc w:val="both"/>
        <w:rPr>
          <w:rFonts w:ascii="Abadi" w:hAnsi="Abadi" w:cs="Arial"/>
          <w:sz w:val="16"/>
          <w:szCs w:val="16"/>
        </w:rPr>
      </w:pPr>
      <w:r w:rsidRPr="00BE1715">
        <w:rPr>
          <w:rStyle w:val="Refdenotaalpie"/>
          <w:rFonts w:ascii="Abadi" w:hAnsi="Abadi"/>
          <w:sz w:val="16"/>
          <w:szCs w:val="16"/>
        </w:rPr>
        <w:footnoteRef/>
      </w:r>
      <w:r w:rsidRPr="00BE1715">
        <w:rPr>
          <w:rFonts w:ascii="Abadi" w:hAnsi="Abadi"/>
          <w:sz w:val="16"/>
          <w:szCs w:val="16"/>
        </w:rPr>
        <w:t xml:space="preserve"> </w:t>
      </w:r>
      <w:r w:rsidR="00370556" w:rsidRPr="00BE1715">
        <w:rPr>
          <w:rFonts w:ascii="Abadi" w:hAnsi="Abadi" w:cs="Arial"/>
          <w:sz w:val="16"/>
          <w:szCs w:val="16"/>
        </w:rPr>
        <w:t xml:space="preserve">Ley 1437 de 2011: </w:t>
      </w:r>
      <w:r w:rsidR="00370556" w:rsidRPr="00BE1715">
        <w:rPr>
          <w:rFonts w:ascii="Abadi" w:eastAsia="Calibri" w:hAnsi="Abadi" w:cs="Arial"/>
          <w:sz w:val="16"/>
          <w:szCs w:val="16"/>
        </w:rPr>
        <w:t>“</w:t>
      </w:r>
      <w:r w:rsidR="00370556" w:rsidRPr="00BE1715">
        <w:rPr>
          <w:rFonts w:ascii="Abadi" w:hAnsi="Abadi" w:cs="Arial"/>
          <w:sz w:val="16"/>
          <w:szCs w:val="16"/>
        </w:rPr>
        <w:t>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la misma y el nombre del peticionario, si lo hubiere, para que puedan constituirse como parte y hacer valer sus derechos.</w:t>
      </w:r>
    </w:p>
    <w:p w14:paraId="10E9A77E" w14:textId="6A08E2CF" w:rsidR="00370556" w:rsidRPr="00BE1715" w:rsidRDefault="00370556" w:rsidP="00370556">
      <w:pPr>
        <w:pStyle w:val="Textonotapie"/>
        <w:spacing w:after="120"/>
        <w:ind w:firstLine="708"/>
        <w:jc w:val="both"/>
        <w:rPr>
          <w:rFonts w:ascii="Abadi" w:hAnsi="Abadi" w:cs="Arial"/>
          <w:sz w:val="16"/>
          <w:szCs w:val="16"/>
        </w:rPr>
      </w:pPr>
      <w:r w:rsidRPr="00BE1715">
        <w:rPr>
          <w:rFonts w:ascii="Abadi" w:hAnsi="Abadi" w:cs="Arial"/>
          <w:sz w:val="16"/>
          <w:szCs w:val="16"/>
        </w:rPr>
        <w:t>“La comunicación se remitirá a la dirección o correo electrónico que se conozca si no hay otro medio más eficaz. De no ser posible dicha comunicación, o tratándose de terceros indeterminados, la información se divulgará a través de un medio masivo de comunicación nacional o local, según el caso, o a través de cualquier otro mecanismo eficaz, habida cuenta de las condiciones de los posibles interesados. De tales actuaciones se dejará constancia escrita en el expediente.</w:t>
      </w:r>
    </w:p>
    <w:p w14:paraId="6ECB5467" w14:textId="3F1B750F" w:rsidR="00370556" w:rsidRPr="00BE1715" w:rsidRDefault="002D0FFC" w:rsidP="00370556">
      <w:pPr>
        <w:pStyle w:val="Textonotapie"/>
        <w:spacing w:after="120"/>
        <w:ind w:firstLine="708"/>
        <w:jc w:val="both"/>
        <w:rPr>
          <w:rFonts w:ascii="Abadi" w:hAnsi="Abadi" w:cs="Arial"/>
          <w:sz w:val="16"/>
          <w:szCs w:val="16"/>
        </w:rPr>
      </w:pPr>
      <w:r w:rsidRPr="00BE1715">
        <w:rPr>
          <w:rFonts w:ascii="Abadi" w:hAnsi="Abadi" w:cs="Arial"/>
          <w:sz w:val="16"/>
          <w:szCs w:val="16"/>
        </w:rPr>
        <w:t>“</w:t>
      </w:r>
      <w:r w:rsidR="00370556" w:rsidRPr="00BE1715">
        <w:rPr>
          <w:rFonts w:ascii="Abadi" w:hAnsi="Abadi" w:cs="Arial"/>
          <w:sz w:val="16"/>
          <w:szCs w:val="16"/>
        </w:rPr>
        <w:t>Artículo 38. Intervención de terceros. Los terceros podrán intervenir en las actuaciones administrativas con los mismos derechos, deberes y responsabilidades de quienes son parte interesada, en los siguientes casos:</w:t>
      </w:r>
    </w:p>
    <w:p w14:paraId="0971E623" w14:textId="205C1F32" w:rsidR="00370556" w:rsidRPr="00BE1715" w:rsidRDefault="002D0FFC" w:rsidP="00370556">
      <w:pPr>
        <w:pStyle w:val="Textonotapie"/>
        <w:spacing w:after="120"/>
        <w:ind w:firstLine="708"/>
        <w:jc w:val="both"/>
        <w:rPr>
          <w:rFonts w:ascii="Abadi" w:hAnsi="Abadi" w:cs="Arial"/>
          <w:sz w:val="16"/>
          <w:szCs w:val="16"/>
        </w:rPr>
      </w:pPr>
      <w:r w:rsidRPr="00BE1715">
        <w:rPr>
          <w:rFonts w:ascii="Abadi" w:hAnsi="Abadi" w:cs="Arial"/>
          <w:sz w:val="16"/>
          <w:szCs w:val="16"/>
        </w:rPr>
        <w:t>“</w:t>
      </w:r>
      <w:r w:rsidR="00370556" w:rsidRPr="00BE1715">
        <w:rPr>
          <w:rFonts w:ascii="Abadi" w:hAnsi="Abadi" w:cs="Arial"/>
          <w:sz w:val="16"/>
          <w:szCs w:val="16"/>
        </w:rPr>
        <w:t>1. Cuando hayan promovido la actuación administrativa sancionatoria en calidad de denunciantes, resulten afectados con la conducta por la cual se adelanta la investigación, o estén en capacidad de aportar pruebas que contribuyan a dilucidar los hechos materia de la misma.</w:t>
      </w:r>
    </w:p>
    <w:p w14:paraId="719683C9" w14:textId="0F8441B4" w:rsidR="00370556" w:rsidRPr="00BE1715" w:rsidRDefault="002D0FFC" w:rsidP="00370556">
      <w:pPr>
        <w:pStyle w:val="Textonotapie"/>
        <w:spacing w:after="120"/>
        <w:ind w:firstLine="708"/>
        <w:jc w:val="both"/>
        <w:rPr>
          <w:rFonts w:ascii="Abadi" w:hAnsi="Abadi" w:cs="Arial"/>
          <w:sz w:val="16"/>
          <w:szCs w:val="16"/>
        </w:rPr>
      </w:pPr>
      <w:r w:rsidRPr="00BE1715">
        <w:rPr>
          <w:rFonts w:ascii="Abadi" w:hAnsi="Abadi" w:cs="Arial"/>
          <w:sz w:val="16"/>
          <w:szCs w:val="16"/>
        </w:rPr>
        <w:t>“</w:t>
      </w:r>
      <w:r w:rsidR="00370556" w:rsidRPr="00BE1715">
        <w:rPr>
          <w:rFonts w:ascii="Abadi" w:hAnsi="Abadi" w:cs="Arial"/>
          <w:sz w:val="16"/>
          <w:szCs w:val="16"/>
        </w:rPr>
        <w:t>2. Cuando sus derechos o su situación jurídica puedan resultar afectados con la actuación administrativa adelantada en interés particular, o cuando la decisión que sobre ella recaiga pueda ocasionarles perjuicios.</w:t>
      </w:r>
    </w:p>
    <w:p w14:paraId="364AA344" w14:textId="56F0DE8A" w:rsidR="00370556" w:rsidRPr="00BE1715" w:rsidRDefault="002D0FFC" w:rsidP="00370556">
      <w:pPr>
        <w:pStyle w:val="Textonotapie"/>
        <w:spacing w:after="120"/>
        <w:ind w:firstLine="708"/>
        <w:jc w:val="both"/>
        <w:rPr>
          <w:rFonts w:ascii="Abadi" w:hAnsi="Abadi" w:cs="Arial"/>
          <w:sz w:val="16"/>
          <w:szCs w:val="16"/>
        </w:rPr>
      </w:pPr>
      <w:r w:rsidRPr="00BE1715">
        <w:rPr>
          <w:rFonts w:ascii="Abadi" w:hAnsi="Abadi" w:cs="Arial"/>
          <w:sz w:val="16"/>
          <w:szCs w:val="16"/>
        </w:rPr>
        <w:t>“</w:t>
      </w:r>
      <w:r w:rsidR="00370556" w:rsidRPr="00BE1715">
        <w:rPr>
          <w:rFonts w:ascii="Abadi" w:hAnsi="Abadi" w:cs="Arial"/>
          <w:sz w:val="16"/>
          <w:szCs w:val="16"/>
        </w:rPr>
        <w:t>3. Cuando la actuación haya sido iniciada en interés general.</w:t>
      </w:r>
    </w:p>
    <w:p w14:paraId="613AEC83" w14:textId="7038A8F2" w:rsidR="00115210" w:rsidRDefault="002D0FFC" w:rsidP="00370556">
      <w:pPr>
        <w:pStyle w:val="Textonotapie"/>
        <w:rPr>
          <w:rFonts w:ascii="Abadi" w:hAnsi="Abadi" w:cs="Arial"/>
          <w:sz w:val="16"/>
          <w:szCs w:val="16"/>
        </w:rPr>
      </w:pPr>
      <w:r w:rsidRPr="00BE1715">
        <w:rPr>
          <w:rFonts w:ascii="Abadi" w:hAnsi="Abadi" w:cs="Arial"/>
          <w:sz w:val="16"/>
          <w:szCs w:val="16"/>
        </w:rPr>
        <w:t>“</w:t>
      </w:r>
      <w:r w:rsidR="00370556" w:rsidRPr="00BE1715">
        <w:rPr>
          <w:rFonts w:ascii="Abadi" w:hAnsi="Abadi" w:cs="Arial"/>
          <w:sz w:val="16"/>
          <w:szCs w:val="16"/>
        </w:rPr>
        <w:t>Parágrafo. La petición deberá reunir los requisitos previstos en el artículo 16 y en ella se indicará cuál es el interés de participar en la actuación y se allegarán o solicitarán las pruebas que el interesado pretenda hacer valer. La autoridad que la tramita la resolverá de plano y contra esta decisión no procederá recurso alguno”.</w:t>
      </w:r>
    </w:p>
    <w:p w14:paraId="04F47BCB" w14:textId="77777777" w:rsidR="00B23F5C" w:rsidRDefault="00B23F5C" w:rsidP="00370556">
      <w:pPr>
        <w:pStyle w:val="Textonotapie"/>
      </w:pPr>
    </w:p>
  </w:footnote>
  <w:footnote w:id="6">
    <w:p w14:paraId="5EDA8BFB" w14:textId="0A163BEF" w:rsidR="00CC6D7F" w:rsidRPr="00CC6D7F" w:rsidRDefault="009B235D" w:rsidP="00CC6D7F">
      <w:pPr>
        <w:pStyle w:val="Textonotapie"/>
        <w:spacing w:after="120"/>
        <w:ind w:firstLine="708"/>
        <w:jc w:val="both"/>
        <w:rPr>
          <w:rFonts w:ascii="Verdana" w:hAnsi="Verdana" w:cs="Arial"/>
          <w:sz w:val="16"/>
          <w:szCs w:val="16"/>
        </w:rPr>
      </w:pPr>
      <w:r w:rsidRPr="00CC6D7F">
        <w:rPr>
          <w:rStyle w:val="Refdenotaalpie"/>
          <w:rFonts w:ascii="Verdana" w:hAnsi="Verdana"/>
          <w:sz w:val="16"/>
          <w:szCs w:val="16"/>
        </w:rPr>
        <w:footnoteRef/>
      </w:r>
      <w:r w:rsidRPr="00CC6D7F">
        <w:rPr>
          <w:rFonts w:ascii="Verdana" w:hAnsi="Verdana"/>
          <w:sz w:val="16"/>
          <w:szCs w:val="16"/>
        </w:rPr>
        <w:t xml:space="preserve"> </w:t>
      </w:r>
      <w:r w:rsidR="00CC6D7F" w:rsidRPr="00CC6D7F">
        <w:rPr>
          <w:rFonts w:ascii="Verdana" w:hAnsi="Verdana" w:cs="Arial"/>
          <w:sz w:val="16"/>
          <w:szCs w:val="16"/>
        </w:rPr>
        <w:t xml:space="preserve">Ley 1437 de 2011: </w:t>
      </w:r>
      <w:r w:rsidR="00CC6D7F">
        <w:rPr>
          <w:rFonts w:ascii="Verdana" w:hAnsi="Verdana" w:cs="Arial"/>
          <w:sz w:val="16"/>
          <w:szCs w:val="16"/>
        </w:rPr>
        <w:t>“</w:t>
      </w:r>
      <w:r w:rsidR="00CC6D7F" w:rsidRPr="00CC6D7F">
        <w:rPr>
          <w:rFonts w:ascii="Verdana" w:hAnsi="Verdana" w:cs="Arial"/>
          <w:sz w:val="16"/>
          <w:szCs w:val="16"/>
        </w:rPr>
        <w:t>Artículo 14.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w:t>
      </w:r>
    </w:p>
    <w:p w14:paraId="01390FCD" w14:textId="1C4482A1" w:rsidR="00CC6D7F" w:rsidRPr="00CC6D7F" w:rsidRDefault="00CC6D7F" w:rsidP="00CC6D7F">
      <w:pPr>
        <w:pStyle w:val="Textonotapie"/>
        <w:spacing w:after="120"/>
        <w:ind w:firstLine="708"/>
        <w:jc w:val="both"/>
        <w:rPr>
          <w:rFonts w:ascii="Verdana" w:hAnsi="Verdana" w:cs="Arial"/>
          <w:sz w:val="16"/>
          <w:szCs w:val="16"/>
        </w:rPr>
      </w:pPr>
      <w:r>
        <w:rPr>
          <w:rFonts w:ascii="Verdana" w:hAnsi="Verdana" w:cs="Arial"/>
          <w:sz w:val="16"/>
          <w:szCs w:val="16"/>
        </w:rPr>
        <w:t>“</w:t>
      </w:r>
      <w:r w:rsidRPr="00CC6D7F">
        <w:rPr>
          <w:rFonts w:ascii="Verdana" w:hAnsi="Verdana" w:cs="Arial"/>
          <w:sz w:val="16"/>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1B586C5A" w14:textId="6EBA1A71" w:rsidR="009B235D" w:rsidRDefault="00CC6D7F" w:rsidP="00CC6D7F">
      <w:pPr>
        <w:pStyle w:val="Textonotapie"/>
        <w:rPr>
          <w:rFonts w:ascii="Verdana" w:hAnsi="Verdana" w:cs="Arial"/>
          <w:sz w:val="16"/>
          <w:szCs w:val="16"/>
        </w:rPr>
      </w:pPr>
      <w:r w:rsidRPr="00CC6D7F">
        <w:rPr>
          <w:rFonts w:ascii="Verdana" w:hAnsi="Verdana" w:cs="Arial"/>
          <w:sz w:val="16"/>
          <w:szCs w:val="16"/>
        </w:rPr>
        <w:t>[…]</w:t>
      </w:r>
      <w:r>
        <w:rPr>
          <w:rFonts w:ascii="Verdana" w:eastAsia="Calibri" w:hAnsi="Verdana" w:cs="Arial"/>
          <w:sz w:val="16"/>
          <w:szCs w:val="16"/>
        </w:rPr>
        <w:t>”</w:t>
      </w:r>
      <w:r w:rsidRPr="00CC6D7F">
        <w:rPr>
          <w:rFonts w:ascii="Verdana" w:hAnsi="Verdana" w:cs="Arial"/>
          <w:sz w:val="16"/>
          <w:szCs w:val="16"/>
        </w:rPr>
        <w:t>.</w:t>
      </w:r>
    </w:p>
    <w:p w14:paraId="5DB8DFC5" w14:textId="77777777" w:rsidR="008B1F02" w:rsidRDefault="008B1F02" w:rsidP="00CC6D7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8" type="#_x0000_t75" style="width:11.1pt;height:11.1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C279F4"/>
    <w:multiLevelType w:val="hybridMultilevel"/>
    <w:tmpl w:val="7B9A4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D0D2315"/>
    <w:multiLevelType w:val="multilevel"/>
    <w:tmpl w:val="2D6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11957"/>
    <w:multiLevelType w:val="hybridMultilevel"/>
    <w:tmpl w:val="5A8650C8"/>
    <w:lvl w:ilvl="0" w:tplc="F95AA11C">
      <w:start w:val="4"/>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7249B7"/>
    <w:multiLevelType w:val="hybridMultilevel"/>
    <w:tmpl w:val="FF74C8AE"/>
    <w:lvl w:ilvl="0" w:tplc="650E32B6">
      <w:start w:val="4"/>
      <w:numFmt w:val="bullet"/>
      <w:lvlText w:val="-"/>
      <w:lvlJc w:val="left"/>
      <w:pPr>
        <w:ind w:left="1068" w:hanging="360"/>
      </w:pPr>
      <w:rPr>
        <w:rFonts w:ascii="Verdana" w:eastAsia="Calibri" w:hAnsi="Verdana"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6"/>
  </w:num>
  <w:num w:numId="8" w16cid:durableId="152644682">
    <w:abstractNumId w:val="16"/>
  </w:num>
  <w:num w:numId="9" w16cid:durableId="1317221377">
    <w:abstractNumId w:val="8"/>
  </w:num>
  <w:num w:numId="10" w16cid:durableId="1471245386">
    <w:abstractNumId w:val="15"/>
  </w:num>
  <w:num w:numId="11" w16cid:durableId="289172385">
    <w:abstractNumId w:val="9"/>
  </w:num>
  <w:num w:numId="12" w16cid:durableId="1470781324">
    <w:abstractNumId w:val="1"/>
  </w:num>
  <w:num w:numId="13" w16cid:durableId="1512908409">
    <w:abstractNumId w:val="4"/>
  </w:num>
  <w:num w:numId="14" w16cid:durableId="895897244">
    <w:abstractNumId w:val="18"/>
  </w:num>
  <w:num w:numId="15" w16cid:durableId="390349800">
    <w:abstractNumId w:val="14"/>
  </w:num>
  <w:num w:numId="16" w16cid:durableId="436679386">
    <w:abstractNumId w:val="3"/>
  </w:num>
  <w:num w:numId="17" w16cid:durableId="927153143">
    <w:abstractNumId w:val="13"/>
  </w:num>
  <w:num w:numId="18" w16cid:durableId="1604537658">
    <w:abstractNumId w:val="12"/>
  </w:num>
  <w:num w:numId="19" w16cid:durableId="341274352">
    <w:abstractNumId w:val="0"/>
  </w:num>
  <w:num w:numId="20" w16cid:durableId="679089576">
    <w:abstractNumId w:val="10"/>
  </w:num>
  <w:num w:numId="21" w16cid:durableId="6548382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55F6"/>
    <w:rsid w:val="00016F78"/>
    <w:rsid w:val="00021B80"/>
    <w:rsid w:val="00046945"/>
    <w:rsid w:val="00046B03"/>
    <w:rsid w:val="00052BF8"/>
    <w:rsid w:val="00055D36"/>
    <w:rsid w:val="00061B2A"/>
    <w:rsid w:val="000766F7"/>
    <w:rsid w:val="000802A6"/>
    <w:rsid w:val="00082362"/>
    <w:rsid w:val="0009065B"/>
    <w:rsid w:val="000A683E"/>
    <w:rsid w:val="000B19B9"/>
    <w:rsid w:val="000C4425"/>
    <w:rsid w:val="000C761D"/>
    <w:rsid w:val="000D0334"/>
    <w:rsid w:val="000E4DB3"/>
    <w:rsid w:val="000F5FE2"/>
    <w:rsid w:val="000F6486"/>
    <w:rsid w:val="0011482D"/>
    <w:rsid w:val="00115210"/>
    <w:rsid w:val="00125105"/>
    <w:rsid w:val="00127233"/>
    <w:rsid w:val="00127955"/>
    <w:rsid w:val="00132F75"/>
    <w:rsid w:val="001458B1"/>
    <w:rsid w:val="001511A0"/>
    <w:rsid w:val="00174C0F"/>
    <w:rsid w:val="001822B5"/>
    <w:rsid w:val="001840E4"/>
    <w:rsid w:val="001A2D33"/>
    <w:rsid w:val="001C3779"/>
    <w:rsid w:val="001C3A35"/>
    <w:rsid w:val="001D1D4B"/>
    <w:rsid w:val="001D40FF"/>
    <w:rsid w:val="001E4177"/>
    <w:rsid w:val="001F6383"/>
    <w:rsid w:val="001F692C"/>
    <w:rsid w:val="001F705C"/>
    <w:rsid w:val="001F7DC6"/>
    <w:rsid w:val="002127C0"/>
    <w:rsid w:val="00233E4B"/>
    <w:rsid w:val="00240E52"/>
    <w:rsid w:val="002421BB"/>
    <w:rsid w:val="002471E6"/>
    <w:rsid w:val="0025796E"/>
    <w:rsid w:val="0026591B"/>
    <w:rsid w:val="002707A2"/>
    <w:rsid w:val="00272DF0"/>
    <w:rsid w:val="002951A0"/>
    <w:rsid w:val="002962BC"/>
    <w:rsid w:val="002A093D"/>
    <w:rsid w:val="002A0DD0"/>
    <w:rsid w:val="002A49AC"/>
    <w:rsid w:val="002A64FD"/>
    <w:rsid w:val="002B188E"/>
    <w:rsid w:val="002B31C3"/>
    <w:rsid w:val="002B5E22"/>
    <w:rsid w:val="002C7A84"/>
    <w:rsid w:val="002D0FFC"/>
    <w:rsid w:val="002D6768"/>
    <w:rsid w:val="002E4FD9"/>
    <w:rsid w:val="00301388"/>
    <w:rsid w:val="00322A85"/>
    <w:rsid w:val="00324168"/>
    <w:rsid w:val="0032564F"/>
    <w:rsid w:val="00337BC7"/>
    <w:rsid w:val="00344741"/>
    <w:rsid w:val="003448F4"/>
    <w:rsid w:val="003674AC"/>
    <w:rsid w:val="00370556"/>
    <w:rsid w:val="00374F5E"/>
    <w:rsid w:val="00377E3E"/>
    <w:rsid w:val="003A038E"/>
    <w:rsid w:val="003A66EC"/>
    <w:rsid w:val="003A779E"/>
    <w:rsid w:val="003A7CDB"/>
    <w:rsid w:val="003D0F4D"/>
    <w:rsid w:val="003D3515"/>
    <w:rsid w:val="003D5B0D"/>
    <w:rsid w:val="003E0499"/>
    <w:rsid w:val="003E6096"/>
    <w:rsid w:val="003F3941"/>
    <w:rsid w:val="004049E1"/>
    <w:rsid w:val="00406575"/>
    <w:rsid w:val="004071BE"/>
    <w:rsid w:val="00414C74"/>
    <w:rsid w:val="00415340"/>
    <w:rsid w:val="0041607C"/>
    <w:rsid w:val="0042722E"/>
    <w:rsid w:val="004344E2"/>
    <w:rsid w:val="0044528D"/>
    <w:rsid w:val="00462E7E"/>
    <w:rsid w:val="00477527"/>
    <w:rsid w:val="004A1847"/>
    <w:rsid w:val="004A305D"/>
    <w:rsid w:val="004B07B0"/>
    <w:rsid w:val="004B48A2"/>
    <w:rsid w:val="004C05AC"/>
    <w:rsid w:val="004C2ECE"/>
    <w:rsid w:val="004F21C4"/>
    <w:rsid w:val="004F3C39"/>
    <w:rsid w:val="004F685F"/>
    <w:rsid w:val="0051460D"/>
    <w:rsid w:val="0052301A"/>
    <w:rsid w:val="005566E8"/>
    <w:rsid w:val="00563CC6"/>
    <w:rsid w:val="00574867"/>
    <w:rsid w:val="00585953"/>
    <w:rsid w:val="00591460"/>
    <w:rsid w:val="005928BC"/>
    <w:rsid w:val="005A3B7F"/>
    <w:rsid w:val="005B3816"/>
    <w:rsid w:val="005C3777"/>
    <w:rsid w:val="005C5CDC"/>
    <w:rsid w:val="005D476C"/>
    <w:rsid w:val="005D4F74"/>
    <w:rsid w:val="005F1E69"/>
    <w:rsid w:val="006219F8"/>
    <w:rsid w:val="00634494"/>
    <w:rsid w:val="00645C6E"/>
    <w:rsid w:val="00654938"/>
    <w:rsid w:val="00665D70"/>
    <w:rsid w:val="00684E57"/>
    <w:rsid w:val="00685448"/>
    <w:rsid w:val="006856CA"/>
    <w:rsid w:val="006900D9"/>
    <w:rsid w:val="006959DE"/>
    <w:rsid w:val="006A14A3"/>
    <w:rsid w:val="006A1D7E"/>
    <w:rsid w:val="006A7540"/>
    <w:rsid w:val="006B3FAC"/>
    <w:rsid w:val="006C174B"/>
    <w:rsid w:val="006C3AB5"/>
    <w:rsid w:val="006C5478"/>
    <w:rsid w:val="006C69DD"/>
    <w:rsid w:val="0070121E"/>
    <w:rsid w:val="00706C16"/>
    <w:rsid w:val="00715CAB"/>
    <w:rsid w:val="00730742"/>
    <w:rsid w:val="00732E93"/>
    <w:rsid w:val="007348AD"/>
    <w:rsid w:val="00734CF3"/>
    <w:rsid w:val="00756841"/>
    <w:rsid w:val="00760F18"/>
    <w:rsid w:val="007649AB"/>
    <w:rsid w:val="00771D0C"/>
    <w:rsid w:val="007833AC"/>
    <w:rsid w:val="00793B9B"/>
    <w:rsid w:val="007B268C"/>
    <w:rsid w:val="007B7171"/>
    <w:rsid w:val="007C0C0F"/>
    <w:rsid w:val="007C3DC2"/>
    <w:rsid w:val="007C4680"/>
    <w:rsid w:val="007D45D2"/>
    <w:rsid w:val="007E5497"/>
    <w:rsid w:val="00805EAA"/>
    <w:rsid w:val="00806F5F"/>
    <w:rsid w:val="00820278"/>
    <w:rsid w:val="00867F95"/>
    <w:rsid w:val="0087210E"/>
    <w:rsid w:val="00872CC3"/>
    <w:rsid w:val="008843B6"/>
    <w:rsid w:val="00891928"/>
    <w:rsid w:val="008A2DCC"/>
    <w:rsid w:val="008A446D"/>
    <w:rsid w:val="008B1F02"/>
    <w:rsid w:val="008B5715"/>
    <w:rsid w:val="008B72FC"/>
    <w:rsid w:val="008D180B"/>
    <w:rsid w:val="008F097E"/>
    <w:rsid w:val="008F0EA7"/>
    <w:rsid w:val="00913375"/>
    <w:rsid w:val="00923EEF"/>
    <w:rsid w:val="009370D7"/>
    <w:rsid w:val="009419F9"/>
    <w:rsid w:val="00941EDF"/>
    <w:rsid w:val="00947636"/>
    <w:rsid w:val="0095685E"/>
    <w:rsid w:val="009574B0"/>
    <w:rsid w:val="00961B09"/>
    <w:rsid w:val="00965334"/>
    <w:rsid w:val="0097093E"/>
    <w:rsid w:val="00972BEB"/>
    <w:rsid w:val="00976AB5"/>
    <w:rsid w:val="00986AC5"/>
    <w:rsid w:val="009A0DFA"/>
    <w:rsid w:val="009B235D"/>
    <w:rsid w:val="009B2D26"/>
    <w:rsid w:val="009C46D7"/>
    <w:rsid w:val="009C71FA"/>
    <w:rsid w:val="009C72E7"/>
    <w:rsid w:val="009D3058"/>
    <w:rsid w:val="009F3A13"/>
    <w:rsid w:val="00A03EFB"/>
    <w:rsid w:val="00A05B96"/>
    <w:rsid w:val="00A05C55"/>
    <w:rsid w:val="00A122D3"/>
    <w:rsid w:val="00A1329A"/>
    <w:rsid w:val="00A17F13"/>
    <w:rsid w:val="00A20673"/>
    <w:rsid w:val="00A20739"/>
    <w:rsid w:val="00A316AF"/>
    <w:rsid w:val="00A33C78"/>
    <w:rsid w:val="00A35520"/>
    <w:rsid w:val="00A46720"/>
    <w:rsid w:val="00A571C7"/>
    <w:rsid w:val="00A83A84"/>
    <w:rsid w:val="00A865B1"/>
    <w:rsid w:val="00AB0ADB"/>
    <w:rsid w:val="00AB3F77"/>
    <w:rsid w:val="00AB4E71"/>
    <w:rsid w:val="00AB6E7B"/>
    <w:rsid w:val="00AD4423"/>
    <w:rsid w:val="00AD5F3C"/>
    <w:rsid w:val="00B01B1A"/>
    <w:rsid w:val="00B0759F"/>
    <w:rsid w:val="00B14DAC"/>
    <w:rsid w:val="00B23F5C"/>
    <w:rsid w:val="00B260D7"/>
    <w:rsid w:val="00B34844"/>
    <w:rsid w:val="00B40F74"/>
    <w:rsid w:val="00B64E55"/>
    <w:rsid w:val="00B66319"/>
    <w:rsid w:val="00B72CD3"/>
    <w:rsid w:val="00B72FFF"/>
    <w:rsid w:val="00B77505"/>
    <w:rsid w:val="00B8361D"/>
    <w:rsid w:val="00B95DA7"/>
    <w:rsid w:val="00BC3D36"/>
    <w:rsid w:val="00BD11E2"/>
    <w:rsid w:val="00BD7F72"/>
    <w:rsid w:val="00BE1715"/>
    <w:rsid w:val="00C04FB3"/>
    <w:rsid w:val="00C24BE5"/>
    <w:rsid w:val="00C3229F"/>
    <w:rsid w:val="00C330EB"/>
    <w:rsid w:val="00C41061"/>
    <w:rsid w:val="00C41070"/>
    <w:rsid w:val="00C6281E"/>
    <w:rsid w:val="00C754BE"/>
    <w:rsid w:val="00C76B1C"/>
    <w:rsid w:val="00CA5705"/>
    <w:rsid w:val="00CA7284"/>
    <w:rsid w:val="00CB6357"/>
    <w:rsid w:val="00CC1B26"/>
    <w:rsid w:val="00CC4593"/>
    <w:rsid w:val="00CC6D7F"/>
    <w:rsid w:val="00CE5FE5"/>
    <w:rsid w:val="00D10FC5"/>
    <w:rsid w:val="00D12198"/>
    <w:rsid w:val="00D2173D"/>
    <w:rsid w:val="00D4021D"/>
    <w:rsid w:val="00D4086A"/>
    <w:rsid w:val="00D41C37"/>
    <w:rsid w:val="00D423A2"/>
    <w:rsid w:val="00D42F07"/>
    <w:rsid w:val="00D500A0"/>
    <w:rsid w:val="00D520D8"/>
    <w:rsid w:val="00D63AC2"/>
    <w:rsid w:val="00D70F5A"/>
    <w:rsid w:val="00D7383B"/>
    <w:rsid w:val="00D74DD0"/>
    <w:rsid w:val="00DA231B"/>
    <w:rsid w:val="00DA3AFA"/>
    <w:rsid w:val="00DB7A4D"/>
    <w:rsid w:val="00DC39FC"/>
    <w:rsid w:val="00DC79F9"/>
    <w:rsid w:val="00DF5254"/>
    <w:rsid w:val="00E16408"/>
    <w:rsid w:val="00E20894"/>
    <w:rsid w:val="00E245AB"/>
    <w:rsid w:val="00E26986"/>
    <w:rsid w:val="00E2764C"/>
    <w:rsid w:val="00E27F2E"/>
    <w:rsid w:val="00E33F2D"/>
    <w:rsid w:val="00E347EE"/>
    <w:rsid w:val="00E40427"/>
    <w:rsid w:val="00E41C17"/>
    <w:rsid w:val="00E421B8"/>
    <w:rsid w:val="00E475E5"/>
    <w:rsid w:val="00E50AFE"/>
    <w:rsid w:val="00E55261"/>
    <w:rsid w:val="00E6132E"/>
    <w:rsid w:val="00E67203"/>
    <w:rsid w:val="00E702E1"/>
    <w:rsid w:val="00E708D8"/>
    <w:rsid w:val="00E75C92"/>
    <w:rsid w:val="00E771DC"/>
    <w:rsid w:val="00E86695"/>
    <w:rsid w:val="00E8772A"/>
    <w:rsid w:val="00E90F6B"/>
    <w:rsid w:val="00E915E7"/>
    <w:rsid w:val="00E92C27"/>
    <w:rsid w:val="00E97730"/>
    <w:rsid w:val="00EA0E3D"/>
    <w:rsid w:val="00EB44EB"/>
    <w:rsid w:val="00EB46DF"/>
    <w:rsid w:val="00EC38A7"/>
    <w:rsid w:val="00ED7384"/>
    <w:rsid w:val="00EE0741"/>
    <w:rsid w:val="00EE1AA8"/>
    <w:rsid w:val="00F017BA"/>
    <w:rsid w:val="00F1788F"/>
    <w:rsid w:val="00F31EDC"/>
    <w:rsid w:val="00F406F6"/>
    <w:rsid w:val="00F462B3"/>
    <w:rsid w:val="00F5058F"/>
    <w:rsid w:val="00F5664F"/>
    <w:rsid w:val="00F65B9C"/>
    <w:rsid w:val="00F66617"/>
    <w:rsid w:val="00F666C4"/>
    <w:rsid w:val="00F76AFC"/>
    <w:rsid w:val="00F817A5"/>
    <w:rsid w:val="00FA47C0"/>
    <w:rsid w:val="00FA7AEB"/>
    <w:rsid w:val="00FB5DD1"/>
    <w:rsid w:val="00FB69A1"/>
    <w:rsid w:val="00FC2B5D"/>
    <w:rsid w:val="00FE4854"/>
    <w:rsid w:val="00FF1449"/>
    <w:rsid w:val="00FF33BA"/>
    <w:rsid w:val="00FF6E62"/>
    <w:rsid w:val="00FF7E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5058F"/>
    <w:rPr>
      <w:rFonts w:ascii="Geomanist Light" w:hAnsi="Geomanist Light"/>
      <w:lang w:val="es-ES"/>
    </w:rPr>
  </w:style>
  <w:style w:type="table" w:customStyle="1" w:styleId="Tablaconcuadrcula11">
    <w:name w:val="Tabla con cuadrícula11"/>
    <w:basedOn w:val="Tablanormal"/>
    <w:next w:val="Tablaconcuadrcula"/>
    <w:uiPriority w:val="59"/>
    <w:qFormat/>
    <w:rsid w:val="00B9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70F5A"/>
    <w:rPr>
      <w:sz w:val="16"/>
      <w:szCs w:val="16"/>
    </w:rPr>
  </w:style>
  <w:style w:type="paragraph" w:styleId="Textocomentario">
    <w:name w:val="annotation text"/>
    <w:basedOn w:val="Normal"/>
    <w:link w:val="TextocomentarioCar"/>
    <w:uiPriority w:val="99"/>
    <w:unhideWhenUsed/>
    <w:rsid w:val="00D70F5A"/>
    <w:pPr>
      <w:spacing w:line="240" w:lineRule="auto"/>
    </w:pPr>
    <w:rPr>
      <w:sz w:val="20"/>
      <w:szCs w:val="20"/>
    </w:rPr>
  </w:style>
  <w:style w:type="character" w:customStyle="1" w:styleId="TextocomentarioCar">
    <w:name w:val="Texto comentario Car"/>
    <w:basedOn w:val="Fuentedeprrafopredeter"/>
    <w:link w:val="Textocomentario"/>
    <w:uiPriority w:val="99"/>
    <w:rsid w:val="00D70F5A"/>
    <w:rPr>
      <w:sz w:val="20"/>
      <w:szCs w:val="20"/>
    </w:rPr>
  </w:style>
  <w:style w:type="paragraph" w:styleId="Asuntodelcomentario">
    <w:name w:val="annotation subject"/>
    <w:basedOn w:val="Textocomentario"/>
    <w:next w:val="Textocomentario"/>
    <w:link w:val="AsuntodelcomentarioCar"/>
    <w:uiPriority w:val="99"/>
    <w:semiHidden/>
    <w:unhideWhenUsed/>
    <w:rsid w:val="00D70F5A"/>
    <w:rPr>
      <w:b/>
      <w:bCs/>
    </w:rPr>
  </w:style>
  <w:style w:type="character" w:customStyle="1" w:styleId="AsuntodelcomentarioCar">
    <w:name w:val="Asunto del comentario Car"/>
    <w:basedOn w:val="TextocomentarioCar"/>
    <w:link w:val="Asuntodelcomentario"/>
    <w:uiPriority w:val="99"/>
    <w:semiHidden/>
    <w:rsid w:val="00D70F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36423641">
      <w:bodyDiv w:val="1"/>
      <w:marLeft w:val="0"/>
      <w:marRight w:val="0"/>
      <w:marTop w:val="0"/>
      <w:marBottom w:val="0"/>
      <w:divBdr>
        <w:top w:val="none" w:sz="0" w:space="0" w:color="auto"/>
        <w:left w:val="none" w:sz="0" w:space="0" w:color="auto"/>
        <w:bottom w:val="none" w:sz="0" w:space="0" w:color="auto"/>
        <w:right w:val="none" w:sz="0" w:space="0" w:color="auto"/>
      </w:divBdr>
    </w:div>
    <w:div w:id="1662804469">
      <w:bodyDiv w:val="1"/>
      <w:marLeft w:val="0"/>
      <w:marRight w:val="0"/>
      <w:marTop w:val="0"/>
      <w:marBottom w:val="0"/>
      <w:divBdr>
        <w:top w:val="none" w:sz="0" w:space="0" w:color="auto"/>
        <w:left w:val="none" w:sz="0" w:space="0" w:color="auto"/>
        <w:bottom w:val="none" w:sz="0" w:space="0" w:color="auto"/>
        <w:right w:val="none" w:sz="0" w:space="0" w:color="auto"/>
      </w:divBdr>
      <w:divsChild>
        <w:div w:id="436368331">
          <w:marLeft w:val="0"/>
          <w:marRight w:val="0"/>
          <w:marTop w:val="0"/>
          <w:marBottom w:val="0"/>
          <w:divBdr>
            <w:top w:val="none" w:sz="0" w:space="0" w:color="auto"/>
            <w:left w:val="none" w:sz="0" w:space="0" w:color="auto"/>
            <w:bottom w:val="none" w:sz="0" w:space="0" w:color="auto"/>
            <w:right w:val="none" w:sz="0" w:space="0" w:color="auto"/>
          </w:divBdr>
        </w:div>
      </w:divsChild>
    </w:div>
    <w:div w:id="2021079130">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m02.safelinks.protection.outlook.com/?url=https%3A%2F%2Fwww.sucop.gov.co%2Fentidades%2Fcolombiacompra%2FNormativa%3FIDNorma%3D18320&amp;data=05%7C02%7Ckelmis.bruges%40colombiacompra.gov.co%7C096eca3fdcca424ff1c708dcf932f947%7C7b09041e245149d08cb179d5e3d8c1be%7C0%7C0%7C638659244557840711%7CUnknown%7CTWFpbGZsb3d8eyJWIjoiMC4wLjAwMDAiLCJQIjoiV2luMzIiLCJBTiI6Ik1haWwiLCJXVCI6Mn0%3D%7C0%7C%7C%7C&amp;sdata=i8t39ge82bAwFEJTEviOC8pYjtd6b7iRL2D4fPnyyIo%3D&amp;reserved=0" TargetMode="External"/><Relationship Id="rId7" Type="http://schemas.openxmlformats.org/officeDocument/2006/relationships/settings" Target="settings.xml"/><Relationship Id="rId12" Type="http://schemas.openxmlformats.org/officeDocument/2006/relationships/hyperlink" Target="mailto:Williamcriollo13@gmail.com" TargetMode="External"/><Relationship Id="rId17" Type="http://schemas.openxmlformats.org/officeDocument/2006/relationships/hyperlink" Target="https://www.colombiacompra.gov.co/sites/cce_public/files/cce_documentos/20170407_licitacion_publica_entidade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latoria.colombiacompra.gov.co/normativa/ley-1712-de-2014/" TargetMode="External"/><Relationship Id="rId20" Type="http://schemas.openxmlformats.org/officeDocument/2006/relationships/hyperlink" Target="https://nam02.safelinks.protection.outlook.com/?url=https%3A%2F%2Fwww.colombiacompra.gov.co%2Fcontent%2Fborrador-de-documentos-tipo-de-interventoria-de-obra-publica-de-infraestructura-de&amp;data=05%7C02%7Ckelmis.bruges%40colombiacompra.gov.co%7C096eca3fdcca424ff1c708dcf932f947%7C7b09041e245149d08cb179d5e3d8c1be%7C0%7C0%7C638659244557816541%7CUnknown%7CTWFpbGZsb3d8eyJWIjoiMC4wLjAwMDAiLCJQIjoiV2luMzIiLCJBTiI6Ik1haWwiLCJXVCI6Mn0%3D%7C0%7C%7C%7C&amp;sdata=PlHDSUVCDKvJbNofa1VPZlMCz%2BWPKRWPE%2FErtSAGQV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latoria.colombiacompra.gov.co/normativa/ley-1437-de-2011/"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content%2Fborrador-de-documentos-tipo-de-consultoria-de-obra-publica-de-infraestructura-de-transporte&amp;data=05%7C02%7Ckelmis.bruges%40colombiacompra.gov.co%7C096eca3fdcca424ff1c708dcf932f947%7C7b09041e245149d08cb179d5e3d8c1be%7C0%7C0%7C638659244557793956%7CUnknown%7CTWFpbGZsb3d8eyJWIjoiMC4wLjAwMDAiLCJQIjoiV2luMzIiLCJBTiI6Ik1haWwiLCJXVCI6Mn0%3D%7C0%7C%7C%7C&amp;sdata=NONvjuNsqFK1Enw6vT3xdBLX%2F0DYMXnDXH6TULKIsa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decreto-1082-de-2015/" TargetMode="External"/><Relationship Id="rId22" Type="http://schemas.openxmlformats.org/officeDocument/2006/relationships/hyperlink" Target="https://nam02.safelinks.protection.outlook.com/?url=https%3A%2F%2Fwww.colombiacompra.gov.co%2Fsala-de-prensa%2Fboletin-digital&amp;data=05%7C02%7Ckelmis.bruges%40colombiacompra.gov.co%7C096eca3fdcca424ff1c708dcf932f947%7C7b09041e245149d08cb179d5e3d8c1be%7C0%7C0%7C638659244557858594%7CUnknown%7CTWFpbGZsb3d8eyJWIjoiMC4wLjAwMDAiLCJQIjoiV2luMzIiLCJBTiI6Ik1haWwiLCJXVCI6Mn0%3D%7C0%7C%7C%7C&amp;sdata=SBnjbSygyhNOMiCgT2zhmixX0qrmj7nCaR4HIzQsWlo%3D&amp;reserved=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EAFFC747-B386-43BE-A2CD-794ECC5A1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AB879-376A-4D99-B007-73391D52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3944</Words>
  <Characters>21693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2024-12-18T20:27:00Z</dcterms:created>
  <dcterms:modified xsi:type="dcterms:W3CDTF">2024-12-18T20:27:00Z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