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59CC4" w14:textId="77777777" w:rsidR="001C3BF3" w:rsidRPr="002D4766" w:rsidRDefault="001C3BF3" w:rsidP="001C3BF3">
      <w:pPr>
        <w:spacing w:after="0" w:line="240" w:lineRule="auto"/>
        <w:jc w:val="both"/>
        <w:rPr>
          <w:rFonts w:ascii="Verdana" w:eastAsia="Calibri" w:hAnsi="Verdana" w:cs="Arial"/>
          <w:b/>
          <w:bCs/>
          <w:color w:val="000000"/>
          <w:kern w:val="2"/>
          <w:lang w:val="es-ES_tradnl"/>
          <w14:ligatures w14:val="standardContextual"/>
        </w:rPr>
      </w:pPr>
      <w:r w:rsidRPr="002D4766">
        <w:rPr>
          <w:rFonts w:ascii="Verdana" w:eastAsia="Calibri" w:hAnsi="Verdana" w:cs="Arial"/>
          <w:b/>
          <w:bCs/>
          <w:color w:val="000000"/>
          <w:kern w:val="2"/>
          <w:lang w:val="es-ES_tradnl"/>
          <w14:ligatures w14:val="standardContextual"/>
        </w:rPr>
        <w:t xml:space="preserve">INHABILIDADES E INCOMPATIBILIDADES </w:t>
      </w:r>
      <w:r w:rsidRPr="002D4766">
        <w:rPr>
          <w:rFonts w:ascii="Verdana" w:eastAsia="Calibri" w:hAnsi="Verdana" w:cs="Arial"/>
          <w:b/>
          <w:color w:val="000000"/>
          <w:kern w:val="2"/>
          <w14:ligatures w14:val="standardContextual"/>
        </w:rPr>
        <w:t>–</w:t>
      </w:r>
      <w:r w:rsidRPr="002D4766">
        <w:rPr>
          <w:rFonts w:ascii="Verdana" w:eastAsia="Calibri" w:hAnsi="Verdana" w:cs="Arial"/>
          <w:b/>
          <w:bCs/>
          <w:color w:val="000000"/>
          <w:kern w:val="2"/>
          <w:lang w:val="es-ES_tradnl"/>
          <w14:ligatures w14:val="standardContextual"/>
        </w:rPr>
        <w:t xml:space="preserve"> Concepto</w:t>
      </w:r>
    </w:p>
    <w:p w14:paraId="43EC0184" w14:textId="77777777" w:rsidR="001C3BF3" w:rsidRPr="002D4766" w:rsidRDefault="001C3BF3" w:rsidP="001C3BF3">
      <w:pPr>
        <w:spacing w:after="0" w:line="240" w:lineRule="auto"/>
        <w:jc w:val="both"/>
        <w:rPr>
          <w:rFonts w:ascii="Verdana" w:eastAsia="Calibri" w:hAnsi="Verdana" w:cs="Arial"/>
          <w:b/>
          <w:bCs/>
          <w:color w:val="000000"/>
          <w:kern w:val="2"/>
          <w:lang w:val="es-ES_tradnl"/>
          <w14:ligatures w14:val="standardContextual"/>
        </w:rPr>
      </w:pPr>
    </w:p>
    <w:p w14:paraId="5002F786" w14:textId="77777777" w:rsidR="001C3BF3" w:rsidRDefault="001C3BF3" w:rsidP="001C3BF3">
      <w:pPr>
        <w:spacing w:after="0" w:line="240" w:lineRule="auto"/>
        <w:jc w:val="both"/>
        <w:rPr>
          <w:rFonts w:ascii="Verdana" w:eastAsia="Calibri" w:hAnsi="Verdana" w:cs="Arial"/>
          <w:color w:val="000000"/>
          <w:kern w:val="2"/>
          <w:sz w:val="20"/>
          <w:szCs w:val="20"/>
          <w:lang w:val="es-ES_tradnl"/>
          <w14:ligatures w14:val="standardContextual"/>
        </w:rPr>
      </w:pPr>
      <w:r>
        <w:rPr>
          <w:rFonts w:ascii="Verdana" w:eastAsia="Calibri" w:hAnsi="Verdana" w:cs="Arial"/>
          <w:color w:val="000000"/>
          <w:kern w:val="2"/>
          <w:sz w:val="20"/>
          <w:szCs w:val="20"/>
          <w:lang w:val="es-ES_tradnl"/>
          <w14:ligatures w14:val="standardContextual"/>
        </w:rPr>
        <w:t xml:space="preserve">[…] </w:t>
      </w:r>
      <w:r w:rsidRPr="00693453">
        <w:rPr>
          <w:rFonts w:ascii="Verdana" w:eastAsia="Calibri" w:hAnsi="Verdana" w:cs="Arial"/>
          <w:color w:val="000000"/>
          <w:kern w:val="2"/>
          <w:sz w:val="20"/>
          <w:szCs w:val="20"/>
          <w:lang w:val="es-ES_tradnl"/>
          <w14:ligatures w14:val="standardContextual"/>
        </w:rPr>
        <w:t>se destaca el régimen de inhabilidades e incompatibilidades como un conjunto de enunciados normativos que imponen restricciones para los sujetos que, eventualmente, pretendan participar en los procedimientos de selección o celebrar contratos con las entidades estatales.</w:t>
      </w:r>
    </w:p>
    <w:p w14:paraId="1CDEAFF7" w14:textId="77777777" w:rsidR="001C3BF3" w:rsidRPr="00693453" w:rsidRDefault="001C3BF3" w:rsidP="001C3BF3">
      <w:pPr>
        <w:spacing w:after="0" w:line="240" w:lineRule="auto"/>
        <w:jc w:val="both"/>
        <w:rPr>
          <w:rFonts w:ascii="Verdana" w:eastAsia="Calibri" w:hAnsi="Verdana" w:cs="Arial"/>
          <w:color w:val="000000"/>
          <w:kern w:val="2"/>
          <w:sz w:val="20"/>
          <w:szCs w:val="20"/>
          <w:lang w:val="es-ES_tradnl"/>
          <w14:ligatures w14:val="standardContextual"/>
        </w:rPr>
      </w:pPr>
    </w:p>
    <w:p w14:paraId="261159DE" w14:textId="77777777" w:rsidR="001C3BF3" w:rsidRPr="002D4766" w:rsidRDefault="001C3BF3" w:rsidP="001C3BF3">
      <w:pPr>
        <w:spacing w:after="0" w:line="240" w:lineRule="auto"/>
        <w:jc w:val="both"/>
        <w:rPr>
          <w:rFonts w:ascii="Verdana" w:eastAsia="Calibri" w:hAnsi="Verdana" w:cs="Arial"/>
          <w:b/>
          <w:color w:val="000000"/>
          <w:kern w:val="2"/>
          <w:lang w:val="es-ES_tradnl"/>
          <w14:ligatures w14:val="standardContextual"/>
        </w:rPr>
      </w:pPr>
      <w:r w:rsidRPr="002D4766">
        <w:rPr>
          <w:rFonts w:ascii="Verdana" w:eastAsia="Calibri" w:hAnsi="Verdana" w:cs="Arial"/>
          <w:b/>
          <w:color w:val="000000"/>
          <w:kern w:val="2"/>
          <w:lang w:val="es-ES_tradnl"/>
          <w14:ligatures w14:val="standardContextual"/>
        </w:rPr>
        <w:t xml:space="preserve">INHABILIDADES E INCOMPATIBILIDADES – Régimen – </w:t>
      </w:r>
      <w:r>
        <w:rPr>
          <w:rFonts w:ascii="Verdana" w:eastAsia="Calibri" w:hAnsi="Verdana" w:cs="Arial"/>
          <w:b/>
          <w:color w:val="000000"/>
          <w:kern w:val="2"/>
          <w:lang w:val="es-ES_tradnl"/>
          <w14:ligatures w14:val="standardContextual"/>
        </w:rPr>
        <w:t>Interpretación restrictiva</w:t>
      </w:r>
    </w:p>
    <w:p w14:paraId="02B169E7" w14:textId="77777777" w:rsidR="001C3BF3" w:rsidRPr="002D4766" w:rsidRDefault="001C3BF3" w:rsidP="001C3BF3">
      <w:pPr>
        <w:spacing w:after="0" w:line="240" w:lineRule="auto"/>
        <w:jc w:val="both"/>
        <w:rPr>
          <w:rFonts w:ascii="Verdana" w:eastAsia="Calibri" w:hAnsi="Verdana" w:cs="Arial"/>
          <w:b/>
          <w:color w:val="000000"/>
          <w:kern w:val="2"/>
          <w:lang w:val="es-ES_tradnl"/>
          <w14:ligatures w14:val="standardContextual"/>
        </w:rPr>
      </w:pPr>
    </w:p>
    <w:p w14:paraId="6B3864A2" w14:textId="77777777" w:rsidR="001C3BF3" w:rsidRDefault="001C3BF3" w:rsidP="001C3BF3">
      <w:pPr>
        <w:spacing w:after="0" w:line="240" w:lineRule="auto"/>
        <w:jc w:val="both"/>
        <w:rPr>
          <w:rFonts w:ascii="Verdana" w:eastAsia="Calibri" w:hAnsi="Verdana" w:cs="Arial"/>
          <w:color w:val="000000"/>
          <w:kern w:val="2"/>
          <w:sz w:val="20"/>
          <w:szCs w:val="20"/>
          <w:lang w:val="es-ES_tradnl"/>
          <w14:ligatures w14:val="standardContextual"/>
        </w:rPr>
      </w:pPr>
      <w:r w:rsidRPr="00E65780">
        <w:rPr>
          <w:rFonts w:ascii="Verdana" w:eastAsia="Calibri" w:hAnsi="Verdana" w:cs="Arial"/>
          <w:color w:val="000000"/>
          <w:kern w:val="2"/>
          <w:sz w:val="20"/>
          <w:szCs w:val="20"/>
          <w:lang w:val="es-ES_tradnl"/>
          <w14:ligatures w14:val="standardContextual"/>
        </w:rPr>
        <w:t>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6D799103" w14:textId="77777777" w:rsidR="001C3BF3" w:rsidRDefault="001C3BF3" w:rsidP="001C3BF3">
      <w:pPr>
        <w:spacing w:after="0" w:line="240" w:lineRule="auto"/>
        <w:jc w:val="both"/>
        <w:rPr>
          <w:rFonts w:ascii="Verdana" w:eastAsia="Calibri" w:hAnsi="Verdana" w:cs="Arial"/>
          <w:color w:val="000000"/>
          <w:kern w:val="2"/>
          <w:sz w:val="20"/>
          <w:szCs w:val="20"/>
          <w:lang w:val="es-ES_tradnl"/>
          <w14:ligatures w14:val="standardContextual"/>
        </w:rPr>
      </w:pPr>
    </w:p>
    <w:p w14:paraId="6BBD2217" w14:textId="77777777" w:rsidR="001C3BF3" w:rsidRPr="005B3607" w:rsidRDefault="001C3BF3" w:rsidP="001C3BF3">
      <w:pPr>
        <w:spacing w:after="0" w:line="240" w:lineRule="auto"/>
        <w:jc w:val="both"/>
        <w:rPr>
          <w:rFonts w:ascii="Verdana" w:eastAsia="Calibri" w:hAnsi="Verdana" w:cs="Arial"/>
          <w:b/>
          <w:color w:val="000000"/>
          <w:kern w:val="2"/>
          <w:lang w:val="es-ES_tradnl"/>
          <w14:ligatures w14:val="standardContextual"/>
        </w:rPr>
      </w:pPr>
      <w:r w:rsidRPr="005B3607">
        <w:rPr>
          <w:rFonts w:ascii="Verdana" w:eastAsia="Calibri" w:hAnsi="Verdana" w:cs="Arial"/>
          <w:b/>
          <w:color w:val="000000"/>
          <w:kern w:val="2"/>
          <w:lang w:val="es-ES_tradnl"/>
          <w14:ligatures w14:val="standardContextual"/>
        </w:rPr>
        <w:t>CONTRATO DE PRESTACIÓN DE SERVICIOS PROFESIONALES – Concepto – Requisitos y límites para su celebración</w:t>
      </w:r>
    </w:p>
    <w:p w14:paraId="51D1ABE3" w14:textId="77777777" w:rsidR="001C3BF3" w:rsidRPr="005B3607" w:rsidRDefault="001C3BF3" w:rsidP="001C3BF3">
      <w:pPr>
        <w:spacing w:after="0" w:line="240" w:lineRule="auto"/>
        <w:jc w:val="both"/>
        <w:rPr>
          <w:rFonts w:ascii="Verdana" w:eastAsia="Calibri" w:hAnsi="Verdana" w:cs="Arial"/>
          <w:b/>
          <w:color w:val="000000"/>
          <w:kern w:val="2"/>
          <w:lang w:val="es-ES_tradnl"/>
          <w14:ligatures w14:val="standardContextual"/>
        </w:rPr>
      </w:pPr>
    </w:p>
    <w:p w14:paraId="73BC1414" w14:textId="77777777" w:rsidR="001C3BF3" w:rsidRDefault="001C3BF3" w:rsidP="001C3BF3">
      <w:pPr>
        <w:spacing w:after="0" w:line="240" w:lineRule="auto"/>
        <w:jc w:val="both"/>
        <w:rPr>
          <w:rFonts w:ascii="Verdana" w:eastAsia="Calibri" w:hAnsi="Verdana" w:cs="Arial"/>
          <w:color w:val="000000"/>
          <w:kern w:val="2"/>
          <w:sz w:val="20"/>
          <w:szCs w:val="20"/>
          <w:lang w:val="es-ES_tradnl"/>
          <w14:ligatures w14:val="standardContextual"/>
        </w:rPr>
      </w:pPr>
      <w:r w:rsidRPr="005B3607">
        <w:rPr>
          <w:rFonts w:ascii="Verdana" w:eastAsia="Calibri" w:hAnsi="Verdana" w:cs="Arial"/>
          <w:color w:val="000000"/>
          <w:kern w:val="2"/>
          <w:sz w:val="20"/>
          <w:szCs w:val="20"/>
          <w:lang w:val="es-ES_tradnl"/>
          <w14:ligatures w14:val="standardContextual"/>
        </w:rPr>
        <w:t xml:space="preserve">El contrato de prestación de servicios profesionales es uno de los tipos contractuales consagrados en el Estatuto General de Contratación de la Administración Pública, que pueden celebrar las entidades estatales. </w:t>
      </w:r>
    </w:p>
    <w:p w14:paraId="115B43B2" w14:textId="77777777" w:rsidR="001C3BF3" w:rsidRPr="005B3607" w:rsidRDefault="001C3BF3" w:rsidP="001C3BF3">
      <w:pPr>
        <w:spacing w:after="0" w:line="240" w:lineRule="auto"/>
        <w:jc w:val="both"/>
        <w:rPr>
          <w:rFonts w:ascii="Verdana" w:eastAsia="Calibri" w:hAnsi="Verdana" w:cs="Arial"/>
          <w:color w:val="000000"/>
          <w:kern w:val="2"/>
          <w:sz w:val="20"/>
          <w:szCs w:val="20"/>
          <w:lang w:val="es-ES_tradnl"/>
          <w14:ligatures w14:val="standardContextual"/>
        </w:rPr>
      </w:pPr>
    </w:p>
    <w:p w14:paraId="7540C406" w14:textId="77777777" w:rsidR="001C3BF3" w:rsidRDefault="001C3BF3" w:rsidP="001C3BF3">
      <w:pPr>
        <w:spacing w:after="0" w:line="240" w:lineRule="auto"/>
        <w:jc w:val="both"/>
        <w:rPr>
          <w:rFonts w:ascii="Verdana" w:eastAsia="Calibri" w:hAnsi="Verdana" w:cs="Arial"/>
          <w:color w:val="000000"/>
          <w:kern w:val="2"/>
          <w:sz w:val="20"/>
          <w:szCs w:val="20"/>
          <w:lang w:val="es-ES_tradnl"/>
          <w14:ligatures w14:val="standardContextual"/>
        </w:rPr>
      </w:pPr>
      <w:r w:rsidRPr="005B3607">
        <w:rPr>
          <w:rFonts w:ascii="Verdana" w:eastAsia="Calibri" w:hAnsi="Verdana" w:cs="Arial"/>
          <w:color w:val="000000"/>
          <w:kern w:val="2"/>
          <w:sz w:val="20"/>
          <w:szCs w:val="20"/>
          <w:lang w:val="es-ES_tradnl"/>
          <w14:ligatures w14:val="standardContextual"/>
        </w:rPr>
        <w:t>[…]</w:t>
      </w:r>
    </w:p>
    <w:p w14:paraId="50AD1B81" w14:textId="77777777" w:rsidR="001C3BF3" w:rsidRPr="005B3607" w:rsidRDefault="001C3BF3" w:rsidP="001C3BF3">
      <w:pPr>
        <w:spacing w:after="0" w:line="240" w:lineRule="auto"/>
        <w:jc w:val="both"/>
        <w:rPr>
          <w:rFonts w:ascii="Verdana" w:eastAsia="Calibri" w:hAnsi="Verdana" w:cs="Arial"/>
          <w:color w:val="000000"/>
          <w:kern w:val="2"/>
          <w:sz w:val="20"/>
          <w:szCs w:val="20"/>
          <w:lang w:val="es-ES_tradnl"/>
          <w14:ligatures w14:val="standardContextual"/>
        </w:rPr>
      </w:pPr>
    </w:p>
    <w:p w14:paraId="1C05117C" w14:textId="77777777" w:rsidR="001C3BF3" w:rsidRPr="005B3607" w:rsidRDefault="001C3BF3" w:rsidP="001C3BF3">
      <w:pPr>
        <w:spacing w:after="0" w:line="240" w:lineRule="auto"/>
        <w:jc w:val="both"/>
        <w:rPr>
          <w:rFonts w:ascii="Verdana" w:eastAsia="Calibri" w:hAnsi="Verdana" w:cs="Arial"/>
          <w:color w:val="000000"/>
          <w:kern w:val="2"/>
          <w:sz w:val="20"/>
          <w:szCs w:val="20"/>
          <w:lang w:val="es-ES"/>
          <w14:ligatures w14:val="standardContextual"/>
        </w:rPr>
      </w:pPr>
      <w:r w:rsidRPr="44225596">
        <w:rPr>
          <w:rFonts w:ascii="Verdana" w:eastAsia="Calibri" w:hAnsi="Verdana" w:cs="Arial"/>
          <w:color w:val="000000"/>
          <w:kern w:val="2"/>
          <w:sz w:val="20"/>
          <w:szCs w:val="20"/>
          <w:lang w:val="es-ES"/>
          <w14:ligatures w14:val="standardContextual"/>
        </w:rPr>
        <w:t xml:space="preserve">En tal sentido, se trata de un contrato típico, ya que se encuentra definido en la ley. Sus principales características son: i) Solo puede celebrarse para realizar “actividades relacionadas con la administración o funcionamiento de la entidad”, es decir, que hagan parte de su giro ordinario o quehacer cotidiano; ii)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iii) si bien se celebra para obtener la prestación personal de un servicio, se diferencian del contrato de trabajo  en que quien celebra el contrato de prestación de servicios profesionales debe mantener autonomía e independencia en la ejecución de la labor, lo que significa que no puede existir la subordinación y dependencia que es uno de los elementos constitutivos del vínculo laboral; iv) debe ser temporal; v) hacen parte del género denominado contratos de prestación de servicios, dentro del cual también se ubican, como especies, los contratos de prestación de servicios de apoyo a la gestión y los contratos de prestación de servicios artísticos; vi) su celebración debe realizarse a través de la modalidad de contratación directa; vii) para su celebración no se requiere la expedición del acto </w:t>
      </w:r>
      <w:r w:rsidRPr="44225596">
        <w:rPr>
          <w:rFonts w:ascii="Verdana" w:eastAsia="Calibri" w:hAnsi="Verdana" w:cs="Arial"/>
          <w:color w:val="000000"/>
          <w:kern w:val="2"/>
          <w:sz w:val="20"/>
          <w:szCs w:val="20"/>
          <w:lang w:val="es-ES"/>
          <w14:ligatures w14:val="standardContextual"/>
        </w:rPr>
        <w:lastRenderedPageBreak/>
        <w:t>administrativo de justificación de la contratación directa; viii) admite el pacto de cláusulas excepcionales; ix) en él no es obligatoria la liquidación; x) para su celebración no se requiere inscripción en el Registro Único de Proponentes (RUP); xi) en él no son necesarias las garantías.</w:t>
      </w:r>
    </w:p>
    <w:p w14:paraId="097C91ED" w14:textId="77777777" w:rsidR="001C3BF3" w:rsidRPr="005B3607" w:rsidRDefault="001C3BF3" w:rsidP="001C3BF3">
      <w:pPr>
        <w:spacing w:after="0" w:line="240" w:lineRule="auto"/>
        <w:rPr>
          <w:rFonts w:ascii="Verdana" w:hAnsi="Verdana" w:cs="Arial"/>
          <w:b/>
          <w:bCs/>
          <w:sz w:val="20"/>
          <w:szCs w:val="20"/>
          <w:lang w:val="es-ES" w:eastAsia="es-ES"/>
        </w:rPr>
      </w:pPr>
    </w:p>
    <w:p w14:paraId="0AF6D657" w14:textId="77777777" w:rsidR="001C3BF3" w:rsidRPr="005B3607" w:rsidRDefault="001C3BF3" w:rsidP="001C3BF3">
      <w:pPr>
        <w:spacing w:after="0" w:line="240" w:lineRule="auto"/>
        <w:jc w:val="both"/>
        <w:rPr>
          <w:rFonts w:ascii="Verdana" w:eastAsia="Calibri" w:hAnsi="Verdana" w:cs="Arial"/>
          <w:b/>
          <w:color w:val="000000"/>
          <w:kern w:val="2"/>
          <w:lang w:val="es-ES_tradnl"/>
          <w14:ligatures w14:val="standardContextual"/>
        </w:rPr>
      </w:pPr>
      <w:r w:rsidRPr="005B3607">
        <w:rPr>
          <w:rFonts w:ascii="Verdana" w:eastAsia="Calibri" w:hAnsi="Verdana" w:cs="Arial"/>
          <w:b/>
          <w:color w:val="000000"/>
          <w:kern w:val="2"/>
          <w:lang w:val="es-ES_tradnl"/>
          <w14:ligatures w14:val="standardContextual"/>
        </w:rPr>
        <w:t>CONTRATO DE PRESTACION DE SERVICIOS – Celebración – Simultaneidad – Posibilidad – Ausencia – Inhabilidad e incompatibilidad</w:t>
      </w:r>
    </w:p>
    <w:p w14:paraId="3A8985A6" w14:textId="77777777" w:rsidR="001C3BF3" w:rsidRDefault="001C3BF3" w:rsidP="001C3BF3">
      <w:pPr>
        <w:spacing w:after="0" w:line="240" w:lineRule="auto"/>
        <w:rPr>
          <w:rFonts w:ascii="Verdana" w:eastAsia="Times New Roman" w:hAnsi="Verdana" w:cs="Arial"/>
          <w:lang w:eastAsia="es-ES_tradnl"/>
        </w:rPr>
      </w:pPr>
    </w:p>
    <w:p w14:paraId="48D8F411" w14:textId="77777777" w:rsidR="001C3BF3" w:rsidRDefault="001C3BF3" w:rsidP="001C3BF3">
      <w:pPr>
        <w:spacing w:after="0" w:line="240" w:lineRule="auto"/>
        <w:jc w:val="both"/>
        <w:rPr>
          <w:rFonts w:ascii="Verdana" w:hAnsi="Verdana" w:cs="Arial"/>
          <w:color w:val="000000" w:themeColor="text1"/>
          <w:sz w:val="20"/>
          <w:szCs w:val="20"/>
          <w:lang w:val="es-ES_tradnl"/>
        </w:rPr>
      </w:pPr>
      <w:r w:rsidRPr="005B3607">
        <w:rPr>
          <w:rFonts w:ascii="Verdana" w:hAnsi="Verdana" w:cs="Arial"/>
          <w:color w:val="000000" w:themeColor="text1"/>
          <w:sz w:val="20"/>
          <w:szCs w:val="20"/>
          <w:lang w:val="es-ES"/>
        </w:rPr>
        <w:t xml:space="preserve">Teniendo en cuenta las anteriores características del contrato de prestación de servicios profesionales, y analizado el régimen de inhabilidades e incompatibilidades previsto para la contratación estatal, </w:t>
      </w:r>
      <w:r w:rsidRPr="005B3607">
        <w:rPr>
          <w:rFonts w:ascii="Verdana" w:hAnsi="Verdana" w:cs="Arial"/>
          <w:color w:val="000000" w:themeColor="text1"/>
          <w:sz w:val="20"/>
          <w:szCs w:val="20"/>
          <w:lang w:val="es-ES_tradnl"/>
        </w:rPr>
        <w:t xml:space="preserve">se concluye que no existe una inhabilidad, incompatibilidad o prohibición de otra naturaleza para que </w:t>
      </w:r>
      <w:r w:rsidRPr="005B3607">
        <w:rPr>
          <w:rFonts w:ascii="Verdana" w:eastAsia="Arial MT" w:hAnsi="Verdana" w:cs="Arial"/>
          <w:sz w:val="20"/>
          <w:szCs w:val="20"/>
          <w:lang w:eastAsia="es-ES" w:bidi="es-ES"/>
        </w:rPr>
        <w:t>contratista de una entidad territorial celebre un contrato de prestación de servicios con otra entidad estatal con la cual existe un convenio entre las entidades contratantes, (que podría corresponder a los que se denominan interadministrativos de asociación entre entidades públicas regulados por el artículo 95 de la Ley 489 de 1998), del cual se desprenden las actividades del contratante, no se subsume en ninguno de los supuestos de hecho, ni se advierte que la hipótesis materia de consulta configure alguna de las causales previstas establecidos en el artículo 8 de la Ley 80 de 1993</w:t>
      </w:r>
      <w:r w:rsidRPr="005B3607">
        <w:rPr>
          <w:rFonts w:ascii="Verdana" w:hAnsi="Verdana" w:cs="Arial"/>
          <w:color w:val="000000" w:themeColor="text1"/>
          <w:sz w:val="20"/>
          <w:szCs w:val="20"/>
          <w:lang w:val="es-ES_tradnl"/>
        </w:rPr>
        <w:t>, así dichos contratos coexistan en el tiempo.</w:t>
      </w:r>
    </w:p>
    <w:p w14:paraId="461803F2" w14:textId="77777777" w:rsidR="001C3BF3" w:rsidRPr="005B3607" w:rsidRDefault="001C3BF3" w:rsidP="001C3BF3">
      <w:pPr>
        <w:spacing w:after="0" w:line="240" w:lineRule="auto"/>
        <w:jc w:val="both"/>
        <w:rPr>
          <w:rFonts w:ascii="Verdana" w:hAnsi="Verdana" w:cs="Arial"/>
          <w:color w:val="000000" w:themeColor="text1"/>
          <w:sz w:val="20"/>
          <w:szCs w:val="20"/>
          <w:lang w:val="es-ES_tradnl"/>
        </w:rPr>
      </w:pPr>
    </w:p>
    <w:p w14:paraId="225C379A" w14:textId="77777777" w:rsidR="001C3BF3" w:rsidRPr="005B3607" w:rsidRDefault="001C3BF3" w:rsidP="001C3BF3">
      <w:pPr>
        <w:spacing w:after="0" w:line="240" w:lineRule="auto"/>
        <w:jc w:val="both"/>
        <w:rPr>
          <w:rFonts w:ascii="Verdana" w:hAnsi="Verdana" w:cs="Arial"/>
          <w:color w:val="000000" w:themeColor="text1"/>
          <w:sz w:val="20"/>
          <w:szCs w:val="20"/>
          <w:lang w:val="es-ES_tradnl"/>
        </w:rPr>
      </w:pPr>
      <w:r>
        <w:rPr>
          <w:rFonts w:ascii="Verdana" w:eastAsia="Calibri" w:hAnsi="Verdana" w:cs="Arial"/>
          <w:b/>
          <w:color w:val="000000"/>
          <w:kern w:val="2"/>
          <w:lang w:val="es-ES_tradnl"/>
          <w14:ligatures w14:val="standardContextual"/>
        </w:rPr>
        <w:t>CONCLICTO DE INTERES – Verificación de inexistencia de interés antagónicos</w:t>
      </w:r>
    </w:p>
    <w:p w14:paraId="46CDDCDF" w14:textId="77777777" w:rsidR="001C3BF3" w:rsidRPr="005B3607" w:rsidRDefault="001C3BF3" w:rsidP="001C3BF3">
      <w:pPr>
        <w:spacing w:after="0" w:line="240" w:lineRule="auto"/>
        <w:jc w:val="both"/>
        <w:rPr>
          <w:rFonts w:ascii="Verdana" w:hAnsi="Verdana" w:cs="Arial"/>
          <w:color w:val="000000" w:themeColor="text1"/>
          <w:sz w:val="20"/>
          <w:szCs w:val="20"/>
          <w:lang w:val="es-ES"/>
        </w:rPr>
      </w:pPr>
    </w:p>
    <w:p w14:paraId="629F2D41" w14:textId="77777777" w:rsidR="001C3BF3" w:rsidRPr="005B3607" w:rsidRDefault="001C3BF3" w:rsidP="001C3BF3">
      <w:pPr>
        <w:spacing w:after="0" w:line="240" w:lineRule="auto"/>
        <w:jc w:val="both"/>
        <w:rPr>
          <w:rFonts w:ascii="Verdana" w:hAnsi="Verdana" w:cs="Arial"/>
          <w:color w:val="000000" w:themeColor="text1"/>
          <w:sz w:val="20"/>
          <w:szCs w:val="20"/>
          <w:lang w:val="es-ES"/>
        </w:rPr>
      </w:pPr>
      <w:r w:rsidRPr="005B3607">
        <w:rPr>
          <w:rFonts w:ascii="Verdana" w:hAnsi="Verdana" w:cs="Arial"/>
          <w:color w:val="000000" w:themeColor="text1"/>
          <w:sz w:val="20"/>
          <w:szCs w:val="20"/>
          <w:lang w:val="es-ES"/>
        </w:rPr>
        <w:t>Por último, la entidad contratante tiene el deber de identificar cualquier conducta que pueda llegar a tener la connotación de un conflicto de interés, producto de la concurrencia de intereses antagónicos en el contratista que ejerce funciones públicas en una y otra entidad y que afecten la transparencia de las decisiones que le competen o lo lleven a adoptar determinaciones de aprovechamiento personal, familiar o particular, en detrimento del interés público. Tales situaciones de conflicto de intereses suelen expresarse en prohibiciones, similar a lo que ocurre con las inhabilidades e incompatibilidades, por lo que su consagración (para los procesos competitivos tal consagración se materializa en el pliego de condiciones y para el caso que nos compete, en virtud de que se trata de un contrato de prestación de servicios, como aquel se adelanta por modalidad de contratación directa, su consagración debe efectuarse en la minuta del contrato) también debe ser expresa y su interpretación restrictiva, de manera que su deducción y aplicación siempre debe estar ajustada a los presupuestos que para cada causal haya señalado el constituyente o el legislador (en el caso de las inhabilidades e incompatibilidades) y la entidad contratante (en el caso de los conflictos de intereses), dado que no es posible su aplicación extensiva o analógica.</w:t>
      </w:r>
    </w:p>
    <w:p w14:paraId="0F97F314" w14:textId="77777777" w:rsidR="001C3BF3" w:rsidRDefault="001C3BF3" w:rsidP="001C3BF3">
      <w:pPr>
        <w:spacing w:after="0" w:line="240" w:lineRule="auto"/>
        <w:rPr>
          <w:rFonts w:ascii="Verdana" w:eastAsia="Times New Roman" w:hAnsi="Verdana" w:cs="Arial"/>
          <w:lang w:eastAsia="es-ES_tradnl"/>
        </w:rPr>
      </w:pPr>
    </w:p>
    <w:p w14:paraId="5354FF49" w14:textId="77777777" w:rsidR="001C3BF3" w:rsidRDefault="001C3BF3" w:rsidP="001C3BF3">
      <w:pPr>
        <w:spacing w:after="0" w:line="240" w:lineRule="auto"/>
        <w:rPr>
          <w:rFonts w:ascii="Verdana" w:eastAsia="Times New Roman" w:hAnsi="Verdana" w:cs="Arial"/>
          <w:lang w:eastAsia="es-ES_tradnl"/>
        </w:rPr>
      </w:pPr>
    </w:p>
    <w:p w14:paraId="7ED2761F" w14:textId="77777777" w:rsidR="001C3BF3" w:rsidRDefault="001C3BF3" w:rsidP="001C3BF3">
      <w:pPr>
        <w:spacing w:after="0" w:line="240" w:lineRule="auto"/>
        <w:rPr>
          <w:rFonts w:ascii="Verdana" w:eastAsia="Times New Roman" w:hAnsi="Verdana" w:cs="Arial"/>
          <w:lang w:eastAsia="es-ES_tradnl"/>
        </w:rPr>
      </w:pPr>
    </w:p>
    <w:p w14:paraId="6B0A84F6" w14:textId="77777777" w:rsidR="001C3BF3" w:rsidRDefault="001C3BF3" w:rsidP="001C3BF3">
      <w:pPr>
        <w:spacing w:after="0" w:line="240" w:lineRule="auto"/>
        <w:rPr>
          <w:rFonts w:ascii="Verdana" w:eastAsia="Times New Roman" w:hAnsi="Verdana" w:cs="Arial"/>
          <w:lang w:eastAsia="es-ES_tradnl"/>
        </w:rPr>
      </w:pPr>
    </w:p>
    <w:p w14:paraId="0D9BBB65" w14:textId="77777777" w:rsidR="001C3BF3" w:rsidRDefault="001C3BF3" w:rsidP="001C3BF3">
      <w:pPr>
        <w:spacing w:after="0" w:line="240" w:lineRule="auto"/>
        <w:rPr>
          <w:rFonts w:ascii="Verdana" w:eastAsia="Times New Roman" w:hAnsi="Verdana" w:cs="Arial"/>
          <w:lang w:eastAsia="es-ES_tradnl"/>
        </w:rPr>
      </w:pPr>
    </w:p>
    <w:p w14:paraId="2A70C611" w14:textId="77777777" w:rsidR="001C3BF3" w:rsidRDefault="001C3BF3" w:rsidP="001C3BF3">
      <w:pPr>
        <w:spacing w:after="0" w:line="240" w:lineRule="auto"/>
        <w:rPr>
          <w:rFonts w:ascii="Verdana" w:eastAsia="Times New Roman" w:hAnsi="Verdana" w:cs="Arial"/>
          <w:lang w:eastAsia="es-ES_tradnl"/>
        </w:rPr>
      </w:pPr>
    </w:p>
    <w:p w14:paraId="436B52BE" w14:textId="77777777" w:rsidR="001C3BF3" w:rsidRDefault="001C3BF3" w:rsidP="001C3BF3">
      <w:pPr>
        <w:spacing w:after="0" w:line="240" w:lineRule="auto"/>
        <w:rPr>
          <w:rFonts w:ascii="Verdana" w:eastAsia="Times New Roman" w:hAnsi="Verdana" w:cs="Arial"/>
          <w:lang w:eastAsia="es-ES_tradnl"/>
        </w:rPr>
      </w:pPr>
    </w:p>
    <w:p w14:paraId="07521154" w14:textId="77777777" w:rsidR="001C3BF3" w:rsidRDefault="001C3BF3" w:rsidP="001C3BF3">
      <w:pPr>
        <w:spacing w:after="0" w:line="240" w:lineRule="auto"/>
        <w:rPr>
          <w:rFonts w:ascii="Verdana" w:eastAsia="Times New Roman" w:hAnsi="Verdana" w:cs="Arial"/>
          <w:lang w:eastAsia="es-ES_tradnl"/>
        </w:rPr>
      </w:pPr>
    </w:p>
    <w:p w14:paraId="726F6FDF" w14:textId="0843F7C9" w:rsidR="001C3BF3" w:rsidRPr="005B7C42" w:rsidRDefault="00706675" w:rsidP="001C3BF3">
      <w:pPr>
        <w:spacing w:after="0" w:line="240" w:lineRule="auto"/>
        <w:rPr>
          <w:rFonts w:ascii="Verdana" w:eastAsia="Times New Roman" w:hAnsi="Verdana" w:cs="Arial"/>
          <w:lang w:eastAsia="es-ES_tradnl"/>
        </w:rPr>
      </w:pPr>
      <w:r>
        <w:rPr>
          <w:noProof/>
          <w14:ligatures w14:val="standardContextual"/>
        </w:rPr>
        <w:lastRenderedPageBreak/>
        <w:drawing>
          <wp:anchor distT="0" distB="0" distL="114300" distR="114300" simplePos="0" relativeHeight="251658240" behindDoc="0" locked="0" layoutInCell="1" allowOverlap="1" wp14:anchorId="50DB98DB" wp14:editId="206AC748">
            <wp:simplePos x="0" y="0"/>
            <wp:positionH relativeFrom="column">
              <wp:posOffset>2736215</wp:posOffset>
            </wp:positionH>
            <wp:positionV relativeFrom="paragraph">
              <wp:posOffset>27305</wp:posOffset>
            </wp:positionV>
            <wp:extent cx="2899170" cy="840793"/>
            <wp:effectExtent l="0" t="0" r="0" b="0"/>
            <wp:wrapNone/>
            <wp:docPr id="1956476724" name="Imagen 1"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476724" name="Imagen 1" descr="Interfaz de usuario gráfica, Texto, Aplicación&#10;&#10;Descripción generada automáticamente"/>
                    <pic:cNvPicPr/>
                  </pic:nvPicPr>
                  <pic:blipFill rotWithShape="1">
                    <a:blip r:embed="rId10" cstate="print">
                      <a:extLst>
                        <a:ext uri="{28A0092B-C50C-407E-A947-70E740481C1C}">
                          <a14:useLocalDpi xmlns:a14="http://schemas.microsoft.com/office/drawing/2010/main" val="0"/>
                        </a:ext>
                      </a:extLst>
                    </a:blip>
                    <a:srcRect l="10299" t="38784" r="53727" b="25956"/>
                    <a:stretch/>
                  </pic:blipFill>
                  <pic:spPr bwMode="auto">
                    <a:xfrm>
                      <a:off x="0" y="0"/>
                      <a:ext cx="2899170" cy="8407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C3BF3" w:rsidRPr="005B7C42">
        <w:rPr>
          <w:rFonts w:ascii="Verdana" w:eastAsia="Times New Roman" w:hAnsi="Verdana" w:cs="Arial"/>
          <w:lang w:eastAsia="es-ES_tradnl"/>
        </w:rPr>
        <w:t>Bogotá D.C., </w:t>
      </w:r>
      <w:r>
        <w:rPr>
          <w:rFonts w:ascii="Verdana" w:eastAsia="Times New Roman" w:hAnsi="Verdana" w:cs="Arial"/>
          <w:lang w:eastAsia="es-ES_tradnl"/>
        </w:rPr>
        <w:t>13 de Diciembre de 2024</w:t>
      </w:r>
      <w:r w:rsidR="001C3BF3" w:rsidRPr="005B7C42">
        <w:rPr>
          <w:rFonts w:ascii="Verdana" w:eastAsia="Times New Roman" w:hAnsi="Verdana" w:cs="Arial"/>
          <w:lang w:eastAsia="es-ES_tradnl"/>
        </w:rPr>
        <w:t> </w:t>
      </w:r>
    </w:p>
    <w:p w14:paraId="3823AC3B" w14:textId="151957A4" w:rsidR="001C3BF3" w:rsidRPr="005B7C42" w:rsidRDefault="001C3BF3" w:rsidP="001C3BF3">
      <w:pPr>
        <w:spacing w:after="0" w:line="240" w:lineRule="auto"/>
        <w:rPr>
          <w:rFonts w:ascii="Verdana" w:eastAsia="Times New Roman" w:hAnsi="Verdana" w:cs="Arial"/>
          <w:lang w:eastAsia="es-ES_tradnl"/>
        </w:rPr>
      </w:pPr>
    </w:p>
    <w:p w14:paraId="4B9334C4" w14:textId="75746929" w:rsidR="001C3BF3" w:rsidRPr="005B7C42" w:rsidRDefault="001C3BF3" w:rsidP="001C3BF3">
      <w:pPr>
        <w:spacing w:after="0" w:line="240" w:lineRule="auto"/>
        <w:jc w:val="right"/>
        <w:rPr>
          <w:rFonts w:ascii="Verdana" w:eastAsia="Times New Roman" w:hAnsi="Verdana" w:cs="Arial"/>
          <w:lang w:eastAsia="es-ES_tradnl"/>
        </w:rPr>
      </w:pPr>
    </w:p>
    <w:p w14:paraId="0D8B23E8" w14:textId="77777777" w:rsidR="001C3BF3" w:rsidRDefault="001C3BF3" w:rsidP="001C3BF3">
      <w:pPr>
        <w:spacing w:after="0" w:line="240" w:lineRule="auto"/>
        <w:jc w:val="both"/>
        <w:rPr>
          <w:rFonts w:ascii="Verdana" w:eastAsia="Calibri" w:hAnsi="Verdana" w:cs="Arial"/>
          <w:lang w:eastAsia="es-ES_tradnl"/>
        </w:rPr>
      </w:pPr>
      <w:r w:rsidRPr="005B7C42">
        <w:rPr>
          <w:rFonts w:ascii="Verdana" w:eastAsia="Calibri" w:hAnsi="Verdana" w:cs="Arial"/>
          <w:lang w:eastAsia="es-ES_tradnl"/>
        </w:rPr>
        <w:t>Señor</w:t>
      </w:r>
      <w:r>
        <w:rPr>
          <w:rFonts w:ascii="Verdana" w:eastAsia="Calibri" w:hAnsi="Verdana" w:cs="Arial"/>
          <w:lang w:eastAsia="es-ES_tradnl"/>
        </w:rPr>
        <w:t>a</w:t>
      </w:r>
    </w:p>
    <w:p w14:paraId="2DED223F" w14:textId="77777777" w:rsidR="001C3BF3" w:rsidRDefault="001C3BF3" w:rsidP="001C3BF3">
      <w:pPr>
        <w:spacing w:after="0" w:line="240" w:lineRule="auto"/>
        <w:jc w:val="both"/>
        <w:rPr>
          <w:rFonts w:ascii="Verdana" w:eastAsia="Calibri" w:hAnsi="Verdana" w:cs="Arial"/>
          <w:b/>
          <w:bCs/>
          <w:lang w:eastAsia="es-ES_tradnl"/>
        </w:rPr>
      </w:pPr>
      <w:r w:rsidRPr="00D35626">
        <w:rPr>
          <w:rFonts w:ascii="Verdana" w:eastAsia="Calibri" w:hAnsi="Verdana" w:cs="Arial"/>
          <w:b/>
          <w:bCs/>
          <w:lang w:eastAsia="es-ES_tradnl"/>
        </w:rPr>
        <w:t>Julieth Xilena</w:t>
      </w:r>
      <w:r>
        <w:rPr>
          <w:rFonts w:ascii="Verdana" w:eastAsia="Calibri" w:hAnsi="Verdana" w:cs="Arial"/>
          <w:b/>
          <w:bCs/>
          <w:lang w:eastAsia="es-ES_tradnl"/>
        </w:rPr>
        <w:t xml:space="preserve"> </w:t>
      </w:r>
      <w:r w:rsidRPr="00C34453">
        <w:rPr>
          <w:rFonts w:ascii="Verdana" w:eastAsia="Calibri" w:hAnsi="Verdana" w:cs="Arial"/>
          <w:b/>
          <w:bCs/>
          <w:lang w:eastAsia="es-ES_tradnl"/>
        </w:rPr>
        <w:t>Cervera Jimenez</w:t>
      </w:r>
    </w:p>
    <w:p w14:paraId="7D478FBE" w14:textId="3BA7438F" w:rsidR="001C3BF3" w:rsidRPr="00D47B16" w:rsidRDefault="00BF22FF" w:rsidP="001C3BF3">
      <w:pPr>
        <w:spacing w:after="0" w:line="240" w:lineRule="auto"/>
        <w:jc w:val="both"/>
        <w:rPr>
          <w:rFonts w:ascii="Verdana" w:eastAsia="Calibri" w:hAnsi="Verdana" w:cs="Arial"/>
          <w:lang w:eastAsia="es-ES_tradnl"/>
        </w:rPr>
      </w:pPr>
      <w:hyperlink r:id="rId11" w:history="1">
        <w:r w:rsidR="001C3BF3" w:rsidRPr="001F44D5">
          <w:rPr>
            <w:rStyle w:val="Hipervnculo"/>
            <w:rFonts w:ascii="Verdana" w:hAnsi="Verdana"/>
          </w:rPr>
          <w:t>xilenac96@gmail.com</w:t>
        </w:r>
      </w:hyperlink>
    </w:p>
    <w:p w14:paraId="3D626974" w14:textId="77777777" w:rsidR="001C3BF3" w:rsidRPr="005B7C42" w:rsidRDefault="001C3BF3" w:rsidP="001C3BF3">
      <w:pPr>
        <w:spacing w:after="0" w:line="240" w:lineRule="auto"/>
        <w:rPr>
          <w:rFonts w:ascii="Verdana" w:eastAsia="Calibri" w:hAnsi="Verdana" w:cs="Arial"/>
          <w:lang w:eastAsia="es-ES_tradnl"/>
        </w:rPr>
      </w:pPr>
      <w:r>
        <w:rPr>
          <w:rFonts w:ascii="Verdana" w:eastAsia="Calibri" w:hAnsi="Verdana" w:cs="Arial"/>
          <w:lang w:eastAsia="es-ES_tradnl"/>
        </w:rPr>
        <w:t>Bogotá D.C.</w:t>
      </w:r>
    </w:p>
    <w:p w14:paraId="037463AE" w14:textId="77777777" w:rsidR="001C3BF3" w:rsidRPr="005B7C42" w:rsidRDefault="001C3BF3" w:rsidP="001C3BF3">
      <w:pPr>
        <w:spacing w:after="0" w:line="240" w:lineRule="auto"/>
        <w:rPr>
          <w:rFonts w:ascii="Verdana" w:eastAsia="Calibri" w:hAnsi="Verdana" w:cs="Arial"/>
          <w:lang w:eastAsia="es-ES_tradnl"/>
        </w:rPr>
      </w:pPr>
    </w:p>
    <w:p w14:paraId="2320CA34" w14:textId="77777777" w:rsidR="001C3BF3" w:rsidRPr="005B7C42" w:rsidRDefault="001C3BF3" w:rsidP="001C3BF3">
      <w:pPr>
        <w:spacing w:after="0" w:line="240" w:lineRule="auto"/>
        <w:ind w:left="2694"/>
        <w:rPr>
          <w:rFonts w:ascii="Verdana" w:eastAsia="Calibri" w:hAnsi="Verdana" w:cs="Arial"/>
          <w:b/>
          <w:bCs/>
          <w:lang w:eastAsia="es-ES_tradnl"/>
        </w:rPr>
      </w:pPr>
      <w:r w:rsidRPr="005B7C42">
        <w:rPr>
          <w:rFonts w:ascii="Verdana" w:eastAsia="Calibri" w:hAnsi="Verdana" w:cs="Arial"/>
          <w:b/>
          <w:bCs/>
          <w:lang w:eastAsia="es-ES_tradnl"/>
        </w:rPr>
        <w:t>Concepto C-</w:t>
      </w:r>
      <w:r>
        <w:rPr>
          <w:rFonts w:ascii="Verdana" w:eastAsia="Calibri" w:hAnsi="Verdana" w:cs="Arial"/>
          <w:b/>
          <w:bCs/>
          <w:lang w:eastAsia="es-ES_tradnl"/>
        </w:rPr>
        <w:t>839</w:t>
      </w:r>
      <w:r w:rsidRPr="005B7C42">
        <w:rPr>
          <w:rFonts w:ascii="Verdana" w:eastAsia="Calibri" w:hAnsi="Verdana" w:cs="Arial"/>
          <w:b/>
          <w:bCs/>
          <w:lang w:eastAsia="es-ES_tradnl"/>
        </w:rPr>
        <w:t xml:space="preserve"> de 2024</w:t>
      </w:r>
    </w:p>
    <w:p w14:paraId="3BF9E503" w14:textId="77777777" w:rsidR="001C3BF3" w:rsidRPr="005B7C42" w:rsidRDefault="001C3BF3" w:rsidP="001C3BF3">
      <w:pPr>
        <w:spacing w:after="0" w:line="240" w:lineRule="auto"/>
        <w:jc w:val="both"/>
        <w:rPr>
          <w:rFonts w:ascii="Verdana" w:eastAsia="Calibri" w:hAnsi="Verdana" w:cs="Arial"/>
          <w:lang w:eastAsia="es-ES_tradnl"/>
        </w:rPr>
      </w:pPr>
    </w:p>
    <w:tbl>
      <w:tblPr>
        <w:tblStyle w:val="Tablaconcuadrcula"/>
        <w:tblW w:w="8788"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8"/>
        <w:gridCol w:w="6100"/>
      </w:tblGrid>
      <w:tr w:rsidR="001C3BF3" w:rsidRPr="005B7C42" w14:paraId="5B4D7A15" w14:textId="77777777" w:rsidTr="004F03A1">
        <w:trPr>
          <w:trHeight w:val="1105"/>
          <w:jc w:val="right"/>
        </w:trPr>
        <w:tc>
          <w:tcPr>
            <w:tcW w:w="2688" w:type="dxa"/>
          </w:tcPr>
          <w:p w14:paraId="7CD37FCC" w14:textId="77777777" w:rsidR="001C3BF3" w:rsidRPr="005B7C42" w:rsidRDefault="001C3BF3" w:rsidP="004F03A1">
            <w:pPr>
              <w:jc w:val="center"/>
              <w:rPr>
                <w:rFonts w:ascii="Verdana" w:eastAsia="Calibri" w:hAnsi="Verdana" w:cs="Arial"/>
                <w:lang w:eastAsia="es-ES_tradnl"/>
              </w:rPr>
            </w:pPr>
            <w:r w:rsidRPr="005B7C42">
              <w:rPr>
                <w:rFonts w:ascii="Verdana" w:eastAsia="Calibri" w:hAnsi="Verdana" w:cs="Arial"/>
                <w:b/>
                <w:lang w:eastAsia="es-ES_tradnl"/>
              </w:rPr>
              <w:t>Temas:</w:t>
            </w:r>
          </w:p>
        </w:tc>
        <w:tc>
          <w:tcPr>
            <w:tcW w:w="6100" w:type="dxa"/>
          </w:tcPr>
          <w:p w14:paraId="58DAC1E6" w14:textId="77777777" w:rsidR="001C3BF3" w:rsidRPr="00900D47" w:rsidRDefault="001C3BF3" w:rsidP="004F03A1">
            <w:pPr>
              <w:jc w:val="both"/>
              <w:rPr>
                <w:rFonts w:ascii="Verdana" w:eastAsia="Times New Roman" w:hAnsi="Verdana" w:cs="Arial"/>
                <w:highlight w:val="yellow"/>
                <w:lang w:eastAsia="es-ES_tradnl"/>
              </w:rPr>
            </w:pPr>
            <w:r w:rsidRPr="006E3AFE">
              <w:rPr>
                <w:rFonts w:ascii="Verdana" w:eastAsia="Calibri" w:hAnsi="Verdana" w:cs="Arial"/>
                <w:color w:val="000000"/>
                <w:kern w:val="2"/>
                <w14:ligatures w14:val="standardContextual"/>
              </w:rPr>
              <w:t>INHABILIDADES E INCOMPATIBILIDADES – Concepto</w:t>
            </w:r>
            <w:r>
              <w:rPr>
                <w:rFonts w:ascii="Verdana" w:eastAsia="Calibri" w:hAnsi="Verdana" w:cs="Arial"/>
                <w:color w:val="000000"/>
                <w:kern w:val="2"/>
                <w14:ligatures w14:val="standardContextual"/>
              </w:rPr>
              <w:t xml:space="preserve"> / </w:t>
            </w:r>
            <w:r w:rsidRPr="006E3AFE">
              <w:rPr>
                <w:rFonts w:ascii="Verdana" w:eastAsia="Calibri" w:hAnsi="Verdana" w:cs="Arial"/>
                <w:color w:val="000000"/>
                <w:kern w:val="2"/>
                <w14:ligatures w14:val="standardContextual"/>
              </w:rPr>
              <w:t>INHABILIDADES E INCOMPATIBILIDADES – Régimen – Interpretación restrictiva</w:t>
            </w:r>
            <w:r>
              <w:rPr>
                <w:rFonts w:ascii="Verdana" w:eastAsia="Calibri" w:hAnsi="Verdana" w:cs="Arial"/>
                <w:color w:val="000000"/>
                <w:kern w:val="2"/>
                <w14:ligatures w14:val="standardContextual"/>
              </w:rPr>
              <w:t xml:space="preserve"> / </w:t>
            </w:r>
            <w:r w:rsidRPr="006E3AFE">
              <w:rPr>
                <w:rFonts w:ascii="Verdana" w:eastAsia="Calibri" w:hAnsi="Verdana" w:cs="Arial"/>
                <w:color w:val="000000"/>
                <w:kern w:val="2"/>
                <w14:ligatures w14:val="standardContextual"/>
              </w:rPr>
              <w:t>CONTRATO DE PRESTACIÓN DE SERVICIOS PROFESIONALES – Concepto – Requisitos y límites para su celebración</w:t>
            </w:r>
            <w:r>
              <w:rPr>
                <w:rFonts w:ascii="Verdana" w:eastAsia="Calibri" w:hAnsi="Verdana" w:cs="Arial"/>
                <w:color w:val="000000"/>
                <w:kern w:val="2"/>
                <w14:ligatures w14:val="standardContextual"/>
              </w:rPr>
              <w:t xml:space="preserve"> / </w:t>
            </w:r>
            <w:r w:rsidRPr="006E3AFE">
              <w:rPr>
                <w:rFonts w:ascii="Verdana" w:eastAsia="Calibri" w:hAnsi="Verdana" w:cs="Arial"/>
                <w:color w:val="000000"/>
                <w:kern w:val="2"/>
                <w14:ligatures w14:val="standardContextual"/>
              </w:rPr>
              <w:t>CONTRATO DE PRESTACION DE SERVICIOS – Celebración – Simultaneidad – Posibilidad – Ausencia – Inhabilidad e incompatibilidad</w:t>
            </w:r>
            <w:r>
              <w:rPr>
                <w:rFonts w:ascii="Verdana" w:eastAsia="Calibri" w:hAnsi="Verdana" w:cs="Arial"/>
                <w:color w:val="000000"/>
                <w:kern w:val="2"/>
                <w14:ligatures w14:val="standardContextual"/>
              </w:rPr>
              <w:t xml:space="preserve"> / </w:t>
            </w:r>
            <w:r w:rsidRPr="006E3AFE">
              <w:rPr>
                <w:rFonts w:ascii="Verdana" w:eastAsia="Calibri" w:hAnsi="Verdana" w:cs="Arial"/>
                <w:color w:val="000000"/>
                <w:kern w:val="2"/>
                <w14:ligatures w14:val="standardContextual"/>
              </w:rPr>
              <w:t>CONCLICTO DE INTERES – Verificación de inexistencia de interés antagónicos</w:t>
            </w:r>
            <w:r>
              <w:rPr>
                <w:rFonts w:ascii="Verdana" w:eastAsia="Calibri" w:hAnsi="Verdana" w:cs="Arial"/>
                <w:color w:val="000000"/>
                <w:kern w:val="2"/>
                <w14:ligatures w14:val="standardContextual"/>
              </w:rPr>
              <w:t xml:space="preserve"> </w:t>
            </w:r>
          </w:p>
        </w:tc>
      </w:tr>
      <w:tr w:rsidR="001C3BF3" w:rsidRPr="005B7C42" w14:paraId="58AF2B34" w14:textId="77777777" w:rsidTr="004F03A1">
        <w:trPr>
          <w:jc w:val="right"/>
        </w:trPr>
        <w:tc>
          <w:tcPr>
            <w:tcW w:w="2688" w:type="dxa"/>
          </w:tcPr>
          <w:p w14:paraId="46515630" w14:textId="77777777" w:rsidR="001C3BF3" w:rsidRPr="005B7C42" w:rsidRDefault="001C3BF3" w:rsidP="004F03A1">
            <w:pPr>
              <w:jc w:val="center"/>
              <w:rPr>
                <w:rFonts w:ascii="Verdana" w:eastAsia="Calibri" w:hAnsi="Verdana" w:cs="Arial"/>
                <w:b/>
                <w:lang w:eastAsia="es-ES_tradnl"/>
              </w:rPr>
            </w:pPr>
            <w:r w:rsidRPr="005B7C42">
              <w:rPr>
                <w:rFonts w:ascii="Verdana" w:eastAsia="Calibri" w:hAnsi="Verdana" w:cs="Arial"/>
                <w:b/>
                <w:lang w:eastAsia="es-ES_tradnl"/>
              </w:rPr>
              <w:t>Radicación:</w:t>
            </w:r>
          </w:p>
        </w:tc>
        <w:tc>
          <w:tcPr>
            <w:tcW w:w="6100" w:type="dxa"/>
          </w:tcPr>
          <w:p w14:paraId="3964521E" w14:textId="77777777" w:rsidR="001C3BF3" w:rsidRPr="005B7C42" w:rsidRDefault="001C3BF3" w:rsidP="004F03A1">
            <w:pPr>
              <w:jc w:val="both"/>
              <w:rPr>
                <w:rFonts w:ascii="Verdana" w:eastAsia="Calibri" w:hAnsi="Verdana" w:cs="Arial"/>
                <w:lang w:eastAsia="es-ES_tradnl"/>
              </w:rPr>
            </w:pPr>
            <w:r w:rsidRPr="005B7C42">
              <w:rPr>
                <w:rFonts w:ascii="Verdana" w:eastAsia="Calibri" w:hAnsi="Verdana" w:cs="Arial"/>
                <w:lang w:eastAsia="es-ES_tradnl"/>
              </w:rPr>
              <w:t xml:space="preserve">Respuesta a consulta radicado No. </w:t>
            </w:r>
            <w:r w:rsidRPr="002308A0">
              <w:rPr>
                <w:rFonts w:ascii="Verdana" w:eastAsia="Times New Roman" w:hAnsi="Verdana" w:cs="Arial"/>
                <w:lang w:eastAsia="es-ES_tradnl"/>
              </w:rPr>
              <w:t>P20241108011270</w:t>
            </w:r>
            <w:r>
              <w:rPr>
                <w:rFonts w:ascii="Verdana" w:eastAsia="Times New Roman" w:hAnsi="Verdana" w:cs="Arial"/>
                <w:lang w:eastAsia="es-ES_tradnl"/>
              </w:rPr>
              <w:t xml:space="preserve"> y </w:t>
            </w:r>
            <w:r w:rsidRPr="00B917F8">
              <w:rPr>
                <w:rFonts w:ascii="Verdana" w:eastAsia="Times New Roman" w:hAnsi="Verdana" w:cs="Arial"/>
                <w:lang w:eastAsia="es-ES_tradnl"/>
              </w:rPr>
              <w:t>P20241112011312</w:t>
            </w:r>
          </w:p>
        </w:tc>
      </w:tr>
    </w:tbl>
    <w:p w14:paraId="53194FB8" w14:textId="77777777" w:rsidR="001C3BF3" w:rsidRPr="005B7C42" w:rsidRDefault="001C3BF3" w:rsidP="001C3BF3">
      <w:pPr>
        <w:spacing w:after="0" w:line="240" w:lineRule="auto"/>
        <w:jc w:val="both"/>
        <w:rPr>
          <w:rFonts w:ascii="Verdana" w:eastAsia="Calibri" w:hAnsi="Verdana" w:cs="Arial"/>
          <w:lang w:eastAsia="es-ES_tradnl"/>
        </w:rPr>
      </w:pPr>
    </w:p>
    <w:p w14:paraId="0D1419EB" w14:textId="77777777" w:rsidR="001C3BF3" w:rsidRPr="005B7C42" w:rsidRDefault="001C3BF3" w:rsidP="001C3BF3">
      <w:pPr>
        <w:spacing w:after="0" w:line="240" w:lineRule="auto"/>
        <w:jc w:val="both"/>
        <w:rPr>
          <w:rFonts w:ascii="Verdana" w:eastAsia="Calibri" w:hAnsi="Verdana" w:cs="Arial"/>
          <w:lang w:eastAsia="es-ES_tradnl"/>
        </w:rPr>
      </w:pPr>
    </w:p>
    <w:p w14:paraId="5732F834" w14:textId="77777777" w:rsidR="001C3BF3" w:rsidRPr="005B7C42" w:rsidRDefault="001C3BF3" w:rsidP="001C3BF3">
      <w:pPr>
        <w:spacing w:after="0" w:line="276" w:lineRule="auto"/>
        <w:contextualSpacing/>
        <w:jc w:val="both"/>
        <w:rPr>
          <w:rFonts w:ascii="Verdana" w:eastAsia="Calibri" w:hAnsi="Verdana" w:cs="Arial"/>
          <w:bCs/>
          <w:lang w:eastAsia="es-ES_tradnl"/>
        </w:rPr>
      </w:pPr>
      <w:r w:rsidRPr="005B7C42">
        <w:rPr>
          <w:rFonts w:ascii="Verdana" w:eastAsia="Calibri" w:hAnsi="Verdana" w:cs="Arial"/>
          <w:lang w:eastAsia="es-ES_tradnl"/>
        </w:rPr>
        <w:t>Estimad</w:t>
      </w:r>
      <w:r>
        <w:rPr>
          <w:rFonts w:ascii="Verdana" w:eastAsia="Calibri" w:hAnsi="Verdana" w:cs="Arial"/>
          <w:lang w:eastAsia="es-ES_tradnl"/>
        </w:rPr>
        <w:t>a señora Cervera Jimenez</w:t>
      </w:r>
      <w:r w:rsidRPr="005B7C42">
        <w:rPr>
          <w:rFonts w:ascii="Verdana" w:eastAsia="Calibri" w:hAnsi="Verdana" w:cs="Arial"/>
          <w:bCs/>
          <w:lang w:eastAsia="es-ES_tradnl"/>
        </w:rPr>
        <w:t>,</w:t>
      </w:r>
    </w:p>
    <w:p w14:paraId="5968C6B2" w14:textId="77777777" w:rsidR="001C3BF3" w:rsidRPr="005B7C42" w:rsidRDefault="001C3BF3" w:rsidP="001C3BF3">
      <w:pPr>
        <w:spacing w:after="0" w:line="276" w:lineRule="auto"/>
        <w:contextualSpacing/>
        <w:jc w:val="both"/>
        <w:rPr>
          <w:rFonts w:ascii="Verdana" w:eastAsia="Calibri" w:hAnsi="Verdana" w:cs="Arial"/>
          <w:lang w:eastAsia="es-ES_tradnl"/>
        </w:rPr>
      </w:pPr>
    </w:p>
    <w:p w14:paraId="239B7268" w14:textId="77777777" w:rsidR="001C3BF3" w:rsidRPr="005B7C42" w:rsidRDefault="001C3BF3" w:rsidP="001C3BF3">
      <w:pPr>
        <w:spacing w:line="276" w:lineRule="auto"/>
        <w:jc w:val="both"/>
        <w:rPr>
          <w:rFonts w:ascii="Verdana" w:eastAsia="Calibri" w:hAnsi="Verdana" w:cs="Arial"/>
          <w:lang w:eastAsia="es-ES_tradnl"/>
        </w:rPr>
      </w:pPr>
      <w:r w:rsidRPr="005B7C42">
        <w:rPr>
          <w:rFonts w:ascii="Verdana" w:eastAsia="Calibri" w:hAnsi="Verdana" w:cs="Arial"/>
          <w:lang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w:t>
      </w:r>
      <w:r>
        <w:rPr>
          <w:rFonts w:ascii="Verdana" w:eastAsia="Calibri" w:hAnsi="Verdana" w:cs="Arial"/>
          <w:lang w:eastAsia="es-ES_tradnl"/>
        </w:rPr>
        <w:t xml:space="preserve"> </w:t>
      </w:r>
      <w:r w:rsidRPr="005B7C42">
        <w:rPr>
          <w:rFonts w:ascii="Verdana" w:eastAsia="Calibri" w:hAnsi="Verdana" w:cs="Arial"/>
          <w:lang w:eastAsia="es-ES_tradnl"/>
        </w:rPr>
        <w:t xml:space="preserve">– responde su solicitud de consulta de fecha </w:t>
      </w:r>
      <w:r>
        <w:rPr>
          <w:rFonts w:ascii="Verdana" w:eastAsia="Calibri" w:hAnsi="Verdana" w:cs="Arial"/>
          <w:lang w:eastAsia="es-ES_tradnl"/>
        </w:rPr>
        <w:t>5</w:t>
      </w:r>
      <w:r w:rsidRPr="005B7C42">
        <w:rPr>
          <w:rFonts w:ascii="Verdana" w:eastAsia="Calibri" w:hAnsi="Verdana" w:cs="Arial"/>
          <w:lang w:eastAsia="es-ES_tradnl"/>
        </w:rPr>
        <w:t xml:space="preserve"> de </w:t>
      </w:r>
      <w:r>
        <w:rPr>
          <w:rFonts w:ascii="Verdana" w:eastAsia="Calibri" w:hAnsi="Verdana" w:cs="Arial"/>
          <w:lang w:eastAsia="es-ES_tradnl"/>
        </w:rPr>
        <w:t>noviembre</w:t>
      </w:r>
      <w:r w:rsidRPr="005B7C42">
        <w:rPr>
          <w:rFonts w:ascii="Verdana" w:eastAsia="Calibri" w:hAnsi="Verdana" w:cs="Arial"/>
          <w:lang w:eastAsia="es-ES_tradnl"/>
        </w:rPr>
        <w:t xml:space="preserve"> de 2024, </w:t>
      </w:r>
      <w:r>
        <w:rPr>
          <w:rFonts w:ascii="Verdana" w:eastAsia="Calibri" w:hAnsi="Verdana" w:cs="Arial"/>
          <w:lang w:eastAsia="es-ES_tradnl"/>
        </w:rPr>
        <w:t xml:space="preserve">remitida por el Departamento Administrativo de la Función Pública – DAFP mediante el </w:t>
      </w:r>
      <w:r w:rsidRPr="009C7DEB">
        <w:rPr>
          <w:rFonts w:ascii="Verdana" w:eastAsia="Calibri" w:hAnsi="Verdana" w:cs="Arial"/>
          <w:lang w:eastAsia="es-ES_tradnl"/>
        </w:rPr>
        <w:t>Radicado No: 20242040647851</w:t>
      </w:r>
      <w:r>
        <w:rPr>
          <w:rFonts w:ascii="Verdana" w:eastAsia="Calibri" w:hAnsi="Verdana" w:cs="Arial"/>
          <w:lang w:eastAsia="es-ES_tradnl"/>
        </w:rPr>
        <w:t xml:space="preserve">, </w:t>
      </w:r>
      <w:r w:rsidRPr="005B7C42">
        <w:rPr>
          <w:rFonts w:ascii="Verdana" w:eastAsia="Calibri" w:hAnsi="Verdana" w:cs="Arial"/>
          <w:lang w:eastAsia="es-ES_tradnl"/>
        </w:rPr>
        <w:t xml:space="preserve">en la cual consulta lo siguiente: </w:t>
      </w:r>
    </w:p>
    <w:p w14:paraId="1D80CE29" w14:textId="77777777" w:rsidR="001C3BF3" w:rsidRPr="005B7C42" w:rsidRDefault="001C3BF3" w:rsidP="001C3BF3">
      <w:pPr>
        <w:spacing w:after="0" w:line="276" w:lineRule="auto"/>
        <w:jc w:val="both"/>
        <w:rPr>
          <w:rFonts w:ascii="Verdana" w:eastAsia="Calibri" w:hAnsi="Verdana" w:cs="Arial"/>
          <w:lang w:eastAsia="es-ES_tradnl"/>
        </w:rPr>
      </w:pPr>
    </w:p>
    <w:p w14:paraId="7171AE38" w14:textId="77777777" w:rsidR="001C3BF3" w:rsidRPr="005B7C42" w:rsidRDefault="001C3BF3" w:rsidP="001C3BF3">
      <w:pPr>
        <w:spacing w:after="120" w:line="276" w:lineRule="auto"/>
        <w:ind w:left="709" w:right="709"/>
        <w:jc w:val="both"/>
        <w:rPr>
          <w:rFonts w:ascii="Verdana" w:eastAsia="Times New Roman" w:hAnsi="Verdana" w:cs="Arial"/>
          <w:i/>
          <w:sz w:val="20"/>
          <w:szCs w:val="20"/>
          <w:lang w:eastAsia="es-ES_tradnl"/>
        </w:rPr>
      </w:pPr>
      <w:r w:rsidRPr="005B7C42">
        <w:rPr>
          <w:rFonts w:ascii="Verdana" w:eastAsia="Times New Roman" w:hAnsi="Verdana" w:cs="Arial"/>
          <w:iCs/>
          <w:sz w:val="20"/>
          <w:szCs w:val="20"/>
          <w:lang w:eastAsia="es-ES_tradnl"/>
        </w:rPr>
        <w:t>“</w:t>
      </w:r>
      <w:r>
        <w:rPr>
          <w:rFonts w:ascii="Verdana" w:eastAsia="Times New Roman" w:hAnsi="Verdana" w:cs="Arial"/>
          <w:iCs/>
          <w:sz w:val="20"/>
          <w:szCs w:val="20"/>
          <w:lang w:eastAsia="es-ES_tradnl"/>
        </w:rPr>
        <w:t>[…]</w:t>
      </w:r>
      <w:r w:rsidRPr="001C5BEA">
        <w:rPr>
          <w:rFonts w:ascii="Verdana" w:eastAsia="Times New Roman" w:hAnsi="Verdana" w:cs="Arial"/>
          <w:iCs/>
          <w:sz w:val="21"/>
          <w:szCs w:val="21"/>
          <w:lang w:eastAsia="es-ES_tradnl"/>
        </w:rPr>
        <w:t xml:space="preserve"> mi duda es respecto al tema si yo tengo un convenio entre la alcaldía y la registraduría, dónde quién me paga y están pendientes de mis funciones es la alcaldía y le doy apoyo a la registraduría puedo tener un contrato directo con la registraduría</w:t>
      </w:r>
      <w:r w:rsidRPr="005B7C42">
        <w:rPr>
          <w:rFonts w:ascii="Verdana" w:eastAsia="Times New Roman" w:hAnsi="Verdana" w:cs="Arial"/>
          <w:iCs/>
          <w:sz w:val="20"/>
          <w:szCs w:val="20"/>
          <w:lang w:eastAsia="es-ES_tradnl"/>
        </w:rPr>
        <w:t>” [SIC].</w:t>
      </w:r>
    </w:p>
    <w:p w14:paraId="31358472" w14:textId="77777777" w:rsidR="001C3BF3" w:rsidRPr="005B7C42" w:rsidRDefault="001C3BF3" w:rsidP="001C3BF3">
      <w:pPr>
        <w:spacing w:after="120" w:line="240" w:lineRule="auto"/>
        <w:ind w:left="709" w:right="709"/>
        <w:jc w:val="both"/>
        <w:rPr>
          <w:rFonts w:ascii="Verdana" w:eastAsia="Times New Roman" w:hAnsi="Verdana" w:cs="Arial"/>
          <w:i/>
          <w:lang w:eastAsia="es-ES_tradnl"/>
        </w:rPr>
      </w:pPr>
    </w:p>
    <w:p w14:paraId="6D26C4AE" w14:textId="77777777" w:rsidR="001C3BF3" w:rsidRPr="005B7C42" w:rsidRDefault="001C3BF3" w:rsidP="001C3BF3">
      <w:pPr>
        <w:spacing w:after="120" w:line="276" w:lineRule="auto"/>
        <w:ind w:firstLine="709"/>
        <w:jc w:val="both"/>
        <w:rPr>
          <w:rFonts w:ascii="Verdana" w:eastAsia="Calibri" w:hAnsi="Verdana" w:cs="Arial"/>
          <w:color w:val="000000"/>
          <w:szCs w:val="24"/>
          <w:lang w:eastAsia="es-ES_tradnl"/>
        </w:rPr>
      </w:pPr>
      <w:r w:rsidRPr="005B7C4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w:t>
      </w:r>
      <w:r w:rsidRPr="005B7C42">
        <w:rPr>
          <w:rFonts w:ascii="Verdana" w:eastAsia="Calibri" w:hAnsi="Verdana" w:cs="Arial"/>
          <w:color w:val="000000"/>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B7C42">
        <w:rPr>
          <w:rFonts w:ascii="Verdana" w:eastAsia="Calibri" w:hAnsi="Verdana" w:cs="Arial"/>
          <w:color w:val="000000"/>
          <w:szCs w:val="24"/>
          <w:lang w:eastAsia="es-ES_tradnl"/>
        </w:rPr>
        <w:tab/>
      </w:r>
    </w:p>
    <w:p w14:paraId="03543B0E" w14:textId="77777777" w:rsidR="001C3BF3" w:rsidRPr="005B7C42" w:rsidRDefault="001C3BF3" w:rsidP="001C3BF3">
      <w:pPr>
        <w:spacing w:after="0" w:line="276" w:lineRule="auto"/>
        <w:ind w:firstLine="709"/>
        <w:jc w:val="both"/>
        <w:rPr>
          <w:rFonts w:ascii="Verdana" w:eastAsia="Calibri" w:hAnsi="Verdana" w:cs="Arial"/>
          <w:lang w:eastAsia="es-ES"/>
        </w:rPr>
      </w:pPr>
      <w:r w:rsidRPr="005B7C42">
        <w:rPr>
          <w:rFonts w:ascii="Verdana" w:eastAsia="Calibri" w:hAnsi="Verdana" w:cs="Arial"/>
          <w:lang w:eastAsia="es-ES"/>
        </w:rPr>
        <w:t xml:space="preserve">Conforme lo expuesto, en aras de satisfacer el derecho fundamental de petición se resolverá su consulta dentro de los límites de la referida competencia consultiva, </w:t>
      </w:r>
      <w:r>
        <w:rPr>
          <w:rFonts w:ascii="Verdana" w:eastAsia="Calibri" w:hAnsi="Verdana" w:cs="Arial"/>
          <w:lang w:eastAsia="es-ES"/>
        </w:rPr>
        <w:t xml:space="preserve">esto es, </w:t>
      </w:r>
      <w:r w:rsidRPr="0099654F">
        <w:rPr>
          <w:rFonts w:ascii="Verdana" w:eastAsia="Calibri" w:hAnsi="Verdana" w:cs="Arial"/>
          <w:lang w:eastAsia="es-ES"/>
        </w:rPr>
        <w:t xml:space="preserve">haciendo abstracción de las circunstancias particulares y concretas mencionadas en su petición, </w:t>
      </w:r>
      <w:r>
        <w:rPr>
          <w:rFonts w:ascii="Verdana" w:eastAsia="Calibri" w:hAnsi="Verdana" w:cs="Arial"/>
          <w:lang w:eastAsia="es-ES"/>
        </w:rPr>
        <w:t>pero exponiendo algunas</w:t>
      </w:r>
      <w:r w:rsidRPr="005B7C42">
        <w:rPr>
          <w:rFonts w:ascii="Verdana" w:eastAsia="Calibri" w:hAnsi="Verdana" w:cs="Arial"/>
          <w:lang w:eastAsia="es-ES"/>
        </w:rPr>
        <w:t xml:space="preserve"> consideraciones sobre las normas generales relacionadas con el problema jurídico de su consulta. </w:t>
      </w:r>
    </w:p>
    <w:p w14:paraId="516A34AB" w14:textId="77777777" w:rsidR="001C3BF3" w:rsidRPr="005B7C42" w:rsidRDefault="001C3BF3" w:rsidP="001C3BF3">
      <w:pPr>
        <w:spacing w:after="0" w:line="276" w:lineRule="auto"/>
        <w:contextualSpacing/>
        <w:jc w:val="both"/>
        <w:rPr>
          <w:rFonts w:ascii="Verdana" w:eastAsia="Times New Roman" w:hAnsi="Verdana" w:cs="Arial"/>
          <w:szCs w:val="24"/>
          <w:lang w:eastAsia="es-ES_tradnl"/>
        </w:rPr>
      </w:pPr>
    </w:p>
    <w:p w14:paraId="727360E2" w14:textId="77777777" w:rsidR="001C3BF3" w:rsidRPr="005B7C42" w:rsidRDefault="001C3BF3" w:rsidP="001C3BF3">
      <w:pPr>
        <w:tabs>
          <w:tab w:val="left" w:pos="0"/>
          <w:tab w:val="left" w:pos="284"/>
        </w:tabs>
        <w:spacing w:after="0" w:line="276" w:lineRule="auto"/>
        <w:contextualSpacing/>
        <w:jc w:val="both"/>
        <w:rPr>
          <w:rFonts w:ascii="Verdana" w:eastAsia="Calibri" w:hAnsi="Verdana" w:cs="Arial"/>
          <w:b/>
        </w:rPr>
      </w:pPr>
      <w:r w:rsidRPr="005B7C42">
        <w:rPr>
          <w:rFonts w:ascii="Verdana" w:eastAsia="Calibri" w:hAnsi="Verdana" w:cs="Arial"/>
          <w:b/>
        </w:rPr>
        <w:t>1. Problema planteado:</w:t>
      </w:r>
    </w:p>
    <w:p w14:paraId="4F58A9FF" w14:textId="77777777" w:rsidR="001C3BF3" w:rsidRPr="005B7C42" w:rsidRDefault="001C3BF3" w:rsidP="001C3BF3">
      <w:pPr>
        <w:tabs>
          <w:tab w:val="left" w:pos="0"/>
          <w:tab w:val="left" w:pos="284"/>
        </w:tabs>
        <w:spacing w:after="0" w:line="276" w:lineRule="auto"/>
        <w:contextualSpacing/>
        <w:jc w:val="both"/>
        <w:rPr>
          <w:rFonts w:ascii="Verdana" w:eastAsia="Calibri" w:hAnsi="Verdana" w:cs="Arial"/>
          <w:b/>
        </w:rPr>
      </w:pPr>
    </w:p>
    <w:p w14:paraId="177E8B0F" w14:textId="77777777" w:rsidR="001C3BF3" w:rsidRDefault="001C3BF3" w:rsidP="001C3BF3">
      <w:pPr>
        <w:spacing w:after="0" w:line="276" w:lineRule="auto"/>
        <w:jc w:val="both"/>
        <w:rPr>
          <w:rFonts w:ascii="Verdana" w:hAnsi="Verdana"/>
        </w:rPr>
      </w:pPr>
      <w:r>
        <w:rPr>
          <w:rFonts w:ascii="Verdana" w:hAnsi="Verdana"/>
        </w:rPr>
        <w:t>De acuerdo con el texto de su solicitud, la Subdirección propone el siguiente problema jurídico:</w:t>
      </w:r>
    </w:p>
    <w:p w14:paraId="6CA975BE" w14:textId="77777777" w:rsidR="001C3BF3" w:rsidRDefault="001C3BF3" w:rsidP="001C3BF3">
      <w:pPr>
        <w:spacing w:after="0" w:line="276" w:lineRule="auto"/>
        <w:jc w:val="both"/>
        <w:rPr>
          <w:rFonts w:ascii="Verdana" w:hAnsi="Verdana"/>
        </w:rPr>
      </w:pPr>
    </w:p>
    <w:p w14:paraId="3C16FC2D" w14:textId="1CE17999" w:rsidR="001C3BF3" w:rsidRDefault="001C3BF3" w:rsidP="001C3BF3">
      <w:pPr>
        <w:spacing w:after="0" w:line="276" w:lineRule="auto"/>
        <w:jc w:val="both"/>
        <w:rPr>
          <w:rFonts w:ascii="Verdana" w:hAnsi="Verdana"/>
        </w:rPr>
      </w:pPr>
      <w:r>
        <w:rPr>
          <w:rFonts w:ascii="Verdana" w:hAnsi="Verdana"/>
        </w:rPr>
        <w:t>¿Existe alguna restricción de orden legal o reglamentario que impida la coexistencia de contratos de prestación de servicios o se configura alguna causal de inhabilidad e incompatibilidad o conflicto de intereses, cuando el contratista que los ejecuta desempeña actividades en una de las entidades contratantes, las cuales se desprenden de un convenio suscrit</w:t>
      </w:r>
      <w:r w:rsidR="00706675">
        <w:rPr>
          <w:rFonts w:ascii="Verdana" w:hAnsi="Verdana"/>
        </w:rPr>
        <w:t>o aquellas</w:t>
      </w:r>
      <w:r>
        <w:rPr>
          <w:rFonts w:ascii="Verdana" w:hAnsi="Verdana"/>
        </w:rPr>
        <w:t>?</w:t>
      </w:r>
    </w:p>
    <w:p w14:paraId="58D51174" w14:textId="77777777" w:rsidR="001C3BF3" w:rsidRPr="005B7C42" w:rsidRDefault="001C3BF3" w:rsidP="001C3BF3">
      <w:pPr>
        <w:spacing w:after="0" w:line="276" w:lineRule="auto"/>
        <w:jc w:val="both"/>
        <w:rPr>
          <w:rFonts w:ascii="Verdana" w:hAnsi="Verdana"/>
        </w:rPr>
      </w:pPr>
    </w:p>
    <w:p w14:paraId="010B7772" w14:textId="77777777" w:rsidR="001C3BF3" w:rsidRPr="005B7C42" w:rsidRDefault="001C3BF3" w:rsidP="001C3BF3">
      <w:pPr>
        <w:tabs>
          <w:tab w:val="left" w:pos="0"/>
          <w:tab w:val="left" w:pos="284"/>
        </w:tabs>
        <w:spacing w:after="0" w:line="276" w:lineRule="auto"/>
        <w:contextualSpacing/>
        <w:jc w:val="both"/>
        <w:rPr>
          <w:rFonts w:ascii="Verdana" w:eastAsia="Calibri" w:hAnsi="Verdana" w:cs="Arial"/>
          <w:b/>
        </w:rPr>
      </w:pPr>
      <w:r w:rsidRPr="005B7C42">
        <w:rPr>
          <w:rFonts w:ascii="Verdana" w:eastAsia="Calibri" w:hAnsi="Verdana" w:cs="Arial"/>
          <w:b/>
        </w:rPr>
        <w:t>2. Respuesta:</w:t>
      </w:r>
    </w:p>
    <w:p w14:paraId="2FF1FDE6" w14:textId="77777777" w:rsidR="001C3BF3" w:rsidRPr="005B7C42" w:rsidRDefault="001C3BF3" w:rsidP="001C3BF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C3BF3" w:rsidRPr="005B7C42" w14:paraId="7FF3B857" w14:textId="77777777" w:rsidTr="004F03A1">
        <w:tc>
          <w:tcPr>
            <w:tcW w:w="8828" w:type="dxa"/>
            <w:shd w:val="clear" w:color="auto" w:fill="auto"/>
          </w:tcPr>
          <w:p w14:paraId="71A61DD8" w14:textId="77777777" w:rsidR="001C3BF3" w:rsidRPr="00201080" w:rsidRDefault="001C3BF3" w:rsidP="004F03A1">
            <w:pPr>
              <w:spacing w:line="276" w:lineRule="auto"/>
              <w:jc w:val="both"/>
              <w:rPr>
                <w:rFonts w:ascii="Verdana" w:eastAsia="Arial MT" w:hAnsi="Verdana" w:cs="Arial"/>
                <w:lang w:eastAsia="es-ES" w:bidi="es-ES"/>
              </w:rPr>
            </w:pPr>
            <w:r w:rsidRPr="00201080">
              <w:rPr>
                <w:rFonts w:ascii="Verdana" w:eastAsia="Arial MT" w:hAnsi="Verdana" w:cs="Arial"/>
                <w:lang w:eastAsia="es-ES" w:bidi="es-ES"/>
              </w:rPr>
              <w:t>1.</w:t>
            </w:r>
            <w:r>
              <w:rPr>
                <w:rFonts w:ascii="Verdana" w:eastAsia="Arial MT" w:hAnsi="Verdana" w:cs="Arial"/>
                <w:lang w:eastAsia="es-ES" w:bidi="es-ES"/>
              </w:rPr>
              <w:t xml:space="preserve"> </w:t>
            </w:r>
            <w:r w:rsidRPr="00201080">
              <w:rPr>
                <w:rFonts w:ascii="Verdana" w:eastAsia="Arial MT" w:hAnsi="Verdana" w:cs="Arial"/>
                <w:lang w:eastAsia="es-ES" w:bidi="es-ES"/>
              </w:rPr>
              <w:t xml:space="preserve">No existe </w:t>
            </w:r>
            <w:r>
              <w:rPr>
                <w:rFonts w:ascii="Verdana" w:eastAsia="Arial MT" w:hAnsi="Verdana" w:cs="Arial"/>
                <w:lang w:eastAsia="es-ES" w:bidi="es-ES"/>
              </w:rPr>
              <w:t xml:space="preserve">restricción de orden legal o reglamentario, o </w:t>
            </w:r>
            <w:r w:rsidRPr="00201080">
              <w:rPr>
                <w:rFonts w:ascii="Verdana" w:eastAsia="Arial MT" w:hAnsi="Verdana" w:cs="Arial"/>
                <w:lang w:eastAsia="es-ES" w:bidi="es-ES"/>
              </w:rPr>
              <w:t xml:space="preserve">causal de inhabilidad o incompatibilidad que prohíba la celebración de dos o más contratos de prestación de servicios con diferentes entidades estatales, ni se restringe la capacidad jurídica del contratista cuando </w:t>
            </w:r>
            <w:r w:rsidRPr="00201080">
              <w:rPr>
                <w:rFonts w:ascii="Verdana" w:hAnsi="Verdana"/>
              </w:rPr>
              <w:t>las actividades que desempeña en una de ellas se desprenden de un convenio suscrito entre las entidades estatales contratantes</w:t>
            </w:r>
            <w:r w:rsidRPr="00201080">
              <w:rPr>
                <w:rFonts w:ascii="Verdana" w:eastAsia="Arial MT" w:hAnsi="Verdana" w:cs="Arial"/>
                <w:lang w:eastAsia="es-ES" w:bidi="es-ES"/>
              </w:rPr>
              <w:t>. Sin embargo, estas últimas deben ser cuidadosas, en el sentido de verificar que se cumplan los requisitos legales, reglamentarios y jurisprudenciales, dispuestos para los contratos de prestación de servicios</w:t>
            </w:r>
            <w:r>
              <w:rPr>
                <w:rFonts w:ascii="Verdana" w:eastAsia="Arial MT" w:hAnsi="Verdana" w:cs="Arial"/>
                <w:lang w:eastAsia="es-ES" w:bidi="es-ES"/>
              </w:rPr>
              <w:t>,</w:t>
            </w:r>
            <w:r w:rsidRPr="00201080">
              <w:rPr>
                <w:rFonts w:ascii="Verdana" w:eastAsia="Arial MT" w:hAnsi="Verdana" w:cs="Arial"/>
                <w:lang w:eastAsia="es-ES" w:bidi="es-ES"/>
              </w:rPr>
              <w:t xml:space="preserve"> </w:t>
            </w:r>
            <w:r>
              <w:rPr>
                <w:rFonts w:ascii="Verdana" w:eastAsia="Arial MT" w:hAnsi="Verdana" w:cs="Arial"/>
                <w:lang w:eastAsia="es-ES" w:bidi="es-ES"/>
              </w:rPr>
              <w:t>a</w:t>
            </w:r>
            <w:r w:rsidRPr="00201080">
              <w:rPr>
                <w:rFonts w:ascii="Verdana" w:eastAsia="Arial MT" w:hAnsi="Verdana" w:cs="Arial"/>
                <w:lang w:eastAsia="es-ES" w:bidi="es-ES"/>
              </w:rPr>
              <w:t xml:space="preserve">dicionalmente, deben analizar en los estudios previos la complejidad y el </w:t>
            </w:r>
            <w:r w:rsidRPr="00201080">
              <w:rPr>
                <w:rFonts w:ascii="Verdana" w:eastAsia="Arial MT" w:hAnsi="Verdana" w:cs="Arial"/>
                <w:lang w:eastAsia="es-ES" w:bidi="es-ES"/>
              </w:rPr>
              <w:lastRenderedPageBreak/>
              <w:t>alcance de las actividades a contratar, de manera que se cercioren de que la persona natural tenga la capacidad técnica, jurídica y económica para ejecutarlos satisfactoriamente.</w:t>
            </w:r>
          </w:p>
          <w:p w14:paraId="0CD3E324" w14:textId="77777777" w:rsidR="001C3BF3" w:rsidRDefault="001C3BF3" w:rsidP="004F03A1">
            <w:pPr>
              <w:rPr>
                <w:lang w:eastAsia="es-ES" w:bidi="es-ES"/>
              </w:rPr>
            </w:pPr>
          </w:p>
          <w:p w14:paraId="37BD9B18" w14:textId="77777777" w:rsidR="001C3BF3" w:rsidRPr="00201080" w:rsidRDefault="001C3BF3" w:rsidP="004F03A1">
            <w:pPr>
              <w:spacing w:line="276" w:lineRule="auto"/>
              <w:jc w:val="both"/>
              <w:rPr>
                <w:lang w:eastAsia="es-ES" w:bidi="es-ES"/>
              </w:rPr>
            </w:pPr>
            <w:r>
              <w:rPr>
                <w:rFonts w:ascii="Verdana" w:eastAsia="Arial MT" w:hAnsi="Verdana" w:cs="Arial"/>
                <w:lang w:eastAsia="es-ES" w:bidi="es-ES"/>
              </w:rPr>
              <w:t xml:space="preserve">En ese mismo sentido, la entidad contratante deberá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ejerce</w:t>
            </w:r>
            <w:r w:rsidRPr="00583EF1">
              <w:rPr>
                <w:rFonts w:ascii="Verdana" w:eastAsia="Arial MT" w:hAnsi="Verdana" w:cs="Arial"/>
                <w:lang w:eastAsia="es-ES" w:bidi="es-ES"/>
              </w:rPr>
              <w:t xml:space="preserve"> funciones públicas</w:t>
            </w:r>
            <w:r>
              <w:rPr>
                <w:rFonts w:ascii="Verdana" w:eastAsia="Arial MT" w:hAnsi="Verdana" w:cs="Arial"/>
                <w:lang w:eastAsia="es-ES" w:bidi="es-ES"/>
              </w:rPr>
              <w:t xml:space="preserve"> en una y otra entidad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Fonts w:ascii="Verdana" w:eastAsia="Arial MT" w:hAnsi="Verdana" w:cs="Arial"/>
                <w:lang w:eastAsia="es-ES" w:bidi="es-ES"/>
              </w:rPr>
              <w:t xml:space="preserve">. </w:t>
            </w:r>
          </w:p>
        </w:tc>
      </w:tr>
    </w:tbl>
    <w:p w14:paraId="43F3CC87" w14:textId="77777777" w:rsidR="001C3BF3" w:rsidRPr="005B7C42" w:rsidRDefault="001C3BF3" w:rsidP="001C3BF3">
      <w:pPr>
        <w:spacing w:after="0" w:line="276" w:lineRule="auto"/>
        <w:contextualSpacing/>
        <w:jc w:val="both"/>
        <w:rPr>
          <w:rFonts w:ascii="Verdana" w:eastAsia="Times New Roman" w:hAnsi="Verdana" w:cs="Arial"/>
          <w:lang w:eastAsia="es-ES_tradnl"/>
        </w:rPr>
      </w:pPr>
    </w:p>
    <w:p w14:paraId="7AFA38AC" w14:textId="77777777" w:rsidR="001C3BF3" w:rsidRPr="005B7C42" w:rsidRDefault="001C3BF3" w:rsidP="001C3BF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B7C42">
        <w:rPr>
          <w:rFonts w:ascii="Verdana" w:eastAsia="Century Gothic" w:hAnsi="Verdana" w:cs="Century Gothic"/>
          <w:b/>
          <w:bCs/>
        </w:rPr>
        <w:t>3. Razones de la respuesta:</w:t>
      </w:r>
    </w:p>
    <w:p w14:paraId="6C5D1252" w14:textId="77777777" w:rsidR="001C3BF3" w:rsidRPr="005B7C42" w:rsidRDefault="001C3BF3" w:rsidP="001C3BF3">
      <w:pPr>
        <w:spacing w:after="0" w:line="276" w:lineRule="auto"/>
        <w:jc w:val="both"/>
        <w:rPr>
          <w:rFonts w:ascii="Verdana" w:eastAsia="Calibri" w:hAnsi="Verdana" w:cs="Arial"/>
          <w:color w:val="7030A0"/>
        </w:rPr>
      </w:pPr>
    </w:p>
    <w:p w14:paraId="4994CD19" w14:textId="77777777" w:rsidR="001C3BF3" w:rsidRPr="00882C14" w:rsidRDefault="001C3BF3" w:rsidP="001C3BF3">
      <w:pPr>
        <w:spacing w:line="276" w:lineRule="auto"/>
        <w:jc w:val="both"/>
        <w:rPr>
          <w:rFonts w:ascii="Verdana" w:eastAsia="Calibri" w:hAnsi="Verdana" w:cs="Arial"/>
        </w:rPr>
      </w:pPr>
      <w:r w:rsidRPr="005B7C42">
        <w:rPr>
          <w:rFonts w:ascii="Verdana" w:eastAsia="Calibri" w:hAnsi="Verdana" w:cs="Arial"/>
        </w:rPr>
        <w:t xml:space="preserve">Lo anterior se sustenta en las siguientes consideraciones: </w:t>
      </w:r>
    </w:p>
    <w:p w14:paraId="6C8D14EA" w14:textId="77777777" w:rsidR="001C3BF3" w:rsidRPr="006530B9" w:rsidRDefault="001C3BF3" w:rsidP="001C3BF3">
      <w:pPr>
        <w:spacing w:after="120" w:line="276" w:lineRule="auto"/>
        <w:jc w:val="both"/>
        <w:rPr>
          <w:rFonts w:ascii="Verdana" w:eastAsia="Calibri" w:hAnsi="Verdana" w:cs="Arial"/>
          <w:color w:val="000000" w:themeColor="text1"/>
        </w:rPr>
      </w:pPr>
      <w:r w:rsidRPr="00135CB1">
        <w:rPr>
          <w:rFonts w:ascii="Verdana" w:eastAsia="Calibri" w:hAnsi="Verdana" w:cs="Arial"/>
          <w:color w:val="000000" w:themeColor="text1"/>
          <w:lang w:val="es-ES_tradnl"/>
        </w:rPr>
        <w:t xml:space="preserve">En la contratación estatal, la </w:t>
      </w:r>
      <w:r w:rsidRPr="00135CB1">
        <w:rPr>
          <w:rFonts w:ascii="Verdana" w:eastAsia="Calibri" w:hAnsi="Verdana" w:cs="Arial"/>
          <w:i/>
          <w:iCs/>
          <w:color w:val="000000" w:themeColor="text1"/>
          <w:lang w:val="es-ES_tradnl"/>
        </w:rPr>
        <w:t>capacidad</w:t>
      </w:r>
      <w:r w:rsidRPr="00135CB1">
        <w:rPr>
          <w:rFonts w:ascii="Verdana" w:eastAsia="Calibri" w:hAnsi="Verdana" w:cs="Arial"/>
          <w:color w:val="000000" w:themeColor="text1"/>
          <w:lang w:val="es-ES_tradnl"/>
        </w:rPr>
        <w:t xml:space="preserve"> también es un requisito de validez de los contratos, tanto en el régimen de las entidades sujetas al Estatuto General de Contratación de la Administración Pública</w:t>
      </w:r>
      <w:r w:rsidRPr="00135CB1">
        <w:rPr>
          <w:rFonts w:ascii="Verdana" w:eastAsia="Calibri" w:hAnsi="Verdana" w:cs="Arial"/>
          <w:color w:val="000000" w:themeColor="text1"/>
          <w:vertAlign w:val="superscript"/>
          <w:lang w:val="es-ES_tradnl"/>
        </w:rPr>
        <w:footnoteReference w:id="1"/>
      </w:r>
      <w:r w:rsidRPr="00135CB1">
        <w:rPr>
          <w:rFonts w:ascii="Verdana" w:eastAsia="Calibri" w:hAnsi="Verdana" w:cs="Arial"/>
          <w:color w:val="000000" w:themeColor="text1"/>
          <w:lang w:val="es-ES_tradnl"/>
        </w:rPr>
        <w:t xml:space="preserve"> como en el de las entidades exceptuadas de aquel</w:t>
      </w:r>
      <w:r w:rsidRPr="00135CB1">
        <w:rPr>
          <w:rFonts w:ascii="Verdana" w:eastAsia="Calibri" w:hAnsi="Verdana" w:cs="Arial"/>
          <w:color w:val="000000" w:themeColor="text1"/>
          <w:vertAlign w:val="superscript"/>
          <w:lang w:val="es-ES_tradnl"/>
        </w:rPr>
        <w:footnoteReference w:id="2"/>
      </w:r>
      <w:r w:rsidRPr="00135CB1">
        <w:rPr>
          <w:rFonts w:ascii="Verdana" w:eastAsia="Calibri" w:hAnsi="Verdana" w:cs="Arial"/>
          <w:color w:val="000000" w:themeColor="text1"/>
          <w:lang w:val="es-ES_tradnl"/>
        </w:rPr>
        <w:t xml:space="preserve">. </w:t>
      </w:r>
      <w:r w:rsidRPr="00937D3B">
        <w:rPr>
          <w:rFonts w:ascii="Verdana" w:eastAsia="Calibri" w:hAnsi="Verdana" w:cs="Arial"/>
          <w:color w:val="000000" w:themeColor="text1"/>
        </w:rPr>
        <w:t xml:space="preserve">Si bien la regulación de la capacidad </w:t>
      </w:r>
      <w:r>
        <w:rPr>
          <w:rFonts w:ascii="Verdana" w:eastAsia="Calibri" w:hAnsi="Verdana" w:cs="Arial"/>
          <w:color w:val="000000" w:themeColor="text1"/>
        </w:rPr>
        <w:t xml:space="preserve">en el contrato de prestación de servicios </w:t>
      </w:r>
      <w:r w:rsidRPr="00937D3B">
        <w:rPr>
          <w:rFonts w:ascii="Verdana" w:eastAsia="Calibri" w:hAnsi="Verdana" w:cs="Arial"/>
          <w:color w:val="000000" w:themeColor="text1"/>
        </w:rPr>
        <w:t xml:space="preserve">se integra por varias disposiciones y exigencias especiales, se destaca el régimen de inhabilidades e incompatibilidades como un conjunto de normas que imponen restricciones para </w:t>
      </w:r>
      <w:r>
        <w:rPr>
          <w:rFonts w:ascii="Verdana" w:eastAsia="Calibri" w:hAnsi="Verdana" w:cs="Arial"/>
          <w:color w:val="000000" w:themeColor="text1"/>
        </w:rPr>
        <w:t>l</w:t>
      </w:r>
      <w:r w:rsidRPr="00937D3B">
        <w:rPr>
          <w:rFonts w:ascii="Verdana" w:eastAsia="Calibri" w:hAnsi="Verdana" w:cs="Arial"/>
          <w:color w:val="000000" w:themeColor="text1"/>
        </w:rPr>
        <w:t>os sujetos que, eventualmente, pretendan participar en los procedimientos de selección o celebrar contratos con las entidades estatales</w:t>
      </w:r>
      <w:r w:rsidRPr="00135CB1">
        <w:rPr>
          <w:rFonts w:ascii="Verdana" w:eastAsia="Calibri" w:hAnsi="Verdana" w:cs="Arial"/>
          <w:color w:val="000000" w:themeColor="text1"/>
          <w:vertAlign w:val="superscript"/>
          <w:lang w:val="es-ES_tradnl"/>
        </w:rPr>
        <w:footnoteReference w:id="3"/>
      </w:r>
      <w:r w:rsidRPr="00135CB1">
        <w:rPr>
          <w:rFonts w:ascii="Verdana" w:eastAsia="Calibri" w:hAnsi="Verdana" w:cs="Arial"/>
          <w:color w:val="000000" w:themeColor="text1"/>
          <w:lang w:val="es-ES_tradnl"/>
        </w:rPr>
        <w:t>.</w:t>
      </w:r>
    </w:p>
    <w:p w14:paraId="7B68573B" w14:textId="77777777" w:rsidR="001C3BF3" w:rsidRPr="00135CB1" w:rsidRDefault="001C3BF3" w:rsidP="001C3BF3">
      <w:pPr>
        <w:spacing w:after="120" w:line="276" w:lineRule="auto"/>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t>Las inhabilidades son prohibiciones para concurrir a los procedimientos de selección y para contratar con el Estado, que se derivan i) de la existencia de comportamientos reprochables o de sanciones anteriormente impuestas</w:t>
      </w:r>
      <w:r w:rsidRPr="00135CB1">
        <w:rPr>
          <w:rFonts w:ascii="Verdana" w:eastAsia="Calibri" w:hAnsi="Verdana" w:cs="Arial"/>
          <w:color w:val="000000" w:themeColor="text1"/>
          <w:vertAlign w:val="superscript"/>
          <w:lang w:val="es-ES"/>
        </w:rPr>
        <w:footnoteReference w:id="4"/>
      </w:r>
      <w:r w:rsidRPr="00135CB1">
        <w:rPr>
          <w:rFonts w:ascii="Verdana" w:eastAsia="Calibri" w:hAnsi="Verdana" w:cs="Arial"/>
          <w:color w:val="000000" w:themeColor="text1"/>
          <w:lang w:val="es-ES"/>
        </w:rPr>
        <w:t xml:space="preserve">, ii) de </w:t>
      </w:r>
      <w:r w:rsidRPr="00135CB1">
        <w:rPr>
          <w:rFonts w:ascii="Verdana" w:eastAsia="Calibri" w:hAnsi="Verdana" w:cs="Arial"/>
          <w:color w:val="000000" w:themeColor="text1"/>
          <w:lang w:val="es-ES"/>
        </w:rPr>
        <w:lastRenderedPageBreak/>
        <w:t>vínculos personales relativos al parentesco o al estado civil</w:t>
      </w:r>
      <w:r w:rsidRPr="00135CB1">
        <w:rPr>
          <w:rFonts w:ascii="Verdana" w:eastAsia="Calibri" w:hAnsi="Verdana" w:cs="Arial"/>
          <w:color w:val="000000" w:themeColor="text1"/>
          <w:vertAlign w:val="superscript"/>
          <w:lang w:val="es-ES"/>
        </w:rPr>
        <w:footnoteReference w:id="5"/>
      </w:r>
      <w:r w:rsidRPr="00135CB1">
        <w:rPr>
          <w:rFonts w:ascii="Verdana" w:eastAsia="Calibri" w:hAnsi="Verdana" w:cs="Arial"/>
          <w:color w:val="000000" w:themeColor="text1"/>
          <w:lang w:val="es-ES"/>
        </w:rPr>
        <w:t xml:space="preserve"> o iii) de una actividad u oficio que se desempeñó en el pasado</w:t>
      </w:r>
      <w:r w:rsidRPr="00135CB1">
        <w:rPr>
          <w:rFonts w:ascii="Verdana" w:eastAsia="Calibri" w:hAnsi="Verdana" w:cs="Arial"/>
          <w:color w:val="000000" w:themeColor="text1"/>
          <w:vertAlign w:val="superscript"/>
          <w:lang w:val="es-ES"/>
        </w:rPr>
        <w:footnoteReference w:id="6"/>
      </w:r>
      <w:r w:rsidRPr="00135CB1">
        <w:rPr>
          <w:rFonts w:ascii="Verdana" w:eastAsia="Calibri" w:hAnsi="Verdana" w:cs="Arial"/>
          <w:color w:val="000000" w:themeColor="text1"/>
          <w:lang w:val="es-ES"/>
        </w:rPr>
        <w:t>. De otro lado,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135CB1">
        <w:rPr>
          <w:rFonts w:ascii="Verdana" w:eastAsia="Calibri" w:hAnsi="Verdana" w:cs="Arial"/>
          <w:color w:val="000000" w:themeColor="text1"/>
          <w:vertAlign w:val="superscript"/>
          <w:lang w:val="es-ES"/>
        </w:rPr>
        <w:footnoteReference w:id="7"/>
      </w:r>
      <w:r w:rsidRPr="00135CB1">
        <w:rPr>
          <w:rFonts w:ascii="Verdana" w:eastAsia="Calibri" w:hAnsi="Verdana" w:cs="Arial"/>
          <w:color w:val="000000" w:themeColor="text1"/>
          <w:lang w:val="es-ES"/>
        </w:rPr>
        <w:t xml:space="preserve">. </w:t>
      </w:r>
    </w:p>
    <w:p w14:paraId="6CE766F2" w14:textId="77777777" w:rsidR="001C3BF3" w:rsidRPr="00135CB1" w:rsidRDefault="001C3BF3" w:rsidP="001C3BF3">
      <w:pPr>
        <w:spacing w:after="120" w:line="276" w:lineRule="auto"/>
        <w:ind w:firstLine="709"/>
        <w:jc w:val="both"/>
        <w:rPr>
          <w:rFonts w:ascii="Verdana" w:eastAsia="Calibri" w:hAnsi="Verdana" w:cs="Arial"/>
          <w:color w:val="000000" w:themeColor="text1"/>
          <w:lang w:val="es-ES"/>
        </w:rPr>
      </w:pPr>
      <w:r w:rsidRPr="00135CB1">
        <w:rPr>
          <w:rFonts w:ascii="Verdana" w:eastAsia="Calibri" w:hAnsi="Verdana" w:cs="Arial"/>
          <w:color w:val="000000" w:themeColor="text1"/>
          <w:lang w:val="es-ES"/>
        </w:rPr>
        <w:lastRenderedPageBreak/>
        <w:t xml:space="preserve">El régimen de inhabilidades e incompatibilidades en la contratación pública responde a la tendencia de asegurar que la provisión de los bienes y servicios por parte de las entidades estatales se efectúe cumpliendo con los principios de la función administrativa y de la gestión fiscal, especialmente con probidad y transparencia. Es por eso que, como lo ha destacado la doctrina, las inhabilidades e incompatibilidades son herramientas en la lucha contra la corrupción, adoptando paulatinamente un carácter sancionatorio o </w:t>
      </w:r>
      <w:r>
        <w:rPr>
          <w:rFonts w:ascii="Verdana" w:eastAsia="Calibri" w:hAnsi="Verdana" w:cs="Arial"/>
          <w:color w:val="000000" w:themeColor="text1"/>
          <w:lang w:val="es-ES"/>
        </w:rPr>
        <w:t>“</w:t>
      </w:r>
      <w:r w:rsidRPr="00135CB1">
        <w:rPr>
          <w:rFonts w:ascii="Verdana" w:eastAsia="Calibri" w:hAnsi="Verdana" w:cs="Arial"/>
          <w:color w:val="000000" w:themeColor="text1"/>
          <w:lang w:val="es-ES"/>
        </w:rPr>
        <w:t>neopunitivo</w:t>
      </w:r>
      <w:r>
        <w:rPr>
          <w:rFonts w:ascii="Verdana" w:eastAsia="Calibri" w:hAnsi="Verdana" w:cs="Arial"/>
          <w:color w:val="000000" w:themeColor="text1"/>
          <w:lang w:val="es-ES"/>
        </w:rPr>
        <w:t>”</w:t>
      </w:r>
      <w:r w:rsidRPr="00135CB1">
        <w:rPr>
          <w:rFonts w:ascii="Verdana" w:eastAsia="Calibri" w:hAnsi="Verdana" w:cs="Arial"/>
          <w:color w:val="000000" w:themeColor="text1"/>
          <w:vertAlign w:val="superscript"/>
          <w:lang w:val="es-ES"/>
        </w:rPr>
        <w:footnoteReference w:id="8"/>
      </w:r>
      <w:r w:rsidRPr="00135CB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04653D24" w14:textId="77777777" w:rsidR="001C3BF3" w:rsidRPr="00135CB1" w:rsidRDefault="001C3BF3" w:rsidP="001C3BF3">
      <w:pPr>
        <w:spacing w:after="12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w:t>
      </w:r>
      <w:r w:rsidRPr="00135CB1">
        <w:rPr>
          <w:rFonts w:ascii="Verdana" w:eastAsia="Calibri" w:hAnsi="Verdana" w:cs="Arial"/>
          <w:i/>
          <w:iCs/>
          <w:color w:val="000000" w:themeColor="text1"/>
          <w:lang w:val="es-ES_tradnl"/>
        </w:rPr>
        <w:t>restrictiva</w:t>
      </w:r>
      <w:r w:rsidRPr="00135CB1">
        <w:rPr>
          <w:rFonts w:ascii="Verdana" w:eastAsia="Calibri" w:hAnsi="Verdana" w:cs="Arial"/>
          <w:color w:val="000000" w:themeColor="text1"/>
          <w:vertAlign w:val="superscript"/>
          <w:lang w:val="es-ES_tradnl"/>
        </w:rPr>
        <w:footnoteReference w:id="9"/>
      </w:r>
      <w:r w:rsidRPr="00135CB1">
        <w:rPr>
          <w:rFonts w:ascii="Verdana" w:eastAsia="Calibri" w:hAnsi="Verdana" w:cs="Arial"/>
          <w:color w:val="000000" w:themeColor="text1"/>
          <w:lang w:val="es-ES_tradnl"/>
        </w:rPr>
        <w:t xml:space="preserve">.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 </w:t>
      </w:r>
    </w:p>
    <w:p w14:paraId="3AE73EDB" w14:textId="77777777" w:rsidR="001C3BF3" w:rsidRDefault="001C3BF3" w:rsidP="001C3BF3">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 xml:space="preserve">prima </w:t>
      </w:r>
      <w:r w:rsidRPr="006B79A9">
        <w:rPr>
          <w:rFonts w:ascii="Verdana" w:eastAsia="Calibri" w:hAnsi="Verdana" w:cs="Arial"/>
          <w:i/>
          <w:iCs/>
          <w:color w:val="000000" w:themeColor="text1"/>
          <w:lang w:val="es-ES_tradnl"/>
        </w:rPr>
        <w:lastRenderedPageBreak/>
        <w:t>facie</w:t>
      </w:r>
      <w:r w:rsidRPr="00135CB1">
        <w:rPr>
          <w:rFonts w:ascii="Verdana" w:eastAsia="Calibri" w:hAnsi="Verdana" w:cs="Arial"/>
          <w:color w:val="000000" w:themeColor="text1"/>
          <w:lang w:val="es-ES_tradnl"/>
        </w:rPr>
        <w:t xml:space="preserve"> a criterios interpretativos tales como la analogía, la interpretación extensiva para ampliar el alcance de las causales legalmente fijadas</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0"/>
      </w:r>
      <w:r w:rsidRPr="00135CB1">
        <w:rPr>
          <w:rFonts w:ascii="Verdana" w:eastAsia="Calibri" w:hAnsi="Verdana" w:cs="Arial"/>
          <w:color w:val="000000" w:themeColor="text1"/>
          <w:lang w:val="es-ES_tradnl"/>
        </w:rPr>
        <w:t xml:space="preserve">. Por su parte, el Consejo de Estado ha acogido también este criterio, considerando –como expresa la Sala de Consulta y Servicio Civil–, que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Pr>
          <w:rFonts w:ascii="Verdana" w:eastAsia="Calibri" w:hAnsi="Verdana" w:cs="Arial"/>
          <w:color w:val="000000" w:themeColor="text1"/>
          <w:lang w:val="es-ES_tradnl"/>
        </w:rPr>
        <w:t>”</w:t>
      </w:r>
      <w:r w:rsidRPr="00135CB1">
        <w:rPr>
          <w:rFonts w:ascii="Verdana" w:eastAsia="Calibri" w:hAnsi="Verdana" w:cs="Arial"/>
          <w:color w:val="000000" w:themeColor="text1"/>
          <w:vertAlign w:val="superscript"/>
          <w:lang w:val="es-ES_tradnl"/>
        </w:rPr>
        <w:footnoteReference w:id="11"/>
      </w:r>
      <w:r w:rsidRPr="00135CB1">
        <w:rPr>
          <w:rFonts w:ascii="Verdana" w:eastAsia="Calibri" w:hAnsi="Verdana" w:cs="Arial"/>
          <w:color w:val="000000" w:themeColor="text1"/>
          <w:lang w:val="es-ES_tradnl"/>
        </w:rPr>
        <w:t>. En tal sentido, la Sección Tercera ha señalado que:</w:t>
      </w:r>
    </w:p>
    <w:p w14:paraId="54633AEA" w14:textId="77777777" w:rsidR="001C3BF3" w:rsidRPr="00135CB1" w:rsidRDefault="001C3BF3" w:rsidP="001C3BF3">
      <w:pPr>
        <w:spacing w:after="0" w:line="276" w:lineRule="auto"/>
        <w:ind w:firstLine="709"/>
        <w:rPr>
          <w:rFonts w:ascii="Verdana" w:eastAsia="Calibri" w:hAnsi="Verdana" w:cs="Arial"/>
          <w:color w:val="000000" w:themeColor="text1"/>
          <w:lang w:val="es-ES_tradnl"/>
        </w:rPr>
      </w:pPr>
    </w:p>
    <w:p w14:paraId="7DD7F74C" w14:textId="77777777" w:rsidR="001C3BF3" w:rsidRDefault="001C3BF3" w:rsidP="001C3BF3">
      <w:pPr>
        <w:spacing w:after="0"/>
        <w:ind w:left="709" w:right="709"/>
        <w:jc w:val="both"/>
        <w:rPr>
          <w:rFonts w:ascii="Verdana" w:hAnsi="Verdana" w:cs="Arial"/>
          <w:color w:val="000000" w:themeColor="text1"/>
          <w:sz w:val="21"/>
          <w:szCs w:val="21"/>
          <w:lang w:val="es-ES_tradnl"/>
        </w:rPr>
      </w:pPr>
      <w:r w:rsidRPr="00135CB1">
        <w:rPr>
          <w:rFonts w:ascii="Verdana" w:hAnsi="Verdana" w:cs="Arial"/>
          <w:color w:val="000000" w:themeColor="text1"/>
          <w:sz w:val="21"/>
          <w:szCs w:val="21"/>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135CB1">
        <w:rPr>
          <w:rFonts w:ascii="Verdana" w:hAnsi="Verdana" w:cs="Arial"/>
          <w:color w:val="000000" w:themeColor="text1"/>
          <w:sz w:val="21"/>
          <w:szCs w:val="21"/>
          <w:vertAlign w:val="superscript"/>
          <w:lang w:val="es-ES_tradnl"/>
        </w:rPr>
        <w:footnoteReference w:id="12"/>
      </w:r>
      <w:r w:rsidRPr="00135CB1">
        <w:rPr>
          <w:rFonts w:ascii="Verdana" w:hAnsi="Verdana" w:cs="Arial"/>
          <w:color w:val="000000" w:themeColor="text1"/>
          <w:sz w:val="21"/>
          <w:szCs w:val="21"/>
          <w:lang w:val="es-ES_tradnl"/>
        </w:rPr>
        <w:t>.</w:t>
      </w:r>
    </w:p>
    <w:p w14:paraId="61372C13" w14:textId="77777777" w:rsidR="001C3BF3" w:rsidRPr="00135CB1" w:rsidRDefault="001C3BF3" w:rsidP="001C3BF3">
      <w:pPr>
        <w:spacing w:after="0"/>
        <w:ind w:left="709" w:right="709"/>
        <w:jc w:val="both"/>
        <w:rPr>
          <w:rFonts w:ascii="Verdana" w:hAnsi="Verdana" w:cs="Arial"/>
          <w:bCs/>
          <w:color w:val="000000" w:themeColor="text1"/>
          <w:sz w:val="21"/>
          <w:szCs w:val="21"/>
          <w:lang w:val="es-ES_tradnl"/>
        </w:rPr>
      </w:pPr>
    </w:p>
    <w:p w14:paraId="1CA2AC59" w14:textId="77777777" w:rsidR="001C3BF3" w:rsidRPr="00135CB1" w:rsidRDefault="001C3BF3" w:rsidP="001C3BF3">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También ha dicho que:</w:t>
      </w:r>
    </w:p>
    <w:p w14:paraId="27BA84D6" w14:textId="77777777" w:rsidR="001C3BF3" w:rsidRPr="00135CB1" w:rsidRDefault="001C3BF3" w:rsidP="001C3BF3">
      <w:pPr>
        <w:spacing w:after="0"/>
        <w:ind w:firstLine="709"/>
        <w:jc w:val="both"/>
        <w:rPr>
          <w:rFonts w:ascii="Verdana" w:eastAsia="Calibri" w:hAnsi="Verdana" w:cs="Arial"/>
          <w:color w:val="000000" w:themeColor="text1"/>
          <w:sz w:val="21"/>
          <w:szCs w:val="21"/>
          <w:lang w:val="es-ES_tradnl"/>
        </w:rPr>
      </w:pPr>
    </w:p>
    <w:p w14:paraId="3986C98E" w14:textId="77777777" w:rsidR="001C3BF3" w:rsidRPr="00135CB1" w:rsidRDefault="001C3BF3" w:rsidP="001C3BF3">
      <w:pPr>
        <w:spacing w:after="0"/>
        <w:ind w:left="709" w:right="709"/>
        <w:jc w:val="both"/>
        <w:rPr>
          <w:rFonts w:ascii="Verdana" w:hAnsi="Verdana" w:cs="Arial"/>
          <w:color w:val="000000" w:themeColor="text1"/>
          <w:sz w:val="21"/>
          <w:szCs w:val="21"/>
          <w:lang w:val="es-ES"/>
        </w:rPr>
      </w:pPr>
      <w:r w:rsidRPr="00135CB1">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135CB1">
        <w:rPr>
          <w:rFonts w:ascii="Verdana" w:hAnsi="Verdana" w:cs="Arial"/>
          <w:i/>
          <w:iCs/>
          <w:color w:val="000000" w:themeColor="text1"/>
          <w:sz w:val="21"/>
          <w:szCs w:val="21"/>
          <w:lang w:val="es-ES"/>
        </w:rPr>
        <w:t>pro libertate</w:t>
      </w:r>
      <w:r w:rsidRPr="00135CB1">
        <w:rPr>
          <w:rFonts w:ascii="Verdana" w:hAnsi="Verdana" w:cs="Arial"/>
          <w:color w:val="000000" w:themeColor="text1"/>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 […]</w:t>
      </w:r>
      <w:r w:rsidRPr="00135CB1">
        <w:rPr>
          <w:rFonts w:ascii="Verdana" w:hAnsi="Verdana" w:cs="Arial"/>
          <w:color w:val="000000" w:themeColor="text1"/>
          <w:sz w:val="21"/>
          <w:szCs w:val="21"/>
          <w:vertAlign w:val="superscript"/>
          <w:lang w:val="es-ES"/>
        </w:rPr>
        <w:footnoteReference w:id="13"/>
      </w:r>
      <w:r w:rsidRPr="00135CB1">
        <w:rPr>
          <w:rFonts w:ascii="Verdana" w:hAnsi="Verdana" w:cs="Arial"/>
          <w:color w:val="000000" w:themeColor="text1"/>
          <w:sz w:val="21"/>
          <w:szCs w:val="21"/>
          <w:lang w:val="es-ES"/>
        </w:rPr>
        <w:t>.</w:t>
      </w:r>
    </w:p>
    <w:p w14:paraId="02EF0ED4" w14:textId="77777777" w:rsidR="001C3BF3" w:rsidRPr="00135CB1" w:rsidRDefault="001C3BF3" w:rsidP="001C3BF3">
      <w:pPr>
        <w:spacing w:after="0" w:line="276" w:lineRule="auto"/>
        <w:ind w:left="709" w:right="709"/>
        <w:jc w:val="both"/>
        <w:rPr>
          <w:rFonts w:ascii="Verdana" w:hAnsi="Verdana" w:cs="Arial"/>
          <w:color w:val="000000" w:themeColor="text1"/>
          <w:sz w:val="21"/>
          <w:szCs w:val="21"/>
          <w:lang w:val="es-ES_tradnl"/>
        </w:rPr>
      </w:pPr>
    </w:p>
    <w:p w14:paraId="28187E02" w14:textId="77777777" w:rsidR="001C3BF3" w:rsidRDefault="001C3BF3" w:rsidP="001C3BF3">
      <w:pPr>
        <w:spacing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lastRenderedPageBreak/>
        <w:t xml:space="preserve">Como se aprecia, el principio </w:t>
      </w:r>
      <w:r w:rsidRPr="00135CB1">
        <w:rPr>
          <w:rFonts w:ascii="Verdana" w:eastAsia="Calibri" w:hAnsi="Verdana" w:cs="Arial"/>
          <w:i/>
          <w:iCs/>
          <w:color w:val="000000" w:themeColor="text1"/>
          <w:lang w:val="es-ES_tradnl"/>
        </w:rPr>
        <w:t>pro libertate</w:t>
      </w:r>
      <w:r w:rsidRPr="00135CB1">
        <w:rPr>
          <w:rFonts w:ascii="Verdana" w:eastAsia="Calibri" w:hAnsi="Verdana" w:cs="Arial"/>
          <w:color w:val="000000" w:themeColor="text1"/>
          <w:lang w:val="es-ES_tradnl"/>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4EA6E5E6" w14:textId="77777777" w:rsidR="001C3BF3" w:rsidRDefault="001C3BF3" w:rsidP="001C3BF3">
      <w:pPr>
        <w:spacing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Explicada la generalidad sobre el régimen de inhabilidades e incompatibilidades, resulta pertinente exponer lo concerniente a las generalidades del contrato de prestación de servicios, para luego abordar el problema jurídico desde dichas perspectivas. </w:t>
      </w:r>
    </w:p>
    <w:p w14:paraId="73CE8ADC" w14:textId="77777777" w:rsidR="001C3BF3" w:rsidRDefault="001C3BF3" w:rsidP="001C3BF3">
      <w:pPr>
        <w:spacing w:after="0" w:line="276" w:lineRule="auto"/>
        <w:ind w:firstLine="709"/>
        <w:jc w:val="both"/>
        <w:rPr>
          <w:rFonts w:ascii="Verdana" w:hAnsi="Verdana" w:cs="Arial"/>
          <w:color w:val="000000" w:themeColor="text1"/>
          <w:lang w:val="es-ES_tradnl"/>
        </w:rPr>
      </w:pPr>
      <w:r w:rsidRPr="00966C6B">
        <w:rPr>
          <w:rFonts w:ascii="Verdana" w:hAnsi="Verdana" w:cs="Arial"/>
          <w:bCs/>
          <w:color w:val="000000" w:themeColor="text1"/>
        </w:rPr>
        <w:t>E</w:t>
      </w:r>
      <w:r w:rsidRPr="00966C6B">
        <w:rPr>
          <w:rFonts w:ascii="Verdana" w:hAnsi="Verdana" w:cs="Arial"/>
          <w:color w:val="000000" w:themeColor="text1"/>
          <w:lang w:val="es-ES_tradnl"/>
        </w:rPr>
        <w:t>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55B1FFC0" w14:textId="77777777" w:rsidR="001C3BF3" w:rsidRPr="00966C6B" w:rsidRDefault="001C3BF3" w:rsidP="001C3BF3">
      <w:pPr>
        <w:spacing w:after="0" w:line="276" w:lineRule="auto"/>
        <w:ind w:firstLine="709"/>
        <w:jc w:val="both"/>
        <w:rPr>
          <w:rFonts w:ascii="Verdana" w:hAnsi="Verdana" w:cs="Arial"/>
          <w:color w:val="000000" w:themeColor="text1"/>
          <w:lang w:val="es-ES_tradnl"/>
        </w:rPr>
      </w:pPr>
    </w:p>
    <w:p w14:paraId="28AD3CE5" w14:textId="77777777" w:rsidR="001C3BF3" w:rsidRPr="00966C6B" w:rsidRDefault="001C3BF3" w:rsidP="001C3BF3">
      <w:pPr>
        <w:spacing w:after="120"/>
        <w:ind w:left="709" w:right="709"/>
        <w:jc w:val="both"/>
        <w:rPr>
          <w:rFonts w:ascii="Verdana" w:eastAsia="Calibri" w:hAnsi="Verdana" w:cs="Arial"/>
          <w:color w:val="000000" w:themeColor="text1"/>
          <w:sz w:val="21"/>
          <w:szCs w:val="21"/>
          <w:lang w:val="es-ES_tradnl"/>
        </w:rPr>
      </w:pPr>
      <w:r w:rsidRPr="00966C6B">
        <w:rPr>
          <w:rFonts w:ascii="Verdana" w:eastAsia="Calibri" w:hAnsi="Verdana" w:cs="Arial"/>
          <w:color w:val="000000" w:themeColor="text1"/>
          <w:sz w:val="21"/>
          <w:szCs w:val="21"/>
          <w:lang w:val="es-ES_tradnl"/>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1905F65C" w14:textId="77777777" w:rsidR="001C3BF3" w:rsidRDefault="001C3BF3" w:rsidP="001C3BF3">
      <w:pPr>
        <w:spacing w:after="0"/>
        <w:ind w:left="709" w:right="709"/>
        <w:jc w:val="both"/>
        <w:rPr>
          <w:rFonts w:ascii="Verdana" w:eastAsia="Calibri" w:hAnsi="Verdana" w:cs="Arial"/>
          <w:color w:val="000000" w:themeColor="text1"/>
          <w:sz w:val="21"/>
          <w:szCs w:val="21"/>
          <w:lang w:val="es-ES_tradnl"/>
        </w:rPr>
      </w:pPr>
      <w:r w:rsidRPr="00966C6B">
        <w:rPr>
          <w:rFonts w:ascii="Verdana" w:eastAsia="Calibri" w:hAnsi="Verdana" w:cs="Arial"/>
          <w:color w:val="000000" w:themeColor="text1"/>
          <w:sz w:val="21"/>
          <w:szCs w:val="21"/>
          <w:lang w:val="es-ES_tradnl"/>
        </w:rPr>
        <w:t>En ningún caso estos contratos generan relación laboral ni prestaciones sociales y se celebrarán por el término estrictamente indispensable.</w:t>
      </w:r>
    </w:p>
    <w:p w14:paraId="14C8E0BF" w14:textId="77777777" w:rsidR="001C3BF3" w:rsidRPr="00966C6B" w:rsidRDefault="001C3BF3" w:rsidP="001C3BF3">
      <w:pPr>
        <w:spacing w:after="0"/>
        <w:ind w:left="709" w:right="709"/>
        <w:jc w:val="both"/>
        <w:rPr>
          <w:rFonts w:ascii="Verdana" w:eastAsia="Calibri" w:hAnsi="Verdana" w:cs="Arial"/>
          <w:b/>
          <w:color w:val="000000" w:themeColor="text1"/>
          <w:lang w:val="es-ES_tradnl"/>
        </w:rPr>
      </w:pPr>
    </w:p>
    <w:p w14:paraId="7962B123" w14:textId="77777777" w:rsidR="001C3BF3" w:rsidRPr="00966C6B" w:rsidRDefault="001C3BF3" w:rsidP="001C3BF3">
      <w:pPr>
        <w:spacing w:after="0" w:line="276" w:lineRule="auto"/>
        <w:ind w:firstLine="709"/>
        <w:jc w:val="both"/>
        <w:rPr>
          <w:rFonts w:ascii="Verdana" w:hAnsi="Verdana" w:cs="Arial"/>
          <w:color w:val="000000" w:themeColor="text1"/>
          <w:lang w:val="es-ES"/>
        </w:rPr>
      </w:pPr>
      <w:r w:rsidRPr="00966C6B">
        <w:rPr>
          <w:rFonts w:ascii="Verdana" w:hAnsi="Verdana" w:cs="Arial"/>
          <w:color w:val="000000" w:themeColor="text1"/>
          <w:lang w:val="es-ES"/>
        </w:rPr>
        <w:t>De otro lado, la celebración de dicho contrato se debe efectuar a través de la modalidad de la contratación directa. Así lo prevé el artículo 2, numeral 4º, literal h), de la Ley 1150 de 2007, que dispone:</w:t>
      </w:r>
    </w:p>
    <w:p w14:paraId="5A327CEE" w14:textId="77777777" w:rsidR="001C3BF3" w:rsidRPr="00966C6B" w:rsidRDefault="001C3BF3" w:rsidP="001C3BF3">
      <w:pPr>
        <w:spacing w:after="0"/>
        <w:ind w:right="709"/>
        <w:jc w:val="both"/>
        <w:rPr>
          <w:rFonts w:ascii="Verdana" w:eastAsia="Calibri" w:hAnsi="Verdana" w:cs="Arial"/>
          <w:color w:val="000000" w:themeColor="text1"/>
          <w:sz w:val="21"/>
          <w:szCs w:val="21"/>
          <w:lang w:val="es-ES_tradnl"/>
        </w:rPr>
      </w:pPr>
    </w:p>
    <w:p w14:paraId="5DEFA1FB" w14:textId="77777777" w:rsidR="001C3BF3" w:rsidRPr="00966C6B" w:rsidRDefault="001C3BF3" w:rsidP="001C3BF3">
      <w:pPr>
        <w:ind w:left="709" w:right="758"/>
        <w:jc w:val="both"/>
        <w:rPr>
          <w:rFonts w:ascii="Verdana" w:hAnsi="Verdana" w:cs="Arial"/>
          <w:color w:val="000000" w:themeColor="text1"/>
          <w:sz w:val="21"/>
          <w:szCs w:val="21"/>
        </w:rPr>
      </w:pPr>
      <w:r w:rsidRPr="00966C6B">
        <w:rPr>
          <w:rFonts w:ascii="Verdana" w:hAnsi="Verdana" w:cs="Arial"/>
          <w:color w:val="000000" w:themeColor="text1"/>
          <w:sz w:val="21"/>
          <w:szCs w:val="21"/>
        </w:rPr>
        <w:t>La escogencia del contratista se efectuará con arreglo a las modalidades de selección de licitación pública, selección abreviada, concurso de méritos y contratación directa, con base en las siguientes reglas:</w:t>
      </w:r>
    </w:p>
    <w:p w14:paraId="4D260D20" w14:textId="77777777" w:rsidR="001C3BF3" w:rsidRPr="00966C6B" w:rsidRDefault="001C3BF3" w:rsidP="001C3BF3">
      <w:pPr>
        <w:spacing w:after="120"/>
        <w:ind w:left="709" w:right="760"/>
        <w:jc w:val="both"/>
        <w:rPr>
          <w:rFonts w:ascii="Verdana" w:hAnsi="Verdana" w:cs="Arial"/>
          <w:color w:val="000000" w:themeColor="text1"/>
          <w:sz w:val="21"/>
          <w:szCs w:val="21"/>
        </w:rPr>
      </w:pPr>
      <w:r w:rsidRPr="00966C6B">
        <w:rPr>
          <w:rFonts w:ascii="Verdana" w:hAnsi="Verdana" w:cs="Arial"/>
          <w:color w:val="000000" w:themeColor="text1"/>
          <w:sz w:val="21"/>
          <w:szCs w:val="21"/>
        </w:rPr>
        <w:t>[…]</w:t>
      </w:r>
    </w:p>
    <w:p w14:paraId="47D25087" w14:textId="77777777" w:rsidR="001C3BF3" w:rsidRPr="00966C6B" w:rsidRDefault="001C3BF3" w:rsidP="001C3BF3">
      <w:pPr>
        <w:ind w:left="709" w:right="758"/>
        <w:jc w:val="both"/>
        <w:rPr>
          <w:rFonts w:ascii="Verdana" w:hAnsi="Verdana" w:cs="Arial"/>
          <w:color w:val="000000" w:themeColor="text1"/>
          <w:sz w:val="21"/>
          <w:szCs w:val="21"/>
        </w:rPr>
      </w:pPr>
      <w:r w:rsidRPr="00966C6B">
        <w:rPr>
          <w:rFonts w:ascii="Verdana" w:hAnsi="Verdana" w:cs="Arial"/>
          <w:color w:val="000000" w:themeColor="text1"/>
          <w:sz w:val="21"/>
          <w:szCs w:val="21"/>
        </w:rPr>
        <w:lastRenderedPageBreak/>
        <w:t>4. Contratación directa. La modalidad de selección de contratación directa, solamente procederá en los siguientes casos:</w:t>
      </w:r>
    </w:p>
    <w:p w14:paraId="6A6824F4" w14:textId="77777777" w:rsidR="001C3BF3" w:rsidRPr="00966C6B" w:rsidRDefault="001C3BF3" w:rsidP="001C3BF3">
      <w:pPr>
        <w:spacing w:after="120"/>
        <w:ind w:left="709" w:right="760"/>
        <w:jc w:val="both"/>
        <w:rPr>
          <w:rFonts w:ascii="Verdana" w:hAnsi="Verdana" w:cs="Arial"/>
          <w:color w:val="000000" w:themeColor="text1"/>
          <w:sz w:val="21"/>
          <w:szCs w:val="21"/>
        </w:rPr>
      </w:pPr>
      <w:r w:rsidRPr="00966C6B">
        <w:rPr>
          <w:rFonts w:ascii="Verdana" w:hAnsi="Verdana" w:cs="Arial"/>
          <w:color w:val="000000" w:themeColor="text1"/>
          <w:sz w:val="21"/>
          <w:szCs w:val="21"/>
        </w:rPr>
        <w:t>[…]</w:t>
      </w:r>
    </w:p>
    <w:p w14:paraId="385EA3A5" w14:textId="77777777" w:rsidR="001C3BF3" w:rsidRPr="00966C6B" w:rsidRDefault="001C3BF3" w:rsidP="001C3BF3">
      <w:pPr>
        <w:spacing w:after="0"/>
        <w:ind w:left="709" w:right="758"/>
        <w:jc w:val="both"/>
        <w:rPr>
          <w:rFonts w:ascii="Verdana" w:hAnsi="Verdana" w:cs="Arial"/>
          <w:color w:val="000000" w:themeColor="text1"/>
          <w:sz w:val="21"/>
          <w:szCs w:val="21"/>
        </w:rPr>
      </w:pPr>
      <w:r w:rsidRPr="00966C6B">
        <w:rPr>
          <w:rFonts w:ascii="Verdana" w:hAnsi="Verdana" w:cs="Arial"/>
          <w:color w:val="000000" w:themeColor="text1"/>
          <w:sz w:val="21"/>
          <w:szCs w:val="21"/>
        </w:rPr>
        <w:t>h) Para la prestación de servicios profesionales y de apoyo a la gestión, o para la ejecución de trabajos artísticos que sólo puedan encomendarse a determinadas personas naturales.</w:t>
      </w:r>
    </w:p>
    <w:p w14:paraId="21B8C636" w14:textId="77777777" w:rsidR="001C3BF3" w:rsidRPr="00966C6B" w:rsidRDefault="001C3BF3" w:rsidP="001C3BF3">
      <w:pPr>
        <w:spacing w:after="0"/>
        <w:ind w:right="709"/>
        <w:jc w:val="both"/>
        <w:rPr>
          <w:rFonts w:ascii="Verdana" w:eastAsia="Calibri" w:hAnsi="Verdana" w:cs="Arial"/>
          <w:color w:val="000000" w:themeColor="text1"/>
          <w:lang w:val="es-ES_tradnl"/>
        </w:rPr>
      </w:pPr>
    </w:p>
    <w:p w14:paraId="4898D437" w14:textId="77777777" w:rsidR="001C3BF3" w:rsidRPr="00966C6B" w:rsidRDefault="001C3BF3" w:rsidP="001C3BF3">
      <w:pPr>
        <w:spacing w:line="276" w:lineRule="auto"/>
        <w:ind w:firstLine="709"/>
        <w:jc w:val="both"/>
        <w:rPr>
          <w:rFonts w:ascii="Verdana" w:hAnsi="Verdana" w:cs="Arial"/>
          <w:color w:val="000000" w:themeColor="text1"/>
          <w:lang w:val="es-ES_tradnl"/>
        </w:rPr>
      </w:pPr>
      <w:r w:rsidRPr="00966C6B">
        <w:rPr>
          <w:rFonts w:ascii="Verdana" w:hAnsi="Verdana" w:cs="Arial"/>
          <w:color w:val="000000" w:themeColor="text1"/>
          <w:lang w:val="es-ES_tradnl"/>
        </w:rPr>
        <w:t>A partir de las disposiciones citadas y de los pronunciamientos judiciales más destacados sobre el tema, es posible señalar las siguientes características del contrato de prestación de servicios:</w:t>
      </w:r>
    </w:p>
    <w:p w14:paraId="2A123094" w14:textId="77777777" w:rsidR="001C3BF3" w:rsidRPr="00966C6B" w:rsidRDefault="001C3BF3" w:rsidP="001C3BF3">
      <w:pPr>
        <w:spacing w:before="120" w:after="120" w:line="276" w:lineRule="auto"/>
        <w:ind w:firstLine="709"/>
        <w:jc w:val="both"/>
        <w:rPr>
          <w:rFonts w:ascii="Verdana" w:hAnsi="Verdana" w:cs="Arial"/>
          <w:color w:val="000000" w:themeColor="text1"/>
          <w:lang w:val="es-ES_tradnl"/>
        </w:rPr>
      </w:pPr>
      <w:r w:rsidRPr="00966C6B">
        <w:rPr>
          <w:rFonts w:ascii="Verdana" w:hAnsi="Verdana" w:cs="Arial"/>
          <w:color w:val="000000" w:themeColor="text1"/>
          <w:lang w:val="es-ES_tradnl"/>
        </w:rPr>
        <w:t xml:space="preserve">i) Solo puede celebrarse para realizar </w:t>
      </w:r>
      <w:r>
        <w:rPr>
          <w:rFonts w:ascii="Verdana" w:hAnsi="Verdana" w:cs="Arial"/>
          <w:color w:val="000000" w:themeColor="text1"/>
          <w:lang w:val="es-ES_tradnl"/>
        </w:rPr>
        <w:t>“</w:t>
      </w:r>
      <w:r w:rsidRPr="00966C6B">
        <w:rPr>
          <w:rFonts w:ascii="Verdana" w:hAnsi="Verdana" w:cs="Arial"/>
          <w:color w:val="000000" w:themeColor="text1"/>
          <w:lang w:val="es-ES_tradnl"/>
        </w:rPr>
        <w:t>actividades relacionadas con la administración o funcionamiento de la entidad</w:t>
      </w:r>
      <w:r>
        <w:rPr>
          <w:rFonts w:ascii="Verdana" w:hAnsi="Verdana" w:cs="Arial"/>
          <w:color w:val="000000" w:themeColor="text1"/>
          <w:lang w:val="es-ES_tradnl"/>
        </w:rPr>
        <w:t>”</w:t>
      </w:r>
      <w:r w:rsidRPr="00966C6B">
        <w:rPr>
          <w:rFonts w:ascii="Verdana" w:hAnsi="Verdana" w:cs="Arial"/>
          <w:color w:val="000000" w:themeColor="text1"/>
          <w:lang w:val="es-ES_tradnl"/>
        </w:rPr>
        <w:t>, es decir, que hagan parte de su giro ordinario o quehacer cotidiano.</w:t>
      </w:r>
    </w:p>
    <w:p w14:paraId="16DE5524" w14:textId="77777777" w:rsidR="001C3BF3" w:rsidRPr="00966C6B" w:rsidRDefault="001C3BF3" w:rsidP="001C3BF3">
      <w:pPr>
        <w:spacing w:before="120" w:after="120" w:line="276" w:lineRule="auto"/>
        <w:ind w:firstLine="709"/>
        <w:jc w:val="both"/>
        <w:rPr>
          <w:rFonts w:ascii="Verdana" w:hAnsi="Verdana" w:cs="Arial"/>
          <w:color w:val="000000" w:themeColor="text1"/>
          <w:lang w:val="es-ES"/>
        </w:rPr>
      </w:pPr>
      <w:r w:rsidRPr="00966C6B">
        <w:rPr>
          <w:rFonts w:ascii="Verdana" w:hAnsi="Verdana" w:cs="Arial"/>
          <w:color w:val="000000" w:themeColor="text1"/>
          <w:lang w:val="es-ES"/>
        </w:rPr>
        <w:t xml:space="preserve">ii) Admite que se suscriba tanto con personas naturales como con personas jurídicas. Sin embargo, cuando pretenda celebrarse con una persona natural, la entidad estatal debe justificar en los estudios previos que las actividades que buscan encomendarse a aquella </w:t>
      </w:r>
      <w:r>
        <w:rPr>
          <w:rFonts w:ascii="Verdana" w:hAnsi="Verdana" w:cs="Arial"/>
          <w:color w:val="000000" w:themeColor="text1"/>
          <w:lang w:val="es-ES"/>
        </w:rPr>
        <w:t>“</w:t>
      </w:r>
      <w:r w:rsidRPr="00966C6B">
        <w:rPr>
          <w:rFonts w:ascii="Verdana" w:hAnsi="Verdana" w:cs="Arial"/>
          <w:color w:val="000000" w:themeColor="text1"/>
          <w:lang w:val="es-ES"/>
        </w:rPr>
        <w:t>no puedan realizarse con personal de planta o requieran conocimientos especializados</w:t>
      </w:r>
      <w:r>
        <w:rPr>
          <w:rFonts w:ascii="Verdana" w:hAnsi="Verdana" w:cs="Arial"/>
          <w:color w:val="000000" w:themeColor="text1"/>
          <w:lang w:val="es-ES"/>
        </w:rPr>
        <w:t>”</w:t>
      </w:r>
      <w:r w:rsidRPr="00966C6B">
        <w:rPr>
          <w:rFonts w:ascii="Verdana" w:hAnsi="Verdana" w:cs="Arial"/>
          <w:color w:val="000000" w:themeColor="text1"/>
          <w:lang w:val="es-ES"/>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6A750278" w14:textId="77777777" w:rsidR="001C3BF3" w:rsidRPr="00966C6B" w:rsidRDefault="001C3BF3" w:rsidP="001C3BF3">
      <w:pPr>
        <w:spacing w:before="120" w:after="120" w:line="276" w:lineRule="auto"/>
        <w:ind w:firstLine="709"/>
        <w:jc w:val="both"/>
        <w:rPr>
          <w:rFonts w:ascii="Verdana" w:hAnsi="Verdana" w:cs="Arial"/>
          <w:color w:val="000000" w:themeColor="text1"/>
          <w:lang w:val="es-ES"/>
        </w:rPr>
      </w:pPr>
      <w:r w:rsidRPr="00966C6B">
        <w:rPr>
          <w:rFonts w:ascii="Verdana" w:hAnsi="Verdana" w:cs="Arial"/>
          <w:color w:val="000000" w:themeColor="text1"/>
          <w:lang w:val="es-ES"/>
        </w:rPr>
        <w:t>iii) Si bien se celebran para obtener la prestación personal de un servicio, se diferencian del contrato de trabajo</w:t>
      </w:r>
      <w:r w:rsidRPr="00966C6B">
        <w:rPr>
          <w:rStyle w:val="Refdenotaalpie"/>
          <w:rFonts w:ascii="Verdana" w:hAnsi="Verdana" w:cs="Arial"/>
          <w:color w:val="000000" w:themeColor="text1"/>
          <w:lang w:val="es-ES"/>
        </w:rPr>
        <w:footnoteReference w:id="14"/>
      </w:r>
      <w:r w:rsidRPr="00966C6B">
        <w:rPr>
          <w:rFonts w:ascii="Verdana" w:hAnsi="Verdana" w:cs="Arial"/>
          <w:color w:val="000000" w:themeColor="text1"/>
          <w:lang w:val="es-ES"/>
        </w:rPr>
        <w:t xml:space="preserve"> en que quien celebra el contrato de prestación de servicios profesionales debe mantener autonomía e independencia en la ejecución de la labor, lo que significa que no puede existir la </w:t>
      </w:r>
      <w:r w:rsidRPr="00966C6B">
        <w:rPr>
          <w:rFonts w:ascii="Verdana" w:hAnsi="Verdana" w:cs="Arial"/>
          <w:i/>
          <w:iCs/>
          <w:color w:val="000000" w:themeColor="text1"/>
          <w:lang w:val="es-ES"/>
        </w:rPr>
        <w:t>subordinación y dependencia</w:t>
      </w:r>
      <w:r w:rsidRPr="00966C6B">
        <w:rPr>
          <w:rFonts w:ascii="Verdana" w:hAnsi="Verdana" w:cs="Arial"/>
          <w:color w:val="000000" w:themeColor="text1"/>
          <w:lang w:val="es-ES"/>
        </w:rPr>
        <w:t xml:space="preserve">, que es uno de los elementos constitutivos del vínculo laboral. Por ello el artículo 32, numeral 3º, de la Ley 80 de 1993 establece que </w:t>
      </w:r>
      <w:r>
        <w:rPr>
          <w:rFonts w:ascii="Verdana" w:hAnsi="Verdana" w:cs="Arial"/>
          <w:color w:val="000000" w:themeColor="text1"/>
          <w:lang w:val="es-ES"/>
        </w:rPr>
        <w:t>“</w:t>
      </w:r>
      <w:r w:rsidRPr="00966C6B">
        <w:rPr>
          <w:rFonts w:ascii="Verdana" w:hAnsi="Verdana" w:cs="Arial"/>
          <w:color w:val="000000" w:themeColor="text1"/>
          <w:lang w:val="es-ES"/>
        </w:rPr>
        <w:t>En ningún caso estos contratos generan relación laboral ni prestaciones sociales</w:t>
      </w:r>
      <w:r>
        <w:rPr>
          <w:rFonts w:ascii="Verdana" w:hAnsi="Verdana" w:cs="Arial"/>
          <w:color w:val="000000" w:themeColor="text1"/>
          <w:lang w:val="es-ES"/>
        </w:rPr>
        <w:t>”</w:t>
      </w:r>
      <w:r w:rsidRPr="00966C6B">
        <w:rPr>
          <w:rFonts w:ascii="Verdana" w:hAnsi="Verdana" w:cs="Arial"/>
          <w:color w:val="000000" w:themeColor="text1"/>
          <w:lang w:val="es-ES"/>
        </w:rPr>
        <w:t xml:space="preserve">, inciso que más que un enunciado que aluda al </w:t>
      </w:r>
      <w:r>
        <w:rPr>
          <w:rFonts w:ascii="Verdana" w:hAnsi="Verdana" w:cs="Arial"/>
          <w:color w:val="000000" w:themeColor="text1"/>
          <w:lang w:val="es-ES"/>
        </w:rPr>
        <w:t>“</w:t>
      </w:r>
      <w:r w:rsidRPr="00966C6B">
        <w:rPr>
          <w:rFonts w:ascii="Verdana" w:hAnsi="Verdana" w:cs="Arial"/>
          <w:color w:val="000000" w:themeColor="text1"/>
          <w:lang w:val="es-ES"/>
        </w:rPr>
        <w:t>ser</w:t>
      </w:r>
      <w:r>
        <w:rPr>
          <w:rFonts w:ascii="Verdana" w:hAnsi="Verdana" w:cs="Arial"/>
          <w:color w:val="000000" w:themeColor="text1"/>
          <w:lang w:val="es-ES"/>
        </w:rPr>
        <w:t>”</w:t>
      </w:r>
      <w:r w:rsidRPr="00966C6B">
        <w:rPr>
          <w:rFonts w:ascii="Verdana" w:hAnsi="Verdana" w:cs="Arial"/>
          <w:color w:val="000000" w:themeColor="text1"/>
          <w:lang w:val="es-ES"/>
        </w:rPr>
        <w:t xml:space="preserve"> se refiere al </w:t>
      </w:r>
      <w:r>
        <w:rPr>
          <w:rFonts w:ascii="Verdana" w:hAnsi="Verdana" w:cs="Arial"/>
          <w:color w:val="000000" w:themeColor="text1"/>
          <w:lang w:val="es-ES"/>
        </w:rPr>
        <w:t>“</w:t>
      </w:r>
      <w:r w:rsidRPr="00966C6B">
        <w:rPr>
          <w:rFonts w:ascii="Verdana" w:hAnsi="Verdana" w:cs="Arial"/>
          <w:color w:val="000000" w:themeColor="text1"/>
          <w:lang w:val="es-ES"/>
        </w:rPr>
        <w:t>deber ser</w:t>
      </w:r>
      <w:r>
        <w:rPr>
          <w:rFonts w:ascii="Verdana" w:hAnsi="Verdana" w:cs="Arial"/>
          <w:color w:val="000000" w:themeColor="text1"/>
          <w:lang w:val="es-ES"/>
        </w:rPr>
        <w:t>”</w:t>
      </w:r>
      <w:r w:rsidRPr="00966C6B">
        <w:rPr>
          <w:rFonts w:ascii="Verdana" w:hAnsi="Verdana" w:cs="Arial"/>
          <w:color w:val="000000" w:themeColor="text1"/>
          <w:lang w:val="es-ES"/>
        </w:rPr>
        <w:t xml:space="preserve">, </w:t>
      </w:r>
      <w:r w:rsidRPr="00966C6B">
        <w:rPr>
          <w:rFonts w:ascii="Verdana" w:hAnsi="Verdana" w:cs="Arial"/>
          <w:color w:val="000000" w:themeColor="text1"/>
          <w:lang w:val="es-ES"/>
        </w:rPr>
        <w:lastRenderedPageBreak/>
        <w:t xml:space="preserve">pues debe interpretarse en el sentido de que los contratos de prestación de servicios profesionales </w:t>
      </w:r>
      <w:r w:rsidRPr="00966C6B">
        <w:rPr>
          <w:rFonts w:ascii="Verdana" w:hAnsi="Verdana" w:cs="Arial"/>
          <w:i/>
          <w:iCs/>
          <w:color w:val="000000" w:themeColor="text1"/>
          <w:lang w:val="es-ES"/>
        </w:rPr>
        <w:t>no pueden</w:t>
      </w:r>
      <w:r w:rsidRPr="00966C6B">
        <w:rPr>
          <w:rFonts w:ascii="Verdana" w:hAnsi="Verdana" w:cs="Arial"/>
          <w:color w:val="000000" w:themeColor="text1"/>
          <w:lang w:val="es-ES"/>
        </w:rPr>
        <w:t xml:space="preserve">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w:t>
      </w:r>
      <w:r>
        <w:rPr>
          <w:rFonts w:ascii="Verdana" w:hAnsi="Verdana" w:cs="Arial"/>
          <w:color w:val="000000" w:themeColor="text1"/>
          <w:lang w:val="es-ES"/>
        </w:rPr>
        <w:t>“</w:t>
      </w:r>
      <w:r w:rsidRPr="00966C6B">
        <w:rPr>
          <w:rFonts w:ascii="Verdana" w:hAnsi="Verdana" w:cs="Arial"/>
          <w:color w:val="000000" w:themeColor="text1"/>
          <w:lang w:val="es-ES"/>
        </w:rPr>
        <w:t>trabajador independiente</w:t>
      </w:r>
      <w:r>
        <w:rPr>
          <w:rFonts w:ascii="Verdana" w:hAnsi="Verdana" w:cs="Arial"/>
          <w:color w:val="000000" w:themeColor="text1"/>
          <w:lang w:val="es-ES"/>
        </w:rPr>
        <w:t>”</w:t>
      </w:r>
      <w:r w:rsidRPr="00966C6B">
        <w:rPr>
          <w:rFonts w:ascii="Verdana" w:hAnsi="Verdana" w:cs="Arial"/>
          <w:color w:val="000000" w:themeColor="text1"/>
          <w:lang w:val="es-ES"/>
        </w:rPr>
        <w:t xml:space="preserve"> –como lo califican las normas en materia de seguridad social– debe cotizar por su cuenta y riesgo al Sistema de Seguridad Social Integral</w:t>
      </w:r>
      <w:r w:rsidRPr="00966C6B">
        <w:rPr>
          <w:rStyle w:val="Refdenotaalpie"/>
          <w:rFonts w:ascii="Verdana" w:hAnsi="Verdana" w:cs="Arial"/>
          <w:color w:val="000000" w:themeColor="text1"/>
          <w:lang w:val="es-ES"/>
        </w:rPr>
        <w:footnoteReference w:id="15"/>
      </w:r>
      <w:r w:rsidRPr="00966C6B">
        <w:rPr>
          <w:rFonts w:ascii="Verdana" w:hAnsi="Verdana" w:cs="Arial"/>
          <w:color w:val="000000" w:themeColor="text1"/>
          <w:lang w:val="es-ES"/>
        </w:rPr>
        <w:t xml:space="preserve">. </w:t>
      </w:r>
    </w:p>
    <w:p w14:paraId="25EC9EDF" w14:textId="77777777" w:rsidR="001C3BF3" w:rsidRPr="00966C6B" w:rsidRDefault="001C3BF3" w:rsidP="001C3BF3">
      <w:pPr>
        <w:spacing w:after="0" w:line="276" w:lineRule="auto"/>
        <w:ind w:firstLine="709"/>
        <w:jc w:val="both"/>
        <w:rPr>
          <w:rFonts w:ascii="Verdana" w:hAnsi="Verdana" w:cs="Arial"/>
          <w:color w:val="000000" w:themeColor="text1"/>
          <w:lang w:val="es-ES"/>
        </w:rPr>
      </w:pPr>
      <w:r w:rsidRPr="00966C6B">
        <w:rPr>
          <w:rFonts w:ascii="Verdana" w:hAnsi="Verdana" w:cs="Arial"/>
          <w:color w:val="000000" w:themeColor="text1"/>
          <w:lang w:val="es-ES"/>
        </w:rPr>
        <w:t>iv) Deben ser temporales. Así lo señaló la Corte Constitucional en la misma providencia citada previamente, expresando que:</w:t>
      </w:r>
    </w:p>
    <w:p w14:paraId="01978C5C" w14:textId="77777777" w:rsidR="001C3BF3" w:rsidRPr="00966C6B" w:rsidRDefault="001C3BF3" w:rsidP="001C3BF3">
      <w:pPr>
        <w:spacing w:after="0" w:line="276" w:lineRule="auto"/>
        <w:ind w:firstLine="709"/>
        <w:jc w:val="both"/>
        <w:rPr>
          <w:rFonts w:ascii="Verdana" w:hAnsi="Verdana" w:cs="Arial"/>
          <w:color w:val="000000" w:themeColor="text1"/>
          <w:lang w:val="es-ES_tradnl"/>
        </w:rPr>
      </w:pPr>
    </w:p>
    <w:p w14:paraId="2DF05381" w14:textId="77777777" w:rsidR="001C3BF3" w:rsidRPr="00966C6B" w:rsidRDefault="001C3BF3" w:rsidP="001C3BF3">
      <w:pPr>
        <w:spacing w:after="0"/>
        <w:ind w:left="709" w:right="709"/>
        <w:jc w:val="both"/>
        <w:rPr>
          <w:rFonts w:ascii="Verdana" w:hAnsi="Verdana" w:cs="Arial"/>
          <w:color w:val="000000" w:themeColor="text1"/>
          <w:sz w:val="21"/>
          <w:szCs w:val="21"/>
          <w:lang w:val="es-ES_tradnl"/>
        </w:rPr>
      </w:pPr>
      <w:r w:rsidRPr="00966C6B">
        <w:rPr>
          <w:rFonts w:ascii="Verdana" w:hAnsi="Verdana" w:cs="Arial"/>
          <w:color w:val="000000" w:themeColor="text1"/>
          <w:sz w:val="21"/>
          <w:szCs w:val="21"/>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966C6B">
        <w:rPr>
          <w:rStyle w:val="Refdenotaalpie"/>
          <w:rFonts w:ascii="Verdana" w:hAnsi="Verdana" w:cs="Arial"/>
          <w:color w:val="000000" w:themeColor="text1"/>
          <w:sz w:val="21"/>
          <w:szCs w:val="21"/>
          <w:lang w:val="es-ES_tradnl"/>
        </w:rPr>
        <w:footnoteReference w:id="16"/>
      </w:r>
      <w:r w:rsidRPr="00966C6B">
        <w:rPr>
          <w:rFonts w:ascii="Verdana" w:hAnsi="Verdana" w:cs="Arial"/>
          <w:color w:val="000000" w:themeColor="text1"/>
          <w:sz w:val="21"/>
          <w:szCs w:val="21"/>
          <w:lang w:val="es-ES_tradnl"/>
        </w:rPr>
        <w:t>.</w:t>
      </w:r>
    </w:p>
    <w:p w14:paraId="77C04A89" w14:textId="77777777" w:rsidR="001C3BF3" w:rsidRPr="00966C6B" w:rsidRDefault="001C3BF3" w:rsidP="001C3BF3">
      <w:pPr>
        <w:spacing w:after="0" w:line="276" w:lineRule="auto"/>
        <w:ind w:firstLine="709"/>
        <w:jc w:val="both"/>
        <w:rPr>
          <w:rFonts w:ascii="Verdana" w:hAnsi="Verdana" w:cs="Arial"/>
          <w:color w:val="000000" w:themeColor="text1"/>
          <w:lang w:val="es-ES_tradnl"/>
        </w:rPr>
      </w:pPr>
    </w:p>
    <w:p w14:paraId="26F86AD6" w14:textId="77777777" w:rsidR="001C3BF3" w:rsidRPr="00966C6B" w:rsidRDefault="001C3BF3" w:rsidP="001C3BF3">
      <w:pPr>
        <w:spacing w:after="0" w:line="276" w:lineRule="auto"/>
        <w:ind w:firstLine="709"/>
        <w:jc w:val="both"/>
        <w:rPr>
          <w:rFonts w:ascii="Verdana" w:hAnsi="Verdana" w:cs="Arial"/>
          <w:color w:val="000000" w:themeColor="text1"/>
          <w:lang w:val="es-ES"/>
        </w:rPr>
      </w:pPr>
      <w:r w:rsidRPr="00966C6B">
        <w:rPr>
          <w:rFonts w:ascii="Verdana" w:hAnsi="Verdana" w:cs="Arial"/>
          <w:color w:val="000000" w:themeColor="text1"/>
          <w:lang w:val="es-ES"/>
        </w:rPr>
        <w:t xml:space="preserve">v) Los contratos de prestación de servicios profesionales hacen parte del género denominado </w:t>
      </w:r>
      <w:r w:rsidRPr="00966C6B">
        <w:rPr>
          <w:rFonts w:ascii="Verdana" w:hAnsi="Verdana" w:cs="Arial"/>
          <w:i/>
          <w:iCs/>
          <w:color w:val="000000" w:themeColor="text1"/>
          <w:lang w:val="es-ES"/>
        </w:rPr>
        <w:t>contratos de prestación de servicios</w:t>
      </w:r>
      <w:r w:rsidRPr="00966C6B">
        <w:rPr>
          <w:rFonts w:ascii="Verdana" w:hAnsi="Verdana" w:cs="Arial"/>
          <w:color w:val="000000" w:themeColor="text1"/>
          <w:lang w:val="es-ES"/>
        </w:rPr>
        <w:t xml:space="preserve">, dentro del cual también se ubican, como especies, los </w:t>
      </w:r>
      <w:r w:rsidRPr="00966C6B">
        <w:rPr>
          <w:rFonts w:ascii="Verdana" w:hAnsi="Verdana" w:cs="Arial"/>
          <w:i/>
          <w:iCs/>
          <w:color w:val="000000" w:themeColor="text1"/>
          <w:lang w:val="es-ES"/>
        </w:rPr>
        <w:t>contratos de prestación de servicios de apoyo a la gestión</w:t>
      </w:r>
      <w:r w:rsidRPr="00966C6B">
        <w:rPr>
          <w:rFonts w:ascii="Verdana" w:hAnsi="Verdana" w:cs="Arial"/>
          <w:color w:val="000000" w:themeColor="text1"/>
          <w:lang w:val="es-ES"/>
        </w:rPr>
        <w:t xml:space="preserve"> y los </w:t>
      </w:r>
      <w:r w:rsidRPr="00966C6B">
        <w:rPr>
          <w:rFonts w:ascii="Verdana" w:hAnsi="Verdana" w:cs="Arial"/>
          <w:i/>
          <w:iCs/>
          <w:color w:val="000000" w:themeColor="text1"/>
          <w:lang w:val="es-ES"/>
        </w:rPr>
        <w:t>contratos de prestación de servicios artísticos que solo pueden encomendarse a determinadas personas naturales</w:t>
      </w:r>
      <w:r w:rsidRPr="00966C6B">
        <w:rPr>
          <w:rStyle w:val="Refdenotaalpie"/>
          <w:rFonts w:ascii="Verdana" w:hAnsi="Verdana" w:cs="Arial"/>
          <w:color w:val="000000" w:themeColor="text1"/>
          <w:lang w:val="es-ES"/>
        </w:rPr>
        <w:footnoteReference w:id="17"/>
      </w:r>
      <w:r w:rsidRPr="00966C6B">
        <w:rPr>
          <w:rFonts w:ascii="Verdana" w:hAnsi="Verdana" w:cs="Arial"/>
          <w:color w:val="000000" w:themeColor="text1"/>
          <w:lang w:val="es-ES"/>
        </w:rPr>
        <w:t xml:space="preserve">. La diferencia entre </w:t>
      </w:r>
      <w:r w:rsidRPr="00966C6B">
        <w:rPr>
          <w:rFonts w:ascii="Verdana" w:hAnsi="Verdana" w:cs="Arial"/>
          <w:color w:val="000000" w:themeColor="text1"/>
          <w:lang w:val="es-ES"/>
        </w:rPr>
        <w:lastRenderedPageBreak/>
        <w:t xml:space="preserve">el contrato de prestación de servicios </w:t>
      </w:r>
      <w:r w:rsidRPr="00966C6B">
        <w:rPr>
          <w:rFonts w:ascii="Verdana" w:hAnsi="Verdana" w:cs="Arial"/>
          <w:i/>
          <w:iCs/>
          <w:color w:val="000000" w:themeColor="text1"/>
          <w:lang w:val="es-ES"/>
        </w:rPr>
        <w:t>profesionales</w:t>
      </w:r>
      <w:r w:rsidRPr="00966C6B">
        <w:rPr>
          <w:rFonts w:ascii="Verdana" w:hAnsi="Verdana" w:cs="Arial"/>
          <w:color w:val="000000" w:themeColor="text1"/>
          <w:lang w:val="es-ES"/>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232755C2" w14:textId="77777777" w:rsidR="001C3BF3" w:rsidRPr="00966C6B" w:rsidRDefault="001C3BF3" w:rsidP="001C3BF3">
      <w:pPr>
        <w:spacing w:after="0" w:line="276" w:lineRule="auto"/>
        <w:ind w:firstLine="709"/>
        <w:jc w:val="both"/>
        <w:rPr>
          <w:rFonts w:ascii="Verdana" w:hAnsi="Verdana" w:cs="Arial"/>
          <w:color w:val="000000" w:themeColor="text1"/>
          <w:lang w:val="es-ES_tradnl"/>
        </w:rPr>
      </w:pPr>
    </w:p>
    <w:p w14:paraId="3711A7ED" w14:textId="77777777" w:rsidR="001C3BF3" w:rsidRPr="00966C6B" w:rsidRDefault="001C3BF3" w:rsidP="001C3BF3">
      <w:pPr>
        <w:spacing w:after="0"/>
        <w:ind w:left="709" w:right="709"/>
        <w:jc w:val="both"/>
        <w:rPr>
          <w:rFonts w:ascii="Verdana" w:hAnsi="Verdana" w:cs="Arial"/>
          <w:color w:val="000000" w:themeColor="text1"/>
          <w:sz w:val="21"/>
          <w:szCs w:val="21"/>
          <w:lang w:val="es-ES_tradnl"/>
        </w:rPr>
      </w:pPr>
      <w:r w:rsidRPr="00966C6B">
        <w:rPr>
          <w:rFonts w:ascii="Verdana" w:hAnsi="Verdana" w:cs="Arial"/>
          <w:color w:val="000000" w:themeColor="text1"/>
          <w:sz w:val="21"/>
          <w:szCs w:val="21"/>
          <w:lang w:val="es-ES_tradnl"/>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966C6B">
        <w:rPr>
          <w:rStyle w:val="Refdenotaalpie"/>
          <w:rFonts w:ascii="Verdana" w:hAnsi="Verdana" w:cs="Arial"/>
          <w:color w:val="000000" w:themeColor="text1"/>
          <w:sz w:val="21"/>
          <w:szCs w:val="21"/>
          <w:lang w:val="es-ES_tradnl"/>
        </w:rPr>
        <w:footnoteReference w:id="18"/>
      </w:r>
      <w:r w:rsidRPr="00966C6B">
        <w:rPr>
          <w:rFonts w:ascii="Verdana" w:hAnsi="Verdana" w:cs="Arial"/>
          <w:color w:val="000000" w:themeColor="text1"/>
          <w:sz w:val="21"/>
          <w:szCs w:val="21"/>
          <w:lang w:val="es-ES_tradnl"/>
        </w:rPr>
        <w:t>.</w:t>
      </w:r>
    </w:p>
    <w:p w14:paraId="3B640EA2" w14:textId="77777777" w:rsidR="001C3BF3" w:rsidRPr="00966C6B" w:rsidRDefault="001C3BF3" w:rsidP="001C3BF3">
      <w:pPr>
        <w:spacing w:after="0" w:line="276" w:lineRule="auto"/>
        <w:ind w:firstLine="709"/>
        <w:jc w:val="both"/>
        <w:rPr>
          <w:rFonts w:ascii="Verdana" w:hAnsi="Verdana" w:cs="Arial"/>
          <w:color w:val="000000" w:themeColor="text1"/>
          <w:lang w:val="es-ES_tradnl"/>
        </w:rPr>
      </w:pPr>
    </w:p>
    <w:p w14:paraId="08922709" w14:textId="77777777" w:rsidR="001C3BF3" w:rsidRPr="00966C6B" w:rsidRDefault="001C3BF3" w:rsidP="001C3BF3">
      <w:pPr>
        <w:spacing w:after="0" w:line="276" w:lineRule="auto"/>
        <w:ind w:firstLine="709"/>
        <w:jc w:val="both"/>
        <w:rPr>
          <w:rFonts w:ascii="Verdana" w:hAnsi="Verdana" w:cs="Arial"/>
          <w:color w:val="000000" w:themeColor="text1"/>
          <w:lang w:val="es-ES_tradnl"/>
        </w:rPr>
      </w:pPr>
      <w:r w:rsidRPr="00966C6B">
        <w:rPr>
          <w:rFonts w:ascii="Verdana" w:hAnsi="Verdana" w:cs="Arial"/>
          <w:color w:val="000000" w:themeColor="text1"/>
          <w:lang w:val="es-ES_tradnl"/>
        </w:rPr>
        <w:t xml:space="preserve">Dicho objeto, según la jurisprudencia citada, se diferencia del objeto del </w:t>
      </w:r>
      <w:r w:rsidRPr="00966C6B">
        <w:rPr>
          <w:rFonts w:ascii="Verdana" w:hAnsi="Verdana" w:cs="Arial"/>
          <w:i/>
          <w:iCs/>
          <w:color w:val="000000" w:themeColor="text1"/>
          <w:lang w:val="es-ES_tradnl"/>
        </w:rPr>
        <w:t>contrato de prestación de servicios de apoyo a la gestión</w:t>
      </w:r>
      <w:r w:rsidRPr="00966C6B">
        <w:rPr>
          <w:rFonts w:ascii="Verdana" w:hAnsi="Verdana" w:cs="Arial"/>
          <w:color w:val="000000" w:themeColor="text1"/>
          <w:lang w:val="es-ES_tradnl"/>
        </w:rPr>
        <w:t>, porque:</w:t>
      </w:r>
    </w:p>
    <w:p w14:paraId="69F03100" w14:textId="77777777" w:rsidR="001C3BF3" w:rsidRPr="00966C6B" w:rsidRDefault="001C3BF3" w:rsidP="001C3BF3">
      <w:pPr>
        <w:spacing w:after="0" w:line="276" w:lineRule="auto"/>
        <w:ind w:firstLine="709"/>
        <w:jc w:val="both"/>
        <w:rPr>
          <w:rFonts w:ascii="Verdana" w:hAnsi="Verdana" w:cs="Arial"/>
          <w:color w:val="000000" w:themeColor="text1"/>
          <w:lang w:val="es-ES_tradnl"/>
        </w:rPr>
      </w:pPr>
    </w:p>
    <w:p w14:paraId="3E94B7B3" w14:textId="77777777" w:rsidR="001C3BF3" w:rsidRPr="00966C6B" w:rsidRDefault="001C3BF3" w:rsidP="001C3BF3">
      <w:pPr>
        <w:spacing w:after="120"/>
        <w:ind w:left="709" w:right="709"/>
        <w:jc w:val="both"/>
        <w:rPr>
          <w:rFonts w:ascii="Verdana" w:hAnsi="Verdana" w:cs="Arial"/>
          <w:color w:val="000000" w:themeColor="text1"/>
          <w:sz w:val="21"/>
          <w:szCs w:val="21"/>
          <w:lang w:val="es-ES_tradnl"/>
        </w:rPr>
      </w:pPr>
      <w:r w:rsidRPr="00966C6B">
        <w:rPr>
          <w:rFonts w:ascii="Verdana" w:hAnsi="Verdana" w:cs="Arial"/>
          <w:color w:val="000000" w:themeColor="text1"/>
          <w:sz w:val="21"/>
          <w:szCs w:val="21"/>
          <w:lang w:val="es-ES_tradnl"/>
        </w:rPr>
        <w:t>Su objeto contractual participa de las características encaminadas a desarrollar actividades identificables e intangibles. Hay lugar a su celebración en aquellos casos en donde las necesidades de la Administración no demanden la presencia de personal profesional.</w:t>
      </w:r>
    </w:p>
    <w:p w14:paraId="6A581AAD" w14:textId="77777777" w:rsidR="001C3BF3" w:rsidRPr="00966C6B" w:rsidRDefault="001C3BF3" w:rsidP="001C3BF3">
      <w:pPr>
        <w:spacing w:after="120"/>
        <w:ind w:left="709" w:right="709"/>
        <w:jc w:val="both"/>
        <w:rPr>
          <w:rFonts w:ascii="Verdana" w:hAnsi="Verdana" w:cs="Arial"/>
          <w:color w:val="000000" w:themeColor="text1"/>
          <w:sz w:val="21"/>
          <w:szCs w:val="21"/>
          <w:lang w:val="es-ES"/>
        </w:rPr>
      </w:pPr>
      <w:r w:rsidRPr="00966C6B">
        <w:rPr>
          <w:rFonts w:ascii="Verdana" w:hAnsi="Verdana" w:cs="Arial"/>
          <w:color w:val="000000" w:themeColor="text1"/>
          <w:sz w:val="21"/>
          <w:szCs w:val="21"/>
          <w:lang w:val="es-ES"/>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51045815" w14:textId="77777777" w:rsidR="001C3BF3" w:rsidRPr="00966C6B" w:rsidRDefault="001C3BF3" w:rsidP="001C3BF3">
      <w:pPr>
        <w:spacing w:after="120"/>
        <w:ind w:left="709" w:right="709"/>
        <w:jc w:val="both"/>
        <w:rPr>
          <w:rFonts w:ascii="Verdana" w:hAnsi="Verdana" w:cs="Arial"/>
          <w:color w:val="000000" w:themeColor="text1"/>
          <w:sz w:val="21"/>
          <w:szCs w:val="21"/>
          <w:lang w:val="es-ES"/>
        </w:rPr>
      </w:pPr>
      <w:r w:rsidRPr="00966C6B">
        <w:rPr>
          <w:rFonts w:ascii="Verdana" w:hAnsi="Verdana" w:cs="Arial"/>
          <w:color w:val="000000" w:themeColor="text1"/>
          <w:sz w:val="21"/>
          <w:szCs w:val="21"/>
          <w:lang w:val="es-ES"/>
        </w:rPr>
        <w:t>Dentro de su objeto contractual pueden tener lugar actividades operativas, logísticas o asistenciales, siempre que satisfaga los requisitos antes mencionados y sea acorde con las necesidades de la Administración y el principio de planeación.</w:t>
      </w:r>
    </w:p>
    <w:p w14:paraId="2EB3F36C" w14:textId="77777777" w:rsidR="001C3BF3" w:rsidRPr="00966C6B" w:rsidRDefault="001C3BF3" w:rsidP="001C3BF3">
      <w:pPr>
        <w:spacing w:after="0"/>
        <w:ind w:left="709" w:right="709"/>
        <w:jc w:val="both"/>
        <w:rPr>
          <w:rFonts w:ascii="Verdana" w:hAnsi="Verdana" w:cs="Arial"/>
          <w:color w:val="000000" w:themeColor="text1"/>
          <w:sz w:val="21"/>
          <w:szCs w:val="21"/>
          <w:lang w:val="es-ES_tradnl"/>
        </w:rPr>
      </w:pPr>
      <w:r w:rsidRPr="00966C6B">
        <w:rPr>
          <w:rFonts w:ascii="Verdana" w:hAnsi="Verdana" w:cs="Arial"/>
          <w:color w:val="000000" w:themeColor="text1"/>
          <w:sz w:val="21"/>
          <w:szCs w:val="21"/>
          <w:lang w:val="es-ES_tradnl"/>
        </w:rPr>
        <w:lastRenderedPageBreak/>
        <w:t>Dentro de su objeto contractual pueden tener lugar actividades operativas, logísticas o asistenciales, siempre que satisfaga los requisitos antes mencionados y sea acorde con las necesidades de la Administración y el principio de planeación</w:t>
      </w:r>
      <w:r w:rsidRPr="00966C6B">
        <w:rPr>
          <w:rStyle w:val="Refdenotaalpie"/>
          <w:rFonts w:ascii="Verdana" w:hAnsi="Verdana" w:cs="Arial"/>
          <w:color w:val="000000" w:themeColor="text1"/>
          <w:sz w:val="21"/>
          <w:szCs w:val="21"/>
          <w:lang w:val="es-ES_tradnl"/>
        </w:rPr>
        <w:footnoteReference w:id="19"/>
      </w:r>
      <w:r w:rsidRPr="00966C6B">
        <w:rPr>
          <w:rFonts w:ascii="Verdana" w:hAnsi="Verdana" w:cs="Arial"/>
          <w:color w:val="000000" w:themeColor="text1"/>
          <w:sz w:val="21"/>
          <w:szCs w:val="21"/>
          <w:lang w:val="es-ES_tradnl"/>
        </w:rPr>
        <w:t>.</w:t>
      </w:r>
    </w:p>
    <w:p w14:paraId="488E4F40" w14:textId="77777777" w:rsidR="001C3BF3" w:rsidRDefault="001C3BF3" w:rsidP="001C3BF3">
      <w:pPr>
        <w:spacing w:after="0" w:line="276" w:lineRule="auto"/>
        <w:ind w:firstLine="709"/>
        <w:jc w:val="both"/>
        <w:rPr>
          <w:rFonts w:ascii="Verdana" w:hAnsi="Verdana" w:cs="Arial"/>
          <w:color w:val="000000" w:themeColor="text1"/>
          <w:lang w:val="es-ES_tradnl"/>
        </w:rPr>
      </w:pPr>
    </w:p>
    <w:p w14:paraId="16831C00" w14:textId="77777777" w:rsidR="001C3BF3" w:rsidRPr="00966C6B" w:rsidRDefault="001C3BF3" w:rsidP="001C3BF3">
      <w:pPr>
        <w:spacing w:after="0" w:line="276" w:lineRule="auto"/>
        <w:ind w:firstLine="709"/>
        <w:jc w:val="both"/>
        <w:rPr>
          <w:rFonts w:ascii="Verdana" w:hAnsi="Verdana" w:cs="Arial"/>
          <w:color w:val="000000" w:themeColor="text1"/>
          <w:lang w:val="es-ES_tradnl"/>
        </w:rPr>
      </w:pPr>
      <w:r w:rsidRPr="00966C6B">
        <w:rPr>
          <w:rFonts w:ascii="Verdana" w:hAnsi="Verdana" w:cs="Arial"/>
          <w:color w:val="000000" w:themeColor="text1"/>
          <w:lang w:val="es-ES_tradnl"/>
        </w:rPr>
        <w:t xml:space="preserve">En relación con el </w:t>
      </w:r>
      <w:r w:rsidRPr="00966C6B">
        <w:rPr>
          <w:rFonts w:ascii="Verdana" w:hAnsi="Verdana" w:cs="Arial"/>
          <w:i/>
          <w:iCs/>
          <w:color w:val="000000" w:themeColor="text1"/>
          <w:lang w:val="es-ES_tradnl"/>
        </w:rPr>
        <w:t>contrato de prestación de servicios artísticos que solo pueden encomendarse a determinadas personas naturales</w:t>
      </w:r>
      <w:r w:rsidRPr="00966C6B">
        <w:rPr>
          <w:rFonts w:ascii="Verdana" w:hAnsi="Verdana" w:cs="Arial"/>
          <w:color w:val="000000" w:themeColor="text1"/>
          <w:lang w:val="es-ES_tradnl"/>
        </w:rPr>
        <w:t>, señala la mencionada decisión judicial lo siguiente:</w:t>
      </w:r>
    </w:p>
    <w:p w14:paraId="3ED5E5FF" w14:textId="77777777" w:rsidR="001C3BF3" w:rsidRPr="00966C6B" w:rsidRDefault="001C3BF3" w:rsidP="001C3BF3">
      <w:pPr>
        <w:spacing w:after="0"/>
        <w:ind w:left="709" w:right="709"/>
        <w:jc w:val="both"/>
        <w:rPr>
          <w:rFonts w:ascii="Verdana" w:hAnsi="Verdana" w:cs="Arial"/>
          <w:color w:val="000000" w:themeColor="text1"/>
          <w:sz w:val="21"/>
          <w:szCs w:val="21"/>
          <w:lang w:val="es-ES_tradnl"/>
        </w:rPr>
      </w:pPr>
    </w:p>
    <w:p w14:paraId="2EE531BE" w14:textId="77777777" w:rsidR="001C3BF3" w:rsidRPr="00966C6B" w:rsidRDefault="001C3BF3" w:rsidP="001C3BF3">
      <w:pPr>
        <w:spacing w:after="0"/>
        <w:ind w:left="709" w:right="709"/>
        <w:jc w:val="both"/>
        <w:rPr>
          <w:rFonts w:ascii="Verdana" w:hAnsi="Verdana" w:cs="Arial"/>
          <w:color w:val="000000" w:themeColor="text1"/>
          <w:sz w:val="21"/>
          <w:szCs w:val="21"/>
          <w:lang w:val="es-ES"/>
        </w:rPr>
      </w:pPr>
      <w:r w:rsidRPr="00966C6B">
        <w:rPr>
          <w:rFonts w:ascii="Verdana" w:hAnsi="Verdana" w:cs="Arial"/>
          <w:color w:val="000000" w:themeColor="text1"/>
          <w:sz w:val="21"/>
          <w:szCs w:val="21"/>
          <w:lang w:val="es-ES"/>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reconocidas como realizador o productor de arte o trabajos artísticos</w:t>
      </w:r>
      <w:r w:rsidRPr="00966C6B">
        <w:rPr>
          <w:rStyle w:val="Refdenotaalpie"/>
          <w:rFonts w:ascii="Verdana" w:hAnsi="Verdana" w:cs="Arial"/>
          <w:color w:val="000000" w:themeColor="text1"/>
          <w:sz w:val="21"/>
          <w:szCs w:val="21"/>
          <w:lang w:val="es-ES"/>
        </w:rPr>
        <w:footnoteReference w:id="20"/>
      </w:r>
      <w:r w:rsidRPr="00966C6B">
        <w:rPr>
          <w:rFonts w:ascii="Verdana" w:hAnsi="Verdana" w:cs="Arial"/>
          <w:color w:val="000000" w:themeColor="text1"/>
          <w:sz w:val="21"/>
          <w:szCs w:val="21"/>
          <w:lang w:val="es-ES"/>
        </w:rPr>
        <w:t>.</w:t>
      </w:r>
    </w:p>
    <w:p w14:paraId="29B21227" w14:textId="77777777" w:rsidR="001C3BF3" w:rsidRPr="00966C6B" w:rsidRDefault="001C3BF3" w:rsidP="001C3BF3">
      <w:pPr>
        <w:spacing w:after="0"/>
        <w:ind w:left="709" w:right="709"/>
        <w:jc w:val="both"/>
        <w:rPr>
          <w:rFonts w:ascii="Verdana" w:hAnsi="Verdana" w:cs="Arial"/>
          <w:color w:val="000000" w:themeColor="text1"/>
          <w:sz w:val="21"/>
          <w:szCs w:val="21"/>
          <w:lang w:val="es-ES_tradnl"/>
        </w:rPr>
      </w:pPr>
    </w:p>
    <w:p w14:paraId="2F6F2AA0" w14:textId="77777777" w:rsidR="001C3BF3" w:rsidRPr="00966C6B" w:rsidRDefault="001C3BF3" w:rsidP="001C3BF3">
      <w:pPr>
        <w:spacing w:line="276" w:lineRule="auto"/>
        <w:ind w:firstLine="709"/>
        <w:jc w:val="both"/>
        <w:rPr>
          <w:rFonts w:ascii="Verdana" w:hAnsi="Verdana" w:cs="Arial"/>
          <w:color w:val="000000" w:themeColor="text1"/>
          <w:lang w:val="es-ES"/>
        </w:rPr>
      </w:pPr>
      <w:r w:rsidRPr="00966C6B">
        <w:rPr>
          <w:rFonts w:ascii="Verdana" w:hAnsi="Verdana" w:cs="Arial"/>
          <w:color w:val="000000" w:themeColor="text1"/>
          <w:lang w:val="es-ES"/>
        </w:rPr>
        <w:t>vi)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66C6B">
        <w:rPr>
          <w:rStyle w:val="Refdenotaalpie"/>
          <w:rFonts w:ascii="Verdana" w:hAnsi="Verdana" w:cs="Arial"/>
          <w:color w:val="000000" w:themeColor="text1"/>
          <w:lang w:val="es-ES"/>
        </w:rPr>
        <w:footnoteReference w:id="21"/>
      </w:r>
      <w:r w:rsidRPr="00966C6B">
        <w:rPr>
          <w:rFonts w:ascii="Verdana" w:hAnsi="Verdana" w:cs="Arial"/>
          <w:color w:val="000000" w:themeColor="text1"/>
          <w:lang w:val="es-ES"/>
        </w:rPr>
        <w:t>. Pero, tampoco puede suscribirse un contrato de prestación de servicios profesionales para que el contratista ejecute labores que se enmarcan dentro de los otros contratos tipificados en el artículo 32 de la Ley 80 de 1993, como, por ejemplo, para la construcción o mantenimiento de obras.</w:t>
      </w:r>
    </w:p>
    <w:p w14:paraId="56C30867" w14:textId="77777777" w:rsidR="001C3BF3" w:rsidRPr="00966C6B" w:rsidRDefault="001C3BF3" w:rsidP="001C3BF3">
      <w:pPr>
        <w:spacing w:before="120" w:after="120"/>
        <w:ind w:firstLine="709"/>
        <w:jc w:val="both"/>
        <w:rPr>
          <w:rFonts w:ascii="Verdana" w:hAnsi="Verdana" w:cs="Arial"/>
          <w:color w:val="000000" w:themeColor="text1"/>
          <w:lang w:val="es-ES"/>
        </w:rPr>
      </w:pPr>
      <w:r w:rsidRPr="00966C6B">
        <w:rPr>
          <w:rFonts w:ascii="Verdana" w:hAnsi="Verdana" w:cs="Arial"/>
          <w:color w:val="000000" w:themeColor="text1"/>
          <w:lang w:val="es-ES"/>
        </w:rPr>
        <w:lastRenderedPageBreak/>
        <w:t>vii) Para su celebración no se requiere la expedición del acto administrativo de justificación de la contratación directa</w:t>
      </w:r>
      <w:r w:rsidRPr="00966C6B">
        <w:rPr>
          <w:rStyle w:val="Refdenotaalpie"/>
          <w:rFonts w:ascii="Verdana" w:hAnsi="Verdana" w:cs="Arial"/>
          <w:color w:val="000000" w:themeColor="text1"/>
          <w:lang w:val="es-ES"/>
        </w:rPr>
        <w:footnoteReference w:id="22"/>
      </w:r>
      <w:r w:rsidRPr="00966C6B">
        <w:rPr>
          <w:rFonts w:ascii="Verdana" w:hAnsi="Verdana" w:cs="Arial"/>
          <w:color w:val="000000" w:themeColor="text1"/>
          <w:lang w:val="es-ES"/>
        </w:rPr>
        <w:t xml:space="preserve">. </w:t>
      </w:r>
    </w:p>
    <w:p w14:paraId="13262DD0" w14:textId="77777777" w:rsidR="001C3BF3" w:rsidRPr="00966C6B" w:rsidRDefault="001C3BF3" w:rsidP="001C3BF3">
      <w:pPr>
        <w:spacing w:before="120" w:after="120"/>
        <w:ind w:firstLine="709"/>
        <w:jc w:val="both"/>
        <w:rPr>
          <w:rFonts w:ascii="Verdana" w:hAnsi="Verdana" w:cs="Arial"/>
          <w:color w:val="000000" w:themeColor="text1"/>
          <w:lang w:val="es-ES"/>
        </w:rPr>
      </w:pPr>
      <w:r w:rsidRPr="00966C6B">
        <w:rPr>
          <w:rFonts w:ascii="Verdana" w:hAnsi="Verdana" w:cs="Arial"/>
          <w:color w:val="000000" w:themeColor="text1"/>
          <w:lang w:val="es-ES"/>
        </w:rPr>
        <w:t>viii) Admiten el pacto de cláusulas excepcionales. Es decir, en los contratos de prestación de servicios profesionales es posible pactar la caducidad, así como la modificación, interpretación o terminación unilaterales, como elementos accidentales; es decir, que para el ejercicio de dichas exorbitancias deben incluirse expresamente en el contrato, ya que no se entienden pactadas. Así se infiere del artículo 14, numeral 2º, de la Ley 80 de 1993</w:t>
      </w:r>
      <w:r w:rsidRPr="00966C6B">
        <w:rPr>
          <w:rStyle w:val="Refdenotaalpie"/>
          <w:rFonts w:ascii="Verdana" w:hAnsi="Verdana" w:cs="Arial"/>
          <w:color w:val="000000" w:themeColor="text1"/>
          <w:lang w:val="es-ES"/>
        </w:rPr>
        <w:footnoteReference w:id="23"/>
      </w:r>
      <w:r w:rsidRPr="00966C6B">
        <w:rPr>
          <w:rFonts w:ascii="Verdana" w:hAnsi="Verdana" w:cs="Arial"/>
          <w:color w:val="000000" w:themeColor="text1"/>
          <w:lang w:val="es-ES"/>
        </w:rPr>
        <w:t>.</w:t>
      </w:r>
    </w:p>
    <w:p w14:paraId="3AB84899" w14:textId="77777777" w:rsidR="001C3BF3" w:rsidRPr="00966C6B" w:rsidRDefault="001C3BF3" w:rsidP="001C3BF3">
      <w:pPr>
        <w:spacing w:before="120" w:after="120"/>
        <w:ind w:firstLine="709"/>
        <w:jc w:val="both"/>
        <w:rPr>
          <w:rFonts w:ascii="Verdana" w:hAnsi="Verdana" w:cs="Arial"/>
          <w:color w:val="000000" w:themeColor="text1"/>
          <w:lang w:val="es-ES"/>
        </w:rPr>
      </w:pPr>
      <w:r w:rsidRPr="00966C6B">
        <w:rPr>
          <w:rFonts w:ascii="Verdana" w:hAnsi="Verdana" w:cs="Arial"/>
          <w:color w:val="000000" w:themeColor="text1"/>
          <w:lang w:val="es-ES"/>
        </w:rPr>
        <w:t>ix) En ellos no es obligatoria la liquidación, pues así lo estableció el artículo 217 del Decreto 019 de 2012, que modificó el artículo 60 de la Ley 80 de 1993</w:t>
      </w:r>
      <w:r w:rsidRPr="00966C6B">
        <w:rPr>
          <w:rStyle w:val="Refdenotaalpie"/>
          <w:rFonts w:ascii="Verdana" w:hAnsi="Verdana" w:cs="Arial"/>
          <w:color w:val="000000" w:themeColor="text1"/>
          <w:lang w:val="es-ES"/>
        </w:rPr>
        <w:footnoteReference w:id="24"/>
      </w:r>
      <w:r w:rsidRPr="00966C6B">
        <w:rPr>
          <w:rFonts w:ascii="Verdana" w:hAnsi="Verdana" w:cs="Arial"/>
          <w:color w:val="000000" w:themeColor="text1"/>
          <w:lang w:val="es-ES"/>
        </w:rPr>
        <w:t>.</w:t>
      </w:r>
    </w:p>
    <w:p w14:paraId="4AC5ECB9" w14:textId="77777777" w:rsidR="001C3BF3" w:rsidRPr="00966C6B" w:rsidRDefault="001C3BF3" w:rsidP="001C3BF3">
      <w:pPr>
        <w:spacing w:before="120" w:after="120"/>
        <w:ind w:firstLine="709"/>
        <w:jc w:val="both"/>
        <w:rPr>
          <w:rFonts w:ascii="Verdana" w:hAnsi="Verdana" w:cs="Arial"/>
          <w:color w:val="000000" w:themeColor="text1"/>
          <w:lang w:val="es-ES_tradnl"/>
        </w:rPr>
      </w:pPr>
      <w:r w:rsidRPr="00966C6B">
        <w:rPr>
          <w:rFonts w:ascii="Verdana" w:hAnsi="Verdana" w:cs="Arial"/>
          <w:color w:val="000000" w:themeColor="text1"/>
          <w:lang w:val="es-ES_tradnl"/>
        </w:rPr>
        <w:t>x) Para su celebración no se requiere inscripción en el Registro Único de Proponentes (RUP), según lo prevé el artículo 6 de la Ley 1150 de 2007</w:t>
      </w:r>
      <w:r w:rsidRPr="00966C6B">
        <w:rPr>
          <w:rStyle w:val="Refdenotaalpie"/>
          <w:rFonts w:ascii="Verdana" w:hAnsi="Verdana" w:cs="Arial"/>
          <w:color w:val="000000" w:themeColor="text1"/>
          <w:lang w:val="es-ES_tradnl"/>
        </w:rPr>
        <w:footnoteReference w:id="25"/>
      </w:r>
      <w:r w:rsidRPr="00966C6B">
        <w:rPr>
          <w:rFonts w:ascii="Verdana" w:hAnsi="Verdana" w:cs="Arial"/>
          <w:color w:val="000000" w:themeColor="text1"/>
          <w:lang w:val="es-ES_tradnl"/>
        </w:rPr>
        <w:t>.</w:t>
      </w:r>
    </w:p>
    <w:p w14:paraId="26175890" w14:textId="77777777" w:rsidR="001C3BF3" w:rsidRPr="00966C6B" w:rsidRDefault="001C3BF3" w:rsidP="001C3BF3">
      <w:pPr>
        <w:spacing w:before="120" w:after="120"/>
        <w:ind w:firstLine="709"/>
        <w:jc w:val="both"/>
        <w:rPr>
          <w:rFonts w:ascii="Verdana" w:hAnsi="Verdana" w:cs="Arial"/>
          <w:color w:val="000000" w:themeColor="text1"/>
          <w:sz w:val="21"/>
          <w:szCs w:val="21"/>
          <w:lang w:val="es-ES_tradnl"/>
        </w:rPr>
      </w:pPr>
      <w:r w:rsidRPr="00966C6B">
        <w:rPr>
          <w:rFonts w:ascii="Verdana" w:hAnsi="Verdana" w:cs="Arial"/>
          <w:color w:val="000000" w:themeColor="text1"/>
          <w:lang w:val="es-ES_tradnl"/>
        </w:rPr>
        <w:t>xi) En ellos no son necesarias las garantías</w:t>
      </w:r>
      <w:r w:rsidRPr="00966C6B">
        <w:rPr>
          <w:rStyle w:val="Refdenotaalpie"/>
          <w:rFonts w:ascii="Verdana" w:hAnsi="Verdana" w:cs="Arial"/>
          <w:color w:val="000000" w:themeColor="text1"/>
          <w:lang w:val="es-ES_tradnl"/>
        </w:rPr>
        <w:footnoteReference w:id="26"/>
      </w:r>
      <w:r w:rsidRPr="00966C6B">
        <w:rPr>
          <w:rFonts w:ascii="Verdana" w:hAnsi="Verdana" w:cs="Arial"/>
          <w:color w:val="000000" w:themeColor="text1"/>
          <w:lang w:val="es-ES_tradnl"/>
        </w:rPr>
        <w:t>.</w:t>
      </w:r>
    </w:p>
    <w:p w14:paraId="68AD609B" w14:textId="77777777" w:rsidR="001C3BF3" w:rsidRDefault="001C3BF3" w:rsidP="001C3BF3">
      <w:pPr>
        <w:spacing w:line="276" w:lineRule="auto"/>
        <w:ind w:firstLine="709"/>
        <w:jc w:val="both"/>
        <w:rPr>
          <w:rFonts w:ascii="Verdana" w:hAnsi="Verdana" w:cs="Arial"/>
          <w:color w:val="000000" w:themeColor="text1"/>
          <w:lang w:val="es-ES_tradnl"/>
        </w:rPr>
      </w:pPr>
      <w:r w:rsidRPr="00966C6B">
        <w:rPr>
          <w:rFonts w:ascii="Verdana" w:hAnsi="Verdana" w:cs="Arial"/>
          <w:color w:val="000000" w:themeColor="text1"/>
          <w:lang w:val="es-ES"/>
        </w:rPr>
        <w:lastRenderedPageBreak/>
        <w:t xml:space="preserve">Teniendo en cuenta las anteriores características del contrato de prestación de servicios profesionales, </w:t>
      </w:r>
      <w:r>
        <w:rPr>
          <w:rFonts w:ascii="Verdana" w:hAnsi="Verdana" w:cs="Arial"/>
          <w:color w:val="000000" w:themeColor="text1"/>
          <w:lang w:val="es-ES"/>
        </w:rPr>
        <w:t xml:space="preserve">y analizado el </w:t>
      </w:r>
      <w:r w:rsidRPr="00966C6B">
        <w:rPr>
          <w:rFonts w:ascii="Verdana" w:hAnsi="Verdana" w:cs="Arial"/>
          <w:color w:val="000000" w:themeColor="text1"/>
          <w:lang w:val="es-ES"/>
        </w:rPr>
        <w:t xml:space="preserve">régimen de inhabilidades e incompatibilidades previsto para la contratación estatal, </w:t>
      </w:r>
      <w:r w:rsidRPr="00CA3CC2">
        <w:rPr>
          <w:rFonts w:ascii="Verdana" w:hAnsi="Verdana" w:cs="Arial"/>
          <w:color w:val="000000" w:themeColor="text1"/>
          <w:lang w:val="es-ES_tradnl"/>
        </w:rPr>
        <w:t xml:space="preserve">se concluye que no existe una inhabilidad, incompatibilidad o prohibición de otra naturaleza para que </w:t>
      </w:r>
      <w:r>
        <w:rPr>
          <w:rFonts w:ascii="Verdana" w:eastAsia="Arial MT" w:hAnsi="Verdana" w:cs="Arial"/>
          <w:lang w:eastAsia="es-ES" w:bidi="es-ES"/>
        </w:rPr>
        <w:t>contratista de una entidad territorial celebre un contrato de prestación de servicios con otra entidad estatal con la cual existe un convenio entre las entidades contratantes, (que podría corresponder a los que se denominan interadministrativos de asociación entre entidades públicas regulados por el artículo 95 de la Ley 489 de 1998), del cual se desprenden las actividades del contratante, no se subsume en ninguno de los supuestos de hecho, ni se advierte que la hipótesis materia de consulta configure alguna de las causales previstas establecidos en el artículo 8 de la Ley 80 de 1993</w:t>
      </w:r>
      <w:r w:rsidRPr="00CA3CC2">
        <w:rPr>
          <w:rFonts w:ascii="Verdana" w:hAnsi="Verdana" w:cs="Arial"/>
          <w:color w:val="000000" w:themeColor="text1"/>
          <w:lang w:val="es-ES_tradnl"/>
        </w:rPr>
        <w:t>, así dichos contratos coexistan en el tiempo</w:t>
      </w:r>
      <w:r>
        <w:rPr>
          <w:rFonts w:ascii="Verdana" w:hAnsi="Verdana" w:cs="Arial"/>
          <w:color w:val="000000" w:themeColor="text1"/>
          <w:lang w:val="es-ES_tradnl"/>
        </w:rPr>
        <w:t>.</w:t>
      </w:r>
    </w:p>
    <w:p w14:paraId="5E600169" w14:textId="77777777" w:rsidR="001C3BF3" w:rsidRPr="00CA3CC2" w:rsidRDefault="001C3BF3" w:rsidP="001C3BF3">
      <w:pPr>
        <w:spacing w:after="120" w:line="276" w:lineRule="auto"/>
        <w:ind w:firstLine="709"/>
        <w:jc w:val="both"/>
        <w:rPr>
          <w:rFonts w:ascii="Verdana" w:hAnsi="Verdana" w:cs="Arial"/>
          <w:color w:val="000000" w:themeColor="text1"/>
          <w:lang w:val="es-ES"/>
        </w:rPr>
      </w:pPr>
      <w:r>
        <w:rPr>
          <w:rFonts w:ascii="Verdana" w:hAnsi="Verdana" w:cs="Arial"/>
          <w:color w:val="000000" w:themeColor="text1"/>
          <w:lang w:val="es-ES"/>
        </w:rPr>
        <w:t xml:space="preserve">En ese sentido, </w:t>
      </w:r>
      <w:r w:rsidRPr="00CA3CC2">
        <w:rPr>
          <w:rFonts w:ascii="Verdana" w:hAnsi="Verdana" w:cs="Arial"/>
          <w:color w:val="000000" w:themeColor="text1"/>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w:t>
      </w:r>
      <w:r>
        <w:rPr>
          <w:rFonts w:ascii="Verdana" w:hAnsi="Verdana" w:cs="Arial"/>
          <w:color w:val="000000" w:themeColor="text1"/>
          <w:lang w:val="es-ES"/>
        </w:rPr>
        <w:t>en dos</w:t>
      </w:r>
      <w:r w:rsidRPr="00CA3CC2">
        <w:rPr>
          <w:rFonts w:ascii="Verdana" w:hAnsi="Verdana" w:cs="Arial"/>
          <w:color w:val="000000" w:themeColor="text1"/>
          <w:lang w:val="es-ES"/>
        </w:rPr>
        <w:t xml:space="preserve"> entidad</w:t>
      </w:r>
      <w:r>
        <w:rPr>
          <w:rFonts w:ascii="Verdana" w:hAnsi="Verdana" w:cs="Arial"/>
          <w:color w:val="000000" w:themeColor="text1"/>
          <w:lang w:val="es-ES"/>
        </w:rPr>
        <w:t>es</w:t>
      </w:r>
      <w:r w:rsidRPr="00CA3CC2">
        <w:rPr>
          <w:rFonts w:ascii="Verdana" w:hAnsi="Verdana" w:cs="Arial"/>
          <w:color w:val="000000" w:themeColor="text1"/>
          <w:lang w:val="es-ES"/>
        </w:rPr>
        <w:t>, a través de contratos distintos y concomitantes</w:t>
      </w:r>
      <w:r>
        <w:rPr>
          <w:rFonts w:ascii="Verdana" w:hAnsi="Verdana" w:cs="Arial"/>
          <w:color w:val="000000" w:themeColor="text1"/>
          <w:lang w:val="es-ES"/>
        </w:rPr>
        <w:t>, incluso cuando las funciones de alguno de ellos se desprendan de las actividades acordadas mediante convenio interadministrativo entre las mismas entidades contratantes.</w:t>
      </w:r>
    </w:p>
    <w:p w14:paraId="2422F096" w14:textId="77777777" w:rsidR="001C3BF3" w:rsidRPr="00CA3CC2" w:rsidRDefault="001C3BF3" w:rsidP="001C3BF3">
      <w:pPr>
        <w:spacing w:after="120" w:line="276" w:lineRule="auto"/>
        <w:ind w:firstLine="709"/>
        <w:jc w:val="both"/>
        <w:rPr>
          <w:rFonts w:ascii="Verdana" w:hAnsi="Verdana" w:cs="Arial"/>
          <w:color w:val="000000" w:themeColor="text1"/>
          <w:lang w:val="es-ES"/>
        </w:rPr>
      </w:pPr>
      <w:r w:rsidRPr="00CA3CC2">
        <w:rPr>
          <w:rFonts w:ascii="Verdana" w:hAnsi="Verdana" w:cs="Arial"/>
          <w:color w:val="000000" w:themeColor="text1"/>
          <w:lang w:val="es-ES"/>
        </w:rPr>
        <w:t xml:space="preserve">Sin embargo, el hecho de que no haya una causal de inhabilidad o de incompatibilidad no significa que siempre se pueda celebrar el contrato de prestación de servicios. Para que ello sea viable, deben cumplirse los requisitos a los que se hizo referencia en el </w:t>
      </w:r>
      <w:r>
        <w:rPr>
          <w:rFonts w:ascii="Verdana" w:hAnsi="Verdana" w:cs="Arial"/>
          <w:color w:val="000000" w:themeColor="text1"/>
          <w:lang w:val="es-ES"/>
        </w:rPr>
        <w:t>presente</w:t>
      </w:r>
      <w:r w:rsidRPr="00CA3CC2">
        <w:rPr>
          <w:rFonts w:ascii="Verdana" w:hAnsi="Verdana" w:cs="Arial"/>
          <w:color w:val="000000" w:themeColor="text1"/>
          <w:lang w:val="es-ES"/>
        </w:rPr>
        <w:t xml:space="preserve"> concepto, pues se recuerda que la celebración del contrato de prestación de servicios profesionales con una persona natural es </w:t>
      </w:r>
      <w:r w:rsidRPr="00CA3CC2">
        <w:rPr>
          <w:rFonts w:ascii="Verdana" w:hAnsi="Verdana" w:cs="Arial"/>
          <w:i/>
          <w:iCs/>
          <w:color w:val="000000" w:themeColor="text1"/>
          <w:lang w:val="es-ES"/>
        </w:rPr>
        <w:t>excepcional</w:t>
      </w:r>
      <w:r w:rsidRPr="00CA3CC2">
        <w:rPr>
          <w:rFonts w:ascii="Verdana" w:hAnsi="Verdana" w:cs="Arial"/>
          <w:color w:val="000000" w:themeColor="text1"/>
          <w:lang w:val="es-ES"/>
        </w:rPr>
        <w:t xml:space="preserve">, ya que solo es admisible cuando las </w:t>
      </w:r>
      <w:r>
        <w:rPr>
          <w:rFonts w:ascii="Verdana" w:hAnsi="Verdana" w:cs="Arial"/>
          <w:color w:val="000000" w:themeColor="text1"/>
          <w:lang w:val="es-ES"/>
        </w:rPr>
        <w:t>“</w:t>
      </w:r>
      <w:r w:rsidRPr="00CA3CC2">
        <w:rPr>
          <w:rFonts w:ascii="Verdana" w:hAnsi="Verdana" w:cs="Arial"/>
          <w:color w:val="000000" w:themeColor="text1"/>
          <w:lang w:val="es-ES"/>
        </w:rPr>
        <w:t>actividades no puedan realizarse con personal de planta o requieran conocimientos especializados</w:t>
      </w:r>
      <w:r>
        <w:rPr>
          <w:rFonts w:ascii="Verdana" w:hAnsi="Verdana" w:cs="Arial"/>
          <w:color w:val="000000" w:themeColor="text1"/>
          <w:lang w:val="es-ES"/>
        </w:rPr>
        <w:t>”</w:t>
      </w:r>
      <w:r w:rsidRPr="00CA3CC2">
        <w:rPr>
          <w:rFonts w:ascii="Verdana" w:hAnsi="Verdana" w:cs="Arial"/>
          <w:color w:val="000000" w:themeColor="text1"/>
          <w:lang w:val="es-ES"/>
        </w:rPr>
        <w:t xml:space="preserve">, lo cual debe justificarse satisfactoriamente en los estudios previos. Además, dicho contrato debe ser </w:t>
      </w:r>
      <w:r w:rsidRPr="00CA3CC2">
        <w:rPr>
          <w:rFonts w:ascii="Verdana" w:hAnsi="Verdana" w:cs="Arial"/>
          <w:i/>
          <w:iCs/>
          <w:color w:val="000000" w:themeColor="text1"/>
          <w:lang w:val="es-ES"/>
        </w:rPr>
        <w:t>temporal</w:t>
      </w:r>
      <w:r w:rsidRPr="00CA3CC2">
        <w:rPr>
          <w:rFonts w:ascii="Verdana" w:hAnsi="Verdana" w:cs="Arial"/>
          <w:color w:val="000000" w:themeColor="text1"/>
          <w:lang w:val="es-ES"/>
        </w:rPr>
        <w:t xml:space="preserve"> y no puede servir para la creación de nóminas paralelas</w:t>
      </w:r>
      <w:r w:rsidRPr="00CA3CC2">
        <w:rPr>
          <w:rStyle w:val="Refdenotaalpie"/>
          <w:rFonts w:ascii="Verdana" w:hAnsi="Verdana" w:cs="Arial"/>
          <w:color w:val="000000" w:themeColor="text1"/>
          <w:lang w:val="es-ES"/>
        </w:rPr>
        <w:footnoteReference w:id="27"/>
      </w:r>
      <w:r w:rsidRPr="00CA3CC2">
        <w:rPr>
          <w:rFonts w:ascii="Verdana" w:hAnsi="Verdana" w:cs="Arial"/>
          <w:color w:val="000000" w:themeColor="text1"/>
          <w:lang w:val="es-ES"/>
        </w:rPr>
        <w:t xml:space="preserve">. </w:t>
      </w:r>
    </w:p>
    <w:p w14:paraId="6B74835B" w14:textId="77777777" w:rsidR="001C3BF3" w:rsidRDefault="001C3BF3" w:rsidP="001C3BF3">
      <w:pPr>
        <w:spacing w:line="276" w:lineRule="auto"/>
        <w:ind w:firstLine="709"/>
        <w:jc w:val="both"/>
        <w:rPr>
          <w:rFonts w:ascii="Verdana" w:hAnsi="Verdana" w:cs="Arial"/>
          <w:color w:val="000000" w:themeColor="text1"/>
          <w:lang w:val="es-ES_tradnl"/>
        </w:rPr>
      </w:pPr>
      <w:r w:rsidRPr="00CA3CC2">
        <w:rPr>
          <w:rFonts w:ascii="Verdana" w:hAnsi="Verdana" w:cs="Arial"/>
          <w:color w:val="000000" w:themeColor="text1"/>
          <w:lang w:val="es-ES_tradnl"/>
        </w:rPr>
        <w:lastRenderedPageBreak/>
        <w:t xml:space="preserve">Adicionalmente, las entidades estatales deben ser diligentes en el análisis de las condiciones de ejecución del contrato de prestación de servicios profesionales, midiendo la complejidad y al alcance de las labores encomendadas al contratista, pues solo de esta manera pueden determinar razonablemente si el mismo contratista tiene la capacidad, no solo jurídica sino también técnica y económica, para celebrar otro contrato de prestación de servicios. Si tales factores no se tienen en cuenta, existe el riesgo de que el contratista termine incumpliendo sus obligaciones, por la sobrecarga de actividades.   </w:t>
      </w:r>
    </w:p>
    <w:p w14:paraId="6FE0243B" w14:textId="77777777" w:rsidR="001C3BF3" w:rsidRDefault="001C3BF3" w:rsidP="001C3BF3">
      <w:pPr>
        <w:spacing w:line="276" w:lineRule="auto"/>
        <w:ind w:firstLine="709"/>
        <w:jc w:val="both"/>
        <w:rPr>
          <w:rFonts w:ascii="Verdana" w:eastAsia="Arial MT" w:hAnsi="Verdana" w:cs="Arial"/>
          <w:lang w:eastAsia="es-ES" w:bidi="es-ES"/>
        </w:rPr>
      </w:pPr>
      <w:r>
        <w:rPr>
          <w:rFonts w:ascii="Verdana" w:eastAsia="Arial MT" w:hAnsi="Verdana" w:cs="Arial"/>
          <w:lang w:eastAsia="es-ES" w:bidi="es-ES"/>
        </w:rPr>
        <w:t>En conclusión, n</w:t>
      </w:r>
      <w:r w:rsidRPr="00201080">
        <w:rPr>
          <w:rFonts w:ascii="Verdana" w:eastAsia="Arial MT" w:hAnsi="Verdana" w:cs="Arial"/>
          <w:lang w:eastAsia="es-ES" w:bidi="es-ES"/>
        </w:rPr>
        <w:t xml:space="preserve">o existe </w:t>
      </w:r>
      <w:r>
        <w:rPr>
          <w:rFonts w:ascii="Verdana" w:eastAsia="Arial MT" w:hAnsi="Verdana" w:cs="Arial"/>
          <w:lang w:eastAsia="es-ES" w:bidi="es-ES"/>
        </w:rPr>
        <w:t xml:space="preserve"> restricción de orden legal o reglamentario, o </w:t>
      </w:r>
      <w:r w:rsidRPr="00201080">
        <w:rPr>
          <w:rFonts w:ascii="Verdana" w:eastAsia="Arial MT" w:hAnsi="Verdana" w:cs="Arial"/>
          <w:lang w:eastAsia="es-ES" w:bidi="es-ES"/>
        </w:rPr>
        <w:t xml:space="preserve">causal de inhabilidad o incompatibilidad que prohíba la celebración de dos o más contratos de prestación de servicios con diferentes entidades estatales, ni se restringe la capacidad jurídica del contratista cuando </w:t>
      </w:r>
      <w:r w:rsidRPr="00201080">
        <w:rPr>
          <w:rFonts w:ascii="Verdana" w:hAnsi="Verdana"/>
        </w:rPr>
        <w:t>las actividades que desempeña en una de ellas se desprenden de un convenio</w:t>
      </w:r>
      <w:r>
        <w:rPr>
          <w:rFonts w:ascii="Verdana" w:hAnsi="Verdana"/>
        </w:rPr>
        <w:t xml:space="preserve"> </w:t>
      </w:r>
      <w:r w:rsidRPr="00201080">
        <w:rPr>
          <w:rFonts w:ascii="Verdana" w:hAnsi="Verdana"/>
        </w:rPr>
        <w:t>suscrito entre las entidades estatales contratantes</w:t>
      </w:r>
      <w:r>
        <w:rPr>
          <w:rFonts w:ascii="Verdana" w:eastAsia="Arial MT" w:hAnsi="Verdana" w:cs="Arial"/>
          <w:lang w:eastAsia="es-ES" w:bidi="es-ES"/>
        </w:rPr>
        <w:t xml:space="preserve">, no obstante, la entidad contratante tiene el deber de identificar cualquier conducta que pueda llegar a tener la connotación de un conflicto de interés, producto de la concurrencia </w:t>
      </w:r>
      <w:r w:rsidRPr="00583EF1">
        <w:rPr>
          <w:rFonts w:ascii="Verdana" w:eastAsia="Arial MT" w:hAnsi="Verdana" w:cs="Arial"/>
          <w:lang w:eastAsia="es-ES" w:bidi="es-ES"/>
        </w:rPr>
        <w:t xml:space="preserve">de intereses antagónicos en </w:t>
      </w:r>
      <w:r>
        <w:rPr>
          <w:rFonts w:ascii="Verdana" w:eastAsia="Arial MT" w:hAnsi="Verdana" w:cs="Arial"/>
          <w:lang w:eastAsia="es-ES" w:bidi="es-ES"/>
        </w:rPr>
        <w:t>el contratista que ejerce</w:t>
      </w:r>
      <w:r w:rsidRPr="00583EF1">
        <w:rPr>
          <w:rFonts w:ascii="Verdana" w:eastAsia="Arial MT" w:hAnsi="Verdana" w:cs="Arial"/>
          <w:lang w:eastAsia="es-ES" w:bidi="es-ES"/>
        </w:rPr>
        <w:t xml:space="preserve"> funciones públicas</w:t>
      </w:r>
      <w:r>
        <w:rPr>
          <w:rFonts w:ascii="Verdana" w:eastAsia="Arial MT" w:hAnsi="Verdana" w:cs="Arial"/>
          <w:lang w:eastAsia="es-ES" w:bidi="es-ES"/>
        </w:rPr>
        <w:t xml:space="preserve"> en una y otra entidad y que afecten</w:t>
      </w:r>
      <w:r w:rsidRPr="00583EF1">
        <w:rPr>
          <w:rFonts w:ascii="Verdana" w:eastAsia="Arial MT" w:hAnsi="Verdana" w:cs="Arial"/>
          <w:lang w:eastAsia="es-ES" w:bidi="es-ES"/>
        </w:rPr>
        <w:t xml:space="preserve"> la transparencia de las decisiones que le competen </w:t>
      </w:r>
      <w:r>
        <w:rPr>
          <w:rFonts w:ascii="Verdana" w:eastAsia="Arial MT" w:hAnsi="Verdana" w:cs="Arial"/>
          <w:lang w:eastAsia="es-ES" w:bidi="es-ES"/>
        </w:rPr>
        <w:t>o lo lleven</w:t>
      </w:r>
      <w:r w:rsidRPr="00583EF1">
        <w:rPr>
          <w:rFonts w:ascii="Verdana" w:eastAsia="Arial MT" w:hAnsi="Verdana" w:cs="Arial"/>
          <w:lang w:eastAsia="es-ES" w:bidi="es-ES"/>
        </w:rPr>
        <w:t xml:space="preserve"> a adoptar determinaciones de aprovechamiento personal, familiar o particular, en detrimento del interés público</w:t>
      </w:r>
      <w:r>
        <w:rPr>
          <w:rFonts w:ascii="Verdana" w:eastAsia="Arial MT" w:hAnsi="Verdana" w:cs="Arial"/>
          <w:lang w:eastAsia="es-ES" w:bidi="es-ES"/>
        </w:rPr>
        <w:t xml:space="preserve">. </w:t>
      </w:r>
    </w:p>
    <w:p w14:paraId="04DAD41D" w14:textId="77777777" w:rsidR="001C3BF3" w:rsidRDefault="001C3BF3" w:rsidP="001C3BF3">
      <w:pPr>
        <w:spacing w:after="0" w:line="276" w:lineRule="auto"/>
        <w:ind w:firstLine="709"/>
        <w:jc w:val="both"/>
        <w:rPr>
          <w:rFonts w:ascii="Verdana" w:hAnsi="Verdana" w:cs="Arial"/>
        </w:rPr>
      </w:pPr>
      <w:r>
        <w:rPr>
          <w:rFonts w:ascii="Verdana" w:eastAsia="Arial MT" w:hAnsi="Verdana" w:cs="Arial"/>
          <w:lang w:eastAsia="es-ES" w:bidi="es-ES"/>
        </w:rPr>
        <w:t xml:space="preserve">Tales situaciones de conflicto de intereses suelen expresarse en prohibiciones, similar a lo que ocurre con las inhabilidades e incompatibilidades, por lo que su consagración (para los procesos competitivos tal consagración se materializa en el pliego de condiciones y para el caso que nos compete, en virtud de que se trata de un contrato de prestación de servicios, como aquel se adelanta por modalidad de contratación directa, su consagración debe efectuarse en la minuta del contrato) también debe ser expresa y su interpretación restrictiva, de manera que su deducción y aplicación siempre debe </w:t>
      </w:r>
      <w:r w:rsidRPr="003C349B">
        <w:rPr>
          <w:rFonts w:ascii="Verdana" w:eastAsia="Arial MT" w:hAnsi="Verdana" w:cs="Arial"/>
          <w:lang w:eastAsia="es-ES" w:bidi="es-ES"/>
        </w:rPr>
        <w:t>estar ajustada a los presupuestos que para cada causal haya señalado el constituyente o el legislador</w:t>
      </w:r>
      <w:r>
        <w:rPr>
          <w:rFonts w:ascii="Verdana" w:eastAsia="Arial MT" w:hAnsi="Verdana" w:cs="Arial"/>
          <w:lang w:eastAsia="es-ES" w:bidi="es-ES"/>
        </w:rPr>
        <w:t xml:space="preserve"> (en el caso de las inhabilidades e incompatibilidades) y la entidad contratante (en el caso de los conflictos de intereses)</w:t>
      </w:r>
      <w:r w:rsidRPr="003C349B">
        <w:rPr>
          <w:rFonts w:ascii="Verdana" w:eastAsia="Arial MT" w:hAnsi="Verdana" w:cs="Arial"/>
          <w:lang w:eastAsia="es-ES" w:bidi="es-ES"/>
        </w:rPr>
        <w:t>, dado que no es posible su aplicación extensiva o analógica</w:t>
      </w:r>
      <w:r>
        <w:rPr>
          <w:rFonts w:ascii="Verdana" w:eastAsia="Arial MT" w:hAnsi="Verdana" w:cs="Arial"/>
          <w:lang w:eastAsia="es-ES" w:bidi="es-ES"/>
        </w:rPr>
        <w:t>.</w:t>
      </w:r>
      <w:r>
        <w:rPr>
          <w:rFonts w:ascii="Verdana" w:hAnsi="Verdana" w:cs="Arial"/>
        </w:rPr>
        <w:t xml:space="preserve"> </w:t>
      </w:r>
    </w:p>
    <w:p w14:paraId="5A080692" w14:textId="77777777" w:rsidR="001C3BF3" w:rsidRDefault="001C3BF3" w:rsidP="001C3BF3">
      <w:pPr>
        <w:spacing w:after="0" w:line="276" w:lineRule="auto"/>
        <w:ind w:firstLine="709"/>
        <w:jc w:val="both"/>
        <w:rPr>
          <w:rFonts w:ascii="Verdana" w:hAnsi="Verdana" w:cs="Arial"/>
        </w:rPr>
      </w:pPr>
    </w:p>
    <w:p w14:paraId="00F0E510" w14:textId="77777777" w:rsidR="001C3BF3" w:rsidRPr="005B7C42" w:rsidRDefault="001C3BF3" w:rsidP="001C3BF3">
      <w:pPr>
        <w:tabs>
          <w:tab w:val="left" w:pos="142"/>
          <w:tab w:val="left" w:pos="284"/>
        </w:tabs>
        <w:spacing w:after="0" w:line="276" w:lineRule="auto"/>
        <w:jc w:val="both"/>
        <w:rPr>
          <w:rFonts w:ascii="Verdana" w:eastAsia="Century Gothic" w:hAnsi="Verdana" w:cs="Century Gothic"/>
          <w:b/>
          <w:bCs/>
        </w:rPr>
      </w:pPr>
      <w:r w:rsidRPr="005B7C42">
        <w:rPr>
          <w:rFonts w:ascii="Verdana" w:eastAsia="Century Gothic" w:hAnsi="Verdana" w:cs="Century Gothic"/>
          <w:b/>
          <w:bCs/>
        </w:rPr>
        <w:lastRenderedPageBreak/>
        <w:t>4. Referencias normativas, jurisprudenciales y otras fuentes:</w:t>
      </w:r>
    </w:p>
    <w:p w14:paraId="34903802" w14:textId="77777777" w:rsidR="001C3BF3" w:rsidRPr="005B7C42" w:rsidRDefault="001C3BF3" w:rsidP="001C3BF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C3BF3" w:rsidRPr="005B7C42" w14:paraId="0B5FCB21" w14:textId="77777777" w:rsidTr="004F03A1">
        <w:trPr>
          <w:trHeight w:val="870"/>
        </w:trPr>
        <w:tc>
          <w:tcPr>
            <w:tcW w:w="8647" w:type="dxa"/>
          </w:tcPr>
          <w:p w14:paraId="1BC16A1D" w14:textId="77777777" w:rsidR="001C3BF3" w:rsidRDefault="001C3BF3" w:rsidP="001C3BF3">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Ley 80 de 1993, artículos 6, 8 y 32, numeral 3</w:t>
            </w:r>
          </w:p>
          <w:p w14:paraId="6610A127" w14:textId="77777777" w:rsidR="001C3BF3" w:rsidRDefault="001C3BF3" w:rsidP="001C3BF3">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sidRPr="00832150">
              <w:rPr>
                <w:rFonts w:ascii="Verdana" w:eastAsia="Calibri" w:hAnsi="Verdana" w:cs="Arial"/>
                <w:bCs/>
                <w:color w:val="000000"/>
                <w:szCs w:val="24"/>
                <w:lang w:val="es-ES_tradnl" w:eastAsia="es-ES_tradnl" w:bidi="es-ES"/>
              </w:rPr>
              <w:t>Ley 1150 de 2007</w:t>
            </w:r>
            <w:r>
              <w:rPr>
                <w:rFonts w:ascii="Verdana" w:eastAsia="Calibri" w:hAnsi="Verdana" w:cs="Arial"/>
                <w:bCs/>
                <w:color w:val="000000"/>
                <w:szCs w:val="24"/>
                <w:lang w:val="es-ES_tradnl" w:eastAsia="es-ES_tradnl" w:bidi="es-ES"/>
              </w:rPr>
              <w:t xml:space="preserve">, artículo 2, numeral 4, literal h) y artículo 6 </w:t>
            </w:r>
          </w:p>
          <w:p w14:paraId="270349B9" w14:textId="77777777" w:rsidR="001C3BF3" w:rsidRDefault="001C3BF3" w:rsidP="001C3BF3">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sidRPr="003D0C71">
              <w:rPr>
                <w:rFonts w:ascii="Verdana" w:eastAsia="Calibri" w:hAnsi="Verdana" w:cs="Arial"/>
                <w:bCs/>
                <w:color w:val="000000"/>
                <w:szCs w:val="24"/>
                <w:lang w:val="es-ES_tradnl" w:eastAsia="es-ES_tradnl" w:bidi="es-ES"/>
              </w:rPr>
              <w:t>Decreto 1082 de 2015</w:t>
            </w:r>
            <w:r>
              <w:rPr>
                <w:rFonts w:ascii="Verdana" w:eastAsia="Calibri" w:hAnsi="Verdana" w:cs="Arial"/>
                <w:bCs/>
                <w:color w:val="000000"/>
                <w:szCs w:val="24"/>
                <w:lang w:val="es-ES_tradnl" w:eastAsia="es-ES_tradnl" w:bidi="es-ES"/>
              </w:rPr>
              <w:t xml:space="preserve">, artículos </w:t>
            </w:r>
            <w:r w:rsidRPr="00334B2F">
              <w:rPr>
                <w:rFonts w:ascii="Verdana" w:eastAsia="Calibri" w:hAnsi="Verdana" w:cs="Arial"/>
                <w:bCs/>
                <w:color w:val="000000"/>
                <w:szCs w:val="24"/>
                <w:lang w:val="es-ES_tradnl" w:eastAsia="es-ES_tradnl" w:bidi="es-ES"/>
              </w:rPr>
              <w:t xml:space="preserve">2.2.1.2.1.4.9. </w:t>
            </w:r>
            <w:r>
              <w:rPr>
                <w:rFonts w:ascii="Verdana" w:eastAsia="Calibri" w:hAnsi="Verdana" w:cs="Arial"/>
                <w:bCs/>
                <w:color w:val="000000"/>
                <w:szCs w:val="24"/>
                <w:lang w:val="es-ES_tradnl" w:eastAsia="es-ES_tradnl" w:bidi="es-ES"/>
              </w:rPr>
              <w:t>y</w:t>
            </w:r>
            <w:r w:rsidRPr="00334B2F">
              <w:rPr>
                <w:rFonts w:ascii="Verdana" w:eastAsia="Calibri" w:hAnsi="Verdana" w:cs="Arial"/>
                <w:bCs/>
                <w:color w:val="000000"/>
                <w:szCs w:val="24"/>
                <w:lang w:val="es-ES_tradnl" w:eastAsia="es-ES_tradnl" w:bidi="es-ES"/>
              </w:rPr>
              <w:t xml:space="preserve"> 2.2.1.2.1.4.1</w:t>
            </w:r>
          </w:p>
          <w:p w14:paraId="442FF342" w14:textId="77777777" w:rsidR="001C3BF3" w:rsidRDefault="001C3BF3" w:rsidP="001C3BF3">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Decreto 019 de 2012, artículo 221</w:t>
            </w:r>
          </w:p>
          <w:p w14:paraId="7E93F587" w14:textId="77777777" w:rsidR="001C3BF3" w:rsidRDefault="001C3BF3" w:rsidP="001C3BF3">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Pr>
                <w:rFonts w:ascii="Verdana" w:eastAsia="Calibri" w:hAnsi="Verdana" w:cs="Arial"/>
                <w:bCs/>
                <w:color w:val="000000"/>
                <w:szCs w:val="24"/>
                <w:lang w:val="es-ES_tradnl" w:eastAsia="es-ES_tradnl" w:bidi="es-ES"/>
              </w:rPr>
              <w:t>Código Civil, artículo 1501</w:t>
            </w:r>
          </w:p>
          <w:p w14:paraId="0D3F31FC" w14:textId="77777777" w:rsidR="001C3BF3" w:rsidRPr="00715BE1" w:rsidRDefault="001C3BF3" w:rsidP="001C3BF3">
            <w:pPr>
              <w:pStyle w:val="Prrafodelista"/>
              <w:numPr>
                <w:ilvl w:val="0"/>
                <w:numId w:val="1"/>
              </w:numPr>
              <w:spacing w:line="276" w:lineRule="auto"/>
              <w:jc w:val="both"/>
              <w:rPr>
                <w:rFonts w:ascii="Verdana" w:eastAsia="Calibri" w:hAnsi="Verdana" w:cs="Arial"/>
                <w:bCs/>
                <w:color w:val="000000"/>
                <w:szCs w:val="24"/>
                <w:lang w:val="es-ES_tradnl" w:eastAsia="es-ES_tradnl" w:bidi="es-ES"/>
              </w:rPr>
            </w:pPr>
            <w:r w:rsidRPr="00087A82">
              <w:rPr>
                <w:rFonts w:ascii="Verdana" w:eastAsia="Calibri" w:hAnsi="Verdana" w:cs="Arial"/>
                <w:bCs/>
                <w:color w:val="000000"/>
                <w:szCs w:val="24"/>
                <w:lang w:val="es-ES_tradnl" w:eastAsia="es-ES_tradnl" w:bidi="es-ES"/>
              </w:rPr>
              <w:t>Corte Constitucional. Sentencia T-1039 de 2006 Magistrado Ponente: Humberto Sierra Porto</w:t>
            </w:r>
          </w:p>
          <w:p w14:paraId="4C6D406D" w14:textId="77777777" w:rsidR="001C3BF3" w:rsidRDefault="001C3BF3" w:rsidP="001C3BF3">
            <w:pPr>
              <w:pStyle w:val="Prrafodelista"/>
              <w:numPr>
                <w:ilvl w:val="0"/>
                <w:numId w:val="1"/>
              </w:numPr>
              <w:spacing w:line="276" w:lineRule="auto"/>
              <w:jc w:val="both"/>
              <w:rPr>
                <w:rFonts w:ascii="Verdana" w:eastAsia="Calibri" w:hAnsi="Verdana" w:cs="Arial"/>
                <w:color w:val="000000"/>
                <w:lang w:eastAsia="es-ES" w:bidi="es-ES"/>
              </w:rPr>
            </w:pPr>
            <w:r w:rsidRPr="00446026">
              <w:rPr>
                <w:rFonts w:ascii="Verdana" w:eastAsia="Calibri" w:hAnsi="Verdana" w:cs="Arial"/>
                <w:color w:val="000000"/>
                <w:lang w:eastAsia="es-ES" w:bidi="es-ES"/>
              </w:rPr>
              <w:t>Consejo de Estado. Sala de Consulta y Servicio Civil. Concepto del 30 de abril de 2015. Expediente: 2251. Consejero Ponente: Álvaro Namén Vargas</w:t>
            </w:r>
          </w:p>
          <w:p w14:paraId="164D7210" w14:textId="77777777" w:rsidR="001C3BF3" w:rsidRDefault="001C3BF3" w:rsidP="001C3BF3">
            <w:pPr>
              <w:pStyle w:val="Prrafodelista"/>
              <w:numPr>
                <w:ilvl w:val="0"/>
                <w:numId w:val="1"/>
              </w:numPr>
              <w:spacing w:line="276" w:lineRule="auto"/>
              <w:jc w:val="both"/>
              <w:rPr>
                <w:rFonts w:ascii="Verdana" w:eastAsia="Calibri" w:hAnsi="Verdana" w:cs="Arial"/>
                <w:color w:val="000000"/>
                <w:lang w:eastAsia="es-ES" w:bidi="es-ES"/>
              </w:rPr>
            </w:pPr>
            <w:r w:rsidRPr="00BD6708">
              <w:rPr>
                <w:rFonts w:ascii="Verdana" w:eastAsia="Calibri" w:hAnsi="Verdana" w:cs="Arial"/>
                <w:color w:val="000000"/>
                <w:lang w:eastAsia="es-ES" w:bidi="es-ES"/>
              </w:rPr>
              <w:t>Consejo de Estado. Sección Tercera. Subsección A. Sentencia del 24 de junio de 2015. Exp. 40.635. Consejero Ponente: Hernán Andrade Rincón (E).</w:t>
            </w:r>
          </w:p>
          <w:p w14:paraId="341D88D6" w14:textId="77777777" w:rsidR="001C3BF3" w:rsidRDefault="001C3BF3" w:rsidP="001C3BF3">
            <w:pPr>
              <w:pStyle w:val="Prrafodelista"/>
              <w:numPr>
                <w:ilvl w:val="0"/>
                <w:numId w:val="1"/>
              </w:numPr>
              <w:spacing w:line="276" w:lineRule="auto"/>
              <w:jc w:val="both"/>
              <w:rPr>
                <w:rFonts w:ascii="Verdana" w:eastAsia="Calibri" w:hAnsi="Verdana" w:cs="Arial"/>
                <w:color w:val="000000"/>
                <w:lang w:eastAsia="es-ES" w:bidi="es-ES"/>
              </w:rPr>
            </w:pPr>
            <w:r w:rsidRPr="00F42CB7">
              <w:rPr>
                <w:rFonts w:ascii="Verdana" w:eastAsia="Calibri" w:hAnsi="Verdana" w:cs="Arial"/>
                <w:color w:val="000000"/>
                <w:lang w:eastAsia="es-ES" w:bidi="es-ES"/>
              </w:rPr>
              <w:t>Consejo de Estado. Sección Tercera. Subsección C. Sentencia del 22 de mayo de 2013. Exp. 24.057. Consejera Ponente: Olga Melida Valle De De La Hoz.</w:t>
            </w:r>
          </w:p>
          <w:p w14:paraId="6C1735FB" w14:textId="77777777" w:rsidR="001C3BF3" w:rsidRDefault="001C3BF3" w:rsidP="001C3BF3">
            <w:pPr>
              <w:pStyle w:val="Prrafodelista"/>
              <w:numPr>
                <w:ilvl w:val="0"/>
                <w:numId w:val="1"/>
              </w:numPr>
              <w:spacing w:line="276" w:lineRule="auto"/>
              <w:jc w:val="both"/>
              <w:rPr>
                <w:rFonts w:ascii="Verdana" w:eastAsia="Calibri" w:hAnsi="Verdana" w:cs="Arial"/>
                <w:color w:val="000000"/>
                <w:lang w:eastAsia="es-ES" w:bidi="es-ES"/>
              </w:rPr>
            </w:pPr>
            <w:r w:rsidRPr="00E27BBC">
              <w:rPr>
                <w:rFonts w:ascii="Verdana" w:eastAsia="Calibri" w:hAnsi="Verdana" w:cs="Arial"/>
                <w:color w:val="000000"/>
                <w:lang w:val="pt-BR" w:eastAsia="es-ES" w:bidi="es-ES"/>
              </w:rPr>
              <w:t xml:space="preserve">CORTE CONSTITUCIONAL. Sentencia C-154 de 1997. </w:t>
            </w:r>
            <w:r w:rsidRPr="00E27BBC">
              <w:rPr>
                <w:rFonts w:ascii="Verdana" w:eastAsia="Calibri" w:hAnsi="Verdana" w:cs="Arial"/>
                <w:color w:val="000000"/>
                <w:lang w:eastAsia="es-ES" w:bidi="es-ES"/>
              </w:rPr>
              <w:t>M.P. Hernando Herrera Vergara.</w:t>
            </w:r>
          </w:p>
          <w:p w14:paraId="517EDFE2" w14:textId="77777777" w:rsidR="001C3BF3" w:rsidRPr="00322257" w:rsidRDefault="001C3BF3" w:rsidP="001C3BF3">
            <w:pPr>
              <w:pStyle w:val="Prrafodelista"/>
              <w:numPr>
                <w:ilvl w:val="0"/>
                <w:numId w:val="1"/>
              </w:numPr>
              <w:spacing w:line="276" w:lineRule="auto"/>
              <w:jc w:val="both"/>
              <w:rPr>
                <w:rFonts w:ascii="Verdana" w:eastAsia="Calibri" w:hAnsi="Verdana" w:cs="Arial"/>
                <w:color w:val="000000"/>
                <w:lang w:eastAsia="es-ES" w:bidi="es-ES"/>
              </w:rPr>
            </w:pPr>
            <w:r w:rsidRPr="003D68C4">
              <w:rPr>
                <w:rFonts w:ascii="Verdana" w:eastAsia="Calibri" w:hAnsi="Verdana" w:cs="Arial"/>
                <w:color w:val="000000"/>
                <w:lang w:eastAsia="es-ES" w:bidi="es-ES"/>
              </w:rPr>
              <w:t>CONSEJO DE ESTADO. Sección Tercera. Subsección C. Sentencia de Unificación del 2 de diciembre de 2013. Exp. 41.719. C.P. Jaime Orlando Santofimio Gamboa.</w:t>
            </w:r>
          </w:p>
        </w:tc>
      </w:tr>
    </w:tbl>
    <w:p w14:paraId="75006549" w14:textId="77777777" w:rsidR="001C3BF3" w:rsidRPr="005B7C42" w:rsidRDefault="001C3BF3" w:rsidP="001C3BF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B3A997B" w14:textId="77777777" w:rsidR="001C3BF3" w:rsidRPr="005B7C42" w:rsidRDefault="001C3BF3" w:rsidP="001C3BF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5B7C42">
        <w:rPr>
          <w:rFonts w:ascii="Verdana" w:eastAsia="Century Gothic" w:hAnsi="Verdana" w:cs="Century Gothic"/>
          <w:b/>
          <w:bCs/>
        </w:rPr>
        <w:t>5. Doctrina de la Agencia Nacional de Contratación Pública:</w:t>
      </w:r>
    </w:p>
    <w:p w14:paraId="021ED62F" w14:textId="77777777" w:rsidR="001C3BF3" w:rsidRPr="005B7C42" w:rsidRDefault="001C3BF3" w:rsidP="001C3BF3">
      <w:pPr>
        <w:spacing w:after="0" w:line="276" w:lineRule="auto"/>
        <w:ind w:firstLine="709"/>
        <w:jc w:val="both"/>
        <w:rPr>
          <w:rFonts w:ascii="Verdana" w:eastAsia="Times New Roman" w:hAnsi="Verdana" w:cs="Arial"/>
          <w:szCs w:val="24"/>
          <w:lang w:eastAsia="es-ES_tradnl"/>
        </w:rPr>
      </w:pPr>
    </w:p>
    <w:p w14:paraId="740B7C06" w14:textId="77777777" w:rsidR="001C3BF3" w:rsidRPr="005B7C42" w:rsidRDefault="001C3BF3" w:rsidP="001C3BF3">
      <w:pPr>
        <w:widowControl w:val="0"/>
        <w:autoSpaceDE w:val="0"/>
        <w:autoSpaceDN w:val="0"/>
        <w:spacing w:after="0" w:line="276" w:lineRule="auto"/>
        <w:jc w:val="both"/>
        <w:rPr>
          <w:rStyle w:val="normaltextrun"/>
          <w:rFonts w:ascii="Verdana" w:hAnsi="Verdana"/>
          <w:color w:val="000000"/>
        </w:rPr>
      </w:pPr>
      <w:r w:rsidRPr="0053731C">
        <w:rPr>
          <w:rFonts w:ascii="Verdana" w:eastAsia="Calibri" w:hAnsi="Verdana" w:cs="Arial"/>
          <w:lang w:val="es-ES_tradnl" w:eastAsia="es-ES_tradnl"/>
        </w:rPr>
        <w:t xml:space="preserve">Sobre el régimen de inhabilidades e incompatibilidades se pronunció esta Subdirección en los conceptos </w:t>
      </w:r>
      <w:r w:rsidRPr="0053731C">
        <w:rPr>
          <w:rFonts w:ascii="Verdana" w:eastAsia="Calibri" w:hAnsi="Verdana" w:cs="Arial"/>
          <w:lang w:val="es-MX"/>
        </w:rPr>
        <w:t xml:space="preserve">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w:t>
      </w:r>
      <w:r w:rsidRPr="0053731C">
        <w:rPr>
          <w:rFonts w:ascii="Verdana" w:eastAsia="Calibri" w:hAnsi="Verdana" w:cs="Arial"/>
          <w:lang w:val="es-MX"/>
        </w:rPr>
        <w:lastRenderedPageBreak/>
        <w:t>2022, C−413 del 24 de junio de 2022, C−691 del 20 de octubre de 2022, C−731 del 10 de noviembre de 2022, C−928 del 26 de enero de 2023, C−126 del 24 de abril de 2023, C−175 del 4 de mayo de 2023, C−234 del 5 de julio de 2023, C−010 del 31 de enero de 2024 y C-039 del 23 de abril de 2024</w:t>
      </w:r>
      <w:r w:rsidRPr="0053731C">
        <w:rPr>
          <w:rFonts w:ascii="Verdana" w:hAnsi="Verdana" w:cs="Arial"/>
        </w:rPr>
        <w:t xml:space="preserve">. También se ha pronunciado sobre </w:t>
      </w:r>
      <w:r>
        <w:rPr>
          <w:rFonts w:ascii="Verdana" w:hAnsi="Verdana" w:cs="Arial"/>
        </w:rPr>
        <w:t>el conflicto de interés</w:t>
      </w:r>
      <w:r w:rsidRPr="0053731C">
        <w:rPr>
          <w:rFonts w:ascii="Verdana" w:hAnsi="Verdana" w:cs="Arial"/>
        </w:rPr>
        <w:t xml:space="preserve"> en los conceptos </w:t>
      </w:r>
      <w:r w:rsidRPr="007440AE">
        <w:rPr>
          <w:rFonts w:ascii="Verdana" w:hAnsi="Verdana" w:cs="Arial"/>
        </w:rPr>
        <w:t>C-229 del 16 de abril de 2020, C-815 del 18 de febrero de 2021</w:t>
      </w:r>
      <w:r>
        <w:rPr>
          <w:rFonts w:ascii="Verdana" w:hAnsi="Verdana" w:cs="Arial"/>
        </w:rPr>
        <w:t>,</w:t>
      </w:r>
      <w:r w:rsidRPr="007440AE">
        <w:rPr>
          <w:rFonts w:ascii="Verdana" w:hAnsi="Verdana" w:cs="Arial"/>
        </w:rPr>
        <w:t xml:space="preserve"> C-449 del 31 de agosto de 2021</w:t>
      </w:r>
      <w:r>
        <w:rPr>
          <w:rFonts w:ascii="Verdana" w:hAnsi="Verdana" w:cs="Arial"/>
        </w:rPr>
        <w:t>,</w:t>
      </w:r>
      <w:r w:rsidRPr="0053731C">
        <w:rPr>
          <w:rFonts w:ascii="Verdana" w:hAnsi="Verdana" w:cs="Arial"/>
        </w:rPr>
        <w:t xml:space="preserve"> C-</w:t>
      </w:r>
      <w:r>
        <w:rPr>
          <w:rFonts w:ascii="Verdana" w:hAnsi="Verdana" w:cs="Arial"/>
        </w:rPr>
        <w:t>288</w:t>
      </w:r>
      <w:r w:rsidRPr="0053731C">
        <w:rPr>
          <w:rFonts w:ascii="Verdana" w:hAnsi="Verdana" w:cs="Arial"/>
        </w:rPr>
        <w:t xml:space="preserve"> del </w:t>
      </w:r>
      <w:r>
        <w:rPr>
          <w:rFonts w:ascii="Verdana" w:hAnsi="Verdana" w:cs="Arial"/>
        </w:rPr>
        <w:t>14</w:t>
      </w:r>
      <w:r w:rsidRPr="0053731C">
        <w:rPr>
          <w:rFonts w:ascii="Verdana" w:hAnsi="Verdana" w:cs="Arial"/>
        </w:rPr>
        <w:t xml:space="preserve"> de</w:t>
      </w:r>
      <w:r>
        <w:rPr>
          <w:rFonts w:ascii="Verdana" w:hAnsi="Verdana" w:cs="Arial"/>
        </w:rPr>
        <w:t xml:space="preserve"> julio </w:t>
      </w:r>
      <w:r w:rsidRPr="0053731C">
        <w:rPr>
          <w:rFonts w:ascii="Verdana" w:hAnsi="Verdana" w:cs="Arial"/>
        </w:rPr>
        <w:t>de 202</w:t>
      </w:r>
      <w:r>
        <w:rPr>
          <w:rFonts w:ascii="Verdana" w:hAnsi="Verdana" w:cs="Arial"/>
        </w:rPr>
        <w:t>3, C-651 del 22 de octubre de 2024, C-680 del 15 de noviembre de 2024 y C-693 del 19 de noviembre de 2024</w:t>
      </w:r>
      <w:r w:rsidRPr="0053731C">
        <w:rPr>
          <w:rFonts w:ascii="Verdana" w:eastAsia="Calibri" w:hAnsi="Verdana" w:cs="Arial"/>
          <w:lang w:val="es-ES" w:eastAsia="es-ES_tradnl"/>
        </w:rPr>
        <w:t>.</w:t>
      </w:r>
      <w:r>
        <w:rPr>
          <w:rFonts w:ascii="Verdana" w:eastAsia="Calibri" w:hAnsi="Verdana" w:cs="Arial"/>
          <w:lang w:eastAsia="es-ES_tradnl"/>
        </w:rPr>
        <w:t xml:space="preserve"> </w:t>
      </w:r>
      <w:r>
        <w:rPr>
          <w:rFonts w:ascii="Verdana" w:eastAsia="Calibri" w:hAnsi="Verdana" w:cs="Arial"/>
          <w:shd w:val="clear" w:color="auto" w:fill="FFFFFF"/>
        </w:rPr>
        <w:t>Estos y otros conceptos los podrá consultar en el siguiente enlace:</w:t>
      </w:r>
    </w:p>
    <w:p w14:paraId="77A1DFCD" w14:textId="77777777" w:rsidR="001C3BF3" w:rsidRPr="005B7C42" w:rsidRDefault="001C3BF3" w:rsidP="001C3BF3">
      <w:pPr>
        <w:widowControl w:val="0"/>
        <w:autoSpaceDE w:val="0"/>
        <w:autoSpaceDN w:val="0"/>
        <w:spacing w:after="0" w:line="276" w:lineRule="auto"/>
        <w:jc w:val="both"/>
        <w:rPr>
          <w:rStyle w:val="normaltextrun"/>
          <w:rFonts w:ascii="Verdana" w:hAnsi="Verdana"/>
          <w:color w:val="000000"/>
        </w:rPr>
      </w:pPr>
    </w:p>
    <w:p w14:paraId="1813A25A" w14:textId="77777777" w:rsidR="001C3BF3" w:rsidRPr="005B7C42" w:rsidRDefault="00BF22FF" w:rsidP="001C3BF3">
      <w:pPr>
        <w:widowControl w:val="0"/>
        <w:autoSpaceDE w:val="0"/>
        <w:autoSpaceDN w:val="0"/>
        <w:spacing w:after="0" w:line="276" w:lineRule="auto"/>
        <w:jc w:val="both"/>
        <w:rPr>
          <w:rFonts w:ascii="Verdana" w:eastAsia="Calibri" w:hAnsi="Verdana" w:cs="Arial"/>
          <w:lang w:eastAsia="es-ES_tradnl"/>
        </w:rPr>
      </w:pPr>
      <w:hyperlink r:id="rId12" w:tooltip="Dirección URL original: https://relatoria.colombiacompra.gov.co/. Haga clic o pulse si confía en este vínculo." w:history="1">
        <w:r w:rsidR="001C3BF3" w:rsidRPr="005B7C42">
          <w:rPr>
            <w:rStyle w:val="Hipervnculo"/>
            <w:rFonts w:ascii="Verdana" w:eastAsia="Calibri" w:hAnsi="Verdana" w:cs="Arial"/>
            <w:lang w:eastAsia="es-ES_tradnl"/>
          </w:rPr>
          <w:t>https://relatoria.colombiacompra.gov.co/</w:t>
        </w:r>
      </w:hyperlink>
      <w:r w:rsidR="001C3BF3" w:rsidRPr="005B7C42">
        <w:rPr>
          <w:rFonts w:ascii="Verdana" w:eastAsia="Calibri" w:hAnsi="Verdana" w:cs="Arial"/>
          <w:lang w:eastAsia="es-ES_tradnl"/>
        </w:rPr>
        <w:t> </w:t>
      </w:r>
    </w:p>
    <w:p w14:paraId="4448194E" w14:textId="77777777" w:rsidR="001C3BF3" w:rsidRPr="005B7C42" w:rsidRDefault="001C3BF3" w:rsidP="001C3BF3">
      <w:pPr>
        <w:widowControl w:val="0"/>
        <w:autoSpaceDE w:val="0"/>
        <w:autoSpaceDN w:val="0"/>
        <w:spacing w:after="0" w:line="276" w:lineRule="auto"/>
        <w:jc w:val="both"/>
        <w:rPr>
          <w:rFonts w:ascii="Verdana" w:eastAsia="Calibri" w:hAnsi="Verdana" w:cs="Arial"/>
          <w:lang w:eastAsia="es-ES_tradnl"/>
        </w:rPr>
      </w:pPr>
    </w:p>
    <w:p w14:paraId="1CFFB189" w14:textId="77777777" w:rsidR="001C3BF3" w:rsidRDefault="001C3BF3" w:rsidP="001C3BF3">
      <w:pPr>
        <w:spacing w:after="0" w:line="240" w:lineRule="auto"/>
        <w:jc w:val="both"/>
        <w:rPr>
          <w:rFonts w:ascii="Verdana" w:eastAsia="Calibri" w:hAnsi="Verdana" w:cs="Arial"/>
          <w:lang w:eastAsia="es-ES_tradnl"/>
        </w:rPr>
      </w:pPr>
      <w:r w:rsidRPr="003871F0">
        <w:rPr>
          <w:rFonts w:ascii="Verdana" w:eastAsia="Calibri" w:hAnsi="Verdana" w:cs="Arial"/>
          <w:lang w:eastAsia="es-ES_tradnl"/>
        </w:rPr>
        <w:t>También le invitamos a consultar la versión VII</w:t>
      </w:r>
      <w:r>
        <w:rPr>
          <w:rFonts w:ascii="Verdana" w:eastAsia="Calibri" w:hAnsi="Verdana" w:cs="Arial"/>
          <w:lang w:eastAsia="es-ES_tradnl"/>
        </w:rPr>
        <w:t>I</w:t>
      </w:r>
      <w:r w:rsidRPr="003871F0">
        <w:rPr>
          <w:rFonts w:ascii="Verdana" w:eastAsia="Calibri" w:hAnsi="Verdana" w:cs="Arial"/>
          <w:lang w:eastAsia="es-ES_tradnl"/>
        </w:rPr>
        <w:t xml:space="preserve"> de 2024, del Boletín de Relatoría de la Subdirección de Gestión Contractual relacionado con</w:t>
      </w:r>
      <w:r>
        <w:rPr>
          <w:rFonts w:ascii="Verdana" w:eastAsia="Calibri" w:hAnsi="Verdana" w:cs="Arial"/>
          <w:lang w:eastAsia="es-ES_tradnl"/>
        </w:rPr>
        <w:t xml:space="preserve"> la </w:t>
      </w:r>
      <w:r w:rsidRPr="0004573A">
        <w:rPr>
          <w:rFonts w:ascii="Verdana" w:eastAsia="Calibri" w:hAnsi="Verdana" w:cs="Arial"/>
          <w:i/>
          <w:iCs/>
          <w:lang w:eastAsia="es-ES_tradnl"/>
        </w:rPr>
        <w:t xml:space="preserve">Guía Para Promover </w:t>
      </w:r>
      <w:r>
        <w:rPr>
          <w:rFonts w:ascii="Verdana" w:eastAsia="Calibri" w:hAnsi="Verdana" w:cs="Arial"/>
          <w:i/>
          <w:iCs/>
          <w:lang w:eastAsia="es-ES_tradnl"/>
        </w:rPr>
        <w:t>l</w:t>
      </w:r>
      <w:r w:rsidRPr="0004573A">
        <w:rPr>
          <w:rFonts w:ascii="Verdana" w:eastAsia="Calibri" w:hAnsi="Verdana" w:cs="Arial"/>
          <w:i/>
          <w:iCs/>
          <w:lang w:eastAsia="es-ES_tradnl"/>
        </w:rPr>
        <w:t xml:space="preserve">a Participación </w:t>
      </w:r>
      <w:r>
        <w:rPr>
          <w:rFonts w:ascii="Verdana" w:eastAsia="Calibri" w:hAnsi="Verdana" w:cs="Arial"/>
          <w:i/>
          <w:iCs/>
          <w:lang w:eastAsia="es-ES_tradnl"/>
        </w:rPr>
        <w:t>d</w:t>
      </w:r>
      <w:r w:rsidRPr="0004573A">
        <w:rPr>
          <w:rFonts w:ascii="Verdana" w:eastAsia="Calibri" w:hAnsi="Verdana" w:cs="Arial"/>
          <w:i/>
          <w:iCs/>
          <w:lang w:eastAsia="es-ES_tradnl"/>
        </w:rPr>
        <w:t xml:space="preserve">e </w:t>
      </w:r>
      <w:r>
        <w:rPr>
          <w:rFonts w:ascii="Verdana" w:eastAsia="Calibri" w:hAnsi="Verdana" w:cs="Arial"/>
          <w:i/>
          <w:iCs/>
          <w:lang w:eastAsia="es-ES_tradnl"/>
        </w:rPr>
        <w:t>l</w:t>
      </w:r>
      <w:r w:rsidRPr="0004573A">
        <w:rPr>
          <w:rFonts w:ascii="Verdana" w:eastAsia="Calibri" w:hAnsi="Verdana" w:cs="Arial"/>
          <w:i/>
          <w:iCs/>
          <w:lang w:eastAsia="es-ES_tradnl"/>
        </w:rPr>
        <w:t xml:space="preserve">as MiPymes </w:t>
      </w:r>
      <w:r>
        <w:rPr>
          <w:rFonts w:ascii="Verdana" w:eastAsia="Calibri" w:hAnsi="Verdana" w:cs="Arial"/>
          <w:i/>
          <w:iCs/>
          <w:lang w:eastAsia="es-ES_tradnl"/>
        </w:rPr>
        <w:t>e</w:t>
      </w:r>
      <w:r w:rsidRPr="0004573A">
        <w:rPr>
          <w:rFonts w:ascii="Verdana" w:eastAsia="Calibri" w:hAnsi="Verdana" w:cs="Arial"/>
          <w:i/>
          <w:iCs/>
          <w:lang w:eastAsia="es-ES_tradnl"/>
        </w:rPr>
        <w:t xml:space="preserve">n </w:t>
      </w:r>
      <w:r>
        <w:rPr>
          <w:rFonts w:ascii="Verdana" w:eastAsia="Calibri" w:hAnsi="Verdana" w:cs="Arial"/>
          <w:i/>
          <w:iCs/>
          <w:lang w:eastAsia="es-ES_tradnl"/>
        </w:rPr>
        <w:t>l</w:t>
      </w:r>
      <w:r w:rsidRPr="0004573A">
        <w:rPr>
          <w:rFonts w:ascii="Verdana" w:eastAsia="Calibri" w:hAnsi="Verdana" w:cs="Arial"/>
          <w:i/>
          <w:iCs/>
          <w:lang w:eastAsia="es-ES_tradnl"/>
        </w:rPr>
        <w:t xml:space="preserve">os Procesos </w:t>
      </w:r>
      <w:r>
        <w:rPr>
          <w:rFonts w:ascii="Verdana" w:eastAsia="Calibri" w:hAnsi="Verdana" w:cs="Arial"/>
          <w:i/>
          <w:iCs/>
          <w:lang w:eastAsia="es-ES_tradnl"/>
        </w:rPr>
        <w:t>d</w:t>
      </w:r>
      <w:r w:rsidRPr="0004573A">
        <w:rPr>
          <w:rFonts w:ascii="Verdana" w:eastAsia="Calibri" w:hAnsi="Verdana" w:cs="Arial"/>
          <w:i/>
          <w:iCs/>
          <w:lang w:eastAsia="es-ES_tradnl"/>
        </w:rPr>
        <w:t xml:space="preserve">e Compra </w:t>
      </w:r>
      <w:r>
        <w:rPr>
          <w:rFonts w:ascii="Verdana" w:eastAsia="Calibri" w:hAnsi="Verdana" w:cs="Arial"/>
          <w:i/>
          <w:iCs/>
          <w:lang w:eastAsia="es-ES_tradnl"/>
        </w:rPr>
        <w:t>y</w:t>
      </w:r>
      <w:r w:rsidRPr="0004573A">
        <w:rPr>
          <w:rFonts w:ascii="Verdana" w:eastAsia="Calibri" w:hAnsi="Verdana" w:cs="Arial"/>
          <w:i/>
          <w:iCs/>
          <w:lang w:eastAsia="es-ES_tradnl"/>
        </w:rPr>
        <w:t xml:space="preserve"> Contratación Pública</w:t>
      </w:r>
      <w:r w:rsidRPr="0004573A">
        <w:rPr>
          <w:rFonts w:ascii="Verdana" w:eastAsia="Calibri" w:hAnsi="Verdana" w:cs="Arial"/>
          <w:lang w:eastAsia="es-ES_tradnl"/>
        </w:rPr>
        <w:t>,</w:t>
      </w:r>
      <w:r w:rsidRPr="003871F0">
        <w:rPr>
          <w:rFonts w:ascii="Verdana" w:eastAsia="Calibri" w:hAnsi="Verdana" w:cs="Arial"/>
          <w:lang w:eastAsia="es-ES_tradnl"/>
        </w:rPr>
        <w:t xml:space="preserve"> el cual se puede descargar en la página web de la Agencia: </w:t>
      </w:r>
    </w:p>
    <w:p w14:paraId="184A9356" w14:textId="77777777" w:rsidR="001C3BF3" w:rsidRDefault="001C3BF3" w:rsidP="001C3BF3">
      <w:pPr>
        <w:spacing w:after="0" w:line="240" w:lineRule="auto"/>
        <w:jc w:val="both"/>
        <w:rPr>
          <w:rFonts w:ascii="Verdana" w:eastAsia="Calibri" w:hAnsi="Verdana" w:cs="Arial"/>
          <w:lang w:eastAsia="es-ES_tradnl"/>
        </w:rPr>
      </w:pPr>
    </w:p>
    <w:p w14:paraId="0003176C" w14:textId="77777777" w:rsidR="001C3BF3" w:rsidRPr="00BE151B" w:rsidRDefault="00BF22FF" w:rsidP="001C3BF3">
      <w:pPr>
        <w:spacing w:after="0" w:line="240" w:lineRule="auto"/>
        <w:jc w:val="both"/>
        <w:rPr>
          <w:rFonts w:ascii="Verdana" w:hAnsi="Verdana"/>
        </w:rPr>
      </w:pPr>
      <w:hyperlink r:id="rId13" w:history="1">
        <w:r w:rsidR="001C3BF3" w:rsidRPr="0011014B">
          <w:rPr>
            <w:rStyle w:val="Hipervnculo"/>
            <w:rFonts w:ascii="Verdana" w:eastAsia="Calibri" w:hAnsi="Verdana" w:cs="Arial"/>
            <w:lang w:eastAsia="es-ES_tradnl"/>
          </w:rPr>
          <w:t>https://www.colombiacompra.gov.co/sala-de-prensa/boletin-digital</w:t>
        </w:r>
      </w:hyperlink>
      <w:r w:rsidR="001C3BF3" w:rsidRPr="003871F0">
        <w:rPr>
          <w:rFonts w:ascii="Verdana" w:eastAsia="Calibri" w:hAnsi="Verdana" w:cs="Arial"/>
          <w:lang w:eastAsia="es-ES_tradnl"/>
        </w:rPr>
        <w:t> </w:t>
      </w:r>
    </w:p>
    <w:p w14:paraId="11A64129" w14:textId="77777777" w:rsidR="001C3BF3" w:rsidRPr="005B7C42" w:rsidRDefault="001C3BF3" w:rsidP="001C3BF3">
      <w:pPr>
        <w:spacing w:after="0" w:line="240" w:lineRule="auto"/>
        <w:jc w:val="both"/>
        <w:rPr>
          <w:rFonts w:ascii="Verdana" w:hAnsi="Verdana"/>
        </w:rPr>
      </w:pPr>
    </w:p>
    <w:p w14:paraId="321E7AD8" w14:textId="77777777" w:rsidR="001C3BF3" w:rsidRPr="005B7C42" w:rsidRDefault="001C3BF3" w:rsidP="001C3BF3">
      <w:pPr>
        <w:spacing w:after="0" w:line="240" w:lineRule="auto"/>
        <w:jc w:val="both"/>
        <w:rPr>
          <w:rFonts w:ascii="Verdana" w:hAnsi="Verdana"/>
        </w:rPr>
      </w:pPr>
      <w:r w:rsidRPr="005B7C42">
        <w:rPr>
          <w:rFonts w:ascii="Verdana" w:hAnsi="Verdana"/>
        </w:rPr>
        <w:t xml:space="preserve">Por último, lo invitamos a seguirnos en las redes sociales en las cuales se difunde información institucional: </w:t>
      </w:r>
    </w:p>
    <w:p w14:paraId="565B7391" w14:textId="77777777" w:rsidR="001C3BF3" w:rsidRPr="005B7C42" w:rsidRDefault="001C3BF3" w:rsidP="001C3BF3">
      <w:pPr>
        <w:spacing w:after="0" w:line="240" w:lineRule="auto"/>
        <w:jc w:val="both"/>
        <w:rPr>
          <w:rFonts w:ascii="Verdana" w:hAnsi="Verdana"/>
        </w:rPr>
      </w:pPr>
    </w:p>
    <w:p w14:paraId="0D6D61A0" w14:textId="77777777" w:rsidR="001C3BF3" w:rsidRPr="005B7C42" w:rsidRDefault="001C3BF3" w:rsidP="001C3BF3">
      <w:pPr>
        <w:spacing w:after="0" w:line="240" w:lineRule="auto"/>
        <w:jc w:val="both"/>
        <w:rPr>
          <w:rFonts w:ascii="Verdana" w:hAnsi="Verdana"/>
        </w:rPr>
      </w:pPr>
      <w:r w:rsidRPr="005B7C42">
        <w:rPr>
          <w:rFonts w:ascii="Verdana" w:hAnsi="Verdana"/>
        </w:rPr>
        <w:t xml:space="preserve">Twitter: </w:t>
      </w:r>
      <w:r w:rsidRPr="005B7C42">
        <w:rPr>
          <w:rStyle w:val="Hipervnculo"/>
          <w:rFonts w:ascii="Verdana" w:hAnsi="Verdana"/>
          <w:color w:val="4472C4" w:themeColor="accent1"/>
        </w:rPr>
        <w:t>@colombiacompra</w:t>
      </w:r>
      <w:r w:rsidRPr="005B7C42">
        <w:rPr>
          <w:rFonts w:ascii="Verdana" w:hAnsi="Verdana"/>
          <w:color w:val="4472C4" w:themeColor="accent1"/>
        </w:rPr>
        <w:t xml:space="preserve"> </w:t>
      </w:r>
    </w:p>
    <w:p w14:paraId="3846EE20" w14:textId="77777777" w:rsidR="001C3BF3" w:rsidRPr="005B7C42" w:rsidRDefault="001C3BF3" w:rsidP="001C3BF3">
      <w:pPr>
        <w:spacing w:after="0" w:line="240" w:lineRule="auto"/>
        <w:jc w:val="both"/>
        <w:rPr>
          <w:rFonts w:ascii="Verdana" w:hAnsi="Verdana"/>
        </w:rPr>
      </w:pPr>
      <w:r w:rsidRPr="005B7C42">
        <w:rPr>
          <w:rFonts w:ascii="Verdana" w:hAnsi="Verdana"/>
        </w:rPr>
        <w:t xml:space="preserve">Facebook: </w:t>
      </w:r>
      <w:r w:rsidRPr="005B7C42">
        <w:rPr>
          <w:rStyle w:val="Hipervnculo"/>
          <w:rFonts w:ascii="Verdana" w:hAnsi="Verdana"/>
          <w:color w:val="4472C4" w:themeColor="accent1"/>
        </w:rPr>
        <w:t>ColombiaCompraEficiente</w:t>
      </w:r>
    </w:p>
    <w:p w14:paraId="142A018B" w14:textId="77777777" w:rsidR="001C3BF3" w:rsidRPr="005B7C42" w:rsidRDefault="001C3BF3" w:rsidP="001C3BF3">
      <w:pPr>
        <w:spacing w:after="0" w:line="240" w:lineRule="auto"/>
        <w:jc w:val="both"/>
        <w:rPr>
          <w:rFonts w:ascii="Verdana" w:hAnsi="Verdana"/>
        </w:rPr>
      </w:pPr>
      <w:r w:rsidRPr="005B7C42">
        <w:rPr>
          <w:rFonts w:ascii="Verdana" w:hAnsi="Verdana"/>
        </w:rPr>
        <w:t xml:space="preserve">LinkedIn: </w:t>
      </w:r>
      <w:r w:rsidRPr="005B7C42">
        <w:rPr>
          <w:rStyle w:val="Hipervnculo"/>
          <w:rFonts w:ascii="Verdana" w:hAnsi="Verdana"/>
          <w:color w:val="4472C4" w:themeColor="accent1"/>
        </w:rPr>
        <w:t>Agencia Nacional de Contratación Pública - Colombia Compra Eficiente</w:t>
      </w:r>
      <w:r w:rsidRPr="005B7C42">
        <w:rPr>
          <w:rFonts w:ascii="Verdana" w:hAnsi="Verdana"/>
          <w:color w:val="4472C4" w:themeColor="accent1"/>
        </w:rPr>
        <w:t xml:space="preserve"> </w:t>
      </w:r>
      <w:r w:rsidRPr="005B7C42">
        <w:rPr>
          <w:rFonts w:ascii="Verdana" w:hAnsi="Verdana"/>
        </w:rPr>
        <w:t xml:space="preserve">Instagram: </w:t>
      </w:r>
      <w:r w:rsidRPr="005B7C42">
        <w:rPr>
          <w:rStyle w:val="Hipervnculo"/>
          <w:rFonts w:ascii="Verdana" w:hAnsi="Verdana"/>
          <w:color w:val="4472C4" w:themeColor="accent1"/>
        </w:rPr>
        <w:t>@colombiacompraeficiente_cce</w:t>
      </w:r>
    </w:p>
    <w:p w14:paraId="2A89E2A7" w14:textId="77777777" w:rsidR="001C3BF3" w:rsidRPr="005B7C42" w:rsidRDefault="001C3BF3" w:rsidP="001C3BF3">
      <w:pPr>
        <w:widowControl w:val="0"/>
        <w:autoSpaceDE w:val="0"/>
        <w:autoSpaceDN w:val="0"/>
        <w:spacing w:after="0" w:line="276" w:lineRule="auto"/>
        <w:jc w:val="both"/>
        <w:rPr>
          <w:rFonts w:ascii="Verdana" w:hAnsi="Verdana"/>
        </w:rPr>
      </w:pPr>
    </w:p>
    <w:p w14:paraId="06C8DA24" w14:textId="77777777" w:rsidR="001C3BF3" w:rsidRPr="005B7C42" w:rsidRDefault="001C3BF3" w:rsidP="001C3BF3">
      <w:pPr>
        <w:widowControl w:val="0"/>
        <w:autoSpaceDE w:val="0"/>
        <w:autoSpaceDN w:val="0"/>
        <w:spacing w:after="0" w:line="276" w:lineRule="auto"/>
        <w:jc w:val="both"/>
        <w:rPr>
          <w:rFonts w:ascii="Verdana" w:hAnsi="Verdana" w:cs="Arial"/>
        </w:rPr>
      </w:pPr>
      <w:r w:rsidRPr="005B7C42">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26556C4" w14:textId="77777777" w:rsidR="001C3BF3" w:rsidRPr="005B7C42" w:rsidRDefault="001C3BF3" w:rsidP="001C3BF3">
      <w:pPr>
        <w:spacing w:after="0" w:line="276" w:lineRule="auto"/>
        <w:ind w:firstLine="709"/>
        <w:jc w:val="both"/>
        <w:rPr>
          <w:rFonts w:ascii="Verdana" w:eastAsia="Times New Roman" w:hAnsi="Verdana" w:cs="Arial"/>
          <w:szCs w:val="24"/>
          <w:lang w:eastAsia="es-ES_tradnl"/>
        </w:rPr>
      </w:pPr>
    </w:p>
    <w:p w14:paraId="64BE862D" w14:textId="77777777" w:rsidR="001C3BF3" w:rsidRPr="005B7C42" w:rsidRDefault="001C3BF3" w:rsidP="001C3BF3">
      <w:pPr>
        <w:spacing w:after="0" w:line="276" w:lineRule="auto"/>
        <w:jc w:val="both"/>
        <w:rPr>
          <w:rFonts w:ascii="Verdana" w:eastAsia="Times New Roman" w:hAnsi="Verdana" w:cs="Arial"/>
          <w:lang w:eastAsia="es-CO"/>
        </w:rPr>
      </w:pPr>
      <w:bookmarkStart w:id="0" w:name="_Hlk117695077"/>
      <w:r w:rsidRPr="005B7C42">
        <w:rPr>
          <w:rFonts w:ascii="Verdana" w:eastAsia="Times New Roman" w:hAnsi="Verdana" w:cs="Arial"/>
          <w:lang w:eastAsia="es-CO"/>
        </w:rPr>
        <w:t>Atentamente,</w:t>
      </w:r>
    </w:p>
    <w:bookmarkEnd w:id="0"/>
    <w:p w14:paraId="7C2E588A" w14:textId="7C0B938E" w:rsidR="001C3BF3" w:rsidRPr="005B7C42" w:rsidRDefault="00636E15" w:rsidP="001C3BF3">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lastRenderedPageBreak/>
        <w:drawing>
          <wp:inline distT="0" distB="0" distL="0" distR="0" wp14:anchorId="63289E87" wp14:editId="28568945">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1C3BF3" w:rsidRPr="005B7C42" w14:paraId="448D732E" w14:textId="77777777" w:rsidTr="004F03A1">
        <w:trPr>
          <w:trHeight w:val="286"/>
        </w:trPr>
        <w:tc>
          <w:tcPr>
            <w:tcW w:w="893" w:type="dxa"/>
            <w:vAlign w:val="center"/>
            <w:hideMark/>
          </w:tcPr>
          <w:p w14:paraId="1907B16D" w14:textId="77777777" w:rsidR="001C3BF3" w:rsidRPr="005B7C42" w:rsidRDefault="001C3BF3" w:rsidP="004F03A1">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Elaboró:</w:t>
            </w:r>
          </w:p>
        </w:tc>
        <w:tc>
          <w:tcPr>
            <w:tcW w:w="4777" w:type="dxa"/>
            <w:tcBorders>
              <w:top w:val="nil"/>
              <w:left w:val="nil"/>
              <w:bottom w:val="dotted" w:sz="4" w:space="0" w:color="7F7F7F"/>
              <w:right w:val="nil"/>
            </w:tcBorders>
            <w:vAlign w:val="center"/>
            <w:hideMark/>
          </w:tcPr>
          <w:p w14:paraId="572E6FD9" w14:textId="77777777" w:rsidR="001C3BF3" w:rsidRPr="005B7C42" w:rsidRDefault="001C3BF3" w:rsidP="004F03A1">
            <w:pPr>
              <w:rPr>
                <w:rFonts w:ascii="Verdana" w:eastAsia="Times New Roman" w:hAnsi="Verdana" w:cs="Arial"/>
                <w:sz w:val="16"/>
                <w:szCs w:val="16"/>
                <w:lang w:eastAsia="es-ES"/>
              </w:rPr>
            </w:pPr>
            <w:r w:rsidRPr="005B7C42">
              <w:rPr>
                <w:rFonts w:ascii="Verdana" w:eastAsia="Times New Roman" w:hAnsi="Verdana" w:cs="Arial"/>
                <w:sz w:val="16"/>
                <w:szCs w:val="16"/>
                <w:lang w:eastAsia="es-ES"/>
              </w:rPr>
              <w:t>Sergio Enrique Caballero Lesmes</w:t>
            </w:r>
          </w:p>
          <w:p w14:paraId="2B85BC16" w14:textId="77777777" w:rsidR="001C3BF3" w:rsidRPr="005B7C42" w:rsidRDefault="001C3BF3" w:rsidP="004F03A1">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Analista T2-01 de la Subdirección de Gestión Contractual</w:t>
            </w:r>
          </w:p>
        </w:tc>
      </w:tr>
      <w:tr w:rsidR="001C3BF3" w:rsidRPr="005B7C42" w14:paraId="150A20C7" w14:textId="77777777" w:rsidTr="004F03A1">
        <w:trPr>
          <w:trHeight w:val="299"/>
        </w:trPr>
        <w:tc>
          <w:tcPr>
            <w:tcW w:w="893" w:type="dxa"/>
            <w:vAlign w:val="center"/>
            <w:hideMark/>
          </w:tcPr>
          <w:p w14:paraId="018887BA" w14:textId="77777777" w:rsidR="001C3BF3" w:rsidRPr="005B7C42" w:rsidRDefault="001C3BF3" w:rsidP="004F03A1">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Revisó:</w:t>
            </w:r>
          </w:p>
        </w:tc>
        <w:tc>
          <w:tcPr>
            <w:tcW w:w="4777" w:type="dxa"/>
            <w:tcBorders>
              <w:top w:val="dotted" w:sz="4" w:space="0" w:color="7F7F7F"/>
              <w:left w:val="nil"/>
              <w:bottom w:val="dotted" w:sz="4" w:space="0" w:color="7F7F7F"/>
              <w:right w:val="nil"/>
            </w:tcBorders>
            <w:vAlign w:val="center"/>
            <w:hideMark/>
          </w:tcPr>
          <w:p w14:paraId="6DCBA024" w14:textId="77777777" w:rsidR="001C3BF3" w:rsidRPr="005B7C42" w:rsidRDefault="001C3BF3" w:rsidP="004F03A1">
            <w:pPr>
              <w:rPr>
                <w:rFonts w:ascii="Verdana" w:eastAsia="Times New Roman" w:hAnsi="Verdana" w:cs="Arial"/>
                <w:sz w:val="16"/>
                <w:szCs w:val="16"/>
                <w:lang w:eastAsia="es-ES"/>
              </w:rPr>
            </w:pPr>
            <w:r>
              <w:rPr>
                <w:rFonts w:ascii="Verdana" w:eastAsia="Times New Roman" w:hAnsi="Verdana" w:cs="Arial"/>
                <w:sz w:val="16"/>
                <w:szCs w:val="16"/>
                <w:lang w:eastAsia="es-ES"/>
              </w:rPr>
              <w:t>Cielo Victoria González Meza</w:t>
            </w:r>
          </w:p>
          <w:p w14:paraId="37CB8069" w14:textId="77777777" w:rsidR="001C3BF3" w:rsidRPr="005B7C42" w:rsidRDefault="001C3BF3" w:rsidP="004F03A1">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5B7C42">
              <w:rPr>
                <w:rFonts w:ascii="Verdana" w:eastAsia="Times New Roman" w:hAnsi="Verdana" w:cs="Arial"/>
                <w:sz w:val="16"/>
                <w:szCs w:val="16"/>
                <w:lang w:eastAsia="es-ES"/>
              </w:rPr>
              <w:t xml:space="preserve"> de la Subdirección de Gestión Contractual</w:t>
            </w:r>
          </w:p>
        </w:tc>
      </w:tr>
      <w:tr w:rsidR="001C3BF3" w:rsidRPr="005B7C42" w14:paraId="7461CA91" w14:textId="77777777" w:rsidTr="004F03A1">
        <w:trPr>
          <w:trHeight w:val="272"/>
        </w:trPr>
        <w:tc>
          <w:tcPr>
            <w:tcW w:w="893" w:type="dxa"/>
            <w:vAlign w:val="center"/>
            <w:hideMark/>
          </w:tcPr>
          <w:p w14:paraId="40982399" w14:textId="77777777" w:rsidR="001C3BF3" w:rsidRPr="005B7C42" w:rsidRDefault="001C3BF3" w:rsidP="004F03A1">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Aprobó:</w:t>
            </w:r>
          </w:p>
        </w:tc>
        <w:tc>
          <w:tcPr>
            <w:tcW w:w="4777" w:type="dxa"/>
            <w:tcBorders>
              <w:top w:val="dotted" w:sz="4" w:space="0" w:color="7F7F7F"/>
              <w:left w:val="nil"/>
              <w:bottom w:val="dotted" w:sz="4" w:space="0" w:color="7F7F7F"/>
              <w:right w:val="nil"/>
            </w:tcBorders>
            <w:vAlign w:val="center"/>
            <w:hideMark/>
          </w:tcPr>
          <w:p w14:paraId="279A6BFE" w14:textId="77777777" w:rsidR="001C3BF3" w:rsidRPr="005B7C42" w:rsidRDefault="001C3BF3" w:rsidP="004F03A1">
            <w:pPr>
              <w:rPr>
                <w:rFonts w:ascii="Verdana" w:eastAsia="Times New Roman" w:hAnsi="Verdana" w:cs="Arial"/>
                <w:sz w:val="16"/>
                <w:szCs w:val="16"/>
                <w:lang w:eastAsia="es-ES"/>
              </w:rPr>
            </w:pPr>
            <w:r w:rsidRPr="005B7C42">
              <w:rPr>
                <w:rFonts w:ascii="Verdana" w:eastAsia="Times New Roman" w:hAnsi="Verdana" w:cs="Arial"/>
                <w:sz w:val="16"/>
                <w:szCs w:val="16"/>
                <w:lang w:eastAsia="es-ES"/>
              </w:rPr>
              <w:t>Carolina Quintero Gacharná</w:t>
            </w:r>
          </w:p>
          <w:p w14:paraId="6A2DA6B8" w14:textId="77777777" w:rsidR="001C3BF3" w:rsidRPr="005B7C42" w:rsidRDefault="001C3BF3" w:rsidP="004F03A1">
            <w:pPr>
              <w:rPr>
                <w:rFonts w:ascii="Verdana" w:eastAsia="Times New Roman" w:hAnsi="Verdana" w:cs="Arial"/>
                <w:sz w:val="14"/>
                <w:szCs w:val="14"/>
                <w:lang w:eastAsia="es-ES"/>
              </w:rPr>
            </w:pPr>
            <w:r w:rsidRPr="005B7C42">
              <w:rPr>
                <w:rFonts w:ascii="Verdana" w:eastAsia="Times New Roman" w:hAnsi="Verdana" w:cs="Arial"/>
                <w:sz w:val="16"/>
                <w:szCs w:val="16"/>
                <w:lang w:eastAsia="es-ES"/>
              </w:rPr>
              <w:t>Subdirectora de Gestión Contractual ANCP – CCE</w:t>
            </w:r>
          </w:p>
        </w:tc>
      </w:tr>
    </w:tbl>
    <w:p w14:paraId="66A501D4" w14:textId="77777777" w:rsidR="001C3BF3" w:rsidRPr="005B7C42" w:rsidRDefault="001C3BF3" w:rsidP="001C3BF3">
      <w:pPr>
        <w:spacing w:after="0" w:line="276" w:lineRule="auto"/>
        <w:jc w:val="both"/>
        <w:rPr>
          <w:rFonts w:ascii="Verdana" w:eastAsia="Times New Roman" w:hAnsi="Verdana" w:cs="Arial"/>
        </w:rPr>
      </w:pPr>
    </w:p>
    <w:p w14:paraId="10FA568D" w14:textId="77777777" w:rsidR="00C24FFE" w:rsidRDefault="00C24FFE"/>
    <w:sectPr w:rsidR="00C24FFE" w:rsidSect="001C3BF3">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3D81C" w14:textId="77777777" w:rsidR="00BF22FF" w:rsidRDefault="00BF22FF" w:rsidP="001C3BF3">
      <w:pPr>
        <w:spacing w:after="0" w:line="240" w:lineRule="auto"/>
      </w:pPr>
      <w:r>
        <w:separator/>
      </w:r>
    </w:p>
  </w:endnote>
  <w:endnote w:type="continuationSeparator" w:id="0">
    <w:p w14:paraId="35F63397" w14:textId="77777777" w:rsidR="00BF22FF" w:rsidRDefault="00BF22FF" w:rsidP="001C3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206B4" w14:textId="77777777" w:rsidR="00892067" w:rsidRDefault="00892067">
    <w:pPr>
      <w:pStyle w:val="Piedepgina"/>
    </w:pPr>
  </w:p>
  <w:p w14:paraId="1148116B" w14:textId="77777777" w:rsidR="00892067" w:rsidRPr="00174B77" w:rsidRDefault="00BF22F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4D0EA2D" w14:textId="77777777" w:rsidR="00892067" w:rsidRDefault="00BF22F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DB46B95" w14:textId="77777777" w:rsidR="00892067" w:rsidRPr="00E41027" w:rsidRDefault="00BF22FF" w:rsidP="00D520D8">
    <w:pPr>
      <w:spacing w:after="0"/>
      <w:jc w:val="both"/>
      <w:rPr>
        <w:rFonts w:ascii="Verdana" w:hAnsi="Verdana"/>
        <w:sz w:val="18"/>
        <w:szCs w:val="18"/>
      </w:rPr>
    </w:pPr>
    <w:r w:rsidRPr="00E41027">
      <w:rPr>
        <w:rFonts w:ascii="Verdana" w:hAnsi="Verdana"/>
        <w:sz w:val="18"/>
        <w:szCs w:val="18"/>
      </w:rPr>
      <w:t>Mesa de servicio: (+57) 601 7</w:t>
    </w:r>
    <w:r w:rsidRPr="00E41027">
      <w:rPr>
        <w:rFonts w:ascii="Verdana" w:hAnsi="Verdana"/>
        <w:sz w:val="18"/>
        <w:szCs w:val="18"/>
      </w:rPr>
      <w:t>456788</w:t>
    </w:r>
  </w:p>
  <w:p w14:paraId="7D90058C" w14:textId="77777777" w:rsidR="00892067" w:rsidRDefault="00BF22FF"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07B47" w14:textId="77777777" w:rsidR="00BF22FF" w:rsidRDefault="00BF22FF" w:rsidP="001C3BF3">
      <w:pPr>
        <w:spacing w:after="0" w:line="240" w:lineRule="auto"/>
      </w:pPr>
      <w:r>
        <w:separator/>
      </w:r>
    </w:p>
  </w:footnote>
  <w:footnote w:type="continuationSeparator" w:id="0">
    <w:p w14:paraId="61A2A06B" w14:textId="77777777" w:rsidR="00BF22FF" w:rsidRDefault="00BF22FF" w:rsidP="001C3BF3">
      <w:pPr>
        <w:spacing w:after="0" w:line="240" w:lineRule="auto"/>
      </w:pPr>
      <w:r>
        <w:continuationSeparator/>
      </w:r>
    </w:p>
  </w:footnote>
  <w:footnote w:id="1">
    <w:p w14:paraId="65594E93"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2E285597"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Fonts w:ascii="Verdana" w:hAnsi="Verdana" w:cs="Arial"/>
          <w:color w:val="000000" w:themeColor="text1"/>
          <w:sz w:val="14"/>
          <w:szCs w:val="14"/>
        </w:rPr>
        <w:t>Las personas jurídicas nacionales y extranjeras deberán acreditar que su duración no será inferior a la del plazo del contrato y un año más”.</w:t>
      </w:r>
    </w:p>
    <w:p w14:paraId="5C6842D1" w14:textId="77777777" w:rsidR="001C3BF3" w:rsidRPr="00C05705" w:rsidRDefault="001C3BF3" w:rsidP="001C3BF3">
      <w:pPr>
        <w:pStyle w:val="Textonotapie"/>
        <w:ind w:firstLine="709"/>
        <w:jc w:val="both"/>
        <w:rPr>
          <w:rFonts w:ascii="Verdana" w:hAnsi="Verdana" w:cs="Arial"/>
          <w:color w:val="000000" w:themeColor="text1"/>
          <w:sz w:val="14"/>
          <w:szCs w:val="14"/>
        </w:rPr>
      </w:pPr>
    </w:p>
  </w:footnote>
  <w:footnote w:id="2">
    <w:p w14:paraId="26D83846"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El artículo 1502 del Código Civil prevé la capacidad legal como requisito para obligarse contractualmente, en los siguientes términos: “Para que una persona se obligue a otra por un acto o declaración de voluntad, es necesario:</w:t>
      </w:r>
    </w:p>
    <w:p w14:paraId="4FF3A1EE"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Fonts w:ascii="Verdana" w:hAnsi="Verdana" w:cs="Arial"/>
          <w:color w:val="000000" w:themeColor="text1"/>
          <w:sz w:val="14"/>
          <w:szCs w:val="14"/>
        </w:rPr>
        <w:t>1o.) que sea legalmente capaz.</w:t>
      </w:r>
    </w:p>
    <w:p w14:paraId="509812C2"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Fonts w:ascii="Verdana" w:hAnsi="Verdana" w:cs="Arial"/>
          <w:color w:val="000000" w:themeColor="text1"/>
          <w:sz w:val="14"/>
          <w:szCs w:val="14"/>
        </w:rPr>
        <w:t>[…]</w:t>
      </w:r>
    </w:p>
    <w:p w14:paraId="75147A82"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Fonts w:ascii="Verdana" w:hAnsi="Verdana" w:cs="Arial"/>
          <w:color w:val="000000" w:themeColor="text1"/>
          <w:sz w:val="14"/>
          <w:szCs w:val="14"/>
        </w:rPr>
        <w:t>La capacidad legal de una persona consiste en poderse obligar por sí misma, sin el ministerio o la autorización de otra”.</w:t>
      </w:r>
    </w:p>
    <w:p w14:paraId="2DACCBDB" w14:textId="77777777" w:rsidR="001C3BF3" w:rsidRPr="00C05705" w:rsidRDefault="001C3BF3" w:rsidP="001C3BF3">
      <w:pPr>
        <w:pStyle w:val="Textonotapie"/>
        <w:ind w:firstLine="709"/>
        <w:jc w:val="both"/>
        <w:rPr>
          <w:rFonts w:ascii="Verdana" w:hAnsi="Verdana" w:cs="Arial"/>
          <w:color w:val="000000" w:themeColor="text1"/>
          <w:sz w:val="14"/>
          <w:szCs w:val="14"/>
          <w:lang w:val="es-CO"/>
        </w:rPr>
      </w:pPr>
    </w:p>
  </w:footnote>
  <w:footnote w:id="3">
    <w:p w14:paraId="5915697F" w14:textId="77777777" w:rsidR="001C3BF3" w:rsidRPr="00C05705" w:rsidRDefault="001C3BF3" w:rsidP="001C3BF3">
      <w:pPr>
        <w:pStyle w:val="Textonotapie"/>
        <w:jc w:val="both"/>
        <w:rPr>
          <w:rFonts w:ascii="Verdana" w:hAnsi="Verdana" w:cs="Arial"/>
          <w:color w:val="000000" w:themeColor="text1"/>
          <w:sz w:val="14"/>
          <w:szCs w:val="14"/>
          <w:lang w:val="es-ES"/>
        </w:rPr>
      </w:pPr>
    </w:p>
  </w:footnote>
  <w:footnote w:id="4">
    <w:p w14:paraId="257D1E48" w14:textId="77777777" w:rsidR="001C3BF3" w:rsidRPr="00C05705" w:rsidRDefault="001C3BF3" w:rsidP="001C3BF3">
      <w:pPr>
        <w:spacing w:after="0"/>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4BFF6E45" w14:textId="77777777" w:rsidR="001C3BF3" w:rsidRPr="00C05705" w:rsidRDefault="001C3BF3" w:rsidP="001C3BF3">
      <w:pPr>
        <w:spacing w:after="0"/>
        <w:ind w:firstLine="709"/>
        <w:jc w:val="both"/>
        <w:rPr>
          <w:rFonts w:ascii="Verdana" w:hAnsi="Verdana" w:cs="Arial"/>
          <w:color w:val="000000" w:themeColor="text1"/>
          <w:sz w:val="14"/>
          <w:szCs w:val="14"/>
          <w:lang w:val="es-ES"/>
        </w:rPr>
      </w:pPr>
    </w:p>
  </w:footnote>
  <w:footnote w:id="5">
    <w:p w14:paraId="21363D29"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38D51D8B" w14:textId="77777777" w:rsidR="001C3BF3" w:rsidRPr="00C05705" w:rsidRDefault="001C3BF3" w:rsidP="001C3BF3">
      <w:pPr>
        <w:pStyle w:val="Textonotapie"/>
        <w:ind w:firstLine="709"/>
        <w:jc w:val="both"/>
        <w:rPr>
          <w:rFonts w:ascii="Verdana" w:hAnsi="Verdana" w:cs="Arial"/>
          <w:color w:val="000000" w:themeColor="text1"/>
          <w:sz w:val="14"/>
          <w:szCs w:val="14"/>
          <w:lang w:val="es-CO"/>
        </w:rPr>
      </w:pPr>
    </w:p>
  </w:footnote>
  <w:footnote w:id="6">
    <w:p w14:paraId="62DB3A8E"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0F624A5B" w14:textId="77777777" w:rsidR="001C3BF3" w:rsidRPr="00C05705" w:rsidRDefault="001C3BF3" w:rsidP="001C3BF3">
      <w:pPr>
        <w:pStyle w:val="Textonotapie"/>
        <w:ind w:firstLine="709"/>
        <w:jc w:val="both"/>
        <w:rPr>
          <w:rFonts w:ascii="Verdana" w:hAnsi="Verdana" w:cs="Arial"/>
          <w:color w:val="000000" w:themeColor="text1"/>
          <w:sz w:val="14"/>
          <w:szCs w:val="14"/>
          <w:lang w:val="es-CO"/>
        </w:rPr>
      </w:pPr>
      <w:r w:rsidRPr="00C05705">
        <w:rPr>
          <w:rFonts w:ascii="Verdana" w:hAnsi="Verdana" w:cs="Arial"/>
          <w:color w:val="000000" w:themeColor="text1"/>
          <w:sz w:val="14"/>
          <w:szCs w:val="14"/>
          <w:lang w:val="es-ES"/>
        </w:rPr>
        <w:t xml:space="preserve">  </w:t>
      </w:r>
    </w:p>
  </w:footnote>
  <w:footnote w:id="7">
    <w:p w14:paraId="48CB46B2" w14:textId="77777777" w:rsidR="001C3BF3" w:rsidRPr="00C05705" w:rsidRDefault="001C3BF3" w:rsidP="001C3BF3">
      <w:pPr>
        <w:spacing w:after="0"/>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3963F900" w14:textId="77777777" w:rsidR="001C3BF3" w:rsidRPr="00C05705" w:rsidRDefault="001C3BF3" w:rsidP="001C3BF3">
      <w:pPr>
        <w:spacing w:after="0"/>
        <w:ind w:firstLine="709"/>
        <w:jc w:val="both"/>
        <w:rPr>
          <w:rFonts w:ascii="Verdana" w:hAnsi="Verdana" w:cs="Arial"/>
          <w:color w:val="000000" w:themeColor="text1"/>
          <w:sz w:val="14"/>
          <w:szCs w:val="14"/>
          <w:lang w:val="es-ES"/>
        </w:rPr>
      </w:pPr>
    </w:p>
  </w:footnote>
  <w:footnote w:id="8">
    <w:p w14:paraId="4B5442C6"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p w14:paraId="7A929498"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9">
    <w:p w14:paraId="645B9649"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Ibíd., p. 69.</w:t>
      </w:r>
    </w:p>
    <w:p w14:paraId="28A14D28"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0">
    <w:p w14:paraId="4F19BAD1"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2920C21D"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1">
    <w:p w14:paraId="68C3925F"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Consejo de Estado. Sala de Consulta y Servicio Civil. Concepto del 30 de abril de 2015. Expediente: 2251. Consejero Ponente: Álvaro Namén Vargas.</w:t>
      </w:r>
    </w:p>
    <w:p w14:paraId="31D33D6D"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2">
    <w:p w14:paraId="0FE83C31"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Consejo de Estado. Sección Tercera. Subsección A. Sentencia del 24 de junio de 2015. Exp. 40.635. Consejero Ponente: Hernán Andrade Rincón (E).</w:t>
      </w:r>
    </w:p>
    <w:p w14:paraId="5B59E31D"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3">
    <w:p w14:paraId="226ABC09"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Consejo de Estado. Sección Tercera. Subsección C. Sentencia del 22 de mayo de 2013. Exp. 24.057. Consejera Ponente: Olga Melida Valle De De La Hoz.</w:t>
      </w:r>
    </w:p>
    <w:p w14:paraId="73BC5958"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4">
    <w:p w14:paraId="1BBC6807"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25EF8D1E"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5">
    <w:p w14:paraId="720570B1"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55C12A5D"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6E83198F"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El Gobierno nacional reglamentará el mecanismo para realizar la mensualización de que trata el presente artículo”.</w:t>
      </w:r>
    </w:p>
    <w:p w14:paraId="367872BE"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6">
    <w:p w14:paraId="45D6BD2A"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i/>
          <w:iCs/>
          <w:color w:val="000000" w:themeColor="text1"/>
          <w:sz w:val="14"/>
          <w:szCs w:val="14"/>
          <w:lang w:val="es-ES"/>
        </w:rPr>
        <w:t>Ibíd</w:t>
      </w:r>
      <w:r w:rsidRPr="00C05705">
        <w:rPr>
          <w:rFonts w:ascii="Verdana" w:hAnsi="Verdana" w:cs="Arial"/>
          <w:color w:val="000000" w:themeColor="text1"/>
          <w:sz w:val="14"/>
          <w:szCs w:val="14"/>
          <w:lang w:val="es-ES"/>
        </w:rPr>
        <w:t>.</w:t>
      </w:r>
    </w:p>
    <w:p w14:paraId="5A23BB70"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7">
    <w:p w14:paraId="27DAA6F5"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A43D4BB"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6744C799"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La Entidad Estatal, para la contratación de trabajos artísticos que solamente puedan en­comendarse a determinadas personas naturales, debe justificar esta situación en los estudios y documentos previos”.</w:t>
      </w:r>
    </w:p>
    <w:p w14:paraId="54AA253A"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8">
    <w:p w14:paraId="1E630A73"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CONSEJO DE ESTADO. Sección Tercera. Subsección C. Sentencia de Unificación del 2 de diciembre de 2013. Exp. 41.719. C.P. Jaime Orlando Santofimio Gamboa.</w:t>
      </w:r>
    </w:p>
    <w:p w14:paraId="5894923A"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19">
    <w:p w14:paraId="56BA9A9A"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i/>
          <w:iCs/>
          <w:color w:val="000000" w:themeColor="text1"/>
          <w:sz w:val="14"/>
          <w:szCs w:val="14"/>
          <w:lang w:val="es-ES"/>
        </w:rPr>
        <w:t>Ibíd</w:t>
      </w:r>
      <w:r w:rsidRPr="00C05705">
        <w:rPr>
          <w:rFonts w:ascii="Verdana" w:hAnsi="Verdana" w:cs="Arial"/>
          <w:color w:val="000000" w:themeColor="text1"/>
          <w:sz w:val="14"/>
          <w:szCs w:val="14"/>
          <w:lang w:val="es-ES"/>
        </w:rPr>
        <w:t>.</w:t>
      </w:r>
    </w:p>
    <w:p w14:paraId="4FC9F67D"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20">
    <w:p w14:paraId="1201EC82"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i/>
          <w:iCs/>
          <w:color w:val="000000" w:themeColor="text1"/>
          <w:sz w:val="14"/>
          <w:szCs w:val="14"/>
          <w:lang w:val="es-ES"/>
        </w:rPr>
        <w:t>Ibíd</w:t>
      </w:r>
      <w:r w:rsidRPr="00C05705">
        <w:rPr>
          <w:rFonts w:ascii="Verdana" w:hAnsi="Verdana" w:cs="Arial"/>
          <w:color w:val="000000" w:themeColor="text1"/>
          <w:sz w:val="14"/>
          <w:szCs w:val="14"/>
          <w:lang w:val="es-ES"/>
        </w:rPr>
        <w:t>.</w:t>
      </w:r>
    </w:p>
    <w:p w14:paraId="6EDAFB8F"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21">
    <w:p w14:paraId="61F18FF6"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i/>
          <w:iCs/>
          <w:color w:val="000000" w:themeColor="text1"/>
          <w:sz w:val="14"/>
          <w:szCs w:val="14"/>
          <w:lang w:val="es-ES"/>
        </w:rPr>
        <w:t>Ibíd</w:t>
      </w:r>
      <w:r w:rsidRPr="00C05705">
        <w:rPr>
          <w:rFonts w:ascii="Verdana" w:hAnsi="Verdana" w:cs="Arial"/>
          <w:color w:val="000000" w:themeColor="text1"/>
          <w:sz w:val="14"/>
          <w:szCs w:val="14"/>
          <w:lang w:val="es-ES"/>
        </w:rPr>
        <w:t>.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B2CC9AE"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Son también contratos de consultoría los que tienen por objeto la interventoría, asesoría, gerencia de obra o de proyectos, dirección, programación y la ejecución de diseños, planos, anteproyectos y proyectos.</w:t>
      </w:r>
    </w:p>
    <w:p w14:paraId="5041CE9C"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 xml:space="preserve">Ninguna orden del interventor de una obra podrá darse verbalmente. Es obligatorio para el interventor entregar por escrito sus órdenes o sugerencias y ellas deben enmarcarse dentro de los términos del respectivo contrato”. </w:t>
      </w:r>
    </w:p>
    <w:p w14:paraId="07A00B92"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22">
    <w:p w14:paraId="21E88BCD"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Así lo prevé el artículo 2.2.1.2.1.4.1 del Decreto 1082 de 2015: “La Entidad Estatal debe señalar en un acto administrativo la justificación para contratar bajo la modalidad de contratación directa, el cual debe contener:</w:t>
      </w:r>
    </w:p>
    <w:p w14:paraId="7147EDF1"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1. La causal que invoca para contratar directamente.</w:t>
      </w:r>
    </w:p>
    <w:p w14:paraId="6F8038C6"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2. El objeto del contrato.</w:t>
      </w:r>
    </w:p>
    <w:p w14:paraId="250EF872"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3. El presupuesto para la contratación y las condiciones que exigirá al contratista.</w:t>
      </w:r>
    </w:p>
    <w:p w14:paraId="4A5DF246"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4. El lugar en el cual los interesados pueden consultar los estudios y documentos previos.</w:t>
      </w:r>
    </w:p>
    <w:p w14:paraId="11243E80"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Este acto administrativo no es necesario cuando el contrato a celebrar es de prestación de servicios profesionales y de apoyo a la gestión, y para los contratos de que tratan los literales (a) y (b) del artículo 2.2.1.2.1.4.3 del presente decreto”.</w:t>
      </w:r>
    </w:p>
    <w:p w14:paraId="367E6A86"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23">
    <w:p w14:paraId="2AC96F19"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Esta norma expresa: “</w:t>
      </w:r>
      <w:r w:rsidRPr="00C05705">
        <w:rPr>
          <w:rFonts w:ascii="Verdana" w:hAnsi="Verdana" w:cs="Arial"/>
          <w:color w:val="000000" w:themeColor="text1"/>
          <w:sz w:val="14"/>
          <w:szCs w:val="14"/>
        </w:rPr>
        <w:t>P</w:t>
      </w:r>
      <w:r w:rsidRPr="00C05705">
        <w:rPr>
          <w:rFonts w:ascii="Verdana" w:hAnsi="Verdana" w:cs="Arial"/>
          <w:color w:val="000000" w:themeColor="text1"/>
          <w:sz w:val="14"/>
          <w:szCs w:val="14"/>
          <w:lang w:val="es-ES"/>
        </w:rPr>
        <w:t xml:space="preserve">ara el cumplimiento de los fines de la contratación, las entidades estatales al celebrar un contrato: </w:t>
      </w:r>
    </w:p>
    <w:p w14:paraId="0CB7D273"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 xml:space="preserve">[…] </w:t>
      </w:r>
    </w:p>
    <w:p w14:paraId="03113A62"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 xml:space="preserve">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w:t>
      </w:r>
    </w:p>
    <w:p w14:paraId="46F96258"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Fonts w:ascii="Verdana" w:hAnsi="Verdana" w:cs="Arial"/>
          <w:color w:val="000000" w:themeColor="text1"/>
          <w:sz w:val="14"/>
          <w:szCs w:val="14"/>
          <w:lang w:val="es-ES"/>
        </w:rPr>
        <w:t>Las entidades estatales podrán pactar estas cláusulas en los contratos de suministro y de prestación de servicios […]”.</w:t>
      </w:r>
    </w:p>
    <w:p w14:paraId="683EB245"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24">
    <w:p w14:paraId="4849EBEA"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La norma dispone: “La liquidación a que se refiere el presente artículo no será obligatoria en los contratos de prestación de servicios profesionales y de apoyo a la gestión”.</w:t>
      </w:r>
    </w:p>
    <w:p w14:paraId="56EC4A98"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25">
    <w:p w14:paraId="41F69A36"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C86E029" w14:textId="77777777" w:rsidR="001C3BF3" w:rsidRPr="00C05705" w:rsidRDefault="001C3BF3" w:rsidP="001C3BF3">
      <w:pPr>
        <w:pStyle w:val="Textonotapie"/>
        <w:ind w:firstLine="709"/>
        <w:jc w:val="both"/>
        <w:rPr>
          <w:rFonts w:ascii="Verdana" w:hAnsi="Verdana" w:cs="Arial"/>
          <w:color w:val="000000" w:themeColor="text1"/>
          <w:sz w:val="14"/>
          <w:szCs w:val="14"/>
        </w:rPr>
      </w:pPr>
      <w:r w:rsidRPr="00C05705">
        <w:rPr>
          <w:rFonts w:ascii="Verdana" w:hAnsi="Verdana" w:cs="Arial"/>
          <w:color w:val="000000" w:themeColor="text1"/>
          <w:sz w:val="14"/>
          <w:szCs w:val="14"/>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p>
    <w:p w14:paraId="4D5256DE" w14:textId="77777777" w:rsidR="001C3BF3" w:rsidRPr="00C05705" w:rsidRDefault="001C3BF3" w:rsidP="001C3BF3">
      <w:pPr>
        <w:pStyle w:val="Textonotapie"/>
        <w:ind w:firstLine="709"/>
        <w:jc w:val="both"/>
        <w:rPr>
          <w:rFonts w:ascii="Verdana" w:hAnsi="Verdana" w:cs="Arial"/>
          <w:color w:val="000000" w:themeColor="text1"/>
          <w:sz w:val="14"/>
          <w:szCs w:val="14"/>
        </w:rPr>
      </w:pPr>
    </w:p>
  </w:footnote>
  <w:footnote w:id="26">
    <w:p w14:paraId="6ADB518C"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7AD44BF6"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p>
  </w:footnote>
  <w:footnote w:id="27">
    <w:p w14:paraId="3D730FFB" w14:textId="77777777" w:rsidR="001C3BF3" w:rsidRPr="00C05705" w:rsidRDefault="001C3BF3" w:rsidP="001C3BF3">
      <w:pPr>
        <w:pStyle w:val="Textonotapie"/>
        <w:ind w:firstLine="709"/>
        <w:jc w:val="both"/>
        <w:rPr>
          <w:rFonts w:ascii="Verdana" w:hAnsi="Verdana" w:cs="Arial"/>
          <w:color w:val="000000" w:themeColor="text1"/>
          <w:sz w:val="14"/>
          <w:szCs w:val="14"/>
          <w:lang w:val="es-ES"/>
        </w:rPr>
      </w:pPr>
      <w:r w:rsidRPr="00C05705">
        <w:rPr>
          <w:rStyle w:val="Refdenotaalpie"/>
          <w:rFonts w:ascii="Verdana" w:hAnsi="Verdana" w:cs="Arial"/>
          <w:color w:val="000000" w:themeColor="text1"/>
          <w:sz w:val="14"/>
          <w:szCs w:val="14"/>
        </w:rPr>
        <w:footnoteRef/>
      </w:r>
      <w:r w:rsidRPr="00C05705">
        <w:rPr>
          <w:rFonts w:ascii="Verdana" w:hAnsi="Verdana" w:cs="Arial"/>
          <w:color w:val="000000" w:themeColor="text1"/>
          <w:sz w:val="14"/>
          <w:szCs w:val="14"/>
        </w:rPr>
        <w:t xml:space="preserve"> </w:t>
      </w:r>
      <w:r w:rsidRPr="00C05705">
        <w:rPr>
          <w:rFonts w:ascii="Verdana" w:hAnsi="Verdana" w:cs="Arial"/>
          <w:color w:val="000000" w:themeColor="text1"/>
          <w:sz w:val="14"/>
          <w:szCs w:val="14"/>
          <w:lang w:val="es-ES"/>
        </w:rPr>
        <w:t xml:space="preserve">Así lo ha reconocido la doctrina: </w:t>
      </w:r>
      <w:r>
        <w:rPr>
          <w:rFonts w:ascii="Verdana" w:hAnsi="Verdana" w:cs="Arial"/>
          <w:color w:val="000000" w:themeColor="text1"/>
          <w:sz w:val="14"/>
          <w:szCs w:val="14"/>
          <w:lang w:val="es-ES"/>
        </w:rPr>
        <w:t>“</w:t>
      </w:r>
      <w:r w:rsidRPr="00C05705">
        <w:rPr>
          <w:rFonts w:ascii="Verdana" w:hAnsi="Verdana" w:cs="Arial"/>
          <w:color w:val="000000" w:themeColor="text1"/>
          <w:sz w:val="14"/>
          <w:szCs w:val="14"/>
          <w:lang w:val="es-ES"/>
        </w:rPr>
        <w:t xml:space="preserve">Por otra parte, la reglamentación de la prestación de servicios comprende una paleta normativa que busca limitar la tergiversación de este tipo de contratos en beneficio de las </w:t>
      </w:r>
      <w:r w:rsidRPr="00C05705">
        <w:rPr>
          <w:rFonts w:ascii="Verdana" w:hAnsi="Verdana" w:cs="Arial"/>
          <w:i/>
          <w:color w:val="000000" w:themeColor="text1"/>
          <w:sz w:val="14"/>
          <w:szCs w:val="14"/>
          <w:lang w:val="es-ES"/>
        </w:rPr>
        <w:t>nóminas paralelas</w:t>
      </w:r>
      <w:r w:rsidRPr="00C05705">
        <w:rPr>
          <w:rFonts w:ascii="Verdana" w:hAnsi="Verdana" w:cs="Arial"/>
          <w:color w:val="000000" w:themeColor="text1"/>
          <w:sz w:val="14"/>
          <w:szCs w:val="14"/>
          <w:lang w:val="es-ES"/>
        </w:rPr>
        <w:t>, como práctica de substitución de los empleos públicos por prestadores de servicios, y las sanciones disciplinarias por entregar a contratistas el ejercicio permanente de funciones administrativas, que implican ejercicio de prerrogativas de poder público, complementadas en la responsabilidad fiscal y personal de los funcionarios</w:t>
      </w:r>
      <w:r>
        <w:rPr>
          <w:rFonts w:ascii="Verdana" w:hAnsi="Verdana" w:cs="Arial"/>
          <w:color w:val="000000" w:themeColor="text1"/>
          <w:sz w:val="14"/>
          <w:szCs w:val="14"/>
          <w:lang w:val="es-ES"/>
        </w:rPr>
        <w:t>”</w:t>
      </w:r>
      <w:r w:rsidRPr="00C05705">
        <w:rPr>
          <w:rFonts w:ascii="Verdana" w:hAnsi="Verdana" w:cs="Arial"/>
          <w:color w:val="000000" w:themeColor="text1"/>
          <w:sz w:val="14"/>
          <w:szCs w:val="14"/>
          <w:lang w:val="es-ES"/>
        </w:rPr>
        <w:t xml:space="preserve"> (BENAVIDES, José Luis. Contrato de prestación de servicios. Difícil delimitación frente al contrato realidad. En: Contratos público. Estudios. Bogotá: Universidad Externado de Colombia, 2014. pp. 311-312).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8F484" w14:textId="77777777" w:rsidR="00892067" w:rsidRDefault="00BF22FF">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54EE07E" wp14:editId="5E07183D">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139CD87" wp14:editId="318E871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E0927BF" w14:textId="77777777" w:rsidR="00892067" w:rsidRDefault="00892067">
    <w:pPr>
      <w:pStyle w:val="Encabezado"/>
    </w:pPr>
  </w:p>
  <w:p w14:paraId="2046A248" w14:textId="77777777" w:rsidR="00892067" w:rsidRDefault="00892067" w:rsidP="004A305D">
    <w:pPr>
      <w:spacing w:after="0"/>
      <w:rPr>
        <w:rFonts w:ascii="Verdana" w:hAnsi="Verdana"/>
        <w:b/>
        <w:bCs/>
      </w:rPr>
    </w:pPr>
  </w:p>
  <w:p w14:paraId="50CC711B" w14:textId="77777777" w:rsidR="00892067" w:rsidRPr="004A305D" w:rsidRDefault="00892067" w:rsidP="00B01B1A">
    <w:pPr>
      <w:spacing w:after="0" w:line="120" w:lineRule="auto"/>
      <w:rPr>
        <w:rFonts w:ascii="Century Gothic" w:eastAsia="Geo" w:hAnsi="Century Gothic" w:cs="Geo"/>
        <w:sz w:val="16"/>
        <w:szCs w:val="16"/>
        <w:lang w:eastAsia="es-CO"/>
      </w:rPr>
    </w:pPr>
  </w:p>
  <w:p w14:paraId="4E1C078D" w14:textId="77777777" w:rsidR="00892067" w:rsidRDefault="00892067"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EF4B51"/>
    <w:multiLevelType w:val="hybridMultilevel"/>
    <w:tmpl w:val="569860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BF3"/>
    <w:rsid w:val="001C3BF3"/>
    <w:rsid w:val="002C33FC"/>
    <w:rsid w:val="00474DF4"/>
    <w:rsid w:val="004F471F"/>
    <w:rsid w:val="00533BA2"/>
    <w:rsid w:val="00636E15"/>
    <w:rsid w:val="00706675"/>
    <w:rsid w:val="007470C4"/>
    <w:rsid w:val="00892067"/>
    <w:rsid w:val="00BE156D"/>
    <w:rsid w:val="00BF22FF"/>
    <w:rsid w:val="00C24FFE"/>
    <w:rsid w:val="00F91FB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30C52"/>
  <w15:chartTrackingRefBased/>
  <w15:docId w15:val="{6EF4053F-1D07-4053-BF23-1DB6ACE3A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3BF3"/>
    <w:rPr>
      <w:kern w:val="0"/>
      <w14:ligatures w14:val="none"/>
    </w:rPr>
  </w:style>
  <w:style w:type="paragraph" w:styleId="Ttulo1">
    <w:name w:val="heading 1"/>
    <w:basedOn w:val="Normal"/>
    <w:next w:val="Normal"/>
    <w:link w:val="Ttulo1Car"/>
    <w:uiPriority w:val="9"/>
    <w:qFormat/>
    <w:rsid w:val="001C3B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C3B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C3BF3"/>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C3BF3"/>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C3BF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C3BF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C3BF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C3BF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C3BF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C3BF3"/>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C3BF3"/>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C3BF3"/>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C3BF3"/>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C3BF3"/>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C3BF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C3BF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C3BF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C3BF3"/>
    <w:rPr>
      <w:rFonts w:eastAsiaTheme="majorEastAsia" w:cstheme="majorBidi"/>
      <w:color w:val="272727" w:themeColor="text1" w:themeTint="D8"/>
    </w:rPr>
  </w:style>
  <w:style w:type="paragraph" w:styleId="Ttulo">
    <w:name w:val="Title"/>
    <w:basedOn w:val="Normal"/>
    <w:next w:val="Normal"/>
    <w:link w:val="TtuloCar"/>
    <w:uiPriority w:val="10"/>
    <w:qFormat/>
    <w:rsid w:val="001C3B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C3BF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C3BF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C3BF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C3BF3"/>
    <w:pPr>
      <w:spacing w:before="160"/>
      <w:jc w:val="center"/>
    </w:pPr>
    <w:rPr>
      <w:i/>
      <w:iCs/>
      <w:color w:val="404040" w:themeColor="text1" w:themeTint="BF"/>
    </w:rPr>
  </w:style>
  <w:style w:type="character" w:customStyle="1" w:styleId="CitaCar">
    <w:name w:val="Cita Car"/>
    <w:basedOn w:val="Fuentedeprrafopredeter"/>
    <w:link w:val="Cita"/>
    <w:uiPriority w:val="29"/>
    <w:rsid w:val="001C3BF3"/>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1C3BF3"/>
    <w:pPr>
      <w:ind w:left="720"/>
      <w:contextualSpacing/>
    </w:pPr>
  </w:style>
  <w:style w:type="character" w:styleId="nfasisintenso">
    <w:name w:val="Intense Emphasis"/>
    <w:basedOn w:val="Fuentedeprrafopredeter"/>
    <w:uiPriority w:val="21"/>
    <w:qFormat/>
    <w:rsid w:val="001C3BF3"/>
    <w:rPr>
      <w:i/>
      <w:iCs/>
      <w:color w:val="2F5496" w:themeColor="accent1" w:themeShade="BF"/>
    </w:rPr>
  </w:style>
  <w:style w:type="paragraph" w:styleId="Citadestacada">
    <w:name w:val="Intense Quote"/>
    <w:basedOn w:val="Normal"/>
    <w:next w:val="Normal"/>
    <w:link w:val="CitadestacadaCar"/>
    <w:uiPriority w:val="30"/>
    <w:qFormat/>
    <w:rsid w:val="001C3B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C3BF3"/>
    <w:rPr>
      <w:i/>
      <w:iCs/>
      <w:color w:val="2F5496" w:themeColor="accent1" w:themeShade="BF"/>
    </w:rPr>
  </w:style>
  <w:style w:type="character" w:styleId="Referenciaintensa">
    <w:name w:val="Intense Reference"/>
    <w:basedOn w:val="Fuentedeprrafopredeter"/>
    <w:uiPriority w:val="32"/>
    <w:qFormat/>
    <w:rsid w:val="001C3BF3"/>
    <w:rPr>
      <w:b/>
      <w:bCs/>
      <w:smallCaps/>
      <w:color w:val="2F5496" w:themeColor="accent1" w:themeShade="BF"/>
      <w:spacing w:val="5"/>
    </w:rPr>
  </w:style>
  <w:style w:type="paragraph" w:styleId="Encabezado">
    <w:name w:val="header"/>
    <w:basedOn w:val="Normal"/>
    <w:link w:val="EncabezadoCar"/>
    <w:uiPriority w:val="99"/>
    <w:unhideWhenUsed/>
    <w:rsid w:val="001C3B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C3BF3"/>
    <w:rPr>
      <w:kern w:val="0"/>
      <w14:ligatures w14:val="none"/>
    </w:rPr>
  </w:style>
  <w:style w:type="paragraph" w:styleId="Piedepgina">
    <w:name w:val="footer"/>
    <w:basedOn w:val="Normal"/>
    <w:link w:val="PiedepginaCar"/>
    <w:uiPriority w:val="99"/>
    <w:unhideWhenUsed/>
    <w:rsid w:val="001C3B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BF3"/>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1C3BF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1C3BF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1C3BF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1C3BF3"/>
    <w:rPr>
      <w:vertAlign w:val="superscript"/>
    </w:rPr>
  </w:style>
  <w:style w:type="character" w:customStyle="1" w:styleId="normaltextrun">
    <w:name w:val="normaltextrun"/>
    <w:basedOn w:val="Fuentedeprrafopredeter"/>
    <w:rsid w:val="001C3BF3"/>
  </w:style>
  <w:style w:type="table" w:styleId="Tablaconcuadrcula">
    <w:name w:val="Table Grid"/>
    <w:basedOn w:val="Tablanormal"/>
    <w:uiPriority w:val="39"/>
    <w:qFormat/>
    <w:rsid w:val="001C3BF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1C3BF3"/>
    <w:rPr>
      <w:color w:val="0000FF"/>
      <w:u w:val="single"/>
    </w:rPr>
  </w:style>
  <w:style w:type="table" w:customStyle="1" w:styleId="Tablaconcuadrcula1">
    <w:name w:val="Tabla con cuadrícula1"/>
    <w:basedOn w:val="Tablanormal"/>
    <w:next w:val="Tablaconcuadrcula"/>
    <w:uiPriority w:val="59"/>
    <w:rsid w:val="001C3BF3"/>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C3BF3"/>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C3B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ala-de-prensa/boletin-digita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sergio.caballero%40colombiacompra.gov.co%7C5aad36a736844ec87b2108dcc1fa4639%7C7b09041e245149d08cb179d5e3d8c1be%7C0%7C0%7C638598527918222614%7CUnknown%7CTWFpbGZsb3d8eyJWIjoiMC4wLjAwMDAiLCJQIjoiV2luMzIiLCJBTiI6Ik1haWwiLCJXVCI6Mn0%3D%7C0%7C%7C%7C&amp;sdata=h8WOGB2loApehe%2F7QeGo2PCeSePiffWRTR4AMN1Rht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xilenac96@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C5E42E-DE15-4829-99F5-04E572AE73EA}">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83F8C941-61EE-4E72-9592-5CA65FAC04BC}">
  <ds:schemaRefs>
    <ds:schemaRef ds:uri="http://schemas.microsoft.com/sharepoint/v3/contenttype/forms"/>
  </ds:schemaRefs>
</ds:datastoreItem>
</file>

<file path=customXml/itemProps3.xml><?xml version="1.0" encoding="utf-8"?>
<ds:datastoreItem xmlns:ds="http://schemas.openxmlformats.org/officeDocument/2006/customXml" ds:itemID="{AB116262-05A4-4609-937B-180803EBFC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19</Pages>
  <Words>5531</Words>
  <Characters>30423</Characters>
  <Application>Microsoft Office Word</Application>
  <DocSecurity>0</DocSecurity>
  <Lines>253</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Catalina del Pilar Lisa Cubides Estupinan</cp:lastModifiedBy>
  <cp:revision>3</cp:revision>
  <dcterms:created xsi:type="dcterms:W3CDTF">2024-12-13T16:20:00Z</dcterms:created>
  <dcterms:modified xsi:type="dcterms:W3CDTF">2025-10-09T02:08:00Z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