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B2A1" w14:textId="31F6A482" w:rsidR="001421E7" w:rsidRPr="001421E7" w:rsidRDefault="00452105" w:rsidP="00452105">
      <w:pPr>
        <w:spacing w:line="256" w:lineRule="auto"/>
        <w:jc w:val="both"/>
        <w:rPr>
          <w:rFonts w:ascii="Verdana" w:eastAsia="Calibri" w:hAnsi="Verdana"/>
          <w:b/>
          <w:bCs/>
        </w:rPr>
      </w:pPr>
      <w:r w:rsidRPr="00452105">
        <w:rPr>
          <w:rFonts w:ascii="Verdana" w:eastAsia="Calibri" w:hAnsi="Verdana"/>
          <w:b/>
          <w:bCs/>
        </w:rPr>
        <w:t>PLANEACIÓN CONTRACTUAL –</w:t>
      </w:r>
      <w:r w:rsidR="001421E7" w:rsidRPr="001421E7">
        <w:rPr>
          <w:rFonts w:ascii="Verdana" w:eastAsia="Calibri" w:hAnsi="Verdana"/>
          <w:b/>
          <w:bCs/>
        </w:rPr>
        <w:t xml:space="preserve"> </w:t>
      </w:r>
      <w:r w:rsidR="00672D90">
        <w:rPr>
          <w:rFonts w:ascii="Verdana" w:eastAsia="Calibri" w:hAnsi="Verdana"/>
          <w:b/>
          <w:bCs/>
        </w:rPr>
        <w:t xml:space="preserve">Estudios previos </w:t>
      </w:r>
    </w:p>
    <w:p w14:paraId="5023DC32" w14:textId="400C7F5C" w:rsidR="00452105" w:rsidRDefault="00452105" w:rsidP="00452105">
      <w:pPr>
        <w:spacing w:line="256" w:lineRule="auto"/>
        <w:jc w:val="both"/>
        <w:rPr>
          <w:rFonts w:ascii="Verdana" w:eastAsia="Calibri" w:hAnsi="Verdana"/>
          <w:sz w:val="20"/>
          <w:szCs w:val="20"/>
        </w:rPr>
      </w:pPr>
      <w:r w:rsidRPr="00452105">
        <w:rPr>
          <w:rFonts w:ascii="Verdana" w:eastAsia="Calibri" w:hAnsi="Verdana"/>
          <w:sz w:val="20"/>
          <w:szCs w:val="20"/>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3019BA68" w14:textId="6610FD59" w:rsidR="00672D90" w:rsidRPr="00672D90" w:rsidRDefault="00672D90" w:rsidP="00B8332D">
      <w:pPr>
        <w:spacing w:line="256" w:lineRule="auto"/>
        <w:jc w:val="both"/>
        <w:rPr>
          <w:rFonts w:ascii="Verdana" w:eastAsia="Calibri" w:hAnsi="Verdana"/>
          <w:b/>
          <w:bCs/>
          <w:sz w:val="20"/>
          <w:szCs w:val="20"/>
        </w:rPr>
      </w:pPr>
      <w:r w:rsidRPr="00672D90">
        <w:rPr>
          <w:rFonts w:ascii="Verdana" w:eastAsia="Calibri" w:hAnsi="Verdana" w:cs="Arial"/>
          <w:b/>
          <w:bCs/>
          <w:lang w:eastAsia="es-ES"/>
        </w:rPr>
        <w:t>ESTUDIOS PREVIOS – Análisis del sector – Planeación en los procesos de contratación pública</w:t>
      </w:r>
    </w:p>
    <w:p w14:paraId="51B82114" w14:textId="4A260850" w:rsidR="00B8332D" w:rsidRPr="001421E7" w:rsidRDefault="001421E7" w:rsidP="00B8332D">
      <w:pPr>
        <w:spacing w:line="256" w:lineRule="auto"/>
        <w:jc w:val="both"/>
        <w:rPr>
          <w:rFonts w:ascii="Verdana" w:eastAsia="Calibri" w:hAnsi="Verdana"/>
          <w:sz w:val="20"/>
          <w:szCs w:val="20"/>
        </w:rPr>
      </w:pPr>
      <w:r w:rsidRPr="001421E7">
        <w:rPr>
          <w:rFonts w:ascii="Verdana" w:eastAsia="Calibri" w:hAnsi="Verdana"/>
          <w:sz w:val="20"/>
          <w:szCs w:val="20"/>
        </w:rPr>
        <w:t xml:space="preserve">[…] la Entidad Estatal podrá determinar con los estudios previos: i) la verdadera necesidad de la celebración del contrato; </w:t>
      </w:r>
      <w:proofErr w:type="spellStart"/>
      <w:r w:rsidRPr="001421E7">
        <w:rPr>
          <w:rFonts w:ascii="Verdana" w:eastAsia="Calibri" w:hAnsi="Verdana"/>
          <w:sz w:val="20"/>
          <w:szCs w:val="20"/>
        </w:rPr>
        <w:t>ii</w:t>
      </w:r>
      <w:proofErr w:type="spellEnd"/>
      <w:r w:rsidRPr="001421E7">
        <w:rPr>
          <w:rFonts w:ascii="Verdana" w:eastAsia="Calibri" w:hAnsi="Verdana"/>
          <w:sz w:val="20"/>
          <w:szCs w:val="20"/>
        </w:rPr>
        <w:t xml:space="preserve">) las modalidades existentes para satisfacer esa necesidad y las razones que justifiquen la modalidad o tipo contractual que se escoja; </w:t>
      </w:r>
      <w:proofErr w:type="spellStart"/>
      <w:r w:rsidRPr="001421E7">
        <w:rPr>
          <w:rFonts w:ascii="Verdana" w:eastAsia="Calibri" w:hAnsi="Verdana"/>
          <w:sz w:val="20"/>
          <w:szCs w:val="20"/>
        </w:rPr>
        <w:t>iii</w:t>
      </w:r>
      <w:proofErr w:type="spellEnd"/>
      <w:r w:rsidRPr="001421E7">
        <w:rPr>
          <w:rFonts w:ascii="Verdana" w:eastAsia="Calibri" w:hAnsi="Verdana"/>
          <w:sz w:val="20"/>
          <w:szCs w:val="20"/>
        </w:rPr>
        <w:t xml:space="preserve">) las calidades, especificaciones, cantidades y demás características que puedan o deban reunir los bienes, las obras o los servicios cuya contratación se haya determinado necesaria, </w:t>
      </w:r>
      <w:proofErr w:type="spellStart"/>
      <w:r w:rsidRPr="001421E7">
        <w:rPr>
          <w:rFonts w:ascii="Verdana" w:eastAsia="Calibri" w:hAnsi="Verdana"/>
          <w:sz w:val="20"/>
          <w:szCs w:val="20"/>
        </w:rPr>
        <w:t>iv</w:t>
      </w:r>
      <w:proofErr w:type="spellEnd"/>
      <w:r w:rsidRPr="001421E7">
        <w:rPr>
          <w:rFonts w:ascii="Verdana" w:eastAsia="Calibri" w:hAnsi="Verdana"/>
          <w:sz w:val="20"/>
          <w:szCs w:val="20"/>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1421E7">
        <w:rPr>
          <w:rFonts w:ascii="Verdana" w:eastAsia="Calibri" w:hAnsi="Verdana"/>
          <w:sz w:val="20"/>
          <w:szCs w:val="20"/>
        </w:rPr>
        <w:t>vii</w:t>
      </w:r>
      <w:proofErr w:type="spellEnd"/>
      <w:r w:rsidRPr="001421E7">
        <w:rPr>
          <w:rFonts w:ascii="Verdana" w:eastAsia="Calibri" w:hAnsi="Verdana"/>
          <w:sz w:val="20"/>
          <w:szCs w:val="20"/>
        </w:rPr>
        <w:t>) los procedimientos, trámites y requisitos que deban satisfacerse, reunirse u obtenerse para llevar a cabo la selección del respectivo contratista y la celebración del contrato que se pretenda celebrar. La consideración de todos estos aspectos permite que los contratos resultantes de la planeación cuenten con el sustento técnico, económico y jurídico que incidirá en una adecuada ejecución.</w:t>
      </w:r>
    </w:p>
    <w:p w14:paraId="2A3B30F2" w14:textId="557702ED" w:rsidR="00B8332D" w:rsidRPr="00B8332D" w:rsidRDefault="00B8332D" w:rsidP="00B8332D">
      <w:pPr>
        <w:spacing w:line="256" w:lineRule="auto"/>
        <w:jc w:val="both"/>
        <w:rPr>
          <w:rFonts w:ascii="Verdana" w:eastAsia="Calibri" w:hAnsi="Verdana"/>
          <w:b/>
          <w:bCs/>
          <w:sz w:val="20"/>
          <w:szCs w:val="20"/>
        </w:rPr>
      </w:pPr>
      <w:r w:rsidRPr="00E73E5E">
        <w:rPr>
          <w:rFonts w:ascii="Verdana" w:eastAsia="Calibri" w:hAnsi="Verdana" w:cs="Arial"/>
          <w:b/>
          <w:bCs/>
          <w:lang w:val="es-ES" w:eastAsia="es-ES"/>
        </w:rPr>
        <w:t xml:space="preserve">CONTRATO DE PRESTACIÓN DE SERVICIOS – </w:t>
      </w:r>
      <w:r w:rsidRPr="00E73E5E">
        <w:rPr>
          <w:rFonts w:ascii="Verdana" w:eastAsia="Calibri" w:hAnsi="Verdana" w:cs="Arial"/>
          <w:b/>
          <w:bCs/>
          <w:lang w:eastAsia="es-ES"/>
        </w:rPr>
        <w:t xml:space="preserve">Condiciones para su ejecución </w:t>
      </w:r>
      <w:r w:rsidRPr="00E73E5E">
        <w:rPr>
          <w:rFonts w:ascii="Verdana" w:eastAsia="Calibri" w:hAnsi="Verdana" w:cs="Arial"/>
          <w:b/>
          <w:bCs/>
          <w:color w:val="000000"/>
        </w:rPr>
        <w:t>– Idoneidad – Decreto 1082 de 2015</w:t>
      </w:r>
    </w:p>
    <w:p w14:paraId="131A1F22" w14:textId="59B90680" w:rsidR="00B8332D" w:rsidRPr="00E73E5E" w:rsidRDefault="00B8332D" w:rsidP="00B8332D">
      <w:pPr>
        <w:spacing w:after="0" w:line="256" w:lineRule="auto"/>
        <w:jc w:val="both"/>
        <w:rPr>
          <w:rFonts w:ascii="Verdana" w:eastAsia="Calibri" w:hAnsi="Verdana"/>
          <w:sz w:val="20"/>
          <w:szCs w:val="20"/>
        </w:rPr>
      </w:pPr>
      <w:r w:rsidRPr="00E73E5E">
        <w:rPr>
          <w:rFonts w:ascii="Verdana" w:eastAsia="Calibri" w:hAnsi="Verdana"/>
          <w:sz w:val="20"/>
          <w:szCs w:val="20"/>
        </w:rPr>
        <w:t>El Decreto 1082 de 2015, en su artículo 2.2.1.2.1.5, subraya que la contratación debe basarse en los principios de idoneidad, experiencia, capacidad y competencia. Si el contrato es de prestación de servicios profesionales, se entenderá que debe contar con un título académico formal. Sin embargo, las entidades tienen la posibilidad de evaluar si la experiencia práctica puede suplir la falta de un título formal, siempre que esta experiencia sea suficiente para cumplir con las necesidades del contrato, lo cual derivará en otro tipo de contrato de prestación de servicios como el de apoyo a la gestión, ya que si no se cuenta con título profesional no se puede celebrar la tipología de contrato de prestación de servicios que se denomina “profesional”, pero si se puede celebrar el tipo de contrato de prestación de servicios de apoyo a la gestión.</w:t>
      </w:r>
    </w:p>
    <w:p w14:paraId="13E4C546" w14:textId="77777777" w:rsidR="001421E7" w:rsidRDefault="001421E7" w:rsidP="00E73E5E">
      <w:pPr>
        <w:spacing w:after="0" w:line="240" w:lineRule="auto"/>
        <w:jc w:val="both"/>
        <w:rPr>
          <w:rFonts w:ascii="Verdana" w:eastAsia="Geomanist Light" w:hAnsi="Verdana" w:cs="Arial"/>
          <w:color w:val="000000"/>
          <w:lang w:val="es-MX"/>
        </w:rPr>
      </w:pPr>
    </w:p>
    <w:p w14:paraId="0B01AA0F" w14:textId="77777777" w:rsidR="003E0622" w:rsidRDefault="003E0622" w:rsidP="00E73E5E">
      <w:pPr>
        <w:spacing w:after="0" w:line="240" w:lineRule="auto"/>
        <w:jc w:val="both"/>
        <w:rPr>
          <w:rFonts w:ascii="Verdana" w:eastAsia="Geomanist Light" w:hAnsi="Verdana" w:cs="Arial"/>
          <w:color w:val="000000"/>
          <w:lang w:val="es-MX"/>
        </w:rPr>
      </w:pPr>
    </w:p>
    <w:p w14:paraId="30180F55" w14:textId="3FD93637" w:rsidR="00E73E5E" w:rsidRPr="00E73E5E" w:rsidRDefault="00E73E5E" w:rsidP="00E73E5E">
      <w:pPr>
        <w:spacing w:after="0" w:line="240" w:lineRule="auto"/>
        <w:jc w:val="both"/>
        <w:rPr>
          <w:rFonts w:ascii="Verdana" w:eastAsia="Calibri" w:hAnsi="Verdana" w:cs="Arial"/>
          <w:color w:val="000000"/>
          <w:sz w:val="20"/>
          <w:szCs w:val="20"/>
          <w:lang w:val="es-ES"/>
        </w:rPr>
      </w:pPr>
      <w:r w:rsidRPr="00E73E5E">
        <w:rPr>
          <w:rFonts w:ascii="Verdana" w:eastAsia="Geomanist Light" w:hAnsi="Verdana" w:cs="Arial"/>
          <w:color w:val="000000"/>
          <w:lang w:val="es-MX"/>
        </w:rPr>
        <w:t>Bogotá D.C., </w:t>
      </w:r>
      <w:r w:rsidRPr="00E73E5E">
        <w:rPr>
          <w:rFonts w:ascii="Verdana" w:eastAsia="Geomanist Light" w:hAnsi="Verdana" w:cs="Arial"/>
          <w:color w:val="201F1E"/>
          <w:lang w:val="es-MX"/>
        </w:rPr>
        <w:t>[Día] de [</w:t>
      </w:r>
      <w:proofErr w:type="spellStart"/>
      <w:r w:rsidRPr="00E73E5E">
        <w:rPr>
          <w:rFonts w:ascii="Verdana" w:eastAsia="Geomanist Light" w:hAnsi="Verdana" w:cs="Arial"/>
          <w:color w:val="201F1E"/>
          <w:lang w:val="es-MX"/>
        </w:rPr>
        <w:t>Mes.NombreCapitalizado</w:t>
      </w:r>
      <w:proofErr w:type="spellEnd"/>
      <w:r w:rsidRPr="00E73E5E">
        <w:rPr>
          <w:rFonts w:ascii="Verdana" w:eastAsia="Geomanist Light" w:hAnsi="Verdana" w:cs="Arial"/>
          <w:color w:val="201F1E"/>
          <w:lang w:val="es-MX"/>
        </w:rPr>
        <w:t>] de [Año]</w:t>
      </w:r>
    </w:p>
    <w:p w14:paraId="26110AC5" w14:textId="184ADF24" w:rsidR="00E73E5E" w:rsidRPr="00E73E5E" w:rsidRDefault="003E0622" w:rsidP="00E73E5E">
      <w:pPr>
        <w:spacing w:after="0" w:line="240" w:lineRule="auto"/>
        <w:jc w:val="both"/>
        <w:rPr>
          <w:rFonts w:ascii="Verdana" w:eastAsia="Calibri" w:hAnsi="Verdana" w:cs="Arial"/>
          <w:color w:val="000000"/>
          <w:lang w:val="es-ES"/>
        </w:rPr>
      </w:pPr>
      <w:r>
        <w:rPr>
          <w:rFonts w:ascii="Verdana" w:eastAsia="Calibri" w:hAnsi="Verdana" w:cs="Arial"/>
          <w:noProof/>
          <w:color w:val="000000"/>
          <w:lang w:val="es-ES"/>
          <w14:ligatures w14:val="standardContextual"/>
        </w:rPr>
        <w:drawing>
          <wp:anchor distT="0" distB="0" distL="114300" distR="114300" simplePos="0" relativeHeight="251658240" behindDoc="1" locked="0" layoutInCell="1" allowOverlap="1" wp14:anchorId="4737A6E3" wp14:editId="13E7F5FF">
            <wp:simplePos x="0" y="0"/>
            <wp:positionH relativeFrom="column">
              <wp:posOffset>2739390</wp:posOffset>
            </wp:positionH>
            <wp:positionV relativeFrom="paragraph">
              <wp:posOffset>69215</wp:posOffset>
            </wp:positionV>
            <wp:extent cx="3458058" cy="990738"/>
            <wp:effectExtent l="0" t="0" r="9525" b="0"/>
            <wp:wrapTight wrapText="bothSides">
              <wp:wrapPolygon edited="0">
                <wp:start x="0" y="0"/>
                <wp:lineTo x="0" y="21185"/>
                <wp:lineTo x="21540" y="21185"/>
                <wp:lineTo x="21540" y="0"/>
                <wp:lineTo x="0" y="0"/>
              </wp:wrapPolygon>
            </wp:wrapTight>
            <wp:docPr id="6977568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56886" name="Imagen 697756886"/>
                    <pic:cNvPicPr/>
                  </pic:nvPicPr>
                  <pic:blipFill>
                    <a:blip r:embed="rId10">
                      <a:extLst>
                        <a:ext uri="{28A0092B-C50C-407E-A947-70E740481C1C}">
                          <a14:useLocalDpi xmlns:a14="http://schemas.microsoft.com/office/drawing/2010/main" val="0"/>
                        </a:ext>
                      </a:extLst>
                    </a:blip>
                    <a:stretch>
                      <a:fillRect/>
                    </a:stretch>
                  </pic:blipFill>
                  <pic:spPr>
                    <a:xfrm>
                      <a:off x="0" y="0"/>
                      <a:ext cx="3458058" cy="990738"/>
                    </a:xfrm>
                    <a:prstGeom prst="rect">
                      <a:avLst/>
                    </a:prstGeom>
                  </pic:spPr>
                </pic:pic>
              </a:graphicData>
            </a:graphic>
          </wp:anchor>
        </w:drawing>
      </w:r>
    </w:p>
    <w:p w14:paraId="76D6E7B4" w14:textId="73C35422" w:rsidR="00E73E5E" w:rsidRPr="00E73E5E" w:rsidRDefault="00E73E5E" w:rsidP="00E73E5E">
      <w:pPr>
        <w:spacing w:after="0" w:line="240" w:lineRule="auto"/>
        <w:jc w:val="both"/>
        <w:rPr>
          <w:rFonts w:ascii="Verdana" w:eastAsia="Calibri" w:hAnsi="Verdana" w:cs="Arial"/>
          <w:color w:val="000000"/>
          <w:lang w:val="es-ES"/>
        </w:rPr>
      </w:pPr>
    </w:p>
    <w:p w14:paraId="2D83D0D0" w14:textId="3126943B" w:rsidR="00E73E5E" w:rsidRDefault="00E73E5E" w:rsidP="00E73E5E">
      <w:pPr>
        <w:spacing w:after="0" w:line="240" w:lineRule="auto"/>
        <w:jc w:val="both"/>
        <w:rPr>
          <w:rFonts w:ascii="Verdana" w:eastAsia="Calibri" w:hAnsi="Verdana" w:cs="Arial"/>
          <w:color w:val="000000"/>
          <w:lang w:val="es-ES"/>
        </w:rPr>
      </w:pPr>
    </w:p>
    <w:p w14:paraId="5CEEE44E" w14:textId="2E4B42B5" w:rsidR="00E73E5E" w:rsidRDefault="00E73E5E" w:rsidP="00E73E5E">
      <w:pPr>
        <w:spacing w:after="0" w:line="240" w:lineRule="auto"/>
        <w:jc w:val="both"/>
        <w:rPr>
          <w:rFonts w:ascii="Verdana" w:eastAsia="Calibri" w:hAnsi="Verdana" w:cs="Arial"/>
          <w:color w:val="000000"/>
          <w:lang w:val="es-ES"/>
        </w:rPr>
      </w:pPr>
    </w:p>
    <w:p w14:paraId="0B4FFFA6" w14:textId="77777777" w:rsidR="00E73E5E" w:rsidRPr="00E73E5E" w:rsidRDefault="00E73E5E" w:rsidP="00E73E5E">
      <w:pPr>
        <w:spacing w:after="0" w:line="240" w:lineRule="auto"/>
        <w:jc w:val="both"/>
        <w:rPr>
          <w:rFonts w:ascii="Verdana" w:eastAsia="Calibri" w:hAnsi="Verdana" w:cs="Arial"/>
          <w:color w:val="000000"/>
          <w:lang w:val="es-ES"/>
        </w:rPr>
      </w:pPr>
    </w:p>
    <w:p w14:paraId="5BD61B11" w14:textId="77777777" w:rsidR="003E0622" w:rsidRDefault="003E0622" w:rsidP="00E73E5E">
      <w:pPr>
        <w:spacing w:after="0" w:line="240" w:lineRule="auto"/>
        <w:jc w:val="both"/>
        <w:rPr>
          <w:rFonts w:ascii="Verdana" w:eastAsia="Calibri" w:hAnsi="Verdana" w:cs="Arial"/>
          <w:lang w:val="es-ES" w:eastAsia="es-ES"/>
        </w:rPr>
      </w:pPr>
    </w:p>
    <w:p w14:paraId="34EE8F1C" w14:textId="0B5F2333" w:rsidR="00E73E5E" w:rsidRPr="00E73E5E" w:rsidRDefault="00E73E5E" w:rsidP="00E73E5E">
      <w:pPr>
        <w:spacing w:after="0" w:line="240" w:lineRule="auto"/>
        <w:jc w:val="both"/>
        <w:rPr>
          <w:rFonts w:ascii="Verdana" w:eastAsia="Calibri" w:hAnsi="Verdana" w:cs="Arial"/>
          <w:lang w:val="es-ES" w:eastAsia="es-ES"/>
        </w:rPr>
      </w:pPr>
      <w:r w:rsidRPr="00E73E5E">
        <w:rPr>
          <w:rFonts w:ascii="Verdana" w:eastAsia="Calibri" w:hAnsi="Verdana" w:cs="Arial"/>
          <w:lang w:val="es-ES" w:eastAsia="es-ES"/>
        </w:rPr>
        <w:t>Señora</w:t>
      </w:r>
    </w:p>
    <w:p w14:paraId="3EF4ECF4" w14:textId="77777777" w:rsidR="00E73E5E" w:rsidRPr="00E73E5E" w:rsidRDefault="00E73E5E" w:rsidP="00E73E5E">
      <w:pPr>
        <w:spacing w:after="0" w:line="240" w:lineRule="auto"/>
        <w:jc w:val="both"/>
        <w:rPr>
          <w:rFonts w:ascii="Verdana" w:eastAsia="Calibri" w:hAnsi="Verdana" w:cs="Arial"/>
          <w:b/>
          <w:bCs/>
          <w:lang w:val="es-ES" w:eastAsia="es-ES"/>
        </w:rPr>
      </w:pPr>
      <w:r w:rsidRPr="00E73E5E">
        <w:rPr>
          <w:rFonts w:ascii="Verdana" w:eastAsia="Calibri" w:hAnsi="Verdana" w:cs="Arial"/>
          <w:b/>
          <w:bCs/>
          <w:lang w:val="es-ES" w:eastAsia="es-ES"/>
        </w:rPr>
        <w:t xml:space="preserve">Maryuri Camacho Rojas </w:t>
      </w:r>
    </w:p>
    <w:p w14:paraId="553326EE" w14:textId="77777777" w:rsidR="00E73E5E" w:rsidRPr="00E73E5E" w:rsidRDefault="00E73E5E" w:rsidP="00E73E5E">
      <w:pPr>
        <w:spacing w:after="0" w:line="240" w:lineRule="auto"/>
        <w:jc w:val="both"/>
        <w:rPr>
          <w:rFonts w:ascii="Verdana" w:eastAsia="Calibri" w:hAnsi="Verdana" w:cs="Arial"/>
          <w:b/>
          <w:bCs/>
          <w:lang w:val="es-ES" w:eastAsia="es-ES"/>
        </w:rPr>
      </w:pPr>
      <w:hyperlink r:id="rId11" w:history="1">
        <w:r w:rsidRPr="00E73E5E">
          <w:rPr>
            <w:rFonts w:ascii="Verdana" w:eastAsia="Calibri" w:hAnsi="Verdana" w:cs="Arial"/>
            <w:b/>
            <w:bCs/>
            <w:color w:val="0000FF"/>
            <w:u w:val="single"/>
            <w:lang w:val="es-ES" w:eastAsia="es-ES"/>
          </w:rPr>
          <w:t>maryuri_04@hotmail.com</w:t>
        </w:r>
      </w:hyperlink>
    </w:p>
    <w:p w14:paraId="26694D95" w14:textId="77777777" w:rsidR="00E73E5E" w:rsidRPr="00E73E5E" w:rsidRDefault="00E73E5E" w:rsidP="00E73E5E">
      <w:pPr>
        <w:spacing w:after="0" w:line="240" w:lineRule="auto"/>
        <w:rPr>
          <w:rFonts w:ascii="Verdana" w:eastAsia="Calibri" w:hAnsi="Verdana" w:cs="Arial"/>
          <w:lang w:val="es-ES" w:eastAsia="es-ES"/>
        </w:rPr>
      </w:pPr>
      <w:r w:rsidRPr="00E73E5E">
        <w:rPr>
          <w:rFonts w:ascii="Verdana" w:eastAsia="Calibri" w:hAnsi="Verdana" w:cs="Arial"/>
          <w:lang w:val="es-ES" w:eastAsia="es-ES"/>
        </w:rPr>
        <w:t xml:space="preserve">Ciudad </w:t>
      </w:r>
    </w:p>
    <w:p w14:paraId="30D20DCB" w14:textId="77777777" w:rsidR="00E73E5E" w:rsidRPr="00E73E5E" w:rsidRDefault="00E73E5E" w:rsidP="00E73E5E">
      <w:pPr>
        <w:spacing w:after="0" w:line="240" w:lineRule="auto"/>
        <w:rPr>
          <w:rFonts w:ascii="Verdana" w:eastAsia="Calibri" w:hAnsi="Verdana" w:cs="Arial"/>
          <w:b/>
          <w:bCs/>
          <w:color w:val="000000"/>
          <w:lang w:val="es-ES_tradnl" w:eastAsia="es-ES_tradnl"/>
        </w:rPr>
      </w:pPr>
    </w:p>
    <w:p w14:paraId="0567F539" w14:textId="77777777" w:rsidR="00E73E5E" w:rsidRPr="00E73E5E" w:rsidRDefault="00E73E5E" w:rsidP="00E73E5E">
      <w:pPr>
        <w:spacing w:after="0" w:line="240" w:lineRule="auto"/>
        <w:rPr>
          <w:rFonts w:ascii="Verdana" w:eastAsia="Calibri" w:hAnsi="Verdana" w:cs="Arial"/>
          <w:b/>
          <w:bCs/>
          <w:color w:val="000000"/>
          <w:lang w:val="es-ES_tradnl" w:eastAsia="es-ES_tradnl"/>
        </w:rPr>
      </w:pPr>
    </w:p>
    <w:p w14:paraId="00374255" w14:textId="77777777" w:rsidR="00E73E5E" w:rsidRPr="00E73E5E" w:rsidRDefault="00E73E5E" w:rsidP="00E73E5E">
      <w:pPr>
        <w:spacing w:after="0" w:line="240" w:lineRule="auto"/>
        <w:rPr>
          <w:rFonts w:ascii="Verdana" w:eastAsia="Calibri" w:hAnsi="Verdana" w:cs="Arial"/>
          <w:b/>
          <w:bCs/>
          <w:color w:val="000000"/>
          <w:lang w:val="es-ES_tradnl" w:eastAsia="es-ES_tradnl"/>
        </w:rPr>
      </w:pPr>
    </w:p>
    <w:tbl>
      <w:tblPr>
        <w:tblStyle w:val="Tablaconcuadrcula1"/>
        <w:tblW w:w="85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237"/>
      </w:tblGrid>
      <w:tr w:rsidR="00E73E5E" w:rsidRPr="00E73E5E" w14:paraId="52E0666B" w14:textId="77777777" w:rsidTr="00E73E5E">
        <w:trPr>
          <w:trHeight w:val="884"/>
        </w:trPr>
        <w:tc>
          <w:tcPr>
            <w:tcW w:w="2268" w:type="dxa"/>
          </w:tcPr>
          <w:p w14:paraId="62F87A50" w14:textId="77777777" w:rsidR="00E73E5E" w:rsidRPr="00E73E5E" w:rsidRDefault="00E73E5E" w:rsidP="00E73E5E">
            <w:pPr>
              <w:jc w:val="both"/>
              <w:rPr>
                <w:rFonts w:ascii="Verdana" w:eastAsia="Calibri" w:hAnsi="Verdana" w:cs="Arial"/>
                <w:b/>
                <w:bCs/>
                <w:color w:val="7030A0"/>
                <w:lang w:val="es-ES_tradnl" w:eastAsia="es-ES_tradnl"/>
              </w:rPr>
            </w:pPr>
          </w:p>
        </w:tc>
        <w:tc>
          <w:tcPr>
            <w:tcW w:w="6237" w:type="dxa"/>
            <w:hideMark/>
          </w:tcPr>
          <w:p w14:paraId="71793B2F" w14:textId="77777777" w:rsidR="00E73E5E" w:rsidRPr="00E73E5E" w:rsidRDefault="00E73E5E" w:rsidP="00E73E5E">
            <w:pPr>
              <w:jc w:val="both"/>
              <w:rPr>
                <w:rFonts w:ascii="Verdana" w:eastAsia="Calibri" w:hAnsi="Verdana" w:cs="Arial"/>
                <w:b/>
                <w:bCs/>
                <w:color w:val="7030A0"/>
                <w:lang w:val="es-ES" w:eastAsia="es-ES"/>
              </w:rPr>
            </w:pPr>
            <w:r w:rsidRPr="00E73E5E">
              <w:rPr>
                <w:rFonts w:ascii="Verdana" w:eastAsia="Calibri" w:hAnsi="Verdana" w:cs="Arial"/>
                <w:b/>
                <w:bCs/>
                <w:lang w:val="es-ES" w:eastAsia="es-ES"/>
              </w:rPr>
              <w:t>Concepto C - 842</w:t>
            </w:r>
            <w:r w:rsidRPr="00E73E5E">
              <w:rPr>
                <w:rFonts w:ascii="Verdana" w:eastAsia="Calibri" w:hAnsi="Verdana" w:cs="Arial"/>
                <w:b/>
                <w:bCs/>
                <w:color w:val="7030A0"/>
                <w:lang w:val="es-ES" w:eastAsia="es-ES"/>
              </w:rPr>
              <w:t xml:space="preserve"> </w:t>
            </w:r>
            <w:r w:rsidRPr="00E73E5E">
              <w:rPr>
                <w:rFonts w:ascii="Verdana" w:eastAsia="Calibri" w:hAnsi="Verdana" w:cs="Arial"/>
                <w:b/>
                <w:bCs/>
                <w:lang w:val="es-ES" w:eastAsia="es-ES"/>
              </w:rPr>
              <w:t>de 2024</w:t>
            </w:r>
          </w:p>
        </w:tc>
      </w:tr>
      <w:tr w:rsidR="00E73E5E" w:rsidRPr="00E73E5E" w14:paraId="2FA1B945" w14:textId="77777777" w:rsidTr="00E73E5E">
        <w:trPr>
          <w:trHeight w:val="884"/>
        </w:trPr>
        <w:tc>
          <w:tcPr>
            <w:tcW w:w="2268" w:type="dxa"/>
            <w:hideMark/>
          </w:tcPr>
          <w:p w14:paraId="05C609E4" w14:textId="77777777" w:rsidR="00E73E5E" w:rsidRPr="00E73E5E" w:rsidRDefault="00E73E5E" w:rsidP="00E73E5E">
            <w:pPr>
              <w:jc w:val="both"/>
              <w:rPr>
                <w:rFonts w:ascii="Verdana" w:eastAsia="Calibri" w:hAnsi="Verdana" w:cs="Arial"/>
                <w:color w:val="000000"/>
                <w:lang w:val="es-ES_tradnl" w:eastAsia="es-ES_tradnl"/>
              </w:rPr>
            </w:pPr>
            <w:r w:rsidRPr="00E73E5E">
              <w:rPr>
                <w:rFonts w:ascii="Verdana" w:eastAsia="Calibri" w:hAnsi="Verdana" w:cs="Arial"/>
                <w:b/>
                <w:color w:val="000000"/>
                <w:lang w:val="es-ES_tradnl" w:eastAsia="es-ES_tradnl"/>
              </w:rPr>
              <w:t>Temas:</w:t>
            </w:r>
            <w:r w:rsidRPr="00E73E5E">
              <w:rPr>
                <w:rFonts w:ascii="Verdana" w:eastAsia="Calibri" w:hAnsi="Verdana" w:cs="Arial"/>
                <w:color w:val="000000"/>
                <w:lang w:val="es-ES_tradnl" w:eastAsia="es-ES_tradnl"/>
              </w:rPr>
              <w:t xml:space="preserve">                   </w:t>
            </w:r>
          </w:p>
        </w:tc>
        <w:tc>
          <w:tcPr>
            <w:tcW w:w="6237" w:type="dxa"/>
          </w:tcPr>
          <w:p w14:paraId="19761C57" w14:textId="77777777" w:rsidR="00E73E5E" w:rsidRPr="00E73E5E" w:rsidRDefault="00E73E5E" w:rsidP="00E73E5E">
            <w:pPr>
              <w:spacing w:line="276" w:lineRule="auto"/>
              <w:jc w:val="both"/>
              <w:rPr>
                <w:rFonts w:ascii="Verdana" w:eastAsia="Calibri" w:hAnsi="Verdana" w:cs="Arial"/>
                <w:lang w:val="es-ES" w:eastAsia="es-ES"/>
              </w:rPr>
            </w:pPr>
            <w:r w:rsidRPr="00E73E5E">
              <w:rPr>
                <w:rFonts w:ascii="Verdana" w:eastAsia="Calibri" w:hAnsi="Verdana" w:cs="Arial"/>
                <w:lang w:eastAsia="es-ES"/>
              </w:rPr>
              <w:t xml:space="preserve">PLANEACIÓN – Estudios previos / ESTUDIOS PREVIOS – Análisis del sector – Planeación en los procesos de contratación pública / </w:t>
            </w:r>
            <w:r w:rsidRPr="00E73E5E">
              <w:rPr>
                <w:rFonts w:ascii="Verdana" w:eastAsia="Calibri" w:hAnsi="Verdana" w:cs="Arial"/>
                <w:lang w:val="es-ES" w:eastAsia="es-ES"/>
              </w:rPr>
              <w:t xml:space="preserve">CONTRATO DE PRESTACIÓN DE SERVICIOS – </w:t>
            </w:r>
            <w:r w:rsidRPr="00E73E5E">
              <w:rPr>
                <w:rFonts w:ascii="Verdana" w:eastAsia="Calibri" w:hAnsi="Verdana" w:cs="Arial"/>
                <w:lang w:eastAsia="es-ES"/>
              </w:rPr>
              <w:t xml:space="preserve">Condiciones para su ejecución </w:t>
            </w:r>
            <w:r w:rsidRPr="00E73E5E">
              <w:rPr>
                <w:rFonts w:ascii="Verdana" w:eastAsia="Calibri" w:hAnsi="Verdana" w:cs="Arial"/>
                <w:color w:val="000000"/>
              </w:rPr>
              <w:t xml:space="preserve">– Idoneidad – Decreto 1082 de 2015 </w:t>
            </w:r>
          </w:p>
          <w:p w14:paraId="6329E509" w14:textId="77777777" w:rsidR="00E73E5E" w:rsidRPr="00E73E5E" w:rsidRDefault="00E73E5E" w:rsidP="00E73E5E">
            <w:pPr>
              <w:spacing w:line="276" w:lineRule="auto"/>
              <w:jc w:val="both"/>
              <w:rPr>
                <w:rFonts w:ascii="Verdana" w:eastAsia="Calibri" w:hAnsi="Verdana" w:cs="Arial"/>
                <w:lang w:val="es-ES" w:eastAsia="es-ES"/>
              </w:rPr>
            </w:pPr>
          </w:p>
          <w:p w14:paraId="59446348" w14:textId="77777777" w:rsidR="00E73E5E" w:rsidRPr="00E73E5E" w:rsidRDefault="00E73E5E" w:rsidP="00E73E5E">
            <w:pPr>
              <w:spacing w:line="276" w:lineRule="auto"/>
              <w:jc w:val="both"/>
              <w:rPr>
                <w:rFonts w:ascii="Verdana" w:eastAsia="Calibri" w:hAnsi="Verdana" w:cs="Arial"/>
                <w:lang w:val="es-ES" w:eastAsia="es-ES"/>
              </w:rPr>
            </w:pPr>
          </w:p>
        </w:tc>
      </w:tr>
      <w:tr w:rsidR="00E73E5E" w:rsidRPr="00E73E5E" w14:paraId="17C7796C" w14:textId="77777777" w:rsidTr="00E73E5E">
        <w:tc>
          <w:tcPr>
            <w:tcW w:w="2268" w:type="dxa"/>
            <w:hideMark/>
          </w:tcPr>
          <w:p w14:paraId="6A4D460F" w14:textId="77777777" w:rsidR="00E73E5E" w:rsidRPr="00E73E5E" w:rsidRDefault="00E73E5E" w:rsidP="00E73E5E">
            <w:pPr>
              <w:jc w:val="both"/>
              <w:rPr>
                <w:rFonts w:ascii="Verdana" w:eastAsia="Calibri" w:hAnsi="Verdana" w:cs="Arial"/>
                <w:b/>
                <w:bCs/>
                <w:lang w:val="es-ES_tradnl" w:eastAsia="es-ES_tradnl"/>
              </w:rPr>
            </w:pPr>
            <w:r w:rsidRPr="00E73E5E">
              <w:rPr>
                <w:rFonts w:ascii="Verdana" w:eastAsia="Calibri" w:hAnsi="Verdana" w:cs="Arial"/>
                <w:b/>
                <w:bCs/>
                <w:lang w:val="es-ES_tradnl" w:eastAsia="es-ES_tradnl"/>
              </w:rPr>
              <w:t xml:space="preserve">Radicación:               </w:t>
            </w:r>
          </w:p>
        </w:tc>
        <w:tc>
          <w:tcPr>
            <w:tcW w:w="6237" w:type="dxa"/>
          </w:tcPr>
          <w:p w14:paraId="31859DEB" w14:textId="77777777" w:rsidR="00E73E5E" w:rsidRPr="00E73E5E" w:rsidRDefault="00E73E5E" w:rsidP="00E73E5E">
            <w:pPr>
              <w:jc w:val="both"/>
              <w:rPr>
                <w:rFonts w:ascii="Verdana" w:eastAsia="Calibri" w:hAnsi="Verdana" w:cs="Arial"/>
                <w:lang w:val="es-ES_tradnl" w:eastAsia="es-ES_tradnl"/>
              </w:rPr>
            </w:pPr>
            <w:r w:rsidRPr="00E73E5E">
              <w:rPr>
                <w:rFonts w:ascii="Verdana" w:eastAsia="Calibri" w:hAnsi="Verdana" w:cs="Arial"/>
                <w:lang w:val="es-ES_tradnl" w:eastAsia="es-ES_tradnl"/>
              </w:rPr>
              <w:t xml:space="preserve">Respuesta a consulta con radicado No. </w:t>
            </w:r>
          </w:p>
          <w:p w14:paraId="6E080C7F" w14:textId="77777777" w:rsidR="00E73E5E" w:rsidRPr="00E73E5E" w:rsidRDefault="00E73E5E" w:rsidP="00E73E5E">
            <w:pPr>
              <w:jc w:val="both"/>
              <w:rPr>
                <w:rFonts w:ascii="Verdana" w:eastAsia="Calibri" w:hAnsi="Verdana" w:cs="Arial"/>
                <w:lang w:val="es-ES_tradnl" w:eastAsia="es-ES_tradnl"/>
              </w:rPr>
            </w:pPr>
            <w:r w:rsidRPr="00E73E5E">
              <w:rPr>
                <w:rFonts w:ascii="Verdana" w:eastAsia="Calibri" w:hAnsi="Verdana" w:cs="Arial"/>
                <w:lang w:val="es-ES_tradnl" w:eastAsia="es-ES_tradnl"/>
              </w:rPr>
              <w:t>P20241112011337</w:t>
            </w:r>
          </w:p>
          <w:p w14:paraId="45D452F5" w14:textId="77777777" w:rsidR="00E73E5E" w:rsidRPr="00E73E5E" w:rsidRDefault="00E73E5E" w:rsidP="00E73E5E">
            <w:pPr>
              <w:jc w:val="both"/>
              <w:rPr>
                <w:rFonts w:ascii="Verdana" w:eastAsia="Calibri" w:hAnsi="Verdana" w:cs="Arial"/>
                <w:lang w:val="es-ES_tradnl" w:eastAsia="es-ES_tradnl"/>
              </w:rPr>
            </w:pPr>
          </w:p>
          <w:p w14:paraId="7D7F4D5A" w14:textId="77777777" w:rsidR="00E73E5E" w:rsidRPr="00E73E5E" w:rsidRDefault="00E73E5E" w:rsidP="00E73E5E">
            <w:pPr>
              <w:jc w:val="both"/>
              <w:rPr>
                <w:rFonts w:ascii="Verdana" w:eastAsia="Calibri" w:hAnsi="Verdana" w:cs="Arial"/>
                <w:lang w:val="es-ES_tradnl" w:eastAsia="es-ES_tradnl"/>
              </w:rPr>
            </w:pPr>
          </w:p>
        </w:tc>
      </w:tr>
    </w:tbl>
    <w:p w14:paraId="5A89E44C" w14:textId="77777777" w:rsidR="00E73E5E" w:rsidRPr="00E73E5E" w:rsidRDefault="00E73E5E" w:rsidP="00E73E5E">
      <w:pPr>
        <w:spacing w:after="0" w:line="240" w:lineRule="auto"/>
        <w:jc w:val="both"/>
        <w:rPr>
          <w:rFonts w:ascii="Verdana" w:eastAsia="Calibri" w:hAnsi="Verdana" w:cs="Arial"/>
          <w:color w:val="000000"/>
          <w:lang w:val="es-ES_tradnl" w:eastAsia="es-ES_tradnl"/>
        </w:rPr>
      </w:pPr>
    </w:p>
    <w:p w14:paraId="77081D0F" w14:textId="77777777" w:rsidR="00E73E5E" w:rsidRPr="00E73E5E" w:rsidRDefault="00E73E5E" w:rsidP="00E73E5E">
      <w:pPr>
        <w:spacing w:after="0" w:line="276" w:lineRule="auto"/>
        <w:jc w:val="both"/>
        <w:rPr>
          <w:rFonts w:ascii="Verdana" w:eastAsia="Calibri" w:hAnsi="Verdana" w:cs="Arial"/>
          <w:color w:val="000000"/>
          <w:lang w:val="es-ES" w:eastAsia="es-ES"/>
        </w:rPr>
      </w:pPr>
      <w:r w:rsidRPr="00E73E5E">
        <w:rPr>
          <w:rFonts w:ascii="Verdana" w:eastAsia="Calibri" w:hAnsi="Verdana" w:cs="Arial"/>
          <w:color w:val="000000"/>
          <w:lang w:val="es-ES" w:eastAsia="es-ES"/>
        </w:rPr>
        <w:t xml:space="preserve">Estimada </w:t>
      </w:r>
      <w:r w:rsidRPr="00E73E5E">
        <w:rPr>
          <w:rFonts w:ascii="Verdana" w:eastAsia="Calibri" w:hAnsi="Verdana" w:cs="Arial"/>
          <w:lang w:val="es-ES" w:eastAsia="es-ES"/>
        </w:rPr>
        <w:t xml:space="preserve">señora Camacho: </w:t>
      </w:r>
    </w:p>
    <w:p w14:paraId="0D4FC668" w14:textId="77777777" w:rsidR="00E73E5E" w:rsidRPr="00E73E5E" w:rsidRDefault="00E73E5E" w:rsidP="00E73E5E">
      <w:pPr>
        <w:tabs>
          <w:tab w:val="left" w:pos="3768"/>
        </w:tabs>
        <w:spacing w:after="0" w:line="276" w:lineRule="auto"/>
        <w:jc w:val="both"/>
        <w:rPr>
          <w:rFonts w:ascii="Verdana" w:eastAsia="Calibri" w:hAnsi="Verdana" w:cs="Arial"/>
          <w:color w:val="000000"/>
          <w:lang w:val="es-ES" w:eastAsia="es-ES"/>
        </w:rPr>
      </w:pPr>
      <w:r w:rsidRPr="00E73E5E">
        <w:rPr>
          <w:rFonts w:ascii="Verdana" w:eastAsia="Calibri" w:hAnsi="Verdana" w:cs="Arial"/>
          <w:color w:val="000000"/>
          <w:lang w:val="es-ES" w:eastAsia="es-ES"/>
        </w:rPr>
        <w:tab/>
      </w:r>
    </w:p>
    <w:p w14:paraId="487B444B" w14:textId="77777777" w:rsidR="00E73E5E" w:rsidRPr="00E73E5E" w:rsidRDefault="00E73E5E" w:rsidP="00E73E5E">
      <w:pPr>
        <w:spacing w:after="0" w:line="276" w:lineRule="auto"/>
        <w:jc w:val="both"/>
        <w:rPr>
          <w:rFonts w:ascii="Verdana" w:eastAsia="Calibri" w:hAnsi="Verdana" w:cs="Arial"/>
          <w:lang w:val="es-ES" w:eastAsia="es-ES"/>
        </w:rPr>
      </w:pPr>
      <w:r w:rsidRPr="00E73E5E">
        <w:rPr>
          <w:rFonts w:ascii="Verdana" w:eastAsia="Calibri" w:hAnsi="Verdana" w:cs="Arial"/>
          <w:color w:val="000000"/>
          <w:lang w:val="es-ES" w:eastAsia="es-ES"/>
        </w:rPr>
        <w:t>En ejercicio de la competencia otorgada por los artículos 3, numeral 5º, y 11, numeral 8º, del Decreto Ley 4170 de 2011,</w:t>
      </w:r>
      <w:r w:rsidRPr="00E73E5E">
        <w:rPr>
          <w:rFonts w:ascii="Verdana" w:eastAsia="Arial MT" w:hAnsi="Verdana" w:cs="Arial MT"/>
          <w:lang w:val="es-ES" w:eastAsia="es-ES"/>
        </w:rPr>
        <w:t xml:space="preserve"> </w:t>
      </w:r>
      <w:r w:rsidRPr="00E73E5E">
        <w:rPr>
          <w:rFonts w:ascii="Verdana" w:eastAsia="Calibri" w:hAnsi="Verdana" w:cs="Arial"/>
        </w:rPr>
        <w:t xml:space="preserve">así como lo establecido en el artículo 4 de la Resolución 1707 de 2018 expedida por esta Entidad, </w:t>
      </w:r>
      <w:r w:rsidRPr="00E73E5E">
        <w:rPr>
          <w:rFonts w:ascii="Verdana" w:eastAsia="Calibri" w:hAnsi="Verdana" w:cs="Arial"/>
          <w:color w:val="000000"/>
          <w:lang w:val="es-ES" w:eastAsia="es-ES"/>
        </w:rPr>
        <w:t xml:space="preserve">la Agencia Nacional de Contratación Pública – Colombia Compra Eficiente– responde su solicitud de </w:t>
      </w:r>
      <w:r w:rsidRPr="00E73E5E">
        <w:rPr>
          <w:rFonts w:ascii="Verdana" w:eastAsia="Calibri" w:hAnsi="Verdana" w:cs="Arial"/>
          <w:lang w:val="es-ES" w:eastAsia="es-ES"/>
        </w:rPr>
        <w:t xml:space="preserve">consulta de fecha 12 de noviembre de 2024, en la cual manifiesta lo siguiente: </w:t>
      </w:r>
    </w:p>
    <w:p w14:paraId="3BF7DA25" w14:textId="77777777" w:rsidR="00E73E5E" w:rsidRPr="00E73E5E" w:rsidRDefault="00E73E5E" w:rsidP="00E73E5E">
      <w:pPr>
        <w:spacing w:after="0" w:line="276" w:lineRule="auto"/>
        <w:jc w:val="both"/>
        <w:rPr>
          <w:rFonts w:ascii="Verdana" w:eastAsia="Calibri" w:hAnsi="Verdana" w:cs="Arial"/>
          <w:color w:val="7030A0"/>
          <w:lang w:val="es-ES" w:eastAsia="es-ES"/>
        </w:rPr>
      </w:pPr>
    </w:p>
    <w:p w14:paraId="2E78A2AC" w14:textId="77777777" w:rsidR="00E73E5E" w:rsidRPr="00E73E5E" w:rsidRDefault="00E73E5E" w:rsidP="00E73E5E">
      <w:pPr>
        <w:spacing w:after="0" w:line="240" w:lineRule="auto"/>
        <w:ind w:left="709" w:right="709"/>
        <w:jc w:val="both"/>
        <w:textAlignment w:val="baseline"/>
        <w:rPr>
          <w:rFonts w:ascii="Verdana" w:eastAsia="Calibri" w:hAnsi="Verdana" w:cs="Arial"/>
          <w:i/>
          <w:iCs/>
          <w:sz w:val="20"/>
          <w:szCs w:val="20"/>
          <w:shd w:val="clear" w:color="auto" w:fill="FFFFFF"/>
        </w:rPr>
      </w:pPr>
      <w:r w:rsidRPr="00E73E5E">
        <w:rPr>
          <w:rFonts w:ascii="Verdana" w:eastAsia="Calibri" w:hAnsi="Verdana" w:cs="Arial"/>
          <w:i/>
          <w:iCs/>
          <w:sz w:val="20"/>
          <w:szCs w:val="20"/>
          <w:shd w:val="clear" w:color="auto" w:fill="FFFFFF"/>
        </w:rPr>
        <w:lastRenderedPageBreak/>
        <w:t>“1</w:t>
      </w:r>
      <w:r w:rsidRPr="00E73E5E">
        <w:rPr>
          <w:rFonts w:ascii="Calibri" w:eastAsia="Calibri" w:hAnsi="Calibri"/>
        </w:rPr>
        <w:t xml:space="preserve"> </w:t>
      </w:r>
      <w:r w:rsidRPr="00E73E5E">
        <w:rPr>
          <w:rFonts w:ascii="Verdana" w:eastAsia="Calibri" w:hAnsi="Verdana" w:cs="Arial"/>
          <w:i/>
          <w:iCs/>
          <w:sz w:val="20"/>
          <w:szCs w:val="20"/>
          <w:shd w:val="clear" w:color="auto" w:fill="FFFFFF"/>
        </w:rPr>
        <w:t xml:space="preserve">Si se tiene 10 semestres aprobados, se puede, para un contrato de prestación de servicios, convalidar la experiencia para que se contrate como profesional? o solo se aplica como </w:t>
      </w:r>
      <w:proofErr w:type="gramStart"/>
      <w:r w:rsidRPr="00E73E5E">
        <w:rPr>
          <w:rFonts w:ascii="Verdana" w:eastAsia="Calibri" w:hAnsi="Verdana" w:cs="Arial"/>
          <w:i/>
          <w:iCs/>
          <w:sz w:val="20"/>
          <w:szCs w:val="20"/>
          <w:shd w:val="clear" w:color="auto" w:fill="FFFFFF"/>
        </w:rPr>
        <w:t>tecnólogo?.</w:t>
      </w:r>
      <w:proofErr w:type="gramEnd"/>
      <w:r w:rsidRPr="00E73E5E">
        <w:rPr>
          <w:rFonts w:ascii="Verdana" w:eastAsia="Calibri" w:hAnsi="Verdana" w:cs="Arial"/>
          <w:i/>
          <w:iCs/>
          <w:sz w:val="20"/>
          <w:szCs w:val="20"/>
          <w:shd w:val="clear" w:color="auto" w:fill="FFFFFF"/>
        </w:rPr>
        <w:t>”</w:t>
      </w:r>
    </w:p>
    <w:p w14:paraId="6505632B" w14:textId="77777777" w:rsidR="00E73E5E" w:rsidRPr="00E73E5E" w:rsidRDefault="00E73E5E" w:rsidP="00E73E5E">
      <w:pPr>
        <w:spacing w:after="0" w:line="240" w:lineRule="auto"/>
        <w:ind w:left="709" w:right="709"/>
        <w:jc w:val="both"/>
        <w:textAlignment w:val="baseline"/>
        <w:rPr>
          <w:rFonts w:ascii="Verdana" w:eastAsia="Calibri" w:hAnsi="Verdana" w:cs="Arial"/>
          <w:i/>
          <w:iCs/>
          <w:sz w:val="20"/>
          <w:szCs w:val="20"/>
          <w:shd w:val="clear" w:color="auto" w:fill="FFFFFF"/>
        </w:rPr>
      </w:pPr>
    </w:p>
    <w:p w14:paraId="1ABA5BCA" w14:textId="77777777" w:rsidR="00E73E5E" w:rsidRPr="00E73E5E" w:rsidRDefault="00E73E5E" w:rsidP="00E73E5E">
      <w:pPr>
        <w:spacing w:after="120" w:line="276" w:lineRule="auto"/>
        <w:ind w:firstLine="709"/>
        <w:jc w:val="both"/>
        <w:rPr>
          <w:rFonts w:ascii="Verdana" w:eastAsia="Calibri" w:hAnsi="Verdana" w:cs="Arial"/>
          <w:color w:val="000000"/>
          <w:szCs w:val="24"/>
          <w:lang w:val="es-ES_tradnl" w:eastAsia="es-ES_tradnl"/>
        </w:rPr>
      </w:pPr>
      <w:r w:rsidRPr="00E73E5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73E5E">
        <w:rPr>
          <w:rFonts w:ascii="Verdana" w:eastAsia="Calibri" w:hAnsi="Verdana" w:cs="Arial"/>
          <w:color w:val="000000"/>
          <w:szCs w:val="24"/>
          <w:lang w:val="es-ES_tradnl" w:eastAsia="es-ES_tradnl"/>
        </w:rPr>
        <w:tab/>
      </w:r>
    </w:p>
    <w:p w14:paraId="7A600ED3" w14:textId="77777777" w:rsidR="00E73E5E" w:rsidRPr="00E73E5E" w:rsidRDefault="00E73E5E" w:rsidP="00E73E5E">
      <w:pPr>
        <w:spacing w:after="0" w:line="276" w:lineRule="auto"/>
        <w:ind w:firstLine="709"/>
        <w:jc w:val="both"/>
        <w:rPr>
          <w:rFonts w:ascii="Verdana" w:eastAsia="Calibri" w:hAnsi="Verdana" w:cs="Arial"/>
          <w:lang w:val="es-ES" w:eastAsia="es-ES"/>
        </w:rPr>
      </w:pPr>
      <w:r w:rsidRPr="00E73E5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5225A891" w14:textId="77777777" w:rsidR="00E73E5E" w:rsidRPr="00E73E5E" w:rsidRDefault="00E73E5E" w:rsidP="00E73E5E">
      <w:pPr>
        <w:spacing w:after="0" w:line="276" w:lineRule="auto"/>
        <w:ind w:firstLine="709"/>
        <w:jc w:val="both"/>
        <w:rPr>
          <w:rFonts w:ascii="Verdana" w:eastAsia="Calibri" w:hAnsi="Verdana" w:cs="Arial"/>
          <w:color w:val="000000"/>
          <w:lang w:val="es-ES" w:eastAsia="es-ES"/>
        </w:rPr>
      </w:pPr>
    </w:p>
    <w:p w14:paraId="09C09C85" w14:textId="77777777" w:rsidR="00E73E5E" w:rsidRPr="00E73E5E" w:rsidRDefault="00E73E5E" w:rsidP="00E73E5E">
      <w:pPr>
        <w:numPr>
          <w:ilvl w:val="0"/>
          <w:numId w:val="14"/>
        </w:numPr>
        <w:tabs>
          <w:tab w:val="left" w:pos="142"/>
          <w:tab w:val="left" w:pos="284"/>
        </w:tabs>
        <w:spacing w:after="0" w:line="276" w:lineRule="auto"/>
        <w:ind w:left="0" w:firstLine="0"/>
        <w:contextualSpacing/>
        <w:jc w:val="both"/>
        <w:rPr>
          <w:rFonts w:ascii="Verdana" w:eastAsia="Century Gothic" w:hAnsi="Verdana" w:cs="Century Gothic"/>
          <w:b/>
          <w:bCs/>
          <w:kern w:val="2"/>
          <w:lang w:val="es-ES"/>
          <w14:ligatures w14:val="standardContextual"/>
        </w:rPr>
      </w:pPr>
      <w:r w:rsidRPr="00E73E5E">
        <w:rPr>
          <w:rFonts w:ascii="Verdana" w:eastAsia="Century Gothic" w:hAnsi="Verdana" w:cs="Century Gothic"/>
          <w:b/>
          <w:bCs/>
          <w:kern w:val="2"/>
          <w:lang w:val="es-ES"/>
          <w14:ligatures w14:val="standardContextual"/>
        </w:rPr>
        <w:t>Problema planteado:</w:t>
      </w:r>
    </w:p>
    <w:p w14:paraId="3D4145A0" w14:textId="77777777" w:rsidR="00E73E5E" w:rsidRPr="00E73E5E" w:rsidRDefault="00E73E5E" w:rsidP="00E73E5E">
      <w:pPr>
        <w:tabs>
          <w:tab w:val="left" w:pos="426"/>
        </w:tabs>
        <w:spacing w:after="0" w:line="276" w:lineRule="auto"/>
        <w:jc w:val="both"/>
        <w:rPr>
          <w:rFonts w:ascii="Verdana" w:eastAsia="Century Gothic" w:hAnsi="Verdana" w:cs="Century Gothic"/>
          <w:lang w:val="es-ES"/>
        </w:rPr>
      </w:pPr>
    </w:p>
    <w:p w14:paraId="0C18E485" w14:textId="77777777" w:rsidR="00E73E5E" w:rsidRPr="00E73E5E" w:rsidRDefault="00E73E5E" w:rsidP="00E73E5E">
      <w:pPr>
        <w:spacing w:after="0" w:line="276" w:lineRule="auto"/>
        <w:jc w:val="both"/>
        <w:rPr>
          <w:rFonts w:ascii="Verdana" w:eastAsia="Century Gothic" w:hAnsi="Verdana" w:cs="Century Gothic"/>
          <w:i/>
          <w:iCs/>
        </w:rPr>
      </w:pPr>
      <w:r w:rsidRPr="00E73E5E">
        <w:rPr>
          <w:rFonts w:ascii="Verdana" w:eastAsia="Century Gothic" w:hAnsi="Verdana" w:cs="Century Gothic"/>
        </w:rPr>
        <w:t>De acuerdo con el contenido de su solicitud, esta Agencia resolverá el siguiente problema jurídico:</w:t>
      </w:r>
      <w:r w:rsidRPr="00E73E5E">
        <w:rPr>
          <w:rFonts w:ascii="Verdana" w:eastAsia="Century Gothic" w:hAnsi="Verdana" w:cs="Century Gothic"/>
          <w:i/>
          <w:iCs/>
        </w:rPr>
        <w:t xml:space="preserve"> </w:t>
      </w:r>
    </w:p>
    <w:p w14:paraId="32036A2E" w14:textId="77777777" w:rsidR="00E73E5E" w:rsidRPr="00E73E5E" w:rsidRDefault="00E73E5E" w:rsidP="00E73E5E">
      <w:pPr>
        <w:spacing w:after="0" w:line="276" w:lineRule="auto"/>
        <w:jc w:val="both"/>
        <w:rPr>
          <w:rFonts w:ascii="Verdana" w:eastAsia="Century Gothic" w:hAnsi="Verdana" w:cs="Century Gothic"/>
          <w:i/>
          <w:iCs/>
        </w:rPr>
      </w:pPr>
    </w:p>
    <w:p w14:paraId="480D3277" w14:textId="77777777" w:rsidR="00E73E5E" w:rsidRPr="00E73E5E" w:rsidRDefault="00E73E5E" w:rsidP="00E73E5E">
      <w:pPr>
        <w:spacing w:line="256" w:lineRule="auto"/>
        <w:jc w:val="both"/>
        <w:rPr>
          <w:rFonts w:ascii="Verdana" w:eastAsia="Calibri" w:hAnsi="Verdana"/>
        </w:rPr>
      </w:pPr>
      <w:r w:rsidRPr="00E73E5E">
        <w:rPr>
          <w:rFonts w:ascii="Verdana" w:eastAsia="Calibri" w:hAnsi="Verdana"/>
        </w:rPr>
        <w:t>¿Puede una persona que no posee un título profesional, pero tiene experiencia celebrar un contrato de prestación de servicios con una entidad estatal como profesional o tecnólogo validando su experiencia?</w:t>
      </w:r>
    </w:p>
    <w:p w14:paraId="3D55CB35" w14:textId="77777777" w:rsidR="00E73E5E" w:rsidRPr="00E73E5E" w:rsidRDefault="00E73E5E" w:rsidP="00E73E5E">
      <w:pPr>
        <w:spacing w:after="0" w:line="276" w:lineRule="auto"/>
        <w:jc w:val="both"/>
        <w:rPr>
          <w:rFonts w:ascii="Verdana" w:eastAsia="Calibri" w:hAnsi="Verdana" w:cs="Arial"/>
          <w:color w:val="7030A0"/>
        </w:rPr>
      </w:pPr>
    </w:p>
    <w:p w14:paraId="1F619123" w14:textId="77777777" w:rsidR="00E73E5E" w:rsidRPr="00E73E5E" w:rsidRDefault="00E73E5E" w:rsidP="00E73E5E">
      <w:pPr>
        <w:numPr>
          <w:ilvl w:val="0"/>
          <w:numId w:val="14"/>
        </w:numPr>
        <w:tabs>
          <w:tab w:val="left" w:pos="142"/>
          <w:tab w:val="left" w:pos="284"/>
        </w:tabs>
        <w:spacing w:after="0" w:line="276" w:lineRule="auto"/>
        <w:ind w:left="0" w:firstLine="0"/>
        <w:contextualSpacing/>
        <w:jc w:val="both"/>
        <w:rPr>
          <w:rFonts w:ascii="Verdana" w:eastAsia="Century Gothic" w:hAnsi="Verdana" w:cs="Century Gothic"/>
          <w:b/>
          <w:bCs/>
          <w:kern w:val="2"/>
          <w:lang w:val="es-ES"/>
          <w14:ligatures w14:val="standardContextual"/>
        </w:rPr>
      </w:pPr>
      <w:r w:rsidRPr="00E73E5E">
        <w:rPr>
          <w:rFonts w:ascii="Verdana" w:eastAsia="Century Gothic" w:hAnsi="Verdana" w:cs="Century Gothic"/>
          <w:b/>
          <w:bCs/>
          <w:kern w:val="2"/>
          <w:lang w:val="es-ES"/>
          <w14:ligatures w14:val="standardContextual"/>
        </w:rPr>
        <w:t>Respuesta:</w:t>
      </w:r>
    </w:p>
    <w:p w14:paraId="7D09C03B" w14:textId="77777777" w:rsidR="00E73E5E" w:rsidRPr="00E73E5E" w:rsidRDefault="00E73E5E" w:rsidP="00E73E5E">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73E5E" w:rsidRPr="00E73E5E" w14:paraId="04424F77" w14:textId="77777777" w:rsidTr="00E73E5E">
        <w:tc>
          <w:tcPr>
            <w:tcW w:w="8828" w:type="dxa"/>
            <w:tcBorders>
              <w:top w:val="dotted" w:sz="4" w:space="0" w:color="auto"/>
              <w:left w:val="dotted" w:sz="4" w:space="0" w:color="auto"/>
              <w:bottom w:val="dotted" w:sz="4" w:space="0" w:color="auto"/>
              <w:right w:val="dotted" w:sz="4" w:space="0" w:color="auto"/>
            </w:tcBorders>
            <w:hideMark/>
          </w:tcPr>
          <w:p w14:paraId="7A209370" w14:textId="77777777" w:rsidR="00E73E5E" w:rsidRPr="00E73E5E" w:rsidRDefault="00E73E5E" w:rsidP="00E73E5E">
            <w:pPr>
              <w:spacing w:line="256" w:lineRule="auto"/>
              <w:jc w:val="both"/>
              <w:rPr>
                <w:rFonts w:ascii="Verdana" w:eastAsia="Calibri" w:hAnsi="Verdana"/>
              </w:rPr>
            </w:pPr>
            <w:r w:rsidRPr="00E73E5E">
              <w:rPr>
                <w:rFonts w:ascii="Verdana" w:eastAsia="Calibri" w:hAnsi="Verdana"/>
              </w:rPr>
              <w:t xml:space="preserve">En el contexto de la contratación pública en Colombia, las entidades estatales tienen autonomía para definir los criterios técnicos y de experiencia necesarios </w:t>
            </w:r>
            <w:r w:rsidRPr="00E73E5E">
              <w:rPr>
                <w:rFonts w:ascii="Verdana" w:eastAsia="Calibri" w:hAnsi="Verdana"/>
              </w:rPr>
              <w:lastRenderedPageBreak/>
              <w:t>para la contratación, según la Ley 80 de 1993 y el Decreto 1082 de 2015. Esta autonomía se refleja en la capacidad de las entidades para determinar los requisitos de idoneidad, experiencia y competencia en sus estudios previos, con el objetivo de garantizar que el contratista sea capaz de ejecutar adecuadamente el objeto del contrato.</w:t>
            </w:r>
          </w:p>
          <w:p w14:paraId="4EC52134" w14:textId="77777777" w:rsidR="00E73E5E" w:rsidRPr="00E73E5E" w:rsidRDefault="00E73E5E" w:rsidP="00E73E5E">
            <w:pPr>
              <w:spacing w:line="256" w:lineRule="auto"/>
              <w:ind w:firstLine="709"/>
              <w:jc w:val="both"/>
              <w:rPr>
                <w:rFonts w:ascii="Verdana" w:eastAsia="Calibri" w:hAnsi="Verdana"/>
              </w:rPr>
            </w:pPr>
            <w:r w:rsidRPr="00E73E5E">
              <w:rPr>
                <w:rFonts w:ascii="Verdana" w:eastAsia="Calibri" w:hAnsi="Verdana"/>
              </w:rPr>
              <w:t>La "Guía para la Elaboración de Estudios del Sector" de Colombia Compra Eficiente establece que, al celebrar un contrato de prestación de servicios, el estudio del sector debe evaluar las condiciones de idoneidad y/o experiencia que determinan la capacidad del contratista. En este marco, las entidades pueden decidir si se requiere una formación académica formal, como un título profesional o tecnólogo, o si la experiencia y competencias prácticas son suficientes para cumplir con los requisitos del contrato.</w:t>
            </w:r>
          </w:p>
          <w:p w14:paraId="7B97A8EB" w14:textId="77777777" w:rsidR="00E73E5E" w:rsidRPr="00E73E5E" w:rsidRDefault="00E73E5E" w:rsidP="00E73E5E">
            <w:pPr>
              <w:spacing w:line="256" w:lineRule="auto"/>
              <w:ind w:firstLine="709"/>
              <w:jc w:val="both"/>
              <w:rPr>
                <w:rFonts w:ascii="Verdana" w:eastAsia="Calibri" w:hAnsi="Verdana"/>
              </w:rPr>
            </w:pPr>
            <w:r w:rsidRPr="00E73E5E">
              <w:rPr>
                <w:rFonts w:ascii="Verdana" w:eastAsia="Calibri" w:hAnsi="Verdana"/>
              </w:rPr>
              <w:t>El Decreto 1082 de 2015, en su artículo 2.2.1.2.1.5, subraya que la contratación debe basarse en los principios de idoneidad, experiencia, capacidad y competencia. Si el contrato es de prestación de servicios profesionales, se entenderá que debe contar con un título académico formal. Sin embargo, las entidades tienen la posibilidad de evaluar si la experiencia práctica puede suplir la falta de un título formal, siempre que esta experiencia sea suficiente para cumplir con las necesidades del contrato, lo cual derivará en otro tipo de contrato de prestación de servicios como el de apoyo a la gestión, ya que si no se cuenta con título profesional no se puede celebrar la tipología de contrato de prestación de servicios que se denomina “profesional”, pero si se puede celebrar el tipo de contrato de prestación de servicios de apoyo a la gestión.</w:t>
            </w:r>
          </w:p>
          <w:p w14:paraId="04384832" w14:textId="77777777" w:rsidR="00E73E5E" w:rsidRPr="00E73E5E" w:rsidRDefault="00E73E5E" w:rsidP="00E73E5E">
            <w:pPr>
              <w:spacing w:line="256" w:lineRule="auto"/>
              <w:ind w:firstLine="709"/>
              <w:jc w:val="both"/>
              <w:rPr>
                <w:rFonts w:ascii="Verdana" w:eastAsia="Calibri" w:hAnsi="Verdana"/>
              </w:rPr>
            </w:pPr>
            <w:r w:rsidRPr="00E73E5E">
              <w:rPr>
                <w:rFonts w:ascii="Verdana" w:eastAsia="Calibri" w:hAnsi="Verdana"/>
              </w:rPr>
              <w:t>Es importante señalar que no existe una equivalencia formalmente regulada entre experiencia y estudios en la contratación pública, especialmente cuando se trata de profesiones reguladas que requieren un título específico. A pesar de esto, las entidades pueden decidir, a través de su estudio previo, si los requisitos de idoneidad y experiencia pueden ser cubiertos por una persona sin título formal, siempre que tenga las competencias necesarias para ejecutar el servicio de manera adecuada.</w:t>
            </w:r>
          </w:p>
          <w:p w14:paraId="7E364D59" w14:textId="77777777" w:rsidR="00E73E5E" w:rsidRPr="00E73E5E" w:rsidRDefault="00E73E5E" w:rsidP="00E73E5E">
            <w:pPr>
              <w:spacing w:line="256" w:lineRule="auto"/>
              <w:ind w:firstLine="709"/>
              <w:jc w:val="both"/>
              <w:rPr>
                <w:rFonts w:ascii="Verdana" w:eastAsia="Calibri" w:hAnsi="Verdana"/>
              </w:rPr>
            </w:pPr>
            <w:r w:rsidRPr="00E73E5E">
              <w:rPr>
                <w:rFonts w:ascii="Verdana" w:eastAsia="Calibri" w:hAnsi="Verdana"/>
              </w:rPr>
              <w:t>En conclusión, aunque las entidades estatales pueden considerar la experiencia práctica, si el contrato exige un título profesional o tecnólogo, la persona sin este título no podrá ser considerada, salvo que la entidad, a través del estudio previo, determine que la experiencia es suficiente para garantizar la correcta ejecución del contrato.</w:t>
            </w:r>
          </w:p>
        </w:tc>
      </w:tr>
    </w:tbl>
    <w:p w14:paraId="7EEF2CB8" w14:textId="77777777" w:rsidR="00E73E5E" w:rsidRPr="00E73E5E" w:rsidRDefault="00E73E5E" w:rsidP="00E73E5E">
      <w:pPr>
        <w:tabs>
          <w:tab w:val="left" w:pos="142"/>
          <w:tab w:val="left" w:pos="284"/>
        </w:tabs>
        <w:spacing w:after="0" w:line="276" w:lineRule="auto"/>
        <w:jc w:val="both"/>
        <w:rPr>
          <w:rFonts w:ascii="Verdana" w:eastAsia="Century Gothic" w:hAnsi="Verdana" w:cs="Century Gothic"/>
          <w:b/>
          <w:bCs/>
          <w:lang w:val="es-ES"/>
        </w:rPr>
      </w:pPr>
    </w:p>
    <w:p w14:paraId="38937A4B" w14:textId="77777777" w:rsidR="00E73E5E" w:rsidRPr="00E73E5E" w:rsidRDefault="00E73E5E" w:rsidP="00E73E5E">
      <w:pPr>
        <w:numPr>
          <w:ilvl w:val="0"/>
          <w:numId w:val="14"/>
        </w:numPr>
        <w:tabs>
          <w:tab w:val="left" w:pos="142"/>
          <w:tab w:val="left" w:pos="284"/>
        </w:tabs>
        <w:spacing w:after="0" w:line="276" w:lineRule="auto"/>
        <w:ind w:left="0" w:firstLine="0"/>
        <w:contextualSpacing/>
        <w:jc w:val="both"/>
        <w:rPr>
          <w:rFonts w:ascii="Verdana" w:eastAsia="Century Gothic" w:hAnsi="Verdana" w:cs="Century Gothic"/>
          <w:b/>
          <w:bCs/>
          <w:kern w:val="2"/>
          <w:lang w:val="es-ES"/>
          <w14:ligatures w14:val="standardContextual"/>
        </w:rPr>
      </w:pPr>
      <w:r w:rsidRPr="00E73E5E">
        <w:rPr>
          <w:rFonts w:ascii="Verdana" w:eastAsia="Century Gothic" w:hAnsi="Verdana" w:cs="Century Gothic"/>
          <w:b/>
          <w:bCs/>
          <w:kern w:val="2"/>
          <w:lang w:val="es-ES"/>
          <w14:ligatures w14:val="standardContextual"/>
        </w:rPr>
        <w:t>Razones de la respuesta:</w:t>
      </w:r>
    </w:p>
    <w:p w14:paraId="0CC75502" w14:textId="77777777" w:rsidR="00E73E5E" w:rsidRPr="00E73E5E" w:rsidRDefault="00E73E5E" w:rsidP="00E73E5E">
      <w:pPr>
        <w:spacing w:after="0" w:line="276" w:lineRule="auto"/>
        <w:jc w:val="both"/>
        <w:rPr>
          <w:rFonts w:ascii="Verdana" w:eastAsia="Calibri" w:hAnsi="Verdana" w:cs="Arial"/>
          <w:lang w:val="es-ES"/>
        </w:rPr>
      </w:pPr>
    </w:p>
    <w:p w14:paraId="5614E553" w14:textId="77777777" w:rsidR="00E73E5E" w:rsidRPr="00E73E5E" w:rsidRDefault="00E73E5E" w:rsidP="00E73E5E">
      <w:pPr>
        <w:spacing w:after="0" w:line="276" w:lineRule="auto"/>
        <w:jc w:val="both"/>
        <w:rPr>
          <w:rFonts w:ascii="Verdana" w:eastAsia="Calibri" w:hAnsi="Verdana" w:cs="Arial"/>
          <w:lang w:val="es-ES"/>
        </w:rPr>
      </w:pPr>
      <w:r w:rsidRPr="00E73E5E">
        <w:rPr>
          <w:rFonts w:ascii="Verdana" w:eastAsia="Calibri" w:hAnsi="Verdana" w:cs="Arial"/>
          <w:lang w:val="es-ES"/>
        </w:rPr>
        <w:t xml:space="preserve">Lo anterior se sustenta en las siguientes consideraciones: </w:t>
      </w:r>
    </w:p>
    <w:p w14:paraId="7AAE7272" w14:textId="77777777" w:rsidR="00E73E5E" w:rsidRPr="00E73E5E" w:rsidRDefault="00E73E5E" w:rsidP="00E73E5E">
      <w:pPr>
        <w:spacing w:after="0" w:line="276" w:lineRule="auto"/>
        <w:jc w:val="both"/>
        <w:rPr>
          <w:rFonts w:ascii="Verdana" w:eastAsia="Calibri" w:hAnsi="Verdana" w:cs="Arial"/>
          <w:lang w:val="es-ES"/>
        </w:rPr>
      </w:pPr>
    </w:p>
    <w:p w14:paraId="116982B1" w14:textId="77777777" w:rsidR="00E73E5E" w:rsidRPr="00E73E5E" w:rsidRDefault="00E73E5E" w:rsidP="00E73E5E">
      <w:pPr>
        <w:numPr>
          <w:ilvl w:val="0"/>
          <w:numId w:val="15"/>
        </w:numPr>
        <w:spacing w:line="276" w:lineRule="auto"/>
        <w:contextualSpacing/>
        <w:jc w:val="both"/>
        <w:rPr>
          <w:rFonts w:ascii="Verdana" w:eastAsia="Calibri" w:hAnsi="Verdana" w:cs="Arial"/>
          <w:lang w:val="es-ES_tradnl" w:eastAsia="es-MX"/>
        </w:rPr>
      </w:pPr>
      <w:bookmarkStart w:id="0" w:name="_Hlk54011258"/>
      <w:r w:rsidRPr="00E73E5E">
        <w:rPr>
          <w:rFonts w:ascii="Verdana" w:eastAsia="Calibri" w:hAnsi="Verdana" w:cs="Arial"/>
          <w:bCs/>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0"/>
      <w:r w:rsidRPr="00E73E5E">
        <w:rPr>
          <w:rFonts w:ascii="Verdana" w:eastAsia="Calibri" w:hAnsi="Verdana" w:cs="Arial"/>
          <w:bCs/>
          <w:lang w:val="es-ES_tradnl" w:eastAsia="es-MX"/>
        </w:rPr>
        <w:t>.</w:t>
      </w:r>
    </w:p>
    <w:p w14:paraId="17C77CC5" w14:textId="77777777" w:rsidR="00E73E5E" w:rsidRPr="00E73E5E" w:rsidRDefault="00E73E5E" w:rsidP="00E73E5E">
      <w:pPr>
        <w:spacing w:after="0" w:line="276" w:lineRule="auto"/>
        <w:ind w:left="720"/>
        <w:contextualSpacing/>
        <w:jc w:val="both"/>
        <w:rPr>
          <w:rFonts w:ascii="Verdana" w:eastAsia="Calibri" w:hAnsi="Verdana" w:cs="Arial"/>
          <w:lang w:val="es-ES_tradnl" w:eastAsia="es-MX"/>
        </w:rPr>
      </w:pPr>
    </w:p>
    <w:p w14:paraId="5B0A5B72" w14:textId="77777777" w:rsidR="00E73E5E" w:rsidRPr="00E73E5E" w:rsidRDefault="00E73E5E" w:rsidP="00E73E5E">
      <w:pPr>
        <w:numPr>
          <w:ilvl w:val="0"/>
          <w:numId w:val="15"/>
        </w:numPr>
        <w:spacing w:line="276" w:lineRule="auto"/>
        <w:contextualSpacing/>
        <w:jc w:val="both"/>
        <w:rPr>
          <w:rFonts w:ascii="Verdana" w:eastAsia="Calibri" w:hAnsi="Verdana" w:cs="Arial"/>
          <w:bCs/>
          <w:lang w:val="es-ES" w:eastAsia="es-ES_tradnl"/>
        </w:rPr>
      </w:pPr>
      <w:r w:rsidRPr="00E73E5E">
        <w:rPr>
          <w:rFonts w:ascii="Verdana" w:eastAsia="Calibri" w:hAnsi="Verdana" w:cs="Arial"/>
          <w:bCs/>
          <w:lang w:val="es-MX" w:eastAsia="es-ES_tradnl"/>
        </w:rPr>
        <w:t xml:space="preserve">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esto se tienen, por ejemplo, las siguientes reglas derivadas de la aplicación del principio de economía previsto en el artículo 25 de la Ley 80 de 1993: </w:t>
      </w:r>
    </w:p>
    <w:p w14:paraId="37630200" w14:textId="77777777" w:rsidR="00E73E5E" w:rsidRPr="00E73E5E" w:rsidRDefault="00E73E5E" w:rsidP="00E73E5E">
      <w:pPr>
        <w:spacing w:after="0" w:line="276" w:lineRule="auto"/>
        <w:ind w:firstLine="709"/>
        <w:jc w:val="both"/>
        <w:rPr>
          <w:rFonts w:ascii="Verdana" w:eastAsia="Calibri" w:hAnsi="Verdana" w:cs="Arial"/>
          <w:bCs/>
          <w:lang w:val="es-ES" w:eastAsia="es-ES_tradnl"/>
        </w:rPr>
      </w:pPr>
    </w:p>
    <w:p w14:paraId="6C508ED1"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MX" w:eastAsia="es-ES_tradnl"/>
        </w:rPr>
        <w:t>“7°. La conveniencia o inconveniencia del objeto a contratar y las autorizaciones y aprobaciones para ello, se analizarán o impartirán con antelación al inicio del proceso de selección del contratista o al de la firma del contrato, según el caso.</w:t>
      </w:r>
    </w:p>
    <w:p w14:paraId="6983D971"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MX" w:eastAsia="es-ES_tradnl"/>
        </w:rPr>
      </w:pPr>
    </w:p>
    <w:p w14:paraId="0239A516"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MX" w:eastAsia="es-ES_tradnl"/>
        </w:rPr>
        <w:t>[…]</w:t>
      </w:r>
    </w:p>
    <w:p w14:paraId="787EF915"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MX" w:eastAsia="es-ES_tradnl"/>
        </w:rPr>
      </w:pPr>
    </w:p>
    <w:p w14:paraId="3A268E65"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MX" w:eastAsia="es-ES_tradnl"/>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74319B85"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MX" w:eastAsia="es-ES_tradnl"/>
        </w:rPr>
      </w:pPr>
    </w:p>
    <w:p w14:paraId="2E282D8F"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MX" w:eastAsia="es-ES_tradnl"/>
        </w:rPr>
        <w:t xml:space="preserve">Cuando el objeto de la contratación incluya la realización de una obra, en la misma oportunidad señalada en el inciso primero, la entidad contratante deberá contar con los estudios y diseños que permitan </w:t>
      </w:r>
      <w:r w:rsidRPr="00E73E5E">
        <w:rPr>
          <w:rFonts w:ascii="Verdana" w:eastAsia="Calibri" w:hAnsi="Verdana" w:cs="Arial"/>
          <w:sz w:val="21"/>
          <w:szCs w:val="21"/>
          <w:lang w:val="es-MX" w:eastAsia="es-ES_tradnl"/>
        </w:rPr>
        <w:lastRenderedPageBreak/>
        <w:t>establecer la viabilidad del proyecto y su impacto social, económico y ambiental. Esta condición será aplicable incluso para los contratos que incluyan dentro del objeto el diseño.</w:t>
      </w:r>
    </w:p>
    <w:p w14:paraId="5668A4AF"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ES_tradnl" w:eastAsia="es-MX"/>
        </w:rPr>
        <w:t>[…]”.</w:t>
      </w:r>
    </w:p>
    <w:p w14:paraId="0782B055" w14:textId="77777777" w:rsidR="00E73E5E" w:rsidRPr="00E73E5E" w:rsidRDefault="00E73E5E" w:rsidP="00E73E5E">
      <w:pPr>
        <w:spacing w:after="0" w:line="276" w:lineRule="auto"/>
        <w:jc w:val="both"/>
        <w:rPr>
          <w:rFonts w:ascii="Verdana" w:eastAsia="Calibri" w:hAnsi="Verdana" w:cs="Arial"/>
          <w:lang w:val="es-ES_tradnl" w:eastAsia="es-MX"/>
        </w:rPr>
      </w:pPr>
    </w:p>
    <w:p w14:paraId="3BB36FCA" w14:textId="77777777" w:rsidR="00E73E5E" w:rsidRPr="00E73E5E" w:rsidRDefault="00E73E5E" w:rsidP="00E73E5E">
      <w:pPr>
        <w:numPr>
          <w:ilvl w:val="0"/>
          <w:numId w:val="16"/>
        </w:numPr>
        <w:spacing w:line="276" w:lineRule="auto"/>
        <w:contextualSpacing/>
        <w:jc w:val="both"/>
        <w:rPr>
          <w:rFonts w:ascii="Verdana" w:eastAsia="Calibri" w:hAnsi="Verdana" w:cs="Arial"/>
          <w:lang w:val="es-ES_tradnl" w:eastAsia="es-MX"/>
        </w:rPr>
      </w:pPr>
      <w:r w:rsidRPr="00E73E5E">
        <w:rPr>
          <w:rFonts w:ascii="Verdana" w:eastAsia="Calibri" w:hAnsi="Verdana" w:cs="Arial"/>
          <w:lang w:val="es-ES_tradnl" w:eastAsia="es-MX"/>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E73E5E">
        <w:rPr>
          <w:rFonts w:ascii="Geomanist Light" w:eastAsia="Calibri" w:hAnsi="Geomanist Light"/>
          <w:vertAlign w:val="superscript"/>
          <w:lang w:val="es-ES" w:eastAsia="es-MX"/>
        </w:rPr>
        <w:footnoteReference w:id="1"/>
      </w:r>
      <w:r w:rsidRPr="00E73E5E">
        <w:rPr>
          <w:rFonts w:ascii="Verdana" w:eastAsia="Calibri" w:hAnsi="Verdana" w:cs="Arial"/>
          <w:lang w:val="es-ES_tradnl" w:eastAsia="es-MX"/>
        </w:rPr>
        <w:t>. En congruencia con el artículo 25 de la Ley 80 de 1993, el Decreto Único Reglamentario del Sector Administrativo de Planeación Nacional –Decreto 1082 de 2015–, dispone en el artículo 2.2.1.1.2.1.1 el contenido mínimo de los estudios y documentos previos:</w:t>
      </w:r>
    </w:p>
    <w:p w14:paraId="6DD47A16" w14:textId="77777777" w:rsidR="00E73E5E" w:rsidRPr="00E73E5E" w:rsidRDefault="00E73E5E" w:rsidP="00E73E5E">
      <w:pPr>
        <w:spacing w:after="0" w:line="276" w:lineRule="auto"/>
        <w:rPr>
          <w:rFonts w:ascii="Verdana" w:eastAsia="Calibri" w:hAnsi="Verdana" w:cs="Arial"/>
          <w:lang w:val="es-ES_tradnl" w:eastAsia="es-CO"/>
        </w:rPr>
      </w:pPr>
    </w:p>
    <w:p w14:paraId="0B5C98CE"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ES_tradnl" w:eastAsia="es-MX"/>
        </w:rPr>
      </w:pPr>
      <w:r w:rsidRPr="00E73E5E">
        <w:rPr>
          <w:rFonts w:ascii="Verdana" w:eastAsia="Calibri" w:hAnsi="Verdana" w:cs="Arial"/>
          <w:sz w:val="21"/>
          <w:szCs w:val="21"/>
          <w:lang w:val="es-ES_tradnl" w:eastAsia="es-MX"/>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7A5EBF38" w14:textId="77777777" w:rsidR="00E73E5E" w:rsidRPr="00E73E5E" w:rsidRDefault="00E73E5E" w:rsidP="00E73E5E">
      <w:pPr>
        <w:spacing w:after="0" w:line="240" w:lineRule="auto"/>
        <w:ind w:left="709" w:right="709"/>
        <w:contextualSpacing/>
        <w:jc w:val="both"/>
        <w:rPr>
          <w:rFonts w:ascii="Verdana" w:eastAsia="Calibri" w:hAnsi="Verdana" w:cs="Arial"/>
          <w:sz w:val="21"/>
          <w:szCs w:val="21"/>
          <w:lang w:val="es-ES_tradnl" w:eastAsia="es-MX"/>
        </w:rPr>
      </w:pPr>
    </w:p>
    <w:p w14:paraId="1FDAC3E0"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1. La descripción de la necesidad que la Entidad Estatal pretende satisfacer con el Proceso de Contratación. </w:t>
      </w:r>
      <w:r w:rsidRPr="00E73E5E">
        <w:rPr>
          <w:rFonts w:ascii="Arial" w:eastAsia="Calibri" w:hAnsi="Arial" w:cs="Arial"/>
          <w:i/>
          <w:iCs/>
          <w:sz w:val="21"/>
          <w:szCs w:val="21"/>
          <w:lang w:val="es-ES_tradnl" w:eastAsia="es-MX"/>
        </w:rPr>
        <w:t>​</w:t>
      </w:r>
    </w:p>
    <w:p w14:paraId="26993E05"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p>
    <w:p w14:paraId="5FED10E5"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14:paraId="24ADFB2F"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p>
    <w:p w14:paraId="4189F352"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lastRenderedPageBreak/>
        <w:t xml:space="preserve">3. La modalidad de selección del contratista y su justificación, incluyendo los fundamentos jurídicos. </w:t>
      </w:r>
    </w:p>
    <w:p w14:paraId="644861EF"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p>
    <w:p w14:paraId="47E20329"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 w:eastAsia="es-MX"/>
        </w:rPr>
      </w:pPr>
      <w:r w:rsidRPr="00E73E5E">
        <w:rPr>
          <w:rFonts w:ascii="Verdana" w:eastAsia="Calibri" w:hAnsi="Verdana" w:cs="Arial"/>
          <w:i/>
          <w:iCs/>
          <w:sz w:val="21"/>
          <w:szCs w:val="21"/>
          <w:lang w:val="es-ES" w:eastAsia="es-MX"/>
        </w:rPr>
        <w:t xml:space="preserve">4. El valor estimado del contrato y la justificación </w:t>
      </w:r>
      <w:proofErr w:type="gramStart"/>
      <w:r w:rsidRPr="00E73E5E">
        <w:rPr>
          <w:rFonts w:ascii="Verdana" w:eastAsia="Calibri" w:hAnsi="Verdana" w:cs="Arial"/>
          <w:i/>
          <w:iCs/>
          <w:sz w:val="21"/>
          <w:szCs w:val="21"/>
          <w:lang w:val="es-ES" w:eastAsia="es-MX"/>
        </w:rPr>
        <w:t>del mismo</w:t>
      </w:r>
      <w:proofErr w:type="gramEnd"/>
      <w:r w:rsidRPr="00E73E5E">
        <w:rPr>
          <w:rFonts w:ascii="Verdana" w:eastAsia="Calibri" w:hAnsi="Verdana" w:cs="Arial"/>
          <w:i/>
          <w:iCs/>
          <w:sz w:val="21"/>
          <w:szCs w:val="21"/>
          <w:lang w:val="es-ES" w:eastAsia="es-MX"/>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44A026F8"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p>
    <w:p w14:paraId="4F03C139"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5. Los criterios para seleccionar la oferta más favorable. </w:t>
      </w:r>
    </w:p>
    <w:p w14:paraId="5E188C56"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p>
    <w:p w14:paraId="6ECC96E8"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6. El análisis de Riesgo y la forma de mitigarlo. </w:t>
      </w:r>
    </w:p>
    <w:p w14:paraId="39C6300D"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p>
    <w:p w14:paraId="032E409D"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7. Las garantías que la Entidad Estatal contempla exigir en el proceso de contratación. </w:t>
      </w:r>
    </w:p>
    <w:p w14:paraId="20716B01"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p>
    <w:p w14:paraId="3A22C009"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8. La indicación de si el proceso de contratación está cobijado por un acuerdo comercial. </w:t>
      </w:r>
    </w:p>
    <w:p w14:paraId="622DEC5D"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p>
    <w:p w14:paraId="16D1967C" w14:textId="77777777" w:rsidR="00E73E5E" w:rsidRPr="00E73E5E" w:rsidRDefault="00E73E5E" w:rsidP="00E73E5E">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El presente artículo no es aplicable a la contratación por mínima cuantía”.</w:t>
      </w:r>
    </w:p>
    <w:p w14:paraId="0186DFB4" w14:textId="77777777" w:rsidR="00E73E5E" w:rsidRPr="00E73E5E" w:rsidRDefault="00E73E5E" w:rsidP="00E73E5E">
      <w:pPr>
        <w:widowControl w:val="0"/>
        <w:tabs>
          <w:tab w:val="left" w:pos="1305"/>
        </w:tabs>
        <w:autoSpaceDE w:val="0"/>
        <w:autoSpaceDN w:val="0"/>
        <w:spacing w:after="0" w:line="276" w:lineRule="auto"/>
        <w:ind w:left="828" w:right="822"/>
        <w:rPr>
          <w:rFonts w:ascii="Verdana" w:eastAsia="Calibri" w:hAnsi="Verdana" w:cs="Arial"/>
          <w:lang w:val="es-MX" w:eastAsia="es-ES_tradnl"/>
        </w:rPr>
      </w:pPr>
    </w:p>
    <w:p w14:paraId="2E40A8E6" w14:textId="77777777" w:rsidR="00E73E5E" w:rsidRPr="00E73E5E" w:rsidRDefault="00E73E5E" w:rsidP="00E73E5E">
      <w:pPr>
        <w:numPr>
          <w:ilvl w:val="0"/>
          <w:numId w:val="16"/>
        </w:numPr>
        <w:spacing w:line="276" w:lineRule="auto"/>
        <w:contextualSpacing/>
        <w:jc w:val="both"/>
        <w:rPr>
          <w:rFonts w:ascii="Verdana" w:eastAsia="Calibri" w:hAnsi="Verdana" w:cs="Arial"/>
          <w:lang w:val="es-ES" w:eastAsia="es-MX"/>
        </w:rPr>
      </w:pPr>
      <w:bookmarkStart w:id="1" w:name="_Hlk54011351"/>
      <w:r w:rsidRPr="00E73E5E">
        <w:rPr>
          <w:rFonts w:ascii="Verdana" w:eastAsia="Calibri" w:hAnsi="Verdana" w:cs="Arial"/>
          <w:lang w:val="es-ES" w:eastAsia="es-MX"/>
        </w:rPr>
        <w:t xml:space="preserve">De esta manera, antes de iniciar un procedimiento de selección, la Entidad Estatal podrá determinar con los estudios previos: i) la verdadera necesidad de la celebración del contrato; </w:t>
      </w:r>
      <w:proofErr w:type="spellStart"/>
      <w:r w:rsidRPr="00E73E5E">
        <w:rPr>
          <w:rFonts w:ascii="Verdana" w:eastAsia="Calibri" w:hAnsi="Verdana" w:cs="Arial"/>
          <w:lang w:val="es-ES" w:eastAsia="es-MX"/>
        </w:rPr>
        <w:t>ii</w:t>
      </w:r>
      <w:proofErr w:type="spellEnd"/>
      <w:r w:rsidRPr="00E73E5E">
        <w:rPr>
          <w:rFonts w:ascii="Verdana" w:eastAsia="Calibri" w:hAnsi="Verdana" w:cs="Arial"/>
          <w:lang w:val="es-ES" w:eastAsia="es-MX"/>
        </w:rPr>
        <w:t xml:space="preserve">) las modalidades existentes para satisfacer esa necesidad y las razones que justifiquen la modalidad o tipo contractual que se escoja; </w:t>
      </w:r>
      <w:proofErr w:type="spellStart"/>
      <w:r w:rsidRPr="00E73E5E">
        <w:rPr>
          <w:rFonts w:ascii="Verdana" w:eastAsia="Calibri" w:hAnsi="Verdana" w:cs="Arial"/>
          <w:lang w:val="es-ES" w:eastAsia="es-MX"/>
        </w:rPr>
        <w:t>iii</w:t>
      </w:r>
      <w:proofErr w:type="spellEnd"/>
      <w:r w:rsidRPr="00E73E5E">
        <w:rPr>
          <w:rFonts w:ascii="Verdana" w:eastAsia="Calibri" w:hAnsi="Verdana" w:cs="Arial"/>
          <w:lang w:val="es-ES" w:eastAsia="es-MX"/>
        </w:rPr>
        <w:t xml:space="preserve">) las calidades, especificaciones, cantidades y demás características que puedan o deban reunir los bienes, las obras o los servicios cuya contratación se haya determinado necesaria, </w:t>
      </w:r>
      <w:proofErr w:type="spellStart"/>
      <w:r w:rsidRPr="00E73E5E">
        <w:rPr>
          <w:rFonts w:ascii="Verdana" w:eastAsia="Calibri" w:hAnsi="Verdana" w:cs="Arial"/>
          <w:lang w:val="es-ES" w:eastAsia="es-MX"/>
        </w:rPr>
        <w:t>iv</w:t>
      </w:r>
      <w:proofErr w:type="spellEnd"/>
      <w:r w:rsidRPr="00E73E5E">
        <w:rPr>
          <w:rFonts w:ascii="Verdana" w:eastAsia="Calibri" w:hAnsi="Verdana" w:cs="Arial"/>
          <w:lang w:val="es-ES" w:eastAsia="es-MX"/>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E73E5E">
        <w:rPr>
          <w:rFonts w:ascii="Verdana" w:eastAsia="Calibri" w:hAnsi="Verdana" w:cs="Arial"/>
          <w:lang w:val="es-ES" w:eastAsia="es-MX"/>
        </w:rPr>
        <w:t>vii</w:t>
      </w:r>
      <w:proofErr w:type="spellEnd"/>
      <w:r w:rsidRPr="00E73E5E">
        <w:rPr>
          <w:rFonts w:ascii="Verdana" w:eastAsia="Calibri" w:hAnsi="Verdana" w:cs="Arial"/>
          <w:lang w:val="es-ES" w:eastAsia="es-MX"/>
        </w:rPr>
        <w:t xml:space="preserve">) los procedimientos, trámites y requisitos que deban satisfacerse, reunirse u obtenerse para llevar a cabo la </w:t>
      </w:r>
      <w:r w:rsidRPr="00E73E5E">
        <w:rPr>
          <w:rFonts w:ascii="Verdana" w:eastAsia="Calibri" w:hAnsi="Verdana" w:cs="Arial"/>
          <w:lang w:val="es-ES" w:eastAsia="es-MX"/>
        </w:rPr>
        <w:lastRenderedPageBreak/>
        <w:t xml:space="preserve">selección del respectivo contratista y la celebración del contrato que se pretenda celebrar. La consideración de todos estos aspectos </w:t>
      </w:r>
      <w:bookmarkEnd w:id="1"/>
      <w:r w:rsidRPr="00E73E5E">
        <w:rPr>
          <w:rFonts w:ascii="Verdana" w:eastAsia="Calibri" w:hAnsi="Verdana" w:cs="Arial"/>
          <w:lang w:val="es-ES" w:eastAsia="es-MX"/>
        </w:rPr>
        <w:t>permite que los contratos resultantes de la planeación cuenten con el sustento técnico, económico y jurídico que incidirá en una adecuada ejecución.</w:t>
      </w:r>
    </w:p>
    <w:p w14:paraId="019C555A" w14:textId="77777777" w:rsidR="00E73E5E" w:rsidRPr="00E73E5E" w:rsidRDefault="00E73E5E" w:rsidP="00E73E5E">
      <w:pPr>
        <w:spacing w:after="0" w:line="276" w:lineRule="auto"/>
        <w:ind w:left="720"/>
        <w:contextualSpacing/>
        <w:jc w:val="both"/>
        <w:rPr>
          <w:rFonts w:ascii="Verdana" w:eastAsia="Calibri" w:hAnsi="Verdana" w:cs="Arial"/>
          <w:lang w:val="es-ES_tradnl" w:eastAsia="es-MX"/>
        </w:rPr>
      </w:pPr>
    </w:p>
    <w:p w14:paraId="65831BD9" w14:textId="77777777" w:rsidR="00E73E5E" w:rsidRPr="00E73E5E" w:rsidRDefault="00E73E5E" w:rsidP="00E73E5E">
      <w:pPr>
        <w:numPr>
          <w:ilvl w:val="0"/>
          <w:numId w:val="16"/>
        </w:numPr>
        <w:spacing w:line="276" w:lineRule="auto"/>
        <w:contextualSpacing/>
        <w:jc w:val="both"/>
        <w:rPr>
          <w:rFonts w:ascii="Verdana" w:eastAsia="Calibri" w:hAnsi="Verdana" w:cs="Arial"/>
          <w:lang w:eastAsia="es-MX"/>
        </w:rPr>
      </w:pPr>
      <w:r w:rsidRPr="00E73E5E">
        <w:rPr>
          <w:rFonts w:ascii="Verdana" w:eastAsia="Calibri" w:hAnsi="Verdana" w:cs="Arial"/>
          <w:lang w:eastAsia="es-MX"/>
        </w:rPr>
        <w:t>Más allá del cumplimiento de la normativa, “los estudios y documentos previos son el soporte para elaborar el proyecto de pliegos, los pliegos de condiciones, y el contrato”, por lo que deben publicarse en la etapa precontractual y sirven de motivación para los documentos expedidos unilateralmente por la Entidad Estatal tales como el acto administrativo de apertura, los pliegos de condiciones y el acto de adjudicación, entre otros. En ese sentido,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p>
    <w:p w14:paraId="71D0343A" w14:textId="77777777" w:rsidR="00E73E5E" w:rsidRPr="00E73E5E" w:rsidRDefault="00E73E5E" w:rsidP="00E73E5E">
      <w:pPr>
        <w:spacing w:after="0" w:line="276" w:lineRule="auto"/>
        <w:ind w:left="720"/>
        <w:contextualSpacing/>
        <w:jc w:val="both"/>
        <w:rPr>
          <w:rFonts w:ascii="Verdana" w:eastAsia="Calibri" w:hAnsi="Verdana" w:cs="Arial"/>
          <w:lang w:val="es-ES_tradnl" w:eastAsia="es-MX"/>
        </w:rPr>
      </w:pPr>
    </w:p>
    <w:p w14:paraId="5B708157" w14:textId="77777777" w:rsidR="00E73E5E" w:rsidRPr="00E73E5E" w:rsidRDefault="00E73E5E" w:rsidP="00E73E5E">
      <w:pPr>
        <w:numPr>
          <w:ilvl w:val="0"/>
          <w:numId w:val="16"/>
        </w:numPr>
        <w:spacing w:line="276" w:lineRule="auto"/>
        <w:contextualSpacing/>
        <w:jc w:val="both"/>
        <w:rPr>
          <w:rFonts w:ascii="Verdana" w:eastAsia="Calibri" w:hAnsi="Verdana" w:cs="Arial"/>
          <w:lang w:val="es-ES" w:eastAsia="es-MX"/>
        </w:rPr>
      </w:pPr>
      <w:r w:rsidRPr="00E73E5E">
        <w:rPr>
          <w:rFonts w:ascii="Verdana" w:eastAsia="Calibri" w:hAnsi="Verdana" w:cs="Arial"/>
          <w:lang w:val="es-ES" w:eastAsia="es-MX"/>
        </w:rPr>
        <w:t xml:space="preserve">Ahora bien, el numeral 12 del artículo 25 de la Ley 80 de 1993, antes citado, establece el deber de las entidades de realizar estudios previos en dos (2) momentos específicos: i) previo a la apertura de un proceso de selección y </w:t>
      </w:r>
      <w:proofErr w:type="spellStart"/>
      <w:r w:rsidRPr="00E73E5E">
        <w:rPr>
          <w:rFonts w:ascii="Verdana" w:eastAsia="Calibri" w:hAnsi="Verdana" w:cs="Arial"/>
          <w:lang w:val="es-ES" w:eastAsia="es-MX"/>
        </w:rPr>
        <w:t>ii</w:t>
      </w:r>
      <w:proofErr w:type="spellEnd"/>
      <w:r w:rsidRPr="00E73E5E">
        <w:rPr>
          <w:rFonts w:ascii="Verdana" w:eastAsia="Calibri" w:hAnsi="Verdana" w:cs="Arial"/>
          <w:lang w:val="es-ES" w:eastAsia="es-MX"/>
        </w:rPr>
        <w:t xml:space="preserve">) previo a la firma del contrato en el caso en que la modalidad de selección sea contratación directa. </w:t>
      </w:r>
    </w:p>
    <w:p w14:paraId="061ED295" w14:textId="77777777" w:rsidR="00E73E5E" w:rsidRPr="00E73E5E" w:rsidRDefault="00E73E5E" w:rsidP="00E73E5E">
      <w:pPr>
        <w:spacing w:after="0" w:line="276" w:lineRule="auto"/>
        <w:ind w:left="720"/>
        <w:contextualSpacing/>
        <w:jc w:val="both"/>
        <w:rPr>
          <w:rFonts w:ascii="Verdana" w:eastAsia="Calibri" w:hAnsi="Verdana" w:cs="Arial"/>
          <w:lang w:val="es-ES_tradnl" w:eastAsia="es-MX"/>
        </w:rPr>
      </w:pPr>
    </w:p>
    <w:p w14:paraId="678147C9" w14:textId="77777777" w:rsidR="00E73E5E" w:rsidRPr="00E73E5E" w:rsidRDefault="00E73E5E" w:rsidP="00E73E5E">
      <w:pPr>
        <w:numPr>
          <w:ilvl w:val="0"/>
          <w:numId w:val="16"/>
        </w:numPr>
        <w:spacing w:line="276" w:lineRule="auto"/>
        <w:contextualSpacing/>
        <w:jc w:val="both"/>
        <w:rPr>
          <w:rFonts w:ascii="Verdana" w:eastAsia="Calibri" w:hAnsi="Verdana" w:cs="Arial"/>
          <w:lang w:val="es-ES" w:eastAsia="es-MX"/>
        </w:rPr>
      </w:pPr>
      <w:r w:rsidRPr="00E73E5E">
        <w:rPr>
          <w:rFonts w:ascii="Verdana" w:eastAsia="Calibri" w:hAnsi="Verdana" w:cs="Arial"/>
          <w:lang w:val="es-ES" w:eastAsia="es-MX"/>
        </w:rPr>
        <w:t xml:space="preserve">Por otra parte, conforme se desprende de los numerales 2 y 4 del artículo 2.2.1.1.2.1.1 del Decreto 1082 de 2015, uno de los aspectos principales que deben abarcar los estudios previos es la determinación del objeto a contratar con sus especificaciones y el valor estimado del contrato aparejado de su respectiva justificación. Para estos efectos resulta relevante la información recolectada en el marco del estudio del mercado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En este sentido, el análisis del sector de las perspectivas legal, comercial, financiera, organizacional, técnica, y de análisis de Riesgo, al que se </w:t>
      </w:r>
      <w:r w:rsidRPr="00E73E5E">
        <w:rPr>
          <w:rFonts w:ascii="Verdana" w:eastAsia="Calibri" w:hAnsi="Verdana" w:cs="Arial"/>
          <w:lang w:val="es-ES" w:eastAsia="es-MX"/>
        </w:rPr>
        <w:lastRenderedPageBreak/>
        <w:t xml:space="preserve">refiere el artículo 2.2.1.1.1.6.1 del Decreto 1082 de 2015, constituye un insumo importante para determinar factores que pudieran determinar el valor del contrato y orientar a la entidad en torno al monto de la disponibilidad presupuestal que requiere para realizar la contratación. </w:t>
      </w:r>
    </w:p>
    <w:p w14:paraId="65ABE9EC" w14:textId="77777777" w:rsidR="00E73E5E" w:rsidRPr="00E73E5E" w:rsidRDefault="00E73E5E" w:rsidP="00E73E5E">
      <w:pPr>
        <w:spacing w:after="0" w:line="276" w:lineRule="auto"/>
        <w:ind w:left="720"/>
        <w:contextualSpacing/>
        <w:jc w:val="both"/>
        <w:rPr>
          <w:rFonts w:ascii="Verdana" w:eastAsia="Calibri" w:hAnsi="Verdana" w:cs="Arial"/>
          <w:lang w:val="es-ES_tradnl" w:eastAsia="es-MX"/>
        </w:rPr>
      </w:pPr>
    </w:p>
    <w:p w14:paraId="0F39DEE6" w14:textId="77777777" w:rsidR="00E73E5E" w:rsidRPr="00E73E5E" w:rsidRDefault="00E73E5E" w:rsidP="00E73E5E">
      <w:pPr>
        <w:numPr>
          <w:ilvl w:val="0"/>
          <w:numId w:val="16"/>
        </w:numPr>
        <w:spacing w:after="120" w:line="276" w:lineRule="auto"/>
        <w:contextualSpacing/>
        <w:jc w:val="both"/>
        <w:rPr>
          <w:rFonts w:ascii="Verdana" w:eastAsia="Calibri" w:hAnsi="Verdana" w:cs="Arial"/>
          <w:kern w:val="2"/>
          <w:lang w:val="es-ES" w:eastAsia="es-MX"/>
          <w14:ligatures w14:val="standardContextual"/>
        </w:rPr>
      </w:pPr>
      <w:r w:rsidRPr="00E73E5E">
        <w:rPr>
          <w:rFonts w:ascii="Verdana" w:eastAsia="Calibri" w:hAnsi="Verdana" w:cs="Arial"/>
          <w:kern w:val="2"/>
          <w:lang w:val="es-ES" w:eastAsia="es-MX"/>
          <w14:ligatures w14:val="standardContextual"/>
        </w:rPr>
        <w:t>De acuerdo con la norma citada, 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3A28E111" w14:textId="77777777" w:rsidR="00E73E5E" w:rsidRPr="00E73E5E" w:rsidRDefault="00E73E5E" w:rsidP="00E73E5E">
      <w:pPr>
        <w:spacing w:after="120" w:line="276" w:lineRule="auto"/>
        <w:ind w:left="720"/>
        <w:contextualSpacing/>
        <w:jc w:val="both"/>
        <w:rPr>
          <w:rFonts w:ascii="Verdana" w:eastAsia="Calibri" w:hAnsi="Verdana" w:cs="Arial"/>
          <w:lang w:val="es-ES_tradnl" w:eastAsia="es-MX"/>
        </w:rPr>
      </w:pPr>
    </w:p>
    <w:p w14:paraId="4D4F15E7" w14:textId="77777777" w:rsidR="00E73E5E" w:rsidRPr="00E73E5E" w:rsidRDefault="00E73E5E" w:rsidP="00E73E5E">
      <w:pPr>
        <w:numPr>
          <w:ilvl w:val="0"/>
          <w:numId w:val="16"/>
        </w:numPr>
        <w:spacing w:line="276" w:lineRule="auto"/>
        <w:contextualSpacing/>
        <w:jc w:val="both"/>
        <w:rPr>
          <w:rFonts w:ascii="Verdana" w:eastAsia="Calibri" w:hAnsi="Verdana" w:cs="Arial"/>
          <w:lang w:val="es-ES_tradnl" w:eastAsia="es-MX"/>
        </w:rPr>
      </w:pPr>
      <w:r w:rsidRPr="00E73E5E">
        <w:rPr>
          <w:rFonts w:ascii="Verdana" w:eastAsia="Calibri" w:hAnsi="Verdana" w:cs="Arial"/>
          <w:lang w:val="es-ES_tradnl" w:eastAsia="es-MX"/>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6E0818C1" w14:textId="77777777" w:rsidR="00E73E5E" w:rsidRPr="00E73E5E" w:rsidRDefault="00E73E5E" w:rsidP="00E73E5E">
      <w:pPr>
        <w:spacing w:after="0" w:line="276" w:lineRule="auto"/>
        <w:ind w:left="720"/>
        <w:contextualSpacing/>
        <w:jc w:val="both"/>
        <w:rPr>
          <w:rFonts w:ascii="Verdana" w:eastAsia="Calibri" w:hAnsi="Verdana" w:cs="Arial"/>
          <w:lang w:val="es-ES_tradnl" w:eastAsia="es-MX"/>
        </w:rPr>
      </w:pPr>
    </w:p>
    <w:p w14:paraId="47AA9C26" w14:textId="77777777" w:rsidR="00E73E5E" w:rsidRPr="00E73E5E" w:rsidRDefault="00E73E5E" w:rsidP="00E73E5E">
      <w:pPr>
        <w:numPr>
          <w:ilvl w:val="0"/>
          <w:numId w:val="16"/>
        </w:numPr>
        <w:spacing w:after="120" w:line="276" w:lineRule="auto"/>
        <w:contextualSpacing/>
        <w:jc w:val="both"/>
        <w:rPr>
          <w:rFonts w:ascii="Verdana" w:eastAsia="Calibri" w:hAnsi="Verdana" w:cs="Arial"/>
          <w:kern w:val="2"/>
          <w:lang w:val="es-ES_tradnl" w:eastAsia="es-MX"/>
          <w14:ligatures w14:val="standardContextual"/>
        </w:rPr>
      </w:pPr>
      <w:r w:rsidRPr="00E73E5E">
        <w:rPr>
          <w:rFonts w:ascii="Verdana" w:eastAsia="Calibri" w:hAnsi="Verdana" w:cs="Arial"/>
          <w:kern w:val="2"/>
          <w:lang w:val="es-ES_tradnl" w:eastAsia="es-MX"/>
          <w14:ligatures w14:val="standardContextual"/>
        </w:rPr>
        <w:t xml:space="preserve">Dicho análisis facilita tanto el conocimiento del sector, desde una perspectiva multidisciplinaria, como de los proveedores disponibles en el mercado para satisfacer la necesidad de la entidad contratante. Igualmente, el análisis del sector implica un estudio de la oferta, lo que permitirá identificar qué proveedores existen en el mercado y cómo </w:t>
      </w:r>
      <w:r w:rsidRPr="00E73E5E">
        <w:rPr>
          <w:rFonts w:ascii="Verdana" w:eastAsia="Calibri" w:hAnsi="Verdana" w:cs="Arial"/>
          <w:kern w:val="2"/>
          <w:lang w:val="es-ES_tradnl" w:eastAsia="es-MX"/>
          <w14:ligatures w14:val="standardContextual"/>
        </w:rPr>
        <w:lastRenderedPageBreak/>
        <w:t xml:space="preserve">intervienen en la cadena de producción, comercialización y distribución de los bienes, obras o servicios. De igual manera,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77353757" w14:textId="77777777" w:rsidR="00E73E5E" w:rsidRPr="00E73E5E" w:rsidRDefault="00E73E5E" w:rsidP="00E73E5E">
      <w:pPr>
        <w:spacing w:after="120" w:line="276" w:lineRule="auto"/>
        <w:ind w:left="720"/>
        <w:contextualSpacing/>
        <w:jc w:val="both"/>
        <w:rPr>
          <w:rFonts w:ascii="Verdana" w:eastAsia="Calibri" w:hAnsi="Verdana" w:cs="Arial"/>
          <w:lang w:val="es-ES_tradnl" w:eastAsia="es-MX"/>
        </w:rPr>
      </w:pPr>
    </w:p>
    <w:p w14:paraId="4F990721" w14:textId="77777777" w:rsidR="00E73E5E" w:rsidRPr="00E73E5E" w:rsidRDefault="00E73E5E" w:rsidP="00E73E5E">
      <w:pPr>
        <w:numPr>
          <w:ilvl w:val="0"/>
          <w:numId w:val="16"/>
        </w:numPr>
        <w:spacing w:line="276" w:lineRule="auto"/>
        <w:contextualSpacing/>
        <w:jc w:val="both"/>
        <w:rPr>
          <w:rFonts w:ascii="Verdana" w:eastAsia="Calibri" w:hAnsi="Verdana" w:cs="Arial"/>
          <w:lang w:val="es-ES_tradnl" w:eastAsia="es-MX"/>
        </w:rPr>
      </w:pPr>
      <w:r w:rsidRPr="00E73E5E">
        <w:rPr>
          <w:rFonts w:ascii="Verdana" w:eastAsia="Calibri" w:hAnsi="Verdana" w:cs="Arial"/>
          <w:lang w:val="es-ES_tradnl" w:eastAsia="es-MX"/>
        </w:rPr>
        <w:t>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son autónomas para estructurarlo, para lo cual deberán cumplir lo dispuesto en el artículo 2.2.1.1.1.6.1 del Decreto 1082 de 2015 y realizar un análisis integral de planeación que sirva de sustento a la decisión de realizar un Proceso de Contratación.</w:t>
      </w:r>
    </w:p>
    <w:p w14:paraId="3CB36703" w14:textId="77777777" w:rsidR="00E73E5E" w:rsidRPr="00E73E5E" w:rsidRDefault="00E73E5E" w:rsidP="00E73E5E">
      <w:pPr>
        <w:spacing w:after="0" w:line="276" w:lineRule="auto"/>
        <w:ind w:left="720"/>
        <w:contextualSpacing/>
        <w:jc w:val="both"/>
        <w:rPr>
          <w:rFonts w:ascii="Verdana" w:eastAsia="Calibri" w:hAnsi="Verdana" w:cs="Arial"/>
          <w:lang w:val="es-ES_tradnl" w:eastAsia="es-MX"/>
        </w:rPr>
      </w:pPr>
    </w:p>
    <w:p w14:paraId="4983B8C1" w14:textId="77777777" w:rsidR="00E73E5E" w:rsidRPr="00E73E5E" w:rsidRDefault="00E73E5E" w:rsidP="00E73E5E">
      <w:pPr>
        <w:numPr>
          <w:ilvl w:val="0"/>
          <w:numId w:val="16"/>
        </w:numPr>
        <w:spacing w:line="276" w:lineRule="auto"/>
        <w:contextualSpacing/>
        <w:jc w:val="both"/>
        <w:rPr>
          <w:rFonts w:ascii="Verdana" w:eastAsia="Calibri" w:hAnsi="Verdana" w:cs="Arial"/>
          <w:lang w:eastAsia="es-MX"/>
        </w:rPr>
      </w:pPr>
      <w:r w:rsidRPr="00E73E5E">
        <w:rPr>
          <w:rFonts w:ascii="Verdana" w:eastAsia="Calibri" w:hAnsi="Verdana" w:cs="Arial"/>
          <w:lang w:eastAsia="es-MX"/>
        </w:rPr>
        <w:t>La Agencia Nacional de Contratación Pública – 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De este modo, la Guía contiene recomendaciones generales por lo que no debe aplicarse de manera mecánica, pues la profundidad del estudio del sector depende de la complejidad y particularidades de cada Proceso de Contratación.</w:t>
      </w:r>
    </w:p>
    <w:p w14:paraId="5D5395B5" w14:textId="77777777" w:rsidR="00E73E5E" w:rsidRPr="00E73E5E" w:rsidRDefault="00E73E5E" w:rsidP="00E73E5E">
      <w:pPr>
        <w:spacing w:line="256" w:lineRule="auto"/>
        <w:ind w:left="720"/>
        <w:contextualSpacing/>
        <w:rPr>
          <w:rFonts w:ascii="Verdana" w:eastAsia="Calibri" w:hAnsi="Verdana" w:cs="Arial"/>
          <w:kern w:val="2"/>
          <w:lang w:val="es-ES" w:eastAsia="es-MX"/>
          <w14:ligatures w14:val="standardContextual"/>
        </w:rPr>
      </w:pPr>
    </w:p>
    <w:p w14:paraId="6AA33989" w14:textId="77777777" w:rsidR="00E73E5E" w:rsidRPr="00E73E5E" w:rsidRDefault="00E73E5E" w:rsidP="00E73E5E">
      <w:pPr>
        <w:numPr>
          <w:ilvl w:val="0"/>
          <w:numId w:val="17"/>
        </w:numPr>
        <w:spacing w:after="0" w:line="256" w:lineRule="auto"/>
        <w:ind w:left="714" w:hanging="357"/>
        <w:contextualSpacing/>
        <w:jc w:val="both"/>
        <w:rPr>
          <w:rFonts w:ascii="Verdana" w:eastAsia="Calibri" w:hAnsi="Verdana" w:cs="Arial"/>
          <w:kern w:val="2"/>
          <w:lang w:val="es-ES"/>
          <w14:ligatures w14:val="standardContextual"/>
        </w:rPr>
      </w:pPr>
      <w:r w:rsidRPr="00E73E5E">
        <w:rPr>
          <w:rFonts w:ascii="Verdana" w:eastAsia="Calibri" w:hAnsi="Verdana" w:cs="Arial"/>
          <w:kern w:val="2"/>
          <w:lang w:val="es-ES_tradnl"/>
          <w14:ligatures w14:val="standardContextual"/>
        </w:rPr>
        <w:lastRenderedPageBreak/>
        <w:t>De otra parte</w:t>
      </w:r>
      <w:r w:rsidRPr="00E73E5E">
        <w:rPr>
          <w:rFonts w:ascii="Verdana" w:eastAsia="Calibri" w:hAnsi="Verdana" w:cs="Arial"/>
          <w:kern w:val="2"/>
          <w:lang w:val="es-ES"/>
          <w14:ligatures w14:val="standardContextual"/>
        </w:rPr>
        <w:t>, el contrato de prestación de servicios es uno de los tipos contractuales consagrados en el Estatuto General de Contratación de la Administración Pública -EGCP, que pueden celebrar las entidades estatales. Se trata de un contrato típico, ya que se encuentra definido en la ley. Concretamente, el artículo 32, numeral 3º, de la Ley 80 de 1993</w:t>
      </w:r>
      <w:r w:rsidRPr="00E73E5E">
        <w:rPr>
          <w:rFonts w:ascii="Verdana" w:eastAsia="Calibri" w:hAnsi="Verdana" w:cs="Arial"/>
          <w:kern w:val="2"/>
          <w:vertAlign w:val="superscript"/>
          <w:lang w:val="es-ES"/>
          <w14:ligatures w14:val="standardContextual"/>
        </w:rPr>
        <w:footnoteReference w:id="2"/>
      </w:r>
      <w:r w:rsidRPr="00E73E5E">
        <w:rPr>
          <w:rFonts w:ascii="Verdana" w:eastAsia="Calibri" w:hAnsi="Verdana" w:cs="Arial"/>
          <w:kern w:val="2"/>
          <w:lang w:val="es-ES"/>
          <w14:ligatures w14:val="standardContextual"/>
        </w:rPr>
        <w:t>, establece:</w:t>
      </w:r>
    </w:p>
    <w:p w14:paraId="12E3357B" w14:textId="77777777" w:rsidR="00E73E5E" w:rsidRPr="00E73E5E" w:rsidRDefault="00E73E5E" w:rsidP="00E73E5E">
      <w:pPr>
        <w:spacing w:after="0" w:line="256" w:lineRule="auto"/>
        <w:ind w:left="714"/>
        <w:contextualSpacing/>
        <w:jc w:val="both"/>
        <w:rPr>
          <w:rFonts w:ascii="Verdana" w:eastAsia="Calibri" w:hAnsi="Verdana" w:cs="Arial"/>
          <w:kern w:val="2"/>
          <w:lang w:val="es-ES"/>
          <w14:ligatures w14:val="standardContextual"/>
        </w:rPr>
      </w:pPr>
    </w:p>
    <w:p w14:paraId="31877B10" w14:textId="77777777" w:rsidR="00E73E5E" w:rsidRPr="00E73E5E" w:rsidRDefault="00E73E5E" w:rsidP="00E73E5E">
      <w:pPr>
        <w:spacing w:after="0" w:line="276" w:lineRule="auto"/>
        <w:ind w:left="709" w:right="709"/>
        <w:jc w:val="both"/>
        <w:rPr>
          <w:rFonts w:ascii="Verdana" w:eastAsia="Calibri" w:hAnsi="Verdana" w:cs="Arial"/>
          <w:sz w:val="21"/>
          <w:szCs w:val="21"/>
        </w:rPr>
      </w:pPr>
      <w:r w:rsidRPr="00E73E5E">
        <w:rPr>
          <w:rFonts w:ascii="Verdana" w:eastAsia="Calibri" w:hAnsi="Verdana" w:cs="Arial"/>
          <w:sz w:val="21"/>
          <w:szCs w:val="21"/>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588E450" w14:textId="77777777" w:rsidR="00E73E5E" w:rsidRPr="00E73E5E" w:rsidRDefault="00E73E5E" w:rsidP="00E73E5E">
      <w:pPr>
        <w:spacing w:after="0" w:line="276" w:lineRule="auto"/>
        <w:ind w:left="709" w:right="709"/>
        <w:jc w:val="both"/>
        <w:rPr>
          <w:rFonts w:ascii="Verdana" w:eastAsia="Calibri" w:hAnsi="Verdana" w:cs="Arial"/>
          <w:sz w:val="21"/>
          <w:szCs w:val="21"/>
        </w:rPr>
      </w:pPr>
    </w:p>
    <w:p w14:paraId="5FABA02F" w14:textId="77777777" w:rsidR="00E73E5E" w:rsidRPr="00E73E5E" w:rsidRDefault="00E73E5E" w:rsidP="00E73E5E">
      <w:pPr>
        <w:spacing w:after="0" w:line="276" w:lineRule="auto"/>
        <w:ind w:left="709" w:right="709"/>
        <w:jc w:val="both"/>
        <w:rPr>
          <w:rFonts w:ascii="Verdana" w:eastAsia="Calibri" w:hAnsi="Verdana" w:cs="Arial"/>
          <w:sz w:val="21"/>
          <w:szCs w:val="21"/>
        </w:rPr>
      </w:pPr>
      <w:r w:rsidRPr="00E73E5E">
        <w:rPr>
          <w:rFonts w:ascii="Verdana" w:eastAsia="Calibri" w:hAnsi="Verdana" w:cs="Arial"/>
          <w:sz w:val="21"/>
          <w:szCs w:val="21"/>
        </w:rPr>
        <w:t>En ningún caso estos contratos generan relación laboral ni prestaciones sociales y se celebrarán por el término estrictamente indispensable.</w:t>
      </w:r>
    </w:p>
    <w:p w14:paraId="562D2415" w14:textId="77777777" w:rsidR="00E73E5E" w:rsidRPr="00E73E5E" w:rsidRDefault="00E73E5E" w:rsidP="00E73E5E">
      <w:pPr>
        <w:spacing w:after="0" w:line="276" w:lineRule="auto"/>
        <w:ind w:left="709" w:right="709"/>
        <w:jc w:val="both"/>
        <w:rPr>
          <w:rFonts w:ascii="Verdana" w:eastAsia="Calibri" w:hAnsi="Verdana" w:cs="Arial"/>
          <w:sz w:val="21"/>
          <w:szCs w:val="21"/>
        </w:rPr>
      </w:pPr>
    </w:p>
    <w:p w14:paraId="1CCE20E2" w14:textId="77777777" w:rsidR="00E73E5E" w:rsidRPr="00E73E5E" w:rsidRDefault="00E73E5E" w:rsidP="00E73E5E">
      <w:pPr>
        <w:numPr>
          <w:ilvl w:val="0"/>
          <w:numId w:val="18"/>
        </w:numPr>
        <w:spacing w:after="120" w:line="276" w:lineRule="auto"/>
        <w:contextualSpacing/>
        <w:jc w:val="both"/>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De otro lado, la celebración de dicho contrato se debe efectuar a través de la modalidad de la contratación directa. Así lo prevé el artículo 2, numeral 4º, literal h), de la Ley 1150 de 2007</w:t>
      </w:r>
      <w:r w:rsidRPr="00E73E5E">
        <w:rPr>
          <w:rFonts w:ascii="Verdana" w:eastAsia="Calibri" w:hAnsi="Verdana"/>
          <w:kern w:val="2"/>
          <w:vertAlign w:val="superscript"/>
          <w:lang w:val="es-ES"/>
          <w14:ligatures w14:val="standardContextual"/>
        </w:rPr>
        <w:footnoteReference w:id="3"/>
      </w:r>
      <w:r w:rsidRPr="00E73E5E">
        <w:rPr>
          <w:rFonts w:ascii="Verdana" w:eastAsia="Calibri" w:hAnsi="Verdana" w:cs="Arial"/>
          <w:kern w:val="2"/>
          <w:lang w:val="es-ES"/>
          <w14:ligatures w14:val="standardContextual"/>
        </w:rPr>
        <w:t>, que dispone:</w:t>
      </w:r>
    </w:p>
    <w:p w14:paraId="2AD03D1E" w14:textId="77777777" w:rsidR="00E73E5E" w:rsidRPr="00E73E5E" w:rsidRDefault="00E73E5E" w:rsidP="00E73E5E">
      <w:pPr>
        <w:spacing w:after="0" w:line="276" w:lineRule="auto"/>
        <w:ind w:left="709" w:right="709"/>
        <w:jc w:val="both"/>
        <w:rPr>
          <w:rFonts w:ascii="Verdana" w:eastAsia="Calibri" w:hAnsi="Verdana" w:cs="Arial"/>
          <w:sz w:val="21"/>
          <w:szCs w:val="21"/>
        </w:rPr>
      </w:pPr>
      <w:r w:rsidRPr="00E73E5E">
        <w:rPr>
          <w:rFonts w:ascii="Verdana" w:eastAsia="Calibri" w:hAnsi="Verdana" w:cs="Arial"/>
          <w:sz w:val="21"/>
          <w:szCs w:val="21"/>
        </w:rPr>
        <w:t>[…]</w:t>
      </w:r>
    </w:p>
    <w:p w14:paraId="11C57886" w14:textId="77777777" w:rsidR="00E73E5E" w:rsidRPr="00E73E5E" w:rsidRDefault="00E73E5E" w:rsidP="00E73E5E">
      <w:pPr>
        <w:spacing w:after="0" w:line="276" w:lineRule="auto"/>
        <w:ind w:left="709" w:right="709"/>
        <w:jc w:val="both"/>
        <w:rPr>
          <w:rFonts w:ascii="Verdana" w:eastAsia="Calibri" w:hAnsi="Verdana" w:cs="Arial"/>
          <w:sz w:val="21"/>
          <w:szCs w:val="21"/>
        </w:rPr>
      </w:pPr>
      <w:r w:rsidRPr="00E73E5E">
        <w:rPr>
          <w:rFonts w:ascii="Verdana" w:eastAsia="Calibri" w:hAnsi="Verdana" w:cs="Arial"/>
          <w:sz w:val="21"/>
          <w:szCs w:val="21"/>
        </w:rPr>
        <w:t>h) Para la prestación de servicios profesionales y de apoyo a la gestión, o para la ejecución de trabajos artísticos que sólo puedan encomendarse a determinadas personas naturales;</w:t>
      </w:r>
    </w:p>
    <w:p w14:paraId="5FAD713D" w14:textId="77777777" w:rsidR="00E73E5E" w:rsidRPr="00E73E5E" w:rsidRDefault="00E73E5E" w:rsidP="00E73E5E">
      <w:pPr>
        <w:spacing w:after="0" w:line="276" w:lineRule="auto"/>
        <w:ind w:left="709" w:right="709"/>
        <w:jc w:val="both"/>
        <w:rPr>
          <w:rFonts w:ascii="Verdana" w:eastAsia="Calibri" w:hAnsi="Verdana" w:cs="Arial"/>
          <w:sz w:val="21"/>
          <w:szCs w:val="21"/>
        </w:rPr>
      </w:pPr>
    </w:p>
    <w:p w14:paraId="1BDE12B8" w14:textId="77777777" w:rsidR="00E73E5E" w:rsidRPr="00E73E5E" w:rsidRDefault="00E73E5E" w:rsidP="00E73E5E">
      <w:pPr>
        <w:numPr>
          <w:ilvl w:val="0"/>
          <w:numId w:val="18"/>
        </w:numPr>
        <w:spacing w:after="120" w:line="276" w:lineRule="auto"/>
        <w:contextualSpacing/>
        <w:jc w:val="both"/>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3180E35A" w14:textId="77777777" w:rsidR="00E73E5E" w:rsidRPr="00E73E5E" w:rsidRDefault="00E73E5E" w:rsidP="00E73E5E">
      <w:pPr>
        <w:spacing w:after="0" w:line="276" w:lineRule="auto"/>
        <w:ind w:left="709" w:right="709"/>
        <w:jc w:val="both"/>
        <w:rPr>
          <w:rFonts w:ascii="Verdana" w:eastAsia="Calibri" w:hAnsi="Verdana" w:cs="Arial"/>
          <w:sz w:val="21"/>
          <w:szCs w:val="21"/>
        </w:rPr>
      </w:pPr>
    </w:p>
    <w:p w14:paraId="389ECA9D" w14:textId="77777777" w:rsidR="00E73E5E" w:rsidRPr="00E73E5E" w:rsidRDefault="00E73E5E" w:rsidP="00E73E5E">
      <w:pPr>
        <w:spacing w:after="0" w:line="240" w:lineRule="auto"/>
        <w:ind w:left="709" w:right="709"/>
        <w:jc w:val="both"/>
        <w:rPr>
          <w:rFonts w:ascii="Verdana" w:eastAsia="Calibri" w:hAnsi="Verdana" w:cs="Arial"/>
          <w:sz w:val="21"/>
          <w:szCs w:val="21"/>
        </w:rPr>
      </w:pPr>
      <w:r w:rsidRPr="00E73E5E">
        <w:rPr>
          <w:rFonts w:ascii="Verdana" w:eastAsia="Calibri" w:hAnsi="Verdana" w:cs="Arial"/>
          <w:sz w:val="21"/>
          <w:szCs w:val="21"/>
        </w:rPr>
        <w:t>i) Solo puede celebrarse para realizar “actividades relacionadas con la administración o funcionamiento de la entidad”, es decir, que hagan parte de su giro ordinario o quehacer cotidiano.</w:t>
      </w:r>
    </w:p>
    <w:p w14:paraId="3ECFB77C" w14:textId="77777777" w:rsidR="00E73E5E" w:rsidRPr="00E73E5E" w:rsidRDefault="00E73E5E" w:rsidP="00E73E5E">
      <w:pPr>
        <w:spacing w:after="0" w:line="276" w:lineRule="auto"/>
        <w:ind w:left="709" w:right="709"/>
        <w:jc w:val="both"/>
        <w:rPr>
          <w:rFonts w:ascii="Verdana" w:eastAsia="Calibri" w:hAnsi="Verdana" w:cs="Arial"/>
          <w:sz w:val="21"/>
          <w:szCs w:val="21"/>
        </w:rPr>
      </w:pPr>
    </w:p>
    <w:p w14:paraId="41BEF0B4" w14:textId="77777777" w:rsidR="00E73E5E" w:rsidRPr="00E73E5E" w:rsidRDefault="00E73E5E" w:rsidP="00E73E5E">
      <w:pPr>
        <w:spacing w:after="0" w:line="240" w:lineRule="auto"/>
        <w:ind w:left="709" w:right="709"/>
        <w:jc w:val="both"/>
        <w:rPr>
          <w:rFonts w:ascii="Verdana" w:eastAsia="Calibri" w:hAnsi="Verdana" w:cs="Arial"/>
          <w:sz w:val="21"/>
          <w:szCs w:val="21"/>
        </w:rPr>
      </w:pPr>
      <w:proofErr w:type="spellStart"/>
      <w:r w:rsidRPr="00E73E5E">
        <w:rPr>
          <w:rFonts w:ascii="Verdana" w:eastAsia="Calibri" w:hAnsi="Verdana" w:cs="Arial"/>
          <w:sz w:val="21"/>
          <w:szCs w:val="21"/>
        </w:rPr>
        <w:t>ii</w:t>
      </w:r>
      <w:proofErr w:type="spellEnd"/>
      <w:r w:rsidRPr="00E73E5E">
        <w:rPr>
          <w:rFonts w:ascii="Verdana" w:eastAsia="Calibri" w:hAnsi="Verdana" w:cs="Arial"/>
          <w:sz w:val="21"/>
          <w:szCs w:val="21"/>
        </w:rPr>
        <w:t>)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55250F5E" w14:textId="77777777" w:rsidR="00E73E5E" w:rsidRPr="00E73E5E" w:rsidRDefault="00E73E5E" w:rsidP="00E73E5E">
      <w:pPr>
        <w:spacing w:after="0" w:line="276" w:lineRule="auto"/>
        <w:ind w:left="709" w:right="709"/>
        <w:jc w:val="both"/>
        <w:rPr>
          <w:rFonts w:ascii="Verdana" w:eastAsia="Calibri" w:hAnsi="Verdana" w:cs="Arial"/>
          <w:sz w:val="21"/>
          <w:szCs w:val="21"/>
        </w:rPr>
      </w:pPr>
    </w:p>
    <w:p w14:paraId="09CB6B29" w14:textId="77777777" w:rsidR="00E73E5E" w:rsidRPr="00E73E5E" w:rsidRDefault="00E73E5E" w:rsidP="00E73E5E">
      <w:pPr>
        <w:spacing w:after="0" w:line="240" w:lineRule="auto"/>
        <w:ind w:left="709" w:right="709"/>
        <w:jc w:val="both"/>
        <w:rPr>
          <w:rFonts w:ascii="Verdana" w:eastAsia="Calibri" w:hAnsi="Verdana" w:cs="Arial"/>
          <w:sz w:val="21"/>
          <w:szCs w:val="21"/>
        </w:rPr>
      </w:pPr>
      <w:proofErr w:type="spellStart"/>
      <w:r w:rsidRPr="00E73E5E">
        <w:rPr>
          <w:rFonts w:ascii="Verdana" w:eastAsia="Calibri" w:hAnsi="Verdana" w:cs="Arial"/>
          <w:sz w:val="21"/>
          <w:szCs w:val="21"/>
        </w:rPr>
        <w:t>iii</w:t>
      </w:r>
      <w:proofErr w:type="spellEnd"/>
      <w:r w:rsidRPr="00E73E5E">
        <w:rPr>
          <w:rFonts w:ascii="Verdana" w:eastAsia="Calibri" w:hAnsi="Verdana" w:cs="Arial"/>
          <w:sz w:val="21"/>
          <w:szCs w:val="21"/>
        </w:rPr>
        <w:t xml:space="preserve">) 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subordinación y dependencia, que es uno de los elementos constitutivos del vínculo laboral. Por ello el artículo 32, numeral 3º, de la Ley 80 de 1993 </w:t>
      </w:r>
      <w:r w:rsidRPr="00E73E5E">
        <w:rPr>
          <w:rFonts w:ascii="Verdana" w:eastAsia="Calibri" w:hAnsi="Verdana" w:cs="Arial"/>
          <w:sz w:val="21"/>
          <w:szCs w:val="21"/>
          <w:vertAlign w:val="superscript"/>
        </w:rPr>
        <w:footnoteReference w:id="4"/>
      </w:r>
      <w:r w:rsidRPr="00E73E5E">
        <w:rPr>
          <w:rFonts w:ascii="Verdana" w:eastAsia="Calibri" w:hAnsi="Verdana" w:cs="Arial"/>
          <w:sz w:val="21"/>
          <w:szCs w:val="21"/>
        </w:rPr>
        <w:t xml:space="preserve">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w:t>
      </w:r>
      <w:r w:rsidRPr="00E73E5E">
        <w:rPr>
          <w:rFonts w:ascii="Verdana" w:eastAsia="Calibri" w:hAnsi="Verdana" w:cs="Arial"/>
          <w:sz w:val="21"/>
          <w:szCs w:val="21"/>
        </w:rPr>
        <w:lastRenderedPageBreak/>
        <w:t>declaradas exequibles, salvo que se acredite por parte del contratista la existencia de una relación laboral subordinada”.</w:t>
      </w:r>
    </w:p>
    <w:p w14:paraId="5BDAA77C" w14:textId="77777777" w:rsidR="00E73E5E" w:rsidRPr="00E73E5E" w:rsidRDefault="00E73E5E" w:rsidP="00E73E5E">
      <w:pPr>
        <w:spacing w:after="0" w:line="276" w:lineRule="auto"/>
        <w:ind w:left="709" w:right="709"/>
        <w:jc w:val="both"/>
        <w:rPr>
          <w:rFonts w:ascii="Verdana" w:eastAsia="Calibri" w:hAnsi="Verdana" w:cs="Arial"/>
          <w:sz w:val="21"/>
          <w:szCs w:val="21"/>
        </w:rPr>
      </w:pPr>
    </w:p>
    <w:p w14:paraId="6E582499" w14:textId="77777777" w:rsidR="00E73E5E" w:rsidRPr="00E73E5E" w:rsidRDefault="00E73E5E" w:rsidP="00E73E5E">
      <w:pPr>
        <w:spacing w:after="0" w:line="240" w:lineRule="auto"/>
        <w:ind w:left="709" w:right="709"/>
        <w:jc w:val="both"/>
        <w:rPr>
          <w:rFonts w:ascii="Verdana" w:eastAsia="Calibri" w:hAnsi="Verdana" w:cs="Arial"/>
          <w:sz w:val="21"/>
          <w:szCs w:val="21"/>
        </w:rPr>
      </w:pPr>
      <w:proofErr w:type="spellStart"/>
      <w:r w:rsidRPr="00E73E5E">
        <w:rPr>
          <w:rFonts w:ascii="Verdana" w:eastAsia="Calibri" w:hAnsi="Verdana" w:cs="Arial"/>
          <w:sz w:val="21"/>
          <w:szCs w:val="21"/>
        </w:rPr>
        <w:t>iv</w:t>
      </w:r>
      <w:proofErr w:type="spellEnd"/>
      <w:r w:rsidRPr="00E73E5E">
        <w:rPr>
          <w:rFonts w:ascii="Verdana" w:eastAsia="Calibri" w:hAnsi="Verdana" w:cs="Arial"/>
          <w:sz w:val="21"/>
          <w:szCs w:val="21"/>
        </w:rPr>
        <w:t>) Deben ser temporales. Así lo señaló la Corte Constitucional en la misma providencia a la que se aludió previamente, expresando que:</w:t>
      </w:r>
    </w:p>
    <w:p w14:paraId="4680F8A5" w14:textId="77777777" w:rsidR="00E73E5E" w:rsidRPr="00E73E5E" w:rsidRDefault="00E73E5E" w:rsidP="00E73E5E">
      <w:pPr>
        <w:spacing w:after="0" w:line="276" w:lineRule="auto"/>
        <w:ind w:left="709" w:right="709"/>
        <w:jc w:val="both"/>
        <w:rPr>
          <w:rFonts w:ascii="Verdana" w:eastAsia="Calibri" w:hAnsi="Verdana" w:cs="Arial"/>
          <w:sz w:val="21"/>
          <w:szCs w:val="21"/>
        </w:rPr>
      </w:pPr>
    </w:p>
    <w:p w14:paraId="5CCF9D8B" w14:textId="77777777" w:rsidR="00E73E5E" w:rsidRPr="00E73E5E" w:rsidRDefault="00E73E5E" w:rsidP="00E73E5E">
      <w:pPr>
        <w:spacing w:after="0" w:line="240" w:lineRule="auto"/>
        <w:ind w:left="709" w:right="709"/>
        <w:jc w:val="both"/>
        <w:rPr>
          <w:rFonts w:ascii="Verdana" w:eastAsia="Calibri" w:hAnsi="Verdana" w:cs="Arial"/>
          <w:sz w:val="21"/>
          <w:szCs w:val="21"/>
        </w:rPr>
      </w:pPr>
      <w:r w:rsidRPr="00E73E5E">
        <w:rPr>
          <w:rFonts w:ascii="Verdana" w:eastAsia="Calibri" w:hAnsi="Verdana" w:cs="Arial"/>
          <w:sz w:val="21"/>
          <w:szCs w:val="21"/>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w:t>
      </w:r>
      <w:r w:rsidRPr="00E73E5E">
        <w:rPr>
          <w:rFonts w:ascii="Verdana" w:eastAsia="Calibri" w:hAnsi="Verdana" w:cs="Arial"/>
          <w:sz w:val="21"/>
          <w:szCs w:val="21"/>
          <w:vertAlign w:val="superscript"/>
        </w:rPr>
        <w:footnoteReference w:id="5"/>
      </w:r>
      <w:r w:rsidRPr="00E73E5E">
        <w:rPr>
          <w:rFonts w:ascii="Verdana" w:eastAsia="Calibri" w:hAnsi="Verdana" w:cs="Arial"/>
          <w:sz w:val="21"/>
          <w:szCs w:val="21"/>
        </w:rPr>
        <w:t>, según el cual se requiere que el empleo público quede contemplado en la respectiva planta y previstos sus emolumentos en el presupuesto correspondiente .</w:t>
      </w:r>
    </w:p>
    <w:p w14:paraId="23DBC1E7" w14:textId="77777777" w:rsidR="00E73E5E" w:rsidRPr="00E73E5E" w:rsidRDefault="00E73E5E" w:rsidP="00E73E5E">
      <w:pPr>
        <w:spacing w:after="0" w:line="276" w:lineRule="auto"/>
        <w:ind w:left="709" w:right="709"/>
        <w:jc w:val="both"/>
        <w:rPr>
          <w:rFonts w:ascii="Verdana" w:eastAsia="Calibri" w:hAnsi="Verdana" w:cs="Arial"/>
          <w:sz w:val="21"/>
          <w:szCs w:val="21"/>
        </w:rPr>
      </w:pPr>
    </w:p>
    <w:p w14:paraId="40AA7DAE" w14:textId="77777777" w:rsidR="00E73E5E" w:rsidRPr="00E73E5E" w:rsidRDefault="00E73E5E" w:rsidP="00E73E5E">
      <w:pPr>
        <w:spacing w:after="0" w:line="240" w:lineRule="auto"/>
        <w:ind w:left="709" w:right="709"/>
        <w:jc w:val="both"/>
        <w:rPr>
          <w:rFonts w:ascii="Verdana" w:eastAsia="Calibri" w:hAnsi="Verdana" w:cs="Arial"/>
          <w:sz w:val="21"/>
          <w:szCs w:val="21"/>
        </w:rPr>
      </w:pPr>
      <w:r w:rsidRPr="00E73E5E">
        <w:rPr>
          <w:rFonts w:ascii="Verdana" w:eastAsia="Calibri" w:hAnsi="Verdana" w:cs="Arial"/>
          <w:sz w:val="21"/>
          <w:szCs w:val="21"/>
        </w:rPr>
        <w:t>v) Los contratos de prestación de servicios constituyen un género que incluye, como especies, los contratos de prestación de servicios profesionales, los contratos de prestación de servicios de apoyo a la gestión y los contratos de prestación de servicios artísticos que solo pueden encomendarse a determinadas personas naturales. La diferencia entre el contrato de prestación de servicios profesionales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67A44FFB" w14:textId="77777777" w:rsidR="00E73E5E" w:rsidRPr="00E73E5E" w:rsidRDefault="00E73E5E" w:rsidP="00E73E5E">
      <w:pPr>
        <w:spacing w:after="0" w:line="276" w:lineRule="auto"/>
        <w:jc w:val="both"/>
        <w:rPr>
          <w:rFonts w:ascii="Verdana" w:eastAsia="Calibri" w:hAnsi="Verdana" w:cs="Arial"/>
          <w:sz w:val="21"/>
          <w:szCs w:val="21"/>
        </w:rPr>
      </w:pPr>
    </w:p>
    <w:p w14:paraId="259D2CDF" w14:textId="77777777" w:rsidR="00E73E5E" w:rsidRPr="00E73E5E" w:rsidRDefault="00E73E5E" w:rsidP="00E73E5E">
      <w:pPr>
        <w:spacing w:after="0" w:line="240" w:lineRule="auto"/>
        <w:ind w:left="709" w:right="709"/>
        <w:jc w:val="both"/>
        <w:rPr>
          <w:rFonts w:ascii="Verdana" w:eastAsia="Calibri" w:hAnsi="Verdana" w:cs="Arial"/>
          <w:sz w:val="21"/>
          <w:szCs w:val="21"/>
        </w:rPr>
      </w:pPr>
      <w:r w:rsidRPr="00E73E5E">
        <w:rPr>
          <w:rFonts w:ascii="Verdana" w:eastAsia="Calibri" w:hAnsi="Verdana" w:cs="Arial"/>
          <w:sz w:val="21"/>
          <w:szCs w:val="21"/>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 </w:t>
      </w:r>
    </w:p>
    <w:p w14:paraId="19CF34F1" w14:textId="77777777" w:rsidR="00E73E5E" w:rsidRPr="00E73E5E" w:rsidRDefault="00E73E5E" w:rsidP="00E73E5E">
      <w:pPr>
        <w:spacing w:after="0" w:line="240" w:lineRule="auto"/>
        <w:ind w:left="709" w:right="709"/>
        <w:jc w:val="both"/>
        <w:rPr>
          <w:rFonts w:ascii="Verdana" w:eastAsia="Calibri" w:hAnsi="Verdana" w:cs="Arial"/>
          <w:sz w:val="21"/>
          <w:szCs w:val="21"/>
        </w:rPr>
      </w:pPr>
    </w:p>
    <w:p w14:paraId="3D2EB16E" w14:textId="77777777" w:rsidR="00E73E5E" w:rsidRPr="00E73E5E" w:rsidRDefault="00E73E5E" w:rsidP="00E73E5E">
      <w:pPr>
        <w:spacing w:after="0" w:line="240" w:lineRule="auto"/>
        <w:ind w:left="709" w:right="709"/>
        <w:jc w:val="both"/>
        <w:rPr>
          <w:rFonts w:ascii="Verdana" w:eastAsia="Calibri" w:hAnsi="Verdana" w:cs="Arial"/>
          <w:sz w:val="21"/>
          <w:szCs w:val="21"/>
        </w:rPr>
      </w:pPr>
      <w:r w:rsidRPr="00E73E5E">
        <w:rPr>
          <w:rFonts w:ascii="Verdana" w:eastAsia="Calibri" w:hAnsi="Verdana" w:cs="Arial"/>
          <w:sz w:val="21"/>
          <w:szCs w:val="21"/>
        </w:rPr>
        <w:lastRenderedPageBreak/>
        <w:t>Dentro de su objeto contractual pueden tener lugar actividades operativas, logísticas o asistenciales, siempre que satisfaga los requisitos antes mencionados y sea acorde con las necesidades de la Administración y el principio de planeación.</w:t>
      </w:r>
    </w:p>
    <w:p w14:paraId="4359A56C" w14:textId="77777777" w:rsidR="00E73E5E" w:rsidRPr="00E73E5E" w:rsidRDefault="00E73E5E" w:rsidP="00E73E5E">
      <w:pPr>
        <w:spacing w:after="0" w:line="240" w:lineRule="auto"/>
        <w:jc w:val="both"/>
        <w:rPr>
          <w:rFonts w:ascii="Verdana" w:eastAsia="Calibri" w:hAnsi="Verdana" w:cs="Arial"/>
          <w:color w:val="000000"/>
        </w:rPr>
      </w:pPr>
    </w:p>
    <w:p w14:paraId="612BFF9E" w14:textId="77777777" w:rsidR="00E73E5E" w:rsidRPr="00E73E5E" w:rsidRDefault="00E73E5E" w:rsidP="00E73E5E">
      <w:pPr>
        <w:numPr>
          <w:ilvl w:val="0"/>
          <w:numId w:val="18"/>
        </w:numPr>
        <w:spacing w:after="120" w:line="276" w:lineRule="auto"/>
        <w:contextualSpacing/>
        <w:jc w:val="both"/>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 xml:space="preserve">De este modo, para la celebración de contratos de prestación de servicios profesionales la ley exige que el contratista cuente con la formación profesional adecuada, que puede incluir tanto títulos profesionales como de tecnólogo, dependiendo de las necesidades específicas del servicio a contratar. Sin embargo, la decisión de aceptar un título de tecnólogo o un título profesional para la contratación queda a criterio de la entidad estatal, que debe evaluar si la formación y conocimientos del contratista son suficientes para cumplir con los requisitos técnicos del servicio. Así, la entidad debe asegurarse de que los contratistas, independientemente de su nivel académico, cuenten con las competencias necesarias para desarrollar las actividades encomendadas de acuerdo con los estándares de calidad y especialización requeridos. </w:t>
      </w:r>
    </w:p>
    <w:p w14:paraId="6FFA3300" w14:textId="77777777" w:rsidR="00E73E5E" w:rsidRPr="00E73E5E" w:rsidRDefault="00E73E5E" w:rsidP="00E73E5E">
      <w:pPr>
        <w:spacing w:after="0" w:line="240" w:lineRule="auto"/>
        <w:ind w:left="720"/>
        <w:contextualSpacing/>
        <w:jc w:val="both"/>
        <w:rPr>
          <w:rFonts w:ascii="Verdana" w:eastAsia="Calibri" w:hAnsi="Verdana" w:cs="Arial"/>
          <w:color w:val="000000"/>
          <w:kern w:val="2"/>
          <w:lang w:val="es-ES"/>
          <w14:ligatures w14:val="standardContextual"/>
        </w:rPr>
      </w:pPr>
    </w:p>
    <w:p w14:paraId="6C8388B3" w14:textId="77777777" w:rsidR="00E73E5E" w:rsidRPr="00E73E5E" w:rsidRDefault="00E73E5E" w:rsidP="00E73E5E">
      <w:pPr>
        <w:numPr>
          <w:ilvl w:val="0"/>
          <w:numId w:val="18"/>
        </w:numPr>
        <w:spacing w:after="120" w:line="276" w:lineRule="auto"/>
        <w:contextualSpacing/>
        <w:jc w:val="both"/>
        <w:rPr>
          <w:rFonts w:ascii="Verdana" w:eastAsia="Calibri" w:hAnsi="Verdana" w:cs="Arial"/>
          <w:color w:val="000000"/>
          <w:kern w:val="2"/>
          <w:lang w:val="es-MX"/>
          <w14:ligatures w14:val="standardContextual"/>
        </w:rPr>
      </w:pPr>
      <w:r w:rsidRPr="00E73E5E">
        <w:rPr>
          <w:rFonts w:ascii="Verdana" w:eastAsia="Calibri" w:hAnsi="Verdana" w:cs="Arial"/>
          <w:kern w:val="2"/>
          <w:lang w:val="es-ES"/>
          <w14:ligatures w14:val="standardContextual"/>
        </w:rPr>
        <w:t>Ahora bien, en relación con la exigencia de la tarjeta profesional para celebrar el contrato de prestación de servicios, el artículo 26 de la Constitución Política indica que: “La Ley podrá exigir títulos de idoneidad”. La Corte Constitucional establece que la Constitución Política autorizó al legislador para exigir títulos a quienes quieren desempeñar actividades que impliquen riesgo social, con el objetivo de demostrar la adecuada aptitud del aspirante</w:t>
      </w:r>
      <w:r w:rsidRPr="00E73E5E">
        <w:rPr>
          <w:rFonts w:ascii="Verdana" w:eastAsia="Calibri" w:hAnsi="Verdana" w:cs="Arial"/>
          <w:kern w:val="2"/>
          <w:vertAlign w:val="superscript"/>
          <w:lang w:val="es-ES"/>
          <w14:ligatures w14:val="standardContextual"/>
        </w:rPr>
        <w:footnoteReference w:id="6"/>
      </w:r>
      <w:r w:rsidRPr="00E73E5E">
        <w:rPr>
          <w:rFonts w:ascii="Verdana" w:eastAsia="Calibri" w:hAnsi="Verdana" w:cs="Arial"/>
          <w:kern w:val="2"/>
          <w:lang w:val="es-ES"/>
          <w14:ligatures w14:val="standardContextual"/>
        </w:rPr>
        <w:t>. En este sentido, la Ley, frente a determinadas</w:t>
      </w:r>
      <w:r w:rsidRPr="00E73E5E">
        <w:rPr>
          <w:rFonts w:ascii="Verdana" w:eastAsia="Calibri" w:hAnsi="Verdana" w:cs="Arial"/>
          <w:color w:val="000000"/>
          <w:kern w:val="2"/>
          <w:lang w:val="es-MX"/>
          <w14:ligatures w14:val="standardContextual"/>
        </w:rPr>
        <w:t xml:space="preserve"> profesiones, exige la tarjeta profesional cuando impliquen riesgo social para garantizar la aptitud del aspirante.</w:t>
      </w:r>
    </w:p>
    <w:p w14:paraId="0D20250E" w14:textId="77777777" w:rsidR="00E73E5E" w:rsidRPr="00E73E5E" w:rsidRDefault="00E73E5E" w:rsidP="00E73E5E">
      <w:pPr>
        <w:spacing w:after="0" w:line="240" w:lineRule="auto"/>
        <w:jc w:val="both"/>
        <w:rPr>
          <w:rFonts w:ascii="Verdana" w:eastAsia="Calibri" w:hAnsi="Verdana" w:cs="Arial"/>
          <w:color w:val="000000"/>
          <w:lang w:val="es-MX"/>
        </w:rPr>
      </w:pPr>
      <w:r w:rsidRPr="00E73E5E">
        <w:rPr>
          <w:rFonts w:ascii="Verdana" w:eastAsia="Calibri" w:hAnsi="Verdana" w:cs="Arial"/>
          <w:color w:val="000000"/>
          <w:lang w:val="es-MX"/>
        </w:rPr>
        <w:lastRenderedPageBreak/>
        <w:t xml:space="preserve"> </w:t>
      </w:r>
    </w:p>
    <w:p w14:paraId="253A3E76" w14:textId="77777777" w:rsidR="00E73E5E" w:rsidRPr="00E73E5E" w:rsidRDefault="00E73E5E" w:rsidP="00E73E5E">
      <w:pPr>
        <w:numPr>
          <w:ilvl w:val="0"/>
          <w:numId w:val="18"/>
        </w:numPr>
        <w:spacing w:after="120" w:line="276" w:lineRule="auto"/>
        <w:contextualSpacing/>
        <w:jc w:val="both"/>
        <w:rPr>
          <w:rFonts w:ascii="Verdana" w:eastAsia="Calibri" w:hAnsi="Verdana" w:cs="Arial"/>
          <w:color w:val="000000"/>
          <w:kern w:val="2"/>
          <w:lang w:val="es-MX"/>
          <w14:ligatures w14:val="standardContextual"/>
        </w:rPr>
      </w:pPr>
      <w:r w:rsidRPr="00E73E5E">
        <w:rPr>
          <w:rFonts w:ascii="Verdana" w:eastAsia="Calibri" w:hAnsi="Verdana" w:cs="Arial"/>
          <w:color w:val="000000"/>
          <w:kern w:val="2"/>
          <w:lang w:val="es-MX"/>
          <w14:ligatures w14:val="standardContextual"/>
        </w:rPr>
        <w:t>Para mayor claridad se ejemplifica con el Decreto 196 de 1971, que regula la profesión de abogado. De acuerdo con el artículo 4: “Para ejercer la profesión se requiere estar inscrito como abogado, sin perjuicio de las excepciones establecidas en este Decreto”. El Decreto Ley 2150 de 1995, artículo 90, establece que la inscripción se realiza ante la oficina de registro del Consejo Superior de la Judicatura</w:t>
      </w:r>
      <w:r w:rsidRPr="00E73E5E">
        <w:rPr>
          <w:rFonts w:ascii="Verdana" w:eastAsia="Calibri" w:hAnsi="Verdana" w:cs="Arial"/>
          <w:color w:val="000000"/>
          <w:kern w:val="2"/>
          <w:vertAlign w:val="superscript"/>
          <w:lang w:val="es-MX"/>
          <w14:ligatures w14:val="standardContextual"/>
        </w:rPr>
        <w:footnoteReference w:id="7"/>
      </w:r>
      <w:r w:rsidRPr="00E73E5E">
        <w:rPr>
          <w:rFonts w:ascii="Verdana" w:eastAsia="Calibri" w:hAnsi="Verdana" w:cs="Arial"/>
          <w:color w:val="000000"/>
          <w:kern w:val="2"/>
          <w:lang w:val="es-MX"/>
          <w14:ligatures w14:val="standardContextual"/>
        </w:rPr>
        <w:t xml:space="preserve">. Posterior a la inscripción se expide la tarjeta profesional. Conforme a lo anterior, para ejercer no se requiere la presentación de la tarjeta profesional sino su inscripción en el Consejo Superior de la Judicatura y, por lo tanto, será posible suscribir un contrato de prestación de servicios profesionales con un abogado a pesar de que no tenga tarjeta profesional, siempre y cuando se encuentre inscrito. </w:t>
      </w:r>
    </w:p>
    <w:p w14:paraId="467B0D6F" w14:textId="77777777" w:rsidR="00E73E5E" w:rsidRPr="00E73E5E" w:rsidRDefault="00E73E5E" w:rsidP="00E73E5E">
      <w:pPr>
        <w:spacing w:after="0" w:line="240" w:lineRule="auto"/>
        <w:jc w:val="both"/>
        <w:rPr>
          <w:rFonts w:ascii="Verdana" w:eastAsia="Calibri" w:hAnsi="Verdana" w:cs="Arial"/>
          <w:color w:val="000000"/>
          <w:lang w:val="es-MX"/>
        </w:rPr>
      </w:pPr>
    </w:p>
    <w:p w14:paraId="79BF299F" w14:textId="77777777" w:rsidR="00E73E5E" w:rsidRPr="00E73E5E" w:rsidRDefault="00E73E5E" w:rsidP="00E73E5E">
      <w:pPr>
        <w:numPr>
          <w:ilvl w:val="0"/>
          <w:numId w:val="18"/>
        </w:numPr>
        <w:spacing w:after="120" w:line="276" w:lineRule="auto"/>
        <w:contextualSpacing/>
        <w:jc w:val="both"/>
        <w:rPr>
          <w:rFonts w:ascii="Verdana" w:eastAsia="Calibri" w:hAnsi="Verdana" w:cs="Arial"/>
          <w:color w:val="000000"/>
          <w:kern w:val="2"/>
          <w:lang w:val="es-MX"/>
          <w14:ligatures w14:val="standardContextual"/>
        </w:rPr>
      </w:pPr>
      <w:r w:rsidRPr="00E73E5E">
        <w:rPr>
          <w:rFonts w:ascii="Verdana" w:eastAsia="Calibri" w:hAnsi="Verdana" w:cs="Arial"/>
          <w:color w:val="000000"/>
          <w:kern w:val="2"/>
          <w:lang w:val="es-MX"/>
          <w14:ligatures w14:val="standardContextual"/>
        </w:rPr>
        <w:t>Por otro lado, la Ley 842 de 2003, que regula el ejercicio de la ingeniería, establece, en el artículo 6, que, para ejercer la ingeniería, sus profesiones afines o sus profesiones auxiliares se requiere estar matriculado o inscrito en el Registro Profesional que lleva el Copnia, lo cual se acredita con la tarjeta o documento adoptado por este para tal fin</w:t>
      </w:r>
      <w:r w:rsidRPr="00E73E5E">
        <w:rPr>
          <w:rFonts w:ascii="Verdana" w:eastAsia="Calibri" w:hAnsi="Verdana" w:cs="Arial"/>
          <w:color w:val="000000"/>
          <w:kern w:val="2"/>
          <w:vertAlign w:val="superscript"/>
          <w:lang w:val="es-MX"/>
          <w14:ligatures w14:val="standardContextual"/>
        </w:rPr>
        <w:footnoteReference w:id="8"/>
      </w:r>
      <w:r w:rsidRPr="00E73E5E">
        <w:rPr>
          <w:rFonts w:ascii="Verdana" w:eastAsia="Calibri" w:hAnsi="Verdana" w:cs="Arial"/>
          <w:color w:val="000000"/>
          <w:kern w:val="2"/>
          <w:lang w:val="es-MX"/>
          <w14:ligatures w14:val="standardContextual"/>
        </w:rPr>
        <w:t>, por lo tanto, la entidad estatal debe exigir la tarjeta profesional para celebrar el contrato estatal.</w:t>
      </w:r>
    </w:p>
    <w:p w14:paraId="35ACB1D9" w14:textId="77777777" w:rsidR="00E73E5E" w:rsidRPr="00E73E5E" w:rsidRDefault="00E73E5E" w:rsidP="00E73E5E">
      <w:pPr>
        <w:spacing w:after="0" w:line="240" w:lineRule="auto"/>
        <w:jc w:val="both"/>
        <w:rPr>
          <w:rFonts w:ascii="Verdana" w:eastAsia="Calibri" w:hAnsi="Verdana" w:cs="Arial"/>
          <w:color w:val="000000"/>
          <w:lang w:val="es-MX"/>
        </w:rPr>
      </w:pPr>
    </w:p>
    <w:p w14:paraId="3D2F99B0" w14:textId="77777777" w:rsidR="00E73E5E" w:rsidRPr="00E73E5E" w:rsidRDefault="00E73E5E" w:rsidP="00E73E5E">
      <w:pPr>
        <w:numPr>
          <w:ilvl w:val="0"/>
          <w:numId w:val="18"/>
        </w:numPr>
        <w:spacing w:after="120" w:line="276" w:lineRule="auto"/>
        <w:contextualSpacing/>
        <w:jc w:val="both"/>
        <w:rPr>
          <w:rFonts w:ascii="Verdana" w:eastAsia="Calibri" w:hAnsi="Verdana" w:cs="Arial"/>
          <w:color w:val="000000"/>
          <w:kern w:val="2"/>
          <w:lang w:val="es-ES"/>
          <w14:ligatures w14:val="standardContextual"/>
        </w:rPr>
      </w:pPr>
      <w:r w:rsidRPr="00E73E5E">
        <w:rPr>
          <w:rFonts w:ascii="Verdana" w:eastAsia="Calibri" w:hAnsi="Verdana" w:cs="Arial"/>
          <w:color w:val="000000"/>
          <w:kern w:val="2"/>
          <w:lang w:val="es-MX"/>
          <w14:ligatures w14:val="standardContextual"/>
        </w:rPr>
        <w:t xml:space="preserve">En esta misma línea, el Departamento Administrativo de la Función Pública, en el Concepto No. 20166000036031 de 23 de febrero de 2016, citado por el peticionario, señaló que, en cada caso, es necesario revisar </w:t>
      </w:r>
      <w:r w:rsidRPr="00E73E5E">
        <w:rPr>
          <w:rFonts w:ascii="Verdana" w:eastAsia="Calibri" w:hAnsi="Verdana" w:cs="Arial"/>
          <w:color w:val="000000"/>
          <w:kern w:val="2"/>
          <w:lang w:val="es-MX"/>
          <w14:ligatures w14:val="standardContextual"/>
        </w:rPr>
        <w:lastRenderedPageBreak/>
        <w:t>las leyes que regulan el ejercicio de las profesiones reconocidas en el país, para determinar si se requiere o no la tarjeta profesional para el ejercicio de estas.</w:t>
      </w:r>
    </w:p>
    <w:p w14:paraId="6627D631" w14:textId="77777777" w:rsidR="00E73E5E" w:rsidRPr="00E73E5E" w:rsidRDefault="00E73E5E" w:rsidP="00E73E5E">
      <w:pPr>
        <w:spacing w:line="256" w:lineRule="auto"/>
        <w:ind w:left="720"/>
        <w:contextualSpacing/>
        <w:rPr>
          <w:rFonts w:ascii="Verdana" w:eastAsia="Calibri" w:hAnsi="Verdana" w:cs="Arial"/>
          <w:color w:val="000000"/>
          <w:kern w:val="2"/>
          <w:lang w:val="es-ES"/>
          <w14:ligatures w14:val="standardContextual"/>
        </w:rPr>
      </w:pPr>
    </w:p>
    <w:p w14:paraId="21510D2A" w14:textId="77777777" w:rsidR="00E73E5E" w:rsidRPr="00E73E5E" w:rsidRDefault="00E73E5E" w:rsidP="00E73E5E">
      <w:pPr>
        <w:numPr>
          <w:ilvl w:val="0"/>
          <w:numId w:val="18"/>
        </w:numPr>
        <w:spacing w:after="120" w:line="276" w:lineRule="auto"/>
        <w:contextualSpacing/>
        <w:jc w:val="both"/>
        <w:rPr>
          <w:rFonts w:ascii="Verdana" w:eastAsia="Calibri" w:hAnsi="Verdana" w:cs="Arial"/>
          <w:color w:val="000000"/>
          <w:kern w:val="2"/>
          <w:lang w:val="es-ES"/>
          <w14:ligatures w14:val="standardContextual"/>
        </w:rPr>
      </w:pPr>
      <w:r w:rsidRPr="00E73E5E">
        <w:rPr>
          <w:rFonts w:ascii="Verdana" w:eastAsia="Calibri" w:hAnsi="Verdana" w:cs="Arial"/>
          <w:color w:val="000000"/>
          <w:kern w:val="2"/>
          <w:lang w:val="es-ES"/>
          <w14:ligatures w14:val="standardContextual"/>
        </w:rPr>
        <w:t>De este modo, la exigencia de la tarjeta profesional para celebrar un contrato de prestación de servicios depende de la normativa específica de cada profesión. Mientras que, en profesiones como la abogacía, la inscripción en registros oficiales es suficiente, en otras como la ingeniería, sí se requiere la tarjeta profesional. Por lo tanto, las entidades estatales deben revisar las leyes aplicables a cada caso para garantizar que se cumplan los requisitos correspondientes.</w:t>
      </w:r>
    </w:p>
    <w:p w14:paraId="3D72C54C" w14:textId="77777777" w:rsidR="00E73E5E" w:rsidRPr="00E73E5E" w:rsidRDefault="00E73E5E" w:rsidP="00E73E5E">
      <w:pPr>
        <w:spacing w:after="0" w:line="240" w:lineRule="auto"/>
        <w:ind w:left="720"/>
        <w:contextualSpacing/>
        <w:jc w:val="both"/>
        <w:rPr>
          <w:rFonts w:ascii="Verdana" w:eastAsia="Calibri" w:hAnsi="Verdana" w:cs="Arial"/>
          <w:color w:val="000000"/>
          <w:kern w:val="2"/>
          <w:lang w:val="es-ES"/>
          <w14:ligatures w14:val="standardContextual"/>
        </w:rPr>
      </w:pPr>
    </w:p>
    <w:p w14:paraId="7707C18F" w14:textId="77777777" w:rsidR="00E73E5E" w:rsidRPr="00E73E5E" w:rsidRDefault="00E73E5E" w:rsidP="00E73E5E">
      <w:pPr>
        <w:numPr>
          <w:ilvl w:val="0"/>
          <w:numId w:val="18"/>
        </w:numPr>
        <w:spacing w:after="120" w:line="276" w:lineRule="auto"/>
        <w:contextualSpacing/>
        <w:jc w:val="both"/>
        <w:rPr>
          <w:rFonts w:ascii="Verdana" w:eastAsia="Calibri" w:hAnsi="Verdana" w:cs="Arial"/>
          <w:color w:val="000000"/>
          <w:kern w:val="2"/>
          <w:lang w:val="es-ES"/>
          <w14:ligatures w14:val="standardContextual"/>
        </w:rPr>
      </w:pPr>
      <w:r w:rsidRPr="00E73E5E">
        <w:rPr>
          <w:rFonts w:ascii="Verdana" w:eastAsia="Calibri" w:hAnsi="Verdana" w:cs="Arial"/>
          <w:color w:val="000000"/>
          <w:kern w:val="2"/>
          <w:lang w:val="es-ES"/>
          <w14:ligatures w14:val="standardContextual"/>
        </w:rPr>
        <w:t>Así mismo, el artículo 2.2.1.2.1.4.9 del Decreto 1082 de 2015 establece que las entidades estatales deben evaluar la idoneidad de los contratistas, y también la experiencia. La idoneidad se refiere a la capacidad técnica, profesional y operativa del contratista, basada en su formación académica y conocimientos especializados requeridos para ejecutar el contrato, mientras que la experiencia se evalúa a partir de la trayectoria en contratos previos similares en cuanto a duración y tipo de actividades realizadas. Ambos aspectos deben ser evaluados de manera integral en los estudios previos para asegurar que el contratista elegido posea las competencias y la experiencia necesarias para cumplir con el objeto del contrato. Esto implica que las entidades estatales deben justificar claramente los requisitos establecidos en sus estudios previos, garantizando un proceso de selección transparente y conforme a la ley.</w:t>
      </w:r>
    </w:p>
    <w:p w14:paraId="7F9979B1" w14:textId="77777777" w:rsidR="00E73E5E" w:rsidRPr="00E73E5E" w:rsidRDefault="00E73E5E" w:rsidP="00E73E5E">
      <w:pPr>
        <w:spacing w:after="0" w:line="240" w:lineRule="auto"/>
        <w:ind w:left="720"/>
        <w:contextualSpacing/>
        <w:jc w:val="both"/>
        <w:rPr>
          <w:rFonts w:ascii="Verdana" w:eastAsia="Calibri" w:hAnsi="Verdana" w:cs="Arial"/>
          <w:color w:val="000000"/>
          <w:kern w:val="2"/>
          <w:lang w:val="es-ES"/>
          <w14:ligatures w14:val="standardContextual"/>
        </w:rPr>
      </w:pPr>
    </w:p>
    <w:p w14:paraId="3DDE6720" w14:textId="77777777" w:rsidR="00E73E5E" w:rsidRPr="00E73E5E" w:rsidRDefault="00E73E5E" w:rsidP="00E73E5E">
      <w:pPr>
        <w:numPr>
          <w:ilvl w:val="0"/>
          <w:numId w:val="18"/>
        </w:numPr>
        <w:spacing w:after="120" w:line="276" w:lineRule="auto"/>
        <w:contextualSpacing/>
        <w:jc w:val="both"/>
        <w:rPr>
          <w:rFonts w:ascii="Verdana" w:eastAsia="Calibri" w:hAnsi="Verdana" w:cs="Arial"/>
          <w:color w:val="000000"/>
          <w:kern w:val="2"/>
          <w:lang w:val="es-ES"/>
          <w14:ligatures w14:val="standardContextual"/>
        </w:rPr>
      </w:pPr>
      <w:r w:rsidRPr="00E73E5E">
        <w:rPr>
          <w:rFonts w:ascii="Verdana" w:eastAsia="Calibri" w:hAnsi="Verdana" w:cs="Arial"/>
          <w:color w:val="000000"/>
          <w:kern w:val="2"/>
          <w:lang w:val="es-ES"/>
          <w14:ligatures w14:val="standardContextual"/>
        </w:rPr>
        <w:t xml:space="preserve">Este artículo subraya la autonomía de las entidades al determinar los requisitos específicos para los contratistas, incluyendo las exigencias sobre los estudios académicos y la experiencia profesional. Es decir, la entidad tiene la facultad de definir qué nivel de experiencia o formación académica es necesario para cumplir con los objetivos del contrato, en función de las actividades que se vayan a ejecutar. No existe una equivalencia automática ni general entre la experiencia y los estudios, por lo que la entidad puede decidir si requiere, por ejemplo, un título universitario o solo experiencia en un campo específico, según lo que </w:t>
      </w:r>
      <w:r w:rsidRPr="00E73E5E">
        <w:rPr>
          <w:rFonts w:ascii="Verdana" w:eastAsia="Calibri" w:hAnsi="Verdana" w:cs="Arial"/>
          <w:color w:val="000000"/>
          <w:kern w:val="2"/>
          <w:lang w:val="es-ES"/>
          <w14:ligatures w14:val="standardContextual"/>
        </w:rPr>
        <w:lastRenderedPageBreak/>
        <w:t>estime necesario para garantizar el éxito del contrato y la idoneidad del contratista.</w:t>
      </w:r>
    </w:p>
    <w:p w14:paraId="1826F8CA" w14:textId="77777777" w:rsidR="00E73E5E" w:rsidRPr="00E73E5E" w:rsidRDefault="00E73E5E" w:rsidP="00E73E5E">
      <w:pPr>
        <w:spacing w:after="0" w:line="240" w:lineRule="auto"/>
        <w:ind w:left="720"/>
        <w:contextualSpacing/>
        <w:jc w:val="both"/>
        <w:rPr>
          <w:rFonts w:ascii="Verdana" w:eastAsia="Calibri" w:hAnsi="Verdana" w:cs="Arial"/>
          <w:color w:val="000000"/>
          <w:kern w:val="2"/>
          <w:lang w:val="es-ES"/>
          <w14:ligatures w14:val="standardContextual"/>
        </w:rPr>
      </w:pPr>
    </w:p>
    <w:p w14:paraId="2A231FC5" w14:textId="77777777" w:rsidR="00E73E5E" w:rsidRPr="00E73E5E" w:rsidRDefault="00E73E5E" w:rsidP="00E73E5E">
      <w:pPr>
        <w:numPr>
          <w:ilvl w:val="0"/>
          <w:numId w:val="14"/>
        </w:numPr>
        <w:tabs>
          <w:tab w:val="left" w:pos="142"/>
          <w:tab w:val="left" w:pos="284"/>
        </w:tabs>
        <w:spacing w:after="0" w:line="276" w:lineRule="auto"/>
        <w:ind w:left="0" w:firstLine="0"/>
        <w:contextualSpacing/>
        <w:jc w:val="both"/>
        <w:rPr>
          <w:rFonts w:ascii="Verdana" w:eastAsia="Century Gothic" w:hAnsi="Verdana" w:cs="Century Gothic"/>
          <w:b/>
          <w:bCs/>
          <w:kern w:val="2"/>
          <w:lang w:val="es-ES"/>
          <w14:ligatures w14:val="standardContextual"/>
        </w:rPr>
      </w:pPr>
      <w:r w:rsidRPr="00E73E5E">
        <w:rPr>
          <w:rFonts w:ascii="Verdana" w:eastAsia="Century Gothic" w:hAnsi="Verdana" w:cs="Century Gothic"/>
          <w:b/>
          <w:bCs/>
          <w:kern w:val="2"/>
          <w:lang w:val="es-ES"/>
          <w14:ligatures w14:val="standardContextual"/>
        </w:rPr>
        <w:t>Referencias normativas, jurisprudenciales y otras fuentes:</w:t>
      </w:r>
    </w:p>
    <w:p w14:paraId="20869FDC" w14:textId="77777777" w:rsidR="00E73E5E" w:rsidRPr="00E73E5E" w:rsidRDefault="00E73E5E" w:rsidP="00E73E5E">
      <w:pPr>
        <w:widowControl w:val="0"/>
        <w:autoSpaceDE w:val="0"/>
        <w:autoSpaceDN w:val="0"/>
        <w:spacing w:after="0" w:line="276" w:lineRule="auto"/>
        <w:jc w:val="both"/>
        <w:rPr>
          <w:rFonts w:ascii="Verdana" w:eastAsia="Calibri" w:hAnsi="Verdana" w:cs="Arial"/>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E73E5E" w:rsidRPr="00E73E5E" w14:paraId="634B0A71" w14:textId="77777777" w:rsidTr="00E73E5E">
        <w:trPr>
          <w:trHeight w:val="870"/>
        </w:trPr>
        <w:tc>
          <w:tcPr>
            <w:tcW w:w="8647" w:type="dxa"/>
            <w:tcBorders>
              <w:top w:val="dotted" w:sz="4" w:space="0" w:color="auto"/>
              <w:left w:val="dotted" w:sz="4" w:space="0" w:color="auto"/>
              <w:bottom w:val="dotted" w:sz="4" w:space="0" w:color="auto"/>
              <w:right w:val="dotted" w:sz="4" w:space="0" w:color="auto"/>
            </w:tcBorders>
            <w:hideMark/>
          </w:tcPr>
          <w:p w14:paraId="67AF85D9" w14:textId="77777777" w:rsidR="00E73E5E" w:rsidRPr="00E73E5E" w:rsidRDefault="00E73E5E" w:rsidP="00E73E5E">
            <w:pPr>
              <w:numPr>
                <w:ilvl w:val="0"/>
                <w:numId w:val="19"/>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 xml:space="preserve">Ley 80 de 1993, artículo 25 y artículo 32 numeral 3°. </w:t>
            </w:r>
          </w:p>
          <w:p w14:paraId="53AEC83F" w14:textId="77777777" w:rsidR="00E73E5E" w:rsidRPr="00E73E5E" w:rsidRDefault="00E73E5E" w:rsidP="00E73E5E">
            <w:pPr>
              <w:numPr>
                <w:ilvl w:val="0"/>
                <w:numId w:val="19"/>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 xml:space="preserve">Decreto 1082 de 2015, artículos 2.2.1.1.2.1.1., </w:t>
            </w:r>
            <w:r w:rsidRPr="00E73E5E">
              <w:rPr>
                <w:rFonts w:ascii="Verdana" w:eastAsia="Calibri" w:hAnsi="Verdana" w:cs="Arial"/>
                <w:color w:val="000000"/>
                <w:kern w:val="2"/>
                <w:lang w:val="es-ES"/>
                <w14:ligatures w14:val="standardContextual"/>
              </w:rPr>
              <w:t xml:space="preserve">2.2.1.2.1.4.9 </w:t>
            </w:r>
            <w:r w:rsidRPr="00E73E5E">
              <w:rPr>
                <w:rFonts w:ascii="Verdana" w:eastAsia="Calibri" w:hAnsi="Verdana" w:cs="Arial"/>
                <w:kern w:val="2"/>
                <w:lang w:val="es-ES"/>
                <w14:ligatures w14:val="standardContextual"/>
              </w:rPr>
              <w:t>y 2.2.1.1.1.6.1.</w:t>
            </w:r>
          </w:p>
          <w:p w14:paraId="734500BC" w14:textId="77777777" w:rsidR="00E73E5E" w:rsidRPr="00E73E5E" w:rsidRDefault="00E73E5E" w:rsidP="00E73E5E">
            <w:pPr>
              <w:numPr>
                <w:ilvl w:val="0"/>
                <w:numId w:val="19"/>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Decreto 1083 de 2015, Artículo 2.1.1.1.</w:t>
            </w:r>
          </w:p>
          <w:p w14:paraId="393A230F" w14:textId="77777777" w:rsidR="00E73E5E" w:rsidRPr="00E73E5E" w:rsidRDefault="00E73E5E" w:rsidP="00E73E5E">
            <w:pPr>
              <w:numPr>
                <w:ilvl w:val="0"/>
                <w:numId w:val="19"/>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Ley 1150 de 2007, artículo 2, numeral 4°, literal h) de la</w:t>
            </w:r>
          </w:p>
          <w:p w14:paraId="065FCC8C" w14:textId="77777777" w:rsidR="00E73E5E" w:rsidRPr="00E73E5E" w:rsidRDefault="00E73E5E" w:rsidP="00E73E5E">
            <w:pPr>
              <w:numPr>
                <w:ilvl w:val="0"/>
                <w:numId w:val="19"/>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 xml:space="preserve">Consejo de Estado. Sección Tercera. Subsección B. Sentencia del 31 de agosto de 2011. </w:t>
            </w:r>
            <w:proofErr w:type="spellStart"/>
            <w:r w:rsidRPr="00E73E5E">
              <w:rPr>
                <w:rFonts w:ascii="Verdana" w:eastAsia="Calibri" w:hAnsi="Verdana" w:cs="Arial"/>
                <w:kern w:val="2"/>
                <w:lang w:val="es-ES"/>
                <w14:ligatures w14:val="standardContextual"/>
              </w:rPr>
              <w:t>Exp</w:t>
            </w:r>
            <w:proofErr w:type="spellEnd"/>
            <w:r w:rsidRPr="00E73E5E">
              <w:rPr>
                <w:rFonts w:ascii="Verdana" w:eastAsia="Calibri" w:hAnsi="Verdana" w:cs="Arial"/>
                <w:kern w:val="2"/>
                <w:lang w:val="es-ES"/>
                <w14:ligatures w14:val="standardContextual"/>
              </w:rPr>
              <w:t>. 18.080.</w:t>
            </w:r>
          </w:p>
          <w:p w14:paraId="2436BF06" w14:textId="77777777" w:rsidR="00E73E5E" w:rsidRPr="00E73E5E" w:rsidRDefault="00E73E5E" w:rsidP="00E73E5E">
            <w:pPr>
              <w:numPr>
                <w:ilvl w:val="0"/>
                <w:numId w:val="19"/>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Colombia Compra Eficiente, Guía de Elaboración de Estudios de Sector - GEES del 24 de junio de 2022. Disponible en:  chrome-extension://efaidnbmnnnibpcajpcglclefindmkaj/https://www.colombiacompra.gov.co/sites/cce_public/files/cce_documentos/cce-eicp-gi-18._gees_v.2_2.pdf</w:t>
            </w:r>
          </w:p>
        </w:tc>
      </w:tr>
    </w:tbl>
    <w:p w14:paraId="50DC72E8" w14:textId="77777777" w:rsidR="00E73E5E" w:rsidRPr="00E73E5E" w:rsidRDefault="00E73E5E" w:rsidP="00E73E5E">
      <w:pPr>
        <w:widowControl w:val="0"/>
        <w:autoSpaceDE w:val="0"/>
        <w:autoSpaceDN w:val="0"/>
        <w:spacing w:after="0" w:line="276" w:lineRule="auto"/>
        <w:jc w:val="both"/>
        <w:rPr>
          <w:rFonts w:ascii="Verdana" w:eastAsia="Calibri" w:hAnsi="Verdana" w:cs="Arial"/>
        </w:rPr>
      </w:pPr>
    </w:p>
    <w:p w14:paraId="343110AA" w14:textId="77777777" w:rsidR="00E73E5E" w:rsidRPr="00E73E5E" w:rsidRDefault="00E73E5E" w:rsidP="00E73E5E">
      <w:pPr>
        <w:numPr>
          <w:ilvl w:val="0"/>
          <w:numId w:val="14"/>
        </w:numPr>
        <w:tabs>
          <w:tab w:val="left" w:pos="142"/>
          <w:tab w:val="left" w:pos="284"/>
        </w:tabs>
        <w:spacing w:after="0" w:line="276" w:lineRule="auto"/>
        <w:ind w:left="0" w:firstLine="0"/>
        <w:contextualSpacing/>
        <w:jc w:val="both"/>
        <w:rPr>
          <w:rFonts w:ascii="Verdana" w:eastAsia="Century Gothic" w:hAnsi="Verdana" w:cs="Century Gothic"/>
          <w:b/>
          <w:bCs/>
          <w:kern w:val="2"/>
          <w:lang w:val="es-ES"/>
          <w14:ligatures w14:val="standardContextual"/>
        </w:rPr>
      </w:pPr>
      <w:r w:rsidRPr="00E73E5E">
        <w:rPr>
          <w:rFonts w:ascii="Verdana" w:eastAsia="Century Gothic" w:hAnsi="Verdana" w:cs="Century Gothic"/>
          <w:b/>
          <w:bCs/>
          <w:kern w:val="2"/>
          <w:lang w:val="es-ES"/>
          <w14:ligatures w14:val="standardContextual"/>
        </w:rPr>
        <w:t>Doctrina de la Agencia Nacional de Contratación Pública:</w:t>
      </w:r>
    </w:p>
    <w:p w14:paraId="59591030" w14:textId="77777777" w:rsidR="00E73E5E" w:rsidRPr="00E73E5E" w:rsidRDefault="00E73E5E" w:rsidP="00E73E5E">
      <w:pPr>
        <w:widowControl w:val="0"/>
        <w:autoSpaceDE w:val="0"/>
        <w:autoSpaceDN w:val="0"/>
        <w:spacing w:after="0" w:line="276" w:lineRule="auto"/>
        <w:jc w:val="both"/>
        <w:rPr>
          <w:rFonts w:ascii="Verdana" w:eastAsia="Calibri" w:hAnsi="Verdana" w:cs="Arial"/>
        </w:rPr>
      </w:pPr>
    </w:p>
    <w:p w14:paraId="48CEF7C0" w14:textId="77777777" w:rsidR="00E73E5E" w:rsidRPr="00E73E5E" w:rsidRDefault="00E73E5E" w:rsidP="00E73E5E">
      <w:pPr>
        <w:spacing w:line="276" w:lineRule="auto"/>
        <w:jc w:val="both"/>
        <w:rPr>
          <w:rFonts w:ascii="Verdana" w:eastAsia="Calibri" w:hAnsi="Verdana" w:cs="Arial"/>
          <w:color w:val="000000"/>
          <w:lang w:val="es-ES"/>
        </w:rPr>
      </w:pPr>
      <w:r w:rsidRPr="00E73E5E">
        <w:rPr>
          <w:rFonts w:ascii="Verdana" w:eastAsia="Calibri" w:hAnsi="Verdana" w:cs="Arial"/>
          <w:color w:val="000000"/>
          <w:lang w:val="es-ES_tradnl"/>
        </w:rPr>
        <w:t xml:space="preserve">Sobre el deber de elaborar análisis del sector frente a procesos de contratación se pronunció esta Subdirección en los conceptos 2202013000000037 del 7 de enero de 2020, C-223 del 29 de abril de 2020 y C-148 de 2021. Igualmente, se reiteran los conceptos C-387 del 23 de junio de 2020, </w:t>
      </w:r>
      <w:r w:rsidRPr="00E73E5E">
        <w:rPr>
          <w:rFonts w:ascii="Verdana" w:eastAsia="Calibri" w:hAnsi="Verdana" w:cs="Arial"/>
          <w:color w:val="000000"/>
        </w:rPr>
        <w:t xml:space="preserve">C-415 del 7 de julio </w:t>
      </w:r>
      <w:r w:rsidRPr="00E73E5E">
        <w:rPr>
          <w:rFonts w:ascii="Verdana" w:eastAsia="Calibri" w:hAnsi="Verdana" w:cs="Arial"/>
          <w:color w:val="000000"/>
          <w:lang w:val="es-ES_tradnl"/>
        </w:rPr>
        <w:t>de 2020</w:t>
      </w:r>
      <w:r w:rsidRPr="00E73E5E">
        <w:rPr>
          <w:rFonts w:ascii="Verdana" w:eastAsia="Calibri" w:hAnsi="Verdana" w:cs="Arial"/>
          <w:color w:val="000000"/>
        </w:rPr>
        <w:t>, C-443 del 7 de julio de 2020, C-387 del 23 de junio de 2020</w:t>
      </w:r>
      <w:r w:rsidRPr="00E73E5E">
        <w:rPr>
          <w:rFonts w:ascii="Verdana" w:eastAsia="Calibri" w:hAnsi="Verdana" w:cs="Arial"/>
          <w:color w:val="000000"/>
          <w:lang w:val="es-ES_tradnl"/>
        </w:rPr>
        <w:t xml:space="preserve">, C-223 del 29 de abril de 2020, C-671 de 2020 de 23 de noviembre de 2020, C-215 del 12 de mayo de 2021, C-742 del 27 de diciembre de 2021, </w:t>
      </w:r>
      <w:r w:rsidRPr="00E73E5E">
        <w:rPr>
          <w:rFonts w:ascii="Verdana" w:eastAsia="Calibri" w:hAnsi="Verdana" w:cs="Arial"/>
          <w:color w:val="000000"/>
          <w:lang w:val="es-ES"/>
        </w:rPr>
        <w:t>C-519 del 13 de septiembre de 2022, C-716 del 15 de noviembre de 2022, C-856 del 13 de diciembre de 2022, C-235 del 5 de julio de 2023 y C-604 del 25 de octubre de 2024. Estos</w:t>
      </w:r>
      <w:r w:rsidRPr="00E73E5E">
        <w:rPr>
          <w:rFonts w:ascii="Verdana" w:eastAsia="Calibri" w:hAnsi="Verdana" w:cs="Arial"/>
          <w:color w:val="000000"/>
        </w:rPr>
        <w:t xml:space="preserve"> y otros conceptos se encuentran disponibles para consulta en el Sistema de relatoría de la Agencia, al cual se puede acceder a través del siguiente enlace:</w:t>
      </w:r>
      <w:r w:rsidRPr="00E73E5E">
        <w:rPr>
          <w:rFonts w:ascii="Verdana" w:eastAsia="Calibri" w:hAnsi="Verdana" w:cs="Arial"/>
          <w:color w:val="000000"/>
          <w:lang w:val="es-ES"/>
        </w:rPr>
        <w:t xml:space="preserve"> </w:t>
      </w:r>
      <w:hyperlink r:id="rId12" w:history="1">
        <w:r w:rsidRPr="00E73E5E">
          <w:rPr>
            <w:rFonts w:ascii="Verdana" w:eastAsia="Calibri" w:hAnsi="Verdana" w:cs="Arial"/>
            <w:color w:val="0000FF"/>
            <w:u w:val="single"/>
            <w:lang w:val="es-ES"/>
          </w:rPr>
          <w:t>https://relatoria.colombiacompra.gov.co/busqueda/conceptos</w:t>
        </w:r>
      </w:hyperlink>
    </w:p>
    <w:p w14:paraId="47035352" w14:textId="77777777" w:rsidR="00E73E5E" w:rsidRPr="00E73E5E" w:rsidRDefault="00E73E5E" w:rsidP="00E73E5E">
      <w:pPr>
        <w:widowControl w:val="0"/>
        <w:autoSpaceDE w:val="0"/>
        <w:autoSpaceDN w:val="0"/>
        <w:spacing w:after="0" w:line="276" w:lineRule="auto"/>
        <w:jc w:val="both"/>
        <w:rPr>
          <w:rFonts w:ascii="Calibri" w:eastAsia="Calibri" w:hAnsi="Calibri"/>
          <w:color w:val="FF0000"/>
          <w:shd w:val="clear" w:color="auto" w:fill="FFFFFF"/>
        </w:rPr>
      </w:pPr>
    </w:p>
    <w:p w14:paraId="65A05112" w14:textId="77777777" w:rsidR="00E73E5E" w:rsidRPr="00E73E5E" w:rsidRDefault="00E73E5E" w:rsidP="00E73E5E">
      <w:pPr>
        <w:widowControl w:val="0"/>
        <w:autoSpaceDE w:val="0"/>
        <w:autoSpaceDN w:val="0"/>
        <w:spacing w:after="0" w:line="276" w:lineRule="auto"/>
        <w:jc w:val="both"/>
        <w:rPr>
          <w:rFonts w:ascii="Calibri" w:eastAsia="Calibri" w:hAnsi="Calibri"/>
        </w:rPr>
      </w:pPr>
      <w:r w:rsidRPr="00E73E5E">
        <w:rPr>
          <w:rFonts w:ascii="Verdana" w:eastAsia="Calibri" w:hAnsi="Verdana" w:cs="Arial"/>
          <w:shd w:val="clear" w:color="auto" w:fill="FFFFFF"/>
        </w:rPr>
        <w:t xml:space="preserve">Le informamos que ya se encuentra disponible la actualización del Manual de Acuerdos Comerciales en Procesos de Contratación. Esta herramienta ofrece una orientación valiosa para que las entidades públicas determinen los acuerdos </w:t>
      </w:r>
      <w:r w:rsidRPr="00E73E5E">
        <w:rPr>
          <w:rFonts w:ascii="Verdana" w:eastAsia="Calibri" w:hAnsi="Verdana" w:cs="Arial"/>
          <w:shd w:val="clear" w:color="auto" w:fill="FFFFFF"/>
        </w:rPr>
        <w:lastRenderedPageBreak/>
        <w:t>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E73E5E">
          <w:rPr>
            <w:rFonts w:ascii="Verdana" w:eastAsia="Calibri" w:hAnsi="Verdana" w:cs="Arial"/>
            <w:color w:val="0000FF"/>
            <w:u w:val="single"/>
            <w:shd w:val="clear" w:color="auto" w:fill="FFFFFF"/>
          </w:rPr>
          <w:t>manual_para_el_manejo_de_acuerdos_comerciales_vf.pdf</w:t>
        </w:r>
      </w:hyperlink>
    </w:p>
    <w:p w14:paraId="5253090A" w14:textId="77777777" w:rsidR="00E73E5E" w:rsidRPr="00E73E5E" w:rsidRDefault="00E73E5E" w:rsidP="00E73E5E">
      <w:pPr>
        <w:widowControl w:val="0"/>
        <w:autoSpaceDE w:val="0"/>
        <w:autoSpaceDN w:val="0"/>
        <w:spacing w:after="0" w:line="276" w:lineRule="auto"/>
        <w:jc w:val="both"/>
        <w:rPr>
          <w:rFonts w:ascii="Verdana" w:eastAsia="Calibri" w:hAnsi="Verdana" w:cs="Arial"/>
          <w:shd w:val="clear" w:color="auto" w:fill="FFFFFF"/>
        </w:rPr>
      </w:pPr>
    </w:p>
    <w:p w14:paraId="568E94E1" w14:textId="77777777" w:rsidR="00E73E5E" w:rsidRPr="00E73E5E" w:rsidRDefault="00E73E5E" w:rsidP="00E73E5E">
      <w:pPr>
        <w:widowControl w:val="0"/>
        <w:autoSpaceDE w:val="0"/>
        <w:autoSpaceDN w:val="0"/>
        <w:spacing w:after="0" w:line="276" w:lineRule="auto"/>
        <w:jc w:val="both"/>
        <w:rPr>
          <w:rFonts w:ascii="Verdana" w:eastAsia="Calibri" w:hAnsi="Verdana" w:cs="Arial"/>
          <w:shd w:val="clear" w:color="auto" w:fill="FFFFFF"/>
        </w:rPr>
      </w:pPr>
      <w:r w:rsidRPr="00E73E5E">
        <w:rPr>
          <w:rFonts w:ascii="Verdana" w:eastAsia="Calibri" w:hAnsi="Verdana" w:cs="Arial"/>
          <w:shd w:val="clear" w:color="auto" w:fill="FFFFFF"/>
        </w:rPr>
        <w:t>De otra parte, te contamos que ya publicamos el borrador de la nueva Guía para Incentivar la Participación de Mujeres en el Sistema de Compras y Contratación Pública. Conoce el documento y realiza tus comentarios hasta el 2 de diciembre de 2024</w:t>
      </w:r>
      <w:r w:rsidRPr="00E73E5E">
        <w:rPr>
          <w:rFonts w:ascii="Verdana" w:eastAsia="Calibri" w:hAnsi="Verdana" w:cs="Arial"/>
          <w:b/>
          <w:bCs/>
          <w:shd w:val="clear" w:color="auto" w:fill="FFFFFF"/>
        </w:rPr>
        <w:t> </w:t>
      </w:r>
      <w:r w:rsidRPr="00E73E5E">
        <w:rPr>
          <w:rFonts w:ascii="Verdana" w:eastAsia="Calibri" w:hAnsi="Verdana" w:cs="Arial"/>
          <w:shd w:val="clear" w:color="auto" w:fill="FFFFFF"/>
        </w:rPr>
        <w:t>a través de estos enlaces:</w:t>
      </w:r>
    </w:p>
    <w:p w14:paraId="36F26A2F" w14:textId="77777777" w:rsidR="00E73E5E" w:rsidRPr="00E73E5E" w:rsidRDefault="00E73E5E" w:rsidP="00E73E5E">
      <w:pPr>
        <w:widowControl w:val="0"/>
        <w:numPr>
          <w:ilvl w:val="0"/>
          <w:numId w:val="20"/>
        </w:numPr>
        <w:autoSpaceDE w:val="0"/>
        <w:autoSpaceDN w:val="0"/>
        <w:spacing w:after="0" w:line="276" w:lineRule="auto"/>
        <w:jc w:val="both"/>
        <w:rPr>
          <w:rFonts w:ascii="Verdana" w:eastAsia="Calibri" w:hAnsi="Verdana" w:cs="Arial"/>
          <w:shd w:val="clear" w:color="auto" w:fill="FFFFFF"/>
        </w:rPr>
      </w:pPr>
      <w:r w:rsidRPr="00E73E5E">
        <w:rPr>
          <w:rFonts w:ascii="Verdana" w:eastAsia="Calibri" w:hAnsi="Verdana" w:cs="Arial"/>
          <w:shd w:val="clear" w:color="auto" w:fill="FFFFFF"/>
        </w:rPr>
        <w:t>Enlace página ANCP-CCE: </w:t>
      </w:r>
      <w:hyperlink r:id="rId14" w:tgtFrame="_blank" w:tooltip="Dirección URL original: https://www.colombiacompra.gov.co/content/convocatorias. Haga clic o pulse si confía en este vínculo." w:history="1">
        <w:r w:rsidRPr="00E73E5E">
          <w:rPr>
            <w:rFonts w:ascii="Verdana" w:eastAsia="Calibri" w:hAnsi="Verdana" w:cs="Arial"/>
            <w:color w:val="0000FF"/>
            <w:u w:val="single"/>
            <w:shd w:val="clear" w:color="auto" w:fill="FFFFFF"/>
          </w:rPr>
          <w:t>https://www.colombiacompra.gov.co/content/convocatorias</w:t>
        </w:r>
      </w:hyperlink>
    </w:p>
    <w:p w14:paraId="0CE05CE0" w14:textId="77777777" w:rsidR="00E73E5E" w:rsidRPr="00E73E5E" w:rsidRDefault="00E73E5E" w:rsidP="00E73E5E">
      <w:pPr>
        <w:widowControl w:val="0"/>
        <w:numPr>
          <w:ilvl w:val="0"/>
          <w:numId w:val="20"/>
        </w:numPr>
        <w:autoSpaceDE w:val="0"/>
        <w:autoSpaceDN w:val="0"/>
        <w:spacing w:after="0" w:line="276" w:lineRule="auto"/>
        <w:jc w:val="both"/>
        <w:rPr>
          <w:rFonts w:ascii="Verdana" w:eastAsia="Calibri" w:hAnsi="Verdana" w:cs="Arial"/>
          <w:shd w:val="clear" w:color="auto" w:fill="FFFFFF"/>
          <w:lang w:val="en-US"/>
        </w:rPr>
      </w:pPr>
      <w:r w:rsidRPr="00E73E5E">
        <w:rPr>
          <w:rFonts w:ascii="Verdana" w:eastAsia="Calibri" w:hAnsi="Verdana" w:cs="Arial"/>
          <w:shd w:val="clear" w:color="auto" w:fill="FFFFFF"/>
          <w:lang w:val="en-US"/>
        </w:rPr>
        <w:t>Enlace SUCOP:  </w:t>
      </w:r>
      <w:hyperlink r:id="rId15" w:tgtFrame="_blank" w:tooltip="Dirección URL original: https://www.sucop.gov.co/entidades/colombiacompra/Normativa?IDNorma=19201. Haga clic o pulse si confía en este vínculo." w:history="1">
        <w:r w:rsidRPr="00E73E5E">
          <w:rPr>
            <w:rFonts w:ascii="Verdana" w:eastAsia="Calibri" w:hAnsi="Verdana" w:cs="Arial"/>
            <w:color w:val="0000FF"/>
            <w:u w:val="single"/>
            <w:shd w:val="clear" w:color="auto" w:fill="FFFFFF"/>
            <w:lang w:val="en-US"/>
          </w:rPr>
          <w:t>https://www.sucop.gov.co/entidades/colombiacompra/Normativa?IDNorma=19201</w:t>
        </w:r>
      </w:hyperlink>
    </w:p>
    <w:p w14:paraId="1657C203" w14:textId="77777777" w:rsidR="00E73E5E" w:rsidRPr="00E73E5E" w:rsidRDefault="00E73E5E" w:rsidP="00E73E5E">
      <w:pPr>
        <w:widowControl w:val="0"/>
        <w:autoSpaceDE w:val="0"/>
        <w:autoSpaceDN w:val="0"/>
        <w:spacing w:after="0" w:line="276" w:lineRule="auto"/>
        <w:jc w:val="both"/>
        <w:rPr>
          <w:rFonts w:ascii="Verdana" w:eastAsia="Calibri" w:hAnsi="Verdana" w:cs="Arial"/>
          <w:shd w:val="clear" w:color="auto" w:fill="FFFFFF"/>
          <w:lang w:val="en-US"/>
        </w:rPr>
      </w:pPr>
      <w:r w:rsidRPr="00E73E5E">
        <w:rPr>
          <w:rFonts w:ascii="Verdana" w:eastAsia="Calibri" w:hAnsi="Verdana" w:cs="Arial"/>
          <w:shd w:val="clear" w:color="auto" w:fill="FFFFFF"/>
          <w:lang w:val="en-US"/>
        </w:rPr>
        <w:t> </w:t>
      </w:r>
    </w:p>
    <w:p w14:paraId="3FBAAF40" w14:textId="77777777" w:rsidR="00E73E5E" w:rsidRPr="00E73E5E" w:rsidRDefault="00E73E5E" w:rsidP="00E73E5E">
      <w:pPr>
        <w:widowControl w:val="0"/>
        <w:autoSpaceDE w:val="0"/>
        <w:autoSpaceDN w:val="0"/>
        <w:spacing w:after="0" w:line="276" w:lineRule="auto"/>
        <w:jc w:val="both"/>
        <w:rPr>
          <w:rFonts w:ascii="Verdana" w:eastAsia="Calibri" w:hAnsi="Verdana" w:cs="Arial"/>
          <w:shd w:val="clear" w:color="auto" w:fill="FFFFFF"/>
        </w:rPr>
      </w:pPr>
      <w:r w:rsidRPr="00E73E5E">
        <w:rPr>
          <w:rFonts w:ascii="Verdana" w:eastAsia="Calibri"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E73E5E">
          <w:rPr>
            <w:rFonts w:ascii="Verdana" w:eastAsia="Calibri" w:hAnsi="Verdana" w:cs="Arial"/>
            <w:color w:val="0000FF"/>
            <w:u w:val="single"/>
            <w:shd w:val="clear" w:color="auto" w:fill="FFFFFF"/>
          </w:rPr>
          <w:t>https://www.colombiacompra.gov.co/sala-de-prensa/boletin-digital</w:t>
        </w:r>
      </w:hyperlink>
    </w:p>
    <w:p w14:paraId="77E212FF" w14:textId="77777777" w:rsidR="00E73E5E" w:rsidRPr="00E73E5E" w:rsidRDefault="00E73E5E" w:rsidP="00E73E5E">
      <w:pPr>
        <w:widowControl w:val="0"/>
        <w:autoSpaceDE w:val="0"/>
        <w:autoSpaceDN w:val="0"/>
        <w:spacing w:after="0" w:line="276" w:lineRule="auto"/>
        <w:jc w:val="both"/>
        <w:rPr>
          <w:rFonts w:ascii="Calibri" w:eastAsia="Calibri" w:hAnsi="Calibri"/>
          <w:color w:val="FF0000"/>
        </w:rPr>
      </w:pPr>
    </w:p>
    <w:p w14:paraId="36FFBE4B" w14:textId="77777777" w:rsidR="00E73E5E" w:rsidRPr="00E73E5E" w:rsidRDefault="00E73E5E" w:rsidP="00E73E5E">
      <w:pPr>
        <w:spacing w:after="0" w:line="240" w:lineRule="auto"/>
        <w:jc w:val="both"/>
        <w:rPr>
          <w:rFonts w:ascii="Calibri" w:eastAsia="Calibri" w:hAnsi="Calibri"/>
        </w:rPr>
      </w:pPr>
    </w:p>
    <w:p w14:paraId="0C340E41" w14:textId="77777777" w:rsidR="00E73E5E" w:rsidRPr="00E73E5E" w:rsidRDefault="00E73E5E" w:rsidP="00E73E5E">
      <w:pPr>
        <w:spacing w:after="0" w:line="240" w:lineRule="auto"/>
        <w:jc w:val="both"/>
        <w:rPr>
          <w:rFonts w:ascii="Verdana" w:eastAsia="Calibri" w:hAnsi="Verdana"/>
        </w:rPr>
      </w:pPr>
      <w:r w:rsidRPr="00E73E5E">
        <w:rPr>
          <w:rFonts w:ascii="Verdana" w:eastAsia="Calibri" w:hAnsi="Verdana"/>
        </w:rPr>
        <w:t xml:space="preserve">Por último, lo invitamos a seguirnos en las redes sociales en las cuales se difunde información institucional: </w:t>
      </w:r>
    </w:p>
    <w:p w14:paraId="44138045" w14:textId="77777777" w:rsidR="00E73E5E" w:rsidRPr="00E73E5E" w:rsidRDefault="00E73E5E" w:rsidP="00E73E5E">
      <w:pPr>
        <w:spacing w:after="0" w:line="240" w:lineRule="auto"/>
        <w:jc w:val="both"/>
        <w:rPr>
          <w:rFonts w:ascii="Verdana" w:eastAsia="Calibri" w:hAnsi="Verdana"/>
        </w:rPr>
      </w:pPr>
    </w:p>
    <w:p w14:paraId="3B2CBACC" w14:textId="77777777" w:rsidR="00E73E5E" w:rsidRPr="00E73E5E" w:rsidRDefault="00E73E5E" w:rsidP="00E73E5E">
      <w:pPr>
        <w:spacing w:after="0" w:line="240" w:lineRule="auto"/>
        <w:jc w:val="both"/>
        <w:rPr>
          <w:rFonts w:ascii="Verdana" w:eastAsia="Calibri" w:hAnsi="Verdana"/>
        </w:rPr>
      </w:pPr>
      <w:r w:rsidRPr="00E73E5E">
        <w:rPr>
          <w:rFonts w:ascii="Verdana" w:eastAsia="Calibri" w:hAnsi="Verdana"/>
        </w:rPr>
        <w:t xml:space="preserve">Twitter: </w:t>
      </w:r>
      <w:r w:rsidRPr="00E73E5E">
        <w:rPr>
          <w:rFonts w:ascii="Verdana" w:eastAsia="Calibri" w:hAnsi="Verdana"/>
          <w:color w:val="4472C4"/>
          <w:u w:val="single"/>
        </w:rPr>
        <w:t>@colombiacompra</w:t>
      </w:r>
      <w:r w:rsidRPr="00E73E5E">
        <w:rPr>
          <w:rFonts w:ascii="Verdana" w:eastAsia="Calibri" w:hAnsi="Verdana"/>
          <w:color w:val="4472C4"/>
        </w:rPr>
        <w:t xml:space="preserve"> </w:t>
      </w:r>
    </w:p>
    <w:p w14:paraId="3E06F4E2" w14:textId="77777777" w:rsidR="00E73E5E" w:rsidRPr="00E73E5E" w:rsidRDefault="00E73E5E" w:rsidP="00E73E5E">
      <w:pPr>
        <w:spacing w:after="0" w:line="240" w:lineRule="auto"/>
        <w:jc w:val="both"/>
        <w:rPr>
          <w:rFonts w:ascii="Verdana" w:eastAsia="Calibri" w:hAnsi="Verdana"/>
        </w:rPr>
      </w:pPr>
      <w:r w:rsidRPr="00E73E5E">
        <w:rPr>
          <w:rFonts w:ascii="Verdana" w:eastAsia="Calibri" w:hAnsi="Verdana"/>
        </w:rPr>
        <w:t xml:space="preserve">Facebook: </w:t>
      </w:r>
      <w:proofErr w:type="spellStart"/>
      <w:r w:rsidRPr="00E73E5E">
        <w:rPr>
          <w:rFonts w:ascii="Verdana" w:eastAsia="Calibri" w:hAnsi="Verdana"/>
          <w:color w:val="4472C4"/>
          <w:u w:val="single"/>
        </w:rPr>
        <w:t>ColombiaCompraEficiente</w:t>
      </w:r>
      <w:proofErr w:type="spellEnd"/>
    </w:p>
    <w:p w14:paraId="2BED5499" w14:textId="77777777" w:rsidR="00E73E5E" w:rsidRPr="00E73E5E" w:rsidRDefault="00E73E5E" w:rsidP="00E73E5E">
      <w:pPr>
        <w:spacing w:after="0" w:line="240" w:lineRule="auto"/>
        <w:jc w:val="both"/>
        <w:rPr>
          <w:rFonts w:ascii="Verdana" w:eastAsia="Calibri" w:hAnsi="Verdana"/>
        </w:rPr>
      </w:pPr>
      <w:r w:rsidRPr="00E73E5E">
        <w:rPr>
          <w:rFonts w:ascii="Verdana" w:eastAsia="Calibri" w:hAnsi="Verdana"/>
        </w:rPr>
        <w:t xml:space="preserve">LinkedIn: </w:t>
      </w:r>
      <w:r w:rsidRPr="00E73E5E">
        <w:rPr>
          <w:rFonts w:ascii="Verdana" w:eastAsia="Calibri" w:hAnsi="Verdana"/>
          <w:color w:val="4472C4"/>
          <w:u w:val="single"/>
        </w:rPr>
        <w:t>Agencia Nacional de Contratación Pública - Colombia Compra Eficiente</w:t>
      </w:r>
      <w:r w:rsidRPr="00E73E5E">
        <w:rPr>
          <w:rFonts w:ascii="Verdana" w:eastAsia="Calibri" w:hAnsi="Verdana"/>
          <w:color w:val="4472C4"/>
        </w:rPr>
        <w:t xml:space="preserve"> </w:t>
      </w:r>
      <w:r w:rsidRPr="00E73E5E">
        <w:rPr>
          <w:rFonts w:ascii="Verdana" w:eastAsia="Calibri" w:hAnsi="Verdana"/>
        </w:rPr>
        <w:t xml:space="preserve">Instagram: </w:t>
      </w:r>
      <w:r w:rsidRPr="00E73E5E">
        <w:rPr>
          <w:rFonts w:ascii="Verdana" w:eastAsia="Calibri" w:hAnsi="Verdana"/>
          <w:color w:val="4472C4"/>
          <w:u w:val="single"/>
        </w:rPr>
        <w:t>@colombiacompraeficiente_cce</w:t>
      </w:r>
    </w:p>
    <w:p w14:paraId="4AD34AE5" w14:textId="77777777" w:rsidR="00E73E5E" w:rsidRPr="00E73E5E" w:rsidRDefault="00E73E5E" w:rsidP="00E73E5E">
      <w:pPr>
        <w:widowControl w:val="0"/>
        <w:autoSpaceDE w:val="0"/>
        <w:autoSpaceDN w:val="0"/>
        <w:spacing w:after="0" w:line="276" w:lineRule="auto"/>
        <w:jc w:val="both"/>
        <w:rPr>
          <w:rFonts w:ascii="Verdana" w:eastAsia="Calibri" w:hAnsi="Verdana" w:cs="Arial"/>
        </w:rPr>
      </w:pPr>
    </w:p>
    <w:p w14:paraId="26ED20D0" w14:textId="77777777" w:rsidR="00E73E5E" w:rsidRPr="00E73E5E" w:rsidRDefault="00E73E5E" w:rsidP="00E73E5E">
      <w:pPr>
        <w:widowControl w:val="0"/>
        <w:autoSpaceDE w:val="0"/>
        <w:autoSpaceDN w:val="0"/>
        <w:spacing w:after="0" w:line="276" w:lineRule="auto"/>
        <w:jc w:val="both"/>
        <w:rPr>
          <w:rFonts w:ascii="Verdana" w:eastAsia="Calibri" w:hAnsi="Verdana" w:cs="Arial"/>
          <w:lang w:val="es-ES_tradnl"/>
        </w:rPr>
      </w:pPr>
      <w:r w:rsidRPr="00E73E5E">
        <w:rPr>
          <w:rFonts w:ascii="Verdana" w:eastAsia="Calibri" w:hAnsi="Verdana" w:cs="Arial"/>
        </w:rPr>
        <w:t xml:space="preserve">Este concepto tiene el alcance previsto en el artículo 28 del Código de Procedimiento Administrativo y de lo Contencioso Administrativo </w:t>
      </w:r>
      <w:r w:rsidRPr="00E73E5E">
        <w:rPr>
          <w:rFonts w:ascii="Verdana" w:eastAsia="Calibri" w:hAnsi="Verdana" w:cs="Arial"/>
          <w:lang w:val="es-ES_tradnl"/>
        </w:rPr>
        <w:t>y las expresiones aquí utilizadas con mayúscula inicial deben ser entendidas con el significado que les otorga el artículo 2.2.1.1.1.3.1. del Decreto 1082 de 2015.</w:t>
      </w:r>
    </w:p>
    <w:p w14:paraId="72109B6F" w14:textId="77777777" w:rsidR="00E73E5E" w:rsidRPr="00E73E5E" w:rsidRDefault="00E73E5E" w:rsidP="00E73E5E">
      <w:pPr>
        <w:widowControl w:val="0"/>
        <w:autoSpaceDE w:val="0"/>
        <w:autoSpaceDN w:val="0"/>
        <w:spacing w:after="0" w:line="276" w:lineRule="auto"/>
        <w:jc w:val="both"/>
        <w:rPr>
          <w:rFonts w:ascii="Verdana" w:eastAsia="Calibri" w:hAnsi="Verdana" w:cs="Arial"/>
        </w:rPr>
      </w:pPr>
    </w:p>
    <w:p w14:paraId="0227E34B" w14:textId="77777777" w:rsidR="00E73E5E" w:rsidRPr="00E73E5E" w:rsidRDefault="00E73E5E" w:rsidP="00E73E5E">
      <w:pPr>
        <w:spacing w:after="0" w:line="240" w:lineRule="auto"/>
        <w:rPr>
          <w:rFonts w:ascii="Verdana" w:eastAsia="Calibri" w:hAnsi="Verdana" w:cs="Arial"/>
          <w:lang w:eastAsia="es-CO"/>
        </w:rPr>
      </w:pPr>
      <w:r w:rsidRPr="00E73E5E">
        <w:rPr>
          <w:rFonts w:ascii="Verdana" w:eastAsia="Calibri" w:hAnsi="Verdana" w:cs="Arial"/>
          <w:lang w:eastAsia="es-CO"/>
        </w:rPr>
        <w:t xml:space="preserve">Atentamente, </w:t>
      </w:r>
    </w:p>
    <w:p w14:paraId="340551F6" w14:textId="431726D0" w:rsidR="00E73E5E" w:rsidRPr="00E73E5E" w:rsidRDefault="00641500" w:rsidP="00641500">
      <w:pPr>
        <w:spacing w:line="256" w:lineRule="auto"/>
        <w:jc w:val="center"/>
        <w:rPr>
          <w:rFonts w:ascii="Calibri" w:eastAsia="Calibri" w:hAnsi="Calibri"/>
        </w:rPr>
      </w:pPr>
      <w:r>
        <w:rPr>
          <w:noProof/>
        </w:rPr>
        <w:lastRenderedPageBreak/>
        <w:drawing>
          <wp:inline distT="0" distB="0" distL="0" distR="0" wp14:anchorId="1CB373C3" wp14:editId="2B6CBD5C">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7"/>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A366A" w:rsidRPr="00115E3D" w14:paraId="07C95E2C" w14:textId="77777777" w:rsidTr="00A3241F">
        <w:trPr>
          <w:trHeight w:val="315"/>
        </w:trPr>
        <w:tc>
          <w:tcPr>
            <w:tcW w:w="893" w:type="dxa"/>
            <w:vAlign w:val="center"/>
            <w:hideMark/>
          </w:tcPr>
          <w:p w14:paraId="2283E18C" w14:textId="77777777" w:rsidR="003A366A" w:rsidRPr="00115E3D" w:rsidRDefault="003A366A" w:rsidP="00A3241F">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8707467" w14:textId="77777777" w:rsidR="003A366A" w:rsidRPr="00115E3D" w:rsidRDefault="003A366A" w:rsidP="00A3241F">
            <w:pPr>
              <w:contextualSpacing/>
              <w:rPr>
                <w:rFonts w:ascii="Verdana" w:eastAsia="Arial" w:hAnsi="Verdana" w:cs="Arial"/>
                <w:color w:val="000000" w:themeColor="text1"/>
                <w:sz w:val="16"/>
                <w:szCs w:val="16"/>
              </w:rPr>
            </w:pPr>
            <w:r>
              <w:rPr>
                <w:rFonts w:ascii="Verdana" w:eastAsia="Arial" w:hAnsi="Verdana" w:cs="Arial"/>
                <w:color w:val="000000" w:themeColor="text1"/>
                <w:sz w:val="16"/>
                <w:szCs w:val="16"/>
              </w:rPr>
              <w:t xml:space="preserve">Andreina Cerpa Muñoz </w:t>
            </w:r>
          </w:p>
          <w:p w14:paraId="4D2E6444" w14:textId="77777777" w:rsidR="003A366A" w:rsidRPr="00115E3D" w:rsidRDefault="003A366A" w:rsidP="00A3241F">
            <w:pPr>
              <w:contextualSpacing/>
              <w:rPr>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Analista T2-02</w:t>
            </w:r>
            <w:r w:rsidRPr="00115E3D">
              <w:rPr>
                <w:rStyle w:val="normaltextrun"/>
                <w:rFonts w:ascii="Verdana" w:eastAsia="Arial" w:hAnsi="Verdana" w:cs="Arial"/>
                <w:color w:val="000000" w:themeColor="text1"/>
                <w:sz w:val="16"/>
                <w:szCs w:val="16"/>
              </w:rPr>
              <w:t xml:space="preserve"> de la Subdirección de Gestión Contractual</w:t>
            </w:r>
          </w:p>
        </w:tc>
      </w:tr>
      <w:tr w:rsidR="003A366A" w:rsidRPr="00115E3D" w14:paraId="7E803654" w14:textId="77777777" w:rsidTr="00A3241F">
        <w:trPr>
          <w:trHeight w:val="330"/>
        </w:trPr>
        <w:tc>
          <w:tcPr>
            <w:tcW w:w="893" w:type="dxa"/>
            <w:vAlign w:val="center"/>
            <w:hideMark/>
          </w:tcPr>
          <w:p w14:paraId="532E6CD0" w14:textId="77777777" w:rsidR="003A366A" w:rsidRPr="00115E3D" w:rsidRDefault="003A366A" w:rsidP="00A3241F">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711558F" w14:textId="77777777" w:rsidR="003A366A" w:rsidRPr="00580396" w:rsidRDefault="003A366A" w:rsidP="00A3241F">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Fonts w:ascii="Verdana" w:hAnsi="Verdana" w:cs="Segoe UI"/>
                <w:color w:val="000000" w:themeColor="text1"/>
                <w:sz w:val="16"/>
                <w:szCs w:val="16"/>
              </w:rPr>
              <w:t>X</w:t>
            </w:r>
            <w:r w:rsidRPr="00580396">
              <w:rPr>
                <w:rFonts w:ascii="Verdana" w:hAnsi="Verdana" w:cs="Segoe UI"/>
                <w:sz w:val="16"/>
                <w:szCs w:val="16"/>
              </w:rPr>
              <w:t xml:space="preserve">imena Ríos López </w:t>
            </w:r>
          </w:p>
          <w:p w14:paraId="2F0C1B4D" w14:textId="77777777" w:rsidR="003A366A" w:rsidRPr="00115E3D" w:rsidRDefault="003A366A" w:rsidP="00A3241F">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Style w:val="normaltextrun"/>
                <w:rFonts w:ascii="Verdana" w:hAnsi="Verdana" w:cs="Arial"/>
                <w:color w:val="000000" w:themeColor="text1"/>
                <w:sz w:val="16"/>
                <w:szCs w:val="16"/>
                <w:lang w:val="es-ES"/>
              </w:rPr>
              <w:t>Gestor T1-11 de la Subdirección de Gestión Contractual</w:t>
            </w:r>
            <w:r w:rsidRPr="00115E3D">
              <w:rPr>
                <w:rStyle w:val="eop"/>
                <w:rFonts w:ascii="Verdana" w:hAnsi="Verdana" w:cs="Arial"/>
                <w:color w:val="000000" w:themeColor="text1"/>
                <w:sz w:val="16"/>
                <w:szCs w:val="16"/>
              </w:rPr>
              <w:t> </w:t>
            </w:r>
          </w:p>
        </w:tc>
      </w:tr>
      <w:tr w:rsidR="003A366A" w:rsidRPr="00115E3D" w14:paraId="633D6EBE" w14:textId="77777777" w:rsidTr="00A3241F">
        <w:trPr>
          <w:trHeight w:val="300"/>
        </w:trPr>
        <w:tc>
          <w:tcPr>
            <w:tcW w:w="893" w:type="dxa"/>
            <w:vAlign w:val="center"/>
          </w:tcPr>
          <w:p w14:paraId="17B14129" w14:textId="77777777" w:rsidR="003A366A" w:rsidRPr="00115E3D" w:rsidRDefault="003A366A" w:rsidP="00A3241F">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61D7320" w14:textId="77777777" w:rsidR="003A366A" w:rsidRPr="00115E3D" w:rsidRDefault="003A366A" w:rsidP="00A3241F">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val="pt-BR" w:eastAsia="es-ES"/>
              </w:rPr>
              <w:t xml:space="preserve">Carolina Quintero </w:t>
            </w:r>
            <w:proofErr w:type="spellStart"/>
            <w:r w:rsidRPr="00115E3D">
              <w:rPr>
                <w:rFonts w:ascii="Verdana" w:eastAsia="Calibri" w:hAnsi="Verdana" w:cs="Arial"/>
                <w:color w:val="000000" w:themeColor="text1"/>
                <w:sz w:val="16"/>
                <w:szCs w:val="16"/>
                <w:lang w:val="pt-BR" w:eastAsia="es-ES"/>
              </w:rPr>
              <w:t>Gacharná</w:t>
            </w:r>
            <w:proofErr w:type="spellEnd"/>
          </w:p>
          <w:p w14:paraId="32D65311" w14:textId="77777777" w:rsidR="003A366A" w:rsidRPr="00115E3D" w:rsidRDefault="003A366A" w:rsidP="00A3241F">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eastAsia="es-ES"/>
              </w:rPr>
              <w:t>Subdirectora</w:t>
            </w:r>
            <w:r w:rsidRPr="00115E3D">
              <w:rPr>
                <w:rFonts w:ascii="Verdana" w:eastAsia="Calibri" w:hAnsi="Verdana" w:cs="Arial"/>
                <w:color w:val="000000" w:themeColor="text1"/>
                <w:sz w:val="16"/>
                <w:szCs w:val="16"/>
                <w:lang w:val="pt-BR" w:eastAsia="es-ES"/>
              </w:rPr>
              <w:t xml:space="preserve"> de Gestión </w:t>
            </w:r>
            <w:proofErr w:type="spellStart"/>
            <w:r w:rsidRPr="00115E3D">
              <w:rPr>
                <w:rFonts w:ascii="Verdana" w:eastAsia="Calibri" w:hAnsi="Verdana" w:cs="Arial"/>
                <w:color w:val="000000" w:themeColor="text1"/>
                <w:sz w:val="16"/>
                <w:szCs w:val="16"/>
                <w:lang w:val="pt-BR" w:eastAsia="es-ES"/>
              </w:rPr>
              <w:t>Contractual</w:t>
            </w:r>
            <w:proofErr w:type="spellEnd"/>
            <w:r w:rsidRPr="00115E3D">
              <w:rPr>
                <w:rFonts w:ascii="Verdana" w:eastAsia="Calibri" w:hAnsi="Verdana" w:cs="Arial"/>
                <w:color w:val="000000" w:themeColor="text1"/>
                <w:sz w:val="16"/>
                <w:szCs w:val="16"/>
                <w:lang w:val="pt-BR" w:eastAsia="es-ES"/>
              </w:rPr>
              <w:t xml:space="preserve"> ANCP – CCE</w:t>
            </w:r>
          </w:p>
        </w:tc>
      </w:tr>
    </w:tbl>
    <w:p w14:paraId="2C91B885" w14:textId="77777777" w:rsidR="00E73E5E" w:rsidRPr="00E73E5E" w:rsidRDefault="00E73E5E" w:rsidP="00E73E5E">
      <w:pPr>
        <w:spacing w:line="256" w:lineRule="auto"/>
        <w:rPr>
          <w:rFonts w:ascii="Calibri" w:eastAsia="Calibri" w:hAnsi="Calibri"/>
        </w:rPr>
      </w:pPr>
    </w:p>
    <w:p w14:paraId="6D609656" w14:textId="77777777" w:rsidR="00E73E5E" w:rsidRPr="00E73E5E" w:rsidRDefault="00E73E5E" w:rsidP="00E73E5E">
      <w:pPr>
        <w:spacing w:line="256" w:lineRule="auto"/>
        <w:rPr>
          <w:rFonts w:ascii="Calibri" w:eastAsia="Calibri" w:hAnsi="Calibri"/>
        </w:rPr>
      </w:pPr>
    </w:p>
    <w:p w14:paraId="325919D2" w14:textId="77777777" w:rsidR="00857689" w:rsidRPr="00E73E5E" w:rsidRDefault="00857689" w:rsidP="00E73E5E"/>
    <w:sectPr w:rsidR="00857689" w:rsidRPr="00E73E5E" w:rsidSect="00071128">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8001" w14:textId="77777777" w:rsidR="004E7BCE" w:rsidRDefault="004E7BCE">
      <w:pPr>
        <w:spacing w:after="0" w:line="240" w:lineRule="auto"/>
      </w:pPr>
      <w:r>
        <w:separator/>
      </w:r>
    </w:p>
  </w:endnote>
  <w:endnote w:type="continuationSeparator" w:id="0">
    <w:p w14:paraId="47397F05" w14:textId="77777777" w:rsidR="004E7BCE" w:rsidRDefault="004E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3ECC" w14:textId="77777777" w:rsidR="007846D9" w:rsidRDefault="007846D9" w:rsidP="000849D5">
    <w:pPr>
      <w:spacing w:after="0"/>
      <w:rPr>
        <w:rFonts w:ascii="Verdana" w:hAnsi="Verdana"/>
        <w:b/>
        <w:bCs/>
        <w:sz w:val="20"/>
        <w:szCs w:val="20"/>
      </w:rPr>
    </w:pPr>
  </w:p>
  <w:p w14:paraId="2BA3E609" w14:textId="77777777" w:rsidR="007846D9" w:rsidRPr="00174B77" w:rsidRDefault="007846D9"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E73E5E">
      <w:rPr>
        <w:rFonts w:ascii="Verdana" w:hAnsi="Verdana"/>
        <w:b/>
        <w:bCs/>
        <w:sz w:val="16"/>
        <w:szCs w:val="16"/>
        <w:lang w:val="es-ES"/>
      </w:rPr>
      <w:t xml:space="preserve">pág. </w:t>
    </w:r>
    <w:r w:rsidRPr="00E73E5E">
      <w:rPr>
        <w:rFonts w:ascii="Verdana" w:hAnsi="Verdana"/>
        <w:b/>
        <w:bCs/>
        <w:sz w:val="16"/>
        <w:szCs w:val="16"/>
      </w:rPr>
      <w:fldChar w:fldCharType="begin"/>
    </w:r>
    <w:r w:rsidRPr="002E1330">
      <w:rPr>
        <w:rFonts w:ascii="Verdana" w:hAnsi="Verdana"/>
        <w:b/>
        <w:bCs/>
        <w:sz w:val="16"/>
        <w:szCs w:val="16"/>
      </w:rPr>
      <w:instrText>PAGE    \* MERGEFORMAT</w:instrText>
    </w:r>
    <w:r w:rsidRPr="00E73E5E">
      <w:rPr>
        <w:rFonts w:ascii="Verdana" w:hAnsi="Verdana"/>
        <w:b/>
        <w:bCs/>
        <w:sz w:val="16"/>
        <w:szCs w:val="16"/>
      </w:rPr>
      <w:fldChar w:fldCharType="separate"/>
    </w:r>
    <w:r w:rsidRPr="00E73E5E">
      <w:rPr>
        <w:rFonts w:ascii="Verdana" w:hAnsi="Verdana"/>
        <w:b/>
        <w:bCs/>
        <w:sz w:val="16"/>
        <w:szCs w:val="16"/>
      </w:rPr>
      <w:t>1</w:t>
    </w:r>
    <w:r w:rsidRPr="00E73E5E">
      <w:rPr>
        <w:rFonts w:ascii="Verdana" w:hAnsi="Verdana"/>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9BCBD83" w14:textId="77777777" w:rsidR="007846D9" w:rsidRDefault="007846D9"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68BF270D" w14:textId="77777777" w:rsidR="007846D9" w:rsidRPr="00E41027" w:rsidRDefault="007846D9" w:rsidP="000849D5">
    <w:pPr>
      <w:spacing w:after="0"/>
      <w:jc w:val="both"/>
      <w:rPr>
        <w:rFonts w:ascii="Verdana" w:hAnsi="Verdana"/>
        <w:sz w:val="18"/>
        <w:szCs w:val="18"/>
      </w:rPr>
    </w:pPr>
    <w:r w:rsidRPr="00E41027">
      <w:rPr>
        <w:rFonts w:ascii="Verdana" w:hAnsi="Verdana"/>
        <w:sz w:val="18"/>
        <w:szCs w:val="18"/>
      </w:rPr>
      <w:t>Mesa de servicio: (+57) 601 7456788</w:t>
    </w:r>
  </w:p>
  <w:p w14:paraId="0849FD1C" w14:textId="77777777" w:rsidR="007846D9" w:rsidRDefault="007846D9"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197FD76B" w14:textId="77777777" w:rsidR="007846D9" w:rsidRPr="007D04B2" w:rsidRDefault="007846D9" w:rsidP="000849D5">
    <w:pPr>
      <w:pStyle w:val="Piedepgina"/>
    </w:pPr>
  </w:p>
  <w:p w14:paraId="5877D8D8" w14:textId="77777777" w:rsidR="007846D9" w:rsidRPr="000849D5" w:rsidRDefault="007846D9"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D105E" w14:textId="77777777" w:rsidR="004E7BCE" w:rsidRDefault="004E7BCE">
      <w:pPr>
        <w:spacing w:after="0" w:line="240" w:lineRule="auto"/>
      </w:pPr>
      <w:r>
        <w:separator/>
      </w:r>
    </w:p>
  </w:footnote>
  <w:footnote w:type="continuationSeparator" w:id="0">
    <w:p w14:paraId="7A598C79" w14:textId="77777777" w:rsidR="004E7BCE" w:rsidRDefault="004E7BCE">
      <w:pPr>
        <w:spacing w:after="0" w:line="240" w:lineRule="auto"/>
      </w:pPr>
      <w:r>
        <w:continuationSeparator/>
      </w:r>
    </w:p>
  </w:footnote>
  <w:footnote w:id="1">
    <w:p w14:paraId="271D71B1" w14:textId="77777777" w:rsidR="00E73E5E" w:rsidRDefault="00E73E5E" w:rsidP="00E73E5E">
      <w:pPr>
        <w:spacing w:line="240" w:lineRule="auto"/>
        <w:ind w:firstLine="707"/>
        <w:contextualSpacing/>
        <w:jc w:val="both"/>
        <w:rPr>
          <w:rFonts w:ascii="Verdana" w:hAnsi="Verdana" w:cs="Arial"/>
          <w:sz w:val="10"/>
          <w:szCs w:val="10"/>
        </w:rPr>
      </w:pPr>
      <w:r>
        <w:rPr>
          <w:rFonts w:ascii="Verdana" w:hAnsi="Verdana" w:cs="Arial"/>
          <w:sz w:val="10"/>
          <w:szCs w:val="10"/>
          <w:vertAlign w:val="superscript"/>
        </w:rPr>
        <w:footnoteRef/>
      </w:r>
      <w:r>
        <w:rPr>
          <w:rFonts w:ascii="Verdana" w:hAnsi="Verdana" w:cs="Arial"/>
          <w:position w:val="6"/>
          <w:sz w:val="10"/>
          <w:szCs w:val="10"/>
        </w:rPr>
        <w:t xml:space="preserve"> </w:t>
      </w:r>
      <w:r>
        <w:rPr>
          <w:rFonts w:ascii="Verdana" w:hAnsi="Verdana" w:cs="Arial"/>
          <w:sz w:val="10"/>
          <w:szCs w:val="10"/>
        </w:rPr>
        <w:t>DEIK ACOSTAMADIEDO, Carolina, Guía de Contratación Estatal: Deber de planeación y modalidades de selección, Buenos Aires, 2015, p. 59.</w:t>
      </w:r>
    </w:p>
    <w:p w14:paraId="2F9F5BE8" w14:textId="77777777" w:rsidR="00E73E5E" w:rsidRDefault="00E73E5E" w:rsidP="00E73E5E">
      <w:pPr>
        <w:spacing w:line="240" w:lineRule="auto"/>
        <w:ind w:firstLine="707"/>
        <w:contextualSpacing/>
        <w:jc w:val="both"/>
        <w:rPr>
          <w:rFonts w:ascii="Calibri" w:hAnsi="Calibri"/>
        </w:rPr>
      </w:pPr>
    </w:p>
  </w:footnote>
  <w:footnote w:id="2">
    <w:p w14:paraId="0F95AD80" w14:textId="77777777" w:rsidR="00E73E5E" w:rsidRDefault="00E73E5E" w:rsidP="00E73E5E">
      <w:pPr>
        <w:pStyle w:val="Textonotapie"/>
        <w:jc w:val="both"/>
      </w:pPr>
      <w:r>
        <w:rPr>
          <w:rFonts w:ascii="Verdana" w:hAnsi="Verdana"/>
          <w:sz w:val="16"/>
          <w:szCs w:val="16"/>
          <w:vertAlign w:val="superscript"/>
        </w:rPr>
        <w:footnoteRef/>
      </w:r>
      <w:r>
        <w:rPr>
          <w:rFonts w:ascii="Verdana" w:hAnsi="Verdana"/>
          <w:sz w:val="16"/>
          <w:szCs w:val="16"/>
        </w:rPr>
        <w:t xml:space="preserve"> </w:t>
      </w:r>
      <w:r>
        <w:rPr>
          <w:rFonts w:ascii="Verdana" w:hAnsi="Verdana" w:cs="Arial"/>
          <w:sz w:val="16"/>
          <w:szCs w:val="16"/>
          <w:lang w:val="es-ES"/>
        </w:rPr>
        <w:t>Artículo 32, numeral 3º, de la Ley 80 de 1993</w:t>
      </w:r>
    </w:p>
  </w:footnote>
  <w:footnote w:id="3">
    <w:p w14:paraId="7C2DAF49" w14:textId="77777777" w:rsidR="00E73E5E" w:rsidRDefault="00E73E5E" w:rsidP="00E73E5E">
      <w:pPr>
        <w:pStyle w:val="Textonotapie"/>
        <w:rPr>
          <w:rFonts w:ascii="Verdana" w:hAnsi="Verdana" w:cs="Arial"/>
          <w:sz w:val="16"/>
          <w:szCs w:val="16"/>
          <w:lang w:val="es-ES"/>
        </w:rPr>
      </w:pPr>
      <w:r>
        <w:rPr>
          <w:rFonts w:ascii="Verdana" w:hAnsi="Verdana"/>
          <w:sz w:val="16"/>
          <w:szCs w:val="16"/>
          <w:vertAlign w:val="superscript"/>
        </w:rPr>
        <w:footnoteRef/>
      </w:r>
      <w:r>
        <w:rPr>
          <w:rFonts w:ascii="Verdana" w:hAnsi="Verdana"/>
          <w:sz w:val="16"/>
          <w:szCs w:val="16"/>
        </w:rPr>
        <w:t xml:space="preserve"> </w:t>
      </w:r>
      <w:r>
        <w:rPr>
          <w:rFonts w:ascii="Verdana" w:hAnsi="Verdana" w:cs="Arial"/>
          <w:sz w:val="16"/>
          <w:szCs w:val="16"/>
          <w:lang w:val="es-ES"/>
        </w:rPr>
        <w:t>Artículo 2, numeral 4º, literal h), de la Ley 1150 de 2007</w:t>
      </w:r>
    </w:p>
    <w:p w14:paraId="7FAA6EAA" w14:textId="77777777" w:rsidR="00E73E5E" w:rsidRDefault="00E73E5E" w:rsidP="00E73E5E">
      <w:pPr>
        <w:pStyle w:val="Textonotapie"/>
        <w:rPr>
          <w:rFonts w:ascii="Calibri" w:hAnsi="Calibri"/>
        </w:rPr>
      </w:pPr>
    </w:p>
  </w:footnote>
  <w:footnote w:id="4">
    <w:p w14:paraId="4864665E" w14:textId="77777777" w:rsidR="00E73E5E" w:rsidRDefault="00E73E5E" w:rsidP="00E73E5E">
      <w:pPr>
        <w:pStyle w:val="Textonotapie"/>
      </w:pPr>
      <w:r>
        <w:rPr>
          <w:rFonts w:ascii="Verdana" w:hAnsi="Verdana"/>
          <w:sz w:val="16"/>
          <w:szCs w:val="16"/>
          <w:vertAlign w:val="superscript"/>
        </w:rPr>
        <w:footnoteRef/>
      </w:r>
      <w:r>
        <w:rPr>
          <w:rFonts w:ascii="Verdana" w:hAnsi="Verdana"/>
          <w:sz w:val="16"/>
          <w:szCs w:val="16"/>
        </w:rPr>
        <w:t xml:space="preserve"> Articulo </w:t>
      </w:r>
      <w:r>
        <w:rPr>
          <w:rFonts w:ascii="Verdana" w:hAnsi="Verdana" w:cs="Arial"/>
          <w:sz w:val="16"/>
          <w:szCs w:val="16"/>
          <w:lang w:val="es-ES"/>
        </w:rPr>
        <w:t>32, numeral 3º, de la Ley 80 de 1993</w:t>
      </w:r>
    </w:p>
  </w:footnote>
  <w:footnote w:id="5">
    <w:p w14:paraId="4EB812AB" w14:textId="77777777" w:rsidR="00E73E5E" w:rsidRDefault="00E73E5E" w:rsidP="00E73E5E">
      <w:pPr>
        <w:pStyle w:val="Textonotapie"/>
      </w:pPr>
      <w:r>
        <w:rPr>
          <w:rFonts w:ascii="Verdana" w:hAnsi="Verdana"/>
          <w:sz w:val="16"/>
          <w:szCs w:val="16"/>
          <w:vertAlign w:val="superscript"/>
        </w:rPr>
        <w:footnoteRef/>
      </w:r>
      <w:r>
        <w:rPr>
          <w:rFonts w:ascii="Verdana" w:hAnsi="Verdana"/>
          <w:sz w:val="16"/>
          <w:szCs w:val="16"/>
        </w:rPr>
        <w:t xml:space="preserve"> Artículo 122 de la Constitución Política  </w:t>
      </w:r>
    </w:p>
  </w:footnote>
  <w:footnote w:id="6">
    <w:p w14:paraId="06B100E4" w14:textId="77777777" w:rsidR="00E73E5E" w:rsidRDefault="00E73E5E" w:rsidP="00E73E5E">
      <w:pPr>
        <w:shd w:val="clear" w:color="auto" w:fill="FFFFFF"/>
        <w:ind w:firstLine="709"/>
        <w:jc w:val="both"/>
        <w:rPr>
          <w:rFonts w:ascii="Verdana" w:hAnsi="Verdana" w:cs="Arial"/>
          <w:sz w:val="16"/>
          <w:szCs w:val="16"/>
        </w:rPr>
      </w:pPr>
      <w:r>
        <w:rPr>
          <w:rFonts w:ascii="Arial" w:hAnsi="Arial" w:cs="Arial"/>
          <w:sz w:val="16"/>
          <w:szCs w:val="16"/>
          <w:vertAlign w:val="superscript"/>
        </w:rPr>
        <w:footnoteRef/>
      </w:r>
      <w:r>
        <w:rPr>
          <w:rFonts w:ascii="Arial" w:hAnsi="Arial" w:cs="Arial"/>
          <w:sz w:val="16"/>
          <w:szCs w:val="16"/>
        </w:rPr>
        <w:t xml:space="preserve"> Corte Constitucional, Sentencia C-697 del 14 de junio de 2000. M. P.: Eduardo Cifuentes Muñoz: “El artículo 26 de la Carta autoriza al legislador para exigir determinados títulos de idoneidad a quienes quieran desempeñar actividades que </w:t>
      </w:r>
      <w:r>
        <w:rPr>
          <w:rFonts w:ascii="Verdana" w:hAnsi="Verdana" w:cs="Arial"/>
          <w:sz w:val="16"/>
          <w:szCs w:val="16"/>
        </w:rPr>
        <w:t>impliquen riesgo social y también, para establecer mecanismos de inspección y vigilancia con el fin de evitar que resulten lesionados derechos de terceras personas. Impone al legislador la tarea de garantizarle a todas las personas la libertad plena de escoger, en condiciones de</w:t>
      </w:r>
      <w:r>
        <w:rPr>
          <w:rFonts w:ascii="Verdana" w:hAnsi="Verdana" w:cs="Arial"/>
          <w:sz w:val="19"/>
          <w:szCs w:val="19"/>
        </w:rPr>
        <w:t xml:space="preserve"> </w:t>
      </w:r>
      <w:r>
        <w:rPr>
          <w:rFonts w:ascii="Verdana" w:hAnsi="Verdana" w:cs="Arial"/>
          <w:sz w:val="16"/>
          <w:szCs w:val="16"/>
        </w:rPr>
        <w:t>igualdad, la profesión u oficio que pueda servir para realizar su modelo de vida o para garantizarles un ingreso que les permita satisfacer sus necesidades.</w:t>
      </w:r>
    </w:p>
    <w:p w14:paraId="4F7BEB57" w14:textId="77777777" w:rsidR="00E73E5E" w:rsidRDefault="00E73E5E" w:rsidP="00E73E5E">
      <w:pPr>
        <w:shd w:val="clear" w:color="auto" w:fill="FFFFFF"/>
        <w:ind w:firstLine="709"/>
        <w:jc w:val="both"/>
        <w:rPr>
          <w:rFonts w:ascii="Verdana" w:hAnsi="Verdana" w:cs="Arial"/>
          <w:sz w:val="16"/>
          <w:szCs w:val="16"/>
        </w:rPr>
      </w:pPr>
      <w:r>
        <w:rPr>
          <w:rFonts w:ascii="Verdana" w:hAnsi="Verdana" w:cs="Arial"/>
          <w:sz w:val="16"/>
          <w:szCs w:val="16"/>
        </w:rPr>
        <w:t>“[…] La exigencia de títulos de idoneidad y tarjetas profesionales, constituye una excepción al principio de libertad e igualdad en materia laboral y, por lo tanto, es necesario demostrar que la formación intelectual y técnica requerida es un medio idóneo y proporción».</w:t>
      </w:r>
    </w:p>
    <w:p w14:paraId="60005181" w14:textId="77777777" w:rsidR="00E73E5E" w:rsidRDefault="00E73E5E" w:rsidP="00E73E5E">
      <w:pPr>
        <w:shd w:val="clear" w:color="auto" w:fill="FFFFFF"/>
        <w:ind w:firstLine="709"/>
        <w:jc w:val="both"/>
        <w:rPr>
          <w:rFonts w:ascii="Verdana" w:hAnsi="Verdana"/>
          <w:sz w:val="16"/>
          <w:szCs w:val="16"/>
        </w:rPr>
      </w:pPr>
    </w:p>
  </w:footnote>
  <w:footnote w:id="7">
    <w:p w14:paraId="0743A718" w14:textId="77777777" w:rsidR="00E73E5E" w:rsidRDefault="00E73E5E" w:rsidP="00E73E5E">
      <w:pPr>
        <w:pStyle w:val="Textonotapie"/>
        <w:ind w:firstLine="709"/>
        <w:jc w:val="both"/>
        <w:rPr>
          <w:rFonts w:ascii="Verdana" w:hAnsi="Verdana" w:cs="Arial"/>
          <w:sz w:val="16"/>
          <w:szCs w:val="16"/>
          <w:lang w:val="es-CO"/>
        </w:rPr>
      </w:pPr>
      <w:r>
        <w:rPr>
          <w:rFonts w:ascii="Verdana" w:hAnsi="Verdana" w:cs="Arial"/>
          <w:sz w:val="16"/>
          <w:szCs w:val="16"/>
          <w:vertAlign w:val="superscript"/>
        </w:rPr>
        <w:footnoteRef/>
      </w:r>
      <w:r>
        <w:rPr>
          <w:rFonts w:ascii="Verdana" w:hAnsi="Verdana" w:cs="Arial"/>
          <w:sz w:val="16"/>
          <w:szCs w:val="16"/>
          <w:lang w:val="es-CO"/>
        </w:rPr>
        <w:t xml:space="preserve"> Decreto 196 de 1971, artículo 15: “En firme la providencia que decrete la inscripción se comunicará al Ministerio de Justicia para que incluya al interesado en el Registro Nacional de Abogados, expida la Tarjeta Profesional y publique la inscripción, a costa del interesado, en la Gaceta del Foro, o en su defecto, en un periódico de circulación nacional”.</w:t>
      </w:r>
    </w:p>
    <w:p w14:paraId="496E0668" w14:textId="77777777" w:rsidR="00E73E5E" w:rsidRDefault="00E73E5E" w:rsidP="00E73E5E">
      <w:pPr>
        <w:pStyle w:val="Textonotapie"/>
        <w:ind w:firstLine="709"/>
        <w:jc w:val="both"/>
        <w:rPr>
          <w:rFonts w:ascii="Verdana" w:hAnsi="Verdana"/>
          <w:sz w:val="16"/>
          <w:szCs w:val="16"/>
        </w:rPr>
      </w:pPr>
    </w:p>
  </w:footnote>
  <w:footnote w:id="8">
    <w:p w14:paraId="1CF89096" w14:textId="77777777" w:rsidR="00E73E5E" w:rsidRDefault="00E73E5E" w:rsidP="00E73E5E">
      <w:pPr>
        <w:pStyle w:val="Textonotapie"/>
        <w:ind w:firstLine="709"/>
        <w:jc w:val="both"/>
        <w:rPr>
          <w:rFonts w:ascii="Verdana" w:hAnsi="Verdana" w:cs="Arial"/>
          <w:sz w:val="16"/>
          <w:szCs w:val="16"/>
          <w:lang w:val="es-CO"/>
        </w:rPr>
      </w:pPr>
      <w:r>
        <w:rPr>
          <w:rFonts w:ascii="Verdana" w:hAnsi="Verdana" w:cs="Arial"/>
          <w:sz w:val="16"/>
          <w:szCs w:val="16"/>
          <w:vertAlign w:val="superscript"/>
        </w:rPr>
        <w:footnoteRef/>
      </w:r>
      <w:r>
        <w:rPr>
          <w:rFonts w:ascii="Verdana" w:hAnsi="Verdana" w:cs="Arial"/>
          <w:sz w:val="16"/>
          <w:szCs w:val="16"/>
        </w:rPr>
        <w:t xml:space="preserve"> </w:t>
      </w:r>
      <w:r>
        <w:rPr>
          <w:rFonts w:ascii="Verdana" w:hAnsi="Verdana" w:cs="Arial"/>
          <w:sz w:val="16"/>
          <w:szCs w:val="16"/>
          <w:lang w:val="es-CO"/>
        </w:rPr>
        <w:t>Ley 842 de 2002:</w:t>
      </w:r>
      <w:r>
        <w:rPr>
          <w:rFonts w:ascii="Verdana" w:hAnsi="Verdana" w:cs="Arial"/>
          <w:sz w:val="16"/>
          <w:szCs w:val="16"/>
        </w:rPr>
        <w:t xml:space="preserve"> “</w:t>
      </w:r>
      <w:r>
        <w:rPr>
          <w:rFonts w:ascii="Verdana" w:hAnsi="Verdana" w:cs="Arial"/>
          <w:sz w:val="16"/>
          <w:szCs w:val="16"/>
          <w:lang w:val="es-CO"/>
        </w:rPr>
        <w:t>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06CF84F1" w14:textId="77777777" w:rsidR="00E73E5E" w:rsidRDefault="00E73E5E" w:rsidP="00E73E5E">
      <w:pPr>
        <w:pStyle w:val="Textonotapie"/>
        <w:ind w:firstLine="709"/>
        <w:jc w:val="both"/>
        <w:rPr>
          <w:rFonts w:ascii="Arial" w:hAnsi="Arial" w:cs="Arial"/>
          <w:sz w:val="16"/>
          <w:szCs w:val="16"/>
          <w:lang w:val="es-CO"/>
        </w:rPr>
      </w:pPr>
      <w:r>
        <w:rPr>
          <w:rFonts w:ascii="Verdana" w:hAnsi="Verdana" w:cs="Arial"/>
          <w:sz w:val="16"/>
          <w:szCs w:val="16"/>
          <w:lang w:val="es-CO"/>
        </w:rPr>
        <w:t>“Parágrafo.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Copnia la expedición del respectivo certificado de vigencia</w:t>
      </w:r>
      <w:r>
        <w:rPr>
          <w:rFonts w:ascii="Arial" w:hAnsi="Arial" w:cs="Arial"/>
          <w:sz w:val="16"/>
          <w:szCs w:val="16"/>
          <w:lang w:val="es-CO"/>
        </w:rPr>
        <w:t>”.</w:t>
      </w:r>
    </w:p>
    <w:p w14:paraId="622BB8BD" w14:textId="77777777" w:rsidR="00E73E5E" w:rsidRDefault="00E73E5E" w:rsidP="00E73E5E">
      <w:pPr>
        <w:pStyle w:val="Textonotapie"/>
        <w:ind w:firstLine="709"/>
        <w:jc w:val="both"/>
        <w:rPr>
          <w:rFonts w:ascii="Calibri" w:hAnsi="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F01A5" w14:textId="77777777" w:rsidR="007846D9" w:rsidRDefault="007846D9" w:rsidP="00515FB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BD09C91" wp14:editId="1D133C65">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600C0BE" wp14:editId="65EEE88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5F08E9" w14:textId="77777777" w:rsidR="007846D9" w:rsidRDefault="007846D9" w:rsidP="00515FB5">
    <w:pPr>
      <w:pStyle w:val="Encabezado"/>
    </w:pPr>
  </w:p>
  <w:p w14:paraId="05E590B0" w14:textId="77777777" w:rsidR="007846D9" w:rsidRDefault="007846D9" w:rsidP="00515FB5">
    <w:pPr>
      <w:pStyle w:val="Encabezado"/>
    </w:pPr>
  </w:p>
  <w:p w14:paraId="52EC72B3" w14:textId="77777777" w:rsidR="007846D9" w:rsidRPr="00515FB5" w:rsidRDefault="007846D9"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0F4636"/>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7480A74"/>
    <w:multiLevelType w:val="multilevel"/>
    <w:tmpl w:val="5A8AB3C2"/>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A321E4B"/>
    <w:multiLevelType w:val="multilevel"/>
    <w:tmpl w:val="D0E6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22A7C"/>
    <w:multiLevelType w:val="multilevel"/>
    <w:tmpl w:val="053AB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97B18"/>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612C30"/>
    <w:multiLevelType w:val="hybridMultilevel"/>
    <w:tmpl w:val="BD62F5AE"/>
    <w:lvl w:ilvl="0" w:tplc="A02C44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5316C2"/>
    <w:multiLevelType w:val="multilevel"/>
    <w:tmpl w:val="8CE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96BB0"/>
    <w:multiLevelType w:val="multilevel"/>
    <w:tmpl w:val="066EF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726197"/>
    <w:multiLevelType w:val="hybridMultilevel"/>
    <w:tmpl w:val="B65ED2D6"/>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160440"/>
    <w:multiLevelType w:val="hybridMultilevel"/>
    <w:tmpl w:val="D652A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492209491">
    <w:abstractNumId w:val="2"/>
  </w:num>
  <w:num w:numId="3" w16cid:durableId="679089576">
    <w:abstractNumId w:val="4"/>
  </w:num>
  <w:num w:numId="4" w16cid:durableId="717819406">
    <w:abstractNumId w:val="11"/>
  </w:num>
  <w:num w:numId="5" w16cid:durableId="1286279764">
    <w:abstractNumId w:val="3"/>
  </w:num>
  <w:num w:numId="6" w16cid:durableId="1487436409">
    <w:abstractNumId w:val="10"/>
  </w:num>
  <w:num w:numId="7" w16cid:durableId="1467233029">
    <w:abstractNumId w:val="6"/>
  </w:num>
  <w:num w:numId="8" w16cid:durableId="495192182">
    <w:abstractNumId w:val="8"/>
  </w:num>
  <w:num w:numId="9" w16cid:durableId="1085959812">
    <w:abstractNumId w:val="7"/>
  </w:num>
  <w:num w:numId="10" w16cid:durableId="230164777">
    <w:abstractNumId w:val="1"/>
  </w:num>
  <w:num w:numId="11" w16cid:durableId="2125075085">
    <w:abstractNumId w:val="12"/>
  </w:num>
  <w:num w:numId="12" w16cid:durableId="2065131725">
    <w:abstractNumId w:val="5"/>
  </w:num>
  <w:num w:numId="13" w16cid:durableId="2019773050">
    <w:abstractNumId w:val="9"/>
  </w:num>
  <w:num w:numId="14" w16cid:durableId="147699559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0037820">
    <w:abstractNumId w:val="7"/>
  </w:num>
  <w:num w:numId="16" w16cid:durableId="1272737127">
    <w:abstractNumId w:val="1"/>
  </w:num>
  <w:num w:numId="17" w16cid:durableId="826169006">
    <w:abstractNumId w:val="2"/>
  </w:num>
  <w:num w:numId="18" w16cid:durableId="1992905801">
    <w:abstractNumId w:val="12"/>
  </w:num>
  <w:num w:numId="19" w16cid:durableId="7024836">
    <w:abstractNumId w:val="4"/>
  </w:num>
  <w:num w:numId="20" w16cid:durableId="821387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28"/>
    <w:rsid w:val="00014186"/>
    <w:rsid w:val="00027BB3"/>
    <w:rsid w:val="00035E6E"/>
    <w:rsid w:val="00036C8A"/>
    <w:rsid w:val="000412C4"/>
    <w:rsid w:val="00047EA2"/>
    <w:rsid w:val="000518FC"/>
    <w:rsid w:val="000570FD"/>
    <w:rsid w:val="00071128"/>
    <w:rsid w:val="0008403A"/>
    <w:rsid w:val="000B2B29"/>
    <w:rsid w:val="000C793B"/>
    <w:rsid w:val="000D4926"/>
    <w:rsid w:val="000F2F46"/>
    <w:rsid w:val="000F5A42"/>
    <w:rsid w:val="00104237"/>
    <w:rsid w:val="00120702"/>
    <w:rsid w:val="001421E7"/>
    <w:rsid w:val="001575BE"/>
    <w:rsid w:val="001B003A"/>
    <w:rsid w:val="001B7E08"/>
    <w:rsid w:val="001D196D"/>
    <w:rsid w:val="001D19AF"/>
    <w:rsid w:val="001D414D"/>
    <w:rsid w:val="001E3F31"/>
    <w:rsid w:val="001E5324"/>
    <w:rsid w:val="001F0E19"/>
    <w:rsid w:val="00200837"/>
    <w:rsid w:val="00214B9D"/>
    <w:rsid w:val="00226E17"/>
    <w:rsid w:val="00243070"/>
    <w:rsid w:val="00251C6D"/>
    <w:rsid w:val="002610F7"/>
    <w:rsid w:val="00261AFD"/>
    <w:rsid w:val="00270907"/>
    <w:rsid w:val="00273951"/>
    <w:rsid w:val="00282A20"/>
    <w:rsid w:val="00295819"/>
    <w:rsid w:val="002B44AC"/>
    <w:rsid w:val="002B4D2B"/>
    <w:rsid w:val="002B575D"/>
    <w:rsid w:val="002C72BB"/>
    <w:rsid w:val="002D259D"/>
    <w:rsid w:val="002D31AC"/>
    <w:rsid w:val="002E405B"/>
    <w:rsid w:val="002F1FA8"/>
    <w:rsid w:val="002F3D37"/>
    <w:rsid w:val="002F6B73"/>
    <w:rsid w:val="0030393E"/>
    <w:rsid w:val="003054A0"/>
    <w:rsid w:val="00312878"/>
    <w:rsid w:val="00313F4F"/>
    <w:rsid w:val="00325DAF"/>
    <w:rsid w:val="0033073C"/>
    <w:rsid w:val="003658B2"/>
    <w:rsid w:val="0037309A"/>
    <w:rsid w:val="003A338E"/>
    <w:rsid w:val="003A366A"/>
    <w:rsid w:val="003B0240"/>
    <w:rsid w:val="003D2FC0"/>
    <w:rsid w:val="003D6503"/>
    <w:rsid w:val="003E0020"/>
    <w:rsid w:val="003E0622"/>
    <w:rsid w:val="004011A1"/>
    <w:rsid w:val="004059F5"/>
    <w:rsid w:val="00413C4D"/>
    <w:rsid w:val="00414F7B"/>
    <w:rsid w:val="00420FCC"/>
    <w:rsid w:val="00430DCC"/>
    <w:rsid w:val="0044026B"/>
    <w:rsid w:val="004442D7"/>
    <w:rsid w:val="00452105"/>
    <w:rsid w:val="0047458A"/>
    <w:rsid w:val="004778DC"/>
    <w:rsid w:val="00477C41"/>
    <w:rsid w:val="00483E7B"/>
    <w:rsid w:val="0049347D"/>
    <w:rsid w:val="004B236A"/>
    <w:rsid w:val="004C44E5"/>
    <w:rsid w:val="004D3A2D"/>
    <w:rsid w:val="004D3F1C"/>
    <w:rsid w:val="004D5D1B"/>
    <w:rsid w:val="004D67FF"/>
    <w:rsid w:val="004E1D80"/>
    <w:rsid w:val="004E7BCE"/>
    <w:rsid w:val="004F3285"/>
    <w:rsid w:val="00504237"/>
    <w:rsid w:val="005451A1"/>
    <w:rsid w:val="005477FA"/>
    <w:rsid w:val="00553690"/>
    <w:rsid w:val="00556071"/>
    <w:rsid w:val="00570C03"/>
    <w:rsid w:val="00573DA8"/>
    <w:rsid w:val="00584D16"/>
    <w:rsid w:val="005875F9"/>
    <w:rsid w:val="005935C2"/>
    <w:rsid w:val="005B4DDD"/>
    <w:rsid w:val="005E29AD"/>
    <w:rsid w:val="005E46C1"/>
    <w:rsid w:val="005F7C13"/>
    <w:rsid w:val="005F7F2C"/>
    <w:rsid w:val="006166FA"/>
    <w:rsid w:val="006204AC"/>
    <w:rsid w:val="0062258D"/>
    <w:rsid w:val="00641500"/>
    <w:rsid w:val="00663D35"/>
    <w:rsid w:val="00672D90"/>
    <w:rsid w:val="006837CB"/>
    <w:rsid w:val="00687C56"/>
    <w:rsid w:val="006C75DB"/>
    <w:rsid w:val="006D3D0C"/>
    <w:rsid w:val="006E53C1"/>
    <w:rsid w:val="006F0FBA"/>
    <w:rsid w:val="006F5A8A"/>
    <w:rsid w:val="00702940"/>
    <w:rsid w:val="00722F10"/>
    <w:rsid w:val="00724997"/>
    <w:rsid w:val="0073780B"/>
    <w:rsid w:val="00741855"/>
    <w:rsid w:val="00767A08"/>
    <w:rsid w:val="00777258"/>
    <w:rsid w:val="007846D9"/>
    <w:rsid w:val="007870FF"/>
    <w:rsid w:val="007A14CB"/>
    <w:rsid w:val="007B1E71"/>
    <w:rsid w:val="007B6E5B"/>
    <w:rsid w:val="007B7517"/>
    <w:rsid w:val="007C1327"/>
    <w:rsid w:val="007C2BC0"/>
    <w:rsid w:val="007C3560"/>
    <w:rsid w:val="007C39B6"/>
    <w:rsid w:val="007C7EAB"/>
    <w:rsid w:val="007D116F"/>
    <w:rsid w:val="007D6B49"/>
    <w:rsid w:val="007E3225"/>
    <w:rsid w:val="008124CB"/>
    <w:rsid w:val="00826E55"/>
    <w:rsid w:val="0083057B"/>
    <w:rsid w:val="00830F69"/>
    <w:rsid w:val="0083111A"/>
    <w:rsid w:val="00847A1C"/>
    <w:rsid w:val="00854E76"/>
    <w:rsid w:val="00857689"/>
    <w:rsid w:val="008743B9"/>
    <w:rsid w:val="00885DDC"/>
    <w:rsid w:val="00896531"/>
    <w:rsid w:val="008C1B6E"/>
    <w:rsid w:val="008C525F"/>
    <w:rsid w:val="008D23D0"/>
    <w:rsid w:val="008F09A0"/>
    <w:rsid w:val="008F7FBA"/>
    <w:rsid w:val="00913B0B"/>
    <w:rsid w:val="009152E1"/>
    <w:rsid w:val="00930398"/>
    <w:rsid w:val="00936ED9"/>
    <w:rsid w:val="009373CD"/>
    <w:rsid w:val="00957A50"/>
    <w:rsid w:val="009A54B6"/>
    <w:rsid w:val="009A7D0E"/>
    <w:rsid w:val="009B6FAA"/>
    <w:rsid w:val="009C28EB"/>
    <w:rsid w:val="009C4923"/>
    <w:rsid w:val="009E7C86"/>
    <w:rsid w:val="009F2704"/>
    <w:rsid w:val="009F4E35"/>
    <w:rsid w:val="00A12218"/>
    <w:rsid w:val="00A3179A"/>
    <w:rsid w:val="00A34B2B"/>
    <w:rsid w:val="00A41DF4"/>
    <w:rsid w:val="00A5463D"/>
    <w:rsid w:val="00A6170B"/>
    <w:rsid w:val="00A67AA0"/>
    <w:rsid w:val="00A85BC9"/>
    <w:rsid w:val="00A9000E"/>
    <w:rsid w:val="00A90678"/>
    <w:rsid w:val="00AA5DC4"/>
    <w:rsid w:val="00AD099E"/>
    <w:rsid w:val="00AE7681"/>
    <w:rsid w:val="00B05AE3"/>
    <w:rsid w:val="00B1115F"/>
    <w:rsid w:val="00B13A6D"/>
    <w:rsid w:val="00B31D7A"/>
    <w:rsid w:val="00B457C4"/>
    <w:rsid w:val="00B5513F"/>
    <w:rsid w:val="00B61334"/>
    <w:rsid w:val="00B756E6"/>
    <w:rsid w:val="00B8332D"/>
    <w:rsid w:val="00B87927"/>
    <w:rsid w:val="00B950BD"/>
    <w:rsid w:val="00B96DAA"/>
    <w:rsid w:val="00BA2E9D"/>
    <w:rsid w:val="00BA52E0"/>
    <w:rsid w:val="00BB49F9"/>
    <w:rsid w:val="00BC421F"/>
    <w:rsid w:val="00BD073F"/>
    <w:rsid w:val="00BD4305"/>
    <w:rsid w:val="00BD66B8"/>
    <w:rsid w:val="00BE2023"/>
    <w:rsid w:val="00C22164"/>
    <w:rsid w:val="00C332D9"/>
    <w:rsid w:val="00C400EB"/>
    <w:rsid w:val="00C57518"/>
    <w:rsid w:val="00C8478D"/>
    <w:rsid w:val="00C96002"/>
    <w:rsid w:val="00CA3DCB"/>
    <w:rsid w:val="00CB6F98"/>
    <w:rsid w:val="00CC12DC"/>
    <w:rsid w:val="00CC26F2"/>
    <w:rsid w:val="00CC5978"/>
    <w:rsid w:val="00CD235C"/>
    <w:rsid w:val="00CD290E"/>
    <w:rsid w:val="00CD4AC6"/>
    <w:rsid w:val="00CD6B46"/>
    <w:rsid w:val="00CF3DC2"/>
    <w:rsid w:val="00D1233F"/>
    <w:rsid w:val="00D4416A"/>
    <w:rsid w:val="00D448BF"/>
    <w:rsid w:val="00D564FE"/>
    <w:rsid w:val="00D571A8"/>
    <w:rsid w:val="00D672E1"/>
    <w:rsid w:val="00DB39EC"/>
    <w:rsid w:val="00DC02A5"/>
    <w:rsid w:val="00DD41B6"/>
    <w:rsid w:val="00DE7610"/>
    <w:rsid w:val="00E16E38"/>
    <w:rsid w:val="00E372A9"/>
    <w:rsid w:val="00E4255B"/>
    <w:rsid w:val="00E73E5E"/>
    <w:rsid w:val="00E928DF"/>
    <w:rsid w:val="00EB01D2"/>
    <w:rsid w:val="00EC74F3"/>
    <w:rsid w:val="00F01998"/>
    <w:rsid w:val="00F04701"/>
    <w:rsid w:val="00F17F33"/>
    <w:rsid w:val="00F215DF"/>
    <w:rsid w:val="00F40132"/>
    <w:rsid w:val="00F50BDB"/>
    <w:rsid w:val="00F52209"/>
    <w:rsid w:val="00F52DAB"/>
    <w:rsid w:val="00F547AC"/>
    <w:rsid w:val="00F71E01"/>
    <w:rsid w:val="00FC63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2CA4"/>
  <w15:chartTrackingRefBased/>
  <w15:docId w15:val="{312142F7-52A8-4AD8-9E5E-348E2A01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28"/>
    <w:rPr>
      <w:rFonts w:eastAsia="Times New Roman" w:cs="Times New Roman"/>
      <w:kern w:val="0"/>
      <w14:ligatures w14:val="none"/>
    </w:rPr>
  </w:style>
  <w:style w:type="paragraph" w:styleId="Ttulo1">
    <w:name w:val="heading 1"/>
    <w:basedOn w:val="Normal"/>
    <w:next w:val="Normal"/>
    <w:link w:val="Ttulo1Car"/>
    <w:uiPriority w:val="9"/>
    <w:qFormat/>
    <w:rsid w:val="00071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1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11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11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11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11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11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11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11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11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11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11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11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11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11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11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11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1128"/>
    <w:rPr>
      <w:rFonts w:eastAsiaTheme="majorEastAsia" w:cstheme="majorBidi"/>
      <w:color w:val="272727" w:themeColor="text1" w:themeTint="D8"/>
    </w:rPr>
  </w:style>
  <w:style w:type="paragraph" w:styleId="Ttulo">
    <w:name w:val="Title"/>
    <w:basedOn w:val="Normal"/>
    <w:next w:val="Normal"/>
    <w:link w:val="TtuloCar"/>
    <w:uiPriority w:val="10"/>
    <w:qFormat/>
    <w:rsid w:val="00071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11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11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11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1128"/>
    <w:pPr>
      <w:spacing w:before="160"/>
      <w:jc w:val="center"/>
    </w:pPr>
    <w:rPr>
      <w:i/>
      <w:iCs/>
      <w:color w:val="404040" w:themeColor="text1" w:themeTint="BF"/>
    </w:rPr>
  </w:style>
  <w:style w:type="character" w:customStyle="1" w:styleId="CitaCar">
    <w:name w:val="Cita Car"/>
    <w:basedOn w:val="Fuentedeprrafopredeter"/>
    <w:link w:val="Cita"/>
    <w:uiPriority w:val="29"/>
    <w:rsid w:val="00071128"/>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71128"/>
    <w:pPr>
      <w:ind w:left="720"/>
      <w:contextualSpacing/>
    </w:pPr>
  </w:style>
  <w:style w:type="character" w:styleId="nfasisintenso">
    <w:name w:val="Intense Emphasis"/>
    <w:basedOn w:val="Fuentedeprrafopredeter"/>
    <w:uiPriority w:val="21"/>
    <w:qFormat/>
    <w:rsid w:val="00071128"/>
    <w:rPr>
      <w:i/>
      <w:iCs/>
      <w:color w:val="0F4761" w:themeColor="accent1" w:themeShade="BF"/>
    </w:rPr>
  </w:style>
  <w:style w:type="paragraph" w:styleId="Citadestacada">
    <w:name w:val="Intense Quote"/>
    <w:basedOn w:val="Normal"/>
    <w:next w:val="Normal"/>
    <w:link w:val="CitadestacadaCar"/>
    <w:uiPriority w:val="30"/>
    <w:qFormat/>
    <w:rsid w:val="00071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1128"/>
    <w:rPr>
      <w:i/>
      <w:iCs/>
      <w:color w:val="0F4761" w:themeColor="accent1" w:themeShade="BF"/>
    </w:rPr>
  </w:style>
  <w:style w:type="character" w:styleId="Referenciaintensa">
    <w:name w:val="Intense Reference"/>
    <w:basedOn w:val="Fuentedeprrafopredeter"/>
    <w:uiPriority w:val="32"/>
    <w:qFormat/>
    <w:rsid w:val="00071128"/>
    <w:rPr>
      <w:b/>
      <w:bCs/>
      <w:smallCaps/>
      <w:color w:val="0F4761" w:themeColor="accent1" w:themeShade="BF"/>
      <w:spacing w:val="5"/>
    </w:rPr>
  </w:style>
  <w:style w:type="paragraph" w:styleId="Encabezado">
    <w:name w:val="header"/>
    <w:basedOn w:val="Normal"/>
    <w:link w:val="EncabezadoCar"/>
    <w:uiPriority w:val="99"/>
    <w:unhideWhenUsed/>
    <w:rsid w:val="00071128"/>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071128"/>
    <w:rPr>
      <w:kern w:val="0"/>
      <w14:ligatures w14:val="none"/>
    </w:rPr>
  </w:style>
  <w:style w:type="paragraph" w:styleId="Piedepgina">
    <w:name w:val="footer"/>
    <w:basedOn w:val="Normal"/>
    <w:link w:val="PiedepginaCar"/>
    <w:uiPriority w:val="99"/>
    <w:unhideWhenUsed/>
    <w:rsid w:val="00071128"/>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071128"/>
    <w:rPr>
      <w:kern w:val="0"/>
      <w14:ligatures w14:val="none"/>
    </w:rPr>
  </w:style>
  <w:style w:type="table" w:styleId="Tablaconcuadrcula">
    <w:name w:val="Table Grid"/>
    <w:basedOn w:val="Tablanormal"/>
    <w:uiPriority w:val="39"/>
    <w:qFormat/>
    <w:rsid w:val="000711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71128"/>
    <w:rPr>
      <w:color w:val="467886" w:themeColor="hyperlink"/>
      <w:u w:val="single"/>
    </w:rPr>
  </w:style>
  <w:style w:type="character" w:customStyle="1" w:styleId="normaltextrun">
    <w:name w:val="normaltextrun"/>
    <w:basedOn w:val="Fuentedeprrafopredeter"/>
    <w:rsid w:val="00071128"/>
  </w:style>
  <w:style w:type="character" w:customStyle="1" w:styleId="eop">
    <w:name w:val="eop"/>
    <w:basedOn w:val="Fuentedeprrafopredeter"/>
    <w:rsid w:val="00071128"/>
  </w:style>
  <w:style w:type="paragraph" w:customStyle="1" w:styleId="paragraph">
    <w:name w:val="paragraph"/>
    <w:basedOn w:val="Normal"/>
    <w:rsid w:val="00071128"/>
    <w:pPr>
      <w:spacing w:before="100" w:beforeAutospacing="1" w:after="100" w:afterAutospacing="1" w:line="240" w:lineRule="auto"/>
    </w:pPr>
    <w:rPr>
      <w:rFonts w:ascii="Times New Roman" w:hAnsi="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71128"/>
  </w:style>
  <w:style w:type="character" w:styleId="Mencinsinresolver">
    <w:name w:val="Unresolved Mention"/>
    <w:basedOn w:val="Fuentedeprrafopredeter"/>
    <w:uiPriority w:val="99"/>
    <w:semiHidden/>
    <w:unhideWhenUsed/>
    <w:rsid w:val="00071128"/>
    <w:rPr>
      <w:color w:val="605E5C"/>
      <w:shd w:val="clear" w:color="auto" w:fill="E1DFDD"/>
    </w:rPr>
  </w:style>
  <w:style w:type="paragraph" w:styleId="Textonotapie">
    <w:name w:val="footnote text"/>
    <w:aliases w:val="Ref. de nota al pie1,Ref. de nota al pie 2,Ref,de nota al pie,FC,Appel note de bas de p,f,4_G,16 Point,Superscript 6 Point,Texto nota al pie,Pie de Página,Texto de nota al pi,Nota de pie,Texto de nota al p,Footnote Reference Char3,F,R"/>
    <w:basedOn w:val="Normal"/>
    <w:link w:val="TextonotapieCar"/>
    <w:uiPriority w:val="99"/>
    <w:unhideWhenUsed/>
    <w:qFormat/>
    <w:rsid w:val="00896531"/>
    <w:pPr>
      <w:spacing w:after="0" w:line="240" w:lineRule="auto"/>
    </w:pPr>
    <w:rPr>
      <w:sz w:val="20"/>
      <w:szCs w:val="20"/>
      <w:lang w:val="es-MX"/>
    </w:rPr>
  </w:style>
  <w:style w:type="character" w:customStyle="1" w:styleId="TextonotapieCar">
    <w:name w:val="Texto nota pie Car"/>
    <w:aliases w:val="Ref. de nota al pie1 Car,Ref. de nota al pie 2 Car,Ref Car,de nota al pie Car,FC Car,Appel note de bas de p Car,f Car,4_G Car,16 Point Car,Superscript 6 Point Car,Texto nota al pie Car,Pie de Página Car,Texto de nota al pi Car,F Car"/>
    <w:basedOn w:val="Fuentedeprrafopredeter"/>
    <w:link w:val="Textonotapie"/>
    <w:uiPriority w:val="99"/>
    <w:qFormat/>
    <w:rsid w:val="00896531"/>
    <w:rPr>
      <w:rFonts w:eastAsia="Times New Roman" w:cs="Times New Roman"/>
      <w:kern w:val="0"/>
      <w:sz w:val="20"/>
      <w:szCs w:val="20"/>
      <w:lang w:val="es-MX"/>
      <w14:ligatures w14:val="none"/>
    </w:rPr>
  </w:style>
  <w:style w:type="paragraph" w:styleId="NormalWeb">
    <w:name w:val="Normal (Web)"/>
    <w:basedOn w:val="Normal"/>
    <w:uiPriority w:val="99"/>
    <w:semiHidden/>
    <w:unhideWhenUsed/>
    <w:rsid w:val="00027BB3"/>
    <w:rPr>
      <w:rFonts w:ascii="Times New Roman" w:hAnsi="Times New Roman"/>
      <w:sz w:val="24"/>
      <w:szCs w:val="24"/>
    </w:rPr>
  </w:style>
  <w:style w:type="table" w:customStyle="1" w:styleId="Tablaconcuadrcula1">
    <w:name w:val="Tabla con cuadrícula1"/>
    <w:basedOn w:val="Tablanormal"/>
    <w:next w:val="Tablaconcuadrcula"/>
    <w:uiPriority w:val="39"/>
    <w:qFormat/>
    <w:rsid w:val="00E73E5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58167">
      <w:bodyDiv w:val="1"/>
      <w:marLeft w:val="0"/>
      <w:marRight w:val="0"/>
      <w:marTop w:val="0"/>
      <w:marBottom w:val="0"/>
      <w:divBdr>
        <w:top w:val="none" w:sz="0" w:space="0" w:color="auto"/>
        <w:left w:val="none" w:sz="0" w:space="0" w:color="auto"/>
        <w:bottom w:val="none" w:sz="0" w:space="0" w:color="auto"/>
        <w:right w:val="none" w:sz="0" w:space="0" w:color="auto"/>
      </w:divBdr>
    </w:div>
    <w:div w:id="417101698">
      <w:bodyDiv w:val="1"/>
      <w:marLeft w:val="0"/>
      <w:marRight w:val="0"/>
      <w:marTop w:val="0"/>
      <w:marBottom w:val="0"/>
      <w:divBdr>
        <w:top w:val="none" w:sz="0" w:space="0" w:color="auto"/>
        <w:left w:val="none" w:sz="0" w:space="0" w:color="auto"/>
        <w:bottom w:val="none" w:sz="0" w:space="0" w:color="auto"/>
        <w:right w:val="none" w:sz="0" w:space="0" w:color="auto"/>
      </w:divBdr>
    </w:div>
    <w:div w:id="428431852">
      <w:bodyDiv w:val="1"/>
      <w:marLeft w:val="0"/>
      <w:marRight w:val="0"/>
      <w:marTop w:val="0"/>
      <w:marBottom w:val="0"/>
      <w:divBdr>
        <w:top w:val="none" w:sz="0" w:space="0" w:color="auto"/>
        <w:left w:val="none" w:sz="0" w:space="0" w:color="auto"/>
        <w:bottom w:val="none" w:sz="0" w:space="0" w:color="auto"/>
        <w:right w:val="none" w:sz="0" w:space="0" w:color="auto"/>
      </w:divBdr>
    </w:div>
    <w:div w:id="487328462">
      <w:bodyDiv w:val="1"/>
      <w:marLeft w:val="0"/>
      <w:marRight w:val="0"/>
      <w:marTop w:val="0"/>
      <w:marBottom w:val="0"/>
      <w:divBdr>
        <w:top w:val="none" w:sz="0" w:space="0" w:color="auto"/>
        <w:left w:val="none" w:sz="0" w:space="0" w:color="auto"/>
        <w:bottom w:val="none" w:sz="0" w:space="0" w:color="auto"/>
        <w:right w:val="none" w:sz="0" w:space="0" w:color="auto"/>
      </w:divBdr>
    </w:div>
    <w:div w:id="572197679">
      <w:bodyDiv w:val="1"/>
      <w:marLeft w:val="0"/>
      <w:marRight w:val="0"/>
      <w:marTop w:val="0"/>
      <w:marBottom w:val="0"/>
      <w:divBdr>
        <w:top w:val="none" w:sz="0" w:space="0" w:color="auto"/>
        <w:left w:val="none" w:sz="0" w:space="0" w:color="auto"/>
        <w:bottom w:val="none" w:sz="0" w:space="0" w:color="auto"/>
        <w:right w:val="none" w:sz="0" w:space="0" w:color="auto"/>
      </w:divBdr>
    </w:div>
    <w:div w:id="695498044">
      <w:bodyDiv w:val="1"/>
      <w:marLeft w:val="0"/>
      <w:marRight w:val="0"/>
      <w:marTop w:val="0"/>
      <w:marBottom w:val="0"/>
      <w:divBdr>
        <w:top w:val="none" w:sz="0" w:space="0" w:color="auto"/>
        <w:left w:val="none" w:sz="0" w:space="0" w:color="auto"/>
        <w:bottom w:val="none" w:sz="0" w:space="0" w:color="auto"/>
        <w:right w:val="none" w:sz="0" w:space="0" w:color="auto"/>
      </w:divBdr>
    </w:div>
    <w:div w:id="736903280">
      <w:bodyDiv w:val="1"/>
      <w:marLeft w:val="0"/>
      <w:marRight w:val="0"/>
      <w:marTop w:val="0"/>
      <w:marBottom w:val="0"/>
      <w:divBdr>
        <w:top w:val="none" w:sz="0" w:space="0" w:color="auto"/>
        <w:left w:val="none" w:sz="0" w:space="0" w:color="auto"/>
        <w:bottom w:val="none" w:sz="0" w:space="0" w:color="auto"/>
        <w:right w:val="none" w:sz="0" w:space="0" w:color="auto"/>
      </w:divBdr>
    </w:div>
    <w:div w:id="775371128">
      <w:bodyDiv w:val="1"/>
      <w:marLeft w:val="0"/>
      <w:marRight w:val="0"/>
      <w:marTop w:val="0"/>
      <w:marBottom w:val="0"/>
      <w:divBdr>
        <w:top w:val="none" w:sz="0" w:space="0" w:color="auto"/>
        <w:left w:val="none" w:sz="0" w:space="0" w:color="auto"/>
        <w:bottom w:val="none" w:sz="0" w:space="0" w:color="auto"/>
        <w:right w:val="none" w:sz="0" w:space="0" w:color="auto"/>
      </w:divBdr>
    </w:div>
    <w:div w:id="892809596">
      <w:bodyDiv w:val="1"/>
      <w:marLeft w:val="0"/>
      <w:marRight w:val="0"/>
      <w:marTop w:val="0"/>
      <w:marBottom w:val="0"/>
      <w:divBdr>
        <w:top w:val="none" w:sz="0" w:space="0" w:color="auto"/>
        <w:left w:val="none" w:sz="0" w:space="0" w:color="auto"/>
        <w:bottom w:val="none" w:sz="0" w:space="0" w:color="auto"/>
        <w:right w:val="none" w:sz="0" w:space="0" w:color="auto"/>
      </w:divBdr>
    </w:div>
    <w:div w:id="943343584">
      <w:bodyDiv w:val="1"/>
      <w:marLeft w:val="0"/>
      <w:marRight w:val="0"/>
      <w:marTop w:val="0"/>
      <w:marBottom w:val="0"/>
      <w:divBdr>
        <w:top w:val="none" w:sz="0" w:space="0" w:color="auto"/>
        <w:left w:val="none" w:sz="0" w:space="0" w:color="auto"/>
        <w:bottom w:val="none" w:sz="0" w:space="0" w:color="auto"/>
        <w:right w:val="none" w:sz="0" w:space="0" w:color="auto"/>
      </w:divBdr>
    </w:div>
    <w:div w:id="1097478517">
      <w:bodyDiv w:val="1"/>
      <w:marLeft w:val="0"/>
      <w:marRight w:val="0"/>
      <w:marTop w:val="0"/>
      <w:marBottom w:val="0"/>
      <w:divBdr>
        <w:top w:val="none" w:sz="0" w:space="0" w:color="auto"/>
        <w:left w:val="none" w:sz="0" w:space="0" w:color="auto"/>
        <w:bottom w:val="none" w:sz="0" w:space="0" w:color="auto"/>
        <w:right w:val="none" w:sz="0" w:space="0" w:color="auto"/>
      </w:divBdr>
    </w:div>
    <w:div w:id="1108545561">
      <w:bodyDiv w:val="1"/>
      <w:marLeft w:val="0"/>
      <w:marRight w:val="0"/>
      <w:marTop w:val="0"/>
      <w:marBottom w:val="0"/>
      <w:divBdr>
        <w:top w:val="none" w:sz="0" w:space="0" w:color="auto"/>
        <w:left w:val="none" w:sz="0" w:space="0" w:color="auto"/>
        <w:bottom w:val="none" w:sz="0" w:space="0" w:color="auto"/>
        <w:right w:val="none" w:sz="0" w:space="0" w:color="auto"/>
      </w:divBdr>
    </w:div>
    <w:div w:id="1187594389">
      <w:bodyDiv w:val="1"/>
      <w:marLeft w:val="0"/>
      <w:marRight w:val="0"/>
      <w:marTop w:val="0"/>
      <w:marBottom w:val="0"/>
      <w:divBdr>
        <w:top w:val="none" w:sz="0" w:space="0" w:color="auto"/>
        <w:left w:val="none" w:sz="0" w:space="0" w:color="auto"/>
        <w:bottom w:val="none" w:sz="0" w:space="0" w:color="auto"/>
        <w:right w:val="none" w:sz="0" w:space="0" w:color="auto"/>
      </w:divBdr>
    </w:div>
    <w:div w:id="1212422387">
      <w:bodyDiv w:val="1"/>
      <w:marLeft w:val="0"/>
      <w:marRight w:val="0"/>
      <w:marTop w:val="0"/>
      <w:marBottom w:val="0"/>
      <w:divBdr>
        <w:top w:val="none" w:sz="0" w:space="0" w:color="auto"/>
        <w:left w:val="none" w:sz="0" w:space="0" w:color="auto"/>
        <w:bottom w:val="none" w:sz="0" w:space="0" w:color="auto"/>
        <w:right w:val="none" w:sz="0" w:space="0" w:color="auto"/>
      </w:divBdr>
    </w:div>
    <w:div w:id="1228762804">
      <w:bodyDiv w:val="1"/>
      <w:marLeft w:val="0"/>
      <w:marRight w:val="0"/>
      <w:marTop w:val="0"/>
      <w:marBottom w:val="0"/>
      <w:divBdr>
        <w:top w:val="none" w:sz="0" w:space="0" w:color="auto"/>
        <w:left w:val="none" w:sz="0" w:space="0" w:color="auto"/>
        <w:bottom w:val="none" w:sz="0" w:space="0" w:color="auto"/>
        <w:right w:val="none" w:sz="0" w:space="0" w:color="auto"/>
      </w:divBdr>
    </w:div>
    <w:div w:id="1257323391">
      <w:bodyDiv w:val="1"/>
      <w:marLeft w:val="0"/>
      <w:marRight w:val="0"/>
      <w:marTop w:val="0"/>
      <w:marBottom w:val="0"/>
      <w:divBdr>
        <w:top w:val="none" w:sz="0" w:space="0" w:color="auto"/>
        <w:left w:val="none" w:sz="0" w:space="0" w:color="auto"/>
        <w:bottom w:val="none" w:sz="0" w:space="0" w:color="auto"/>
        <w:right w:val="none" w:sz="0" w:space="0" w:color="auto"/>
      </w:divBdr>
    </w:div>
    <w:div w:id="1326011785">
      <w:bodyDiv w:val="1"/>
      <w:marLeft w:val="0"/>
      <w:marRight w:val="0"/>
      <w:marTop w:val="0"/>
      <w:marBottom w:val="0"/>
      <w:divBdr>
        <w:top w:val="none" w:sz="0" w:space="0" w:color="auto"/>
        <w:left w:val="none" w:sz="0" w:space="0" w:color="auto"/>
        <w:bottom w:val="none" w:sz="0" w:space="0" w:color="auto"/>
        <w:right w:val="none" w:sz="0" w:space="0" w:color="auto"/>
      </w:divBdr>
    </w:div>
    <w:div w:id="1360274344">
      <w:bodyDiv w:val="1"/>
      <w:marLeft w:val="0"/>
      <w:marRight w:val="0"/>
      <w:marTop w:val="0"/>
      <w:marBottom w:val="0"/>
      <w:divBdr>
        <w:top w:val="none" w:sz="0" w:space="0" w:color="auto"/>
        <w:left w:val="none" w:sz="0" w:space="0" w:color="auto"/>
        <w:bottom w:val="none" w:sz="0" w:space="0" w:color="auto"/>
        <w:right w:val="none" w:sz="0" w:space="0" w:color="auto"/>
      </w:divBdr>
    </w:div>
    <w:div w:id="1469472035">
      <w:bodyDiv w:val="1"/>
      <w:marLeft w:val="0"/>
      <w:marRight w:val="0"/>
      <w:marTop w:val="0"/>
      <w:marBottom w:val="0"/>
      <w:divBdr>
        <w:top w:val="none" w:sz="0" w:space="0" w:color="auto"/>
        <w:left w:val="none" w:sz="0" w:space="0" w:color="auto"/>
        <w:bottom w:val="none" w:sz="0" w:space="0" w:color="auto"/>
        <w:right w:val="none" w:sz="0" w:space="0" w:color="auto"/>
      </w:divBdr>
    </w:div>
    <w:div w:id="1577520367">
      <w:bodyDiv w:val="1"/>
      <w:marLeft w:val="0"/>
      <w:marRight w:val="0"/>
      <w:marTop w:val="0"/>
      <w:marBottom w:val="0"/>
      <w:divBdr>
        <w:top w:val="none" w:sz="0" w:space="0" w:color="auto"/>
        <w:left w:val="none" w:sz="0" w:space="0" w:color="auto"/>
        <w:bottom w:val="none" w:sz="0" w:space="0" w:color="auto"/>
        <w:right w:val="none" w:sz="0" w:space="0" w:color="auto"/>
      </w:divBdr>
    </w:div>
    <w:div w:id="1771582670">
      <w:bodyDiv w:val="1"/>
      <w:marLeft w:val="0"/>
      <w:marRight w:val="0"/>
      <w:marTop w:val="0"/>
      <w:marBottom w:val="0"/>
      <w:divBdr>
        <w:top w:val="none" w:sz="0" w:space="0" w:color="auto"/>
        <w:left w:val="none" w:sz="0" w:space="0" w:color="auto"/>
        <w:bottom w:val="none" w:sz="0" w:space="0" w:color="auto"/>
        <w:right w:val="none" w:sz="0" w:space="0" w:color="auto"/>
      </w:divBdr>
    </w:div>
    <w:div w:id="1959749670">
      <w:bodyDiv w:val="1"/>
      <w:marLeft w:val="0"/>
      <w:marRight w:val="0"/>
      <w:marTop w:val="0"/>
      <w:marBottom w:val="0"/>
      <w:divBdr>
        <w:top w:val="none" w:sz="0" w:space="0" w:color="auto"/>
        <w:left w:val="none" w:sz="0" w:space="0" w:color="auto"/>
        <w:bottom w:val="none" w:sz="0" w:space="0" w:color="auto"/>
        <w:right w:val="none" w:sz="0" w:space="0" w:color="auto"/>
      </w:divBdr>
    </w:div>
    <w:div w:id="2122262073">
      <w:bodyDiv w:val="1"/>
      <w:marLeft w:val="0"/>
      <w:marRight w:val="0"/>
      <w:marTop w:val="0"/>
      <w:marBottom w:val="0"/>
      <w:divBdr>
        <w:top w:val="none" w:sz="0" w:space="0" w:color="auto"/>
        <w:left w:val="none" w:sz="0" w:space="0" w:color="auto"/>
        <w:bottom w:val="none" w:sz="0" w:space="0" w:color="auto"/>
        <w:right w:val="none" w:sz="0" w:space="0" w:color="auto"/>
      </w:divBdr>
    </w:div>
    <w:div w:id="2141260415">
      <w:bodyDiv w:val="1"/>
      <w:marLeft w:val="0"/>
      <w:marRight w:val="0"/>
      <w:marTop w:val="0"/>
      <w:marBottom w:val="0"/>
      <w:divBdr>
        <w:top w:val="none" w:sz="0" w:space="0" w:color="auto"/>
        <w:left w:val="none" w:sz="0" w:space="0" w:color="auto"/>
        <w:bottom w:val="none" w:sz="0" w:space="0" w:color="auto"/>
        <w:right w:val="none" w:sz="0" w:space="0" w:color="auto"/>
      </w:divBdr>
    </w:div>
    <w:div w:id="21461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uri_04@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1925B-6010-40ED-AAFB-E84B9E630B71}">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9d85dbaf-23eb-4e57-a637-93dcacc8b1a1"/>
    <ds:schemaRef ds:uri="http://schemas.microsoft.com/office/infopath/2007/PartnerControls"/>
    <ds:schemaRef ds:uri="a6cb9e4b-f1d1-4245-83ec-6cad768d538a"/>
    <ds:schemaRef ds:uri="http://www.w3.org/XML/1998/namespace"/>
  </ds:schemaRefs>
</ds:datastoreItem>
</file>

<file path=customXml/itemProps2.xml><?xml version="1.0" encoding="utf-8"?>
<ds:datastoreItem xmlns:ds="http://schemas.openxmlformats.org/officeDocument/2006/customXml" ds:itemID="{CE405BA8-F71B-467C-AE87-9098AC283BEA}">
  <ds:schemaRefs>
    <ds:schemaRef ds:uri="http://schemas.microsoft.com/sharepoint/v3/contenttype/forms"/>
  </ds:schemaRefs>
</ds:datastoreItem>
</file>

<file path=customXml/itemProps3.xml><?xml version="1.0" encoding="utf-8"?>
<ds:datastoreItem xmlns:ds="http://schemas.openxmlformats.org/officeDocument/2006/customXml" ds:itemID="{BF4447D6-2333-4C78-A645-0647B315D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12482</TotalTime>
  <Pages>19</Pages>
  <Words>6155</Words>
  <Characters>33856</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222</cp:revision>
  <dcterms:created xsi:type="dcterms:W3CDTF">2024-11-19T15:49:00Z</dcterms:created>
  <dcterms:modified xsi:type="dcterms:W3CDTF">2024-12-18T17:09:00Z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