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41B28" w14:textId="77777777" w:rsidR="00CE151D" w:rsidRDefault="00CE151D" w:rsidP="00CE151D">
      <w:pPr>
        <w:spacing w:after="20" w:line="276" w:lineRule="auto"/>
        <w:jc w:val="both"/>
        <w:rPr>
          <w:rFonts w:ascii="Verdana" w:hAnsi="Verdana"/>
        </w:rPr>
      </w:pPr>
      <w:r w:rsidRPr="001B381F">
        <w:rPr>
          <w:rFonts w:ascii="Verdana" w:hAnsi="Verdana"/>
          <w:b/>
          <w:bCs/>
        </w:rPr>
        <w:t>CONCURSO DE MERITOS – Concepto – Contrato de Consultoría.</w:t>
      </w:r>
      <w:r>
        <w:rPr>
          <w:rFonts w:ascii="Verdana" w:hAnsi="Verdana"/>
        </w:rPr>
        <w:t xml:space="preserve"> </w:t>
      </w:r>
    </w:p>
    <w:p w14:paraId="6EF0802A" w14:textId="0114378D" w:rsidR="00CE151D" w:rsidRPr="001B381F" w:rsidRDefault="00CE151D" w:rsidP="00CE151D">
      <w:pPr>
        <w:spacing w:after="20" w:line="240" w:lineRule="auto"/>
        <w:jc w:val="both"/>
        <w:rPr>
          <w:rFonts w:ascii="Verdana" w:hAnsi="Verdana" w:cs="Arial"/>
          <w:color w:val="000000" w:themeColor="text1"/>
          <w:sz w:val="20"/>
          <w:szCs w:val="20"/>
          <w:lang w:val="es-ES_tradnl"/>
        </w:rPr>
      </w:pPr>
      <w:r w:rsidRPr="001B381F">
        <w:rPr>
          <w:rFonts w:ascii="Verdana" w:hAnsi="Verdana" w:cs="Arial"/>
          <w:color w:val="000000" w:themeColor="text1"/>
          <w:sz w:val="20"/>
          <w:szCs w:val="20"/>
          <w:lang w:val="es-ES"/>
        </w:rPr>
        <w:t>E</w:t>
      </w:r>
      <w:r w:rsidRPr="001B381F">
        <w:rPr>
          <w:rFonts w:ascii="Verdana" w:hAnsi="Verdana" w:cs="Arial"/>
          <w:color w:val="000000" w:themeColor="text1"/>
          <w:sz w:val="20"/>
          <w:szCs w:val="20"/>
          <w:lang w:val="es-ES_tradnl"/>
        </w:rPr>
        <w:t xml:space="preserve">l </w:t>
      </w:r>
      <w:r w:rsidRPr="001B381F">
        <w:rPr>
          <w:rFonts w:ascii="Verdana" w:hAnsi="Verdana" w:cs="Arial"/>
          <w:i/>
          <w:iCs/>
          <w:color w:val="000000" w:themeColor="text1"/>
          <w:sz w:val="20"/>
          <w:szCs w:val="20"/>
          <w:lang w:val="es-ES_tradnl"/>
        </w:rPr>
        <w:t xml:space="preserve">concurso de méritos </w:t>
      </w:r>
      <w:r w:rsidRPr="001B381F">
        <w:rPr>
          <w:rFonts w:ascii="Verdana" w:hAnsi="Verdana" w:cs="Arial"/>
          <w:color w:val="000000" w:themeColor="text1"/>
          <w:sz w:val="20"/>
          <w:szCs w:val="20"/>
          <w:lang w:val="es-ES_tradnl"/>
        </w:rPr>
        <w:t xml:space="preserve">es un procedimiento de selección que deben realizar las entidades estatales para escoger </w:t>
      </w:r>
      <w:r>
        <w:rPr>
          <w:rFonts w:ascii="Verdana" w:hAnsi="Verdana" w:cs="Arial"/>
          <w:color w:val="000000" w:themeColor="text1"/>
          <w:sz w:val="20"/>
          <w:szCs w:val="20"/>
          <w:lang w:val="es-ES_tradnl"/>
        </w:rPr>
        <w:t>“</w:t>
      </w:r>
      <w:r w:rsidRPr="001B381F">
        <w:rPr>
          <w:rFonts w:ascii="Verdana" w:hAnsi="Verdana" w:cs="Arial"/>
          <w:color w:val="000000" w:themeColor="text1"/>
          <w:sz w:val="20"/>
          <w:szCs w:val="20"/>
          <w:lang w:val="es-ES_tradnl"/>
        </w:rPr>
        <w:t>consultores y proyectos</w:t>
      </w:r>
      <w:r>
        <w:rPr>
          <w:rFonts w:ascii="Verdana" w:hAnsi="Verdana" w:cs="Arial"/>
          <w:color w:val="000000" w:themeColor="text1"/>
          <w:sz w:val="20"/>
          <w:szCs w:val="20"/>
          <w:lang w:val="es-ES_tradnl"/>
        </w:rPr>
        <w:t>”</w:t>
      </w:r>
      <w:r w:rsidRPr="001B381F">
        <w:rPr>
          <w:rFonts w:ascii="Verdana" w:hAnsi="Verdana" w:cs="Arial"/>
          <w:color w:val="000000" w:themeColor="text1"/>
          <w:sz w:val="20"/>
          <w:szCs w:val="20"/>
          <w:lang w:val="es-ES_tradnl"/>
        </w:rPr>
        <w:t xml:space="preserve">, es decir, para celebrar contratos de consultoría, entendidos estos últimos como aquellos </w:t>
      </w:r>
      <w:r>
        <w:rPr>
          <w:rFonts w:ascii="Verdana" w:hAnsi="Verdana" w:cs="Arial"/>
          <w:color w:val="000000" w:themeColor="text1"/>
          <w:sz w:val="20"/>
          <w:szCs w:val="20"/>
          <w:lang w:val="es-ES_tradnl"/>
        </w:rPr>
        <w:t>“</w:t>
      </w:r>
      <w:r w:rsidRPr="001B381F">
        <w:rPr>
          <w:rFonts w:ascii="Verdana" w:hAnsi="Verdana" w:cs="Arial"/>
          <w:color w:val="000000" w:themeColor="text1"/>
          <w:sz w:val="20"/>
          <w:szCs w:val="20"/>
          <w:lang w:val="es-ES_tradnl"/>
        </w:rPr>
        <w:t>[…]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r>
        <w:rPr>
          <w:rFonts w:ascii="Verdana" w:hAnsi="Verdana" w:cs="Arial"/>
          <w:color w:val="000000" w:themeColor="text1"/>
          <w:sz w:val="20"/>
          <w:szCs w:val="20"/>
          <w:lang w:val="es-ES_tradnl"/>
        </w:rPr>
        <w:t>”</w:t>
      </w:r>
      <w:r w:rsidRPr="001B381F">
        <w:rPr>
          <w:rFonts w:ascii="Verdana" w:hAnsi="Verdana" w:cs="Arial"/>
          <w:color w:val="000000" w:themeColor="text1"/>
          <w:sz w:val="20"/>
          <w:szCs w:val="20"/>
          <w:lang w:val="es-ES_tradnl"/>
        </w:rPr>
        <w:t>, según lo dispuesto en el artículo 32, numeral 2, de la Ley 80 de 1993.</w:t>
      </w:r>
    </w:p>
    <w:p w14:paraId="1B71C35F" w14:textId="0D9951EF" w:rsidR="00CE151D" w:rsidRDefault="00CE151D" w:rsidP="00CE151D">
      <w:pPr>
        <w:spacing w:before="120" w:after="20" w:line="240" w:lineRule="auto"/>
        <w:jc w:val="both"/>
        <w:rPr>
          <w:rFonts w:ascii="Verdana" w:hAnsi="Verdana" w:cs="Arial"/>
          <w:color w:val="000000" w:themeColor="text1"/>
          <w:sz w:val="20"/>
          <w:szCs w:val="20"/>
          <w:lang w:val="es-ES"/>
        </w:rPr>
      </w:pPr>
      <w:r w:rsidRPr="001B381F">
        <w:rPr>
          <w:rFonts w:ascii="Verdana" w:hAnsi="Verdana" w:cs="Arial"/>
          <w:color w:val="000000" w:themeColor="text1"/>
          <w:sz w:val="20"/>
          <w:szCs w:val="20"/>
          <w:lang w:val="es-ES"/>
        </w:rPr>
        <w:t xml:space="preserve">El Libro 2, Parte 2, Título 1, Capítulo 2, Sección 1, Subsección 3 del Decreto 1082 de 2015, regula las distintas modalidades del concurso de méritos: i) concurso de méritos abierto o sin precalificación, </w:t>
      </w:r>
      <w:proofErr w:type="spellStart"/>
      <w:r w:rsidRPr="001B381F">
        <w:rPr>
          <w:rFonts w:ascii="Verdana" w:hAnsi="Verdana" w:cs="Arial"/>
          <w:color w:val="000000" w:themeColor="text1"/>
          <w:sz w:val="20"/>
          <w:szCs w:val="20"/>
          <w:lang w:val="es-ES"/>
        </w:rPr>
        <w:t>ii</w:t>
      </w:r>
      <w:proofErr w:type="spellEnd"/>
      <w:r w:rsidRPr="001B381F">
        <w:rPr>
          <w:rFonts w:ascii="Verdana" w:hAnsi="Verdana" w:cs="Arial"/>
          <w:color w:val="000000" w:themeColor="text1"/>
          <w:sz w:val="20"/>
          <w:szCs w:val="20"/>
          <w:lang w:val="es-ES"/>
        </w:rPr>
        <w:t xml:space="preserve">) concurso de méritos cerrado o con precalificación y </w:t>
      </w:r>
      <w:proofErr w:type="spellStart"/>
      <w:r w:rsidRPr="001B381F">
        <w:rPr>
          <w:rFonts w:ascii="Verdana" w:hAnsi="Verdana" w:cs="Arial"/>
          <w:color w:val="000000" w:themeColor="text1"/>
          <w:sz w:val="20"/>
          <w:szCs w:val="20"/>
          <w:lang w:val="es-ES"/>
        </w:rPr>
        <w:t>iii</w:t>
      </w:r>
      <w:proofErr w:type="spellEnd"/>
      <w:r w:rsidRPr="001B381F">
        <w:rPr>
          <w:rFonts w:ascii="Verdana" w:hAnsi="Verdana" w:cs="Arial"/>
          <w:color w:val="000000" w:themeColor="text1"/>
          <w:sz w:val="20"/>
          <w:szCs w:val="20"/>
          <w:lang w:val="es-ES"/>
        </w:rPr>
        <w:t xml:space="preserve">) concurso de méritos </w:t>
      </w:r>
      <w:r>
        <w:rPr>
          <w:rFonts w:ascii="Verdana" w:hAnsi="Verdana" w:cs="Arial"/>
          <w:color w:val="000000" w:themeColor="text1"/>
          <w:sz w:val="20"/>
          <w:szCs w:val="20"/>
          <w:lang w:val="es-ES"/>
        </w:rPr>
        <w:t>“</w:t>
      </w:r>
      <w:r w:rsidRPr="001B381F">
        <w:rPr>
          <w:rFonts w:ascii="Verdana" w:hAnsi="Verdana" w:cs="Arial"/>
          <w:color w:val="000000" w:themeColor="text1"/>
          <w:sz w:val="20"/>
          <w:szCs w:val="20"/>
          <w:lang w:val="es-ES"/>
        </w:rPr>
        <w:t>para la selección de consultores de diseño, planos, anteproyectos y proyectos arquitectónicos</w:t>
      </w:r>
      <w:r>
        <w:rPr>
          <w:rFonts w:ascii="Verdana" w:hAnsi="Verdana" w:cs="Arial"/>
          <w:color w:val="000000" w:themeColor="text1"/>
          <w:sz w:val="20"/>
          <w:szCs w:val="20"/>
          <w:lang w:val="es-ES"/>
        </w:rPr>
        <w:t>”</w:t>
      </w:r>
      <w:r w:rsidRPr="001B381F">
        <w:rPr>
          <w:rFonts w:ascii="Verdana" w:hAnsi="Verdana" w:cs="Arial"/>
          <w:color w:val="000000" w:themeColor="text1"/>
          <w:sz w:val="20"/>
          <w:szCs w:val="20"/>
          <w:lang w:val="es-ES"/>
        </w:rPr>
        <w:t xml:space="preserve">. El primero está regulado en los artículos 2.2.1.2.1.3.1. y 2.2.1.2.1.3.2. </w:t>
      </w:r>
      <w:proofErr w:type="spellStart"/>
      <w:r w:rsidRPr="001B381F">
        <w:rPr>
          <w:rFonts w:ascii="Verdana" w:hAnsi="Verdana" w:cs="Arial"/>
          <w:i/>
          <w:iCs/>
          <w:color w:val="000000" w:themeColor="text1"/>
          <w:sz w:val="20"/>
          <w:szCs w:val="20"/>
          <w:lang w:val="es-ES"/>
        </w:rPr>
        <w:t>ibídem</w:t>
      </w:r>
      <w:proofErr w:type="spellEnd"/>
      <w:r w:rsidRPr="001B381F">
        <w:rPr>
          <w:rFonts w:ascii="Verdana" w:hAnsi="Verdana" w:cs="Arial"/>
          <w:color w:val="000000" w:themeColor="text1"/>
          <w:sz w:val="20"/>
          <w:szCs w:val="20"/>
          <w:lang w:val="es-ES"/>
        </w:rPr>
        <w:t xml:space="preserve">. El segundo, además de los dos artículos anteriores, lo regulan los artículos 2.2.1.2.1.3.3. a 2.2.1.2.1.3.7. </w:t>
      </w:r>
      <w:proofErr w:type="spellStart"/>
      <w:r w:rsidRPr="001B381F">
        <w:rPr>
          <w:rFonts w:ascii="Verdana" w:hAnsi="Verdana" w:cs="Arial"/>
          <w:i/>
          <w:iCs/>
          <w:color w:val="000000" w:themeColor="text1"/>
          <w:sz w:val="20"/>
          <w:szCs w:val="20"/>
          <w:lang w:val="es-ES"/>
        </w:rPr>
        <w:t>ejusdem</w:t>
      </w:r>
      <w:proofErr w:type="spellEnd"/>
      <w:r w:rsidRPr="001B381F">
        <w:rPr>
          <w:rFonts w:ascii="Verdana" w:hAnsi="Verdana" w:cs="Arial"/>
          <w:color w:val="000000" w:themeColor="text1"/>
          <w:sz w:val="20"/>
          <w:szCs w:val="20"/>
          <w:lang w:val="es-ES"/>
        </w:rPr>
        <w:t>. El tercero lo regulan los artículos 2.2.1.2.1.3.8. a 2.2.1.2.1.3.25. del mencionado Decreto.</w:t>
      </w:r>
    </w:p>
    <w:p w14:paraId="59CCF337" w14:textId="77777777" w:rsidR="00CE151D" w:rsidRPr="00CE151D" w:rsidRDefault="00CE151D" w:rsidP="00B052BC">
      <w:pPr>
        <w:spacing w:after="0" w:line="240" w:lineRule="auto"/>
        <w:rPr>
          <w:rFonts w:ascii="Verdana" w:eastAsia="Times New Roman" w:hAnsi="Verdana" w:cs="Arial"/>
          <w:lang w:val="es-ES" w:eastAsia="es-ES_tradnl"/>
        </w:rPr>
      </w:pPr>
    </w:p>
    <w:p w14:paraId="489ACC43" w14:textId="6153691C" w:rsidR="00CE151D" w:rsidRPr="00CE151D" w:rsidRDefault="00CE151D" w:rsidP="00CE151D">
      <w:pPr>
        <w:spacing w:after="0" w:line="240" w:lineRule="auto"/>
        <w:rPr>
          <w:rFonts w:ascii="Verdana" w:eastAsia="Times New Roman" w:hAnsi="Verdana" w:cs="Arial"/>
          <w:b/>
          <w:bCs/>
          <w:lang w:eastAsia="es-ES_tradnl"/>
        </w:rPr>
      </w:pPr>
      <w:r w:rsidRPr="00CE151D">
        <w:rPr>
          <w:rFonts w:ascii="Verdana" w:eastAsia="Calibri" w:hAnsi="Verdana" w:cs="Arial"/>
          <w:b/>
          <w:bCs/>
          <w:lang w:val="es-ES_tradnl" w:eastAsia="es-ES"/>
        </w:rPr>
        <w:t xml:space="preserve">CONTRATO DE CONSULTORÍA – Modalidades de selección – Concurso de méritos </w:t>
      </w:r>
      <w:r w:rsidRPr="00CE151D">
        <w:rPr>
          <w:rFonts w:ascii="Verdana" w:eastAsia="Times New Roman" w:hAnsi="Verdana" w:cs="Arial"/>
          <w:b/>
          <w:bCs/>
          <w:lang w:eastAsia="es-ES_tradnl"/>
        </w:rPr>
        <w:t>– Precios</w:t>
      </w:r>
      <w:r w:rsidRPr="00CE151D">
        <w:rPr>
          <w:rFonts w:ascii="Verdana" w:eastAsia="Times New Roman" w:hAnsi="Verdana" w:cs="Arial"/>
          <w:b/>
          <w:bCs/>
          <w:lang w:eastAsia="es-ES_tradnl"/>
        </w:rPr>
        <w:t xml:space="preserve"> Artificialmente Bajos</w:t>
      </w:r>
    </w:p>
    <w:p w14:paraId="5884DDCF" w14:textId="77777777" w:rsidR="00CE151D" w:rsidRDefault="00CE151D" w:rsidP="00CE151D">
      <w:pPr>
        <w:spacing w:after="0" w:line="240" w:lineRule="auto"/>
        <w:rPr>
          <w:rFonts w:ascii="Verdana" w:eastAsia="Times New Roman" w:hAnsi="Verdana" w:cs="Arial"/>
          <w:lang w:eastAsia="es-ES_tradnl"/>
        </w:rPr>
      </w:pPr>
    </w:p>
    <w:p w14:paraId="6074266C" w14:textId="4FD3D2FD" w:rsidR="00CE151D" w:rsidRPr="00CE151D" w:rsidRDefault="00CE151D" w:rsidP="00CE151D">
      <w:pPr>
        <w:spacing w:after="0" w:line="240" w:lineRule="auto"/>
        <w:jc w:val="both"/>
        <w:rPr>
          <w:rFonts w:ascii="Verdana" w:eastAsia="Arial MT" w:hAnsi="Verdana" w:cs="Arial"/>
          <w:sz w:val="20"/>
          <w:szCs w:val="20"/>
          <w:lang w:eastAsia="es-ES" w:bidi="es-ES"/>
        </w:rPr>
      </w:pPr>
      <w:r w:rsidRPr="00CE151D">
        <w:rPr>
          <w:rFonts w:ascii="Verdana" w:eastAsia="Arial MT" w:hAnsi="Verdana" w:cs="Arial"/>
          <w:sz w:val="20"/>
          <w:szCs w:val="20"/>
          <w:lang w:eastAsia="es-ES" w:bidi="es-ES"/>
        </w:rPr>
        <w:t xml:space="preserve">[…] </w:t>
      </w:r>
      <w:r w:rsidRPr="00CE151D">
        <w:rPr>
          <w:rFonts w:ascii="Verdana" w:eastAsia="Arial MT" w:hAnsi="Verdana" w:cs="Arial"/>
          <w:sz w:val="20"/>
          <w:szCs w:val="20"/>
          <w:lang w:eastAsia="es-ES" w:bidi="es-ES"/>
        </w:rPr>
        <w:t xml:space="preserve">Ahora bien, inciso final del numeral 4 del artículo 5 de la Ley 1150 de 2007 </w:t>
      </w:r>
      <w:proofErr w:type="gramStart"/>
      <w:r w:rsidRPr="00CE151D">
        <w:rPr>
          <w:rFonts w:ascii="Verdana" w:eastAsia="Arial MT" w:hAnsi="Verdana" w:cs="Arial"/>
          <w:sz w:val="20"/>
          <w:szCs w:val="20"/>
          <w:lang w:eastAsia="es-ES" w:bidi="es-ES"/>
        </w:rPr>
        <w:t>señalar</w:t>
      </w:r>
      <w:proofErr w:type="gramEnd"/>
      <w:r w:rsidRPr="00CE151D">
        <w:rPr>
          <w:rFonts w:ascii="Verdana" w:eastAsia="Arial MT" w:hAnsi="Verdana" w:cs="Arial"/>
          <w:sz w:val="20"/>
          <w:szCs w:val="20"/>
          <w:lang w:eastAsia="es-ES" w:bidi="es-ES"/>
        </w:rPr>
        <w:t xml:space="preserve"> que “En ningún caso se podrá incluir el precio como factor de escogencia para la selección de consultores”.</w:t>
      </w:r>
    </w:p>
    <w:p w14:paraId="62F2D9C5" w14:textId="77777777" w:rsidR="00CE151D" w:rsidRPr="00CE151D" w:rsidRDefault="00CE151D" w:rsidP="00CE151D">
      <w:pPr>
        <w:spacing w:after="0" w:line="240" w:lineRule="auto"/>
        <w:jc w:val="both"/>
        <w:rPr>
          <w:rFonts w:ascii="Verdana" w:eastAsia="Arial MT" w:hAnsi="Verdana" w:cs="Arial"/>
          <w:sz w:val="20"/>
          <w:szCs w:val="20"/>
          <w:lang w:eastAsia="es-ES" w:bidi="es-ES"/>
        </w:rPr>
      </w:pPr>
      <w:r w:rsidRPr="00CE151D">
        <w:rPr>
          <w:rFonts w:ascii="Verdana" w:eastAsia="Arial MT" w:hAnsi="Verdana" w:cs="Arial"/>
          <w:sz w:val="20"/>
          <w:szCs w:val="20"/>
          <w:lang w:eastAsia="es-ES" w:bidi="es-ES"/>
        </w:rPr>
        <w:t>Dicho lo anterior, si en las ofertas la entidad determina que una oferta económica podría estar basada en una artificiosidad en el precio, podría solicitar al oferente que exponga sus argumentos. Esto con el fin de tomar las decisiones contractuales pertinentes y salvaguardar sus intereses, ante la posible alteración de la ecuación económica del contrato durante su ejecución.</w:t>
      </w:r>
    </w:p>
    <w:p w14:paraId="7AE5B305" w14:textId="199940EC" w:rsidR="00CE151D" w:rsidRDefault="00CE151D" w:rsidP="00CE151D">
      <w:pPr>
        <w:spacing w:after="0" w:line="240" w:lineRule="auto"/>
        <w:jc w:val="both"/>
        <w:rPr>
          <w:rFonts w:ascii="Verdana" w:eastAsia="Arial MT" w:hAnsi="Verdana" w:cs="Arial"/>
          <w:sz w:val="20"/>
          <w:szCs w:val="20"/>
          <w:lang w:eastAsia="es-ES" w:bidi="es-ES"/>
        </w:rPr>
      </w:pPr>
      <w:r w:rsidRPr="00CE151D">
        <w:rPr>
          <w:rFonts w:ascii="Verdana" w:eastAsia="Arial MT" w:hAnsi="Verdana" w:cs="Arial"/>
          <w:sz w:val="20"/>
          <w:szCs w:val="20"/>
          <w:lang w:eastAsia="es-ES" w:bidi="es-ES"/>
        </w:rPr>
        <w:t>Por último, en los contratos de interventoría, al revisarse la contraprestación por honorarios pactados en la oferta, relacionados con los costos directos e indirectos, no sería lógico asociarlos con el fenómeno de precios artificialmente bajos. Por el contrario, como se mencionó, si la entidad llegara a determinar que la oferta contiene precios bajos, podría solicitar una aclaración al oferente, sin que este factor sea determinante en las resultas del proceso de selección.</w:t>
      </w:r>
    </w:p>
    <w:p w14:paraId="26B0E600" w14:textId="77777777" w:rsidR="00CE151D" w:rsidRDefault="00CE151D" w:rsidP="00CE151D">
      <w:pPr>
        <w:spacing w:after="0" w:line="240" w:lineRule="auto"/>
        <w:jc w:val="both"/>
        <w:rPr>
          <w:rFonts w:ascii="Verdana" w:eastAsia="Arial MT" w:hAnsi="Verdana" w:cs="Arial"/>
          <w:sz w:val="20"/>
          <w:szCs w:val="20"/>
          <w:lang w:eastAsia="es-ES" w:bidi="es-ES"/>
        </w:rPr>
      </w:pPr>
    </w:p>
    <w:p w14:paraId="632582E6" w14:textId="77777777" w:rsidR="00CE151D" w:rsidRPr="006849F1" w:rsidRDefault="00CE151D" w:rsidP="00CE151D">
      <w:pPr>
        <w:spacing w:after="0" w:line="240" w:lineRule="auto"/>
        <w:contextualSpacing/>
        <w:jc w:val="both"/>
        <w:rPr>
          <w:rFonts w:ascii="Verdana" w:eastAsia="Calibri" w:hAnsi="Verdana" w:cs="Arial"/>
          <w:b/>
          <w:bCs/>
          <w:lang w:val="es-MX" w:eastAsia="es-ES_tradnl"/>
          <w14:ligatures w14:val="standardContextual"/>
        </w:rPr>
      </w:pPr>
      <w:r w:rsidRPr="006849F1">
        <w:rPr>
          <w:rFonts w:ascii="Verdana" w:eastAsia="Calibri" w:hAnsi="Verdana" w:cs="Arial"/>
          <w:b/>
          <w:bCs/>
          <w:lang w:val="es-MX" w:eastAsia="es-ES_tradnl"/>
          <w14:ligatures w14:val="standardContextual"/>
        </w:rPr>
        <w:t>SISTEMA DE FACTOR MULTIPLICADOR – Noción – Costos directos –Imputables al contrat</w:t>
      </w:r>
      <w:r>
        <w:rPr>
          <w:rFonts w:ascii="Verdana" w:eastAsia="Calibri" w:hAnsi="Verdana" w:cs="Arial"/>
          <w:b/>
          <w:bCs/>
          <w:lang w:val="es-MX" w:eastAsia="es-ES_tradnl"/>
          <w14:ligatures w14:val="standardContextual"/>
        </w:rPr>
        <w:t>o</w:t>
      </w:r>
    </w:p>
    <w:p w14:paraId="311B8D7E" w14:textId="77777777" w:rsidR="00CE151D" w:rsidRPr="006849F1" w:rsidRDefault="00CE151D" w:rsidP="00CE151D">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090FEFBF" w14:textId="77777777" w:rsidR="00CE151D" w:rsidRDefault="00CE151D" w:rsidP="00CE151D">
      <w:pPr>
        <w:spacing w:after="0" w:line="240" w:lineRule="auto"/>
        <w:jc w:val="both"/>
        <w:rPr>
          <w:rFonts w:ascii="Verdana" w:eastAsia="Geomanist Light" w:hAnsi="Verdana" w:cs="Arial"/>
          <w:lang w:val="es-MX"/>
        </w:rPr>
      </w:pPr>
      <w:r>
        <w:rPr>
          <w:rFonts w:ascii="Verdana" w:eastAsia="Times New Roman" w:hAnsi="Verdana" w:cs="Arial"/>
          <w:noProof/>
          <w:sz w:val="20"/>
          <w:szCs w:val="20"/>
          <w:lang w:val="es-ES_tradnl" w:eastAsia="es-ES_tradnl"/>
          <w14:ligatures w14:val="standardContextual"/>
        </w:rPr>
        <w:t xml:space="preserve">[…] </w:t>
      </w:r>
      <w:r w:rsidRPr="00E72DFF">
        <w:rPr>
          <w:rFonts w:ascii="Verdana" w:eastAsia="Times New Roman" w:hAnsi="Verdana" w:cs="Arial"/>
          <w:noProof/>
          <w:sz w:val="20"/>
          <w:szCs w:val="20"/>
          <w:lang w:val="es-ES_tradnl" w:eastAsia="es-ES_tradnl"/>
          <w14:ligatures w14:val="standardContextual"/>
        </w:rPr>
        <w:t xml:space="preserve">el factor multiplicador es una metodología permite imputar al contrato los costos directos asociados a prestaciones laborales y sociales del personal vinculado con carácter exclusivo al proyecto, la utilidad del ingeniero y los costos de administración asociados al personal, afectando el valor parcial de la oferta por un factor multiplicador . De esta manera se obtiene un subtotal de costos directos a partir de la sumatoria de los valores correspondientes los salarios del personal, incrementado a partir de su multiplicación por un factor que suele consistir en una cifra de dos dígitos, con una parte entera y otra </w:t>
      </w:r>
      <w:r w:rsidRPr="00E72DFF">
        <w:rPr>
          <w:rFonts w:ascii="Verdana" w:eastAsia="Times New Roman" w:hAnsi="Verdana" w:cs="Arial"/>
          <w:noProof/>
          <w:sz w:val="20"/>
          <w:szCs w:val="20"/>
          <w:lang w:val="es-ES_tradnl" w:eastAsia="es-ES_tradnl"/>
          <w14:ligatures w14:val="standardContextual"/>
        </w:rPr>
        <w:lastRenderedPageBreak/>
        <w:t>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6B02BD4F" w14:textId="77777777" w:rsidR="00CE151D" w:rsidRPr="00CE151D" w:rsidRDefault="00CE151D" w:rsidP="00CE151D">
      <w:pPr>
        <w:spacing w:after="0" w:line="240" w:lineRule="auto"/>
        <w:jc w:val="both"/>
        <w:rPr>
          <w:rFonts w:ascii="Verdana" w:eastAsia="Times New Roman" w:hAnsi="Verdana" w:cs="Arial"/>
          <w:sz w:val="20"/>
          <w:szCs w:val="20"/>
          <w:lang w:val="es-MX" w:eastAsia="es-ES_tradnl"/>
        </w:rPr>
      </w:pPr>
    </w:p>
    <w:p w14:paraId="1B2C4FA2" w14:textId="77777777" w:rsidR="00CE151D" w:rsidRDefault="00CE151D" w:rsidP="00B052BC">
      <w:pPr>
        <w:spacing w:after="0" w:line="240" w:lineRule="auto"/>
        <w:rPr>
          <w:rFonts w:ascii="Verdana" w:eastAsia="Times New Roman" w:hAnsi="Verdana" w:cs="Arial"/>
          <w:lang w:eastAsia="es-ES_tradnl"/>
        </w:rPr>
      </w:pPr>
    </w:p>
    <w:p w14:paraId="7436C4DD" w14:textId="77777777" w:rsidR="00CE151D" w:rsidRDefault="00CE151D" w:rsidP="00B052BC">
      <w:pPr>
        <w:spacing w:after="0" w:line="240" w:lineRule="auto"/>
        <w:rPr>
          <w:rFonts w:ascii="Verdana" w:eastAsia="Times New Roman" w:hAnsi="Verdana" w:cs="Arial"/>
          <w:lang w:eastAsia="es-ES_tradnl"/>
        </w:rPr>
      </w:pPr>
    </w:p>
    <w:p w14:paraId="39F1DAA6" w14:textId="77777777" w:rsidR="00CE151D" w:rsidRDefault="00CE151D" w:rsidP="00B052BC">
      <w:pPr>
        <w:spacing w:after="0" w:line="240" w:lineRule="auto"/>
        <w:rPr>
          <w:rFonts w:ascii="Verdana" w:eastAsia="Times New Roman" w:hAnsi="Verdana" w:cs="Arial"/>
          <w:lang w:eastAsia="es-ES_tradnl"/>
        </w:rPr>
      </w:pPr>
    </w:p>
    <w:p w14:paraId="41873827" w14:textId="77777777" w:rsidR="00CE151D" w:rsidRDefault="00CE151D" w:rsidP="00B052BC">
      <w:pPr>
        <w:spacing w:after="0" w:line="240" w:lineRule="auto"/>
        <w:rPr>
          <w:rFonts w:ascii="Verdana" w:eastAsia="Times New Roman" w:hAnsi="Verdana" w:cs="Arial"/>
          <w:lang w:eastAsia="es-ES_tradnl"/>
        </w:rPr>
      </w:pPr>
    </w:p>
    <w:p w14:paraId="45738FA9" w14:textId="77777777" w:rsidR="00CE151D" w:rsidRDefault="00CE151D" w:rsidP="00B052BC">
      <w:pPr>
        <w:spacing w:after="0" w:line="240" w:lineRule="auto"/>
        <w:rPr>
          <w:rFonts w:ascii="Verdana" w:eastAsia="Times New Roman" w:hAnsi="Verdana" w:cs="Arial"/>
          <w:lang w:eastAsia="es-ES_tradnl"/>
        </w:rPr>
      </w:pPr>
    </w:p>
    <w:p w14:paraId="2A0205B7" w14:textId="77777777" w:rsidR="00CE151D" w:rsidRDefault="00CE151D" w:rsidP="00B052BC">
      <w:pPr>
        <w:spacing w:after="0" w:line="240" w:lineRule="auto"/>
        <w:rPr>
          <w:rFonts w:ascii="Verdana" w:eastAsia="Times New Roman" w:hAnsi="Verdana" w:cs="Arial"/>
          <w:lang w:eastAsia="es-ES_tradnl"/>
        </w:rPr>
      </w:pPr>
    </w:p>
    <w:p w14:paraId="245799A4" w14:textId="77777777" w:rsidR="00CE151D" w:rsidRDefault="00CE151D" w:rsidP="00B052BC">
      <w:pPr>
        <w:spacing w:after="0" w:line="240" w:lineRule="auto"/>
        <w:rPr>
          <w:rFonts w:ascii="Verdana" w:eastAsia="Times New Roman" w:hAnsi="Verdana" w:cs="Arial"/>
          <w:lang w:eastAsia="es-ES_tradnl"/>
        </w:rPr>
      </w:pPr>
    </w:p>
    <w:p w14:paraId="7D61C957" w14:textId="77777777" w:rsidR="00CE151D" w:rsidRDefault="00CE151D" w:rsidP="00B052BC">
      <w:pPr>
        <w:spacing w:after="0" w:line="240" w:lineRule="auto"/>
        <w:rPr>
          <w:rFonts w:ascii="Verdana" w:eastAsia="Times New Roman" w:hAnsi="Verdana" w:cs="Arial"/>
          <w:lang w:eastAsia="es-ES_tradnl"/>
        </w:rPr>
      </w:pPr>
    </w:p>
    <w:p w14:paraId="6C4AFFB3" w14:textId="77777777" w:rsidR="00CE151D" w:rsidRDefault="00CE151D" w:rsidP="00B052BC">
      <w:pPr>
        <w:spacing w:after="0" w:line="240" w:lineRule="auto"/>
        <w:rPr>
          <w:rFonts w:ascii="Verdana" w:eastAsia="Times New Roman" w:hAnsi="Verdana" w:cs="Arial"/>
          <w:lang w:eastAsia="es-ES_tradnl"/>
        </w:rPr>
      </w:pPr>
    </w:p>
    <w:p w14:paraId="03EB5677" w14:textId="77777777" w:rsidR="00CE151D" w:rsidRDefault="00CE151D" w:rsidP="00B052BC">
      <w:pPr>
        <w:spacing w:after="0" w:line="240" w:lineRule="auto"/>
        <w:rPr>
          <w:rFonts w:ascii="Verdana" w:eastAsia="Times New Roman" w:hAnsi="Verdana" w:cs="Arial"/>
          <w:lang w:eastAsia="es-ES_tradnl"/>
        </w:rPr>
      </w:pPr>
    </w:p>
    <w:p w14:paraId="772D1C85" w14:textId="77777777" w:rsidR="00CE151D" w:rsidRDefault="00CE151D" w:rsidP="00B052BC">
      <w:pPr>
        <w:spacing w:after="0" w:line="240" w:lineRule="auto"/>
        <w:rPr>
          <w:rFonts w:ascii="Verdana" w:eastAsia="Times New Roman" w:hAnsi="Verdana" w:cs="Arial"/>
          <w:lang w:eastAsia="es-ES_tradnl"/>
        </w:rPr>
      </w:pPr>
    </w:p>
    <w:p w14:paraId="1E6DE776" w14:textId="77777777" w:rsidR="00CE151D" w:rsidRDefault="00CE151D" w:rsidP="00B052BC">
      <w:pPr>
        <w:spacing w:after="0" w:line="240" w:lineRule="auto"/>
        <w:rPr>
          <w:rFonts w:ascii="Verdana" w:eastAsia="Times New Roman" w:hAnsi="Verdana" w:cs="Arial"/>
          <w:lang w:eastAsia="es-ES_tradnl"/>
        </w:rPr>
      </w:pPr>
    </w:p>
    <w:p w14:paraId="5A98C2B7" w14:textId="77777777" w:rsidR="00CE151D" w:rsidRDefault="00CE151D" w:rsidP="00B052BC">
      <w:pPr>
        <w:spacing w:after="0" w:line="240" w:lineRule="auto"/>
        <w:rPr>
          <w:rFonts w:ascii="Verdana" w:eastAsia="Times New Roman" w:hAnsi="Verdana" w:cs="Arial"/>
          <w:lang w:eastAsia="es-ES_tradnl"/>
        </w:rPr>
      </w:pPr>
    </w:p>
    <w:p w14:paraId="1AF553B4" w14:textId="77777777" w:rsidR="00CE151D" w:rsidRDefault="00CE151D" w:rsidP="00B052BC">
      <w:pPr>
        <w:spacing w:after="0" w:line="240" w:lineRule="auto"/>
        <w:rPr>
          <w:rFonts w:ascii="Verdana" w:eastAsia="Times New Roman" w:hAnsi="Verdana" w:cs="Arial"/>
          <w:lang w:eastAsia="es-ES_tradnl"/>
        </w:rPr>
      </w:pPr>
    </w:p>
    <w:p w14:paraId="1523D95F" w14:textId="77777777" w:rsidR="00CE151D" w:rsidRDefault="00CE151D" w:rsidP="00B052BC">
      <w:pPr>
        <w:spacing w:after="0" w:line="240" w:lineRule="auto"/>
        <w:rPr>
          <w:rFonts w:ascii="Verdana" w:eastAsia="Times New Roman" w:hAnsi="Verdana" w:cs="Arial"/>
          <w:lang w:eastAsia="es-ES_tradnl"/>
        </w:rPr>
      </w:pPr>
    </w:p>
    <w:p w14:paraId="6B87E74E" w14:textId="77777777" w:rsidR="00CE151D" w:rsidRDefault="00CE151D" w:rsidP="00B052BC">
      <w:pPr>
        <w:spacing w:after="0" w:line="240" w:lineRule="auto"/>
        <w:rPr>
          <w:rFonts w:ascii="Verdana" w:eastAsia="Times New Roman" w:hAnsi="Verdana" w:cs="Arial"/>
          <w:lang w:eastAsia="es-ES_tradnl"/>
        </w:rPr>
      </w:pPr>
    </w:p>
    <w:p w14:paraId="345FC998" w14:textId="77777777" w:rsidR="00CE151D" w:rsidRDefault="00CE151D" w:rsidP="00B052BC">
      <w:pPr>
        <w:spacing w:after="0" w:line="240" w:lineRule="auto"/>
        <w:rPr>
          <w:rFonts w:ascii="Verdana" w:eastAsia="Times New Roman" w:hAnsi="Verdana" w:cs="Arial"/>
          <w:lang w:eastAsia="es-ES_tradnl"/>
        </w:rPr>
      </w:pPr>
    </w:p>
    <w:p w14:paraId="0E274322" w14:textId="77777777" w:rsidR="00CE151D" w:rsidRDefault="00CE151D" w:rsidP="00B052BC">
      <w:pPr>
        <w:spacing w:after="0" w:line="240" w:lineRule="auto"/>
        <w:rPr>
          <w:rFonts w:ascii="Verdana" w:eastAsia="Times New Roman" w:hAnsi="Verdana" w:cs="Arial"/>
          <w:lang w:eastAsia="es-ES_tradnl"/>
        </w:rPr>
      </w:pPr>
    </w:p>
    <w:p w14:paraId="2CE47B9C" w14:textId="77777777" w:rsidR="00CE151D" w:rsidRDefault="00CE151D" w:rsidP="00B052BC">
      <w:pPr>
        <w:spacing w:after="0" w:line="240" w:lineRule="auto"/>
        <w:rPr>
          <w:rFonts w:ascii="Verdana" w:eastAsia="Times New Roman" w:hAnsi="Verdana" w:cs="Arial"/>
          <w:lang w:eastAsia="es-ES_tradnl"/>
        </w:rPr>
      </w:pPr>
    </w:p>
    <w:p w14:paraId="08199ACC" w14:textId="77777777" w:rsidR="00CE151D" w:rsidRDefault="00CE151D" w:rsidP="00B052BC">
      <w:pPr>
        <w:spacing w:after="0" w:line="240" w:lineRule="auto"/>
        <w:rPr>
          <w:rFonts w:ascii="Verdana" w:eastAsia="Times New Roman" w:hAnsi="Verdana" w:cs="Arial"/>
          <w:lang w:eastAsia="es-ES_tradnl"/>
        </w:rPr>
      </w:pPr>
    </w:p>
    <w:p w14:paraId="0CFF7D06" w14:textId="77777777" w:rsidR="00CE151D" w:rsidRDefault="00CE151D" w:rsidP="00B052BC">
      <w:pPr>
        <w:spacing w:after="0" w:line="240" w:lineRule="auto"/>
        <w:rPr>
          <w:rFonts w:ascii="Verdana" w:eastAsia="Times New Roman" w:hAnsi="Verdana" w:cs="Arial"/>
          <w:lang w:eastAsia="es-ES_tradnl"/>
        </w:rPr>
      </w:pPr>
    </w:p>
    <w:p w14:paraId="0B808F44" w14:textId="77777777" w:rsidR="00CE151D" w:rsidRDefault="00CE151D" w:rsidP="00B052BC">
      <w:pPr>
        <w:spacing w:after="0" w:line="240" w:lineRule="auto"/>
        <w:rPr>
          <w:rFonts w:ascii="Verdana" w:eastAsia="Times New Roman" w:hAnsi="Verdana" w:cs="Arial"/>
          <w:lang w:eastAsia="es-ES_tradnl"/>
        </w:rPr>
      </w:pPr>
    </w:p>
    <w:p w14:paraId="7B9767AE" w14:textId="77777777" w:rsidR="00CE151D" w:rsidRDefault="00CE151D" w:rsidP="00B052BC">
      <w:pPr>
        <w:spacing w:after="0" w:line="240" w:lineRule="auto"/>
        <w:rPr>
          <w:rFonts w:ascii="Verdana" w:eastAsia="Times New Roman" w:hAnsi="Verdana" w:cs="Arial"/>
          <w:lang w:eastAsia="es-ES_tradnl"/>
        </w:rPr>
      </w:pPr>
    </w:p>
    <w:p w14:paraId="6EA6DEB4" w14:textId="77777777" w:rsidR="00CE151D" w:rsidRDefault="00CE151D" w:rsidP="00B052BC">
      <w:pPr>
        <w:spacing w:after="0" w:line="240" w:lineRule="auto"/>
        <w:rPr>
          <w:rFonts w:ascii="Verdana" w:eastAsia="Times New Roman" w:hAnsi="Verdana" w:cs="Arial"/>
          <w:lang w:eastAsia="es-ES_tradnl"/>
        </w:rPr>
      </w:pPr>
    </w:p>
    <w:p w14:paraId="1B196C86" w14:textId="77777777" w:rsidR="00CE151D" w:rsidRDefault="00CE151D" w:rsidP="00B052BC">
      <w:pPr>
        <w:spacing w:after="0" w:line="240" w:lineRule="auto"/>
        <w:rPr>
          <w:rFonts w:ascii="Verdana" w:eastAsia="Times New Roman" w:hAnsi="Verdana" w:cs="Arial"/>
          <w:lang w:eastAsia="es-ES_tradnl"/>
        </w:rPr>
      </w:pPr>
    </w:p>
    <w:p w14:paraId="72E76981" w14:textId="77777777" w:rsidR="00CE151D" w:rsidRDefault="00CE151D" w:rsidP="00B052BC">
      <w:pPr>
        <w:spacing w:after="0" w:line="240" w:lineRule="auto"/>
        <w:rPr>
          <w:rFonts w:ascii="Verdana" w:eastAsia="Times New Roman" w:hAnsi="Verdana" w:cs="Arial"/>
          <w:lang w:eastAsia="es-ES_tradnl"/>
        </w:rPr>
      </w:pPr>
    </w:p>
    <w:p w14:paraId="2624B812" w14:textId="77777777" w:rsidR="00CE151D" w:rsidRDefault="00CE151D" w:rsidP="00B052BC">
      <w:pPr>
        <w:spacing w:after="0" w:line="240" w:lineRule="auto"/>
        <w:rPr>
          <w:rFonts w:ascii="Verdana" w:eastAsia="Times New Roman" w:hAnsi="Verdana" w:cs="Arial"/>
          <w:lang w:eastAsia="es-ES_tradnl"/>
        </w:rPr>
      </w:pPr>
    </w:p>
    <w:p w14:paraId="11BD76E0" w14:textId="77777777" w:rsidR="00CE151D" w:rsidRDefault="00CE151D" w:rsidP="00B052BC">
      <w:pPr>
        <w:spacing w:after="0" w:line="240" w:lineRule="auto"/>
        <w:rPr>
          <w:rFonts w:ascii="Verdana" w:eastAsia="Times New Roman" w:hAnsi="Verdana" w:cs="Arial"/>
          <w:lang w:eastAsia="es-ES_tradnl"/>
        </w:rPr>
      </w:pPr>
    </w:p>
    <w:p w14:paraId="31FF2AD7" w14:textId="77777777" w:rsidR="00CE151D" w:rsidRDefault="00CE151D" w:rsidP="00B052BC">
      <w:pPr>
        <w:spacing w:after="0" w:line="240" w:lineRule="auto"/>
        <w:rPr>
          <w:rFonts w:ascii="Verdana" w:eastAsia="Times New Roman" w:hAnsi="Verdana" w:cs="Arial"/>
          <w:lang w:eastAsia="es-ES_tradnl"/>
        </w:rPr>
      </w:pPr>
    </w:p>
    <w:p w14:paraId="246D5CB8" w14:textId="77777777" w:rsidR="00CE151D" w:rsidRDefault="00CE151D" w:rsidP="00B052BC">
      <w:pPr>
        <w:spacing w:after="0" w:line="240" w:lineRule="auto"/>
        <w:rPr>
          <w:rFonts w:ascii="Verdana" w:eastAsia="Times New Roman" w:hAnsi="Verdana" w:cs="Arial"/>
          <w:lang w:eastAsia="es-ES_tradnl"/>
        </w:rPr>
      </w:pPr>
    </w:p>
    <w:p w14:paraId="6E749F1F" w14:textId="77777777" w:rsidR="00CE151D" w:rsidRDefault="00CE151D" w:rsidP="00B052BC">
      <w:pPr>
        <w:spacing w:after="0" w:line="240" w:lineRule="auto"/>
        <w:rPr>
          <w:rFonts w:ascii="Verdana" w:eastAsia="Times New Roman" w:hAnsi="Verdana" w:cs="Arial"/>
          <w:lang w:eastAsia="es-ES_tradnl"/>
        </w:rPr>
      </w:pPr>
    </w:p>
    <w:p w14:paraId="0164214B" w14:textId="77777777" w:rsidR="00CE151D" w:rsidRDefault="00CE151D" w:rsidP="00B052BC">
      <w:pPr>
        <w:spacing w:after="0" w:line="240" w:lineRule="auto"/>
        <w:rPr>
          <w:rFonts w:ascii="Verdana" w:eastAsia="Times New Roman" w:hAnsi="Verdana" w:cs="Arial"/>
          <w:lang w:eastAsia="es-ES_tradnl"/>
        </w:rPr>
      </w:pPr>
    </w:p>
    <w:p w14:paraId="2092E51E" w14:textId="77777777" w:rsidR="00CE151D" w:rsidRDefault="00CE151D" w:rsidP="00B052BC">
      <w:pPr>
        <w:spacing w:after="0" w:line="240" w:lineRule="auto"/>
        <w:rPr>
          <w:rFonts w:ascii="Verdana" w:eastAsia="Times New Roman" w:hAnsi="Verdana" w:cs="Arial"/>
          <w:lang w:eastAsia="es-ES_tradnl"/>
        </w:rPr>
      </w:pPr>
    </w:p>
    <w:p w14:paraId="6457700E" w14:textId="77777777" w:rsidR="00CE151D" w:rsidRDefault="00CE151D" w:rsidP="00B052BC">
      <w:pPr>
        <w:spacing w:after="0" w:line="240" w:lineRule="auto"/>
        <w:rPr>
          <w:rFonts w:ascii="Verdana" w:eastAsia="Times New Roman" w:hAnsi="Verdana" w:cs="Arial"/>
          <w:lang w:eastAsia="es-ES_tradnl"/>
        </w:rPr>
      </w:pPr>
    </w:p>
    <w:p w14:paraId="112E49C0" w14:textId="77777777" w:rsidR="00CE151D" w:rsidRDefault="00CE151D" w:rsidP="00B052BC">
      <w:pPr>
        <w:spacing w:after="0" w:line="240" w:lineRule="auto"/>
        <w:rPr>
          <w:rFonts w:ascii="Verdana" w:eastAsia="Times New Roman" w:hAnsi="Verdana" w:cs="Arial"/>
          <w:lang w:eastAsia="es-ES_tradnl"/>
        </w:rPr>
      </w:pPr>
    </w:p>
    <w:p w14:paraId="43AEADD8" w14:textId="77777777" w:rsidR="00CE151D" w:rsidRDefault="00CE151D" w:rsidP="00B052BC">
      <w:pPr>
        <w:spacing w:after="0" w:line="240" w:lineRule="auto"/>
        <w:rPr>
          <w:rFonts w:ascii="Verdana" w:eastAsia="Times New Roman" w:hAnsi="Verdana" w:cs="Arial"/>
          <w:lang w:eastAsia="es-ES_tradnl"/>
        </w:rPr>
      </w:pPr>
    </w:p>
    <w:p w14:paraId="5BA9ACE8" w14:textId="77777777" w:rsidR="00CE151D" w:rsidRDefault="00CE151D" w:rsidP="00B052BC">
      <w:pPr>
        <w:spacing w:after="0" w:line="240" w:lineRule="auto"/>
        <w:rPr>
          <w:rFonts w:ascii="Verdana" w:eastAsia="Times New Roman" w:hAnsi="Verdana" w:cs="Arial"/>
          <w:lang w:eastAsia="es-ES_tradnl"/>
        </w:rPr>
      </w:pPr>
    </w:p>
    <w:p w14:paraId="201F453E" w14:textId="77777777" w:rsidR="00CE151D" w:rsidRDefault="00CE151D" w:rsidP="00B052BC">
      <w:pPr>
        <w:spacing w:after="0" w:line="240" w:lineRule="auto"/>
        <w:rPr>
          <w:rFonts w:ascii="Verdana" w:eastAsia="Times New Roman" w:hAnsi="Verdana" w:cs="Arial"/>
          <w:lang w:eastAsia="es-ES_tradnl"/>
        </w:rPr>
      </w:pPr>
    </w:p>
    <w:p w14:paraId="3875BE24" w14:textId="7A7FB1EE" w:rsidR="00B052BC" w:rsidRDefault="00B052BC" w:rsidP="00B052BC">
      <w:pPr>
        <w:spacing w:after="0" w:line="240" w:lineRule="auto"/>
        <w:rPr>
          <w:rFonts w:ascii="Verdana" w:eastAsia="Times New Roman" w:hAnsi="Verdana" w:cs="Arial"/>
          <w:lang w:eastAsia="es-ES_tradnl"/>
        </w:rPr>
      </w:pPr>
      <w:r w:rsidRPr="00BE151B">
        <w:rPr>
          <w:rFonts w:ascii="Verdana" w:eastAsia="Times New Roman" w:hAnsi="Verdana" w:cs="Arial"/>
          <w:lang w:eastAsia="es-ES_tradnl"/>
        </w:rPr>
        <w:lastRenderedPageBreak/>
        <w:t>Bogotá D.C., </w:t>
      </w:r>
      <w:r w:rsidR="00EF1F01">
        <w:rPr>
          <w:rFonts w:ascii="Verdana" w:eastAsia="Times New Roman" w:hAnsi="Verdana" w:cs="Arial"/>
          <w:lang w:eastAsia="es-ES_tradnl"/>
        </w:rPr>
        <w:t>11</w:t>
      </w:r>
      <w:r w:rsidRPr="00BE151B">
        <w:rPr>
          <w:rFonts w:ascii="Verdana" w:eastAsia="Times New Roman" w:hAnsi="Verdana" w:cs="Arial"/>
          <w:lang w:eastAsia="es-ES_tradnl"/>
        </w:rPr>
        <w:t xml:space="preserve"> de </w:t>
      </w:r>
      <w:r w:rsidR="00EF1F01">
        <w:rPr>
          <w:rFonts w:ascii="Verdana" w:eastAsia="Times New Roman" w:hAnsi="Verdana" w:cs="Arial"/>
          <w:lang w:eastAsia="es-ES_tradnl"/>
        </w:rPr>
        <w:t xml:space="preserve">diciembre </w:t>
      </w:r>
      <w:r w:rsidRPr="00BE151B">
        <w:rPr>
          <w:rFonts w:ascii="Verdana" w:eastAsia="Times New Roman" w:hAnsi="Verdana" w:cs="Arial"/>
          <w:lang w:eastAsia="es-ES_tradnl"/>
        </w:rPr>
        <w:t xml:space="preserve">de </w:t>
      </w:r>
      <w:r w:rsidR="00EF1F01">
        <w:rPr>
          <w:rFonts w:ascii="Verdana" w:eastAsia="Times New Roman" w:hAnsi="Verdana" w:cs="Arial"/>
          <w:lang w:eastAsia="es-ES_tradnl"/>
        </w:rPr>
        <w:t>2024</w:t>
      </w:r>
    </w:p>
    <w:p w14:paraId="180C48BE" w14:textId="77777777" w:rsidR="00B052BC" w:rsidRDefault="00B052BC" w:rsidP="00B052BC">
      <w:pPr>
        <w:spacing w:after="0" w:line="240" w:lineRule="auto"/>
        <w:rPr>
          <w:rFonts w:ascii="Verdana" w:eastAsia="Times New Roman" w:hAnsi="Verdana" w:cs="Arial"/>
          <w:lang w:eastAsia="es-ES_tradnl"/>
        </w:rPr>
      </w:pPr>
    </w:p>
    <w:p w14:paraId="644E6456" w14:textId="3056811F" w:rsidR="00EF1F01" w:rsidRPr="00BE151B" w:rsidRDefault="00EF1F01" w:rsidP="00EF1F01">
      <w:pPr>
        <w:spacing w:after="0" w:line="240" w:lineRule="auto"/>
        <w:ind w:left="4956"/>
        <w:rPr>
          <w:rFonts w:ascii="Verdana" w:eastAsia="Times New Roman" w:hAnsi="Verdana" w:cs="Arial"/>
          <w:lang w:eastAsia="es-ES_tradnl"/>
        </w:rPr>
      </w:pPr>
      <w:r w:rsidRPr="00EF1F01">
        <w:rPr>
          <w:rFonts w:ascii="Verdana" w:eastAsia="Times New Roman" w:hAnsi="Verdana" w:cs="Arial"/>
          <w:lang w:eastAsia="es-ES_tradnl"/>
        </w:rPr>
        <w:drawing>
          <wp:inline distT="0" distB="0" distL="0" distR="0" wp14:anchorId="01A451B1" wp14:editId="17DE9519">
            <wp:extent cx="3477110" cy="1162212"/>
            <wp:effectExtent l="0" t="0" r="9525" b="0"/>
            <wp:docPr id="5139081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08110" name=""/>
                    <pic:cNvPicPr/>
                  </pic:nvPicPr>
                  <pic:blipFill>
                    <a:blip r:embed="rId11"/>
                    <a:stretch>
                      <a:fillRect/>
                    </a:stretch>
                  </pic:blipFill>
                  <pic:spPr>
                    <a:xfrm>
                      <a:off x="0" y="0"/>
                      <a:ext cx="3477110" cy="1162212"/>
                    </a:xfrm>
                    <a:prstGeom prst="rect">
                      <a:avLst/>
                    </a:prstGeom>
                  </pic:spPr>
                </pic:pic>
              </a:graphicData>
            </a:graphic>
          </wp:inline>
        </w:drawing>
      </w:r>
    </w:p>
    <w:p w14:paraId="2A4F5673" w14:textId="77777777" w:rsidR="00B052BC" w:rsidRPr="00BE151B" w:rsidRDefault="00B052BC" w:rsidP="00B052BC">
      <w:pPr>
        <w:spacing w:after="0" w:line="240" w:lineRule="auto"/>
        <w:jc w:val="both"/>
        <w:rPr>
          <w:rFonts w:ascii="Verdana" w:eastAsia="Calibri" w:hAnsi="Verdana" w:cs="Arial"/>
          <w:lang w:eastAsia="es-ES_tradnl"/>
        </w:rPr>
      </w:pPr>
      <w:r>
        <w:rPr>
          <w:rFonts w:ascii="Verdana" w:eastAsia="Calibri" w:hAnsi="Verdana" w:cs="Arial"/>
          <w:lang w:eastAsia="es-ES_tradnl"/>
        </w:rPr>
        <w:t>Señor</w:t>
      </w:r>
    </w:p>
    <w:p w14:paraId="40B440CF" w14:textId="77777777" w:rsidR="00B052BC" w:rsidRDefault="00B052BC" w:rsidP="00B052BC">
      <w:pPr>
        <w:spacing w:after="0" w:line="240" w:lineRule="auto"/>
        <w:rPr>
          <w:rFonts w:ascii="Verdana" w:eastAsia="Calibri" w:hAnsi="Verdana" w:cs="Arial"/>
          <w:b/>
          <w:bCs/>
          <w:lang w:eastAsia="es-ES_tradnl"/>
        </w:rPr>
      </w:pPr>
      <w:r w:rsidRPr="00A44F74">
        <w:rPr>
          <w:rFonts w:ascii="Verdana" w:eastAsia="Calibri" w:hAnsi="Verdana" w:cs="Arial"/>
          <w:b/>
          <w:bCs/>
          <w:lang w:eastAsia="es-ES_tradnl"/>
        </w:rPr>
        <w:t>DUVAN GIOVANNI DIAZ VARGAS</w:t>
      </w:r>
    </w:p>
    <w:p w14:paraId="5E272688" w14:textId="77777777" w:rsidR="00B052BC" w:rsidRDefault="00B052BC" w:rsidP="00B052BC">
      <w:pPr>
        <w:spacing w:after="0" w:line="240" w:lineRule="auto"/>
        <w:rPr>
          <w:rFonts w:ascii="Verdana" w:hAnsi="Verdana"/>
        </w:rPr>
      </w:pPr>
      <w:r w:rsidRPr="00A44F74">
        <w:rPr>
          <w:rFonts w:ascii="Verdana" w:hAnsi="Verdana"/>
        </w:rPr>
        <w:t>D&amp;G INGENIEROS Y ARQUITECTOS LTDA</w:t>
      </w:r>
    </w:p>
    <w:p w14:paraId="1EFE0760" w14:textId="77777777" w:rsidR="00B052BC" w:rsidRPr="00A44F74" w:rsidRDefault="00B052BC" w:rsidP="00B052BC">
      <w:pPr>
        <w:spacing w:after="0" w:line="240" w:lineRule="auto"/>
        <w:rPr>
          <w:rFonts w:ascii="Verdana" w:eastAsia="Calibri" w:hAnsi="Verdana" w:cs="Arial"/>
          <w:lang w:eastAsia="es-ES_tradnl"/>
        </w:rPr>
      </w:pPr>
      <w:hyperlink r:id="rId12" w:history="1">
        <w:r w:rsidRPr="00AB1D1B">
          <w:rPr>
            <w:rStyle w:val="Hipervnculo"/>
            <w:rFonts w:ascii="Verdana" w:hAnsi="Verdana"/>
          </w:rPr>
          <w:t>gestion.dyg@gmail.com</w:t>
        </w:r>
      </w:hyperlink>
      <w:r>
        <w:rPr>
          <w:rFonts w:ascii="Verdana" w:hAnsi="Verdana"/>
        </w:rPr>
        <w:t xml:space="preserve">, </w:t>
      </w:r>
      <w:r w:rsidRPr="00A44F74">
        <w:rPr>
          <w:rFonts w:ascii="Verdana" w:hAnsi="Verdana"/>
        </w:rPr>
        <w:t xml:space="preserve"> </w:t>
      </w:r>
      <w:r w:rsidRPr="00A44F74">
        <w:rPr>
          <w:rFonts w:ascii="Verdana" w:eastAsia="Calibri" w:hAnsi="Verdana" w:cs="Arial"/>
          <w:lang w:eastAsia="es-ES_tradnl"/>
        </w:rPr>
        <w:t xml:space="preserve"> </w:t>
      </w:r>
    </w:p>
    <w:p w14:paraId="126DAACB" w14:textId="77777777" w:rsidR="00B052BC" w:rsidRPr="001B56F4" w:rsidRDefault="00B052BC" w:rsidP="00B052BC">
      <w:pPr>
        <w:spacing w:after="0" w:line="240" w:lineRule="auto"/>
        <w:rPr>
          <w:rFonts w:ascii="Verdana" w:eastAsia="Calibri" w:hAnsi="Verdana" w:cs="Arial"/>
          <w:lang w:eastAsia="es-ES_tradnl"/>
        </w:rPr>
      </w:pPr>
      <w:r>
        <w:rPr>
          <w:rFonts w:ascii="Verdana" w:eastAsia="Calibri" w:hAnsi="Verdana" w:cs="Arial"/>
          <w:bCs/>
          <w:lang w:eastAsia="es-ES_tradnl"/>
        </w:rPr>
        <w:t>Meta, Villavicencio</w:t>
      </w:r>
    </w:p>
    <w:p w14:paraId="143DFB13" w14:textId="77777777" w:rsidR="00B052BC" w:rsidRPr="001B56F4" w:rsidRDefault="00B052BC" w:rsidP="00B052BC">
      <w:pPr>
        <w:spacing w:after="0" w:line="240" w:lineRule="auto"/>
        <w:rPr>
          <w:rFonts w:ascii="Verdana" w:eastAsia="Calibri" w:hAnsi="Verdana" w:cs="Arial"/>
          <w:lang w:eastAsia="es-ES_tradnl"/>
        </w:rPr>
      </w:pPr>
    </w:p>
    <w:p w14:paraId="28D5CCC3" w14:textId="77777777" w:rsidR="00B052BC" w:rsidRPr="00BE151B" w:rsidRDefault="00B052BC" w:rsidP="00B052BC">
      <w:pPr>
        <w:spacing w:after="0" w:line="240" w:lineRule="auto"/>
        <w:ind w:left="2694"/>
        <w:rPr>
          <w:rFonts w:ascii="Verdana" w:eastAsia="Calibri" w:hAnsi="Verdana" w:cs="Arial"/>
          <w:b/>
          <w:bCs/>
          <w:lang w:eastAsia="es-ES_tradnl"/>
        </w:rPr>
      </w:pPr>
      <w:r w:rsidRPr="00BE151B">
        <w:rPr>
          <w:rFonts w:ascii="Verdana" w:eastAsia="Calibri" w:hAnsi="Verdana" w:cs="Arial"/>
          <w:b/>
          <w:bCs/>
          <w:lang w:eastAsia="es-ES_tradnl"/>
        </w:rPr>
        <w:t xml:space="preserve">Concepto </w:t>
      </w:r>
      <w:r w:rsidRPr="00A44F74">
        <w:rPr>
          <w:rFonts w:ascii="Verdana" w:eastAsia="Calibri" w:hAnsi="Verdana" w:cs="Arial"/>
          <w:b/>
          <w:bCs/>
          <w:lang w:eastAsia="es-ES_tradnl"/>
        </w:rPr>
        <w:t>C-845</w:t>
      </w:r>
      <w:r>
        <w:rPr>
          <w:rFonts w:ascii="Verdana" w:eastAsia="Calibri" w:hAnsi="Verdana" w:cs="Arial"/>
          <w:b/>
          <w:bCs/>
          <w:lang w:eastAsia="es-ES_tradnl"/>
        </w:rPr>
        <w:t xml:space="preserve"> </w:t>
      </w:r>
      <w:r w:rsidRPr="00BE151B">
        <w:rPr>
          <w:rFonts w:ascii="Verdana" w:eastAsia="Calibri" w:hAnsi="Verdana" w:cs="Arial"/>
          <w:b/>
          <w:bCs/>
          <w:lang w:eastAsia="es-ES_tradnl"/>
        </w:rPr>
        <w:t>de 2024</w:t>
      </w:r>
    </w:p>
    <w:p w14:paraId="2D1D2BE8" w14:textId="77777777" w:rsidR="00B052BC" w:rsidRPr="00BE151B" w:rsidRDefault="00B052BC" w:rsidP="00B052BC">
      <w:pPr>
        <w:spacing w:after="0" w:line="240" w:lineRule="auto"/>
        <w:jc w:val="both"/>
        <w:rPr>
          <w:rFonts w:ascii="Verdana" w:eastAsia="Calibri" w:hAnsi="Verdana" w:cs="Arial"/>
          <w:lang w:eastAsia="es-ES_tradnl"/>
        </w:rPr>
      </w:pPr>
    </w:p>
    <w:tbl>
      <w:tblPr>
        <w:tblStyle w:val="Tablaconcuadrcula"/>
        <w:tblW w:w="878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B052BC" w:rsidRPr="00BE151B" w14:paraId="3A704C1A" w14:textId="77777777" w:rsidTr="00373B01">
        <w:trPr>
          <w:jc w:val="right"/>
        </w:trPr>
        <w:tc>
          <w:tcPr>
            <w:tcW w:w="2547" w:type="dxa"/>
          </w:tcPr>
          <w:p w14:paraId="532A3FAB" w14:textId="77777777" w:rsidR="00B052BC" w:rsidRPr="00BE151B" w:rsidRDefault="00B052BC" w:rsidP="00373B01">
            <w:pPr>
              <w:jc w:val="center"/>
              <w:rPr>
                <w:rFonts w:ascii="Verdana" w:eastAsia="Calibri" w:hAnsi="Verdana" w:cs="Arial"/>
                <w:lang w:eastAsia="es-ES_tradnl"/>
              </w:rPr>
            </w:pPr>
            <w:r w:rsidRPr="00BE151B">
              <w:rPr>
                <w:rFonts w:ascii="Verdana" w:eastAsia="Calibri" w:hAnsi="Verdana" w:cs="Arial"/>
                <w:b/>
                <w:lang w:eastAsia="es-ES_tradnl"/>
              </w:rPr>
              <w:t>Temas:</w:t>
            </w:r>
          </w:p>
        </w:tc>
        <w:tc>
          <w:tcPr>
            <w:tcW w:w="6237" w:type="dxa"/>
          </w:tcPr>
          <w:p w14:paraId="16D95B8A" w14:textId="77777777" w:rsidR="00B052BC" w:rsidRDefault="00B052BC" w:rsidP="00373B01">
            <w:pPr>
              <w:spacing w:line="276" w:lineRule="auto"/>
              <w:jc w:val="both"/>
              <w:textAlignment w:val="baseline"/>
              <w:rPr>
                <w:rFonts w:ascii="Verdana" w:eastAsia="Times New Roman" w:hAnsi="Verdana" w:cs="Arial"/>
                <w:lang w:eastAsia="es-ES_tradnl"/>
              </w:rPr>
            </w:pPr>
            <w:r w:rsidRPr="00B44C51">
              <w:rPr>
                <w:rFonts w:ascii="Verdana" w:eastAsia="Calibri" w:hAnsi="Verdana" w:cs="Arial"/>
                <w:bCs/>
                <w:lang w:val="es-ES_tradnl" w:eastAsia="es-ES"/>
              </w:rPr>
              <w:t xml:space="preserve">CONTRATO DE </w:t>
            </w:r>
            <w:r w:rsidRPr="00DB23D2">
              <w:rPr>
                <w:rFonts w:ascii="Verdana" w:eastAsia="Calibri" w:hAnsi="Verdana" w:cs="Arial"/>
                <w:bCs/>
                <w:lang w:val="es-ES_tradnl" w:eastAsia="es-ES"/>
              </w:rPr>
              <w:t xml:space="preserve">CONSULTORÍA – Concepto – Características / CONTRATO DE CONSULTORÍA – Modalidades de selección – Concurso de méritos </w:t>
            </w:r>
            <w:proofErr w:type="gramStart"/>
            <w:r>
              <w:rPr>
                <w:rFonts w:ascii="Verdana" w:eastAsia="Times New Roman" w:hAnsi="Verdana" w:cs="Arial"/>
                <w:lang w:eastAsia="es-ES_tradnl"/>
              </w:rPr>
              <w:t>–</w:t>
            </w:r>
            <w:r w:rsidRPr="00881770">
              <w:rPr>
                <w:rFonts w:ascii="Verdana" w:eastAsia="Times New Roman" w:hAnsi="Verdana" w:cs="Arial"/>
                <w:lang w:eastAsia="es-ES_tradnl"/>
              </w:rPr>
              <w:t xml:space="preserve"> </w:t>
            </w:r>
            <w:r>
              <w:rPr>
                <w:rFonts w:ascii="Verdana" w:eastAsia="Times New Roman" w:hAnsi="Verdana" w:cs="Arial"/>
                <w:lang w:eastAsia="es-ES_tradnl"/>
              </w:rPr>
              <w:t xml:space="preserve"> Precios</w:t>
            </w:r>
            <w:proofErr w:type="gramEnd"/>
            <w:r>
              <w:rPr>
                <w:rFonts w:ascii="Verdana" w:eastAsia="Times New Roman" w:hAnsi="Verdana" w:cs="Arial"/>
                <w:lang w:eastAsia="es-ES_tradnl"/>
              </w:rPr>
              <w:t xml:space="preserve"> Artificialmente Bajos. </w:t>
            </w:r>
          </w:p>
          <w:p w14:paraId="2B997D7F" w14:textId="77777777" w:rsidR="00B052BC" w:rsidRPr="00A44F74" w:rsidRDefault="00B052BC" w:rsidP="00373B01">
            <w:pPr>
              <w:spacing w:line="276" w:lineRule="auto"/>
              <w:jc w:val="both"/>
              <w:textAlignment w:val="baseline"/>
              <w:rPr>
                <w:rFonts w:ascii="Verdana" w:eastAsia="Times New Roman" w:hAnsi="Verdana" w:cs="Arial"/>
                <w:lang w:eastAsia="es-ES_tradnl"/>
              </w:rPr>
            </w:pPr>
          </w:p>
        </w:tc>
      </w:tr>
      <w:tr w:rsidR="00B052BC" w:rsidRPr="00BE151B" w14:paraId="6A78B586" w14:textId="77777777" w:rsidTr="00373B01">
        <w:trPr>
          <w:jc w:val="right"/>
        </w:trPr>
        <w:tc>
          <w:tcPr>
            <w:tcW w:w="2547" w:type="dxa"/>
          </w:tcPr>
          <w:p w14:paraId="0124488E" w14:textId="77777777" w:rsidR="00B052BC" w:rsidRPr="00BE151B" w:rsidRDefault="00B052BC" w:rsidP="00373B01">
            <w:pPr>
              <w:jc w:val="center"/>
              <w:rPr>
                <w:rFonts w:ascii="Verdana" w:eastAsia="Calibri" w:hAnsi="Verdana" w:cs="Arial"/>
                <w:b/>
                <w:lang w:eastAsia="es-ES_tradnl"/>
              </w:rPr>
            </w:pPr>
            <w:r w:rsidRPr="00BE151B">
              <w:rPr>
                <w:rFonts w:ascii="Verdana" w:eastAsia="Calibri" w:hAnsi="Verdana" w:cs="Arial"/>
                <w:b/>
                <w:lang w:eastAsia="es-ES_tradnl"/>
              </w:rPr>
              <w:t>Radicación:</w:t>
            </w:r>
          </w:p>
        </w:tc>
        <w:tc>
          <w:tcPr>
            <w:tcW w:w="6237" w:type="dxa"/>
          </w:tcPr>
          <w:p w14:paraId="68003185" w14:textId="77777777" w:rsidR="00B052BC" w:rsidRPr="00BE151B" w:rsidRDefault="00B052BC" w:rsidP="00373B01">
            <w:pPr>
              <w:jc w:val="both"/>
              <w:rPr>
                <w:rFonts w:ascii="Verdana" w:eastAsia="Calibri" w:hAnsi="Verdana" w:cs="Arial"/>
                <w:lang w:eastAsia="es-ES_tradnl"/>
              </w:rPr>
            </w:pPr>
            <w:r w:rsidRPr="00BE151B">
              <w:rPr>
                <w:rFonts w:ascii="Verdana" w:eastAsia="Calibri" w:hAnsi="Verdana" w:cs="Arial"/>
                <w:lang w:eastAsia="es-ES_tradnl"/>
              </w:rPr>
              <w:t xml:space="preserve">Respuesta a consulta radicado No. </w:t>
            </w:r>
            <w:r w:rsidRPr="00A44F74">
              <w:rPr>
                <w:rFonts w:ascii="Verdana" w:eastAsia="Times New Roman" w:hAnsi="Verdana" w:cs="Arial"/>
                <w:b/>
                <w:bCs/>
                <w:lang w:eastAsia="es-ES_tradnl"/>
              </w:rPr>
              <w:t>P20241107011234</w:t>
            </w:r>
          </w:p>
        </w:tc>
      </w:tr>
    </w:tbl>
    <w:p w14:paraId="33D8C4CD" w14:textId="77777777" w:rsidR="00B052BC" w:rsidRPr="00BE151B" w:rsidRDefault="00B052BC" w:rsidP="00B052BC">
      <w:pPr>
        <w:spacing w:after="0" w:line="240" w:lineRule="auto"/>
        <w:jc w:val="both"/>
        <w:rPr>
          <w:rFonts w:ascii="Verdana" w:eastAsia="Calibri" w:hAnsi="Verdana" w:cs="Arial"/>
          <w:lang w:eastAsia="es-ES_tradnl"/>
        </w:rPr>
      </w:pPr>
    </w:p>
    <w:p w14:paraId="1E02AE43" w14:textId="77777777" w:rsidR="00B052BC" w:rsidRPr="00BE151B" w:rsidRDefault="00B052BC" w:rsidP="00B052BC">
      <w:pPr>
        <w:spacing w:after="0" w:line="240" w:lineRule="auto"/>
        <w:jc w:val="both"/>
        <w:rPr>
          <w:rFonts w:ascii="Verdana" w:eastAsia="Calibri" w:hAnsi="Verdana" w:cs="Arial"/>
          <w:lang w:eastAsia="es-ES_tradnl"/>
        </w:rPr>
      </w:pPr>
    </w:p>
    <w:p w14:paraId="67E4063F" w14:textId="77777777" w:rsidR="00B052BC" w:rsidRPr="00BE151B" w:rsidRDefault="00B052BC" w:rsidP="00B052BC">
      <w:pPr>
        <w:spacing w:after="0" w:line="276" w:lineRule="auto"/>
        <w:contextualSpacing/>
        <w:jc w:val="both"/>
        <w:rPr>
          <w:rFonts w:ascii="Verdana" w:eastAsia="Calibri" w:hAnsi="Verdana" w:cs="Arial"/>
          <w:bCs/>
          <w:lang w:eastAsia="es-ES_tradnl"/>
        </w:rPr>
      </w:pPr>
      <w:r w:rsidRPr="00DA0386">
        <w:rPr>
          <w:rFonts w:ascii="Verdana" w:eastAsia="Calibri" w:hAnsi="Verdana" w:cs="Arial"/>
          <w:lang w:eastAsia="es-ES_tradnl"/>
        </w:rPr>
        <w:t xml:space="preserve">Estimado señor, </w:t>
      </w:r>
      <w:r>
        <w:rPr>
          <w:rFonts w:ascii="Verdana" w:eastAsia="Calibri" w:hAnsi="Verdana" w:cs="Arial"/>
          <w:lang w:eastAsia="es-ES_tradnl"/>
        </w:rPr>
        <w:t>Diaz Vargas</w:t>
      </w:r>
      <w:r w:rsidRPr="00DA0386">
        <w:rPr>
          <w:rFonts w:ascii="Verdana" w:eastAsia="Calibri" w:hAnsi="Verdana" w:cs="Arial"/>
          <w:lang w:eastAsia="es-ES_tradnl"/>
        </w:rPr>
        <w:t>:</w:t>
      </w:r>
    </w:p>
    <w:p w14:paraId="31D08AC9" w14:textId="77777777" w:rsidR="00B052BC" w:rsidRPr="00BE151B" w:rsidRDefault="00B052BC" w:rsidP="00B052BC">
      <w:pPr>
        <w:spacing w:after="0" w:line="276" w:lineRule="auto"/>
        <w:contextualSpacing/>
        <w:jc w:val="both"/>
        <w:rPr>
          <w:rFonts w:ascii="Verdana" w:eastAsia="Calibri" w:hAnsi="Verdana" w:cs="Arial"/>
          <w:lang w:eastAsia="es-ES_tradnl"/>
        </w:rPr>
      </w:pPr>
    </w:p>
    <w:p w14:paraId="28690A14" w14:textId="77777777" w:rsidR="00B052BC" w:rsidRDefault="00B052BC" w:rsidP="00B052BC">
      <w:pPr>
        <w:spacing w:after="120" w:line="276" w:lineRule="auto"/>
        <w:jc w:val="both"/>
        <w:rPr>
          <w:rFonts w:ascii="Verdana" w:eastAsia="Calibri" w:hAnsi="Verdana" w:cs="Arial"/>
          <w:lang w:eastAsia="es-ES_tradnl"/>
        </w:rPr>
      </w:pPr>
      <w:r w:rsidRPr="00BE151B">
        <w:rPr>
          <w:rFonts w:ascii="Verdana" w:eastAsia="Calibri" w:hAnsi="Verdana" w:cs="Arial"/>
          <w:lang w:eastAsia="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r>
        <w:rPr>
          <w:rFonts w:ascii="Verdana" w:eastAsia="Calibri" w:hAnsi="Verdana" w:cs="Arial"/>
          <w:lang w:eastAsia="es-ES_tradnl"/>
        </w:rPr>
        <w:t>7</w:t>
      </w:r>
      <w:r w:rsidRPr="00BE151B">
        <w:rPr>
          <w:rFonts w:ascii="Verdana" w:eastAsia="Calibri" w:hAnsi="Verdana" w:cs="Arial"/>
          <w:lang w:eastAsia="es-ES_tradnl"/>
        </w:rPr>
        <w:t xml:space="preserve"> de </w:t>
      </w:r>
      <w:r>
        <w:rPr>
          <w:rFonts w:ascii="Verdana" w:eastAsia="Calibri" w:hAnsi="Verdana" w:cs="Arial"/>
          <w:lang w:eastAsia="es-ES_tradnl"/>
        </w:rPr>
        <w:t>noviembre</w:t>
      </w:r>
      <w:r w:rsidRPr="00BE151B">
        <w:rPr>
          <w:rFonts w:ascii="Verdana" w:eastAsia="Calibri" w:hAnsi="Verdana" w:cs="Arial"/>
          <w:lang w:eastAsia="es-ES_tradnl"/>
        </w:rPr>
        <w:t xml:space="preserve"> de 2024, en la cual </w:t>
      </w:r>
      <w:r>
        <w:rPr>
          <w:rFonts w:ascii="Verdana" w:eastAsia="Calibri" w:hAnsi="Verdana" w:cs="Arial"/>
          <w:lang w:eastAsia="es-ES_tradnl"/>
        </w:rPr>
        <w:t>consulta</w:t>
      </w:r>
      <w:r w:rsidRPr="00BE151B">
        <w:rPr>
          <w:rFonts w:ascii="Verdana" w:eastAsia="Calibri" w:hAnsi="Verdana" w:cs="Arial"/>
          <w:lang w:eastAsia="es-ES_tradnl"/>
        </w:rPr>
        <w:t xml:space="preserve"> lo siguiente: </w:t>
      </w:r>
    </w:p>
    <w:p w14:paraId="60B45890" w14:textId="77777777" w:rsidR="00B052BC" w:rsidRPr="00AE5A34" w:rsidRDefault="00B052BC" w:rsidP="00B052BC">
      <w:pPr>
        <w:spacing w:after="120" w:line="276" w:lineRule="auto"/>
        <w:jc w:val="both"/>
        <w:rPr>
          <w:rFonts w:ascii="Verdana" w:eastAsia="Calibri" w:hAnsi="Verdana" w:cs="Arial"/>
          <w:sz w:val="21"/>
          <w:szCs w:val="21"/>
          <w:lang w:eastAsia="es-ES_tradnl"/>
        </w:rPr>
      </w:pPr>
      <w:r>
        <w:rPr>
          <w:rFonts w:ascii="Verdana" w:eastAsia="Times New Roman" w:hAnsi="Verdana" w:cs="Arial"/>
          <w:i/>
          <w:sz w:val="20"/>
          <w:szCs w:val="20"/>
          <w:lang w:eastAsia="es-ES_tradnl"/>
        </w:rPr>
        <w:t xml:space="preserve">“[…] </w:t>
      </w:r>
      <w:r w:rsidRPr="003F08A3">
        <w:rPr>
          <w:rFonts w:ascii="Verdana" w:eastAsia="Times New Roman" w:hAnsi="Verdana" w:cs="Arial"/>
          <w:i/>
          <w:sz w:val="21"/>
          <w:szCs w:val="21"/>
          <w:lang w:eastAsia="es-ES_tradnl"/>
        </w:rPr>
        <w:t>Buen día, por medio del presente quisiera consultar a la entidad si en un proceso de</w:t>
      </w:r>
      <w:r w:rsidRPr="00975EE6">
        <w:rPr>
          <w:rFonts w:ascii="Verdana" w:eastAsia="Times New Roman" w:hAnsi="Verdana" w:cs="Arial"/>
          <w:i/>
          <w:sz w:val="21"/>
          <w:szCs w:val="21"/>
          <w:lang w:eastAsia="es-ES_tradnl"/>
        </w:rPr>
        <w:t xml:space="preserve"> </w:t>
      </w:r>
      <w:r w:rsidRPr="003F08A3">
        <w:rPr>
          <w:rFonts w:ascii="Verdana" w:eastAsia="Times New Roman" w:hAnsi="Verdana" w:cs="Arial"/>
          <w:i/>
          <w:sz w:val="21"/>
          <w:szCs w:val="21"/>
          <w:lang w:eastAsia="es-ES_tradnl"/>
        </w:rPr>
        <w:t xml:space="preserve">interventoría una oferta </w:t>
      </w:r>
      <w:r w:rsidRPr="00975EE6">
        <w:rPr>
          <w:rFonts w:ascii="Verdana" w:eastAsia="Times New Roman" w:hAnsi="Verdana" w:cs="Arial"/>
          <w:i/>
          <w:sz w:val="21"/>
          <w:szCs w:val="21"/>
          <w:lang w:eastAsia="es-ES_tradnl"/>
        </w:rPr>
        <w:t>está</w:t>
      </w:r>
      <w:r w:rsidRPr="003F08A3">
        <w:rPr>
          <w:rFonts w:ascii="Verdana" w:eastAsia="Times New Roman" w:hAnsi="Verdana" w:cs="Arial"/>
          <w:i/>
          <w:sz w:val="21"/>
          <w:szCs w:val="21"/>
          <w:lang w:eastAsia="es-ES_tradnl"/>
        </w:rPr>
        <w:t xml:space="preserve"> sujeta a precios artificialmente bajos; de ser afirmativo</w:t>
      </w:r>
      <w:r w:rsidRPr="00975EE6">
        <w:rPr>
          <w:rFonts w:ascii="Verdana" w:eastAsia="Times New Roman" w:hAnsi="Verdana" w:cs="Arial"/>
          <w:i/>
          <w:sz w:val="21"/>
          <w:szCs w:val="21"/>
          <w:lang w:eastAsia="es-ES_tradnl"/>
        </w:rPr>
        <w:t xml:space="preserve"> </w:t>
      </w:r>
      <w:r w:rsidRPr="003F08A3">
        <w:rPr>
          <w:rFonts w:ascii="Verdana" w:eastAsia="Times New Roman" w:hAnsi="Verdana" w:cs="Arial"/>
          <w:i/>
          <w:sz w:val="21"/>
          <w:szCs w:val="21"/>
          <w:lang w:eastAsia="es-ES_tradnl"/>
        </w:rPr>
        <w:t>o erróneo lo anteriormente mencionado solicito de manera respetuosa el documento</w:t>
      </w:r>
      <w:r w:rsidRPr="00975EE6">
        <w:rPr>
          <w:rFonts w:ascii="Verdana" w:eastAsia="Times New Roman" w:hAnsi="Verdana" w:cs="Arial"/>
          <w:i/>
          <w:sz w:val="21"/>
          <w:szCs w:val="21"/>
          <w:lang w:eastAsia="es-ES_tradnl"/>
        </w:rPr>
        <w:t xml:space="preserve"> que justifica tal decisión. De antemano agradezco la atención prestada.: </w:t>
      </w:r>
      <w:r w:rsidRPr="00975EE6">
        <w:rPr>
          <w:rFonts w:ascii="Verdana" w:eastAsia="Times New Roman" w:hAnsi="Verdana" w:cs="Arial"/>
          <w:sz w:val="21"/>
          <w:szCs w:val="21"/>
          <w:lang w:eastAsia="es-ES_tradnl"/>
        </w:rPr>
        <w:t>[SIC]</w:t>
      </w:r>
      <w:r w:rsidRPr="00975EE6">
        <w:rPr>
          <w:rFonts w:ascii="Verdana" w:eastAsia="Times New Roman" w:hAnsi="Verdana" w:cs="Arial"/>
          <w:i/>
          <w:sz w:val="21"/>
          <w:szCs w:val="21"/>
          <w:lang w:eastAsia="es-ES_tradnl"/>
        </w:rPr>
        <w:t>.</w:t>
      </w:r>
    </w:p>
    <w:p w14:paraId="01B6681B" w14:textId="77777777" w:rsidR="00B052BC" w:rsidRPr="00BE151B" w:rsidRDefault="00B052BC" w:rsidP="00B052BC">
      <w:pPr>
        <w:spacing w:after="120" w:line="276" w:lineRule="auto"/>
        <w:ind w:firstLine="709"/>
        <w:jc w:val="both"/>
        <w:rPr>
          <w:rFonts w:ascii="Verdana" w:eastAsia="Calibri" w:hAnsi="Verdana" w:cs="Arial"/>
          <w:color w:val="000000"/>
          <w:szCs w:val="24"/>
          <w:lang w:eastAsia="es-ES_tradnl"/>
        </w:rPr>
      </w:pPr>
      <w:r w:rsidRPr="00BE151B">
        <w:rPr>
          <w:rFonts w:ascii="Verdana" w:eastAsia="Calibri" w:hAnsi="Verdana" w:cs="Arial"/>
          <w:color w:val="000000"/>
          <w:lang w:eastAsia="es-ES"/>
        </w:rPr>
        <w:t xml:space="preserve">De manera preliminar, resulta necesario acotar que esta entidad solo tiene competencia para responder consultas sobre la aplicación de normas de carácter </w:t>
      </w:r>
      <w:r w:rsidRPr="00BE151B">
        <w:rPr>
          <w:rFonts w:ascii="Verdana" w:eastAsia="Calibri" w:hAnsi="Verdana" w:cs="Arial"/>
          <w:color w:val="000000"/>
          <w:lang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E151B">
        <w:rPr>
          <w:rFonts w:ascii="Verdana" w:eastAsia="Calibri" w:hAnsi="Verdana" w:cs="Arial"/>
          <w:color w:val="000000"/>
          <w:szCs w:val="24"/>
          <w:lang w:eastAsia="es-ES_tradnl"/>
        </w:rPr>
        <w:tab/>
      </w:r>
    </w:p>
    <w:p w14:paraId="4DC4747A" w14:textId="77777777" w:rsidR="00B052BC" w:rsidRPr="00BE151B" w:rsidRDefault="00B052BC" w:rsidP="00B052BC">
      <w:pPr>
        <w:spacing w:after="0" w:line="276" w:lineRule="auto"/>
        <w:ind w:firstLine="709"/>
        <w:jc w:val="both"/>
        <w:rPr>
          <w:rFonts w:ascii="Verdana" w:eastAsia="Calibri" w:hAnsi="Verdana" w:cs="Arial"/>
          <w:lang w:eastAsia="es-ES"/>
        </w:rPr>
      </w:pPr>
      <w:r w:rsidRPr="00BE151B">
        <w:rPr>
          <w:rFonts w:ascii="Verdana" w:eastAsia="Calibri" w:hAnsi="Verdana" w:cs="Arial"/>
          <w:lang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4B54DA9" w14:textId="77777777" w:rsidR="00B052BC" w:rsidRPr="00BE151B" w:rsidRDefault="00B052BC" w:rsidP="00B052BC">
      <w:pPr>
        <w:spacing w:after="0" w:line="276" w:lineRule="auto"/>
        <w:contextualSpacing/>
        <w:jc w:val="both"/>
        <w:rPr>
          <w:rFonts w:ascii="Verdana" w:eastAsia="Times New Roman" w:hAnsi="Verdana" w:cs="Arial"/>
          <w:szCs w:val="24"/>
          <w:lang w:eastAsia="es-ES_tradnl"/>
        </w:rPr>
      </w:pPr>
    </w:p>
    <w:p w14:paraId="3A70EEA3" w14:textId="77777777" w:rsidR="00B052BC" w:rsidRPr="00BE151B" w:rsidRDefault="00B052BC" w:rsidP="00B052BC">
      <w:pPr>
        <w:tabs>
          <w:tab w:val="left" w:pos="0"/>
          <w:tab w:val="left" w:pos="284"/>
        </w:tabs>
        <w:spacing w:after="0" w:line="276" w:lineRule="auto"/>
        <w:contextualSpacing/>
        <w:jc w:val="both"/>
        <w:rPr>
          <w:rFonts w:ascii="Verdana" w:eastAsia="Calibri" w:hAnsi="Verdana" w:cs="Arial"/>
          <w:b/>
        </w:rPr>
      </w:pPr>
      <w:r w:rsidRPr="00BE151B">
        <w:rPr>
          <w:rFonts w:ascii="Verdana" w:eastAsia="Calibri" w:hAnsi="Verdana" w:cs="Arial"/>
          <w:b/>
        </w:rPr>
        <w:t>1. Problema planteado:</w:t>
      </w:r>
    </w:p>
    <w:p w14:paraId="197FBD6E" w14:textId="77777777" w:rsidR="00B052BC" w:rsidRPr="00BE151B" w:rsidRDefault="00B052BC" w:rsidP="00B052BC">
      <w:pPr>
        <w:tabs>
          <w:tab w:val="left" w:pos="0"/>
          <w:tab w:val="left" w:pos="284"/>
        </w:tabs>
        <w:spacing w:after="0" w:line="276" w:lineRule="auto"/>
        <w:contextualSpacing/>
        <w:jc w:val="both"/>
        <w:rPr>
          <w:rFonts w:ascii="Verdana" w:eastAsia="Calibri" w:hAnsi="Verdana" w:cs="Arial"/>
          <w:b/>
        </w:rPr>
      </w:pPr>
    </w:p>
    <w:p w14:paraId="5492F31C" w14:textId="77777777" w:rsidR="00B052BC" w:rsidRDefault="00B052BC" w:rsidP="00B052BC">
      <w:pPr>
        <w:jc w:val="both"/>
        <w:rPr>
          <w:rFonts w:ascii="Verdana" w:hAnsi="Verdana"/>
        </w:rPr>
      </w:pPr>
      <w:r>
        <w:rPr>
          <w:rFonts w:ascii="Verdana" w:hAnsi="Verdana"/>
        </w:rPr>
        <w:t xml:space="preserve">De conformidad con el texto de su solicitud, se plantea el siguiente problema jurídico: </w:t>
      </w:r>
      <w:r w:rsidRPr="008969BE">
        <w:rPr>
          <w:rFonts w:ascii="Verdana" w:hAnsi="Verdana"/>
        </w:rPr>
        <w:t>¿En la modalidad de selección por concurso de méritos una oferta está sujeta a precios artificialmente bajos?</w:t>
      </w:r>
    </w:p>
    <w:p w14:paraId="24856452" w14:textId="77777777" w:rsidR="00B052BC" w:rsidRPr="00F12A80" w:rsidRDefault="00B052BC" w:rsidP="00B052BC">
      <w:pPr>
        <w:spacing w:after="0"/>
        <w:jc w:val="both"/>
        <w:rPr>
          <w:rFonts w:ascii="Verdana" w:hAnsi="Verdana"/>
        </w:rPr>
      </w:pPr>
    </w:p>
    <w:p w14:paraId="2C666DE4" w14:textId="77777777" w:rsidR="00B052BC" w:rsidRPr="00BE151B" w:rsidRDefault="00B052BC" w:rsidP="00B052BC">
      <w:pPr>
        <w:tabs>
          <w:tab w:val="left" w:pos="142"/>
          <w:tab w:val="left" w:pos="284"/>
        </w:tabs>
        <w:spacing w:after="0" w:line="276" w:lineRule="auto"/>
        <w:jc w:val="both"/>
        <w:rPr>
          <w:rFonts w:ascii="Verdana" w:eastAsia="Century Gothic" w:hAnsi="Verdana" w:cs="Century Gothic"/>
          <w:b/>
          <w:bCs/>
        </w:rPr>
      </w:pPr>
      <w:r w:rsidRPr="00BE151B">
        <w:rPr>
          <w:rFonts w:ascii="Verdana" w:eastAsia="Century Gothic" w:hAnsi="Verdana" w:cs="Century Gothic"/>
          <w:b/>
          <w:bCs/>
        </w:rPr>
        <w:t>2. Respuesta:</w:t>
      </w:r>
    </w:p>
    <w:p w14:paraId="70927DF8" w14:textId="77777777" w:rsidR="00B052BC" w:rsidRPr="00BE151B" w:rsidRDefault="00B052BC" w:rsidP="00B052BC">
      <w:pPr>
        <w:tabs>
          <w:tab w:val="left" w:pos="142"/>
          <w:tab w:val="left" w:pos="284"/>
        </w:tabs>
        <w:spacing w:after="0" w:line="276" w:lineRule="auto"/>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052BC" w:rsidRPr="00BE151B" w14:paraId="4E9E69DE" w14:textId="77777777" w:rsidTr="00373B01">
        <w:tc>
          <w:tcPr>
            <w:tcW w:w="8828" w:type="dxa"/>
            <w:shd w:val="clear" w:color="auto" w:fill="auto"/>
          </w:tcPr>
          <w:p w14:paraId="3EF79180" w14:textId="77777777" w:rsidR="00B052BC" w:rsidRPr="008969BE" w:rsidRDefault="00B052BC" w:rsidP="00373B01">
            <w:pPr>
              <w:spacing w:after="120" w:line="276" w:lineRule="auto"/>
              <w:jc w:val="both"/>
              <w:rPr>
                <w:rFonts w:ascii="Verdana" w:eastAsia="Arial MT" w:hAnsi="Verdana" w:cs="Arial"/>
                <w:lang w:eastAsia="es-ES" w:bidi="es-ES"/>
              </w:rPr>
            </w:pPr>
            <w:r w:rsidRPr="008969BE">
              <w:rPr>
                <w:rFonts w:ascii="Verdana" w:eastAsia="Arial MT" w:hAnsi="Verdana" w:cs="Arial"/>
                <w:lang w:eastAsia="es-ES" w:bidi="es-ES"/>
              </w:rPr>
              <w:t>Primero, es necesario establecer que el servicio de interventoría se regula por el contrato de consultoría, contemplado en el numeral 2 del artículo 32 de la Ley 80 de 1993, el cual se estructura bajo la modalidad de selección por concurso de méritos.</w:t>
            </w:r>
          </w:p>
          <w:p w14:paraId="6E8FDC04" w14:textId="77777777" w:rsidR="008E6E6A" w:rsidRDefault="00B052BC" w:rsidP="00373B01">
            <w:pPr>
              <w:spacing w:after="120" w:line="276" w:lineRule="auto"/>
              <w:jc w:val="both"/>
              <w:rPr>
                <w:rFonts w:ascii="Verdana" w:eastAsia="Arial MT" w:hAnsi="Verdana" w:cs="Arial"/>
                <w:lang w:eastAsia="es-ES" w:bidi="es-ES"/>
              </w:rPr>
            </w:pPr>
            <w:r w:rsidRPr="008969BE">
              <w:rPr>
                <w:rFonts w:ascii="Verdana" w:eastAsia="Arial MT" w:hAnsi="Verdana" w:cs="Arial"/>
                <w:lang w:eastAsia="es-ES" w:bidi="es-ES"/>
              </w:rPr>
              <w:t>En este proceso de selección, es responsabilidad de las entidades definir los requisitos habilitantes, los cuales son de cumplimiento obligatorio para los oferentes, así como diligenciar los formatos y anexos establecidos por la entidad dentro de dicho proceso.</w:t>
            </w:r>
            <w:r>
              <w:rPr>
                <w:rFonts w:ascii="Verdana" w:eastAsia="Arial MT" w:hAnsi="Verdana" w:cs="Arial"/>
                <w:lang w:eastAsia="es-ES" w:bidi="es-ES"/>
              </w:rPr>
              <w:t xml:space="preserve"> C</w:t>
            </w:r>
            <w:r w:rsidRPr="008969BE">
              <w:rPr>
                <w:rFonts w:ascii="Verdana" w:eastAsia="Arial MT" w:hAnsi="Verdana" w:cs="Arial"/>
                <w:lang w:eastAsia="es-ES" w:bidi="es-ES"/>
              </w:rPr>
              <w:t xml:space="preserve">abe mencionar que en la modalidad de selección por concurso de méritos, la entidad busca evaluar el conocimiento, la idoneidad y la experiencia de los oferentes, conforme al numeral 4° del artículo 5 de la Ley 1150 de 2007. </w:t>
            </w:r>
          </w:p>
          <w:p w14:paraId="3A959F76" w14:textId="1EC10956" w:rsidR="00B052BC" w:rsidRDefault="00B052BC" w:rsidP="00373B01">
            <w:pPr>
              <w:spacing w:after="120" w:line="276" w:lineRule="auto"/>
              <w:jc w:val="both"/>
              <w:rPr>
                <w:rFonts w:ascii="Verdana" w:eastAsia="Calibri" w:hAnsi="Verdana" w:cs="Arial"/>
                <w:lang w:val="es-ES"/>
              </w:rPr>
            </w:pPr>
            <w:r w:rsidRPr="008969BE">
              <w:rPr>
                <w:rFonts w:ascii="Verdana" w:eastAsia="Arial MT" w:hAnsi="Verdana" w:cs="Arial"/>
                <w:lang w:eastAsia="es-ES" w:bidi="es-ES"/>
              </w:rPr>
              <w:lastRenderedPageBreak/>
              <w:t>Dichos aspectos se valorarán mediante factores de calificación destinados a evaluar los aspectos técnicos de la oferta y el proyecto</w:t>
            </w:r>
            <w:r>
              <w:rPr>
                <w:rFonts w:ascii="Verdana" w:eastAsia="Arial MT" w:hAnsi="Verdana" w:cs="Arial"/>
                <w:lang w:eastAsia="es-ES" w:bidi="es-ES"/>
              </w:rPr>
              <w:t xml:space="preserve"> por lo cual la oferta que presenten los proveedores consultores deberán tener en cuenta el factor multiplicador relacionado con el costo del personal que se contratará para la ejecución del contrato, ya que dicho factor permite determinar el valor de los costos directos </w:t>
            </w:r>
            <w:r w:rsidRPr="00DC1DF5">
              <w:rPr>
                <w:rFonts w:ascii="Verdana" w:eastAsia="Calibri" w:hAnsi="Verdana" w:cs="Arial"/>
                <w:lang w:val="es-ES"/>
              </w:rPr>
              <w:t>asociado</w:t>
            </w:r>
            <w:r>
              <w:rPr>
                <w:rFonts w:ascii="Verdana" w:eastAsia="Calibri" w:hAnsi="Verdana" w:cs="Arial"/>
                <w:lang w:val="es-ES"/>
              </w:rPr>
              <w:t>s a las prestaciones laborales y sociales</w:t>
            </w:r>
            <w:r w:rsidRPr="00DC1DF5">
              <w:rPr>
                <w:rFonts w:ascii="Verdana" w:eastAsia="Calibri" w:hAnsi="Verdana" w:cs="Arial"/>
                <w:lang w:val="es-ES"/>
              </w:rPr>
              <w:t xml:space="preserve"> del personal vinculado con carácter exclusivo al proyecto, así como conceptos asociados a prestaciones sociales, l</w:t>
            </w:r>
            <w:r>
              <w:rPr>
                <w:rFonts w:ascii="Verdana" w:eastAsia="Calibri" w:hAnsi="Verdana" w:cs="Arial"/>
                <w:lang w:val="es-ES"/>
              </w:rPr>
              <w:t xml:space="preserve">as utilidades </w:t>
            </w:r>
            <w:r w:rsidRPr="00DC1DF5">
              <w:rPr>
                <w:rFonts w:ascii="Verdana" w:eastAsia="Calibri" w:hAnsi="Verdana" w:cs="Arial"/>
                <w:lang w:val="es-ES"/>
              </w:rPr>
              <w:t>y los costos de administración. De esta manera se obtiene un subtotal de costos directos</w:t>
            </w:r>
            <w:r>
              <w:rPr>
                <w:rFonts w:ascii="Verdana" w:eastAsia="Calibri" w:hAnsi="Verdana" w:cs="Arial"/>
                <w:lang w:val="es-ES"/>
              </w:rPr>
              <w:t xml:space="preserve"> e indirectos</w:t>
            </w:r>
            <w:r w:rsidRPr="00DC1DF5">
              <w:rPr>
                <w:rFonts w:ascii="Verdana" w:eastAsia="Calibri" w:hAnsi="Verdana" w:cs="Arial"/>
                <w:lang w:val="es-ES"/>
              </w:rPr>
              <w:t xml:space="preserve"> a partir de la sumatoria de los valores correspondientes a los salarios del personal, incrementando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1913420B" w14:textId="77777777" w:rsidR="00B052BC" w:rsidRPr="00E33052" w:rsidRDefault="00B052BC" w:rsidP="00373B01">
            <w:pPr>
              <w:spacing w:after="120" w:line="276" w:lineRule="auto"/>
              <w:jc w:val="both"/>
              <w:rPr>
                <w:rFonts w:ascii="Verdana" w:eastAsia="Arial MT" w:hAnsi="Verdana" w:cs="Arial"/>
                <w:lang w:eastAsia="es-ES" w:bidi="es-ES"/>
              </w:rPr>
            </w:pPr>
            <w:r>
              <w:rPr>
                <w:rFonts w:ascii="Verdana" w:eastAsia="Calibri" w:hAnsi="Verdana" w:cs="Arial"/>
                <w:lang w:val="es-ES"/>
              </w:rPr>
              <w:t>En relación con lo anterior, para la Agencia es importante de igual forma mencionar que e</w:t>
            </w:r>
            <w:r>
              <w:rPr>
                <w:rFonts w:ascii="Verdana" w:eastAsia="Calibri" w:hAnsi="Verdana" w:cs="Arial"/>
              </w:rPr>
              <w:t xml:space="preserve">n la medida en que las Entidades Estatales gozan de discrecionalidad para determinar el valor del contrato, la forma de pago y la retribución del mismo, bien podrían optar por aplicar la metodología de AIU a los contratos de interventoría, en la medida en la que estos son contratos de tracto sucesivo en el marco de cuya ejecución el contratista bien puede incurrir en costos indirectos o de Administración –A–, imprevistos –I– y está llamado a recibir una utilidad–U–. No obstante, en este tipo de contratos resulta más común la aplicación del </w:t>
            </w:r>
            <w:r w:rsidRPr="00167C84">
              <w:rPr>
                <w:rFonts w:ascii="Verdana" w:eastAsia="Calibri" w:hAnsi="Verdana" w:cs="Arial"/>
                <w:i/>
                <w:iCs/>
              </w:rPr>
              <w:t>factor multiplicador</w:t>
            </w:r>
            <w:r>
              <w:rPr>
                <w:rFonts w:ascii="Verdana" w:eastAsia="Calibri" w:hAnsi="Verdana" w:cs="Arial"/>
                <w:i/>
                <w:iCs/>
              </w:rPr>
              <w:t xml:space="preserve"> </w:t>
            </w:r>
            <w:r w:rsidRPr="00E33052">
              <w:rPr>
                <w:rFonts w:ascii="Verdana" w:eastAsia="Calibri" w:hAnsi="Verdana" w:cs="Arial"/>
              </w:rPr>
              <w:t>para establecer el valor del presupuesto.</w:t>
            </w:r>
          </w:p>
          <w:p w14:paraId="12D9611D" w14:textId="2209BFA1" w:rsidR="00B052BC" w:rsidRPr="008969BE" w:rsidRDefault="00B052BC" w:rsidP="00373B01">
            <w:pPr>
              <w:spacing w:after="120" w:line="276" w:lineRule="auto"/>
              <w:jc w:val="both"/>
              <w:rPr>
                <w:rFonts w:ascii="Verdana" w:eastAsia="Arial MT" w:hAnsi="Verdana" w:cs="Arial"/>
                <w:lang w:eastAsia="es-ES" w:bidi="es-ES"/>
              </w:rPr>
            </w:pPr>
            <w:r>
              <w:rPr>
                <w:rFonts w:ascii="Verdana" w:eastAsia="Arial MT" w:hAnsi="Verdana" w:cs="Arial"/>
                <w:lang w:eastAsia="es-ES" w:bidi="es-ES"/>
              </w:rPr>
              <w:t>Ahora bien</w:t>
            </w:r>
            <w:r w:rsidRPr="008969BE">
              <w:rPr>
                <w:rFonts w:ascii="Verdana" w:eastAsia="Arial MT" w:hAnsi="Verdana" w:cs="Arial"/>
                <w:lang w:eastAsia="es-ES" w:bidi="es-ES"/>
              </w:rPr>
              <w:t xml:space="preserve">, </w:t>
            </w:r>
            <w:r w:rsidR="00720E12">
              <w:rPr>
                <w:rFonts w:ascii="Verdana" w:eastAsia="Arial MT" w:hAnsi="Verdana" w:cs="Arial"/>
                <w:lang w:eastAsia="es-ES" w:bidi="es-ES"/>
              </w:rPr>
              <w:t xml:space="preserve">inciso final del </w:t>
            </w:r>
            <w:r w:rsidR="00720E12" w:rsidRPr="008969BE">
              <w:rPr>
                <w:rFonts w:ascii="Verdana" w:eastAsia="Arial MT" w:hAnsi="Verdana" w:cs="Arial"/>
                <w:lang w:eastAsia="es-ES" w:bidi="es-ES"/>
              </w:rPr>
              <w:t xml:space="preserve">numeral </w:t>
            </w:r>
            <w:r w:rsidR="00720E12">
              <w:rPr>
                <w:rFonts w:ascii="Verdana" w:eastAsia="Arial MT" w:hAnsi="Verdana" w:cs="Arial"/>
                <w:lang w:eastAsia="es-ES" w:bidi="es-ES"/>
              </w:rPr>
              <w:t>4 del artículo 5 de la Ley 1150 de 2007</w:t>
            </w:r>
            <w:r w:rsidRPr="008969BE">
              <w:rPr>
                <w:rFonts w:ascii="Verdana" w:eastAsia="Arial MT" w:hAnsi="Verdana" w:cs="Arial"/>
                <w:lang w:eastAsia="es-ES" w:bidi="es-ES"/>
              </w:rPr>
              <w:t xml:space="preserve"> </w:t>
            </w:r>
            <w:proofErr w:type="gramStart"/>
            <w:r w:rsidRPr="008969BE">
              <w:rPr>
                <w:rFonts w:ascii="Verdana" w:eastAsia="Arial MT" w:hAnsi="Verdana" w:cs="Arial"/>
                <w:lang w:eastAsia="es-ES" w:bidi="es-ES"/>
              </w:rPr>
              <w:t>señalar</w:t>
            </w:r>
            <w:proofErr w:type="gramEnd"/>
            <w:r w:rsidRPr="008969BE">
              <w:rPr>
                <w:rFonts w:ascii="Verdana" w:eastAsia="Arial MT" w:hAnsi="Verdana" w:cs="Arial"/>
                <w:lang w:eastAsia="es-ES" w:bidi="es-ES"/>
              </w:rPr>
              <w:t xml:space="preserve"> qu</w:t>
            </w:r>
            <w:r>
              <w:rPr>
                <w:rFonts w:ascii="Verdana" w:eastAsia="Arial MT" w:hAnsi="Verdana" w:cs="Arial"/>
                <w:lang w:eastAsia="es-ES" w:bidi="es-ES"/>
              </w:rPr>
              <w:t>e</w:t>
            </w:r>
            <w:r w:rsidRPr="008969BE">
              <w:rPr>
                <w:rFonts w:ascii="Verdana" w:eastAsia="Arial MT" w:hAnsi="Verdana" w:cs="Arial"/>
                <w:lang w:eastAsia="es-ES" w:bidi="es-ES"/>
              </w:rPr>
              <w:t xml:space="preserve"> “En ningún caso se podrá incluir el precio como factor de escogencia para la selección de consultores”.</w:t>
            </w:r>
          </w:p>
          <w:p w14:paraId="386F4318" w14:textId="77777777" w:rsidR="00B052BC" w:rsidRDefault="00B052BC" w:rsidP="00373B01">
            <w:pPr>
              <w:spacing w:after="120" w:line="276" w:lineRule="auto"/>
              <w:jc w:val="both"/>
              <w:rPr>
                <w:rFonts w:ascii="Verdana" w:eastAsia="Arial MT" w:hAnsi="Verdana" w:cs="Arial"/>
                <w:lang w:eastAsia="es-ES" w:bidi="es-ES"/>
              </w:rPr>
            </w:pPr>
            <w:r>
              <w:rPr>
                <w:rFonts w:ascii="Verdana" w:eastAsia="Arial MT" w:hAnsi="Verdana" w:cs="Arial"/>
                <w:lang w:eastAsia="es-ES" w:bidi="es-ES"/>
              </w:rPr>
              <w:t>Dicho lo anterior</w:t>
            </w:r>
            <w:r w:rsidRPr="008969BE">
              <w:rPr>
                <w:rFonts w:ascii="Verdana" w:eastAsia="Arial MT" w:hAnsi="Verdana" w:cs="Arial"/>
                <w:lang w:eastAsia="es-ES" w:bidi="es-ES"/>
              </w:rPr>
              <w:t>, si en las ofertas la entidad determina que una oferta económica podría estar basada en una artificiosidad en el precio, podría solicitar al oferente que exponga sus argumentos. Esto con el fin de tomar las decisiones contractuales pertinentes y salvaguardar sus intereses, ante la posible alteración de la ecuación económica del contrato durante su ejecución</w:t>
            </w:r>
            <w:r>
              <w:rPr>
                <w:rFonts w:ascii="Verdana" w:eastAsia="Arial MT" w:hAnsi="Verdana" w:cs="Arial"/>
                <w:lang w:eastAsia="es-ES" w:bidi="es-ES"/>
              </w:rPr>
              <w:t>.</w:t>
            </w:r>
          </w:p>
          <w:p w14:paraId="1F6DB3FB" w14:textId="66491045" w:rsidR="00B052BC" w:rsidRPr="00BE151B" w:rsidRDefault="00B052BC" w:rsidP="00373B01">
            <w:pPr>
              <w:spacing w:after="120" w:line="276" w:lineRule="auto"/>
              <w:jc w:val="both"/>
              <w:rPr>
                <w:rFonts w:ascii="Verdana" w:eastAsia="Arial MT" w:hAnsi="Verdana" w:cs="Arial"/>
                <w:lang w:eastAsia="es-ES" w:bidi="es-ES"/>
              </w:rPr>
            </w:pPr>
            <w:r w:rsidRPr="007F7944">
              <w:rPr>
                <w:rFonts w:ascii="Verdana" w:eastAsia="Arial MT" w:hAnsi="Verdana" w:cs="Arial"/>
                <w:lang w:eastAsia="es-ES" w:bidi="es-ES"/>
              </w:rPr>
              <w:lastRenderedPageBreak/>
              <w:t>Por último, en los contratos de interventoría, al revisarse la contraprestación por honorarios pactados en la oferta, relacionados con los costos directos e indirectos, no sería lógico asociarlos con el fenómeno de precios artificialmente bajos. Por el contrario, como se mencionó, si la entidad llegara a determinar que la oferta contiene precios bajos, podría solicitar una aclaración al oferente, sin que este factor sea determinante</w:t>
            </w:r>
            <w:r>
              <w:rPr>
                <w:rFonts w:ascii="Verdana" w:eastAsia="Arial MT" w:hAnsi="Verdana" w:cs="Arial"/>
                <w:lang w:eastAsia="es-ES" w:bidi="es-ES"/>
              </w:rPr>
              <w:t xml:space="preserve"> en las resultas d</w:t>
            </w:r>
            <w:r w:rsidRPr="007F7944">
              <w:rPr>
                <w:rFonts w:ascii="Verdana" w:eastAsia="Arial MT" w:hAnsi="Verdana" w:cs="Arial"/>
                <w:lang w:eastAsia="es-ES" w:bidi="es-ES"/>
              </w:rPr>
              <w:t>el proceso de selección.</w:t>
            </w:r>
          </w:p>
        </w:tc>
      </w:tr>
    </w:tbl>
    <w:p w14:paraId="2E5040A4" w14:textId="77777777" w:rsidR="00B052BC" w:rsidRPr="00BE151B" w:rsidRDefault="00B052BC" w:rsidP="00B052BC">
      <w:pPr>
        <w:spacing w:after="0" w:line="276" w:lineRule="auto"/>
        <w:contextualSpacing/>
        <w:jc w:val="both"/>
        <w:rPr>
          <w:rFonts w:ascii="Verdana" w:eastAsia="Times New Roman" w:hAnsi="Verdana" w:cs="Arial"/>
          <w:lang w:eastAsia="es-ES_tradnl"/>
        </w:rPr>
      </w:pPr>
    </w:p>
    <w:p w14:paraId="57CCA8FF" w14:textId="77777777" w:rsidR="00B052BC" w:rsidRPr="00BE151B" w:rsidRDefault="00B052BC" w:rsidP="00B052B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BE151B">
        <w:rPr>
          <w:rFonts w:ascii="Verdana" w:eastAsia="Century Gothic" w:hAnsi="Verdana" w:cs="Century Gothic"/>
          <w:b/>
          <w:bCs/>
        </w:rPr>
        <w:t>3. Razones de la respuesta:</w:t>
      </w:r>
    </w:p>
    <w:p w14:paraId="617C1B2C" w14:textId="77777777" w:rsidR="00B052BC" w:rsidRPr="00BE151B" w:rsidRDefault="00B052BC" w:rsidP="00B052BC">
      <w:pPr>
        <w:spacing w:after="0" w:line="276" w:lineRule="auto"/>
        <w:jc w:val="both"/>
        <w:rPr>
          <w:rFonts w:ascii="Verdana" w:eastAsia="Calibri" w:hAnsi="Verdana" w:cs="Arial"/>
          <w:color w:val="7030A0"/>
        </w:rPr>
      </w:pPr>
    </w:p>
    <w:p w14:paraId="712B4D55" w14:textId="77777777" w:rsidR="00B052BC" w:rsidRPr="00BE151B" w:rsidRDefault="00B052BC" w:rsidP="00B052BC">
      <w:pPr>
        <w:spacing w:after="0" w:line="276" w:lineRule="auto"/>
        <w:jc w:val="both"/>
        <w:rPr>
          <w:rFonts w:ascii="Verdana" w:eastAsia="Calibri" w:hAnsi="Verdana" w:cs="Arial"/>
        </w:rPr>
      </w:pPr>
      <w:r w:rsidRPr="00BE151B">
        <w:rPr>
          <w:rFonts w:ascii="Verdana" w:eastAsia="Calibri" w:hAnsi="Verdana" w:cs="Arial"/>
        </w:rPr>
        <w:t xml:space="preserve">Lo anterior se sustenta en las siguientes consideraciones: </w:t>
      </w:r>
    </w:p>
    <w:p w14:paraId="2542BABB" w14:textId="77777777" w:rsidR="00B052BC" w:rsidRDefault="00B052BC" w:rsidP="00B052BC">
      <w:pPr>
        <w:spacing w:line="276" w:lineRule="auto"/>
        <w:jc w:val="both"/>
        <w:rPr>
          <w:rFonts w:ascii="Verdana" w:hAnsi="Verdana" w:cs="Arial"/>
          <w:color w:val="000000" w:themeColor="text1"/>
          <w:lang w:val="es-ES"/>
        </w:rPr>
      </w:pPr>
      <w:bookmarkStart w:id="0" w:name="_Hlk173311098"/>
    </w:p>
    <w:p w14:paraId="0C024D5C" w14:textId="77777777" w:rsidR="00B052BC" w:rsidRDefault="00B052BC" w:rsidP="00B052BC">
      <w:pPr>
        <w:pStyle w:val="Prrafodelista"/>
        <w:numPr>
          <w:ilvl w:val="0"/>
          <w:numId w:val="17"/>
        </w:numPr>
        <w:spacing w:line="276" w:lineRule="auto"/>
        <w:ind w:left="567" w:hanging="578"/>
        <w:jc w:val="both"/>
        <w:rPr>
          <w:rFonts w:ascii="Verdana" w:hAnsi="Verdana" w:cs="Arial"/>
          <w:color w:val="000000" w:themeColor="text1"/>
        </w:rPr>
      </w:pPr>
      <w:r w:rsidRPr="00767264">
        <w:rPr>
          <w:rFonts w:ascii="Verdana" w:hAnsi="Verdana" w:cs="Arial"/>
          <w:color w:val="000000" w:themeColor="text1"/>
        </w:rPr>
        <w:t>El concurso de méritos 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4F5E8974" w14:textId="77777777" w:rsidR="00B052BC" w:rsidRPr="00767264" w:rsidRDefault="00B052BC" w:rsidP="00B052BC">
      <w:pPr>
        <w:pStyle w:val="Prrafodelista"/>
        <w:spacing w:line="276" w:lineRule="auto"/>
        <w:ind w:left="567"/>
        <w:jc w:val="both"/>
        <w:rPr>
          <w:rFonts w:ascii="Verdana" w:hAnsi="Verdana" w:cs="Arial"/>
          <w:color w:val="000000" w:themeColor="text1"/>
        </w:rPr>
      </w:pPr>
    </w:p>
    <w:p w14:paraId="78CC0878" w14:textId="77777777" w:rsidR="00B052BC" w:rsidRPr="00767264" w:rsidRDefault="00B052BC" w:rsidP="00B052BC">
      <w:pPr>
        <w:pStyle w:val="Prrafodelista"/>
        <w:numPr>
          <w:ilvl w:val="0"/>
          <w:numId w:val="17"/>
        </w:numPr>
        <w:spacing w:line="276" w:lineRule="auto"/>
        <w:ind w:left="567" w:hanging="578"/>
        <w:jc w:val="both"/>
        <w:rPr>
          <w:rFonts w:ascii="Verdana" w:hAnsi="Verdana" w:cs="Arial"/>
          <w:color w:val="000000" w:themeColor="text1"/>
          <w:lang w:val="es-CO"/>
        </w:rPr>
      </w:pPr>
      <w:r w:rsidRPr="00767264">
        <w:rPr>
          <w:rFonts w:ascii="Verdana" w:hAnsi="Verdana" w:cs="Arial"/>
          <w:color w:val="000000" w:themeColor="text1"/>
        </w:rPr>
        <w:t>El artículo 32, numeral 2 de la Ley 80 de 1993 define los contratos de consultoría como aquellos que suscriben las entidades públicas que se refieran</w:t>
      </w:r>
      <w:r w:rsidRPr="00767264">
        <w:rPr>
          <w:rFonts w:ascii="Verdana" w:hAnsi="Verdana" w:cs="Arial"/>
          <w:lang w:val="es-MX"/>
        </w:rPr>
        <w:t xml:space="preserve"> a los estudios necesarios para la ejecución de proyectos de inversión, estudios de diagnóstico, prefactibilidad o factibilidad para programas o proyectos específicos, así como las asesorías técnicas de coordinación, control y supervisión. Así mismo, son contratos de consultoría los que tienen por objeto la interventoría, asesoría, gerencia de obra o de proyectos, dirección, programación y la ejecución de diseños, planos, anteproyectos y proyectos</w:t>
      </w:r>
      <w:r w:rsidRPr="00DB23D2">
        <w:rPr>
          <w:vertAlign w:val="superscript"/>
          <w:lang w:val="es-MX"/>
        </w:rPr>
        <w:footnoteReference w:id="2"/>
      </w:r>
      <w:r w:rsidRPr="00767264">
        <w:rPr>
          <w:rFonts w:ascii="Verdana" w:hAnsi="Verdana" w:cs="Arial"/>
          <w:lang w:val="es-MX"/>
        </w:rPr>
        <w:t>.</w:t>
      </w:r>
    </w:p>
    <w:p w14:paraId="466DE1EC" w14:textId="28C564EE" w:rsidR="00B052BC" w:rsidRPr="00DB23D2" w:rsidRDefault="00B052BC" w:rsidP="00B052BC">
      <w:pPr>
        <w:numPr>
          <w:ilvl w:val="0"/>
          <w:numId w:val="17"/>
        </w:numPr>
        <w:tabs>
          <w:tab w:val="left" w:pos="709"/>
        </w:tabs>
        <w:spacing w:after="120" w:line="276" w:lineRule="auto"/>
        <w:ind w:left="426" w:hanging="425"/>
        <w:jc w:val="both"/>
        <w:rPr>
          <w:rFonts w:ascii="Verdana" w:hAnsi="Verdana"/>
          <w:lang w:val="es-MX"/>
        </w:rPr>
      </w:pPr>
      <w:r w:rsidRPr="00DB23D2">
        <w:rPr>
          <w:rFonts w:ascii="Verdana" w:hAnsi="Verdana"/>
          <w:lang w:val="es-MX"/>
        </w:rPr>
        <w:lastRenderedPageBreak/>
        <w:t>La doctrina expresa que el art</w:t>
      </w:r>
      <w:r w:rsidRPr="00DB23D2">
        <w:rPr>
          <w:rFonts w:ascii="Verdana" w:hAnsi="Verdana" w:hint="eastAsia"/>
          <w:lang w:val="es-MX"/>
        </w:rPr>
        <w:t>í</w:t>
      </w:r>
      <w:r w:rsidRPr="00DB23D2">
        <w:rPr>
          <w:rFonts w:ascii="Verdana" w:hAnsi="Verdana"/>
          <w:lang w:val="es-MX"/>
        </w:rPr>
        <w:t>culo 32, numeral 2, no establece una definici</w:t>
      </w:r>
      <w:r w:rsidRPr="00DB23D2">
        <w:rPr>
          <w:rFonts w:ascii="Verdana" w:hAnsi="Verdana" w:hint="eastAsia"/>
          <w:lang w:val="es-MX"/>
        </w:rPr>
        <w:t>ó</w:t>
      </w:r>
      <w:r w:rsidRPr="00DB23D2">
        <w:rPr>
          <w:rFonts w:ascii="Verdana" w:hAnsi="Verdana"/>
          <w:lang w:val="es-MX"/>
        </w:rPr>
        <w:t>n de contrato de consultor</w:t>
      </w:r>
      <w:r w:rsidRPr="00DB23D2">
        <w:rPr>
          <w:rFonts w:ascii="Verdana" w:hAnsi="Verdana" w:hint="eastAsia"/>
          <w:lang w:val="es-MX"/>
        </w:rPr>
        <w:t>í</w:t>
      </w:r>
      <w:r w:rsidRPr="00DB23D2">
        <w:rPr>
          <w:rFonts w:ascii="Verdana" w:hAnsi="Verdana"/>
          <w:lang w:val="es-MX"/>
        </w:rPr>
        <w:t>a, sino que, simplemente, enuncia una serie de actividades que pueden hacer parte de este tipo contractual</w:t>
      </w:r>
      <w:r w:rsidRPr="00DB23D2">
        <w:rPr>
          <w:rFonts w:ascii="Verdana" w:hAnsi="Verdana"/>
          <w:vertAlign w:val="superscript"/>
          <w:lang w:val="es-MX"/>
        </w:rPr>
        <w:footnoteReference w:id="3"/>
      </w:r>
      <w:r w:rsidRPr="00DB23D2">
        <w:rPr>
          <w:rFonts w:ascii="Verdana" w:hAnsi="Verdana"/>
          <w:lang w:val="es-MX"/>
        </w:rPr>
        <w:t>. Es decir, no hay un concepto propio de consultor</w:t>
      </w:r>
      <w:r w:rsidRPr="00DB23D2">
        <w:rPr>
          <w:rFonts w:ascii="Verdana" w:hAnsi="Verdana" w:hint="eastAsia"/>
          <w:lang w:val="es-MX"/>
        </w:rPr>
        <w:t>í</w:t>
      </w:r>
      <w:r w:rsidRPr="00DB23D2">
        <w:rPr>
          <w:rFonts w:ascii="Verdana" w:hAnsi="Verdana"/>
          <w:lang w:val="es-MX"/>
        </w:rPr>
        <w:t>a dentro de la Ley 80 de 1993, pero s</w:t>
      </w:r>
      <w:r w:rsidRPr="00DB23D2">
        <w:rPr>
          <w:rFonts w:ascii="Verdana" w:hAnsi="Verdana" w:hint="eastAsia"/>
          <w:lang w:val="es-MX"/>
        </w:rPr>
        <w:t>í</w:t>
      </w:r>
      <w:r w:rsidRPr="00DB23D2">
        <w:rPr>
          <w:rFonts w:ascii="Verdana" w:hAnsi="Verdana"/>
          <w:lang w:val="es-MX"/>
        </w:rPr>
        <w:t xml:space="preserve"> se establecen elementos o actividades que configuran este tipo de contratos. </w:t>
      </w:r>
      <w:r w:rsidR="00EF12F7">
        <w:rPr>
          <w:rStyle w:val="Refdenotaalpie"/>
          <w:rFonts w:ascii="Verdana" w:hAnsi="Verdana"/>
          <w:lang w:val="es-MX"/>
        </w:rPr>
        <w:footnoteReference w:id="4"/>
      </w:r>
      <w:r w:rsidRPr="00DB23D2">
        <w:rPr>
          <w:rFonts w:ascii="Verdana" w:hAnsi="Verdana"/>
          <w:lang w:val="es-MX"/>
        </w:rPr>
        <w:t xml:space="preserve">Al respecto, el Consejo de Estado expresa: </w:t>
      </w:r>
    </w:p>
    <w:p w14:paraId="0080FE2B" w14:textId="77777777" w:rsidR="00B052BC" w:rsidRPr="00DB23D2" w:rsidRDefault="00B052BC" w:rsidP="00B052BC">
      <w:pPr>
        <w:tabs>
          <w:tab w:val="left" w:pos="709"/>
        </w:tabs>
        <w:spacing w:after="0" w:line="240" w:lineRule="auto"/>
        <w:ind w:left="992" w:right="709"/>
        <w:jc w:val="both"/>
        <w:rPr>
          <w:rFonts w:ascii="Verdana" w:hAnsi="Verdana"/>
          <w:sz w:val="20"/>
          <w:szCs w:val="20"/>
          <w:lang w:val="es-MX"/>
        </w:rPr>
      </w:pPr>
      <w:r w:rsidRPr="002C394D">
        <w:rPr>
          <w:rFonts w:ascii="Verdana" w:hAnsi="Verdana" w:hint="eastAsia"/>
          <w:sz w:val="20"/>
          <w:szCs w:val="20"/>
          <w:lang w:val="es-MX"/>
        </w:rPr>
        <w:t>“</w:t>
      </w:r>
      <w:r w:rsidRPr="002C394D">
        <w:rPr>
          <w:rFonts w:ascii="Verdana" w:hAnsi="Verdana"/>
          <w:sz w:val="20"/>
          <w:szCs w:val="20"/>
          <w:lang w:val="es-MX"/>
        </w:rPr>
        <w:t>Son de la esencia del contrato de consultor</w:t>
      </w:r>
      <w:r w:rsidRPr="002C394D">
        <w:rPr>
          <w:rFonts w:ascii="Verdana" w:hAnsi="Verdana" w:hint="eastAsia"/>
          <w:sz w:val="20"/>
          <w:szCs w:val="20"/>
          <w:lang w:val="es-MX"/>
        </w:rPr>
        <w:t>í</w:t>
      </w:r>
      <w:r w:rsidRPr="002C394D">
        <w:rPr>
          <w:rFonts w:ascii="Verdana" w:hAnsi="Verdana"/>
          <w:sz w:val="20"/>
          <w:szCs w:val="20"/>
          <w:lang w:val="es-MX"/>
        </w:rPr>
        <w:t>a el que una parte se obligue a prestar un servicio consistente en realizar estudios para la ejecuci</w:t>
      </w:r>
      <w:r w:rsidRPr="002C394D">
        <w:rPr>
          <w:rFonts w:ascii="Verdana" w:hAnsi="Verdana" w:hint="eastAsia"/>
          <w:sz w:val="20"/>
          <w:szCs w:val="20"/>
          <w:lang w:val="es-MX"/>
        </w:rPr>
        <w:t>ó</w:t>
      </w:r>
      <w:r w:rsidRPr="002C394D">
        <w:rPr>
          <w:rFonts w:ascii="Verdana" w:hAnsi="Verdana"/>
          <w:sz w:val="20"/>
          <w:szCs w:val="20"/>
          <w:lang w:val="es-MX"/>
        </w:rPr>
        <w:t>n de proyectos de inversi</w:t>
      </w:r>
      <w:r w:rsidRPr="002C394D">
        <w:rPr>
          <w:rFonts w:ascii="Verdana" w:hAnsi="Verdana" w:hint="eastAsia"/>
          <w:sz w:val="20"/>
          <w:szCs w:val="20"/>
          <w:lang w:val="es-MX"/>
        </w:rPr>
        <w:t>ó</w:t>
      </w:r>
      <w:r w:rsidRPr="002C394D">
        <w:rPr>
          <w:rFonts w:ascii="Verdana" w:hAnsi="Verdana"/>
          <w:sz w:val="20"/>
          <w:szCs w:val="20"/>
          <w:lang w:val="es-MX"/>
        </w:rPr>
        <w:t>n, estudios de diagn</w:t>
      </w:r>
      <w:r w:rsidRPr="002C394D">
        <w:rPr>
          <w:rFonts w:ascii="Verdana" w:hAnsi="Verdana" w:hint="eastAsia"/>
          <w:sz w:val="20"/>
          <w:szCs w:val="20"/>
          <w:lang w:val="es-MX"/>
        </w:rPr>
        <w:t>ó</w:t>
      </w:r>
      <w:r w:rsidRPr="002C394D">
        <w:rPr>
          <w:rFonts w:ascii="Verdana" w:hAnsi="Verdana"/>
          <w:sz w:val="20"/>
          <w:szCs w:val="20"/>
          <w:lang w:val="es-MX"/>
        </w:rPr>
        <w:t>stico, prefactibilidad o factibilidad para programas o proyectos determinados, prestar asesor</w:t>
      </w:r>
      <w:r w:rsidRPr="002C394D">
        <w:rPr>
          <w:rFonts w:ascii="Verdana" w:hAnsi="Verdana" w:hint="eastAsia"/>
          <w:sz w:val="20"/>
          <w:szCs w:val="20"/>
          <w:lang w:val="es-MX"/>
        </w:rPr>
        <w:t>í</w:t>
      </w:r>
      <w:r w:rsidRPr="002C394D">
        <w:rPr>
          <w:rFonts w:ascii="Verdana" w:hAnsi="Verdana"/>
          <w:sz w:val="20"/>
          <w:szCs w:val="20"/>
          <w:lang w:val="es-MX"/>
        </w:rPr>
        <w:t>a t</w:t>
      </w:r>
      <w:r w:rsidRPr="002C394D">
        <w:rPr>
          <w:rFonts w:ascii="Verdana" w:hAnsi="Verdana" w:hint="eastAsia"/>
          <w:sz w:val="20"/>
          <w:szCs w:val="20"/>
          <w:lang w:val="es-MX"/>
        </w:rPr>
        <w:t>é</w:t>
      </w:r>
      <w:r w:rsidRPr="002C394D">
        <w:rPr>
          <w:rFonts w:ascii="Verdana" w:hAnsi="Verdana"/>
          <w:sz w:val="20"/>
          <w:szCs w:val="20"/>
          <w:lang w:val="es-MX"/>
        </w:rPr>
        <w:t>cnica de coordinaci</w:t>
      </w:r>
      <w:r w:rsidRPr="002C394D">
        <w:rPr>
          <w:rFonts w:ascii="Verdana" w:hAnsi="Verdana" w:hint="eastAsia"/>
          <w:sz w:val="20"/>
          <w:szCs w:val="20"/>
          <w:lang w:val="es-MX"/>
        </w:rPr>
        <w:t>ó</w:t>
      </w:r>
      <w:r w:rsidRPr="002C394D">
        <w:rPr>
          <w:rFonts w:ascii="Verdana" w:hAnsi="Verdana"/>
          <w:sz w:val="20"/>
          <w:szCs w:val="20"/>
          <w:lang w:val="es-MX"/>
        </w:rPr>
        <w:t>n, control y supervisi</w:t>
      </w:r>
      <w:r w:rsidRPr="002C394D">
        <w:rPr>
          <w:rFonts w:ascii="Verdana" w:hAnsi="Verdana" w:hint="eastAsia"/>
          <w:sz w:val="20"/>
          <w:szCs w:val="20"/>
          <w:lang w:val="es-MX"/>
        </w:rPr>
        <w:t>ó</w:t>
      </w:r>
      <w:r w:rsidRPr="002C394D">
        <w:rPr>
          <w:rFonts w:ascii="Verdana" w:hAnsi="Verdana"/>
          <w:sz w:val="20"/>
          <w:szCs w:val="20"/>
          <w:lang w:val="es-MX"/>
        </w:rPr>
        <w:t>n, realizar actividades de interventor</w:t>
      </w:r>
      <w:r w:rsidRPr="002C394D">
        <w:rPr>
          <w:rFonts w:ascii="Verdana" w:hAnsi="Verdana" w:hint="eastAsia"/>
          <w:sz w:val="20"/>
          <w:szCs w:val="20"/>
          <w:lang w:val="es-MX"/>
        </w:rPr>
        <w:t>í</w:t>
      </w:r>
      <w:r w:rsidRPr="002C394D">
        <w:rPr>
          <w:rFonts w:ascii="Verdana" w:hAnsi="Verdana"/>
          <w:sz w:val="20"/>
          <w:szCs w:val="20"/>
          <w:lang w:val="es-MX"/>
        </w:rPr>
        <w:t>a, asesor</w:t>
      </w:r>
      <w:r w:rsidRPr="002C394D">
        <w:rPr>
          <w:rFonts w:ascii="Verdana" w:hAnsi="Verdana" w:hint="eastAsia"/>
          <w:sz w:val="20"/>
          <w:szCs w:val="20"/>
          <w:lang w:val="es-MX"/>
        </w:rPr>
        <w:t>í</w:t>
      </w:r>
      <w:r w:rsidRPr="002C394D">
        <w:rPr>
          <w:rFonts w:ascii="Verdana" w:hAnsi="Verdana"/>
          <w:sz w:val="20"/>
          <w:szCs w:val="20"/>
          <w:lang w:val="es-MX"/>
        </w:rPr>
        <w:t>a y gerencia de obra o de proyectos, as</w:t>
      </w:r>
      <w:r w:rsidRPr="002C394D">
        <w:rPr>
          <w:rFonts w:ascii="Verdana" w:hAnsi="Verdana" w:hint="eastAsia"/>
          <w:sz w:val="20"/>
          <w:szCs w:val="20"/>
          <w:lang w:val="es-MX"/>
        </w:rPr>
        <w:t>í</w:t>
      </w:r>
      <w:r w:rsidRPr="002C394D">
        <w:rPr>
          <w:rFonts w:ascii="Verdana" w:hAnsi="Verdana"/>
          <w:sz w:val="20"/>
          <w:szCs w:val="20"/>
          <w:lang w:val="es-MX"/>
        </w:rPr>
        <w:t xml:space="preserve"> como la direcci</w:t>
      </w:r>
      <w:r w:rsidRPr="002C394D">
        <w:rPr>
          <w:rFonts w:ascii="Verdana" w:hAnsi="Verdana" w:hint="eastAsia"/>
          <w:sz w:val="20"/>
          <w:szCs w:val="20"/>
          <w:lang w:val="es-MX"/>
        </w:rPr>
        <w:t>ó</w:t>
      </w:r>
      <w:r w:rsidRPr="002C394D">
        <w:rPr>
          <w:rFonts w:ascii="Verdana" w:hAnsi="Verdana"/>
          <w:sz w:val="20"/>
          <w:szCs w:val="20"/>
          <w:lang w:val="es-MX"/>
        </w:rPr>
        <w:t>n, programaci</w:t>
      </w:r>
      <w:r w:rsidRPr="002C394D">
        <w:rPr>
          <w:rFonts w:ascii="Verdana" w:hAnsi="Verdana" w:hint="eastAsia"/>
          <w:sz w:val="20"/>
          <w:szCs w:val="20"/>
          <w:lang w:val="es-MX"/>
        </w:rPr>
        <w:t>ó</w:t>
      </w:r>
      <w:r w:rsidRPr="002C394D">
        <w:rPr>
          <w:rFonts w:ascii="Verdana" w:hAnsi="Verdana"/>
          <w:sz w:val="20"/>
          <w:szCs w:val="20"/>
          <w:lang w:val="es-MX"/>
        </w:rPr>
        <w:t>n y la ejecuci</w:t>
      </w:r>
      <w:r w:rsidRPr="002C394D">
        <w:rPr>
          <w:rFonts w:ascii="Verdana" w:hAnsi="Verdana" w:hint="eastAsia"/>
          <w:sz w:val="20"/>
          <w:szCs w:val="20"/>
          <w:lang w:val="es-MX"/>
        </w:rPr>
        <w:t>ó</w:t>
      </w:r>
      <w:r w:rsidRPr="002C394D">
        <w:rPr>
          <w:rFonts w:ascii="Verdana" w:hAnsi="Verdana"/>
          <w:sz w:val="20"/>
          <w:szCs w:val="20"/>
          <w:lang w:val="es-MX"/>
        </w:rPr>
        <w:t>n de dise</w:t>
      </w:r>
      <w:r w:rsidRPr="002C394D">
        <w:rPr>
          <w:rFonts w:ascii="Verdana" w:hAnsi="Verdana" w:hint="eastAsia"/>
          <w:sz w:val="20"/>
          <w:szCs w:val="20"/>
          <w:lang w:val="es-MX"/>
        </w:rPr>
        <w:t>ñ</w:t>
      </w:r>
      <w:r w:rsidRPr="002C394D">
        <w:rPr>
          <w:rFonts w:ascii="Verdana" w:hAnsi="Verdana"/>
          <w:sz w:val="20"/>
          <w:szCs w:val="20"/>
          <w:lang w:val="es-MX"/>
        </w:rPr>
        <w:t>os, planos, anteproyectos y proyectos, y el que la otra se obligue a pagar una determinada remuneraci</w:t>
      </w:r>
      <w:r w:rsidRPr="002C394D">
        <w:rPr>
          <w:rFonts w:ascii="Verdana" w:hAnsi="Verdana" w:hint="eastAsia"/>
          <w:sz w:val="20"/>
          <w:szCs w:val="20"/>
          <w:lang w:val="es-MX"/>
        </w:rPr>
        <w:t>ó</w:t>
      </w:r>
      <w:r w:rsidRPr="002C394D">
        <w:rPr>
          <w:rFonts w:ascii="Verdana" w:hAnsi="Verdana"/>
          <w:sz w:val="20"/>
          <w:szCs w:val="20"/>
          <w:lang w:val="es-MX"/>
        </w:rPr>
        <w:t>n como retribuci</w:t>
      </w:r>
      <w:r w:rsidRPr="002C394D">
        <w:rPr>
          <w:rFonts w:ascii="Verdana" w:hAnsi="Verdana" w:hint="eastAsia"/>
          <w:sz w:val="20"/>
          <w:szCs w:val="20"/>
          <w:lang w:val="es-MX"/>
        </w:rPr>
        <w:t>ó</w:t>
      </w:r>
      <w:r w:rsidRPr="002C394D">
        <w:rPr>
          <w:rFonts w:ascii="Verdana" w:hAnsi="Verdana"/>
          <w:sz w:val="20"/>
          <w:szCs w:val="20"/>
          <w:lang w:val="es-MX"/>
        </w:rPr>
        <w:t>n por el servicio prestado</w:t>
      </w:r>
      <w:r w:rsidRPr="002C394D">
        <w:rPr>
          <w:rFonts w:ascii="Verdana" w:hAnsi="Verdana" w:hint="eastAsia"/>
          <w:sz w:val="20"/>
          <w:szCs w:val="20"/>
          <w:lang w:val="es-MX"/>
        </w:rPr>
        <w:t>”</w:t>
      </w:r>
      <w:r w:rsidRPr="002C394D">
        <w:rPr>
          <w:rFonts w:ascii="Verdana" w:hAnsi="Verdana"/>
          <w:sz w:val="20"/>
          <w:szCs w:val="20"/>
          <w:vertAlign w:val="superscript"/>
          <w:lang w:val="es-MX"/>
        </w:rPr>
        <w:footnoteReference w:id="5"/>
      </w:r>
      <w:r w:rsidRPr="002C394D">
        <w:rPr>
          <w:rFonts w:ascii="Verdana" w:hAnsi="Verdana"/>
          <w:sz w:val="20"/>
          <w:szCs w:val="20"/>
          <w:lang w:val="es-MX"/>
        </w:rPr>
        <w:t>.</w:t>
      </w:r>
    </w:p>
    <w:p w14:paraId="6FA36C85" w14:textId="77777777" w:rsidR="00B052BC" w:rsidRPr="002C394D" w:rsidRDefault="00B052BC" w:rsidP="00B052BC">
      <w:pPr>
        <w:tabs>
          <w:tab w:val="left" w:pos="709"/>
        </w:tabs>
        <w:spacing w:after="0" w:line="240" w:lineRule="auto"/>
        <w:ind w:left="992" w:right="709"/>
        <w:jc w:val="both"/>
        <w:rPr>
          <w:rFonts w:ascii="Verdana" w:hAnsi="Verdana"/>
          <w:sz w:val="20"/>
          <w:szCs w:val="20"/>
          <w:lang w:val="es-MX"/>
        </w:rPr>
      </w:pPr>
    </w:p>
    <w:p w14:paraId="6B870D4C" w14:textId="77777777" w:rsidR="00B052BC" w:rsidRPr="002C394D" w:rsidRDefault="00B052BC" w:rsidP="00B052BC">
      <w:pPr>
        <w:pStyle w:val="Prrafodelista"/>
        <w:numPr>
          <w:ilvl w:val="0"/>
          <w:numId w:val="17"/>
        </w:numPr>
        <w:spacing w:after="120" w:line="276" w:lineRule="auto"/>
        <w:ind w:left="426"/>
        <w:jc w:val="both"/>
        <w:rPr>
          <w:rFonts w:ascii="Verdana" w:eastAsia="Calibri" w:hAnsi="Verdana" w:cs="Arial"/>
          <w:bCs/>
          <w:lang w:val="es-ES_tradnl"/>
        </w:rPr>
      </w:pPr>
      <w:r w:rsidRPr="002C394D">
        <w:rPr>
          <w:rFonts w:ascii="Verdana" w:eastAsia="Calibri" w:hAnsi="Verdana" w:cs="Arial"/>
          <w:bCs/>
          <w:lang w:val="es-ES_tradnl"/>
        </w:rPr>
        <w:t>De acuerdo el numeral 2 del artículo 32 de la Ley 80 de 1993, los contratos de consultoría son entonces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Así mismo, son contratos de consultoría los que tienen por objeto la interventoría, asesoría, gerencia de obra o de proyectos, dirección, programación y la ejecución de diseños, planos, anteproyectos y proyectos</w:t>
      </w:r>
      <w:r w:rsidRPr="002C394D">
        <w:rPr>
          <w:rStyle w:val="Refdenotaalpie"/>
          <w:rFonts w:ascii="Verdana" w:eastAsia="Calibri" w:hAnsi="Verdana" w:cs="Arial"/>
        </w:rPr>
        <w:footnoteReference w:id="6"/>
      </w:r>
      <w:r w:rsidRPr="002C394D">
        <w:rPr>
          <w:rFonts w:ascii="Verdana" w:eastAsia="Calibri" w:hAnsi="Verdana" w:cs="Arial"/>
          <w:bCs/>
          <w:lang w:val="es-ES_tradnl"/>
        </w:rPr>
        <w:t xml:space="preserve">. Al respecto, </w:t>
      </w:r>
      <w:bookmarkStart w:id="1" w:name="_Hlk184214965"/>
      <w:r w:rsidRPr="002C394D">
        <w:rPr>
          <w:rFonts w:ascii="Verdana" w:eastAsia="Calibri" w:hAnsi="Verdana" w:cs="Arial"/>
          <w:bCs/>
          <w:lang w:val="es-ES_tradnl"/>
        </w:rPr>
        <w:t xml:space="preserve">la Sección Tercera del Consejo de </w:t>
      </w:r>
      <w:r w:rsidRPr="002C394D">
        <w:rPr>
          <w:rFonts w:ascii="Verdana" w:eastAsia="Calibri" w:hAnsi="Verdana" w:cs="Arial"/>
          <w:bCs/>
          <w:lang w:val="es-ES_tradnl"/>
        </w:rPr>
        <w:lastRenderedPageBreak/>
        <w:t xml:space="preserve">Estado en Sentencia de Unificación con radicado 41.179 </w:t>
      </w:r>
      <w:bookmarkEnd w:id="1"/>
      <w:r w:rsidRPr="002C394D">
        <w:rPr>
          <w:rFonts w:ascii="Verdana" w:eastAsia="Calibri" w:hAnsi="Verdana" w:cs="Arial"/>
          <w:bCs/>
          <w:lang w:val="es-ES_tradnl"/>
        </w:rPr>
        <w:t>señaló frente al contrato de consultoría lo siguiente:</w:t>
      </w:r>
    </w:p>
    <w:p w14:paraId="3716000A" w14:textId="77777777" w:rsidR="00B052BC" w:rsidRPr="002C394D" w:rsidRDefault="00B052BC" w:rsidP="00B052BC">
      <w:pPr>
        <w:spacing w:after="0"/>
        <w:ind w:left="992" w:right="709"/>
        <w:jc w:val="both"/>
        <w:rPr>
          <w:rFonts w:ascii="Verdana" w:hAnsi="Verdana" w:cs="Arial"/>
          <w:sz w:val="20"/>
          <w:szCs w:val="20"/>
        </w:rPr>
      </w:pPr>
      <w:r w:rsidRPr="002C394D">
        <w:rPr>
          <w:rFonts w:ascii="Verdana" w:hAnsi="Verdana" w:cs="Arial"/>
          <w:sz w:val="20"/>
          <w:szCs w:val="20"/>
        </w:rPr>
        <w:t xml:space="preserve">“Su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w:t>
      </w:r>
    </w:p>
    <w:p w14:paraId="620C5AF8" w14:textId="77777777" w:rsidR="00B052BC" w:rsidRPr="002C394D" w:rsidRDefault="00B052BC" w:rsidP="00B052BC">
      <w:pPr>
        <w:spacing w:after="0"/>
        <w:ind w:left="992" w:right="709"/>
        <w:jc w:val="both"/>
        <w:rPr>
          <w:rFonts w:ascii="Verdana" w:hAnsi="Verdana" w:cs="Arial"/>
          <w:sz w:val="20"/>
          <w:szCs w:val="20"/>
        </w:rPr>
      </w:pPr>
    </w:p>
    <w:p w14:paraId="0F0AC60C" w14:textId="77777777" w:rsidR="00B052BC" w:rsidRPr="002C394D" w:rsidRDefault="00B052BC" w:rsidP="00B052BC">
      <w:pPr>
        <w:spacing w:after="0" w:line="276" w:lineRule="auto"/>
        <w:ind w:left="992" w:right="709"/>
        <w:jc w:val="both"/>
        <w:rPr>
          <w:rFonts w:ascii="Verdana" w:hAnsi="Verdana" w:cs="Arial"/>
          <w:sz w:val="20"/>
          <w:szCs w:val="20"/>
        </w:rPr>
      </w:pPr>
      <w:r w:rsidRPr="002C394D">
        <w:rPr>
          <w:rFonts w:ascii="Verdana" w:hAnsi="Verdana" w:cs="Arial"/>
          <w:sz w:val="20"/>
          <w:szCs w:val="20"/>
        </w:rPr>
        <w:t>Además de estos objetos contractuales, se incluyen allí aquellos que las demás disposiciones legales especiales (y reglamentarias) establezcan”</w:t>
      </w:r>
      <w:r w:rsidRPr="002C394D">
        <w:rPr>
          <w:rStyle w:val="Refdenotaalpie"/>
          <w:rFonts w:ascii="Verdana" w:hAnsi="Verdana" w:cs="Arial"/>
          <w:sz w:val="20"/>
          <w:szCs w:val="20"/>
        </w:rPr>
        <w:footnoteReference w:id="7"/>
      </w:r>
      <w:r w:rsidRPr="002C394D">
        <w:rPr>
          <w:rFonts w:ascii="Verdana" w:hAnsi="Verdana" w:cs="Arial"/>
          <w:sz w:val="20"/>
          <w:szCs w:val="20"/>
        </w:rPr>
        <w:t>.</w:t>
      </w:r>
    </w:p>
    <w:p w14:paraId="2B5C67B1" w14:textId="77777777" w:rsidR="00B052BC" w:rsidRPr="002C394D" w:rsidRDefault="00B052BC" w:rsidP="00B052BC">
      <w:pPr>
        <w:spacing w:after="0" w:line="276" w:lineRule="auto"/>
        <w:ind w:left="992" w:right="709"/>
        <w:jc w:val="both"/>
        <w:rPr>
          <w:rFonts w:ascii="Verdana" w:eastAsia="Calibri" w:hAnsi="Verdana" w:cs="Arial"/>
          <w:bCs/>
          <w:sz w:val="20"/>
          <w:szCs w:val="20"/>
          <w:lang w:val="es-ES_tradnl"/>
        </w:rPr>
      </w:pPr>
    </w:p>
    <w:p w14:paraId="1302C706" w14:textId="77777777" w:rsidR="00B052BC" w:rsidRPr="002C394D" w:rsidRDefault="00B052BC" w:rsidP="00B052BC">
      <w:pPr>
        <w:pStyle w:val="Prrafodelista"/>
        <w:numPr>
          <w:ilvl w:val="0"/>
          <w:numId w:val="18"/>
        </w:numPr>
        <w:spacing w:after="0" w:line="276" w:lineRule="auto"/>
        <w:ind w:left="426"/>
        <w:jc w:val="both"/>
        <w:rPr>
          <w:rFonts w:ascii="Verdana" w:eastAsia="Calibri" w:hAnsi="Verdana" w:cs="Arial"/>
          <w:bCs/>
          <w:lang w:val="es-ES_tradnl"/>
        </w:rPr>
      </w:pPr>
      <w:r w:rsidRPr="002C394D">
        <w:rPr>
          <w:rFonts w:ascii="Verdana" w:eastAsia="Calibri" w:hAnsi="Verdana" w:cs="Arial"/>
          <w:bCs/>
          <w:lang w:val="es-ES_tradnl"/>
        </w:rPr>
        <w:t xml:space="preserve">Bajo este entendimiento, la característica fundamental para identificar los contratos estatales de consultoría es el carácter ampliamente técnico de su contenido, que se diferencia de otros tipos contractuales, como el de prestación de servicios –apoyo a la gestión, servicios profesionales o de ejecución de trabajos artísticos–. A diferencia del contrato de consultoría, el de prestación de servicios supone el desarrollo de </w:t>
      </w:r>
      <w:r w:rsidRPr="002C394D">
        <w:rPr>
          <w:rFonts w:ascii="Verdana" w:hAnsi="Verdana" w:cs="Arial"/>
        </w:rPr>
        <w:t xml:space="preserve">actividades de colaboración y apoyo a la gestión de la entidad dirigidas al cumplimiento de las funciones asignadas a esta, de carácter temporal, excepcional u ocasional, siempre que no haya suficiente personal de planta o que, </w:t>
      </w:r>
      <w:r w:rsidRPr="002C394D">
        <w:rPr>
          <w:rFonts w:ascii="Verdana" w:hAnsi="Verdana" w:cs="Arial"/>
          <w:noProof/>
          <w:lang w:val="es-ES_tradnl"/>
        </w:rPr>
        <w:t>existiendo, está sobrecargado de trabajo, o</w:t>
      </w:r>
      <w:r w:rsidRPr="002C394D">
        <w:rPr>
          <w:rFonts w:ascii="Verdana" w:hAnsi="Verdana" w:cs="Arial"/>
        </w:rPr>
        <w:t xml:space="preserve"> que sean actividades que requieran conocimientos especializados, según lo prescrito en el artículo 32.3. de la </w:t>
      </w:r>
      <w:bookmarkStart w:id="2" w:name="_Hlk184214932"/>
      <w:r w:rsidRPr="002C394D">
        <w:rPr>
          <w:rFonts w:ascii="Verdana" w:hAnsi="Verdana" w:cs="Arial"/>
        </w:rPr>
        <w:t>Ley 80 de 1993</w:t>
      </w:r>
      <w:bookmarkEnd w:id="2"/>
      <w:r w:rsidRPr="002C394D">
        <w:rPr>
          <w:rFonts w:ascii="Verdana" w:hAnsi="Verdana" w:cs="Arial"/>
        </w:rPr>
        <w:t xml:space="preserve">. Al respecto, el Consejo de Estado ha señalado la diferencia entre estos dos contratos, de la siguiente manera: </w:t>
      </w:r>
    </w:p>
    <w:p w14:paraId="6C99DCDC" w14:textId="77777777" w:rsidR="00B052BC" w:rsidRPr="002C394D" w:rsidRDefault="00B052BC" w:rsidP="00B052BC">
      <w:pPr>
        <w:pStyle w:val="Textoindependiente"/>
        <w:spacing w:after="0"/>
        <w:ind w:right="102" w:firstLine="709"/>
        <w:jc w:val="both"/>
        <w:rPr>
          <w:rFonts w:ascii="Verdana" w:hAnsi="Verdana" w:cs="Arial"/>
        </w:rPr>
      </w:pPr>
    </w:p>
    <w:p w14:paraId="65BAE027" w14:textId="77777777" w:rsidR="00B052BC" w:rsidRPr="002C394D" w:rsidRDefault="00B052BC" w:rsidP="00B052BC">
      <w:pPr>
        <w:tabs>
          <w:tab w:val="left" w:pos="993"/>
          <w:tab w:val="left" w:pos="1134"/>
          <w:tab w:val="left" w:pos="1276"/>
        </w:tabs>
        <w:spacing w:after="0"/>
        <w:ind w:left="709" w:right="709"/>
        <w:jc w:val="both"/>
        <w:rPr>
          <w:rFonts w:ascii="Verdana" w:hAnsi="Verdana" w:cs="Arial"/>
          <w:sz w:val="20"/>
          <w:szCs w:val="20"/>
          <w:lang w:val="es-ES_tradnl"/>
        </w:rPr>
      </w:pPr>
      <w:r w:rsidRPr="002C394D">
        <w:rPr>
          <w:rFonts w:ascii="Verdana" w:hAnsi="Verdana" w:cs="Arial"/>
          <w:sz w:val="20"/>
          <w:szCs w:val="20"/>
          <w:lang w:val="es-ES_tradnl"/>
        </w:rPr>
        <w:t xml:space="preserve">“[…] mientras que el contrato de consultoría está revestido de una cláusula de estricta tipicidad cerrada (que condiciona de manera detallada la </w:t>
      </w:r>
      <w:r w:rsidRPr="002C394D">
        <w:rPr>
          <w:rFonts w:ascii="Verdana" w:hAnsi="Verdana" w:cs="Arial"/>
          <w:sz w:val="20"/>
          <w:szCs w:val="20"/>
          <w:lang w:val="es-ES_tradnl"/>
        </w:rPr>
        <w:lastRenderedPageBreak/>
        <w:t>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la Ley 80 de 1993 y las demás disposiciones legales especiales actuales o futuras) podrán ser satisfechos por medio del de prestación de servicios siempre que satisfaga los referentes conceptuales que establece el numeral 3° del artículo 32 de la Ley 80 de 1993, conforme a la debida planeación contractual y en armonía con los criterios jurídicos que han sido decantados en el precedente de esta Corporación y en esta providencia”</w:t>
      </w:r>
      <w:r w:rsidRPr="002C394D">
        <w:rPr>
          <w:rStyle w:val="Refdenotaalpie"/>
          <w:rFonts w:ascii="Verdana" w:hAnsi="Verdana" w:cs="Arial"/>
          <w:sz w:val="20"/>
          <w:szCs w:val="20"/>
        </w:rPr>
        <w:footnoteReference w:id="8"/>
      </w:r>
      <w:r w:rsidRPr="002C394D">
        <w:rPr>
          <w:rFonts w:ascii="Verdana" w:hAnsi="Verdana" w:cs="Arial"/>
          <w:sz w:val="20"/>
          <w:szCs w:val="20"/>
          <w:lang w:val="es-ES_tradnl"/>
        </w:rPr>
        <w:t>.</w:t>
      </w:r>
    </w:p>
    <w:p w14:paraId="4D36184D" w14:textId="77777777" w:rsidR="00B052BC" w:rsidRPr="002C394D" w:rsidRDefault="00B052BC" w:rsidP="00B052BC">
      <w:pPr>
        <w:pStyle w:val="Textoindependiente"/>
        <w:spacing w:after="0"/>
        <w:ind w:right="102" w:firstLine="709"/>
        <w:jc w:val="both"/>
        <w:rPr>
          <w:rFonts w:ascii="Verdana" w:hAnsi="Verdana" w:cs="Arial"/>
          <w:lang w:val="es-ES_tradnl"/>
        </w:rPr>
      </w:pPr>
    </w:p>
    <w:p w14:paraId="2F4F1D89" w14:textId="77777777" w:rsidR="00B052BC" w:rsidRPr="00DB23D2" w:rsidRDefault="00B052BC" w:rsidP="00B052BC">
      <w:pPr>
        <w:pStyle w:val="Prrafodelista"/>
        <w:numPr>
          <w:ilvl w:val="0"/>
          <w:numId w:val="18"/>
        </w:numPr>
        <w:spacing w:after="0" w:line="276" w:lineRule="auto"/>
        <w:ind w:left="426"/>
        <w:jc w:val="both"/>
        <w:rPr>
          <w:rFonts w:ascii="Verdana" w:eastAsia="Calibri" w:hAnsi="Verdana" w:cs="Arial"/>
          <w:bCs/>
          <w:lang w:val="es-ES_tradnl"/>
        </w:rPr>
      </w:pPr>
      <w:r w:rsidRPr="002C394D">
        <w:rPr>
          <w:rFonts w:ascii="Verdana" w:hAnsi="Verdana" w:cs="Arial"/>
        </w:rPr>
        <w:t xml:space="preserve">En este sentido, son contratos de consultoría aquellos que incluyen dentro de su objeto la realización de actividades que se relacionan o se vinculan con las actividades descritas en el artículo </w:t>
      </w:r>
      <w:r w:rsidRPr="002C394D">
        <w:rPr>
          <w:rFonts w:ascii="Verdana" w:eastAsia="Calibri" w:hAnsi="Verdana" w:cs="Arial"/>
          <w:lang w:val="es-ES_tradnl"/>
        </w:rPr>
        <w:t>32, numeral 2, de la Ley 80 de 1993, es decir, con funciones técnicas y especializadas.</w:t>
      </w:r>
      <w:r w:rsidRPr="00DB23D2">
        <w:rPr>
          <w:rFonts w:ascii="Verdana" w:eastAsia="Calibri" w:hAnsi="Verdana" w:cs="Arial"/>
          <w:lang w:val="es-ES_tradnl"/>
        </w:rPr>
        <w:t xml:space="preserve"> </w:t>
      </w:r>
      <w:r w:rsidRPr="002C394D">
        <w:rPr>
          <w:rFonts w:ascii="Verdana" w:eastAsia="Calibri" w:hAnsi="Verdana" w:cs="Arial"/>
          <w:bCs/>
          <w:lang w:val="es-ES_tradnl"/>
        </w:rPr>
        <w:t xml:space="preserve">De acuerdo con lo señalado en la jurisprudencia citada, la consultoría tiene dentro de sus objetos el análisis de ejecución de proyectos altamente técnicos, que se efectúa bajo la modalidad de asesorías técnicas de coordinación, de control o de supervisión. Para explicar qué se entiende por asesoría, se acude al Diccionario </w:t>
      </w:r>
      <w:proofErr w:type="spellStart"/>
      <w:r w:rsidRPr="002C394D">
        <w:rPr>
          <w:rFonts w:ascii="Verdana" w:eastAsia="Calibri" w:hAnsi="Verdana" w:cs="Arial"/>
          <w:bCs/>
          <w:lang w:val="es-ES_tradnl"/>
        </w:rPr>
        <w:t>Panhispanico</w:t>
      </w:r>
      <w:proofErr w:type="spellEnd"/>
      <w:r w:rsidRPr="002C394D">
        <w:rPr>
          <w:rFonts w:ascii="Verdana" w:eastAsia="Calibri" w:hAnsi="Verdana" w:cs="Arial"/>
          <w:bCs/>
          <w:lang w:val="es-ES_tradnl"/>
        </w:rPr>
        <w:t xml:space="preserve"> de Español Jurídico, que la define como: </w:t>
      </w:r>
      <w:r w:rsidRPr="00DB23D2">
        <w:rPr>
          <w:rFonts w:ascii="Verdana" w:hAnsi="Verdana" w:cs="Arial"/>
        </w:rPr>
        <w:t>“</w:t>
      </w:r>
      <w:r w:rsidRPr="002C394D">
        <w:rPr>
          <w:rFonts w:ascii="Verdana" w:eastAsia="Calibri" w:hAnsi="Verdana" w:cs="Arial"/>
          <w:bCs/>
          <w:lang w:val="es-ES_tradnl"/>
        </w:rPr>
        <w:t xml:space="preserve">1. </w:t>
      </w:r>
      <w:proofErr w:type="spellStart"/>
      <w:r w:rsidRPr="002C394D">
        <w:rPr>
          <w:rFonts w:ascii="Verdana" w:eastAsia="Calibri" w:hAnsi="Verdana" w:cs="Arial"/>
          <w:bCs/>
          <w:lang w:val="es-ES_tradnl"/>
        </w:rPr>
        <w:t>Civ</w:t>
      </w:r>
      <w:proofErr w:type="spellEnd"/>
      <w:r w:rsidRPr="002C394D">
        <w:rPr>
          <w:rFonts w:ascii="Verdana" w:eastAsia="Calibri" w:hAnsi="Verdana" w:cs="Arial"/>
          <w:bCs/>
          <w:lang w:val="es-ES_tradnl"/>
        </w:rPr>
        <w:t xml:space="preserve">. Servicio profesional de información y consejo en materia especializada (jurídica, fiscal, técnica, cultural, laboral, contable, etc.); 2. </w:t>
      </w:r>
      <w:proofErr w:type="spellStart"/>
      <w:r w:rsidRPr="002C394D">
        <w:rPr>
          <w:rFonts w:ascii="Verdana" w:eastAsia="Calibri" w:hAnsi="Verdana" w:cs="Arial"/>
          <w:bCs/>
          <w:lang w:val="es-ES_tradnl"/>
        </w:rPr>
        <w:t>Civ</w:t>
      </w:r>
      <w:proofErr w:type="spellEnd"/>
      <w:r w:rsidRPr="002C394D">
        <w:rPr>
          <w:rFonts w:ascii="Verdana" w:eastAsia="Calibri" w:hAnsi="Verdana" w:cs="Arial"/>
          <w:bCs/>
          <w:lang w:val="es-ES_tradnl"/>
        </w:rPr>
        <w:t xml:space="preserve">. Establecimiento dedicado a la prestación profesional de asesoría; 3. </w:t>
      </w:r>
      <w:proofErr w:type="spellStart"/>
      <w:r w:rsidRPr="002C394D">
        <w:rPr>
          <w:rFonts w:ascii="Verdana" w:eastAsia="Calibri" w:hAnsi="Verdana" w:cs="Arial"/>
          <w:bCs/>
          <w:lang w:val="es-ES_tradnl"/>
        </w:rPr>
        <w:t>Civ</w:t>
      </w:r>
      <w:proofErr w:type="spellEnd"/>
      <w:r w:rsidRPr="002C394D">
        <w:rPr>
          <w:rFonts w:ascii="Verdana" w:eastAsia="Calibri" w:hAnsi="Verdana" w:cs="Arial"/>
          <w:bCs/>
          <w:lang w:val="es-ES_tradnl"/>
        </w:rPr>
        <w:t>. Órgano administrativo o empresarial encargado de la función de asesoramiento de un área especializada. […]</w:t>
      </w:r>
      <w:r w:rsidRPr="00DB23D2">
        <w:rPr>
          <w:rFonts w:ascii="Verdana" w:hAnsi="Verdana" w:cs="Arial"/>
        </w:rPr>
        <w:t>”</w:t>
      </w:r>
      <w:r w:rsidRPr="002C394D">
        <w:rPr>
          <w:rStyle w:val="Refdenotaalpie"/>
          <w:rFonts w:ascii="Verdana" w:eastAsia="Calibri" w:hAnsi="Verdana" w:cs="Arial"/>
        </w:rPr>
        <w:footnoteReference w:id="9"/>
      </w:r>
      <w:r w:rsidRPr="002C394D">
        <w:rPr>
          <w:rFonts w:ascii="Verdana" w:eastAsia="Calibri" w:hAnsi="Verdana" w:cs="Arial"/>
          <w:bCs/>
          <w:lang w:val="es-ES_tradnl"/>
        </w:rPr>
        <w:t xml:space="preserve">. Así mismo, la doctrina ha señalado frente a este tema lo siguiente: </w:t>
      </w:r>
    </w:p>
    <w:p w14:paraId="092CE943" w14:textId="77777777" w:rsidR="00B052BC" w:rsidRPr="00DB23D2" w:rsidRDefault="00B052BC" w:rsidP="00B052BC">
      <w:pPr>
        <w:pStyle w:val="Prrafodelista"/>
        <w:spacing w:after="0" w:line="276" w:lineRule="auto"/>
        <w:jc w:val="both"/>
        <w:rPr>
          <w:rFonts w:ascii="Verdana" w:eastAsia="Calibri" w:hAnsi="Verdana" w:cs="Arial"/>
          <w:bCs/>
          <w:lang w:val="es-ES_tradnl"/>
        </w:rPr>
      </w:pPr>
    </w:p>
    <w:p w14:paraId="1AFD76AD" w14:textId="77777777" w:rsidR="00B052BC" w:rsidRPr="002C394D" w:rsidRDefault="00B052BC" w:rsidP="00B052BC">
      <w:pPr>
        <w:autoSpaceDE w:val="0"/>
        <w:autoSpaceDN w:val="0"/>
        <w:adjustRightInd w:val="0"/>
        <w:spacing w:after="0"/>
        <w:ind w:left="992" w:right="709"/>
        <w:jc w:val="both"/>
        <w:rPr>
          <w:rFonts w:ascii="Verdana" w:hAnsi="Verdana" w:cs="Arial"/>
          <w:sz w:val="20"/>
          <w:szCs w:val="20"/>
          <w:lang w:val="es-ES"/>
        </w:rPr>
      </w:pPr>
      <w:r w:rsidRPr="002C394D">
        <w:rPr>
          <w:rFonts w:ascii="Verdana" w:hAnsi="Verdana" w:cs="Arial"/>
          <w:sz w:val="20"/>
          <w:szCs w:val="20"/>
          <w:lang w:val="es-ES"/>
        </w:rPr>
        <w:t xml:space="preserve">“[…] con base en el contrato de consultoría se pueden contratar los estudios de prefactibilidad o factibilidad para programas o proyectos específicos, los cuales sirven para determinar la viabilidad de un proyecto de inversión; y de paso, las asesorías técnicas que pueden ser </w:t>
      </w:r>
      <w:r w:rsidRPr="002C394D">
        <w:rPr>
          <w:rFonts w:ascii="Verdana" w:hAnsi="Verdana" w:cs="Arial"/>
          <w:sz w:val="20"/>
          <w:szCs w:val="20"/>
          <w:lang w:val="es-ES"/>
        </w:rPr>
        <w:lastRenderedPageBreak/>
        <w:t>utilizadas con el objeto de soportar técnicamente las decisiones de la Administración, y por ello es viable llamar a las ciencias y artes que con sus conocimientos pueden colaborar a llevar a cabo un proyecto y, por ejemplo, la coordinación, control o supervisión del mismo”</w:t>
      </w:r>
      <w:r w:rsidRPr="002C394D">
        <w:rPr>
          <w:rStyle w:val="Refdenotaalpie"/>
          <w:rFonts w:ascii="Verdana" w:hAnsi="Verdana" w:cs="Arial"/>
          <w:sz w:val="20"/>
          <w:szCs w:val="20"/>
        </w:rPr>
        <w:footnoteReference w:id="10"/>
      </w:r>
      <w:r w:rsidRPr="002C394D">
        <w:rPr>
          <w:rFonts w:ascii="Verdana" w:hAnsi="Verdana" w:cs="Arial"/>
          <w:sz w:val="20"/>
          <w:szCs w:val="20"/>
          <w:lang w:val="es-ES"/>
        </w:rPr>
        <w:t>.</w:t>
      </w:r>
    </w:p>
    <w:p w14:paraId="08BE7B54" w14:textId="77777777" w:rsidR="00B052BC" w:rsidRPr="002C394D" w:rsidRDefault="00B052BC" w:rsidP="00B052BC">
      <w:pPr>
        <w:autoSpaceDE w:val="0"/>
        <w:autoSpaceDN w:val="0"/>
        <w:adjustRightInd w:val="0"/>
        <w:spacing w:after="0"/>
        <w:jc w:val="both"/>
        <w:rPr>
          <w:rFonts w:ascii="Verdana" w:hAnsi="Verdana" w:cs="Arial"/>
          <w:lang w:val="es-ES"/>
        </w:rPr>
      </w:pPr>
    </w:p>
    <w:p w14:paraId="0E8E0D00" w14:textId="3F5D9C1F" w:rsidR="00B052BC" w:rsidRPr="007F7944" w:rsidRDefault="00B052BC" w:rsidP="00B052BC">
      <w:pPr>
        <w:pStyle w:val="Prrafodelista"/>
        <w:numPr>
          <w:ilvl w:val="0"/>
          <w:numId w:val="18"/>
        </w:numPr>
        <w:spacing w:after="0" w:line="276" w:lineRule="auto"/>
        <w:jc w:val="both"/>
        <w:rPr>
          <w:rFonts w:ascii="Verdana" w:eastAsia="Calibri" w:hAnsi="Verdana" w:cs="Arial"/>
          <w:bCs/>
          <w:szCs w:val="24"/>
          <w:lang w:eastAsia="es-ES_tradnl"/>
        </w:rPr>
      </w:pPr>
      <w:r>
        <w:rPr>
          <w:rFonts w:ascii="Verdana" w:eastAsia="Calibri" w:hAnsi="Verdana" w:cs="Arial"/>
          <w:szCs w:val="24"/>
          <w:lang w:val="es-ES_tradnl" w:eastAsia="es-ES_tradnl"/>
        </w:rPr>
        <w:t xml:space="preserve">Ahora bien, </w:t>
      </w:r>
      <w:r w:rsidR="00DD5264">
        <w:rPr>
          <w:rFonts w:ascii="Verdana" w:eastAsia="Calibri" w:hAnsi="Verdana" w:cs="Arial"/>
          <w:szCs w:val="24"/>
          <w:lang w:val="es-ES_tradnl" w:eastAsia="es-ES_tradnl"/>
        </w:rPr>
        <w:t>en</w:t>
      </w:r>
      <w:r w:rsidRPr="007F7944">
        <w:rPr>
          <w:rFonts w:ascii="Verdana" w:eastAsia="Calibri" w:hAnsi="Verdana" w:cs="Arial"/>
          <w:szCs w:val="24"/>
          <w:lang w:val="es-ES_tradnl" w:eastAsia="es-ES_tradnl"/>
        </w:rPr>
        <w:t xml:space="preserve"> lo relativo a la determinación de costos indirectos de los contratos estatales de tracto sucesivo, especialmente en los de obra pública, ha hecho carrera la metodología de AIU</w:t>
      </w:r>
      <w:r w:rsidRPr="007F7944">
        <w:rPr>
          <w:rFonts w:ascii="Verdana" w:eastAsia="Calibri" w:hAnsi="Verdana" w:cs="Arial"/>
          <w:bCs/>
          <w:szCs w:val="24"/>
          <w:lang w:val="es-ES_tradnl" w:eastAsia="es-ES_tradnl"/>
        </w:rPr>
        <w:t xml:space="preserve"> acrónimo que integra las variables Administración, Imprevistos y Utilidad, que se calcula como un porcentaje aplicado a los costos directos. </w:t>
      </w:r>
      <w:r w:rsidRPr="007F7944">
        <w:rPr>
          <w:rFonts w:ascii="Verdana" w:eastAsia="Calibri" w:hAnsi="Verdana" w:cs="Arial"/>
          <w:bCs/>
          <w:szCs w:val="24"/>
          <w:lang w:eastAsia="es-ES_tradnl"/>
        </w:rPr>
        <w:t>Al respecto, la doctrina explica que en la estructuración de los precios unitarios se tendrán en cuenta todos los costos directos necesarios para la ejecución del objeto contractual que se multiplicará por al AIU, lo que determina el valor unitario:</w:t>
      </w:r>
    </w:p>
    <w:p w14:paraId="7A957769" w14:textId="77777777" w:rsidR="00B052BC" w:rsidRPr="004715CB" w:rsidRDefault="00B052BC" w:rsidP="00B052BC">
      <w:pPr>
        <w:spacing w:after="0" w:line="276" w:lineRule="auto"/>
        <w:ind w:firstLine="709"/>
        <w:jc w:val="both"/>
        <w:rPr>
          <w:rFonts w:ascii="Century Gothic" w:eastAsia="Calibri" w:hAnsi="Century Gothic" w:cs="Arial"/>
          <w:bCs/>
          <w:szCs w:val="24"/>
          <w:lang w:eastAsia="es-ES_tradnl"/>
        </w:rPr>
      </w:pPr>
    </w:p>
    <w:p w14:paraId="5313031C"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 w:eastAsia="es-ES"/>
        </w:rPr>
      </w:pPr>
      <w:r w:rsidRPr="00167C84">
        <w:rPr>
          <w:rFonts w:ascii="Verdana" w:eastAsia="Calibri" w:hAnsi="Verdana" w:cs="Arial"/>
          <w:sz w:val="20"/>
          <w:szCs w:val="20"/>
          <w:lang w:val="es-ES" w:eastAsia="es-ES"/>
        </w:rPr>
        <w:t>“Cada uno de los valores unitarios resultan de un análisis de los componentes requeridos para su elaboración, estudio que se denomina comúnmente “análisis de precios unitarios”.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 insumos básicos arroja el costo directo que debe cancelar el contratista para la construcción de un metro de muro.</w:t>
      </w:r>
    </w:p>
    <w:p w14:paraId="1B6B2EB4"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p>
    <w:p w14:paraId="79EB6795"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 Dentro del valor unitario, entonces, están incorporados la totalidad de los gastos en los que incurre el contratista y la utilidad que espera recibir”</w:t>
      </w:r>
      <w:r w:rsidRPr="00167C84">
        <w:rPr>
          <w:rFonts w:ascii="Verdana" w:eastAsia="Calibri" w:hAnsi="Verdana" w:cs="Arial"/>
          <w:sz w:val="20"/>
          <w:szCs w:val="20"/>
          <w:vertAlign w:val="superscript"/>
          <w:lang w:val="es-ES_tradnl" w:eastAsia="es-ES_tradnl"/>
        </w:rPr>
        <w:footnoteReference w:id="11"/>
      </w:r>
      <w:r w:rsidRPr="00167C84">
        <w:rPr>
          <w:rFonts w:ascii="Verdana" w:eastAsia="Calibri" w:hAnsi="Verdana" w:cs="Arial"/>
          <w:sz w:val="20"/>
          <w:szCs w:val="20"/>
          <w:lang w:val="es-ES_tradnl" w:eastAsia="es-ES_tradnl"/>
        </w:rPr>
        <w:t xml:space="preserve">. </w:t>
      </w:r>
    </w:p>
    <w:p w14:paraId="56F1C82C" w14:textId="77777777" w:rsidR="00B052BC" w:rsidRDefault="00B052BC" w:rsidP="00B052BC">
      <w:pPr>
        <w:spacing w:after="0" w:line="276" w:lineRule="auto"/>
        <w:ind w:firstLine="708"/>
        <w:jc w:val="both"/>
        <w:rPr>
          <w:rFonts w:ascii="Verdana" w:eastAsia="Calibri" w:hAnsi="Verdana" w:cs="Arial"/>
          <w:bCs/>
          <w:szCs w:val="24"/>
          <w:lang w:val="es-ES_tradnl" w:eastAsia="es-ES_tradnl"/>
        </w:rPr>
      </w:pPr>
    </w:p>
    <w:p w14:paraId="1499225E" w14:textId="77777777" w:rsidR="00B052BC" w:rsidRPr="00167C84" w:rsidRDefault="00B052BC" w:rsidP="00B052BC">
      <w:pPr>
        <w:spacing w:after="0" w:line="276" w:lineRule="auto"/>
        <w:ind w:firstLine="709"/>
        <w:jc w:val="both"/>
        <w:rPr>
          <w:rFonts w:ascii="Verdana" w:eastAsia="Calibri" w:hAnsi="Verdana" w:cs="Arial"/>
          <w:szCs w:val="24"/>
          <w:lang w:val="es-ES_tradnl" w:eastAsia="es-ES_tradnl"/>
        </w:rPr>
      </w:pPr>
      <w:r w:rsidRPr="00167C84">
        <w:rPr>
          <w:rFonts w:ascii="Verdana" w:eastAsia="Calibri" w:hAnsi="Verdana" w:cs="Arial"/>
          <w:szCs w:val="24"/>
          <w:lang w:val="es-ES_tradnl" w:eastAsia="es-ES_tradnl"/>
        </w:rPr>
        <w:t xml:space="preserve">Por su parte, de acuerdo con la Sección Tercera del Consejo de Estado, el AIU, concepto de común utilización en los contratos de tracto sucesivo –entre </w:t>
      </w:r>
      <w:r w:rsidRPr="00167C84">
        <w:rPr>
          <w:rFonts w:ascii="Verdana" w:eastAsia="Calibri" w:hAnsi="Verdana" w:cs="Arial"/>
          <w:szCs w:val="24"/>
          <w:lang w:val="es-ES_tradnl" w:eastAsia="es-ES_tradnl"/>
        </w:rPr>
        <w:lastRenderedPageBreak/>
        <w:t xml:space="preserve">ellos, los contratos de obra– no cuenta con una definición normativa, pero hay elementos que permiten precisar su alcance, así: </w:t>
      </w:r>
    </w:p>
    <w:p w14:paraId="51C83695" w14:textId="77777777" w:rsidR="00B052BC" w:rsidRPr="004715CB" w:rsidRDefault="00B052BC" w:rsidP="00B052BC">
      <w:pPr>
        <w:spacing w:after="0" w:line="276" w:lineRule="auto"/>
        <w:ind w:firstLine="709"/>
        <w:jc w:val="both"/>
        <w:rPr>
          <w:rFonts w:ascii="Century Gothic" w:eastAsia="Calibri" w:hAnsi="Century Gothic" w:cs="Arial"/>
          <w:szCs w:val="24"/>
          <w:lang w:val="es-ES_tradnl" w:eastAsia="es-ES_tradnl"/>
        </w:rPr>
      </w:pPr>
    </w:p>
    <w:p w14:paraId="08E2C215"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 xml:space="preserve">“[…] el AIU propuesto para el contrato, corresponde a: </w:t>
      </w:r>
    </w:p>
    <w:p w14:paraId="7E3C4BD5"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p>
    <w:p w14:paraId="6A363106"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 xml:space="preserve">i) los costos de administración o costos indirectos para la operación del contrato, tales como los gastos de disponibilidad de la organización del contratista, esto es: A; </w:t>
      </w:r>
    </w:p>
    <w:p w14:paraId="3C039CC1"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p>
    <w:p w14:paraId="71A16F54"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 w:eastAsia="es-ES"/>
        </w:rPr>
      </w:pPr>
      <w:proofErr w:type="spellStart"/>
      <w:r w:rsidRPr="00167C84">
        <w:rPr>
          <w:rFonts w:ascii="Verdana" w:eastAsia="Calibri" w:hAnsi="Verdana" w:cs="Arial"/>
          <w:sz w:val="20"/>
          <w:szCs w:val="20"/>
          <w:lang w:val="es-ES" w:eastAsia="es-ES"/>
        </w:rPr>
        <w:t>ii</w:t>
      </w:r>
      <w:proofErr w:type="spellEnd"/>
      <w:r w:rsidRPr="00167C84">
        <w:rPr>
          <w:rFonts w:ascii="Verdana" w:eastAsia="Calibri" w:hAnsi="Verdana" w:cs="Arial"/>
          <w:sz w:val="20"/>
          <w:szCs w:val="20"/>
          <w:lang w:val="es-ES" w:eastAsia="es-ES"/>
        </w:rPr>
        <w:t xml:space="preserve">) los imprevistos, que es el porcentaje destinado a cubrir los gastos con los que no se contaba y que se presenten durante la ejecución del contrato, esto es, el </w:t>
      </w:r>
      <w:proofErr w:type="spellStart"/>
      <w:r w:rsidRPr="00167C84">
        <w:rPr>
          <w:rFonts w:ascii="Verdana" w:eastAsia="Calibri" w:hAnsi="Verdana" w:cs="Arial"/>
          <w:sz w:val="20"/>
          <w:szCs w:val="20"/>
          <w:lang w:val="es-ES" w:eastAsia="es-ES"/>
        </w:rPr>
        <w:t>álea</w:t>
      </w:r>
      <w:proofErr w:type="spellEnd"/>
      <w:r w:rsidRPr="00167C84">
        <w:rPr>
          <w:rFonts w:ascii="Verdana" w:eastAsia="Calibri" w:hAnsi="Verdana" w:cs="Arial"/>
          <w:sz w:val="20"/>
          <w:szCs w:val="20"/>
          <w:lang w:val="es-ES" w:eastAsia="es-ES"/>
        </w:rPr>
        <w:t xml:space="preserve"> normal del contrato: I; </w:t>
      </w:r>
    </w:p>
    <w:p w14:paraId="5938D3D6"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p>
    <w:p w14:paraId="7423AF5A"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 w:eastAsia="es-ES"/>
        </w:rPr>
      </w:pPr>
      <w:proofErr w:type="spellStart"/>
      <w:r w:rsidRPr="00167C84">
        <w:rPr>
          <w:rFonts w:ascii="Verdana" w:eastAsia="Calibri" w:hAnsi="Verdana" w:cs="Arial"/>
          <w:sz w:val="20"/>
          <w:szCs w:val="20"/>
          <w:lang w:val="es-ES" w:eastAsia="es-ES"/>
        </w:rPr>
        <w:t>iii</w:t>
      </w:r>
      <w:proofErr w:type="spellEnd"/>
      <w:r w:rsidRPr="00167C84">
        <w:rPr>
          <w:rFonts w:ascii="Verdana" w:eastAsia="Calibri" w:hAnsi="Verdana" w:cs="Arial"/>
          <w:sz w:val="20"/>
          <w:szCs w:val="20"/>
          <w:lang w:val="es-ES" w:eastAsia="es-ES"/>
        </w:rPr>
        <w:t xml:space="preserve">) la utilidad o el beneficio económico que pretende percibir el contratista por la ejecución del contrato, esto es: U. </w:t>
      </w:r>
    </w:p>
    <w:p w14:paraId="180AFE24"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p>
    <w:p w14:paraId="78C47B06" w14:textId="77777777" w:rsidR="00B052BC" w:rsidRPr="00167C84" w:rsidRDefault="00B052BC" w:rsidP="00B052BC">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167C84">
        <w:rPr>
          <w:rFonts w:ascii="Verdana" w:eastAsia="Calibri" w:hAnsi="Verdana" w:cs="Arial"/>
          <w:sz w:val="20"/>
          <w:szCs w:val="20"/>
          <w:vertAlign w:val="superscript"/>
          <w:lang w:val="es-ES_tradnl" w:eastAsia="es-ES_tradnl"/>
        </w:rPr>
        <w:footnoteReference w:id="12"/>
      </w:r>
      <w:r w:rsidRPr="00167C84">
        <w:rPr>
          <w:rFonts w:ascii="Verdana" w:eastAsia="Calibri" w:hAnsi="Verdana" w:cs="Arial"/>
          <w:sz w:val="20"/>
          <w:szCs w:val="20"/>
          <w:lang w:val="es-ES_tradnl" w:eastAsia="es-ES_tradnl"/>
        </w:rPr>
        <w:t>.</w:t>
      </w:r>
    </w:p>
    <w:p w14:paraId="24B08E1E" w14:textId="77777777" w:rsidR="00B052BC" w:rsidRPr="004715CB" w:rsidRDefault="00B052BC" w:rsidP="00B052BC">
      <w:pPr>
        <w:tabs>
          <w:tab w:val="left" w:pos="709"/>
        </w:tabs>
        <w:spacing w:after="0" w:line="240" w:lineRule="auto"/>
        <w:ind w:left="709" w:right="760"/>
        <w:jc w:val="both"/>
        <w:rPr>
          <w:rFonts w:ascii="Century Gothic" w:eastAsia="Calibri" w:hAnsi="Century Gothic" w:cs="Arial"/>
          <w:szCs w:val="24"/>
          <w:lang w:val="es-ES_tradnl" w:eastAsia="es-ES_tradnl"/>
        </w:rPr>
      </w:pPr>
    </w:p>
    <w:p w14:paraId="2448CEF8" w14:textId="77777777" w:rsidR="00B052BC" w:rsidRDefault="00B052BC" w:rsidP="00B052BC">
      <w:pPr>
        <w:pStyle w:val="Prrafodelista"/>
        <w:numPr>
          <w:ilvl w:val="0"/>
          <w:numId w:val="18"/>
        </w:numPr>
        <w:spacing w:after="120" w:line="276" w:lineRule="auto"/>
        <w:jc w:val="both"/>
        <w:rPr>
          <w:rFonts w:ascii="Verdana" w:eastAsia="Calibri" w:hAnsi="Verdana" w:cs="Arial"/>
          <w:lang w:eastAsia="es-ES"/>
        </w:rPr>
      </w:pPr>
      <w:r w:rsidRPr="007F7944">
        <w:rPr>
          <w:rFonts w:ascii="Verdana" w:eastAsia="Calibri" w:hAnsi="Verdana" w:cs="Arial"/>
          <w:lang w:eastAsia="es-ES"/>
        </w:rPr>
        <w:t>A su turno, la Sala de Consulta y Servicio Civil del Consejo de Estado sostuvo en concepto del 5 de septiembre de 2018</w:t>
      </w:r>
      <w:r w:rsidRPr="00167C84">
        <w:rPr>
          <w:szCs w:val="24"/>
          <w:vertAlign w:val="superscript"/>
          <w:lang w:val="es-ES_tradnl" w:eastAsia="es-ES_tradnl"/>
        </w:rPr>
        <w:footnoteReference w:id="13"/>
      </w:r>
      <w:r w:rsidRPr="007F7944">
        <w:rPr>
          <w:rFonts w:ascii="Verdana" w:eastAsia="Calibri" w:hAnsi="Verdana" w:cs="Arial"/>
          <w:lang w:eastAsia="es-ES"/>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sidRPr="007F7944">
        <w:rPr>
          <w:rFonts w:ascii="Verdana" w:eastAsia="Calibri" w:hAnsi="Verdana" w:cs="Arial"/>
          <w:lang w:eastAsia="es-ES"/>
        </w:rPr>
        <w:t>la misma</w:t>
      </w:r>
      <w:proofErr w:type="gramEnd"/>
      <w:r w:rsidRPr="00167C84">
        <w:rPr>
          <w:szCs w:val="24"/>
          <w:vertAlign w:val="superscript"/>
          <w:lang w:val="es-ES_tradnl" w:eastAsia="es-ES_tradnl"/>
        </w:rPr>
        <w:footnoteReference w:id="14"/>
      </w:r>
      <w:r w:rsidRPr="007F7944">
        <w:rPr>
          <w:rFonts w:ascii="Verdana" w:eastAsia="Calibri" w:hAnsi="Verdana" w:cs="Arial"/>
          <w:lang w:eastAsia="es-ES"/>
        </w:rPr>
        <w:t>, sin perjuicio que en otros contratos este valor no aparezca discriminado y se incorpore en el valor de los precios unitarios”</w:t>
      </w:r>
      <w:r w:rsidRPr="00167C84">
        <w:rPr>
          <w:szCs w:val="24"/>
          <w:vertAlign w:val="superscript"/>
          <w:lang w:val="es-ES_tradnl" w:eastAsia="es-ES_tradnl"/>
        </w:rPr>
        <w:footnoteReference w:id="15"/>
      </w:r>
      <w:r w:rsidRPr="007F7944">
        <w:rPr>
          <w:rFonts w:ascii="Verdana" w:eastAsia="Calibri" w:hAnsi="Verdana" w:cs="Arial"/>
          <w:lang w:eastAsia="es-ES"/>
        </w:rPr>
        <w:t xml:space="preserve">. </w:t>
      </w:r>
    </w:p>
    <w:p w14:paraId="1838D12B" w14:textId="77777777" w:rsidR="00B052BC" w:rsidRPr="007F7944" w:rsidRDefault="00B052BC" w:rsidP="00B052BC">
      <w:pPr>
        <w:pStyle w:val="Prrafodelista"/>
        <w:spacing w:after="120" w:line="276" w:lineRule="auto"/>
        <w:jc w:val="both"/>
        <w:rPr>
          <w:rFonts w:ascii="Verdana" w:eastAsia="Calibri" w:hAnsi="Verdana" w:cs="Arial"/>
          <w:lang w:eastAsia="es-ES"/>
        </w:rPr>
      </w:pPr>
    </w:p>
    <w:p w14:paraId="0BA88D8C" w14:textId="4E9C55FF" w:rsidR="00B052BC" w:rsidRPr="007F7944" w:rsidRDefault="001234E1" w:rsidP="00ED5BE1">
      <w:pPr>
        <w:pStyle w:val="Prrafodelista"/>
        <w:numPr>
          <w:ilvl w:val="0"/>
          <w:numId w:val="18"/>
        </w:numPr>
        <w:spacing w:after="120" w:line="276" w:lineRule="auto"/>
        <w:jc w:val="both"/>
        <w:rPr>
          <w:rFonts w:ascii="Verdana" w:eastAsia="Calibri" w:hAnsi="Verdana" w:cs="Arial"/>
        </w:rPr>
      </w:pPr>
      <w:r>
        <w:rPr>
          <w:rFonts w:ascii="Verdana" w:hAnsi="Verdana" w:cs="Arial"/>
          <w:lang w:val="es-ES_tradnl"/>
        </w:rPr>
        <w:t>Ahora bien</w:t>
      </w:r>
      <w:r w:rsidR="00B052BC" w:rsidRPr="007F7944">
        <w:rPr>
          <w:rFonts w:ascii="Verdana" w:hAnsi="Verdana" w:cs="Arial"/>
          <w:lang w:val="es-ES_tradnl"/>
        </w:rPr>
        <w:t>, para la determinación de los costos indirectos de los contratos de consultoría y la presentación de ofertas en procesos de concurso de méritos es común y aceptada la utilización del mecanismo del factor multiplicador</w:t>
      </w:r>
      <w:r w:rsidR="00B052BC" w:rsidRPr="007F7944">
        <w:rPr>
          <w:rFonts w:ascii="Verdana" w:hAnsi="Verdana" w:cs="Arial"/>
        </w:rPr>
        <w:t>. Esta metodología al igual que el AIU no se encuentra hoy día regulada en el ordenamiento jurídico</w:t>
      </w:r>
      <w:r>
        <w:rPr>
          <w:rFonts w:ascii="Verdana" w:hAnsi="Verdana" w:cs="Arial"/>
        </w:rPr>
        <w:t>.</w:t>
      </w:r>
      <w:r w:rsidR="00B052BC" w:rsidRPr="007F7944">
        <w:rPr>
          <w:rFonts w:ascii="Verdana" w:hAnsi="Verdana" w:cs="Arial"/>
        </w:rPr>
        <w:t xml:space="preserve"> </w:t>
      </w:r>
    </w:p>
    <w:p w14:paraId="5C4AF5A5" w14:textId="77777777" w:rsidR="00B052BC" w:rsidRPr="007F7944" w:rsidRDefault="00B052BC" w:rsidP="00B052BC">
      <w:pPr>
        <w:pStyle w:val="Prrafodelista"/>
        <w:numPr>
          <w:ilvl w:val="0"/>
          <w:numId w:val="18"/>
        </w:numPr>
        <w:spacing w:after="120" w:line="276" w:lineRule="auto"/>
        <w:jc w:val="both"/>
        <w:rPr>
          <w:rFonts w:ascii="Verdana" w:hAnsi="Verdana" w:cs="Arial"/>
        </w:rPr>
      </w:pPr>
      <w:r w:rsidRPr="007F7944">
        <w:rPr>
          <w:rFonts w:ascii="Verdana" w:hAnsi="Verdana" w:cs="Arial"/>
        </w:rPr>
        <w:t>De esta manera, el factor multiplicador es una metodología permite imputar al contrato los costos directos asociados a prestaciones laborales y sociales del personal vinculado con carácter exclusivo al proyecto, la utilidad del ingeniero y los costos de administración asociados al personal, afectando el valor parcial de la oferta por un factor multiplicador</w:t>
      </w:r>
      <w:r w:rsidRPr="00167C84">
        <w:rPr>
          <w:rStyle w:val="Refdenotaalpie"/>
          <w:rFonts w:ascii="Verdana" w:hAnsi="Verdana" w:cs="Arial"/>
        </w:rPr>
        <w:footnoteReference w:id="16"/>
      </w:r>
      <w:r w:rsidRPr="007F7944">
        <w:rPr>
          <w:rFonts w:ascii="Verdana" w:hAnsi="Verdana" w:cs="Arial"/>
        </w:rPr>
        <w:t xml:space="preserve">.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w:t>
      </w:r>
      <w:proofErr w:type="spellStart"/>
      <w:r w:rsidRPr="007F7944">
        <w:rPr>
          <w:rFonts w:ascii="Verdana" w:hAnsi="Verdana" w:cs="Arial"/>
        </w:rPr>
        <w:t>etc</w:t>
      </w:r>
      <w:proofErr w:type="spellEnd"/>
      <w:r w:rsidRPr="007F7944">
        <w:rPr>
          <w:rFonts w:ascii="Verdana" w:hAnsi="Verdana" w:cs="Arial"/>
        </w:rPr>
        <w:t xml:space="preserve">, cuya discriminación se exige de manera separada de los costos de personal, para ser sumados al valor resultante la aplicación del factor multiplicador. </w:t>
      </w:r>
    </w:p>
    <w:p w14:paraId="42BEA737" w14:textId="77777777" w:rsidR="00B052BC" w:rsidRPr="007F7944" w:rsidRDefault="00B052BC" w:rsidP="00B052BC">
      <w:pPr>
        <w:pStyle w:val="Prrafodelista"/>
        <w:numPr>
          <w:ilvl w:val="0"/>
          <w:numId w:val="18"/>
        </w:numPr>
        <w:spacing w:after="120" w:line="276" w:lineRule="auto"/>
        <w:jc w:val="both"/>
        <w:rPr>
          <w:rFonts w:ascii="Verdana" w:hAnsi="Verdana" w:cs="Arial"/>
        </w:rPr>
      </w:pPr>
      <w:r w:rsidRPr="007F7944">
        <w:rPr>
          <w:rFonts w:ascii="Verdana" w:hAnsi="Verdana" w:cs="Arial"/>
        </w:rPr>
        <w:t xml:space="preserve">Es importante indicar que, en la medida en que ni el AIU, ni el factor multiplicar se aplican en virtud de una normativa en particular, sino en atención a la discrecionalidad de las Entidades Estatales para establecer el valor y forma de pago de los contratos que celebran, así como de la autonomía de los proponentes para presentar sus ofertas en el marco de Procesos de Contratación, su aplicación no está limitada a un tipo contractual en específico o a sistema para la determinación del precio. Sin embargo, para responder a su consulta es preciso indicar que, de acuerdo con lo hasta ahora explicado, el factor multiplicador solo suele incluir los costos directos e indirectos asociados al personal, más no incluye los otros </w:t>
      </w:r>
      <w:r w:rsidRPr="007F7944">
        <w:rPr>
          <w:rFonts w:ascii="Verdana" w:hAnsi="Verdana" w:cs="Arial"/>
        </w:rPr>
        <w:lastRenderedPageBreak/>
        <w:t>costos directos en los que puede incurrir el contratista –</w:t>
      </w:r>
      <w:r w:rsidRPr="007F7944">
        <w:rPr>
          <w:rFonts w:ascii="Verdana" w:hAnsi="Verdana" w:cs="Arial"/>
          <w:i/>
          <w:iCs/>
        </w:rPr>
        <w:t>v.g.</w:t>
      </w:r>
      <w:r w:rsidRPr="007F7944">
        <w:rPr>
          <w:rFonts w:ascii="Verdana" w:hAnsi="Verdana" w:cs="Arial"/>
        </w:rPr>
        <w:t xml:space="preserve"> insumos requeridos para la ejecución del contrato, transporte, acarreos, alquiler de equipos, etc.–, así como tampoco incluye los costos indirectos diferentes a los del personal, los cuales también podrían presentarse de acuerdo con el objeto del contrato, por lo que deben incorporarse en el valor del contrato y en las propuestas económicas de manera separada a los costos de personal afectados por el factor multiplicador, ya sea mediante el sistema de precios unitarios o mediante partidas globales adicionales a las referentes al factor multiplicador.</w:t>
      </w:r>
    </w:p>
    <w:p w14:paraId="2721AE84" w14:textId="77777777" w:rsidR="00B052BC" w:rsidRPr="007F7944" w:rsidRDefault="00B052BC" w:rsidP="00B052BC">
      <w:pPr>
        <w:pStyle w:val="Prrafodelista"/>
        <w:spacing w:line="276" w:lineRule="auto"/>
        <w:jc w:val="both"/>
        <w:rPr>
          <w:rFonts w:ascii="Verdana" w:hAnsi="Verdana" w:cs="Arial"/>
          <w:color w:val="000000" w:themeColor="text1"/>
          <w:lang w:val="es-CO"/>
        </w:rPr>
      </w:pPr>
    </w:p>
    <w:p w14:paraId="5230C702" w14:textId="77777777" w:rsidR="00B052BC" w:rsidRPr="007F7944" w:rsidRDefault="00B052BC" w:rsidP="00B052BC">
      <w:pPr>
        <w:pStyle w:val="Prrafodelista"/>
        <w:numPr>
          <w:ilvl w:val="0"/>
          <w:numId w:val="18"/>
        </w:numPr>
        <w:spacing w:line="276" w:lineRule="auto"/>
        <w:jc w:val="both"/>
        <w:rPr>
          <w:rFonts w:ascii="Verdana" w:hAnsi="Verdana" w:cs="Arial"/>
          <w:color w:val="000000" w:themeColor="text1"/>
          <w:lang w:val="es-ES_tradnl"/>
        </w:rPr>
      </w:pPr>
      <w:r w:rsidRPr="007F7944">
        <w:rPr>
          <w:rFonts w:ascii="Verdana" w:eastAsia="Calibri" w:hAnsi="Verdana" w:cs="Arial"/>
          <w:bCs/>
          <w:lang w:val="es-ES_tradnl"/>
        </w:rPr>
        <w:t xml:space="preserve">Ahora bien, definidas las anteriores definiciones y argumentos, referente a la aplicabilidad de los precios artificialmente bajos en los procesos de selección por Concurso de Méritos, se trae a colación lo referente al </w:t>
      </w:r>
      <w:bookmarkStart w:id="3" w:name="_Hlk184214781"/>
      <w:r w:rsidRPr="007F7944">
        <w:rPr>
          <w:rFonts w:ascii="Verdana" w:eastAsia="Calibri" w:hAnsi="Verdana" w:cs="Arial"/>
          <w:bCs/>
          <w:lang w:val="es-ES_tradnl"/>
        </w:rPr>
        <w:t xml:space="preserve">numeral 4° del </w:t>
      </w:r>
      <w:proofErr w:type="spellStart"/>
      <w:r w:rsidRPr="007F7944">
        <w:rPr>
          <w:rFonts w:ascii="Verdana" w:eastAsia="Calibri" w:hAnsi="Verdana" w:cs="Arial"/>
          <w:bCs/>
          <w:lang w:val="es-ES_tradnl"/>
        </w:rPr>
        <w:t>articulo</w:t>
      </w:r>
      <w:proofErr w:type="spellEnd"/>
      <w:r w:rsidRPr="007F7944">
        <w:rPr>
          <w:rFonts w:ascii="Verdana" w:eastAsia="Calibri" w:hAnsi="Verdana" w:cs="Arial"/>
          <w:bCs/>
          <w:lang w:val="es-ES_tradnl"/>
        </w:rPr>
        <w:t xml:space="preserve"> 5 de la ley 1150 de 2007</w:t>
      </w:r>
      <w:bookmarkEnd w:id="3"/>
      <w:r w:rsidRPr="007F7944">
        <w:rPr>
          <w:rFonts w:ascii="Verdana" w:eastAsia="Calibri" w:hAnsi="Verdana" w:cs="Arial"/>
          <w:bCs/>
          <w:lang w:val="es-ES_tradnl"/>
        </w:rPr>
        <w:t xml:space="preserve">, que dispone: </w:t>
      </w:r>
    </w:p>
    <w:p w14:paraId="344F7563" w14:textId="77777777" w:rsidR="00B052BC" w:rsidRPr="0073757D" w:rsidRDefault="00B052BC" w:rsidP="00B052BC">
      <w:pPr>
        <w:pStyle w:val="Prrafodelista"/>
        <w:ind w:left="709" w:right="709"/>
        <w:rPr>
          <w:rFonts w:ascii="Verdana" w:hAnsi="Verdana" w:cs="Arial"/>
          <w:color w:val="000000" w:themeColor="text1"/>
          <w:lang w:val="es-ES_tradnl"/>
        </w:rPr>
      </w:pPr>
    </w:p>
    <w:p w14:paraId="675732C0" w14:textId="77777777" w:rsidR="00B052BC" w:rsidRPr="0073757D" w:rsidRDefault="00B052BC" w:rsidP="00B052BC">
      <w:pPr>
        <w:spacing w:after="0" w:line="240" w:lineRule="auto"/>
        <w:ind w:left="709" w:right="709"/>
        <w:jc w:val="both"/>
        <w:rPr>
          <w:rFonts w:ascii="Verdana" w:hAnsi="Verdana" w:cs="Arial"/>
          <w:i/>
          <w:iCs/>
          <w:color w:val="000000" w:themeColor="text1"/>
          <w:sz w:val="21"/>
          <w:szCs w:val="21"/>
        </w:rPr>
      </w:pPr>
      <w:r w:rsidRPr="0073757D">
        <w:rPr>
          <w:rFonts w:ascii="Verdana" w:hAnsi="Verdana" w:cs="Arial"/>
          <w:i/>
          <w:iCs/>
          <w:color w:val="000000" w:themeColor="text1"/>
          <w:sz w:val="21"/>
          <w:szCs w:val="21"/>
        </w:rPr>
        <w:t>“[…] Artículo 5</w:t>
      </w:r>
      <w:proofErr w:type="gramStart"/>
      <w:r w:rsidRPr="0073757D">
        <w:rPr>
          <w:rFonts w:ascii="Verdana" w:hAnsi="Verdana" w:cs="Arial"/>
          <w:i/>
          <w:iCs/>
          <w:color w:val="000000" w:themeColor="text1"/>
          <w:sz w:val="21"/>
          <w:szCs w:val="21"/>
        </w:rPr>
        <w:t>°.De</w:t>
      </w:r>
      <w:proofErr w:type="gramEnd"/>
      <w:r w:rsidRPr="0073757D">
        <w:rPr>
          <w:rFonts w:ascii="Verdana" w:hAnsi="Verdana" w:cs="Arial"/>
          <w:i/>
          <w:iCs/>
          <w:color w:val="000000" w:themeColor="text1"/>
          <w:sz w:val="21"/>
          <w:szCs w:val="21"/>
        </w:rPr>
        <w:t xml:space="preserv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1742DD26" w14:textId="77777777" w:rsidR="00B052BC" w:rsidRPr="0073757D" w:rsidRDefault="00B052BC" w:rsidP="00B052BC">
      <w:pPr>
        <w:spacing w:after="0" w:line="240" w:lineRule="auto"/>
        <w:ind w:left="709" w:right="709"/>
        <w:jc w:val="both"/>
        <w:rPr>
          <w:rFonts w:ascii="Verdana" w:hAnsi="Verdana" w:cs="Arial"/>
          <w:i/>
          <w:iCs/>
          <w:color w:val="000000" w:themeColor="text1"/>
          <w:sz w:val="21"/>
          <w:szCs w:val="21"/>
        </w:rPr>
      </w:pPr>
    </w:p>
    <w:p w14:paraId="7B2AB5C5" w14:textId="77777777" w:rsidR="00B052BC" w:rsidRPr="0073757D" w:rsidRDefault="00B052BC" w:rsidP="00B052BC">
      <w:pPr>
        <w:spacing w:after="0" w:line="240" w:lineRule="auto"/>
        <w:ind w:left="709" w:right="709"/>
        <w:jc w:val="both"/>
        <w:rPr>
          <w:rFonts w:ascii="Verdana" w:hAnsi="Verdana" w:cs="Arial"/>
          <w:i/>
          <w:iCs/>
          <w:color w:val="000000" w:themeColor="text1"/>
          <w:sz w:val="21"/>
          <w:szCs w:val="21"/>
        </w:rPr>
      </w:pPr>
      <w:r w:rsidRPr="0073757D">
        <w:rPr>
          <w:rFonts w:ascii="Verdana" w:hAnsi="Verdana" w:cs="Arial"/>
          <w:i/>
          <w:iCs/>
          <w:color w:val="000000" w:themeColor="text1"/>
          <w:sz w:val="21"/>
          <w:szCs w:val="21"/>
        </w:rPr>
        <w:t>“[…] 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308C44E6" w14:textId="77777777" w:rsidR="00B052BC" w:rsidRPr="0073757D" w:rsidRDefault="00B052BC" w:rsidP="00B052BC">
      <w:pPr>
        <w:spacing w:after="0" w:line="240" w:lineRule="auto"/>
        <w:ind w:left="709" w:right="709"/>
        <w:jc w:val="both"/>
        <w:rPr>
          <w:rFonts w:ascii="Verdana" w:hAnsi="Verdana" w:cs="Arial"/>
          <w:i/>
          <w:iCs/>
          <w:color w:val="000000" w:themeColor="text1"/>
          <w:sz w:val="21"/>
          <w:szCs w:val="21"/>
        </w:rPr>
      </w:pPr>
      <w:r w:rsidRPr="0073757D">
        <w:rPr>
          <w:rFonts w:ascii="Verdana" w:hAnsi="Verdana" w:cs="Arial"/>
          <w:i/>
          <w:iCs/>
          <w:color w:val="000000" w:themeColor="text1"/>
          <w:sz w:val="21"/>
          <w:szCs w:val="21"/>
        </w:rPr>
        <w:t> </w:t>
      </w:r>
    </w:p>
    <w:p w14:paraId="103BE8A0" w14:textId="77777777" w:rsidR="00B052BC" w:rsidRPr="0073757D" w:rsidRDefault="00B052BC" w:rsidP="00B052BC">
      <w:pPr>
        <w:spacing w:after="0" w:line="240" w:lineRule="auto"/>
        <w:ind w:left="709" w:right="709"/>
        <w:jc w:val="both"/>
        <w:rPr>
          <w:rFonts w:ascii="Verdana" w:hAnsi="Verdana" w:cs="Arial"/>
          <w:b/>
          <w:bCs/>
          <w:i/>
          <w:iCs/>
          <w:color w:val="000000" w:themeColor="text1"/>
          <w:sz w:val="21"/>
          <w:szCs w:val="21"/>
          <w:u w:val="single"/>
        </w:rPr>
      </w:pPr>
      <w:r w:rsidRPr="0073757D">
        <w:rPr>
          <w:rFonts w:ascii="Verdana" w:hAnsi="Verdana" w:cs="Arial"/>
          <w:b/>
          <w:bCs/>
          <w:i/>
          <w:iCs/>
          <w:color w:val="000000" w:themeColor="text1"/>
          <w:sz w:val="21"/>
          <w:szCs w:val="21"/>
          <w:u w:val="single"/>
        </w:rPr>
        <w:t>En ningún caso se podrá incluir el precio, como factor de escogencia para la selección de consultores. </w:t>
      </w:r>
      <w:r>
        <w:rPr>
          <w:rFonts w:ascii="Verdana" w:hAnsi="Verdana" w:cs="Arial"/>
          <w:b/>
          <w:bCs/>
          <w:i/>
          <w:iCs/>
          <w:color w:val="000000" w:themeColor="text1"/>
          <w:sz w:val="21"/>
          <w:szCs w:val="21"/>
          <w:u w:val="single"/>
        </w:rPr>
        <w:t xml:space="preserve"> </w:t>
      </w:r>
      <w:r w:rsidRPr="0073757D">
        <w:rPr>
          <w:rFonts w:ascii="Verdana" w:hAnsi="Verdana" w:cs="Arial"/>
          <w:i/>
          <w:iCs/>
          <w:color w:val="000000" w:themeColor="text1"/>
          <w:sz w:val="21"/>
          <w:szCs w:val="21"/>
        </w:rPr>
        <w:t>[…]”</w:t>
      </w:r>
    </w:p>
    <w:p w14:paraId="6557F706" w14:textId="77777777" w:rsidR="00B052BC" w:rsidRDefault="00B052BC" w:rsidP="00B052BC">
      <w:pPr>
        <w:spacing w:line="276" w:lineRule="auto"/>
        <w:ind w:left="709" w:right="709"/>
        <w:jc w:val="both"/>
        <w:rPr>
          <w:rFonts w:ascii="Verdana" w:hAnsi="Verdana" w:cs="Arial"/>
          <w:color w:val="000000" w:themeColor="text1"/>
          <w:lang w:val="es-ES_tradnl"/>
        </w:rPr>
      </w:pPr>
    </w:p>
    <w:p w14:paraId="0D8B1F74" w14:textId="77777777" w:rsidR="00DB5C38" w:rsidRPr="00ED5BE1" w:rsidRDefault="00DB5C38" w:rsidP="00DB5C38">
      <w:pPr>
        <w:spacing w:line="276" w:lineRule="auto"/>
        <w:ind w:right="709"/>
        <w:jc w:val="both"/>
        <w:rPr>
          <w:rFonts w:ascii="Verdana" w:hAnsi="Verdana" w:cs="Arial"/>
          <w:lang w:val="es-ES_tradnl"/>
        </w:rPr>
      </w:pPr>
      <w:r w:rsidRPr="00ED5BE1">
        <w:rPr>
          <w:rFonts w:ascii="Verdana" w:eastAsia="Calibri" w:hAnsi="Verdana" w:cs="Arial"/>
          <w:bCs/>
          <w:lang w:val="es-ES_tradnl"/>
        </w:rPr>
        <w:t xml:space="preserve">En conclusión, de la norma anteriormente mencionada, si bien la entidad en uso de su discrecionalidad podría requerir al oferente cuando detecte que su oferta económica podría incurrir en artificialidad en el precio, la misma no podrá calificarse como factor de escogencia en la selección del consultor porque no aplica como criterio. </w:t>
      </w:r>
    </w:p>
    <w:p w14:paraId="2D4250C0" w14:textId="77777777" w:rsidR="00DB5C38" w:rsidRPr="00ED5BE1" w:rsidRDefault="00DB5C38" w:rsidP="00DB5C38">
      <w:pPr>
        <w:spacing w:after="120" w:line="276" w:lineRule="auto"/>
        <w:jc w:val="both"/>
        <w:rPr>
          <w:rFonts w:ascii="Verdana" w:eastAsia="Arial MT" w:hAnsi="Verdana" w:cs="Arial"/>
          <w:lang w:eastAsia="es-ES" w:bidi="es-ES"/>
        </w:rPr>
      </w:pPr>
      <w:r w:rsidRPr="00ED5BE1">
        <w:rPr>
          <w:rFonts w:ascii="Verdana" w:eastAsia="Arial MT" w:hAnsi="Verdana" w:cs="Arial"/>
          <w:lang w:eastAsia="es-ES" w:bidi="es-ES"/>
        </w:rPr>
        <w:lastRenderedPageBreak/>
        <w:t>Si en las ofertas la entidad determina que una oferta económica podría estar basada en una artificiosidad en el precio, podría solicitar al oferente que exponga sus argumentos. Esto con el fin de tomar las decisiones contractuales pertinentes y salvaguardar sus intereses, ante la posible alteración de la ecuación económica del contrato durante su ejecución.</w:t>
      </w:r>
    </w:p>
    <w:p w14:paraId="6420A4A6" w14:textId="77777777" w:rsidR="00DB5C38" w:rsidRPr="00ED5BE1" w:rsidRDefault="00DB5C38" w:rsidP="00DB5C38">
      <w:pPr>
        <w:spacing w:after="0" w:line="276" w:lineRule="auto"/>
        <w:ind w:firstLine="708"/>
        <w:jc w:val="both"/>
        <w:rPr>
          <w:rFonts w:ascii="Verdana" w:hAnsi="Verdana"/>
          <w:lang w:val="es-ES"/>
        </w:rPr>
      </w:pPr>
      <w:r w:rsidRPr="00ED5BE1">
        <w:rPr>
          <w:rFonts w:ascii="Verdana" w:eastAsia="Arial MT" w:hAnsi="Verdana" w:cs="Arial"/>
          <w:lang w:eastAsia="es-ES" w:bidi="es-ES"/>
        </w:rPr>
        <w:t>Por último, en los contratos de interventoría, al revisarse la contraprestación por honorarios pactados en la oferta, relacionados con los costos directos e indirectos, no sería lógico asociarlos con el fenómeno de precios artificialmente bajos. Por el contrario, como se mencionó, si la entidad llegara a determinar que la oferta contiene precios bajos, podría solicitar una aclaración al oferente, sin que este factor sea determinante en las resultas del proceso de selección.</w:t>
      </w:r>
    </w:p>
    <w:p w14:paraId="4756F0B6" w14:textId="77777777" w:rsidR="00B052BC" w:rsidRPr="009A2F33" w:rsidRDefault="00B052BC" w:rsidP="00B052BC">
      <w:pPr>
        <w:spacing w:after="0" w:line="276" w:lineRule="auto"/>
        <w:ind w:firstLine="708"/>
        <w:jc w:val="both"/>
        <w:rPr>
          <w:rFonts w:ascii="Verdana" w:hAnsi="Verdana"/>
          <w:lang w:val="es-ES"/>
        </w:rPr>
      </w:pPr>
    </w:p>
    <w:bookmarkEnd w:id="0"/>
    <w:p w14:paraId="6D5D4B75" w14:textId="77777777" w:rsidR="00B052BC" w:rsidRPr="00BE151B" w:rsidRDefault="00B052BC" w:rsidP="00B052BC">
      <w:pPr>
        <w:tabs>
          <w:tab w:val="left" w:pos="142"/>
          <w:tab w:val="left" w:pos="284"/>
        </w:tabs>
        <w:spacing w:after="0" w:line="276" w:lineRule="auto"/>
        <w:jc w:val="both"/>
        <w:rPr>
          <w:rFonts w:ascii="Verdana" w:eastAsia="Century Gothic" w:hAnsi="Verdana" w:cs="Century Gothic"/>
          <w:b/>
          <w:bCs/>
        </w:rPr>
      </w:pPr>
      <w:r w:rsidRPr="00BE151B">
        <w:rPr>
          <w:rFonts w:ascii="Verdana" w:eastAsia="Century Gothic" w:hAnsi="Verdana" w:cs="Century Gothic"/>
          <w:b/>
          <w:bCs/>
        </w:rPr>
        <w:t>4. Referencias normativas, jurisprudenciales y otras fuentes:</w:t>
      </w:r>
    </w:p>
    <w:p w14:paraId="2F24C370" w14:textId="77777777" w:rsidR="00B052BC" w:rsidRPr="00BE151B" w:rsidRDefault="00B052BC" w:rsidP="00B052B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052BC" w:rsidRPr="00BE151B" w14:paraId="25976C84" w14:textId="77777777" w:rsidTr="00373B01">
        <w:trPr>
          <w:trHeight w:val="870"/>
        </w:trPr>
        <w:tc>
          <w:tcPr>
            <w:tcW w:w="8647" w:type="dxa"/>
          </w:tcPr>
          <w:p w14:paraId="306A63F3" w14:textId="77777777" w:rsidR="00B052BC" w:rsidRPr="00F722FF" w:rsidRDefault="00B052BC" w:rsidP="00373B01">
            <w:pPr>
              <w:pStyle w:val="Prrafodelista"/>
              <w:numPr>
                <w:ilvl w:val="0"/>
                <w:numId w:val="19"/>
              </w:numPr>
              <w:spacing w:before="120" w:after="20" w:line="276" w:lineRule="auto"/>
              <w:jc w:val="both"/>
              <w:rPr>
                <w:rFonts w:ascii="Verdana" w:hAnsi="Verdana" w:cs="Arial"/>
                <w:color w:val="000000" w:themeColor="text1"/>
                <w:sz w:val="20"/>
                <w:szCs w:val="20"/>
                <w:lang w:val="es-CO"/>
              </w:rPr>
            </w:pPr>
            <w:r w:rsidRPr="00F722FF">
              <w:rPr>
                <w:rFonts w:ascii="Verdana" w:eastAsia="Calibri" w:hAnsi="Verdana" w:cs="Arial"/>
                <w:bCs/>
                <w:lang w:val="es-ES_tradnl"/>
              </w:rPr>
              <w:t xml:space="preserve">Ley 1150 de 2007 – Numeral 4° Articulo 4 </w:t>
            </w:r>
          </w:p>
          <w:p w14:paraId="7C8926F5" w14:textId="77777777" w:rsidR="00B052BC" w:rsidRPr="00F722FF" w:rsidRDefault="00B052BC" w:rsidP="00373B01">
            <w:pPr>
              <w:pStyle w:val="Prrafodelista"/>
              <w:numPr>
                <w:ilvl w:val="0"/>
                <w:numId w:val="19"/>
              </w:numPr>
              <w:spacing w:before="120" w:after="20" w:line="276" w:lineRule="auto"/>
              <w:jc w:val="both"/>
              <w:rPr>
                <w:rFonts w:ascii="Verdana" w:hAnsi="Verdana" w:cs="Arial"/>
                <w:color w:val="000000" w:themeColor="text1"/>
                <w:sz w:val="20"/>
                <w:szCs w:val="20"/>
              </w:rPr>
            </w:pPr>
            <w:r w:rsidRPr="002C394D">
              <w:rPr>
                <w:rFonts w:ascii="Verdana" w:hAnsi="Verdana" w:cs="Arial"/>
              </w:rPr>
              <w:t>Ley 80 de 1993</w:t>
            </w:r>
          </w:p>
          <w:p w14:paraId="34A8825C" w14:textId="77777777" w:rsidR="00B052BC" w:rsidRPr="00F722FF" w:rsidRDefault="00B052BC" w:rsidP="00373B01">
            <w:pPr>
              <w:pStyle w:val="Prrafodelista"/>
              <w:numPr>
                <w:ilvl w:val="0"/>
                <w:numId w:val="19"/>
              </w:numPr>
              <w:spacing w:before="120" w:after="20" w:line="276" w:lineRule="auto"/>
              <w:jc w:val="both"/>
              <w:rPr>
                <w:rFonts w:ascii="Verdana" w:hAnsi="Verdana" w:cs="Arial"/>
                <w:color w:val="000000" w:themeColor="text1"/>
                <w:sz w:val="20"/>
                <w:szCs w:val="20"/>
                <w:lang w:val="es-CO"/>
              </w:rPr>
            </w:pPr>
            <w:r w:rsidRPr="002C394D">
              <w:rPr>
                <w:rFonts w:ascii="Verdana" w:eastAsia="Calibri" w:hAnsi="Verdana" w:cs="Arial"/>
                <w:bCs/>
                <w:lang w:val="es-ES_tradnl"/>
              </w:rPr>
              <w:t>Consejo de Estado Sentencia de Unificación</w:t>
            </w:r>
            <w:r>
              <w:rPr>
                <w:rFonts w:ascii="Verdana" w:eastAsia="Calibri" w:hAnsi="Verdana" w:cs="Arial"/>
                <w:bCs/>
                <w:lang w:val="es-ES_tradnl"/>
              </w:rPr>
              <w:t xml:space="preserve"> - </w:t>
            </w:r>
            <w:r w:rsidRPr="002C394D">
              <w:rPr>
                <w:rFonts w:ascii="Verdana" w:eastAsia="Calibri" w:hAnsi="Verdana" w:cs="Arial"/>
                <w:bCs/>
                <w:lang w:val="es-ES_tradnl"/>
              </w:rPr>
              <w:t>radicado 41.179</w:t>
            </w:r>
          </w:p>
          <w:p w14:paraId="3F9DD8EA" w14:textId="77777777" w:rsidR="00B052BC" w:rsidRPr="008969BE" w:rsidRDefault="00B052BC" w:rsidP="00373B01">
            <w:pPr>
              <w:widowControl w:val="0"/>
              <w:tabs>
                <w:tab w:val="left" w:pos="8419"/>
              </w:tabs>
              <w:autoSpaceDE w:val="0"/>
              <w:autoSpaceDN w:val="0"/>
              <w:spacing w:line="276" w:lineRule="auto"/>
              <w:ind w:left="360"/>
              <w:jc w:val="both"/>
              <w:rPr>
                <w:rFonts w:ascii="Verdana" w:hAnsi="Verdana" w:cs="Arial"/>
              </w:rPr>
            </w:pPr>
          </w:p>
        </w:tc>
      </w:tr>
    </w:tbl>
    <w:p w14:paraId="3D2ABFD2" w14:textId="77777777" w:rsidR="00B052BC" w:rsidRPr="00BE151B" w:rsidRDefault="00B052BC" w:rsidP="00B052B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C0DBA26" w14:textId="77777777" w:rsidR="00B052BC" w:rsidRDefault="00B052BC" w:rsidP="00B052B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BE151B">
        <w:rPr>
          <w:rFonts w:ascii="Verdana" w:eastAsia="Century Gothic" w:hAnsi="Verdana" w:cs="Century Gothic"/>
          <w:b/>
          <w:bCs/>
        </w:rPr>
        <w:t>5. Doctrina de la Agencia Nacional de Contratación Pública:</w:t>
      </w:r>
    </w:p>
    <w:p w14:paraId="25AB1BFF" w14:textId="77777777" w:rsidR="00B052BC" w:rsidRPr="00BE151B" w:rsidRDefault="00B052BC" w:rsidP="00B052B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305DD776" w14:textId="77777777" w:rsidR="00B052BC" w:rsidRDefault="00B052BC" w:rsidP="00B052BC">
      <w:pPr>
        <w:widowControl w:val="0"/>
        <w:autoSpaceDE w:val="0"/>
        <w:autoSpaceDN w:val="0"/>
        <w:spacing w:after="0" w:line="276" w:lineRule="auto"/>
        <w:jc w:val="both"/>
        <w:rPr>
          <w:rStyle w:val="normaltextrun"/>
          <w:rFonts w:ascii="Verdana" w:hAnsi="Verdana" w:cs="Arial"/>
          <w:color w:val="FF0000"/>
          <w:shd w:val="clear" w:color="auto" w:fill="FFFFFF"/>
        </w:rPr>
      </w:pPr>
      <w:r>
        <w:rPr>
          <w:rFonts w:ascii="Verdana" w:eastAsia="Calibri" w:hAnsi="Verdana" w:cs="Arial"/>
          <w:lang w:val="es-ES" w:eastAsia="es-ES"/>
        </w:rPr>
        <w:t>Sobre el</w:t>
      </w:r>
      <w:r w:rsidRPr="00302F8D">
        <w:rPr>
          <w:rFonts w:ascii="Verdana" w:eastAsia="Calibri" w:hAnsi="Verdana" w:cs="Arial"/>
          <w:lang w:val="es-ES" w:eastAsia="es-ES"/>
        </w:rPr>
        <w:t xml:space="preserve"> concurso de méritos, los factores de selección, el presupuesto oficial y oferta económica, </w:t>
      </w:r>
      <w:r>
        <w:rPr>
          <w:rFonts w:ascii="Verdana" w:eastAsia="Calibri" w:hAnsi="Verdana" w:cs="Arial"/>
          <w:lang w:val="es-ES" w:eastAsia="es-ES"/>
        </w:rPr>
        <w:t xml:space="preserve">se pronunció </w:t>
      </w:r>
      <w:r w:rsidRPr="00302F8D">
        <w:rPr>
          <w:rFonts w:ascii="Verdana" w:eastAsia="Calibri" w:hAnsi="Verdana" w:cs="Arial"/>
          <w:lang w:val="es-ES" w:eastAsia="es-ES"/>
        </w:rPr>
        <w:t>esta Subdirección en los conceptos</w:t>
      </w:r>
      <w:r w:rsidRPr="00302F8D">
        <w:rPr>
          <w:rFonts w:ascii="Verdana" w:hAnsi="Verdana"/>
        </w:rPr>
        <w:t xml:space="preserve"> C-124 del 25 de marzo de 2020, C-406 y C-477 del 13 de julio de 2020, C-612 del 2 de octubre de 2020, C-761 del 5 de enero de 2021, C- 297 del 17 de junio de 2021, C-339 del 14 de junio de 2021, C-367 del 26 de julio de 2021, C-408 del 13 de agosto de 2021, C-059 del 10 de marzo de 2021, C-432 del 27 de septiembre de 2021, C-017 del 22 de febrero de 2022, C-607 del 23 de septiembre de 2022, C-716 del 15 de noviembre de 2022, C-114 del 04 mayo de 2023, C-198 del 16 de junio de 2023</w:t>
      </w:r>
      <w:r>
        <w:rPr>
          <w:rFonts w:ascii="Verdana" w:hAnsi="Verdana"/>
        </w:rPr>
        <w:t xml:space="preserve">. </w:t>
      </w:r>
      <w:r w:rsidRPr="006849F1">
        <w:rPr>
          <w:rFonts w:ascii="Verdana" w:hAnsi="Verdana" w:cs="Arial"/>
          <w:shd w:val="clear" w:color="auto" w:fill="FFFFFF"/>
          <w:lang w:val="es-ES"/>
        </w:rPr>
        <w:t>Sobre la determinación del precio o valor en los contratos estatales se pronunció esta Subdirección en los conceptos</w:t>
      </w:r>
      <w:r w:rsidRPr="006849F1">
        <w:rPr>
          <w:rFonts w:ascii="Verdana" w:hAnsi="Verdana" w:cs="Calibri"/>
          <w:shd w:val="clear" w:color="auto" w:fill="FFFFFF"/>
        </w:rPr>
        <w:t xml:space="preserve"> </w:t>
      </w:r>
      <w:r w:rsidRPr="006849F1">
        <w:rPr>
          <w:rFonts w:ascii="Verdana" w:hAnsi="Verdana" w:cs="Arial"/>
          <w:shd w:val="clear" w:color="auto" w:fill="FFFFFF"/>
          <w:lang w:val="es-ES"/>
        </w:rPr>
        <w:t xml:space="preserve">C-064 del 28 de febrero de 2020, C-150 del 18 de marzo de 2020, C-075 del 26 de marzo de 2020, C-180 del 13 de abril de 2020, C-344 del 26 de mayo de 2020, C-765 del 7 de enero de 2021, C-411 del 17 de agosto de 2021, C-650 del 22 de diciembre de 2021, C-238 del 27 de abril de 2022, C-432 del 13 de julio de 2022, C-590 </w:t>
      </w:r>
      <w:r w:rsidRPr="006849F1">
        <w:rPr>
          <w:rFonts w:ascii="Verdana" w:hAnsi="Verdana" w:cs="Arial"/>
          <w:shd w:val="clear" w:color="auto" w:fill="FFFFFF"/>
          <w:lang w:val="es-ES"/>
        </w:rPr>
        <w:lastRenderedPageBreak/>
        <w:t>del 20 de septiembre de 2022, C-716 del 15 de noviembre de 2022, C-114 del 4 de mayo de 2023, C-198 del 16 de junio de 2023, C-250 del 31 de julio de 2023 y C-288 del 14 de julio de 2023, entre otros</w:t>
      </w:r>
      <w:r w:rsidRPr="00302F8D">
        <w:rPr>
          <w:rFonts w:ascii="Verdana" w:hAnsi="Verdana"/>
        </w:rPr>
        <w:t xml:space="preserve"> </w:t>
      </w:r>
      <w:r w:rsidRPr="00A1554D">
        <w:rPr>
          <w:rStyle w:val="normaltextrun"/>
          <w:rFonts w:ascii="Verdana" w:hAnsi="Verdana" w:cs="Arial"/>
          <w:shd w:val="clear" w:color="auto" w:fill="FFFFFF"/>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hyperlink r:id="rId13" w:history="1">
        <w:r w:rsidRPr="00836E04">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rPr>
        <w:t xml:space="preserve">. </w:t>
      </w:r>
    </w:p>
    <w:p w14:paraId="1B1F8AD5"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p>
    <w:p w14:paraId="241DD35D"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r w:rsidRPr="00E314A0">
        <w:rPr>
          <w:rFonts w:ascii="Verdana" w:eastAsia="Calibri" w:hAnsi="Verdana" w:cs="Arial"/>
          <w:lang w:eastAsia="es-ES_tradnl"/>
        </w:rPr>
        <w:t xml:space="preserve">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p>
    <w:p w14:paraId="2742634A"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p>
    <w:p w14:paraId="38E7D2D1" w14:textId="77777777" w:rsidR="00B052BC" w:rsidRDefault="00B052BC" w:rsidP="00B052BC">
      <w:pPr>
        <w:pStyle w:val="Prrafodelista"/>
        <w:widowControl w:val="0"/>
        <w:numPr>
          <w:ilvl w:val="0"/>
          <w:numId w:val="16"/>
        </w:numPr>
        <w:autoSpaceDE w:val="0"/>
        <w:autoSpaceDN w:val="0"/>
        <w:spacing w:after="0" w:line="276" w:lineRule="auto"/>
        <w:jc w:val="both"/>
        <w:rPr>
          <w:rFonts w:ascii="Verdana" w:eastAsia="Calibri" w:hAnsi="Verdana" w:cs="Arial"/>
          <w:lang w:eastAsia="es-ES_tradnl"/>
        </w:rPr>
      </w:pPr>
      <w:hyperlink r:id="rId14" w:history="1">
        <w:r w:rsidRPr="00412C52">
          <w:rPr>
            <w:rStyle w:val="Hipervnculo"/>
            <w:rFonts w:ascii="Verdana" w:eastAsia="Calibri" w:hAnsi="Verdana" w:cs="Arial"/>
            <w:lang w:eastAsia="es-ES_tradnl"/>
          </w:rPr>
          <w:t>https://www.colombiacompra.gov.co/content/borrador-de-documentos-tipo-de-consultoria-de-obra-publica-de-infraestructura-de-transporte</w:t>
        </w:r>
      </w:hyperlink>
    </w:p>
    <w:p w14:paraId="308F79F6" w14:textId="77777777" w:rsidR="00B052BC" w:rsidRPr="00E8232E" w:rsidRDefault="00B052BC" w:rsidP="00B052BC">
      <w:pPr>
        <w:pStyle w:val="Prrafodelista"/>
        <w:widowControl w:val="0"/>
        <w:numPr>
          <w:ilvl w:val="0"/>
          <w:numId w:val="16"/>
        </w:numPr>
        <w:autoSpaceDE w:val="0"/>
        <w:autoSpaceDN w:val="0"/>
        <w:spacing w:after="0" w:line="276" w:lineRule="auto"/>
        <w:jc w:val="both"/>
        <w:rPr>
          <w:rFonts w:ascii="Verdana" w:eastAsia="Calibri" w:hAnsi="Verdana" w:cs="Arial"/>
          <w:lang w:eastAsia="es-ES_tradnl"/>
        </w:rPr>
      </w:pPr>
      <w:hyperlink r:id="rId15" w:history="1">
        <w:r w:rsidRPr="00412C52">
          <w:rPr>
            <w:rStyle w:val="Hipervnculo"/>
            <w:rFonts w:ascii="Verdana" w:eastAsia="Calibri" w:hAnsi="Verdana" w:cs="Arial"/>
            <w:lang w:eastAsia="es-ES_tradnl"/>
          </w:rPr>
          <w:t>https://www.colombiacompra.gov.co/content/borrador-de-documentos-tipo-de-interventoria-de-obra-publica-de-infraestructura-de</w:t>
        </w:r>
      </w:hyperlink>
    </w:p>
    <w:p w14:paraId="0B46AAA3"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p>
    <w:p w14:paraId="310CE1A5"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r w:rsidRPr="00E314A0">
        <w:rPr>
          <w:rFonts w:ascii="Verdana" w:eastAsia="Calibri" w:hAnsi="Verdana" w:cs="Arial"/>
          <w:lang w:eastAsia="es-ES_tradnl"/>
        </w:rPr>
        <w:t>De otra parte, te contamos que ya publicamos el borrador de la nueva Guía de Contratación Pública Sostenible y Socialmente Responsable. Conoce el documento y realiza tus comentarios hasta el 14 de noviembre de 2024 a través del siguiente enlace:</w:t>
      </w:r>
    </w:p>
    <w:p w14:paraId="563933C8"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r w:rsidRPr="00E314A0">
        <w:rPr>
          <w:rFonts w:ascii="Verdana" w:eastAsia="Calibri" w:hAnsi="Verdana" w:cs="Arial"/>
          <w:lang w:eastAsia="es-ES_tradnl"/>
        </w:rPr>
        <w:t xml:space="preserve"> </w:t>
      </w:r>
      <w:hyperlink r:id="rId16" w:history="1">
        <w:r w:rsidRPr="00E314A0">
          <w:rPr>
            <w:rStyle w:val="Hipervnculo"/>
            <w:rFonts w:ascii="Verdana" w:eastAsia="Calibri" w:hAnsi="Verdana" w:cs="Arial"/>
            <w:lang w:eastAsia="es-ES_tradnl"/>
          </w:rPr>
          <w:t>https://www.sucop.gov.co/entidades/colombiacompra/Normativa?IDNorma=18320</w:t>
        </w:r>
      </w:hyperlink>
      <w:r w:rsidRPr="00E314A0">
        <w:rPr>
          <w:rFonts w:ascii="Verdana" w:eastAsia="Calibri" w:hAnsi="Verdana" w:cs="Arial"/>
          <w:lang w:eastAsia="es-ES_tradnl"/>
        </w:rPr>
        <w:t xml:space="preserve">  </w:t>
      </w:r>
    </w:p>
    <w:p w14:paraId="6B846C60" w14:textId="77777777" w:rsidR="00B052BC" w:rsidRPr="00E314A0" w:rsidRDefault="00B052BC" w:rsidP="00B052BC">
      <w:pPr>
        <w:widowControl w:val="0"/>
        <w:autoSpaceDE w:val="0"/>
        <w:autoSpaceDN w:val="0"/>
        <w:spacing w:after="0" w:line="276" w:lineRule="auto"/>
        <w:jc w:val="both"/>
        <w:rPr>
          <w:rFonts w:ascii="Verdana" w:eastAsia="Calibri" w:hAnsi="Verdana" w:cs="Arial"/>
          <w:lang w:eastAsia="es-ES_tradnl"/>
        </w:rPr>
      </w:pPr>
    </w:p>
    <w:p w14:paraId="523E8E38"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r w:rsidRPr="00E314A0">
        <w:rPr>
          <w:rFonts w:ascii="Verdana" w:eastAsia="Calibri" w:hAnsi="Verdana" w:cs="Arial"/>
          <w:lang w:eastAsia="es-ES_tradnl"/>
        </w:rPr>
        <w:t>También le invitamos a consultar las versiones V y VI de 2024 del Boletín de Relatoría de la Subdirección de Gestión Contractual relacionados con las guías de Plan Anual de Adquisiciones y la modalidad de selección de mínima cuantía, los cuales se pueden descargar en la página web de la Agencia:</w:t>
      </w:r>
    </w:p>
    <w:p w14:paraId="44E2D130"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p>
    <w:p w14:paraId="4C7FE5EB" w14:textId="77777777" w:rsidR="00B052BC" w:rsidRDefault="00B052BC" w:rsidP="00B052BC">
      <w:pPr>
        <w:widowControl w:val="0"/>
        <w:autoSpaceDE w:val="0"/>
        <w:autoSpaceDN w:val="0"/>
        <w:spacing w:after="0" w:line="276" w:lineRule="auto"/>
        <w:jc w:val="both"/>
        <w:rPr>
          <w:rFonts w:ascii="Verdana" w:eastAsia="Calibri" w:hAnsi="Verdana" w:cs="Arial"/>
          <w:lang w:eastAsia="es-ES_tradnl"/>
        </w:rPr>
      </w:pPr>
      <w:hyperlink r:id="rId17" w:tgtFrame="_blank" w:tooltip="Dirección URL original: https://www.colombiacompra.gov.co/sala-de-prensa/boletin-digital. Haga clic o pulse si confía en este vínculo." w:history="1">
        <w:r w:rsidRPr="00E314A0">
          <w:rPr>
            <w:rStyle w:val="Hipervnculo"/>
            <w:rFonts w:ascii="Verdana" w:eastAsia="Calibri" w:hAnsi="Verdana" w:cs="Arial"/>
            <w:lang w:eastAsia="es-ES_tradnl"/>
          </w:rPr>
          <w:t>https://www.colombiacompra.gov.co/sala-de-prensa/boletin-digital</w:t>
        </w:r>
      </w:hyperlink>
    </w:p>
    <w:p w14:paraId="61A44D26" w14:textId="77777777" w:rsidR="00B052BC" w:rsidRPr="00BE151B" w:rsidRDefault="00B052BC" w:rsidP="00B052BC">
      <w:pPr>
        <w:spacing w:after="0" w:line="240" w:lineRule="auto"/>
        <w:jc w:val="both"/>
        <w:rPr>
          <w:rFonts w:ascii="Verdana" w:hAnsi="Verdana"/>
        </w:rPr>
      </w:pPr>
    </w:p>
    <w:p w14:paraId="77309068" w14:textId="77777777" w:rsidR="00B052BC" w:rsidRPr="00BE151B" w:rsidRDefault="00B052BC" w:rsidP="00B052BC">
      <w:pPr>
        <w:spacing w:after="0" w:line="240" w:lineRule="auto"/>
        <w:jc w:val="both"/>
        <w:rPr>
          <w:rFonts w:ascii="Verdana" w:hAnsi="Verdana"/>
        </w:rPr>
      </w:pPr>
      <w:r w:rsidRPr="00BE151B">
        <w:rPr>
          <w:rFonts w:ascii="Verdana" w:hAnsi="Verdana"/>
        </w:rPr>
        <w:t xml:space="preserve">Por último, lo invitamos a seguirnos en las redes sociales en las cuales se difunde información institucional: </w:t>
      </w:r>
    </w:p>
    <w:p w14:paraId="1D20CB50" w14:textId="77777777" w:rsidR="00B052BC" w:rsidRPr="00BE151B" w:rsidRDefault="00B052BC" w:rsidP="00B052BC">
      <w:pPr>
        <w:spacing w:after="0" w:line="240" w:lineRule="auto"/>
        <w:jc w:val="both"/>
        <w:rPr>
          <w:rFonts w:ascii="Verdana" w:hAnsi="Verdana"/>
        </w:rPr>
      </w:pPr>
    </w:p>
    <w:p w14:paraId="0E247456" w14:textId="77777777" w:rsidR="00B052BC" w:rsidRPr="00BE151B" w:rsidRDefault="00B052BC" w:rsidP="00B052BC">
      <w:pPr>
        <w:spacing w:after="0" w:line="240" w:lineRule="auto"/>
        <w:jc w:val="both"/>
        <w:rPr>
          <w:rFonts w:ascii="Verdana" w:hAnsi="Verdana"/>
        </w:rPr>
      </w:pPr>
      <w:r w:rsidRPr="00BE151B">
        <w:rPr>
          <w:rFonts w:ascii="Verdana" w:hAnsi="Verdana"/>
        </w:rPr>
        <w:t xml:space="preserve">Twitter: </w:t>
      </w:r>
      <w:r w:rsidRPr="00BE151B">
        <w:rPr>
          <w:rStyle w:val="Hipervnculo"/>
          <w:rFonts w:ascii="Verdana" w:hAnsi="Verdana"/>
          <w:color w:val="4472C4" w:themeColor="accent1"/>
        </w:rPr>
        <w:t>@colombiacompra</w:t>
      </w:r>
      <w:r w:rsidRPr="00BE151B">
        <w:rPr>
          <w:rFonts w:ascii="Verdana" w:hAnsi="Verdana"/>
          <w:color w:val="4472C4" w:themeColor="accent1"/>
        </w:rPr>
        <w:t xml:space="preserve"> </w:t>
      </w:r>
    </w:p>
    <w:p w14:paraId="278FCA88" w14:textId="77777777" w:rsidR="00B052BC" w:rsidRPr="00BE151B" w:rsidRDefault="00B052BC" w:rsidP="00B052BC">
      <w:pPr>
        <w:spacing w:after="0" w:line="240" w:lineRule="auto"/>
        <w:jc w:val="both"/>
        <w:rPr>
          <w:rFonts w:ascii="Verdana" w:hAnsi="Verdana"/>
        </w:rPr>
      </w:pPr>
      <w:r w:rsidRPr="00BE151B">
        <w:rPr>
          <w:rFonts w:ascii="Verdana" w:hAnsi="Verdana"/>
        </w:rPr>
        <w:t xml:space="preserve">Facebook: </w:t>
      </w:r>
      <w:proofErr w:type="spellStart"/>
      <w:r w:rsidRPr="00BE151B">
        <w:rPr>
          <w:rStyle w:val="Hipervnculo"/>
          <w:rFonts w:ascii="Verdana" w:hAnsi="Verdana"/>
          <w:color w:val="4472C4" w:themeColor="accent1"/>
        </w:rPr>
        <w:t>ColombiaCompraEficiente</w:t>
      </w:r>
      <w:proofErr w:type="spellEnd"/>
    </w:p>
    <w:p w14:paraId="52597B3A" w14:textId="77777777" w:rsidR="00B052BC" w:rsidRPr="00BE151B" w:rsidRDefault="00B052BC" w:rsidP="00B052BC">
      <w:pPr>
        <w:spacing w:after="0" w:line="240" w:lineRule="auto"/>
        <w:jc w:val="both"/>
        <w:rPr>
          <w:rFonts w:ascii="Verdana" w:hAnsi="Verdana"/>
        </w:rPr>
      </w:pPr>
      <w:r w:rsidRPr="00BE151B">
        <w:rPr>
          <w:rFonts w:ascii="Verdana" w:hAnsi="Verdana"/>
        </w:rPr>
        <w:lastRenderedPageBreak/>
        <w:t xml:space="preserve">LinkedIn: </w:t>
      </w:r>
      <w:r w:rsidRPr="00BE151B">
        <w:rPr>
          <w:rStyle w:val="Hipervnculo"/>
          <w:rFonts w:ascii="Verdana" w:hAnsi="Verdana"/>
          <w:color w:val="4472C4" w:themeColor="accent1"/>
        </w:rPr>
        <w:t>Agencia Nacional de Contratación Pública - Colombia Compra Eficiente</w:t>
      </w:r>
      <w:r w:rsidRPr="00BE151B">
        <w:rPr>
          <w:rFonts w:ascii="Verdana" w:hAnsi="Verdana"/>
          <w:color w:val="4472C4" w:themeColor="accent1"/>
        </w:rPr>
        <w:t xml:space="preserve"> </w:t>
      </w:r>
      <w:r w:rsidRPr="00BE151B">
        <w:rPr>
          <w:rFonts w:ascii="Verdana" w:hAnsi="Verdana"/>
        </w:rPr>
        <w:t xml:space="preserve">Instagram: </w:t>
      </w:r>
      <w:r w:rsidRPr="00BE151B">
        <w:rPr>
          <w:rStyle w:val="Hipervnculo"/>
          <w:rFonts w:ascii="Verdana" w:hAnsi="Verdana"/>
          <w:color w:val="4472C4" w:themeColor="accent1"/>
        </w:rPr>
        <w:t>@colombiacompraeficiente_cce</w:t>
      </w:r>
    </w:p>
    <w:p w14:paraId="4DD94646" w14:textId="77777777" w:rsidR="00B052BC" w:rsidRPr="00BE151B" w:rsidRDefault="00B052BC" w:rsidP="00B052BC">
      <w:pPr>
        <w:widowControl w:val="0"/>
        <w:autoSpaceDE w:val="0"/>
        <w:autoSpaceDN w:val="0"/>
        <w:spacing w:after="0" w:line="276" w:lineRule="auto"/>
        <w:jc w:val="both"/>
        <w:rPr>
          <w:rFonts w:ascii="Verdana" w:hAnsi="Verdana"/>
        </w:rPr>
      </w:pPr>
    </w:p>
    <w:p w14:paraId="2369BBFB" w14:textId="77777777" w:rsidR="00B052BC" w:rsidRPr="00BE151B" w:rsidRDefault="00B052BC" w:rsidP="00B052BC">
      <w:pPr>
        <w:widowControl w:val="0"/>
        <w:autoSpaceDE w:val="0"/>
        <w:autoSpaceDN w:val="0"/>
        <w:spacing w:after="0" w:line="276" w:lineRule="auto"/>
        <w:jc w:val="both"/>
        <w:rPr>
          <w:rFonts w:ascii="Verdana" w:hAnsi="Verdana" w:cs="Arial"/>
        </w:rPr>
      </w:pPr>
      <w:r w:rsidRPr="00BE151B">
        <w:rPr>
          <w:rFonts w:ascii="Verdana" w:hAnsi="Verdana"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A5D49C7" w14:textId="77777777" w:rsidR="00B052BC" w:rsidRPr="00BE151B" w:rsidRDefault="00B052BC" w:rsidP="00B052BC">
      <w:pPr>
        <w:spacing w:after="0" w:line="276" w:lineRule="auto"/>
        <w:ind w:firstLine="709"/>
        <w:jc w:val="both"/>
        <w:rPr>
          <w:rFonts w:ascii="Verdana" w:eastAsia="Times New Roman" w:hAnsi="Verdana" w:cs="Arial"/>
          <w:szCs w:val="24"/>
          <w:lang w:eastAsia="es-ES_tradnl"/>
        </w:rPr>
      </w:pPr>
    </w:p>
    <w:p w14:paraId="57E4169B" w14:textId="77777777" w:rsidR="00B052BC" w:rsidRPr="00BE151B" w:rsidRDefault="00B052BC" w:rsidP="00B052BC">
      <w:pPr>
        <w:spacing w:after="0" w:line="276" w:lineRule="auto"/>
        <w:jc w:val="both"/>
        <w:rPr>
          <w:rFonts w:ascii="Verdana" w:eastAsia="Times New Roman" w:hAnsi="Verdana" w:cs="Arial"/>
          <w:lang w:eastAsia="es-CO"/>
        </w:rPr>
      </w:pPr>
      <w:bookmarkStart w:id="4" w:name="_Hlk117695077"/>
      <w:r w:rsidRPr="00BE151B">
        <w:rPr>
          <w:rFonts w:ascii="Verdana" w:eastAsia="Times New Roman" w:hAnsi="Verdana" w:cs="Arial"/>
          <w:lang w:eastAsia="es-CO"/>
        </w:rPr>
        <w:t>Atentamente,</w:t>
      </w:r>
    </w:p>
    <w:bookmarkEnd w:id="4"/>
    <w:p w14:paraId="644424CE" w14:textId="77777777" w:rsidR="00B052BC" w:rsidRDefault="00B052BC" w:rsidP="00B052BC">
      <w:pPr>
        <w:spacing w:after="18" w:line="240" w:lineRule="auto"/>
        <w:jc w:val="center"/>
        <w:rPr>
          <w:rFonts w:ascii="Verdana" w:eastAsia="Times New Roman" w:hAnsi="Verdana" w:cs="Arial"/>
          <w:sz w:val="24"/>
          <w:szCs w:val="24"/>
          <w:lang w:eastAsia="es-CO"/>
        </w:rPr>
      </w:pPr>
    </w:p>
    <w:p w14:paraId="2544CD47" w14:textId="36B0B069" w:rsidR="00B052BC" w:rsidRDefault="00EF1F01" w:rsidP="00B052BC">
      <w:pPr>
        <w:spacing w:after="18" w:line="240" w:lineRule="auto"/>
        <w:jc w:val="center"/>
        <w:rPr>
          <w:rFonts w:ascii="Verdana" w:eastAsia="Times New Roman" w:hAnsi="Verdana" w:cs="Arial"/>
          <w:sz w:val="24"/>
          <w:szCs w:val="24"/>
          <w:lang w:eastAsia="es-CO"/>
        </w:rPr>
      </w:pPr>
      <w:r w:rsidRPr="002C3AD6">
        <w:rPr>
          <w:rFonts w:ascii="Century Gothic" w:hAnsi="Century Gothic"/>
          <w:noProof/>
        </w:rPr>
        <w:drawing>
          <wp:inline distT="0" distB="0" distL="0" distR="0" wp14:anchorId="336C7593" wp14:editId="62E7628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5B83D97C" w14:textId="77777777" w:rsidR="00B052BC" w:rsidRPr="00BE151B" w:rsidRDefault="00B052BC" w:rsidP="00B052BC">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B052BC" w:rsidRPr="00BE151B" w14:paraId="3224946B" w14:textId="77777777" w:rsidTr="00373B01">
        <w:trPr>
          <w:trHeight w:val="286"/>
        </w:trPr>
        <w:tc>
          <w:tcPr>
            <w:tcW w:w="893" w:type="dxa"/>
            <w:vAlign w:val="center"/>
            <w:hideMark/>
          </w:tcPr>
          <w:p w14:paraId="6C3B48D4" w14:textId="77777777" w:rsidR="00B052BC" w:rsidRPr="00BE151B" w:rsidRDefault="00B052BC" w:rsidP="00373B01">
            <w:pPr>
              <w:rPr>
                <w:rFonts w:ascii="Verdana" w:eastAsia="Times New Roman" w:hAnsi="Verdana" w:cs="Arial"/>
                <w:sz w:val="14"/>
                <w:szCs w:val="14"/>
                <w:lang w:eastAsia="es-ES"/>
              </w:rPr>
            </w:pPr>
            <w:r w:rsidRPr="00BE151B">
              <w:rPr>
                <w:rFonts w:ascii="Verdana" w:eastAsia="Times New Roman" w:hAnsi="Verdana" w:cs="Arial"/>
                <w:sz w:val="16"/>
                <w:szCs w:val="16"/>
                <w:lang w:eastAsia="es-ES"/>
              </w:rPr>
              <w:t>Elaboró:</w:t>
            </w:r>
          </w:p>
        </w:tc>
        <w:tc>
          <w:tcPr>
            <w:tcW w:w="4777" w:type="dxa"/>
            <w:tcBorders>
              <w:top w:val="nil"/>
              <w:left w:val="nil"/>
              <w:bottom w:val="dotted" w:sz="4" w:space="0" w:color="7F7F7F"/>
              <w:right w:val="nil"/>
            </w:tcBorders>
            <w:vAlign w:val="center"/>
            <w:hideMark/>
          </w:tcPr>
          <w:p w14:paraId="3965E49A" w14:textId="77777777" w:rsidR="00B052BC" w:rsidRPr="00BE151B" w:rsidRDefault="00B052BC" w:rsidP="00373B01">
            <w:pPr>
              <w:rPr>
                <w:rFonts w:ascii="Verdana" w:eastAsia="Times New Roman" w:hAnsi="Verdana" w:cs="Arial"/>
                <w:sz w:val="16"/>
                <w:szCs w:val="16"/>
                <w:lang w:eastAsia="es-ES"/>
              </w:rPr>
            </w:pPr>
            <w:r>
              <w:rPr>
                <w:rFonts w:ascii="Verdana" w:eastAsia="Times New Roman" w:hAnsi="Verdana" w:cs="Arial"/>
                <w:sz w:val="16"/>
                <w:szCs w:val="16"/>
                <w:lang w:eastAsia="es-ES"/>
              </w:rPr>
              <w:t>Richard Andrés Montenegro Siefken</w:t>
            </w:r>
          </w:p>
          <w:p w14:paraId="14FFBDE4" w14:textId="77777777" w:rsidR="00B052BC" w:rsidRPr="00BE151B" w:rsidRDefault="00B052BC" w:rsidP="00373B01">
            <w:pPr>
              <w:rPr>
                <w:rFonts w:ascii="Verdana" w:eastAsia="Times New Roman" w:hAnsi="Verdana" w:cs="Arial"/>
                <w:sz w:val="14"/>
                <w:szCs w:val="14"/>
                <w:lang w:eastAsia="es-ES"/>
              </w:rPr>
            </w:pPr>
            <w:r>
              <w:rPr>
                <w:rFonts w:ascii="Verdana" w:eastAsia="Times New Roman" w:hAnsi="Verdana" w:cs="Arial"/>
                <w:sz w:val="16"/>
                <w:szCs w:val="16"/>
                <w:lang w:eastAsia="es-ES"/>
              </w:rPr>
              <w:t xml:space="preserve">Contratista </w:t>
            </w:r>
            <w:r w:rsidRPr="00BE151B">
              <w:rPr>
                <w:rFonts w:ascii="Verdana" w:eastAsia="Times New Roman" w:hAnsi="Verdana" w:cs="Arial"/>
                <w:sz w:val="16"/>
                <w:szCs w:val="16"/>
                <w:lang w:eastAsia="es-ES"/>
              </w:rPr>
              <w:t>de la Subdirección de Gestión Contractual</w:t>
            </w:r>
          </w:p>
        </w:tc>
      </w:tr>
      <w:tr w:rsidR="00B052BC" w:rsidRPr="00BE151B" w14:paraId="2B4A60F4" w14:textId="77777777" w:rsidTr="00373B01">
        <w:trPr>
          <w:trHeight w:val="299"/>
        </w:trPr>
        <w:tc>
          <w:tcPr>
            <w:tcW w:w="893" w:type="dxa"/>
            <w:vAlign w:val="center"/>
            <w:hideMark/>
          </w:tcPr>
          <w:p w14:paraId="405E9660" w14:textId="77777777" w:rsidR="00B052BC" w:rsidRPr="00BE151B" w:rsidRDefault="00B052BC" w:rsidP="00373B01">
            <w:pPr>
              <w:rPr>
                <w:rFonts w:ascii="Verdana" w:eastAsia="Times New Roman" w:hAnsi="Verdana" w:cs="Arial"/>
                <w:sz w:val="14"/>
                <w:szCs w:val="14"/>
                <w:lang w:eastAsia="es-ES"/>
              </w:rPr>
            </w:pPr>
            <w:r w:rsidRPr="00BE151B">
              <w:rPr>
                <w:rFonts w:ascii="Verdana" w:eastAsia="Times New Roman" w:hAnsi="Verdana" w:cs="Arial"/>
                <w:sz w:val="16"/>
                <w:szCs w:val="16"/>
                <w:lang w:eastAsia="es-ES"/>
              </w:rPr>
              <w:t>Revisó:</w:t>
            </w:r>
          </w:p>
        </w:tc>
        <w:tc>
          <w:tcPr>
            <w:tcW w:w="4777" w:type="dxa"/>
            <w:tcBorders>
              <w:top w:val="dotted" w:sz="4" w:space="0" w:color="7F7F7F"/>
              <w:left w:val="nil"/>
              <w:bottom w:val="dotted" w:sz="4" w:space="0" w:color="7F7F7F"/>
              <w:right w:val="nil"/>
            </w:tcBorders>
            <w:vAlign w:val="center"/>
            <w:hideMark/>
          </w:tcPr>
          <w:p w14:paraId="07BBC1FC" w14:textId="77777777" w:rsidR="00B052BC" w:rsidRPr="00BE151B" w:rsidRDefault="00B052BC" w:rsidP="00373B01">
            <w:pPr>
              <w:rPr>
                <w:rFonts w:ascii="Verdana" w:eastAsia="Times New Roman" w:hAnsi="Verdana" w:cs="Arial"/>
                <w:sz w:val="16"/>
                <w:szCs w:val="16"/>
                <w:lang w:eastAsia="es-ES"/>
              </w:rPr>
            </w:pPr>
            <w:r>
              <w:rPr>
                <w:rFonts w:ascii="Verdana" w:eastAsia="Times New Roman" w:hAnsi="Verdana" w:cs="Arial"/>
                <w:sz w:val="16"/>
                <w:szCs w:val="16"/>
                <w:lang w:eastAsia="es-ES"/>
              </w:rPr>
              <w:t>Cielo Victoria González Meza</w:t>
            </w:r>
          </w:p>
          <w:p w14:paraId="490DA39C" w14:textId="77777777" w:rsidR="00B052BC" w:rsidRPr="008969BE" w:rsidRDefault="00B052BC" w:rsidP="00373B01">
            <w:pPr>
              <w:rPr>
                <w:rFonts w:ascii="Verdana" w:eastAsia="Times New Roman" w:hAnsi="Verdana" w:cs="Arial"/>
                <w:sz w:val="16"/>
                <w:szCs w:val="16"/>
                <w:lang w:eastAsia="es-ES"/>
              </w:rPr>
            </w:pPr>
            <w:r>
              <w:rPr>
                <w:rFonts w:ascii="Verdana" w:eastAsia="Times New Roman" w:hAnsi="Verdana" w:cs="Arial"/>
                <w:sz w:val="16"/>
                <w:szCs w:val="16"/>
                <w:lang w:eastAsia="es-ES"/>
              </w:rPr>
              <w:t>Contratista</w:t>
            </w:r>
            <w:r w:rsidRPr="00BE151B">
              <w:rPr>
                <w:rFonts w:ascii="Verdana" w:eastAsia="Times New Roman" w:hAnsi="Verdana" w:cs="Arial"/>
                <w:sz w:val="16"/>
                <w:szCs w:val="16"/>
                <w:lang w:eastAsia="es-ES"/>
              </w:rPr>
              <w:t xml:space="preserve"> de la Subdirección de Gestión Contractua</w:t>
            </w:r>
            <w:r>
              <w:rPr>
                <w:rFonts w:ascii="Verdana" w:eastAsia="Times New Roman" w:hAnsi="Verdana" w:cs="Arial"/>
                <w:sz w:val="16"/>
                <w:szCs w:val="16"/>
                <w:lang w:eastAsia="es-ES"/>
              </w:rPr>
              <w:t>l</w:t>
            </w:r>
          </w:p>
        </w:tc>
      </w:tr>
      <w:tr w:rsidR="00B052BC" w:rsidRPr="00BE151B" w14:paraId="6CCCC319" w14:textId="77777777" w:rsidTr="00373B01">
        <w:trPr>
          <w:trHeight w:val="272"/>
        </w:trPr>
        <w:tc>
          <w:tcPr>
            <w:tcW w:w="893" w:type="dxa"/>
            <w:vAlign w:val="center"/>
            <w:hideMark/>
          </w:tcPr>
          <w:p w14:paraId="5F763CD7" w14:textId="77777777" w:rsidR="00B052BC" w:rsidRPr="00BE151B" w:rsidRDefault="00B052BC" w:rsidP="00373B01">
            <w:pPr>
              <w:rPr>
                <w:rFonts w:ascii="Verdana" w:eastAsia="Times New Roman" w:hAnsi="Verdana" w:cs="Arial"/>
                <w:sz w:val="14"/>
                <w:szCs w:val="14"/>
                <w:lang w:eastAsia="es-ES"/>
              </w:rPr>
            </w:pPr>
            <w:r w:rsidRPr="00BE151B">
              <w:rPr>
                <w:rFonts w:ascii="Verdana" w:eastAsia="Times New Roman" w:hAnsi="Verdana" w:cs="Arial"/>
                <w:sz w:val="16"/>
                <w:szCs w:val="16"/>
                <w:lang w:eastAsia="es-ES"/>
              </w:rPr>
              <w:t>Aprobó:</w:t>
            </w:r>
          </w:p>
        </w:tc>
        <w:tc>
          <w:tcPr>
            <w:tcW w:w="4777" w:type="dxa"/>
            <w:tcBorders>
              <w:top w:val="dotted" w:sz="4" w:space="0" w:color="7F7F7F"/>
              <w:left w:val="nil"/>
              <w:bottom w:val="dotted" w:sz="4" w:space="0" w:color="7F7F7F"/>
              <w:right w:val="nil"/>
            </w:tcBorders>
            <w:vAlign w:val="center"/>
            <w:hideMark/>
          </w:tcPr>
          <w:p w14:paraId="5608F9E4" w14:textId="77777777" w:rsidR="00B052BC" w:rsidRPr="00BE151B" w:rsidRDefault="00B052BC" w:rsidP="00373B01">
            <w:pPr>
              <w:rPr>
                <w:rFonts w:ascii="Verdana" w:eastAsia="Times New Roman" w:hAnsi="Verdana" w:cs="Arial"/>
                <w:sz w:val="16"/>
                <w:szCs w:val="16"/>
                <w:lang w:eastAsia="es-ES"/>
              </w:rPr>
            </w:pPr>
            <w:r w:rsidRPr="00BE151B">
              <w:rPr>
                <w:rFonts w:ascii="Verdana" w:eastAsia="Times New Roman" w:hAnsi="Verdana" w:cs="Arial"/>
                <w:sz w:val="16"/>
                <w:szCs w:val="16"/>
                <w:lang w:eastAsia="es-ES"/>
              </w:rPr>
              <w:t xml:space="preserve">Carolina Quintero </w:t>
            </w:r>
            <w:proofErr w:type="spellStart"/>
            <w:r w:rsidRPr="00BE151B">
              <w:rPr>
                <w:rFonts w:ascii="Verdana" w:eastAsia="Times New Roman" w:hAnsi="Verdana" w:cs="Arial"/>
                <w:sz w:val="16"/>
                <w:szCs w:val="16"/>
                <w:lang w:eastAsia="es-ES"/>
              </w:rPr>
              <w:t>Gacharná</w:t>
            </w:r>
            <w:proofErr w:type="spellEnd"/>
          </w:p>
          <w:p w14:paraId="31678E59" w14:textId="77777777" w:rsidR="00B052BC" w:rsidRPr="00BE151B" w:rsidRDefault="00B052BC" w:rsidP="00373B01">
            <w:pPr>
              <w:rPr>
                <w:rFonts w:ascii="Verdana" w:eastAsia="Times New Roman" w:hAnsi="Verdana" w:cs="Arial"/>
                <w:sz w:val="14"/>
                <w:szCs w:val="14"/>
                <w:lang w:eastAsia="es-ES"/>
              </w:rPr>
            </w:pPr>
            <w:r w:rsidRPr="00BE151B">
              <w:rPr>
                <w:rFonts w:ascii="Verdana" w:eastAsia="Times New Roman" w:hAnsi="Verdana" w:cs="Arial"/>
                <w:sz w:val="16"/>
                <w:szCs w:val="16"/>
                <w:lang w:eastAsia="es-ES"/>
              </w:rPr>
              <w:t>Subdirectora de Gestión Contractual ANCP – CCE</w:t>
            </w:r>
          </w:p>
        </w:tc>
      </w:tr>
    </w:tbl>
    <w:p w14:paraId="06657CF6" w14:textId="77777777" w:rsidR="00B052BC" w:rsidRPr="00BE151B" w:rsidRDefault="00B052BC" w:rsidP="00B052BC">
      <w:pPr>
        <w:spacing w:after="0" w:line="276" w:lineRule="auto"/>
        <w:jc w:val="both"/>
        <w:rPr>
          <w:rFonts w:ascii="Verdana" w:eastAsia="Times New Roman" w:hAnsi="Verdana" w:cs="Arial"/>
        </w:rPr>
      </w:pPr>
    </w:p>
    <w:p w14:paraId="7E77ABFA" w14:textId="77777777" w:rsidR="00B052BC" w:rsidRDefault="00B052BC" w:rsidP="00B052BC"/>
    <w:p w14:paraId="500D8204" w14:textId="77777777" w:rsidR="00B052BC" w:rsidRPr="008359AB" w:rsidRDefault="00B052BC" w:rsidP="00B052BC"/>
    <w:p w14:paraId="3900974D" w14:textId="77777777" w:rsidR="003D5B0D" w:rsidRPr="00F15C69" w:rsidRDefault="003D5B0D" w:rsidP="00F15C69"/>
    <w:sectPr w:rsidR="003D5B0D" w:rsidRPr="00F15C69"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EB48" w14:textId="77777777" w:rsidR="007D418C" w:rsidRDefault="007D418C" w:rsidP="004A1847">
      <w:pPr>
        <w:spacing w:after="0" w:line="240" w:lineRule="auto"/>
      </w:pPr>
      <w:r>
        <w:separator/>
      </w:r>
    </w:p>
  </w:endnote>
  <w:endnote w:type="continuationSeparator" w:id="0">
    <w:p w14:paraId="326277A6" w14:textId="77777777" w:rsidR="007D418C" w:rsidRDefault="007D418C" w:rsidP="004A1847">
      <w:pPr>
        <w:spacing w:after="0" w:line="240" w:lineRule="auto"/>
      </w:pPr>
      <w:r>
        <w:continuationSeparator/>
      </w:r>
    </w:p>
  </w:endnote>
  <w:endnote w:type="continuationNotice" w:id="1">
    <w:p w14:paraId="19E6D120" w14:textId="77777777" w:rsidR="007D418C" w:rsidRDefault="007D4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F0D7" w14:textId="77777777" w:rsidR="007D418C" w:rsidRDefault="007D418C" w:rsidP="004A1847">
      <w:pPr>
        <w:spacing w:after="0" w:line="240" w:lineRule="auto"/>
      </w:pPr>
      <w:r>
        <w:separator/>
      </w:r>
    </w:p>
  </w:footnote>
  <w:footnote w:type="continuationSeparator" w:id="0">
    <w:p w14:paraId="67F83EB0" w14:textId="77777777" w:rsidR="007D418C" w:rsidRDefault="007D418C" w:rsidP="004A1847">
      <w:pPr>
        <w:spacing w:after="0" w:line="240" w:lineRule="auto"/>
      </w:pPr>
      <w:r>
        <w:continuationSeparator/>
      </w:r>
    </w:p>
  </w:footnote>
  <w:footnote w:type="continuationNotice" w:id="1">
    <w:p w14:paraId="7896F889" w14:textId="77777777" w:rsidR="007D418C" w:rsidRDefault="007D418C">
      <w:pPr>
        <w:spacing w:after="0" w:line="240" w:lineRule="auto"/>
      </w:pPr>
    </w:p>
  </w:footnote>
  <w:footnote w:id="2">
    <w:p w14:paraId="61853C98" w14:textId="77777777" w:rsidR="00B052BC" w:rsidRPr="00D47DE7" w:rsidRDefault="00B052BC" w:rsidP="00B052BC">
      <w:pPr>
        <w:pStyle w:val="Textonotapie"/>
        <w:ind w:firstLine="720"/>
        <w:jc w:val="both"/>
        <w:rPr>
          <w:rFonts w:ascii="Verdana" w:hAnsi="Verdana" w:cs="Arial"/>
          <w:sz w:val="16"/>
          <w:szCs w:val="16"/>
        </w:rPr>
      </w:pPr>
      <w:r w:rsidRPr="00D47DE7">
        <w:rPr>
          <w:rStyle w:val="Refdenotaalpie"/>
          <w:rFonts w:ascii="Verdana" w:hAnsi="Verdana" w:cs="Arial"/>
          <w:sz w:val="16"/>
          <w:szCs w:val="16"/>
        </w:rPr>
        <w:footnoteRef/>
      </w:r>
      <w:r w:rsidRPr="00D47DE7">
        <w:rPr>
          <w:rFonts w:ascii="Verdana" w:hAnsi="Verdana" w:cs="Arial"/>
          <w:sz w:val="16"/>
          <w:szCs w:val="16"/>
        </w:rPr>
        <w:t xml:space="preserve"> Según este artículo: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w:t>
      </w:r>
    </w:p>
    <w:p w14:paraId="4F7273CD" w14:textId="77777777" w:rsidR="00B052BC" w:rsidRPr="00D47DE7" w:rsidRDefault="00B052BC" w:rsidP="00B052BC">
      <w:pPr>
        <w:spacing w:after="0" w:line="240" w:lineRule="auto"/>
        <w:ind w:firstLine="708"/>
        <w:jc w:val="both"/>
        <w:rPr>
          <w:rFonts w:ascii="Verdana" w:hAnsi="Verdana" w:cs="Arial"/>
          <w:sz w:val="16"/>
          <w:szCs w:val="16"/>
          <w:lang w:val="es-MX"/>
        </w:rPr>
      </w:pPr>
      <w:r w:rsidRPr="00D47DE7">
        <w:rPr>
          <w:rFonts w:ascii="Verdana" w:hAnsi="Verdana" w:cs="Arial"/>
          <w:sz w:val="16"/>
          <w:szCs w:val="16"/>
          <w:lang w:val="es-MX"/>
        </w:rPr>
        <w:t xml:space="preserve">“Son también contratos de consultoría los que tienen por objeto la interventoría, asesoría, gerencia de obra o de proyectos, dirección, programación y la ejecución de diseños, planos, anteproyectos y proyectos. </w:t>
      </w:r>
    </w:p>
    <w:p w14:paraId="74D15E7B" w14:textId="77777777" w:rsidR="00B052BC" w:rsidRPr="00D47DE7" w:rsidRDefault="00B052BC" w:rsidP="00B052BC">
      <w:pPr>
        <w:pStyle w:val="Textonotapie"/>
        <w:ind w:firstLine="708"/>
        <w:jc w:val="both"/>
        <w:rPr>
          <w:rFonts w:ascii="Verdana" w:hAnsi="Verdana" w:cs="Arial"/>
          <w:sz w:val="16"/>
          <w:szCs w:val="16"/>
          <w:lang w:val="es-CO"/>
        </w:rPr>
      </w:pPr>
      <w:r w:rsidRPr="00D47DE7">
        <w:rPr>
          <w:rFonts w:ascii="Verdana" w:hAnsi="Verdana" w:cs="Arial"/>
          <w:sz w:val="16"/>
          <w:szCs w:val="16"/>
          <w:lang w:val="es-CO"/>
        </w:rPr>
        <w:t>“Ninguna orden del interventor de una obra podrá darse verbalmente. Es obligatorio para el interventor entregar por escrito sus órdenes o sugerencias y ellas deben enmarcarse en los términos del respectivo contrato”.</w:t>
      </w:r>
    </w:p>
    <w:p w14:paraId="1F227AD0" w14:textId="77777777" w:rsidR="00B052BC" w:rsidRPr="00D47DE7" w:rsidRDefault="00B052BC" w:rsidP="00B052BC">
      <w:pPr>
        <w:pStyle w:val="Textonotapie"/>
        <w:jc w:val="both"/>
        <w:rPr>
          <w:rFonts w:ascii="Verdana" w:hAnsi="Verdana" w:cs="Arial"/>
          <w:sz w:val="16"/>
          <w:szCs w:val="16"/>
          <w:lang w:val="es-ES"/>
        </w:rPr>
      </w:pPr>
    </w:p>
  </w:footnote>
  <w:footnote w:id="3">
    <w:p w14:paraId="08CE4739" w14:textId="77777777" w:rsidR="00B052BC" w:rsidRPr="00D47DE7" w:rsidRDefault="00B052BC" w:rsidP="00B052BC">
      <w:pPr>
        <w:pStyle w:val="Textonotapie"/>
        <w:ind w:firstLine="708"/>
        <w:jc w:val="both"/>
        <w:rPr>
          <w:rFonts w:ascii="Verdana" w:hAnsi="Verdana" w:cs="Arial"/>
          <w:sz w:val="16"/>
          <w:szCs w:val="16"/>
        </w:rPr>
      </w:pPr>
      <w:r w:rsidRPr="00D47DE7">
        <w:rPr>
          <w:rStyle w:val="Refdenotaalpie"/>
          <w:rFonts w:ascii="Verdana" w:hAnsi="Verdana" w:cs="Arial"/>
          <w:sz w:val="16"/>
          <w:szCs w:val="16"/>
        </w:rPr>
        <w:footnoteRef/>
      </w:r>
      <w:r w:rsidRPr="00D47DE7">
        <w:rPr>
          <w:rFonts w:ascii="Verdana" w:hAnsi="Verdana" w:cs="Arial"/>
          <w:sz w:val="16"/>
          <w:szCs w:val="16"/>
        </w:rPr>
        <w:t xml:space="preserve"> DÁVILA VINUEZA, Guillermo. Régimen jurídico de la contratación estatal. Bogotá: Legis, 2016. p. 849.</w:t>
      </w:r>
    </w:p>
  </w:footnote>
  <w:footnote w:id="4">
    <w:p w14:paraId="37BDBA08" w14:textId="055A969A" w:rsidR="00EF12F7" w:rsidRPr="00ED5BE1" w:rsidRDefault="00EF12F7">
      <w:pPr>
        <w:pStyle w:val="Textonotapie"/>
        <w:rPr>
          <w:lang w:val="es-ES"/>
        </w:rPr>
      </w:pPr>
      <w:r>
        <w:rPr>
          <w:rStyle w:val="Refdenotaalpie"/>
        </w:rPr>
        <w:footnoteRef/>
      </w:r>
      <w:r>
        <w:t xml:space="preserve"> </w:t>
      </w:r>
      <w:r>
        <w:rPr>
          <w:lang w:val="es-ES"/>
        </w:rPr>
        <w:t>C-282 de 2024 expedido por la ANCP-CCE</w:t>
      </w:r>
    </w:p>
  </w:footnote>
  <w:footnote w:id="5">
    <w:p w14:paraId="6C8EF806" w14:textId="77777777" w:rsidR="00B052BC" w:rsidRPr="00D47DE7" w:rsidRDefault="00B052BC" w:rsidP="00B052BC">
      <w:pPr>
        <w:pStyle w:val="Textonotapie"/>
        <w:ind w:firstLine="708"/>
        <w:jc w:val="both"/>
        <w:rPr>
          <w:rFonts w:ascii="Verdana" w:hAnsi="Verdana" w:cs="Arial"/>
          <w:sz w:val="16"/>
          <w:szCs w:val="16"/>
          <w:lang w:val="es-ES"/>
        </w:rPr>
      </w:pPr>
      <w:r w:rsidRPr="00D47DE7">
        <w:rPr>
          <w:rStyle w:val="Refdenotaalpie"/>
          <w:rFonts w:ascii="Verdana" w:hAnsi="Verdana" w:cs="Arial"/>
          <w:sz w:val="16"/>
          <w:szCs w:val="16"/>
        </w:rPr>
        <w:footnoteRef/>
      </w:r>
      <w:r w:rsidRPr="00D47DE7">
        <w:rPr>
          <w:rFonts w:ascii="Verdana" w:hAnsi="Verdana" w:cs="Arial"/>
          <w:sz w:val="16"/>
          <w:szCs w:val="16"/>
        </w:rPr>
        <w:t xml:space="preserve"> CONSEJO DE ESTADO. Sección Tercera. Subsección C. Sentencia del 25 de abril del 2012. Radicado. 52001-23-31-000-2000-00173-01(22167). Magistrado Ponente: Jaime Orlando Santofimio Gamboa.</w:t>
      </w:r>
    </w:p>
  </w:footnote>
  <w:footnote w:id="6">
    <w:p w14:paraId="43CDDF5D" w14:textId="77777777" w:rsidR="00B052BC" w:rsidRPr="002C394D" w:rsidRDefault="00B052BC" w:rsidP="00B052BC">
      <w:pPr>
        <w:pStyle w:val="Textonotapie"/>
        <w:ind w:firstLine="709"/>
        <w:jc w:val="both"/>
        <w:rPr>
          <w:rFonts w:ascii="Verdana" w:hAnsi="Verdana" w:cs="Arial"/>
          <w:color w:val="000000" w:themeColor="text1"/>
          <w:sz w:val="16"/>
          <w:szCs w:val="16"/>
          <w:lang w:val="es-ES"/>
        </w:rPr>
      </w:pPr>
      <w:r w:rsidRPr="002C394D">
        <w:rPr>
          <w:rStyle w:val="Refdenotaalpie"/>
          <w:rFonts w:ascii="Verdana" w:hAnsi="Verdana" w:cs="Arial"/>
          <w:sz w:val="16"/>
          <w:szCs w:val="16"/>
        </w:rPr>
        <w:footnoteRef/>
      </w:r>
      <w:r w:rsidRPr="002C394D">
        <w:rPr>
          <w:rFonts w:ascii="Verdana" w:hAnsi="Verdana" w:cs="Arial"/>
          <w:color w:val="000000" w:themeColor="text1"/>
          <w:sz w:val="16"/>
          <w:szCs w:val="16"/>
        </w:rPr>
        <w:t xml:space="preserve"> Según este artículo: </w:t>
      </w:r>
      <w:r w:rsidRPr="002C394D">
        <w:rPr>
          <w:rFonts w:ascii="Verdana" w:hAnsi="Verdana" w:cs="Arial"/>
          <w:color w:val="000000" w:themeColor="text1"/>
          <w:sz w:val="16"/>
          <w:szCs w:val="16"/>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BFEBCE4" w14:textId="77777777" w:rsidR="00B052BC" w:rsidRPr="002C394D" w:rsidRDefault="00B052BC" w:rsidP="00B052BC">
      <w:pPr>
        <w:pStyle w:val="Textonotapie"/>
        <w:ind w:firstLine="709"/>
        <w:jc w:val="both"/>
        <w:rPr>
          <w:rFonts w:ascii="Verdana" w:hAnsi="Verdana" w:cs="Arial"/>
          <w:color w:val="000000" w:themeColor="text1"/>
          <w:sz w:val="16"/>
          <w:szCs w:val="16"/>
          <w:lang w:val="es-ES"/>
        </w:rPr>
      </w:pPr>
      <w:proofErr w:type="gramStart"/>
      <w:r w:rsidRPr="002C394D">
        <w:rPr>
          <w:rFonts w:ascii="Verdana" w:hAnsi="Verdana" w:cs="Arial"/>
          <w:color w:val="000000" w:themeColor="text1"/>
          <w:sz w:val="16"/>
          <w:szCs w:val="16"/>
          <w:lang w:val="es-ES"/>
        </w:rPr>
        <w:t>»Son</w:t>
      </w:r>
      <w:proofErr w:type="gramEnd"/>
      <w:r w:rsidRPr="002C394D">
        <w:rPr>
          <w:rFonts w:ascii="Verdana" w:hAnsi="Verdana" w:cs="Arial"/>
          <w:color w:val="000000" w:themeColor="text1"/>
          <w:sz w:val="16"/>
          <w:szCs w:val="16"/>
          <w:lang w:val="es-ES"/>
        </w:rPr>
        <w:t xml:space="preserve"> también contratos de consultoría los que tienen por objeto la interventoría, asesoría, gerencia de obra o de proyectos, dirección, programación y la ejecución de diseños, planos, anteproyectos y proyectos.</w:t>
      </w:r>
    </w:p>
    <w:p w14:paraId="06A142F6" w14:textId="77777777" w:rsidR="00B052BC" w:rsidRPr="002C394D" w:rsidRDefault="00B052BC" w:rsidP="00B052BC">
      <w:pPr>
        <w:pStyle w:val="Textonotapie"/>
        <w:ind w:firstLine="709"/>
        <w:jc w:val="both"/>
        <w:rPr>
          <w:rFonts w:ascii="Verdana" w:hAnsi="Verdana" w:cs="Arial"/>
          <w:color w:val="000000" w:themeColor="text1"/>
          <w:sz w:val="16"/>
          <w:szCs w:val="16"/>
          <w:lang w:val="es-ES"/>
        </w:rPr>
      </w:pPr>
      <w:r w:rsidRPr="002C394D">
        <w:rPr>
          <w:rFonts w:ascii="Verdana" w:hAnsi="Verdana" w:cs="Arial"/>
          <w:color w:val="000000" w:themeColor="text1"/>
          <w:sz w:val="16"/>
          <w:szCs w:val="16"/>
          <w:lang w:val="es-ES"/>
        </w:rPr>
        <w:t>»Ninguna orden del interventor de una obra podrá darse verbalmente. Es obligatorio para el interventor entregar por escrito sus órdenes o sugerencias y ellas deben enmarcarse dentro de los términos del respectivo contrato».</w:t>
      </w:r>
    </w:p>
    <w:p w14:paraId="73927975" w14:textId="77777777" w:rsidR="00B052BC" w:rsidRPr="002C394D" w:rsidRDefault="00B052BC" w:rsidP="00B052BC">
      <w:pPr>
        <w:pStyle w:val="Textonotapie"/>
        <w:ind w:firstLine="709"/>
        <w:jc w:val="both"/>
        <w:rPr>
          <w:rFonts w:ascii="Verdana" w:hAnsi="Verdana" w:cs="Arial"/>
          <w:color w:val="000000" w:themeColor="text1"/>
          <w:sz w:val="16"/>
          <w:szCs w:val="16"/>
          <w:lang w:val="es-ES"/>
        </w:rPr>
      </w:pPr>
    </w:p>
  </w:footnote>
  <w:footnote w:id="7">
    <w:p w14:paraId="554A7025" w14:textId="77777777" w:rsidR="00B052BC" w:rsidRPr="002C394D" w:rsidRDefault="00B052BC" w:rsidP="00B052BC">
      <w:pPr>
        <w:pStyle w:val="Textonotapie"/>
        <w:ind w:firstLine="708"/>
        <w:jc w:val="both"/>
        <w:rPr>
          <w:rFonts w:ascii="Verdana" w:hAnsi="Verdana" w:cs="Arial"/>
          <w:bCs/>
          <w:sz w:val="16"/>
          <w:szCs w:val="16"/>
          <w:shd w:val="clear" w:color="auto" w:fill="FFFFFF"/>
        </w:rPr>
      </w:pPr>
      <w:r w:rsidRPr="002C394D">
        <w:rPr>
          <w:rStyle w:val="Refdenotaalpie"/>
          <w:rFonts w:ascii="Verdana" w:hAnsi="Verdana" w:cs="Arial"/>
          <w:sz w:val="16"/>
          <w:szCs w:val="16"/>
        </w:rPr>
        <w:footnoteRef/>
      </w:r>
      <w:r w:rsidRPr="002C394D">
        <w:rPr>
          <w:rFonts w:ascii="Verdana" w:hAnsi="Verdana" w:cs="Arial"/>
          <w:sz w:val="16"/>
          <w:szCs w:val="16"/>
        </w:rPr>
        <w:t xml:space="preserve"> CONSEJO DE ESTADO. Sección Tercera. Subsección C. Sentencia de Unificación del 2 de diciembre de 2013. Radicado. </w:t>
      </w:r>
      <w:r w:rsidRPr="002C394D">
        <w:rPr>
          <w:rFonts w:ascii="Verdana" w:hAnsi="Verdana" w:cs="Arial"/>
          <w:bCs/>
          <w:sz w:val="16"/>
          <w:szCs w:val="16"/>
          <w:shd w:val="clear" w:color="auto" w:fill="FFFFFF"/>
        </w:rPr>
        <w:t>11001-03-26-000-2011-00039-00(41719). Magistrado Ponente: Jaime Orlando Santofimio Gamboa.</w:t>
      </w:r>
    </w:p>
    <w:p w14:paraId="23BD11FC" w14:textId="77777777" w:rsidR="00B052BC" w:rsidRPr="002C394D" w:rsidRDefault="00B052BC" w:rsidP="00B052BC">
      <w:pPr>
        <w:pStyle w:val="Textonotapie"/>
        <w:ind w:firstLine="708"/>
        <w:jc w:val="both"/>
        <w:rPr>
          <w:rFonts w:ascii="Verdana" w:hAnsi="Verdana" w:cs="Arial"/>
          <w:sz w:val="16"/>
          <w:szCs w:val="16"/>
          <w:lang w:val="es-ES"/>
        </w:rPr>
      </w:pPr>
    </w:p>
  </w:footnote>
  <w:footnote w:id="8">
    <w:p w14:paraId="2767C285" w14:textId="77777777" w:rsidR="00B052BC" w:rsidRPr="002C394D" w:rsidRDefault="00B052BC" w:rsidP="00B052BC">
      <w:pPr>
        <w:pStyle w:val="Textonotapie"/>
        <w:ind w:firstLine="708"/>
        <w:jc w:val="both"/>
        <w:rPr>
          <w:rFonts w:ascii="Verdana" w:hAnsi="Verdana" w:cs="Arial"/>
          <w:bCs/>
          <w:sz w:val="16"/>
          <w:szCs w:val="16"/>
          <w:shd w:val="clear" w:color="auto" w:fill="FFFFFF"/>
        </w:rPr>
      </w:pPr>
      <w:r w:rsidRPr="002C394D">
        <w:rPr>
          <w:rStyle w:val="Refdenotaalpie"/>
          <w:rFonts w:ascii="Verdana" w:hAnsi="Verdana" w:cs="Arial"/>
          <w:sz w:val="16"/>
          <w:szCs w:val="16"/>
        </w:rPr>
        <w:footnoteRef/>
      </w:r>
      <w:r w:rsidRPr="002C394D">
        <w:rPr>
          <w:rFonts w:ascii="Verdana" w:hAnsi="Verdana" w:cs="Arial"/>
          <w:sz w:val="16"/>
          <w:szCs w:val="16"/>
        </w:rPr>
        <w:t xml:space="preserve"> CONSEJO DE ESTADO. Sección Tercera. Subsección C. Sentencia del 2 de diciembre de 2013. Radicado. </w:t>
      </w:r>
      <w:r w:rsidRPr="002C394D">
        <w:rPr>
          <w:rFonts w:ascii="Verdana" w:hAnsi="Verdana" w:cs="Arial"/>
          <w:bCs/>
          <w:sz w:val="16"/>
          <w:szCs w:val="16"/>
          <w:shd w:val="clear" w:color="auto" w:fill="FFFFFF"/>
        </w:rPr>
        <w:t xml:space="preserve">11001-03-26-000-2011-00039-00(41719). Magistrado Ponente: Jaime Orlando Santofimio Gamboa. </w:t>
      </w:r>
    </w:p>
    <w:p w14:paraId="529E3737" w14:textId="77777777" w:rsidR="00B052BC" w:rsidRPr="002C394D" w:rsidRDefault="00B052BC" w:rsidP="00B052BC">
      <w:pPr>
        <w:pStyle w:val="Textonotapie"/>
        <w:ind w:firstLine="708"/>
        <w:jc w:val="both"/>
        <w:rPr>
          <w:rFonts w:ascii="Verdana" w:hAnsi="Verdana" w:cs="Arial"/>
          <w:sz w:val="16"/>
          <w:szCs w:val="16"/>
        </w:rPr>
      </w:pPr>
    </w:p>
  </w:footnote>
  <w:footnote w:id="9">
    <w:p w14:paraId="1AB91D16" w14:textId="77777777" w:rsidR="00B052BC" w:rsidRPr="002C394D" w:rsidRDefault="00B052BC" w:rsidP="00B052BC">
      <w:pPr>
        <w:pStyle w:val="Textonotapie"/>
        <w:ind w:firstLine="708"/>
        <w:jc w:val="both"/>
        <w:rPr>
          <w:rFonts w:ascii="Verdana" w:hAnsi="Verdana" w:cs="Arial"/>
          <w:sz w:val="16"/>
          <w:szCs w:val="16"/>
        </w:rPr>
      </w:pPr>
      <w:r w:rsidRPr="002C394D">
        <w:rPr>
          <w:rStyle w:val="Refdenotaalpie"/>
          <w:rFonts w:ascii="Verdana" w:hAnsi="Verdana" w:cs="Arial"/>
          <w:sz w:val="16"/>
          <w:szCs w:val="16"/>
        </w:rPr>
        <w:footnoteRef/>
      </w:r>
      <w:r w:rsidRPr="002C394D">
        <w:rPr>
          <w:rFonts w:ascii="Verdana" w:hAnsi="Verdana" w:cs="Arial"/>
          <w:sz w:val="16"/>
          <w:szCs w:val="16"/>
        </w:rPr>
        <w:t xml:space="preserve"> REAL ACADEMIA DE LA LENGUA ESPAÑOLA. Diccionario jurídico panhispánico de español jurídico. Disponible en línea: </w:t>
      </w:r>
      <w:hyperlink r:id="rId1" w:history="1">
        <w:r w:rsidRPr="002C394D">
          <w:rPr>
            <w:rStyle w:val="Hipervnculo"/>
            <w:rFonts w:ascii="Verdana" w:hAnsi="Verdana" w:cs="Arial"/>
            <w:sz w:val="16"/>
            <w:szCs w:val="16"/>
          </w:rPr>
          <w:t>https://dpej.rae.es/lema/asesor%C3%ADa</w:t>
        </w:r>
      </w:hyperlink>
      <w:r w:rsidRPr="002C394D">
        <w:rPr>
          <w:rFonts w:ascii="Verdana" w:hAnsi="Verdana" w:cs="Arial"/>
          <w:sz w:val="16"/>
          <w:szCs w:val="16"/>
        </w:rPr>
        <w:t xml:space="preserve">. </w:t>
      </w:r>
    </w:p>
    <w:p w14:paraId="4A9DA23E" w14:textId="77777777" w:rsidR="00B052BC" w:rsidRPr="002C394D" w:rsidRDefault="00B052BC" w:rsidP="00B052BC">
      <w:pPr>
        <w:pStyle w:val="Textonotapie"/>
        <w:ind w:firstLine="708"/>
        <w:jc w:val="both"/>
        <w:rPr>
          <w:rFonts w:ascii="Verdana" w:hAnsi="Verdana" w:cs="Arial"/>
          <w:sz w:val="16"/>
          <w:szCs w:val="16"/>
          <w:lang w:val="es-ES"/>
        </w:rPr>
      </w:pPr>
    </w:p>
  </w:footnote>
  <w:footnote w:id="10">
    <w:p w14:paraId="1C6608C8" w14:textId="77777777" w:rsidR="00B052BC" w:rsidRPr="002C394D" w:rsidRDefault="00B052BC" w:rsidP="00B052BC">
      <w:pPr>
        <w:pStyle w:val="Textonotapie"/>
        <w:ind w:firstLine="708"/>
        <w:jc w:val="both"/>
        <w:rPr>
          <w:rFonts w:ascii="Verdana" w:hAnsi="Verdana" w:cs="Arial"/>
          <w:sz w:val="16"/>
          <w:szCs w:val="16"/>
          <w:lang w:val="es-ES"/>
        </w:rPr>
      </w:pPr>
      <w:r w:rsidRPr="002C394D">
        <w:rPr>
          <w:rStyle w:val="Refdenotaalpie"/>
          <w:rFonts w:ascii="Verdana" w:hAnsi="Verdana" w:cs="Arial"/>
          <w:sz w:val="16"/>
          <w:szCs w:val="16"/>
        </w:rPr>
        <w:footnoteRef/>
      </w:r>
      <w:r w:rsidRPr="002C394D">
        <w:rPr>
          <w:rFonts w:ascii="Verdana" w:hAnsi="Verdana" w:cs="Arial"/>
          <w:sz w:val="16"/>
          <w:szCs w:val="16"/>
        </w:rPr>
        <w:t xml:space="preserve"> MATALLANA CAMACHO, Ernesto. Manual de Contratación de la Administración Pública. Reforma de la Ley 80 de 1993. Bogotá: Universidad Externado de Colombia, 2015. p. 968.</w:t>
      </w:r>
    </w:p>
  </w:footnote>
  <w:footnote w:id="11">
    <w:p w14:paraId="116B957C" w14:textId="77777777" w:rsidR="00B052BC" w:rsidRPr="00167C84" w:rsidRDefault="00B052BC" w:rsidP="00B052BC">
      <w:pPr>
        <w:pStyle w:val="Textonotapie"/>
        <w:ind w:firstLine="709"/>
        <w:jc w:val="both"/>
        <w:rPr>
          <w:rFonts w:ascii="Verdana" w:eastAsia="Calibri" w:hAnsi="Verdana" w:cs="Arial"/>
          <w:sz w:val="16"/>
          <w:szCs w:val="16"/>
          <w:lang w:val="es-ES_tradnl" w:eastAsia="es-ES_tradnl"/>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PINO RICCI, Jorge. El régimen jurídico de los contratos estatales. Universidad Externado de Colombia. Bogotá, 2005. pp. 416.</w:t>
      </w:r>
    </w:p>
    <w:p w14:paraId="67526BB2" w14:textId="77777777" w:rsidR="00B052BC" w:rsidRPr="00167C84" w:rsidRDefault="00B052BC" w:rsidP="00B052BC">
      <w:pPr>
        <w:pStyle w:val="Textonotapie"/>
        <w:ind w:firstLine="709"/>
        <w:jc w:val="both"/>
        <w:rPr>
          <w:rFonts w:ascii="Verdana" w:hAnsi="Verdana" w:cs="Arial"/>
          <w:sz w:val="16"/>
          <w:szCs w:val="16"/>
          <w:lang w:val="es-CO"/>
        </w:rPr>
      </w:pPr>
    </w:p>
  </w:footnote>
  <w:footnote w:id="12">
    <w:p w14:paraId="5FFA6799" w14:textId="77777777" w:rsidR="00B052BC" w:rsidRPr="00167C84" w:rsidRDefault="00B052BC" w:rsidP="00B052BC">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 xml:space="preserve">CONSEJO DE ESTADO. Sección Tercera. Subsección B. Sentencia del 14 de octubre de 2011. </w:t>
      </w:r>
      <w:r w:rsidRPr="00167C84">
        <w:rPr>
          <w:rFonts w:ascii="Verdana" w:eastAsia="Calibri" w:hAnsi="Verdana" w:cs="Arial"/>
          <w:sz w:val="16"/>
          <w:szCs w:val="16"/>
          <w:lang w:val="es-ES_tradnl" w:eastAsia="es-ES_tradnl"/>
        </w:rPr>
        <w:t>Exp. 20811, C.P. Ruth Stella Correa Palacio.</w:t>
      </w:r>
    </w:p>
    <w:p w14:paraId="246553EA" w14:textId="77777777" w:rsidR="00B052BC" w:rsidRPr="00167C84" w:rsidRDefault="00B052BC" w:rsidP="00B052BC">
      <w:pPr>
        <w:pStyle w:val="Textonotapie"/>
        <w:jc w:val="both"/>
        <w:rPr>
          <w:rFonts w:ascii="Verdana" w:hAnsi="Verdana" w:cs="Arial"/>
          <w:sz w:val="16"/>
          <w:szCs w:val="16"/>
          <w:lang w:val="es-ES"/>
        </w:rPr>
      </w:pPr>
    </w:p>
  </w:footnote>
  <w:footnote w:id="13">
    <w:p w14:paraId="5E511119" w14:textId="77777777" w:rsidR="00B052BC" w:rsidRPr="00167C84" w:rsidRDefault="00B052BC" w:rsidP="00B052BC">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CONSEJO DE ESTADO. Sala de Consulta y Servicio Civil. Concepto del 5 de septiembre de 2018, radicado No. 11001-03-06-000-2018-00124-00 C.P. Édgar González López.</w:t>
      </w:r>
    </w:p>
    <w:p w14:paraId="6709C4CC" w14:textId="77777777" w:rsidR="00B052BC" w:rsidRPr="00167C84" w:rsidRDefault="00B052BC" w:rsidP="00B052BC">
      <w:pPr>
        <w:pStyle w:val="Textonotapie"/>
        <w:jc w:val="both"/>
        <w:rPr>
          <w:rFonts w:ascii="Verdana" w:hAnsi="Verdana" w:cs="Arial"/>
          <w:sz w:val="16"/>
          <w:szCs w:val="16"/>
          <w:lang w:val="es-ES"/>
        </w:rPr>
      </w:pPr>
    </w:p>
  </w:footnote>
  <w:footnote w:id="14">
    <w:p w14:paraId="7CCFA258" w14:textId="77777777" w:rsidR="00B052BC" w:rsidRPr="00167C84" w:rsidRDefault="00B052BC" w:rsidP="00B052BC">
      <w:pPr>
        <w:pStyle w:val="Textonotapie"/>
        <w:ind w:firstLine="708"/>
        <w:jc w:val="both"/>
        <w:rPr>
          <w:rFonts w:ascii="Verdana" w:eastAsia="Calibri" w:hAnsi="Verdana" w:cs="Arial"/>
          <w:sz w:val="16"/>
          <w:szCs w:val="16"/>
          <w:lang w:val="es-ES_tradnl" w:eastAsia="es-ES_tradnl"/>
        </w:rPr>
      </w:pPr>
      <w:r w:rsidRPr="00167C84">
        <w:rPr>
          <w:rFonts w:ascii="Verdana" w:eastAsia="Calibri" w:hAnsi="Verdana"/>
          <w:sz w:val="16"/>
          <w:szCs w:val="16"/>
          <w:lang w:val="es-ES_tradnl" w:eastAsia="es-ES_tradnl"/>
        </w:rPr>
        <w:footnoteRef/>
      </w:r>
      <w:r w:rsidRPr="00167C84">
        <w:rPr>
          <w:rFonts w:ascii="Verdana" w:eastAsia="Calibri" w:hAnsi="Verdana" w:cs="Arial"/>
          <w:sz w:val="16"/>
          <w:szCs w:val="16"/>
          <w:lang w:val="es-ES_tradnl" w:eastAsia="es-ES_tradnl"/>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4493FAD0" w14:textId="77777777" w:rsidR="00B052BC" w:rsidRPr="00167C84" w:rsidRDefault="00B052BC" w:rsidP="00B052BC">
      <w:pPr>
        <w:pStyle w:val="Textonotapie"/>
        <w:ind w:firstLine="708"/>
        <w:jc w:val="both"/>
        <w:rPr>
          <w:rFonts w:ascii="Verdana" w:eastAsia="Calibri" w:hAnsi="Verdana" w:cs="Arial"/>
          <w:sz w:val="16"/>
          <w:szCs w:val="16"/>
          <w:lang w:val="es-ES_tradnl" w:eastAsia="es-ES_tradnl"/>
        </w:rPr>
      </w:pPr>
    </w:p>
  </w:footnote>
  <w:footnote w:id="15">
    <w:p w14:paraId="7C09C651" w14:textId="77777777" w:rsidR="00B052BC" w:rsidRPr="00167C84" w:rsidRDefault="00B052BC" w:rsidP="00B052BC">
      <w:pPr>
        <w:pStyle w:val="Textonotapie"/>
        <w:ind w:firstLine="708"/>
        <w:jc w:val="both"/>
        <w:rPr>
          <w:rFonts w:ascii="Verdana" w:hAnsi="Verdana" w:cs="Arial"/>
          <w:sz w:val="16"/>
          <w:szCs w:val="16"/>
        </w:rPr>
      </w:pPr>
      <w:r w:rsidRPr="00167C84">
        <w:rPr>
          <w:rFonts w:ascii="Verdana" w:eastAsia="Calibri" w:hAnsi="Verdana"/>
          <w:sz w:val="16"/>
          <w:szCs w:val="16"/>
          <w:lang w:val="es-ES_tradnl" w:eastAsia="es-ES_tradnl"/>
        </w:rPr>
        <w:footnoteRef/>
      </w:r>
      <w:r w:rsidRPr="00167C84">
        <w:rPr>
          <w:rFonts w:ascii="Verdana" w:eastAsia="Calibri" w:hAnsi="Verdana" w:cs="Arial"/>
          <w:sz w:val="16"/>
          <w:szCs w:val="16"/>
          <w:lang w:val="es-ES_tradnl" w:eastAsia="es-ES_tradnl"/>
        </w:rPr>
        <w:t xml:space="preserve">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167C84">
        <w:rPr>
          <w:rFonts w:ascii="Verdana" w:hAnsi="Verdana" w:cs="Arial"/>
          <w:sz w:val="16"/>
          <w:szCs w:val="16"/>
        </w:rPr>
        <w:t xml:space="preserve"> </w:t>
      </w:r>
    </w:p>
    <w:p w14:paraId="1E09F994" w14:textId="77777777" w:rsidR="00B052BC" w:rsidRPr="00167C84" w:rsidRDefault="00B052BC" w:rsidP="00B052BC">
      <w:pPr>
        <w:pStyle w:val="Textonotapie"/>
        <w:ind w:firstLine="708"/>
        <w:jc w:val="both"/>
        <w:rPr>
          <w:rFonts w:ascii="Verdana" w:hAnsi="Verdana" w:cs="Arial"/>
          <w:sz w:val="16"/>
          <w:szCs w:val="16"/>
          <w:lang w:val="es-CO"/>
        </w:rPr>
      </w:pPr>
    </w:p>
  </w:footnote>
  <w:footnote w:id="16">
    <w:p w14:paraId="4548C04D" w14:textId="77777777" w:rsidR="00B052BC" w:rsidRPr="00167C84" w:rsidRDefault="00B052BC" w:rsidP="00B052BC">
      <w:pPr>
        <w:pStyle w:val="Textonotapie"/>
        <w:ind w:firstLine="708"/>
        <w:jc w:val="both"/>
        <w:rPr>
          <w:rFonts w:ascii="Verdana" w:hAnsi="Verdana" w:cs="Arial"/>
          <w:sz w:val="16"/>
          <w:szCs w:val="16"/>
          <w:lang w:val="es-ES"/>
        </w:rPr>
      </w:pPr>
      <w:r w:rsidRPr="00167C84">
        <w:rPr>
          <w:rStyle w:val="Refdenotaalpie"/>
          <w:rFonts w:ascii="Verdana" w:hAnsi="Verdana" w:cs="Arial"/>
          <w:sz w:val="16"/>
          <w:szCs w:val="16"/>
        </w:rPr>
        <w:footnoteRef/>
      </w:r>
      <w:r w:rsidRPr="00167C84">
        <w:rPr>
          <w:rFonts w:ascii="Verdana" w:hAnsi="Verdana" w:cs="Arial"/>
          <w:sz w:val="16"/>
          <w:szCs w:val="16"/>
        </w:rPr>
        <w:t xml:space="preserve">Frente a ello, esta Agencia en respuesta a consulta del 27 de septiembre de 2017, indicó, </w:t>
      </w:r>
      <w:r w:rsidRPr="00167C84">
        <w:rPr>
          <w:rFonts w:ascii="Verdana" w:eastAsia="Calibri" w:hAnsi="Verdana" w:cs="Arial"/>
          <w:sz w:val="16"/>
          <w:szCs w:val="16"/>
        </w:rPr>
        <w:t>«</w:t>
      </w:r>
      <w:r w:rsidRPr="00167C84">
        <w:rPr>
          <w:rFonts w:ascii="Verdana" w:hAnsi="Verdana" w:cs="Arial"/>
          <w:sz w:val="16"/>
          <w:szCs w:val="16"/>
        </w:rPr>
        <w:t>en los concursos de méritos no es obligatorio aplicar el factor multiplicador debido a que no existe norma vigente que lo haya previsto de manera expresa en la forma de pago de los contratos de consultoría y/o interventoría. Pero es viable jurídicamente utilizar el factor multiplicador como fórmula para la determinación de los costos del contrato, caso en el cual, el contratista debe demostrar el gasto de todos los componentes de costo que se tuvieron en cuenta para determinarlo</w:t>
      </w:r>
      <w:r w:rsidRPr="00167C84">
        <w:rPr>
          <w:rFonts w:ascii="Verdana" w:eastAsia="Calibri" w:hAnsi="Verdana" w:cs="Arial"/>
          <w:sz w:val="16"/>
          <w:szCs w:val="16"/>
        </w:rPr>
        <w:t>»</w:t>
      </w:r>
      <w:r w:rsidRPr="00167C84">
        <w:rPr>
          <w:rFonts w:ascii="Verdana" w:hAnsi="Verdana" w:cs="Arial"/>
          <w:sz w:val="16"/>
          <w:szCs w:val="16"/>
        </w:rPr>
        <w:t xml:space="preserve"> </w:t>
      </w:r>
      <w:r w:rsidRPr="00167C84">
        <w:rPr>
          <w:rFonts w:ascii="Verdana" w:hAnsi="Verdana" w:cs="Arial"/>
          <w:sz w:val="16"/>
          <w:szCs w:val="16"/>
          <w:lang w:val="es-ES"/>
        </w:rPr>
        <w:t>Radicación: Respuesta a consulta #4201714000006240 Temas: Contrato de consultoría Tipo de asunto consultado: Cómo se aplica y evalúa el factor multiplicador.</w:t>
      </w:r>
    </w:p>
    <w:p w14:paraId="1306344D" w14:textId="77777777" w:rsidR="00B052BC" w:rsidRPr="00167C84" w:rsidRDefault="00B052BC" w:rsidP="00B052BC">
      <w:pPr>
        <w:pStyle w:val="Textonotapie"/>
        <w:ind w:firstLine="708"/>
        <w:jc w:val="both"/>
        <w:rPr>
          <w:rFonts w:ascii="Verdana" w:hAnsi="Verdana"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769791B"/>
    <w:multiLevelType w:val="hybridMultilevel"/>
    <w:tmpl w:val="87E27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287092"/>
    <w:multiLevelType w:val="hybridMultilevel"/>
    <w:tmpl w:val="C3123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153E09"/>
    <w:multiLevelType w:val="hybridMultilevel"/>
    <w:tmpl w:val="372C2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01254"/>
    <w:multiLevelType w:val="hybridMultilevel"/>
    <w:tmpl w:val="8F6A6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1"/>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0"/>
  </w:num>
  <w:num w:numId="13" w16cid:durableId="1512908409">
    <w:abstractNumId w:val="5"/>
  </w:num>
  <w:num w:numId="14" w16cid:durableId="895897244">
    <w:abstractNumId w:val="16"/>
  </w:num>
  <w:num w:numId="15" w16cid:durableId="390349800">
    <w:abstractNumId w:val="12"/>
  </w:num>
  <w:num w:numId="16" w16cid:durableId="193815473">
    <w:abstractNumId w:val="11"/>
  </w:num>
  <w:num w:numId="17" w16cid:durableId="1581712410">
    <w:abstractNumId w:val="2"/>
  </w:num>
  <w:num w:numId="18" w16cid:durableId="1128814357">
    <w:abstractNumId w:val="3"/>
  </w:num>
  <w:num w:numId="19" w16cid:durableId="102921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448F"/>
    <w:rsid w:val="00046945"/>
    <w:rsid w:val="00056907"/>
    <w:rsid w:val="00061B2A"/>
    <w:rsid w:val="00082362"/>
    <w:rsid w:val="000A683E"/>
    <w:rsid w:val="000B19B9"/>
    <w:rsid w:val="000C4176"/>
    <w:rsid w:val="000D0334"/>
    <w:rsid w:val="000F2593"/>
    <w:rsid w:val="000F6486"/>
    <w:rsid w:val="001234E1"/>
    <w:rsid w:val="00125105"/>
    <w:rsid w:val="00127233"/>
    <w:rsid w:val="001511A0"/>
    <w:rsid w:val="00193C61"/>
    <w:rsid w:val="001E4177"/>
    <w:rsid w:val="001F7DC6"/>
    <w:rsid w:val="002421BB"/>
    <w:rsid w:val="0024372A"/>
    <w:rsid w:val="0025796E"/>
    <w:rsid w:val="002707A2"/>
    <w:rsid w:val="002951A0"/>
    <w:rsid w:val="002962BC"/>
    <w:rsid w:val="002A093D"/>
    <w:rsid w:val="002A0DD0"/>
    <w:rsid w:val="002A49AC"/>
    <w:rsid w:val="002A64FD"/>
    <w:rsid w:val="002C7A84"/>
    <w:rsid w:val="002E4FD9"/>
    <w:rsid w:val="00322A85"/>
    <w:rsid w:val="00324168"/>
    <w:rsid w:val="003448F4"/>
    <w:rsid w:val="00373B01"/>
    <w:rsid w:val="00374F5E"/>
    <w:rsid w:val="00377E3E"/>
    <w:rsid w:val="003A779E"/>
    <w:rsid w:val="003D0F4D"/>
    <w:rsid w:val="003D5B0D"/>
    <w:rsid w:val="003E0499"/>
    <w:rsid w:val="003E29B3"/>
    <w:rsid w:val="003E5CB7"/>
    <w:rsid w:val="003F3941"/>
    <w:rsid w:val="00406575"/>
    <w:rsid w:val="00414C74"/>
    <w:rsid w:val="0042722E"/>
    <w:rsid w:val="0044528D"/>
    <w:rsid w:val="004A1847"/>
    <w:rsid w:val="004A305D"/>
    <w:rsid w:val="004C5887"/>
    <w:rsid w:val="004F21C4"/>
    <w:rsid w:val="004F685F"/>
    <w:rsid w:val="005100F5"/>
    <w:rsid w:val="00550340"/>
    <w:rsid w:val="005566E8"/>
    <w:rsid w:val="00574867"/>
    <w:rsid w:val="00591460"/>
    <w:rsid w:val="005B3816"/>
    <w:rsid w:val="005B3CA6"/>
    <w:rsid w:val="005C3777"/>
    <w:rsid w:val="005C5CDC"/>
    <w:rsid w:val="005D476C"/>
    <w:rsid w:val="006219F8"/>
    <w:rsid w:val="00665D70"/>
    <w:rsid w:val="006900D9"/>
    <w:rsid w:val="00706C16"/>
    <w:rsid w:val="00720E12"/>
    <w:rsid w:val="00756841"/>
    <w:rsid w:val="007649AB"/>
    <w:rsid w:val="00771D0C"/>
    <w:rsid w:val="0077257B"/>
    <w:rsid w:val="007833AC"/>
    <w:rsid w:val="007A159C"/>
    <w:rsid w:val="007B268C"/>
    <w:rsid w:val="007B7171"/>
    <w:rsid w:val="007C0C0F"/>
    <w:rsid w:val="007C3DC2"/>
    <w:rsid w:val="007D418C"/>
    <w:rsid w:val="007E5497"/>
    <w:rsid w:val="00805A49"/>
    <w:rsid w:val="00806F5F"/>
    <w:rsid w:val="00820278"/>
    <w:rsid w:val="008359AB"/>
    <w:rsid w:val="00867F95"/>
    <w:rsid w:val="008843B6"/>
    <w:rsid w:val="00891928"/>
    <w:rsid w:val="008A446D"/>
    <w:rsid w:val="008D180B"/>
    <w:rsid w:val="008D2B7A"/>
    <w:rsid w:val="008E6E6A"/>
    <w:rsid w:val="008F0EA7"/>
    <w:rsid w:val="008F7A20"/>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70258"/>
    <w:rsid w:val="00AB0ADB"/>
    <w:rsid w:val="00B01B1A"/>
    <w:rsid w:val="00B052BC"/>
    <w:rsid w:val="00B37446"/>
    <w:rsid w:val="00B66319"/>
    <w:rsid w:val="00B72CD3"/>
    <w:rsid w:val="00B72FFF"/>
    <w:rsid w:val="00BC3D36"/>
    <w:rsid w:val="00BD7F72"/>
    <w:rsid w:val="00C04FB3"/>
    <w:rsid w:val="00C330EB"/>
    <w:rsid w:val="00C41061"/>
    <w:rsid w:val="00C754BE"/>
    <w:rsid w:val="00C76B1C"/>
    <w:rsid w:val="00CB6357"/>
    <w:rsid w:val="00CC1B26"/>
    <w:rsid w:val="00CE151D"/>
    <w:rsid w:val="00D423A2"/>
    <w:rsid w:val="00D520D8"/>
    <w:rsid w:val="00D63AC2"/>
    <w:rsid w:val="00D7383B"/>
    <w:rsid w:val="00D870DE"/>
    <w:rsid w:val="00DA231B"/>
    <w:rsid w:val="00DB5C38"/>
    <w:rsid w:val="00DC39FC"/>
    <w:rsid w:val="00DD5264"/>
    <w:rsid w:val="00DE5B26"/>
    <w:rsid w:val="00DF5254"/>
    <w:rsid w:val="00E16408"/>
    <w:rsid w:val="00E20894"/>
    <w:rsid w:val="00E245AB"/>
    <w:rsid w:val="00E2764C"/>
    <w:rsid w:val="00E27F2E"/>
    <w:rsid w:val="00E32E3A"/>
    <w:rsid w:val="00E50AFE"/>
    <w:rsid w:val="00E75C92"/>
    <w:rsid w:val="00E76928"/>
    <w:rsid w:val="00E771DC"/>
    <w:rsid w:val="00E8772A"/>
    <w:rsid w:val="00E90F6B"/>
    <w:rsid w:val="00E92C27"/>
    <w:rsid w:val="00EA0E3D"/>
    <w:rsid w:val="00EB407C"/>
    <w:rsid w:val="00EC38A7"/>
    <w:rsid w:val="00EC6D72"/>
    <w:rsid w:val="00ED5BE1"/>
    <w:rsid w:val="00ED7384"/>
    <w:rsid w:val="00EE1AA8"/>
    <w:rsid w:val="00EF12F7"/>
    <w:rsid w:val="00EF1F01"/>
    <w:rsid w:val="00F01745"/>
    <w:rsid w:val="00F15C69"/>
    <w:rsid w:val="00F31EDC"/>
    <w:rsid w:val="00F32D4C"/>
    <w:rsid w:val="00F462B3"/>
    <w:rsid w:val="00F5664F"/>
    <w:rsid w:val="00F65CB4"/>
    <w:rsid w:val="00F666C4"/>
    <w:rsid w:val="00F76AFC"/>
    <w:rsid w:val="00FA0C08"/>
    <w:rsid w:val="00FA47C0"/>
    <w:rsid w:val="00FB5DD1"/>
    <w:rsid w:val="00FC2B5D"/>
    <w:rsid w:val="00FE184D"/>
    <w:rsid w:val="00FF1449"/>
    <w:rsid w:val="672A81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1EF58D9-15E0-4EED-A794-32172B35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DE5B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DE5B2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E5B26"/>
    <w:rPr>
      <w:rFonts w:ascii="Geomanist Light" w:hAnsi="Geomanist Light"/>
      <w:lang w:val="es-ES"/>
    </w:rPr>
  </w:style>
  <w:style w:type="paragraph" w:styleId="Textoindependiente">
    <w:name w:val="Body Text"/>
    <w:basedOn w:val="Normal"/>
    <w:link w:val="TextoindependienteCar"/>
    <w:uiPriority w:val="99"/>
    <w:unhideWhenUsed/>
    <w:rsid w:val="00DE5B26"/>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DE5B26"/>
    <w:rPr>
      <w:rFonts w:eastAsiaTheme="minorEastAsia"/>
      <w:lang w:eastAsia="es-CO"/>
    </w:rPr>
  </w:style>
  <w:style w:type="character" w:styleId="Refdecomentario">
    <w:name w:val="annotation reference"/>
    <w:basedOn w:val="Fuentedeprrafopredeter"/>
    <w:uiPriority w:val="99"/>
    <w:semiHidden/>
    <w:unhideWhenUsed/>
    <w:rsid w:val="00E76928"/>
    <w:rPr>
      <w:sz w:val="16"/>
      <w:szCs w:val="16"/>
    </w:rPr>
  </w:style>
  <w:style w:type="paragraph" w:styleId="Textocomentario">
    <w:name w:val="annotation text"/>
    <w:basedOn w:val="Normal"/>
    <w:link w:val="TextocomentarioCar"/>
    <w:uiPriority w:val="99"/>
    <w:unhideWhenUsed/>
    <w:rsid w:val="00E76928"/>
    <w:pPr>
      <w:spacing w:line="240" w:lineRule="auto"/>
    </w:pPr>
    <w:rPr>
      <w:sz w:val="20"/>
      <w:szCs w:val="20"/>
    </w:rPr>
  </w:style>
  <w:style w:type="character" w:customStyle="1" w:styleId="TextocomentarioCar">
    <w:name w:val="Texto comentario Car"/>
    <w:basedOn w:val="Fuentedeprrafopredeter"/>
    <w:link w:val="Textocomentario"/>
    <w:uiPriority w:val="99"/>
    <w:rsid w:val="00E76928"/>
    <w:rPr>
      <w:sz w:val="20"/>
      <w:szCs w:val="20"/>
    </w:rPr>
  </w:style>
  <w:style w:type="paragraph" w:styleId="Asuntodelcomentario">
    <w:name w:val="annotation subject"/>
    <w:basedOn w:val="Textocomentario"/>
    <w:next w:val="Textocomentario"/>
    <w:link w:val="AsuntodelcomentarioCar"/>
    <w:uiPriority w:val="99"/>
    <w:semiHidden/>
    <w:unhideWhenUsed/>
    <w:rsid w:val="00E76928"/>
    <w:rPr>
      <w:b/>
      <w:bCs/>
    </w:rPr>
  </w:style>
  <w:style w:type="character" w:customStyle="1" w:styleId="AsuntodelcomentarioCar">
    <w:name w:val="Asunto del comentario Car"/>
    <w:basedOn w:val="TextocomentarioCar"/>
    <w:link w:val="Asuntodelcomentario"/>
    <w:uiPriority w:val="99"/>
    <w:semiHidden/>
    <w:rsid w:val="00E76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estion.dyg@gmail.com" TargetMode="External"/><Relationship Id="rId17" Type="http://schemas.openxmlformats.org/officeDocument/2006/relationships/hyperlink" Target="https://nam02.safelinks.protection.outlook.com/?url=https%3A%2F%2Fwww.colombiacompra.gov.co%2Fsala-de-prensa%2Fboletin-digital&amp;data=05%7C02%7Csergio.caballero%40colombiacompra.gov.co%7C096eca3fdcca424ff1c708dcf932f947%7C7b09041e245149d08cb179d5e3d8c1be%7C0%7C0%7C638659244551705873%7CUnknown%7CTWFpbGZsb3d8eyJWIjoiMC4wLjAwMDAiLCJQIjoiV2luMzIiLCJBTiI6Ik1haWwiLCJXVCI6Mn0%3D%7C0%7C%7C%7C&amp;sdata=cyQ7xR9K7bpbeICUhmOYSIWRL%2BWLAHN8bOjZ2NaPqPk%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8320&amp;data=05%7C02%7Csergio.caballero%40colombiacompra.gov.co%7C096eca3fdcca424ff1c708dcf932f947%7C7b09041e245149d08cb179d5e3d8c1be%7C0%7C0%7C638659244551687549%7CUnknown%7CTWFpbGZsb3d8eyJWIjoiMC4wLjAwMDAiLCJQIjoiV2luMzIiLCJBTiI6Ik1haWwiLCJXVCI6Mn0%3D%7C0%7C%7C%7C&amp;sdata=kb715YJAvuAi41LISWCt3%2F0C9FJoTmXrLcBvLQq26Ww%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content/borrador-de-documentos-tipo-de-interventoria-de-obra-publica-de-infraestructura-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borrador-de-documentos-tipo-de-consultoria-de-obra-publica-de-infraestructura-de-transport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pej.rae.es/lema/asesor%C3%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28FBBD37-48DE-475E-AC53-D4225596D655}"/>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A967FD5-B676-4445-8982-CF539A617A3F}">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4839</Words>
  <Characters>26617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31394</CharactersWithSpaces>
  <SharedDoc>false</SharedDoc>
  <HLinks>
    <vt:vector size="42" baseType="variant">
      <vt:variant>
        <vt:i4>4063264</vt:i4>
      </vt:variant>
      <vt:variant>
        <vt:i4>15</vt:i4>
      </vt:variant>
      <vt:variant>
        <vt:i4>0</vt:i4>
      </vt:variant>
      <vt:variant>
        <vt:i4>5</vt:i4>
      </vt:variant>
      <vt:variant>
        <vt:lpwstr>https://nam02.safelinks.protection.outlook.com/?url=https%3A%2F%2Fwww.colombiacompra.gov.co%2Fsala-de-prensa%2Fboletin-digital&amp;data=05%7C02%7Csergio.caballero%40colombiacompra.gov.co%7C096eca3fdcca424ff1c708dcf932f947%7C7b09041e245149d08cb179d5e3d8c1be%7C0%7C0%7C638659244551705873%7CUnknown%7CTWFpbGZsb3d8eyJWIjoiMC4wLjAwMDAiLCJQIjoiV2luMzIiLCJBTiI6Ik1haWwiLCJXVCI6Mn0%3D%7C0%7C%7C%7C&amp;sdata=cyQ7xR9K7bpbeICUhmOYSIWRL%2BWLAHN8bOjZ2NaPqPk%3D&amp;reserved=0</vt:lpwstr>
      </vt:variant>
      <vt:variant>
        <vt:lpwstr/>
      </vt:variant>
      <vt:variant>
        <vt:i4>3604600</vt:i4>
      </vt:variant>
      <vt:variant>
        <vt:i4>12</vt:i4>
      </vt:variant>
      <vt:variant>
        <vt:i4>0</vt:i4>
      </vt:variant>
      <vt:variant>
        <vt:i4>5</vt:i4>
      </vt:variant>
      <vt:variant>
        <vt:lpwstr>https://nam02.safelinks.protection.outlook.com/?url=https%3A%2F%2Fwww.sucop.gov.co%2Fentidades%2Fcolombiacompra%2FNormativa%3FIDNorma%3D18320&amp;data=05%7C02%7Csergio.caballero%40colombiacompra.gov.co%7C096eca3fdcca424ff1c708dcf932f947%7C7b09041e245149d08cb179d5e3d8c1be%7C0%7C0%7C638659244551687549%7CUnknown%7CTWFpbGZsb3d8eyJWIjoiMC4wLjAwMDAiLCJQIjoiV2luMzIiLCJBTiI6Ik1haWwiLCJXVCI6Mn0%3D%7C0%7C%7C%7C&amp;sdata=kb715YJAvuAi41LISWCt3%2F0C9FJoTmXrLcBvLQq26Ww%3D&amp;reserved=0</vt:lpwstr>
      </vt:variant>
      <vt:variant>
        <vt:lpwstr/>
      </vt:variant>
      <vt:variant>
        <vt:i4>393303</vt:i4>
      </vt:variant>
      <vt:variant>
        <vt:i4>9</vt:i4>
      </vt:variant>
      <vt:variant>
        <vt:i4>0</vt:i4>
      </vt:variant>
      <vt:variant>
        <vt:i4>5</vt:i4>
      </vt:variant>
      <vt:variant>
        <vt:lpwstr>https://www.colombiacompra.gov.co/content/borrador-de-documentos-tipo-de-interventoria-de-obra-publica-de-infraestructura-de</vt:lpwstr>
      </vt:variant>
      <vt:variant>
        <vt:lpwstr/>
      </vt:variant>
      <vt:variant>
        <vt:i4>589831</vt:i4>
      </vt:variant>
      <vt:variant>
        <vt:i4>6</vt:i4>
      </vt:variant>
      <vt:variant>
        <vt:i4>0</vt:i4>
      </vt:variant>
      <vt:variant>
        <vt:i4>5</vt:i4>
      </vt:variant>
      <vt:variant>
        <vt:lpwstr>https://www.colombiacompra.gov.co/content/borrador-de-documentos-tipo-de-consultoria-de-obra-publica-de-infraestructura-de-transporte</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1441894</vt:i4>
      </vt:variant>
      <vt:variant>
        <vt:i4>0</vt:i4>
      </vt:variant>
      <vt:variant>
        <vt:i4>0</vt:i4>
      </vt:variant>
      <vt:variant>
        <vt:i4>5</vt:i4>
      </vt:variant>
      <vt:variant>
        <vt:lpwstr>mailto:gestion.dyg@gmail.com</vt:lpwstr>
      </vt:variant>
      <vt:variant>
        <vt:lpwstr/>
      </vt:variant>
      <vt:variant>
        <vt:i4>3080237</vt:i4>
      </vt:variant>
      <vt:variant>
        <vt:i4>0</vt:i4>
      </vt:variant>
      <vt:variant>
        <vt:i4>0</vt:i4>
      </vt:variant>
      <vt:variant>
        <vt:i4>5</vt:i4>
      </vt:variant>
      <vt:variant>
        <vt:lpwstr>https://dpej.rae.es/lema/asesor%C3%ADa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2024-12-19T14:54:00Z</dcterms:created>
  <dcterms:modified xsi:type="dcterms:W3CDTF">2024-12-19T14:54:00Z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