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6C6C1" w14:textId="77777777" w:rsidR="007449C3" w:rsidRDefault="007449C3" w:rsidP="00363EC4">
      <w:pPr>
        <w:jc w:val="both"/>
        <w:rPr>
          <w:rFonts w:ascii="Verdana" w:eastAsia="Calibri" w:hAnsi="Verdana" w:cs="Arial"/>
          <w:color w:val="000000"/>
        </w:rPr>
      </w:pPr>
      <w:bookmarkStart w:id="0" w:name="_Hlk143780582"/>
    </w:p>
    <w:p w14:paraId="7E08C8CB" w14:textId="77777777" w:rsidR="007449C3" w:rsidRDefault="007449C3" w:rsidP="00363EC4">
      <w:pPr>
        <w:jc w:val="both"/>
        <w:rPr>
          <w:rFonts w:ascii="Verdana" w:eastAsia="Calibri" w:hAnsi="Verdana" w:cs="Arial"/>
          <w:color w:val="000000"/>
        </w:rPr>
      </w:pPr>
    </w:p>
    <w:p w14:paraId="13CAEA03" w14:textId="77777777" w:rsidR="007449C3" w:rsidRDefault="007449C3" w:rsidP="00363EC4">
      <w:pPr>
        <w:jc w:val="both"/>
        <w:rPr>
          <w:rFonts w:ascii="Verdana" w:eastAsia="Calibri" w:hAnsi="Verdana" w:cs="Arial"/>
          <w:color w:val="000000"/>
        </w:rPr>
      </w:pPr>
    </w:p>
    <w:p w14:paraId="17BC750A" w14:textId="77777777" w:rsidR="007449C3" w:rsidRPr="006C6672" w:rsidRDefault="007449C3" w:rsidP="007449C3">
      <w:pPr>
        <w:spacing w:after="0" w:line="240" w:lineRule="auto"/>
        <w:rPr>
          <w:rFonts w:ascii="Verdana" w:eastAsia="Times New Roman" w:hAnsi="Verdana" w:cs="Arial"/>
          <w:b/>
          <w:sz w:val="20"/>
          <w:szCs w:val="20"/>
        </w:rPr>
      </w:pPr>
      <w:r w:rsidRPr="006C6672">
        <w:rPr>
          <w:rFonts w:ascii="Verdana" w:eastAsia="Times New Roman" w:hAnsi="Verdana" w:cs="Arial"/>
          <w:b/>
          <w:sz w:val="20"/>
          <w:szCs w:val="20"/>
        </w:rPr>
        <w:t>DOCUMENTOS TIPO – Fundamento Normativo –Ley 2022 de 2020</w:t>
      </w:r>
    </w:p>
    <w:p w14:paraId="33E2BB61" w14:textId="77777777" w:rsidR="007449C3" w:rsidRPr="006C6672" w:rsidRDefault="007449C3" w:rsidP="007449C3">
      <w:pPr>
        <w:spacing w:after="0" w:line="240" w:lineRule="auto"/>
        <w:rPr>
          <w:rFonts w:ascii="Verdana" w:eastAsia="Times New Roman" w:hAnsi="Verdana" w:cs="Arial"/>
          <w:bCs/>
          <w:sz w:val="20"/>
          <w:szCs w:val="20"/>
        </w:rPr>
      </w:pPr>
    </w:p>
    <w:p w14:paraId="1C3B3B4D" w14:textId="77777777" w:rsidR="007449C3" w:rsidRPr="006C6672" w:rsidRDefault="007449C3" w:rsidP="007449C3">
      <w:pPr>
        <w:spacing w:after="0" w:line="276" w:lineRule="auto"/>
        <w:jc w:val="both"/>
        <w:rPr>
          <w:rFonts w:ascii="Verdana" w:eastAsia="Times New Roman" w:hAnsi="Verdana" w:cs="Arial"/>
          <w:bCs/>
          <w:sz w:val="20"/>
          <w:szCs w:val="20"/>
        </w:rPr>
      </w:pPr>
      <w:r w:rsidRPr="006C6672">
        <w:rPr>
          <w:rFonts w:ascii="Verdana" w:eastAsia="Times New Roman" w:hAnsi="Verdana" w:cs="Arial"/>
          <w:bCs/>
          <w:sz w:val="20"/>
          <w:szCs w:val="20"/>
        </w:rPr>
        <w:t>Los Documentos Tipo expedidos por esta Agencia en ejercicio de la potestad otorgada por la Ley 2022 de 2020 son de obligatoria observancia para las Entidades Estatales sometidas al Estatuto General de Contratación de la Administración Pública. Debido a esto tales entidades deben aplicar de manera forzosa los Documentos Tipo para desarrollar los Procesos de Contratación en los objetos y modalidades cobijadas por los Documentos Tipo. Para establecer si determinado objeto contractual se encuentra cobijado o no por los Documentos Tipo es necesario establecer si el mismo se enmarca en los tipos de infraestructura, modalidades de selección y tipos de obra estandarizadas en las respectivas matrices de experiencia. De esta manera solo resulta obligatoria la aplicación de un documento tipo en particular cuando se ha establecido que en el objeto contractual y la modalidad en la que debe contratarse están dentro del ámbito de aplicación de alguna de las resoluciones expedidas para la adopción de los Documentos Tipo vigentes.</w:t>
      </w:r>
    </w:p>
    <w:p w14:paraId="275EC241" w14:textId="77777777" w:rsidR="007449C3" w:rsidRDefault="007449C3" w:rsidP="007449C3">
      <w:pPr>
        <w:spacing w:after="0" w:line="240" w:lineRule="auto"/>
        <w:jc w:val="both"/>
        <w:rPr>
          <w:rFonts w:ascii="Verdana" w:eastAsia="Geomanist Light" w:hAnsi="Verdana" w:cs="Arial"/>
          <w:b/>
          <w:bCs/>
          <w:lang w:val="es-ES"/>
        </w:rPr>
      </w:pPr>
    </w:p>
    <w:p w14:paraId="5175F649" w14:textId="77777777" w:rsidR="007449C3" w:rsidRDefault="007449C3" w:rsidP="00363EC4">
      <w:pPr>
        <w:jc w:val="both"/>
        <w:rPr>
          <w:rFonts w:ascii="Verdana" w:hAnsi="Verdana" w:cs="Arial"/>
          <w:b/>
          <w:bCs/>
          <w:color w:val="000000" w:themeColor="text1"/>
          <w:lang w:val="es-ES"/>
        </w:rPr>
      </w:pPr>
    </w:p>
    <w:p w14:paraId="6459808F" w14:textId="77777777" w:rsidR="007449C3" w:rsidRPr="0035177C" w:rsidRDefault="007449C3" w:rsidP="007449C3">
      <w:pPr>
        <w:spacing w:after="0" w:line="256" w:lineRule="auto"/>
        <w:jc w:val="both"/>
        <w:rPr>
          <w:rFonts w:ascii="Verdana" w:eastAsia="Calibri" w:hAnsi="Verdana" w:cs="Times New Roman"/>
        </w:rPr>
      </w:pPr>
      <w:r w:rsidRPr="0035177C">
        <w:rPr>
          <w:rFonts w:ascii="Verdana" w:eastAsia="Calibri" w:hAnsi="Verdana" w:cs="Arial"/>
          <w:b/>
          <w:bCs/>
          <w:lang w:val="es-ES_tradnl" w:eastAsia="es-ES"/>
        </w:rPr>
        <w:t xml:space="preserve">DOCUMENTOS TIPO – Generalidades – </w:t>
      </w:r>
      <w:r w:rsidRPr="0035177C">
        <w:rPr>
          <w:rFonts w:ascii="Verdana" w:eastAsia="Aptos" w:hAnsi="Verdana" w:cs="Times New Roman"/>
          <w:b/>
          <w:bCs/>
          <w:kern w:val="2"/>
          <w:lang w:val="es-ES_tradnl" w:eastAsia="es-ES"/>
          <w14:ligatures w14:val="standardContextual"/>
        </w:rPr>
        <w:t xml:space="preserve">Obligatoriedad – Aplicación – Actividad a contratar </w:t>
      </w:r>
    </w:p>
    <w:p w14:paraId="58A5E5D5" w14:textId="77777777" w:rsidR="007449C3" w:rsidRPr="0035177C" w:rsidRDefault="007449C3" w:rsidP="007449C3">
      <w:pPr>
        <w:spacing w:after="0" w:line="276" w:lineRule="auto"/>
        <w:jc w:val="both"/>
        <w:rPr>
          <w:rFonts w:ascii="Verdana" w:eastAsia="Calibri" w:hAnsi="Verdana" w:cs="Arial"/>
          <w:b/>
          <w:bCs/>
          <w:lang w:val="es-ES_tradnl" w:eastAsia="es-ES"/>
        </w:rPr>
      </w:pPr>
    </w:p>
    <w:p w14:paraId="6F6F0E31" w14:textId="77777777" w:rsidR="007449C3" w:rsidRPr="0035177C" w:rsidRDefault="007449C3" w:rsidP="007449C3">
      <w:pPr>
        <w:spacing w:after="0" w:line="240" w:lineRule="auto"/>
        <w:jc w:val="both"/>
        <w:rPr>
          <w:rFonts w:ascii="Verdana" w:eastAsia="Calibri" w:hAnsi="Verdana" w:cs="Arial"/>
          <w:sz w:val="20"/>
          <w:szCs w:val="20"/>
          <w:lang w:val="es-ES_tradnl"/>
        </w:rPr>
      </w:pPr>
      <w:r w:rsidRPr="0035177C">
        <w:rPr>
          <w:rFonts w:ascii="Verdana" w:eastAsia="Calibri" w:hAnsi="Verdana" w:cs="Arial"/>
          <w:sz w:val="20"/>
          <w:szCs w:val="20"/>
          <w:lang w:val="es-ES_tradnl"/>
        </w:rPr>
        <w:t xml:space="preserve">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 </w:t>
      </w:r>
    </w:p>
    <w:p w14:paraId="12806AA2" w14:textId="77777777" w:rsidR="007449C3" w:rsidRPr="0035177C" w:rsidRDefault="007449C3" w:rsidP="007449C3">
      <w:pPr>
        <w:spacing w:after="0" w:line="240" w:lineRule="auto"/>
        <w:jc w:val="both"/>
        <w:rPr>
          <w:rFonts w:ascii="Verdana" w:eastAsia="Calibri" w:hAnsi="Verdana" w:cs="Arial"/>
          <w:sz w:val="20"/>
          <w:szCs w:val="20"/>
          <w:lang w:val="es-ES_tradnl"/>
        </w:rPr>
      </w:pPr>
    </w:p>
    <w:p w14:paraId="5F18A91B" w14:textId="4910D122" w:rsidR="007449C3" w:rsidRPr="007449C3" w:rsidRDefault="007449C3" w:rsidP="007449C3">
      <w:pPr>
        <w:spacing w:after="0" w:line="240" w:lineRule="auto"/>
        <w:jc w:val="both"/>
        <w:rPr>
          <w:rFonts w:ascii="Verdana" w:eastAsia="Calibri" w:hAnsi="Verdana" w:cs="Arial"/>
          <w:sz w:val="20"/>
          <w:szCs w:val="20"/>
          <w:lang w:val="es-ES_tradnl"/>
        </w:rPr>
      </w:pPr>
      <w:r w:rsidRPr="0035177C">
        <w:rPr>
          <w:rFonts w:ascii="Verdana" w:eastAsia="Calibri" w:hAnsi="Verdana" w:cs="Arial"/>
          <w:sz w:val="20"/>
          <w:szCs w:val="20"/>
          <w:lang w:val="es-ES_tradnl"/>
        </w:rPr>
        <w:t xml:space="preserve">Para establecer si determinado objeto contractual se encuentra cobijado o no por los Documentos Tipo, es necesario determinar si el mismo se enmarca en los tipos de infraestructura, modalidades de selección y tipos de obra estandarizadas en las respectivas matrices de experiencia. De esta manera, solo resulta obligatoria la aplicación de un documento tipo en particular cuando se ha establecido que el objeto contractual y la modalidad en la que debe contratarse están dentro del ámbito de aplicación de las resoluciones expedidas para los sectores de infraestructura de transporte, agua potable-saneamiento básico y </w:t>
      </w:r>
      <w:proofErr w:type="spellStart"/>
      <w:r w:rsidRPr="0035177C">
        <w:rPr>
          <w:rFonts w:ascii="Verdana" w:eastAsia="Calibri" w:hAnsi="Verdana" w:cs="Arial"/>
          <w:sz w:val="20"/>
          <w:szCs w:val="20"/>
          <w:lang w:val="es-ES_tradnl"/>
        </w:rPr>
        <w:t>soc</w:t>
      </w:r>
      <w:proofErr w:type="spellEnd"/>
    </w:p>
    <w:p w14:paraId="6CE38060" w14:textId="77777777" w:rsidR="007449C3" w:rsidRDefault="007449C3" w:rsidP="00363EC4">
      <w:pPr>
        <w:jc w:val="both"/>
        <w:rPr>
          <w:rFonts w:ascii="Verdana" w:hAnsi="Verdana" w:cs="Arial"/>
          <w:b/>
          <w:bCs/>
          <w:color w:val="000000" w:themeColor="text1"/>
          <w:lang w:val="es-ES"/>
        </w:rPr>
      </w:pPr>
    </w:p>
    <w:p w14:paraId="73CF61BE" w14:textId="77777777" w:rsidR="007449C3" w:rsidRDefault="007449C3" w:rsidP="00363EC4">
      <w:pPr>
        <w:jc w:val="both"/>
        <w:rPr>
          <w:rFonts w:ascii="Verdana" w:hAnsi="Verdana" w:cs="Arial"/>
          <w:b/>
          <w:bCs/>
          <w:color w:val="000000" w:themeColor="text1"/>
          <w:lang w:val="es-ES"/>
        </w:rPr>
      </w:pPr>
    </w:p>
    <w:p w14:paraId="7F4FA54D" w14:textId="77777777" w:rsidR="007449C3" w:rsidRDefault="007449C3" w:rsidP="00363EC4">
      <w:pPr>
        <w:jc w:val="both"/>
        <w:rPr>
          <w:rFonts w:ascii="Verdana" w:hAnsi="Verdana" w:cs="Arial"/>
          <w:b/>
          <w:bCs/>
          <w:color w:val="000000" w:themeColor="text1"/>
          <w:lang w:val="es-ES"/>
        </w:rPr>
      </w:pPr>
    </w:p>
    <w:p w14:paraId="75CA73F8" w14:textId="77777777" w:rsidR="007449C3" w:rsidRDefault="007449C3" w:rsidP="00363EC4">
      <w:pPr>
        <w:jc w:val="both"/>
        <w:rPr>
          <w:rFonts w:ascii="Verdana" w:hAnsi="Verdana" w:cs="Arial"/>
          <w:b/>
          <w:bCs/>
          <w:color w:val="000000" w:themeColor="text1"/>
          <w:lang w:val="es-ES"/>
        </w:rPr>
      </w:pPr>
    </w:p>
    <w:p w14:paraId="2E0426CF" w14:textId="77777777" w:rsidR="007449C3" w:rsidRDefault="007449C3" w:rsidP="00363EC4">
      <w:pPr>
        <w:jc w:val="both"/>
        <w:rPr>
          <w:rFonts w:ascii="Verdana" w:hAnsi="Verdana" w:cs="Arial"/>
          <w:b/>
          <w:bCs/>
          <w:color w:val="000000" w:themeColor="text1"/>
          <w:lang w:val="es-ES"/>
        </w:rPr>
      </w:pPr>
    </w:p>
    <w:p w14:paraId="71D7EAA0" w14:textId="77777777" w:rsidR="007449C3" w:rsidRDefault="007449C3" w:rsidP="00363EC4">
      <w:pPr>
        <w:jc w:val="both"/>
        <w:rPr>
          <w:rFonts w:ascii="Verdana" w:hAnsi="Verdana" w:cs="Arial"/>
          <w:b/>
          <w:bCs/>
          <w:color w:val="000000" w:themeColor="text1"/>
          <w:lang w:val="es-ES"/>
        </w:rPr>
      </w:pPr>
    </w:p>
    <w:p w14:paraId="26F2A128" w14:textId="32805357" w:rsidR="007D5768" w:rsidRDefault="007D5768" w:rsidP="27B827E6">
      <w:pPr>
        <w:spacing w:after="0"/>
        <w:rPr>
          <w:rFonts w:ascii="Verdana" w:hAnsi="Verdana"/>
        </w:rPr>
      </w:pPr>
      <w:r w:rsidRPr="27B827E6">
        <w:rPr>
          <w:rFonts w:ascii="Verdana" w:hAnsi="Verdana"/>
        </w:rPr>
        <w:t>Bogotá D.C.,</w:t>
      </w:r>
      <w:r w:rsidR="7D7E09FA" w:rsidRPr="27B827E6">
        <w:rPr>
          <w:rFonts w:ascii="Verdana" w:hAnsi="Verdana"/>
        </w:rPr>
        <w:t>11 de diciembre de 2024.</w:t>
      </w:r>
    </w:p>
    <w:p w14:paraId="2DE71DE7" w14:textId="77777777" w:rsidR="007D5768" w:rsidRDefault="007D5768" w:rsidP="007D5768">
      <w:pPr>
        <w:spacing w:after="0"/>
        <w:rPr>
          <w:rFonts w:ascii="Verdana" w:hAnsi="Verdana"/>
        </w:rPr>
      </w:pPr>
    </w:p>
    <w:p w14:paraId="248D48FC" w14:textId="56DB5DBB" w:rsidR="003A0B10" w:rsidRDefault="003A0B10" w:rsidP="003A0B10">
      <w:pPr>
        <w:spacing w:after="0"/>
        <w:jc w:val="right"/>
        <w:rPr>
          <w:rFonts w:ascii="Verdana" w:hAnsi="Verdana"/>
        </w:rPr>
      </w:pPr>
      <w:r>
        <w:rPr>
          <w:rFonts w:ascii="Verdana" w:hAnsi="Verdana"/>
          <w:noProof/>
        </w:rPr>
        <w:drawing>
          <wp:inline distT="0" distB="0" distL="0" distR="0" wp14:anchorId="0298F92A" wp14:editId="3CE27626">
            <wp:extent cx="2743200" cy="822960"/>
            <wp:effectExtent l="0" t="0" r="0" b="0"/>
            <wp:docPr id="7075012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822960"/>
                    </a:xfrm>
                    <a:prstGeom prst="rect">
                      <a:avLst/>
                    </a:prstGeom>
                    <a:noFill/>
                    <a:ln>
                      <a:noFill/>
                    </a:ln>
                  </pic:spPr>
                </pic:pic>
              </a:graphicData>
            </a:graphic>
          </wp:inline>
        </w:drawing>
      </w:r>
    </w:p>
    <w:p w14:paraId="26932AC5" w14:textId="77777777" w:rsidR="003A0B10" w:rsidRDefault="003A0B10" w:rsidP="007D5768">
      <w:pPr>
        <w:spacing w:after="0"/>
        <w:rPr>
          <w:rFonts w:ascii="Verdana" w:hAnsi="Verdana"/>
        </w:rPr>
      </w:pPr>
    </w:p>
    <w:p w14:paraId="1673010F" w14:textId="77777777" w:rsidR="007D5768" w:rsidRDefault="007D5768" w:rsidP="007D5768">
      <w:pPr>
        <w:spacing w:after="0"/>
        <w:rPr>
          <w:rFonts w:ascii="Verdana" w:hAnsi="Verdana"/>
        </w:rPr>
      </w:pPr>
      <w:bookmarkStart w:id="1" w:name="_Hlk180638295"/>
    </w:p>
    <w:p w14:paraId="54FC63A1" w14:textId="77777777" w:rsidR="007D5768" w:rsidRPr="00560511" w:rsidRDefault="007D5768" w:rsidP="007D5768">
      <w:pPr>
        <w:spacing w:after="0" w:line="240" w:lineRule="auto"/>
        <w:jc w:val="both"/>
        <w:rPr>
          <w:rFonts w:ascii="Verdana" w:eastAsia="Calibri" w:hAnsi="Verdana" w:cs="Arial"/>
          <w:lang w:eastAsia="es-ES"/>
        </w:rPr>
      </w:pPr>
      <w:bookmarkStart w:id="2" w:name="_Hlk181166167"/>
      <w:r w:rsidRPr="00560511">
        <w:rPr>
          <w:rFonts w:ascii="Verdana" w:eastAsia="Calibri" w:hAnsi="Verdana" w:cs="Arial"/>
          <w:lang w:eastAsia="es-ES"/>
        </w:rPr>
        <w:t>Señor</w:t>
      </w:r>
    </w:p>
    <w:p w14:paraId="718706C1" w14:textId="067A3E97" w:rsidR="007D5768" w:rsidRDefault="00001AF1" w:rsidP="007D5768">
      <w:pPr>
        <w:spacing w:after="0" w:line="240" w:lineRule="auto"/>
        <w:rPr>
          <w:rFonts w:ascii="Verdana" w:eastAsia="Calibri" w:hAnsi="Verdana" w:cs="Arial"/>
          <w:b/>
          <w:bCs/>
          <w:lang w:eastAsia="es-ES_tradnl"/>
        </w:rPr>
      </w:pPr>
      <w:r>
        <w:rPr>
          <w:rFonts w:ascii="Verdana" w:eastAsia="Calibri" w:hAnsi="Verdana" w:cs="Arial"/>
          <w:b/>
          <w:bCs/>
          <w:lang w:eastAsia="es-ES_tradnl"/>
        </w:rPr>
        <w:t>HUGO ALFREDO POSSO MONCADA</w:t>
      </w:r>
    </w:p>
    <w:p w14:paraId="7E768289" w14:textId="456E6196" w:rsidR="00001AF1" w:rsidRPr="00001AF1" w:rsidRDefault="00001AF1" w:rsidP="007D5768">
      <w:pPr>
        <w:spacing w:after="0" w:line="240" w:lineRule="auto"/>
        <w:rPr>
          <w:rFonts w:ascii="Verdana" w:hAnsi="Verdana"/>
        </w:rPr>
      </w:pPr>
      <w:hyperlink r:id="rId12" w:history="1">
        <w:r w:rsidRPr="00001AF1">
          <w:rPr>
            <w:rStyle w:val="Hipervnculo"/>
            <w:rFonts w:ascii="Verdana" w:hAnsi="Verdana"/>
          </w:rPr>
          <w:t>gerencia@grupoposso.com.co</w:t>
        </w:r>
      </w:hyperlink>
    </w:p>
    <w:p w14:paraId="771FB518" w14:textId="68D6C7D1" w:rsidR="007D7EA9" w:rsidRDefault="00001AF1" w:rsidP="007D5768">
      <w:pPr>
        <w:spacing w:after="0" w:line="240" w:lineRule="auto"/>
        <w:rPr>
          <w:rFonts w:ascii="Verdana" w:eastAsia="Calibri" w:hAnsi="Verdana" w:cs="Arial"/>
          <w:b/>
          <w:bCs/>
          <w:color w:val="000000"/>
          <w:lang w:val="es-ES_tradnl" w:eastAsia="es-ES_tradnl"/>
        </w:rPr>
      </w:pPr>
      <w:r>
        <w:rPr>
          <w:rFonts w:ascii="Verdana" w:hAnsi="Verdana"/>
        </w:rPr>
        <w:t>Bogotá D.C</w:t>
      </w:r>
      <w:r w:rsidR="007D7EA9">
        <w:rPr>
          <w:rFonts w:ascii="Verdana" w:hAnsi="Verdana"/>
        </w:rPr>
        <w:t xml:space="preserve"> </w:t>
      </w:r>
    </w:p>
    <w:p w14:paraId="601B6060" w14:textId="77777777" w:rsidR="00B4214D" w:rsidRPr="00593A5F" w:rsidRDefault="00B4214D" w:rsidP="007D5768">
      <w:pPr>
        <w:spacing w:after="0" w:line="240" w:lineRule="auto"/>
        <w:rPr>
          <w:rFonts w:ascii="Verdana" w:eastAsia="Calibri" w:hAnsi="Verdana" w:cs="Arial"/>
          <w:b/>
          <w:bCs/>
          <w:color w:val="000000"/>
          <w:lang w:val="es-ES_tradnl" w:eastAsia="es-ES_tradnl"/>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468"/>
        <w:gridCol w:w="336"/>
      </w:tblGrid>
      <w:tr w:rsidR="007D5768" w:rsidRPr="00593A5F" w14:paraId="14747069" w14:textId="77777777" w:rsidTr="00E1079D">
        <w:trPr>
          <w:trHeight w:val="884"/>
        </w:trPr>
        <w:tc>
          <w:tcPr>
            <w:tcW w:w="2410" w:type="dxa"/>
          </w:tcPr>
          <w:p w14:paraId="36C8BBF6" w14:textId="77777777" w:rsidR="007D5768" w:rsidRPr="00E5644F" w:rsidRDefault="007D5768" w:rsidP="00E1079D">
            <w:pPr>
              <w:jc w:val="both"/>
              <w:rPr>
                <w:rFonts w:ascii="Verdana" w:eastAsia="Calibri" w:hAnsi="Verdana" w:cs="Arial"/>
                <w:b/>
                <w:bCs/>
                <w:color w:val="7030A0"/>
                <w:lang w:val="es-ES_tradnl" w:eastAsia="es-ES_tradnl"/>
              </w:rPr>
            </w:pPr>
          </w:p>
        </w:tc>
        <w:tc>
          <w:tcPr>
            <w:tcW w:w="6804" w:type="dxa"/>
            <w:gridSpan w:val="2"/>
          </w:tcPr>
          <w:p w14:paraId="4DDF8EC1" w14:textId="085308CF" w:rsidR="007D5768" w:rsidRPr="00E5644F" w:rsidRDefault="007D5768" w:rsidP="00E1079D">
            <w:pPr>
              <w:jc w:val="both"/>
              <w:rPr>
                <w:rFonts w:ascii="Verdana" w:eastAsia="Calibri" w:hAnsi="Verdana" w:cs="Arial"/>
                <w:b/>
                <w:bCs/>
                <w:color w:val="7030A0"/>
                <w:lang w:val="es-ES" w:eastAsia="es-ES"/>
              </w:rPr>
            </w:pPr>
            <w:r w:rsidRPr="00E5644F">
              <w:rPr>
                <w:rFonts w:ascii="Verdana" w:eastAsia="Calibri" w:hAnsi="Verdana" w:cs="Arial"/>
                <w:b/>
                <w:bCs/>
                <w:lang w:val="es-ES" w:eastAsia="es-ES"/>
              </w:rPr>
              <w:t xml:space="preserve">Concepto C- </w:t>
            </w:r>
            <w:r w:rsidR="007D7EA9">
              <w:rPr>
                <w:rFonts w:ascii="Verdana" w:eastAsia="Calibri" w:hAnsi="Verdana" w:cs="Arial"/>
                <w:b/>
                <w:bCs/>
                <w:lang w:val="es-ES" w:eastAsia="es-ES"/>
              </w:rPr>
              <w:t>8</w:t>
            </w:r>
            <w:r w:rsidR="00001AF1">
              <w:rPr>
                <w:rFonts w:ascii="Verdana" w:eastAsia="Calibri" w:hAnsi="Verdana" w:cs="Arial"/>
                <w:b/>
                <w:bCs/>
                <w:lang w:val="es-ES" w:eastAsia="es-ES"/>
              </w:rPr>
              <w:t>48</w:t>
            </w:r>
            <w:r w:rsidR="00537575">
              <w:rPr>
                <w:rFonts w:ascii="Verdana" w:eastAsia="Calibri" w:hAnsi="Verdana" w:cs="Arial"/>
                <w:b/>
                <w:bCs/>
                <w:lang w:val="es-ES" w:eastAsia="es-ES"/>
              </w:rPr>
              <w:t xml:space="preserve"> </w:t>
            </w:r>
            <w:r w:rsidRPr="00E5644F">
              <w:rPr>
                <w:rFonts w:ascii="Verdana" w:eastAsia="Calibri" w:hAnsi="Verdana" w:cs="Arial"/>
                <w:b/>
                <w:bCs/>
                <w:lang w:val="es-ES" w:eastAsia="es-ES"/>
              </w:rPr>
              <w:t>de 2024</w:t>
            </w:r>
          </w:p>
        </w:tc>
      </w:tr>
      <w:tr w:rsidR="007D5768" w:rsidRPr="00593A5F" w14:paraId="0E5838A4" w14:textId="77777777" w:rsidTr="00E1079D">
        <w:trPr>
          <w:trHeight w:val="884"/>
        </w:trPr>
        <w:tc>
          <w:tcPr>
            <w:tcW w:w="2410" w:type="dxa"/>
          </w:tcPr>
          <w:p w14:paraId="52092E01" w14:textId="77777777" w:rsidR="007D5768" w:rsidRPr="00363EC4" w:rsidRDefault="007D5768" w:rsidP="00E1079D">
            <w:pPr>
              <w:jc w:val="both"/>
              <w:rPr>
                <w:rFonts w:ascii="Verdana" w:eastAsia="Calibri" w:hAnsi="Verdana" w:cs="Arial"/>
                <w:color w:val="000000"/>
                <w:lang w:val="es-ES_tradnl" w:eastAsia="es-ES_tradnl"/>
              </w:rPr>
            </w:pPr>
            <w:r w:rsidRPr="00363EC4">
              <w:rPr>
                <w:rFonts w:ascii="Verdana" w:eastAsia="Calibri" w:hAnsi="Verdana" w:cs="Arial"/>
                <w:b/>
                <w:color w:val="000000"/>
                <w:lang w:val="es-ES_tradnl" w:eastAsia="es-ES_tradnl"/>
              </w:rPr>
              <w:t>Temas:</w:t>
            </w:r>
            <w:r w:rsidRPr="00363EC4">
              <w:rPr>
                <w:rFonts w:ascii="Verdana" w:eastAsia="Calibri" w:hAnsi="Verdana" w:cs="Arial"/>
                <w:color w:val="000000"/>
                <w:lang w:val="es-ES_tradnl" w:eastAsia="es-ES_tradnl"/>
              </w:rPr>
              <w:t xml:space="preserve">                   </w:t>
            </w:r>
          </w:p>
        </w:tc>
        <w:tc>
          <w:tcPr>
            <w:tcW w:w="6804" w:type="dxa"/>
            <w:gridSpan w:val="2"/>
          </w:tcPr>
          <w:p w14:paraId="5061DB54" w14:textId="77777777" w:rsidR="007D5768" w:rsidRPr="00363EC4" w:rsidRDefault="005944D7" w:rsidP="00E1079D">
            <w:pPr>
              <w:spacing w:line="276" w:lineRule="auto"/>
              <w:jc w:val="both"/>
              <w:rPr>
                <w:rFonts w:ascii="Verdana" w:hAnsi="Verdana" w:cs="Arial"/>
                <w:color w:val="000000" w:themeColor="text1"/>
                <w:lang w:val="es-ES"/>
              </w:rPr>
            </w:pPr>
            <w:r w:rsidRPr="00363EC4">
              <w:rPr>
                <w:rFonts w:ascii="Verdana" w:hAnsi="Verdana" w:cs="Arial"/>
                <w:color w:val="000000" w:themeColor="text1"/>
                <w:lang w:val="es-ES"/>
              </w:rPr>
              <w:t xml:space="preserve">DOCUMENTOS TIPO – Límite a la discrecionalidad / DOCUMENTOS TIPO – Inalterabilidad / </w:t>
            </w:r>
            <w:r w:rsidRPr="00363EC4">
              <w:rPr>
                <w:rFonts w:ascii="Verdana" w:hAnsi="Verdana" w:cs="Arial"/>
                <w:color w:val="000000" w:themeColor="text1"/>
                <w:shd w:val="clear" w:color="auto" w:fill="FFFFFF"/>
                <w:lang w:val="es-ES"/>
              </w:rPr>
              <w:t xml:space="preserve">DOCUMENTOS TIPO – Causales de rechazo / </w:t>
            </w:r>
            <w:r w:rsidRPr="00363EC4">
              <w:rPr>
                <w:rFonts w:ascii="Verdana" w:hAnsi="Verdana" w:cs="Arial"/>
                <w:color w:val="000000" w:themeColor="text1"/>
                <w:lang w:val="es-ES"/>
              </w:rPr>
              <w:t>DOCUMENTO TIPO – Ley 842 de 2003 – Artículo 17 – Causales de rechazo.</w:t>
            </w:r>
          </w:p>
          <w:p w14:paraId="62C72EB8" w14:textId="560F3FB8" w:rsidR="005944D7" w:rsidRPr="00363EC4" w:rsidRDefault="005944D7" w:rsidP="00E1079D">
            <w:pPr>
              <w:spacing w:line="276" w:lineRule="auto"/>
              <w:jc w:val="both"/>
              <w:rPr>
                <w:rFonts w:ascii="Verdana" w:eastAsia="Calibri" w:hAnsi="Verdana" w:cs="Arial"/>
                <w:lang w:val="es-ES" w:eastAsia="es-ES"/>
              </w:rPr>
            </w:pPr>
          </w:p>
        </w:tc>
      </w:tr>
      <w:tr w:rsidR="007D5768" w:rsidRPr="00593A5F" w14:paraId="09936C6F" w14:textId="77777777" w:rsidTr="00E1079D">
        <w:tc>
          <w:tcPr>
            <w:tcW w:w="2410" w:type="dxa"/>
          </w:tcPr>
          <w:p w14:paraId="69819F5A" w14:textId="77777777" w:rsidR="007D5768" w:rsidRPr="006730E9" w:rsidRDefault="007D5768" w:rsidP="00E1079D">
            <w:pPr>
              <w:jc w:val="both"/>
              <w:rPr>
                <w:rFonts w:ascii="Verdana" w:eastAsia="Calibri" w:hAnsi="Verdana" w:cs="Arial"/>
                <w:b/>
                <w:lang w:val="es-ES_tradnl" w:eastAsia="es-ES_tradnl"/>
              </w:rPr>
            </w:pPr>
            <w:r w:rsidRPr="006730E9">
              <w:rPr>
                <w:rFonts w:ascii="Verdana" w:eastAsia="Calibri" w:hAnsi="Verdana" w:cs="Arial"/>
                <w:b/>
                <w:lang w:val="es-ES_tradnl" w:eastAsia="es-ES_tradnl"/>
              </w:rPr>
              <w:t>Radicación:</w:t>
            </w:r>
            <w:r w:rsidRPr="006730E9">
              <w:rPr>
                <w:rFonts w:ascii="Verdana" w:eastAsia="Calibri" w:hAnsi="Verdana" w:cs="Arial"/>
                <w:lang w:val="es-ES_tradnl" w:eastAsia="es-ES_tradnl"/>
              </w:rPr>
              <w:t xml:space="preserve">               </w:t>
            </w:r>
          </w:p>
        </w:tc>
        <w:tc>
          <w:tcPr>
            <w:tcW w:w="6804" w:type="dxa"/>
            <w:gridSpan w:val="2"/>
          </w:tcPr>
          <w:p w14:paraId="2CCB2D3E" w14:textId="76544BFB" w:rsidR="007D5768" w:rsidRPr="006730E9" w:rsidRDefault="007D5768" w:rsidP="00E1079D">
            <w:pPr>
              <w:jc w:val="both"/>
              <w:rPr>
                <w:rFonts w:ascii="Verdana" w:eastAsia="Calibri" w:hAnsi="Verdana" w:cs="Arial"/>
                <w:lang w:val="es-ES_tradnl" w:eastAsia="es-ES_tradnl"/>
              </w:rPr>
            </w:pPr>
            <w:r w:rsidRPr="007121A5">
              <w:rPr>
                <w:rFonts w:ascii="Verdana" w:eastAsia="Calibri" w:hAnsi="Verdana" w:cs="Arial"/>
                <w:lang w:val="es-ES_tradnl" w:eastAsia="es-ES_tradnl"/>
              </w:rPr>
              <w:t xml:space="preserve">Respuesta a consulta con radicado No. </w:t>
            </w:r>
            <w:r w:rsidR="00001AF1" w:rsidRPr="00001AF1">
              <w:rPr>
                <w:rFonts w:ascii="Verdana" w:eastAsia="Calibri" w:hAnsi="Verdana" w:cs="Arial"/>
                <w:lang w:val="es-ES_tradnl" w:eastAsia="es-ES_tradnl"/>
              </w:rPr>
              <w:t>P20241112011296</w:t>
            </w:r>
          </w:p>
        </w:tc>
      </w:tr>
      <w:tr w:rsidR="007D5768" w:rsidRPr="00DB23D2" w14:paraId="3D69289B" w14:textId="77777777" w:rsidTr="00E1079D">
        <w:trPr>
          <w:gridAfter w:val="1"/>
          <w:wAfter w:w="336" w:type="dxa"/>
          <w:trHeight w:val="233"/>
        </w:trPr>
        <w:tc>
          <w:tcPr>
            <w:tcW w:w="8878" w:type="dxa"/>
            <w:gridSpan w:val="2"/>
          </w:tcPr>
          <w:p w14:paraId="77B387AE" w14:textId="77777777" w:rsidR="007D5768" w:rsidRPr="00DB23D2" w:rsidRDefault="007D5768" w:rsidP="00E1079D">
            <w:pPr>
              <w:spacing w:after="120" w:line="276" w:lineRule="auto"/>
              <w:jc w:val="both"/>
              <w:rPr>
                <w:rFonts w:ascii="Verdana" w:eastAsia="Calibri" w:hAnsi="Verdana" w:cs="Arial"/>
                <w:lang w:val="es-ES_tradnl" w:eastAsia="es-ES"/>
              </w:rPr>
            </w:pPr>
          </w:p>
        </w:tc>
      </w:tr>
    </w:tbl>
    <w:p w14:paraId="064788AC" w14:textId="519EAC22" w:rsidR="007D5768" w:rsidRPr="006730E9" w:rsidRDefault="007D5768" w:rsidP="007D5768">
      <w:pPr>
        <w:spacing w:after="0" w:line="276" w:lineRule="auto"/>
        <w:jc w:val="both"/>
        <w:rPr>
          <w:rFonts w:ascii="Verdana" w:eastAsia="Calibri" w:hAnsi="Verdana" w:cs="Arial"/>
          <w:lang w:val="es-ES" w:eastAsia="es-ES"/>
        </w:rPr>
      </w:pPr>
      <w:r w:rsidRPr="006730E9">
        <w:rPr>
          <w:rFonts w:ascii="Verdana" w:eastAsia="Calibri" w:hAnsi="Verdana" w:cs="Arial"/>
          <w:lang w:val="es-ES" w:eastAsia="es-ES"/>
        </w:rPr>
        <w:t>Estimad</w:t>
      </w:r>
      <w:r>
        <w:rPr>
          <w:rFonts w:ascii="Verdana" w:eastAsia="Calibri" w:hAnsi="Verdana" w:cs="Arial"/>
          <w:lang w:val="es-ES" w:eastAsia="es-ES"/>
        </w:rPr>
        <w:t xml:space="preserve">o </w:t>
      </w:r>
      <w:r w:rsidRPr="006730E9">
        <w:rPr>
          <w:rFonts w:ascii="Verdana" w:eastAsia="Calibri" w:hAnsi="Verdana" w:cs="Arial"/>
          <w:lang w:val="es-ES" w:eastAsia="es-ES"/>
        </w:rPr>
        <w:t xml:space="preserve">señor </w:t>
      </w:r>
      <w:proofErr w:type="spellStart"/>
      <w:r w:rsidR="00001AF1">
        <w:rPr>
          <w:rFonts w:ascii="Verdana" w:eastAsia="Calibri" w:hAnsi="Verdana" w:cs="Arial"/>
          <w:lang w:val="es-ES" w:eastAsia="es-ES"/>
        </w:rPr>
        <w:t>Pos</w:t>
      </w:r>
      <w:r w:rsidR="00210DEE">
        <w:rPr>
          <w:rFonts w:ascii="Verdana" w:eastAsia="Calibri" w:hAnsi="Verdana" w:cs="Arial"/>
          <w:lang w:val="es-ES" w:eastAsia="es-ES"/>
        </w:rPr>
        <w:t>s</w:t>
      </w:r>
      <w:r w:rsidR="00001AF1">
        <w:rPr>
          <w:rFonts w:ascii="Verdana" w:eastAsia="Calibri" w:hAnsi="Verdana" w:cs="Arial"/>
          <w:lang w:val="es-ES" w:eastAsia="es-ES"/>
        </w:rPr>
        <w:t>o</w:t>
      </w:r>
      <w:proofErr w:type="spellEnd"/>
      <w:r>
        <w:rPr>
          <w:rFonts w:ascii="Verdana" w:eastAsia="Calibri" w:hAnsi="Verdana" w:cs="Arial"/>
          <w:lang w:val="es-ES" w:eastAsia="es-ES"/>
        </w:rPr>
        <w:t>;</w:t>
      </w:r>
      <w:r w:rsidRPr="006730E9">
        <w:rPr>
          <w:rFonts w:ascii="Verdana" w:eastAsia="Calibri" w:hAnsi="Verdana" w:cs="Arial"/>
          <w:lang w:val="es-ES" w:eastAsia="es-ES"/>
        </w:rPr>
        <w:t xml:space="preserve"> </w:t>
      </w:r>
    </w:p>
    <w:p w14:paraId="0152D11B" w14:textId="77777777" w:rsidR="007D5768" w:rsidRDefault="007D5768" w:rsidP="007D5768">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612CA923" w14:textId="418CF31D" w:rsidR="007D5768" w:rsidRPr="006730E9" w:rsidRDefault="007D5768" w:rsidP="007D5768">
      <w:pPr>
        <w:spacing w:after="0" w:line="276" w:lineRule="auto"/>
        <w:jc w:val="both"/>
        <w:rPr>
          <w:rFonts w:ascii="Verdana" w:eastAsia="Calibri" w:hAnsi="Verdana" w:cs="Arial"/>
          <w:lang w:val="es-ES" w:eastAsia="es-ES"/>
        </w:rPr>
      </w:pPr>
      <w:r w:rsidRPr="006730E9">
        <w:rPr>
          <w:rFonts w:ascii="Verdana" w:eastAsia="Calibri" w:hAnsi="Verdana" w:cs="Arial"/>
          <w:lang w:val="es-ES" w:eastAsia="es-ES"/>
        </w:rPr>
        <w:t>En ejercicio de la competencia otorgada por los artículos 3, numeral 5º, y 11, numeral 8º, del Decreto Ley 4170 de 2011,</w:t>
      </w:r>
      <w:r w:rsidRPr="006730E9">
        <w:rPr>
          <w:rFonts w:ascii="Verdana" w:eastAsia="Arial MT" w:hAnsi="Verdana" w:cs="Arial MT"/>
          <w:lang w:val="es-ES" w:eastAsia="es-ES"/>
        </w:rPr>
        <w:t xml:space="preserve"> </w:t>
      </w:r>
      <w:r w:rsidRPr="006730E9">
        <w:rPr>
          <w:rFonts w:ascii="Verdana" w:hAnsi="Verdana" w:cs="Arial"/>
        </w:rPr>
        <w:t xml:space="preserve">así como lo establecido en el artículo 4 de la Resolución 1707 de 2018 expedida por esta Entidad, </w:t>
      </w:r>
      <w:r w:rsidRPr="006730E9">
        <w:rPr>
          <w:rFonts w:ascii="Verdana" w:eastAsia="Calibri" w:hAnsi="Verdana" w:cs="Arial"/>
          <w:lang w:val="es-ES" w:eastAsia="es-ES"/>
        </w:rPr>
        <w:t xml:space="preserve">la Agencia Nacional de Contratación Pública – Colombia Compra Eficiente– responde su solicitud </w:t>
      </w:r>
      <w:r>
        <w:rPr>
          <w:rFonts w:ascii="Verdana" w:eastAsia="Calibri" w:hAnsi="Verdana" w:cs="Arial"/>
          <w:lang w:val="es-ES" w:eastAsia="es-ES"/>
        </w:rPr>
        <w:t xml:space="preserve">radicada en esta entidad </w:t>
      </w:r>
      <w:r w:rsidRPr="00E5644F">
        <w:rPr>
          <w:rFonts w:ascii="Verdana" w:eastAsia="Calibri" w:hAnsi="Verdana" w:cs="Arial"/>
          <w:lang w:val="es-ES" w:eastAsia="es-ES"/>
        </w:rPr>
        <w:t xml:space="preserve">el </w:t>
      </w:r>
      <w:r w:rsidR="00210DEE">
        <w:rPr>
          <w:rFonts w:ascii="Verdana" w:eastAsia="Calibri" w:hAnsi="Verdana" w:cs="Arial"/>
          <w:lang w:val="es-ES" w:eastAsia="es-ES"/>
        </w:rPr>
        <w:t>22</w:t>
      </w:r>
      <w:r w:rsidRPr="00E5644F">
        <w:rPr>
          <w:rFonts w:ascii="Verdana" w:eastAsia="Calibri" w:hAnsi="Verdana" w:cs="Arial"/>
          <w:lang w:val="es-ES" w:eastAsia="es-ES"/>
        </w:rPr>
        <w:t xml:space="preserve"> de </w:t>
      </w:r>
      <w:r w:rsidR="007D7EA9">
        <w:rPr>
          <w:rFonts w:ascii="Verdana" w:eastAsia="Calibri" w:hAnsi="Verdana" w:cs="Arial"/>
          <w:lang w:val="es-ES" w:eastAsia="es-ES"/>
        </w:rPr>
        <w:t>noviembre</w:t>
      </w:r>
      <w:r w:rsidRPr="00E5644F">
        <w:rPr>
          <w:rFonts w:ascii="Verdana" w:eastAsia="Calibri" w:hAnsi="Verdana" w:cs="Arial"/>
          <w:lang w:val="es-ES" w:eastAsia="es-ES"/>
        </w:rPr>
        <w:t xml:space="preserve"> de 2024, en</w:t>
      </w:r>
      <w:r w:rsidRPr="006730E9">
        <w:rPr>
          <w:rFonts w:ascii="Verdana" w:eastAsia="Calibri" w:hAnsi="Verdana" w:cs="Arial"/>
          <w:lang w:val="es-ES" w:eastAsia="es-ES"/>
        </w:rPr>
        <w:t xml:space="preserve"> la cual manifiesta lo siguiente: </w:t>
      </w:r>
    </w:p>
    <w:p w14:paraId="096183A1" w14:textId="77777777" w:rsidR="007D5768" w:rsidRPr="00326382" w:rsidRDefault="007D5768" w:rsidP="007D5768">
      <w:pPr>
        <w:spacing w:after="0" w:line="240" w:lineRule="auto"/>
        <w:ind w:left="709" w:right="474"/>
        <w:jc w:val="both"/>
        <w:rPr>
          <w:rFonts w:ascii="Verdana" w:hAnsi="Verdana" w:cs="Arial"/>
          <w:sz w:val="20"/>
          <w:szCs w:val="20"/>
          <w:shd w:val="clear" w:color="auto" w:fill="FFFFFF"/>
        </w:rPr>
      </w:pPr>
      <w:bookmarkStart w:id="3" w:name="_Hlk95313578"/>
    </w:p>
    <w:bookmarkEnd w:id="3"/>
    <w:p w14:paraId="267D13DF" w14:textId="77777777" w:rsidR="00210DEE" w:rsidRDefault="007D7EA9" w:rsidP="00210DEE">
      <w:pPr>
        <w:pStyle w:val="Prrafodelista"/>
        <w:tabs>
          <w:tab w:val="left" w:pos="142"/>
          <w:tab w:val="left" w:pos="284"/>
        </w:tabs>
        <w:ind w:left="425" w:right="474"/>
        <w:jc w:val="both"/>
        <w:rPr>
          <w:rFonts w:ascii="Verdana" w:eastAsia="Century Gothic" w:hAnsi="Verdana" w:cs="Century Gothic"/>
          <w:i/>
          <w:iCs/>
          <w:lang w:val="es-CO"/>
        </w:rPr>
      </w:pPr>
      <w:r w:rsidRPr="00537575">
        <w:rPr>
          <w:rFonts w:ascii="Verdana" w:eastAsia="Century Gothic" w:hAnsi="Verdana" w:cs="Century Gothic"/>
          <w:i/>
          <w:iCs/>
          <w:lang w:val="es-CO"/>
        </w:rPr>
        <w:t>(…)</w:t>
      </w:r>
    </w:p>
    <w:p w14:paraId="57D396EB" w14:textId="15017F5D" w:rsidR="00210DEE" w:rsidRPr="00210DEE" w:rsidRDefault="007D7EA9" w:rsidP="00210DEE">
      <w:pPr>
        <w:pStyle w:val="Prrafodelista"/>
        <w:tabs>
          <w:tab w:val="left" w:pos="142"/>
          <w:tab w:val="left" w:pos="284"/>
        </w:tabs>
        <w:ind w:left="425" w:right="474"/>
        <w:jc w:val="both"/>
        <w:rPr>
          <w:rFonts w:ascii="Verdana" w:eastAsia="Century Gothic" w:hAnsi="Verdana" w:cs="Century Gothic"/>
          <w:i/>
          <w:iCs/>
        </w:rPr>
      </w:pPr>
      <w:r w:rsidRPr="00537575">
        <w:rPr>
          <w:rFonts w:ascii="Verdana" w:eastAsia="Century Gothic" w:hAnsi="Verdana" w:cs="Century Gothic"/>
          <w:i/>
          <w:iCs/>
          <w:lang w:val="es-CO"/>
        </w:rPr>
        <w:lastRenderedPageBreak/>
        <w:t xml:space="preserve"> </w:t>
      </w:r>
      <w:r w:rsidR="00210DEE">
        <w:rPr>
          <w:rFonts w:ascii="Verdana" w:eastAsia="Century Gothic" w:hAnsi="Verdana" w:cs="Century Gothic"/>
          <w:i/>
          <w:iCs/>
          <w:lang w:val="es-CO"/>
        </w:rPr>
        <w:t xml:space="preserve">1. </w:t>
      </w:r>
      <w:r w:rsidR="00210DEE" w:rsidRPr="00210DEE">
        <w:rPr>
          <w:rFonts w:ascii="Verdana" w:eastAsia="Century Gothic" w:hAnsi="Verdana" w:cs="Century Gothic"/>
          <w:i/>
          <w:iCs/>
        </w:rPr>
        <w:t>¿Los pliegos de condiciones diseñados para contratar con el Estado en materia de ingeniería deben</w:t>
      </w:r>
      <w:r w:rsidR="00210DEE">
        <w:rPr>
          <w:rFonts w:ascii="Verdana" w:eastAsia="Century Gothic" w:hAnsi="Verdana" w:cs="Century Gothic"/>
          <w:i/>
          <w:iCs/>
        </w:rPr>
        <w:t xml:space="preserve"> </w:t>
      </w:r>
      <w:r w:rsidR="00210DEE" w:rsidRPr="00210DEE">
        <w:rPr>
          <w:rFonts w:ascii="Verdana" w:eastAsia="Century Gothic" w:hAnsi="Verdana" w:cs="Century Gothic"/>
          <w:i/>
          <w:iCs/>
        </w:rPr>
        <w:t>obedecer y/o aplicar en su totalidad lo establecido en la Ley 842 de 2003?</w:t>
      </w:r>
    </w:p>
    <w:p w14:paraId="3431CDCE" w14:textId="4141F162" w:rsidR="00210DEE" w:rsidRPr="00210DEE" w:rsidRDefault="00210DEE" w:rsidP="00210DEE">
      <w:pPr>
        <w:pStyle w:val="Prrafodelista"/>
        <w:tabs>
          <w:tab w:val="left" w:pos="142"/>
          <w:tab w:val="left" w:pos="284"/>
        </w:tabs>
        <w:ind w:left="425" w:right="474"/>
        <w:jc w:val="both"/>
        <w:rPr>
          <w:rFonts w:ascii="Verdana" w:eastAsia="Century Gothic" w:hAnsi="Verdana" w:cs="Century Gothic"/>
          <w:i/>
          <w:iCs/>
        </w:rPr>
      </w:pPr>
      <w:r w:rsidRPr="00210DEE">
        <w:rPr>
          <w:rFonts w:ascii="Verdana" w:eastAsia="Century Gothic" w:hAnsi="Verdana" w:cs="Century Gothic"/>
          <w:i/>
          <w:iCs/>
        </w:rPr>
        <w:t>2. Somos una empresa de ingeniería con más de 20 años de experiencia en licitaciones públicas y hemos</w:t>
      </w:r>
      <w:r>
        <w:rPr>
          <w:rFonts w:ascii="Verdana" w:eastAsia="Century Gothic" w:hAnsi="Verdana" w:cs="Century Gothic"/>
          <w:i/>
          <w:iCs/>
        </w:rPr>
        <w:t xml:space="preserve"> </w:t>
      </w:r>
      <w:r w:rsidRPr="00210DEE">
        <w:rPr>
          <w:rFonts w:ascii="Verdana" w:eastAsia="Century Gothic" w:hAnsi="Verdana" w:cs="Century Gothic"/>
          <w:i/>
          <w:iCs/>
        </w:rPr>
        <w:t>observado que en los pliegos de condiciones de los procesos de contratación en materia de ingeniería</w:t>
      </w:r>
    </w:p>
    <w:p w14:paraId="75B1302C" w14:textId="68745128" w:rsidR="00210DEE" w:rsidRPr="00210DEE" w:rsidRDefault="00210DEE" w:rsidP="00210DEE">
      <w:pPr>
        <w:pStyle w:val="Prrafodelista"/>
        <w:tabs>
          <w:tab w:val="left" w:pos="142"/>
          <w:tab w:val="left" w:pos="284"/>
        </w:tabs>
        <w:ind w:left="425" w:right="474"/>
        <w:jc w:val="both"/>
        <w:rPr>
          <w:rFonts w:ascii="Verdana" w:eastAsia="Century Gothic" w:hAnsi="Verdana" w:cs="Century Gothic"/>
          <w:i/>
          <w:iCs/>
        </w:rPr>
      </w:pPr>
      <w:r w:rsidRPr="00210DEE">
        <w:rPr>
          <w:rFonts w:ascii="Verdana" w:eastAsia="Century Gothic" w:hAnsi="Verdana" w:cs="Century Gothic"/>
          <w:i/>
          <w:iCs/>
        </w:rPr>
        <w:t>omiten la aplicación del artículo 17 de la Ley 842 de 2003.</w:t>
      </w:r>
    </w:p>
    <w:p w14:paraId="5D18D7AA" w14:textId="23511F92" w:rsidR="00210DEE" w:rsidRPr="00210DEE" w:rsidRDefault="00210DEE" w:rsidP="00210DEE">
      <w:pPr>
        <w:pStyle w:val="Prrafodelista"/>
        <w:tabs>
          <w:tab w:val="left" w:pos="142"/>
          <w:tab w:val="left" w:pos="284"/>
        </w:tabs>
        <w:ind w:left="425" w:right="474"/>
        <w:jc w:val="both"/>
        <w:rPr>
          <w:rFonts w:ascii="Verdana" w:eastAsia="Century Gothic" w:hAnsi="Verdana" w:cs="Century Gothic"/>
          <w:i/>
          <w:iCs/>
        </w:rPr>
      </w:pPr>
      <w:r w:rsidRPr="00210DEE">
        <w:rPr>
          <w:rFonts w:ascii="Verdana" w:eastAsia="Century Gothic" w:hAnsi="Verdana" w:cs="Century Gothic"/>
          <w:i/>
          <w:iCs/>
        </w:rPr>
        <w:t>¿La inobservancia de lo establecido en el artículo 17 de la Ley 842 de 2003, en los pliegos de</w:t>
      </w:r>
      <w:r>
        <w:rPr>
          <w:rFonts w:ascii="Verdana" w:eastAsia="Century Gothic" w:hAnsi="Verdana" w:cs="Century Gothic"/>
          <w:i/>
          <w:iCs/>
        </w:rPr>
        <w:t xml:space="preserve"> </w:t>
      </w:r>
      <w:r w:rsidRPr="00210DEE">
        <w:rPr>
          <w:rFonts w:ascii="Verdana" w:eastAsia="Century Gothic" w:hAnsi="Verdana" w:cs="Century Gothic"/>
          <w:i/>
          <w:iCs/>
        </w:rPr>
        <w:t>condiciones para contratar con el Estado en materia de ingeniería vicia el proceso de selección</w:t>
      </w:r>
      <w:r>
        <w:rPr>
          <w:rFonts w:ascii="Verdana" w:eastAsia="Century Gothic" w:hAnsi="Verdana" w:cs="Century Gothic"/>
          <w:i/>
          <w:iCs/>
        </w:rPr>
        <w:t xml:space="preserve"> </w:t>
      </w:r>
      <w:r w:rsidRPr="00210DEE">
        <w:rPr>
          <w:rFonts w:ascii="Verdana" w:eastAsia="Century Gothic" w:hAnsi="Verdana" w:cs="Century Gothic"/>
          <w:i/>
          <w:iCs/>
        </w:rPr>
        <w:t>objetiva?</w:t>
      </w:r>
    </w:p>
    <w:p w14:paraId="02136472" w14:textId="7D61B56C" w:rsidR="00210DEE" w:rsidRPr="00210DEE" w:rsidRDefault="00210DEE" w:rsidP="00210DEE">
      <w:pPr>
        <w:pStyle w:val="Prrafodelista"/>
        <w:tabs>
          <w:tab w:val="left" w:pos="142"/>
          <w:tab w:val="left" w:pos="284"/>
        </w:tabs>
        <w:ind w:left="425" w:right="474"/>
        <w:jc w:val="both"/>
        <w:rPr>
          <w:rFonts w:ascii="Verdana" w:eastAsia="Century Gothic" w:hAnsi="Verdana" w:cs="Century Gothic"/>
          <w:i/>
          <w:iCs/>
        </w:rPr>
      </w:pPr>
      <w:r w:rsidRPr="00210DEE">
        <w:rPr>
          <w:rFonts w:ascii="Verdana" w:eastAsia="Century Gothic" w:hAnsi="Verdana" w:cs="Century Gothic"/>
          <w:i/>
          <w:iCs/>
        </w:rPr>
        <w:t>3. ¿Si una persona jurídica y/o natural o los integrantes (personas jurídicas y/o natural) que hagan parte</w:t>
      </w:r>
      <w:r>
        <w:rPr>
          <w:rFonts w:ascii="Verdana" w:eastAsia="Century Gothic" w:hAnsi="Verdana" w:cs="Century Gothic"/>
          <w:i/>
          <w:iCs/>
        </w:rPr>
        <w:t xml:space="preserve"> </w:t>
      </w:r>
      <w:r w:rsidRPr="00210DEE">
        <w:rPr>
          <w:rFonts w:ascii="Verdana" w:eastAsia="Century Gothic" w:hAnsi="Verdana" w:cs="Century Gothic"/>
          <w:i/>
          <w:iCs/>
        </w:rPr>
        <w:t>de un proponente plural no cumplen con lo establecido en el artículo 17 de la Ley 842 de 2003 se</w:t>
      </w:r>
    </w:p>
    <w:p w14:paraId="7D03633E" w14:textId="5C7A1137" w:rsidR="007D5768" w:rsidRPr="00426DC2" w:rsidRDefault="00210DEE" w:rsidP="00210DEE">
      <w:pPr>
        <w:pStyle w:val="Prrafodelista"/>
        <w:tabs>
          <w:tab w:val="left" w:pos="142"/>
          <w:tab w:val="left" w:pos="284"/>
        </w:tabs>
        <w:ind w:left="425" w:right="474"/>
        <w:jc w:val="both"/>
        <w:rPr>
          <w:rFonts w:ascii="Verdana" w:eastAsia="Century Gothic" w:hAnsi="Verdana" w:cs="Century Gothic"/>
          <w:i/>
          <w:iCs/>
          <w:lang w:val="es-CO"/>
        </w:rPr>
      </w:pPr>
      <w:r w:rsidRPr="00210DEE">
        <w:rPr>
          <w:rFonts w:ascii="Verdana" w:eastAsia="Century Gothic" w:hAnsi="Verdana" w:cs="Century Gothic"/>
          <w:i/>
          <w:iCs/>
        </w:rPr>
        <w:t>encuentran inmersos en causal de rechazo? ¿debe la entidad estatal rechazarlos por no tener la</w:t>
      </w:r>
      <w:r>
        <w:rPr>
          <w:rFonts w:ascii="Verdana" w:eastAsia="Century Gothic" w:hAnsi="Verdana" w:cs="Century Gothic"/>
          <w:i/>
          <w:iCs/>
        </w:rPr>
        <w:t xml:space="preserve"> </w:t>
      </w:r>
      <w:r w:rsidRPr="00210DEE">
        <w:rPr>
          <w:rFonts w:ascii="Verdana" w:eastAsia="Century Gothic" w:hAnsi="Verdana" w:cs="Century Gothic"/>
          <w:i/>
          <w:iCs/>
          <w:lang w:val="es-CO"/>
        </w:rPr>
        <w:t xml:space="preserve">capacidad jurídica para contratar servicios u obras asociados a la actividad de la ingeniería? </w:t>
      </w:r>
      <w:r w:rsidR="007D7EA9" w:rsidRPr="00537575">
        <w:rPr>
          <w:rFonts w:ascii="Verdana" w:eastAsia="Century Gothic" w:hAnsi="Verdana" w:cs="Century Gothic"/>
          <w:i/>
          <w:iCs/>
        </w:rPr>
        <w:t>(…)</w:t>
      </w:r>
    </w:p>
    <w:p w14:paraId="060344BA" w14:textId="77777777" w:rsidR="007D5768" w:rsidRDefault="007D5768" w:rsidP="007D5768">
      <w:pPr>
        <w:pStyle w:val="Prrafodelista"/>
        <w:tabs>
          <w:tab w:val="left" w:pos="142"/>
          <w:tab w:val="left" w:pos="284"/>
        </w:tabs>
        <w:spacing w:after="0" w:line="240" w:lineRule="auto"/>
        <w:ind w:left="425" w:right="1185"/>
        <w:jc w:val="both"/>
        <w:rPr>
          <w:rFonts w:ascii="Verdana" w:eastAsia="Century Gothic" w:hAnsi="Verdana" w:cs="Century Gothic"/>
          <w:i/>
          <w:iCs/>
          <w:lang w:val="es-CO"/>
        </w:rPr>
      </w:pPr>
    </w:p>
    <w:p w14:paraId="46704925" w14:textId="77777777" w:rsidR="007D5768" w:rsidRPr="00593A5F" w:rsidRDefault="007D5768" w:rsidP="007D5768">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 xml:space="preserve">Problema </w:t>
      </w:r>
      <w:r>
        <w:rPr>
          <w:rFonts w:ascii="Verdana" w:eastAsia="Century Gothic" w:hAnsi="Verdana" w:cs="Century Gothic"/>
          <w:b/>
          <w:bCs/>
        </w:rPr>
        <w:t xml:space="preserve">jurídico </w:t>
      </w:r>
      <w:r w:rsidRPr="00593A5F">
        <w:rPr>
          <w:rFonts w:ascii="Verdana" w:eastAsia="Century Gothic" w:hAnsi="Verdana" w:cs="Century Gothic"/>
          <w:b/>
          <w:bCs/>
        </w:rPr>
        <w:t>planteado:</w:t>
      </w:r>
    </w:p>
    <w:p w14:paraId="5CB2E569" w14:textId="77777777" w:rsidR="007D5768" w:rsidRPr="00593A5F" w:rsidRDefault="007D5768" w:rsidP="007D5768">
      <w:pPr>
        <w:tabs>
          <w:tab w:val="left" w:pos="426"/>
        </w:tabs>
        <w:spacing w:after="0" w:line="276" w:lineRule="auto"/>
        <w:jc w:val="both"/>
        <w:rPr>
          <w:rFonts w:ascii="Verdana" w:eastAsia="Century Gothic" w:hAnsi="Verdana" w:cs="Century Gothic"/>
          <w:lang w:val="es-ES"/>
        </w:rPr>
      </w:pPr>
    </w:p>
    <w:p w14:paraId="36CB1E6E" w14:textId="69AAE7B2" w:rsidR="00343A0B" w:rsidRDefault="007D5768" w:rsidP="007D5768">
      <w:pPr>
        <w:pStyle w:val="Prrafodelista"/>
        <w:ind w:left="0" w:right="49"/>
        <w:jc w:val="both"/>
        <w:rPr>
          <w:rFonts w:ascii="Verdana" w:eastAsia="Century Gothic" w:hAnsi="Verdana" w:cs="Century Gothic"/>
        </w:rPr>
      </w:pPr>
      <w:r w:rsidRPr="00B22D91">
        <w:rPr>
          <w:rFonts w:ascii="Verdana" w:eastAsia="Century Gothic" w:hAnsi="Verdana" w:cs="Century Gothic"/>
        </w:rPr>
        <w:t xml:space="preserve">De acuerdo con el contenido de su solicitud, esta Agencia resolverá </w:t>
      </w:r>
      <w:r>
        <w:rPr>
          <w:rFonts w:ascii="Verdana" w:eastAsia="Century Gothic" w:hAnsi="Verdana" w:cs="Century Gothic"/>
        </w:rPr>
        <w:t xml:space="preserve">el siguiente </w:t>
      </w:r>
      <w:r w:rsidRPr="00B22D91">
        <w:rPr>
          <w:rFonts w:ascii="Verdana" w:eastAsia="Century Gothic" w:hAnsi="Verdana" w:cs="Century Gothic"/>
        </w:rPr>
        <w:t>problema jurídico</w:t>
      </w:r>
      <w:r w:rsidR="00AE26B1">
        <w:rPr>
          <w:rFonts w:ascii="Verdana" w:eastAsia="Century Gothic" w:hAnsi="Verdana" w:cs="Century Gothic"/>
        </w:rPr>
        <w:t xml:space="preserve"> relacionado con los procesos de contratación en los que se hace uso de los documentos tipo</w:t>
      </w:r>
      <w:r w:rsidRPr="00B22D91">
        <w:rPr>
          <w:rFonts w:ascii="Verdana" w:eastAsia="Century Gothic" w:hAnsi="Verdana" w:cs="Century Gothic"/>
        </w:rPr>
        <w:t>:</w:t>
      </w:r>
    </w:p>
    <w:p w14:paraId="29CD5345" w14:textId="77777777" w:rsidR="00343A0B" w:rsidRDefault="00343A0B" w:rsidP="007D5768">
      <w:pPr>
        <w:pStyle w:val="Prrafodelista"/>
        <w:ind w:left="0" w:right="49"/>
        <w:jc w:val="both"/>
        <w:rPr>
          <w:rFonts w:ascii="Verdana" w:eastAsia="Century Gothic" w:hAnsi="Verdana" w:cs="Century Gothic"/>
        </w:rPr>
      </w:pPr>
    </w:p>
    <w:p w14:paraId="5617C63C" w14:textId="5C8781E9" w:rsidR="007D5768" w:rsidRPr="00D55B5C" w:rsidRDefault="00343A0B" w:rsidP="007D5768">
      <w:pPr>
        <w:pStyle w:val="Prrafodelista"/>
        <w:ind w:left="0" w:right="49"/>
        <w:jc w:val="both"/>
        <w:rPr>
          <w:rFonts w:ascii="Verdana" w:eastAsia="Century Gothic" w:hAnsi="Verdana" w:cs="Century Gothic"/>
          <w:i/>
          <w:iCs/>
        </w:rPr>
      </w:pPr>
      <w:r>
        <w:rPr>
          <w:rFonts w:ascii="Verdana" w:eastAsia="Century Gothic" w:hAnsi="Verdana" w:cs="Century Gothic"/>
        </w:rPr>
        <w:t>¿</w:t>
      </w:r>
      <w:r w:rsidR="00CC7892">
        <w:rPr>
          <w:rFonts w:ascii="Verdana" w:eastAsia="Century Gothic" w:hAnsi="Verdana" w:cs="Century Gothic"/>
          <w:lang w:val="es-CO"/>
        </w:rPr>
        <w:t>R</w:t>
      </w:r>
      <w:r w:rsidR="00D55B5C">
        <w:rPr>
          <w:rFonts w:ascii="Verdana" w:eastAsia="Century Gothic" w:hAnsi="Verdana" w:cs="Century Gothic"/>
          <w:lang w:val="es-CO"/>
        </w:rPr>
        <w:t xml:space="preserve">esulta </w:t>
      </w:r>
      <w:r w:rsidR="00210DEE" w:rsidRPr="008269B6">
        <w:rPr>
          <w:rFonts w:ascii="Verdana" w:eastAsia="Century Gothic" w:hAnsi="Verdana" w:cs="Century Gothic"/>
        </w:rPr>
        <w:t xml:space="preserve">causal de rechazo </w:t>
      </w:r>
      <w:r w:rsidR="00D55B5C">
        <w:rPr>
          <w:rFonts w:ascii="Verdana" w:eastAsia="Century Gothic" w:hAnsi="Verdana" w:cs="Century Gothic"/>
        </w:rPr>
        <w:t xml:space="preserve">el </w:t>
      </w:r>
      <w:r w:rsidR="00210DEE" w:rsidRPr="008269B6">
        <w:rPr>
          <w:rFonts w:ascii="Verdana" w:eastAsia="Century Gothic" w:hAnsi="Verdana" w:cs="Century Gothic"/>
        </w:rPr>
        <w:t xml:space="preserve">no </w:t>
      </w:r>
      <w:r w:rsidRPr="008269B6">
        <w:rPr>
          <w:rFonts w:ascii="Verdana" w:eastAsia="Century Gothic" w:hAnsi="Verdana" w:cs="Century Gothic"/>
        </w:rPr>
        <w:t>cumplimiento de</w:t>
      </w:r>
      <w:r w:rsidR="00210DEE" w:rsidRPr="008269B6">
        <w:rPr>
          <w:rFonts w:ascii="Verdana" w:eastAsia="Century Gothic" w:hAnsi="Verdana" w:cs="Century Gothic"/>
        </w:rPr>
        <w:t xml:space="preserve"> lo previsto en el artículo</w:t>
      </w:r>
      <w:r w:rsidR="00210DEE" w:rsidRPr="00210DEE">
        <w:rPr>
          <w:rFonts w:ascii="Verdana" w:eastAsia="Century Gothic" w:hAnsi="Verdana" w:cs="Century Gothic"/>
        </w:rPr>
        <w:t xml:space="preserve"> 17 de la Ley 842 de 2003</w:t>
      </w:r>
      <w:r w:rsidR="00AE26B1">
        <w:rPr>
          <w:rFonts w:ascii="Verdana" w:eastAsia="Century Gothic" w:hAnsi="Verdana" w:cs="Century Gothic"/>
        </w:rPr>
        <w:t xml:space="preserve"> en el marco de un proceso de contratación de infraestructura de obra pública</w:t>
      </w:r>
      <w:r w:rsidR="00071E34" w:rsidRPr="008269B6">
        <w:rPr>
          <w:rFonts w:ascii="Verdana" w:eastAsia="Century Gothic" w:hAnsi="Verdana" w:cs="Century Gothic"/>
          <w:lang w:val="es-CO"/>
        </w:rPr>
        <w:t xml:space="preserve">? </w:t>
      </w:r>
    </w:p>
    <w:p w14:paraId="691CC483" w14:textId="77777777" w:rsidR="007D5768" w:rsidRDefault="007D5768" w:rsidP="007D5768">
      <w:pPr>
        <w:pStyle w:val="Prrafodelista"/>
        <w:ind w:left="0" w:right="49"/>
        <w:jc w:val="both"/>
        <w:rPr>
          <w:rFonts w:ascii="Verdana" w:eastAsia="Century Gothic" w:hAnsi="Verdana" w:cs="Century Gothic"/>
          <w:i/>
          <w:iCs/>
        </w:rPr>
      </w:pPr>
    </w:p>
    <w:p w14:paraId="44404C69" w14:textId="77777777" w:rsidR="00210DEE" w:rsidRDefault="00210DEE" w:rsidP="007D5768">
      <w:pPr>
        <w:pStyle w:val="Prrafodelista"/>
        <w:ind w:left="0" w:right="49"/>
        <w:jc w:val="both"/>
        <w:rPr>
          <w:rFonts w:ascii="Verdana" w:eastAsia="Century Gothic" w:hAnsi="Verdana" w:cs="Century Gothic"/>
          <w:i/>
          <w:iCs/>
        </w:rPr>
      </w:pPr>
    </w:p>
    <w:p w14:paraId="0FABB1D4" w14:textId="77777777" w:rsidR="007D5768" w:rsidRPr="00593A5F" w:rsidRDefault="007D5768" w:rsidP="007D576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48D1DC7E" w14:textId="77777777" w:rsidR="007D5768" w:rsidRPr="00593A5F" w:rsidRDefault="007D5768" w:rsidP="007D5768">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7D5768" w:rsidRPr="00593A5F" w14:paraId="2BAE82EC" w14:textId="77777777" w:rsidTr="00E1079D">
        <w:tc>
          <w:tcPr>
            <w:tcW w:w="8828" w:type="dxa"/>
            <w:shd w:val="clear" w:color="auto" w:fill="auto"/>
          </w:tcPr>
          <w:p w14:paraId="4AEB8D8C" w14:textId="11C39B3D" w:rsidR="00AE26B1" w:rsidRPr="00AE26B1" w:rsidRDefault="00AE26B1" w:rsidP="00AE26B1">
            <w:pPr>
              <w:spacing w:after="120" w:line="276" w:lineRule="auto"/>
              <w:jc w:val="both"/>
              <w:rPr>
                <w:rFonts w:ascii="Verdana" w:hAnsi="Verdana" w:cs="Arial"/>
              </w:rPr>
            </w:pPr>
            <w:r>
              <w:rPr>
                <w:rFonts w:ascii="Verdana" w:hAnsi="Verdana" w:cs="Arial"/>
              </w:rPr>
              <w:t>E</w:t>
            </w:r>
            <w:r w:rsidRPr="00AE26B1">
              <w:rPr>
                <w:rFonts w:ascii="Verdana" w:hAnsi="Verdana" w:cs="Arial"/>
              </w:rPr>
              <w:t xml:space="preserve">l documento tipo no estableció la exigencia de la acreditación, durante el procedimiento de selección, del cumplimiento de la obligación legal establecida en el artículo 17 de la Ley 842 de 2003. Además, dicho evento no se encuentra establecido como causal de rechazo de las ofertas y las entidades no pueden incluir nuevas causales distintas a las establecidas en los documentos tipo. </w:t>
            </w:r>
          </w:p>
          <w:p w14:paraId="49A2078E" w14:textId="2321BED8" w:rsidR="00AE26B1" w:rsidRPr="00AE26B1" w:rsidRDefault="00A71022" w:rsidP="00AE26B1">
            <w:pPr>
              <w:spacing w:line="276" w:lineRule="auto"/>
              <w:ind w:firstLine="708"/>
              <w:jc w:val="both"/>
              <w:rPr>
                <w:rFonts w:ascii="Verdana" w:hAnsi="Verdana" w:cs="Arial"/>
                <w:lang w:val="es-ES"/>
              </w:rPr>
            </w:pPr>
            <w:proofErr w:type="spellStart"/>
            <w:r>
              <w:rPr>
                <w:rFonts w:ascii="Verdana" w:hAnsi="Verdana" w:cs="Arial"/>
              </w:rPr>
              <w:t>Asi</w:t>
            </w:r>
            <w:proofErr w:type="spellEnd"/>
            <w:r>
              <w:rPr>
                <w:rFonts w:ascii="Verdana" w:hAnsi="Verdana" w:cs="Arial"/>
              </w:rPr>
              <w:t xml:space="preserve"> las cosas</w:t>
            </w:r>
            <w:r w:rsidR="00AE26B1" w:rsidRPr="00AE26B1">
              <w:rPr>
                <w:rFonts w:ascii="Verdana" w:hAnsi="Verdana" w:cs="Arial"/>
              </w:rPr>
              <w:t xml:space="preserve">, el artículo citado establece el deber para las personas jurídicas, cuyas actividades correspondan al ejercicio de la ingeniería, de incluir en su </w:t>
            </w:r>
            <w:r>
              <w:rPr>
                <w:rFonts w:ascii="Verdana" w:hAnsi="Verdana" w:cs="Arial"/>
              </w:rPr>
              <w:t>“</w:t>
            </w:r>
            <w:r w:rsidR="00AE26B1" w:rsidRPr="00AE26B1">
              <w:rPr>
                <w:rFonts w:ascii="Verdana" w:hAnsi="Verdana" w:cs="Arial"/>
              </w:rPr>
              <w:t>nómina permanente</w:t>
            </w:r>
            <w:r>
              <w:rPr>
                <w:rFonts w:ascii="Verdana" w:hAnsi="Verdana" w:cs="Arial"/>
              </w:rPr>
              <w:t>”</w:t>
            </w:r>
            <w:r w:rsidR="00AE26B1" w:rsidRPr="00AE26B1">
              <w:rPr>
                <w:rFonts w:ascii="Verdana" w:hAnsi="Verdana" w:cs="Arial"/>
              </w:rPr>
              <w:t xml:space="preserve"> al menos a un profesional matriculado en la carrera correspondiente al objeto social de la persona jurídica. Sin embargo, </w:t>
            </w:r>
            <w:r w:rsidR="00AE26B1" w:rsidRPr="00AE26B1">
              <w:rPr>
                <w:rFonts w:ascii="Verdana" w:hAnsi="Verdana" w:cs="Arial"/>
              </w:rPr>
              <w:lastRenderedPageBreak/>
              <w:t>pese a la existencia de dicho deber, no establece una consecuencia particular frente a su incidencia en los procedimientos de selección adelantados por las entidades estatales, como sería la imposibilidad de participar en dichos procesos ante la inobservancia del cumplimiento de dicha exigencia o el deber de presentar algún documento para acreditar el cumplimiento de dicha obligación en el desarrollo de tales procesos contractuales.</w:t>
            </w:r>
          </w:p>
          <w:p w14:paraId="6E21EF93" w14:textId="77777777" w:rsidR="00071E34" w:rsidRDefault="00071E34" w:rsidP="00071E34">
            <w:pPr>
              <w:spacing w:line="276" w:lineRule="auto"/>
              <w:jc w:val="both"/>
              <w:rPr>
                <w:rFonts w:ascii="Verdana" w:eastAsia="Century Gothic" w:hAnsi="Verdana" w:cs="Century Gothic"/>
              </w:rPr>
            </w:pPr>
          </w:p>
          <w:p w14:paraId="47EEB54F" w14:textId="349BF8D2" w:rsidR="00523EE3" w:rsidRPr="00D67CFC" w:rsidRDefault="00D67CFC" w:rsidP="00F3780C">
            <w:pPr>
              <w:spacing w:line="276" w:lineRule="auto"/>
              <w:jc w:val="both"/>
              <w:rPr>
                <w:rFonts w:ascii="Verdana" w:hAnsi="Verdana" w:cs="Arial"/>
                <w:bCs/>
                <w:color w:val="000000" w:themeColor="text1"/>
              </w:rPr>
            </w:pPr>
            <w:r w:rsidRPr="00D67CFC">
              <w:rPr>
                <w:rFonts w:ascii="Verdana" w:hAnsi="Verdana" w:cs="Arial"/>
                <w:bCs/>
                <w:color w:val="000000" w:themeColor="text1"/>
              </w:rPr>
              <w:t xml:space="preserve"> </w:t>
            </w:r>
          </w:p>
        </w:tc>
      </w:tr>
      <w:tr w:rsidR="007D5768" w:rsidRPr="00593A5F" w14:paraId="43648ADC" w14:textId="77777777" w:rsidTr="00E1079D">
        <w:tc>
          <w:tcPr>
            <w:tcW w:w="8828" w:type="dxa"/>
            <w:shd w:val="clear" w:color="auto" w:fill="auto"/>
          </w:tcPr>
          <w:p w14:paraId="60E16ECD" w14:textId="77777777" w:rsidR="007D5768" w:rsidRPr="002973E9" w:rsidRDefault="007D5768" w:rsidP="00E1079D">
            <w:pPr>
              <w:spacing w:line="276" w:lineRule="auto"/>
              <w:jc w:val="both"/>
              <w:rPr>
                <w:rFonts w:ascii="Verdana" w:eastAsia="Calibri" w:hAnsi="Verdana" w:cs="Arial"/>
                <w:lang w:val="es-ES"/>
              </w:rPr>
            </w:pPr>
          </w:p>
        </w:tc>
      </w:tr>
    </w:tbl>
    <w:p w14:paraId="032FF257" w14:textId="77777777" w:rsidR="007D5768" w:rsidRDefault="007D5768" w:rsidP="007D5768">
      <w:pPr>
        <w:tabs>
          <w:tab w:val="left" w:pos="142"/>
          <w:tab w:val="left" w:pos="284"/>
        </w:tabs>
        <w:spacing w:after="0" w:line="276" w:lineRule="auto"/>
        <w:jc w:val="both"/>
        <w:rPr>
          <w:rFonts w:ascii="Verdana" w:eastAsia="Century Gothic" w:hAnsi="Verdana" w:cs="Century Gothic"/>
          <w:b/>
          <w:bCs/>
          <w:lang w:val="es-ES"/>
        </w:rPr>
      </w:pPr>
    </w:p>
    <w:p w14:paraId="6170B3F8" w14:textId="77777777" w:rsidR="007D5768" w:rsidRPr="00593A5F" w:rsidRDefault="007D5768" w:rsidP="007D576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3BB50C0F" w14:textId="77777777" w:rsidR="007D5768" w:rsidRPr="00593A5F" w:rsidRDefault="007D5768" w:rsidP="007D5768">
      <w:pPr>
        <w:spacing w:after="0" w:line="276" w:lineRule="auto"/>
        <w:jc w:val="both"/>
        <w:rPr>
          <w:rFonts w:ascii="Verdana" w:eastAsia="Calibri" w:hAnsi="Verdana" w:cs="Arial"/>
          <w:color w:val="7030A0"/>
          <w:lang w:val="es-ES"/>
        </w:rPr>
      </w:pPr>
    </w:p>
    <w:p w14:paraId="2B9C7990" w14:textId="77777777" w:rsidR="007D5768" w:rsidRDefault="007D5768" w:rsidP="007D5768">
      <w:pPr>
        <w:spacing w:after="0" w:line="276" w:lineRule="auto"/>
        <w:jc w:val="both"/>
        <w:rPr>
          <w:rFonts w:ascii="Verdana" w:eastAsia="Calibri" w:hAnsi="Verdana" w:cs="Arial"/>
          <w:lang w:val="es-ES"/>
        </w:rPr>
      </w:pPr>
      <w:r w:rsidRPr="00542ED3">
        <w:rPr>
          <w:rFonts w:ascii="Verdana" w:eastAsia="Calibri" w:hAnsi="Verdana" w:cs="Arial"/>
          <w:lang w:val="es-ES"/>
        </w:rPr>
        <w:t xml:space="preserve">Lo anterior se sustenta en las siguientes consideraciones: </w:t>
      </w:r>
    </w:p>
    <w:p w14:paraId="791E01CB" w14:textId="0A886F17" w:rsidR="00BE6BAA" w:rsidRDefault="00BE6BAA" w:rsidP="00BA1F40">
      <w:pPr>
        <w:spacing w:after="120" w:line="276" w:lineRule="auto"/>
        <w:ind w:left="426"/>
        <w:contextualSpacing/>
        <w:jc w:val="both"/>
        <w:rPr>
          <w:rFonts w:ascii="Verdana" w:eastAsia="Calibri" w:hAnsi="Verdana" w:cs="Arial"/>
          <w:lang w:val="es-ES"/>
        </w:rPr>
      </w:pPr>
    </w:p>
    <w:p w14:paraId="31A9ADE0" w14:textId="77777777" w:rsidR="00A502AE" w:rsidRPr="00A502AE" w:rsidRDefault="00A71022" w:rsidP="00A502AE">
      <w:pPr>
        <w:pStyle w:val="Prrafodelista"/>
        <w:numPr>
          <w:ilvl w:val="0"/>
          <w:numId w:val="20"/>
        </w:numPr>
        <w:tabs>
          <w:tab w:val="left" w:pos="426"/>
        </w:tabs>
        <w:spacing w:after="120" w:line="276" w:lineRule="auto"/>
        <w:ind w:left="426"/>
        <w:jc w:val="both"/>
        <w:rPr>
          <w:rFonts w:ascii="Verdana" w:hAnsi="Verdana" w:cs="Arial"/>
          <w:bCs/>
          <w:lang w:eastAsia="es-CO"/>
        </w:rPr>
      </w:pPr>
      <w:r w:rsidRPr="00A502AE">
        <w:rPr>
          <w:rFonts w:ascii="Verdana" w:eastAsia="Calibri" w:hAnsi="Verdana" w:cs="Arial"/>
          <w:noProof/>
          <w:lang w:val="es-ES_tradnl"/>
        </w:rPr>
        <w:t xml:space="preserve">Al tenor de lo dispuesto en el parágrafo 7 del artículo 2 de la Ley 1150 de 2007, adicionado y modificado por las Leyes 1882 de 2018 y 2022 de 2020, </w:t>
      </w:r>
      <w:r w:rsidR="00A502AE" w:rsidRPr="00A502AE">
        <w:rPr>
          <w:rFonts w:ascii="Verdana" w:eastAsia="Calibri" w:hAnsi="Verdana" w:cs="Arial"/>
          <w:noProof/>
          <w:lang w:val="es-ES_tradnl"/>
        </w:rPr>
        <w:t>“</w:t>
      </w:r>
      <w:r w:rsidRPr="00A502AE">
        <w:rPr>
          <w:rFonts w:ascii="Verdana" w:eastAsia="Calibri" w:hAnsi="Verdana" w:cs="Arial"/>
          <w:noProof/>
          <w:lang w:val="es-ES_tradnl"/>
        </w:rPr>
        <w:t xml:space="preserve">la </w:t>
      </w:r>
      <w:r w:rsidRPr="00A502AE">
        <w:rPr>
          <w:rFonts w:ascii="Verdana" w:hAnsi="Verdana" w:cs="Arial"/>
          <w:shd w:val="clear" w:color="auto" w:fill="FFFFFF"/>
        </w:rPr>
        <w:t>Agencia Nacional de Contratación Pública Colombia Compra Eficiente […] adoptará documentos tipo que serán de obligatorio cumplimiento en la actividad contractual de todas las entidades sometidas al Estatuto General de Contratación de la Administración Pública</w:t>
      </w:r>
      <w:r w:rsidR="00A502AE" w:rsidRPr="00A502AE">
        <w:rPr>
          <w:rFonts w:ascii="Verdana" w:hAnsi="Verdana" w:cs="Arial"/>
          <w:shd w:val="clear" w:color="auto" w:fill="FFFFFF"/>
        </w:rPr>
        <w:t>”</w:t>
      </w:r>
      <w:r w:rsidRPr="00A502AE">
        <w:rPr>
          <w:rFonts w:ascii="Verdana" w:eastAsia="Calibri" w:hAnsi="Verdana" w:cs="Arial"/>
          <w:noProof/>
          <w:lang w:val="es-ES_tradnl"/>
        </w:rPr>
        <w:t xml:space="preserve">, además </w:t>
      </w:r>
      <w:r w:rsidR="00A502AE" w:rsidRPr="00A502AE">
        <w:rPr>
          <w:rFonts w:ascii="Verdana" w:eastAsia="Calibri" w:hAnsi="Verdana" w:cs="Arial"/>
          <w:noProof/>
          <w:lang w:val="es-ES_tradnl"/>
        </w:rPr>
        <w:t>“</w:t>
      </w:r>
      <w:r w:rsidRPr="00A502AE">
        <w:rPr>
          <w:rFonts w:ascii="Verdana" w:hAnsi="Verdana" w:cs="Arial"/>
          <w:shd w:val="clear" w:color="auto" w:fill="FFFFFF"/>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r w:rsidR="00A502AE" w:rsidRPr="00A502AE">
        <w:rPr>
          <w:rFonts w:ascii="Verdana" w:hAnsi="Verdana" w:cs="Arial"/>
          <w:shd w:val="clear" w:color="auto" w:fill="FFFFFF"/>
        </w:rPr>
        <w:t>”</w:t>
      </w:r>
      <w:r w:rsidRPr="00A502AE">
        <w:rPr>
          <w:rFonts w:ascii="Verdana" w:eastAsia="Calibri" w:hAnsi="Verdana" w:cs="Arial"/>
          <w:noProof/>
          <w:lang w:val="es-ES_tradnl"/>
        </w:rPr>
        <w:t>. De otro lado, dicha disposición establece que, para tal fin, se considerarán las características propias de las regiones, la cuantía, la naturaleza y especialidad de la contratación, entre otros aspectos, previendo un procedimiento coordinado con entidades técnicas o especialiazadas para su incorporación, enfatizando en su obligatoriedad para procesos de selección de obras públicas.</w:t>
      </w:r>
    </w:p>
    <w:p w14:paraId="34B1A48F" w14:textId="77777777" w:rsidR="00A502AE" w:rsidRPr="00A502AE" w:rsidRDefault="00A502AE" w:rsidP="00A502AE">
      <w:pPr>
        <w:pStyle w:val="Prrafodelista"/>
        <w:tabs>
          <w:tab w:val="left" w:pos="426"/>
        </w:tabs>
        <w:spacing w:after="120" w:line="276" w:lineRule="auto"/>
        <w:ind w:left="426"/>
        <w:jc w:val="both"/>
        <w:rPr>
          <w:rFonts w:ascii="Verdana" w:hAnsi="Verdana" w:cs="Arial"/>
          <w:bCs/>
          <w:lang w:eastAsia="es-CO"/>
        </w:rPr>
      </w:pPr>
    </w:p>
    <w:p w14:paraId="275DF020" w14:textId="19846D9D" w:rsidR="00A502AE" w:rsidRPr="00A502AE" w:rsidRDefault="00A71022" w:rsidP="00A502AE">
      <w:pPr>
        <w:pStyle w:val="Prrafodelista"/>
        <w:numPr>
          <w:ilvl w:val="0"/>
          <w:numId w:val="20"/>
        </w:numPr>
        <w:tabs>
          <w:tab w:val="left" w:pos="426"/>
        </w:tabs>
        <w:spacing w:after="120" w:line="276" w:lineRule="auto"/>
        <w:ind w:left="426"/>
        <w:jc w:val="both"/>
        <w:rPr>
          <w:rFonts w:ascii="Verdana" w:hAnsi="Verdana" w:cs="Arial"/>
          <w:bCs/>
          <w:lang w:eastAsia="es-CO"/>
        </w:rPr>
      </w:pPr>
      <w:r w:rsidRPr="00A502AE">
        <w:rPr>
          <w:rFonts w:ascii="Verdana" w:eastAsia="Calibri" w:hAnsi="Verdana" w:cs="Arial"/>
          <w:noProof/>
          <w:lang w:val="es-ES_tradnl"/>
        </w:rPr>
        <w:t>Dando cumplimiento al precitado mandato legal, la Agencia Nacional de Contratación Pública ― Colombia Compra Eficiente, actualizó los Documentos Tipo</w:t>
      </w:r>
      <w:r w:rsidRPr="00A502AE">
        <w:rPr>
          <w:noProof/>
          <w:vertAlign w:val="superscript"/>
        </w:rPr>
        <w:footnoteReference w:id="1"/>
      </w:r>
      <w:r w:rsidRPr="00A502AE">
        <w:rPr>
          <w:rFonts w:ascii="Verdana" w:eastAsia="Calibri" w:hAnsi="Verdana" w:cs="Arial"/>
          <w:noProof/>
          <w:lang w:val="es-ES_tradnl"/>
        </w:rPr>
        <w:t xml:space="preserve"> para los procesos de selección de licitación de obra pública </w:t>
      </w:r>
      <w:r w:rsidRPr="00A502AE">
        <w:rPr>
          <w:rFonts w:ascii="Verdana" w:eastAsia="Calibri" w:hAnsi="Verdana" w:cs="Arial"/>
          <w:noProof/>
          <w:lang w:val="es-ES_tradnl"/>
        </w:rPr>
        <w:lastRenderedPageBreak/>
        <w:t xml:space="preserve">de infraestructura de transporte  introduciendo su tercera versión mediante </w:t>
      </w:r>
      <w:r w:rsidRPr="00DE04EE">
        <w:rPr>
          <w:rFonts w:ascii="Verdana" w:eastAsia="Calibri" w:hAnsi="Verdana" w:cs="Arial"/>
          <w:noProof/>
          <w:lang w:val="es-ES_tradnl"/>
        </w:rPr>
        <w:t>la  Resolución No 240 de 2020</w:t>
      </w:r>
      <w:r w:rsidRPr="00DE04EE">
        <w:rPr>
          <w:noProof/>
          <w:vertAlign w:val="superscript"/>
        </w:rPr>
        <w:footnoteReference w:id="2"/>
      </w:r>
      <w:r w:rsidR="004321BF" w:rsidRPr="00DE04EE">
        <w:rPr>
          <w:rFonts w:ascii="Verdana" w:eastAsia="Calibri" w:hAnsi="Verdana" w:cs="Arial"/>
          <w:noProof/>
          <w:lang w:val="es-ES_tradnl"/>
        </w:rPr>
        <w:t xml:space="preserve"> modificada</w:t>
      </w:r>
      <w:r w:rsidR="004321BF">
        <w:rPr>
          <w:rFonts w:ascii="Verdana" w:eastAsia="Calibri" w:hAnsi="Verdana" w:cs="Arial"/>
          <w:noProof/>
          <w:lang w:val="es-ES_tradnl"/>
        </w:rPr>
        <w:t xml:space="preserve"> por la Resoluciòn 275 de 2022</w:t>
      </w:r>
      <w:r w:rsidRPr="00A502AE">
        <w:rPr>
          <w:rFonts w:ascii="Verdana" w:eastAsia="Calibri" w:hAnsi="Verdana" w:cs="Arial"/>
          <w:noProof/>
          <w:lang w:val="es-ES_tradnl"/>
        </w:rPr>
        <w:t>, precisando en sus  artículos 2 y 3 la obligatoriedad de los parámetros contenidos en los mismos y su inalterabilidad</w:t>
      </w:r>
      <w:r w:rsidRPr="00A502AE">
        <w:rPr>
          <w:color w:val="000000"/>
          <w:shd w:val="clear" w:color="auto" w:fill="FFFFFF"/>
          <w:vertAlign w:val="superscript"/>
        </w:rPr>
        <w:footnoteReference w:id="3"/>
      </w:r>
      <w:r w:rsidRPr="00A502AE">
        <w:rPr>
          <w:rFonts w:ascii="Verdana" w:eastAsia="Calibri" w:hAnsi="Verdana" w:cs="Arial"/>
          <w:color w:val="000000"/>
          <w:shd w:val="clear" w:color="auto" w:fill="FFFFFF"/>
        </w:rPr>
        <w:t xml:space="preserve">, </w:t>
      </w:r>
      <w:r w:rsidRPr="00A502AE">
        <w:rPr>
          <w:rFonts w:ascii="Verdana" w:eastAsia="Calibri" w:hAnsi="Verdana" w:cs="Arial"/>
          <w:noProof/>
          <w:lang w:val="es-ES_tradnl"/>
        </w:rPr>
        <w:t>de modo que es deber de las entidades sometidas al Estatuto General de la Contratación de la Administración Pública utilizar los Documentos Tipo en los procesos de selección que adelanten. Así, las entidades sometidas al mencionado Estatuto quedan vedadas de la posibilidad de efectuar modificaciones a las condiciones habilitantes, factores de escogencia y sistemas de ponderación contenidos en los mismos, por lo que solo podrán realizar modificaciones en los lugares en que expresamente lo establezcan los Documentos Tipo.</w:t>
      </w:r>
    </w:p>
    <w:p w14:paraId="59D1B6D1" w14:textId="77777777" w:rsidR="00A502AE" w:rsidRPr="00A502AE" w:rsidRDefault="00A502AE" w:rsidP="00A502AE">
      <w:pPr>
        <w:pStyle w:val="Prrafodelista"/>
        <w:rPr>
          <w:rFonts w:ascii="Verdana" w:hAnsi="Verdana" w:cs="Arial"/>
          <w:color w:val="000000" w:themeColor="text1"/>
          <w:highlight w:val="yellow"/>
        </w:rPr>
      </w:pPr>
    </w:p>
    <w:p w14:paraId="2B6B818A" w14:textId="77777777" w:rsidR="00A502AE" w:rsidRPr="00A502AE" w:rsidRDefault="00A71022" w:rsidP="00A502AE">
      <w:pPr>
        <w:pStyle w:val="Prrafodelista"/>
        <w:numPr>
          <w:ilvl w:val="0"/>
          <w:numId w:val="20"/>
        </w:numPr>
        <w:tabs>
          <w:tab w:val="left" w:pos="426"/>
        </w:tabs>
        <w:spacing w:after="120" w:line="276" w:lineRule="auto"/>
        <w:ind w:left="426"/>
        <w:jc w:val="both"/>
        <w:rPr>
          <w:rFonts w:ascii="Verdana" w:hAnsi="Verdana" w:cs="Arial"/>
          <w:bCs/>
          <w:lang w:eastAsia="es-CO"/>
        </w:rPr>
      </w:pPr>
      <w:r w:rsidRPr="00A502AE">
        <w:rPr>
          <w:rFonts w:ascii="Verdana" w:hAnsi="Verdana" w:cs="Arial"/>
          <w:color w:val="000000" w:themeColor="text1"/>
        </w:rPr>
        <w:t xml:space="preserve">En este sentido, los documentos tipo se erigen como un límite a la discrecionalidad de las entidades estatales en cuanto a la configuración de su contenido, pues fija unos requisitos mínimos que las entidades públicas deben respetar. Esto es lo que sucede en los procedimientos de licitación de obra pública de infraestructura de transporte, en los cuales debe cumplirse lo dispuesto en el pliego de condiciones </w:t>
      </w:r>
      <w:r w:rsidRPr="004321BF">
        <w:rPr>
          <w:rFonts w:ascii="Verdana" w:hAnsi="Verdana" w:cs="Arial"/>
          <w:color w:val="000000" w:themeColor="text1"/>
        </w:rPr>
        <w:t>tipo –actualmente, la versión 3</w:t>
      </w:r>
      <w:r w:rsidRPr="004321BF">
        <w:rPr>
          <w:rFonts w:ascii="Verdana" w:hAnsi="Verdana" w:cs="Arial"/>
          <w:b/>
          <w:bCs/>
          <w:color w:val="000000" w:themeColor="text1"/>
        </w:rPr>
        <w:t>–,</w:t>
      </w:r>
      <w:r w:rsidRPr="004321BF">
        <w:rPr>
          <w:rFonts w:ascii="Verdana" w:hAnsi="Verdana" w:cs="Arial"/>
          <w:color w:val="000000" w:themeColor="text1"/>
        </w:rPr>
        <w:t xml:space="preserve"> el</w:t>
      </w:r>
      <w:r w:rsidRPr="00A502AE">
        <w:rPr>
          <w:rFonts w:ascii="Verdana" w:hAnsi="Verdana" w:cs="Arial"/>
          <w:color w:val="000000" w:themeColor="text1"/>
        </w:rPr>
        <w:t xml:space="preserve"> cual establece reglas imperativas, entre otros aspectos, para determinar las causales de rechazo aplicables en los procedimientos de selección.</w:t>
      </w:r>
    </w:p>
    <w:p w14:paraId="56555DA1" w14:textId="77777777" w:rsidR="00A502AE" w:rsidRPr="00A502AE" w:rsidRDefault="00A502AE" w:rsidP="00A502AE">
      <w:pPr>
        <w:pStyle w:val="Prrafodelista"/>
        <w:rPr>
          <w:rFonts w:ascii="Verdana" w:eastAsia="Calibri" w:hAnsi="Verdana" w:cs="Arial"/>
          <w:highlight w:val="yellow"/>
        </w:rPr>
      </w:pPr>
    </w:p>
    <w:p w14:paraId="7EA58D0F" w14:textId="7B16B2C7" w:rsidR="00A502AE" w:rsidRPr="00A502AE" w:rsidRDefault="00A502AE" w:rsidP="00A502AE">
      <w:pPr>
        <w:pStyle w:val="Prrafodelista"/>
        <w:numPr>
          <w:ilvl w:val="0"/>
          <w:numId w:val="20"/>
        </w:numPr>
        <w:tabs>
          <w:tab w:val="left" w:pos="426"/>
        </w:tabs>
        <w:spacing w:after="120" w:line="276" w:lineRule="auto"/>
        <w:ind w:left="426"/>
        <w:jc w:val="both"/>
        <w:rPr>
          <w:rFonts w:ascii="Verdana" w:hAnsi="Verdana" w:cs="Arial"/>
          <w:bCs/>
          <w:lang w:eastAsia="es-CO"/>
        </w:rPr>
      </w:pPr>
      <w:r w:rsidRPr="00A502AE">
        <w:rPr>
          <w:rFonts w:ascii="Verdana" w:eastAsia="Calibri" w:hAnsi="Verdana" w:cs="Arial"/>
        </w:rPr>
        <w:t>Ahora bien, l</w:t>
      </w:r>
      <w:r w:rsidR="00A71022" w:rsidRPr="00A502AE">
        <w:rPr>
          <w:rFonts w:ascii="Verdana" w:eastAsia="Calibri" w:hAnsi="Verdana" w:cs="Arial"/>
        </w:rPr>
        <w:t xml:space="preserve">a Agencia Nacional de Contratación Pública –Colombia Compra Eficiente– mediante los conceptos con radicados Nos. 2201913000007117 del 25 de septiembre de 2019, 2201913000009538 del 23 de diciembre de 2019, C- 716 del 30 de octubre de 2020 </w:t>
      </w:r>
      <w:r w:rsidRPr="00A502AE">
        <w:rPr>
          <w:rFonts w:ascii="Verdana" w:eastAsia="Calibri" w:hAnsi="Verdana" w:cs="Arial"/>
        </w:rPr>
        <w:t>,</w:t>
      </w:r>
      <w:r w:rsidR="00A71022" w:rsidRPr="00A502AE">
        <w:rPr>
          <w:rFonts w:ascii="Verdana" w:eastAsia="Calibri" w:hAnsi="Verdana" w:cs="Arial"/>
        </w:rPr>
        <w:t xml:space="preserve"> C</w:t>
      </w:r>
      <w:r w:rsidR="00987F35">
        <w:rPr>
          <w:rFonts w:ascii="Verdana" w:eastAsia="Calibri" w:hAnsi="Verdana" w:cs="Arial"/>
        </w:rPr>
        <w:t>-</w:t>
      </w:r>
      <w:r w:rsidR="00A71022" w:rsidRPr="00A502AE">
        <w:rPr>
          <w:rFonts w:ascii="Verdana" w:eastAsia="Calibri" w:hAnsi="Verdana" w:cs="Arial"/>
        </w:rPr>
        <w:t>096 del 24 de marzo de 2021</w:t>
      </w:r>
      <w:r w:rsidRPr="00A502AE">
        <w:rPr>
          <w:rFonts w:ascii="Verdana" w:eastAsia="Calibri" w:hAnsi="Verdana" w:cs="Arial"/>
        </w:rPr>
        <w:t xml:space="preserve"> y C-156 del 20 de abril de 2021</w:t>
      </w:r>
      <w:r w:rsidR="00A71022" w:rsidRPr="00A502AE">
        <w:rPr>
          <w:rFonts w:ascii="Verdana" w:eastAsia="Calibri" w:hAnsi="Verdana" w:cs="Arial"/>
        </w:rPr>
        <w:t xml:space="preserve"> entre otros, ha señalado que las causales de rechazo de las ofertas establecidas en los documentos tipo son taxativas, descartándose que la entidad introduzca nuevas, salvo las contempladas directamente en la ley. Igualmente, por la naturaleza de las causales de rechazo, su aplicación es estricta, lo que –a juicio de la Agencia Nacional de </w:t>
      </w:r>
      <w:r w:rsidR="00A71022" w:rsidRPr="00A502AE">
        <w:rPr>
          <w:rFonts w:ascii="Verdana" w:eastAsia="Calibri" w:hAnsi="Verdana" w:cs="Arial"/>
        </w:rPr>
        <w:lastRenderedPageBreak/>
        <w:t>Contratación Pública– significa que su interpretación gramatical prevalece sobre una interpretación extensiva o de otra índole, mediante la cual se pretenda ampliar su alcance.</w:t>
      </w:r>
    </w:p>
    <w:p w14:paraId="30216F36" w14:textId="77777777" w:rsidR="00A502AE" w:rsidRPr="00A502AE" w:rsidRDefault="00A502AE" w:rsidP="00A502AE">
      <w:pPr>
        <w:pStyle w:val="Prrafodelista"/>
        <w:rPr>
          <w:rFonts w:ascii="Verdana" w:eastAsia="Calibri" w:hAnsi="Verdana" w:cs="Arial"/>
          <w:highlight w:val="yellow"/>
        </w:rPr>
      </w:pPr>
    </w:p>
    <w:p w14:paraId="65F71DCC" w14:textId="3411382F" w:rsidR="00A71022" w:rsidRPr="00A502AE" w:rsidRDefault="00A71022" w:rsidP="00A502AE">
      <w:pPr>
        <w:pStyle w:val="Prrafodelista"/>
        <w:numPr>
          <w:ilvl w:val="0"/>
          <w:numId w:val="20"/>
        </w:numPr>
        <w:tabs>
          <w:tab w:val="left" w:pos="426"/>
        </w:tabs>
        <w:spacing w:after="120" w:line="276" w:lineRule="auto"/>
        <w:ind w:left="426"/>
        <w:jc w:val="both"/>
        <w:rPr>
          <w:rFonts w:ascii="Verdana" w:hAnsi="Verdana" w:cs="Arial"/>
          <w:bCs/>
          <w:lang w:eastAsia="es-CO"/>
        </w:rPr>
      </w:pPr>
      <w:r w:rsidRPr="00A502AE">
        <w:rPr>
          <w:rFonts w:ascii="Verdana" w:eastAsia="Calibri" w:hAnsi="Verdana" w:cs="Arial"/>
        </w:rPr>
        <w:t>De acuerdo con lo anterior, al consultar el</w:t>
      </w:r>
      <w:r w:rsidRPr="00A502AE">
        <w:rPr>
          <w:rFonts w:ascii="Verdana" w:eastAsia="Calibri" w:hAnsi="Verdana" w:cs="Arial"/>
          <w:color w:val="000000"/>
        </w:rPr>
        <w:t xml:space="preserve"> numeral 1.15</w:t>
      </w:r>
      <w:r w:rsidRPr="00A502AE">
        <w:rPr>
          <w:rFonts w:ascii="Verdana" w:eastAsia="Calibri" w:hAnsi="Verdana" w:cs="Times New Roman"/>
        </w:rPr>
        <w:t xml:space="preserve"> </w:t>
      </w:r>
      <w:r w:rsidRPr="00A502AE">
        <w:rPr>
          <w:rFonts w:ascii="Verdana" w:eastAsia="Calibri" w:hAnsi="Verdana" w:cs="Arial"/>
          <w:color w:val="000000"/>
        </w:rPr>
        <w:t xml:space="preserve">del pliego tipo </w:t>
      </w:r>
      <w:r w:rsidR="00DE04EE">
        <w:rPr>
          <w:rFonts w:ascii="Verdana" w:eastAsia="Calibri" w:hAnsi="Verdana" w:cs="Arial"/>
          <w:color w:val="000000"/>
        </w:rPr>
        <w:t>“</w:t>
      </w:r>
      <w:r w:rsidRPr="00A502AE">
        <w:rPr>
          <w:rFonts w:ascii="Verdana" w:eastAsia="Calibri" w:hAnsi="Verdana" w:cs="Arial"/>
          <w:color w:val="000000"/>
        </w:rPr>
        <w:t>Documento Base</w:t>
      </w:r>
      <w:r w:rsidR="00DE04EE">
        <w:rPr>
          <w:rFonts w:ascii="Verdana" w:eastAsia="Calibri" w:hAnsi="Verdana" w:cs="Arial"/>
          <w:color w:val="000000"/>
        </w:rPr>
        <w:t>”</w:t>
      </w:r>
      <w:r w:rsidRPr="00A502AE">
        <w:rPr>
          <w:rFonts w:ascii="Verdana" w:eastAsia="Calibri" w:hAnsi="Verdana" w:cs="Arial"/>
          <w:color w:val="000000"/>
        </w:rPr>
        <w:t xml:space="preserve"> de </w:t>
      </w:r>
      <w:r w:rsidR="00DE04EE">
        <w:rPr>
          <w:rFonts w:ascii="Verdana" w:eastAsia="Calibri" w:hAnsi="Verdana" w:cs="Arial"/>
          <w:color w:val="000000"/>
        </w:rPr>
        <w:t>“</w:t>
      </w:r>
      <w:r w:rsidRPr="00A502AE">
        <w:rPr>
          <w:rFonts w:ascii="Verdana" w:eastAsia="Calibri" w:hAnsi="Verdana" w:cs="Arial"/>
          <w:color w:val="000000"/>
        </w:rPr>
        <w:t>licitación de obra pública de infraestructura de transporte – Versión 3</w:t>
      </w:r>
      <w:r w:rsidR="00DE04EE">
        <w:rPr>
          <w:rFonts w:ascii="Verdana" w:eastAsia="Calibri" w:hAnsi="Verdana" w:cs="Arial"/>
          <w:color w:val="000000"/>
        </w:rPr>
        <w:t>”</w:t>
      </w:r>
      <w:r w:rsidRPr="00A502AE">
        <w:rPr>
          <w:rFonts w:ascii="Verdana" w:eastAsia="Calibri" w:hAnsi="Verdana" w:cs="Arial"/>
          <w:color w:val="000000"/>
        </w:rPr>
        <w:t>, que consagra el listado de las causales de rechazo aplicables a estos procedimientos de selección, se observa:</w:t>
      </w:r>
    </w:p>
    <w:p w14:paraId="543F0FEC" w14:textId="77777777" w:rsidR="00A71022" w:rsidRDefault="00A71022" w:rsidP="00DE04EE">
      <w:pPr>
        <w:tabs>
          <w:tab w:val="left" w:pos="709"/>
        </w:tabs>
        <w:spacing w:after="0" w:line="240" w:lineRule="auto"/>
        <w:ind w:left="709"/>
        <w:jc w:val="both"/>
        <w:rPr>
          <w:rFonts w:ascii="Verdana" w:eastAsia="Calibri" w:hAnsi="Verdana" w:cs="Times New Roman"/>
          <w:color w:val="000000"/>
        </w:rPr>
      </w:pPr>
      <w:r w:rsidRPr="00A502AE">
        <w:rPr>
          <w:rFonts w:ascii="Verdana" w:eastAsia="Calibri" w:hAnsi="Verdana" w:cs="Times New Roman"/>
          <w:color w:val="000000"/>
        </w:rPr>
        <w:t>Son causales de rechazo de las propuestas las siguientes [Las entidades no podrán incluir causales de rechazo distintas a las señaladas en la presente sección]:</w:t>
      </w:r>
    </w:p>
    <w:p w14:paraId="3CF16062" w14:textId="77777777" w:rsidR="00DE04EE" w:rsidRPr="00A502AE" w:rsidRDefault="00DE04EE" w:rsidP="00DE04EE">
      <w:pPr>
        <w:tabs>
          <w:tab w:val="left" w:pos="709"/>
        </w:tabs>
        <w:spacing w:after="0" w:line="240" w:lineRule="auto"/>
        <w:ind w:left="709"/>
        <w:jc w:val="both"/>
        <w:rPr>
          <w:rFonts w:ascii="Verdana" w:eastAsia="Calibri" w:hAnsi="Verdana" w:cs="Times New Roman"/>
          <w:color w:val="000000"/>
        </w:rPr>
      </w:pPr>
    </w:p>
    <w:p w14:paraId="1252B165" w14:textId="77777777" w:rsidR="00A71022" w:rsidRPr="00A502AE" w:rsidRDefault="00A71022" w:rsidP="00A71022">
      <w:pPr>
        <w:numPr>
          <w:ilvl w:val="0"/>
          <w:numId w:val="22"/>
        </w:numPr>
        <w:tabs>
          <w:tab w:val="left" w:pos="709"/>
        </w:tabs>
        <w:spacing w:after="120"/>
        <w:ind w:left="709" w:hanging="283"/>
        <w:jc w:val="both"/>
        <w:rPr>
          <w:rFonts w:ascii="Verdana" w:eastAsia="Calibri" w:hAnsi="Verdana" w:cs="Times New Roman"/>
          <w:color w:val="000000"/>
        </w:rPr>
      </w:pPr>
      <w:r w:rsidRPr="00A502AE">
        <w:rPr>
          <w:rFonts w:ascii="Verdana" w:eastAsia="Calibri" w:hAnsi="Verdana" w:cs="Times New Roman"/>
          <w:color w:val="000000"/>
        </w:rPr>
        <w:t>Que el proponente o alguno de los integrantes del proponente plural esté incurso en causal de inhabilidad, incompatibilidad o prohibición previstas en la legislación para contratar.</w:t>
      </w:r>
    </w:p>
    <w:p w14:paraId="096C2F4F" w14:textId="77777777" w:rsidR="00A71022" w:rsidRPr="00A502AE" w:rsidRDefault="00A71022" w:rsidP="00A71022">
      <w:pPr>
        <w:tabs>
          <w:tab w:val="left" w:pos="709"/>
        </w:tabs>
        <w:spacing w:after="120"/>
        <w:ind w:left="709"/>
        <w:jc w:val="both"/>
        <w:rPr>
          <w:rFonts w:ascii="Verdana" w:eastAsia="Calibri" w:hAnsi="Verdana" w:cs="Times New Roman"/>
          <w:color w:val="000000"/>
        </w:rPr>
      </w:pPr>
      <w:r w:rsidRPr="00A502AE">
        <w:rPr>
          <w:rFonts w:ascii="Verdana" w:eastAsia="Calibri" w:hAnsi="Verdana" w:cs="Times New Roman"/>
          <w:color w:val="000000"/>
        </w:rPr>
        <w:t>[Cuando en el mismo proceso de contratación se presentan oferentes en la situación descrita por los literales g) y h) del numeral 1 del artículo 8 de la Ley 80 de 1993, la entidad solo admitirá la oferta presentada primero en el tiempo]</w:t>
      </w:r>
    </w:p>
    <w:p w14:paraId="165FA558" w14:textId="77777777" w:rsidR="00A71022" w:rsidRPr="00A502AE" w:rsidRDefault="00A71022" w:rsidP="00A71022">
      <w:pPr>
        <w:numPr>
          <w:ilvl w:val="0"/>
          <w:numId w:val="22"/>
        </w:numPr>
        <w:tabs>
          <w:tab w:val="left" w:pos="709"/>
        </w:tabs>
        <w:spacing w:after="120"/>
        <w:ind w:left="709" w:hanging="283"/>
        <w:jc w:val="both"/>
        <w:rPr>
          <w:rFonts w:ascii="Verdana" w:eastAsia="Calibri" w:hAnsi="Verdana" w:cs="Times New Roman"/>
          <w:color w:val="000000"/>
        </w:rPr>
      </w:pPr>
      <w:r w:rsidRPr="00A502AE">
        <w:rPr>
          <w:rFonts w:ascii="Verdana" w:eastAsia="Calibri" w:hAnsi="Verdana" w:cs="Times New Roman"/>
          <w:color w:val="000000"/>
        </w:rPr>
        <w:t>Cuando una misma persona natural o jurídica, o integrante de un proponente plural presente o haga parte en más de una propuesta para el presente proceso de contratación.</w:t>
      </w:r>
    </w:p>
    <w:p w14:paraId="6E56EAEC" w14:textId="77777777" w:rsidR="00A71022" w:rsidRPr="00A502AE" w:rsidRDefault="00A71022" w:rsidP="00A71022">
      <w:pPr>
        <w:tabs>
          <w:tab w:val="left" w:pos="709"/>
        </w:tabs>
        <w:spacing w:after="120"/>
        <w:ind w:left="709"/>
        <w:jc w:val="both"/>
        <w:rPr>
          <w:rFonts w:ascii="Verdana" w:eastAsia="Calibri" w:hAnsi="Verdana" w:cs="Times New Roman"/>
          <w:color w:val="000000"/>
        </w:rPr>
      </w:pPr>
      <w:r w:rsidRPr="00A502AE">
        <w:rPr>
          <w:rFonts w:ascii="Verdana" w:eastAsia="Calibri" w:hAnsi="Verdana" w:cs="Times New Roman"/>
          <w:color w:val="000000"/>
        </w:rPr>
        <w:t xml:space="preserve">[Reemplazar el texto anterior por el siguiente, cuando el proceso es estructurado por lotes o grupos: Cuando una misma persona natural o jurídica, o integrante de un proponente plural presente o haga parte en más de una propuesta para el mismo lote o grupo del presente proceso de contratación] </w:t>
      </w:r>
    </w:p>
    <w:p w14:paraId="177F444A" w14:textId="07B96B37" w:rsidR="00A71022" w:rsidRPr="00A502AE" w:rsidRDefault="00A71022" w:rsidP="00A71022">
      <w:pPr>
        <w:numPr>
          <w:ilvl w:val="0"/>
          <w:numId w:val="22"/>
        </w:numPr>
        <w:tabs>
          <w:tab w:val="left" w:pos="709"/>
        </w:tabs>
        <w:spacing w:after="120"/>
        <w:ind w:left="709" w:hanging="283"/>
        <w:jc w:val="both"/>
        <w:rPr>
          <w:rFonts w:ascii="Verdana" w:eastAsia="Calibri" w:hAnsi="Verdana" w:cs="Times New Roman"/>
          <w:color w:val="000000"/>
        </w:rPr>
      </w:pPr>
      <w:r w:rsidRPr="00A502AE">
        <w:rPr>
          <w:rFonts w:ascii="Verdana" w:eastAsia="Calibri" w:hAnsi="Verdana" w:cs="Times New Roman"/>
          <w:color w:val="000000"/>
        </w:rPr>
        <w:t xml:space="preserve">Que el proponente o alguno de los integrantes del proponente plural esté reportado en el Boletín de </w:t>
      </w:r>
      <w:r w:rsidR="00DE04EE" w:rsidRPr="00A502AE">
        <w:rPr>
          <w:rFonts w:ascii="Verdana" w:eastAsia="Calibri" w:hAnsi="Verdana" w:cs="Times New Roman"/>
          <w:color w:val="000000"/>
        </w:rPr>
        <w:t>responsables</w:t>
      </w:r>
      <w:r w:rsidRPr="00A502AE">
        <w:rPr>
          <w:rFonts w:ascii="Verdana" w:eastAsia="Calibri" w:hAnsi="Verdana" w:cs="Times New Roman"/>
          <w:color w:val="000000"/>
        </w:rPr>
        <w:t xml:space="preserve"> Fiscales emitido por la Contraloría General de la República.</w:t>
      </w:r>
    </w:p>
    <w:p w14:paraId="086B9BBC" w14:textId="77777777" w:rsidR="00A71022" w:rsidRPr="00A502AE" w:rsidRDefault="00A71022" w:rsidP="00A71022">
      <w:pPr>
        <w:numPr>
          <w:ilvl w:val="0"/>
          <w:numId w:val="22"/>
        </w:numPr>
        <w:tabs>
          <w:tab w:val="left" w:pos="709"/>
        </w:tabs>
        <w:spacing w:after="120"/>
        <w:ind w:left="709" w:hanging="283"/>
        <w:jc w:val="both"/>
        <w:rPr>
          <w:rFonts w:ascii="Verdana" w:eastAsia="Calibri" w:hAnsi="Verdana" w:cs="Times New Roman"/>
          <w:color w:val="000000"/>
        </w:rPr>
      </w:pPr>
      <w:r w:rsidRPr="00A502AE">
        <w:rPr>
          <w:rFonts w:ascii="Verdana" w:eastAsia="Calibri" w:hAnsi="Verdana" w:cs="Times New Roman"/>
          <w:color w:val="000000"/>
        </w:rPr>
        <w:t>Que la persona jurídica proponente individual o integrante del proponente plural esté incursa en la situación descrita en el numeral 1 del artículo 38 de la Ley 1116 de 2006.</w:t>
      </w:r>
    </w:p>
    <w:p w14:paraId="23422E66" w14:textId="77777777" w:rsidR="00A71022" w:rsidRPr="00A502AE" w:rsidRDefault="00A71022" w:rsidP="00A71022">
      <w:pPr>
        <w:numPr>
          <w:ilvl w:val="0"/>
          <w:numId w:val="22"/>
        </w:numPr>
        <w:tabs>
          <w:tab w:val="left" w:pos="709"/>
        </w:tabs>
        <w:spacing w:after="120"/>
        <w:ind w:left="709" w:hanging="283"/>
        <w:jc w:val="both"/>
        <w:rPr>
          <w:rFonts w:ascii="Verdana" w:eastAsia="Calibri" w:hAnsi="Verdana" w:cs="Times New Roman"/>
          <w:color w:val="000000"/>
        </w:rPr>
      </w:pPr>
      <w:r w:rsidRPr="00A502AE">
        <w:rPr>
          <w:rFonts w:ascii="Verdana" w:eastAsia="Calibri" w:hAnsi="Verdana" w:cs="Times New Roman"/>
          <w:color w:val="000000"/>
        </w:rPr>
        <w:t>Que el proponente no aclare, subsane o aporte documentos necesarios para cumplir un requisito habilitante o aportándolos no lo haga de forma correcta, en los términos establecidos en la sección 1.6.</w:t>
      </w:r>
    </w:p>
    <w:p w14:paraId="3CFAD440" w14:textId="77777777" w:rsidR="00A71022" w:rsidRPr="00A502AE" w:rsidRDefault="00A71022" w:rsidP="00A71022">
      <w:pPr>
        <w:numPr>
          <w:ilvl w:val="0"/>
          <w:numId w:val="22"/>
        </w:numPr>
        <w:tabs>
          <w:tab w:val="left" w:pos="709"/>
        </w:tabs>
        <w:spacing w:after="120"/>
        <w:ind w:left="709" w:hanging="283"/>
        <w:jc w:val="both"/>
        <w:rPr>
          <w:rFonts w:ascii="Verdana" w:eastAsia="Calibri" w:hAnsi="Verdana" w:cs="Times New Roman"/>
          <w:color w:val="000000"/>
        </w:rPr>
      </w:pPr>
      <w:r w:rsidRPr="00A502AE">
        <w:rPr>
          <w:rFonts w:ascii="Verdana" w:eastAsia="Calibri" w:hAnsi="Verdana" w:cs="Times New Roman"/>
          <w:color w:val="000000"/>
        </w:rPr>
        <w:lastRenderedPageBreak/>
        <w:t>Que la inscripción en el Registro Único de Proponentes (RUP) que realice el proponente, por primera vez o cuando han cesado los efectos y debe volver a inscribirse, no esté en firme en la fecha prevista para el cierre del proceso de contratación.</w:t>
      </w:r>
    </w:p>
    <w:p w14:paraId="7DAD62E1" w14:textId="77777777" w:rsidR="00A71022" w:rsidRPr="00A502AE" w:rsidRDefault="00A71022" w:rsidP="00A71022">
      <w:pPr>
        <w:numPr>
          <w:ilvl w:val="0"/>
          <w:numId w:val="22"/>
        </w:numPr>
        <w:tabs>
          <w:tab w:val="left" w:pos="709"/>
        </w:tabs>
        <w:spacing w:after="120"/>
        <w:ind w:left="709" w:hanging="283"/>
        <w:jc w:val="both"/>
        <w:rPr>
          <w:rFonts w:ascii="Verdana" w:eastAsia="Calibri" w:hAnsi="Verdana" w:cs="Times New Roman"/>
          <w:color w:val="000000"/>
        </w:rPr>
      </w:pPr>
      <w:r w:rsidRPr="00A502AE">
        <w:rPr>
          <w:rFonts w:ascii="Verdana" w:eastAsia="Calibri" w:hAnsi="Verdana" w:cs="Times New Roman"/>
          <w:color w:val="000000"/>
        </w:rPr>
        <w:t xml:space="preserve">Que el proponente no acredite la presentación de la información para renovar el Registro Único de Proponentes (RUP), a más tardar el quinto día hábil del mes de abril de cada año, o en la fecha que establezca la ley o el reglamento, si fuera una distinta. </w:t>
      </w:r>
    </w:p>
    <w:p w14:paraId="7FB74473" w14:textId="77777777" w:rsidR="00A71022" w:rsidRPr="00A502AE" w:rsidRDefault="00A71022" w:rsidP="00A71022">
      <w:pPr>
        <w:numPr>
          <w:ilvl w:val="0"/>
          <w:numId w:val="22"/>
        </w:numPr>
        <w:tabs>
          <w:tab w:val="left" w:pos="709"/>
        </w:tabs>
        <w:spacing w:after="120"/>
        <w:ind w:left="709" w:hanging="283"/>
        <w:jc w:val="both"/>
        <w:rPr>
          <w:rFonts w:ascii="Verdana" w:eastAsia="Calibri" w:hAnsi="Verdana" w:cs="Times New Roman"/>
          <w:color w:val="000000"/>
        </w:rPr>
      </w:pPr>
      <w:r w:rsidRPr="00A502AE">
        <w:rPr>
          <w:rFonts w:ascii="Verdana" w:eastAsia="Calibri" w:hAnsi="Verdana" w:cs="Times New Roman"/>
          <w:color w:val="000000"/>
        </w:rPr>
        <w:t>Que el proponente aporte información inexacta sobre la cual pueda existir una posible falsedad en los términos de la sección 1.11.</w:t>
      </w:r>
    </w:p>
    <w:p w14:paraId="34C9F394" w14:textId="77777777" w:rsidR="00A71022" w:rsidRPr="00A502AE" w:rsidRDefault="00A71022" w:rsidP="00A71022">
      <w:pPr>
        <w:numPr>
          <w:ilvl w:val="0"/>
          <w:numId w:val="22"/>
        </w:numPr>
        <w:tabs>
          <w:tab w:val="left" w:pos="709"/>
        </w:tabs>
        <w:spacing w:after="120"/>
        <w:ind w:left="709" w:hanging="283"/>
        <w:jc w:val="both"/>
        <w:rPr>
          <w:rFonts w:ascii="Verdana" w:eastAsia="Calibri" w:hAnsi="Verdana" w:cs="Times New Roman"/>
          <w:color w:val="000000"/>
        </w:rPr>
      </w:pPr>
      <w:r w:rsidRPr="00A502AE">
        <w:rPr>
          <w:rFonts w:ascii="Verdana" w:eastAsia="Calibri" w:hAnsi="Verdana" w:cs="Times New Roman"/>
          <w:color w:val="000000"/>
        </w:rPr>
        <w:t>Que el proponente se encuentre inmerso en un conflicto de interés previsto en una norma de rango constitucional o legal o en la causal prevista en el numeral 1.14 del pliego de condiciones.</w:t>
      </w:r>
    </w:p>
    <w:p w14:paraId="42923BB9" w14:textId="77777777" w:rsidR="00A71022" w:rsidRPr="00A502AE" w:rsidRDefault="00A71022" w:rsidP="00A71022">
      <w:pPr>
        <w:numPr>
          <w:ilvl w:val="0"/>
          <w:numId w:val="22"/>
        </w:numPr>
        <w:tabs>
          <w:tab w:val="left" w:pos="709"/>
        </w:tabs>
        <w:spacing w:after="120"/>
        <w:ind w:left="709" w:hanging="283"/>
        <w:jc w:val="both"/>
        <w:rPr>
          <w:rFonts w:ascii="Verdana" w:eastAsia="Calibri" w:hAnsi="Verdana" w:cs="Times New Roman"/>
          <w:color w:val="000000"/>
        </w:rPr>
      </w:pPr>
      <w:r w:rsidRPr="00A502AE">
        <w:rPr>
          <w:rFonts w:ascii="Verdana" w:eastAsia="Calibri" w:hAnsi="Verdana" w:cs="Times New Roman"/>
          <w:color w:val="000000"/>
        </w:rPr>
        <w:t>[Incluir esta causal cuando las ofertas se presente en el SECOP I] Que la propuesta económica no se aporte firmada.</w:t>
      </w:r>
    </w:p>
    <w:p w14:paraId="7F0A0291" w14:textId="77777777" w:rsidR="00A71022" w:rsidRPr="00A502AE" w:rsidRDefault="00A71022" w:rsidP="00A71022">
      <w:pPr>
        <w:numPr>
          <w:ilvl w:val="0"/>
          <w:numId w:val="22"/>
        </w:numPr>
        <w:tabs>
          <w:tab w:val="left" w:pos="709"/>
        </w:tabs>
        <w:spacing w:after="120"/>
        <w:ind w:left="709" w:hanging="283"/>
        <w:jc w:val="both"/>
        <w:rPr>
          <w:rFonts w:ascii="Verdana" w:eastAsia="Calibri" w:hAnsi="Verdana" w:cs="Times New Roman"/>
          <w:color w:val="000000"/>
        </w:rPr>
      </w:pPr>
      <w:r w:rsidRPr="00A502AE">
        <w:rPr>
          <w:rFonts w:ascii="Verdana" w:eastAsia="Calibri" w:hAnsi="Verdana" w:cs="Times New Roman"/>
          <w:color w:val="000000"/>
        </w:rPr>
        <w:t>No entregar la Garantía de seriedad de la oferta junto con la propuesta.</w:t>
      </w:r>
    </w:p>
    <w:p w14:paraId="3E117720" w14:textId="77777777" w:rsidR="00A71022" w:rsidRPr="00A502AE" w:rsidRDefault="00A71022" w:rsidP="00A71022">
      <w:pPr>
        <w:numPr>
          <w:ilvl w:val="0"/>
          <w:numId w:val="22"/>
        </w:numPr>
        <w:tabs>
          <w:tab w:val="left" w:pos="709"/>
        </w:tabs>
        <w:spacing w:after="120"/>
        <w:ind w:left="709" w:hanging="283"/>
        <w:jc w:val="both"/>
        <w:rPr>
          <w:rFonts w:ascii="Verdana" w:eastAsia="Calibri" w:hAnsi="Verdana" w:cs="Times New Roman"/>
          <w:color w:val="000000"/>
        </w:rPr>
      </w:pPr>
      <w:r w:rsidRPr="00A502AE">
        <w:rPr>
          <w:rFonts w:ascii="Verdana" w:eastAsia="Calibri" w:hAnsi="Verdana" w:cs="Times New Roman"/>
          <w:color w:val="000000"/>
        </w:rPr>
        <w:t>Que el objeto social del proponente o el de sus integrantes no le permita ejecutar el objeto del contrato.</w:t>
      </w:r>
    </w:p>
    <w:p w14:paraId="3F13E99B" w14:textId="77777777" w:rsidR="00A71022" w:rsidRPr="00A502AE" w:rsidRDefault="00A71022" w:rsidP="00A71022">
      <w:pPr>
        <w:numPr>
          <w:ilvl w:val="0"/>
          <w:numId w:val="22"/>
        </w:numPr>
        <w:tabs>
          <w:tab w:val="left" w:pos="709"/>
        </w:tabs>
        <w:spacing w:after="120"/>
        <w:ind w:left="709" w:hanging="283"/>
        <w:jc w:val="both"/>
        <w:rPr>
          <w:rFonts w:ascii="Verdana" w:eastAsia="Calibri" w:hAnsi="Verdana" w:cs="Times New Roman"/>
          <w:color w:val="000000"/>
        </w:rPr>
      </w:pPr>
      <w:r w:rsidRPr="00A502AE">
        <w:rPr>
          <w:rFonts w:ascii="Verdana" w:eastAsia="Calibri" w:hAnsi="Verdana" w:cs="Times New Roman"/>
          <w:color w:val="000000"/>
        </w:rPr>
        <w:t>Que el valor total de la oferta o aquel revisado en la audiencia efectiva de adjudicación exceda el presupuesto oficial estimado para el proceso de contratación.</w:t>
      </w:r>
    </w:p>
    <w:p w14:paraId="79F5B71F" w14:textId="77777777" w:rsidR="00A71022" w:rsidRPr="00A502AE" w:rsidRDefault="00A71022" w:rsidP="00A71022">
      <w:pPr>
        <w:numPr>
          <w:ilvl w:val="0"/>
          <w:numId w:val="22"/>
        </w:numPr>
        <w:tabs>
          <w:tab w:val="left" w:pos="709"/>
        </w:tabs>
        <w:spacing w:after="120"/>
        <w:ind w:left="709" w:hanging="283"/>
        <w:jc w:val="both"/>
        <w:rPr>
          <w:rFonts w:ascii="Verdana" w:eastAsia="Calibri" w:hAnsi="Verdana" w:cs="Times New Roman"/>
          <w:color w:val="000000"/>
        </w:rPr>
      </w:pPr>
      <w:r w:rsidRPr="00A502AE">
        <w:rPr>
          <w:rFonts w:ascii="Verdana" w:eastAsia="Calibri" w:hAnsi="Verdana" w:cs="Times New Roman"/>
          <w:color w:val="000000"/>
        </w:rPr>
        <w:t>Presentar la oferta con tachaduras o enmendaduras que no estén convalidadas en la forma indicada en la sección 2.3 del pliego de condiciones.</w:t>
      </w:r>
    </w:p>
    <w:p w14:paraId="627F1BF7" w14:textId="77777777" w:rsidR="00A71022" w:rsidRPr="00A502AE" w:rsidRDefault="00A71022" w:rsidP="00A71022">
      <w:pPr>
        <w:numPr>
          <w:ilvl w:val="0"/>
          <w:numId w:val="22"/>
        </w:numPr>
        <w:tabs>
          <w:tab w:val="left" w:pos="709"/>
        </w:tabs>
        <w:spacing w:after="120"/>
        <w:ind w:left="709" w:hanging="283"/>
        <w:jc w:val="both"/>
        <w:rPr>
          <w:rFonts w:ascii="Verdana" w:eastAsia="Calibri" w:hAnsi="Verdana" w:cs="Times New Roman"/>
          <w:color w:val="000000"/>
        </w:rPr>
      </w:pPr>
      <w:r w:rsidRPr="00A502AE">
        <w:rPr>
          <w:rFonts w:ascii="Verdana" w:eastAsia="Calibri" w:hAnsi="Verdana" w:cs="Times New Roman"/>
          <w:color w:val="000000"/>
        </w:rPr>
        <w:t xml:space="preserve">Que el proponente adicione, suprima, cambie, o modifique los ítems, la descripción, las especificaciones, el detalle, las unidades o cantidades señaladas en el Formulario 1 – Formulario de Presupuesto Oficial, de acuerdo con lo exigido por la entidad. </w:t>
      </w:r>
    </w:p>
    <w:p w14:paraId="4160CEBD" w14:textId="77777777" w:rsidR="00A71022" w:rsidRPr="00A502AE" w:rsidRDefault="00A71022" w:rsidP="00A71022">
      <w:pPr>
        <w:numPr>
          <w:ilvl w:val="0"/>
          <w:numId w:val="22"/>
        </w:numPr>
        <w:tabs>
          <w:tab w:val="left" w:pos="709"/>
        </w:tabs>
        <w:spacing w:after="120"/>
        <w:ind w:left="709" w:hanging="283"/>
        <w:jc w:val="both"/>
        <w:rPr>
          <w:rFonts w:ascii="Verdana" w:eastAsia="Calibri" w:hAnsi="Verdana" w:cs="Times New Roman"/>
          <w:color w:val="000000"/>
        </w:rPr>
      </w:pPr>
      <w:r w:rsidRPr="00A502AE">
        <w:rPr>
          <w:rFonts w:ascii="Verdana" w:eastAsia="Calibri" w:hAnsi="Verdana" w:cs="Times New Roman"/>
          <w:color w:val="000000"/>
        </w:rPr>
        <w:t xml:space="preserve">[Incluir solo cuando la forma de pago sea por precios unitarios] No ofrecer el valor de un precio unitario u ofrecerlo en cero (0) pesos. </w:t>
      </w:r>
    </w:p>
    <w:p w14:paraId="39E7F3BD" w14:textId="77777777" w:rsidR="00A71022" w:rsidRPr="00A502AE" w:rsidRDefault="00A71022" w:rsidP="00A71022">
      <w:pPr>
        <w:numPr>
          <w:ilvl w:val="0"/>
          <w:numId w:val="22"/>
        </w:numPr>
        <w:tabs>
          <w:tab w:val="left" w:pos="709"/>
        </w:tabs>
        <w:spacing w:after="120"/>
        <w:ind w:left="709" w:hanging="283"/>
        <w:jc w:val="both"/>
        <w:rPr>
          <w:rFonts w:ascii="Verdana" w:eastAsia="Calibri" w:hAnsi="Verdana" w:cs="Times New Roman"/>
          <w:color w:val="000000"/>
        </w:rPr>
      </w:pPr>
      <w:r w:rsidRPr="00A502AE">
        <w:rPr>
          <w:rFonts w:ascii="Verdana" w:eastAsia="Calibri" w:hAnsi="Verdana" w:cs="Times New Roman"/>
          <w:color w:val="000000"/>
        </w:rPr>
        <w:t xml:space="preserve">[Incluir solo cuando la forma de pago sea por precios unitarios] Superar el valor unitario de alguno o algunos de los siguientes ítems ofrecidos con respecto al valor establecido para cada ítem del presupuesto oficial: [La entidad debe incluir esta causal cuando la forma de pago sea por precios unitarios y cuando considere necesario establecer ítems del presupuesto oficial cuyo valor no pueda ser excedido por el proponente. Cuando decida </w:t>
      </w:r>
      <w:r w:rsidRPr="00A502AE">
        <w:rPr>
          <w:rFonts w:ascii="Verdana" w:eastAsia="Calibri" w:hAnsi="Verdana" w:cs="Times New Roman"/>
          <w:color w:val="000000"/>
        </w:rPr>
        <w:lastRenderedPageBreak/>
        <w:t xml:space="preserve">incluirla, identificará en este espacio los ítems frente a los cuales aplicará la causal de rechazo. </w:t>
      </w:r>
    </w:p>
    <w:p w14:paraId="127E73A7" w14:textId="77777777" w:rsidR="00A71022" w:rsidRPr="00A502AE" w:rsidRDefault="00A71022" w:rsidP="00A71022">
      <w:pPr>
        <w:tabs>
          <w:tab w:val="left" w:pos="709"/>
        </w:tabs>
        <w:spacing w:after="120"/>
        <w:ind w:left="709"/>
        <w:jc w:val="both"/>
        <w:rPr>
          <w:rFonts w:ascii="Verdana" w:eastAsia="Calibri" w:hAnsi="Verdana" w:cs="Times New Roman"/>
          <w:color w:val="000000"/>
        </w:rPr>
      </w:pPr>
      <w:r w:rsidRPr="00A502AE">
        <w:rPr>
          <w:rFonts w:ascii="Verdana" w:eastAsia="Calibri" w:hAnsi="Verdana" w:cs="Times New Roman"/>
          <w:color w:val="000000"/>
        </w:rPr>
        <w:t xml:space="preserve">Para la aplicación de esta causal la entidad debe tener en cuenta que el valor unitario establecido en el Formulario 1 – Formulario de Presupuesto Oficial incluye el valor de AIU] </w:t>
      </w:r>
    </w:p>
    <w:p w14:paraId="182786EA" w14:textId="77777777" w:rsidR="00A71022" w:rsidRPr="00A502AE" w:rsidRDefault="00A71022" w:rsidP="00A71022">
      <w:pPr>
        <w:numPr>
          <w:ilvl w:val="0"/>
          <w:numId w:val="22"/>
        </w:numPr>
        <w:tabs>
          <w:tab w:val="left" w:pos="709"/>
        </w:tabs>
        <w:spacing w:after="120"/>
        <w:ind w:left="709" w:hanging="283"/>
        <w:jc w:val="both"/>
        <w:rPr>
          <w:rFonts w:ascii="Verdana" w:eastAsia="Calibri" w:hAnsi="Verdana" w:cs="Times New Roman"/>
          <w:color w:val="000000"/>
        </w:rPr>
      </w:pPr>
      <w:r w:rsidRPr="00A502AE">
        <w:rPr>
          <w:rFonts w:ascii="Verdana" w:eastAsia="Calibri" w:hAnsi="Verdana" w:cs="Times New Roman"/>
          <w:color w:val="000000"/>
        </w:rPr>
        <w:t>[Esta causal aplica de acuerdo con la configuración de la oferta económica por parte de la entidad] No discriminar en la oferta económica el porcentaje de AIU en la forma como lo establece el Pliego de Condiciones y el Formulario 1 – Formulario de presupuesto oficial. [Se entiende que el proponente discrimina en la oferta económica el porcentaje de AIU cuando señala el porcentaje (%) correspondiente a la Administración, los Imprevistos y la Utilidad. En ningún caso la entidad rechazará la oferta por no presentar el desglose del AIU]</w:t>
      </w:r>
    </w:p>
    <w:p w14:paraId="3F6F9028" w14:textId="77777777" w:rsidR="00A71022" w:rsidRPr="00A502AE" w:rsidRDefault="00A71022" w:rsidP="00A71022">
      <w:pPr>
        <w:numPr>
          <w:ilvl w:val="0"/>
          <w:numId w:val="22"/>
        </w:numPr>
        <w:tabs>
          <w:tab w:val="left" w:pos="709"/>
        </w:tabs>
        <w:spacing w:after="120"/>
        <w:ind w:left="709" w:hanging="283"/>
        <w:jc w:val="both"/>
        <w:rPr>
          <w:rFonts w:ascii="Verdana" w:eastAsia="Calibri" w:hAnsi="Verdana" w:cs="Times New Roman"/>
          <w:color w:val="000000"/>
        </w:rPr>
      </w:pPr>
      <w:r w:rsidRPr="00A502AE">
        <w:rPr>
          <w:rFonts w:ascii="Verdana" w:eastAsia="Calibri" w:hAnsi="Verdana" w:cs="Times New Roman"/>
          <w:color w:val="000000"/>
        </w:rPr>
        <w:t xml:space="preserve">Ofrecer como AIU un porcentaje cuya sumatoria sea superior al establecido por la Entidad en el </w:t>
      </w:r>
      <w:r w:rsidRPr="00A502AE">
        <w:rPr>
          <w:rFonts w:ascii="Verdana" w:eastAsia="Calibri" w:hAnsi="Verdana" w:cs="Times New Roman"/>
          <w:color w:val="000000"/>
        </w:rPr>
        <w:fldChar w:fldCharType="begin"/>
      </w:r>
      <w:r w:rsidRPr="00A502AE">
        <w:rPr>
          <w:rFonts w:ascii="Verdana" w:eastAsia="Calibri" w:hAnsi="Verdana" w:cs="Times New Roman"/>
          <w:color w:val="000000"/>
        </w:rPr>
        <w:instrText xml:space="preserve"> REF _Ref57725061 \h  \* MERGEFORMAT </w:instrText>
      </w:r>
      <w:r w:rsidRPr="00A502AE">
        <w:rPr>
          <w:rFonts w:ascii="Verdana" w:eastAsia="Calibri" w:hAnsi="Verdana" w:cs="Times New Roman"/>
          <w:color w:val="000000"/>
        </w:rPr>
      </w:r>
      <w:r w:rsidRPr="00A502AE">
        <w:rPr>
          <w:rFonts w:ascii="Verdana" w:eastAsia="Calibri" w:hAnsi="Verdana" w:cs="Times New Roman"/>
          <w:color w:val="000000"/>
        </w:rPr>
        <w:fldChar w:fldCharType="separate"/>
      </w:r>
      <w:r w:rsidRPr="00A502AE">
        <w:rPr>
          <w:rFonts w:ascii="Verdana" w:eastAsia="Calibri" w:hAnsi="Verdana" w:cs="Times New Roman"/>
          <w:color w:val="000000"/>
        </w:rPr>
        <w:t>Formulario 1– Formulario de Presupuesto Oficial</w:t>
      </w:r>
      <w:r w:rsidRPr="00A502AE">
        <w:rPr>
          <w:rFonts w:ascii="Verdana" w:eastAsia="Calibri" w:hAnsi="Verdana" w:cs="Times New Roman"/>
          <w:color w:val="000000"/>
        </w:rPr>
        <w:fldChar w:fldCharType="end"/>
      </w:r>
      <w:r w:rsidRPr="00A502AE">
        <w:rPr>
          <w:rFonts w:ascii="Verdana" w:eastAsia="Calibri" w:hAnsi="Verdana" w:cs="Times New Roman"/>
          <w:color w:val="000000"/>
        </w:rPr>
        <w:t>.</w:t>
      </w:r>
    </w:p>
    <w:p w14:paraId="35FA1D82" w14:textId="77777777" w:rsidR="00A71022" w:rsidRPr="00A502AE" w:rsidRDefault="00A71022" w:rsidP="00A71022">
      <w:pPr>
        <w:numPr>
          <w:ilvl w:val="0"/>
          <w:numId w:val="22"/>
        </w:numPr>
        <w:tabs>
          <w:tab w:val="left" w:pos="709"/>
        </w:tabs>
        <w:spacing w:after="120"/>
        <w:ind w:left="709" w:hanging="283"/>
        <w:jc w:val="both"/>
        <w:rPr>
          <w:rFonts w:ascii="Verdana" w:eastAsia="Calibri" w:hAnsi="Verdana" w:cs="Times New Roman"/>
          <w:color w:val="000000"/>
        </w:rPr>
      </w:pPr>
      <w:r w:rsidRPr="00A502AE">
        <w:rPr>
          <w:rFonts w:ascii="Verdana" w:eastAsia="Calibri" w:hAnsi="Verdana" w:cs="Times New Roman"/>
          <w:color w:val="000000"/>
        </w:rPr>
        <w:t>Cuando se presente propuesta condicionada para la adjudicación del contrato.</w:t>
      </w:r>
    </w:p>
    <w:p w14:paraId="574AC8EF" w14:textId="77777777" w:rsidR="00A71022" w:rsidRPr="00A502AE" w:rsidRDefault="00A71022" w:rsidP="00A71022">
      <w:pPr>
        <w:numPr>
          <w:ilvl w:val="0"/>
          <w:numId w:val="22"/>
        </w:numPr>
        <w:tabs>
          <w:tab w:val="left" w:pos="709"/>
        </w:tabs>
        <w:spacing w:after="120"/>
        <w:ind w:left="709" w:hanging="283"/>
        <w:jc w:val="both"/>
        <w:rPr>
          <w:rFonts w:ascii="Verdana" w:eastAsia="Calibri" w:hAnsi="Verdana" w:cs="Times New Roman"/>
          <w:color w:val="000000"/>
        </w:rPr>
      </w:pPr>
      <w:r w:rsidRPr="00A502AE">
        <w:rPr>
          <w:rFonts w:ascii="Verdana" w:eastAsia="Calibri" w:hAnsi="Verdana" w:cs="Times New Roman"/>
          <w:color w:val="000000"/>
        </w:rPr>
        <w:t>Presentar la oferta extemporáneamente.</w:t>
      </w:r>
    </w:p>
    <w:p w14:paraId="6B0B6851" w14:textId="77777777" w:rsidR="00A71022" w:rsidRPr="00A502AE" w:rsidRDefault="00A71022" w:rsidP="00A71022">
      <w:pPr>
        <w:numPr>
          <w:ilvl w:val="0"/>
          <w:numId w:val="22"/>
        </w:numPr>
        <w:tabs>
          <w:tab w:val="left" w:pos="709"/>
        </w:tabs>
        <w:spacing w:after="120"/>
        <w:ind w:left="709" w:hanging="283"/>
        <w:jc w:val="both"/>
        <w:rPr>
          <w:rFonts w:ascii="Verdana" w:eastAsia="Calibri" w:hAnsi="Verdana" w:cs="Times New Roman"/>
          <w:color w:val="000000"/>
        </w:rPr>
      </w:pPr>
      <w:r w:rsidRPr="00A502AE">
        <w:rPr>
          <w:rFonts w:ascii="Verdana" w:eastAsia="Calibri" w:hAnsi="Verdana" w:cs="Times New Roman"/>
          <w:color w:val="000000"/>
        </w:rPr>
        <w:t>No presentar oferta económica. Entregar la información de la propuesta económica en el sobre que no corresponda.</w:t>
      </w:r>
    </w:p>
    <w:p w14:paraId="2FADD00E" w14:textId="77777777" w:rsidR="00A71022" w:rsidRPr="00A502AE" w:rsidRDefault="00A71022" w:rsidP="00A71022">
      <w:pPr>
        <w:numPr>
          <w:ilvl w:val="0"/>
          <w:numId w:val="22"/>
        </w:numPr>
        <w:tabs>
          <w:tab w:val="left" w:pos="709"/>
        </w:tabs>
        <w:spacing w:after="120"/>
        <w:ind w:left="709" w:hanging="283"/>
        <w:jc w:val="both"/>
        <w:rPr>
          <w:rFonts w:ascii="Verdana" w:eastAsia="Calibri" w:hAnsi="Verdana" w:cs="Times New Roman"/>
          <w:color w:val="000000"/>
        </w:rPr>
      </w:pPr>
      <w:r w:rsidRPr="00A502AE">
        <w:rPr>
          <w:rFonts w:ascii="Verdana" w:eastAsia="Calibri" w:hAnsi="Verdana" w:cs="Times New Roman"/>
          <w:color w:val="000000"/>
        </w:rPr>
        <w:t>Presentar más de una oferta económica con valores distintos en el Sobre 2. [Cuando el proceso se estructure por lotes o grupos reemplazar el texto anterior por el siguiente: Presentar más de una oferta económica con valores distintos para el mismo lote o grupo]</w:t>
      </w:r>
    </w:p>
    <w:p w14:paraId="3A1380D4" w14:textId="77777777" w:rsidR="00A71022" w:rsidRPr="00A502AE" w:rsidRDefault="00A71022" w:rsidP="00A71022">
      <w:pPr>
        <w:numPr>
          <w:ilvl w:val="0"/>
          <w:numId w:val="22"/>
        </w:numPr>
        <w:tabs>
          <w:tab w:val="left" w:pos="709"/>
        </w:tabs>
        <w:spacing w:after="120"/>
        <w:ind w:left="709" w:hanging="283"/>
        <w:jc w:val="both"/>
        <w:rPr>
          <w:rFonts w:ascii="Verdana" w:eastAsia="Calibri" w:hAnsi="Verdana" w:cs="Times New Roman"/>
          <w:color w:val="000000"/>
        </w:rPr>
      </w:pPr>
      <w:r w:rsidRPr="00A502AE">
        <w:rPr>
          <w:rFonts w:ascii="Verdana" w:eastAsia="Calibri" w:hAnsi="Verdana" w:cs="Times New Roman"/>
          <w:color w:val="000000"/>
        </w:rPr>
        <w:t xml:space="preserve">Cuando se determine que el valor total de la oferta es artificialmente bajo, de acuerdo con lo establecido en la sección 4.1.3 </w:t>
      </w:r>
    </w:p>
    <w:p w14:paraId="19421365" w14:textId="77777777" w:rsidR="00A71022" w:rsidRPr="00A502AE" w:rsidRDefault="00A71022" w:rsidP="00A71022">
      <w:pPr>
        <w:numPr>
          <w:ilvl w:val="0"/>
          <w:numId w:val="22"/>
        </w:numPr>
        <w:tabs>
          <w:tab w:val="left" w:pos="709"/>
        </w:tabs>
        <w:spacing w:after="120"/>
        <w:ind w:left="709" w:hanging="283"/>
        <w:jc w:val="both"/>
        <w:rPr>
          <w:rFonts w:ascii="Verdana" w:eastAsia="Calibri" w:hAnsi="Verdana" w:cs="Times New Roman"/>
          <w:color w:val="000000"/>
        </w:rPr>
      </w:pPr>
      <w:r w:rsidRPr="00A502AE">
        <w:rPr>
          <w:rFonts w:ascii="Verdana" w:eastAsia="Calibri" w:hAnsi="Verdana" w:cs="Times New Roman"/>
          <w:color w:val="000000"/>
        </w:rPr>
        <w:t>Cuando se presenten propuestas parciales y esta posibilidad no haya sido establecida en el pliego de condiciones.</w:t>
      </w:r>
    </w:p>
    <w:p w14:paraId="16EEBD05" w14:textId="77777777" w:rsidR="00A71022" w:rsidRPr="00A502AE" w:rsidRDefault="00A71022" w:rsidP="00A71022">
      <w:pPr>
        <w:numPr>
          <w:ilvl w:val="0"/>
          <w:numId w:val="22"/>
        </w:numPr>
        <w:tabs>
          <w:tab w:val="left" w:pos="709"/>
        </w:tabs>
        <w:spacing w:after="120"/>
        <w:ind w:left="709" w:hanging="283"/>
        <w:jc w:val="both"/>
        <w:rPr>
          <w:rFonts w:ascii="Verdana" w:eastAsia="Calibri" w:hAnsi="Verdana" w:cs="Times New Roman"/>
          <w:color w:val="000000"/>
        </w:rPr>
      </w:pPr>
      <w:r w:rsidRPr="00A502AE">
        <w:rPr>
          <w:rFonts w:ascii="Verdana" w:eastAsia="Calibri" w:hAnsi="Verdana" w:cs="Times New Roman"/>
          <w:color w:val="000000"/>
        </w:rPr>
        <w:t>No informar todos los contratos que el proponente tenga en ejecución antes del cierre, necesarios para acreditar su capacidad residual conforme a la sección 3.10.</w:t>
      </w:r>
    </w:p>
    <w:p w14:paraId="5FD62C8D" w14:textId="77777777" w:rsidR="00A71022" w:rsidRPr="00A502AE" w:rsidRDefault="00A71022" w:rsidP="00A71022">
      <w:pPr>
        <w:numPr>
          <w:ilvl w:val="0"/>
          <w:numId w:val="22"/>
        </w:numPr>
        <w:tabs>
          <w:tab w:val="left" w:pos="709"/>
        </w:tabs>
        <w:spacing w:after="120" w:line="276" w:lineRule="auto"/>
        <w:ind w:left="709" w:hanging="357"/>
        <w:jc w:val="both"/>
        <w:rPr>
          <w:rFonts w:ascii="Verdana" w:eastAsia="Calibri" w:hAnsi="Verdana" w:cs="Times New Roman"/>
          <w:color w:val="000000"/>
        </w:rPr>
      </w:pPr>
      <w:r w:rsidRPr="00A502AE">
        <w:rPr>
          <w:rFonts w:ascii="Verdana" w:eastAsia="Calibri" w:hAnsi="Verdana" w:cs="Times New Roman"/>
          <w:color w:val="000000"/>
        </w:rPr>
        <w:t>Ofrecer un plazo superior al señalado por la entidad en el Anexo 1 – Anexo Técnico.</w:t>
      </w:r>
    </w:p>
    <w:p w14:paraId="3677FEDB" w14:textId="77777777" w:rsidR="00A71022" w:rsidRPr="00A502AE" w:rsidRDefault="00A71022" w:rsidP="00A71022">
      <w:pPr>
        <w:numPr>
          <w:ilvl w:val="0"/>
          <w:numId w:val="22"/>
        </w:numPr>
        <w:tabs>
          <w:tab w:val="left" w:pos="709"/>
        </w:tabs>
        <w:spacing w:after="120" w:line="276" w:lineRule="auto"/>
        <w:ind w:left="709" w:hanging="357"/>
        <w:jc w:val="both"/>
        <w:rPr>
          <w:rFonts w:ascii="Verdana" w:eastAsia="Calibri" w:hAnsi="Verdana" w:cs="Times New Roman"/>
          <w:color w:val="000000"/>
        </w:rPr>
      </w:pPr>
      <w:r w:rsidRPr="00A502AE">
        <w:rPr>
          <w:rFonts w:ascii="Verdana" w:eastAsia="Calibri" w:hAnsi="Verdana" w:cs="Times New Roman"/>
          <w:color w:val="000000"/>
        </w:rPr>
        <w:lastRenderedPageBreak/>
        <w:t>Ofrecer condiciones particulares del proyecto de inferior calidad, personal profesional sin los requisitos mínimos; actividades por ejecutar y su alcance, forma de pago, obras provisionales, permisos, licencias y autorizaciones, notas técnicas específicas, y documentos técnicos adicionales, en condiciones diferentes a las establecidas por la Entidad en el Anexo 1 – Anexo Técnico.</w:t>
      </w:r>
    </w:p>
    <w:p w14:paraId="3478E509" w14:textId="77777777" w:rsidR="00A71022" w:rsidRDefault="00A71022" w:rsidP="00A71022">
      <w:pPr>
        <w:numPr>
          <w:ilvl w:val="0"/>
          <w:numId w:val="22"/>
        </w:numPr>
        <w:tabs>
          <w:tab w:val="left" w:pos="709"/>
        </w:tabs>
        <w:spacing w:after="0" w:line="276" w:lineRule="auto"/>
        <w:ind w:left="352" w:hanging="68"/>
        <w:jc w:val="both"/>
        <w:rPr>
          <w:rFonts w:ascii="Verdana" w:eastAsia="Calibri" w:hAnsi="Verdana" w:cs="Times New Roman"/>
          <w:color w:val="000000"/>
        </w:rPr>
      </w:pPr>
      <w:r w:rsidRPr="00A502AE">
        <w:rPr>
          <w:rFonts w:ascii="Verdana" w:eastAsia="Calibri" w:hAnsi="Verdana" w:cs="Times New Roman"/>
          <w:color w:val="000000"/>
        </w:rPr>
        <w:t>Las demás previstas en la ley.</w:t>
      </w:r>
    </w:p>
    <w:p w14:paraId="2F03DF67" w14:textId="77777777" w:rsidR="00A502AE" w:rsidRPr="00A502AE" w:rsidRDefault="00A502AE" w:rsidP="00A502AE">
      <w:pPr>
        <w:tabs>
          <w:tab w:val="left" w:pos="709"/>
        </w:tabs>
        <w:spacing w:after="0" w:line="276" w:lineRule="auto"/>
        <w:ind w:left="352"/>
        <w:jc w:val="both"/>
        <w:rPr>
          <w:rFonts w:ascii="Verdana" w:eastAsia="Calibri" w:hAnsi="Verdana" w:cs="Times New Roman"/>
          <w:color w:val="000000"/>
        </w:rPr>
      </w:pPr>
    </w:p>
    <w:p w14:paraId="58BA2400" w14:textId="2F18B588" w:rsidR="00A71022" w:rsidRPr="00A502AE" w:rsidRDefault="00A71022" w:rsidP="00A502AE">
      <w:pPr>
        <w:pStyle w:val="Prrafodelista"/>
        <w:numPr>
          <w:ilvl w:val="0"/>
          <w:numId w:val="23"/>
        </w:numPr>
        <w:tabs>
          <w:tab w:val="left" w:pos="709"/>
          <w:tab w:val="left" w:pos="851"/>
        </w:tabs>
        <w:spacing w:line="276" w:lineRule="auto"/>
        <w:jc w:val="both"/>
        <w:rPr>
          <w:rFonts w:ascii="Verdana" w:eastAsia="Calibri" w:hAnsi="Verdana" w:cs="Arial"/>
        </w:rPr>
      </w:pPr>
      <w:r w:rsidRPr="00A502AE">
        <w:rPr>
          <w:rFonts w:ascii="Verdana" w:eastAsia="Calibri" w:hAnsi="Verdana" w:cs="Arial"/>
          <w:color w:val="000000"/>
        </w:rPr>
        <w:t xml:space="preserve">Ahora bien, revisadas las causales de rechazo que anteceden, no se advierte referencia expresa a la obligación establecida en el </w:t>
      </w:r>
      <w:r w:rsidRPr="00A502AE">
        <w:rPr>
          <w:rFonts w:ascii="Verdana" w:eastAsia="Calibri" w:hAnsi="Verdana" w:cs="Arial"/>
        </w:rPr>
        <w:t>artículo 17 de la Ley 842 de 2003, ni tampoco se establece en otro lugar del documento tipo, por lo que resulta evidente que no es una exigencia aplicable en las licitaciones de obra pública de infraestructura de transporte que apliquen dichos documentos. En efecto, el artículo indicado establece la siguiente obligación legal:</w:t>
      </w:r>
    </w:p>
    <w:p w14:paraId="4A469D16" w14:textId="77777777" w:rsidR="00A71022" w:rsidRPr="00ED40AB" w:rsidRDefault="00A71022" w:rsidP="00ED40AB">
      <w:pPr>
        <w:ind w:left="1134" w:right="709"/>
        <w:jc w:val="both"/>
        <w:rPr>
          <w:rFonts w:ascii="Verdana" w:eastAsia="Calibri" w:hAnsi="Verdana" w:cs="Arial"/>
          <w:color w:val="000000"/>
        </w:rPr>
      </w:pPr>
      <w:r w:rsidRPr="00ED40AB">
        <w:rPr>
          <w:rFonts w:ascii="Verdana" w:eastAsia="Calibri" w:hAnsi="Verdana" w:cs="Arial"/>
          <w:color w:val="000000"/>
        </w:rPr>
        <w:t>Artículo 17. Responsabilidad de las personas jurídicas y de sus representantes. La sociedad, firma, empresa u organización profesional, cuyas actividades comprendan, en forma exclusiva o parcial, alguna o algunas de aquellas que correspondan al ejercicio de la ingeniería, de sus profesiones afines o de sus profesiones auxiliares, está obligada a incluir en su nómina permanente, como mínimo, a un profesional matriculado en la carrera correspondiente al objeto social de la respectiva persona jurídica.</w:t>
      </w:r>
    </w:p>
    <w:p w14:paraId="6D696176" w14:textId="77777777" w:rsidR="00A71022" w:rsidRPr="00ED40AB" w:rsidRDefault="00A71022" w:rsidP="00ED40AB">
      <w:pPr>
        <w:ind w:left="1134" w:right="709"/>
        <w:jc w:val="both"/>
        <w:rPr>
          <w:rFonts w:ascii="Verdana" w:eastAsia="Calibri" w:hAnsi="Verdana" w:cs="Arial"/>
          <w:color w:val="000000"/>
        </w:rPr>
      </w:pPr>
      <w:r w:rsidRPr="00ED40AB">
        <w:rPr>
          <w:rFonts w:ascii="Verdana" w:eastAsia="Calibri" w:hAnsi="Verdana" w:cs="Arial"/>
          <w:color w:val="000000"/>
        </w:rPr>
        <w:t>Parágrafo. Al representante legal de la persona jurídica que omita el cumplimiento de lo dispuesto en el presente artículo se le aplicarán las sanciones previstas para el ejercicio ilegal de profesión y oficio reglamentado, mediante la aplicación del procedimiento establecido para las contravenciones especiales de policía o aquel que lo sustituya.</w:t>
      </w:r>
    </w:p>
    <w:p w14:paraId="5A698C87" w14:textId="77777777" w:rsidR="00ED40AB" w:rsidRDefault="00A71022" w:rsidP="00A71022">
      <w:pPr>
        <w:pStyle w:val="Prrafodelista"/>
        <w:numPr>
          <w:ilvl w:val="0"/>
          <w:numId w:val="23"/>
        </w:numPr>
        <w:tabs>
          <w:tab w:val="left" w:pos="709"/>
          <w:tab w:val="left" w:pos="851"/>
        </w:tabs>
        <w:spacing w:after="120" w:line="276" w:lineRule="auto"/>
        <w:jc w:val="both"/>
        <w:rPr>
          <w:rFonts w:ascii="Verdana" w:eastAsia="Calibri" w:hAnsi="Verdana" w:cs="Arial"/>
        </w:rPr>
      </w:pPr>
      <w:r w:rsidRPr="00ED40AB">
        <w:rPr>
          <w:rFonts w:ascii="Verdana" w:eastAsia="Calibri" w:hAnsi="Verdana" w:cs="Arial"/>
        </w:rPr>
        <w:t xml:space="preserve">El artículo citado establece el deber para las personas jurídicas, cuyas actividades correspondan al ejercicio de la ingeniería, de incluir en su «nómina permanente» al menos a un profesional matriculado en la carrera correspondiente al objeto social de la persona jurídica. Sin embargo, pese a la existencia de dicho deber, no establece una consecuencia particular frente a su incidencia en los procedimientos de selección adelantados por las entidades estatales, como sería la </w:t>
      </w:r>
      <w:r w:rsidRPr="00ED40AB">
        <w:rPr>
          <w:rFonts w:ascii="Verdana" w:eastAsia="Calibri" w:hAnsi="Verdana" w:cs="Arial"/>
        </w:rPr>
        <w:lastRenderedPageBreak/>
        <w:t>imposibilidad de participar en dichos procesos ante la inobservancia del cumplimiento de dicha exigencia o el deber de presentar algún documento para acreditar el cumplimiento de dicha obligación en el desarrollo de tales procesos contractuales.</w:t>
      </w:r>
    </w:p>
    <w:p w14:paraId="3F73BC99" w14:textId="77777777" w:rsidR="00ED40AB" w:rsidRDefault="00ED40AB" w:rsidP="00ED40AB">
      <w:pPr>
        <w:pStyle w:val="Prrafodelista"/>
        <w:tabs>
          <w:tab w:val="left" w:pos="709"/>
          <w:tab w:val="left" w:pos="851"/>
        </w:tabs>
        <w:spacing w:after="120" w:line="276" w:lineRule="auto"/>
        <w:jc w:val="both"/>
        <w:rPr>
          <w:rFonts w:ascii="Verdana" w:eastAsia="Calibri" w:hAnsi="Verdana" w:cs="Arial"/>
        </w:rPr>
      </w:pPr>
    </w:p>
    <w:p w14:paraId="563EB063" w14:textId="4F8957D7" w:rsidR="00ED40AB" w:rsidRPr="00ED40AB" w:rsidRDefault="00A71022" w:rsidP="00A71022">
      <w:pPr>
        <w:pStyle w:val="Prrafodelista"/>
        <w:numPr>
          <w:ilvl w:val="0"/>
          <w:numId w:val="23"/>
        </w:numPr>
        <w:tabs>
          <w:tab w:val="left" w:pos="709"/>
          <w:tab w:val="left" w:pos="851"/>
        </w:tabs>
        <w:spacing w:after="120" w:line="276" w:lineRule="auto"/>
        <w:jc w:val="both"/>
        <w:rPr>
          <w:rFonts w:ascii="Verdana" w:eastAsia="Calibri" w:hAnsi="Verdana" w:cs="Arial"/>
        </w:rPr>
      </w:pPr>
      <w:r w:rsidRPr="00ED40AB">
        <w:rPr>
          <w:rFonts w:ascii="Verdana" w:eastAsia="Calibri" w:hAnsi="Verdana" w:cs="Arial"/>
        </w:rPr>
        <w:t>A diferencia de la norma citada, y a modo de ejemplo, el artículo 20 de la misma ley sí tiene una exigencia y relación directa con las propuestas presentadas en los procesos de licitación pública, al exigir que aquellas presentadas en procesos cuyo objeto implique el desarrollo de las actividades catalogadas como ejercicio de la ingeniería, deben estar avaladas ‒o abonadas‒ por un ingeniero inscrito y con tarjeta de matrícula profesional en la respectiva rama de la ingeniería. Así, dicha obligación se refiere al cumplimiento de un requisito impuesto por el legislador que deben cumplir los proponentes con la presentación de sus ofertas</w:t>
      </w:r>
      <w:r w:rsidRPr="00ED40AB">
        <w:rPr>
          <w:vertAlign w:val="superscript"/>
        </w:rPr>
        <w:footnoteReference w:id="4"/>
      </w:r>
      <w:r w:rsidRPr="00ED40AB">
        <w:rPr>
          <w:rFonts w:ascii="Verdana" w:eastAsia="Calibri" w:hAnsi="Verdana" w:cs="Arial"/>
        </w:rPr>
        <w:t xml:space="preserve">. Por el contrario, retomando el artículo 17 analizado, debe tenerse en cuenta que el parágrafo de la disposición citada establece la consecuencia concreta frente al incumplimiento del deber legal establecido en dicho artículo. Nótese que la consecuencia no se relaciona con la imposibilidad de participar en los procedimientos de selección o la exigencia de acreditar su cumplimiento en dichos procedimientos; sino que prescribe una sanción concreta para el representante legal de la sociedad que incumpla el deber establecido en la disposición, al señalarse que </w:t>
      </w:r>
      <w:r w:rsidR="00ED40AB" w:rsidRPr="00ED40AB">
        <w:rPr>
          <w:rFonts w:ascii="Verdana" w:eastAsia="Calibri" w:hAnsi="Verdana" w:cs="Arial"/>
        </w:rPr>
        <w:t>“</w:t>
      </w:r>
      <w:r w:rsidRPr="00ED40AB">
        <w:rPr>
          <w:rFonts w:ascii="Verdana" w:eastAsia="Calibri" w:hAnsi="Verdana" w:cs="Arial"/>
        </w:rPr>
        <w:t>se aplicarán las sanciones previstas para el ejercicio ilegal de la profesión y oficio reglamentado</w:t>
      </w:r>
      <w:r w:rsidR="00ED40AB" w:rsidRPr="00ED40AB">
        <w:rPr>
          <w:rFonts w:ascii="Verdana" w:eastAsia="Calibri" w:hAnsi="Verdana" w:cs="Arial"/>
        </w:rPr>
        <w:t>”</w:t>
      </w:r>
      <w:r w:rsidRPr="00ED40AB">
        <w:rPr>
          <w:rFonts w:ascii="Verdana" w:eastAsia="Calibri" w:hAnsi="Verdana" w:cs="Arial"/>
        </w:rPr>
        <w:t>.</w:t>
      </w:r>
    </w:p>
    <w:p w14:paraId="5F485469" w14:textId="77777777" w:rsidR="00ED40AB" w:rsidRPr="00ED40AB" w:rsidRDefault="00ED40AB" w:rsidP="00ED40AB">
      <w:pPr>
        <w:pStyle w:val="Prrafodelista"/>
        <w:tabs>
          <w:tab w:val="left" w:pos="709"/>
          <w:tab w:val="left" w:pos="851"/>
        </w:tabs>
        <w:spacing w:after="120" w:line="276" w:lineRule="auto"/>
        <w:jc w:val="both"/>
        <w:rPr>
          <w:rFonts w:ascii="Verdana" w:eastAsia="Calibri" w:hAnsi="Verdana" w:cs="Arial"/>
        </w:rPr>
      </w:pPr>
    </w:p>
    <w:p w14:paraId="5E377AA5" w14:textId="77777777" w:rsidR="00ED40AB" w:rsidRDefault="00A71022" w:rsidP="00A71022">
      <w:pPr>
        <w:pStyle w:val="Prrafodelista"/>
        <w:numPr>
          <w:ilvl w:val="0"/>
          <w:numId w:val="23"/>
        </w:numPr>
        <w:tabs>
          <w:tab w:val="left" w:pos="709"/>
          <w:tab w:val="left" w:pos="851"/>
        </w:tabs>
        <w:spacing w:after="120" w:line="276" w:lineRule="auto"/>
        <w:jc w:val="both"/>
        <w:rPr>
          <w:rFonts w:ascii="Verdana" w:eastAsia="Calibri" w:hAnsi="Verdana" w:cs="Arial"/>
        </w:rPr>
      </w:pPr>
      <w:r w:rsidRPr="00ED40AB">
        <w:rPr>
          <w:rFonts w:ascii="Verdana" w:eastAsia="Calibri" w:hAnsi="Verdana" w:cs="Arial"/>
        </w:rPr>
        <w:t xml:space="preserve">En tal sentido, la consecuencia aparejada al incumplimiento del deber establecido en el artículo 17 se dirige directamente a sancionar al representante legal de la sociedad, sin que se establezca alguna </w:t>
      </w:r>
      <w:r w:rsidRPr="00ED40AB">
        <w:rPr>
          <w:rFonts w:ascii="Verdana" w:eastAsia="Calibri" w:hAnsi="Verdana" w:cs="Arial"/>
        </w:rPr>
        <w:lastRenderedPageBreak/>
        <w:t>consecuencia frente a la capacidad de la sociedad para participar en procedimientos de selección de contratistas.</w:t>
      </w:r>
    </w:p>
    <w:p w14:paraId="1168EDBA" w14:textId="77777777" w:rsidR="00ED40AB" w:rsidRPr="00ED40AB" w:rsidRDefault="00ED40AB" w:rsidP="00ED40AB">
      <w:pPr>
        <w:pStyle w:val="Prrafodelista"/>
        <w:rPr>
          <w:rFonts w:ascii="Verdana" w:eastAsia="Calibri" w:hAnsi="Verdana" w:cs="Arial"/>
          <w:highlight w:val="yellow"/>
        </w:rPr>
      </w:pPr>
    </w:p>
    <w:p w14:paraId="49D58F0C" w14:textId="77777777" w:rsidR="00ED40AB" w:rsidRDefault="00A71022" w:rsidP="00A71022">
      <w:pPr>
        <w:pStyle w:val="Prrafodelista"/>
        <w:numPr>
          <w:ilvl w:val="0"/>
          <w:numId w:val="23"/>
        </w:numPr>
        <w:tabs>
          <w:tab w:val="left" w:pos="709"/>
          <w:tab w:val="left" w:pos="851"/>
        </w:tabs>
        <w:spacing w:after="120" w:line="276" w:lineRule="auto"/>
        <w:jc w:val="both"/>
        <w:rPr>
          <w:rFonts w:ascii="Verdana" w:eastAsia="Calibri" w:hAnsi="Verdana" w:cs="Arial"/>
        </w:rPr>
      </w:pPr>
      <w:r w:rsidRPr="00ED40AB">
        <w:rPr>
          <w:rFonts w:ascii="Verdana" w:eastAsia="Calibri" w:hAnsi="Verdana" w:cs="Arial"/>
        </w:rPr>
        <w:t>En armonía con lo anterior, como se enunció previamente, la obligación contenida en el artículo 17 de la Ley 842 de 2003 no se estableció como causal de rechazo y tampoco se exigió la acreditación de este requisito durante el procedimiento de selección en ningún lugar de los documentos tipo de licitación de obra pública de infraestructura de transporte. Sin embargo, ello no quiere decir que esta obligación desaparezca o no se deba cumplir, pues esta aplica por ministerio de la ley, solo que no se vincula su contenido a alguna consecuencia jurídica frente a los procedimientos de selección que se rijan por los documentos tipo, sin perjuicio de las eventuales sanciones frente al representante legal de la sociedad que no acate su contenido.</w:t>
      </w:r>
    </w:p>
    <w:p w14:paraId="20DD9D52" w14:textId="77777777" w:rsidR="00ED40AB" w:rsidRPr="00ED40AB" w:rsidRDefault="00ED40AB" w:rsidP="00ED40AB">
      <w:pPr>
        <w:pStyle w:val="Prrafodelista"/>
        <w:rPr>
          <w:rFonts w:ascii="Verdana" w:eastAsia="Calibri" w:hAnsi="Verdana" w:cs="Arial"/>
          <w:highlight w:val="yellow"/>
        </w:rPr>
      </w:pPr>
    </w:p>
    <w:p w14:paraId="4B7A1DFB" w14:textId="77777777" w:rsidR="00ED40AB" w:rsidRDefault="00A71022" w:rsidP="00A71022">
      <w:pPr>
        <w:pStyle w:val="Prrafodelista"/>
        <w:numPr>
          <w:ilvl w:val="0"/>
          <w:numId w:val="23"/>
        </w:numPr>
        <w:tabs>
          <w:tab w:val="left" w:pos="709"/>
          <w:tab w:val="left" w:pos="851"/>
        </w:tabs>
        <w:spacing w:after="120" w:line="276" w:lineRule="auto"/>
        <w:jc w:val="both"/>
        <w:rPr>
          <w:rFonts w:ascii="Verdana" w:eastAsia="Calibri" w:hAnsi="Verdana" w:cs="Arial"/>
        </w:rPr>
      </w:pPr>
      <w:r w:rsidRPr="00ED40AB">
        <w:rPr>
          <w:rFonts w:ascii="Verdana" w:eastAsia="Calibri" w:hAnsi="Verdana" w:cs="Arial"/>
        </w:rPr>
        <w:t>En efecto, el hecho de que el documento tipo no establezca todas las obligaciones legales que deben cumplir las personas naturales y jurídicas, no quiere decir que tales deberes desaparezcan, pues frente a su incumplimiento el ordenamiento jurídico establece sus consecuencias particulares. En otras palabras, las obligaciones legales tienen plena aplicación de acuerdo con su regulación concreta, sin que su ausencia en el documento tipo se pueda interpretar como una autorización para desconocer su exigibilidad, pues aplican por ministerio de la ley, pese a que no tengan una incidencia concreta en los procedimientos de selección.</w:t>
      </w:r>
    </w:p>
    <w:p w14:paraId="26DD0D10" w14:textId="77777777" w:rsidR="00ED40AB" w:rsidRPr="00ED40AB" w:rsidRDefault="00ED40AB" w:rsidP="00ED40AB">
      <w:pPr>
        <w:pStyle w:val="Prrafodelista"/>
        <w:rPr>
          <w:rFonts w:ascii="Verdana" w:eastAsia="Calibri" w:hAnsi="Verdana" w:cs="Arial"/>
        </w:rPr>
      </w:pPr>
    </w:p>
    <w:p w14:paraId="5088A2A9" w14:textId="77777777" w:rsidR="00ED40AB" w:rsidRDefault="00A71022" w:rsidP="00A71022">
      <w:pPr>
        <w:pStyle w:val="Prrafodelista"/>
        <w:numPr>
          <w:ilvl w:val="0"/>
          <w:numId w:val="23"/>
        </w:numPr>
        <w:tabs>
          <w:tab w:val="left" w:pos="709"/>
          <w:tab w:val="left" w:pos="851"/>
        </w:tabs>
        <w:spacing w:after="120" w:line="276" w:lineRule="auto"/>
        <w:jc w:val="both"/>
        <w:rPr>
          <w:rFonts w:ascii="Verdana" w:eastAsia="Calibri" w:hAnsi="Verdana" w:cs="Arial"/>
        </w:rPr>
      </w:pPr>
      <w:r w:rsidRPr="00ED40AB">
        <w:rPr>
          <w:rFonts w:ascii="Verdana" w:eastAsia="Calibri" w:hAnsi="Verdana" w:cs="Arial"/>
        </w:rPr>
        <w:t>Por tanto, se reitera la idea que se está desarrollando, en el sentido de que el documento tipo no estableció la exigencia de la acreditación, durante el procedimiento de selección, del cumplimiento de la obligación legal establecida en el artículo 17 de la Ley 842 de 2003. Además, dicho evento no se encuentra establecido como causal de rechazo de las ofertas y las entidades no pueden incluir nuevas causales distintas a las establecidas en los documentos tipo.</w:t>
      </w:r>
    </w:p>
    <w:p w14:paraId="24D50A3C" w14:textId="77777777" w:rsidR="00ED40AB" w:rsidRPr="00ED40AB" w:rsidRDefault="00ED40AB" w:rsidP="00ED40AB">
      <w:pPr>
        <w:pStyle w:val="Prrafodelista"/>
        <w:rPr>
          <w:rFonts w:ascii="Verdana" w:eastAsia="Calibri" w:hAnsi="Verdana" w:cs="Arial"/>
        </w:rPr>
      </w:pPr>
    </w:p>
    <w:p w14:paraId="6E9B4E65" w14:textId="76A5C522" w:rsidR="00A71022" w:rsidRPr="00ED40AB" w:rsidRDefault="00A71022" w:rsidP="00A71022">
      <w:pPr>
        <w:pStyle w:val="Prrafodelista"/>
        <w:numPr>
          <w:ilvl w:val="0"/>
          <w:numId w:val="23"/>
        </w:numPr>
        <w:tabs>
          <w:tab w:val="left" w:pos="709"/>
          <w:tab w:val="left" w:pos="851"/>
        </w:tabs>
        <w:spacing w:after="120" w:line="276" w:lineRule="auto"/>
        <w:jc w:val="both"/>
        <w:rPr>
          <w:rFonts w:ascii="Verdana" w:eastAsia="Calibri" w:hAnsi="Verdana" w:cs="Arial"/>
        </w:rPr>
      </w:pPr>
      <w:r w:rsidRPr="00ED40AB">
        <w:rPr>
          <w:rFonts w:ascii="Verdana" w:eastAsia="Calibri" w:hAnsi="Verdana" w:cs="Arial"/>
        </w:rPr>
        <w:t xml:space="preserve">En síntesis, como se indicó con anterioridad, en la regulación contenida en el numeral 1.15, que establece las causales de rechazo, no se estableció una exigencia adicional frente a los proponentes para acreditar el cumplimiento de dicho deber. En suma, al aplicar los documentos tipo en sus procesos, se desprenden  las siguientes reglas para las entidades </w:t>
      </w:r>
      <w:r w:rsidRPr="00ED40AB">
        <w:rPr>
          <w:rFonts w:ascii="Verdana" w:eastAsia="Calibri" w:hAnsi="Verdana" w:cs="Arial"/>
        </w:rPr>
        <w:lastRenderedPageBreak/>
        <w:t xml:space="preserve">estatales: i) no pueden incluir nuevas causales de rechazo en sus pliegos de condiciones distintas a las establecidas en los documentos tipo; </w:t>
      </w:r>
      <w:proofErr w:type="spellStart"/>
      <w:r w:rsidRPr="00ED40AB">
        <w:rPr>
          <w:rFonts w:ascii="Verdana" w:eastAsia="Calibri" w:hAnsi="Verdana" w:cs="Arial"/>
        </w:rPr>
        <w:t>ii</w:t>
      </w:r>
      <w:proofErr w:type="spellEnd"/>
      <w:r w:rsidRPr="00ED40AB">
        <w:rPr>
          <w:rFonts w:ascii="Verdana" w:eastAsia="Calibri" w:hAnsi="Verdana" w:cs="Arial"/>
        </w:rPr>
        <w:t xml:space="preserve">) solo pueden modificar los aspectos puntuales de las causales, es decir, los apartes entre corchetes y resaltados en gris; </w:t>
      </w:r>
      <w:proofErr w:type="spellStart"/>
      <w:r w:rsidRPr="00ED40AB">
        <w:rPr>
          <w:rFonts w:ascii="Verdana" w:eastAsia="Calibri" w:hAnsi="Verdana" w:cs="Arial"/>
        </w:rPr>
        <w:t>iii</w:t>
      </w:r>
      <w:proofErr w:type="spellEnd"/>
      <w:r w:rsidRPr="00ED40AB">
        <w:rPr>
          <w:rFonts w:ascii="Verdana" w:eastAsia="Calibri" w:hAnsi="Verdana" w:cs="Arial"/>
        </w:rPr>
        <w:t xml:space="preserve">) teniendo en cuenta el contenido prohibitivo de las causales de rechazo, estas se deben interpretar de forma estricta, evitando realizar interpretaciones extensivas; y </w:t>
      </w:r>
      <w:proofErr w:type="spellStart"/>
      <w:r w:rsidRPr="00ED40AB">
        <w:rPr>
          <w:rFonts w:ascii="Verdana" w:eastAsia="Calibri" w:hAnsi="Verdana" w:cs="Arial"/>
        </w:rPr>
        <w:t>iv</w:t>
      </w:r>
      <w:proofErr w:type="spellEnd"/>
      <w:r w:rsidRPr="00ED40AB">
        <w:rPr>
          <w:rFonts w:ascii="Verdana" w:eastAsia="Calibri" w:hAnsi="Verdana" w:cs="Arial"/>
        </w:rPr>
        <w:t>) las obligaciones legales tienen plena aplicación de acuerdo a su regulación concreta, sin que su ausencia en el documento tipo se pueda interpretar como una autorización para desconocer su exigibilidad, pues aplican por ministerio de la ley, pese a que algunas de ellas no tengan una incidencia concreta en los procedimientos de selección.</w:t>
      </w:r>
    </w:p>
    <w:p w14:paraId="62A73BE2" w14:textId="77777777" w:rsidR="00A71022" w:rsidRPr="00A71022" w:rsidRDefault="00A71022" w:rsidP="00BA1F40">
      <w:pPr>
        <w:pStyle w:val="Prrafodelista"/>
        <w:tabs>
          <w:tab w:val="left" w:pos="426"/>
        </w:tabs>
        <w:spacing w:after="120" w:line="276" w:lineRule="auto"/>
        <w:ind w:left="426"/>
        <w:jc w:val="both"/>
        <w:rPr>
          <w:rFonts w:ascii="Verdana" w:hAnsi="Verdana" w:cs="Arial"/>
          <w:bCs/>
          <w:lang w:eastAsia="es-CO"/>
        </w:rPr>
      </w:pPr>
    </w:p>
    <w:p w14:paraId="0E858B72" w14:textId="77777777" w:rsidR="007D5768" w:rsidRPr="00A37605" w:rsidRDefault="007D5768" w:rsidP="007D5768">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A37605">
        <w:rPr>
          <w:rFonts w:ascii="Verdana" w:eastAsia="Century Gothic" w:hAnsi="Verdana" w:cs="Century Gothic"/>
          <w:b/>
          <w:bCs/>
          <w:lang w:val="es-ES"/>
        </w:rPr>
        <w:t>Referencias normativas, jurisprudenciales y otras fuentes:</w:t>
      </w:r>
    </w:p>
    <w:p w14:paraId="344348A4" w14:textId="77777777" w:rsidR="007D5768" w:rsidRPr="00A37605" w:rsidRDefault="007D5768" w:rsidP="007D5768">
      <w:pPr>
        <w:tabs>
          <w:tab w:val="left" w:pos="142"/>
          <w:tab w:val="left" w:pos="284"/>
        </w:tabs>
        <w:spacing w:after="0" w:line="276" w:lineRule="auto"/>
        <w:jc w:val="both"/>
        <w:rPr>
          <w:rFonts w:ascii="Verdana" w:eastAsia="Century Gothic" w:hAnsi="Verdana" w:cs="Century Gothic"/>
          <w:b/>
          <w:bCs/>
          <w:lang w:val="es-ES"/>
        </w:rPr>
      </w:pPr>
    </w:p>
    <w:tbl>
      <w:tblPr>
        <w:tblStyle w:val="Tablaconcuadrcula1"/>
        <w:tblW w:w="864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0"/>
      </w:tblGrid>
      <w:tr w:rsidR="007D5768" w:rsidRPr="00A37605" w14:paraId="1B0389F5" w14:textId="77777777" w:rsidTr="00E1079D">
        <w:trPr>
          <w:trHeight w:val="870"/>
        </w:trPr>
        <w:tc>
          <w:tcPr>
            <w:tcW w:w="8647" w:type="dxa"/>
            <w:tcBorders>
              <w:top w:val="dotted" w:sz="4" w:space="0" w:color="auto"/>
              <w:left w:val="dotted" w:sz="4" w:space="0" w:color="auto"/>
              <w:bottom w:val="dotted" w:sz="4" w:space="0" w:color="auto"/>
              <w:right w:val="dotted" w:sz="4" w:space="0" w:color="auto"/>
            </w:tcBorders>
          </w:tcPr>
          <w:p w14:paraId="1C62FB38" w14:textId="41B80422" w:rsidR="003E76A2" w:rsidRPr="00DE04EE" w:rsidRDefault="003E76A2" w:rsidP="003E76A2">
            <w:pPr>
              <w:widowControl w:val="0"/>
              <w:numPr>
                <w:ilvl w:val="0"/>
                <w:numId w:val="17"/>
              </w:numPr>
              <w:autoSpaceDE w:val="0"/>
              <w:autoSpaceDN w:val="0"/>
              <w:spacing w:after="120" w:line="276" w:lineRule="auto"/>
              <w:jc w:val="both"/>
              <w:rPr>
                <w:rFonts w:ascii="Verdana" w:hAnsi="Verdana" w:cs="Arial"/>
              </w:rPr>
            </w:pPr>
            <w:r w:rsidRPr="00DE04EE">
              <w:rPr>
                <w:rFonts w:ascii="Verdana" w:hAnsi="Verdana" w:cs="Arial"/>
              </w:rPr>
              <w:t>Ley 80 de 1993</w:t>
            </w:r>
          </w:p>
          <w:p w14:paraId="3E9F980B" w14:textId="12426707" w:rsidR="00DE04EE" w:rsidRPr="00DE04EE" w:rsidRDefault="00DE04EE" w:rsidP="003E76A2">
            <w:pPr>
              <w:widowControl w:val="0"/>
              <w:numPr>
                <w:ilvl w:val="0"/>
                <w:numId w:val="17"/>
              </w:numPr>
              <w:autoSpaceDE w:val="0"/>
              <w:autoSpaceDN w:val="0"/>
              <w:spacing w:after="120" w:line="276" w:lineRule="auto"/>
              <w:jc w:val="both"/>
              <w:rPr>
                <w:rFonts w:ascii="Verdana" w:hAnsi="Verdana" w:cs="Arial"/>
              </w:rPr>
            </w:pPr>
            <w:r w:rsidRPr="00DE04EE">
              <w:rPr>
                <w:rFonts w:ascii="Verdana" w:hAnsi="Verdana" w:cs="Arial"/>
              </w:rPr>
              <w:t>Decreto 1082 de 2015</w:t>
            </w:r>
          </w:p>
          <w:p w14:paraId="49010960" w14:textId="275688CA" w:rsidR="00DE04EE" w:rsidRPr="00DE04EE" w:rsidRDefault="00DE04EE" w:rsidP="003E76A2">
            <w:pPr>
              <w:widowControl w:val="0"/>
              <w:numPr>
                <w:ilvl w:val="0"/>
                <w:numId w:val="17"/>
              </w:numPr>
              <w:autoSpaceDE w:val="0"/>
              <w:autoSpaceDN w:val="0"/>
              <w:spacing w:after="120" w:line="276" w:lineRule="auto"/>
              <w:jc w:val="both"/>
              <w:rPr>
                <w:rFonts w:ascii="Verdana" w:hAnsi="Verdana" w:cs="Arial"/>
              </w:rPr>
            </w:pPr>
            <w:r w:rsidRPr="00DE04EE">
              <w:rPr>
                <w:rFonts w:ascii="Verdana" w:hAnsi="Verdana" w:cs="Arial"/>
              </w:rPr>
              <w:t>Ley 1882 de 2018</w:t>
            </w:r>
          </w:p>
          <w:p w14:paraId="25D5ED76" w14:textId="6AD2874A" w:rsidR="007D5768" w:rsidRPr="00A37605" w:rsidRDefault="00DE04EE" w:rsidP="00247B67">
            <w:pPr>
              <w:widowControl w:val="0"/>
              <w:numPr>
                <w:ilvl w:val="0"/>
                <w:numId w:val="17"/>
              </w:numPr>
              <w:autoSpaceDE w:val="0"/>
              <w:autoSpaceDN w:val="0"/>
              <w:spacing w:after="120" w:line="276" w:lineRule="auto"/>
              <w:jc w:val="both"/>
              <w:rPr>
                <w:rFonts w:ascii="Verdana" w:hAnsi="Verdana" w:cs="Arial"/>
              </w:rPr>
            </w:pPr>
            <w:r w:rsidRPr="00DE04EE">
              <w:rPr>
                <w:rFonts w:ascii="Verdana" w:hAnsi="Verdana" w:cs="Arial"/>
              </w:rPr>
              <w:t xml:space="preserve">Ley 842 de 2003 </w:t>
            </w:r>
          </w:p>
        </w:tc>
      </w:tr>
    </w:tbl>
    <w:p w14:paraId="71D0376B" w14:textId="77777777" w:rsidR="007D5768" w:rsidRPr="00A37605" w:rsidRDefault="007D5768" w:rsidP="007D5768">
      <w:pPr>
        <w:tabs>
          <w:tab w:val="left" w:pos="142"/>
          <w:tab w:val="left" w:pos="284"/>
        </w:tabs>
        <w:spacing w:after="0" w:line="276" w:lineRule="auto"/>
        <w:jc w:val="both"/>
        <w:rPr>
          <w:rFonts w:ascii="Verdana" w:eastAsia="Calibri" w:hAnsi="Verdana" w:cs="Arial"/>
        </w:rPr>
      </w:pPr>
    </w:p>
    <w:p w14:paraId="5BEB05A5" w14:textId="77777777" w:rsidR="007D5768" w:rsidRPr="00A37605" w:rsidRDefault="007D5768" w:rsidP="007D5768">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A37605">
        <w:rPr>
          <w:rFonts w:ascii="Verdana" w:eastAsia="Century Gothic" w:hAnsi="Verdana" w:cs="Century Gothic"/>
          <w:b/>
          <w:bCs/>
          <w:lang w:val="es-ES"/>
        </w:rPr>
        <w:t>Doctrina de la Agencia Nacional de Contratación Pública:</w:t>
      </w:r>
    </w:p>
    <w:p w14:paraId="62447BDB" w14:textId="77777777" w:rsidR="007D5768" w:rsidRPr="00A37605" w:rsidRDefault="007D5768" w:rsidP="007D5768">
      <w:pPr>
        <w:widowControl w:val="0"/>
        <w:autoSpaceDE w:val="0"/>
        <w:autoSpaceDN w:val="0"/>
        <w:spacing w:after="0" w:line="276" w:lineRule="auto"/>
        <w:jc w:val="both"/>
        <w:rPr>
          <w:rFonts w:ascii="Verdana" w:eastAsia="Calibri" w:hAnsi="Verdana" w:cs="Arial"/>
        </w:rPr>
      </w:pPr>
    </w:p>
    <w:p w14:paraId="2D15E488" w14:textId="3BBD9F08" w:rsidR="00987F35" w:rsidRDefault="00987F35" w:rsidP="007D5768">
      <w:pPr>
        <w:widowControl w:val="0"/>
        <w:autoSpaceDE w:val="0"/>
        <w:autoSpaceDN w:val="0"/>
        <w:spacing w:after="0" w:line="276" w:lineRule="auto"/>
        <w:jc w:val="both"/>
        <w:rPr>
          <w:rFonts w:ascii="Verdana" w:eastAsia="Calibri" w:hAnsi="Verdana" w:cs="Arial"/>
          <w:shd w:val="clear" w:color="auto" w:fill="FFFFFF"/>
          <w:lang w:val="es-ES"/>
        </w:rPr>
      </w:pPr>
      <w:r w:rsidRPr="00987F35">
        <w:rPr>
          <w:rFonts w:ascii="Verdana" w:eastAsia="Calibri" w:hAnsi="Verdana" w:cs="Arial"/>
          <w:shd w:val="clear" w:color="auto" w:fill="FFFFFF"/>
          <w:lang w:val="es-ES"/>
        </w:rPr>
        <w:t>La Agencia Nacional de Contratación Pública –Colombia Compra Eficiente– mediante los conceptos con radicados Nos. 2201913000007117 del 25 de septiembre de 2019, 2201913000009538 del 23 de diciembre de 2019, C- 716 del 30 de octubre de 2020 y C096 del 24 de marzo de 2021</w:t>
      </w:r>
      <w:r>
        <w:rPr>
          <w:rFonts w:ascii="Verdana" w:eastAsia="Calibri" w:hAnsi="Verdana" w:cs="Arial"/>
          <w:shd w:val="clear" w:color="auto" w:fill="FFFFFF"/>
          <w:lang w:val="es-ES"/>
        </w:rPr>
        <w:t xml:space="preserve"> y </w:t>
      </w:r>
      <w:r w:rsidRPr="00A502AE">
        <w:rPr>
          <w:rFonts w:ascii="Verdana" w:eastAsia="Calibri" w:hAnsi="Verdana" w:cs="Arial"/>
        </w:rPr>
        <w:t xml:space="preserve">C-156 del 20 de abril de 2021 </w:t>
      </w:r>
      <w:r w:rsidRPr="00987F35">
        <w:rPr>
          <w:rFonts w:ascii="Verdana" w:eastAsia="Calibri" w:hAnsi="Verdana" w:cs="Arial"/>
          <w:shd w:val="clear" w:color="auto" w:fill="FFFFFF"/>
          <w:lang w:val="es-ES"/>
        </w:rPr>
        <w:t>ha señalado que las causales de rechazo de las ofertas establecidas en los documentos tipo</w:t>
      </w:r>
      <w:r w:rsidR="005944D7">
        <w:rPr>
          <w:rFonts w:ascii="Verdana" w:eastAsia="Calibri" w:hAnsi="Verdana" w:cs="Arial"/>
          <w:shd w:val="clear" w:color="auto" w:fill="FFFFFF"/>
          <w:lang w:val="es-ES"/>
        </w:rPr>
        <w:t>.</w:t>
      </w:r>
    </w:p>
    <w:p w14:paraId="6DA064CD" w14:textId="77777777" w:rsidR="00987F35" w:rsidRDefault="00987F35" w:rsidP="007D5768">
      <w:pPr>
        <w:widowControl w:val="0"/>
        <w:autoSpaceDE w:val="0"/>
        <w:autoSpaceDN w:val="0"/>
        <w:spacing w:after="0" w:line="276" w:lineRule="auto"/>
        <w:jc w:val="both"/>
        <w:rPr>
          <w:rFonts w:ascii="Verdana" w:eastAsia="Calibri" w:hAnsi="Verdana" w:cs="Arial"/>
          <w:shd w:val="clear" w:color="auto" w:fill="FFFFFF"/>
          <w:lang w:val="es-ES"/>
        </w:rPr>
      </w:pPr>
    </w:p>
    <w:p w14:paraId="7850767E" w14:textId="04DB4682" w:rsidR="007D5768" w:rsidRPr="00A37605" w:rsidRDefault="007D5768" w:rsidP="007D5768">
      <w:pPr>
        <w:widowControl w:val="0"/>
        <w:autoSpaceDE w:val="0"/>
        <w:autoSpaceDN w:val="0"/>
        <w:spacing w:after="0" w:line="276" w:lineRule="auto"/>
        <w:jc w:val="both"/>
        <w:rPr>
          <w:rFonts w:ascii="Verdana" w:eastAsia="Calibri" w:hAnsi="Verdana" w:cs="Arial"/>
          <w:shd w:val="clear" w:color="auto" w:fill="FFFFFF"/>
          <w:lang w:val="es-ES_tradnl"/>
        </w:rPr>
      </w:pPr>
      <w:r w:rsidRPr="00A37605">
        <w:rPr>
          <w:rFonts w:ascii="Verdana" w:eastAsia="Calibri" w:hAnsi="Verdana" w:cs="Arial"/>
          <w:shd w:val="clear" w:color="auto" w:fill="FFFFFF"/>
          <w:lang w:val="es-ES_tradnl"/>
        </w:rPr>
        <w:t>Algunas de las consideraciones de estos conceptos se reitera</w:t>
      </w:r>
      <w:r w:rsidR="00D46E83">
        <w:rPr>
          <w:rFonts w:ascii="Verdana" w:eastAsia="Calibri" w:hAnsi="Verdana" w:cs="Arial"/>
          <w:shd w:val="clear" w:color="auto" w:fill="FFFFFF"/>
          <w:lang w:val="es-ES_tradnl"/>
        </w:rPr>
        <w:t>ron</w:t>
      </w:r>
      <w:r w:rsidRPr="00A37605">
        <w:rPr>
          <w:rFonts w:ascii="Verdana" w:eastAsia="Calibri" w:hAnsi="Verdana" w:cs="Arial"/>
          <w:shd w:val="clear" w:color="auto" w:fill="FFFFFF"/>
          <w:lang w:val="es-ES_tradnl"/>
        </w:rPr>
        <w:t xml:space="preserve"> y se complementa</w:t>
      </w:r>
      <w:r w:rsidR="00D46E83">
        <w:rPr>
          <w:rFonts w:ascii="Verdana" w:eastAsia="Calibri" w:hAnsi="Verdana" w:cs="Arial"/>
          <w:shd w:val="clear" w:color="auto" w:fill="FFFFFF"/>
          <w:lang w:val="es-ES_tradnl"/>
        </w:rPr>
        <w:t>ron</w:t>
      </w:r>
      <w:r w:rsidRPr="00A37605">
        <w:rPr>
          <w:rFonts w:ascii="Verdana" w:eastAsia="Calibri" w:hAnsi="Verdana" w:cs="Arial"/>
          <w:shd w:val="clear" w:color="auto" w:fill="FFFFFF"/>
          <w:lang w:val="es-ES_tradnl"/>
        </w:rPr>
        <w:t xml:space="preserve"> en lo pertinente para dar respuesta a su consulta.</w:t>
      </w:r>
    </w:p>
    <w:p w14:paraId="41DEBC3B" w14:textId="77777777" w:rsidR="007D5768" w:rsidRDefault="007D5768" w:rsidP="007D5768">
      <w:pPr>
        <w:widowControl w:val="0"/>
        <w:autoSpaceDE w:val="0"/>
        <w:autoSpaceDN w:val="0"/>
        <w:spacing w:after="0" w:line="276" w:lineRule="auto"/>
        <w:jc w:val="both"/>
        <w:rPr>
          <w:rFonts w:ascii="Verdana" w:hAnsi="Verdana" w:cs="Arial"/>
          <w:color w:val="000000" w:themeColor="text1"/>
          <w:shd w:val="clear" w:color="auto" w:fill="FFFFFF"/>
        </w:rPr>
      </w:pPr>
    </w:p>
    <w:p w14:paraId="18E7F209" w14:textId="77777777" w:rsidR="007D5768" w:rsidRDefault="007D5768" w:rsidP="007D5768">
      <w:pPr>
        <w:widowControl w:val="0"/>
        <w:autoSpaceDE w:val="0"/>
        <w:autoSpaceDN w:val="0"/>
        <w:spacing w:after="0" w:line="276" w:lineRule="auto"/>
        <w:jc w:val="both"/>
        <w:rPr>
          <w:rFonts w:ascii="Verdana" w:hAnsi="Verdana" w:cs="Arial"/>
          <w:color w:val="000000" w:themeColor="text1"/>
          <w:shd w:val="clear" w:color="auto" w:fill="FFFFFF"/>
        </w:rPr>
      </w:pPr>
      <w:r w:rsidRPr="00D16885">
        <w:rPr>
          <w:rFonts w:ascii="Verdana" w:hAnsi="Verdana" w:cs="Arial"/>
          <w:color w:val="000000" w:themeColor="text1"/>
          <w:shd w:val="clear" w:color="auto" w:fill="FFFFFF"/>
        </w:rPr>
        <w:t xml:space="preserve">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w:t>
      </w:r>
      <w:r w:rsidRPr="00D16885">
        <w:rPr>
          <w:rFonts w:ascii="Verdana" w:hAnsi="Verdana" w:cs="Arial"/>
          <w:color w:val="000000" w:themeColor="text1"/>
          <w:shd w:val="clear" w:color="auto" w:fill="FFFFFF"/>
        </w:rPr>
        <w:lastRenderedPageBreak/>
        <w:t>través del siguiente enlace: </w:t>
      </w:r>
      <w:hyperlink r:id="rId13" w:tgtFrame="_blank" w:history="1">
        <w:r w:rsidRPr="00D16885">
          <w:rPr>
            <w:rStyle w:val="Hipervnculo"/>
            <w:rFonts w:ascii="Verdana" w:hAnsi="Verdana" w:cs="Arial"/>
            <w:shd w:val="clear" w:color="auto" w:fill="FFFFFF"/>
          </w:rPr>
          <w:t>https://relatoria.colombiacompra.gov.co/</w:t>
        </w:r>
      </w:hyperlink>
      <w:r w:rsidRPr="00D16885">
        <w:rPr>
          <w:rFonts w:ascii="Verdana" w:hAnsi="Verdana" w:cs="Arial"/>
          <w:color w:val="000000" w:themeColor="text1"/>
          <w:shd w:val="clear" w:color="auto" w:fill="FFFFFF"/>
        </w:rPr>
        <w:t>. </w:t>
      </w:r>
    </w:p>
    <w:p w14:paraId="153D0B81" w14:textId="77777777" w:rsidR="007D5768" w:rsidRDefault="007D5768" w:rsidP="007D5768">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61EF0B3C" w14:textId="77777777" w:rsidR="007D5768" w:rsidRDefault="007D5768" w:rsidP="007D5768">
      <w:pPr>
        <w:widowControl w:val="0"/>
        <w:autoSpaceDE w:val="0"/>
        <w:autoSpaceDN w:val="0"/>
        <w:spacing w:after="0" w:line="276" w:lineRule="auto"/>
        <w:jc w:val="both"/>
        <w:rPr>
          <w:rFonts w:ascii="Verdana" w:hAnsi="Verdana"/>
        </w:rPr>
      </w:pPr>
      <w:r w:rsidRPr="00D16885">
        <w:rPr>
          <w:rFonts w:ascii="Verdana" w:hAnsi="Verdana" w:cs="Arial"/>
          <w:color w:val="000000" w:themeColor="text1"/>
          <w:shd w:val="clear" w:color="auto" w:fill="FFFFFF"/>
        </w:rPr>
        <w:t>También te invitamos a consultar las versiones V y VI de 2024 del Boletín de Relatoría de la Subdirección de Gestión Contractual relacionados con las guías de Plan Anual de Adquisiciones y la modalidad de selección de mínima cuantía , los cuales se pueden descargar en la página web de la Agencia: </w:t>
      </w:r>
      <w:hyperlink r:id="rId14" w:tgtFrame="_blank" w:history="1">
        <w:r w:rsidRPr="00D16885">
          <w:rPr>
            <w:rStyle w:val="Hipervnculo"/>
            <w:rFonts w:ascii="Verdana" w:hAnsi="Verdana" w:cs="Arial"/>
            <w:shd w:val="clear" w:color="auto" w:fill="FFFFFF"/>
          </w:rPr>
          <w:t>https://www.colombiacompra.gov.co/sala-de-prensa/boletin-digital</w:t>
        </w:r>
      </w:hyperlink>
      <w:r w:rsidRPr="00D16885">
        <w:rPr>
          <w:rFonts w:ascii="Verdana" w:hAnsi="Verdana" w:cs="Arial"/>
          <w:color w:val="000000" w:themeColor="text1"/>
          <w:shd w:val="clear" w:color="auto" w:fill="FFFFFF"/>
        </w:rPr>
        <w:t>     </w:t>
      </w:r>
    </w:p>
    <w:p w14:paraId="2A8EDF8E" w14:textId="77777777" w:rsidR="007D5768" w:rsidRPr="003E2460" w:rsidRDefault="007D5768" w:rsidP="007D5768">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46230D7F" w14:textId="77777777" w:rsidR="007D5768" w:rsidRPr="003E2460" w:rsidRDefault="007D5768" w:rsidP="007D5768">
      <w:pPr>
        <w:spacing w:after="0" w:line="240" w:lineRule="auto"/>
        <w:jc w:val="both"/>
        <w:rPr>
          <w:rFonts w:ascii="Verdana" w:hAnsi="Verdana"/>
        </w:rPr>
      </w:pPr>
    </w:p>
    <w:p w14:paraId="49C9A2D8" w14:textId="77777777" w:rsidR="007D5768" w:rsidRPr="003E2460" w:rsidRDefault="007D5768" w:rsidP="007D5768">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57790CE9" w14:textId="77777777" w:rsidR="007D5768" w:rsidRPr="003E2460" w:rsidRDefault="007D5768" w:rsidP="007D5768">
      <w:pPr>
        <w:spacing w:after="0" w:line="240" w:lineRule="auto"/>
        <w:jc w:val="both"/>
        <w:rPr>
          <w:rFonts w:ascii="Verdana" w:hAnsi="Verdana"/>
        </w:rPr>
      </w:pPr>
      <w:r w:rsidRPr="003E2460">
        <w:rPr>
          <w:rFonts w:ascii="Verdana" w:hAnsi="Verdana"/>
        </w:rPr>
        <w:t xml:space="preserve">Facebook: </w:t>
      </w:r>
      <w:proofErr w:type="spellStart"/>
      <w:r w:rsidRPr="003E2460">
        <w:rPr>
          <w:rStyle w:val="Hipervnculo"/>
          <w:rFonts w:ascii="Verdana" w:hAnsi="Verdana"/>
          <w:color w:val="4472C4" w:themeColor="accent1"/>
        </w:rPr>
        <w:t>ColombiaCompraEficiente</w:t>
      </w:r>
      <w:proofErr w:type="spellEnd"/>
    </w:p>
    <w:p w14:paraId="59F13BAE" w14:textId="77777777" w:rsidR="007D5768" w:rsidRPr="003E2460" w:rsidRDefault="007D5768" w:rsidP="007D5768">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168B77C7" w14:textId="77777777" w:rsidR="007D5768" w:rsidRPr="00593A5F" w:rsidRDefault="007D5768" w:rsidP="007D5768">
      <w:pPr>
        <w:widowControl w:val="0"/>
        <w:autoSpaceDE w:val="0"/>
        <w:autoSpaceDN w:val="0"/>
        <w:spacing w:after="0" w:line="276" w:lineRule="auto"/>
        <w:jc w:val="both"/>
        <w:rPr>
          <w:rFonts w:ascii="Verdana" w:hAnsi="Verdana" w:cs="Arial"/>
        </w:rPr>
      </w:pPr>
    </w:p>
    <w:p w14:paraId="7F7EC08A" w14:textId="77777777" w:rsidR="007D5768" w:rsidRPr="00593A5F" w:rsidRDefault="007D5768" w:rsidP="007D5768">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3CAD77A0" w14:textId="77777777" w:rsidR="007D5768" w:rsidRPr="00593A5F" w:rsidRDefault="007D5768" w:rsidP="007D5768">
      <w:pPr>
        <w:widowControl w:val="0"/>
        <w:autoSpaceDE w:val="0"/>
        <w:autoSpaceDN w:val="0"/>
        <w:spacing w:after="0" w:line="276" w:lineRule="auto"/>
        <w:jc w:val="both"/>
        <w:rPr>
          <w:rFonts w:ascii="Verdana" w:hAnsi="Verdana" w:cs="Arial"/>
        </w:rPr>
      </w:pPr>
    </w:p>
    <w:p w14:paraId="65D31AF3" w14:textId="77777777" w:rsidR="007D5768" w:rsidRPr="00593A5F" w:rsidRDefault="007D5768" w:rsidP="007D5768">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6EBDD6B5" w14:textId="38A7A52D" w:rsidR="007D5768" w:rsidRDefault="007D5768" w:rsidP="007D5768">
      <w:pPr>
        <w:spacing w:line="276" w:lineRule="auto"/>
        <w:jc w:val="center"/>
        <w:rPr>
          <w:rFonts w:ascii="Verdana" w:hAnsi="Verdana"/>
          <w:noProof/>
        </w:rPr>
      </w:pPr>
    </w:p>
    <w:p w14:paraId="69713C36" w14:textId="5A5B09C7" w:rsidR="003A0B10" w:rsidRPr="003A0B10" w:rsidRDefault="003A0B10" w:rsidP="003A0B10">
      <w:pPr>
        <w:spacing w:line="276" w:lineRule="auto"/>
        <w:jc w:val="center"/>
        <w:rPr>
          <w:rFonts w:ascii="Verdana" w:hAnsi="Verdana"/>
          <w:noProof/>
          <w:color w:val="000000"/>
          <w:lang w:eastAsia="es-CO"/>
        </w:rPr>
      </w:pPr>
      <w:r w:rsidRPr="003A0B10">
        <w:rPr>
          <w:rFonts w:ascii="Verdana" w:hAnsi="Verdana"/>
          <w:noProof/>
          <w:color w:val="000000"/>
          <w:lang w:eastAsia="es-CO"/>
        </w:rPr>
        <w:drawing>
          <wp:inline distT="0" distB="0" distL="0" distR="0" wp14:anchorId="7D98C958" wp14:editId="55E59582">
            <wp:extent cx="3594485" cy="1543050"/>
            <wp:effectExtent l="0" t="0" r="6350" b="0"/>
            <wp:docPr id="74025045" name="Imagen 5"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25045" name="Imagen 5" descr="Texto&#10;&#10;Descripción generada automáticamente con confianza baj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3588" cy="1546958"/>
                    </a:xfrm>
                    <a:prstGeom prst="rect">
                      <a:avLst/>
                    </a:prstGeom>
                    <a:noFill/>
                    <a:ln>
                      <a:noFill/>
                    </a:ln>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7D5768" w:rsidRPr="00593A5F" w14:paraId="31D06E98" w14:textId="77777777" w:rsidTr="00E1079D">
        <w:trPr>
          <w:trHeight w:val="315"/>
        </w:trPr>
        <w:tc>
          <w:tcPr>
            <w:tcW w:w="893" w:type="dxa"/>
            <w:vAlign w:val="center"/>
            <w:hideMark/>
          </w:tcPr>
          <w:p w14:paraId="03E2D651" w14:textId="77777777" w:rsidR="007D5768" w:rsidRPr="003751C7" w:rsidRDefault="007D5768" w:rsidP="00E1079D">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30449EF1" w14:textId="77777777" w:rsidR="007D5768" w:rsidRPr="002B5168" w:rsidRDefault="007D5768" w:rsidP="00E1079D">
            <w:pPr>
              <w:contextualSpacing/>
              <w:rPr>
                <w:rFonts w:ascii="Verdana" w:eastAsia="Arial" w:hAnsi="Verdana" w:cs="Arial"/>
                <w:color w:val="7030A0"/>
                <w:sz w:val="16"/>
                <w:szCs w:val="16"/>
              </w:rPr>
            </w:pPr>
            <w:r w:rsidRPr="002B5168">
              <w:rPr>
                <w:rStyle w:val="normaltextrun"/>
                <w:rFonts w:ascii="Verdana" w:hAnsi="Verdana"/>
                <w:sz w:val="16"/>
                <w:szCs w:val="16"/>
              </w:rPr>
              <w:t>Christian Camilo Orjuela Galeano</w:t>
            </w:r>
          </w:p>
          <w:p w14:paraId="53926242" w14:textId="77777777" w:rsidR="007D5768" w:rsidRPr="002B5168" w:rsidRDefault="007D5768" w:rsidP="00E1079D">
            <w:pPr>
              <w:contextualSpacing/>
              <w:rPr>
                <w:rFonts w:ascii="Verdana" w:eastAsia="Arial" w:hAnsi="Verdana" w:cs="Arial"/>
                <w:sz w:val="16"/>
                <w:szCs w:val="16"/>
              </w:rPr>
            </w:pPr>
            <w:r w:rsidRPr="002B5168">
              <w:rPr>
                <w:rStyle w:val="normaltextrun"/>
                <w:rFonts w:ascii="Verdana" w:eastAsia="Arial" w:hAnsi="Verdana" w:cs="Arial"/>
                <w:sz w:val="16"/>
                <w:szCs w:val="16"/>
              </w:rPr>
              <w:t>Contratista de la Subdirección de Gestión Contractual</w:t>
            </w:r>
          </w:p>
        </w:tc>
      </w:tr>
      <w:tr w:rsidR="007D5768" w:rsidRPr="00593A5F" w14:paraId="7860D780" w14:textId="77777777" w:rsidTr="00E1079D">
        <w:trPr>
          <w:trHeight w:val="330"/>
        </w:trPr>
        <w:tc>
          <w:tcPr>
            <w:tcW w:w="893" w:type="dxa"/>
            <w:vAlign w:val="center"/>
            <w:hideMark/>
          </w:tcPr>
          <w:p w14:paraId="242F9749" w14:textId="77777777" w:rsidR="007D5768" w:rsidRPr="003751C7" w:rsidRDefault="007D5768" w:rsidP="00E1079D">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5DBD3FDA" w14:textId="0FF6ADBE" w:rsidR="003E76A2" w:rsidRDefault="005944D7" w:rsidP="00E1079D">
            <w:pPr>
              <w:pStyle w:val="paragraph"/>
              <w:spacing w:before="0" w:beforeAutospacing="0" w:after="0" w:afterAutospacing="0"/>
              <w:contextualSpacing/>
              <w:textAlignment w:val="baseline"/>
              <w:rPr>
                <w:rStyle w:val="normaltextrun"/>
                <w:rFonts w:ascii="Verdana" w:hAnsi="Verdana" w:cstheme="minorHAnsi"/>
                <w:sz w:val="16"/>
                <w:szCs w:val="16"/>
              </w:rPr>
            </w:pPr>
            <w:r>
              <w:rPr>
                <w:rStyle w:val="normaltextrun"/>
                <w:rFonts w:ascii="Verdana" w:hAnsi="Verdana" w:cstheme="minorHAnsi"/>
                <w:sz w:val="16"/>
                <w:szCs w:val="16"/>
              </w:rPr>
              <w:t xml:space="preserve">Adriana Katerina  </w:t>
            </w:r>
          </w:p>
          <w:p w14:paraId="2BBC7853" w14:textId="6EF590B4" w:rsidR="007D5768" w:rsidRPr="002B5168" w:rsidRDefault="00D46E83" w:rsidP="00E1079D">
            <w:pPr>
              <w:pStyle w:val="paragraph"/>
              <w:spacing w:before="0" w:beforeAutospacing="0" w:after="0" w:afterAutospacing="0"/>
              <w:contextualSpacing/>
              <w:textAlignment w:val="baseline"/>
              <w:rPr>
                <w:rFonts w:ascii="Verdana" w:hAnsi="Verdana" w:cs="Segoe UI"/>
                <w:sz w:val="16"/>
                <w:szCs w:val="16"/>
              </w:rPr>
            </w:pPr>
            <w:r w:rsidRPr="00D46E83">
              <w:rPr>
                <w:rStyle w:val="normaltextrun"/>
                <w:rFonts w:ascii="Verdana" w:eastAsia="Arial" w:hAnsi="Verdana" w:cs="Arial"/>
                <w:sz w:val="16"/>
                <w:szCs w:val="16"/>
              </w:rPr>
              <w:t>C</w:t>
            </w:r>
            <w:r w:rsidRPr="00D46E83">
              <w:rPr>
                <w:rStyle w:val="normaltextrun"/>
                <w:rFonts w:ascii="Verdana" w:eastAsia="Arial" w:hAnsi="Verdana"/>
                <w:sz w:val="16"/>
                <w:szCs w:val="16"/>
              </w:rPr>
              <w:t xml:space="preserve">ontratista </w:t>
            </w:r>
            <w:r w:rsidR="007D5768" w:rsidRPr="002B5168">
              <w:rPr>
                <w:rStyle w:val="normaltextrun"/>
                <w:rFonts w:ascii="Verdana" w:eastAsia="Arial" w:hAnsi="Verdana" w:cs="Arial"/>
                <w:sz w:val="16"/>
                <w:szCs w:val="16"/>
              </w:rPr>
              <w:t>Subdirección de Gestión Contractual</w:t>
            </w:r>
          </w:p>
        </w:tc>
      </w:tr>
      <w:tr w:rsidR="007D5768" w:rsidRPr="00593A5F" w14:paraId="2DB10D30" w14:textId="77777777" w:rsidTr="00E1079D">
        <w:trPr>
          <w:trHeight w:val="300"/>
        </w:trPr>
        <w:tc>
          <w:tcPr>
            <w:tcW w:w="893" w:type="dxa"/>
            <w:vAlign w:val="center"/>
          </w:tcPr>
          <w:p w14:paraId="3638310D" w14:textId="77777777" w:rsidR="007D5768" w:rsidRPr="003751C7" w:rsidRDefault="007D5768" w:rsidP="00E1079D">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24BE9AC3" w14:textId="77777777" w:rsidR="007D5768" w:rsidRPr="002B5168" w:rsidRDefault="007D5768" w:rsidP="00E1079D">
            <w:pPr>
              <w:contextualSpacing/>
              <w:rPr>
                <w:rFonts w:ascii="Verdana" w:eastAsia="Calibri" w:hAnsi="Verdana" w:cs="Arial"/>
                <w:sz w:val="16"/>
                <w:szCs w:val="16"/>
                <w:lang w:val="pt-BR" w:eastAsia="es-ES"/>
              </w:rPr>
            </w:pPr>
            <w:r w:rsidRPr="002B5168">
              <w:rPr>
                <w:rFonts w:ascii="Verdana" w:eastAsia="Calibri" w:hAnsi="Verdana" w:cs="Arial"/>
                <w:sz w:val="16"/>
                <w:szCs w:val="16"/>
                <w:lang w:val="pt-BR" w:eastAsia="es-ES"/>
              </w:rPr>
              <w:t xml:space="preserve">Carolina Quintero </w:t>
            </w:r>
            <w:proofErr w:type="spellStart"/>
            <w:r w:rsidRPr="002B5168">
              <w:rPr>
                <w:rFonts w:ascii="Verdana" w:eastAsia="Calibri" w:hAnsi="Verdana" w:cs="Arial"/>
                <w:sz w:val="16"/>
                <w:szCs w:val="16"/>
                <w:lang w:val="pt-BR" w:eastAsia="es-ES"/>
              </w:rPr>
              <w:t>Gacharná</w:t>
            </w:r>
            <w:proofErr w:type="spellEnd"/>
          </w:p>
          <w:p w14:paraId="3F43F8EA" w14:textId="6AA50F11" w:rsidR="007D5768" w:rsidRPr="002B5168" w:rsidRDefault="007D5768" w:rsidP="00E1079D">
            <w:pPr>
              <w:contextualSpacing/>
              <w:rPr>
                <w:rFonts w:ascii="Verdana" w:eastAsia="Calibri" w:hAnsi="Verdana" w:cs="Arial"/>
                <w:sz w:val="16"/>
                <w:szCs w:val="16"/>
                <w:lang w:val="pt-BR" w:eastAsia="es-ES"/>
              </w:rPr>
            </w:pPr>
            <w:r w:rsidRPr="002B5168">
              <w:rPr>
                <w:rFonts w:ascii="Verdana" w:eastAsia="Calibri" w:hAnsi="Verdana" w:cs="Arial"/>
                <w:sz w:val="16"/>
                <w:szCs w:val="16"/>
                <w:lang w:eastAsia="es-ES"/>
              </w:rPr>
              <w:t>Subdirectora</w:t>
            </w:r>
            <w:r w:rsidRPr="002B5168">
              <w:rPr>
                <w:rFonts w:ascii="Verdana" w:eastAsia="Calibri" w:hAnsi="Verdana" w:cs="Arial"/>
                <w:sz w:val="16"/>
                <w:szCs w:val="16"/>
                <w:lang w:val="pt-BR" w:eastAsia="es-ES"/>
              </w:rPr>
              <w:t xml:space="preserve"> de Gestión </w:t>
            </w:r>
            <w:r w:rsidR="003E76A2" w:rsidRPr="002B5168">
              <w:rPr>
                <w:rFonts w:ascii="Verdana" w:eastAsia="Calibri" w:hAnsi="Verdana" w:cs="Arial"/>
                <w:sz w:val="16"/>
                <w:szCs w:val="16"/>
                <w:lang w:val="pt-BR" w:eastAsia="es-ES"/>
              </w:rPr>
              <w:t>Contratual</w:t>
            </w:r>
            <w:r w:rsidRPr="002B5168">
              <w:rPr>
                <w:rFonts w:ascii="Verdana" w:eastAsia="Calibri" w:hAnsi="Verdana" w:cs="Arial"/>
                <w:sz w:val="16"/>
                <w:szCs w:val="16"/>
                <w:lang w:val="pt-BR" w:eastAsia="es-ES"/>
              </w:rPr>
              <w:t xml:space="preserve"> ANCP – CCE</w:t>
            </w:r>
          </w:p>
        </w:tc>
      </w:tr>
      <w:bookmarkEnd w:id="1"/>
      <w:bookmarkEnd w:id="2"/>
    </w:tbl>
    <w:p w14:paraId="7C53BEA7" w14:textId="77777777" w:rsidR="007D5768" w:rsidRPr="00593A5F" w:rsidRDefault="007D5768" w:rsidP="007D5768">
      <w:pPr>
        <w:spacing w:after="0" w:line="240" w:lineRule="auto"/>
        <w:rPr>
          <w:rFonts w:ascii="Verdana" w:eastAsia="Times New Roman" w:hAnsi="Verdana" w:cs="Arial"/>
          <w:sz w:val="24"/>
          <w:szCs w:val="24"/>
          <w:lang w:eastAsia="es-ES"/>
        </w:rPr>
      </w:pPr>
    </w:p>
    <w:bookmarkEnd w:id="0"/>
    <w:p w14:paraId="0465BA6D" w14:textId="7F9323A6" w:rsidR="00E245AB" w:rsidRPr="0044528D" w:rsidRDefault="00E245AB" w:rsidP="00E245AB">
      <w:pPr>
        <w:spacing w:after="0"/>
        <w:rPr>
          <w:rFonts w:ascii="Verdana" w:hAnsi="Verdana"/>
        </w:rPr>
      </w:pPr>
    </w:p>
    <w:sectPr w:rsidR="00E245AB" w:rsidRPr="0044528D"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32D2C" w14:textId="77777777" w:rsidR="00160006" w:rsidRDefault="00160006" w:rsidP="004A1847">
      <w:pPr>
        <w:spacing w:after="0" w:line="240" w:lineRule="auto"/>
      </w:pPr>
      <w:r>
        <w:separator/>
      </w:r>
    </w:p>
  </w:endnote>
  <w:endnote w:type="continuationSeparator" w:id="0">
    <w:p w14:paraId="65969107" w14:textId="77777777" w:rsidR="00160006" w:rsidRDefault="00160006"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0A3E5" w14:textId="77777777" w:rsidR="00160006" w:rsidRDefault="00160006" w:rsidP="004A1847">
      <w:pPr>
        <w:spacing w:after="0" w:line="240" w:lineRule="auto"/>
      </w:pPr>
      <w:r>
        <w:separator/>
      </w:r>
    </w:p>
  </w:footnote>
  <w:footnote w:type="continuationSeparator" w:id="0">
    <w:p w14:paraId="17720122" w14:textId="77777777" w:rsidR="00160006" w:rsidRDefault="00160006" w:rsidP="004A1847">
      <w:pPr>
        <w:spacing w:after="0" w:line="240" w:lineRule="auto"/>
      </w:pPr>
      <w:r>
        <w:continuationSeparator/>
      </w:r>
    </w:p>
  </w:footnote>
  <w:footnote w:id="1">
    <w:p w14:paraId="571B651D" w14:textId="77777777" w:rsidR="00A71022" w:rsidRPr="00DE04EE" w:rsidRDefault="00A71022" w:rsidP="00DE04EE">
      <w:pPr>
        <w:pStyle w:val="Car1"/>
        <w:jc w:val="both"/>
        <w:rPr>
          <w:rFonts w:ascii="Verdana" w:hAnsi="Verdana" w:cs="Arial"/>
          <w:sz w:val="16"/>
          <w:szCs w:val="16"/>
        </w:rPr>
      </w:pPr>
      <w:r w:rsidRPr="00DE04EE">
        <w:rPr>
          <w:rStyle w:val="Refdenotaalpie"/>
          <w:rFonts w:ascii="Verdana" w:hAnsi="Verdana" w:cs="Arial"/>
          <w:sz w:val="16"/>
          <w:szCs w:val="16"/>
        </w:rPr>
        <w:footnoteRef/>
      </w:r>
      <w:r w:rsidRPr="00DE04EE">
        <w:rPr>
          <w:rFonts w:ascii="Verdana" w:hAnsi="Verdana" w:cs="Arial"/>
          <w:sz w:val="16"/>
          <w:szCs w:val="16"/>
        </w:rPr>
        <w:t xml:space="preserve"> Los artículos 2.2.1.2.6.1.2. del Decreto 1082 de 2015 y 1 de la Resolución No 240 de 2020 coinciden en señalar que los Documentos Tipo están constituidos por el documento base del pliego tipo, sus anexos, formatos, matrices y formularios; por su parte, el ANEXO 3 – GLOSARIO de los Documentos Tipo para los procesos de selección de licitación de obra pública Versión 3 señala estos    « […] incorporan los Pliegos de Condiciones Tipo, sus anexos, matrices y demás documentos que incluyen las condiciones habilitantes, factores técnicos, económicos y otros factores de escogencia».</w:t>
      </w:r>
    </w:p>
  </w:footnote>
  <w:footnote w:id="2">
    <w:p w14:paraId="5102DD14" w14:textId="386FF7FB" w:rsidR="00A71022" w:rsidRPr="00DE04EE" w:rsidRDefault="00A71022" w:rsidP="00DE04EE">
      <w:pPr>
        <w:pStyle w:val="Car1"/>
        <w:jc w:val="both"/>
        <w:rPr>
          <w:rFonts w:ascii="Verdana" w:hAnsi="Verdana" w:cs="Arial"/>
          <w:sz w:val="16"/>
          <w:szCs w:val="16"/>
        </w:rPr>
      </w:pPr>
      <w:r w:rsidRPr="00DE04EE">
        <w:rPr>
          <w:rStyle w:val="Refdenotaalpie"/>
          <w:rFonts w:ascii="Verdana" w:hAnsi="Verdana" w:cs="Arial"/>
          <w:sz w:val="16"/>
          <w:szCs w:val="16"/>
        </w:rPr>
        <w:footnoteRef/>
      </w:r>
      <w:r w:rsidR="00DE04EE" w:rsidRPr="00DE04EE">
        <w:rPr>
          <w:rFonts w:ascii="Verdana" w:hAnsi="Verdana" w:cs="Arial"/>
          <w:sz w:val="16"/>
          <w:szCs w:val="16"/>
        </w:rPr>
        <w:t xml:space="preserve"> Modificada por la Resolución 275 de 2022</w:t>
      </w:r>
    </w:p>
  </w:footnote>
  <w:footnote w:id="3">
    <w:p w14:paraId="75E83668" w14:textId="61A8D2AB" w:rsidR="00A71022" w:rsidRPr="00DE04EE" w:rsidRDefault="00A71022" w:rsidP="00DE04EE">
      <w:pPr>
        <w:pStyle w:val="Car1"/>
        <w:jc w:val="both"/>
        <w:rPr>
          <w:rFonts w:ascii="Verdana" w:hAnsi="Verdana" w:cs="Arial"/>
          <w:sz w:val="16"/>
          <w:szCs w:val="16"/>
        </w:rPr>
      </w:pPr>
      <w:r w:rsidRPr="00DE04EE">
        <w:rPr>
          <w:rStyle w:val="Refdenotaalpie"/>
          <w:rFonts w:ascii="Verdana" w:hAnsi="Verdana" w:cs="Arial"/>
          <w:sz w:val="16"/>
          <w:szCs w:val="16"/>
        </w:rPr>
        <w:footnoteRef/>
      </w:r>
      <w:r w:rsidRPr="00DE04EE">
        <w:rPr>
          <w:rFonts w:ascii="Verdana" w:hAnsi="Verdana" w:cs="Arial"/>
          <w:sz w:val="16"/>
          <w:szCs w:val="16"/>
        </w:rPr>
        <w:t xml:space="preserve"> Los artículos 2 y 3 de la Resolución 240 del 27 de noviembre de 2020 establecen: </w:t>
      </w:r>
      <w:r w:rsidR="00DE04EE" w:rsidRPr="00DE04EE">
        <w:rPr>
          <w:rFonts w:ascii="Verdana" w:hAnsi="Verdana" w:cs="Arial"/>
          <w:sz w:val="16"/>
          <w:szCs w:val="16"/>
        </w:rPr>
        <w:t>“</w:t>
      </w:r>
      <w:r w:rsidRPr="00DE04EE">
        <w:rPr>
          <w:rFonts w:ascii="Verdana" w:hAnsi="Verdana" w:cs="Arial"/>
          <w:sz w:val="16"/>
          <w:szCs w:val="16"/>
        </w:rPr>
        <w:t>Artículo 2. OBLIGATORIEDAD. Los Documentos Tipo contienen parámetros obligatorios para las entidades estatales sometidas al Estatuto General de Contratación de la Administración Pública que adelanten procesos de selección de licitación de obra pública de infraestructura de transporte de acuerdo con lo establecido en los Documentos Tipo</w:t>
      </w:r>
      <w:r w:rsidR="00DE04EE" w:rsidRPr="00DE04EE">
        <w:rPr>
          <w:rFonts w:ascii="Verdana" w:hAnsi="Verdana" w:cs="Arial"/>
          <w:sz w:val="16"/>
          <w:szCs w:val="16"/>
        </w:rPr>
        <w:t>”</w:t>
      </w:r>
      <w:r w:rsidRPr="00DE04EE">
        <w:rPr>
          <w:rFonts w:ascii="Verdana" w:hAnsi="Verdana" w:cs="Arial"/>
          <w:sz w:val="16"/>
          <w:szCs w:val="16"/>
        </w:rPr>
        <w:t>.</w:t>
      </w:r>
    </w:p>
    <w:p w14:paraId="687C346E" w14:textId="2996A1FE" w:rsidR="00A71022" w:rsidRPr="00DE04EE" w:rsidRDefault="00DE04EE" w:rsidP="00DE04EE">
      <w:pPr>
        <w:pStyle w:val="Car1"/>
        <w:jc w:val="both"/>
        <w:rPr>
          <w:rFonts w:ascii="Verdana" w:hAnsi="Verdana" w:cs="Arial"/>
          <w:sz w:val="16"/>
          <w:szCs w:val="16"/>
        </w:rPr>
      </w:pPr>
      <w:r w:rsidRPr="00DE04EE">
        <w:rPr>
          <w:rFonts w:ascii="Verdana" w:hAnsi="Verdana" w:cs="Arial"/>
          <w:sz w:val="16"/>
          <w:szCs w:val="16"/>
        </w:rPr>
        <w:t>“</w:t>
      </w:r>
      <w:r w:rsidR="00A71022" w:rsidRPr="00DE04EE">
        <w:rPr>
          <w:rFonts w:ascii="Verdana" w:hAnsi="Verdana" w:cs="Arial"/>
          <w:sz w:val="16"/>
          <w:szCs w:val="16"/>
        </w:rPr>
        <w:t>Artículo 3. INALTERABILIDAD DE LOS DOCUMENTOS TIPO. Las Entidades estatales contratantes no podrán incluir o modificar dentro de los documentos del proceso las condiciones habilitantes, los factores técnicos y económicos de escogencia y los sistemas de ponderación que han sido definidos y señalados en los Documentos Tipo</w:t>
      </w:r>
      <w:r w:rsidRPr="00DE04EE">
        <w:rPr>
          <w:rFonts w:ascii="Verdana" w:hAnsi="Verdana" w:cs="Arial"/>
          <w:sz w:val="16"/>
          <w:szCs w:val="16"/>
        </w:rPr>
        <w:t>”</w:t>
      </w:r>
      <w:r w:rsidR="00A71022" w:rsidRPr="00DE04EE">
        <w:rPr>
          <w:rFonts w:ascii="Verdana" w:hAnsi="Verdana" w:cs="Arial"/>
          <w:sz w:val="16"/>
          <w:szCs w:val="16"/>
        </w:rPr>
        <w:t>.</w:t>
      </w:r>
    </w:p>
  </w:footnote>
  <w:footnote w:id="4">
    <w:p w14:paraId="7FF45B84" w14:textId="77777777" w:rsidR="00A71022" w:rsidRPr="00DE04EE" w:rsidRDefault="00A71022" w:rsidP="00DE04EE">
      <w:pPr>
        <w:pStyle w:val="Textonotapie"/>
        <w:jc w:val="both"/>
        <w:rPr>
          <w:rFonts w:ascii="Verdana" w:hAnsi="Verdana" w:cs="Arial"/>
          <w:sz w:val="16"/>
          <w:szCs w:val="16"/>
        </w:rPr>
      </w:pPr>
      <w:r w:rsidRPr="00DE04EE">
        <w:rPr>
          <w:rStyle w:val="Refdenotaalpie"/>
          <w:rFonts w:ascii="Verdana" w:hAnsi="Verdana" w:cs="Arial"/>
          <w:sz w:val="16"/>
          <w:szCs w:val="16"/>
        </w:rPr>
        <w:footnoteRef/>
      </w:r>
      <w:r w:rsidRPr="00DE04EE">
        <w:rPr>
          <w:rFonts w:ascii="Verdana" w:hAnsi="Verdana" w:cs="Arial"/>
          <w:sz w:val="16"/>
          <w:szCs w:val="16"/>
        </w:rPr>
        <w:t xml:space="preserve"> El artículo 20 de la Ley 842 de 2003 establece: «Artículo 20. Propuestas y contratos. Las propuestas que se formulen en las licitaciones y concursos abiertos por entidades públicas del orden nacional, seccional o local, para la adjudicación de contratos cuyo objeto implique el desarrollo de las actividades catalogadas como ejercicio de la ingeniería, deberán estar avalados, en todo caso, cuando menos, por un ingeniero inscrito y con tarjeta de matrícula profesional en la respectiva rama de la ingeniería.</w:t>
      </w:r>
    </w:p>
    <w:p w14:paraId="5C67C4F2" w14:textId="35D27CFA" w:rsidR="00A71022" w:rsidRPr="00DE04EE" w:rsidRDefault="00DE04EE" w:rsidP="00DE04EE">
      <w:pPr>
        <w:pStyle w:val="Textonotapie"/>
        <w:jc w:val="both"/>
        <w:rPr>
          <w:rFonts w:ascii="Verdana" w:hAnsi="Verdana" w:cs="Arial"/>
          <w:sz w:val="16"/>
          <w:szCs w:val="16"/>
        </w:rPr>
      </w:pPr>
      <w:r w:rsidRPr="00DE04EE">
        <w:rPr>
          <w:rFonts w:ascii="Verdana" w:hAnsi="Verdana" w:cs="Arial"/>
          <w:sz w:val="16"/>
          <w:szCs w:val="16"/>
        </w:rPr>
        <w:t>“</w:t>
      </w:r>
      <w:r w:rsidR="00A71022" w:rsidRPr="00DE04EE">
        <w:rPr>
          <w:rFonts w:ascii="Verdana" w:hAnsi="Verdana" w:cs="Arial"/>
          <w:sz w:val="16"/>
          <w:szCs w:val="16"/>
        </w:rPr>
        <w:t>En los contratos que se celebren como resultado de la licitación o del concurso, los contratistas tendrán la obligación de encomendar los estudios, la dirección técnica, la ejecución de los trabajos o la interventoría, a profesionales inscritos en el registro profesional de ingeniería, acreditados con la tarjeta de matrícula profesional o, excepcionalmente, con la constancia o certificado de su vigencia.</w:t>
      </w:r>
    </w:p>
    <w:p w14:paraId="13FB6AA2" w14:textId="751D7691" w:rsidR="00A71022" w:rsidRPr="00E032C8" w:rsidRDefault="00DE04EE" w:rsidP="00DE04EE">
      <w:pPr>
        <w:pStyle w:val="Textonotapie"/>
        <w:jc w:val="both"/>
        <w:rPr>
          <w:rFonts w:ascii="Arial" w:hAnsi="Arial" w:cs="Arial"/>
          <w:sz w:val="19"/>
          <w:szCs w:val="19"/>
        </w:rPr>
      </w:pPr>
      <w:r w:rsidRPr="00DE04EE">
        <w:rPr>
          <w:rFonts w:ascii="Verdana" w:hAnsi="Verdana" w:cs="Arial"/>
          <w:sz w:val="16"/>
          <w:szCs w:val="16"/>
        </w:rPr>
        <w:t>“</w:t>
      </w:r>
      <w:r w:rsidR="00A71022" w:rsidRPr="00DE04EE">
        <w:rPr>
          <w:rFonts w:ascii="Verdana" w:hAnsi="Verdana" w:cs="Arial"/>
          <w:sz w:val="16"/>
          <w:szCs w:val="16"/>
        </w:rPr>
        <w:t>PARÁGRAFO. Lo dispuesto en este artículo se aplicará en todas sus partes, tanto a las propuestas que se presenten, como a los contratos de igual naturaleza y que, con el mismo objetivo, se celebren con las sociedades de economía mixta y con los establecimientos públicos y empresas industriales o comerciales del orden nacional, departamental, distrital o municipal y aquellas descentralizadas por servicios».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2" type="#_x0000_t75" style="width:10.9pt;height:10.9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02A1540"/>
    <w:multiLevelType w:val="hybridMultilevel"/>
    <w:tmpl w:val="365268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21405AE"/>
    <w:multiLevelType w:val="hybridMultilevel"/>
    <w:tmpl w:val="7BD406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8928FE"/>
    <w:multiLevelType w:val="hybridMultilevel"/>
    <w:tmpl w:val="86F852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F56725"/>
    <w:multiLevelType w:val="hybridMultilevel"/>
    <w:tmpl w:val="CD9EC042"/>
    <w:lvl w:ilvl="0" w:tplc="4B7C50CA">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52135D5B"/>
    <w:multiLevelType w:val="hybridMultilevel"/>
    <w:tmpl w:val="465A6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5"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471CDA"/>
    <w:multiLevelType w:val="hybridMultilevel"/>
    <w:tmpl w:val="FF68D4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376794"/>
    <w:multiLevelType w:val="hybridMultilevel"/>
    <w:tmpl w:val="14E62B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48779781">
    <w:abstractNumId w:val="9"/>
  </w:num>
  <w:num w:numId="2" w16cid:durableId="19822139">
    <w:abstractNumId w:val="2"/>
  </w:num>
  <w:num w:numId="3" w16cid:durableId="876742304">
    <w:abstractNumId w:val="7"/>
  </w:num>
  <w:num w:numId="4" w16cid:durableId="245186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8"/>
  </w:num>
  <w:num w:numId="7" w16cid:durableId="1946422806">
    <w:abstractNumId w:val="8"/>
  </w:num>
  <w:num w:numId="8" w16cid:durableId="152644682">
    <w:abstractNumId w:val="16"/>
  </w:num>
  <w:num w:numId="9" w16cid:durableId="1317221377">
    <w:abstractNumId w:val="10"/>
  </w:num>
  <w:num w:numId="10" w16cid:durableId="1471245386">
    <w:abstractNumId w:val="15"/>
  </w:num>
  <w:num w:numId="11" w16cid:durableId="289172385">
    <w:abstractNumId w:val="11"/>
  </w:num>
  <w:num w:numId="12" w16cid:durableId="1470781324">
    <w:abstractNumId w:val="1"/>
  </w:num>
  <w:num w:numId="13" w16cid:durableId="1512908409">
    <w:abstractNumId w:val="5"/>
  </w:num>
  <w:num w:numId="14" w16cid:durableId="895897244">
    <w:abstractNumId w:val="19"/>
  </w:num>
  <w:num w:numId="15" w16cid:durableId="390349800">
    <w:abstractNumId w:val="14"/>
  </w:num>
  <w:num w:numId="16" w16cid:durableId="1380713882">
    <w:abstractNumId w:val="0"/>
  </w:num>
  <w:num w:numId="17" w16cid:durableId="1528370592">
    <w:abstractNumId w:val="17"/>
  </w:num>
  <w:num w:numId="18" w16cid:durableId="1827160323">
    <w:abstractNumId w:val="13"/>
  </w:num>
  <w:num w:numId="19" w16cid:durableId="1341393406">
    <w:abstractNumId w:val="4"/>
  </w:num>
  <w:num w:numId="20" w16cid:durableId="1044253173">
    <w:abstractNumId w:val="6"/>
  </w:num>
  <w:num w:numId="21" w16cid:durableId="289018737">
    <w:abstractNumId w:val="20"/>
  </w:num>
  <w:num w:numId="22" w16cid:durableId="1717243718">
    <w:abstractNumId w:val="12"/>
  </w:num>
  <w:num w:numId="23" w16cid:durableId="1983345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1AF1"/>
    <w:rsid w:val="00002BA0"/>
    <w:rsid w:val="00061B2A"/>
    <w:rsid w:val="000716C3"/>
    <w:rsid w:val="00071E34"/>
    <w:rsid w:val="00082362"/>
    <w:rsid w:val="000A683E"/>
    <w:rsid w:val="000B19B9"/>
    <w:rsid w:val="000C3898"/>
    <w:rsid w:val="000D0334"/>
    <w:rsid w:val="000F6486"/>
    <w:rsid w:val="00125105"/>
    <w:rsid w:val="00127233"/>
    <w:rsid w:val="00160006"/>
    <w:rsid w:val="001B2F75"/>
    <w:rsid w:val="001E4177"/>
    <w:rsid w:val="001F0FB2"/>
    <w:rsid w:val="001F6D8D"/>
    <w:rsid w:val="001F7DC6"/>
    <w:rsid w:val="00210DEE"/>
    <w:rsid w:val="002421BB"/>
    <w:rsid w:val="00247B67"/>
    <w:rsid w:val="00251320"/>
    <w:rsid w:val="0025398C"/>
    <w:rsid w:val="0025796E"/>
    <w:rsid w:val="00264DFB"/>
    <w:rsid w:val="002707A2"/>
    <w:rsid w:val="00272513"/>
    <w:rsid w:val="002951A0"/>
    <w:rsid w:val="002962BC"/>
    <w:rsid w:val="002A093D"/>
    <w:rsid w:val="002A0DD0"/>
    <w:rsid w:val="002A4677"/>
    <w:rsid w:val="002A49AC"/>
    <w:rsid w:val="002A6394"/>
    <w:rsid w:val="002A64FD"/>
    <w:rsid w:val="002C7A84"/>
    <w:rsid w:val="002E4FD9"/>
    <w:rsid w:val="00322A85"/>
    <w:rsid w:val="00324168"/>
    <w:rsid w:val="00343A0B"/>
    <w:rsid w:val="003448F4"/>
    <w:rsid w:val="00363EC4"/>
    <w:rsid w:val="00374F5E"/>
    <w:rsid w:val="00377E3E"/>
    <w:rsid w:val="003A0B10"/>
    <w:rsid w:val="003A1E26"/>
    <w:rsid w:val="003A26D1"/>
    <w:rsid w:val="003A779E"/>
    <w:rsid w:val="003D0F4D"/>
    <w:rsid w:val="003D5B0D"/>
    <w:rsid w:val="003E0499"/>
    <w:rsid w:val="003E41C3"/>
    <w:rsid w:val="003E76A2"/>
    <w:rsid w:val="003F3941"/>
    <w:rsid w:val="003F79C3"/>
    <w:rsid w:val="00406575"/>
    <w:rsid w:val="0042722E"/>
    <w:rsid w:val="004321BF"/>
    <w:rsid w:val="00437B03"/>
    <w:rsid w:val="0044528D"/>
    <w:rsid w:val="004470E1"/>
    <w:rsid w:val="004735E5"/>
    <w:rsid w:val="004A1847"/>
    <w:rsid w:val="004A305D"/>
    <w:rsid w:val="004F21C4"/>
    <w:rsid w:val="004F685F"/>
    <w:rsid w:val="00521153"/>
    <w:rsid w:val="00523EE3"/>
    <w:rsid w:val="00537575"/>
    <w:rsid w:val="0055375E"/>
    <w:rsid w:val="005566E8"/>
    <w:rsid w:val="00574867"/>
    <w:rsid w:val="00574CB1"/>
    <w:rsid w:val="00591460"/>
    <w:rsid w:val="00592628"/>
    <w:rsid w:val="005944D7"/>
    <w:rsid w:val="005C3777"/>
    <w:rsid w:val="005C5CDC"/>
    <w:rsid w:val="005C74BA"/>
    <w:rsid w:val="005D476C"/>
    <w:rsid w:val="005D5319"/>
    <w:rsid w:val="005F762B"/>
    <w:rsid w:val="00610812"/>
    <w:rsid w:val="00614EE9"/>
    <w:rsid w:val="006173C6"/>
    <w:rsid w:val="006219F8"/>
    <w:rsid w:val="00650FF7"/>
    <w:rsid w:val="00665D70"/>
    <w:rsid w:val="00671DAC"/>
    <w:rsid w:val="006900D9"/>
    <w:rsid w:val="00691D55"/>
    <w:rsid w:val="00696C87"/>
    <w:rsid w:val="006A319E"/>
    <w:rsid w:val="006D12F8"/>
    <w:rsid w:val="00706C16"/>
    <w:rsid w:val="007449C3"/>
    <w:rsid w:val="00756841"/>
    <w:rsid w:val="007649AB"/>
    <w:rsid w:val="00771D0C"/>
    <w:rsid w:val="0077250D"/>
    <w:rsid w:val="007833AC"/>
    <w:rsid w:val="00793192"/>
    <w:rsid w:val="007B268C"/>
    <w:rsid w:val="007B7171"/>
    <w:rsid w:val="007C0C0F"/>
    <w:rsid w:val="007C3DC2"/>
    <w:rsid w:val="007D5768"/>
    <w:rsid w:val="007D7EA9"/>
    <w:rsid w:val="007E5497"/>
    <w:rsid w:val="00804BA5"/>
    <w:rsid w:val="00806F5F"/>
    <w:rsid w:val="00811ADC"/>
    <w:rsid w:val="00820278"/>
    <w:rsid w:val="008269B6"/>
    <w:rsid w:val="00845A8D"/>
    <w:rsid w:val="00874CC1"/>
    <w:rsid w:val="008843B6"/>
    <w:rsid w:val="00891928"/>
    <w:rsid w:val="008A446D"/>
    <w:rsid w:val="008D180B"/>
    <w:rsid w:val="008F0EA7"/>
    <w:rsid w:val="008F6B03"/>
    <w:rsid w:val="00903114"/>
    <w:rsid w:val="00922211"/>
    <w:rsid w:val="00923EEF"/>
    <w:rsid w:val="009419F9"/>
    <w:rsid w:val="0095685E"/>
    <w:rsid w:val="00961B09"/>
    <w:rsid w:val="00965334"/>
    <w:rsid w:val="0097093E"/>
    <w:rsid w:val="00987F35"/>
    <w:rsid w:val="009A0DFA"/>
    <w:rsid w:val="009B2D26"/>
    <w:rsid w:val="009C27E3"/>
    <w:rsid w:val="009C547E"/>
    <w:rsid w:val="009C71FA"/>
    <w:rsid w:val="009C72E7"/>
    <w:rsid w:val="009D3058"/>
    <w:rsid w:val="009F3A13"/>
    <w:rsid w:val="00A122D3"/>
    <w:rsid w:val="00A17F13"/>
    <w:rsid w:val="00A20739"/>
    <w:rsid w:val="00A33C78"/>
    <w:rsid w:val="00A3710E"/>
    <w:rsid w:val="00A502AE"/>
    <w:rsid w:val="00A71022"/>
    <w:rsid w:val="00A96218"/>
    <w:rsid w:val="00AA608B"/>
    <w:rsid w:val="00AA7047"/>
    <w:rsid w:val="00AB0ADB"/>
    <w:rsid w:val="00AE26B1"/>
    <w:rsid w:val="00AE7B20"/>
    <w:rsid w:val="00B01B1A"/>
    <w:rsid w:val="00B33531"/>
    <w:rsid w:val="00B4214D"/>
    <w:rsid w:val="00B72CD3"/>
    <w:rsid w:val="00B72FFF"/>
    <w:rsid w:val="00B7445C"/>
    <w:rsid w:val="00B75709"/>
    <w:rsid w:val="00B96BEA"/>
    <w:rsid w:val="00BA0D07"/>
    <w:rsid w:val="00BA1F40"/>
    <w:rsid w:val="00BC3D36"/>
    <w:rsid w:val="00BD7F72"/>
    <w:rsid w:val="00BE6BAA"/>
    <w:rsid w:val="00BF12DB"/>
    <w:rsid w:val="00C04FB3"/>
    <w:rsid w:val="00C05953"/>
    <w:rsid w:val="00C330EB"/>
    <w:rsid w:val="00C45B33"/>
    <w:rsid w:val="00C754BE"/>
    <w:rsid w:val="00C76B1C"/>
    <w:rsid w:val="00C90ADE"/>
    <w:rsid w:val="00CB6357"/>
    <w:rsid w:val="00CC1B26"/>
    <w:rsid w:val="00CC417E"/>
    <w:rsid w:val="00CC7892"/>
    <w:rsid w:val="00D31CB4"/>
    <w:rsid w:val="00D423A2"/>
    <w:rsid w:val="00D46E83"/>
    <w:rsid w:val="00D520D8"/>
    <w:rsid w:val="00D55B5C"/>
    <w:rsid w:val="00D63AC2"/>
    <w:rsid w:val="00D67CFC"/>
    <w:rsid w:val="00D7383B"/>
    <w:rsid w:val="00D97E92"/>
    <w:rsid w:val="00DA231B"/>
    <w:rsid w:val="00DA23A0"/>
    <w:rsid w:val="00DB29E1"/>
    <w:rsid w:val="00DB323D"/>
    <w:rsid w:val="00DC39FC"/>
    <w:rsid w:val="00DE04EE"/>
    <w:rsid w:val="00DF5254"/>
    <w:rsid w:val="00E16408"/>
    <w:rsid w:val="00E20894"/>
    <w:rsid w:val="00E245AB"/>
    <w:rsid w:val="00E2764C"/>
    <w:rsid w:val="00E27F2E"/>
    <w:rsid w:val="00E413EA"/>
    <w:rsid w:val="00E447AD"/>
    <w:rsid w:val="00E50AFE"/>
    <w:rsid w:val="00E51C06"/>
    <w:rsid w:val="00E56422"/>
    <w:rsid w:val="00E64D4A"/>
    <w:rsid w:val="00E75C92"/>
    <w:rsid w:val="00E771DC"/>
    <w:rsid w:val="00E8772A"/>
    <w:rsid w:val="00E90F6B"/>
    <w:rsid w:val="00E92C27"/>
    <w:rsid w:val="00EA0E3D"/>
    <w:rsid w:val="00EC38A7"/>
    <w:rsid w:val="00ED40AB"/>
    <w:rsid w:val="00EE1AA8"/>
    <w:rsid w:val="00F02D5C"/>
    <w:rsid w:val="00F31EDC"/>
    <w:rsid w:val="00F3780C"/>
    <w:rsid w:val="00F45BF2"/>
    <w:rsid w:val="00F462B3"/>
    <w:rsid w:val="00F5664F"/>
    <w:rsid w:val="00F666C4"/>
    <w:rsid w:val="00F76AFC"/>
    <w:rsid w:val="00F930CF"/>
    <w:rsid w:val="00FA47C0"/>
    <w:rsid w:val="00FB5DD1"/>
    <w:rsid w:val="00FC2B5D"/>
    <w:rsid w:val="00FF1449"/>
    <w:rsid w:val="27B827E6"/>
    <w:rsid w:val="5CEADB7B"/>
    <w:rsid w:val="7D7E09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9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7D5768"/>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D5768"/>
    <w:rPr>
      <w:rFonts w:ascii="Geomanist Light" w:hAnsi="Geomanist Light"/>
      <w:lang w:val="es-ES"/>
    </w:rPr>
  </w:style>
  <w:style w:type="table" w:customStyle="1" w:styleId="Tablaconcuadrcula1">
    <w:name w:val="Tabla con cuadrícula1"/>
    <w:basedOn w:val="Tablanormal"/>
    <w:next w:val="Tablaconcuadrcula"/>
    <w:uiPriority w:val="39"/>
    <w:qFormat/>
    <w:rsid w:val="007D5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E7B20"/>
    <w:rPr>
      <w:sz w:val="16"/>
      <w:szCs w:val="16"/>
    </w:rPr>
  </w:style>
  <w:style w:type="paragraph" w:styleId="Textocomentario">
    <w:name w:val="annotation text"/>
    <w:basedOn w:val="Normal"/>
    <w:link w:val="TextocomentarioCar"/>
    <w:uiPriority w:val="99"/>
    <w:unhideWhenUsed/>
    <w:rsid w:val="00AE7B20"/>
    <w:pPr>
      <w:spacing w:line="240" w:lineRule="auto"/>
    </w:pPr>
    <w:rPr>
      <w:sz w:val="20"/>
      <w:szCs w:val="20"/>
    </w:rPr>
  </w:style>
  <w:style w:type="character" w:customStyle="1" w:styleId="TextocomentarioCar">
    <w:name w:val="Texto comentario Car"/>
    <w:basedOn w:val="Fuentedeprrafopredeter"/>
    <w:link w:val="Textocomentario"/>
    <w:uiPriority w:val="99"/>
    <w:rsid w:val="00AE7B20"/>
    <w:rPr>
      <w:sz w:val="20"/>
      <w:szCs w:val="20"/>
    </w:rPr>
  </w:style>
  <w:style w:type="paragraph" w:styleId="Asuntodelcomentario">
    <w:name w:val="annotation subject"/>
    <w:basedOn w:val="Textocomentario"/>
    <w:next w:val="Textocomentario"/>
    <w:link w:val="AsuntodelcomentarioCar"/>
    <w:uiPriority w:val="99"/>
    <w:semiHidden/>
    <w:unhideWhenUsed/>
    <w:rsid w:val="00AE7B20"/>
    <w:rPr>
      <w:b/>
      <w:bCs/>
    </w:rPr>
  </w:style>
  <w:style w:type="character" w:customStyle="1" w:styleId="AsuntodelcomentarioCar">
    <w:name w:val="Asunto del comentario Car"/>
    <w:basedOn w:val="TextocomentarioCar"/>
    <w:link w:val="Asuntodelcomentario"/>
    <w:uiPriority w:val="99"/>
    <w:semiHidden/>
    <w:rsid w:val="00AE7B20"/>
    <w:rPr>
      <w:b/>
      <w:bCs/>
      <w:sz w:val="20"/>
      <w:szCs w:val="20"/>
    </w:rPr>
  </w:style>
  <w:style w:type="character" w:customStyle="1" w:styleId="Hipervnculo1">
    <w:name w:val="Hipervínculo1"/>
    <w:basedOn w:val="Fuentedeprrafopredeter"/>
    <w:uiPriority w:val="99"/>
    <w:unhideWhenUsed/>
    <w:rsid w:val="00B75709"/>
    <w:rPr>
      <w:color w:val="F2F2F2"/>
      <w:u w:val="single"/>
    </w:rPr>
  </w:style>
  <w:style w:type="paragraph" w:customStyle="1" w:styleId="Car1">
    <w:name w:val="Car1"/>
    <w:basedOn w:val="Normal"/>
    <w:next w:val="Textonotapie"/>
    <w:uiPriority w:val="99"/>
    <w:unhideWhenUsed/>
    <w:qFormat/>
    <w:rsid w:val="00A71022"/>
    <w:pPr>
      <w:spacing w:after="0" w:line="240" w:lineRule="auto"/>
    </w:pPr>
    <w:rPr>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211693065">
      <w:bodyDiv w:val="1"/>
      <w:marLeft w:val="0"/>
      <w:marRight w:val="0"/>
      <w:marTop w:val="0"/>
      <w:marBottom w:val="0"/>
      <w:divBdr>
        <w:top w:val="none" w:sz="0" w:space="0" w:color="auto"/>
        <w:left w:val="none" w:sz="0" w:space="0" w:color="auto"/>
        <w:bottom w:val="none" w:sz="0" w:space="0" w:color="auto"/>
        <w:right w:val="none" w:sz="0" w:space="0" w:color="auto"/>
      </w:divBdr>
    </w:div>
    <w:div w:id="345984447">
      <w:bodyDiv w:val="1"/>
      <w:marLeft w:val="0"/>
      <w:marRight w:val="0"/>
      <w:marTop w:val="0"/>
      <w:marBottom w:val="0"/>
      <w:divBdr>
        <w:top w:val="none" w:sz="0" w:space="0" w:color="auto"/>
        <w:left w:val="none" w:sz="0" w:space="0" w:color="auto"/>
        <w:bottom w:val="none" w:sz="0" w:space="0" w:color="auto"/>
        <w:right w:val="none" w:sz="0" w:space="0" w:color="auto"/>
      </w:divBdr>
    </w:div>
    <w:div w:id="470363898">
      <w:bodyDiv w:val="1"/>
      <w:marLeft w:val="0"/>
      <w:marRight w:val="0"/>
      <w:marTop w:val="0"/>
      <w:marBottom w:val="0"/>
      <w:divBdr>
        <w:top w:val="none" w:sz="0" w:space="0" w:color="auto"/>
        <w:left w:val="none" w:sz="0" w:space="0" w:color="auto"/>
        <w:bottom w:val="none" w:sz="0" w:space="0" w:color="auto"/>
        <w:right w:val="none" w:sz="0" w:space="0" w:color="auto"/>
      </w:divBdr>
    </w:div>
    <w:div w:id="531962511">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635381472">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15072788">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067070095">
      <w:bodyDiv w:val="1"/>
      <w:marLeft w:val="0"/>
      <w:marRight w:val="0"/>
      <w:marTop w:val="0"/>
      <w:marBottom w:val="0"/>
      <w:divBdr>
        <w:top w:val="none" w:sz="0" w:space="0" w:color="auto"/>
        <w:left w:val="none" w:sz="0" w:space="0" w:color="auto"/>
        <w:bottom w:val="none" w:sz="0" w:space="0" w:color="auto"/>
        <w:right w:val="none" w:sz="0" w:space="0" w:color="auto"/>
      </w:divBdr>
    </w:div>
    <w:div w:id="1088118928">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172527538">
      <w:bodyDiv w:val="1"/>
      <w:marLeft w:val="0"/>
      <w:marRight w:val="0"/>
      <w:marTop w:val="0"/>
      <w:marBottom w:val="0"/>
      <w:divBdr>
        <w:top w:val="none" w:sz="0" w:space="0" w:color="auto"/>
        <w:left w:val="none" w:sz="0" w:space="0" w:color="auto"/>
        <w:bottom w:val="none" w:sz="0" w:space="0" w:color="auto"/>
        <w:right w:val="none" w:sz="0" w:space="0" w:color="auto"/>
      </w:divBdr>
    </w:div>
    <w:div w:id="124441359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358507107">
      <w:bodyDiv w:val="1"/>
      <w:marLeft w:val="0"/>
      <w:marRight w:val="0"/>
      <w:marTop w:val="0"/>
      <w:marBottom w:val="0"/>
      <w:divBdr>
        <w:top w:val="none" w:sz="0" w:space="0" w:color="auto"/>
        <w:left w:val="none" w:sz="0" w:space="0" w:color="auto"/>
        <w:bottom w:val="none" w:sz="0" w:space="0" w:color="auto"/>
        <w:right w:val="none" w:sz="0" w:space="0" w:color="auto"/>
      </w:divBdr>
    </w:div>
    <w:div w:id="1525171062">
      <w:bodyDiv w:val="1"/>
      <w:marLeft w:val="0"/>
      <w:marRight w:val="0"/>
      <w:marTop w:val="0"/>
      <w:marBottom w:val="0"/>
      <w:divBdr>
        <w:top w:val="none" w:sz="0" w:space="0" w:color="auto"/>
        <w:left w:val="none" w:sz="0" w:space="0" w:color="auto"/>
        <w:bottom w:val="none" w:sz="0" w:space="0" w:color="auto"/>
        <w:right w:val="none" w:sz="0" w:space="0" w:color="auto"/>
      </w:divBdr>
    </w:div>
    <w:div w:id="1666741515">
      <w:bodyDiv w:val="1"/>
      <w:marLeft w:val="0"/>
      <w:marRight w:val="0"/>
      <w:marTop w:val="0"/>
      <w:marBottom w:val="0"/>
      <w:divBdr>
        <w:top w:val="none" w:sz="0" w:space="0" w:color="auto"/>
        <w:left w:val="none" w:sz="0" w:space="0" w:color="auto"/>
        <w:bottom w:val="none" w:sz="0" w:space="0" w:color="auto"/>
        <w:right w:val="none" w:sz="0" w:space="0" w:color="auto"/>
      </w:divBdr>
    </w:div>
    <w:div w:id="1707825884">
      <w:bodyDiv w:val="1"/>
      <w:marLeft w:val="0"/>
      <w:marRight w:val="0"/>
      <w:marTop w:val="0"/>
      <w:marBottom w:val="0"/>
      <w:divBdr>
        <w:top w:val="none" w:sz="0" w:space="0" w:color="auto"/>
        <w:left w:val="none" w:sz="0" w:space="0" w:color="auto"/>
        <w:bottom w:val="none" w:sz="0" w:space="0" w:color="auto"/>
        <w:right w:val="none" w:sz="0" w:space="0" w:color="auto"/>
      </w:divBdr>
    </w:div>
    <w:div w:id="1713731902">
      <w:bodyDiv w:val="1"/>
      <w:marLeft w:val="0"/>
      <w:marRight w:val="0"/>
      <w:marTop w:val="0"/>
      <w:marBottom w:val="0"/>
      <w:divBdr>
        <w:top w:val="none" w:sz="0" w:space="0" w:color="auto"/>
        <w:left w:val="none" w:sz="0" w:space="0" w:color="auto"/>
        <w:bottom w:val="none" w:sz="0" w:space="0" w:color="auto"/>
        <w:right w:val="none" w:sz="0" w:space="0" w:color="auto"/>
      </w:divBdr>
    </w:div>
    <w:div w:id="1720396823">
      <w:bodyDiv w:val="1"/>
      <w:marLeft w:val="0"/>
      <w:marRight w:val="0"/>
      <w:marTop w:val="0"/>
      <w:marBottom w:val="0"/>
      <w:divBdr>
        <w:top w:val="none" w:sz="0" w:space="0" w:color="auto"/>
        <w:left w:val="none" w:sz="0" w:space="0" w:color="auto"/>
        <w:bottom w:val="none" w:sz="0" w:space="0" w:color="auto"/>
        <w:right w:val="none" w:sz="0" w:space="0" w:color="auto"/>
      </w:divBdr>
    </w:div>
    <w:div w:id="1802527854">
      <w:bodyDiv w:val="1"/>
      <w:marLeft w:val="0"/>
      <w:marRight w:val="0"/>
      <w:marTop w:val="0"/>
      <w:marBottom w:val="0"/>
      <w:divBdr>
        <w:top w:val="none" w:sz="0" w:space="0" w:color="auto"/>
        <w:left w:val="none" w:sz="0" w:space="0" w:color="auto"/>
        <w:bottom w:val="none" w:sz="0" w:space="0" w:color="auto"/>
        <w:right w:val="none" w:sz="0" w:space="0" w:color="auto"/>
      </w:divBdr>
    </w:div>
    <w:div w:id="1842892531">
      <w:bodyDiv w:val="1"/>
      <w:marLeft w:val="0"/>
      <w:marRight w:val="0"/>
      <w:marTop w:val="0"/>
      <w:marBottom w:val="0"/>
      <w:divBdr>
        <w:top w:val="none" w:sz="0" w:space="0" w:color="auto"/>
        <w:left w:val="none" w:sz="0" w:space="0" w:color="auto"/>
        <w:bottom w:val="none" w:sz="0" w:space="0" w:color="auto"/>
        <w:right w:val="none" w:sz="0" w:space="0" w:color="auto"/>
      </w:divBdr>
    </w:div>
    <w:div w:id="1879779249">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relatoria.colombiacompra.gov.co%2F&amp;data=05%7C02%7Cana.ortizb%40colombiacompra.gov.co%7C5aad36a736844ec87b2108dcc1fa4639%7C7b09041e245149d08cb179d5e3d8c1be%7C0%7C0%7C638598527916488011%7CUnknown%7CTWFpbGZsb3d8eyJWIjoiMC4wLjAwMDAiLCJQIjoiV2luMzIiLCJBTiI6Ik1haWwiLCJXVCI6Mn0%3D%7C0%7C%7C%7C&amp;sdata=in4o%2Be0khWNMSHjVv27rZM0qcYLJmM4DxpEWjOE8yIU%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rencia@grupoposso.com.c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www.colombiacompra.gov.co%2Fsala-de-prensa%2Fboletin-digital&amp;data=05%7C02%7Cana.ortizb%40colombiacompra.gov.co%7C096eca3fdcca424ff1c708dcf932f947%7C7b09041e245149d08cb179d5e3d8c1be%7C0%7C0%7C638659244554083113%7CUnknown%7CTWFpbGZsb3d8eyJWIjoiMC4wLjAwMDAiLCJQIjoiV2luMzIiLCJBTiI6Ik1haWwiLCJXVCI6Mn0%3D%7C0%7C%7C%7C&amp;sdata=OZxcGIRDLR1ecP8MYxWhpdQ16XrqnZZ%2BRirDSWfY7jo%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05B395-5430-4FB4-9116-921CF84F4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0BEBC1F9-25E8-4B46-830F-2C6AABCA3E07}">
  <ds:schemaRefs>
    <ds:schemaRef ds:uri="http://schemas.openxmlformats.org/officeDocument/2006/bibliography"/>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3985</Words>
  <Characters>21923</Characters>
  <Application>Microsoft Office Word</Application>
  <DocSecurity>0</DocSecurity>
  <Lines>182</Lines>
  <Paragraphs>51</Paragraphs>
  <ScaleCrop>false</ScaleCrop>
  <Company/>
  <LinksUpToDate>false</LinksUpToDate>
  <CharactersWithSpaces>25857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Oscar David Mórelo Pedroza</cp:lastModifiedBy>
  <cp:revision>25</cp:revision>
  <cp:lastPrinted>2023-01-10T21:18:00Z</cp:lastPrinted>
  <dcterms:created xsi:type="dcterms:W3CDTF">2024-11-19T19:19:00Z</dcterms:created>
  <dcterms:modified xsi:type="dcterms:W3CDTF">2024-12-27T20:52:00Z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