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D1E79" w:rsidR="00BD1E79" w:rsidP="00BD1E79" w:rsidRDefault="004D5B3E" w14:paraId="2B78E618" w14:textId="637A42AB">
      <w:pPr>
        <w:spacing w:line="240" w:lineRule="auto"/>
        <w:jc w:val="both"/>
        <w:rPr>
          <w:rFonts w:ascii="Verdana" w:hAnsi="Verdana" w:cs="Arial"/>
          <w:b/>
          <w:color w:val="000000" w:themeColor="text1"/>
          <w:sz w:val="20"/>
          <w:szCs w:val="20"/>
        </w:rPr>
      </w:pPr>
      <w:r>
        <w:rPr>
          <w:rFonts w:ascii="Verdana" w:hAnsi="Verdana" w:cs="Arial"/>
          <w:b/>
          <w:color w:val="000000" w:themeColor="text1"/>
          <w:sz w:val="20"/>
          <w:szCs w:val="20"/>
        </w:rPr>
        <w:t>PIRNCIPIO DE ANUALIDAD</w:t>
      </w:r>
      <w:r w:rsidRPr="00BD1E79" w:rsidR="00BD1E79">
        <w:rPr>
          <w:rFonts w:ascii="Verdana" w:hAnsi="Verdana" w:cs="Arial"/>
          <w:b/>
          <w:color w:val="000000" w:themeColor="text1"/>
          <w:sz w:val="20"/>
          <w:szCs w:val="20"/>
        </w:rPr>
        <w:t xml:space="preserve"> – </w:t>
      </w:r>
      <w:r>
        <w:rPr>
          <w:rFonts w:ascii="Verdana" w:hAnsi="Verdana" w:cs="Arial"/>
          <w:b/>
          <w:color w:val="000000" w:themeColor="text1"/>
          <w:sz w:val="20"/>
          <w:szCs w:val="20"/>
        </w:rPr>
        <w:t>Fundamento</w:t>
      </w:r>
    </w:p>
    <w:p w:rsidR="004D5B3E" w:rsidP="687B390B" w:rsidRDefault="004D5B3E" w14:paraId="579768CA" w14:textId="4ACE3CA1" w14:noSpellErr="1">
      <w:pPr>
        <w:spacing w:line="240" w:lineRule="auto"/>
        <w:jc w:val="both"/>
        <w:rPr>
          <w:rFonts w:ascii="Verdana" w:hAnsi="Verdana"/>
          <w:sz w:val="20"/>
          <w:szCs w:val="20"/>
          <w:lang w:val="es-ES"/>
        </w:rPr>
      </w:pPr>
      <w:r w:rsidRPr="687B390B" w:rsidR="004D5B3E">
        <w:rPr>
          <w:rFonts w:ascii="Verdana" w:hAnsi="Verdana"/>
          <w:sz w:val="20"/>
          <w:szCs w:val="20"/>
          <w:lang w:val="es-ES"/>
        </w:rPr>
        <w:t>Las entidades estatales deben sujetarse a los principios que rigen el sistema presupuestal, entre los cuales se encuentra el de anualidad del gasto público.</w:t>
      </w:r>
      <w:r w:rsidRPr="687B390B" w:rsidR="004D5B3E">
        <w:rPr>
          <w:rFonts w:ascii="Verdana" w:hAnsi="Verdana"/>
          <w:sz w:val="20"/>
          <w:szCs w:val="20"/>
          <w:lang w:val="es-ES"/>
        </w:rPr>
        <w:t xml:space="preserve"> Este principio encuentra fundamento constitucional en </w:t>
      </w:r>
      <w:r w:rsidRPr="687B390B" w:rsidR="004D5B3E">
        <w:rPr>
          <w:rFonts w:ascii="Verdana" w:hAnsi="Verdana"/>
          <w:sz w:val="20"/>
          <w:szCs w:val="20"/>
          <w:lang w:val="es-ES"/>
        </w:rPr>
        <w:t>el artículo 346 superior que contiene el régimen general del presupuesto de rentas y la ley de apropiaciones, que deberá presentarse al Congreso dentro de los primeros diez días de cada legislatura, elaborarse y aprobarse dentro de un marco de sostenibilidad fiscal y corresponder al Plan Nacional de Desarrollo. De conformidad con la misma norma constitucional, el presupuesto tiene vigencia anual y, por tanto, tienen como finalidad fijar los gastos y las rentas nacionales del Estado para la respectiva vigencia fiscal anual.</w:t>
      </w:r>
      <w:r w:rsidRPr="687B390B" w:rsidR="004D5B3E">
        <w:rPr>
          <w:rFonts w:ascii="Verdana" w:hAnsi="Verdana"/>
          <w:sz w:val="20"/>
          <w:szCs w:val="20"/>
          <w:lang w:val="es-ES"/>
        </w:rPr>
        <w:t xml:space="preserve"> </w:t>
      </w:r>
    </w:p>
    <w:p w:rsidRPr="004D5B3E" w:rsidR="007B5B15" w:rsidP="004D5B3E" w:rsidRDefault="007B5B15" w14:paraId="28C6A7E7" w14:textId="12C7EEEC">
      <w:pPr>
        <w:spacing w:line="240" w:lineRule="auto"/>
        <w:jc w:val="both"/>
        <w:rPr>
          <w:rFonts w:ascii="Verdana" w:hAnsi="Verdana"/>
          <w:sz w:val="20"/>
          <w:szCs w:val="20"/>
          <w:lang w:val="es-ES_tradnl"/>
        </w:rPr>
      </w:pPr>
      <w:r w:rsidRPr="007B5B15">
        <w:rPr>
          <w:rFonts w:ascii="Verdana" w:hAnsi="Verdana"/>
          <w:sz w:val="20"/>
          <w:szCs w:val="20"/>
          <w:lang w:val="es-ES_tradnl"/>
        </w:rPr>
        <w:t>En armonía con lo anterior, el Estatuto Orgánico del Presupuesto consagra este principio en el artículo 14 consistente en que «Después del 31 de diciembre no podrán asumirse compromisos con cargo a las apropiaciones del año fiscal que se cierra en esa fecha y los saldos de apropiación no afectados por compromisos caducarán sin excepción». Es decir, los gastos previstos en el presupuesto anual se deben ejecutar dentro de una vigencia fiscal comprendida entre el 1 de enero y el 31 de diciembre</w:t>
      </w:r>
      <w:r w:rsidR="005E347B">
        <w:rPr>
          <w:rFonts w:ascii="Verdana" w:hAnsi="Verdana"/>
          <w:sz w:val="20"/>
          <w:szCs w:val="20"/>
          <w:lang w:val="es-ES_tradnl"/>
        </w:rPr>
        <w:t>.</w:t>
      </w:r>
    </w:p>
    <w:p w:rsidR="007B5B15" w:rsidP="00BD1E79" w:rsidRDefault="004D5B3E" w14:paraId="4B30233C" w14:textId="77777777">
      <w:pPr>
        <w:spacing w:line="240" w:lineRule="auto"/>
        <w:jc w:val="both"/>
        <w:rPr>
          <w:rStyle w:val="normaltextrun"/>
          <w:rFonts w:ascii="Verdana" w:hAnsi="Verdana" w:cs="Arial"/>
          <w:b/>
          <w:sz w:val="20"/>
          <w:szCs w:val="20"/>
          <w:lang w:val="es-ES"/>
        </w:rPr>
      </w:pPr>
      <w:r>
        <w:rPr>
          <w:rFonts w:ascii="Verdana" w:hAnsi="Verdana" w:cs="Arial"/>
          <w:b/>
          <w:color w:val="000000" w:themeColor="text1"/>
          <w:sz w:val="20"/>
          <w:szCs w:val="20"/>
        </w:rPr>
        <w:t xml:space="preserve">PRINCIPIO DE ANUALIDAD </w:t>
      </w:r>
      <w:r w:rsidRPr="00BD1E79" w:rsidR="00BD1E79">
        <w:rPr>
          <w:rFonts w:ascii="Verdana" w:hAnsi="Verdana" w:cs="Arial"/>
          <w:b/>
          <w:color w:val="000000" w:themeColor="text1"/>
          <w:sz w:val="20"/>
          <w:szCs w:val="20"/>
        </w:rPr>
        <w:t xml:space="preserve">– </w:t>
      </w:r>
      <w:r w:rsidR="007B5B15">
        <w:rPr>
          <w:rStyle w:val="normaltextrun"/>
          <w:rFonts w:ascii="Verdana" w:hAnsi="Verdana" w:cs="Arial"/>
          <w:b/>
          <w:sz w:val="20"/>
          <w:szCs w:val="20"/>
          <w:lang w:val="es-ES"/>
        </w:rPr>
        <w:t>Excepciones</w:t>
      </w:r>
    </w:p>
    <w:p w:rsidRPr="004E2E2A" w:rsidR="005E347B" w:rsidP="687B390B" w:rsidRDefault="00D76CEA" w14:paraId="1B748717" w14:textId="2A063AA1">
      <w:pPr>
        <w:spacing w:line="240" w:lineRule="auto"/>
        <w:jc w:val="both"/>
        <w:rPr>
          <w:rFonts w:ascii="Verdana" w:hAnsi="Verdana"/>
          <w:sz w:val="20"/>
          <w:szCs w:val="20"/>
          <w:lang w:val="es-ES"/>
        </w:rPr>
      </w:pPr>
      <w:r w:rsidRPr="687B390B" w:rsidR="00D76CEA">
        <w:rPr>
          <w:rFonts w:ascii="Verdana" w:hAnsi="Verdana"/>
          <w:sz w:val="20"/>
          <w:szCs w:val="20"/>
          <w:lang w:val="es-ES"/>
        </w:rPr>
        <w:t xml:space="preserve">Dentro los mecanismos presupuestales que constituyen excepciones al principio de anualidad se identifican i) las vigencias futuras, </w:t>
      </w:r>
      <w:r w:rsidRPr="687B390B" w:rsidR="00D76CEA">
        <w:rPr>
          <w:rFonts w:ascii="Verdana" w:hAnsi="Verdana"/>
          <w:sz w:val="20"/>
          <w:szCs w:val="20"/>
          <w:lang w:val="es-ES"/>
        </w:rPr>
        <w:t>ii</w:t>
      </w:r>
      <w:r w:rsidRPr="687B390B" w:rsidR="00D76CEA">
        <w:rPr>
          <w:rFonts w:ascii="Verdana" w:hAnsi="Verdana"/>
          <w:sz w:val="20"/>
          <w:szCs w:val="20"/>
          <w:lang w:val="es-ES"/>
        </w:rPr>
        <w:t xml:space="preserve">) las cuentas por pagar y </w:t>
      </w:r>
      <w:r w:rsidRPr="687B390B" w:rsidR="00D76CEA">
        <w:rPr>
          <w:rFonts w:ascii="Verdana" w:hAnsi="Verdana"/>
          <w:sz w:val="20"/>
          <w:szCs w:val="20"/>
          <w:lang w:val="es-ES"/>
        </w:rPr>
        <w:t>iii</w:t>
      </w:r>
      <w:r w:rsidRPr="687B390B" w:rsidR="00D76CEA">
        <w:rPr>
          <w:rFonts w:ascii="Verdana" w:hAnsi="Verdana"/>
          <w:sz w:val="20"/>
          <w:szCs w:val="20"/>
          <w:lang w:val="es-ES"/>
        </w:rPr>
        <w:t xml:space="preserve">) las reservas presupuestales. Las primeras, de conformidad con el artículo 23 del Estatuto Orgánico del Presupuesto, se refieren a la autorización que deben solicitar las entidades para asumir obligaciones que afectarán los presupuestos siguientes a los de la vigencia fiscal en la que inició la ejecución. </w:t>
      </w:r>
      <w:r w:rsidRPr="687B390B" w:rsidR="00D76CEA">
        <w:rPr>
          <w:rFonts w:ascii="Verdana" w:hAnsi="Verdana"/>
          <w:sz w:val="20"/>
          <w:szCs w:val="20"/>
          <w:lang w:val="es-ES"/>
        </w:rPr>
        <w:t>Las segundas, esto es, las cuentas por pagar consisten en obligaciones cumplidas en la vigencia actual, correspondientes a los anticipos pactados en los contratos y a la entrega de bienes y servicios, de las cuales solo se encuentra pendiente el pago de acuerdo con los compromisos presupuestales adquiridos por la entidad.</w:t>
      </w:r>
      <w:r w:rsidRPr="687B390B" w:rsidR="00D76CEA">
        <w:rPr>
          <w:rFonts w:ascii="Verdana" w:hAnsi="Verdana"/>
          <w:sz w:val="20"/>
          <w:szCs w:val="20"/>
          <w:lang w:val="es-ES"/>
        </w:rPr>
        <w:t xml:space="preserve"> Y las terceras, las reservas presupuestales suponen que «Al cierre de la vigencia fiscal cada órgano constituirá las reservas presupuestales con los compromisos que al 31 de diciembre no se hayan cumplido, siempre y cuando estén legalmente contraídos y desarrollen el objeto de la apropiación. Las reservas presupuestales sólo podrán utilizarse para cancelar los compromisos que les dieron origen». </w:t>
      </w:r>
    </w:p>
    <w:p w:rsidR="005E347B" w:rsidP="005E347B" w:rsidRDefault="005E347B" w14:paraId="5BEFE032" w14:textId="4E54981A">
      <w:pPr>
        <w:spacing w:line="240" w:lineRule="auto"/>
        <w:jc w:val="both"/>
        <w:rPr>
          <w:rStyle w:val="normaltextrun"/>
          <w:rFonts w:ascii="Verdana" w:hAnsi="Verdana" w:cs="Arial"/>
          <w:b/>
          <w:sz w:val="20"/>
          <w:szCs w:val="20"/>
          <w:lang w:val="es-ES"/>
        </w:rPr>
      </w:pPr>
      <w:r w:rsidRPr="005E347B">
        <w:rPr>
          <w:rFonts w:ascii="Verdana" w:hAnsi="Verdana"/>
          <w:b/>
          <w:bCs/>
          <w:sz w:val="20"/>
          <w:szCs w:val="20"/>
        </w:rPr>
        <w:t>VIGENCIAS FUTURAS</w:t>
      </w:r>
      <w:r>
        <w:rPr>
          <w:rFonts w:ascii="Verdana" w:hAnsi="Verdana"/>
          <w:sz w:val="20"/>
          <w:szCs w:val="20"/>
        </w:rPr>
        <w:t xml:space="preserve"> </w:t>
      </w:r>
      <w:r w:rsidRPr="00BD1E79">
        <w:rPr>
          <w:rFonts w:ascii="Verdana" w:hAnsi="Verdana" w:cs="Arial"/>
          <w:b/>
          <w:color w:val="000000" w:themeColor="text1"/>
          <w:sz w:val="20"/>
          <w:szCs w:val="20"/>
        </w:rPr>
        <w:t xml:space="preserve">– </w:t>
      </w:r>
      <w:r w:rsidR="00CC3E43">
        <w:rPr>
          <w:rStyle w:val="normaltextrun"/>
          <w:rFonts w:ascii="Verdana" w:hAnsi="Verdana" w:cs="Arial"/>
          <w:b/>
          <w:sz w:val="20"/>
          <w:szCs w:val="20"/>
          <w:lang w:val="es-ES"/>
        </w:rPr>
        <w:t xml:space="preserve">Tipos </w:t>
      </w:r>
    </w:p>
    <w:p w:rsidRPr="004E2E2A" w:rsidR="004E2E2A" w:rsidP="687B390B" w:rsidRDefault="004E2E2A" w14:paraId="5C39C736" w14:textId="77777777">
      <w:pPr>
        <w:spacing w:line="240" w:lineRule="auto"/>
        <w:jc w:val="both"/>
        <w:rPr>
          <w:rFonts w:ascii="Verdana" w:hAnsi="Verdana"/>
          <w:sz w:val="20"/>
          <w:szCs w:val="20"/>
          <w:lang w:val="es-ES"/>
        </w:rPr>
      </w:pPr>
      <w:r w:rsidRPr="687B390B" w:rsidR="004E2E2A">
        <w:rPr>
          <w:rFonts w:ascii="Verdana" w:hAnsi="Verdana"/>
          <w:sz w:val="20"/>
          <w:szCs w:val="20"/>
          <w:lang w:val="es-ES"/>
        </w:rPr>
        <w:t xml:space="preserve">La Ley 813 de 2019 establece en sus artículos 9° y 10° dos tipos de vigencias futuras: i) las vigencias futuras ordinarias, según la cual el Consejo Superior de Política Fiscal – </w:t>
      </w:r>
      <w:r w:rsidRPr="687B390B" w:rsidR="004E2E2A">
        <w:rPr>
          <w:rFonts w:ascii="Verdana" w:hAnsi="Verdana"/>
          <w:sz w:val="20"/>
          <w:szCs w:val="20"/>
          <w:lang w:val="es-ES"/>
        </w:rPr>
        <w:t>Confis</w:t>
      </w:r>
      <w:r w:rsidRPr="687B390B" w:rsidR="004E2E2A">
        <w:rPr>
          <w:rFonts w:ascii="Verdana" w:hAnsi="Verdana"/>
          <w:sz w:val="20"/>
          <w:szCs w:val="20"/>
          <w:lang w:val="es-ES"/>
        </w:rPr>
        <w:t xml:space="preserve">, podrá autorizar la asunción de obligaciones que afecten presupuestos de vigencias futuras cuando su ejecución se inicie con presupuesto de la vigencia en curso y el objeto del compromiso se lleve a cabo en cada una de ellas siempre y cuando se cumplan los prepuestos señalados en la norma. Y, </w:t>
      </w:r>
      <w:r w:rsidRPr="687B390B" w:rsidR="004E2E2A">
        <w:rPr>
          <w:rFonts w:ascii="Verdana" w:hAnsi="Verdana"/>
          <w:sz w:val="20"/>
          <w:szCs w:val="20"/>
          <w:lang w:val="es-ES"/>
        </w:rPr>
        <w:t>ii</w:t>
      </w:r>
      <w:r w:rsidRPr="687B390B" w:rsidR="004E2E2A">
        <w:rPr>
          <w:rFonts w:ascii="Verdana" w:hAnsi="Verdana"/>
          <w:sz w:val="20"/>
          <w:szCs w:val="20"/>
          <w:lang w:val="es-ES"/>
        </w:rPr>
        <w:t xml:space="preserve">) las vigencias futuras excepcionales, en virtud de la cual el </w:t>
      </w:r>
      <w:r w:rsidRPr="687B390B" w:rsidR="004E2E2A">
        <w:rPr>
          <w:rFonts w:ascii="Verdana" w:hAnsi="Verdana"/>
          <w:sz w:val="20"/>
          <w:szCs w:val="20"/>
          <w:lang w:val="es-ES"/>
        </w:rPr>
        <w:t>Confis</w:t>
      </w:r>
      <w:r w:rsidRPr="687B390B" w:rsidR="004E2E2A">
        <w:rPr>
          <w:rFonts w:ascii="Verdana" w:hAnsi="Verdana"/>
          <w:sz w:val="20"/>
          <w:szCs w:val="20"/>
          <w:lang w:val="es-ES"/>
        </w:rPr>
        <w:t xml:space="preserve">, en casos excepcionales para las obras de infraestructura, energía, comunicaciones, aeronáutica, defensa y seguridad, así como para las garantías a las concesiones, podrá autorizar que se asuman obligaciones que afecten el </w:t>
      </w:r>
      <w:r w:rsidRPr="687B390B" w:rsidR="004E2E2A">
        <w:rPr>
          <w:rFonts w:ascii="Verdana" w:hAnsi="Verdana"/>
          <w:sz w:val="20"/>
          <w:szCs w:val="20"/>
          <w:lang w:val="es-ES"/>
        </w:rPr>
        <w:t xml:space="preserve">presupuesto de vigencias futuras sin apropiación en el presupuesto del año en que se concede la autorización. </w:t>
      </w:r>
    </w:p>
    <w:p w:rsidRPr="004E2E2A" w:rsidR="004E2E2A" w:rsidP="687B390B" w:rsidRDefault="004E2E2A" w14:paraId="2F9C3E2E" w14:textId="77777777">
      <w:pPr>
        <w:spacing w:line="240" w:lineRule="auto"/>
        <w:jc w:val="both"/>
        <w:rPr>
          <w:rFonts w:ascii="Verdana" w:hAnsi="Verdana"/>
          <w:sz w:val="20"/>
          <w:szCs w:val="20"/>
          <w:lang w:val="es-ES"/>
        </w:rPr>
      </w:pPr>
      <w:r w:rsidRPr="687B390B" w:rsidR="004E2E2A">
        <w:rPr>
          <w:rFonts w:ascii="Verdana" w:hAnsi="Verdana"/>
          <w:sz w:val="20"/>
          <w:szCs w:val="20"/>
          <w:lang w:val="es-ES"/>
        </w:rPr>
        <w:t xml:space="preserve">Por su parte, el artículo 12 ibidem se refiere a las vigencias futuras ordinarias para entidades territoriales cuya autorización será impartida por la asamblea o concejo respectivo, a iniciativa del gobierno local, previa aprobación por el </w:t>
      </w:r>
      <w:r w:rsidRPr="687B390B" w:rsidR="004E2E2A">
        <w:rPr>
          <w:rFonts w:ascii="Verdana" w:hAnsi="Verdana"/>
          <w:sz w:val="20"/>
          <w:szCs w:val="20"/>
          <w:lang w:val="es-ES"/>
        </w:rPr>
        <w:t>Confis</w:t>
      </w:r>
      <w:r w:rsidRPr="687B390B" w:rsidR="004E2E2A">
        <w:rPr>
          <w:rFonts w:ascii="Verdana" w:hAnsi="Verdana"/>
          <w:sz w:val="20"/>
          <w:szCs w:val="20"/>
          <w:lang w:val="es-ES"/>
        </w:rPr>
        <w:t xml:space="preserve"> territorial o el órgano que haga sus veces. </w:t>
      </w:r>
      <w:r w:rsidRPr="687B390B" w:rsidR="004E2E2A">
        <w:rPr>
          <w:rFonts w:ascii="Verdana" w:hAnsi="Verdana"/>
          <w:sz w:val="20"/>
          <w:szCs w:val="20"/>
          <w:lang w:val="es-ES"/>
        </w:rPr>
        <w:t>Las vigencias futuras excepcionales para entidades territoriales se encuentra</w:t>
      </w:r>
      <w:r w:rsidRPr="687B390B" w:rsidR="004E2E2A">
        <w:rPr>
          <w:rFonts w:ascii="Verdana" w:hAnsi="Verdana"/>
          <w:sz w:val="20"/>
          <w:szCs w:val="20"/>
          <w:lang w:val="es-ES"/>
        </w:rPr>
        <w:t xml:space="preserve"> establecida en la Ley 1483 de 2011.  </w:t>
      </w:r>
    </w:p>
    <w:p w:rsidRPr="004E2E2A" w:rsidR="005E347B" w:rsidP="005E347B" w:rsidRDefault="005E347B" w14:paraId="617E7569" w14:textId="77777777">
      <w:pPr>
        <w:spacing w:line="240" w:lineRule="auto"/>
        <w:jc w:val="both"/>
        <w:rPr>
          <w:bCs/>
          <w:lang w:val="es-ES_tradnl"/>
        </w:rPr>
      </w:pPr>
    </w:p>
    <w:p w:rsidRPr="004E2E2A" w:rsidR="005E347B" w:rsidP="004E2E2A" w:rsidRDefault="005E347B" w14:paraId="26E603A4" w14:textId="1C78BC6D">
      <w:pPr>
        <w:spacing w:line="240" w:lineRule="auto"/>
        <w:jc w:val="both"/>
        <w:rPr>
          <w:rFonts w:ascii="Verdana" w:hAnsi="Verdana"/>
          <w:bCs/>
          <w:sz w:val="20"/>
          <w:szCs w:val="20"/>
          <w:lang w:val="es-ES_tradnl"/>
        </w:rPr>
      </w:pPr>
    </w:p>
    <w:p w:rsidRPr="004E2E2A" w:rsidR="005E347B" w:rsidP="004E2E2A" w:rsidRDefault="005E347B" w14:paraId="1A23978B" w14:textId="77777777">
      <w:pPr>
        <w:spacing w:line="240" w:lineRule="auto"/>
        <w:jc w:val="both"/>
        <w:rPr>
          <w:rFonts w:ascii="Verdana" w:hAnsi="Verdana"/>
          <w:bCs/>
          <w:sz w:val="20"/>
          <w:szCs w:val="20"/>
          <w:lang w:val="es-ES_tradnl"/>
        </w:rPr>
      </w:pPr>
    </w:p>
    <w:p w:rsidRPr="004E2E2A" w:rsidR="005E347B" w:rsidP="004E2E2A" w:rsidRDefault="005E347B" w14:paraId="66131969" w14:textId="77777777">
      <w:pPr>
        <w:spacing w:line="240" w:lineRule="auto"/>
        <w:jc w:val="both"/>
        <w:rPr>
          <w:rFonts w:ascii="Verdana" w:hAnsi="Verdana"/>
          <w:bCs/>
          <w:sz w:val="20"/>
          <w:szCs w:val="20"/>
          <w:lang w:val="es-ES_tradnl"/>
        </w:rPr>
      </w:pPr>
    </w:p>
    <w:p w:rsidRPr="004E2E2A" w:rsidR="005E347B" w:rsidP="004E2E2A" w:rsidRDefault="005E347B" w14:paraId="1C5C46B9" w14:textId="77777777">
      <w:pPr>
        <w:spacing w:line="240" w:lineRule="auto"/>
        <w:jc w:val="both"/>
        <w:rPr>
          <w:rFonts w:ascii="Verdana" w:hAnsi="Verdana"/>
          <w:bCs/>
          <w:sz w:val="20"/>
          <w:szCs w:val="20"/>
          <w:lang w:val="es-ES_tradnl"/>
        </w:rPr>
      </w:pPr>
    </w:p>
    <w:p w:rsidR="005E347B" w:rsidP="00CE37A3" w:rsidRDefault="005E347B" w14:paraId="1B0CEE90" w14:textId="77777777">
      <w:pPr>
        <w:spacing w:after="0" w:line="240" w:lineRule="auto"/>
        <w:rPr>
          <w:rFonts w:ascii="Verdana" w:hAnsi="Verdana"/>
          <w:sz w:val="20"/>
          <w:szCs w:val="20"/>
        </w:rPr>
      </w:pPr>
    </w:p>
    <w:p w:rsidR="005E347B" w:rsidP="00CE37A3" w:rsidRDefault="005E347B" w14:paraId="69395237" w14:textId="77777777">
      <w:pPr>
        <w:spacing w:after="0" w:line="240" w:lineRule="auto"/>
        <w:rPr>
          <w:rFonts w:ascii="Verdana" w:hAnsi="Verdana"/>
          <w:sz w:val="20"/>
          <w:szCs w:val="20"/>
        </w:rPr>
      </w:pPr>
    </w:p>
    <w:p w:rsidR="005E347B" w:rsidP="00CE37A3" w:rsidRDefault="005E347B" w14:paraId="33A2463E" w14:textId="77777777">
      <w:pPr>
        <w:spacing w:after="0" w:line="240" w:lineRule="auto"/>
        <w:rPr>
          <w:rFonts w:ascii="Verdana" w:hAnsi="Verdana"/>
          <w:sz w:val="20"/>
          <w:szCs w:val="20"/>
        </w:rPr>
      </w:pPr>
    </w:p>
    <w:p w:rsidR="005E347B" w:rsidP="00CE37A3" w:rsidRDefault="005E347B" w14:paraId="4C7DF800" w14:textId="77777777">
      <w:pPr>
        <w:spacing w:after="0" w:line="240" w:lineRule="auto"/>
        <w:rPr>
          <w:rFonts w:ascii="Verdana" w:hAnsi="Verdana"/>
          <w:sz w:val="20"/>
          <w:szCs w:val="20"/>
        </w:rPr>
      </w:pPr>
    </w:p>
    <w:p w:rsidR="005E347B" w:rsidP="00CE37A3" w:rsidRDefault="005E347B" w14:paraId="70693B9E" w14:textId="77777777">
      <w:pPr>
        <w:spacing w:after="0" w:line="240" w:lineRule="auto"/>
        <w:rPr>
          <w:rFonts w:ascii="Verdana" w:hAnsi="Verdana"/>
          <w:sz w:val="20"/>
          <w:szCs w:val="20"/>
        </w:rPr>
      </w:pPr>
    </w:p>
    <w:p w:rsidR="004E2E2A" w:rsidP="00CE37A3" w:rsidRDefault="004E2E2A" w14:paraId="51349161" w14:textId="77777777">
      <w:pPr>
        <w:spacing w:after="0" w:line="240" w:lineRule="auto"/>
        <w:rPr>
          <w:rFonts w:ascii="Verdana" w:hAnsi="Verdana"/>
          <w:sz w:val="20"/>
          <w:szCs w:val="20"/>
        </w:rPr>
      </w:pPr>
    </w:p>
    <w:p w:rsidR="004E2E2A" w:rsidP="00CE37A3" w:rsidRDefault="004E2E2A" w14:paraId="44B7248F" w14:textId="77777777">
      <w:pPr>
        <w:spacing w:after="0" w:line="240" w:lineRule="auto"/>
        <w:rPr>
          <w:rFonts w:ascii="Verdana" w:hAnsi="Verdana"/>
          <w:sz w:val="20"/>
          <w:szCs w:val="20"/>
        </w:rPr>
      </w:pPr>
    </w:p>
    <w:p w:rsidR="004E2E2A" w:rsidP="00CE37A3" w:rsidRDefault="004E2E2A" w14:paraId="12826651" w14:textId="77777777">
      <w:pPr>
        <w:spacing w:after="0" w:line="240" w:lineRule="auto"/>
        <w:rPr>
          <w:rFonts w:ascii="Verdana" w:hAnsi="Verdana"/>
          <w:sz w:val="20"/>
          <w:szCs w:val="20"/>
        </w:rPr>
      </w:pPr>
    </w:p>
    <w:p w:rsidR="004E2E2A" w:rsidP="00CE37A3" w:rsidRDefault="004E2E2A" w14:paraId="0BD43625" w14:textId="77777777">
      <w:pPr>
        <w:spacing w:after="0" w:line="240" w:lineRule="auto"/>
        <w:rPr>
          <w:rFonts w:ascii="Verdana" w:hAnsi="Verdana"/>
          <w:sz w:val="20"/>
          <w:szCs w:val="20"/>
        </w:rPr>
      </w:pPr>
    </w:p>
    <w:p w:rsidR="004E2E2A" w:rsidP="00CE37A3" w:rsidRDefault="004E2E2A" w14:paraId="6472C133" w14:textId="77777777">
      <w:pPr>
        <w:spacing w:after="0" w:line="240" w:lineRule="auto"/>
        <w:rPr>
          <w:rFonts w:ascii="Verdana" w:hAnsi="Verdana"/>
          <w:sz w:val="20"/>
          <w:szCs w:val="20"/>
        </w:rPr>
      </w:pPr>
    </w:p>
    <w:p w:rsidR="004E2E2A" w:rsidP="00CE37A3" w:rsidRDefault="004E2E2A" w14:paraId="1255B122" w14:textId="77777777">
      <w:pPr>
        <w:spacing w:after="0" w:line="240" w:lineRule="auto"/>
        <w:rPr>
          <w:rFonts w:ascii="Verdana" w:hAnsi="Verdana"/>
          <w:sz w:val="20"/>
          <w:szCs w:val="20"/>
        </w:rPr>
      </w:pPr>
    </w:p>
    <w:p w:rsidR="004E2E2A" w:rsidP="00CE37A3" w:rsidRDefault="004E2E2A" w14:paraId="4E3B7D5B" w14:textId="77777777">
      <w:pPr>
        <w:spacing w:after="0" w:line="240" w:lineRule="auto"/>
        <w:rPr>
          <w:rFonts w:ascii="Verdana" w:hAnsi="Verdana"/>
          <w:sz w:val="20"/>
          <w:szCs w:val="20"/>
        </w:rPr>
      </w:pPr>
    </w:p>
    <w:p w:rsidR="004E2E2A" w:rsidP="00CE37A3" w:rsidRDefault="004E2E2A" w14:paraId="009E52EA" w14:textId="77777777">
      <w:pPr>
        <w:spacing w:after="0" w:line="240" w:lineRule="auto"/>
        <w:rPr>
          <w:rFonts w:ascii="Verdana" w:hAnsi="Verdana"/>
          <w:sz w:val="20"/>
          <w:szCs w:val="20"/>
        </w:rPr>
      </w:pPr>
    </w:p>
    <w:p w:rsidR="004E2E2A" w:rsidP="00CE37A3" w:rsidRDefault="004E2E2A" w14:paraId="2152A6BD" w14:textId="77777777">
      <w:pPr>
        <w:spacing w:after="0" w:line="240" w:lineRule="auto"/>
        <w:rPr>
          <w:rFonts w:ascii="Verdana" w:hAnsi="Verdana"/>
          <w:sz w:val="20"/>
          <w:szCs w:val="20"/>
        </w:rPr>
      </w:pPr>
    </w:p>
    <w:p w:rsidR="004E2E2A" w:rsidP="00CE37A3" w:rsidRDefault="004E2E2A" w14:paraId="1874F2B5" w14:textId="77777777">
      <w:pPr>
        <w:spacing w:after="0" w:line="240" w:lineRule="auto"/>
        <w:rPr>
          <w:rFonts w:ascii="Verdana" w:hAnsi="Verdana"/>
          <w:sz w:val="20"/>
          <w:szCs w:val="20"/>
        </w:rPr>
      </w:pPr>
    </w:p>
    <w:p w:rsidR="004E2E2A" w:rsidP="00CE37A3" w:rsidRDefault="004E2E2A" w14:paraId="7DC52AC9" w14:textId="77777777">
      <w:pPr>
        <w:spacing w:after="0" w:line="240" w:lineRule="auto"/>
        <w:rPr>
          <w:rFonts w:ascii="Verdana" w:hAnsi="Verdana"/>
          <w:sz w:val="20"/>
          <w:szCs w:val="20"/>
        </w:rPr>
      </w:pPr>
    </w:p>
    <w:p w:rsidR="004E2E2A" w:rsidP="00CE37A3" w:rsidRDefault="004E2E2A" w14:paraId="08124379" w14:textId="77777777">
      <w:pPr>
        <w:spacing w:after="0" w:line="240" w:lineRule="auto"/>
        <w:rPr>
          <w:rFonts w:ascii="Verdana" w:hAnsi="Verdana"/>
          <w:sz w:val="20"/>
          <w:szCs w:val="20"/>
        </w:rPr>
      </w:pPr>
    </w:p>
    <w:p w:rsidR="004E2E2A" w:rsidP="00CE37A3" w:rsidRDefault="004E2E2A" w14:paraId="57355613" w14:textId="77777777">
      <w:pPr>
        <w:spacing w:after="0" w:line="240" w:lineRule="auto"/>
        <w:rPr>
          <w:rFonts w:ascii="Verdana" w:hAnsi="Verdana"/>
          <w:sz w:val="20"/>
          <w:szCs w:val="20"/>
        </w:rPr>
      </w:pPr>
    </w:p>
    <w:p w:rsidR="004E2E2A" w:rsidP="00CE37A3" w:rsidRDefault="004E2E2A" w14:paraId="47DE183D" w14:textId="77777777">
      <w:pPr>
        <w:spacing w:after="0" w:line="240" w:lineRule="auto"/>
        <w:rPr>
          <w:rFonts w:ascii="Verdana" w:hAnsi="Verdana"/>
          <w:sz w:val="20"/>
          <w:szCs w:val="20"/>
        </w:rPr>
      </w:pPr>
    </w:p>
    <w:p w:rsidR="004E2E2A" w:rsidP="00CE37A3" w:rsidRDefault="004E2E2A" w14:paraId="0289532B" w14:textId="77777777">
      <w:pPr>
        <w:spacing w:after="0" w:line="240" w:lineRule="auto"/>
        <w:rPr>
          <w:rFonts w:ascii="Verdana" w:hAnsi="Verdana"/>
          <w:sz w:val="20"/>
          <w:szCs w:val="20"/>
        </w:rPr>
      </w:pPr>
    </w:p>
    <w:p w:rsidR="004E2E2A" w:rsidP="00CE37A3" w:rsidRDefault="004E2E2A" w14:paraId="14F85421" w14:textId="77777777">
      <w:pPr>
        <w:spacing w:after="0" w:line="240" w:lineRule="auto"/>
        <w:rPr>
          <w:rFonts w:ascii="Verdana" w:hAnsi="Verdana"/>
          <w:sz w:val="20"/>
          <w:szCs w:val="20"/>
        </w:rPr>
      </w:pPr>
    </w:p>
    <w:p w:rsidR="004E2E2A" w:rsidP="00CE37A3" w:rsidRDefault="004E2E2A" w14:paraId="0C19DCD5" w14:textId="77777777">
      <w:pPr>
        <w:spacing w:after="0" w:line="240" w:lineRule="auto"/>
        <w:rPr>
          <w:rFonts w:ascii="Verdana" w:hAnsi="Verdana"/>
          <w:sz w:val="20"/>
          <w:szCs w:val="20"/>
        </w:rPr>
      </w:pPr>
    </w:p>
    <w:p w:rsidR="004E2E2A" w:rsidP="00CE37A3" w:rsidRDefault="004E2E2A" w14:paraId="54EA0CBB" w14:textId="77777777">
      <w:pPr>
        <w:spacing w:after="0" w:line="240" w:lineRule="auto"/>
        <w:rPr>
          <w:rFonts w:ascii="Verdana" w:hAnsi="Verdana"/>
          <w:sz w:val="20"/>
          <w:szCs w:val="20"/>
        </w:rPr>
      </w:pPr>
    </w:p>
    <w:p w:rsidR="004E2E2A" w:rsidP="00CE37A3" w:rsidRDefault="004E2E2A" w14:paraId="75FEDE1D" w14:textId="77777777">
      <w:pPr>
        <w:spacing w:after="0" w:line="240" w:lineRule="auto"/>
        <w:rPr>
          <w:rFonts w:ascii="Verdana" w:hAnsi="Verdana"/>
          <w:sz w:val="20"/>
          <w:szCs w:val="20"/>
        </w:rPr>
      </w:pPr>
    </w:p>
    <w:p w:rsidR="004E2E2A" w:rsidP="00CE37A3" w:rsidRDefault="004E2E2A" w14:paraId="74492D40" w14:textId="77777777">
      <w:pPr>
        <w:spacing w:after="0" w:line="240" w:lineRule="auto"/>
        <w:rPr>
          <w:rFonts w:ascii="Verdana" w:hAnsi="Verdana"/>
          <w:sz w:val="20"/>
          <w:szCs w:val="20"/>
        </w:rPr>
      </w:pPr>
    </w:p>
    <w:p w:rsidR="004E2E2A" w:rsidP="00CE37A3" w:rsidRDefault="004E2E2A" w14:paraId="30BB62B9" w14:textId="77777777">
      <w:pPr>
        <w:spacing w:after="0" w:line="240" w:lineRule="auto"/>
        <w:rPr>
          <w:rFonts w:ascii="Verdana" w:hAnsi="Verdana"/>
          <w:sz w:val="20"/>
          <w:szCs w:val="20"/>
        </w:rPr>
      </w:pPr>
    </w:p>
    <w:p w:rsidR="004E2E2A" w:rsidP="00CE37A3" w:rsidRDefault="004E2E2A" w14:paraId="3526AD68" w14:textId="77777777">
      <w:pPr>
        <w:spacing w:after="0" w:line="240" w:lineRule="auto"/>
        <w:rPr>
          <w:rFonts w:ascii="Verdana" w:hAnsi="Verdana"/>
          <w:sz w:val="20"/>
          <w:szCs w:val="20"/>
        </w:rPr>
      </w:pPr>
    </w:p>
    <w:p w:rsidR="004E2E2A" w:rsidP="00CE37A3" w:rsidRDefault="004E2E2A" w14:paraId="069449C2" w14:textId="77777777">
      <w:pPr>
        <w:spacing w:after="0" w:line="240" w:lineRule="auto"/>
        <w:rPr>
          <w:rFonts w:ascii="Verdana" w:hAnsi="Verdana"/>
          <w:sz w:val="20"/>
          <w:szCs w:val="20"/>
        </w:rPr>
      </w:pPr>
    </w:p>
    <w:p w:rsidR="005E347B" w:rsidP="00CE37A3" w:rsidRDefault="005E347B" w14:paraId="5E0BB774" w14:textId="77777777">
      <w:pPr>
        <w:spacing w:after="0" w:line="240" w:lineRule="auto"/>
        <w:rPr>
          <w:rFonts w:ascii="Verdana" w:hAnsi="Verdana"/>
          <w:sz w:val="20"/>
          <w:szCs w:val="20"/>
        </w:rPr>
      </w:pPr>
    </w:p>
    <w:p w:rsidRPr="00EB1CF7" w:rsidR="00B30448" w:rsidP="00CE37A3" w:rsidRDefault="00B30448" w14:paraId="28047E8C" w14:textId="3A02E1A4">
      <w:pPr>
        <w:spacing w:after="0" w:line="240" w:lineRule="auto"/>
        <w:rPr>
          <w:rFonts w:ascii="Verdana" w:hAnsi="Verdana" w:eastAsia="Geomanist Light" w:cs="Arial"/>
          <w:color w:val="201F1E"/>
          <w:lang w:val="es-MX"/>
        </w:rPr>
      </w:pPr>
      <w:r w:rsidRPr="00EB1CF7">
        <w:rPr>
          <w:rFonts w:ascii="Verdana" w:hAnsi="Verdana" w:eastAsia="Geomanist Light" w:cs="Arial"/>
          <w:color w:val="000000" w:themeColor="text1"/>
          <w:lang w:val="es-MX"/>
        </w:rPr>
        <w:lastRenderedPageBreak/>
        <w:t>Bogotá D.C., </w:t>
      </w:r>
      <w:r w:rsidR="00853463">
        <w:rPr>
          <w:rFonts w:ascii="Verdana" w:hAnsi="Verdana" w:eastAsia="Geomanist Light" w:cs="Arial"/>
          <w:color w:val="201F1E"/>
          <w:lang w:val="es-MX"/>
        </w:rPr>
        <w:t>5 de diciembre de 2024</w:t>
      </w:r>
    </w:p>
    <w:p w:rsidRPr="00EB1CF7" w:rsidR="00B30448" w:rsidP="00CE37A3" w:rsidRDefault="00B30448" w14:paraId="1715E5B1" w14:textId="0ED43AD0">
      <w:pPr>
        <w:spacing w:after="0" w:line="240" w:lineRule="auto"/>
        <w:jc w:val="both"/>
        <w:rPr>
          <w:rFonts w:ascii="Verdana" w:hAnsi="Verdana" w:eastAsia="Calibri" w:cs="Arial"/>
          <w:color w:val="000000"/>
          <w:lang w:val="es-ES"/>
        </w:rPr>
      </w:pPr>
    </w:p>
    <w:p w:rsidR="00BB3BE4" w:rsidP="00853463" w:rsidRDefault="00E15EB0" w14:paraId="62AA4AF4" w14:textId="4CF5E27E">
      <w:pPr>
        <w:spacing w:after="0" w:line="240" w:lineRule="auto"/>
        <w:jc w:val="right"/>
        <w:rPr>
          <w:rFonts w:ascii="Verdana" w:hAnsi="Verdana" w:eastAsia="Calibri" w:cs="Arial"/>
          <w:color w:val="000000"/>
          <w:lang w:val="es-ES"/>
        </w:rPr>
      </w:pPr>
      <w:r w:rsidRPr="00E15EB0">
        <w:rPr>
          <w:rFonts w:ascii="Verdana" w:hAnsi="Verdana" w:eastAsia="Calibri" w:cs="Arial"/>
          <w:noProof/>
          <w:color w:val="000000"/>
          <w:lang w:val="es-ES"/>
        </w:rPr>
        <w:drawing>
          <wp:inline distT="0" distB="0" distL="0" distR="0" wp14:anchorId="052ED3B0" wp14:editId="3EAAB29F">
            <wp:extent cx="2750820" cy="899160"/>
            <wp:effectExtent l="0" t="0" r="0" b="0"/>
            <wp:docPr id="5303512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0820" cy="899160"/>
                    </a:xfrm>
                    <a:prstGeom prst="rect">
                      <a:avLst/>
                    </a:prstGeom>
                    <a:noFill/>
                    <a:ln>
                      <a:noFill/>
                    </a:ln>
                  </pic:spPr>
                </pic:pic>
              </a:graphicData>
            </a:graphic>
          </wp:inline>
        </w:drawing>
      </w:r>
    </w:p>
    <w:p w:rsidRPr="00EB1CF7" w:rsidR="00E15EB0" w:rsidP="00CE37A3" w:rsidRDefault="00E15EB0" w14:paraId="4558A4A7" w14:textId="77777777">
      <w:pPr>
        <w:spacing w:after="0" w:line="240" w:lineRule="auto"/>
        <w:jc w:val="both"/>
        <w:rPr>
          <w:rFonts w:ascii="Verdana" w:hAnsi="Verdana" w:eastAsia="Calibri" w:cs="Arial"/>
          <w:color w:val="000000"/>
          <w:lang w:val="es-ES"/>
        </w:rPr>
      </w:pPr>
    </w:p>
    <w:p w:rsidRPr="00EB1CF7" w:rsidR="00B30448" w:rsidP="00CE37A3" w:rsidRDefault="00B30448" w14:paraId="02CC2859" w14:textId="118384AC">
      <w:pPr>
        <w:spacing w:after="0" w:line="240" w:lineRule="auto"/>
        <w:jc w:val="both"/>
        <w:rPr>
          <w:rFonts w:ascii="Verdana" w:hAnsi="Verdana" w:eastAsia="Calibri" w:cs="Arial"/>
          <w:lang w:val="es-ES" w:eastAsia="es-ES"/>
        </w:rPr>
      </w:pPr>
      <w:r w:rsidRPr="00EB1CF7">
        <w:rPr>
          <w:rFonts w:ascii="Verdana" w:hAnsi="Verdana" w:eastAsia="Calibri" w:cs="Arial"/>
          <w:lang w:val="es-ES" w:eastAsia="es-ES"/>
        </w:rPr>
        <w:t>Señor</w:t>
      </w:r>
    </w:p>
    <w:p w:rsidRPr="00EB1CF7" w:rsidR="006D7C99" w:rsidP="00E80D00" w:rsidRDefault="00AE6D49" w14:paraId="1F7917CC" w14:textId="5E79D1E2">
      <w:pPr>
        <w:spacing w:after="0" w:line="240" w:lineRule="auto"/>
        <w:rPr>
          <w:rFonts w:ascii="Verdana" w:hAnsi="Verdana" w:eastAsia="Calibri" w:cs="Arial"/>
          <w:b/>
          <w:lang w:val="es-ES_tradnl" w:eastAsia="es-ES_tradnl"/>
        </w:rPr>
      </w:pPr>
      <w:r>
        <w:rPr>
          <w:rFonts w:ascii="Verdana" w:hAnsi="Verdana" w:eastAsia="Calibri" w:cs="Arial"/>
          <w:b/>
          <w:lang w:val="es-ES_tradnl" w:eastAsia="es-ES_tradnl"/>
        </w:rPr>
        <w:t>Sergio Luis Rada Fontalvo</w:t>
      </w:r>
    </w:p>
    <w:p w:rsidRPr="00EB1CF7" w:rsidR="00AF7809" w:rsidP="00E80D00" w:rsidRDefault="00B61023" w14:paraId="3B7601A0" w14:textId="4EA85B5C">
      <w:pPr>
        <w:spacing w:after="0" w:line="240" w:lineRule="auto"/>
        <w:rPr>
          <w:rFonts w:ascii="Verdana" w:hAnsi="Verdana" w:eastAsia="Calibri" w:cs="Arial"/>
          <w:lang w:eastAsia="es-ES"/>
        </w:rPr>
      </w:pPr>
      <w:r w:rsidRPr="00B61023">
        <w:rPr>
          <w:rFonts w:ascii="Verdana" w:hAnsi="Verdana" w:eastAsia="Calibri" w:cs="Arial"/>
          <w:lang w:eastAsia="es-ES"/>
        </w:rPr>
        <w:t>sergiorada26@hotmail.com</w:t>
      </w:r>
    </w:p>
    <w:p w:rsidRPr="00EB1CF7" w:rsidR="008E6AD9" w:rsidP="00CE37A3" w:rsidRDefault="00BF57FE" w14:paraId="00081778" w14:textId="01CD016D">
      <w:pPr>
        <w:spacing w:after="0" w:line="240" w:lineRule="auto"/>
        <w:rPr>
          <w:rFonts w:ascii="Verdana" w:hAnsi="Verdana" w:eastAsia="Calibri" w:cs="Arial"/>
          <w:lang w:val="es-ES" w:eastAsia="es-ES"/>
        </w:rPr>
      </w:pPr>
      <w:r>
        <w:rPr>
          <w:rFonts w:ascii="Verdana" w:hAnsi="Verdana" w:eastAsia="Calibri" w:cs="Arial"/>
          <w:lang w:val="es-ES" w:eastAsia="es-ES"/>
        </w:rPr>
        <w:t>Nueva granada</w:t>
      </w:r>
      <w:r w:rsidRPr="00EB1CF7" w:rsidR="00AB7BF3">
        <w:rPr>
          <w:rFonts w:ascii="Verdana" w:hAnsi="Verdana" w:eastAsia="Calibri" w:cs="Arial"/>
          <w:lang w:val="es-ES" w:eastAsia="es-ES"/>
        </w:rPr>
        <w:t xml:space="preserve">, </w:t>
      </w:r>
      <w:r>
        <w:rPr>
          <w:rFonts w:ascii="Verdana" w:hAnsi="Verdana" w:eastAsia="Calibri" w:cs="Arial"/>
          <w:lang w:val="es-ES" w:eastAsia="es-ES"/>
        </w:rPr>
        <w:t>Magdalena</w:t>
      </w:r>
      <w:r w:rsidRPr="00EB1CF7" w:rsidR="00FA0F71">
        <w:rPr>
          <w:rFonts w:ascii="Verdana" w:hAnsi="Verdana" w:eastAsia="Calibri" w:cs="Arial"/>
          <w:lang w:val="es-ES" w:eastAsia="es-ES"/>
        </w:rPr>
        <w:t xml:space="preserve"> </w:t>
      </w:r>
    </w:p>
    <w:p w:rsidRPr="00EB1CF7" w:rsidR="00497575" w:rsidP="00CE37A3" w:rsidRDefault="00497575" w14:paraId="083F7B5B" w14:textId="77777777">
      <w:pPr>
        <w:spacing w:after="0" w:line="240" w:lineRule="auto"/>
        <w:rPr>
          <w:rFonts w:ascii="Verdana" w:hAnsi="Verdana" w:eastAsia="Calibri" w:cs="Arial"/>
          <w:b/>
          <w:bCs/>
          <w:color w:val="000000"/>
          <w:lang w:val="es-ES_tradnl" w:eastAsia="es-ES_tradnl"/>
        </w:rPr>
      </w:pPr>
    </w:p>
    <w:p w:rsidRPr="00EB1CF7" w:rsidR="00B30448" w:rsidP="00CE37A3" w:rsidRDefault="00B30448" w14:paraId="63F71607"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EB1CF7" w:rsidR="00CE37A3" w:rsidTr="000F1AD8" w14:paraId="32935393" w14:textId="77777777">
        <w:trPr>
          <w:trHeight w:val="884"/>
        </w:trPr>
        <w:tc>
          <w:tcPr>
            <w:tcW w:w="2689" w:type="dxa"/>
          </w:tcPr>
          <w:p w:rsidRPr="00EB1CF7" w:rsidR="00CE37A3" w:rsidP="00CE37A3" w:rsidRDefault="00CE37A3" w14:paraId="5615C8B0" w14:textId="77777777">
            <w:pPr>
              <w:jc w:val="both"/>
              <w:rPr>
                <w:rFonts w:ascii="Verdana" w:hAnsi="Verdana" w:eastAsia="Calibri" w:cs="Arial"/>
                <w:b/>
                <w:bCs/>
                <w:color w:val="7030A0"/>
                <w:lang w:val="es-ES_tradnl" w:eastAsia="es-ES_tradnl"/>
              </w:rPr>
            </w:pPr>
          </w:p>
        </w:tc>
        <w:tc>
          <w:tcPr>
            <w:tcW w:w="6100" w:type="dxa"/>
          </w:tcPr>
          <w:p w:rsidRPr="00BF57FE" w:rsidR="00CE37A3" w:rsidP="00CE37A3" w:rsidRDefault="00CE37A3" w14:paraId="1CC0FC14" w14:textId="7ECAAAD6">
            <w:pPr>
              <w:jc w:val="both"/>
              <w:rPr>
                <w:rFonts w:ascii="Verdana" w:hAnsi="Verdana" w:eastAsia="Calibri" w:cs="Arial"/>
                <w:b/>
                <w:bCs/>
                <w:lang w:val="es-ES" w:eastAsia="es-ES"/>
              </w:rPr>
            </w:pPr>
            <w:r w:rsidRPr="00BF57FE">
              <w:rPr>
                <w:rFonts w:ascii="Verdana" w:hAnsi="Verdana" w:eastAsia="Calibri" w:cs="Arial"/>
                <w:b/>
                <w:bCs/>
                <w:lang w:val="es-ES" w:eastAsia="es-ES"/>
              </w:rPr>
              <w:t>Concepto C</w:t>
            </w:r>
            <w:r w:rsidRPr="00BF57FE" w:rsidR="008E6AD9">
              <w:rPr>
                <w:rFonts w:ascii="Verdana" w:hAnsi="Verdana" w:eastAsia="Calibri" w:cs="Arial"/>
                <w:b/>
                <w:bCs/>
                <w:lang w:val="es-ES" w:eastAsia="es-ES"/>
              </w:rPr>
              <w:t xml:space="preserve"> –</w:t>
            </w:r>
            <w:r w:rsidRPr="00BF57FE">
              <w:rPr>
                <w:rFonts w:ascii="Verdana" w:hAnsi="Verdana" w:eastAsia="Calibri" w:cs="Arial"/>
                <w:b/>
                <w:bCs/>
                <w:lang w:val="es-ES" w:eastAsia="es-ES"/>
              </w:rPr>
              <w:t xml:space="preserve"> </w:t>
            </w:r>
            <w:r w:rsidRPr="00BF57FE" w:rsidR="00FA4245">
              <w:rPr>
                <w:rFonts w:ascii="Verdana" w:hAnsi="Verdana" w:eastAsia="Calibri" w:cs="Arial"/>
                <w:b/>
                <w:bCs/>
                <w:lang w:val="es-ES" w:eastAsia="es-ES"/>
              </w:rPr>
              <w:t>850</w:t>
            </w:r>
            <w:r w:rsidRPr="00BF57FE">
              <w:rPr>
                <w:rFonts w:ascii="Verdana" w:hAnsi="Verdana" w:eastAsia="Calibri" w:cs="Arial"/>
                <w:b/>
                <w:bCs/>
                <w:lang w:val="es-ES" w:eastAsia="es-ES"/>
              </w:rPr>
              <w:t xml:space="preserve"> de 2024</w:t>
            </w:r>
          </w:p>
        </w:tc>
      </w:tr>
      <w:tr w:rsidRPr="00EB1CF7" w:rsidR="00B30448" w:rsidTr="000F1AD8" w14:paraId="52EC412F" w14:textId="77777777">
        <w:trPr>
          <w:trHeight w:val="884"/>
        </w:trPr>
        <w:tc>
          <w:tcPr>
            <w:tcW w:w="2689" w:type="dxa"/>
          </w:tcPr>
          <w:p w:rsidRPr="00EB1CF7" w:rsidR="00B30448" w:rsidP="00CE37A3" w:rsidRDefault="00B30448" w14:paraId="752B683B" w14:textId="77777777">
            <w:pPr>
              <w:jc w:val="both"/>
              <w:rPr>
                <w:rFonts w:ascii="Verdana" w:hAnsi="Verdana" w:eastAsia="Calibri" w:cs="Arial"/>
                <w:color w:val="000000"/>
                <w:lang w:val="es-ES_tradnl" w:eastAsia="es-ES_tradnl"/>
              </w:rPr>
            </w:pPr>
            <w:r w:rsidRPr="00EB1CF7">
              <w:rPr>
                <w:rFonts w:ascii="Verdana" w:hAnsi="Verdana" w:eastAsia="Calibri" w:cs="Arial"/>
                <w:b/>
                <w:color w:val="000000"/>
                <w:lang w:val="es-ES_tradnl" w:eastAsia="es-ES_tradnl"/>
              </w:rPr>
              <w:t>Temas:</w:t>
            </w:r>
            <w:r w:rsidRPr="00EB1CF7">
              <w:rPr>
                <w:rFonts w:ascii="Verdana" w:hAnsi="Verdana" w:eastAsia="Calibri" w:cs="Arial"/>
                <w:color w:val="000000"/>
                <w:lang w:val="es-ES_tradnl" w:eastAsia="es-ES_tradnl"/>
              </w:rPr>
              <w:t xml:space="preserve">                   </w:t>
            </w:r>
          </w:p>
        </w:tc>
        <w:tc>
          <w:tcPr>
            <w:tcW w:w="6100" w:type="dxa"/>
          </w:tcPr>
          <w:p w:rsidRPr="006619B9" w:rsidR="007B7B52" w:rsidP="007B7B52" w:rsidRDefault="0006223F" w14:paraId="513F84AD" w14:textId="22D11C66">
            <w:pPr>
              <w:jc w:val="both"/>
              <w:rPr>
                <w:rFonts w:ascii="Verdana" w:hAnsi="Verdana" w:eastAsia="Calibri" w:cs="Arial"/>
                <w:lang w:val="es-ES" w:eastAsia="es-ES"/>
              </w:rPr>
            </w:pPr>
            <w:r w:rsidRPr="006619B9">
              <w:rPr>
                <w:rFonts w:ascii="Verdana" w:hAnsi="Verdana" w:eastAsia="Calibri" w:cs="Arial"/>
                <w:bCs/>
                <w:color w:val="000000" w:themeColor="text1"/>
                <w:lang w:val="es-ES"/>
              </w:rPr>
              <w:t xml:space="preserve">PRINCIPIO DE ANUALIDAD – </w:t>
            </w:r>
            <w:r w:rsidRPr="006619B9" w:rsidR="006C0783">
              <w:rPr>
                <w:rFonts w:ascii="Verdana" w:hAnsi="Verdana" w:eastAsia="Calibri" w:cs="Arial"/>
                <w:bCs/>
                <w:color w:val="000000" w:themeColor="text1"/>
                <w:lang w:val="es-ES"/>
              </w:rPr>
              <w:t xml:space="preserve">Fundamento </w:t>
            </w:r>
            <w:r w:rsidRPr="006619B9">
              <w:rPr>
                <w:rFonts w:ascii="Verdana" w:hAnsi="Verdana" w:eastAsia="Calibri" w:cs="Arial"/>
                <w:bCs/>
                <w:color w:val="000000" w:themeColor="text1"/>
                <w:lang w:val="es-ES"/>
              </w:rPr>
              <w:t xml:space="preserve">/ </w:t>
            </w:r>
            <w:r w:rsidRPr="006619B9" w:rsidR="004E2E2A">
              <w:rPr>
                <w:rFonts w:ascii="Verdana" w:hAnsi="Verdana" w:eastAsia="Calibri" w:cs="Arial"/>
                <w:bCs/>
                <w:color w:val="000000" w:themeColor="text1"/>
                <w:lang w:val="es-ES"/>
              </w:rPr>
              <w:t>PRINCIPIO DE ANUALIDAD</w:t>
            </w:r>
            <w:r w:rsidRPr="006619B9" w:rsidR="004E2E2A">
              <w:rPr>
                <w:rFonts w:ascii="Verdana" w:hAnsi="Verdana" w:eastAsia="Calibri" w:cs="Arial"/>
                <w:lang w:val="es-ES" w:eastAsia="es-ES"/>
              </w:rPr>
              <w:t xml:space="preserve"> </w:t>
            </w:r>
            <w:r w:rsidRPr="006619B9" w:rsidR="00832D42">
              <w:rPr>
                <w:rFonts w:ascii="Verdana" w:hAnsi="Verdana" w:eastAsia="Calibri" w:cs="Arial"/>
                <w:lang w:val="es-ES" w:eastAsia="es-ES"/>
              </w:rPr>
              <w:t xml:space="preserve">– </w:t>
            </w:r>
            <w:r w:rsidRPr="006619B9" w:rsidR="004E2E2A">
              <w:rPr>
                <w:rFonts w:ascii="Verdana" w:hAnsi="Verdana" w:eastAsia="Calibri" w:cs="Arial"/>
                <w:lang w:val="es-ES" w:eastAsia="es-ES"/>
              </w:rPr>
              <w:t>Excepciones</w:t>
            </w:r>
            <w:r w:rsidRPr="006619B9" w:rsidR="00832D42">
              <w:rPr>
                <w:rFonts w:ascii="Verdana" w:hAnsi="Verdana" w:eastAsia="Calibri" w:cs="Arial"/>
                <w:lang w:val="es-ES" w:eastAsia="es-ES"/>
              </w:rPr>
              <w:t xml:space="preserve"> / </w:t>
            </w:r>
            <w:r w:rsidRPr="006619B9" w:rsidR="006619B9">
              <w:rPr>
                <w:rFonts w:ascii="Verdana" w:hAnsi="Verdana" w:eastAsia="Calibri" w:cs="Arial"/>
                <w:lang w:val="es-ES" w:eastAsia="es-ES"/>
              </w:rPr>
              <w:t xml:space="preserve">VIGENCIAS FUTURAS </w:t>
            </w:r>
            <w:r w:rsidRPr="006619B9" w:rsidR="00832D42">
              <w:rPr>
                <w:rFonts w:ascii="Verdana" w:hAnsi="Verdana" w:eastAsia="Calibri" w:cs="Arial"/>
                <w:lang w:val="es-ES" w:eastAsia="es-ES"/>
              </w:rPr>
              <w:t xml:space="preserve">– </w:t>
            </w:r>
            <w:r w:rsidRPr="006619B9" w:rsidR="006619B9">
              <w:rPr>
                <w:rFonts w:ascii="Verdana" w:hAnsi="Verdana" w:eastAsia="Calibri" w:cs="Arial"/>
                <w:lang w:val="es-ES" w:eastAsia="es-ES"/>
              </w:rPr>
              <w:t>Tipos</w:t>
            </w:r>
            <w:r w:rsidRPr="006619B9" w:rsidR="00832D42">
              <w:rPr>
                <w:rFonts w:ascii="Verdana" w:hAnsi="Verdana" w:eastAsia="Calibri" w:cs="Arial"/>
                <w:lang w:val="es-ES" w:eastAsia="es-ES"/>
              </w:rPr>
              <w:t xml:space="preserve"> </w:t>
            </w:r>
          </w:p>
          <w:p w:rsidRPr="00EB1CF7" w:rsidR="00D1484F" w:rsidP="00D1484F" w:rsidRDefault="00D1484F" w14:paraId="1D4AA017" w14:textId="40062F78">
            <w:pPr>
              <w:spacing w:line="276" w:lineRule="auto"/>
              <w:jc w:val="both"/>
              <w:rPr>
                <w:rFonts w:ascii="Verdana" w:hAnsi="Verdana" w:eastAsia="Calibri" w:cs="Arial"/>
                <w:lang w:val="es-ES" w:eastAsia="es-ES"/>
              </w:rPr>
            </w:pPr>
          </w:p>
        </w:tc>
      </w:tr>
      <w:tr w:rsidRPr="00EB1CF7" w:rsidR="008E6AD9" w:rsidTr="000F1AD8" w14:paraId="496C9430" w14:textId="77777777">
        <w:tc>
          <w:tcPr>
            <w:tcW w:w="2689" w:type="dxa"/>
          </w:tcPr>
          <w:p w:rsidRPr="00EB1CF7" w:rsidR="00B30448" w:rsidP="00CE37A3" w:rsidRDefault="00B30448" w14:paraId="4C8D9612" w14:textId="77777777">
            <w:pPr>
              <w:jc w:val="both"/>
              <w:rPr>
                <w:rFonts w:ascii="Verdana" w:hAnsi="Verdana" w:eastAsia="Calibri" w:cs="Arial"/>
                <w:b/>
                <w:lang w:val="es-ES_tradnl" w:eastAsia="es-ES_tradnl"/>
              </w:rPr>
            </w:pPr>
            <w:r w:rsidRPr="00EB1CF7">
              <w:rPr>
                <w:rFonts w:ascii="Verdana" w:hAnsi="Verdana" w:eastAsia="Calibri" w:cs="Arial"/>
                <w:b/>
                <w:lang w:val="es-ES_tradnl" w:eastAsia="es-ES_tradnl"/>
              </w:rPr>
              <w:t>Radicación:</w:t>
            </w:r>
            <w:r w:rsidRPr="00EB1CF7">
              <w:rPr>
                <w:rFonts w:ascii="Verdana" w:hAnsi="Verdana" w:eastAsia="Calibri" w:cs="Arial"/>
                <w:lang w:val="es-ES_tradnl" w:eastAsia="es-ES_tradnl"/>
              </w:rPr>
              <w:t xml:space="preserve">               </w:t>
            </w:r>
          </w:p>
        </w:tc>
        <w:tc>
          <w:tcPr>
            <w:tcW w:w="6100" w:type="dxa"/>
          </w:tcPr>
          <w:p w:rsidRPr="00EB1CF7" w:rsidR="00B30448" w:rsidP="00CE37A3" w:rsidRDefault="00B30448" w14:paraId="6EC2FCE3" w14:textId="140C8532">
            <w:pPr>
              <w:jc w:val="both"/>
              <w:rPr>
                <w:rFonts w:ascii="Verdana" w:hAnsi="Verdana" w:eastAsia="Calibri" w:cs="Arial"/>
                <w:lang w:eastAsia="es-ES_tradnl"/>
              </w:rPr>
            </w:pPr>
            <w:r w:rsidRPr="00EB1CF7">
              <w:rPr>
                <w:rFonts w:ascii="Verdana" w:hAnsi="Verdana" w:eastAsia="Calibri" w:cs="Arial"/>
                <w:lang w:val="es-ES_tradnl" w:eastAsia="es-ES_tradnl"/>
              </w:rPr>
              <w:t xml:space="preserve">Respuesta a </w:t>
            </w:r>
            <w:r w:rsidRPr="00EB1CF7" w:rsidR="00B71607">
              <w:rPr>
                <w:rFonts w:ascii="Verdana" w:hAnsi="Verdana" w:eastAsia="Calibri" w:cs="Arial"/>
                <w:lang w:val="es-ES_tradnl" w:eastAsia="es-ES_tradnl"/>
              </w:rPr>
              <w:t xml:space="preserve">la </w:t>
            </w:r>
            <w:r w:rsidRPr="00EB1CF7">
              <w:rPr>
                <w:rFonts w:ascii="Verdana" w:hAnsi="Verdana" w:eastAsia="Calibri" w:cs="Arial"/>
                <w:lang w:val="es-ES_tradnl" w:eastAsia="es-ES_tradnl"/>
              </w:rPr>
              <w:t>consulta</w:t>
            </w:r>
            <w:r w:rsidRPr="00EB1CF7" w:rsidR="009A5453">
              <w:rPr>
                <w:rFonts w:ascii="Verdana" w:hAnsi="Verdana" w:eastAsia="Calibri" w:cs="Arial"/>
                <w:lang w:val="es-ES_tradnl" w:eastAsia="es-ES_tradnl"/>
              </w:rPr>
              <w:t xml:space="preserve"> con radicado No.</w:t>
            </w:r>
            <w:r w:rsidRPr="00EB1CF7">
              <w:rPr>
                <w:rFonts w:ascii="Verdana" w:hAnsi="Verdana" w:eastAsia="Calibri" w:cs="Arial"/>
                <w:lang w:val="es-ES_tradnl" w:eastAsia="es-ES_tradnl"/>
              </w:rPr>
              <w:t xml:space="preserve"> </w:t>
            </w:r>
            <w:r w:rsidRPr="006F69D6" w:rsidR="006F69D6">
              <w:rPr>
                <w:rFonts w:ascii="Verdana" w:hAnsi="Verdana" w:eastAsia="Calibri" w:cs="Arial"/>
                <w:lang w:val="es-ES_tradnl" w:eastAsia="es-ES_tradnl"/>
              </w:rPr>
              <w:t xml:space="preserve">P20241112011334 </w:t>
            </w:r>
            <w:r w:rsidRPr="00EB1CF7" w:rsidR="008E6AD9">
              <w:rPr>
                <w:rFonts w:ascii="Verdana" w:hAnsi="Verdana" w:eastAsia="Calibri" w:cs="Arial"/>
                <w:lang w:val="es-ES_tradnl" w:eastAsia="es-ES_tradnl"/>
              </w:rPr>
              <w:t xml:space="preserve">                                   </w:t>
            </w:r>
          </w:p>
        </w:tc>
      </w:tr>
    </w:tbl>
    <w:p w:rsidRPr="00EB1CF7" w:rsidR="00B30448" w:rsidP="00CE37A3" w:rsidRDefault="00B30448" w14:paraId="657DDBDD" w14:textId="77777777">
      <w:pPr>
        <w:spacing w:after="0" w:line="240" w:lineRule="auto"/>
        <w:jc w:val="both"/>
        <w:rPr>
          <w:rFonts w:ascii="Verdana" w:hAnsi="Verdana" w:eastAsia="Calibri" w:cs="Arial"/>
          <w:color w:val="000000"/>
          <w:lang w:val="es-ES_tradnl" w:eastAsia="es-ES_tradnl"/>
        </w:rPr>
      </w:pPr>
    </w:p>
    <w:p w:rsidRPr="00EB1CF7" w:rsidR="00B30448" w:rsidP="00CE37A3" w:rsidRDefault="00B30448" w14:paraId="286892BD" w14:textId="77777777">
      <w:pPr>
        <w:spacing w:after="0" w:line="240" w:lineRule="auto"/>
        <w:jc w:val="both"/>
        <w:rPr>
          <w:rFonts w:ascii="Verdana" w:hAnsi="Verdana" w:eastAsia="Calibri" w:cs="Arial"/>
          <w:color w:val="000000"/>
          <w:lang w:val="es-ES_tradnl" w:eastAsia="es-ES_tradnl"/>
        </w:rPr>
      </w:pPr>
    </w:p>
    <w:p w:rsidRPr="00EB1CF7" w:rsidR="00B30448" w:rsidP="00E84D1C" w:rsidRDefault="00B30448" w14:paraId="4ED23440" w14:textId="4077B933">
      <w:pPr>
        <w:spacing w:after="0" w:line="276" w:lineRule="auto"/>
        <w:jc w:val="both"/>
        <w:rPr>
          <w:rFonts w:ascii="Verdana" w:hAnsi="Verdana" w:eastAsia="Calibri" w:cs="Arial"/>
          <w:lang w:val="es-ES" w:eastAsia="es-ES"/>
        </w:rPr>
      </w:pPr>
      <w:r w:rsidRPr="00EB1CF7">
        <w:rPr>
          <w:rFonts w:ascii="Verdana" w:hAnsi="Verdana" w:eastAsia="Calibri" w:cs="Arial"/>
          <w:lang w:val="es-ES" w:eastAsia="es-ES"/>
        </w:rPr>
        <w:t>Estimad</w:t>
      </w:r>
      <w:r w:rsidRPr="00EB1CF7" w:rsidR="00FA0F71">
        <w:rPr>
          <w:rFonts w:ascii="Verdana" w:hAnsi="Verdana" w:eastAsia="Calibri" w:cs="Arial"/>
          <w:lang w:val="es-ES" w:eastAsia="es-ES"/>
        </w:rPr>
        <w:t>o</w:t>
      </w:r>
      <w:r w:rsidRPr="00EB1CF7">
        <w:rPr>
          <w:rFonts w:ascii="Verdana" w:hAnsi="Verdana" w:eastAsia="Calibri" w:cs="Arial"/>
          <w:lang w:val="es-ES" w:eastAsia="es-ES"/>
        </w:rPr>
        <w:t xml:space="preserve"> señor</w:t>
      </w:r>
      <w:r w:rsidRPr="00EB1CF7" w:rsidR="00270443">
        <w:rPr>
          <w:rFonts w:ascii="Verdana" w:hAnsi="Verdana" w:eastAsia="Calibri" w:cs="Arial"/>
          <w:lang w:val="es-ES" w:eastAsia="es-ES"/>
        </w:rPr>
        <w:t xml:space="preserve"> </w:t>
      </w:r>
      <w:r w:rsidR="006F69D6">
        <w:rPr>
          <w:rFonts w:ascii="Verdana" w:hAnsi="Verdana" w:eastAsia="Calibri" w:cs="Arial"/>
          <w:lang w:val="es-ES" w:eastAsia="es-ES"/>
        </w:rPr>
        <w:t>Rada Fontalvo</w:t>
      </w:r>
      <w:r w:rsidRPr="00EB1CF7">
        <w:rPr>
          <w:rFonts w:ascii="Verdana" w:hAnsi="Verdana" w:eastAsia="Calibri" w:cs="Arial"/>
          <w:lang w:val="es-ES" w:eastAsia="es-ES"/>
        </w:rPr>
        <w:t xml:space="preserve">: </w:t>
      </w:r>
    </w:p>
    <w:p w:rsidRPr="00EB1CF7" w:rsidR="0013343F" w:rsidP="00631D4F" w:rsidRDefault="00631D4F" w14:paraId="47D52CB6" w14:textId="28FC249B">
      <w:pPr>
        <w:tabs>
          <w:tab w:val="left" w:pos="3768"/>
        </w:tabs>
        <w:spacing w:after="0" w:line="276" w:lineRule="auto"/>
        <w:jc w:val="both"/>
        <w:rPr>
          <w:rFonts w:ascii="Verdana" w:hAnsi="Verdana" w:eastAsia="Calibri" w:cs="Arial"/>
          <w:color w:val="000000" w:themeColor="text1"/>
          <w:lang w:val="es-ES" w:eastAsia="es-ES"/>
        </w:rPr>
      </w:pPr>
      <w:r w:rsidRPr="00EB1CF7">
        <w:rPr>
          <w:rFonts w:ascii="Verdana" w:hAnsi="Verdana" w:eastAsia="Calibri" w:cs="Arial"/>
          <w:color w:val="000000" w:themeColor="text1"/>
          <w:lang w:val="es-ES" w:eastAsia="es-ES"/>
        </w:rPr>
        <w:tab/>
      </w:r>
    </w:p>
    <w:p w:rsidRPr="00EB1CF7" w:rsidR="009442E8" w:rsidP="00E84D1C" w:rsidRDefault="00B30448" w14:paraId="7A40824C" w14:textId="2FA1F722">
      <w:pPr>
        <w:spacing w:after="0" w:line="276" w:lineRule="auto"/>
        <w:jc w:val="both"/>
        <w:rPr>
          <w:rFonts w:ascii="Verdana" w:hAnsi="Verdana" w:eastAsia="Calibri" w:cs="Arial"/>
          <w:color w:val="7030A0"/>
          <w:lang w:val="es-ES" w:eastAsia="es-ES"/>
        </w:rPr>
      </w:pPr>
      <w:r w:rsidRPr="00EB1CF7">
        <w:rPr>
          <w:rFonts w:ascii="Verdana" w:hAnsi="Verdana" w:eastAsia="Calibri" w:cs="Arial"/>
          <w:color w:val="000000" w:themeColor="text1"/>
          <w:lang w:val="es-ES" w:eastAsia="es-ES"/>
        </w:rPr>
        <w:t xml:space="preserve">En ejercicio de la competencia otorgada por </w:t>
      </w:r>
      <w:r w:rsidRPr="00EB1CF7" w:rsidR="009A5453">
        <w:rPr>
          <w:rFonts w:ascii="Verdana" w:hAnsi="Verdana" w:eastAsia="Calibri" w:cs="Arial"/>
          <w:color w:val="000000" w:themeColor="text1"/>
          <w:lang w:val="es-ES" w:eastAsia="es-ES"/>
        </w:rPr>
        <w:t>los artículo</w:t>
      </w:r>
      <w:r w:rsidRPr="00EB1CF7" w:rsidR="00AB1984">
        <w:rPr>
          <w:rFonts w:ascii="Verdana" w:hAnsi="Verdana" w:eastAsia="Calibri" w:cs="Arial"/>
          <w:color w:val="000000" w:themeColor="text1"/>
          <w:lang w:val="es-ES" w:eastAsia="es-ES"/>
        </w:rPr>
        <w:t>s</w:t>
      </w:r>
      <w:r w:rsidRPr="00EB1CF7" w:rsidR="009A5453">
        <w:rPr>
          <w:rFonts w:ascii="Verdana" w:hAnsi="Verdana" w:eastAsia="Calibri" w:cs="Arial"/>
          <w:color w:val="000000" w:themeColor="text1"/>
          <w:lang w:val="es-ES" w:eastAsia="es-ES"/>
        </w:rPr>
        <w:t xml:space="preserve"> 3,</w:t>
      </w:r>
      <w:r w:rsidRPr="00EB1CF7">
        <w:rPr>
          <w:rFonts w:ascii="Verdana" w:hAnsi="Verdana" w:eastAsia="Calibri" w:cs="Arial"/>
          <w:color w:val="000000" w:themeColor="text1"/>
          <w:lang w:val="es-ES" w:eastAsia="es-ES"/>
        </w:rPr>
        <w:t xml:space="preserve"> numeral </w:t>
      </w:r>
      <w:r w:rsidRPr="00EB1CF7" w:rsidR="009A5453">
        <w:rPr>
          <w:rFonts w:ascii="Verdana" w:hAnsi="Verdana" w:eastAsia="Calibri" w:cs="Arial"/>
          <w:color w:val="000000" w:themeColor="text1"/>
          <w:lang w:val="es-ES" w:eastAsia="es-ES"/>
        </w:rPr>
        <w:t>5</w:t>
      </w:r>
      <w:r w:rsidRPr="00EB1CF7" w:rsidR="00215516">
        <w:rPr>
          <w:rFonts w:ascii="Verdana" w:hAnsi="Verdana" w:eastAsia="Calibri" w:cs="Arial"/>
          <w:color w:val="000000" w:themeColor="text1"/>
          <w:lang w:val="es-ES" w:eastAsia="es-ES"/>
        </w:rPr>
        <w:t>º</w:t>
      </w:r>
      <w:r w:rsidRPr="00EB1CF7" w:rsidR="00F64D5A">
        <w:rPr>
          <w:rFonts w:ascii="Verdana" w:hAnsi="Verdana" w:eastAsia="Calibri" w:cs="Arial"/>
          <w:color w:val="000000" w:themeColor="text1"/>
          <w:lang w:val="es-ES" w:eastAsia="es-ES"/>
        </w:rPr>
        <w:t>,</w:t>
      </w:r>
      <w:r w:rsidRPr="00EB1CF7">
        <w:rPr>
          <w:rFonts w:ascii="Verdana" w:hAnsi="Verdana" w:eastAsia="Calibri" w:cs="Arial"/>
          <w:color w:val="000000" w:themeColor="text1"/>
          <w:lang w:val="es-ES" w:eastAsia="es-ES"/>
        </w:rPr>
        <w:t xml:space="preserve"> </w:t>
      </w:r>
      <w:r w:rsidRPr="00EB1CF7" w:rsidR="009A5453">
        <w:rPr>
          <w:rFonts w:ascii="Verdana" w:hAnsi="Verdana" w:eastAsia="Calibri" w:cs="Arial"/>
          <w:color w:val="000000" w:themeColor="text1"/>
          <w:lang w:val="es-ES" w:eastAsia="es-ES"/>
        </w:rPr>
        <w:t>y</w:t>
      </w:r>
      <w:r w:rsidRPr="00EB1CF7">
        <w:rPr>
          <w:rFonts w:ascii="Verdana" w:hAnsi="Verdana" w:eastAsia="Calibri" w:cs="Arial"/>
          <w:color w:val="000000" w:themeColor="text1"/>
          <w:lang w:val="es-ES" w:eastAsia="es-ES"/>
        </w:rPr>
        <w:t xml:space="preserve"> 11</w:t>
      </w:r>
      <w:r w:rsidRPr="00EB1CF7" w:rsidR="00F64D5A">
        <w:rPr>
          <w:rFonts w:ascii="Verdana" w:hAnsi="Verdana" w:eastAsia="Calibri" w:cs="Arial"/>
          <w:color w:val="000000" w:themeColor="text1"/>
          <w:lang w:val="es-ES" w:eastAsia="es-ES"/>
        </w:rPr>
        <w:t>,</w:t>
      </w:r>
      <w:r w:rsidRPr="00EB1CF7" w:rsidR="00AB1984">
        <w:rPr>
          <w:rFonts w:ascii="Verdana" w:hAnsi="Verdana" w:eastAsia="Calibri" w:cs="Arial"/>
          <w:color w:val="000000" w:themeColor="text1"/>
          <w:lang w:val="es-ES" w:eastAsia="es-ES"/>
        </w:rPr>
        <w:t xml:space="preserve"> </w:t>
      </w:r>
      <w:r w:rsidRPr="00EB1CF7">
        <w:rPr>
          <w:rFonts w:ascii="Verdana" w:hAnsi="Verdana" w:eastAsia="Calibri" w:cs="Arial"/>
          <w:color w:val="000000" w:themeColor="text1"/>
          <w:lang w:val="es-ES" w:eastAsia="es-ES"/>
        </w:rPr>
        <w:t xml:space="preserve">numeral </w:t>
      </w:r>
      <w:r w:rsidRPr="00EB1CF7" w:rsidR="00AB1984">
        <w:rPr>
          <w:rFonts w:ascii="Verdana" w:hAnsi="Verdana" w:eastAsia="Calibri" w:cs="Arial"/>
          <w:color w:val="000000" w:themeColor="text1"/>
          <w:lang w:val="es-ES" w:eastAsia="es-ES"/>
        </w:rPr>
        <w:t>8</w:t>
      </w:r>
      <w:r w:rsidRPr="00EB1CF7" w:rsidR="00215516">
        <w:rPr>
          <w:rFonts w:ascii="Verdana" w:hAnsi="Verdana" w:eastAsia="Calibri" w:cs="Arial"/>
          <w:color w:val="000000" w:themeColor="text1"/>
          <w:lang w:val="es-ES" w:eastAsia="es-ES"/>
        </w:rPr>
        <w:t>º</w:t>
      </w:r>
      <w:r w:rsidRPr="00EB1CF7" w:rsidR="00F64D5A">
        <w:rPr>
          <w:rFonts w:ascii="Verdana" w:hAnsi="Verdana" w:eastAsia="Calibri" w:cs="Arial"/>
          <w:color w:val="000000" w:themeColor="text1"/>
          <w:lang w:val="es-ES" w:eastAsia="es-ES"/>
        </w:rPr>
        <w:t>,</w:t>
      </w:r>
      <w:r w:rsidRPr="00EB1CF7">
        <w:rPr>
          <w:rFonts w:ascii="Verdana" w:hAnsi="Verdana" w:eastAsia="Calibri" w:cs="Arial"/>
          <w:color w:val="000000" w:themeColor="text1"/>
          <w:lang w:val="es-ES" w:eastAsia="es-ES"/>
        </w:rPr>
        <w:t xml:space="preserve"> del Decreto Ley 4170 de 2011,</w:t>
      </w:r>
      <w:r w:rsidRPr="00EB1CF7">
        <w:rPr>
          <w:rFonts w:ascii="Verdana" w:hAnsi="Verdana" w:eastAsia="Arial MT" w:cs="Arial MT"/>
          <w:lang w:val="es-ES" w:eastAsia="es-ES"/>
        </w:rPr>
        <w:t xml:space="preserve"> </w:t>
      </w:r>
      <w:r w:rsidRPr="00EB1CF7" w:rsidR="002A0F8D">
        <w:rPr>
          <w:rFonts w:ascii="Verdana" w:hAnsi="Verdana" w:cs="Arial"/>
        </w:rPr>
        <w:t xml:space="preserve">así como lo establecido en </w:t>
      </w:r>
      <w:r w:rsidRPr="00EB1CF7" w:rsidR="00DC2C48">
        <w:rPr>
          <w:rFonts w:ascii="Verdana" w:hAnsi="Verdana" w:cs="Arial"/>
        </w:rPr>
        <w:t xml:space="preserve">el artículo 4 de </w:t>
      </w:r>
      <w:r w:rsidRPr="00EB1CF7" w:rsidR="002A0F8D">
        <w:rPr>
          <w:rFonts w:ascii="Verdana" w:hAnsi="Verdana" w:cs="Arial"/>
        </w:rPr>
        <w:t xml:space="preserve">la Resolución 1707 de 2018 expedida por esta Entidad, </w:t>
      </w:r>
      <w:r w:rsidRPr="00EB1CF7">
        <w:rPr>
          <w:rFonts w:ascii="Verdana" w:hAnsi="Verdana" w:eastAsia="Calibri" w:cs="Arial"/>
          <w:color w:val="000000" w:themeColor="text1"/>
          <w:lang w:val="es-ES" w:eastAsia="es-ES"/>
        </w:rPr>
        <w:t>la Agencia Nacional de Contratación Pública – Colombia Compra Eficiente responde su solicitud de</w:t>
      </w:r>
      <w:r w:rsidRPr="00EB1CF7" w:rsidR="004612A4">
        <w:rPr>
          <w:rFonts w:ascii="Verdana" w:hAnsi="Verdana" w:eastAsia="Calibri" w:cs="Arial"/>
          <w:color w:val="000000" w:themeColor="text1"/>
          <w:lang w:val="es-ES" w:eastAsia="es-ES"/>
        </w:rPr>
        <w:t>l</w:t>
      </w:r>
      <w:r w:rsidRPr="00EB1CF7" w:rsidR="00DC2C48">
        <w:rPr>
          <w:rFonts w:ascii="Verdana" w:hAnsi="Verdana" w:eastAsia="Calibri" w:cs="Arial"/>
          <w:color w:val="000000" w:themeColor="text1"/>
          <w:lang w:val="es-ES" w:eastAsia="es-ES"/>
        </w:rPr>
        <w:t xml:space="preserve"> </w:t>
      </w:r>
      <w:r w:rsidR="0050386D">
        <w:rPr>
          <w:rFonts w:ascii="Verdana" w:hAnsi="Verdana" w:eastAsia="Calibri" w:cs="Arial"/>
          <w:lang w:val="es-ES" w:eastAsia="es-ES"/>
        </w:rPr>
        <w:t xml:space="preserve">12 </w:t>
      </w:r>
      <w:r w:rsidRPr="00EB1CF7" w:rsidR="00772B41">
        <w:rPr>
          <w:rFonts w:ascii="Verdana" w:hAnsi="Verdana" w:eastAsia="Calibri" w:cs="Arial"/>
          <w:lang w:val="es-ES" w:eastAsia="es-ES"/>
        </w:rPr>
        <w:t xml:space="preserve">de </w:t>
      </w:r>
      <w:r w:rsidR="0050386D">
        <w:rPr>
          <w:rFonts w:ascii="Verdana" w:hAnsi="Verdana" w:eastAsia="Calibri" w:cs="Arial"/>
          <w:lang w:val="es-ES" w:eastAsia="es-ES"/>
        </w:rPr>
        <w:t>noviembre</w:t>
      </w:r>
      <w:r w:rsidRPr="00EB1CF7">
        <w:rPr>
          <w:rFonts w:ascii="Verdana" w:hAnsi="Verdana" w:eastAsia="Calibri" w:cs="Arial"/>
          <w:lang w:val="es-ES" w:eastAsia="es-ES"/>
        </w:rPr>
        <w:t xml:space="preserve"> de 20</w:t>
      </w:r>
      <w:r w:rsidRPr="00EB1CF7" w:rsidR="008E6AD9">
        <w:rPr>
          <w:rFonts w:ascii="Verdana" w:hAnsi="Verdana" w:eastAsia="Calibri" w:cs="Arial"/>
          <w:lang w:val="es-ES" w:eastAsia="es-ES"/>
        </w:rPr>
        <w:t>24</w:t>
      </w:r>
      <w:r w:rsidRPr="00EB1CF7" w:rsidR="00057963">
        <w:rPr>
          <w:rFonts w:ascii="Verdana" w:hAnsi="Verdana" w:eastAsia="Calibri" w:cs="Arial"/>
          <w:lang w:val="es-ES" w:eastAsia="es-ES"/>
        </w:rPr>
        <w:t>,</w:t>
      </w:r>
      <w:r w:rsidRPr="00EB1CF7" w:rsidR="00772B41">
        <w:rPr>
          <w:rFonts w:ascii="Verdana" w:hAnsi="Verdana" w:eastAsia="Calibri" w:cs="Arial"/>
          <w:lang w:val="es-ES" w:eastAsia="es-ES"/>
        </w:rPr>
        <w:t xml:space="preserve"> </w:t>
      </w:r>
      <w:r w:rsidRPr="00EB1CF7" w:rsidR="00057963">
        <w:rPr>
          <w:rFonts w:ascii="Verdana" w:hAnsi="Verdana" w:eastAsia="Calibri" w:cs="Arial"/>
          <w:lang w:val="es-ES" w:eastAsia="es-ES"/>
        </w:rPr>
        <w:t>en la cua</w:t>
      </w:r>
      <w:r w:rsidRPr="00EB1CF7" w:rsidR="008E6AD9">
        <w:rPr>
          <w:rFonts w:ascii="Verdana" w:hAnsi="Verdana" w:eastAsia="Calibri" w:cs="Arial"/>
          <w:lang w:val="es-ES" w:eastAsia="es-ES"/>
        </w:rPr>
        <w:t xml:space="preserve">l </w:t>
      </w:r>
      <w:r w:rsidRPr="00EB1CF7" w:rsidR="00F535A9">
        <w:rPr>
          <w:rFonts w:ascii="Verdana" w:hAnsi="Verdana" w:eastAsia="Calibri" w:cs="Arial"/>
          <w:lang w:val="es-ES" w:eastAsia="es-ES"/>
        </w:rPr>
        <w:t>pregunta sobre</w:t>
      </w:r>
      <w:r w:rsidRPr="00EB1CF7" w:rsidR="006021B1">
        <w:rPr>
          <w:rFonts w:ascii="Verdana" w:hAnsi="Verdana" w:eastAsia="Calibri" w:cs="Arial"/>
          <w:lang w:val="es-ES" w:eastAsia="es-ES"/>
        </w:rPr>
        <w:t xml:space="preserve"> lo siguiente</w:t>
      </w:r>
      <w:r w:rsidRPr="00EB1CF7" w:rsidR="00057963">
        <w:rPr>
          <w:rFonts w:ascii="Verdana" w:hAnsi="Verdana" w:eastAsia="Calibri" w:cs="Arial"/>
          <w:lang w:val="es-ES" w:eastAsia="es-ES"/>
        </w:rPr>
        <w:t xml:space="preserve">: </w:t>
      </w:r>
    </w:p>
    <w:p w:rsidRPr="00EB1CF7" w:rsidR="00057963" w:rsidP="00057963" w:rsidRDefault="00057963" w14:paraId="38A0ECFE" w14:textId="24979823">
      <w:pPr>
        <w:pStyle w:val="Prrafodelista"/>
        <w:tabs>
          <w:tab w:val="left" w:pos="142"/>
          <w:tab w:val="left" w:pos="284"/>
        </w:tabs>
        <w:spacing w:line="276" w:lineRule="auto"/>
        <w:ind w:left="0"/>
        <w:jc w:val="both"/>
        <w:rPr>
          <w:rFonts w:ascii="Verdana" w:hAnsi="Verdana" w:eastAsia="Century Gothic" w:cs="Century Gothic"/>
          <w:b/>
          <w:bCs/>
          <w:sz w:val="22"/>
          <w:lang w:val="es-ES"/>
        </w:rPr>
      </w:pPr>
    </w:p>
    <w:p w:rsidRPr="00E37146" w:rsidR="00FC6D4E" w:rsidP="00356BFD" w:rsidRDefault="00FC6D4E" w14:paraId="0AC299D8" w14:textId="33627D65">
      <w:pPr>
        <w:spacing w:after="0" w:line="240" w:lineRule="auto"/>
        <w:ind w:left="709" w:right="709"/>
        <w:jc w:val="both"/>
        <w:rPr>
          <w:rFonts w:ascii="Verdana" w:hAnsi="Verdana" w:eastAsia="Century Gothic" w:cs="Century Gothic"/>
          <w:i/>
          <w:iCs/>
          <w:sz w:val="21"/>
          <w:szCs w:val="21"/>
          <w:lang w:val="es-ES"/>
        </w:rPr>
      </w:pPr>
      <w:bookmarkStart w:name="_Hlk95313578" w:id="0"/>
      <w:r w:rsidRPr="00EB1CF7">
        <w:rPr>
          <w:rFonts w:ascii="Verdana" w:hAnsi="Verdana" w:eastAsia="Century Gothic" w:cs="Century Gothic"/>
          <w:i/>
          <w:iCs/>
          <w:sz w:val="21"/>
          <w:szCs w:val="21"/>
          <w:lang w:val="es-ES"/>
        </w:rPr>
        <w:t>“</w:t>
      </w:r>
      <w:bookmarkEnd w:id="0"/>
      <w:r w:rsidRPr="0050386D" w:rsidR="0050386D">
        <w:rPr>
          <w:rFonts w:ascii="Verdana" w:hAnsi="Verdana" w:eastAsia="Century Gothic" w:cs="Century Gothic"/>
          <w:i/>
          <w:iCs/>
          <w:sz w:val="21"/>
          <w:szCs w:val="21"/>
          <w:lang w:val="es-ES"/>
        </w:rPr>
        <w:t>En esta vigencia se cuentan con los recursos para celebrar un convenio con una empresa de servicios</w:t>
      </w:r>
      <w:r w:rsidR="00E37146">
        <w:rPr>
          <w:rFonts w:ascii="Verdana" w:hAnsi="Verdana" w:eastAsia="Century Gothic" w:cs="Century Gothic"/>
          <w:i/>
          <w:iCs/>
          <w:sz w:val="21"/>
          <w:szCs w:val="21"/>
          <w:lang w:val="es-ES"/>
        </w:rPr>
        <w:t xml:space="preserve"> </w:t>
      </w:r>
      <w:r w:rsidRPr="0050386D" w:rsidR="0050386D">
        <w:rPr>
          <w:rFonts w:ascii="Verdana" w:hAnsi="Verdana" w:eastAsia="Century Gothic" w:cs="Century Gothic"/>
          <w:i/>
          <w:iCs/>
          <w:sz w:val="21"/>
          <w:szCs w:val="21"/>
          <w:lang w:val="es-ES"/>
        </w:rPr>
        <w:t>públicos,</w:t>
      </w:r>
      <w:r w:rsidR="009C255E">
        <w:rPr>
          <w:rFonts w:ascii="Verdana" w:hAnsi="Verdana" w:eastAsia="Century Gothic" w:cs="Century Gothic"/>
          <w:i/>
          <w:iCs/>
          <w:sz w:val="21"/>
          <w:szCs w:val="21"/>
          <w:lang w:val="es-ES"/>
        </w:rPr>
        <w:t xml:space="preserve"> </w:t>
      </w:r>
      <w:r w:rsidRPr="0050386D" w:rsidR="0050386D">
        <w:rPr>
          <w:rFonts w:ascii="Verdana" w:hAnsi="Verdana" w:eastAsia="Century Gothic" w:cs="Century Gothic"/>
          <w:i/>
          <w:iCs/>
          <w:sz w:val="21"/>
          <w:szCs w:val="21"/>
          <w:lang w:val="es-ES"/>
        </w:rPr>
        <w:t>los estudios arrojan que la ejecución se terminará en 5 meses lo que indica que la ejecución terminará en la próxima vigencia,</w:t>
      </w:r>
      <w:r w:rsidR="00E37146">
        <w:rPr>
          <w:rFonts w:ascii="Verdana" w:hAnsi="Verdana" w:eastAsia="Century Gothic" w:cs="Century Gothic"/>
          <w:i/>
          <w:iCs/>
          <w:sz w:val="21"/>
          <w:szCs w:val="21"/>
          <w:lang w:val="es-ES"/>
        </w:rPr>
        <w:t xml:space="preserve"> </w:t>
      </w:r>
      <w:r w:rsidRPr="0050386D" w:rsidR="0050386D">
        <w:rPr>
          <w:rFonts w:ascii="Verdana" w:hAnsi="Verdana" w:eastAsia="Century Gothic" w:cs="Century Gothic"/>
          <w:i/>
          <w:iCs/>
          <w:sz w:val="21"/>
          <w:szCs w:val="21"/>
          <w:lang w:val="es-ES"/>
        </w:rPr>
        <w:t>se puede celebrar el convenio teniendo en cuenta que la apropiación</w:t>
      </w:r>
      <w:r w:rsidR="00E37146">
        <w:rPr>
          <w:rFonts w:ascii="Verdana" w:hAnsi="Verdana" w:eastAsia="Century Gothic" w:cs="Century Gothic"/>
          <w:i/>
          <w:iCs/>
          <w:sz w:val="21"/>
          <w:szCs w:val="21"/>
          <w:lang w:val="es-ES"/>
        </w:rPr>
        <w:t xml:space="preserve"> </w:t>
      </w:r>
      <w:r w:rsidRPr="0050386D" w:rsidR="0050386D">
        <w:rPr>
          <w:rFonts w:ascii="Verdana" w:hAnsi="Verdana" w:eastAsia="Century Gothic" w:cs="Century Gothic"/>
          <w:i/>
          <w:iCs/>
          <w:sz w:val="21"/>
          <w:szCs w:val="21"/>
          <w:lang w:val="es-ES"/>
        </w:rPr>
        <w:t>corresponde el 100 % de la vigencia actual,</w:t>
      </w:r>
      <w:r w:rsidR="009C255E">
        <w:rPr>
          <w:rFonts w:ascii="Verdana" w:hAnsi="Verdana" w:eastAsia="Century Gothic" w:cs="Century Gothic"/>
          <w:i/>
          <w:iCs/>
          <w:sz w:val="21"/>
          <w:szCs w:val="21"/>
          <w:lang w:val="es-ES"/>
        </w:rPr>
        <w:t xml:space="preserve"> </w:t>
      </w:r>
      <w:r w:rsidRPr="0050386D" w:rsidR="0050386D">
        <w:rPr>
          <w:rFonts w:ascii="Verdana" w:hAnsi="Verdana" w:eastAsia="Century Gothic" w:cs="Century Gothic"/>
          <w:i/>
          <w:iCs/>
          <w:sz w:val="21"/>
          <w:szCs w:val="21"/>
          <w:lang w:val="es-ES"/>
        </w:rPr>
        <w:t>que tipo de vigencia futura seria</w:t>
      </w:r>
      <w:r w:rsidRPr="00EB1CF7" w:rsidR="00497575">
        <w:rPr>
          <w:rFonts w:ascii="Verdana" w:hAnsi="Verdana" w:eastAsia="Century Gothic" w:cs="Century Gothic"/>
          <w:i/>
          <w:iCs/>
          <w:sz w:val="21"/>
          <w:szCs w:val="21"/>
          <w:lang w:val="es-ES"/>
        </w:rPr>
        <w:t>”</w:t>
      </w:r>
      <w:r w:rsidRPr="00EB1CF7">
        <w:rPr>
          <w:rFonts w:ascii="Verdana" w:hAnsi="Verdana" w:eastAsia="Century Gothic" w:cs="Century Gothic"/>
          <w:i/>
          <w:iCs/>
          <w:sz w:val="21"/>
          <w:szCs w:val="21"/>
          <w:lang w:val="es-ES"/>
        </w:rPr>
        <w:t>.</w:t>
      </w:r>
      <w:r w:rsidRPr="00EB1CF7" w:rsidR="008F3AC3">
        <w:rPr>
          <w:rFonts w:ascii="Verdana" w:hAnsi="Verdana" w:eastAsia="Century Gothic" w:cs="Century Gothic"/>
          <w:i/>
          <w:iCs/>
          <w:sz w:val="20"/>
          <w:szCs w:val="20"/>
          <w:lang w:val="es-ES"/>
        </w:rPr>
        <w:t xml:space="preserve"> </w:t>
      </w:r>
    </w:p>
    <w:p w:rsidRPr="00EB1CF7" w:rsidR="00FC6D4E" w:rsidP="00057963" w:rsidRDefault="00FC6D4E" w14:paraId="4001D734" w14:textId="527E7727">
      <w:pPr>
        <w:pStyle w:val="Prrafodelista"/>
        <w:tabs>
          <w:tab w:val="left" w:pos="142"/>
          <w:tab w:val="left" w:pos="284"/>
        </w:tabs>
        <w:spacing w:line="276" w:lineRule="auto"/>
        <w:ind w:left="0"/>
        <w:jc w:val="both"/>
        <w:rPr>
          <w:rFonts w:ascii="Verdana" w:hAnsi="Verdana" w:eastAsia="Century Gothic" w:cs="Century Gothic"/>
          <w:b/>
          <w:bCs/>
          <w:sz w:val="22"/>
          <w:lang w:val="es-ES"/>
        </w:rPr>
      </w:pPr>
    </w:p>
    <w:p w:rsidRPr="00EB1CF7" w:rsidR="00992986" w:rsidP="00A652FF" w:rsidRDefault="008F27E3" w14:paraId="4ACC697B" w14:textId="03ADFEDB">
      <w:pPr>
        <w:spacing w:after="120" w:line="276" w:lineRule="auto"/>
        <w:ind w:firstLine="709"/>
        <w:jc w:val="both"/>
        <w:rPr>
          <w:rFonts w:ascii="Verdana" w:hAnsi="Verdana" w:eastAsia="Calibri" w:cs="Arial"/>
          <w:color w:val="000000"/>
          <w:lang w:val="es-ES" w:eastAsia="es-ES"/>
        </w:rPr>
      </w:pPr>
      <w:r w:rsidRPr="00EB1CF7">
        <w:rPr>
          <w:rFonts w:ascii="Verdana" w:hAnsi="Verdana" w:eastAsia="Calibri" w:cs="Arial"/>
          <w:color w:val="000000"/>
          <w:lang w:val="es-ES" w:eastAsia="es-ES"/>
        </w:rPr>
        <w:lastRenderedPageBreak/>
        <w:t>De manera preliminar</w:t>
      </w:r>
      <w:r w:rsidRPr="00EB1CF7" w:rsidR="00FC6D4E">
        <w:rPr>
          <w:rFonts w:ascii="Verdana" w:hAnsi="Verdana" w:eastAsia="Calibri"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B1CF7" w:rsidR="00FC6D4E">
        <w:rPr>
          <w:rFonts w:ascii="Verdana" w:hAnsi="Verdana" w:eastAsia="Calibri" w:cs="Arial"/>
          <w:color w:val="000000"/>
          <w:szCs w:val="24"/>
          <w:lang w:val="es-ES_tradnl" w:eastAsia="es-ES_tradnl"/>
        </w:rPr>
        <w:tab/>
      </w:r>
    </w:p>
    <w:p w:rsidRPr="00EB1CF7" w:rsidR="00FC6D4E" w:rsidP="001918F1" w:rsidRDefault="00FC6D4E" w14:paraId="07856852" w14:textId="3C3CEEED">
      <w:pPr>
        <w:spacing w:after="0" w:line="276" w:lineRule="auto"/>
        <w:ind w:firstLine="709"/>
        <w:jc w:val="both"/>
        <w:rPr>
          <w:rFonts w:ascii="Verdana" w:hAnsi="Verdana" w:eastAsia="Calibri" w:cs="Arial"/>
          <w:color w:val="000000"/>
          <w:lang w:val="es-ES" w:eastAsia="es-ES"/>
        </w:rPr>
      </w:pPr>
      <w:r w:rsidRPr="00EB1CF7">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Pr="00EB1CF7" w:rsidR="00992986">
        <w:rPr>
          <w:rFonts w:ascii="Verdana" w:hAnsi="Verdana" w:eastAsia="Calibri" w:cs="Arial"/>
          <w:color w:val="000000"/>
          <w:lang w:val="es-ES" w:eastAsia="es-ES"/>
        </w:rPr>
        <w:t>s circunstancias</w:t>
      </w:r>
      <w:r w:rsidRPr="00EB1CF7">
        <w:rPr>
          <w:rFonts w:ascii="Verdana" w:hAnsi="Verdana" w:eastAsia="Calibri" w:cs="Arial"/>
          <w:color w:val="000000"/>
          <w:lang w:val="es-ES" w:eastAsia="es-ES"/>
        </w:rPr>
        <w:t xml:space="preserve"> particular</w:t>
      </w:r>
      <w:r w:rsidRPr="00EB1CF7" w:rsidR="00992986">
        <w:rPr>
          <w:rFonts w:ascii="Verdana" w:hAnsi="Verdana" w:eastAsia="Calibri" w:cs="Arial"/>
          <w:color w:val="000000"/>
          <w:lang w:val="es-ES" w:eastAsia="es-ES"/>
        </w:rPr>
        <w:t>es</w:t>
      </w:r>
      <w:r w:rsidRPr="00EB1CF7">
        <w:rPr>
          <w:rFonts w:ascii="Verdana" w:hAnsi="Verdana" w:eastAsia="Calibri" w:cs="Arial"/>
          <w:color w:val="000000"/>
          <w:lang w:val="es-ES" w:eastAsia="es-ES"/>
        </w:rPr>
        <w:t xml:space="preserve"> y concreta</w:t>
      </w:r>
      <w:r w:rsidRPr="00EB1CF7" w:rsidR="00992986">
        <w:rPr>
          <w:rFonts w:ascii="Verdana" w:hAnsi="Verdana" w:eastAsia="Calibri" w:cs="Arial"/>
          <w:color w:val="000000"/>
          <w:lang w:val="es-ES" w:eastAsia="es-ES"/>
        </w:rPr>
        <w:t>s</w:t>
      </w:r>
      <w:r w:rsidRPr="00EB1CF7">
        <w:rPr>
          <w:rFonts w:ascii="Verdana" w:hAnsi="Verdana" w:eastAsia="Calibri" w:cs="Arial"/>
          <w:color w:val="000000"/>
          <w:lang w:val="es-ES" w:eastAsia="es-ES"/>
        </w:rPr>
        <w:t xml:space="preserve"> mencionada</w:t>
      </w:r>
      <w:r w:rsidRPr="00EB1CF7" w:rsidR="00992986">
        <w:rPr>
          <w:rFonts w:ascii="Verdana" w:hAnsi="Verdana" w:eastAsia="Calibri" w:cs="Arial"/>
          <w:color w:val="000000"/>
          <w:lang w:val="es-ES" w:eastAsia="es-ES"/>
        </w:rPr>
        <w:t>s</w:t>
      </w:r>
      <w:r w:rsidRPr="00EB1CF7">
        <w:rPr>
          <w:rFonts w:ascii="Verdana" w:hAnsi="Verdana" w:eastAsia="Calibri" w:cs="Arial"/>
          <w:color w:val="000000"/>
          <w:lang w:val="es-ES" w:eastAsia="es-ES"/>
        </w:rPr>
        <w:t xml:space="preserve"> en </w:t>
      </w:r>
      <w:r w:rsidRPr="00EB1CF7" w:rsidR="00C638A6">
        <w:rPr>
          <w:rFonts w:ascii="Verdana" w:hAnsi="Verdana" w:eastAsia="Calibri" w:cs="Arial"/>
          <w:color w:val="000000"/>
          <w:lang w:val="es-ES" w:eastAsia="es-ES"/>
        </w:rPr>
        <w:t>la</w:t>
      </w:r>
      <w:r w:rsidRPr="00EB1CF7" w:rsidR="00D76E76">
        <w:rPr>
          <w:rFonts w:ascii="Verdana" w:hAnsi="Verdana" w:eastAsia="Calibri" w:cs="Arial"/>
          <w:color w:val="000000"/>
          <w:lang w:val="es-ES" w:eastAsia="es-ES"/>
        </w:rPr>
        <w:t xml:space="preserve">s </w:t>
      </w:r>
      <w:r w:rsidRPr="00EB1CF7" w:rsidR="00C638A6">
        <w:rPr>
          <w:rFonts w:ascii="Verdana" w:hAnsi="Verdana" w:eastAsia="Calibri" w:cs="Arial"/>
          <w:color w:val="000000"/>
          <w:lang w:val="es-ES" w:eastAsia="es-ES"/>
        </w:rPr>
        <w:t>pregunta</w:t>
      </w:r>
      <w:r w:rsidRPr="00EB1CF7" w:rsidR="00D76E76">
        <w:rPr>
          <w:rFonts w:ascii="Verdana" w:hAnsi="Verdana" w:eastAsia="Calibri" w:cs="Arial"/>
          <w:color w:val="000000"/>
          <w:lang w:val="es-ES" w:eastAsia="es-ES"/>
        </w:rPr>
        <w:t>s</w:t>
      </w:r>
      <w:r w:rsidRPr="00EB1CF7" w:rsidR="00C638A6">
        <w:rPr>
          <w:rFonts w:ascii="Verdana" w:hAnsi="Verdana" w:eastAsia="Calibri" w:cs="Arial"/>
          <w:color w:val="000000"/>
          <w:lang w:val="es-ES" w:eastAsia="es-ES"/>
        </w:rPr>
        <w:t xml:space="preserve"> de la</w:t>
      </w:r>
      <w:r w:rsidRPr="00EB1CF7">
        <w:rPr>
          <w:rFonts w:ascii="Verdana" w:hAnsi="Verdana" w:eastAsia="Calibri" w:cs="Arial"/>
          <w:color w:val="000000"/>
          <w:lang w:val="es-ES" w:eastAsia="es-ES"/>
        </w:rPr>
        <w:t xml:space="preserve"> petición, pero haciendo unas consideraciones sobre las normas generales relacionadas con </w:t>
      </w:r>
      <w:r w:rsidRPr="00EB1CF7" w:rsidR="00A513FD">
        <w:rPr>
          <w:rFonts w:ascii="Verdana" w:hAnsi="Verdana" w:eastAsia="Calibri" w:cs="Arial"/>
          <w:color w:val="000000"/>
          <w:lang w:val="es-ES" w:eastAsia="es-ES"/>
        </w:rPr>
        <w:t>el</w:t>
      </w:r>
      <w:r w:rsidRPr="00EB1CF7" w:rsidR="00A513FD">
        <w:rPr>
          <w:rFonts w:ascii="Verdana" w:hAnsi="Verdana" w:eastAsia="Calibri" w:cs="Arial"/>
          <w:color w:val="7030A0"/>
          <w:lang w:val="es-ES" w:eastAsia="es-ES"/>
        </w:rPr>
        <w:t xml:space="preserve"> </w:t>
      </w:r>
      <w:r w:rsidRPr="00EB1CF7" w:rsidR="00A513FD">
        <w:rPr>
          <w:rFonts w:ascii="Verdana" w:hAnsi="Verdana" w:eastAsia="Calibri" w:cs="Arial"/>
          <w:color w:val="000000"/>
          <w:lang w:val="es-ES" w:eastAsia="es-ES"/>
        </w:rPr>
        <w:t>problema</w:t>
      </w:r>
      <w:r w:rsidRPr="00EB1CF7" w:rsidR="00A513FD">
        <w:rPr>
          <w:rFonts w:ascii="Verdana" w:hAnsi="Verdana" w:eastAsia="Calibri" w:cs="Arial"/>
          <w:color w:val="7030A0"/>
          <w:lang w:val="es-ES" w:eastAsia="es-ES"/>
        </w:rPr>
        <w:t xml:space="preserve"> </w:t>
      </w:r>
      <w:r w:rsidRPr="00EB1CF7" w:rsidR="00A513FD">
        <w:rPr>
          <w:rFonts w:ascii="Verdana" w:hAnsi="Verdana" w:eastAsia="Calibri" w:cs="Arial"/>
          <w:color w:val="000000"/>
          <w:lang w:val="es-ES" w:eastAsia="es-ES"/>
        </w:rPr>
        <w:t>jurídico</w:t>
      </w:r>
      <w:r w:rsidRPr="00EB1CF7" w:rsidR="00A513FD">
        <w:rPr>
          <w:rFonts w:ascii="Verdana" w:hAnsi="Verdana" w:eastAsia="Calibri" w:cs="Arial"/>
          <w:color w:val="7030A0"/>
          <w:lang w:val="es-ES" w:eastAsia="es-ES"/>
        </w:rPr>
        <w:t xml:space="preserve"> </w:t>
      </w:r>
      <w:r w:rsidRPr="00EB1CF7" w:rsidR="00343B47">
        <w:rPr>
          <w:rFonts w:ascii="Verdana" w:hAnsi="Verdana" w:eastAsia="Calibri" w:cs="Arial"/>
          <w:color w:val="000000"/>
          <w:lang w:val="es-ES" w:eastAsia="es-ES"/>
        </w:rPr>
        <w:t>de su</w:t>
      </w:r>
      <w:r w:rsidRPr="00EB1CF7">
        <w:rPr>
          <w:rFonts w:ascii="Verdana" w:hAnsi="Verdana" w:eastAsia="Calibri" w:cs="Arial"/>
          <w:color w:val="000000"/>
          <w:lang w:val="es-ES" w:eastAsia="es-ES"/>
        </w:rPr>
        <w:t xml:space="preserve"> consulta. </w:t>
      </w:r>
    </w:p>
    <w:p w:rsidRPr="00EB1CF7" w:rsidR="001918F1" w:rsidP="001918F1" w:rsidRDefault="001918F1" w14:paraId="10320261" w14:textId="77777777">
      <w:pPr>
        <w:spacing w:after="0" w:line="276" w:lineRule="auto"/>
        <w:ind w:firstLine="709"/>
        <w:jc w:val="both"/>
        <w:rPr>
          <w:rFonts w:ascii="Verdana" w:hAnsi="Verdana" w:eastAsia="Calibri" w:cs="Arial"/>
          <w:color w:val="000000"/>
          <w:lang w:val="es-ES" w:eastAsia="es-ES"/>
        </w:rPr>
      </w:pPr>
    </w:p>
    <w:p w:rsidRPr="00EB1CF7" w:rsidR="00E84D1C" w:rsidP="00E84D1C" w:rsidRDefault="00E84D1C" w14:paraId="1DF0C9FE" w14:textId="2A6D862D">
      <w:pPr>
        <w:pStyle w:val="Prrafodelista"/>
        <w:numPr>
          <w:ilvl w:val="0"/>
          <w:numId w:val="1"/>
        </w:numPr>
        <w:tabs>
          <w:tab w:val="left" w:pos="142"/>
          <w:tab w:val="left" w:pos="284"/>
        </w:tabs>
        <w:spacing w:line="276" w:lineRule="auto"/>
        <w:ind w:left="0" w:firstLine="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Problema</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 xml:space="preserve"> planteado</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w:t>
      </w:r>
    </w:p>
    <w:p w:rsidRPr="00EB1CF7" w:rsidR="00E84D1C" w:rsidP="00E84D1C" w:rsidRDefault="00E84D1C" w14:paraId="3981D497" w14:textId="77777777">
      <w:pPr>
        <w:tabs>
          <w:tab w:val="left" w:pos="426"/>
        </w:tabs>
        <w:spacing w:after="0" w:line="276" w:lineRule="auto"/>
        <w:jc w:val="both"/>
        <w:rPr>
          <w:rFonts w:ascii="Verdana" w:hAnsi="Verdana" w:eastAsia="Century Gothic" w:cs="Century Gothic"/>
          <w:lang w:val="es-ES"/>
        </w:rPr>
      </w:pPr>
    </w:p>
    <w:p w:rsidRPr="00EB1CF7" w:rsidR="00E84D1C" w:rsidP="00E84D1C" w:rsidRDefault="008F27E3" w14:paraId="348E2D36" w14:textId="11DC6461">
      <w:pPr>
        <w:spacing w:after="0" w:line="276" w:lineRule="auto"/>
        <w:jc w:val="both"/>
        <w:rPr>
          <w:rFonts w:ascii="Verdana" w:hAnsi="Verdana" w:eastAsia="Century Gothic" w:cs="Century Gothic"/>
        </w:rPr>
      </w:pPr>
      <w:r w:rsidRPr="00EB1CF7">
        <w:rPr>
          <w:rFonts w:ascii="Verdana" w:hAnsi="Verdana" w:eastAsia="Century Gothic" w:cs="Century Gothic"/>
        </w:rPr>
        <w:t>D</w:t>
      </w:r>
      <w:r w:rsidRPr="00EB1CF7" w:rsidR="00343B47">
        <w:rPr>
          <w:rFonts w:ascii="Verdana" w:hAnsi="Verdana" w:eastAsia="Century Gothic" w:cs="Century Gothic"/>
        </w:rPr>
        <w:t xml:space="preserve">e acuerdo con el contenido de </w:t>
      </w:r>
      <w:r w:rsidRPr="00EB1CF7" w:rsidR="00FC6D4E">
        <w:rPr>
          <w:rFonts w:ascii="Verdana" w:hAnsi="Verdana" w:eastAsia="Century Gothic" w:cs="Century Gothic"/>
        </w:rPr>
        <w:t xml:space="preserve">su solicitud, esta Agencia resolverá </w:t>
      </w:r>
      <w:r w:rsidRPr="00EB1CF7" w:rsidR="00CF5BE0">
        <w:rPr>
          <w:rFonts w:ascii="Verdana" w:hAnsi="Verdana" w:eastAsia="Century Gothic" w:cs="Century Gothic"/>
        </w:rPr>
        <w:t>el siguiente</w:t>
      </w:r>
      <w:r w:rsidRPr="00EB1CF7" w:rsidR="00D86D55">
        <w:rPr>
          <w:rFonts w:ascii="Verdana" w:hAnsi="Verdana" w:eastAsia="Century Gothic" w:cs="Century Gothic"/>
        </w:rPr>
        <w:t xml:space="preserve"> </w:t>
      </w:r>
      <w:r w:rsidRPr="00EB1CF7" w:rsidR="00FC6D4E">
        <w:rPr>
          <w:rFonts w:ascii="Verdana" w:hAnsi="Verdana" w:eastAsia="Century Gothic" w:cs="Century Gothic"/>
        </w:rPr>
        <w:t xml:space="preserve">problema jurídico: </w:t>
      </w:r>
      <w:r w:rsidRPr="00EB1CF7" w:rsidR="004B53F1">
        <w:rPr>
          <w:rFonts w:ascii="Verdana" w:hAnsi="Verdana" w:eastAsia="Century Gothic" w:cs="Century Gothic"/>
        </w:rPr>
        <w:t>¿</w:t>
      </w:r>
      <w:r w:rsidR="00492CA3">
        <w:rPr>
          <w:rFonts w:ascii="Verdana" w:hAnsi="Verdana" w:eastAsia="Century Gothic" w:cs="Century Gothic"/>
        </w:rPr>
        <w:t>P</w:t>
      </w:r>
      <w:r w:rsidRPr="00492CA3" w:rsidR="00492CA3">
        <w:rPr>
          <w:rFonts w:ascii="Verdana" w:hAnsi="Verdana" w:eastAsia="Century Gothic" w:cs="Century Gothic"/>
        </w:rPr>
        <w:t>uede una entidad pública</w:t>
      </w:r>
      <w:r w:rsidR="00413F2C">
        <w:rPr>
          <w:rFonts w:ascii="Verdana" w:hAnsi="Verdana" w:eastAsia="Century Gothic" w:cs="Century Gothic"/>
        </w:rPr>
        <w:t xml:space="preserve"> adquirir compromisos presupuestales cuya ejecución exceda la vigencia fiscal en la que se celebr</w:t>
      </w:r>
      <w:r w:rsidR="004F54A3">
        <w:rPr>
          <w:rFonts w:ascii="Verdana" w:hAnsi="Verdana" w:eastAsia="Century Gothic" w:cs="Century Gothic"/>
        </w:rPr>
        <w:t>ó</w:t>
      </w:r>
      <w:r w:rsidR="00413F2C">
        <w:rPr>
          <w:rFonts w:ascii="Verdana" w:hAnsi="Verdana" w:eastAsia="Century Gothic" w:cs="Century Gothic"/>
        </w:rPr>
        <w:t xml:space="preserve"> el contrato</w:t>
      </w:r>
      <w:r w:rsidRPr="004A08FB" w:rsidR="004A08FB">
        <w:rPr>
          <w:rFonts w:ascii="Verdana" w:hAnsi="Verdana" w:eastAsia="Century Gothic" w:cs="Century Gothic"/>
        </w:rPr>
        <w:t xml:space="preserve">? </w:t>
      </w:r>
    </w:p>
    <w:p w:rsidRPr="00EB1CF7" w:rsidR="00E84D1C" w:rsidP="00E84D1C" w:rsidRDefault="00E84D1C" w14:paraId="31CA4CF9" w14:textId="77777777">
      <w:pPr>
        <w:spacing w:after="0" w:line="276" w:lineRule="auto"/>
        <w:jc w:val="both"/>
        <w:rPr>
          <w:rFonts w:ascii="Verdana" w:hAnsi="Verdana" w:eastAsia="Calibri" w:cs="Arial"/>
          <w:color w:val="7030A0"/>
        </w:rPr>
      </w:pPr>
    </w:p>
    <w:p w:rsidRPr="00EB1CF7" w:rsidR="00E84D1C" w:rsidP="00E84D1C" w:rsidRDefault="00E84D1C" w14:paraId="74205EE3" w14:textId="46C13E2B">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Respuesta</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w:t>
      </w:r>
    </w:p>
    <w:p w:rsidRPr="00EB1CF7" w:rsidR="00E84D1C" w:rsidP="00E84D1C" w:rsidRDefault="00E84D1C" w14:paraId="4FCBB89E" w14:textId="1BF4BDFA">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EB1CF7" w:rsidR="00E84D1C" w:rsidTr="006E429F" w14:paraId="0E1945DC" w14:textId="77777777">
        <w:trPr>
          <w:jc w:val="center"/>
        </w:trPr>
        <w:tc>
          <w:tcPr>
            <w:tcW w:w="8828" w:type="dxa"/>
            <w:shd w:val="clear" w:color="auto" w:fill="auto"/>
          </w:tcPr>
          <w:p w:rsidR="00053626" w:rsidP="00931F90" w:rsidRDefault="00EF0199" w14:paraId="719370FD" w14:textId="6B09D72A">
            <w:pPr>
              <w:spacing w:after="120" w:line="276" w:lineRule="auto"/>
              <w:ind w:right="79"/>
              <w:jc w:val="both"/>
              <w:rPr>
                <w:rFonts w:ascii="Verdana" w:hAnsi="Verdana" w:eastAsia="Arial" w:cs="Arial"/>
                <w:bCs/>
              </w:rPr>
            </w:pPr>
            <w:bookmarkStart w:name="_Hlk171694685" w:id="1"/>
            <w:r w:rsidRPr="00EF0199">
              <w:rPr>
                <w:rFonts w:ascii="Verdana" w:hAnsi="Verdana" w:eastAsia="Arial" w:cs="Arial"/>
                <w:bCs/>
              </w:rPr>
              <w:t>La anualidad del gasto es uno de los principios rectores de la actividad contractual pública, conforme al cual las entidades deben planear sus contrataciones de manera que sus compromisos contractuales sean atendidos durante la respectiva vigencia fiscal comprendida entre el 1 de enero y el 31 de diciembre. En este sentido, la regla general es que las entidades estatales solo pueden adquirir compromisos presupuestales que no excedan en su ejecución la vigencia fiscal en la que se suscribe el respectivo contrato.</w:t>
            </w:r>
          </w:p>
          <w:p w:rsidR="001752B9" w:rsidP="00931F90" w:rsidRDefault="00053626" w14:paraId="3183B5A1" w14:textId="637F0A48">
            <w:pPr>
              <w:spacing w:after="120" w:line="276" w:lineRule="auto"/>
              <w:ind w:right="79" w:firstLine="743"/>
              <w:jc w:val="both"/>
              <w:rPr>
                <w:rFonts w:ascii="Verdana" w:hAnsi="Verdana" w:eastAsia="Arial" w:cs="Arial"/>
                <w:bCs/>
              </w:rPr>
            </w:pPr>
            <w:r>
              <w:rPr>
                <w:rFonts w:ascii="Verdana" w:hAnsi="Verdana" w:eastAsia="Arial" w:cs="Arial"/>
                <w:bCs/>
              </w:rPr>
              <w:lastRenderedPageBreak/>
              <w:t xml:space="preserve">Sin embargo, </w:t>
            </w:r>
            <w:r w:rsidR="005B610B">
              <w:rPr>
                <w:rFonts w:ascii="Verdana" w:hAnsi="Verdana" w:eastAsia="Arial" w:cs="Arial"/>
                <w:bCs/>
              </w:rPr>
              <w:t xml:space="preserve">como excepción a este principio se establecen </w:t>
            </w:r>
            <w:r w:rsidRPr="0012611D" w:rsidR="0012611D">
              <w:rPr>
                <w:rFonts w:ascii="Verdana" w:hAnsi="Verdana" w:eastAsia="Arial" w:cs="Arial"/>
                <w:bCs/>
              </w:rPr>
              <w:t xml:space="preserve">mecanismos presupuestales </w:t>
            </w:r>
            <w:r w:rsidR="005B610B">
              <w:rPr>
                <w:rFonts w:ascii="Verdana" w:hAnsi="Verdana" w:eastAsia="Arial" w:cs="Arial"/>
                <w:bCs/>
              </w:rPr>
              <w:t>dentro de los cuales se</w:t>
            </w:r>
            <w:r w:rsidRPr="0012611D" w:rsidR="0012611D">
              <w:rPr>
                <w:rFonts w:ascii="Verdana" w:hAnsi="Verdana" w:eastAsia="Arial" w:cs="Arial"/>
                <w:bCs/>
              </w:rPr>
              <w:t xml:space="preserve"> identifican las vigencias futura</w:t>
            </w:r>
            <w:r w:rsidR="005D70D3">
              <w:rPr>
                <w:rFonts w:ascii="Verdana" w:hAnsi="Verdana" w:eastAsia="Arial" w:cs="Arial"/>
                <w:bCs/>
              </w:rPr>
              <w:t>s, que</w:t>
            </w:r>
            <w:r w:rsidRPr="0012611D" w:rsidR="0012611D">
              <w:rPr>
                <w:rFonts w:ascii="Verdana" w:hAnsi="Verdana" w:eastAsia="Arial" w:cs="Arial"/>
                <w:bCs/>
              </w:rPr>
              <w:t xml:space="preserve"> de conformidad con el artículo 23 del Estatuto Orgánico del Presupuesto, se refieren a la autorización que deben solicitar las entidades para asumir obligaciones que afectarán los presupuestos siguientes a los de la vigencia fiscal en la que inició la ejecución.</w:t>
            </w:r>
            <w:r w:rsidR="00EF35EF">
              <w:rPr>
                <w:rFonts w:ascii="Verdana" w:hAnsi="Verdana" w:eastAsia="Arial" w:cs="Arial"/>
                <w:bCs/>
              </w:rPr>
              <w:t xml:space="preserve"> De igual manera, como excepción a este principio se encuentran las cuentas por pagar y las reservas presupuestales, que tienen unos </w:t>
            </w:r>
            <w:r w:rsidR="00080D93">
              <w:rPr>
                <w:rFonts w:ascii="Verdana" w:hAnsi="Verdana" w:eastAsia="Arial" w:cs="Arial"/>
                <w:bCs/>
              </w:rPr>
              <w:t>procedimientos</w:t>
            </w:r>
            <w:r w:rsidR="00EF35EF">
              <w:rPr>
                <w:rFonts w:ascii="Verdana" w:hAnsi="Verdana" w:eastAsia="Arial" w:cs="Arial"/>
                <w:bCs/>
              </w:rPr>
              <w:t xml:space="preserve"> particulares para su configuración. </w:t>
            </w:r>
          </w:p>
          <w:p w:rsidRPr="00161171" w:rsidR="00C22573" w:rsidP="00931F90" w:rsidRDefault="00C22573" w14:paraId="073EC507" w14:textId="13A2C9DC">
            <w:pPr>
              <w:spacing w:after="120" w:line="276" w:lineRule="auto"/>
              <w:ind w:right="79" w:firstLine="743"/>
              <w:jc w:val="both"/>
              <w:rPr>
                <w:rFonts w:ascii="Verdana" w:hAnsi="Verdana" w:eastAsia="Arial" w:cs="Arial"/>
                <w:bCs/>
              </w:rPr>
            </w:pPr>
            <w:r w:rsidRPr="00C22573">
              <w:rPr>
                <w:rFonts w:ascii="Verdana" w:hAnsi="Verdana" w:eastAsia="Arial" w:cs="Arial"/>
                <w:bCs/>
              </w:rPr>
              <w:t>De esta manera, en caso de que en la etapa de planeación la entidad evidencie que el contrato a ejecutar exceda la vigencia fiscal correspondiente, deberá atender las previsiones legales sobre las excepciones al principio de anualidad del gasto</w:t>
            </w:r>
            <w:r w:rsidR="008C39B6">
              <w:rPr>
                <w:rFonts w:ascii="Verdana" w:hAnsi="Verdana" w:eastAsia="Arial" w:cs="Arial"/>
                <w:bCs/>
              </w:rPr>
              <w:t xml:space="preserve"> y determinar </w:t>
            </w:r>
            <w:r w:rsidR="005B2441">
              <w:rPr>
                <w:rFonts w:ascii="Verdana" w:hAnsi="Verdana" w:eastAsia="Arial" w:cs="Arial"/>
                <w:bCs/>
              </w:rPr>
              <w:t xml:space="preserve">cual resulta aplicable al caso </w:t>
            </w:r>
            <w:r w:rsidR="000A5356">
              <w:rPr>
                <w:rFonts w:ascii="Verdana" w:hAnsi="Verdana" w:eastAsia="Arial" w:cs="Arial"/>
                <w:bCs/>
              </w:rPr>
              <w:t xml:space="preserve">en </w:t>
            </w:r>
            <w:r w:rsidR="005B2441">
              <w:rPr>
                <w:rFonts w:ascii="Verdana" w:hAnsi="Verdana" w:eastAsia="Arial" w:cs="Arial"/>
                <w:bCs/>
              </w:rPr>
              <w:t>concreto</w:t>
            </w:r>
            <w:r w:rsidRPr="00C22573">
              <w:rPr>
                <w:rFonts w:ascii="Verdana" w:hAnsi="Verdana" w:eastAsia="Arial" w:cs="Arial"/>
                <w:bCs/>
              </w:rPr>
              <w:t xml:space="preserve">. Dichas excepciones deben estar debidamente justificadas, cumplir con los requisitos establecidos por la normativa vigente y seguir los procedimientos correspondientes para su autorizaciones y ejecución, conforme a lo descrito en este concepto.  </w:t>
            </w:r>
          </w:p>
        </w:tc>
      </w:tr>
    </w:tbl>
    <w:p w:rsidRPr="00EB1CF7" w:rsidR="00E84D1C" w:rsidP="00E84D1C" w:rsidRDefault="00E84D1C" w14:paraId="1728E2BC" w14:textId="77777777">
      <w:pPr>
        <w:tabs>
          <w:tab w:val="left" w:pos="142"/>
          <w:tab w:val="left" w:pos="284"/>
        </w:tabs>
        <w:spacing w:after="0" w:line="276" w:lineRule="auto"/>
        <w:jc w:val="both"/>
        <w:rPr>
          <w:rFonts w:ascii="Verdana" w:hAnsi="Verdana" w:eastAsia="Century Gothic" w:cs="Century Gothic"/>
          <w:b/>
          <w:bCs/>
          <w:lang w:val="es-ES"/>
        </w:rPr>
      </w:pPr>
    </w:p>
    <w:bookmarkEnd w:id="1"/>
    <w:p w:rsidRPr="00EB1CF7" w:rsidR="00E84D1C" w:rsidP="00E84D1C" w:rsidRDefault="00071AB8" w14:paraId="7BD5B662" w14:textId="4AC7D643">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Razones de la</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 xml:space="preserve"> respuesta</w:t>
      </w:r>
      <w:r w:rsidRPr="00EB1CF7" w:rsidR="000C42A9">
        <w:rPr>
          <w:rFonts w:ascii="Verdana" w:hAnsi="Verdana" w:eastAsia="Century Gothic" w:cs="Century Gothic"/>
          <w:b/>
          <w:bCs/>
          <w:sz w:val="22"/>
          <w:lang w:val="es-ES"/>
        </w:rPr>
        <w:t>s</w:t>
      </w:r>
      <w:r w:rsidRPr="00EB1CF7" w:rsidR="00E84D1C">
        <w:rPr>
          <w:rFonts w:ascii="Verdana" w:hAnsi="Verdana" w:eastAsia="Century Gothic" w:cs="Century Gothic"/>
          <w:b/>
          <w:bCs/>
          <w:sz w:val="22"/>
          <w:lang w:val="es-ES"/>
        </w:rPr>
        <w:t>:</w:t>
      </w:r>
    </w:p>
    <w:p w:rsidRPr="00EB1CF7" w:rsidR="00FB5FC4" w:rsidP="00E84D1C" w:rsidRDefault="00FB5FC4" w14:paraId="267A31E4" w14:textId="77777777">
      <w:pPr>
        <w:spacing w:after="0" w:line="276" w:lineRule="auto"/>
        <w:jc w:val="both"/>
        <w:rPr>
          <w:rFonts w:ascii="Verdana" w:hAnsi="Verdana" w:eastAsia="Calibri" w:cs="Arial"/>
          <w:color w:val="7030A0"/>
          <w:lang w:val="es-ES"/>
        </w:rPr>
      </w:pPr>
    </w:p>
    <w:p w:rsidR="0025575F" w:rsidP="001B47A4" w:rsidRDefault="00C00976" w14:paraId="71802283" w14:textId="026D0B12">
      <w:pPr>
        <w:spacing w:after="0" w:line="276" w:lineRule="auto"/>
        <w:jc w:val="both"/>
        <w:rPr>
          <w:rFonts w:ascii="Verdana" w:hAnsi="Verdana" w:eastAsia="Calibri" w:cs="Arial"/>
          <w:lang w:val="es-ES"/>
        </w:rPr>
      </w:pPr>
      <w:r w:rsidRPr="00EB1CF7">
        <w:rPr>
          <w:rFonts w:ascii="Verdana" w:hAnsi="Verdana" w:eastAsia="Calibri" w:cs="Arial"/>
          <w:lang w:val="es-ES"/>
        </w:rPr>
        <w:t>L</w:t>
      </w:r>
      <w:r w:rsidRPr="00EB1CF7" w:rsidR="00D5798B">
        <w:rPr>
          <w:rFonts w:ascii="Verdana" w:hAnsi="Verdana" w:eastAsia="Calibri" w:cs="Arial"/>
          <w:lang w:val="es-ES"/>
        </w:rPr>
        <w:t>o</w:t>
      </w:r>
      <w:r w:rsidRPr="00EB1CF7">
        <w:rPr>
          <w:rFonts w:ascii="Verdana" w:hAnsi="Verdana" w:eastAsia="Calibri" w:cs="Arial"/>
          <w:lang w:val="es-ES"/>
        </w:rPr>
        <w:t xml:space="preserve"> anterior</w:t>
      </w:r>
      <w:r w:rsidRPr="00EB1CF7" w:rsidR="00F95CCE">
        <w:rPr>
          <w:rFonts w:ascii="Verdana" w:hAnsi="Verdana" w:eastAsia="Calibri" w:cs="Arial"/>
          <w:lang w:val="es-ES"/>
        </w:rPr>
        <w:t xml:space="preserve"> </w:t>
      </w:r>
      <w:r w:rsidRPr="00EB1CF7" w:rsidR="00E84D1C">
        <w:rPr>
          <w:rFonts w:ascii="Verdana" w:hAnsi="Verdana" w:eastAsia="Calibri" w:cs="Arial"/>
          <w:lang w:val="es-ES"/>
        </w:rPr>
        <w:t xml:space="preserve">se </w:t>
      </w:r>
      <w:r w:rsidRPr="00EB1CF7">
        <w:rPr>
          <w:rFonts w:ascii="Verdana" w:hAnsi="Verdana" w:eastAsia="Calibri" w:cs="Arial"/>
          <w:lang w:val="es-ES"/>
        </w:rPr>
        <w:t xml:space="preserve">sustenta en </w:t>
      </w:r>
      <w:r w:rsidRPr="00EB1CF7" w:rsidR="00E84D1C">
        <w:rPr>
          <w:rFonts w:ascii="Verdana" w:hAnsi="Verdana" w:eastAsia="Calibri" w:cs="Arial"/>
          <w:lang w:val="es-ES"/>
        </w:rPr>
        <w:t>las siguientes consideraciones:</w:t>
      </w:r>
    </w:p>
    <w:p w:rsidRPr="001B47A4" w:rsidR="001B47A4" w:rsidP="001B47A4" w:rsidRDefault="001B47A4" w14:paraId="5732945E" w14:textId="77777777">
      <w:pPr>
        <w:spacing w:after="0" w:line="276" w:lineRule="auto"/>
        <w:jc w:val="both"/>
        <w:rPr>
          <w:rFonts w:ascii="Verdana" w:hAnsi="Verdana" w:eastAsia="Calibri" w:cs="Arial"/>
          <w:lang w:val="es-ES"/>
        </w:rPr>
      </w:pPr>
    </w:p>
    <w:p w:rsidRPr="00FA3EC2" w:rsidR="00FA3EC2" w:rsidP="687B390B" w:rsidRDefault="00FA3EC2" w14:paraId="735783AE" w14:textId="77777777" w14:noSpellErr="1">
      <w:pPr>
        <w:shd w:val="clear" w:color="auto" w:fill="FFFFFF" w:themeFill="background1"/>
        <w:spacing w:after="120" w:line="276" w:lineRule="auto"/>
        <w:ind w:right="51"/>
        <w:jc w:val="both"/>
        <w:rPr>
          <w:rFonts w:ascii="Verdana" w:hAnsi="Verdana" w:eastAsia="Calibri" w:cs="Arial"/>
          <w:color w:val="000000" w:themeColor="text1"/>
          <w:lang w:val="es-ES"/>
        </w:rPr>
      </w:pPr>
      <w:r w:rsidRPr="687B390B" w:rsidR="00FA3EC2">
        <w:rPr>
          <w:rFonts w:ascii="Verdana" w:hAnsi="Verdana" w:eastAsia="Calibri" w:cs="Arial"/>
          <w:color w:val="000000" w:themeColor="text1"/>
          <w:lang w:val="es-ES"/>
        </w:rPr>
        <w:t xml:space="preserve">Las entidades estatales deben sujetarse a los principios que rigen el sistema presupuestal, entre los cuales se encuentra el de anualidad del gasto público.</w:t>
      </w:r>
      <w:r w:rsidRPr="687B390B" w:rsidR="00FA3EC2">
        <w:rPr>
          <w:rFonts w:ascii="Verdana" w:hAnsi="Verdana" w:eastAsia="Calibri" w:cs="Arial"/>
          <w:color w:val="000000" w:themeColor="text1"/>
          <w:lang w:val="es-ES"/>
        </w:rPr>
        <w:t xml:space="preserve"> Este principio encuentra fundamento constitucional </w:t>
      </w:r>
      <w:bookmarkStart w:name="_Hlk65717879" w:id="2"/>
      <w:r w:rsidRPr="687B390B" w:rsidR="00FA3EC2">
        <w:rPr>
          <w:rFonts w:ascii="Verdana" w:hAnsi="Verdana" w:eastAsia="Calibri" w:cs="Arial"/>
          <w:color w:val="000000" w:themeColor="text1"/>
          <w:lang w:val="es-ES"/>
        </w:rPr>
        <w:t xml:space="preserve">en </w:t>
      </w:r>
      <w:r w:rsidRPr="687B390B" w:rsidR="00FA3EC2">
        <w:rPr>
          <w:rFonts w:ascii="Verdana" w:hAnsi="Verdana" w:eastAsia="Calibri" w:cs="Arial"/>
          <w:color w:val="000000" w:themeColor="text1"/>
          <w:lang w:val="es-ES"/>
        </w:rPr>
        <w:t>el artículo 346 superior que contiene el régimen general del presupuesto de rentas y la ley de apropiaciones</w:t>
      </w:r>
      <w:r w:rsidRPr="687B390B">
        <w:rPr>
          <w:rFonts w:ascii="Verdana" w:hAnsi="Verdana" w:eastAsia="Calibri" w:cs="Arial"/>
          <w:color w:val="000000" w:themeColor="text1"/>
          <w:vertAlign w:val="superscript"/>
          <w:lang w:val="es-ES"/>
        </w:rPr>
        <w:footnoteReference w:id="2"/>
      </w:r>
      <w:r w:rsidRPr="687B390B" w:rsidR="00FA3EC2">
        <w:rPr>
          <w:rFonts w:ascii="Verdana" w:hAnsi="Verdana" w:eastAsia="Calibri" w:cs="Arial"/>
          <w:color w:val="000000" w:themeColor="text1"/>
          <w:lang w:val="es-ES"/>
        </w:rPr>
        <w:t xml:space="preserve">, que deberá presentarse al Congreso dentro de los primeros diez días de cada legislatura, elaborarse y aprobarse dentro de un marco de </w:t>
      </w:r>
      <w:r w:rsidRPr="687B390B" w:rsidR="00FA3EC2">
        <w:rPr>
          <w:rFonts w:ascii="Verdana" w:hAnsi="Verdana" w:eastAsia="Calibri" w:cs="Arial"/>
          <w:color w:val="000000" w:themeColor="text1"/>
          <w:lang w:val="es-ES"/>
        </w:rPr>
        <w:lastRenderedPageBreak/>
        <w:t>sostenibilidad fiscal y corresponder al Plan Nacional de Desarrollo</w:t>
      </w:r>
      <w:r w:rsidRPr="687B390B">
        <w:rPr>
          <w:rFonts w:ascii="Verdana" w:hAnsi="Verdana" w:eastAsia="Calibri" w:cs="Arial"/>
          <w:color w:val="000000" w:themeColor="text1"/>
          <w:vertAlign w:val="superscript"/>
          <w:lang w:val="es-ES"/>
        </w:rPr>
        <w:footnoteReference w:id="3"/>
      </w:r>
      <w:r w:rsidRPr="687B390B" w:rsidR="00FA3EC2">
        <w:rPr>
          <w:rFonts w:ascii="Verdana" w:hAnsi="Verdana" w:eastAsia="Calibri" w:cs="Arial"/>
          <w:color w:val="000000" w:themeColor="text1"/>
          <w:lang w:val="es-ES"/>
        </w:rPr>
        <w:t>. De conformidad con la misma norma constitucional, el presupuesto tiene vigencia anual y, por tanto, tienen como finalidad fijar los gastos y las rentas nacionales del Estado para la respectiva vigencia fiscal anual</w:t>
      </w:r>
      <w:bookmarkEnd w:id="2"/>
      <w:r w:rsidRPr="687B390B" w:rsidR="00FA3EC2">
        <w:rPr>
          <w:rFonts w:ascii="Verdana" w:hAnsi="Verdana" w:eastAsia="Calibri" w:cs="Arial"/>
          <w:color w:val="000000" w:themeColor="text1"/>
          <w:lang w:val="es-ES"/>
        </w:rPr>
        <w:t>.</w:t>
      </w:r>
      <w:r w:rsidRPr="687B390B" w:rsidR="00FA3EC2">
        <w:rPr>
          <w:rFonts w:ascii="Verdana" w:hAnsi="Verdana" w:eastAsia="Calibri" w:cs="Arial"/>
          <w:color w:val="000000" w:themeColor="text1"/>
          <w:lang w:val="es-ES"/>
        </w:rPr>
        <w:t xml:space="preserve"> </w:t>
      </w:r>
    </w:p>
    <w:p w:rsidRPr="00FA3EC2" w:rsidR="00FA3EC2" w:rsidP="00931F90" w:rsidRDefault="00FA3EC2" w14:paraId="7F63A9E3" w14:textId="77777777">
      <w:pPr>
        <w:shd w:val="clear" w:color="auto" w:fill="FFFFFF"/>
        <w:spacing w:after="120" w:line="276" w:lineRule="auto"/>
        <w:ind w:right="51" w:firstLine="709"/>
        <w:jc w:val="both"/>
        <w:rPr>
          <w:rFonts w:ascii="Verdana" w:hAnsi="Verdana" w:eastAsia="Calibri" w:cs="Arial"/>
          <w:lang w:val="es-ES_tradnl"/>
        </w:rPr>
      </w:pPr>
      <w:r w:rsidRPr="00FA3EC2">
        <w:rPr>
          <w:rFonts w:ascii="Verdana" w:hAnsi="Verdana" w:eastAsia="Calibri" w:cs="Arial"/>
          <w:color w:val="000000" w:themeColor="text1"/>
          <w:lang w:val="es-ES_tradnl"/>
        </w:rPr>
        <w:t xml:space="preserve">En armonía con lo anterior, el Estatuto Orgánico del Presupuesto consagra este principio en el artículo 14 consistente en que </w:t>
      </w:r>
      <w:r w:rsidRPr="00FA3EC2">
        <w:rPr>
          <w:rFonts w:ascii="Verdana" w:hAnsi="Verdana" w:eastAsia="Calibri" w:cs="Arial"/>
          <w:lang w:val="es-ES_tradnl"/>
        </w:rPr>
        <w:t>«</w:t>
      </w:r>
      <w:r w:rsidRPr="00FA3EC2">
        <w:rPr>
          <w:rFonts w:ascii="Verdana" w:hAnsi="Verdana" w:eastAsia="Calibri" w:cs="Arial"/>
          <w:color w:val="000000" w:themeColor="text1"/>
          <w:lang w:val="es-ES_tradnl"/>
        </w:rPr>
        <w:t>Después del 31 de diciembre no podrán asumirse compromisos con cargo a las apropiaciones del año fiscal que se cierra en esa fecha y los saldos de apropiación no afectados por compromisos caducarán sin excepción</w:t>
      </w:r>
      <w:r w:rsidRPr="00FA3EC2">
        <w:rPr>
          <w:rFonts w:ascii="Verdana" w:hAnsi="Verdana" w:eastAsia="Calibri" w:cs="Arial"/>
          <w:lang w:val="es-ES_tradnl"/>
        </w:rPr>
        <w:t>»</w:t>
      </w:r>
      <w:r w:rsidRPr="00FA3EC2">
        <w:rPr>
          <w:rFonts w:ascii="Verdana" w:hAnsi="Verdana" w:eastAsia="Calibri" w:cs="Arial"/>
          <w:color w:val="000000" w:themeColor="text1"/>
          <w:lang w:val="es-ES_tradnl"/>
        </w:rPr>
        <w:t>. Es decir, los gastos previstos en el presupuesto anual se deben ejecutar dentro de una vigencia fiscal comprendida entre el 1 de enero y el 31 de diciembre</w:t>
      </w:r>
      <w:r w:rsidRPr="00FA3EC2">
        <w:rPr>
          <w:rStyle w:val="Refdenotaalpie"/>
          <w:rFonts w:ascii="Verdana" w:hAnsi="Verdana" w:eastAsia="Calibri" w:cs="Arial"/>
          <w:color w:val="000000" w:themeColor="text1"/>
          <w:lang w:val="es-ES_tradnl"/>
        </w:rPr>
        <w:footnoteReference w:id="4"/>
      </w:r>
      <w:r w:rsidRPr="00FA3EC2">
        <w:rPr>
          <w:rFonts w:ascii="Verdana" w:hAnsi="Verdana" w:eastAsia="Calibri" w:cs="Arial"/>
          <w:color w:val="000000" w:themeColor="text1"/>
          <w:lang w:val="es-ES_tradnl"/>
        </w:rPr>
        <w:t>.</w:t>
      </w:r>
      <w:r w:rsidRPr="00FA3EC2">
        <w:rPr>
          <w:rFonts w:ascii="Verdana" w:hAnsi="Verdana" w:eastAsia="Calibri" w:cs="Arial"/>
          <w:color w:val="000000" w:themeColor="text1"/>
        </w:rPr>
        <w:t xml:space="preserve"> En el mismo sentido, </w:t>
      </w:r>
      <w:r w:rsidRPr="00FA3EC2">
        <w:rPr>
          <w:rFonts w:ascii="Verdana" w:hAnsi="Verdana" w:eastAsia="Calibri" w:cs="Arial"/>
          <w:color w:val="000000" w:themeColor="text1"/>
          <w:lang w:val="es-ES_tradnl"/>
        </w:rPr>
        <w:t xml:space="preserve">el artículo 89 </w:t>
      </w:r>
      <w:r w:rsidRPr="00FA3EC2">
        <w:rPr>
          <w:rFonts w:ascii="Verdana" w:hAnsi="Verdana" w:eastAsia="Calibri" w:cs="Arial"/>
          <w:i/>
          <w:iCs/>
          <w:color w:val="000000" w:themeColor="text1"/>
          <w:lang w:val="es-ES_tradnl"/>
        </w:rPr>
        <w:t>ibidem</w:t>
      </w:r>
      <w:r w:rsidRPr="00FA3EC2">
        <w:rPr>
          <w:rFonts w:ascii="Verdana" w:hAnsi="Verdana" w:eastAsia="Calibri" w:cs="Arial"/>
          <w:color w:val="000000" w:themeColor="text1"/>
          <w:lang w:val="es-ES_tradnl"/>
        </w:rPr>
        <w:t xml:space="preserve"> consolida al principio de anualidad como regla general en la ejecución del gasto al establecer que </w:t>
      </w:r>
      <w:r w:rsidRPr="00FA3EC2">
        <w:rPr>
          <w:rFonts w:ascii="Verdana" w:hAnsi="Verdana" w:eastAsia="Calibri" w:cs="Arial"/>
          <w:lang w:val="es-ES_tradnl"/>
        </w:rPr>
        <w:t>«</w:t>
      </w:r>
      <w:r w:rsidRPr="00FA3EC2">
        <w:rPr>
          <w:rFonts w:ascii="Verdana" w:hAnsi="Verdana" w:eastAsia="Calibri" w:cs="Arial"/>
          <w:color w:val="000000" w:themeColor="text1"/>
          <w:lang w:val="es-ES_tradnl"/>
        </w:rPr>
        <w:t xml:space="preserve">las apropiaciones presupuestales incluidas en el Presupuesto General de la Nación son autorizaciones máximas de gasto que el Congreso aprueba para ser ejecutadas o comprometidas durante la vigencia fiscal respectiva, por lo que después del 31 de diciembre de cada año estas autorizaciones expiran y, en consecuencia, no podrán comprometerse, adicionarse, transferirse, ni </w:t>
      </w:r>
      <w:proofErr w:type="spellStart"/>
      <w:r w:rsidRPr="00FA3EC2">
        <w:rPr>
          <w:rFonts w:ascii="Verdana" w:hAnsi="Verdana" w:eastAsia="Calibri" w:cs="Arial"/>
          <w:color w:val="000000" w:themeColor="text1"/>
          <w:lang w:val="es-ES_tradnl"/>
        </w:rPr>
        <w:t>contracreditarse</w:t>
      </w:r>
      <w:proofErr w:type="spellEnd"/>
      <w:r w:rsidRPr="00FA3EC2">
        <w:rPr>
          <w:rFonts w:ascii="Verdana" w:hAnsi="Verdana" w:eastAsia="Calibri" w:cs="Arial"/>
          <w:lang w:val="es-ES_tradnl"/>
        </w:rPr>
        <w:t xml:space="preserve">». </w:t>
      </w:r>
    </w:p>
    <w:p w:rsidRPr="00FA3EC2" w:rsidR="00FA3EC2" w:rsidP="00931F90" w:rsidRDefault="00FA3EC2" w14:paraId="2D795716" w14:textId="77777777">
      <w:pPr>
        <w:shd w:val="clear" w:color="auto" w:fill="FFFFFF"/>
        <w:spacing w:after="120" w:line="276" w:lineRule="auto"/>
        <w:ind w:right="51" w:firstLine="709"/>
        <w:jc w:val="both"/>
        <w:rPr>
          <w:rFonts w:ascii="Verdana" w:hAnsi="Verdana" w:eastAsia="Calibri" w:cs="Arial"/>
          <w:lang w:val="es-ES_tradnl"/>
        </w:rPr>
      </w:pPr>
      <w:r w:rsidRPr="00FA3EC2">
        <w:rPr>
          <w:rFonts w:ascii="Verdana" w:hAnsi="Verdana" w:eastAsia="Calibri" w:cs="Arial"/>
          <w:lang w:val="es-ES_tradnl"/>
        </w:rPr>
        <w:t>A su turno, el artículo 8 de la Ley 819 de 2003 consagra el principio de anualidad al disponer que «l</w:t>
      </w:r>
      <w:r w:rsidRPr="00FA3EC2">
        <w:rPr>
          <w:rFonts w:ascii="Verdana" w:hAnsi="Verdana" w:eastAsia="Calibri" w:cs="Arial"/>
        </w:rPr>
        <w:t xml:space="preserve">a preparación y elaboración del Presupuesto General de la Nación y el de las entidades territoriales, deberá sujetarse a los </w:t>
      </w:r>
      <w:r w:rsidRPr="00FA3EC2">
        <w:rPr>
          <w:rFonts w:ascii="Verdana" w:hAnsi="Verdana" w:eastAsia="Calibri" w:cs="Arial"/>
        </w:rPr>
        <w:lastRenderedPageBreak/>
        <w:t>correspondientes Marcos Fiscales de Mediano Plazo de manera que las apropiaciones presupuestales aprobadas por el Congreso de la República, las Asambleas y los Concejos, puedan ejecutarse en su totalidad durante la vigencia fiscal correspondiente</w:t>
      </w:r>
      <w:r w:rsidRPr="00FA3EC2">
        <w:rPr>
          <w:rFonts w:ascii="Verdana" w:hAnsi="Verdana" w:eastAsia="Calibri" w:cs="Arial"/>
          <w:lang w:val="es-ES_tradnl"/>
        </w:rPr>
        <w:t>»</w:t>
      </w:r>
      <w:r w:rsidRPr="00FA3EC2">
        <w:rPr>
          <w:rFonts w:ascii="Verdana" w:hAnsi="Verdana" w:eastAsia="Calibri" w:cs="Arial"/>
        </w:rPr>
        <w:t>.</w:t>
      </w:r>
    </w:p>
    <w:p w:rsidRPr="00FA3EC2" w:rsidR="00FA3EC2" w:rsidP="687B390B" w:rsidRDefault="00FA3EC2" w14:paraId="230EB6F1" w14:textId="77777777" w14:noSpellErr="1">
      <w:pPr>
        <w:shd w:val="clear" w:color="auto" w:fill="FFFFFF" w:themeFill="background1"/>
        <w:spacing w:after="120" w:line="276" w:lineRule="auto"/>
        <w:ind w:right="51" w:firstLine="709"/>
        <w:jc w:val="both"/>
        <w:rPr>
          <w:rFonts w:ascii="Verdana" w:hAnsi="Verdana" w:eastAsia="Calibri" w:cs="Arial"/>
          <w:color w:val="000000" w:themeColor="text1"/>
          <w:lang w:val="es-ES"/>
        </w:rPr>
      </w:pPr>
      <w:r w:rsidRPr="687B390B" w:rsidR="00FA3EC2">
        <w:rPr>
          <w:rFonts w:ascii="Verdana" w:hAnsi="Verdana" w:eastAsia="Calibri" w:cs="Arial"/>
          <w:color w:val="000000" w:themeColor="text1" w:themeTint="FF" w:themeShade="FF"/>
          <w:lang w:val="es-ES"/>
        </w:rPr>
        <w:t>En este contexto, la anualidad del gasto es uno de los principios rectores de la actividad contractual pública, conforme al cual las entidades deben planear sus contrataciones de manera que sus compromisos contractuales sean atendidos durante la respectiva vigencia fiscal comprendida entre el 1 de enero y el 31 de diciembre.</w:t>
      </w:r>
      <w:r w:rsidRPr="687B390B" w:rsidR="00FA3EC2">
        <w:rPr>
          <w:rFonts w:ascii="Verdana" w:hAnsi="Verdana" w:eastAsia="Calibri" w:cs="Arial"/>
          <w:color w:val="000000" w:themeColor="text1" w:themeTint="FF" w:themeShade="FF"/>
          <w:lang w:val="es-ES"/>
        </w:rPr>
        <w:t xml:space="preserve"> En este sentido, la regla general es que las entidades estatales solo pueden adquirir compromisos presupuestales que no excedan en su ejecución la vigencia fiscal en la que se suscribe el respectivo contrato.</w:t>
      </w:r>
    </w:p>
    <w:p w:rsidRPr="00FA3EC2" w:rsidR="00FA3EC2" w:rsidP="00931F90" w:rsidRDefault="00FA3EC2" w14:paraId="068D0E20" w14:textId="77777777">
      <w:pPr>
        <w:shd w:val="clear" w:color="auto" w:fill="FFFFFF"/>
        <w:spacing w:after="120" w:line="276" w:lineRule="auto"/>
        <w:ind w:right="51" w:firstLine="709"/>
        <w:jc w:val="both"/>
        <w:rPr>
          <w:rFonts w:ascii="Verdana" w:hAnsi="Verdana" w:eastAsia="Calibri" w:cs="Arial"/>
          <w:color w:val="000000" w:themeColor="text1"/>
        </w:rPr>
      </w:pPr>
      <w:r w:rsidRPr="00FA3EC2">
        <w:rPr>
          <w:rFonts w:ascii="Verdana" w:hAnsi="Verdana" w:eastAsia="Calibri" w:cs="Arial"/>
          <w:color w:val="000000" w:themeColor="text1"/>
          <w:lang w:val="es-ES_tradnl"/>
        </w:rPr>
        <w:t xml:space="preserve">No obstante, conforme lo ha señalado el Consejo de Estado, el principio de anualidad no es absoluto </w:t>
      </w:r>
      <w:r w:rsidRPr="00FA3EC2">
        <w:rPr>
          <w:rFonts w:ascii="Verdana" w:hAnsi="Verdana" w:eastAsia="Calibri" w:cs="Arial"/>
          <w:color w:val="000000" w:themeColor="text1"/>
        </w:rPr>
        <w:t xml:space="preserve">en </w:t>
      </w:r>
      <w:r w:rsidRPr="00FA3EC2">
        <w:rPr>
          <w:rFonts w:ascii="Verdana" w:hAnsi="Verdana" w:eastAsia="Calibri" w:cs="Arial"/>
          <w:lang w:val="es-ES_tradnl"/>
        </w:rPr>
        <w:t>«</w:t>
      </w:r>
      <w:r w:rsidRPr="00FA3EC2">
        <w:rPr>
          <w:rFonts w:ascii="Verdana" w:hAnsi="Verdana" w:eastAsia="Calibri" w:cs="Arial"/>
          <w:color w:val="000000" w:themeColor="text1"/>
        </w:rPr>
        <w:t>la medida en que la actividad presupuestal está íntimamente ligada con el principio de planeación, la cual normalmente es efectuada para periodos que superan el año calendario. Esta realidad impone la configuración de mecanismos presupuestales que permitan compatibilizar tales principios</w:t>
      </w:r>
      <w:r w:rsidRPr="00FA3EC2">
        <w:rPr>
          <w:rFonts w:ascii="Verdana" w:hAnsi="Verdana" w:eastAsia="Calibri" w:cs="Arial"/>
          <w:lang w:val="es-ES_tradnl"/>
        </w:rPr>
        <w:t>»</w:t>
      </w:r>
      <w:r w:rsidRPr="00FA3EC2">
        <w:rPr>
          <w:rStyle w:val="Refdenotaalpie"/>
          <w:rFonts w:ascii="Verdana" w:hAnsi="Verdana" w:eastAsia="Calibri" w:cs="Arial"/>
          <w:lang w:val="es-ES_tradnl"/>
        </w:rPr>
        <w:footnoteReference w:id="5"/>
      </w:r>
      <w:r w:rsidRPr="00FA3EC2">
        <w:rPr>
          <w:rFonts w:ascii="Verdana" w:hAnsi="Verdana" w:eastAsia="Calibri" w:cs="Arial"/>
          <w:lang w:val="es-ES_tradnl"/>
        </w:rPr>
        <w:t>.</w:t>
      </w:r>
      <w:r w:rsidRPr="00FA3EC2">
        <w:rPr>
          <w:rFonts w:ascii="Verdana" w:hAnsi="Verdana" w:eastAsia="Calibri" w:cs="Arial"/>
          <w:color w:val="000000" w:themeColor="text1"/>
        </w:rPr>
        <w:t xml:space="preserve"> </w:t>
      </w:r>
    </w:p>
    <w:p w:rsidR="00FA3EC2" w:rsidP="00931F90" w:rsidRDefault="00FA3EC2" w14:paraId="6C639B8B" w14:textId="77777777">
      <w:pPr>
        <w:shd w:val="clear" w:color="auto" w:fill="FFFFFF"/>
        <w:spacing w:after="120" w:line="276" w:lineRule="auto"/>
        <w:ind w:right="51" w:firstLine="709"/>
        <w:jc w:val="both"/>
        <w:rPr>
          <w:rFonts w:ascii="Verdana" w:hAnsi="Verdana" w:eastAsia="Calibri" w:cs="Arial"/>
          <w:lang w:val="es-ES_tradnl"/>
        </w:rPr>
      </w:pPr>
      <w:r w:rsidRPr="00FA3EC2">
        <w:rPr>
          <w:rFonts w:ascii="Verdana" w:hAnsi="Verdana" w:eastAsia="Calibri" w:cs="Arial"/>
          <w:color w:val="000000" w:themeColor="text1"/>
          <w:lang w:val="es-ES_tradnl"/>
        </w:rPr>
        <w:t xml:space="preserve">Dentro de los mecanismos presupuestales que constituyen excepciones al principio de anualidad se identifican: i) las vigencias futuras, </w:t>
      </w:r>
      <w:proofErr w:type="spellStart"/>
      <w:r w:rsidRPr="00FA3EC2">
        <w:rPr>
          <w:rFonts w:ascii="Verdana" w:hAnsi="Verdana" w:eastAsia="Calibri" w:cs="Arial"/>
          <w:color w:val="000000" w:themeColor="text1"/>
          <w:lang w:val="es-ES_tradnl"/>
        </w:rPr>
        <w:t>ii</w:t>
      </w:r>
      <w:proofErr w:type="spellEnd"/>
      <w:r w:rsidRPr="00FA3EC2">
        <w:rPr>
          <w:rFonts w:ascii="Verdana" w:hAnsi="Verdana" w:eastAsia="Calibri" w:cs="Arial"/>
          <w:color w:val="000000" w:themeColor="text1"/>
          <w:lang w:val="es-ES_tradnl"/>
        </w:rPr>
        <w:t xml:space="preserve">) las cuentas por pagar y </w:t>
      </w:r>
      <w:proofErr w:type="spellStart"/>
      <w:r w:rsidRPr="00FA3EC2">
        <w:rPr>
          <w:rFonts w:ascii="Verdana" w:hAnsi="Verdana" w:eastAsia="Calibri" w:cs="Arial"/>
          <w:color w:val="000000" w:themeColor="text1"/>
          <w:lang w:val="es-ES_tradnl"/>
        </w:rPr>
        <w:t>iii</w:t>
      </w:r>
      <w:proofErr w:type="spellEnd"/>
      <w:r w:rsidRPr="00FA3EC2">
        <w:rPr>
          <w:rFonts w:ascii="Verdana" w:hAnsi="Verdana" w:eastAsia="Calibri" w:cs="Arial"/>
          <w:color w:val="000000" w:themeColor="text1"/>
          <w:lang w:val="es-ES_tradnl"/>
        </w:rPr>
        <w:t xml:space="preserve">) las reservas presupuestales. Las </w:t>
      </w:r>
      <w:r w:rsidRPr="00FA3EC2">
        <w:rPr>
          <w:rFonts w:ascii="Verdana" w:hAnsi="Verdana" w:eastAsia="Calibri" w:cs="Arial"/>
          <w:i/>
          <w:iCs/>
          <w:color w:val="000000" w:themeColor="text1"/>
          <w:lang w:val="es-ES_tradnl"/>
        </w:rPr>
        <w:t>primeras</w:t>
      </w:r>
      <w:r w:rsidRPr="00FA3EC2">
        <w:rPr>
          <w:rFonts w:ascii="Verdana" w:hAnsi="Verdana" w:eastAsia="Calibri" w:cs="Arial"/>
          <w:color w:val="000000" w:themeColor="text1"/>
          <w:lang w:val="es-ES_tradnl"/>
        </w:rPr>
        <w:t>, de conformidad con el artículo 23 del Estatuto Orgánico del Presupuesto</w:t>
      </w:r>
      <w:r w:rsidRPr="00FA3EC2">
        <w:rPr>
          <w:rStyle w:val="Refdenotaalpie"/>
          <w:rFonts w:ascii="Verdana" w:hAnsi="Verdana" w:eastAsia="Calibri" w:cs="Arial"/>
          <w:color w:val="000000" w:themeColor="text1"/>
          <w:lang w:val="es-ES_tradnl"/>
        </w:rPr>
        <w:footnoteReference w:id="6"/>
      </w:r>
      <w:r w:rsidRPr="00FA3EC2">
        <w:rPr>
          <w:rFonts w:ascii="Verdana" w:hAnsi="Verdana" w:eastAsia="Calibri" w:cs="Arial"/>
          <w:i/>
          <w:iCs/>
          <w:color w:val="000000" w:themeColor="text1"/>
          <w:lang w:val="es-ES_tradnl"/>
        </w:rPr>
        <w:t xml:space="preserve">, </w:t>
      </w:r>
      <w:r w:rsidRPr="00FA3EC2">
        <w:rPr>
          <w:rFonts w:ascii="Verdana" w:hAnsi="Verdana" w:eastAsia="Calibri" w:cs="Arial"/>
          <w:color w:val="000000" w:themeColor="text1"/>
          <w:lang w:val="es-ES_tradnl"/>
        </w:rPr>
        <w:t>se</w:t>
      </w:r>
      <w:r w:rsidRPr="00FA3EC2">
        <w:rPr>
          <w:rFonts w:ascii="Verdana" w:hAnsi="Verdana" w:eastAsia="Calibri" w:cs="Arial"/>
          <w:i/>
          <w:iCs/>
          <w:color w:val="000000" w:themeColor="text1"/>
          <w:lang w:val="es-ES_tradnl"/>
        </w:rPr>
        <w:t xml:space="preserve"> </w:t>
      </w:r>
      <w:r w:rsidRPr="00FA3EC2">
        <w:rPr>
          <w:rFonts w:ascii="Verdana" w:hAnsi="Verdana" w:eastAsia="Calibri" w:cs="Arial"/>
          <w:color w:val="000000" w:themeColor="text1"/>
          <w:lang w:val="es-ES_tradnl"/>
        </w:rPr>
        <w:t xml:space="preserve">refieren a la </w:t>
      </w:r>
      <w:r w:rsidRPr="00FA3EC2">
        <w:rPr>
          <w:rFonts w:ascii="Verdana" w:hAnsi="Verdana" w:eastAsia="Calibri" w:cs="Arial"/>
          <w:color w:val="000000" w:themeColor="text1"/>
          <w:lang w:val="es-ES_tradnl"/>
        </w:rPr>
        <w:lastRenderedPageBreak/>
        <w:t xml:space="preserve">autorización que deben solicitar las entidades para asumir obligaciones que afectarán los presupuestos siguientes a los de la vigencia fiscal en la que inició la ejecución, es decir, correspondientes a las obligaciones cuya ejecución inició con presupuesto de una vigencia fiscal, pero que deberá continuarse con presupuestos de las siguientes vigencias. Sobre esta figura el Consejo de Estado precisó que </w:t>
      </w:r>
      <w:r w:rsidRPr="00FA3EC2">
        <w:rPr>
          <w:rFonts w:ascii="Verdana" w:hAnsi="Verdana" w:eastAsia="Calibri" w:cs="Arial"/>
          <w:lang w:val="es-ES_tradnl"/>
        </w:rPr>
        <w:t>«</w:t>
      </w:r>
      <w:r w:rsidRPr="00FA3EC2">
        <w:rPr>
          <w:rFonts w:ascii="Verdana" w:hAnsi="Verdana" w:eastAsia="Calibri" w:cs="Arial"/>
          <w:color w:val="000000" w:themeColor="text1"/>
        </w:rPr>
        <w:t>son un instrumento de planificación presupuestal y financiero que permite autorizar la asunción de obligaciones que afecten los presupuestos de vigencias posteriores, y tienen como fin garantizar la existencia de apropiaciones suficientes en los años siguientes para asumir compromisos y obligaciones con cargo a ellas, así como también disponer de los recursos financieros, y de esa manera garantizar el avance y conclusión de proyectos plurianuales</w:t>
      </w:r>
      <w:r w:rsidRPr="00FA3EC2">
        <w:rPr>
          <w:rFonts w:ascii="Verdana" w:hAnsi="Verdana" w:eastAsia="Calibri" w:cs="Arial"/>
          <w:lang w:val="es-ES_tradnl"/>
        </w:rPr>
        <w:t>»</w:t>
      </w:r>
      <w:r w:rsidRPr="00FA3EC2">
        <w:rPr>
          <w:rStyle w:val="Refdenotaalpie"/>
          <w:rFonts w:ascii="Verdana" w:hAnsi="Verdana" w:eastAsia="Calibri" w:cs="Arial"/>
          <w:lang w:val="es-ES_tradnl"/>
        </w:rPr>
        <w:footnoteReference w:id="7"/>
      </w:r>
      <w:r w:rsidRPr="00FA3EC2">
        <w:rPr>
          <w:rFonts w:ascii="Verdana" w:hAnsi="Verdana" w:eastAsia="Calibri" w:cs="Arial"/>
          <w:lang w:val="es-ES_tradnl"/>
        </w:rPr>
        <w:t xml:space="preserve">. </w:t>
      </w:r>
    </w:p>
    <w:p w:rsidR="00196131" w:rsidP="00931F90" w:rsidRDefault="00A23E0E" w14:paraId="348F6077" w14:textId="6875712B">
      <w:pPr>
        <w:shd w:val="clear" w:color="auto" w:fill="FFFFFF"/>
        <w:spacing w:after="120" w:line="276" w:lineRule="auto"/>
        <w:ind w:right="51" w:firstLine="709"/>
        <w:jc w:val="both"/>
        <w:rPr>
          <w:rFonts w:ascii="Verdana" w:hAnsi="Verdana" w:eastAsia="Calibri" w:cs="Arial"/>
          <w:color w:val="000000" w:themeColor="text1"/>
        </w:rPr>
      </w:pPr>
      <w:r>
        <w:rPr>
          <w:rFonts w:ascii="Verdana" w:hAnsi="Verdana" w:eastAsia="Calibri" w:cs="Arial"/>
          <w:color w:val="000000" w:themeColor="text1"/>
        </w:rPr>
        <w:t>La Ley 813 de 20</w:t>
      </w:r>
      <w:r w:rsidR="00B03043">
        <w:rPr>
          <w:rFonts w:ascii="Verdana" w:hAnsi="Verdana" w:eastAsia="Calibri" w:cs="Arial"/>
          <w:color w:val="000000" w:themeColor="text1"/>
        </w:rPr>
        <w:t>03</w:t>
      </w:r>
      <w:r w:rsidR="00DD6739">
        <w:rPr>
          <w:rFonts w:ascii="Verdana" w:hAnsi="Verdana" w:eastAsia="Calibri" w:cs="Arial"/>
          <w:color w:val="000000" w:themeColor="text1"/>
        </w:rPr>
        <w:t xml:space="preserve"> establece</w:t>
      </w:r>
      <w:r w:rsidR="009D07C4">
        <w:rPr>
          <w:rFonts w:ascii="Verdana" w:hAnsi="Verdana" w:eastAsia="Calibri" w:cs="Arial"/>
          <w:color w:val="000000" w:themeColor="text1"/>
        </w:rPr>
        <w:t xml:space="preserve"> en sus artículos </w:t>
      </w:r>
      <w:r w:rsidR="00C70350">
        <w:rPr>
          <w:rFonts w:ascii="Verdana" w:hAnsi="Verdana" w:eastAsia="Calibri" w:cs="Arial"/>
          <w:color w:val="000000" w:themeColor="text1"/>
        </w:rPr>
        <w:t>10</w:t>
      </w:r>
      <w:r w:rsidR="00D22BC4">
        <w:rPr>
          <w:rFonts w:ascii="Verdana" w:hAnsi="Verdana" w:eastAsia="Calibri" w:cs="Arial"/>
          <w:color w:val="000000" w:themeColor="text1"/>
        </w:rPr>
        <w:t>°</w:t>
      </w:r>
      <w:r w:rsidR="009D07C4">
        <w:rPr>
          <w:rFonts w:ascii="Verdana" w:hAnsi="Verdana" w:eastAsia="Calibri" w:cs="Arial"/>
          <w:color w:val="000000" w:themeColor="text1"/>
        </w:rPr>
        <w:t xml:space="preserve"> y 1</w:t>
      </w:r>
      <w:r w:rsidR="00C70350">
        <w:rPr>
          <w:rFonts w:ascii="Verdana" w:hAnsi="Verdana" w:eastAsia="Calibri" w:cs="Arial"/>
          <w:color w:val="000000" w:themeColor="text1"/>
        </w:rPr>
        <w:t>1</w:t>
      </w:r>
      <w:r w:rsidR="00D22BC4">
        <w:rPr>
          <w:rFonts w:ascii="Verdana" w:hAnsi="Verdana" w:eastAsia="Calibri" w:cs="Arial"/>
          <w:color w:val="000000" w:themeColor="text1"/>
        </w:rPr>
        <w:t>°</w:t>
      </w:r>
      <w:r w:rsidR="00DD6739">
        <w:rPr>
          <w:rFonts w:ascii="Verdana" w:hAnsi="Verdana" w:eastAsia="Calibri" w:cs="Arial"/>
          <w:color w:val="000000" w:themeColor="text1"/>
        </w:rPr>
        <w:t xml:space="preserve"> dos tipos de vigencias futuras: i)</w:t>
      </w:r>
      <w:r w:rsidR="0009000D">
        <w:rPr>
          <w:rFonts w:ascii="Verdana" w:hAnsi="Verdana" w:eastAsia="Calibri" w:cs="Arial"/>
          <w:color w:val="000000" w:themeColor="text1"/>
        </w:rPr>
        <w:t xml:space="preserve"> las vigencias futuras ordinarias</w:t>
      </w:r>
      <w:r w:rsidR="00DD6739">
        <w:rPr>
          <w:rFonts w:ascii="Verdana" w:hAnsi="Verdana" w:eastAsia="Calibri" w:cs="Arial"/>
          <w:color w:val="000000" w:themeColor="text1"/>
        </w:rPr>
        <w:t xml:space="preserve">, </w:t>
      </w:r>
      <w:r w:rsidR="00BD15B8">
        <w:rPr>
          <w:rFonts w:ascii="Verdana" w:hAnsi="Verdana" w:eastAsia="Calibri" w:cs="Arial"/>
          <w:color w:val="000000" w:themeColor="text1"/>
        </w:rPr>
        <w:t>según la cual e</w:t>
      </w:r>
      <w:r w:rsidRPr="00103421" w:rsidR="00103421">
        <w:rPr>
          <w:rFonts w:ascii="Verdana" w:hAnsi="Verdana" w:eastAsia="Calibri" w:cs="Arial"/>
          <w:color w:val="000000" w:themeColor="text1"/>
        </w:rPr>
        <w:t>l</w:t>
      </w:r>
      <w:r w:rsidRPr="005B442C" w:rsidR="005B442C">
        <w:rPr>
          <w:rFonts w:ascii="Verdana" w:hAnsi="Verdana" w:eastAsia="Calibri" w:cs="Arial"/>
          <w:color w:val="000000" w:themeColor="text1"/>
        </w:rPr>
        <w:t xml:space="preserve"> Consejo Superior de Política Fiscal</w:t>
      </w:r>
      <w:r w:rsidR="005B442C">
        <w:rPr>
          <w:rFonts w:ascii="Verdana" w:hAnsi="Verdana" w:eastAsia="Calibri" w:cs="Arial"/>
          <w:color w:val="000000" w:themeColor="text1"/>
        </w:rPr>
        <w:t xml:space="preserve"> – </w:t>
      </w:r>
      <w:proofErr w:type="spellStart"/>
      <w:r w:rsidRPr="00103421" w:rsidR="00103421">
        <w:rPr>
          <w:rFonts w:ascii="Verdana" w:hAnsi="Verdana" w:eastAsia="Calibri" w:cs="Arial"/>
          <w:color w:val="000000" w:themeColor="text1"/>
        </w:rPr>
        <w:t>Confi</w:t>
      </w:r>
      <w:r w:rsidR="005B442C">
        <w:rPr>
          <w:rFonts w:ascii="Verdana" w:hAnsi="Verdana" w:eastAsia="Calibri" w:cs="Arial"/>
          <w:color w:val="000000" w:themeColor="text1"/>
        </w:rPr>
        <w:t>s</w:t>
      </w:r>
      <w:proofErr w:type="spellEnd"/>
      <w:r w:rsidR="005B442C">
        <w:rPr>
          <w:rFonts w:ascii="Verdana" w:hAnsi="Verdana" w:eastAsia="Calibri" w:cs="Arial"/>
          <w:color w:val="000000" w:themeColor="text1"/>
        </w:rPr>
        <w:t xml:space="preserve">, </w:t>
      </w:r>
      <w:r w:rsidRPr="00103421" w:rsidR="00103421">
        <w:rPr>
          <w:rFonts w:ascii="Verdana" w:hAnsi="Verdana" w:eastAsia="Calibri" w:cs="Arial"/>
          <w:color w:val="000000" w:themeColor="text1"/>
        </w:rPr>
        <w:t>podrá autorizar la asunción de obligaciones que afecten presupuestos de vigencias futuras cuando su ejecución se inicie con presupuesto de la vigencia en curso y el objeto del compromiso se lleve a cabo en cada una de ellas siempre y cuando se cumpla</w:t>
      </w:r>
      <w:r w:rsidR="00D22BC4">
        <w:rPr>
          <w:rFonts w:ascii="Verdana" w:hAnsi="Verdana" w:eastAsia="Calibri" w:cs="Arial"/>
          <w:color w:val="000000" w:themeColor="text1"/>
        </w:rPr>
        <w:t>n los prepuestos señalados en la</w:t>
      </w:r>
      <w:r w:rsidR="00EE391B">
        <w:rPr>
          <w:rFonts w:ascii="Verdana" w:hAnsi="Verdana" w:eastAsia="Calibri" w:cs="Arial"/>
          <w:color w:val="000000" w:themeColor="text1"/>
        </w:rPr>
        <w:t xml:space="preserve"> </w:t>
      </w:r>
      <w:r w:rsidR="00D22BC4">
        <w:rPr>
          <w:rFonts w:ascii="Verdana" w:hAnsi="Verdana" w:eastAsia="Calibri" w:cs="Arial"/>
          <w:color w:val="000000" w:themeColor="text1"/>
        </w:rPr>
        <w:t>norma.</w:t>
      </w:r>
      <w:r w:rsidR="0009000D">
        <w:rPr>
          <w:rFonts w:ascii="Verdana" w:hAnsi="Verdana" w:eastAsia="Calibri" w:cs="Arial"/>
          <w:color w:val="000000" w:themeColor="text1"/>
        </w:rPr>
        <w:t xml:space="preserve"> </w:t>
      </w:r>
      <w:r w:rsidR="00DD6739">
        <w:rPr>
          <w:rFonts w:ascii="Verdana" w:hAnsi="Verdana" w:eastAsia="Calibri" w:cs="Arial"/>
          <w:color w:val="000000" w:themeColor="text1"/>
        </w:rPr>
        <w:t>Y</w:t>
      </w:r>
      <w:r w:rsidR="00CE221C">
        <w:rPr>
          <w:rFonts w:ascii="Verdana" w:hAnsi="Verdana" w:eastAsia="Calibri" w:cs="Arial"/>
          <w:color w:val="000000" w:themeColor="text1"/>
        </w:rPr>
        <w:t>,</w:t>
      </w:r>
      <w:r w:rsidR="00DD6739">
        <w:rPr>
          <w:rFonts w:ascii="Verdana" w:hAnsi="Verdana" w:eastAsia="Calibri" w:cs="Arial"/>
          <w:color w:val="000000" w:themeColor="text1"/>
        </w:rPr>
        <w:t xml:space="preserve"> </w:t>
      </w:r>
      <w:proofErr w:type="spellStart"/>
      <w:r w:rsidR="00DD6739">
        <w:rPr>
          <w:rFonts w:ascii="Verdana" w:hAnsi="Verdana" w:eastAsia="Calibri" w:cs="Arial"/>
          <w:color w:val="000000" w:themeColor="text1"/>
        </w:rPr>
        <w:t>ii</w:t>
      </w:r>
      <w:proofErr w:type="spellEnd"/>
      <w:r w:rsidR="00DD6739">
        <w:rPr>
          <w:rFonts w:ascii="Verdana" w:hAnsi="Verdana" w:eastAsia="Calibri" w:cs="Arial"/>
          <w:color w:val="000000" w:themeColor="text1"/>
        </w:rPr>
        <w:t xml:space="preserve">) las vigencias </w:t>
      </w:r>
      <w:r w:rsidR="00EE391B">
        <w:rPr>
          <w:rFonts w:ascii="Verdana" w:hAnsi="Verdana" w:eastAsia="Calibri" w:cs="Arial"/>
          <w:color w:val="000000" w:themeColor="text1"/>
        </w:rPr>
        <w:t>futuras</w:t>
      </w:r>
      <w:r w:rsidR="0009000D">
        <w:rPr>
          <w:rFonts w:ascii="Verdana" w:hAnsi="Verdana" w:eastAsia="Calibri" w:cs="Arial"/>
          <w:color w:val="000000" w:themeColor="text1"/>
        </w:rPr>
        <w:t xml:space="preserve"> excepcionales</w:t>
      </w:r>
      <w:r w:rsidR="00103421">
        <w:rPr>
          <w:rFonts w:ascii="Verdana" w:hAnsi="Verdana" w:eastAsia="Calibri" w:cs="Arial"/>
          <w:color w:val="000000" w:themeColor="text1"/>
        </w:rPr>
        <w:t xml:space="preserve">, </w:t>
      </w:r>
      <w:r w:rsidR="00424B32">
        <w:rPr>
          <w:rFonts w:ascii="Verdana" w:hAnsi="Verdana" w:eastAsia="Calibri" w:cs="Arial"/>
          <w:color w:val="000000" w:themeColor="text1"/>
        </w:rPr>
        <w:t>en virtud de la cual e</w:t>
      </w:r>
      <w:r w:rsidRPr="00424B32" w:rsidR="00424B32">
        <w:rPr>
          <w:rFonts w:ascii="Verdana" w:hAnsi="Verdana" w:eastAsia="Calibri" w:cs="Arial"/>
          <w:color w:val="000000" w:themeColor="text1"/>
        </w:rPr>
        <w:t xml:space="preserve">l </w:t>
      </w:r>
      <w:proofErr w:type="spellStart"/>
      <w:r w:rsidRPr="00424B32" w:rsidR="00424B32">
        <w:rPr>
          <w:rFonts w:ascii="Verdana" w:hAnsi="Verdana" w:eastAsia="Calibri" w:cs="Arial"/>
          <w:color w:val="000000" w:themeColor="text1"/>
        </w:rPr>
        <w:t>Confis</w:t>
      </w:r>
      <w:proofErr w:type="spellEnd"/>
      <w:r w:rsidRPr="00424B32" w:rsidR="00424B32">
        <w:rPr>
          <w:rFonts w:ascii="Verdana" w:hAnsi="Verdana" w:eastAsia="Calibri" w:cs="Arial"/>
          <w:color w:val="000000" w:themeColor="text1"/>
        </w:rPr>
        <w:t>, en casos excepcionales para las obras de infraestructura, energía, comunicaciones, aeronáutica, defensa y seguridad, así como para las garantías a las concesiones, podrá autorizar que se asuman obligaciones que afecten el presupuesto de vigencias futuras sin apropiación en el presupuesto del año en que se concede la autorización</w:t>
      </w:r>
      <w:r w:rsidR="00AD0B5C">
        <w:rPr>
          <w:rFonts w:ascii="Verdana" w:hAnsi="Verdana" w:eastAsia="Calibri" w:cs="Arial"/>
          <w:color w:val="000000" w:themeColor="text1"/>
        </w:rPr>
        <w:t>.</w:t>
      </w:r>
      <w:r w:rsidR="00E07855">
        <w:rPr>
          <w:rFonts w:ascii="Verdana" w:hAnsi="Verdana" w:eastAsia="Calibri" w:cs="Arial"/>
          <w:color w:val="000000" w:themeColor="text1"/>
        </w:rPr>
        <w:t xml:space="preserve"> </w:t>
      </w:r>
    </w:p>
    <w:p w:rsidR="00D57626" w:rsidP="00931F90" w:rsidRDefault="00E07855" w14:paraId="542C622A" w14:textId="6C13C168">
      <w:pPr>
        <w:shd w:val="clear" w:color="auto" w:fill="FFFFFF"/>
        <w:spacing w:after="120" w:line="276" w:lineRule="auto"/>
        <w:ind w:right="51" w:firstLine="709"/>
        <w:jc w:val="both"/>
        <w:rPr>
          <w:rFonts w:ascii="Verdana" w:hAnsi="Verdana" w:eastAsia="Calibri" w:cs="Arial"/>
          <w:color w:val="000000" w:themeColor="text1"/>
        </w:rPr>
      </w:pPr>
      <w:r>
        <w:rPr>
          <w:rFonts w:ascii="Verdana" w:hAnsi="Verdana" w:eastAsia="Calibri" w:cs="Arial"/>
          <w:color w:val="000000" w:themeColor="text1"/>
        </w:rPr>
        <w:t>Por su parte</w:t>
      </w:r>
      <w:r w:rsidR="00D146E9">
        <w:rPr>
          <w:rFonts w:ascii="Verdana" w:hAnsi="Verdana" w:eastAsia="Calibri" w:cs="Arial"/>
          <w:color w:val="000000" w:themeColor="text1"/>
        </w:rPr>
        <w:t>,</w:t>
      </w:r>
      <w:r>
        <w:rPr>
          <w:rFonts w:ascii="Verdana" w:hAnsi="Verdana" w:eastAsia="Calibri" w:cs="Arial"/>
          <w:color w:val="000000" w:themeColor="text1"/>
        </w:rPr>
        <w:t xml:space="preserve"> el artículo 12</w:t>
      </w:r>
      <w:r w:rsidR="00CE60E6">
        <w:rPr>
          <w:rFonts w:ascii="Verdana" w:hAnsi="Verdana" w:eastAsia="Calibri" w:cs="Arial"/>
          <w:color w:val="000000" w:themeColor="text1"/>
        </w:rPr>
        <w:t xml:space="preserve"> </w:t>
      </w:r>
      <w:r w:rsidRPr="00196131" w:rsidR="00D146E9">
        <w:rPr>
          <w:rFonts w:ascii="Verdana" w:hAnsi="Verdana" w:eastAsia="Calibri" w:cs="Arial"/>
          <w:i/>
          <w:iCs/>
          <w:color w:val="000000" w:themeColor="text1"/>
        </w:rPr>
        <w:t>ibidem</w:t>
      </w:r>
      <w:r w:rsidR="00D146E9">
        <w:rPr>
          <w:rFonts w:ascii="Verdana" w:hAnsi="Verdana" w:eastAsia="Calibri" w:cs="Arial"/>
          <w:color w:val="000000" w:themeColor="text1"/>
        </w:rPr>
        <w:t xml:space="preserve"> </w:t>
      </w:r>
      <w:r w:rsidR="00CE60E6">
        <w:rPr>
          <w:rFonts w:ascii="Verdana" w:hAnsi="Verdana" w:eastAsia="Calibri" w:cs="Arial"/>
          <w:color w:val="000000" w:themeColor="text1"/>
        </w:rPr>
        <w:t>se refiere a las vigencias futuras ordinarias para entidades territoriales</w:t>
      </w:r>
      <w:r w:rsidR="004A7F06">
        <w:rPr>
          <w:rFonts w:ascii="Verdana" w:hAnsi="Verdana" w:eastAsia="Calibri" w:cs="Arial"/>
          <w:color w:val="000000" w:themeColor="text1"/>
        </w:rPr>
        <w:t xml:space="preserve"> cuya autorización </w:t>
      </w:r>
      <w:r w:rsidRPr="004A7F06" w:rsidR="004A7F06">
        <w:rPr>
          <w:rFonts w:ascii="Verdana" w:hAnsi="Verdana" w:eastAsia="Calibri" w:cs="Arial"/>
          <w:color w:val="000000" w:themeColor="text1"/>
        </w:rPr>
        <w:t xml:space="preserve">será impartida por la asamblea o concejo respectivo, a iniciativa del gobierno local, previa aprobación por el </w:t>
      </w:r>
      <w:proofErr w:type="spellStart"/>
      <w:r w:rsidRPr="004A7F06" w:rsidR="004A7F06">
        <w:rPr>
          <w:rFonts w:ascii="Verdana" w:hAnsi="Verdana" w:eastAsia="Calibri" w:cs="Arial"/>
          <w:color w:val="000000" w:themeColor="text1"/>
        </w:rPr>
        <w:t>Confis</w:t>
      </w:r>
      <w:proofErr w:type="spellEnd"/>
      <w:r w:rsidRPr="004A7F06" w:rsidR="004A7F06">
        <w:rPr>
          <w:rFonts w:ascii="Verdana" w:hAnsi="Verdana" w:eastAsia="Calibri" w:cs="Arial"/>
          <w:color w:val="000000" w:themeColor="text1"/>
        </w:rPr>
        <w:t xml:space="preserve"> territorial o el órgano que haga sus veces.</w:t>
      </w:r>
      <w:r w:rsidR="002521BD">
        <w:rPr>
          <w:rFonts w:ascii="Verdana" w:hAnsi="Verdana" w:eastAsia="Calibri" w:cs="Arial"/>
          <w:color w:val="000000" w:themeColor="text1"/>
        </w:rPr>
        <w:t xml:space="preserve"> </w:t>
      </w:r>
      <w:r w:rsidR="00983C94">
        <w:rPr>
          <w:rFonts w:ascii="Verdana" w:hAnsi="Verdana" w:eastAsia="Calibri" w:cs="Arial"/>
          <w:color w:val="000000" w:themeColor="text1"/>
        </w:rPr>
        <w:t>Las vigencias futuras excepcionales para entidades territoriales se encuentra</w:t>
      </w:r>
      <w:r w:rsidR="006B236C">
        <w:rPr>
          <w:rFonts w:ascii="Verdana" w:hAnsi="Verdana" w:eastAsia="Calibri" w:cs="Arial"/>
          <w:color w:val="000000" w:themeColor="text1"/>
        </w:rPr>
        <w:t xml:space="preserve"> </w:t>
      </w:r>
      <w:r w:rsidR="002521BD">
        <w:rPr>
          <w:rFonts w:ascii="Verdana" w:hAnsi="Verdana" w:eastAsia="Calibri" w:cs="Arial"/>
          <w:color w:val="000000" w:themeColor="text1"/>
        </w:rPr>
        <w:t xml:space="preserve">establecida en </w:t>
      </w:r>
      <w:r w:rsidR="006B236C">
        <w:rPr>
          <w:rFonts w:ascii="Verdana" w:hAnsi="Verdana" w:eastAsia="Calibri" w:cs="Arial"/>
          <w:color w:val="000000" w:themeColor="text1"/>
        </w:rPr>
        <w:t xml:space="preserve">la Ley 1483 de 2011. </w:t>
      </w:r>
      <w:r w:rsidR="002521BD">
        <w:rPr>
          <w:rFonts w:ascii="Verdana" w:hAnsi="Verdana" w:eastAsia="Calibri" w:cs="Arial"/>
          <w:color w:val="000000" w:themeColor="text1"/>
        </w:rPr>
        <w:t xml:space="preserve"> </w:t>
      </w:r>
    </w:p>
    <w:p w:rsidRPr="00FA3EC2" w:rsidR="00AD0B5C" w:rsidP="00931F90" w:rsidRDefault="00AD0B5C" w14:paraId="521FC509" w14:textId="6A191C2E">
      <w:pPr>
        <w:shd w:val="clear" w:color="auto" w:fill="FFFFFF"/>
        <w:spacing w:after="120" w:line="276" w:lineRule="auto"/>
        <w:ind w:right="51" w:firstLine="709"/>
        <w:jc w:val="both"/>
        <w:rPr>
          <w:rFonts w:ascii="Verdana" w:hAnsi="Verdana" w:eastAsia="Calibri" w:cs="Arial"/>
          <w:color w:val="000000" w:themeColor="text1"/>
        </w:rPr>
      </w:pPr>
      <w:r>
        <w:rPr>
          <w:rFonts w:ascii="Verdana" w:hAnsi="Verdana" w:eastAsia="Calibri" w:cs="Arial"/>
          <w:color w:val="000000" w:themeColor="text1"/>
        </w:rPr>
        <w:t xml:space="preserve">Sobre la distinción entre las vigencias futuras ordinarias y las excepcionales el Consejo de Estado señaló que </w:t>
      </w:r>
      <w:r w:rsidRPr="00FA3EC2" w:rsidR="009E6457">
        <w:rPr>
          <w:rFonts w:ascii="Verdana" w:hAnsi="Verdana" w:eastAsia="Calibri" w:cs="Arial"/>
          <w:lang w:val="es-ES_tradnl"/>
        </w:rPr>
        <w:t>«</w:t>
      </w:r>
      <w:r w:rsidRPr="001B1655" w:rsidR="009E6457">
        <w:rPr>
          <w:rFonts w:ascii="Verdana" w:hAnsi="Verdana" w:cs="Symbol"/>
        </w:rPr>
        <w:t xml:space="preserve">la diferencia fundamental entre las vigencias futuras ordinarias y las vigencias futuras </w:t>
      </w:r>
      <w:proofErr w:type="gramStart"/>
      <w:r w:rsidRPr="001B1655" w:rsidR="009E6457">
        <w:rPr>
          <w:rFonts w:ascii="Verdana" w:hAnsi="Verdana" w:cs="Symbol"/>
        </w:rPr>
        <w:t>excepcionales,</w:t>
      </w:r>
      <w:proofErr w:type="gramEnd"/>
      <w:r w:rsidRPr="001B1655" w:rsidR="009E6457">
        <w:rPr>
          <w:rFonts w:ascii="Verdana" w:hAnsi="Verdana" w:cs="Symbol"/>
        </w:rPr>
        <w:t xml:space="preserve"> radica, </w:t>
      </w:r>
      <w:r w:rsidRPr="001B1655" w:rsidR="009E6457">
        <w:rPr>
          <w:rFonts w:ascii="Verdana" w:hAnsi="Verdana" w:cs="Symbol"/>
        </w:rPr>
        <w:lastRenderedPageBreak/>
        <w:t>esencialmente, en que en las primeras la ejecución se inicia con el presupuesto de la vigencia en curso, mientras que en las excepcionales, se afecta el presupuesto de vigencias futuras, sin apropiación en el presupuesto del año en que se concede la autorización</w:t>
      </w:r>
      <w:r w:rsidRPr="00FA3EC2" w:rsidR="009E6457">
        <w:rPr>
          <w:rFonts w:ascii="Verdana" w:hAnsi="Verdana" w:eastAsia="Calibri" w:cs="Arial"/>
          <w:lang w:val="es-ES_tradnl"/>
        </w:rPr>
        <w:t>»</w:t>
      </w:r>
      <w:r w:rsidR="00097347">
        <w:rPr>
          <w:rStyle w:val="Refdenotaalpie"/>
          <w:rFonts w:ascii="Verdana" w:hAnsi="Verdana" w:eastAsia="Calibri" w:cs="Arial"/>
          <w:lang w:val="es-ES_tradnl"/>
        </w:rPr>
        <w:footnoteReference w:id="8"/>
      </w:r>
      <w:r w:rsidRPr="001B1655" w:rsidR="009E6457">
        <w:rPr>
          <w:rFonts w:ascii="Verdana" w:hAnsi="Verdana" w:cs="Symbol"/>
        </w:rPr>
        <w:t>.</w:t>
      </w:r>
    </w:p>
    <w:p w:rsidR="008F29F0" w:rsidP="00931F90" w:rsidRDefault="00983C94" w14:paraId="5E49B623" w14:textId="77777777">
      <w:pPr>
        <w:shd w:val="clear" w:color="auto" w:fill="FFFFFF"/>
        <w:spacing w:after="120" w:line="276" w:lineRule="auto"/>
        <w:ind w:right="51" w:firstLine="709"/>
        <w:jc w:val="both"/>
        <w:rPr>
          <w:rFonts w:ascii="Verdana" w:hAnsi="Verdana" w:eastAsia="Calibri" w:cs="Arial"/>
          <w:color w:val="000000" w:themeColor="text1"/>
          <w:lang w:val="es-ES"/>
        </w:rPr>
      </w:pPr>
      <w:r>
        <w:rPr>
          <w:rFonts w:ascii="Verdana" w:hAnsi="Verdana" w:eastAsia="Calibri" w:cs="Arial"/>
          <w:color w:val="000000" w:themeColor="text1"/>
          <w:lang w:val="es-ES_tradnl"/>
        </w:rPr>
        <w:t>L</w:t>
      </w:r>
      <w:r w:rsidRPr="00FA3EC2" w:rsidR="00FA3EC2">
        <w:rPr>
          <w:rFonts w:ascii="Verdana" w:hAnsi="Verdana" w:eastAsia="Calibri" w:cs="Arial"/>
          <w:color w:val="000000" w:themeColor="text1"/>
          <w:lang w:val="es-ES_tradnl"/>
        </w:rPr>
        <w:t xml:space="preserve">as </w:t>
      </w:r>
      <w:r w:rsidRPr="00FA3EC2" w:rsidR="00FA3EC2">
        <w:rPr>
          <w:rFonts w:ascii="Verdana" w:hAnsi="Verdana" w:eastAsia="Calibri" w:cs="Arial"/>
          <w:i/>
          <w:iCs/>
          <w:color w:val="000000" w:themeColor="text1"/>
          <w:lang w:val="es-ES_tradnl"/>
        </w:rPr>
        <w:t xml:space="preserve">cuentas por pagar </w:t>
      </w:r>
      <w:r w:rsidRPr="00FA3EC2" w:rsidR="00FA3EC2">
        <w:rPr>
          <w:rFonts w:ascii="Verdana" w:hAnsi="Verdana" w:eastAsia="Calibri" w:cs="Arial"/>
          <w:color w:val="000000" w:themeColor="text1"/>
          <w:lang w:val="es-ES_tradnl"/>
        </w:rPr>
        <w:t>consisten en obligaciones cumplidas en la vigencia actual,</w:t>
      </w:r>
      <w:r w:rsidRPr="00FA3EC2" w:rsidR="00FA3EC2">
        <w:rPr>
          <w:rFonts w:ascii="Verdana" w:hAnsi="Verdana" w:eastAsia="Calibri" w:cs="Arial"/>
          <w:color w:val="000000" w:themeColor="text1"/>
          <w:sz w:val="19"/>
          <w:szCs w:val="19"/>
        </w:rPr>
        <w:t xml:space="preserve"> </w:t>
      </w:r>
      <w:r w:rsidRPr="00FA3EC2" w:rsidR="00FA3EC2">
        <w:rPr>
          <w:rFonts w:ascii="Verdana" w:hAnsi="Verdana" w:eastAsia="Calibri" w:cs="Arial"/>
          <w:color w:val="000000" w:themeColor="text1"/>
        </w:rPr>
        <w:t>correspondientes a los anticipos pactados en los contratos y a la entrega de bienes y servicios,</w:t>
      </w:r>
      <w:r w:rsidRPr="00FA3EC2" w:rsidR="00FA3EC2">
        <w:rPr>
          <w:rFonts w:ascii="Verdana" w:hAnsi="Verdana" w:eastAsia="Calibri" w:cs="Arial"/>
          <w:color w:val="000000" w:themeColor="text1"/>
          <w:lang w:val="es-ES_tradnl"/>
        </w:rPr>
        <w:t xml:space="preserve"> de las cuales solo se encuentra pendiente el pago de acuerdo con los compromisos presupuestales adquiridos por la entidad</w:t>
      </w:r>
      <w:r w:rsidRPr="00FA3EC2" w:rsidR="00FA3EC2">
        <w:rPr>
          <w:rStyle w:val="Refdenotaalpie"/>
          <w:rFonts w:ascii="Verdana" w:hAnsi="Verdana" w:eastAsia="Calibri" w:cs="Arial"/>
          <w:color w:val="000000" w:themeColor="text1"/>
          <w:lang w:val="es-ES_tradnl"/>
        </w:rPr>
        <w:footnoteReference w:id="9"/>
      </w:r>
      <w:r w:rsidRPr="00FA3EC2" w:rsidR="00FA3EC2">
        <w:rPr>
          <w:rFonts w:ascii="Verdana" w:hAnsi="Verdana" w:eastAsia="Calibri" w:cs="Arial"/>
          <w:color w:val="000000" w:themeColor="text1"/>
          <w:lang w:val="es-ES_tradnl"/>
        </w:rPr>
        <w:t xml:space="preserve">. Y las </w:t>
      </w:r>
      <w:r w:rsidRPr="00FA3EC2" w:rsidR="00FA3EC2">
        <w:rPr>
          <w:rFonts w:ascii="Verdana" w:hAnsi="Verdana" w:eastAsia="Calibri" w:cs="Arial"/>
          <w:i/>
          <w:iCs/>
          <w:color w:val="000000" w:themeColor="text1"/>
          <w:lang w:val="es-ES_tradnl"/>
        </w:rPr>
        <w:t xml:space="preserve">terceras, </w:t>
      </w:r>
      <w:r w:rsidRPr="00FA3EC2" w:rsidR="00FA3EC2">
        <w:rPr>
          <w:rFonts w:ascii="Verdana" w:hAnsi="Verdana" w:eastAsia="Calibri" w:cs="Arial"/>
          <w:color w:val="000000" w:themeColor="text1"/>
          <w:lang w:val="es-ES_tradnl"/>
        </w:rPr>
        <w:t xml:space="preserve">las </w:t>
      </w:r>
      <w:r w:rsidRPr="00FA3EC2" w:rsidR="00FA3EC2">
        <w:rPr>
          <w:rFonts w:ascii="Verdana" w:hAnsi="Verdana" w:eastAsia="Calibri" w:cs="Arial"/>
          <w:i/>
          <w:iCs/>
          <w:color w:val="000000" w:themeColor="text1"/>
          <w:lang w:val="es-ES_tradnl"/>
        </w:rPr>
        <w:t>reservas presupuestales</w:t>
      </w:r>
      <w:bookmarkStart w:name="_Hlk93517351" w:id="5"/>
      <w:r w:rsidRPr="00FA3EC2" w:rsidR="00FA3EC2">
        <w:rPr>
          <w:rFonts w:ascii="Verdana" w:hAnsi="Verdana" w:eastAsia="Calibri" w:cs="Arial"/>
          <w:color w:val="000000" w:themeColor="text1"/>
          <w:lang w:val="es-ES_tradnl"/>
        </w:rPr>
        <w:t xml:space="preserve"> </w:t>
      </w:r>
      <w:r w:rsidRPr="00FA3EC2" w:rsidR="00FA3EC2">
        <w:rPr>
          <w:rFonts w:ascii="Verdana" w:hAnsi="Verdana" w:eastAsia="Calibri" w:cs="Arial"/>
          <w:color w:val="000000" w:themeColor="text1"/>
          <w:lang w:val="es-ES"/>
        </w:rPr>
        <w:t>suponen que «Al cierre de la vigencia fiscal cada órgano constituirá las reservas presupuestales con los compromisos que al 31 de diciembre no se hayan cumplido, siempre y cuando estén legalmente contraídos y desarrollen el objeto de la apropiación. Las reservas presupuestales sólo podrán utilizarse para cancelar los compromisos que les dieron origen»</w:t>
      </w:r>
      <w:r w:rsidRPr="00FA3EC2" w:rsidR="00FA3EC2">
        <w:rPr>
          <w:rStyle w:val="Refdenotaalpie"/>
          <w:rFonts w:ascii="Verdana" w:hAnsi="Verdana" w:eastAsia="Calibri" w:cs="Arial"/>
          <w:color w:val="000000" w:themeColor="text1"/>
          <w:lang w:val="es-ES"/>
        </w:rPr>
        <w:footnoteReference w:id="10"/>
      </w:r>
      <w:r w:rsidRPr="00FA3EC2" w:rsidR="00FA3EC2">
        <w:rPr>
          <w:rFonts w:ascii="Verdana" w:hAnsi="Verdana" w:eastAsia="Calibri" w:cs="Arial"/>
          <w:color w:val="000000" w:themeColor="text1"/>
          <w:lang w:val="es-ES"/>
        </w:rPr>
        <w:t xml:space="preserve">. </w:t>
      </w:r>
      <w:bookmarkEnd w:id="5"/>
    </w:p>
    <w:p w:rsidRPr="00FA3EC2" w:rsidR="00FA3EC2" w:rsidP="00931F90" w:rsidRDefault="00FA3EC2" w14:paraId="322F24F1" w14:textId="54CF2560">
      <w:pPr>
        <w:shd w:val="clear" w:color="auto" w:fill="FFFFFF"/>
        <w:spacing w:after="120" w:line="276" w:lineRule="auto"/>
        <w:ind w:right="51" w:firstLine="709"/>
        <w:jc w:val="both"/>
        <w:rPr>
          <w:rFonts w:ascii="Verdana" w:hAnsi="Verdana" w:eastAsia="Calibri" w:cs="Arial"/>
          <w:sz w:val="21"/>
          <w:szCs w:val="21"/>
          <w:lang w:val="es-ES_tradnl"/>
        </w:rPr>
      </w:pPr>
      <w:r w:rsidRPr="00FA3EC2">
        <w:rPr>
          <w:rFonts w:ascii="Verdana" w:hAnsi="Verdana" w:eastAsia="Calibri" w:cs="Arial"/>
          <w:color w:val="000000" w:themeColor="text1"/>
          <w:lang w:val="es-ES_tradnl"/>
        </w:rPr>
        <w:t>En virtud de lo anterior, las entidades estatales pueden solicitar reservas presupuestales cuando habiendo adquirido compromisos en una vigencia fiscal, a 31 de diciembre no se han cumplido en su totalidad, y, por tanto, debe continuarse con la respectiva ejecución en la siguiente vigencia. Las reservas presupuestales deben constituirse a más tardar el 20 de enero de cada año en los términos indicados por el Decreto 1068 de 2015</w:t>
      </w:r>
      <w:r w:rsidRPr="00FA3EC2">
        <w:rPr>
          <w:rStyle w:val="Refdenotaalpie"/>
          <w:rFonts w:ascii="Verdana" w:hAnsi="Verdana" w:eastAsia="Calibri" w:cs="Arial"/>
          <w:color w:val="000000" w:themeColor="text1"/>
          <w:lang w:val="es-ES_tradnl"/>
        </w:rPr>
        <w:footnoteReference w:id="11"/>
      </w:r>
      <w:r w:rsidRPr="00FA3EC2">
        <w:rPr>
          <w:rFonts w:ascii="Verdana" w:hAnsi="Verdana" w:eastAsia="Calibri" w:cs="Arial"/>
          <w:color w:val="000000" w:themeColor="text1"/>
          <w:lang w:val="es-ES_tradnl"/>
        </w:rPr>
        <w:t xml:space="preserve">. </w:t>
      </w:r>
    </w:p>
    <w:p w:rsidRPr="00FA3EC2" w:rsidR="0067462C" w:rsidP="00931F90" w:rsidRDefault="00FA3EC2" w14:paraId="54C4F019" w14:textId="701CE6D1">
      <w:pPr>
        <w:shd w:val="clear" w:color="auto" w:fill="FFFFFF"/>
        <w:spacing w:after="120" w:line="276" w:lineRule="auto"/>
        <w:ind w:right="51" w:firstLine="709"/>
        <w:jc w:val="both"/>
        <w:rPr>
          <w:rFonts w:ascii="Verdana" w:hAnsi="Verdana" w:eastAsia="Calibri" w:cs="Arial"/>
          <w:color w:val="000000" w:themeColor="text1"/>
        </w:rPr>
      </w:pPr>
      <w:r w:rsidRPr="00FA3EC2">
        <w:rPr>
          <w:rFonts w:ascii="Verdana" w:hAnsi="Verdana" w:eastAsia="Calibri" w:cs="Arial"/>
          <w:color w:val="000000" w:themeColor="text1"/>
          <w:lang w:val="es-ES_tradnl"/>
        </w:rPr>
        <w:t xml:space="preserve">Sin embargo, es necesario tener en cuenta que las entidades no pueden solicitar reservas presupuestales en cualquier situación, ya que al ser un mecanismo excepcional su uso se encuentra restringido por lo que deberán estar debidamente justificadas. Esto significa que su constitución no puede obedecer a una indebida planeación contractual, pues como se anotó, tanto el régimen presupuestal como el contractual público se desarrolla sobre la base del principio de planeación. En este sentido, las reservas presupuestales no pueden ser </w:t>
      </w:r>
      <w:r w:rsidRPr="00FA3EC2">
        <w:rPr>
          <w:rFonts w:ascii="Verdana" w:hAnsi="Verdana" w:eastAsia="Calibri" w:cs="Arial"/>
          <w:color w:val="000000" w:themeColor="text1"/>
          <w:lang w:val="es-ES_tradnl"/>
        </w:rPr>
        <w:lastRenderedPageBreak/>
        <w:t xml:space="preserve">empleadas como una herramienta ordinaria de ejecución presupuestal puesto que están concebidas como </w:t>
      </w:r>
      <w:r w:rsidRPr="00FA3EC2">
        <w:rPr>
          <w:rFonts w:ascii="Verdana" w:hAnsi="Verdana" w:eastAsia="Calibri" w:cs="Arial"/>
          <w:color w:val="000000" w:themeColor="text1"/>
          <w:lang w:val="es-ES"/>
        </w:rPr>
        <w:t>«</w:t>
      </w:r>
      <w:r w:rsidRPr="00FA3EC2">
        <w:rPr>
          <w:rFonts w:ascii="Verdana" w:hAnsi="Verdana" w:eastAsia="Calibri" w:cs="Arial"/>
          <w:color w:val="000000" w:themeColor="text1"/>
        </w:rPr>
        <w:t>un instrumento de uso esporádico y justificado únicamente en situaciones atípicas que impiden la ejecución de los compromisos en las fechas inicialmente previstas para ello, dentro de la misma vigencia a aquella en que el compromiso se celebró</w:t>
      </w:r>
      <w:r w:rsidRPr="00FA3EC2">
        <w:rPr>
          <w:rFonts w:ascii="Verdana" w:hAnsi="Verdana" w:eastAsia="Calibri" w:cs="Arial"/>
          <w:color w:val="000000" w:themeColor="text1"/>
          <w:lang w:val="es-ES"/>
        </w:rPr>
        <w:t>»</w:t>
      </w:r>
      <w:r w:rsidRPr="00FA3EC2">
        <w:rPr>
          <w:rStyle w:val="Refdenotaalpie"/>
          <w:rFonts w:ascii="Verdana" w:hAnsi="Verdana" w:eastAsia="Calibri" w:cs="Arial"/>
          <w:color w:val="000000" w:themeColor="text1"/>
          <w:lang w:val="es-ES"/>
        </w:rPr>
        <w:footnoteReference w:id="12"/>
      </w:r>
      <w:r w:rsidRPr="00FA3EC2">
        <w:rPr>
          <w:rFonts w:ascii="Verdana" w:hAnsi="Verdana" w:eastAsia="Calibri" w:cs="Arial"/>
          <w:color w:val="000000" w:themeColor="text1"/>
        </w:rPr>
        <w:t>.</w:t>
      </w:r>
    </w:p>
    <w:p w:rsidRPr="00FA3EC2" w:rsidR="00FA3EC2" w:rsidP="00931F90" w:rsidRDefault="00FA3EC2" w14:paraId="4D04FC97" w14:textId="77777777">
      <w:pPr>
        <w:shd w:val="clear" w:color="auto" w:fill="FFFFFF"/>
        <w:spacing w:after="120" w:line="276" w:lineRule="auto"/>
        <w:ind w:right="51" w:firstLine="709"/>
        <w:jc w:val="both"/>
        <w:rPr>
          <w:rFonts w:ascii="Verdana" w:hAnsi="Verdana" w:eastAsia="Calibri" w:cs="Arial"/>
          <w:color w:val="000000" w:themeColor="text1"/>
          <w:lang w:val="es-ES"/>
        </w:rPr>
      </w:pPr>
      <w:r w:rsidRPr="00FA3EC2">
        <w:rPr>
          <w:rFonts w:ascii="Verdana" w:hAnsi="Verdana" w:eastAsia="Calibri" w:cs="Arial"/>
          <w:color w:val="000000" w:themeColor="text1"/>
        </w:rPr>
        <w:t xml:space="preserve">Respecto de la distinción entre las reservas presupuestales y las vigencias futuras debe señalarse que contrario a estas últimas, </w:t>
      </w:r>
      <w:r w:rsidRPr="00FA3EC2">
        <w:rPr>
          <w:rFonts w:ascii="Verdana" w:hAnsi="Verdana" w:eastAsia="Calibri" w:cs="Arial"/>
          <w:color w:val="000000" w:themeColor="text1"/>
          <w:lang w:val="es-ES"/>
        </w:rPr>
        <w:t>«</w:t>
      </w:r>
      <w:r w:rsidRPr="00FA3EC2">
        <w:rPr>
          <w:rFonts w:ascii="Verdana" w:hAnsi="Verdana" w:eastAsia="Calibri" w:cs="Arial"/>
          <w:color w:val="000000" w:themeColor="text1"/>
        </w:rPr>
        <w:t xml:space="preserve">la reserva presupuestal supone la existencia de un compromiso presupuestal legalmente adquirido, en otras palabras, de la existencia de un acto o contrato expedido y perfeccionado por las </w:t>
      </w:r>
      <w:proofErr w:type="gramStart"/>
      <w:r w:rsidRPr="00FA3EC2">
        <w:rPr>
          <w:rFonts w:ascii="Verdana" w:hAnsi="Verdana" w:eastAsia="Calibri" w:cs="Arial"/>
          <w:color w:val="000000" w:themeColor="text1"/>
        </w:rPr>
        <w:t>autoridades públicas</w:t>
      </w:r>
      <w:proofErr w:type="gramEnd"/>
      <w:r w:rsidRPr="00FA3EC2">
        <w:rPr>
          <w:rFonts w:ascii="Verdana" w:hAnsi="Verdana" w:eastAsia="Calibri" w:cs="Arial"/>
          <w:color w:val="000000" w:themeColor="text1"/>
          <w:lang w:val="es-ES"/>
        </w:rPr>
        <w:t>»</w:t>
      </w:r>
      <w:r w:rsidRPr="00FA3EC2">
        <w:rPr>
          <w:rFonts w:ascii="Verdana" w:hAnsi="Verdana" w:eastAsia="Calibri" w:cs="Arial"/>
          <w:color w:val="000000" w:themeColor="text1"/>
        </w:rPr>
        <w:t xml:space="preserve">. En cambio, en las vigencias futuras se realiza una autorización que afecta presupuestos futuros que </w:t>
      </w:r>
      <w:r w:rsidRPr="00FA3EC2">
        <w:rPr>
          <w:rFonts w:ascii="Verdana" w:hAnsi="Verdana" w:eastAsia="Calibri" w:cs="Arial"/>
          <w:color w:val="000000" w:themeColor="text1"/>
          <w:lang w:val="es-ES"/>
        </w:rPr>
        <w:t>«</w:t>
      </w:r>
      <w:r w:rsidRPr="00FA3EC2">
        <w:rPr>
          <w:rFonts w:ascii="Verdana" w:hAnsi="Verdana" w:eastAsia="Calibri" w:cs="Arial"/>
          <w:color w:val="000000" w:themeColor="text1"/>
        </w:rPr>
        <w:t>se formaliza antes de que se aprueben las vigencias en las que se van a ejecutar y la vida jurídica de tales autorizaciones se prolonga a lo largo de varias vigencias</w:t>
      </w:r>
      <w:r w:rsidRPr="00FA3EC2">
        <w:rPr>
          <w:rFonts w:ascii="Verdana" w:hAnsi="Verdana" w:eastAsia="Calibri" w:cs="Arial"/>
          <w:color w:val="000000" w:themeColor="text1"/>
          <w:lang w:val="es-ES"/>
        </w:rPr>
        <w:t>»</w:t>
      </w:r>
      <w:r w:rsidRPr="00FA3EC2">
        <w:rPr>
          <w:rStyle w:val="Refdenotaalpie"/>
          <w:rFonts w:ascii="Verdana" w:hAnsi="Verdana" w:eastAsia="Calibri" w:cs="Arial"/>
          <w:color w:val="000000" w:themeColor="text1"/>
          <w:lang w:val="es-ES"/>
        </w:rPr>
        <w:footnoteReference w:id="13"/>
      </w:r>
      <w:r w:rsidRPr="00FA3EC2">
        <w:rPr>
          <w:rFonts w:ascii="Verdana" w:hAnsi="Verdana" w:eastAsia="Calibri" w:cs="Arial"/>
          <w:color w:val="000000" w:themeColor="text1"/>
        </w:rPr>
        <w:t xml:space="preserve">. </w:t>
      </w:r>
    </w:p>
    <w:p w:rsidRPr="00FA3EC2" w:rsidR="00FA3EC2" w:rsidP="00931F90" w:rsidRDefault="008C35FA" w14:paraId="691949EF" w14:textId="0CC4CDD9">
      <w:pPr>
        <w:shd w:val="clear" w:color="auto" w:fill="FFFFFF"/>
        <w:spacing w:after="120" w:line="276" w:lineRule="auto"/>
        <w:ind w:right="51" w:firstLine="709"/>
        <w:jc w:val="both"/>
        <w:rPr>
          <w:rFonts w:ascii="Verdana" w:hAnsi="Verdana" w:eastAsia="Calibri" w:cs="Arial"/>
          <w:color w:val="000000" w:themeColor="text1"/>
          <w:lang w:val="es-ES_tradnl"/>
        </w:rPr>
      </w:pPr>
      <w:r>
        <w:rPr>
          <w:rFonts w:ascii="Verdana" w:hAnsi="Verdana" w:eastAsia="Calibri" w:cs="Arial"/>
          <w:color w:val="000000" w:themeColor="text1"/>
          <w:lang w:val="es-ES_tradnl"/>
        </w:rPr>
        <w:t xml:space="preserve">Finalmente, es importante hacer referencia </w:t>
      </w:r>
      <w:r w:rsidR="009105B8">
        <w:rPr>
          <w:rFonts w:ascii="Verdana" w:hAnsi="Verdana" w:eastAsia="Calibri" w:cs="Arial"/>
          <w:color w:val="000000" w:themeColor="text1"/>
          <w:lang w:val="es-ES_tradnl"/>
        </w:rPr>
        <w:t xml:space="preserve">a </w:t>
      </w:r>
      <w:r w:rsidRPr="008C35FA" w:rsidR="00FA3EC2">
        <w:rPr>
          <w:rFonts w:ascii="Verdana" w:hAnsi="Verdana" w:eastAsia="Calibri" w:cs="Arial"/>
          <w:color w:val="000000" w:themeColor="text1"/>
          <w:lang w:val="es-ES_tradnl"/>
        </w:rPr>
        <w:t xml:space="preserve">los </w:t>
      </w:r>
      <w:r w:rsidRPr="008C35FA" w:rsidR="00FA3EC2">
        <w:rPr>
          <w:rFonts w:ascii="Verdana" w:hAnsi="Verdana" w:eastAsia="Calibri" w:cs="Arial"/>
          <w:color w:val="000000" w:themeColor="text1"/>
          <w:lang w:val="es-ES"/>
        </w:rPr>
        <w:t>«</w:t>
      </w:r>
      <w:r w:rsidRPr="008C35FA" w:rsidR="00FA3EC2">
        <w:rPr>
          <w:rFonts w:ascii="Verdana" w:hAnsi="Verdana" w:eastAsia="Calibri" w:cs="Arial"/>
          <w:color w:val="000000" w:themeColor="text1"/>
          <w:lang w:val="es-ES_tradnl"/>
        </w:rPr>
        <w:t>pagos de pasivos exigibles – vigencias expiradas</w:t>
      </w:r>
      <w:r w:rsidRPr="008C35FA" w:rsidR="00FA3EC2">
        <w:rPr>
          <w:rFonts w:ascii="Verdana" w:hAnsi="Verdana" w:eastAsia="Calibri" w:cs="Arial"/>
          <w:color w:val="000000" w:themeColor="text1"/>
          <w:lang w:val="es-ES"/>
        </w:rPr>
        <w:t>»</w:t>
      </w:r>
      <w:r w:rsidR="002C3E53">
        <w:rPr>
          <w:rFonts w:ascii="Verdana" w:hAnsi="Verdana" w:eastAsia="Calibri" w:cs="Arial"/>
          <w:color w:val="000000" w:themeColor="text1"/>
          <w:lang w:val="es-ES_tradnl"/>
        </w:rPr>
        <w:t xml:space="preserve"> que procede en los casos en los que </w:t>
      </w:r>
      <w:r w:rsidRPr="00FA3EC2" w:rsidR="002C3E53">
        <w:rPr>
          <w:rFonts w:ascii="Verdana" w:hAnsi="Verdana" w:eastAsia="Calibri" w:cs="Arial"/>
          <w:sz w:val="21"/>
          <w:szCs w:val="21"/>
          <w:lang w:val="es-ES_tradnl"/>
        </w:rPr>
        <w:t xml:space="preserve">no se haya constituido la reserva presupuestal o la cuenta por pagar </w:t>
      </w:r>
      <w:r w:rsidR="00EA585A">
        <w:rPr>
          <w:rFonts w:ascii="Verdana" w:hAnsi="Verdana" w:eastAsia="Calibri" w:cs="Arial"/>
          <w:sz w:val="21"/>
          <w:szCs w:val="21"/>
          <w:lang w:val="es-ES_tradnl"/>
        </w:rPr>
        <w:t>o cuando habiéndose constituido no se realizó el pago respectivo</w:t>
      </w:r>
      <w:r w:rsidR="00AB3C07">
        <w:rPr>
          <w:rFonts w:ascii="Verdana" w:hAnsi="Verdana" w:eastAsia="Calibri" w:cs="Arial"/>
          <w:color w:val="000000" w:themeColor="text1"/>
          <w:lang w:val="es-ES_tradnl"/>
        </w:rPr>
        <w:t>. E</w:t>
      </w:r>
      <w:r w:rsidRPr="008C35FA" w:rsidR="00FA3EC2">
        <w:rPr>
          <w:rFonts w:ascii="Verdana" w:hAnsi="Verdana" w:eastAsia="Calibri" w:cs="Arial"/>
          <w:color w:val="000000" w:themeColor="text1"/>
          <w:lang w:val="es-ES_tradnl"/>
        </w:rPr>
        <w:t>l artículo 49 de la Ley 2159 de 2021</w:t>
      </w:r>
      <w:r w:rsidRPr="008C35FA" w:rsidR="00C503B5">
        <w:rPr>
          <w:rFonts w:ascii="Verdana" w:hAnsi="Verdana" w:eastAsia="Calibri" w:cs="Arial"/>
          <w:color w:val="000000" w:themeColor="text1"/>
          <w:lang w:val="es-ES_tradnl"/>
        </w:rPr>
        <w:t xml:space="preserve"> </w:t>
      </w:r>
      <w:r w:rsidRPr="008C35FA" w:rsidR="00FA3EC2">
        <w:rPr>
          <w:rFonts w:ascii="Verdana" w:hAnsi="Verdana" w:eastAsia="Calibri" w:cs="Arial"/>
          <w:color w:val="000000" w:themeColor="text1"/>
          <w:lang w:val="es-ES"/>
        </w:rPr>
        <w:t xml:space="preserve">«Por </w:t>
      </w:r>
      <w:r w:rsidRPr="008C35FA" w:rsidR="00FA3EC2">
        <w:rPr>
          <w:rFonts w:ascii="Verdana" w:hAnsi="Verdana" w:eastAsia="Calibri" w:cs="Arial"/>
          <w:color w:val="000000" w:themeColor="text1"/>
          <w:lang w:val="es-ES_tradnl"/>
        </w:rPr>
        <w:t>la cual se decreta el presupuesto de rentas y</w:t>
      </w:r>
      <w:r w:rsidRPr="00FA3EC2" w:rsidR="00FA3EC2">
        <w:rPr>
          <w:rFonts w:ascii="Verdana" w:hAnsi="Verdana" w:eastAsia="Calibri" w:cs="Arial"/>
          <w:color w:val="000000" w:themeColor="text1"/>
          <w:lang w:val="es-ES_tradnl"/>
        </w:rPr>
        <w:t xml:space="preserve"> recursos de capital y ley de apropiaciones para la vigencia fiscal del 1° de enero al 31 de diciembre de 2022</w:t>
      </w:r>
      <w:r w:rsidRPr="00FA3EC2" w:rsidR="00FA3EC2">
        <w:rPr>
          <w:rFonts w:ascii="Verdana" w:hAnsi="Verdana" w:eastAsia="Calibri" w:cs="Arial"/>
          <w:color w:val="000000" w:themeColor="text1"/>
          <w:lang w:val="es-ES"/>
        </w:rPr>
        <w:t>»</w:t>
      </w:r>
      <w:r w:rsidRPr="00FA3EC2" w:rsidR="00FA3EC2">
        <w:rPr>
          <w:rFonts w:ascii="Verdana" w:hAnsi="Verdana" w:eastAsia="Calibri" w:cs="Arial"/>
          <w:color w:val="000000" w:themeColor="text1"/>
          <w:lang w:val="es-ES_tradnl"/>
        </w:rPr>
        <w:t xml:space="preserve"> </w:t>
      </w:r>
      <w:r w:rsidR="001F228B">
        <w:rPr>
          <w:rFonts w:ascii="Verdana" w:hAnsi="Verdana" w:eastAsia="Calibri" w:cs="Arial"/>
          <w:color w:val="000000" w:themeColor="text1"/>
          <w:lang w:val="es-ES_tradnl"/>
        </w:rPr>
        <w:t xml:space="preserve">regula esta </w:t>
      </w:r>
      <w:r w:rsidRPr="00FA3EC2" w:rsidR="00FA3EC2">
        <w:rPr>
          <w:rFonts w:ascii="Verdana" w:hAnsi="Verdana" w:eastAsia="Calibri" w:cs="Arial"/>
          <w:color w:val="000000" w:themeColor="text1"/>
          <w:lang w:val="es-ES_tradnl"/>
        </w:rPr>
        <w:t xml:space="preserve">figura de la siguiente manera: </w:t>
      </w:r>
    </w:p>
    <w:p w:rsidRPr="00FA3EC2" w:rsidR="00FA3EC2" w:rsidP="687B390B" w:rsidRDefault="00FA3EC2" w14:paraId="5E30C303" w14:textId="071E6873" w14:noSpellErr="1">
      <w:pPr>
        <w:spacing w:after="120"/>
        <w:ind w:left="709" w:right="709"/>
        <w:jc w:val="both"/>
        <w:rPr>
          <w:rFonts w:ascii="Verdana" w:hAnsi="Verdana" w:eastAsia="Calibri" w:cs="Arial"/>
          <w:i w:val="1"/>
          <w:iCs w:val="1"/>
          <w:sz w:val="21"/>
          <w:szCs w:val="21"/>
          <w:lang w:val="es-ES"/>
        </w:rPr>
      </w:pPr>
      <w:r w:rsidRPr="687B390B" w:rsidR="00FA3EC2">
        <w:rPr>
          <w:rFonts w:ascii="Verdana" w:hAnsi="Verdana" w:eastAsia="Calibri" w:cs="Arial"/>
          <w:sz w:val="21"/>
          <w:szCs w:val="21"/>
          <w:lang w:val="es-ES"/>
        </w:rPr>
        <w:t xml:space="preserve">Sin perjuicio de la responsabilidad fiscal y disciplinaria a que haya lugar, cuando en vigencias anteriores no se haya realizado el pago de obligaciones adquiridas con las formalidades previstas en el Estatuto Orgánico del Presupuesto y demás normas que regulan la materia, y sobre los mismos no se haya constituido la reserva presupuestal o la cuenta por pagar correspondiente, se podrá hacer el pago bajo el concepto de </w:t>
      </w:r>
      <w:r w:rsidRPr="687B390B" w:rsidR="00FA3EC2">
        <w:rPr>
          <w:rFonts w:ascii="Verdana" w:hAnsi="Verdana" w:eastAsia="Calibri" w:cs="Arial"/>
          <w:i w:val="1"/>
          <w:iCs w:val="1"/>
          <w:sz w:val="21"/>
          <w:szCs w:val="21"/>
          <w:lang w:val="es-ES"/>
        </w:rPr>
        <w:t>"Pago de Pasivos Exigibles - Vigencias Expiradas".</w:t>
      </w:r>
      <w:r w:rsidRPr="687B390B" w:rsidR="00FA3EC2">
        <w:rPr>
          <w:rFonts w:ascii="Verdana" w:hAnsi="Verdana" w:eastAsia="Calibri" w:cs="Arial"/>
          <w:i w:val="1"/>
          <w:iCs w:val="1"/>
          <w:sz w:val="21"/>
          <w:szCs w:val="21"/>
          <w:lang w:val="es-ES"/>
        </w:rPr>
        <w:t xml:space="preserve"> </w:t>
      </w:r>
    </w:p>
    <w:p w:rsidRPr="00FA3EC2" w:rsidR="00FA3EC2" w:rsidP="00931F90" w:rsidRDefault="00FA3EC2" w14:paraId="5AC964E8" w14:textId="290E8980">
      <w:pPr>
        <w:spacing w:after="120"/>
        <w:ind w:left="709" w:right="709"/>
        <w:jc w:val="both"/>
        <w:rPr>
          <w:rFonts w:ascii="Verdana" w:hAnsi="Verdana" w:eastAsia="Calibri" w:cs="Arial"/>
          <w:sz w:val="21"/>
          <w:szCs w:val="21"/>
          <w:lang w:val="es-ES_tradnl"/>
        </w:rPr>
      </w:pPr>
      <w:r w:rsidRPr="00FA3EC2">
        <w:rPr>
          <w:rFonts w:ascii="Verdana" w:hAnsi="Verdana" w:eastAsia="Calibri" w:cs="Arial"/>
          <w:sz w:val="21"/>
          <w:szCs w:val="21"/>
          <w:lang w:val="es-ES_tradnl"/>
        </w:rPr>
        <w:t xml:space="preserve">También procederá la operación prevista en el inciso anterior, cuando el pago no se hubiere realizado pese a haberse constituido oportunamente la reserva presupuestal o la cuenta por pagar en los términos del artículo 89 del Estatuto Orgánico del Presupuesto. </w:t>
      </w:r>
    </w:p>
    <w:p w:rsidRPr="00FA3EC2" w:rsidR="00FA3EC2" w:rsidP="687B390B" w:rsidRDefault="00FA3EC2" w14:paraId="20C2558E" w14:textId="5B3E8FC2" w14:noSpellErr="1">
      <w:pPr>
        <w:spacing w:after="120"/>
        <w:ind w:left="709" w:right="709"/>
        <w:jc w:val="both"/>
        <w:rPr>
          <w:rFonts w:ascii="Verdana" w:hAnsi="Verdana" w:eastAsia="Calibri" w:cs="Arial"/>
          <w:sz w:val="21"/>
          <w:szCs w:val="21"/>
          <w:lang w:val="es-ES"/>
        </w:rPr>
      </w:pPr>
      <w:r w:rsidRPr="687B390B" w:rsidR="00FA3EC2">
        <w:rPr>
          <w:rFonts w:ascii="Verdana" w:hAnsi="Verdana" w:eastAsia="Calibri" w:cs="Arial"/>
          <w:sz w:val="21"/>
          <w:szCs w:val="21"/>
          <w:lang w:val="es-ES"/>
        </w:rPr>
        <w:t xml:space="preserve">El mecanismo previsto en el primer inciso de este artículo también procederá cuando se trate del cumplimiento de una obligación originada en la ley, exigible en vigencias anteriores, aun sin que medie certificado de </w:t>
      </w:r>
      <w:r w:rsidRPr="687B390B" w:rsidR="00FA3EC2">
        <w:rPr>
          <w:rFonts w:ascii="Verdana" w:hAnsi="Verdana" w:eastAsia="Calibri" w:cs="Arial"/>
          <w:sz w:val="21"/>
          <w:szCs w:val="21"/>
          <w:lang w:val="es-ES"/>
        </w:rPr>
        <w:t>disponibilidad presupuestal ni registro presupuestal</w:t>
      </w:r>
      <w:r w:rsidRPr="687B390B" w:rsidR="00FA3EC2">
        <w:rPr>
          <w:rFonts w:ascii="Verdana" w:hAnsi="Verdana" w:eastAsia="Calibri" w:cs="Arial"/>
          <w:sz w:val="21"/>
          <w:szCs w:val="21"/>
          <w:lang w:val="es-ES"/>
        </w:rPr>
        <w:t xml:space="preserve">. </w:t>
      </w:r>
    </w:p>
    <w:p w:rsidRPr="00FA3EC2" w:rsidR="00FA3EC2" w:rsidP="687B390B" w:rsidRDefault="00FA3EC2" w14:paraId="21187FCB" w14:textId="484BE84A" w14:noSpellErr="1">
      <w:pPr>
        <w:spacing w:after="120"/>
        <w:ind w:left="709" w:right="709"/>
        <w:jc w:val="both"/>
        <w:rPr>
          <w:rFonts w:ascii="Verdana" w:hAnsi="Verdana" w:eastAsia="Calibri" w:cs="Arial"/>
          <w:sz w:val="21"/>
          <w:szCs w:val="21"/>
          <w:lang w:val="es-ES"/>
        </w:rPr>
      </w:pPr>
      <w:r w:rsidRPr="687B390B" w:rsidR="00FA3EC2">
        <w:rPr>
          <w:rFonts w:ascii="Verdana" w:hAnsi="Verdana" w:eastAsia="Calibri" w:cs="Arial"/>
          <w:sz w:val="21"/>
          <w:szCs w:val="21"/>
          <w:lang w:val="es-ES"/>
        </w:rPr>
        <w:t>Cuando se cumpla alguna de las anteriores condiciones, se podrá atender el gasto de "Pago Pasivos Exigibles - Vigencias Expiradas", a través del rubro presupuestal correspondiente de acuerdo con el detalle del anexo del decreto de liquidación.</w:t>
      </w:r>
      <w:r w:rsidRPr="687B390B" w:rsidR="00FA3EC2">
        <w:rPr>
          <w:rFonts w:ascii="Verdana" w:hAnsi="Verdana" w:eastAsia="Calibri" w:cs="Arial"/>
          <w:sz w:val="21"/>
          <w:szCs w:val="21"/>
          <w:lang w:val="es-ES"/>
        </w:rPr>
        <w:t xml:space="preserve"> Al momento de hacerse el registro presupuestal deberá dejarse consignada la expresión "Pago Pasivos Exigibles - Vigencias Expiradas". Copia del acto administrativo que ordena su pago deberá ser remitido a la Contrataría General de la República. […] (Cursiva fuera de texto).</w:t>
      </w:r>
    </w:p>
    <w:p w:rsidRPr="00FA3EC2" w:rsidR="00FA3EC2" w:rsidP="00931F90" w:rsidRDefault="00FA3EC2" w14:paraId="43EB4F42" w14:textId="77777777">
      <w:pPr>
        <w:shd w:val="clear" w:color="auto" w:fill="FFFFFF"/>
        <w:spacing w:after="120" w:line="276" w:lineRule="auto"/>
        <w:ind w:right="51" w:firstLine="709"/>
        <w:jc w:val="both"/>
        <w:rPr>
          <w:rFonts w:ascii="Verdana" w:hAnsi="Verdana" w:eastAsia="Calibri" w:cs="Arial"/>
          <w:color w:val="000000" w:themeColor="text1"/>
          <w:lang w:val="es-ES_tradnl"/>
        </w:rPr>
      </w:pPr>
      <w:r w:rsidRPr="00FA3EC2">
        <w:rPr>
          <w:rFonts w:ascii="Verdana" w:hAnsi="Verdana" w:eastAsia="Calibri" w:cs="Arial"/>
          <w:color w:val="000000" w:themeColor="text1"/>
          <w:lang w:val="es-ES_tradnl"/>
        </w:rPr>
        <w:t xml:space="preserve">En este sentido, el pago de </w:t>
      </w:r>
      <w:r w:rsidRPr="00FA3EC2">
        <w:rPr>
          <w:rFonts w:ascii="Verdana" w:hAnsi="Verdana" w:eastAsia="Calibri" w:cs="Arial"/>
          <w:color w:val="000000" w:themeColor="text1"/>
          <w:lang w:val="es-ES"/>
        </w:rPr>
        <w:t>«</w:t>
      </w:r>
      <w:r w:rsidRPr="00FA3EC2">
        <w:rPr>
          <w:rFonts w:ascii="Verdana" w:hAnsi="Verdana" w:eastAsia="Calibri" w:cs="Arial"/>
          <w:color w:val="000000" w:themeColor="text1"/>
          <w:lang w:val="es-ES_tradnl"/>
        </w:rPr>
        <w:t>pasivos – vigencias expiradas</w:t>
      </w:r>
      <w:r w:rsidRPr="00FA3EC2">
        <w:rPr>
          <w:rFonts w:ascii="Verdana" w:hAnsi="Verdana" w:eastAsia="Calibri" w:cs="Arial"/>
          <w:color w:val="000000" w:themeColor="text1"/>
          <w:lang w:val="es-ES"/>
        </w:rPr>
        <w:t>»</w:t>
      </w:r>
      <w:r w:rsidRPr="00FA3EC2">
        <w:rPr>
          <w:rFonts w:ascii="Verdana" w:hAnsi="Verdana" w:eastAsia="Calibri" w:cs="Arial"/>
          <w:color w:val="000000" w:themeColor="text1"/>
          <w:lang w:val="es-ES_tradnl"/>
        </w:rPr>
        <w:t xml:space="preserve"> procederán cuando se cumplan los parámetros antes expuestos para las entidades que se rigen por dicha Ley. En los demás casos, se deberán atender las normas presupuestales particulares que lo regulen, atendiendo a la naturaleza de la entidad pública. </w:t>
      </w:r>
    </w:p>
    <w:p w:rsidR="008B540C" w:rsidP="00931F90" w:rsidRDefault="009D0C5A" w14:paraId="5A4CABE1" w14:textId="4D34E728">
      <w:pPr>
        <w:shd w:val="clear" w:color="auto" w:fill="FFFFFF"/>
        <w:spacing w:after="120" w:line="276" w:lineRule="auto"/>
        <w:ind w:right="51" w:firstLine="709"/>
        <w:jc w:val="both"/>
        <w:rPr>
          <w:rFonts w:ascii="Verdana" w:hAnsi="Verdana" w:eastAsia="Calibri" w:cs="Arial"/>
          <w:color w:val="000000" w:themeColor="text1"/>
        </w:rPr>
      </w:pPr>
      <w:r>
        <w:rPr>
          <w:rFonts w:ascii="Verdana" w:hAnsi="Verdana" w:eastAsia="Calibri" w:cs="Arial"/>
          <w:color w:val="000000" w:themeColor="text1"/>
          <w:lang w:val="es-ES_tradnl"/>
        </w:rPr>
        <w:t>En conclusión</w:t>
      </w:r>
      <w:r w:rsidR="004F01B1">
        <w:rPr>
          <w:rFonts w:ascii="Verdana" w:hAnsi="Verdana" w:eastAsia="Calibri" w:cs="Arial"/>
          <w:color w:val="000000" w:themeColor="text1"/>
          <w:lang w:val="es-ES_tradnl"/>
        </w:rPr>
        <w:t xml:space="preserve">, </w:t>
      </w:r>
      <w:r w:rsidRPr="00B951B8" w:rsidR="00B951B8">
        <w:rPr>
          <w:rFonts w:ascii="Verdana" w:hAnsi="Verdana" w:eastAsia="Calibri" w:cs="Arial"/>
          <w:color w:val="000000" w:themeColor="text1"/>
          <w:lang w:val="es-ES_tradnl"/>
        </w:rPr>
        <w:t>las entidades estatales deben</w:t>
      </w:r>
      <w:r w:rsidR="00395752">
        <w:rPr>
          <w:rFonts w:ascii="Verdana" w:hAnsi="Verdana" w:eastAsia="Calibri" w:cs="Arial"/>
          <w:color w:val="000000" w:themeColor="text1"/>
          <w:lang w:val="es-ES_tradnl"/>
        </w:rPr>
        <w:t xml:space="preserve"> </w:t>
      </w:r>
      <w:r w:rsidR="007032B5">
        <w:rPr>
          <w:rFonts w:ascii="Verdana" w:hAnsi="Verdana" w:eastAsia="Calibri" w:cs="Arial"/>
          <w:color w:val="000000" w:themeColor="text1"/>
          <w:lang w:val="es-ES_tradnl"/>
        </w:rPr>
        <w:t>planear sus contrataciones con</w:t>
      </w:r>
      <w:r w:rsidR="00D50130">
        <w:rPr>
          <w:rFonts w:ascii="Verdana" w:hAnsi="Verdana" w:eastAsia="Calibri" w:cs="Arial"/>
          <w:color w:val="000000" w:themeColor="text1"/>
          <w:lang w:val="es-ES_tradnl"/>
        </w:rPr>
        <w:t xml:space="preserve"> fundamento</w:t>
      </w:r>
      <w:r w:rsidR="0047550D">
        <w:rPr>
          <w:rFonts w:ascii="Verdana" w:hAnsi="Verdana" w:eastAsia="Calibri" w:cs="Arial"/>
          <w:color w:val="000000" w:themeColor="text1"/>
          <w:lang w:val="es-ES_tradnl"/>
        </w:rPr>
        <w:t xml:space="preserve"> </w:t>
      </w:r>
      <w:r w:rsidR="00D50130">
        <w:rPr>
          <w:rFonts w:ascii="Verdana" w:hAnsi="Verdana" w:eastAsia="Calibri" w:cs="Arial"/>
          <w:color w:val="000000" w:themeColor="text1"/>
          <w:lang w:val="es-ES_tradnl"/>
        </w:rPr>
        <w:t xml:space="preserve">en </w:t>
      </w:r>
      <w:r w:rsidR="003E1F2E">
        <w:rPr>
          <w:rFonts w:ascii="Verdana" w:hAnsi="Verdana" w:eastAsia="Calibri" w:cs="Arial"/>
          <w:color w:val="000000" w:themeColor="text1"/>
          <w:lang w:val="es-ES_tradnl"/>
        </w:rPr>
        <w:t>el</w:t>
      </w:r>
      <w:r w:rsidR="00467790">
        <w:rPr>
          <w:rFonts w:ascii="Verdana" w:hAnsi="Verdana" w:eastAsia="Calibri" w:cs="Arial"/>
          <w:color w:val="000000" w:themeColor="text1"/>
          <w:lang w:val="es-ES_tradnl"/>
        </w:rPr>
        <w:t xml:space="preserve"> </w:t>
      </w:r>
      <w:r w:rsidR="00D50130">
        <w:rPr>
          <w:rFonts w:ascii="Verdana" w:hAnsi="Verdana" w:eastAsia="Calibri" w:cs="Arial"/>
          <w:color w:val="000000" w:themeColor="text1"/>
          <w:lang w:val="es-ES_tradnl"/>
        </w:rPr>
        <w:t>principio</w:t>
      </w:r>
      <w:r w:rsidR="00467790">
        <w:rPr>
          <w:rFonts w:ascii="Verdana" w:hAnsi="Verdana" w:eastAsia="Calibri" w:cs="Arial"/>
          <w:color w:val="000000" w:themeColor="text1"/>
          <w:lang w:val="es-ES_tradnl"/>
        </w:rPr>
        <w:t xml:space="preserve"> </w:t>
      </w:r>
      <w:r w:rsidR="003E1F2E">
        <w:rPr>
          <w:rFonts w:ascii="Verdana" w:hAnsi="Verdana" w:eastAsia="Calibri" w:cs="Arial"/>
          <w:color w:val="000000" w:themeColor="text1"/>
          <w:lang w:val="es-ES_tradnl"/>
        </w:rPr>
        <w:t xml:space="preserve">de </w:t>
      </w:r>
      <w:r w:rsidR="00D50130">
        <w:rPr>
          <w:rFonts w:ascii="Verdana" w:hAnsi="Verdana" w:eastAsia="Calibri" w:cs="Arial"/>
          <w:color w:val="000000" w:themeColor="text1"/>
          <w:lang w:val="es-ES_tradnl"/>
        </w:rPr>
        <w:t>la</w:t>
      </w:r>
      <w:r w:rsidRPr="00B951B8" w:rsidR="00B951B8">
        <w:rPr>
          <w:rFonts w:ascii="Verdana" w:hAnsi="Verdana" w:eastAsia="Calibri" w:cs="Arial"/>
          <w:color w:val="000000" w:themeColor="text1"/>
          <w:lang w:val="es-ES_tradnl"/>
        </w:rPr>
        <w:t xml:space="preserve"> </w:t>
      </w:r>
      <w:r w:rsidR="00D50130">
        <w:rPr>
          <w:rFonts w:ascii="Verdana" w:hAnsi="Verdana" w:eastAsia="Calibri" w:cs="Arial"/>
          <w:color w:val="000000" w:themeColor="text1"/>
          <w:lang w:val="es-ES_tradnl"/>
        </w:rPr>
        <w:t>anualidad del gasto</w:t>
      </w:r>
      <w:r w:rsidR="0047550D">
        <w:rPr>
          <w:rFonts w:ascii="Verdana" w:hAnsi="Verdana" w:eastAsia="Calibri" w:cs="Arial"/>
          <w:color w:val="000000" w:themeColor="text1"/>
          <w:lang w:val="es-ES_tradnl"/>
        </w:rPr>
        <w:t xml:space="preserve">, de manera que sus compromisos </w:t>
      </w:r>
      <w:r w:rsidR="004C016E">
        <w:rPr>
          <w:rFonts w:ascii="Verdana" w:hAnsi="Verdana" w:eastAsia="Calibri" w:cs="Arial"/>
          <w:color w:val="000000" w:themeColor="text1"/>
          <w:lang w:val="es-ES_tradnl"/>
        </w:rPr>
        <w:t xml:space="preserve">presupuestales deben ser </w:t>
      </w:r>
      <w:r w:rsidRPr="004C016E" w:rsidR="004C016E">
        <w:rPr>
          <w:rFonts w:ascii="Verdana" w:hAnsi="Verdana" w:eastAsia="Calibri" w:cs="Arial"/>
          <w:color w:val="000000" w:themeColor="text1"/>
          <w:lang w:val="es-ES_tradnl"/>
        </w:rPr>
        <w:t>ejecutados dentro de</w:t>
      </w:r>
      <w:r w:rsidR="004C016E">
        <w:rPr>
          <w:rFonts w:ascii="Verdana" w:hAnsi="Verdana" w:eastAsia="Calibri" w:cs="Arial"/>
          <w:color w:val="000000" w:themeColor="text1"/>
          <w:lang w:val="es-ES_tradnl"/>
        </w:rPr>
        <w:t xml:space="preserve"> la vigencia</w:t>
      </w:r>
      <w:r w:rsidRPr="004C016E" w:rsidR="004C016E">
        <w:rPr>
          <w:rFonts w:ascii="Verdana" w:hAnsi="Verdana" w:eastAsia="Calibri" w:cs="Arial"/>
          <w:color w:val="000000" w:themeColor="text1"/>
          <w:lang w:val="es-ES_tradnl"/>
        </w:rPr>
        <w:t xml:space="preserve"> fiscal </w:t>
      </w:r>
      <w:r w:rsidRPr="00FA3EC2" w:rsidR="00395752">
        <w:rPr>
          <w:rFonts w:ascii="Verdana" w:hAnsi="Verdana" w:eastAsia="Calibri" w:cs="Arial"/>
          <w:color w:val="000000" w:themeColor="text1"/>
          <w:lang w:val="es-ES_tradnl"/>
        </w:rPr>
        <w:t>comprendida entre el 1 de enero y el 31 de diciembre</w:t>
      </w:r>
      <w:r w:rsidR="004C016E">
        <w:rPr>
          <w:rFonts w:ascii="Verdana" w:hAnsi="Verdana" w:eastAsia="Calibri" w:cs="Arial"/>
          <w:color w:val="000000" w:themeColor="text1"/>
          <w:lang w:val="es-ES_tradnl"/>
        </w:rPr>
        <w:t xml:space="preserve">. </w:t>
      </w:r>
      <w:r w:rsidR="00042B71">
        <w:rPr>
          <w:rFonts w:ascii="Verdana" w:hAnsi="Verdana" w:eastAsia="Calibri" w:cs="Arial"/>
          <w:color w:val="000000" w:themeColor="text1"/>
          <w:lang w:val="es-ES_tradnl"/>
        </w:rPr>
        <w:t>Sin embargo,</w:t>
      </w:r>
      <w:r w:rsidR="002221CD">
        <w:rPr>
          <w:rFonts w:ascii="Verdana" w:hAnsi="Verdana" w:eastAsia="Calibri" w:cs="Arial"/>
          <w:color w:val="000000" w:themeColor="text1"/>
          <w:lang w:val="es-ES_tradnl"/>
        </w:rPr>
        <w:t xml:space="preserve"> </w:t>
      </w:r>
      <w:r w:rsidR="003B2041">
        <w:rPr>
          <w:rFonts w:ascii="Verdana" w:hAnsi="Verdana" w:eastAsia="Calibri" w:cs="Arial"/>
          <w:color w:val="000000" w:themeColor="text1"/>
          <w:lang w:val="es-ES_tradnl"/>
        </w:rPr>
        <w:t xml:space="preserve">como excepción a este principio se establecen </w:t>
      </w:r>
      <w:r w:rsidRPr="00FA3EC2" w:rsidR="008F22A6">
        <w:rPr>
          <w:rFonts w:ascii="Verdana" w:hAnsi="Verdana" w:eastAsia="Calibri" w:cs="Arial"/>
          <w:color w:val="000000" w:themeColor="text1"/>
        </w:rPr>
        <w:t>mecanismos presupuestales</w:t>
      </w:r>
      <w:r w:rsidR="00D54258">
        <w:rPr>
          <w:rFonts w:ascii="Verdana" w:hAnsi="Verdana" w:eastAsia="Calibri" w:cs="Arial"/>
          <w:color w:val="000000" w:themeColor="text1"/>
        </w:rPr>
        <w:t xml:space="preserve"> </w:t>
      </w:r>
      <w:r w:rsidR="00716395">
        <w:rPr>
          <w:rFonts w:ascii="Verdana" w:hAnsi="Verdana" w:eastAsia="Calibri" w:cs="Arial"/>
          <w:color w:val="000000" w:themeColor="text1"/>
        </w:rPr>
        <w:t>dentro de los cuales se encuentran</w:t>
      </w:r>
      <w:r w:rsidR="00577D57">
        <w:rPr>
          <w:rFonts w:ascii="Verdana" w:hAnsi="Verdana" w:eastAsia="Calibri" w:cs="Arial"/>
          <w:color w:val="000000" w:themeColor="text1"/>
        </w:rPr>
        <w:t xml:space="preserve"> las vigencias futuras</w:t>
      </w:r>
      <w:r w:rsidR="008B540C">
        <w:rPr>
          <w:rFonts w:ascii="Verdana" w:hAnsi="Verdana" w:eastAsia="Calibri" w:cs="Arial"/>
          <w:color w:val="000000" w:themeColor="text1"/>
        </w:rPr>
        <w:t>,</w:t>
      </w:r>
      <w:r w:rsidR="00577D57">
        <w:rPr>
          <w:rFonts w:ascii="Verdana" w:hAnsi="Verdana" w:eastAsia="Calibri" w:cs="Arial"/>
          <w:color w:val="000000" w:themeColor="text1"/>
        </w:rPr>
        <w:t xml:space="preserve"> que permite</w:t>
      </w:r>
      <w:r w:rsidR="00536919">
        <w:rPr>
          <w:rFonts w:ascii="Verdana" w:hAnsi="Verdana" w:eastAsia="Calibri" w:cs="Arial"/>
          <w:color w:val="000000" w:themeColor="text1"/>
        </w:rPr>
        <w:t xml:space="preserve"> asumir compromisos </w:t>
      </w:r>
      <w:r w:rsidR="00154CD5">
        <w:rPr>
          <w:rFonts w:ascii="Verdana" w:hAnsi="Verdana" w:eastAsia="Calibri" w:cs="Arial"/>
          <w:color w:val="000000" w:themeColor="text1"/>
        </w:rPr>
        <w:t>que afecten el presupuesto de vigencias posteriores</w:t>
      </w:r>
      <w:r w:rsidR="00E94C85">
        <w:rPr>
          <w:rFonts w:ascii="Verdana" w:hAnsi="Verdana" w:eastAsia="Calibri" w:cs="Arial"/>
          <w:color w:val="000000" w:themeColor="text1"/>
        </w:rPr>
        <w:t xml:space="preserve">. </w:t>
      </w:r>
    </w:p>
    <w:p w:rsidR="006A07DF" w:rsidP="00931F90" w:rsidRDefault="00E94C85" w14:paraId="71796BC2" w14:textId="1FBA52F5">
      <w:pPr>
        <w:shd w:val="clear" w:color="auto" w:fill="FFFFFF"/>
        <w:spacing w:after="120" w:line="276" w:lineRule="auto"/>
        <w:ind w:right="51" w:firstLine="709"/>
        <w:jc w:val="both"/>
        <w:rPr>
          <w:rFonts w:ascii="Verdana" w:hAnsi="Verdana" w:eastAsia="Calibri" w:cs="Arial"/>
          <w:color w:val="000000" w:themeColor="text1"/>
        </w:rPr>
      </w:pPr>
      <w:r>
        <w:rPr>
          <w:rFonts w:ascii="Verdana" w:hAnsi="Verdana" w:eastAsia="Calibri" w:cs="Arial"/>
          <w:color w:val="000000" w:themeColor="text1"/>
        </w:rPr>
        <w:t xml:space="preserve">De esta manera, </w:t>
      </w:r>
      <w:r w:rsidR="002D4012">
        <w:rPr>
          <w:rFonts w:ascii="Verdana" w:hAnsi="Verdana" w:eastAsia="Calibri" w:cs="Arial"/>
          <w:color w:val="000000" w:themeColor="text1"/>
        </w:rPr>
        <w:t xml:space="preserve">en </w:t>
      </w:r>
      <w:r w:rsidRPr="002D4012" w:rsidR="002D4012">
        <w:rPr>
          <w:rFonts w:ascii="Verdana" w:hAnsi="Verdana" w:eastAsia="Calibri" w:cs="Arial"/>
          <w:color w:val="000000" w:themeColor="text1"/>
        </w:rPr>
        <w:t xml:space="preserve">caso de que </w:t>
      </w:r>
      <w:r w:rsidR="005D5605">
        <w:rPr>
          <w:rFonts w:ascii="Verdana" w:hAnsi="Verdana" w:eastAsia="Calibri" w:cs="Arial"/>
          <w:color w:val="000000" w:themeColor="text1"/>
        </w:rPr>
        <w:t>en la etapa de planeación la entidad evidenci</w:t>
      </w:r>
      <w:r w:rsidR="00F93797">
        <w:rPr>
          <w:rFonts w:ascii="Verdana" w:hAnsi="Verdana" w:eastAsia="Calibri" w:cs="Arial"/>
          <w:color w:val="000000" w:themeColor="text1"/>
        </w:rPr>
        <w:t>e</w:t>
      </w:r>
      <w:r w:rsidR="005D5605">
        <w:rPr>
          <w:rFonts w:ascii="Verdana" w:hAnsi="Verdana" w:eastAsia="Calibri" w:cs="Arial"/>
          <w:color w:val="000000" w:themeColor="text1"/>
        </w:rPr>
        <w:t xml:space="preserve"> que el contrato a ejecutar exceda la vigencia fiscal correspondiente, deberá </w:t>
      </w:r>
      <w:r w:rsidR="00F93797">
        <w:rPr>
          <w:rFonts w:ascii="Verdana" w:hAnsi="Verdana" w:eastAsia="Calibri" w:cs="Arial"/>
          <w:color w:val="000000" w:themeColor="text1"/>
        </w:rPr>
        <w:t xml:space="preserve">atender </w:t>
      </w:r>
      <w:r w:rsidRPr="002D4012" w:rsidR="002D4012">
        <w:rPr>
          <w:rFonts w:ascii="Verdana" w:hAnsi="Verdana" w:eastAsia="Calibri" w:cs="Arial"/>
          <w:color w:val="000000" w:themeColor="text1"/>
        </w:rPr>
        <w:t>las previsiones legales sobre las excepciones al principio de anualidad del gasto</w:t>
      </w:r>
      <w:r w:rsidRPr="00AC754B" w:rsidR="00AC754B">
        <w:rPr>
          <w:rFonts w:ascii="Verdana" w:hAnsi="Verdana" w:eastAsia="Arial" w:cs="Arial"/>
          <w:bCs/>
        </w:rPr>
        <w:t xml:space="preserve"> </w:t>
      </w:r>
      <w:r w:rsidR="00AC754B">
        <w:rPr>
          <w:rFonts w:ascii="Verdana" w:hAnsi="Verdana" w:eastAsia="Arial" w:cs="Arial"/>
          <w:bCs/>
        </w:rPr>
        <w:t>y determinar cual resulta aplicable al caso en concreto</w:t>
      </w:r>
      <w:r w:rsidRPr="002D4012" w:rsidR="002D4012">
        <w:rPr>
          <w:rFonts w:ascii="Verdana" w:hAnsi="Verdana" w:eastAsia="Calibri" w:cs="Arial"/>
          <w:color w:val="000000" w:themeColor="text1"/>
        </w:rPr>
        <w:t>. Dichas excepciones deben estar debidamente justificadas</w:t>
      </w:r>
      <w:r w:rsidR="006A07DF">
        <w:rPr>
          <w:rFonts w:ascii="Verdana" w:hAnsi="Verdana" w:eastAsia="Calibri" w:cs="Arial"/>
          <w:color w:val="000000" w:themeColor="text1"/>
        </w:rPr>
        <w:t xml:space="preserve">, </w:t>
      </w:r>
      <w:r w:rsidRPr="002D4012" w:rsidR="002D4012">
        <w:rPr>
          <w:rFonts w:ascii="Verdana" w:hAnsi="Verdana" w:eastAsia="Calibri" w:cs="Arial"/>
          <w:color w:val="000000" w:themeColor="text1"/>
        </w:rPr>
        <w:t>cumplir con los requisitos establecidos por la normativa vigente</w:t>
      </w:r>
      <w:r w:rsidR="006A07DF">
        <w:rPr>
          <w:rFonts w:ascii="Verdana" w:hAnsi="Verdana" w:eastAsia="Calibri" w:cs="Arial"/>
          <w:color w:val="000000" w:themeColor="text1"/>
        </w:rPr>
        <w:t xml:space="preserve"> y seguir los procedimientos correspondientes para su autorizaciones y ejecución</w:t>
      </w:r>
      <w:r w:rsidR="00E02671">
        <w:rPr>
          <w:rFonts w:ascii="Verdana" w:hAnsi="Verdana" w:eastAsia="Calibri" w:cs="Arial"/>
          <w:color w:val="000000" w:themeColor="text1"/>
        </w:rPr>
        <w:t xml:space="preserve">, conforme a lo descrito en este concepto. </w:t>
      </w:r>
      <w:r w:rsidRPr="002D4012" w:rsidR="002D4012">
        <w:rPr>
          <w:rFonts w:ascii="Verdana" w:hAnsi="Verdana" w:eastAsia="Calibri" w:cs="Arial"/>
          <w:color w:val="000000" w:themeColor="text1"/>
        </w:rPr>
        <w:t xml:space="preserve"> </w:t>
      </w:r>
    </w:p>
    <w:p w:rsidRPr="00EB1CF7" w:rsidR="00CD2E70" w:rsidP="00CD2E70" w:rsidRDefault="00CD2E70" w14:paraId="450B1F84" w14:textId="11BACD51">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Referencia</w:t>
      </w:r>
      <w:r w:rsidRPr="00EB1CF7" w:rsidR="00CE37A3">
        <w:rPr>
          <w:rFonts w:ascii="Verdana" w:hAnsi="Verdana" w:eastAsia="Century Gothic" w:cs="Century Gothic"/>
          <w:b/>
          <w:bCs/>
          <w:sz w:val="22"/>
          <w:lang w:val="es-ES"/>
        </w:rPr>
        <w:t>s</w:t>
      </w:r>
      <w:r w:rsidRPr="00EB1CF7">
        <w:rPr>
          <w:rFonts w:ascii="Verdana" w:hAnsi="Verdana" w:eastAsia="Century Gothic" w:cs="Century Gothic"/>
          <w:b/>
          <w:bCs/>
          <w:sz w:val="22"/>
          <w:lang w:val="es-ES"/>
        </w:rPr>
        <w:t xml:space="preserve"> normativa</w:t>
      </w:r>
      <w:r w:rsidRPr="00EB1CF7" w:rsidR="00CE37A3">
        <w:rPr>
          <w:rFonts w:ascii="Verdana" w:hAnsi="Verdana" w:eastAsia="Century Gothic" w:cs="Century Gothic"/>
          <w:b/>
          <w:bCs/>
          <w:sz w:val="22"/>
          <w:lang w:val="es-ES"/>
        </w:rPr>
        <w:t>s</w:t>
      </w:r>
      <w:r w:rsidRPr="00EB1CF7">
        <w:rPr>
          <w:rFonts w:ascii="Verdana" w:hAnsi="Verdana" w:eastAsia="Century Gothic" w:cs="Century Gothic"/>
          <w:b/>
          <w:bCs/>
          <w:sz w:val="22"/>
          <w:lang w:val="es-ES"/>
        </w:rPr>
        <w:t>:</w:t>
      </w:r>
    </w:p>
    <w:p w:rsidRPr="00EB1CF7" w:rsidR="00CD2E70" w:rsidP="00E84D1C" w:rsidRDefault="00CD2E70" w14:paraId="61D4F996" w14:textId="1A993A87">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EB1CF7" w:rsidR="002407CE" w:rsidTr="006E429F" w14:paraId="28F1D869" w14:textId="77777777">
        <w:trPr>
          <w:trHeight w:val="870"/>
          <w:jc w:val="center"/>
        </w:trPr>
        <w:tc>
          <w:tcPr>
            <w:tcW w:w="8647" w:type="dxa"/>
          </w:tcPr>
          <w:p w:rsidRPr="003126D5" w:rsidR="005153C3" w:rsidP="005B6551" w:rsidRDefault="00365E28" w14:paraId="23DCE840" w14:textId="05997F9A">
            <w:pPr>
              <w:pStyle w:val="Prrafodelista"/>
              <w:widowControl w:val="0"/>
              <w:numPr>
                <w:ilvl w:val="0"/>
                <w:numId w:val="3"/>
              </w:numPr>
              <w:autoSpaceDE w:val="0"/>
              <w:autoSpaceDN w:val="0"/>
              <w:spacing w:line="276" w:lineRule="auto"/>
              <w:jc w:val="both"/>
              <w:rPr>
                <w:rFonts w:ascii="Verdana" w:hAnsi="Verdana" w:cs="Arial"/>
                <w:sz w:val="22"/>
              </w:rPr>
            </w:pPr>
            <w:r w:rsidRPr="00365E28">
              <w:rPr>
                <w:rFonts w:ascii="Verdana" w:hAnsi="Verdana" w:cs="Arial"/>
                <w:sz w:val="22"/>
                <w:lang w:val="es-CO"/>
              </w:rPr>
              <w:lastRenderedPageBreak/>
              <w:t>La Ley 813 de 20</w:t>
            </w:r>
            <w:r w:rsidR="00C82F5E">
              <w:rPr>
                <w:rFonts w:ascii="Verdana" w:hAnsi="Verdana" w:cs="Arial"/>
                <w:sz w:val="22"/>
                <w:lang w:val="es-CO"/>
              </w:rPr>
              <w:t>03</w:t>
            </w:r>
            <w:r w:rsidR="00BE1E1B">
              <w:rPr>
                <w:rFonts w:ascii="Verdana" w:hAnsi="Verdana" w:cs="Arial"/>
                <w:sz w:val="22"/>
                <w:lang w:val="es-CO"/>
              </w:rPr>
              <w:t>:</w:t>
            </w:r>
            <w:r>
              <w:rPr>
                <w:rFonts w:ascii="Verdana" w:hAnsi="Verdana" w:cs="Arial"/>
                <w:sz w:val="22"/>
                <w:lang w:val="es-CO"/>
              </w:rPr>
              <w:t xml:space="preserve"> </w:t>
            </w:r>
            <w:r w:rsidRPr="00365E28" w:rsidR="003126D5">
              <w:rPr>
                <w:rFonts w:ascii="Verdana" w:hAnsi="Verdana" w:cs="Arial"/>
                <w:sz w:val="22"/>
                <w:lang w:val="es-CO"/>
              </w:rPr>
              <w:t>A</w:t>
            </w:r>
            <w:r w:rsidRPr="00365E28">
              <w:rPr>
                <w:rFonts w:ascii="Verdana" w:hAnsi="Verdana" w:cs="Arial"/>
                <w:sz w:val="22"/>
                <w:lang w:val="es-CO"/>
              </w:rPr>
              <w:t>rtículos</w:t>
            </w:r>
            <w:r w:rsidR="003126D5">
              <w:rPr>
                <w:rFonts w:ascii="Verdana" w:hAnsi="Verdana" w:cs="Arial"/>
                <w:sz w:val="22"/>
                <w:lang w:val="es-CO"/>
              </w:rPr>
              <w:t xml:space="preserve"> 8</w:t>
            </w:r>
            <w:r>
              <w:rPr>
                <w:rFonts w:ascii="Verdana" w:hAnsi="Verdana" w:cs="Arial"/>
                <w:sz w:val="22"/>
                <w:lang w:val="es-CO"/>
              </w:rPr>
              <w:t xml:space="preserve">, </w:t>
            </w:r>
            <w:r w:rsidR="00C82F5E">
              <w:rPr>
                <w:rFonts w:ascii="Verdana" w:hAnsi="Verdana" w:cs="Arial"/>
                <w:sz w:val="22"/>
                <w:lang w:val="es-CO"/>
              </w:rPr>
              <w:t xml:space="preserve">10, 11 </w:t>
            </w:r>
            <w:r>
              <w:rPr>
                <w:rFonts w:ascii="Verdana" w:hAnsi="Verdana" w:cs="Arial"/>
                <w:sz w:val="22"/>
                <w:lang w:val="es-CO"/>
              </w:rPr>
              <w:t>y 12.</w:t>
            </w:r>
          </w:p>
          <w:p w:rsidRPr="00542C2D" w:rsidR="003126D5" w:rsidP="005B6551" w:rsidRDefault="003126D5" w14:paraId="1D1F8E2F" w14:textId="77777777">
            <w:pPr>
              <w:pStyle w:val="Prrafodelista"/>
              <w:widowControl w:val="0"/>
              <w:numPr>
                <w:ilvl w:val="0"/>
                <w:numId w:val="3"/>
              </w:numPr>
              <w:autoSpaceDE w:val="0"/>
              <w:autoSpaceDN w:val="0"/>
              <w:spacing w:line="276" w:lineRule="auto"/>
              <w:jc w:val="both"/>
              <w:rPr>
                <w:rFonts w:ascii="Verdana" w:hAnsi="Verdana" w:cs="Arial"/>
                <w:sz w:val="22"/>
              </w:rPr>
            </w:pPr>
            <w:r w:rsidRPr="003126D5">
              <w:rPr>
                <w:rFonts w:ascii="Verdana" w:hAnsi="Verdana" w:cs="Arial"/>
                <w:sz w:val="22"/>
                <w:lang w:val="es-CO"/>
              </w:rPr>
              <w:t>Ley 1483 de 2011</w:t>
            </w:r>
          </w:p>
          <w:p w:rsidRPr="00EB1CF7" w:rsidR="00542C2D" w:rsidP="005B6551" w:rsidRDefault="00542C2D" w14:paraId="3E9D05BC" w14:textId="058928EB">
            <w:pPr>
              <w:pStyle w:val="Prrafodelista"/>
              <w:widowControl w:val="0"/>
              <w:numPr>
                <w:ilvl w:val="0"/>
                <w:numId w:val="3"/>
              </w:numPr>
              <w:autoSpaceDE w:val="0"/>
              <w:autoSpaceDN w:val="0"/>
              <w:spacing w:line="276" w:lineRule="auto"/>
              <w:jc w:val="both"/>
              <w:rPr>
                <w:rFonts w:ascii="Verdana" w:hAnsi="Verdana" w:cs="Arial"/>
                <w:sz w:val="22"/>
              </w:rPr>
            </w:pPr>
            <w:r>
              <w:rPr>
                <w:rFonts w:ascii="Verdana" w:hAnsi="Verdana" w:cs="Arial"/>
                <w:sz w:val="22"/>
                <w:lang w:val="es-CO"/>
              </w:rPr>
              <w:t>Decreto 111 de 1996: artículo 23</w:t>
            </w:r>
          </w:p>
        </w:tc>
      </w:tr>
    </w:tbl>
    <w:p w:rsidRPr="00EB1CF7" w:rsidR="00CD2E70" w:rsidP="00E84D1C" w:rsidRDefault="00CD2E70" w14:paraId="30F3A1CE" w14:textId="77777777">
      <w:pPr>
        <w:widowControl w:val="0"/>
        <w:autoSpaceDE w:val="0"/>
        <w:autoSpaceDN w:val="0"/>
        <w:spacing w:after="0" w:line="276" w:lineRule="auto"/>
        <w:jc w:val="both"/>
        <w:rPr>
          <w:rFonts w:ascii="Verdana" w:hAnsi="Verdana" w:cs="Arial"/>
        </w:rPr>
      </w:pPr>
    </w:p>
    <w:p w:rsidRPr="00EB1CF7" w:rsidR="00057963" w:rsidP="00057963" w:rsidRDefault="00E53F2E" w14:paraId="763AF15E" w14:textId="5C1DC823">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Doctrina de la Agencia Nacional de Contratación Pública</w:t>
      </w:r>
      <w:r w:rsidRPr="00EB1CF7" w:rsidR="00057963">
        <w:rPr>
          <w:rFonts w:ascii="Verdana" w:hAnsi="Verdana" w:eastAsia="Century Gothic" w:cs="Century Gothic"/>
          <w:b/>
          <w:bCs/>
          <w:sz w:val="22"/>
          <w:lang w:val="es-ES"/>
        </w:rPr>
        <w:t>:</w:t>
      </w:r>
    </w:p>
    <w:p w:rsidRPr="00EB1CF7" w:rsidR="00E84D1C" w:rsidP="00E84D1C" w:rsidRDefault="00E84D1C" w14:paraId="2E26A5BD" w14:textId="31F0C1BB">
      <w:pPr>
        <w:widowControl w:val="0"/>
        <w:autoSpaceDE w:val="0"/>
        <w:autoSpaceDN w:val="0"/>
        <w:spacing w:after="0" w:line="276" w:lineRule="auto"/>
        <w:jc w:val="both"/>
        <w:rPr>
          <w:rFonts w:ascii="Verdana" w:hAnsi="Verdana" w:cs="Arial"/>
        </w:rPr>
      </w:pPr>
    </w:p>
    <w:p w:rsidR="00BD658C" w:rsidP="00BD658C" w:rsidRDefault="00957EE7" w14:paraId="3FA1F51C" w14:textId="3B664BFD">
      <w:pPr>
        <w:widowControl w:val="0"/>
        <w:autoSpaceDE w:val="0"/>
        <w:autoSpaceDN w:val="0"/>
        <w:spacing w:after="0" w:line="276" w:lineRule="auto"/>
        <w:jc w:val="both"/>
        <w:rPr>
          <w:rFonts w:ascii="Verdana" w:hAnsi="Verdana" w:cs="Arial"/>
          <w:color w:val="000000" w:themeColor="text1"/>
          <w:shd w:val="clear" w:color="auto" w:fill="FFFFFF"/>
        </w:rPr>
      </w:pPr>
      <w:r w:rsidRPr="00957EE7">
        <w:rPr>
          <w:rFonts w:ascii="Verdana" w:hAnsi="Verdana" w:eastAsia="Calibri" w:cs="Arial"/>
          <w:lang w:val="es-ES" w:eastAsia="es-ES"/>
        </w:rPr>
        <w:t xml:space="preserve">la Agencia Nacional de Contratación Pública – Colombia Compra Eficiente, en </w:t>
      </w:r>
      <w:r w:rsidR="00DA1357">
        <w:rPr>
          <w:rFonts w:ascii="Verdana" w:hAnsi="Verdana" w:eastAsia="Calibri" w:cs="Arial"/>
          <w:lang w:val="es-ES" w:eastAsia="es-ES"/>
        </w:rPr>
        <w:t>el concepto C-</w:t>
      </w:r>
      <w:r w:rsidR="006F5F22">
        <w:rPr>
          <w:rFonts w:ascii="Verdana" w:hAnsi="Verdana" w:eastAsia="Calibri" w:cs="Arial"/>
          <w:lang w:val="es-ES" w:eastAsia="es-ES"/>
        </w:rPr>
        <w:t>744 del</w:t>
      </w:r>
      <w:r w:rsidR="002F6D2E">
        <w:rPr>
          <w:rFonts w:ascii="Verdana" w:hAnsi="Verdana" w:eastAsia="Calibri" w:cs="Arial"/>
          <w:lang w:val="es-ES" w:eastAsia="es-ES"/>
        </w:rPr>
        <w:t xml:space="preserve"> 4 de febrero de 2022</w:t>
      </w:r>
      <w:r w:rsidRPr="00957EE7">
        <w:rPr>
          <w:rFonts w:ascii="Verdana" w:hAnsi="Verdana" w:eastAsia="Calibri" w:cs="Arial"/>
          <w:lang w:val="es-ES" w:eastAsia="es-ES"/>
        </w:rPr>
        <w:t xml:space="preserve"> analizó </w:t>
      </w:r>
      <w:r w:rsidR="002F6D2E">
        <w:rPr>
          <w:rFonts w:ascii="Verdana" w:hAnsi="Verdana" w:eastAsia="Calibri" w:cs="Arial"/>
          <w:lang w:val="es-ES" w:eastAsia="es-ES"/>
        </w:rPr>
        <w:t>el principio de anualidad y sus excepciones</w:t>
      </w:r>
      <w:r w:rsidR="00914861">
        <w:rPr>
          <w:rFonts w:ascii="Verdana" w:hAnsi="Verdana" w:eastAsia="Calibri" w:cs="Arial"/>
          <w:lang w:val="es-ES" w:eastAsia="es-ES"/>
        </w:rPr>
        <w:t xml:space="preserve">. </w:t>
      </w:r>
      <w:r w:rsidRPr="00EB1CF7" w:rsidR="00A82DA0">
        <w:rPr>
          <w:rStyle w:val="normaltextrun"/>
          <w:rFonts w:ascii="Verdana" w:hAnsi="Verdana" w:cs="Arial"/>
          <w:shd w:val="clear" w:color="auto" w:fill="FFFFFF"/>
          <w:lang w:val="es-ES"/>
        </w:rPr>
        <w:t>Es</w:t>
      </w:r>
      <w:r w:rsidRPr="00EB1CF7" w:rsidR="00A82DA0">
        <w:rPr>
          <w:rFonts w:ascii="Verdana" w:hAnsi="Verdana"/>
        </w:rPr>
        <w:t>t</w:t>
      </w:r>
      <w:r w:rsidR="002F6D2E">
        <w:rPr>
          <w:rFonts w:ascii="Verdana" w:hAnsi="Verdana"/>
        </w:rPr>
        <w:t>e</w:t>
      </w:r>
      <w:r w:rsidRPr="00EB1CF7" w:rsidR="00A82DA0">
        <w:rPr>
          <w:rFonts w:ascii="Verdana" w:hAnsi="Verdana"/>
        </w:rPr>
        <w:t xml:space="preserve"> y otros conceptos se encuentran disponibles para consulta en el Sistema de relatoría de la Agencia, al cual se puede acceder a través del siguiente enlace</w:t>
      </w:r>
      <w:r w:rsidRPr="00EB1CF7" w:rsidR="00D8321A">
        <w:rPr>
          <w:rFonts w:ascii="Verdana" w:hAnsi="Verdana"/>
        </w:rPr>
        <w:t>:</w:t>
      </w:r>
      <w:r w:rsidRPr="00EB1CF7" w:rsidR="00DC525E">
        <w:rPr>
          <w:rStyle w:val="normaltextrun"/>
          <w:rFonts w:ascii="Verdana" w:hAnsi="Verdana" w:cs="Arial"/>
          <w:shd w:val="clear" w:color="auto" w:fill="FFFFFF"/>
          <w:lang w:val="es-ES"/>
        </w:rPr>
        <w:t xml:space="preserve"> </w:t>
      </w:r>
      <w:hyperlink w:history="1" r:id="rId12">
        <w:r w:rsidRPr="00EB1CF7" w:rsidR="00D8321A">
          <w:rPr>
            <w:rStyle w:val="Hipervnculo"/>
            <w:rFonts w:ascii="Verdana" w:hAnsi="Verdana" w:cs="Arial"/>
            <w:shd w:val="clear" w:color="auto" w:fill="FFFFFF"/>
            <w:lang w:val="es-ES"/>
          </w:rPr>
          <w:t>https://relatoria.colombiacompra.gov.co/busqueda/conceptos</w:t>
        </w:r>
      </w:hyperlink>
      <w:r w:rsidRPr="00EB1CF7" w:rsidR="008D1079">
        <w:rPr>
          <w:rStyle w:val="normaltextrun"/>
          <w:rFonts w:ascii="Verdana" w:hAnsi="Verdana" w:cs="Arial"/>
          <w:shd w:val="clear" w:color="auto" w:fill="FFFFFF"/>
          <w:lang w:val="es-ES"/>
        </w:rPr>
        <w:t>.</w:t>
      </w:r>
      <w:r w:rsidRPr="00EB1CF7" w:rsidR="008D1079">
        <w:rPr>
          <w:rStyle w:val="normaltextrun"/>
          <w:rFonts w:ascii="Verdana" w:hAnsi="Verdana" w:cs="Arial"/>
          <w:color w:val="FF0000"/>
          <w:shd w:val="clear" w:color="auto" w:fill="FFFFFF"/>
          <w:lang w:val="es-ES"/>
        </w:rPr>
        <w:t xml:space="preserve"> </w:t>
      </w:r>
      <w:r w:rsidRPr="00EB1CF7" w:rsidR="00BD658C">
        <w:rPr>
          <w:rFonts w:ascii="Verdana" w:hAnsi="Verdana" w:cs="Arial"/>
          <w:color w:val="000000" w:themeColor="text1"/>
          <w:shd w:val="clear" w:color="auto" w:fill="FFFFFF"/>
        </w:rPr>
        <w:t>  </w:t>
      </w:r>
    </w:p>
    <w:p w:rsidRPr="007853B2" w:rsidR="007853B2" w:rsidP="007853B2" w:rsidRDefault="007853B2" w14:paraId="07589F35" w14:textId="77777777">
      <w:pPr>
        <w:widowControl w:val="0"/>
        <w:autoSpaceDE w:val="0"/>
        <w:autoSpaceDN w:val="0"/>
        <w:spacing w:after="0" w:line="276" w:lineRule="auto"/>
        <w:jc w:val="both"/>
        <w:rPr>
          <w:rFonts w:ascii="Verdana" w:hAnsi="Verdana" w:cs="Arial"/>
          <w:color w:val="000000" w:themeColor="text1"/>
          <w:shd w:val="clear" w:color="auto" w:fill="FFFFFF"/>
        </w:rPr>
      </w:pPr>
    </w:p>
    <w:p w:rsidRPr="007853B2" w:rsidR="007853B2" w:rsidP="007853B2" w:rsidRDefault="007853B2" w14:paraId="6DE05AEA" w14:textId="77777777">
      <w:pPr>
        <w:widowControl w:val="0"/>
        <w:autoSpaceDE w:val="0"/>
        <w:autoSpaceDN w:val="0"/>
        <w:spacing w:after="0" w:line="276" w:lineRule="auto"/>
        <w:jc w:val="both"/>
        <w:rPr>
          <w:rFonts w:ascii="Verdana" w:hAnsi="Verdana" w:cs="Arial"/>
          <w:color w:val="000000" w:themeColor="text1"/>
          <w:shd w:val="clear" w:color="auto" w:fill="FFFFFF"/>
        </w:rPr>
      </w:pPr>
      <w:r w:rsidRPr="007853B2">
        <w:rPr>
          <w:rFonts w:ascii="Verdana" w:hAnsi="Verdana" w:cs="Arial"/>
          <w:color w:val="000000" w:themeColor="text1"/>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w:tgtFrame="_blank" w:tooltip="Dirección URL original: https://www.colombiacompra.gov.co/sites/cce_public/files/cce_documents/manual_para_el_manejo_de_acuerdos_comerciales_vf.pdf. Haga clic o pulse si confía en este vínculo." w:history="1" r:id="rId13">
        <w:r w:rsidRPr="007853B2">
          <w:rPr>
            <w:rFonts w:ascii="Verdana" w:hAnsi="Verdana" w:cs="Arial"/>
            <w:color w:val="0000FF"/>
            <w:u w:val="single"/>
            <w:shd w:val="clear" w:color="auto" w:fill="FFFFFF"/>
          </w:rPr>
          <w:t>manual_para_el_manejo_de_acuerdos_comerciales_vf.pdf</w:t>
        </w:r>
      </w:hyperlink>
    </w:p>
    <w:p w:rsidRPr="007853B2" w:rsidR="007853B2" w:rsidP="007853B2" w:rsidRDefault="007853B2" w14:paraId="0560F055" w14:textId="77777777">
      <w:pPr>
        <w:widowControl w:val="0"/>
        <w:autoSpaceDE w:val="0"/>
        <w:autoSpaceDN w:val="0"/>
        <w:spacing w:after="0" w:line="276" w:lineRule="auto"/>
        <w:jc w:val="both"/>
        <w:rPr>
          <w:rFonts w:ascii="Verdana" w:hAnsi="Verdana" w:cs="Arial"/>
          <w:color w:val="000000" w:themeColor="text1"/>
          <w:shd w:val="clear" w:color="auto" w:fill="FFFFFF"/>
          <w:lang w:val="en-US"/>
        </w:rPr>
      </w:pPr>
    </w:p>
    <w:p w:rsidR="007853B2" w:rsidP="007853B2" w:rsidRDefault="007853B2" w14:paraId="625CB135" w14:textId="77777777">
      <w:pPr>
        <w:widowControl w:val="0"/>
        <w:autoSpaceDE w:val="0"/>
        <w:autoSpaceDN w:val="0"/>
        <w:spacing w:after="0" w:line="276" w:lineRule="auto"/>
        <w:jc w:val="both"/>
        <w:rPr>
          <w:rFonts w:ascii="Verdana" w:hAnsi="Verdana" w:cs="Arial"/>
          <w:color w:val="FF0000"/>
          <w:shd w:val="clear" w:color="auto" w:fill="FFFFFF"/>
          <w:lang w:val="es-ES"/>
        </w:rPr>
      </w:pPr>
      <w:r w:rsidRPr="007853B2">
        <w:rPr>
          <w:rFonts w:ascii="Verdana" w:hAnsi="Verdana" w:cs="Arial"/>
          <w:color w:val="000000" w:themeColor="text1"/>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w:tgtFrame="_blank" w:tooltip="Dirección URL original: https://www.colombiacompra.gov.co/sala-de-prensa/boletin-digital. Haga clic o pulse si confía en este vínculo." w:history="1" r:id="rId14">
        <w:r w:rsidRPr="007853B2">
          <w:rPr>
            <w:rFonts w:ascii="Verdana" w:hAnsi="Verdana" w:cs="Arial"/>
            <w:color w:val="0563C1" w:themeColor="hyperlink"/>
            <w:u w:val="single"/>
            <w:shd w:val="clear" w:color="auto" w:fill="FFFFFF"/>
          </w:rPr>
          <w:t>https://www.colombiacompra.gov.co/sala-de-prensa/boletin-digital</w:t>
        </w:r>
      </w:hyperlink>
      <w:r w:rsidRPr="007853B2">
        <w:rPr>
          <w:rFonts w:ascii="Verdana" w:hAnsi="Verdana" w:cs="Arial"/>
          <w:color w:val="FF0000"/>
          <w:shd w:val="clear" w:color="auto" w:fill="FFFFFF"/>
          <w:lang w:val="es-ES"/>
        </w:rPr>
        <w:t xml:space="preserve">      </w:t>
      </w:r>
    </w:p>
    <w:p w:rsidR="007853B2" w:rsidP="007853B2" w:rsidRDefault="007853B2" w14:paraId="40034497" w14:textId="77777777">
      <w:pPr>
        <w:widowControl w:val="0"/>
        <w:autoSpaceDE w:val="0"/>
        <w:autoSpaceDN w:val="0"/>
        <w:spacing w:after="0" w:line="276" w:lineRule="auto"/>
        <w:jc w:val="both"/>
        <w:rPr>
          <w:rFonts w:ascii="Verdana" w:hAnsi="Verdana" w:cs="Arial"/>
          <w:color w:val="FF0000"/>
          <w:shd w:val="clear" w:color="auto" w:fill="FFFFFF"/>
          <w:lang w:val="es-ES"/>
        </w:rPr>
      </w:pPr>
    </w:p>
    <w:p w:rsidRPr="00EB1CF7" w:rsidR="00A91FB7" w:rsidP="00A91FB7" w:rsidRDefault="00A91FB7" w14:paraId="61A80AFE" w14:textId="51B759DF">
      <w:pPr>
        <w:widowControl w:val="0"/>
        <w:autoSpaceDE w:val="0"/>
        <w:autoSpaceDN w:val="0"/>
        <w:spacing w:after="0" w:line="276" w:lineRule="auto"/>
        <w:jc w:val="both"/>
        <w:rPr>
          <w:rFonts w:ascii="Verdana" w:hAnsi="Verdana" w:cs="Arial"/>
          <w:lang w:val="es-ES_tradnl"/>
        </w:rPr>
      </w:pPr>
      <w:r w:rsidRPr="00EB1CF7">
        <w:rPr>
          <w:rFonts w:ascii="Verdana" w:hAnsi="Verdana" w:cs="Arial"/>
        </w:rPr>
        <w:t>Este concepto tiene el alcance previsto en el artículo 28 del Código de Procedimiento Administrativo y de lo Contencioso Administrativo</w:t>
      </w:r>
      <w:r w:rsidRPr="00EB1CF7" w:rsidR="00172F3A">
        <w:rPr>
          <w:rFonts w:ascii="Verdana" w:hAnsi="Verdana" w:cs="Arial"/>
        </w:rPr>
        <w:t xml:space="preserve"> </w:t>
      </w:r>
      <w:r w:rsidRPr="00EB1CF7" w:rsidR="00172F3A">
        <w:rPr>
          <w:rFonts w:ascii="Verdana" w:hAnsi="Verdana" w:cs="Arial"/>
          <w:lang w:val="es-ES_tradnl"/>
        </w:rPr>
        <w:t>y las expresiones aquí utilizadas con mayúscula inicial deben ser entendidas con el significado que les otorga el artículo 2.2.1.1.1.3.1. del Decreto 1082 de 2015.</w:t>
      </w:r>
    </w:p>
    <w:p w:rsidRPr="00EB1CF7" w:rsidR="00A91FB7" w:rsidP="00A91FB7" w:rsidRDefault="00A91FB7" w14:paraId="00BDA056" w14:textId="05BCB72C">
      <w:pPr>
        <w:widowControl w:val="0"/>
        <w:autoSpaceDE w:val="0"/>
        <w:autoSpaceDN w:val="0"/>
        <w:spacing w:after="0" w:line="276" w:lineRule="auto"/>
        <w:jc w:val="both"/>
        <w:rPr>
          <w:rFonts w:ascii="Verdana" w:hAnsi="Verdana" w:cs="Arial"/>
        </w:rPr>
      </w:pPr>
    </w:p>
    <w:p w:rsidRPr="00EB1CF7" w:rsidR="00CD2E70" w:rsidP="00CD2E70" w:rsidRDefault="00A91FB7" w14:paraId="3CECADB7" w14:textId="00F7F1BF">
      <w:pPr>
        <w:spacing w:after="0" w:line="240" w:lineRule="auto"/>
        <w:rPr>
          <w:rFonts w:ascii="Verdana" w:hAnsi="Verdana" w:cs="Arial"/>
          <w:lang w:eastAsia="es-CO"/>
        </w:rPr>
      </w:pPr>
      <w:r w:rsidRPr="00EB1CF7">
        <w:rPr>
          <w:rFonts w:ascii="Verdana" w:hAnsi="Verdana" w:eastAsia="Times New Roman" w:cs="Arial"/>
          <w:lang w:eastAsia="es-CO"/>
        </w:rPr>
        <w:t>Atentamente,</w:t>
      </w:r>
      <w:r w:rsidRPr="00EB1CF7" w:rsidR="00CD2E70">
        <w:rPr>
          <w:rFonts w:ascii="Verdana" w:hAnsi="Verdana" w:cs="Arial"/>
          <w:lang w:eastAsia="es-CO"/>
        </w:rPr>
        <w:t xml:space="preserve"> </w:t>
      </w:r>
    </w:p>
    <w:p w:rsidRPr="00EB1CF7" w:rsidR="00CD2E70" w:rsidP="00CD2E70" w:rsidRDefault="00666D06" w14:paraId="5ED111D5" w14:textId="46987754">
      <w:pPr>
        <w:spacing w:line="276" w:lineRule="auto"/>
        <w:jc w:val="center"/>
        <w:rPr>
          <w:rFonts w:ascii="Verdana" w:hAnsi="Verdana" w:cs="Arial"/>
          <w:color w:val="000000"/>
          <w:lang w:val="es-ES_tradnl" w:eastAsia="es-CO"/>
        </w:rPr>
      </w:pPr>
      <w:r>
        <w:rPr>
          <w:noProof/>
        </w:rPr>
        <w:lastRenderedPageBreak/>
        <w:drawing>
          <wp:inline distT="0" distB="0" distL="0" distR="0" wp14:anchorId="6226AE0D" wp14:editId="00F00F14">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EB1CF7" w:rsidR="00CD2E70" w:rsidTr="003751C7" w14:paraId="2DBC770D" w14:textId="77777777">
        <w:trPr>
          <w:trHeight w:val="315"/>
        </w:trPr>
        <w:tc>
          <w:tcPr>
            <w:tcW w:w="893" w:type="dxa"/>
            <w:vAlign w:val="center"/>
            <w:hideMark/>
          </w:tcPr>
          <w:p w:rsidRPr="00EB1CF7" w:rsidR="00CD2E70" w:rsidP="0044122F" w:rsidRDefault="00CD2E70" w14:paraId="15A5F5BE" w14:textId="77777777">
            <w:pPr>
              <w:contextualSpacing/>
              <w:rPr>
                <w:rFonts w:ascii="Verdana" w:hAnsi="Verdana" w:cs="Arial"/>
                <w:sz w:val="16"/>
                <w:szCs w:val="16"/>
                <w:lang w:val="es-ES" w:eastAsia="es-ES"/>
              </w:rPr>
            </w:pPr>
            <w:r w:rsidRPr="00EB1CF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EB1CF7" w:rsidR="00254A7A" w:rsidP="00254A7A" w:rsidRDefault="00490FD5" w14:paraId="7CEF9E9C" w14:textId="64EDEF3A">
            <w:pPr>
              <w:contextualSpacing/>
              <w:rPr>
                <w:rStyle w:val="normaltextrun"/>
                <w:rFonts w:ascii="Verdana" w:hAnsi="Verdana"/>
                <w:sz w:val="16"/>
                <w:szCs w:val="16"/>
              </w:rPr>
            </w:pPr>
            <w:r w:rsidRPr="00EB1CF7">
              <w:rPr>
                <w:rStyle w:val="normaltextrun"/>
                <w:rFonts w:ascii="Verdana" w:hAnsi="Verdana"/>
                <w:sz w:val="16"/>
                <w:szCs w:val="16"/>
              </w:rPr>
              <w:t>Tatiana Baquero Iguarán</w:t>
            </w:r>
          </w:p>
          <w:p w:rsidRPr="00EB1CF7" w:rsidR="00CD2E70" w:rsidP="00254A7A" w:rsidRDefault="00254A7A" w14:paraId="6AB49B73" w14:textId="0FA4CDFF">
            <w:pPr>
              <w:contextualSpacing/>
              <w:rPr>
                <w:rFonts w:ascii="Verdana" w:hAnsi="Verdana" w:eastAsia="Arial" w:cs="Arial"/>
                <w:sz w:val="16"/>
                <w:szCs w:val="16"/>
              </w:rPr>
            </w:pPr>
            <w:r w:rsidRPr="00EB1CF7">
              <w:rPr>
                <w:rStyle w:val="normaltextrun"/>
                <w:rFonts w:ascii="Verdana" w:hAnsi="Verdana"/>
                <w:sz w:val="16"/>
                <w:szCs w:val="16"/>
              </w:rPr>
              <w:t>Contratista de la Subdirección de Gestión Contractual</w:t>
            </w:r>
          </w:p>
        </w:tc>
      </w:tr>
      <w:tr w:rsidRPr="00EB1CF7" w:rsidR="00CD2E70" w:rsidTr="003751C7" w14:paraId="54ECFA9D" w14:textId="77777777">
        <w:trPr>
          <w:trHeight w:val="330"/>
        </w:trPr>
        <w:tc>
          <w:tcPr>
            <w:tcW w:w="893" w:type="dxa"/>
            <w:vAlign w:val="center"/>
            <w:hideMark/>
          </w:tcPr>
          <w:p w:rsidRPr="00EB1CF7" w:rsidR="00CD2E70" w:rsidP="0044122F" w:rsidRDefault="00CD2E70" w14:paraId="322FF342" w14:textId="77777777">
            <w:pPr>
              <w:contextualSpacing/>
              <w:rPr>
                <w:rFonts w:ascii="Verdana" w:hAnsi="Verdana" w:cs="Arial"/>
                <w:sz w:val="16"/>
                <w:szCs w:val="16"/>
                <w:lang w:val="es-ES" w:eastAsia="es-ES"/>
              </w:rPr>
            </w:pPr>
            <w:r w:rsidRPr="00EB1CF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EB1CF7" w:rsidR="00254A7A" w:rsidP="00254A7A" w:rsidRDefault="00254A7A" w14:paraId="01F942CE" w14:textId="77777777">
            <w:pPr>
              <w:pStyle w:val="paragraph"/>
              <w:spacing w:after="0"/>
              <w:contextualSpacing/>
              <w:textAlignment w:val="baseline"/>
              <w:rPr>
                <w:rStyle w:val="normaltextrun"/>
                <w:rFonts w:ascii="Verdana" w:hAnsi="Verdana" w:cs="Arial"/>
                <w:sz w:val="16"/>
                <w:szCs w:val="16"/>
                <w:lang w:val="es-ES"/>
              </w:rPr>
            </w:pPr>
            <w:r w:rsidRPr="00EB1CF7">
              <w:rPr>
                <w:rStyle w:val="normaltextrun"/>
                <w:rFonts w:ascii="Verdana" w:hAnsi="Verdana" w:cs="Arial"/>
                <w:sz w:val="16"/>
                <w:szCs w:val="16"/>
                <w:lang w:val="es-ES"/>
              </w:rPr>
              <w:t>Alejandro Sarmiento Cantillo</w:t>
            </w:r>
          </w:p>
          <w:p w:rsidRPr="00EB1CF7" w:rsidR="00CD2E70" w:rsidP="00254A7A" w:rsidRDefault="00254A7A" w14:paraId="6B05B490" w14:textId="5284924E">
            <w:pPr>
              <w:pStyle w:val="paragraph"/>
              <w:spacing w:before="0" w:beforeAutospacing="0" w:after="0" w:afterAutospacing="0"/>
              <w:contextualSpacing/>
              <w:textAlignment w:val="baseline"/>
              <w:rPr>
                <w:rFonts w:ascii="Verdana" w:hAnsi="Verdana" w:cs="Segoe UI"/>
                <w:sz w:val="16"/>
                <w:szCs w:val="16"/>
              </w:rPr>
            </w:pPr>
            <w:r w:rsidRPr="00EB1CF7">
              <w:rPr>
                <w:rStyle w:val="normaltextrun"/>
                <w:rFonts w:ascii="Verdana" w:hAnsi="Verdana" w:cs="Arial"/>
                <w:sz w:val="16"/>
                <w:szCs w:val="16"/>
                <w:lang w:val="es-ES"/>
              </w:rPr>
              <w:t>Gestor T1 ‒ 15 de la Subdirección de Gestión Contractual</w:t>
            </w:r>
            <w:r w:rsidRPr="00EB1CF7" w:rsidR="00CD2E70">
              <w:rPr>
                <w:rStyle w:val="eop"/>
                <w:rFonts w:ascii="Verdana" w:hAnsi="Verdana" w:cs="Arial"/>
                <w:sz w:val="16"/>
                <w:szCs w:val="16"/>
              </w:rPr>
              <w:t> </w:t>
            </w:r>
          </w:p>
        </w:tc>
      </w:tr>
      <w:tr w:rsidRPr="00EB1CF7" w:rsidR="00CD2E70" w:rsidTr="003751C7" w14:paraId="3D2C2D00" w14:textId="77777777">
        <w:trPr>
          <w:trHeight w:val="300"/>
        </w:trPr>
        <w:tc>
          <w:tcPr>
            <w:tcW w:w="893" w:type="dxa"/>
            <w:vAlign w:val="center"/>
          </w:tcPr>
          <w:p w:rsidRPr="00EB1CF7" w:rsidR="00CD2E70" w:rsidP="0044122F" w:rsidRDefault="00CD2E70" w14:paraId="22572E15" w14:textId="77777777">
            <w:pPr>
              <w:contextualSpacing/>
              <w:rPr>
                <w:rFonts w:ascii="Verdana" w:hAnsi="Verdana" w:cs="Arial"/>
                <w:sz w:val="16"/>
                <w:szCs w:val="16"/>
                <w:lang w:val="es-ES" w:eastAsia="es-ES"/>
              </w:rPr>
            </w:pPr>
            <w:r w:rsidRPr="00EB1CF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EB1CF7" w:rsidR="00CD2E70" w:rsidP="0044122F" w:rsidRDefault="00CD2E70" w14:paraId="058F9554" w14:textId="77777777">
            <w:pPr>
              <w:contextualSpacing/>
              <w:rPr>
                <w:rFonts w:ascii="Verdana" w:hAnsi="Verdana" w:eastAsia="Calibri" w:cs="Arial"/>
                <w:sz w:val="16"/>
                <w:szCs w:val="16"/>
                <w:lang w:val="pt-BR" w:eastAsia="es-ES"/>
              </w:rPr>
            </w:pPr>
            <w:r w:rsidRPr="00EB1CF7">
              <w:rPr>
                <w:rFonts w:ascii="Verdana" w:hAnsi="Verdana" w:eastAsia="Calibri" w:cs="Arial"/>
                <w:sz w:val="16"/>
                <w:szCs w:val="16"/>
                <w:lang w:val="pt-BR" w:eastAsia="es-ES"/>
              </w:rPr>
              <w:t xml:space="preserve">Carolina Quintero </w:t>
            </w:r>
            <w:proofErr w:type="spellStart"/>
            <w:r w:rsidRPr="00EB1CF7">
              <w:rPr>
                <w:rFonts w:ascii="Verdana" w:hAnsi="Verdana" w:eastAsia="Calibri" w:cs="Arial"/>
                <w:sz w:val="16"/>
                <w:szCs w:val="16"/>
                <w:lang w:val="pt-BR" w:eastAsia="es-ES"/>
              </w:rPr>
              <w:t>Gacharná</w:t>
            </w:r>
            <w:proofErr w:type="spellEnd"/>
          </w:p>
          <w:p w:rsidRPr="00EB1CF7" w:rsidR="00CD2E70" w:rsidP="0044122F" w:rsidRDefault="00CD2E70" w14:paraId="706065BE" w14:textId="77777777">
            <w:pPr>
              <w:contextualSpacing/>
              <w:rPr>
                <w:rFonts w:ascii="Verdana" w:hAnsi="Verdana" w:eastAsia="Calibri" w:cs="Arial"/>
                <w:sz w:val="16"/>
                <w:szCs w:val="16"/>
                <w:lang w:val="pt-BR" w:eastAsia="es-ES"/>
              </w:rPr>
            </w:pPr>
            <w:r w:rsidRPr="00EB1CF7">
              <w:rPr>
                <w:rFonts w:ascii="Verdana" w:hAnsi="Verdana" w:eastAsia="Calibri" w:cs="Arial"/>
                <w:sz w:val="16"/>
                <w:szCs w:val="16"/>
                <w:lang w:eastAsia="es-ES"/>
              </w:rPr>
              <w:t>Subdirectora</w:t>
            </w:r>
            <w:r w:rsidRPr="00EB1CF7">
              <w:rPr>
                <w:rFonts w:ascii="Verdana" w:hAnsi="Verdana" w:eastAsia="Calibri" w:cs="Arial"/>
                <w:sz w:val="16"/>
                <w:szCs w:val="16"/>
                <w:lang w:val="pt-BR" w:eastAsia="es-ES"/>
              </w:rPr>
              <w:t xml:space="preserve"> de Gestión </w:t>
            </w:r>
            <w:proofErr w:type="spellStart"/>
            <w:r w:rsidRPr="00EB1CF7">
              <w:rPr>
                <w:rFonts w:ascii="Verdana" w:hAnsi="Verdana" w:eastAsia="Calibri" w:cs="Arial"/>
                <w:sz w:val="16"/>
                <w:szCs w:val="16"/>
                <w:lang w:val="pt-BR" w:eastAsia="es-ES"/>
              </w:rPr>
              <w:t>Contractual</w:t>
            </w:r>
            <w:proofErr w:type="spellEnd"/>
            <w:r w:rsidRPr="00EB1CF7">
              <w:rPr>
                <w:rFonts w:ascii="Verdana" w:hAnsi="Verdana" w:eastAsia="Calibri" w:cs="Arial"/>
                <w:sz w:val="16"/>
                <w:szCs w:val="16"/>
                <w:lang w:val="pt-BR" w:eastAsia="es-ES"/>
              </w:rPr>
              <w:t xml:space="preserve"> ANCP – CCE</w:t>
            </w:r>
          </w:p>
        </w:tc>
      </w:tr>
    </w:tbl>
    <w:p w:rsidRPr="00EB1CF7" w:rsidR="5D8505AD" w:rsidP="00BE73FA" w:rsidRDefault="5D8505AD" w14:paraId="0083C991" w14:textId="62C71FF5">
      <w:pPr>
        <w:spacing w:after="0" w:line="240" w:lineRule="auto"/>
        <w:rPr>
          <w:rFonts w:ascii="Verdana" w:hAnsi="Verdana" w:eastAsia="Times New Roman" w:cs="Arial"/>
          <w:sz w:val="24"/>
          <w:szCs w:val="24"/>
          <w:lang w:eastAsia="es-ES"/>
        </w:rPr>
      </w:pPr>
    </w:p>
    <w:sectPr w:rsidRPr="00EB1CF7" w:rsidR="5D8505AD" w:rsidSect="00C44B4C">
      <w:headerReference w:type="default" r:id="rId16"/>
      <w:footerReference w:type="default" r:id="rId17"/>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597" w:rsidP="00B30448" w:rsidRDefault="00B00597" w14:paraId="65FB45F7" w14:textId="77777777">
      <w:pPr>
        <w:spacing w:after="0" w:line="240" w:lineRule="auto"/>
      </w:pPr>
      <w:r>
        <w:separator/>
      </w:r>
    </w:p>
  </w:endnote>
  <w:endnote w:type="continuationSeparator" w:id="0">
    <w:p w:rsidR="00B00597" w:rsidP="00B30448" w:rsidRDefault="00B00597" w14:paraId="764D3A69" w14:textId="77777777">
      <w:pPr>
        <w:spacing w:after="0" w:line="240" w:lineRule="auto"/>
      </w:pPr>
      <w:r>
        <w:continuationSeparator/>
      </w:r>
    </w:p>
  </w:endnote>
  <w:endnote w:type="continuationNotice" w:id="1">
    <w:p w:rsidR="00B00597" w:rsidRDefault="00B00597" w14:paraId="62351D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74B77" w:rsidR="00A81E50" w:rsidP="00A81E50" w:rsidRDefault="00A81E50" w14:paraId="2FD9C0E4"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A81E50" w:rsidP="00A81E50" w:rsidRDefault="00A81E50" w14:paraId="4FC9CAA9"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A81E50" w:rsidP="00A81E50" w:rsidRDefault="00A81E50" w14:paraId="0B709B73" w14:textId="77777777">
    <w:pPr>
      <w:spacing w:after="0"/>
      <w:jc w:val="both"/>
      <w:rPr>
        <w:rFonts w:ascii="Verdana" w:hAnsi="Verdana"/>
        <w:sz w:val="18"/>
        <w:szCs w:val="18"/>
      </w:rPr>
    </w:pPr>
    <w:r w:rsidRPr="00E41027">
      <w:rPr>
        <w:rFonts w:ascii="Verdana" w:hAnsi="Verdana"/>
        <w:sz w:val="18"/>
        <w:szCs w:val="18"/>
      </w:rPr>
      <w:t>Mesa de servicio: (+57) 601 7456788</w:t>
    </w:r>
  </w:p>
  <w:p w:rsidR="00DD7A2C" w:rsidP="00C00976" w:rsidRDefault="00A81E50" w14:paraId="224AB27F" w14:textId="77777777">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rsidR="00A81E50" w:rsidP="00DD7A2C" w:rsidRDefault="00A81E50" w14:paraId="2B8DBB2A" w14:textId="26AE77D2">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hAnsi="Verdana" w:eastAsia="Geo" w:cs="Geo"/>
        <w:bCs/>
        <w:color w:val="000000"/>
        <w:sz w:val="16"/>
        <w:szCs w:val="16"/>
        <w:lang w:eastAsia="es-CO"/>
      </w:rPr>
      <w:t>Código: CCE-REC-FM-13 Versión</w:t>
    </w:r>
    <w:r w:rsidRPr="00A211EE">
      <w:rPr>
        <w:rFonts w:ascii="Verdana" w:hAnsi="Verdana" w:eastAsia="Arial Nova" w:cs="Arial Nova"/>
        <w:bCs/>
        <w:color w:val="000000"/>
        <w:sz w:val="16"/>
        <w:szCs w:val="16"/>
        <w:lang w:eastAsia="es-CO"/>
      </w:rPr>
      <w:t>:</w:t>
    </w:r>
    <w:r w:rsidRPr="00A211EE">
      <w:rPr>
        <w:rFonts w:ascii="Verdana" w:hAnsi="Verdana" w:eastAsia="Arial Nova" w:cs="Arial Nova"/>
        <w:b/>
        <w:color w:val="000000"/>
        <w:sz w:val="16"/>
        <w:szCs w:val="16"/>
        <w:lang w:eastAsia="es-CO"/>
      </w:rPr>
      <w:t xml:space="preserve"> </w:t>
    </w:r>
    <w:r w:rsidRPr="00A211EE">
      <w:rPr>
        <w:rFonts w:ascii="Verdana" w:hAnsi="Verdana" w:eastAsia="Geo"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597" w:rsidP="00B30448" w:rsidRDefault="00B00597" w14:paraId="32D08FA2" w14:textId="77777777">
      <w:pPr>
        <w:spacing w:after="0" w:line="240" w:lineRule="auto"/>
      </w:pPr>
      <w:r>
        <w:separator/>
      </w:r>
    </w:p>
  </w:footnote>
  <w:footnote w:type="continuationSeparator" w:id="0">
    <w:p w:rsidR="00B00597" w:rsidP="00B30448" w:rsidRDefault="00B00597" w14:paraId="0B105AF8" w14:textId="77777777">
      <w:pPr>
        <w:spacing w:after="0" w:line="240" w:lineRule="auto"/>
      </w:pPr>
      <w:r>
        <w:continuationSeparator/>
      </w:r>
    </w:p>
  </w:footnote>
  <w:footnote w:type="continuationNotice" w:id="1">
    <w:p w:rsidR="00B00597" w:rsidRDefault="00B00597" w14:paraId="495F9C58" w14:textId="77777777">
      <w:pPr>
        <w:spacing w:after="0" w:line="240" w:lineRule="auto"/>
      </w:pPr>
    </w:p>
  </w:footnote>
  <w:footnote w:id="2">
    <w:p w:rsidRPr="00F73D92" w:rsidR="00FA3EC2" w:rsidP="00FA3EC2" w:rsidRDefault="00FA3EC2" w14:paraId="52D2999A" w14:textId="77777777">
      <w:pPr>
        <w:pStyle w:val="Textonotapie"/>
        <w:ind w:firstLine="708"/>
        <w:jc w:val="both"/>
        <w:rPr>
          <w:rFonts w:ascii="Verdana" w:hAnsi="Verdana" w:cs="Arial"/>
          <w:sz w:val="16"/>
          <w:szCs w:val="16"/>
        </w:rPr>
      </w:pPr>
      <w:r w:rsidRPr="00F73D92">
        <w:rPr>
          <w:rStyle w:val="Refdenotaalpie"/>
          <w:rFonts w:ascii="Verdana" w:hAnsi="Verdana" w:cs="Arial"/>
          <w:sz w:val="16"/>
          <w:szCs w:val="16"/>
        </w:rPr>
        <w:footnoteRef/>
      </w:r>
      <w:r w:rsidRPr="00F73D92">
        <w:rPr>
          <w:rFonts w:ascii="Verdana" w:hAnsi="Verdana" w:cs="Arial"/>
          <w:sz w:val="16"/>
          <w:szCs w:val="16"/>
        </w:rPr>
        <w:t xml:space="preserve"> «El instrumento principal de la actividad financiera del gobierno es el presupuesto público, el cual es también la carta de orientación para la ejecución de las finanzas estatales, instrumento de planificación y cumplimiento de planes y programas que refleja la actividad gubernamental y el cumplimiento de la Constitución Política en los ámbitos políticos, económicos, jurídicos y sociales. […] El presupuesto enmarca toda la práctica de política fiscal del Estado. Por medio de éste se llevan a cabo la búsqueda y el cumplimiento de principios y finalidades de la actuación administrativa, y que (sic) en últimas, orienta la satisfacción de necesidades de los individuos que lo conforman y se garantizan los recursos necesarios para el normal funcionamiento del aparato estatal.» PEÑA GONZÁLEZ, Edilberto. Principios e instituciones presupuestales en Colombia, en: Estudios Socio-Jurídicos, Bogotá (Colombia), 9 (1), enero-junio de 2007, p. 248 y 250.</w:t>
      </w:r>
    </w:p>
    <w:p w:rsidRPr="00F73D92" w:rsidR="00FA3EC2" w:rsidP="009927F5" w:rsidRDefault="00FA3EC2" w14:paraId="745B91FE" w14:textId="77777777">
      <w:pPr>
        <w:pStyle w:val="Textonotapie"/>
        <w:jc w:val="both"/>
        <w:rPr>
          <w:rFonts w:ascii="Verdana" w:hAnsi="Verdana" w:cs="Arial"/>
          <w:sz w:val="16"/>
          <w:szCs w:val="16"/>
        </w:rPr>
      </w:pPr>
    </w:p>
  </w:footnote>
  <w:footnote w:id="3">
    <w:p w:rsidRPr="00F73D92" w:rsidR="00FA3EC2" w:rsidP="00FA3EC2" w:rsidRDefault="00FA3EC2" w14:paraId="77FCB06F" w14:textId="77777777">
      <w:pPr>
        <w:pStyle w:val="Textonotapie"/>
        <w:ind w:firstLine="708"/>
        <w:jc w:val="both"/>
        <w:rPr>
          <w:rFonts w:ascii="Verdana" w:hAnsi="Verdana" w:cs="Arial"/>
          <w:sz w:val="16"/>
          <w:szCs w:val="16"/>
        </w:rPr>
      </w:pPr>
      <w:r w:rsidRPr="00F73D92">
        <w:rPr>
          <w:rStyle w:val="Refdenotaalpie"/>
          <w:rFonts w:ascii="Verdana" w:hAnsi="Verdana" w:cs="Arial"/>
          <w:sz w:val="16"/>
          <w:szCs w:val="16"/>
        </w:rPr>
        <w:footnoteRef/>
      </w:r>
      <w:r w:rsidRPr="00F73D92">
        <w:rPr>
          <w:rFonts w:ascii="Verdana" w:hAnsi="Verdana" w:cs="Arial"/>
          <w:sz w:val="16"/>
          <w:szCs w:val="16"/>
        </w:rPr>
        <w:t xml:space="preserve"> De conformidad con lo dispuesto en el artículo 10 del Decreto 111 de 1996 «La Ley Anual sobre el Presupuesto General de la Nación es el instrumento para el cumplimiento de los planes y programas de desarrollo económico y social.» </w:t>
      </w:r>
    </w:p>
    <w:p w:rsidRPr="00F73D92" w:rsidR="00FA3EC2" w:rsidP="00FA3EC2" w:rsidRDefault="00FA3EC2" w14:paraId="34099992" w14:textId="77777777">
      <w:pPr>
        <w:pStyle w:val="Textonotapie"/>
        <w:ind w:firstLine="708"/>
        <w:jc w:val="both"/>
        <w:rPr>
          <w:rFonts w:ascii="Verdana" w:hAnsi="Verdana" w:cs="Arial"/>
          <w:sz w:val="16"/>
          <w:szCs w:val="16"/>
        </w:rPr>
      </w:pPr>
      <w:r w:rsidRPr="00F73D92">
        <w:rPr>
          <w:rFonts w:ascii="Verdana" w:hAnsi="Verdana" w:cs="Arial"/>
          <w:sz w:val="16"/>
          <w:szCs w:val="16"/>
        </w:rPr>
        <w:t>A su turno, el artículo 11 del mismo Decreto indica que «El Presupuesto General de la Nación se compone de las siguientes partes:</w:t>
      </w:r>
    </w:p>
    <w:p w:rsidRPr="00F73D92" w:rsidR="00FA3EC2" w:rsidP="00FA3EC2" w:rsidRDefault="00FA3EC2" w14:paraId="6F554AA1" w14:textId="77777777">
      <w:pPr>
        <w:pStyle w:val="Textonotapie"/>
        <w:ind w:firstLine="708"/>
        <w:jc w:val="both"/>
        <w:rPr>
          <w:rFonts w:ascii="Verdana" w:hAnsi="Verdana" w:cs="Arial"/>
          <w:sz w:val="16"/>
          <w:szCs w:val="16"/>
        </w:rPr>
      </w:pPr>
      <w:r w:rsidRPr="00F73D92">
        <w:rPr>
          <w:rFonts w:ascii="Verdana" w:hAnsi="Verdana" w:cs="Arial"/>
          <w:sz w:val="16"/>
          <w:szCs w:val="16"/>
        </w:rPr>
        <w:t>a) El Presupuesto de Rentas contendrá la estimación de los ingresos corrientes de la Nación; de las contribuciones para fiscales cuando sean administradas por un órgano que haga parte del Presupuesto, de los fondos especiales, de los recursos de capital y de los ingresos de los establecimientos públicos del orden nacional;</w:t>
      </w:r>
    </w:p>
    <w:p w:rsidRPr="00F73D92" w:rsidR="00FA3EC2" w:rsidP="00FA3EC2" w:rsidRDefault="00FA3EC2" w14:paraId="361D0577" w14:textId="77777777">
      <w:pPr>
        <w:pStyle w:val="Textonotapie"/>
        <w:ind w:firstLine="708"/>
        <w:jc w:val="both"/>
        <w:rPr>
          <w:rFonts w:ascii="Verdana" w:hAnsi="Verdana" w:cs="Arial"/>
          <w:sz w:val="16"/>
          <w:szCs w:val="16"/>
        </w:rPr>
      </w:pPr>
      <w:r w:rsidRPr="00F73D92">
        <w:rPr>
          <w:rFonts w:ascii="Verdana" w:hAnsi="Verdana" w:cs="Arial"/>
          <w:sz w:val="16"/>
          <w:szCs w:val="16"/>
        </w:rPr>
        <w:t>b) El Presupuesto de Gastos o Ley de Apropiaciones. Incluirá las apropiaciones para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distinguiendo entre gastos de funcionamiento, servicio de la deuda pública y gastos de inversión, clasificados y detallados en la forma que indiquen los reglamentos;</w:t>
      </w:r>
    </w:p>
    <w:p w:rsidRPr="00F73D92" w:rsidR="00FA3EC2" w:rsidP="00FA3EC2" w:rsidRDefault="00FA3EC2" w14:paraId="12676D31" w14:textId="77777777">
      <w:pPr>
        <w:pStyle w:val="Textonotapie"/>
        <w:ind w:firstLine="708"/>
        <w:jc w:val="both"/>
        <w:rPr>
          <w:rFonts w:ascii="Verdana" w:hAnsi="Verdana" w:cs="Arial"/>
          <w:sz w:val="16"/>
          <w:szCs w:val="16"/>
          <w:lang w:val="es-CO"/>
        </w:rPr>
      </w:pPr>
      <w:r w:rsidRPr="00F73D92">
        <w:rPr>
          <w:rFonts w:ascii="Verdana" w:hAnsi="Verdana" w:cs="Arial"/>
          <w:sz w:val="16"/>
          <w:szCs w:val="16"/>
        </w:rPr>
        <w:t xml:space="preserve"> c) Disposiciones generales. Corresponde a las normas tendientes a asegurar la correcta ejecución del Presupuesto General de la Nación, las cuales regirán únicamente para el año fiscal para el cual se expidan.»</w:t>
      </w:r>
    </w:p>
  </w:footnote>
  <w:footnote w:id="4">
    <w:p w:rsidRPr="00F73D92" w:rsidR="00FA3EC2" w:rsidP="00FA3EC2" w:rsidRDefault="00FA3EC2" w14:paraId="24D4A4CE" w14:textId="77777777">
      <w:pPr>
        <w:pStyle w:val="Textonotapie"/>
        <w:ind w:firstLine="709"/>
        <w:jc w:val="both"/>
        <w:rPr>
          <w:rFonts w:ascii="Verdana" w:hAnsi="Verdana"/>
          <w:sz w:val="16"/>
          <w:szCs w:val="16"/>
          <w:lang w:val="es-CO"/>
        </w:rPr>
      </w:pPr>
      <w:r w:rsidRPr="00F73D92">
        <w:rPr>
          <w:rStyle w:val="Refdenotaalpie"/>
          <w:rFonts w:ascii="Verdana" w:hAnsi="Verdana" w:cs="Arial"/>
          <w:sz w:val="16"/>
          <w:szCs w:val="16"/>
        </w:rPr>
        <w:footnoteRef/>
      </w:r>
      <w:r w:rsidRPr="00F73D92">
        <w:rPr>
          <w:rFonts w:ascii="Verdana" w:hAnsi="Verdana" w:cs="Arial"/>
          <w:sz w:val="16"/>
          <w:szCs w:val="16"/>
        </w:rPr>
        <w:t xml:space="preserve"> Decreto 1068 de 2015 «</w:t>
      </w:r>
      <w:r w:rsidRPr="00F73D92">
        <w:rPr>
          <w:rFonts w:ascii="Verdana" w:hAnsi="Verdana" w:cs="Arial"/>
          <w:sz w:val="16"/>
          <w:szCs w:val="16"/>
          <w:lang w:val="es-CO"/>
        </w:rPr>
        <w:t>Artículo </w:t>
      </w:r>
      <w:bookmarkStart w:name="2.8.3.4" w:id="3"/>
      <w:bookmarkEnd w:id="3"/>
      <w:r w:rsidRPr="00F73D92">
        <w:rPr>
          <w:rFonts w:ascii="Verdana" w:hAnsi="Verdana" w:cs="Arial"/>
          <w:sz w:val="16"/>
          <w:szCs w:val="16"/>
          <w:lang w:val="es-CO"/>
        </w:rPr>
        <w:t>2.8.3.4. </w:t>
      </w:r>
      <w:r w:rsidRPr="00F73D92">
        <w:rPr>
          <w:rFonts w:ascii="Verdana" w:hAnsi="Verdana" w:cs="Arial"/>
          <w:i/>
          <w:iCs/>
          <w:sz w:val="16"/>
          <w:szCs w:val="16"/>
          <w:lang w:val="es-CO"/>
        </w:rPr>
        <w:t>Anualidad.</w:t>
      </w:r>
      <w:r w:rsidRPr="00F73D92">
        <w:rPr>
          <w:rFonts w:ascii="Verdana" w:hAnsi="Verdana" w:cs="Arial"/>
          <w:sz w:val="16"/>
          <w:szCs w:val="16"/>
          <w:lang w:val="es-CO"/>
        </w:rPr>
        <w:t> El año fiscal comienza el 1 de enero y termina el 31 de diciembre de cada año. Después del 31 de diciembre no podrán asumirse compromisos con cargo a las apropiaciones del año fiscal que se cierra en esa fecha y los saldos de apropiación no afectados por compromisos caducarán sin excepción</w:t>
      </w:r>
      <w:r w:rsidRPr="00F73D92">
        <w:rPr>
          <w:rFonts w:ascii="Verdana" w:hAnsi="Verdana" w:cs="Arial"/>
          <w:sz w:val="16"/>
          <w:szCs w:val="16"/>
        </w:rPr>
        <w:t>»</w:t>
      </w:r>
      <w:r w:rsidRPr="00F73D92">
        <w:rPr>
          <w:rFonts w:ascii="Verdana" w:hAnsi="Verdana" w:cs="Arial"/>
          <w:sz w:val="16"/>
          <w:szCs w:val="16"/>
          <w:lang w:val="es-CO"/>
        </w:rPr>
        <w:t>.</w:t>
      </w:r>
    </w:p>
  </w:footnote>
  <w:footnote w:id="5">
    <w:p w:rsidRPr="00F73D92" w:rsidR="00FA3EC2" w:rsidP="00FA3EC2" w:rsidRDefault="00FA3EC2" w14:paraId="0CC32890" w14:textId="77777777">
      <w:pPr>
        <w:pStyle w:val="Textonotapie"/>
        <w:ind w:right="49" w:firstLine="708"/>
        <w:jc w:val="both"/>
        <w:rPr>
          <w:rFonts w:ascii="Verdana" w:hAnsi="Verdana" w:cs="Arial"/>
          <w:color w:val="000000"/>
          <w:sz w:val="16"/>
          <w:szCs w:val="16"/>
        </w:rPr>
      </w:pPr>
      <w:r w:rsidRPr="00F73D92">
        <w:rPr>
          <w:rStyle w:val="Refdenotaalpie"/>
          <w:rFonts w:ascii="Verdana" w:hAnsi="Verdana"/>
          <w:sz w:val="16"/>
          <w:szCs w:val="16"/>
        </w:rPr>
        <w:footnoteRef/>
      </w:r>
      <w:r w:rsidRPr="00F73D92">
        <w:rPr>
          <w:rFonts w:ascii="Verdana" w:hAnsi="Verdana"/>
          <w:sz w:val="16"/>
          <w:szCs w:val="16"/>
        </w:rPr>
        <w:t xml:space="preserve"> </w:t>
      </w:r>
      <w:r w:rsidRPr="00F73D92">
        <w:rPr>
          <w:rFonts w:ascii="Verdana" w:hAnsi="Verdana" w:cs="Arial"/>
          <w:color w:val="000000"/>
          <w:sz w:val="16"/>
          <w:szCs w:val="16"/>
        </w:rPr>
        <w:t>Consejo de Estado. Sección Tercera. Sentencia del 1 de febrero de 2018. Radicado Nro.</w:t>
      </w:r>
      <w:r w:rsidRPr="00F73D92">
        <w:rPr>
          <w:rFonts w:ascii="Verdana" w:hAnsi="Verdana" w:cs="Arial"/>
          <w:color w:val="000000"/>
          <w:sz w:val="16"/>
          <w:szCs w:val="16"/>
          <w:lang w:val="es-CO"/>
        </w:rPr>
        <w:t xml:space="preserve"> 08001-2331-000-2010-00987-01</w:t>
      </w:r>
      <w:r w:rsidRPr="00F73D92">
        <w:rPr>
          <w:rFonts w:ascii="Verdana" w:hAnsi="Verdana" w:cs="Arial"/>
          <w:color w:val="000000"/>
          <w:sz w:val="16"/>
          <w:szCs w:val="16"/>
        </w:rPr>
        <w:t xml:space="preserve">. C.P. </w:t>
      </w:r>
      <w:r w:rsidRPr="00F73D92">
        <w:rPr>
          <w:rFonts w:ascii="Verdana" w:hAnsi="Verdana" w:cs="Arial"/>
          <w:color w:val="000000"/>
          <w:sz w:val="16"/>
          <w:szCs w:val="16"/>
          <w:lang w:val="es-CO"/>
        </w:rPr>
        <w:t>Oswaldo Giraldo López</w:t>
      </w:r>
    </w:p>
    <w:p w:rsidRPr="00F73D92" w:rsidR="00FA3EC2" w:rsidP="00FA3EC2" w:rsidRDefault="00FA3EC2" w14:paraId="35F7D8DB" w14:textId="77777777">
      <w:pPr>
        <w:pStyle w:val="Textonotapie"/>
        <w:jc w:val="both"/>
        <w:rPr>
          <w:rFonts w:ascii="Verdana" w:hAnsi="Verdana"/>
          <w:sz w:val="16"/>
          <w:szCs w:val="16"/>
          <w:lang w:val="es-CO"/>
        </w:rPr>
      </w:pPr>
    </w:p>
  </w:footnote>
  <w:footnote w:id="6">
    <w:p w:rsidRPr="00F73D92" w:rsidR="00FA3EC2" w:rsidP="00FA3EC2" w:rsidRDefault="00FA3EC2" w14:paraId="00471A69" w14:textId="77777777">
      <w:pPr>
        <w:pStyle w:val="Textonotapie"/>
        <w:ind w:firstLine="709"/>
        <w:jc w:val="both"/>
        <w:rPr>
          <w:rFonts w:ascii="Verdana" w:hAnsi="Verdana" w:cs="Arial"/>
          <w:sz w:val="16"/>
          <w:szCs w:val="16"/>
          <w:lang w:val="es-CO"/>
        </w:rPr>
      </w:pPr>
      <w:r w:rsidRPr="00F73D92">
        <w:rPr>
          <w:rStyle w:val="Refdenotaalpie"/>
          <w:rFonts w:ascii="Verdana" w:hAnsi="Verdana" w:cs="Arial"/>
          <w:sz w:val="16"/>
          <w:szCs w:val="16"/>
        </w:rPr>
        <w:footnoteRef/>
      </w:r>
      <w:r w:rsidRPr="00F73D92">
        <w:rPr>
          <w:rFonts w:ascii="Verdana" w:hAnsi="Verdana" w:cs="Arial"/>
          <w:sz w:val="16"/>
          <w:szCs w:val="16"/>
        </w:rPr>
        <w:t xml:space="preserve"> </w:t>
      </w:r>
      <w:bookmarkStart w:name="23" w:id="4"/>
      <w:r w:rsidRPr="00F73D92">
        <w:rPr>
          <w:rFonts w:ascii="Verdana" w:hAnsi="Verdana" w:eastAsia="Calibri" w:cs="Arial"/>
          <w:sz w:val="16"/>
          <w:szCs w:val="16"/>
          <w:lang w:val="es-ES_tradnl"/>
        </w:rPr>
        <w:t>«</w:t>
      </w:r>
      <w:r w:rsidRPr="00F73D92">
        <w:rPr>
          <w:rFonts w:ascii="Verdana" w:hAnsi="Verdana" w:cs="Arial"/>
          <w:sz w:val="16"/>
          <w:szCs w:val="16"/>
          <w:lang w:val="es-CO"/>
        </w:rPr>
        <w:t>Artículo 23.</w:t>
      </w:r>
      <w:bookmarkEnd w:id="4"/>
      <w:r w:rsidRPr="00F73D92">
        <w:rPr>
          <w:rFonts w:ascii="Verdana" w:hAnsi="Verdana" w:cs="Arial"/>
          <w:sz w:val="16"/>
          <w:szCs w:val="16"/>
          <w:lang w:val="es-CO"/>
        </w:rPr>
        <w:t xml:space="preserve"> El Confis podrá autorizar la asunción de obligaciones que afecten presupuestos de vigencias futuras cuando su ejecución se inicie con presupuesto de la vigencia en curso y el objeto del compromiso se lleve a cabo en cada una de ellas siempre y cuando se cumpla que:</w:t>
      </w:r>
    </w:p>
    <w:p w:rsidRPr="00F73D92" w:rsidR="00FA3EC2" w:rsidP="00FA3EC2" w:rsidRDefault="00FA3EC2" w14:paraId="42CCE13F" w14:textId="77777777">
      <w:pPr>
        <w:pStyle w:val="Textonotapie"/>
        <w:ind w:firstLine="567"/>
        <w:jc w:val="both"/>
        <w:rPr>
          <w:rFonts w:ascii="Verdana" w:hAnsi="Verdana" w:cs="Arial"/>
          <w:sz w:val="16"/>
          <w:szCs w:val="16"/>
          <w:lang w:val="es-CO"/>
        </w:rPr>
      </w:pPr>
      <w:r w:rsidRPr="00F73D92">
        <w:rPr>
          <w:rFonts w:ascii="Verdana" w:hAnsi="Verdana" w:eastAsia="Calibri" w:cs="Arial"/>
          <w:sz w:val="16"/>
          <w:szCs w:val="16"/>
          <w:lang w:val="es-ES_tradnl"/>
        </w:rPr>
        <w:t>»</w:t>
      </w:r>
      <w:r w:rsidRPr="00F73D92">
        <w:rPr>
          <w:rFonts w:ascii="Verdana" w:hAnsi="Verdana" w:cs="Arial"/>
          <w:sz w:val="16"/>
          <w:szCs w:val="16"/>
          <w:lang w:val="es-CO"/>
        </w:rPr>
        <w:t>a) El monto máximo de vigencias futuras, el plazo y las condiciones de las mismas consulte las metas plurianuales del Marco Fiscal de Mediano Plazo de que trata el artículo </w:t>
      </w:r>
      <w:hyperlink w:history="1" w:anchor="1" r:id="rId1">
        <w:r w:rsidRPr="00F73D92">
          <w:rPr>
            <w:rStyle w:val="Hipervnculo"/>
            <w:rFonts w:ascii="Verdana" w:hAnsi="Verdana" w:cs="Arial"/>
            <w:sz w:val="16"/>
            <w:szCs w:val="16"/>
            <w:lang w:val="es-CO"/>
          </w:rPr>
          <w:t>1</w:t>
        </w:r>
      </w:hyperlink>
      <w:r w:rsidRPr="00F73D92">
        <w:rPr>
          <w:rFonts w:ascii="Verdana" w:hAnsi="Verdana" w:cs="Arial"/>
          <w:sz w:val="16"/>
          <w:szCs w:val="16"/>
          <w:lang w:val="es-CO"/>
        </w:rPr>
        <w:t>o de esta ley;</w:t>
      </w:r>
    </w:p>
    <w:p w:rsidRPr="00F73D92" w:rsidR="00FA3EC2" w:rsidP="00FA3EC2" w:rsidRDefault="00FA3EC2" w14:paraId="48EA0315" w14:textId="77777777">
      <w:pPr>
        <w:pStyle w:val="Textonotapie"/>
        <w:ind w:firstLine="567"/>
        <w:jc w:val="both"/>
        <w:rPr>
          <w:rFonts w:ascii="Verdana" w:hAnsi="Verdana" w:cs="Arial"/>
          <w:sz w:val="16"/>
          <w:szCs w:val="16"/>
          <w:lang w:val="es-CO"/>
        </w:rPr>
      </w:pPr>
      <w:r w:rsidRPr="00F73D92">
        <w:rPr>
          <w:rFonts w:ascii="Verdana" w:hAnsi="Verdana" w:eastAsia="Calibri" w:cs="Arial"/>
          <w:sz w:val="16"/>
          <w:szCs w:val="16"/>
          <w:lang w:val="es-ES_tradnl"/>
        </w:rPr>
        <w:t>»</w:t>
      </w:r>
      <w:r w:rsidRPr="00F73D92">
        <w:rPr>
          <w:rFonts w:ascii="Verdana" w:hAnsi="Verdana" w:cs="Arial"/>
          <w:sz w:val="16"/>
          <w:szCs w:val="16"/>
          <w:lang w:val="es-CO"/>
        </w:rPr>
        <w:t>b) Como mínimo, de las vigencias futuras que se soliciten se deberá contar con apropiación del quince por ciento (15%) en la vigencia fiscal en la que estas sean autorizadas;</w:t>
      </w:r>
    </w:p>
    <w:p w:rsidRPr="00F73D92" w:rsidR="00FA3EC2" w:rsidP="00FA3EC2" w:rsidRDefault="00FA3EC2" w14:paraId="548512A5" w14:textId="77777777">
      <w:pPr>
        <w:pStyle w:val="Textonotapie"/>
        <w:ind w:firstLine="709"/>
        <w:jc w:val="both"/>
        <w:rPr>
          <w:rFonts w:ascii="Verdana" w:hAnsi="Verdana" w:cs="Arial"/>
          <w:sz w:val="16"/>
          <w:szCs w:val="16"/>
          <w:lang w:val="es-CO"/>
        </w:rPr>
      </w:pPr>
      <w:r w:rsidRPr="00F73D92">
        <w:rPr>
          <w:rFonts w:ascii="Verdana" w:hAnsi="Verdana" w:eastAsia="Calibri" w:cs="Arial"/>
          <w:sz w:val="16"/>
          <w:szCs w:val="16"/>
          <w:lang w:val="es-ES_tradnl"/>
        </w:rPr>
        <w:t>»</w:t>
      </w:r>
      <w:r w:rsidRPr="00F73D92">
        <w:rPr>
          <w:rFonts w:ascii="Verdana" w:hAnsi="Verdana" w:cs="Arial"/>
          <w:sz w:val="16"/>
          <w:szCs w:val="16"/>
          <w:lang w:val="es-CO"/>
        </w:rPr>
        <w:t>c) Cuando se trate de proyectos de inversión nacional deberá obtenerse el concepto previo y favorable del Departamento Nacional de Planeación y del Ministerio del ramo.</w:t>
      </w:r>
    </w:p>
    <w:p w:rsidRPr="00F73D92" w:rsidR="00FA3EC2" w:rsidP="00FA3EC2" w:rsidRDefault="00FA3EC2" w14:paraId="102931DD" w14:textId="77777777">
      <w:pPr>
        <w:pStyle w:val="Textonotapie"/>
        <w:jc w:val="both"/>
        <w:rPr>
          <w:rFonts w:ascii="Verdana" w:hAnsi="Verdana" w:cs="Arial"/>
          <w:sz w:val="16"/>
          <w:szCs w:val="16"/>
          <w:lang w:val="es-CO"/>
        </w:rPr>
      </w:pPr>
      <w:r w:rsidRPr="00F73D92">
        <w:rPr>
          <w:rFonts w:ascii="Verdana" w:hAnsi="Verdana" w:cs="Arial"/>
          <w:sz w:val="16"/>
          <w:szCs w:val="16"/>
          <w:lang w:val="es-CO"/>
        </w:rPr>
        <w:t>La autorización por parte del Confis para comprometer presupuesto con cargo a vigencias futuras no podrá superar el respectivo período de gobierno. Se exceptúan los proyectos de gastos de inversión en aquellos casos en que el Conpes previamente los declare de importancia estratégica.</w:t>
      </w:r>
    </w:p>
    <w:p w:rsidRPr="00F73D92" w:rsidR="00FA3EC2" w:rsidP="00FA3EC2" w:rsidRDefault="00FA3EC2" w14:paraId="176AB0AC" w14:textId="77777777">
      <w:pPr>
        <w:pStyle w:val="Textonotapie"/>
        <w:jc w:val="both"/>
        <w:rPr>
          <w:rFonts w:ascii="Verdana" w:hAnsi="Verdana" w:cs="Arial"/>
          <w:sz w:val="16"/>
          <w:szCs w:val="16"/>
          <w:lang w:val="es-CO"/>
        </w:rPr>
      </w:pPr>
      <w:r w:rsidRPr="00F73D92">
        <w:rPr>
          <w:rFonts w:ascii="Verdana" w:hAnsi="Verdana" w:cs="Arial"/>
          <w:sz w:val="16"/>
          <w:szCs w:val="16"/>
          <w:lang w:val="es-CO"/>
        </w:rPr>
        <w:t>Esta disposición también se aplicará a las entidades de que trata el artículo 9o de la presente ley. El Gobierno reglamentará la materia.</w:t>
      </w:r>
    </w:p>
    <w:p w:rsidRPr="00F73D92" w:rsidR="00FA3EC2" w:rsidP="00FA3EC2" w:rsidRDefault="00FA3EC2" w14:paraId="7308719A" w14:textId="77777777">
      <w:pPr>
        <w:pStyle w:val="Textonotapie"/>
        <w:ind w:firstLine="709"/>
        <w:jc w:val="both"/>
        <w:rPr>
          <w:rFonts w:ascii="Verdana" w:hAnsi="Verdana" w:cs="Arial"/>
          <w:sz w:val="16"/>
          <w:szCs w:val="16"/>
          <w:lang w:val="es-CO"/>
        </w:rPr>
      </w:pPr>
      <w:r w:rsidRPr="00F73D92">
        <w:rPr>
          <w:rFonts w:ascii="Verdana" w:hAnsi="Verdana" w:eastAsia="Calibri" w:cs="Arial"/>
          <w:sz w:val="16"/>
          <w:szCs w:val="16"/>
          <w:lang w:val="es-ES_tradnl"/>
        </w:rPr>
        <w:t>»</w:t>
      </w:r>
      <w:r w:rsidRPr="00F73D92">
        <w:rPr>
          <w:rFonts w:ascii="Verdana" w:hAnsi="Verdana" w:cs="Arial"/>
          <w:sz w:val="16"/>
          <w:szCs w:val="16"/>
          <w:lang w:val="es-CO"/>
        </w:rPr>
        <w:t>El Ministerio de Hacienda y Crédito Público, Dirección General del Presupuesto Público Nacional, incluirá en los proyectos de presupuesto las asignaciones necesarias para darle cumplimiento a lo dispuesto en este artículo. […]</w:t>
      </w:r>
      <w:r w:rsidRPr="00F73D92">
        <w:rPr>
          <w:rFonts w:ascii="Verdana" w:hAnsi="Verdana" w:eastAsia="Calibri" w:cs="Arial"/>
          <w:sz w:val="16"/>
          <w:szCs w:val="16"/>
          <w:lang w:val="es-ES_tradnl"/>
        </w:rPr>
        <w:t>»</w:t>
      </w:r>
    </w:p>
  </w:footnote>
  <w:footnote w:id="7">
    <w:p w:rsidRPr="00F73D92" w:rsidR="00FA3EC2" w:rsidP="00FA3EC2" w:rsidRDefault="00FA3EC2" w14:paraId="25FB06DA" w14:textId="77777777">
      <w:pPr>
        <w:pStyle w:val="Textonotapie"/>
        <w:ind w:firstLine="567"/>
        <w:jc w:val="both"/>
        <w:rPr>
          <w:rFonts w:ascii="Verdana" w:hAnsi="Verdana" w:cs="Arial"/>
          <w:sz w:val="16"/>
          <w:szCs w:val="16"/>
          <w:lang w:val="es-CO"/>
        </w:rPr>
      </w:pPr>
      <w:r w:rsidRPr="00F73D92">
        <w:rPr>
          <w:rStyle w:val="Refdenotaalpie"/>
          <w:rFonts w:ascii="Verdana" w:hAnsi="Verdana" w:cs="Arial"/>
          <w:sz w:val="16"/>
          <w:szCs w:val="16"/>
        </w:rPr>
        <w:footnoteRef/>
      </w:r>
      <w:r w:rsidRPr="00F73D92">
        <w:rPr>
          <w:rFonts w:ascii="Verdana" w:hAnsi="Verdana" w:cs="Arial"/>
          <w:sz w:val="16"/>
          <w:szCs w:val="16"/>
        </w:rPr>
        <w:t xml:space="preserve"> Consejo de Estado. Sección Tercera. Sentencia del 1 de febrero de 2018. Radicado Nro. 08001-2331-000-2010-00987-01. C.P. Oswaldo Giraldo López</w:t>
      </w:r>
    </w:p>
  </w:footnote>
  <w:footnote w:id="8">
    <w:p w:rsidRPr="00F73D92" w:rsidR="00097347" w:rsidP="00C67B80" w:rsidRDefault="00097347" w14:paraId="605B1243" w14:textId="3EE076C6">
      <w:pPr>
        <w:pStyle w:val="Textonotapie"/>
        <w:ind w:firstLine="709"/>
        <w:jc w:val="both"/>
        <w:rPr>
          <w:rFonts w:ascii="Verdana" w:hAnsi="Verdana" w:cs="Arial"/>
          <w:b/>
          <w:sz w:val="16"/>
          <w:szCs w:val="16"/>
          <w:lang w:val="es-ES"/>
        </w:rPr>
      </w:pPr>
      <w:r w:rsidRPr="00F73D92">
        <w:rPr>
          <w:rStyle w:val="Refdenotaalpie"/>
          <w:rFonts w:ascii="Verdana" w:hAnsi="Verdana"/>
          <w:sz w:val="16"/>
          <w:szCs w:val="16"/>
        </w:rPr>
        <w:footnoteRef/>
      </w:r>
      <w:r w:rsidRPr="00F73D92">
        <w:rPr>
          <w:rFonts w:ascii="Verdana" w:hAnsi="Verdana"/>
          <w:sz w:val="16"/>
          <w:szCs w:val="16"/>
        </w:rPr>
        <w:t xml:space="preserve"> </w:t>
      </w:r>
      <w:r w:rsidRPr="00F73D92">
        <w:rPr>
          <w:rFonts w:ascii="Verdana" w:hAnsi="Verdana" w:cs="Arial"/>
          <w:sz w:val="16"/>
          <w:szCs w:val="16"/>
        </w:rPr>
        <w:t>Consejo de Estado. Sección Tercera. Sentencia del 1</w:t>
      </w:r>
      <w:r w:rsidRPr="00F73D92" w:rsidR="001548B7">
        <w:rPr>
          <w:rFonts w:ascii="Verdana" w:hAnsi="Verdana" w:cs="Arial"/>
          <w:sz w:val="16"/>
          <w:szCs w:val="16"/>
        </w:rPr>
        <w:t>2 de agosto de 2014</w:t>
      </w:r>
      <w:r w:rsidRPr="00F73D92">
        <w:rPr>
          <w:rFonts w:ascii="Verdana" w:hAnsi="Verdana" w:cs="Arial"/>
          <w:sz w:val="16"/>
          <w:szCs w:val="16"/>
        </w:rPr>
        <w:t xml:space="preserve">. Radicado Nro. </w:t>
      </w:r>
      <w:r w:rsidRPr="00F73D92" w:rsidR="00C67B80">
        <w:rPr>
          <w:rFonts w:ascii="Verdana" w:hAnsi="Verdana" w:cs="Arial"/>
          <w:bCs/>
          <w:sz w:val="16"/>
          <w:szCs w:val="16"/>
          <w:lang w:val="es-ES"/>
        </w:rPr>
        <w:t xml:space="preserve">05001-23-31-000-1998-01350-01(28565) </w:t>
      </w:r>
      <w:r w:rsidRPr="00F73D92">
        <w:rPr>
          <w:rFonts w:ascii="Verdana" w:hAnsi="Verdana" w:cs="Arial"/>
          <w:sz w:val="16"/>
          <w:szCs w:val="16"/>
        </w:rPr>
        <w:t xml:space="preserve">C.P. </w:t>
      </w:r>
      <w:r w:rsidRPr="00F73D92" w:rsidR="00C67B80">
        <w:rPr>
          <w:rFonts w:ascii="Verdana" w:hAnsi="Verdana" w:cs="Arial"/>
          <w:sz w:val="16"/>
          <w:szCs w:val="16"/>
        </w:rPr>
        <w:t>Enrique Gil Botero</w:t>
      </w:r>
    </w:p>
  </w:footnote>
  <w:footnote w:id="9">
    <w:p w:rsidRPr="00F73D92" w:rsidR="00FA3EC2" w:rsidP="00FA3EC2" w:rsidRDefault="00FA3EC2" w14:paraId="2A428DDF" w14:textId="77777777">
      <w:pPr>
        <w:pStyle w:val="Textonotapie"/>
        <w:ind w:firstLine="709"/>
        <w:jc w:val="both"/>
        <w:rPr>
          <w:rFonts w:ascii="Verdana" w:hAnsi="Verdana"/>
          <w:sz w:val="16"/>
          <w:szCs w:val="16"/>
          <w:lang w:val="es-CO"/>
        </w:rPr>
      </w:pPr>
      <w:r w:rsidRPr="00F73D92">
        <w:rPr>
          <w:rStyle w:val="Refdenotaalpie"/>
          <w:rFonts w:ascii="Verdana" w:hAnsi="Verdana"/>
          <w:sz w:val="16"/>
          <w:szCs w:val="16"/>
        </w:rPr>
        <w:footnoteRef/>
      </w:r>
      <w:r w:rsidRPr="00F73D92">
        <w:rPr>
          <w:rFonts w:ascii="Verdana" w:hAnsi="Verdana"/>
          <w:sz w:val="16"/>
          <w:szCs w:val="16"/>
        </w:rPr>
        <w:t xml:space="preserve"> </w:t>
      </w:r>
      <w:r w:rsidRPr="00F73D92">
        <w:rPr>
          <w:rFonts w:ascii="Verdana" w:hAnsi="Verdana" w:cs="Arial"/>
          <w:sz w:val="16"/>
          <w:szCs w:val="16"/>
        </w:rPr>
        <w:t xml:space="preserve">Conforme al Artículo 89 del </w:t>
      </w:r>
      <w:r w:rsidRPr="00F73D92">
        <w:rPr>
          <w:rFonts w:ascii="Verdana" w:hAnsi="Verdana" w:eastAsia="Calibri" w:cs="Arial"/>
          <w:color w:val="000000" w:themeColor="text1"/>
          <w:sz w:val="16"/>
          <w:szCs w:val="16"/>
          <w:lang w:val="es-ES"/>
        </w:rPr>
        <w:t>Estatuto Orgánico del Presupuesto</w:t>
      </w:r>
      <w:r w:rsidRPr="00F73D92">
        <w:rPr>
          <w:rFonts w:ascii="Verdana" w:hAnsi="Verdana" w:eastAsia="Times New Roman" w:cs="Arial"/>
          <w:color w:val="4B4949"/>
          <w:sz w:val="16"/>
          <w:szCs w:val="16"/>
          <w:lang w:val="es-CO" w:eastAsia="es-ES_tradnl"/>
        </w:rPr>
        <w:t xml:space="preserve"> </w:t>
      </w:r>
      <w:r w:rsidRPr="00F73D92">
        <w:rPr>
          <w:rFonts w:ascii="Verdana" w:hAnsi="Verdana" w:eastAsia="Calibri" w:cs="Arial"/>
          <w:sz w:val="16"/>
          <w:szCs w:val="16"/>
          <w:lang w:val="es-ES_tradnl"/>
        </w:rPr>
        <w:t xml:space="preserve">«[…] </w:t>
      </w:r>
      <w:r w:rsidRPr="00F73D92">
        <w:rPr>
          <w:rFonts w:ascii="Verdana" w:hAnsi="Verdana" w:eastAsia="Times New Roman" w:cs="Arial"/>
          <w:color w:val="4B4949"/>
          <w:sz w:val="16"/>
          <w:szCs w:val="16"/>
          <w:lang w:val="es-CO" w:eastAsia="es-ES_tradnl"/>
        </w:rPr>
        <w:t>c</w:t>
      </w:r>
      <w:r w:rsidRPr="00F73D92">
        <w:rPr>
          <w:rFonts w:ascii="Verdana" w:hAnsi="Verdana" w:eastAsia="Calibri" w:cs="Arial"/>
          <w:color w:val="000000" w:themeColor="text1"/>
          <w:sz w:val="16"/>
          <w:szCs w:val="16"/>
          <w:lang w:val="es-CO"/>
        </w:rPr>
        <w:t>ada órgano constituirá al 31 de diciembre del año cuentas por pagar con las obligaciones correspondientes a los anticipos pactados en los contratos y a la entrega de bienes y servicios</w:t>
      </w:r>
      <w:r w:rsidRPr="00F73D92">
        <w:rPr>
          <w:rFonts w:ascii="Verdana" w:hAnsi="Verdana" w:eastAsia="Calibri" w:cs="Arial"/>
          <w:sz w:val="16"/>
          <w:szCs w:val="16"/>
          <w:lang w:val="es-ES_tradnl"/>
        </w:rPr>
        <w:t>»</w:t>
      </w:r>
      <w:r w:rsidRPr="00F73D92">
        <w:rPr>
          <w:rFonts w:ascii="Verdana" w:hAnsi="Verdana" w:eastAsia="Calibri" w:cs="Arial"/>
          <w:color w:val="000000" w:themeColor="text1"/>
          <w:sz w:val="16"/>
          <w:szCs w:val="16"/>
          <w:lang w:val="es-CO"/>
        </w:rPr>
        <w:t>.</w:t>
      </w:r>
    </w:p>
  </w:footnote>
  <w:footnote w:id="10">
    <w:p w:rsidRPr="00F73D92" w:rsidR="00FA3EC2" w:rsidP="00FA3EC2" w:rsidRDefault="00FA3EC2" w14:paraId="56497216" w14:textId="77777777">
      <w:pPr>
        <w:pStyle w:val="Textonotapie"/>
        <w:ind w:firstLine="709"/>
        <w:jc w:val="both"/>
        <w:rPr>
          <w:rFonts w:ascii="Verdana" w:hAnsi="Verdana" w:cs="Arial"/>
          <w:sz w:val="16"/>
          <w:szCs w:val="16"/>
          <w:lang w:val="es-CO"/>
        </w:rPr>
      </w:pPr>
      <w:r w:rsidRPr="00F73D92">
        <w:rPr>
          <w:rStyle w:val="Refdenotaalpie"/>
          <w:rFonts w:ascii="Verdana" w:hAnsi="Verdana"/>
          <w:sz w:val="16"/>
          <w:szCs w:val="16"/>
        </w:rPr>
        <w:footnoteRef/>
      </w:r>
      <w:r w:rsidRPr="00F73D92">
        <w:rPr>
          <w:rFonts w:ascii="Verdana" w:hAnsi="Verdana"/>
          <w:sz w:val="16"/>
          <w:szCs w:val="16"/>
        </w:rPr>
        <w:t xml:space="preserve"> </w:t>
      </w:r>
      <w:r w:rsidRPr="00F73D92">
        <w:rPr>
          <w:rFonts w:ascii="Verdana" w:hAnsi="Verdana" w:eastAsia="Calibri" w:cs="Arial"/>
          <w:color w:val="000000" w:themeColor="text1"/>
          <w:sz w:val="16"/>
          <w:szCs w:val="16"/>
          <w:lang w:val="es-ES"/>
        </w:rPr>
        <w:t>Artículo 89 del Estatuto Orgánico del Presupuesto</w:t>
      </w:r>
    </w:p>
  </w:footnote>
  <w:footnote w:id="11">
    <w:p w:rsidRPr="00F73D92" w:rsidR="00FA3EC2" w:rsidP="00FA3EC2" w:rsidRDefault="00FA3EC2" w14:paraId="5AAA9A2C" w14:textId="77777777">
      <w:pPr>
        <w:pStyle w:val="Textonotapie"/>
        <w:ind w:firstLine="709"/>
        <w:jc w:val="both"/>
        <w:rPr>
          <w:rFonts w:ascii="Verdana" w:hAnsi="Verdana"/>
          <w:sz w:val="16"/>
          <w:szCs w:val="16"/>
          <w:lang w:val="es-CO"/>
        </w:rPr>
      </w:pPr>
      <w:r w:rsidRPr="00F73D92">
        <w:rPr>
          <w:rStyle w:val="Refdenotaalpie"/>
          <w:rFonts w:ascii="Verdana" w:hAnsi="Verdana"/>
          <w:sz w:val="16"/>
          <w:szCs w:val="16"/>
        </w:rPr>
        <w:footnoteRef/>
      </w:r>
      <w:r w:rsidRPr="00F73D92">
        <w:rPr>
          <w:rFonts w:ascii="Verdana" w:hAnsi="Verdana"/>
          <w:sz w:val="16"/>
          <w:szCs w:val="16"/>
        </w:rPr>
        <w:t xml:space="preserve"> </w:t>
      </w:r>
      <w:r w:rsidRPr="00F73D92">
        <w:rPr>
          <w:rFonts w:ascii="Verdana" w:hAnsi="Verdana" w:eastAsia="Calibri" w:cs="Arial"/>
          <w:sz w:val="16"/>
          <w:szCs w:val="16"/>
          <w:lang w:val="es-ES_tradnl"/>
        </w:rPr>
        <w:t>«</w:t>
      </w:r>
      <w:r w:rsidRPr="00F73D92">
        <w:rPr>
          <w:rFonts w:ascii="Verdana" w:hAnsi="Verdana" w:cs="Arial"/>
          <w:sz w:val="16"/>
          <w:szCs w:val="16"/>
          <w:lang w:val="es-CO"/>
        </w:rPr>
        <w:t>Artículo </w:t>
      </w:r>
      <w:bookmarkStart w:name="2.8.1.7.3.2" w:id="6"/>
      <w:bookmarkEnd w:id="6"/>
      <w:r w:rsidRPr="00F73D92">
        <w:rPr>
          <w:rFonts w:ascii="Verdana" w:hAnsi="Verdana" w:cs="Arial"/>
          <w:sz w:val="16"/>
          <w:szCs w:val="16"/>
          <w:lang w:val="es-CO"/>
        </w:rPr>
        <w:t>2.8.1.7.3.2. </w:t>
      </w:r>
      <w:r w:rsidRPr="00F73D92">
        <w:rPr>
          <w:rFonts w:ascii="Verdana" w:hAnsi="Verdana" w:cs="Arial"/>
          <w:i/>
          <w:iCs/>
          <w:sz w:val="16"/>
          <w:szCs w:val="16"/>
          <w:lang w:val="es-CO"/>
        </w:rPr>
        <w:t>Constitución de reservas presupuestales y cuentas por pagar. </w:t>
      </w:r>
      <w:r w:rsidRPr="00F73D92">
        <w:rPr>
          <w:rFonts w:ascii="Verdana" w:hAnsi="Verdana" w:cs="Arial"/>
          <w:sz w:val="16"/>
          <w:szCs w:val="16"/>
          <w:lang w:val="es-CO"/>
        </w:rPr>
        <w:t>A más tardar el 20 de enero de cada año, los órganos que conforman el Presupuesto General de la Nación constituirán las reservas presupuestales y cuentas por pagar de la respectiva sección presupuestal correspondientes a la vigencia fiscal anterior, de conformidad con los saldos registrados a 31 de diciembre a través del Sistema Integrado de Información Financiera SIIF Nación. En dicho plazo, solo se podrán efectuar los ajustes a que haya lugar para la constitución de las reserves presupuestales y de las cuentas por pagar, sin que en ningún caso se puedan registrar nuevos compromisos ni obligaciones</w:t>
      </w:r>
      <w:r w:rsidRPr="00F73D92">
        <w:rPr>
          <w:rFonts w:ascii="Verdana" w:hAnsi="Verdana" w:eastAsia="Calibri" w:cs="Arial"/>
          <w:sz w:val="16"/>
          <w:szCs w:val="16"/>
          <w:lang w:val="es-ES_tradnl"/>
        </w:rPr>
        <w:t>»</w:t>
      </w:r>
      <w:r w:rsidRPr="00F73D92">
        <w:rPr>
          <w:rFonts w:ascii="Verdana" w:hAnsi="Verdana" w:cs="Arial"/>
          <w:sz w:val="16"/>
          <w:szCs w:val="16"/>
          <w:lang w:val="es-CO"/>
        </w:rPr>
        <w:t>.</w:t>
      </w:r>
    </w:p>
  </w:footnote>
  <w:footnote w:id="12">
    <w:p w:rsidRPr="00F73D92" w:rsidR="00FA3EC2" w:rsidP="00FA3EC2" w:rsidRDefault="00FA3EC2" w14:paraId="2B92AEBE" w14:textId="77777777">
      <w:pPr>
        <w:pStyle w:val="Textonotapie"/>
        <w:ind w:firstLine="709"/>
        <w:jc w:val="both"/>
        <w:rPr>
          <w:rFonts w:ascii="Verdana" w:hAnsi="Verdana" w:cs="Arial"/>
          <w:sz w:val="16"/>
          <w:szCs w:val="16"/>
          <w:lang w:val="es-CO"/>
        </w:rPr>
      </w:pPr>
      <w:r w:rsidRPr="00F73D92">
        <w:rPr>
          <w:rStyle w:val="Refdenotaalpie"/>
          <w:rFonts w:ascii="Verdana" w:hAnsi="Verdana" w:cs="Arial"/>
          <w:sz w:val="16"/>
          <w:szCs w:val="16"/>
        </w:rPr>
        <w:footnoteRef/>
      </w:r>
      <w:r w:rsidRPr="00F73D92">
        <w:rPr>
          <w:rFonts w:ascii="Verdana" w:hAnsi="Verdana" w:cs="Arial"/>
          <w:sz w:val="16"/>
          <w:szCs w:val="16"/>
        </w:rPr>
        <w:t xml:space="preserve"> </w:t>
      </w:r>
      <w:r w:rsidRPr="00F73D92">
        <w:rPr>
          <w:rFonts w:ascii="Verdana" w:hAnsi="Verdana" w:cs="Arial"/>
          <w:sz w:val="16"/>
          <w:szCs w:val="16"/>
          <w:lang w:val="es-CO"/>
        </w:rPr>
        <w:t xml:space="preserve">Contraloría General de la República. Circular Externa 43 de 2008 </w:t>
      </w:r>
    </w:p>
    <w:p w:rsidRPr="00F73D92" w:rsidR="00FA3EC2" w:rsidP="00FA3EC2" w:rsidRDefault="00FA3EC2" w14:paraId="35468784" w14:textId="77777777">
      <w:pPr>
        <w:pStyle w:val="Textonotapie"/>
        <w:ind w:firstLine="709"/>
        <w:jc w:val="both"/>
        <w:rPr>
          <w:rFonts w:ascii="Verdana" w:hAnsi="Verdana" w:cs="Arial"/>
          <w:sz w:val="16"/>
          <w:szCs w:val="16"/>
          <w:lang w:val="es-CO"/>
        </w:rPr>
      </w:pPr>
    </w:p>
  </w:footnote>
  <w:footnote w:id="13">
    <w:p w:rsidRPr="00F73D92" w:rsidR="00FA3EC2" w:rsidP="00FA3EC2" w:rsidRDefault="00FA3EC2" w14:paraId="6DC99A48" w14:textId="77777777">
      <w:pPr>
        <w:pStyle w:val="Textonotapie"/>
        <w:ind w:right="49" w:firstLine="708"/>
        <w:jc w:val="both"/>
        <w:rPr>
          <w:rFonts w:ascii="Verdana" w:hAnsi="Verdana" w:cs="Arial"/>
          <w:color w:val="000000"/>
          <w:sz w:val="16"/>
          <w:szCs w:val="16"/>
        </w:rPr>
      </w:pPr>
      <w:r w:rsidRPr="00F73D92">
        <w:rPr>
          <w:rStyle w:val="Refdenotaalpie"/>
          <w:rFonts w:ascii="Verdana" w:hAnsi="Verdana"/>
          <w:sz w:val="16"/>
          <w:szCs w:val="16"/>
        </w:rPr>
        <w:footnoteRef/>
      </w:r>
      <w:r w:rsidRPr="00F73D92">
        <w:rPr>
          <w:rFonts w:ascii="Verdana" w:hAnsi="Verdana"/>
          <w:sz w:val="16"/>
          <w:szCs w:val="16"/>
        </w:rPr>
        <w:t xml:space="preserve"> </w:t>
      </w:r>
      <w:r w:rsidRPr="00F73D92">
        <w:rPr>
          <w:rFonts w:ascii="Verdana" w:hAnsi="Verdana" w:cs="Arial"/>
          <w:color w:val="000000"/>
          <w:sz w:val="16"/>
          <w:szCs w:val="16"/>
        </w:rPr>
        <w:t>Consejo de Estado. Sección Tercera. Sentencia del 1 de febrero de 2018. Radicado Nro.</w:t>
      </w:r>
      <w:r w:rsidRPr="00F73D92">
        <w:rPr>
          <w:rFonts w:ascii="Verdana" w:hAnsi="Verdana" w:cs="Arial"/>
          <w:color w:val="000000"/>
          <w:sz w:val="16"/>
          <w:szCs w:val="16"/>
          <w:lang w:val="es-CO"/>
        </w:rPr>
        <w:t xml:space="preserve"> 08001-2331-000-2010-00987-01</w:t>
      </w:r>
      <w:r w:rsidRPr="00F73D92">
        <w:rPr>
          <w:rFonts w:ascii="Verdana" w:hAnsi="Verdana" w:cs="Arial"/>
          <w:color w:val="000000"/>
          <w:sz w:val="16"/>
          <w:szCs w:val="16"/>
        </w:rPr>
        <w:t xml:space="preserve">. C.P. </w:t>
      </w:r>
      <w:r w:rsidRPr="00F73D92">
        <w:rPr>
          <w:rFonts w:ascii="Verdana" w:hAnsi="Verdana" w:cs="Arial"/>
          <w:color w:val="000000"/>
          <w:sz w:val="16"/>
          <w:szCs w:val="16"/>
          <w:lang w:val="es-CO"/>
        </w:rPr>
        <w:t>Oswaldo Giraldo López</w:t>
      </w:r>
    </w:p>
    <w:p w:rsidRPr="00F73D92" w:rsidR="00FA3EC2" w:rsidP="00FA3EC2" w:rsidRDefault="00FA3EC2" w14:paraId="6A30B95C" w14:textId="77777777">
      <w:pPr>
        <w:pStyle w:val="Textonotapie"/>
        <w:jc w:val="both"/>
        <w:rPr>
          <w:rFonts w:ascii="Verdana" w:hAnsi="Verdana"/>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06F59" w:rsidP="00006F59" w:rsidRDefault="00006F59" w14:paraId="5F149BFF" w14:textId="77777777">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006F59" w:rsidP="00006F59" w:rsidRDefault="00006F59" w14:paraId="34B171C2" w14:textId="77777777">
    <w:pPr>
      <w:pStyle w:val="Encabezado"/>
      <w:jc w:val="center"/>
    </w:pPr>
  </w:p>
  <w:p w:rsidR="00006F59" w:rsidP="00006F59" w:rsidRDefault="00006F59" w14:paraId="1665FD71" w14:textId="77777777">
    <w:pPr>
      <w:pStyle w:val="Encabezado"/>
    </w:pPr>
  </w:p>
  <w:p w:rsidR="00006F59" w:rsidP="00006F59" w:rsidRDefault="00006F59" w14:paraId="61B882FC" w14:textId="77777777">
    <w:pPr>
      <w:spacing w:after="0"/>
      <w:rPr>
        <w:rFonts w:ascii="Verdana" w:hAnsi="Verdana"/>
        <w:b/>
        <w:bCs/>
        <w:sz w:val="24"/>
        <w:szCs w:val="24"/>
      </w:rPr>
    </w:pPr>
  </w:p>
  <w:p w:rsidRPr="00A211EE" w:rsidR="00006F59" w:rsidP="001918F1" w:rsidRDefault="00006F59" w14:paraId="701A9D55" w14:textId="29EB49FC">
    <w:pPr>
      <w:tabs>
        <w:tab w:val="left" w:pos="6217"/>
      </w:tabs>
      <w:spacing w:after="0"/>
      <w:rPr>
        <w:rFonts w:ascii="Verdana" w:hAnsi="Verdana"/>
        <w:b/>
        <w:bCs/>
        <w:sz w:val="24"/>
        <w:szCs w:val="24"/>
      </w:rPr>
    </w:pPr>
    <w:r w:rsidRPr="00A211EE">
      <w:rPr>
        <w:rFonts w:ascii="Verdana" w:hAnsi="Verdana"/>
        <w:b/>
        <w:bCs/>
        <w:sz w:val="24"/>
        <w:szCs w:val="24"/>
      </w:rPr>
      <w:t>FORMATO PQRSD</w:t>
    </w:r>
  </w:p>
  <w:p w:rsidRPr="00006F59" w:rsidR="00B30448" w:rsidP="00006F59" w:rsidRDefault="00B30448" w14:paraId="68E0C024" w14:textId="62811F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FB293F"/>
    <w:multiLevelType w:val="multilevel"/>
    <w:tmpl w:val="056449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9D63F5"/>
    <w:multiLevelType w:val="hybridMultilevel"/>
    <w:tmpl w:val="F538EEB4"/>
    <w:lvl w:ilvl="0" w:tplc="DB68C6FA">
      <w:numFmt w:val="bullet"/>
      <w:lvlText w:val="-"/>
      <w:lvlJc w:val="left"/>
      <w:pPr>
        <w:ind w:left="1069" w:hanging="360"/>
      </w:pPr>
      <w:rPr>
        <w:rFonts w:hint="default" w:ascii="Verdana" w:hAnsi="Verdana" w:eastAsia="Calibri" w:cs="Aria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3"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num w:numId="1" w16cid:durableId="1330140246">
    <w:abstractNumId w:val="0"/>
  </w:num>
  <w:num w:numId="2" w16cid:durableId="1492209491">
    <w:abstractNumId w:val="3"/>
  </w:num>
  <w:num w:numId="3" w16cid:durableId="679089576">
    <w:abstractNumId w:val="4"/>
  </w:num>
  <w:num w:numId="4" w16cid:durableId="893472101">
    <w:abstractNumId w:val="2"/>
  </w:num>
  <w:num w:numId="5" w16cid:durableId="12092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6F59"/>
    <w:rsid w:val="0001025F"/>
    <w:rsid w:val="0001155E"/>
    <w:rsid w:val="00011613"/>
    <w:rsid w:val="0001222D"/>
    <w:rsid w:val="00013B3F"/>
    <w:rsid w:val="00013BEC"/>
    <w:rsid w:val="00016280"/>
    <w:rsid w:val="00016F04"/>
    <w:rsid w:val="000219D1"/>
    <w:rsid w:val="00021C3A"/>
    <w:rsid w:val="0002202D"/>
    <w:rsid w:val="000267DD"/>
    <w:rsid w:val="00030B3D"/>
    <w:rsid w:val="00030BFB"/>
    <w:rsid w:val="00031EAF"/>
    <w:rsid w:val="00033390"/>
    <w:rsid w:val="000361EA"/>
    <w:rsid w:val="000369C0"/>
    <w:rsid w:val="00037A8B"/>
    <w:rsid w:val="000408AD"/>
    <w:rsid w:val="00041469"/>
    <w:rsid w:val="00042B71"/>
    <w:rsid w:val="00042DD7"/>
    <w:rsid w:val="000442CC"/>
    <w:rsid w:val="00044B24"/>
    <w:rsid w:val="00050C95"/>
    <w:rsid w:val="00050CAD"/>
    <w:rsid w:val="000526A8"/>
    <w:rsid w:val="00053626"/>
    <w:rsid w:val="0005420B"/>
    <w:rsid w:val="0005620B"/>
    <w:rsid w:val="00057392"/>
    <w:rsid w:val="000577D3"/>
    <w:rsid w:val="00057963"/>
    <w:rsid w:val="000579AB"/>
    <w:rsid w:val="0006223F"/>
    <w:rsid w:val="000622B9"/>
    <w:rsid w:val="00064721"/>
    <w:rsid w:val="00065C6D"/>
    <w:rsid w:val="00066646"/>
    <w:rsid w:val="00066A9F"/>
    <w:rsid w:val="00066C7A"/>
    <w:rsid w:val="000716AB"/>
    <w:rsid w:val="00071AB8"/>
    <w:rsid w:val="0007243A"/>
    <w:rsid w:val="000762C0"/>
    <w:rsid w:val="00076C2B"/>
    <w:rsid w:val="00076F81"/>
    <w:rsid w:val="00080D93"/>
    <w:rsid w:val="00087073"/>
    <w:rsid w:val="000878E7"/>
    <w:rsid w:val="00087C01"/>
    <w:rsid w:val="0009000D"/>
    <w:rsid w:val="000903E4"/>
    <w:rsid w:val="00091D73"/>
    <w:rsid w:val="000933BC"/>
    <w:rsid w:val="000934C3"/>
    <w:rsid w:val="00093544"/>
    <w:rsid w:val="00094663"/>
    <w:rsid w:val="00095410"/>
    <w:rsid w:val="00096637"/>
    <w:rsid w:val="00097347"/>
    <w:rsid w:val="000A1F38"/>
    <w:rsid w:val="000A2030"/>
    <w:rsid w:val="000A413A"/>
    <w:rsid w:val="000A5356"/>
    <w:rsid w:val="000B1FF7"/>
    <w:rsid w:val="000B2529"/>
    <w:rsid w:val="000B2B7C"/>
    <w:rsid w:val="000B381D"/>
    <w:rsid w:val="000B4024"/>
    <w:rsid w:val="000C02AD"/>
    <w:rsid w:val="000C060A"/>
    <w:rsid w:val="000C09DF"/>
    <w:rsid w:val="000C0AA8"/>
    <w:rsid w:val="000C42A9"/>
    <w:rsid w:val="000C557B"/>
    <w:rsid w:val="000C5F29"/>
    <w:rsid w:val="000D0372"/>
    <w:rsid w:val="000D2914"/>
    <w:rsid w:val="000D3A1B"/>
    <w:rsid w:val="000D570C"/>
    <w:rsid w:val="000D5A0F"/>
    <w:rsid w:val="000D5B1E"/>
    <w:rsid w:val="000D5E3F"/>
    <w:rsid w:val="000D6532"/>
    <w:rsid w:val="000E0622"/>
    <w:rsid w:val="000E1D6F"/>
    <w:rsid w:val="000E3381"/>
    <w:rsid w:val="000E3744"/>
    <w:rsid w:val="000E3CD9"/>
    <w:rsid w:val="000F0144"/>
    <w:rsid w:val="000F0807"/>
    <w:rsid w:val="000F10B6"/>
    <w:rsid w:val="000F1AD8"/>
    <w:rsid w:val="000F2F4C"/>
    <w:rsid w:val="000F38D9"/>
    <w:rsid w:val="000F414C"/>
    <w:rsid w:val="000F64FC"/>
    <w:rsid w:val="000F718E"/>
    <w:rsid w:val="00100207"/>
    <w:rsid w:val="001010D3"/>
    <w:rsid w:val="00101C11"/>
    <w:rsid w:val="00102F4F"/>
    <w:rsid w:val="00103421"/>
    <w:rsid w:val="001034DD"/>
    <w:rsid w:val="0011037E"/>
    <w:rsid w:val="00110F73"/>
    <w:rsid w:val="00111E35"/>
    <w:rsid w:val="001128B4"/>
    <w:rsid w:val="00112EBD"/>
    <w:rsid w:val="001132C2"/>
    <w:rsid w:val="00113AF2"/>
    <w:rsid w:val="00116616"/>
    <w:rsid w:val="00116FC5"/>
    <w:rsid w:val="00117BBD"/>
    <w:rsid w:val="001248AB"/>
    <w:rsid w:val="00124B2E"/>
    <w:rsid w:val="00125D81"/>
    <w:rsid w:val="0012611D"/>
    <w:rsid w:val="0012661F"/>
    <w:rsid w:val="001269B0"/>
    <w:rsid w:val="00127D5B"/>
    <w:rsid w:val="00131A1F"/>
    <w:rsid w:val="00131A66"/>
    <w:rsid w:val="0013343F"/>
    <w:rsid w:val="001344F9"/>
    <w:rsid w:val="00135F76"/>
    <w:rsid w:val="001363C7"/>
    <w:rsid w:val="00136E87"/>
    <w:rsid w:val="00140793"/>
    <w:rsid w:val="001422BD"/>
    <w:rsid w:val="0014286D"/>
    <w:rsid w:val="00143B8E"/>
    <w:rsid w:val="00143F21"/>
    <w:rsid w:val="0014420C"/>
    <w:rsid w:val="001446C3"/>
    <w:rsid w:val="00151465"/>
    <w:rsid w:val="00151AD8"/>
    <w:rsid w:val="00153287"/>
    <w:rsid w:val="00153C33"/>
    <w:rsid w:val="001548B7"/>
    <w:rsid w:val="00154CD5"/>
    <w:rsid w:val="00155EF1"/>
    <w:rsid w:val="00156192"/>
    <w:rsid w:val="00156E57"/>
    <w:rsid w:val="0015710D"/>
    <w:rsid w:val="00157DEB"/>
    <w:rsid w:val="00161171"/>
    <w:rsid w:val="00161847"/>
    <w:rsid w:val="00161E13"/>
    <w:rsid w:val="00162B8D"/>
    <w:rsid w:val="00164803"/>
    <w:rsid w:val="00164AE0"/>
    <w:rsid w:val="0016646A"/>
    <w:rsid w:val="00167C43"/>
    <w:rsid w:val="0017120C"/>
    <w:rsid w:val="00172C96"/>
    <w:rsid w:val="00172DDC"/>
    <w:rsid w:val="00172F3A"/>
    <w:rsid w:val="00173477"/>
    <w:rsid w:val="0017414F"/>
    <w:rsid w:val="00174636"/>
    <w:rsid w:val="00174BD8"/>
    <w:rsid w:val="001752B9"/>
    <w:rsid w:val="0017667E"/>
    <w:rsid w:val="00176AE8"/>
    <w:rsid w:val="00177E95"/>
    <w:rsid w:val="001811FC"/>
    <w:rsid w:val="00183F50"/>
    <w:rsid w:val="00186037"/>
    <w:rsid w:val="00186D14"/>
    <w:rsid w:val="001918F1"/>
    <w:rsid w:val="0019196E"/>
    <w:rsid w:val="00191FF5"/>
    <w:rsid w:val="001926D7"/>
    <w:rsid w:val="00192CCE"/>
    <w:rsid w:val="00192FE9"/>
    <w:rsid w:val="0019385B"/>
    <w:rsid w:val="00193F1C"/>
    <w:rsid w:val="00196131"/>
    <w:rsid w:val="00197205"/>
    <w:rsid w:val="001A2D8F"/>
    <w:rsid w:val="001A3D89"/>
    <w:rsid w:val="001A3F68"/>
    <w:rsid w:val="001A54DA"/>
    <w:rsid w:val="001A6861"/>
    <w:rsid w:val="001B143B"/>
    <w:rsid w:val="001B1777"/>
    <w:rsid w:val="001B19C5"/>
    <w:rsid w:val="001B1B6D"/>
    <w:rsid w:val="001B1C93"/>
    <w:rsid w:val="001B21CA"/>
    <w:rsid w:val="001B47A4"/>
    <w:rsid w:val="001B5A00"/>
    <w:rsid w:val="001B5F59"/>
    <w:rsid w:val="001B63A7"/>
    <w:rsid w:val="001B6EBF"/>
    <w:rsid w:val="001C1074"/>
    <w:rsid w:val="001C25F5"/>
    <w:rsid w:val="001C4249"/>
    <w:rsid w:val="001C6573"/>
    <w:rsid w:val="001C6785"/>
    <w:rsid w:val="001C7D03"/>
    <w:rsid w:val="001D0D32"/>
    <w:rsid w:val="001D17C9"/>
    <w:rsid w:val="001D1AB9"/>
    <w:rsid w:val="001D3795"/>
    <w:rsid w:val="001D4006"/>
    <w:rsid w:val="001D54BD"/>
    <w:rsid w:val="001D626E"/>
    <w:rsid w:val="001D733B"/>
    <w:rsid w:val="001E0902"/>
    <w:rsid w:val="001E1801"/>
    <w:rsid w:val="001E3A17"/>
    <w:rsid w:val="001E3FCB"/>
    <w:rsid w:val="001E6BCB"/>
    <w:rsid w:val="001E7FBC"/>
    <w:rsid w:val="001F0822"/>
    <w:rsid w:val="001F15F6"/>
    <w:rsid w:val="001F179C"/>
    <w:rsid w:val="001F228B"/>
    <w:rsid w:val="001F2649"/>
    <w:rsid w:val="001F3496"/>
    <w:rsid w:val="001F41CA"/>
    <w:rsid w:val="001F4355"/>
    <w:rsid w:val="001F61DE"/>
    <w:rsid w:val="002000AA"/>
    <w:rsid w:val="0020302A"/>
    <w:rsid w:val="002032A0"/>
    <w:rsid w:val="00203532"/>
    <w:rsid w:val="00204106"/>
    <w:rsid w:val="00204109"/>
    <w:rsid w:val="002059E3"/>
    <w:rsid w:val="00212390"/>
    <w:rsid w:val="00212897"/>
    <w:rsid w:val="0021386A"/>
    <w:rsid w:val="00215516"/>
    <w:rsid w:val="00216EFA"/>
    <w:rsid w:val="0021798E"/>
    <w:rsid w:val="0022180C"/>
    <w:rsid w:val="002221CD"/>
    <w:rsid w:val="002225AB"/>
    <w:rsid w:val="002250D1"/>
    <w:rsid w:val="002267D2"/>
    <w:rsid w:val="00230839"/>
    <w:rsid w:val="00232178"/>
    <w:rsid w:val="00232D12"/>
    <w:rsid w:val="002353E3"/>
    <w:rsid w:val="00235F30"/>
    <w:rsid w:val="00236287"/>
    <w:rsid w:val="002407CE"/>
    <w:rsid w:val="00243A38"/>
    <w:rsid w:val="0024474F"/>
    <w:rsid w:val="002450F2"/>
    <w:rsid w:val="00245B7F"/>
    <w:rsid w:val="002469C2"/>
    <w:rsid w:val="00247BDE"/>
    <w:rsid w:val="002514FA"/>
    <w:rsid w:val="002521BD"/>
    <w:rsid w:val="00252503"/>
    <w:rsid w:val="00252ED7"/>
    <w:rsid w:val="00254A7A"/>
    <w:rsid w:val="00254EA4"/>
    <w:rsid w:val="0025575F"/>
    <w:rsid w:val="002571E3"/>
    <w:rsid w:val="00260496"/>
    <w:rsid w:val="00260542"/>
    <w:rsid w:val="00261651"/>
    <w:rsid w:val="00264C7C"/>
    <w:rsid w:val="00270443"/>
    <w:rsid w:val="00270EE2"/>
    <w:rsid w:val="00272A7B"/>
    <w:rsid w:val="00273527"/>
    <w:rsid w:val="002747EF"/>
    <w:rsid w:val="00274B06"/>
    <w:rsid w:val="002769AE"/>
    <w:rsid w:val="00285237"/>
    <w:rsid w:val="00285E3F"/>
    <w:rsid w:val="00286BFE"/>
    <w:rsid w:val="00286C81"/>
    <w:rsid w:val="0028709F"/>
    <w:rsid w:val="00290119"/>
    <w:rsid w:val="002908F8"/>
    <w:rsid w:val="00295002"/>
    <w:rsid w:val="002971F2"/>
    <w:rsid w:val="00297785"/>
    <w:rsid w:val="002A0444"/>
    <w:rsid w:val="002A0F8D"/>
    <w:rsid w:val="002A264B"/>
    <w:rsid w:val="002A4B33"/>
    <w:rsid w:val="002A5311"/>
    <w:rsid w:val="002B05D1"/>
    <w:rsid w:val="002B1933"/>
    <w:rsid w:val="002B20BD"/>
    <w:rsid w:val="002B3A46"/>
    <w:rsid w:val="002B3F1C"/>
    <w:rsid w:val="002B4EF4"/>
    <w:rsid w:val="002B6CA2"/>
    <w:rsid w:val="002B6E44"/>
    <w:rsid w:val="002B726F"/>
    <w:rsid w:val="002B7A68"/>
    <w:rsid w:val="002C103C"/>
    <w:rsid w:val="002C10B3"/>
    <w:rsid w:val="002C12C7"/>
    <w:rsid w:val="002C30F0"/>
    <w:rsid w:val="002C3E53"/>
    <w:rsid w:val="002C401A"/>
    <w:rsid w:val="002C6D15"/>
    <w:rsid w:val="002C7E5B"/>
    <w:rsid w:val="002D0907"/>
    <w:rsid w:val="002D0E9E"/>
    <w:rsid w:val="002D2D68"/>
    <w:rsid w:val="002D38D9"/>
    <w:rsid w:val="002D4012"/>
    <w:rsid w:val="002D7417"/>
    <w:rsid w:val="002E26E8"/>
    <w:rsid w:val="002E38D8"/>
    <w:rsid w:val="002E3DD8"/>
    <w:rsid w:val="002E5A01"/>
    <w:rsid w:val="002E717C"/>
    <w:rsid w:val="002E7A61"/>
    <w:rsid w:val="002F0106"/>
    <w:rsid w:val="002F03C8"/>
    <w:rsid w:val="002F188D"/>
    <w:rsid w:val="002F18A5"/>
    <w:rsid w:val="002F317F"/>
    <w:rsid w:val="002F6D2E"/>
    <w:rsid w:val="002F7AA9"/>
    <w:rsid w:val="00301C0D"/>
    <w:rsid w:val="00311B66"/>
    <w:rsid w:val="003126D5"/>
    <w:rsid w:val="00314FAF"/>
    <w:rsid w:val="003162A5"/>
    <w:rsid w:val="00316591"/>
    <w:rsid w:val="00320C6D"/>
    <w:rsid w:val="00321FFD"/>
    <w:rsid w:val="00322E18"/>
    <w:rsid w:val="00323F8A"/>
    <w:rsid w:val="00326011"/>
    <w:rsid w:val="00327069"/>
    <w:rsid w:val="00327AFB"/>
    <w:rsid w:val="00327D10"/>
    <w:rsid w:val="0033595E"/>
    <w:rsid w:val="0033601B"/>
    <w:rsid w:val="00340039"/>
    <w:rsid w:val="0034024F"/>
    <w:rsid w:val="00340DFB"/>
    <w:rsid w:val="00341941"/>
    <w:rsid w:val="0034278F"/>
    <w:rsid w:val="00343B47"/>
    <w:rsid w:val="0034404F"/>
    <w:rsid w:val="00344ACC"/>
    <w:rsid w:val="00345F01"/>
    <w:rsid w:val="0034654F"/>
    <w:rsid w:val="00347685"/>
    <w:rsid w:val="00351E21"/>
    <w:rsid w:val="00352327"/>
    <w:rsid w:val="00354405"/>
    <w:rsid w:val="0035635F"/>
    <w:rsid w:val="00356BFD"/>
    <w:rsid w:val="003607EE"/>
    <w:rsid w:val="003617AE"/>
    <w:rsid w:val="003630F7"/>
    <w:rsid w:val="003651AC"/>
    <w:rsid w:val="00365E28"/>
    <w:rsid w:val="00366120"/>
    <w:rsid w:val="003661FF"/>
    <w:rsid w:val="00366A0C"/>
    <w:rsid w:val="00367462"/>
    <w:rsid w:val="00370507"/>
    <w:rsid w:val="00372A01"/>
    <w:rsid w:val="003733DF"/>
    <w:rsid w:val="003751C7"/>
    <w:rsid w:val="00375C84"/>
    <w:rsid w:val="00376524"/>
    <w:rsid w:val="003819F5"/>
    <w:rsid w:val="00381D47"/>
    <w:rsid w:val="003835F0"/>
    <w:rsid w:val="003853ED"/>
    <w:rsid w:val="0039082A"/>
    <w:rsid w:val="0039101F"/>
    <w:rsid w:val="00393EEE"/>
    <w:rsid w:val="0039493D"/>
    <w:rsid w:val="00395752"/>
    <w:rsid w:val="00395D99"/>
    <w:rsid w:val="003968DF"/>
    <w:rsid w:val="003A3927"/>
    <w:rsid w:val="003A6E29"/>
    <w:rsid w:val="003B1844"/>
    <w:rsid w:val="003B2041"/>
    <w:rsid w:val="003B211E"/>
    <w:rsid w:val="003B24EA"/>
    <w:rsid w:val="003B3FF1"/>
    <w:rsid w:val="003B4217"/>
    <w:rsid w:val="003B7F07"/>
    <w:rsid w:val="003C0F87"/>
    <w:rsid w:val="003C141E"/>
    <w:rsid w:val="003C1B83"/>
    <w:rsid w:val="003C21B3"/>
    <w:rsid w:val="003C3503"/>
    <w:rsid w:val="003C40DE"/>
    <w:rsid w:val="003C4851"/>
    <w:rsid w:val="003C4C96"/>
    <w:rsid w:val="003C55E0"/>
    <w:rsid w:val="003C5E39"/>
    <w:rsid w:val="003D0079"/>
    <w:rsid w:val="003D10EC"/>
    <w:rsid w:val="003D29B9"/>
    <w:rsid w:val="003D37B6"/>
    <w:rsid w:val="003D7709"/>
    <w:rsid w:val="003E0E25"/>
    <w:rsid w:val="003E1409"/>
    <w:rsid w:val="003E1F2E"/>
    <w:rsid w:val="003E7912"/>
    <w:rsid w:val="003F5717"/>
    <w:rsid w:val="003F5A39"/>
    <w:rsid w:val="003F5B56"/>
    <w:rsid w:val="003F5B9F"/>
    <w:rsid w:val="003F6A6A"/>
    <w:rsid w:val="003F738D"/>
    <w:rsid w:val="00402E56"/>
    <w:rsid w:val="00403634"/>
    <w:rsid w:val="00404592"/>
    <w:rsid w:val="00404B58"/>
    <w:rsid w:val="0040544F"/>
    <w:rsid w:val="0040625C"/>
    <w:rsid w:val="00411B17"/>
    <w:rsid w:val="0041222D"/>
    <w:rsid w:val="00413F2C"/>
    <w:rsid w:val="00417083"/>
    <w:rsid w:val="0042057C"/>
    <w:rsid w:val="00421608"/>
    <w:rsid w:val="0042261E"/>
    <w:rsid w:val="00422749"/>
    <w:rsid w:val="004233DC"/>
    <w:rsid w:val="00424B32"/>
    <w:rsid w:val="00432F78"/>
    <w:rsid w:val="004334A2"/>
    <w:rsid w:val="00434723"/>
    <w:rsid w:val="00437D17"/>
    <w:rsid w:val="00437D2F"/>
    <w:rsid w:val="0044046D"/>
    <w:rsid w:val="004410D3"/>
    <w:rsid w:val="00441DAF"/>
    <w:rsid w:val="00443A34"/>
    <w:rsid w:val="00443D38"/>
    <w:rsid w:val="00444140"/>
    <w:rsid w:val="00444F43"/>
    <w:rsid w:val="00450744"/>
    <w:rsid w:val="00450BE7"/>
    <w:rsid w:val="0045230E"/>
    <w:rsid w:val="004528FA"/>
    <w:rsid w:val="00452D67"/>
    <w:rsid w:val="00452E53"/>
    <w:rsid w:val="00455B00"/>
    <w:rsid w:val="00455B97"/>
    <w:rsid w:val="00456BFD"/>
    <w:rsid w:val="004607D0"/>
    <w:rsid w:val="00460CE3"/>
    <w:rsid w:val="004612A4"/>
    <w:rsid w:val="00464BF1"/>
    <w:rsid w:val="004676E4"/>
    <w:rsid w:val="00467790"/>
    <w:rsid w:val="00470C48"/>
    <w:rsid w:val="00471429"/>
    <w:rsid w:val="00473C0A"/>
    <w:rsid w:val="00474415"/>
    <w:rsid w:val="0047550D"/>
    <w:rsid w:val="00477459"/>
    <w:rsid w:val="0048026E"/>
    <w:rsid w:val="004807A9"/>
    <w:rsid w:val="00481318"/>
    <w:rsid w:val="004813EE"/>
    <w:rsid w:val="00482CDC"/>
    <w:rsid w:val="00483B03"/>
    <w:rsid w:val="00485702"/>
    <w:rsid w:val="004867EC"/>
    <w:rsid w:val="00487662"/>
    <w:rsid w:val="004876C6"/>
    <w:rsid w:val="00487D7B"/>
    <w:rsid w:val="00490F7A"/>
    <w:rsid w:val="00490FD5"/>
    <w:rsid w:val="00491241"/>
    <w:rsid w:val="00491813"/>
    <w:rsid w:val="00492CA3"/>
    <w:rsid w:val="00493278"/>
    <w:rsid w:val="00497575"/>
    <w:rsid w:val="004A08FB"/>
    <w:rsid w:val="004A12C0"/>
    <w:rsid w:val="004A191A"/>
    <w:rsid w:val="004A1A70"/>
    <w:rsid w:val="004A419E"/>
    <w:rsid w:val="004A6B58"/>
    <w:rsid w:val="004A7F06"/>
    <w:rsid w:val="004B06C3"/>
    <w:rsid w:val="004B0B09"/>
    <w:rsid w:val="004B140F"/>
    <w:rsid w:val="004B53F1"/>
    <w:rsid w:val="004B5D6E"/>
    <w:rsid w:val="004B60BA"/>
    <w:rsid w:val="004C016E"/>
    <w:rsid w:val="004C1619"/>
    <w:rsid w:val="004C1B59"/>
    <w:rsid w:val="004C4EA2"/>
    <w:rsid w:val="004C596B"/>
    <w:rsid w:val="004C60E7"/>
    <w:rsid w:val="004D020F"/>
    <w:rsid w:val="004D03D1"/>
    <w:rsid w:val="004D11AF"/>
    <w:rsid w:val="004D40A8"/>
    <w:rsid w:val="004D502C"/>
    <w:rsid w:val="004D5B3E"/>
    <w:rsid w:val="004D60A3"/>
    <w:rsid w:val="004E016A"/>
    <w:rsid w:val="004E0461"/>
    <w:rsid w:val="004E29B1"/>
    <w:rsid w:val="004E2E2A"/>
    <w:rsid w:val="004E461B"/>
    <w:rsid w:val="004E477D"/>
    <w:rsid w:val="004E5890"/>
    <w:rsid w:val="004E7B33"/>
    <w:rsid w:val="004F01B1"/>
    <w:rsid w:val="004F0D19"/>
    <w:rsid w:val="004F121B"/>
    <w:rsid w:val="004F2811"/>
    <w:rsid w:val="004F54A3"/>
    <w:rsid w:val="004F60F4"/>
    <w:rsid w:val="004F62E8"/>
    <w:rsid w:val="004F78F8"/>
    <w:rsid w:val="005001A5"/>
    <w:rsid w:val="005019AA"/>
    <w:rsid w:val="0050386D"/>
    <w:rsid w:val="00503C3B"/>
    <w:rsid w:val="00503CE7"/>
    <w:rsid w:val="005042DB"/>
    <w:rsid w:val="0050458E"/>
    <w:rsid w:val="00510452"/>
    <w:rsid w:val="005108EC"/>
    <w:rsid w:val="005147DA"/>
    <w:rsid w:val="005153C3"/>
    <w:rsid w:val="00515745"/>
    <w:rsid w:val="00515862"/>
    <w:rsid w:val="00516942"/>
    <w:rsid w:val="00516DC0"/>
    <w:rsid w:val="005233F3"/>
    <w:rsid w:val="0052365C"/>
    <w:rsid w:val="005245D2"/>
    <w:rsid w:val="00524C98"/>
    <w:rsid w:val="00524C9C"/>
    <w:rsid w:val="00524EDD"/>
    <w:rsid w:val="00525B59"/>
    <w:rsid w:val="005269C4"/>
    <w:rsid w:val="00533DBF"/>
    <w:rsid w:val="00536442"/>
    <w:rsid w:val="00536919"/>
    <w:rsid w:val="005415DD"/>
    <w:rsid w:val="005423F3"/>
    <w:rsid w:val="005426DB"/>
    <w:rsid w:val="00542C2D"/>
    <w:rsid w:val="00550113"/>
    <w:rsid w:val="0055082B"/>
    <w:rsid w:val="00550F00"/>
    <w:rsid w:val="00551ED7"/>
    <w:rsid w:val="0055211C"/>
    <w:rsid w:val="0055263A"/>
    <w:rsid w:val="00552B57"/>
    <w:rsid w:val="00553E34"/>
    <w:rsid w:val="005551E9"/>
    <w:rsid w:val="00560C62"/>
    <w:rsid w:val="00562A61"/>
    <w:rsid w:val="005652D5"/>
    <w:rsid w:val="00572C52"/>
    <w:rsid w:val="00574614"/>
    <w:rsid w:val="00574A70"/>
    <w:rsid w:val="005759D1"/>
    <w:rsid w:val="00575C75"/>
    <w:rsid w:val="00577AC3"/>
    <w:rsid w:val="00577D57"/>
    <w:rsid w:val="005815A8"/>
    <w:rsid w:val="00583431"/>
    <w:rsid w:val="005846C0"/>
    <w:rsid w:val="00584D04"/>
    <w:rsid w:val="0058567E"/>
    <w:rsid w:val="0058659E"/>
    <w:rsid w:val="005872DD"/>
    <w:rsid w:val="00587D3A"/>
    <w:rsid w:val="00590346"/>
    <w:rsid w:val="00590E93"/>
    <w:rsid w:val="005915E1"/>
    <w:rsid w:val="00591C75"/>
    <w:rsid w:val="00592A87"/>
    <w:rsid w:val="00592D10"/>
    <w:rsid w:val="00593A5F"/>
    <w:rsid w:val="0059404E"/>
    <w:rsid w:val="00594269"/>
    <w:rsid w:val="00594E7C"/>
    <w:rsid w:val="00595539"/>
    <w:rsid w:val="005A3E82"/>
    <w:rsid w:val="005A4DB0"/>
    <w:rsid w:val="005A5597"/>
    <w:rsid w:val="005A6AC2"/>
    <w:rsid w:val="005A7A65"/>
    <w:rsid w:val="005A7B26"/>
    <w:rsid w:val="005A7B8E"/>
    <w:rsid w:val="005B012B"/>
    <w:rsid w:val="005B0C87"/>
    <w:rsid w:val="005B2195"/>
    <w:rsid w:val="005B2441"/>
    <w:rsid w:val="005B2D65"/>
    <w:rsid w:val="005B3877"/>
    <w:rsid w:val="005B3CC1"/>
    <w:rsid w:val="005B442C"/>
    <w:rsid w:val="005B45AB"/>
    <w:rsid w:val="005B4D8F"/>
    <w:rsid w:val="005B610B"/>
    <w:rsid w:val="005B6551"/>
    <w:rsid w:val="005B71A8"/>
    <w:rsid w:val="005C3D2C"/>
    <w:rsid w:val="005C3E9E"/>
    <w:rsid w:val="005C410C"/>
    <w:rsid w:val="005C4BF1"/>
    <w:rsid w:val="005C4BF2"/>
    <w:rsid w:val="005C5BED"/>
    <w:rsid w:val="005C5D86"/>
    <w:rsid w:val="005C6167"/>
    <w:rsid w:val="005C6EE2"/>
    <w:rsid w:val="005C7A07"/>
    <w:rsid w:val="005C7DDC"/>
    <w:rsid w:val="005D123A"/>
    <w:rsid w:val="005D2506"/>
    <w:rsid w:val="005D5605"/>
    <w:rsid w:val="005D5B5E"/>
    <w:rsid w:val="005D5C85"/>
    <w:rsid w:val="005D70D3"/>
    <w:rsid w:val="005D72FC"/>
    <w:rsid w:val="005E035A"/>
    <w:rsid w:val="005E1218"/>
    <w:rsid w:val="005E1B6B"/>
    <w:rsid w:val="005E2281"/>
    <w:rsid w:val="005E347B"/>
    <w:rsid w:val="005E38A8"/>
    <w:rsid w:val="005E39F9"/>
    <w:rsid w:val="005E55BB"/>
    <w:rsid w:val="005E5D11"/>
    <w:rsid w:val="005E667C"/>
    <w:rsid w:val="005E6A1D"/>
    <w:rsid w:val="005E6F12"/>
    <w:rsid w:val="005F077C"/>
    <w:rsid w:val="005F3CE8"/>
    <w:rsid w:val="005F4F41"/>
    <w:rsid w:val="005F68C3"/>
    <w:rsid w:val="00601E94"/>
    <w:rsid w:val="006021B1"/>
    <w:rsid w:val="006037C5"/>
    <w:rsid w:val="006040CE"/>
    <w:rsid w:val="0060467D"/>
    <w:rsid w:val="00605B9D"/>
    <w:rsid w:val="0060676F"/>
    <w:rsid w:val="00606B57"/>
    <w:rsid w:val="00606B85"/>
    <w:rsid w:val="00607390"/>
    <w:rsid w:val="006076D8"/>
    <w:rsid w:val="00607E6D"/>
    <w:rsid w:val="00612871"/>
    <w:rsid w:val="00612A8E"/>
    <w:rsid w:val="006135DA"/>
    <w:rsid w:val="006155E2"/>
    <w:rsid w:val="00615F26"/>
    <w:rsid w:val="00620579"/>
    <w:rsid w:val="00621FB4"/>
    <w:rsid w:val="00623BC7"/>
    <w:rsid w:val="006241D0"/>
    <w:rsid w:val="00625434"/>
    <w:rsid w:val="00626032"/>
    <w:rsid w:val="00627643"/>
    <w:rsid w:val="00627788"/>
    <w:rsid w:val="006300CD"/>
    <w:rsid w:val="0063017E"/>
    <w:rsid w:val="006306D3"/>
    <w:rsid w:val="00631D4F"/>
    <w:rsid w:val="00633496"/>
    <w:rsid w:val="006338D2"/>
    <w:rsid w:val="00635FD8"/>
    <w:rsid w:val="00636F7B"/>
    <w:rsid w:val="0064019C"/>
    <w:rsid w:val="00640288"/>
    <w:rsid w:val="006405AC"/>
    <w:rsid w:val="006413D8"/>
    <w:rsid w:val="00641C55"/>
    <w:rsid w:val="00642405"/>
    <w:rsid w:val="00642645"/>
    <w:rsid w:val="00644BED"/>
    <w:rsid w:val="00652092"/>
    <w:rsid w:val="00652472"/>
    <w:rsid w:val="00656385"/>
    <w:rsid w:val="00660DBE"/>
    <w:rsid w:val="0066127D"/>
    <w:rsid w:val="006619B9"/>
    <w:rsid w:val="0066351C"/>
    <w:rsid w:val="00664693"/>
    <w:rsid w:val="00664DC0"/>
    <w:rsid w:val="006651CC"/>
    <w:rsid w:val="00665CA1"/>
    <w:rsid w:val="00666D06"/>
    <w:rsid w:val="00667A31"/>
    <w:rsid w:val="00670702"/>
    <w:rsid w:val="0067147C"/>
    <w:rsid w:val="00672A8A"/>
    <w:rsid w:val="00673F50"/>
    <w:rsid w:val="0067462C"/>
    <w:rsid w:val="006759B0"/>
    <w:rsid w:val="00677012"/>
    <w:rsid w:val="00680D0E"/>
    <w:rsid w:val="006825B4"/>
    <w:rsid w:val="006829BA"/>
    <w:rsid w:val="00682AF2"/>
    <w:rsid w:val="006837DE"/>
    <w:rsid w:val="00684040"/>
    <w:rsid w:val="0068537F"/>
    <w:rsid w:val="00687628"/>
    <w:rsid w:val="00687CFE"/>
    <w:rsid w:val="00690EB8"/>
    <w:rsid w:val="006915E5"/>
    <w:rsid w:val="00692401"/>
    <w:rsid w:val="0069758B"/>
    <w:rsid w:val="006A07DF"/>
    <w:rsid w:val="006A0B6C"/>
    <w:rsid w:val="006A16E1"/>
    <w:rsid w:val="006A3C8A"/>
    <w:rsid w:val="006A3E61"/>
    <w:rsid w:val="006A6737"/>
    <w:rsid w:val="006B236C"/>
    <w:rsid w:val="006B26B1"/>
    <w:rsid w:val="006B2E45"/>
    <w:rsid w:val="006B441C"/>
    <w:rsid w:val="006B5D32"/>
    <w:rsid w:val="006B758B"/>
    <w:rsid w:val="006B7BF8"/>
    <w:rsid w:val="006C01C8"/>
    <w:rsid w:val="006C0783"/>
    <w:rsid w:val="006C25D5"/>
    <w:rsid w:val="006C262B"/>
    <w:rsid w:val="006C27EB"/>
    <w:rsid w:val="006C3A2D"/>
    <w:rsid w:val="006C4666"/>
    <w:rsid w:val="006C49BF"/>
    <w:rsid w:val="006C63D7"/>
    <w:rsid w:val="006C7535"/>
    <w:rsid w:val="006D2F09"/>
    <w:rsid w:val="006D3DC0"/>
    <w:rsid w:val="006D403A"/>
    <w:rsid w:val="006D5E84"/>
    <w:rsid w:val="006D7271"/>
    <w:rsid w:val="006D7C99"/>
    <w:rsid w:val="006E0443"/>
    <w:rsid w:val="006E0DCF"/>
    <w:rsid w:val="006E1647"/>
    <w:rsid w:val="006E310A"/>
    <w:rsid w:val="006E3C3E"/>
    <w:rsid w:val="006E429F"/>
    <w:rsid w:val="006E6F30"/>
    <w:rsid w:val="006E7082"/>
    <w:rsid w:val="006F030F"/>
    <w:rsid w:val="006F193C"/>
    <w:rsid w:val="006F1B58"/>
    <w:rsid w:val="006F2B89"/>
    <w:rsid w:val="006F3B81"/>
    <w:rsid w:val="006F4D59"/>
    <w:rsid w:val="006F4F79"/>
    <w:rsid w:val="006F4F80"/>
    <w:rsid w:val="006F5532"/>
    <w:rsid w:val="006F5F22"/>
    <w:rsid w:val="006F62CC"/>
    <w:rsid w:val="006F681D"/>
    <w:rsid w:val="006F69D6"/>
    <w:rsid w:val="0070235F"/>
    <w:rsid w:val="00702BC3"/>
    <w:rsid w:val="007032B5"/>
    <w:rsid w:val="00703496"/>
    <w:rsid w:val="007036FE"/>
    <w:rsid w:val="00705B37"/>
    <w:rsid w:val="0070658A"/>
    <w:rsid w:val="00706B65"/>
    <w:rsid w:val="00707C1A"/>
    <w:rsid w:val="0071023D"/>
    <w:rsid w:val="00710530"/>
    <w:rsid w:val="00712912"/>
    <w:rsid w:val="00716395"/>
    <w:rsid w:val="007168A0"/>
    <w:rsid w:val="00716C95"/>
    <w:rsid w:val="00717762"/>
    <w:rsid w:val="00721A63"/>
    <w:rsid w:val="00721FF9"/>
    <w:rsid w:val="00725735"/>
    <w:rsid w:val="00736395"/>
    <w:rsid w:val="00736459"/>
    <w:rsid w:val="00737821"/>
    <w:rsid w:val="00741175"/>
    <w:rsid w:val="007419FB"/>
    <w:rsid w:val="00742606"/>
    <w:rsid w:val="007441FF"/>
    <w:rsid w:val="00744EE8"/>
    <w:rsid w:val="007467E4"/>
    <w:rsid w:val="00747569"/>
    <w:rsid w:val="00750238"/>
    <w:rsid w:val="0075023C"/>
    <w:rsid w:val="007523E7"/>
    <w:rsid w:val="00754252"/>
    <w:rsid w:val="007577B1"/>
    <w:rsid w:val="00757D87"/>
    <w:rsid w:val="00760EED"/>
    <w:rsid w:val="0076109F"/>
    <w:rsid w:val="007619CE"/>
    <w:rsid w:val="00761F4F"/>
    <w:rsid w:val="007620DC"/>
    <w:rsid w:val="00762102"/>
    <w:rsid w:val="0076255D"/>
    <w:rsid w:val="007625F6"/>
    <w:rsid w:val="00762B8B"/>
    <w:rsid w:val="00764AF9"/>
    <w:rsid w:val="00765D18"/>
    <w:rsid w:val="00770C54"/>
    <w:rsid w:val="00772613"/>
    <w:rsid w:val="00772B41"/>
    <w:rsid w:val="0077562D"/>
    <w:rsid w:val="00777D6B"/>
    <w:rsid w:val="0078265B"/>
    <w:rsid w:val="00782E10"/>
    <w:rsid w:val="007853B2"/>
    <w:rsid w:val="00786448"/>
    <w:rsid w:val="00790A93"/>
    <w:rsid w:val="0079134E"/>
    <w:rsid w:val="0079278E"/>
    <w:rsid w:val="00792E3C"/>
    <w:rsid w:val="007930C1"/>
    <w:rsid w:val="007960E3"/>
    <w:rsid w:val="00796F7C"/>
    <w:rsid w:val="00797131"/>
    <w:rsid w:val="007A343D"/>
    <w:rsid w:val="007A5ACE"/>
    <w:rsid w:val="007A6528"/>
    <w:rsid w:val="007A7B48"/>
    <w:rsid w:val="007B18C6"/>
    <w:rsid w:val="007B20C2"/>
    <w:rsid w:val="007B27E4"/>
    <w:rsid w:val="007B35F6"/>
    <w:rsid w:val="007B3F87"/>
    <w:rsid w:val="007B404F"/>
    <w:rsid w:val="007B5B15"/>
    <w:rsid w:val="007B6E28"/>
    <w:rsid w:val="007B7B52"/>
    <w:rsid w:val="007C2F60"/>
    <w:rsid w:val="007C5613"/>
    <w:rsid w:val="007C6BC6"/>
    <w:rsid w:val="007C73B2"/>
    <w:rsid w:val="007D0435"/>
    <w:rsid w:val="007D400A"/>
    <w:rsid w:val="007D4B0E"/>
    <w:rsid w:val="007D4DD2"/>
    <w:rsid w:val="007E2419"/>
    <w:rsid w:val="007E3FF5"/>
    <w:rsid w:val="007E4219"/>
    <w:rsid w:val="007E577E"/>
    <w:rsid w:val="007E635E"/>
    <w:rsid w:val="007E6C0C"/>
    <w:rsid w:val="007F038C"/>
    <w:rsid w:val="007F0F24"/>
    <w:rsid w:val="007F222B"/>
    <w:rsid w:val="007F3092"/>
    <w:rsid w:val="007F39B8"/>
    <w:rsid w:val="007F4A6F"/>
    <w:rsid w:val="007F4FBC"/>
    <w:rsid w:val="007F5975"/>
    <w:rsid w:val="007F7DF2"/>
    <w:rsid w:val="00800A35"/>
    <w:rsid w:val="00801A0E"/>
    <w:rsid w:val="00804E4C"/>
    <w:rsid w:val="0080662C"/>
    <w:rsid w:val="008070B2"/>
    <w:rsid w:val="00807D79"/>
    <w:rsid w:val="00810102"/>
    <w:rsid w:val="008117C4"/>
    <w:rsid w:val="008149D8"/>
    <w:rsid w:val="00817CFC"/>
    <w:rsid w:val="00821D81"/>
    <w:rsid w:val="00823654"/>
    <w:rsid w:val="00823A90"/>
    <w:rsid w:val="0082757E"/>
    <w:rsid w:val="00827D77"/>
    <w:rsid w:val="00830561"/>
    <w:rsid w:val="00831115"/>
    <w:rsid w:val="00832D42"/>
    <w:rsid w:val="00833419"/>
    <w:rsid w:val="008342A5"/>
    <w:rsid w:val="00834BE2"/>
    <w:rsid w:val="00834EA4"/>
    <w:rsid w:val="00835DCB"/>
    <w:rsid w:val="0084139B"/>
    <w:rsid w:val="0084143B"/>
    <w:rsid w:val="00842547"/>
    <w:rsid w:val="008427D3"/>
    <w:rsid w:val="0084324C"/>
    <w:rsid w:val="008451F8"/>
    <w:rsid w:val="008457D2"/>
    <w:rsid w:val="00846212"/>
    <w:rsid w:val="008468E0"/>
    <w:rsid w:val="00847BE7"/>
    <w:rsid w:val="00850EAB"/>
    <w:rsid w:val="00851DA2"/>
    <w:rsid w:val="008529B3"/>
    <w:rsid w:val="00852ADD"/>
    <w:rsid w:val="00853463"/>
    <w:rsid w:val="00853883"/>
    <w:rsid w:val="008616A2"/>
    <w:rsid w:val="00861C6C"/>
    <w:rsid w:val="00873736"/>
    <w:rsid w:val="0087378E"/>
    <w:rsid w:val="008755E7"/>
    <w:rsid w:val="00877D03"/>
    <w:rsid w:val="00877E96"/>
    <w:rsid w:val="008803CE"/>
    <w:rsid w:val="00882077"/>
    <w:rsid w:val="00883613"/>
    <w:rsid w:val="00886393"/>
    <w:rsid w:val="00886579"/>
    <w:rsid w:val="00886F19"/>
    <w:rsid w:val="00887865"/>
    <w:rsid w:val="00887B37"/>
    <w:rsid w:val="00890598"/>
    <w:rsid w:val="0089065A"/>
    <w:rsid w:val="00891D7A"/>
    <w:rsid w:val="00891DFC"/>
    <w:rsid w:val="00892B98"/>
    <w:rsid w:val="008959FC"/>
    <w:rsid w:val="008A1D0E"/>
    <w:rsid w:val="008A31C7"/>
    <w:rsid w:val="008A4AEC"/>
    <w:rsid w:val="008A5609"/>
    <w:rsid w:val="008A6DF0"/>
    <w:rsid w:val="008A6FA0"/>
    <w:rsid w:val="008B2B19"/>
    <w:rsid w:val="008B2F40"/>
    <w:rsid w:val="008B3627"/>
    <w:rsid w:val="008B540C"/>
    <w:rsid w:val="008B5E61"/>
    <w:rsid w:val="008B7914"/>
    <w:rsid w:val="008C127A"/>
    <w:rsid w:val="008C2C7F"/>
    <w:rsid w:val="008C2F0D"/>
    <w:rsid w:val="008C35FA"/>
    <w:rsid w:val="008C39B6"/>
    <w:rsid w:val="008C5D2A"/>
    <w:rsid w:val="008C74FB"/>
    <w:rsid w:val="008C7AF4"/>
    <w:rsid w:val="008C7DA4"/>
    <w:rsid w:val="008D0210"/>
    <w:rsid w:val="008D0851"/>
    <w:rsid w:val="008D0DEF"/>
    <w:rsid w:val="008D1074"/>
    <w:rsid w:val="008D1079"/>
    <w:rsid w:val="008D280F"/>
    <w:rsid w:val="008D318B"/>
    <w:rsid w:val="008D3994"/>
    <w:rsid w:val="008D3C3D"/>
    <w:rsid w:val="008D478E"/>
    <w:rsid w:val="008D534E"/>
    <w:rsid w:val="008D6E81"/>
    <w:rsid w:val="008D7739"/>
    <w:rsid w:val="008E1267"/>
    <w:rsid w:val="008E22F8"/>
    <w:rsid w:val="008E39D8"/>
    <w:rsid w:val="008E606F"/>
    <w:rsid w:val="008E6AD9"/>
    <w:rsid w:val="008F022A"/>
    <w:rsid w:val="008F22A6"/>
    <w:rsid w:val="008F27E3"/>
    <w:rsid w:val="008F29F0"/>
    <w:rsid w:val="008F3485"/>
    <w:rsid w:val="008F3AC3"/>
    <w:rsid w:val="008F51FF"/>
    <w:rsid w:val="008F5DEF"/>
    <w:rsid w:val="009026CB"/>
    <w:rsid w:val="00904038"/>
    <w:rsid w:val="009041AF"/>
    <w:rsid w:val="009049AB"/>
    <w:rsid w:val="009050B7"/>
    <w:rsid w:val="00905130"/>
    <w:rsid w:val="009061B8"/>
    <w:rsid w:val="009105B8"/>
    <w:rsid w:val="009130CC"/>
    <w:rsid w:val="00914683"/>
    <w:rsid w:val="00914861"/>
    <w:rsid w:val="009148D8"/>
    <w:rsid w:val="00915CD5"/>
    <w:rsid w:val="00916093"/>
    <w:rsid w:val="009160E3"/>
    <w:rsid w:val="0091639C"/>
    <w:rsid w:val="00922BF0"/>
    <w:rsid w:val="009255FA"/>
    <w:rsid w:val="009262E4"/>
    <w:rsid w:val="00927D4E"/>
    <w:rsid w:val="00930D2A"/>
    <w:rsid w:val="00931B84"/>
    <w:rsid w:val="00931F90"/>
    <w:rsid w:val="00932E7E"/>
    <w:rsid w:val="0093442D"/>
    <w:rsid w:val="00934CD2"/>
    <w:rsid w:val="009375E5"/>
    <w:rsid w:val="00941848"/>
    <w:rsid w:val="009437F2"/>
    <w:rsid w:val="009442E8"/>
    <w:rsid w:val="0094759C"/>
    <w:rsid w:val="00951666"/>
    <w:rsid w:val="00952524"/>
    <w:rsid w:val="0095278F"/>
    <w:rsid w:val="0095426C"/>
    <w:rsid w:val="00956BF5"/>
    <w:rsid w:val="009571C2"/>
    <w:rsid w:val="0095770C"/>
    <w:rsid w:val="00957CC8"/>
    <w:rsid w:val="00957EE7"/>
    <w:rsid w:val="00961453"/>
    <w:rsid w:val="009616D4"/>
    <w:rsid w:val="00964166"/>
    <w:rsid w:val="0096475C"/>
    <w:rsid w:val="0096546E"/>
    <w:rsid w:val="0096562A"/>
    <w:rsid w:val="00965865"/>
    <w:rsid w:val="00967730"/>
    <w:rsid w:val="00970E50"/>
    <w:rsid w:val="00971074"/>
    <w:rsid w:val="009747AA"/>
    <w:rsid w:val="00974BCB"/>
    <w:rsid w:val="009763E4"/>
    <w:rsid w:val="00980A22"/>
    <w:rsid w:val="00983599"/>
    <w:rsid w:val="00983C94"/>
    <w:rsid w:val="00985B04"/>
    <w:rsid w:val="00986BEF"/>
    <w:rsid w:val="00992499"/>
    <w:rsid w:val="009927F5"/>
    <w:rsid w:val="00992986"/>
    <w:rsid w:val="00994B55"/>
    <w:rsid w:val="00995D86"/>
    <w:rsid w:val="009A1F6B"/>
    <w:rsid w:val="009A2C4C"/>
    <w:rsid w:val="009A2DD8"/>
    <w:rsid w:val="009A30DE"/>
    <w:rsid w:val="009A5453"/>
    <w:rsid w:val="009A7883"/>
    <w:rsid w:val="009B2760"/>
    <w:rsid w:val="009B308D"/>
    <w:rsid w:val="009B3B62"/>
    <w:rsid w:val="009B4FFB"/>
    <w:rsid w:val="009B7489"/>
    <w:rsid w:val="009B7B0A"/>
    <w:rsid w:val="009C07C9"/>
    <w:rsid w:val="009C08D7"/>
    <w:rsid w:val="009C255E"/>
    <w:rsid w:val="009C4E0D"/>
    <w:rsid w:val="009C4F1B"/>
    <w:rsid w:val="009C503B"/>
    <w:rsid w:val="009D07C4"/>
    <w:rsid w:val="009D0C5A"/>
    <w:rsid w:val="009D3AD2"/>
    <w:rsid w:val="009D3E06"/>
    <w:rsid w:val="009D638D"/>
    <w:rsid w:val="009E1961"/>
    <w:rsid w:val="009E1CC8"/>
    <w:rsid w:val="009E30D2"/>
    <w:rsid w:val="009E4885"/>
    <w:rsid w:val="009E508B"/>
    <w:rsid w:val="009E6457"/>
    <w:rsid w:val="009F0A85"/>
    <w:rsid w:val="009F1B71"/>
    <w:rsid w:val="009F220A"/>
    <w:rsid w:val="009F36D6"/>
    <w:rsid w:val="009F708E"/>
    <w:rsid w:val="00A02FA8"/>
    <w:rsid w:val="00A03525"/>
    <w:rsid w:val="00A03F74"/>
    <w:rsid w:val="00A05C04"/>
    <w:rsid w:val="00A07DB6"/>
    <w:rsid w:val="00A10BA7"/>
    <w:rsid w:val="00A11406"/>
    <w:rsid w:val="00A132A1"/>
    <w:rsid w:val="00A1554D"/>
    <w:rsid w:val="00A158E3"/>
    <w:rsid w:val="00A172E0"/>
    <w:rsid w:val="00A221A3"/>
    <w:rsid w:val="00A223D5"/>
    <w:rsid w:val="00A23E0E"/>
    <w:rsid w:val="00A23F41"/>
    <w:rsid w:val="00A25547"/>
    <w:rsid w:val="00A31E14"/>
    <w:rsid w:val="00A36CEB"/>
    <w:rsid w:val="00A37B0C"/>
    <w:rsid w:val="00A37D1C"/>
    <w:rsid w:val="00A37FFE"/>
    <w:rsid w:val="00A41FEF"/>
    <w:rsid w:val="00A42476"/>
    <w:rsid w:val="00A433CA"/>
    <w:rsid w:val="00A43F3C"/>
    <w:rsid w:val="00A468FD"/>
    <w:rsid w:val="00A46921"/>
    <w:rsid w:val="00A47249"/>
    <w:rsid w:val="00A501C7"/>
    <w:rsid w:val="00A513FD"/>
    <w:rsid w:val="00A52BC1"/>
    <w:rsid w:val="00A534A0"/>
    <w:rsid w:val="00A539AD"/>
    <w:rsid w:val="00A540B2"/>
    <w:rsid w:val="00A56819"/>
    <w:rsid w:val="00A60E9C"/>
    <w:rsid w:val="00A61879"/>
    <w:rsid w:val="00A6444F"/>
    <w:rsid w:val="00A652FF"/>
    <w:rsid w:val="00A65A0D"/>
    <w:rsid w:val="00A65C27"/>
    <w:rsid w:val="00A65F3C"/>
    <w:rsid w:val="00A714A3"/>
    <w:rsid w:val="00A71B8B"/>
    <w:rsid w:val="00A75089"/>
    <w:rsid w:val="00A75EDC"/>
    <w:rsid w:val="00A80404"/>
    <w:rsid w:val="00A817A8"/>
    <w:rsid w:val="00A81E50"/>
    <w:rsid w:val="00A82DA0"/>
    <w:rsid w:val="00A83E49"/>
    <w:rsid w:val="00A8415A"/>
    <w:rsid w:val="00A841A6"/>
    <w:rsid w:val="00A84221"/>
    <w:rsid w:val="00A84B7A"/>
    <w:rsid w:val="00A86FBC"/>
    <w:rsid w:val="00A902AD"/>
    <w:rsid w:val="00A9099E"/>
    <w:rsid w:val="00A91FB7"/>
    <w:rsid w:val="00A9298F"/>
    <w:rsid w:val="00A9301E"/>
    <w:rsid w:val="00A95186"/>
    <w:rsid w:val="00AA1224"/>
    <w:rsid w:val="00AA14F2"/>
    <w:rsid w:val="00AA180B"/>
    <w:rsid w:val="00AA1D43"/>
    <w:rsid w:val="00AA3301"/>
    <w:rsid w:val="00AA3360"/>
    <w:rsid w:val="00AA6B93"/>
    <w:rsid w:val="00AA7A06"/>
    <w:rsid w:val="00AB1984"/>
    <w:rsid w:val="00AB1CBB"/>
    <w:rsid w:val="00AB215B"/>
    <w:rsid w:val="00AB333E"/>
    <w:rsid w:val="00AB37DB"/>
    <w:rsid w:val="00AB3C07"/>
    <w:rsid w:val="00AB5F48"/>
    <w:rsid w:val="00AB716D"/>
    <w:rsid w:val="00AB7BF3"/>
    <w:rsid w:val="00AC1AA3"/>
    <w:rsid w:val="00AC1F8E"/>
    <w:rsid w:val="00AC4CB3"/>
    <w:rsid w:val="00AC4D7C"/>
    <w:rsid w:val="00AC6EF2"/>
    <w:rsid w:val="00AC71A6"/>
    <w:rsid w:val="00AC742F"/>
    <w:rsid w:val="00AC754B"/>
    <w:rsid w:val="00AC774F"/>
    <w:rsid w:val="00AC780D"/>
    <w:rsid w:val="00AC787B"/>
    <w:rsid w:val="00AC7956"/>
    <w:rsid w:val="00AC7E18"/>
    <w:rsid w:val="00AD0B5C"/>
    <w:rsid w:val="00AD1B79"/>
    <w:rsid w:val="00AD50F8"/>
    <w:rsid w:val="00AE3E11"/>
    <w:rsid w:val="00AE4BDC"/>
    <w:rsid w:val="00AE55AD"/>
    <w:rsid w:val="00AE6D49"/>
    <w:rsid w:val="00AE78ED"/>
    <w:rsid w:val="00AF1117"/>
    <w:rsid w:val="00AF1555"/>
    <w:rsid w:val="00AF18BA"/>
    <w:rsid w:val="00AF228C"/>
    <w:rsid w:val="00AF2DB9"/>
    <w:rsid w:val="00AF3B55"/>
    <w:rsid w:val="00AF3D62"/>
    <w:rsid w:val="00AF6AC5"/>
    <w:rsid w:val="00AF7809"/>
    <w:rsid w:val="00AF7F7B"/>
    <w:rsid w:val="00B00597"/>
    <w:rsid w:val="00B0104B"/>
    <w:rsid w:val="00B021E0"/>
    <w:rsid w:val="00B03043"/>
    <w:rsid w:val="00B03A35"/>
    <w:rsid w:val="00B04F99"/>
    <w:rsid w:val="00B057B6"/>
    <w:rsid w:val="00B07F41"/>
    <w:rsid w:val="00B11C80"/>
    <w:rsid w:val="00B12DCA"/>
    <w:rsid w:val="00B13ECB"/>
    <w:rsid w:val="00B1524F"/>
    <w:rsid w:val="00B215D5"/>
    <w:rsid w:val="00B22870"/>
    <w:rsid w:val="00B22A22"/>
    <w:rsid w:val="00B23F4C"/>
    <w:rsid w:val="00B24BA7"/>
    <w:rsid w:val="00B268D0"/>
    <w:rsid w:val="00B269D3"/>
    <w:rsid w:val="00B30448"/>
    <w:rsid w:val="00B30D75"/>
    <w:rsid w:val="00B31315"/>
    <w:rsid w:val="00B34D6A"/>
    <w:rsid w:val="00B35749"/>
    <w:rsid w:val="00B35EF5"/>
    <w:rsid w:val="00B3704D"/>
    <w:rsid w:val="00B40162"/>
    <w:rsid w:val="00B40FDB"/>
    <w:rsid w:val="00B430F6"/>
    <w:rsid w:val="00B45528"/>
    <w:rsid w:val="00B478FA"/>
    <w:rsid w:val="00B50156"/>
    <w:rsid w:val="00B509AE"/>
    <w:rsid w:val="00B50E13"/>
    <w:rsid w:val="00B51581"/>
    <w:rsid w:val="00B518AD"/>
    <w:rsid w:val="00B52D81"/>
    <w:rsid w:val="00B56866"/>
    <w:rsid w:val="00B604BB"/>
    <w:rsid w:val="00B60A96"/>
    <w:rsid w:val="00B60DD7"/>
    <w:rsid w:val="00B60EB6"/>
    <w:rsid w:val="00B61023"/>
    <w:rsid w:val="00B6386F"/>
    <w:rsid w:val="00B67346"/>
    <w:rsid w:val="00B6793A"/>
    <w:rsid w:val="00B71607"/>
    <w:rsid w:val="00B72361"/>
    <w:rsid w:val="00B75345"/>
    <w:rsid w:val="00B76327"/>
    <w:rsid w:val="00B76400"/>
    <w:rsid w:val="00B76C94"/>
    <w:rsid w:val="00B76D4E"/>
    <w:rsid w:val="00B771AA"/>
    <w:rsid w:val="00B772D0"/>
    <w:rsid w:val="00B83117"/>
    <w:rsid w:val="00B8319C"/>
    <w:rsid w:val="00B906F2"/>
    <w:rsid w:val="00B90D9B"/>
    <w:rsid w:val="00B91B81"/>
    <w:rsid w:val="00B91FF0"/>
    <w:rsid w:val="00B92FFF"/>
    <w:rsid w:val="00B951B8"/>
    <w:rsid w:val="00B96799"/>
    <w:rsid w:val="00B96DE5"/>
    <w:rsid w:val="00B9741B"/>
    <w:rsid w:val="00B97A76"/>
    <w:rsid w:val="00BA0166"/>
    <w:rsid w:val="00BA0584"/>
    <w:rsid w:val="00BA249D"/>
    <w:rsid w:val="00BA4D00"/>
    <w:rsid w:val="00BA5665"/>
    <w:rsid w:val="00BB0AB5"/>
    <w:rsid w:val="00BB33E9"/>
    <w:rsid w:val="00BB3BE4"/>
    <w:rsid w:val="00BB57D3"/>
    <w:rsid w:val="00BB58EE"/>
    <w:rsid w:val="00BB7589"/>
    <w:rsid w:val="00BC077E"/>
    <w:rsid w:val="00BC7632"/>
    <w:rsid w:val="00BC7C9E"/>
    <w:rsid w:val="00BD15B8"/>
    <w:rsid w:val="00BD1E79"/>
    <w:rsid w:val="00BD23A5"/>
    <w:rsid w:val="00BD2937"/>
    <w:rsid w:val="00BD2AFC"/>
    <w:rsid w:val="00BD48A9"/>
    <w:rsid w:val="00BD5712"/>
    <w:rsid w:val="00BD658C"/>
    <w:rsid w:val="00BD7EC6"/>
    <w:rsid w:val="00BE0FF2"/>
    <w:rsid w:val="00BE1345"/>
    <w:rsid w:val="00BE1E1B"/>
    <w:rsid w:val="00BE2147"/>
    <w:rsid w:val="00BE3C67"/>
    <w:rsid w:val="00BE73FA"/>
    <w:rsid w:val="00BF0353"/>
    <w:rsid w:val="00BF2001"/>
    <w:rsid w:val="00BF2575"/>
    <w:rsid w:val="00BF3F0A"/>
    <w:rsid w:val="00BF4E35"/>
    <w:rsid w:val="00BF57FE"/>
    <w:rsid w:val="00C0083F"/>
    <w:rsid w:val="00C00976"/>
    <w:rsid w:val="00C04E51"/>
    <w:rsid w:val="00C060B0"/>
    <w:rsid w:val="00C072F0"/>
    <w:rsid w:val="00C07344"/>
    <w:rsid w:val="00C07C1F"/>
    <w:rsid w:val="00C11A79"/>
    <w:rsid w:val="00C13607"/>
    <w:rsid w:val="00C137B1"/>
    <w:rsid w:val="00C13B43"/>
    <w:rsid w:val="00C15A01"/>
    <w:rsid w:val="00C15E81"/>
    <w:rsid w:val="00C174C9"/>
    <w:rsid w:val="00C17B6E"/>
    <w:rsid w:val="00C20754"/>
    <w:rsid w:val="00C22307"/>
    <w:rsid w:val="00C22573"/>
    <w:rsid w:val="00C22A2C"/>
    <w:rsid w:val="00C23150"/>
    <w:rsid w:val="00C24908"/>
    <w:rsid w:val="00C2515F"/>
    <w:rsid w:val="00C26AEA"/>
    <w:rsid w:val="00C276EC"/>
    <w:rsid w:val="00C31AD4"/>
    <w:rsid w:val="00C31C63"/>
    <w:rsid w:val="00C32481"/>
    <w:rsid w:val="00C3394C"/>
    <w:rsid w:val="00C3516D"/>
    <w:rsid w:val="00C361A6"/>
    <w:rsid w:val="00C3670F"/>
    <w:rsid w:val="00C36E1A"/>
    <w:rsid w:val="00C371DF"/>
    <w:rsid w:val="00C37818"/>
    <w:rsid w:val="00C37EFC"/>
    <w:rsid w:val="00C37FF9"/>
    <w:rsid w:val="00C40126"/>
    <w:rsid w:val="00C41425"/>
    <w:rsid w:val="00C41B4A"/>
    <w:rsid w:val="00C42C11"/>
    <w:rsid w:val="00C43ADB"/>
    <w:rsid w:val="00C44B4C"/>
    <w:rsid w:val="00C45CCD"/>
    <w:rsid w:val="00C46734"/>
    <w:rsid w:val="00C503B5"/>
    <w:rsid w:val="00C5105D"/>
    <w:rsid w:val="00C511F0"/>
    <w:rsid w:val="00C51639"/>
    <w:rsid w:val="00C53220"/>
    <w:rsid w:val="00C533A0"/>
    <w:rsid w:val="00C53E9D"/>
    <w:rsid w:val="00C5781B"/>
    <w:rsid w:val="00C621A7"/>
    <w:rsid w:val="00C62BF2"/>
    <w:rsid w:val="00C62D1B"/>
    <w:rsid w:val="00C638A6"/>
    <w:rsid w:val="00C64266"/>
    <w:rsid w:val="00C647DF"/>
    <w:rsid w:val="00C66CE8"/>
    <w:rsid w:val="00C67B80"/>
    <w:rsid w:val="00C70350"/>
    <w:rsid w:val="00C70DF4"/>
    <w:rsid w:val="00C71252"/>
    <w:rsid w:val="00C7277F"/>
    <w:rsid w:val="00C74930"/>
    <w:rsid w:val="00C74B47"/>
    <w:rsid w:val="00C754BD"/>
    <w:rsid w:val="00C769A9"/>
    <w:rsid w:val="00C80987"/>
    <w:rsid w:val="00C82933"/>
    <w:rsid w:val="00C82BE2"/>
    <w:rsid w:val="00C82F5E"/>
    <w:rsid w:val="00C85DEF"/>
    <w:rsid w:val="00C91106"/>
    <w:rsid w:val="00C91D19"/>
    <w:rsid w:val="00C94A14"/>
    <w:rsid w:val="00CA007B"/>
    <w:rsid w:val="00CA0AA4"/>
    <w:rsid w:val="00CA1D4C"/>
    <w:rsid w:val="00CA3347"/>
    <w:rsid w:val="00CA6FDA"/>
    <w:rsid w:val="00CA77CF"/>
    <w:rsid w:val="00CA7B58"/>
    <w:rsid w:val="00CB2518"/>
    <w:rsid w:val="00CB3920"/>
    <w:rsid w:val="00CB6413"/>
    <w:rsid w:val="00CB696F"/>
    <w:rsid w:val="00CC0F1C"/>
    <w:rsid w:val="00CC299A"/>
    <w:rsid w:val="00CC3E43"/>
    <w:rsid w:val="00CC4F99"/>
    <w:rsid w:val="00CC6369"/>
    <w:rsid w:val="00CC73F3"/>
    <w:rsid w:val="00CD11B5"/>
    <w:rsid w:val="00CD1B5A"/>
    <w:rsid w:val="00CD1E9C"/>
    <w:rsid w:val="00CD2E70"/>
    <w:rsid w:val="00CD3D06"/>
    <w:rsid w:val="00CD4A09"/>
    <w:rsid w:val="00CD4C7B"/>
    <w:rsid w:val="00CD5397"/>
    <w:rsid w:val="00CD5E93"/>
    <w:rsid w:val="00CE221C"/>
    <w:rsid w:val="00CE37A3"/>
    <w:rsid w:val="00CE60E6"/>
    <w:rsid w:val="00CE6855"/>
    <w:rsid w:val="00CE6B6F"/>
    <w:rsid w:val="00CE7033"/>
    <w:rsid w:val="00CE770A"/>
    <w:rsid w:val="00CF02A6"/>
    <w:rsid w:val="00CF06CF"/>
    <w:rsid w:val="00CF2DC1"/>
    <w:rsid w:val="00CF2EE2"/>
    <w:rsid w:val="00CF3948"/>
    <w:rsid w:val="00CF3ACF"/>
    <w:rsid w:val="00CF441D"/>
    <w:rsid w:val="00CF4FCF"/>
    <w:rsid w:val="00CF4FDC"/>
    <w:rsid w:val="00CF52F8"/>
    <w:rsid w:val="00CF56AF"/>
    <w:rsid w:val="00CF5BE0"/>
    <w:rsid w:val="00CF61CB"/>
    <w:rsid w:val="00D00DBF"/>
    <w:rsid w:val="00D01F5D"/>
    <w:rsid w:val="00D03DBE"/>
    <w:rsid w:val="00D03EED"/>
    <w:rsid w:val="00D0530C"/>
    <w:rsid w:val="00D0597D"/>
    <w:rsid w:val="00D11949"/>
    <w:rsid w:val="00D11A69"/>
    <w:rsid w:val="00D146E9"/>
    <w:rsid w:val="00D1484F"/>
    <w:rsid w:val="00D1707A"/>
    <w:rsid w:val="00D21435"/>
    <w:rsid w:val="00D2242C"/>
    <w:rsid w:val="00D22BC4"/>
    <w:rsid w:val="00D25660"/>
    <w:rsid w:val="00D258EB"/>
    <w:rsid w:val="00D271CD"/>
    <w:rsid w:val="00D315CC"/>
    <w:rsid w:val="00D327A3"/>
    <w:rsid w:val="00D34C82"/>
    <w:rsid w:val="00D36550"/>
    <w:rsid w:val="00D379EC"/>
    <w:rsid w:val="00D41E42"/>
    <w:rsid w:val="00D41F6B"/>
    <w:rsid w:val="00D4348D"/>
    <w:rsid w:val="00D44E42"/>
    <w:rsid w:val="00D44FC3"/>
    <w:rsid w:val="00D50130"/>
    <w:rsid w:val="00D50961"/>
    <w:rsid w:val="00D50A02"/>
    <w:rsid w:val="00D512A1"/>
    <w:rsid w:val="00D52AB4"/>
    <w:rsid w:val="00D538D5"/>
    <w:rsid w:val="00D54258"/>
    <w:rsid w:val="00D54640"/>
    <w:rsid w:val="00D559B5"/>
    <w:rsid w:val="00D56420"/>
    <w:rsid w:val="00D56C0C"/>
    <w:rsid w:val="00D57626"/>
    <w:rsid w:val="00D5798B"/>
    <w:rsid w:val="00D60736"/>
    <w:rsid w:val="00D6307D"/>
    <w:rsid w:val="00D63632"/>
    <w:rsid w:val="00D65893"/>
    <w:rsid w:val="00D658EC"/>
    <w:rsid w:val="00D6742A"/>
    <w:rsid w:val="00D67B9B"/>
    <w:rsid w:val="00D71733"/>
    <w:rsid w:val="00D718AC"/>
    <w:rsid w:val="00D7302F"/>
    <w:rsid w:val="00D74D14"/>
    <w:rsid w:val="00D75E82"/>
    <w:rsid w:val="00D769C5"/>
    <w:rsid w:val="00D76CEA"/>
    <w:rsid w:val="00D76E76"/>
    <w:rsid w:val="00D80631"/>
    <w:rsid w:val="00D818EC"/>
    <w:rsid w:val="00D81A20"/>
    <w:rsid w:val="00D81F55"/>
    <w:rsid w:val="00D8321A"/>
    <w:rsid w:val="00D86D55"/>
    <w:rsid w:val="00D8789C"/>
    <w:rsid w:val="00D90558"/>
    <w:rsid w:val="00D914EB"/>
    <w:rsid w:val="00D94085"/>
    <w:rsid w:val="00D96D4F"/>
    <w:rsid w:val="00DA1357"/>
    <w:rsid w:val="00DA1806"/>
    <w:rsid w:val="00DA3A76"/>
    <w:rsid w:val="00DA73C1"/>
    <w:rsid w:val="00DA770D"/>
    <w:rsid w:val="00DB00EE"/>
    <w:rsid w:val="00DB3687"/>
    <w:rsid w:val="00DC0445"/>
    <w:rsid w:val="00DC2C48"/>
    <w:rsid w:val="00DC46B5"/>
    <w:rsid w:val="00DC525E"/>
    <w:rsid w:val="00DC535C"/>
    <w:rsid w:val="00DC5DCB"/>
    <w:rsid w:val="00DD074A"/>
    <w:rsid w:val="00DD1941"/>
    <w:rsid w:val="00DD26A5"/>
    <w:rsid w:val="00DD34F2"/>
    <w:rsid w:val="00DD3C6B"/>
    <w:rsid w:val="00DD6739"/>
    <w:rsid w:val="00DD7631"/>
    <w:rsid w:val="00DD781E"/>
    <w:rsid w:val="00DD7A2C"/>
    <w:rsid w:val="00DE1238"/>
    <w:rsid w:val="00DE1FFE"/>
    <w:rsid w:val="00DE32E7"/>
    <w:rsid w:val="00DE3BB8"/>
    <w:rsid w:val="00DE5117"/>
    <w:rsid w:val="00DE5648"/>
    <w:rsid w:val="00DE595E"/>
    <w:rsid w:val="00DE5CD9"/>
    <w:rsid w:val="00DE70B5"/>
    <w:rsid w:val="00DE7113"/>
    <w:rsid w:val="00DF0576"/>
    <w:rsid w:val="00DF1981"/>
    <w:rsid w:val="00DF2144"/>
    <w:rsid w:val="00DF2EA5"/>
    <w:rsid w:val="00DF310B"/>
    <w:rsid w:val="00DF3E47"/>
    <w:rsid w:val="00DF56E8"/>
    <w:rsid w:val="00DF7133"/>
    <w:rsid w:val="00DF764C"/>
    <w:rsid w:val="00E02671"/>
    <w:rsid w:val="00E04ECF"/>
    <w:rsid w:val="00E067C4"/>
    <w:rsid w:val="00E07855"/>
    <w:rsid w:val="00E126B2"/>
    <w:rsid w:val="00E127E3"/>
    <w:rsid w:val="00E14818"/>
    <w:rsid w:val="00E148E8"/>
    <w:rsid w:val="00E15EB0"/>
    <w:rsid w:val="00E1610C"/>
    <w:rsid w:val="00E16660"/>
    <w:rsid w:val="00E16C78"/>
    <w:rsid w:val="00E16D73"/>
    <w:rsid w:val="00E17833"/>
    <w:rsid w:val="00E17981"/>
    <w:rsid w:val="00E17CD2"/>
    <w:rsid w:val="00E17E36"/>
    <w:rsid w:val="00E206D8"/>
    <w:rsid w:val="00E2352B"/>
    <w:rsid w:val="00E23F9B"/>
    <w:rsid w:val="00E26649"/>
    <w:rsid w:val="00E27F0A"/>
    <w:rsid w:val="00E352C3"/>
    <w:rsid w:val="00E37146"/>
    <w:rsid w:val="00E372F7"/>
    <w:rsid w:val="00E37DC0"/>
    <w:rsid w:val="00E37EC6"/>
    <w:rsid w:val="00E40432"/>
    <w:rsid w:val="00E40D52"/>
    <w:rsid w:val="00E41262"/>
    <w:rsid w:val="00E4220D"/>
    <w:rsid w:val="00E4231E"/>
    <w:rsid w:val="00E4279A"/>
    <w:rsid w:val="00E42D00"/>
    <w:rsid w:val="00E44AC7"/>
    <w:rsid w:val="00E45B2D"/>
    <w:rsid w:val="00E47A20"/>
    <w:rsid w:val="00E5084C"/>
    <w:rsid w:val="00E5384D"/>
    <w:rsid w:val="00E53F2E"/>
    <w:rsid w:val="00E54BB9"/>
    <w:rsid w:val="00E54D3F"/>
    <w:rsid w:val="00E55F1F"/>
    <w:rsid w:val="00E56866"/>
    <w:rsid w:val="00E57DFD"/>
    <w:rsid w:val="00E60423"/>
    <w:rsid w:val="00E607E5"/>
    <w:rsid w:val="00E60A16"/>
    <w:rsid w:val="00E6125B"/>
    <w:rsid w:val="00E6170A"/>
    <w:rsid w:val="00E62ADF"/>
    <w:rsid w:val="00E637A3"/>
    <w:rsid w:val="00E66BA2"/>
    <w:rsid w:val="00E677DB"/>
    <w:rsid w:val="00E71C2D"/>
    <w:rsid w:val="00E72BB6"/>
    <w:rsid w:val="00E778DC"/>
    <w:rsid w:val="00E80D00"/>
    <w:rsid w:val="00E815CE"/>
    <w:rsid w:val="00E81611"/>
    <w:rsid w:val="00E81800"/>
    <w:rsid w:val="00E81863"/>
    <w:rsid w:val="00E81C42"/>
    <w:rsid w:val="00E81C5C"/>
    <w:rsid w:val="00E82064"/>
    <w:rsid w:val="00E82B6E"/>
    <w:rsid w:val="00E82DC6"/>
    <w:rsid w:val="00E835C5"/>
    <w:rsid w:val="00E848F0"/>
    <w:rsid w:val="00E84D1C"/>
    <w:rsid w:val="00E8628F"/>
    <w:rsid w:val="00E942B8"/>
    <w:rsid w:val="00E945AF"/>
    <w:rsid w:val="00E94A0B"/>
    <w:rsid w:val="00E94A2C"/>
    <w:rsid w:val="00E94C85"/>
    <w:rsid w:val="00E95799"/>
    <w:rsid w:val="00E9683D"/>
    <w:rsid w:val="00E970B7"/>
    <w:rsid w:val="00EA010D"/>
    <w:rsid w:val="00EA0507"/>
    <w:rsid w:val="00EA25EB"/>
    <w:rsid w:val="00EA2775"/>
    <w:rsid w:val="00EA585A"/>
    <w:rsid w:val="00EA612E"/>
    <w:rsid w:val="00EA761C"/>
    <w:rsid w:val="00EA7D7F"/>
    <w:rsid w:val="00EB0B5F"/>
    <w:rsid w:val="00EB1CF7"/>
    <w:rsid w:val="00EB2B6F"/>
    <w:rsid w:val="00EB2FA2"/>
    <w:rsid w:val="00EB3272"/>
    <w:rsid w:val="00EB769A"/>
    <w:rsid w:val="00EC11E4"/>
    <w:rsid w:val="00EC14E1"/>
    <w:rsid w:val="00EC2A3F"/>
    <w:rsid w:val="00EC2E64"/>
    <w:rsid w:val="00EC2F81"/>
    <w:rsid w:val="00EC3A35"/>
    <w:rsid w:val="00EC3E69"/>
    <w:rsid w:val="00EC5554"/>
    <w:rsid w:val="00EC75F6"/>
    <w:rsid w:val="00ED0065"/>
    <w:rsid w:val="00ED353D"/>
    <w:rsid w:val="00ED588C"/>
    <w:rsid w:val="00ED5FDC"/>
    <w:rsid w:val="00EE1062"/>
    <w:rsid w:val="00EE17F2"/>
    <w:rsid w:val="00EE188A"/>
    <w:rsid w:val="00EE1B01"/>
    <w:rsid w:val="00EE2746"/>
    <w:rsid w:val="00EE391B"/>
    <w:rsid w:val="00EE6755"/>
    <w:rsid w:val="00EF0199"/>
    <w:rsid w:val="00EF03DC"/>
    <w:rsid w:val="00EF0437"/>
    <w:rsid w:val="00EF2AC7"/>
    <w:rsid w:val="00EF35EF"/>
    <w:rsid w:val="00EF493F"/>
    <w:rsid w:val="00F02C54"/>
    <w:rsid w:val="00F0448C"/>
    <w:rsid w:val="00F1377B"/>
    <w:rsid w:val="00F1601A"/>
    <w:rsid w:val="00F1675C"/>
    <w:rsid w:val="00F17428"/>
    <w:rsid w:val="00F20046"/>
    <w:rsid w:val="00F20D22"/>
    <w:rsid w:val="00F21A58"/>
    <w:rsid w:val="00F27F06"/>
    <w:rsid w:val="00F314E8"/>
    <w:rsid w:val="00F316A2"/>
    <w:rsid w:val="00F323A2"/>
    <w:rsid w:val="00F33B57"/>
    <w:rsid w:val="00F33D5C"/>
    <w:rsid w:val="00F356D6"/>
    <w:rsid w:val="00F37D37"/>
    <w:rsid w:val="00F400E3"/>
    <w:rsid w:val="00F44642"/>
    <w:rsid w:val="00F454A2"/>
    <w:rsid w:val="00F45E89"/>
    <w:rsid w:val="00F47845"/>
    <w:rsid w:val="00F47B6C"/>
    <w:rsid w:val="00F50675"/>
    <w:rsid w:val="00F50BD6"/>
    <w:rsid w:val="00F50E16"/>
    <w:rsid w:val="00F51520"/>
    <w:rsid w:val="00F53151"/>
    <w:rsid w:val="00F535A9"/>
    <w:rsid w:val="00F5480F"/>
    <w:rsid w:val="00F567A4"/>
    <w:rsid w:val="00F605BE"/>
    <w:rsid w:val="00F61C7A"/>
    <w:rsid w:val="00F625F7"/>
    <w:rsid w:val="00F64D5A"/>
    <w:rsid w:val="00F65EC9"/>
    <w:rsid w:val="00F66CB1"/>
    <w:rsid w:val="00F70815"/>
    <w:rsid w:val="00F709F4"/>
    <w:rsid w:val="00F710A9"/>
    <w:rsid w:val="00F7284D"/>
    <w:rsid w:val="00F72CFE"/>
    <w:rsid w:val="00F72FB0"/>
    <w:rsid w:val="00F73423"/>
    <w:rsid w:val="00F737A4"/>
    <w:rsid w:val="00F73D92"/>
    <w:rsid w:val="00F75481"/>
    <w:rsid w:val="00F76A4C"/>
    <w:rsid w:val="00F82E2E"/>
    <w:rsid w:val="00F83601"/>
    <w:rsid w:val="00F837E6"/>
    <w:rsid w:val="00F8389A"/>
    <w:rsid w:val="00F83AE9"/>
    <w:rsid w:val="00F843D4"/>
    <w:rsid w:val="00F8516E"/>
    <w:rsid w:val="00F86741"/>
    <w:rsid w:val="00F90613"/>
    <w:rsid w:val="00F906F4"/>
    <w:rsid w:val="00F915F3"/>
    <w:rsid w:val="00F91800"/>
    <w:rsid w:val="00F91853"/>
    <w:rsid w:val="00F91987"/>
    <w:rsid w:val="00F9208E"/>
    <w:rsid w:val="00F93797"/>
    <w:rsid w:val="00F95CCE"/>
    <w:rsid w:val="00F9692D"/>
    <w:rsid w:val="00F97D7B"/>
    <w:rsid w:val="00FA0F71"/>
    <w:rsid w:val="00FA3A97"/>
    <w:rsid w:val="00FA3AEA"/>
    <w:rsid w:val="00FA3EC2"/>
    <w:rsid w:val="00FA4219"/>
    <w:rsid w:val="00FA4245"/>
    <w:rsid w:val="00FA48C7"/>
    <w:rsid w:val="00FA54FF"/>
    <w:rsid w:val="00FA5570"/>
    <w:rsid w:val="00FA5C0B"/>
    <w:rsid w:val="00FA70F5"/>
    <w:rsid w:val="00FB005D"/>
    <w:rsid w:val="00FB183E"/>
    <w:rsid w:val="00FB4629"/>
    <w:rsid w:val="00FB577F"/>
    <w:rsid w:val="00FB5FC4"/>
    <w:rsid w:val="00FB6A07"/>
    <w:rsid w:val="00FB6FB1"/>
    <w:rsid w:val="00FC6D4E"/>
    <w:rsid w:val="00FC736F"/>
    <w:rsid w:val="00FD39CF"/>
    <w:rsid w:val="00FE1370"/>
    <w:rsid w:val="00FE1510"/>
    <w:rsid w:val="00FE2121"/>
    <w:rsid w:val="00FE321B"/>
    <w:rsid w:val="00FE3D07"/>
    <w:rsid w:val="00FE4B6F"/>
    <w:rsid w:val="00FE6818"/>
    <w:rsid w:val="00FF0CF5"/>
    <w:rsid w:val="00FF0D6F"/>
    <w:rsid w:val="00FF1712"/>
    <w:rsid w:val="00FF37DC"/>
    <w:rsid w:val="00FF37F2"/>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87B390B"/>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2E2A"/>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styleId="TextonotapieCar1" w:customStyle="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styleId="Appelnotedebasde" w:customStyle="1">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styleId="TextocomentarioCar" w:customStyle="1">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styleId="AsuntodelcomentarioCar" w:customStyle="1">
    <w:name w:val="Asunto del comentario Car"/>
    <w:basedOn w:val="TextocomentarioCar"/>
    <w:link w:val="Asuntodelcomentario"/>
    <w:uiPriority w:val="99"/>
    <w:semiHidden/>
    <w:rsid w:val="00A37D1C"/>
    <w:rPr>
      <w:b/>
      <w:bCs/>
      <w:sz w:val="20"/>
      <w:szCs w:val="20"/>
    </w:rPr>
  </w:style>
  <w:style w:type="paragraph" w:styleId="Normal11pt" w:customStyle="1">
    <w:name w:val="Normal + 11 pt"/>
    <w:aliases w:val="Negro,Justificado,Izquierda:  -0,95 cm,Derecha:  0,04 cm"/>
    <w:basedOn w:val="Normal"/>
    <w:uiPriority w:val="99"/>
    <w:rsid w:val="00B76C94"/>
    <w:pPr>
      <w:spacing w:after="0" w:line="240" w:lineRule="auto"/>
      <w:ind w:left="-540"/>
      <w:jc w:val="both"/>
    </w:pPr>
    <w:rPr>
      <w:rFonts w:ascii="Arial" w:hAnsi="Arial" w:eastAsia="Times New Roman" w:cs="Arial"/>
      <w:color w:val="000000"/>
      <w:lang w:val="es-ES_tradnl" w:eastAsia="es-ES"/>
    </w:rPr>
  </w:style>
  <w:style w:type="paragraph" w:styleId="Revisin">
    <w:name w:val="Revision"/>
    <w:hidden/>
    <w:uiPriority w:val="99"/>
    <w:semiHidden/>
    <w:rsid w:val="00F64D5A"/>
    <w:pPr>
      <w:spacing w:after="0" w:line="240" w:lineRule="auto"/>
    </w:pPr>
  </w:style>
  <w:style w:type="character" w:styleId="cf01" w:customStyle="1">
    <w:name w:val="cf01"/>
    <w:basedOn w:val="Fuentedeprrafopredeter"/>
    <w:rsid w:val="005019AA"/>
    <w:rPr>
      <w:rFonts w:hint="default" w:ascii="Segoe UI" w:hAnsi="Segoe UI" w:cs="Segoe UI"/>
      <w:i/>
      <w:iCs/>
      <w:sz w:val="18"/>
      <w:szCs w:val="18"/>
    </w:rPr>
  </w:style>
  <w:style w:type="character" w:styleId="normaltextrun" w:customStyle="1">
    <w:name w:val="normaltextrun"/>
    <w:basedOn w:val="Fuentedeprrafopredeter"/>
    <w:rsid w:val="5D8505AD"/>
  </w:style>
  <w:style w:type="character" w:styleId="eop" w:customStyle="1">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styleId="Ttulo1Car" w:customStyle="1">
    <w:name w:val="Título 1 Car"/>
    <w:basedOn w:val="Fuentedeprrafopredeter"/>
    <w:link w:val="Ttulo1"/>
    <w:uiPriority w:val="9"/>
    <w:rsid w:val="00CD2E70"/>
    <w:rPr>
      <w:rFonts w:ascii="Times New Roman" w:hAnsi="Times New Roman" w:eastAsia="Times New Roman" w:cs="Times New Roman"/>
      <w:b/>
      <w:bCs/>
      <w:kern w:val="36"/>
      <w:sz w:val="48"/>
      <w:szCs w:val="48"/>
      <w:lang w:eastAsia="es-ES_tradnl"/>
    </w:rPr>
  </w:style>
  <w:style w:type="paragraph" w:styleId="paragraph" w:customStyle="1">
    <w:name w:val="paragraph"/>
    <w:basedOn w:val="Normal"/>
    <w:rsid w:val="00CD2E70"/>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superscript" w:customStyle="1">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styleId="Hipervnculo1" w:customStyle="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styleId="Textoindependiente21" w:customStyle="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hAnsi="Arial" w:eastAsia="Times New Roman"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extoindependienteCar" w:customStyle="1">
    <w:name w:val="Texto independiente Car"/>
    <w:basedOn w:val="Fuentedeprrafopredeter"/>
    <w:link w:val="Textoindependiente"/>
    <w:uiPriority w:val="99"/>
    <w:semiHidden/>
    <w:rsid w:val="00002D55"/>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am02.safelinks.protection.outlook.com/?url=https%3A%2F%2Fwww.colombiacompra.gov.co%2Fsites%2Fcce_public%2Ffiles%2Fcce_documents%2Fmanual_para_el_manejo_de_acuerdos_comerciales_vf.pdf&amp;data=05%7C02%7Ctatiana.baquero%40colombiacompra.gov.co%7C6192b0470d324981a09708dd0a6c28db%7C7b09041e245149d08cb179d5e3d8c1be%7C0%7C0%7C638678181871466195%7CUnknown%7CTWFpbGZsb3d8eyJFbXB0eU1hcGkiOnRydWUsIlYiOiIwLjAuMDAwMCIsIlAiOiJXaW4zMiIsIkFOIjoiTWFpbCIsIldUIjoyfQ%3D%3D%7C0%7C%7C%7C&amp;sdata=8JPL8U8%2BUsoXqWJgnrOpKmb4JvaeXj2NTCvMf0kLiw8%3D&amp;reserved=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latoria.colombiacompra.gov.co/busqueda/concepto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m02.safelinks.protection.outlook.com/?url=https%3A%2F%2Fwww.colombiacompra.gov.co%2Fsala-de-prensa%2Fboletin-digital&amp;data=05%7C02%7Ctatiana.baquero%40colombiacompra.gov.co%7C096eca3fdcca424ff1c708dcf932f947%7C7b09041e245149d08cb179d5e3d8c1be%7C0%7C0%7C638659244553532947%7CUnknown%7CTWFpbGZsb3d8eyJWIjoiMC4wLjAwMDAiLCJQIjoiV2luMzIiLCJBTiI6Ik1haWwiLCJXVCI6Mn0%3D%7C0%7C%7C%7C&amp;sdata=VfCfdu%2FNTKizYJ%2BTcSRg1Tea2hVJZb3yqJJaoilRkDk%3D&amp;reserved=0"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179_1994.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ANCP-SGC</dc:creator>
  <keywords/>
  <dc:description/>
  <lastModifiedBy>Tatiana Baquero Iguaran</lastModifiedBy>
  <revision>11</revision>
  <dcterms:created xsi:type="dcterms:W3CDTF">2024-12-06T15:56:00.0000000Z</dcterms:created>
  <dcterms:modified xsi:type="dcterms:W3CDTF">2024-12-06T16:19:45.0466679Z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