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24CA" w14:textId="77777777" w:rsidR="00827D37" w:rsidRDefault="00827D37" w:rsidP="00D955F4">
      <w:pPr>
        <w:spacing w:after="0"/>
        <w:rPr>
          <w:rFonts w:ascii="Verdana" w:hAnsi="Verdana"/>
        </w:rPr>
      </w:pPr>
      <w:bookmarkStart w:id="0" w:name="_Hlk143780582"/>
    </w:p>
    <w:p w14:paraId="77DB6AF8" w14:textId="77777777" w:rsidR="00827D37" w:rsidRPr="00827D37" w:rsidRDefault="00827D37" w:rsidP="00827D37">
      <w:pPr>
        <w:rPr>
          <w:rFonts w:ascii="Verdana" w:hAnsi="Verdana"/>
          <w:b/>
          <w:lang w:val="es-ES_tradnl"/>
        </w:rPr>
      </w:pPr>
      <w:r w:rsidRPr="00827D37">
        <w:rPr>
          <w:rFonts w:ascii="Verdana" w:hAnsi="Verdana"/>
          <w:b/>
          <w:lang w:val="es-ES_tradnl"/>
        </w:rPr>
        <w:t xml:space="preserve">PLAN ANUAL DE ADQUISICIONES – Noción – contenido </w:t>
      </w:r>
    </w:p>
    <w:p w14:paraId="37A3A87A" w14:textId="77777777" w:rsidR="00827D37" w:rsidRPr="00827D37" w:rsidRDefault="00827D37" w:rsidP="00827D37">
      <w:pPr>
        <w:rPr>
          <w:rFonts w:ascii="Verdana" w:hAnsi="Verdana"/>
          <w:lang w:val="es-ES"/>
        </w:rPr>
      </w:pPr>
    </w:p>
    <w:p w14:paraId="1C8317E1" w14:textId="77777777" w:rsidR="00827D37" w:rsidRPr="00827D37" w:rsidRDefault="00827D37" w:rsidP="00827D37">
      <w:pPr>
        <w:rPr>
          <w:rFonts w:ascii="Verdana" w:hAnsi="Verdana"/>
        </w:rPr>
      </w:pPr>
      <w:r w:rsidRPr="00827D37">
        <w:rPr>
          <w:rFonts w:ascii="Verdana" w:hAnsi="Verdana"/>
        </w:rPr>
        <w:t>El Plan Anual de Adquisiciones es un instrumento de planificación y orientación de la contratación de las entidades públicas, establecido para identificar las necesidades de contratación, en el que se incluyen, de manera estimativa, los bienes, obras o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w:t>
      </w:r>
    </w:p>
    <w:p w14:paraId="6C37D81F" w14:textId="77777777" w:rsidR="00827D37" w:rsidRPr="00827D37" w:rsidRDefault="00827D37" w:rsidP="00827D37">
      <w:pPr>
        <w:rPr>
          <w:rFonts w:ascii="Verdana" w:hAnsi="Verdana"/>
        </w:rPr>
      </w:pPr>
    </w:p>
    <w:p w14:paraId="356AFEBF" w14:textId="77777777" w:rsidR="00827D37" w:rsidRPr="00827D37" w:rsidRDefault="00827D37" w:rsidP="00827D37">
      <w:pPr>
        <w:rPr>
          <w:rFonts w:ascii="Verdana" w:hAnsi="Verdana"/>
          <w:b/>
          <w:lang w:val="es-ES_tradnl"/>
        </w:rPr>
      </w:pPr>
      <w:r w:rsidRPr="00827D37">
        <w:rPr>
          <w:rFonts w:ascii="Verdana" w:hAnsi="Verdana"/>
          <w:b/>
          <w:lang w:val="es-ES_tradnl"/>
        </w:rPr>
        <w:t xml:space="preserve">PLAN ANUAL DE ADQUISICIONES – Deber de elaboración del Plan Anual de Adquisiciones </w:t>
      </w:r>
    </w:p>
    <w:p w14:paraId="64BBA500" w14:textId="77777777" w:rsidR="00827D37" w:rsidRPr="00827D37" w:rsidRDefault="00827D37" w:rsidP="00827D37">
      <w:pPr>
        <w:rPr>
          <w:rFonts w:ascii="Verdana" w:hAnsi="Verdana"/>
          <w:b/>
          <w:lang w:val="es-ES_tradnl"/>
        </w:rPr>
      </w:pPr>
    </w:p>
    <w:p w14:paraId="0DB5D302" w14:textId="77777777" w:rsidR="00827D37" w:rsidRPr="00827D37" w:rsidRDefault="00827D37" w:rsidP="00827D37">
      <w:pPr>
        <w:rPr>
          <w:rFonts w:ascii="Verdana" w:hAnsi="Verdana"/>
        </w:rPr>
      </w:pPr>
      <w:r w:rsidRPr="00827D37">
        <w:rPr>
          <w:rFonts w:ascii="Verdana" w:hAnsi="Verdana"/>
        </w:rPr>
        <w:t xml:space="preserve">Ahora bien, respecto del deber de elaboración del Plan Anual de Adquisiciones, el artículo 2.2.1.1.1.4.1 del Decreto 1082 de 2015 dispone: </w:t>
      </w:r>
    </w:p>
    <w:p w14:paraId="136CBDAF" w14:textId="77777777" w:rsidR="00827D37" w:rsidRPr="00827D37" w:rsidRDefault="00827D37" w:rsidP="00827D37">
      <w:pPr>
        <w:rPr>
          <w:rFonts w:ascii="Verdana" w:hAnsi="Verdana"/>
        </w:rPr>
      </w:pPr>
    </w:p>
    <w:p w14:paraId="4DB5A0C4" w14:textId="77777777" w:rsidR="00827D37" w:rsidRPr="00827D37" w:rsidRDefault="00827D37" w:rsidP="00827D37">
      <w:pPr>
        <w:rPr>
          <w:rFonts w:ascii="Verdana" w:hAnsi="Verdana"/>
        </w:rPr>
      </w:pPr>
      <w:r w:rsidRPr="00827D37">
        <w:rPr>
          <w:rFonts w:ascii="Verdana" w:hAnsi="Verdana"/>
        </w:rPr>
        <w:t xml:space="preserve">“Artículo 2.2.1.1.1.4.1. Plan Anual de Adquisiciones. </w:t>
      </w:r>
      <w:r w:rsidRPr="00827D37">
        <w:rPr>
          <w:rFonts w:ascii="Verdana" w:hAnsi="Verdana"/>
          <w:i/>
          <w:iCs/>
          <w:u w:val="single"/>
        </w:rPr>
        <w:t xml:space="preserve">Las entidades estatales </w:t>
      </w:r>
      <w:r w:rsidRPr="00827D37">
        <w:rPr>
          <w:rFonts w:ascii="Verdana" w:hAnsi="Verdana"/>
        </w:rPr>
        <w:t>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4BE54FE7" w14:textId="77777777" w:rsidR="00827D37" w:rsidRPr="00827D37" w:rsidRDefault="00827D37" w:rsidP="00827D37">
      <w:pPr>
        <w:rPr>
          <w:rFonts w:ascii="Verdana" w:hAnsi="Verdana"/>
        </w:rPr>
      </w:pPr>
    </w:p>
    <w:p w14:paraId="37371C72" w14:textId="77777777" w:rsidR="00827D37" w:rsidRPr="00827D37" w:rsidRDefault="00827D37" w:rsidP="00827D37">
      <w:pPr>
        <w:rPr>
          <w:rFonts w:ascii="Verdana" w:hAnsi="Verdana"/>
        </w:rPr>
      </w:pPr>
    </w:p>
    <w:p w14:paraId="584B1ED9" w14:textId="77777777" w:rsidR="00827D37" w:rsidRPr="00827D37" w:rsidRDefault="00827D37" w:rsidP="00827D37">
      <w:pPr>
        <w:rPr>
          <w:rFonts w:ascii="Verdana" w:hAnsi="Verdana"/>
          <w:b/>
          <w:lang w:val="es-ES_tradnl"/>
        </w:rPr>
      </w:pPr>
      <w:r w:rsidRPr="00827D37">
        <w:rPr>
          <w:rFonts w:ascii="Verdana" w:hAnsi="Verdana"/>
          <w:b/>
          <w:lang w:val="es-ES_tradnl"/>
        </w:rPr>
        <w:t>PLAN ANUAL DE ADQUISICIONES – Guía para la elaboración del plan anual de adquisiciones</w:t>
      </w:r>
    </w:p>
    <w:p w14:paraId="54EB5814" w14:textId="77777777" w:rsidR="00827D37" w:rsidRPr="00827D37" w:rsidRDefault="00827D37" w:rsidP="00827D37">
      <w:pPr>
        <w:rPr>
          <w:rFonts w:ascii="Verdana" w:hAnsi="Verdana"/>
          <w:b/>
          <w:lang w:val="es-ES_tradnl"/>
        </w:rPr>
      </w:pPr>
    </w:p>
    <w:p w14:paraId="639ECAA9" w14:textId="77777777" w:rsidR="00827D37" w:rsidRPr="00827D37" w:rsidRDefault="00827D37" w:rsidP="00827D37">
      <w:pPr>
        <w:rPr>
          <w:rFonts w:ascii="Verdana" w:hAnsi="Verdana"/>
          <w:b/>
          <w:lang w:val="es-ES_tradnl"/>
        </w:rPr>
      </w:pPr>
      <w:r w:rsidRPr="00827D37">
        <w:rPr>
          <w:rFonts w:ascii="Verdana" w:hAnsi="Verdana"/>
        </w:rPr>
        <w:t>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las definiciones del Decreto 1082 de 2015. Sin embargo, a pesar de que la Ley Orgánica de Planeación impone a los organismos públicos de todos los órdenes la obligación de preparar el “plan de acción”, basado en el Plan Anual de Desarrollo aprobado, no identifica al funcionario u organismo, al interior de la entidad estatal, que debe cumplir con esto. Por tanto, es necesario que en cada caso se verifiquen las competencias de los órganos internos de cada entidad, para definir quien adopta o aprueba el documento, y así mismo quien lo estructura, administra y consolida.</w:t>
      </w:r>
    </w:p>
    <w:p w14:paraId="4C6C4B28" w14:textId="77777777" w:rsidR="007832D5" w:rsidRDefault="007832D5" w:rsidP="00827D37">
      <w:pPr>
        <w:rPr>
          <w:rFonts w:ascii="Verdana" w:hAnsi="Verdana"/>
        </w:rPr>
      </w:pPr>
    </w:p>
    <w:p w14:paraId="28521333" w14:textId="77777777" w:rsidR="007832D5" w:rsidRDefault="007832D5" w:rsidP="00827D37">
      <w:pPr>
        <w:rPr>
          <w:rFonts w:ascii="Verdana" w:hAnsi="Verdana"/>
        </w:rPr>
      </w:pPr>
    </w:p>
    <w:p w14:paraId="68262AEC" w14:textId="77777777" w:rsidR="007832D5" w:rsidRDefault="007832D5" w:rsidP="00827D37">
      <w:pPr>
        <w:rPr>
          <w:rFonts w:ascii="Verdana" w:hAnsi="Verdana"/>
        </w:rPr>
      </w:pPr>
    </w:p>
    <w:p w14:paraId="72B789CA" w14:textId="77777777" w:rsidR="007832D5" w:rsidRDefault="007832D5" w:rsidP="00827D37">
      <w:pPr>
        <w:rPr>
          <w:rFonts w:ascii="Verdana" w:hAnsi="Verdana"/>
        </w:rPr>
      </w:pPr>
    </w:p>
    <w:p w14:paraId="2B25DE9C" w14:textId="77777777" w:rsidR="007832D5" w:rsidRDefault="007832D5" w:rsidP="00827D37">
      <w:pPr>
        <w:rPr>
          <w:rFonts w:ascii="Verdana" w:hAnsi="Verdana"/>
        </w:rPr>
      </w:pPr>
    </w:p>
    <w:p w14:paraId="4BC3DE96" w14:textId="77777777" w:rsidR="007832D5" w:rsidRDefault="007832D5" w:rsidP="00827D37">
      <w:pPr>
        <w:rPr>
          <w:rFonts w:ascii="Verdana" w:hAnsi="Verdana"/>
        </w:rPr>
      </w:pPr>
    </w:p>
    <w:p w14:paraId="6EF1023B" w14:textId="77777777" w:rsidR="007832D5" w:rsidRDefault="007832D5" w:rsidP="00827D37">
      <w:pPr>
        <w:rPr>
          <w:rFonts w:ascii="Verdana" w:hAnsi="Verdana"/>
        </w:rPr>
      </w:pPr>
    </w:p>
    <w:p w14:paraId="342974A0" w14:textId="77777777" w:rsidR="007832D5" w:rsidRDefault="007832D5" w:rsidP="00827D37">
      <w:pPr>
        <w:rPr>
          <w:rFonts w:ascii="Verdana" w:hAnsi="Verdana"/>
        </w:rPr>
      </w:pPr>
    </w:p>
    <w:p w14:paraId="0914BBEA" w14:textId="77777777" w:rsidR="007832D5" w:rsidRDefault="007832D5" w:rsidP="00827D37">
      <w:pPr>
        <w:rPr>
          <w:rFonts w:ascii="Verdana" w:hAnsi="Verdana"/>
        </w:rPr>
      </w:pPr>
    </w:p>
    <w:p w14:paraId="0A0F2962" w14:textId="77777777" w:rsidR="007832D5" w:rsidRDefault="007832D5" w:rsidP="00827D37">
      <w:pPr>
        <w:rPr>
          <w:rFonts w:ascii="Verdana" w:hAnsi="Verdana"/>
        </w:rPr>
      </w:pPr>
    </w:p>
    <w:p w14:paraId="31C185DF" w14:textId="77777777" w:rsidR="007832D5" w:rsidRDefault="007832D5" w:rsidP="00827D37">
      <w:pPr>
        <w:rPr>
          <w:rFonts w:ascii="Verdana" w:hAnsi="Verdana"/>
        </w:rPr>
      </w:pPr>
    </w:p>
    <w:p w14:paraId="02AA06B9" w14:textId="77777777" w:rsidR="007832D5" w:rsidRDefault="007832D5" w:rsidP="00827D37">
      <w:pPr>
        <w:rPr>
          <w:rFonts w:ascii="Verdana" w:hAnsi="Verdana"/>
        </w:rPr>
      </w:pPr>
    </w:p>
    <w:p w14:paraId="0E5B3951" w14:textId="77777777" w:rsidR="007832D5" w:rsidRDefault="007832D5" w:rsidP="00827D37">
      <w:pPr>
        <w:rPr>
          <w:rFonts w:ascii="Verdana" w:hAnsi="Verdana"/>
        </w:rPr>
      </w:pPr>
    </w:p>
    <w:p w14:paraId="48187551" w14:textId="77777777" w:rsidR="007832D5" w:rsidRDefault="007832D5" w:rsidP="00827D37">
      <w:pPr>
        <w:rPr>
          <w:rFonts w:ascii="Verdana" w:hAnsi="Verdana"/>
        </w:rPr>
      </w:pPr>
    </w:p>
    <w:p w14:paraId="1ADB2492" w14:textId="77777777" w:rsidR="007832D5" w:rsidRDefault="007832D5" w:rsidP="00827D37">
      <w:pPr>
        <w:rPr>
          <w:rFonts w:ascii="Verdana" w:hAnsi="Verdana"/>
        </w:rPr>
      </w:pPr>
    </w:p>
    <w:p w14:paraId="56A186B9" w14:textId="77777777" w:rsidR="007832D5" w:rsidRDefault="007832D5" w:rsidP="00827D37">
      <w:pPr>
        <w:rPr>
          <w:rFonts w:ascii="Verdana" w:hAnsi="Verdana"/>
        </w:rPr>
      </w:pPr>
    </w:p>
    <w:p w14:paraId="2610BD7B" w14:textId="6416B819" w:rsidR="00D955F4" w:rsidRPr="0044528D" w:rsidRDefault="00D955F4" w:rsidP="00827D37">
      <w:pPr>
        <w:rPr>
          <w:rFonts w:ascii="Verdana" w:hAnsi="Verdana"/>
        </w:rPr>
      </w:pPr>
      <w:r w:rsidRPr="0044528D">
        <w:rPr>
          <w:rFonts w:ascii="Verdana" w:hAnsi="Verdana"/>
        </w:rPr>
        <w:lastRenderedPageBreak/>
        <w:t xml:space="preserve">Bogotá D.C., [Día] </w:t>
      </w:r>
      <w:r w:rsidRPr="001511A0">
        <w:rPr>
          <w:rFonts w:ascii="Verdana" w:hAnsi="Verdana"/>
        </w:rPr>
        <w:t>[</w:t>
      </w:r>
      <w:proofErr w:type="spellStart"/>
      <w:r w:rsidRPr="001511A0">
        <w:rPr>
          <w:rFonts w:ascii="Verdana" w:hAnsi="Verdana"/>
        </w:rPr>
        <w:t>Mes.NombreCapitalizado</w:t>
      </w:r>
      <w:proofErr w:type="spellEnd"/>
      <w:r w:rsidRPr="001511A0">
        <w:rPr>
          <w:rFonts w:ascii="Verdana" w:hAnsi="Verdana"/>
        </w:rPr>
        <w:t xml:space="preserve">] </w:t>
      </w:r>
      <w:r w:rsidRPr="0044528D">
        <w:rPr>
          <w:rFonts w:ascii="Verdana" w:hAnsi="Verdana"/>
        </w:rPr>
        <w:t>[Año]</w:t>
      </w:r>
      <w:r w:rsidRPr="0044528D">
        <w:rPr>
          <w:rFonts w:ascii="Verdana" w:hAnsi="Verdana"/>
        </w:rPr>
        <w:tab/>
      </w:r>
    </w:p>
    <w:p w14:paraId="4A4D66A8" w14:textId="5AFE74AA" w:rsidR="00B8003B" w:rsidRDefault="00B8003B" w:rsidP="00D955F4">
      <w:pPr>
        <w:spacing w:after="0"/>
        <w:rPr>
          <w:rFonts w:ascii="Verdana" w:hAnsi="Verdana"/>
        </w:rPr>
      </w:pPr>
      <w:r>
        <w:rPr>
          <w:rFonts w:ascii="Verdana" w:hAnsi="Verdana"/>
        </w:rPr>
        <w:t xml:space="preserve">                       </w:t>
      </w:r>
      <w:r w:rsidRPr="00B8003B">
        <w:rPr>
          <w:rFonts w:ascii="Verdana" w:hAnsi="Verdana"/>
          <w:noProof/>
        </w:rPr>
        <w:drawing>
          <wp:anchor distT="0" distB="0" distL="114300" distR="114300" simplePos="0" relativeHeight="251658240" behindDoc="1" locked="0" layoutInCell="1" allowOverlap="1" wp14:anchorId="61906EE2" wp14:editId="212CA82F">
            <wp:simplePos x="0" y="0"/>
            <wp:positionH relativeFrom="margin">
              <wp:posOffset>4082415</wp:posOffset>
            </wp:positionH>
            <wp:positionV relativeFrom="paragraph">
              <wp:posOffset>133350</wp:posOffset>
            </wp:positionV>
            <wp:extent cx="2486025" cy="752475"/>
            <wp:effectExtent l="0" t="0" r="9525" b="9525"/>
            <wp:wrapTight wrapText="bothSides">
              <wp:wrapPolygon edited="0">
                <wp:start x="0" y="0"/>
                <wp:lineTo x="0" y="21327"/>
                <wp:lineTo x="21517" y="21327"/>
                <wp:lineTo x="21517" y="0"/>
                <wp:lineTo x="0" y="0"/>
              </wp:wrapPolygon>
            </wp:wrapTight>
            <wp:docPr id="1058452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BCA5F" w14:textId="40A9DB80" w:rsidR="00D955F4" w:rsidRDefault="00D955F4" w:rsidP="00D955F4">
      <w:pPr>
        <w:spacing w:after="0"/>
        <w:rPr>
          <w:rFonts w:ascii="Verdana" w:hAnsi="Verdana"/>
        </w:rPr>
      </w:pPr>
      <w:r>
        <w:rPr>
          <w:rFonts w:ascii="Verdana" w:hAnsi="Verdana"/>
        </w:rPr>
        <w:t xml:space="preserve">Señores </w:t>
      </w:r>
    </w:p>
    <w:p w14:paraId="5FEF7C8C" w14:textId="77777777" w:rsidR="00D955F4" w:rsidRPr="00A277DE" w:rsidRDefault="00D955F4" w:rsidP="00D955F4">
      <w:pPr>
        <w:spacing w:after="0"/>
        <w:rPr>
          <w:rFonts w:ascii="Verdana" w:hAnsi="Verdana"/>
          <w:b/>
          <w:bCs/>
        </w:rPr>
      </w:pPr>
      <w:r w:rsidRPr="00A277DE">
        <w:rPr>
          <w:rFonts w:ascii="Verdana" w:hAnsi="Verdana"/>
          <w:b/>
          <w:bCs/>
        </w:rPr>
        <w:t>Superintendencia de la Economía solidaria</w:t>
      </w:r>
    </w:p>
    <w:p w14:paraId="0189DF21" w14:textId="77777777" w:rsidR="00D955F4" w:rsidRDefault="00D955F4" w:rsidP="00D955F4">
      <w:pPr>
        <w:spacing w:after="0"/>
        <w:rPr>
          <w:rFonts w:ascii="Verdana" w:hAnsi="Verdana"/>
        </w:rPr>
      </w:pPr>
      <w:hyperlink r:id="rId12" w:history="1">
        <w:r w:rsidRPr="00050DA1">
          <w:rPr>
            <w:rStyle w:val="Hipervnculo"/>
            <w:rFonts w:ascii="Verdana" w:hAnsi="Verdana"/>
          </w:rPr>
          <w:t>atencionalciudadano@supersolidaria.gov.co</w:t>
        </w:r>
      </w:hyperlink>
      <w:r>
        <w:rPr>
          <w:rFonts w:ascii="Verdana" w:hAnsi="Verdana"/>
        </w:rPr>
        <w:t xml:space="preserve"> </w:t>
      </w:r>
    </w:p>
    <w:p w14:paraId="2141A76B" w14:textId="77777777" w:rsidR="00D955F4" w:rsidRDefault="00D955F4" w:rsidP="00D955F4">
      <w:pPr>
        <w:spacing w:after="0"/>
        <w:rPr>
          <w:rFonts w:ascii="Verdana" w:hAnsi="Verdana"/>
        </w:rPr>
      </w:pPr>
      <w:r>
        <w:rPr>
          <w:rFonts w:ascii="Verdana" w:hAnsi="Verdana"/>
        </w:rPr>
        <w:t>Ciudad</w:t>
      </w:r>
    </w:p>
    <w:p w14:paraId="6EC070B6" w14:textId="77777777" w:rsidR="00D955F4" w:rsidRDefault="00D955F4" w:rsidP="00D955F4">
      <w:pPr>
        <w:spacing w:after="0"/>
        <w:rPr>
          <w:rFonts w:ascii="Verdana" w:hAnsi="Verdana"/>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955F4" w:rsidRPr="00676A8B" w14:paraId="6687BFB4" w14:textId="77777777" w:rsidTr="007A3185">
        <w:trPr>
          <w:trHeight w:val="884"/>
        </w:trPr>
        <w:tc>
          <w:tcPr>
            <w:tcW w:w="2689" w:type="dxa"/>
          </w:tcPr>
          <w:p w14:paraId="67B0EE56" w14:textId="77777777" w:rsidR="00D955F4" w:rsidRPr="00676A8B" w:rsidRDefault="00D955F4" w:rsidP="007A3185">
            <w:pPr>
              <w:jc w:val="both"/>
              <w:rPr>
                <w:rFonts w:ascii="Verdana" w:eastAsia="Calibri" w:hAnsi="Verdana" w:cs="Arial"/>
                <w:b/>
                <w:bCs/>
                <w:lang w:val="es-ES_tradnl" w:eastAsia="es-ES_tradnl"/>
              </w:rPr>
            </w:pPr>
          </w:p>
        </w:tc>
        <w:tc>
          <w:tcPr>
            <w:tcW w:w="6100" w:type="dxa"/>
          </w:tcPr>
          <w:p w14:paraId="09B4575A" w14:textId="77777777" w:rsidR="00D955F4" w:rsidRPr="00676A8B" w:rsidRDefault="00D955F4" w:rsidP="005406FA">
            <w:pPr>
              <w:tabs>
                <w:tab w:val="left" w:pos="150"/>
              </w:tabs>
              <w:jc w:val="both"/>
              <w:rPr>
                <w:rFonts w:ascii="Verdana" w:eastAsia="Calibri" w:hAnsi="Verdana" w:cs="Arial"/>
                <w:b/>
                <w:bCs/>
                <w:lang w:val="es-ES" w:eastAsia="es-ES"/>
              </w:rPr>
            </w:pPr>
            <w:r w:rsidRPr="00676A8B">
              <w:rPr>
                <w:rFonts w:ascii="Verdana" w:eastAsia="Calibri" w:hAnsi="Verdana" w:cs="Arial"/>
                <w:b/>
                <w:bCs/>
                <w:lang w:val="es-ES" w:eastAsia="es-ES"/>
              </w:rPr>
              <w:t xml:space="preserve">Concepto C- </w:t>
            </w:r>
            <w:r>
              <w:rPr>
                <w:rFonts w:ascii="Verdana" w:eastAsia="Calibri" w:hAnsi="Verdana" w:cs="Arial"/>
                <w:b/>
                <w:bCs/>
                <w:lang w:val="es-ES" w:eastAsia="es-ES"/>
              </w:rPr>
              <w:t>851</w:t>
            </w:r>
            <w:r w:rsidRPr="00676A8B">
              <w:rPr>
                <w:rFonts w:ascii="Verdana" w:eastAsia="Calibri" w:hAnsi="Verdana" w:cs="Arial"/>
                <w:b/>
                <w:bCs/>
                <w:lang w:val="es-ES" w:eastAsia="es-ES"/>
              </w:rPr>
              <w:t xml:space="preserve"> de 2024</w:t>
            </w:r>
          </w:p>
        </w:tc>
      </w:tr>
      <w:tr w:rsidR="00D955F4" w:rsidRPr="00676A8B" w14:paraId="1D4F35AB" w14:textId="77777777" w:rsidTr="007A3185">
        <w:trPr>
          <w:trHeight w:val="884"/>
        </w:trPr>
        <w:tc>
          <w:tcPr>
            <w:tcW w:w="2689" w:type="dxa"/>
          </w:tcPr>
          <w:p w14:paraId="00D25C72" w14:textId="77777777" w:rsidR="00D955F4" w:rsidRPr="00676A8B" w:rsidRDefault="00D955F4" w:rsidP="007A3185">
            <w:pPr>
              <w:jc w:val="both"/>
              <w:rPr>
                <w:rFonts w:ascii="Verdana" w:eastAsia="Calibri" w:hAnsi="Verdana" w:cs="Arial"/>
                <w:lang w:val="es-ES_tradnl" w:eastAsia="es-ES_tradnl"/>
              </w:rPr>
            </w:pPr>
            <w:r w:rsidRPr="00676A8B">
              <w:rPr>
                <w:rFonts w:ascii="Verdana" w:eastAsia="Calibri" w:hAnsi="Verdana" w:cs="Arial"/>
                <w:b/>
                <w:lang w:val="es-ES_tradnl" w:eastAsia="es-ES_tradnl"/>
              </w:rPr>
              <w:t>Temas:</w:t>
            </w:r>
            <w:r w:rsidRPr="00676A8B">
              <w:rPr>
                <w:rFonts w:ascii="Verdana" w:eastAsia="Calibri" w:hAnsi="Verdana" w:cs="Arial"/>
                <w:lang w:val="es-ES_tradnl" w:eastAsia="es-ES_tradnl"/>
              </w:rPr>
              <w:t xml:space="preserve">                   </w:t>
            </w:r>
          </w:p>
        </w:tc>
        <w:tc>
          <w:tcPr>
            <w:tcW w:w="6100" w:type="dxa"/>
          </w:tcPr>
          <w:p w14:paraId="21314527" w14:textId="0C45DB9A" w:rsidR="00D955F4" w:rsidRDefault="00D955F4" w:rsidP="005406FA">
            <w:pPr>
              <w:tabs>
                <w:tab w:val="left" w:pos="150"/>
              </w:tabs>
              <w:spacing w:line="276" w:lineRule="auto"/>
              <w:jc w:val="both"/>
              <w:rPr>
                <w:rFonts w:ascii="Verdana" w:hAnsi="Verdana" w:cs="Arial"/>
              </w:rPr>
            </w:pPr>
            <w:r w:rsidRPr="00676A8B">
              <w:rPr>
                <w:rFonts w:ascii="Verdana" w:hAnsi="Verdana" w:cs="Arial"/>
              </w:rPr>
              <w:t>PLAN ANUAL DE ADQUISICIONES – Noción</w:t>
            </w:r>
            <w:r>
              <w:rPr>
                <w:rFonts w:ascii="Verdana" w:hAnsi="Verdana" w:cs="Arial"/>
              </w:rPr>
              <w:t xml:space="preserve"> – Contenido / PLAN ANUAL DE ADQUISICIONES </w:t>
            </w:r>
            <w:r w:rsidR="00A277DE">
              <w:rPr>
                <w:rFonts w:ascii="Verdana" w:hAnsi="Verdana" w:cs="Arial"/>
              </w:rPr>
              <w:t>–</w:t>
            </w:r>
            <w:r>
              <w:rPr>
                <w:rFonts w:ascii="Verdana" w:hAnsi="Verdana" w:cs="Arial"/>
              </w:rPr>
              <w:t xml:space="preserve"> Deber de elaboración del Plan Anual de Adquisiciones</w:t>
            </w:r>
            <w:r w:rsidR="00A277DE">
              <w:rPr>
                <w:rFonts w:ascii="Verdana" w:hAnsi="Verdana" w:cs="Arial"/>
              </w:rPr>
              <w:t xml:space="preserve"> – </w:t>
            </w:r>
            <w:r>
              <w:rPr>
                <w:rFonts w:ascii="Verdana" w:hAnsi="Verdana" w:cs="Arial"/>
              </w:rPr>
              <w:t>Guía para la elaboración del plan anual de adquisiciones</w:t>
            </w:r>
          </w:p>
          <w:p w14:paraId="7A36A46F" w14:textId="77777777" w:rsidR="00D955F4" w:rsidRPr="00676A8B" w:rsidRDefault="00D955F4" w:rsidP="005406FA">
            <w:pPr>
              <w:tabs>
                <w:tab w:val="left" w:pos="150"/>
              </w:tabs>
              <w:spacing w:line="276" w:lineRule="auto"/>
              <w:jc w:val="both"/>
              <w:rPr>
                <w:rFonts w:ascii="Verdana" w:hAnsi="Verdana" w:cs="Arial"/>
              </w:rPr>
            </w:pPr>
          </w:p>
        </w:tc>
      </w:tr>
      <w:tr w:rsidR="00D955F4" w:rsidRPr="00676A8B" w14:paraId="61CD5EDA" w14:textId="77777777" w:rsidTr="007A3185">
        <w:tc>
          <w:tcPr>
            <w:tcW w:w="2689" w:type="dxa"/>
          </w:tcPr>
          <w:p w14:paraId="02CA9C3E" w14:textId="77777777" w:rsidR="00D955F4" w:rsidRPr="00676A8B" w:rsidRDefault="00D955F4" w:rsidP="007A3185">
            <w:pPr>
              <w:jc w:val="both"/>
              <w:rPr>
                <w:rFonts w:ascii="Verdana" w:eastAsia="Calibri" w:hAnsi="Verdana" w:cs="Arial"/>
                <w:b/>
                <w:lang w:val="es-ES_tradnl" w:eastAsia="es-ES_tradnl"/>
              </w:rPr>
            </w:pPr>
            <w:r w:rsidRPr="00676A8B">
              <w:rPr>
                <w:rFonts w:ascii="Verdana" w:eastAsia="Calibri" w:hAnsi="Verdana" w:cs="Arial"/>
                <w:b/>
                <w:lang w:val="es-ES_tradnl" w:eastAsia="es-ES_tradnl"/>
              </w:rPr>
              <w:t>Radicación:</w:t>
            </w:r>
            <w:r w:rsidRPr="00676A8B">
              <w:rPr>
                <w:rFonts w:ascii="Verdana" w:eastAsia="Calibri" w:hAnsi="Verdana" w:cs="Arial"/>
                <w:lang w:val="es-ES_tradnl" w:eastAsia="es-ES_tradnl"/>
              </w:rPr>
              <w:t xml:space="preserve">               </w:t>
            </w:r>
          </w:p>
        </w:tc>
        <w:tc>
          <w:tcPr>
            <w:tcW w:w="6100" w:type="dxa"/>
          </w:tcPr>
          <w:p w14:paraId="31D8B610" w14:textId="77777777" w:rsidR="00D955F4" w:rsidRPr="00676A8B" w:rsidRDefault="00D955F4" w:rsidP="007A3185">
            <w:pPr>
              <w:jc w:val="both"/>
              <w:rPr>
                <w:rFonts w:ascii="Verdana" w:hAnsi="Verdana" w:cs="Arial"/>
              </w:rPr>
            </w:pPr>
            <w:r w:rsidRPr="00676A8B">
              <w:rPr>
                <w:rFonts w:ascii="Verdana" w:hAnsi="Verdana" w:cs="Arial"/>
              </w:rPr>
              <w:t xml:space="preserve">Respuesta a consulta con radicado No. </w:t>
            </w:r>
            <w:r w:rsidRPr="00265C55">
              <w:rPr>
                <w:rFonts w:ascii="Verdana" w:hAnsi="Verdana" w:cs="Arial"/>
              </w:rPr>
              <w:t>P2024</w:t>
            </w:r>
            <w:r>
              <w:rPr>
                <w:rFonts w:ascii="Verdana" w:hAnsi="Verdana" w:cs="Arial"/>
              </w:rPr>
              <w:t>1112011305</w:t>
            </w:r>
          </w:p>
        </w:tc>
      </w:tr>
    </w:tbl>
    <w:p w14:paraId="1EBCB647" w14:textId="77777777" w:rsidR="00D955F4" w:rsidRPr="00676A8B" w:rsidRDefault="00D955F4" w:rsidP="00D955F4">
      <w:pPr>
        <w:spacing w:after="0" w:line="240" w:lineRule="auto"/>
        <w:jc w:val="both"/>
        <w:rPr>
          <w:rFonts w:ascii="Verdana" w:eastAsia="Calibri" w:hAnsi="Verdana" w:cs="Arial"/>
          <w:lang w:val="es-ES_tradnl" w:eastAsia="es-ES_tradnl"/>
        </w:rPr>
      </w:pPr>
    </w:p>
    <w:p w14:paraId="48A9768B" w14:textId="77777777" w:rsidR="00D955F4" w:rsidRPr="00676A8B" w:rsidRDefault="00D955F4" w:rsidP="00D955F4">
      <w:pPr>
        <w:spacing w:after="0" w:line="240" w:lineRule="auto"/>
        <w:jc w:val="both"/>
        <w:rPr>
          <w:rFonts w:ascii="Verdana" w:eastAsia="Calibri" w:hAnsi="Verdana" w:cs="Arial"/>
          <w:lang w:val="es-ES_tradnl" w:eastAsia="es-ES_tradnl"/>
        </w:rPr>
      </w:pPr>
    </w:p>
    <w:p w14:paraId="2835878B" w14:textId="77777777" w:rsidR="00D955F4" w:rsidRPr="00676A8B" w:rsidRDefault="00D955F4" w:rsidP="00D955F4">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Estimad</w:t>
      </w:r>
      <w:r>
        <w:rPr>
          <w:rFonts w:ascii="Verdana" w:eastAsia="Calibri" w:hAnsi="Verdana" w:cs="Arial"/>
          <w:lang w:val="es-ES" w:eastAsia="es-ES"/>
        </w:rPr>
        <w:t>os señores;</w:t>
      </w:r>
    </w:p>
    <w:p w14:paraId="289D9931" w14:textId="77777777" w:rsidR="00D955F4" w:rsidRPr="00676A8B" w:rsidRDefault="00D955F4" w:rsidP="00D955F4">
      <w:pPr>
        <w:tabs>
          <w:tab w:val="left" w:pos="3768"/>
        </w:tabs>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ab/>
      </w:r>
    </w:p>
    <w:p w14:paraId="410AC165" w14:textId="77777777" w:rsidR="00D955F4" w:rsidRPr="00676A8B" w:rsidRDefault="00D955F4" w:rsidP="00D955F4">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En ejercicio de la competencia otorgada por los artículos 3, numeral 5º, y 11, numeral 8º, del Decreto Ley 4170 de 2011,</w:t>
      </w:r>
      <w:r w:rsidRPr="00676A8B">
        <w:rPr>
          <w:rFonts w:ascii="Verdana" w:eastAsia="Arial MT" w:hAnsi="Verdana" w:cs="Arial MT"/>
          <w:lang w:val="es-ES" w:eastAsia="es-ES"/>
        </w:rPr>
        <w:t xml:space="preserve"> </w:t>
      </w:r>
      <w:r w:rsidRPr="00676A8B">
        <w:rPr>
          <w:rFonts w:ascii="Verdana" w:hAnsi="Verdana" w:cs="Arial"/>
        </w:rPr>
        <w:t xml:space="preserve">así como lo establecido en el artículo 4 de la Resolución 1707 de 2018 expedida por esta Entidad, </w:t>
      </w:r>
      <w:r w:rsidRPr="00676A8B">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12 de noviembre</w:t>
      </w:r>
      <w:r w:rsidRPr="00676A8B">
        <w:rPr>
          <w:rFonts w:ascii="Verdana" w:eastAsia="Calibri" w:hAnsi="Verdana" w:cs="Arial"/>
          <w:lang w:val="es-ES" w:eastAsia="es-ES"/>
        </w:rPr>
        <w:t xml:space="preserve"> 2024, en la cual manifiesta lo siguiente: </w:t>
      </w:r>
    </w:p>
    <w:p w14:paraId="54AA1C4D" w14:textId="77777777" w:rsidR="00D955F4" w:rsidRPr="00676A8B" w:rsidRDefault="00D955F4" w:rsidP="00D955F4">
      <w:pPr>
        <w:pStyle w:val="Prrafodelista"/>
        <w:tabs>
          <w:tab w:val="left" w:pos="142"/>
          <w:tab w:val="left" w:pos="284"/>
        </w:tabs>
        <w:spacing w:line="276" w:lineRule="auto"/>
        <w:ind w:left="0"/>
        <w:jc w:val="both"/>
        <w:rPr>
          <w:rFonts w:ascii="Verdana" w:eastAsia="Century Gothic" w:hAnsi="Verdana" w:cs="Century Gothic"/>
          <w:b/>
          <w:bCs/>
        </w:rPr>
      </w:pPr>
    </w:p>
    <w:p w14:paraId="1D0CA34C" w14:textId="77777777" w:rsidR="00D955F4" w:rsidRPr="00676A8B" w:rsidRDefault="00D955F4" w:rsidP="00D955F4">
      <w:pPr>
        <w:spacing w:after="0" w:line="240" w:lineRule="auto"/>
        <w:ind w:left="709" w:right="709"/>
        <w:jc w:val="both"/>
        <w:rPr>
          <w:rFonts w:ascii="Verdana" w:eastAsia="Century Gothic" w:hAnsi="Verdana" w:cs="Century Gothic"/>
          <w:sz w:val="20"/>
          <w:szCs w:val="20"/>
          <w:lang w:val="es-ES"/>
        </w:rPr>
      </w:pPr>
      <w:bookmarkStart w:id="1" w:name="_Hlk95313578"/>
      <w:r w:rsidRPr="00676A8B">
        <w:rPr>
          <w:rFonts w:ascii="Verdana" w:eastAsia="Century Gothic" w:hAnsi="Verdana" w:cs="Century Gothic"/>
          <w:sz w:val="20"/>
          <w:szCs w:val="20"/>
          <w:lang w:val="es-ES"/>
        </w:rPr>
        <w:t>“</w:t>
      </w:r>
      <w:bookmarkEnd w:id="1"/>
      <w:r>
        <w:rPr>
          <w:rFonts w:ascii="Verdana" w:eastAsia="Century Gothic" w:hAnsi="Verdana" w:cs="Century Gothic"/>
          <w:sz w:val="20"/>
          <w:szCs w:val="20"/>
          <w:lang w:val="es-ES"/>
        </w:rPr>
        <w:t>¿Cuál debería ser la dependencia encargada de realizar la formulación, ejecución y seguimiento al Plan Anual de Adquisiciones en una entidad pública con el fin de garantizar el objetivo para el cual fue creado este instrumento?” (SIC).</w:t>
      </w:r>
    </w:p>
    <w:p w14:paraId="08E14E9D" w14:textId="77777777" w:rsidR="00D955F4" w:rsidRPr="00676A8B" w:rsidRDefault="00D955F4" w:rsidP="00D955F4">
      <w:pPr>
        <w:pStyle w:val="Prrafodelista"/>
        <w:tabs>
          <w:tab w:val="left" w:pos="142"/>
          <w:tab w:val="left" w:pos="284"/>
        </w:tabs>
        <w:spacing w:line="276" w:lineRule="auto"/>
        <w:ind w:left="0"/>
        <w:jc w:val="both"/>
        <w:rPr>
          <w:rFonts w:ascii="Verdana" w:eastAsia="Century Gothic" w:hAnsi="Verdana" w:cs="Century Gothic"/>
          <w:b/>
          <w:bCs/>
        </w:rPr>
      </w:pPr>
    </w:p>
    <w:p w14:paraId="469192C2" w14:textId="77777777" w:rsidR="00D955F4" w:rsidRPr="00676A8B" w:rsidRDefault="00D955F4" w:rsidP="00D955F4">
      <w:pPr>
        <w:spacing w:after="120" w:line="276" w:lineRule="auto"/>
        <w:ind w:firstLine="709"/>
        <w:jc w:val="both"/>
        <w:rPr>
          <w:rFonts w:ascii="Verdana" w:eastAsia="Calibri" w:hAnsi="Verdana" w:cs="Arial"/>
          <w:szCs w:val="24"/>
          <w:lang w:val="es-ES_tradnl" w:eastAsia="es-ES_tradnl"/>
        </w:rPr>
      </w:pPr>
      <w:r w:rsidRPr="00676A8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676A8B">
        <w:rPr>
          <w:rFonts w:ascii="Verdana" w:eastAsia="Calibri" w:hAnsi="Verdana" w:cs="Arial"/>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A8B">
        <w:rPr>
          <w:rFonts w:ascii="Verdana" w:eastAsia="Calibri" w:hAnsi="Verdana" w:cs="Arial"/>
          <w:szCs w:val="24"/>
          <w:lang w:val="es-ES_tradnl" w:eastAsia="es-ES_tradnl"/>
        </w:rPr>
        <w:tab/>
      </w:r>
    </w:p>
    <w:p w14:paraId="59B7FF61" w14:textId="77777777" w:rsidR="00D955F4" w:rsidRDefault="00D955F4" w:rsidP="00D955F4">
      <w:pPr>
        <w:spacing w:after="0" w:line="276" w:lineRule="auto"/>
        <w:ind w:firstLine="709"/>
        <w:jc w:val="both"/>
        <w:rPr>
          <w:rFonts w:ascii="Verdana" w:eastAsia="Calibri" w:hAnsi="Verdana" w:cs="Arial"/>
          <w:lang w:val="es-ES" w:eastAsia="es-ES"/>
        </w:rPr>
      </w:pPr>
      <w:r w:rsidRPr="00676A8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2CD2374" w14:textId="77777777" w:rsidR="00D955F4" w:rsidRDefault="00D955F4" w:rsidP="00D955F4">
      <w:pPr>
        <w:spacing w:after="0" w:line="276" w:lineRule="auto"/>
        <w:ind w:firstLine="709"/>
        <w:jc w:val="both"/>
        <w:rPr>
          <w:rFonts w:ascii="Verdana" w:eastAsia="Calibri" w:hAnsi="Verdana" w:cs="Arial"/>
          <w:lang w:val="es-ES" w:eastAsia="es-ES"/>
        </w:rPr>
      </w:pPr>
    </w:p>
    <w:p w14:paraId="12D5CC3F" w14:textId="452971FC" w:rsidR="00D955F4" w:rsidRPr="00FC5167" w:rsidRDefault="00FC5167" w:rsidP="00FC5167">
      <w:pPr>
        <w:spacing w:after="0" w:line="276" w:lineRule="auto"/>
        <w:jc w:val="both"/>
        <w:rPr>
          <w:rFonts w:ascii="Verdana" w:eastAsia="Calibri" w:hAnsi="Verdana" w:cs="Arial"/>
          <w:b/>
          <w:bCs/>
          <w:lang w:eastAsia="es-ES"/>
        </w:rPr>
      </w:pPr>
      <w:r>
        <w:rPr>
          <w:rFonts w:ascii="Verdana" w:eastAsia="Calibri" w:hAnsi="Verdana" w:cs="Arial"/>
          <w:b/>
          <w:bCs/>
          <w:lang w:eastAsia="es-ES"/>
        </w:rPr>
        <w:t xml:space="preserve">1. </w:t>
      </w:r>
      <w:r w:rsidR="00D955F4" w:rsidRPr="00FC5167">
        <w:rPr>
          <w:rFonts w:ascii="Verdana" w:eastAsia="Calibri" w:hAnsi="Verdana" w:cs="Arial"/>
          <w:b/>
          <w:bCs/>
          <w:lang w:eastAsia="es-ES"/>
        </w:rPr>
        <w:t>Problema planteado:</w:t>
      </w:r>
    </w:p>
    <w:p w14:paraId="2F093BB8" w14:textId="77777777" w:rsidR="00D955F4" w:rsidRDefault="00D955F4" w:rsidP="00D955F4">
      <w:pPr>
        <w:pStyle w:val="Prrafodelista"/>
        <w:spacing w:after="0" w:line="276" w:lineRule="auto"/>
        <w:ind w:left="1069"/>
        <w:jc w:val="both"/>
        <w:rPr>
          <w:rFonts w:ascii="Verdana" w:eastAsia="Calibri" w:hAnsi="Verdana" w:cs="Arial"/>
          <w:lang w:eastAsia="es-ES"/>
        </w:rPr>
      </w:pPr>
    </w:p>
    <w:p w14:paraId="1044E07B" w14:textId="77777777" w:rsidR="00D955F4" w:rsidRPr="00FC5167" w:rsidRDefault="00D955F4" w:rsidP="00FC5167">
      <w:pPr>
        <w:spacing w:after="0" w:line="276" w:lineRule="auto"/>
        <w:jc w:val="both"/>
        <w:rPr>
          <w:rFonts w:ascii="Verdana" w:eastAsia="Calibri" w:hAnsi="Verdana" w:cs="Arial"/>
          <w:lang w:eastAsia="es-ES"/>
        </w:rPr>
      </w:pPr>
      <w:r w:rsidRPr="00FC5167">
        <w:rPr>
          <w:rFonts w:ascii="Verdana" w:eastAsia="Calibri" w:hAnsi="Verdana" w:cs="Arial"/>
          <w:lang w:eastAsia="es-ES"/>
        </w:rPr>
        <w:t>De acuerdo con el contenido de su solicitud, le informamos que la misma será resuelta desde el siguiente interrogante: ¿Quiénes son los encargados de realizar la elaboración del Plan Anual de Adquisiciones en una entidad pública?</w:t>
      </w:r>
    </w:p>
    <w:p w14:paraId="3D6491F8" w14:textId="77777777" w:rsidR="00D955F4" w:rsidRDefault="00D955F4" w:rsidP="00D955F4">
      <w:pPr>
        <w:spacing w:after="0"/>
        <w:rPr>
          <w:rFonts w:ascii="Verdana" w:hAnsi="Verdana"/>
          <w:lang w:val="es-ES"/>
        </w:rPr>
      </w:pPr>
    </w:p>
    <w:p w14:paraId="5640B547" w14:textId="7E32DF22" w:rsidR="00D955F4" w:rsidRPr="00FC5167" w:rsidRDefault="00FC5167" w:rsidP="00FC5167">
      <w:pPr>
        <w:spacing w:after="0"/>
        <w:rPr>
          <w:rFonts w:ascii="Verdana" w:hAnsi="Verdana"/>
          <w:b/>
          <w:bCs/>
        </w:rPr>
      </w:pPr>
      <w:r>
        <w:rPr>
          <w:rFonts w:ascii="Verdana" w:hAnsi="Verdana"/>
          <w:b/>
          <w:bCs/>
        </w:rPr>
        <w:t xml:space="preserve">2. </w:t>
      </w:r>
      <w:r w:rsidR="00D955F4" w:rsidRPr="00FC5167">
        <w:rPr>
          <w:rFonts w:ascii="Verdana" w:hAnsi="Verdana"/>
          <w:b/>
          <w:bCs/>
        </w:rPr>
        <w:t xml:space="preserve">Respuesta: </w:t>
      </w:r>
    </w:p>
    <w:p w14:paraId="0B774B00" w14:textId="77777777" w:rsidR="00D955F4" w:rsidRDefault="00D955F4" w:rsidP="00D955F4">
      <w:pPr>
        <w:pStyle w:val="Prrafodelista"/>
        <w:spacing w:after="0"/>
        <w:ind w:left="1069"/>
        <w:rPr>
          <w:rFonts w:ascii="Verdana" w:hAnsi="Verdana"/>
          <w:b/>
          <w:bCs/>
        </w:rPr>
      </w:pPr>
    </w:p>
    <w:p w14:paraId="7A84E92E" w14:textId="41EB9FE0" w:rsidR="00D955F4" w:rsidRDefault="00D955F4" w:rsidP="00AD4D7F">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rPr>
      </w:pPr>
      <w:r>
        <w:rPr>
          <w:rFonts w:ascii="Verdana" w:hAnsi="Verdana"/>
        </w:rPr>
        <w:t xml:space="preserve">De manera preliminar, es preciso mencionar, que el artículo 2.2.1.1.1.4.1 del Decreto 1082 de 2015, modificado por el artículo 2° del Decreto 142 de 2023, señala el deber de las Entidades Estatales de elaborar el Plan Anual de Adquisiciones; es decir, que la obligatoriedad de elaborarlo recae principalmente sobre los sujetos que integran la denominación de Entidades Estatales. Ahora bien, la Guía para Elaborar el Plan Anual de Adquisiciones, expedida por la Agencia Nacional de Contratación Pública- Colombia Compra Eficiente, indica que para la elaboración del Plan Anual de Adquisiciones, la entidad debe: i) designar un funcionario o contratista que se encargue del Plan Anual de Adquisiciones, que será responsable de obtener la información necesaria para elaborarlo, diligenciar el documento, solicitar la aprobación de este, de revisarlo y actualizarlo; ii) conformar un equipo de apoyo y, iii) organizar un cronograma para la elaboración y actualización del Plan Anual de Adquisiciones. Con lo anterior, queda claro que la norma no identifica al funcionario u organismo, al interior de la Entidad Estatal, que debe cumplir con esto. Por lo tanto, es necesario que en cada caso se verifiquen las competencias de los órganos </w:t>
      </w:r>
      <w:r>
        <w:rPr>
          <w:rFonts w:ascii="Verdana" w:hAnsi="Verdana"/>
        </w:rPr>
        <w:lastRenderedPageBreak/>
        <w:t>internos de cada entidad, para definir qui</w:t>
      </w:r>
      <w:r w:rsidR="00AD4D7F">
        <w:rPr>
          <w:rFonts w:ascii="Verdana" w:hAnsi="Verdana"/>
        </w:rPr>
        <w:t>é</w:t>
      </w:r>
      <w:r>
        <w:rPr>
          <w:rFonts w:ascii="Verdana" w:hAnsi="Verdana"/>
        </w:rPr>
        <w:t>n adopta o aprueba el documento, y así mismo qui</w:t>
      </w:r>
      <w:r w:rsidR="00AD4D7F">
        <w:rPr>
          <w:rFonts w:ascii="Verdana" w:hAnsi="Verdana"/>
        </w:rPr>
        <w:t>é</w:t>
      </w:r>
      <w:r>
        <w:rPr>
          <w:rFonts w:ascii="Verdana" w:hAnsi="Verdana"/>
        </w:rPr>
        <w:t>n lo estructura, administra y consolida.</w:t>
      </w:r>
    </w:p>
    <w:p w14:paraId="57F29407" w14:textId="71172975" w:rsidR="00D955F4" w:rsidRDefault="00D955F4" w:rsidP="00D955F4">
      <w:pPr>
        <w:spacing w:after="120"/>
        <w:jc w:val="both"/>
        <w:rPr>
          <w:rFonts w:ascii="Verdana" w:hAnsi="Verdana"/>
        </w:rPr>
      </w:pPr>
    </w:p>
    <w:p w14:paraId="1025B660" w14:textId="4CF955A6" w:rsidR="00D955F4" w:rsidRPr="00AD4D7F" w:rsidRDefault="00AD4D7F" w:rsidP="00AD4D7F">
      <w:pPr>
        <w:spacing w:after="120"/>
        <w:jc w:val="both"/>
        <w:rPr>
          <w:rFonts w:ascii="Verdana" w:hAnsi="Verdana"/>
          <w:b/>
          <w:bCs/>
        </w:rPr>
      </w:pPr>
      <w:r>
        <w:rPr>
          <w:rFonts w:ascii="Verdana" w:hAnsi="Verdana"/>
          <w:b/>
          <w:bCs/>
        </w:rPr>
        <w:t xml:space="preserve">3. </w:t>
      </w:r>
      <w:r w:rsidR="00D955F4" w:rsidRPr="00AD4D7F">
        <w:rPr>
          <w:rFonts w:ascii="Verdana" w:hAnsi="Verdana"/>
          <w:b/>
          <w:bCs/>
        </w:rPr>
        <w:t xml:space="preserve">Razones de la Respuesta: </w:t>
      </w:r>
    </w:p>
    <w:p w14:paraId="11D22E96" w14:textId="77777777" w:rsidR="00D955F4" w:rsidRDefault="00D955F4" w:rsidP="00D955F4">
      <w:pPr>
        <w:spacing w:after="120"/>
        <w:ind w:left="709"/>
        <w:jc w:val="both"/>
        <w:rPr>
          <w:rFonts w:ascii="Verdana" w:hAnsi="Verdana"/>
          <w:b/>
          <w:bCs/>
        </w:rPr>
      </w:pPr>
    </w:p>
    <w:p w14:paraId="4751DC53" w14:textId="77777777" w:rsidR="00D955F4" w:rsidRDefault="00D955F4" w:rsidP="00AD4D7F">
      <w:pPr>
        <w:spacing w:after="120"/>
        <w:jc w:val="both"/>
        <w:rPr>
          <w:rFonts w:ascii="Verdana" w:hAnsi="Verdana"/>
        </w:rPr>
      </w:pPr>
      <w:r>
        <w:rPr>
          <w:rFonts w:ascii="Verdana" w:hAnsi="Verdana"/>
        </w:rPr>
        <w:t>La respuesta anterior se sustenta en las siguientes consideraciones:</w:t>
      </w:r>
    </w:p>
    <w:p w14:paraId="2A7E3FF5" w14:textId="77777777" w:rsidR="00D955F4" w:rsidRDefault="00D955F4" w:rsidP="00D955F4">
      <w:pPr>
        <w:spacing w:after="120"/>
        <w:ind w:left="709"/>
        <w:jc w:val="both"/>
        <w:rPr>
          <w:rFonts w:ascii="Verdana" w:hAnsi="Verdana"/>
        </w:rPr>
      </w:pPr>
    </w:p>
    <w:p w14:paraId="486871BF" w14:textId="77777777" w:rsidR="00D955F4" w:rsidRDefault="00D955F4" w:rsidP="009B5974">
      <w:pPr>
        <w:spacing w:after="120" w:line="276" w:lineRule="auto"/>
        <w:jc w:val="both"/>
        <w:rPr>
          <w:rFonts w:ascii="Verdana" w:hAnsi="Verdana"/>
        </w:rPr>
      </w:pPr>
      <w:r>
        <w:rPr>
          <w:rFonts w:ascii="Verdana" w:hAnsi="Verdana"/>
        </w:rPr>
        <w:t>El Plan Anual de Adquisiciones es un instrumento de planificación y orientación de la contratación de las entidades públicas, establecido para identificar las necesidades de contratación, en el que se incluyen, de manera estimativa, los bienes, obras o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w:t>
      </w:r>
      <w:r>
        <w:rPr>
          <w:rStyle w:val="Refdenotaalpie"/>
          <w:rFonts w:ascii="Verdana" w:hAnsi="Verdana"/>
        </w:rPr>
        <w:footnoteReference w:id="2"/>
      </w:r>
      <w:r>
        <w:rPr>
          <w:rFonts w:ascii="Verdana" w:hAnsi="Verdana"/>
        </w:rPr>
        <w:t>.</w:t>
      </w:r>
    </w:p>
    <w:p w14:paraId="69E07AC2" w14:textId="77777777" w:rsidR="00D955F4" w:rsidRDefault="00D955F4" w:rsidP="009B5974">
      <w:pPr>
        <w:spacing w:after="120" w:line="276" w:lineRule="auto"/>
        <w:ind w:firstLine="709"/>
        <w:jc w:val="both"/>
        <w:rPr>
          <w:rFonts w:ascii="Verdana" w:hAnsi="Verdana"/>
        </w:rPr>
      </w:pPr>
      <w:r>
        <w:rPr>
          <w:rFonts w:ascii="Verdana" w:hAnsi="Verdana"/>
        </w:rPr>
        <w:t>De acuerdo con el artículo 2.2.1.1.1.3.1 del Decreto 1082 de 2015, el Plan Anual de Adquisiciones es el plan general de compras al que se refiere el artículo 74 de la Ley 1474 de 2011y el plan de compras al que se refiere la Ley Anual de Presupuesto. Asimismo, este artículo lo define como un instrumento de planeación contractual que las Entidades Estatales deben diligenciar, publicar y actualizar.</w:t>
      </w:r>
    </w:p>
    <w:p w14:paraId="63D26487" w14:textId="423EA553" w:rsidR="00D955F4" w:rsidRDefault="00D955F4" w:rsidP="009B5974">
      <w:pPr>
        <w:spacing w:after="120" w:line="276" w:lineRule="auto"/>
        <w:ind w:firstLine="709"/>
        <w:jc w:val="both"/>
        <w:rPr>
          <w:rFonts w:ascii="Verdana" w:hAnsi="Verdana"/>
        </w:rPr>
      </w:pPr>
      <w:r>
        <w:rPr>
          <w:rFonts w:ascii="Verdana" w:hAnsi="Verdana"/>
        </w:rPr>
        <w:t xml:space="preserve">En particular, el artículo 74 de la Ley 1474 de 2011 dispone que “todas las entidades del Estado” deben publicar, a </w:t>
      </w:r>
      <w:r w:rsidR="00C077BF">
        <w:rPr>
          <w:rFonts w:ascii="Verdana" w:hAnsi="Verdana"/>
        </w:rPr>
        <w:t>más</w:t>
      </w:r>
      <w:r>
        <w:rPr>
          <w:rFonts w:ascii="Verdana" w:hAnsi="Verdana"/>
        </w:rPr>
        <w:t xml:space="preserve"> tardar el 31 de enero de cada año, en su respectiva página web el plan de acción, en el cual se incluye el plan general de compras</w:t>
      </w:r>
      <w:r>
        <w:rPr>
          <w:rStyle w:val="Refdenotaalpie"/>
          <w:rFonts w:ascii="Verdana" w:hAnsi="Verdana"/>
        </w:rPr>
        <w:footnoteReference w:id="3"/>
      </w:r>
      <w:r>
        <w:rPr>
          <w:rFonts w:ascii="Verdana" w:hAnsi="Verdana"/>
        </w:rPr>
        <w:t xml:space="preserve">. Como ya se indicó, el plan general de compras para el ordenamiento vigente corresponde con el concepto de Plan Anual de </w:t>
      </w:r>
      <w:r>
        <w:rPr>
          <w:rFonts w:ascii="Verdana" w:hAnsi="Verdana"/>
        </w:rPr>
        <w:lastRenderedPageBreak/>
        <w:t>Adquisiciones como lo establece el artículo 2.2.1.1.1.3.1 del Decreto 1082 de 2015</w:t>
      </w:r>
      <w:r>
        <w:rPr>
          <w:rStyle w:val="Refdenotaalpie"/>
          <w:rFonts w:ascii="Verdana" w:hAnsi="Verdana"/>
        </w:rPr>
        <w:footnoteReference w:id="4"/>
      </w:r>
      <w:r>
        <w:rPr>
          <w:rFonts w:ascii="Verdana" w:hAnsi="Verdana"/>
        </w:rPr>
        <w:t>. Además, de acuerdo con el artículo 2.2.1.1.1.4.3, Ibidem, el Plan Anual de Adquisiciones también debe publicarse en el SECOP</w:t>
      </w:r>
      <w:r>
        <w:rPr>
          <w:rStyle w:val="Refdenotaalpie"/>
          <w:rFonts w:ascii="Verdana" w:hAnsi="Verdana"/>
        </w:rPr>
        <w:footnoteReference w:id="5"/>
      </w:r>
      <w:r>
        <w:rPr>
          <w:rFonts w:ascii="Verdana" w:hAnsi="Verdana"/>
        </w:rPr>
        <w:t>.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w:t>
      </w:r>
    </w:p>
    <w:p w14:paraId="19677925" w14:textId="77777777" w:rsidR="00D955F4" w:rsidRDefault="00D955F4" w:rsidP="009B5974">
      <w:pPr>
        <w:spacing w:after="120" w:line="276" w:lineRule="auto"/>
        <w:ind w:firstLine="709"/>
        <w:jc w:val="both"/>
        <w:rPr>
          <w:rFonts w:ascii="Verdana" w:hAnsi="Verdana"/>
        </w:rPr>
      </w:pPr>
      <w:r>
        <w:rPr>
          <w:rFonts w:ascii="Verdana" w:hAnsi="Verdana"/>
        </w:rPr>
        <w:t xml:space="preserve">Ahora bien, respecto del deber de elaboración del Plan Anual de Adquisiciones, el artículo 2.2.1.1.1.4.1 del Decreto 1082 de 2015 dispone: </w:t>
      </w:r>
    </w:p>
    <w:p w14:paraId="319F3BB6" w14:textId="77777777" w:rsidR="00D955F4" w:rsidRDefault="00D955F4" w:rsidP="00D955F4">
      <w:pPr>
        <w:spacing w:after="120"/>
        <w:ind w:firstLine="709"/>
        <w:jc w:val="both"/>
        <w:rPr>
          <w:rFonts w:ascii="Verdana" w:hAnsi="Verdana"/>
        </w:rPr>
      </w:pPr>
    </w:p>
    <w:p w14:paraId="44C28298" w14:textId="77777777" w:rsidR="00D955F4" w:rsidRDefault="00D955F4" w:rsidP="00D955F4">
      <w:pPr>
        <w:spacing w:after="0"/>
        <w:ind w:left="709" w:right="709"/>
        <w:jc w:val="both"/>
        <w:rPr>
          <w:rFonts w:ascii="Verdana" w:hAnsi="Verdana"/>
        </w:rPr>
      </w:pPr>
      <w:r w:rsidRPr="00CA71FB">
        <w:rPr>
          <w:rFonts w:ascii="Arial" w:eastAsia="Calibri" w:hAnsi="Arial" w:cs="Arial"/>
          <w:kern w:val="2"/>
          <w:sz w:val="21"/>
          <w:szCs w:val="21"/>
          <w14:ligatures w14:val="standardContextual"/>
        </w:rPr>
        <w:t>“</w:t>
      </w:r>
      <w:r w:rsidRPr="007561EF">
        <w:rPr>
          <w:rFonts w:ascii="Verdana" w:eastAsia="Calibri" w:hAnsi="Verdana" w:cs="Arial"/>
          <w:kern w:val="2"/>
          <w:sz w:val="20"/>
          <w:szCs w:val="20"/>
          <w14:ligatures w14:val="standardContextual"/>
        </w:rPr>
        <w:t xml:space="preserve">Artículo 2.2.1.1.1.4.1. Plan Anual de Adquisiciones. </w:t>
      </w:r>
      <w:r w:rsidRPr="007561EF">
        <w:rPr>
          <w:rFonts w:ascii="Verdana" w:eastAsia="Calibri" w:hAnsi="Verdana" w:cs="Arial"/>
          <w:i/>
          <w:iCs/>
          <w:kern w:val="2"/>
          <w:sz w:val="20"/>
          <w:szCs w:val="20"/>
          <w:u w:val="single"/>
          <w14:ligatures w14:val="standardContextual"/>
        </w:rPr>
        <w:t xml:space="preserve">Las entidades estatales </w:t>
      </w:r>
      <w:r w:rsidRPr="007561EF">
        <w:rPr>
          <w:rFonts w:ascii="Verdana" w:eastAsia="Calibri" w:hAnsi="Verdana" w:cs="Arial"/>
          <w:kern w:val="2"/>
          <w:sz w:val="20"/>
          <w:szCs w:val="20"/>
          <w14:ligatures w14:val="standardContextual"/>
        </w:rPr>
        <w:t>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r>
        <w:rPr>
          <w:rFonts w:ascii="Verdana" w:eastAsia="Calibri" w:hAnsi="Verdana" w:cs="Arial"/>
          <w:kern w:val="2"/>
          <w:sz w:val="20"/>
          <w:szCs w:val="20"/>
          <w14:ligatures w14:val="standardContextual"/>
        </w:rPr>
        <w:t>.</w:t>
      </w:r>
    </w:p>
    <w:p w14:paraId="7518D403" w14:textId="77777777" w:rsidR="00D955F4" w:rsidRDefault="00D955F4" w:rsidP="00D955F4">
      <w:pPr>
        <w:spacing w:after="120"/>
        <w:ind w:firstLine="709"/>
        <w:jc w:val="both"/>
        <w:rPr>
          <w:rFonts w:ascii="Verdana" w:hAnsi="Verdana"/>
        </w:rPr>
      </w:pPr>
    </w:p>
    <w:p w14:paraId="548A6C47" w14:textId="77777777" w:rsidR="00D955F4" w:rsidRDefault="00D955F4" w:rsidP="00D955F4">
      <w:pPr>
        <w:spacing w:after="120"/>
        <w:ind w:firstLine="709"/>
        <w:jc w:val="both"/>
        <w:rPr>
          <w:rFonts w:ascii="Verdana" w:hAnsi="Verdana"/>
        </w:rPr>
      </w:pPr>
      <w:r>
        <w:rPr>
          <w:rFonts w:ascii="Verdana" w:hAnsi="Verdana"/>
        </w:rPr>
        <w:t xml:space="preserve">Por otra parte, la Agencia Nacional de Contratación Pública – Colombia Compra Eficiente – puso a disposición de los interesados del Sistema de Compras Públicas la Guía para elaborar el Plan Anual de Adquisiciones, donde se establece </w:t>
      </w:r>
      <w:r>
        <w:rPr>
          <w:rFonts w:ascii="Verdana" w:hAnsi="Verdana"/>
        </w:rPr>
        <w:lastRenderedPageBreak/>
        <w:t>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Pr>
          <w:rStyle w:val="Refdenotaalpie"/>
          <w:rFonts w:ascii="Verdana" w:hAnsi="Verdana"/>
        </w:rPr>
        <w:footnoteReference w:id="6"/>
      </w:r>
      <w:r>
        <w:rPr>
          <w:rFonts w:ascii="Verdana" w:hAnsi="Verdana"/>
        </w:rPr>
        <w:t xml:space="preserve">. </w:t>
      </w:r>
    </w:p>
    <w:p w14:paraId="1624C7D6" w14:textId="5AD64278" w:rsidR="00D955F4" w:rsidRDefault="00D955F4" w:rsidP="00D955F4">
      <w:pPr>
        <w:spacing w:after="120"/>
        <w:ind w:firstLine="709"/>
        <w:jc w:val="both"/>
        <w:rPr>
          <w:rFonts w:ascii="Verdana" w:hAnsi="Verdana"/>
        </w:rPr>
      </w:pPr>
      <w:r>
        <w:rPr>
          <w:rFonts w:ascii="Verdana" w:hAnsi="Verdana"/>
        </w:rPr>
        <w:t xml:space="preserve">Por otro lado,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las definiciones del Decreto 1082 de 2015. Sin embargo, a pesar de que la Ley Orgánica de Planeación impone a los organismos públicos de todos los </w:t>
      </w:r>
      <w:r w:rsidR="004D64E2">
        <w:rPr>
          <w:rFonts w:ascii="Verdana" w:hAnsi="Verdana"/>
        </w:rPr>
        <w:t>órdenes</w:t>
      </w:r>
      <w:r>
        <w:rPr>
          <w:rFonts w:ascii="Verdana" w:hAnsi="Verdana"/>
        </w:rPr>
        <w:t xml:space="preserve"> la obligación de preparar el “plan de acción”, basado en el Plan Anual de Desarrollo aprobado</w:t>
      </w:r>
      <w:r>
        <w:rPr>
          <w:rStyle w:val="Refdenotaalpie"/>
          <w:rFonts w:ascii="Verdana" w:hAnsi="Verdana"/>
        </w:rPr>
        <w:footnoteReference w:id="7"/>
      </w:r>
      <w:r>
        <w:rPr>
          <w:rFonts w:ascii="Verdana" w:hAnsi="Verdana"/>
        </w:rPr>
        <w:t xml:space="preserve">, no identifica al funcionario u organismo, al interior de la entidad estatal, que debe cumplir con esto. </w:t>
      </w:r>
    </w:p>
    <w:p w14:paraId="4727CF67" w14:textId="77777777" w:rsidR="00171BBD" w:rsidRDefault="00171BBD" w:rsidP="00D955F4">
      <w:pPr>
        <w:spacing w:after="120"/>
        <w:ind w:firstLine="709"/>
        <w:jc w:val="both"/>
        <w:rPr>
          <w:rFonts w:ascii="Verdana" w:hAnsi="Verdana"/>
        </w:rPr>
      </w:pPr>
    </w:p>
    <w:p w14:paraId="1C131A43" w14:textId="17BCA256" w:rsidR="00D955F4" w:rsidRPr="00171BBD" w:rsidRDefault="00171BBD" w:rsidP="00171BBD">
      <w:pPr>
        <w:spacing w:after="120"/>
        <w:jc w:val="both"/>
        <w:rPr>
          <w:rFonts w:ascii="Verdana" w:hAnsi="Verdana"/>
          <w:b/>
          <w:bCs/>
        </w:rPr>
      </w:pPr>
      <w:r>
        <w:rPr>
          <w:rFonts w:ascii="Verdana" w:hAnsi="Verdana"/>
          <w:b/>
          <w:bCs/>
        </w:rPr>
        <w:t xml:space="preserve">4. </w:t>
      </w:r>
      <w:r w:rsidR="00D955F4" w:rsidRPr="00171BBD">
        <w:rPr>
          <w:rFonts w:ascii="Verdana" w:hAnsi="Verdana"/>
          <w:b/>
          <w:bCs/>
        </w:rPr>
        <w:t xml:space="preserve">Referencias normativas, jurisprudenciales y otras fuentes: </w:t>
      </w:r>
    </w:p>
    <w:p w14:paraId="23E334B0" w14:textId="77777777" w:rsidR="00D955F4" w:rsidRDefault="00D955F4" w:rsidP="00D955F4">
      <w:pPr>
        <w:pStyle w:val="Prrafodelista"/>
        <w:spacing w:after="120"/>
        <w:ind w:left="1069"/>
        <w:jc w:val="both"/>
        <w:rPr>
          <w:rFonts w:ascii="Verdana" w:hAnsi="Verdana"/>
          <w:b/>
          <w:bCs/>
        </w:rPr>
      </w:pPr>
    </w:p>
    <w:p w14:paraId="5E690E31" w14:textId="77777777" w:rsidR="00D955F4" w:rsidRPr="00DD74CD" w:rsidRDefault="00D955F4" w:rsidP="00D955F4">
      <w:pPr>
        <w:pStyle w:val="Prrafodelista"/>
        <w:numPr>
          <w:ilvl w:val="0"/>
          <w:numId w:val="17"/>
        </w:numPr>
        <w:pBdr>
          <w:top w:val="single" w:sz="4" w:space="1" w:color="auto"/>
          <w:left w:val="single" w:sz="4" w:space="4" w:color="auto"/>
          <w:bottom w:val="single" w:sz="4" w:space="1" w:color="auto"/>
          <w:right w:val="single" w:sz="4" w:space="4" w:color="auto"/>
        </w:pBdr>
        <w:spacing w:after="120"/>
        <w:jc w:val="both"/>
        <w:rPr>
          <w:rFonts w:ascii="Verdana" w:hAnsi="Verdana"/>
          <w:b/>
          <w:bCs/>
        </w:rPr>
      </w:pPr>
      <w:r>
        <w:rPr>
          <w:rFonts w:ascii="Verdana" w:hAnsi="Verdana"/>
        </w:rPr>
        <w:t xml:space="preserve">Decreto 1082 de 2015: artículos 2.2.1.1.1.3.1, 2.2.1.1.1.4.1 y 2.2.1.1.1.4.3. disponible en: </w:t>
      </w:r>
      <w:hyperlink r:id="rId13" w:history="1">
        <w:r w:rsidRPr="00050DA1">
          <w:rPr>
            <w:rStyle w:val="Hipervnculo"/>
            <w:rFonts w:ascii="Verdana" w:hAnsi="Verdana"/>
          </w:rPr>
          <w:t>https://cceficiente.sharepoint.com/:w:/r/sites/SGC-</w:t>
        </w:r>
        <w:r w:rsidRPr="00050DA1">
          <w:rPr>
            <w:rStyle w:val="Hipervnculo"/>
            <w:rFonts w:ascii="Verdana" w:hAnsi="Verdana"/>
          </w:rPr>
          <w:lastRenderedPageBreak/>
          <w:t>Consultas/_layouts/15/Doc.aspx?sourcedoc=%7B29359D70-67D4-4566-91EA-D62D911AF562%7D&amp;file=Decreto%201082%20de%202015.docx&amp;action=default&amp;mobileredirect=true</w:t>
        </w:r>
      </w:hyperlink>
      <w:r>
        <w:rPr>
          <w:rFonts w:ascii="Verdana" w:hAnsi="Verdana"/>
        </w:rPr>
        <w:t xml:space="preserve"> </w:t>
      </w:r>
    </w:p>
    <w:p w14:paraId="7F5247DC" w14:textId="77777777" w:rsidR="00D955F4" w:rsidRPr="009F55A0" w:rsidRDefault="00D955F4" w:rsidP="00D955F4">
      <w:pPr>
        <w:pBdr>
          <w:top w:val="single" w:sz="4" w:space="1" w:color="auto"/>
          <w:left w:val="single" w:sz="4" w:space="4" w:color="auto"/>
          <w:bottom w:val="single" w:sz="4" w:space="1" w:color="auto"/>
          <w:right w:val="single" w:sz="4" w:space="4" w:color="auto"/>
        </w:pBdr>
        <w:spacing w:after="120"/>
        <w:ind w:left="1429"/>
        <w:jc w:val="both"/>
        <w:rPr>
          <w:rFonts w:ascii="Verdana" w:hAnsi="Verdana"/>
          <w:b/>
          <w:bCs/>
        </w:rPr>
      </w:pPr>
    </w:p>
    <w:p w14:paraId="129BCFDD" w14:textId="77777777" w:rsidR="00D955F4" w:rsidRPr="003D7D7A" w:rsidRDefault="00D955F4" w:rsidP="00D955F4">
      <w:pPr>
        <w:pStyle w:val="Prrafodelista"/>
        <w:numPr>
          <w:ilvl w:val="0"/>
          <w:numId w:val="17"/>
        </w:numPr>
        <w:pBdr>
          <w:top w:val="single" w:sz="4" w:space="1" w:color="auto"/>
          <w:left w:val="single" w:sz="4" w:space="4" w:color="auto"/>
          <w:bottom w:val="single" w:sz="4" w:space="1" w:color="auto"/>
          <w:right w:val="single" w:sz="4" w:space="4" w:color="auto"/>
        </w:pBdr>
        <w:spacing w:after="120"/>
        <w:jc w:val="both"/>
        <w:rPr>
          <w:rFonts w:ascii="Verdana" w:hAnsi="Verdana"/>
          <w:b/>
          <w:bCs/>
        </w:rPr>
      </w:pPr>
      <w:r>
        <w:rPr>
          <w:rFonts w:ascii="Verdana" w:hAnsi="Verdana"/>
        </w:rPr>
        <w:t xml:space="preserve">Ley 1474 de 2011, artículo 74. Disponible en: </w:t>
      </w:r>
      <w:hyperlink r:id="rId14" w:history="1">
        <w:r w:rsidRPr="00050DA1">
          <w:rPr>
            <w:rStyle w:val="Hipervnculo"/>
            <w:rFonts w:ascii="Verdana" w:hAnsi="Verdana"/>
          </w:rPr>
          <w:t>https://cceficiente.sharepoint.com/:w:/r/sites/SGC-Consultas/_layouts/15/Doc.aspx?sourcedoc=%7B58885289-210B-4EE9-AD80-43436CCCAE52%7D&amp;file=Ley%201474%20de%202011.docx&amp;action=default&amp;mobileredirect=true</w:t>
        </w:r>
      </w:hyperlink>
      <w:r>
        <w:rPr>
          <w:rFonts w:ascii="Verdana" w:hAnsi="Verdana"/>
        </w:rPr>
        <w:t xml:space="preserve"> </w:t>
      </w:r>
    </w:p>
    <w:p w14:paraId="7E821E62" w14:textId="77777777" w:rsidR="00D955F4" w:rsidRPr="009F55A0" w:rsidRDefault="00D955F4" w:rsidP="00D955F4">
      <w:pPr>
        <w:pBdr>
          <w:top w:val="single" w:sz="4" w:space="1" w:color="auto"/>
          <w:left w:val="single" w:sz="4" w:space="4" w:color="auto"/>
          <w:bottom w:val="single" w:sz="4" w:space="1" w:color="auto"/>
          <w:right w:val="single" w:sz="4" w:space="4" w:color="auto"/>
        </w:pBdr>
        <w:spacing w:after="120"/>
        <w:ind w:left="1429"/>
        <w:jc w:val="both"/>
        <w:rPr>
          <w:rFonts w:ascii="Verdana" w:hAnsi="Verdana"/>
          <w:b/>
          <w:bCs/>
        </w:rPr>
      </w:pPr>
    </w:p>
    <w:p w14:paraId="60D49248" w14:textId="77777777" w:rsidR="00D955F4" w:rsidRPr="009F55A0" w:rsidRDefault="00D955F4" w:rsidP="00D955F4">
      <w:pPr>
        <w:pStyle w:val="Prrafodelista"/>
        <w:numPr>
          <w:ilvl w:val="0"/>
          <w:numId w:val="17"/>
        </w:numPr>
        <w:pBdr>
          <w:top w:val="single" w:sz="4" w:space="1" w:color="auto"/>
          <w:left w:val="single" w:sz="4" w:space="4" w:color="auto"/>
          <w:bottom w:val="single" w:sz="4" w:space="1" w:color="auto"/>
          <w:right w:val="single" w:sz="4" w:space="4" w:color="auto"/>
        </w:pBdr>
        <w:spacing w:after="120"/>
        <w:jc w:val="both"/>
        <w:rPr>
          <w:rFonts w:ascii="Verdana" w:hAnsi="Verdana"/>
          <w:b/>
          <w:bCs/>
        </w:rPr>
      </w:pPr>
      <w:r>
        <w:rPr>
          <w:rFonts w:ascii="Verdana" w:hAnsi="Verdana"/>
        </w:rPr>
        <w:t xml:space="preserve">Ley 152 de 1994. Disponible en: </w:t>
      </w:r>
      <w:hyperlink r:id="rId15" w:history="1">
        <w:r w:rsidRPr="00050DA1">
          <w:rPr>
            <w:rStyle w:val="Hipervnculo"/>
            <w:rFonts w:ascii="Verdana" w:hAnsi="Verdana"/>
          </w:rPr>
          <w:t>https://cceficiente.sharepoint.com/:w:/r/sites/SGC-Consultas/_layouts/15/Doc.aspx?sourcedoc=%7BFBED87FC-7C67-4562-8B0B-21BCF7829CEC%7D&amp;file=Ley%20152%20de%201994.docx&amp;action=default&amp;mobileredirect=true</w:t>
        </w:r>
      </w:hyperlink>
      <w:r>
        <w:rPr>
          <w:rFonts w:ascii="Verdana" w:hAnsi="Verdana"/>
        </w:rPr>
        <w:t xml:space="preserve"> </w:t>
      </w:r>
    </w:p>
    <w:p w14:paraId="55FCB796" w14:textId="77777777" w:rsidR="00D955F4" w:rsidRPr="009F55A0" w:rsidRDefault="00D955F4" w:rsidP="00D955F4">
      <w:pPr>
        <w:pBdr>
          <w:top w:val="single" w:sz="4" w:space="1" w:color="auto"/>
          <w:left w:val="single" w:sz="4" w:space="4" w:color="auto"/>
          <w:bottom w:val="single" w:sz="4" w:space="1" w:color="auto"/>
          <w:right w:val="single" w:sz="4" w:space="4" w:color="auto"/>
        </w:pBdr>
        <w:spacing w:after="120"/>
        <w:ind w:left="1429"/>
        <w:jc w:val="both"/>
        <w:rPr>
          <w:rFonts w:ascii="Verdana" w:hAnsi="Verdana"/>
          <w:b/>
          <w:bCs/>
        </w:rPr>
      </w:pPr>
    </w:p>
    <w:p w14:paraId="5B1BD0C1" w14:textId="77777777" w:rsidR="00D955F4" w:rsidRPr="00555DD0" w:rsidRDefault="00D955F4" w:rsidP="00D955F4">
      <w:pPr>
        <w:pStyle w:val="Prrafodelista"/>
        <w:numPr>
          <w:ilvl w:val="0"/>
          <w:numId w:val="17"/>
        </w:numPr>
        <w:pBdr>
          <w:top w:val="single" w:sz="4" w:space="1" w:color="auto"/>
          <w:left w:val="single" w:sz="4" w:space="4" w:color="auto"/>
          <w:bottom w:val="single" w:sz="4" w:space="1" w:color="auto"/>
          <w:right w:val="single" w:sz="4" w:space="4" w:color="auto"/>
        </w:pBdr>
        <w:spacing w:after="120"/>
        <w:jc w:val="both"/>
        <w:rPr>
          <w:rFonts w:ascii="Verdana" w:hAnsi="Verdana"/>
          <w:b/>
          <w:bCs/>
        </w:rPr>
      </w:pPr>
      <w:r>
        <w:rPr>
          <w:rFonts w:ascii="Verdana" w:hAnsi="Verdana"/>
        </w:rPr>
        <w:t xml:space="preserve">Guías y manuales expedidos por la Agencia Nacional de Contratación Pública- Colombia Compra Eficiente. Disponible en: </w:t>
      </w:r>
      <w:bookmarkEnd w:id="0"/>
      <w:r>
        <w:rPr>
          <w:rFonts w:ascii="Verdana" w:hAnsi="Verdana"/>
        </w:rPr>
        <w:fldChar w:fldCharType="begin"/>
      </w:r>
      <w:r>
        <w:rPr>
          <w:rFonts w:ascii="Verdana" w:hAnsi="Verdana"/>
        </w:rPr>
        <w:instrText>HYPERLINK "</w:instrText>
      </w:r>
      <w:r w:rsidRPr="00555DD0">
        <w:rPr>
          <w:rFonts w:ascii="Verdana" w:hAnsi="Verdana"/>
        </w:rPr>
        <w:instrText>https://colombiacompra.gov.co/sites/cce_public/files/cce_documents/guia_para_elaborar_el_plan_anual_de_adquisiciones_0.pdf</w:instrText>
      </w:r>
      <w:r>
        <w:rPr>
          <w:rFonts w:ascii="Verdana" w:hAnsi="Verdana"/>
        </w:rPr>
        <w:instrText>"</w:instrText>
      </w:r>
      <w:r>
        <w:rPr>
          <w:rFonts w:ascii="Verdana" w:hAnsi="Verdana"/>
        </w:rPr>
      </w:r>
      <w:r>
        <w:rPr>
          <w:rFonts w:ascii="Verdana" w:hAnsi="Verdana"/>
        </w:rPr>
        <w:fldChar w:fldCharType="separate"/>
      </w:r>
      <w:r w:rsidRPr="00050DA1">
        <w:rPr>
          <w:rStyle w:val="Hipervnculo"/>
          <w:rFonts w:ascii="Verdana" w:hAnsi="Verdana"/>
        </w:rPr>
        <w:t>https://colombiacompra.gov.co/sites/cce_public/files/cce_documents/guia_para_elaborar_el_plan_anual_de_adquisiciones_0.pdf</w:t>
      </w:r>
      <w:r>
        <w:rPr>
          <w:rFonts w:ascii="Verdana" w:hAnsi="Verdana"/>
        </w:rPr>
        <w:fldChar w:fldCharType="end"/>
      </w:r>
      <w:r>
        <w:rPr>
          <w:rFonts w:ascii="Verdana" w:hAnsi="Verdana"/>
        </w:rPr>
        <w:t xml:space="preserve"> </w:t>
      </w:r>
    </w:p>
    <w:p w14:paraId="55245F18" w14:textId="77777777" w:rsidR="00D955F4" w:rsidRPr="00555DD0" w:rsidRDefault="00D955F4" w:rsidP="00D955F4">
      <w:pPr>
        <w:pStyle w:val="Prrafodelista"/>
        <w:rPr>
          <w:rFonts w:ascii="Verdana" w:hAnsi="Verdana"/>
          <w:b/>
          <w:bCs/>
        </w:rPr>
      </w:pPr>
    </w:p>
    <w:p w14:paraId="756BA41C" w14:textId="402C3A0A" w:rsidR="00D955F4" w:rsidRPr="00171BBD" w:rsidRDefault="00171BBD" w:rsidP="00171BBD">
      <w:pPr>
        <w:spacing w:after="120"/>
        <w:jc w:val="both"/>
        <w:rPr>
          <w:rFonts w:ascii="Verdana" w:hAnsi="Verdana"/>
          <w:b/>
          <w:bCs/>
        </w:rPr>
      </w:pPr>
      <w:r>
        <w:rPr>
          <w:rFonts w:ascii="Verdana" w:hAnsi="Verdana"/>
          <w:b/>
          <w:bCs/>
          <w:lang w:val="es-ES"/>
        </w:rPr>
        <w:t xml:space="preserve">5. </w:t>
      </w:r>
      <w:r w:rsidR="00D955F4" w:rsidRPr="00171BBD">
        <w:rPr>
          <w:rFonts w:ascii="Verdana" w:hAnsi="Verdana"/>
          <w:b/>
          <w:bCs/>
        </w:rPr>
        <w:t xml:space="preserve">Doctrina de la Agencia Nacional de Contratación Pública: </w:t>
      </w:r>
    </w:p>
    <w:p w14:paraId="3D83C22E" w14:textId="77777777" w:rsidR="00D955F4" w:rsidRDefault="00D955F4" w:rsidP="00D955F4">
      <w:pPr>
        <w:pStyle w:val="Prrafodelista"/>
        <w:spacing w:after="120"/>
        <w:ind w:left="1069"/>
        <w:jc w:val="both"/>
        <w:rPr>
          <w:rFonts w:ascii="Verdana" w:hAnsi="Verdana"/>
          <w:b/>
          <w:bCs/>
        </w:rPr>
      </w:pPr>
    </w:p>
    <w:p w14:paraId="02BD29DE" w14:textId="0700263F" w:rsidR="00D955F4" w:rsidRDefault="00174642" w:rsidP="00D955F4">
      <w:pPr>
        <w:widowControl w:val="0"/>
        <w:autoSpaceDE w:val="0"/>
        <w:autoSpaceDN w:val="0"/>
        <w:spacing w:after="0" w:line="276" w:lineRule="auto"/>
        <w:jc w:val="both"/>
        <w:rPr>
          <w:rFonts w:ascii="Verdana" w:hAnsi="Verdana"/>
          <w:lang w:val="es-ES_tradnl"/>
        </w:rPr>
      </w:pPr>
      <w:r>
        <w:rPr>
          <w:rFonts w:ascii="Verdana" w:eastAsia="Calibri" w:hAnsi="Verdana" w:cs="Arial"/>
          <w:lang w:val="es-ES_tradnl"/>
        </w:rPr>
        <w:t>Esta subdirección s</w:t>
      </w:r>
      <w:r w:rsidR="00D955F4" w:rsidRPr="00676A8B">
        <w:rPr>
          <w:rFonts w:ascii="Verdana" w:eastAsia="Calibri" w:hAnsi="Verdana" w:cs="Arial"/>
          <w:lang w:val="es-ES_tradnl"/>
        </w:rPr>
        <w:t>e ha pronunciado</w:t>
      </w:r>
      <w:r w:rsidR="00171BBD">
        <w:rPr>
          <w:rFonts w:ascii="Verdana" w:eastAsia="Calibri" w:hAnsi="Verdana" w:cs="Arial"/>
          <w:lang w:val="es-ES_tradnl"/>
        </w:rPr>
        <w:t xml:space="preserve"> sobre el</w:t>
      </w:r>
      <w:r w:rsidR="00D955F4" w:rsidRPr="00676A8B">
        <w:rPr>
          <w:rFonts w:ascii="Verdana" w:eastAsia="Calibri" w:hAnsi="Verdana" w:cs="Arial"/>
          <w:lang w:val="es-ES_tradnl"/>
        </w:rPr>
        <w:t xml:space="preserve"> tema del plan anual de adquisiciones en los siguientes conceptos 2201913000003587 del 27 de mayo de 2019, 4201913000006571 del 8 de noviembre de 2019, reiterado y desarrollado en los conceptos 4201912000007258 del 4 de diciembre de 2019, C-048 del 13 de enero de 2020, C-106 del 20 de marzo de 2020, C-109 del 25 de marzo de 2020, C-177 del 31 de marzo de 2020, C- 158 del 03 de abril de 2020, C-237 del 27 de abril de 2020, C-266 del 21 de mayo de 2020, C- 329 del </w:t>
      </w:r>
      <w:r w:rsidR="00D955F4" w:rsidRPr="00676A8B">
        <w:rPr>
          <w:rFonts w:ascii="Verdana" w:eastAsia="Calibri" w:hAnsi="Verdana" w:cs="Arial"/>
          <w:lang w:val="es-ES_tradnl"/>
        </w:rPr>
        <w:lastRenderedPageBreak/>
        <w:t>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y C-733 del 13 de enero de 2022, C-026 del 18 de febrero de 2022, C-027 del 25 de febrero de 2022, C-047 del 2 de marzo de 2022, C-087 del 17 de marzo de 2022, C-408 del 23 de junio de 2022, C-622 de 28 de septiembre de 2022, C-754 de 9 de noviembre de 2022, C-763 de 15 de noviembre de 2022, C-062 de 18 de abril de 2023, C-142 de 30 de mayo de 2023, C-196 de 15 de junio de 2023, C-122 de 21 de junio de 2023, C-364 de 6 de septiembre de 2023, C-438 del 24 de octubre 2023</w:t>
      </w:r>
      <w:r>
        <w:rPr>
          <w:rFonts w:ascii="Verdana" w:eastAsia="Calibri" w:hAnsi="Verdana" w:cs="Arial"/>
          <w:lang w:val="es-ES_tradnl"/>
        </w:rPr>
        <w:t xml:space="preserve">, </w:t>
      </w:r>
      <w:r w:rsidR="00D955F4" w:rsidRPr="00676A8B">
        <w:rPr>
          <w:rFonts w:ascii="Verdana" w:eastAsia="Calibri" w:hAnsi="Verdana" w:cs="Arial"/>
          <w:lang w:val="es-ES_tradnl"/>
        </w:rPr>
        <w:t>concepto unificado 007 del 16 de enero de 2024 y el C-075 del 14 de mayo de 2024</w:t>
      </w:r>
      <w:r w:rsidR="00D955F4" w:rsidRPr="00676A8B">
        <w:rPr>
          <w:rFonts w:ascii="Verdana" w:eastAsia="Calibri" w:hAnsi="Verdana"/>
          <w:lang w:val="es-ES_tradnl"/>
        </w:rPr>
        <w:t>. Es</w:t>
      </w:r>
      <w:r w:rsidR="00D955F4" w:rsidRPr="00676A8B">
        <w:rPr>
          <w:rFonts w:ascii="Verdana" w:eastAsia="Calibri" w:hAnsi="Verdana" w:cs="Arial"/>
          <w:lang w:val="es-ES_tradnl"/>
        </w:rPr>
        <w:t>tos y otros conceptos se encuentran disponibles para consulta en el Sistema de relatoría de la Agencia, al cual se puede acceder a través del siguiente enlace:</w:t>
      </w:r>
      <w:r w:rsidR="00D955F4" w:rsidRPr="00676A8B">
        <w:rPr>
          <w:rFonts w:ascii="Verdana" w:eastAsia="Calibri" w:hAnsi="Verdana"/>
          <w:lang w:val="es-ES_tradnl"/>
        </w:rPr>
        <w:t xml:space="preserve"> </w:t>
      </w:r>
      <w:r w:rsidR="00D955F4">
        <w:rPr>
          <w:rFonts w:ascii="Verdana" w:eastAsia="Calibri" w:hAnsi="Verdana"/>
          <w:lang w:val="es-ES_tradnl"/>
        </w:rPr>
        <w:t xml:space="preserve"> </w:t>
      </w:r>
      <w:hyperlink r:id="rId16" w:history="1">
        <w:r w:rsidR="00D955F4" w:rsidRPr="00050DA1">
          <w:rPr>
            <w:rStyle w:val="Hipervnculo"/>
            <w:rFonts w:ascii="Verdana" w:hAnsi="Verdana"/>
            <w:lang w:val="es-ES_tradnl"/>
          </w:rPr>
          <w:t>https://relatoria.colombiacompra.gov.co/</w:t>
        </w:r>
      </w:hyperlink>
      <w:r w:rsidR="00D955F4" w:rsidRPr="008F1C09">
        <w:rPr>
          <w:rFonts w:ascii="Verdana" w:hAnsi="Verdana"/>
          <w:lang w:val="es-ES_tradnl"/>
        </w:rPr>
        <w:t xml:space="preserve"> </w:t>
      </w:r>
    </w:p>
    <w:p w14:paraId="2DFBE43E" w14:textId="77777777" w:rsidR="00D955F4" w:rsidRDefault="00D955F4" w:rsidP="00D955F4">
      <w:pPr>
        <w:widowControl w:val="0"/>
        <w:autoSpaceDE w:val="0"/>
        <w:autoSpaceDN w:val="0"/>
        <w:spacing w:after="0" w:line="276" w:lineRule="auto"/>
        <w:jc w:val="both"/>
        <w:rPr>
          <w:rFonts w:ascii="Verdana" w:hAnsi="Verdana"/>
          <w:lang w:val="es-ES_tradnl"/>
        </w:rPr>
      </w:pPr>
    </w:p>
    <w:p w14:paraId="7EC26539" w14:textId="6A65A06D" w:rsidR="00D955F4" w:rsidRPr="007176BE" w:rsidRDefault="007176BE" w:rsidP="00D955F4">
      <w:pPr>
        <w:pStyle w:val="Textonotapie"/>
        <w:spacing w:line="276" w:lineRule="auto"/>
        <w:jc w:val="both"/>
        <w:rPr>
          <w:rFonts w:ascii="Verdana" w:hAnsi="Verdana"/>
          <w:color w:val="000000"/>
          <w:sz w:val="22"/>
          <w:szCs w:val="22"/>
          <w:shd w:val="clear" w:color="auto" w:fill="FFFFFF"/>
          <w:lang w:val="es-CO"/>
        </w:rPr>
      </w:pPr>
      <w:r w:rsidRPr="007176BE">
        <w:rPr>
          <w:rFonts w:ascii="Verdana" w:hAnsi="Verdana" w:cs="Arial"/>
          <w:sz w:val="22"/>
          <w:szCs w:val="22"/>
          <w:lang w:val="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7" w:tgtFrame="_blank" w:tooltip="Dirección URL original: https://www.colombiacompra.gov.co/sites/cce_public/files/cce_documents/manual_para_el_manejo_de_acuerdos_comerciales_vf.pdf. Haga clic o pulse si confía en este vínculo." w:history="1">
        <w:r w:rsidRPr="007176BE">
          <w:rPr>
            <w:rStyle w:val="Hipervnculo"/>
            <w:rFonts w:ascii="Verdana" w:hAnsi="Verdana" w:cs="Arial"/>
            <w:sz w:val="22"/>
            <w:szCs w:val="22"/>
            <w:lang w:val="es-CO"/>
          </w:rPr>
          <w:t>manual_para_el_manejo_de_acuerdos_comerciales_vf.pdf</w:t>
        </w:r>
      </w:hyperlink>
    </w:p>
    <w:p w14:paraId="78F63AA1" w14:textId="77777777" w:rsidR="007176BE" w:rsidRDefault="007176BE" w:rsidP="00D955F4">
      <w:pPr>
        <w:spacing w:after="0" w:line="276" w:lineRule="auto"/>
        <w:jc w:val="both"/>
        <w:rPr>
          <w:rFonts w:ascii="Verdana" w:hAnsi="Verdana" w:cs="Arial"/>
        </w:rPr>
      </w:pPr>
    </w:p>
    <w:p w14:paraId="02B23B64" w14:textId="5DF41C80" w:rsidR="00D955F4" w:rsidRPr="0007514F" w:rsidRDefault="00D955F4" w:rsidP="00D955F4">
      <w:pPr>
        <w:spacing w:after="0" w:line="276" w:lineRule="auto"/>
        <w:jc w:val="both"/>
        <w:rPr>
          <w:rFonts w:ascii="Verdana" w:hAnsi="Verdana" w:cs="Arial"/>
        </w:rPr>
      </w:pPr>
      <w:r w:rsidRPr="00D544D3">
        <w:rPr>
          <w:rFonts w:ascii="Verdana" w:hAnsi="Verdana" w:cs="Arial"/>
        </w:rPr>
        <w:t xml:space="preserve">También le invitamos a </w:t>
      </w:r>
      <w:r>
        <w:rPr>
          <w:rFonts w:ascii="Verdana" w:hAnsi="Verdana" w:cs="Arial"/>
        </w:rPr>
        <w:t xml:space="preserve">consultar la versión VII de 2024, del Boletín de Relatoría de la Subdirección de Gestión Contractual relacionado con las ASOCIACIONES PÚBLICO POPULARES, en el cual se puede descargar en la </w:t>
      </w:r>
      <w:proofErr w:type="spellStart"/>
      <w:r>
        <w:rPr>
          <w:rFonts w:ascii="Verdana" w:hAnsi="Verdana" w:cs="Arial"/>
        </w:rPr>
        <w:t>pagina</w:t>
      </w:r>
      <w:proofErr w:type="spellEnd"/>
      <w:r>
        <w:rPr>
          <w:rFonts w:ascii="Verdana" w:hAnsi="Verdana" w:cs="Arial"/>
        </w:rPr>
        <w:t xml:space="preserve"> web de la Agencia: </w:t>
      </w:r>
      <w:hyperlink r:id="rId18" w:tgtFrame="_blank" w:tooltip="Dirección URL original: https://www.colombiacompra.gov.co/sala-de-prensa/boletin-digital. Haga clic o pulse si confía en este vínculo." w:history="1">
        <w:r w:rsidRPr="0010298F">
          <w:rPr>
            <w:rStyle w:val="Hipervnculo"/>
            <w:rFonts w:ascii="Verdana" w:hAnsi="Verdana" w:cs="Arial"/>
          </w:rPr>
          <w:t>https://www.colombiacompra.gov.co/sala-de-prensa/boletin-digital</w:t>
        </w:r>
      </w:hyperlink>
      <w:r w:rsidRPr="0010298F">
        <w:rPr>
          <w:rFonts w:ascii="Verdana" w:hAnsi="Verdana" w:cs="Arial"/>
        </w:rPr>
        <w:t> </w:t>
      </w:r>
    </w:p>
    <w:p w14:paraId="0A9D0C3A" w14:textId="77777777" w:rsidR="00D955F4" w:rsidRDefault="00D955F4" w:rsidP="00D955F4">
      <w:pPr>
        <w:spacing w:after="0" w:line="240" w:lineRule="auto"/>
        <w:jc w:val="both"/>
        <w:rPr>
          <w:rFonts w:ascii="Verdana" w:hAnsi="Verdana"/>
        </w:rPr>
      </w:pPr>
    </w:p>
    <w:p w14:paraId="45EAB695" w14:textId="77777777" w:rsidR="00D955F4" w:rsidRPr="0011467B" w:rsidRDefault="00D955F4" w:rsidP="00D955F4">
      <w:pPr>
        <w:spacing w:after="0" w:line="276"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586B54B9" w14:textId="77777777" w:rsidR="00D955F4" w:rsidRPr="0011467B" w:rsidRDefault="00D955F4" w:rsidP="00D955F4">
      <w:pPr>
        <w:spacing w:after="0" w:line="240" w:lineRule="auto"/>
        <w:jc w:val="both"/>
        <w:rPr>
          <w:rFonts w:ascii="Verdana" w:hAnsi="Verdana"/>
        </w:rPr>
      </w:pPr>
    </w:p>
    <w:p w14:paraId="289E2FA0" w14:textId="77777777" w:rsidR="00D955F4" w:rsidRPr="0011467B" w:rsidRDefault="00D955F4" w:rsidP="00D955F4">
      <w:pPr>
        <w:spacing w:after="0" w:line="240" w:lineRule="auto"/>
        <w:jc w:val="both"/>
        <w:rPr>
          <w:rFonts w:ascii="Verdana" w:hAnsi="Verdana"/>
        </w:rPr>
      </w:pPr>
      <w:r w:rsidRPr="0011467B">
        <w:rPr>
          <w:rFonts w:ascii="Verdana" w:hAnsi="Verdana"/>
        </w:rPr>
        <w:t xml:space="preserve">Twitter: </w:t>
      </w:r>
      <w:r w:rsidRPr="00CE40A8">
        <w:rPr>
          <w:rStyle w:val="Hipervnculo"/>
          <w:rFonts w:ascii="Verdana" w:hAnsi="Verdana"/>
          <w:color w:val="4472C4" w:themeColor="accent1"/>
        </w:rPr>
        <w:t>@colombiacompra</w:t>
      </w:r>
      <w:r w:rsidRPr="00CE40A8">
        <w:rPr>
          <w:rFonts w:ascii="Verdana" w:hAnsi="Verdana"/>
          <w:color w:val="4472C4" w:themeColor="accent1"/>
        </w:rPr>
        <w:t xml:space="preserve"> </w:t>
      </w:r>
    </w:p>
    <w:p w14:paraId="5795CE9C" w14:textId="77777777" w:rsidR="00D955F4" w:rsidRPr="0011467B" w:rsidRDefault="00D955F4" w:rsidP="00D955F4">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29242D6F" w14:textId="77777777" w:rsidR="00D955F4" w:rsidRPr="0011467B" w:rsidRDefault="00D955F4" w:rsidP="00D955F4">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6BEFD157" w14:textId="77777777" w:rsidR="00D955F4" w:rsidRPr="0011467B" w:rsidRDefault="00D955F4" w:rsidP="00D955F4">
      <w:pPr>
        <w:spacing w:after="120" w:line="276" w:lineRule="auto"/>
        <w:jc w:val="center"/>
        <w:rPr>
          <w:rFonts w:ascii="Verdana" w:hAnsi="Verdana" w:cs="Arial"/>
          <w:lang w:val="es-ES"/>
        </w:rPr>
      </w:pPr>
    </w:p>
    <w:p w14:paraId="6A3EE486" w14:textId="77777777" w:rsidR="00D955F4" w:rsidRPr="0011467B" w:rsidRDefault="00D955F4" w:rsidP="00D955F4">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E6820DD" w14:textId="77777777" w:rsidR="00D955F4" w:rsidRDefault="00D955F4" w:rsidP="00D955F4">
      <w:pPr>
        <w:widowControl w:val="0"/>
        <w:autoSpaceDE w:val="0"/>
        <w:autoSpaceDN w:val="0"/>
        <w:spacing w:after="0" w:line="276" w:lineRule="auto"/>
        <w:jc w:val="both"/>
        <w:rPr>
          <w:rFonts w:ascii="Verdana" w:hAnsi="Verdana"/>
          <w:lang w:val="es-ES_tradnl"/>
        </w:rPr>
      </w:pPr>
    </w:p>
    <w:p w14:paraId="4BC188D7" w14:textId="2BBF3D18" w:rsidR="00D955F4" w:rsidRPr="00FD28DB" w:rsidRDefault="00D955F4" w:rsidP="00D955F4">
      <w:pPr>
        <w:spacing w:after="0" w:line="240" w:lineRule="auto"/>
        <w:rPr>
          <w:rFonts w:ascii="Verdana" w:eastAsia="Times New Roman" w:hAnsi="Verdana" w:cs="Arial"/>
          <w:lang w:val="es-ES" w:eastAsia="es-CO"/>
        </w:rPr>
      </w:pPr>
      <w:r w:rsidRPr="00FD28DB">
        <w:rPr>
          <w:rFonts w:ascii="Verdana" w:eastAsia="Times New Roman" w:hAnsi="Verdana" w:cs="Arial"/>
          <w:lang w:val="es-ES" w:eastAsia="es-CO"/>
        </w:rPr>
        <w:t>Atentamente,</w:t>
      </w:r>
    </w:p>
    <w:p w14:paraId="5AAB6FAE" w14:textId="6297909E" w:rsidR="00D955F4" w:rsidRPr="00FD28DB" w:rsidRDefault="00572F79" w:rsidP="00D955F4">
      <w:pPr>
        <w:spacing w:after="0" w:line="276" w:lineRule="auto"/>
        <w:jc w:val="center"/>
        <w:rPr>
          <w:rFonts w:ascii="Verdana" w:eastAsia="Times New Roman" w:hAnsi="Verdana" w:cs="Arial"/>
          <w:color w:val="000000"/>
          <w:lang w:val="es-ES" w:eastAsia="es-CO"/>
        </w:rPr>
      </w:pPr>
      <w:r w:rsidRPr="0017253A">
        <w:rPr>
          <w:rFonts w:ascii="Verdana" w:hAnsi="Verdana"/>
          <w:noProof/>
          <w:lang w:val="es-MX"/>
        </w:rPr>
        <w:drawing>
          <wp:anchor distT="0" distB="0" distL="114300" distR="114300" simplePos="0" relativeHeight="251658241" behindDoc="1" locked="0" layoutInCell="1" allowOverlap="1" wp14:anchorId="0EF158AC" wp14:editId="0225EE89">
            <wp:simplePos x="0" y="0"/>
            <wp:positionH relativeFrom="margin">
              <wp:posOffset>800100</wp:posOffset>
            </wp:positionH>
            <wp:positionV relativeFrom="paragraph">
              <wp:posOffset>11430</wp:posOffset>
            </wp:positionV>
            <wp:extent cx="3771900" cy="1179830"/>
            <wp:effectExtent l="0" t="0" r="0" b="1270"/>
            <wp:wrapTight wrapText="bothSides">
              <wp:wrapPolygon edited="0">
                <wp:start x="0" y="0"/>
                <wp:lineTo x="0" y="21274"/>
                <wp:lineTo x="21491" y="21274"/>
                <wp:lineTo x="21491" y="0"/>
                <wp:lineTo x="0" y="0"/>
              </wp:wrapPolygon>
            </wp:wrapTight>
            <wp:docPr id="14857201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0163"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1179830"/>
                    </a:xfrm>
                    <a:prstGeom prst="rect">
                      <a:avLst/>
                    </a:prstGeom>
                    <a:noFill/>
                    <a:ln>
                      <a:noFill/>
                    </a:ln>
                  </pic:spPr>
                </pic:pic>
              </a:graphicData>
            </a:graphic>
            <wp14:sizeRelV relativeFrom="margin">
              <wp14:pctHeight>0</wp14:pctHeight>
            </wp14:sizeRelV>
          </wp:anchor>
        </w:drawing>
      </w:r>
    </w:p>
    <w:p w14:paraId="7DE83C4D" w14:textId="77777777" w:rsidR="00D955F4" w:rsidRDefault="00D955F4" w:rsidP="00D955F4">
      <w:pPr>
        <w:spacing w:after="0" w:line="276" w:lineRule="auto"/>
        <w:jc w:val="center"/>
        <w:rPr>
          <w:rFonts w:ascii="Verdana" w:eastAsia="Times New Roman" w:hAnsi="Verdana" w:cs="Arial"/>
          <w:color w:val="000000"/>
          <w:sz w:val="16"/>
          <w:szCs w:val="16"/>
          <w:lang w:val="es-ES" w:eastAsia="es-CO"/>
        </w:rPr>
      </w:pPr>
    </w:p>
    <w:p w14:paraId="515E4ADC" w14:textId="77777777" w:rsidR="00D955F4" w:rsidRDefault="00D955F4" w:rsidP="00D955F4">
      <w:pPr>
        <w:spacing w:after="0" w:line="276" w:lineRule="auto"/>
        <w:jc w:val="center"/>
        <w:rPr>
          <w:rFonts w:ascii="Verdana" w:eastAsia="Times New Roman" w:hAnsi="Verdana" w:cs="Arial"/>
          <w:color w:val="000000"/>
          <w:sz w:val="16"/>
          <w:szCs w:val="16"/>
          <w:lang w:val="es-ES" w:eastAsia="es-CO"/>
        </w:rPr>
      </w:pPr>
    </w:p>
    <w:p w14:paraId="268299E9"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7B46D5A9"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264385BB"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27D95E8C"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5C93D4E7"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0A704792" w14:textId="77777777" w:rsidR="00572F79" w:rsidRDefault="00572F79" w:rsidP="00D955F4">
      <w:pPr>
        <w:spacing w:after="0" w:line="276" w:lineRule="auto"/>
        <w:jc w:val="center"/>
        <w:rPr>
          <w:rFonts w:ascii="Verdana" w:eastAsia="Times New Roman" w:hAnsi="Verdana" w:cs="Arial"/>
          <w:color w:val="000000"/>
          <w:sz w:val="16"/>
          <w:szCs w:val="16"/>
          <w:lang w:val="es-ES" w:eastAsia="es-CO"/>
        </w:rPr>
      </w:pPr>
    </w:p>
    <w:p w14:paraId="2701CAB9" w14:textId="77777777" w:rsidR="00572F79" w:rsidRPr="00CE4481" w:rsidRDefault="00572F79" w:rsidP="00D955F4">
      <w:pPr>
        <w:spacing w:after="0" w:line="276" w:lineRule="auto"/>
        <w:jc w:val="center"/>
        <w:rPr>
          <w:rFonts w:ascii="Verdana" w:eastAsia="Times New Roman" w:hAnsi="Verdana" w:cs="Arial"/>
          <w:color w:val="000000"/>
          <w:sz w:val="16"/>
          <w:szCs w:val="16"/>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D955F4" w:rsidRPr="00CE4481" w14:paraId="2E45BBCB" w14:textId="77777777" w:rsidTr="007A3185">
        <w:trPr>
          <w:trHeight w:val="409"/>
        </w:trPr>
        <w:tc>
          <w:tcPr>
            <w:tcW w:w="913" w:type="dxa"/>
            <w:tcBorders>
              <w:top w:val="nil"/>
              <w:left w:val="nil"/>
              <w:bottom w:val="nil"/>
              <w:right w:val="nil"/>
            </w:tcBorders>
            <w:vAlign w:val="center"/>
            <w:hideMark/>
          </w:tcPr>
          <w:p w14:paraId="296AC18D" w14:textId="77777777" w:rsidR="00D955F4" w:rsidRPr="00CE4481" w:rsidRDefault="00D955F4" w:rsidP="007A3185">
            <w:pPr>
              <w:spacing w:after="0"/>
              <w:jc w:val="both"/>
              <w:rPr>
                <w:rFonts w:ascii="Verdana" w:hAnsi="Verdana" w:cs="Arial"/>
                <w:sz w:val="16"/>
                <w:szCs w:val="16"/>
                <w:lang w:val="es-ES"/>
              </w:rPr>
            </w:pPr>
            <w:r w:rsidRPr="00CE4481">
              <w:rPr>
                <w:rFonts w:ascii="Verdana" w:hAnsi="Verdana" w:cs="Arial"/>
                <w:sz w:val="16"/>
                <w:szCs w:val="16"/>
                <w:lang w:val="es-ES"/>
              </w:rPr>
              <w:t>Elaboró: </w:t>
            </w:r>
          </w:p>
        </w:tc>
        <w:tc>
          <w:tcPr>
            <w:tcW w:w="5525" w:type="dxa"/>
            <w:tcBorders>
              <w:top w:val="nil"/>
              <w:left w:val="nil"/>
              <w:bottom w:val="dotted" w:sz="6" w:space="0" w:color="7F7F7F" w:themeColor="text1" w:themeTint="80"/>
              <w:right w:val="nil"/>
            </w:tcBorders>
            <w:vAlign w:val="center"/>
            <w:hideMark/>
          </w:tcPr>
          <w:p w14:paraId="7F8FF9B6" w14:textId="77777777" w:rsidR="00D955F4" w:rsidRPr="00CE4481" w:rsidRDefault="00D955F4" w:rsidP="007A3185">
            <w:pPr>
              <w:spacing w:after="0"/>
              <w:jc w:val="both"/>
              <w:rPr>
                <w:rFonts w:ascii="Verdana" w:hAnsi="Verdana" w:cs="Arial"/>
                <w:sz w:val="16"/>
                <w:szCs w:val="16"/>
                <w:lang w:val="es-ES"/>
              </w:rPr>
            </w:pPr>
            <w:r w:rsidRPr="00CE4481">
              <w:rPr>
                <w:rFonts w:ascii="Verdana" w:hAnsi="Verdana" w:cs="Arial"/>
                <w:sz w:val="16"/>
                <w:szCs w:val="16"/>
                <w:lang w:val="es-ES"/>
              </w:rPr>
              <w:t>Kelmis Yirama Brugés Alvarado</w:t>
            </w:r>
          </w:p>
          <w:p w14:paraId="516BC3DC" w14:textId="77777777" w:rsidR="00D955F4" w:rsidRPr="00CE4481" w:rsidRDefault="00D955F4" w:rsidP="007A3185">
            <w:pPr>
              <w:spacing w:after="0"/>
              <w:jc w:val="both"/>
              <w:rPr>
                <w:rFonts w:ascii="Verdana" w:hAnsi="Verdana" w:cs="Arial"/>
                <w:sz w:val="16"/>
                <w:szCs w:val="16"/>
                <w:lang w:val="es-ES"/>
              </w:rPr>
            </w:pPr>
            <w:r w:rsidRPr="00CE4481">
              <w:rPr>
                <w:rFonts w:ascii="Verdana" w:hAnsi="Verdana" w:cs="Arial"/>
                <w:sz w:val="16"/>
                <w:szCs w:val="16"/>
                <w:lang w:val="es-ES"/>
              </w:rPr>
              <w:t>Analista T2-04 de la Subdirección de Gestión Contractual</w:t>
            </w:r>
          </w:p>
        </w:tc>
      </w:tr>
      <w:tr w:rsidR="00D955F4" w:rsidRPr="00CE4481" w14:paraId="438F3A9F" w14:textId="77777777" w:rsidTr="007A3185">
        <w:trPr>
          <w:trHeight w:val="409"/>
        </w:trPr>
        <w:tc>
          <w:tcPr>
            <w:tcW w:w="913" w:type="dxa"/>
            <w:tcBorders>
              <w:top w:val="nil"/>
              <w:left w:val="nil"/>
              <w:right w:val="nil"/>
            </w:tcBorders>
            <w:vAlign w:val="center"/>
          </w:tcPr>
          <w:p w14:paraId="444231AA" w14:textId="77777777" w:rsidR="00D955F4" w:rsidRPr="00CE4481" w:rsidRDefault="00D955F4" w:rsidP="007A3185">
            <w:pPr>
              <w:spacing w:after="0"/>
              <w:rPr>
                <w:rStyle w:val="normaltextrun"/>
                <w:rFonts w:ascii="Verdana" w:eastAsia="Arial" w:hAnsi="Verdana"/>
                <w:color w:val="000000" w:themeColor="text1"/>
                <w:sz w:val="16"/>
                <w:szCs w:val="16"/>
                <w:lang w:val="es-ES"/>
              </w:rPr>
            </w:pPr>
            <w:r w:rsidRPr="00CE4481">
              <w:rPr>
                <w:rStyle w:val="normaltextrun"/>
                <w:rFonts w:ascii="Verdana" w:eastAsia="Arial" w:hAnsi="Verdana"/>
                <w:color w:val="000000" w:themeColor="text1"/>
                <w:sz w:val="16"/>
                <w:szCs w:val="16"/>
                <w:lang w:val="es-ES"/>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3A781535" w14:textId="77777777" w:rsidR="00D955F4" w:rsidRPr="00CE4481" w:rsidRDefault="00D955F4" w:rsidP="007A3185">
            <w:pPr>
              <w:spacing w:after="0"/>
              <w:rPr>
                <w:rStyle w:val="normaltextrun"/>
                <w:rFonts w:ascii="Verdana" w:eastAsia="Arial" w:hAnsi="Verdana" w:cs="Arial"/>
                <w:color w:val="000000" w:themeColor="text1"/>
                <w:sz w:val="16"/>
                <w:szCs w:val="16"/>
                <w:lang w:val="es-ES"/>
              </w:rPr>
            </w:pPr>
            <w:r w:rsidRPr="00CE4481">
              <w:rPr>
                <w:rStyle w:val="normaltextrun"/>
                <w:rFonts w:ascii="Verdana" w:eastAsia="Arial" w:hAnsi="Verdana" w:cs="Arial"/>
                <w:color w:val="000000" w:themeColor="text1"/>
                <w:sz w:val="16"/>
                <w:szCs w:val="16"/>
                <w:lang w:val="es-ES"/>
              </w:rPr>
              <w:t>Ximena Ríos López</w:t>
            </w:r>
          </w:p>
          <w:p w14:paraId="2BD272EA" w14:textId="77777777" w:rsidR="00D955F4" w:rsidRPr="00CE4481" w:rsidRDefault="00D955F4" w:rsidP="007A3185">
            <w:pPr>
              <w:spacing w:after="0"/>
              <w:rPr>
                <w:rStyle w:val="normaltextrun"/>
                <w:rFonts w:ascii="Verdana" w:eastAsia="Arial" w:hAnsi="Verdana"/>
                <w:color w:val="000000" w:themeColor="text1"/>
                <w:sz w:val="16"/>
                <w:szCs w:val="16"/>
                <w:lang w:val="es-ES"/>
              </w:rPr>
            </w:pPr>
            <w:r w:rsidRPr="00CE4481">
              <w:rPr>
                <w:rStyle w:val="normaltextrun"/>
                <w:rFonts w:ascii="Verdana" w:eastAsia="Arial" w:hAnsi="Verdana" w:cs="Arial"/>
                <w:color w:val="000000" w:themeColor="text1"/>
                <w:sz w:val="16"/>
                <w:szCs w:val="16"/>
                <w:lang w:val="es-ES"/>
              </w:rPr>
              <w:t>Gestor código T1 grado 11 de la Subdirección de Gestión Contractual</w:t>
            </w:r>
          </w:p>
        </w:tc>
      </w:tr>
      <w:tr w:rsidR="00D955F4" w:rsidRPr="00CE4481" w14:paraId="43356FDC" w14:textId="77777777" w:rsidTr="007A3185">
        <w:trPr>
          <w:trHeight w:val="389"/>
        </w:trPr>
        <w:tc>
          <w:tcPr>
            <w:tcW w:w="913" w:type="dxa"/>
            <w:tcBorders>
              <w:top w:val="nil"/>
              <w:left w:val="nil"/>
              <w:bottom w:val="nil"/>
              <w:right w:val="nil"/>
            </w:tcBorders>
            <w:vAlign w:val="center"/>
            <w:hideMark/>
          </w:tcPr>
          <w:p w14:paraId="68C8C7C4" w14:textId="77777777" w:rsidR="00D955F4" w:rsidRPr="00CE4481" w:rsidRDefault="00D955F4" w:rsidP="007A3185">
            <w:pPr>
              <w:spacing w:after="0"/>
              <w:jc w:val="both"/>
              <w:rPr>
                <w:rFonts w:ascii="Verdana" w:hAnsi="Verdana" w:cs="Arial"/>
                <w:sz w:val="16"/>
                <w:szCs w:val="16"/>
                <w:lang w:val="es-ES"/>
              </w:rPr>
            </w:pPr>
            <w:r w:rsidRPr="00CE4481">
              <w:rPr>
                <w:rFonts w:ascii="Verdana" w:hAnsi="Verdana" w:cs="Arial"/>
                <w:sz w:val="16"/>
                <w:szCs w:val="16"/>
                <w:lang w:val="es-ES"/>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79A49A84" w14:textId="77777777" w:rsidR="00D955F4" w:rsidRPr="00CE4481" w:rsidRDefault="00D955F4" w:rsidP="007A3185">
            <w:pPr>
              <w:spacing w:after="0"/>
              <w:rPr>
                <w:rFonts w:ascii="Verdana" w:eastAsia="Calibri" w:hAnsi="Verdana" w:cs="Arial"/>
                <w:sz w:val="16"/>
                <w:szCs w:val="16"/>
                <w:lang w:val="es-ES" w:eastAsia="es-ES"/>
              </w:rPr>
            </w:pPr>
            <w:r w:rsidRPr="00CE4481">
              <w:rPr>
                <w:rFonts w:ascii="Verdana" w:eastAsia="Calibri" w:hAnsi="Verdana" w:cs="Arial"/>
                <w:sz w:val="16"/>
                <w:szCs w:val="16"/>
                <w:lang w:val="es-ES" w:eastAsia="es-ES"/>
              </w:rPr>
              <w:t>Carolina Quintero Gacharná</w:t>
            </w:r>
          </w:p>
          <w:p w14:paraId="3AC8C4DF" w14:textId="77777777" w:rsidR="00D955F4" w:rsidRPr="00CE4481" w:rsidRDefault="00D955F4" w:rsidP="007A3185">
            <w:pPr>
              <w:spacing w:after="0"/>
              <w:jc w:val="both"/>
              <w:rPr>
                <w:rFonts w:ascii="Verdana" w:hAnsi="Verdana" w:cs="Arial"/>
                <w:sz w:val="16"/>
                <w:szCs w:val="16"/>
                <w:lang w:val="es-ES"/>
              </w:rPr>
            </w:pPr>
            <w:r w:rsidRPr="00CE4481">
              <w:rPr>
                <w:rFonts w:ascii="Verdana" w:hAnsi="Verdana" w:cs="Arial"/>
                <w:sz w:val="16"/>
                <w:szCs w:val="16"/>
                <w:lang w:val="es-ES"/>
              </w:rPr>
              <w:t>Subdirectora de Gestión Contractual ANCP – CCE</w:t>
            </w:r>
          </w:p>
        </w:tc>
      </w:tr>
    </w:tbl>
    <w:p w14:paraId="74112462" w14:textId="77777777" w:rsidR="00D955F4" w:rsidRPr="00FD28DB" w:rsidRDefault="00D955F4" w:rsidP="00D955F4">
      <w:pPr>
        <w:rPr>
          <w:lang w:val="es-ES"/>
        </w:rPr>
      </w:pPr>
    </w:p>
    <w:p w14:paraId="50ADBF28" w14:textId="77777777" w:rsidR="00D955F4" w:rsidRPr="00470423" w:rsidRDefault="00D955F4" w:rsidP="00D955F4">
      <w:pPr>
        <w:spacing w:after="0" w:line="276" w:lineRule="auto"/>
        <w:jc w:val="both"/>
        <w:rPr>
          <w:rFonts w:ascii="Verdana" w:hAnsi="Verdana" w:cs="Arial"/>
          <w:lang w:val="es-ES"/>
        </w:rPr>
      </w:pPr>
    </w:p>
    <w:p w14:paraId="348B4F9A" w14:textId="77777777" w:rsidR="00D955F4" w:rsidRPr="00AD7191" w:rsidRDefault="00D955F4" w:rsidP="00D955F4">
      <w:pPr>
        <w:rPr>
          <w:lang w:val="es-ES"/>
        </w:rPr>
      </w:pPr>
    </w:p>
    <w:p w14:paraId="5F799A44" w14:textId="77777777" w:rsidR="00D955F4" w:rsidRPr="00AF13E5" w:rsidRDefault="00D955F4" w:rsidP="00D955F4">
      <w:pPr>
        <w:widowControl w:val="0"/>
        <w:autoSpaceDE w:val="0"/>
        <w:autoSpaceDN w:val="0"/>
        <w:spacing w:after="0" w:line="276" w:lineRule="auto"/>
        <w:jc w:val="both"/>
        <w:rPr>
          <w:rFonts w:ascii="Verdana" w:eastAsia="Calibri" w:hAnsi="Verdana"/>
          <w:lang w:val="es-ES"/>
        </w:rPr>
      </w:pPr>
    </w:p>
    <w:p w14:paraId="13EA8E99" w14:textId="77777777" w:rsidR="00AF13E5" w:rsidRPr="00D955F4" w:rsidRDefault="00AF13E5" w:rsidP="00D955F4">
      <w:pPr>
        <w:rPr>
          <w:lang w:val="es-ES"/>
        </w:rPr>
      </w:pPr>
    </w:p>
    <w:sectPr w:rsidR="00AF13E5" w:rsidRPr="00D955F4"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64B7" w14:textId="77777777" w:rsidR="009E3D15" w:rsidRDefault="009E3D15" w:rsidP="004A1847">
      <w:pPr>
        <w:spacing w:after="0" w:line="240" w:lineRule="auto"/>
      </w:pPr>
      <w:r>
        <w:separator/>
      </w:r>
    </w:p>
  </w:endnote>
  <w:endnote w:type="continuationSeparator" w:id="0">
    <w:p w14:paraId="27C45B3A" w14:textId="77777777" w:rsidR="009E3D15" w:rsidRDefault="009E3D15" w:rsidP="004A1847">
      <w:pPr>
        <w:spacing w:after="0" w:line="240" w:lineRule="auto"/>
      </w:pPr>
      <w:r>
        <w:continuationSeparator/>
      </w:r>
    </w:p>
  </w:endnote>
  <w:endnote w:type="continuationNotice" w:id="1">
    <w:p w14:paraId="38F07BCB" w14:textId="77777777" w:rsidR="009A0559" w:rsidRDefault="009A0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4436" w14:textId="77777777" w:rsidR="009E3D15" w:rsidRDefault="009E3D15" w:rsidP="004A1847">
      <w:pPr>
        <w:spacing w:after="0" w:line="240" w:lineRule="auto"/>
      </w:pPr>
      <w:r>
        <w:separator/>
      </w:r>
    </w:p>
  </w:footnote>
  <w:footnote w:type="continuationSeparator" w:id="0">
    <w:p w14:paraId="753AF82E" w14:textId="77777777" w:rsidR="009E3D15" w:rsidRDefault="009E3D15" w:rsidP="004A1847">
      <w:pPr>
        <w:spacing w:after="0" w:line="240" w:lineRule="auto"/>
      </w:pPr>
      <w:r>
        <w:continuationSeparator/>
      </w:r>
    </w:p>
  </w:footnote>
  <w:footnote w:type="continuationNotice" w:id="1">
    <w:p w14:paraId="7E08D865" w14:textId="77777777" w:rsidR="009A0559" w:rsidRDefault="009A0559">
      <w:pPr>
        <w:spacing w:after="0" w:line="240" w:lineRule="auto"/>
      </w:pPr>
    </w:p>
  </w:footnote>
  <w:footnote w:id="2">
    <w:p w14:paraId="0BE625E4" w14:textId="77777777" w:rsidR="00D955F4" w:rsidRPr="007271E7" w:rsidRDefault="00D955F4" w:rsidP="00D955F4">
      <w:pPr>
        <w:pStyle w:val="Textonotapie"/>
        <w:ind w:firstLine="708"/>
        <w:jc w:val="both"/>
        <w:rPr>
          <w:rFonts w:ascii="Verdana" w:hAnsi="Verdana" w:cs="Arial"/>
          <w:sz w:val="16"/>
          <w:szCs w:val="16"/>
          <w:lang w:val="es-CO"/>
        </w:rPr>
      </w:pPr>
      <w:r w:rsidRPr="007271E7">
        <w:rPr>
          <w:rStyle w:val="Refdenotaalpie"/>
          <w:rFonts w:ascii="Verdana" w:hAnsi="Verdana"/>
          <w:sz w:val="16"/>
          <w:szCs w:val="16"/>
        </w:rPr>
        <w:footnoteRef/>
      </w:r>
      <w:r w:rsidRPr="007271E7">
        <w:rPr>
          <w:rFonts w:ascii="Verdana" w:hAnsi="Verdana"/>
          <w:sz w:val="16"/>
          <w:szCs w:val="16"/>
        </w:rPr>
        <w:t xml:space="preserve"> </w:t>
      </w:r>
      <w:r w:rsidRPr="007271E7">
        <w:rPr>
          <w:rFonts w:ascii="Verdana" w:eastAsia="Calibri" w:hAnsi="Verdana" w:cs="Arial"/>
          <w:sz w:val="16"/>
          <w:szCs w:val="16"/>
        </w:rPr>
        <w:t xml:space="preserve">Agencia Nacional de Contratación Pública </w:t>
      </w:r>
      <w:r w:rsidRPr="007271E7">
        <w:rPr>
          <w:rFonts w:ascii="Verdana" w:eastAsia="Calibri" w:hAnsi="Verdana" w:cs="Arial"/>
          <w:bCs/>
          <w:sz w:val="16"/>
          <w:szCs w:val="16"/>
        </w:rPr>
        <w:t xml:space="preserve">– </w:t>
      </w:r>
      <w:r w:rsidRPr="007271E7">
        <w:rPr>
          <w:rFonts w:ascii="Verdana" w:eastAsia="Calibri" w:hAnsi="Verdana" w:cs="Arial"/>
          <w:sz w:val="16"/>
          <w:szCs w:val="16"/>
        </w:rPr>
        <w:t>Colombia Compra Eficiente</w:t>
      </w:r>
      <w:r w:rsidRPr="007271E7">
        <w:rPr>
          <w:rFonts w:ascii="Verdana" w:hAnsi="Verdana" w:cs="Arial"/>
          <w:sz w:val="16"/>
          <w:szCs w:val="16"/>
          <w:lang w:val="es-CO"/>
        </w:rPr>
        <w:t xml:space="preserve"> Guía para elaborar el Plan Anual de Adquisiciones. Página 3. </w:t>
      </w:r>
    </w:p>
    <w:p w14:paraId="174840B2" w14:textId="77777777" w:rsidR="00D955F4" w:rsidRPr="003D451C" w:rsidRDefault="00D955F4" w:rsidP="00D955F4">
      <w:pPr>
        <w:pStyle w:val="Textonotapie"/>
        <w:rPr>
          <w:lang w:val="es-CO"/>
        </w:rPr>
      </w:pPr>
    </w:p>
  </w:footnote>
  <w:footnote w:id="3">
    <w:p w14:paraId="49E6B9BA" w14:textId="77777777" w:rsidR="00D955F4" w:rsidRPr="009B6490" w:rsidRDefault="00D955F4" w:rsidP="00D955F4">
      <w:pPr>
        <w:pStyle w:val="Textonotapie"/>
        <w:ind w:firstLine="708"/>
        <w:jc w:val="both"/>
        <w:rPr>
          <w:rFonts w:ascii="Verdana" w:hAnsi="Verdana" w:cs="Arial"/>
          <w:sz w:val="16"/>
          <w:szCs w:val="16"/>
          <w:lang w:val="es-ES"/>
        </w:rPr>
      </w:pPr>
      <w:r w:rsidRPr="009B6490">
        <w:rPr>
          <w:rStyle w:val="Refdenotaalpie"/>
          <w:rFonts w:ascii="Verdana" w:hAnsi="Verdana"/>
          <w:sz w:val="16"/>
          <w:szCs w:val="16"/>
        </w:rPr>
        <w:footnoteRef/>
      </w:r>
      <w:r w:rsidRPr="009B6490">
        <w:rPr>
          <w:rFonts w:ascii="Verdana" w:hAnsi="Verdana"/>
          <w:sz w:val="16"/>
          <w:szCs w:val="16"/>
        </w:rPr>
        <w:t xml:space="preserve"> </w:t>
      </w:r>
      <w:r w:rsidRPr="009B6490">
        <w:rPr>
          <w:rFonts w:ascii="Verdana" w:hAnsi="Verdana" w:cs="Arial"/>
          <w:sz w:val="16"/>
          <w:szCs w:val="16"/>
        </w:rPr>
        <w:t>El artículo 74 de la Ley 1474 prescribe: “</w:t>
      </w:r>
      <w:r w:rsidRPr="009B6490">
        <w:rPr>
          <w:rFonts w:ascii="Verdana" w:hAnsi="Verdana" w:cs="Arial"/>
          <w:sz w:val="16"/>
          <w:szCs w:val="16"/>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336FFA96" w14:textId="77777777" w:rsidR="00D955F4" w:rsidRPr="009B6490" w:rsidRDefault="00D955F4" w:rsidP="00D955F4">
      <w:pPr>
        <w:pStyle w:val="Textonotapie"/>
        <w:rPr>
          <w:lang w:val="es-ES"/>
        </w:rPr>
      </w:pPr>
      <w:r>
        <w:rPr>
          <w:lang w:val="es-ES"/>
        </w:rPr>
        <w:t>[…]”.</w:t>
      </w:r>
    </w:p>
  </w:footnote>
  <w:footnote w:id="4">
    <w:p w14:paraId="69ED1EC3" w14:textId="77777777" w:rsidR="00D955F4" w:rsidRPr="003D4B32" w:rsidRDefault="00D955F4" w:rsidP="00D955F4">
      <w:pPr>
        <w:pStyle w:val="Textonotapie"/>
        <w:ind w:firstLine="709"/>
        <w:jc w:val="both"/>
        <w:rPr>
          <w:rFonts w:ascii="Verdana" w:hAnsi="Verdana" w:cs="Arial"/>
          <w:color w:val="000000"/>
          <w:sz w:val="16"/>
          <w:szCs w:val="16"/>
          <w:shd w:val="clear" w:color="auto" w:fill="FFFFFF"/>
        </w:rPr>
      </w:pPr>
      <w:r w:rsidRPr="003D4B32">
        <w:rPr>
          <w:rStyle w:val="Refdenotaalpie"/>
          <w:rFonts w:ascii="Verdana" w:hAnsi="Verdana"/>
          <w:sz w:val="16"/>
          <w:szCs w:val="16"/>
        </w:rPr>
        <w:footnoteRef/>
      </w:r>
      <w:r w:rsidRPr="003D4B32">
        <w:rPr>
          <w:rFonts w:ascii="Verdana" w:hAnsi="Verdana"/>
          <w:sz w:val="16"/>
          <w:szCs w:val="16"/>
        </w:rPr>
        <w:t xml:space="preserve"> </w:t>
      </w:r>
      <w:r w:rsidRPr="003D4B32">
        <w:rPr>
          <w:rFonts w:ascii="Verdana" w:hAnsi="Verdana" w:cs="Arial"/>
          <w:color w:val="000000"/>
          <w:sz w:val="16"/>
          <w:szCs w:val="16"/>
        </w:rPr>
        <w:t>“</w:t>
      </w:r>
      <w:r w:rsidRPr="003D4B32">
        <w:rPr>
          <w:rStyle w:val="Textoennegrita"/>
          <w:rFonts w:ascii="Verdana" w:hAnsi="Verdana" w:cs="Arial"/>
          <w:color w:val="000000"/>
          <w:sz w:val="16"/>
          <w:szCs w:val="16"/>
          <w:shd w:val="clear" w:color="auto" w:fill="FFFFFF"/>
        </w:rPr>
        <w:t>Artículo 2.2.1.1.1.3.1. </w:t>
      </w:r>
      <w:r w:rsidRPr="003D4B32">
        <w:rPr>
          <w:rStyle w:val="nfasis"/>
          <w:rFonts w:ascii="Verdana" w:hAnsi="Verdana" w:cs="Arial"/>
          <w:color w:val="000000"/>
          <w:sz w:val="16"/>
          <w:szCs w:val="16"/>
          <w:shd w:val="clear" w:color="auto" w:fill="FFFFFF"/>
        </w:rPr>
        <w:t>Definiciones. </w:t>
      </w:r>
      <w:r w:rsidRPr="003D4B32">
        <w:rPr>
          <w:rFonts w:ascii="Verdana" w:hAnsi="Verdana" w:cs="Arial"/>
          <w:color w:val="000000"/>
          <w:sz w:val="16"/>
          <w:szCs w:val="16"/>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8C2099D" w14:textId="77777777" w:rsidR="00D955F4" w:rsidRPr="003D4B32" w:rsidRDefault="00D955F4" w:rsidP="00D955F4">
      <w:pPr>
        <w:pStyle w:val="Textonotapie"/>
        <w:ind w:firstLine="709"/>
        <w:jc w:val="both"/>
        <w:rPr>
          <w:rFonts w:ascii="Verdana" w:hAnsi="Verdana" w:cs="Arial"/>
          <w:color w:val="000000"/>
          <w:sz w:val="16"/>
          <w:szCs w:val="16"/>
          <w:shd w:val="clear" w:color="auto" w:fill="FFFFFF"/>
        </w:rPr>
      </w:pPr>
      <w:r w:rsidRPr="003D4B32">
        <w:rPr>
          <w:rFonts w:ascii="Verdana" w:hAnsi="Verdana" w:cs="Arial"/>
          <w:color w:val="000000"/>
          <w:sz w:val="16"/>
          <w:szCs w:val="16"/>
          <w:shd w:val="clear" w:color="auto" w:fill="FFFFFF"/>
        </w:rPr>
        <w:t>[…]</w:t>
      </w:r>
    </w:p>
    <w:p w14:paraId="56F79FA7" w14:textId="77777777" w:rsidR="00D955F4" w:rsidRPr="003D4B32" w:rsidRDefault="00D955F4" w:rsidP="00D955F4">
      <w:pPr>
        <w:pStyle w:val="NormalWeb"/>
        <w:shd w:val="clear" w:color="auto" w:fill="FFFFFF"/>
        <w:spacing w:after="0"/>
        <w:ind w:firstLine="709"/>
        <w:jc w:val="both"/>
        <w:rPr>
          <w:rFonts w:ascii="Verdana" w:hAnsi="Verdana" w:cs="Arial"/>
          <w:color w:val="000000"/>
          <w:sz w:val="16"/>
          <w:szCs w:val="16"/>
        </w:rPr>
      </w:pPr>
      <w:r w:rsidRPr="003D4B32">
        <w:rPr>
          <w:rStyle w:val="nfasis"/>
          <w:rFonts w:ascii="Verdana" w:hAnsi="Verdana" w:cs="Arial"/>
          <w:color w:val="000000"/>
          <w:sz w:val="16"/>
          <w:szCs w:val="16"/>
        </w:rPr>
        <w:t>Plan Anual de Adquisiciones: </w:t>
      </w:r>
      <w:r w:rsidRPr="003D4B32">
        <w:rPr>
          <w:rFonts w:ascii="Verdana" w:hAnsi="Verdana" w:cs="Arial"/>
          <w:color w:val="000000"/>
          <w:sz w:val="16"/>
          <w:szCs w:val="16"/>
        </w:rPr>
        <w:t>Plan general de compras al que se refiere el </w:t>
      </w:r>
      <w:hyperlink r:id="rId1" w:history="1">
        <w:r w:rsidRPr="003D4B32">
          <w:rPr>
            <w:rStyle w:val="Hipervnculo1"/>
            <w:rFonts w:ascii="Verdana" w:hAnsi="Verdana" w:cs="Arial"/>
            <w:color w:val="000000"/>
            <w:sz w:val="16"/>
            <w:szCs w:val="16"/>
          </w:rPr>
          <w:t>artículo 74 de la Ley 1474 de 2011</w:t>
        </w:r>
      </w:hyperlink>
      <w:r w:rsidRPr="003D4B32">
        <w:rPr>
          <w:rFonts w:ascii="Verdana" w:hAnsi="Verdana" w:cs="Arial"/>
          <w:color w:val="000000"/>
          <w:sz w:val="16"/>
          <w:szCs w:val="16"/>
        </w:rPr>
        <w:t> y el plan de compras al que se refiere la Ley Anual de Presupuesto. Es un instrumento de planeación contractual que las Entidades Estatales deben diligenciar, publicar y actualizar en los términos del presente título”.</w:t>
      </w:r>
    </w:p>
    <w:p w14:paraId="74B4BEC7" w14:textId="77777777" w:rsidR="00D955F4" w:rsidRPr="0080488B" w:rsidRDefault="00D955F4" w:rsidP="00D955F4">
      <w:pPr>
        <w:pStyle w:val="Textonotapie"/>
        <w:rPr>
          <w:lang w:val="es-CO"/>
        </w:rPr>
      </w:pPr>
    </w:p>
  </w:footnote>
  <w:footnote w:id="5">
    <w:p w14:paraId="5507D4D3" w14:textId="77777777" w:rsidR="00D955F4" w:rsidRPr="00DD14F9" w:rsidRDefault="00D955F4" w:rsidP="00D955F4">
      <w:pPr>
        <w:pStyle w:val="Textonotapie"/>
        <w:ind w:firstLine="708"/>
        <w:jc w:val="both"/>
        <w:rPr>
          <w:rFonts w:ascii="Verdana" w:hAnsi="Verdana" w:cs="Arial"/>
          <w:sz w:val="16"/>
          <w:szCs w:val="16"/>
        </w:rPr>
      </w:pPr>
      <w:r w:rsidRPr="00DD14F9">
        <w:rPr>
          <w:rStyle w:val="Refdenotaalpie"/>
          <w:rFonts w:ascii="Verdana" w:hAnsi="Verdana"/>
          <w:sz w:val="16"/>
          <w:szCs w:val="16"/>
        </w:rPr>
        <w:footnoteRef/>
      </w:r>
      <w:r w:rsidRPr="00DD14F9">
        <w:rPr>
          <w:rFonts w:ascii="Verdana" w:hAnsi="Verdana"/>
          <w:sz w:val="16"/>
          <w:szCs w:val="16"/>
        </w:rPr>
        <w:t xml:space="preserve"> </w:t>
      </w:r>
      <w:r w:rsidRPr="00DD14F9">
        <w:rPr>
          <w:rFonts w:ascii="Verdana" w:hAnsi="Verdana" w:cs="Arial"/>
          <w:sz w:val="16"/>
          <w:szCs w:val="16"/>
        </w:rPr>
        <w:t>Decreto 1082 de 2015: “Artículo 2.2.1.1.1.4.3. Publicación del Plan Anual de Adquisiciones.</w:t>
      </w:r>
      <w:r w:rsidRPr="00DD14F9">
        <w:rPr>
          <w:rFonts w:ascii="Verdana" w:hAnsi="Verdana" w:cs="Arial"/>
          <w:i/>
          <w:iCs/>
          <w:sz w:val="16"/>
          <w:szCs w:val="16"/>
        </w:rPr>
        <w:t> </w:t>
      </w:r>
      <w:r w:rsidRPr="00DD14F9">
        <w:rPr>
          <w:rFonts w:ascii="Verdana" w:hAnsi="Verdana" w:cs="Arial"/>
          <w:sz w:val="16"/>
          <w:szCs w:val="16"/>
        </w:rPr>
        <w:t>La Entidad Estatal debe publicar su Plan Anual de Adquisiciones y las actualizaciones del mismo en su página web y en el SECOP, en la forma que para el efecto disponga Colombia Compra Eficiente”.</w:t>
      </w:r>
    </w:p>
    <w:p w14:paraId="287C784C" w14:textId="77777777" w:rsidR="00D955F4" w:rsidRPr="00DD14F9" w:rsidRDefault="00D955F4" w:rsidP="00D955F4">
      <w:pPr>
        <w:pStyle w:val="Textonotapie"/>
      </w:pPr>
    </w:p>
  </w:footnote>
  <w:footnote w:id="6">
    <w:p w14:paraId="4A1FC6B0" w14:textId="77777777" w:rsidR="00D955F4" w:rsidRPr="00AA3881" w:rsidRDefault="00D955F4" w:rsidP="00D955F4">
      <w:pPr>
        <w:pStyle w:val="Textonotapie"/>
        <w:ind w:firstLine="708"/>
        <w:jc w:val="both"/>
        <w:rPr>
          <w:rFonts w:ascii="Verdana" w:hAnsi="Verdana" w:cs="Arial"/>
          <w:sz w:val="16"/>
          <w:szCs w:val="16"/>
        </w:rPr>
      </w:pPr>
      <w:r w:rsidRPr="00AA3881">
        <w:rPr>
          <w:rStyle w:val="Refdenotaalpie"/>
          <w:rFonts w:ascii="Verdana" w:hAnsi="Verdana"/>
          <w:sz w:val="16"/>
          <w:szCs w:val="16"/>
        </w:rPr>
        <w:footnoteRef/>
      </w:r>
      <w:r w:rsidRPr="00AA3881">
        <w:rPr>
          <w:rFonts w:ascii="Verdana" w:hAnsi="Verdana"/>
          <w:sz w:val="16"/>
          <w:szCs w:val="16"/>
        </w:rPr>
        <w:t xml:space="preserve"> </w:t>
      </w:r>
      <w:bookmarkStart w:id="2" w:name="_Hlk184115223"/>
      <w:r w:rsidRPr="00AA3881">
        <w:rPr>
          <w:rFonts w:ascii="Verdana" w:hAnsi="Verdana" w:cs="Arial"/>
          <w:sz w:val="16"/>
          <w:szCs w:val="16"/>
        </w:rPr>
        <w:t>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01627ED" w14:textId="77777777" w:rsidR="00D955F4" w:rsidRPr="00AA3881" w:rsidRDefault="00D955F4" w:rsidP="00D955F4">
      <w:pPr>
        <w:pStyle w:val="Textonotapie"/>
        <w:ind w:firstLine="708"/>
        <w:jc w:val="both"/>
        <w:rPr>
          <w:rFonts w:ascii="Verdana" w:hAnsi="Verdana" w:cs="Arial"/>
          <w:sz w:val="16"/>
          <w:szCs w:val="16"/>
        </w:rPr>
      </w:pPr>
      <w:r w:rsidRPr="00AA3881">
        <w:rPr>
          <w:rFonts w:ascii="Verdana" w:hAnsi="Verdana" w:cs="Arial"/>
          <w:sz w:val="16"/>
          <w:szCs w:val="16"/>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bookmarkEnd w:id="2"/>
    <w:p w14:paraId="2D068EB5" w14:textId="77777777" w:rsidR="00D955F4" w:rsidRPr="00AA3881" w:rsidRDefault="00D955F4" w:rsidP="00D955F4">
      <w:pPr>
        <w:pStyle w:val="Textonotapie"/>
      </w:pPr>
    </w:p>
  </w:footnote>
  <w:footnote w:id="7">
    <w:p w14:paraId="6F9D86E6" w14:textId="77777777" w:rsidR="00D955F4" w:rsidRPr="005E079A" w:rsidRDefault="00D955F4" w:rsidP="00D955F4">
      <w:pPr>
        <w:pStyle w:val="Textonotapie"/>
        <w:ind w:firstLine="708"/>
        <w:jc w:val="both"/>
        <w:rPr>
          <w:rFonts w:ascii="Verdana" w:hAnsi="Verdana" w:cs="Arial"/>
          <w:sz w:val="16"/>
          <w:szCs w:val="16"/>
        </w:rPr>
      </w:pPr>
      <w:r w:rsidRPr="005E079A">
        <w:rPr>
          <w:rStyle w:val="Refdenotaalpie"/>
          <w:rFonts w:ascii="Verdana" w:hAnsi="Verdana"/>
          <w:sz w:val="16"/>
          <w:szCs w:val="16"/>
        </w:rPr>
        <w:footnoteRef/>
      </w:r>
      <w:r w:rsidRPr="005E079A">
        <w:rPr>
          <w:rFonts w:ascii="Verdana" w:hAnsi="Verdana"/>
          <w:sz w:val="16"/>
          <w:szCs w:val="16"/>
        </w:rPr>
        <w:t xml:space="preserve"> </w:t>
      </w:r>
      <w:bookmarkStart w:id="3" w:name="_Hlk184115717"/>
      <w:r w:rsidRPr="005E079A">
        <w:rPr>
          <w:rFonts w:ascii="Verdana" w:hAnsi="Verdana" w:cs="Arial"/>
          <w:sz w:val="16"/>
          <w:szCs w:val="16"/>
        </w:rPr>
        <w:t>Ley 152 de 1994: “Artículo 26. Planes de acción. Con base en el Plan Nacional de Desarrollo aprobado cada uno de los organismos públicos de todo orden a los que se aplica esta Ley preparará su correspondiente plan de acción.</w:t>
      </w:r>
    </w:p>
    <w:p w14:paraId="094D1AE5" w14:textId="77777777" w:rsidR="00D955F4" w:rsidRPr="005E079A" w:rsidRDefault="00D955F4" w:rsidP="00D955F4">
      <w:pPr>
        <w:pStyle w:val="Textonotapie"/>
        <w:ind w:firstLine="708"/>
        <w:jc w:val="both"/>
        <w:rPr>
          <w:rFonts w:ascii="Verdana" w:hAnsi="Verdana" w:cs="Arial"/>
          <w:sz w:val="16"/>
          <w:szCs w:val="16"/>
        </w:rPr>
      </w:pPr>
      <w:r w:rsidRPr="005E079A">
        <w:rPr>
          <w:rFonts w:ascii="Verdana" w:hAnsi="Verdana" w:cs="Arial"/>
          <w:sz w:val="16"/>
          <w:szCs w:val="16"/>
        </w:rPr>
        <w:t>En la elaboración del plan de acción y en la programación del gasto se tendrán en cuenta los principios a que se refiere el artículo 3 de la presente Ley, así como las disposiciones constitucionales y legales pertinentes.</w:t>
      </w:r>
    </w:p>
    <w:p w14:paraId="6E0D880C" w14:textId="77777777" w:rsidR="00D955F4" w:rsidRPr="005E079A" w:rsidRDefault="00D955F4" w:rsidP="00D955F4">
      <w:pPr>
        <w:pStyle w:val="Textonotapie"/>
        <w:ind w:firstLine="708"/>
        <w:jc w:val="both"/>
        <w:rPr>
          <w:rFonts w:ascii="Verdana" w:hAnsi="Verdana" w:cs="Arial"/>
          <w:sz w:val="16"/>
          <w:szCs w:val="16"/>
        </w:rPr>
      </w:pPr>
      <w:r w:rsidRPr="005E079A">
        <w:rPr>
          <w:rFonts w:ascii="Verdana" w:hAnsi="Verdana" w:cs="Arial"/>
          <w:sz w:val="16"/>
          <w:szCs w:val="16"/>
        </w:rPr>
        <w:t>Los planes que ejecuten las entidades nacionales con asiento en las entidades territoriales deberán ser consultados previamente con las respectivas autoridades de planeación, de acuerdo con sus competencias”.</w:t>
      </w:r>
    </w:p>
    <w:bookmarkEnd w:id="3"/>
    <w:p w14:paraId="182931CB" w14:textId="77777777" w:rsidR="00D955F4" w:rsidRPr="005E079A" w:rsidRDefault="00D955F4" w:rsidP="00D955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216C616D" w:rsidR="004A305D" w:rsidRPr="00D955F4" w:rsidRDefault="004A305D" w:rsidP="00D955F4">
    <w:pPr>
      <w:spacing w:after="0"/>
      <w:rPr>
        <w:rFonts w:ascii="Verdana" w:hAnsi="Verdana"/>
        <w:b/>
        <w:bCs/>
      </w:rPr>
    </w:pPr>
    <w:r w:rsidRPr="00DC39FC">
      <w:rPr>
        <w:rFonts w:ascii="Verdana" w:hAnsi="Verdana"/>
        <w:b/>
        <w:bCs/>
      </w:rPr>
      <w:t>FORMATO PQRSD</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3F1336"/>
    <w:multiLevelType w:val="multilevel"/>
    <w:tmpl w:val="599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A226C"/>
    <w:multiLevelType w:val="hybridMultilevel"/>
    <w:tmpl w:val="81FC001E"/>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76F74"/>
    <w:multiLevelType w:val="hybridMultilevel"/>
    <w:tmpl w:val="11DEB164"/>
    <w:lvl w:ilvl="0" w:tplc="59C8AC5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0"/>
  </w:num>
  <w:num w:numId="13" w16cid:durableId="1512908409">
    <w:abstractNumId w:val="3"/>
  </w:num>
  <w:num w:numId="14" w16cid:durableId="895897244">
    <w:abstractNumId w:val="14"/>
  </w:num>
  <w:num w:numId="15" w16cid:durableId="390349800">
    <w:abstractNumId w:val="10"/>
  </w:num>
  <w:num w:numId="16" w16cid:durableId="1908758598">
    <w:abstractNumId w:val="15"/>
  </w:num>
  <w:num w:numId="17" w16cid:durableId="1954364958">
    <w:abstractNumId w:val="9"/>
  </w:num>
  <w:num w:numId="18" w16cid:durableId="162824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120"/>
    <w:rsid w:val="0000375C"/>
    <w:rsid w:val="0001135F"/>
    <w:rsid w:val="00013529"/>
    <w:rsid w:val="00016F78"/>
    <w:rsid w:val="00025B03"/>
    <w:rsid w:val="00031153"/>
    <w:rsid w:val="0004217F"/>
    <w:rsid w:val="00043E60"/>
    <w:rsid w:val="00046945"/>
    <w:rsid w:val="00046C07"/>
    <w:rsid w:val="0005328C"/>
    <w:rsid w:val="00061B2A"/>
    <w:rsid w:val="00074188"/>
    <w:rsid w:val="000800C8"/>
    <w:rsid w:val="000819DC"/>
    <w:rsid w:val="00082362"/>
    <w:rsid w:val="00085AF6"/>
    <w:rsid w:val="00097146"/>
    <w:rsid w:val="000A4CDF"/>
    <w:rsid w:val="000A683E"/>
    <w:rsid w:val="000B19B9"/>
    <w:rsid w:val="000B222F"/>
    <w:rsid w:val="000C061D"/>
    <w:rsid w:val="000C3082"/>
    <w:rsid w:val="000C3940"/>
    <w:rsid w:val="000D0334"/>
    <w:rsid w:val="000E2685"/>
    <w:rsid w:val="000E43BE"/>
    <w:rsid w:val="000F0CE1"/>
    <w:rsid w:val="000F3892"/>
    <w:rsid w:val="000F5B5B"/>
    <w:rsid w:val="000F6486"/>
    <w:rsid w:val="00104D8B"/>
    <w:rsid w:val="00105546"/>
    <w:rsid w:val="0011482D"/>
    <w:rsid w:val="00123600"/>
    <w:rsid w:val="00125105"/>
    <w:rsid w:val="00126550"/>
    <w:rsid w:val="00127233"/>
    <w:rsid w:val="00127CEC"/>
    <w:rsid w:val="00130D08"/>
    <w:rsid w:val="00131D6D"/>
    <w:rsid w:val="00140C9D"/>
    <w:rsid w:val="00144F99"/>
    <w:rsid w:val="00145428"/>
    <w:rsid w:val="001511A0"/>
    <w:rsid w:val="00155BC3"/>
    <w:rsid w:val="00161A02"/>
    <w:rsid w:val="00163F6C"/>
    <w:rsid w:val="0016521C"/>
    <w:rsid w:val="00171BBD"/>
    <w:rsid w:val="00174642"/>
    <w:rsid w:val="00180E82"/>
    <w:rsid w:val="00186C4F"/>
    <w:rsid w:val="001877BE"/>
    <w:rsid w:val="00187BC3"/>
    <w:rsid w:val="001A65C7"/>
    <w:rsid w:val="001A7E01"/>
    <w:rsid w:val="001A7F4D"/>
    <w:rsid w:val="001B16EF"/>
    <w:rsid w:val="001B30FE"/>
    <w:rsid w:val="001C70CE"/>
    <w:rsid w:val="001D2FF8"/>
    <w:rsid w:val="001D49A1"/>
    <w:rsid w:val="001E4177"/>
    <w:rsid w:val="001F7BA2"/>
    <w:rsid w:val="001F7DC6"/>
    <w:rsid w:val="002010B7"/>
    <w:rsid w:val="00216A55"/>
    <w:rsid w:val="00222B7A"/>
    <w:rsid w:val="002267CB"/>
    <w:rsid w:val="00227494"/>
    <w:rsid w:val="002343AA"/>
    <w:rsid w:val="0024091B"/>
    <w:rsid w:val="002421BB"/>
    <w:rsid w:val="00246248"/>
    <w:rsid w:val="002552B4"/>
    <w:rsid w:val="0025796E"/>
    <w:rsid w:val="0026608F"/>
    <w:rsid w:val="002707A2"/>
    <w:rsid w:val="00276051"/>
    <w:rsid w:val="00280251"/>
    <w:rsid w:val="002835F4"/>
    <w:rsid w:val="002917B5"/>
    <w:rsid w:val="002951A0"/>
    <w:rsid w:val="002962BC"/>
    <w:rsid w:val="002A093D"/>
    <w:rsid w:val="002A0DD0"/>
    <w:rsid w:val="002A49AC"/>
    <w:rsid w:val="002A64FD"/>
    <w:rsid w:val="002A795A"/>
    <w:rsid w:val="002A7B04"/>
    <w:rsid w:val="002B686D"/>
    <w:rsid w:val="002B76BC"/>
    <w:rsid w:val="002B7C66"/>
    <w:rsid w:val="002C01E9"/>
    <w:rsid w:val="002C08F1"/>
    <w:rsid w:val="002C1BC9"/>
    <w:rsid w:val="002C7A84"/>
    <w:rsid w:val="002D6AEE"/>
    <w:rsid w:val="002E4FD9"/>
    <w:rsid w:val="002E5775"/>
    <w:rsid w:val="002F2A3F"/>
    <w:rsid w:val="002F3FED"/>
    <w:rsid w:val="00300A89"/>
    <w:rsid w:val="00300EA4"/>
    <w:rsid w:val="003013E1"/>
    <w:rsid w:val="00312C10"/>
    <w:rsid w:val="00314CD5"/>
    <w:rsid w:val="003162B9"/>
    <w:rsid w:val="00322A85"/>
    <w:rsid w:val="00324168"/>
    <w:rsid w:val="00332846"/>
    <w:rsid w:val="003448F4"/>
    <w:rsid w:val="003478D3"/>
    <w:rsid w:val="003478DF"/>
    <w:rsid w:val="00347EF7"/>
    <w:rsid w:val="00353349"/>
    <w:rsid w:val="00354BD4"/>
    <w:rsid w:val="00356830"/>
    <w:rsid w:val="00374F5E"/>
    <w:rsid w:val="00377E3E"/>
    <w:rsid w:val="00397B75"/>
    <w:rsid w:val="003A282E"/>
    <w:rsid w:val="003A779E"/>
    <w:rsid w:val="003B33F4"/>
    <w:rsid w:val="003C3497"/>
    <w:rsid w:val="003C6414"/>
    <w:rsid w:val="003D0F4D"/>
    <w:rsid w:val="003D451C"/>
    <w:rsid w:val="003D4B32"/>
    <w:rsid w:val="003D5B0D"/>
    <w:rsid w:val="003D7D7A"/>
    <w:rsid w:val="003E0499"/>
    <w:rsid w:val="003F3941"/>
    <w:rsid w:val="0040030D"/>
    <w:rsid w:val="004055C4"/>
    <w:rsid w:val="00406575"/>
    <w:rsid w:val="004071D1"/>
    <w:rsid w:val="00414C74"/>
    <w:rsid w:val="00415684"/>
    <w:rsid w:val="0042722E"/>
    <w:rsid w:val="004327C4"/>
    <w:rsid w:val="00441115"/>
    <w:rsid w:val="004426CE"/>
    <w:rsid w:val="004445E9"/>
    <w:rsid w:val="0044528D"/>
    <w:rsid w:val="00452053"/>
    <w:rsid w:val="00457BBA"/>
    <w:rsid w:val="00484CF3"/>
    <w:rsid w:val="00487ECC"/>
    <w:rsid w:val="0049588A"/>
    <w:rsid w:val="004A1847"/>
    <w:rsid w:val="004A305D"/>
    <w:rsid w:val="004A6B12"/>
    <w:rsid w:val="004B2710"/>
    <w:rsid w:val="004B7B7D"/>
    <w:rsid w:val="004C376D"/>
    <w:rsid w:val="004C702F"/>
    <w:rsid w:val="004D04C8"/>
    <w:rsid w:val="004D3A2D"/>
    <w:rsid w:val="004D62B3"/>
    <w:rsid w:val="004D64E2"/>
    <w:rsid w:val="004E154D"/>
    <w:rsid w:val="004F21C4"/>
    <w:rsid w:val="004F4AF5"/>
    <w:rsid w:val="004F64AB"/>
    <w:rsid w:val="004F685F"/>
    <w:rsid w:val="005008A3"/>
    <w:rsid w:val="0052112B"/>
    <w:rsid w:val="0052328D"/>
    <w:rsid w:val="005242AA"/>
    <w:rsid w:val="00524900"/>
    <w:rsid w:val="005251A3"/>
    <w:rsid w:val="00527890"/>
    <w:rsid w:val="00533146"/>
    <w:rsid w:val="00533D7D"/>
    <w:rsid w:val="005406FA"/>
    <w:rsid w:val="0054215F"/>
    <w:rsid w:val="00550BED"/>
    <w:rsid w:val="00553676"/>
    <w:rsid w:val="00555DD0"/>
    <w:rsid w:val="005566E8"/>
    <w:rsid w:val="00556EFC"/>
    <w:rsid w:val="00572F79"/>
    <w:rsid w:val="00574867"/>
    <w:rsid w:val="005757E0"/>
    <w:rsid w:val="00580680"/>
    <w:rsid w:val="00591460"/>
    <w:rsid w:val="005A3B7F"/>
    <w:rsid w:val="005B2700"/>
    <w:rsid w:val="005B3816"/>
    <w:rsid w:val="005B58FB"/>
    <w:rsid w:val="005C3777"/>
    <w:rsid w:val="005C3F47"/>
    <w:rsid w:val="005C5300"/>
    <w:rsid w:val="005C5CDC"/>
    <w:rsid w:val="005D2D37"/>
    <w:rsid w:val="005D476C"/>
    <w:rsid w:val="005D72FF"/>
    <w:rsid w:val="005E079A"/>
    <w:rsid w:val="005E3B89"/>
    <w:rsid w:val="005E77F9"/>
    <w:rsid w:val="005E7E3A"/>
    <w:rsid w:val="005F2B6F"/>
    <w:rsid w:val="006024E3"/>
    <w:rsid w:val="006219F8"/>
    <w:rsid w:val="00640A53"/>
    <w:rsid w:val="00646760"/>
    <w:rsid w:val="006554FA"/>
    <w:rsid w:val="00657258"/>
    <w:rsid w:val="00663810"/>
    <w:rsid w:val="0066499B"/>
    <w:rsid w:val="00665877"/>
    <w:rsid w:val="00665D70"/>
    <w:rsid w:val="006669DA"/>
    <w:rsid w:val="00682A9F"/>
    <w:rsid w:val="00683424"/>
    <w:rsid w:val="006900D9"/>
    <w:rsid w:val="00691623"/>
    <w:rsid w:val="00692008"/>
    <w:rsid w:val="00692A03"/>
    <w:rsid w:val="00693D12"/>
    <w:rsid w:val="006A02C1"/>
    <w:rsid w:val="006A1C09"/>
    <w:rsid w:val="006D1FDF"/>
    <w:rsid w:val="006D7BD4"/>
    <w:rsid w:val="006E30F9"/>
    <w:rsid w:val="006F4029"/>
    <w:rsid w:val="006F76D8"/>
    <w:rsid w:val="00706C16"/>
    <w:rsid w:val="007176BE"/>
    <w:rsid w:val="007271E7"/>
    <w:rsid w:val="0073145E"/>
    <w:rsid w:val="00737482"/>
    <w:rsid w:val="00745D27"/>
    <w:rsid w:val="00753254"/>
    <w:rsid w:val="00755238"/>
    <w:rsid w:val="007561EF"/>
    <w:rsid w:val="00756591"/>
    <w:rsid w:val="00756841"/>
    <w:rsid w:val="007610A8"/>
    <w:rsid w:val="00761FFB"/>
    <w:rsid w:val="007649AB"/>
    <w:rsid w:val="00771D0C"/>
    <w:rsid w:val="00775CC8"/>
    <w:rsid w:val="007832D5"/>
    <w:rsid w:val="007833AC"/>
    <w:rsid w:val="00784F72"/>
    <w:rsid w:val="0078649C"/>
    <w:rsid w:val="00794E7B"/>
    <w:rsid w:val="007B268C"/>
    <w:rsid w:val="007B35B9"/>
    <w:rsid w:val="007B41A5"/>
    <w:rsid w:val="007B6388"/>
    <w:rsid w:val="007B7171"/>
    <w:rsid w:val="007B78EA"/>
    <w:rsid w:val="007C0C0F"/>
    <w:rsid w:val="007C3DC2"/>
    <w:rsid w:val="007C7AB0"/>
    <w:rsid w:val="007E36AD"/>
    <w:rsid w:val="007E5497"/>
    <w:rsid w:val="007E5683"/>
    <w:rsid w:val="007F2825"/>
    <w:rsid w:val="007F78D4"/>
    <w:rsid w:val="0080488B"/>
    <w:rsid w:val="00806F5F"/>
    <w:rsid w:val="00820278"/>
    <w:rsid w:val="00825868"/>
    <w:rsid w:val="00827D37"/>
    <w:rsid w:val="00835308"/>
    <w:rsid w:val="00847997"/>
    <w:rsid w:val="008509FC"/>
    <w:rsid w:val="00852C92"/>
    <w:rsid w:val="0085354F"/>
    <w:rsid w:val="00867F95"/>
    <w:rsid w:val="008760E1"/>
    <w:rsid w:val="008843B6"/>
    <w:rsid w:val="0089118F"/>
    <w:rsid w:val="00891928"/>
    <w:rsid w:val="00891BC9"/>
    <w:rsid w:val="00896520"/>
    <w:rsid w:val="0089706A"/>
    <w:rsid w:val="008A4383"/>
    <w:rsid w:val="008A446D"/>
    <w:rsid w:val="008B0508"/>
    <w:rsid w:val="008C1431"/>
    <w:rsid w:val="008C4BF9"/>
    <w:rsid w:val="008C5D76"/>
    <w:rsid w:val="008C779D"/>
    <w:rsid w:val="008D180B"/>
    <w:rsid w:val="008D46E5"/>
    <w:rsid w:val="008F0EA7"/>
    <w:rsid w:val="008F1C09"/>
    <w:rsid w:val="008F204A"/>
    <w:rsid w:val="008F6DA0"/>
    <w:rsid w:val="00916507"/>
    <w:rsid w:val="00923796"/>
    <w:rsid w:val="00923EEF"/>
    <w:rsid w:val="0092674C"/>
    <w:rsid w:val="00930A82"/>
    <w:rsid w:val="0093338D"/>
    <w:rsid w:val="009338C9"/>
    <w:rsid w:val="009342D5"/>
    <w:rsid w:val="009419F9"/>
    <w:rsid w:val="00947636"/>
    <w:rsid w:val="00947B9E"/>
    <w:rsid w:val="00952C87"/>
    <w:rsid w:val="00954C12"/>
    <w:rsid w:val="0095685E"/>
    <w:rsid w:val="00961B09"/>
    <w:rsid w:val="009645C2"/>
    <w:rsid w:val="00964830"/>
    <w:rsid w:val="00965334"/>
    <w:rsid w:val="0097093E"/>
    <w:rsid w:val="009813A9"/>
    <w:rsid w:val="0098624E"/>
    <w:rsid w:val="00986AC5"/>
    <w:rsid w:val="00991527"/>
    <w:rsid w:val="009A0559"/>
    <w:rsid w:val="009A0DFA"/>
    <w:rsid w:val="009B2D26"/>
    <w:rsid w:val="009B4481"/>
    <w:rsid w:val="009B526F"/>
    <w:rsid w:val="009B5974"/>
    <w:rsid w:val="009B6490"/>
    <w:rsid w:val="009C1742"/>
    <w:rsid w:val="009C71FA"/>
    <w:rsid w:val="009C72E7"/>
    <w:rsid w:val="009D3058"/>
    <w:rsid w:val="009D6AE8"/>
    <w:rsid w:val="009E3D15"/>
    <w:rsid w:val="009E5C80"/>
    <w:rsid w:val="009F1218"/>
    <w:rsid w:val="009F3A13"/>
    <w:rsid w:val="009F55A0"/>
    <w:rsid w:val="00A016E5"/>
    <w:rsid w:val="00A11B60"/>
    <w:rsid w:val="00A122D3"/>
    <w:rsid w:val="00A12546"/>
    <w:rsid w:val="00A17F13"/>
    <w:rsid w:val="00A20739"/>
    <w:rsid w:val="00A207F0"/>
    <w:rsid w:val="00A22831"/>
    <w:rsid w:val="00A232C7"/>
    <w:rsid w:val="00A26835"/>
    <w:rsid w:val="00A27605"/>
    <w:rsid w:val="00A277DE"/>
    <w:rsid w:val="00A33C78"/>
    <w:rsid w:val="00A34A6C"/>
    <w:rsid w:val="00A41C9B"/>
    <w:rsid w:val="00A45B74"/>
    <w:rsid w:val="00A50B9E"/>
    <w:rsid w:val="00A6123A"/>
    <w:rsid w:val="00A61C79"/>
    <w:rsid w:val="00A639DF"/>
    <w:rsid w:val="00A86EC6"/>
    <w:rsid w:val="00A908EA"/>
    <w:rsid w:val="00A968F0"/>
    <w:rsid w:val="00AA1A60"/>
    <w:rsid w:val="00AA3881"/>
    <w:rsid w:val="00AA5BF4"/>
    <w:rsid w:val="00AB0ADB"/>
    <w:rsid w:val="00AB303B"/>
    <w:rsid w:val="00AD4D7F"/>
    <w:rsid w:val="00AE1B0F"/>
    <w:rsid w:val="00AE589B"/>
    <w:rsid w:val="00AF13E5"/>
    <w:rsid w:val="00AF1916"/>
    <w:rsid w:val="00B01B1A"/>
    <w:rsid w:val="00B01B44"/>
    <w:rsid w:val="00B05CFC"/>
    <w:rsid w:val="00B0746B"/>
    <w:rsid w:val="00B07ED7"/>
    <w:rsid w:val="00B1526D"/>
    <w:rsid w:val="00B213A6"/>
    <w:rsid w:val="00B57DD1"/>
    <w:rsid w:val="00B60CCD"/>
    <w:rsid w:val="00B65C1B"/>
    <w:rsid w:val="00B66319"/>
    <w:rsid w:val="00B70355"/>
    <w:rsid w:val="00B72CD3"/>
    <w:rsid w:val="00B72D01"/>
    <w:rsid w:val="00B72FFF"/>
    <w:rsid w:val="00B73747"/>
    <w:rsid w:val="00B738C2"/>
    <w:rsid w:val="00B8003B"/>
    <w:rsid w:val="00B81047"/>
    <w:rsid w:val="00B83B38"/>
    <w:rsid w:val="00B95315"/>
    <w:rsid w:val="00B97974"/>
    <w:rsid w:val="00BA6A68"/>
    <w:rsid w:val="00BC270F"/>
    <w:rsid w:val="00BC3307"/>
    <w:rsid w:val="00BC3D36"/>
    <w:rsid w:val="00BD7F72"/>
    <w:rsid w:val="00BE5DA1"/>
    <w:rsid w:val="00BE7744"/>
    <w:rsid w:val="00BF05A9"/>
    <w:rsid w:val="00BF293E"/>
    <w:rsid w:val="00BF40DE"/>
    <w:rsid w:val="00C04FB3"/>
    <w:rsid w:val="00C077BF"/>
    <w:rsid w:val="00C11DD6"/>
    <w:rsid w:val="00C330EB"/>
    <w:rsid w:val="00C3519A"/>
    <w:rsid w:val="00C40105"/>
    <w:rsid w:val="00C41061"/>
    <w:rsid w:val="00C63A00"/>
    <w:rsid w:val="00C7003A"/>
    <w:rsid w:val="00C74173"/>
    <w:rsid w:val="00C754BE"/>
    <w:rsid w:val="00C76B1C"/>
    <w:rsid w:val="00CA2EEE"/>
    <w:rsid w:val="00CB395D"/>
    <w:rsid w:val="00CB3CC5"/>
    <w:rsid w:val="00CB57E5"/>
    <w:rsid w:val="00CB6357"/>
    <w:rsid w:val="00CC1B26"/>
    <w:rsid w:val="00CD6064"/>
    <w:rsid w:val="00CE2D4F"/>
    <w:rsid w:val="00CE4D5C"/>
    <w:rsid w:val="00CF21A1"/>
    <w:rsid w:val="00CF6137"/>
    <w:rsid w:val="00D00196"/>
    <w:rsid w:val="00D05CA7"/>
    <w:rsid w:val="00D0779B"/>
    <w:rsid w:val="00D17A4E"/>
    <w:rsid w:val="00D236F8"/>
    <w:rsid w:val="00D3145E"/>
    <w:rsid w:val="00D33DC5"/>
    <w:rsid w:val="00D423A2"/>
    <w:rsid w:val="00D504C8"/>
    <w:rsid w:val="00D520D8"/>
    <w:rsid w:val="00D534E6"/>
    <w:rsid w:val="00D6276F"/>
    <w:rsid w:val="00D63AC2"/>
    <w:rsid w:val="00D71141"/>
    <w:rsid w:val="00D7383B"/>
    <w:rsid w:val="00D7609B"/>
    <w:rsid w:val="00D85F57"/>
    <w:rsid w:val="00D86ABE"/>
    <w:rsid w:val="00D91279"/>
    <w:rsid w:val="00D955F4"/>
    <w:rsid w:val="00DA0757"/>
    <w:rsid w:val="00DA1FD4"/>
    <w:rsid w:val="00DA231B"/>
    <w:rsid w:val="00DA334C"/>
    <w:rsid w:val="00DB129A"/>
    <w:rsid w:val="00DB5388"/>
    <w:rsid w:val="00DB6DE1"/>
    <w:rsid w:val="00DC39FC"/>
    <w:rsid w:val="00DD0838"/>
    <w:rsid w:val="00DD14F9"/>
    <w:rsid w:val="00DD74CD"/>
    <w:rsid w:val="00DE0D63"/>
    <w:rsid w:val="00DE1E47"/>
    <w:rsid w:val="00DE5A56"/>
    <w:rsid w:val="00DF0BF2"/>
    <w:rsid w:val="00DF1868"/>
    <w:rsid w:val="00DF5254"/>
    <w:rsid w:val="00E01ED8"/>
    <w:rsid w:val="00E0596B"/>
    <w:rsid w:val="00E16408"/>
    <w:rsid w:val="00E20894"/>
    <w:rsid w:val="00E245AB"/>
    <w:rsid w:val="00E2764C"/>
    <w:rsid w:val="00E27F2E"/>
    <w:rsid w:val="00E35065"/>
    <w:rsid w:val="00E45B64"/>
    <w:rsid w:val="00E50AFE"/>
    <w:rsid w:val="00E54CF2"/>
    <w:rsid w:val="00E65D7F"/>
    <w:rsid w:val="00E675EC"/>
    <w:rsid w:val="00E75C92"/>
    <w:rsid w:val="00E771DC"/>
    <w:rsid w:val="00E8772A"/>
    <w:rsid w:val="00E90F6B"/>
    <w:rsid w:val="00E92C27"/>
    <w:rsid w:val="00E937C5"/>
    <w:rsid w:val="00EA0E3D"/>
    <w:rsid w:val="00EB402F"/>
    <w:rsid w:val="00EB77ED"/>
    <w:rsid w:val="00EC38A7"/>
    <w:rsid w:val="00ED5081"/>
    <w:rsid w:val="00ED6B68"/>
    <w:rsid w:val="00ED7384"/>
    <w:rsid w:val="00EE1AA8"/>
    <w:rsid w:val="00EF1DF7"/>
    <w:rsid w:val="00F056F8"/>
    <w:rsid w:val="00F0584F"/>
    <w:rsid w:val="00F15F47"/>
    <w:rsid w:val="00F1754E"/>
    <w:rsid w:val="00F243F5"/>
    <w:rsid w:val="00F27168"/>
    <w:rsid w:val="00F31EDC"/>
    <w:rsid w:val="00F462B3"/>
    <w:rsid w:val="00F5142F"/>
    <w:rsid w:val="00F54BE5"/>
    <w:rsid w:val="00F5664F"/>
    <w:rsid w:val="00F666C4"/>
    <w:rsid w:val="00F71909"/>
    <w:rsid w:val="00F7448F"/>
    <w:rsid w:val="00F76AFC"/>
    <w:rsid w:val="00F812AD"/>
    <w:rsid w:val="00F96689"/>
    <w:rsid w:val="00FA3D77"/>
    <w:rsid w:val="00FA47C0"/>
    <w:rsid w:val="00FB14BB"/>
    <w:rsid w:val="00FB4D17"/>
    <w:rsid w:val="00FB5DD1"/>
    <w:rsid w:val="00FC242D"/>
    <w:rsid w:val="00FC2B5D"/>
    <w:rsid w:val="00FC5167"/>
    <w:rsid w:val="00FE3B7D"/>
    <w:rsid w:val="00FE73CB"/>
    <w:rsid w:val="00FF1449"/>
    <w:rsid w:val="00FF5921"/>
    <w:rsid w:val="00FF6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016E5"/>
    <w:rPr>
      <w:rFonts w:ascii="Geomanist Light" w:hAnsi="Geomanist Light"/>
      <w:lang w:val="es-ES"/>
    </w:rPr>
  </w:style>
  <w:style w:type="character" w:styleId="Textoennegrita">
    <w:name w:val="Strong"/>
    <w:basedOn w:val="Fuentedeprrafopredeter"/>
    <w:uiPriority w:val="22"/>
    <w:qFormat/>
    <w:rsid w:val="005C3F47"/>
    <w:rPr>
      <w:b/>
      <w:bCs/>
    </w:rPr>
  </w:style>
  <w:style w:type="character" w:styleId="nfasis">
    <w:name w:val="Emphasis"/>
    <w:basedOn w:val="Fuentedeprrafopredeter"/>
    <w:uiPriority w:val="20"/>
    <w:qFormat/>
    <w:rsid w:val="005C3F47"/>
    <w:rPr>
      <w:i/>
      <w:iCs/>
    </w:rPr>
  </w:style>
  <w:style w:type="character" w:customStyle="1" w:styleId="Hipervnculo1">
    <w:name w:val="Hipervínculo1"/>
    <w:basedOn w:val="Fuentedeprrafopredeter"/>
    <w:uiPriority w:val="99"/>
    <w:unhideWhenUsed/>
    <w:rsid w:val="003D4B32"/>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eficiente.sharepoint.com/:w:/r/sites/SGC-Consultas/_layouts/15/Doc.aspx?sourcedoc=%7B29359D70-67D4-4566-91EA-D62D911AF562%7D&amp;file=Decreto%201082%20de%202015.docx&amp;action=default&amp;mobileredirect=true" TargetMode="External"/><Relationship Id="rId18" Type="http://schemas.openxmlformats.org/officeDocument/2006/relationships/hyperlink" Target="https://nam02.safelinks.protection.outlook.com/?url=https%3A%2F%2Fwww.colombiacompra.gov.co%2Fsala-de-prensa%2Fboletin-digital&amp;data=05%7C02%7Ckelmis.bruges%40colombiacompra.gov.co%7C6192b0470d324981a09708dd0a6c28db%7C7b09041e245149d08cb179d5e3d8c1be%7C0%7C0%7C638678181873404574%7CUnknown%7CTWFpbGZsb3d8eyJFbXB0eU1hcGkiOnRydWUsIlYiOiIwLjAuMDAwMCIsIlAiOiJXaW4zMiIsIkFOIjoiTWFpbCIsIldUIjoyfQ%3D%3D%7C0%7C%7C%7C&amp;sdata=8XnnSu8pvZCRY0En%2F68DmJGfx%2FMJVfEWvKLLLbfyvb8%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tencionalciudadano@supersolidaria.gov.co" TargetMode="External"/><Relationship Id="rId17"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cceficiente.sharepoint.com/:w:/r/sites/SGC-Consultas/_layouts/15/Doc.aspx?sourcedoc=%7BFBED87FC-7C67-4562-8B0B-21BCF7829CEC%7D&amp;file=Ley%20152%20de%201994.docx&amp;action=default&amp;mobileredirect=tru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ficiente.sharepoint.com/:w:/r/sites/SGC-Consultas/_layouts/15/Doc.aspx?sourcedoc=%7B58885289-210B-4EE9-AD80-43436CCCAE52%7D&amp;file=Ley%201474%20de%202011.docx&amp;action=default&amp;mobileredirect=tru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47991-68B0-4748-AF9C-E14163FA402D}">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9d85dbaf-23eb-4e57-a637-93dcacc8b1a1"/>
    <ds:schemaRef ds:uri="a6cb9e4b-f1d1-4245-83ec-6cad768d538a"/>
    <ds:schemaRef ds:uri="http://schemas.microsoft.com/office/infopath/2007/PartnerControl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E698B7D8-CDBD-4F98-B69B-589348277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2846</Words>
  <Characters>15656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2024-12-16T16:57:00Z</dcterms:created>
  <dcterms:modified xsi:type="dcterms:W3CDTF">2024-12-16T16:57:00Z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