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E6AA" w14:textId="77777777" w:rsidR="005602AF" w:rsidRPr="00242856" w:rsidRDefault="005602AF" w:rsidP="005602AF">
      <w:pPr>
        <w:tabs>
          <w:tab w:val="left" w:pos="709"/>
        </w:tabs>
        <w:spacing w:line="276" w:lineRule="auto"/>
        <w:jc w:val="both"/>
        <w:rPr>
          <w:rFonts w:ascii="Verdana" w:eastAsia="Calibri" w:hAnsi="Verdana" w:cs="Arial"/>
          <w:b/>
          <w:bCs/>
          <w:color w:val="000000"/>
          <w:lang w:val="es-ES_tradnl" w:eastAsia="es-MX"/>
        </w:rPr>
      </w:pPr>
      <w:bookmarkStart w:id="0" w:name="_Hlk143780582"/>
      <w:r w:rsidRPr="00242856">
        <w:rPr>
          <w:rFonts w:ascii="Verdana" w:eastAsia="Calibri" w:hAnsi="Verdana" w:cs="Arial"/>
          <w:b/>
          <w:bCs/>
          <w:color w:val="000000"/>
          <w:lang w:val="es-ES_tradnl" w:eastAsia="es-MX"/>
        </w:rPr>
        <w:t xml:space="preserve">LEY 2069 DE 2020 − Impacto − Contratación estatal − Promoción − Acceso de las Mipymes – Compras públicas </w:t>
      </w:r>
    </w:p>
    <w:p w14:paraId="3FDF4808" w14:textId="0A70F2D7" w:rsidR="00F525F8" w:rsidRPr="00242856" w:rsidRDefault="00F525F8" w:rsidP="00D20DD7">
      <w:pPr>
        <w:spacing w:after="0" w:line="240" w:lineRule="auto"/>
        <w:jc w:val="both"/>
        <w:rPr>
          <w:rFonts w:ascii="Verdana" w:eastAsia="Calibri" w:hAnsi="Verdana" w:cs="Arial"/>
          <w:color w:val="000000"/>
          <w:sz w:val="20"/>
          <w:szCs w:val="20"/>
          <w:lang w:val="es-ES_tradnl" w:eastAsia="es-MX"/>
        </w:rPr>
      </w:pPr>
      <w:r w:rsidRPr="00F525F8">
        <w:rPr>
          <w:rFonts w:ascii="Verdana" w:eastAsia="Calibri" w:hAnsi="Verdana" w:cs="Arial"/>
          <w:color w:val="000000"/>
          <w:sz w:val="20"/>
          <w:szCs w:val="20"/>
          <w:lang w:val="es-ES_tradnl" w:eastAsia="es-MX"/>
        </w:rPr>
        <w:t xml:space="preserve">El 31 de diciembre de 2020 se promulgó la Ley 2069, </w:t>
      </w:r>
      <w:r w:rsidR="00691ED8" w:rsidRPr="00242856">
        <w:rPr>
          <w:rFonts w:ascii="Verdana" w:eastAsia="Calibri" w:hAnsi="Verdana" w:cs="Arial"/>
          <w:color w:val="000000"/>
          <w:sz w:val="20"/>
          <w:szCs w:val="20"/>
          <w:lang w:val="es-ES_tradnl" w:eastAsia="es-MX"/>
        </w:rPr>
        <w:t>“</w:t>
      </w:r>
      <w:r w:rsidRPr="00F525F8">
        <w:rPr>
          <w:rFonts w:ascii="Verdana" w:eastAsia="Calibri" w:hAnsi="Verdana" w:cs="Arial"/>
          <w:color w:val="000000"/>
          <w:sz w:val="20"/>
          <w:szCs w:val="20"/>
          <w:lang w:val="es-ES_tradnl" w:eastAsia="es-MX"/>
        </w:rPr>
        <w:t>Por medio de la cual se impulsa el emprendimiento en Colombia</w:t>
      </w:r>
      <w:r w:rsidR="00691ED8" w:rsidRPr="00242856">
        <w:rPr>
          <w:rFonts w:ascii="Verdana" w:eastAsia="Calibri" w:hAnsi="Verdana" w:cs="Arial"/>
          <w:color w:val="000000"/>
          <w:sz w:val="20"/>
          <w:szCs w:val="20"/>
          <w:lang w:val="es-ES_tradnl" w:eastAsia="es-MX"/>
        </w:rPr>
        <w:t>”</w:t>
      </w:r>
      <w:r w:rsidRPr="00F525F8">
        <w:rPr>
          <w:rFonts w:ascii="Verdana" w:eastAsia="Calibri" w:hAnsi="Verdana" w:cs="Arial"/>
          <w:color w:val="000000"/>
          <w:sz w:val="20"/>
          <w:szCs w:val="20"/>
          <w:lang w:val="es-ES_tradnl" w:eastAsia="es-MX"/>
        </w:rPr>
        <w:t xml:space="preserve">. En cuanto a su contenido, es importante señalar que –como dispone el artículo 1– aquella </w:t>
      </w:r>
      <w:r w:rsidR="00792265" w:rsidRPr="00242856">
        <w:rPr>
          <w:rFonts w:ascii="Verdana" w:eastAsia="Calibri" w:hAnsi="Verdana" w:cs="Arial"/>
          <w:color w:val="000000"/>
          <w:sz w:val="20"/>
          <w:szCs w:val="20"/>
          <w:lang w:val="es-ES_tradnl" w:eastAsia="es-MX"/>
        </w:rPr>
        <w:t>“</w:t>
      </w:r>
      <w:r w:rsidRPr="00F525F8">
        <w:rPr>
          <w:rFonts w:ascii="Verdana" w:eastAsia="Calibri" w:hAnsi="Verdana" w:cs="Arial"/>
          <w:color w:val="000000"/>
          <w:sz w:val="20"/>
          <w:szCs w:val="20"/>
          <w:lang w:val="es-ES_tradnl" w:eastAsia="es-MX"/>
        </w:rPr>
        <w:t>tiene por objeto establecer un marco regulatorio que propicie el emprendimiento y el crecimiento, consolidación y sostenibilidad de las empresas, con el fin de aumentar el bienestar social y generar equidad</w:t>
      </w:r>
      <w:r w:rsidR="00792265" w:rsidRPr="00242856">
        <w:rPr>
          <w:rFonts w:ascii="Verdana" w:eastAsia="Calibri" w:hAnsi="Verdana" w:cs="Arial"/>
          <w:color w:val="000000"/>
          <w:sz w:val="20"/>
          <w:szCs w:val="20"/>
          <w:lang w:val="es-ES_tradnl" w:eastAsia="es-MX"/>
        </w:rPr>
        <w:t>”</w:t>
      </w:r>
      <w:r w:rsidRPr="00F525F8">
        <w:rPr>
          <w:rFonts w:ascii="Verdana" w:eastAsia="Calibri" w:hAnsi="Verdana" w:cs="Arial"/>
          <w:color w:val="000000"/>
          <w:sz w:val="20"/>
          <w:szCs w:val="20"/>
          <w:lang w:val="es-ES_tradnl" w:eastAsia="es-MX"/>
        </w:rPr>
        <w:t xml:space="preserve">. Esto, a partir de </w:t>
      </w:r>
      <w:r w:rsidR="00792265" w:rsidRPr="00242856">
        <w:rPr>
          <w:rFonts w:ascii="Verdana" w:eastAsia="Calibri" w:hAnsi="Verdana" w:cs="Arial"/>
          <w:color w:val="000000"/>
          <w:sz w:val="20"/>
          <w:szCs w:val="20"/>
          <w:lang w:val="es-ES_tradnl" w:eastAsia="es-MX"/>
        </w:rPr>
        <w:t>“</w:t>
      </w:r>
      <w:r w:rsidRPr="00F525F8">
        <w:rPr>
          <w:rFonts w:ascii="Verdana" w:eastAsia="Calibri" w:hAnsi="Verdana" w:cs="Arial"/>
          <w:color w:val="000000"/>
          <w:sz w:val="20"/>
          <w:szCs w:val="20"/>
          <w:lang w:val="es-ES_tradnl" w:eastAsia="es-MX"/>
        </w:rPr>
        <w:t xml:space="preserve">[…] un enfoque regionalizado </w:t>
      </w:r>
      <w:r w:rsidR="00647A17" w:rsidRPr="00F525F8">
        <w:rPr>
          <w:rFonts w:ascii="Verdana" w:eastAsia="Calibri" w:hAnsi="Verdana" w:cs="Arial"/>
          <w:color w:val="000000"/>
          <w:sz w:val="20"/>
          <w:szCs w:val="20"/>
          <w:lang w:val="es-ES_tradnl" w:eastAsia="es-MX"/>
        </w:rPr>
        <w:t>de acuerdo con</w:t>
      </w:r>
      <w:r w:rsidRPr="00F525F8">
        <w:rPr>
          <w:rFonts w:ascii="Verdana" w:eastAsia="Calibri" w:hAnsi="Verdana" w:cs="Arial"/>
          <w:color w:val="000000"/>
          <w:sz w:val="20"/>
          <w:szCs w:val="20"/>
          <w:lang w:val="es-ES_tradnl" w:eastAsia="es-MX"/>
        </w:rPr>
        <w:t xml:space="preserve"> las realidades socioeconómicas de cada región</w:t>
      </w:r>
      <w:r w:rsidR="00792265" w:rsidRPr="00242856">
        <w:rPr>
          <w:rFonts w:ascii="Verdana" w:eastAsia="Calibri" w:hAnsi="Verdana" w:cs="Arial"/>
          <w:color w:val="000000"/>
          <w:sz w:val="20"/>
          <w:szCs w:val="20"/>
          <w:lang w:val="es-ES_tradnl" w:eastAsia="es-MX"/>
        </w:rPr>
        <w:t>”</w:t>
      </w:r>
      <w:r w:rsidRPr="00F525F8">
        <w:rPr>
          <w:rFonts w:ascii="Verdana" w:eastAsia="Calibri" w:hAnsi="Verdana" w:cs="Arial"/>
          <w:color w:val="000000"/>
          <w:sz w:val="20"/>
          <w:szCs w:val="20"/>
          <w:lang w:val="es-ES_tradnl" w:eastAsia="es-MX"/>
        </w:rPr>
        <w:t>. En desarrollo de esta finalidad, se establecen medidas de apoyo para las micro, pequeñas y medianas empresas –</w:t>
      </w:r>
      <w:r w:rsidR="00792265" w:rsidRPr="00242856">
        <w:rPr>
          <w:rFonts w:ascii="Verdana" w:eastAsia="Calibri" w:hAnsi="Verdana" w:cs="Arial"/>
          <w:color w:val="000000"/>
          <w:sz w:val="20"/>
          <w:szCs w:val="20"/>
          <w:lang w:val="es-ES_tradnl" w:eastAsia="es-MX"/>
        </w:rPr>
        <w:t>Mipymes</w:t>
      </w:r>
      <w:r w:rsidRPr="00F525F8">
        <w:rPr>
          <w:rFonts w:ascii="Verdana" w:eastAsia="Calibri" w:hAnsi="Verdana" w:cs="Arial"/>
          <w:color w:val="000000"/>
          <w:sz w:val="20"/>
          <w:szCs w:val="20"/>
          <w:lang w:val="es-ES_tradnl" w:eastAsia="es-MX"/>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412536B9" w14:textId="77777777" w:rsidR="00D20DD7" w:rsidRPr="00F525F8" w:rsidRDefault="00D20DD7" w:rsidP="00D20DD7">
      <w:pPr>
        <w:spacing w:after="0" w:line="240" w:lineRule="auto"/>
        <w:jc w:val="both"/>
        <w:rPr>
          <w:rFonts w:ascii="Verdana" w:eastAsia="Calibri" w:hAnsi="Verdana" w:cs="Arial"/>
          <w:color w:val="000000"/>
          <w:sz w:val="20"/>
          <w:szCs w:val="20"/>
          <w:lang w:val="es-ES_tradnl" w:eastAsia="es-MX"/>
        </w:rPr>
      </w:pPr>
    </w:p>
    <w:p w14:paraId="73DB3425" w14:textId="77777777" w:rsidR="00F525F8" w:rsidRPr="00F525F8" w:rsidRDefault="00F525F8" w:rsidP="00D20DD7">
      <w:pPr>
        <w:spacing w:after="0" w:line="240" w:lineRule="auto"/>
        <w:jc w:val="both"/>
        <w:rPr>
          <w:rFonts w:ascii="Verdana" w:eastAsia="Calibri" w:hAnsi="Verdana" w:cs="Arial"/>
          <w:color w:val="000000"/>
          <w:sz w:val="20"/>
          <w:szCs w:val="20"/>
          <w:lang w:val="es-ES_tradnl" w:eastAsia="es-MX"/>
        </w:rPr>
      </w:pPr>
      <w:r w:rsidRPr="00F525F8">
        <w:rPr>
          <w:rFonts w:ascii="Verdana" w:eastAsia="Calibri" w:hAnsi="Verdana" w:cs="Arial"/>
          <w:color w:val="000000"/>
          <w:sz w:val="20"/>
          <w:szCs w:val="20"/>
          <w:lang w:val="es-ES_tradnl" w:eastAsia="es-MX"/>
        </w:rPr>
        <w:t>[…]</w:t>
      </w:r>
    </w:p>
    <w:p w14:paraId="64F60A96" w14:textId="77777777" w:rsidR="00D20DD7" w:rsidRPr="00242856" w:rsidRDefault="00D20DD7" w:rsidP="00D20DD7">
      <w:pPr>
        <w:spacing w:after="0" w:line="240" w:lineRule="auto"/>
        <w:jc w:val="both"/>
        <w:rPr>
          <w:rFonts w:ascii="Verdana" w:eastAsia="Calibri" w:hAnsi="Verdana" w:cs="Arial"/>
          <w:color w:val="000000"/>
          <w:sz w:val="20"/>
          <w:szCs w:val="20"/>
          <w:lang w:val="es-ES_tradnl" w:eastAsia="es-MX"/>
        </w:rPr>
      </w:pPr>
    </w:p>
    <w:p w14:paraId="39A48483" w14:textId="4BB11EC3" w:rsidR="00F525F8" w:rsidRPr="00242856" w:rsidRDefault="00F525F8" w:rsidP="00D20DD7">
      <w:pPr>
        <w:spacing w:after="0" w:line="240" w:lineRule="auto"/>
        <w:jc w:val="both"/>
        <w:rPr>
          <w:rFonts w:ascii="Verdana" w:eastAsia="Calibri" w:hAnsi="Verdana" w:cs="Arial"/>
          <w:color w:val="000000"/>
          <w:sz w:val="20"/>
          <w:szCs w:val="20"/>
          <w:lang w:val="es-ES_tradnl" w:eastAsia="es-MX"/>
        </w:rPr>
      </w:pPr>
      <w:r w:rsidRPr="00F525F8">
        <w:rPr>
          <w:rFonts w:ascii="Verdana" w:eastAsia="Calibri" w:hAnsi="Verdana" w:cs="Arial"/>
          <w:color w:val="000000"/>
          <w:sz w:val="20"/>
          <w:szCs w:val="20"/>
          <w:lang w:val="es-ES_tradnl" w:eastAsia="es-MX"/>
        </w:rPr>
        <w:t xml:space="preserve">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r w:rsidR="00792265" w:rsidRPr="00242856">
        <w:rPr>
          <w:rFonts w:ascii="Verdana" w:eastAsia="Calibri" w:hAnsi="Verdana" w:cs="Arial"/>
          <w:color w:val="000000"/>
          <w:sz w:val="20"/>
          <w:szCs w:val="20"/>
          <w:lang w:val="es-ES_tradnl" w:eastAsia="es-MX"/>
        </w:rPr>
        <w:t>Mipymes</w:t>
      </w:r>
      <w:r w:rsidRPr="00F525F8">
        <w:rPr>
          <w:rFonts w:ascii="Verdana" w:eastAsia="Calibri" w:hAnsi="Verdana" w:cs="Arial"/>
          <w:color w:val="000000"/>
          <w:sz w:val="20"/>
          <w:szCs w:val="20"/>
          <w:lang w:val="es-ES_tradnl" w:eastAsia="es-MX"/>
        </w:rPr>
        <w:t xml:space="preserve"> en el procedimiento de mínima cuantía, ii) criterios diferenciales para </w:t>
      </w:r>
      <w:r w:rsidR="00792265" w:rsidRPr="00242856">
        <w:rPr>
          <w:rFonts w:ascii="Verdana" w:eastAsia="Calibri" w:hAnsi="Verdana" w:cs="Arial"/>
          <w:color w:val="000000"/>
          <w:sz w:val="20"/>
          <w:szCs w:val="20"/>
          <w:lang w:val="es-ES_tradnl" w:eastAsia="es-MX"/>
        </w:rPr>
        <w:t>MiPymes</w:t>
      </w:r>
      <w:r w:rsidR="00792265" w:rsidRPr="00F525F8">
        <w:rPr>
          <w:rFonts w:ascii="Verdana" w:eastAsia="Calibri" w:hAnsi="Verdana" w:cs="Arial"/>
          <w:color w:val="000000"/>
          <w:sz w:val="20"/>
          <w:szCs w:val="20"/>
          <w:lang w:val="es-ES_tradnl" w:eastAsia="es-MX"/>
        </w:rPr>
        <w:t xml:space="preserve"> </w:t>
      </w:r>
      <w:r w:rsidRPr="00F525F8">
        <w:rPr>
          <w:rFonts w:ascii="Verdana" w:eastAsia="Calibri" w:hAnsi="Verdana" w:cs="Arial"/>
          <w:color w:val="000000"/>
          <w:sz w:val="20"/>
          <w:szCs w:val="20"/>
          <w:lang w:val="es-ES_tradnl" w:eastAsia="es-MX"/>
        </w:rPr>
        <w:t xml:space="preserve">en el sistema de compras públicas, iii) criterios diferenciales para emprendimientos y empresas de mujeres en el sistema de compras públicas, iv) promoción del acceso de las </w:t>
      </w:r>
      <w:r w:rsidR="00792265" w:rsidRPr="00242856">
        <w:rPr>
          <w:rFonts w:ascii="Verdana" w:eastAsia="Calibri" w:hAnsi="Verdana" w:cs="Arial"/>
          <w:color w:val="000000"/>
          <w:sz w:val="20"/>
          <w:szCs w:val="20"/>
          <w:lang w:val="es-ES_tradnl" w:eastAsia="es-MX"/>
        </w:rPr>
        <w:t>MiPymes</w:t>
      </w:r>
      <w:r w:rsidRPr="00F525F8">
        <w:rPr>
          <w:rFonts w:ascii="Verdana" w:eastAsia="Calibri" w:hAnsi="Verdana" w:cs="Arial"/>
          <w:color w:val="000000"/>
          <w:sz w:val="20"/>
          <w:szCs w:val="20"/>
          <w:lang w:val="es-ES_tradnl" w:eastAsia="es-MX"/>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793F1DFD" w14:textId="77777777" w:rsidR="00F525F8" w:rsidRPr="00242856" w:rsidRDefault="00F525F8" w:rsidP="00F525F8">
      <w:pPr>
        <w:spacing w:after="0" w:line="240" w:lineRule="auto"/>
        <w:jc w:val="both"/>
        <w:rPr>
          <w:rFonts w:ascii="Verdana" w:eastAsia="Calibri" w:hAnsi="Verdana" w:cs="Arial"/>
          <w:color w:val="000000"/>
          <w:sz w:val="20"/>
          <w:szCs w:val="20"/>
          <w:lang w:val="es-ES_tradnl" w:eastAsia="es-MX"/>
        </w:rPr>
      </w:pPr>
    </w:p>
    <w:p w14:paraId="258C77B8" w14:textId="777C5E6B" w:rsidR="005602AF" w:rsidRPr="00242856" w:rsidRDefault="005602AF" w:rsidP="00F525F8">
      <w:pPr>
        <w:spacing w:after="0" w:line="240" w:lineRule="auto"/>
        <w:jc w:val="both"/>
        <w:rPr>
          <w:rFonts w:ascii="Verdana" w:eastAsia="Calibri" w:hAnsi="Verdana" w:cs="Arial"/>
          <w:b/>
          <w:bCs/>
          <w:color w:val="000000"/>
          <w:lang w:val="es-ES_tradnl" w:eastAsia="es-MX"/>
        </w:rPr>
      </w:pPr>
      <w:r w:rsidRPr="00242856">
        <w:rPr>
          <w:rFonts w:ascii="Verdana" w:eastAsia="Calibri" w:hAnsi="Verdana" w:cs="Arial"/>
          <w:b/>
          <w:bCs/>
          <w:color w:val="000000"/>
          <w:lang w:val="es-ES_tradnl" w:eastAsia="es-MX"/>
        </w:rPr>
        <w:t xml:space="preserve">ACCESO DE LAS MIPYMES – Compras públicas − Artículo 33 − Ley 2069 de 2020 </w:t>
      </w:r>
    </w:p>
    <w:p w14:paraId="55603E16" w14:textId="77777777" w:rsidR="00EE4434" w:rsidRPr="00242856" w:rsidRDefault="00EE4434" w:rsidP="00F525F8">
      <w:pPr>
        <w:spacing w:after="0" w:line="240" w:lineRule="auto"/>
        <w:jc w:val="both"/>
        <w:rPr>
          <w:rFonts w:ascii="Verdana" w:eastAsia="Calibri" w:hAnsi="Verdana" w:cs="Arial"/>
          <w:b/>
          <w:bCs/>
          <w:color w:val="000000"/>
          <w:lang w:val="es-ES_tradnl" w:eastAsia="es-MX"/>
        </w:rPr>
      </w:pPr>
    </w:p>
    <w:p w14:paraId="62B220E4" w14:textId="77777777" w:rsidR="00EE4434" w:rsidRPr="00242856" w:rsidRDefault="00EE4434" w:rsidP="00EE4434">
      <w:pPr>
        <w:spacing w:after="0" w:line="240" w:lineRule="auto"/>
        <w:jc w:val="both"/>
        <w:rPr>
          <w:rFonts w:ascii="Verdana" w:eastAsia="Calibri" w:hAnsi="Verdana" w:cs="Arial"/>
          <w:bCs/>
          <w:color w:val="000000" w:themeColor="text1"/>
          <w:sz w:val="20"/>
          <w:szCs w:val="20"/>
          <w:lang w:eastAsia="es-MX"/>
        </w:rPr>
      </w:pPr>
      <w:r w:rsidRPr="00EE4434">
        <w:rPr>
          <w:rFonts w:ascii="Verdana" w:eastAsia="Calibri" w:hAnsi="Verdana" w:cs="Arial"/>
          <w:bCs/>
          <w:color w:val="000000" w:themeColor="text1"/>
          <w:sz w:val="20"/>
          <w:szCs w:val="20"/>
          <w:lang w:eastAsia="es-MX"/>
        </w:rPr>
        <w:t xml:space="preserve">El artículo 33 de la Ley 2069 de 2020 modificó el artículo 12 de la Ley 590 de 2000, el cual regula la promoción del acceso de las mipymes al mercado de compras públicas. Dicha disposición consagra una serie de deberes que incumben, no solo a las entidades estatales que aplican el Estatuto General de Contratación de la Administración Pública, sino también a las que tienen regímenes de contratación exceptuados, los patrimonios autónomos constituidos por entidades estatales y los particulares que ejecuten recursos públicos.  </w:t>
      </w:r>
    </w:p>
    <w:p w14:paraId="711B67F1" w14:textId="77777777" w:rsidR="00D20DD7" w:rsidRPr="00EE4434" w:rsidRDefault="00D20DD7" w:rsidP="00EE4434">
      <w:pPr>
        <w:spacing w:after="0" w:line="240" w:lineRule="auto"/>
        <w:jc w:val="both"/>
        <w:rPr>
          <w:rFonts w:ascii="Verdana" w:eastAsia="Times New Roman" w:hAnsi="Verdana" w:cs="Arial"/>
          <w:sz w:val="20"/>
          <w:szCs w:val="20"/>
          <w:lang w:val="es-ES_tradnl" w:eastAsia="es-MX"/>
        </w:rPr>
      </w:pPr>
    </w:p>
    <w:p w14:paraId="66A4B79F" w14:textId="77777777" w:rsidR="00EE4434" w:rsidRPr="00EE4434" w:rsidRDefault="00EE4434" w:rsidP="00EE4434">
      <w:pPr>
        <w:spacing w:after="120" w:line="240" w:lineRule="auto"/>
        <w:jc w:val="both"/>
        <w:rPr>
          <w:rFonts w:ascii="Verdana" w:eastAsia="Times New Roman" w:hAnsi="Verdana" w:cs="Arial"/>
          <w:sz w:val="20"/>
          <w:szCs w:val="20"/>
          <w:lang w:val="es-ES_tradnl" w:eastAsia="es-MX"/>
        </w:rPr>
      </w:pPr>
      <w:r w:rsidRPr="00EE4434">
        <w:rPr>
          <w:rFonts w:ascii="Verdana" w:eastAsia="Times New Roman" w:hAnsi="Verdana" w:cs="Arial"/>
          <w:sz w:val="20"/>
          <w:szCs w:val="20"/>
          <w:lang w:val="es-ES_tradnl" w:eastAsia="es-MX"/>
        </w:rPr>
        <w:t>[…]</w:t>
      </w:r>
    </w:p>
    <w:p w14:paraId="58254513" w14:textId="77777777" w:rsidR="00EE4434" w:rsidRPr="00EE4434" w:rsidRDefault="00EE4434" w:rsidP="00EE4434">
      <w:pPr>
        <w:spacing w:after="120" w:line="240" w:lineRule="auto"/>
        <w:jc w:val="both"/>
        <w:rPr>
          <w:rFonts w:ascii="Verdana" w:eastAsia="Times New Roman" w:hAnsi="Verdana" w:cs="Arial"/>
          <w:sz w:val="20"/>
          <w:szCs w:val="20"/>
          <w:lang w:val="es-ES_tradnl" w:eastAsia="es-MX"/>
        </w:rPr>
      </w:pPr>
      <w:r w:rsidRPr="00EE4434">
        <w:rPr>
          <w:rFonts w:ascii="Verdana" w:eastAsia="Calibri" w:hAnsi="Verdana" w:cs="Arial"/>
          <w:bCs/>
          <w:sz w:val="20"/>
          <w:szCs w:val="20"/>
          <w:lang w:val="es-ES_tradnl" w:eastAsia="es-MX"/>
        </w:rPr>
        <w:t xml:space="preserve">El artículo 33 de la Ley 2069 de 2021 consagra una serie de deberes que deben cumplir los destinatarios en su gestión contractual. Aunque el alcance de estas obligaciones puede delimitarse por otras leyes o reglamentos, lo importante es que el artículo 33 de la Ley 2069 de 2020 consagra elementos mínimos que las entidades deben acatar desde la expedición de la ley. Por tanto, conforme al marco normativo que regule el acceso de </w:t>
      </w:r>
      <w:r w:rsidRPr="00EE4434">
        <w:rPr>
          <w:rFonts w:ascii="Verdana" w:eastAsia="Calibri" w:hAnsi="Verdana" w:cs="Arial"/>
          <w:bCs/>
          <w:sz w:val="20"/>
          <w:szCs w:val="20"/>
          <w:lang w:val="es-ES_tradnl" w:eastAsia="es-MX"/>
        </w:rPr>
        <w:lastRenderedPageBreak/>
        <w:t xml:space="preserve">las mipymes al mercado de compras públicas, las entidades deberán adoptar las medidas necesarias para el acatamiento de esta disposición, teniendo en cuenta que el artículo 33 de la Ley 2069 de 2020 es de aplicación directa, por lo que les corresponde darle cumplimiento inmediato. </w:t>
      </w:r>
    </w:p>
    <w:p w14:paraId="28D7BC7A" w14:textId="77777777" w:rsidR="00EE4434" w:rsidRPr="00EE4434" w:rsidRDefault="00EE4434" w:rsidP="00EE4434">
      <w:pPr>
        <w:spacing w:after="0" w:line="240" w:lineRule="auto"/>
        <w:jc w:val="both"/>
        <w:rPr>
          <w:rFonts w:ascii="Verdana" w:eastAsia="Calibri" w:hAnsi="Verdana" w:cs="Arial"/>
          <w:bCs/>
          <w:sz w:val="20"/>
          <w:szCs w:val="20"/>
          <w:lang w:val="es-ES_tradnl" w:eastAsia="es-MX"/>
        </w:rPr>
      </w:pPr>
      <w:r w:rsidRPr="00EE4434">
        <w:rPr>
          <w:rFonts w:ascii="Verdana" w:eastAsia="Times New Roman" w:hAnsi="Verdana" w:cs="Arial"/>
          <w:sz w:val="20"/>
          <w:szCs w:val="20"/>
          <w:lang w:eastAsia="es-MX"/>
        </w:rPr>
        <w:t>Uno de los deberes introducidos es el establecido en su numeral 6</w:t>
      </w:r>
      <w:r w:rsidRPr="00EE4434">
        <w:rPr>
          <w:rFonts w:ascii="Verdana" w:eastAsia="Calibri" w:hAnsi="Verdana" w:cs="Arial"/>
          <w:bCs/>
          <w:sz w:val="20"/>
          <w:szCs w:val="20"/>
          <w:lang w:val="es-ES_tradnl" w:eastAsia="es-MX"/>
        </w:rPr>
        <w:t xml:space="preserve">, en atención al cual, las entidades estatales indistintamente de su régimen de contratación, los patrimonios autónomos constituidos por entidades estatales y los particulares que ejecuten recursos públicos tienen la obligación de “[p]romover la división del Proceso de Contratación en lotes o segmentos que faciliten la participación de las MIPYMES en el Proceso de Contratación”. Dado que la norma impone este deber sin necesidad de reglamentación previa, los sujetos indicados, deben facilitar la participación de las Mipymes en el proceso de contratación mediante su división en lotes o segmentos. </w:t>
      </w:r>
    </w:p>
    <w:p w14:paraId="310C5774" w14:textId="77777777" w:rsidR="00EE4434" w:rsidRPr="00242856" w:rsidRDefault="00EE4434" w:rsidP="00F525F8">
      <w:pPr>
        <w:spacing w:after="0" w:line="240" w:lineRule="auto"/>
        <w:jc w:val="both"/>
        <w:rPr>
          <w:rFonts w:ascii="Verdana" w:eastAsia="Calibri" w:hAnsi="Verdana" w:cs="Arial"/>
          <w:color w:val="000000"/>
          <w:sz w:val="20"/>
          <w:szCs w:val="20"/>
          <w:lang w:val="es-ES_tradnl" w:eastAsia="es-MX"/>
        </w:rPr>
      </w:pPr>
    </w:p>
    <w:p w14:paraId="7D7615D1" w14:textId="77777777" w:rsidR="009B7698" w:rsidRPr="00242856" w:rsidRDefault="005602AF" w:rsidP="009B7698">
      <w:pPr>
        <w:tabs>
          <w:tab w:val="left" w:pos="709"/>
        </w:tabs>
        <w:spacing w:line="276" w:lineRule="auto"/>
        <w:jc w:val="both"/>
        <w:rPr>
          <w:rFonts w:ascii="Verdana" w:hAnsi="Verdana" w:cs="Arial"/>
          <w:b/>
          <w:bCs/>
          <w:color w:val="000000" w:themeColor="text1"/>
          <w:lang w:eastAsia="es-MX"/>
        </w:rPr>
      </w:pPr>
      <w:r w:rsidRPr="00242856">
        <w:rPr>
          <w:rFonts w:ascii="Verdana" w:eastAsia="Calibri" w:hAnsi="Verdana" w:cs="Arial"/>
          <w:b/>
          <w:bCs/>
          <w:color w:val="000000"/>
          <w:lang w:val="es-ES_tradnl" w:eastAsia="es-MX"/>
        </w:rPr>
        <w:t xml:space="preserve">ACCESO DE LAS MIPYMES – Compras públicas − </w:t>
      </w:r>
      <w:r w:rsidRPr="00242856">
        <w:rPr>
          <w:rFonts w:ascii="Verdana" w:hAnsi="Verdana" w:cs="Arial"/>
          <w:b/>
          <w:bCs/>
          <w:color w:val="000000" w:themeColor="text1"/>
          <w:lang w:val="es-MX" w:eastAsia="es-MX"/>
        </w:rPr>
        <w:t xml:space="preserve">Decreto 0142 de 2023 − </w:t>
      </w:r>
      <w:r w:rsidRPr="00242856">
        <w:rPr>
          <w:rFonts w:ascii="Verdana" w:hAnsi="Verdana" w:cs="Arial"/>
          <w:b/>
          <w:bCs/>
        </w:rPr>
        <w:t xml:space="preserve">División del Proceso − Lotes o segmentos </w:t>
      </w:r>
    </w:p>
    <w:p w14:paraId="328AE2F1" w14:textId="7F9631F6" w:rsidR="009B7698" w:rsidRPr="00242856" w:rsidRDefault="009B7698" w:rsidP="00D20DD7">
      <w:pPr>
        <w:tabs>
          <w:tab w:val="left" w:pos="709"/>
        </w:tabs>
        <w:spacing w:after="120" w:line="240" w:lineRule="auto"/>
        <w:jc w:val="both"/>
        <w:rPr>
          <w:rFonts w:ascii="Verdana" w:eastAsia="Calibri" w:hAnsi="Verdana" w:cs="Arial"/>
          <w:bCs/>
          <w:sz w:val="20"/>
          <w:szCs w:val="20"/>
        </w:rPr>
      </w:pPr>
      <w:r w:rsidRPr="00242856">
        <w:rPr>
          <w:rFonts w:ascii="Verdana" w:eastAsia="Calibri" w:hAnsi="Verdana" w:cs="Arial"/>
          <w:bCs/>
          <w:sz w:val="20"/>
          <w:szCs w:val="20"/>
          <w:lang w:val="es-ES_tradnl" w:eastAsia="es-MX"/>
        </w:rPr>
        <w:t>Con</w:t>
      </w:r>
      <w:r w:rsidRPr="009B7698">
        <w:rPr>
          <w:rFonts w:ascii="Verdana" w:eastAsia="Calibri" w:hAnsi="Verdana" w:cs="Arial"/>
          <w:bCs/>
          <w:color w:val="000000" w:themeColor="text1"/>
          <w:sz w:val="20"/>
          <w:szCs w:val="20"/>
          <w:lang w:val="es-MX" w:eastAsia="es-MX"/>
        </w:rPr>
        <w:t xml:space="preserve"> la reciente expedición del Decreto 0142 del 01 de febrero de 2023 se reglamentó la disposición contenida en el numeral 6 del artículo 33 de la Ley 2069 de 2021. De esta forma, el decreto en comento, con el fin de cumplir el mandato legal indicado, en el artículo 2 modifica el artículo </w:t>
      </w:r>
      <w:r w:rsidRPr="009B7698">
        <w:rPr>
          <w:rFonts w:ascii="Verdana" w:eastAsia="Calibri" w:hAnsi="Verdana" w:cs="Arial"/>
          <w:bCs/>
          <w:color w:val="000000"/>
          <w:sz w:val="20"/>
          <w:szCs w:val="20"/>
        </w:rPr>
        <w:t>2.2.1.1.1.4.1</w:t>
      </w:r>
      <w:r w:rsidRPr="009B7698">
        <w:rPr>
          <w:rFonts w:ascii="Verdana" w:eastAsia="Calibri" w:hAnsi="Verdana" w:cs="Arial"/>
          <w:bCs/>
          <w:color w:val="000000" w:themeColor="text1"/>
          <w:sz w:val="20"/>
          <w:szCs w:val="20"/>
          <w:lang w:val="es-MX" w:eastAsia="es-MX"/>
        </w:rPr>
        <w:t xml:space="preserve"> </w:t>
      </w:r>
      <w:r w:rsidRPr="009B7698">
        <w:rPr>
          <w:rFonts w:ascii="Verdana" w:eastAsia="Calibri" w:hAnsi="Verdana" w:cs="Arial"/>
          <w:color w:val="000000"/>
          <w:sz w:val="20"/>
          <w:szCs w:val="20"/>
        </w:rPr>
        <w:t>del Decreto 1082 de 2015</w:t>
      </w:r>
      <w:r w:rsidRPr="009B7698">
        <w:rPr>
          <w:rFonts w:ascii="Verdana" w:eastAsia="Calibri" w:hAnsi="Verdana" w:cs="Arial"/>
          <w:i/>
          <w:iCs/>
          <w:color w:val="000000"/>
          <w:sz w:val="20"/>
          <w:szCs w:val="20"/>
        </w:rPr>
        <w:t xml:space="preserve">, </w:t>
      </w:r>
      <w:r w:rsidRPr="009B7698">
        <w:rPr>
          <w:rFonts w:ascii="Verdana" w:eastAsia="Calibri" w:hAnsi="Verdana" w:cs="Arial"/>
          <w:color w:val="000000"/>
          <w:sz w:val="20"/>
          <w:szCs w:val="20"/>
        </w:rPr>
        <w:t xml:space="preserve">para </w:t>
      </w:r>
      <w:r w:rsidRPr="009B7698">
        <w:rPr>
          <w:rFonts w:ascii="Verdana" w:eastAsia="Calibri" w:hAnsi="Verdana" w:cs="Arial"/>
          <w:bCs/>
          <w:sz w:val="20"/>
          <w:szCs w:val="20"/>
        </w:rPr>
        <w:t xml:space="preserve">instar a las entidades públicas para que, desde el primer momento de la planeación de sus compras, esto es, desde el Plan Anual de Adquisiciones, propendan por dividir sus procesos de contratación por lotes o segmentos a fin de promover la participación de las Mipymes en los procesos de contratación. </w:t>
      </w:r>
    </w:p>
    <w:p w14:paraId="2A0DED6D" w14:textId="20824CB6" w:rsidR="00D20DD7" w:rsidRPr="009B7698" w:rsidRDefault="003C3BAB" w:rsidP="00D20DD7">
      <w:pPr>
        <w:spacing w:after="120" w:line="240" w:lineRule="auto"/>
        <w:jc w:val="both"/>
        <w:rPr>
          <w:rFonts w:ascii="Verdana" w:eastAsia="Calibri" w:hAnsi="Verdana" w:cs="Arial"/>
          <w:b/>
          <w:bCs/>
          <w:i/>
          <w:iCs/>
          <w:color w:val="000000"/>
          <w:sz w:val="20"/>
          <w:szCs w:val="20"/>
        </w:rPr>
      </w:pPr>
      <w:r>
        <w:rPr>
          <w:rFonts w:ascii="Verdana" w:eastAsia="Calibri" w:hAnsi="Verdana" w:cs="Arial"/>
          <w:sz w:val="20"/>
          <w:szCs w:val="20"/>
        </w:rPr>
        <w:t>Igualmente</w:t>
      </w:r>
      <w:r w:rsidR="009B7698" w:rsidRPr="009B7698">
        <w:rPr>
          <w:rFonts w:ascii="Verdana" w:eastAsia="Calibri" w:hAnsi="Verdana" w:cs="Arial"/>
          <w:sz w:val="20"/>
          <w:szCs w:val="20"/>
        </w:rPr>
        <w:t>,</w:t>
      </w:r>
      <w:r w:rsidR="009B7698" w:rsidRPr="009B7698">
        <w:rPr>
          <w:rFonts w:ascii="Verdana" w:eastAsia="Calibri" w:hAnsi="Verdana" w:cs="Arial"/>
          <w:i/>
          <w:iCs/>
          <w:sz w:val="20"/>
          <w:szCs w:val="20"/>
        </w:rPr>
        <w:t xml:space="preserve"> </w:t>
      </w:r>
      <w:r w:rsidR="009B7698" w:rsidRPr="009B7698">
        <w:rPr>
          <w:rFonts w:ascii="Verdana" w:eastAsia="Calibri" w:hAnsi="Verdana" w:cs="Arial"/>
          <w:sz w:val="20"/>
          <w:szCs w:val="20"/>
        </w:rPr>
        <w:t>el artículo 6 del Decreto 142 de 2023, adiciona el</w:t>
      </w:r>
      <w:r w:rsidR="009B7698" w:rsidRPr="009B7698">
        <w:rPr>
          <w:rFonts w:ascii="Verdana" w:eastAsia="Calibri" w:hAnsi="Verdana" w:cs="Arial"/>
          <w:b/>
          <w:bCs/>
          <w:sz w:val="20"/>
          <w:szCs w:val="20"/>
        </w:rPr>
        <w:t xml:space="preserve"> </w:t>
      </w:r>
      <w:r w:rsidR="009B7698" w:rsidRPr="009B7698">
        <w:rPr>
          <w:rFonts w:ascii="Verdana" w:eastAsia="Calibri" w:hAnsi="Verdana" w:cs="Arial"/>
          <w:color w:val="000000"/>
          <w:sz w:val="20"/>
          <w:szCs w:val="20"/>
        </w:rPr>
        <w:t>2.2.1.2.4.2.19. </w:t>
      </w:r>
      <w:r w:rsidR="009B7698" w:rsidRPr="009B7698">
        <w:rPr>
          <w:rFonts w:ascii="Verdana" w:eastAsia="Calibri" w:hAnsi="Verdana" w:cs="Arial"/>
          <w:iCs/>
          <w:color w:val="000000"/>
          <w:sz w:val="20"/>
          <w:szCs w:val="20"/>
        </w:rPr>
        <w:t>a la Subsección 2 de la Sección 4 del Capítulo 2 del Título 1 de la Parte 2 del Libro 2 del Decreto número 1082 de 2015</w:t>
      </w:r>
      <w:r w:rsidR="00D20DD7" w:rsidRPr="00242856">
        <w:rPr>
          <w:rFonts w:ascii="Verdana" w:eastAsia="Calibri" w:hAnsi="Verdana" w:cs="Arial"/>
          <w:b/>
          <w:bCs/>
          <w:i/>
          <w:iCs/>
          <w:color w:val="000000"/>
          <w:sz w:val="20"/>
          <w:szCs w:val="20"/>
        </w:rPr>
        <w:t>.</w:t>
      </w:r>
    </w:p>
    <w:p w14:paraId="6974640A" w14:textId="7E49FC3A" w:rsidR="00D20DD7" w:rsidRPr="009B7698" w:rsidRDefault="009B7698" w:rsidP="00D20DD7">
      <w:pPr>
        <w:spacing w:after="120" w:line="240" w:lineRule="auto"/>
        <w:jc w:val="both"/>
        <w:rPr>
          <w:rFonts w:ascii="Verdana" w:eastAsia="Calibri" w:hAnsi="Verdana" w:cs="Arial"/>
          <w:color w:val="000000"/>
          <w:sz w:val="20"/>
          <w:szCs w:val="20"/>
        </w:rPr>
      </w:pPr>
      <w:r w:rsidRPr="009B7698">
        <w:rPr>
          <w:rFonts w:ascii="Verdana" w:eastAsia="Calibri" w:hAnsi="Verdana" w:cs="Arial"/>
          <w:color w:val="000000"/>
          <w:sz w:val="20"/>
          <w:szCs w:val="20"/>
        </w:rPr>
        <w:t>[…]</w:t>
      </w:r>
    </w:p>
    <w:p w14:paraId="69D97F1A" w14:textId="26452975" w:rsidR="009B7698" w:rsidRPr="009B7698" w:rsidRDefault="009B7698" w:rsidP="00D20DD7">
      <w:pPr>
        <w:spacing w:after="120" w:line="240" w:lineRule="auto"/>
        <w:jc w:val="both"/>
        <w:rPr>
          <w:rFonts w:ascii="Verdana" w:eastAsia="Times New Roman" w:hAnsi="Verdana" w:cs="Arial"/>
          <w:color w:val="000000"/>
          <w:sz w:val="20"/>
          <w:szCs w:val="20"/>
          <w:lang w:eastAsia="es-CO"/>
        </w:rPr>
      </w:pPr>
      <w:r w:rsidRPr="009B7698">
        <w:rPr>
          <w:rFonts w:ascii="Verdana" w:eastAsia="Calibri" w:hAnsi="Verdana" w:cs="Arial"/>
          <w:sz w:val="20"/>
          <w:szCs w:val="20"/>
        </w:rPr>
        <w:t xml:space="preserve">Por su parte, el cuarto inciso de la disposición, habilita a las entidades públicas para que incluyan en los pliegos de condiciones mecanismos y reglas que limiten el número de lotes que pueden ser adjudicados a un mismo oferente. En relación con este aspecto, teniendo en cuenta la primera pregunta de su solicitud, la Agencia Nacional de Contratación Pública – Colombia Compra Eficiente considera que, como la norma no determina que los </w:t>
      </w:r>
      <w:r w:rsidRPr="009B7698">
        <w:rPr>
          <w:rFonts w:ascii="Verdana" w:eastAsia="Calibri" w:hAnsi="Verdana" w:cs="Arial"/>
          <w:i/>
          <w:iCs/>
          <w:sz w:val="20"/>
          <w:szCs w:val="20"/>
        </w:rPr>
        <w:t>mecanismos y reglas</w:t>
      </w:r>
      <w:r w:rsidRPr="009B7698">
        <w:rPr>
          <w:rFonts w:ascii="Verdana" w:eastAsia="Calibri" w:hAnsi="Verdana" w:cs="Arial"/>
          <w:sz w:val="20"/>
          <w:szCs w:val="20"/>
        </w:rPr>
        <w:t xml:space="preserve"> que pueden establecer las entidades para limitar el número de lotes a adjudicarse a un mismo oferente, solo proceda respecto de los lotes o segmentos de un mismo proceso de contratación, a juicio de esta Agencia, la </w:t>
      </w:r>
      <w:r w:rsidRPr="009B7698">
        <w:rPr>
          <w:rFonts w:ascii="Verdana" w:eastAsia="Times New Roman" w:hAnsi="Verdana" w:cs="Arial"/>
          <w:color w:val="000000"/>
          <w:sz w:val="20"/>
          <w:szCs w:val="20"/>
          <w:lang w:eastAsia="es-CO"/>
        </w:rPr>
        <w:t xml:space="preserve">restricción puede incluirse en relación con todos los lotes o segmentos de los diferentes procesos de selección que adelante la </w:t>
      </w:r>
      <w:r w:rsidR="00C54DF2">
        <w:rPr>
          <w:rFonts w:ascii="Verdana" w:eastAsia="Times New Roman" w:hAnsi="Verdana" w:cs="Arial"/>
          <w:color w:val="000000"/>
          <w:sz w:val="20"/>
          <w:szCs w:val="20"/>
          <w:lang w:eastAsia="es-CO"/>
        </w:rPr>
        <w:t>E</w:t>
      </w:r>
      <w:r w:rsidRPr="009B7698">
        <w:rPr>
          <w:rFonts w:ascii="Verdana" w:eastAsia="Times New Roman" w:hAnsi="Verdana" w:cs="Arial"/>
          <w:color w:val="000000"/>
          <w:sz w:val="20"/>
          <w:szCs w:val="20"/>
          <w:lang w:eastAsia="es-CO"/>
        </w:rPr>
        <w:t xml:space="preserve">ntidad </w:t>
      </w:r>
      <w:r w:rsidR="00C54DF2">
        <w:rPr>
          <w:rFonts w:ascii="Verdana" w:eastAsia="Times New Roman" w:hAnsi="Verdana" w:cs="Arial"/>
          <w:color w:val="000000"/>
          <w:sz w:val="20"/>
          <w:szCs w:val="20"/>
          <w:lang w:eastAsia="es-CO"/>
        </w:rPr>
        <w:t>E</w:t>
      </w:r>
      <w:r w:rsidRPr="009B7698">
        <w:rPr>
          <w:rFonts w:ascii="Verdana" w:eastAsia="Times New Roman" w:hAnsi="Verdana" w:cs="Arial"/>
          <w:color w:val="000000"/>
          <w:sz w:val="20"/>
          <w:szCs w:val="20"/>
          <w:lang w:eastAsia="es-CO"/>
        </w:rPr>
        <w:t xml:space="preserve">statal. </w:t>
      </w:r>
    </w:p>
    <w:p w14:paraId="57EDFEAE" w14:textId="77777777" w:rsidR="009B7698" w:rsidRPr="009B7698" w:rsidRDefault="009B7698" w:rsidP="00D20DD7">
      <w:pPr>
        <w:shd w:val="clear" w:color="auto" w:fill="FFFFFF"/>
        <w:spacing w:after="120" w:line="240" w:lineRule="auto"/>
        <w:jc w:val="both"/>
        <w:rPr>
          <w:rFonts w:ascii="Verdana" w:eastAsia="Calibri" w:hAnsi="Verdana" w:cs="Arial"/>
          <w:sz w:val="20"/>
          <w:szCs w:val="20"/>
        </w:rPr>
      </w:pPr>
      <w:r w:rsidRPr="009B7698">
        <w:rPr>
          <w:rFonts w:ascii="Verdana" w:eastAsia="Calibri" w:hAnsi="Verdana" w:cs="Arial"/>
          <w:sz w:val="20"/>
          <w:szCs w:val="20"/>
        </w:rPr>
        <w:t>[…]</w:t>
      </w:r>
    </w:p>
    <w:p w14:paraId="60504B2D" w14:textId="4FF2989F" w:rsidR="009B7698" w:rsidRPr="00242856" w:rsidRDefault="003C3BAB" w:rsidP="00D20DD7">
      <w:pPr>
        <w:shd w:val="clear" w:color="auto" w:fill="FFFFFF"/>
        <w:spacing w:after="120" w:line="240" w:lineRule="auto"/>
        <w:jc w:val="both"/>
        <w:rPr>
          <w:rFonts w:ascii="Verdana" w:eastAsia="Calibri" w:hAnsi="Verdana" w:cs="Arial"/>
          <w:sz w:val="20"/>
          <w:szCs w:val="20"/>
        </w:rPr>
      </w:pPr>
      <w:r>
        <w:rPr>
          <w:rFonts w:ascii="Verdana" w:eastAsia="Calibri" w:hAnsi="Verdana" w:cs="Arial"/>
          <w:sz w:val="20"/>
          <w:szCs w:val="20"/>
        </w:rPr>
        <w:t>De otro lado</w:t>
      </w:r>
      <w:r w:rsidR="009B7698" w:rsidRPr="009B7698">
        <w:rPr>
          <w:rFonts w:ascii="Verdana" w:eastAsia="Calibri" w:hAnsi="Verdana" w:cs="Arial"/>
          <w:sz w:val="20"/>
          <w:szCs w:val="20"/>
        </w:rPr>
        <w:t>, el parágrafo de la norma menciona que, en los procesos de contratación adelantados por lotes o grupos deberá aplicarse lo regulado en el artículo 2.2.1.2.4.2.2 “convocatorias limitadas a Mipymes” del Decreto 1082 de 2015, tomando en consideración el valor del Proceso de Contratación imputable al respectivo lote en el que se solicite su aplicación.</w:t>
      </w:r>
    </w:p>
    <w:p w14:paraId="0360E1C1" w14:textId="77777777" w:rsidR="009B7698" w:rsidRPr="009B7698" w:rsidRDefault="009B7698" w:rsidP="00D20DD7">
      <w:pPr>
        <w:shd w:val="clear" w:color="auto" w:fill="FFFFFF"/>
        <w:spacing w:after="120" w:line="240" w:lineRule="auto"/>
        <w:jc w:val="both"/>
        <w:rPr>
          <w:rFonts w:ascii="Verdana" w:eastAsia="Calibri" w:hAnsi="Verdana" w:cs="Arial"/>
          <w:color w:val="000000"/>
          <w:sz w:val="20"/>
          <w:szCs w:val="20"/>
        </w:rPr>
      </w:pPr>
      <w:r w:rsidRPr="009B7698">
        <w:rPr>
          <w:rFonts w:ascii="Verdana" w:eastAsia="Calibri" w:hAnsi="Verdana" w:cs="Arial"/>
          <w:color w:val="000000"/>
          <w:sz w:val="20"/>
          <w:szCs w:val="20"/>
        </w:rPr>
        <w:lastRenderedPageBreak/>
        <w:t xml:space="preserve">En relación con el aspecto señalado, es pertinente mencionar que, el numeral uno del artículo 2.2.1.2.4.2.2, establece como requisitos para limitar convocatorias a Mipymes que el valor del Proceso de Contratación sea menor a ciento veinticinco mil dólares de los Estados Unidos de América (US$125.000), liquidados con la tasa de cambio que para el efecto determina cada dos años el Ministerio de Comercio, Industria y Turismo. No obstante, de acuerdo con el parágrafo del </w:t>
      </w:r>
      <w:r w:rsidRPr="009B7698">
        <w:rPr>
          <w:rFonts w:ascii="Verdana" w:eastAsia="Times New Roman" w:hAnsi="Verdana" w:cs="Arial"/>
          <w:color w:val="000000"/>
          <w:sz w:val="20"/>
          <w:szCs w:val="20"/>
          <w:lang w:eastAsia="es-CO"/>
        </w:rPr>
        <w:t xml:space="preserve">artículo 2.2.1.2.4.2.19 −en comento− cuando el proceso se adelante por lotes o grupos, el valor de los </w:t>
      </w:r>
      <w:r w:rsidRPr="009B7698">
        <w:rPr>
          <w:rFonts w:ascii="Verdana" w:eastAsia="Calibri" w:hAnsi="Verdana" w:cs="Arial"/>
          <w:color w:val="000000"/>
          <w:sz w:val="20"/>
          <w:szCs w:val="20"/>
        </w:rPr>
        <w:t xml:space="preserve">(US$125.000) debe establecerse en relación con el lote o segmento, y no respecto del valor total del proceso de contratación −que se establecería con la sumatoria de todos los lotes o segmentos−. </w:t>
      </w:r>
    </w:p>
    <w:p w14:paraId="1E7EBAD1" w14:textId="77777777" w:rsidR="00AF441A" w:rsidRPr="00242856" w:rsidRDefault="00AF441A" w:rsidP="00D20DD7">
      <w:pPr>
        <w:spacing w:after="0" w:line="240" w:lineRule="auto"/>
        <w:rPr>
          <w:rFonts w:ascii="Verdana" w:hAnsi="Verdana" w:cs="Arial"/>
        </w:rPr>
      </w:pPr>
    </w:p>
    <w:p w14:paraId="7B469BB0" w14:textId="77777777" w:rsidR="005602AF" w:rsidRPr="00242856" w:rsidRDefault="005602AF" w:rsidP="00E245AB">
      <w:pPr>
        <w:spacing w:after="0"/>
        <w:rPr>
          <w:rFonts w:ascii="Verdana" w:hAnsi="Verdana" w:cs="Arial"/>
        </w:rPr>
      </w:pPr>
    </w:p>
    <w:p w14:paraId="60706A8B" w14:textId="77777777" w:rsidR="005602AF" w:rsidRPr="00242856" w:rsidRDefault="005602AF" w:rsidP="00E245AB">
      <w:pPr>
        <w:spacing w:after="0"/>
        <w:rPr>
          <w:rFonts w:ascii="Verdana" w:hAnsi="Verdana" w:cs="Arial"/>
        </w:rPr>
      </w:pPr>
    </w:p>
    <w:p w14:paraId="6CFF2F9E" w14:textId="77777777" w:rsidR="00D20DD7" w:rsidRPr="00242856" w:rsidRDefault="00D20DD7" w:rsidP="00E245AB">
      <w:pPr>
        <w:spacing w:after="0"/>
        <w:rPr>
          <w:rFonts w:ascii="Verdana" w:hAnsi="Verdana" w:cs="Arial"/>
        </w:rPr>
      </w:pPr>
    </w:p>
    <w:p w14:paraId="6FA49A32" w14:textId="77777777" w:rsidR="00D20DD7" w:rsidRPr="00242856" w:rsidRDefault="00D20DD7" w:rsidP="00E245AB">
      <w:pPr>
        <w:spacing w:after="0"/>
        <w:rPr>
          <w:rFonts w:ascii="Verdana" w:hAnsi="Verdana" w:cs="Arial"/>
        </w:rPr>
      </w:pPr>
    </w:p>
    <w:p w14:paraId="0EF0862E" w14:textId="77777777" w:rsidR="00D20DD7" w:rsidRPr="00242856" w:rsidRDefault="00D20DD7" w:rsidP="00E245AB">
      <w:pPr>
        <w:spacing w:after="0"/>
        <w:rPr>
          <w:rFonts w:ascii="Verdana" w:hAnsi="Verdana" w:cs="Arial"/>
        </w:rPr>
      </w:pPr>
    </w:p>
    <w:p w14:paraId="210816EE" w14:textId="77777777" w:rsidR="00D20DD7" w:rsidRPr="00242856" w:rsidRDefault="00D20DD7" w:rsidP="00E245AB">
      <w:pPr>
        <w:spacing w:after="0"/>
        <w:rPr>
          <w:rFonts w:ascii="Verdana" w:hAnsi="Verdana" w:cs="Arial"/>
        </w:rPr>
      </w:pPr>
    </w:p>
    <w:p w14:paraId="7FE20169" w14:textId="77777777" w:rsidR="00D20DD7" w:rsidRPr="00242856" w:rsidRDefault="00D20DD7" w:rsidP="00E245AB">
      <w:pPr>
        <w:spacing w:after="0"/>
        <w:rPr>
          <w:rFonts w:ascii="Verdana" w:hAnsi="Verdana" w:cs="Arial"/>
        </w:rPr>
      </w:pPr>
    </w:p>
    <w:p w14:paraId="39466CCE" w14:textId="77777777" w:rsidR="00D20DD7" w:rsidRPr="00242856" w:rsidRDefault="00D20DD7" w:rsidP="00E245AB">
      <w:pPr>
        <w:spacing w:after="0"/>
        <w:rPr>
          <w:rFonts w:ascii="Verdana" w:hAnsi="Verdana" w:cs="Arial"/>
        </w:rPr>
      </w:pPr>
    </w:p>
    <w:p w14:paraId="7DA22D95" w14:textId="77777777" w:rsidR="00D20DD7" w:rsidRPr="00242856" w:rsidRDefault="00D20DD7" w:rsidP="00E245AB">
      <w:pPr>
        <w:spacing w:after="0"/>
        <w:rPr>
          <w:rFonts w:ascii="Verdana" w:hAnsi="Verdana" w:cs="Arial"/>
        </w:rPr>
      </w:pPr>
    </w:p>
    <w:p w14:paraId="2693D776" w14:textId="77777777" w:rsidR="00D20DD7" w:rsidRPr="00242856" w:rsidRDefault="00D20DD7" w:rsidP="00E245AB">
      <w:pPr>
        <w:spacing w:after="0"/>
        <w:rPr>
          <w:rFonts w:ascii="Verdana" w:hAnsi="Verdana" w:cs="Arial"/>
        </w:rPr>
      </w:pPr>
    </w:p>
    <w:p w14:paraId="51A67D52" w14:textId="77777777" w:rsidR="00D20DD7" w:rsidRPr="00242856" w:rsidRDefault="00D20DD7" w:rsidP="00E245AB">
      <w:pPr>
        <w:spacing w:after="0"/>
        <w:rPr>
          <w:rFonts w:ascii="Verdana" w:hAnsi="Verdana" w:cs="Arial"/>
        </w:rPr>
      </w:pPr>
    </w:p>
    <w:p w14:paraId="7709B333" w14:textId="77777777" w:rsidR="00D20DD7" w:rsidRPr="00242856" w:rsidRDefault="00D20DD7" w:rsidP="00E245AB">
      <w:pPr>
        <w:spacing w:after="0"/>
        <w:rPr>
          <w:rFonts w:ascii="Verdana" w:hAnsi="Verdana" w:cs="Arial"/>
        </w:rPr>
      </w:pPr>
    </w:p>
    <w:p w14:paraId="2FCD6AC9" w14:textId="77777777" w:rsidR="00D20DD7" w:rsidRPr="00242856" w:rsidRDefault="00D20DD7" w:rsidP="00E245AB">
      <w:pPr>
        <w:spacing w:after="0"/>
        <w:rPr>
          <w:rFonts w:ascii="Verdana" w:hAnsi="Verdana" w:cs="Arial"/>
        </w:rPr>
      </w:pPr>
    </w:p>
    <w:p w14:paraId="1C0AEACD" w14:textId="77777777" w:rsidR="00D20DD7" w:rsidRPr="00242856" w:rsidRDefault="00D20DD7" w:rsidP="00E245AB">
      <w:pPr>
        <w:spacing w:after="0"/>
        <w:rPr>
          <w:rFonts w:ascii="Verdana" w:hAnsi="Verdana" w:cs="Arial"/>
        </w:rPr>
      </w:pPr>
    </w:p>
    <w:p w14:paraId="165207C3" w14:textId="77777777" w:rsidR="00D20DD7" w:rsidRPr="00242856" w:rsidRDefault="00D20DD7" w:rsidP="00E245AB">
      <w:pPr>
        <w:spacing w:after="0"/>
        <w:rPr>
          <w:rFonts w:ascii="Verdana" w:hAnsi="Verdana" w:cs="Arial"/>
        </w:rPr>
      </w:pPr>
    </w:p>
    <w:p w14:paraId="011C2E08" w14:textId="77777777" w:rsidR="00D20DD7" w:rsidRPr="00242856" w:rsidRDefault="00D20DD7" w:rsidP="00E245AB">
      <w:pPr>
        <w:spacing w:after="0"/>
        <w:rPr>
          <w:rFonts w:ascii="Verdana" w:hAnsi="Verdana" w:cs="Arial"/>
        </w:rPr>
      </w:pPr>
    </w:p>
    <w:p w14:paraId="7FEEDB6D" w14:textId="77777777" w:rsidR="00D20DD7" w:rsidRPr="00242856" w:rsidRDefault="00D20DD7" w:rsidP="00E245AB">
      <w:pPr>
        <w:spacing w:after="0"/>
        <w:rPr>
          <w:rFonts w:ascii="Verdana" w:hAnsi="Verdana" w:cs="Arial"/>
        </w:rPr>
      </w:pPr>
    </w:p>
    <w:p w14:paraId="7B9551C1" w14:textId="77777777" w:rsidR="00D20DD7" w:rsidRPr="00242856" w:rsidRDefault="00D20DD7" w:rsidP="00E245AB">
      <w:pPr>
        <w:spacing w:after="0"/>
        <w:rPr>
          <w:rFonts w:ascii="Verdana" w:hAnsi="Verdana" w:cs="Arial"/>
        </w:rPr>
      </w:pPr>
    </w:p>
    <w:p w14:paraId="64F27AEE" w14:textId="77777777" w:rsidR="00D20DD7" w:rsidRPr="00242856" w:rsidRDefault="00D20DD7" w:rsidP="00E245AB">
      <w:pPr>
        <w:spacing w:after="0"/>
        <w:rPr>
          <w:rFonts w:ascii="Verdana" w:hAnsi="Verdana" w:cs="Arial"/>
        </w:rPr>
      </w:pPr>
    </w:p>
    <w:p w14:paraId="7CF7ABCE" w14:textId="77777777" w:rsidR="00D20DD7" w:rsidRPr="00242856" w:rsidRDefault="00D20DD7" w:rsidP="00E245AB">
      <w:pPr>
        <w:spacing w:after="0"/>
        <w:rPr>
          <w:rFonts w:ascii="Verdana" w:hAnsi="Verdana" w:cs="Arial"/>
        </w:rPr>
      </w:pPr>
    </w:p>
    <w:p w14:paraId="06E418CE" w14:textId="77777777" w:rsidR="00D20DD7" w:rsidRPr="00242856" w:rsidRDefault="00D20DD7" w:rsidP="00E245AB">
      <w:pPr>
        <w:spacing w:after="0"/>
        <w:rPr>
          <w:rFonts w:ascii="Verdana" w:hAnsi="Verdana" w:cs="Arial"/>
        </w:rPr>
      </w:pPr>
    </w:p>
    <w:p w14:paraId="2750DD48" w14:textId="77777777" w:rsidR="00D20DD7" w:rsidRPr="00242856" w:rsidRDefault="00D20DD7" w:rsidP="00E245AB">
      <w:pPr>
        <w:spacing w:after="0"/>
        <w:rPr>
          <w:rFonts w:ascii="Verdana" w:hAnsi="Verdana" w:cs="Arial"/>
        </w:rPr>
      </w:pPr>
    </w:p>
    <w:p w14:paraId="663DAB5D" w14:textId="77777777" w:rsidR="00D20DD7" w:rsidRPr="00242856" w:rsidRDefault="00D20DD7" w:rsidP="00E245AB">
      <w:pPr>
        <w:spacing w:after="0"/>
        <w:rPr>
          <w:rFonts w:ascii="Verdana" w:hAnsi="Verdana" w:cs="Arial"/>
        </w:rPr>
      </w:pPr>
    </w:p>
    <w:p w14:paraId="52D87758" w14:textId="77777777" w:rsidR="00D20DD7" w:rsidRPr="00242856" w:rsidRDefault="00D20DD7" w:rsidP="00E245AB">
      <w:pPr>
        <w:spacing w:after="0"/>
        <w:rPr>
          <w:rFonts w:ascii="Verdana" w:hAnsi="Verdana" w:cs="Arial"/>
        </w:rPr>
      </w:pPr>
    </w:p>
    <w:p w14:paraId="77D2B355" w14:textId="77777777" w:rsidR="00D20DD7" w:rsidRPr="00242856" w:rsidRDefault="00D20DD7" w:rsidP="00E245AB">
      <w:pPr>
        <w:spacing w:after="0"/>
        <w:rPr>
          <w:rFonts w:ascii="Verdana" w:hAnsi="Verdana" w:cs="Arial"/>
        </w:rPr>
      </w:pPr>
    </w:p>
    <w:p w14:paraId="71D1509E" w14:textId="77777777" w:rsidR="00D20DD7" w:rsidRPr="00242856" w:rsidRDefault="00D20DD7" w:rsidP="00E245AB">
      <w:pPr>
        <w:spacing w:after="0"/>
        <w:rPr>
          <w:rFonts w:ascii="Verdana" w:hAnsi="Verdana" w:cs="Arial"/>
        </w:rPr>
      </w:pPr>
    </w:p>
    <w:p w14:paraId="7F2AA7A7" w14:textId="77777777" w:rsidR="00D20DD7" w:rsidRPr="00242856" w:rsidRDefault="00D20DD7" w:rsidP="00E245AB">
      <w:pPr>
        <w:spacing w:after="0"/>
        <w:rPr>
          <w:rFonts w:ascii="Verdana" w:hAnsi="Verdana" w:cs="Arial"/>
        </w:rPr>
      </w:pPr>
    </w:p>
    <w:p w14:paraId="08774EB2" w14:textId="77777777" w:rsidR="00D20DD7" w:rsidRPr="00242856" w:rsidRDefault="00D20DD7" w:rsidP="00E245AB">
      <w:pPr>
        <w:spacing w:after="0"/>
        <w:rPr>
          <w:rFonts w:ascii="Verdana" w:hAnsi="Verdana" w:cs="Arial"/>
        </w:rPr>
      </w:pPr>
    </w:p>
    <w:p w14:paraId="3CB176F3" w14:textId="77777777" w:rsidR="00D20DD7" w:rsidRPr="00242856" w:rsidRDefault="00D20DD7" w:rsidP="00E245AB">
      <w:pPr>
        <w:spacing w:after="0"/>
        <w:rPr>
          <w:rFonts w:ascii="Verdana" w:hAnsi="Verdana" w:cs="Arial"/>
        </w:rPr>
      </w:pPr>
    </w:p>
    <w:p w14:paraId="007196DC" w14:textId="77777777" w:rsidR="00D20DD7" w:rsidRPr="00242856" w:rsidRDefault="00D20DD7" w:rsidP="00E245AB">
      <w:pPr>
        <w:spacing w:after="0"/>
        <w:rPr>
          <w:rFonts w:ascii="Verdana" w:hAnsi="Verdana" w:cs="Arial"/>
        </w:rPr>
      </w:pPr>
    </w:p>
    <w:p w14:paraId="622172CB" w14:textId="77777777" w:rsidR="00D20DD7" w:rsidRPr="00242856" w:rsidRDefault="00D20DD7" w:rsidP="00E245AB">
      <w:pPr>
        <w:spacing w:after="0"/>
        <w:rPr>
          <w:rFonts w:ascii="Verdana" w:hAnsi="Verdana" w:cs="Arial"/>
        </w:rPr>
      </w:pPr>
    </w:p>
    <w:p w14:paraId="47CB0A12" w14:textId="77777777" w:rsidR="005602AF" w:rsidRPr="00242856" w:rsidRDefault="005602AF" w:rsidP="00E245AB">
      <w:pPr>
        <w:spacing w:after="0"/>
        <w:rPr>
          <w:rFonts w:ascii="Verdana" w:hAnsi="Verdana" w:cs="Arial"/>
        </w:rPr>
      </w:pPr>
    </w:p>
    <w:p w14:paraId="2BDD202D" w14:textId="3D013FC9" w:rsidR="00BA3848" w:rsidRPr="00242856" w:rsidRDefault="00E245AB" w:rsidP="00E245AB">
      <w:pPr>
        <w:spacing w:after="0"/>
        <w:rPr>
          <w:rFonts w:ascii="Verdana" w:hAnsi="Verdana" w:cs="Arial"/>
        </w:rPr>
      </w:pPr>
      <w:r w:rsidRPr="00242856">
        <w:rPr>
          <w:rFonts w:ascii="Verdana" w:hAnsi="Verdana" w:cs="Arial"/>
        </w:rPr>
        <w:lastRenderedPageBreak/>
        <w:t xml:space="preserve">Bogotá D.C., </w:t>
      </w:r>
      <w:r w:rsidR="004B4CF5">
        <w:rPr>
          <w:rFonts w:ascii="Verdana" w:hAnsi="Verdana" w:cs="Arial"/>
        </w:rPr>
        <w:t>11</w:t>
      </w:r>
      <w:r w:rsidR="00BA3848" w:rsidRPr="00242856">
        <w:rPr>
          <w:rFonts w:ascii="Verdana" w:hAnsi="Verdana" w:cs="Arial"/>
        </w:rPr>
        <w:t xml:space="preserve"> de </w:t>
      </w:r>
      <w:r w:rsidR="004B4CF5">
        <w:rPr>
          <w:rFonts w:ascii="Verdana" w:hAnsi="Verdana" w:cs="Arial"/>
        </w:rPr>
        <w:t>diciembre</w:t>
      </w:r>
      <w:r w:rsidR="00BA3848" w:rsidRPr="00242856">
        <w:rPr>
          <w:rFonts w:ascii="Verdana" w:hAnsi="Verdana" w:cs="Arial"/>
        </w:rPr>
        <w:t xml:space="preserve"> del 2024</w:t>
      </w:r>
      <w:r w:rsidR="004B4CF5">
        <w:rPr>
          <w:rFonts w:ascii="Verdana" w:hAnsi="Verdana" w:cs="Arial"/>
        </w:rPr>
        <w:t>.</w:t>
      </w:r>
    </w:p>
    <w:p w14:paraId="3FE2184B" w14:textId="47B95420" w:rsidR="00E245AB" w:rsidRDefault="00891928" w:rsidP="00E245AB">
      <w:pPr>
        <w:spacing w:after="0"/>
        <w:rPr>
          <w:rFonts w:ascii="Verdana" w:hAnsi="Verdana" w:cs="Arial"/>
        </w:rPr>
      </w:pPr>
      <w:r w:rsidRPr="00242856">
        <w:rPr>
          <w:rFonts w:ascii="Verdana" w:hAnsi="Verdana" w:cs="Arial"/>
        </w:rPr>
        <w:tab/>
      </w:r>
    </w:p>
    <w:p w14:paraId="17AD185C" w14:textId="77777777" w:rsidR="009B14D2" w:rsidRPr="00242856" w:rsidRDefault="009B14D2" w:rsidP="009B14D2">
      <w:pPr>
        <w:spacing w:after="0" w:line="240" w:lineRule="auto"/>
        <w:jc w:val="both"/>
        <w:rPr>
          <w:rFonts w:ascii="Verdana" w:eastAsia="Calibri" w:hAnsi="Verdana" w:cs="Arial"/>
          <w:lang w:val="es-ES" w:eastAsia="es-ES"/>
        </w:rPr>
      </w:pPr>
      <w:r w:rsidRPr="00242856">
        <w:rPr>
          <w:rFonts w:ascii="Verdana" w:eastAsia="Calibri" w:hAnsi="Verdana" w:cs="Arial"/>
          <w:lang w:val="es-ES" w:eastAsia="es-ES"/>
        </w:rPr>
        <w:t>Señor</w:t>
      </w:r>
      <w:r>
        <w:rPr>
          <w:rFonts w:ascii="Verdana" w:eastAsia="Calibri" w:hAnsi="Verdana" w:cs="Arial"/>
          <w:lang w:val="es-ES" w:eastAsia="es-ES"/>
        </w:rPr>
        <w:t>a</w:t>
      </w:r>
    </w:p>
    <w:p w14:paraId="668C351F" w14:textId="77777777" w:rsidR="009B14D2" w:rsidRPr="004B4CF5" w:rsidRDefault="009B14D2" w:rsidP="009B14D2">
      <w:pPr>
        <w:spacing w:after="0" w:line="240" w:lineRule="auto"/>
        <w:rPr>
          <w:rFonts w:ascii="Verdana" w:eastAsia="Calibri" w:hAnsi="Verdana" w:cs="Arial"/>
          <w:b/>
          <w:bCs/>
          <w:lang w:val="es-ES" w:eastAsia="es-ES"/>
        </w:rPr>
      </w:pPr>
      <w:r w:rsidRPr="004B4CF5">
        <w:rPr>
          <w:rFonts w:ascii="Verdana" w:eastAsia="Calibri" w:hAnsi="Verdana" w:cs="Arial"/>
          <w:b/>
          <w:bCs/>
          <w:lang w:val="es-ES" w:eastAsia="es-ES"/>
        </w:rPr>
        <w:t xml:space="preserve">Nicolle Daniela Rueda Fernández </w:t>
      </w:r>
    </w:p>
    <w:p w14:paraId="2BDECCD7" w14:textId="77777777" w:rsidR="009B14D2" w:rsidRPr="004B4CF5" w:rsidRDefault="009B14D2" w:rsidP="009B14D2">
      <w:pPr>
        <w:spacing w:after="0" w:line="240" w:lineRule="auto"/>
        <w:rPr>
          <w:rFonts w:ascii="Verdana" w:eastAsia="Calibri" w:hAnsi="Verdana" w:cs="Arial"/>
          <w:u w:val="single"/>
          <w:lang w:val="es-ES" w:eastAsia="es-ES"/>
        </w:rPr>
      </w:pPr>
      <w:r w:rsidRPr="004B4CF5">
        <w:rPr>
          <w:rFonts w:ascii="Verdana" w:eastAsia="Calibri" w:hAnsi="Verdana" w:cs="Arial"/>
          <w:u w:val="single"/>
          <w:lang w:val="es-ES" w:eastAsia="es-ES"/>
        </w:rPr>
        <w:t xml:space="preserve">nrueda266@unab.edu.co </w:t>
      </w:r>
    </w:p>
    <w:p w14:paraId="1D652122" w14:textId="77777777" w:rsidR="009B14D2" w:rsidRPr="004B4CF5" w:rsidRDefault="009B14D2" w:rsidP="009B14D2">
      <w:pPr>
        <w:spacing w:after="0" w:line="240" w:lineRule="auto"/>
        <w:rPr>
          <w:rFonts w:ascii="Verdana" w:eastAsia="Calibri" w:hAnsi="Verdana" w:cs="Arial"/>
          <w:lang w:val="es-ES" w:eastAsia="es-ES"/>
        </w:rPr>
      </w:pPr>
      <w:r>
        <w:rPr>
          <w:rFonts w:ascii="Verdana" w:eastAsia="Calibri" w:hAnsi="Verdana" w:cs="Arial"/>
          <w:lang w:val="es-ES" w:eastAsia="es-ES"/>
        </w:rPr>
        <w:t>Bucaramanga, Santander</w:t>
      </w:r>
      <w:r w:rsidRPr="00242856">
        <w:rPr>
          <w:rFonts w:ascii="Verdana" w:eastAsia="Calibri" w:hAnsi="Verdana" w:cs="Arial"/>
          <w:lang w:val="es-ES" w:eastAsia="es-ES"/>
        </w:rPr>
        <w:t xml:space="preserve">. </w:t>
      </w:r>
    </w:p>
    <w:p w14:paraId="4BB4E4B3" w14:textId="77777777" w:rsidR="009B14D2" w:rsidRPr="00242856" w:rsidRDefault="009B14D2" w:rsidP="009B14D2">
      <w:pPr>
        <w:spacing w:after="0" w:line="240" w:lineRule="auto"/>
        <w:rPr>
          <w:rFonts w:ascii="Verdana" w:eastAsia="Calibri" w:hAnsi="Verdana" w:cs="Arial"/>
          <w:b/>
          <w:bCs/>
          <w:highlight w:val="cyan"/>
          <w:lang w:val="es-ES_tradnl" w:eastAsia="es-ES_tradnl"/>
        </w:rPr>
      </w:pPr>
    </w:p>
    <w:p w14:paraId="75B68E93" w14:textId="4415FF28" w:rsidR="009B14D2" w:rsidRPr="00242856" w:rsidRDefault="009B158B" w:rsidP="009B158B">
      <w:pPr>
        <w:spacing w:after="0" w:line="240" w:lineRule="auto"/>
        <w:jc w:val="right"/>
        <w:rPr>
          <w:rFonts w:ascii="Verdana" w:eastAsia="Calibri" w:hAnsi="Verdana" w:cs="Arial"/>
          <w:b/>
          <w:bCs/>
          <w:highlight w:val="cyan"/>
          <w:lang w:val="es-ES_tradnl" w:eastAsia="es-ES_tradnl"/>
        </w:rPr>
      </w:pPr>
      <w:r w:rsidRPr="009B158B">
        <w:rPr>
          <w:rFonts w:ascii="Verdana" w:eastAsia="Calibri" w:hAnsi="Verdana" w:cs="Arial"/>
          <w:b/>
          <w:bCs/>
          <w:lang w:val="es-ES_tradnl" w:eastAsia="es-ES_tradnl"/>
        </w:rPr>
        <w:drawing>
          <wp:inline distT="0" distB="0" distL="0" distR="0" wp14:anchorId="1AEA6B30" wp14:editId="48AA1311">
            <wp:extent cx="3481225" cy="1076013"/>
            <wp:effectExtent l="0" t="0" r="5080" b="0"/>
            <wp:docPr id="16241353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35300" name=""/>
                    <pic:cNvPicPr/>
                  </pic:nvPicPr>
                  <pic:blipFill>
                    <a:blip r:embed="rId11"/>
                    <a:stretch>
                      <a:fillRect/>
                    </a:stretch>
                  </pic:blipFill>
                  <pic:spPr>
                    <a:xfrm>
                      <a:off x="0" y="0"/>
                      <a:ext cx="3499122" cy="1081545"/>
                    </a:xfrm>
                    <a:prstGeom prst="rect">
                      <a:avLst/>
                    </a:prstGeom>
                  </pic:spPr>
                </pic:pic>
              </a:graphicData>
            </a:graphic>
          </wp:inline>
        </w:drawing>
      </w:r>
    </w:p>
    <w:p w14:paraId="77889EA7" w14:textId="77777777" w:rsidR="009B14D2" w:rsidRPr="00242856" w:rsidRDefault="009B14D2" w:rsidP="009B14D2">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B14D2" w:rsidRPr="00242856" w14:paraId="2E30143B" w14:textId="77777777" w:rsidTr="00F745E5">
        <w:trPr>
          <w:trHeight w:val="884"/>
        </w:trPr>
        <w:tc>
          <w:tcPr>
            <w:tcW w:w="2689" w:type="dxa"/>
          </w:tcPr>
          <w:p w14:paraId="4F3B533F" w14:textId="77777777" w:rsidR="009B14D2" w:rsidRPr="00242856" w:rsidRDefault="009B14D2" w:rsidP="00F745E5">
            <w:pPr>
              <w:jc w:val="both"/>
              <w:rPr>
                <w:rFonts w:ascii="Verdana" w:eastAsia="Calibri" w:hAnsi="Verdana" w:cs="Arial"/>
                <w:b/>
                <w:bCs/>
                <w:highlight w:val="cyan"/>
                <w:lang w:val="es-ES_tradnl" w:eastAsia="es-ES_tradnl"/>
              </w:rPr>
            </w:pPr>
          </w:p>
        </w:tc>
        <w:tc>
          <w:tcPr>
            <w:tcW w:w="6100" w:type="dxa"/>
            <w:shd w:val="clear" w:color="auto" w:fill="auto"/>
          </w:tcPr>
          <w:p w14:paraId="31F564FD" w14:textId="77777777" w:rsidR="009B14D2" w:rsidRPr="00242856" w:rsidRDefault="009B14D2" w:rsidP="00F745E5">
            <w:pPr>
              <w:jc w:val="both"/>
              <w:rPr>
                <w:rFonts w:ascii="Verdana" w:eastAsia="Calibri" w:hAnsi="Verdana" w:cs="Arial"/>
                <w:b/>
                <w:bCs/>
                <w:lang w:val="es-ES" w:eastAsia="es-ES"/>
              </w:rPr>
            </w:pPr>
            <w:r w:rsidRPr="00242856">
              <w:rPr>
                <w:rFonts w:ascii="Verdana" w:eastAsia="Calibri" w:hAnsi="Verdana" w:cs="Arial"/>
                <w:b/>
                <w:bCs/>
                <w:lang w:val="es-ES" w:eastAsia="es-ES"/>
              </w:rPr>
              <w:t xml:space="preserve">Concepto </w:t>
            </w:r>
            <w:r w:rsidRPr="00242856">
              <w:rPr>
                <w:rFonts w:ascii="Verdana" w:eastAsia="Calibri" w:hAnsi="Verdana" w:cs="Arial"/>
                <w:b/>
                <w:bCs/>
                <w:lang w:eastAsia="es-ES"/>
              </w:rPr>
              <w:t>C-</w:t>
            </w:r>
            <w:r>
              <w:rPr>
                <w:rFonts w:ascii="Verdana" w:eastAsia="Calibri" w:hAnsi="Verdana" w:cs="Arial"/>
                <w:b/>
                <w:bCs/>
                <w:lang w:eastAsia="es-ES"/>
              </w:rPr>
              <w:t xml:space="preserve">852 </w:t>
            </w:r>
            <w:r w:rsidRPr="00242856">
              <w:rPr>
                <w:rFonts w:ascii="Verdana" w:eastAsia="Calibri" w:hAnsi="Verdana" w:cs="Arial"/>
                <w:b/>
                <w:bCs/>
                <w:lang w:val="es-ES" w:eastAsia="es-ES"/>
              </w:rPr>
              <w:t>de 2024</w:t>
            </w:r>
          </w:p>
        </w:tc>
      </w:tr>
      <w:tr w:rsidR="009B14D2" w:rsidRPr="00242856" w14:paraId="4F9E681B" w14:textId="77777777" w:rsidTr="00F745E5">
        <w:trPr>
          <w:trHeight w:val="884"/>
        </w:trPr>
        <w:tc>
          <w:tcPr>
            <w:tcW w:w="2689" w:type="dxa"/>
            <w:shd w:val="clear" w:color="auto" w:fill="auto"/>
          </w:tcPr>
          <w:p w14:paraId="0584D881" w14:textId="77777777" w:rsidR="009B14D2" w:rsidRPr="00242856" w:rsidRDefault="009B14D2" w:rsidP="00F745E5">
            <w:pPr>
              <w:jc w:val="both"/>
              <w:rPr>
                <w:rFonts w:ascii="Verdana" w:eastAsia="Calibri" w:hAnsi="Verdana" w:cs="Arial"/>
                <w:b/>
                <w:lang w:val="es-ES_tradnl" w:eastAsia="es-ES_tradnl"/>
              </w:rPr>
            </w:pPr>
            <w:r w:rsidRPr="00242856">
              <w:rPr>
                <w:rFonts w:ascii="Verdana" w:eastAsia="Calibri" w:hAnsi="Verdana" w:cs="Arial"/>
                <w:b/>
                <w:lang w:val="es-ES_tradnl" w:eastAsia="es-ES_tradnl"/>
              </w:rPr>
              <w:t xml:space="preserve">Temas:                   </w:t>
            </w:r>
          </w:p>
        </w:tc>
        <w:tc>
          <w:tcPr>
            <w:tcW w:w="6100" w:type="dxa"/>
          </w:tcPr>
          <w:p w14:paraId="547281C3" w14:textId="77777777" w:rsidR="009B14D2" w:rsidRPr="00242856" w:rsidRDefault="009B14D2" w:rsidP="00F745E5">
            <w:pPr>
              <w:tabs>
                <w:tab w:val="left" w:pos="709"/>
              </w:tabs>
              <w:spacing w:line="276" w:lineRule="auto"/>
              <w:jc w:val="both"/>
              <w:rPr>
                <w:rFonts w:ascii="Verdana" w:hAnsi="Verdana" w:cs="Arial"/>
                <w:color w:val="000000" w:themeColor="text1"/>
                <w:lang w:val="es-MX" w:eastAsia="es-MX"/>
              </w:rPr>
            </w:pPr>
            <w:r w:rsidRPr="00242856">
              <w:rPr>
                <w:rFonts w:ascii="Verdana" w:eastAsia="Calibri" w:hAnsi="Verdana" w:cs="Arial"/>
                <w:color w:val="000000"/>
                <w:lang w:val="es-ES_tradnl" w:eastAsia="es-MX"/>
              </w:rPr>
              <w:t xml:space="preserve">LEY 2069 DE 2020 − Impacto − Contratación estatal − Promoción − Acceso de las Mipymes – Compras públicas / ACCESO DE LAS MIPYMES – Compras públicas − Artículo 33 − Ley 2069 de 2020 / ACCESO DE LAS MIPYMES – Compras públicas − </w:t>
            </w:r>
            <w:r w:rsidRPr="00242856">
              <w:rPr>
                <w:rFonts w:ascii="Verdana" w:hAnsi="Verdana" w:cs="Arial"/>
                <w:color w:val="000000" w:themeColor="text1"/>
                <w:lang w:val="es-MX" w:eastAsia="es-MX"/>
              </w:rPr>
              <w:t xml:space="preserve">Decreto 0142 de 2023 − </w:t>
            </w:r>
            <w:r w:rsidRPr="00242856">
              <w:rPr>
                <w:rFonts w:ascii="Verdana" w:hAnsi="Verdana" w:cs="Arial"/>
              </w:rPr>
              <w:t xml:space="preserve">División del Proceso − Lotes o segmentos </w:t>
            </w:r>
          </w:p>
          <w:p w14:paraId="47E8F8D2" w14:textId="77777777" w:rsidR="009B14D2" w:rsidRPr="00242856" w:rsidRDefault="009B14D2" w:rsidP="00F745E5">
            <w:pPr>
              <w:spacing w:line="276" w:lineRule="auto"/>
              <w:jc w:val="both"/>
              <w:rPr>
                <w:rFonts w:ascii="Verdana" w:eastAsia="Calibri" w:hAnsi="Verdana" w:cs="Arial"/>
                <w:highlight w:val="cyan"/>
                <w:lang w:val="es-MX" w:eastAsia="es-ES"/>
              </w:rPr>
            </w:pPr>
          </w:p>
        </w:tc>
      </w:tr>
      <w:tr w:rsidR="009B14D2" w:rsidRPr="00242856" w14:paraId="5355A0C5" w14:textId="77777777" w:rsidTr="00F745E5">
        <w:trPr>
          <w:trHeight w:val="388"/>
        </w:trPr>
        <w:tc>
          <w:tcPr>
            <w:tcW w:w="2689" w:type="dxa"/>
          </w:tcPr>
          <w:p w14:paraId="0B0CA928" w14:textId="77777777" w:rsidR="009B14D2" w:rsidRPr="00242856" w:rsidRDefault="009B14D2" w:rsidP="00F745E5">
            <w:pPr>
              <w:jc w:val="both"/>
              <w:rPr>
                <w:rFonts w:ascii="Verdana" w:eastAsia="Calibri" w:hAnsi="Verdana" w:cs="Arial"/>
                <w:b/>
                <w:lang w:val="es-ES_tradnl" w:eastAsia="es-ES_tradnl"/>
              </w:rPr>
            </w:pPr>
            <w:r w:rsidRPr="00242856">
              <w:rPr>
                <w:rFonts w:ascii="Verdana" w:eastAsia="Calibri" w:hAnsi="Verdana" w:cs="Arial"/>
                <w:b/>
                <w:lang w:val="es-ES_tradnl" w:eastAsia="es-ES_tradnl"/>
              </w:rPr>
              <w:t>Radicación:</w:t>
            </w:r>
            <w:r w:rsidRPr="00242856">
              <w:rPr>
                <w:rFonts w:ascii="Verdana" w:eastAsia="Calibri" w:hAnsi="Verdana" w:cs="Arial"/>
                <w:lang w:val="es-ES_tradnl" w:eastAsia="es-ES_tradnl"/>
              </w:rPr>
              <w:t xml:space="preserve">               </w:t>
            </w:r>
          </w:p>
        </w:tc>
        <w:tc>
          <w:tcPr>
            <w:tcW w:w="6100" w:type="dxa"/>
          </w:tcPr>
          <w:p w14:paraId="7FC212BC" w14:textId="77777777" w:rsidR="009B14D2" w:rsidRPr="00242856" w:rsidRDefault="009B14D2" w:rsidP="00F745E5">
            <w:pPr>
              <w:jc w:val="both"/>
              <w:rPr>
                <w:rFonts w:ascii="Verdana" w:eastAsia="Calibri" w:hAnsi="Verdana" w:cs="Arial"/>
                <w:lang w:eastAsia="es-ES_tradnl"/>
              </w:rPr>
            </w:pPr>
            <w:r w:rsidRPr="00242856">
              <w:rPr>
                <w:rFonts w:ascii="Verdana" w:eastAsia="Calibri" w:hAnsi="Verdana" w:cs="Arial"/>
                <w:lang w:val="es-ES_tradnl" w:eastAsia="es-ES_tradnl"/>
              </w:rPr>
              <w:t xml:space="preserve">Respuesta a consulta con radicado No. </w:t>
            </w:r>
            <w:r>
              <w:rPr>
                <w:rFonts w:ascii="Verdana" w:eastAsia="Calibri" w:hAnsi="Verdana" w:cs="Arial"/>
                <w:lang w:val="es-ES_tradnl" w:eastAsia="es-ES_tradnl"/>
              </w:rPr>
              <w:t>P</w:t>
            </w:r>
            <w:r w:rsidRPr="004B4CF5">
              <w:rPr>
                <w:rFonts w:ascii="Verdana" w:eastAsia="Calibri" w:hAnsi="Verdana" w:cs="Arial"/>
                <w:lang w:eastAsia="es-ES_tradnl"/>
              </w:rPr>
              <w:t>20241112011322</w:t>
            </w:r>
            <w:r w:rsidRPr="00242856">
              <w:rPr>
                <w:rFonts w:ascii="Verdana" w:eastAsia="Calibri" w:hAnsi="Verdana" w:cs="Arial"/>
                <w:lang w:eastAsia="es-ES_tradnl"/>
              </w:rPr>
              <w:t>.</w:t>
            </w:r>
          </w:p>
        </w:tc>
      </w:tr>
    </w:tbl>
    <w:p w14:paraId="170583C1" w14:textId="77777777" w:rsidR="009B14D2" w:rsidRPr="00242856" w:rsidRDefault="009B14D2" w:rsidP="009B14D2">
      <w:pPr>
        <w:spacing w:after="0" w:line="240" w:lineRule="auto"/>
        <w:jc w:val="both"/>
        <w:rPr>
          <w:rFonts w:ascii="Verdana" w:eastAsia="Calibri" w:hAnsi="Verdana" w:cs="Arial"/>
          <w:highlight w:val="cyan"/>
          <w:lang w:val="es-ES_tradnl" w:eastAsia="es-ES_tradnl"/>
        </w:rPr>
      </w:pPr>
    </w:p>
    <w:p w14:paraId="499C42F4" w14:textId="77777777" w:rsidR="009B14D2" w:rsidRPr="00242856" w:rsidRDefault="009B14D2" w:rsidP="009B14D2">
      <w:pPr>
        <w:spacing w:after="0" w:line="240" w:lineRule="auto"/>
        <w:jc w:val="both"/>
        <w:rPr>
          <w:rFonts w:ascii="Verdana" w:eastAsia="Calibri" w:hAnsi="Verdana" w:cs="Arial"/>
          <w:highlight w:val="cyan"/>
          <w:lang w:val="es-ES_tradnl" w:eastAsia="es-ES_tradnl"/>
        </w:rPr>
      </w:pPr>
    </w:p>
    <w:p w14:paraId="0AC15B31" w14:textId="77777777" w:rsidR="009B14D2" w:rsidRPr="00242856" w:rsidRDefault="009B14D2" w:rsidP="009B14D2">
      <w:pPr>
        <w:spacing w:after="0" w:line="276" w:lineRule="auto"/>
        <w:jc w:val="both"/>
        <w:rPr>
          <w:rFonts w:ascii="Verdana" w:eastAsia="Calibri" w:hAnsi="Verdana" w:cs="Arial"/>
          <w:lang w:val="es-ES" w:eastAsia="es-ES"/>
        </w:rPr>
      </w:pPr>
      <w:r w:rsidRPr="00242856">
        <w:rPr>
          <w:rFonts w:ascii="Verdana" w:eastAsia="Calibri" w:hAnsi="Verdana" w:cs="Arial"/>
          <w:lang w:val="es-ES" w:eastAsia="es-ES"/>
        </w:rPr>
        <w:t>Estimad</w:t>
      </w:r>
      <w:r>
        <w:rPr>
          <w:rFonts w:ascii="Verdana" w:eastAsia="Calibri" w:hAnsi="Verdana" w:cs="Arial"/>
          <w:lang w:val="es-ES" w:eastAsia="es-ES"/>
        </w:rPr>
        <w:t>a señora Rueda</w:t>
      </w:r>
      <w:r w:rsidRPr="00242856">
        <w:rPr>
          <w:rFonts w:ascii="Verdana" w:eastAsia="Calibri" w:hAnsi="Verdana" w:cs="Arial"/>
          <w:lang w:val="es-ES" w:eastAsia="es-ES"/>
        </w:rPr>
        <w:t>;</w:t>
      </w:r>
    </w:p>
    <w:p w14:paraId="36D42465" w14:textId="77777777" w:rsidR="009B14D2" w:rsidRPr="00242856" w:rsidRDefault="009B14D2" w:rsidP="009B14D2">
      <w:pPr>
        <w:tabs>
          <w:tab w:val="left" w:pos="3768"/>
        </w:tabs>
        <w:spacing w:after="0" w:line="276" w:lineRule="auto"/>
        <w:jc w:val="both"/>
        <w:rPr>
          <w:rFonts w:ascii="Verdana" w:eastAsia="Calibri" w:hAnsi="Verdana" w:cs="Arial"/>
          <w:highlight w:val="cyan"/>
          <w:lang w:val="es-ES" w:eastAsia="es-ES"/>
        </w:rPr>
      </w:pPr>
    </w:p>
    <w:p w14:paraId="0384F603" w14:textId="77777777" w:rsidR="009B14D2" w:rsidRPr="00242856" w:rsidRDefault="009B14D2" w:rsidP="009B14D2">
      <w:pPr>
        <w:spacing w:after="0" w:line="276" w:lineRule="auto"/>
        <w:jc w:val="both"/>
        <w:rPr>
          <w:rFonts w:ascii="Verdana" w:eastAsia="Calibri" w:hAnsi="Verdana" w:cs="Arial"/>
          <w:lang w:val="es-ES" w:eastAsia="es-ES"/>
        </w:rPr>
      </w:pPr>
      <w:r w:rsidRPr="00242856">
        <w:rPr>
          <w:rFonts w:ascii="Verdana" w:eastAsia="Calibri" w:hAnsi="Verdana" w:cs="Arial"/>
          <w:lang w:val="es-ES" w:eastAsia="es-ES"/>
        </w:rPr>
        <w:t>En ejercicio de la competencia otorgada por los artículos 3, numeral 5º, y 11, numeral 8º, del Decreto Ley 4170 de 2011,</w:t>
      </w:r>
      <w:r w:rsidRPr="00242856">
        <w:rPr>
          <w:rFonts w:ascii="Verdana" w:eastAsia="Arial MT" w:hAnsi="Verdana" w:cs="Arial"/>
          <w:lang w:val="es-ES" w:eastAsia="es-ES"/>
        </w:rPr>
        <w:t xml:space="preserve"> </w:t>
      </w:r>
      <w:r w:rsidRPr="00242856">
        <w:rPr>
          <w:rFonts w:ascii="Verdana" w:hAnsi="Verdana" w:cs="Arial"/>
        </w:rPr>
        <w:t xml:space="preserve">así como lo establecido en el artículo 4 de la Resolución 1707 de 2018 expedida por esta Entidad, </w:t>
      </w:r>
      <w:r w:rsidRPr="00242856">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12</w:t>
      </w:r>
      <w:r w:rsidRPr="00242856">
        <w:rPr>
          <w:rFonts w:ascii="Verdana" w:eastAsia="Calibri" w:hAnsi="Verdana" w:cs="Arial"/>
          <w:lang w:val="es-ES" w:eastAsia="es-ES"/>
        </w:rPr>
        <w:t xml:space="preserve"> de</w:t>
      </w:r>
      <w:r>
        <w:rPr>
          <w:rFonts w:ascii="Verdana" w:eastAsia="Calibri" w:hAnsi="Verdana" w:cs="Arial"/>
          <w:lang w:val="es-ES" w:eastAsia="es-ES"/>
        </w:rPr>
        <w:t xml:space="preserve"> noviembre</w:t>
      </w:r>
      <w:r w:rsidRPr="00242856">
        <w:rPr>
          <w:rFonts w:ascii="Verdana" w:eastAsia="Calibri" w:hAnsi="Verdana" w:cs="Arial"/>
          <w:lang w:val="es-ES" w:eastAsia="es-ES"/>
        </w:rPr>
        <w:t xml:space="preserve"> del 2024, en la cual manifiesta lo siguiente: </w:t>
      </w:r>
    </w:p>
    <w:p w14:paraId="1EDE70DD" w14:textId="77777777" w:rsidR="009B14D2" w:rsidRPr="00242856" w:rsidRDefault="009B14D2" w:rsidP="009B14D2">
      <w:pPr>
        <w:spacing w:after="0"/>
        <w:jc w:val="both"/>
        <w:rPr>
          <w:rFonts w:ascii="Verdana" w:hAnsi="Verdana" w:cs="Arial"/>
          <w:lang w:val="es-ES"/>
        </w:rPr>
      </w:pPr>
    </w:p>
    <w:p w14:paraId="569C825C" w14:textId="77777777" w:rsidR="009B14D2" w:rsidRPr="004B4CF5" w:rsidRDefault="009B14D2" w:rsidP="009B14D2">
      <w:pPr>
        <w:spacing w:after="0" w:line="240" w:lineRule="auto"/>
        <w:ind w:left="709" w:right="709"/>
        <w:jc w:val="both"/>
        <w:rPr>
          <w:rFonts w:ascii="Verdana" w:eastAsia="Century Gothic" w:hAnsi="Verdana" w:cs="Arial"/>
          <w:sz w:val="20"/>
          <w:szCs w:val="20"/>
        </w:rPr>
      </w:pPr>
      <w:r>
        <w:rPr>
          <w:rFonts w:ascii="Verdana" w:eastAsia="Century Gothic" w:hAnsi="Verdana" w:cs="Arial"/>
          <w:sz w:val="20"/>
          <w:szCs w:val="20"/>
          <w:lang w:val="es-ES"/>
        </w:rPr>
        <w:t>“</w:t>
      </w:r>
      <w:r w:rsidRPr="004B4CF5">
        <w:rPr>
          <w:rFonts w:ascii="Verdana" w:eastAsia="Century Gothic" w:hAnsi="Verdana" w:cs="Arial"/>
          <w:sz w:val="20"/>
          <w:szCs w:val="20"/>
        </w:rPr>
        <w:t>Cuando se realiza una licitación pública con adjudicaciones parciales por lotes, en cada lote vale menos del valor del límite, para limitar a MiPymes ¿Puede una licitación de un valor de los lotes cuyos valores quedan por debajo del valor límite para limitar a MiPymes? ¿Puedo limitar a MiPymes por grupos dentro de una licitación pública?</w:t>
      </w:r>
      <w:r w:rsidRPr="00242856">
        <w:rPr>
          <w:rFonts w:ascii="Verdana" w:eastAsia="Century Gothic" w:hAnsi="Verdana" w:cs="Arial"/>
          <w:sz w:val="20"/>
          <w:szCs w:val="20"/>
          <w:lang w:val="es-ES"/>
        </w:rPr>
        <w:t>”.</w:t>
      </w:r>
    </w:p>
    <w:p w14:paraId="4D41E67A" w14:textId="77777777" w:rsidR="009B14D2" w:rsidRPr="00242856" w:rsidRDefault="009B14D2" w:rsidP="009B14D2">
      <w:pPr>
        <w:spacing w:after="0" w:line="240" w:lineRule="auto"/>
        <w:ind w:left="709" w:right="709"/>
        <w:jc w:val="both"/>
        <w:rPr>
          <w:rFonts w:ascii="Verdana" w:eastAsia="Century Gothic" w:hAnsi="Verdana" w:cs="Arial"/>
          <w:sz w:val="20"/>
          <w:szCs w:val="20"/>
          <w:lang w:val="es-ES"/>
        </w:rPr>
      </w:pPr>
    </w:p>
    <w:p w14:paraId="7433B51A" w14:textId="77777777" w:rsidR="009B14D2" w:rsidRPr="00242856" w:rsidRDefault="009B14D2" w:rsidP="009B14D2">
      <w:pPr>
        <w:spacing w:after="120" w:line="276" w:lineRule="auto"/>
        <w:ind w:firstLine="709"/>
        <w:jc w:val="both"/>
        <w:rPr>
          <w:rFonts w:ascii="Verdana" w:eastAsia="Calibri" w:hAnsi="Verdana" w:cs="Arial"/>
          <w:color w:val="000000"/>
          <w:lang w:val="es-ES_tradnl" w:eastAsia="es-ES_tradnl"/>
        </w:rPr>
      </w:pPr>
      <w:r w:rsidRPr="00242856">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7EB79E07" w14:textId="77777777" w:rsidR="009B14D2" w:rsidRPr="00242856" w:rsidRDefault="009B14D2" w:rsidP="009B14D2">
      <w:pPr>
        <w:spacing w:after="0" w:line="276" w:lineRule="auto"/>
        <w:ind w:firstLine="709"/>
        <w:jc w:val="both"/>
        <w:rPr>
          <w:rFonts w:ascii="Verdana" w:eastAsia="Calibri" w:hAnsi="Verdana" w:cs="Arial"/>
          <w:color w:val="000000"/>
          <w:lang w:val="es-ES" w:eastAsia="es-ES"/>
        </w:rPr>
      </w:pPr>
      <w:r w:rsidRPr="00242856">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65366ED9" w14:textId="77777777" w:rsidR="009B14D2" w:rsidRPr="00242856" w:rsidRDefault="009B14D2" w:rsidP="009B14D2">
      <w:pPr>
        <w:spacing w:after="0"/>
        <w:jc w:val="both"/>
        <w:rPr>
          <w:rFonts w:ascii="Verdana" w:hAnsi="Verdana" w:cs="Arial"/>
          <w:lang w:val="es-ES"/>
        </w:rPr>
      </w:pPr>
    </w:p>
    <w:p w14:paraId="744761DB" w14:textId="77777777" w:rsidR="009B14D2" w:rsidRPr="00242856" w:rsidRDefault="009B14D2" w:rsidP="009B14D2">
      <w:pPr>
        <w:pStyle w:val="Prrafodelista"/>
        <w:numPr>
          <w:ilvl w:val="0"/>
          <w:numId w:val="16"/>
        </w:numPr>
        <w:tabs>
          <w:tab w:val="left" w:pos="142"/>
          <w:tab w:val="left" w:pos="284"/>
        </w:tabs>
        <w:spacing w:after="0" w:line="276" w:lineRule="auto"/>
        <w:ind w:left="0" w:firstLine="0"/>
        <w:jc w:val="both"/>
        <w:rPr>
          <w:rFonts w:ascii="Verdana" w:eastAsia="Century Gothic" w:hAnsi="Verdana" w:cs="Arial"/>
          <w:b/>
          <w:bCs/>
        </w:rPr>
      </w:pPr>
      <w:r w:rsidRPr="00242856">
        <w:rPr>
          <w:rFonts w:ascii="Verdana" w:eastAsia="Century Gothic" w:hAnsi="Verdana" w:cs="Arial"/>
          <w:b/>
          <w:bCs/>
        </w:rPr>
        <w:t>Problema planteado:</w:t>
      </w:r>
    </w:p>
    <w:p w14:paraId="71820564" w14:textId="77777777" w:rsidR="009B14D2" w:rsidRPr="00242856" w:rsidRDefault="009B14D2" w:rsidP="009B14D2">
      <w:pPr>
        <w:tabs>
          <w:tab w:val="left" w:pos="426"/>
        </w:tabs>
        <w:spacing w:after="0" w:line="276" w:lineRule="auto"/>
        <w:jc w:val="both"/>
        <w:rPr>
          <w:rFonts w:ascii="Verdana" w:eastAsia="Century Gothic" w:hAnsi="Verdana" w:cs="Arial"/>
          <w:lang w:val="es-ES"/>
        </w:rPr>
      </w:pPr>
    </w:p>
    <w:p w14:paraId="2415D0D4" w14:textId="77777777" w:rsidR="009B14D2" w:rsidRPr="004B4CF5" w:rsidRDefault="009B14D2" w:rsidP="009B14D2">
      <w:pPr>
        <w:spacing w:after="0" w:line="276" w:lineRule="auto"/>
        <w:jc w:val="both"/>
        <w:rPr>
          <w:rFonts w:ascii="Verdana" w:eastAsia="Century Gothic" w:hAnsi="Verdana" w:cs="Arial"/>
        </w:rPr>
      </w:pPr>
      <w:r w:rsidRPr="00242856">
        <w:rPr>
          <w:rFonts w:ascii="Verdana" w:eastAsia="Century Gothic" w:hAnsi="Verdana" w:cs="Arial"/>
        </w:rPr>
        <w:t xml:space="preserve">De acuerdo con el contenido de su solicitud, esta Agencia resolverá los siguientes problemas jurídicos: </w:t>
      </w:r>
      <w:r>
        <w:rPr>
          <w:rFonts w:ascii="Verdana" w:eastAsia="Century Gothic" w:hAnsi="Verdana" w:cs="Arial"/>
        </w:rPr>
        <w:t>¿</w:t>
      </w:r>
      <w:r w:rsidRPr="004B4CF5">
        <w:rPr>
          <w:rFonts w:ascii="Verdana" w:eastAsia="Century Gothic" w:hAnsi="Verdana" w:cs="Arial"/>
        </w:rPr>
        <w:t>Cuándo es posible la división de un proceso de contratación en lotes o segmentos</w:t>
      </w:r>
      <w:r>
        <w:rPr>
          <w:rFonts w:ascii="Verdana" w:eastAsia="Century Gothic" w:hAnsi="Verdana" w:cs="Arial"/>
        </w:rPr>
        <w:t xml:space="preserve"> a favor de Mipymes</w:t>
      </w:r>
      <w:r w:rsidRPr="004B4CF5">
        <w:rPr>
          <w:rFonts w:ascii="Verdana" w:eastAsia="Century Gothic" w:hAnsi="Verdana" w:cs="Arial"/>
        </w:rPr>
        <w:t>? </w:t>
      </w:r>
    </w:p>
    <w:p w14:paraId="73F92676" w14:textId="77777777" w:rsidR="009B14D2" w:rsidRPr="00242856" w:rsidRDefault="009B14D2" w:rsidP="009B14D2">
      <w:pPr>
        <w:spacing w:after="0" w:line="276" w:lineRule="auto"/>
        <w:jc w:val="both"/>
        <w:rPr>
          <w:rFonts w:ascii="Verdana" w:eastAsia="Century Gothic" w:hAnsi="Verdana" w:cs="Arial"/>
        </w:rPr>
      </w:pPr>
    </w:p>
    <w:p w14:paraId="384567B7" w14:textId="77777777" w:rsidR="009B14D2" w:rsidRPr="00242856" w:rsidRDefault="009B14D2" w:rsidP="009B14D2">
      <w:pPr>
        <w:spacing w:after="0" w:line="276" w:lineRule="auto"/>
        <w:jc w:val="both"/>
        <w:rPr>
          <w:rFonts w:ascii="Verdana" w:eastAsia="Century Gothic" w:hAnsi="Verdana" w:cs="Arial"/>
        </w:rPr>
      </w:pPr>
    </w:p>
    <w:p w14:paraId="59A8B238" w14:textId="77777777" w:rsidR="009B14D2" w:rsidRPr="00242856" w:rsidRDefault="009B14D2" w:rsidP="009B14D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242856">
        <w:rPr>
          <w:rFonts w:ascii="Verdana" w:eastAsia="Century Gothic" w:hAnsi="Verdana" w:cs="Arial"/>
          <w:b/>
          <w:bCs/>
        </w:rPr>
        <w:t>Respuesta:</w:t>
      </w:r>
    </w:p>
    <w:p w14:paraId="37C9E6E9" w14:textId="77777777" w:rsidR="009B14D2" w:rsidRPr="00242856" w:rsidRDefault="009B14D2" w:rsidP="009B14D2">
      <w:pPr>
        <w:spacing w:after="0"/>
        <w:jc w:val="both"/>
        <w:rPr>
          <w:rFonts w:ascii="Verdana" w:hAnsi="Verdana" w:cs="Arial"/>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B14D2" w:rsidRPr="00242856" w14:paraId="79603006" w14:textId="77777777" w:rsidTr="00F745E5">
        <w:trPr>
          <w:trHeight w:val="799"/>
        </w:trPr>
        <w:tc>
          <w:tcPr>
            <w:tcW w:w="8828" w:type="dxa"/>
            <w:shd w:val="clear" w:color="auto" w:fill="auto"/>
          </w:tcPr>
          <w:p w14:paraId="57AC46F2" w14:textId="77777777" w:rsidR="009B14D2" w:rsidRDefault="009B14D2" w:rsidP="00F745E5">
            <w:pPr>
              <w:spacing w:line="276" w:lineRule="auto"/>
              <w:jc w:val="both"/>
              <w:rPr>
                <w:rFonts w:ascii="Verdana" w:hAnsi="Verdana"/>
                <w:i/>
                <w:iCs/>
              </w:rPr>
            </w:pPr>
            <w:r>
              <w:rPr>
                <w:rFonts w:ascii="Verdana" w:eastAsia="Calibri" w:hAnsi="Verdana" w:cs="Arial"/>
                <w:lang w:val="es-ES"/>
              </w:rPr>
              <w:t xml:space="preserve">Al respecto del interrogante planteado, </w:t>
            </w:r>
            <w:r w:rsidRPr="000E2711">
              <w:rPr>
                <w:rFonts w:ascii="Verdana" w:eastAsia="Calibri" w:hAnsi="Verdana" w:cs="Arial"/>
              </w:rPr>
              <w:t xml:space="preserve">es pertinente mencionar que, </w:t>
            </w:r>
            <w:r>
              <w:rPr>
                <w:rFonts w:ascii="Verdana" w:eastAsia="Calibri" w:hAnsi="Verdana" w:cs="Arial"/>
              </w:rPr>
              <w:t xml:space="preserve">la división de un proceso de contratación en lotes o segmentos es discrecional de la Entidad contratante de acuerdo a la estructuración de sus necesidades, condiciones de cumplimiento en razón de circunstancias de tiempo, modo de ejecución, lugar, beneficiarios, entre otros criterios. Lo anterior debido a que el artículo </w:t>
            </w:r>
            <w:r w:rsidRPr="00470257">
              <w:rPr>
                <w:rFonts w:ascii="Verdana" w:eastAsia="Calibri" w:hAnsi="Verdana" w:cs="Arial"/>
              </w:rPr>
              <w:t>2.2.1.2.4.2.19</w:t>
            </w:r>
            <w:r>
              <w:rPr>
                <w:rFonts w:ascii="Verdana" w:eastAsia="Century Gothic" w:hAnsi="Verdana" w:cs="Arial"/>
              </w:rPr>
              <w:t xml:space="preserve">del Decreto 1082 de 2015 señala que </w:t>
            </w:r>
            <w:r w:rsidRPr="00470257">
              <w:rPr>
                <w:rFonts w:ascii="Verdana" w:eastAsia="Century Gothic" w:hAnsi="Verdana" w:cs="Arial"/>
                <w:i/>
                <w:iCs/>
              </w:rPr>
              <w:t>“l</w:t>
            </w:r>
            <w:r w:rsidRPr="00470257">
              <w:rPr>
                <w:rFonts w:ascii="Verdana" w:hAnsi="Verdana"/>
                <w:i/>
                <w:iCs/>
              </w:rPr>
              <w:t xml:space="preserve">as entidades estatales promoverán la división de procesos de contratación en lotes o segmentos que faciliten la participación de las Mipymes atendiendo a criterios </w:t>
            </w:r>
            <w:r w:rsidRPr="00470257">
              <w:rPr>
                <w:rFonts w:ascii="Verdana" w:hAnsi="Verdana"/>
                <w:i/>
                <w:iCs/>
              </w:rPr>
              <w:lastRenderedPageBreak/>
              <w:t>tales como: i) el tipo de entregable, ii) el valor del contrato y iii) el ámbito geográfico de la entrega (…)”</w:t>
            </w:r>
            <w:r>
              <w:rPr>
                <w:rFonts w:ascii="Verdana" w:hAnsi="Verdana"/>
                <w:i/>
                <w:iCs/>
              </w:rPr>
              <w:t>.</w:t>
            </w:r>
          </w:p>
          <w:p w14:paraId="072A84A4" w14:textId="77777777" w:rsidR="009B14D2" w:rsidRDefault="009B14D2" w:rsidP="00F745E5">
            <w:pPr>
              <w:spacing w:line="276" w:lineRule="auto"/>
              <w:jc w:val="both"/>
              <w:rPr>
                <w:rFonts w:ascii="Verdana" w:eastAsia="Century Gothic" w:hAnsi="Verdana" w:cs="Arial"/>
                <w:i/>
                <w:iCs/>
              </w:rPr>
            </w:pPr>
          </w:p>
          <w:p w14:paraId="052F2913" w14:textId="77777777" w:rsidR="009B14D2" w:rsidRPr="005B252D" w:rsidRDefault="009B14D2" w:rsidP="00F745E5">
            <w:pPr>
              <w:spacing w:line="276" w:lineRule="auto"/>
              <w:jc w:val="both"/>
              <w:rPr>
                <w:rFonts w:ascii="Verdana" w:eastAsia="Century Gothic" w:hAnsi="Verdana" w:cs="Arial"/>
              </w:rPr>
            </w:pPr>
            <w:r>
              <w:rPr>
                <w:rFonts w:ascii="Verdana" w:eastAsia="Century Gothic" w:hAnsi="Verdana" w:cs="Arial"/>
              </w:rPr>
              <w:t>Lo que si establece la norma, como imperativo, es que las Entidades deberán limitar los procesos de contratación a favor de las mipymes cuando:</w:t>
            </w:r>
          </w:p>
          <w:p w14:paraId="7D4778CB" w14:textId="77777777" w:rsidR="009B14D2" w:rsidRDefault="009B14D2" w:rsidP="00F745E5">
            <w:pPr>
              <w:spacing w:line="276" w:lineRule="auto"/>
              <w:jc w:val="both"/>
              <w:rPr>
                <w:rFonts w:ascii="Verdana" w:eastAsia="Century Gothic" w:hAnsi="Verdana" w:cs="Arial"/>
              </w:rPr>
            </w:pPr>
          </w:p>
          <w:p w14:paraId="39F1FB1C" w14:textId="77777777" w:rsidR="009B14D2" w:rsidRDefault="009B14D2" w:rsidP="00F745E5">
            <w:pPr>
              <w:spacing w:line="276" w:lineRule="auto"/>
              <w:jc w:val="both"/>
              <w:rPr>
                <w:rFonts w:ascii="Verdana" w:eastAsia="Century Gothic" w:hAnsi="Verdana" w:cs="Arial"/>
              </w:rPr>
            </w:pPr>
          </w:p>
          <w:p w14:paraId="133B224A" w14:textId="77777777" w:rsidR="009B14D2" w:rsidRDefault="009B14D2" w:rsidP="00F745E5">
            <w:pPr>
              <w:spacing w:line="276" w:lineRule="auto"/>
              <w:jc w:val="both"/>
              <w:rPr>
                <w:rFonts w:ascii="Verdana" w:hAnsi="Verdana" w:cs="Arial"/>
              </w:rPr>
            </w:pPr>
          </w:p>
          <w:p w14:paraId="5E9F1E70" w14:textId="77777777" w:rsidR="009B14D2" w:rsidRPr="00470257" w:rsidRDefault="009B14D2" w:rsidP="009B14D2">
            <w:pPr>
              <w:pStyle w:val="Prrafodelista"/>
              <w:numPr>
                <w:ilvl w:val="0"/>
                <w:numId w:val="23"/>
              </w:numPr>
              <w:spacing w:line="276" w:lineRule="auto"/>
              <w:jc w:val="both"/>
              <w:rPr>
                <w:rFonts w:ascii="Verdana" w:hAnsi="Verdana"/>
              </w:rPr>
            </w:pPr>
            <w:r w:rsidRPr="00470257">
              <w:rPr>
                <w:rFonts w:ascii="Verdana" w:hAnsi="Verdana" w:cs="Arial"/>
              </w:rPr>
              <w:t>el valor del Proceso de Contratación sea menor a ciento veinticinco mil dólares de los Estados Unidos de América (US$125.000)</w:t>
            </w:r>
            <w:r>
              <w:rPr>
                <w:rStyle w:val="Refdenotaalpie"/>
                <w:rFonts w:ascii="Verdana" w:hAnsi="Verdana" w:cs="Arial"/>
              </w:rPr>
              <w:footnoteReference w:id="1"/>
            </w:r>
            <w:r w:rsidRPr="00470257">
              <w:rPr>
                <w:rFonts w:ascii="Verdana" w:hAnsi="Verdana" w:cs="Arial"/>
              </w:rPr>
              <w:t xml:space="preserve">, liquidados con la tasa de cambio que para el efecto se determina cada dos años el Ministerio de Comercio, Industria y Turismo. No obstante, de acuerdo con el parágrafo del artículo 2.2.1.2.4.2.19 </w:t>
            </w:r>
            <w:r w:rsidRPr="00470257">
              <w:rPr>
                <w:rFonts w:ascii="Verdana" w:eastAsia="Times New Roman" w:hAnsi="Verdana" w:cs="Arial"/>
                <w:color w:val="000000"/>
                <w:lang w:eastAsia="es-CO"/>
              </w:rPr>
              <w:t xml:space="preserve">del Decreto 1082 de 2015, </w:t>
            </w:r>
            <w:r w:rsidRPr="00470257">
              <w:rPr>
                <w:rFonts w:ascii="Verdana" w:hAnsi="Verdana" w:cs="Arial"/>
              </w:rPr>
              <w:t>cuando el proceso se adelante por lotes o grupos, el valor de los (US$125.000) debe establecerse en relación con el lote o segmento, y no respecto del valor total del proceso de contratación −que se establecería con la sumatoria de todos los lotes o segmentos−.</w:t>
            </w:r>
            <w:r w:rsidRPr="00470257">
              <w:rPr>
                <w:rFonts w:ascii="Verdana" w:hAnsi="Verdana"/>
              </w:rPr>
              <w:t xml:space="preserve">   Esto implica que el valor de cada lote o grupo debe ser inferior a US$125.000, sin perjuicio de que la sumatoria de estos supere dicho valor. </w:t>
            </w:r>
          </w:p>
          <w:p w14:paraId="195F9950" w14:textId="77777777" w:rsidR="009B14D2" w:rsidRDefault="009B14D2" w:rsidP="00F745E5">
            <w:pPr>
              <w:spacing w:line="276" w:lineRule="auto"/>
              <w:jc w:val="both"/>
              <w:rPr>
                <w:rFonts w:ascii="Verdana" w:hAnsi="Verdana"/>
              </w:rPr>
            </w:pPr>
          </w:p>
          <w:p w14:paraId="038957C0" w14:textId="77777777" w:rsidR="009B14D2" w:rsidRPr="00470257" w:rsidRDefault="009B14D2" w:rsidP="009B14D2">
            <w:pPr>
              <w:pStyle w:val="Prrafodelista"/>
              <w:numPr>
                <w:ilvl w:val="0"/>
                <w:numId w:val="23"/>
              </w:numPr>
              <w:spacing w:line="276" w:lineRule="auto"/>
              <w:jc w:val="both"/>
              <w:rPr>
                <w:rFonts w:ascii="Verdana" w:hAnsi="Verdana"/>
              </w:rPr>
            </w:pPr>
            <w:r w:rsidRPr="00470257">
              <w:rPr>
                <w:rFonts w:ascii="Verdana" w:hAnsi="Verdana"/>
              </w:rPr>
              <w:t>Se hayan recibido solicitudes de por lo menos dos (2) Mipyme colombianas para limitar la convocatoria a Mipyme colombianas.</w:t>
            </w:r>
            <w:r>
              <w:rPr>
                <w:rStyle w:val="Refdenotaalpie"/>
                <w:rFonts w:ascii="Verdana" w:hAnsi="Verdana"/>
              </w:rPr>
              <w:footnoteReference w:id="2"/>
            </w:r>
          </w:p>
          <w:p w14:paraId="46F81161" w14:textId="77777777" w:rsidR="009B14D2" w:rsidRDefault="009B14D2" w:rsidP="00F745E5">
            <w:pPr>
              <w:spacing w:line="276" w:lineRule="auto"/>
              <w:jc w:val="both"/>
              <w:rPr>
                <w:rFonts w:ascii="Verdana" w:hAnsi="Verdana"/>
              </w:rPr>
            </w:pPr>
          </w:p>
          <w:p w14:paraId="35BF8BA8" w14:textId="77777777" w:rsidR="009B14D2" w:rsidRDefault="009B14D2" w:rsidP="00F745E5">
            <w:pPr>
              <w:spacing w:line="276" w:lineRule="auto"/>
              <w:jc w:val="both"/>
              <w:rPr>
                <w:rFonts w:ascii="Verdana" w:hAnsi="Verdana"/>
              </w:rPr>
            </w:pPr>
          </w:p>
          <w:p w14:paraId="105D8892" w14:textId="77777777" w:rsidR="009B14D2" w:rsidRPr="00470257" w:rsidRDefault="009B14D2" w:rsidP="00F745E5">
            <w:pPr>
              <w:spacing w:line="276" w:lineRule="auto"/>
              <w:jc w:val="both"/>
              <w:rPr>
                <w:rFonts w:ascii="Verdana" w:hAnsi="Verdana"/>
              </w:rPr>
            </w:pPr>
            <w:r>
              <w:rPr>
                <w:rFonts w:ascii="Verdana" w:eastAsia="Calibri" w:hAnsi="Verdana" w:cs="Arial"/>
              </w:rPr>
              <w:t>Ahora bien, c</w:t>
            </w:r>
            <w:r w:rsidRPr="00470257">
              <w:rPr>
                <w:rFonts w:ascii="Verdana" w:eastAsia="Calibri" w:hAnsi="Verdana" w:cs="Arial"/>
              </w:rPr>
              <w:t xml:space="preserve">onforme a lo dispuesto en </w:t>
            </w:r>
            <w:r w:rsidRPr="00470257">
              <w:rPr>
                <w:rFonts w:ascii="Verdana" w:hAnsi="Verdana" w:cs="Arial"/>
              </w:rPr>
              <w:t>el cuarto inciso d</w:t>
            </w:r>
            <w:r w:rsidRPr="00470257">
              <w:rPr>
                <w:rFonts w:ascii="Verdana" w:eastAsia="Times New Roman" w:hAnsi="Verdana" w:cs="Arial"/>
                <w:color w:val="000000"/>
                <w:lang w:eastAsia="es-CO"/>
              </w:rPr>
              <w:t>el artículo 2.2.1.2.4.2.19 del Decreto 1082 de 2015 −adicionado por el artículo 6 del Decreto 142 de 2023−,</w:t>
            </w:r>
            <w:r w:rsidRPr="00470257">
              <w:rPr>
                <w:rFonts w:ascii="Verdana" w:hAnsi="Verdana" w:cs="Arial"/>
              </w:rPr>
              <w:t xml:space="preserve"> se habilita a las entidades para que incluyan en los pliegos de condiciones mecanismos y reglas que limiten el número de lotes que pueden ser adjudicados a un mismo oferente o a varios. Sobre el particular vale la pena indicar que la norma no determina que mecanismos y reglas pueden establecer las Entidades para limitar el número de lotes a adjudicarse. Así las cosas, </w:t>
            </w:r>
            <w:r w:rsidRPr="004B4CF5">
              <w:rPr>
                <w:rFonts w:ascii="Verdana" w:eastAsia="Century Gothic" w:hAnsi="Verdana" w:cs="Arial"/>
              </w:rPr>
              <w:t>es posible la división de un proceso de contratación en lotes o segmentos</w:t>
            </w:r>
            <w:r>
              <w:rPr>
                <w:rFonts w:ascii="Verdana" w:eastAsia="Century Gothic" w:hAnsi="Verdana" w:cs="Arial"/>
              </w:rPr>
              <w:t xml:space="preserve"> a favor de Mipymes</w:t>
            </w:r>
            <w:r w:rsidRPr="00A03C01">
              <w:rPr>
                <w:rFonts w:ascii="Verdana" w:hAnsi="Verdana" w:cs="Arial"/>
              </w:rPr>
              <w:t xml:space="preserve"> </w:t>
            </w:r>
            <w:r>
              <w:rPr>
                <w:rFonts w:ascii="Verdana" w:hAnsi="Verdana" w:cs="Arial"/>
              </w:rPr>
              <w:t>cuando la entidad así lo requiera. L</w:t>
            </w:r>
            <w:r w:rsidRPr="00470257">
              <w:rPr>
                <w:rFonts w:ascii="Verdana" w:hAnsi="Verdana" w:cs="Arial"/>
              </w:rPr>
              <w:t xml:space="preserve">e corresponde a la Entidad Estatal en ejercicio de su autonomía y </w:t>
            </w:r>
            <w:r w:rsidRPr="00470257">
              <w:rPr>
                <w:rFonts w:ascii="Verdana" w:hAnsi="Verdana" w:cs="Arial"/>
              </w:rPr>
              <w:lastRenderedPageBreak/>
              <w:t xml:space="preserve">discrecionalidad determinar en los pliegos de condiciones para los procesos estructurados por lotes o segmentos si estos podrán ser adjudicados a un solo proponente o a varios.  </w:t>
            </w:r>
          </w:p>
          <w:p w14:paraId="6F4D0906" w14:textId="77777777" w:rsidR="009B14D2" w:rsidRPr="00242856" w:rsidRDefault="009B14D2" w:rsidP="00F745E5">
            <w:pPr>
              <w:spacing w:line="276" w:lineRule="auto"/>
              <w:jc w:val="both"/>
              <w:rPr>
                <w:rFonts w:ascii="Verdana" w:hAnsi="Verdana"/>
              </w:rPr>
            </w:pPr>
          </w:p>
        </w:tc>
      </w:tr>
    </w:tbl>
    <w:p w14:paraId="7A1F5854" w14:textId="77777777" w:rsidR="009B14D2" w:rsidRPr="00242856" w:rsidRDefault="009B14D2" w:rsidP="009B14D2">
      <w:pPr>
        <w:spacing w:after="0"/>
        <w:jc w:val="both"/>
        <w:rPr>
          <w:rFonts w:ascii="Verdana" w:hAnsi="Verdana" w:cs="Arial"/>
        </w:rPr>
      </w:pPr>
    </w:p>
    <w:p w14:paraId="1F8C7BFD" w14:textId="77777777" w:rsidR="009B14D2" w:rsidRPr="00242856" w:rsidRDefault="009B14D2" w:rsidP="009B14D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242856">
        <w:rPr>
          <w:rFonts w:ascii="Verdana" w:eastAsia="Century Gothic" w:hAnsi="Verdana" w:cs="Arial"/>
          <w:b/>
          <w:bCs/>
        </w:rPr>
        <w:t>Razones de la respuesta:</w:t>
      </w:r>
    </w:p>
    <w:p w14:paraId="6B7D5AEB" w14:textId="77777777" w:rsidR="009B14D2" w:rsidRPr="00242856" w:rsidRDefault="009B14D2" w:rsidP="009B14D2">
      <w:pPr>
        <w:spacing w:after="0" w:line="276" w:lineRule="auto"/>
        <w:jc w:val="both"/>
        <w:rPr>
          <w:rFonts w:ascii="Verdana" w:eastAsia="Calibri" w:hAnsi="Verdana" w:cs="Arial"/>
          <w:color w:val="7030A0"/>
          <w:lang w:val="es-ES"/>
        </w:rPr>
      </w:pPr>
    </w:p>
    <w:p w14:paraId="4315EA8C" w14:textId="77777777" w:rsidR="009B14D2" w:rsidRPr="00242856" w:rsidRDefault="009B14D2" w:rsidP="009B14D2">
      <w:pPr>
        <w:spacing w:after="0" w:line="276" w:lineRule="auto"/>
        <w:jc w:val="both"/>
        <w:rPr>
          <w:rFonts w:ascii="Verdana" w:eastAsia="Calibri" w:hAnsi="Verdana" w:cs="Arial"/>
          <w:lang w:val="es-ES"/>
        </w:rPr>
      </w:pPr>
      <w:r w:rsidRPr="00242856">
        <w:rPr>
          <w:rFonts w:ascii="Verdana" w:eastAsia="Calibri" w:hAnsi="Verdana" w:cs="Arial"/>
          <w:lang w:val="es-ES"/>
        </w:rPr>
        <w:t>Lo anterior se sustenta en las siguientes consideraciones:</w:t>
      </w:r>
    </w:p>
    <w:p w14:paraId="3AD3DC65" w14:textId="77777777" w:rsidR="009B14D2" w:rsidRPr="00242856" w:rsidRDefault="009B14D2" w:rsidP="009B14D2">
      <w:pPr>
        <w:spacing w:after="0" w:line="276" w:lineRule="auto"/>
        <w:jc w:val="both"/>
        <w:rPr>
          <w:rFonts w:ascii="Verdana" w:hAnsi="Verdana" w:cs="Arial"/>
          <w:lang w:val="es-ES"/>
        </w:rPr>
      </w:pPr>
    </w:p>
    <w:p w14:paraId="6CBAD8DE" w14:textId="77777777" w:rsidR="009B14D2" w:rsidRPr="00242856" w:rsidRDefault="009B14D2" w:rsidP="009B14D2">
      <w:pPr>
        <w:pStyle w:val="Prrafodelista"/>
        <w:numPr>
          <w:ilvl w:val="0"/>
          <w:numId w:val="19"/>
        </w:numPr>
        <w:spacing w:after="0" w:line="276" w:lineRule="auto"/>
        <w:jc w:val="both"/>
        <w:rPr>
          <w:rFonts w:ascii="Verdana" w:hAnsi="Verdana" w:cs="Arial"/>
        </w:rPr>
      </w:pPr>
      <w:r w:rsidRPr="00242856">
        <w:rPr>
          <w:rFonts w:ascii="Verdana" w:hAnsi="Verdana" w:cs="Arial"/>
        </w:rPr>
        <w:t>Para proceder a dar respuesta a</w:t>
      </w:r>
      <w:r>
        <w:rPr>
          <w:rFonts w:ascii="Verdana" w:hAnsi="Verdana" w:cs="Arial"/>
        </w:rPr>
        <w:t>l</w:t>
      </w:r>
      <w:r w:rsidRPr="00242856">
        <w:rPr>
          <w:rFonts w:ascii="Verdana" w:hAnsi="Verdana" w:cs="Arial"/>
        </w:rPr>
        <w:t xml:space="preserve"> problema jurídico de la presente consulta se hace necesario tener en consideración que el 31 de diciembre de 2020 se promulgó la Ley 2069, “Por medio de la cual se impulsa el emprendimiento en Colombia”. En lo que respecta a las convocatorias limitadas a MiPymes, el artículo 34 de la Ley 2069 de 2020 dispuso nuevas reglas sobre la promoción al desarrollo en la contratación estatal. En particular, la citada disposición modificó el contenido del artículo 12 de la Ley 1150 de 2007.</w:t>
      </w:r>
    </w:p>
    <w:p w14:paraId="571EB61B" w14:textId="77777777" w:rsidR="009B14D2" w:rsidRPr="00242856" w:rsidRDefault="009B14D2" w:rsidP="009B14D2">
      <w:pPr>
        <w:pStyle w:val="Prrafodelista"/>
        <w:spacing w:after="0" w:line="276" w:lineRule="auto"/>
        <w:jc w:val="both"/>
        <w:rPr>
          <w:rFonts w:ascii="Verdana" w:hAnsi="Verdana" w:cs="Arial"/>
        </w:rPr>
      </w:pPr>
    </w:p>
    <w:p w14:paraId="503D1495" w14:textId="77777777" w:rsidR="009B14D2" w:rsidRPr="00242856" w:rsidRDefault="009B14D2" w:rsidP="009B14D2">
      <w:pPr>
        <w:pStyle w:val="Prrafodelista"/>
        <w:numPr>
          <w:ilvl w:val="0"/>
          <w:numId w:val="19"/>
        </w:numPr>
        <w:spacing w:after="0" w:line="276" w:lineRule="auto"/>
        <w:jc w:val="both"/>
        <w:rPr>
          <w:rFonts w:ascii="Verdana" w:hAnsi="Verdana" w:cs="Arial"/>
        </w:rPr>
      </w:pPr>
      <w:r w:rsidRPr="00242856">
        <w:rPr>
          <w:rFonts w:ascii="Verdana" w:hAnsi="Verdana" w:cs="Arial"/>
        </w:rPr>
        <w:t>A partir de lo anterior se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Este decreto modificó, entre otros aspectos, la Subsección 5 de la Sección 1 del Capítulo 2 del Título 1 de la Parte 2 del Libro 2 y los artículos 2.2.1.2.4.2.2. y 2.2.1.2.4.2.3. y siguientes del Decreto 1082 de 2015.</w:t>
      </w:r>
    </w:p>
    <w:p w14:paraId="524B6BC0" w14:textId="77777777" w:rsidR="009B14D2" w:rsidRPr="00242856" w:rsidRDefault="009B14D2" w:rsidP="009B14D2">
      <w:pPr>
        <w:spacing w:after="0" w:line="276" w:lineRule="auto"/>
        <w:jc w:val="both"/>
        <w:rPr>
          <w:rFonts w:ascii="Verdana" w:hAnsi="Verdana" w:cs="Arial"/>
          <w:lang w:val="es-ES"/>
        </w:rPr>
      </w:pPr>
    </w:p>
    <w:p w14:paraId="32717380" w14:textId="77777777" w:rsidR="009B14D2" w:rsidRPr="00242856" w:rsidRDefault="009B14D2" w:rsidP="009B14D2">
      <w:pPr>
        <w:pStyle w:val="Prrafodelista"/>
        <w:numPr>
          <w:ilvl w:val="0"/>
          <w:numId w:val="19"/>
        </w:numPr>
        <w:spacing w:after="0" w:line="276" w:lineRule="auto"/>
        <w:jc w:val="both"/>
        <w:rPr>
          <w:rFonts w:ascii="Verdana" w:hAnsi="Verdana" w:cs="Arial"/>
        </w:rPr>
      </w:pPr>
      <w:r w:rsidRPr="00242856">
        <w:rPr>
          <w:rFonts w:ascii="Verdana" w:hAnsi="Verdana" w:cs="Arial"/>
        </w:rPr>
        <w:t xml:space="preserve">Así las cosas, el artículo (i) 2.2.1.2.4.2.2. </w:t>
      </w:r>
      <w:r w:rsidRPr="00242856">
        <w:rPr>
          <w:rFonts w:ascii="Verdana" w:hAnsi="Verdana" w:cs="Arial"/>
          <w:lang w:val="es-CO"/>
        </w:rPr>
        <w:t xml:space="preserve">del Decreto 1082 de 2015 </w:t>
      </w:r>
      <w:r w:rsidRPr="00242856">
        <w:rPr>
          <w:rFonts w:ascii="Verdana" w:hAnsi="Verdana" w:cs="Arial"/>
        </w:rPr>
        <w:t xml:space="preserve">consagra los requisitos para limitar la convocatoria de los procesos de contratación con pluralidad de oferentes a las MiPymes colombianas con mínimo un (1) año de existencia; (ii) el artículo 2.2.1.2.4.2.3. </w:t>
      </w:r>
      <w:r w:rsidRPr="00242856">
        <w:rPr>
          <w:rFonts w:ascii="Verdana" w:hAnsi="Verdana" w:cs="Arial"/>
          <w:lang w:val="es-CO"/>
        </w:rPr>
        <w:t>del Decreto 1082 de 2015</w:t>
      </w:r>
      <w:r w:rsidRPr="00242856">
        <w:rPr>
          <w:rFonts w:ascii="Verdana" w:hAnsi="Verdana" w:cs="Arial"/>
        </w:rPr>
        <w:t xml:space="preserve"> desarrolla las convocatorias limitadas a MiPymes colombianas que tengan domicilio en los departamentos o municipios en donde se va a ejecutar el contrato; y (iii) el artículo 2.2.1.2.4.2.4. </w:t>
      </w:r>
      <w:r w:rsidRPr="00242856">
        <w:rPr>
          <w:rFonts w:ascii="Verdana" w:hAnsi="Verdana" w:cs="Arial"/>
          <w:lang w:val="es-CO"/>
        </w:rPr>
        <w:t xml:space="preserve">del Decreto 1082 de 2015 </w:t>
      </w:r>
      <w:r w:rsidRPr="00242856">
        <w:rPr>
          <w:rFonts w:ascii="Verdana" w:hAnsi="Verdana" w:cs="Arial"/>
        </w:rPr>
        <w:t xml:space="preserve">regula la acreditación de requisitos para participar en convocatorias limitadas. De este modo, interesa precisar que el artículo 5 del Decreto 1860 de 2021, que modifica los artículos del Decreto 1082 de 2015, constituye la reglamentación del artículo 34 de la Ley 2069 de </w:t>
      </w:r>
      <w:r w:rsidRPr="00242856">
        <w:rPr>
          <w:rFonts w:ascii="Verdana" w:hAnsi="Verdana" w:cs="Arial"/>
        </w:rPr>
        <w:lastRenderedPageBreak/>
        <w:t>2020, al desarrollar las reglas aplicables a las convocatorias limitadas a MiPymes como se verá a continuación.</w:t>
      </w:r>
    </w:p>
    <w:p w14:paraId="4568CBAB" w14:textId="77777777" w:rsidR="009B14D2" w:rsidRPr="00242856" w:rsidRDefault="009B14D2" w:rsidP="009B14D2">
      <w:pPr>
        <w:pStyle w:val="Prrafodelista"/>
        <w:spacing w:line="276" w:lineRule="auto"/>
        <w:rPr>
          <w:rFonts w:ascii="Verdana" w:hAnsi="Verdana" w:cs="Arial"/>
          <w:lang w:eastAsia="es-ES"/>
        </w:rPr>
      </w:pPr>
    </w:p>
    <w:p w14:paraId="605A349D" w14:textId="77777777" w:rsidR="009B14D2" w:rsidRPr="00242856" w:rsidRDefault="009B14D2" w:rsidP="009B14D2">
      <w:pPr>
        <w:pStyle w:val="Prrafodelista"/>
        <w:numPr>
          <w:ilvl w:val="0"/>
          <w:numId w:val="19"/>
        </w:numPr>
        <w:spacing w:after="0" w:line="276" w:lineRule="auto"/>
        <w:jc w:val="both"/>
        <w:rPr>
          <w:rFonts w:ascii="Verdana" w:hAnsi="Verdana" w:cs="Arial"/>
        </w:rPr>
      </w:pPr>
      <w:r w:rsidRPr="00242856">
        <w:rPr>
          <w:rFonts w:ascii="Verdana" w:hAnsi="Verdana" w:cs="Arial"/>
          <w:lang w:eastAsia="es-ES"/>
        </w:rPr>
        <w:t>Respecto a lo señalado en el inciso primero del artículo 2.2.1.2.4.2.2. del Decreto 1082 de 2015, modificado por el artículo 5 del Decreto 1860 de 2021, se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señalados allí</w:t>
      </w:r>
      <w:r w:rsidRPr="00242856">
        <w:rPr>
          <w:rStyle w:val="Refdenotaalpie"/>
          <w:rFonts w:ascii="Verdana" w:hAnsi="Verdana" w:cs="Arial"/>
          <w:lang w:eastAsia="es-ES"/>
        </w:rPr>
        <w:footnoteReference w:id="3"/>
      </w:r>
      <w:r w:rsidRPr="00242856">
        <w:rPr>
          <w:rFonts w:ascii="Verdana" w:hAnsi="Verdana" w:cs="Arial"/>
          <w:lang w:eastAsia="es-ES"/>
        </w:rPr>
        <w:t>.</w:t>
      </w:r>
    </w:p>
    <w:p w14:paraId="7FA14E89" w14:textId="77777777" w:rsidR="009B14D2" w:rsidRPr="00242856" w:rsidRDefault="009B14D2" w:rsidP="009B14D2">
      <w:pPr>
        <w:pStyle w:val="Prrafodelista"/>
        <w:spacing w:line="276" w:lineRule="auto"/>
        <w:rPr>
          <w:rFonts w:ascii="Verdana" w:hAnsi="Verdana" w:cs="Arial"/>
          <w:bCs/>
          <w:lang w:val="es-ES_tradnl" w:eastAsia="es-ES"/>
        </w:rPr>
      </w:pPr>
    </w:p>
    <w:p w14:paraId="6A4EE65D" w14:textId="77777777" w:rsidR="009B14D2" w:rsidRPr="00242856" w:rsidRDefault="009B14D2" w:rsidP="009B14D2">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hAnsi="Verdana" w:cs="Arial"/>
          <w:bCs/>
          <w:lang w:val="es-ES_tradnl" w:eastAsia="es-ES"/>
        </w:rPr>
        <w:t xml:space="preserve">Según se evidencia, el numeral primero limita cuantitativamente los procesos contractuales en los que se puede hacer esa convocatoria limitada a Mipymes, en la medida en que el valor del proceso de contratación tendrá que ser “menor a veinticinco mil dólares de los Estados Unidos </w:t>
      </w:r>
      <w:r w:rsidRPr="00242856">
        <w:rPr>
          <w:rFonts w:ascii="Verdana" w:eastAsia="Arial" w:hAnsi="Verdana" w:cs="Arial"/>
          <w:color w:val="000000"/>
          <w:lang w:eastAsia="es-ES_tradnl"/>
        </w:rPr>
        <w:t>de América”. Esta limitante, valga la pena aclarar, es establecida de acuerdo con la tasa que, para el efecto, determine cada dos (2) años el Ministerio de Comercio, Industria y Turismo</w:t>
      </w:r>
      <w:r w:rsidRPr="00242856">
        <w:rPr>
          <w:rFonts w:ascii="Verdana" w:eastAsia="Arial" w:hAnsi="Verdana"/>
          <w:color w:val="000000"/>
          <w:vertAlign w:val="superscript"/>
          <w:lang w:eastAsia="es-ES_tradnl"/>
        </w:rPr>
        <w:footnoteReference w:id="4"/>
      </w:r>
      <w:r w:rsidRPr="00242856">
        <w:rPr>
          <w:rFonts w:ascii="Verdana" w:eastAsia="Arial" w:hAnsi="Verdana" w:cs="Arial"/>
          <w:color w:val="000000"/>
          <w:lang w:eastAsia="es-ES_tradnl"/>
        </w:rPr>
        <w:t xml:space="preserve">. </w:t>
      </w:r>
    </w:p>
    <w:p w14:paraId="6FE85CB7" w14:textId="77777777" w:rsidR="009B14D2" w:rsidRPr="00242856" w:rsidRDefault="009B14D2" w:rsidP="009B14D2">
      <w:pPr>
        <w:pStyle w:val="Prrafodelista"/>
        <w:spacing w:line="276" w:lineRule="auto"/>
        <w:rPr>
          <w:rFonts w:ascii="Verdana" w:eastAsia="Arial" w:hAnsi="Verdana" w:cs="Arial"/>
          <w:color w:val="000000"/>
          <w:lang w:eastAsia="es-ES_tradnl"/>
        </w:rPr>
      </w:pPr>
    </w:p>
    <w:p w14:paraId="4039DE01" w14:textId="77777777" w:rsidR="009B14D2" w:rsidRPr="00242856" w:rsidRDefault="009B14D2" w:rsidP="009B14D2">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eastAsia="Arial" w:hAnsi="Verdana" w:cs="Arial"/>
          <w:color w:val="000000"/>
          <w:lang w:eastAsia="es-ES_tradnl"/>
        </w:rPr>
        <w:lastRenderedPageBreak/>
        <w:t xml:space="preserve">Por su parte, el numeral segundo, establece dos exigencias: por un lado, que al menos dos (2) Mipyme colombianas presenten a la entidad la solicitud de limitar el proceso contractual y, por el otro, que hagan la solicitud por lo menos un día (1) hábil antes de la expedición del acto administrativo de apertura </w:t>
      </w:r>
      <w:r w:rsidRPr="00242856">
        <w:rPr>
          <w:rFonts w:ascii="Verdana" w:eastAsia="Arial" w:hAnsi="Verdana" w:cs="Arial"/>
          <w:color w:val="000000"/>
          <w:lang w:val="es-ES_tradnl" w:eastAsia="es-ES_tradnl"/>
        </w:rPr>
        <w:t>o el que haga sus veces de acuerdo con la normativa aplicable a cada proceso de contratación</w:t>
      </w:r>
      <w:r w:rsidRPr="00242856">
        <w:rPr>
          <w:rFonts w:ascii="Verdana" w:eastAsia="Arial" w:hAnsi="Verdana" w:cs="Arial"/>
          <w:color w:val="000000"/>
          <w:lang w:eastAsia="es-ES_tradnl"/>
        </w:rPr>
        <w:t xml:space="preserve">. Además, la norma señala que, </w:t>
      </w:r>
      <w:r w:rsidRPr="00242856">
        <w:rPr>
          <w:rFonts w:ascii="Verdana" w:eastAsia="Arial" w:hAnsi="Verdana" w:cs="Arial"/>
          <w:color w:val="000000"/>
          <w:lang w:val="es-ES_tradnl" w:eastAsia="es-ES_tradnl"/>
        </w:rPr>
        <w:t xml:space="preserve">tratándose de personas jurídicas, las solicitudes sólo las podrán realizar las Mipymes, cuyo objeto social les permita ejecutar el contrato relacionado con el proceso contractual. Asimismo, este artículo incluye a las cooperativas y demás entidades de economía solidaria dentro de los sujetos que pueden solicitar y participar en las convocatorias limitadas a Mipymes, siempre que estas cumplan con las condiciones señaladas en el artículo. </w:t>
      </w:r>
    </w:p>
    <w:p w14:paraId="07069A38" w14:textId="77777777" w:rsidR="009B14D2" w:rsidRPr="00242856" w:rsidRDefault="009B14D2" w:rsidP="009B14D2">
      <w:pPr>
        <w:pStyle w:val="Prrafodelista"/>
        <w:rPr>
          <w:rFonts w:ascii="Verdana" w:eastAsia="Arial" w:hAnsi="Verdana" w:cs="Arial"/>
          <w:color w:val="000000"/>
          <w:highlight w:val="cyan"/>
          <w:lang w:val="es-ES_tradnl" w:eastAsia="es-ES_tradnl"/>
        </w:rPr>
      </w:pPr>
    </w:p>
    <w:p w14:paraId="2356FF42" w14:textId="77777777" w:rsidR="009B14D2" w:rsidRPr="00242856" w:rsidRDefault="009B14D2" w:rsidP="009B14D2">
      <w:pPr>
        <w:pStyle w:val="Prrafodelista"/>
        <w:spacing w:after="0" w:line="276" w:lineRule="auto"/>
        <w:jc w:val="both"/>
        <w:rPr>
          <w:rFonts w:ascii="Verdana" w:eastAsia="Century Gothic" w:hAnsi="Verdana" w:cs="Arial"/>
          <w:color w:val="000000" w:themeColor="text1"/>
        </w:rPr>
      </w:pPr>
    </w:p>
    <w:p w14:paraId="5B8B4132" w14:textId="77777777" w:rsidR="009B14D2" w:rsidRPr="00242856" w:rsidRDefault="009B14D2" w:rsidP="009B14D2">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eastAsia="Arial" w:hAnsi="Verdana" w:cs="Arial"/>
          <w:color w:val="000000"/>
          <w:lang w:eastAsia="es-ES"/>
        </w:rPr>
        <w:t xml:space="preserve">Ahora bien, en caso de que una Mipyme se encuentre interesada en solicitar la limitación de la convocatoria, deberá junto con su respectiva solicitud, las cual podrá presentar a la entidad por lo menos un (1) día hábil antes de la expedición del acto administrativo de apertura del proceso de contratación, acreditar: </w:t>
      </w:r>
      <w:r w:rsidRPr="00242856">
        <w:rPr>
          <w:rFonts w:ascii="Verdana" w:eastAsia="Arial" w:hAnsi="Verdana" w:cs="Arial"/>
          <w:i/>
          <w:iCs/>
          <w:color w:val="000000"/>
          <w:lang w:eastAsia="es-ES"/>
        </w:rPr>
        <w:t xml:space="preserve">i) </w:t>
      </w:r>
      <w:r w:rsidRPr="00242856">
        <w:rPr>
          <w:rFonts w:ascii="Verdana" w:eastAsia="Arial" w:hAnsi="Verdana" w:cs="Arial"/>
          <w:color w:val="000000"/>
          <w:lang w:eastAsia="es-ES"/>
        </w:rPr>
        <w:t>que tiene el tamaño empresarial establecido por la ley para ser considerada Mipyme</w:t>
      </w:r>
      <w:r w:rsidRPr="00242856">
        <w:rPr>
          <w:rFonts w:ascii="Verdana" w:eastAsia="Arial" w:hAnsi="Verdana" w:cs="Arial"/>
          <w:i/>
          <w:iCs/>
          <w:color w:val="000000"/>
          <w:lang w:eastAsia="es-ES"/>
        </w:rPr>
        <w:t xml:space="preserve">, ii) </w:t>
      </w:r>
      <w:r w:rsidRPr="00242856">
        <w:rPr>
          <w:rFonts w:ascii="Verdana" w:eastAsia="Arial" w:hAnsi="Verdana" w:cs="Arial"/>
          <w:color w:val="000000"/>
          <w:lang w:eastAsia="es-ES"/>
        </w:rPr>
        <w:t>que cuenta mínimo, con un (1) año de existencia y, en caso de que se trate una persona jurídica</w:t>
      </w:r>
      <w:r w:rsidRPr="00242856">
        <w:rPr>
          <w:rFonts w:ascii="Verdana" w:eastAsia="Arial" w:hAnsi="Verdana" w:cs="Arial"/>
          <w:i/>
          <w:iCs/>
          <w:color w:val="000000"/>
          <w:lang w:eastAsia="es-ES"/>
        </w:rPr>
        <w:t xml:space="preserve">, iii) </w:t>
      </w:r>
      <w:r w:rsidRPr="00242856">
        <w:rPr>
          <w:rFonts w:ascii="Verdana" w:eastAsia="Arial" w:hAnsi="Verdana" w:cs="Arial"/>
          <w:color w:val="000000"/>
          <w:lang w:eastAsia="es-ES"/>
        </w:rPr>
        <w:t>que su objeto social le permite ejecutar el contrato relacionado con el proceso contractual. Información esta, que verificará la Entidad Estatal que adelanta el respectivo proceso de contratación, para así determinar si procede o no a efectuar la limitación de la convocaría. Sin embargo, debe aclararse, que las entidades en el marco del principio de autonomía están facultadas para establecer en el pliego de condiciones, las reglas a través de las cuales se acreditarán dichas situaciones, esto, bajo la observación de lo señalado en el artículo 2.2.1.2.4.2.4 del Decreto 1082 de 2015, modificado por el artículo 5 del Decreto 1860 de 2021.</w:t>
      </w:r>
    </w:p>
    <w:p w14:paraId="0850FA2D" w14:textId="77777777" w:rsidR="009B14D2" w:rsidRPr="00242856" w:rsidRDefault="009B14D2" w:rsidP="009B14D2">
      <w:pPr>
        <w:pStyle w:val="Prrafodelista"/>
        <w:spacing w:after="0" w:line="276" w:lineRule="auto"/>
        <w:jc w:val="both"/>
        <w:rPr>
          <w:rFonts w:ascii="Verdana" w:eastAsia="Century Gothic" w:hAnsi="Verdana" w:cs="Arial"/>
          <w:color w:val="000000" w:themeColor="text1"/>
        </w:rPr>
      </w:pPr>
    </w:p>
    <w:p w14:paraId="259A501D" w14:textId="77777777" w:rsidR="009B14D2" w:rsidRPr="00242856" w:rsidRDefault="009B14D2" w:rsidP="009B14D2">
      <w:pPr>
        <w:pStyle w:val="Prrafodelista"/>
        <w:rPr>
          <w:rFonts w:ascii="Verdana" w:hAnsi="Verdana" w:cs="Arial"/>
          <w:lang w:eastAsia="es-ES"/>
        </w:rPr>
      </w:pPr>
    </w:p>
    <w:p w14:paraId="2C00321E" w14:textId="77777777" w:rsidR="009B14D2" w:rsidRPr="00242856" w:rsidRDefault="009B14D2" w:rsidP="009B14D2">
      <w:pPr>
        <w:pStyle w:val="Prrafodelista"/>
        <w:numPr>
          <w:ilvl w:val="0"/>
          <w:numId w:val="19"/>
        </w:numPr>
        <w:spacing w:after="0" w:line="276" w:lineRule="auto"/>
        <w:jc w:val="both"/>
        <w:rPr>
          <w:rFonts w:ascii="Verdana" w:eastAsia="Century Gothic" w:hAnsi="Verdana" w:cs="Arial"/>
          <w:color w:val="000000" w:themeColor="text1"/>
        </w:rPr>
      </w:pPr>
      <w:r>
        <w:rPr>
          <w:rFonts w:ascii="Verdana" w:eastAsia="Century Gothic" w:hAnsi="Verdana" w:cs="Arial"/>
          <w:color w:val="000000" w:themeColor="text1"/>
        </w:rPr>
        <w:t xml:space="preserve">Ahora bien, </w:t>
      </w:r>
      <w:r w:rsidRPr="00242856">
        <w:rPr>
          <w:rFonts w:ascii="Verdana" w:eastAsia="Century Gothic" w:hAnsi="Verdana" w:cs="Arial"/>
          <w:color w:val="000000" w:themeColor="text1"/>
        </w:rPr>
        <w:t xml:space="preserve"> el artículo 6 del Decreto 142 de 2023, adiciona el 2.2.1.2.4.2.19. a la Subsección 2 de la Sección 4 del Capítulo 2 del Título 1 de la Parte 2 del Libro 2 del Decreto número 1082 de 2015, y establece </w:t>
      </w:r>
      <w:r w:rsidRPr="00242856">
        <w:rPr>
          <w:rFonts w:ascii="Verdana" w:hAnsi="Verdana" w:cs="Arial"/>
          <w:lang w:eastAsia="es-ES"/>
        </w:rPr>
        <w:t xml:space="preserve">los criterios que pueden tener las entidades públicas para dividir los </w:t>
      </w:r>
      <w:r w:rsidRPr="00242856">
        <w:rPr>
          <w:rFonts w:ascii="Verdana" w:hAnsi="Verdana" w:cs="Arial"/>
          <w:lang w:eastAsia="es-ES"/>
        </w:rPr>
        <w:lastRenderedPageBreak/>
        <w:t>procesos por lotes o segmentos como lo son:  i) el tipo de entregable; ii) el valor del contrato; (iii) el ámbito geográfico de la entrega. Estos criterios se disponen, con el fin de facilitar la participación de las MiPymes en los procesos de contratación. Asimismo, la norma señala que, para dar cumplimiento a lo indicado, las Entidades Estatales deberán tener en cuenta el análisis del sector económico y de los oferentes en los términos establecidos en el artículo 2.2.1.1.1.6.1. del Decreto 1082 de 2015.</w:t>
      </w:r>
    </w:p>
    <w:p w14:paraId="1E8F6A9D" w14:textId="77777777" w:rsidR="009B14D2" w:rsidRPr="00242856" w:rsidRDefault="009B14D2" w:rsidP="009B14D2">
      <w:pPr>
        <w:pStyle w:val="Prrafodelista"/>
        <w:rPr>
          <w:rFonts w:ascii="Verdana" w:hAnsi="Verdana" w:cs="Arial"/>
        </w:rPr>
      </w:pPr>
    </w:p>
    <w:p w14:paraId="7EF9C7F9" w14:textId="77777777" w:rsidR="009B14D2" w:rsidRPr="00242856" w:rsidRDefault="009B14D2" w:rsidP="009B14D2">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hAnsi="Verdana" w:cs="Arial"/>
        </w:rPr>
        <w:t xml:space="preserve">Por su parte, el cuarto inciso de la disposición, habilita a las entidades públicas para que incluyan en los pliegos de condiciones mecanismos y reglas que limiten el número de lotes que pueden ser adjudicados a un mismo oferente. En relación con este aspecto, la Agencia Nacional de Contratación Pública – Colombia Compra Eficiente considera que, la norma no determina los </w:t>
      </w:r>
      <w:r w:rsidRPr="00242856">
        <w:rPr>
          <w:rFonts w:ascii="Verdana" w:hAnsi="Verdana" w:cs="Arial"/>
          <w:i/>
          <w:iCs/>
        </w:rPr>
        <w:t>mecanismos y reglas</w:t>
      </w:r>
      <w:r w:rsidRPr="00242856">
        <w:rPr>
          <w:rFonts w:ascii="Verdana" w:hAnsi="Verdana" w:cs="Arial"/>
        </w:rPr>
        <w:t xml:space="preserve"> que pueden establecer las entidades para limitar el número de lotes a adjudicarse a un mismo oferente, así las cosas, la Entidad Estatal, podrá limitar el número de lotes de los que puede resultar adjudicatario un mismo proponente, considerando los lotes o segmentos de los distintos procesos de selección que se encuentre adelantando. Esto, “con la finalidad de evitar que se concentre la contratación” en un solo oferente, y siempre y cuando esta restricción se realice sobre la base de criterios objetivos y no discriminatorios.</w:t>
      </w:r>
    </w:p>
    <w:p w14:paraId="4F798B79" w14:textId="77777777" w:rsidR="009B14D2" w:rsidRPr="00242856" w:rsidRDefault="009B14D2" w:rsidP="009B14D2">
      <w:pPr>
        <w:pStyle w:val="Prrafodelista"/>
        <w:rPr>
          <w:rFonts w:ascii="Verdana" w:eastAsia="Times New Roman" w:hAnsi="Verdana" w:cs="Arial"/>
          <w:color w:val="000000"/>
          <w:lang w:eastAsia="es-CO"/>
        </w:rPr>
      </w:pPr>
    </w:p>
    <w:p w14:paraId="04E89014" w14:textId="77777777" w:rsidR="009B14D2" w:rsidRPr="00242856" w:rsidRDefault="009B14D2" w:rsidP="009B14D2">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eastAsia="Times New Roman" w:hAnsi="Verdana" w:cs="Arial"/>
          <w:color w:val="000000"/>
          <w:lang w:eastAsia="es-CO"/>
        </w:rPr>
        <w:t xml:space="preserve">Bajo este contexto, le corresponde a la Entidad Estatal en ejercicio de su autonomía y discrecionalidad que le confiere el artículo 2.2.1.2.4.2.19 del Decreto 1082 de 2015 −adicionado por el artículo 6 del Decreto 142 de 2023−, determinar en los pliegos de condiciones para los procesos estructurados por lotes o segmentos, si un proponente puede resultar adjudicatario en uno o varios de los lotes o segmentos en los que se dividen los distinto procesos de contratación que se encuentra adelantando. Como quiera que la Entidad Estatal puede limitar los lotes a un número determinado, podrá establecer causales de rechazo para evitar que se concentre la contratación en un único proponente. </w:t>
      </w:r>
    </w:p>
    <w:p w14:paraId="68EC110D" w14:textId="77777777" w:rsidR="009B14D2" w:rsidRPr="00242856" w:rsidRDefault="009B14D2" w:rsidP="009B14D2">
      <w:pPr>
        <w:pStyle w:val="Prrafodelista"/>
        <w:rPr>
          <w:rFonts w:ascii="Verdana" w:hAnsi="Verdana" w:cs="Arial"/>
        </w:rPr>
      </w:pPr>
    </w:p>
    <w:p w14:paraId="43570BFF" w14:textId="77777777" w:rsidR="009B14D2" w:rsidRPr="00242856" w:rsidRDefault="009B14D2" w:rsidP="009B14D2">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hAnsi="Verdana" w:cs="Arial"/>
        </w:rPr>
        <w:t xml:space="preserve">Además, el inciso en comento establece que, la decisión de la entidad </w:t>
      </w:r>
      <w:r w:rsidRPr="00242856">
        <w:rPr>
          <w:rFonts w:ascii="Verdana" w:eastAsia="Times New Roman" w:hAnsi="Verdana" w:cs="Arial"/>
          <w:color w:val="000000"/>
          <w:lang w:eastAsia="es-CO"/>
        </w:rPr>
        <w:t xml:space="preserve">de no adjudicar un contrato puede obedecer −entre otras razones− a que: i) mediante este mecanismo se pueda restringir la competencia o ii) que la </w:t>
      </w:r>
      <w:r w:rsidRPr="00242856">
        <w:rPr>
          <w:rFonts w:ascii="Verdana" w:eastAsia="Times New Roman" w:hAnsi="Verdana" w:cs="Arial"/>
          <w:color w:val="000000"/>
          <w:lang w:eastAsia="es-CO"/>
        </w:rPr>
        <w:lastRenderedPageBreak/>
        <w:t xml:space="preserve">segmentación del mercado pueda conducir a que la ejecución del contrato sea imposible desde el punto de vista técnico o económico. </w:t>
      </w:r>
    </w:p>
    <w:p w14:paraId="7D73FB2B" w14:textId="77777777" w:rsidR="009B14D2" w:rsidRPr="00242856" w:rsidRDefault="009B14D2" w:rsidP="009B14D2">
      <w:pPr>
        <w:pStyle w:val="Prrafodelista"/>
        <w:rPr>
          <w:rFonts w:ascii="Verdana" w:eastAsia="Century Gothic" w:hAnsi="Verdana" w:cs="Arial"/>
          <w:color w:val="000000" w:themeColor="text1"/>
          <w:lang w:val="es-ES_tradnl"/>
        </w:rPr>
      </w:pPr>
    </w:p>
    <w:p w14:paraId="6577900A" w14:textId="77777777" w:rsidR="009B14D2" w:rsidRPr="00242856" w:rsidRDefault="009B14D2" w:rsidP="009B14D2">
      <w:pPr>
        <w:pStyle w:val="Prrafodelista"/>
        <w:numPr>
          <w:ilvl w:val="0"/>
          <w:numId w:val="19"/>
        </w:numPr>
        <w:spacing w:after="0" w:line="276" w:lineRule="auto"/>
        <w:jc w:val="both"/>
        <w:rPr>
          <w:rFonts w:ascii="Verdana" w:eastAsia="Century Gothic" w:hAnsi="Verdana" w:cs="Arial"/>
          <w:color w:val="000000" w:themeColor="text1"/>
        </w:rPr>
      </w:pPr>
      <w:r w:rsidRPr="00242856">
        <w:rPr>
          <w:rFonts w:ascii="Verdana" w:eastAsia="Century Gothic" w:hAnsi="Verdana" w:cs="Arial"/>
          <w:color w:val="000000" w:themeColor="text1"/>
          <w:lang w:val="es-ES_tradnl"/>
        </w:rPr>
        <w:t>Ahora bien, al llevar a cabo un proceso de contratación en lotes o segmentos, es importante realizar estudios previos y el respectivo análisis del sector para identificar las oportunidades y determinar qué aspectos pueden adelantarse en el proceso de contratación. Así las cosas, es esencial realizar estudios del mercado. Estos estudios incluyen la evaluación de la oferta y la demanda en el sector específico en el que se llevará a cabo la contratación. El objetivo principal es comprender la situación actual del mercado, identificar a los posibles proveedores y determinar si hay suficiente competencia para garantizar una selección justa.</w:t>
      </w:r>
    </w:p>
    <w:p w14:paraId="36DDAD5E" w14:textId="77777777" w:rsidR="009B14D2" w:rsidRPr="00242856" w:rsidRDefault="009B14D2" w:rsidP="009B14D2">
      <w:pPr>
        <w:pStyle w:val="Prrafodelista"/>
        <w:spacing w:line="276" w:lineRule="auto"/>
        <w:jc w:val="both"/>
        <w:rPr>
          <w:rFonts w:ascii="Verdana" w:hAnsi="Verdana" w:cs="Arial"/>
          <w:lang w:eastAsia="es-ES"/>
        </w:rPr>
      </w:pPr>
    </w:p>
    <w:p w14:paraId="7150D1E7" w14:textId="77777777" w:rsidR="009B14D2" w:rsidRPr="00242856" w:rsidRDefault="009B14D2" w:rsidP="009B14D2">
      <w:pPr>
        <w:pStyle w:val="Prrafodelista"/>
        <w:numPr>
          <w:ilvl w:val="0"/>
          <w:numId w:val="19"/>
        </w:numPr>
        <w:spacing w:line="276" w:lineRule="auto"/>
        <w:jc w:val="both"/>
        <w:rPr>
          <w:rFonts w:ascii="Verdana" w:hAnsi="Verdana" w:cs="Arial"/>
          <w:lang w:eastAsia="es-ES"/>
        </w:rPr>
      </w:pPr>
      <w:r w:rsidRPr="00242856">
        <w:rPr>
          <w:rFonts w:ascii="Verdana" w:hAnsi="Verdana" w:cs="Arial"/>
          <w:bCs/>
          <w:lang w:val="es-ES_tradnl" w:eastAsia="es-ES"/>
        </w:rPr>
        <w:t>De igual manera, se deben verificar los requisitos que deben cumplir los proveedores en cada lote o segmento de la contratación. Esto implica identificar los servicios o productos necesarios, establecer los plazos y las cantidades requeridas, y definir cualquier requisito adicional que pueda ser relevante.</w:t>
      </w:r>
    </w:p>
    <w:p w14:paraId="44917431" w14:textId="77777777" w:rsidR="009B14D2" w:rsidRPr="00242856" w:rsidRDefault="009B14D2" w:rsidP="009B14D2">
      <w:pPr>
        <w:pStyle w:val="Prrafodelista"/>
        <w:rPr>
          <w:rFonts w:ascii="Verdana" w:hAnsi="Verdana" w:cs="Arial"/>
          <w:bCs/>
          <w:lang w:val="es-ES_tradnl" w:eastAsia="es-ES"/>
        </w:rPr>
      </w:pPr>
    </w:p>
    <w:p w14:paraId="1B235D96" w14:textId="77777777" w:rsidR="009B14D2" w:rsidRPr="00242856" w:rsidRDefault="009B14D2" w:rsidP="009B14D2">
      <w:pPr>
        <w:pStyle w:val="Prrafodelista"/>
        <w:numPr>
          <w:ilvl w:val="0"/>
          <w:numId w:val="19"/>
        </w:numPr>
        <w:spacing w:line="276" w:lineRule="auto"/>
        <w:jc w:val="both"/>
        <w:rPr>
          <w:rFonts w:ascii="Verdana" w:hAnsi="Verdana" w:cs="Arial"/>
          <w:lang w:eastAsia="es-ES"/>
        </w:rPr>
      </w:pPr>
      <w:r w:rsidRPr="00242856">
        <w:rPr>
          <w:rFonts w:ascii="Verdana" w:hAnsi="Verdana" w:cs="Arial"/>
          <w:bCs/>
          <w:lang w:val="es-ES_tradnl" w:eastAsia="es-ES"/>
        </w:rPr>
        <w:t>Por su parte, antes de dividir el proceso de contratación en lotes o segmentos, es importante evaluar los posibles riesgos asociados. Esto implica identificar los riesgos potenciales que podrían afectar la ejecución de los contratos y desarrollar estrategias para mitigarlos. También se deben considerar los riesgos financieros, legales y operativos relacionados con cada lote o segmento. A su vez, al efectuar un análisis de viabilidad al momento de adelantar un proceso de contratación en lotes, es importante realizar un análisis de viabilidad para determinar si esta estrategia es factible y beneficiosa. Se deben considerar factores como el tamaño y la complejidad de los lotes, los recursos disponibles, la capacidad de gestión y supervisión, y la posibilidad de lograr economías de escala o sinergias entre los lotes.</w:t>
      </w:r>
    </w:p>
    <w:p w14:paraId="36C9F88B" w14:textId="77777777" w:rsidR="009B14D2" w:rsidRPr="00242856" w:rsidRDefault="009B14D2" w:rsidP="009B14D2">
      <w:pPr>
        <w:pStyle w:val="Prrafodelista"/>
        <w:rPr>
          <w:rFonts w:ascii="Verdana" w:hAnsi="Verdana" w:cs="Arial"/>
          <w:lang w:eastAsia="es-ES"/>
        </w:rPr>
      </w:pPr>
    </w:p>
    <w:p w14:paraId="7D50B70C" w14:textId="77777777" w:rsidR="009B14D2" w:rsidRPr="00242856" w:rsidRDefault="009B14D2" w:rsidP="009B14D2">
      <w:pPr>
        <w:pStyle w:val="Prrafodelista"/>
        <w:numPr>
          <w:ilvl w:val="0"/>
          <w:numId w:val="19"/>
        </w:numPr>
        <w:spacing w:line="276" w:lineRule="auto"/>
        <w:jc w:val="both"/>
        <w:rPr>
          <w:rFonts w:ascii="Verdana" w:hAnsi="Verdana" w:cs="Arial"/>
          <w:lang w:eastAsia="es-ES"/>
        </w:rPr>
      </w:pPr>
      <w:r w:rsidRPr="00242856">
        <w:rPr>
          <w:rFonts w:ascii="Verdana" w:hAnsi="Verdana" w:cs="Arial"/>
          <w:lang w:eastAsia="es-ES"/>
        </w:rPr>
        <w:t xml:space="preserve">A su vez, resulta importante efectuar el correspondiente análisis de oferta y demanda para determinar el valor del precio en un proceso de contratación en lotes y segmentos. Este enfoque permite evaluar cómo la relación entre la oferta y la demanda afecta el precio de un bien o servicio en particular, de esta manera el análisis de oferta implica examinar la </w:t>
      </w:r>
      <w:r w:rsidRPr="00242856">
        <w:rPr>
          <w:rFonts w:ascii="Verdana" w:hAnsi="Verdana" w:cs="Arial"/>
          <w:lang w:eastAsia="es-ES"/>
        </w:rPr>
        <w:lastRenderedPageBreak/>
        <w:t>cantidad de bienes o servicios disponibles en el mercado para satisfacer la demanda, esto incluye evaluar la capacidad de producción de los proveedores existentes, así como cualquier capacidad adicional que se pueda generar. Además, se consideran factores como la disponibilidad de insumos, la tecnología utilizada y las barreras de entrada para nuevos proveedores, lo que conlleva a realizar una adecuada planificación del proceso de contratación, esto implica que las entidades estatales deben identificar de manera previa y precisa las necesidades y objetivos de la contratación, así como los recursos necesarios para llevarla a cabo. La planificación debe contemplar la definición clara de los requerimientos, la estimación de costos, los plazos de ejecución, entre otros aspectos relevantes. La planeación adecuada permite maximizar los beneficios de las contrataciones y minimizar los riesgos asociados.</w:t>
      </w:r>
    </w:p>
    <w:p w14:paraId="1C8B3D4D" w14:textId="77777777" w:rsidR="009B14D2" w:rsidRPr="00242856" w:rsidRDefault="009B14D2" w:rsidP="009B14D2">
      <w:pPr>
        <w:pStyle w:val="Prrafodelista"/>
        <w:spacing w:line="276" w:lineRule="auto"/>
        <w:jc w:val="both"/>
        <w:rPr>
          <w:rFonts w:ascii="Verdana" w:hAnsi="Verdana" w:cs="Arial"/>
          <w:lang w:eastAsia="es-ES"/>
        </w:rPr>
      </w:pPr>
    </w:p>
    <w:p w14:paraId="24BB62DB" w14:textId="77777777" w:rsidR="009B14D2" w:rsidRPr="00242856" w:rsidRDefault="009B14D2" w:rsidP="009B14D2">
      <w:pPr>
        <w:pStyle w:val="Prrafodelista"/>
        <w:numPr>
          <w:ilvl w:val="0"/>
          <w:numId w:val="19"/>
        </w:numPr>
        <w:spacing w:line="276" w:lineRule="auto"/>
        <w:jc w:val="both"/>
        <w:rPr>
          <w:rFonts w:ascii="Verdana" w:hAnsi="Verdana" w:cs="Arial"/>
          <w:lang w:eastAsia="es-ES"/>
        </w:rPr>
      </w:pPr>
      <w:r w:rsidRPr="00242856">
        <w:rPr>
          <w:rFonts w:ascii="Verdana" w:hAnsi="Verdana" w:cs="Arial"/>
          <w:bCs/>
          <w:lang w:val="es-ES_tradnl" w:eastAsia="es-ES"/>
        </w:rPr>
        <w:t xml:space="preserve">En armonía con lo expuesto, y en atención al principio de selección objetiva todas las contrataciones públicas deben realizarse de manera imparcial y transparente, asegurando la igualdad de oportunidades para los participantes, por lo cual las entidades deben establecer criterios claros y transparentes para la selección del contratista, basados en méritos y capacidades técnicas. La selección debe realizarse mediante procedimientos competitivos que permitan evaluar las ofertas de manera objetiva y </w:t>
      </w:r>
      <w:r w:rsidRPr="00242856">
        <w:rPr>
          <w:rFonts w:ascii="Verdana" w:hAnsi="Verdana" w:cs="Arial"/>
          <w:lang w:eastAsia="es-ES"/>
        </w:rPr>
        <w:t>justa, evitando cualquier tipo de favoritismo o discriminación.</w:t>
      </w:r>
    </w:p>
    <w:p w14:paraId="43CC21A8" w14:textId="77777777" w:rsidR="009B14D2" w:rsidRPr="00242856" w:rsidRDefault="009B14D2" w:rsidP="009B14D2">
      <w:pPr>
        <w:pStyle w:val="Prrafodelista"/>
        <w:rPr>
          <w:rFonts w:ascii="Verdana" w:hAnsi="Verdana" w:cs="Arial"/>
        </w:rPr>
      </w:pPr>
    </w:p>
    <w:p w14:paraId="0934096B" w14:textId="77777777" w:rsidR="009B14D2" w:rsidRPr="00242856" w:rsidRDefault="009B14D2" w:rsidP="009B14D2">
      <w:pPr>
        <w:pStyle w:val="Prrafodelista"/>
        <w:numPr>
          <w:ilvl w:val="0"/>
          <w:numId w:val="19"/>
        </w:numPr>
        <w:spacing w:line="276" w:lineRule="auto"/>
        <w:jc w:val="both"/>
        <w:rPr>
          <w:rFonts w:ascii="Verdana" w:hAnsi="Verdana" w:cs="Arial"/>
          <w:lang w:eastAsia="es-ES"/>
        </w:rPr>
      </w:pPr>
      <w:r w:rsidRPr="00242856">
        <w:rPr>
          <w:rFonts w:ascii="Verdana" w:hAnsi="Verdana" w:cs="Arial"/>
        </w:rPr>
        <w:t xml:space="preserve">Por su parte, el parágrafo de la norma menciona que, en los procesos de contratación adelantados por lotes o grupos deberá aplicarse lo regulado en el artículo </w:t>
      </w:r>
      <w:r w:rsidRPr="00242856">
        <w:rPr>
          <w:rFonts w:ascii="Verdana" w:hAnsi="Verdana" w:cs="Arial"/>
          <w:color w:val="000000"/>
        </w:rPr>
        <w:t>2.2.1.2.4.2.2 “convocatorias limitadas a MiPymes” del Decreto 1082 de 2015, tomando en consideración el valor del Proceso de Contratación imputable al respectivo lote en el que se solicite su aplicación.</w:t>
      </w:r>
    </w:p>
    <w:p w14:paraId="2C5A0A1D" w14:textId="77777777" w:rsidR="009B14D2" w:rsidRPr="00242856" w:rsidRDefault="009B14D2" w:rsidP="009B14D2">
      <w:pPr>
        <w:pStyle w:val="Prrafodelista"/>
        <w:rPr>
          <w:rFonts w:ascii="Verdana" w:hAnsi="Verdana" w:cs="Arial"/>
          <w:color w:val="000000"/>
        </w:rPr>
      </w:pPr>
    </w:p>
    <w:p w14:paraId="1542D5E0" w14:textId="77777777" w:rsidR="009B14D2" w:rsidRPr="00242856" w:rsidRDefault="009B14D2" w:rsidP="009B14D2">
      <w:pPr>
        <w:pStyle w:val="Prrafodelista"/>
        <w:numPr>
          <w:ilvl w:val="0"/>
          <w:numId w:val="19"/>
        </w:numPr>
        <w:spacing w:line="276" w:lineRule="auto"/>
        <w:jc w:val="both"/>
        <w:rPr>
          <w:rFonts w:ascii="Verdana" w:hAnsi="Verdana" w:cs="Arial"/>
          <w:lang w:eastAsia="es-ES"/>
        </w:rPr>
      </w:pPr>
      <w:r w:rsidRPr="00242856">
        <w:rPr>
          <w:rFonts w:ascii="Verdana" w:hAnsi="Verdana" w:cs="Arial"/>
          <w:color w:val="000000"/>
        </w:rPr>
        <w:t xml:space="preserve">En relación con el aspecto señalado, es pertinente mencionar que, el numeral uno del artículo 2.2.1.2.4.2.2, establece como requisitos para limitar convocatorias a Mipymes que el valor del Proceso de Contratación sea menor a ciento veinticinco mil dólares de los Estados Unidos de América (US$125.000), liquidados con la tasa de cambio que para el efecto determina cada dos años el Ministerio de Comercio, Industria y Turismo. No obstante, de acuerdo con el parágrafo del </w:t>
      </w:r>
      <w:r w:rsidRPr="00242856">
        <w:rPr>
          <w:rFonts w:ascii="Verdana" w:eastAsia="Times New Roman" w:hAnsi="Verdana" w:cs="Arial"/>
          <w:color w:val="000000"/>
          <w:lang w:eastAsia="es-CO"/>
        </w:rPr>
        <w:t xml:space="preserve">artículo 2.2.1.2.4.2.19 −en comento− cuando el proceso se adelante por lotes o </w:t>
      </w:r>
      <w:r w:rsidRPr="00242856">
        <w:rPr>
          <w:rFonts w:ascii="Verdana" w:eastAsia="Times New Roman" w:hAnsi="Verdana" w:cs="Arial"/>
          <w:color w:val="000000"/>
          <w:lang w:eastAsia="es-CO"/>
        </w:rPr>
        <w:lastRenderedPageBreak/>
        <w:t xml:space="preserve">grupos, el valor de los </w:t>
      </w:r>
      <w:r w:rsidRPr="00242856">
        <w:rPr>
          <w:rFonts w:ascii="Verdana" w:hAnsi="Verdana" w:cs="Arial"/>
          <w:color w:val="000000"/>
        </w:rPr>
        <w:t xml:space="preserve">(US$125.000) debe establecerse en relación con el lote o segmento, y no respecto del valor total del proceso de contratación −que se establecería con la sumatoria de todos los lotes o segmentos−. </w:t>
      </w:r>
    </w:p>
    <w:p w14:paraId="4013B5F6" w14:textId="77777777" w:rsidR="009B14D2" w:rsidRPr="00242856" w:rsidRDefault="009B14D2" w:rsidP="009B14D2">
      <w:pPr>
        <w:pStyle w:val="Prrafodelista"/>
        <w:rPr>
          <w:rFonts w:ascii="Verdana" w:hAnsi="Verdana" w:cs="Arial"/>
        </w:rPr>
      </w:pPr>
    </w:p>
    <w:p w14:paraId="4F387210" w14:textId="77777777" w:rsidR="009B14D2" w:rsidRPr="00470257" w:rsidRDefault="009B14D2" w:rsidP="009B14D2">
      <w:pPr>
        <w:pStyle w:val="Prrafodelista"/>
        <w:numPr>
          <w:ilvl w:val="0"/>
          <w:numId w:val="19"/>
        </w:numPr>
        <w:spacing w:line="276" w:lineRule="auto"/>
        <w:jc w:val="both"/>
        <w:rPr>
          <w:rFonts w:ascii="Verdana" w:hAnsi="Verdana"/>
        </w:rPr>
      </w:pPr>
      <w:r w:rsidRPr="00242856">
        <w:rPr>
          <w:rFonts w:ascii="Verdana" w:hAnsi="Verdana" w:cs="Arial"/>
        </w:rPr>
        <w:t xml:space="preserve">, </w:t>
      </w:r>
      <w:r>
        <w:rPr>
          <w:rFonts w:ascii="Verdana" w:hAnsi="Verdana" w:cs="Arial"/>
        </w:rPr>
        <w:t>E</w:t>
      </w:r>
      <w:r w:rsidRPr="00242856">
        <w:rPr>
          <w:rFonts w:ascii="Verdana" w:hAnsi="Verdana" w:cs="Arial"/>
        </w:rPr>
        <w:t>s pertinente mencionar que, el parágrafo en comento dispone que, en los procesos adelantados por lotes o grupos, también, se aplicará lo previsto en el artículo 2.2.1.2.4.2.3.</w:t>
      </w:r>
      <w:r w:rsidRPr="00242856">
        <w:rPr>
          <w:rFonts w:ascii="Verdana" w:hAnsi="Verdana"/>
          <w:vertAlign w:val="superscript"/>
        </w:rPr>
        <w:footnoteReference w:id="5"/>
      </w:r>
      <w:r w:rsidRPr="00242856">
        <w:rPr>
          <w:rFonts w:ascii="Verdana" w:hAnsi="Verdana" w:cs="Arial"/>
        </w:rPr>
        <w:t xml:space="preserve"> del Decreto 1082 de 2015, a partir del lugar de ejecución del contrato asociado al respectivo lote o segmento. </w:t>
      </w:r>
      <w:r>
        <w:rPr>
          <w:rFonts w:ascii="Verdana" w:eastAsia="Calibri" w:hAnsi="Verdana" w:cs="Arial"/>
        </w:rPr>
        <w:t>C</w:t>
      </w:r>
      <w:r w:rsidRPr="00470257">
        <w:rPr>
          <w:rFonts w:ascii="Verdana" w:eastAsia="Calibri" w:hAnsi="Verdana" w:cs="Arial"/>
        </w:rPr>
        <w:t xml:space="preserve">onforme a lo dispuesto en </w:t>
      </w:r>
      <w:r w:rsidRPr="00470257">
        <w:rPr>
          <w:rFonts w:ascii="Verdana" w:hAnsi="Verdana" w:cs="Arial"/>
        </w:rPr>
        <w:t>el cuarto inciso d</w:t>
      </w:r>
      <w:r w:rsidRPr="00470257">
        <w:rPr>
          <w:rFonts w:ascii="Verdana" w:eastAsia="Times New Roman" w:hAnsi="Verdana" w:cs="Arial"/>
          <w:color w:val="000000"/>
          <w:lang w:eastAsia="es-CO"/>
        </w:rPr>
        <w:t>el artículo 2.2.1.2.4.2.19 del Decreto 1082 de 2015 −adicionado por el artículo 6 del Decreto 142 de 2023−,</w:t>
      </w:r>
      <w:r w:rsidRPr="00470257">
        <w:rPr>
          <w:rFonts w:ascii="Verdana" w:hAnsi="Verdana" w:cs="Arial"/>
        </w:rPr>
        <w:t xml:space="preserve"> </w:t>
      </w:r>
      <w:r>
        <w:rPr>
          <w:rFonts w:ascii="Verdana" w:hAnsi="Verdana" w:cs="Arial"/>
        </w:rPr>
        <w:t xml:space="preserve">finalmente </w:t>
      </w:r>
      <w:r w:rsidRPr="00470257">
        <w:rPr>
          <w:rFonts w:ascii="Verdana" w:hAnsi="Verdana" w:cs="Arial"/>
        </w:rPr>
        <w:t xml:space="preserve">se habilita a las entidades para que incluyan en los pliegos de condiciones mecanismos y reglas que limiten el número de lotes que pueden ser adjudicados a un mismo oferente o a varios. Sobre el particular vale la pena indicar que la norma no determina que mecanismos y reglas pueden establecer las Entidades para limitar el número de lotes a adjudicarse. Así las cosas, </w:t>
      </w:r>
      <w:r w:rsidRPr="00470257">
        <w:rPr>
          <w:rFonts w:ascii="Verdana" w:eastAsia="Century Gothic" w:hAnsi="Verdana" w:cs="Arial"/>
        </w:rPr>
        <w:t>es posible la división de un proceso de contratación en lotes o segmentos a favor de Mipymes</w:t>
      </w:r>
      <w:r w:rsidRPr="00470257">
        <w:rPr>
          <w:rFonts w:ascii="Verdana" w:hAnsi="Verdana" w:cs="Arial"/>
        </w:rPr>
        <w:t xml:space="preserve"> cuando la entidad así lo requiera. Le corresponde a la Entidad Estatal en ejercicio de su autonomía y discrecionalidad determinar en los pliegos de condiciones para los procesos estructurados por lotes o segmentos si estos podrán ser adjudicados a un solo proponente o a varios.  </w:t>
      </w:r>
    </w:p>
    <w:p w14:paraId="437CA588" w14:textId="77777777" w:rsidR="009B14D2" w:rsidRPr="00470257" w:rsidRDefault="009B14D2" w:rsidP="009B14D2">
      <w:pPr>
        <w:pStyle w:val="Prrafodelista"/>
        <w:spacing w:after="0" w:line="276" w:lineRule="auto"/>
        <w:jc w:val="both"/>
        <w:rPr>
          <w:rFonts w:ascii="Verdana" w:eastAsia="Century Gothic" w:hAnsi="Verdana" w:cs="Arial"/>
          <w:color w:val="000000" w:themeColor="text1"/>
          <w:lang w:val="es-CO"/>
        </w:rPr>
      </w:pPr>
    </w:p>
    <w:p w14:paraId="1FE72474" w14:textId="77777777" w:rsidR="009B14D2" w:rsidRPr="00242856" w:rsidRDefault="009B14D2" w:rsidP="009B14D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242856">
        <w:rPr>
          <w:rFonts w:ascii="Verdana" w:eastAsia="Century Gothic" w:hAnsi="Verdana" w:cs="Arial"/>
          <w:b/>
          <w:bCs/>
        </w:rPr>
        <w:t>Referencias normativas, jurisprudenciales y otras fuentes:</w:t>
      </w:r>
    </w:p>
    <w:p w14:paraId="016E4C03" w14:textId="77777777" w:rsidR="009B14D2" w:rsidRPr="00242856" w:rsidRDefault="009B14D2" w:rsidP="009B14D2">
      <w:pPr>
        <w:pStyle w:val="Prrafodelista"/>
        <w:tabs>
          <w:tab w:val="left" w:pos="142"/>
          <w:tab w:val="left" w:pos="284"/>
        </w:tabs>
        <w:spacing w:after="0" w:line="276" w:lineRule="auto"/>
        <w:ind w:left="0"/>
        <w:contextualSpacing w:val="0"/>
        <w:jc w:val="both"/>
        <w:rPr>
          <w:rFonts w:ascii="Verdana" w:eastAsia="Century Gothic" w:hAnsi="Verdana" w:cs="Arial"/>
          <w:b/>
          <w:bCs/>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B14D2" w:rsidRPr="00242856" w14:paraId="02983ECD" w14:textId="77777777" w:rsidTr="00F745E5">
        <w:trPr>
          <w:trHeight w:val="870"/>
        </w:trPr>
        <w:tc>
          <w:tcPr>
            <w:tcW w:w="8647" w:type="dxa"/>
          </w:tcPr>
          <w:p w14:paraId="7F66C8B5" w14:textId="77777777" w:rsidR="009B14D2" w:rsidRPr="00242856" w:rsidRDefault="009B14D2" w:rsidP="00F745E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42856">
              <w:rPr>
                <w:rFonts w:ascii="Verdana" w:hAnsi="Verdana" w:cs="Arial"/>
              </w:rPr>
              <w:t>Ley 2069 de 2020, Artículo 34.</w:t>
            </w:r>
          </w:p>
          <w:p w14:paraId="252EBBBF" w14:textId="77777777" w:rsidR="009B14D2" w:rsidRPr="00242856" w:rsidRDefault="009B14D2" w:rsidP="00F745E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42856">
              <w:rPr>
                <w:rFonts w:ascii="Verdana" w:eastAsia="Arial" w:hAnsi="Verdana" w:cs="Arial"/>
                <w:color w:val="000000"/>
                <w:lang w:eastAsia="es-ES"/>
              </w:rPr>
              <w:t>Decreto 1860 de 2021, Artículo 5.</w:t>
            </w:r>
          </w:p>
          <w:p w14:paraId="0CE5544C" w14:textId="77777777" w:rsidR="009B14D2" w:rsidRPr="00242856" w:rsidRDefault="009B14D2" w:rsidP="00F745E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42856">
              <w:rPr>
                <w:rFonts w:ascii="Verdana" w:hAnsi="Verdana" w:cs="Arial"/>
              </w:rPr>
              <w:t xml:space="preserve">Decreto 1082 de 2015, Artículos 2.2.1.2.4.2.2, 2.2.1.2.4.2.3, 2.2.1.2.4.2.4, </w:t>
            </w:r>
            <w:r w:rsidRPr="00242856">
              <w:rPr>
                <w:rFonts w:ascii="Verdana" w:eastAsia="Century Gothic" w:hAnsi="Verdana" w:cs="Arial"/>
                <w:color w:val="000000" w:themeColor="text1"/>
              </w:rPr>
              <w:t>2.2.1.1.1.4.1, 2.2.1.2.4.2.19</w:t>
            </w:r>
          </w:p>
          <w:p w14:paraId="54DFAD24" w14:textId="77777777" w:rsidR="009B14D2" w:rsidRPr="00242856" w:rsidRDefault="009B14D2" w:rsidP="00F745E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42856">
              <w:rPr>
                <w:rFonts w:ascii="Verdana" w:eastAsia="Century Gothic" w:hAnsi="Verdana" w:cs="Arial"/>
              </w:rPr>
              <w:t>Decreto 142 de 2023, Artículo 6.</w:t>
            </w:r>
            <w:r w:rsidRPr="00242856">
              <w:rPr>
                <w:rFonts w:ascii="Verdana" w:hAnsi="Verdana" w:cs="Arial"/>
                <w:highlight w:val="cyan"/>
              </w:rPr>
              <w:t xml:space="preserve"> </w:t>
            </w:r>
          </w:p>
          <w:p w14:paraId="24022D80" w14:textId="77777777" w:rsidR="009B14D2" w:rsidRPr="00242856" w:rsidRDefault="009B14D2" w:rsidP="00F745E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42856">
              <w:rPr>
                <w:rFonts w:ascii="Verdana" w:hAnsi="Verdana" w:cs="Arial"/>
              </w:rPr>
              <w:t xml:space="preserve">Guía para promover la participación de las MiPymes en los procesos </w:t>
            </w:r>
            <w:r w:rsidRPr="00242856">
              <w:rPr>
                <w:rFonts w:ascii="Verdana" w:hAnsi="Verdana" w:cs="Arial"/>
              </w:rPr>
              <w:lastRenderedPageBreak/>
              <w:t xml:space="preserve">de compra y contratación pública. Disponible en: </w:t>
            </w:r>
            <w:hyperlink r:id="rId12" w:history="1">
              <w:r w:rsidRPr="00242856">
                <w:rPr>
                  <w:rStyle w:val="Hipervnculo"/>
                  <w:rFonts w:ascii="Verdana" w:hAnsi="Verdana" w:cs="Arial"/>
                </w:rPr>
                <w:t>https://colombiacompra.gov.co/sites/cce_public/files/cce_documents/guia_para_promover_la_participacion_de_las_mipymes_en_los_procesos_de_compra_publica_cce-gad-gi-26_1.pdf</w:t>
              </w:r>
            </w:hyperlink>
            <w:r w:rsidRPr="00242856">
              <w:rPr>
                <w:rFonts w:ascii="Verdana" w:hAnsi="Verdana" w:cs="Arial"/>
              </w:rPr>
              <w:t xml:space="preserve"> </w:t>
            </w:r>
          </w:p>
        </w:tc>
      </w:tr>
    </w:tbl>
    <w:p w14:paraId="25ADF3E6" w14:textId="77777777" w:rsidR="009B14D2" w:rsidRPr="00242856" w:rsidRDefault="009B14D2" w:rsidP="009B14D2">
      <w:pPr>
        <w:widowControl w:val="0"/>
        <w:autoSpaceDE w:val="0"/>
        <w:autoSpaceDN w:val="0"/>
        <w:spacing w:after="0" w:line="276" w:lineRule="auto"/>
        <w:jc w:val="both"/>
        <w:rPr>
          <w:rFonts w:ascii="Verdana" w:hAnsi="Verdana" w:cs="Arial"/>
        </w:rPr>
      </w:pPr>
    </w:p>
    <w:p w14:paraId="1D728597" w14:textId="77777777" w:rsidR="009B14D2" w:rsidRPr="00242856" w:rsidRDefault="009B14D2" w:rsidP="009B14D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242856">
        <w:rPr>
          <w:rFonts w:ascii="Verdana" w:eastAsia="Century Gothic" w:hAnsi="Verdana" w:cs="Arial"/>
          <w:b/>
          <w:bCs/>
        </w:rPr>
        <w:t>Doctrina de la Agencia Nacional de Contratación Pública:</w:t>
      </w:r>
    </w:p>
    <w:p w14:paraId="4D7BC3D4" w14:textId="77777777" w:rsidR="009B14D2" w:rsidRPr="00242856" w:rsidRDefault="009B14D2" w:rsidP="009B14D2">
      <w:pPr>
        <w:widowControl w:val="0"/>
        <w:autoSpaceDE w:val="0"/>
        <w:autoSpaceDN w:val="0"/>
        <w:spacing w:after="0" w:line="276" w:lineRule="auto"/>
        <w:jc w:val="both"/>
        <w:rPr>
          <w:rFonts w:ascii="Verdana" w:hAnsi="Verdana" w:cs="Arial"/>
        </w:rPr>
      </w:pPr>
    </w:p>
    <w:p w14:paraId="20146AEB" w14:textId="77777777" w:rsidR="009B14D2" w:rsidRPr="00242856" w:rsidRDefault="009B14D2" w:rsidP="009B14D2">
      <w:pPr>
        <w:widowControl w:val="0"/>
        <w:autoSpaceDE w:val="0"/>
        <w:autoSpaceDN w:val="0"/>
        <w:spacing w:after="0" w:line="276" w:lineRule="auto"/>
        <w:jc w:val="both"/>
        <w:rPr>
          <w:rFonts w:ascii="Verdana" w:hAnsi="Verdana" w:cs="Arial"/>
          <w:lang w:val="es-ES"/>
        </w:rPr>
      </w:pPr>
      <w:r w:rsidRPr="00242856">
        <w:rPr>
          <w:rFonts w:ascii="Verdana" w:hAnsi="Verdana" w:cs="Arial"/>
          <w:lang w:val="es-ES"/>
        </w:rPr>
        <w:t xml:space="preserve">Sobre la promoción de la división del proceso de contratación en lotes o segmentos esta subdirección se ha pronunciado en los conceptos Nro. </w:t>
      </w:r>
      <w:r w:rsidRPr="00242856">
        <w:rPr>
          <w:rFonts w:ascii="Verdana" w:eastAsia="Calibri" w:hAnsi="Verdana" w:cs="Arial"/>
          <w:color w:val="000000"/>
        </w:rPr>
        <w:t>C</w:t>
      </w:r>
      <w:r w:rsidRPr="00242856">
        <w:rPr>
          <w:rFonts w:ascii="Verdana" w:eastAsia="Calibri" w:hAnsi="Verdana" w:cs="Arial"/>
          <w:bCs/>
          <w:color w:val="000000" w:themeColor="text1"/>
          <w:lang w:val="es-ES_tradnl"/>
        </w:rPr>
        <w:t>-670 del 19 de octubre de 2022, C-951 del 18 de enero de 2022, C-598 del 22 de septiembre de 2022, C-670 del 19 de octubre de 2022, C-113 del 12 de mayo de 2023, C-194 del 18 de mayo de 2023, C-064 del 5 de junio de 2023, C-084 del 30 de mayo del 2024 y C-221 del 08 de agosto del 2024</w:t>
      </w:r>
      <w:r w:rsidRPr="00242856">
        <w:rPr>
          <w:rFonts w:ascii="Verdana" w:hAnsi="Verdana" w:cs="Arial"/>
        </w:rPr>
        <w:t xml:space="preserve">. </w:t>
      </w:r>
      <w:r w:rsidRPr="00242856">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Pr="00242856">
          <w:rPr>
            <w:rStyle w:val="Hipervnculo"/>
            <w:rFonts w:ascii="Verdana" w:hAnsi="Verdana" w:cs="Arial"/>
            <w:shd w:val="clear" w:color="auto" w:fill="FFFFFF"/>
          </w:rPr>
          <w:t>https://relatoria.colombiacompra.gov.co/</w:t>
        </w:r>
      </w:hyperlink>
      <w:r w:rsidRPr="00242856">
        <w:rPr>
          <w:rFonts w:ascii="Verdana" w:hAnsi="Verdana" w:cs="Arial"/>
          <w:shd w:val="clear" w:color="auto" w:fill="FFFFFF"/>
        </w:rPr>
        <w:t xml:space="preserve">. </w:t>
      </w:r>
    </w:p>
    <w:p w14:paraId="4A56771D" w14:textId="77777777" w:rsidR="009B14D2" w:rsidRPr="00242856" w:rsidRDefault="009B14D2" w:rsidP="009B14D2">
      <w:pPr>
        <w:widowControl w:val="0"/>
        <w:autoSpaceDE w:val="0"/>
        <w:autoSpaceDN w:val="0"/>
        <w:spacing w:after="0" w:line="276" w:lineRule="auto"/>
        <w:jc w:val="both"/>
        <w:rPr>
          <w:rFonts w:ascii="Verdana" w:hAnsi="Verdana" w:cs="Arial"/>
          <w:shd w:val="clear" w:color="auto" w:fill="FFFFFF"/>
        </w:rPr>
      </w:pPr>
    </w:p>
    <w:p w14:paraId="722460C9" w14:textId="77777777" w:rsidR="009B14D2" w:rsidRPr="00E92C46" w:rsidRDefault="009B14D2" w:rsidP="009B14D2">
      <w:pPr>
        <w:widowControl w:val="0"/>
        <w:autoSpaceDE w:val="0"/>
        <w:autoSpaceDN w:val="0"/>
        <w:spacing w:after="0" w:line="276" w:lineRule="auto"/>
        <w:jc w:val="both"/>
        <w:rPr>
          <w:rFonts w:ascii="Verdana" w:eastAsia="Calibri" w:hAnsi="Verdana" w:cs="Arial"/>
          <w:shd w:val="clear" w:color="auto" w:fill="FFFFFF"/>
          <w:lang w:val="es-ES"/>
        </w:rPr>
      </w:pPr>
      <w:r w:rsidRPr="00E92C46">
        <w:rPr>
          <w:rFonts w:ascii="Verdana" w:hAnsi="Verdana" w:cs="Arial"/>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14" w:tgtFrame="_blank" w:tooltip="Dirección URL original: https://www.colombiacompra.gov.co/sala-de-prensa/boletin-digital. Haga clic o pulse si confía en este vínculo." w:history="1">
        <w:r w:rsidRPr="00E92C46">
          <w:rPr>
            <w:rStyle w:val="Hipervnculo"/>
            <w:rFonts w:ascii="Verdana" w:hAnsi="Verdana" w:cs="Arial"/>
            <w:shd w:val="clear" w:color="auto" w:fill="FFFFFF"/>
          </w:rPr>
          <w:t>https://www.colombiacompra.gov.co/sala-de-prensa/boletin-digital</w:t>
        </w:r>
      </w:hyperlink>
      <w:r w:rsidRPr="00E92C46">
        <w:rPr>
          <w:rFonts w:ascii="Verdana" w:hAnsi="Verdana" w:cs="Arial"/>
          <w:shd w:val="clear" w:color="auto" w:fill="FFFFFF"/>
        </w:rPr>
        <w:t>    </w:t>
      </w:r>
    </w:p>
    <w:p w14:paraId="78A1E345" w14:textId="77777777" w:rsidR="009B14D2" w:rsidRPr="00E92C46" w:rsidRDefault="009B14D2" w:rsidP="009B14D2">
      <w:pPr>
        <w:spacing w:after="0" w:line="240" w:lineRule="auto"/>
        <w:jc w:val="both"/>
        <w:rPr>
          <w:rFonts w:ascii="Verdana" w:eastAsia="Calibri" w:hAnsi="Verdana" w:cs="Times New Roman"/>
        </w:rPr>
      </w:pPr>
      <w:r w:rsidRPr="00E92C46">
        <w:rPr>
          <w:rFonts w:ascii="Verdana" w:eastAsia="Calibri" w:hAnsi="Verdana" w:cs="Times New Roman"/>
        </w:rPr>
        <w:t xml:space="preserve">Por último, los invitamos a seguirnos en las redes sociales, en las cuales se difunde información institucional: </w:t>
      </w:r>
    </w:p>
    <w:p w14:paraId="7598CFC4" w14:textId="77777777" w:rsidR="009B14D2" w:rsidRPr="00E92C46" w:rsidRDefault="009B14D2" w:rsidP="009B14D2">
      <w:pPr>
        <w:spacing w:after="0" w:line="240" w:lineRule="auto"/>
        <w:jc w:val="both"/>
        <w:rPr>
          <w:rFonts w:ascii="Verdana" w:eastAsia="Calibri" w:hAnsi="Verdana" w:cs="Times New Roman"/>
        </w:rPr>
      </w:pPr>
    </w:p>
    <w:p w14:paraId="02677C3B" w14:textId="77777777" w:rsidR="009B14D2" w:rsidRPr="00E92C46" w:rsidRDefault="009B14D2" w:rsidP="009B14D2">
      <w:pPr>
        <w:spacing w:after="0" w:line="240" w:lineRule="auto"/>
        <w:jc w:val="both"/>
        <w:rPr>
          <w:rFonts w:ascii="Verdana" w:eastAsia="Calibri" w:hAnsi="Verdana" w:cs="Times New Roman"/>
        </w:rPr>
      </w:pPr>
      <w:r w:rsidRPr="00E92C46">
        <w:rPr>
          <w:rFonts w:ascii="Verdana" w:eastAsia="Calibri" w:hAnsi="Verdana" w:cs="Times New Roman"/>
        </w:rPr>
        <w:t xml:space="preserve">Twitter: </w:t>
      </w:r>
      <w:r w:rsidRPr="00E92C46">
        <w:rPr>
          <w:rFonts w:ascii="Verdana" w:eastAsia="Calibri" w:hAnsi="Verdana" w:cs="Times New Roman"/>
          <w:u w:val="single"/>
        </w:rPr>
        <w:t>@colombiacompra</w:t>
      </w:r>
      <w:r w:rsidRPr="00E92C46">
        <w:rPr>
          <w:rFonts w:ascii="Verdana" w:eastAsia="Calibri" w:hAnsi="Verdana" w:cs="Times New Roman"/>
        </w:rPr>
        <w:t xml:space="preserve"> </w:t>
      </w:r>
    </w:p>
    <w:p w14:paraId="571597CF" w14:textId="77777777" w:rsidR="009B14D2" w:rsidRPr="00E92C46" w:rsidRDefault="009B14D2" w:rsidP="009B14D2">
      <w:pPr>
        <w:spacing w:after="0" w:line="240" w:lineRule="auto"/>
        <w:jc w:val="both"/>
        <w:rPr>
          <w:rFonts w:ascii="Verdana" w:eastAsia="Calibri" w:hAnsi="Verdana" w:cs="Times New Roman"/>
        </w:rPr>
      </w:pPr>
      <w:r w:rsidRPr="00E92C46">
        <w:rPr>
          <w:rFonts w:ascii="Verdana" w:eastAsia="Calibri" w:hAnsi="Verdana" w:cs="Times New Roman"/>
        </w:rPr>
        <w:t xml:space="preserve">Facebook: </w:t>
      </w:r>
      <w:r w:rsidRPr="00E92C46">
        <w:rPr>
          <w:rFonts w:ascii="Verdana" w:eastAsia="Calibri" w:hAnsi="Verdana" w:cs="Times New Roman"/>
          <w:u w:val="single"/>
        </w:rPr>
        <w:t>ColombiaCompraEficiente</w:t>
      </w:r>
    </w:p>
    <w:p w14:paraId="726DB8C4" w14:textId="77777777" w:rsidR="009B14D2" w:rsidRPr="00E92C46" w:rsidRDefault="009B14D2" w:rsidP="009B14D2">
      <w:pPr>
        <w:spacing w:after="0" w:line="240" w:lineRule="auto"/>
        <w:jc w:val="both"/>
        <w:rPr>
          <w:rFonts w:ascii="Verdana" w:eastAsia="Calibri" w:hAnsi="Verdana" w:cs="Times New Roman"/>
        </w:rPr>
      </w:pPr>
      <w:r w:rsidRPr="00E92C46">
        <w:rPr>
          <w:rFonts w:ascii="Verdana" w:eastAsia="Calibri" w:hAnsi="Verdana" w:cs="Times New Roman"/>
        </w:rPr>
        <w:t xml:space="preserve">LinkedIn: </w:t>
      </w:r>
      <w:r w:rsidRPr="00E92C46">
        <w:rPr>
          <w:rFonts w:ascii="Verdana" w:eastAsia="Calibri" w:hAnsi="Verdana" w:cs="Times New Roman"/>
          <w:u w:val="single"/>
        </w:rPr>
        <w:t>Agencia Nacional de Contratación Pública - Colombia Compra Eficiente</w:t>
      </w:r>
      <w:r w:rsidRPr="00E92C46">
        <w:rPr>
          <w:rFonts w:ascii="Verdana" w:eastAsia="Calibri" w:hAnsi="Verdana" w:cs="Times New Roman"/>
        </w:rPr>
        <w:t xml:space="preserve"> Instagram: </w:t>
      </w:r>
      <w:r w:rsidRPr="00E92C46">
        <w:rPr>
          <w:rFonts w:ascii="Verdana" w:eastAsia="Calibri" w:hAnsi="Verdana" w:cs="Times New Roman"/>
          <w:u w:val="single"/>
        </w:rPr>
        <w:t>@colombiacompraeficiente_cce</w:t>
      </w:r>
    </w:p>
    <w:p w14:paraId="76561C81" w14:textId="77777777" w:rsidR="009B14D2" w:rsidRPr="00242856" w:rsidRDefault="009B14D2" w:rsidP="009B14D2">
      <w:pPr>
        <w:widowControl w:val="0"/>
        <w:autoSpaceDE w:val="0"/>
        <w:autoSpaceDN w:val="0"/>
        <w:spacing w:after="0" w:line="276" w:lineRule="auto"/>
        <w:jc w:val="both"/>
        <w:rPr>
          <w:rFonts w:ascii="Verdana" w:hAnsi="Verdana" w:cs="Arial"/>
        </w:rPr>
      </w:pPr>
    </w:p>
    <w:p w14:paraId="609070E1" w14:textId="77777777" w:rsidR="009B14D2" w:rsidRPr="00242856" w:rsidRDefault="009B14D2" w:rsidP="009B14D2">
      <w:pPr>
        <w:widowControl w:val="0"/>
        <w:autoSpaceDE w:val="0"/>
        <w:autoSpaceDN w:val="0"/>
        <w:spacing w:after="0" w:line="276" w:lineRule="auto"/>
        <w:jc w:val="both"/>
        <w:rPr>
          <w:rFonts w:ascii="Verdana" w:hAnsi="Verdana" w:cs="Arial"/>
          <w:lang w:val="es-ES_tradnl"/>
        </w:rPr>
      </w:pPr>
      <w:r w:rsidRPr="00242856">
        <w:rPr>
          <w:rFonts w:ascii="Verdana" w:hAnsi="Verdana" w:cs="Arial"/>
        </w:rPr>
        <w:t xml:space="preserve">Este concepto tiene el alcance previsto en el artículo 28 del Código de Procedimiento Administrativo y de lo Contencioso Administrativo </w:t>
      </w:r>
      <w:r w:rsidRPr="00242856">
        <w:rPr>
          <w:rFonts w:ascii="Verdana" w:hAnsi="Verdana" w:cs="Arial"/>
          <w:lang w:val="es-ES_tradnl"/>
        </w:rPr>
        <w:t>y las expresiones aquí utilizadas con mayúscula inicial deben ser entendidas con el significado que les otorga el artículo 2.2.1.1.1.3.1. del Decreto 1082 de 2015.</w:t>
      </w:r>
    </w:p>
    <w:p w14:paraId="204756DC" w14:textId="77777777" w:rsidR="009B14D2" w:rsidRPr="00242856" w:rsidRDefault="009B14D2" w:rsidP="009B14D2">
      <w:pPr>
        <w:widowControl w:val="0"/>
        <w:autoSpaceDE w:val="0"/>
        <w:autoSpaceDN w:val="0"/>
        <w:spacing w:after="0" w:line="276" w:lineRule="auto"/>
        <w:jc w:val="both"/>
        <w:rPr>
          <w:rFonts w:ascii="Verdana" w:hAnsi="Verdana" w:cs="Arial"/>
        </w:rPr>
      </w:pPr>
    </w:p>
    <w:p w14:paraId="6BDBF7B5" w14:textId="77777777" w:rsidR="009B14D2" w:rsidRPr="00242856" w:rsidRDefault="009B14D2" w:rsidP="009B14D2">
      <w:pPr>
        <w:spacing w:after="0" w:line="240" w:lineRule="auto"/>
        <w:rPr>
          <w:rFonts w:ascii="Verdana" w:hAnsi="Verdana" w:cs="Arial"/>
          <w:lang w:eastAsia="es-CO"/>
        </w:rPr>
      </w:pPr>
      <w:r w:rsidRPr="00242856">
        <w:rPr>
          <w:rFonts w:ascii="Verdana" w:eastAsia="Times New Roman" w:hAnsi="Verdana" w:cs="Arial"/>
          <w:lang w:eastAsia="es-CO"/>
        </w:rPr>
        <w:t>Atentamente,</w:t>
      </w:r>
      <w:r w:rsidRPr="00242856">
        <w:rPr>
          <w:rFonts w:ascii="Verdana" w:hAnsi="Verdana" w:cs="Arial"/>
          <w:lang w:eastAsia="es-CO"/>
        </w:rPr>
        <w:t xml:space="preserve"> </w:t>
      </w:r>
    </w:p>
    <w:p w14:paraId="70BAC706" w14:textId="77777777" w:rsidR="009B14D2" w:rsidRPr="00242856" w:rsidRDefault="009B14D2" w:rsidP="009B14D2">
      <w:pPr>
        <w:spacing w:after="0" w:line="240" w:lineRule="auto"/>
        <w:rPr>
          <w:rFonts w:ascii="Verdana" w:hAnsi="Verdana" w:cs="Arial"/>
          <w:lang w:eastAsia="es-CO"/>
        </w:rPr>
      </w:pPr>
    </w:p>
    <w:p w14:paraId="48721D27" w14:textId="55A9B111" w:rsidR="009B14D2" w:rsidRPr="00242856" w:rsidRDefault="00CF38E0" w:rsidP="009B14D2">
      <w:pPr>
        <w:spacing w:line="276" w:lineRule="auto"/>
        <w:jc w:val="center"/>
        <w:rPr>
          <w:rFonts w:ascii="Verdana" w:hAnsi="Verdana" w:cs="Arial"/>
          <w:color w:val="000000"/>
          <w:lang w:val="es-ES_tradnl" w:eastAsia="es-CO"/>
        </w:rPr>
      </w:pPr>
      <w:r w:rsidRPr="002C3AD6">
        <w:rPr>
          <w:rFonts w:ascii="Century Gothic" w:hAnsi="Century Gothic"/>
          <w:noProof/>
        </w:rPr>
        <w:lastRenderedPageBreak/>
        <w:drawing>
          <wp:inline distT="0" distB="0" distL="0" distR="0" wp14:anchorId="69FAB9E8" wp14:editId="52BAE63A">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9B14D2" w:rsidRPr="00E92C46" w14:paraId="4A56385B" w14:textId="77777777" w:rsidTr="00F745E5">
        <w:trPr>
          <w:trHeight w:val="409"/>
        </w:trPr>
        <w:tc>
          <w:tcPr>
            <w:tcW w:w="913" w:type="dxa"/>
            <w:tcBorders>
              <w:top w:val="nil"/>
              <w:left w:val="nil"/>
              <w:bottom w:val="nil"/>
              <w:right w:val="nil"/>
            </w:tcBorders>
            <w:vAlign w:val="center"/>
            <w:hideMark/>
          </w:tcPr>
          <w:p w14:paraId="5CD53144" w14:textId="77777777" w:rsidR="009B14D2" w:rsidRPr="00E92C46" w:rsidRDefault="009B14D2" w:rsidP="00F745E5">
            <w:pPr>
              <w:spacing w:after="0"/>
              <w:jc w:val="both"/>
              <w:rPr>
                <w:rFonts w:ascii="Verdana" w:hAnsi="Verdana" w:cs="Arial"/>
                <w:sz w:val="16"/>
                <w:szCs w:val="16"/>
              </w:rPr>
            </w:pPr>
            <w:r w:rsidRPr="00E92C46">
              <w:rPr>
                <w:rFonts w:ascii="Verdana" w:hAnsi="Verdana" w:cs="Arial"/>
                <w:sz w:val="16"/>
                <w:szCs w:val="16"/>
              </w:rPr>
              <w:t>Elaboró: </w:t>
            </w:r>
          </w:p>
        </w:tc>
        <w:tc>
          <w:tcPr>
            <w:tcW w:w="5525" w:type="dxa"/>
            <w:tcBorders>
              <w:top w:val="nil"/>
              <w:left w:val="nil"/>
              <w:bottom w:val="dotted" w:sz="6" w:space="0" w:color="7F7F7F" w:themeColor="text1" w:themeTint="80"/>
              <w:right w:val="nil"/>
            </w:tcBorders>
            <w:vAlign w:val="center"/>
            <w:hideMark/>
          </w:tcPr>
          <w:p w14:paraId="79CFDE35" w14:textId="77777777" w:rsidR="009B14D2" w:rsidRPr="00E92C46" w:rsidRDefault="009B14D2" w:rsidP="00F745E5">
            <w:pPr>
              <w:spacing w:after="0"/>
              <w:jc w:val="both"/>
              <w:rPr>
                <w:rFonts w:ascii="Verdana" w:hAnsi="Verdana" w:cs="Arial"/>
                <w:sz w:val="16"/>
                <w:szCs w:val="16"/>
              </w:rPr>
            </w:pPr>
            <w:r>
              <w:rPr>
                <w:rFonts w:ascii="Verdana" w:hAnsi="Verdana" w:cs="Arial"/>
                <w:sz w:val="16"/>
                <w:szCs w:val="16"/>
              </w:rPr>
              <w:t xml:space="preserve">Diana </w:t>
            </w:r>
            <w:r w:rsidRPr="00E92C46">
              <w:rPr>
                <w:rFonts w:ascii="Verdana" w:hAnsi="Verdana" w:cs="Arial"/>
                <w:sz w:val="16"/>
                <w:szCs w:val="16"/>
              </w:rPr>
              <w:t xml:space="preserve">Carolina Blanco Rodriguez </w:t>
            </w:r>
          </w:p>
          <w:p w14:paraId="368C95A9" w14:textId="77777777" w:rsidR="009B14D2" w:rsidRPr="00E92C46" w:rsidRDefault="009B14D2" w:rsidP="00F745E5">
            <w:pPr>
              <w:spacing w:after="0"/>
              <w:jc w:val="both"/>
              <w:rPr>
                <w:rFonts w:ascii="Verdana" w:hAnsi="Verdana" w:cs="Arial"/>
                <w:sz w:val="16"/>
                <w:szCs w:val="16"/>
              </w:rPr>
            </w:pPr>
            <w:r w:rsidRPr="00E92C46">
              <w:rPr>
                <w:rFonts w:ascii="Verdana" w:hAnsi="Verdana" w:cs="Arial"/>
                <w:sz w:val="16"/>
                <w:szCs w:val="16"/>
              </w:rPr>
              <w:t>Contratista de la Subdirección de Gestión Contractual</w:t>
            </w:r>
          </w:p>
        </w:tc>
      </w:tr>
      <w:tr w:rsidR="009B14D2" w:rsidRPr="00E92C46" w14:paraId="004EA9F1" w14:textId="77777777" w:rsidTr="00F745E5">
        <w:trPr>
          <w:trHeight w:val="409"/>
        </w:trPr>
        <w:tc>
          <w:tcPr>
            <w:tcW w:w="913" w:type="dxa"/>
            <w:tcBorders>
              <w:top w:val="nil"/>
              <w:left w:val="nil"/>
              <w:right w:val="nil"/>
            </w:tcBorders>
            <w:vAlign w:val="center"/>
          </w:tcPr>
          <w:p w14:paraId="68BCCB3B" w14:textId="77777777" w:rsidR="009B14D2" w:rsidRPr="00E92C46" w:rsidRDefault="009B14D2" w:rsidP="00F745E5">
            <w:pPr>
              <w:spacing w:after="0"/>
              <w:jc w:val="both"/>
              <w:rPr>
                <w:rFonts w:ascii="Verdana" w:hAnsi="Verdana" w:cs="Arial"/>
                <w:sz w:val="16"/>
                <w:szCs w:val="16"/>
              </w:rPr>
            </w:pPr>
            <w:r w:rsidRPr="00E92C46">
              <w:rPr>
                <w:rFonts w:ascii="Verdana" w:hAnsi="Verdana" w:cs="Arial"/>
                <w:sz w:val="16"/>
                <w:szCs w:val="16"/>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2DCD7DE9" w14:textId="77777777" w:rsidR="009B14D2" w:rsidRPr="00E92C46" w:rsidRDefault="009B14D2" w:rsidP="00F745E5">
            <w:pPr>
              <w:spacing w:after="0"/>
              <w:jc w:val="both"/>
              <w:rPr>
                <w:rFonts w:ascii="Verdana" w:hAnsi="Verdana" w:cs="Arial"/>
                <w:sz w:val="16"/>
                <w:szCs w:val="16"/>
              </w:rPr>
            </w:pPr>
            <w:r>
              <w:rPr>
                <w:rFonts w:ascii="Verdana" w:hAnsi="Verdana" w:cs="Arial"/>
                <w:sz w:val="16"/>
                <w:szCs w:val="16"/>
              </w:rPr>
              <w:t>Cielo González</w:t>
            </w:r>
          </w:p>
          <w:p w14:paraId="3F642791" w14:textId="77777777" w:rsidR="009B14D2" w:rsidRPr="00E92C46" w:rsidRDefault="009B14D2" w:rsidP="00F745E5">
            <w:pPr>
              <w:spacing w:after="0"/>
              <w:jc w:val="both"/>
              <w:rPr>
                <w:rFonts w:ascii="Verdana" w:hAnsi="Verdana" w:cs="Arial"/>
                <w:sz w:val="16"/>
                <w:szCs w:val="16"/>
              </w:rPr>
            </w:pPr>
            <w:r w:rsidRPr="00E92C46">
              <w:rPr>
                <w:rFonts w:ascii="Verdana" w:hAnsi="Verdana" w:cs="Arial"/>
                <w:sz w:val="16"/>
                <w:szCs w:val="16"/>
              </w:rPr>
              <w:t>Contratista de la Subdirección de Gestión Contractual</w:t>
            </w:r>
          </w:p>
        </w:tc>
      </w:tr>
      <w:tr w:rsidR="009B14D2" w:rsidRPr="00E92C46" w14:paraId="2F62625D" w14:textId="77777777" w:rsidTr="00F745E5">
        <w:trPr>
          <w:trHeight w:val="65"/>
        </w:trPr>
        <w:tc>
          <w:tcPr>
            <w:tcW w:w="913" w:type="dxa"/>
            <w:tcBorders>
              <w:top w:val="nil"/>
              <w:left w:val="nil"/>
              <w:bottom w:val="nil"/>
              <w:right w:val="nil"/>
            </w:tcBorders>
            <w:vAlign w:val="center"/>
            <w:hideMark/>
          </w:tcPr>
          <w:p w14:paraId="64DA21DE" w14:textId="77777777" w:rsidR="009B14D2" w:rsidRPr="00E92C46" w:rsidRDefault="009B14D2" w:rsidP="00F745E5">
            <w:pPr>
              <w:spacing w:after="0"/>
              <w:jc w:val="both"/>
              <w:rPr>
                <w:rFonts w:ascii="Verdana" w:hAnsi="Verdana" w:cs="Arial"/>
                <w:sz w:val="16"/>
                <w:szCs w:val="16"/>
              </w:rPr>
            </w:pPr>
            <w:r w:rsidRPr="00E92C46">
              <w:rPr>
                <w:rFonts w:ascii="Verdana" w:hAnsi="Verdana" w:cs="Arial"/>
                <w:sz w:val="16"/>
                <w:szCs w:val="16"/>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1F523F02" w14:textId="77777777" w:rsidR="009B14D2" w:rsidRPr="00E92C46" w:rsidRDefault="009B14D2" w:rsidP="00F745E5">
            <w:pPr>
              <w:spacing w:after="0"/>
              <w:rPr>
                <w:rFonts w:ascii="Verdana" w:eastAsia="Calibri" w:hAnsi="Verdana" w:cs="Arial"/>
                <w:sz w:val="16"/>
                <w:szCs w:val="16"/>
                <w:lang w:val="pt-BR" w:eastAsia="es-ES"/>
              </w:rPr>
            </w:pPr>
            <w:r w:rsidRPr="00E92C46">
              <w:rPr>
                <w:rFonts w:ascii="Verdana" w:eastAsia="Calibri" w:hAnsi="Verdana" w:cs="Arial"/>
                <w:sz w:val="16"/>
                <w:szCs w:val="16"/>
                <w:lang w:val="pt-BR" w:eastAsia="es-ES"/>
              </w:rPr>
              <w:t>Carolina Quintero Gacharná</w:t>
            </w:r>
          </w:p>
          <w:p w14:paraId="3147ED2B" w14:textId="77777777" w:rsidR="009B14D2" w:rsidRPr="00E92C46" w:rsidRDefault="009B14D2" w:rsidP="00F745E5">
            <w:pPr>
              <w:spacing w:after="0"/>
              <w:jc w:val="both"/>
              <w:rPr>
                <w:rFonts w:ascii="Verdana" w:hAnsi="Verdana" w:cs="Arial"/>
                <w:sz w:val="16"/>
                <w:szCs w:val="16"/>
              </w:rPr>
            </w:pPr>
            <w:r w:rsidRPr="00E92C46">
              <w:rPr>
                <w:rFonts w:ascii="Verdana" w:hAnsi="Verdana" w:cs="Arial"/>
                <w:sz w:val="16"/>
                <w:szCs w:val="16"/>
              </w:rPr>
              <w:t>Subdirectora de Gestión Contractual ANCP – CCE</w:t>
            </w:r>
          </w:p>
        </w:tc>
      </w:tr>
    </w:tbl>
    <w:p w14:paraId="6C645828" w14:textId="77777777" w:rsidR="009B14D2" w:rsidRPr="0044528D" w:rsidRDefault="009B14D2" w:rsidP="009B14D2">
      <w:pPr>
        <w:spacing w:after="0"/>
        <w:rPr>
          <w:rFonts w:ascii="Verdana" w:hAnsi="Verdana"/>
        </w:rPr>
      </w:pPr>
    </w:p>
    <w:bookmarkEnd w:id="0"/>
    <w:p w14:paraId="2323F8F8" w14:textId="77777777" w:rsidR="009B14D2" w:rsidRPr="00242856" w:rsidRDefault="009B14D2" w:rsidP="00E245AB">
      <w:pPr>
        <w:spacing w:after="0"/>
        <w:rPr>
          <w:rFonts w:ascii="Verdana" w:hAnsi="Verdana" w:cs="Arial"/>
        </w:rPr>
      </w:pPr>
    </w:p>
    <w:sectPr w:rsidR="009B14D2" w:rsidRPr="00242856"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844AF" w14:textId="77777777" w:rsidR="00635489" w:rsidRDefault="00635489" w:rsidP="004A1847">
      <w:pPr>
        <w:spacing w:after="0" w:line="240" w:lineRule="auto"/>
      </w:pPr>
      <w:r>
        <w:separator/>
      </w:r>
    </w:p>
  </w:endnote>
  <w:endnote w:type="continuationSeparator" w:id="0">
    <w:p w14:paraId="1F763D8F" w14:textId="77777777" w:rsidR="00635489" w:rsidRDefault="00635489"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9CEA0" w14:textId="77777777" w:rsidR="00635489" w:rsidRDefault="00635489" w:rsidP="004A1847">
      <w:pPr>
        <w:spacing w:after="0" w:line="240" w:lineRule="auto"/>
      </w:pPr>
      <w:r>
        <w:separator/>
      </w:r>
    </w:p>
  </w:footnote>
  <w:footnote w:type="continuationSeparator" w:id="0">
    <w:p w14:paraId="42AE120E" w14:textId="77777777" w:rsidR="00635489" w:rsidRDefault="00635489" w:rsidP="004A1847">
      <w:pPr>
        <w:spacing w:after="0" w:line="240" w:lineRule="auto"/>
      </w:pPr>
      <w:r>
        <w:continuationSeparator/>
      </w:r>
    </w:p>
  </w:footnote>
  <w:footnote w:id="1">
    <w:p w14:paraId="063F1E94" w14:textId="77777777" w:rsidR="009B14D2" w:rsidRPr="00470257" w:rsidRDefault="009B14D2" w:rsidP="009B14D2">
      <w:pPr>
        <w:pStyle w:val="Textonotapie"/>
        <w:rPr>
          <w:lang w:val="es-ES"/>
        </w:rPr>
      </w:pPr>
      <w:r>
        <w:rPr>
          <w:rStyle w:val="Refdenotaalpie"/>
        </w:rPr>
        <w:footnoteRef/>
      </w:r>
      <w:r>
        <w:t xml:space="preserve"> </w:t>
      </w:r>
      <w:r w:rsidRPr="004B4CF5">
        <w:rPr>
          <w:rFonts w:ascii="Verdana" w:hAnsi="Verdana" w:cs="Arial"/>
        </w:rPr>
        <w:t xml:space="preserve">numeral uno del artículo 2.2.1.2.4.2.2 </w:t>
      </w:r>
      <w:r w:rsidRPr="004B4CF5">
        <w:rPr>
          <w:rFonts w:ascii="Verdana" w:eastAsia="Times New Roman" w:hAnsi="Verdana" w:cs="Arial"/>
          <w:color w:val="000000"/>
          <w:lang w:eastAsia="es-CO"/>
        </w:rPr>
        <w:t>del Decreto 1082</w:t>
      </w:r>
    </w:p>
  </w:footnote>
  <w:footnote w:id="2">
    <w:p w14:paraId="3E84B6C2" w14:textId="77777777" w:rsidR="009B14D2" w:rsidRPr="00470257" w:rsidRDefault="009B14D2" w:rsidP="009B14D2">
      <w:pPr>
        <w:pStyle w:val="Textonotapie"/>
        <w:rPr>
          <w:lang w:val="es-ES"/>
        </w:rPr>
      </w:pPr>
      <w:r>
        <w:rPr>
          <w:rStyle w:val="Refdenotaalpie"/>
        </w:rPr>
        <w:footnoteRef/>
      </w:r>
      <w:r>
        <w:t xml:space="preserve"> Numeral segundo del </w:t>
      </w:r>
      <w:r w:rsidRPr="004B4CF5">
        <w:rPr>
          <w:rFonts w:ascii="Verdana" w:hAnsi="Verdana" w:cs="Arial"/>
        </w:rPr>
        <w:t xml:space="preserve">artículo 2.2.1.2.4.2.2 </w:t>
      </w:r>
      <w:r w:rsidRPr="004B4CF5">
        <w:rPr>
          <w:rFonts w:ascii="Verdana" w:eastAsia="Times New Roman" w:hAnsi="Verdana" w:cs="Arial"/>
          <w:color w:val="000000"/>
          <w:lang w:eastAsia="es-CO"/>
        </w:rPr>
        <w:t>del Decreto 1082</w:t>
      </w:r>
    </w:p>
  </w:footnote>
  <w:footnote w:id="3">
    <w:p w14:paraId="046403A7" w14:textId="77777777" w:rsidR="009B14D2" w:rsidRPr="00D9401A" w:rsidRDefault="009B14D2" w:rsidP="009B14D2">
      <w:pPr>
        <w:spacing w:after="0" w:line="240" w:lineRule="auto"/>
        <w:ind w:firstLine="708"/>
        <w:jc w:val="both"/>
        <w:rPr>
          <w:rFonts w:ascii="Verdana" w:hAnsi="Verdana" w:cs="Arial"/>
          <w:sz w:val="18"/>
          <w:szCs w:val="18"/>
          <w:lang w:val="es-ES" w:eastAsia="es-ES"/>
        </w:rPr>
      </w:pPr>
      <w:r w:rsidRPr="00D9401A">
        <w:rPr>
          <w:rStyle w:val="Refdenotaalpie"/>
          <w:rFonts w:ascii="Verdana" w:hAnsi="Verdana"/>
          <w:sz w:val="18"/>
          <w:szCs w:val="18"/>
        </w:rPr>
        <w:footnoteRef/>
      </w:r>
      <w:r w:rsidRPr="00D9401A">
        <w:rPr>
          <w:rFonts w:ascii="Verdana" w:hAnsi="Verdana" w:cs="Arial"/>
          <w:sz w:val="18"/>
          <w:szCs w:val="18"/>
          <w:lang w:val="es-ES" w:eastAsia="es-ES"/>
        </w:rPr>
        <w:t xml:space="preserve">Artículo 2.2.1.2.4.2.2. Convocatorias 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cuando concurran los siguientes requisitos: </w:t>
      </w:r>
    </w:p>
    <w:p w14:paraId="0BECC29C" w14:textId="77777777" w:rsidR="009B14D2" w:rsidRPr="00D9401A" w:rsidRDefault="009B14D2" w:rsidP="009B14D2">
      <w:pPr>
        <w:spacing w:after="0" w:line="240" w:lineRule="auto"/>
        <w:ind w:firstLine="708"/>
        <w:jc w:val="both"/>
        <w:rPr>
          <w:rFonts w:ascii="Verdana" w:hAnsi="Verdana" w:cs="Arial"/>
          <w:sz w:val="18"/>
          <w:szCs w:val="18"/>
          <w:lang w:val="es-ES" w:eastAsia="es-ES"/>
        </w:rPr>
      </w:pPr>
      <w:r w:rsidRPr="00D9401A">
        <w:rPr>
          <w:rFonts w:ascii="Verdana" w:hAnsi="Verdana" w:cs="Arial"/>
          <w:bCs/>
          <w:sz w:val="18"/>
          <w:szCs w:val="18"/>
          <w:lang w:val="es-ES_tradnl" w:eastAsia="es-ES"/>
        </w:rPr>
        <w:t>1. El valor del Proceso de Contratación sea menor a ciento veinticinco mil dólares de los Estados Unidos de América (US$125.000), liquidados con la tasa de cambio que para el efecto determina cada dos años el Ministerio de Comercio, Industria y Turismo.</w:t>
      </w:r>
    </w:p>
    <w:p w14:paraId="14F2A335" w14:textId="77777777" w:rsidR="009B14D2" w:rsidRPr="00D9401A" w:rsidRDefault="009B14D2" w:rsidP="009B14D2">
      <w:pPr>
        <w:spacing w:after="0" w:line="240" w:lineRule="auto"/>
        <w:ind w:firstLine="708"/>
        <w:jc w:val="both"/>
        <w:rPr>
          <w:rFonts w:ascii="Verdana" w:hAnsi="Verdana" w:cs="Arial"/>
          <w:sz w:val="18"/>
          <w:szCs w:val="18"/>
          <w:lang w:val="es-ES" w:eastAsia="es-ES"/>
        </w:rPr>
      </w:pPr>
      <w:r w:rsidRPr="00D9401A">
        <w:rPr>
          <w:rFonts w:ascii="Verdana" w:hAnsi="Verdana" w:cs="Arial"/>
          <w:sz w:val="18"/>
          <w:szCs w:val="18"/>
          <w:lang w:val="es-ES" w:eastAsia="es-ES"/>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Mipyme, cuyo objeto social les permita ejecutar el contrato relacionado con el proceso contractual.</w:t>
      </w:r>
    </w:p>
    <w:p w14:paraId="3B6BD523" w14:textId="77777777" w:rsidR="009B14D2" w:rsidRPr="00D9401A" w:rsidRDefault="009B14D2" w:rsidP="009B14D2">
      <w:pPr>
        <w:spacing w:after="0" w:line="240" w:lineRule="auto"/>
        <w:ind w:firstLine="708"/>
        <w:jc w:val="both"/>
        <w:rPr>
          <w:rFonts w:ascii="Verdana" w:hAnsi="Verdana" w:cs="Arial"/>
          <w:sz w:val="18"/>
          <w:szCs w:val="18"/>
          <w:lang w:val="es-ES" w:eastAsia="es-ES"/>
        </w:rPr>
      </w:pPr>
      <w:r w:rsidRPr="00D9401A">
        <w:rPr>
          <w:rFonts w:ascii="Verdana" w:hAnsi="Verdana" w:cs="Arial"/>
          <w:sz w:val="18"/>
          <w:szCs w:val="18"/>
          <w:lang w:val="es-ES" w:eastAsia="es-ES"/>
        </w:rPr>
        <w:t>Parágrafo. Las cooperativas y demás entidades de economía solidaria, siempre que tengan la calidad de Mipyme, podrán solicitar y participar en las convocatorias limitadas en las mismas condiciones dispuestas en el presente artículo</w:t>
      </w:r>
    </w:p>
  </w:footnote>
  <w:footnote w:id="4">
    <w:p w14:paraId="32DC71FD" w14:textId="77777777" w:rsidR="009B14D2" w:rsidRPr="00D9401A" w:rsidRDefault="009B14D2" w:rsidP="009B14D2">
      <w:pPr>
        <w:pStyle w:val="Textonotapie"/>
        <w:ind w:firstLine="708"/>
        <w:jc w:val="both"/>
        <w:rPr>
          <w:rFonts w:ascii="Verdana" w:hAnsi="Verdana" w:cs="Arial"/>
          <w:sz w:val="18"/>
          <w:szCs w:val="18"/>
        </w:rPr>
      </w:pPr>
      <w:r w:rsidRPr="00D9401A">
        <w:rPr>
          <w:rStyle w:val="Refdenotaalpie"/>
          <w:rFonts w:ascii="Verdana" w:hAnsi="Verdana" w:cs="Arial"/>
          <w:sz w:val="18"/>
          <w:szCs w:val="18"/>
        </w:rPr>
        <w:footnoteRef/>
      </w:r>
      <w:r w:rsidRPr="00D9401A">
        <w:rPr>
          <w:rFonts w:ascii="Verdana" w:hAnsi="Verdana" w:cs="Arial"/>
          <w:sz w:val="18"/>
          <w:szCs w:val="18"/>
        </w:rPr>
        <w:t xml:space="preserve"> Este monto fue publicado por la Agencia Nacional de Contratación Pública – Colombia Compra Eficiente, de acuerdo con la información remitida por el Ministerio de Comercio Industria y Turismo, disponible en el siguiente enlace: </w:t>
      </w:r>
      <w:hyperlink r:id="rId1" w:history="1">
        <w:r w:rsidRPr="00D9401A">
          <w:rPr>
            <w:rFonts w:ascii="Verdana" w:hAnsi="Verdana"/>
            <w:sz w:val="18"/>
            <w:szCs w:val="18"/>
          </w:rPr>
          <w:t>https://www.colombiacompra.gov.co/sites/cce_public/files/files_2020/vf_umbrales_actualizaciones_2022_-_2023_1.pdf</w:t>
        </w:r>
      </w:hyperlink>
      <w:r w:rsidRPr="00D9401A">
        <w:rPr>
          <w:rFonts w:ascii="Verdana" w:hAnsi="Verdana" w:cs="Arial"/>
          <w:sz w:val="18"/>
          <w:szCs w:val="18"/>
        </w:rPr>
        <w:t>. Allí se señala que el monto corresponde a $ 457.297.264.</w:t>
      </w:r>
    </w:p>
  </w:footnote>
  <w:footnote w:id="5">
    <w:p w14:paraId="4E0DBB52" w14:textId="77777777" w:rsidR="009B14D2" w:rsidRPr="00D9401A" w:rsidRDefault="009B14D2" w:rsidP="009B14D2">
      <w:pPr>
        <w:pStyle w:val="Textonotapie"/>
        <w:ind w:firstLine="708"/>
        <w:jc w:val="both"/>
        <w:rPr>
          <w:rFonts w:ascii="Verdana" w:hAnsi="Verdana" w:cs="Arial"/>
          <w:sz w:val="18"/>
          <w:szCs w:val="18"/>
          <w:lang w:val="es-CO"/>
        </w:rPr>
      </w:pPr>
      <w:r w:rsidRPr="00D9401A">
        <w:rPr>
          <w:rStyle w:val="Refdenotaalpie"/>
          <w:rFonts w:ascii="Verdana" w:hAnsi="Verdana" w:cs="Arial"/>
          <w:sz w:val="18"/>
          <w:szCs w:val="18"/>
        </w:rPr>
        <w:footnoteRef/>
      </w:r>
      <w:r w:rsidRPr="00D9401A">
        <w:rPr>
          <w:rFonts w:ascii="Verdana" w:hAnsi="Verdana" w:cs="Arial"/>
          <w:sz w:val="18"/>
          <w:szCs w:val="18"/>
        </w:rPr>
        <w:t>“</w:t>
      </w:r>
      <w:r w:rsidRPr="00D9401A">
        <w:rPr>
          <w:rFonts w:ascii="Verdana" w:hAnsi="Verdana" w:cs="Arial"/>
          <w:sz w:val="18"/>
          <w:szCs w:val="18"/>
          <w:lang w:val="es-CO"/>
        </w:rPr>
        <w:t>ARTÍCULO</w:t>
      </w:r>
      <w:bookmarkStart w:id="1" w:name="2.2.1.2.4.2.3"/>
      <w:bookmarkEnd w:id="1"/>
      <w:r w:rsidRPr="00D9401A">
        <w:rPr>
          <w:rFonts w:ascii="Verdana" w:hAnsi="Verdana" w:cs="Arial"/>
          <w:sz w:val="18"/>
          <w:szCs w:val="18"/>
          <w:lang w:val="es-CO"/>
        </w:rPr>
        <w:t> 2.2.1.2.4.2.3. Limitaciones territoriales. De conformidad con el parágrafo </w:t>
      </w:r>
      <w:hyperlink r:id="rId2" w:anchor="12.p1" w:history="1">
        <w:r w:rsidRPr="00D9401A">
          <w:rPr>
            <w:rFonts w:ascii="Verdana" w:hAnsi="Verdana" w:cs="Arial"/>
            <w:sz w:val="18"/>
            <w:szCs w:val="18"/>
            <w:lang w:val="es-CO"/>
          </w:rPr>
          <w:t>1 </w:t>
        </w:r>
      </w:hyperlink>
      <w:r w:rsidRPr="00D9401A">
        <w:rPr>
          <w:rFonts w:ascii="Verdana" w:hAnsi="Verdana" w:cs="Arial"/>
          <w:sz w:val="18"/>
          <w:szCs w:val="18"/>
          <w:lang w:val="es-CO"/>
        </w:rPr>
        <w:t>del artículo </w:t>
      </w:r>
      <w:hyperlink r:id="rId3" w:anchor="12" w:history="1">
        <w:r w:rsidRPr="00D9401A">
          <w:rPr>
            <w:rFonts w:ascii="Verdana" w:hAnsi="Verdana" w:cs="Arial"/>
            <w:sz w:val="18"/>
            <w:szCs w:val="18"/>
            <w:lang w:val="es-CO"/>
          </w:rPr>
          <w:t>12 </w:t>
        </w:r>
      </w:hyperlink>
      <w:r w:rsidRPr="00D9401A">
        <w:rPr>
          <w:rFonts w:ascii="Verdana" w:hAnsi="Verdana" w:cs="Arial"/>
          <w:sz w:val="18"/>
          <w:szCs w:val="18"/>
          <w:lang w:val="es-CO"/>
        </w:rPr>
        <w:t>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pt;height:11.4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0907C45"/>
    <w:multiLevelType w:val="hybridMultilevel"/>
    <w:tmpl w:val="E38E63FE"/>
    <w:lvl w:ilvl="0" w:tplc="844618A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9B47E3"/>
    <w:multiLevelType w:val="hybridMultilevel"/>
    <w:tmpl w:val="C960FAF4"/>
    <w:lvl w:ilvl="0" w:tplc="479227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32E765E"/>
    <w:multiLevelType w:val="hybridMultilevel"/>
    <w:tmpl w:val="4448F540"/>
    <w:lvl w:ilvl="0" w:tplc="1616CD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348441B"/>
    <w:multiLevelType w:val="hybridMultilevel"/>
    <w:tmpl w:val="72A80D12"/>
    <w:lvl w:ilvl="0" w:tplc="0B725C9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DFC639C"/>
    <w:multiLevelType w:val="hybridMultilevel"/>
    <w:tmpl w:val="6A9EC7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F3C422A"/>
    <w:multiLevelType w:val="hybridMultilevel"/>
    <w:tmpl w:val="BDFCFAFC"/>
    <w:lvl w:ilvl="0" w:tplc="5512F6EE">
      <w:start w:val="1"/>
      <w:numFmt w:val="low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9"/>
  </w:num>
  <w:num w:numId="7" w16cid:durableId="1946422806">
    <w:abstractNumId w:val="6"/>
  </w:num>
  <w:num w:numId="8" w16cid:durableId="152644682">
    <w:abstractNumId w:val="18"/>
  </w:num>
  <w:num w:numId="9" w16cid:durableId="1317221377">
    <w:abstractNumId w:val="8"/>
  </w:num>
  <w:num w:numId="10" w16cid:durableId="1471245386">
    <w:abstractNumId w:val="17"/>
  </w:num>
  <w:num w:numId="11" w16cid:durableId="289172385">
    <w:abstractNumId w:val="9"/>
  </w:num>
  <w:num w:numId="12" w16cid:durableId="1470781324">
    <w:abstractNumId w:val="1"/>
  </w:num>
  <w:num w:numId="13" w16cid:durableId="1512908409">
    <w:abstractNumId w:val="4"/>
  </w:num>
  <w:num w:numId="14" w16cid:durableId="895897244">
    <w:abstractNumId w:val="20"/>
  </w:num>
  <w:num w:numId="15" w16cid:durableId="390349800">
    <w:abstractNumId w:val="16"/>
  </w:num>
  <w:num w:numId="16" w16cid:durableId="341274352">
    <w:abstractNumId w:val="0"/>
  </w:num>
  <w:num w:numId="17" w16cid:durableId="679089576">
    <w:abstractNumId w:val="11"/>
  </w:num>
  <w:num w:numId="18" w16cid:durableId="89277598">
    <w:abstractNumId w:val="10"/>
  </w:num>
  <w:num w:numId="19" w16cid:durableId="1550191658">
    <w:abstractNumId w:val="14"/>
  </w:num>
  <w:num w:numId="20" w16cid:durableId="265161217">
    <w:abstractNumId w:val="12"/>
  </w:num>
  <w:num w:numId="21" w16cid:durableId="1933583692">
    <w:abstractNumId w:val="13"/>
  </w:num>
  <w:num w:numId="22" w16cid:durableId="918834886">
    <w:abstractNumId w:val="3"/>
  </w:num>
  <w:num w:numId="23" w16cid:durableId="396677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9FF"/>
    <w:rsid w:val="00003B08"/>
    <w:rsid w:val="00004A0F"/>
    <w:rsid w:val="000115CA"/>
    <w:rsid w:val="00037774"/>
    <w:rsid w:val="00047292"/>
    <w:rsid w:val="000538B0"/>
    <w:rsid w:val="00061B2A"/>
    <w:rsid w:val="00063FCF"/>
    <w:rsid w:val="00082362"/>
    <w:rsid w:val="00084F66"/>
    <w:rsid w:val="000A683E"/>
    <w:rsid w:val="000B19B9"/>
    <w:rsid w:val="000C61A9"/>
    <w:rsid w:val="000D0334"/>
    <w:rsid w:val="000D363A"/>
    <w:rsid w:val="000E61DD"/>
    <w:rsid w:val="000F4FCD"/>
    <w:rsid w:val="000F6486"/>
    <w:rsid w:val="00104A9E"/>
    <w:rsid w:val="00107A56"/>
    <w:rsid w:val="001201F1"/>
    <w:rsid w:val="00122FDD"/>
    <w:rsid w:val="00125105"/>
    <w:rsid w:val="00127233"/>
    <w:rsid w:val="0014163C"/>
    <w:rsid w:val="00141DCC"/>
    <w:rsid w:val="00146B4A"/>
    <w:rsid w:val="00146BF7"/>
    <w:rsid w:val="00157268"/>
    <w:rsid w:val="00166587"/>
    <w:rsid w:val="00170054"/>
    <w:rsid w:val="0017228E"/>
    <w:rsid w:val="00173832"/>
    <w:rsid w:val="001924B5"/>
    <w:rsid w:val="001C2A75"/>
    <w:rsid w:val="001E4177"/>
    <w:rsid w:val="001E65BD"/>
    <w:rsid w:val="001E6B71"/>
    <w:rsid w:val="001F7DC6"/>
    <w:rsid w:val="00213B66"/>
    <w:rsid w:val="00222372"/>
    <w:rsid w:val="0023533B"/>
    <w:rsid w:val="002421BB"/>
    <w:rsid w:val="0024261B"/>
    <w:rsid w:val="00242856"/>
    <w:rsid w:val="00244B3B"/>
    <w:rsid w:val="00254C05"/>
    <w:rsid w:val="0025796E"/>
    <w:rsid w:val="00260BA9"/>
    <w:rsid w:val="00263AEF"/>
    <w:rsid w:val="002707A2"/>
    <w:rsid w:val="00270E0B"/>
    <w:rsid w:val="0027703F"/>
    <w:rsid w:val="002951A0"/>
    <w:rsid w:val="002962BC"/>
    <w:rsid w:val="002A093D"/>
    <w:rsid w:val="002A0DD0"/>
    <w:rsid w:val="002A49AC"/>
    <w:rsid w:val="002A64FD"/>
    <w:rsid w:val="002B417E"/>
    <w:rsid w:val="002C7A84"/>
    <w:rsid w:val="002D417E"/>
    <w:rsid w:val="002D5881"/>
    <w:rsid w:val="002E4565"/>
    <w:rsid w:val="002E4FD9"/>
    <w:rsid w:val="002E614E"/>
    <w:rsid w:val="003122F8"/>
    <w:rsid w:val="003127D3"/>
    <w:rsid w:val="00312BA0"/>
    <w:rsid w:val="003134DB"/>
    <w:rsid w:val="003162A8"/>
    <w:rsid w:val="00322A85"/>
    <w:rsid w:val="00324168"/>
    <w:rsid w:val="00325294"/>
    <w:rsid w:val="00330EF8"/>
    <w:rsid w:val="00334F12"/>
    <w:rsid w:val="0034307A"/>
    <w:rsid w:val="003448F4"/>
    <w:rsid w:val="00351AE0"/>
    <w:rsid w:val="00361EA4"/>
    <w:rsid w:val="00362D71"/>
    <w:rsid w:val="00365741"/>
    <w:rsid w:val="00370BBB"/>
    <w:rsid w:val="00372658"/>
    <w:rsid w:val="00374F5E"/>
    <w:rsid w:val="00377E3E"/>
    <w:rsid w:val="00383C03"/>
    <w:rsid w:val="00396E70"/>
    <w:rsid w:val="003A26D1"/>
    <w:rsid w:val="003A779E"/>
    <w:rsid w:val="003C3BAB"/>
    <w:rsid w:val="003C7B3D"/>
    <w:rsid w:val="003D0F4D"/>
    <w:rsid w:val="003D5B0D"/>
    <w:rsid w:val="003E0499"/>
    <w:rsid w:val="003F3941"/>
    <w:rsid w:val="00406575"/>
    <w:rsid w:val="00421076"/>
    <w:rsid w:val="0042722E"/>
    <w:rsid w:val="00434253"/>
    <w:rsid w:val="0043792B"/>
    <w:rsid w:val="0044528D"/>
    <w:rsid w:val="00451035"/>
    <w:rsid w:val="0046064F"/>
    <w:rsid w:val="0047671D"/>
    <w:rsid w:val="00481E9C"/>
    <w:rsid w:val="0049693D"/>
    <w:rsid w:val="004A1847"/>
    <w:rsid w:val="004A305D"/>
    <w:rsid w:val="004B4CF5"/>
    <w:rsid w:val="004E30C8"/>
    <w:rsid w:val="004F21C4"/>
    <w:rsid w:val="004F685F"/>
    <w:rsid w:val="004F71AE"/>
    <w:rsid w:val="00505D20"/>
    <w:rsid w:val="0050783A"/>
    <w:rsid w:val="00512D35"/>
    <w:rsid w:val="00527DA6"/>
    <w:rsid w:val="00530473"/>
    <w:rsid w:val="00536E93"/>
    <w:rsid w:val="00547AEF"/>
    <w:rsid w:val="00551E83"/>
    <w:rsid w:val="005538BC"/>
    <w:rsid w:val="005566E8"/>
    <w:rsid w:val="005602AF"/>
    <w:rsid w:val="00570749"/>
    <w:rsid w:val="00574867"/>
    <w:rsid w:val="00580F9C"/>
    <w:rsid w:val="00583D1B"/>
    <w:rsid w:val="00591460"/>
    <w:rsid w:val="00592628"/>
    <w:rsid w:val="005C2211"/>
    <w:rsid w:val="005C2970"/>
    <w:rsid w:val="005C3777"/>
    <w:rsid w:val="005C5CDC"/>
    <w:rsid w:val="005D476C"/>
    <w:rsid w:val="00602FFD"/>
    <w:rsid w:val="00610812"/>
    <w:rsid w:val="00612DCA"/>
    <w:rsid w:val="00621239"/>
    <w:rsid w:val="006219F8"/>
    <w:rsid w:val="00625BAE"/>
    <w:rsid w:val="00626C8C"/>
    <w:rsid w:val="006337BD"/>
    <w:rsid w:val="00635489"/>
    <w:rsid w:val="00635F9C"/>
    <w:rsid w:val="0063604B"/>
    <w:rsid w:val="0064006E"/>
    <w:rsid w:val="00645DBD"/>
    <w:rsid w:val="00647A17"/>
    <w:rsid w:val="00650FF7"/>
    <w:rsid w:val="006617A4"/>
    <w:rsid w:val="00665D70"/>
    <w:rsid w:val="0066614C"/>
    <w:rsid w:val="00671DAC"/>
    <w:rsid w:val="006749DD"/>
    <w:rsid w:val="00674AA0"/>
    <w:rsid w:val="00674BF8"/>
    <w:rsid w:val="006842F8"/>
    <w:rsid w:val="006900D9"/>
    <w:rsid w:val="00691ED8"/>
    <w:rsid w:val="00696617"/>
    <w:rsid w:val="006A5C9B"/>
    <w:rsid w:val="006B32F6"/>
    <w:rsid w:val="006B682A"/>
    <w:rsid w:val="006B695C"/>
    <w:rsid w:val="006C202B"/>
    <w:rsid w:val="006D12F8"/>
    <w:rsid w:val="006D5D18"/>
    <w:rsid w:val="006E3775"/>
    <w:rsid w:val="006E4C69"/>
    <w:rsid w:val="006F4C9D"/>
    <w:rsid w:val="006F5964"/>
    <w:rsid w:val="007051D0"/>
    <w:rsid w:val="00706C16"/>
    <w:rsid w:val="0071615B"/>
    <w:rsid w:val="00721C11"/>
    <w:rsid w:val="0075672A"/>
    <w:rsid w:val="00756841"/>
    <w:rsid w:val="007649AB"/>
    <w:rsid w:val="00771D0C"/>
    <w:rsid w:val="007737A0"/>
    <w:rsid w:val="007833AC"/>
    <w:rsid w:val="00792265"/>
    <w:rsid w:val="0079576F"/>
    <w:rsid w:val="007A2B83"/>
    <w:rsid w:val="007A6C0E"/>
    <w:rsid w:val="007B0D02"/>
    <w:rsid w:val="007B124A"/>
    <w:rsid w:val="007B268C"/>
    <w:rsid w:val="007B7171"/>
    <w:rsid w:val="007C0C0F"/>
    <w:rsid w:val="007C3322"/>
    <w:rsid w:val="007C3DC2"/>
    <w:rsid w:val="007E180B"/>
    <w:rsid w:val="007E5497"/>
    <w:rsid w:val="007F16CB"/>
    <w:rsid w:val="007F5905"/>
    <w:rsid w:val="00802364"/>
    <w:rsid w:val="00806F5F"/>
    <w:rsid w:val="00813898"/>
    <w:rsid w:val="00820278"/>
    <w:rsid w:val="008220B5"/>
    <w:rsid w:val="00827ABF"/>
    <w:rsid w:val="00837234"/>
    <w:rsid w:val="00841997"/>
    <w:rsid w:val="008419B3"/>
    <w:rsid w:val="008564D4"/>
    <w:rsid w:val="008623DD"/>
    <w:rsid w:val="00874F3D"/>
    <w:rsid w:val="008843B6"/>
    <w:rsid w:val="00891928"/>
    <w:rsid w:val="008A446D"/>
    <w:rsid w:val="008B064C"/>
    <w:rsid w:val="008C66EC"/>
    <w:rsid w:val="008D1079"/>
    <w:rsid w:val="008D180B"/>
    <w:rsid w:val="008E32B0"/>
    <w:rsid w:val="008E49CC"/>
    <w:rsid w:val="008F0EA7"/>
    <w:rsid w:val="00902C01"/>
    <w:rsid w:val="0090565C"/>
    <w:rsid w:val="00906554"/>
    <w:rsid w:val="00906764"/>
    <w:rsid w:val="00907A83"/>
    <w:rsid w:val="00922B67"/>
    <w:rsid w:val="00923EEF"/>
    <w:rsid w:val="00934586"/>
    <w:rsid w:val="009419F9"/>
    <w:rsid w:val="00945053"/>
    <w:rsid w:val="0095685E"/>
    <w:rsid w:val="00961B09"/>
    <w:rsid w:val="009641BE"/>
    <w:rsid w:val="00965334"/>
    <w:rsid w:val="0097093E"/>
    <w:rsid w:val="00972CF7"/>
    <w:rsid w:val="009A0DFA"/>
    <w:rsid w:val="009B14D2"/>
    <w:rsid w:val="009B158B"/>
    <w:rsid w:val="009B2D26"/>
    <w:rsid w:val="009B7698"/>
    <w:rsid w:val="009C71FA"/>
    <w:rsid w:val="009C72E7"/>
    <w:rsid w:val="009D0EB3"/>
    <w:rsid w:val="009D3058"/>
    <w:rsid w:val="009D5BC0"/>
    <w:rsid w:val="009E0EAF"/>
    <w:rsid w:val="009F3A13"/>
    <w:rsid w:val="009F5F44"/>
    <w:rsid w:val="009F7B89"/>
    <w:rsid w:val="00A015A9"/>
    <w:rsid w:val="00A0204F"/>
    <w:rsid w:val="00A050E7"/>
    <w:rsid w:val="00A122D3"/>
    <w:rsid w:val="00A176CF"/>
    <w:rsid w:val="00A17F13"/>
    <w:rsid w:val="00A20739"/>
    <w:rsid w:val="00A33C78"/>
    <w:rsid w:val="00A65646"/>
    <w:rsid w:val="00A72947"/>
    <w:rsid w:val="00A755F4"/>
    <w:rsid w:val="00A77C62"/>
    <w:rsid w:val="00A83511"/>
    <w:rsid w:val="00A90106"/>
    <w:rsid w:val="00A93563"/>
    <w:rsid w:val="00A952EB"/>
    <w:rsid w:val="00A9589E"/>
    <w:rsid w:val="00AA14AD"/>
    <w:rsid w:val="00AB0ADB"/>
    <w:rsid w:val="00AB12AA"/>
    <w:rsid w:val="00AC0A04"/>
    <w:rsid w:val="00AC7A81"/>
    <w:rsid w:val="00AE2E1F"/>
    <w:rsid w:val="00AF441A"/>
    <w:rsid w:val="00AF6E39"/>
    <w:rsid w:val="00B01B1A"/>
    <w:rsid w:val="00B1223C"/>
    <w:rsid w:val="00B166B3"/>
    <w:rsid w:val="00B2415F"/>
    <w:rsid w:val="00B319A3"/>
    <w:rsid w:val="00B44FF6"/>
    <w:rsid w:val="00B629F4"/>
    <w:rsid w:val="00B72CD3"/>
    <w:rsid w:val="00B72FFF"/>
    <w:rsid w:val="00B764CC"/>
    <w:rsid w:val="00B871C8"/>
    <w:rsid w:val="00B93C96"/>
    <w:rsid w:val="00BA3848"/>
    <w:rsid w:val="00BB65F9"/>
    <w:rsid w:val="00BB7127"/>
    <w:rsid w:val="00BC3D36"/>
    <w:rsid w:val="00BC6CD4"/>
    <w:rsid w:val="00BD7F72"/>
    <w:rsid w:val="00BE4F68"/>
    <w:rsid w:val="00BF0370"/>
    <w:rsid w:val="00BF4EEF"/>
    <w:rsid w:val="00C04FB3"/>
    <w:rsid w:val="00C15AAE"/>
    <w:rsid w:val="00C20CC4"/>
    <w:rsid w:val="00C26AE1"/>
    <w:rsid w:val="00C330EB"/>
    <w:rsid w:val="00C4014D"/>
    <w:rsid w:val="00C54DF2"/>
    <w:rsid w:val="00C62C47"/>
    <w:rsid w:val="00C742C2"/>
    <w:rsid w:val="00C754BE"/>
    <w:rsid w:val="00C76B1C"/>
    <w:rsid w:val="00C8242A"/>
    <w:rsid w:val="00C833C1"/>
    <w:rsid w:val="00C85937"/>
    <w:rsid w:val="00C861BA"/>
    <w:rsid w:val="00C90CBC"/>
    <w:rsid w:val="00C933D7"/>
    <w:rsid w:val="00CB6357"/>
    <w:rsid w:val="00CC1B26"/>
    <w:rsid w:val="00CC2D85"/>
    <w:rsid w:val="00CD738F"/>
    <w:rsid w:val="00CF38E0"/>
    <w:rsid w:val="00CF6C8D"/>
    <w:rsid w:val="00D0424C"/>
    <w:rsid w:val="00D20DD7"/>
    <w:rsid w:val="00D24E5D"/>
    <w:rsid w:val="00D32E24"/>
    <w:rsid w:val="00D33867"/>
    <w:rsid w:val="00D37EFC"/>
    <w:rsid w:val="00D40A92"/>
    <w:rsid w:val="00D423A2"/>
    <w:rsid w:val="00D520D8"/>
    <w:rsid w:val="00D5459B"/>
    <w:rsid w:val="00D61A7A"/>
    <w:rsid w:val="00D63AC2"/>
    <w:rsid w:val="00D7383B"/>
    <w:rsid w:val="00D758CC"/>
    <w:rsid w:val="00D818F4"/>
    <w:rsid w:val="00D843DB"/>
    <w:rsid w:val="00D915FB"/>
    <w:rsid w:val="00D93751"/>
    <w:rsid w:val="00D9401A"/>
    <w:rsid w:val="00DA231B"/>
    <w:rsid w:val="00DA23A0"/>
    <w:rsid w:val="00DB673C"/>
    <w:rsid w:val="00DC39FC"/>
    <w:rsid w:val="00DD3ED5"/>
    <w:rsid w:val="00DE0F55"/>
    <w:rsid w:val="00DE70C4"/>
    <w:rsid w:val="00DF5254"/>
    <w:rsid w:val="00E03095"/>
    <w:rsid w:val="00E13500"/>
    <w:rsid w:val="00E16408"/>
    <w:rsid w:val="00E20894"/>
    <w:rsid w:val="00E245AB"/>
    <w:rsid w:val="00E2764C"/>
    <w:rsid w:val="00E27F2E"/>
    <w:rsid w:val="00E413EA"/>
    <w:rsid w:val="00E41466"/>
    <w:rsid w:val="00E50086"/>
    <w:rsid w:val="00E50AFE"/>
    <w:rsid w:val="00E64185"/>
    <w:rsid w:val="00E64CB1"/>
    <w:rsid w:val="00E75C92"/>
    <w:rsid w:val="00E771DC"/>
    <w:rsid w:val="00E82798"/>
    <w:rsid w:val="00E842F0"/>
    <w:rsid w:val="00E8772A"/>
    <w:rsid w:val="00E90F6B"/>
    <w:rsid w:val="00E92C27"/>
    <w:rsid w:val="00E9328E"/>
    <w:rsid w:val="00E970D9"/>
    <w:rsid w:val="00E97180"/>
    <w:rsid w:val="00E97961"/>
    <w:rsid w:val="00EA0E3D"/>
    <w:rsid w:val="00EA5EA7"/>
    <w:rsid w:val="00EB1017"/>
    <w:rsid w:val="00EB5E66"/>
    <w:rsid w:val="00EC38A7"/>
    <w:rsid w:val="00EC766B"/>
    <w:rsid w:val="00EE1AA8"/>
    <w:rsid w:val="00EE230F"/>
    <w:rsid w:val="00EE4434"/>
    <w:rsid w:val="00F034BD"/>
    <w:rsid w:val="00F04479"/>
    <w:rsid w:val="00F0776E"/>
    <w:rsid w:val="00F13454"/>
    <w:rsid w:val="00F31EDC"/>
    <w:rsid w:val="00F36D42"/>
    <w:rsid w:val="00F462B3"/>
    <w:rsid w:val="00F47207"/>
    <w:rsid w:val="00F50E6D"/>
    <w:rsid w:val="00F525F8"/>
    <w:rsid w:val="00F5664F"/>
    <w:rsid w:val="00F61C12"/>
    <w:rsid w:val="00F64AC9"/>
    <w:rsid w:val="00F65367"/>
    <w:rsid w:val="00F666C4"/>
    <w:rsid w:val="00F757EE"/>
    <w:rsid w:val="00F764E0"/>
    <w:rsid w:val="00F76AFC"/>
    <w:rsid w:val="00F813F9"/>
    <w:rsid w:val="00F87315"/>
    <w:rsid w:val="00FA47C0"/>
    <w:rsid w:val="00FB5DD1"/>
    <w:rsid w:val="00FC2B5D"/>
    <w:rsid w:val="00FC4575"/>
    <w:rsid w:val="00FC7887"/>
    <w:rsid w:val="00FD16F4"/>
    <w:rsid w:val="00FD48E8"/>
    <w:rsid w:val="00FE35F2"/>
    <w:rsid w:val="00FE38B6"/>
    <w:rsid w:val="00FE4172"/>
    <w:rsid w:val="00FF1449"/>
    <w:rsid w:val="00FF6250"/>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176CF"/>
    <w:rPr>
      <w:rFonts w:ascii="Geomanist Light" w:hAnsi="Geomanist Light"/>
      <w:lang w:val="es-ES"/>
    </w:rPr>
  </w:style>
  <w:style w:type="paragraph" w:customStyle="1" w:styleId="Appelnotedebasde">
    <w:name w:val="Appel note de bas de..."/>
    <w:basedOn w:val="Normal"/>
    <w:link w:val="Refdenotaalpie"/>
    <w:uiPriority w:val="99"/>
    <w:rsid w:val="00972CF7"/>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3439">
      <w:bodyDiv w:val="1"/>
      <w:marLeft w:val="0"/>
      <w:marRight w:val="0"/>
      <w:marTop w:val="0"/>
      <w:marBottom w:val="0"/>
      <w:divBdr>
        <w:top w:val="none" w:sz="0" w:space="0" w:color="auto"/>
        <w:left w:val="none" w:sz="0" w:space="0" w:color="auto"/>
        <w:bottom w:val="none" w:sz="0" w:space="0" w:color="auto"/>
        <w:right w:val="none" w:sz="0" w:space="0" w:color="auto"/>
      </w:divBdr>
    </w:div>
    <w:div w:id="45570160">
      <w:bodyDiv w:val="1"/>
      <w:marLeft w:val="0"/>
      <w:marRight w:val="0"/>
      <w:marTop w:val="0"/>
      <w:marBottom w:val="0"/>
      <w:divBdr>
        <w:top w:val="none" w:sz="0" w:space="0" w:color="auto"/>
        <w:left w:val="none" w:sz="0" w:space="0" w:color="auto"/>
        <w:bottom w:val="none" w:sz="0" w:space="0" w:color="auto"/>
        <w:right w:val="none" w:sz="0" w:space="0" w:color="auto"/>
      </w:divBdr>
    </w:div>
    <w:div w:id="179203920">
      <w:bodyDiv w:val="1"/>
      <w:marLeft w:val="0"/>
      <w:marRight w:val="0"/>
      <w:marTop w:val="0"/>
      <w:marBottom w:val="0"/>
      <w:divBdr>
        <w:top w:val="none" w:sz="0" w:space="0" w:color="auto"/>
        <w:left w:val="none" w:sz="0" w:space="0" w:color="auto"/>
        <w:bottom w:val="none" w:sz="0" w:space="0" w:color="auto"/>
        <w:right w:val="none" w:sz="0" w:space="0" w:color="auto"/>
      </w:divBdr>
      <w:divsChild>
        <w:div w:id="1710374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765431">
              <w:marLeft w:val="0"/>
              <w:marRight w:val="0"/>
              <w:marTop w:val="0"/>
              <w:marBottom w:val="0"/>
              <w:divBdr>
                <w:top w:val="none" w:sz="0" w:space="0" w:color="auto"/>
                <w:left w:val="none" w:sz="0" w:space="0" w:color="auto"/>
                <w:bottom w:val="none" w:sz="0" w:space="0" w:color="auto"/>
                <w:right w:val="none" w:sz="0" w:space="0" w:color="auto"/>
              </w:divBdr>
              <w:divsChild>
                <w:div w:id="54637403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82296104">
      <w:bodyDiv w:val="1"/>
      <w:marLeft w:val="0"/>
      <w:marRight w:val="0"/>
      <w:marTop w:val="0"/>
      <w:marBottom w:val="0"/>
      <w:divBdr>
        <w:top w:val="none" w:sz="0" w:space="0" w:color="auto"/>
        <w:left w:val="none" w:sz="0" w:space="0" w:color="auto"/>
        <w:bottom w:val="none" w:sz="0" w:space="0" w:color="auto"/>
        <w:right w:val="none" w:sz="0" w:space="0" w:color="auto"/>
      </w:divBdr>
    </w:div>
    <w:div w:id="594166537">
      <w:bodyDiv w:val="1"/>
      <w:marLeft w:val="0"/>
      <w:marRight w:val="0"/>
      <w:marTop w:val="0"/>
      <w:marBottom w:val="0"/>
      <w:divBdr>
        <w:top w:val="none" w:sz="0" w:space="0" w:color="auto"/>
        <w:left w:val="none" w:sz="0" w:space="0" w:color="auto"/>
        <w:bottom w:val="none" w:sz="0" w:space="0" w:color="auto"/>
        <w:right w:val="none" w:sz="0" w:space="0" w:color="auto"/>
      </w:divBdr>
      <w:divsChild>
        <w:div w:id="619071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918854">
              <w:marLeft w:val="0"/>
              <w:marRight w:val="0"/>
              <w:marTop w:val="0"/>
              <w:marBottom w:val="0"/>
              <w:divBdr>
                <w:top w:val="none" w:sz="0" w:space="0" w:color="auto"/>
                <w:left w:val="none" w:sz="0" w:space="0" w:color="auto"/>
                <w:bottom w:val="none" w:sz="0" w:space="0" w:color="auto"/>
                <w:right w:val="none" w:sz="0" w:space="0" w:color="auto"/>
              </w:divBdr>
              <w:divsChild>
                <w:div w:id="1939097747">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01460525">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07125186">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10363717">
      <w:bodyDiv w:val="1"/>
      <w:marLeft w:val="0"/>
      <w:marRight w:val="0"/>
      <w:marTop w:val="0"/>
      <w:marBottom w:val="0"/>
      <w:divBdr>
        <w:top w:val="none" w:sz="0" w:space="0" w:color="auto"/>
        <w:left w:val="none" w:sz="0" w:space="0" w:color="auto"/>
        <w:bottom w:val="none" w:sz="0" w:space="0" w:color="auto"/>
        <w:right w:val="none" w:sz="0" w:space="0" w:color="auto"/>
      </w:divBdr>
    </w:div>
    <w:div w:id="1617759739">
      <w:bodyDiv w:val="1"/>
      <w:marLeft w:val="0"/>
      <w:marRight w:val="0"/>
      <w:marTop w:val="0"/>
      <w:marBottom w:val="0"/>
      <w:divBdr>
        <w:top w:val="none" w:sz="0" w:space="0" w:color="auto"/>
        <w:left w:val="none" w:sz="0" w:space="0" w:color="auto"/>
        <w:bottom w:val="none" w:sz="0" w:space="0" w:color="auto"/>
        <w:right w:val="none" w:sz="0" w:space="0" w:color="auto"/>
      </w:divBdr>
    </w:div>
    <w:div w:id="1619946002">
      <w:bodyDiv w:val="1"/>
      <w:marLeft w:val="0"/>
      <w:marRight w:val="0"/>
      <w:marTop w:val="0"/>
      <w:marBottom w:val="0"/>
      <w:divBdr>
        <w:top w:val="none" w:sz="0" w:space="0" w:color="auto"/>
        <w:left w:val="none" w:sz="0" w:space="0" w:color="auto"/>
        <w:bottom w:val="none" w:sz="0" w:space="0" w:color="auto"/>
        <w:right w:val="none" w:sz="0" w:space="0" w:color="auto"/>
      </w:divBdr>
    </w:div>
    <w:div w:id="197540463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14979913">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ombiacompra.gov.co/sites/cce_public/files/cce_documents/guia_para_promover_la_participacion_de_las_mipymes_en_los_procesos_de_compra_publica_cce-gad-gi-26_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amp;data=05%7C02%7Cmartha.romero%40colombiacompra.gov.co%7C315ed31c447042b59dd908dd07f079f5%7C7b09041e245149d08cb179d5e3d8c1be%7C0%7C0%7C638675451604900896%7CUnknown%7CTWFpbGZsb3d8eyJFbXB0eU1hcGkiOnRydWUsIlYiOiIwLjAuMDAwMCIsIlAiOiJXaW4zMiIsIkFOIjoiTWFpbCIsIldUIjoyfQ%3D%3D%7C0%7C%7C%7C&amp;sdata=4OynsIcDoUi0wn09UzrJ8oeVVfEtQqotlfuOBHDZvw8%3D&amp;reserved=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sisjur/home/Norma1.jsp?i=25678" TargetMode="External"/><Relationship Id="rId2" Type="http://schemas.openxmlformats.org/officeDocument/2006/relationships/hyperlink" Target="https://www.funcionpublica.gov.co/sisjur/home/Norma1.jsp?i=25678" TargetMode="External"/><Relationship Id="rId1" Type="http://schemas.openxmlformats.org/officeDocument/2006/relationships/hyperlink" Target="https://www.colombiacompra.gov.co/sites/cce_public/files/files_2020/vf_umbrales_actualizaciones_2022_-_2023_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0FC03766-07FD-4BF4-9845-1DF2905BF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EEF3F-E361-4966-BB0A-5C84A04AF7F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4670</Words>
  <Characters>25689</Characters>
  <Application>Microsoft Office Word</Application>
  <DocSecurity>0</DocSecurity>
  <Lines>214</Lines>
  <Paragraphs>60</Paragraphs>
  <ScaleCrop>false</ScaleCrop>
  <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Carolina Blanco Rodriguez</cp:lastModifiedBy>
  <cp:revision>6</cp:revision>
  <cp:lastPrinted>2023-01-10T21:18:00Z</cp:lastPrinted>
  <dcterms:created xsi:type="dcterms:W3CDTF">2024-12-13T16:33:00Z</dcterms:created>
  <dcterms:modified xsi:type="dcterms:W3CDTF">2024-12-19T19:09:00Z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