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D36F3" w14:textId="77777777" w:rsidR="00B337F5" w:rsidRPr="00EC69D7" w:rsidRDefault="00B337F5" w:rsidP="00B337F5">
      <w:pPr>
        <w:spacing w:after="0"/>
        <w:rPr>
          <w:rFonts w:ascii="Verdana" w:hAnsi="Verdana"/>
        </w:rPr>
      </w:pPr>
      <w:bookmarkStart w:id="0" w:name="_Hlk143780582"/>
      <w:r w:rsidRPr="00EC69D7">
        <w:rPr>
          <w:rFonts w:ascii="Verdana" w:hAnsi="Verdana"/>
          <w:b/>
          <w:bCs/>
          <w:color w:val="000000"/>
          <w:sz w:val="20"/>
          <w:szCs w:val="20"/>
        </w:rPr>
        <w:t>DOCUMENTOS TIPO – Fundamento normativo</w:t>
      </w:r>
    </w:p>
    <w:p w14:paraId="6681C2A5" w14:textId="77777777" w:rsidR="00B337F5" w:rsidRPr="00EC69D7" w:rsidRDefault="00B337F5" w:rsidP="00B337F5">
      <w:pPr>
        <w:pStyle w:val="NormalWeb"/>
        <w:jc w:val="both"/>
        <w:rPr>
          <w:rFonts w:ascii="Verdana" w:hAnsi="Verdana"/>
          <w:color w:val="000000"/>
          <w:sz w:val="20"/>
          <w:szCs w:val="20"/>
        </w:rPr>
      </w:pPr>
      <w:r w:rsidRPr="00EC69D7">
        <w:rPr>
          <w:rFonts w:ascii="Verdana" w:hAnsi="Verdana"/>
          <w:color w:val="000000"/>
          <w:sz w:val="20"/>
          <w:szCs w:val="20"/>
        </w:rPr>
        <w:t>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1B1520E4" w14:textId="77777777" w:rsidR="00B337F5" w:rsidRPr="00EC69D7" w:rsidRDefault="00B337F5" w:rsidP="00B337F5">
      <w:pPr>
        <w:pStyle w:val="NormalWeb"/>
        <w:jc w:val="both"/>
        <w:rPr>
          <w:rFonts w:ascii="Verdana" w:hAnsi="Verdana"/>
          <w:color w:val="000000"/>
          <w:sz w:val="20"/>
          <w:szCs w:val="20"/>
        </w:rPr>
      </w:pPr>
      <w:r w:rsidRPr="00EC69D7">
        <w:rPr>
          <w:rFonts w:ascii="Verdana" w:hAnsi="Verdana"/>
          <w:color w:val="000000"/>
          <w:sz w:val="20"/>
          <w:szCs w:val="20"/>
        </w:rPr>
        <w:t>Por otra parte,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149B825A" w14:textId="77777777" w:rsidR="00B337F5" w:rsidRPr="007E1698" w:rsidRDefault="00B337F5" w:rsidP="00B337F5">
      <w:pPr>
        <w:spacing w:after="0" w:line="240" w:lineRule="auto"/>
        <w:jc w:val="both"/>
        <w:rPr>
          <w:rFonts w:ascii="Verdana" w:eastAsia="Geomanist Light" w:hAnsi="Verdana" w:cs="Arial"/>
        </w:rPr>
      </w:pPr>
    </w:p>
    <w:p w14:paraId="2CE48107" w14:textId="77777777" w:rsidR="00B337F5" w:rsidRPr="007E1698" w:rsidRDefault="00B337F5" w:rsidP="00B337F5">
      <w:pPr>
        <w:spacing w:after="0" w:line="240" w:lineRule="auto"/>
        <w:jc w:val="both"/>
        <w:rPr>
          <w:rFonts w:ascii="Verdana" w:eastAsia="Geomanist Light" w:hAnsi="Verdana" w:cs="Arial"/>
          <w:b/>
          <w:bCs/>
          <w:lang w:val="es-ES"/>
        </w:rPr>
      </w:pPr>
      <w:r w:rsidRPr="007E1698">
        <w:rPr>
          <w:rFonts w:ascii="Verdana" w:eastAsia="Geomanist Light" w:hAnsi="Verdana" w:cs="Arial"/>
          <w:b/>
          <w:bCs/>
          <w:lang w:val="es-ES"/>
        </w:rPr>
        <w:t>PUBLICIDAD – Procesos de contratación – Cronograma – Horario – Actividad contractual</w:t>
      </w:r>
    </w:p>
    <w:p w14:paraId="5536A436" w14:textId="77777777" w:rsidR="00B337F5" w:rsidRPr="007E1698" w:rsidRDefault="00B337F5" w:rsidP="00B337F5">
      <w:pPr>
        <w:spacing w:after="0" w:line="240" w:lineRule="auto"/>
        <w:jc w:val="both"/>
        <w:rPr>
          <w:rFonts w:ascii="Verdana" w:eastAsia="Geomanist Light" w:hAnsi="Verdana" w:cs="Arial"/>
          <w:lang w:val="es-ES"/>
        </w:rPr>
      </w:pPr>
    </w:p>
    <w:p w14:paraId="2C468E13" w14:textId="4A5FFAAD" w:rsidR="00B337F5" w:rsidRPr="00EC69D7" w:rsidRDefault="00B337F5" w:rsidP="00B337F5">
      <w:pPr>
        <w:spacing w:after="0" w:line="240" w:lineRule="auto"/>
        <w:jc w:val="both"/>
        <w:rPr>
          <w:rFonts w:ascii="Verdana" w:eastAsia="Geomanist Light" w:hAnsi="Verdana" w:cs="Arial"/>
          <w:sz w:val="20"/>
          <w:szCs w:val="20"/>
          <w:lang w:val="es-ES"/>
        </w:rPr>
      </w:pPr>
      <w:r w:rsidRPr="3278CCE9">
        <w:rPr>
          <w:rFonts w:ascii="Verdana" w:eastAsia="Geomanist Light" w:hAnsi="Verdana" w:cs="Arial"/>
          <w:sz w:val="20"/>
          <w:szCs w:val="20"/>
          <w:lang w:val="es-ES"/>
        </w:rPr>
        <w:t xml:space="preserve">Es importante precisar que las fechas, horas y plazos de los procesos de contratación se encuentran regulados en el cronograma que establezca la entidad al hacer la invitación a participar. Sin embargo, los artículos 2.2.1.1.1.7.1 y 2.2.1.1.2.2.1. del Decreto 1082 de 2015 precisan un término y horario para la publicación de las actividades contractuales. </w:t>
      </w:r>
    </w:p>
    <w:p w14:paraId="29C53C4E" w14:textId="77777777" w:rsidR="00B337F5" w:rsidRPr="007E1698" w:rsidRDefault="00B337F5" w:rsidP="00B337F5">
      <w:pPr>
        <w:spacing w:after="0" w:line="240" w:lineRule="auto"/>
        <w:jc w:val="both"/>
        <w:rPr>
          <w:rFonts w:ascii="Verdana" w:eastAsia="Geomanist Light" w:hAnsi="Verdana" w:cs="Arial"/>
          <w:sz w:val="20"/>
          <w:szCs w:val="20"/>
          <w:lang w:val="es-ES"/>
        </w:rPr>
      </w:pPr>
    </w:p>
    <w:p w14:paraId="0EA7482B" w14:textId="38F4296C" w:rsidR="00B337F5" w:rsidRDefault="00B337F5" w:rsidP="00B337F5">
      <w:pPr>
        <w:spacing w:after="0" w:line="240" w:lineRule="auto"/>
        <w:jc w:val="both"/>
        <w:rPr>
          <w:rFonts w:ascii="Verdana" w:eastAsia="Geomanist Light" w:hAnsi="Verdana" w:cs="Arial"/>
          <w:sz w:val="20"/>
          <w:szCs w:val="20"/>
          <w:lang w:val="es-ES"/>
        </w:rPr>
      </w:pPr>
      <w:r w:rsidRPr="3278CCE9">
        <w:rPr>
          <w:rFonts w:ascii="Verdana" w:eastAsia="Geomanist Light" w:hAnsi="Verdana" w:cs="Arial"/>
          <w:sz w:val="20"/>
          <w:szCs w:val="20"/>
          <w:lang w:val="es-ES"/>
        </w:rPr>
        <w:t>Es indispensable señalar que n</w:t>
      </w:r>
      <w:r w:rsidR="3ADFABB4" w:rsidRPr="3278CCE9">
        <w:rPr>
          <w:rFonts w:ascii="Verdana" w:eastAsia="Geomanist Light" w:hAnsi="Verdana" w:cs="Arial"/>
          <w:sz w:val="20"/>
          <w:szCs w:val="20"/>
          <w:lang w:val="es-ES"/>
        </w:rPr>
        <w:t xml:space="preserve">o se </w:t>
      </w:r>
      <w:r w:rsidR="00DB4D91" w:rsidRPr="3278CCE9">
        <w:rPr>
          <w:rFonts w:ascii="Verdana" w:eastAsia="Geomanist Light" w:hAnsi="Verdana" w:cs="Arial"/>
          <w:sz w:val="20"/>
          <w:szCs w:val="20"/>
          <w:lang w:val="es-ES"/>
        </w:rPr>
        <w:t>encuentra</w:t>
      </w:r>
      <w:r w:rsidR="3ADFABB4" w:rsidRPr="3278CCE9">
        <w:rPr>
          <w:rFonts w:ascii="Verdana" w:eastAsia="Geomanist Light" w:hAnsi="Verdana" w:cs="Arial"/>
          <w:sz w:val="20"/>
          <w:szCs w:val="20"/>
          <w:lang w:val="es-ES"/>
        </w:rPr>
        <w:t xml:space="preserve"> en </w:t>
      </w:r>
      <w:r w:rsidRPr="3278CCE9">
        <w:rPr>
          <w:rFonts w:ascii="Verdana" w:eastAsia="Geomanist Light" w:hAnsi="Verdana" w:cs="Arial"/>
          <w:sz w:val="20"/>
          <w:szCs w:val="20"/>
          <w:lang w:val="es-ES"/>
        </w:rPr>
        <w:t xml:space="preserve">la normativa </w:t>
      </w:r>
      <w:r w:rsidR="00DB4D91" w:rsidRPr="3278CCE9">
        <w:rPr>
          <w:rFonts w:ascii="Verdana" w:eastAsia="Geomanist Light" w:hAnsi="Verdana" w:cs="Arial"/>
          <w:sz w:val="20"/>
          <w:szCs w:val="20"/>
          <w:lang w:val="es-ES"/>
        </w:rPr>
        <w:t>civil, comercial</w:t>
      </w:r>
      <w:r w:rsidRPr="3278CCE9">
        <w:rPr>
          <w:rFonts w:ascii="Verdana" w:eastAsia="Geomanist Light" w:hAnsi="Verdana" w:cs="Arial"/>
          <w:sz w:val="20"/>
          <w:szCs w:val="20"/>
          <w:lang w:val="es-ES"/>
        </w:rPr>
        <w:t xml:space="preserve">, ni </w:t>
      </w:r>
      <w:r w:rsidR="1D139ACD" w:rsidRPr="3278CCE9">
        <w:rPr>
          <w:rFonts w:ascii="Verdana" w:eastAsia="Geomanist Light" w:hAnsi="Verdana" w:cs="Arial"/>
          <w:sz w:val="20"/>
          <w:szCs w:val="20"/>
          <w:lang w:val="es-ES"/>
        </w:rPr>
        <w:t xml:space="preserve">en </w:t>
      </w:r>
      <w:r w:rsidRPr="3278CCE9">
        <w:rPr>
          <w:rFonts w:ascii="Verdana" w:eastAsia="Geomanist Light" w:hAnsi="Verdana" w:cs="Arial"/>
          <w:sz w:val="20"/>
          <w:szCs w:val="20"/>
          <w:lang w:val="es-ES"/>
        </w:rPr>
        <w:t>el Estatuto General de la Contratación Pública que la actividad contractual deba someterse a la jornada laboral de las entidades públicas, pues, la publicidad de las adendas tiene su propio horario, mientras que las demás actividades deberán realizarse de conformidad con el cronograma del proceso de contratación</w:t>
      </w:r>
      <w:r w:rsidR="24869014" w:rsidRPr="3278CCE9">
        <w:rPr>
          <w:rFonts w:ascii="Verdana" w:eastAsia="Geomanist Light" w:hAnsi="Verdana" w:cs="Arial"/>
          <w:sz w:val="20"/>
          <w:szCs w:val="20"/>
          <w:lang w:val="es-ES"/>
        </w:rPr>
        <w:t xml:space="preserve"> atendiendo la jornada laboral que establezca cada entidad conforme los parámetros de ley</w:t>
      </w:r>
      <w:r w:rsidRPr="3278CCE9">
        <w:rPr>
          <w:rFonts w:ascii="Verdana" w:eastAsia="Geomanist Light" w:hAnsi="Verdana" w:cs="Arial"/>
          <w:sz w:val="20"/>
          <w:szCs w:val="20"/>
          <w:lang w:val="es-ES"/>
        </w:rPr>
        <w:t>.</w:t>
      </w:r>
    </w:p>
    <w:p w14:paraId="42884634" w14:textId="77777777" w:rsidR="00B337F5" w:rsidRDefault="00B337F5" w:rsidP="00B337F5">
      <w:pPr>
        <w:spacing w:after="0" w:line="240" w:lineRule="auto"/>
        <w:jc w:val="both"/>
        <w:rPr>
          <w:rFonts w:ascii="Verdana" w:eastAsia="Geomanist Light" w:hAnsi="Verdana" w:cs="Arial"/>
          <w:sz w:val="20"/>
          <w:szCs w:val="20"/>
          <w:lang w:val="es-ES"/>
        </w:rPr>
      </w:pPr>
    </w:p>
    <w:p w14:paraId="00FA15A8" w14:textId="77777777" w:rsidR="00B337F5" w:rsidRPr="007E1698" w:rsidRDefault="00B337F5" w:rsidP="00B337F5">
      <w:pPr>
        <w:spacing w:after="0" w:line="240" w:lineRule="auto"/>
        <w:jc w:val="both"/>
        <w:rPr>
          <w:rFonts w:ascii="Verdana" w:eastAsia="Geomanist Light" w:hAnsi="Verdana" w:cs="Arial"/>
          <w:sz w:val="20"/>
          <w:szCs w:val="20"/>
          <w:lang w:val="es-ES"/>
        </w:rPr>
      </w:pPr>
    </w:p>
    <w:p w14:paraId="151D7C91" w14:textId="77777777" w:rsidR="00B337F5" w:rsidRPr="004D1C50" w:rsidRDefault="00B337F5" w:rsidP="00B337F5">
      <w:pPr>
        <w:spacing w:line="240" w:lineRule="auto"/>
        <w:contextualSpacing/>
        <w:jc w:val="both"/>
        <w:rPr>
          <w:rFonts w:ascii="Verdana" w:eastAsia="Geomanist Light" w:hAnsi="Verdana" w:cs="Arial"/>
          <w:b/>
          <w:bCs/>
          <w:sz w:val="20"/>
          <w:szCs w:val="20"/>
          <w:lang w:val="es-ES"/>
        </w:rPr>
      </w:pPr>
      <w:r w:rsidRPr="004D1C50">
        <w:rPr>
          <w:rFonts w:ascii="Verdana" w:eastAsia="Geomanist Light" w:hAnsi="Verdana" w:cs="Arial"/>
          <w:b/>
          <w:bCs/>
          <w:sz w:val="20"/>
          <w:szCs w:val="20"/>
          <w:lang w:val="es-ES"/>
        </w:rPr>
        <w:t>TÉRMINOS O PLAZOS DE LAS ETAPAS DEL PROCESO DE SELECCIÓN CONTRACTUAL – Preclusivos y perentorios</w:t>
      </w:r>
    </w:p>
    <w:p w14:paraId="27407270" w14:textId="77777777" w:rsidR="00B337F5" w:rsidRPr="004D1C50" w:rsidRDefault="00B337F5" w:rsidP="00B337F5">
      <w:pPr>
        <w:spacing w:line="240" w:lineRule="auto"/>
        <w:contextualSpacing/>
        <w:jc w:val="both"/>
        <w:rPr>
          <w:rFonts w:ascii="Verdana" w:eastAsia="Geomanist Light" w:hAnsi="Verdana" w:cs="Arial"/>
          <w:sz w:val="20"/>
          <w:szCs w:val="20"/>
          <w:lang w:val="es-ES"/>
        </w:rPr>
      </w:pPr>
    </w:p>
    <w:p w14:paraId="4B20E1E8" w14:textId="78CB6D02" w:rsidR="00B337F5" w:rsidRPr="007E1698" w:rsidRDefault="00B337F5" w:rsidP="00B337F5">
      <w:pPr>
        <w:spacing w:after="0" w:line="240" w:lineRule="auto"/>
        <w:jc w:val="both"/>
        <w:rPr>
          <w:rFonts w:ascii="Verdana" w:eastAsia="Geomanist Light" w:hAnsi="Verdana" w:cs="Arial"/>
          <w:b/>
          <w:bCs/>
          <w:lang w:val="es-MX"/>
        </w:rPr>
      </w:pPr>
      <w:r w:rsidRPr="3278CCE9">
        <w:rPr>
          <w:rFonts w:ascii="Verdana" w:eastAsia="Geomanist Light" w:hAnsi="Verdana" w:cs="Arial"/>
          <w:sz w:val="20"/>
          <w:szCs w:val="20"/>
          <w:lang w:val="es-ES"/>
        </w:rPr>
        <w:lastRenderedPageBreak/>
        <w:t xml:space="preserve">“[…] </w:t>
      </w:r>
      <w:r w:rsidR="5A40115B" w:rsidRPr="3278CCE9">
        <w:rPr>
          <w:rFonts w:ascii="Verdana" w:eastAsia="Geomanist Light" w:hAnsi="Verdana" w:cs="Arial"/>
          <w:sz w:val="20"/>
          <w:szCs w:val="20"/>
          <w:lang w:val="es-ES"/>
        </w:rPr>
        <w:t>L</w:t>
      </w:r>
      <w:r w:rsidRPr="3278CCE9">
        <w:rPr>
          <w:rFonts w:ascii="Verdana" w:eastAsia="Geomanist Light" w:hAnsi="Verdana" w:cs="Arial"/>
          <w:sz w:val="20"/>
          <w:szCs w:val="20"/>
          <w:lang w:val="es-ES"/>
        </w:rPr>
        <w:t xml:space="preserve">as condiciones de </w:t>
      </w:r>
      <w:r w:rsidR="02639997" w:rsidRPr="3278CCE9">
        <w:rPr>
          <w:rFonts w:ascii="Verdana" w:eastAsia="Geomanist Light" w:hAnsi="Verdana" w:cs="Arial"/>
          <w:sz w:val="20"/>
          <w:szCs w:val="20"/>
          <w:lang w:val="es-ES"/>
        </w:rPr>
        <w:t xml:space="preserve">participación previstas en los pliegos de condiciones o sus equivalentes, deben ser lo suficientemente claras </w:t>
      </w:r>
      <w:r w:rsidRPr="3278CCE9">
        <w:rPr>
          <w:rFonts w:ascii="Verdana" w:eastAsia="Geomanist Light" w:hAnsi="Verdana" w:cs="Arial"/>
          <w:sz w:val="20"/>
          <w:szCs w:val="20"/>
          <w:lang w:val="es-ES"/>
        </w:rPr>
        <w:t xml:space="preserve"> </w:t>
      </w:r>
      <w:r w:rsidR="44303B86" w:rsidRPr="3278CCE9">
        <w:rPr>
          <w:rFonts w:ascii="Verdana" w:eastAsia="Geomanist Light" w:hAnsi="Verdana" w:cs="Arial"/>
          <w:sz w:val="20"/>
          <w:szCs w:val="20"/>
          <w:lang w:val="es-ES"/>
        </w:rPr>
        <w:t xml:space="preserve">para que </w:t>
      </w:r>
      <w:r w:rsidRPr="3278CCE9">
        <w:rPr>
          <w:rFonts w:ascii="Verdana" w:eastAsia="Geomanist Light" w:hAnsi="Verdana" w:cs="Arial"/>
          <w:sz w:val="20"/>
          <w:szCs w:val="20"/>
          <w:lang w:val="es-ES"/>
        </w:rPr>
        <w:t xml:space="preserve">los interesados </w:t>
      </w:r>
      <w:r w:rsidR="6A718AAE" w:rsidRPr="3278CCE9">
        <w:rPr>
          <w:rFonts w:ascii="Verdana" w:eastAsia="Geomanist Light" w:hAnsi="Verdana" w:cs="Arial"/>
          <w:sz w:val="20"/>
          <w:szCs w:val="20"/>
          <w:lang w:val="es-ES"/>
        </w:rPr>
        <w:t xml:space="preserve">tengan en cuenta los plazos y término con el </w:t>
      </w:r>
      <w:r w:rsidRPr="3278CCE9">
        <w:rPr>
          <w:rFonts w:ascii="Verdana" w:eastAsia="Geomanist Light" w:hAnsi="Verdana" w:cs="Arial"/>
          <w:sz w:val="20"/>
          <w:szCs w:val="20"/>
          <w:lang w:val="es-ES"/>
        </w:rPr>
        <w:t xml:space="preserve">que disponen para elaborar sus ofertas, </w:t>
      </w:r>
      <w:r w:rsidR="05938DB2" w:rsidRPr="3278CCE9">
        <w:rPr>
          <w:rFonts w:ascii="Verdana" w:eastAsia="Geomanist Light" w:hAnsi="Verdana" w:cs="Arial"/>
          <w:sz w:val="20"/>
          <w:szCs w:val="20"/>
          <w:lang w:val="es-ES"/>
        </w:rPr>
        <w:t xml:space="preserve">así como </w:t>
      </w:r>
      <w:r w:rsidRPr="3278CCE9">
        <w:rPr>
          <w:rFonts w:ascii="Verdana" w:eastAsia="Geomanist Light" w:hAnsi="Verdana" w:cs="Arial"/>
          <w:sz w:val="20"/>
          <w:szCs w:val="20"/>
          <w:lang w:val="es-ES"/>
        </w:rPr>
        <w:t xml:space="preserve">el plazo que se tomará la entidad para estudiarlas y el término en que procederá a la adjudicación o declaratoria de desierta, al </w:t>
      </w:r>
      <w:r w:rsidR="00DB4D91" w:rsidRPr="3278CCE9">
        <w:rPr>
          <w:rFonts w:ascii="Verdana" w:eastAsia="Geomanist Light" w:hAnsi="Verdana" w:cs="Arial"/>
          <w:sz w:val="20"/>
          <w:szCs w:val="20"/>
          <w:lang w:val="es-ES"/>
        </w:rPr>
        <w:t>punto que</w:t>
      </w:r>
      <w:r w:rsidRPr="3278CCE9">
        <w:rPr>
          <w:rFonts w:ascii="Verdana" w:eastAsia="Geomanist Light" w:hAnsi="Verdana" w:cs="Arial"/>
          <w:sz w:val="20"/>
          <w:szCs w:val="20"/>
          <w:lang w:val="es-ES"/>
        </w:rPr>
        <w:t xml:space="preserve">, si no se acatan, las consecuencias para uno u otro serán determinantes, tales como rechazar la propuesta por extemporánea o perder la facultad para adjudicar si no se hace en el tiempo previsto. </w:t>
      </w:r>
    </w:p>
    <w:p w14:paraId="47874FBB" w14:textId="77777777" w:rsidR="00B337F5" w:rsidRDefault="00B337F5" w:rsidP="00B337F5">
      <w:pPr>
        <w:spacing w:after="0" w:line="240" w:lineRule="auto"/>
        <w:jc w:val="both"/>
        <w:rPr>
          <w:rFonts w:ascii="Verdana" w:eastAsia="Geomanist Light" w:hAnsi="Verdana" w:cs="Arial"/>
          <w:sz w:val="20"/>
          <w:szCs w:val="20"/>
          <w:lang w:val="es-ES_tradnl"/>
        </w:rPr>
      </w:pPr>
    </w:p>
    <w:p w14:paraId="2D0A9998" w14:textId="77777777" w:rsidR="00B337F5" w:rsidRDefault="00B337F5" w:rsidP="00B337F5">
      <w:pPr>
        <w:spacing w:after="0" w:line="240" w:lineRule="auto"/>
        <w:jc w:val="both"/>
        <w:rPr>
          <w:rFonts w:ascii="Verdana" w:eastAsia="Geomanist Light" w:hAnsi="Verdana" w:cs="Arial"/>
          <w:sz w:val="20"/>
          <w:szCs w:val="20"/>
          <w:lang w:val="es-ES_tradnl"/>
        </w:rPr>
      </w:pPr>
    </w:p>
    <w:p w14:paraId="0AB31BD6" w14:textId="77777777" w:rsidR="00B337F5" w:rsidRDefault="00B337F5" w:rsidP="00B337F5">
      <w:pPr>
        <w:spacing w:after="0" w:line="240" w:lineRule="auto"/>
        <w:jc w:val="both"/>
        <w:rPr>
          <w:rFonts w:ascii="Verdana" w:eastAsia="Geomanist Light" w:hAnsi="Verdana" w:cs="Arial"/>
          <w:sz w:val="20"/>
          <w:szCs w:val="20"/>
          <w:lang w:val="es-ES_tradnl"/>
        </w:rPr>
      </w:pPr>
    </w:p>
    <w:p w14:paraId="143F9C63" w14:textId="77777777" w:rsidR="00B337F5" w:rsidRDefault="00B337F5" w:rsidP="00B337F5">
      <w:pPr>
        <w:spacing w:after="0" w:line="240" w:lineRule="auto"/>
        <w:jc w:val="both"/>
        <w:rPr>
          <w:rFonts w:ascii="Verdana" w:eastAsia="Geomanist Light" w:hAnsi="Verdana" w:cs="Arial"/>
          <w:sz w:val="20"/>
          <w:szCs w:val="20"/>
          <w:lang w:val="es-ES_tradnl"/>
        </w:rPr>
      </w:pPr>
    </w:p>
    <w:p w14:paraId="675F4BEB" w14:textId="77777777" w:rsidR="00B337F5" w:rsidRDefault="00B337F5" w:rsidP="00B337F5">
      <w:pPr>
        <w:spacing w:after="0" w:line="240" w:lineRule="auto"/>
        <w:jc w:val="both"/>
        <w:rPr>
          <w:rFonts w:ascii="Verdana" w:eastAsia="Geomanist Light" w:hAnsi="Verdana" w:cs="Arial"/>
          <w:sz w:val="20"/>
          <w:szCs w:val="20"/>
          <w:lang w:val="es-ES_tradnl"/>
        </w:rPr>
      </w:pPr>
    </w:p>
    <w:p w14:paraId="4DF05AED" w14:textId="77777777" w:rsidR="00B337F5" w:rsidRDefault="00B337F5" w:rsidP="00B337F5">
      <w:pPr>
        <w:spacing w:after="0" w:line="240" w:lineRule="auto"/>
        <w:jc w:val="both"/>
        <w:rPr>
          <w:rFonts w:ascii="Verdana" w:eastAsia="Geomanist Light" w:hAnsi="Verdana" w:cs="Arial"/>
          <w:sz w:val="20"/>
          <w:szCs w:val="20"/>
          <w:lang w:val="es-ES_tradnl"/>
        </w:rPr>
      </w:pPr>
    </w:p>
    <w:p w14:paraId="18DD06CC" w14:textId="77777777" w:rsidR="00B337F5" w:rsidRDefault="00B337F5" w:rsidP="00B337F5">
      <w:pPr>
        <w:spacing w:after="0" w:line="240" w:lineRule="auto"/>
        <w:jc w:val="both"/>
        <w:rPr>
          <w:rFonts w:ascii="Verdana" w:eastAsia="Geomanist Light" w:hAnsi="Verdana" w:cs="Arial"/>
          <w:sz w:val="20"/>
          <w:szCs w:val="20"/>
          <w:lang w:val="es-ES_tradnl"/>
        </w:rPr>
      </w:pPr>
    </w:p>
    <w:p w14:paraId="725A8BA2" w14:textId="77777777" w:rsidR="00B337F5" w:rsidRDefault="00B337F5" w:rsidP="00B337F5">
      <w:pPr>
        <w:spacing w:after="0" w:line="240" w:lineRule="auto"/>
        <w:jc w:val="both"/>
        <w:rPr>
          <w:rFonts w:ascii="Verdana" w:eastAsia="Geomanist Light" w:hAnsi="Verdana" w:cs="Arial"/>
          <w:sz w:val="20"/>
          <w:szCs w:val="20"/>
          <w:lang w:val="es-ES_tradnl"/>
        </w:rPr>
      </w:pPr>
    </w:p>
    <w:p w14:paraId="16ABC9A7" w14:textId="77777777" w:rsidR="00B337F5" w:rsidRDefault="00B337F5" w:rsidP="00B337F5">
      <w:pPr>
        <w:spacing w:after="0" w:line="240" w:lineRule="auto"/>
        <w:jc w:val="both"/>
        <w:rPr>
          <w:rFonts w:ascii="Verdana" w:eastAsia="Geomanist Light" w:hAnsi="Verdana" w:cs="Arial"/>
          <w:sz w:val="20"/>
          <w:szCs w:val="20"/>
          <w:lang w:val="es-ES_tradnl"/>
        </w:rPr>
      </w:pPr>
    </w:p>
    <w:p w14:paraId="5763D2A0" w14:textId="77777777" w:rsidR="00B337F5" w:rsidRDefault="00B337F5" w:rsidP="00B337F5">
      <w:pPr>
        <w:spacing w:after="0" w:line="240" w:lineRule="auto"/>
        <w:jc w:val="both"/>
        <w:rPr>
          <w:rFonts w:ascii="Verdana" w:eastAsia="Geomanist Light" w:hAnsi="Verdana" w:cs="Arial"/>
          <w:sz w:val="20"/>
          <w:szCs w:val="20"/>
          <w:lang w:val="es-ES_tradnl"/>
        </w:rPr>
      </w:pPr>
    </w:p>
    <w:p w14:paraId="2B941E7D" w14:textId="77777777" w:rsidR="00B337F5" w:rsidRDefault="00B337F5" w:rsidP="00B337F5">
      <w:pPr>
        <w:spacing w:after="0" w:line="240" w:lineRule="auto"/>
        <w:jc w:val="both"/>
        <w:rPr>
          <w:rFonts w:ascii="Verdana" w:eastAsia="Geomanist Light" w:hAnsi="Verdana" w:cs="Arial"/>
          <w:sz w:val="20"/>
          <w:szCs w:val="20"/>
          <w:lang w:val="es-ES_tradnl"/>
        </w:rPr>
      </w:pPr>
    </w:p>
    <w:p w14:paraId="6C627D7F" w14:textId="77777777" w:rsidR="00B337F5" w:rsidRDefault="00B337F5" w:rsidP="00B337F5">
      <w:pPr>
        <w:spacing w:after="0" w:line="240" w:lineRule="auto"/>
        <w:jc w:val="both"/>
        <w:rPr>
          <w:rFonts w:ascii="Verdana" w:eastAsia="Geomanist Light" w:hAnsi="Verdana" w:cs="Arial"/>
          <w:sz w:val="20"/>
          <w:szCs w:val="20"/>
          <w:lang w:val="es-ES_tradnl"/>
        </w:rPr>
      </w:pPr>
    </w:p>
    <w:p w14:paraId="1975540B" w14:textId="77777777" w:rsidR="00B337F5" w:rsidRDefault="00B337F5" w:rsidP="00B337F5">
      <w:pPr>
        <w:spacing w:after="0" w:line="240" w:lineRule="auto"/>
        <w:jc w:val="both"/>
        <w:rPr>
          <w:rFonts w:ascii="Verdana" w:eastAsia="Geomanist Light" w:hAnsi="Verdana" w:cs="Arial"/>
          <w:sz w:val="20"/>
          <w:szCs w:val="20"/>
          <w:lang w:val="es-ES_tradnl"/>
        </w:rPr>
      </w:pPr>
    </w:p>
    <w:p w14:paraId="4525FAD8" w14:textId="77777777" w:rsidR="00B337F5" w:rsidRDefault="00B337F5" w:rsidP="00B337F5">
      <w:pPr>
        <w:spacing w:after="0" w:line="240" w:lineRule="auto"/>
        <w:jc w:val="both"/>
        <w:rPr>
          <w:rFonts w:ascii="Verdana" w:eastAsia="Geomanist Light" w:hAnsi="Verdana" w:cs="Arial"/>
          <w:sz w:val="20"/>
          <w:szCs w:val="20"/>
          <w:lang w:val="es-ES_tradnl"/>
        </w:rPr>
      </w:pPr>
    </w:p>
    <w:p w14:paraId="5D1509EF" w14:textId="77777777" w:rsidR="00B337F5" w:rsidRDefault="00B337F5" w:rsidP="00B337F5">
      <w:pPr>
        <w:spacing w:after="0" w:line="240" w:lineRule="auto"/>
        <w:jc w:val="both"/>
        <w:rPr>
          <w:rFonts w:ascii="Verdana" w:eastAsia="Geomanist Light" w:hAnsi="Verdana" w:cs="Arial"/>
          <w:sz w:val="20"/>
          <w:szCs w:val="20"/>
          <w:lang w:val="es-ES_tradnl"/>
        </w:rPr>
      </w:pPr>
    </w:p>
    <w:p w14:paraId="0B2AEB05" w14:textId="77777777" w:rsidR="00B337F5" w:rsidRDefault="00B337F5" w:rsidP="00B337F5">
      <w:pPr>
        <w:spacing w:after="0" w:line="240" w:lineRule="auto"/>
        <w:jc w:val="both"/>
        <w:rPr>
          <w:rFonts w:ascii="Verdana" w:eastAsia="Geomanist Light" w:hAnsi="Verdana" w:cs="Arial"/>
          <w:sz w:val="20"/>
          <w:szCs w:val="20"/>
          <w:lang w:val="es-ES_tradnl"/>
        </w:rPr>
      </w:pPr>
    </w:p>
    <w:p w14:paraId="0886E674" w14:textId="77777777" w:rsidR="00B337F5" w:rsidRDefault="00B337F5" w:rsidP="00B337F5">
      <w:pPr>
        <w:spacing w:after="0" w:line="240" w:lineRule="auto"/>
        <w:jc w:val="both"/>
        <w:rPr>
          <w:rFonts w:ascii="Verdana" w:eastAsia="Geomanist Light" w:hAnsi="Verdana" w:cs="Arial"/>
          <w:sz w:val="20"/>
          <w:szCs w:val="20"/>
          <w:lang w:val="es-ES_tradnl"/>
        </w:rPr>
      </w:pPr>
    </w:p>
    <w:p w14:paraId="3A439621" w14:textId="77777777" w:rsidR="00B337F5" w:rsidRDefault="00B337F5" w:rsidP="00B337F5">
      <w:pPr>
        <w:spacing w:after="0" w:line="240" w:lineRule="auto"/>
        <w:jc w:val="both"/>
        <w:rPr>
          <w:rFonts w:ascii="Verdana" w:eastAsia="Geomanist Light" w:hAnsi="Verdana" w:cs="Arial"/>
          <w:sz w:val="20"/>
          <w:szCs w:val="20"/>
          <w:lang w:val="es-ES_tradnl"/>
        </w:rPr>
      </w:pPr>
    </w:p>
    <w:p w14:paraId="4DE34D59" w14:textId="77777777" w:rsidR="00B337F5" w:rsidRDefault="00B337F5" w:rsidP="00B337F5">
      <w:pPr>
        <w:spacing w:after="0" w:line="240" w:lineRule="auto"/>
        <w:jc w:val="both"/>
        <w:rPr>
          <w:rFonts w:ascii="Verdana" w:eastAsia="Geomanist Light" w:hAnsi="Verdana" w:cs="Arial"/>
          <w:sz w:val="20"/>
          <w:szCs w:val="20"/>
          <w:lang w:val="es-ES_tradnl"/>
        </w:rPr>
      </w:pPr>
    </w:p>
    <w:p w14:paraId="241B359C" w14:textId="77777777" w:rsidR="00B337F5" w:rsidRDefault="00B337F5" w:rsidP="00B337F5">
      <w:pPr>
        <w:spacing w:after="0" w:line="240" w:lineRule="auto"/>
        <w:jc w:val="both"/>
        <w:rPr>
          <w:rFonts w:ascii="Verdana" w:eastAsia="Geomanist Light" w:hAnsi="Verdana" w:cs="Arial"/>
          <w:sz w:val="20"/>
          <w:szCs w:val="20"/>
          <w:lang w:val="es-ES_tradnl"/>
        </w:rPr>
      </w:pPr>
    </w:p>
    <w:p w14:paraId="42E47930" w14:textId="77777777" w:rsidR="00B337F5" w:rsidRDefault="00B337F5" w:rsidP="00B337F5">
      <w:pPr>
        <w:spacing w:after="0" w:line="240" w:lineRule="auto"/>
        <w:jc w:val="both"/>
        <w:rPr>
          <w:rFonts w:ascii="Verdana" w:eastAsia="Geomanist Light" w:hAnsi="Verdana" w:cs="Arial"/>
          <w:sz w:val="20"/>
          <w:szCs w:val="20"/>
          <w:lang w:val="es-ES_tradnl"/>
        </w:rPr>
      </w:pPr>
    </w:p>
    <w:p w14:paraId="520A0645" w14:textId="77777777" w:rsidR="00B337F5" w:rsidRDefault="00B337F5" w:rsidP="00B337F5">
      <w:pPr>
        <w:spacing w:after="0" w:line="240" w:lineRule="auto"/>
        <w:jc w:val="both"/>
        <w:rPr>
          <w:rFonts w:ascii="Verdana" w:eastAsia="Geomanist Light" w:hAnsi="Verdana" w:cs="Arial"/>
          <w:sz w:val="20"/>
          <w:szCs w:val="20"/>
          <w:lang w:val="es-ES_tradnl"/>
        </w:rPr>
      </w:pPr>
    </w:p>
    <w:p w14:paraId="659F6B1E" w14:textId="77777777" w:rsidR="00B337F5" w:rsidRDefault="00B337F5" w:rsidP="00B337F5">
      <w:pPr>
        <w:spacing w:after="0" w:line="240" w:lineRule="auto"/>
        <w:jc w:val="both"/>
        <w:rPr>
          <w:rFonts w:ascii="Verdana" w:eastAsia="Geomanist Light" w:hAnsi="Verdana" w:cs="Arial"/>
          <w:sz w:val="20"/>
          <w:szCs w:val="20"/>
          <w:lang w:val="es-ES_tradnl"/>
        </w:rPr>
      </w:pPr>
    </w:p>
    <w:p w14:paraId="2FDD46E0" w14:textId="77777777" w:rsidR="00B337F5" w:rsidRDefault="00B337F5" w:rsidP="00B337F5">
      <w:pPr>
        <w:spacing w:after="0" w:line="240" w:lineRule="auto"/>
        <w:jc w:val="both"/>
        <w:rPr>
          <w:rFonts w:ascii="Verdana" w:eastAsia="Geomanist Light" w:hAnsi="Verdana" w:cs="Arial"/>
          <w:sz w:val="20"/>
          <w:szCs w:val="20"/>
          <w:lang w:val="es-ES_tradnl"/>
        </w:rPr>
      </w:pPr>
    </w:p>
    <w:p w14:paraId="56F4C535" w14:textId="77777777" w:rsidR="00B337F5" w:rsidRDefault="00B337F5" w:rsidP="00B337F5">
      <w:pPr>
        <w:spacing w:after="0" w:line="240" w:lineRule="auto"/>
        <w:jc w:val="both"/>
        <w:rPr>
          <w:rFonts w:ascii="Verdana" w:eastAsia="Geomanist Light" w:hAnsi="Verdana" w:cs="Arial"/>
          <w:sz w:val="20"/>
          <w:szCs w:val="20"/>
          <w:lang w:val="es-ES_tradnl"/>
        </w:rPr>
      </w:pPr>
    </w:p>
    <w:p w14:paraId="073E6730" w14:textId="77777777" w:rsidR="00B337F5" w:rsidRDefault="00B337F5" w:rsidP="00B337F5">
      <w:pPr>
        <w:spacing w:after="0" w:line="240" w:lineRule="auto"/>
        <w:jc w:val="both"/>
        <w:rPr>
          <w:rFonts w:ascii="Verdana" w:eastAsia="Geomanist Light" w:hAnsi="Verdana" w:cs="Arial"/>
          <w:sz w:val="20"/>
          <w:szCs w:val="20"/>
          <w:lang w:val="es-ES_tradnl"/>
        </w:rPr>
      </w:pPr>
    </w:p>
    <w:p w14:paraId="00094341" w14:textId="77777777" w:rsidR="00B337F5" w:rsidRDefault="00B337F5" w:rsidP="00B337F5">
      <w:pPr>
        <w:spacing w:after="0" w:line="240" w:lineRule="auto"/>
        <w:jc w:val="both"/>
        <w:rPr>
          <w:rFonts w:ascii="Verdana" w:eastAsia="Geomanist Light" w:hAnsi="Verdana" w:cs="Arial"/>
          <w:sz w:val="20"/>
          <w:szCs w:val="20"/>
          <w:lang w:val="es-ES_tradnl"/>
        </w:rPr>
      </w:pPr>
    </w:p>
    <w:p w14:paraId="7E65CB88" w14:textId="77777777" w:rsidR="00B337F5" w:rsidRDefault="00B337F5" w:rsidP="00B337F5">
      <w:pPr>
        <w:spacing w:after="0" w:line="240" w:lineRule="auto"/>
        <w:jc w:val="both"/>
        <w:rPr>
          <w:rFonts w:ascii="Verdana" w:eastAsia="Geomanist Light" w:hAnsi="Verdana" w:cs="Arial"/>
          <w:sz w:val="20"/>
          <w:szCs w:val="20"/>
          <w:lang w:val="es-ES_tradnl"/>
        </w:rPr>
      </w:pPr>
    </w:p>
    <w:p w14:paraId="223E2615" w14:textId="77777777" w:rsidR="00B337F5" w:rsidRDefault="00B337F5" w:rsidP="00B337F5">
      <w:pPr>
        <w:spacing w:after="0" w:line="240" w:lineRule="auto"/>
        <w:jc w:val="both"/>
        <w:rPr>
          <w:rFonts w:ascii="Verdana" w:eastAsia="Geomanist Light" w:hAnsi="Verdana" w:cs="Arial"/>
          <w:sz w:val="20"/>
          <w:szCs w:val="20"/>
          <w:lang w:val="es-ES_tradnl"/>
        </w:rPr>
      </w:pPr>
    </w:p>
    <w:p w14:paraId="4547B6B1" w14:textId="77777777" w:rsidR="00B337F5" w:rsidRDefault="00B337F5" w:rsidP="00B337F5">
      <w:pPr>
        <w:spacing w:after="0" w:line="240" w:lineRule="auto"/>
        <w:jc w:val="both"/>
        <w:rPr>
          <w:rFonts w:ascii="Verdana" w:eastAsia="Geomanist Light" w:hAnsi="Verdana" w:cs="Arial"/>
          <w:sz w:val="20"/>
          <w:szCs w:val="20"/>
          <w:lang w:val="es-ES_tradnl"/>
        </w:rPr>
      </w:pPr>
    </w:p>
    <w:p w14:paraId="6B386D94" w14:textId="77777777" w:rsidR="00B337F5" w:rsidRDefault="00B337F5" w:rsidP="00B337F5">
      <w:pPr>
        <w:spacing w:after="0" w:line="240" w:lineRule="auto"/>
        <w:jc w:val="both"/>
        <w:rPr>
          <w:rFonts w:ascii="Verdana" w:eastAsia="Geomanist Light" w:hAnsi="Verdana" w:cs="Arial"/>
          <w:sz w:val="20"/>
          <w:szCs w:val="20"/>
          <w:lang w:val="es-ES_tradnl"/>
        </w:rPr>
      </w:pPr>
    </w:p>
    <w:p w14:paraId="6ED0B954" w14:textId="77777777" w:rsidR="00B337F5" w:rsidRDefault="00B337F5" w:rsidP="00B337F5">
      <w:pPr>
        <w:spacing w:after="0" w:line="240" w:lineRule="auto"/>
        <w:jc w:val="both"/>
        <w:rPr>
          <w:rFonts w:ascii="Verdana" w:eastAsia="Geomanist Light" w:hAnsi="Verdana" w:cs="Arial"/>
          <w:sz w:val="20"/>
          <w:szCs w:val="20"/>
          <w:lang w:val="es-ES_tradnl"/>
        </w:rPr>
      </w:pPr>
    </w:p>
    <w:p w14:paraId="5862C160" w14:textId="77777777" w:rsidR="00B337F5" w:rsidRDefault="00B337F5" w:rsidP="00B337F5">
      <w:pPr>
        <w:spacing w:after="0" w:line="240" w:lineRule="auto"/>
        <w:jc w:val="both"/>
        <w:rPr>
          <w:rFonts w:ascii="Verdana" w:eastAsia="Geomanist Light" w:hAnsi="Verdana" w:cs="Arial"/>
          <w:sz w:val="20"/>
          <w:szCs w:val="20"/>
          <w:lang w:val="es-ES_tradnl"/>
        </w:rPr>
      </w:pPr>
    </w:p>
    <w:p w14:paraId="5FA17570" w14:textId="77777777" w:rsidR="00B337F5" w:rsidRDefault="00B337F5" w:rsidP="00B337F5">
      <w:pPr>
        <w:spacing w:after="0" w:line="240" w:lineRule="auto"/>
        <w:jc w:val="both"/>
        <w:rPr>
          <w:rFonts w:ascii="Verdana" w:eastAsia="Geomanist Light" w:hAnsi="Verdana" w:cs="Arial"/>
          <w:sz w:val="20"/>
          <w:szCs w:val="20"/>
          <w:lang w:val="es-ES_tradnl"/>
        </w:rPr>
      </w:pPr>
    </w:p>
    <w:p w14:paraId="5023234D" w14:textId="77777777" w:rsidR="00B337F5" w:rsidRDefault="00B337F5" w:rsidP="00B337F5">
      <w:pPr>
        <w:spacing w:after="0" w:line="240" w:lineRule="auto"/>
        <w:jc w:val="both"/>
        <w:rPr>
          <w:rFonts w:ascii="Verdana" w:eastAsia="Geomanist Light" w:hAnsi="Verdana" w:cs="Arial"/>
          <w:sz w:val="20"/>
          <w:szCs w:val="20"/>
          <w:lang w:val="es-ES_tradnl"/>
        </w:rPr>
      </w:pPr>
    </w:p>
    <w:p w14:paraId="6F0E241A" w14:textId="77777777" w:rsidR="00B337F5" w:rsidRDefault="00B337F5" w:rsidP="00B337F5">
      <w:pPr>
        <w:spacing w:after="0" w:line="240" w:lineRule="auto"/>
        <w:jc w:val="both"/>
        <w:rPr>
          <w:rFonts w:ascii="Verdana" w:eastAsia="Geomanist Light" w:hAnsi="Verdana" w:cs="Arial"/>
          <w:sz w:val="20"/>
          <w:szCs w:val="20"/>
          <w:lang w:val="es-ES_tradnl"/>
        </w:rPr>
      </w:pPr>
    </w:p>
    <w:p w14:paraId="0C8BDF34" w14:textId="77777777" w:rsidR="00B337F5" w:rsidRDefault="00B337F5" w:rsidP="00B337F5">
      <w:pPr>
        <w:spacing w:after="0" w:line="240" w:lineRule="auto"/>
        <w:jc w:val="both"/>
        <w:rPr>
          <w:rFonts w:ascii="Verdana" w:eastAsia="Geomanist Light" w:hAnsi="Verdana" w:cs="Arial"/>
          <w:sz w:val="20"/>
          <w:szCs w:val="20"/>
          <w:lang w:val="es-ES_tradnl"/>
        </w:rPr>
      </w:pPr>
    </w:p>
    <w:p w14:paraId="6CFE74C7" w14:textId="77777777" w:rsidR="00B337F5" w:rsidRDefault="00B337F5" w:rsidP="00B337F5">
      <w:pPr>
        <w:spacing w:after="0" w:line="240" w:lineRule="auto"/>
        <w:jc w:val="both"/>
        <w:rPr>
          <w:rFonts w:ascii="Verdana" w:eastAsia="Geomanist Light" w:hAnsi="Verdana" w:cs="Arial"/>
          <w:sz w:val="20"/>
          <w:szCs w:val="20"/>
          <w:lang w:val="es-ES_tradnl"/>
        </w:rPr>
      </w:pPr>
    </w:p>
    <w:p w14:paraId="78D2DA8B" w14:textId="77777777" w:rsidR="00B337F5" w:rsidRDefault="00B337F5" w:rsidP="00B337F5">
      <w:pPr>
        <w:spacing w:after="0" w:line="240" w:lineRule="auto"/>
        <w:jc w:val="both"/>
        <w:rPr>
          <w:rFonts w:ascii="Verdana" w:eastAsia="Geomanist Light" w:hAnsi="Verdana" w:cs="Arial"/>
          <w:sz w:val="20"/>
          <w:szCs w:val="20"/>
          <w:lang w:val="es-ES_tradnl"/>
        </w:rPr>
      </w:pPr>
    </w:p>
    <w:p w14:paraId="4C170832" w14:textId="77777777" w:rsidR="00B337F5" w:rsidRDefault="00B337F5" w:rsidP="00B337F5">
      <w:pPr>
        <w:spacing w:after="0" w:line="240" w:lineRule="auto"/>
        <w:jc w:val="both"/>
        <w:rPr>
          <w:rFonts w:ascii="Verdana" w:eastAsia="Geomanist Light" w:hAnsi="Verdana" w:cs="Arial"/>
          <w:sz w:val="20"/>
          <w:szCs w:val="20"/>
          <w:lang w:val="es-ES_tradnl"/>
        </w:rPr>
      </w:pPr>
    </w:p>
    <w:p w14:paraId="2AA25030" w14:textId="77777777" w:rsidR="00B337F5" w:rsidRPr="008E019A" w:rsidRDefault="00B337F5" w:rsidP="00B337F5">
      <w:pPr>
        <w:spacing w:after="0" w:line="240" w:lineRule="auto"/>
        <w:jc w:val="both"/>
        <w:rPr>
          <w:rFonts w:ascii="Verdana" w:eastAsia="Geomanist Light" w:hAnsi="Verdana" w:cs="Arial"/>
          <w:sz w:val="20"/>
          <w:szCs w:val="20"/>
          <w:lang w:val="es-ES_tradnl"/>
        </w:rPr>
      </w:pPr>
    </w:p>
    <w:p w14:paraId="2FEB1C1A" w14:textId="77777777" w:rsidR="00B337F5" w:rsidRDefault="00B337F5" w:rsidP="00B337F5">
      <w:pPr>
        <w:spacing w:after="0" w:line="240" w:lineRule="auto"/>
        <w:jc w:val="both"/>
        <w:rPr>
          <w:rFonts w:ascii="Verdana" w:eastAsia="Geomanist Light" w:hAnsi="Verdana" w:cs="Arial"/>
          <w:lang w:val="es-ES_tradnl"/>
        </w:rPr>
      </w:pPr>
    </w:p>
    <w:p w14:paraId="69A1E30A" w14:textId="77777777" w:rsidR="00B337F5" w:rsidRPr="009322DA" w:rsidRDefault="00B337F5" w:rsidP="00B337F5">
      <w:pPr>
        <w:spacing w:after="0" w:line="240" w:lineRule="auto"/>
        <w:rPr>
          <w:rFonts w:ascii="Verdana" w:eastAsia="Geomanist Light" w:hAnsi="Verdana" w:cs="Arial"/>
          <w:lang w:val="es-MX"/>
        </w:rPr>
      </w:pPr>
      <w:r w:rsidRPr="009322DA">
        <w:rPr>
          <w:rFonts w:ascii="Verdana" w:eastAsia="Geomanist Light" w:hAnsi="Verdana" w:cs="Arial"/>
          <w:lang w:val="es-MX"/>
        </w:rPr>
        <w:t>Bogotá D.C., [Día] de [</w:t>
      </w:r>
      <w:proofErr w:type="spellStart"/>
      <w:r w:rsidRPr="009322DA">
        <w:rPr>
          <w:rFonts w:ascii="Verdana" w:eastAsia="Geomanist Light" w:hAnsi="Verdana" w:cs="Arial"/>
          <w:lang w:val="es-MX"/>
        </w:rPr>
        <w:t>Mes.NombreCapitalizado</w:t>
      </w:r>
      <w:proofErr w:type="spellEnd"/>
      <w:r w:rsidRPr="009322DA">
        <w:rPr>
          <w:rFonts w:ascii="Verdana" w:eastAsia="Geomanist Light" w:hAnsi="Verdana" w:cs="Arial"/>
          <w:lang w:val="es-MX"/>
        </w:rPr>
        <w:t>] de [Año]</w:t>
      </w:r>
    </w:p>
    <w:p w14:paraId="028FEF6C" w14:textId="77777777" w:rsidR="00B337F5" w:rsidRPr="009322DA" w:rsidRDefault="00B337F5" w:rsidP="00B337F5">
      <w:pPr>
        <w:spacing w:after="0" w:line="240" w:lineRule="auto"/>
        <w:jc w:val="both"/>
        <w:rPr>
          <w:rFonts w:ascii="Verdana" w:eastAsia="Calibri" w:hAnsi="Verdana" w:cs="Arial"/>
          <w:lang w:val="es-ES"/>
        </w:rPr>
      </w:pPr>
    </w:p>
    <w:p w14:paraId="66E0AE37" w14:textId="77777777" w:rsidR="00B337F5" w:rsidRDefault="00B337F5" w:rsidP="00B337F5">
      <w:pPr>
        <w:spacing w:after="0" w:line="240" w:lineRule="auto"/>
        <w:rPr>
          <w:rFonts w:ascii="Verdana" w:eastAsia="Calibri" w:hAnsi="Verdana" w:cs="Arial"/>
          <w:lang w:val="es-MX" w:eastAsia="es-ES"/>
        </w:rPr>
      </w:pPr>
    </w:p>
    <w:p w14:paraId="548865B9" w14:textId="77777777" w:rsidR="00B337F5" w:rsidRDefault="00B337F5" w:rsidP="00B337F5">
      <w:pPr>
        <w:spacing w:after="0" w:line="240" w:lineRule="auto"/>
        <w:rPr>
          <w:rFonts w:ascii="Verdana" w:eastAsia="Calibri" w:hAnsi="Verdana" w:cs="Arial"/>
          <w:lang w:val="es-MX" w:eastAsia="es-ES"/>
        </w:rPr>
      </w:pPr>
    </w:p>
    <w:p w14:paraId="0FB350B6" w14:textId="77777777" w:rsidR="00B337F5" w:rsidRDefault="00B337F5" w:rsidP="00B337F5">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r>
        <w:rPr>
          <w:rFonts w:ascii="Verdana" w:eastAsia="Calibri" w:hAnsi="Verdana" w:cs="Arial"/>
          <w:lang w:val="es-MX" w:eastAsia="es-ES"/>
        </w:rPr>
        <w:t>a</w:t>
      </w:r>
    </w:p>
    <w:p w14:paraId="6D2C1C2C" w14:textId="77777777" w:rsidR="00B337F5" w:rsidRPr="00D37430" w:rsidRDefault="00B337F5" w:rsidP="00B337F5">
      <w:pPr>
        <w:spacing w:after="0" w:line="240" w:lineRule="auto"/>
        <w:rPr>
          <w:rFonts w:ascii="Verdana" w:eastAsia="Calibri" w:hAnsi="Verdana" w:cs="Arial"/>
          <w:b/>
          <w:bCs/>
          <w:lang w:val="es-MX" w:eastAsia="es-ES"/>
        </w:rPr>
      </w:pPr>
      <w:r w:rsidRPr="00D37430">
        <w:rPr>
          <w:rFonts w:ascii="Verdana" w:eastAsia="Calibri" w:hAnsi="Verdana" w:cs="Arial"/>
          <w:b/>
          <w:bCs/>
          <w:lang w:val="es-MX" w:eastAsia="es-ES"/>
        </w:rPr>
        <w:t>Daniela Orejuela</w:t>
      </w:r>
    </w:p>
    <w:p w14:paraId="5041BDD1" w14:textId="77777777" w:rsidR="00B337F5" w:rsidRDefault="00B337F5" w:rsidP="00B337F5">
      <w:pPr>
        <w:spacing w:after="0" w:line="240" w:lineRule="auto"/>
        <w:rPr>
          <w:rFonts w:ascii="Verdana" w:eastAsia="Calibri" w:hAnsi="Verdana" w:cs="Arial"/>
          <w:b/>
          <w:bCs/>
          <w:lang w:val="es-MX" w:eastAsia="es-ES"/>
        </w:rPr>
      </w:pPr>
      <w:hyperlink r:id="rId10" w:history="1">
        <w:r w:rsidRPr="00CC298A">
          <w:rPr>
            <w:rStyle w:val="Hipervnculo"/>
            <w:rFonts w:ascii="Verdana" w:eastAsia="Calibri" w:hAnsi="Verdana" w:cs="Arial"/>
            <w:lang w:val="es-MX" w:eastAsia="es-ES"/>
          </w:rPr>
          <w:t>gerenciagepav@gmail.com</w:t>
        </w:r>
      </w:hyperlink>
      <w:r>
        <w:rPr>
          <w:rFonts w:ascii="Verdana" w:eastAsia="Calibri" w:hAnsi="Verdana" w:cs="Arial"/>
          <w:lang w:val="es-MX" w:eastAsia="es-ES"/>
        </w:rPr>
        <w:t xml:space="preserve"> </w:t>
      </w:r>
    </w:p>
    <w:p w14:paraId="051BE241" w14:textId="77777777" w:rsidR="00B337F5" w:rsidRPr="00D37430" w:rsidRDefault="00B337F5" w:rsidP="00B337F5">
      <w:pPr>
        <w:spacing w:after="0" w:line="240" w:lineRule="auto"/>
        <w:rPr>
          <w:rFonts w:ascii="Verdana" w:eastAsia="Calibri" w:hAnsi="Verdana" w:cs="Arial"/>
          <w:lang w:val="pt-BR" w:eastAsia="es-ES"/>
        </w:rPr>
      </w:pPr>
      <w:r w:rsidRPr="00D37430">
        <w:rPr>
          <w:rFonts w:ascii="Verdana" w:eastAsia="Calibri" w:hAnsi="Verdana" w:cs="Arial"/>
          <w:lang w:val="es-MX" w:eastAsia="es-ES"/>
        </w:rPr>
        <w:t>Bogotá D.C</w:t>
      </w:r>
    </w:p>
    <w:p w14:paraId="19C39D99" w14:textId="77777777" w:rsidR="00B337F5" w:rsidRDefault="00B337F5" w:rsidP="00B337F5">
      <w:pPr>
        <w:spacing w:after="0" w:line="240" w:lineRule="auto"/>
        <w:rPr>
          <w:rFonts w:ascii="Verdana" w:eastAsia="Calibri" w:hAnsi="Verdana" w:cs="Arial"/>
          <w:lang w:val="pt-BR" w:eastAsia="es-ES"/>
        </w:rPr>
      </w:pPr>
    </w:p>
    <w:p w14:paraId="0081C317" w14:textId="77777777" w:rsidR="00B337F5" w:rsidRDefault="00B337F5" w:rsidP="00B337F5">
      <w:pPr>
        <w:spacing w:after="0" w:line="240" w:lineRule="auto"/>
        <w:rPr>
          <w:rFonts w:ascii="Verdana" w:eastAsia="Calibri" w:hAnsi="Verdana" w:cs="Arial"/>
          <w:lang w:val="pt-BR" w:eastAsia="es-ES"/>
        </w:rPr>
      </w:pPr>
    </w:p>
    <w:p w14:paraId="0D25E7EE" w14:textId="1CBBD272" w:rsidR="00B337F5" w:rsidRPr="009322DA" w:rsidRDefault="00274228" w:rsidP="00B337F5">
      <w:pPr>
        <w:spacing w:after="0" w:line="240" w:lineRule="auto"/>
        <w:jc w:val="right"/>
        <w:rPr>
          <w:rFonts w:ascii="Verdana" w:eastAsia="Calibri" w:hAnsi="Verdana" w:cs="Arial"/>
          <w:b/>
          <w:bCs/>
          <w:lang w:val="es-ES_tradnl" w:eastAsia="es-ES_tradnl"/>
        </w:rPr>
      </w:pPr>
      <w:r w:rsidRPr="00274228">
        <w:rPr>
          <w:rFonts w:ascii="Verdana" w:eastAsia="Calibri" w:hAnsi="Verdana" w:cs="Arial"/>
          <w:b/>
          <w:bCs/>
          <w:noProof/>
          <w:lang w:val="es-ES_tradnl" w:eastAsia="es-ES_tradnl"/>
        </w:rPr>
        <w:drawing>
          <wp:inline distT="0" distB="0" distL="0" distR="0" wp14:anchorId="6C852146" wp14:editId="0A2E210D">
            <wp:extent cx="3305175" cy="971550"/>
            <wp:effectExtent l="0" t="0" r="9525" b="0"/>
            <wp:docPr id="13534569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5692" name="Imagen 1" descr="Texto&#10;&#10;Descripción generada automáticamente"/>
                    <pic:cNvPicPr/>
                  </pic:nvPicPr>
                  <pic:blipFill>
                    <a:blip r:embed="rId11"/>
                    <a:stretch>
                      <a:fillRect/>
                    </a:stretch>
                  </pic:blipFill>
                  <pic:spPr>
                    <a:xfrm>
                      <a:off x="0" y="0"/>
                      <a:ext cx="3305175" cy="971550"/>
                    </a:xfrm>
                    <a:prstGeom prst="rect">
                      <a:avLst/>
                    </a:prstGeom>
                  </pic:spPr>
                </pic:pic>
              </a:graphicData>
            </a:graphic>
          </wp:inline>
        </w:drawing>
      </w:r>
    </w:p>
    <w:p w14:paraId="023F4D23" w14:textId="77777777" w:rsidR="00B337F5" w:rsidRPr="009322DA" w:rsidRDefault="00B337F5" w:rsidP="00B337F5">
      <w:pPr>
        <w:spacing w:after="0" w:line="240" w:lineRule="auto"/>
        <w:rPr>
          <w:rFonts w:ascii="Verdana" w:eastAsia="Calibri" w:hAnsi="Verdana" w:cs="Arial"/>
          <w:b/>
          <w:bCs/>
          <w:lang w:val="es-ES_tradnl" w:eastAsia="es-ES_tradnl"/>
        </w:rPr>
      </w:pPr>
    </w:p>
    <w:tbl>
      <w:tblPr>
        <w:tblStyle w:val="Tablaconcuadrcula1"/>
        <w:tblW w:w="9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398"/>
      </w:tblGrid>
      <w:tr w:rsidR="00B337F5" w:rsidRPr="009322DA" w14:paraId="081F48D4" w14:textId="77777777" w:rsidTr="00DA7A71">
        <w:trPr>
          <w:trHeight w:val="999"/>
        </w:trPr>
        <w:tc>
          <w:tcPr>
            <w:tcW w:w="2835" w:type="dxa"/>
          </w:tcPr>
          <w:p w14:paraId="517EF51E" w14:textId="77777777" w:rsidR="00B337F5" w:rsidRPr="009322DA" w:rsidRDefault="00B337F5" w:rsidP="00DA7A71">
            <w:pPr>
              <w:jc w:val="both"/>
              <w:rPr>
                <w:rFonts w:ascii="Verdana" w:hAnsi="Verdana" w:cs="Arial"/>
                <w:b/>
                <w:bCs/>
                <w:lang w:val="es-ES_tradnl" w:eastAsia="es-ES_tradnl"/>
              </w:rPr>
            </w:pPr>
          </w:p>
        </w:tc>
        <w:tc>
          <w:tcPr>
            <w:tcW w:w="6398" w:type="dxa"/>
            <w:hideMark/>
          </w:tcPr>
          <w:p w14:paraId="0E8E6758" w14:textId="77777777" w:rsidR="00B337F5" w:rsidRPr="009322DA" w:rsidRDefault="00B337F5" w:rsidP="00DA7A71">
            <w:pPr>
              <w:jc w:val="both"/>
              <w:rPr>
                <w:rFonts w:ascii="Verdana" w:hAnsi="Verdana" w:cs="Arial"/>
                <w:b/>
                <w:bCs/>
                <w:lang w:val="es-ES" w:eastAsia="es-ES"/>
              </w:rPr>
            </w:pPr>
            <w:r w:rsidRPr="009322DA">
              <w:rPr>
                <w:rFonts w:ascii="Verdana" w:hAnsi="Verdana" w:cs="Arial"/>
                <w:b/>
                <w:bCs/>
                <w:lang w:val="es-ES" w:eastAsia="es-ES"/>
              </w:rPr>
              <w:t xml:space="preserve">Concepto C- </w:t>
            </w:r>
            <w:r>
              <w:rPr>
                <w:rFonts w:ascii="Verdana" w:hAnsi="Verdana" w:cs="Arial"/>
                <w:b/>
                <w:bCs/>
                <w:lang w:val="es-ES" w:eastAsia="es-ES"/>
              </w:rPr>
              <w:t xml:space="preserve">861 </w:t>
            </w:r>
            <w:r w:rsidRPr="009322DA">
              <w:rPr>
                <w:rFonts w:ascii="Verdana" w:hAnsi="Verdana" w:cs="Arial"/>
                <w:b/>
                <w:bCs/>
                <w:lang w:val="es-ES" w:eastAsia="es-ES"/>
              </w:rPr>
              <w:t>de 2024</w:t>
            </w:r>
          </w:p>
        </w:tc>
      </w:tr>
      <w:tr w:rsidR="00B337F5" w:rsidRPr="009322DA" w14:paraId="6D79B28F" w14:textId="77777777" w:rsidTr="00DA7A71">
        <w:trPr>
          <w:trHeight w:val="999"/>
        </w:trPr>
        <w:tc>
          <w:tcPr>
            <w:tcW w:w="2835" w:type="dxa"/>
            <w:hideMark/>
          </w:tcPr>
          <w:p w14:paraId="3339A6C9" w14:textId="77777777" w:rsidR="00B337F5" w:rsidRPr="009322DA" w:rsidRDefault="00B337F5" w:rsidP="00DA7A71">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398" w:type="dxa"/>
          </w:tcPr>
          <w:p w14:paraId="45C04895" w14:textId="77777777" w:rsidR="00B337F5" w:rsidRPr="001B2D32" w:rsidRDefault="00B337F5" w:rsidP="00DA7A71">
            <w:pPr>
              <w:jc w:val="both"/>
              <w:rPr>
                <w:rFonts w:ascii="Verdana" w:hAnsi="Verdana" w:cs="Arial"/>
                <w:bCs/>
                <w:lang w:val="es-MX" w:eastAsia="es-ES"/>
              </w:rPr>
            </w:pPr>
            <w:r w:rsidRPr="001B2D32">
              <w:rPr>
                <w:rFonts w:ascii="Verdana" w:hAnsi="Verdana" w:cs="Arial"/>
                <w:bCs/>
                <w:lang w:val="es-MX" w:eastAsia="es-ES"/>
              </w:rPr>
              <w:t xml:space="preserve">PRINCIPIO DE ECONOMÍA – artículo 25 Ley 80 de 1993/ TÉRMINOS O PLAZOS DE LAS ETAPAS DEL PROCESO DE SELECCIÓN CONTRACTUAL – Preclusivos y perentorios/ CRONOGRAMA – Definición – Importancia / ADENDAS – Modificación al cronograma - Pliego de condiciones definitivo </w:t>
            </w:r>
          </w:p>
          <w:p w14:paraId="7CAD549E" w14:textId="77777777" w:rsidR="00B337F5" w:rsidRDefault="00B337F5" w:rsidP="00DA7A71">
            <w:pPr>
              <w:jc w:val="both"/>
              <w:rPr>
                <w:rFonts w:ascii="Verdana" w:hAnsi="Verdana" w:cs="Arial"/>
                <w:lang w:val="es-MX" w:eastAsia="es-ES"/>
              </w:rPr>
            </w:pPr>
          </w:p>
          <w:p w14:paraId="20941F18" w14:textId="77777777" w:rsidR="00B337F5" w:rsidRPr="00EB3000" w:rsidRDefault="00B337F5" w:rsidP="00DA7A71">
            <w:pPr>
              <w:jc w:val="both"/>
              <w:rPr>
                <w:rFonts w:ascii="Verdana" w:hAnsi="Verdana" w:cs="Arial"/>
                <w:lang w:val="es-ES_tradnl" w:eastAsia="es-ES"/>
              </w:rPr>
            </w:pPr>
          </w:p>
        </w:tc>
      </w:tr>
      <w:tr w:rsidR="00B337F5" w:rsidRPr="009322DA" w14:paraId="645BB719" w14:textId="77777777" w:rsidTr="00DA7A71">
        <w:trPr>
          <w:trHeight w:val="597"/>
        </w:trPr>
        <w:tc>
          <w:tcPr>
            <w:tcW w:w="2835" w:type="dxa"/>
            <w:hideMark/>
          </w:tcPr>
          <w:p w14:paraId="70C405CB" w14:textId="77777777" w:rsidR="00B337F5" w:rsidRPr="009322DA" w:rsidRDefault="00B337F5" w:rsidP="00DA7A71">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398" w:type="dxa"/>
          </w:tcPr>
          <w:p w14:paraId="2B1F21AD" w14:textId="77777777" w:rsidR="00B337F5" w:rsidRPr="009322DA" w:rsidRDefault="00B337F5" w:rsidP="00DA7A71">
            <w:pPr>
              <w:jc w:val="both"/>
              <w:rPr>
                <w:rFonts w:ascii="Verdana" w:hAnsi="Verdana" w:cs="Arial"/>
                <w:lang w:val="es-ES_tradnl" w:eastAsia="es-ES_tradnl"/>
              </w:rPr>
            </w:pPr>
            <w:r w:rsidRPr="009322DA">
              <w:rPr>
                <w:rFonts w:ascii="Verdana" w:hAnsi="Verdana" w:cs="Arial"/>
                <w:lang w:val="es-ES_tradnl" w:eastAsia="es-ES_tradnl"/>
              </w:rPr>
              <w:t xml:space="preserve">Respuesta a consulta con radicado No. </w:t>
            </w:r>
            <w:r w:rsidRPr="00BF5889">
              <w:rPr>
                <w:rFonts w:ascii="Verdana" w:hAnsi="Verdana"/>
                <w:lang w:eastAsia="es-ES_tradnl"/>
              </w:rPr>
              <w:t>P2024</w:t>
            </w:r>
            <w:r>
              <w:rPr>
                <w:rFonts w:ascii="Verdana" w:hAnsi="Verdana"/>
                <w:lang w:eastAsia="es-ES_tradnl"/>
              </w:rPr>
              <w:t>1114011421</w:t>
            </w:r>
          </w:p>
        </w:tc>
      </w:tr>
    </w:tbl>
    <w:p w14:paraId="2D8C1E56" w14:textId="77777777" w:rsidR="00B337F5" w:rsidRPr="009322DA" w:rsidRDefault="00B337F5" w:rsidP="00B337F5">
      <w:pPr>
        <w:spacing w:after="0" w:line="240" w:lineRule="auto"/>
        <w:jc w:val="both"/>
        <w:rPr>
          <w:rFonts w:ascii="Verdana" w:eastAsia="Calibri" w:hAnsi="Verdana" w:cs="Arial"/>
          <w:lang w:val="es-ES_tradnl" w:eastAsia="es-ES_tradnl"/>
        </w:rPr>
      </w:pPr>
    </w:p>
    <w:p w14:paraId="7374A46D" w14:textId="77777777" w:rsidR="00B337F5" w:rsidRPr="009322DA" w:rsidRDefault="00B337F5" w:rsidP="00B337F5">
      <w:pPr>
        <w:spacing w:after="0" w:line="240" w:lineRule="auto"/>
        <w:jc w:val="both"/>
        <w:rPr>
          <w:rFonts w:ascii="Verdana" w:eastAsia="Calibri" w:hAnsi="Verdana" w:cs="Arial"/>
          <w:lang w:val="es-ES_tradnl" w:eastAsia="es-ES_tradnl"/>
        </w:rPr>
      </w:pPr>
    </w:p>
    <w:p w14:paraId="5CD4EBF9" w14:textId="77777777" w:rsidR="00B337F5" w:rsidRPr="009322DA" w:rsidRDefault="00B337F5" w:rsidP="00B337F5">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a</w:t>
      </w:r>
      <w:r w:rsidRPr="009322DA">
        <w:rPr>
          <w:rFonts w:ascii="Verdana" w:eastAsia="Calibri" w:hAnsi="Verdana" w:cs="Arial"/>
          <w:lang w:val="es-ES" w:eastAsia="es-ES"/>
        </w:rPr>
        <w:t xml:space="preserve"> señor</w:t>
      </w:r>
      <w:r>
        <w:rPr>
          <w:rFonts w:ascii="Verdana" w:eastAsia="Calibri" w:hAnsi="Verdana" w:cs="Arial"/>
          <w:lang w:val="es-ES" w:eastAsia="es-ES"/>
        </w:rPr>
        <w:t xml:space="preserve">a Orejuela: </w:t>
      </w:r>
      <w:r w:rsidRPr="009322DA">
        <w:rPr>
          <w:rFonts w:ascii="Verdana" w:eastAsia="Calibri" w:hAnsi="Verdana" w:cs="Arial"/>
          <w:lang w:val="es-ES" w:eastAsia="es-ES"/>
        </w:rPr>
        <w:t xml:space="preserve"> </w:t>
      </w:r>
    </w:p>
    <w:p w14:paraId="6F6D8B64" w14:textId="77777777" w:rsidR="00B337F5" w:rsidRPr="009322DA" w:rsidRDefault="00B337F5" w:rsidP="00B337F5">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588976A9" w14:textId="77777777" w:rsidR="00B337F5" w:rsidRPr="009322DA" w:rsidRDefault="00B337F5" w:rsidP="00B337F5">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w:t>
      </w:r>
      <w:r w:rsidRPr="009322DA">
        <w:rPr>
          <w:rFonts w:ascii="Verdana" w:eastAsia="Calibri" w:hAnsi="Verdana" w:cs="Arial"/>
          <w:lang w:val="es-ES" w:eastAsia="es-ES"/>
        </w:rPr>
        <w:lastRenderedPageBreak/>
        <w:t xml:space="preserve">consulta de fecha de </w:t>
      </w:r>
      <w:r>
        <w:rPr>
          <w:rFonts w:ascii="Verdana" w:eastAsia="Calibri" w:hAnsi="Verdana" w:cs="Arial"/>
          <w:lang w:val="es-ES" w:eastAsia="es-ES"/>
        </w:rPr>
        <w:t>14 de noviembre</w:t>
      </w:r>
      <w:r w:rsidRPr="009322DA">
        <w:rPr>
          <w:rFonts w:ascii="Verdana" w:eastAsia="Calibri" w:hAnsi="Verdana" w:cs="Arial"/>
          <w:lang w:val="es-ES" w:eastAsia="es-ES"/>
        </w:rPr>
        <w:t xml:space="preserve"> de 2024, en la cual manifiesta lo siguiente: </w:t>
      </w:r>
    </w:p>
    <w:p w14:paraId="2C9A0AA3" w14:textId="77777777" w:rsidR="00B337F5" w:rsidRPr="009322DA" w:rsidRDefault="00B337F5" w:rsidP="00B337F5">
      <w:pPr>
        <w:spacing w:after="0" w:line="240" w:lineRule="auto"/>
        <w:ind w:left="709" w:right="709"/>
        <w:jc w:val="both"/>
        <w:rPr>
          <w:rFonts w:ascii="Verdana" w:eastAsia="Century Gothic" w:hAnsi="Verdana" w:cs="Century Gothic"/>
          <w:sz w:val="20"/>
          <w:szCs w:val="20"/>
          <w:lang w:val="es-ES"/>
        </w:rPr>
      </w:pPr>
      <w:bookmarkStart w:id="1" w:name="_Hlk95313578"/>
    </w:p>
    <w:p w14:paraId="2C96CF81" w14:textId="77777777" w:rsidR="00B337F5" w:rsidRPr="00DB4D91" w:rsidRDefault="00B337F5" w:rsidP="3278CCE9">
      <w:pPr>
        <w:spacing w:line="240" w:lineRule="auto"/>
        <w:ind w:left="709" w:right="680"/>
        <w:jc w:val="both"/>
        <w:rPr>
          <w:rFonts w:ascii="Verdana" w:eastAsia="Century Gothic" w:hAnsi="Verdana" w:cs="Century Gothic"/>
          <w:i/>
          <w:iCs/>
          <w:sz w:val="20"/>
          <w:szCs w:val="20"/>
          <w:lang w:val="es-ES"/>
        </w:rPr>
      </w:pPr>
      <w:r w:rsidRPr="004D70FC">
        <w:rPr>
          <w:rFonts w:ascii="Verdana" w:eastAsia="Century Gothic" w:hAnsi="Verdana" w:cs="Century Gothic"/>
          <w:sz w:val="20"/>
          <w:szCs w:val="20"/>
          <w:lang w:val="es-ES"/>
        </w:rPr>
        <w:t>“</w:t>
      </w:r>
      <w:r>
        <w:rPr>
          <w:rFonts w:ascii="Verdana" w:eastAsia="Century Gothic" w:hAnsi="Verdana" w:cs="Century Gothic"/>
          <w:sz w:val="20"/>
          <w:szCs w:val="20"/>
          <w:lang w:val="es-ES"/>
        </w:rPr>
        <w:t>¿</w:t>
      </w:r>
      <w:r w:rsidRPr="00DB4D91">
        <w:rPr>
          <w:rFonts w:ascii="Verdana" w:eastAsia="Century Gothic" w:hAnsi="Verdana" w:cs="Century Gothic"/>
          <w:i/>
          <w:iCs/>
          <w:sz w:val="20"/>
          <w:szCs w:val="20"/>
          <w:lang w:val="es-ES"/>
        </w:rPr>
        <w:t>Si</w:t>
      </w:r>
      <w:r w:rsidRPr="00DB4D91">
        <w:rPr>
          <w:rFonts w:ascii="Verdana" w:eastAsia="Calibri" w:hAnsi="Verdana" w:cs="Arial"/>
          <w:i/>
          <w:iCs/>
          <w:sz w:val="20"/>
          <w:szCs w:val="20"/>
          <w:shd w:val="clear" w:color="auto" w:fill="FFFFFF"/>
        </w:rPr>
        <w:t xml:space="preserve"> la fecha de cierre de un proceso en </w:t>
      </w:r>
      <w:proofErr w:type="spellStart"/>
      <w:r w:rsidRPr="00DB4D91">
        <w:rPr>
          <w:rFonts w:ascii="Verdana" w:eastAsia="Calibri" w:hAnsi="Verdana" w:cs="Arial"/>
          <w:i/>
          <w:iCs/>
          <w:sz w:val="20"/>
          <w:szCs w:val="20"/>
          <w:shd w:val="clear" w:color="auto" w:fill="FFFFFF"/>
        </w:rPr>
        <w:t>secop</w:t>
      </w:r>
      <w:proofErr w:type="spellEnd"/>
      <w:r w:rsidRPr="00DB4D91">
        <w:rPr>
          <w:rFonts w:ascii="Verdana" w:eastAsia="Calibri" w:hAnsi="Verdana" w:cs="Arial"/>
          <w:i/>
          <w:iCs/>
          <w:sz w:val="20"/>
          <w:szCs w:val="20"/>
          <w:shd w:val="clear" w:color="auto" w:fill="FFFFFF"/>
        </w:rPr>
        <w:t xml:space="preserve"> </w:t>
      </w:r>
      <w:proofErr w:type="spellStart"/>
      <w:r w:rsidRPr="00DB4D91">
        <w:rPr>
          <w:rFonts w:ascii="Verdana" w:eastAsia="Calibri" w:hAnsi="Verdana" w:cs="Arial"/>
          <w:i/>
          <w:iCs/>
          <w:sz w:val="20"/>
          <w:szCs w:val="20"/>
          <w:shd w:val="clear" w:color="auto" w:fill="FFFFFF"/>
        </w:rPr>
        <w:t>ii</w:t>
      </w:r>
      <w:proofErr w:type="spellEnd"/>
      <w:r w:rsidRPr="00DB4D91">
        <w:rPr>
          <w:rFonts w:ascii="Verdana" w:eastAsia="Calibri" w:hAnsi="Verdana" w:cs="Arial"/>
          <w:i/>
          <w:iCs/>
          <w:sz w:val="20"/>
          <w:szCs w:val="20"/>
          <w:shd w:val="clear" w:color="auto" w:fill="FFFFFF"/>
        </w:rPr>
        <w:t xml:space="preserve"> es por ejemplo el 14 de noviembre de 2024, la fecha de firma en los documentos tipo debe ser obligatoriamente la misma, o cual es la vigencia de la firma de los documentos tipo?</w:t>
      </w:r>
      <w:r w:rsidRPr="00DB4D91">
        <w:rPr>
          <w:rFonts w:ascii="Verdana" w:eastAsia="Century Gothic" w:hAnsi="Verdana" w:cs="Century Gothic"/>
          <w:i/>
          <w:iCs/>
          <w:sz w:val="20"/>
          <w:szCs w:val="20"/>
          <w:lang w:val="es-ES"/>
        </w:rPr>
        <w:t>”</w:t>
      </w:r>
      <w:bookmarkEnd w:id="1"/>
      <w:r w:rsidRPr="00DB4D91">
        <w:rPr>
          <w:rFonts w:ascii="Verdana" w:eastAsia="Century Gothic" w:hAnsi="Verdana" w:cs="Century Gothic"/>
          <w:i/>
          <w:iCs/>
          <w:sz w:val="20"/>
          <w:szCs w:val="20"/>
          <w:lang w:val="es-ES"/>
        </w:rPr>
        <w:t>.</w:t>
      </w:r>
    </w:p>
    <w:p w14:paraId="30A35BDC" w14:textId="77777777" w:rsidR="00B337F5" w:rsidRPr="00DB4D91" w:rsidRDefault="00B337F5" w:rsidP="3278CCE9">
      <w:pPr>
        <w:spacing w:line="240" w:lineRule="auto"/>
        <w:ind w:left="709" w:right="680"/>
        <w:jc w:val="both"/>
        <w:rPr>
          <w:rFonts w:ascii="Verdana" w:eastAsia="Century Gothic" w:hAnsi="Verdana" w:cs="Century Gothic"/>
          <w:i/>
          <w:iCs/>
          <w:sz w:val="20"/>
          <w:szCs w:val="20"/>
          <w:lang w:val="es-ES"/>
        </w:rPr>
      </w:pPr>
      <w:r w:rsidRPr="00DB4D91">
        <w:rPr>
          <w:rFonts w:ascii="Verdana" w:eastAsia="Century Gothic" w:hAnsi="Verdana" w:cs="Century Gothic"/>
          <w:i/>
          <w:iCs/>
          <w:sz w:val="20"/>
          <w:szCs w:val="20"/>
          <w:lang w:val="es-ES"/>
        </w:rPr>
        <w:t xml:space="preserve"> ¿si el equipo de licitaciones de mi empresa elabora los documentos con una planeación antes del cierre, pueden estos tener una fecha de unos días antes, sin que esto afecte la asignación de puntaje?</w:t>
      </w:r>
    </w:p>
    <w:p w14:paraId="0607D227" w14:textId="77777777" w:rsidR="00B337F5" w:rsidRPr="004D70FC" w:rsidRDefault="00B337F5" w:rsidP="00B337F5">
      <w:pPr>
        <w:spacing w:line="240" w:lineRule="auto"/>
        <w:ind w:left="709" w:right="680"/>
        <w:jc w:val="both"/>
        <w:rPr>
          <w:rFonts w:ascii="Verdana" w:eastAsia="Times New Roman" w:hAnsi="Verdana" w:cs="Segoe UI"/>
          <w:color w:val="000000"/>
          <w:sz w:val="20"/>
          <w:szCs w:val="20"/>
          <w:lang w:eastAsia="es-CO"/>
        </w:rPr>
      </w:pPr>
      <w:r w:rsidRPr="00DB4D91">
        <w:rPr>
          <w:rFonts w:ascii="Verdana" w:eastAsia="Century Gothic" w:hAnsi="Verdana" w:cs="Century Gothic"/>
          <w:i/>
          <w:iCs/>
          <w:sz w:val="20"/>
          <w:szCs w:val="20"/>
          <w:lang w:val="es-ES"/>
        </w:rPr>
        <w:t>¿Puede la entidad responsable de la licitación quitarme el puntaje de los documentos ponderables, porque la fecha de los documentos es de uno o cinco días antes</w:t>
      </w:r>
      <w:r w:rsidRPr="3278CCE9">
        <w:rPr>
          <w:rFonts w:ascii="Verdana" w:eastAsia="Century Gothic" w:hAnsi="Verdana" w:cs="Century Gothic"/>
          <w:sz w:val="20"/>
          <w:szCs w:val="20"/>
          <w:lang w:val="es-ES"/>
        </w:rPr>
        <w:t>?</w:t>
      </w:r>
    </w:p>
    <w:p w14:paraId="7515E3BA" w14:textId="77777777" w:rsidR="00B337F5" w:rsidRPr="004D70FC" w:rsidRDefault="00B337F5" w:rsidP="00B337F5">
      <w:pPr>
        <w:tabs>
          <w:tab w:val="left" w:pos="142"/>
          <w:tab w:val="left" w:pos="284"/>
        </w:tabs>
        <w:spacing w:line="276" w:lineRule="auto"/>
        <w:ind w:left="709" w:right="680"/>
        <w:contextualSpacing/>
        <w:jc w:val="both"/>
        <w:rPr>
          <w:rFonts w:ascii="Verdana" w:eastAsia="Century Gothic" w:hAnsi="Verdana" w:cs="Century Gothic"/>
          <w:b/>
          <w:bCs/>
          <w:sz w:val="20"/>
          <w:szCs w:val="20"/>
          <w:lang w:val="es-ES"/>
        </w:rPr>
      </w:pPr>
    </w:p>
    <w:p w14:paraId="63CE544C" w14:textId="77777777" w:rsidR="00B337F5" w:rsidRPr="009322DA" w:rsidRDefault="00B337F5" w:rsidP="00B337F5">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7D84E004" w14:textId="77777777" w:rsidR="00B337F5" w:rsidRPr="009322DA" w:rsidRDefault="00B337F5" w:rsidP="00B337F5">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D92F5AF" w14:textId="77777777" w:rsidR="00B337F5" w:rsidRPr="009322DA" w:rsidRDefault="00B337F5" w:rsidP="00B337F5">
      <w:pPr>
        <w:spacing w:after="0" w:line="276" w:lineRule="auto"/>
        <w:ind w:firstLine="709"/>
        <w:jc w:val="both"/>
        <w:rPr>
          <w:rFonts w:ascii="Verdana" w:eastAsia="Calibri" w:hAnsi="Verdana" w:cs="Arial"/>
          <w:lang w:val="es-ES" w:eastAsia="es-ES"/>
        </w:rPr>
      </w:pPr>
    </w:p>
    <w:p w14:paraId="39E81AB5" w14:textId="77777777" w:rsidR="00B337F5" w:rsidRPr="009322DA" w:rsidRDefault="00B337F5" w:rsidP="00B337F5">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18556D65" w14:textId="77777777" w:rsidR="00B337F5" w:rsidRPr="009322DA" w:rsidRDefault="00B337F5" w:rsidP="00B337F5">
      <w:pPr>
        <w:tabs>
          <w:tab w:val="left" w:pos="426"/>
        </w:tabs>
        <w:spacing w:after="0" w:line="276" w:lineRule="auto"/>
        <w:jc w:val="both"/>
        <w:rPr>
          <w:rFonts w:ascii="Verdana" w:eastAsia="Century Gothic" w:hAnsi="Verdana" w:cs="Century Gothic"/>
          <w:lang w:val="es-ES"/>
        </w:rPr>
      </w:pPr>
    </w:p>
    <w:p w14:paraId="205274CA" w14:textId="3A102C7C" w:rsidR="00B337F5" w:rsidRPr="009322DA" w:rsidRDefault="00B337F5" w:rsidP="00B337F5">
      <w:pPr>
        <w:spacing w:after="0" w:line="276" w:lineRule="auto"/>
        <w:jc w:val="both"/>
        <w:rPr>
          <w:rFonts w:ascii="Verdana" w:eastAsia="Century Gothic" w:hAnsi="Verdana" w:cs="Century Gothic"/>
        </w:rPr>
      </w:pPr>
      <w:r w:rsidRPr="3278CCE9">
        <w:rPr>
          <w:rFonts w:ascii="Verdana" w:eastAsia="Century Gothic" w:hAnsi="Verdana" w:cs="Century Gothic"/>
        </w:rPr>
        <w:t>De acuerdo con el contenido de su solicitud, esta Agencia resolverá los siguientes problemas jurídicos: ¿</w:t>
      </w:r>
      <w:r w:rsidR="008A52F1">
        <w:rPr>
          <w:rFonts w:ascii="Verdana" w:eastAsia="Century Gothic" w:hAnsi="Verdana" w:cs="Century Gothic"/>
        </w:rPr>
        <w:t xml:space="preserve">Existe </w:t>
      </w:r>
      <w:r w:rsidR="003C6221">
        <w:rPr>
          <w:rFonts w:ascii="Verdana" w:eastAsia="Century Gothic" w:hAnsi="Verdana" w:cs="Century Gothic"/>
        </w:rPr>
        <w:t xml:space="preserve">algún inconveniente en que se suscriban los documentos y/o formatos que hacen </w:t>
      </w:r>
      <w:r w:rsidR="00D452FA">
        <w:rPr>
          <w:rFonts w:ascii="Verdana" w:eastAsia="Century Gothic" w:hAnsi="Verdana" w:cs="Century Gothic"/>
        </w:rPr>
        <w:t xml:space="preserve">parte de los documentos tipo con anterioridad a la fecha de cierre de determinado proceso </w:t>
      </w:r>
      <w:r w:rsidR="00462B43">
        <w:rPr>
          <w:rFonts w:ascii="Verdana" w:eastAsia="Century Gothic" w:hAnsi="Verdana" w:cs="Century Gothic"/>
        </w:rPr>
        <w:t>contractual?</w:t>
      </w:r>
    </w:p>
    <w:p w14:paraId="16572C99" w14:textId="77777777" w:rsidR="00B337F5" w:rsidRPr="009322DA" w:rsidRDefault="00B337F5" w:rsidP="00B337F5">
      <w:pPr>
        <w:spacing w:after="0" w:line="276" w:lineRule="auto"/>
        <w:jc w:val="both"/>
        <w:rPr>
          <w:rFonts w:ascii="Verdana" w:eastAsia="Calibri" w:hAnsi="Verdana" w:cs="Arial"/>
          <w:lang w:val="es-ES"/>
        </w:rPr>
      </w:pPr>
    </w:p>
    <w:p w14:paraId="29569A70" w14:textId="77777777" w:rsidR="00B337F5" w:rsidRPr="009322DA" w:rsidRDefault="00B337F5" w:rsidP="00B337F5">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3278CCE9">
        <w:rPr>
          <w:rFonts w:ascii="Verdana" w:eastAsia="Century Gothic" w:hAnsi="Verdana" w:cs="Century Gothic"/>
          <w:b/>
          <w:bCs/>
          <w:lang w:val="es-ES"/>
        </w:rPr>
        <w:t>Respuesta:</w:t>
      </w: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337F5" w:rsidRPr="009322DA" w14:paraId="62A3DEC5" w14:textId="77777777" w:rsidTr="3278CCE9">
        <w:tc>
          <w:tcPr>
            <w:tcW w:w="8828" w:type="dxa"/>
            <w:tcBorders>
              <w:top w:val="dotted" w:sz="4" w:space="0" w:color="auto"/>
              <w:left w:val="dotted" w:sz="4" w:space="0" w:color="auto"/>
              <w:bottom w:val="dotted" w:sz="4" w:space="0" w:color="auto"/>
              <w:right w:val="dotted" w:sz="4" w:space="0" w:color="auto"/>
            </w:tcBorders>
          </w:tcPr>
          <w:p w14:paraId="5AAD625B" w14:textId="2E239E12" w:rsidR="00BE5EA8" w:rsidRDefault="00BE5EA8" w:rsidP="00BE5EA8">
            <w:pPr>
              <w:spacing w:line="276" w:lineRule="auto"/>
              <w:jc w:val="both"/>
              <w:rPr>
                <w:rFonts w:ascii="Verdana" w:eastAsia="Calibri" w:hAnsi="Verdana" w:cs="Arial"/>
                <w:lang w:val="es-ES" w:eastAsia="es-ES"/>
              </w:rPr>
            </w:pPr>
            <w:r>
              <w:rPr>
                <w:rFonts w:ascii="Verdana" w:eastAsia="Calibri" w:hAnsi="Verdana" w:cs="Arial"/>
                <w:lang w:val="es-ES" w:eastAsia="es-ES"/>
              </w:rPr>
              <w:t>La suscripción de los documentos y/o formatos que componen los documentos tipo y que sean obligatorios en determinado proceso contractual se pueden suscribir con anterioridad al cierre del proceso contractual y este no tiene ninguna repercusión adversa o negativa para el proponente.</w:t>
            </w:r>
          </w:p>
          <w:p w14:paraId="36E2A280" w14:textId="77777777" w:rsidR="00BE5EA8" w:rsidRDefault="00BE5EA8" w:rsidP="00BE5EA8">
            <w:pPr>
              <w:spacing w:line="276" w:lineRule="auto"/>
              <w:jc w:val="both"/>
              <w:rPr>
                <w:rFonts w:ascii="Verdana" w:eastAsia="Calibri" w:hAnsi="Verdana" w:cs="Arial"/>
                <w:lang w:val="es-ES" w:eastAsia="es-ES"/>
              </w:rPr>
            </w:pPr>
          </w:p>
          <w:p w14:paraId="2F80CE69" w14:textId="32713CD5" w:rsidR="00BE5EA8" w:rsidRDefault="00BE5EA8" w:rsidP="00BE5EA8">
            <w:pPr>
              <w:spacing w:line="276" w:lineRule="auto"/>
              <w:jc w:val="both"/>
              <w:rPr>
                <w:rFonts w:ascii="Verdana" w:eastAsia="Calibri" w:hAnsi="Verdana" w:cs="Arial"/>
                <w:lang w:val="es-ES" w:eastAsia="es-ES"/>
              </w:rPr>
            </w:pPr>
            <w:r>
              <w:rPr>
                <w:rFonts w:ascii="Verdana" w:eastAsia="Calibri" w:hAnsi="Verdana" w:cs="Arial"/>
                <w:lang w:val="es-ES" w:eastAsia="es-ES"/>
              </w:rPr>
              <w:t>Los oferentes deben observar o tener presente las modificaciones o adendas que la Entidad Estatal pueda anexar al proceso contractual, de esta manera, se podrán tomar las medidas a que haya lugar para cumplir con el cronograma establecido en el cual se pactan las fechas, horas y plazos</w:t>
            </w:r>
            <w:r w:rsidR="00683666">
              <w:rPr>
                <w:rFonts w:ascii="Verdana" w:eastAsia="Calibri" w:hAnsi="Verdana" w:cs="Arial"/>
                <w:lang w:val="es-ES" w:eastAsia="es-ES"/>
              </w:rPr>
              <w:t xml:space="preserve"> del proceso</w:t>
            </w:r>
            <w:r>
              <w:rPr>
                <w:rFonts w:ascii="Verdana" w:eastAsia="Calibri" w:hAnsi="Verdana" w:cs="Arial"/>
                <w:lang w:val="es-ES" w:eastAsia="es-ES"/>
              </w:rPr>
              <w:t xml:space="preserve">. </w:t>
            </w:r>
          </w:p>
          <w:p w14:paraId="225A767B" w14:textId="687B93DF" w:rsidR="00B337F5" w:rsidRDefault="00B337F5" w:rsidP="00DA7A71">
            <w:pPr>
              <w:spacing w:line="276" w:lineRule="auto"/>
              <w:jc w:val="both"/>
              <w:rPr>
                <w:rFonts w:ascii="Verdana" w:eastAsia="Calibri" w:hAnsi="Verdana" w:cs="Arial"/>
                <w:lang w:val="es-ES" w:eastAsia="es-ES"/>
              </w:rPr>
            </w:pPr>
            <w:r w:rsidRPr="3278CCE9">
              <w:rPr>
                <w:rFonts w:ascii="Verdana" w:eastAsia="Calibri" w:hAnsi="Verdana" w:cs="Arial"/>
                <w:lang w:val="es-ES" w:eastAsia="es-ES"/>
              </w:rPr>
              <w:t xml:space="preserve"> </w:t>
            </w:r>
          </w:p>
          <w:p w14:paraId="03800DF3" w14:textId="77777777" w:rsidR="00B337F5" w:rsidRPr="009322DA" w:rsidRDefault="00B337F5" w:rsidP="00DA7A71">
            <w:pPr>
              <w:spacing w:line="276" w:lineRule="auto"/>
              <w:jc w:val="both"/>
              <w:rPr>
                <w:rFonts w:ascii="Verdana" w:eastAsia="Calibri" w:hAnsi="Verdana" w:cs="Arial"/>
                <w:lang w:val="es-ES"/>
              </w:rPr>
            </w:pPr>
            <w:r>
              <w:rPr>
                <w:rFonts w:ascii="Verdana" w:eastAsia="Calibri" w:hAnsi="Verdana" w:cs="Arial"/>
                <w:bCs/>
                <w:lang w:val="es-ES"/>
              </w:rPr>
              <w:t>D</w:t>
            </w:r>
            <w:r w:rsidRPr="00547EFD">
              <w:rPr>
                <w:rFonts w:ascii="Verdana" w:eastAsia="Calibri" w:hAnsi="Verdana" w:cs="Arial"/>
                <w:bCs/>
                <w:lang w:val="es-ES"/>
              </w:rPr>
              <w:t xml:space="preserve">e conformidad con los mandatos derivados del principio de transparencia, consagrado en el artículo 24 de la Ley 80 de 1993, y lo dispuesto en el artículo 2.2.1.1.2.1.3 del Decreto 1082 de 2015, en el pliego de condiciones deben definirse “las reglas aplicables a la presentación de las ofertas, su evaluación y a la adjudicación del contrato”, así como el cronograma del proceso de selección, lo cual también es aplicable a la invitación en los procesos de mínima cuantía. Esto implica que para dar aplicación a la anterior regla las entidades deberán establecer, en la respectiva invitación, el lapso durante el cual recibirán ofertas, definiendo expresamente la hora hasta la cual recibirán las ofertas, de tal manera que este pueda ser conocido con anticipación por los interesados en participar.    </w:t>
            </w:r>
          </w:p>
        </w:tc>
      </w:tr>
    </w:tbl>
    <w:p w14:paraId="43A60DF3" w14:textId="77777777" w:rsidR="00B337F5" w:rsidRPr="009322DA" w:rsidRDefault="00B337F5" w:rsidP="00B337F5">
      <w:pPr>
        <w:tabs>
          <w:tab w:val="left" w:pos="142"/>
          <w:tab w:val="left" w:pos="284"/>
        </w:tabs>
        <w:spacing w:after="0" w:line="276" w:lineRule="auto"/>
        <w:jc w:val="both"/>
        <w:rPr>
          <w:rFonts w:ascii="Verdana" w:eastAsia="Century Gothic" w:hAnsi="Verdana" w:cs="Century Gothic"/>
          <w:b/>
          <w:bCs/>
          <w:lang w:val="es-ES"/>
        </w:rPr>
      </w:pPr>
    </w:p>
    <w:p w14:paraId="5471E9B6" w14:textId="77777777" w:rsidR="00B337F5" w:rsidRPr="009322DA" w:rsidRDefault="00B337F5" w:rsidP="00B337F5">
      <w:pPr>
        <w:tabs>
          <w:tab w:val="left" w:pos="142"/>
          <w:tab w:val="left" w:pos="284"/>
        </w:tabs>
        <w:spacing w:after="0" w:line="276" w:lineRule="auto"/>
        <w:jc w:val="both"/>
        <w:rPr>
          <w:rFonts w:ascii="Verdana" w:eastAsia="Century Gothic" w:hAnsi="Verdana" w:cs="Century Gothic"/>
          <w:b/>
          <w:bCs/>
          <w:lang w:val="es-ES"/>
        </w:rPr>
      </w:pPr>
    </w:p>
    <w:p w14:paraId="311FBB11" w14:textId="77777777" w:rsidR="00B337F5" w:rsidRPr="009322DA" w:rsidRDefault="00B337F5" w:rsidP="00B337F5">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29584DC0" w14:textId="77777777" w:rsidR="00B337F5" w:rsidRPr="009322DA" w:rsidRDefault="00B337F5" w:rsidP="00B337F5">
      <w:pPr>
        <w:spacing w:after="0" w:line="276" w:lineRule="auto"/>
        <w:jc w:val="both"/>
        <w:rPr>
          <w:rFonts w:ascii="Verdana" w:eastAsia="Calibri" w:hAnsi="Verdana" w:cs="Arial"/>
          <w:lang w:val="es-ES"/>
        </w:rPr>
      </w:pPr>
    </w:p>
    <w:p w14:paraId="3BAB78AC" w14:textId="77777777" w:rsidR="00B337F5" w:rsidRDefault="00B337F5" w:rsidP="00B337F5">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3C41219F" w14:textId="77777777" w:rsidR="00B337F5" w:rsidRDefault="00B337F5" w:rsidP="00B337F5">
      <w:pPr>
        <w:spacing w:after="0" w:line="276" w:lineRule="auto"/>
        <w:jc w:val="both"/>
        <w:rPr>
          <w:rFonts w:ascii="Verdana" w:eastAsia="Calibri" w:hAnsi="Verdana" w:cs="Arial"/>
          <w:lang w:val="es-ES"/>
        </w:rPr>
      </w:pPr>
    </w:p>
    <w:p w14:paraId="29B3A103" w14:textId="77777777" w:rsidR="00B337F5" w:rsidRDefault="00B337F5" w:rsidP="00B337F5">
      <w:pPr>
        <w:spacing w:after="0" w:line="276" w:lineRule="auto"/>
        <w:jc w:val="both"/>
        <w:rPr>
          <w:rFonts w:ascii="Verdana" w:eastAsia="Calibri" w:hAnsi="Verdana" w:cs="Arial"/>
          <w:lang w:val="es-ES"/>
        </w:rPr>
      </w:pPr>
    </w:p>
    <w:p w14:paraId="6B34B82B" w14:textId="77777777" w:rsidR="00B337F5" w:rsidRPr="008B5B75" w:rsidRDefault="00B337F5" w:rsidP="00B337F5">
      <w:pPr>
        <w:numPr>
          <w:ilvl w:val="0"/>
          <w:numId w:val="17"/>
        </w:numPr>
        <w:spacing w:after="0" w:line="276" w:lineRule="auto"/>
        <w:jc w:val="both"/>
        <w:rPr>
          <w:rFonts w:ascii="Verdana" w:eastAsia="Calibri" w:hAnsi="Verdana" w:cs="Arial"/>
          <w:b/>
          <w:bCs/>
          <w:lang w:val="es-ES"/>
        </w:rPr>
      </w:pPr>
      <w:r w:rsidRPr="008B5B75">
        <w:rPr>
          <w:rFonts w:ascii="Verdana" w:eastAsia="Calibri" w:hAnsi="Verdana" w:cs="Arial"/>
          <w:bCs/>
        </w:rPr>
        <w:t>La adopción de los documentos tipo obligatorios en el ordenamiento jurídico colombiano se incluyó por primera vez en el parágrafo 3 del artículo 2 de la Ley 1150 de 2007</w:t>
      </w:r>
      <w:r w:rsidRPr="008B5B75">
        <w:rPr>
          <w:rFonts w:ascii="Verdana" w:eastAsia="Calibri" w:hAnsi="Verdana" w:cs="Arial"/>
          <w:bCs/>
          <w:vertAlign w:val="superscript"/>
        </w:rPr>
        <w:footnoteReference w:id="2"/>
      </w:r>
      <w:r w:rsidRPr="008B5B75">
        <w:rPr>
          <w:rFonts w:ascii="Verdana" w:eastAsia="Calibri" w:hAnsi="Verdana" w:cs="Arial"/>
          <w:bCs/>
        </w:rPr>
        <w:t xml:space="preserve">, que facultó al gobierno nacional para expedirlos, pero solo cuando se tratara de la adquisición o suministro de </w:t>
      </w:r>
      <w:r w:rsidRPr="008B5B75">
        <w:rPr>
          <w:rFonts w:ascii="Verdana" w:eastAsia="Calibri" w:hAnsi="Verdana" w:cs="Arial"/>
          <w:bCs/>
        </w:rPr>
        <w:lastRenderedPageBreak/>
        <w:t>bienes y servicios de características técnicas uniformes y de común utilización. Sin embargo, esta facultad no ha sido ejercida hasta la actualidad.</w:t>
      </w:r>
    </w:p>
    <w:p w14:paraId="608A3FC8" w14:textId="77777777" w:rsidR="00B337F5" w:rsidRPr="008B5B75" w:rsidRDefault="00B337F5" w:rsidP="00B337F5">
      <w:pPr>
        <w:spacing w:after="0" w:line="276" w:lineRule="auto"/>
        <w:jc w:val="both"/>
        <w:rPr>
          <w:rFonts w:ascii="Verdana" w:eastAsia="Calibri" w:hAnsi="Verdana" w:cs="Arial"/>
          <w:b/>
          <w:bCs/>
          <w:lang w:val="es-ES"/>
        </w:rPr>
      </w:pPr>
    </w:p>
    <w:p w14:paraId="32BDC6BB" w14:textId="77777777" w:rsidR="00B337F5" w:rsidRPr="009C11F0" w:rsidRDefault="00B337F5" w:rsidP="00B337F5">
      <w:pPr>
        <w:numPr>
          <w:ilvl w:val="0"/>
          <w:numId w:val="17"/>
        </w:numPr>
        <w:spacing w:after="0" w:line="276" w:lineRule="auto"/>
        <w:jc w:val="both"/>
        <w:rPr>
          <w:rFonts w:ascii="Verdana" w:eastAsia="Calibri" w:hAnsi="Verdana" w:cs="Arial"/>
          <w:bCs/>
        </w:rPr>
      </w:pPr>
      <w:r w:rsidRPr="009C11F0">
        <w:rPr>
          <w:rFonts w:ascii="Verdana" w:eastAsia="Calibri" w:hAnsi="Verdana" w:cs="Arial"/>
          <w:bC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357DBD11" w14:textId="77777777" w:rsidR="00B337F5" w:rsidRPr="009C11F0" w:rsidRDefault="00B337F5" w:rsidP="00B337F5">
      <w:pPr>
        <w:spacing w:after="0" w:line="276" w:lineRule="auto"/>
        <w:jc w:val="both"/>
        <w:rPr>
          <w:rFonts w:ascii="Verdana" w:eastAsia="Calibri" w:hAnsi="Verdana" w:cs="Arial"/>
        </w:rPr>
      </w:pPr>
    </w:p>
    <w:p w14:paraId="33CAF371" w14:textId="77777777" w:rsidR="00B337F5" w:rsidRDefault="00B337F5" w:rsidP="00B337F5">
      <w:pPr>
        <w:spacing w:after="0" w:line="276" w:lineRule="auto"/>
        <w:jc w:val="both"/>
        <w:rPr>
          <w:rFonts w:ascii="Verdana" w:eastAsia="Calibri" w:hAnsi="Verdana" w:cs="Arial"/>
          <w:lang w:val="es-ES"/>
        </w:rPr>
      </w:pPr>
    </w:p>
    <w:p w14:paraId="0BEA0DB8" w14:textId="7A9387D4" w:rsidR="00B337F5" w:rsidRPr="009C11F0" w:rsidRDefault="00B337F5" w:rsidP="00B337F5">
      <w:pPr>
        <w:pStyle w:val="Prrafodelista"/>
        <w:numPr>
          <w:ilvl w:val="0"/>
          <w:numId w:val="17"/>
        </w:numPr>
        <w:spacing w:after="0" w:line="276" w:lineRule="auto"/>
        <w:jc w:val="both"/>
        <w:rPr>
          <w:rFonts w:ascii="Verdana" w:eastAsia="Calibri" w:hAnsi="Verdana" w:cs="Arial"/>
        </w:rPr>
      </w:pPr>
      <w:r w:rsidRPr="009C11F0">
        <w:rPr>
          <w:rFonts w:ascii="Verdana" w:eastAsia="Calibri" w:hAnsi="Verdana" w:cs="Arial"/>
        </w:rPr>
        <w:t>El Decreto 1082 de 2015, artículo 2.2.1.1.1.3.1, literal 11, define el cronograma como aquel documento en el cual la Entidad Estatal establece las fechas, horas y plazos para las actividades propias del proceso de contratación y el lugar en el que estas deben llevarse a cabo, de esto se deriva que, los procesos deben realizar</w:t>
      </w:r>
      <w:r w:rsidR="12F4E6FF" w:rsidRPr="009C11F0">
        <w:rPr>
          <w:rFonts w:ascii="Verdana" w:eastAsia="Calibri" w:hAnsi="Verdana" w:cs="Arial"/>
        </w:rPr>
        <w:t>se</w:t>
      </w:r>
      <w:r w:rsidRPr="009C11F0">
        <w:rPr>
          <w:rFonts w:ascii="Verdana" w:eastAsia="Calibri" w:hAnsi="Verdana" w:cs="Arial"/>
        </w:rPr>
        <w:t xml:space="preserve"> en los tiempos estipulados sin que haya lugar a observaciones ni interpretaciones sobre las fechas establecidas. No </w:t>
      </w:r>
      <w:bookmarkStart w:id="2" w:name="_Int_On3yYEDP"/>
      <w:proofErr w:type="gramStart"/>
      <w:r w:rsidRPr="009C11F0">
        <w:rPr>
          <w:rFonts w:ascii="Verdana" w:eastAsia="Calibri" w:hAnsi="Verdana" w:cs="Arial"/>
        </w:rPr>
        <w:t>obstante</w:t>
      </w:r>
      <w:bookmarkEnd w:id="2"/>
      <w:proofErr w:type="gramEnd"/>
      <w:r w:rsidRPr="009C11F0">
        <w:rPr>
          <w:rFonts w:ascii="Verdana" w:eastAsia="Calibri" w:hAnsi="Verdana" w:cs="Arial"/>
        </w:rPr>
        <w:t xml:space="preserve"> lo anterior, es imperioso manifestar que el jefe o representante de la Entidad Estatal podrá prorrogar dichos plazos antes de su vencimiento y por un término total no mayor a la mitad del inicialmente fijado, siempre que las necesidades de la administración así lo exijan</w:t>
      </w:r>
      <w:r>
        <w:rPr>
          <w:rStyle w:val="Refdenotaalpie"/>
          <w:rFonts w:ascii="Verdana" w:eastAsia="Calibri" w:hAnsi="Verdana" w:cs="Arial"/>
        </w:rPr>
        <w:footnoteReference w:id="3"/>
      </w:r>
      <w:r w:rsidRPr="009C11F0">
        <w:rPr>
          <w:rFonts w:ascii="Verdana" w:eastAsia="Calibri" w:hAnsi="Verdana" w:cs="Arial"/>
        </w:rPr>
        <w:t>.</w:t>
      </w:r>
    </w:p>
    <w:p w14:paraId="2D1D1340" w14:textId="77777777" w:rsidR="00B337F5" w:rsidRDefault="00B337F5" w:rsidP="00B337F5">
      <w:pPr>
        <w:spacing w:after="0" w:line="276" w:lineRule="auto"/>
        <w:jc w:val="both"/>
        <w:rPr>
          <w:rFonts w:ascii="Verdana" w:eastAsia="Calibri" w:hAnsi="Verdana" w:cs="Arial"/>
          <w:lang w:val="es-ES"/>
        </w:rPr>
      </w:pPr>
    </w:p>
    <w:p w14:paraId="4F785C0F" w14:textId="303A4B3F" w:rsidR="00B337F5" w:rsidRPr="009C11F0" w:rsidRDefault="00B337F5" w:rsidP="00B337F5">
      <w:pPr>
        <w:pStyle w:val="Prrafodelista"/>
        <w:numPr>
          <w:ilvl w:val="0"/>
          <w:numId w:val="17"/>
        </w:numPr>
        <w:spacing w:after="0" w:line="276" w:lineRule="auto"/>
        <w:jc w:val="both"/>
        <w:rPr>
          <w:rFonts w:ascii="Verdana" w:eastAsia="Calibri" w:hAnsi="Verdana" w:cs="Arial"/>
        </w:rPr>
      </w:pPr>
      <w:r w:rsidRPr="009C11F0">
        <w:rPr>
          <w:rFonts w:ascii="Verdana" w:eastAsia="Calibri" w:hAnsi="Verdana" w:cs="Arial"/>
        </w:rPr>
        <w:t xml:space="preserve">De acuerdo con el artículo 2.2.1.1.2.2.1 del decreto 1082 de 2015, todas las modificaciones que se realicen por parte de la Entidad Estatal deben publicarse en los días hábiles, entre las 7:00 am y las 7:00 pm., a </w:t>
      </w:r>
      <w:r w:rsidR="29143C02" w:rsidRPr="009C11F0">
        <w:rPr>
          <w:rFonts w:ascii="Verdana" w:eastAsia="Calibri" w:hAnsi="Verdana" w:cs="Arial"/>
        </w:rPr>
        <w:t>más</w:t>
      </w:r>
      <w:r w:rsidRPr="009C11F0">
        <w:rPr>
          <w:rFonts w:ascii="Verdana" w:eastAsia="Calibri" w:hAnsi="Verdana" w:cs="Arial"/>
        </w:rPr>
        <w:t xml:space="preserve"> tardar el día hábil anterior al vencimiento del plazo para presentar ofertas a la hora fijada para tal presentación, salvo en la licitación </w:t>
      </w:r>
      <w:r w:rsidR="7195832B" w:rsidRPr="009C11F0">
        <w:rPr>
          <w:rFonts w:ascii="Verdana" w:eastAsia="Calibri" w:hAnsi="Verdana" w:cs="Arial"/>
        </w:rPr>
        <w:t>pública</w:t>
      </w:r>
      <w:r w:rsidRPr="009C11F0">
        <w:rPr>
          <w:rFonts w:ascii="Verdana" w:eastAsia="Calibri" w:hAnsi="Verdana" w:cs="Arial"/>
        </w:rPr>
        <w:t xml:space="preserve"> pues de conformidad con la ley la publicación debe hacerse con tres (3) días de anticipación</w:t>
      </w:r>
      <w:r>
        <w:rPr>
          <w:rStyle w:val="Refdenotaalpie"/>
          <w:rFonts w:ascii="Verdana" w:eastAsia="Calibri" w:hAnsi="Verdana" w:cs="Arial"/>
        </w:rPr>
        <w:footnoteReference w:id="4"/>
      </w:r>
      <w:r w:rsidRPr="009C11F0">
        <w:rPr>
          <w:rFonts w:ascii="Verdana" w:eastAsia="Calibri" w:hAnsi="Verdana" w:cs="Arial"/>
        </w:rPr>
        <w:t>.</w:t>
      </w:r>
    </w:p>
    <w:p w14:paraId="5770952C" w14:textId="77777777" w:rsidR="00B337F5" w:rsidRDefault="00B337F5" w:rsidP="00B337F5">
      <w:pPr>
        <w:spacing w:after="0" w:line="276" w:lineRule="auto"/>
        <w:jc w:val="both"/>
        <w:rPr>
          <w:rFonts w:ascii="Verdana" w:eastAsia="Calibri" w:hAnsi="Verdana" w:cs="Arial"/>
          <w:lang w:val="es-ES"/>
        </w:rPr>
      </w:pPr>
    </w:p>
    <w:p w14:paraId="15179E24" w14:textId="33D5EE58" w:rsidR="00B337F5" w:rsidRPr="009C11F0" w:rsidRDefault="00B337F5" w:rsidP="00B337F5">
      <w:pPr>
        <w:pStyle w:val="Prrafodelista"/>
        <w:numPr>
          <w:ilvl w:val="0"/>
          <w:numId w:val="17"/>
        </w:numPr>
        <w:spacing w:before="120" w:after="0" w:line="276" w:lineRule="auto"/>
        <w:jc w:val="both"/>
        <w:rPr>
          <w:rFonts w:ascii="Verdana" w:eastAsia="Times New Roman" w:hAnsi="Verdana" w:cs="Arial"/>
          <w:color w:val="000000" w:themeColor="text1"/>
        </w:rPr>
      </w:pPr>
      <w:r w:rsidRPr="3278CCE9">
        <w:rPr>
          <w:rFonts w:ascii="Verdana" w:eastAsia="Times New Roman" w:hAnsi="Verdana" w:cs="Arial"/>
          <w:color w:val="000000" w:themeColor="text1"/>
        </w:rPr>
        <w:lastRenderedPageBreak/>
        <w:t xml:space="preserve">Conforme al principio de economía señalado en el </w:t>
      </w:r>
      <w:r w:rsidR="233D7AFA" w:rsidRPr="3278CCE9">
        <w:rPr>
          <w:rFonts w:ascii="Verdana" w:eastAsia="Times New Roman" w:hAnsi="Verdana" w:cs="Arial"/>
          <w:color w:val="000000" w:themeColor="text1"/>
        </w:rPr>
        <w:t xml:space="preserve">numeral primero del </w:t>
      </w:r>
      <w:r w:rsidRPr="3278CCE9">
        <w:rPr>
          <w:rFonts w:ascii="Verdana" w:eastAsia="Times New Roman" w:hAnsi="Verdana" w:cs="Arial"/>
          <w:color w:val="000000" w:themeColor="text1"/>
        </w:rPr>
        <w:t xml:space="preserve">artículo 25 de la Ley 80 de </w:t>
      </w:r>
      <w:r w:rsidR="00DB4D91" w:rsidRPr="3278CCE9">
        <w:rPr>
          <w:rFonts w:ascii="Verdana" w:eastAsia="Times New Roman" w:hAnsi="Verdana" w:cs="Arial"/>
          <w:color w:val="000000" w:themeColor="text1"/>
        </w:rPr>
        <w:t>1993, deben</w:t>
      </w:r>
      <w:r w:rsidR="110050C0" w:rsidRPr="3278CCE9">
        <w:rPr>
          <w:rFonts w:ascii="Verdana" w:eastAsia="Times New Roman" w:hAnsi="Verdana" w:cs="Arial"/>
          <w:color w:val="000000" w:themeColor="text1"/>
        </w:rPr>
        <w:t xml:space="preserve"> </w:t>
      </w:r>
      <w:r w:rsidR="00DB4D91" w:rsidRPr="3278CCE9">
        <w:rPr>
          <w:rFonts w:ascii="Verdana" w:eastAsia="Times New Roman" w:hAnsi="Verdana" w:cs="Arial"/>
          <w:color w:val="000000" w:themeColor="text1"/>
        </w:rPr>
        <w:t>cumplirse los</w:t>
      </w:r>
      <w:r w:rsidRPr="3278CCE9">
        <w:rPr>
          <w:rFonts w:ascii="Verdana" w:eastAsia="Times New Roman" w:hAnsi="Verdana" w:cs="Arial"/>
          <w:color w:val="000000" w:themeColor="text1"/>
        </w:rPr>
        <w:t xml:space="preserve"> procedimientos y etapas estrictamente necesarios para asegurar la selección objetiva de la propuesta más favorable, por lo que se señalarán términos preclusivos y perentorios para las diferentes etapas de</w:t>
      </w:r>
      <w:r w:rsidR="47EB00AC" w:rsidRPr="3278CCE9">
        <w:rPr>
          <w:rFonts w:ascii="Verdana" w:eastAsia="Times New Roman" w:hAnsi="Verdana" w:cs="Arial"/>
          <w:color w:val="000000" w:themeColor="text1"/>
        </w:rPr>
        <w:t>l proceso de</w:t>
      </w:r>
      <w:r w:rsidR="00DB4D91">
        <w:rPr>
          <w:rFonts w:ascii="Verdana" w:eastAsia="Times New Roman" w:hAnsi="Verdana" w:cs="Arial"/>
          <w:color w:val="000000" w:themeColor="text1"/>
        </w:rPr>
        <w:t xml:space="preserve"> </w:t>
      </w:r>
      <w:r w:rsidRPr="3278CCE9">
        <w:rPr>
          <w:rFonts w:ascii="Verdana" w:eastAsia="Times New Roman" w:hAnsi="Verdana" w:cs="Arial"/>
          <w:color w:val="000000" w:themeColor="text1"/>
        </w:rPr>
        <w:t>selección. En virtud de este principio, las partes del proceso de contratación, así como los funcionarios públicos, se encuentran obligados a respetar y acatar tales etapas.</w:t>
      </w:r>
    </w:p>
    <w:p w14:paraId="461A86CC" w14:textId="77777777" w:rsidR="00B337F5" w:rsidRPr="009C11F0" w:rsidRDefault="00B337F5" w:rsidP="00B337F5">
      <w:pPr>
        <w:pStyle w:val="Prrafodelista"/>
        <w:rPr>
          <w:rFonts w:ascii="Verdana" w:eastAsia="Times New Roman" w:hAnsi="Verdana" w:cs="Arial"/>
          <w:color w:val="000000" w:themeColor="text1"/>
        </w:rPr>
      </w:pPr>
    </w:p>
    <w:p w14:paraId="02B21109" w14:textId="5594826E" w:rsidR="00B337F5" w:rsidRPr="009C11F0" w:rsidRDefault="00B337F5" w:rsidP="00B337F5">
      <w:pPr>
        <w:pStyle w:val="Prrafodelista"/>
        <w:numPr>
          <w:ilvl w:val="0"/>
          <w:numId w:val="17"/>
        </w:numPr>
        <w:spacing w:before="120" w:after="0" w:line="276" w:lineRule="auto"/>
        <w:jc w:val="both"/>
        <w:rPr>
          <w:rFonts w:ascii="Verdana" w:eastAsia="Times New Roman" w:hAnsi="Verdana" w:cs="Arial"/>
          <w:color w:val="000000" w:themeColor="text1"/>
        </w:rPr>
      </w:pPr>
      <w:r w:rsidRPr="3278CCE9">
        <w:rPr>
          <w:rFonts w:ascii="Verdana" w:eastAsia="Times New Roman" w:hAnsi="Verdana" w:cs="Arial"/>
          <w:color w:val="000000" w:themeColor="text1"/>
        </w:rPr>
        <w:t xml:space="preserve">Adicionalmente, hay normas específicas del EGCAP que establecen la facultad de prorrogar plazos de algunas etapas del proceso, pero en todo caso esto debe efectuarse antes de su vencimiento. </w:t>
      </w:r>
      <w:r w:rsidR="1C759D21" w:rsidRPr="3278CCE9">
        <w:rPr>
          <w:rFonts w:ascii="Verdana" w:eastAsia="Times New Roman" w:hAnsi="Verdana" w:cs="Arial"/>
          <w:color w:val="000000" w:themeColor="text1"/>
        </w:rPr>
        <w:t xml:space="preserve">A título de </w:t>
      </w:r>
      <w:r w:rsidRPr="3278CCE9">
        <w:rPr>
          <w:rFonts w:ascii="Verdana" w:eastAsia="Times New Roman" w:hAnsi="Verdana" w:cs="Arial"/>
          <w:color w:val="000000" w:themeColor="text1"/>
        </w:rPr>
        <w:t xml:space="preserve">ejemplo, el numeral 5 de artículo 30 de la Ley 80 de 1993 señala que la entidad, de oficio o a solicitud de un número plural de posibles oferentes, podrá prorrogar el plazo para el cierre del proceso antes de su vencimiento, por un término no superior a la mitad del inicialmente fijado. De igual </w:t>
      </w:r>
      <w:r w:rsidR="00DB4D91" w:rsidRPr="3278CCE9">
        <w:rPr>
          <w:rFonts w:ascii="Verdana" w:eastAsia="Times New Roman" w:hAnsi="Verdana" w:cs="Arial"/>
          <w:color w:val="000000" w:themeColor="text1"/>
        </w:rPr>
        <w:t>manera, el</w:t>
      </w:r>
      <w:r w:rsidRPr="3278CCE9">
        <w:rPr>
          <w:rFonts w:ascii="Verdana" w:eastAsia="Times New Roman" w:hAnsi="Verdana" w:cs="Arial"/>
          <w:color w:val="000000" w:themeColor="text1"/>
        </w:rPr>
        <w:t xml:space="preserve"> jefe de la entidad puede prorrogar el plazo para efectuar la adjudicación, y para la firma del contrato, </w:t>
      </w:r>
      <w:r w:rsidR="08CC48F9" w:rsidRPr="3278CCE9">
        <w:rPr>
          <w:rFonts w:ascii="Verdana" w:eastAsia="Times New Roman" w:hAnsi="Verdana" w:cs="Arial"/>
          <w:color w:val="000000" w:themeColor="text1"/>
        </w:rPr>
        <w:t xml:space="preserve">respetando los limites perentorios de ley, esto </w:t>
      </w:r>
      <w:r w:rsidR="270E7483" w:rsidRPr="3278CCE9">
        <w:rPr>
          <w:rFonts w:ascii="Verdana" w:eastAsia="Times New Roman" w:hAnsi="Verdana" w:cs="Arial"/>
          <w:color w:val="000000" w:themeColor="text1"/>
        </w:rPr>
        <w:t>es,</w:t>
      </w:r>
      <w:r w:rsidR="08CC48F9" w:rsidRPr="3278CCE9">
        <w:rPr>
          <w:rFonts w:ascii="Verdana" w:eastAsia="Times New Roman" w:hAnsi="Verdana" w:cs="Arial"/>
          <w:color w:val="000000" w:themeColor="text1"/>
        </w:rPr>
        <w:t xml:space="preserve"> </w:t>
      </w:r>
      <w:r w:rsidRPr="3278CCE9">
        <w:rPr>
          <w:rFonts w:ascii="Verdana" w:eastAsia="Times New Roman" w:hAnsi="Verdana" w:cs="Arial"/>
          <w:color w:val="000000" w:themeColor="text1"/>
        </w:rPr>
        <w:t>antes del vencimiento de dichos plazos y por un término no mayor a la mitad del inicialmente fijado, cuando se</w:t>
      </w:r>
      <w:r w:rsidR="5C0B262A" w:rsidRPr="3278CCE9">
        <w:rPr>
          <w:rFonts w:ascii="Verdana" w:eastAsia="Times New Roman" w:hAnsi="Verdana" w:cs="Arial"/>
          <w:color w:val="000000" w:themeColor="text1"/>
        </w:rPr>
        <w:t>a</w:t>
      </w:r>
      <w:r w:rsidRPr="3278CCE9">
        <w:rPr>
          <w:rFonts w:ascii="Verdana" w:eastAsia="Times New Roman" w:hAnsi="Verdana" w:cs="Arial"/>
          <w:color w:val="000000" w:themeColor="text1"/>
        </w:rPr>
        <w:t xml:space="preserve"> </w:t>
      </w:r>
      <w:r w:rsidR="00DB4D91" w:rsidRPr="3278CCE9">
        <w:rPr>
          <w:rFonts w:ascii="Verdana" w:eastAsia="Times New Roman" w:hAnsi="Verdana" w:cs="Arial"/>
          <w:color w:val="000000" w:themeColor="text1"/>
        </w:rPr>
        <w:t>requerido</w:t>
      </w:r>
      <w:r w:rsidRPr="3278CCE9">
        <w:rPr>
          <w:rFonts w:ascii="Verdana" w:eastAsia="Times New Roman" w:hAnsi="Verdana" w:cs="Arial"/>
          <w:color w:val="000000" w:themeColor="text1"/>
        </w:rPr>
        <w:t xml:space="preserve">. </w:t>
      </w:r>
    </w:p>
    <w:p w14:paraId="04444058" w14:textId="77777777" w:rsidR="00B337F5" w:rsidRPr="009C11F0" w:rsidRDefault="00B337F5" w:rsidP="00B337F5">
      <w:pPr>
        <w:pStyle w:val="Prrafodelista"/>
        <w:rPr>
          <w:rFonts w:ascii="Verdana" w:eastAsia="Times New Roman" w:hAnsi="Verdana" w:cs="Arial"/>
          <w:color w:val="000000" w:themeColor="text1"/>
        </w:rPr>
      </w:pPr>
    </w:p>
    <w:p w14:paraId="0694705A" w14:textId="77777777" w:rsidR="00B337F5" w:rsidRPr="00C45DD7" w:rsidRDefault="00B337F5" w:rsidP="00B337F5">
      <w:pPr>
        <w:spacing w:after="0" w:line="276" w:lineRule="auto"/>
        <w:jc w:val="both"/>
        <w:rPr>
          <w:rFonts w:ascii="Verdana" w:eastAsia="Calibri" w:hAnsi="Verdana" w:cs="Arial"/>
        </w:rPr>
      </w:pPr>
    </w:p>
    <w:p w14:paraId="07A6EB1D" w14:textId="77777777" w:rsidR="00B337F5" w:rsidRPr="009322DA" w:rsidRDefault="00B337F5" w:rsidP="00B337F5">
      <w:pPr>
        <w:spacing w:after="0" w:line="276" w:lineRule="auto"/>
        <w:jc w:val="both"/>
        <w:rPr>
          <w:rFonts w:ascii="Verdana" w:eastAsia="Calibri" w:hAnsi="Verdana" w:cs="Arial"/>
          <w:lang w:val="es-ES"/>
        </w:rPr>
      </w:pPr>
    </w:p>
    <w:p w14:paraId="299676C7" w14:textId="03D37A56" w:rsidR="00B337F5" w:rsidRPr="009C11F0" w:rsidRDefault="00B337F5" w:rsidP="3278CCE9">
      <w:pPr>
        <w:pStyle w:val="Prrafodelista"/>
        <w:numPr>
          <w:ilvl w:val="0"/>
          <w:numId w:val="17"/>
        </w:numPr>
        <w:spacing w:after="0" w:line="276" w:lineRule="auto"/>
        <w:jc w:val="both"/>
        <w:rPr>
          <w:rFonts w:ascii="Verdana" w:eastAsia="Calibri" w:hAnsi="Verdana" w:cs="Arial"/>
        </w:rPr>
      </w:pPr>
      <w:r w:rsidRPr="3278CCE9">
        <w:rPr>
          <w:rFonts w:ascii="Verdana" w:eastAsia="Calibri" w:hAnsi="Verdana" w:cs="Arial"/>
        </w:rPr>
        <w:t xml:space="preserve"> Finalmente se reitera que de conformidad con los mandatos derivados del principio de transparencia, consagrado en el artículo 24 de la Ley 80 de 1993, y lo dispuesto en el artículo 2.2.1.1.2.1.3 del Decreto 1082 de 2015</w:t>
      </w:r>
      <w:r w:rsidRPr="00547EFD">
        <w:rPr>
          <w:vertAlign w:val="superscript"/>
        </w:rPr>
        <w:footnoteReference w:id="5"/>
      </w:r>
      <w:r w:rsidRPr="3278CCE9">
        <w:rPr>
          <w:rFonts w:ascii="Verdana" w:eastAsia="Calibri" w:hAnsi="Verdana" w:cs="Arial"/>
        </w:rPr>
        <w:t xml:space="preserve">, en el pliego de condiciones deben definirse “las reglas aplicables a la presentación de las ofertas, su evaluación y a la adjudicación del </w:t>
      </w:r>
      <w:r w:rsidRPr="3278CCE9">
        <w:rPr>
          <w:rFonts w:ascii="Verdana" w:eastAsia="Calibri" w:hAnsi="Verdana" w:cs="Arial"/>
        </w:rPr>
        <w:lastRenderedPageBreak/>
        <w:t xml:space="preserve">contrato”, así como el cronograma del proceso de selección, lo cual también es aplicable a la invitación en los procesos de mínima cuantía. Esto implica </w:t>
      </w:r>
      <w:proofErr w:type="gramStart"/>
      <w:r w:rsidRPr="3278CCE9">
        <w:rPr>
          <w:rFonts w:ascii="Verdana" w:eastAsia="Calibri" w:hAnsi="Verdana" w:cs="Arial"/>
        </w:rPr>
        <w:t>que</w:t>
      </w:r>
      <w:proofErr w:type="gramEnd"/>
      <w:r w:rsidRPr="3278CCE9">
        <w:rPr>
          <w:rFonts w:ascii="Verdana" w:eastAsia="Calibri" w:hAnsi="Verdana" w:cs="Arial"/>
        </w:rPr>
        <w:t xml:space="preserve"> para dar aplicación a la anterior regla</w:t>
      </w:r>
      <w:r w:rsidR="58024E8A" w:rsidRPr="3278CCE9">
        <w:rPr>
          <w:rFonts w:ascii="Verdana" w:eastAsia="Calibri" w:hAnsi="Verdana" w:cs="Arial"/>
        </w:rPr>
        <w:t>,</w:t>
      </w:r>
      <w:r w:rsidRPr="3278CCE9">
        <w:rPr>
          <w:rFonts w:ascii="Verdana" w:eastAsia="Calibri" w:hAnsi="Verdana" w:cs="Arial"/>
        </w:rPr>
        <w:t xml:space="preserve"> las entidades deberán establecer, en la respectiva invitación, el lapso durante el cual recibirán ofertas, definiendo expresamente la hora hasta la cual recibirán las ofertas, de tal manera que este pueda ser conocido con anticipación por los </w:t>
      </w:r>
      <w:r w:rsidR="00DB4D91" w:rsidRPr="3278CCE9">
        <w:rPr>
          <w:rFonts w:ascii="Verdana" w:eastAsia="Calibri" w:hAnsi="Verdana" w:cs="Arial"/>
        </w:rPr>
        <w:t>interesados.</w:t>
      </w:r>
      <w:r w:rsidRPr="3278CCE9">
        <w:rPr>
          <w:rFonts w:ascii="Verdana" w:eastAsia="Calibri" w:hAnsi="Verdana" w:cs="Arial"/>
        </w:rPr>
        <w:t xml:space="preserve">    </w:t>
      </w:r>
    </w:p>
    <w:p w14:paraId="0C576F76" w14:textId="77777777" w:rsidR="00B337F5" w:rsidRPr="00EB3000" w:rsidRDefault="00B337F5" w:rsidP="00B337F5">
      <w:pPr>
        <w:pStyle w:val="Prrafodelista"/>
        <w:jc w:val="both"/>
        <w:rPr>
          <w:rFonts w:ascii="Verdana" w:eastAsia="Calibri" w:hAnsi="Verdana" w:cs="Arial"/>
        </w:rPr>
      </w:pPr>
    </w:p>
    <w:p w14:paraId="115BBA11" w14:textId="77777777" w:rsidR="00B337F5" w:rsidRPr="001A5605" w:rsidRDefault="00B337F5" w:rsidP="00B337F5">
      <w:pPr>
        <w:pStyle w:val="Prrafodelista"/>
        <w:rPr>
          <w:rFonts w:ascii="Verdana" w:eastAsia="Calibri" w:hAnsi="Verdana" w:cs="Arial"/>
        </w:rPr>
      </w:pPr>
    </w:p>
    <w:p w14:paraId="06FDDA7F" w14:textId="77777777" w:rsidR="00B337F5" w:rsidRPr="009322DA" w:rsidRDefault="00B337F5" w:rsidP="00B337F5">
      <w:pPr>
        <w:jc w:val="both"/>
        <w:rPr>
          <w:rFonts w:ascii="Verdana" w:eastAsia="Calibri" w:hAnsi="Verdana" w:cs="Arial"/>
          <w:b/>
          <w:bCs/>
        </w:rPr>
      </w:pPr>
      <w:r w:rsidRPr="009322DA">
        <w:rPr>
          <w:rFonts w:ascii="Verdana" w:eastAsia="Calibri" w:hAnsi="Verdana" w:cs="Arial"/>
          <w:b/>
          <w:bCs/>
        </w:rPr>
        <w:t>4. Referencias 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B337F5" w:rsidRPr="009322DA" w14:paraId="6C2E9E08" w14:textId="77777777" w:rsidTr="00DA7A71">
        <w:trPr>
          <w:trHeight w:val="870"/>
        </w:trPr>
        <w:tc>
          <w:tcPr>
            <w:tcW w:w="8647" w:type="dxa"/>
            <w:tcBorders>
              <w:top w:val="dotted" w:sz="4" w:space="0" w:color="auto"/>
              <w:left w:val="dotted" w:sz="4" w:space="0" w:color="auto"/>
              <w:bottom w:val="dotted" w:sz="4" w:space="0" w:color="auto"/>
              <w:right w:val="dotted" w:sz="4" w:space="0" w:color="auto"/>
            </w:tcBorders>
          </w:tcPr>
          <w:p w14:paraId="53B3F614" w14:textId="77777777" w:rsidR="00B337F5" w:rsidRPr="004F5EEA" w:rsidRDefault="00B337F5" w:rsidP="00B337F5">
            <w:pPr>
              <w:pStyle w:val="Prrafodelista"/>
              <w:numPr>
                <w:ilvl w:val="0"/>
                <w:numId w:val="18"/>
              </w:numPr>
              <w:jc w:val="both"/>
              <w:rPr>
                <w:rFonts w:ascii="Verdana" w:eastAsia="Calibri" w:hAnsi="Verdana" w:cs="Arial"/>
                <w:bCs/>
              </w:rPr>
            </w:pPr>
            <w:r w:rsidRPr="004F5EEA">
              <w:rPr>
                <w:rFonts w:ascii="Verdana" w:eastAsia="Calibri" w:hAnsi="Verdana" w:cs="Arial"/>
                <w:bCs/>
              </w:rPr>
              <w:t xml:space="preserve">Ley 80 de 1993, articulo 24 y 30 </w:t>
            </w:r>
          </w:p>
          <w:p w14:paraId="39F44318" w14:textId="77777777" w:rsidR="00B337F5" w:rsidRPr="004F5EEA" w:rsidRDefault="00B337F5" w:rsidP="00B337F5">
            <w:pPr>
              <w:pStyle w:val="Prrafodelista"/>
              <w:numPr>
                <w:ilvl w:val="0"/>
                <w:numId w:val="18"/>
              </w:numPr>
              <w:jc w:val="both"/>
              <w:rPr>
                <w:rFonts w:ascii="Verdana" w:eastAsia="Calibri" w:hAnsi="Verdana" w:cs="Arial"/>
                <w:bCs/>
              </w:rPr>
            </w:pPr>
            <w:r w:rsidRPr="004F5EEA">
              <w:rPr>
                <w:rFonts w:ascii="Verdana" w:eastAsia="Calibri" w:hAnsi="Verdana" w:cs="Arial"/>
                <w:bCs/>
              </w:rPr>
              <w:t>Decreto 1082 de 2015, articulo 2.2.1.1.2.2.1,2.2.1.1.2.1.3, 2.2.1.1.1.3.1 literal 11</w:t>
            </w:r>
          </w:p>
          <w:p w14:paraId="6ABEC3C9" w14:textId="77777777" w:rsidR="00B337F5" w:rsidRPr="004F5EEA" w:rsidRDefault="00B337F5" w:rsidP="00B337F5">
            <w:pPr>
              <w:pStyle w:val="Prrafodelista"/>
              <w:numPr>
                <w:ilvl w:val="0"/>
                <w:numId w:val="18"/>
              </w:numPr>
              <w:jc w:val="both"/>
              <w:rPr>
                <w:rFonts w:ascii="Verdana" w:eastAsia="Calibri" w:hAnsi="Verdana" w:cs="Arial"/>
                <w:bCs/>
              </w:rPr>
            </w:pPr>
            <w:r w:rsidRPr="004F5EEA">
              <w:rPr>
                <w:rFonts w:ascii="Verdana" w:eastAsia="Calibri" w:hAnsi="Verdana" w:cs="Arial"/>
                <w:bCs/>
              </w:rPr>
              <w:t>Ley 1150 de 2007</w:t>
            </w:r>
          </w:p>
          <w:p w14:paraId="3369EE95" w14:textId="77777777" w:rsidR="00B337F5" w:rsidRPr="004F5EEA" w:rsidRDefault="00B337F5" w:rsidP="00B337F5">
            <w:pPr>
              <w:pStyle w:val="Prrafodelista"/>
              <w:numPr>
                <w:ilvl w:val="0"/>
                <w:numId w:val="18"/>
              </w:numPr>
              <w:jc w:val="both"/>
              <w:rPr>
                <w:rFonts w:ascii="Verdana" w:eastAsia="Calibri" w:hAnsi="Verdana" w:cs="Arial"/>
                <w:bCs/>
              </w:rPr>
            </w:pPr>
            <w:r w:rsidRPr="004F5EEA">
              <w:rPr>
                <w:rFonts w:ascii="Verdana" w:eastAsia="Calibri" w:hAnsi="Verdana" w:cs="Arial"/>
                <w:bCs/>
              </w:rPr>
              <w:t>Ley 1882 de 2018, articulo 4</w:t>
            </w:r>
          </w:p>
          <w:p w14:paraId="01F28793" w14:textId="77777777" w:rsidR="00B337F5" w:rsidRPr="004F5EEA" w:rsidRDefault="00B337F5" w:rsidP="00B337F5">
            <w:pPr>
              <w:pStyle w:val="Prrafodelista"/>
              <w:numPr>
                <w:ilvl w:val="0"/>
                <w:numId w:val="18"/>
              </w:numPr>
              <w:jc w:val="both"/>
              <w:rPr>
                <w:rFonts w:ascii="Verdana" w:eastAsia="Calibri" w:hAnsi="Verdana" w:cs="Arial"/>
                <w:bCs/>
              </w:rPr>
            </w:pPr>
            <w:r w:rsidRPr="004F5EEA">
              <w:rPr>
                <w:rFonts w:ascii="Verdana" w:eastAsia="Calibri" w:hAnsi="Verdana" w:cs="Arial"/>
                <w:bCs/>
              </w:rPr>
              <w:t>Ley 2022 de 2020</w:t>
            </w:r>
          </w:p>
          <w:p w14:paraId="5047C3C8" w14:textId="77777777" w:rsidR="00B337F5" w:rsidRPr="00775458" w:rsidRDefault="00B337F5" w:rsidP="00DA7A71">
            <w:pPr>
              <w:widowControl w:val="0"/>
              <w:autoSpaceDE w:val="0"/>
              <w:autoSpaceDN w:val="0"/>
              <w:spacing w:line="276" w:lineRule="auto"/>
              <w:contextualSpacing/>
              <w:jc w:val="both"/>
              <w:rPr>
                <w:rFonts w:ascii="Verdana" w:hAnsi="Verdana" w:cs="Arial"/>
              </w:rPr>
            </w:pPr>
          </w:p>
        </w:tc>
      </w:tr>
    </w:tbl>
    <w:p w14:paraId="53718999" w14:textId="77777777" w:rsidR="00B337F5" w:rsidRPr="009322DA" w:rsidRDefault="00B337F5" w:rsidP="00B337F5">
      <w:pPr>
        <w:tabs>
          <w:tab w:val="left" w:pos="142"/>
          <w:tab w:val="left" w:pos="284"/>
        </w:tabs>
        <w:spacing w:after="0" w:line="276" w:lineRule="auto"/>
        <w:jc w:val="both"/>
        <w:rPr>
          <w:rFonts w:ascii="Verdana" w:eastAsia="Calibri" w:hAnsi="Verdana" w:cs="Arial"/>
        </w:rPr>
      </w:pPr>
    </w:p>
    <w:p w14:paraId="45B8939D" w14:textId="77777777" w:rsidR="00B337F5" w:rsidRPr="009322DA" w:rsidRDefault="00B337F5" w:rsidP="00B337F5">
      <w:pPr>
        <w:tabs>
          <w:tab w:val="left" w:pos="142"/>
          <w:tab w:val="left" w:pos="284"/>
        </w:tabs>
        <w:spacing w:after="0" w:line="276" w:lineRule="auto"/>
        <w:jc w:val="both"/>
        <w:rPr>
          <w:rFonts w:ascii="Verdana" w:eastAsia="Century Gothic" w:hAnsi="Verdana" w:cs="Century Gothic"/>
          <w:b/>
          <w:bCs/>
          <w:lang w:val="es-ES"/>
        </w:rPr>
      </w:pPr>
      <w:r w:rsidRPr="009322DA">
        <w:rPr>
          <w:rFonts w:ascii="Verdana" w:eastAsia="Calibri" w:hAnsi="Verdana" w:cs="Arial"/>
        </w:rPr>
        <w:t>5.</w:t>
      </w:r>
      <w:r w:rsidRPr="009322DA">
        <w:rPr>
          <w:rFonts w:ascii="Verdana" w:eastAsia="Century Gothic" w:hAnsi="Verdana" w:cs="Century Gothic"/>
          <w:b/>
          <w:bCs/>
          <w:lang w:val="es-ES"/>
        </w:rPr>
        <w:t>Doctrina de la Agencia Nacional de Contratación Pública:</w:t>
      </w:r>
    </w:p>
    <w:p w14:paraId="5503D07D" w14:textId="77777777" w:rsidR="00B337F5" w:rsidRPr="009322DA" w:rsidRDefault="00B337F5" w:rsidP="00B337F5">
      <w:pPr>
        <w:widowControl w:val="0"/>
        <w:autoSpaceDE w:val="0"/>
        <w:autoSpaceDN w:val="0"/>
        <w:spacing w:after="0" w:line="276" w:lineRule="auto"/>
        <w:jc w:val="both"/>
        <w:rPr>
          <w:rFonts w:ascii="Verdana" w:eastAsia="Calibri" w:hAnsi="Verdana" w:cs="Arial"/>
        </w:rPr>
      </w:pPr>
    </w:p>
    <w:p w14:paraId="0E623F2D" w14:textId="77777777" w:rsidR="00B337F5" w:rsidRDefault="00B337F5" w:rsidP="00B337F5">
      <w:pPr>
        <w:widowControl w:val="0"/>
        <w:autoSpaceDE w:val="0"/>
        <w:autoSpaceDN w:val="0"/>
        <w:spacing w:after="0" w:line="276" w:lineRule="auto"/>
        <w:jc w:val="both"/>
        <w:rPr>
          <w:rFonts w:ascii="Verdana" w:eastAsia="Calibri" w:hAnsi="Verdana" w:cs="Arial"/>
          <w:shd w:val="clear" w:color="auto" w:fill="FFFFFF"/>
          <w:lang w:val="es-ES"/>
        </w:rPr>
      </w:pPr>
      <w:r w:rsidRPr="00C269C0">
        <w:rPr>
          <w:rFonts w:ascii="Verdana" w:eastAsia="Calibri" w:hAnsi="Verdana" w:cs="Arial"/>
          <w:shd w:val="clear" w:color="auto" w:fill="FFFFFF"/>
        </w:rPr>
        <w:t>L</w:t>
      </w:r>
      <w:r w:rsidRPr="00C269C0">
        <w:rPr>
          <w:rFonts w:ascii="Verdana" w:eastAsia="Calibri" w:hAnsi="Verdana" w:cs="Arial"/>
          <w:shd w:val="clear" w:color="auto" w:fill="FFFFFF"/>
          <w:lang w:val="es-ES"/>
        </w:rPr>
        <w:t>a Agencia Nacional de Contratación Pública – Colombia Compra Eficiente, en los conceptos</w:t>
      </w:r>
      <w:r>
        <w:rPr>
          <w:rFonts w:ascii="Verdana" w:eastAsia="Calibri" w:hAnsi="Verdana" w:cs="Arial"/>
          <w:shd w:val="clear" w:color="auto" w:fill="FFFFFF"/>
          <w:lang w:val="es-ES"/>
        </w:rPr>
        <w:t xml:space="preserve"> C- 218 del 13 de julio de 2023, C- 065 del 20 de mayo de 2024, C- 284 del 08 de julio de 2024, C- 299 del 21 de agosto de 2024, C- 393 del 09 de septiembre de 2024, C- 415 del 12 de septiembre de 2024, C- 432 del 16 de septiembre de 2024, C- 493 del 01 de octubre de 2024, C- 782 del 18 de noviembre de 2024 y C- 793 del 18 de noviembre de 2024 se ha pronunciado sobre el cronograma en los procesos de contratación.</w:t>
      </w:r>
    </w:p>
    <w:p w14:paraId="6A1E6D2C" w14:textId="77777777" w:rsidR="00B337F5" w:rsidRDefault="00B337F5" w:rsidP="00B337F5">
      <w:pPr>
        <w:widowControl w:val="0"/>
        <w:autoSpaceDE w:val="0"/>
        <w:autoSpaceDN w:val="0"/>
        <w:spacing w:after="0" w:line="276" w:lineRule="auto"/>
        <w:jc w:val="both"/>
        <w:rPr>
          <w:rFonts w:ascii="Verdana" w:eastAsia="Calibri" w:hAnsi="Verdana" w:cs="Arial"/>
          <w:shd w:val="clear" w:color="auto" w:fill="FFFFFF"/>
          <w:lang w:val="es-ES"/>
        </w:rPr>
      </w:pPr>
    </w:p>
    <w:p w14:paraId="2C4F2A4B" w14:textId="77777777" w:rsidR="00B337F5" w:rsidRDefault="00B337F5" w:rsidP="00B337F5">
      <w:pPr>
        <w:spacing w:after="0" w:line="240" w:lineRule="auto"/>
        <w:jc w:val="both"/>
        <w:rPr>
          <w:rFonts w:ascii="Verdana" w:eastAsia="Calibri" w:hAnsi="Verdana" w:cs="Arial"/>
          <w:color w:val="000000" w:themeColor="text1"/>
          <w:shd w:val="clear" w:color="auto" w:fill="FFFFFF"/>
        </w:rPr>
      </w:pPr>
      <w:r w:rsidRPr="008328CE">
        <w:rPr>
          <w:rFonts w:ascii="Verdana" w:eastAsia="Calibri"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tooltip="Dirección URL original: https://relatoria.colombiacompra.gov.co/. Haga clic o pulse si confía en este vínculo." w:history="1">
        <w:r w:rsidRPr="008328CE">
          <w:rPr>
            <w:rStyle w:val="Hipervnculo"/>
            <w:rFonts w:ascii="Verdana" w:eastAsia="Calibri" w:hAnsi="Verdana" w:cs="Arial"/>
            <w:color w:val="000000" w:themeColor="text1"/>
            <w:shd w:val="clear" w:color="auto" w:fill="FFFFFF"/>
          </w:rPr>
          <w:t>https://relatoria.colombiacompra.gov.co/</w:t>
        </w:r>
      </w:hyperlink>
      <w:r w:rsidRPr="008328CE">
        <w:rPr>
          <w:rFonts w:ascii="Verdana" w:eastAsia="Calibri" w:hAnsi="Verdana" w:cs="Arial"/>
          <w:color w:val="000000" w:themeColor="text1"/>
          <w:shd w:val="clear" w:color="auto" w:fill="FFFFFF"/>
        </w:rPr>
        <w:t> .</w:t>
      </w:r>
    </w:p>
    <w:p w14:paraId="74165C01" w14:textId="77777777" w:rsidR="00B337F5" w:rsidRDefault="00B337F5" w:rsidP="00B337F5">
      <w:pPr>
        <w:spacing w:after="0" w:line="240" w:lineRule="auto"/>
        <w:jc w:val="both"/>
        <w:rPr>
          <w:rFonts w:ascii="Verdana" w:eastAsia="Calibri" w:hAnsi="Verdana" w:cs="Arial"/>
          <w:color w:val="000000" w:themeColor="text1"/>
          <w:shd w:val="clear" w:color="auto" w:fill="FFFFFF"/>
        </w:rPr>
      </w:pPr>
    </w:p>
    <w:p w14:paraId="18D48D9F" w14:textId="77777777" w:rsidR="00B337F5" w:rsidRPr="00702B47" w:rsidRDefault="00B337F5" w:rsidP="00B337F5">
      <w:pPr>
        <w:shd w:val="clear" w:color="auto" w:fill="FFFFFF"/>
        <w:spacing w:after="0" w:line="240" w:lineRule="auto"/>
        <w:jc w:val="both"/>
        <w:textAlignment w:val="baseline"/>
        <w:rPr>
          <w:rFonts w:ascii="Verdana" w:eastAsia="Calibri" w:hAnsi="Verdana" w:cs="Arial"/>
          <w:color w:val="000000" w:themeColor="text1"/>
          <w:shd w:val="clear" w:color="auto" w:fill="FFFFFF"/>
        </w:rPr>
      </w:pPr>
      <w:r w:rsidRPr="00702B47">
        <w:rPr>
          <w:rFonts w:ascii="Verdana" w:eastAsia="Calibri" w:hAnsi="Verdana" w:cs="Arial"/>
          <w:color w:val="000000" w:themeColor="text1"/>
          <w:shd w:val="clear" w:color="auto" w:fill="FFFFFF"/>
        </w:rPr>
        <w:t xml:space="preserve">La Agencia Nacional de Contratación Pública - Colombia Compra Eficiente recomienda a todas las entidades públicas, independientemente de su naturaleza, que gestionan recursos públicos, la aplicación de los Documentos Tipo. Esta recomendación es válida tanto para su uso obligatorio, cuando así lo </w:t>
      </w:r>
      <w:r w:rsidRPr="00702B47">
        <w:rPr>
          <w:rFonts w:ascii="Verdana" w:eastAsia="Calibri" w:hAnsi="Verdana" w:cs="Arial"/>
          <w:color w:val="000000" w:themeColor="text1"/>
          <w:shd w:val="clear" w:color="auto" w:fill="FFFFFF"/>
        </w:rPr>
        <w:lastRenderedPageBreak/>
        <w:t>establezca la normatividad vigente, como para su implementación como una buena práctica. El objetivo es garantizar la transparencia y promover un proceso de selección objetiva en la contratación pública, contribuyendo así a mejorar la eficiencia, la competencia y la confianza en el manejo de los recursos del Estado.</w:t>
      </w:r>
    </w:p>
    <w:p w14:paraId="2D49DEF6" w14:textId="77777777" w:rsidR="00B337F5" w:rsidRPr="00702B47" w:rsidRDefault="00B337F5" w:rsidP="00B337F5">
      <w:pPr>
        <w:shd w:val="clear" w:color="auto" w:fill="FFFFFF"/>
        <w:spacing w:after="0" w:line="240" w:lineRule="auto"/>
        <w:textAlignment w:val="baseline"/>
        <w:rPr>
          <w:rFonts w:ascii="Aptos" w:eastAsia="Times New Roman" w:hAnsi="Aptos" w:cs="Times New Roman"/>
          <w:color w:val="000000"/>
          <w:sz w:val="24"/>
          <w:szCs w:val="24"/>
          <w:lang w:eastAsia="es-CO"/>
        </w:rPr>
      </w:pPr>
    </w:p>
    <w:p w14:paraId="05FB40D0" w14:textId="77777777" w:rsidR="00B337F5" w:rsidRPr="009322DA" w:rsidRDefault="00B337F5" w:rsidP="00B337F5">
      <w:pPr>
        <w:spacing w:after="0" w:line="240" w:lineRule="auto"/>
        <w:jc w:val="both"/>
        <w:rPr>
          <w:rFonts w:ascii="Verdana" w:eastAsia="Calibri" w:hAnsi="Verdana" w:cs="Arial"/>
          <w:color w:val="FF0000"/>
          <w:shd w:val="clear" w:color="auto" w:fill="FFFFFF"/>
        </w:rPr>
      </w:pPr>
    </w:p>
    <w:p w14:paraId="12F21CF1" w14:textId="77777777" w:rsidR="00B337F5" w:rsidRPr="009322DA" w:rsidRDefault="00B337F5" w:rsidP="00B337F5">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6D4D17EC" w14:textId="77777777" w:rsidR="00B337F5" w:rsidRPr="0044528D" w:rsidRDefault="00B337F5" w:rsidP="00B337F5">
      <w:pPr>
        <w:spacing w:after="0" w:line="240" w:lineRule="auto"/>
        <w:jc w:val="both"/>
        <w:rPr>
          <w:rFonts w:ascii="Verdana" w:hAnsi="Verdana"/>
        </w:rPr>
      </w:pPr>
    </w:p>
    <w:p w14:paraId="419BB8C9" w14:textId="77777777" w:rsidR="00B337F5" w:rsidRPr="0044528D" w:rsidRDefault="00B337F5" w:rsidP="00B337F5">
      <w:pPr>
        <w:spacing w:after="0" w:line="240" w:lineRule="auto"/>
        <w:jc w:val="both"/>
        <w:rPr>
          <w:rFonts w:ascii="Verdana" w:hAnsi="Verdana"/>
        </w:rPr>
      </w:pPr>
      <w:r w:rsidRPr="0044528D">
        <w:rPr>
          <w:rFonts w:ascii="Verdana" w:hAnsi="Verdana"/>
        </w:rPr>
        <w:t xml:space="preserve">Twitter: </w:t>
      </w:r>
      <w:r w:rsidRPr="009322DA">
        <w:rPr>
          <w:rFonts w:ascii="Verdana" w:eastAsia="Calibri" w:hAnsi="Verdana" w:cs="Times New Roman"/>
          <w:color w:val="4472C4" w:themeColor="accent1"/>
          <w:u w:val="single"/>
        </w:rPr>
        <w:t>@colombiacompra</w:t>
      </w:r>
      <w:r w:rsidRPr="009322DA">
        <w:rPr>
          <w:rFonts w:ascii="Verdana" w:eastAsia="Calibri" w:hAnsi="Verdana" w:cs="Times New Roman"/>
          <w:color w:val="4472C4" w:themeColor="accent1"/>
        </w:rPr>
        <w:t xml:space="preserve"> </w:t>
      </w:r>
    </w:p>
    <w:p w14:paraId="0E0CE132" w14:textId="77777777" w:rsidR="00B337F5" w:rsidRPr="0044528D" w:rsidRDefault="00B337F5" w:rsidP="00B337F5">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eastAsia="Calibri" w:hAnsi="Verdana" w:cs="Times New Roman"/>
          <w:color w:val="4472C4" w:themeColor="accent1"/>
          <w:u w:val="single"/>
        </w:rPr>
        <w:t>ColombiaCompraEficiente</w:t>
      </w:r>
      <w:proofErr w:type="spellEnd"/>
    </w:p>
    <w:p w14:paraId="1F27FD67" w14:textId="77777777" w:rsidR="00B337F5" w:rsidRPr="0044528D" w:rsidRDefault="00B337F5" w:rsidP="00B337F5">
      <w:pPr>
        <w:spacing w:after="0" w:line="240" w:lineRule="auto"/>
        <w:jc w:val="both"/>
        <w:rPr>
          <w:rFonts w:ascii="Verdana" w:hAnsi="Verdana"/>
        </w:rPr>
      </w:pPr>
      <w:r w:rsidRPr="0044528D">
        <w:rPr>
          <w:rFonts w:ascii="Verdana" w:hAnsi="Verdana"/>
        </w:rPr>
        <w:t xml:space="preserve">LinkedIn: </w:t>
      </w:r>
      <w:r w:rsidRPr="009322DA">
        <w:rPr>
          <w:rFonts w:ascii="Verdana" w:eastAsia="Calibri" w:hAnsi="Verdana" w:cs="Times New Roman"/>
          <w:color w:val="4472C4" w:themeColor="accent1"/>
          <w:u w:val="single"/>
        </w:rPr>
        <w:t>Agencia Nacional de Contratación Pública - Colombia Compra Eficiente</w:t>
      </w:r>
      <w:r w:rsidRPr="009322DA">
        <w:rPr>
          <w:rFonts w:ascii="Verdana" w:eastAsia="Calibri" w:hAnsi="Verdana" w:cs="Times New Roman"/>
          <w:color w:val="4472C4" w:themeColor="accent1"/>
        </w:rPr>
        <w:t xml:space="preserve"> </w:t>
      </w:r>
      <w:r w:rsidRPr="0044528D">
        <w:rPr>
          <w:rFonts w:ascii="Verdana" w:hAnsi="Verdana"/>
        </w:rPr>
        <w:t xml:space="preserve">Instagram: </w:t>
      </w:r>
      <w:r w:rsidRPr="009322DA">
        <w:rPr>
          <w:rFonts w:ascii="Verdana" w:eastAsia="Calibri" w:hAnsi="Verdana" w:cs="Times New Roman"/>
          <w:color w:val="4472C4" w:themeColor="accent1"/>
          <w:u w:val="single"/>
        </w:rPr>
        <w:t>@colombiacompraeficiente_cce</w:t>
      </w:r>
    </w:p>
    <w:p w14:paraId="5C3121C5" w14:textId="77777777" w:rsidR="00B337F5" w:rsidRPr="0044528D" w:rsidRDefault="00B337F5" w:rsidP="00B337F5">
      <w:pPr>
        <w:widowControl w:val="0"/>
        <w:autoSpaceDE w:val="0"/>
        <w:autoSpaceDN w:val="0"/>
        <w:spacing w:after="0" w:line="276" w:lineRule="auto"/>
        <w:jc w:val="both"/>
        <w:rPr>
          <w:rFonts w:ascii="Verdana" w:hAnsi="Verdana"/>
        </w:rPr>
      </w:pPr>
    </w:p>
    <w:p w14:paraId="63E97C19" w14:textId="77777777" w:rsidR="00B337F5" w:rsidRPr="009322DA" w:rsidRDefault="00B337F5" w:rsidP="00B337F5">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t>Este concepto tiene el alcance previsto en el artículo 28 del Código de Procedimiento Administrativo y de lo Contencioso Administrativo.</w:t>
      </w:r>
    </w:p>
    <w:p w14:paraId="0F4ABCC0" w14:textId="77777777" w:rsidR="00B337F5" w:rsidRPr="009322DA" w:rsidRDefault="00B337F5" w:rsidP="00B337F5">
      <w:pPr>
        <w:widowControl w:val="0"/>
        <w:autoSpaceDE w:val="0"/>
        <w:autoSpaceDN w:val="0"/>
        <w:spacing w:after="0" w:line="276" w:lineRule="auto"/>
        <w:jc w:val="both"/>
        <w:rPr>
          <w:rFonts w:ascii="Verdana" w:eastAsia="Calibri" w:hAnsi="Verdana" w:cs="Arial"/>
        </w:rPr>
      </w:pPr>
    </w:p>
    <w:p w14:paraId="4137DA48" w14:textId="77777777" w:rsidR="00B337F5" w:rsidRPr="009322DA" w:rsidRDefault="00B337F5" w:rsidP="00B337F5">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16BDCF68" w14:textId="77777777" w:rsidR="00B337F5" w:rsidRDefault="00B337F5" w:rsidP="00B337F5">
      <w:pPr>
        <w:spacing w:line="276" w:lineRule="auto"/>
        <w:rPr>
          <w:rFonts w:ascii="Century Gothic" w:hAnsi="Century Gothic"/>
          <w:noProof/>
          <w:color w:val="000000"/>
        </w:rPr>
      </w:pPr>
    </w:p>
    <w:p w14:paraId="0ACA74B1" w14:textId="3F600257" w:rsidR="00B337F5" w:rsidRDefault="000D47CE" w:rsidP="00B337F5">
      <w:pPr>
        <w:spacing w:line="276" w:lineRule="auto"/>
        <w:jc w:val="center"/>
        <w:rPr>
          <w:rFonts w:ascii="Century Gothic" w:hAnsi="Century Gothic"/>
          <w:noProof/>
          <w:color w:val="000000"/>
        </w:rPr>
      </w:pPr>
      <w:r w:rsidRPr="000D47CE">
        <w:rPr>
          <w:rFonts w:ascii="Century Gothic" w:eastAsia="Aptos" w:hAnsi="Century Gothic" w:cs="Times New Roman"/>
          <w:noProof/>
          <w:kern w:val="2"/>
          <w14:ligatures w14:val="standardContextual"/>
        </w:rPr>
        <w:drawing>
          <wp:inline distT="0" distB="0" distL="0" distR="0" wp14:anchorId="6146932D" wp14:editId="6B8921C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772426" cy="1400370"/>
                    </a:xfrm>
                    <a:prstGeom prst="rect">
                      <a:avLst/>
                    </a:prstGeom>
                  </pic:spPr>
                </pic:pic>
              </a:graphicData>
            </a:graphic>
          </wp:inline>
        </w:drawing>
      </w:r>
    </w:p>
    <w:p w14:paraId="13EB6EB7" w14:textId="77777777" w:rsidR="00B337F5" w:rsidRPr="009322DA" w:rsidRDefault="00B337F5" w:rsidP="00B337F5">
      <w:pPr>
        <w:spacing w:line="276" w:lineRule="auto"/>
        <w:jc w:val="center"/>
        <w:rPr>
          <w:rFonts w:ascii="Verdana" w:eastAsia="Calibri" w:hAnsi="Verdana" w:cs="Arial"/>
          <w:color w:val="000000"/>
          <w:lang w:val="es-ES_tradnl" w:eastAsia="es-CO"/>
        </w:rPr>
      </w:pP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337F5" w:rsidRPr="009322DA" w14:paraId="349510B5" w14:textId="77777777" w:rsidTr="3278CCE9">
        <w:trPr>
          <w:trHeight w:val="315"/>
        </w:trPr>
        <w:tc>
          <w:tcPr>
            <w:tcW w:w="893" w:type="dxa"/>
            <w:vAlign w:val="center"/>
            <w:hideMark/>
          </w:tcPr>
          <w:p w14:paraId="4A030FBD" w14:textId="77777777" w:rsidR="00B337F5" w:rsidRPr="009322DA" w:rsidRDefault="00B337F5" w:rsidP="00DA7A71">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27F9468" w14:textId="77777777" w:rsidR="00B337F5" w:rsidRPr="009322DA" w:rsidRDefault="00B337F5" w:rsidP="00DA7A71">
            <w:pPr>
              <w:spacing w:after="255"/>
              <w:contextualSpacing/>
              <w:rPr>
                <w:rFonts w:ascii="Verdana" w:eastAsia="Arial" w:hAnsi="Verdana" w:cs="Arial"/>
                <w:sz w:val="16"/>
                <w:szCs w:val="16"/>
              </w:rPr>
            </w:pPr>
            <w:r>
              <w:rPr>
                <w:rFonts w:ascii="Verdana" w:eastAsia="Arial" w:hAnsi="Verdana" w:cs="Arial"/>
                <w:sz w:val="16"/>
                <w:szCs w:val="16"/>
              </w:rPr>
              <w:t xml:space="preserve">Héctor Luis Quiñones </w:t>
            </w:r>
            <w:proofErr w:type="spellStart"/>
            <w:r>
              <w:rPr>
                <w:rFonts w:ascii="Verdana" w:eastAsia="Arial" w:hAnsi="Verdana" w:cs="Arial"/>
                <w:sz w:val="16"/>
                <w:szCs w:val="16"/>
              </w:rPr>
              <w:t>Quiñones</w:t>
            </w:r>
            <w:proofErr w:type="spellEnd"/>
          </w:p>
          <w:p w14:paraId="236D5650" w14:textId="77777777" w:rsidR="00B337F5" w:rsidRPr="009322DA" w:rsidRDefault="00B337F5" w:rsidP="00DA7A71">
            <w:pPr>
              <w:spacing w:after="255"/>
              <w:contextualSpacing/>
              <w:rPr>
                <w:rFonts w:ascii="Verdana" w:eastAsia="Arial" w:hAnsi="Verdana" w:cs="Arial"/>
                <w:sz w:val="16"/>
                <w:szCs w:val="16"/>
              </w:rPr>
            </w:pPr>
            <w:r>
              <w:rPr>
                <w:rFonts w:ascii="Verdana" w:eastAsia="Arial" w:hAnsi="Verdana" w:cs="Arial"/>
                <w:sz w:val="16"/>
                <w:szCs w:val="16"/>
              </w:rPr>
              <w:t>Analista T2 – 02</w:t>
            </w:r>
            <w:r w:rsidRPr="009322DA">
              <w:rPr>
                <w:rFonts w:ascii="Verdana" w:eastAsia="Arial" w:hAnsi="Verdana" w:cs="Arial"/>
                <w:sz w:val="16"/>
                <w:szCs w:val="16"/>
              </w:rPr>
              <w:t xml:space="preserve"> de la Subdirección de Gestión Contractual</w:t>
            </w:r>
          </w:p>
        </w:tc>
      </w:tr>
      <w:tr w:rsidR="00B337F5" w:rsidRPr="009322DA" w14:paraId="4EA433A0" w14:textId="77777777" w:rsidTr="3278CCE9">
        <w:trPr>
          <w:trHeight w:val="330"/>
        </w:trPr>
        <w:tc>
          <w:tcPr>
            <w:tcW w:w="893" w:type="dxa"/>
            <w:vAlign w:val="center"/>
            <w:hideMark/>
          </w:tcPr>
          <w:p w14:paraId="55AEBAD5" w14:textId="77777777" w:rsidR="00B337F5" w:rsidRPr="009322DA" w:rsidRDefault="00B337F5" w:rsidP="00DA7A71">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B42575F" w14:textId="0C3492CB" w:rsidR="00B337F5" w:rsidRPr="009322DA" w:rsidRDefault="00B337F5" w:rsidP="3278CCE9">
            <w:pPr>
              <w:spacing w:after="255"/>
              <w:contextualSpacing/>
              <w:textAlignment w:val="baseline"/>
              <w:rPr>
                <w:rFonts w:ascii="Verdana" w:eastAsia="Times New Roman" w:hAnsi="Verdana" w:cs="Arial"/>
                <w:sz w:val="16"/>
                <w:szCs w:val="16"/>
                <w:lang w:eastAsia="es-ES"/>
              </w:rPr>
            </w:pPr>
            <w:r w:rsidRPr="3278CCE9">
              <w:rPr>
                <w:rFonts w:ascii="Verdana" w:eastAsia="Times New Roman" w:hAnsi="Verdana" w:cs="Arial"/>
                <w:sz w:val="16"/>
                <w:szCs w:val="16"/>
                <w:lang w:eastAsia="es-ES"/>
              </w:rPr>
              <w:t>Juan Carlos González</w:t>
            </w:r>
            <w:r w:rsidR="42715BD9" w:rsidRPr="3278CCE9">
              <w:rPr>
                <w:rFonts w:ascii="Verdana" w:eastAsia="Times New Roman" w:hAnsi="Verdana" w:cs="Arial"/>
                <w:sz w:val="16"/>
                <w:szCs w:val="16"/>
                <w:lang w:eastAsia="es-ES"/>
              </w:rPr>
              <w:t xml:space="preserve"> Vásquez</w:t>
            </w:r>
          </w:p>
          <w:p w14:paraId="2B1E90C2" w14:textId="77777777" w:rsidR="00B337F5" w:rsidRPr="009322DA" w:rsidRDefault="00B337F5" w:rsidP="00DA7A71">
            <w:pPr>
              <w:contextualSpacing/>
              <w:textAlignment w:val="baseline"/>
              <w:rPr>
                <w:rFonts w:ascii="Verdana" w:eastAsia="Times New Roman" w:hAnsi="Verdana" w:cs="Segoe UI"/>
                <w:sz w:val="16"/>
                <w:szCs w:val="16"/>
                <w:lang w:eastAsia="es-ES_tradnl"/>
              </w:rPr>
            </w:pPr>
            <w:r w:rsidRPr="009322DA">
              <w:rPr>
                <w:rFonts w:ascii="Verdana" w:eastAsia="Times New Roman" w:hAnsi="Verdana" w:cs="Arial"/>
                <w:sz w:val="16"/>
                <w:szCs w:val="16"/>
                <w:lang w:eastAsia="es-ES_tradnl"/>
              </w:rPr>
              <w:t>Contratista de la Subdirección de Gestión Contractual</w:t>
            </w:r>
          </w:p>
        </w:tc>
      </w:tr>
      <w:tr w:rsidR="00B337F5" w:rsidRPr="009322DA" w14:paraId="326C8D06" w14:textId="77777777" w:rsidTr="3278CCE9">
        <w:trPr>
          <w:trHeight w:val="300"/>
        </w:trPr>
        <w:tc>
          <w:tcPr>
            <w:tcW w:w="893" w:type="dxa"/>
            <w:vAlign w:val="center"/>
            <w:hideMark/>
          </w:tcPr>
          <w:p w14:paraId="0C5D501A" w14:textId="77777777" w:rsidR="00B337F5" w:rsidRPr="009322DA" w:rsidRDefault="00B337F5" w:rsidP="00DA7A71">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2D6BA27" w14:textId="77777777" w:rsidR="00B337F5" w:rsidRPr="009322DA" w:rsidRDefault="00B337F5" w:rsidP="00DA7A71">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 xml:space="preserve">Carolina Quintero </w:t>
            </w:r>
            <w:proofErr w:type="spellStart"/>
            <w:r w:rsidRPr="009322DA">
              <w:rPr>
                <w:rFonts w:ascii="Verdana" w:hAnsi="Verdana" w:cs="Arial"/>
                <w:sz w:val="16"/>
                <w:szCs w:val="16"/>
                <w:lang w:val="pt-BR" w:eastAsia="es-ES"/>
              </w:rPr>
              <w:t>Gacharná</w:t>
            </w:r>
            <w:proofErr w:type="spellEnd"/>
          </w:p>
          <w:p w14:paraId="32B059AA" w14:textId="77777777" w:rsidR="00B337F5" w:rsidRPr="009322DA" w:rsidRDefault="00B337F5" w:rsidP="00DA7A71">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w:t>
            </w:r>
            <w:proofErr w:type="spellStart"/>
            <w:r w:rsidRPr="009322DA">
              <w:rPr>
                <w:rFonts w:ascii="Verdana" w:hAnsi="Verdana" w:cs="Arial"/>
                <w:sz w:val="16"/>
                <w:szCs w:val="16"/>
                <w:lang w:val="pt-BR" w:eastAsia="es-ES"/>
              </w:rPr>
              <w:t>Contractual</w:t>
            </w:r>
            <w:proofErr w:type="spellEnd"/>
            <w:r w:rsidRPr="009322DA">
              <w:rPr>
                <w:rFonts w:ascii="Verdana" w:hAnsi="Verdana" w:cs="Arial"/>
                <w:sz w:val="16"/>
                <w:szCs w:val="16"/>
                <w:lang w:val="pt-BR" w:eastAsia="es-ES"/>
              </w:rPr>
              <w:t xml:space="preserve"> ANCP – CCE</w:t>
            </w:r>
          </w:p>
        </w:tc>
      </w:tr>
    </w:tbl>
    <w:p w14:paraId="096AF6D9" w14:textId="77777777" w:rsidR="00B337F5" w:rsidRPr="009322DA" w:rsidRDefault="00B337F5" w:rsidP="00B337F5"/>
    <w:bookmarkEnd w:id="0"/>
    <w:p w14:paraId="678CAA3D" w14:textId="77777777" w:rsidR="00B337F5" w:rsidRPr="0044528D" w:rsidRDefault="00B337F5" w:rsidP="00B337F5">
      <w:pPr>
        <w:spacing w:after="0"/>
        <w:rPr>
          <w:rFonts w:ascii="Verdana" w:hAnsi="Verdana"/>
        </w:rPr>
      </w:pPr>
    </w:p>
    <w:p w14:paraId="3900974D" w14:textId="77777777" w:rsidR="003D5B0D" w:rsidRPr="00304415" w:rsidRDefault="003D5B0D" w:rsidP="00304415"/>
    <w:sectPr w:rsidR="003D5B0D" w:rsidRPr="00304415"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EBA6C" w14:textId="77777777" w:rsidR="00545A0C" w:rsidRDefault="00545A0C" w:rsidP="004A1847">
      <w:pPr>
        <w:spacing w:after="0" w:line="240" w:lineRule="auto"/>
      </w:pPr>
      <w:r>
        <w:separator/>
      </w:r>
    </w:p>
  </w:endnote>
  <w:endnote w:type="continuationSeparator" w:id="0">
    <w:p w14:paraId="3B5F790F" w14:textId="77777777" w:rsidR="00545A0C" w:rsidRDefault="00545A0C" w:rsidP="004A1847">
      <w:pPr>
        <w:spacing w:after="0" w:line="240" w:lineRule="auto"/>
      </w:pPr>
      <w:r>
        <w:continuationSeparator/>
      </w:r>
    </w:p>
  </w:endnote>
  <w:endnote w:type="continuationNotice" w:id="1">
    <w:p w14:paraId="0C0B5BC9" w14:textId="77777777" w:rsidR="00545A0C" w:rsidRDefault="00545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9D246" w14:textId="77777777" w:rsidR="00545A0C" w:rsidRDefault="00545A0C" w:rsidP="004A1847">
      <w:pPr>
        <w:spacing w:after="0" w:line="240" w:lineRule="auto"/>
      </w:pPr>
      <w:r>
        <w:separator/>
      </w:r>
    </w:p>
  </w:footnote>
  <w:footnote w:type="continuationSeparator" w:id="0">
    <w:p w14:paraId="304EE0E2" w14:textId="77777777" w:rsidR="00545A0C" w:rsidRDefault="00545A0C" w:rsidP="004A1847">
      <w:pPr>
        <w:spacing w:after="0" w:line="240" w:lineRule="auto"/>
      </w:pPr>
      <w:r>
        <w:continuationSeparator/>
      </w:r>
    </w:p>
  </w:footnote>
  <w:footnote w:type="continuationNotice" w:id="1">
    <w:p w14:paraId="3009739C" w14:textId="77777777" w:rsidR="00545A0C" w:rsidRDefault="00545A0C">
      <w:pPr>
        <w:spacing w:after="0" w:line="240" w:lineRule="auto"/>
      </w:pPr>
    </w:p>
  </w:footnote>
  <w:footnote w:id="2">
    <w:p w14:paraId="35C23914" w14:textId="77777777" w:rsidR="00B337F5" w:rsidRPr="00F65E69" w:rsidRDefault="00B337F5" w:rsidP="00B337F5">
      <w:pPr>
        <w:pStyle w:val="Textonotapie"/>
        <w:ind w:firstLine="709"/>
        <w:jc w:val="both"/>
        <w:rPr>
          <w:rFonts w:ascii="Verdana" w:hAnsi="Verdana"/>
          <w:color w:val="000000"/>
          <w:sz w:val="14"/>
          <w:szCs w:val="14"/>
        </w:rPr>
      </w:pPr>
      <w:r w:rsidRPr="00F65E69">
        <w:rPr>
          <w:rFonts w:ascii="Verdana" w:hAnsi="Verdana"/>
          <w:sz w:val="14"/>
          <w:szCs w:val="14"/>
          <w:vertAlign w:val="superscript"/>
        </w:rPr>
        <w:footnoteRef/>
      </w:r>
      <w:r w:rsidRPr="00F65E69">
        <w:rPr>
          <w:rFonts w:ascii="Verdana" w:hAnsi="Verdana"/>
          <w:sz w:val="14"/>
          <w:szCs w:val="14"/>
        </w:rPr>
        <w:t xml:space="preserve"> </w:t>
      </w:r>
      <w:r w:rsidRPr="00F65E69">
        <w:rPr>
          <w:rFonts w:ascii="Verdana" w:hAnsi="Verdana"/>
          <w:color w:val="000000"/>
          <w:sz w:val="14"/>
          <w:szCs w:val="14"/>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7149658" w14:textId="77777777" w:rsidR="00B337F5" w:rsidRDefault="00B337F5" w:rsidP="00B337F5">
      <w:pPr>
        <w:pStyle w:val="Textonotapie"/>
        <w:ind w:firstLine="709"/>
        <w:jc w:val="both"/>
      </w:pPr>
    </w:p>
  </w:footnote>
  <w:footnote w:id="3">
    <w:p w14:paraId="6BD8A541" w14:textId="77777777" w:rsidR="00B337F5" w:rsidRPr="00D36894" w:rsidRDefault="00B337F5" w:rsidP="00B337F5">
      <w:pPr>
        <w:pStyle w:val="Textonotapie"/>
        <w:rPr>
          <w:rFonts w:ascii="Verdana" w:hAnsi="Verdana"/>
          <w:sz w:val="16"/>
          <w:szCs w:val="16"/>
          <w:lang w:val="es-CO"/>
        </w:rPr>
      </w:pPr>
      <w:r>
        <w:rPr>
          <w:rStyle w:val="Refdenotaalpie"/>
        </w:rPr>
        <w:footnoteRef/>
      </w:r>
      <w:r>
        <w:t xml:space="preserve"> Ley 80 de 1993, Artículo</w:t>
      </w:r>
      <w:r w:rsidRPr="00D36894">
        <w:rPr>
          <w:rFonts w:ascii="Verdana" w:hAnsi="Verdana"/>
          <w:sz w:val="16"/>
          <w:szCs w:val="16"/>
        </w:rPr>
        <w:t xml:space="preserve"> 30, numeral 9, literal 2 </w:t>
      </w:r>
    </w:p>
  </w:footnote>
  <w:footnote w:id="4">
    <w:p w14:paraId="71488F0B" w14:textId="77777777" w:rsidR="00B337F5" w:rsidRPr="00324006" w:rsidRDefault="00B337F5" w:rsidP="00B337F5">
      <w:pPr>
        <w:pStyle w:val="Textonotapie"/>
        <w:rPr>
          <w:lang w:val="es-CO"/>
        </w:rPr>
      </w:pPr>
      <w:r>
        <w:rPr>
          <w:rStyle w:val="Refdenotaalpie"/>
        </w:rPr>
        <w:footnoteRef/>
      </w:r>
      <w:r>
        <w:t xml:space="preserve"> Decreto 1510 de 2013, articulo 25 </w:t>
      </w:r>
    </w:p>
  </w:footnote>
  <w:footnote w:id="5">
    <w:p w14:paraId="07A49083" w14:textId="77777777" w:rsidR="00B337F5" w:rsidRPr="00721CE1" w:rsidRDefault="00B337F5" w:rsidP="00B337F5">
      <w:pPr>
        <w:pStyle w:val="Textonotapie"/>
        <w:ind w:firstLine="708"/>
        <w:jc w:val="both"/>
        <w:rPr>
          <w:rFonts w:ascii="Arial" w:hAnsi="Arial" w:cs="Arial"/>
          <w:color w:val="000000"/>
          <w:sz w:val="19"/>
          <w:szCs w:val="19"/>
        </w:rPr>
      </w:pPr>
    </w:p>
    <w:p w14:paraId="4F489A46" w14:textId="77777777" w:rsidR="00B337F5" w:rsidRPr="00721CE1" w:rsidRDefault="00B337F5" w:rsidP="00B337F5">
      <w:pPr>
        <w:pStyle w:val="Textonotapie"/>
        <w:ind w:firstLine="708"/>
        <w:jc w:val="both"/>
        <w:rPr>
          <w:rFonts w:ascii="Arial" w:hAnsi="Arial" w:cs="Arial"/>
          <w:color w:val="000000"/>
          <w:sz w:val="19"/>
          <w:szCs w:val="19"/>
        </w:rPr>
      </w:pPr>
      <w:r w:rsidRPr="00721CE1">
        <w:rPr>
          <w:rStyle w:val="Refdenotaalpie"/>
          <w:rFonts w:ascii="Arial" w:hAnsi="Arial" w:cs="Arial"/>
          <w:color w:val="000000"/>
          <w:sz w:val="19"/>
          <w:szCs w:val="19"/>
        </w:rPr>
        <w:footnoteRef/>
      </w:r>
      <w:r w:rsidRPr="00721CE1">
        <w:rPr>
          <w:rFonts w:ascii="Arial" w:hAnsi="Arial" w:cs="Arial"/>
          <w:color w:val="000000"/>
          <w:sz w:val="19"/>
          <w:szCs w:val="19"/>
        </w:rPr>
        <w:t xml:space="preserve"> </w:t>
      </w:r>
      <w:r>
        <w:rPr>
          <w:rFonts w:ascii="Arial" w:hAnsi="Arial" w:cs="Arial"/>
          <w:color w:val="000000"/>
          <w:sz w:val="19"/>
          <w:szCs w:val="19"/>
        </w:rPr>
        <w:t>“</w:t>
      </w:r>
      <w:r w:rsidRPr="00721CE1">
        <w:rPr>
          <w:rFonts w:ascii="Arial" w:hAnsi="Arial" w:cs="Arial"/>
          <w:color w:val="000000"/>
          <w:sz w:val="19"/>
          <w:szCs w:val="19"/>
        </w:rPr>
        <w:t xml:space="preserve">Artículo 2.2.1.1.2.1.3. Pliegos de condiciones. Los pliegos de condiciones deben contener por lo menos la siguiente información: </w:t>
      </w:r>
    </w:p>
    <w:p w14:paraId="2F536179" w14:textId="77777777" w:rsidR="00B337F5" w:rsidRPr="00721CE1" w:rsidRDefault="00B337F5" w:rsidP="00B337F5">
      <w:pPr>
        <w:pStyle w:val="Textonotapie"/>
        <w:ind w:firstLine="708"/>
        <w:jc w:val="both"/>
        <w:rPr>
          <w:rFonts w:ascii="Arial" w:hAnsi="Arial" w:cs="Arial"/>
          <w:color w:val="000000"/>
          <w:sz w:val="19"/>
          <w:szCs w:val="19"/>
        </w:rPr>
      </w:pPr>
      <w:r w:rsidRPr="00721CE1">
        <w:rPr>
          <w:rFonts w:ascii="Arial" w:hAnsi="Arial" w:cs="Arial"/>
          <w:color w:val="000000"/>
          <w:sz w:val="19"/>
          <w:szCs w:val="19"/>
        </w:rPr>
        <w:t>[…]</w:t>
      </w:r>
    </w:p>
    <w:p w14:paraId="2CCF23F8" w14:textId="77777777" w:rsidR="00B337F5" w:rsidRPr="00721CE1" w:rsidRDefault="00B337F5" w:rsidP="00B337F5">
      <w:pPr>
        <w:pStyle w:val="Textonotapie"/>
        <w:ind w:firstLine="708"/>
        <w:jc w:val="both"/>
        <w:rPr>
          <w:rFonts w:ascii="Arial" w:hAnsi="Arial" w:cs="Arial"/>
          <w:color w:val="000000"/>
          <w:sz w:val="19"/>
          <w:szCs w:val="19"/>
        </w:rPr>
      </w:pPr>
      <w:r w:rsidRPr="00721CE1">
        <w:rPr>
          <w:rFonts w:ascii="Arial" w:hAnsi="Arial" w:cs="Arial"/>
          <w:color w:val="000000"/>
          <w:sz w:val="19"/>
          <w:szCs w:val="19"/>
        </w:rPr>
        <w:t xml:space="preserve">5. Las reglas aplicables a la presentación de las ofertas, su evaluación y a la adjudicación del contrato. </w:t>
      </w:r>
    </w:p>
    <w:p w14:paraId="21A39FBC" w14:textId="77777777" w:rsidR="00B337F5" w:rsidRPr="00721CE1" w:rsidRDefault="00B337F5" w:rsidP="00B337F5">
      <w:pPr>
        <w:pStyle w:val="Textonotapie"/>
        <w:ind w:firstLine="708"/>
        <w:jc w:val="both"/>
        <w:rPr>
          <w:rFonts w:ascii="Arial" w:hAnsi="Arial" w:cs="Arial"/>
          <w:color w:val="000000"/>
          <w:sz w:val="19"/>
          <w:szCs w:val="19"/>
        </w:rPr>
      </w:pPr>
      <w:r w:rsidRPr="00721CE1">
        <w:rPr>
          <w:rFonts w:ascii="Arial" w:hAnsi="Arial" w:cs="Arial"/>
          <w:color w:val="000000"/>
          <w:sz w:val="19"/>
          <w:szCs w:val="19"/>
        </w:rPr>
        <w:t>[…]</w:t>
      </w:r>
    </w:p>
    <w:p w14:paraId="1D33C372" w14:textId="77777777" w:rsidR="00B337F5" w:rsidRPr="00721CE1" w:rsidRDefault="00B337F5" w:rsidP="00B337F5">
      <w:pPr>
        <w:pStyle w:val="Textonotapie"/>
        <w:ind w:firstLine="708"/>
        <w:jc w:val="both"/>
        <w:rPr>
          <w:rFonts w:ascii="Arial" w:hAnsi="Arial" w:cs="Arial"/>
          <w:color w:val="000000"/>
          <w:sz w:val="19"/>
          <w:szCs w:val="19"/>
        </w:rPr>
      </w:pPr>
      <w:r w:rsidRPr="00721CE1">
        <w:rPr>
          <w:rFonts w:ascii="Arial" w:hAnsi="Arial" w:cs="Arial"/>
          <w:color w:val="000000"/>
          <w:sz w:val="19"/>
          <w:szCs w:val="19"/>
        </w:rPr>
        <w:t>14. El Cronograma</w:t>
      </w:r>
      <w:r>
        <w:rPr>
          <w:rFonts w:ascii="Arial" w:hAnsi="Arial" w:cs="Arial"/>
          <w:color w:val="000000"/>
          <w:sz w:val="19"/>
          <w:szCs w:val="19"/>
        </w:rPr>
        <w:t>”</w:t>
      </w:r>
      <w:r w:rsidRPr="00721CE1">
        <w:rPr>
          <w:rFonts w:ascii="Arial" w:hAnsi="Arial" w:cs="Arial"/>
          <w:color w:val="000000"/>
          <w:sz w:val="19"/>
          <w:szCs w:val="19"/>
        </w:rPr>
        <w:t>.</w:t>
      </w:r>
    </w:p>
    <w:p w14:paraId="65DD9F37" w14:textId="77777777" w:rsidR="00B337F5" w:rsidRPr="00721CE1" w:rsidRDefault="00B337F5" w:rsidP="00B337F5">
      <w:pPr>
        <w:pStyle w:val="Textonotapie"/>
        <w:ind w:firstLine="708"/>
        <w:jc w:val="both"/>
        <w:rPr>
          <w:rFonts w:ascii="Arial" w:hAnsi="Arial" w:cs="Arial"/>
          <w:color w:val="000000"/>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intelligence2.xml><?xml version="1.0" encoding="utf-8"?>
<int2:intelligence xmlns:int2="http://schemas.microsoft.com/office/intelligence/2020/intelligence" xmlns:oel="http://schemas.microsoft.com/office/2019/extlst">
  <int2:observations>
    <int2:textHash int2:hashCode="IVwoP/wVzrmcBd" int2:id="iHDqZ7t3">
      <int2:state int2:value="Rejected" int2:type="AugLoop_Text_Critique"/>
    </int2:textHash>
    <int2:bookmark int2:bookmarkName="_Int_On3yYEDP" int2:invalidationBookmarkName="" int2:hashCode="RrU26OB0Icy0mN" int2:id="oxZ4y7G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924635"/>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62902FB"/>
    <w:multiLevelType w:val="hybridMultilevel"/>
    <w:tmpl w:val="FFFFFFFF"/>
    <w:lvl w:ilvl="0" w:tplc="97A661EA">
      <w:start w:val="5"/>
      <w:numFmt w:val="bullet"/>
      <w:lvlText w:val=""/>
      <w:lvlJc w:val="left"/>
      <w:pPr>
        <w:ind w:left="720" w:hanging="360"/>
      </w:pPr>
      <w:rPr>
        <w:rFonts w:ascii="Symbol" w:eastAsia="Times New Roman"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0"/>
  </w:num>
  <w:num w:numId="16" w16cid:durableId="16998160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67968">
    <w:abstractNumId w:val="11"/>
  </w:num>
  <w:num w:numId="18" w16cid:durableId="1548108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55DF"/>
    <w:rsid w:val="00016F78"/>
    <w:rsid w:val="000241FB"/>
    <w:rsid w:val="00046945"/>
    <w:rsid w:val="00061B2A"/>
    <w:rsid w:val="00082362"/>
    <w:rsid w:val="000A683E"/>
    <w:rsid w:val="000B19B9"/>
    <w:rsid w:val="000D0334"/>
    <w:rsid w:val="000D47CE"/>
    <w:rsid w:val="000D6AF6"/>
    <w:rsid w:val="000F6486"/>
    <w:rsid w:val="00125105"/>
    <w:rsid w:val="00127233"/>
    <w:rsid w:val="001511A0"/>
    <w:rsid w:val="00152F01"/>
    <w:rsid w:val="001E4177"/>
    <w:rsid w:val="001F7DC6"/>
    <w:rsid w:val="00213BEA"/>
    <w:rsid w:val="002421BB"/>
    <w:rsid w:val="0025796E"/>
    <w:rsid w:val="002707A2"/>
    <w:rsid w:val="00274228"/>
    <w:rsid w:val="002951A0"/>
    <w:rsid w:val="002962BC"/>
    <w:rsid w:val="002A093D"/>
    <w:rsid w:val="002A0DD0"/>
    <w:rsid w:val="002A49AC"/>
    <w:rsid w:val="002A64FD"/>
    <w:rsid w:val="002A68E1"/>
    <w:rsid w:val="002C7A84"/>
    <w:rsid w:val="002E4FD9"/>
    <w:rsid w:val="00304415"/>
    <w:rsid w:val="00316510"/>
    <w:rsid w:val="00322A85"/>
    <w:rsid w:val="00324168"/>
    <w:rsid w:val="003448F4"/>
    <w:rsid w:val="0035497E"/>
    <w:rsid w:val="00374F5E"/>
    <w:rsid w:val="00377E3E"/>
    <w:rsid w:val="00386160"/>
    <w:rsid w:val="003A19C7"/>
    <w:rsid w:val="003A779E"/>
    <w:rsid w:val="003C6221"/>
    <w:rsid w:val="003D0F4D"/>
    <w:rsid w:val="003D5B0D"/>
    <w:rsid w:val="003E0499"/>
    <w:rsid w:val="003F3941"/>
    <w:rsid w:val="00406575"/>
    <w:rsid w:val="00414C74"/>
    <w:rsid w:val="0042722E"/>
    <w:rsid w:val="0044528D"/>
    <w:rsid w:val="00462B43"/>
    <w:rsid w:val="004A1847"/>
    <w:rsid w:val="004A305D"/>
    <w:rsid w:val="004F21C4"/>
    <w:rsid w:val="004F685F"/>
    <w:rsid w:val="00523053"/>
    <w:rsid w:val="00526614"/>
    <w:rsid w:val="00536FA9"/>
    <w:rsid w:val="00545A0C"/>
    <w:rsid w:val="005566E8"/>
    <w:rsid w:val="00574867"/>
    <w:rsid w:val="00591460"/>
    <w:rsid w:val="005B1B22"/>
    <w:rsid w:val="005B3816"/>
    <w:rsid w:val="005C3777"/>
    <w:rsid w:val="005C5CDC"/>
    <w:rsid w:val="005D476C"/>
    <w:rsid w:val="005F42E7"/>
    <w:rsid w:val="006208FA"/>
    <w:rsid w:val="006219F8"/>
    <w:rsid w:val="00663550"/>
    <w:rsid w:val="00665D70"/>
    <w:rsid w:val="00683666"/>
    <w:rsid w:val="006900D9"/>
    <w:rsid w:val="006929C3"/>
    <w:rsid w:val="00697677"/>
    <w:rsid w:val="00706C16"/>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A52F1"/>
    <w:rsid w:val="008C14BF"/>
    <w:rsid w:val="008D180B"/>
    <w:rsid w:val="008F0EA7"/>
    <w:rsid w:val="00923EEF"/>
    <w:rsid w:val="009419F9"/>
    <w:rsid w:val="0095685E"/>
    <w:rsid w:val="00961B09"/>
    <w:rsid w:val="00965334"/>
    <w:rsid w:val="0097093E"/>
    <w:rsid w:val="00977185"/>
    <w:rsid w:val="00986AC5"/>
    <w:rsid w:val="009A0DFA"/>
    <w:rsid w:val="009B2D26"/>
    <w:rsid w:val="009C71FA"/>
    <w:rsid w:val="009C72E7"/>
    <w:rsid w:val="009D3058"/>
    <w:rsid w:val="009E30D7"/>
    <w:rsid w:val="009F3A13"/>
    <w:rsid w:val="00A122D3"/>
    <w:rsid w:val="00A17F13"/>
    <w:rsid w:val="00A20739"/>
    <w:rsid w:val="00A33C78"/>
    <w:rsid w:val="00A501D2"/>
    <w:rsid w:val="00AB0ADB"/>
    <w:rsid w:val="00B01B1A"/>
    <w:rsid w:val="00B337F5"/>
    <w:rsid w:val="00B66319"/>
    <w:rsid w:val="00B66E4F"/>
    <w:rsid w:val="00B72CD3"/>
    <w:rsid w:val="00B72FFF"/>
    <w:rsid w:val="00BA1681"/>
    <w:rsid w:val="00BB0A81"/>
    <w:rsid w:val="00BC3D36"/>
    <w:rsid w:val="00BC443A"/>
    <w:rsid w:val="00BD7F72"/>
    <w:rsid w:val="00BE5EA8"/>
    <w:rsid w:val="00C04FB3"/>
    <w:rsid w:val="00C330EB"/>
    <w:rsid w:val="00C41061"/>
    <w:rsid w:val="00C754BE"/>
    <w:rsid w:val="00C76B1C"/>
    <w:rsid w:val="00CA6ADA"/>
    <w:rsid w:val="00CB6357"/>
    <w:rsid w:val="00CC1B26"/>
    <w:rsid w:val="00CD0E8E"/>
    <w:rsid w:val="00D423A2"/>
    <w:rsid w:val="00D452FA"/>
    <w:rsid w:val="00D520D8"/>
    <w:rsid w:val="00D63AC2"/>
    <w:rsid w:val="00D7383B"/>
    <w:rsid w:val="00DA231B"/>
    <w:rsid w:val="00DB4D91"/>
    <w:rsid w:val="00DC39FC"/>
    <w:rsid w:val="00DF5254"/>
    <w:rsid w:val="00E16408"/>
    <w:rsid w:val="00E20894"/>
    <w:rsid w:val="00E245AB"/>
    <w:rsid w:val="00E2764C"/>
    <w:rsid w:val="00E27F2E"/>
    <w:rsid w:val="00E43544"/>
    <w:rsid w:val="00E50AFE"/>
    <w:rsid w:val="00E75C92"/>
    <w:rsid w:val="00E771DC"/>
    <w:rsid w:val="00E8772A"/>
    <w:rsid w:val="00E90F6B"/>
    <w:rsid w:val="00E92C27"/>
    <w:rsid w:val="00EA0E3D"/>
    <w:rsid w:val="00EC38A7"/>
    <w:rsid w:val="00ED7384"/>
    <w:rsid w:val="00EE1AA8"/>
    <w:rsid w:val="00F31EDC"/>
    <w:rsid w:val="00F45DA1"/>
    <w:rsid w:val="00F462B3"/>
    <w:rsid w:val="00F5664F"/>
    <w:rsid w:val="00F666C4"/>
    <w:rsid w:val="00F76AFC"/>
    <w:rsid w:val="00FA47C0"/>
    <w:rsid w:val="00FB5DD1"/>
    <w:rsid w:val="00FC2B5D"/>
    <w:rsid w:val="00FF1449"/>
    <w:rsid w:val="02639997"/>
    <w:rsid w:val="037C6894"/>
    <w:rsid w:val="05938DB2"/>
    <w:rsid w:val="08CC48F9"/>
    <w:rsid w:val="0A8D1A0C"/>
    <w:rsid w:val="0ECA9C8B"/>
    <w:rsid w:val="0F4AF243"/>
    <w:rsid w:val="10016B11"/>
    <w:rsid w:val="110050C0"/>
    <w:rsid w:val="12F4E6FF"/>
    <w:rsid w:val="16D4ACA9"/>
    <w:rsid w:val="1ADFEE03"/>
    <w:rsid w:val="1C759D21"/>
    <w:rsid w:val="1D139ACD"/>
    <w:rsid w:val="209BF952"/>
    <w:rsid w:val="233D7AFA"/>
    <w:rsid w:val="24869014"/>
    <w:rsid w:val="2677ED71"/>
    <w:rsid w:val="270E7483"/>
    <w:rsid w:val="2791B6F2"/>
    <w:rsid w:val="29143C02"/>
    <w:rsid w:val="2BFDC976"/>
    <w:rsid w:val="2F634789"/>
    <w:rsid w:val="307C4C41"/>
    <w:rsid w:val="30C115AC"/>
    <w:rsid w:val="3278CCE9"/>
    <w:rsid w:val="34347284"/>
    <w:rsid w:val="3572A95E"/>
    <w:rsid w:val="360B7E0A"/>
    <w:rsid w:val="3638ABE8"/>
    <w:rsid w:val="3AA56414"/>
    <w:rsid w:val="3ADFABB4"/>
    <w:rsid w:val="3B316685"/>
    <w:rsid w:val="3EAB31A1"/>
    <w:rsid w:val="4253C0F0"/>
    <w:rsid w:val="42715BD9"/>
    <w:rsid w:val="44303B86"/>
    <w:rsid w:val="45066728"/>
    <w:rsid w:val="4562F6F5"/>
    <w:rsid w:val="47EB00AC"/>
    <w:rsid w:val="4B36D4E4"/>
    <w:rsid w:val="5114707A"/>
    <w:rsid w:val="5293A941"/>
    <w:rsid w:val="557D8300"/>
    <w:rsid w:val="559E3E6B"/>
    <w:rsid w:val="58024E8A"/>
    <w:rsid w:val="59957E48"/>
    <w:rsid w:val="5A40115B"/>
    <w:rsid w:val="5C0B262A"/>
    <w:rsid w:val="5C9AFE25"/>
    <w:rsid w:val="6469CEEC"/>
    <w:rsid w:val="6499BB0E"/>
    <w:rsid w:val="668895AA"/>
    <w:rsid w:val="6A718AAE"/>
    <w:rsid w:val="7195832B"/>
    <w:rsid w:val="78F9643E"/>
    <w:rsid w:val="7F852A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337F5"/>
    <w:pPr>
      <w:spacing w:line="240" w:lineRule="exact"/>
    </w:pPr>
    <w:rPr>
      <w:vertAlign w:val="superscript"/>
    </w:rPr>
  </w:style>
  <w:style w:type="table" w:customStyle="1" w:styleId="Tablaconcuadrcula1">
    <w:name w:val="Tabla con cuadrícula1"/>
    <w:basedOn w:val="Tablanormal"/>
    <w:next w:val="Tablaconcuadrcula"/>
    <w:uiPriority w:val="39"/>
    <w:qFormat/>
    <w:rsid w:val="00B3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erenciagepav@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9d85dbaf-23eb-4e57-a637-93dcacc8b1a1"/>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a6cb9e4b-f1d1-4245-83ec-6cad768d538a"/>
    <ds:schemaRef ds:uri="http://www.w3.org/XML/1998/namespac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E30762EC-64A3-46DB-83E4-19138B55D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2395</Words>
  <Characters>13178</Characters>
  <Application>Microsoft Office Word</Application>
  <DocSecurity>0</DocSecurity>
  <Lines>109</Lines>
  <Paragraphs>31</Paragraphs>
  <ScaleCrop>false</ScaleCrop>
  <Company/>
  <LinksUpToDate>false</LinksUpToDate>
  <CharactersWithSpaces>15542</CharactersWithSpaces>
  <SharedDoc>false</SharedDoc>
  <HLinks>
    <vt:vector size="12" baseType="variant">
      <vt:variant>
        <vt:i4>2162739</vt:i4>
      </vt:variant>
      <vt:variant>
        <vt:i4>3</vt:i4>
      </vt:variant>
      <vt:variant>
        <vt:i4>0</vt:i4>
      </vt:variant>
      <vt:variant>
        <vt:i4>5</vt:i4>
      </vt:variant>
      <vt:variant>
        <vt:lpwstr>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vt:lpwstr>
      </vt:variant>
      <vt:variant>
        <vt:lpwstr/>
      </vt:variant>
      <vt:variant>
        <vt:i4>7667785</vt:i4>
      </vt:variant>
      <vt:variant>
        <vt:i4>0</vt:i4>
      </vt:variant>
      <vt:variant>
        <vt:i4>0</vt:i4>
      </vt:variant>
      <vt:variant>
        <vt:i4>5</vt:i4>
      </vt:variant>
      <vt:variant>
        <vt:lpwstr>mailto:gerenciagepav@gmail.com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2024-12-30T19:55:00Z</dcterms:created>
  <dcterms:modified xsi:type="dcterms:W3CDTF">2024-12-30T19:55:00Z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