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EB17" w14:textId="77777777" w:rsidR="00415DED" w:rsidRDefault="00415DED" w:rsidP="008A5F8D">
      <w:pPr>
        <w:spacing w:after="0" w:line="240" w:lineRule="auto"/>
        <w:rPr>
          <w:rFonts w:ascii="Verdana" w:eastAsia="Geomanist Light" w:hAnsi="Verdana" w:cs="Arial"/>
          <w:color w:val="000000" w:themeColor="text1"/>
          <w:lang w:val="es-MX"/>
        </w:rPr>
      </w:pPr>
    </w:p>
    <w:p w14:paraId="49AD465F" w14:textId="77777777" w:rsidR="00415DED" w:rsidRDefault="00415DED" w:rsidP="008A5F8D">
      <w:pPr>
        <w:spacing w:after="0" w:line="240" w:lineRule="auto"/>
        <w:rPr>
          <w:rFonts w:ascii="Verdana" w:eastAsia="Geomanist Light" w:hAnsi="Verdana" w:cs="Arial"/>
          <w:color w:val="000000" w:themeColor="text1"/>
          <w:lang w:val="es-MX"/>
        </w:rPr>
      </w:pPr>
    </w:p>
    <w:p w14:paraId="0609DFAC" w14:textId="77777777" w:rsidR="00415DED" w:rsidRDefault="00415DED" w:rsidP="00415DED">
      <w:pPr>
        <w:spacing w:after="0" w:line="240" w:lineRule="auto"/>
        <w:jc w:val="both"/>
        <w:rPr>
          <w:rFonts w:ascii="Verdana" w:eastAsia="Geomanist Light" w:hAnsi="Verdana" w:cs="Arial"/>
          <w:b/>
          <w:bCs/>
          <w:color w:val="000000" w:themeColor="text1"/>
        </w:rPr>
      </w:pPr>
      <w:r w:rsidRPr="00415DED">
        <w:rPr>
          <w:rFonts w:ascii="Verdana" w:eastAsia="Geomanist Light" w:hAnsi="Verdana" w:cs="Arial"/>
          <w:b/>
          <w:bCs/>
          <w:color w:val="000000" w:themeColor="text1"/>
        </w:rPr>
        <w:t>LIQUIDACIÓN DEL CONTRATO – Definición – Objetivo</w:t>
      </w:r>
    </w:p>
    <w:p w14:paraId="393E47A2" w14:textId="77777777" w:rsidR="00415DED" w:rsidRPr="00415DED" w:rsidRDefault="00415DED" w:rsidP="00415DED">
      <w:pPr>
        <w:spacing w:after="0" w:line="240" w:lineRule="auto"/>
        <w:jc w:val="both"/>
        <w:rPr>
          <w:rFonts w:ascii="Verdana" w:eastAsia="Geomanist Light" w:hAnsi="Verdana" w:cs="Arial"/>
          <w:color w:val="000000" w:themeColor="text1"/>
        </w:rPr>
      </w:pPr>
    </w:p>
    <w:p w14:paraId="43D68521" w14:textId="77777777" w:rsidR="00415DED" w:rsidRPr="00415DED" w:rsidRDefault="00415DED" w:rsidP="00415DED">
      <w:pPr>
        <w:spacing w:after="0" w:line="240" w:lineRule="auto"/>
        <w:jc w:val="both"/>
        <w:rPr>
          <w:rFonts w:ascii="Verdana" w:eastAsia="Geomanist Light" w:hAnsi="Verdana" w:cs="Arial"/>
          <w:color w:val="000000" w:themeColor="text1"/>
          <w:sz w:val="20"/>
          <w:szCs w:val="20"/>
        </w:rPr>
      </w:pPr>
      <w:r w:rsidRPr="00415DED">
        <w:rPr>
          <w:rFonts w:ascii="Verdana" w:eastAsia="Geomanist Light" w:hAnsi="Verdana" w:cs="Arial"/>
          <w:color w:val="000000" w:themeColor="text1"/>
          <w:sz w:val="20"/>
          <w:szCs w:val="20"/>
        </w:rPr>
        <w:t>La liquidación del contrato estatal es el ajuste de cuentas en el cual se realiza un balance económico, técnico y jurídico del negocio. Así lo manifestó el Consejo de Estado en la sentencia del 20 de octubre de 2014, en la que consideró, por un lado, que </w:t>
      </w:r>
      <w:r w:rsidRPr="00415DED">
        <w:rPr>
          <w:rFonts w:ascii="Verdana" w:eastAsia="Geomanist Light" w:hAnsi="Verdana" w:cs="Arial"/>
          <w:i/>
          <w:iCs/>
          <w:color w:val="000000" w:themeColor="text1"/>
          <w:sz w:val="20"/>
          <w:szCs w:val="20"/>
        </w:rPr>
        <w:t>liquidar</w:t>
      </w:r>
      <w:r w:rsidRPr="00415DED">
        <w:rPr>
          <w:rFonts w:ascii="Verdana" w:eastAsia="Geomanist Light" w:hAnsi="Verdana" w:cs="Arial"/>
          <w:color w:val="000000" w:themeColor="text1"/>
          <w:sz w:val="20"/>
          <w:szCs w:val="20"/>
        </w:rPr>
        <w:t> supone un ajuste en relación con las cuentas y el estado de cumplimiento del contrato estatal y, por otro, que la </w:t>
      </w:r>
      <w:r w:rsidRPr="00415DED">
        <w:rPr>
          <w:rFonts w:ascii="Verdana" w:eastAsia="Geomanist Light" w:hAnsi="Verdana" w:cs="Arial"/>
          <w:i/>
          <w:iCs/>
          <w:color w:val="000000" w:themeColor="text1"/>
          <w:sz w:val="20"/>
          <w:szCs w:val="20"/>
        </w:rPr>
        <w:t>liquidación</w:t>
      </w:r>
      <w:r w:rsidRPr="00415DED">
        <w:rPr>
          <w:rFonts w:ascii="Verdana" w:eastAsia="Geomanist Light" w:hAnsi="Verdana" w:cs="Arial"/>
          <w:color w:val="000000" w:themeColor="text1"/>
          <w:sz w:val="20"/>
          <w:szCs w:val="20"/>
        </w:rPr>
        <w:t> debe incluir el análisis de las condiciones de calidad y oportunidad en la entrega de los bienes, obras o servicios, así como el balance económico y el comportamiento financiero del negocio.</w:t>
      </w:r>
    </w:p>
    <w:p w14:paraId="7C089EAB" w14:textId="77777777" w:rsidR="00415DED" w:rsidRDefault="00415DED" w:rsidP="008A5F8D">
      <w:pPr>
        <w:spacing w:after="0" w:line="240" w:lineRule="auto"/>
        <w:rPr>
          <w:rFonts w:ascii="Verdana" w:eastAsia="Geomanist Light" w:hAnsi="Verdana" w:cs="Arial"/>
          <w:color w:val="000000" w:themeColor="text1"/>
          <w:lang w:val="es-MX"/>
        </w:rPr>
      </w:pPr>
    </w:p>
    <w:p w14:paraId="573F9965" w14:textId="77777777" w:rsidR="00415DED" w:rsidRDefault="00415DED" w:rsidP="008A5F8D">
      <w:pPr>
        <w:spacing w:after="0" w:line="240" w:lineRule="auto"/>
        <w:rPr>
          <w:rFonts w:ascii="Verdana" w:eastAsia="Geomanist Light" w:hAnsi="Verdana" w:cs="Arial"/>
          <w:color w:val="000000" w:themeColor="text1"/>
          <w:lang w:val="es-MX"/>
        </w:rPr>
      </w:pPr>
    </w:p>
    <w:p w14:paraId="7EAABE58" w14:textId="07B3B516" w:rsidR="00415DED" w:rsidRPr="00415DED" w:rsidRDefault="00415DED" w:rsidP="008A5F8D">
      <w:pPr>
        <w:spacing w:after="0" w:line="240" w:lineRule="auto"/>
        <w:rPr>
          <w:rFonts w:ascii="Verdana" w:eastAsia="Geomanist Light" w:hAnsi="Verdana" w:cs="Arial"/>
          <w:b/>
          <w:bCs/>
          <w:color w:val="000000" w:themeColor="text1"/>
        </w:rPr>
      </w:pPr>
      <w:r w:rsidRPr="00415DED">
        <w:rPr>
          <w:rFonts w:ascii="Verdana" w:eastAsia="Geomanist Light" w:hAnsi="Verdana" w:cs="Arial"/>
          <w:b/>
          <w:bCs/>
          <w:color w:val="000000" w:themeColor="text1"/>
        </w:rPr>
        <w:t xml:space="preserve">LIQUIDACIÓN UNILATERAL – </w:t>
      </w:r>
      <w:r>
        <w:rPr>
          <w:rFonts w:ascii="Verdana" w:eastAsia="Geomanist Light" w:hAnsi="Verdana" w:cs="Arial"/>
          <w:b/>
          <w:bCs/>
          <w:color w:val="000000" w:themeColor="text1"/>
        </w:rPr>
        <w:t xml:space="preserve">Judicial oportunidad </w:t>
      </w:r>
    </w:p>
    <w:p w14:paraId="22EE6257" w14:textId="77777777" w:rsidR="00415DED" w:rsidRDefault="00415DED" w:rsidP="008A5F8D">
      <w:pPr>
        <w:spacing w:after="0" w:line="240" w:lineRule="auto"/>
        <w:rPr>
          <w:rFonts w:ascii="Verdana" w:eastAsia="Geomanist Light" w:hAnsi="Verdana" w:cs="Arial"/>
          <w:color w:val="000000" w:themeColor="text1"/>
        </w:rPr>
      </w:pPr>
    </w:p>
    <w:p w14:paraId="3A5B0044" w14:textId="3360C83C" w:rsidR="00415DED" w:rsidRPr="00415DED" w:rsidRDefault="00415DED" w:rsidP="00415DED">
      <w:pPr>
        <w:spacing w:after="0" w:line="240" w:lineRule="auto"/>
        <w:jc w:val="both"/>
        <w:rPr>
          <w:rFonts w:ascii="Verdana" w:eastAsia="Geomanist Light" w:hAnsi="Verdana" w:cs="Arial"/>
          <w:color w:val="000000" w:themeColor="text1"/>
          <w:sz w:val="20"/>
          <w:szCs w:val="20"/>
          <w:lang w:val="es-MX"/>
        </w:rPr>
      </w:pPr>
      <w:r w:rsidRPr="00415DED">
        <w:rPr>
          <w:rFonts w:ascii="Verdana" w:eastAsia="Geomanist Light" w:hAnsi="Verdana" w:cs="Arial"/>
          <w:color w:val="000000" w:themeColor="text1"/>
          <w:sz w:val="20"/>
          <w:szCs w:val="20"/>
        </w:rPr>
        <w:t>La Entidad Estatal tiene la facultad de liquidar unilateralmente dentro del término de 2 meses contados a partir del vencimiento del plazo que acuerden las partes para liquidar bilateralmente o, ante el silencio de estas, del vencimiento de los 4 meses supletivo establecido por la ley. 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w:t>
      </w:r>
    </w:p>
    <w:p w14:paraId="5BEB6523" w14:textId="77777777" w:rsidR="00415DED" w:rsidRDefault="00415DED" w:rsidP="008A5F8D">
      <w:pPr>
        <w:spacing w:after="0" w:line="240" w:lineRule="auto"/>
        <w:rPr>
          <w:rFonts w:ascii="Verdana" w:eastAsia="Geomanist Light" w:hAnsi="Verdana" w:cs="Arial"/>
          <w:color w:val="000000" w:themeColor="text1"/>
          <w:lang w:val="es-MX"/>
        </w:rPr>
      </w:pPr>
    </w:p>
    <w:p w14:paraId="70F2DAE5" w14:textId="77777777" w:rsidR="00415DED" w:rsidRDefault="00415DED" w:rsidP="008A5F8D">
      <w:pPr>
        <w:spacing w:after="0" w:line="240" w:lineRule="auto"/>
        <w:rPr>
          <w:rFonts w:ascii="Verdana" w:eastAsia="Geomanist Light" w:hAnsi="Verdana" w:cs="Arial"/>
          <w:color w:val="000000" w:themeColor="text1"/>
          <w:lang w:val="es-MX"/>
        </w:rPr>
      </w:pPr>
    </w:p>
    <w:p w14:paraId="1C5140B9" w14:textId="77777777" w:rsidR="00415DED" w:rsidRDefault="00415DED" w:rsidP="008A5F8D">
      <w:pPr>
        <w:spacing w:after="0" w:line="240" w:lineRule="auto"/>
        <w:rPr>
          <w:rFonts w:ascii="Verdana" w:eastAsia="Geomanist Light" w:hAnsi="Verdana" w:cs="Arial"/>
          <w:color w:val="000000" w:themeColor="text1"/>
          <w:lang w:val="es-MX"/>
        </w:rPr>
      </w:pPr>
    </w:p>
    <w:p w14:paraId="735F0AEC" w14:textId="77777777" w:rsidR="00415DED" w:rsidRDefault="00415DED" w:rsidP="008A5F8D">
      <w:pPr>
        <w:spacing w:after="0" w:line="240" w:lineRule="auto"/>
        <w:rPr>
          <w:rFonts w:ascii="Verdana" w:eastAsia="Geomanist Light" w:hAnsi="Verdana" w:cs="Arial"/>
          <w:color w:val="000000" w:themeColor="text1"/>
          <w:lang w:val="es-MX"/>
        </w:rPr>
      </w:pPr>
    </w:p>
    <w:p w14:paraId="5C7DCF5E" w14:textId="77777777" w:rsidR="00415DED" w:rsidRDefault="00415DED" w:rsidP="008A5F8D">
      <w:pPr>
        <w:spacing w:after="0" w:line="240" w:lineRule="auto"/>
        <w:rPr>
          <w:rFonts w:ascii="Verdana" w:eastAsia="Geomanist Light" w:hAnsi="Verdana" w:cs="Arial"/>
          <w:color w:val="000000" w:themeColor="text1"/>
          <w:lang w:val="es-MX"/>
        </w:rPr>
      </w:pPr>
    </w:p>
    <w:p w14:paraId="68884D9E" w14:textId="77777777" w:rsidR="00415DED" w:rsidRDefault="00415DED" w:rsidP="008A5F8D">
      <w:pPr>
        <w:spacing w:after="0" w:line="240" w:lineRule="auto"/>
        <w:rPr>
          <w:rFonts w:ascii="Verdana" w:eastAsia="Geomanist Light" w:hAnsi="Verdana" w:cs="Arial"/>
          <w:color w:val="000000" w:themeColor="text1"/>
          <w:lang w:val="es-MX"/>
        </w:rPr>
      </w:pPr>
    </w:p>
    <w:p w14:paraId="0ED46133" w14:textId="77777777" w:rsidR="00415DED" w:rsidRDefault="00415DED" w:rsidP="008A5F8D">
      <w:pPr>
        <w:spacing w:after="0" w:line="240" w:lineRule="auto"/>
        <w:rPr>
          <w:rFonts w:ascii="Verdana" w:eastAsia="Geomanist Light" w:hAnsi="Verdana" w:cs="Arial"/>
          <w:color w:val="000000" w:themeColor="text1"/>
          <w:lang w:val="es-MX"/>
        </w:rPr>
      </w:pPr>
    </w:p>
    <w:p w14:paraId="4767E751" w14:textId="77777777" w:rsidR="00415DED" w:rsidRDefault="00415DED" w:rsidP="008A5F8D">
      <w:pPr>
        <w:spacing w:after="0" w:line="240" w:lineRule="auto"/>
        <w:rPr>
          <w:rFonts w:ascii="Verdana" w:eastAsia="Geomanist Light" w:hAnsi="Verdana" w:cs="Arial"/>
          <w:color w:val="000000" w:themeColor="text1"/>
          <w:lang w:val="es-MX"/>
        </w:rPr>
      </w:pPr>
    </w:p>
    <w:p w14:paraId="4967D866" w14:textId="77777777" w:rsidR="00415DED" w:rsidRDefault="00415DED" w:rsidP="008A5F8D">
      <w:pPr>
        <w:spacing w:after="0" w:line="240" w:lineRule="auto"/>
        <w:rPr>
          <w:rFonts w:ascii="Verdana" w:eastAsia="Geomanist Light" w:hAnsi="Verdana" w:cs="Arial"/>
          <w:color w:val="000000" w:themeColor="text1"/>
          <w:lang w:val="es-MX"/>
        </w:rPr>
      </w:pPr>
    </w:p>
    <w:p w14:paraId="16CA50FC" w14:textId="77777777" w:rsidR="00415DED" w:rsidRDefault="00415DED" w:rsidP="008A5F8D">
      <w:pPr>
        <w:spacing w:after="0" w:line="240" w:lineRule="auto"/>
        <w:rPr>
          <w:rFonts w:ascii="Verdana" w:eastAsia="Geomanist Light" w:hAnsi="Verdana" w:cs="Arial"/>
          <w:color w:val="000000" w:themeColor="text1"/>
          <w:lang w:val="es-MX"/>
        </w:rPr>
      </w:pPr>
    </w:p>
    <w:p w14:paraId="705C9027" w14:textId="77777777" w:rsidR="00415DED" w:rsidRDefault="00415DED" w:rsidP="008A5F8D">
      <w:pPr>
        <w:spacing w:after="0" w:line="240" w:lineRule="auto"/>
        <w:rPr>
          <w:rFonts w:ascii="Verdana" w:eastAsia="Geomanist Light" w:hAnsi="Verdana" w:cs="Arial"/>
          <w:color w:val="000000" w:themeColor="text1"/>
          <w:lang w:val="es-MX"/>
        </w:rPr>
      </w:pPr>
    </w:p>
    <w:p w14:paraId="3B4E5E47" w14:textId="77777777" w:rsidR="00415DED" w:rsidRDefault="00415DED" w:rsidP="008A5F8D">
      <w:pPr>
        <w:spacing w:after="0" w:line="240" w:lineRule="auto"/>
        <w:rPr>
          <w:rFonts w:ascii="Verdana" w:eastAsia="Geomanist Light" w:hAnsi="Verdana" w:cs="Arial"/>
          <w:color w:val="000000" w:themeColor="text1"/>
          <w:lang w:val="es-MX"/>
        </w:rPr>
      </w:pPr>
    </w:p>
    <w:p w14:paraId="7C2F3AC5" w14:textId="77777777" w:rsidR="00415DED" w:rsidRDefault="00415DED" w:rsidP="008A5F8D">
      <w:pPr>
        <w:spacing w:after="0" w:line="240" w:lineRule="auto"/>
        <w:rPr>
          <w:rFonts w:ascii="Verdana" w:eastAsia="Geomanist Light" w:hAnsi="Verdana" w:cs="Arial"/>
          <w:color w:val="000000" w:themeColor="text1"/>
          <w:lang w:val="es-MX"/>
        </w:rPr>
      </w:pPr>
    </w:p>
    <w:p w14:paraId="702CBC45" w14:textId="77777777" w:rsidR="00415DED" w:rsidRDefault="00415DED" w:rsidP="008A5F8D">
      <w:pPr>
        <w:spacing w:after="0" w:line="240" w:lineRule="auto"/>
        <w:rPr>
          <w:rFonts w:ascii="Verdana" w:eastAsia="Geomanist Light" w:hAnsi="Verdana" w:cs="Arial"/>
          <w:color w:val="000000" w:themeColor="text1"/>
          <w:lang w:val="es-MX"/>
        </w:rPr>
      </w:pPr>
    </w:p>
    <w:p w14:paraId="474D810D" w14:textId="77777777" w:rsidR="00415DED" w:rsidRDefault="00415DED" w:rsidP="008A5F8D">
      <w:pPr>
        <w:spacing w:after="0" w:line="240" w:lineRule="auto"/>
        <w:rPr>
          <w:rFonts w:ascii="Verdana" w:eastAsia="Geomanist Light" w:hAnsi="Verdana" w:cs="Arial"/>
          <w:color w:val="000000" w:themeColor="text1"/>
          <w:lang w:val="es-MX"/>
        </w:rPr>
      </w:pPr>
    </w:p>
    <w:p w14:paraId="16B935C7" w14:textId="77777777" w:rsidR="00415DED" w:rsidRDefault="00415DED" w:rsidP="008A5F8D">
      <w:pPr>
        <w:spacing w:after="0" w:line="240" w:lineRule="auto"/>
        <w:rPr>
          <w:rFonts w:ascii="Verdana" w:eastAsia="Geomanist Light" w:hAnsi="Verdana" w:cs="Arial"/>
          <w:color w:val="000000" w:themeColor="text1"/>
          <w:lang w:val="es-MX"/>
        </w:rPr>
      </w:pPr>
    </w:p>
    <w:p w14:paraId="6A086CAA" w14:textId="77777777" w:rsidR="00415DED" w:rsidRDefault="00415DED" w:rsidP="008A5F8D">
      <w:pPr>
        <w:spacing w:after="0" w:line="240" w:lineRule="auto"/>
        <w:rPr>
          <w:rFonts w:ascii="Verdana" w:eastAsia="Geomanist Light" w:hAnsi="Verdana" w:cs="Arial"/>
          <w:color w:val="000000" w:themeColor="text1"/>
          <w:lang w:val="es-MX"/>
        </w:rPr>
      </w:pPr>
    </w:p>
    <w:p w14:paraId="380D8BF9" w14:textId="77777777" w:rsidR="00415DED" w:rsidRDefault="00415DED" w:rsidP="008A5F8D">
      <w:pPr>
        <w:spacing w:after="0" w:line="240" w:lineRule="auto"/>
        <w:rPr>
          <w:rFonts w:ascii="Verdana" w:eastAsia="Geomanist Light" w:hAnsi="Verdana" w:cs="Arial"/>
          <w:color w:val="000000" w:themeColor="text1"/>
          <w:lang w:val="es-MX"/>
        </w:rPr>
      </w:pPr>
    </w:p>
    <w:p w14:paraId="26E84D9C" w14:textId="77777777" w:rsidR="00415DED" w:rsidRDefault="00415DED" w:rsidP="008A5F8D">
      <w:pPr>
        <w:spacing w:after="0" w:line="240" w:lineRule="auto"/>
        <w:rPr>
          <w:rFonts w:ascii="Verdana" w:eastAsia="Geomanist Light" w:hAnsi="Verdana" w:cs="Arial"/>
          <w:color w:val="000000" w:themeColor="text1"/>
          <w:lang w:val="es-MX"/>
        </w:rPr>
      </w:pPr>
    </w:p>
    <w:p w14:paraId="53635F9B" w14:textId="77777777" w:rsidR="00415DED" w:rsidRDefault="00415DED" w:rsidP="008A5F8D">
      <w:pPr>
        <w:spacing w:after="0" w:line="240" w:lineRule="auto"/>
        <w:rPr>
          <w:rFonts w:ascii="Verdana" w:eastAsia="Geomanist Light" w:hAnsi="Verdana" w:cs="Arial"/>
          <w:color w:val="000000" w:themeColor="text1"/>
          <w:lang w:val="es-MX"/>
        </w:rPr>
      </w:pPr>
    </w:p>
    <w:p w14:paraId="18C1AF14" w14:textId="77777777" w:rsidR="00696A64" w:rsidRDefault="00696A64" w:rsidP="008A5F8D">
      <w:pPr>
        <w:spacing w:after="0" w:line="240" w:lineRule="auto"/>
        <w:rPr>
          <w:rFonts w:ascii="Verdana" w:eastAsia="Geomanist Light" w:hAnsi="Verdana" w:cs="Arial"/>
          <w:color w:val="000000" w:themeColor="text1"/>
          <w:lang w:val="es-MX"/>
        </w:rPr>
      </w:pPr>
    </w:p>
    <w:p w14:paraId="4BE9FA34" w14:textId="76796DC5" w:rsidR="008A5F8D" w:rsidRPr="00115E3D" w:rsidRDefault="008A5F8D" w:rsidP="008A5F8D">
      <w:pPr>
        <w:spacing w:after="0" w:line="240" w:lineRule="auto"/>
        <w:rPr>
          <w:rFonts w:ascii="Verdana" w:eastAsia="Geomanist Light" w:hAnsi="Verdana" w:cs="Arial"/>
          <w:color w:val="000000" w:themeColor="text1"/>
          <w:lang w:val="es-MX"/>
        </w:rPr>
      </w:pPr>
      <w:r w:rsidRPr="00115E3D">
        <w:rPr>
          <w:rFonts w:ascii="Verdana" w:eastAsia="Geomanist Light" w:hAnsi="Verdana" w:cs="Arial"/>
          <w:color w:val="000000" w:themeColor="text1"/>
          <w:lang w:val="es-MX"/>
        </w:rPr>
        <w:lastRenderedPageBreak/>
        <w:t>Bogotá D.C., [Día] de [Mes.NombreCapitalizado] de [Año]</w:t>
      </w:r>
    </w:p>
    <w:p w14:paraId="6A306FD6" w14:textId="6BCEBF3D" w:rsidR="008A5F8D" w:rsidRPr="00680229" w:rsidRDefault="008A5F8D" w:rsidP="008A5F8D">
      <w:pPr>
        <w:spacing w:after="0" w:line="240" w:lineRule="auto"/>
        <w:jc w:val="both"/>
        <w:rPr>
          <w:rFonts w:ascii="Verdana" w:eastAsia="Calibri" w:hAnsi="Verdana" w:cs="Arial"/>
          <w:color w:val="000000" w:themeColor="text1"/>
          <w:lang w:val="es-MX"/>
        </w:rPr>
      </w:pPr>
    </w:p>
    <w:p w14:paraId="18C0C6C2" w14:textId="758B6ABD" w:rsidR="008A5F8D" w:rsidRDefault="00962083" w:rsidP="008A5F8D">
      <w:pPr>
        <w:spacing w:after="0" w:line="240" w:lineRule="auto"/>
        <w:jc w:val="both"/>
        <w:rPr>
          <w:rFonts w:ascii="Verdana" w:eastAsia="Calibri" w:hAnsi="Verdana" w:cs="Arial"/>
          <w:color w:val="000000" w:themeColor="text1"/>
          <w:lang w:val="es-ES" w:eastAsia="es-ES"/>
        </w:rPr>
      </w:pPr>
      <w:r w:rsidRPr="00962083">
        <w:rPr>
          <w:rFonts w:ascii="Verdana" w:eastAsia="Calibri" w:hAnsi="Verdana" w:cs="Arial"/>
          <w:color w:val="000000" w:themeColor="text1"/>
          <w:lang w:val="es-MX"/>
        </w:rPr>
        <w:drawing>
          <wp:anchor distT="0" distB="0" distL="114300" distR="114300" simplePos="0" relativeHeight="251658240" behindDoc="1" locked="0" layoutInCell="1" allowOverlap="1" wp14:anchorId="3DE48B4C" wp14:editId="0F47B184">
            <wp:simplePos x="0" y="0"/>
            <wp:positionH relativeFrom="column">
              <wp:posOffset>2615565</wp:posOffset>
            </wp:positionH>
            <wp:positionV relativeFrom="paragraph">
              <wp:posOffset>26035</wp:posOffset>
            </wp:positionV>
            <wp:extent cx="3438525" cy="1000125"/>
            <wp:effectExtent l="0" t="0" r="9525" b="9525"/>
            <wp:wrapTight wrapText="bothSides">
              <wp:wrapPolygon edited="0">
                <wp:start x="0" y="0"/>
                <wp:lineTo x="0" y="21394"/>
                <wp:lineTo x="21540" y="21394"/>
                <wp:lineTo x="21540" y="0"/>
                <wp:lineTo x="0" y="0"/>
              </wp:wrapPolygon>
            </wp:wrapTight>
            <wp:docPr id="13248874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8746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38525" cy="1000125"/>
                    </a:xfrm>
                    <a:prstGeom prst="rect">
                      <a:avLst/>
                    </a:prstGeom>
                  </pic:spPr>
                </pic:pic>
              </a:graphicData>
            </a:graphic>
          </wp:anchor>
        </w:drawing>
      </w:r>
    </w:p>
    <w:p w14:paraId="0CB1E885" w14:textId="00D5F3D9" w:rsidR="003920DA" w:rsidRDefault="003920DA" w:rsidP="008A5F8D">
      <w:pPr>
        <w:spacing w:after="0" w:line="240" w:lineRule="auto"/>
        <w:jc w:val="both"/>
        <w:rPr>
          <w:rFonts w:ascii="Verdana" w:eastAsia="Calibri" w:hAnsi="Verdana" w:cs="Arial"/>
          <w:color w:val="000000" w:themeColor="text1"/>
          <w:lang w:val="es-ES" w:eastAsia="es-ES"/>
        </w:rPr>
      </w:pPr>
    </w:p>
    <w:p w14:paraId="0BFF3B89" w14:textId="77777777" w:rsidR="003920DA" w:rsidRDefault="003920DA" w:rsidP="008A5F8D">
      <w:pPr>
        <w:spacing w:after="0" w:line="240" w:lineRule="auto"/>
        <w:jc w:val="both"/>
        <w:rPr>
          <w:rFonts w:ascii="Verdana" w:eastAsia="Calibri" w:hAnsi="Verdana" w:cs="Arial"/>
          <w:color w:val="000000" w:themeColor="text1"/>
          <w:lang w:val="es-ES" w:eastAsia="es-ES"/>
        </w:rPr>
      </w:pPr>
    </w:p>
    <w:p w14:paraId="46F860DD" w14:textId="77777777" w:rsidR="003920DA" w:rsidRDefault="003920DA" w:rsidP="008A5F8D">
      <w:pPr>
        <w:spacing w:after="0" w:line="240" w:lineRule="auto"/>
        <w:jc w:val="both"/>
        <w:rPr>
          <w:rFonts w:ascii="Verdana" w:eastAsia="Calibri" w:hAnsi="Verdana" w:cs="Arial"/>
          <w:color w:val="000000" w:themeColor="text1"/>
          <w:lang w:val="es-ES" w:eastAsia="es-ES"/>
        </w:rPr>
      </w:pPr>
    </w:p>
    <w:p w14:paraId="622E9139" w14:textId="77777777" w:rsidR="003920DA" w:rsidRDefault="003920DA" w:rsidP="008A5F8D">
      <w:pPr>
        <w:spacing w:after="0" w:line="240" w:lineRule="auto"/>
        <w:jc w:val="both"/>
        <w:rPr>
          <w:rFonts w:ascii="Verdana" w:eastAsia="Calibri" w:hAnsi="Verdana" w:cs="Arial"/>
          <w:color w:val="000000" w:themeColor="text1"/>
          <w:lang w:val="es-ES" w:eastAsia="es-ES"/>
        </w:rPr>
      </w:pPr>
    </w:p>
    <w:p w14:paraId="4637DF9A" w14:textId="77777777" w:rsidR="003920DA" w:rsidRDefault="003920DA" w:rsidP="008A5F8D">
      <w:pPr>
        <w:spacing w:after="0" w:line="240" w:lineRule="auto"/>
        <w:jc w:val="both"/>
        <w:rPr>
          <w:rFonts w:ascii="Verdana" w:eastAsia="Calibri" w:hAnsi="Verdana" w:cs="Arial"/>
          <w:color w:val="000000" w:themeColor="text1"/>
          <w:lang w:val="es-ES" w:eastAsia="es-ES"/>
        </w:rPr>
      </w:pPr>
    </w:p>
    <w:p w14:paraId="3695D299" w14:textId="2F861748" w:rsidR="008A5F8D" w:rsidRPr="00115E3D" w:rsidRDefault="008A5F8D" w:rsidP="008A5F8D">
      <w:pPr>
        <w:spacing w:after="0" w:line="240"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Señor</w:t>
      </w:r>
    </w:p>
    <w:p w14:paraId="2CBD146B" w14:textId="77777777" w:rsidR="008A5F8D" w:rsidRPr="00115E3D" w:rsidRDefault="008A5F8D" w:rsidP="008A5F8D">
      <w:pPr>
        <w:spacing w:after="0" w:line="240" w:lineRule="auto"/>
        <w:rPr>
          <w:rFonts w:ascii="Verdana" w:eastAsia="Calibri" w:hAnsi="Verdana" w:cs="Arial"/>
          <w:b/>
          <w:color w:val="000000" w:themeColor="text1"/>
          <w:lang w:val="es-ES_tradnl" w:eastAsia="es-ES_tradnl"/>
        </w:rPr>
      </w:pPr>
      <w:r w:rsidRPr="004E4112">
        <w:rPr>
          <w:rFonts w:ascii="Verdana" w:eastAsia="Calibri" w:hAnsi="Verdana" w:cs="Arial"/>
          <w:b/>
          <w:color w:val="000000" w:themeColor="text1"/>
          <w:lang w:val="es-ES_tradnl" w:eastAsia="es-ES_tradnl"/>
        </w:rPr>
        <w:t>Fernando Mauricio</w:t>
      </w:r>
      <w:r>
        <w:rPr>
          <w:rFonts w:ascii="Verdana" w:eastAsia="Calibri" w:hAnsi="Verdana" w:cs="Arial"/>
          <w:b/>
          <w:color w:val="000000" w:themeColor="text1"/>
          <w:lang w:val="es-ES_tradnl" w:eastAsia="es-ES_tradnl"/>
        </w:rPr>
        <w:t xml:space="preserve"> Iglesias</w:t>
      </w:r>
      <w:r w:rsidRPr="004E4112">
        <w:rPr>
          <w:rFonts w:ascii="Verdana" w:eastAsia="Calibri" w:hAnsi="Verdana" w:cs="Arial"/>
          <w:b/>
          <w:color w:val="000000" w:themeColor="text1"/>
          <w:lang w:val="es-ES_tradnl" w:eastAsia="es-ES_tradnl"/>
        </w:rPr>
        <w:t xml:space="preserve"> Gaona</w:t>
      </w:r>
    </w:p>
    <w:p w14:paraId="6CC528BB" w14:textId="77777777" w:rsidR="008A5F8D" w:rsidRPr="004E4112" w:rsidRDefault="008A5F8D" w:rsidP="008A5F8D">
      <w:pPr>
        <w:spacing w:after="0" w:line="240" w:lineRule="auto"/>
        <w:rPr>
          <w:rFonts w:ascii="Verdana" w:eastAsia="Calibri" w:hAnsi="Verdana" w:cs="Arial"/>
          <w:color w:val="0000FF"/>
          <w:u w:val="single"/>
          <w:lang w:eastAsia="es-ES"/>
        </w:rPr>
      </w:pPr>
      <w:r w:rsidRPr="004E4112">
        <w:rPr>
          <w:rFonts w:ascii="Verdana" w:eastAsia="Calibri" w:hAnsi="Verdana" w:cs="Arial"/>
          <w:color w:val="0000FF"/>
          <w:u w:val="single"/>
          <w:lang w:eastAsia="es-ES"/>
        </w:rPr>
        <w:t>frenandoiglesias@gmail.com</w:t>
      </w:r>
    </w:p>
    <w:p w14:paraId="62B8824C" w14:textId="1657A1D6" w:rsidR="008A5F8D" w:rsidRPr="004E4112" w:rsidRDefault="008A5F8D" w:rsidP="008A5F8D">
      <w:pPr>
        <w:spacing w:after="0" w:line="240" w:lineRule="auto"/>
        <w:rPr>
          <w:rFonts w:ascii="Verdana" w:eastAsia="Calibri" w:hAnsi="Verdana" w:cs="Arial"/>
          <w:b/>
          <w:bCs/>
          <w:color w:val="000000" w:themeColor="text1"/>
          <w:lang w:eastAsia="es-ES"/>
        </w:rPr>
      </w:pPr>
      <w:r>
        <w:rPr>
          <w:rFonts w:ascii="Verdana" w:eastAsia="Calibri" w:hAnsi="Verdana" w:cs="Arial"/>
          <w:color w:val="000000" w:themeColor="text1"/>
          <w:lang w:eastAsia="es-ES"/>
        </w:rPr>
        <w:t xml:space="preserve">Neiva, </w:t>
      </w:r>
      <w:r w:rsidR="007659FC">
        <w:rPr>
          <w:rFonts w:ascii="Verdana" w:eastAsia="Calibri" w:hAnsi="Verdana" w:cs="Arial"/>
          <w:color w:val="000000" w:themeColor="text1"/>
          <w:lang w:eastAsia="es-ES"/>
        </w:rPr>
        <w:t>H</w:t>
      </w:r>
      <w:r>
        <w:rPr>
          <w:rFonts w:ascii="Verdana" w:eastAsia="Calibri" w:hAnsi="Verdana" w:cs="Arial"/>
          <w:color w:val="000000" w:themeColor="text1"/>
          <w:lang w:eastAsia="es-ES"/>
        </w:rPr>
        <w:t>uila</w:t>
      </w:r>
    </w:p>
    <w:p w14:paraId="5B6B7AE5" w14:textId="77777777" w:rsidR="008A5F8D" w:rsidRPr="004E4112" w:rsidRDefault="008A5F8D" w:rsidP="008A5F8D">
      <w:pPr>
        <w:spacing w:after="0" w:line="240" w:lineRule="auto"/>
        <w:rPr>
          <w:rFonts w:ascii="Verdana" w:eastAsia="Calibri" w:hAnsi="Verdana" w:cs="Arial"/>
          <w:b/>
          <w:bCs/>
          <w:color w:val="000000" w:themeColor="text1"/>
          <w:lang w:eastAsia="es-ES_tradnl"/>
        </w:rPr>
      </w:pPr>
    </w:p>
    <w:p w14:paraId="45568280" w14:textId="77777777" w:rsidR="008A5F8D" w:rsidRPr="004E4112" w:rsidRDefault="008A5F8D" w:rsidP="008A5F8D">
      <w:pPr>
        <w:spacing w:after="0" w:line="240" w:lineRule="auto"/>
        <w:rPr>
          <w:rFonts w:ascii="Verdana" w:eastAsia="Calibri" w:hAnsi="Verdana" w:cs="Arial"/>
          <w:b/>
          <w:bCs/>
          <w:color w:val="000000" w:themeColor="text1"/>
          <w:lang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A5F8D" w:rsidRPr="00115E3D" w14:paraId="20E6CB90" w14:textId="77777777">
        <w:trPr>
          <w:trHeight w:val="884"/>
        </w:trPr>
        <w:tc>
          <w:tcPr>
            <w:tcW w:w="2689" w:type="dxa"/>
          </w:tcPr>
          <w:p w14:paraId="22D94424" w14:textId="77777777" w:rsidR="008A5F8D" w:rsidRPr="004E4112" w:rsidRDefault="008A5F8D">
            <w:pPr>
              <w:jc w:val="both"/>
              <w:rPr>
                <w:rFonts w:ascii="Verdana" w:eastAsia="Calibri" w:hAnsi="Verdana" w:cs="Arial"/>
                <w:b/>
                <w:bCs/>
                <w:color w:val="000000" w:themeColor="text1"/>
                <w:lang w:eastAsia="es-ES_tradnl"/>
              </w:rPr>
            </w:pPr>
          </w:p>
        </w:tc>
        <w:tc>
          <w:tcPr>
            <w:tcW w:w="6100" w:type="dxa"/>
          </w:tcPr>
          <w:p w14:paraId="0417D22D" w14:textId="77777777" w:rsidR="008A5F8D" w:rsidRPr="00115E3D" w:rsidRDefault="008A5F8D">
            <w:pPr>
              <w:jc w:val="both"/>
              <w:rPr>
                <w:rFonts w:ascii="Verdana" w:eastAsia="Calibri" w:hAnsi="Verdana" w:cs="Arial"/>
                <w:b/>
                <w:bCs/>
                <w:color w:val="000000" w:themeColor="text1"/>
                <w:lang w:val="es-ES" w:eastAsia="es-ES"/>
              </w:rPr>
            </w:pPr>
            <w:r w:rsidRPr="00115E3D">
              <w:rPr>
                <w:rFonts w:ascii="Verdana" w:eastAsia="Calibri" w:hAnsi="Verdana" w:cs="Arial"/>
                <w:b/>
                <w:bCs/>
                <w:color w:val="000000" w:themeColor="text1"/>
                <w:lang w:val="es-ES" w:eastAsia="es-ES"/>
              </w:rPr>
              <w:t xml:space="preserve">Concepto C- </w:t>
            </w:r>
            <w:r>
              <w:rPr>
                <w:rFonts w:ascii="Verdana" w:eastAsia="Calibri" w:hAnsi="Verdana" w:cs="Arial"/>
                <w:b/>
                <w:bCs/>
                <w:color w:val="000000" w:themeColor="text1"/>
                <w:lang w:val="es-ES" w:eastAsia="es-ES"/>
              </w:rPr>
              <w:t>866</w:t>
            </w:r>
            <w:r w:rsidRPr="00115E3D">
              <w:rPr>
                <w:rFonts w:ascii="Verdana" w:eastAsia="Calibri" w:hAnsi="Verdana" w:cs="Arial"/>
                <w:b/>
                <w:bCs/>
                <w:color w:val="000000" w:themeColor="text1"/>
                <w:lang w:val="es-ES" w:eastAsia="es-ES"/>
              </w:rPr>
              <w:t xml:space="preserve"> de 2024</w:t>
            </w:r>
          </w:p>
        </w:tc>
      </w:tr>
      <w:tr w:rsidR="008A5F8D" w:rsidRPr="00115E3D" w14:paraId="24EE894E" w14:textId="77777777">
        <w:trPr>
          <w:trHeight w:val="884"/>
        </w:trPr>
        <w:tc>
          <w:tcPr>
            <w:tcW w:w="2689" w:type="dxa"/>
          </w:tcPr>
          <w:p w14:paraId="511C042A" w14:textId="77777777" w:rsidR="008A5F8D" w:rsidRPr="00115E3D" w:rsidRDefault="008A5F8D">
            <w:pPr>
              <w:jc w:val="both"/>
              <w:rPr>
                <w:rFonts w:ascii="Verdana" w:eastAsia="Calibri" w:hAnsi="Verdana" w:cs="Arial"/>
                <w:color w:val="000000" w:themeColor="text1"/>
                <w:lang w:val="es-ES_tradnl" w:eastAsia="es-ES_tradnl"/>
              </w:rPr>
            </w:pPr>
            <w:r w:rsidRPr="00115E3D">
              <w:rPr>
                <w:rFonts w:ascii="Verdana" w:eastAsia="Calibri" w:hAnsi="Verdana" w:cs="Arial"/>
                <w:b/>
                <w:color w:val="000000" w:themeColor="text1"/>
                <w:lang w:val="es-ES_tradnl" w:eastAsia="es-ES_tradnl"/>
              </w:rPr>
              <w:t>Temas:</w:t>
            </w:r>
            <w:r w:rsidRPr="00115E3D">
              <w:rPr>
                <w:rFonts w:ascii="Verdana" w:eastAsia="Calibri" w:hAnsi="Verdana" w:cs="Arial"/>
                <w:color w:val="000000" w:themeColor="text1"/>
                <w:lang w:val="es-ES_tradnl" w:eastAsia="es-ES_tradnl"/>
              </w:rPr>
              <w:t xml:space="preserve">                   </w:t>
            </w:r>
          </w:p>
        </w:tc>
        <w:tc>
          <w:tcPr>
            <w:tcW w:w="6100" w:type="dxa"/>
          </w:tcPr>
          <w:p w14:paraId="3AD8A995" w14:textId="36E25106" w:rsidR="008A5F8D" w:rsidRPr="00115E3D" w:rsidRDefault="008A5F8D">
            <w:pPr>
              <w:spacing w:line="276" w:lineRule="auto"/>
              <w:jc w:val="both"/>
              <w:rPr>
                <w:rFonts w:ascii="Verdana" w:eastAsia="Calibri" w:hAnsi="Verdana" w:cs="Arial"/>
                <w:color w:val="000000" w:themeColor="text1"/>
                <w:lang w:val="es-ES" w:eastAsia="es-ES"/>
              </w:rPr>
            </w:pPr>
            <w:r w:rsidRPr="002E4D9B">
              <w:rPr>
                <w:rFonts w:ascii="Verdana" w:eastAsia="Calibri" w:hAnsi="Verdana" w:cs="Arial"/>
                <w:color w:val="000000" w:themeColor="text1"/>
                <w:lang w:val="es-ES" w:eastAsia="es-ES"/>
              </w:rPr>
              <w:t xml:space="preserve">LIQUIDACIÓN – Definición – Objetivo / LIQUIDACIÓN – </w:t>
            </w:r>
            <w:r w:rsidR="008B5765">
              <w:rPr>
                <w:rFonts w:ascii="Verdana" w:eastAsia="Calibri" w:hAnsi="Verdana" w:cs="Arial"/>
                <w:color w:val="000000" w:themeColor="text1"/>
                <w:lang w:val="es-ES" w:eastAsia="es-ES"/>
              </w:rPr>
              <w:t>Unilateral</w:t>
            </w:r>
            <w:r w:rsidRPr="002E4D9B">
              <w:rPr>
                <w:rFonts w:ascii="Verdana" w:eastAsia="Calibri" w:hAnsi="Verdana" w:cs="Arial"/>
                <w:color w:val="000000" w:themeColor="text1"/>
                <w:lang w:val="es-ES" w:eastAsia="es-ES"/>
              </w:rPr>
              <w:t xml:space="preserve"> – </w:t>
            </w:r>
            <w:r w:rsidR="008B5765">
              <w:rPr>
                <w:rFonts w:ascii="Verdana" w:eastAsia="Calibri" w:hAnsi="Verdana" w:cs="Arial"/>
                <w:color w:val="000000" w:themeColor="text1"/>
                <w:lang w:val="es-ES" w:eastAsia="es-ES"/>
              </w:rPr>
              <w:t>Judicial</w:t>
            </w:r>
            <w:r w:rsidR="0020219C">
              <w:rPr>
                <w:rFonts w:ascii="Verdana" w:eastAsia="Calibri" w:hAnsi="Verdana" w:cs="Arial"/>
                <w:color w:val="000000" w:themeColor="text1"/>
                <w:lang w:val="es-ES" w:eastAsia="es-ES"/>
              </w:rPr>
              <w:t xml:space="preserve"> </w:t>
            </w:r>
            <w:r w:rsidR="0020219C" w:rsidRPr="002E4D9B">
              <w:rPr>
                <w:rFonts w:ascii="Verdana" w:eastAsia="Calibri" w:hAnsi="Verdana" w:cs="Arial"/>
                <w:color w:val="000000" w:themeColor="text1"/>
                <w:lang w:val="es-ES" w:eastAsia="es-ES"/>
              </w:rPr>
              <w:t xml:space="preserve">– </w:t>
            </w:r>
            <w:r w:rsidRPr="002E4D9B">
              <w:rPr>
                <w:rFonts w:ascii="Verdana" w:eastAsia="Calibri" w:hAnsi="Verdana" w:cs="Arial"/>
                <w:color w:val="000000" w:themeColor="text1"/>
                <w:lang w:val="es-ES" w:eastAsia="es-ES"/>
              </w:rPr>
              <w:t>Oportunidad</w:t>
            </w:r>
          </w:p>
        </w:tc>
      </w:tr>
      <w:tr w:rsidR="008A5F8D" w:rsidRPr="00115E3D" w14:paraId="082F8C92" w14:textId="77777777">
        <w:tc>
          <w:tcPr>
            <w:tcW w:w="2689" w:type="dxa"/>
          </w:tcPr>
          <w:p w14:paraId="6E163672" w14:textId="77777777" w:rsidR="008A5F8D" w:rsidRPr="00115E3D" w:rsidRDefault="008A5F8D">
            <w:pPr>
              <w:jc w:val="both"/>
              <w:rPr>
                <w:rFonts w:ascii="Verdana" w:eastAsia="Calibri" w:hAnsi="Verdana" w:cs="Arial"/>
                <w:b/>
                <w:color w:val="000000" w:themeColor="text1"/>
                <w:lang w:val="es-ES_tradnl" w:eastAsia="es-ES_tradnl"/>
              </w:rPr>
            </w:pPr>
            <w:r w:rsidRPr="00115E3D">
              <w:rPr>
                <w:rFonts w:ascii="Verdana" w:eastAsia="Calibri" w:hAnsi="Verdana" w:cs="Arial"/>
                <w:b/>
                <w:color w:val="000000" w:themeColor="text1"/>
                <w:lang w:val="es-ES_tradnl" w:eastAsia="es-ES_tradnl"/>
              </w:rPr>
              <w:t>Radicación:</w:t>
            </w:r>
            <w:r w:rsidRPr="00115E3D">
              <w:rPr>
                <w:rFonts w:ascii="Verdana" w:eastAsia="Calibri" w:hAnsi="Verdana" w:cs="Arial"/>
                <w:color w:val="000000" w:themeColor="text1"/>
                <w:lang w:val="es-ES_tradnl" w:eastAsia="es-ES_tradnl"/>
              </w:rPr>
              <w:t xml:space="preserve">               </w:t>
            </w:r>
          </w:p>
        </w:tc>
        <w:tc>
          <w:tcPr>
            <w:tcW w:w="6100" w:type="dxa"/>
          </w:tcPr>
          <w:p w14:paraId="6533ADB2" w14:textId="77777777" w:rsidR="008A5F8D" w:rsidRPr="004E4112" w:rsidRDefault="008A5F8D">
            <w:pPr>
              <w:jc w:val="both"/>
              <w:rPr>
                <w:rFonts w:ascii="Verdana" w:eastAsia="Calibri" w:hAnsi="Verdana" w:cs="Arial"/>
                <w:color w:val="000000" w:themeColor="text1"/>
                <w:lang w:eastAsia="es-ES_tradnl"/>
              </w:rPr>
            </w:pPr>
            <w:r w:rsidRPr="004E4112">
              <w:rPr>
                <w:rFonts w:ascii="Verdana" w:eastAsia="Calibri" w:hAnsi="Verdana" w:cs="Arial"/>
                <w:color w:val="000000" w:themeColor="text1"/>
                <w:lang w:val="es-ES_tradnl" w:eastAsia="es-ES_tradnl"/>
              </w:rPr>
              <w:t xml:space="preserve">Respuesta a consulta con radicado No. </w:t>
            </w:r>
            <w:r w:rsidRPr="004E4112">
              <w:rPr>
                <w:rFonts w:ascii="Verdana" w:eastAsia="Calibri" w:hAnsi="Verdana" w:cs="Arial"/>
                <w:color w:val="000000" w:themeColor="text1"/>
                <w:lang w:eastAsia="es-ES_tradnl"/>
              </w:rPr>
              <w:t>P20241116011507</w:t>
            </w:r>
          </w:p>
          <w:p w14:paraId="0A9B704A" w14:textId="77777777" w:rsidR="008A5F8D" w:rsidRPr="00115E3D" w:rsidRDefault="008A5F8D">
            <w:pPr>
              <w:jc w:val="both"/>
              <w:rPr>
                <w:rFonts w:ascii="Verdana" w:eastAsia="Calibri" w:hAnsi="Verdana" w:cs="Arial"/>
                <w:color w:val="000000" w:themeColor="text1"/>
                <w:lang w:val="es-ES_tradnl" w:eastAsia="es-ES_tradnl"/>
              </w:rPr>
            </w:pPr>
          </w:p>
        </w:tc>
      </w:tr>
    </w:tbl>
    <w:p w14:paraId="23306DAB" w14:textId="77777777" w:rsidR="008A5F8D" w:rsidRPr="00115E3D" w:rsidRDefault="008A5F8D" w:rsidP="008A5F8D">
      <w:pPr>
        <w:spacing w:after="0" w:line="240" w:lineRule="auto"/>
        <w:jc w:val="both"/>
        <w:rPr>
          <w:rFonts w:ascii="Verdana" w:eastAsia="Calibri" w:hAnsi="Verdana" w:cs="Arial"/>
          <w:color w:val="000000" w:themeColor="text1"/>
          <w:lang w:val="es-ES_tradnl" w:eastAsia="es-ES_tradnl"/>
        </w:rPr>
      </w:pPr>
    </w:p>
    <w:p w14:paraId="13EC0E8B" w14:textId="77777777" w:rsidR="008A5F8D" w:rsidRPr="00115E3D" w:rsidRDefault="008A5F8D" w:rsidP="008A5F8D">
      <w:pPr>
        <w:spacing w:after="0" w:line="240" w:lineRule="auto"/>
        <w:jc w:val="both"/>
        <w:rPr>
          <w:rFonts w:ascii="Verdana" w:eastAsia="Calibri" w:hAnsi="Verdana" w:cs="Arial"/>
          <w:color w:val="000000" w:themeColor="text1"/>
          <w:lang w:val="es-ES_tradnl" w:eastAsia="es-ES_tradnl"/>
        </w:rPr>
      </w:pPr>
    </w:p>
    <w:p w14:paraId="61F6A0AB" w14:textId="77777777" w:rsidR="008A5F8D" w:rsidRPr="00115E3D" w:rsidRDefault="008A5F8D" w:rsidP="008A5F8D">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Estimado señor </w:t>
      </w:r>
      <w:r>
        <w:rPr>
          <w:rFonts w:ascii="Verdana" w:eastAsia="Calibri" w:hAnsi="Verdana" w:cs="Arial"/>
          <w:color w:val="000000" w:themeColor="text1"/>
          <w:lang w:val="es-ES" w:eastAsia="es-ES"/>
        </w:rPr>
        <w:t>Iglesias</w:t>
      </w:r>
      <w:r w:rsidRPr="00115E3D">
        <w:rPr>
          <w:rFonts w:ascii="Verdana" w:eastAsia="Calibri" w:hAnsi="Verdana" w:cs="Arial"/>
          <w:color w:val="000000" w:themeColor="text1"/>
          <w:lang w:val="es-ES" w:eastAsia="es-ES"/>
        </w:rPr>
        <w:t xml:space="preserve">: </w:t>
      </w:r>
    </w:p>
    <w:p w14:paraId="4D7EA679" w14:textId="77777777" w:rsidR="008A5F8D" w:rsidRPr="00115E3D" w:rsidRDefault="008A5F8D" w:rsidP="008A5F8D">
      <w:pPr>
        <w:tabs>
          <w:tab w:val="left" w:pos="3768"/>
        </w:tabs>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ab/>
      </w:r>
    </w:p>
    <w:p w14:paraId="0EC54E72" w14:textId="77777777" w:rsidR="008A5F8D" w:rsidRPr="00115E3D" w:rsidRDefault="008A5F8D" w:rsidP="008A5F8D">
      <w:pPr>
        <w:spacing w:after="0" w:line="276" w:lineRule="auto"/>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En ejercicio de la competencia otorgada por los artículos 3, numeral 5º, y 11, numeral 8º, del Decreto Ley 4170 de 2011,</w:t>
      </w:r>
      <w:r w:rsidRPr="00115E3D">
        <w:rPr>
          <w:rFonts w:ascii="Verdana" w:eastAsia="Arial MT" w:hAnsi="Verdana" w:cs="Arial MT"/>
          <w:color w:val="000000" w:themeColor="text1"/>
          <w:lang w:val="es-ES" w:eastAsia="es-ES"/>
        </w:rPr>
        <w:t xml:space="preserve"> </w:t>
      </w:r>
      <w:r w:rsidRPr="00115E3D">
        <w:rPr>
          <w:rFonts w:ascii="Verdana" w:hAnsi="Verdana" w:cs="Arial"/>
          <w:color w:val="000000" w:themeColor="text1"/>
        </w:rPr>
        <w:t xml:space="preserve">así como lo establecido en el artículo 4 de la Resolución 1707 de 2018 expedida por esta Entidad, </w:t>
      </w:r>
      <w:r w:rsidRPr="00115E3D">
        <w:rPr>
          <w:rFonts w:ascii="Verdana" w:eastAsia="Calibri" w:hAnsi="Verdana" w:cs="Arial"/>
          <w:color w:val="000000" w:themeColor="text1"/>
          <w:lang w:val="es-ES" w:eastAsia="es-ES"/>
        </w:rPr>
        <w:t xml:space="preserve">la Agencia Nacional de Contratación Pública – Colombia Compra Eficiente– responde su solicitud de consulta de fecha </w:t>
      </w:r>
      <w:r>
        <w:rPr>
          <w:rFonts w:ascii="Verdana" w:eastAsia="Calibri" w:hAnsi="Verdana" w:cs="Arial"/>
          <w:color w:val="000000" w:themeColor="text1"/>
          <w:lang w:val="es-ES" w:eastAsia="es-ES"/>
        </w:rPr>
        <w:t>16</w:t>
      </w:r>
      <w:r w:rsidRPr="00115E3D">
        <w:rPr>
          <w:rFonts w:ascii="Verdana" w:eastAsia="Calibri" w:hAnsi="Verdana" w:cs="Arial"/>
          <w:color w:val="000000" w:themeColor="text1"/>
          <w:lang w:val="es-ES" w:eastAsia="es-ES"/>
        </w:rPr>
        <w:t xml:space="preserve"> de </w:t>
      </w:r>
      <w:r>
        <w:rPr>
          <w:rFonts w:ascii="Verdana" w:eastAsia="Calibri" w:hAnsi="Verdana" w:cs="Arial"/>
          <w:color w:val="000000" w:themeColor="text1"/>
          <w:lang w:val="es-ES" w:eastAsia="es-ES"/>
        </w:rPr>
        <w:t xml:space="preserve">noviembre </w:t>
      </w:r>
      <w:r w:rsidRPr="00115E3D">
        <w:rPr>
          <w:rFonts w:ascii="Verdana" w:eastAsia="Calibri" w:hAnsi="Verdana" w:cs="Arial"/>
          <w:color w:val="000000" w:themeColor="text1"/>
          <w:lang w:val="es-ES" w:eastAsia="es-ES"/>
        </w:rPr>
        <w:t>de 20</w:t>
      </w:r>
      <w:r>
        <w:rPr>
          <w:rFonts w:ascii="Verdana" w:eastAsia="Calibri" w:hAnsi="Verdana" w:cs="Arial"/>
          <w:color w:val="000000" w:themeColor="text1"/>
          <w:lang w:val="es-ES" w:eastAsia="es-ES"/>
        </w:rPr>
        <w:t>24</w:t>
      </w:r>
      <w:r w:rsidRPr="00115E3D">
        <w:rPr>
          <w:rFonts w:ascii="Verdana" w:eastAsia="Calibri" w:hAnsi="Verdana" w:cs="Arial"/>
          <w:color w:val="000000" w:themeColor="text1"/>
          <w:lang w:val="es-ES" w:eastAsia="es-ES"/>
        </w:rPr>
        <w:t xml:space="preserve">, en la cual manifiesta lo siguiente: </w:t>
      </w:r>
    </w:p>
    <w:p w14:paraId="425F20C3" w14:textId="77777777" w:rsidR="008A5F8D" w:rsidRPr="00115E3D" w:rsidRDefault="008A5F8D" w:rsidP="008A5F8D">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5678BF44" w14:textId="77777777" w:rsidR="008A5F8D" w:rsidRPr="00141269" w:rsidRDefault="008A5F8D" w:rsidP="008A5F8D">
      <w:pPr>
        <w:spacing w:after="0" w:line="240" w:lineRule="auto"/>
        <w:ind w:left="709" w:right="709"/>
        <w:jc w:val="both"/>
        <w:rPr>
          <w:rFonts w:ascii="Verdana" w:eastAsia="Century Gothic" w:hAnsi="Verdana" w:cs="Century Gothic"/>
          <w:i/>
          <w:iCs/>
          <w:color w:val="000000" w:themeColor="text1"/>
          <w:sz w:val="20"/>
          <w:szCs w:val="20"/>
          <w:lang w:val="es-ES"/>
        </w:rPr>
      </w:pPr>
      <w:bookmarkStart w:id="0" w:name="_Hlk95313578"/>
      <w:r w:rsidRPr="00141269">
        <w:rPr>
          <w:rFonts w:ascii="Verdana" w:eastAsia="Century Gothic" w:hAnsi="Verdana" w:cs="Century Gothic"/>
          <w:i/>
          <w:iCs/>
          <w:color w:val="000000" w:themeColor="text1"/>
          <w:sz w:val="20"/>
          <w:szCs w:val="20"/>
          <w:lang w:val="es-ES"/>
        </w:rPr>
        <w:t>“</w:t>
      </w:r>
      <w:bookmarkEnd w:id="0"/>
      <w:r w:rsidRPr="004E4112">
        <w:rPr>
          <w:rFonts w:ascii="Verdana" w:eastAsia="Century Gothic" w:hAnsi="Verdana" w:cs="Century Gothic"/>
          <w:i/>
          <w:iCs/>
          <w:color w:val="000000" w:themeColor="text1"/>
          <w:sz w:val="20"/>
          <w:szCs w:val="20"/>
        </w:rPr>
        <w:t>Puede una entidad sometida a ley 80, solicitar la liquidacion judicial sin realizar la liquidacion unilateral, habiendo agotado el tramite de la liquidacion bilateral sin lograr un acuerdo?.</w:t>
      </w:r>
      <w:r>
        <w:rPr>
          <w:rFonts w:ascii="Verdana" w:eastAsia="Century Gothic" w:hAnsi="Verdana" w:cs="Century Gothic"/>
          <w:i/>
          <w:iCs/>
          <w:color w:val="000000" w:themeColor="text1"/>
          <w:sz w:val="20"/>
          <w:szCs w:val="20"/>
        </w:rPr>
        <w:t>”(SIC)</w:t>
      </w:r>
    </w:p>
    <w:p w14:paraId="714E7927" w14:textId="77777777" w:rsidR="008A5F8D" w:rsidRPr="00115E3D" w:rsidRDefault="008A5F8D" w:rsidP="008A5F8D">
      <w:pPr>
        <w:pStyle w:val="Prrafodelista"/>
        <w:tabs>
          <w:tab w:val="left" w:pos="142"/>
          <w:tab w:val="left" w:pos="284"/>
        </w:tabs>
        <w:spacing w:line="276" w:lineRule="auto"/>
        <w:ind w:left="0"/>
        <w:jc w:val="both"/>
        <w:rPr>
          <w:rFonts w:ascii="Verdana" w:eastAsia="Century Gothic" w:hAnsi="Verdana" w:cs="Century Gothic"/>
          <w:b/>
          <w:bCs/>
          <w:color w:val="000000" w:themeColor="text1"/>
        </w:rPr>
      </w:pPr>
    </w:p>
    <w:p w14:paraId="6A8ACB1F" w14:textId="77777777" w:rsidR="008A5F8D" w:rsidRPr="00115E3D" w:rsidRDefault="008A5F8D" w:rsidP="008A5F8D">
      <w:pPr>
        <w:spacing w:after="120" w:line="276" w:lineRule="auto"/>
        <w:ind w:firstLine="709"/>
        <w:jc w:val="both"/>
        <w:rPr>
          <w:rFonts w:ascii="Verdana" w:eastAsia="Calibri" w:hAnsi="Verdana" w:cs="Arial"/>
          <w:color w:val="000000" w:themeColor="text1"/>
          <w:szCs w:val="24"/>
          <w:lang w:val="es-ES_tradnl" w:eastAsia="es-ES_tradnl"/>
        </w:rPr>
      </w:pPr>
      <w:r w:rsidRPr="00115E3D">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w:t>
      </w:r>
      <w:r w:rsidRPr="00115E3D">
        <w:rPr>
          <w:rFonts w:ascii="Verdana" w:eastAsia="Calibri" w:hAnsi="Verdana" w:cs="Arial"/>
          <w:color w:val="000000" w:themeColor="text1"/>
          <w:lang w:val="es-ES" w:eastAsia="es-ES"/>
        </w:rPr>
        <w:lastRenderedPageBreak/>
        <w:t xml:space="preserve">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15E3D">
        <w:rPr>
          <w:rFonts w:ascii="Verdana" w:eastAsia="Calibri" w:hAnsi="Verdana" w:cs="Arial"/>
          <w:color w:val="000000" w:themeColor="text1"/>
          <w:szCs w:val="24"/>
          <w:lang w:val="es-ES_tradnl" w:eastAsia="es-ES_tradnl"/>
        </w:rPr>
        <w:tab/>
      </w:r>
    </w:p>
    <w:p w14:paraId="699F4B23" w14:textId="77777777" w:rsidR="008A5F8D" w:rsidRPr="00115E3D" w:rsidRDefault="008A5F8D" w:rsidP="008A5F8D">
      <w:pPr>
        <w:spacing w:after="0" w:line="276" w:lineRule="auto"/>
        <w:ind w:firstLine="709"/>
        <w:jc w:val="both"/>
        <w:rPr>
          <w:rFonts w:ascii="Verdana" w:eastAsia="Calibri" w:hAnsi="Verdana" w:cs="Arial"/>
          <w:color w:val="000000" w:themeColor="text1"/>
          <w:lang w:val="es-ES" w:eastAsia="es-ES"/>
        </w:rPr>
      </w:pPr>
      <w:r w:rsidRPr="00115E3D">
        <w:rPr>
          <w:rFonts w:ascii="Verdana" w:eastAsia="Calibri" w:hAnsi="Verdana" w:cs="Arial"/>
          <w:color w:val="000000" w:themeColor="text1"/>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1F12669E" w14:textId="77777777" w:rsidR="008A5F8D" w:rsidRPr="00115E3D" w:rsidRDefault="008A5F8D" w:rsidP="008A5F8D">
      <w:pPr>
        <w:spacing w:after="0" w:line="276" w:lineRule="auto"/>
        <w:ind w:firstLine="709"/>
        <w:jc w:val="both"/>
        <w:rPr>
          <w:rFonts w:ascii="Verdana" w:eastAsia="Calibri" w:hAnsi="Verdana" w:cs="Arial"/>
          <w:color w:val="000000" w:themeColor="text1"/>
          <w:lang w:val="es-ES" w:eastAsia="es-ES"/>
        </w:rPr>
      </w:pPr>
    </w:p>
    <w:p w14:paraId="1FF77A44" w14:textId="77777777" w:rsidR="008A5F8D" w:rsidRPr="00115E3D" w:rsidRDefault="008A5F8D" w:rsidP="008A5F8D">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Problema planteado:</w:t>
      </w:r>
    </w:p>
    <w:p w14:paraId="741A4563" w14:textId="77777777" w:rsidR="008A5F8D" w:rsidRPr="00115E3D" w:rsidRDefault="008A5F8D" w:rsidP="008A5F8D">
      <w:pPr>
        <w:tabs>
          <w:tab w:val="left" w:pos="426"/>
        </w:tabs>
        <w:spacing w:after="0" w:line="276" w:lineRule="auto"/>
        <w:jc w:val="both"/>
        <w:rPr>
          <w:rFonts w:ascii="Verdana" w:eastAsia="Century Gothic" w:hAnsi="Verdana" w:cs="Century Gothic"/>
          <w:color w:val="000000" w:themeColor="text1"/>
          <w:lang w:val="es-ES"/>
        </w:rPr>
      </w:pPr>
    </w:p>
    <w:p w14:paraId="2EE4DA22" w14:textId="1DB1977E" w:rsidR="008A5F8D" w:rsidRDefault="008A5F8D" w:rsidP="008A5F8D">
      <w:pPr>
        <w:spacing w:after="0" w:line="276" w:lineRule="auto"/>
        <w:jc w:val="both"/>
        <w:rPr>
          <w:rFonts w:ascii="Verdana" w:eastAsia="Century Gothic" w:hAnsi="Verdana" w:cs="Century Gothic"/>
          <w:color w:val="000000" w:themeColor="text1"/>
        </w:rPr>
      </w:pPr>
      <w:r w:rsidRPr="00115E3D">
        <w:rPr>
          <w:rFonts w:ascii="Verdana" w:eastAsia="Century Gothic" w:hAnsi="Verdana" w:cs="Century Gothic"/>
          <w:color w:val="000000" w:themeColor="text1"/>
        </w:rPr>
        <w:t xml:space="preserve">De acuerdo con el contenido de su solicitud, esta Agencia resolverá </w:t>
      </w:r>
      <w:r w:rsidR="00F3753A">
        <w:rPr>
          <w:rFonts w:ascii="Verdana" w:eastAsia="Century Gothic" w:hAnsi="Verdana" w:cs="Century Gothic"/>
          <w:color w:val="000000" w:themeColor="text1"/>
        </w:rPr>
        <w:t>el</w:t>
      </w:r>
      <w:r>
        <w:rPr>
          <w:rFonts w:ascii="Verdana" w:eastAsia="Century Gothic" w:hAnsi="Verdana" w:cs="Century Gothic"/>
          <w:color w:val="000000" w:themeColor="text1"/>
        </w:rPr>
        <w:t xml:space="preserve"> </w:t>
      </w:r>
      <w:r w:rsidRPr="00115E3D">
        <w:rPr>
          <w:rFonts w:ascii="Verdana" w:eastAsia="Century Gothic" w:hAnsi="Verdana" w:cs="Century Gothic"/>
          <w:color w:val="000000" w:themeColor="text1"/>
        </w:rPr>
        <w:t xml:space="preserve">siguiente problema jurídico: </w:t>
      </w:r>
    </w:p>
    <w:p w14:paraId="1C9104E0" w14:textId="77777777" w:rsidR="008A5F8D" w:rsidRDefault="008A5F8D" w:rsidP="008A5F8D">
      <w:pPr>
        <w:spacing w:after="0" w:line="276" w:lineRule="auto"/>
        <w:jc w:val="both"/>
        <w:rPr>
          <w:rFonts w:ascii="Verdana" w:eastAsia="Century Gothic" w:hAnsi="Verdana" w:cs="Century Gothic"/>
          <w:color w:val="000000" w:themeColor="text1"/>
        </w:rPr>
      </w:pPr>
    </w:p>
    <w:p w14:paraId="0274B389" w14:textId="639CE53F" w:rsidR="008A5F8D" w:rsidRPr="00926DA9" w:rsidRDefault="00926DA9" w:rsidP="00926DA9">
      <w:pPr>
        <w:spacing w:after="0" w:line="276" w:lineRule="auto"/>
        <w:jc w:val="both"/>
        <w:rPr>
          <w:rFonts w:ascii="Verdana" w:hAnsi="Verdana"/>
        </w:rPr>
      </w:pPr>
      <w:r w:rsidRPr="00926DA9">
        <w:rPr>
          <w:rFonts w:ascii="Verdana" w:hAnsi="Verdana"/>
          <w:i/>
          <w:iCs/>
        </w:rPr>
        <w:t>¿Una</w:t>
      </w:r>
      <w:r w:rsidR="008A5F8D" w:rsidRPr="00926DA9">
        <w:rPr>
          <w:rFonts w:ascii="Verdana" w:hAnsi="Verdana"/>
          <w:i/>
          <w:iCs/>
        </w:rPr>
        <w:t xml:space="preserve"> Entidad Estatal sometida al EGCAP puede acudir a la liquidación judicial sin haber agotado la liquidación unilateral, en el evento en que se haya agotado el trámite de la liquidación bilateral sin lograr un acuerdo?</w:t>
      </w:r>
    </w:p>
    <w:p w14:paraId="52183E0C" w14:textId="77777777" w:rsidR="008A5F8D" w:rsidRPr="00980B86" w:rsidRDefault="008A5F8D" w:rsidP="008A5F8D">
      <w:pPr>
        <w:spacing w:after="0" w:line="276" w:lineRule="auto"/>
        <w:ind w:left="360"/>
        <w:jc w:val="both"/>
        <w:rPr>
          <w:rFonts w:ascii="Verdana" w:eastAsia="Calibri" w:hAnsi="Verdana" w:cs="Arial"/>
          <w:color w:val="000000" w:themeColor="text1"/>
          <w:lang w:val="es-ES"/>
        </w:rPr>
      </w:pPr>
      <w:r w:rsidRPr="00980B86">
        <w:rPr>
          <w:rFonts w:ascii="Verdana" w:hAnsi="Verdana"/>
        </w:rPr>
        <w:t> </w:t>
      </w:r>
    </w:p>
    <w:p w14:paraId="071143CF" w14:textId="77777777" w:rsidR="008A5F8D" w:rsidRPr="00115E3D" w:rsidRDefault="008A5F8D" w:rsidP="008A5F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Respuesta:</w:t>
      </w:r>
    </w:p>
    <w:p w14:paraId="3C630077" w14:textId="77777777" w:rsidR="008A5F8D" w:rsidRPr="00115E3D" w:rsidRDefault="008A5F8D" w:rsidP="008A5F8D">
      <w:pPr>
        <w:tabs>
          <w:tab w:val="left" w:pos="142"/>
          <w:tab w:val="left" w:pos="284"/>
        </w:tabs>
        <w:spacing w:after="0" w:line="276" w:lineRule="auto"/>
        <w:jc w:val="both"/>
        <w:rPr>
          <w:rFonts w:ascii="Verdana" w:eastAsia="Century Gothic" w:hAnsi="Verdana" w:cs="Century Gothic"/>
          <w:b/>
          <w:bCs/>
          <w:color w:val="000000" w:themeColor="text1"/>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8A5F8D" w:rsidRPr="00115E3D" w14:paraId="0B17EE09" w14:textId="77777777">
        <w:tc>
          <w:tcPr>
            <w:tcW w:w="8828" w:type="dxa"/>
            <w:shd w:val="clear" w:color="auto" w:fill="auto"/>
          </w:tcPr>
          <w:p w14:paraId="5FE2A370" w14:textId="77777777" w:rsidR="007312DD" w:rsidRDefault="008A5F8D" w:rsidP="00EF3D1A">
            <w:pPr>
              <w:spacing w:before="120" w:line="276" w:lineRule="auto"/>
              <w:jc w:val="both"/>
              <w:rPr>
                <w:rFonts w:ascii="Verdana" w:eastAsia="Calibri" w:hAnsi="Verdana" w:cs="Arial"/>
                <w:color w:val="000000" w:themeColor="text1"/>
              </w:rPr>
            </w:pPr>
            <w:r w:rsidRPr="00F272E1">
              <w:rPr>
                <w:rFonts w:ascii="Verdana" w:eastAsia="Calibri" w:hAnsi="Verdana" w:cs="Arial"/>
                <w:color w:val="000000" w:themeColor="text1"/>
              </w:rPr>
              <w:t xml:space="preserve">De manera general, es posible </w:t>
            </w:r>
            <w:r w:rsidRPr="00F40B18">
              <w:rPr>
                <w:rFonts w:ascii="Verdana" w:eastAsia="Calibri" w:hAnsi="Verdana" w:cs="Arial"/>
                <w:color w:val="000000" w:themeColor="text1"/>
              </w:rPr>
              <w:t xml:space="preserve">que una entidad pública sometida a la Ley 80 de 1993 solicite la liquidación judicial de un contrato estatal, incluso sin haber realizado previamente la liquidación unilateral, siempre que se haya agotado el trámite de la liquidación bilateral sin lograr un acuerdo entre las partes. </w:t>
            </w:r>
          </w:p>
          <w:p w14:paraId="2BB8F901" w14:textId="3A663678" w:rsidR="003D6E70" w:rsidRDefault="008A5F8D" w:rsidP="00A70CE0">
            <w:pPr>
              <w:spacing w:before="120" w:line="276" w:lineRule="auto"/>
              <w:ind w:firstLine="709"/>
              <w:jc w:val="both"/>
              <w:rPr>
                <w:rFonts w:ascii="Verdana" w:eastAsia="Calibri" w:hAnsi="Verdana" w:cs="Arial"/>
                <w:color w:val="000000" w:themeColor="text1"/>
              </w:rPr>
            </w:pPr>
            <w:r w:rsidRPr="00F40B18">
              <w:rPr>
                <w:rFonts w:ascii="Verdana" w:eastAsia="Calibri" w:hAnsi="Verdana" w:cs="Arial"/>
                <w:color w:val="000000" w:themeColor="text1"/>
              </w:rPr>
              <w:t xml:space="preserve">Según el artículo </w:t>
            </w:r>
            <w:r w:rsidR="001D3C17" w:rsidRPr="001D3C17">
              <w:rPr>
                <w:rFonts w:ascii="Verdana" w:eastAsia="Calibri" w:hAnsi="Verdana" w:cs="Arial"/>
                <w:color w:val="000000" w:themeColor="text1"/>
              </w:rPr>
              <w:t>11 de la Ley 1150 de 2007, la liquidación judicial es una opción subsidiaria que solo procede si la Entidad no ejerce su facultad de liquidar unilateralmente dentro de los dos meses siguientes al vencimiento del plazo para la liquidación bilateral ya sea pactado, supletivo o establecido en los documentos contractuales.</w:t>
            </w:r>
          </w:p>
          <w:p w14:paraId="6A01CDC7" w14:textId="48AD8B07" w:rsidR="008A5F8D" w:rsidRDefault="007307D6" w:rsidP="00F50DB8">
            <w:pPr>
              <w:spacing w:before="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lastRenderedPageBreak/>
              <w:t>Igualmente</w:t>
            </w:r>
            <w:r w:rsidR="000849FA">
              <w:rPr>
                <w:rFonts w:ascii="Verdana" w:eastAsia="Calibri" w:hAnsi="Verdana" w:cs="Arial"/>
                <w:color w:val="000000" w:themeColor="text1"/>
              </w:rPr>
              <w:t xml:space="preserve">, </w:t>
            </w:r>
            <w:r w:rsidR="00F50DB8">
              <w:rPr>
                <w:rFonts w:ascii="Verdana" w:eastAsia="Calibri" w:hAnsi="Verdana" w:cs="Arial"/>
                <w:color w:val="000000" w:themeColor="text1"/>
              </w:rPr>
              <w:t>s</w:t>
            </w:r>
            <w:r w:rsidR="00F50DB8" w:rsidRPr="00F50DB8">
              <w:rPr>
                <w:rFonts w:ascii="Verdana" w:eastAsia="Calibri" w:hAnsi="Verdana" w:cs="Arial"/>
                <w:color w:val="000000" w:themeColor="text1"/>
              </w:rPr>
              <w:t xml:space="preserve">egún el artículo </w:t>
            </w:r>
            <w:r w:rsidR="008A5F8D" w:rsidRPr="00F40B18">
              <w:rPr>
                <w:rFonts w:ascii="Verdana" w:eastAsia="Calibri" w:hAnsi="Verdana" w:cs="Arial"/>
                <w:color w:val="000000" w:themeColor="text1"/>
              </w:rPr>
              <w:t>141 de la Ley 1437 de 2011, si la liquidación de mutuo acuerdo no se logra y la entidad no la ha liquidado unilateralmente dentro de los dos meses siguientes al vencimiento del plazo, el interesado puede solicitar la liquidación judicial. Este proceso implica que el control del conflicto se traslade a la jurisdicción contenciosa administrativa, dejando de ser competencia exclusiva de la entidad estatal, que conserva autonomía en los trámites previos.</w:t>
            </w:r>
          </w:p>
          <w:p w14:paraId="526F18D1" w14:textId="37730050" w:rsidR="008A5F8D" w:rsidRPr="00102C5D" w:rsidRDefault="008A5F8D" w:rsidP="00EC336A">
            <w:pPr>
              <w:spacing w:before="120" w:line="276" w:lineRule="auto"/>
              <w:ind w:firstLine="709"/>
              <w:jc w:val="both"/>
              <w:rPr>
                <w:rFonts w:ascii="Verdana" w:eastAsia="Calibri" w:hAnsi="Verdana" w:cs="Arial"/>
                <w:color w:val="000000" w:themeColor="text1"/>
              </w:rPr>
            </w:pPr>
            <w:r>
              <w:rPr>
                <w:rFonts w:ascii="Verdana" w:eastAsia="Calibri" w:hAnsi="Verdana" w:cs="Arial"/>
                <w:color w:val="000000" w:themeColor="text1"/>
              </w:rPr>
              <w:t>Finalmente, e</w:t>
            </w:r>
            <w:r w:rsidRPr="00F272E1">
              <w:rPr>
                <w:rFonts w:ascii="Verdana" w:eastAsia="Calibri" w:hAnsi="Verdana" w:cs="Arial"/>
                <w:color w:val="000000" w:themeColor="text1"/>
              </w:rPr>
              <w:t>s importante señalar que la liquidación del contrato es un trámite que corresponde a cada entidad estatal, en ejercicio de su autonomía administrativa y en el marco de su gestión contractual. Esta autonomía les permite adelantar sus procesos con base en las particularidades de cada caso, siempre respetando los principios de la contratación públic</w:t>
            </w:r>
            <w:r w:rsidR="00CA1850">
              <w:rPr>
                <w:rFonts w:ascii="Verdana" w:eastAsia="Calibri" w:hAnsi="Verdana" w:cs="Arial"/>
                <w:color w:val="000000" w:themeColor="text1"/>
              </w:rPr>
              <w:t>a</w:t>
            </w:r>
            <w:r w:rsidR="002A77F5">
              <w:rPr>
                <w:rFonts w:ascii="Verdana" w:eastAsia="Calibri" w:hAnsi="Verdana" w:cs="Arial"/>
                <w:color w:val="000000" w:themeColor="text1"/>
              </w:rPr>
              <w:t>.</w:t>
            </w:r>
          </w:p>
        </w:tc>
      </w:tr>
    </w:tbl>
    <w:p w14:paraId="30137629" w14:textId="77777777" w:rsidR="008A5F8D" w:rsidRPr="00115E3D" w:rsidRDefault="008A5F8D" w:rsidP="008A5F8D">
      <w:pPr>
        <w:tabs>
          <w:tab w:val="left" w:pos="142"/>
          <w:tab w:val="left" w:pos="284"/>
        </w:tabs>
        <w:spacing w:after="0" w:line="276" w:lineRule="auto"/>
        <w:jc w:val="both"/>
        <w:rPr>
          <w:rFonts w:ascii="Verdana" w:eastAsia="Century Gothic" w:hAnsi="Verdana" w:cs="Century Gothic"/>
          <w:b/>
          <w:bCs/>
          <w:color w:val="000000" w:themeColor="text1"/>
          <w:lang w:val="es-ES"/>
        </w:rPr>
      </w:pPr>
    </w:p>
    <w:p w14:paraId="75A8C0C8" w14:textId="77777777" w:rsidR="008A5F8D" w:rsidRPr="00115E3D" w:rsidRDefault="008A5F8D" w:rsidP="008A5F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Razones de la respuesta:</w:t>
      </w:r>
    </w:p>
    <w:p w14:paraId="65F8BA35" w14:textId="77777777" w:rsidR="008A5F8D" w:rsidRPr="00115E3D" w:rsidRDefault="008A5F8D" w:rsidP="008A5F8D">
      <w:pPr>
        <w:spacing w:after="0" w:line="276" w:lineRule="auto"/>
        <w:jc w:val="both"/>
        <w:rPr>
          <w:rFonts w:ascii="Verdana" w:eastAsia="Calibri" w:hAnsi="Verdana" w:cs="Arial"/>
          <w:color w:val="000000" w:themeColor="text1"/>
          <w:lang w:val="es-ES"/>
        </w:rPr>
      </w:pPr>
    </w:p>
    <w:p w14:paraId="120C5F58" w14:textId="77777777" w:rsidR="008A5F8D" w:rsidRPr="00115E3D" w:rsidRDefault="008A5F8D" w:rsidP="008A5F8D">
      <w:pPr>
        <w:spacing w:after="0" w:line="276" w:lineRule="auto"/>
        <w:jc w:val="both"/>
        <w:rPr>
          <w:rFonts w:ascii="Verdana" w:eastAsia="Calibri" w:hAnsi="Verdana" w:cs="Arial"/>
          <w:color w:val="000000" w:themeColor="text1"/>
          <w:lang w:val="es-ES"/>
        </w:rPr>
      </w:pPr>
      <w:r w:rsidRPr="00115E3D">
        <w:rPr>
          <w:rFonts w:ascii="Verdana" w:eastAsia="Calibri" w:hAnsi="Verdana" w:cs="Arial"/>
          <w:color w:val="000000" w:themeColor="text1"/>
          <w:lang w:val="es-ES"/>
        </w:rPr>
        <w:t xml:space="preserve">Lo anterior se sustenta en las siguientes consideraciones: </w:t>
      </w:r>
    </w:p>
    <w:p w14:paraId="7FB26F82" w14:textId="77777777" w:rsidR="008A5F8D" w:rsidRDefault="008A5F8D" w:rsidP="008A5F8D">
      <w:pPr>
        <w:spacing w:after="0" w:line="276" w:lineRule="auto"/>
        <w:jc w:val="both"/>
        <w:rPr>
          <w:rFonts w:ascii="Verdana" w:eastAsia="Calibri" w:hAnsi="Verdana" w:cs="Arial"/>
          <w:color w:val="000000" w:themeColor="text1"/>
          <w:lang w:val="es-ES"/>
        </w:rPr>
      </w:pPr>
    </w:p>
    <w:p w14:paraId="7B6CC56F" w14:textId="77777777" w:rsidR="008A5F8D" w:rsidRPr="00135386" w:rsidRDefault="008A5F8D" w:rsidP="7CD86E12">
      <w:pPr>
        <w:spacing w:after="0" w:line="276" w:lineRule="auto"/>
        <w:jc w:val="both"/>
        <w:rPr>
          <w:rFonts w:ascii="Verdana" w:eastAsia="Times New Roman" w:hAnsi="Verdana" w:cs="Arial"/>
          <w:color w:val="000000"/>
          <w:lang w:val="es-ES"/>
        </w:rPr>
      </w:pPr>
      <w:r w:rsidRPr="7CD86E12">
        <w:rPr>
          <w:rFonts w:ascii="Verdana" w:eastAsia="Times New Roman" w:hAnsi="Verdana" w:cs="Arial"/>
          <w:color w:val="000000"/>
          <w:lang w:val="es-ES"/>
        </w:rPr>
        <w:t>La liquidación es el momento en el cual, una vez concluido el contrato estatal, las partes cruzan cuentas respecto de sus obligaciones. Por tanto, su objetivo es determinar si pueden declararse a paz y salvo mutuo o si, por el contrario, existen aún obligaciones por cumplir, para acordar la forma en que deben ser finalizadas</w:t>
      </w:r>
      <w:r w:rsidRPr="7CD86E12">
        <w:rPr>
          <w:rFonts w:ascii="Verdana" w:eastAsia="Times New Roman" w:hAnsi="Verdana" w:cs="Arial"/>
          <w:color w:val="000000"/>
          <w:vertAlign w:val="superscript"/>
          <w:lang w:val="es-ES"/>
        </w:rPr>
        <w:footnoteReference w:id="2"/>
      </w:r>
      <w:r w:rsidRPr="7CD86E12">
        <w:rPr>
          <w:rFonts w:ascii="Verdana" w:eastAsia="Times New Roman" w:hAnsi="Verdana" w:cs="Arial"/>
          <w:color w:val="000000"/>
          <w:lang w:val="es-ES"/>
        </w:rPr>
        <w:t>. En armonía con lo anterior, la doctrina ha definido la liquidación de la siguiente manera:</w:t>
      </w:r>
    </w:p>
    <w:p w14:paraId="16DF333B" w14:textId="77777777" w:rsidR="008A5F8D" w:rsidRPr="00135386" w:rsidRDefault="008A5F8D" w:rsidP="008A5F8D">
      <w:pPr>
        <w:spacing w:after="0" w:line="276" w:lineRule="auto"/>
        <w:jc w:val="both"/>
        <w:rPr>
          <w:rFonts w:ascii="Verdana" w:eastAsia="Times New Roman" w:hAnsi="Verdana" w:cs="Arial"/>
          <w:color w:val="000000"/>
          <w:lang w:val="es-ES_tradnl"/>
        </w:rPr>
      </w:pPr>
    </w:p>
    <w:p w14:paraId="0BBD1450" w14:textId="77777777" w:rsidR="008A5F8D" w:rsidRPr="00135386" w:rsidRDefault="008A5F8D" w:rsidP="008A5F8D">
      <w:pPr>
        <w:spacing w:after="0" w:line="240" w:lineRule="auto"/>
        <w:ind w:left="709" w:right="758"/>
        <w:jc w:val="both"/>
        <w:rPr>
          <w:rFonts w:ascii="Verdana" w:eastAsia="Times New Roman" w:hAnsi="Verdana" w:cs="Arial"/>
          <w:sz w:val="21"/>
          <w:szCs w:val="21"/>
          <w:lang w:val="es-MX"/>
        </w:rPr>
      </w:pPr>
      <w:r w:rsidRPr="00135386">
        <w:rPr>
          <w:rFonts w:ascii="Verdana" w:eastAsia="Times New Roman" w:hAnsi="Verdana" w:cs="Arial"/>
          <w:i/>
          <w:iCs/>
          <w:color w:val="000000"/>
          <w:sz w:val="21"/>
          <w:szCs w:val="21"/>
          <w:lang w:val="es-ES_tradnl"/>
        </w:rPr>
        <w:t>“</w:t>
      </w:r>
      <w:r w:rsidRPr="00135386">
        <w:rPr>
          <w:rFonts w:ascii="Verdana" w:eastAsia="Times New Roman" w:hAnsi="Verdana" w:cs="Arial"/>
          <w:sz w:val="21"/>
          <w:szCs w:val="21"/>
          <w:lang w:val="es-MX"/>
        </w:rPr>
        <w:t xml:space="preserve">[…] la liquidación del contrato estatal corresponde al arreglo o ajuste económico, técnico y jurídico al que se llega de forma bilateral (por las partes del negocio), unilateralmente (por la administración), por el juez o por el árbitro, según el caso, para determinar el estado final de la relación contractual, no solo en cuento al cumplimiento del objeto acordado y al recibo a satisfacción de los productos contratados (bienes y servicios), sino, además, para definir la situación en la que quedan los contratantes, luego de la ejecución del contrato, en el sentido de disponer cuánto se adeudan, de qué manera y en qué plazos se han de efectuar los pagos pendientes y las condiciones para el establecimiento del respectivo paz y salvo. En otras palabras, la liquidación es el acto jurídico bilateral, administrativo o judicial, en el </w:t>
      </w:r>
      <w:r w:rsidRPr="00135386">
        <w:rPr>
          <w:rFonts w:ascii="Verdana" w:eastAsia="Times New Roman" w:hAnsi="Verdana" w:cs="Arial"/>
          <w:sz w:val="21"/>
          <w:szCs w:val="21"/>
          <w:lang w:val="es-MX"/>
        </w:rPr>
        <w:lastRenderedPageBreak/>
        <w:t>que se plasma y formaliza la situación financiera y jurídica de las partes, al término de la relación contractual (aspecto subjetivo) y el grado de cumplimiento del objeto contratado (aspecto objetivo); de ahí que pueda hablarse, en términos amplios, de un doble contenido, que debe estar presente en toda liquidación. En efecto, el corte de cuentas realizado en ella tiene un doble alcance: (i) hacer un balance definitivo del negocio, en sus aspectos técnicos, financieros y jurídicos (aspecto objetivo o material) y ii) definir la situación jurídica de las partes, estableciendo si pueden constituirse o no a paz y salvo; lo que exige, en la práctica, que los negociantes dialoguen e intenten ponerse de acuerdo (aspecto subjetivo)”</w:t>
      </w:r>
      <w:r w:rsidRPr="00135386">
        <w:rPr>
          <w:rFonts w:ascii="Verdana" w:eastAsia="Times New Roman" w:hAnsi="Verdana" w:cs="Arial"/>
          <w:sz w:val="21"/>
          <w:szCs w:val="21"/>
          <w:vertAlign w:val="superscript"/>
          <w:lang w:val="es-MX"/>
        </w:rPr>
        <w:footnoteReference w:id="3"/>
      </w:r>
      <w:r w:rsidRPr="00135386">
        <w:rPr>
          <w:rFonts w:ascii="Verdana" w:eastAsia="Times New Roman" w:hAnsi="Verdana" w:cs="Arial"/>
          <w:sz w:val="21"/>
          <w:szCs w:val="21"/>
          <w:lang w:val="es-MX"/>
        </w:rPr>
        <w:t>.</w:t>
      </w:r>
    </w:p>
    <w:p w14:paraId="6FC0E52D" w14:textId="77777777" w:rsidR="008A5F8D" w:rsidRPr="00135386" w:rsidRDefault="008A5F8D" w:rsidP="008A5F8D">
      <w:pPr>
        <w:spacing w:after="0" w:line="276" w:lineRule="auto"/>
        <w:jc w:val="both"/>
        <w:rPr>
          <w:rFonts w:ascii="Verdana" w:eastAsia="Times New Roman" w:hAnsi="Verdana" w:cs="Arial"/>
          <w:color w:val="000000"/>
          <w:lang w:val="es-ES_tradnl"/>
        </w:rPr>
      </w:pPr>
    </w:p>
    <w:p w14:paraId="5624DE51" w14:textId="77777777" w:rsidR="008A5F8D" w:rsidRPr="00135386" w:rsidRDefault="008A5F8D" w:rsidP="008A5F8D">
      <w:pPr>
        <w:spacing w:after="120" w:line="276" w:lineRule="auto"/>
        <w:ind w:firstLine="709"/>
        <w:jc w:val="both"/>
        <w:rPr>
          <w:rFonts w:ascii="Verdana" w:eastAsia="Times New Roman" w:hAnsi="Verdana" w:cs="Arial"/>
          <w:color w:val="000000"/>
          <w:sz w:val="21"/>
          <w:szCs w:val="21"/>
          <w:lang w:val="es-ES_tradnl" w:eastAsia="es-ES_tradnl"/>
        </w:rPr>
      </w:pPr>
      <w:r w:rsidRPr="00135386">
        <w:rPr>
          <w:rFonts w:ascii="Verdana" w:eastAsia="Times New Roman" w:hAnsi="Verdana" w:cs="Arial"/>
          <w:color w:val="000000"/>
          <w:szCs w:val="24"/>
          <w:lang w:val="es-ES_tradnl" w:eastAsia="es-ES_tradnl"/>
        </w:rPr>
        <w:t xml:space="preserve">Según la jurisprudencia, la liquidación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135386">
        <w:rPr>
          <w:rFonts w:ascii="Verdana" w:eastAsia="Times New Roman" w:hAnsi="Verdana" w:cs="Arial"/>
          <w:i/>
          <w:iCs/>
          <w:color w:val="000000"/>
          <w:szCs w:val="24"/>
          <w:lang w:val="es-ES_tradnl" w:eastAsia="es-ES_tradnl"/>
        </w:rPr>
        <w:t>liquidar</w:t>
      </w:r>
      <w:r w:rsidRPr="00135386">
        <w:rPr>
          <w:rFonts w:ascii="Verdana" w:eastAsia="Times New Roman" w:hAnsi="Verdana" w:cs="Arial"/>
          <w:color w:val="000000"/>
          <w:szCs w:val="24"/>
          <w:lang w:val="es-ES_tradnl" w:eastAsia="es-ES_tradnl"/>
        </w:rPr>
        <w:t xml:space="preserve"> supone un ajuste en relación con las cuentas y el estado de cumplimiento del contrato estatal y, por el otro, que la </w:t>
      </w:r>
      <w:r w:rsidRPr="00135386">
        <w:rPr>
          <w:rFonts w:ascii="Verdana" w:eastAsia="Times New Roman" w:hAnsi="Verdana" w:cs="Arial"/>
          <w:i/>
          <w:iCs/>
          <w:color w:val="000000"/>
          <w:szCs w:val="24"/>
          <w:lang w:val="es-ES_tradnl" w:eastAsia="es-ES_tradnl"/>
        </w:rPr>
        <w:t>liquidación</w:t>
      </w:r>
      <w:r w:rsidRPr="00135386">
        <w:rPr>
          <w:rFonts w:ascii="Verdana" w:eastAsia="Times New Roman" w:hAnsi="Verdana" w:cs="Arial"/>
          <w:color w:val="000000"/>
          <w:szCs w:val="24"/>
          <w:lang w:val="es-ES_tradnl" w:eastAsia="es-ES_tradnl"/>
        </w:rPr>
        <w:t xml:space="preserve"> debe incluir el análisis de las condiciones de calidad y oportunidad en la entrega de los bienes, obras o servicios, así como el balance económico y el comportamiento financiero del negocio</w:t>
      </w:r>
      <w:r w:rsidRPr="00135386">
        <w:rPr>
          <w:rFonts w:ascii="Verdana" w:eastAsia="Times New Roman" w:hAnsi="Verdana" w:cs="Arial"/>
          <w:color w:val="000000"/>
          <w:szCs w:val="24"/>
          <w:vertAlign w:val="superscript"/>
          <w:lang w:val="es-ES_tradnl" w:eastAsia="es-ES_tradnl"/>
        </w:rPr>
        <w:footnoteReference w:id="4"/>
      </w:r>
      <w:r w:rsidRPr="00135386">
        <w:rPr>
          <w:rFonts w:ascii="Verdana" w:eastAsia="Times New Roman" w:hAnsi="Verdana" w:cs="Arial"/>
          <w:color w:val="000000"/>
          <w:szCs w:val="24"/>
          <w:lang w:val="es-ES_tradnl" w:eastAsia="es-ES_tradnl"/>
        </w:rPr>
        <w:t xml:space="preserve">. </w:t>
      </w:r>
    </w:p>
    <w:p w14:paraId="5F71A3B6" w14:textId="77777777" w:rsidR="008A5F8D" w:rsidRPr="00135386" w:rsidRDefault="008A5F8D" w:rsidP="008A5F8D">
      <w:pPr>
        <w:spacing w:after="0" w:line="276" w:lineRule="auto"/>
        <w:ind w:firstLine="709"/>
        <w:jc w:val="both"/>
        <w:rPr>
          <w:rFonts w:ascii="Verdana" w:eastAsia="Times New Roman" w:hAnsi="Verdana" w:cs="Arial"/>
          <w:color w:val="000000"/>
          <w:lang w:val="es-ES_tradnl"/>
        </w:rPr>
      </w:pPr>
      <w:r w:rsidRPr="00135386">
        <w:rPr>
          <w:rFonts w:ascii="Verdana" w:eastAsia="Times New Roman" w:hAnsi="Verdana" w:cs="Arial"/>
          <w:color w:val="000000"/>
          <w:lang w:val="es-ES_tradnl"/>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14:paraId="25A2789A" w14:textId="77777777" w:rsidR="008A5F8D" w:rsidRPr="00135386" w:rsidRDefault="008A5F8D" w:rsidP="008A5F8D">
      <w:pPr>
        <w:spacing w:after="0" w:line="276" w:lineRule="auto"/>
        <w:ind w:firstLine="708"/>
        <w:jc w:val="both"/>
        <w:rPr>
          <w:rFonts w:ascii="Verdana" w:eastAsia="Times New Roman" w:hAnsi="Verdana" w:cs="Arial"/>
          <w:lang w:val="es-ES"/>
        </w:rPr>
      </w:pPr>
    </w:p>
    <w:p w14:paraId="64F96C9B" w14:textId="77777777" w:rsidR="008A5F8D" w:rsidRPr="00135386" w:rsidRDefault="008A5F8D" w:rsidP="008A5F8D">
      <w:pPr>
        <w:spacing w:after="0" w:line="240" w:lineRule="auto"/>
        <w:ind w:left="709" w:right="758"/>
        <w:jc w:val="both"/>
        <w:rPr>
          <w:rFonts w:ascii="Verdana" w:eastAsia="Times New Roman" w:hAnsi="Verdana" w:cs="Arial"/>
          <w:sz w:val="21"/>
          <w:szCs w:val="21"/>
          <w:lang w:val="es-MX"/>
        </w:rPr>
      </w:pPr>
      <w:r w:rsidRPr="00135386">
        <w:rPr>
          <w:rFonts w:ascii="Verdana" w:eastAsia="Times New Roman" w:hAnsi="Verdana" w:cs="Arial"/>
          <w:sz w:val="21"/>
          <w:szCs w:val="21"/>
          <w:lang w:val="es-ES"/>
        </w:rPr>
        <w:t>“</w:t>
      </w:r>
      <w:r w:rsidRPr="00135386">
        <w:rPr>
          <w:rFonts w:ascii="Verdana" w:eastAsia="Times New Roman" w:hAnsi="Verdana" w:cs="Arial"/>
          <w:sz w:val="21"/>
          <w:szCs w:val="21"/>
          <w:lang w:val="es-MX"/>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w:t>
      </w:r>
      <w:r w:rsidRPr="00135386">
        <w:rPr>
          <w:rFonts w:ascii="Verdana" w:eastAsia="Times New Roman" w:hAnsi="Verdana" w:cs="Arial"/>
          <w:sz w:val="21"/>
          <w:szCs w:val="21"/>
          <w:lang w:val="es-MX"/>
        </w:rPr>
        <w:lastRenderedPageBreak/>
        <w:t xml:space="preserve">contenido de la misma debía reflejar </w:t>
      </w:r>
      <w:r w:rsidRPr="00135386">
        <w:rPr>
          <w:rFonts w:ascii="Verdana" w:eastAsia="Times New Roman" w:hAnsi="Verdana" w:cs="Arial"/>
          <w:sz w:val="23"/>
          <w:szCs w:val="23"/>
          <w:lang w:val="es-MX"/>
        </w:rPr>
        <w:t>‘</w:t>
      </w:r>
      <w:r w:rsidRPr="00135386">
        <w:rPr>
          <w:rFonts w:ascii="Verdana" w:eastAsia="Times New Roman" w:hAnsi="Verdana" w:cs="Arial"/>
          <w:sz w:val="21"/>
          <w:szCs w:val="21"/>
          <w:lang w:val="es-MX"/>
        </w:rPr>
        <w:t>los acuerdos, conciliaciones y transacciones a que llegaren las partes para poner fin a las divergencias presentadas y poder declararse a paz y salvo’”</w:t>
      </w:r>
      <w:r w:rsidRPr="00135386">
        <w:rPr>
          <w:rFonts w:ascii="Verdana" w:eastAsia="Times New Roman" w:hAnsi="Verdana" w:cs="Arial"/>
          <w:sz w:val="21"/>
          <w:szCs w:val="21"/>
          <w:vertAlign w:val="superscript"/>
          <w:lang w:val="es-MX"/>
        </w:rPr>
        <w:footnoteReference w:id="5"/>
      </w:r>
      <w:r w:rsidRPr="00135386">
        <w:rPr>
          <w:rFonts w:ascii="Verdana" w:eastAsia="Times New Roman" w:hAnsi="Verdana" w:cs="Arial"/>
          <w:sz w:val="21"/>
          <w:szCs w:val="21"/>
          <w:lang w:val="es-MX"/>
        </w:rPr>
        <w:t>.</w:t>
      </w:r>
    </w:p>
    <w:p w14:paraId="4FC86D25" w14:textId="77777777" w:rsidR="008A5F8D" w:rsidRPr="00135386" w:rsidRDefault="008A5F8D" w:rsidP="008A5F8D">
      <w:pPr>
        <w:spacing w:after="0" w:line="276" w:lineRule="auto"/>
        <w:ind w:left="709" w:right="758"/>
        <w:jc w:val="both"/>
        <w:rPr>
          <w:rFonts w:ascii="Verdana" w:eastAsia="Times New Roman" w:hAnsi="Verdana" w:cs="Arial"/>
          <w:lang w:val="es-MX"/>
        </w:rPr>
      </w:pPr>
    </w:p>
    <w:p w14:paraId="5710016D" w14:textId="77777777" w:rsidR="008A5F8D" w:rsidRPr="00135386" w:rsidRDefault="008A5F8D" w:rsidP="008A5F8D">
      <w:pPr>
        <w:spacing w:after="120" w:line="276" w:lineRule="auto"/>
        <w:ind w:firstLine="708"/>
        <w:jc w:val="both"/>
        <w:rPr>
          <w:rFonts w:ascii="Verdana" w:eastAsia="Times New Roman" w:hAnsi="Verdana" w:cs="Arial"/>
          <w:color w:val="000000"/>
          <w:lang w:val="es-ES_tradnl"/>
        </w:rPr>
      </w:pPr>
      <w:r w:rsidRPr="00135386">
        <w:rPr>
          <w:rFonts w:ascii="Verdana" w:eastAsia="Times New Roman" w:hAnsi="Verdana" w:cs="Arial"/>
          <w:color w:val="000000"/>
          <w:lang w:val="es-ES_tradnl"/>
        </w:rPr>
        <w:t>Así las cosas,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135386">
        <w:rPr>
          <w:rFonts w:ascii="Verdana" w:eastAsia="Times New Roman" w:hAnsi="Verdana" w:cs="Arial"/>
          <w:color w:val="000000"/>
          <w:vertAlign w:val="superscript"/>
          <w:lang w:val="es-ES_tradnl"/>
        </w:rPr>
        <w:footnoteReference w:id="6"/>
      </w:r>
      <w:r w:rsidRPr="00135386">
        <w:rPr>
          <w:rFonts w:ascii="Verdana" w:eastAsia="Times New Roman" w:hAnsi="Verdana" w:cs="Arial"/>
          <w:color w:val="000000"/>
          <w:lang w:val="es-ES_tradnl"/>
        </w:rPr>
        <w:t xml:space="preserve">, así como la probabilidad de que puedan surgir diferencias durante la ejecución del contrato; sin perjuicio de que, como se indicó, todos los contratos estatales de </w:t>
      </w:r>
      <w:r w:rsidRPr="00135386">
        <w:rPr>
          <w:rFonts w:ascii="Verdana" w:eastAsia="Times New Roman" w:hAnsi="Verdana" w:cs="Arial"/>
          <w:i/>
          <w:iCs/>
          <w:color w:val="000000"/>
          <w:lang w:val="es-ES_tradnl"/>
        </w:rPr>
        <w:t>tracto sucesivo</w:t>
      </w:r>
      <w:r w:rsidRPr="00135386">
        <w:rPr>
          <w:rFonts w:ascii="Verdana" w:eastAsia="Times New Roman" w:hAnsi="Verdana" w:cs="Arial"/>
          <w:color w:val="000000"/>
          <w:lang w:val="es-ES_tradnl"/>
        </w:rPr>
        <w:t xml:space="preserve"> o aquellos cuya ejecución se prolongue en el tiempo siempre deban liquidarse, convirtiéndose en estos contratos en una cláusula de la naturaleza, conforme a la clasificación prevista en el Código Civil.</w:t>
      </w:r>
    </w:p>
    <w:p w14:paraId="1C139C66" w14:textId="77777777" w:rsidR="008A5F8D" w:rsidRPr="00135386" w:rsidRDefault="008A5F8D" w:rsidP="008A5F8D">
      <w:pPr>
        <w:spacing w:after="120" w:line="276" w:lineRule="auto"/>
        <w:ind w:firstLine="708"/>
        <w:jc w:val="both"/>
        <w:rPr>
          <w:rFonts w:ascii="Verdana" w:eastAsia="Times New Roman" w:hAnsi="Verdana" w:cs="Arial"/>
          <w:color w:val="000000"/>
          <w:lang w:val="es-ES"/>
        </w:rPr>
      </w:pPr>
      <w:r w:rsidRPr="00135386">
        <w:rPr>
          <w:rFonts w:ascii="Verdana" w:eastAsia="Times New Roman" w:hAnsi="Verdana" w:cs="Arial"/>
          <w:color w:val="000000"/>
          <w:lang w:val="es-ES"/>
        </w:rPr>
        <w:t>Por su parte, el artículo 11 de la Ley 1150 de 2007 contiene las reglas de tipo procedimental para liquidar los contratos estatales, las cuales se pasan a explicar</w:t>
      </w:r>
      <w:r w:rsidRPr="00135386">
        <w:rPr>
          <w:rFonts w:ascii="Verdana" w:eastAsia="Times New Roman" w:hAnsi="Verdana" w:cs="Arial"/>
          <w:color w:val="000000"/>
          <w:vertAlign w:val="superscript"/>
          <w:lang w:val="es-ES"/>
        </w:rPr>
        <w:footnoteReference w:id="7"/>
      </w:r>
      <w:r w:rsidRPr="00135386">
        <w:rPr>
          <w:rFonts w:ascii="Verdana" w:eastAsia="Times New Roman" w:hAnsi="Verdana" w:cs="Arial"/>
          <w:color w:val="000000"/>
          <w:lang w:val="es-ES"/>
        </w:rPr>
        <w:t>. En primer lugar, en ejercicio de la autonomía de la voluntad y de conformidad con los criterios de la naturaleza, objeto y plazo del contrato, la entidad puede definir en el pliego de condiciones o en el contrato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3763BAD0" w14:textId="77777777" w:rsidR="008A5F8D" w:rsidRPr="00135386" w:rsidRDefault="008A5F8D" w:rsidP="008A5F8D">
      <w:pPr>
        <w:spacing w:after="120" w:line="276" w:lineRule="auto"/>
        <w:ind w:firstLine="709"/>
        <w:jc w:val="both"/>
        <w:rPr>
          <w:rFonts w:ascii="Verdana" w:eastAsia="Times New Roman" w:hAnsi="Verdana" w:cs="Arial"/>
          <w:lang w:val="es-ES_tradnl" w:eastAsia="es-ES_tradnl"/>
        </w:rPr>
      </w:pPr>
      <w:r w:rsidRPr="00135386">
        <w:rPr>
          <w:rFonts w:ascii="Verdana" w:eastAsia="Times New Roman" w:hAnsi="Verdana" w:cs="Arial"/>
          <w:szCs w:val="24"/>
          <w:lang w:val="es-ES_tradnl" w:eastAsia="es-ES_tradnl"/>
        </w:rPr>
        <w:t>El artículo 11 de la Ley 1150 de 2007 señala que la liquidación de mutuo acuerdo deberá realizar dentro del plazo previsto en “</w:t>
      </w:r>
      <w:r w:rsidRPr="00135386">
        <w:rPr>
          <w:rFonts w:ascii="Verdana" w:eastAsia="Times New Roman" w:hAnsi="Verdana" w:cs="Arial"/>
          <w:lang w:val="es-ES_tradnl" w:eastAsia="es-ES_tradnl"/>
        </w:rPr>
        <w:t xml:space="preserve">los pliegos de condiciones o sus equivalentes, o dentro del que acuerden las partes para el efecto”. Para </w:t>
      </w:r>
      <w:r w:rsidRPr="00135386">
        <w:rPr>
          <w:rFonts w:ascii="Verdana" w:eastAsia="Times New Roman" w:hAnsi="Verdana" w:cs="Arial"/>
          <w:lang w:val="es-ES_tradnl" w:eastAsia="es-ES_tradnl"/>
        </w:rPr>
        <w:lastRenderedPageBreak/>
        <w:t>dilucidar a qué se refiere la norma con “equivalentes” resulta necesario tener presente que el pliego de condiciones es un documento contentivo de las reglas aplicables a un determinado proceso de selección, que “</w:t>
      </w:r>
      <w:r w:rsidRPr="00135386">
        <w:rPr>
          <w:rFonts w:ascii="Verdana" w:eastAsia="Times New Roman" w:hAnsi="Verdana" w:cs="Arial"/>
          <w:szCs w:val="24"/>
          <w:lang w:val="es-ES_tradnl" w:eastAsia="es-ES_tradnl"/>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135386">
        <w:rPr>
          <w:rFonts w:ascii="Verdana" w:eastAsia="Times New Roman" w:hAnsi="Verdana" w:cs="Arial"/>
          <w:lang w:val="es-ES_tradnl" w:eastAsia="es-ES_tradnl"/>
        </w:rPr>
        <w:t>] constituye la ley tanto del procedimiento administrativo de selección del contratista, como del contrato a</w:t>
      </w:r>
      <w:r w:rsidRPr="00135386">
        <w:rPr>
          <w:rFonts w:ascii="Verdana" w:eastAsia="Times New Roman" w:hAnsi="Verdana" w:cs="Arial"/>
          <w:spacing w:val="-7"/>
          <w:lang w:val="es-ES_tradnl" w:eastAsia="es-ES_tradnl"/>
        </w:rPr>
        <w:t xml:space="preserve"> </w:t>
      </w:r>
      <w:r w:rsidRPr="00135386">
        <w:rPr>
          <w:rFonts w:ascii="Verdana" w:eastAsia="Times New Roman" w:hAnsi="Verdana" w:cs="Arial"/>
          <w:lang w:val="es-ES_tradnl" w:eastAsia="es-ES_tradnl"/>
        </w:rPr>
        <w:t>celebrar”</w:t>
      </w:r>
      <w:r w:rsidRPr="00135386">
        <w:rPr>
          <w:rFonts w:ascii="Verdana" w:eastAsia="Times New Roman" w:hAnsi="Verdana" w:cs="Arial"/>
          <w:vertAlign w:val="superscript"/>
          <w:lang w:val="es-ES_tradnl" w:eastAsia="es-ES_tradnl"/>
        </w:rPr>
        <w:footnoteReference w:id="8"/>
      </w:r>
      <w:r w:rsidRPr="00135386">
        <w:rPr>
          <w:rFonts w:ascii="Verdana" w:eastAsia="Times New Roman" w:hAnsi="Verdana" w:cs="Arial"/>
          <w:lang w:val="es-ES_tradnl" w:eastAsia="es-ES_tradnl"/>
        </w:rPr>
        <w:t>. A partir de tales características debe determinarse la equivalencia de un documento con un pliego de condiciones, la cual puede ejemplificarse claramente con la invitación a participar en los procesos de mínima cuantía</w:t>
      </w:r>
      <w:r w:rsidRPr="00135386">
        <w:rPr>
          <w:rFonts w:ascii="Verdana" w:eastAsia="Times New Roman" w:hAnsi="Verdana" w:cs="Arial"/>
          <w:vertAlign w:val="superscript"/>
          <w:lang w:val="es-ES_tradnl" w:eastAsia="es-ES_tradnl"/>
        </w:rPr>
        <w:footnoteReference w:id="9"/>
      </w:r>
      <w:r w:rsidRPr="00135386">
        <w:rPr>
          <w:rFonts w:ascii="Verdana" w:eastAsia="Times New Roman" w:hAnsi="Verdana" w:cs="Arial"/>
          <w:lang w:val="es-ES_tradnl" w:eastAsia="es-ES_tradnl"/>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r w:rsidRPr="00135386">
        <w:rPr>
          <w:rFonts w:ascii="Verdana" w:eastAsia="Times New Roman" w:hAnsi="Verdana" w:cs="Arial"/>
          <w:i/>
          <w:iCs/>
          <w:lang w:val="es-ES_tradnl" w:eastAsia="es-ES_tradnl"/>
        </w:rPr>
        <w:t>ibidem</w:t>
      </w:r>
      <w:r w:rsidRPr="00135386">
        <w:rPr>
          <w:rFonts w:ascii="Verdana" w:eastAsia="Times New Roman" w:hAnsi="Verdana" w:cs="Arial"/>
          <w:lang w:val="es-ES_tradnl" w:eastAsia="es-ES_tradnl"/>
        </w:rPr>
        <w:t xml:space="preserve">, dentro del cual es viable establecer el plazo para la liquidación de mutuo acuerdo. </w:t>
      </w:r>
    </w:p>
    <w:p w14:paraId="08029B87" w14:textId="77777777" w:rsidR="008A5F8D" w:rsidRPr="00135386" w:rsidRDefault="008A5F8D" w:rsidP="008A5F8D">
      <w:pPr>
        <w:spacing w:after="120" w:line="276" w:lineRule="auto"/>
        <w:ind w:firstLine="709"/>
        <w:jc w:val="both"/>
        <w:rPr>
          <w:rFonts w:ascii="Verdana" w:eastAsia="Times New Roman" w:hAnsi="Verdana" w:cs="Arial"/>
          <w:lang w:val="es-ES" w:eastAsia="es-ES"/>
        </w:rPr>
      </w:pPr>
      <w:r w:rsidRPr="00135386">
        <w:rPr>
          <w:rFonts w:ascii="Verdana" w:eastAsia="Times New Roman" w:hAnsi="Verdana" w:cs="Arial"/>
          <w:lang w:val="es-ES" w:eastAsia="es-ES"/>
        </w:rPr>
        <w:t>De otra parte, cuando el artículo 11 de la Ley 1150 de 2007 hace referencia al término que “acuerden las partes” para efectos de la liquidación de mutuo acuerdo, claramente, está habilitando a las partes para que, en ejercicio de la autonomía de la voluntad que les asiste, prevean, de común acuerdo, un plazo para la liquidación bilateral, el cual, en principio, debe estar recogido en el contrato, al ser este el acto jurídico bilateral en el que se consigna originalmente la voluntad de las partes. Sin embargo, cabe la posibilidad de que en el contrato inicialmente suscrito no se haya previsto un acuerdo para la liquidación bilateral. Este hecho no impide que, en el marco de la ejecución del contrato, las partes acuerden fijar el referido plazo; acuerdo que, en tanto significa una alteración de las reglas que orientan la relación contractual, implica una modificación del contrato. Por tal razón, su celebración debe cumplir con los requisitos del negocio jurídico, ameritando la concurrencia de capacidad jurídica de los agentes, un consentimiento libre de vicios, un objeto y causa lícita, así como la formalidad escrita requerida en materia de contratación estatal</w:t>
      </w:r>
      <w:r w:rsidRPr="00135386">
        <w:rPr>
          <w:rFonts w:ascii="Verdana" w:eastAsia="Times New Roman" w:hAnsi="Verdana" w:cs="Arial"/>
          <w:vertAlign w:val="superscript"/>
          <w:lang w:val="es-ES" w:eastAsia="es-ES"/>
        </w:rPr>
        <w:footnoteReference w:id="10"/>
      </w:r>
      <w:r w:rsidRPr="00135386">
        <w:rPr>
          <w:rFonts w:ascii="Verdana" w:eastAsia="Times New Roman" w:hAnsi="Verdana" w:cs="Arial"/>
          <w:lang w:val="es-ES" w:eastAsia="es-ES"/>
        </w:rPr>
        <w:t xml:space="preserve">. </w:t>
      </w:r>
    </w:p>
    <w:p w14:paraId="671534FA" w14:textId="77777777" w:rsidR="008A5F8D" w:rsidRPr="00135386" w:rsidRDefault="008A5F8D" w:rsidP="008A5F8D">
      <w:pPr>
        <w:spacing w:after="120" w:line="276" w:lineRule="auto"/>
        <w:ind w:firstLine="709"/>
        <w:jc w:val="both"/>
        <w:rPr>
          <w:rFonts w:ascii="Verdana" w:eastAsia="Times New Roman" w:hAnsi="Verdana" w:cs="Arial"/>
          <w:lang w:val="es-ES"/>
        </w:rPr>
      </w:pPr>
      <w:r w:rsidRPr="00135386">
        <w:rPr>
          <w:rFonts w:ascii="Verdana" w:eastAsia="Times New Roman" w:hAnsi="Verdana" w:cs="Arial"/>
          <w:lang w:val="es-ES"/>
        </w:rPr>
        <w:lastRenderedPageBreak/>
        <w:t>Ahora bien, 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135386">
        <w:rPr>
          <w:rFonts w:ascii="Verdana" w:eastAsia="Times New Roman" w:hAnsi="Verdana" w:cs="Arial"/>
          <w:vertAlign w:val="superscript"/>
          <w:lang w:val="es-ES"/>
        </w:rPr>
        <w:footnoteReference w:id="11"/>
      </w:r>
      <w:r w:rsidRPr="00135386">
        <w:rPr>
          <w:rFonts w:ascii="Verdana" w:eastAsia="Times New Roman" w:hAnsi="Verdana" w:cs="Arial"/>
          <w:lang w:val="es-ES"/>
        </w:rPr>
        <w:t>, lo cual implica que las mismas se desarrollen en procura de la economía y la celeridad</w:t>
      </w:r>
      <w:r w:rsidRPr="00135386">
        <w:rPr>
          <w:rFonts w:ascii="Verdana" w:eastAsia="Times New Roman" w:hAnsi="Verdana" w:cs="Arial"/>
          <w:vertAlign w:val="superscript"/>
          <w:lang w:val="es-ES"/>
        </w:rPr>
        <w:footnoteReference w:id="12"/>
      </w:r>
      <w:r w:rsidRPr="00135386">
        <w:rPr>
          <w:rFonts w:ascii="Verdana" w:eastAsia="Times New Roman" w:hAnsi="Verdana" w:cs="Arial"/>
          <w:lang w:val="es-ES"/>
        </w:rPr>
        <w:t>. Esto significa que, en ejercicio de la facultad que les asiste para fijar el plazo para la liquidación bilateral, las partes deben actuar en garantía de estos principios, por lo que el término que se acuerde debe fijarse de manera razonable.</w:t>
      </w:r>
    </w:p>
    <w:p w14:paraId="339E37BC" w14:textId="77777777" w:rsidR="008A5F8D" w:rsidRPr="00135386" w:rsidRDefault="008A5F8D" w:rsidP="008A5F8D">
      <w:pPr>
        <w:spacing w:after="120" w:line="276" w:lineRule="auto"/>
        <w:ind w:firstLine="709"/>
        <w:jc w:val="both"/>
        <w:rPr>
          <w:rFonts w:ascii="Verdana" w:eastAsia="Times New Roman" w:hAnsi="Verdana" w:cs="Arial"/>
          <w:color w:val="000000"/>
          <w:lang w:val="es-ES_tradnl"/>
        </w:rPr>
      </w:pPr>
      <w:r w:rsidRPr="00135386">
        <w:rPr>
          <w:rFonts w:ascii="Verdana" w:eastAsia="Times New Roman" w:hAnsi="Verdana" w:cs="Arial"/>
          <w:color w:val="000000"/>
          <w:lang w:val="es-ES_tradnl"/>
        </w:rPr>
        <w:t>Durante este término, el contratista puede solicitar que se adelante el trámite de liquidación. Sin embargo, es responsabilidad de la entidad estatal convocarlo para adelantar la liquidación de común acuerdo o notificarlo para que se presente a realizarla</w:t>
      </w:r>
      <w:r w:rsidRPr="00135386">
        <w:rPr>
          <w:rFonts w:ascii="Verdana" w:eastAsia="Times New Roman" w:hAnsi="Verdana" w:cs="Arial"/>
          <w:color w:val="000000"/>
          <w:vertAlign w:val="superscript"/>
          <w:lang w:val="es-ES_tradnl"/>
        </w:rPr>
        <w:footnoteReference w:id="13"/>
      </w:r>
      <w:r w:rsidRPr="00135386">
        <w:rPr>
          <w:rFonts w:ascii="Verdana" w:eastAsia="Times New Roman" w:hAnsi="Verdana" w:cs="Arial"/>
          <w:color w:val="000000"/>
          <w:lang w:val="es-ES_tradnl"/>
        </w:rPr>
        <w:t>, de manera que el contrato pueda liquidarse bilateralmente, bien sea en el plazo previsto en el pliego de condiciones, el acordado por las partes, o el supletivo de cuatro meses señalado en la ley, según corresponda. Esta liquidación bilateral puede ser total o parcial</w:t>
      </w:r>
      <w:r w:rsidRPr="00135386">
        <w:rPr>
          <w:rFonts w:ascii="Verdana" w:eastAsia="Times New Roman" w:hAnsi="Verdana" w:cs="Arial"/>
          <w:iCs/>
          <w:color w:val="000000"/>
          <w:vertAlign w:val="superscript"/>
          <w:lang w:val="es-ES_tradnl"/>
        </w:rPr>
        <w:footnoteReference w:id="14"/>
      </w:r>
      <w:r w:rsidRPr="00135386">
        <w:rPr>
          <w:rFonts w:ascii="Verdana" w:eastAsia="Times New Roman" w:hAnsi="Verdana" w:cs="Arial"/>
          <w:color w:val="000000"/>
          <w:lang w:val="es-ES_tradnl"/>
        </w:rPr>
        <w:t xml:space="preserve">, y </w:t>
      </w:r>
      <w:r w:rsidRPr="00135386">
        <w:rPr>
          <w:rFonts w:ascii="Verdana" w:eastAsia="Times New Roman" w:hAnsi="Verdana" w:cs="Arial"/>
          <w:iCs/>
          <w:color w:val="000000"/>
          <w:lang w:val="es-ES_tradnl"/>
        </w:rPr>
        <w:t>el documento que la contiene presta mérito ejecutivo, siempre que se satisfagan los elementos para considerarlo como tal</w:t>
      </w:r>
      <w:r w:rsidRPr="00135386">
        <w:rPr>
          <w:rFonts w:ascii="Verdana" w:eastAsia="Times New Roman" w:hAnsi="Verdana" w:cs="Arial"/>
          <w:color w:val="000000"/>
          <w:lang w:val="es-ES_tradnl"/>
        </w:rPr>
        <w:t>.</w:t>
      </w:r>
    </w:p>
    <w:p w14:paraId="57CCE3C3" w14:textId="77777777" w:rsidR="008A5F8D" w:rsidRPr="00135386" w:rsidRDefault="008A5F8D" w:rsidP="008A5F8D">
      <w:pPr>
        <w:spacing w:after="0" w:line="276" w:lineRule="auto"/>
        <w:ind w:firstLine="705"/>
        <w:jc w:val="both"/>
        <w:rPr>
          <w:rFonts w:ascii="Verdana" w:eastAsia="Times New Roman" w:hAnsi="Verdana" w:cs="Arial"/>
          <w:color w:val="000000"/>
          <w:lang w:eastAsia="es-ES_tradnl"/>
        </w:rPr>
      </w:pPr>
      <w:r w:rsidRPr="00135386">
        <w:rPr>
          <w:rFonts w:ascii="Verdana" w:eastAsia="Times New Roman" w:hAnsi="Verdana" w:cs="Arial"/>
          <w:color w:val="000000"/>
          <w:bdr w:val="none" w:sz="0" w:space="0" w:color="auto" w:frame="1"/>
          <w:shd w:val="clear" w:color="auto" w:fill="FFFFFF"/>
          <w:lang w:val="es-ES" w:eastAsia="es-ES_tradnl"/>
        </w:rPr>
        <w:t xml:space="preserve">Si no es posible efectuar la liquidación de manera bilateral, el ordenamiento jurídico prevé una facultad, de carácter subsidiario, para que la Entidad Estatal realice la liquidación unilateralmente. En relación con este aspecto, la </w:t>
      </w:r>
      <w:r w:rsidRPr="00135386">
        <w:rPr>
          <w:rFonts w:ascii="Verdana" w:eastAsia="Times New Roman" w:hAnsi="Verdana" w:cs="Arial"/>
          <w:color w:val="000000"/>
          <w:bdr w:val="none" w:sz="0" w:space="0" w:color="auto" w:frame="1"/>
          <w:shd w:val="clear" w:color="auto" w:fill="FFFFFF"/>
          <w:lang w:val="es-MX" w:eastAsia="es-ES_tradnl"/>
        </w:rPr>
        <w:t xml:space="preserve">Sala de Consulta y Servicio Civil del </w:t>
      </w:r>
      <w:r w:rsidRPr="00135386">
        <w:rPr>
          <w:rFonts w:ascii="Verdana" w:eastAsia="Times New Roman" w:hAnsi="Verdana" w:cs="Arial"/>
          <w:color w:val="000000"/>
          <w:bdr w:val="none" w:sz="0" w:space="0" w:color="auto" w:frame="1"/>
          <w:shd w:val="clear" w:color="auto" w:fill="FFFFFF"/>
          <w:lang w:val="es-ES" w:eastAsia="es-ES_tradnl"/>
        </w:rPr>
        <w:t>Consejo de Estado</w:t>
      </w:r>
      <w:r w:rsidRPr="00135386">
        <w:rPr>
          <w:rFonts w:ascii="Verdana" w:eastAsia="Times New Roman" w:hAnsi="Verdana" w:cs="Arial"/>
          <w:color w:val="000000"/>
          <w:bdr w:val="none" w:sz="0" w:space="0" w:color="auto" w:frame="1"/>
          <w:shd w:val="clear" w:color="auto" w:fill="FFFFFF"/>
          <w:lang w:val="es-MX" w:eastAsia="es-ES_tradnl"/>
        </w:rPr>
        <w:t>, en concepto del 28 de junio de 2016, manifestó que:  </w:t>
      </w:r>
    </w:p>
    <w:p w14:paraId="6A4AA015" w14:textId="77777777" w:rsidR="008A5F8D" w:rsidRPr="00135386" w:rsidRDefault="008A5F8D" w:rsidP="008A5F8D">
      <w:pPr>
        <w:spacing w:after="0" w:line="276" w:lineRule="auto"/>
        <w:ind w:left="705" w:right="750"/>
        <w:jc w:val="both"/>
        <w:rPr>
          <w:rFonts w:ascii="Verdana" w:eastAsia="Times New Roman" w:hAnsi="Verdana" w:cs="Arial"/>
          <w:color w:val="000000"/>
          <w:lang w:eastAsia="es-ES_tradnl"/>
        </w:rPr>
      </w:pPr>
    </w:p>
    <w:p w14:paraId="4BEC2337" w14:textId="77777777" w:rsidR="008A5F8D" w:rsidRPr="00135386" w:rsidRDefault="008A5F8D" w:rsidP="008A5F8D">
      <w:pPr>
        <w:spacing w:after="0" w:line="240" w:lineRule="auto"/>
        <w:ind w:left="705" w:right="750"/>
        <w:jc w:val="both"/>
        <w:rPr>
          <w:rFonts w:ascii="Verdana" w:eastAsia="Times New Roman" w:hAnsi="Verdana" w:cs="Arial"/>
          <w:color w:val="000000"/>
          <w:sz w:val="21"/>
          <w:szCs w:val="21"/>
          <w:lang w:eastAsia="es-ES_tradnl"/>
        </w:rPr>
      </w:pPr>
      <w:r w:rsidRPr="00135386">
        <w:rPr>
          <w:rFonts w:ascii="Verdana" w:eastAsia="Times New Roman" w:hAnsi="Verdana" w:cs="Arial"/>
          <w:i/>
          <w:iCs/>
          <w:sz w:val="21"/>
          <w:szCs w:val="21"/>
          <w:lang w:val="es-ES_tradnl" w:eastAsia="es-ES_tradnl"/>
        </w:rPr>
        <w:t>“</w:t>
      </w:r>
      <w:r w:rsidRPr="00135386">
        <w:rPr>
          <w:rFonts w:ascii="Verdana" w:eastAsia="Times New Roman" w:hAnsi="Verdana" w:cs="Arial"/>
          <w:color w:val="000000"/>
          <w:sz w:val="21"/>
          <w:szCs w:val="21"/>
          <w:lang w:val="es-ES" w:eastAsia="es-ES_tradnl"/>
        </w:rPr>
        <w:t>[</w:t>
      </w:r>
      <w:r w:rsidRPr="00135386">
        <w:rPr>
          <w:rFonts w:ascii="Verdana" w:eastAsia="Times New Roman" w:hAnsi="Verdana" w:cs="Arial"/>
          <w:color w:val="000000"/>
          <w:sz w:val="21"/>
          <w:szCs w:val="21"/>
          <w:bdr w:val="none" w:sz="0" w:space="0" w:color="auto" w:frame="1"/>
          <w:shd w:val="clear" w:color="auto" w:fill="FFFFFF"/>
          <w:lang w:eastAsia="es-ES_tradnl"/>
        </w:rPr>
        <w:t>…]</w:t>
      </w:r>
      <w:r w:rsidRPr="00135386">
        <w:rPr>
          <w:rFonts w:ascii="Verdana" w:eastAsia="Times New Roman" w:hAnsi="Verdana" w:cs="Arial"/>
          <w:color w:val="000000"/>
          <w:sz w:val="21"/>
          <w:szCs w:val="21"/>
          <w:bdr w:val="none" w:sz="0" w:space="0" w:color="auto" w:frame="1"/>
          <w:shd w:val="clear" w:color="auto" w:fill="FFFFFF"/>
          <w:lang w:val="es-ES" w:eastAsia="es-ES_tradnl"/>
        </w:rPr>
        <w:t>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135386">
        <w:rPr>
          <w:rFonts w:ascii="Verdana" w:eastAsia="Times New Roman" w:hAnsi="Verdana" w:cs="Arial"/>
          <w:color w:val="000000"/>
          <w:sz w:val="21"/>
          <w:szCs w:val="21"/>
          <w:bdr w:val="none" w:sz="0" w:space="0" w:color="auto" w:frame="1"/>
          <w:shd w:val="clear" w:color="auto" w:fill="FFFFFF"/>
          <w:vertAlign w:val="superscript"/>
          <w:lang w:val="es-MX" w:eastAsia="es-ES_tradnl"/>
        </w:rPr>
        <w:footnoteReference w:id="15"/>
      </w:r>
      <w:r w:rsidRPr="00135386">
        <w:rPr>
          <w:rFonts w:ascii="Verdana" w:eastAsia="Times New Roman" w:hAnsi="Verdana" w:cs="Arial"/>
          <w:color w:val="000000"/>
          <w:sz w:val="21"/>
          <w:szCs w:val="21"/>
          <w:bdr w:val="none" w:sz="0" w:space="0" w:color="auto" w:frame="1"/>
          <w:shd w:val="clear" w:color="auto" w:fill="FFFFFF"/>
          <w:lang w:val="es-ES" w:eastAsia="es-ES_tradnl"/>
        </w:rPr>
        <w:t>. </w:t>
      </w:r>
      <w:r w:rsidRPr="00135386">
        <w:rPr>
          <w:rFonts w:ascii="Verdana" w:eastAsia="Times New Roman" w:hAnsi="Verdana" w:cs="Arial"/>
          <w:color w:val="000000"/>
          <w:sz w:val="21"/>
          <w:szCs w:val="21"/>
          <w:bdr w:val="none" w:sz="0" w:space="0" w:color="auto" w:frame="1"/>
          <w:shd w:val="clear" w:color="auto" w:fill="FFFFFF"/>
          <w:lang w:eastAsia="es-ES_tradnl"/>
        </w:rPr>
        <w:t>  </w:t>
      </w:r>
    </w:p>
    <w:p w14:paraId="3D0FC9CD" w14:textId="77777777" w:rsidR="008A5F8D" w:rsidRPr="00135386" w:rsidRDefault="008A5F8D" w:rsidP="008A5F8D">
      <w:pPr>
        <w:spacing w:after="0" w:line="276" w:lineRule="auto"/>
        <w:ind w:left="705" w:right="750"/>
        <w:jc w:val="both"/>
        <w:rPr>
          <w:rFonts w:ascii="Verdana" w:eastAsia="Times New Roman" w:hAnsi="Verdana" w:cs="Arial"/>
          <w:color w:val="000000"/>
          <w:lang w:eastAsia="es-ES_tradnl"/>
        </w:rPr>
      </w:pPr>
    </w:p>
    <w:p w14:paraId="21BD88A1" w14:textId="77777777" w:rsidR="008A5F8D" w:rsidRPr="00135386" w:rsidRDefault="008A5F8D" w:rsidP="008A5F8D">
      <w:pPr>
        <w:spacing w:after="120" w:line="276" w:lineRule="auto"/>
        <w:ind w:firstLine="705"/>
        <w:jc w:val="both"/>
        <w:rPr>
          <w:rFonts w:ascii="Verdana" w:eastAsia="Times New Roman" w:hAnsi="Verdana" w:cs="Arial"/>
          <w:color w:val="000000"/>
          <w:lang w:eastAsia="es-ES_tradnl"/>
        </w:rPr>
      </w:pPr>
      <w:bookmarkStart w:id="8" w:name="_Hlk141851266"/>
      <w:r w:rsidRPr="00135386">
        <w:rPr>
          <w:rFonts w:ascii="Verdana" w:eastAsia="Times New Roman" w:hAnsi="Verdana" w:cs="Arial"/>
          <w:color w:val="000000"/>
          <w:bdr w:val="none" w:sz="0" w:space="0" w:color="auto" w:frame="1"/>
          <w:shd w:val="clear" w:color="auto" w:fill="FFFFFF"/>
          <w:lang w:val="es-ES" w:eastAsia="es-ES_tradnl"/>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14:paraId="7F2F4314" w14:textId="77777777" w:rsidR="008A5F8D" w:rsidRPr="00135386" w:rsidRDefault="008A5F8D" w:rsidP="008A5F8D">
      <w:pPr>
        <w:spacing w:after="0" w:line="276" w:lineRule="auto"/>
        <w:ind w:firstLine="705"/>
        <w:jc w:val="both"/>
        <w:rPr>
          <w:rFonts w:ascii="Verdana" w:eastAsia="Times New Roman" w:hAnsi="Verdana" w:cs="Arial"/>
          <w:color w:val="000000"/>
          <w:bdr w:val="none" w:sz="0" w:space="0" w:color="auto" w:frame="1"/>
          <w:shd w:val="clear" w:color="auto" w:fill="FFFFFF"/>
          <w:lang w:eastAsia="es-ES_tradnl"/>
        </w:rPr>
      </w:pPr>
      <w:r w:rsidRPr="00135386">
        <w:rPr>
          <w:rFonts w:ascii="Verdana" w:eastAsia="Times New Roman" w:hAnsi="Verdana" w:cs="Arial"/>
          <w:color w:val="000000"/>
          <w:bdr w:val="none" w:sz="0" w:space="0" w:color="auto" w:frame="1"/>
          <w:shd w:val="clear" w:color="auto" w:fill="FFFFFF"/>
          <w:lang w:val="es-ES" w:eastAsia="es-ES_tradnl"/>
        </w:rPr>
        <w:t xml:space="preserve">Finalmente, transcurridos estos meses, la liquidación podrá ser realizada en cualquier tiempo dentro de los dos años siguientes al vencimiento del término referido, de mutuo acuerdo o unilateralmente, salvo que el contratista haya presentado la demanda con la cual pretenda la liquidación judicial del contrato. De esta manera, durante estos dos años la liquidación podrá hacerse de mutuo acuerdo, unilateralmente por la entidad, o podrá ser solicitada judicialmente por el interesado. </w:t>
      </w:r>
      <w:bookmarkEnd w:id="8"/>
      <w:r w:rsidRPr="00135386">
        <w:rPr>
          <w:rFonts w:ascii="Verdana" w:eastAsia="Times New Roman" w:hAnsi="Verdana" w:cs="Arial"/>
          <w:color w:val="000000"/>
          <w:bdr w:val="none" w:sz="0" w:space="0" w:color="auto" w:frame="1"/>
          <w:shd w:val="clear" w:color="auto" w:fill="FFFFFF"/>
          <w:lang w:val="es-ES" w:eastAsia="es-ES_tradnl"/>
        </w:rPr>
        <w:t xml:space="preserve">En este sentido, en decisión de unificación de la </w:t>
      </w:r>
      <w:r w:rsidRPr="00135386">
        <w:rPr>
          <w:rFonts w:ascii="Verdana" w:eastAsia="Times New Roman" w:hAnsi="Verdana" w:cs="Arial"/>
          <w:color w:val="000000"/>
          <w:bdr w:val="none" w:sz="0" w:space="0" w:color="auto" w:frame="1"/>
          <w:shd w:val="clear" w:color="auto" w:fill="FFFFFF"/>
          <w:lang w:val="es-MX" w:eastAsia="es-ES_tradnl"/>
        </w:rPr>
        <w:t>Sección Tercera</w:t>
      </w:r>
      <w:r w:rsidRPr="00135386">
        <w:rPr>
          <w:rFonts w:ascii="Verdana" w:eastAsia="Times New Roman" w:hAnsi="Verdana" w:cs="Arial"/>
          <w:color w:val="000000"/>
          <w:bdr w:val="none" w:sz="0" w:space="0" w:color="auto" w:frame="1"/>
          <w:shd w:val="clear" w:color="auto" w:fill="FFFFFF"/>
          <w:lang w:val="es-ES" w:eastAsia="es-ES_tradnl"/>
        </w:rPr>
        <w:t xml:space="preserve"> del Consejo de Estado del</w:t>
      </w:r>
      <w:r w:rsidRPr="00135386">
        <w:rPr>
          <w:rFonts w:ascii="Verdana" w:eastAsia="Times New Roman" w:hAnsi="Verdana" w:cs="Arial"/>
          <w:color w:val="000000"/>
          <w:bdr w:val="none" w:sz="0" w:space="0" w:color="auto" w:frame="1"/>
          <w:shd w:val="clear" w:color="auto" w:fill="FFFFFF"/>
          <w:lang w:val="es-MX" w:eastAsia="es-ES_tradnl"/>
        </w:rPr>
        <w:t> </w:t>
      </w:r>
      <w:r w:rsidRPr="00135386">
        <w:rPr>
          <w:rFonts w:ascii="Verdana" w:eastAsia="Times New Roman" w:hAnsi="Verdana" w:cs="Arial"/>
          <w:color w:val="000000"/>
          <w:bdr w:val="none" w:sz="0" w:space="0" w:color="auto" w:frame="1"/>
          <w:shd w:val="clear" w:color="auto" w:fill="FFFFFF"/>
          <w:lang w:eastAsia="es-ES_tradnl"/>
        </w:rPr>
        <w:t>1 de agosto de 2019, se expresó: </w:t>
      </w:r>
    </w:p>
    <w:p w14:paraId="532D581E" w14:textId="77777777" w:rsidR="008A5F8D" w:rsidRPr="00135386" w:rsidRDefault="008A5F8D" w:rsidP="008A5F8D">
      <w:pPr>
        <w:spacing w:after="0" w:line="276" w:lineRule="auto"/>
        <w:ind w:firstLine="705"/>
        <w:jc w:val="both"/>
        <w:rPr>
          <w:rFonts w:ascii="Verdana" w:eastAsia="Times New Roman" w:hAnsi="Verdana" w:cs="Arial"/>
          <w:color w:val="000000"/>
          <w:lang w:eastAsia="es-ES_tradnl"/>
        </w:rPr>
      </w:pPr>
    </w:p>
    <w:p w14:paraId="0D9A4880" w14:textId="77777777" w:rsidR="008A5F8D" w:rsidRPr="00135386" w:rsidRDefault="008A5F8D" w:rsidP="008A5F8D">
      <w:pPr>
        <w:spacing w:after="0" w:line="240" w:lineRule="auto"/>
        <w:ind w:left="705" w:right="750"/>
        <w:jc w:val="both"/>
        <w:rPr>
          <w:rFonts w:ascii="Verdana" w:eastAsia="Times New Roman" w:hAnsi="Verdana" w:cs="Arial"/>
          <w:color w:val="000000"/>
          <w:sz w:val="21"/>
          <w:szCs w:val="21"/>
          <w:lang w:eastAsia="es-ES_tradnl"/>
        </w:rPr>
      </w:pPr>
      <w:r w:rsidRPr="00135386">
        <w:rPr>
          <w:rFonts w:ascii="Verdana" w:eastAsia="Times New Roman" w:hAnsi="Verdana" w:cs="Arial"/>
          <w:sz w:val="21"/>
          <w:szCs w:val="21"/>
          <w:lang w:val="es-ES_tradnl" w:eastAsia="es-ES_tradnl"/>
        </w:rPr>
        <w:t>“</w:t>
      </w:r>
      <w:r w:rsidRPr="00135386">
        <w:rPr>
          <w:rFonts w:ascii="Verdana" w:eastAsia="Times New Roman" w:hAnsi="Verdana" w:cs="Arial"/>
          <w:color w:val="000000"/>
          <w:sz w:val="21"/>
          <w:szCs w:val="21"/>
          <w:bdr w:val="none" w:sz="0" w:space="0" w:color="auto" w:frame="1"/>
          <w:shd w:val="clear" w:color="auto" w:fill="FFFFFF"/>
          <w:lang w:val="es-ES" w:eastAsia="es-ES_tradnl"/>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Pr="00135386">
        <w:rPr>
          <w:rFonts w:ascii="Verdana" w:eastAsia="Times New Roman" w:hAnsi="Verdana" w:cs="Arial"/>
          <w:sz w:val="21"/>
          <w:szCs w:val="21"/>
          <w:lang w:val="es-ES_tradnl" w:eastAsia="es-ES_tradnl"/>
        </w:rPr>
        <w:t>”</w:t>
      </w:r>
      <w:r w:rsidRPr="00135386">
        <w:rPr>
          <w:rFonts w:ascii="Verdana" w:eastAsia="Times New Roman" w:hAnsi="Verdana" w:cs="Arial"/>
          <w:color w:val="000000"/>
          <w:bdr w:val="none" w:sz="0" w:space="0" w:color="auto" w:frame="1"/>
          <w:shd w:val="clear" w:color="auto" w:fill="FFFFFF"/>
          <w:vertAlign w:val="superscript"/>
          <w:lang w:eastAsia="es-ES_tradnl"/>
        </w:rPr>
        <w:t xml:space="preserve"> </w:t>
      </w:r>
      <w:r w:rsidRPr="00135386">
        <w:rPr>
          <w:rFonts w:ascii="Verdana" w:eastAsia="Times New Roman" w:hAnsi="Verdana" w:cs="Arial"/>
          <w:color w:val="000000"/>
          <w:bdr w:val="none" w:sz="0" w:space="0" w:color="auto" w:frame="1"/>
          <w:shd w:val="clear" w:color="auto" w:fill="FFFFFF"/>
          <w:vertAlign w:val="superscript"/>
          <w:lang w:eastAsia="es-ES_tradnl"/>
        </w:rPr>
        <w:footnoteReference w:id="16"/>
      </w:r>
      <w:r w:rsidRPr="00135386">
        <w:rPr>
          <w:rFonts w:ascii="Verdana" w:eastAsia="Times New Roman" w:hAnsi="Verdana" w:cs="Arial"/>
          <w:sz w:val="21"/>
          <w:szCs w:val="21"/>
          <w:lang w:val="es-ES_tradnl" w:eastAsia="es-ES_tradnl"/>
        </w:rPr>
        <w:t>.</w:t>
      </w:r>
      <w:r w:rsidRPr="00135386">
        <w:rPr>
          <w:rFonts w:ascii="Verdana" w:eastAsia="Times New Roman" w:hAnsi="Verdana" w:cs="Arial"/>
          <w:color w:val="000000"/>
          <w:sz w:val="21"/>
          <w:szCs w:val="21"/>
          <w:bdr w:val="none" w:sz="0" w:space="0" w:color="auto" w:frame="1"/>
          <w:shd w:val="clear" w:color="auto" w:fill="FFFFFF"/>
          <w:lang w:val="es-ES" w:eastAsia="es-ES_tradnl"/>
        </w:rPr>
        <w:t> </w:t>
      </w:r>
    </w:p>
    <w:p w14:paraId="72DC028E" w14:textId="77777777" w:rsidR="008A5F8D" w:rsidRPr="00135386" w:rsidRDefault="008A5F8D" w:rsidP="008A5F8D">
      <w:pPr>
        <w:spacing w:after="0" w:line="276" w:lineRule="auto"/>
        <w:ind w:firstLine="708"/>
        <w:jc w:val="both"/>
        <w:rPr>
          <w:rFonts w:ascii="Verdana" w:eastAsia="Times New Roman" w:hAnsi="Verdana" w:cs="Arial"/>
          <w:color w:val="000000"/>
          <w:lang w:eastAsia="es-ES_tradnl"/>
        </w:rPr>
      </w:pPr>
    </w:p>
    <w:p w14:paraId="7D5AFA4B" w14:textId="77777777" w:rsidR="008A5F8D" w:rsidRPr="00135386" w:rsidRDefault="008A5F8D" w:rsidP="008A5F8D">
      <w:pPr>
        <w:tabs>
          <w:tab w:val="left" w:pos="709"/>
        </w:tabs>
        <w:spacing w:after="120" w:line="276" w:lineRule="auto"/>
        <w:jc w:val="both"/>
        <w:rPr>
          <w:rFonts w:ascii="Verdana" w:eastAsia="Times New Roman" w:hAnsi="Verdana" w:cs="Arial"/>
          <w:color w:val="000000"/>
          <w:bdr w:val="none" w:sz="0" w:space="0" w:color="auto" w:frame="1"/>
          <w:shd w:val="clear" w:color="auto" w:fill="FFFFFF"/>
          <w:lang w:eastAsia="es-ES_tradnl"/>
        </w:rPr>
      </w:pPr>
      <w:r w:rsidRPr="00135386">
        <w:rPr>
          <w:rFonts w:ascii="Verdana" w:eastAsia="Times New Roman" w:hAnsi="Verdana" w:cs="Arial"/>
          <w:color w:val="000000"/>
          <w:bdr w:val="none" w:sz="0" w:space="0" w:color="auto" w:frame="1"/>
          <w:shd w:val="clear" w:color="auto" w:fill="FFFFFF"/>
          <w:lang w:eastAsia="es-ES_tradnl"/>
        </w:rPr>
        <w:lastRenderedPageBreak/>
        <w:tab/>
        <w:t xml:space="preserve">A su turno, la liquidación judicial hace parte de una de las pretensiones que admite el medio de control de controversias contractuales. Al respecto, el artículo 141 de la Ley 1437 de 2011 dispone que “[…] el interesado podrá </w:t>
      </w:r>
      <w:bookmarkStart w:id="9" w:name="_Hlk172560769"/>
      <w:r w:rsidRPr="00135386">
        <w:rPr>
          <w:rFonts w:ascii="Verdana" w:eastAsia="Times New Roman" w:hAnsi="Verdana" w:cs="Arial"/>
          <w:color w:val="000000"/>
          <w:bdr w:val="none" w:sz="0" w:space="0" w:color="auto" w:frame="1"/>
          <w:shd w:val="clear" w:color="auto" w:fill="FFFFFF"/>
          <w:lang w:eastAsia="es-ES_tradnl"/>
        </w:rPr>
        <w:t>solicitar la liquidación judicial</w:t>
      </w:r>
      <w:bookmarkEnd w:id="9"/>
      <w:r w:rsidRPr="00135386">
        <w:rPr>
          <w:rFonts w:ascii="Verdana" w:eastAsia="Times New Roman" w:hAnsi="Verdana" w:cs="Arial"/>
          <w:color w:val="000000"/>
          <w:bdr w:val="none" w:sz="0" w:space="0" w:color="auto" w:frame="1"/>
          <w:shd w:val="clear" w:color="auto" w:fill="FFFFFF"/>
          <w:lang w:eastAsia="es-ES_tradnl"/>
        </w:rPr>
        <w:t xml:space="preserve"> del contrato cuando esta no se haya logrado de mutuo acuerdo y la entidad estatal no lo haya liquidado unilateralmente dentro de los dos (2) meses siguientes al vencimiento del plazo convenido para liquidar de mutuo acuerdo o, en su defecto, del término establecido por la ley”. Bajo esta perspectiva, para la entidad cesa la facultad de liquidar bilateral o unilateralmente, ya que el tema pasa de la administración a la jurisdicción.</w:t>
      </w:r>
    </w:p>
    <w:p w14:paraId="26410110" w14:textId="38BE3D44" w:rsidR="008A5F8D" w:rsidRPr="00135386" w:rsidRDefault="008A5F8D" w:rsidP="008A5F8D">
      <w:pPr>
        <w:tabs>
          <w:tab w:val="left" w:pos="709"/>
        </w:tabs>
        <w:spacing w:after="0" w:line="276" w:lineRule="auto"/>
        <w:jc w:val="both"/>
        <w:rPr>
          <w:rFonts w:ascii="Verdana" w:eastAsia="Times New Roman" w:hAnsi="Verdana" w:cs="Times New Roman"/>
        </w:rPr>
      </w:pPr>
      <w:r w:rsidRPr="00135386">
        <w:rPr>
          <w:rFonts w:ascii="Verdana" w:eastAsia="Times New Roman" w:hAnsi="Verdana" w:cs="Arial"/>
          <w:color w:val="000000"/>
          <w:bdr w:val="none" w:sz="0" w:space="0" w:color="auto" w:frame="1"/>
          <w:shd w:val="clear" w:color="auto" w:fill="FFFFFF"/>
          <w:lang w:eastAsia="es-ES_tradnl"/>
        </w:rPr>
        <w:tab/>
      </w:r>
      <w:r>
        <w:rPr>
          <w:rFonts w:ascii="Verdana" w:eastAsia="Times New Roman" w:hAnsi="Verdana" w:cs="Arial"/>
          <w:color w:val="000000"/>
          <w:bdr w:val="none" w:sz="0" w:space="0" w:color="auto" w:frame="1"/>
          <w:shd w:val="clear" w:color="auto" w:fill="FFFFFF"/>
          <w:lang w:eastAsia="es-ES_tradnl"/>
        </w:rPr>
        <w:t>En</w:t>
      </w:r>
      <w:r w:rsidRPr="00881F93">
        <w:rPr>
          <w:rFonts w:ascii="Verdana" w:eastAsia="Times New Roman" w:hAnsi="Verdana" w:cs="Arial"/>
          <w:color w:val="000000"/>
          <w:bdr w:val="none" w:sz="0" w:space="0" w:color="auto" w:frame="1"/>
          <w:shd w:val="clear" w:color="auto" w:fill="FFFFFF"/>
          <w:lang w:eastAsia="es-ES_tradnl"/>
        </w:rPr>
        <w:t xml:space="preserve"> conclusión</w:t>
      </w:r>
      <w:r>
        <w:rPr>
          <w:rFonts w:ascii="Verdana" w:eastAsia="Times New Roman" w:hAnsi="Verdana" w:cs="Arial"/>
          <w:color w:val="000000"/>
          <w:bdr w:val="none" w:sz="0" w:space="0" w:color="auto" w:frame="1"/>
          <w:shd w:val="clear" w:color="auto" w:fill="FFFFFF"/>
          <w:lang w:eastAsia="es-ES_tradnl"/>
        </w:rPr>
        <w:t>,</w:t>
      </w:r>
      <w:r w:rsidRPr="00881F93">
        <w:rPr>
          <w:rFonts w:ascii="Verdana" w:eastAsia="Times New Roman" w:hAnsi="Verdana" w:cs="Arial"/>
          <w:color w:val="000000"/>
          <w:bdr w:val="none" w:sz="0" w:space="0" w:color="auto" w:frame="1"/>
          <w:shd w:val="clear" w:color="auto" w:fill="FFFFFF"/>
          <w:lang w:eastAsia="es-ES_tradnl"/>
        </w:rPr>
        <w:t xml:space="preserve"> la liquidación de un contrato público debe llevarse a cabo de manera bilateral siempre que sea posible, respetando los derechos del contratista al debido proceso. Si no se llega a un acuerdo bilateral, la entidad estatal tiene la facultad de proceder a una liquidación unilateral dentro de un plazo específico, aunque esta solo puede realizarse si el contratista no ha solicitado la liquidación judicial del contrato dentro de los dos años posteriores al vencimiento de los plazos acordados. Si transcurrido este plazo el contratista no ha solicitado la liquidación judicial, la entidad puede liquidar unilateralmente, y si no lo hace, la acción pasa a la jurisdicción para que sea resuelta judicialmente</w:t>
      </w:r>
      <w:r w:rsidR="00EE7590">
        <w:rPr>
          <w:rFonts w:ascii="Verdana" w:eastAsia="Times New Roman" w:hAnsi="Verdana" w:cs="Arial"/>
          <w:color w:val="000000"/>
          <w:bdr w:val="none" w:sz="0" w:space="0" w:color="auto" w:frame="1"/>
          <w:shd w:val="clear" w:color="auto" w:fill="FFFFFF"/>
          <w:lang w:eastAsia="es-ES_tradnl"/>
        </w:rPr>
        <w:t xml:space="preserve"> por solicitud del interesado</w:t>
      </w:r>
      <w:r w:rsidRPr="00881F93">
        <w:rPr>
          <w:rFonts w:ascii="Verdana" w:eastAsia="Times New Roman" w:hAnsi="Verdana" w:cs="Arial"/>
          <w:color w:val="000000"/>
          <w:bdr w:val="none" w:sz="0" w:space="0" w:color="auto" w:frame="1"/>
          <w:shd w:val="clear" w:color="auto" w:fill="FFFFFF"/>
          <w:lang w:eastAsia="es-ES_tradnl"/>
        </w:rPr>
        <w:t>. Esto subraya el principio de que la liquidación del contrato debe ser realizada en un marco de acuerdo o de intervención judicial, priorizando la transparencia y el respeto de los derechos de las partes involucradas.</w:t>
      </w:r>
    </w:p>
    <w:p w14:paraId="78520A07"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p w14:paraId="7E57A3CD" w14:textId="77777777" w:rsidR="008A5F8D" w:rsidRPr="00115E3D" w:rsidRDefault="008A5F8D" w:rsidP="008A5F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Referencias normativas, jurisprudenciales y otras fuentes:</w:t>
      </w:r>
    </w:p>
    <w:p w14:paraId="0333FA05"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8A5F8D" w:rsidRPr="00115E3D" w14:paraId="40BF573A" w14:textId="77777777">
        <w:trPr>
          <w:trHeight w:val="870"/>
        </w:trPr>
        <w:tc>
          <w:tcPr>
            <w:tcW w:w="8647" w:type="dxa"/>
          </w:tcPr>
          <w:p w14:paraId="7C0B3FBE" w14:textId="77777777" w:rsidR="008A5F8D" w:rsidRPr="0028299C" w:rsidRDefault="008A5F8D" w:rsidP="008A5F8D">
            <w:pPr>
              <w:pStyle w:val="Prrafodelista"/>
              <w:numPr>
                <w:ilvl w:val="0"/>
                <w:numId w:val="17"/>
              </w:numPr>
              <w:spacing w:after="120"/>
              <w:contextualSpacing w:val="0"/>
              <w:rPr>
                <w:rFonts w:ascii="Verdana" w:hAnsi="Verdana" w:cs="Arial"/>
                <w:color w:val="000000" w:themeColor="text1"/>
              </w:rPr>
            </w:pPr>
            <w:r w:rsidRPr="002E4D9B">
              <w:rPr>
                <w:rFonts w:ascii="Verdana" w:hAnsi="Verdana" w:cs="Arial"/>
                <w:color w:val="000000" w:themeColor="text1"/>
              </w:rPr>
              <w:t xml:space="preserve">Ley 80 de 1993, artículos 39, 41 y 60. </w:t>
            </w:r>
          </w:p>
          <w:p w14:paraId="5699697D" w14:textId="77777777" w:rsidR="008A5F8D" w:rsidRPr="0028299C" w:rsidRDefault="008A5F8D" w:rsidP="008A5F8D">
            <w:pPr>
              <w:pStyle w:val="Prrafodelista"/>
              <w:numPr>
                <w:ilvl w:val="0"/>
                <w:numId w:val="17"/>
              </w:numPr>
              <w:spacing w:after="120"/>
              <w:contextualSpacing w:val="0"/>
              <w:rPr>
                <w:rFonts w:ascii="Verdana" w:hAnsi="Verdana" w:cs="Arial"/>
                <w:color w:val="000000" w:themeColor="text1"/>
              </w:rPr>
            </w:pPr>
            <w:r w:rsidRPr="002E4D9B">
              <w:rPr>
                <w:rFonts w:ascii="Verdana" w:hAnsi="Verdana" w:cs="Arial"/>
                <w:color w:val="000000" w:themeColor="text1"/>
              </w:rPr>
              <w:t xml:space="preserve">Ley 1150 de 2007, artículo 11. </w:t>
            </w:r>
          </w:p>
          <w:p w14:paraId="5670CEEE" w14:textId="77777777" w:rsidR="008A5F8D" w:rsidRPr="00115E3D" w:rsidRDefault="008A5F8D" w:rsidP="008A5F8D">
            <w:pPr>
              <w:pStyle w:val="Prrafodelista"/>
              <w:widowControl w:val="0"/>
              <w:numPr>
                <w:ilvl w:val="0"/>
                <w:numId w:val="17"/>
              </w:numPr>
              <w:autoSpaceDE w:val="0"/>
              <w:autoSpaceDN w:val="0"/>
              <w:spacing w:after="120" w:line="276" w:lineRule="auto"/>
              <w:contextualSpacing w:val="0"/>
              <w:jc w:val="both"/>
              <w:rPr>
                <w:rFonts w:ascii="Verdana" w:hAnsi="Verdana" w:cs="Arial"/>
                <w:color w:val="000000" w:themeColor="text1"/>
              </w:rPr>
            </w:pPr>
            <w:r w:rsidRPr="002E4D9B">
              <w:rPr>
                <w:rFonts w:ascii="Verdana" w:hAnsi="Verdana" w:cs="Arial"/>
                <w:color w:val="000000" w:themeColor="text1"/>
              </w:rPr>
              <w:t>Ley 1437 de 2011, artículos 10, 141 y 164.</w:t>
            </w:r>
          </w:p>
        </w:tc>
      </w:tr>
    </w:tbl>
    <w:p w14:paraId="078232F3"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p w14:paraId="28E956D1" w14:textId="77777777" w:rsidR="008A5F8D" w:rsidRPr="00115E3D" w:rsidRDefault="008A5F8D" w:rsidP="008A5F8D">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color w:val="000000" w:themeColor="text1"/>
        </w:rPr>
      </w:pPr>
      <w:r w:rsidRPr="00115E3D">
        <w:rPr>
          <w:rFonts w:ascii="Verdana" w:eastAsia="Century Gothic" w:hAnsi="Verdana" w:cs="Century Gothic"/>
          <w:b/>
          <w:bCs/>
          <w:color w:val="000000" w:themeColor="text1"/>
        </w:rPr>
        <w:t>Doctrina de la Agencia Nacional de Contratación Pública:</w:t>
      </w:r>
    </w:p>
    <w:p w14:paraId="1AB44ECB"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p w14:paraId="123F846F" w14:textId="26642F0D" w:rsidR="008A5F8D" w:rsidRPr="002E4D9B" w:rsidRDefault="008A5F8D" w:rsidP="008A5F8D">
      <w:pPr>
        <w:widowControl w:val="0"/>
        <w:autoSpaceDE w:val="0"/>
        <w:autoSpaceDN w:val="0"/>
        <w:spacing w:after="0" w:line="276" w:lineRule="auto"/>
        <w:jc w:val="both"/>
        <w:rPr>
          <w:rFonts w:ascii="Verdana" w:hAnsi="Verdana" w:cs="Arial"/>
          <w:color w:val="000000" w:themeColor="text1"/>
          <w:shd w:val="clear" w:color="auto" w:fill="FFFFFF"/>
          <w:lang w:val="es-ES"/>
        </w:rPr>
      </w:pPr>
      <w:r w:rsidRPr="002E4D9B">
        <w:rPr>
          <w:rFonts w:ascii="Verdana" w:hAnsi="Verdana" w:cs="Arial"/>
          <w:color w:val="000000" w:themeColor="text1"/>
          <w:shd w:val="clear" w:color="auto" w:fill="FFFFFF"/>
        </w:rPr>
        <w:t xml:space="preserve">Esta Subdirección se ha pronunciado sobre la liquidación en los </w:t>
      </w:r>
      <w:r w:rsidR="00D201A5">
        <w:rPr>
          <w:rFonts w:ascii="Verdana" w:hAnsi="Verdana" w:cs="Arial"/>
          <w:color w:val="000000" w:themeColor="text1"/>
          <w:shd w:val="clear" w:color="auto" w:fill="FFFFFF"/>
        </w:rPr>
        <w:t>c</w:t>
      </w:r>
      <w:r w:rsidRPr="002E4D9B">
        <w:rPr>
          <w:rFonts w:ascii="Verdana" w:hAnsi="Verdana" w:cs="Arial"/>
          <w:color w:val="000000" w:themeColor="text1"/>
          <w:shd w:val="clear" w:color="auto" w:fill="FFFFFF"/>
        </w:rPr>
        <w:t>onceptos 4201912000004908 del 27 de septiembre de 2019, CU-028 de 25 de febrero de 2020, C-221 de 21 de abril de 2020, C-078 del 17 de marzo de 2021, C-220 del 18 de mayo de 2021, C-444 del 23 de julio de 2021, C-747 del 8 de noviembre de 2022, C-739 de del 29 de noviembre de 2022, C- 176 de 3 de mayo de 2023, C-158 del 6 de junio de 2023, C-326 del 15 de agosto de 2024</w:t>
      </w:r>
      <w:r>
        <w:rPr>
          <w:rFonts w:ascii="Verdana" w:hAnsi="Verdana" w:cs="Arial"/>
          <w:color w:val="000000" w:themeColor="text1"/>
          <w:shd w:val="clear" w:color="auto" w:fill="FFFFFF"/>
        </w:rPr>
        <w:t xml:space="preserve">, </w:t>
      </w:r>
      <w:r w:rsidRPr="002E4D9B">
        <w:rPr>
          <w:rFonts w:ascii="Verdana" w:hAnsi="Verdana" w:cs="Arial"/>
          <w:color w:val="000000" w:themeColor="text1"/>
          <w:shd w:val="clear" w:color="auto" w:fill="FFFFFF"/>
        </w:rPr>
        <w:t xml:space="preserve">C-568 del 18 de </w:t>
      </w:r>
      <w:r w:rsidRPr="002E4D9B">
        <w:rPr>
          <w:rFonts w:ascii="Verdana" w:hAnsi="Verdana" w:cs="Arial"/>
          <w:color w:val="000000" w:themeColor="text1"/>
          <w:shd w:val="clear" w:color="auto" w:fill="FFFFFF"/>
        </w:rPr>
        <w:lastRenderedPageBreak/>
        <w:t>octubre de 2024</w:t>
      </w:r>
      <w:r>
        <w:rPr>
          <w:rFonts w:ascii="Verdana" w:hAnsi="Verdana" w:cs="Arial"/>
          <w:color w:val="000000" w:themeColor="text1"/>
          <w:shd w:val="clear" w:color="auto" w:fill="FFFFFF"/>
        </w:rPr>
        <w:t xml:space="preserve"> y C-774 del 20 de noviembre de 2024</w:t>
      </w:r>
      <w:r w:rsidRPr="002E4D9B">
        <w:rPr>
          <w:rFonts w:ascii="Verdana" w:hAnsi="Verdana" w:cs="Arial"/>
          <w:color w:val="000000" w:themeColor="text1"/>
          <w:shd w:val="clear" w:color="auto" w:fill="FFFFFF"/>
        </w:rPr>
        <w:t xml:space="preserve">. Estos y otros se encuentran disponibles para consulta en el Sistema de relatoría de la Agencia, al cual puede accederse a través del siguiente enlace: </w:t>
      </w:r>
      <w:hyperlink r:id="rId11" w:history="1">
        <w:r w:rsidRPr="002E4D9B">
          <w:rPr>
            <w:rStyle w:val="Hipervnculo"/>
            <w:rFonts w:ascii="Verdana" w:hAnsi="Verdana" w:cs="Arial"/>
            <w:shd w:val="clear" w:color="auto" w:fill="FFFFFF"/>
          </w:rPr>
          <w:t>https://relatoria.colombiacompra.gov.co/busqueda/conceptos</w:t>
        </w:r>
      </w:hyperlink>
    </w:p>
    <w:p w14:paraId="29C86321" w14:textId="77777777" w:rsidR="008A5F8D" w:rsidRPr="00115E3D" w:rsidRDefault="008A5F8D" w:rsidP="008A5F8D">
      <w:pPr>
        <w:widowControl w:val="0"/>
        <w:autoSpaceDE w:val="0"/>
        <w:autoSpaceDN w:val="0"/>
        <w:spacing w:after="0" w:line="276" w:lineRule="auto"/>
        <w:jc w:val="both"/>
        <w:rPr>
          <w:rStyle w:val="normaltextrun"/>
          <w:rFonts w:ascii="Verdana" w:hAnsi="Verdana" w:cs="Arial"/>
          <w:color w:val="000000" w:themeColor="text1"/>
          <w:shd w:val="clear" w:color="auto" w:fill="FFFFFF"/>
          <w:lang w:val="es-ES"/>
        </w:rPr>
      </w:pPr>
    </w:p>
    <w:p w14:paraId="078FA370" w14:textId="415487B1" w:rsidR="008A5F8D" w:rsidRPr="00881F93" w:rsidRDefault="008A5F8D" w:rsidP="008A5F8D">
      <w:pPr>
        <w:widowControl w:val="0"/>
        <w:autoSpaceDE w:val="0"/>
        <w:autoSpaceDN w:val="0"/>
        <w:spacing w:after="0" w:line="276" w:lineRule="auto"/>
        <w:jc w:val="both"/>
        <w:rPr>
          <w:rFonts w:ascii="Verdana" w:hAnsi="Verdana" w:cs="Arial"/>
          <w:color w:val="000000" w:themeColor="text1"/>
          <w:shd w:val="clear" w:color="auto" w:fill="FFFFFF"/>
        </w:rPr>
      </w:pPr>
      <w:r w:rsidRPr="00881F93">
        <w:rPr>
          <w:rFonts w:ascii="Verdana" w:hAnsi="Verdana" w:cs="Arial"/>
          <w:color w:val="000000" w:themeColor="text1"/>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 </w:t>
      </w:r>
      <w:hyperlink r:id="rId12" w:tgtFrame="_blank" w:tooltip="Dirección URL original: https://www.colombiacompra.gov.co/sites/cce_public/files/cce_documents/manual_para_el_manejo_de_acuerdos_comerciales_vf.pdf. Haga clic o pulse si confía en este vínculo." w:history="1">
        <w:r w:rsidRPr="00881F93">
          <w:rPr>
            <w:rStyle w:val="Hipervnculo"/>
            <w:rFonts w:ascii="Verdana" w:hAnsi="Verdana" w:cs="Arial"/>
            <w:shd w:val="clear" w:color="auto" w:fill="FFFFFF"/>
          </w:rPr>
          <w:t>manual_para_el_manejo_de_acuerdos_comerciales_vf.pdf</w:t>
        </w:r>
      </w:hyperlink>
    </w:p>
    <w:p w14:paraId="6F552A3D" w14:textId="77777777" w:rsidR="008A5F8D" w:rsidRPr="00680229" w:rsidRDefault="008A5F8D" w:rsidP="008A5F8D">
      <w:pPr>
        <w:widowControl w:val="0"/>
        <w:autoSpaceDE w:val="0"/>
        <w:autoSpaceDN w:val="0"/>
        <w:spacing w:after="0" w:line="276" w:lineRule="auto"/>
        <w:jc w:val="both"/>
        <w:rPr>
          <w:rFonts w:ascii="Verdana" w:hAnsi="Verdana" w:cs="Arial"/>
          <w:color w:val="000000" w:themeColor="text1"/>
          <w:shd w:val="clear" w:color="auto" w:fill="FFFFFF"/>
        </w:rPr>
      </w:pPr>
      <w:r w:rsidRPr="00680229">
        <w:rPr>
          <w:rFonts w:ascii="Verdana" w:hAnsi="Verdana" w:cs="Arial"/>
          <w:color w:val="000000" w:themeColor="text1"/>
          <w:shd w:val="clear" w:color="auto" w:fill="FFFFFF"/>
        </w:rPr>
        <w:t> </w:t>
      </w:r>
    </w:p>
    <w:p w14:paraId="3142616B" w14:textId="50B852CC" w:rsidR="008A5F8D" w:rsidRPr="00881F93" w:rsidRDefault="008A5F8D" w:rsidP="008A5F8D">
      <w:pPr>
        <w:widowControl w:val="0"/>
        <w:autoSpaceDE w:val="0"/>
        <w:autoSpaceDN w:val="0"/>
        <w:spacing w:after="0" w:line="276" w:lineRule="auto"/>
        <w:jc w:val="both"/>
        <w:rPr>
          <w:rFonts w:ascii="Verdana" w:hAnsi="Verdana" w:cs="Arial"/>
          <w:color w:val="000000" w:themeColor="text1"/>
          <w:shd w:val="clear" w:color="auto" w:fill="FFFFFF"/>
        </w:rPr>
      </w:pPr>
      <w:r w:rsidRPr="00881F93">
        <w:rPr>
          <w:rFonts w:ascii="Verdana" w:hAnsi="Verdana" w:cs="Arial"/>
          <w:color w:val="000000" w:themeColor="text1"/>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3" w:tgtFrame="_blank" w:tooltip="Dirección URL original: https://www.colombiacompra.gov.co/sala-de-prensa/boletin-digital. Haga clic o pulse si confía en este vínculo." w:history="1">
        <w:r w:rsidRPr="00881F93">
          <w:rPr>
            <w:rStyle w:val="Hipervnculo"/>
            <w:rFonts w:ascii="Verdana" w:hAnsi="Verdana" w:cs="Arial"/>
            <w:shd w:val="clear" w:color="auto" w:fill="FFFFFF"/>
          </w:rPr>
          <w:t>https://www.colombiacompra.gov.co/sala-de-prensa/boletin-digital</w:t>
        </w:r>
      </w:hyperlink>
    </w:p>
    <w:p w14:paraId="5AA01811" w14:textId="77777777" w:rsidR="008A5F8D" w:rsidRPr="00881F93" w:rsidRDefault="008A5F8D" w:rsidP="008A5F8D">
      <w:pPr>
        <w:widowControl w:val="0"/>
        <w:autoSpaceDE w:val="0"/>
        <w:autoSpaceDN w:val="0"/>
        <w:spacing w:after="0" w:line="276" w:lineRule="auto"/>
        <w:jc w:val="both"/>
        <w:rPr>
          <w:rStyle w:val="normaltextrun"/>
          <w:rFonts w:ascii="Verdana" w:hAnsi="Verdana" w:cs="Arial"/>
          <w:color w:val="000000" w:themeColor="text1"/>
          <w:shd w:val="clear" w:color="auto" w:fill="FFFFFF"/>
        </w:rPr>
      </w:pPr>
    </w:p>
    <w:p w14:paraId="4AC827FB" w14:textId="77777777" w:rsidR="008A5F8D" w:rsidRPr="00115E3D" w:rsidRDefault="008A5F8D" w:rsidP="008A5F8D">
      <w:pPr>
        <w:spacing w:after="0" w:line="240" w:lineRule="auto"/>
        <w:jc w:val="both"/>
        <w:rPr>
          <w:rFonts w:ascii="Verdana" w:hAnsi="Verdana"/>
          <w:color w:val="000000" w:themeColor="text1"/>
        </w:rPr>
      </w:pPr>
      <w:r w:rsidRPr="00115E3D">
        <w:rPr>
          <w:rFonts w:ascii="Verdana" w:hAnsi="Verdana"/>
          <w:color w:val="000000" w:themeColor="text1"/>
        </w:rPr>
        <w:t xml:space="preserve">Por último, lo invitamos a seguirnos en las redes sociales en las cuales se difunde información institucional: </w:t>
      </w:r>
    </w:p>
    <w:p w14:paraId="7BB29FEC" w14:textId="77777777" w:rsidR="008A5F8D" w:rsidRPr="00115E3D" w:rsidRDefault="008A5F8D" w:rsidP="008A5F8D">
      <w:pPr>
        <w:spacing w:after="0" w:line="240" w:lineRule="auto"/>
        <w:jc w:val="both"/>
        <w:rPr>
          <w:rFonts w:ascii="Verdana" w:hAnsi="Verdana"/>
          <w:color w:val="000000" w:themeColor="text1"/>
        </w:rPr>
      </w:pPr>
    </w:p>
    <w:p w14:paraId="0EAE157A" w14:textId="77777777" w:rsidR="008A5F8D" w:rsidRPr="00115E3D" w:rsidRDefault="008A5F8D" w:rsidP="008A5F8D">
      <w:pPr>
        <w:spacing w:after="0" w:line="240" w:lineRule="auto"/>
        <w:jc w:val="both"/>
        <w:rPr>
          <w:rFonts w:ascii="Verdana" w:hAnsi="Verdana"/>
          <w:color w:val="000000" w:themeColor="text1"/>
        </w:rPr>
      </w:pPr>
      <w:r w:rsidRPr="00115E3D">
        <w:rPr>
          <w:rFonts w:ascii="Verdana" w:hAnsi="Verdana"/>
          <w:color w:val="000000" w:themeColor="text1"/>
        </w:rPr>
        <w:t xml:space="preserve">Twitter: </w:t>
      </w:r>
      <w:r w:rsidRPr="00115E3D">
        <w:rPr>
          <w:rStyle w:val="Hipervnculo"/>
          <w:rFonts w:ascii="Verdana" w:hAnsi="Verdana"/>
          <w:color w:val="000000" w:themeColor="text1"/>
        </w:rPr>
        <w:t>@colombiacompra</w:t>
      </w:r>
      <w:r w:rsidRPr="00115E3D">
        <w:rPr>
          <w:rFonts w:ascii="Verdana" w:hAnsi="Verdana"/>
          <w:color w:val="000000" w:themeColor="text1"/>
        </w:rPr>
        <w:t xml:space="preserve"> </w:t>
      </w:r>
    </w:p>
    <w:p w14:paraId="477A9CCC" w14:textId="77777777" w:rsidR="008A5F8D" w:rsidRPr="00115E3D" w:rsidRDefault="008A5F8D" w:rsidP="008A5F8D">
      <w:pPr>
        <w:spacing w:after="0" w:line="240" w:lineRule="auto"/>
        <w:jc w:val="both"/>
        <w:rPr>
          <w:rFonts w:ascii="Verdana" w:hAnsi="Verdana"/>
          <w:color w:val="000000" w:themeColor="text1"/>
        </w:rPr>
      </w:pPr>
      <w:r w:rsidRPr="00115E3D">
        <w:rPr>
          <w:rFonts w:ascii="Verdana" w:hAnsi="Verdana"/>
          <w:color w:val="000000" w:themeColor="text1"/>
        </w:rPr>
        <w:t xml:space="preserve">Facebook: </w:t>
      </w:r>
      <w:r w:rsidRPr="00115E3D">
        <w:rPr>
          <w:rStyle w:val="Hipervnculo"/>
          <w:rFonts w:ascii="Verdana" w:hAnsi="Verdana"/>
          <w:color w:val="000000" w:themeColor="text1"/>
        </w:rPr>
        <w:t>ColombiaCompraEficiente</w:t>
      </w:r>
    </w:p>
    <w:p w14:paraId="45DE0FC8" w14:textId="77777777" w:rsidR="008A5F8D" w:rsidRPr="00115E3D" w:rsidRDefault="008A5F8D" w:rsidP="008A5F8D">
      <w:pPr>
        <w:spacing w:after="0" w:line="240" w:lineRule="auto"/>
        <w:jc w:val="both"/>
        <w:rPr>
          <w:rFonts w:ascii="Verdana" w:hAnsi="Verdana"/>
          <w:color w:val="000000" w:themeColor="text1"/>
        </w:rPr>
      </w:pPr>
      <w:r w:rsidRPr="00115E3D">
        <w:rPr>
          <w:rFonts w:ascii="Verdana" w:hAnsi="Verdana"/>
          <w:color w:val="000000" w:themeColor="text1"/>
        </w:rPr>
        <w:t xml:space="preserve">LinkedIn: </w:t>
      </w:r>
      <w:r w:rsidRPr="00115E3D">
        <w:rPr>
          <w:rStyle w:val="Hipervnculo"/>
          <w:rFonts w:ascii="Verdana" w:hAnsi="Verdana"/>
          <w:color w:val="000000" w:themeColor="text1"/>
        </w:rPr>
        <w:t>Agencia Nacional de Contratación Pública - Colombia Compra Eficiente</w:t>
      </w:r>
      <w:r w:rsidRPr="00115E3D">
        <w:rPr>
          <w:rFonts w:ascii="Verdana" w:hAnsi="Verdana"/>
          <w:color w:val="000000" w:themeColor="text1"/>
        </w:rPr>
        <w:t xml:space="preserve"> Instagram: </w:t>
      </w:r>
      <w:r w:rsidRPr="00115E3D">
        <w:rPr>
          <w:rStyle w:val="Hipervnculo"/>
          <w:rFonts w:ascii="Verdana" w:hAnsi="Verdana"/>
          <w:color w:val="000000" w:themeColor="text1"/>
        </w:rPr>
        <w:t>@colombiacompraeficiente_cce</w:t>
      </w:r>
    </w:p>
    <w:p w14:paraId="7310450B"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p w14:paraId="5235AB95"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lang w:val="es-ES_tradnl"/>
        </w:rPr>
      </w:pPr>
      <w:r w:rsidRPr="00115E3D">
        <w:rPr>
          <w:rFonts w:ascii="Verdana" w:hAnsi="Verdana" w:cs="Arial"/>
          <w:color w:val="000000" w:themeColor="text1"/>
        </w:rPr>
        <w:t xml:space="preserve">Este concepto tiene el alcance previsto en el artículo 28 del Código de Procedimiento Administrativo y de lo Contencioso Administrativo </w:t>
      </w:r>
      <w:r w:rsidRPr="00115E3D">
        <w:rPr>
          <w:rFonts w:ascii="Verdana" w:hAnsi="Verdana" w:cs="Arial"/>
          <w:color w:val="000000" w:themeColor="text1"/>
          <w:lang w:val="es-ES_tradnl"/>
        </w:rPr>
        <w:t>y las expresiones aquí utilizadas con mayúscula inicial deben ser entendidas con el significado que les otorga el artículo 2.2.1.1.1.3.1. del Decreto 1082 de 2015.</w:t>
      </w:r>
    </w:p>
    <w:p w14:paraId="7004653E" w14:textId="77777777" w:rsidR="008A5F8D" w:rsidRPr="00115E3D" w:rsidRDefault="008A5F8D" w:rsidP="008A5F8D">
      <w:pPr>
        <w:widowControl w:val="0"/>
        <w:autoSpaceDE w:val="0"/>
        <w:autoSpaceDN w:val="0"/>
        <w:spacing w:after="0" w:line="276" w:lineRule="auto"/>
        <w:jc w:val="both"/>
        <w:rPr>
          <w:rFonts w:ascii="Verdana" w:hAnsi="Verdana" w:cs="Arial"/>
          <w:color w:val="000000" w:themeColor="text1"/>
        </w:rPr>
      </w:pPr>
    </w:p>
    <w:p w14:paraId="73ACEDDC" w14:textId="77777777" w:rsidR="008A5F8D" w:rsidRPr="00115E3D" w:rsidRDefault="008A5F8D" w:rsidP="008A5F8D">
      <w:pPr>
        <w:spacing w:after="0" w:line="240" w:lineRule="auto"/>
        <w:rPr>
          <w:rFonts w:ascii="Verdana" w:hAnsi="Verdana" w:cs="Arial"/>
          <w:color w:val="000000" w:themeColor="text1"/>
          <w:lang w:eastAsia="es-CO"/>
        </w:rPr>
      </w:pPr>
      <w:r w:rsidRPr="00115E3D">
        <w:rPr>
          <w:rFonts w:ascii="Verdana" w:eastAsia="Times New Roman" w:hAnsi="Verdana" w:cs="Arial"/>
          <w:color w:val="000000" w:themeColor="text1"/>
          <w:lang w:eastAsia="es-CO"/>
        </w:rPr>
        <w:t>Atentamente,</w:t>
      </w:r>
      <w:r w:rsidRPr="00115E3D">
        <w:rPr>
          <w:rFonts w:ascii="Verdana" w:hAnsi="Verdana" w:cs="Arial"/>
          <w:color w:val="000000" w:themeColor="text1"/>
          <w:lang w:eastAsia="es-CO"/>
        </w:rPr>
        <w:t xml:space="preserve"> </w:t>
      </w:r>
    </w:p>
    <w:p w14:paraId="4C2E1851" w14:textId="33E281F1" w:rsidR="008A5F8D" w:rsidRPr="00115E3D" w:rsidRDefault="00415DED" w:rsidP="008A5F8D">
      <w:pPr>
        <w:spacing w:line="276" w:lineRule="auto"/>
        <w:jc w:val="center"/>
        <w:rPr>
          <w:rFonts w:ascii="Verdana" w:hAnsi="Verdana" w:cs="Arial"/>
          <w:color w:val="000000" w:themeColor="text1"/>
          <w:lang w:val="es-ES_tradnl" w:eastAsia="es-CO"/>
        </w:rPr>
      </w:pPr>
      <w:r>
        <w:rPr>
          <w:noProof/>
        </w:rPr>
        <w:drawing>
          <wp:inline distT="0" distB="0" distL="0" distR="0" wp14:anchorId="139FD704" wp14:editId="76086D78">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p w14:paraId="1F67BDF5" w14:textId="77777777" w:rsidR="008A5F8D" w:rsidRPr="00115E3D" w:rsidRDefault="008A5F8D" w:rsidP="008A5F8D">
      <w:pPr>
        <w:rPr>
          <w:color w:val="000000" w:themeColor="text1"/>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8A5F8D" w:rsidRPr="00115E3D" w14:paraId="294F3E05" w14:textId="77777777">
        <w:trPr>
          <w:trHeight w:val="315"/>
        </w:trPr>
        <w:tc>
          <w:tcPr>
            <w:tcW w:w="893" w:type="dxa"/>
            <w:vAlign w:val="center"/>
            <w:hideMark/>
          </w:tcPr>
          <w:p w14:paraId="69EF345F" w14:textId="77777777" w:rsidR="008A5F8D" w:rsidRPr="00115E3D" w:rsidRDefault="008A5F8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8B90E96" w14:textId="77777777" w:rsidR="008A5F8D" w:rsidRPr="00115E3D" w:rsidRDefault="008A5F8D">
            <w:pPr>
              <w:contextualSpacing/>
              <w:rPr>
                <w:rFonts w:ascii="Verdana" w:eastAsia="Arial" w:hAnsi="Verdana" w:cs="Arial"/>
                <w:color w:val="000000" w:themeColor="text1"/>
                <w:sz w:val="16"/>
                <w:szCs w:val="16"/>
              </w:rPr>
            </w:pPr>
            <w:r>
              <w:rPr>
                <w:rFonts w:ascii="Verdana" w:eastAsia="Arial" w:hAnsi="Verdana" w:cs="Arial"/>
                <w:color w:val="000000" w:themeColor="text1"/>
                <w:sz w:val="16"/>
                <w:szCs w:val="16"/>
              </w:rPr>
              <w:t xml:space="preserve">Andreina Cerpa Muñoz </w:t>
            </w:r>
          </w:p>
          <w:p w14:paraId="0E713D74" w14:textId="77777777" w:rsidR="008A5F8D" w:rsidRPr="00115E3D" w:rsidRDefault="008A5F8D">
            <w:pPr>
              <w:contextualSpacing/>
              <w:rPr>
                <w:rFonts w:ascii="Verdana" w:eastAsia="Arial" w:hAnsi="Verdana" w:cs="Arial"/>
                <w:color w:val="000000" w:themeColor="text1"/>
                <w:sz w:val="16"/>
                <w:szCs w:val="16"/>
              </w:rPr>
            </w:pPr>
            <w:r>
              <w:rPr>
                <w:rStyle w:val="normaltextrun"/>
                <w:rFonts w:ascii="Verdana" w:eastAsia="Arial" w:hAnsi="Verdana" w:cs="Arial"/>
                <w:color w:val="000000" w:themeColor="text1"/>
                <w:sz w:val="16"/>
                <w:szCs w:val="16"/>
              </w:rPr>
              <w:t>Analista T2-02</w:t>
            </w:r>
            <w:r w:rsidRPr="00115E3D">
              <w:rPr>
                <w:rStyle w:val="normaltextrun"/>
                <w:rFonts w:ascii="Verdana" w:eastAsia="Arial" w:hAnsi="Verdana" w:cs="Arial"/>
                <w:color w:val="000000" w:themeColor="text1"/>
                <w:sz w:val="16"/>
                <w:szCs w:val="16"/>
              </w:rPr>
              <w:t xml:space="preserve"> de la Subdirección de Gestión Contractual</w:t>
            </w:r>
          </w:p>
        </w:tc>
      </w:tr>
      <w:tr w:rsidR="008A5F8D" w:rsidRPr="00115E3D" w14:paraId="79F144BC" w14:textId="77777777">
        <w:trPr>
          <w:trHeight w:val="330"/>
        </w:trPr>
        <w:tc>
          <w:tcPr>
            <w:tcW w:w="893" w:type="dxa"/>
            <w:vAlign w:val="center"/>
            <w:hideMark/>
          </w:tcPr>
          <w:p w14:paraId="600B061A" w14:textId="77777777" w:rsidR="008A5F8D" w:rsidRPr="00115E3D" w:rsidRDefault="008A5F8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1F60DCE" w14:textId="77777777" w:rsidR="008A5F8D" w:rsidRPr="00580396" w:rsidRDefault="008A5F8D">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Fonts w:ascii="Verdana" w:hAnsi="Verdana" w:cs="Segoe UI"/>
                <w:color w:val="000000" w:themeColor="text1"/>
                <w:sz w:val="16"/>
                <w:szCs w:val="16"/>
              </w:rPr>
              <w:t>X</w:t>
            </w:r>
            <w:r w:rsidRPr="00580396">
              <w:rPr>
                <w:rFonts w:ascii="Verdana" w:hAnsi="Verdana" w:cs="Segoe UI"/>
                <w:sz w:val="16"/>
                <w:szCs w:val="16"/>
              </w:rPr>
              <w:t xml:space="preserve">imena Ríos López </w:t>
            </w:r>
          </w:p>
          <w:p w14:paraId="777C6310" w14:textId="77777777" w:rsidR="008A5F8D" w:rsidRPr="00115E3D" w:rsidRDefault="008A5F8D">
            <w:pPr>
              <w:pStyle w:val="paragraph"/>
              <w:spacing w:before="0" w:beforeAutospacing="0" w:after="0" w:afterAutospacing="0"/>
              <w:contextualSpacing/>
              <w:textAlignment w:val="baseline"/>
              <w:rPr>
                <w:rFonts w:ascii="Verdana" w:hAnsi="Verdana" w:cs="Segoe UI"/>
                <w:color w:val="000000" w:themeColor="text1"/>
                <w:sz w:val="16"/>
                <w:szCs w:val="16"/>
              </w:rPr>
            </w:pPr>
            <w:r w:rsidRPr="00580396">
              <w:rPr>
                <w:rStyle w:val="normaltextrun"/>
                <w:rFonts w:ascii="Verdana" w:hAnsi="Verdana" w:cs="Arial"/>
                <w:color w:val="000000" w:themeColor="text1"/>
                <w:sz w:val="16"/>
                <w:szCs w:val="16"/>
                <w:lang w:val="es-ES"/>
              </w:rPr>
              <w:t>Gestor T1-11 de la Subdirección de Gestión Contractual</w:t>
            </w:r>
            <w:r w:rsidRPr="00115E3D">
              <w:rPr>
                <w:rStyle w:val="eop"/>
                <w:rFonts w:ascii="Verdana" w:hAnsi="Verdana" w:cs="Arial"/>
                <w:color w:val="000000" w:themeColor="text1"/>
                <w:sz w:val="16"/>
                <w:szCs w:val="16"/>
              </w:rPr>
              <w:t> </w:t>
            </w:r>
          </w:p>
        </w:tc>
      </w:tr>
      <w:tr w:rsidR="008A5F8D" w:rsidRPr="00115E3D" w14:paraId="5B500180" w14:textId="77777777">
        <w:trPr>
          <w:trHeight w:val="300"/>
        </w:trPr>
        <w:tc>
          <w:tcPr>
            <w:tcW w:w="893" w:type="dxa"/>
            <w:vAlign w:val="center"/>
          </w:tcPr>
          <w:p w14:paraId="37E6DE1A" w14:textId="77777777" w:rsidR="008A5F8D" w:rsidRPr="00115E3D" w:rsidRDefault="008A5F8D">
            <w:pPr>
              <w:contextualSpacing/>
              <w:rPr>
                <w:rFonts w:ascii="Verdana" w:hAnsi="Verdana" w:cs="Arial"/>
                <w:color w:val="000000" w:themeColor="text1"/>
                <w:sz w:val="16"/>
                <w:szCs w:val="16"/>
                <w:lang w:val="es-ES" w:eastAsia="es-ES"/>
              </w:rPr>
            </w:pPr>
            <w:r w:rsidRPr="00115E3D">
              <w:rPr>
                <w:rFonts w:ascii="Verdana" w:hAnsi="Verdana" w:cs="Arial"/>
                <w:color w:val="000000" w:themeColor="text1"/>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EE36463" w14:textId="77777777" w:rsidR="008A5F8D" w:rsidRPr="00115E3D" w:rsidRDefault="008A5F8D">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val="pt-BR" w:eastAsia="es-ES"/>
              </w:rPr>
              <w:t>Carolina Quintero Gacharná</w:t>
            </w:r>
          </w:p>
          <w:p w14:paraId="648EF4BE" w14:textId="77777777" w:rsidR="008A5F8D" w:rsidRPr="00115E3D" w:rsidRDefault="008A5F8D">
            <w:pPr>
              <w:contextualSpacing/>
              <w:rPr>
                <w:rFonts w:ascii="Verdana" w:eastAsia="Calibri" w:hAnsi="Verdana" w:cs="Arial"/>
                <w:color w:val="000000" w:themeColor="text1"/>
                <w:sz w:val="16"/>
                <w:szCs w:val="16"/>
                <w:lang w:val="pt-BR" w:eastAsia="es-ES"/>
              </w:rPr>
            </w:pPr>
            <w:r w:rsidRPr="00115E3D">
              <w:rPr>
                <w:rFonts w:ascii="Verdana" w:eastAsia="Calibri" w:hAnsi="Verdana" w:cs="Arial"/>
                <w:color w:val="000000" w:themeColor="text1"/>
                <w:sz w:val="16"/>
                <w:szCs w:val="16"/>
                <w:lang w:eastAsia="es-ES"/>
              </w:rPr>
              <w:t>Subdirectora</w:t>
            </w:r>
            <w:r w:rsidRPr="00115E3D">
              <w:rPr>
                <w:rFonts w:ascii="Verdana" w:eastAsia="Calibri" w:hAnsi="Verdana" w:cs="Arial"/>
                <w:color w:val="000000" w:themeColor="text1"/>
                <w:sz w:val="16"/>
                <w:szCs w:val="16"/>
                <w:lang w:val="pt-BR" w:eastAsia="es-ES"/>
              </w:rPr>
              <w:t xml:space="preserve"> de Gestión Contractual ANCP – CCE</w:t>
            </w:r>
          </w:p>
        </w:tc>
      </w:tr>
    </w:tbl>
    <w:p w14:paraId="27567B98" w14:textId="77777777" w:rsidR="008A5F8D" w:rsidRDefault="008A5F8D" w:rsidP="008A5F8D"/>
    <w:p w14:paraId="3900974D" w14:textId="77777777" w:rsidR="003D5B0D" w:rsidRPr="005A1D5A" w:rsidRDefault="003D5B0D" w:rsidP="005A1D5A"/>
    <w:sectPr w:rsidR="003D5B0D" w:rsidRPr="005A1D5A"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E6FB" w14:textId="77777777" w:rsidR="00107EC2" w:rsidRDefault="00107EC2" w:rsidP="004A1847">
      <w:pPr>
        <w:spacing w:after="0" w:line="240" w:lineRule="auto"/>
      </w:pPr>
      <w:r>
        <w:separator/>
      </w:r>
    </w:p>
  </w:endnote>
  <w:endnote w:type="continuationSeparator" w:id="0">
    <w:p w14:paraId="31F31F27" w14:textId="77777777" w:rsidR="00107EC2" w:rsidRDefault="00107EC2" w:rsidP="004A1847">
      <w:pPr>
        <w:spacing w:after="0" w:line="240" w:lineRule="auto"/>
      </w:pPr>
      <w:r>
        <w:continuationSeparator/>
      </w:r>
    </w:p>
  </w:endnote>
  <w:endnote w:type="continuationNotice" w:id="1">
    <w:p w14:paraId="0DA583EE" w14:textId="77777777" w:rsidR="00107EC2" w:rsidRDefault="00107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MS Mincho">
    <w:altName w:val="‚l‚r –¾’©"/>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2813" w14:textId="77777777" w:rsidR="00107EC2" w:rsidRDefault="00107EC2" w:rsidP="004A1847">
      <w:pPr>
        <w:spacing w:after="0" w:line="240" w:lineRule="auto"/>
      </w:pPr>
      <w:r>
        <w:separator/>
      </w:r>
    </w:p>
  </w:footnote>
  <w:footnote w:type="continuationSeparator" w:id="0">
    <w:p w14:paraId="17FF9D03" w14:textId="77777777" w:rsidR="00107EC2" w:rsidRDefault="00107EC2" w:rsidP="004A1847">
      <w:pPr>
        <w:spacing w:after="0" w:line="240" w:lineRule="auto"/>
      </w:pPr>
      <w:r>
        <w:continuationSeparator/>
      </w:r>
    </w:p>
  </w:footnote>
  <w:footnote w:type="continuationNotice" w:id="1">
    <w:p w14:paraId="180292FE" w14:textId="77777777" w:rsidR="00107EC2" w:rsidRDefault="00107EC2">
      <w:pPr>
        <w:spacing w:after="0" w:line="240" w:lineRule="auto"/>
      </w:pPr>
    </w:p>
  </w:footnote>
  <w:footnote w:id="2">
    <w:p w14:paraId="08473A86" w14:textId="77777777" w:rsidR="008A5F8D" w:rsidRPr="00A63E0F" w:rsidRDefault="008A5F8D" w:rsidP="00D52078">
      <w:pPr>
        <w:pStyle w:val="Textonotapie"/>
        <w:ind w:firstLine="708"/>
        <w:jc w:val="both"/>
        <w:rPr>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“La última formalidad que deben cumplir los contratos de la Administración dentro del marco jurídico de la contratación estatal se refiere a la liquidación, definida, en principio, como un negocio jurídico bilateral cuyo objeto es la realización del corte de cuentas entre las partes contratantes, en el cual queda establecida la relación directa entre las prestaciones ejecutaras, el valor cobrado por las mismas y su cancelación por parte del deudor de estas, sin perjuicio de los descuentos económicos a que haya lugar con motivo de la aplicación de estipulaciones contractuales específicas</w:t>
      </w:r>
      <w:r w:rsidRPr="00A63E0F">
        <w:rPr>
          <w:rFonts w:ascii="Verdana" w:hAnsi="Verdana" w:cs="Arial"/>
          <w:color w:val="000000"/>
          <w:sz w:val="10"/>
          <w:szCs w:val="10"/>
          <w:shd w:val="clear" w:color="auto" w:fill="FFFFFF"/>
        </w:rPr>
        <w:t>” (</w:t>
      </w:r>
      <w:r w:rsidRPr="00A63E0F">
        <w:rPr>
          <w:rFonts w:ascii="Verdana" w:hAnsi="Verdana" w:cs="Arial"/>
          <w:color w:val="000000"/>
          <w:sz w:val="10"/>
          <w:szCs w:val="10"/>
        </w:rPr>
        <w:t>EXPOSITO, Juan Carlos. Forma y contenido del contrato estatal. Bogotá: Universidad Externado de Colombia, p. 89 y 90).</w:t>
      </w:r>
    </w:p>
  </w:footnote>
  <w:footnote w:id="3">
    <w:p w14:paraId="2F9CE851" w14:textId="77777777" w:rsidR="008A5F8D" w:rsidRPr="00A63E0F" w:rsidRDefault="008A5F8D" w:rsidP="00D52078">
      <w:pPr>
        <w:pStyle w:val="Textonotapie"/>
        <w:ind w:firstLine="708"/>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DÍAZ DÍEZ, Cristian Andrés. La liquidación. Serie: Las Cláusulas del Contrato Estatal. Medellín: Librería Jurídica Sánchez y Centro de Estudios de Derecho Administrativo –CEDA–, 2013, pp. 53-54.</w:t>
      </w:r>
    </w:p>
    <w:p w14:paraId="54C6416D" w14:textId="77777777" w:rsidR="00327390" w:rsidRPr="00A63E0F" w:rsidRDefault="00327390" w:rsidP="00D52078">
      <w:pPr>
        <w:pStyle w:val="Textonotapie"/>
        <w:ind w:firstLine="708"/>
        <w:jc w:val="both"/>
        <w:rPr>
          <w:sz w:val="10"/>
          <w:szCs w:val="10"/>
        </w:rPr>
      </w:pPr>
    </w:p>
  </w:footnote>
  <w:footnote w:id="4">
    <w:p w14:paraId="318949C3" w14:textId="77777777" w:rsidR="008A5F8D" w:rsidRDefault="008A5F8D" w:rsidP="00D52078">
      <w:pPr>
        <w:spacing w:after="0" w:line="240" w:lineRule="auto"/>
        <w:ind w:firstLine="708"/>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Consejo de Estado. Sección Tercera. Subsección C. 20 de octubre de 2014, M.P: Enrique Gil Botero. Exp. 27.777.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263C615B" w14:textId="77777777" w:rsidR="00A63E0F" w:rsidRPr="00A63E0F" w:rsidRDefault="00A63E0F" w:rsidP="00D52078">
      <w:pPr>
        <w:spacing w:after="0" w:line="240" w:lineRule="auto"/>
        <w:ind w:firstLine="708"/>
        <w:jc w:val="both"/>
        <w:rPr>
          <w:sz w:val="10"/>
          <w:szCs w:val="10"/>
        </w:rPr>
      </w:pPr>
    </w:p>
  </w:footnote>
  <w:footnote w:id="5">
    <w:p w14:paraId="7ADF8B9D" w14:textId="77777777" w:rsidR="008A5F8D" w:rsidRPr="00A63E0F" w:rsidRDefault="008A5F8D" w:rsidP="00D52078">
      <w:pPr>
        <w:pStyle w:val="Textonotapie"/>
        <w:ind w:firstLine="708"/>
        <w:jc w:val="both"/>
        <w:rPr>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EXPÓSITO VÉLEZ, Juan Carlos. Forma y contenido del contrato estatal, p. 90.</w:t>
      </w:r>
    </w:p>
  </w:footnote>
  <w:footnote w:id="6">
    <w:p w14:paraId="6CFBF4B4" w14:textId="77777777" w:rsidR="008A5F8D" w:rsidRDefault="008A5F8D" w:rsidP="00D52078">
      <w:pPr>
        <w:pStyle w:val="Textonotapie"/>
        <w:ind w:firstLine="708"/>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CONSEJO DE ESTADO, Sala de Consulta y Servicio Civil. Radicado No. 1453. Concepto de 6 de agosto de 2003. MP. Augusto Trejos.</w:t>
      </w:r>
    </w:p>
    <w:p w14:paraId="560E2E56" w14:textId="77777777" w:rsidR="00A63E0F" w:rsidRPr="00A63E0F" w:rsidRDefault="00A63E0F" w:rsidP="00D52078">
      <w:pPr>
        <w:pStyle w:val="Textonotapie"/>
        <w:ind w:firstLine="708"/>
        <w:jc w:val="both"/>
        <w:rPr>
          <w:sz w:val="10"/>
          <w:szCs w:val="10"/>
        </w:rPr>
      </w:pPr>
    </w:p>
  </w:footnote>
  <w:footnote w:id="7">
    <w:p w14:paraId="18E7822C" w14:textId="77777777" w:rsidR="008A5F8D" w:rsidRPr="00A63E0F" w:rsidRDefault="008A5F8D" w:rsidP="00D52078">
      <w:pPr>
        <w:pStyle w:val="Textonotapie"/>
        <w:ind w:firstLine="708"/>
        <w:jc w:val="both"/>
        <w:rPr>
          <w:rFonts w:ascii="Verdana" w:hAnsi="Verdana" w:cs="Arial"/>
          <w:color w:val="000000"/>
          <w:sz w:val="10"/>
          <w:szCs w:val="10"/>
          <w:lang w:val="es-ES"/>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w:t>
      </w:r>
      <w:r w:rsidRPr="00A63E0F">
        <w:rPr>
          <w:rFonts w:ascii="Verdana" w:hAnsi="Verdana" w:cs="Arial"/>
          <w:color w:val="000000"/>
          <w:sz w:val="10"/>
          <w:szCs w:val="10"/>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479914E" w14:textId="77777777" w:rsidR="008A5F8D" w:rsidRPr="00A63E0F" w:rsidRDefault="008A5F8D" w:rsidP="00D52078">
      <w:pPr>
        <w:pStyle w:val="Textonotapie"/>
        <w:ind w:firstLine="708"/>
        <w:jc w:val="both"/>
        <w:rPr>
          <w:rFonts w:ascii="Verdana" w:hAnsi="Verdana" w:cs="Arial"/>
          <w:color w:val="000000"/>
          <w:sz w:val="10"/>
          <w:szCs w:val="10"/>
          <w:lang w:val="es-ES"/>
        </w:rPr>
      </w:pPr>
      <w:r w:rsidRPr="00A63E0F">
        <w:rPr>
          <w:rFonts w:ascii="Verdana" w:hAnsi="Verdana" w:cs="Arial"/>
          <w:color w:val="000000"/>
          <w:sz w:val="10"/>
          <w:szCs w:val="10"/>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6C7FD1B" w14:textId="77777777" w:rsidR="008A5F8D" w:rsidRPr="00A63E0F" w:rsidRDefault="008A5F8D" w:rsidP="00D52078">
      <w:pPr>
        <w:pStyle w:val="Textonotapie"/>
        <w:ind w:firstLine="708"/>
        <w:jc w:val="both"/>
        <w:rPr>
          <w:rFonts w:ascii="Verdana" w:hAnsi="Verdana" w:cs="Arial"/>
          <w:color w:val="000000"/>
          <w:sz w:val="10"/>
          <w:szCs w:val="10"/>
          <w:lang w:val="es-ES"/>
        </w:rPr>
      </w:pPr>
      <w:r w:rsidRPr="00A63E0F">
        <w:rPr>
          <w:rFonts w:ascii="Verdana" w:hAnsi="Verdana" w:cs="Arial"/>
          <w:color w:val="000000"/>
          <w:sz w:val="10"/>
          <w:szCs w:val="10"/>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0145CF40" w14:textId="77777777" w:rsidR="008A5F8D" w:rsidRPr="00A63E0F" w:rsidRDefault="008A5F8D" w:rsidP="00D52078">
      <w:pPr>
        <w:pStyle w:val="Textonotapie"/>
        <w:ind w:firstLine="708"/>
        <w:jc w:val="both"/>
        <w:rPr>
          <w:sz w:val="10"/>
          <w:szCs w:val="10"/>
        </w:rPr>
      </w:pPr>
      <w:r w:rsidRPr="00A63E0F">
        <w:rPr>
          <w:rFonts w:ascii="Verdana" w:hAnsi="Verdana" w:cs="Arial"/>
          <w:color w:val="000000"/>
          <w:sz w:val="10"/>
          <w:szCs w:val="10"/>
          <w:lang w:val="es-ES"/>
        </w:rPr>
        <w:t>Los contratistas tendrán derecho a efectuar salvedades a la liquidación por mutuo acuerdo, y en este evento la liquidación unilateral solo procederá en relación con los aspectos que no hayan sido objeto de acuerdo”.</w:t>
      </w:r>
    </w:p>
  </w:footnote>
  <w:footnote w:id="8">
    <w:p w14:paraId="6E2C86F0" w14:textId="77777777" w:rsidR="008A5F8D" w:rsidRPr="00A63E0F" w:rsidRDefault="008A5F8D" w:rsidP="00D52078">
      <w:pPr>
        <w:pStyle w:val="Textonotapie"/>
        <w:ind w:firstLine="709"/>
        <w:jc w:val="both"/>
        <w:rPr>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CONSEJO DE ESTADO, Sección Tercera, Subsección C, Sentencia del 24 de julio de 2013, radicado No. 25.642, Consejero Ponente Enrique Gil Botero.</w:t>
      </w:r>
    </w:p>
  </w:footnote>
  <w:footnote w:id="9">
    <w:p w14:paraId="3D41AA56" w14:textId="77777777" w:rsidR="008A5F8D" w:rsidRPr="00A63E0F" w:rsidRDefault="008A5F8D" w:rsidP="00D52078">
      <w:pPr>
        <w:pStyle w:val="NormalWeb"/>
        <w:spacing w:before="0" w:beforeAutospacing="0" w:after="0" w:afterAutospacing="0"/>
        <w:ind w:firstLine="709"/>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Decreto 1082 de 2015 “</w:t>
      </w:r>
      <w:r w:rsidRPr="00A63E0F">
        <w:rPr>
          <w:rStyle w:val="Textoennegrita"/>
          <w:rFonts w:ascii="Verdana" w:hAnsi="Verdana" w:cs="Arial"/>
          <w:color w:val="000000"/>
          <w:sz w:val="10"/>
          <w:szCs w:val="10"/>
        </w:rPr>
        <w:t>Artículo 2.2.1.2.1.5.2. </w:t>
      </w:r>
      <w:r w:rsidRPr="00A63E0F">
        <w:rPr>
          <w:rStyle w:val="nfasis"/>
          <w:rFonts w:ascii="Verdana" w:eastAsia="MS Mincho" w:hAnsi="Verdana" w:cs="Arial"/>
          <w:color w:val="000000"/>
          <w:sz w:val="10"/>
          <w:szCs w:val="10"/>
        </w:rPr>
        <w:t>Procedimiento para la contratación de mínima cuantía. </w:t>
      </w:r>
      <w:r w:rsidRPr="00A63E0F">
        <w:rPr>
          <w:rFonts w:ascii="Verdana" w:hAnsi="Verdana" w:cs="Arial"/>
          <w:color w:val="000000"/>
          <w:sz w:val="10"/>
          <w:szCs w:val="10"/>
        </w:rPr>
        <w:t>Las siguientes reglas son aplicables a la contratación cuyo valor no excede del 10% de la menor cuantía de la Entidad Estatal, independientemente de su objeto: </w:t>
      </w:r>
    </w:p>
    <w:p w14:paraId="1B308215" w14:textId="77777777" w:rsidR="008A5F8D" w:rsidRPr="00A63E0F" w:rsidRDefault="008A5F8D" w:rsidP="00D52078">
      <w:pPr>
        <w:pStyle w:val="NormalWeb"/>
        <w:spacing w:before="0" w:beforeAutospacing="0" w:after="0" w:afterAutospacing="0"/>
        <w:jc w:val="both"/>
        <w:rPr>
          <w:sz w:val="10"/>
          <w:szCs w:val="10"/>
        </w:rPr>
      </w:pPr>
      <w:r w:rsidRPr="00A63E0F">
        <w:rPr>
          <w:rFonts w:ascii="Verdana" w:hAnsi="Verdana" w:cs="Arial"/>
          <w:color w:val="000000"/>
          <w:sz w:val="10"/>
          <w:szCs w:val="10"/>
        </w:rPr>
        <w:t>  </w:t>
      </w:r>
      <w:r w:rsidRPr="00A63E0F">
        <w:rPr>
          <w:rFonts w:ascii="Verdana" w:hAnsi="Verdana" w:cs="Arial"/>
          <w:color w:val="000000"/>
          <w:sz w:val="10"/>
          <w:szCs w:val="10"/>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footnote>
  <w:footnote w:id="10">
    <w:p w14:paraId="2EFB1521" w14:textId="77777777" w:rsidR="008A5F8D" w:rsidRPr="00A63E0F" w:rsidRDefault="008A5F8D" w:rsidP="00D52078">
      <w:pPr>
        <w:pStyle w:val="NormalWeb"/>
        <w:spacing w:before="0" w:beforeAutospacing="0" w:after="0" w:afterAutospacing="0"/>
        <w:ind w:firstLine="720"/>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Ley 80 de 1993 “</w:t>
      </w:r>
      <w:r w:rsidRPr="00A63E0F">
        <w:rPr>
          <w:rStyle w:val="Textoennegrita"/>
          <w:rFonts w:ascii="Verdana" w:hAnsi="Verdana" w:cs="Arial"/>
          <w:color w:val="000000"/>
          <w:sz w:val="10"/>
          <w:szCs w:val="10"/>
        </w:rPr>
        <w:t>Articulo 39. De la forma del contrato estatal. </w:t>
      </w:r>
      <w:r w:rsidRPr="00A63E0F">
        <w:rPr>
          <w:rFonts w:ascii="Verdana" w:hAnsi="Verdana" w:cs="Arial"/>
          <w:color w:val="000000"/>
          <w:sz w:val="10"/>
          <w:szCs w:val="10"/>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716660FC" w14:textId="77777777" w:rsidR="008A5F8D" w:rsidRPr="00A63E0F" w:rsidRDefault="008A5F8D" w:rsidP="00D52078">
      <w:pPr>
        <w:pStyle w:val="NormalWeb"/>
        <w:spacing w:before="0" w:beforeAutospacing="0" w:after="0" w:afterAutospacing="0"/>
        <w:jc w:val="both"/>
        <w:rPr>
          <w:rFonts w:ascii="Verdana" w:hAnsi="Verdana" w:cs="Arial"/>
          <w:color w:val="000000"/>
          <w:sz w:val="10"/>
          <w:szCs w:val="10"/>
        </w:rPr>
      </w:pPr>
      <w:r w:rsidRPr="00A63E0F">
        <w:rPr>
          <w:rFonts w:ascii="Verdana" w:hAnsi="Verdana" w:cs="Arial"/>
          <w:color w:val="000000"/>
          <w:sz w:val="10"/>
          <w:szCs w:val="10"/>
        </w:rPr>
        <w:t>  </w:t>
      </w:r>
      <w:r w:rsidRPr="00A63E0F">
        <w:rPr>
          <w:rFonts w:ascii="Verdana" w:hAnsi="Verdana" w:cs="Arial"/>
          <w:color w:val="000000"/>
          <w:sz w:val="10"/>
          <w:szCs w:val="10"/>
        </w:rPr>
        <w:tab/>
        <w:t>[…]</w:t>
      </w:r>
      <w:bookmarkStart w:id="1" w:name="ver_1790147"/>
      <w:bookmarkStart w:id="2" w:name="ver_30220791"/>
      <w:bookmarkStart w:id="3" w:name="ver_1790148"/>
      <w:bookmarkEnd w:id="1"/>
      <w:bookmarkEnd w:id="2"/>
    </w:p>
    <w:p w14:paraId="7FA3A71E" w14:textId="77777777" w:rsidR="008A5F8D" w:rsidRPr="00A63E0F" w:rsidRDefault="008A5F8D" w:rsidP="00D52078">
      <w:pPr>
        <w:pStyle w:val="NormalWeb"/>
        <w:spacing w:before="0" w:beforeAutospacing="0" w:after="0" w:afterAutospacing="0"/>
        <w:ind w:firstLine="720"/>
        <w:jc w:val="both"/>
        <w:rPr>
          <w:rFonts w:ascii="Verdana" w:hAnsi="Verdana" w:cs="Arial"/>
          <w:color w:val="000000"/>
          <w:sz w:val="10"/>
          <w:szCs w:val="10"/>
        </w:rPr>
      </w:pPr>
      <w:r w:rsidRPr="00A63E0F">
        <w:rPr>
          <w:rStyle w:val="Textoennegrita"/>
          <w:rFonts w:ascii="Verdana" w:hAnsi="Verdana" w:cs="Arial"/>
          <w:color w:val="000000"/>
          <w:sz w:val="10"/>
          <w:szCs w:val="10"/>
        </w:rPr>
        <w:t>Artículo 40. Del contenido del contrato estatal.</w:t>
      </w:r>
      <w:r w:rsidRPr="00A63E0F">
        <w:rPr>
          <w:rFonts w:ascii="Verdana" w:hAnsi="Verdana" w:cs="Arial"/>
          <w:color w:val="000000"/>
          <w:sz w:val="10"/>
          <w:szCs w:val="10"/>
        </w:rPr>
        <w:t> Las estipulaciones de los contratos serán las que de acuerdo con las normas civiles, comerciales y las previstas en esta ley, correspondan a su esencia y naturaleza. </w:t>
      </w:r>
    </w:p>
    <w:p w14:paraId="444F289A" w14:textId="77777777" w:rsidR="008A5F8D" w:rsidRPr="00A63E0F" w:rsidRDefault="008A5F8D" w:rsidP="00D52078">
      <w:pPr>
        <w:pStyle w:val="NormalWeb"/>
        <w:spacing w:before="0" w:beforeAutospacing="0" w:after="0" w:afterAutospacing="0"/>
        <w:ind w:firstLine="720"/>
        <w:jc w:val="both"/>
        <w:rPr>
          <w:rFonts w:ascii="Verdana" w:hAnsi="Verdana" w:cs="Arial"/>
          <w:color w:val="000000"/>
          <w:sz w:val="10"/>
          <w:szCs w:val="10"/>
        </w:rPr>
      </w:pPr>
      <w:r w:rsidRPr="00A63E0F">
        <w:rPr>
          <w:rFonts w:ascii="Verdana" w:hAnsi="Verdana" w:cs="Arial"/>
          <w:color w:val="000000"/>
          <w:sz w:val="10"/>
          <w:szCs w:val="10"/>
        </w:rPr>
        <w:t>Las entidades podrán celebrar los contratos y acuerdos que permitan la autonomía de la voluntad y requieran el cumplimiento de los fines estatales. </w:t>
      </w:r>
    </w:p>
    <w:p w14:paraId="2BD57BC8" w14:textId="77777777" w:rsidR="008A5F8D" w:rsidRPr="00A63E0F" w:rsidRDefault="008A5F8D" w:rsidP="00D52078">
      <w:pPr>
        <w:pStyle w:val="NormalWeb"/>
        <w:spacing w:before="0" w:beforeAutospacing="0" w:after="0" w:afterAutospacing="0"/>
        <w:jc w:val="both"/>
        <w:rPr>
          <w:rFonts w:ascii="Verdana" w:hAnsi="Verdana" w:cs="Arial"/>
          <w:color w:val="000000"/>
          <w:sz w:val="10"/>
          <w:szCs w:val="10"/>
        </w:rPr>
      </w:pPr>
      <w:r w:rsidRPr="00A63E0F">
        <w:rPr>
          <w:rFonts w:ascii="Verdana" w:hAnsi="Verdana" w:cs="Arial"/>
          <w:color w:val="000000"/>
          <w:sz w:val="10"/>
          <w:szCs w:val="10"/>
        </w:rPr>
        <w:t>  </w:t>
      </w:r>
      <w:r w:rsidRPr="00A63E0F">
        <w:rPr>
          <w:rFonts w:ascii="Verdana" w:hAnsi="Verdana" w:cs="Arial"/>
          <w:color w:val="000000"/>
          <w:sz w:val="10"/>
          <w:szCs w:val="10"/>
        </w:rPr>
        <w:tab/>
        <w:t>[…]  </w:t>
      </w:r>
    </w:p>
    <w:p w14:paraId="37FA6759" w14:textId="77777777" w:rsidR="008A5F8D" w:rsidRPr="00A63E0F" w:rsidRDefault="008A5F8D" w:rsidP="00D52078">
      <w:pPr>
        <w:pStyle w:val="NormalWeb"/>
        <w:spacing w:before="0" w:beforeAutospacing="0" w:after="0" w:afterAutospacing="0"/>
        <w:ind w:firstLine="720"/>
        <w:jc w:val="both"/>
        <w:rPr>
          <w:sz w:val="10"/>
          <w:szCs w:val="10"/>
        </w:rPr>
      </w:pPr>
      <w:bookmarkStart w:id="4" w:name="ver_30161420"/>
      <w:bookmarkStart w:id="5" w:name="ver_1790149"/>
      <w:bookmarkStart w:id="6" w:name="ver_30161408"/>
      <w:bookmarkStart w:id="7" w:name="ver_30161443"/>
      <w:bookmarkEnd w:id="3"/>
      <w:bookmarkEnd w:id="4"/>
      <w:bookmarkEnd w:id="5"/>
      <w:bookmarkEnd w:id="6"/>
      <w:bookmarkEnd w:id="7"/>
      <w:r w:rsidRPr="00A63E0F">
        <w:rPr>
          <w:rStyle w:val="Textoennegrita"/>
          <w:rFonts w:ascii="Verdana" w:hAnsi="Verdana" w:cs="Arial"/>
          <w:color w:val="000000"/>
          <w:sz w:val="10"/>
          <w:szCs w:val="10"/>
        </w:rPr>
        <w:t>Artículo 41. Del perfeccionamiento del contrato.</w:t>
      </w:r>
      <w:r w:rsidRPr="00A63E0F">
        <w:rPr>
          <w:rFonts w:ascii="Verdana" w:hAnsi="Verdana" w:cs="Arial"/>
          <w:color w:val="000000"/>
          <w:sz w:val="10"/>
          <w:szCs w:val="10"/>
        </w:rPr>
        <w:t> Los contratos del Estado se perfeccionan cuando se logre acuerdo sobre el objeto y la contraprestación y éste se eleve a escrito […]”.</w:t>
      </w:r>
    </w:p>
  </w:footnote>
  <w:footnote w:id="11">
    <w:p w14:paraId="1C5B83F2" w14:textId="0AE02F0B" w:rsidR="008A5F8D" w:rsidRPr="00A63E0F" w:rsidRDefault="008A5F8D" w:rsidP="00D52078">
      <w:pPr>
        <w:pStyle w:val="Textonotapie"/>
        <w:ind w:firstLine="709"/>
        <w:jc w:val="both"/>
        <w:rPr>
          <w:rFonts w:ascii="Verdana" w:hAnsi="Verdana"/>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Ley 80 de 1993 “</w:t>
      </w:r>
      <w:r w:rsidRPr="00A63E0F">
        <w:rPr>
          <w:rStyle w:val="Textoennegrita"/>
          <w:rFonts w:ascii="Verdana" w:hAnsi="Verdana" w:cs="Arial"/>
          <w:color w:val="000000"/>
          <w:sz w:val="10"/>
          <w:szCs w:val="10"/>
        </w:rPr>
        <w:t>Artículo 77. De la normatividad aplicable en las actuaciones administrativas.</w:t>
      </w:r>
      <w:r w:rsidRPr="00A63E0F">
        <w:rPr>
          <w:rFonts w:ascii="Verdana" w:hAnsi="Verdana" w:cs="Arial"/>
          <w:color w:val="000000"/>
          <w:sz w:val="10"/>
          <w:szCs w:val="10"/>
        </w:rPr>
        <w:t xml:space="preserve"> En cuanto sean compatibles con la finalidad y los principios de esta ley, las normas que rigen los procedimientos y actuaciones en la función </w:t>
      </w:r>
      <w:r w:rsidR="00B627FA" w:rsidRPr="00A63E0F">
        <w:rPr>
          <w:rFonts w:ascii="Verdana" w:hAnsi="Verdana" w:cs="Arial"/>
          <w:color w:val="000000"/>
          <w:sz w:val="10"/>
          <w:szCs w:val="10"/>
        </w:rPr>
        <w:t>administrativa</w:t>
      </w:r>
      <w:r w:rsidRPr="00A63E0F">
        <w:rPr>
          <w:rFonts w:ascii="Verdana" w:hAnsi="Verdana" w:cs="Arial"/>
          <w:color w:val="000000"/>
          <w:sz w:val="10"/>
          <w:szCs w:val="10"/>
        </w:rPr>
        <w:t xml:space="preserve"> serán aplicables en las actuaciones contractuales. A falta de estas, regirán las disposiciones del Código de Procedimiento Civil […]”. </w:t>
      </w:r>
    </w:p>
  </w:footnote>
  <w:footnote w:id="12">
    <w:p w14:paraId="7DE1A0BE" w14:textId="77777777" w:rsidR="008A5F8D" w:rsidRPr="00A63E0F" w:rsidRDefault="008A5F8D" w:rsidP="00D52078">
      <w:pPr>
        <w:pStyle w:val="NormalWeb"/>
        <w:spacing w:before="0" w:beforeAutospacing="0" w:after="0" w:afterAutospacing="0"/>
        <w:ind w:firstLine="709"/>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Ley 80 de 1993 “</w:t>
      </w:r>
      <w:r w:rsidRPr="00A63E0F">
        <w:rPr>
          <w:rStyle w:val="Textoennegrita"/>
          <w:rFonts w:ascii="Verdana" w:hAnsi="Verdana" w:cs="Arial"/>
          <w:color w:val="000000"/>
          <w:sz w:val="10"/>
          <w:szCs w:val="10"/>
        </w:rPr>
        <w:t>Artículo 25. Del principio de economía.</w:t>
      </w:r>
      <w:r w:rsidRPr="00A63E0F">
        <w:rPr>
          <w:rFonts w:ascii="Verdana" w:hAnsi="Verdana" w:cs="Arial"/>
          <w:color w:val="000000"/>
          <w:sz w:val="10"/>
          <w:szCs w:val="10"/>
        </w:rPr>
        <w:t> En virtud de este principio: </w:t>
      </w:r>
    </w:p>
    <w:p w14:paraId="53E0A450" w14:textId="77777777" w:rsidR="008A5F8D" w:rsidRPr="00A63E0F" w:rsidRDefault="008A5F8D" w:rsidP="00D52078">
      <w:pPr>
        <w:pStyle w:val="NormalWeb"/>
        <w:spacing w:before="0" w:beforeAutospacing="0" w:after="0" w:afterAutospacing="0"/>
        <w:ind w:firstLine="709"/>
        <w:jc w:val="both"/>
        <w:rPr>
          <w:rFonts w:ascii="Verdana" w:hAnsi="Verdana" w:cs="Arial"/>
          <w:color w:val="000000"/>
          <w:sz w:val="10"/>
          <w:szCs w:val="10"/>
        </w:rPr>
      </w:pPr>
      <w:r w:rsidRPr="00A63E0F">
        <w:rPr>
          <w:rFonts w:ascii="Verdana" w:hAnsi="Verdana" w:cs="Arial"/>
          <w:color w:val="000000"/>
          <w:sz w:val="10"/>
          <w:szCs w:val="10"/>
        </w:rPr>
        <w:t>[…]</w:t>
      </w:r>
    </w:p>
    <w:p w14:paraId="6C0C84AD" w14:textId="77777777" w:rsidR="008A5F8D" w:rsidRPr="00A63E0F" w:rsidRDefault="008A5F8D" w:rsidP="00D52078">
      <w:pPr>
        <w:pStyle w:val="NormalWeb"/>
        <w:spacing w:before="0" w:beforeAutospacing="0" w:after="0" w:afterAutospacing="0"/>
        <w:ind w:firstLine="709"/>
        <w:jc w:val="both"/>
        <w:rPr>
          <w:rFonts w:ascii="Verdana" w:hAnsi="Verdana" w:cs="Arial"/>
          <w:color w:val="000000"/>
          <w:sz w:val="10"/>
          <w:szCs w:val="10"/>
        </w:rPr>
      </w:pPr>
      <w:r w:rsidRPr="00A63E0F">
        <w:rPr>
          <w:rFonts w:ascii="Verdana" w:hAnsi="Verdana" w:cs="Arial"/>
          <w:color w:val="000000"/>
          <w:sz w:val="10"/>
          <w:szCs w:val="10"/>
        </w:rPr>
        <w:t>4o. Los trámites se adelantarán con austeridad de tiempo, medios y gastos y se impedirán las dilaciones y los retardos en la ejecución del contrato. </w:t>
      </w:r>
    </w:p>
    <w:p w14:paraId="374AC51A" w14:textId="77777777" w:rsidR="008A5F8D" w:rsidRPr="00A63E0F" w:rsidRDefault="008A5F8D" w:rsidP="00D52078">
      <w:pPr>
        <w:pStyle w:val="NormalWeb"/>
        <w:spacing w:before="0" w:beforeAutospacing="0" w:after="0" w:afterAutospacing="0"/>
        <w:jc w:val="both"/>
        <w:rPr>
          <w:rFonts w:ascii="Verdana" w:hAnsi="Verdana"/>
          <w:sz w:val="10"/>
          <w:szCs w:val="10"/>
        </w:rPr>
      </w:pPr>
      <w:r w:rsidRPr="00A63E0F">
        <w:rPr>
          <w:rFonts w:ascii="Verdana" w:hAnsi="Verdana" w:cs="Arial"/>
          <w:color w:val="000000"/>
          <w:sz w:val="10"/>
          <w:szCs w:val="10"/>
        </w:rPr>
        <w:t>  </w:t>
      </w:r>
      <w:r w:rsidRPr="00A63E0F">
        <w:rPr>
          <w:rFonts w:ascii="Verdana" w:hAnsi="Verdana" w:cs="Arial"/>
          <w:color w:val="000000"/>
          <w:sz w:val="10"/>
          <w:szCs w:val="10"/>
        </w:rPr>
        <w:tab/>
        <w:t>5o. Se adoptarán procedimientos que garanticen la pronta solución de las diferencias y controversias que con motivo de la celebración y ejecución del contrato se presenten […]”.</w:t>
      </w:r>
    </w:p>
  </w:footnote>
  <w:footnote w:id="13">
    <w:p w14:paraId="4A7851C8" w14:textId="4973C7D7" w:rsidR="008A5F8D" w:rsidRDefault="008A5F8D" w:rsidP="00D52078">
      <w:pPr>
        <w:pStyle w:val="Textonotapie"/>
        <w:ind w:firstLine="708"/>
        <w:jc w:val="both"/>
        <w:rPr>
          <w:rFonts w:ascii="Verdana" w:hAnsi="Verdana" w:cs="Arial"/>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COLOMBIA COMPRA EFICIENTE. Guía para la Liquidación de los Procesos de Contratación. página 5, disponible en: </w:t>
      </w:r>
      <w:r w:rsidRPr="00A63E0F">
        <w:rPr>
          <w:rFonts w:ascii="Verdana" w:hAnsi="Verdana" w:cs="Arial"/>
          <w:sz w:val="10"/>
          <w:szCs w:val="10"/>
        </w:rPr>
        <w:t xml:space="preserve">https://www.colombiacompra.gov.co/sites/cce_public/files/cce_documents/cce_guia_liquidacion_procesos.pdf  </w:t>
      </w:r>
    </w:p>
    <w:p w14:paraId="25321DCE" w14:textId="77777777" w:rsidR="007E58AB" w:rsidRPr="00A63E0F" w:rsidRDefault="007E58AB" w:rsidP="00D52078">
      <w:pPr>
        <w:pStyle w:val="Textonotapie"/>
        <w:ind w:firstLine="708"/>
        <w:jc w:val="both"/>
        <w:rPr>
          <w:rFonts w:ascii="Verdana" w:hAnsi="Verdana"/>
          <w:sz w:val="10"/>
          <w:szCs w:val="10"/>
        </w:rPr>
      </w:pPr>
    </w:p>
  </w:footnote>
  <w:footnote w:id="14">
    <w:p w14:paraId="04E64F9C" w14:textId="77777777" w:rsidR="008A5F8D" w:rsidRPr="00A63E0F" w:rsidRDefault="008A5F8D" w:rsidP="00D52078">
      <w:pPr>
        <w:pStyle w:val="Textonotapie"/>
        <w:ind w:firstLine="708"/>
        <w:jc w:val="both"/>
        <w:rPr>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15">
    <w:p w14:paraId="1288C102" w14:textId="77777777" w:rsidR="008A5F8D" w:rsidRDefault="008A5F8D" w:rsidP="00D52078">
      <w:pPr>
        <w:pStyle w:val="Textonotapie"/>
        <w:ind w:firstLine="708"/>
        <w:jc w:val="both"/>
        <w:rPr>
          <w:rFonts w:ascii="Verdana" w:hAnsi="Verdana" w:cs="Arial"/>
          <w:color w:val="000000"/>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CONSEJO DE ESTADO. Sala de Consulta y Servicio Civil. Concepto de 28 de Junio de 2016. Radicación: 2253. C.P. Álvaro Namén Vargas. </w:t>
      </w:r>
    </w:p>
    <w:p w14:paraId="3A43CF06" w14:textId="77777777" w:rsidR="0000664F" w:rsidRPr="00A63E0F" w:rsidRDefault="0000664F" w:rsidP="00D52078">
      <w:pPr>
        <w:pStyle w:val="Textonotapie"/>
        <w:ind w:firstLine="708"/>
        <w:jc w:val="both"/>
        <w:rPr>
          <w:sz w:val="10"/>
          <w:szCs w:val="10"/>
        </w:rPr>
      </w:pPr>
    </w:p>
  </w:footnote>
  <w:footnote w:id="16">
    <w:p w14:paraId="23611915" w14:textId="77777777" w:rsidR="008A5F8D" w:rsidRPr="00A63E0F" w:rsidRDefault="008A5F8D" w:rsidP="00D52078">
      <w:pPr>
        <w:pStyle w:val="Textonotapie"/>
        <w:ind w:firstLine="708"/>
        <w:jc w:val="both"/>
        <w:rPr>
          <w:sz w:val="10"/>
          <w:szCs w:val="10"/>
        </w:rPr>
      </w:pPr>
      <w:r w:rsidRPr="00A63E0F">
        <w:rPr>
          <w:rFonts w:ascii="Verdana" w:hAnsi="Verdana" w:cs="Arial"/>
          <w:color w:val="000000"/>
          <w:sz w:val="10"/>
          <w:szCs w:val="10"/>
          <w:vertAlign w:val="superscript"/>
        </w:rPr>
        <w:footnoteRef/>
      </w:r>
      <w:r w:rsidRPr="00A63E0F">
        <w:rPr>
          <w:rFonts w:ascii="Verdana" w:hAnsi="Verdana" w:cs="Arial"/>
          <w:color w:val="000000"/>
          <w:sz w:val="10"/>
          <w:szCs w:val="10"/>
        </w:rPr>
        <w:t xml:space="preserve"> CONSEJO DE ESTADO. Sección Tercera. </w:t>
      </w:r>
      <w:r w:rsidRPr="00A63E0F">
        <w:rPr>
          <w:rFonts w:ascii="Verdana" w:hAnsi="Verdana" w:cs="Arial"/>
          <w:color w:val="000000"/>
          <w:sz w:val="10"/>
          <w:szCs w:val="10"/>
          <w:lang w:val="es-CO"/>
        </w:rPr>
        <w:t xml:space="preserve">Sala Plena. Auto del 1 de agosto de 2019. </w:t>
      </w:r>
      <w:r w:rsidRPr="00A63E0F">
        <w:rPr>
          <w:rFonts w:ascii="Verdana" w:hAnsi="Verdana" w:cs="Arial"/>
          <w:color w:val="000000"/>
          <w:sz w:val="10"/>
          <w:szCs w:val="10"/>
        </w:rPr>
        <w:t xml:space="preserve">Exp. 62009. C.P. Jaime Enrique Rodríguez Navas. </w:t>
      </w:r>
      <w:r w:rsidRPr="00A63E0F">
        <w:rPr>
          <w:rFonts w:ascii="Verdana" w:hAnsi="Verdana"/>
          <w:color w:val="000000"/>
          <w:sz w:val="10"/>
          <w:szCs w:val="1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7FE1230C" w14:textId="686DD964" w:rsidR="004A305D" w:rsidRPr="00DC39FC" w:rsidRDefault="004A305D"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72"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F314BB3"/>
    <w:multiLevelType w:val="hybridMultilevel"/>
    <w:tmpl w:val="D91ED34A"/>
    <w:lvl w:ilvl="0" w:tplc="25DE0570">
      <w:start w:val="1"/>
      <w:numFmt w:val="lowerRoman"/>
      <w:lvlText w:val="%1)"/>
      <w:lvlJc w:val="left"/>
      <w:pPr>
        <w:ind w:left="1080" w:hanging="720"/>
      </w:pPr>
      <w:rPr>
        <w:rFonts w:ascii="Verdana" w:eastAsia="Century Gothic" w:hAnsi="Verdana" w:cs="Century Gothic"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1C1F21"/>
    <w:multiLevelType w:val="multilevel"/>
    <w:tmpl w:val="BDE4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2072461456">
    <w:abstractNumId w:val="3"/>
  </w:num>
  <w:num w:numId="19" w16cid:durableId="7878959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64F"/>
    <w:rsid w:val="00014D96"/>
    <w:rsid w:val="00015D85"/>
    <w:rsid w:val="00016F78"/>
    <w:rsid w:val="00032408"/>
    <w:rsid w:val="00046945"/>
    <w:rsid w:val="00061B2A"/>
    <w:rsid w:val="00065CFB"/>
    <w:rsid w:val="00082362"/>
    <w:rsid w:val="000849FA"/>
    <w:rsid w:val="000A683E"/>
    <w:rsid w:val="000B03EC"/>
    <w:rsid w:val="000B19B9"/>
    <w:rsid w:val="000D0334"/>
    <w:rsid w:val="000F6486"/>
    <w:rsid w:val="00107EC2"/>
    <w:rsid w:val="00110472"/>
    <w:rsid w:val="00125105"/>
    <w:rsid w:val="00125C26"/>
    <w:rsid w:val="00127233"/>
    <w:rsid w:val="00140D94"/>
    <w:rsid w:val="001511A0"/>
    <w:rsid w:val="00172A4C"/>
    <w:rsid w:val="001D3C17"/>
    <w:rsid w:val="001E4177"/>
    <w:rsid w:val="001F7DC6"/>
    <w:rsid w:val="0020219C"/>
    <w:rsid w:val="002421BB"/>
    <w:rsid w:val="00245ECC"/>
    <w:rsid w:val="0025796E"/>
    <w:rsid w:val="002707A2"/>
    <w:rsid w:val="002951A0"/>
    <w:rsid w:val="002962BC"/>
    <w:rsid w:val="002A093D"/>
    <w:rsid w:val="002A0DD0"/>
    <w:rsid w:val="002A49AC"/>
    <w:rsid w:val="002A64FD"/>
    <w:rsid w:val="002A77F5"/>
    <w:rsid w:val="002C7A84"/>
    <w:rsid w:val="002E4FD9"/>
    <w:rsid w:val="00322A85"/>
    <w:rsid w:val="00324168"/>
    <w:rsid w:val="00327390"/>
    <w:rsid w:val="00341EEF"/>
    <w:rsid w:val="003448F4"/>
    <w:rsid w:val="00371559"/>
    <w:rsid w:val="00374F5E"/>
    <w:rsid w:val="00377E3E"/>
    <w:rsid w:val="00382F83"/>
    <w:rsid w:val="003920DA"/>
    <w:rsid w:val="003A779E"/>
    <w:rsid w:val="003B08B7"/>
    <w:rsid w:val="003C245F"/>
    <w:rsid w:val="003C665D"/>
    <w:rsid w:val="003D07AC"/>
    <w:rsid w:val="003D0F4D"/>
    <w:rsid w:val="003D5B0D"/>
    <w:rsid w:val="003D6E70"/>
    <w:rsid w:val="003E0499"/>
    <w:rsid w:val="003F3941"/>
    <w:rsid w:val="003F7484"/>
    <w:rsid w:val="00406575"/>
    <w:rsid w:val="00414C74"/>
    <w:rsid w:val="00415DED"/>
    <w:rsid w:val="00426764"/>
    <w:rsid w:val="0042722E"/>
    <w:rsid w:val="0044528D"/>
    <w:rsid w:val="004A1847"/>
    <w:rsid w:val="004A305D"/>
    <w:rsid w:val="004F21C4"/>
    <w:rsid w:val="004F2BFD"/>
    <w:rsid w:val="004F685F"/>
    <w:rsid w:val="005525FD"/>
    <w:rsid w:val="005566E8"/>
    <w:rsid w:val="00574867"/>
    <w:rsid w:val="00591460"/>
    <w:rsid w:val="005A1BEC"/>
    <w:rsid w:val="005A1D5A"/>
    <w:rsid w:val="005B3816"/>
    <w:rsid w:val="005C3777"/>
    <w:rsid w:val="005C5CDC"/>
    <w:rsid w:val="005D476C"/>
    <w:rsid w:val="005E1861"/>
    <w:rsid w:val="006219F8"/>
    <w:rsid w:val="00653F58"/>
    <w:rsid w:val="00662AA3"/>
    <w:rsid w:val="00665D70"/>
    <w:rsid w:val="00680229"/>
    <w:rsid w:val="006900D9"/>
    <w:rsid w:val="00696A64"/>
    <w:rsid w:val="006C713B"/>
    <w:rsid w:val="006D0A68"/>
    <w:rsid w:val="006D5D81"/>
    <w:rsid w:val="006F68B2"/>
    <w:rsid w:val="00706C16"/>
    <w:rsid w:val="0070782B"/>
    <w:rsid w:val="007307D6"/>
    <w:rsid w:val="007312DD"/>
    <w:rsid w:val="007537B3"/>
    <w:rsid w:val="00756841"/>
    <w:rsid w:val="007649AB"/>
    <w:rsid w:val="007659FC"/>
    <w:rsid w:val="00771D0C"/>
    <w:rsid w:val="00782D9C"/>
    <w:rsid w:val="007833AC"/>
    <w:rsid w:val="007947DD"/>
    <w:rsid w:val="007B268C"/>
    <w:rsid w:val="007B7171"/>
    <w:rsid w:val="007C0C0F"/>
    <w:rsid w:val="007C3DC2"/>
    <w:rsid w:val="007D1C23"/>
    <w:rsid w:val="007E5497"/>
    <w:rsid w:val="007E58AB"/>
    <w:rsid w:val="007F4318"/>
    <w:rsid w:val="00806F5F"/>
    <w:rsid w:val="00820278"/>
    <w:rsid w:val="008436FE"/>
    <w:rsid w:val="00846195"/>
    <w:rsid w:val="00867F95"/>
    <w:rsid w:val="008843B6"/>
    <w:rsid w:val="00891928"/>
    <w:rsid w:val="008A446D"/>
    <w:rsid w:val="008A5F8D"/>
    <w:rsid w:val="008B5765"/>
    <w:rsid w:val="008B6527"/>
    <w:rsid w:val="008C7721"/>
    <w:rsid w:val="008D180B"/>
    <w:rsid w:val="008F0EA7"/>
    <w:rsid w:val="00913B0B"/>
    <w:rsid w:val="00923EEF"/>
    <w:rsid w:val="00926DA9"/>
    <w:rsid w:val="009419F9"/>
    <w:rsid w:val="00954844"/>
    <w:rsid w:val="0095685E"/>
    <w:rsid w:val="00961B09"/>
    <w:rsid w:val="00962083"/>
    <w:rsid w:val="00965334"/>
    <w:rsid w:val="00967BD3"/>
    <w:rsid w:val="0097093E"/>
    <w:rsid w:val="00986AC5"/>
    <w:rsid w:val="009A0DFA"/>
    <w:rsid w:val="009B2D26"/>
    <w:rsid w:val="009C71FA"/>
    <w:rsid w:val="009C72E7"/>
    <w:rsid w:val="009D3058"/>
    <w:rsid w:val="009D7D69"/>
    <w:rsid w:val="009E16E4"/>
    <w:rsid w:val="009F3A13"/>
    <w:rsid w:val="00A002E5"/>
    <w:rsid w:val="00A122D3"/>
    <w:rsid w:val="00A17F13"/>
    <w:rsid w:val="00A20739"/>
    <w:rsid w:val="00A33C78"/>
    <w:rsid w:val="00A63E0F"/>
    <w:rsid w:val="00A70CE0"/>
    <w:rsid w:val="00A87081"/>
    <w:rsid w:val="00AB0ADB"/>
    <w:rsid w:val="00B01B1A"/>
    <w:rsid w:val="00B627FA"/>
    <w:rsid w:val="00B66319"/>
    <w:rsid w:val="00B72652"/>
    <w:rsid w:val="00B72CD3"/>
    <w:rsid w:val="00B72FFF"/>
    <w:rsid w:val="00B86862"/>
    <w:rsid w:val="00B87669"/>
    <w:rsid w:val="00BA7E76"/>
    <w:rsid w:val="00BC3D36"/>
    <w:rsid w:val="00BD7F72"/>
    <w:rsid w:val="00C04FB3"/>
    <w:rsid w:val="00C330EB"/>
    <w:rsid w:val="00C41061"/>
    <w:rsid w:val="00C65A7C"/>
    <w:rsid w:val="00C754BE"/>
    <w:rsid w:val="00C76B1C"/>
    <w:rsid w:val="00CA1850"/>
    <w:rsid w:val="00CB6357"/>
    <w:rsid w:val="00CC1B26"/>
    <w:rsid w:val="00CD008F"/>
    <w:rsid w:val="00D002D4"/>
    <w:rsid w:val="00D15B94"/>
    <w:rsid w:val="00D201A5"/>
    <w:rsid w:val="00D423A2"/>
    <w:rsid w:val="00D52078"/>
    <w:rsid w:val="00D520D8"/>
    <w:rsid w:val="00D60D77"/>
    <w:rsid w:val="00D63AC2"/>
    <w:rsid w:val="00D7383B"/>
    <w:rsid w:val="00D775EF"/>
    <w:rsid w:val="00D80612"/>
    <w:rsid w:val="00DA231B"/>
    <w:rsid w:val="00DC39FC"/>
    <w:rsid w:val="00DF5254"/>
    <w:rsid w:val="00E00780"/>
    <w:rsid w:val="00E0529E"/>
    <w:rsid w:val="00E06CE3"/>
    <w:rsid w:val="00E10188"/>
    <w:rsid w:val="00E16408"/>
    <w:rsid w:val="00E20894"/>
    <w:rsid w:val="00E245AB"/>
    <w:rsid w:val="00E2764C"/>
    <w:rsid w:val="00E27F2E"/>
    <w:rsid w:val="00E34094"/>
    <w:rsid w:val="00E45187"/>
    <w:rsid w:val="00E50AFE"/>
    <w:rsid w:val="00E75C92"/>
    <w:rsid w:val="00E771DC"/>
    <w:rsid w:val="00E85180"/>
    <w:rsid w:val="00E8772A"/>
    <w:rsid w:val="00E90F6B"/>
    <w:rsid w:val="00E92C27"/>
    <w:rsid w:val="00E94827"/>
    <w:rsid w:val="00EA0E3D"/>
    <w:rsid w:val="00EC336A"/>
    <w:rsid w:val="00EC38A7"/>
    <w:rsid w:val="00ED7384"/>
    <w:rsid w:val="00EE1AA8"/>
    <w:rsid w:val="00EE7590"/>
    <w:rsid w:val="00EF3D1A"/>
    <w:rsid w:val="00F31EDC"/>
    <w:rsid w:val="00F3753A"/>
    <w:rsid w:val="00F4226A"/>
    <w:rsid w:val="00F462B3"/>
    <w:rsid w:val="00F50DB8"/>
    <w:rsid w:val="00F52209"/>
    <w:rsid w:val="00F5664F"/>
    <w:rsid w:val="00F666C4"/>
    <w:rsid w:val="00F742EF"/>
    <w:rsid w:val="00F76AFC"/>
    <w:rsid w:val="00FA47C0"/>
    <w:rsid w:val="00FA7D9A"/>
    <w:rsid w:val="00FB5DD1"/>
    <w:rsid w:val="00FC2B5D"/>
    <w:rsid w:val="00FF1449"/>
    <w:rsid w:val="7CD86E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79607BD"/>
  <w15:chartTrackingRefBased/>
  <w15:docId w15:val="{188E7258-D59E-4239-B11D-3ED1F8CB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A5F8D"/>
    <w:rPr>
      <w:rFonts w:ascii="Geomanist Light" w:hAnsi="Geomanist Light"/>
      <w:lang w:val="es-ES"/>
    </w:rPr>
  </w:style>
  <w:style w:type="character" w:styleId="Textoennegrita">
    <w:name w:val="Strong"/>
    <w:basedOn w:val="Fuentedeprrafopredeter"/>
    <w:uiPriority w:val="22"/>
    <w:qFormat/>
    <w:rsid w:val="008A5F8D"/>
    <w:rPr>
      <w:rFonts w:cs="Times New Roman"/>
      <w:b/>
      <w:bCs/>
    </w:rPr>
  </w:style>
  <w:style w:type="character" w:styleId="nfasis">
    <w:name w:val="Emphasis"/>
    <w:basedOn w:val="Fuentedeprrafopredeter"/>
    <w:uiPriority w:val="20"/>
    <w:qFormat/>
    <w:rsid w:val="008A5F8D"/>
    <w:rPr>
      <w:rFonts w:cs="Times New Roman"/>
      <w:i/>
      <w:iCs/>
    </w:rPr>
  </w:style>
  <w:style w:type="character" w:styleId="Refdecomentario">
    <w:name w:val="annotation reference"/>
    <w:basedOn w:val="Fuentedeprrafopredeter"/>
    <w:uiPriority w:val="99"/>
    <w:semiHidden/>
    <w:unhideWhenUsed/>
    <w:rsid w:val="00172A4C"/>
    <w:rPr>
      <w:sz w:val="16"/>
      <w:szCs w:val="16"/>
    </w:rPr>
  </w:style>
  <w:style w:type="paragraph" w:styleId="Textocomentario">
    <w:name w:val="annotation text"/>
    <w:basedOn w:val="Normal"/>
    <w:link w:val="TextocomentarioCar"/>
    <w:uiPriority w:val="99"/>
    <w:unhideWhenUsed/>
    <w:rsid w:val="00172A4C"/>
    <w:pPr>
      <w:spacing w:line="240" w:lineRule="auto"/>
    </w:pPr>
    <w:rPr>
      <w:sz w:val="20"/>
      <w:szCs w:val="20"/>
    </w:rPr>
  </w:style>
  <w:style w:type="character" w:customStyle="1" w:styleId="TextocomentarioCar">
    <w:name w:val="Texto comentario Car"/>
    <w:basedOn w:val="Fuentedeprrafopredeter"/>
    <w:link w:val="Textocomentario"/>
    <w:uiPriority w:val="99"/>
    <w:rsid w:val="00172A4C"/>
    <w:rPr>
      <w:sz w:val="20"/>
      <w:szCs w:val="20"/>
    </w:rPr>
  </w:style>
  <w:style w:type="paragraph" w:styleId="Asuntodelcomentario">
    <w:name w:val="annotation subject"/>
    <w:basedOn w:val="Textocomentario"/>
    <w:next w:val="Textocomentario"/>
    <w:link w:val="AsuntodelcomentarioCar"/>
    <w:uiPriority w:val="99"/>
    <w:semiHidden/>
    <w:unhideWhenUsed/>
    <w:rsid w:val="00172A4C"/>
    <w:rPr>
      <w:b/>
      <w:bCs/>
    </w:rPr>
  </w:style>
  <w:style w:type="character" w:customStyle="1" w:styleId="AsuntodelcomentarioCar">
    <w:name w:val="Asunto del comentario Car"/>
    <w:basedOn w:val="TextocomentarioCar"/>
    <w:link w:val="Asuntodelcomentario"/>
    <w:uiPriority w:val="99"/>
    <w:semiHidden/>
    <w:rsid w:val="00172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0385">
      <w:bodyDiv w:val="1"/>
      <w:marLeft w:val="0"/>
      <w:marRight w:val="0"/>
      <w:marTop w:val="0"/>
      <w:marBottom w:val="0"/>
      <w:divBdr>
        <w:top w:val="none" w:sz="0" w:space="0" w:color="auto"/>
        <w:left w:val="none" w:sz="0" w:space="0" w:color="auto"/>
        <w:bottom w:val="none" w:sz="0" w:space="0" w:color="auto"/>
        <w:right w:val="none" w:sz="0" w:space="0" w:color="auto"/>
      </w:divBdr>
      <w:divsChild>
        <w:div w:id="1405224644">
          <w:marLeft w:val="0"/>
          <w:marRight w:val="0"/>
          <w:marTop w:val="0"/>
          <w:marBottom w:val="0"/>
          <w:divBdr>
            <w:top w:val="none" w:sz="0" w:space="0" w:color="auto"/>
            <w:left w:val="none" w:sz="0" w:space="0" w:color="auto"/>
            <w:bottom w:val="none" w:sz="0" w:space="0" w:color="auto"/>
            <w:right w:val="none" w:sz="0" w:space="0" w:color="auto"/>
          </w:divBdr>
          <w:divsChild>
            <w:div w:id="398753296">
              <w:marLeft w:val="0"/>
              <w:marRight w:val="0"/>
              <w:marTop w:val="0"/>
              <w:marBottom w:val="0"/>
              <w:divBdr>
                <w:top w:val="none" w:sz="0" w:space="0" w:color="auto"/>
                <w:left w:val="none" w:sz="0" w:space="0" w:color="auto"/>
                <w:bottom w:val="none" w:sz="0" w:space="0" w:color="auto"/>
                <w:right w:val="none" w:sz="0" w:space="0" w:color="auto"/>
              </w:divBdr>
              <w:divsChild>
                <w:div w:id="1320230034">
                  <w:marLeft w:val="0"/>
                  <w:marRight w:val="0"/>
                  <w:marTop w:val="0"/>
                  <w:marBottom w:val="0"/>
                  <w:divBdr>
                    <w:top w:val="none" w:sz="0" w:space="0" w:color="auto"/>
                    <w:left w:val="none" w:sz="0" w:space="0" w:color="auto"/>
                    <w:bottom w:val="none" w:sz="0" w:space="0" w:color="auto"/>
                    <w:right w:val="none" w:sz="0" w:space="0" w:color="auto"/>
                  </w:divBdr>
                  <w:divsChild>
                    <w:div w:id="291863803">
                      <w:marLeft w:val="0"/>
                      <w:marRight w:val="0"/>
                      <w:marTop w:val="0"/>
                      <w:marBottom w:val="0"/>
                      <w:divBdr>
                        <w:top w:val="none" w:sz="0" w:space="0" w:color="auto"/>
                        <w:left w:val="none" w:sz="0" w:space="0" w:color="auto"/>
                        <w:bottom w:val="none" w:sz="0" w:space="0" w:color="auto"/>
                        <w:right w:val="none" w:sz="0" w:space="0" w:color="auto"/>
                      </w:divBdr>
                      <w:divsChild>
                        <w:div w:id="191110273">
                          <w:marLeft w:val="0"/>
                          <w:marRight w:val="0"/>
                          <w:marTop w:val="0"/>
                          <w:marBottom w:val="0"/>
                          <w:divBdr>
                            <w:top w:val="none" w:sz="0" w:space="0" w:color="auto"/>
                            <w:left w:val="none" w:sz="0" w:space="0" w:color="auto"/>
                            <w:bottom w:val="none" w:sz="0" w:space="0" w:color="auto"/>
                            <w:right w:val="none" w:sz="0" w:space="0" w:color="auto"/>
                          </w:divBdr>
                          <w:divsChild>
                            <w:div w:id="14609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682584365">
      <w:bodyDiv w:val="1"/>
      <w:marLeft w:val="0"/>
      <w:marRight w:val="0"/>
      <w:marTop w:val="0"/>
      <w:marBottom w:val="0"/>
      <w:divBdr>
        <w:top w:val="none" w:sz="0" w:space="0" w:color="auto"/>
        <w:left w:val="none" w:sz="0" w:space="0" w:color="auto"/>
        <w:bottom w:val="none" w:sz="0" w:space="0" w:color="auto"/>
        <w:right w:val="none" w:sz="0" w:space="0" w:color="auto"/>
      </w:divBdr>
      <w:divsChild>
        <w:div w:id="72822701">
          <w:marLeft w:val="0"/>
          <w:marRight w:val="0"/>
          <w:marTop w:val="0"/>
          <w:marBottom w:val="0"/>
          <w:divBdr>
            <w:top w:val="none" w:sz="0" w:space="0" w:color="auto"/>
            <w:left w:val="none" w:sz="0" w:space="0" w:color="auto"/>
            <w:bottom w:val="none" w:sz="0" w:space="0" w:color="auto"/>
            <w:right w:val="none" w:sz="0" w:space="0" w:color="auto"/>
          </w:divBdr>
          <w:divsChild>
            <w:div w:id="2097626183">
              <w:marLeft w:val="0"/>
              <w:marRight w:val="0"/>
              <w:marTop w:val="0"/>
              <w:marBottom w:val="0"/>
              <w:divBdr>
                <w:top w:val="none" w:sz="0" w:space="0" w:color="auto"/>
                <w:left w:val="none" w:sz="0" w:space="0" w:color="auto"/>
                <w:bottom w:val="none" w:sz="0" w:space="0" w:color="auto"/>
                <w:right w:val="none" w:sz="0" w:space="0" w:color="auto"/>
              </w:divBdr>
              <w:divsChild>
                <w:div w:id="1684894124">
                  <w:marLeft w:val="0"/>
                  <w:marRight w:val="0"/>
                  <w:marTop w:val="0"/>
                  <w:marBottom w:val="0"/>
                  <w:divBdr>
                    <w:top w:val="none" w:sz="0" w:space="0" w:color="auto"/>
                    <w:left w:val="none" w:sz="0" w:space="0" w:color="auto"/>
                    <w:bottom w:val="none" w:sz="0" w:space="0" w:color="auto"/>
                    <w:right w:val="none" w:sz="0" w:space="0" w:color="auto"/>
                  </w:divBdr>
                  <w:divsChild>
                    <w:div w:id="1586721646">
                      <w:marLeft w:val="0"/>
                      <w:marRight w:val="0"/>
                      <w:marTop w:val="0"/>
                      <w:marBottom w:val="0"/>
                      <w:divBdr>
                        <w:top w:val="none" w:sz="0" w:space="0" w:color="auto"/>
                        <w:left w:val="none" w:sz="0" w:space="0" w:color="auto"/>
                        <w:bottom w:val="none" w:sz="0" w:space="0" w:color="auto"/>
                        <w:right w:val="none" w:sz="0" w:space="0" w:color="auto"/>
                      </w:divBdr>
                      <w:divsChild>
                        <w:div w:id="206649000">
                          <w:marLeft w:val="0"/>
                          <w:marRight w:val="0"/>
                          <w:marTop w:val="0"/>
                          <w:marBottom w:val="0"/>
                          <w:divBdr>
                            <w:top w:val="none" w:sz="0" w:space="0" w:color="auto"/>
                            <w:left w:val="none" w:sz="0" w:space="0" w:color="auto"/>
                            <w:bottom w:val="none" w:sz="0" w:space="0" w:color="auto"/>
                            <w:right w:val="none" w:sz="0" w:space="0" w:color="auto"/>
                          </w:divBdr>
                          <w:divsChild>
                            <w:div w:id="13284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939405">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386096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andreina.cerpa%40colombiacompra.gov.co%7C6192b0470d324981a09708dd0a6c28db%7C7b09041e245149d08cb179d5e3d8c1be%7C0%7C0%7C638678181872404082%7CUnknown%7CTWFpbGZsb3d8eyJFbXB0eU1hcGkiOnRydWUsIlYiOiIwLjAuMDAwMCIsIlAiOiJXaW4zMiIsIkFOIjoiTWFpbCIsIldUIjoyfQ%3D%3D%7C0%7C%7C%7C&amp;sdata=bZZbDYmRQOfCfkAyPXCLZQhrhwVsie4h%2BmtYnnsykY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andreina.cerpa%40colombiacompra.gov.co%7C6192b0470d324981a09708dd0a6c28db%7C7b09041e245149d08cb179d5e3d8c1be%7C0%7C0%7C638678181872314966%7CUnknown%7CTWFpbGZsb3d8eyJFbXB0eU1hcGkiOnRydWUsIlYiOiIwLjAuMDAwMCIsIlAiOiJXaW4zMiIsIkFOIjoiTWFpbCIsIldUIjoyfQ%3D%3D%7C0%7C%7C%7C&amp;sdata=3S0ZzTUTSx5SDK56naStbc661u%2FztcRI%2B76yv85e2k0%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busqueda/concepto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D147CB9D-B4C0-469F-8195-0D33E7C3B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a6cb9e4b-f1d1-4245-83ec-6cad768d538a"/>
    <ds:schemaRef ds:uri="9d85dbaf-23eb-4e57-a637-93dcacc8b1a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3723</Words>
  <Characters>20479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Andreina Cerpa Muñoz</cp:lastModifiedBy>
  <cp:revision>4</cp:revision>
  <cp:lastPrinted>2023-01-11T00:18:00Z</cp:lastPrinted>
  <dcterms:created xsi:type="dcterms:W3CDTF">2024-12-17T20:28:00Z</dcterms:created>
  <dcterms:modified xsi:type="dcterms:W3CDTF">2024-12-18T17:08:00Z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