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D680B" w14:textId="734E9EAF" w:rsidR="00C01CC5" w:rsidRPr="00C01CC5" w:rsidRDefault="00C01CC5" w:rsidP="00C01CC5">
      <w:pPr>
        <w:spacing w:after="0"/>
        <w:jc w:val="both"/>
        <w:rPr>
          <w:rFonts w:ascii="Verdana" w:hAnsi="Verdana"/>
        </w:rPr>
      </w:pPr>
      <w:r w:rsidRPr="00C01CC5">
        <w:rPr>
          <w:rFonts w:ascii="Verdana" w:eastAsia="Calibri" w:hAnsi="Verdana" w:cs="Arial"/>
          <w:b/>
          <w:bCs/>
          <w:lang w:val="es-ES_tradnl" w:eastAsia="es-ES"/>
        </w:rPr>
        <w:t>DOCUMENTOS TIPO – Generalidades</w:t>
      </w:r>
    </w:p>
    <w:p w14:paraId="427D4357" w14:textId="77777777" w:rsidR="00C01CC5" w:rsidRPr="00C01CC5" w:rsidRDefault="00C01CC5" w:rsidP="00C01CC5">
      <w:pPr>
        <w:spacing w:after="0" w:line="276" w:lineRule="auto"/>
        <w:jc w:val="both"/>
        <w:rPr>
          <w:rFonts w:ascii="Verdana" w:eastAsia="Calibri" w:hAnsi="Verdana" w:cs="Arial"/>
          <w:b/>
          <w:bCs/>
          <w:lang w:val="es-ES_tradnl" w:eastAsia="es-ES"/>
        </w:rPr>
      </w:pPr>
    </w:p>
    <w:p w14:paraId="5A8D362C" w14:textId="784A08A9" w:rsidR="00C01CC5" w:rsidRPr="00C01CC5" w:rsidRDefault="009D476F" w:rsidP="00C01CC5">
      <w:pPr>
        <w:snapToGrid w:val="0"/>
        <w:spacing w:after="0" w:line="240" w:lineRule="auto"/>
        <w:jc w:val="both"/>
        <w:rPr>
          <w:rFonts w:ascii="Verdana" w:eastAsia="Calibri" w:hAnsi="Verdana" w:cs="Arial"/>
          <w:sz w:val="20"/>
          <w:szCs w:val="20"/>
          <w:lang w:val="es-ES_tradnl"/>
        </w:rPr>
      </w:pPr>
      <w:r w:rsidRPr="009D476F">
        <w:rPr>
          <w:rFonts w:ascii="Verdana" w:eastAsia="Calibri" w:hAnsi="Verdana" w:cs="Arial"/>
          <w:sz w:val="20"/>
          <w:szCs w:val="20"/>
          <w:lang w:val="es-ES_tradnl"/>
        </w:rPr>
        <w:t>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w:t>
      </w:r>
    </w:p>
    <w:p w14:paraId="76642074" w14:textId="77777777" w:rsidR="00C01CC5" w:rsidRPr="00C01CC5" w:rsidRDefault="00C01CC5" w:rsidP="00C01CC5">
      <w:pPr>
        <w:spacing w:after="0" w:line="276" w:lineRule="auto"/>
        <w:jc w:val="both"/>
        <w:rPr>
          <w:rFonts w:ascii="Verdana" w:eastAsia="Calibri" w:hAnsi="Verdana" w:cs="Arial"/>
          <w:lang w:val="es-ES_tradnl"/>
        </w:rPr>
      </w:pPr>
    </w:p>
    <w:p w14:paraId="7A3E069C" w14:textId="77777777" w:rsidR="00C01CC5" w:rsidRPr="00C01CC5" w:rsidRDefault="00C01CC5" w:rsidP="00C01CC5">
      <w:pPr>
        <w:spacing w:after="0" w:line="276" w:lineRule="auto"/>
        <w:jc w:val="both"/>
        <w:rPr>
          <w:rFonts w:ascii="Verdana" w:eastAsia="Geomanist Light" w:hAnsi="Verdana" w:cs="Arial"/>
          <w:b/>
          <w:bCs/>
          <w:lang w:val="es-ES_tradnl"/>
        </w:rPr>
      </w:pPr>
      <w:r w:rsidRPr="00C01CC5">
        <w:rPr>
          <w:rFonts w:ascii="Verdana" w:eastAsia="Calibri" w:hAnsi="Verdana" w:cs="Arial"/>
          <w:b/>
          <w:bCs/>
          <w:lang w:val="es-ES_tradnl"/>
        </w:rPr>
        <w:t xml:space="preserve">DOCUMENTOS TIPO – Inalterabilidad – Obligatoriedad </w:t>
      </w:r>
    </w:p>
    <w:p w14:paraId="38909445" w14:textId="77777777" w:rsidR="00C01CC5" w:rsidRPr="00C01CC5" w:rsidRDefault="00C01CC5" w:rsidP="00C01CC5">
      <w:pPr>
        <w:spacing w:after="0" w:line="276" w:lineRule="auto"/>
        <w:jc w:val="both"/>
        <w:rPr>
          <w:rFonts w:ascii="Verdana" w:eastAsia="Geomanist Light" w:hAnsi="Verdana" w:cs="Arial"/>
          <w:lang w:val="es-ES_tradnl"/>
        </w:rPr>
      </w:pPr>
    </w:p>
    <w:p w14:paraId="198BFBD6" w14:textId="105EC6C9" w:rsidR="00695D55" w:rsidRPr="00695D55" w:rsidRDefault="00695D55" w:rsidP="00695D55">
      <w:pPr>
        <w:snapToGrid w:val="0"/>
        <w:spacing w:after="0" w:line="240" w:lineRule="auto"/>
        <w:jc w:val="both"/>
        <w:rPr>
          <w:rFonts w:ascii="Verdana" w:eastAsia="Times New Roman" w:hAnsi="Verdana" w:cs="Arial"/>
          <w:kern w:val="2"/>
          <w:sz w:val="20"/>
          <w:szCs w:val="20"/>
          <w:shd w:val="clear" w:color="auto" w:fill="FFFFFF"/>
          <w:lang w:val="es-ES_tradnl" w:eastAsia="es-ES_tradnl"/>
          <w14:ligatures w14:val="standardContextual"/>
        </w:rPr>
      </w:pPr>
      <w:r w:rsidRPr="00695D55">
        <w:rPr>
          <w:rFonts w:ascii="Verdana" w:eastAsia="Times New Roman" w:hAnsi="Verdana" w:cs="Arial"/>
          <w:kern w:val="2"/>
          <w:sz w:val="20"/>
          <w:szCs w:val="20"/>
          <w:shd w:val="clear" w:color="auto" w:fill="FFFFFF"/>
          <w:lang w:val="es-ES_tradnl" w:eastAsia="es-ES_tradnl"/>
          <w14:ligatures w14:val="standardContextual"/>
        </w:rPr>
        <w:t xml:space="preserve">Por lo tanto, una entidad solo podrá modificar aspectos de los Documentos Tipo cuando así esté permitido, en los términos expuestos. Lo anterior implica que, en los apartes en que los documentos tipo no lo permitan, la entidad deberá integrar el contenido de estos a su proceso de contratación sin ningún tipo de alteración. </w:t>
      </w:r>
    </w:p>
    <w:p w14:paraId="2A48F1F9" w14:textId="77777777" w:rsidR="00695D55" w:rsidRPr="00695D55" w:rsidRDefault="00695D55" w:rsidP="00695D55">
      <w:pPr>
        <w:snapToGrid w:val="0"/>
        <w:spacing w:after="0" w:line="240" w:lineRule="auto"/>
        <w:jc w:val="both"/>
        <w:rPr>
          <w:rFonts w:ascii="Verdana" w:eastAsia="Times New Roman" w:hAnsi="Verdana" w:cs="Arial"/>
          <w:kern w:val="2"/>
          <w:sz w:val="20"/>
          <w:szCs w:val="20"/>
          <w:shd w:val="clear" w:color="auto" w:fill="FFFFFF"/>
          <w:lang w:val="es-ES_tradnl" w:eastAsia="es-ES_tradnl"/>
          <w14:ligatures w14:val="standardContextual"/>
        </w:rPr>
      </w:pPr>
    </w:p>
    <w:p w14:paraId="7EFBFE76" w14:textId="612F7CC8" w:rsidR="00C01CC5" w:rsidRPr="00C01CC5" w:rsidRDefault="00695D55" w:rsidP="00695D55">
      <w:pPr>
        <w:snapToGrid w:val="0"/>
        <w:spacing w:after="0" w:line="240" w:lineRule="auto"/>
        <w:jc w:val="both"/>
        <w:rPr>
          <w:rFonts w:ascii="Verdana" w:eastAsia="Times New Roman" w:hAnsi="Verdana" w:cs="Arial"/>
          <w:kern w:val="2"/>
          <w:sz w:val="20"/>
          <w:szCs w:val="20"/>
          <w:shd w:val="clear" w:color="auto" w:fill="FFFFFF"/>
          <w:lang w:val="es-ES_tradnl" w:eastAsia="es-ES_tradnl"/>
          <w14:ligatures w14:val="standardContextual"/>
        </w:rPr>
      </w:pPr>
      <w:r w:rsidRPr="00695D55">
        <w:rPr>
          <w:rFonts w:ascii="Verdana" w:eastAsia="Times New Roman" w:hAnsi="Verdana" w:cs="Arial"/>
          <w:kern w:val="2"/>
          <w:sz w:val="20"/>
          <w:szCs w:val="20"/>
          <w:shd w:val="clear" w:color="auto" w:fill="FFFFFF"/>
          <w:lang w:val="es-ES_tradnl" w:eastAsia="es-ES_tradnl"/>
          <w14:ligatures w14:val="standardContextual"/>
        </w:rPr>
        <w:t>En virtud de lo anterior, cuando existan documentos tipo y la actividad a contratar por parte de una entidad sometida al EGCAP se encuentre cobijada por alguna de las actividades descritas en las matrices de experiencia de dichos documentos, su utilización para adelantar el respectivo proceso de contratación resulta forzosa. Esto significa que, la entidad contratante no podrá prescindir de la implementación de los documentos tipo cuando estos sean obligatorios, en los términos expuestos en este concepto.</w:t>
      </w:r>
    </w:p>
    <w:p w14:paraId="245DF66C" w14:textId="77777777" w:rsidR="00C01CC5" w:rsidRPr="00C01CC5" w:rsidRDefault="00C01CC5" w:rsidP="00C01CC5">
      <w:pPr>
        <w:spacing w:after="0" w:line="276" w:lineRule="auto"/>
        <w:jc w:val="both"/>
        <w:rPr>
          <w:rFonts w:ascii="Verdana" w:eastAsia="Geomanist Light" w:hAnsi="Verdana" w:cs="Arial"/>
          <w:lang w:val="es-ES_tradnl"/>
        </w:rPr>
      </w:pPr>
    </w:p>
    <w:p w14:paraId="43C342F5" w14:textId="77777777" w:rsidR="00C01CC5" w:rsidRPr="00C01CC5" w:rsidRDefault="00C01CC5" w:rsidP="00C01CC5">
      <w:pPr>
        <w:spacing w:after="0" w:line="276" w:lineRule="auto"/>
        <w:jc w:val="both"/>
        <w:rPr>
          <w:rFonts w:ascii="Verdana" w:eastAsia="Calibri" w:hAnsi="Verdana" w:cs="Times New Roman"/>
          <w:kern w:val="2"/>
          <w14:ligatures w14:val="standardContextual"/>
        </w:rPr>
      </w:pPr>
      <w:r w:rsidRPr="00C01CC5">
        <w:rPr>
          <w:rFonts w:ascii="Verdana" w:eastAsia="Calibri" w:hAnsi="Verdana" w:cs="Arial"/>
          <w:b/>
          <w:bCs/>
          <w:kern w:val="2"/>
          <w:lang w:val="es-ES_tradnl"/>
          <w14:ligatures w14:val="standardContextual"/>
        </w:rPr>
        <w:t>CONTRATOS Y CONVENIOS INTERADMINISTRATIVOS – Régimen jurídico – Noción – Contratación directa</w:t>
      </w:r>
    </w:p>
    <w:p w14:paraId="34EC93E9" w14:textId="77777777" w:rsidR="00C01CC5" w:rsidRPr="00C01CC5" w:rsidRDefault="00C01CC5" w:rsidP="00C01CC5">
      <w:pPr>
        <w:snapToGrid w:val="0"/>
        <w:spacing w:after="0" w:line="276" w:lineRule="auto"/>
        <w:jc w:val="both"/>
        <w:rPr>
          <w:rFonts w:ascii="Verdana" w:eastAsia="Calibri" w:hAnsi="Verdana" w:cs="Arial"/>
          <w:kern w:val="2"/>
          <w:lang w:val="es-ES_tradnl"/>
          <w14:ligatures w14:val="standardContextual"/>
        </w:rPr>
      </w:pPr>
    </w:p>
    <w:p w14:paraId="3846962E" w14:textId="5BCCBE13" w:rsidR="00F50BE3" w:rsidRPr="00F50BE3" w:rsidRDefault="00F50BE3" w:rsidP="00F50BE3">
      <w:pPr>
        <w:tabs>
          <w:tab w:val="left" w:pos="709"/>
        </w:tabs>
        <w:snapToGrid w:val="0"/>
        <w:spacing w:after="0" w:line="240" w:lineRule="auto"/>
        <w:jc w:val="both"/>
        <w:rPr>
          <w:rFonts w:ascii="Verdana" w:eastAsia="Aptos" w:hAnsi="Verdana" w:cs="Arial"/>
          <w:kern w:val="2"/>
          <w:sz w:val="20"/>
          <w:szCs w:val="20"/>
          <w:lang w:val="es-ES"/>
          <w14:ligatures w14:val="standardContextual"/>
        </w:rPr>
      </w:pPr>
      <w:r>
        <w:rPr>
          <w:rFonts w:ascii="Verdana" w:eastAsia="Aptos" w:hAnsi="Verdana" w:cs="Arial"/>
          <w:kern w:val="2"/>
          <w:sz w:val="20"/>
          <w:szCs w:val="20"/>
          <w:lang w:val="es-ES"/>
          <w14:ligatures w14:val="standardContextual"/>
        </w:rPr>
        <w:t>[…]</w:t>
      </w:r>
      <w:r w:rsidRPr="00F50BE3">
        <w:t xml:space="preserve"> </w:t>
      </w:r>
      <w:r w:rsidRPr="00F50BE3">
        <w:rPr>
          <w:rFonts w:ascii="Verdana" w:eastAsia="Aptos" w:hAnsi="Verdana" w:cs="Arial"/>
          <w:kern w:val="2"/>
          <w:sz w:val="20"/>
          <w:szCs w:val="20"/>
          <w:lang w:val="es-ES"/>
          <w14:ligatures w14:val="standardContextual"/>
        </w:rPr>
        <w:t>la tipología del contrato o convenio interadministrativo fue creada en la Ley 80 de 1993, y el Decreto 1082 de 2015 la califica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06FC4578" w14:textId="77777777" w:rsidR="00F50BE3" w:rsidRPr="00F50BE3" w:rsidRDefault="00F50BE3" w:rsidP="00F50BE3">
      <w:pPr>
        <w:tabs>
          <w:tab w:val="left" w:pos="709"/>
        </w:tabs>
        <w:snapToGrid w:val="0"/>
        <w:spacing w:after="0" w:line="240" w:lineRule="auto"/>
        <w:jc w:val="both"/>
        <w:rPr>
          <w:rFonts w:ascii="Verdana" w:eastAsia="Aptos" w:hAnsi="Verdana" w:cs="Arial"/>
          <w:kern w:val="2"/>
          <w:sz w:val="20"/>
          <w:szCs w:val="20"/>
          <w:lang w:val="es-ES"/>
          <w14:ligatures w14:val="standardContextual"/>
        </w:rPr>
      </w:pPr>
    </w:p>
    <w:p w14:paraId="5AC9C8E2" w14:textId="634A4A36" w:rsidR="00C01CC5" w:rsidRDefault="00F50BE3" w:rsidP="00F50BE3">
      <w:pPr>
        <w:tabs>
          <w:tab w:val="left" w:pos="709"/>
        </w:tabs>
        <w:snapToGrid w:val="0"/>
        <w:spacing w:after="0" w:line="240" w:lineRule="auto"/>
        <w:jc w:val="both"/>
        <w:rPr>
          <w:rFonts w:ascii="Verdana" w:eastAsia="Times New Roman" w:hAnsi="Verdana" w:cs="Arial"/>
          <w:kern w:val="2"/>
          <w:sz w:val="20"/>
          <w:szCs w:val="20"/>
          <w:lang w:val="es-ES" w:eastAsia="es-CO"/>
          <w14:ligatures w14:val="standardContextual"/>
        </w:rPr>
      </w:pPr>
      <w:r w:rsidRPr="00F50BE3">
        <w:rPr>
          <w:rFonts w:ascii="Verdana" w:eastAsia="Aptos" w:hAnsi="Verdana" w:cs="Arial"/>
          <w:kern w:val="2"/>
          <w:sz w:val="20"/>
          <w:szCs w:val="20"/>
          <w:lang w:val="es-ES"/>
          <w14:ligatures w14:val="standardContextual"/>
        </w:rPr>
        <w:t>Si bien los contratos o convenios interadministrativos están previstos en la Ley 80 de 1993, en la Ley 1150 de 2007 y en el Decreto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11F75B5C" w14:textId="77777777" w:rsidR="00F50BE3" w:rsidRPr="00F50BE3" w:rsidRDefault="00F50BE3" w:rsidP="00F50BE3">
      <w:pPr>
        <w:tabs>
          <w:tab w:val="left" w:pos="709"/>
        </w:tabs>
        <w:snapToGrid w:val="0"/>
        <w:spacing w:after="0" w:line="240" w:lineRule="auto"/>
        <w:jc w:val="both"/>
        <w:rPr>
          <w:rFonts w:ascii="Verdana" w:eastAsia="Times New Roman" w:hAnsi="Verdana" w:cs="Arial"/>
          <w:kern w:val="2"/>
          <w:sz w:val="20"/>
          <w:szCs w:val="20"/>
          <w:lang w:val="es-ES" w:eastAsia="es-CO"/>
          <w14:ligatures w14:val="standardContextual"/>
        </w:rPr>
      </w:pPr>
    </w:p>
    <w:p w14:paraId="0A2C712D" w14:textId="77777777" w:rsidR="00C01CC5" w:rsidRPr="00C01CC5" w:rsidRDefault="00C01CC5" w:rsidP="00C01CC5">
      <w:pPr>
        <w:spacing w:after="0" w:line="240" w:lineRule="auto"/>
        <w:rPr>
          <w:rFonts w:ascii="Verdana" w:eastAsia="Calibri" w:hAnsi="Verdana" w:cs="Times New Roman"/>
          <w:lang w:val="es-ES_tradnl"/>
        </w:rPr>
      </w:pPr>
    </w:p>
    <w:p w14:paraId="65FE947A" w14:textId="77777777" w:rsidR="00C01CC5" w:rsidRPr="00C01CC5" w:rsidRDefault="00C01CC5" w:rsidP="00C01CC5">
      <w:pPr>
        <w:spacing w:after="0" w:line="240" w:lineRule="auto"/>
        <w:rPr>
          <w:rFonts w:ascii="Verdana" w:eastAsia="Calibri" w:hAnsi="Verdana" w:cs="Times New Roman"/>
          <w:lang w:val="es-ES_tradnl"/>
        </w:rPr>
      </w:pPr>
    </w:p>
    <w:p w14:paraId="4C4A1878" w14:textId="2C2F75C7" w:rsidR="00C01CC5" w:rsidRDefault="00C01CC5" w:rsidP="00C01CC5">
      <w:pPr>
        <w:spacing w:after="0" w:line="240" w:lineRule="auto"/>
        <w:jc w:val="both"/>
        <w:rPr>
          <w:rFonts w:ascii="Verdana" w:eastAsia="Calibri" w:hAnsi="Verdana" w:cs="Arial"/>
          <w:lang w:val="es-ES_tradnl"/>
        </w:rPr>
      </w:pPr>
      <w:r w:rsidRPr="0044528D">
        <w:rPr>
          <w:rFonts w:ascii="Verdana" w:hAnsi="Verdana"/>
        </w:rPr>
        <w:lastRenderedPageBreak/>
        <w:t>Bogotá D.C.</w:t>
      </w:r>
    </w:p>
    <w:p w14:paraId="5C1722EE" w14:textId="7DCC96BD" w:rsidR="0081320E" w:rsidRPr="00C01CC5" w:rsidRDefault="0081320E" w:rsidP="0081320E">
      <w:pPr>
        <w:spacing w:after="0" w:line="240" w:lineRule="auto"/>
        <w:jc w:val="right"/>
        <w:rPr>
          <w:rFonts w:ascii="Verdana" w:eastAsia="Calibri" w:hAnsi="Verdana" w:cs="Arial"/>
          <w:lang w:val="es-ES_tradnl" w:eastAsia="es-ES"/>
        </w:rPr>
      </w:pPr>
      <w:r w:rsidRPr="0081320E">
        <w:rPr>
          <w:rFonts w:ascii="Verdana" w:eastAsia="Calibri" w:hAnsi="Verdana" w:cs="Arial"/>
          <w:noProof/>
          <w:lang w:val="es-ES_tradnl" w:eastAsia="es-ES"/>
        </w:rPr>
        <w:drawing>
          <wp:inline distT="0" distB="0" distL="0" distR="0" wp14:anchorId="0B082D1C" wp14:editId="3B9AB542">
            <wp:extent cx="3190874" cy="986270"/>
            <wp:effectExtent l="0" t="0" r="0" b="4445"/>
            <wp:docPr id="13459506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950647" name="Imagen 1" descr="Texto&#10;&#10;Descripción generada automáticamente"/>
                    <pic:cNvPicPr/>
                  </pic:nvPicPr>
                  <pic:blipFill>
                    <a:blip r:embed="rId10"/>
                    <a:stretch>
                      <a:fillRect/>
                    </a:stretch>
                  </pic:blipFill>
                  <pic:spPr>
                    <a:xfrm>
                      <a:off x="0" y="0"/>
                      <a:ext cx="3206576" cy="991123"/>
                    </a:xfrm>
                    <a:prstGeom prst="rect">
                      <a:avLst/>
                    </a:prstGeom>
                  </pic:spPr>
                </pic:pic>
              </a:graphicData>
            </a:graphic>
          </wp:inline>
        </w:drawing>
      </w:r>
    </w:p>
    <w:p w14:paraId="51999F57" w14:textId="77777777" w:rsidR="00C01CC5" w:rsidRPr="00C01CC5" w:rsidRDefault="00C01CC5" w:rsidP="00C01CC5">
      <w:pPr>
        <w:spacing w:after="0" w:line="240" w:lineRule="auto"/>
        <w:jc w:val="both"/>
        <w:rPr>
          <w:rFonts w:ascii="Verdana" w:eastAsia="Calibri" w:hAnsi="Verdana" w:cs="Arial"/>
          <w:lang w:val="es-ES_tradnl" w:eastAsia="es-ES"/>
        </w:rPr>
      </w:pPr>
      <w:r w:rsidRPr="00C01CC5">
        <w:rPr>
          <w:rFonts w:ascii="Verdana" w:eastAsia="Calibri" w:hAnsi="Verdana" w:cs="Arial"/>
          <w:lang w:val="es-ES_tradnl" w:eastAsia="es-ES"/>
        </w:rPr>
        <w:t>Señor</w:t>
      </w:r>
    </w:p>
    <w:p w14:paraId="0D82AE17" w14:textId="77777777" w:rsidR="00C01CC5" w:rsidRPr="00C01CC5" w:rsidRDefault="00C01CC5" w:rsidP="00C01CC5">
      <w:pPr>
        <w:spacing w:after="0" w:line="240" w:lineRule="auto"/>
        <w:rPr>
          <w:rFonts w:ascii="Verdana" w:eastAsia="Calibri" w:hAnsi="Verdana" w:cs="Arial"/>
          <w:b/>
          <w:lang w:val="es-ES_tradnl" w:eastAsia="es-ES_tradnl"/>
        </w:rPr>
      </w:pPr>
      <w:r w:rsidRPr="00C01CC5">
        <w:rPr>
          <w:rFonts w:ascii="Verdana" w:eastAsia="Calibri" w:hAnsi="Verdana" w:cs="Arial"/>
          <w:b/>
          <w:lang w:val="es-ES_tradnl" w:eastAsia="es-ES_tradnl"/>
        </w:rPr>
        <w:t>William Eduardo Meneses</w:t>
      </w:r>
    </w:p>
    <w:p w14:paraId="695D67E4" w14:textId="77777777" w:rsidR="00C01CC5" w:rsidRPr="00C01CC5" w:rsidRDefault="00C01CC5" w:rsidP="00C01CC5">
      <w:pPr>
        <w:spacing w:after="0" w:line="240" w:lineRule="auto"/>
        <w:rPr>
          <w:rFonts w:ascii="Verdana" w:eastAsia="Calibri" w:hAnsi="Verdana" w:cs="Arial"/>
          <w:lang w:val="es-ES_tradnl" w:eastAsia="es-ES"/>
        </w:rPr>
      </w:pPr>
      <w:r w:rsidRPr="00C01CC5">
        <w:rPr>
          <w:rFonts w:ascii="Verdana" w:eastAsia="Calibri" w:hAnsi="Verdana" w:cs="Arial"/>
          <w:lang w:val="es-ES_tradnl" w:eastAsia="es-ES"/>
        </w:rPr>
        <w:t>Neiva, Huila</w:t>
      </w:r>
    </w:p>
    <w:p w14:paraId="3F67973B" w14:textId="77777777" w:rsidR="00C01CC5" w:rsidRPr="00C01CC5" w:rsidRDefault="00C01CC5" w:rsidP="00C01CC5">
      <w:pPr>
        <w:spacing w:after="0" w:line="240" w:lineRule="auto"/>
        <w:rPr>
          <w:rFonts w:ascii="Verdana" w:eastAsia="Calibri" w:hAnsi="Verdana" w:cs="Arial"/>
          <w:b/>
          <w:bCs/>
          <w:lang w:val="es-ES_tradnl" w:eastAsia="es-ES_tradnl"/>
        </w:rPr>
      </w:pPr>
    </w:p>
    <w:p w14:paraId="04218083" w14:textId="77777777" w:rsidR="00C01CC5" w:rsidRPr="00C01CC5" w:rsidRDefault="00C01CC5" w:rsidP="00C01CC5">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01CC5" w:rsidRPr="00C01CC5" w14:paraId="00507923" w14:textId="77777777" w:rsidTr="00D846F2">
        <w:trPr>
          <w:trHeight w:val="884"/>
        </w:trPr>
        <w:tc>
          <w:tcPr>
            <w:tcW w:w="2689" w:type="dxa"/>
          </w:tcPr>
          <w:p w14:paraId="144BDF69" w14:textId="77777777" w:rsidR="00C01CC5" w:rsidRPr="00C01CC5" w:rsidRDefault="00C01CC5" w:rsidP="00C01CC5">
            <w:pPr>
              <w:jc w:val="both"/>
              <w:rPr>
                <w:rFonts w:ascii="Verdana" w:eastAsia="Calibri" w:hAnsi="Verdana" w:cs="Arial"/>
                <w:b/>
                <w:bCs/>
                <w:lang w:val="es-ES_tradnl" w:eastAsia="es-ES_tradnl"/>
              </w:rPr>
            </w:pPr>
          </w:p>
        </w:tc>
        <w:tc>
          <w:tcPr>
            <w:tcW w:w="6100" w:type="dxa"/>
          </w:tcPr>
          <w:p w14:paraId="3DC66D00" w14:textId="77777777" w:rsidR="00C01CC5" w:rsidRPr="00C01CC5" w:rsidRDefault="00C01CC5" w:rsidP="00C01CC5">
            <w:pPr>
              <w:jc w:val="both"/>
              <w:rPr>
                <w:rFonts w:ascii="Verdana" w:eastAsia="Calibri" w:hAnsi="Verdana" w:cs="Arial"/>
                <w:b/>
                <w:bCs/>
                <w:lang w:val="es-ES_tradnl" w:eastAsia="es-ES"/>
              </w:rPr>
            </w:pPr>
            <w:r w:rsidRPr="00C01CC5">
              <w:rPr>
                <w:rFonts w:ascii="Verdana" w:eastAsia="Calibri" w:hAnsi="Verdana" w:cs="Arial"/>
                <w:b/>
                <w:bCs/>
                <w:lang w:val="es-ES_tradnl" w:eastAsia="es-ES"/>
              </w:rPr>
              <w:t>Concepto C – 870 de 2024</w:t>
            </w:r>
          </w:p>
        </w:tc>
      </w:tr>
      <w:tr w:rsidR="00C01CC5" w:rsidRPr="00C01CC5" w14:paraId="5D852364" w14:textId="77777777" w:rsidTr="00D846F2">
        <w:trPr>
          <w:trHeight w:val="884"/>
        </w:trPr>
        <w:tc>
          <w:tcPr>
            <w:tcW w:w="2689" w:type="dxa"/>
          </w:tcPr>
          <w:p w14:paraId="2A43E8EA" w14:textId="77777777" w:rsidR="00C01CC5" w:rsidRPr="00C01CC5" w:rsidRDefault="00C01CC5" w:rsidP="00C01CC5">
            <w:pPr>
              <w:jc w:val="both"/>
              <w:rPr>
                <w:rFonts w:ascii="Verdana" w:eastAsia="Calibri" w:hAnsi="Verdana" w:cs="Arial"/>
                <w:lang w:val="es-ES_tradnl" w:eastAsia="es-ES_tradnl"/>
              </w:rPr>
            </w:pPr>
            <w:r w:rsidRPr="00C01CC5">
              <w:rPr>
                <w:rFonts w:ascii="Verdana" w:eastAsia="Calibri" w:hAnsi="Verdana" w:cs="Arial"/>
                <w:b/>
                <w:lang w:val="es-ES_tradnl" w:eastAsia="es-ES_tradnl"/>
              </w:rPr>
              <w:t>Temas:</w:t>
            </w:r>
            <w:r w:rsidRPr="00C01CC5">
              <w:rPr>
                <w:rFonts w:ascii="Verdana" w:eastAsia="Calibri" w:hAnsi="Verdana" w:cs="Arial"/>
                <w:lang w:val="es-ES_tradnl" w:eastAsia="es-ES_tradnl"/>
              </w:rPr>
              <w:t xml:space="preserve">                   </w:t>
            </w:r>
          </w:p>
        </w:tc>
        <w:tc>
          <w:tcPr>
            <w:tcW w:w="6100" w:type="dxa"/>
          </w:tcPr>
          <w:p w14:paraId="0A4B3181" w14:textId="77777777" w:rsidR="00C01CC5" w:rsidRPr="00C01CC5" w:rsidRDefault="00C01CC5" w:rsidP="00C01CC5">
            <w:pPr>
              <w:spacing w:line="276" w:lineRule="auto"/>
              <w:jc w:val="both"/>
              <w:rPr>
                <w:rFonts w:ascii="Verdana" w:eastAsia="Calibri" w:hAnsi="Verdana" w:cs="Times New Roman"/>
              </w:rPr>
            </w:pPr>
            <w:r w:rsidRPr="00C01CC5">
              <w:rPr>
                <w:rFonts w:ascii="Verdana" w:eastAsia="Calibri" w:hAnsi="Verdana" w:cs="Arial"/>
                <w:lang w:val="es-ES_tradnl" w:eastAsia="es-ES"/>
              </w:rPr>
              <w:t xml:space="preserve">DOCUMENTOS TIPO – Generalidades / </w:t>
            </w:r>
            <w:r w:rsidRPr="00C01CC5">
              <w:rPr>
                <w:rFonts w:ascii="Verdana" w:eastAsia="Calibri" w:hAnsi="Verdana" w:cs="Arial"/>
                <w:lang w:val="es-ES_tradnl"/>
              </w:rPr>
              <w:t xml:space="preserve">DOCUMENTOS TIPO – Inalterabilidad – Obligatoriedad / </w:t>
            </w:r>
            <w:r w:rsidRPr="00C01CC5">
              <w:rPr>
                <w:rFonts w:ascii="Verdana" w:eastAsia="Calibri" w:hAnsi="Verdana" w:cs="Arial"/>
                <w:kern w:val="2"/>
                <w:lang w:val="es-ES_tradnl"/>
                <w14:ligatures w14:val="standardContextual"/>
              </w:rPr>
              <w:t>CONTRATOS Y CONVENIOS INTERADMINISTRATIVOS – Régimen jurídico – Noción – Contratación directa</w:t>
            </w:r>
          </w:p>
          <w:p w14:paraId="01B6D139" w14:textId="77777777" w:rsidR="00C01CC5" w:rsidRPr="00C01CC5" w:rsidRDefault="00C01CC5" w:rsidP="00C01CC5">
            <w:pPr>
              <w:spacing w:line="276" w:lineRule="auto"/>
              <w:jc w:val="both"/>
              <w:rPr>
                <w:rFonts w:ascii="Verdana" w:eastAsia="Calibri" w:hAnsi="Verdana" w:cs="Arial"/>
                <w:highlight w:val="yellow"/>
                <w:lang w:val="es-ES_tradnl" w:eastAsia="es-ES"/>
              </w:rPr>
            </w:pPr>
          </w:p>
        </w:tc>
      </w:tr>
      <w:tr w:rsidR="00C01CC5" w:rsidRPr="00C01CC5" w14:paraId="2BB2AEBB" w14:textId="77777777" w:rsidTr="00D846F2">
        <w:tc>
          <w:tcPr>
            <w:tcW w:w="2689" w:type="dxa"/>
          </w:tcPr>
          <w:p w14:paraId="57AB8932" w14:textId="77777777" w:rsidR="00C01CC5" w:rsidRPr="00C01CC5" w:rsidRDefault="00C01CC5" w:rsidP="00C01CC5">
            <w:pPr>
              <w:jc w:val="both"/>
              <w:rPr>
                <w:rFonts w:ascii="Verdana" w:eastAsia="Calibri" w:hAnsi="Verdana" w:cs="Arial"/>
                <w:b/>
                <w:lang w:val="es-ES_tradnl" w:eastAsia="es-ES_tradnl"/>
              </w:rPr>
            </w:pPr>
            <w:r w:rsidRPr="00C01CC5">
              <w:rPr>
                <w:rFonts w:ascii="Verdana" w:eastAsia="Calibri" w:hAnsi="Verdana" w:cs="Arial"/>
                <w:b/>
                <w:lang w:val="es-ES_tradnl" w:eastAsia="es-ES_tradnl"/>
              </w:rPr>
              <w:t>Radicación:</w:t>
            </w:r>
            <w:r w:rsidRPr="00C01CC5">
              <w:rPr>
                <w:rFonts w:ascii="Verdana" w:eastAsia="Calibri" w:hAnsi="Verdana" w:cs="Arial"/>
                <w:lang w:val="es-ES_tradnl" w:eastAsia="es-ES_tradnl"/>
              </w:rPr>
              <w:t xml:space="preserve">               </w:t>
            </w:r>
          </w:p>
        </w:tc>
        <w:tc>
          <w:tcPr>
            <w:tcW w:w="6100" w:type="dxa"/>
          </w:tcPr>
          <w:p w14:paraId="6ABB3A26" w14:textId="77777777" w:rsidR="00C01CC5" w:rsidRPr="00C01CC5" w:rsidRDefault="00C01CC5" w:rsidP="00C01CC5">
            <w:pPr>
              <w:jc w:val="both"/>
              <w:rPr>
                <w:rFonts w:ascii="Verdana" w:eastAsia="Calibri" w:hAnsi="Verdana" w:cs="Arial"/>
                <w:lang w:val="es-ES_tradnl" w:eastAsia="es-ES_tradnl"/>
              </w:rPr>
            </w:pPr>
            <w:r w:rsidRPr="00C01CC5">
              <w:rPr>
                <w:rFonts w:ascii="Verdana" w:eastAsia="Calibri" w:hAnsi="Verdana" w:cs="Arial"/>
                <w:lang w:val="es-ES_tradnl" w:eastAsia="es-ES_tradnl"/>
              </w:rPr>
              <w:t>Respuesta a consultas acumuladas con radicados No. P20241118011529 y P20241125011868</w:t>
            </w:r>
          </w:p>
        </w:tc>
      </w:tr>
    </w:tbl>
    <w:p w14:paraId="00E5F722" w14:textId="77777777" w:rsidR="00C01CC5" w:rsidRPr="00C01CC5" w:rsidRDefault="00C01CC5" w:rsidP="00C01CC5">
      <w:pPr>
        <w:spacing w:after="0" w:line="240" w:lineRule="auto"/>
        <w:jc w:val="both"/>
        <w:rPr>
          <w:rFonts w:ascii="Verdana" w:eastAsia="Calibri" w:hAnsi="Verdana" w:cs="Arial"/>
          <w:lang w:val="es-ES_tradnl" w:eastAsia="es-ES_tradnl"/>
        </w:rPr>
      </w:pPr>
    </w:p>
    <w:p w14:paraId="11467380" w14:textId="77777777" w:rsidR="00C01CC5" w:rsidRPr="00C01CC5" w:rsidRDefault="00C01CC5" w:rsidP="00C01CC5">
      <w:pPr>
        <w:spacing w:after="0" w:line="240" w:lineRule="auto"/>
        <w:jc w:val="both"/>
        <w:rPr>
          <w:rFonts w:ascii="Verdana" w:eastAsia="Calibri" w:hAnsi="Verdana" w:cs="Arial"/>
          <w:lang w:val="es-ES_tradnl" w:eastAsia="es-ES_tradnl"/>
        </w:rPr>
      </w:pPr>
    </w:p>
    <w:p w14:paraId="56C9A60E" w14:textId="77777777" w:rsidR="00C01CC5" w:rsidRPr="00C01CC5" w:rsidRDefault="00C01CC5" w:rsidP="00C01CC5">
      <w:pPr>
        <w:spacing w:after="0" w:line="276" w:lineRule="auto"/>
        <w:jc w:val="both"/>
        <w:rPr>
          <w:rFonts w:ascii="Verdana" w:eastAsia="Calibri" w:hAnsi="Verdana" w:cs="Arial"/>
          <w:lang w:val="es-ES_tradnl" w:eastAsia="es-ES"/>
        </w:rPr>
      </w:pPr>
      <w:r w:rsidRPr="00C01CC5">
        <w:rPr>
          <w:rFonts w:ascii="Verdana" w:eastAsia="Calibri" w:hAnsi="Verdana" w:cs="Arial"/>
          <w:lang w:val="es-ES_tradnl" w:eastAsia="es-ES"/>
        </w:rPr>
        <w:t xml:space="preserve">Estimado señor Meneses: </w:t>
      </w:r>
    </w:p>
    <w:p w14:paraId="10F4410A" w14:textId="77777777" w:rsidR="00C01CC5" w:rsidRPr="00C01CC5" w:rsidRDefault="00C01CC5" w:rsidP="00C01CC5">
      <w:pPr>
        <w:tabs>
          <w:tab w:val="left" w:pos="3768"/>
        </w:tabs>
        <w:spacing w:after="0" w:line="276" w:lineRule="auto"/>
        <w:jc w:val="both"/>
        <w:rPr>
          <w:rFonts w:ascii="Verdana" w:eastAsia="Calibri" w:hAnsi="Verdana" w:cs="Arial"/>
          <w:lang w:val="es-ES_tradnl" w:eastAsia="es-ES"/>
        </w:rPr>
      </w:pPr>
      <w:r w:rsidRPr="00C01CC5">
        <w:rPr>
          <w:rFonts w:ascii="Verdana" w:eastAsia="Calibri" w:hAnsi="Verdana" w:cs="Arial"/>
          <w:lang w:val="es-ES_tradnl" w:eastAsia="es-ES"/>
        </w:rPr>
        <w:tab/>
      </w:r>
    </w:p>
    <w:p w14:paraId="056FE59E" w14:textId="77777777" w:rsidR="00C01CC5" w:rsidRPr="00C01CC5" w:rsidRDefault="00C01CC5" w:rsidP="00C01CC5">
      <w:pPr>
        <w:snapToGrid w:val="0"/>
        <w:spacing w:after="0" w:line="276" w:lineRule="auto"/>
        <w:jc w:val="both"/>
        <w:rPr>
          <w:rFonts w:ascii="Verdana" w:eastAsia="Calibri" w:hAnsi="Verdana" w:cs="Arial"/>
          <w:lang w:val="es-ES_tradnl" w:eastAsia="es-ES"/>
        </w:rPr>
      </w:pPr>
      <w:r w:rsidRPr="00C01CC5">
        <w:rPr>
          <w:rFonts w:ascii="Verdana" w:eastAsia="Calibri" w:hAnsi="Verdana" w:cs="Arial"/>
          <w:lang w:val="es-ES_tradnl" w:eastAsia="es-ES"/>
        </w:rPr>
        <w:t>En ejercicio de la competencia otorgada por los artículos 3, numeral 5º, y 11, numeral 8º, del Decreto Ley 4170 de 2011,</w:t>
      </w:r>
      <w:r w:rsidRPr="00C01CC5">
        <w:rPr>
          <w:rFonts w:ascii="Verdana" w:eastAsia="Arial MT" w:hAnsi="Verdana" w:cs="Arial MT"/>
          <w:lang w:val="es-ES_tradnl" w:eastAsia="es-ES"/>
        </w:rPr>
        <w:t xml:space="preserve"> </w:t>
      </w:r>
      <w:r w:rsidRPr="00C01CC5">
        <w:rPr>
          <w:rFonts w:ascii="Verdana" w:eastAsia="Calibri" w:hAnsi="Verdana" w:cs="Arial"/>
          <w:lang w:val="es-ES_tradnl"/>
        </w:rPr>
        <w:t xml:space="preserve">así como lo establecido en el artículo 4 de la Resolución 1707 de 2018 expedida por esta Entidad, </w:t>
      </w:r>
      <w:r w:rsidRPr="00C01CC5">
        <w:rPr>
          <w:rFonts w:ascii="Verdana" w:eastAsia="Calibri" w:hAnsi="Verdana" w:cs="Arial"/>
          <w:lang w:val="es-ES_tradnl" w:eastAsia="es-ES"/>
        </w:rPr>
        <w:t>la Agencia Nacional de Contratación Pública – Colombia Compra Eficiente– responde sus solicitudes de consultas acumuladas de fecha 18 y 25 de noviembre de 2024, respectivamente. Esta última fue remitida por la Presidencia de la República, mediante oficio con radicado No. OFI24-00231684 / GFPU 13150001 de la misma fecha. En relación con los documentos tipo, usted manifiesta lo siguiente:</w:t>
      </w:r>
    </w:p>
    <w:p w14:paraId="30C88EBA" w14:textId="77777777" w:rsidR="00C01CC5" w:rsidRPr="00C01CC5" w:rsidRDefault="00C01CC5" w:rsidP="00C01CC5">
      <w:pPr>
        <w:snapToGrid w:val="0"/>
        <w:spacing w:after="0" w:line="276" w:lineRule="auto"/>
        <w:jc w:val="both"/>
        <w:rPr>
          <w:rFonts w:ascii="Verdana" w:eastAsia="Calibri" w:hAnsi="Verdana" w:cs="Arial"/>
          <w:lang w:val="es-ES_tradnl" w:eastAsia="es-ES"/>
        </w:rPr>
      </w:pPr>
    </w:p>
    <w:p w14:paraId="1918557B" w14:textId="77777777" w:rsidR="00C01CC5" w:rsidRPr="00C01CC5" w:rsidRDefault="00C01CC5" w:rsidP="00C01CC5">
      <w:pPr>
        <w:snapToGrid w:val="0"/>
        <w:spacing w:after="0" w:line="240" w:lineRule="auto"/>
        <w:ind w:left="709" w:right="709"/>
        <w:jc w:val="both"/>
        <w:rPr>
          <w:rFonts w:ascii="Verdana" w:eastAsia="Calibri" w:hAnsi="Verdana" w:cs="Arial"/>
          <w:sz w:val="21"/>
          <w:szCs w:val="21"/>
          <w:lang w:val="es-ES_tradnl" w:eastAsia="es-ES"/>
        </w:rPr>
      </w:pPr>
      <w:r w:rsidRPr="00C01CC5">
        <w:rPr>
          <w:rFonts w:ascii="Verdana" w:eastAsia="Calibri" w:hAnsi="Verdana" w:cs="Arial"/>
          <w:sz w:val="21"/>
          <w:szCs w:val="21"/>
          <w:lang w:val="es-ES_tradnl" w:eastAsia="es-ES"/>
        </w:rPr>
        <w:t xml:space="preserve">“1. Una entidad estatal que se rige por el estatuto de contratación estatal puede hacer el análisis en no aplicar documentos tipo, a sabiendas que el objeto que pretende contratar contempla documentos tipo o pliegos tipo. </w:t>
      </w:r>
    </w:p>
    <w:p w14:paraId="55941657" w14:textId="77777777" w:rsidR="00C01CC5" w:rsidRPr="00C01CC5" w:rsidRDefault="00C01CC5" w:rsidP="00C01CC5">
      <w:pPr>
        <w:snapToGrid w:val="0"/>
        <w:spacing w:after="0" w:line="240" w:lineRule="auto"/>
        <w:ind w:left="709" w:right="709"/>
        <w:jc w:val="both"/>
        <w:rPr>
          <w:rFonts w:ascii="Verdana" w:eastAsia="Calibri" w:hAnsi="Verdana" w:cs="Arial"/>
          <w:sz w:val="21"/>
          <w:szCs w:val="21"/>
          <w:lang w:val="es-ES_tradnl" w:eastAsia="es-ES"/>
        </w:rPr>
      </w:pPr>
    </w:p>
    <w:p w14:paraId="2D29EC76" w14:textId="77777777" w:rsidR="00C01CC5" w:rsidRPr="00C01CC5" w:rsidRDefault="00C01CC5" w:rsidP="00C01CC5">
      <w:pPr>
        <w:snapToGrid w:val="0"/>
        <w:spacing w:after="0" w:line="240" w:lineRule="auto"/>
        <w:ind w:left="709" w:right="709"/>
        <w:jc w:val="both"/>
        <w:rPr>
          <w:rFonts w:ascii="Verdana" w:eastAsia="Calibri" w:hAnsi="Verdana" w:cs="Arial"/>
          <w:sz w:val="21"/>
          <w:szCs w:val="21"/>
          <w:lang w:val="es-ES" w:eastAsia="es-ES"/>
        </w:rPr>
      </w:pPr>
      <w:r w:rsidRPr="0E06BA0B">
        <w:rPr>
          <w:rFonts w:ascii="Verdana" w:eastAsia="Calibri" w:hAnsi="Verdana" w:cs="Arial"/>
          <w:sz w:val="21"/>
          <w:szCs w:val="21"/>
          <w:lang w:val="es-ES" w:eastAsia="es-ES"/>
        </w:rPr>
        <w:lastRenderedPageBreak/>
        <w:t xml:space="preserve">2. la entidad estatal que se rige por el estatuto de contratación estatal puede celebra </w:t>
      </w:r>
      <w:proofErr w:type="gramStart"/>
      <w:r w:rsidRPr="0E06BA0B">
        <w:rPr>
          <w:rFonts w:ascii="Verdana" w:eastAsia="Calibri" w:hAnsi="Verdana" w:cs="Arial"/>
          <w:sz w:val="21"/>
          <w:szCs w:val="21"/>
          <w:lang w:val="es-ES" w:eastAsia="es-ES"/>
        </w:rPr>
        <w:t>contrato interadministrativo y convenio interadministrativo</w:t>
      </w:r>
      <w:proofErr w:type="gramEnd"/>
      <w:r w:rsidRPr="0E06BA0B">
        <w:rPr>
          <w:rFonts w:ascii="Verdana" w:eastAsia="Calibri" w:hAnsi="Verdana" w:cs="Arial"/>
          <w:sz w:val="21"/>
          <w:szCs w:val="21"/>
          <w:lang w:val="es-ES" w:eastAsia="es-ES"/>
        </w:rPr>
        <w:t xml:space="preserve">, sabiendo que existe documentos tipo o pliegos tipo. </w:t>
      </w:r>
    </w:p>
    <w:p w14:paraId="3C613113" w14:textId="77777777" w:rsidR="00C01CC5" w:rsidRPr="00C01CC5" w:rsidRDefault="00C01CC5" w:rsidP="00C01CC5">
      <w:pPr>
        <w:snapToGrid w:val="0"/>
        <w:spacing w:after="0" w:line="240" w:lineRule="auto"/>
        <w:ind w:left="709" w:right="709"/>
        <w:jc w:val="both"/>
        <w:rPr>
          <w:rFonts w:ascii="Verdana" w:eastAsia="Calibri" w:hAnsi="Verdana" w:cs="Arial"/>
          <w:sz w:val="21"/>
          <w:szCs w:val="21"/>
          <w:lang w:val="es-ES_tradnl" w:eastAsia="es-ES"/>
        </w:rPr>
      </w:pPr>
    </w:p>
    <w:p w14:paraId="77A4874E" w14:textId="77777777" w:rsidR="00C01CC5" w:rsidRPr="00C01CC5" w:rsidRDefault="00C01CC5" w:rsidP="00C01CC5">
      <w:pPr>
        <w:snapToGrid w:val="0"/>
        <w:spacing w:after="0" w:line="240" w:lineRule="auto"/>
        <w:ind w:left="709" w:right="709"/>
        <w:jc w:val="both"/>
        <w:rPr>
          <w:rFonts w:ascii="Verdana" w:eastAsia="Calibri" w:hAnsi="Verdana" w:cs="Arial"/>
          <w:sz w:val="21"/>
          <w:szCs w:val="21"/>
          <w:lang w:val="es-ES_tradnl" w:eastAsia="es-ES"/>
        </w:rPr>
      </w:pPr>
      <w:r w:rsidRPr="00C01CC5">
        <w:rPr>
          <w:rFonts w:ascii="Verdana" w:eastAsia="Calibri" w:hAnsi="Verdana" w:cs="Arial"/>
          <w:sz w:val="21"/>
          <w:szCs w:val="21"/>
          <w:lang w:val="es-ES_tradnl" w:eastAsia="es-ES"/>
        </w:rPr>
        <w:t>3. Ahí responsabilidad disciplinaria y delito penal por no aplicar los documentos tipo o pliegos tipo, por parte de las entidades estatales que se rigen el estatuto de contratación estatal.” [SIC]</w:t>
      </w:r>
    </w:p>
    <w:p w14:paraId="7DE7C0A1" w14:textId="77777777" w:rsidR="00C01CC5" w:rsidRPr="00C01CC5" w:rsidRDefault="00C01CC5" w:rsidP="00C01CC5">
      <w:pPr>
        <w:snapToGrid w:val="0"/>
        <w:spacing w:after="0" w:line="276" w:lineRule="auto"/>
        <w:jc w:val="both"/>
        <w:rPr>
          <w:rFonts w:ascii="Verdana" w:eastAsia="Calibri" w:hAnsi="Verdana" w:cs="Arial"/>
          <w:lang w:val="es-ES_tradnl" w:eastAsia="es-ES"/>
        </w:rPr>
      </w:pPr>
    </w:p>
    <w:p w14:paraId="3ED5E616" w14:textId="77777777" w:rsidR="00C01CC5" w:rsidRPr="00C01CC5" w:rsidRDefault="00C01CC5" w:rsidP="00C01CC5">
      <w:pPr>
        <w:spacing w:after="120" w:line="276" w:lineRule="auto"/>
        <w:ind w:firstLine="709"/>
        <w:jc w:val="both"/>
        <w:rPr>
          <w:rFonts w:ascii="Verdana" w:eastAsia="Calibri" w:hAnsi="Verdana" w:cs="Arial"/>
          <w:lang w:val="es-ES" w:eastAsia="es-ES"/>
        </w:rPr>
      </w:pPr>
      <w:r w:rsidRPr="0E06BA0B">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tab/>
      </w:r>
    </w:p>
    <w:p w14:paraId="2EE8AEBD" w14:textId="77777777" w:rsidR="00C01CC5" w:rsidRPr="00C01CC5" w:rsidRDefault="00C01CC5" w:rsidP="00C01CC5">
      <w:pPr>
        <w:snapToGrid w:val="0"/>
        <w:spacing w:after="0" w:line="276" w:lineRule="auto"/>
        <w:ind w:firstLine="709"/>
        <w:jc w:val="both"/>
        <w:rPr>
          <w:rFonts w:ascii="Verdana" w:eastAsia="Calibri" w:hAnsi="Verdana" w:cs="Arial"/>
          <w:lang w:val="es-ES_tradnl" w:eastAsia="es-ES"/>
        </w:rPr>
      </w:pPr>
      <w:r w:rsidRPr="00C01CC5">
        <w:rPr>
          <w:rFonts w:ascii="Verdana" w:eastAsia="Calibri" w:hAnsi="Verdana" w:cs="Arial"/>
          <w:lang w:val="es-ES_tradnl"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2F844CD9" w14:textId="77777777" w:rsidR="00C01CC5" w:rsidRPr="00C01CC5" w:rsidRDefault="00C01CC5" w:rsidP="00C01CC5">
      <w:pPr>
        <w:snapToGrid w:val="0"/>
        <w:spacing w:after="0" w:line="276" w:lineRule="auto"/>
        <w:ind w:firstLine="709"/>
        <w:jc w:val="both"/>
        <w:rPr>
          <w:rFonts w:ascii="Verdana" w:eastAsia="Calibri" w:hAnsi="Verdana" w:cs="Arial"/>
          <w:lang w:val="es-ES_tradnl" w:eastAsia="es-ES"/>
        </w:rPr>
      </w:pPr>
    </w:p>
    <w:p w14:paraId="0184DF8D" w14:textId="77777777" w:rsidR="00C01CC5" w:rsidRPr="00C01CC5" w:rsidRDefault="00C01CC5" w:rsidP="00C01CC5">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C01CC5">
        <w:rPr>
          <w:rFonts w:ascii="Verdana" w:eastAsia="Century Gothic" w:hAnsi="Verdana" w:cs="Century Gothic"/>
          <w:b/>
          <w:bCs/>
          <w:lang w:val="es-ES_tradnl"/>
        </w:rPr>
        <w:t>Problema planteado:</w:t>
      </w:r>
    </w:p>
    <w:p w14:paraId="6180D8F8" w14:textId="77777777" w:rsidR="00C01CC5" w:rsidRPr="00C01CC5" w:rsidRDefault="00C01CC5" w:rsidP="00C01CC5">
      <w:pPr>
        <w:tabs>
          <w:tab w:val="left" w:pos="426"/>
        </w:tabs>
        <w:snapToGrid w:val="0"/>
        <w:spacing w:after="0" w:line="276" w:lineRule="auto"/>
        <w:jc w:val="both"/>
        <w:rPr>
          <w:rFonts w:ascii="Verdana" w:eastAsia="Century Gothic" w:hAnsi="Verdana" w:cs="Century Gothic"/>
          <w:lang w:val="es-ES_tradnl"/>
        </w:rPr>
      </w:pPr>
    </w:p>
    <w:p w14:paraId="27109D81" w14:textId="77777777" w:rsidR="00C01CC5" w:rsidRPr="00C01CC5" w:rsidRDefault="00C01CC5" w:rsidP="00C01CC5">
      <w:pPr>
        <w:snapToGrid w:val="0"/>
        <w:spacing w:after="0" w:line="276" w:lineRule="auto"/>
        <w:jc w:val="both"/>
        <w:rPr>
          <w:rFonts w:ascii="Verdana" w:eastAsia="Aptos" w:hAnsi="Verdana" w:cs="Times New Roman"/>
          <w:kern w:val="2"/>
          <w14:ligatures w14:val="standardContextual"/>
        </w:rPr>
      </w:pPr>
      <w:r w:rsidRPr="00C01CC5">
        <w:rPr>
          <w:rFonts w:ascii="Verdana" w:eastAsia="Century Gothic" w:hAnsi="Verdana" w:cs="Century Gothic"/>
          <w:lang w:val="es-ES_tradnl"/>
        </w:rPr>
        <w:t>De acuerdo con el contenido de su solicitud, esta Agencia resolverá los siguientes problemas jurídicos:</w:t>
      </w:r>
    </w:p>
    <w:p w14:paraId="43772306" w14:textId="77777777" w:rsidR="00C01CC5" w:rsidRPr="00C01CC5" w:rsidRDefault="00C01CC5" w:rsidP="00C01CC5">
      <w:pPr>
        <w:snapToGrid w:val="0"/>
        <w:spacing w:after="0" w:line="276" w:lineRule="auto"/>
        <w:jc w:val="both"/>
        <w:rPr>
          <w:rFonts w:ascii="Verdana" w:eastAsia="Aptos" w:hAnsi="Verdana" w:cs="Times New Roman"/>
          <w:kern w:val="2"/>
          <w14:ligatures w14:val="standardContextual"/>
        </w:rPr>
      </w:pPr>
    </w:p>
    <w:p w14:paraId="4C8769C2" w14:textId="77777777" w:rsidR="00C01CC5" w:rsidRPr="00C01CC5" w:rsidRDefault="00C01CC5" w:rsidP="00C01CC5">
      <w:pPr>
        <w:numPr>
          <w:ilvl w:val="0"/>
          <w:numId w:val="24"/>
        </w:numPr>
        <w:snapToGrid w:val="0"/>
        <w:spacing w:after="0" w:line="276" w:lineRule="auto"/>
        <w:contextualSpacing/>
        <w:jc w:val="both"/>
        <w:rPr>
          <w:rFonts w:ascii="Verdana" w:eastAsia="Aptos" w:hAnsi="Verdana" w:cs="Times New Roman"/>
          <w:kern w:val="2"/>
          <w14:ligatures w14:val="standardContextual"/>
        </w:rPr>
      </w:pPr>
      <w:r w:rsidRPr="00C01CC5">
        <w:rPr>
          <w:rFonts w:ascii="Verdana" w:eastAsia="Aptos" w:hAnsi="Verdana" w:cs="Times New Roman"/>
          <w:kern w:val="2"/>
          <w14:ligatures w14:val="standardContextual"/>
        </w:rPr>
        <w:t>¿Puede prescindir una entidad estatal de la utilización de los documentos tipo y cuáles son las consecuencias de ello?</w:t>
      </w:r>
    </w:p>
    <w:p w14:paraId="01F10362" w14:textId="77777777" w:rsidR="00C01CC5" w:rsidRPr="00C01CC5" w:rsidRDefault="00C01CC5" w:rsidP="00C01CC5">
      <w:pPr>
        <w:snapToGrid w:val="0"/>
        <w:spacing w:after="0" w:line="276" w:lineRule="auto"/>
        <w:ind w:left="720"/>
        <w:contextualSpacing/>
        <w:jc w:val="both"/>
        <w:rPr>
          <w:rFonts w:ascii="Verdana" w:eastAsia="Aptos" w:hAnsi="Verdana" w:cs="Times New Roman"/>
          <w:kern w:val="2"/>
          <w14:ligatures w14:val="standardContextual"/>
        </w:rPr>
      </w:pPr>
    </w:p>
    <w:p w14:paraId="161B7A28" w14:textId="77777777" w:rsidR="00C01CC5" w:rsidRPr="00C01CC5" w:rsidRDefault="00C01CC5" w:rsidP="00C01CC5">
      <w:pPr>
        <w:numPr>
          <w:ilvl w:val="0"/>
          <w:numId w:val="24"/>
        </w:numPr>
        <w:snapToGrid w:val="0"/>
        <w:spacing w:after="0" w:line="276" w:lineRule="auto"/>
        <w:contextualSpacing/>
        <w:jc w:val="both"/>
        <w:rPr>
          <w:rFonts w:ascii="Verdana" w:eastAsia="Century Gothic" w:hAnsi="Verdana" w:cs="Century Gothic"/>
          <w:lang w:val="es-ES_tradnl"/>
        </w:rPr>
      </w:pPr>
      <w:r w:rsidRPr="00C01CC5">
        <w:rPr>
          <w:rFonts w:ascii="Verdana" w:eastAsia="Aptos" w:hAnsi="Verdana" w:cs="Times New Roman"/>
          <w:kern w:val="2"/>
          <w14:ligatures w14:val="standardContextual"/>
        </w:rPr>
        <w:t>¿Puede una entidad estatal celebrar un contrato o convenio interadministrativo, aun cuando existen documentos tipo?</w:t>
      </w:r>
    </w:p>
    <w:p w14:paraId="372A02D0" w14:textId="77777777" w:rsidR="00C01CC5" w:rsidRPr="00C01CC5" w:rsidRDefault="00C01CC5" w:rsidP="00C01CC5">
      <w:pPr>
        <w:snapToGrid w:val="0"/>
        <w:spacing w:after="0" w:line="276" w:lineRule="auto"/>
        <w:jc w:val="both"/>
        <w:rPr>
          <w:rFonts w:ascii="Verdana" w:eastAsia="Calibri" w:hAnsi="Verdana" w:cs="Arial"/>
          <w:lang w:val="es-ES_tradnl"/>
        </w:rPr>
      </w:pPr>
    </w:p>
    <w:p w14:paraId="61BAAB78" w14:textId="77777777" w:rsidR="00C01CC5" w:rsidRPr="00C01CC5" w:rsidRDefault="00C01CC5" w:rsidP="00C01CC5">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C01CC5">
        <w:rPr>
          <w:rFonts w:ascii="Verdana" w:eastAsia="Century Gothic" w:hAnsi="Verdana" w:cs="Century Gothic"/>
          <w:b/>
          <w:bCs/>
          <w:lang w:val="es-ES_tradnl"/>
        </w:rPr>
        <w:lastRenderedPageBreak/>
        <w:t>Respuesta:</w:t>
      </w:r>
    </w:p>
    <w:p w14:paraId="5151067D" w14:textId="77777777" w:rsidR="00C01CC5" w:rsidRPr="00C01CC5" w:rsidRDefault="00C01CC5" w:rsidP="00C01CC5">
      <w:pPr>
        <w:tabs>
          <w:tab w:val="left" w:pos="142"/>
          <w:tab w:val="left" w:pos="284"/>
        </w:tabs>
        <w:snapToGrid w:val="0"/>
        <w:spacing w:after="0" w:line="276" w:lineRule="auto"/>
        <w:jc w:val="both"/>
        <w:rPr>
          <w:rFonts w:ascii="Verdana" w:eastAsia="Century Gothic" w:hAnsi="Verdana" w:cs="Century Gothic"/>
          <w:b/>
          <w:bCs/>
          <w:lang w:val="es-ES_tradnl"/>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C01CC5" w:rsidRPr="00C01CC5" w14:paraId="20929A0F" w14:textId="77777777" w:rsidTr="00D846F2">
        <w:tc>
          <w:tcPr>
            <w:tcW w:w="8828" w:type="dxa"/>
            <w:shd w:val="clear" w:color="auto" w:fill="auto"/>
          </w:tcPr>
          <w:p w14:paraId="2C72D8D4" w14:textId="77777777" w:rsidR="00C01CC5" w:rsidRPr="00C01CC5" w:rsidRDefault="00C01CC5" w:rsidP="00C01CC5">
            <w:pPr>
              <w:snapToGrid w:val="0"/>
              <w:spacing w:line="276" w:lineRule="auto"/>
              <w:jc w:val="both"/>
              <w:rPr>
                <w:rFonts w:ascii="Verdana" w:eastAsia="Calibri" w:hAnsi="Verdana" w:cs="Arial"/>
                <w:lang w:val="es-ES_tradnl"/>
              </w:rPr>
            </w:pPr>
            <w:r w:rsidRPr="00C01CC5">
              <w:rPr>
                <w:rFonts w:ascii="Verdana" w:eastAsia="Calibri" w:hAnsi="Verdana" w:cs="Arial"/>
                <w:lang w:val="es-ES_tradnl"/>
              </w:rPr>
              <w:t>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w:t>
            </w:r>
          </w:p>
          <w:p w14:paraId="4CF51AAD" w14:textId="77777777" w:rsidR="00C01CC5" w:rsidRPr="00C01CC5" w:rsidRDefault="00C01CC5" w:rsidP="00C01CC5">
            <w:pPr>
              <w:snapToGrid w:val="0"/>
              <w:spacing w:line="276" w:lineRule="auto"/>
              <w:jc w:val="both"/>
              <w:rPr>
                <w:rFonts w:ascii="Verdana" w:eastAsia="Calibri" w:hAnsi="Verdana" w:cs="Arial"/>
                <w:lang w:val="es-ES_tradnl"/>
              </w:rPr>
            </w:pPr>
          </w:p>
          <w:p w14:paraId="720D3AA2" w14:textId="77777777" w:rsidR="00C01CC5" w:rsidRPr="00C01CC5" w:rsidRDefault="00C01CC5" w:rsidP="00C01CC5">
            <w:pPr>
              <w:snapToGrid w:val="0"/>
              <w:spacing w:line="276" w:lineRule="auto"/>
              <w:jc w:val="both"/>
              <w:rPr>
                <w:rFonts w:ascii="Verdana" w:eastAsia="Times New Roman" w:hAnsi="Verdana" w:cs="Arial"/>
                <w:shd w:val="clear" w:color="auto" w:fill="FFFFFF"/>
                <w:lang w:val="es-ES_tradnl" w:eastAsia="es-ES_tradnl"/>
              </w:rPr>
            </w:pPr>
            <w:r w:rsidRPr="00C01CC5">
              <w:rPr>
                <w:rFonts w:ascii="Verdana" w:eastAsia="Times New Roman" w:hAnsi="Verdana" w:cs="Arial"/>
                <w:shd w:val="clear" w:color="auto" w:fill="FFFFFF"/>
                <w:lang w:val="es-ES_tradnl" w:eastAsia="es-ES_tradnl"/>
              </w:rPr>
              <w:t xml:space="preserve">En este sentido, cuando existan documentos tipo y la actividad a contratar por parte de una entidad sometida al EGCAP se encuentre cobijada por alguna de las actividades descritas en las matrices de experiencia de dichos documentos, su utilización para adelantar el respectivo proceso de contratación resulta forzosa. Esto significa que, la entidad contratante no podrá prescindir de la implementación de los documentos tipo cuando estos sean obligatorios. </w:t>
            </w:r>
          </w:p>
          <w:p w14:paraId="008F4640" w14:textId="77777777" w:rsidR="00C01CC5" w:rsidRPr="00C01CC5" w:rsidRDefault="00C01CC5" w:rsidP="00C01CC5">
            <w:pPr>
              <w:snapToGrid w:val="0"/>
              <w:spacing w:line="276" w:lineRule="auto"/>
              <w:jc w:val="both"/>
              <w:rPr>
                <w:rFonts w:ascii="Verdana" w:eastAsia="Calibri" w:hAnsi="Verdana" w:cs="Arial"/>
                <w:lang w:val="es-ES_tradnl"/>
              </w:rPr>
            </w:pPr>
            <w:r w:rsidRPr="00C01CC5">
              <w:rPr>
                <w:rFonts w:ascii="Verdana" w:eastAsia="Calibri" w:hAnsi="Verdana" w:cs="Arial"/>
                <w:lang w:val="es-ES_tradnl"/>
              </w:rPr>
              <w:t xml:space="preserve"> </w:t>
            </w:r>
          </w:p>
          <w:p w14:paraId="1386C039" w14:textId="77777777" w:rsidR="00C01CC5" w:rsidRPr="00C01CC5" w:rsidRDefault="00C01CC5" w:rsidP="00C01CC5">
            <w:pPr>
              <w:snapToGrid w:val="0"/>
              <w:spacing w:line="276" w:lineRule="auto"/>
              <w:jc w:val="both"/>
              <w:rPr>
                <w:rFonts w:ascii="Verdana" w:eastAsia="Times New Roman" w:hAnsi="Verdana" w:cs="Arial"/>
                <w:kern w:val="2"/>
                <w:shd w:val="clear" w:color="auto" w:fill="FFFFFF"/>
                <w:lang w:val="es-ES" w:eastAsia="es-ES"/>
                <w14:ligatures w14:val="standardContextual"/>
              </w:rPr>
            </w:pPr>
            <w:r w:rsidRPr="0E06BA0B">
              <w:rPr>
                <w:rFonts w:ascii="Verdana" w:eastAsia="Times New Roman" w:hAnsi="Verdana" w:cs="Arial"/>
                <w:shd w:val="clear" w:color="auto" w:fill="FFFFFF"/>
                <w:lang w:val="es-ES" w:eastAsia="es-ES"/>
              </w:rPr>
              <w:t xml:space="preserve">Además, la comisión de presuntas irregularidades por parte de las entidades públicas en desarrollo de su actividad contractual con documentos tipo puede derivar, entre otras, en faltas disciplinarias o, incluso, delitos, dependiendo de las circunstancias particulares de cada caso. De esta manera, la inobservancia de los documentos tipo puede conllevar a que las autoridades de control o </w:t>
            </w:r>
            <w:proofErr w:type="gramStart"/>
            <w:r w:rsidRPr="0E06BA0B">
              <w:rPr>
                <w:rFonts w:ascii="Verdana" w:eastAsia="Times New Roman" w:hAnsi="Verdana" w:cs="Arial"/>
                <w:shd w:val="clear" w:color="auto" w:fill="FFFFFF"/>
                <w:lang w:val="es-ES" w:eastAsia="es-ES"/>
              </w:rPr>
              <w:t>judicial competentes</w:t>
            </w:r>
            <w:proofErr w:type="gramEnd"/>
            <w:r w:rsidRPr="0E06BA0B">
              <w:rPr>
                <w:rFonts w:ascii="Verdana" w:eastAsia="Times New Roman" w:hAnsi="Verdana" w:cs="Arial"/>
                <w:shd w:val="clear" w:color="auto" w:fill="FFFFFF"/>
                <w:lang w:val="es-ES" w:eastAsia="es-ES"/>
              </w:rPr>
              <w:t xml:space="preserve">, como la Procuraduría General de la Nación, Contraloría General de la República y/o Fiscalía General de la Nación, adelanten las investigaciones a que haya lugar y, si es del caso, establezcan la responsabilidad derivada de las infracciones que se cometan. </w:t>
            </w:r>
          </w:p>
          <w:p w14:paraId="3388FC50" w14:textId="77777777" w:rsidR="00C01CC5" w:rsidRPr="00C01CC5" w:rsidRDefault="00C01CC5" w:rsidP="00C01CC5">
            <w:pPr>
              <w:spacing w:line="276" w:lineRule="auto"/>
              <w:contextualSpacing/>
              <w:jc w:val="both"/>
              <w:rPr>
                <w:rFonts w:ascii="Verdana" w:eastAsia="Calibri" w:hAnsi="Verdana" w:cs="Calibri Light"/>
              </w:rPr>
            </w:pPr>
          </w:p>
          <w:p w14:paraId="2944517B" w14:textId="77777777" w:rsidR="00C01CC5" w:rsidRPr="00C01CC5" w:rsidRDefault="00C01CC5" w:rsidP="00C01CC5">
            <w:pPr>
              <w:tabs>
                <w:tab w:val="left" w:pos="709"/>
              </w:tabs>
              <w:snapToGrid w:val="0"/>
              <w:spacing w:line="276" w:lineRule="auto"/>
              <w:contextualSpacing/>
              <w:jc w:val="both"/>
              <w:rPr>
                <w:rFonts w:ascii="Verdana" w:eastAsia="Times New Roman" w:hAnsi="Verdana" w:cs="Arial"/>
                <w:lang w:eastAsia="es-CO"/>
              </w:rPr>
            </w:pPr>
            <w:r w:rsidRPr="00C01CC5">
              <w:rPr>
                <w:rFonts w:ascii="Verdana" w:eastAsia="Times New Roman" w:hAnsi="Verdana" w:cs="Arial"/>
                <w:lang w:eastAsia="es-CO"/>
              </w:rPr>
              <w:t>Por otra parte, es importante señalar que,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3CF6B7A9" w14:textId="77777777" w:rsidR="00C01CC5" w:rsidRPr="00C01CC5" w:rsidRDefault="00C01CC5" w:rsidP="00C01CC5">
            <w:pPr>
              <w:tabs>
                <w:tab w:val="left" w:pos="709"/>
              </w:tabs>
              <w:snapToGrid w:val="0"/>
              <w:spacing w:line="276" w:lineRule="auto"/>
              <w:contextualSpacing/>
              <w:jc w:val="both"/>
              <w:rPr>
                <w:rFonts w:ascii="Verdana" w:eastAsia="Times New Roman" w:hAnsi="Verdana" w:cs="Arial"/>
                <w:lang w:eastAsia="es-CO"/>
              </w:rPr>
            </w:pPr>
          </w:p>
          <w:p w14:paraId="5FF093AA" w14:textId="77777777" w:rsidR="00C01CC5" w:rsidRPr="00C01CC5" w:rsidRDefault="00C01CC5" w:rsidP="00C01CC5">
            <w:pPr>
              <w:tabs>
                <w:tab w:val="left" w:pos="709"/>
              </w:tabs>
              <w:snapToGrid w:val="0"/>
              <w:spacing w:line="276" w:lineRule="auto"/>
              <w:contextualSpacing/>
              <w:jc w:val="both"/>
              <w:rPr>
                <w:rFonts w:ascii="Verdana" w:eastAsia="Calibri" w:hAnsi="Verdana" w:cs="Arial"/>
                <w:bCs/>
                <w:color w:val="000000"/>
                <w:lang w:bidi="es-ES"/>
              </w:rPr>
            </w:pPr>
            <w:r w:rsidRPr="00C01CC5">
              <w:rPr>
                <w:rFonts w:ascii="Verdana" w:eastAsia="Calibri" w:hAnsi="Verdana" w:cs="Arial"/>
                <w:bCs/>
                <w:color w:val="000000"/>
                <w:lang w:bidi="es-ES"/>
              </w:rPr>
              <w:t>Si bien tanto los contratos como convenios comparten características comunes, difieren en cuanto a ciertos aspectos esenciales</w:t>
            </w:r>
            <w:r w:rsidRPr="00C01CC5">
              <w:rPr>
                <w:rFonts w:ascii="Verdana" w:eastAsia="Calibri" w:hAnsi="Verdana" w:cs="Arial"/>
                <w:color w:val="000000"/>
                <w:lang w:bidi="es-ES"/>
              </w:rPr>
              <w:t xml:space="preserve">. </w:t>
            </w:r>
            <w:r w:rsidRPr="00C01CC5">
              <w:rPr>
                <w:rFonts w:ascii="Verdana" w:eastAsia="Calibri" w:hAnsi="Verdana" w:cs="Arial"/>
                <w:bCs/>
                <w:color w:val="000000"/>
                <w:lang w:bidi="es-ES"/>
              </w:rPr>
              <w:t xml:space="preserve">Así, mientras que el </w:t>
            </w:r>
            <w:r w:rsidRPr="00C01CC5">
              <w:rPr>
                <w:rFonts w:ascii="Verdana" w:eastAsia="Calibri" w:hAnsi="Verdana" w:cs="Arial"/>
                <w:bCs/>
                <w:i/>
                <w:iCs/>
                <w:color w:val="000000"/>
                <w:lang w:bidi="es-ES"/>
              </w:rPr>
              <w:t>contrato interadministrativo</w:t>
            </w:r>
            <w:r w:rsidRPr="00C01CC5">
              <w:rPr>
                <w:rFonts w:ascii="Verdana" w:eastAsia="Calibri" w:hAnsi="Verdana" w:cs="Arial"/>
                <w:bCs/>
                <w:color w:val="000000"/>
                <w:lang w:bidi="es-ES"/>
              </w:rPr>
              <w:t xml:space="preserve"> se caracteriza por su naturaleza onerosa, </w:t>
            </w:r>
            <w:r w:rsidRPr="00C01CC5">
              <w:rPr>
                <w:rFonts w:ascii="Verdana" w:eastAsia="Calibri" w:hAnsi="Verdana" w:cs="Arial"/>
                <w:bCs/>
                <w:color w:val="000000"/>
                <w:lang w:bidi="es-ES"/>
              </w:rPr>
              <w:lastRenderedPageBreak/>
              <w:t xml:space="preserve">patrimonial y se conforma por intereses básicamente contrapuestos, los </w:t>
            </w:r>
            <w:r w:rsidRPr="00C01CC5">
              <w:rPr>
                <w:rFonts w:ascii="Verdana" w:eastAsia="Calibri" w:hAnsi="Verdana" w:cs="Arial"/>
                <w:bCs/>
                <w:i/>
                <w:iCs/>
                <w:color w:val="000000"/>
                <w:lang w:bidi="es-ES"/>
              </w:rPr>
              <w:t>convenios interadministrativos</w:t>
            </w:r>
            <w:r w:rsidRPr="00C01CC5">
              <w:rPr>
                <w:rFonts w:ascii="Verdana" w:eastAsia="Calibri" w:hAnsi="Verdana" w:cs="Arial"/>
                <w:bCs/>
                <w:color w:val="000000"/>
                <w:lang w:bidi="es-ES"/>
              </w:rPr>
              <w:t>, por su parte, tienen una finalidad asociativa perseguida por las partes suscriptoras cuyos intereses se encaminan en la misma dirección y persiguen los mismos objetivos, de conformidad con el ejercicio de las funciones y competencias que les son propias y propendiendo por la cooperación interinstitucional.</w:t>
            </w:r>
          </w:p>
          <w:p w14:paraId="2B5DCB02" w14:textId="77777777" w:rsidR="00C01CC5" w:rsidRPr="00C01CC5" w:rsidRDefault="00C01CC5" w:rsidP="00C01CC5">
            <w:pPr>
              <w:tabs>
                <w:tab w:val="left" w:pos="709"/>
              </w:tabs>
              <w:snapToGrid w:val="0"/>
              <w:spacing w:line="276" w:lineRule="auto"/>
              <w:contextualSpacing/>
              <w:jc w:val="both"/>
              <w:rPr>
                <w:rFonts w:ascii="Verdana" w:eastAsia="Calibri" w:hAnsi="Verdana" w:cs="Arial"/>
                <w:bCs/>
                <w:color w:val="000000"/>
                <w:lang w:bidi="es-ES"/>
              </w:rPr>
            </w:pPr>
          </w:p>
          <w:p w14:paraId="4841D4EE" w14:textId="77777777" w:rsidR="00C01CC5" w:rsidRPr="00C01CC5" w:rsidRDefault="00C01CC5" w:rsidP="00C01CC5">
            <w:pPr>
              <w:spacing w:line="276" w:lineRule="auto"/>
              <w:contextualSpacing/>
              <w:jc w:val="both"/>
              <w:rPr>
                <w:rFonts w:ascii="Verdana" w:eastAsia="Calibri" w:hAnsi="Verdana" w:cs="Calibri Light"/>
              </w:rPr>
            </w:pPr>
            <w:r w:rsidRPr="00C01CC5">
              <w:rPr>
                <w:rFonts w:ascii="Verdana" w:eastAsia="Calibri" w:hAnsi="Verdana" w:cs="Calibri Light"/>
              </w:rPr>
              <w:t>Por lo tanto, corresponderá a cada entidad estatal, en el marco de su autonomía y de acuerdo con las necesidades que procure satisfacer, determinar si lo más adecuado es celebrar un contrato o un convenio interadministrativo, o cualquier otro negocio jurídico, en cada caso concreto, teniendo en cuenta, también, los documentos tipo que para el sector y modalidad de selección hayan sido expedidos.</w:t>
            </w:r>
          </w:p>
        </w:tc>
      </w:tr>
    </w:tbl>
    <w:p w14:paraId="332D04FF" w14:textId="77777777" w:rsidR="00C01CC5" w:rsidRPr="00C01CC5" w:rsidRDefault="00C01CC5" w:rsidP="00C01CC5">
      <w:pPr>
        <w:tabs>
          <w:tab w:val="left" w:pos="142"/>
          <w:tab w:val="left" w:pos="284"/>
        </w:tabs>
        <w:snapToGrid w:val="0"/>
        <w:spacing w:after="0" w:line="276" w:lineRule="auto"/>
        <w:jc w:val="both"/>
        <w:rPr>
          <w:rFonts w:ascii="Verdana" w:eastAsia="Century Gothic" w:hAnsi="Verdana" w:cs="Century Gothic"/>
          <w:b/>
          <w:bCs/>
          <w:lang w:val="es-ES_tradnl"/>
        </w:rPr>
      </w:pPr>
    </w:p>
    <w:p w14:paraId="6125726B" w14:textId="77777777" w:rsidR="00C01CC5" w:rsidRPr="00C01CC5" w:rsidRDefault="00C01CC5" w:rsidP="00C01CC5">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C01CC5">
        <w:rPr>
          <w:rFonts w:ascii="Verdana" w:eastAsia="Century Gothic" w:hAnsi="Verdana" w:cs="Century Gothic"/>
          <w:b/>
          <w:bCs/>
          <w:lang w:val="es-ES_tradnl"/>
        </w:rPr>
        <w:t>Razones de la respuesta:</w:t>
      </w:r>
    </w:p>
    <w:p w14:paraId="74A34D28" w14:textId="77777777" w:rsidR="00C01CC5" w:rsidRPr="00C01CC5" w:rsidRDefault="00C01CC5" w:rsidP="00C01CC5">
      <w:pPr>
        <w:snapToGrid w:val="0"/>
        <w:spacing w:after="0" w:line="276" w:lineRule="auto"/>
        <w:jc w:val="both"/>
        <w:rPr>
          <w:rFonts w:ascii="Verdana" w:eastAsia="Calibri" w:hAnsi="Verdana" w:cs="Arial"/>
          <w:lang w:val="es-ES_tradnl"/>
        </w:rPr>
      </w:pPr>
    </w:p>
    <w:p w14:paraId="37D3F304" w14:textId="77777777" w:rsidR="00C01CC5" w:rsidRPr="00C01CC5" w:rsidRDefault="00C01CC5" w:rsidP="00C01CC5">
      <w:pPr>
        <w:snapToGrid w:val="0"/>
        <w:spacing w:after="0" w:line="276" w:lineRule="auto"/>
        <w:jc w:val="both"/>
        <w:rPr>
          <w:rFonts w:ascii="Verdana" w:eastAsia="Calibri" w:hAnsi="Verdana" w:cs="Arial"/>
          <w:lang w:val="es-ES_tradnl"/>
        </w:rPr>
      </w:pPr>
      <w:r w:rsidRPr="00C01CC5">
        <w:rPr>
          <w:rFonts w:ascii="Verdana" w:eastAsia="Calibri" w:hAnsi="Verdana" w:cs="Arial"/>
          <w:lang w:val="es-ES_tradnl"/>
        </w:rPr>
        <w:t xml:space="preserve">Lo anterior se sustenta en las siguientes consideraciones: </w:t>
      </w:r>
    </w:p>
    <w:p w14:paraId="591EA11D" w14:textId="77777777" w:rsidR="00C01CC5" w:rsidRPr="00C01CC5" w:rsidRDefault="00C01CC5" w:rsidP="00C01CC5">
      <w:pPr>
        <w:snapToGrid w:val="0"/>
        <w:spacing w:after="0" w:line="276" w:lineRule="auto"/>
        <w:jc w:val="both"/>
        <w:rPr>
          <w:rFonts w:ascii="Verdana" w:eastAsia="Calibri" w:hAnsi="Verdana" w:cs="Arial"/>
          <w:lang w:val="es-ES_tradnl"/>
        </w:rPr>
      </w:pPr>
    </w:p>
    <w:p w14:paraId="0717CC60" w14:textId="77777777" w:rsidR="00C01CC5" w:rsidRPr="00C01CC5" w:rsidRDefault="00C01CC5" w:rsidP="00C01CC5">
      <w:pPr>
        <w:numPr>
          <w:ilvl w:val="0"/>
          <w:numId w:val="17"/>
        </w:numPr>
        <w:snapToGrid w:val="0"/>
        <w:spacing w:after="0" w:line="276" w:lineRule="auto"/>
        <w:jc w:val="both"/>
        <w:rPr>
          <w:rFonts w:ascii="Verdana" w:eastAsia="Calibri" w:hAnsi="Verdana" w:cs="Arial"/>
          <w:lang w:val="es-ES_tradnl"/>
        </w:rPr>
      </w:pPr>
      <w:r w:rsidRPr="00C01CC5">
        <w:rPr>
          <w:rFonts w:ascii="Verdana" w:eastAsia="Calibri" w:hAnsi="Verdana" w:cs="Arial"/>
          <w:lang w:val="es-ES_tradnl"/>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37083580" w14:textId="77777777" w:rsidR="00C01CC5" w:rsidRPr="00C01CC5" w:rsidRDefault="00C01CC5" w:rsidP="00C01CC5">
      <w:pPr>
        <w:snapToGrid w:val="0"/>
        <w:spacing w:after="0" w:line="276" w:lineRule="auto"/>
        <w:ind w:left="720"/>
        <w:jc w:val="both"/>
        <w:rPr>
          <w:rFonts w:ascii="Verdana" w:eastAsia="Calibri" w:hAnsi="Verdana" w:cs="Arial"/>
          <w:lang w:val="es-ES_tradnl"/>
        </w:rPr>
      </w:pPr>
    </w:p>
    <w:p w14:paraId="50F932EF" w14:textId="77777777" w:rsidR="00C01CC5" w:rsidRPr="00C01CC5" w:rsidRDefault="00C01CC5" w:rsidP="00C01CC5">
      <w:pPr>
        <w:numPr>
          <w:ilvl w:val="0"/>
          <w:numId w:val="17"/>
        </w:numPr>
        <w:snapToGrid w:val="0"/>
        <w:spacing w:after="0" w:line="276" w:lineRule="auto"/>
        <w:jc w:val="both"/>
        <w:rPr>
          <w:rFonts w:ascii="Verdana" w:eastAsia="Calibri" w:hAnsi="Verdana" w:cs="Times New Roman"/>
          <w:lang w:val="es-ES"/>
        </w:rPr>
      </w:pPr>
      <w:r w:rsidRPr="00C01CC5">
        <w:rPr>
          <w:rFonts w:ascii="Verdana" w:eastAsia="Calibri" w:hAnsi="Verdana" w:cs="Arial"/>
          <w:lang w:val="es-ES"/>
        </w:rPr>
        <w:t>Para establecer si determinado objeto contractual se encuentra cobijado o no por los Documentos Tipo, es necesario determinar si el mismo se enmarca en los tipos de infraestructura, modalidades de selección y tipos de obra estandarizadas en las respectivas matrices de experiencia. De esta manera, solo resulta obligatoria la aplicación de un documento tipo en particular cuando se ha establecido que el objeto contractual y la modalidad en la que debe contratarse están dentro del ámbito de aplicación de las resoluciones expedidas para los sectores de infraestructura de transporte, agua potable-saneamiento básico y social.</w:t>
      </w:r>
    </w:p>
    <w:p w14:paraId="0323E6F3" w14:textId="77777777" w:rsidR="00C01CC5" w:rsidRPr="00C01CC5" w:rsidRDefault="00C01CC5" w:rsidP="00C01CC5">
      <w:pPr>
        <w:snapToGrid w:val="0"/>
        <w:spacing w:after="0" w:line="276" w:lineRule="auto"/>
        <w:jc w:val="both"/>
        <w:rPr>
          <w:rFonts w:ascii="Verdana" w:eastAsia="Calibri" w:hAnsi="Verdana" w:cs="Times New Roman"/>
          <w:lang w:val="es-ES_tradnl"/>
        </w:rPr>
      </w:pPr>
    </w:p>
    <w:p w14:paraId="135FAFE1" w14:textId="77777777" w:rsidR="00C01CC5" w:rsidRPr="00C01CC5" w:rsidRDefault="00C01CC5" w:rsidP="00C01CC5">
      <w:pPr>
        <w:numPr>
          <w:ilvl w:val="0"/>
          <w:numId w:val="17"/>
        </w:numPr>
        <w:snapToGrid w:val="0"/>
        <w:spacing w:after="0" w:line="276" w:lineRule="auto"/>
        <w:jc w:val="both"/>
        <w:rPr>
          <w:rFonts w:ascii="Verdana" w:eastAsia="Calibri" w:hAnsi="Verdana" w:cs="Arial"/>
          <w:lang w:val="es-ES_tradnl"/>
        </w:rPr>
      </w:pPr>
      <w:r w:rsidRPr="00C01CC5">
        <w:rPr>
          <w:rFonts w:ascii="Verdana" w:eastAsia="Calibri" w:hAnsi="Verdana" w:cs="Times New Roman"/>
          <w:lang w:val="es-ES_tradnl"/>
        </w:rPr>
        <w:lastRenderedPageBreak/>
        <w:t>La Agencia Nacional de Contratación Pública – Colombia Compra Eficiente ha expedido Documentos Tipo para los sectores de infraestructura de transporte, agua potable y saneamiento básico y social. Asimismo, esta Agencia expidió los documentos tipo de gestión catastral con enfoque multipropósito y para la contratación directa de convenios solidarios para la ejecución de obras hasta la menor cuantía con organismos de acción comunal.</w:t>
      </w:r>
      <w:r w:rsidRPr="00C01CC5">
        <w:rPr>
          <w:rFonts w:ascii="Verdana" w:eastAsia="Calibri" w:hAnsi="Verdana" w:cs="Times New Roman"/>
          <w:vertAlign w:val="superscript"/>
          <w:lang w:val="es-ES_tradnl"/>
        </w:rPr>
        <w:footnoteReference w:id="2"/>
      </w:r>
      <w:r w:rsidRPr="00C01CC5">
        <w:rPr>
          <w:rFonts w:ascii="Verdana" w:eastAsia="Calibri" w:hAnsi="Verdana" w:cs="Times New Roman"/>
          <w:lang w:val="es-ES_tradnl"/>
        </w:rPr>
        <w:t xml:space="preserve"> </w:t>
      </w:r>
    </w:p>
    <w:p w14:paraId="58EAF5AC" w14:textId="77777777" w:rsidR="00C01CC5" w:rsidRPr="00C01CC5" w:rsidRDefault="00C01CC5" w:rsidP="00C01CC5">
      <w:pPr>
        <w:snapToGrid w:val="0"/>
        <w:spacing w:after="0" w:line="276" w:lineRule="auto"/>
        <w:jc w:val="both"/>
        <w:rPr>
          <w:rFonts w:ascii="Verdana" w:eastAsia="Calibri" w:hAnsi="Verdana" w:cs="Arial"/>
          <w:lang w:val="es-ES_tradnl"/>
        </w:rPr>
      </w:pPr>
    </w:p>
    <w:p w14:paraId="48DFBB66" w14:textId="77777777" w:rsidR="00C01CC5" w:rsidRPr="00C01CC5" w:rsidRDefault="00C01CC5" w:rsidP="00C01CC5">
      <w:pPr>
        <w:numPr>
          <w:ilvl w:val="0"/>
          <w:numId w:val="20"/>
        </w:numPr>
        <w:snapToGrid w:val="0"/>
        <w:spacing w:after="0" w:line="276" w:lineRule="auto"/>
        <w:contextualSpacing/>
        <w:jc w:val="both"/>
        <w:rPr>
          <w:rFonts w:ascii="Verdana" w:eastAsia="Times New Roman" w:hAnsi="Verdana" w:cs="Arial"/>
          <w:kern w:val="2"/>
          <w:shd w:val="clear" w:color="auto" w:fill="FFFFFF"/>
          <w:lang w:val="es-ES" w:eastAsia="es-ES"/>
          <w14:ligatures w14:val="standardContextual"/>
        </w:rPr>
      </w:pPr>
      <w:r w:rsidRPr="00C01CC5">
        <w:rPr>
          <w:rFonts w:ascii="Verdana" w:eastAsia="Times New Roman" w:hAnsi="Verdana" w:cs="Arial"/>
          <w:kern w:val="2"/>
          <w:shd w:val="clear" w:color="auto" w:fill="FFFFFF"/>
          <w:lang w:val="es-ES" w:eastAsia="es-ES"/>
          <w14:ligatures w14:val="standardContextual"/>
        </w:rPr>
        <w:t xml:space="preserve">Es importante resaltar que, en virtud de la regla de inalterabilidad, los Documentos Tipo solo pueden ser modificados en los aspectos en que estos lo permitan. Esto corresponde a aquellos aspectos que se encuentran entre corchetes y resaltados en gris </w:t>
      </w:r>
      <w:r w:rsidRPr="00C01CC5">
        <w:rPr>
          <w:rFonts w:ascii="Verdana" w:eastAsia="Times New Roman" w:hAnsi="Verdana" w:cs="Arial"/>
          <w:kern w:val="2"/>
          <w:highlight w:val="lightGray"/>
          <w:shd w:val="clear" w:color="auto" w:fill="FFFFFF"/>
          <w:lang w:val="es-ES" w:eastAsia="es-ES"/>
          <w14:ligatures w14:val="standardContextual"/>
        </w:rPr>
        <w:t>–[texto]–</w:t>
      </w:r>
      <w:r w:rsidRPr="00C01CC5">
        <w:rPr>
          <w:rFonts w:ascii="Verdana" w:eastAsia="Times New Roman" w:hAnsi="Verdana" w:cs="Arial"/>
          <w:kern w:val="2"/>
          <w:shd w:val="clear" w:color="auto" w:fill="FFFFFF"/>
          <w:lang w:val="es-ES" w:eastAsia="es-ES"/>
          <w14:ligatures w14:val="standardContextual"/>
        </w:rPr>
        <w:t>, para lo cual deberán observarse las instrucciones contenidas en los mismos para su diligenciamiento.</w:t>
      </w:r>
    </w:p>
    <w:p w14:paraId="4A2511D2" w14:textId="77777777" w:rsidR="00C01CC5" w:rsidRPr="00C01CC5" w:rsidRDefault="00C01CC5" w:rsidP="00C01CC5">
      <w:pPr>
        <w:snapToGrid w:val="0"/>
        <w:spacing w:after="0" w:line="276" w:lineRule="auto"/>
        <w:jc w:val="both"/>
        <w:rPr>
          <w:rFonts w:ascii="Verdana" w:eastAsia="Times New Roman" w:hAnsi="Verdana" w:cs="Arial"/>
          <w:kern w:val="2"/>
          <w:shd w:val="clear" w:color="auto" w:fill="FFFFFF"/>
          <w:lang w:val="es-ES_tradnl" w:eastAsia="es-ES_tradnl"/>
          <w14:ligatures w14:val="standardContextual"/>
        </w:rPr>
      </w:pPr>
      <w:r w:rsidRPr="00C01CC5">
        <w:rPr>
          <w:rFonts w:ascii="Verdana" w:eastAsia="Times New Roman" w:hAnsi="Verdana" w:cs="Arial"/>
          <w:kern w:val="2"/>
          <w:shd w:val="clear" w:color="auto" w:fill="FFFFFF"/>
          <w:lang w:val="es-ES_tradnl" w:eastAsia="es-ES_tradnl"/>
          <w14:ligatures w14:val="standardContextual"/>
        </w:rPr>
        <w:t xml:space="preserve"> </w:t>
      </w:r>
    </w:p>
    <w:p w14:paraId="0B296FFF" w14:textId="77777777" w:rsidR="00C01CC5" w:rsidRPr="00C01CC5" w:rsidRDefault="00C01CC5" w:rsidP="00C01CC5">
      <w:pPr>
        <w:numPr>
          <w:ilvl w:val="0"/>
          <w:numId w:val="17"/>
        </w:numPr>
        <w:snapToGrid w:val="0"/>
        <w:spacing w:after="0" w:line="276" w:lineRule="auto"/>
        <w:jc w:val="both"/>
        <w:rPr>
          <w:rFonts w:ascii="Verdana" w:eastAsia="Times New Roman" w:hAnsi="Verdana" w:cs="Arial"/>
          <w:kern w:val="2"/>
          <w:shd w:val="clear" w:color="auto" w:fill="FFFFFF"/>
          <w:lang w:val="es-ES_tradnl" w:eastAsia="es-ES_tradnl"/>
          <w14:ligatures w14:val="standardContextual"/>
        </w:rPr>
      </w:pPr>
      <w:r w:rsidRPr="00C01CC5">
        <w:rPr>
          <w:rFonts w:ascii="Verdana" w:eastAsia="Times New Roman" w:hAnsi="Verdana" w:cs="Arial"/>
          <w:kern w:val="2"/>
          <w:shd w:val="clear" w:color="auto" w:fill="FFFFFF"/>
          <w:lang w:val="es-ES_tradnl" w:eastAsia="es-ES_tradnl"/>
          <w14:ligatures w14:val="standardContextual"/>
        </w:rPr>
        <w:t xml:space="preserve">Por lo tanto, una entidad solo podrá modificar aspectos de los Documentos Tipo cuando así esté permitido, en los términos expuestos. Lo anterior implica que, en los apartes en que los documentos tipo no lo permitan, la entidad deberá integrar el contenido de estos a su proceso de contratación sin ningún tipo de alteración. </w:t>
      </w:r>
    </w:p>
    <w:p w14:paraId="4FBA40C9" w14:textId="77777777" w:rsidR="00C01CC5" w:rsidRPr="00C01CC5" w:rsidRDefault="00C01CC5" w:rsidP="00C01CC5">
      <w:pPr>
        <w:snapToGrid w:val="0"/>
        <w:spacing w:after="0" w:line="276" w:lineRule="auto"/>
        <w:ind w:left="360"/>
        <w:jc w:val="both"/>
        <w:rPr>
          <w:rFonts w:ascii="Verdana" w:eastAsia="Times New Roman" w:hAnsi="Verdana" w:cs="Arial"/>
          <w:kern w:val="2"/>
          <w:shd w:val="clear" w:color="auto" w:fill="FFFFFF"/>
          <w:lang w:val="es-ES_tradnl" w:eastAsia="es-ES_tradnl"/>
          <w14:ligatures w14:val="standardContextual"/>
        </w:rPr>
      </w:pPr>
    </w:p>
    <w:p w14:paraId="37542CDF" w14:textId="77777777" w:rsidR="00C01CC5" w:rsidRPr="00C01CC5" w:rsidRDefault="00C01CC5" w:rsidP="00C01CC5">
      <w:pPr>
        <w:numPr>
          <w:ilvl w:val="0"/>
          <w:numId w:val="17"/>
        </w:numPr>
        <w:snapToGrid w:val="0"/>
        <w:spacing w:after="0" w:line="276" w:lineRule="auto"/>
        <w:jc w:val="both"/>
        <w:rPr>
          <w:rFonts w:ascii="Verdana" w:eastAsia="Times New Roman" w:hAnsi="Verdana" w:cs="Arial"/>
          <w:kern w:val="2"/>
          <w:shd w:val="clear" w:color="auto" w:fill="FFFFFF"/>
          <w:lang w:val="es-ES_tradnl" w:eastAsia="es-ES_tradnl"/>
          <w14:ligatures w14:val="standardContextual"/>
        </w:rPr>
      </w:pPr>
      <w:r w:rsidRPr="00C01CC5">
        <w:rPr>
          <w:rFonts w:ascii="Verdana" w:eastAsia="Times New Roman" w:hAnsi="Verdana" w:cs="Arial"/>
          <w:kern w:val="2"/>
          <w:shd w:val="clear" w:color="auto" w:fill="FFFFFF"/>
          <w:lang w:val="es-ES_tradnl" w:eastAsia="es-ES_tradnl"/>
          <w14:ligatures w14:val="standardContextual"/>
        </w:rPr>
        <w:t xml:space="preserve">En virtud de lo anterior, cuando existan documentos tipo y la actividad a contratar por parte de una entidad sometida al EGCAP se encuentre cobijada por alguna de las actividades descritas en las matrices de experiencia de dichos documentos, su utilización para adelantar el respectivo proceso de contratación resulta forzosa. Esto significa que, la entidad contratante no podrá prescindir de la implementación de los documentos tipo cuando estos sean obligatorios, en los términos expuestos en este concepto. </w:t>
      </w:r>
    </w:p>
    <w:p w14:paraId="334A3649" w14:textId="77777777" w:rsidR="00C01CC5" w:rsidRPr="00C01CC5" w:rsidRDefault="00C01CC5" w:rsidP="00C01CC5">
      <w:pPr>
        <w:snapToGrid w:val="0"/>
        <w:spacing w:after="0" w:line="276" w:lineRule="auto"/>
        <w:ind w:left="720"/>
        <w:jc w:val="both"/>
        <w:rPr>
          <w:rFonts w:ascii="Verdana" w:eastAsia="Times New Roman" w:hAnsi="Verdana" w:cs="Arial"/>
          <w:kern w:val="2"/>
          <w:shd w:val="clear" w:color="auto" w:fill="FFFFFF"/>
          <w:lang w:val="es-ES_tradnl" w:eastAsia="es-ES_tradnl"/>
          <w14:ligatures w14:val="standardContextual"/>
        </w:rPr>
      </w:pPr>
    </w:p>
    <w:p w14:paraId="41116F1A" w14:textId="77777777" w:rsidR="00C01CC5" w:rsidRPr="00C01CC5" w:rsidRDefault="00C01CC5" w:rsidP="00C01CC5">
      <w:pPr>
        <w:numPr>
          <w:ilvl w:val="0"/>
          <w:numId w:val="17"/>
        </w:numPr>
        <w:snapToGrid w:val="0"/>
        <w:spacing w:after="0" w:line="276" w:lineRule="auto"/>
        <w:jc w:val="both"/>
        <w:rPr>
          <w:rFonts w:ascii="Verdana" w:eastAsia="Times New Roman" w:hAnsi="Verdana" w:cs="Arial"/>
          <w:kern w:val="2"/>
          <w:shd w:val="clear" w:color="auto" w:fill="FFFFFF"/>
          <w:lang w:val="es-ES" w:eastAsia="es-ES"/>
          <w14:ligatures w14:val="standardContextual"/>
        </w:rPr>
      </w:pPr>
      <w:r w:rsidRPr="0E06BA0B">
        <w:rPr>
          <w:rFonts w:ascii="Verdana" w:eastAsia="Times New Roman" w:hAnsi="Verdana" w:cs="Arial"/>
          <w:kern w:val="2"/>
          <w:shd w:val="clear" w:color="auto" w:fill="FFFFFF"/>
          <w:lang w:val="es-ES" w:eastAsia="es-ES"/>
          <w14:ligatures w14:val="standardContextual"/>
        </w:rPr>
        <w:t xml:space="preserve">La comisión de presuntas irregularidades por parte de las entidades públicas en desarrollo de su actividad contractual con documentos tipo puede derivar, entre otras, en faltas disciplinarias o, incluso, delitos, dependiendo de las circunstancias particulares de cada caso. De esta </w:t>
      </w:r>
      <w:r w:rsidRPr="0E06BA0B">
        <w:rPr>
          <w:rFonts w:ascii="Verdana" w:eastAsia="Times New Roman" w:hAnsi="Verdana" w:cs="Arial"/>
          <w:kern w:val="2"/>
          <w:shd w:val="clear" w:color="auto" w:fill="FFFFFF"/>
          <w:lang w:val="es-ES" w:eastAsia="es-ES"/>
          <w14:ligatures w14:val="standardContextual"/>
        </w:rPr>
        <w:lastRenderedPageBreak/>
        <w:t xml:space="preserve">manera, la inobservancia de los documentos tipo puede conllevar a que las autoridades de control o </w:t>
      </w:r>
      <w:proofErr w:type="gramStart"/>
      <w:r w:rsidRPr="0E06BA0B">
        <w:rPr>
          <w:rFonts w:ascii="Verdana" w:eastAsia="Times New Roman" w:hAnsi="Verdana" w:cs="Arial"/>
          <w:kern w:val="2"/>
          <w:shd w:val="clear" w:color="auto" w:fill="FFFFFF"/>
          <w:lang w:val="es-ES" w:eastAsia="es-ES"/>
          <w14:ligatures w14:val="standardContextual"/>
        </w:rPr>
        <w:t>judicial competentes</w:t>
      </w:r>
      <w:proofErr w:type="gramEnd"/>
      <w:r w:rsidRPr="0E06BA0B">
        <w:rPr>
          <w:rFonts w:ascii="Verdana" w:eastAsia="Times New Roman" w:hAnsi="Verdana" w:cs="Arial"/>
          <w:kern w:val="2"/>
          <w:shd w:val="clear" w:color="auto" w:fill="FFFFFF"/>
          <w:lang w:val="es-ES" w:eastAsia="es-ES"/>
          <w14:ligatures w14:val="standardContextual"/>
        </w:rPr>
        <w:t xml:space="preserve">, como la Procuraduría General de la Nación, Contraloría General de la República y/o Fiscalía General de la Nación, adelanten las investigaciones a que haya lugar y, si es del caso, establezcan la responsabilidad derivada de las infracciones que se cometan. </w:t>
      </w:r>
    </w:p>
    <w:p w14:paraId="54E01774" w14:textId="77777777" w:rsidR="00C01CC5" w:rsidRPr="00C01CC5" w:rsidRDefault="00C01CC5" w:rsidP="00C01CC5">
      <w:pPr>
        <w:spacing w:after="0" w:line="278" w:lineRule="auto"/>
        <w:ind w:left="720"/>
        <w:rPr>
          <w:rFonts w:ascii="Verdana" w:eastAsia="Calibri" w:hAnsi="Verdana" w:cs="Arial"/>
          <w:lang w:val="es-ES_tradnl"/>
        </w:rPr>
      </w:pPr>
    </w:p>
    <w:p w14:paraId="33F0A345" w14:textId="77777777" w:rsidR="00C01CC5" w:rsidRPr="00C01CC5" w:rsidRDefault="00C01CC5" w:rsidP="00C01CC5">
      <w:pPr>
        <w:numPr>
          <w:ilvl w:val="0"/>
          <w:numId w:val="21"/>
        </w:numPr>
        <w:tabs>
          <w:tab w:val="left" w:pos="709"/>
        </w:tabs>
        <w:snapToGrid w:val="0"/>
        <w:spacing w:after="0" w:line="276" w:lineRule="auto"/>
        <w:contextualSpacing/>
        <w:jc w:val="both"/>
        <w:rPr>
          <w:rFonts w:ascii="Verdana" w:eastAsia="Times New Roman" w:hAnsi="Verdana" w:cs="Arial"/>
          <w:lang w:eastAsia="es-CO"/>
        </w:rPr>
      </w:pPr>
      <w:r w:rsidRPr="00C01CC5">
        <w:rPr>
          <w:rFonts w:ascii="Verdana" w:eastAsia="Aptos" w:hAnsi="Verdana" w:cs="Arial"/>
        </w:rPr>
        <w:t xml:space="preserve">Por otra parte, teniendo en cuenta el objeto de su consulta, es importante señalar que, </w:t>
      </w:r>
      <w:bookmarkStart w:id="0" w:name="_Hlk185411776"/>
      <w:r w:rsidRPr="00C01CC5">
        <w:rPr>
          <w:rFonts w:ascii="Verdana" w:eastAsia="Aptos" w:hAnsi="Verdana" w:cs="Arial"/>
        </w:rPr>
        <w:t>la tipología del contrato o convenio interadministrativo fue creada en la Ley 80 de 1993, y el Decreto 1082 de 2015 la califica como aquella contratación entre Entidades Estatales</w:t>
      </w:r>
      <w:r w:rsidRPr="00C01CC5">
        <w:rPr>
          <w:rFonts w:ascii="Aptos" w:eastAsia="Times New Roman" w:hAnsi="Aptos" w:cs="Times New Roman"/>
          <w:kern w:val="2"/>
          <w:sz w:val="24"/>
          <w:szCs w:val="24"/>
          <w:vertAlign w:val="superscript"/>
          <w:lang w:eastAsia="es-CO"/>
          <w14:ligatures w14:val="standardContextual"/>
        </w:rPr>
        <w:footnoteReference w:id="3"/>
      </w:r>
      <w:r w:rsidRPr="00C01CC5">
        <w:rPr>
          <w:rFonts w:ascii="Verdana" w:eastAsia="Times New Roman" w:hAnsi="Verdana" w:cs="Arial"/>
          <w:lang w:eastAsia="es-CO"/>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31B457A6" w14:textId="77777777" w:rsidR="00C01CC5" w:rsidRPr="00C01CC5" w:rsidRDefault="00C01CC5" w:rsidP="00C01CC5">
      <w:pPr>
        <w:tabs>
          <w:tab w:val="left" w:pos="709"/>
        </w:tabs>
        <w:snapToGrid w:val="0"/>
        <w:spacing w:after="0" w:line="276" w:lineRule="auto"/>
        <w:jc w:val="both"/>
        <w:rPr>
          <w:rFonts w:ascii="Verdana" w:eastAsia="Aptos" w:hAnsi="Verdana" w:cs="Arial"/>
        </w:rPr>
      </w:pPr>
    </w:p>
    <w:p w14:paraId="6E933D04" w14:textId="77777777" w:rsidR="00C01CC5" w:rsidRPr="00C01CC5" w:rsidRDefault="00C01CC5" w:rsidP="00C01CC5">
      <w:pPr>
        <w:numPr>
          <w:ilvl w:val="0"/>
          <w:numId w:val="21"/>
        </w:numPr>
        <w:tabs>
          <w:tab w:val="left" w:pos="709"/>
        </w:tabs>
        <w:snapToGrid w:val="0"/>
        <w:spacing w:after="0" w:line="276" w:lineRule="auto"/>
        <w:contextualSpacing/>
        <w:jc w:val="both"/>
        <w:rPr>
          <w:rFonts w:ascii="Verdana" w:eastAsia="Aptos" w:hAnsi="Verdana" w:cs="Arial"/>
        </w:rPr>
      </w:pPr>
      <w:r w:rsidRPr="00C01CC5">
        <w:rPr>
          <w:rFonts w:ascii="Verdana" w:eastAsia="Aptos" w:hAnsi="Verdana" w:cs="Arial"/>
        </w:rPr>
        <w:t>Si bien los contratos o convenios interadministrativos están previstos en la Ley 80 de 1993, en la Ley 1150 de 2007 y en el Decreto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0"/>
    <w:p w14:paraId="2198A7C2" w14:textId="77777777" w:rsidR="00C01CC5" w:rsidRPr="00C01CC5" w:rsidRDefault="00C01CC5" w:rsidP="00C01CC5">
      <w:pPr>
        <w:tabs>
          <w:tab w:val="left" w:pos="709"/>
        </w:tabs>
        <w:snapToGrid w:val="0"/>
        <w:spacing w:after="0" w:line="276" w:lineRule="auto"/>
        <w:jc w:val="both"/>
        <w:rPr>
          <w:rFonts w:ascii="Verdana" w:eastAsia="Aptos" w:hAnsi="Verdana" w:cs="Arial"/>
        </w:rPr>
      </w:pPr>
    </w:p>
    <w:p w14:paraId="78688721" w14:textId="77777777" w:rsidR="00C01CC5" w:rsidRPr="00C01CC5" w:rsidRDefault="00C01CC5" w:rsidP="00C01CC5">
      <w:pPr>
        <w:numPr>
          <w:ilvl w:val="0"/>
          <w:numId w:val="21"/>
        </w:numPr>
        <w:tabs>
          <w:tab w:val="left" w:pos="709"/>
        </w:tabs>
        <w:snapToGrid w:val="0"/>
        <w:spacing w:after="0" w:line="276" w:lineRule="auto"/>
        <w:contextualSpacing/>
        <w:jc w:val="both"/>
        <w:rPr>
          <w:rFonts w:ascii="Verdana" w:eastAsia="Aptos" w:hAnsi="Verdana" w:cs="Arial"/>
        </w:rPr>
      </w:pPr>
      <w:r w:rsidRPr="00C01CC5">
        <w:rPr>
          <w:rFonts w:ascii="Verdana" w:eastAsia="Aptos" w:hAnsi="Verdana" w:cs="Arial"/>
        </w:rPr>
        <w:t xml:space="preserve">Un contrato o convenio interadministrativo no está determinado por la modalidad de selección utilizada para celebrarlo. La Ley 1150 de 2007 dispone que pueden celebrarse directamente, siempre que las </w:t>
      </w:r>
      <w:r w:rsidRPr="00C01CC5">
        <w:rPr>
          <w:rFonts w:ascii="Verdana" w:eastAsia="Aptos" w:hAnsi="Verdana" w:cs="Arial"/>
        </w:rPr>
        <w:lastRenderedPageBreak/>
        <w:t>obligaciones del mismo tengan relación directa con el objeto de la entidad ejecutora, señalado en la ley o en sus reglamentos, a menos que, según las excepciones previstas en dicha ley, deba adelantarse un procedimiento con pluralidad de oferentes</w:t>
      </w:r>
      <w:r w:rsidRPr="00C01CC5">
        <w:rPr>
          <w:rFonts w:ascii="Aptos" w:eastAsia="Times New Roman" w:hAnsi="Aptos" w:cs="Times New Roman"/>
          <w:kern w:val="2"/>
          <w:sz w:val="24"/>
          <w:szCs w:val="24"/>
          <w:vertAlign w:val="superscript"/>
          <w:lang w:eastAsia="es-CO"/>
          <w14:ligatures w14:val="standardContextual"/>
        </w:rPr>
        <w:footnoteReference w:id="4"/>
      </w:r>
      <w:r w:rsidRPr="00C01CC5">
        <w:rPr>
          <w:rFonts w:ascii="Verdana" w:eastAsia="Times New Roman" w:hAnsi="Verdana" w:cs="Arial"/>
          <w:lang w:eastAsia="es-CO"/>
        </w:rPr>
        <w:t>. Nótese que, en este caso, lo que cambia es la modalidad de selección y no la naturaleza de contrato o convenio interadministrativo.</w:t>
      </w:r>
    </w:p>
    <w:p w14:paraId="5D14EC08" w14:textId="77777777" w:rsidR="00C01CC5" w:rsidRPr="00C01CC5" w:rsidRDefault="00C01CC5" w:rsidP="00C01CC5">
      <w:pPr>
        <w:tabs>
          <w:tab w:val="left" w:pos="709"/>
        </w:tabs>
        <w:snapToGrid w:val="0"/>
        <w:spacing w:after="0" w:line="276" w:lineRule="auto"/>
        <w:jc w:val="both"/>
        <w:rPr>
          <w:rFonts w:ascii="Verdana" w:eastAsia="Aptos" w:hAnsi="Verdana" w:cs="Arial"/>
        </w:rPr>
      </w:pPr>
      <w:r w:rsidRPr="00C01CC5">
        <w:rPr>
          <w:rFonts w:ascii="Verdana" w:eastAsia="Aptos" w:hAnsi="Verdana" w:cs="Arial"/>
        </w:rPr>
        <w:tab/>
      </w:r>
    </w:p>
    <w:p w14:paraId="06AFD03E" w14:textId="77777777" w:rsidR="00C01CC5" w:rsidRPr="00C01CC5" w:rsidRDefault="00C01CC5" w:rsidP="00C01CC5">
      <w:pPr>
        <w:numPr>
          <w:ilvl w:val="0"/>
          <w:numId w:val="21"/>
        </w:numPr>
        <w:tabs>
          <w:tab w:val="left" w:pos="709"/>
        </w:tabs>
        <w:snapToGrid w:val="0"/>
        <w:spacing w:after="0" w:line="276" w:lineRule="auto"/>
        <w:contextualSpacing/>
        <w:jc w:val="both"/>
        <w:rPr>
          <w:rFonts w:ascii="Verdana" w:eastAsia="Aptos" w:hAnsi="Verdana" w:cs="Arial"/>
        </w:rPr>
      </w:pPr>
      <w:r w:rsidRPr="00C01CC5">
        <w:rPr>
          <w:rFonts w:ascii="Verdana" w:eastAsia="Aptos" w:hAnsi="Verdana" w:cs="Arial"/>
        </w:rPr>
        <w:t xml:space="preserve">La Corte Constitucional, en Sentencia C-671 de 2015, expresó que “Lo que hace interadministrativo a un contrato o convenio no es el procedimiento de selección aplicable, sino la calidad de los sujetos contratantes, </w:t>
      </w:r>
      <w:r w:rsidRPr="00C01CC5">
        <w:rPr>
          <w:rFonts w:ascii="Verdana" w:eastAsia="Aptos" w:hAnsi="Verdana" w:cs="Arial"/>
          <w:i/>
        </w:rPr>
        <w:t xml:space="preserve">esto es que las dos partes de la relación jurídica contractual </w:t>
      </w:r>
      <w:r w:rsidRPr="00C01CC5">
        <w:rPr>
          <w:rFonts w:ascii="Verdana" w:eastAsia="Times New Roman" w:hAnsi="Verdana" w:cs="Arial"/>
          <w:i/>
          <w:lang w:eastAsia="es-CO"/>
        </w:rPr>
        <w:t>formen parte de la administración pública</w:t>
      </w:r>
      <w:r w:rsidRPr="00C01CC5">
        <w:rPr>
          <w:rFonts w:ascii="Verdana" w:eastAsia="Times New Roman" w:hAnsi="Verdana" w:cs="Arial"/>
          <w:lang w:eastAsia="es-CO"/>
        </w:rPr>
        <w:t>” [Énfasis fuera de texto].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C01CC5">
        <w:rPr>
          <w:rFonts w:ascii="Verdana" w:eastAsia="Times New Roman" w:hAnsi="Verdana" w:cs="Arial"/>
          <w:spacing w:val="-13"/>
          <w:lang w:eastAsia="es-CO"/>
        </w:rPr>
        <w:t xml:space="preserve"> </w:t>
      </w:r>
      <w:r w:rsidRPr="00C01CC5">
        <w:rPr>
          <w:rFonts w:ascii="Verdana" w:eastAsia="Times New Roman" w:hAnsi="Verdana" w:cs="Arial"/>
          <w:lang w:eastAsia="es-CO"/>
        </w:rPr>
        <w:t>que:</w:t>
      </w:r>
    </w:p>
    <w:p w14:paraId="21D48C21" w14:textId="77777777" w:rsidR="00C01CC5" w:rsidRPr="00C01CC5" w:rsidRDefault="00C01CC5" w:rsidP="00C01CC5">
      <w:pPr>
        <w:snapToGrid w:val="0"/>
        <w:spacing w:after="0" w:line="276" w:lineRule="auto"/>
        <w:ind w:firstLine="707"/>
        <w:jc w:val="both"/>
        <w:rPr>
          <w:rFonts w:ascii="Verdana" w:eastAsia="Times New Roman" w:hAnsi="Verdana" w:cs="Arial"/>
          <w:lang w:eastAsia="es-CO"/>
        </w:rPr>
      </w:pPr>
    </w:p>
    <w:p w14:paraId="72108AE7" w14:textId="77777777" w:rsidR="00C01CC5" w:rsidRPr="00C01CC5" w:rsidRDefault="00C01CC5" w:rsidP="00C01CC5">
      <w:pPr>
        <w:snapToGrid w:val="0"/>
        <w:spacing w:after="0" w:line="240" w:lineRule="auto"/>
        <w:ind w:left="709" w:right="709"/>
        <w:jc w:val="both"/>
        <w:rPr>
          <w:rFonts w:ascii="Verdana" w:eastAsia="Aptos" w:hAnsi="Verdana" w:cs="Arial"/>
          <w:sz w:val="21"/>
          <w:szCs w:val="21"/>
        </w:rPr>
      </w:pPr>
      <w:r w:rsidRPr="00C01CC5">
        <w:rPr>
          <w:rFonts w:ascii="Verdana" w:eastAsia="Aptos" w:hAnsi="Verdana" w:cs="Arial"/>
          <w:sz w:val="21"/>
          <w:szCs w:val="21"/>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w:t>
      </w:r>
      <w:proofErr w:type="spellStart"/>
      <w:r w:rsidRPr="00C01CC5">
        <w:rPr>
          <w:rFonts w:ascii="Verdana" w:eastAsia="Aptos" w:hAnsi="Verdana" w:cs="Arial"/>
          <w:sz w:val="21"/>
          <w:szCs w:val="21"/>
        </w:rPr>
        <w:t>iv</w:t>
      </w:r>
      <w:proofErr w:type="spellEnd"/>
      <w:r w:rsidRPr="00C01CC5">
        <w:rPr>
          <w:rFonts w:ascii="Verdana" w:eastAsia="Aptos" w:hAnsi="Verdana" w:cs="Arial"/>
          <w:sz w:val="21"/>
          <w:szCs w:val="21"/>
        </w:rPr>
        <w:t xml:space="preserve">)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w:t>
      </w:r>
      <w:r w:rsidRPr="00C01CC5">
        <w:rPr>
          <w:rFonts w:ascii="Verdana" w:eastAsia="Aptos" w:hAnsi="Verdana" w:cs="Arial"/>
          <w:sz w:val="21"/>
          <w:szCs w:val="21"/>
        </w:rPr>
        <w:lastRenderedPageBreak/>
        <w:t>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C01CC5">
        <w:rPr>
          <w:rFonts w:ascii="Verdana" w:eastAsia="Aptos" w:hAnsi="Verdana" w:cs="Arial"/>
          <w:sz w:val="21"/>
          <w:szCs w:val="21"/>
          <w:vertAlign w:val="superscript"/>
        </w:rPr>
        <w:footnoteReference w:id="5"/>
      </w:r>
      <w:r w:rsidRPr="00C01CC5">
        <w:rPr>
          <w:rFonts w:ascii="Verdana" w:eastAsia="Aptos" w:hAnsi="Verdana" w:cs="Arial"/>
          <w:sz w:val="21"/>
          <w:szCs w:val="21"/>
        </w:rPr>
        <w:t>”.</w:t>
      </w:r>
    </w:p>
    <w:p w14:paraId="7FADB39B" w14:textId="77777777" w:rsidR="00C01CC5" w:rsidRPr="00C01CC5" w:rsidRDefault="00C01CC5" w:rsidP="00C01CC5">
      <w:pPr>
        <w:snapToGrid w:val="0"/>
        <w:spacing w:after="0" w:line="276" w:lineRule="auto"/>
        <w:jc w:val="both"/>
        <w:rPr>
          <w:rFonts w:ascii="Verdana" w:eastAsia="Aptos" w:hAnsi="Verdana" w:cs="Arial"/>
        </w:rPr>
      </w:pPr>
    </w:p>
    <w:p w14:paraId="45D02C88" w14:textId="77777777" w:rsidR="00C01CC5" w:rsidRPr="00C01CC5" w:rsidRDefault="00C01CC5" w:rsidP="00C01CC5">
      <w:pPr>
        <w:numPr>
          <w:ilvl w:val="0"/>
          <w:numId w:val="22"/>
        </w:numPr>
        <w:snapToGrid w:val="0"/>
        <w:spacing w:after="0" w:line="276" w:lineRule="auto"/>
        <w:contextualSpacing/>
        <w:jc w:val="both"/>
        <w:rPr>
          <w:rFonts w:ascii="Verdana" w:eastAsia="Times New Roman" w:hAnsi="Verdana" w:cs="Arial"/>
          <w:lang w:eastAsia="es-CO"/>
        </w:rPr>
      </w:pPr>
      <w:r w:rsidRPr="00C01CC5">
        <w:rPr>
          <w:rFonts w:ascii="Verdana" w:eastAsia="Times New Roman" w:hAnsi="Verdana" w:cs="Arial"/>
          <w:lang w:eastAsia="es-CO"/>
        </w:rPr>
        <w:t>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El EGCAP establece la contratación directa como la modalidad de selección aplicable, por regla general, a la celebración de los contratos interadministrativos.</w:t>
      </w:r>
    </w:p>
    <w:p w14:paraId="5E49348C" w14:textId="77777777" w:rsidR="00C01CC5" w:rsidRPr="00C01CC5" w:rsidRDefault="00C01CC5" w:rsidP="00C01CC5">
      <w:pPr>
        <w:snapToGrid w:val="0"/>
        <w:spacing w:after="0" w:line="276" w:lineRule="auto"/>
        <w:ind w:left="720"/>
        <w:contextualSpacing/>
        <w:jc w:val="both"/>
        <w:rPr>
          <w:rFonts w:ascii="Verdana" w:eastAsia="Times New Roman" w:hAnsi="Verdana" w:cs="Arial"/>
          <w:lang w:eastAsia="es-CO"/>
        </w:rPr>
      </w:pPr>
    </w:p>
    <w:p w14:paraId="3971C237" w14:textId="77777777" w:rsidR="00C01CC5" w:rsidRPr="00C01CC5" w:rsidRDefault="00C01CC5" w:rsidP="00C01CC5">
      <w:pPr>
        <w:numPr>
          <w:ilvl w:val="0"/>
          <w:numId w:val="22"/>
        </w:numPr>
        <w:snapToGrid w:val="0"/>
        <w:spacing w:after="0" w:line="276" w:lineRule="auto"/>
        <w:contextualSpacing/>
        <w:jc w:val="both"/>
        <w:rPr>
          <w:rFonts w:ascii="Verdana" w:eastAsia="Times New Roman" w:hAnsi="Verdana" w:cs="Arial"/>
          <w:lang w:eastAsia="es-CO"/>
        </w:rPr>
      </w:pPr>
      <w:r w:rsidRPr="00C01CC5">
        <w:rPr>
          <w:rFonts w:ascii="Verdana" w:eastAsia="Times New Roman" w:hAnsi="Verdana" w:cs="Arial"/>
          <w:lang w:eastAsia="es-CO"/>
        </w:rPr>
        <w:t xml:space="preserve">Además, es necesario tener en cuenta que para que un contrato o convenio interadministrativo exista, debe cumplir con los siguientes elementos: acuerdo sobre el objeto y la contraprestación, y que se eleve a escrito. Por otra parte, si bien actualmente el </w:t>
      </w:r>
      <w:r w:rsidRPr="00C01CC5">
        <w:rPr>
          <w:rFonts w:ascii="Verdana" w:eastAsia="Calibri" w:hAnsi="Verdana" w:cs="Arial"/>
        </w:rPr>
        <w:t xml:space="preserve">Estatuto General de Contratación de la Administración Pública </w:t>
      </w:r>
      <w:r w:rsidRPr="00C01CC5">
        <w:rPr>
          <w:rFonts w:ascii="Verdana" w:eastAsia="Times New Roman" w:hAnsi="Verdana" w:cs="Arial"/>
          <w:lang w:eastAsia="es-CO"/>
        </w:rPr>
        <w:t>hace referencia de manera expresa a los contratos interadministrativos y no a los convenios,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que lo hace frente a los convenios, entre otras razones, es porque este cuerpo normativo faculta a las entidades públicas a celebrar los demás acuerdos que permitan la autonomía de la voluntad y requieran el cumplimiento de los fines</w:t>
      </w:r>
      <w:r w:rsidRPr="00C01CC5">
        <w:rPr>
          <w:rFonts w:ascii="Verdana" w:eastAsia="Times New Roman" w:hAnsi="Verdana" w:cs="Arial"/>
          <w:spacing w:val="-4"/>
          <w:lang w:eastAsia="es-CO"/>
        </w:rPr>
        <w:t xml:space="preserve"> </w:t>
      </w:r>
      <w:r w:rsidRPr="00C01CC5">
        <w:rPr>
          <w:rFonts w:ascii="Verdana" w:eastAsia="Times New Roman" w:hAnsi="Verdana" w:cs="Arial"/>
          <w:lang w:eastAsia="es-CO"/>
        </w:rPr>
        <w:t>estatales.</w:t>
      </w:r>
    </w:p>
    <w:p w14:paraId="5C348C46" w14:textId="77777777" w:rsidR="00C01CC5" w:rsidRPr="00C01CC5" w:rsidRDefault="00C01CC5" w:rsidP="00C01CC5">
      <w:pPr>
        <w:snapToGrid w:val="0"/>
        <w:spacing w:after="0" w:line="276" w:lineRule="auto"/>
        <w:ind w:left="720"/>
        <w:contextualSpacing/>
        <w:jc w:val="both"/>
        <w:rPr>
          <w:rFonts w:ascii="Verdana" w:eastAsia="Times New Roman" w:hAnsi="Verdana" w:cs="Arial"/>
          <w:lang w:eastAsia="es-CO"/>
        </w:rPr>
      </w:pPr>
    </w:p>
    <w:p w14:paraId="66F64087" w14:textId="77777777" w:rsidR="00C01CC5" w:rsidRPr="00C01CC5" w:rsidRDefault="00C01CC5" w:rsidP="00C01CC5">
      <w:pPr>
        <w:numPr>
          <w:ilvl w:val="0"/>
          <w:numId w:val="22"/>
        </w:numPr>
        <w:snapToGrid w:val="0"/>
        <w:spacing w:after="0" w:line="276" w:lineRule="auto"/>
        <w:contextualSpacing/>
        <w:jc w:val="both"/>
        <w:rPr>
          <w:rFonts w:ascii="Verdana" w:eastAsia="Times New Roman" w:hAnsi="Verdana" w:cs="Arial"/>
          <w:lang w:eastAsia="es-CO"/>
        </w:rPr>
      </w:pPr>
      <w:r w:rsidRPr="00C01CC5">
        <w:rPr>
          <w:rFonts w:ascii="Verdana" w:eastAsia="Times New Roman" w:hAnsi="Verdana" w:cs="Arial"/>
          <w:lang w:eastAsia="es-CO"/>
        </w:rPr>
        <w:t xml:space="preserve">Por tal razón conforme a lo previsto en el artículo 95 de la Ley 489 de 1995 y al alcance que la jurisprudencia del Consejo de Estado y la doctrina le han dado a la regulación de los convenios interadministrativos, esta </w:t>
      </w:r>
      <w:r w:rsidRPr="00C01CC5">
        <w:rPr>
          <w:rFonts w:ascii="Verdana" w:eastAsia="Times New Roman" w:hAnsi="Verdana" w:cs="Arial"/>
          <w:lang w:eastAsia="es-CO"/>
        </w:rPr>
        <w:lastRenderedPageBreak/>
        <w:t xml:space="preserve">tipología tiene las siguientes características: 1. Se celebran entre dos entidades públicas que se encuentran en pie de igualdad con el objeto de cumplir competencias de ambas entidades dirigidas a un propósito común. Es decir, en los convenios interadministrativos no existen intereses contrapuestos. 2. La modalidad para su celebración es la contratación directa. 3. Los convenios interadministrativos pueden suponer el compromiso de recursos públicos y, en consecuencia, la realización de aportes financieros. Este hecho, sin embargo, no supone a posibilidad de que en este tipo de relaciones jurídicas exista una remuneración en favor de uno de los </w:t>
      </w:r>
      <w:proofErr w:type="spellStart"/>
      <w:r w:rsidRPr="00C01CC5">
        <w:rPr>
          <w:rFonts w:ascii="Verdana" w:eastAsia="Times New Roman" w:hAnsi="Verdana" w:cs="Arial"/>
          <w:lang w:eastAsia="es-CO"/>
        </w:rPr>
        <w:t>co-contratantes</w:t>
      </w:r>
      <w:proofErr w:type="spellEnd"/>
      <w:r w:rsidRPr="00C01CC5">
        <w:rPr>
          <w:rFonts w:ascii="Verdana" w:eastAsia="Times New Roman" w:hAnsi="Verdana" w:cs="Arial"/>
          <w:lang w:eastAsia="es-CO"/>
        </w:rPr>
        <w:t xml:space="preserve"> y a cargo de otro y otro.</w:t>
      </w:r>
    </w:p>
    <w:p w14:paraId="101678DA" w14:textId="77777777" w:rsidR="00C01CC5" w:rsidRPr="00C01CC5" w:rsidRDefault="00C01CC5" w:rsidP="00C01CC5">
      <w:pPr>
        <w:snapToGrid w:val="0"/>
        <w:spacing w:after="0" w:line="276" w:lineRule="auto"/>
        <w:jc w:val="both"/>
        <w:rPr>
          <w:rFonts w:ascii="Verdana" w:eastAsia="Times New Roman" w:hAnsi="Verdana" w:cs="Arial"/>
          <w:lang w:eastAsia="es-CO"/>
        </w:rPr>
      </w:pPr>
    </w:p>
    <w:p w14:paraId="4926F5B2" w14:textId="77777777" w:rsidR="00C01CC5" w:rsidRPr="00C01CC5" w:rsidRDefault="00C01CC5" w:rsidP="00C01CC5">
      <w:pPr>
        <w:numPr>
          <w:ilvl w:val="0"/>
          <w:numId w:val="22"/>
        </w:numPr>
        <w:snapToGrid w:val="0"/>
        <w:spacing w:after="0" w:line="276" w:lineRule="auto"/>
        <w:contextualSpacing/>
        <w:jc w:val="both"/>
        <w:rPr>
          <w:rFonts w:ascii="Verdana" w:eastAsia="Aptos" w:hAnsi="Verdana" w:cs="Arial"/>
        </w:rPr>
      </w:pPr>
      <w:r w:rsidRPr="00C01CC5">
        <w:rPr>
          <w:rFonts w:ascii="Verdana" w:eastAsia="Aptos" w:hAnsi="Verdana" w:cs="Arial"/>
        </w:rPr>
        <w:t xml:space="preserve">Es conveniente destacar que, el Decreto 1082 de 2015, en su artículo 2.2.1.2.1.4.4, dispone que los contratos o convenios interadministrativos se contratan directamente, así: </w:t>
      </w:r>
      <w:r w:rsidRPr="00C01CC5">
        <w:rPr>
          <w:rFonts w:ascii="Verdana" w:eastAsia="Aptos" w:hAnsi="Verdana" w:cs="Arial"/>
          <w:i/>
          <w:iCs/>
        </w:rPr>
        <w:t xml:space="preserve">“[l]a modalidad de selección para la contratación entre Entidades Estatales es la contratación directa; y en consecuencia, le es aplicable lo establecido en el artículo 2.2.1.2.1.4.1 del presente decreto.” </w:t>
      </w:r>
      <w:r w:rsidRPr="00C01CC5">
        <w:rPr>
          <w:rFonts w:ascii="Verdana" w:eastAsia="Aptos" w:hAnsi="Verdana" w:cs="Arial"/>
          <w:kern w:val="2"/>
          <w14:ligatures w14:val="standardContextual"/>
        </w:rPr>
        <w:t>Así, se establece la contratación directa tanto para contratos como convenios interadministrativos, en concordancia con lo establecido en el literal c) del numeral 4 del artículo 2 de la Ley 1150 de 2007.</w:t>
      </w:r>
      <w:r w:rsidRPr="00C01CC5">
        <w:rPr>
          <w:rFonts w:ascii="Verdana" w:eastAsia="Aptos" w:hAnsi="Verdana" w:cs="Arial"/>
          <w:kern w:val="2"/>
          <w:sz w:val="24"/>
          <w:szCs w:val="24"/>
          <w14:ligatures w14:val="standardContextual"/>
        </w:rPr>
        <w:t xml:space="preserve"> </w:t>
      </w:r>
      <w:r w:rsidRPr="00C01CC5">
        <w:rPr>
          <w:rFonts w:ascii="Verdana" w:eastAsia="Aptos" w:hAnsi="Verdana" w:cs="Arial"/>
        </w:rPr>
        <w:t xml:space="preserve"> </w:t>
      </w:r>
    </w:p>
    <w:p w14:paraId="76AC97D6" w14:textId="77777777" w:rsidR="00C01CC5" w:rsidRPr="00C01CC5" w:rsidRDefault="00C01CC5" w:rsidP="00C01CC5">
      <w:pPr>
        <w:snapToGrid w:val="0"/>
        <w:spacing w:after="0" w:line="276" w:lineRule="auto"/>
        <w:jc w:val="both"/>
        <w:rPr>
          <w:rFonts w:ascii="Verdana" w:eastAsia="Aptos" w:hAnsi="Verdana" w:cs="Arial"/>
        </w:rPr>
      </w:pPr>
    </w:p>
    <w:p w14:paraId="5649D557" w14:textId="77777777" w:rsidR="00C01CC5" w:rsidRPr="00C01CC5" w:rsidRDefault="00C01CC5" w:rsidP="00C01CC5">
      <w:pPr>
        <w:numPr>
          <w:ilvl w:val="0"/>
          <w:numId w:val="22"/>
        </w:numPr>
        <w:snapToGrid w:val="0"/>
        <w:spacing w:after="0" w:line="276" w:lineRule="auto"/>
        <w:contextualSpacing/>
        <w:jc w:val="both"/>
        <w:rPr>
          <w:rFonts w:ascii="Verdana" w:eastAsia="Calibri" w:hAnsi="Verdana" w:cs="Arial"/>
          <w:bCs/>
          <w:color w:val="000000"/>
          <w:lang w:bidi="es-ES"/>
        </w:rPr>
      </w:pPr>
      <w:r w:rsidRPr="00C01CC5">
        <w:rPr>
          <w:rFonts w:ascii="Verdana" w:eastAsia="Calibri" w:hAnsi="Verdana" w:cs="Arial"/>
          <w:bCs/>
          <w:color w:val="000000"/>
          <w:lang w:bidi="es-ES"/>
        </w:rPr>
        <w:t>Además, es importante señalar que, si bien tanto los contratos como convenios comparten características comunes explicadas en los párrafos precedentes, difieren en cuanto a ciertos aspectos esenciales</w:t>
      </w:r>
      <w:r w:rsidRPr="00C01CC5">
        <w:rPr>
          <w:rFonts w:ascii="Verdana" w:eastAsia="Calibri" w:hAnsi="Verdana" w:cs="Arial"/>
          <w:color w:val="000000"/>
          <w:lang w:bidi="es-ES"/>
        </w:rPr>
        <w:t xml:space="preserve">. </w:t>
      </w:r>
      <w:r w:rsidRPr="00C01CC5">
        <w:rPr>
          <w:rFonts w:ascii="Verdana" w:eastAsia="Calibri" w:hAnsi="Verdana" w:cs="Arial"/>
          <w:bCs/>
          <w:color w:val="000000"/>
          <w:lang w:bidi="es-ES"/>
        </w:rPr>
        <w:t xml:space="preserve">Así, mientras que el </w:t>
      </w:r>
      <w:r w:rsidRPr="00C01CC5">
        <w:rPr>
          <w:rFonts w:ascii="Verdana" w:eastAsia="Calibri" w:hAnsi="Verdana" w:cs="Arial"/>
          <w:bCs/>
          <w:i/>
          <w:iCs/>
          <w:color w:val="000000"/>
          <w:lang w:bidi="es-ES"/>
        </w:rPr>
        <w:t>contrato interadministrativo</w:t>
      </w:r>
      <w:r w:rsidRPr="00C01CC5">
        <w:rPr>
          <w:rFonts w:ascii="Verdana" w:eastAsia="Calibri" w:hAnsi="Verdana" w:cs="Arial"/>
          <w:bCs/>
          <w:color w:val="000000"/>
          <w:lang w:bidi="es-ES"/>
        </w:rPr>
        <w:t xml:space="preserve"> se caracteriza por su naturaleza onerosa, patrimonial y se conforma por intereses básicamente contrapuestos, los </w:t>
      </w:r>
      <w:r w:rsidRPr="00C01CC5">
        <w:rPr>
          <w:rFonts w:ascii="Verdana" w:eastAsia="Calibri" w:hAnsi="Verdana" w:cs="Arial"/>
          <w:bCs/>
          <w:i/>
          <w:iCs/>
          <w:color w:val="000000"/>
          <w:lang w:bidi="es-ES"/>
        </w:rPr>
        <w:t>convenios interadministrativos</w:t>
      </w:r>
      <w:r w:rsidRPr="00C01CC5">
        <w:rPr>
          <w:rFonts w:ascii="Verdana" w:eastAsia="Calibri" w:hAnsi="Verdana" w:cs="Arial"/>
          <w:bCs/>
          <w:color w:val="000000"/>
          <w:lang w:bidi="es-ES"/>
        </w:rPr>
        <w:t>, por su parte, tienen una finalidad asociativa perseguida por las partes suscriptoras cuyos intereses se encaminan en la misma dirección y persiguen los mismos objetivos, de conformidad con el ejercicio de las funciones y competencias que les son propias y propendiendo por la cooperación interinstitucional. De aquí que la Sala de Consulta y Servicio Civil del Consejo de Estado haya señalado la necesidad de diferenciar el régimen jurídico aplicable a ciertas situaciones específicas del convenio interadministrativo que se separan del régimen jurídico común:</w:t>
      </w:r>
    </w:p>
    <w:p w14:paraId="698A5A52" w14:textId="77777777" w:rsidR="00C01CC5" w:rsidRPr="00C01CC5" w:rsidRDefault="00C01CC5" w:rsidP="00C01CC5">
      <w:pPr>
        <w:snapToGrid w:val="0"/>
        <w:spacing w:after="0" w:line="276" w:lineRule="auto"/>
        <w:ind w:left="709" w:right="709"/>
        <w:jc w:val="both"/>
        <w:rPr>
          <w:rFonts w:ascii="Verdana" w:eastAsia="Calibri" w:hAnsi="Verdana" w:cs="Arial"/>
          <w:bCs/>
          <w:color w:val="000000"/>
          <w:lang w:bidi="es-ES"/>
        </w:rPr>
      </w:pPr>
    </w:p>
    <w:p w14:paraId="7BB7F552" w14:textId="77777777" w:rsidR="00C01CC5" w:rsidRPr="00C01CC5" w:rsidRDefault="00C01CC5" w:rsidP="00C01CC5">
      <w:pPr>
        <w:snapToGrid w:val="0"/>
        <w:spacing w:after="0" w:line="240" w:lineRule="auto"/>
        <w:ind w:left="709" w:right="709"/>
        <w:jc w:val="both"/>
        <w:rPr>
          <w:rFonts w:ascii="Verdana" w:eastAsia="Calibri" w:hAnsi="Verdana" w:cs="Arial"/>
          <w:color w:val="000000"/>
          <w:sz w:val="21"/>
          <w:szCs w:val="21"/>
          <w:lang w:bidi="es-ES"/>
        </w:rPr>
      </w:pPr>
      <w:r w:rsidRPr="00C01CC5">
        <w:rPr>
          <w:rFonts w:ascii="Verdana" w:eastAsia="Calibri" w:hAnsi="Verdana" w:cs="Arial"/>
          <w:color w:val="000000"/>
          <w:sz w:val="21"/>
          <w:szCs w:val="21"/>
          <w:lang w:bidi="es-ES"/>
        </w:rPr>
        <w:lastRenderedPageBreak/>
        <w:t xml:space="preserve">“[E]s preciso señalar que los convenios interadministrativos se someten a los principios constitucionales y legales de la actividad contractual del Estado (transparencia, planeación, buena fe, entre otros) y, obviamente, a los principios de la función administrativa previstos en el artículo 209 CP (moralidad, economía, celeridad, entre otros), en virtud del carácter vinculante de los mismos, dentro del contexto de un ánimo de cooperación que se refleja en el plano de igualdad o equivalencia en que se celebran y ejecutan, lo que significa ausencia de prerrogativas en favor de una parte a costa de la otra. </w:t>
      </w:r>
    </w:p>
    <w:p w14:paraId="5B4B3C74" w14:textId="77777777" w:rsidR="00C01CC5" w:rsidRPr="00C01CC5" w:rsidRDefault="00C01CC5" w:rsidP="00C01CC5">
      <w:pPr>
        <w:snapToGrid w:val="0"/>
        <w:spacing w:after="0" w:line="240" w:lineRule="auto"/>
        <w:ind w:left="709" w:right="709"/>
        <w:jc w:val="both"/>
        <w:rPr>
          <w:rFonts w:ascii="Verdana" w:eastAsia="Calibri" w:hAnsi="Verdana" w:cs="Arial"/>
          <w:color w:val="000000"/>
          <w:sz w:val="21"/>
          <w:szCs w:val="21"/>
          <w:lang w:bidi="es-ES"/>
        </w:rPr>
      </w:pPr>
    </w:p>
    <w:p w14:paraId="705B1D1B" w14:textId="77777777" w:rsidR="00C01CC5" w:rsidRPr="00C01CC5" w:rsidRDefault="00C01CC5" w:rsidP="00C01CC5">
      <w:pPr>
        <w:snapToGrid w:val="0"/>
        <w:spacing w:after="0" w:line="240" w:lineRule="auto"/>
        <w:ind w:left="709" w:right="709"/>
        <w:jc w:val="both"/>
        <w:rPr>
          <w:rFonts w:ascii="Verdana" w:eastAsia="Calibri" w:hAnsi="Verdana" w:cs="Arial"/>
          <w:color w:val="000000"/>
          <w:sz w:val="21"/>
          <w:szCs w:val="21"/>
          <w:lang w:bidi="es-ES"/>
        </w:rPr>
      </w:pPr>
      <w:r w:rsidRPr="00C01CC5">
        <w:rPr>
          <w:rFonts w:ascii="Verdana" w:eastAsia="Calibri" w:hAnsi="Verdana" w:cs="Arial"/>
          <w:color w:val="000000"/>
          <w:sz w:val="21"/>
          <w:szCs w:val="21"/>
          <w:lang w:bidi="es-ES"/>
        </w:rPr>
        <w:t>Ahora, dada la naturaleza jurídica explicada de los convenios interadministrativos</w:t>
      </w:r>
      <w:r w:rsidRPr="00C01CC5">
        <w:rPr>
          <w:rFonts w:ascii="Verdana" w:eastAsia="Calibri" w:hAnsi="Verdana" w:cs="Arial"/>
          <w:i/>
          <w:color w:val="000000"/>
          <w:sz w:val="21"/>
          <w:szCs w:val="21"/>
          <w:lang w:bidi="es-ES"/>
        </w:rPr>
        <w:t>, las reglas del Estatuto General de Contratación de la Administración Pública contenidas en la actualidad en las Leyes 80 de 1993, 1150 de 2007 y 1474 de 2011, no resultan de aplicación automática a tales convenios, toda vez que ese Estatuto lo que esencialmente regula son relaciones contractuales de contenido patrimonial y oneroso. En tal sentido, en cada caso concreto deberá analizarse, de conformidad con la naturaleza jurídica, objeto y finalidad que se pretende cumplir o desarrollar con el respectivo convenio, si la disposición correspondiente del Estatuto Contractual es aplicable o no”</w:t>
      </w:r>
      <w:r w:rsidRPr="00C01CC5">
        <w:rPr>
          <w:rFonts w:ascii="Verdana" w:eastAsia="Calibri" w:hAnsi="Verdana" w:cs="Arial"/>
          <w:color w:val="000000"/>
          <w:sz w:val="21"/>
          <w:szCs w:val="21"/>
          <w:lang w:bidi="es-ES"/>
        </w:rPr>
        <w:t>.</w:t>
      </w:r>
      <w:r w:rsidRPr="00C01CC5">
        <w:rPr>
          <w:rFonts w:ascii="Verdana" w:eastAsia="Calibri" w:hAnsi="Verdana" w:cs="Arial"/>
          <w:color w:val="000000"/>
          <w:sz w:val="21"/>
          <w:szCs w:val="21"/>
          <w:vertAlign w:val="superscript"/>
          <w:lang w:bidi="es-ES"/>
        </w:rPr>
        <w:footnoteReference w:id="6"/>
      </w:r>
      <w:r w:rsidRPr="00C01CC5">
        <w:rPr>
          <w:rFonts w:ascii="Verdana" w:eastAsia="Calibri" w:hAnsi="Verdana" w:cs="Arial"/>
          <w:color w:val="000000"/>
          <w:sz w:val="21"/>
          <w:szCs w:val="21"/>
          <w:lang w:bidi="es-ES"/>
        </w:rPr>
        <w:t xml:space="preserve"> [Énfasis fuera de texto] </w:t>
      </w:r>
    </w:p>
    <w:p w14:paraId="72789562" w14:textId="77777777" w:rsidR="00C01CC5" w:rsidRPr="00C01CC5" w:rsidRDefault="00C01CC5" w:rsidP="00C01CC5">
      <w:pPr>
        <w:tabs>
          <w:tab w:val="left" w:pos="426"/>
        </w:tabs>
        <w:snapToGrid w:val="0"/>
        <w:spacing w:after="0" w:line="240" w:lineRule="auto"/>
        <w:jc w:val="both"/>
        <w:rPr>
          <w:rFonts w:ascii="Verdana" w:eastAsia="Times New Roman" w:hAnsi="Verdana" w:cs="Arial"/>
          <w:lang w:eastAsia="es-CO"/>
        </w:rPr>
      </w:pPr>
    </w:p>
    <w:p w14:paraId="1707C51E" w14:textId="77777777" w:rsidR="00C01CC5" w:rsidRPr="00C01CC5" w:rsidRDefault="00C01CC5" w:rsidP="00C01CC5">
      <w:pPr>
        <w:numPr>
          <w:ilvl w:val="0"/>
          <w:numId w:val="23"/>
        </w:numPr>
        <w:snapToGrid w:val="0"/>
        <w:spacing w:after="0" w:line="276" w:lineRule="auto"/>
        <w:contextualSpacing/>
        <w:jc w:val="both"/>
        <w:rPr>
          <w:rFonts w:ascii="Verdana" w:eastAsia="Times New Roman" w:hAnsi="Verdana" w:cs="Arial"/>
          <w:kern w:val="2"/>
          <w:lang w:val="es-ES_tradnl" w:eastAsia="es-CO"/>
          <w14:ligatures w14:val="standardContextual"/>
        </w:rPr>
      </w:pPr>
      <w:r w:rsidRPr="00C01CC5">
        <w:rPr>
          <w:rFonts w:ascii="Verdana" w:eastAsia="Times New Roman" w:hAnsi="Verdana" w:cs="Arial"/>
          <w:kern w:val="2"/>
          <w:lang w:val="es-ES_tradnl" w:eastAsia="es-CO"/>
          <w14:ligatures w14:val="standardContextual"/>
        </w:rPr>
        <w:t xml:space="preserve">No existe una definición legal que diferencie los conceptos de contrato y convenio. En tal sentido, teniendo en cuenta sus características comunes, las referencias realizadas por el legislador a estos términos deben asimilarse, salvo que de su contenido logre inferirse que se quiere otorgar un contenido en particular. Por lo demás, se reitera la conclusión en el sentido de que lo que define los contratos o convenios interadministrativos es la naturaleza de las partes, de manera que están determinados por un criterio orgánico, en el sentido de que lo serán aquellos celebrados entre Entidades Estatales. </w:t>
      </w:r>
    </w:p>
    <w:p w14:paraId="2021D4C3" w14:textId="77777777" w:rsidR="00C01CC5" w:rsidRPr="00C01CC5" w:rsidRDefault="00C01CC5" w:rsidP="00C01CC5">
      <w:pPr>
        <w:snapToGrid w:val="0"/>
        <w:spacing w:after="0" w:line="276" w:lineRule="auto"/>
        <w:ind w:left="720"/>
        <w:contextualSpacing/>
        <w:jc w:val="both"/>
        <w:rPr>
          <w:rFonts w:ascii="Verdana" w:eastAsia="Times New Roman" w:hAnsi="Verdana" w:cs="Arial"/>
          <w:kern w:val="2"/>
          <w:lang w:val="es-ES_tradnl" w:eastAsia="es-CO"/>
          <w14:ligatures w14:val="standardContextual"/>
        </w:rPr>
      </w:pPr>
    </w:p>
    <w:p w14:paraId="4CEBED8B" w14:textId="77777777" w:rsidR="00C01CC5" w:rsidRPr="00C01CC5" w:rsidRDefault="00C01CC5" w:rsidP="00C01CC5">
      <w:pPr>
        <w:numPr>
          <w:ilvl w:val="0"/>
          <w:numId w:val="19"/>
        </w:numPr>
        <w:spacing w:after="0" w:line="276" w:lineRule="auto"/>
        <w:contextualSpacing/>
        <w:jc w:val="both"/>
        <w:rPr>
          <w:rFonts w:ascii="Verdana" w:eastAsia="Calibri" w:hAnsi="Verdana" w:cs="Calibri Light"/>
          <w:kern w:val="2"/>
          <w14:ligatures w14:val="standardContextual"/>
        </w:rPr>
      </w:pPr>
      <w:r w:rsidRPr="00C01CC5">
        <w:rPr>
          <w:rFonts w:ascii="Verdana" w:eastAsia="Calibri" w:hAnsi="Verdana" w:cs="Calibri Light"/>
          <w:kern w:val="2"/>
          <w14:ligatures w14:val="standardContextual"/>
        </w:rPr>
        <w:t xml:space="preserve">Sin perjuicio de lo anterior, corresponderá a cada entidad estatal, en el marco de su autonomía y de acuerdo con las necesidades que procure satisfacer, determinar si lo más adecuado es celebrar un contrato o un convenio interadministrativo, o cualquier otro negocio jurídico, en cada caso concreto, teniendo en cuenta, también, los documentos tipo que para el sector y modalidad de selección hayan sido expedidos. </w:t>
      </w:r>
    </w:p>
    <w:p w14:paraId="1204C9E3" w14:textId="77777777" w:rsidR="00C01CC5" w:rsidRPr="00C01CC5" w:rsidRDefault="00C01CC5" w:rsidP="00C01CC5">
      <w:pPr>
        <w:snapToGrid w:val="0"/>
        <w:spacing w:after="0" w:line="276" w:lineRule="auto"/>
        <w:ind w:left="720"/>
        <w:jc w:val="both"/>
        <w:rPr>
          <w:rFonts w:ascii="Verdana" w:eastAsia="Calibri" w:hAnsi="Verdana" w:cs="Arial"/>
          <w:lang w:val="es-ES_tradnl"/>
        </w:rPr>
      </w:pPr>
    </w:p>
    <w:p w14:paraId="5CC1BB84" w14:textId="77777777" w:rsidR="00C01CC5" w:rsidRPr="00C01CC5" w:rsidRDefault="00C01CC5" w:rsidP="00C01CC5">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_tradnl"/>
        </w:rPr>
      </w:pPr>
      <w:r w:rsidRPr="00C01CC5">
        <w:rPr>
          <w:rFonts w:ascii="Verdana" w:eastAsia="Century Gothic" w:hAnsi="Verdana" w:cs="Century Gothic"/>
          <w:b/>
          <w:bCs/>
          <w:lang w:val="es-ES_tradnl"/>
        </w:rPr>
        <w:t>Referencias normativas, jurisprudenciales y otras fuentes:</w:t>
      </w:r>
    </w:p>
    <w:p w14:paraId="0F439DAF" w14:textId="77777777" w:rsidR="00C01CC5" w:rsidRPr="00C01CC5" w:rsidRDefault="00C01CC5" w:rsidP="00C01CC5">
      <w:pPr>
        <w:widowControl w:val="0"/>
        <w:autoSpaceDE w:val="0"/>
        <w:autoSpaceDN w:val="0"/>
        <w:spacing w:after="0" w:line="276" w:lineRule="auto"/>
        <w:jc w:val="both"/>
        <w:rPr>
          <w:rFonts w:ascii="Verdana" w:eastAsia="Calibri" w:hAnsi="Verdana" w:cs="Arial"/>
          <w:lang w:val="es-ES_tradn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C01CC5" w:rsidRPr="00C01CC5" w14:paraId="39784BB9" w14:textId="77777777" w:rsidTr="00D846F2">
        <w:trPr>
          <w:trHeight w:val="870"/>
        </w:trPr>
        <w:tc>
          <w:tcPr>
            <w:tcW w:w="8647" w:type="dxa"/>
          </w:tcPr>
          <w:p w14:paraId="3004F72D" w14:textId="77777777" w:rsidR="00C01CC5" w:rsidRPr="00C01CC5" w:rsidRDefault="00C01CC5" w:rsidP="00C01CC5">
            <w:pPr>
              <w:widowControl w:val="0"/>
              <w:numPr>
                <w:ilvl w:val="0"/>
                <w:numId w:val="18"/>
              </w:numPr>
              <w:autoSpaceDE w:val="0"/>
              <w:autoSpaceDN w:val="0"/>
              <w:spacing w:after="120" w:line="276" w:lineRule="auto"/>
              <w:ind w:left="714" w:hanging="357"/>
              <w:jc w:val="both"/>
              <w:rPr>
                <w:rFonts w:ascii="Verdana" w:eastAsia="Calibri" w:hAnsi="Verdana" w:cs="Arial"/>
                <w:lang w:val="es-ES_tradnl"/>
              </w:rPr>
            </w:pPr>
            <w:r w:rsidRPr="00C01CC5">
              <w:rPr>
                <w:rFonts w:ascii="Verdana" w:eastAsia="Calibri" w:hAnsi="Verdana" w:cs="Arial"/>
                <w:lang w:val="es-ES_tradnl"/>
              </w:rPr>
              <w:t xml:space="preserve">Ley 2022 de 2020, artículo 1. </w:t>
            </w:r>
          </w:p>
          <w:p w14:paraId="498B4074" w14:textId="77777777" w:rsidR="00C01CC5" w:rsidRPr="00C01CC5" w:rsidRDefault="00C01CC5" w:rsidP="00C01CC5">
            <w:pPr>
              <w:widowControl w:val="0"/>
              <w:numPr>
                <w:ilvl w:val="0"/>
                <w:numId w:val="18"/>
              </w:numPr>
              <w:autoSpaceDE w:val="0"/>
              <w:autoSpaceDN w:val="0"/>
              <w:spacing w:after="120" w:line="276" w:lineRule="auto"/>
              <w:jc w:val="both"/>
              <w:rPr>
                <w:rFonts w:ascii="Verdana" w:eastAsia="Calibri" w:hAnsi="Verdana" w:cs="Arial"/>
              </w:rPr>
            </w:pPr>
            <w:r w:rsidRPr="00C01CC5">
              <w:rPr>
                <w:rFonts w:ascii="Verdana" w:eastAsia="Calibri" w:hAnsi="Verdana" w:cs="Arial"/>
              </w:rPr>
              <w:t>Ley 1150 de 2007, artículo 2.</w:t>
            </w:r>
          </w:p>
          <w:p w14:paraId="7E348A70" w14:textId="77777777" w:rsidR="00C01CC5" w:rsidRPr="00C01CC5" w:rsidRDefault="00C01CC5" w:rsidP="00C01CC5">
            <w:pPr>
              <w:widowControl w:val="0"/>
              <w:numPr>
                <w:ilvl w:val="0"/>
                <w:numId w:val="18"/>
              </w:numPr>
              <w:autoSpaceDE w:val="0"/>
              <w:autoSpaceDN w:val="0"/>
              <w:spacing w:after="120" w:line="276" w:lineRule="auto"/>
              <w:jc w:val="both"/>
              <w:rPr>
                <w:rFonts w:ascii="Verdana" w:eastAsia="Calibri" w:hAnsi="Verdana" w:cs="Arial"/>
              </w:rPr>
            </w:pPr>
            <w:r w:rsidRPr="00C01CC5">
              <w:rPr>
                <w:rFonts w:ascii="Verdana" w:eastAsia="Calibri" w:hAnsi="Verdana" w:cs="Arial"/>
              </w:rPr>
              <w:t>Ley 489 de 1995, artículo 95.</w:t>
            </w:r>
          </w:p>
          <w:p w14:paraId="40AFE4E5" w14:textId="77777777" w:rsidR="00C01CC5" w:rsidRPr="00C01CC5" w:rsidRDefault="00C01CC5" w:rsidP="00C01CC5">
            <w:pPr>
              <w:widowControl w:val="0"/>
              <w:numPr>
                <w:ilvl w:val="0"/>
                <w:numId w:val="18"/>
              </w:numPr>
              <w:autoSpaceDE w:val="0"/>
              <w:autoSpaceDN w:val="0"/>
              <w:spacing w:after="120" w:line="276" w:lineRule="auto"/>
              <w:jc w:val="both"/>
              <w:rPr>
                <w:rFonts w:ascii="Verdana" w:eastAsia="Calibri" w:hAnsi="Verdana" w:cs="Arial"/>
              </w:rPr>
            </w:pPr>
            <w:r w:rsidRPr="00C01CC5">
              <w:rPr>
                <w:rFonts w:ascii="Verdana" w:eastAsia="Calibri" w:hAnsi="Verdana" w:cs="Arial"/>
              </w:rPr>
              <w:t>Decreto 1082 de 2015, artículo 2.2.1.2.1.4.4.</w:t>
            </w:r>
          </w:p>
          <w:p w14:paraId="36ED08EC" w14:textId="77777777" w:rsidR="00C01CC5" w:rsidRPr="00C01CC5" w:rsidRDefault="00C01CC5" w:rsidP="00C01CC5">
            <w:pPr>
              <w:widowControl w:val="0"/>
              <w:numPr>
                <w:ilvl w:val="0"/>
                <w:numId w:val="18"/>
              </w:numPr>
              <w:autoSpaceDE w:val="0"/>
              <w:autoSpaceDN w:val="0"/>
              <w:spacing w:after="120" w:line="276" w:lineRule="auto"/>
              <w:jc w:val="both"/>
              <w:rPr>
                <w:rFonts w:ascii="Verdana" w:eastAsia="Calibri" w:hAnsi="Verdana" w:cs="Arial"/>
              </w:rPr>
            </w:pPr>
            <w:r w:rsidRPr="00C01CC5">
              <w:rPr>
                <w:rFonts w:ascii="Verdana" w:eastAsia="Calibri" w:hAnsi="Verdana" w:cs="Arial"/>
              </w:rPr>
              <w:t>Consejo de Estado. Sección Tercera. Sentencia del 23 de junio de 2010. Radicación No. 66001-23-31-000-1998-00261-01(17.860). C.P. Mauricio Fajardo Gómez.</w:t>
            </w:r>
          </w:p>
          <w:p w14:paraId="3E7C1682" w14:textId="77777777" w:rsidR="00C01CC5" w:rsidRPr="00C01CC5" w:rsidRDefault="00C01CC5" w:rsidP="00C01CC5">
            <w:pPr>
              <w:widowControl w:val="0"/>
              <w:numPr>
                <w:ilvl w:val="0"/>
                <w:numId w:val="18"/>
              </w:numPr>
              <w:autoSpaceDE w:val="0"/>
              <w:autoSpaceDN w:val="0"/>
              <w:spacing w:after="120" w:line="276" w:lineRule="auto"/>
              <w:ind w:left="714" w:hanging="357"/>
              <w:jc w:val="both"/>
              <w:rPr>
                <w:rFonts w:ascii="Verdana" w:eastAsia="Calibri" w:hAnsi="Verdana" w:cs="Arial"/>
                <w:lang w:val="es-ES_tradnl"/>
              </w:rPr>
            </w:pPr>
            <w:r w:rsidRPr="00C01CC5">
              <w:rPr>
                <w:rFonts w:ascii="Verdana" w:eastAsia="Calibri" w:hAnsi="Verdana" w:cs="Arial"/>
                <w:lang w:val="es-ES_tradnl"/>
              </w:rPr>
              <w:t xml:space="preserve">Documentos Tipo. Disponibles en: </w:t>
            </w:r>
            <w:hyperlink r:id="rId11" w:history="1">
              <w:r w:rsidRPr="00C01CC5">
                <w:rPr>
                  <w:rFonts w:ascii="Verdana" w:eastAsia="Calibri" w:hAnsi="Verdana" w:cs="Arial"/>
                  <w:color w:val="0000FF"/>
                  <w:u w:val="single"/>
                  <w:lang w:val="es-ES_tradnl"/>
                </w:rPr>
                <w:t>https://www.colombiacompra.gov.co/documentos-tipo/documentos-tipo</w:t>
              </w:r>
            </w:hyperlink>
            <w:r w:rsidRPr="00C01CC5">
              <w:rPr>
                <w:rFonts w:ascii="Verdana" w:eastAsia="Calibri" w:hAnsi="Verdana" w:cs="Arial"/>
                <w:lang w:val="es-ES_tradnl"/>
              </w:rPr>
              <w:t xml:space="preserve">. </w:t>
            </w:r>
          </w:p>
        </w:tc>
      </w:tr>
    </w:tbl>
    <w:p w14:paraId="56FDD185" w14:textId="77777777" w:rsidR="00C01CC5" w:rsidRPr="00C01CC5" w:rsidRDefault="00C01CC5" w:rsidP="00C01CC5">
      <w:pPr>
        <w:widowControl w:val="0"/>
        <w:autoSpaceDE w:val="0"/>
        <w:autoSpaceDN w:val="0"/>
        <w:snapToGrid w:val="0"/>
        <w:spacing w:after="0" w:line="276" w:lineRule="auto"/>
        <w:jc w:val="both"/>
        <w:rPr>
          <w:rFonts w:ascii="Verdana" w:eastAsia="Calibri" w:hAnsi="Verdana" w:cs="Arial"/>
          <w:lang w:val="es-ES_tradnl"/>
        </w:rPr>
      </w:pPr>
    </w:p>
    <w:p w14:paraId="625BC8EF" w14:textId="77777777" w:rsidR="00C01CC5" w:rsidRPr="00C01CC5" w:rsidRDefault="00C01CC5" w:rsidP="00C01CC5">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C01CC5">
        <w:rPr>
          <w:rFonts w:ascii="Verdana" w:eastAsia="Century Gothic" w:hAnsi="Verdana" w:cs="Century Gothic"/>
          <w:b/>
          <w:bCs/>
          <w:lang w:val="es-ES_tradnl"/>
        </w:rPr>
        <w:t>Doctrina de la Agencia Nacional de Contratación Pública:</w:t>
      </w:r>
    </w:p>
    <w:p w14:paraId="76386F0F" w14:textId="77777777" w:rsidR="00C01CC5" w:rsidRPr="00C01CC5" w:rsidRDefault="00C01CC5" w:rsidP="00C01CC5">
      <w:pPr>
        <w:widowControl w:val="0"/>
        <w:autoSpaceDE w:val="0"/>
        <w:autoSpaceDN w:val="0"/>
        <w:snapToGrid w:val="0"/>
        <w:spacing w:after="0" w:line="276" w:lineRule="auto"/>
        <w:jc w:val="both"/>
        <w:rPr>
          <w:rFonts w:ascii="Verdana" w:eastAsia="Calibri" w:hAnsi="Verdana" w:cs="Arial"/>
          <w:lang w:val="es-ES_tradnl"/>
        </w:rPr>
      </w:pPr>
    </w:p>
    <w:p w14:paraId="6E09846A" w14:textId="77777777" w:rsidR="00C01CC5" w:rsidRPr="00C01CC5" w:rsidRDefault="00C01CC5" w:rsidP="00C01CC5">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r w:rsidRPr="00C01CC5">
        <w:rPr>
          <w:rFonts w:ascii="Verdana" w:eastAsia="Calibri" w:hAnsi="Verdana" w:cs="Arial"/>
          <w:kern w:val="2"/>
          <w:shd w:val="clear" w:color="auto" w:fill="FFFFFF"/>
          <w:lang w:val="es-ES"/>
          <w14:ligatures w14:val="standardContextual"/>
        </w:rPr>
        <w:t>La Agencia Nacional de Contratación Pública – Colombia Compra Eficiente</w:t>
      </w:r>
      <w:r w:rsidRPr="00C01CC5">
        <w:rPr>
          <w:rFonts w:ascii="Aptos" w:eastAsia="Aptos" w:hAnsi="Aptos" w:cs="Times New Roman"/>
          <w:kern w:val="2"/>
          <w:lang w:val="es-ES_tradnl"/>
          <w14:ligatures w14:val="standardContextual"/>
        </w:rPr>
        <w:t xml:space="preserve"> </w:t>
      </w:r>
      <w:r w:rsidRPr="00C01CC5">
        <w:rPr>
          <w:rFonts w:ascii="Verdana" w:eastAsia="Calibri" w:hAnsi="Verdana" w:cs="Arial"/>
          <w:kern w:val="2"/>
          <w:shd w:val="clear" w:color="auto" w:fill="FFFFFF"/>
          <w:lang w:val="es-ES"/>
          <w14:ligatures w14:val="standardContextual"/>
        </w:rPr>
        <w:t>analizó el régimen de jurídico de los convenios y/o contratos interadministrativos, entre otros, en los conceptos C-562 del 7 de septiembre del 2022, C-738 de 4 de noviembre de 2022, C-021 del 24 de febrero de 2023, C-182 del 29 de junio de 2023, C-187 del 15 de junio de 2023, C-360 del 12 de septiembre de 2023, C-379 del 19 de octubre de 2023, C-427 del 27 de noviembre de 2023 y C-091 del 6 de junio de 2024. Esta Agencia también</w:t>
      </w:r>
      <w:r w:rsidRPr="00C01CC5">
        <w:rPr>
          <w:rFonts w:ascii="Aptos" w:eastAsia="Aptos" w:hAnsi="Aptos" w:cs="Times New Roman"/>
          <w:kern w:val="2"/>
          <w14:ligatures w14:val="standardContextual"/>
        </w:rPr>
        <w:t xml:space="preserve"> </w:t>
      </w:r>
      <w:r w:rsidRPr="00C01CC5">
        <w:rPr>
          <w:rFonts w:ascii="Verdana" w:eastAsia="Calibri" w:hAnsi="Verdana" w:cs="Arial"/>
          <w:kern w:val="2"/>
          <w:shd w:val="clear" w:color="auto" w:fill="FFFFFF"/>
          <w:lang w:val="es-ES"/>
          <w14:ligatures w14:val="standardContextual"/>
        </w:rPr>
        <w:t xml:space="preserve">se pronunció sobre los pliegos de condiciones tipo en la contratación estatal, en los conceptos 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w:t>
      </w:r>
      <w:r w:rsidRPr="00C01CC5">
        <w:rPr>
          <w:rFonts w:ascii="Verdana" w:eastAsia="Calibri" w:hAnsi="Verdana" w:cs="Arial"/>
          <w:kern w:val="2"/>
          <w:shd w:val="clear" w:color="auto" w:fill="FFFFFF"/>
          <w:lang w:val="es-ES"/>
          <w14:ligatures w14:val="standardContextual"/>
        </w:rPr>
        <w:lastRenderedPageBreak/>
        <w:t>C-570 del 27 de agosto de 2020, C-713 del 2 de diciembre de 2020, C-744 del 22 de diciembre de 2020, C-031 del 1 de febrero de 2021, C-157 de 13 de abril de 2021, C-862 del 16 de diciembre de 2022, C-217 del 12 de julio de 2024, entre otros</w:t>
      </w:r>
      <w:r w:rsidRPr="00C01CC5">
        <w:rPr>
          <w:rFonts w:ascii="Verdana" w:eastAsia="Calibri" w:hAnsi="Verdana" w:cs="Arial"/>
          <w:shd w:val="clear" w:color="auto" w:fill="FFFFFF"/>
          <w:lang w:val="es-ES_tradnl"/>
        </w:rPr>
        <w:t xml:space="preserve">. </w:t>
      </w:r>
      <w:r w:rsidRPr="00C01CC5">
        <w:rPr>
          <w:rFonts w:ascii="Verdana" w:eastAsia="Calibri" w:hAnsi="Verdana" w:cs="Arial"/>
          <w:kern w:val="2"/>
          <w:shd w:val="clear" w:color="auto" w:fill="FFFFFF"/>
          <w:lang w:val="es-ES"/>
          <w14:ligatures w14:val="standardContextual"/>
        </w:rPr>
        <w:t xml:space="preserve">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  </w:t>
      </w:r>
    </w:p>
    <w:p w14:paraId="7E29BAFC" w14:textId="77777777" w:rsidR="00C01CC5" w:rsidRPr="00C01CC5" w:rsidRDefault="00C01CC5" w:rsidP="00C01CC5">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p>
    <w:p w14:paraId="21F745B7" w14:textId="77777777" w:rsidR="00C01CC5" w:rsidRPr="00C01CC5" w:rsidRDefault="00C01CC5" w:rsidP="00C01CC5">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r w:rsidRPr="00C01CC5">
        <w:rPr>
          <w:rFonts w:ascii="Verdana" w:eastAsia="Calibri" w:hAnsi="Verdana" w:cs="Arial"/>
          <w:kern w:val="2"/>
          <w:shd w:val="clear" w:color="auto" w:fill="FFFFFF"/>
          <w14:ligatures w14:val="standardContextual"/>
        </w:rPr>
        <w:t>La</w:t>
      </w:r>
      <w:r w:rsidRPr="00C01CC5">
        <w:rPr>
          <w:rFonts w:ascii="Verdana" w:eastAsia="Calibri" w:hAnsi="Verdana" w:cs="Arial"/>
          <w:b/>
          <w:bCs/>
          <w:kern w:val="2"/>
          <w:shd w:val="clear" w:color="auto" w:fill="FFFFFF"/>
          <w14:ligatures w14:val="standardContextual"/>
        </w:rPr>
        <w:t xml:space="preserve"> Agencia Nacional de Contratación Pública - Colombia Compra Eficiente</w:t>
      </w:r>
      <w:r w:rsidRPr="00C01CC5">
        <w:rPr>
          <w:rFonts w:ascii="Verdana" w:eastAsia="Calibri" w:hAnsi="Verdana" w:cs="Arial"/>
          <w:kern w:val="2"/>
          <w:shd w:val="clear" w:color="auto" w:fill="FFFFFF"/>
          <w14:ligatures w14:val="standardContextual"/>
        </w:rPr>
        <w:t> recomienda a todas las entidades públicas, independientemente de su naturaleza, que gestionan recursos públicos, la aplicación de los </w:t>
      </w:r>
      <w:r w:rsidRPr="00C01CC5">
        <w:rPr>
          <w:rFonts w:ascii="Verdana" w:eastAsia="Calibri" w:hAnsi="Verdana" w:cs="Arial"/>
          <w:b/>
          <w:bCs/>
          <w:kern w:val="2"/>
          <w:shd w:val="clear" w:color="auto" w:fill="FFFFFF"/>
          <w14:ligatures w14:val="standardContextual"/>
        </w:rPr>
        <w:t>Documentos Tipo</w:t>
      </w:r>
      <w:r w:rsidRPr="00C01CC5">
        <w:rPr>
          <w:rFonts w:ascii="Verdana" w:eastAsia="Calibri" w:hAnsi="Verdana" w:cs="Arial"/>
          <w:kern w:val="2"/>
          <w:shd w:val="clear" w:color="auto" w:fill="FFFFFF"/>
          <w14:ligatures w14:val="standardContextual"/>
        </w:rPr>
        <w:t>. Esta recomendación es válida tanto para su uso obligatorio, cuando así lo establezca la normatividad vigente, como para su implementación como una buena práctica. El objetivo es garantizar la </w:t>
      </w:r>
      <w:r w:rsidRPr="00C01CC5">
        <w:rPr>
          <w:rFonts w:ascii="Verdana" w:eastAsia="Calibri" w:hAnsi="Verdana" w:cs="Arial"/>
          <w:b/>
          <w:bCs/>
          <w:kern w:val="2"/>
          <w:shd w:val="clear" w:color="auto" w:fill="FFFFFF"/>
          <w14:ligatures w14:val="standardContextual"/>
        </w:rPr>
        <w:t>transparencia</w:t>
      </w:r>
      <w:r w:rsidRPr="00C01CC5">
        <w:rPr>
          <w:rFonts w:ascii="Verdana" w:eastAsia="Calibri" w:hAnsi="Verdana" w:cs="Arial"/>
          <w:kern w:val="2"/>
          <w:shd w:val="clear" w:color="auto" w:fill="FFFFFF"/>
          <w14:ligatures w14:val="standardContextual"/>
        </w:rPr>
        <w:t> y promover un proceso de </w:t>
      </w:r>
      <w:r w:rsidRPr="00C01CC5">
        <w:rPr>
          <w:rFonts w:ascii="Verdana" w:eastAsia="Calibri" w:hAnsi="Verdana" w:cs="Arial"/>
          <w:b/>
          <w:bCs/>
          <w:kern w:val="2"/>
          <w:shd w:val="clear" w:color="auto" w:fill="FFFFFF"/>
          <w14:ligatures w14:val="standardContextual"/>
        </w:rPr>
        <w:t>selección objetiva</w:t>
      </w:r>
      <w:r w:rsidRPr="00C01CC5">
        <w:rPr>
          <w:rFonts w:ascii="Verdana" w:eastAsia="Calibri" w:hAnsi="Verdana" w:cs="Arial"/>
          <w:kern w:val="2"/>
          <w:shd w:val="clear" w:color="auto" w:fill="FFFFFF"/>
          <w14:ligatures w14:val="standardContextual"/>
        </w:rPr>
        <w:t> en la contratación pública, contribuyendo así a mejorar la eficiencia, la competencia y la confianza en el manejo de los recursos del Estado.</w:t>
      </w:r>
    </w:p>
    <w:p w14:paraId="263A542D" w14:textId="77777777" w:rsidR="00C01CC5" w:rsidRPr="00C01CC5" w:rsidRDefault="00C01CC5" w:rsidP="00C01CC5">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p>
    <w:p w14:paraId="26BBFBE5" w14:textId="77777777" w:rsidR="00C01CC5" w:rsidRPr="00C01CC5" w:rsidRDefault="00C01CC5" w:rsidP="00C01CC5">
      <w:pPr>
        <w:widowControl w:val="0"/>
        <w:autoSpaceDE w:val="0"/>
        <w:autoSpaceDN w:val="0"/>
        <w:spacing w:after="0" w:line="276" w:lineRule="auto"/>
        <w:jc w:val="both"/>
        <w:rPr>
          <w:rFonts w:ascii="Verdana" w:eastAsia="Calibri" w:hAnsi="Verdana" w:cs="Arial"/>
          <w:shd w:val="clear" w:color="auto" w:fill="FFFFFF"/>
          <w:lang w:val="es-ES_tradnl"/>
        </w:rPr>
      </w:pPr>
      <w:r w:rsidRPr="00C01CC5">
        <w:rPr>
          <w:rFonts w:ascii="Verdana" w:eastAsia="Calibri" w:hAnsi="Verdana" w:cs="Arial"/>
          <w:shd w:val="clear" w:color="auto" w:fill="FFFFFF"/>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2" w:tgtFrame="_blank" w:tooltip="Original URL: https://www.colombiacompra.gov.co/sites/cce_public/files/cce_documents/manual_para_el_manejo_de_acuerdos_comerciales_vf.pdf. Click or tap if you trust this link." w:history="1">
        <w:r w:rsidRPr="00C01CC5">
          <w:rPr>
            <w:rFonts w:ascii="Verdana" w:eastAsia="Calibri" w:hAnsi="Verdana" w:cs="Arial"/>
            <w:color w:val="0000FF"/>
            <w:u w:val="single"/>
            <w:shd w:val="clear" w:color="auto" w:fill="FFFFFF"/>
          </w:rPr>
          <w:t>manual_para_el_manejo_de_acuerdos_comerciales_vf.pdf</w:t>
        </w:r>
      </w:hyperlink>
      <w:r w:rsidRPr="00C01CC5">
        <w:rPr>
          <w:rFonts w:ascii="Verdana" w:eastAsia="Calibri" w:hAnsi="Verdana" w:cs="Arial"/>
          <w:shd w:val="clear" w:color="auto" w:fill="FFFFFF"/>
          <w:lang w:val="es-ES_tradnl"/>
        </w:rPr>
        <w:t>.</w:t>
      </w:r>
    </w:p>
    <w:p w14:paraId="14BB46DA" w14:textId="77777777" w:rsidR="00C01CC5" w:rsidRPr="00C01CC5" w:rsidRDefault="00C01CC5" w:rsidP="00C01CC5">
      <w:pPr>
        <w:widowControl w:val="0"/>
        <w:autoSpaceDE w:val="0"/>
        <w:autoSpaceDN w:val="0"/>
        <w:spacing w:after="0" w:line="276" w:lineRule="auto"/>
        <w:jc w:val="both"/>
        <w:rPr>
          <w:rFonts w:ascii="Verdana" w:eastAsia="Calibri" w:hAnsi="Verdana" w:cs="Arial"/>
          <w:shd w:val="clear" w:color="auto" w:fill="FFFFFF"/>
        </w:rPr>
      </w:pPr>
      <w:r w:rsidRPr="00C01CC5">
        <w:rPr>
          <w:rFonts w:ascii="Verdana" w:eastAsia="Calibri" w:hAnsi="Verdana" w:cs="Arial"/>
          <w:shd w:val="clear" w:color="auto" w:fill="FFFFFF"/>
        </w:rPr>
        <w:t> </w:t>
      </w:r>
    </w:p>
    <w:p w14:paraId="6F99D7AF" w14:textId="77777777" w:rsidR="00C01CC5" w:rsidRPr="00C01CC5" w:rsidRDefault="00C01CC5" w:rsidP="00C01CC5">
      <w:pPr>
        <w:widowControl w:val="0"/>
        <w:autoSpaceDE w:val="0"/>
        <w:autoSpaceDN w:val="0"/>
        <w:spacing w:after="0" w:line="276" w:lineRule="auto"/>
        <w:jc w:val="both"/>
        <w:rPr>
          <w:rFonts w:ascii="Verdana" w:eastAsia="Calibri" w:hAnsi="Verdana" w:cs="Arial"/>
          <w:shd w:val="clear" w:color="auto" w:fill="FFFFFF"/>
        </w:rPr>
      </w:pPr>
      <w:r w:rsidRPr="00C01CC5">
        <w:rPr>
          <w:rFonts w:ascii="Verdana" w:eastAsia="Calibri" w:hAnsi="Verdana" w:cs="Arial"/>
          <w:shd w:val="clear" w:color="auto" w:fill="FFFFFF"/>
        </w:rPr>
        <w:t>También, lo invitamos a consultar la versión VII  de 2024 del Boletín de Relatoría de la Subdirección de Gestión Contractual, relacionado con las ASOCIACIONES PÚBLICO POPULARES, el cual se puede descargar en la página web de la Agencia: </w:t>
      </w:r>
      <w:hyperlink r:id="rId13" w:tgtFrame="_blank" w:tooltip="Original URL: https://www.colombiacompra.gov.co/sala-de-prensa/boletin-digital. Click or tap if you trust this link." w:history="1">
        <w:r w:rsidRPr="00C01CC5">
          <w:rPr>
            <w:rFonts w:ascii="Verdana" w:eastAsia="Calibri" w:hAnsi="Verdana" w:cs="Arial"/>
            <w:color w:val="0000FF"/>
            <w:u w:val="single"/>
            <w:shd w:val="clear" w:color="auto" w:fill="FFFFFF"/>
          </w:rPr>
          <w:t>https://www.colombiacompra.gov.co/sala-de-prensa/boletin-digital</w:t>
        </w:r>
      </w:hyperlink>
      <w:r w:rsidRPr="00C01CC5">
        <w:rPr>
          <w:rFonts w:ascii="Verdana" w:eastAsia="Calibri" w:hAnsi="Verdana" w:cs="Arial"/>
          <w:shd w:val="clear" w:color="auto" w:fill="FFFFFF"/>
        </w:rPr>
        <w:t>.</w:t>
      </w:r>
    </w:p>
    <w:p w14:paraId="7BF44124" w14:textId="77777777" w:rsidR="00C01CC5" w:rsidRPr="00C01CC5" w:rsidRDefault="00C01CC5" w:rsidP="00C01CC5">
      <w:pPr>
        <w:widowControl w:val="0"/>
        <w:autoSpaceDE w:val="0"/>
        <w:autoSpaceDN w:val="0"/>
        <w:spacing w:after="0" w:line="276" w:lineRule="auto"/>
        <w:jc w:val="both"/>
        <w:rPr>
          <w:rFonts w:ascii="Verdana" w:eastAsia="Calibri" w:hAnsi="Verdana" w:cs="Arial"/>
          <w:shd w:val="clear" w:color="auto" w:fill="FFFFFF"/>
          <w:lang w:val="es-ES_tradnl"/>
        </w:rPr>
      </w:pPr>
    </w:p>
    <w:p w14:paraId="647409EC" w14:textId="77777777" w:rsidR="00C01CC5" w:rsidRPr="00C01CC5" w:rsidRDefault="00C01CC5" w:rsidP="00C01CC5">
      <w:pPr>
        <w:spacing w:after="0" w:line="240" w:lineRule="auto"/>
        <w:jc w:val="both"/>
        <w:rPr>
          <w:rFonts w:ascii="Verdana" w:eastAsia="Calibri" w:hAnsi="Verdana" w:cs="Times New Roman"/>
          <w:lang w:val="es-ES_tradnl"/>
        </w:rPr>
      </w:pPr>
      <w:r w:rsidRPr="00C01CC5">
        <w:rPr>
          <w:rFonts w:ascii="Verdana" w:eastAsia="Calibri" w:hAnsi="Verdana" w:cs="Times New Roman"/>
          <w:lang w:val="es-ES_tradnl"/>
        </w:rPr>
        <w:t xml:space="preserve">Por último, los invitamos a seguirnos en las redes sociales, en las cuales se difunde información institucional: </w:t>
      </w:r>
    </w:p>
    <w:p w14:paraId="52AD88B6" w14:textId="77777777" w:rsidR="00C01CC5" w:rsidRPr="00C01CC5" w:rsidRDefault="00C01CC5" w:rsidP="00C01CC5">
      <w:pPr>
        <w:spacing w:after="0" w:line="240" w:lineRule="auto"/>
        <w:jc w:val="both"/>
        <w:rPr>
          <w:rFonts w:ascii="Verdana" w:eastAsia="Calibri" w:hAnsi="Verdana" w:cs="Times New Roman"/>
          <w:lang w:val="es-ES_tradnl"/>
        </w:rPr>
      </w:pPr>
    </w:p>
    <w:p w14:paraId="6662901F" w14:textId="77777777" w:rsidR="00C01CC5" w:rsidRPr="00C01CC5" w:rsidRDefault="00C01CC5" w:rsidP="00C01CC5">
      <w:pPr>
        <w:spacing w:after="0" w:line="240" w:lineRule="auto"/>
        <w:jc w:val="both"/>
        <w:rPr>
          <w:rFonts w:ascii="Verdana" w:eastAsia="Calibri" w:hAnsi="Verdana" w:cs="Times New Roman"/>
          <w:lang w:val="es-ES_tradnl"/>
        </w:rPr>
      </w:pPr>
      <w:r w:rsidRPr="00C01CC5">
        <w:rPr>
          <w:rFonts w:ascii="Verdana" w:eastAsia="Calibri" w:hAnsi="Verdana" w:cs="Times New Roman"/>
          <w:lang w:val="es-ES_tradnl"/>
        </w:rPr>
        <w:t xml:space="preserve">Twitter: </w:t>
      </w:r>
      <w:r w:rsidRPr="00C01CC5">
        <w:rPr>
          <w:rFonts w:ascii="Verdana" w:eastAsia="Calibri" w:hAnsi="Verdana" w:cs="Times New Roman"/>
          <w:u w:val="single"/>
          <w:lang w:val="es-ES_tradnl"/>
        </w:rPr>
        <w:t>@colombiacompra</w:t>
      </w:r>
      <w:r w:rsidRPr="00C01CC5">
        <w:rPr>
          <w:rFonts w:ascii="Verdana" w:eastAsia="Calibri" w:hAnsi="Verdana" w:cs="Times New Roman"/>
          <w:lang w:val="es-ES_tradnl"/>
        </w:rPr>
        <w:t xml:space="preserve"> </w:t>
      </w:r>
    </w:p>
    <w:p w14:paraId="6E3FE594" w14:textId="77777777" w:rsidR="00C01CC5" w:rsidRPr="00C01CC5" w:rsidRDefault="00C01CC5" w:rsidP="00C01CC5">
      <w:pPr>
        <w:spacing w:after="0" w:line="240" w:lineRule="auto"/>
        <w:jc w:val="both"/>
        <w:rPr>
          <w:rFonts w:ascii="Verdana" w:eastAsia="Calibri" w:hAnsi="Verdana" w:cs="Times New Roman"/>
          <w:lang w:val="es-ES"/>
        </w:rPr>
      </w:pPr>
      <w:r w:rsidRPr="00C01CC5">
        <w:rPr>
          <w:rFonts w:ascii="Verdana" w:eastAsia="Calibri" w:hAnsi="Verdana" w:cs="Times New Roman"/>
          <w:lang w:val="es-ES"/>
        </w:rPr>
        <w:t xml:space="preserve">Facebook: </w:t>
      </w:r>
      <w:r w:rsidRPr="00C01CC5">
        <w:rPr>
          <w:rFonts w:ascii="Verdana" w:eastAsia="Calibri" w:hAnsi="Verdana" w:cs="Times New Roman"/>
          <w:u w:val="single"/>
          <w:lang w:val="es-ES"/>
        </w:rPr>
        <w:t>ColombiaCompraEficiente</w:t>
      </w:r>
    </w:p>
    <w:p w14:paraId="24574352" w14:textId="77777777" w:rsidR="00C01CC5" w:rsidRPr="00C01CC5" w:rsidRDefault="00C01CC5" w:rsidP="00C01CC5">
      <w:pPr>
        <w:spacing w:after="0" w:line="240" w:lineRule="auto"/>
        <w:jc w:val="both"/>
        <w:rPr>
          <w:rFonts w:ascii="Verdana" w:eastAsia="Calibri" w:hAnsi="Verdana" w:cs="Times New Roman"/>
          <w:lang w:val="es-ES_tradnl"/>
        </w:rPr>
      </w:pPr>
      <w:r w:rsidRPr="00C01CC5">
        <w:rPr>
          <w:rFonts w:ascii="Verdana" w:eastAsia="Calibri" w:hAnsi="Verdana" w:cs="Times New Roman"/>
          <w:lang w:val="es-ES_tradnl"/>
        </w:rPr>
        <w:t xml:space="preserve">LinkedIn: </w:t>
      </w:r>
      <w:r w:rsidRPr="00C01CC5">
        <w:rPr>
          <w:rFonts w:ascii="Verdana" w:eastAsia="Calibri" w:hAnsi="Verdana" w:cs="Times New Roman"/>
          <w:u w:val="single"/>
          <w:lang w:val="es-ES_tradnl"/>
        </w:rPr>
        <w:t>Agencia Nacional de Contratación Pública - Colombia Compra Eficiente</w:t>
      </w:r>
      <w:r w:rsidRPr="00C01CC5">
        <w:rPr>
          <w:rFonts w:ascii="Verdana" w:eastAsia="Calibri" w:hAnsi="Verdana" w:cs="Times New Roman"/>
          <w:lang w:val="es-ES_tradnl"/>
        </w:rPr>
        <w:t xml:space="preserve"> Instagram: </w:t>
      </w:r>
      <w:r w:rsidRPr="00C01CC5">
        <w:rPr>
          <w:rFonts w:ascii="Verdana" w:eastAsia="Calibri" w:hAnsi="Verdana" w:cs="Times New Roman"/>
          <w:u w:val="single"/>
          <w:lang w:val="es-ES_tradnl"/>
        </w:rPr>
        <w:t>@colombiacompraeficiente_cce</w:t>
      </w:r>
    </w:p>
    <w:p w14:paraId="42BE71A3" w14:textId="77777777" w:rsidR="00C01CC5" w:rsidRPr="00C01CC5" w:rsidRDefault="00C01CC5" w:rsidP="00C01CC5">
      <w:pPr>
        <w:widowControl w:val="0"/>
        <w:autoSpaceDE w:val="0"/>
        <w:autoSpaceDN w:val="0"/>
        <w:spacing w:after="0" w:line="276" w:lineRule="auto"/>
        <w:jc w:val="both"/>
        <w:rPr>
          <w:rFonts w:ascii="Verdana" w:eastAsia="Calibri" w:hAnsi="Verdana" w:cs="Arial"/>
          <w:lang w:val="es-ES_tradnl"/>
        </w:rPr>
      </w:pPr>
    </w:p>
    <w:p w14:paraId="1F1A53AE" w14:textId="77777777" w:rsidR="00C01CC5" w:rsidRPr="00C01CC5" w:rsidRDefault="00C01CC5" w:rsidP="00C01CC5">
      <w:pPr>
        <w:widowControl w:val="0"/>
        <w:autoSpaceDE w:val="0"/>
        <w:autoSpaceDN w:val="0"/>
        <w:spacing w:after="0" w:line="276" w:lineRule="auto"/>
        <w:jc w:val="both"/>
        <w:rPr>
          <w:rFonts w:ascii="Verdana" w:eastAsia="Calibri" w:hAnsi="Verdana" w:cs="Arial"/>
          <w:lang w:val="es-ES_tradnl"/>
        </w:rPr>
      </w:pPr>
      <w:r w:rsidRPr="00C01CC5">
        <w:rPr>
          <w:rFonts w:ascii="Verdana" w:eastAsia="Calibri" w:hAnsi="Verdana"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50090F67" w14:textId="77777777" w:rsidR="00C01CC5" w:rsidRPr="00C01CC5" w:rsidRDefault="00C01CC5" w:rsidP="00C01CC5">
      <w:pPr>
        <w:widowControl w:val="0"/>
        <w:autoSpaceDE w:val="0"/>
        <w:autoSpaceDN w:val="0"/>
        <w:spacing w:after="0" w:line="276" w:lineRule="auto"/>
        <w:jc w:val="both"/>
        <w:rPr>
          <w:rFonts w:ascii="Verdana" w:eastAsia="Calibri" w:hAnsi="Verdana" w:cs="Arial"/>
          <w:lang w:val="es-ES_tradnl"/>
        </w:rPr>
      </w:pPr>
    </w:p>
    <w:p w14:paraId="06A0D06B" w14:textId="77777777" w:rsidR="00C01CC5" w:rsidRPr="00C01CC5" w:rsidRDefault="00C01CC5" w:rsidP="00C01CC5">
      <w:pPr>
        <w:spacing w:after="0" w:line="240" w:lineRule="auto"/>
        <w:rPr>
          <w:rFonts w:ascii="Verdana" w:eastAsia="Calibri" w:hAnsi="Verdana" w:cs="Arial"/>
          <w:lang w:val="es-ES_tradnl" w:eastAsia="es-CO"/>
        </w:rPr>
      </w:pPr>
      <w:r w:rsidRPr="00C01CC5">
        <w:rPr>
          <w:rFonts w:ascii="Verdana" w:eastAsia="Times New Roman" w:hAnsi="Verdana" w:cs="Arial"/>
          <w:lang w:val="es-ES_tradnl" w:eastAsia="es-CO"/>
        </w:rPr>
        <w:t>Atentamente,</w:t>
      </w:r>
      <w:r w:rsidRPr="00C01CC5">
        <w:rPr>
          <w:rFonts w:ascii="Verdana" w:eastAsia="Calibri" w:hAnsi="Verdana" w:cs="Arial"/>
          <w:lang w:val="es-ES_tradnl" w:eastAsia="es-CO"/>
        </w:rPr>
        <w:t xml:space="preserve"> </w:t>
      </w:r>
    </w:p>
    <w:p w14:paraId="62683EDC" w14:textId="4974526E" w:rsidR="00C01CC5" w:rsidRPr="00C01CC5" w:rsidRDefault="00335A08" w:rsidP="00C01CC5">
      <w:pPr>
        <w:spacing w:line="276" w:lineRule="auto"/>
        <w:jc w:val="center"/>
        <w:rPr>
          <w:rFonts w:ascii="Verdana" w:eastAsia="Calibri" w:hAnsi="Verdana" w:cs="Arial"/>
          <w:lang w:val="es-ES_tradnl" w:eastAsia="es-CO"/>
        </w:rPr>
      </w:pPr>
      <w:r w:rsidRPr="002C3AD6">
        <w:rPr>
          <w:rFonts w:ascii="Century Gothic" w:hAnsi="Century Gothic"/>
          <w:noProof/>
        </w:rPr>
        <w:drawing>
          <wp:inline distT="0" distB="0" distL="0" distR="0" wp14:anchorId="1E0608EB" wp14:editId="6890E0DB">
            <wp:extent cx="3486150" cy="1294101"/>
            <wp:effectExtent l="0" t="0" r="0" b="190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4"/>
                    <a:stretch>
                      <a:fillRect/>
                    </a:stretch>
                  </pic:blipFill>
                  <pic:spPr>
                    <a:xfrm>
                      <a:off x="0" y="0"/>
                      <a:ext cx="3496489" cy="1297939"/>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C01CC5" w:rsidRPr="00C01CC5" w14:paraId="2592F43E" w14:textId="77777777" w:rsidTr="00D846F2">
        <w:trPr>
          <w:trHeight w:val="315"/>
        </w:trPr>
        <w:tc>
          <w:tcPr>
            <w:tcW w:w="893" w:type="dxa"/>
            <w:vAlign w:val="center"/>
            <w:hideMark/>
          </w:tcPr>
          <w:p w14:paraId="54405B48" w14:textId="77777777" w:rsidR="00C01CC5" w:rsidRPr="00C01CC5" w:rsidRDefault="00C01CC5" w:rsidP="00C01CC5">
            <w:pPr>
              <w:rPr>
                <w:rFonts w:ascii="Verdana" w:eastAsia="Calibri" w:hAnsi="Verdana" w:cs="Arial"/>
                <w:sz w:val="16"/>
                <w:szCs w:val="16"/>
                <w:lang w:val="es-ES_tradnl" w:eastAsia="es-ES"/>
              </w:rPr>
            </w:pPr>
            <w:r w:rsidRPr="00C01CC5">
              <w:rPr>
                <w:rFonts w:ascii="Verdana" w:eastAsia="Calibri" w:hAnsi="Verdana" w:cs="Arial"/>
                <w:sz w:val="16"/>
                <w:szCs w:val="16"/>
                <w:lang w:val="es-ES_tradnl" w:eastAsia="es-ES"/>
              </w:rPr>
              <w:t>Elaboró:</w:t>
            </w:r>
          </w:p>
        </w:tc>
        <w:tc>
          <w:tcPr>
            <w:tcW w:w="5628" w:type="dxa"/>
            <w:tcBorders>
              <w:top w:val="nil"/>
              <w:left w:val="nil"/>
              <w:bottom w:val="dotted" w:sz="4" w:space="0" w:color="7F7F7F"/>
              <w:right w:val="nil"/>
            </w:tcBorders>
            <w:vAlign w:val="center"/>
            <w:hideMark/>
          </w:tcPr>
          <w:p w14:paraId="43FABF6F" w14:textId="77777777" w:rsidR="00C01CC5" w:rsidRPr="00C01CC5" w:rsidRDefault="00C01CC5" w:rsidP="00C01CC5">
            <w:pPr>
              <w:rPr>
                <w:rFonts w:ascii="Verdana" w:eastAsia="Arial" w:hAnsi="Verdana" w:cs="Arial"/>
                <w:sz w:val="16"/>
                <w:szCs w:val="16"/>
                <w:lang w:val="es-ES"/>
              </w:rPr>
            </w:pPr>
            <w:r w:rsidRPr="00C01CC5">
              <w:rPr>
                <w:rFonts w:ascii="Verdana" w:eastAsia="Arial" w:hAnsi="Verdana" w:cs="Arial"/>
                <w:sz w:val="16"/>
                <w:szCs w:val="16"/>
                <w:lang w:val="es-ES"/>
              </w:rPr>
              <w:t>Kevin Arlid Herrera Santa</w:t>
            </w:r>
          </w:p>
          <w:p w14:paraId="058EDCD8" w14:textId="77777777" w:rsidR="00C01CC5" w:rsidRPr="00C01CC5" w:rsidRDefault="00C01CC5" w:rsidP="00C01CC5">
            <w:pPr>
              <w:rPr>
                <w:rFonts w:ascii="Verdana" w:eastAsia="Arial" w:hAnsi="Verdana" w:cs="Arial"/>
                <w:sz w:val="16"/>
                <w:szCs w:val="16"/>
                <w:lang w:val="es-ES_tradnl"/>
              </w:rPr>
            </w:pPr>
            <w:r w:rsidRPr="00C01CC5">
              <w:rPr>
                <w:rFonts w:ascii="Verdana" w:eastAsia="Arial" w:hAnsi="Verdana" w:cs="Arial"/>
                <w:sz w:val="16"/>
                <w:szCs w:val="16"/>
                <w:lang w:val="es-ES_tradnl"/>
              </w:rPr>
              <w:t>Contratista de la Subdirección de Gestión Contractual</w:t>
            </w:r>
          </w:p>
          <w:p w14:paraId="54BB03F0" w14:textId="77777777" w:rsidR="00C01CC5" w:rsidRPr="00C01CC5" w:rsidRDefault="00C01CC5" w:rsidP="00C01CC5">
            <w:pPr>
              <w:rPr>
                <w:rFonts w:ascii="Verdana" w:eastAsia="Arial" w:hAnsi="Verdana" w:cs="Arial"/>
                <w:sz w:val="16"/>
                <w:szCs w:val="16"/>
                <w:lang w:val="es-ES_tradnl"/>
              </w:rPr>
            </w:pPr>
          </w:p>
        </w:tc>
      </w:tr>
      <w:tr w:rsidR="00C01CC5" w:rsidRPr="00C01CC5" w14:paraId="4D67AE8F" w14:textId="77777777" w:rsidTr="00D846F2">
        <w:trPr>
          <w:trHeight w:val="330"/>
        </w:trPr>
        <w:tc>
          <w:tcPr>
            <w:tcW w:w="893" w:type="dxa"/>
            <w:vAlign w:val="center"/>
            <w:hideMark/>
          </w:tcPr>
          <w:p w14:paraId="11B0B123" w14:textId="77777777" w:rsidR="00C01CC5" w:rsidRPr="00C01CC5" w:rsidRDefault="00C01CC5" w:rsidP="00C01CC5">
            <w:pPr>
              <w:rPr>
                <w:rFonts w:ascii="Verdana" w:eastAsia="Calibri" w:hAnsi="Verdana" w:cs="Arial"/>
                <w:sz w:val="16"/>
                <w:szCs w:val="16"/>
                <w:lang w:val="es-ES_tradnl" w:eastAsia="es-ES"/>
              </w:rPr>
            </w:pPr>
            <w:r w:rsidRPr="00C01CC5">
              <w:rPr>
                <w:rFonts w:ascii="Verdana" w:eastAsia="Calibri" w:hAnsi="Verdana" w:cs="Arial"/>
                <w:sz w:val="16"/>
                <w:szCs w:val="16"/>
                <w:lang w:val="es-ES_tradnl" w:eastAsia="es-ES"/>
              </w:rPr>
              <w:t>Revisó:</w:t>
            </w:r>
          </w:p>
        </w:tc>
        <w:tc>
          <w:tcPr>
            <w:tcW w:w="5628" w:type="dxa"/>
            <w:tcBorders>
              <w:top w:val="dotted" w:sz="4" w:space="0" w:color="7F7F7F"/>
              <w:left w:val="nil"/>
              <w:bottom w:val="dotted" w:sz="4" w:space="0" w:color="7F7F7F"/>
              <w:right w:val="nil"/>
            </w:tcBorders>
            <w:vAlign w:val="center"/>
            <w:hideMark/>
          </w:tcPr>
          <w:p w14:paraId="4288518C" w14:textId="77777777" w:rsidR="00C01CC5" w:rsidRPr="00C01CC5" w:rsidRDefault="00C01CC5" w:rsidP="00C01CC5">
            <w:pPr>
              <w:textAlignment w:val="baseline"/>
              <w:rPr>
                <w:rFonts w:ascii="Verdana" w:eastAsia="Times New Roman" w:hAnsi="Verdana" w:cs="Segoe UI"/>
                <w:sz w:val="16"/>
                <w:szCs w:val="16"/>
                <w:lang w:val="es-ES_tradnl" w:eastAsia="es-ES_tradnl"/>
              </w:rPr>
            </w:pPr>
            <w:r w:rsidRPr="00C01CC5">
              <w:rPr>
                <w:rFonts w:ascii="Verdana" w:eastAsia="Times New Roman" w:hAnsi="Verdana" w:cs="Segoe UI"/>
                <w:sz w:val="16"/>
                <w:szCs w:val="16"/>
                <w:lang w:val="es-ES_tradnl" w:eastAsia="es-ES_tradnl"/>
              </w:rPr>
              <w:t>Juan Carlos González Vásquez</w:t>
            </w:r>
          </w:p>
          <w:p w14:paraId="02AD4CCB" w14:textId="77777777" w:rsidR="00C01CC5" w:rsidRPr="00C01CC5" w:rsidRDefault="00C01CC5" w:rsidP="00C01CC5">
            <w:pPr>
              <w:textAlignment w:val="baseline"/>
              <w:rPr>
                <w:rFonts w:ascii="Verdana" w:eastAsia="Times New Roman" w:hAnsi="Verdana" w:cs="Segoe UI"/>
                <w:sz w:val="16"/>
                <w:szCs w:val="16"/>
                <w:lang w:val="es-ES_tradnl" w:eastAsia="es-ES_tradnl"/>
              </w:rPr>
            </w:pPr>
            <w:r w:rsidRPr="00C01CC5">
              <w:rPr>
                <w:rFonts w:ascii="Verdana" w:eastAsia="Times New Roman" w:hAnsi="Verdana" w:cs="Arial"/>
                <w:sz w:val="16"/>
                <w:szCs w:val="16"/>
                <w:lang w:val="es-ES_tradnl" w:eastAsia="es-ES_tradnl"/>
              </w:rPr>
              <w:t>Contratista de la Subdirección de Gestión Contractual </w:t>
            </w:r>
          </w:p>
        </w:tc>
      </w:tr>
      <w:tr w:rsidR="00C01CC5" w:rsidRPr="00C01CC5" w14:paraId="483AE64E" w14:textId="77777777" w:rsidTr="00D846F2">
        <w:trPr>
          <w:trHeight w:val="352"/>
        </w:trPr>
        <w:tc>
          <w:tcPr>
            <w:tcW w:w="893" w:type="dxa"/>
            <w:vAlign w:val="center"/>
          </w:tcPr>
          <w:p w14:paraId="1DA0813D" w14:textId="77777777" w:rsidR="00C01CC5" w:rsidRPr="00C01CC5" w:rsidRDefault="00C01CC5" w:rsidP="00C01CC5">
            <w:pPr>
              <w:rPr>
                <w:rFonts w:ascii="Verdana" w:eastAsia="Calibri" w:hAnsi="Verdana" w:cs="Arial"/>
                <w:sz w:val="16"/>
                <w:szCs w:val="16"/>
                <w:lang w:val="es-ES_tradnl" w:eastAsia="es-ES"/>
              </w:rPr>
            </w:pPr>
            <w:r w:rsidRPr="00C01CC5">
              <w:rPr>
                <w:rFonts w:ascii="Verdana" w:eastAsia="Calibri" w:hAnsi="Verdana" w:cs="Arial"/>
                <w:sz w:val="16"/>
                <w:szCs w:val="16"/>
                <w:lang w:val="es-ES_tradnl" w:eastAsia="es-ES"/>
              </w:rPr>
              <w:t>Aprobó:</w:t>
            </w:r>
          </w:p>
        </w:tc>
        <w:tc>
          <w:tcPr>
            <w:tcW w:w="5628" w:type="dxa"/>
            <w:tcBorders>
              <w:top w:val="dotted" w:sz="4" w:space="0" w:color="7F7F7F"/>
              <w:left w:val="nil"/>
              <w:bottom w:val="dotted" w:sz="4" w:space="0" w:color="7F7F7F"/>
              <w:right w:val="nil"/>
            </w:tcBorders>
            <w:vAlign w:val="center"/>
          </w:tcPr>
          <w:p w14:paraId="318AD11C" w14:textId="77777777" w:rsidR="00C01CC5" w:rsidRPr="00C01CC5" w:rsidRDefault="00C01CC5" w:rsidP="00C01CC5">
            <w:pPr>
              <w:rPr>
                <w:rFonts w:ascii="Verdana" w:eastAsia="Calibri" w:hAnsi="Verdana" w:cs="Arial"/>
                <w:sz w:val="16"/>
                <w:szCs w:val="16"/>
                <w:lang w:val="es-ES" w:eastAsia="es-ES"/>
              </w:rPr>
            </w:pPr>
            <w:r w:rsidRPr="00C01CC5">
              <w:rPr>
                <w:rFonts w:ascii="Verdana" w:eastAsia="Calibri" w:hAnsi="Verdana" w:cs="Arial"/>
                <w:sz w:val="16"/>
                <w:szCs w:val="16"/>
                <w:lang w:val="es-ES" w:eastAsia="es-ES"/>
              </w:rPr>
              <w:t>Carolina Quintero Gacharná</w:t>
            </w:r>
          </w:p>
          <w:p w14:paraId="3584F1BE" w14:textId="77777777" w:rsidR="00C01CC5" w:rsidRPr="00C01CC5" w:rsidRDefault="00C01CC5" w:rsidP="00C01CC5">
            <w:pPr>
              <w:rPr>
                <w:rFonts w:ascii="Verdana" w:eastAsia="Calibri" w:hAnsi="Verdana" w:cs="Arial"/>
                <w:sz w:val="16"/>
                <w:szCs w:val="16"/>
                <w:lang w:val="es-ES_tradnl" w:eastAsia="es-ES"/>
              </w:rPr>
            </w:pPr>
            <w:r w:rsidRPr="00C01CC5">
              <w:rPr>
                <w:rFonts w:ascii="Verdana" w:eastAsia="Calibri" w:hAnsi="Verdana" w:cs="Arial"/>
                <w:sz w:val="16"/>
                <w:szCs w:val="16"/>
                <w:lang w:val="es-ES_tradnl" w:eastAsia="es-ES"/>
              </w:rPr>
              <w:t>Subdirectora de Gestión Contractual ANCP – CCE</w:t>
            </w:r>
          </w:p>
        </w:tc>
      </w:tr>
    </w:tbl>
    <w:p w14:paraId="16A227D6" w14:textId="77777777" w:rsidR="00C01CC5" w:rsidRPr="00C01CC5" w:rsidRDefault="00C01CC5" w:rsidP="00C01CC5">
      <w:pPr>
        <w:spacing w:line="278" w:lineRule="auto"/>
        <w:rPr>
          <w:rFonts w:ascii="Aptos" w:eastAsia="Aptos" w:hAnsi="Aptos" w:cs="Times New Roman"/>
          <w:kern w:val="2"/>
          <w:sz w:val="24"/>
          <w:szCs w:val="24"/>
          <w14:ligatures w14:val="standardContextual"/>
        </w:rPr>
      </w:pPr>
    </w:p>
    <w:p w14:paraId="3900974D" w14:textId="77777777" w:rsidR="003D5B0D" w:rsidRPr="0044528D" w:rsidRDefault="003D5B0D" w:rsidP="00C76B1C">
      <w:pPr>
        <w:spacing w:after="0" w:line="240" w:lineRule="auto"/>
        <w:textAlignment w:val="baseline"/>
        <w:rPr>
          <w:rFonts w:ascii="Verdana" w:eastAsia="Times New Roman" w:hAnsi="Verdana" w:cs="Segoe UI"/>
          <w:b/>
          <w:bCs/>
          <w:color w:val="46589C"/>
          <w:lang w:val="es-ES" w:eastAsia="es-CO"/>
        </w:rPr>
      </w:pPr>
    </w:p>
    <w:sectPr w:rsidR="003D5B0D" w:rsidRPr="0044528D"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9C264" w14:textId="77777777" w:rsidR="003D1DFA" w:rsidRDefault="003D1DFA" w:rsidP="004A1847">
      <w:pPr>
        <w:spacing w:after="0" w:line="240" w:lineRule="auto"/>
      </w:pPr>
      <w:r>
        <w:separator/>
      </w:r>
    </w:p>
  </w:endnote>
  <w:endnote w:type="continuationSeparator" w:id="0">
    <w:p w14:paraId="3290DB43" w14:textId="77777777" w:rsidR="003D1DFA" w:rsidRDefault="003D1DFA" w:rsidP="004A1847">
      <w:pPr>
        <w:spacing w:after="0" w:line="240" w:lineRule="auto"/>
      </w:pPr>
      <w:r>
        <w:continuationSeparator/>
      </w:r>
    </w:p>
  </w:endnote>
  <w:endnote w:type="continuationNotice" w:id="1">
    <w:p w14:paraId="5E6BCE23" w14:textId="77777777" w:rsidR="003D1DFA" w:rsidRDefault="003D1D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5B68E" w14:textId="77777777" w:rsidR="003D1DFA" w:rsidRDefault="003D1DFA" w:rsidP="004A1847">
      <w:pPr>
        <w:spacing w:after="0" w:line="240" w:lineRule="auto"/>
      </w:pPr>
      <w:r>
        <w:separator/>
      </w:r>
    </w:p>
  </w:footnote>
  <w:footnote w:type="continuationSeparator" w:id="0">
    <w:p w14:paraId="2BC58EDF" w14:textId="77777777" w:rsidR="003D1DFA" w:rsidRDefault="003D1DFA" w:rsidP="004A1847">
      <w:pPr>
        <w:spacing w:after="0" w:line="240" w:lineRule="auto"/>
      </w:pPr>
      <w:r>
        <w:continuationSeparator/>
      </w:r>
    </w:p>
  </w:footnote>
  <w:footnote w:type="continuationNotice" w:id="1">
    <w:p w14:paraId="7F82F758" w14:textId="77777777" w:rsidR="003D1DFA" w:rsidRDefault="003D1DFA">
      <w:pPr>
        <w:spacing w:after="0" w:line="240" w:lineRule="auto"/>
      </w:pPr>
    </w:p>
  </w:footnote>
  <w:footnote w:id="2">
    <w:p w14:paraId="249F56DC" w14:textId="77777777" w:rsidR="00C01CC5" w:rsidRPr="00590BB7" w:rsidRDefault="00C01CC5" w:rsidP="00C01CC5">
      <w:pPr>
        <w:pStyle w:val="Textonotapie"/>
        <w:ind w:firstLine="709"/>
        <w:jc w:val="both"/>
        <w:rPr>
          <w:rFonts w:ascii="Verdana" w:hAnsi="Verdana"/>
          <w:sz w:val="18"/>
          <w:szCs w:val="18"/>
        </w:rPr>
      </w:pPr>
      <w:r w:rsidRPr="00590BB7">
        <w:rPr>
          <w:rStyle w:val="Refdenotaalpie"/>
          <w:rFonts w:ascii="Verdana" w:hAnsi="Verdana"/>
          <w:sz w:val="18"/>
          <w:szCs w:val="18"/>
        </w:rPr>
        <w:footnoteRef/>
      </w:r>
      <w:r w:rsidRPr="00590BB7">
        <w:rPr>
          <w:rFonts w:ascii="Verdana" w:hAnsi="Verdana"/>
          <w:sz w:val="18"/>
          <w:szCs w:val="18"/>
        </w:rPr>
        <w:t xml:space="preserve"> Estos Documentos Tipo pueden ser consultados en la página web de Colombia Compra Eficiente, a través del siguiente enlace: </w:t>
      </w:r>
      <w:hyperlink r:id="rId1" w:history="1">
        <w:r w:rsidRPr="00590BB7">
          <w:rPr>
            <w:rStyle w:val="Hipervnculo"/>
            <w:rFonts w:ascii="Verdana" w:hAnsi="Verdana"/>
            <w:sz w:val="18"/>
            <w:szCs w:val="18"/>
          </w:rPr>
          <w:t>https://www.colombiacompra.gov.co/documentos-tipo/documentos-tipo</w:t>
        </w:r>
      </w:hyperlink>
      <w:r w:rsidRPr="00590BB7">
        <w:rPr>
          <w:rFonts w:ascii="Verdana" w:hAnsi="Verdana"/>
          <w:sz w:val="18"/>
          <w:szCs w:val="18"/>
        </w:rPr>
        <w:t xml:space="preserve"> </w:t>
      </w:r>
    </w:p>
  </w:footnote>
  <w:footnote w:id="3">
    <w:p w14:paraId="0FD3FA8F" w14:textId="77777777" w:rsidR="00C01CC5" w:rsidRPr="0047095F" w:rsidRDefault="00C01CC5" w:rsidP="00C01CC5">
      <w:pPr>
        <w:spacing w:after="0" w:line="240" w:lineRule="auto"/>
        <w:jc w:val="both"/>
        <w:rPr>
          <w:rFonts w:ascii="Verdana" w:hAnsi="Verdana" w:cs="Arial"/>
          <w:sz w:val="18"/>
          <w:szCs w:val="18"/>
        </w:rPr>
      </w:pPr>
    </w:p>
    <w:p w14:paraId="5240021C" w14:textId="77777777" w:rsidR="00C01CC5" w:rsidRPr="0047095F" w:rsidRDefault="00C01CC5" w:rsidP="00C01CC5">
      <w:pPr>
        <w:spacing w:after="0" w:line="240" w:lineRule="auto"/>
        <w:ind w:firstLine="709"/>
        <w:jc w:val="both"/>
        <w:rPr>
          <w:rFonts w:ascii="Verdana" w:hAnsi="Verdana" w:cs="Arial"/>
          <w:sz w:val="18"/>
          <w:szCs w:val="18"/>
        </w:rPr>
      </w:pPr>
      <w:r w:rsidRPr="0047095F">
        <w:rPr>
          <w:rStyle w:val="Refdenotaalpie"/>
          <w:rFonts w:ascii="Verdana" w:hAnsi="Verdana" w:cs="Arial"/>
          <w:sz w:val="18"/>
          <w:szCs w:val="18"/>
        </w:rPr>
        <w:footnoteRef/>
      </w:r>
      <w:r w:rsidRPr="0047095F">
        <w:rPr>
          <w:rFonts w:ascii="Verdana" w:hAnsi="Verdana" w:cs="Arial"/>
          <w:sz w:val="18"/>
          <w:szCs w:val="18"/>
        </w:rPr>
        <w:t xml:space="preserve"> Decreto 1082 de 2015: “Artículo </w:t>
      </w:r>
      <w:bookmarkStart w:id="1" w:name="_Hlk132977831"/>
      <w:r w:rsidRPr="0047095F">
        <w:rPr>
          <w:rFonts w:ascii="Verdana" w:hAnsi="Verdana" w:cs="Arial"/>
          <w:sz w:val="18"/>
          <w:szCs w:val="18"/>
        </w:rPr>
        <w:t>2.2.1.2.1.4.4</w:t>
      </w:r>
      <w:bookmarkEnd w:id="1"/>
      <w:r w:rsidRPr="0047095F">
        <w:rPr>
          <w:rFonts w:ascii="Verdana" w:hAnsi="Verdana" w:cs="Arial"/>
          <w:sz w:val="18"/>
          <w:szCs w:val="18"/>
        </w:rPr>
        <w:t>. Convenios o contratos interadministrativos. La modalidad de selección para la contratación entre Entidades Estatales es la contratación directa; y en consecuencia, le es aplicable lo establecido en el artículo 2.2.1.2.1.4.1 del presente decreto.</w:t>
      </w:r>
      <w:r>
        <w:rPr>
          <w:rFonts w:ascii="Verdana" w:hAnsi="Verdana" w:cs="Arial"/>
          <w:sz w:val="18"/>
          <w:szCs w:val="18"/>
        </w:rPr>
        <w:t xml:space="preserve"> </w:t>
      </w:r>
    </w:p>
    <w:p w14:paraId="7C9DD4EB" w14:textId="77777777" w:rsidR="00C01CC5" w:rsidRPr="0047095F" w:rsidRDefault="00C01CC5" w:rsidP="00C01CC5">
      <w:pPr>
        <w:spacing w:after="0" w:line="240" w:lineRule="auto"/>
        <w:ind w:firstLine="709"/>
        <w:jc w:val="both"/>
        <w:rPr>
          <w:rFonts w:ascii="Verdana" w:hAnsi="Verdana" w:cs="Arial"/>
          <w:sz w:val="18"/>
          <w:szCs w:val="18"/>
        </w:rPr>
      </w:pPr>
      <w:r w:rsidRPr="0047095F">
        <w:rPr>
          <w:rFonts w:ascii="Verdana" w:hAnsi="Verdana" w:cs="Arial"/>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47095F">
        <w:rPr>
          <w:rFonts w:ascii="Verdana" w:hAnsi="Verdana" w:cs="Arial"/>
          <w:spacing w:val="-1"/>
          <w:sz w:val="18"/>
          <w:szCs w:val="18"/>
        </w:rPr>
        <w:t xml:space="preserve"> </w:t>
      </w:r>
      <w:r w:rsidRPr="0047095F">
        <w:rPr>
          <w:rFonts w:ascii="Verdana" w:hAnsi="Verdana" w:cs="Arial"/>
          <w:sz w:val="18"/>
          <w:szCs w:val="18"/>
        </w:rPr>
        <w:t>Estatales”.</w:t>
      </w:r>
    </w:p>
  </w:footnote>
  <w:footnote w:id="4">
    <w:p w14:paraId="4DFE3906" w14:textId="77777777" w:rsidR="00C01CC5" w:rsidRPr="0047095F" w:rsidRDefault="00C01CC5" w:rsidP="00C01CC5">
      <w:pPr>
        <w:spacing w:after="0" w:line="240" w:lineRule="auto"/>
        <w:ind w:firstLine="709"/>
        <w:jc w:val="both"/>
        <w:rPr>
          <w:rFonts w:ascii="Verdana" w:hAnsi="Verdana" w:cs="Arial"/>
          <w:sz w:val="18"/>
          <w:szCs w:val="18"/>
        </w:rPr>
      </w:pPr>
      <w:r w:rsidRPr="0047095F">
        <w:rPr>
          <w:rStyle w:val="Refdenotaalpie"/>
          <w:rFonts w:ascii="Verdana" w:hAnsi="Verdana" w:cs="Arial"/>
          <w:sz w:val="18"/>
          <w:szCs w:val="18"/>
        </w:rPr>
        <w:footnoteRef/>
      </w:r>
      <w:r w:rsidRPr="0047095F">
        <w:rPr>
          <w:rFonts w:ascii="Verdana" w:hAnsi="Verdana" w:cs="Arial"/>
          <w:sz w:val="18"/>
          <w:szCs w:val="18"/>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47095F">
        <w:rPr>
          <w:rFonts w:ascii="Verdana" w:hAnsi="Verdana" w:cs="Arial"/>
          <w:spacing w:val="-6"/>
          <w:sz w:val="18"/>
          <w:szCs w:val="18"/>
        </w:rPr>
        <w:t xml:space="preserve"> </w:t>
      </w:r>
      <w:r w:rsidRPr="0047095F">
        <w:rPr>
          <w:rFonts w:ascii="Verdana" w:hAnsi="Verdana" w:cs="Arial"/>
          <w:sz w:val="18"/>
          <w:szCs w:val="18"/>
        </w:rPr>
        <w:t>artículo”.</w:t>
      </w:r>
    </w:p>
    <w:p w14:paraId="2CDE8C8C" w14:textId="77777777" w:rsidR="00C01CC5" w:rsidRPr="0047095F" w:rsidRDefault="00C01CC5" w:rsidP="00C01CC5">
      <w:pPr>
        <w:spacing w:after="0" w:line="240" w:lineRule="auto"/>
        <w:ind w:firstLine="709"/>
        <w:jc w:val="both"/>
        <w:rPr>
          <w:rFonts w:ascii="Verdana" w:hAnsi="Verdana" w:cs="Arial"/>
          <w:sz w:val="18"/>
          <w:szCs w:val="18"/>
        </w:rPr>
      </w:pPr>
    </w:p>
  </w:footnote>
  <w:footnote w:id="5">
    <w:p w14:paraId="70C2A9E1" w14:textId="77777777" w:rsidR="00C01CC5" w:rsidRPr="0047095F" w:rsidRDefault="00C01CC5" w:rsidP="00C01CC5">
      <w:pPr>
        <w:spacing w:after="0" w:line="240" w:lineRule="auto"/>
        <w:ind w:firstLine="709"/>
        <w:jc w:val="both"/>
        <w:rPr>
          <w:rFonts w:ascii="Verdana" w:hAnsi="Verdana" w:cs="Arial"/>
          <w:sz w:val="18"/>
          <w:szCs w:val="18"/>
        </w:rPr>
      </w:pPr>
      <w:r w:rsidRPr="0047095F">
        <w:rPr>
          <w:rStyle w:val="Refdenotaalpie"/>
          <w:rFonts w:ascii="Verdana" w:hAnsi="Verdana" w:cs="Arial"/>
          <w:sz w:val="18"/>
          <w:szCs w:val="18"/>
        </w:rPr>
        <w:footnoteRef/>
      </w:r>
      <w:r w:rsidRPr="0047095F">
        <w:rPr>
          <w:rFonts w:ascii="Verdana" w:hAnsi="Verdana" w:cs="Arial"/>
          <w:position w:val="7"/>
          <w:sz w:val="18"/>
          <w:szCs w:val="18"/>
        </w:rPr>
        <w:t xml:space="preserve"> </w:t>
      </w:r>
      <w:r w:rsidRPr="0047095F">
        <w:rPr>
          <w:rFonts w:ascii="Verdana" w:hAnsi="Verdana" w:cs="Arial"/>
          <w:sz w:val="18"/>
          <w:szCs w:val="18"/>
        </w:rPr>
        <w:t>Consejo de Estado. Sección Tercera. Sentencia del 23 de junio de 2010. Radicación No. 66001-23-31-000-1998-00261-01(17.860). C. P. Mauricio Fajardo Gómez.</w:t>
      </w:r>
    </w:p>
  </w:footnote>
  <w:footnote w:id="6">
    <w:p w14:paraId="76FC0077" w14:textId="77777777" w:rsidR="00C01CC5" w:rsidRPr="0047095F" w:rsidRDefault="00C01CC5" w:rsidP="00C01CC5">
      <w:pPr>
        <w:pStyle w:val="Textonotapie"/>
        <w:ind w:firstLine="708"/>
        <w:jc w:val="both"/>
        <w:rPr>
          <w:rFonts w:ascii="Verdana" w:hAnsi="Verdana" w:cs="Arial"/>
          <w:sz w:val="18"/>
          <w:szCs w:val="18"/>
        </w:rPr>
      </w:pPr>
      <w:r w:rsidRPr="0047095F">
        <w:rPr>
          <w:rStyle w:val="Refdenotaalpie"/>
          <w:rFonts w:ascii="Verdana" w:hAnsi="Verdana" w:cs="Arial"/>
          <w:sz w:val="18"/>
          <w:szCs w:val="18"/>
        </w:rPr>
        <w:footnoteRef/>
      </w:r>
      <w:r w:rsidRPr="0047095F">
        <w:rPr>
          <w:rFonts w:ascii="Verdana" w:hAnsi="Verdana" w:cs="Arial"/>
          <w:sz w:val="18"/>
          <w:szCs w:val="18"/>
        </w:rPr>
        <w:t xml:space="preserve"> CONSEJO DE ESTADO. Sala de Consulta y Servicio Civil. Concepto 26 de julio de 2016. Exp. 2.257. C.P. Álvaro Namén Vargas. Esta diferencia entre contrato y convenio está mucho más apuntalada en el derecho español de acuerdo con el artículo 47.1 de la Ley 40 de 2015, la cual regula el régimen jurídico del sector público. Por ello, la doctrina extrajera también estima que: “De la figura del “contrato” se diferencia la del “convenio”. Mientras el núcleo característico del “contrato” es el contenido económico de las obligaciones que asumen las partes que lo celebran, el “convenio” tiene por objeto el desarrollo de una actividad de una actividad de colaboración interadministrativa. El convenio tiene una función esencialmente organizatoria, o de promoción y fomento de actividades públicas y privadas; de forma indirecta el convenio puede tener efectos económicos, pero el fundamento de la celebración del convenio es la colaboración entre dos personas” (Cfr. BLANQUER CRIADO, David. Los contratos del sector público. Valencia: Tirant lo Blanch, 2013.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0"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9FE5B57"/>
    <w:multiLevelType w:val="hybridMultilevel"/>
    <w:tmpl w:val="0FE64C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2B5634A"/>
    <w:multiLevelType w:val="hybridMultilevel"/>
    <w:tmpl w:val="2A4AE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6976054"/>
    <w:multiLevelType w:val="hybridMultilevel"/>
    <w:tmpl w:val="16E0F1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0822605"/>
    <w:multiLevelType w:val="hybridMultilevel"/>
    <w:tmpl w:val="DB76E9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6" w15:restartNumberingAfterBreak="0">
    <w:nsid w:val="63CF4778"/>
    <w:multiLevelType w:val="hybridMultilevel"/>
    <w:tmpl w:val="2A904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0F3274"/>
    <w:multiLevelType w:val="hybridMultilevel"/>
    <w:tmpl w:val="0A524F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48779781">
    <w:abstractNumId w:val="8"/>
  </w:num>
  <w:num w:numId="2" w16cid:durableId="19822139">
    <w:abstractNumId w:val="2"/>
  </w:num>
  <w:num w:numId="3" w16cid:durableId="876742304">
    <w:abstractNumId w:val="5"/>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9"/>
  </w:num>
  <w:num w:numId="7" w16cid:durableId="1946422806">
    <w:abstractNumId w:val="7"/>
  </w:num>
  <w:num w:numId="8" w16cid:durableId="152644682">
    <w:abstractNumId w:val="18"/>
  </w:num>
  <w:num w:numId="9" w16cid:durableId="1317221377">
    <w:abstractNumId w:val="9"/>
  </w:num>
  <w:num w:numId="10" w16cid:durableId="1471245386">
    <w:abstractNumId w:val="17"/>
  </w:num>
  <w:num w:numId="11" w16cid:durableId="289172385">
    <w:abstractNumId w:val="10"/>
  </w:num>
  <w:num w:numId="12" w16cid:durableId="1470781324">
    <w:abstractNumId w:val="1"/>
  </w:num>
  <w:num w:numId="13" w16cid:durableId="1512908409">
    <w:abstractNumId w:val="4"/>
  </w:num>
  <w:num w:numId="14" w16cid:durableId="895897244">
    <w:abstractNumId w:val="20"/>
  </w:num>
  <w:num w:numId="15" w16cid:durableId="390349800">
    <w:abstractNumId w:val="15"/>
  </w:num>
  <w:num w:numId="16" w16cid:durableId="341274352">
    <w:abstractNumId w:val="0"/>
  </w:num>
  <w:num w:numId="17" w16cid:durableId="1492209491">
    <w:abstractNumId w:val="6"/>
  </w:num>
  <w:num w:numId="18" w16cid:durableId="679089576">
    <w:abstractNumId w:val="11"/>
  </w:num>
  <w:num w:numId="19" w16cid:durableId="1282105917">
    <w:abstractNumId w:val="3"/>
  </w:num>
  <w:num w:numId="20" w16cid:durableId="762724097">
    <w:abstractNumId w:val="13"/>
  </w:num>
  <w:num w:numId="21" w16cid:durableId="1757631431">
    <w:abstractNumId w:val="12"/>
  </w:num>
  <w:num w:numId="22" w16cid:durableId="1347054778">
    <w:abstractNumId w:val="21"/>
  </w:num>
  <w:num w:numId="23" w16cid:durableId="73473304">
    <w:abstractNumId w:val="16"/>
  </w:num>
  <w:num w:numId="24" w16cid:durableId="13817092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82362"/>
    <w:rsid w:val="000A683E"/>
    <w:rsid w:val="000B19B9"/>
    <w:rsid w:val="000C6F8D"/>
    <w:rsid w:val="000D0334"/>
    <w:rsid w:val="000F6486"/>
    <w:rsid w:val="00125105"/>
    <w:rsid w:val="00127233"/>
    <w:rsid w:val="001511A0"/>
    <w:rsid w:val="001E4177"/>
    <w:rsid w:val="001F7DC6"/>
    <w:rsid w:val="002421BB"/>
    <w:rsid w:val="002572E3"/>
    <w:rsid w:val="0025796E"/>
    <w:rsid w:val="002707A2"/>
    <w:rsid w:val="002951A0"/>
    <w:rsid w:val="002962BC"/>
    <w:rsid w:val="002A093D"/>
    <w:rsid w:val="002A0DD0"/>
    <w:rsid w:val="002A49AC"/>
    <w:rsid w:val="002A64FD"/>
    <w:rsid w:val="002C7A84"/>
    <w:rsid w:val="002E4FD9"/>
    <w:rsid w:val="003075B7"/>
    <w:rsid w:val="0031531D"/>
    <w:rsid w:val="00322A85"/>
    <w:rsid w:val="00324168"/>
    <w:rsid w:val="00335A08"/>
    <w:rsid w:val="003448F4"/>
    <w:rsid w:val="00374F5E"/>
    <w:rsid w:val="00377E3E"/>
    <w:rsid w:val="003A779E"/>
    <w:rsid w:val="003D0F4D"/>
    <w:rsid w:val="003D1DFA"/>
    <w:rsid w:val="003D5B0D"/>
    <w:rsid w:val="003E0499"/>
    <w:rsid w:val="003F3941"/>
    <w:rsid w:val="00406575"/>
    <w:rsid w:val="00414C74"/>
    <w:rsid w:val="0042722E"/>
    <w:rsid w:val="0044528D"/>
    <w:rsid w:val="004A1847"/>
    <w:rsid w:val="004A305D"/>
    <w:rsid w:val="004F21C4"/>
    <w:rsid w:val="004F685F"/>
    <w:rsid w:val="00551060"/>
    <w:rsid w:val="005566E8"/>
    <w:rsid w:val="00574867"/>
    <w:rsid w:val="00591460"/>
    <w:rsid w:val="005A3B7F"/>
    <w:rsid w:val="005B3816"/>
    <w:rsid w:val="005C3777"/>
    <w:rsid w:val="005C5CDC"/>
    <w:rsid w:val="005D476C"/>
    <w:rsid w:val="006219F8"/>
    <w:rsid w:val="00665D70"/>
    <w:rsid w:val="006900D9"/>
    <w:rsid w:val="00695D55"/>
    <w:rsid w:val="00706C16"/>
    <w:rsid w:val="00731450"/>
    <w:rsid w:val="00756841"/>
    <w:rsid w:val="007649AB"/>
    <w:rsid w:val="00771D0C"/>
    <w:rsid w:val="007833AC"/>
    <w:rsid w:val="007B268C"/>
    <w:rsid w:val="007B7171"/>
    <w:rsid w:val="007C0C0F"/>
    <w:rsid w:val="007C3DC2"/>
    <w:rsid w:val="007E5497"/>
    <w:rsid w:val="008010D4"/>
    <w:rsid w:val="00806F5F"/>
    <w:rsid w:val="0081320E"/>
    <w:rsid w:val="00820278"/>
    <w:rsid w:val="00867F95"/>
    <w:rsid w:val="008843B6"/>
    <w:rsid w:val="00891928"/>
    <w:rsid w:val="008A446D"/>
    <w:rsid w:val="008D180B"/>
    <w:rsid w:val="008F0EA7"/>
    <w:rsid w:val="00917A3A"/>
    <w:rsid w:val="00923EEF"/>
    <w:rsid w:val="009419F9"/>
    <w:rsid w:val="0095685E"/>
    <w:rsid w:val="00961B09"/>
    <w:rsid w:val="00965334"/>
    <w:rsid w:val="0097093E"/>
    <w:rsid w:val="00986AC5"/>
    <w:rsid w:val="009A0DFA"/>
    <w:rsid w:val="009B2D26"/>
    <w:rsid w:val="009C71FA"/>
    <w:rsid w:val="009C72E7"/>
    <w:rsid w:val="009D3058"/>
    <w:rsid w:val="009D476F"/>
    <w:rsid w:val="009F3A13"/>
    <w:rsid w:val="00A122D3"/>
    <w:rsid w:val="00A17F13"/>
    <w:rsid w:val="00A20739"/>
    <w:rsid w:val="00A33C78"/>
    <w:rsid w:val="00AB0ADB"/>
    <w:rsid w:val="00B00B5D"/>
    <w:rsid w:val="00B01B1A"/>
    <w:rsid w:val="00B66319"/>
    <w:rsid w:val="00B72CD3"/>
    <w:rsid w:val="00B72FFF"/>
    <w:rsid w:val="00BC3D36"/>
    <w:rsid w:val="00BD0D04"/>
    <w:rsid w:val="00BD7F72"/>
    <w:rsid w:val="00C01CC5"/>
    <w:rsid w:val="00C04FB3"/>
    <w:rsid w:val="00C330EB"/>
    <w:rsid w:val="00C41061"/>
    <w:rsid w:val="00C754BE"/>
    <w:rsid w:val="00C76B1C"/>
    <w:rsid w:val="00CB2214"/>
    <w:rsid w:val="00CB6357"/>
    <w:rsid w:val="00CC1B26"/>
    <w:rsid w:val="00D423A2"/>
    <w:rsid w:val="00D520D8"/>
    <w:rsid w:val="00D63AC2"/>
    <w:rsid w:val="00D7383B"/>
    <w:rsid w:val="00DA231B"/>
    <w:rsid w:val="00DA508A"/>
    <w:rsid w:val="00DC39FC"/>
    <w:rsid w:val="00DF5254"/>
    <w:rsid w:val="00E16408"/>
    <w:rsid w:val="00E20894"/>
    <w:rsid w:val="00E245AB"/>
    <w:rsid w:val="00E2764C"/>
    <w:rsid w:val="00E27F2E"/>
    <w:rsid w:val="00E50AFE"/>
    <w:rsid w:val="00E75C92"/>
    <w:rsid w:val="00E771DC"/>
    <w:rsid w:val="00E8772A"/>
    <w:rsid w:val="00E90F6B"/>
    <w:rsid w:val="00E92C27"/>
    <w:rsid w:val="00EA0E3D"/>
    <w:rsid w:val="00EC38A7"/>
    <w:rsid w:val="00ED7384"/>
    <w:rsid w:val="00EE1AA8"/>
    <w:rsid w:val="00F31EDC"/>
    <w:rsid w:val="00F462B3"/>
    <w:rsid w:val="00F50BE3"/>
    <w:rsid w:val="00F5664F"/>
    <w:rsid w:val="00F666C4"/>
    <w:rsid w:val="00F72130"/>
    <w:rsid w:val="00F76AFC"/>
    <w:rsid w:val="00FA47C0"/>
    <w:rsid w:val="00FB5DD1"/>
    <w:rsid w:val="00FC2B5D"/>
    <w:rsid w:val="00FF1449"/>
    <w:rsid w:val="0E06BA0B"/>
    <w:rsid w:val="24F068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C01CC5"/>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ala-de-prensa%2Fboletin-digital&amp;data=05%7C02%7Ckevin.herrera%40colombiacompra.gov.co%7C6192b0470d324981a09708dd0a6c28db%7C7b09041e245149d08cb179d5e3d8c1be%7C0%7C0%7C638678181874638648%7CUnknown%7CTWFpbGZsb3d8eyJFbXB0eU1hcGkiOnRydWUsIlYiOiIwLjAuMDAwMCIsIlAiOiJXaW4zMiIsIkFOIjoiTWFpbCIsIldUIjoyfQ%3D%3D%7C0%7C%7C%7C&amp;sdata=swWp3x23oZgriNfciidMVGpvGoRrhuO5LWmbhexCmGE%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www.colombiacompra.gov.co%2Fsites%2Fcce_public%2Ffiles%2Fcce_documents%2Fmanual_para_el_manejo_de_acuerdos_comerciales_vf.pdf&amp;data=05%7C02%7Ckevin.herrera%40colombiacompra.gov.co%7C6192b0470d324981a09708dd0a6c28db%7C7b09041e245149d08cb179d5e3d8c1be%7C0%7C0%7C638678181874517987%7CUnknown%7CTWFpbGZsb3d8eyJFbXB0eU1hcGkiOnRydWUsIlYiOiIwLjAuMDAwMCIsIlAiOiJXaW4zMiIsIkFOIjoiTWFpbCIsIldUIjoyfQ%3D%3D%7C0%7C%7C%7C&amp;sdata=aSC1cWiPtUP%2F82APpqHLo9CO0%2FIEySmFkHeYBod20v4%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documentos-tipo/documentos-tip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documentos-tipo/documentos-tip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purl.org/dc/terms/"/>
    <ds:schemaRef ds:uri="http://schemas.microsoft.com/office/2006/metadata/properties"/>
    <ds:schemaRef ds:uri="http://schemas.microsoft.com/office/2006/documentManagement/types"/>
    <ds:schemaRef ds:uri="a6cb9e4b-f1d1-4245-83ec-6cad768d538a"/>
    <ds:schemaRef ds:uri="http://schemas.openxmlformats.org/package/2006/metadata/core-properties"/>
    <ds:schemaRef ds:uri="http://purl.org/dc/dcmitype/"/>
    <ds:schemaRef ds:uri="http://schemas.microsoft.com/office/infopath/2007/PartnerControls"/>
    <ds:schemaRef ds:uri="9d85dbaf-23eb-4e57-a637-93dcacc8b1a1"/>
    <ds:schemaRef ds:uri="http://www.w3.org/XML/1998/namespace"/>
    <ds:schemaRef ds:uri="http://purl.org/dc/elements/1.1/"/>
  </ds:schemaRefs>
</ds:datastoreItem>
</file>

<file path=customXml/itemProps2.xml><?xml version="1.0" encoding="utf-8"?>
<ds:datastoreItem xmlns:ds="http://schemas.openxmlformats.org/officeDocument/2006/customXml" ds:itemID="{3CEF321B-8A3B-4188-B08D-074ECF4CC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4374</Words>
  <Characters>24060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2024-12-19T20:16:00Z</dcterms:created>
  <dcterms:modified xsi:type="dcterms:W3CDTF">2024-12-19T20:16:00Z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