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DE558" w14:textId="382CDD06" w:rsidR="0035177C" w:rsidRPr="0035177C" w:rsidRDefault="0035177C" w:rsidP="0035177C">
      <w:pPr>
        <w:spacing w:after="0" w:line="256" w:lineRule="auto"/>
        <w:jc w:val="both"/>
        <w:rPr>
          <w:rFonts w:ascii="Verdana" w:eastAsia="Calibri" w:hAnsi="Verdana" w:cs="Times New Roman"/>
        </w:rPr>
      </w:pPr>
      <w:bookmarkStart w:id="0" w:name="_Hlk143780582"/>
      <w:r w:rsidRPr="0035177C">
        <w:rPr>
          <w:rFonts w:ascii="Verdana" w:eastAsia="Calibri" w:hAnsi="Verdana" w:cs="Arial"/>
          <w:b/>
          <w:bCs/>
          <w:lang w:val="es-ES_tradnl" w:eastAsia="es-ES"/>
        </w:rPr>
        <w:t xml:space="preserve">DOCUMENTOS TIPO – Generalidades – </w:t>
      </w:r>
      <w:r w:rsidRPr="0035177C">
        <w:rPr>
          <w:rFonts w:ascii="Verdana" w:eastAsia="Aptos" w:hAnsi="Verdana" w:cs="Times New Roman"/>
          <w:b/>
          <w:bCs/>
          <w:kern w:val="2"/>
          <w:lang w:val="es-ES_tradnl" w:eastAsia="es-ES"/>
          <w14:ligatures w14:val="standardContextual"/>
        </w:rPr>
        <w:t xml:space="preserve">Obligatoriedad – Aplicación – Actividad a contratar </w:t>
      </w:r>
    </w:p>
    <w:p w14:paraId="06343903" w14:textId="77777777" w:rsidR="0035177C" w:rsidRPr="0035177C" w:rsidRDefault="0035177C" w:rsidP="0035177C">
      <w:pPr>
        <w:spacing w:after="0" w:line="276" w:lineRule="auto"/>
        <w:jc w:val="both"/>
        <w:rPr>
          <w:rFonts w:ascii="Verdana" w:eastAsia="Calibri" w:hAnsi="Verdana" w:cs="Arial"/>
          <w:b/>
          <w:bCs/>
          <w:lang w:val="es-ES_tradnl" w:eastAsia="es-ES"/>
        </w:rPr>
      </w:pPr>
    </w:p>
    <w:p w14:paraId="1C7BEBFA" w14:textId="77777777" w:rsidR="0035177C" w:rsidRPr="0035177C" w:rsidRDefault="0035177C" w:rsidP="0035177C">
      <w:pPr>
        <w:spacing w:after="0" w:line="240" w:lineRule="auto"/>
        <w:jc w:val="both"/>
        <w:rPr>
          <w:rFonts w:ascii="Verdana" w:eastAsia="Calibri" w:hAnsi="Verdana" w:cs="Arial"/>
          <w:sz w:val="20"/>
          <w:szCs w:val="20"/>
          <w:lang w:val="es-ES_tradnl"/>
        </w:rPr>
      </w:pPr>
      <w:r w:rsidRPr="0035177C">
        <w:rPr>
          <w:rFonts w:ascii="Verdana" w:eastAsia="Calibri" w:hAnsi="Verdana" w:cs="Arial"/>
          <w:sz w:val="20"/>
          <w:szCs w:val="20"/>
          <w:lang w:val="es-ES_tradnl"/>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59189F06" w14:textId="77777777" w:rsidR="0035177C" w:rsidRPr="0035177C" w:rsidRDefault="0035177C" w:rsidP="0035177C">
      <w:pPr>
        <w:spacing w:after="0" w:line="240" w:lineRule="auto"/>
        <w:jc w:val="both"/>
        <w:rPr>
          <w:rFonts w:ascii="Verdana" w:eastAsia="Calibri" w:hAnsi="Verdana" w:cs="Arial"/>
          <w:sz w:val="20"/>
          <w:szCs w:val="20"/>
          <w:lang w:val="es-ES_tradnl"/>
        </w:rPr>
      </w:pPr>
    </w:p>
    <w:p w14:paraId="209994C7" w14:textId="77777777" w:rsidR="0035177C" w:rsidRDefault="0035177C" w:rsidP="0035177C">
      <w:pPr>
        <w:spacing w:after="0" w:line="240" w:lineRule="auto"/>
        <w:jc w:val="both"/>
        <w:rPr>
          <w:rFonts w:ascii="Verdana" w:eastAsia="Calibri" w:hAnsi="Verdana" w:cs="Arial"/>
          <w:sz w:val="20"/>
          <w:szCs w:val="20"/>
          <w:lang w:val="es-ES_tradnl"/>
        </w:rPr>
      </w:pPr>
      <w:r w:rsidRPr="0035177C">
        <w:rPr>
          <w:rFonts w:ascii="Verdana" w:eastAsia="Calibri" w:hAnsi="Verdana" w:cs="Arial"/>
          <w:sz w:val="20"/>
          <w:szCs w:val="20"/>
          <w:lang w:val="es-ES_tradnl"/>
        </w:rPr>
        <w:t>Para establecer si determinado objeto contractual se encuentra cobijado o no por los Documentos Tipo, es necesario determinar si el mismo se enmarca en los tipos de infraestructura, modalidades de selección y tipos de obra estandarizadas en las respectivas matrices de experiencia. De esta manera, solo resulta obligatoria la aplicación de un documento tipo en particular cuando se ha establecido que el objeto contractual y la modalidad en la que debe contratarse están dentro del ámbito de aplicación de las resoluciones expedidas para los sectores de infraestructura de transporte, agua potable-saneamiento básico y social.</w:t>
      </w:r>
    </w:p>
    <w:p w14:paraId="1FA57BC3" w14:textId="77777777" w:rsidR="008B143A" w:rsidRDefault="008B143A" w:rsidP="0035177C">
      <w:pPr>
        <w:spacing w:after="0" w:line="240" w:lineRule="auto"/>
        <w:jc w:val="both"/>
        <w:rPr>
          <w:rFonts w:ascii="Verdana" w:eastAsia="Calibri" w:hAnsi="Verdana" w:cs="Arial"/>
          <w:sz w:val="20"/>
          <w:szCs w:val="20"/>
          <w:lang w:val="es-ES_tradnl"/>
        </w:rPr>
      </w:pPr>
    </w:p>
    <w:p w14:paraId="7DBB0641" w14:textId="77777777" w:rsidR="008B143A" w:rsidRPr="008B143A" w:rsidRDefault="008B143A" w:rsidP="008B143A">
      <w:pPr>
        <w:spacing w:after="0" w:line="240" w:lineRule="auto"/>
        <w:jc w:val="both"/>
        <w:rPr>
          <w:rFonts w:ascii="Verdana" w:eastAsia="Calibri" w:hAnsi="Verdana" w:cs="Arial"/>
          <w:b/>
          <w:bCs/>
        </w:rPr>
      </w:pPr>
      <w:r w:rsidRPr="008B143A">
        <w:rPr>
          <w:rFonts w:ascii="Verdana" w:eastAsia="Calibri" w:hAnsi="Verdana" w:cs="Arial"/>
          <w:b/>
          <w:bCs/>
        </w:rPr>
        <w:t>PRINCIPIO DE TRANSPARENCIA – Documentos del proceso – Observaciones</w:t>
      </w:r>
    </w:p>
    <w:p w14:paraId="0AEBF69C" w14:textId="77777777" w:rsidR="008B143A" w:rsidRPr="008B143A" w:rsidRDefault="008B143A" w:rsidP="008B143A">
      <w:pPr>
        <w:spacing w:after="0" w:line="240" w:lineRule="auto"/>
        <w:jc w:val="both"/>
        <w:rPr>
          <w:rFonts w:ascii="Verdana" w:eastAsia="Calibri" w:hAnsi="Verdana" w:cs="Arial"/>
          <w:sz w:val="20"/>
          <w:szCs w:val="20"/>
        </w:rPr>
      </w:pPr>
    </w:p>
    <w:p w14:paraId="7DDE6FA9" w14:textId="1960700D" w:rsidR="008B143A" w:rsidRDefault="008B143A" w:rsidP="008B143A">
      <w:pPr>
        <w:spacing w:after="0" w:line="240" w:lineRule="auto"/>
        <w:jc w:val="both"/>
        <w:rPr>
          <w:rFonts w:ascii="Verdana" w:eastAsia="Calibri" w:hAnsi="Verdana" w:cs="Arial"/>
          <w:sz w:val="20"/>
          <w:szCs w:val="20"/>
        </w:rPr>
      </w:pPr>
      <w:r w:rsidRPr="008B143A">
        <w:rPr>
          <w:rFonts w:ascii="Verdana" w:eastAsia="Calibri" w:hAnsi="Verdana" w:cs="Arial"/>
          <w:sz w:val="20"/>
          <w:szCs w:val="20"/>
        </w:rPr>
        <w:t>El artículo 23 de la Ley 80 de 1993 regula los principios aplicables a las actuaciones contractuales adelantadas por las entidades estatales. Entre otros, allí se estableció el principio de transparencia de la actividad contractual, objeto de regulación expresa en el artículo 24 ibidem. Este principio guarda estrecha relación con el de publicidad, que rige el ejercicio de la función administrativa. Por ello, el numeral 2º dispone la facultad de los interesados para realizar y/o presentar observaciones, como un mecanismo para controvertir algunas de las decisiones adoptadas por las entidades estatales.</w:t>
      </w:r>
    </w:p>
    <w:p w14:paraId="3792D24B" w14:textId="77777777" w:rsidR="003454F5" w:rsidRDefault="003454F5" w:rsidP="008B143A">
      <w:pPr>
        <w:spacing w:after="0" w:line="240" w:lineRule="auto"/>
        <w:jc w:val="both"/>
        <w:rPr>
          <w:rFonts w:ascii="Verdana" w:eastAsia="Calibri" w:hAnsi="Verdana" w:cs="Arial"/>
          <w:sz w:val="20"/>
          <w:szCs w:val="20"/>
        </w:rPr>
      </w:pPr>
    </w:p>
    <w:p w14:paraId="67E37C40" w14:textId="77777777" w:rsidR="003454F5" w:rsidRPr="003454F5" w:rsidRDefault="003454F5" w:rsidP="003454F5">
      <w:pPr>
        <w:spacing w:after="0" w:line="240" w:lineRule="auto"/>
        <w:jc w:val="both"/>
        <w:rPr>
          <w:rFonts w:ascii="Verdana" w:eastAsia="Calibri" w:hAnsi="Verdana" w:cs="Arial"/>
          <w:b/>
          <w:bCs/>
          <w:lang w:val="es-MX"/>
        </w:rPr>
      </w:pPr>
      <w:r w:rsidRPr="003454F5">
        <w:rPr>
          <w:rFonts w:ascii="Verdana" w:eastAsia="Calibri" w:hAnsi="Verdana" w:cs="Arial"/>
          <w:b/>
          <w:bCs/>
          <w:lang w:val="es-MX"/>
        </w:rPr>
        <w:t>OBSERVACIONES – Manifestación del derecho de petición – Derecho a pedir – Derecho a lo pedido – Distinción</w:t>
      </w:r>
    </w:p>
    <w:p w14:paraId="1D2296DE" w14:textId="77777777" w:rsidR="003454F5" w:rsidRPr="003454F5" w:rsidRDefault="003454F5" w:rsidP="003454F5">
      <w:pPr>
        <w:spacing w:after="0" w:line="240" w:lineRule="auto"/>
        <w:jc w:val="both"/>
        <w:rPr>
          <w:rFonts w:ascii="Verdana" w:eastAsia="Calibri" w:hAnsi="Verdana" w:cs="Arial"/>
          <w:sz w:val="20"/>
          <w:szCs w:val="20"/>
          <w:lang w:val="es-MX"/>
        </w:rPr>
      </w:pPr>
    </w:p>
    <w:p w14:paraId="5302808A" w14:textId="77777777" w:rsidR="003454F5" w:rsidRPr="003454F5" w:rsidRDefault="003454F5" w:rsidP="003454F5">
      <w:pPr>
        <w:spacing w:after="0" w:line="240" w:lineRule="auto"/>
        <w:jc w:val="both"/>
        <w:rPr>
          <w:rFonts w:ascii="Verdana" w:eastAsia="Calibri" w:hAnsi="Verdana" w:cs="Arial"/>
          <w:sz w:val="20"/>
          <w:szCs w:val="20"/>
          <w:lang w:val="es-MX"/>
        </w:rPr>
      </w:pPr>
      <w:r w:rsidRPr="003454F5">
        <w:rPr>
          <w:rFonts w:ascii="Verdana" w:eastAsia="Calibri" w:hAnsi="Verdana" w:cs="Arial"/>
          <w:sz w:val="20"/>
          <w:szCs w:val="20"/>
          <w:lang w:val="es-MX"/>
        </w:rPr>
        <w:t xml:space="preserve">La entidad no está obligada a aceptar las observaciones formuladas oportunamente. Para estos efectos, conforme al inciso segundo del artículo 13 de la Ley 1437 de 2011, “Toda actuación que inicie cualquier persona ante las autoridades implica el ejercicio del derecho de petición […] sin que sea necesario invocarlo. Mediante él, entre otras actuaciones, se podrá solicitar: el reconocimiento de un derecho, la intervención de una entidad o funcionario, la resolución de una situación jurídica, la prestación de un servicio, requerir información, consultar, examinar y requerir copias de documentos, formular consultas, quejas, denuncias y reclamos e interponer recursos”. </w:t>
      </w:r>
    </w:p>
    <w:p w14:paraId="220A0953" w14:textId="77777777" w:rsidR="003454F5" w:rsidRPr="003454F5" w:rsidRDefault="003454F5" w:rsidP="003454F5">
      <w:pPr>
        <w:spacing w:after="0" w:line="240" w:lineRule="auto"/>
        <w:jc w:val="both"/>
        <w:rPr>
          <w:rFonts w:ascii="Verdana" w:eastAsia="Calibri" w:hAnsi="Verdana" w:cs="Arial"/>
          <w:sz w:val="20"/>
          <w:szCs w:val="20"/>
          <w:lang w:val="es-MX"/>
        </w:rPr>
      </w:pPr>
      <w:r w:rsidRPr="003454F5">
        <w:rPr>
          <w:rFonts w:ascii="Verdana" w:eastAsia="Calibri" w:hAnsi="Verdana" w:cs="Arial"/>
          <w:sz w:val="20"/>
          <w:szCs w:val="20"/>
          <w:lang w:val="es-MX"/>
        </w:rPr>
        <w:t xml:space="preserve"> </w:t>
      </w:r>
    </w:p>
    <w:p w14:paraId="76146ACC" w14:textId="77777777" w:rsidR="003454F5" w:rsidRPr="003454F5" w:rsidRDefault="003454F5" w:rsidP="003454F5">
      <w:pPr>
        <w:spacing w:after="0" w:line="240" w:lineRule="auto"/>
        <w:jc w:val="both"/>
        <w:rPr>
          <w:rFonts w:ascii="Verdana" w:eastAsia="Calibri" w:hAnsi="Verdana" w:cs="Arial"/>
          <w:sz w:val="20"/>
          <w:szCs w:val="20"/>
          <w:lang w:val="es-MX"/>
        </w:rPr>
      </w:pPr>
      <w:r w:rsidRPr="003454F5">
        <w:rPr>
          <w:rFonts w:ascii="Verdana" w:eastAsia="Calibri" w:hAnsi="Verdana" w:cs="Arial"/>
          <w:sz w:val="20"/>
          <w:szCs w:val="20"/>
          <w:lang w:val="es-MX"/>
        </w:rPr>
        <w:t xml:space="preserve">Dado que las observaciones son una manifestación de la garantía prevista en el artículo 23 superior en el ámbito contractual, es necesario distinguir entre el “derecho a pedir” y el “derecho a lo pedido”. Como explica la Corte Constitucional, “[…] es claro que el solicitante no tiene, en modo alguno, derecho a esperar que la autoridad resuelva su </w:t>
      </w:r>
      <w:r w:rsidRPr="003454F5">
        <w:rPr>
          <w:rFonts w:ascii="Verdana" w:eastAsia="Calibri" w:hAnsi="Verdana" w:cs="Arial"/>
          <w:sz w:val="20"/>
          <w:szCs w:val="20"/>
          <w:lang w:val="es-MX"/>
        </w:rPr>
        <w:lastRenderedPageBreak/>
        <w:t xml:space="preserve">pedido de manera favorable, concediendo lo que él busca, al punto de poder afirmar que se vulnera el derecho de petición si quien lo resuelve no accede, sin objeción, a […] lo pedido. La garantía de este derecho consiste en que la autoridad deberá necesariamente estudiar la solicitud que ha recibido, pronunciarse de fondo sobre ella en un tiempo prudencial, y asegurarse de poner la respuesta en conocimiento del peticionario, de tal modo que éste no tenga que esperar de manera indefinida […]” (Énfasis fuera de texto).  </w:t>
      </w:r>
    </w:p>
    <w:p w14:paraId="0852166A" w14:textId="77777777" w:rsidR="003454F5" w:rsidRPr="003454F5" w:rsidRDefault="003454F5" w:rsidP="003454F5">
      <w:pPr>
        <w:spacing w:after="0" w:line="240" w:lineRule="auto"/>
        <w:jc w:val="both"/>
        <w:rPr>
          <w:rFonts w:ascii="Verdana" w:eastAsia="Calibri" w:hAnsi="Verdana" w:cs="Arial"/>
          <w:sz w:val="20"/>
          <w:szCs w:val="20"/>
          <w:lang w:val="es-MX"/>
        </w:rPr>
      </w:pPr>
    </w:p>
    <w:p w14:paraId="3C62F0F7" w14:textId="50328F30" w:rsidR="003454F5" w:rsidRPr="0035177C" w:rsidRDefault="003454F5" w:rsidP="003454F5">
      <w:pPr>
        <w:spacing w:after="0" w:line="240" w:lineRule="auto"/>
        <w:jc w:val="both"/>
        <w:rPr>
          <w:rFonts w:ascii="Verdana" w:eastAsia="Calibri" w:hAnsi="Verdana" w:cs="Arial"/>
          <w:sz w:val="20"/>
          <w:szCs w:val="20"/>
          <w:lang w:val="es-MX"/>
        </w:rPr>
      </w:pPr>
      <w:r w:rsidRPr="003454F5">
        <w:rPr>
          <w:rFonts w:ascii="Verdana" w:eastAsia="Calibri" w:hAnsi="Verdana" w:cs="Arial"/>
          <w:sz w:val="20"/>
          <w:szCs w:val="20"/>
          <w:lang w:val="es-MX"/>
        </w:rPr>
        <w:t>En consecuencia, así los factores de evaluación se observen durante la publicación del proyecto de pliego o después de la expedición del acto de apertura, únicamente subsiste la posibilidad de los interesados en realizarlas y el deber a cargo de la entidad contratante de resolverlas. Sin embargo, estas pueden rechazase de manera motivada, pues “[…] el ámbito de protección constitucional de la petición se circunscribe al derecho a la solicitud y a tener una contestación para la misma, en ningún caso implica otorgar la materia de la solicitud como tal”.</w:t>
      </w:r>
    </w:p>
    <w:p w14:paraId="7A3C181A" w14:textId="77777777" w:rsidR="0035177C" w:rsidRPr="0035177C" w:rsidRDefault="0035177C" w:rsidP="00E245AB">
      <w:pPr>
        <w:spacing w:after="0"/>
        <w:rPr>
          <w:rFonts w:ascii="Verdana" w:hAnsi="Verdana"/>
          <w:lang w:val="es-ES"/>
        </w:rPr>
      </w:pPr>
    </w:p>
    <w:p w14:paraId="31DD1EA1" w14:textId="77777777" w:rsidR="0035177C" w:rsidRDefault="0035177C" w:rsidP="00E245AB">
      <w:pPr>
        <w:spacing w:after="0"/>
        <w:rPr>
          <w:rFonts w:ascii="Verdana" w:hAnsi="Verdana"/>
        </w:rPr>
      </w:pPr>
    </w:p>
    <w:p w14:paraId="3902AF3F" w14:textId="77777777" w:rsidR="0035177C" w:rsidRDefault="0035177C" w:rsidP="00E245AB">
      <w:pPr>
        <w:spacing w:after="0"/>
        <w:rPr>
          <w:rFonts w:ascii="Verdana" w:hAnsi="Verdana"/>
        </w:rPr>
      </w:pPr>
    </w:p>
    <w:p w14:paraId="7A919C67" w14:textId="77777777" w:rsidR="00035FFD" w:rsidRDefault="00035FFD" w:rsidP="00E245AB">
      <w:pPr>
        <w:spacing w:after="0"/>
        <w:rPr>
          <w:rFonts w:ascii="Verdana" w:hAnsi="Verdana"/>
        </w:rPr>
      </w:pPr>
    </w:p>
    <w:p w14:paraId="49FD1C57" w14:textId="77777777" w:rsidR="00035FFD" w:rsidRDefault="00035FFD" w:rsidP="00E245AB">
      <w:pPr>
        <w:spacing w:after="0"/>
        <w:rPr>
          <w:rFonts w:ascii="Verdana" w:hAnsi="Verdana"/>
        </w:rPr>
      </w:pPr>
    </w:p>
    <w:p w14:paraId="2616E925" w14:textId="77777777" w:rsidR="00035FFD" w:rsidRDefault="00035FFD" w:rsidP="00E245AB">
      <w:pPr>
        <w:spacing w:after="0"/>
        <w:rPr>
          <w:rFonts w:ascii="Verdana" w:hAnsi="Verdana"/>
        </w:rPr>
      </w:pPr>
    </w:p>
    <w:p w14:paraId="544AA363" w14:textId="77777777" w:rsidR="00035FFD" w:rsidRDefault="00035FFD" w:rsidP="00E245AB">
      <w:pPr>
        <w:spacing w:after="0"/>
        <w:rPr>
          <w:rFonts w:ascii="Verdana" w:hAnsi="Verdana"/>
        </w:rPr>
      </w:pPr>
    </w:p>
    <w:p w14:paraId="79A33649" w14:textId="77777777" w:rsidR="00035FFD" w:rsidRDefault="00035FFD" w:rsidP="00E245AB">
      <w:pPr>
        <w:spacing w:after="0"/>
        <w:rPr>
          <w:rFonts w:ascii="Verdana" w:hAnsi="Verdana"/>
        </w:rPr>
      </w:pPr>
    </w:p>
    <w:p w14:paraId="48141CAF" w14:textId="77777777" w:rsidR="00035FFD" w:rsidRDefault="00035FFD" w:rsidP="00E245AB">
      <w:pPr>
        <w:spacing w:after="0"/>
        <w:rPr>
          <w:rFonts w:ascii="Verdana" w:hAnsi="Verdana"/>
        </w:rPr>
      </w:pPr>
    </w:p>
    <w:p w14:paraId="1A12319F" w14:textId="77777777" w:rsidR="00035FFD" w:rsidRDefault="00035FFD" w:rsidP="00E245AB">
      <w:pPr>
        <w:spacing w:after="0"/>
        <w:rPr>
          <w:rFonts w:ascii="Verdana" w:hAnsi="Verdana"/>
        </w:rPr>
      </w:pPr>
    </w:p>
    <w:p w14:paraId="5AF9C163" w14:textId="77777777" w:rsidR="00035FFD" w:rsidRDefault="00035FFD" w:rsidP="00E245AB">
      <w:pPr>
        <w:spacing w:after="0"/>
        <w:rPr>
          <w:rFonts w:ascii="Verdana" w:hAnsi="Verdana"/>
        </w:rPr>
      </w:pPr>
    </w:p>
    <w:p w14:paraId="64BABF1D" w14:textId="77777777" w:rsidR="00035FFD" w:rsidRDefault="00035FFD" w:rsidP="00E245AB">
      <w:pPr>
        <w:spacing w:after="0"/>
        <w:rPr>
          <w:rFonts w:ascii="Verdana" w:hAnsi="Verdana"/>
        </w:rPr>
      </w:pPr>
    </w:p>
    <w:p w14:paraId="760A22CB" w14:textId="77777777" w:rsidR="00035FFD" w:rsidRDefault="00035FFD" w:rsidP="00E245AB">
      <w:pPr>
        <w:spacing w:after="0"/>
        <w:rPr>
          <w:rFonts w:ascii="Verdana" w:hAnsi="Verdana"/>
        </w:rPr>
      </w:pPr>
    </w:p>
    <w:p w14:paraId="6F8973D2" w14:textId="77777777" w:rsidR="00035FFD" w:rsidRDefault="00035FFD" w:rsidP="00E245AB">
      <w:pPr>
        <w:spacing w:after="0"/>
        <w:rPr>
          <w:rFonts w:ascii="Verdana" w:hAnsi="Verdana"/>
        </w:rPr>
      </w:pPr>
    </w:p>
    <w:p w14:paraId="6A743E5A" w14:textId="77777777" w:rsidR="00035FFD" w:rsidRDefault="00035FFD" w:rsidP="00E245AB">
      <w:pPr>
        <w:spacing w:after="0"/>
        <w:rPr>
          <w:rFonts w:ascii="Verdana" w:hAnsi="Verdana"/>
        </w:rPr>
      </w:pPr>
    </w:p>
    <w:p w14:paraId="06F9D481" w14:textId="77777777" w:rsidR="00035FFD" w:rsidRDefault="00035FFD" w:rsidP="00E245AB">
      <w:pPr>
        <w:spacing w:after="0"/>
        <w:rPr>
          <w:rFonts w:ascii="Verdana" w:hAnsi="Verdana"/>
        </w:rPr>
      </w:pPr>
    </w:p>
    <w:p w14:paraId="4E1C9CD6" w14:textId="77777777" w:rsidR="00035FFD" w:rsidRDefault="00035FFD" w:rsidP="00E245AB">
      <w:pPr>
        <w:spacing w:after="0"/>
        <w:rPr>
          <w:rFonts w:ascii="Verdana" w:hAnsi="Verdana"/>
        </w:rPr>
      </w:pPr>
    </w:p>
    <w:p w14:paraId="0076F896" w14:textId="77777777" w:rsidR="00035FFD" w:rsidRDefault="00035FFD" w:rsidP="00E245AB">
      <w:pPr>
        <w:spacing w:after="0"/>
        <w:rPr>
          <w:rFonts w:ascii="Verdana" w:hAnsi="Verdana"/>
        </w:rPr>
      </w:pPr>
    </w:p>
    <w:p w14:paraId="67BE0892" w14:textId="77777777" w:rsidR="00035FFD" w:rsidRDefault="00035FFD" w:rsidP="00E245AB">
      <w:pPr>
        <w:spacing w:after="0"/>
        <w:rPr>
          <w:rFonts w:ascii="Verdana" w:hAnsi="Verdana"/>
        </w:rPr>
      </w:pPr>
    </w:p>
    <w:p w14:paraId="58BD89CD" w14:textId="77777777" w:rsidR="00035FFD" w:rsidRDefault="00035FFD" w:rsidP="00E245AB">
      <w:pPr>
        <w:spacing w:after="0"/>
        <w:rPr>
          <w:rFonts w:ascii="Verdana" w:hAnsi="Verdana"/>
        </w:rPr>
      </w:pPr>
    </w:p>
    <w:p w14:paraId="47B04887" w14:textId="77777777" w:rsidR="00035FFD" w:rsidRDefault="00035FFD" w:rsidP="00E245AB">
      <w:pPr>
        <w:spacing w:after="0"/>
        <w:rPr>
          <w:rFonts w:ascii="Verdana" w:hAnsi="Verdana"/>
        </w:rPr>
      </w:pPr>
    </w:p>
    <w:p w14:paraId="07A9E588" w14:textId="77777777" w:rsidR="00035FFD" w:rsidRDefault="00035FFD" w:rsidP="00E245AB">
      <w:pPr>
        <w:spacing w:after="0"/>
        <w:rPr>
          <w:rFonts w:ascii="Verdana" w:hAnsi="Verdana"/>
        </w:rPr>
      </w:pPr>
    </w:p>
    <w:p w14:paraId="2F91DEE4" w14:textId="77777777" w:rsidR="00035FFD" w:rsidRDefault="00035FFD" w:rsidP="00E245AB">
      <w:pPr>
        <w:spacing w:after="0"/>
        <w:rPr>
          <w:rFonts w:ascii="Verdana" w:hAnsi="Verdana"/>
        </w:rPr>
      </w:pPr>
    </w:p>
    <w:p w14:paraId="215A3E24" w14:textId="77777777" w:rsidR="00035FFD" w:rsidRDefault="00035FFD" w:rsidP="00E245AB">
      <w:pPr>
        <w:spacing w:after="0"/>
        <w:rPr>
          <w:rFonts w:ascii="Verdana" w:hAnsi="Verdana"/>
        </w:rPr>
      </w:pPr>
    </w:p>
    <w:p w14:paraId="353E18B8" w14:textId="77777777" w:rsidR="00035FFD" w:rsidRDefault="00035FFD" w:rsidP="00E245AB">
      <w:pPr>
        <w:spacing w:after="0"/>
        <w:rPr>
          <w:rFonts w:ascii="Verdana" w:hAnsi="Verdana"/>
        </w:rPr>
      </w:pPr>
    </w:p>
    <w:p w14:paraId="0634A0CD" w14:textId="77777777" w:rsidR="00035FFD" w:rsidRDefault="00035FFD" w:rsidP="00E245AB">
      <w:pPr>
        <w:spacing w:after="0"/>
        <w:rPr>
          <w:rFonts w:ascii="Verdana" w:hAnsi="Verdana"/>
        </w:rPr>
      </w:pPr>
    </w:p>
    <w:p w14:paraId="06E2E897" w14:textId="77777777" w:rsidR="00035FFD" w:rsidRDefault="00035FFD" w:rsidP="00E245AB">
      <w:pPr>
        <w:spacing w:after="0"/>
        <w:rPr>
          <w:rFonts w:ascii="Verdana" w:hAnsi="Verdana"/>
        </w:rPr>
      </w:pPr>
    </w:p>
    <w:p w14:paraId="39504C24" w14:textId="77777777" w:rsidR="00035FFD" w:rsidRDefault="00035FFD" w:rsidP="00E245AB">
      <w:pPr>
        <w:spacing w:after="0"/>
        <w:rPr>
          <w:rFonts w:ascii="Verdana" w:hAnsi="Verdana"/>
        </w:rPr>
      </w:pPr>
    </w:p>
    <w:p w14:paraId="5FCADBF9" w14:textId="0AECC9B4" w:rsidR="00E245AB" w:rsidRPr="00887DEF" w:rsidRDefault="00E245AB" w:rsidP="00E245AB">
      <w:pPr>
        <w:spacing w:after="0"/>
        <w:rPr>
          <w:rFonts w:ascii="Verdana" w:hAnsi="Verdana"/>
        </w:rPr>
      </w:pPr>
      <w:r w:rsidRPr="00887DEF">
        <w:rPr>
          <w:rFonts w:ascii="Verdana" w:hAnsi="Verdana"/>
        </w:rPr>
        <w:lastRenderedPageBreak/>
        <w:t xml:space="preserve">Bogotá D.C., </w:t>
      </w:r>
      <w:r w:rsidR="00E829FF">
        <w:rPr>
          <w:rFonts w:ascii="Verdana" w:hAnsi="Verdana"/>
        </w:rPr>
        <w:t>13 de diciembre del 2024</w:t>
      </w:r>
    </w:p>
    <w:p w14:paraId="28F63546" w14:textId="3B81E54B" w:rsidR="00694C5C" w:rsidRPr="00887DEF" w:rsidRDefault="00E829FF" w:rsidP="00E829FF">
      <w:pPr>
        <w:spacing w:after="0"/>
        <w:jc w:val="right"/>
        <w:rPr>
          <w:rFonts w:ascii="Verdana" w:hAnsi="Verdana"/>
        </w:rPr>
      </w:pPr>
      <w:r w:rsidRPr="00E829FF">
        <w:rPr>
          <w:rFonts w:ascii="Verdana" w:hAnsi="Verdana"/>
        </w:rPr>
        <w:drawing>
          <wp:inline distT="0" distB="0" distL="0" distR="0" wp14:anchorId="01464A0A" wp14:editId="0093024E">
            <wp:extent cx="3371850" cy="1047750"/>
            <wp:effectExtent l="0" t="0" r="0" b="0"/>
            <wp:docPr id="6063830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383009" name=""/>
                    <pic:cNvPicPr/>
                  </pic:nvPicPr>
                  <pic:blipFill>
                    <a:blip r:embed="rId10"/>
                    <a:stretch>
                      <a:fillRect/>
                    </a:stretch>
                  </pic:blipFill>
                  <pic:spPr>
                    <a:xfrm>
                      <a:off x="0" y="0"/>
                      <a:ext cx="3371850" cy="1047750"/>
                    </a:xfrm>
                    <a:prstGeom prst="rect">
                      <a:avLst/>
                    </a:prstGeom>
                  </pic:spPr>
                </pic:pic>
              </a:graphicData>
            </a:graphic>
          </wp:inline>
        </w:drawing>
      </w:r>
    </w:p>
    <w:p w14:paraId="5F7BAFF0" w14:textId="77777777" w:rsidR="005323F2" w:rsidRPr="00887DEF" w:rsidRDefault="005323F2" w:rsidP="005323F2">
      <w:pPr>
        <w:spacing w:after="0" w:line="240" w:lineRule="auto"/>
        <w:jc w:val="both"/>
        <w:rPr>
          <w:rFonts w:ascii="Verdana" w:eastAsia="Calibri" w:hAnsi="Verdana" w:cs="Arial"/>
          <w:lang w:val="es-ES" w:eastAsia="es-ES"/>
        </w:rPr>
      </w:pPr>
      <w:r w:rsidRPr="00887DEF">
        <w:rPr>
          <w:rFonts w:ascii="Verdana" w:eastAsia="Calibri" w:hAnsi="Verdana" w:cs="Arial"/>
          <w:lang w:val="es-ES" w:eastAsia="es-ES"/>
        </w:rPr>
        <w:t>Señor:</w:t>
      </w:r>
    </w:p>
    <w:p w14:paraId="271969F3" w14:textId="1EBBD052" w:rsidR="005323F2" w:rsidRPr="00887DEF" w:rsidRDefault="00A058C9" w:rsidP="005323F2">
      <w:pPr>
        <w:spacing w:after="0" w:line="240" w:lineRule="auto"/>
        <w:rPr>
          <w:rFonts w:ascii="Verdana" w:eastAsia="Calibri" w:hAnsi="Verdana" w:cs="Arial"/>
          <w:b/>
          <w:lang w:val="es-ES" w:eastAsia="es-ES"/>
        </w:rPr>
      </w:pPr>
      <w:r w:rsidRPr="00887DEF">
        <w:rPr>
          <w:rFonts w:ascii="Verdana" w:eastAsia="Calibri" w:hAnsi="Verdana" w:cs="Arial"/>
          <w:b/>
          <w:lang w:val="es-ES" w:eastAsia="es-ES"/>
        </w:rPr>
        <w:t>Pedro Alejandro Ariza Rubiano</w:t>
      </w:r>
    </w:p>
    <w:p w14:paraId="2961C9AC" w14:textId="47D39B2F" w:rsidR="00A058C9" w:rsidRPr="00887DEF" w:rsidRDefault="00A058C9" w:rsidP="005323F2">
      <w:pPr>
        <w:spacing w:after="0" w:line="240" w:lineRule="auto"/>
        <w:rPr>
          <w:rFonts w:ascii="Verdana" w:hAnsi="Verdana"/>
        </w:rPr>
      </w:pPr>
      <w:hyperlink r:id="rId11" w:history="1">
        <w:r w:rsidRPr="00887DEF">
          <w:rPr>
            <w:rStyle w:val="Hipervnculo"/>
            <w:rFonts w:ascii="Verdana" w:hAnsi="Verdana"/>
          </w:rPr>
          <w:t>pedaleja@hotmail.com</w:t>
        </w:r>
      </w:hyperlink>
    </w:p>
    <w:p w14:paraId="1390EEBC" w14:textId="74E4BE0C" w:rsidR="005323F2" w:rsidRPr="00887DEF" w:rsidRDefault="00E25DCF" w:rsidP="005323F2">
      <w:pPr>
        <w:spacing w:after="0" w:line="240" w:lineRule="auto"/>
        <w:rPr>
          <w:rFonts w:ascii="Verdana" w:hAnsi="Verdana"/>
        </w:rPr>
      </w:pPr>
      <w:r w:rsidRPr="00887DEF">
        <w:rPr>
          <w:rFonts w:ascii="Verdana" w:eastAsia="Calibri" w:hAnsi="Verdana" w:cs="Arial"/>
          <w:bCs/>
          <w:lang w:val="es-ES" w:eastAsia="es-ES"/>
        </w:rPr>
        <w:t>Bucaramanga</w:t>
      </w:r>
      <w:r w:rsidR="005323F2" w:rsidRPr="00887DEF">
        <w:rPr>
          <w:rFonts w:ascii="Verdana" w:eastAsia="Calibri" w:hAnsi="Verdana" w:cs="Arial"/>
          <w:bCs/>
          <w:lang w:val="es-ES" w:eastAsia="es-ES"/>
        </w:rPr>
        <w:t xml:space="preserve">, </w:t>
      </w:r>
      <w:r w:rsidRPr="00887DEF">
        <w:rPr>
          <w:rFonts w:ascii="Verdana" w:eastAsia="Calibri" w:hAnsi="Verdana" w:cs="Arial"/>
          <w:bCs/>
          <w:lang w:val="es-ES" w:eastAsia="es-ES"/>
        </w:rPr>
        <w:t>Santander</w:t>
      </w:r>
    </w:p>
    <w:p w14:paraId="3A2367C2" w14:textId="77777777" w:rsidR="005323F2" w:rsidRPr="00887DEF" w:rsidRDefault="005323F2" w:rsidP="005323F2">
      <w:pPr>
        <w:spacing w:after="0" w:line="240" w:lineRule="auto"/>
        <w:rPr>
          <w:rFonts w:ascii="Verdana" w:eastAsia="Calibri" w:hAnsi="Verdana" w:cs="Arial"/>
          <w:b/>
          <w:bCs/>
          <w:lang w:val="es-ES_tradnl" w:eastAsia="es-ES_tradnl"/>
        </w:rPr>
      </w:pPr>
    </w:p>
    <w:p w14:paraId="0C8D889E" w14:textId="77777777" w:rsidR="00694C5C" w:rsidRPr="00887DEF" w:rsidRDefault="00694C5C" w:rsidP="005323F2">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5323F2" w:rsidRPr="00887DEF" w14:paraId="03C8E8C0" w14:textId="77777777" w:rsidTr="000A25A2">
        <w:trPr>
          <w:trHeight w:val="747"/>
        </w:trPr>
        <w:tc>
          <w:tcPr>
            <w:tcW w:w="2689" w:type="dxa"/>
          </w:tcPr>
          <w:p w14:paraId="259DC935" w14:textId="77777777" w:rsidR="005323F2" w:rsidRPr="00887DEF" w:rsidRDefault="005323F2" w:rsidP="000A25A2">
            <w:pPr>
              <w:jc w:val="both"/>
              <w:rPr>
                <w:rFonts w:ascii="Verdana" w:eastAsia="Calibri" w:hAnsi="Verdana" w:cs="Arial"/>
                <w:b/>
                <w:bCs/>
                <w:lang w:val="es-ES_tradnl" w:eastAsia="es-ES_tradnl"/>
              </w:rPr>
            </w:pPr>
          </w:p>
        </w:tc>
        <w:tc>
          <w:tcPr>
            <w:tcW w:w="6100" w:type="dxa"/>
          </w:tcPr>
          <w:p w14:paraId="313CC7C7" w14:textId="2B01C54C" w:rsidR="005323F2" w:rsidRPr="00887DEF" w:rsidRDefault="005323F2" w:rsidP="000A25A2">
            <w:pPr>
              <w:jc w:val="both"/>
              <w:rPr>
                <w:rFonts w:ascii="Verdana" w:eastAsia="Calibri" w:hAnsi="Verdana" w:cs="Arial"/>
                <w:b/>
                <w:bCs/>
                <w:lang w:val="es-ES" w:eastAsia="es-ES"/>
              </w:rPr>
            </w:pPr>
            <w:r w:rsidRPr="00887DEF">
              <w:rPr>
                <w:rFonts w:ascii="Verdana" w:eastAsia="Calibri" w:hAnsi="Verdana" w:cs="Arial"/>
                <w:b/>
                <w:bCs/>
                <w:lang w:val="es-ES" w:eastAsia="es-ES"/>
              </w:rPr>
              <w:t xml:space="preserve">Concepto </w:t>
            </w:r>
            <w:r w:rsidRPr="00887DEF">
              <w:rPr>
                <w:rFonts w:ascii="Verdana" w:eastAsia="Calibri" w:hAnsi="Verdana" w:cs="Arial"/>
                <w:b/>
                <w:bCs/>
                <w:lang w:eastAsia="es-ES"/>
              </w:rPr>
              <w:t>C-</w:t>
            </w:r>
            <w:r w:rsidRPr="00887DEF">
              <w:rPr>
                <w:rFonts w:ascii="Verdana" w:hAnsi="Verdana"/>
              </w:rPr>
              <w:t xml:space="preserve"> </w:t>
            </w:r>
            <w:r w:rsidR="006B2E68" w:rsidRPr="00887DEF">
              <w:rPr>
                <w:rFonts w:ascii="Verdana" w:eastAsia="Calibri" w:hAnsi="Verdana" w:cs="Arial"/>
                <w:b/>
                <w:bCs/>
                <w:lang w:eastAsia="es-ES"/>
              </w:rPr>
              <w:t xml:space="preserve">874 </w:t>
            </w:r>
            <w:r w:rsidRPr="00887DEF">
              <w:rPr>
                <w:rFonts w:ascii="Verdana" w:eastAsia="Calibri" w:hAnsi="Verdana" w:cs="Arial"/>
                <w:b/>
                <w:bCs/>
                <w:lang w:val="es-ES" w:eastAsia="es-ES"/>
              </w:rPr>
              <w:t>de 2024</w:t>
            </w:r>
          </w:p>
        </w:tc>
      </w:tr>
      <w:tr w:rsidR="005323F2" w:rsidRPr="00887DEF" w14:paraId="39F67855" w14:textId="77777777" w:rsidTr="0041751C">
        <w:trPr>
          <w:trHeight w:val="884"/>
        </w:trPr>
        <w:tc>
          <w:tcPr>
            <w:tcW w:w="2689" w:type="dxa"/>
            <w:shd w:val="clear" w:color="auto" w:fill="auto"/>
          </w:tcPr>
          <w:p w14:paraId="4D95BDDA" w14:textId="77777777" w:rsidR="005323F2" w:rsidRPr="00887DEF" w:rsidRDefault="005323F2" w:rsidP="000A25A2">
            <w:pPr>
              <w:jc w:val="both"/>
              <w:rPr>
                <w:rFonts w:ascii="Verdana" w:eastAsia="Calibri" w:hAnsi="Verdana" w:cs="Arial"/>
                <w:b/>
                <w:lang w:val="es-ES_tradnl" w:eastAsia="es-ES_tradnl"/>
              </w:rPr>
            </w:pPr>
            <w:r w:rsidRPr="00887DEF">
              <w:rPr>
                <w:rFonts w:ascii="Verdana" w:eastAsia="Calibri" w:hAnsi="Verdana" w:cs="Arial"/>
                <w:b/>
                <w:lang w:val="es-ES_tradnl" w:eastAsia="es-ES_tradnl"/>
              </w:rPr>
              <w:t xml:space="preserve">Temas:                   </w:t>
            </w:r>
          </w:p>
        </w:tc>
        <w:tc>
          <w:tcPr>
            <w:tcW w:w="6100" w:type="dxa"/>
            <w:shd w:val="clear" w:color="auto" w:fill="auto"/>
          </w:tcPr>
          <w:p w14:paraId="4EB8BB83" w14:textId="771CDEB1" w:rsidR="0041751C" w:rsidRPr="00887DEF" w:rsidRDefault="005323F2" w:rsidP="000A25A2">
            <w:pPr>
              <w:spacing w:line="276" w:lineRule="auto"/>
              <w:jc w:val="both"/>
              <w:rPr>
                <w:rFonts w:ascii="Verdana" w:eastAsia="Century Gothic" w:hAnsi="Verdana" w:cs="Century Gothic"/>
                <w:bCs/>
              </w:rPr>
            </w:pPr>
            <w:r w:rsidRPr="00887DEF">
              <w:rPr>
                <w:rFonts w:ascii="Verdana" w:eastAsia="Century Gothic" w:hAnsi="Verdana" w:cs="Century Gothic"/>
                <w:bCs/>
              </w:rPr>
              <w:t xml:space="preserve">DOCUMENTOS TIPO – Generalidades – Obligatoriedad – Aplicación – Actividad a contratar </w:t>
            </w:r>
            <w:r w:rsidR="003B5E3F" w:rsidRPr="00887DEF">
              <w:rPr>
                <w:rFonts w:ascii="Verdana" w:eastAsia="Century Gothic" w:hAnsi="Verdana" w:cs="Century Gothic"/>
                <w:bCs/>
              </w:rPr>
              <w:t xml:space="preserve">/ </w:t>
            </w:r>
            <w:r w:rsidR="007D72BC" w:rsidRPr="00887DEF">
              <w:rPr>
                <w:rFonts w:ascii="Verdana" w:eastAsia="Calibri" w:hAnsi="Verdana" w:cs="Arial"/>
                <w:bCs/>
                <w:color w:val="000000" w:themeColor="text1"/>
              </w:rPr>
              <w:t xml:space="preserve">PRINCIPIO DE TRANSPARENCIA – Documentos del proceso – Observaciones </w:t>
            </w:r>
            <w:r w:rsidR="00756DEB" w:rsidRPr="00887DEF">
              <w:rPr>
                <w:rFonts w:ascii="Verdana" w:eastAsia="Century Gothic" w:hAnsi="Verdana" w:cs="Century Gothic"/>
                <w:bCs/>
              </w:rPr>
              <w:t xml:space="preserve">/ </w:t>
            </w:r>
            <w:r w:rsidR="00B812B8" w:rsidRPr="00887DEF">
              <w:rPr>
                <w:rFonts w:ascii="Verdana" w:eastAsia="Century Gothic" w:hAnsi="Verdana" w:cs="Century Gothic"/>
                <w:bCs/>
              </w:rPr>
              <w:t>OBSERVACIONES – Manifestación del derecho de petición – Derecho a pedir – Derecho a lo pedido – Distinción</w:t>
            </w:r>
            <w:r w:rsidR="00F07E09" w:rsidRPr="00887DEF">
              <w:rPr>
                <w:rFonts w:ascii="Verdana" w:eastAsia="Century Gothic" w:hAnsi="Verdana" w:cs="Century Gothic"/>
                <w:bCs/>
              </w:rPr>
              <w:t>.</w:t>
            </w:r>
          </w:p>
          <w:p w14:paraId="04A14591" w14:textId="3A65FCEC" w:rsidR="0041751C" w:rsidRPr="00887DEF" w:rsidRDefault="0041751C" w:rsidP="000A25A2">
            <w:pPr>
              <w:spacing w:line="276" w:lineRule="auto"/>
              <w:jc w:val="both"/>
              <w:rPr>
                <w:rFonts w:ascii="Verdana" w:eastAsia="Century Gothic" w:hAnsi="Verdana" w:cs="Century Gothic"/>
                <w:bCs/>
              </w:rPr>
            </w:pPr>
          </w:p>
        </w:tc>
      </w:tr>
      <w:tr w:rsidR="005323F2" w:rsidRPr="00887DEF" w14:paraId="0058ACEA" w14:textId="77777777" w:rsidTr="006E76E7">
        <w:trPr>
          <w:trHeight w:val="388"/>
        </w:trPr>
        <w:tc>
          <w:tcPr>
            <w:tcW w:w="2689" w:type="dxa"/>
            <w:shd w:val="clear" w:color="auto" w:fill="auto"/>
          </w:tcPr>
          <w:p w14:paraId="3F73389C" w14:textId="77777777" w:rsidR="005323F2" w:rsidRPr="00887DEF" w:rsidRDefault="005323F2" w:rsidP="000A25A2">
            <w:pPr>
              <w:jc w:val="both"/>
              <w:rPr>
                <w:rFonts w:ascii="Verdana" w:eastAsia="Calibri" w:hAnsi="Verdana" w:cs="Arial"/>
                <w:b/>
                <w:lang w:val="es-ES_tradnl" w:eastAsia="es-ES_tradnl"/>
              </w:rPr>
            </w:pPr>
            <w:r w:rsidRPr="00887DEF">
              <w:rPr>
                <w:rFonts w:ascii="Verdana" w:eastAsia="Calibri" w:hAnsi="Verdana" w:cs="Arial"/>
                <w:b/>
                <w:lang w:val="es-ES_tradnl" w:eastAsia="es-ES_tradnl"/>
              </w:rPr>
              <w:t>Radicación:</w:t>
            </w:r>
            <w:r w:rsidRPr="00887DEF">
              <w:rPr>
                <w:rFonts w:ascii="Verdana" w:eastAsia="Calibri" w:hAnsi="Verdana" w:cs="Arial"/>
                <w:lang w:val="es-ES_tradnl" w:eastAsia="es-ES_tradnl"/>
              </w:rPr>
              <w:t xml:space="preserve">               </w:t>
            </w:r>
          </w:p>
        </w:tc>
        <w:tc>
          <w:tcPr>
            <w:tcW w:w="6100" w:type="dxa"/>
            <w:shd w:val="clear" w:color="auto" w:fill="auto"/>
          </w:tcPr>
          <w:p w14:paraId="424F8972" w14:textId="6B2DB6CD" w:rsidR="005323F2" w:rsidRPr="00887DEF" w:rsidRDefault="005323F2" w:rsidP="000A25A2">
            <w:pPr>
              <w:jc w:val="both"/>
              <w:rPr>
                <w:rFonts w:ascii="Verdana" w:eastAsia="Calibri" w:hAnsi="Verdana" w:cs="Arial"/>
                <w:lang w:eastAsia="es-ES_tradnl"/>
              </w:rPr>
            </w:pPr>
            <w:r w:rsidRPr="00887DEF">
              <w:rPr>
                <w:rFonts w:ascii="Verdana" w:eastAsia="Calibri" w:hAnsi="Verdana" w:cs="Arial"/>
                <w:lang w:val="es-ES_tradnl" w:eastAsia="es-ES_tradnl"/>
              </w:rPr>
              <w:t xml:space="preserve">Respuesta a consulta con radicado No. </w:t>
            </w:r>
            <w:r w:rsidR="006E76E7" w:rsidRPr="00887DEF">
              <w:rPr>
                <w:rFonts w:ascii="Verdana" w:eastAsia="Calibri" w:hAnsi="Verdana" w:cs="Arial"/>
                <w:lang w:eastAsia="es-ES_tradnl"/>
              </w:rPr>
              <w:t>P20241118011537</w:t>
            </w:r>
            <w:r w:rsidRPr="00887DEF">
              <w:rPr>
                <w:rFonts w:ascii="Verdana" w:eastAsia="Calibri" w:hAnsi="Verdana" w:cs="Arial"/>
                <w:lang w:eastAsia="es-ES_tradnl"/>
              </w:rPr>
              <w:t>.</w:t>
            </w:r>
          </w:p>
        </w:tc>
      </w:tr>
    </w:tbl>
    <w:p w14:paraId="64EE3FF5" w14:textId="77777777" w:rsidR="005323F2" w:rsidRPr="00887DEF" w:rsidRDefault="005323F2" w:rsidP="005323F2">
      <w:pPr>
        <w:spacing w:after="0" w:line="240" w:lineRule="auto"/>
        <w:jc w:val="both"/>
        <w:rPr>
          <w:rFonts w:ascii="Verdana" w:eastAsia="Calibri" w:hAnsi="Verdana" w:cs="Arial"/>
          <w:lang w:val="es-ES_tradnl" w:eastAsia="es-ES_tradnl"/>
        </w:rPr>
      </w:pPr>
    </w:p>
    <w:p w14:paraId="231887A1" w14:textId="77777777" w:rsidR="005323F2" w:rsidRPr="00887DEF" w:rsidRDefault="005323F2" w:rsidP="005323F2">
      <w:pPr>
        <w:spacing w:after="0" w:line="240" w:lineRule="auto"/>
        <w:jc w:val="both"/>
        <w:rPr>
          <w:rFonts w:ascii="Verdana" w:eastAsia="Calibri" w:hAnsi="Verdana" w:cs="Arial"/>
          <w:lang w:val="es-ES_tradnl" w:eastAsia="es-ES_tradnl"/>
        </w:rPr>
      </w:pPr>
    </w:p>
    <w:p w14:paraId="7F17E362" w14:textId="5F7EEAF4" w:rsidR="005323F2" w:rsidRPr="00887DEF" w:rsidRDefault="005323F2" w:rsidP="005323F2">
      <w:pPr>
        <w:spacing w:after="0" w:line="276" w:lineRule="auto"/>
        <w:jc w:val="both"/>
        <w:rPr>
          <w:rFonts w:ascii="Verdana" w:eastAsia="Calibri" w:hAnsi="Verdana" w:cs="Arial"/>
          <w:lang w:val="es-ES" w:eastAsia="es-ES"/>
        </w:rPr>
      </w:pPr>
      <w:r w:rsidRPr="00887DEF">
        <w:rPr>
          <w:rFonts w:ascii="Verdana" w:eastAsia="Calibri" w:hAnsi="Verdana" w:cs="Arial"/>
          <w:lang w:val="es-ES" w:eastAsia="es-ES"/>
        </w:rPr>
        <w:t xml:space="preserve">Estimado señor </w:t>
      </w:r>
      <w:r w:rsidR="00D42D28" w:rsidRPr="00887DEF">
        <w:rPr>
          <w:rFonts w:ascii="Verdana" w:eastAsia="Calibri" w:hAnsi="Verdana" w:cs="Arial"/>
          <w:lang w:val="es-ES" w:eastAsia="es-ES"/>
        </w:rPr>
        <w:t>Ariza</w:t>
      </w:r>
      <w:r w:rsidRPr="00887DEF">
        <w:rPr>
          <w:rFonts w:ascii="Verdana" w:eastAsia="Calibri" w:hAnsi="Verdana" w:cs="Arial"/>
          <w:lang w:val="es-ES" w:eastAsia="es-ES"/>
        </w:rPr>
        <w:t>;</w:t>
      </w:r>
    </w:p>
    <w:p w14:paraId="527B13C5" w14:textId="77777777" w:rsidR="005323F2" w:rsidRPr="00887DEF" w:rsidRDefault="005323F2" w:rsidP="005323F2">
      <w:pPr>
        <w:tabs>
          <w:tab w:val="left" w:pos="3768"/>
        </w:tabs>
        <w:spacing w:after="0" w:line="276" w:lineRule="auto"/>
        <w:jc w:val="both"/>
        <w:rPr>
          <w:rFonts w:ascii="Verdana" w:eastAsia="Calibri" w:hAnsi="Verdana" w:cs="Arial"/>
          <w:lang w:val="es-ES" w:eastAsia="es-ES"/>
        </w:rPr>
      </w:pPr>
    </w:p>
    <w:p w14:paraId="56B25F6E" w14:textId="4C98471F" w:rsidR="005323F2" w:rsidRPr="00887DEF" w:rsidRDefault="005323F2" w:rsidP="005323F2">
      <w:pPr>
        <w:spacing w:after="0" w:line="276" w:lineRule="auto"/>
        <w:jc w:val="both"/>
        <w:rPr>
          <w:rFonts w:ascii="Verdana" w:eastAsia="Calibri" w:hAnsi="Verdana" w:cs="Arial"/>
          <w:lang w:val="es-ES" w:eastAsia="es-ES"/>
        </w:rPr>
      </w:pPr>
      <w:r w:rsidRPr="00887DEF">
        <w:rPr>
          <w:rFonts w:ascii="Verdana" w:eastAsia="Calibri" w:hAnsi="Verdana" w:cs="Arial"/>
          <w:lang w:val="es-ES" w:eastAsia="es-ES"/>
        </w:rPr>
        <w:t>En ejercicio de la competencia otorgada por los artículos 3, numeral 5º, y 11, numeral 8º, del Decreto Ley 4170 de 2011,</w:t>
      </w:r>
      <w:r w:rsidRPr="00887DEF">
        <w:rPr>
          <w:rFonts w:ascii="Verdana" w:eastAsia="Arial MT" w:hAnsi="Verdana" w:cs="Arial MT"/>
          <w:lang w:val="es-ES" w:eastAsia="es-ES"/>
        </w:rPr>
        <w:t xml:space="preserve"> </w:t>
      </w:r>
      <w:r w:rsidRPr="00887DEF">
        <w:rPr>
          <w:rFonts w:ascii="Verdana" w:hAnsi="Verdana" w:cs="Arial"/>
        </w:rPr>
        <w:t xml:space="preserve">así como lo establecido en el artículo 4 de la Resolución 1707 de 2018 expedida por esta Entidad, </w:t>
      </w:r>
      <w:r w:rsidRPr="00887DEF">
        <w:rPr>
          <w:rFonts w:ascii="Verdana" w:eastAsia="Calibri" w:hAnsi="Verdana" w:cs="Arial"/>
          <w:lang w:val="es-ES" w:eastAsia="es-ES"/>
        </w:rPr>
        <w:t xml:space="preserve">la Agencia Nacional de Contratación Pública – Colombia Compra Eficiente– responde su solicitud de consulta de fecha </w:t>
      </w:r>
      <w:r w:rsidR="00C82396" w:rsidRPr="00887DEF">
        <w:rPr>
          <w:rFonts w:ascii="Verdana" w:eastAsia="Calibri" w:hAnsi="Verdana" w:cs="Arial"/>
          <w:lang w:val="es-ES" w:eastAsia="es-ES"/>
        </w:rPr>
        <w:t>18 de noviembre del 2024</w:t>
      </w:r>
      <w:r w:rsidRPr="00887DEF">
        <w:rPr>
          <w:rFonts w:ascii="Verdana" w:eastAsia="Calibri" w:hAnsi="Verdana" w:cs="Arial"/>
          <w:lang w:val="es-ES" w:eastAsia="es-ES"/>
        </w:rPr>
        <w:t xml:space="preserve">, en la cual manifiesta lo siguiente: </w:t>
      </w:r>
    </w:p>
    <w:p w14:paraId="1403EA43" w14:textId="77777777" w:rsidR="005323F2" w:rsidRPr="00887DEF" w:rsidRDefault="005323F2" w:rsidP="005323F2">
      <w:pPr>
        <w:spacing w:after="0"/>
        <w:jc w:val="both"/>
        <w:rPr>
          <w:rFonts w:ascii="Verdana" w:hAnsi="Verdana"/>
          <w:lang w:val="es-ES"/>
        </w:rPr>
      </w:pPr>
    </w:p>
    <w:p w14:paraId="753EC402" w14:textId="6C5B1937" w:rsidR="005323F2" w:rsidRPr="00887DEF" w:rsidRDefault="005323F2" w:rsidP="00544B39">
      <w:pPr>
        <w:spacing w:after="0" w:line="240" w:lineRule="auto"/>
        <w:ind w:left="709" w:right="709"/>
        <w:jc w:val="both"/>
        <w:rPr>
          <w:rFonts w:ascii="Verdana" w:eastAsia="Century Gothic" w:hAnsi="Verdana" w:cs="Century Gothic"/>
          <w:sz w:val="20"/>
          <w:szCs w:val="20"/>
          <w:lang w:val="es-ES"/>
        </w:rPr>
      </w:pPr>
      <w:r w:rsidRPr="00887DEF">
        <w:rPr>
          <w:rFonts w:ascii="Verdana" w:eastAsia="Century Gothic" w:hAnsi="Verdana" w:cs="Century Gothic"/>
          <w:sz w:val="20"/>
          <w:szCs w:val="20"/>
          <w:lang w:val="es-ES"/>
        </w:rPr>
        <w:t xml:space="preserve">“[…] </w:t>
      </w:r>
      <w:r w:rsidR="001F4E45" w:rsidRPr="00887DEF">
        <w:rPr>
          <w:rFonts w:ascii="Verdana" w:eastAsia="Century Gothic" w:hAnsi="Verdana" w:cs="Century Gothic"/>
          <w:sz w:val="20"/>
          <w:szCs w:val="20"/>
          <w:lang w:val="es-ES"/>
        </w:rPr>
        <w:t xml:space="preserve">Si en un proceso de contratación adelantado por SECOP II que es de pliego tipo (social, transporte, </w:t>
      </w:r>
      <w:r w:rsidR="008E24DC" w:rsidRPr="00887DEF">
        <w:rPr>
          <w:rFonts w:ascii="Verdana" w:eastAsia="Century Gothic" w:hAnsi="Verdana" w:cs="Century Gothic"/>
          <w:sz w:val="20"/>
          <w:szCs w:val="20"/>
          <w:lang w:val="es-ES"/>
        </w:rPr>
        <w:t>etc.</w:t>
      </w:r>
      <w:r w:rsidR="001F4E45" w:rsidRPr="00887DEF">
        <w:rPr>
          <w:rFonts w:ascii="Verdana" w:eastAsia="Century Gothic" w:hAnsi="Verdana" w:cs="Century Gothic"/>
          <w:sz w:val="20"/>
          <w:szCs w:val="20"/>
          <w:lang w:val="es-ES"/>
        </w:rPr>
        <w:t xml:space="preserve">), que en su pliego base establece que las observaciones solo serán recibidas exclusivamente por SECOP II salvo que exista indisponibilidad; pero </w:t>
      </w:r>
      <w:r w:rsidR="00C60709" w:rsidRPr="00887DEF">
        <w:rPr>
          <w:rFonts w:ascii="Verdana" w:eastAsia="Century Gothic" w:hAnsi="Verdana" w:cs="Century Gothic"/>
          <w:sz w:val="20"/>
          <w:szCs w:val="20"/>
          <w:lang w:val="es-ES"/>
        </w:rPr>
        <w:t>en un evento donde no haya indisponibilidad, se re</w:t>
      </w:r>
      <w:r w:rsidR="00AC569C" w:rsidRPr="00887DEF">
        <w:rPr>
          <w:rFonts w:ascii="Verdana" w:eastAsia="Century Gothic" w:hAnsi="Verdana" w:cs="Century Gothic"/>
          <w:sz w:val="20"/>
          <w:szCs w:val="20"/>
          <w:lang w:val="es-ES"/>
        </w:rPr>
        <w:t xml:space="preserve">ciben observaciones apliego definitivo o a informe de evaluación por correo electrónico: estas observaciones son válidas y </w:t>
      </w:r>
      <w:r w:rsidR="00AC569C" w:rsidRPr="00887DEF">
        <w:rPr>
          <w:rFonts w:ascii="Verdana" w:eastAsia="Century Gothic" w:hAnsi="Verdana" w:cs="Century Gothic"/>
          <w:sz w:val="20"/>
          <w:szCs w:val="20"/>
          <w:lang w:val="es-ES"/>
        </w:rPr>
        <w:lastRenderedPageBreak/>
        <w:t>deben tramitarse a pasar que se ignoró la utilización de SECOP II?</w:t>
      </w:r>
      <w:r w:rsidR="008E24DC" w:rsidRPr="00887DEF">
        <w:rPr>
          <w:rFonts w:ascii="Verdana" w:eastAsia="Century Gothic" w:hAnsi="Verdana" w:cs="Century Gothic"/>
          <w:sz w:val="20"/>
          <w:szCs w:val="20"/>
          <w:lang w:val="es-ES"/>
        </w:rPr>
        <w:t xml:space="preserve"> ¿Es obligatorio analizarlas o solo debe contestarse que no es el canal idóneo para recibirlas? </w:t>
      </w:r>
      <w:r w:rsidRPr="00887DEF">
        <w:rPr>
          <w:rFonts w:ascii="Verdana" w:eastAsia="Century Gothic" w:hAnsi="Verdana" w:cs="Century Gothic"/>
          <w:sz w:val="20"/>
          <w:szCs w:val="20"/>
          <w:lang w:val="es-ES"/>
        </w:rPr>
        <w:t>[…]”</w:t>
      </w:r>
    </w:p>
    <w:p w14:paraId="03F27F5C" w14:textId="77777777" w:rsidR="005323F2" w:rsidRPr="00887DEF" w:rsidRDefault="005323F2" w:rsidP="005323F2">
      <w:pPr>
        <w:spacing w:after="0"/>
        <w:jc w:val="both"/>
        <w:rPr>
          <w:rFonts w:ascii="Verdana" w:hAnsi="Verdana"/>
          <w:lang w:val="es-ES"/>
        </w:rPr>
      </w:pPr>
    </w:p>
    <w:p w14:paraId="090C9F01" w14:textId="77777777" w:rsidR="005323F2" w:rsidRPr="00887DEF" w:rsidRDefault="005323F2" w:rsidP="005323F2">
      <w:pPr>
        <w:spacing w:after="120" w:line="276" w:lineRule="auto"/>
        <w:ind w:firstLine="709"/>
        <w:jc w:val="both"/>
        <w:rPr>
          <w:rFonts w:ascii="Verdana" w:eastAsia="Calibri" w:hAnsi="Verdana" w:cs="Arial"/>
          <w:color w:val="000000"/>
          <w:lang w:val="es-ES_tradnl" w:eastAsia="es-ES_tradnl"/>
        </w:rPr>
      </w:pPr>
      <w:r w:rsidRPr="00887DEF">
        <w:rPr>
          <w:rFonts w:ascii="Verdana" w:eastAsia="Calibri" w:hAnsi="Verdana" w:cs="Arial"/>
          <w:color w:val="000000"/>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443C8DC7" w14:textId="77777777" w:rsidR="005323F2" w:rsidRPr="00887DEF" w:rsidRDefault="005323F2" w:rsidP="005323F2">
      <w:pPr>
        <w:spacing w:after="0" w:line="276" w:lineRule="auto"/>
        <w:ind w:firstLine="709"/>
        <w:jc w:val="both"/>
        <w:rPr>
          <w:rFonts w:ascii="Verdana" w:eastAsia="Calibri" w:hAnsi="Verdana" w:cs="Arial"/>
          <w:color w:val="000000"/>
          <w:lang w:val="es-ES" w:eastAsia="es-ES"/>
        </w:rPr>
      </w:pPr>
      <w:r w:rsidRPr="00887DEF">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6217EFC5" w14:textId="77777777" w:rsidR="005323F2" w:rsidRPr="00887DEF" w:rsidRDefault="005323F2" w:rsidP="005323F2">
      <w:pPr>
        <w:spacing w:after="0"/>
        <w:jc w:val="both"/>
        <w:rPr>
          <w:rFonts w:ascii="Verdana" w:hAnsi="Verdana"/>
          <w:highlight w:val="cyan"/>
          <w:lang w:val="es-ES"/>
        </w:rPr>
      </w:pPr>
    </w:p>
    <w:p w14:paraId="4B5648A9" w14:textId="77777777" w:rsidR="005323F2" w:rsidRPr="00887DEF" w:rsidRDefault="005323F2" w:rsidP="005323F2">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887DEF">
        <w:rPr>
          <w:rFonts w:ascii="Verdana" w:eastAsia="Century Gothic" w:hAnsi="Verdana" w:cs="Century Gothic"/>
          <w:b/>
          <w:bCs/>
        </w:rPr>
        <w:t>Problema planteado:</w:t>
      </w:r>
    </w:p>
    <w:p w14:paraId="114031B5" w14:textId="77777777" w:rsidR="002707A2" w:rsidRPr="00887DEF" w:rsidRDefault="002707A2" w:rsidP="00E245AB">
      <w:pPr>
        <w:spacing w:after="0"/>
        <w:jc w:val="both"/>
        <w:rPr>
          <w:rStyle w:val="Hipervnculo"/>
          <w:rFonts w:ascii="Verdana" w:hAnsi="Verdana"/>
        </w:rPr>
      </w:pPr>
    </w:p>
    <w:p w14:paraId="4F12C8F0" w14:textId="51EAB612" w:rsidR="00260704" w:rsidRPr="00887DEF" w:rsidRDefault="00260704" w:rsidP="00260704">
      <w:pPr>
        <w:spacing w:after="0" w:line="276" w:lineRule="auto"/>
        <w:jc w:val="both"/>
        <w:rPr>
          <w:rFonts w:ascii="Verdana" w:eastAsia="Century Gothic" w:hAnsi="Verdana" w:cs="Arial"/>
        </w:rPr>
      </w:pPr>
      <w:r w:rsidRPr="00887DEF">
        <w:rPr>
          <w:rFonts w:ascii="Verdana" w:eastAsia="Century Gothic" w:hAnsi="Verdana" w:cs="Arial"/>
        </w:rPr>
        <w:t xml:space="preserve">De acuerdo con el contenido de su solicitud, esta Agencia resolverá </w:t>
      </w:r>
      <w:r w:rsidR="0041751C" w:rsidRPr="00887DEF">
        <w:rPr>
          <w:rFonts w:ascii="Verdana" w:eastAsia="Century Gothic" w:hAnsi="Verdana" w:cs="Arial"/>
        </w:rPr>
        <w:t>el</w:t>
      </w:r>
      <w:r w:rsidRPr="00887DEF">
        <w:rPr>
          <w:rFonts w:ascii="Verdana" w:eastAsia="Century Gothic" w:hAnsi="Verdana" w:cs="Arial"/>
        </w:rPr>
        <w:t xml:space="preserve"> siguiente problema jurídico: </w:t>
      </w:r>
      <w:r w:rsidR="0041751C" w:rsidRPr="00887DEF">
        <w:rPr>
          <w:rFonts w:ascii="Verdana" w:eastAsia="Century Gothic" w:hAnsi="Verdana" w:cs="Arial"/>
        </w:rPr>
        <w:t xml:space="preserve">¿Es viable </w:t>
      </w:r>
      <w:r w:rsidR="008922F8" w:rsidRPr="00887DEF">
        <w:rPr>
          <w:rFonts w:ascii="Verdana" w:eastAsia="Century Gothic" w:hAnsi="Verdana" w:cs="Arial"/>
        </w:rPr>
        <w:t>tramitar las</w:t>
      </w:r>
      <w:r w:rsidR="0041751C" w:rsidRPr="00887DEF">
        <w:rPr>
          <w:rFonts w:ascii="Verdana" w:eastAsia="Century Gothic" w:hAnsi="Verdana" w:cs="Arial"/>
        </w:rPr>
        <w:t xml:space="preserve"> observaciones </w:t>
      </w:r>
      <w:r w:rsidR="008922F8" w:rsidRPr="00887DEF">
        <w:rPr>
          <w:rFonts w:ascii="Verdana" w:eastAsia="Century Gothic" w:hAnsi="Verdana" w:cs="Arial"/>
        </w:rPr>
        <w:t xml:space="preserve">realizadas </w:t>
      </w:r>
      <w:r w:rsidR="00745191" w:rsidRPr="00887DEF">
        <w:rPr>
          <w:rFonts w:ascii="Verdana" w:eastAsia="Century Gothic" w:hAnsi="Verdana" w:cs="Arial"/>
        </w:rPr>
        <w:t xml:space="preserve">al pliego definitivo o al informe de evaluación </w:t>
      </w:r>
      <w:r w:rsidR="008922F8" w:rsidRPr="00887DEF">
        <w:rPr>
          <w:rFonts w:ascii="Verdana" w:eastAsia="Century Gothic" w:hAnsi="Verdana" w:cs="Arial"/>
        </w:rPr>
        <w:t>enviadas</w:t>
      </w:r>
      <w:r w:rsidR="00745191" w:rsidRPr="00887DEF">
        <w:rPr>
          <w:rFonts w:ascii="Verdana" w:eastAsia="Century Gothic" w:hAnsi="Verdana" w:cs="Arial"/>
        </w:rPr>
        <w:t xml:space="preserve"> </w:t>
      </w:r>
      <w:r w:rsidR="00066430" w:rsidRPr="00887DEF">
        <w:rPr>
          <w:rFonts w:ascii="Verdana" w:eastAsia="Century Gothic" w:hAnsi="Verdana" w:cs="Arial"/>
        </w:rPr>
        <w:t xml:space="preserve">vía correo electrónico cuando el </w:t>
      </w:r>
      <w:r w:rsidR="00745191" w:rsidRPr="00887DEF">
        <w:rPr>
          <w:rFonts w:ascii="Verdana" w:eastAsia="Century Gothic" w:hAnsi="Verdana" w:cs="Arial"/>
        </w:rPr>
        <w:t xml:space="preserve">Sistema Electrónico de Contratación Pública no presenta </w:t>
      </w:r>
      <w:r w:rsidR="00985201" w:rsidRPr="00887DEF">
        <w:rPr>
          <w:rFonts w:ascii="Verdana" w:eastAsia="Century Gothic" w:hAnsi="Verdana" w:cs="Arial"/>
        </w:rPr>
        <w:t>indisponibilidad?</w:t>
      </w:r>
    </w:p>
    <w:p w14:paraId="1EB36CE4" w14:textId="77777777" w:rsidR="00260704" w:rsidRPr="00887DEF" w:rsidRDefault="00260704" w:rsidP="00260704">
      <w:pPr>
        <w:tabs>
          <w:tab w:val="left" w:pos="142"/>
          <w:tab w:val="left" w:pos="284"/>
        </w:tabs>
        <w:spacing w:after="0" w:line="276" w:lineRule="auto"/>
        <w:jc w:val="both"/>
        <w:rPr>
          <w:rFonts w:ascii="Verdana" w:eastAsia="Century Gothic" w:hAnsi="Verdana" w:cs="Arial"/>
          <w:b/>
          <w:bCs/>
          <w:highlight w:val="cyan"/>
        </w:rPr>
      </w:pPr>
    </w:p>
    <w:p w14:paraId="6465282A" w14:textId="77777777" w:rsidR="00260704" w:rsidRPr="00887DEF" w:rsidRDefault="00260704" w:rsidP="0026070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Arial"/>
          <w:b/>
          <w:bCs/>
        </w:rPr>
      </w:pPr>
      <w:r w:rsidRPr="00887DEF">
        <w:rPr>
          <w:rFonts w:ascii="Verdana" w:eastAsia="Century Gothic" w:hAnsi="Verdana" w:cs="Arial"/>
          <w:b/>
          <w:bCs/>
        </w:rPr>
        <w:t>Respuesta:</w:t>
      </w:r>
    </w:p>
    <w:p w14:paraId="17C2BC16" w14:textId="77777777" w:rsidR="00260704" w:rsidRPr="00887DEF" w:rsidRDefault="00260704" w:rsidP="00260704">
      <w:pPr>
        <w:spacing w:after="0"/>
        <w:jc w:val="both"/>
        <w:rPr>
          <w:rFonts w:ascii="Verdana" w:hAnsi="Verdana" w:cs="Arial"/>
          <w:highlight w:val="cyan"/>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260704" w:rsidRPr="00887DEF" w14:paraId="2E652ACB" w14:textId="77777777" w:rsidTr="00241FE3">
        <w:trPr>
          <w:trHeight w:val="512"/>
        </w:trPr>
        <w:tc>
          <w:tcPr>
            <w:tcW w:w="8828" w:type="dxa"/>
            <w:shd w:val="clear" w:color="auto" w:fill="auto"/>
          </w:tcPr>
          <w:p w14:paraId="24B64FE4" w14:textId="7493625A" w:rsidR="00260704" w:rsidRPr="00887DEF" w:rsidRDefault="00260704" w:rsidP="00DC03AD">
            <w:pPr>
              <w:spacing w:after="120" w:line="276" w:lineRule="auto"/>
              <w:jc w:val="both"/>
              <w:rPr>
                <w:rFonts w:ascii="Verdana" w:eastAsia="Calibri" w:hAnsi="Verdana" w:cs="Arial"/>
                <w:lang w:val="es-ES"/>
              </w:rPr>
            </w:pPr>
            <w:r w:rsidRPr="00887DEF">
              <w:rPr>
                <w:rFonts w:ascii="Verdana" w:eastAsia="Calibri" w:hAnsi="Verdana" w:cs="Arial"/>
                <w:lang w:val="es-ES"/>
              </w:rPr>
              <w:t>En respuesta al problema planteado esta Subdirección manifiesta:</w:t>
            </w:r>
          </w:p>
          <w:p w14:paraId="161BE671" w14:textId="77777777" w:rsidR="005F5284" w:rsidRPr="00887DEF" w:rsidRDefault="00C34AC6" w:rsidP="00DC03AD">
            <w:pPr>
              <w:spacing w:after="120" w:line="276" w:lineRule="auto"/>
              <w:jc w:val="both"/>
              <w:rPr>
                <w:rFonts w:ascii="Verdana" w:eastAsia="Century Gothic" w:hAnsi="Verdana" w:cs="Arial"/>
              </w:rPr>
            </w:pPr>
            <w:r w:rsidRPr="00887DEF">
              <w:rPr>
                <w:rStyle w:val="eop"/>
                <w:rFonts w:ascii="Verdana" w:hAnsi="Verdana" w:cs="Arial"/>
                <w:color w:val="000000"/>
                <w:shd w:val="clear" w:color="auto" w:fill="FFFFFF"/>
              </w:rPr>
              <w:t xml:space="preserve">Por regla general la presentación de las observaciones debe realizarse a través del </w:t>
            </w:r>
            <w:r w:rsidRPr="00887DEF">
              <w:rPr>
                <w:rFonts w:ascii="Verdana" w:eastAsia="Century Gothic" w:hAnsi="Verdana" w:cs="Arial"/>
              </w:rPr>
              <w:t>Sistema Electrónico de Contratación Pública -SECOP-.</w:t>
            </w:r>
            <w:r w:rsidR="00A44D5A" w:rsidRPr="00887DEF">
              <w:rPr>
                <w:rFonts w:ascii="Verdana" w:eastAsia="Century Gothic" w:hAnsi="Verdana" w:cs="Arial"/>
              </w:rPr>
              <w:t xml:space="preserve"> </w:t>
            </w:r>
            <w:r w:rsidR="00687B5C" w:rsidRPr="00887DEF">
              <w:rPr>
                <w:rFonts w:ascii="Verdana" w:eastAsia="Century Gothic" w:hAnsi="Verdana" w:cs="Arial"/>
              </w:rPr>
              <w:t>Ahora, e</w:t>
            </w:r>
            <w:r w:rsidRPr="00887DEF">
              <w:rPr>
                <w:rFonts w:ascii="Verdana" w:eastAsia="Century Gothic" w:hAnsi="Verdana" w:cs="Arial"/>
              </w:rPr>
              <w:t xml:space="preserve">n el caso de presentarse indisponibilidad particular o general </w:t>
            </w:r>
            <w:r w:rsidR="006D5271" w:rsidRPr="00887DEF">
              <w:rPr>
                <w:rFonts w:ascii="Verdana" w:eastAsia="Century Gothic" w:hAnsi="Verdana" w:cs="Arial"/>
              </w:rPr>
              <w:t>en</w:t>
            </w:r>
            <w:r w:rsidRPr="00887DEF">
              <w:rPr>
                <w:rFonts w:ascii="Verdana" w:eastAsia="Century Gothic" w:hAnsi="Verdana" w:cs="Arial"/>
              </w:rPr>
              <w:t xml:space="preserve"> la plataforma, resulta procedente tramitar las observaciones mediante el correo electrónico </w:t>
            </w:r>
            <w:r w:rsidRPr="00887DEF">
              <w:rPr>
                <w:rFonts w:ascii="Verdana" w:eastAsia="Century Gothic" w:hAnsi="Verdana" w:cs="Arial"/>
              </w:rPr>
              <w:lastRenderedPageBreak/>
              <w:t xml:space="preserve">dispuesto en el pliego de condiciones, esta situación vale la pena aclarar debe estar debidamente </w:t>
            </w:r>
            <w:r w:rsidR="008D233E" w:rsidRPr="00887DEF">
              <w:rPr>
                <w:rFonts w:ascii="Verdana" w:eastAsia="Century Gothic" w:hAnsi="Verdana" w:cs="Arial"/>
              </w:rPr>
              <w:t>soportada</w:t>
            </w:r>
            <w:r w:rsidRPr="00887DEF">
              <w:rPr>
                <w:rFonts w:ascii="Verdana" w:eastAsia="Century Gothic" w:hAnsi="Verdana" w:cs="Arial"/>
              </w:rPr>
              <w:t xml:space="preserve"> por el observante. </w:t>
            </w:r>
          </w:p>
          <w:p w14:paraId="6396E1E6" w14:textId="260C32F2" w:rsidR="0043328A" w:rsidRPr="00887DEF" w:rsidRDefault="00687B5C" w:rsidP="00DC03AD">
            <w:pPr>
              <w:spacing w:after="120" w:line="276" w:lineRule="auto"/>
              <w:jc w:val="both"/>
              <w:rPr>
                <w:rFonts w:ascii="Verdana" w:hAnsi="Verdana" w:cs="Arial"/>
                <w:color w:val="000000"/>
                <w:shd w:val="clear" w:color="auto" w:fill="FFFFFF"/>
              </w:rPr>
            </w:pPr>
            <w:r w:rsidRPr="00887DEF">
              <w:rPr>
                <w:rFonts w:ascii="Verdana" w:eastAsia="Century Gothic" w:hAnsi="Verdana" w:cs="Arial"/>
              </w:rPr>
              <w:t>Por otro lado</w:t>
            </w:r>
            <w:r w:rsidR="00C34AC6" w:rsidRPr="00887DEF">
              <w:rPr>
                <w:rFonts w:ascii="Verdana" w:eastAsia="Century Gothic" w:hAnsi="Verdana" w:cs="Arial"/>
              </w:rPr>
              <w:t xml:space="preserve">, </w:t>
            </w:r>
            <w:r w:rsidRPr="00887DEF">
              <w:rPr>
                <w:rFonts w:ascii="Verdana" w:eastAsia="Century Gothic" w:hAnsi="Verdana" w:cs="Arial"/>
              </w:rPr>
              <w:t xml:space="preserve">y </w:t>
            </w:r>
            <w:r w:rsidR="00C34AC6" w:rsidRPr="00887DEF">
              <w:rPr>
                <w:rFonts w:ascii="Verdana" w:eastAsia="Century Gothic" w:hAnsi="Verdana" w:cs="Arial"/>
              </w:rPr>
              <w:t xml:space="preserve">en el evento en que se presenten observaciones sin </w:t>
            </w:r>
            <w:r w:rsidR="00B35E4E" w:rsidRPr="00887DEF">
              <w:rPr>
                <w:rFonts w:ascii="Verdana" w:eastAsia="Century Gothic" w:hAnsi="Verdana" w:cs="Arial"/>
              </w:rPr>
              <w:t>cumplimiento</w:t>
            </w:r>
            <w:r w:rsidR="00C34AC6" w:rsidRPr="00887DEF">
              <w:rPr>
                <w:rFonts w:ascii="Verdana" w:eastAsia="Century Gothic" w:hAnsi="Verdana" w:cs="Arial"/>
              </w:rPr>
              <w:t xml:space="preserve"> </w:t>
            </w:r>
            <w:r w:rsidR="00DA6BD2" w:rsidRPr="00887DEF">
              <w:rPr>
                <w:rFonts w:ascii="Verdana" w:eastAsia="Century Gothic" w:hAnsi="Verdana" w:cs="Arial"/>
              </w:rPr>
              <w:t>a lo indicado en precedencia</w:t>
            </w:r>
            <w:r w:rsidR="00C34AC6" w:rsidRPr="00887DEF">
              <w:rPr>
                <w:rFonts w:ascii="Verdana" w:eastAsia="Century Gothic" w:hAnsi="Verdana" w:cs="Arial"/>
              </w:rPr>
              <w:t>, est</w:t>
            </w:r>
            <w:r w:rsidR="00DA6BD2" w:rsidRPr="00887DEF">
              <w:rPr>
                <w:rFonts w:ascii="Verdana" w:eastAsia="Century Gothic" w:hAnsi="Verdana" w:cs="Arial"/>
              </w:rPr>
              <w:t>o</w:t>
            </w:r>
            <w:r w:rsidR="00C34AC6" w:rsidRPr="00887DEF">
              <w:rPr>
                <w:rFonts w:ascii="Verdana" w:eastAsia="Century Gothic" w:hAnsi="Verdana" w:cs="Arial"/>
              </w:rPr>
              <w:t xml:space="preserve"> es, el de acreditarse la indisponibilidad del</w:t>
            </w:r>
            <w:r w:rsidR="00D92F77" w:rsidRPr="00887DEF">
              <w:rPr>
                <w:rFonts w:ascii="Verdana" w:eastAsia="Century Gothic" w:hAnsi="Verdana" w:cs="Arial"/>
              </w:rPr>
              <w:t xml:space="preserve"> </w:t>
            </w:r>
            <w:r w:rsidR="00146C33" w:rsidRPr="00887DEF">
              <w:rPr>
                <w:rFonts w:ascii="Verdana" w:eastAsia="Century Gothic" w:hAnsi="Verdana" w:cs="Arial"/>
              </w:rPr>
              <w:t>Sistema Electrónico de Contratación Pública</w:t>
            </w:r>
            <w:r w:rsidR="00D92F77" w:rsidRPr="00887DEF">
              <w:rPr>
                <w:rFonts w:ascii="Verdana" w:eastAsia="Century Gothic" w:hAnsi="Verdana" w:cs="Arial"/>
              </w:rPr>
              <w:t xml:space="preserve"> -SECOP-</w:t>
            </w:r>
            <w:r w:rsidR="00C34AC6" w:rsidRPr="00887DEF">
              <w:rPr>
                <w:rFonts w:ascii="Verdana" w:eastAsia="Century Gothic" w:hAnsi="Verdana" w:cs="Arial"/>
              </w:rPr>
              <w:t>, las observaciones si bien pueden ser tramitadas</w:t>
            </w:r>
            <w:r w:rsidR="00AC1F27" w:rsidRPr="00887DEF">
              <w:rPr>
                <w:rFonts w:ascii="Verdana" w:eastAsia="Century Gothic" w:hAnsi="Verdana" w:cs="Arial"/>
              </w:rPr>
              <w:t xml:space="preserve">, en aras a garantizar </w:t>
            </w:r>
            <w:r w:rsidR="00747A65" w:rsidRPr="00887DEF">
              <w:rPr>
                <w:rFonts w:ascii="Verdana" w:eastAsia="Century Gothic" w:hAnsi="Verdana" w:cs="Arial"/>
              </w:rPr>
              <w:t>el derecho</w:t>
            </w:r>
            <w:r w:rsidR="00CE0BDC" w:rsidRPr="00887DEF">
              <w:rPr>
                <w:rFonts w:ascii="Verdana" w:eastAsia="Century Gothic" w:hAnsi="Verdana" w:cs="Arial"/>
              </w:rPr>
              <w:t xml:space="preserve"> fundamental consagrado en el artículo 23 de la Constitución Política</w:t>
            </w:r>
            <w:r w:rsidR="00F70E6A" w:rsidRPr="00887DEF">
              <w:rPr>
                <w:rFonts w:ascii="Verdana" w:eastAsia="Century Gothic" w:hAnsi="Verdana" w:cs="Arial"/>
              </w:rPr>
              <w:t>, lo cierto es que</w:t>
            </w:r>
            <w:r w:rsidR="000F46F4" w:rsidRPr="00887DEF">
              <w:rPr>
                <w:rFonts w:ascii="Verdana" w:eastAsia="Century Gothic" w:hAnsi="Verdana" w:cs="Arial"/>
              </w:rPr>
              <w:t xml:space="preserve"> </w:t>
            </w:r>
            <w:r w:rsidR="00C34AC6" w:rsidRPr="00887DEF">
              <w:rPr>
                <w:rFonts w:ascii="Verdana" w:eastAsia="Century Gothic" w:hAnsi="Verdana" w:cs="Arial"/>
              </w:rPr>
              <w:t xml:space="preserve">las </w:t>
            </w:r>
            <w:r w:rsidR="0082284F" w:rsidRPr="00887DEF">
              <w:rPr>
                <w:rFonts w:ascii="Verdana" w:eastAsia="Century Gothic" w:hAnsi="Verdana" w:cs="Arial"/>
              </w:rPr>
              <w:t xml:space="preserve">Entidades podrán rechazarlas </w:t>
            </w:r>
            <w:r w:rsidR="0082284F" w:rsidRPr="00887DEF">
              <w:rPr>
                <w:rStyle w:val="eop"/>
                <w:rFonts w:ascii="Verdana" w:hAnsi="Verdana" w:cs="Arial"/>
                <w:color w:val="000000"/>
                <w:shd w:val="clear" w:color="auto" w:fill="FFFFFF"/>
              </w:rPr>
              <w:t>de manera motivada</w:t>
            </w:r>
            <w:r w:rsidR="00647E16" w:rsidRPr="00887DEF">
              <w:rPr>
                <w:rStyle w:val="eop"/>
                <w:rFonts w:ascii="Verdana" w:hAnsi="Verdana" w:cs="Arial"/>
                <w:color w:val="000000"/>
                <w:shd w:val="clear" w:color="auto" w:fill="FFFFFF"/>
              </w:rPr>
              <w:t xml:space="preserve"> por no presentarse en los términos dispuestos en los documentos del proceso. </w:t>
            </w:r>
          </w:p>
        </w:tc>
      </w:tr>
    </w:tbl>
    <w:p w14:paraId="7A277958" w14:textId="77777777" w:rsidR="00260704" w:rsidRPr="00887DEF" w:rsidRDefault="00260704" w:rsidP="00260704">
      <w:pPr>
        <w:spacing w:after="0"/>
        <w:jc w:val="both"/>
        <w:rPr>
          <w:rFonts w:ascii="Verdana" w:hAnsi="Verdana" w:cs="Arial"/>
          <w:highlight w:val="cyan"/>
        </w:rPr>
      </w:pPr>
    </w:p>
    <w:p w14:paraId="57672FBC" w14:textId="77777777" w:rsidR="00260704" w:rsidRPr="00887DEF" w:rsidRDefault="00260704" w:rsidP="0026070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Arial"/>
          <w:b/>
          <w:bCs/>
        </w:rPr>
      </w:pPr>
      <w:r w:rsidRPr="00887DEF">
        <w:rPr>
          <w:rFonts w:ascii="Verdana" w:eastAsia="Century Gothic" w:hAnsi="Verdana" w:cs="Arial"/>
          <w:b/>
          <w:bCs/>
        </w:rPr>
        <w:t>Razones de la respuesta:</w:t>
      </w:r>
    </w:p>
    <w:p w14:paraId="2C9F286C" w14:textId="77777777" w:rsidR="00260704" w:rsidRPr="00887DEF" w:rsidRDefault="00260704" w:rsidP="00260704">
      <w:pPr>
        <w:spacing w:after="0" w:line="276" w:lineRule="auto"/>
        <w:jc w:val="both"/>
        <w:rPr>
          <w:rFonts w:ascii="Verdana" w:eastAsia="Calibri" w:hAnsi="Verdana" w:cs="Arial"/>
          <w:color w:val="7030A0"/>
          <w:lang w:val="es-ES"/>
        </w:rPr>
      </w:pPr>
    </w:p>
    <w:p w14:paraId="05C4BBCF" w14:textId="7B6DDD22" w:rsidR="00260704" w:rsidRPr="00887DEF" w:rsidRDefault="00260704" w:rsidP="00260704">
      <w:pPr>
        <w:spacing w:after="0"/>
        <w:jc w:val="both"/>
        <w:rPr>
          <w:rFonts w:ascii="Verdana" w:eastAsia="Calibri" w:hAnsi="Verdana" w:cs="Arial"/>
          <w:lang w:val="es-ES"/>
        </w:rPr>
      </w:pPr>
      <w:r w:rsidRPr="00887DEF">
        <w:rPr>
          <w:rFonts w:ascii="Verdana" w:eastAsia="Calibri" w:hAnsi="Verdana" w:cs="Arial"/>
          <w:lang w:val="es-ES"/>
        </w:rPr>
        <w:t>Lo anterior respuesta se sustenta en las siguientes consideraciones:</w:t>
      </w:r>
    </w:p>
    <w:p w14:paraId="07C4A0F1" w14:textId="77777777" w:rsidR="00260704" w:rsidRPr="00887DEF" w:rsidRDefault="00260704" w:rsidP="00260704">
      <w:pPr>
        <w:spacing w:after="0"/>
        <w:jc w:val="both"/>
        <w:rPr>
          <w:rFonts w:ascii="Verdana" w:eastAsia="Calibri" w:hAnsi="Verdana" w:cs="Arial"/>
          <w:lang w:val="es-ES"/>
        </w:rPr>
      </w:pPr>
    </w:p>
    <w:p w14:paraId="638A4FE2" w14:textId="77777777" w:rsidR="00A41562" w:rsidRPr="00887DEF" w:rsidRDefault="00116B57" w:rsidP="00A41562">
      <w:pPr>
        <w:numPr>
          <w:ilvl w:val="0"/>
          <w:numId w:val="19"/>
        </w:numPr>
        <w:snapToGrid w:val="0"/>
        <w:spacing w:after="120" w:line="276" w:lineRule="auto"/>
        <w:jc w:val="both"/>
        <w:rPr>
          <w:rFonts w:ascii="Verdana" w:eastAsia="Calibri" w:hAnsi="Verdana" w:cs="Arial"/>
          <w:lang w:val="es-ES_tradnl"/>
        </w:rPr>
      </w:pPr>
      <w:r w:rsidRPr="00887DEF">
        <w:rPr>
          <w:rFonts w:ascii="Verdana" w:eastAsia="Calibri" w:hAnsi="Verdana" w:cs="Arial"/>
          <w:lang w:val="es-ES_tradnl"/>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3D8AC71A" w14:textId="77777777" w:rsidR="00A41562" w:rsidRPr="00887DEF" w:rsidRDefault="00116B57" w:rsidP="00A41562">
      <w:pPr>
        <w:numPr>
          <w:ilvl w:val="0"/>
          <w:numId w:val="19"/>
        </w:numPr>
        <w:snapToGrid w:val="0"/>
        <w:spacing w:after="120" w:line="276" w:lineRule="auto"/>
        <w:jc w:val="both"/>
        <w:rPr>
          <w:rFonts w:ascii="Verdana" w:eastAsia="Calibri" w:hAnsi="Verdana" w:cs="Arial"/>
          <w:lang w:val="es-ES_tradnl"/>
        </w:rPr>
      </w:pPr>
      <w:r w:rsidRPr="00887DEF">
        <w:rPr>
          <w:rFonts w:ascii="Verdana" w:eastAsia="Calibri" w:hAnsi="Verdana" w:cs="Arial"/>
          <w:lang w:val="es-ES"/>
        </w:rPr>
        <w:t>Para establecer si determinado objeto contractual se encuentra cobijado o no por los Documentos Tipo, es necesario determinar si el mismo se enmarca en los tipos de infraestructura, modalidades de selección y tipos de obra estandarizadas en las respectivas matrices de experiencia. De esta manera, solo resulta obligatoria la aplicación de un documento tipo en particular cuando se ha establecido que el objeto contractual y la modalidad en la que debe contratarse están dentro del ámbito de aplicación de las resoluciones expedidas para los sectores de infraestructura de transporte, agua potable-saneamiento básico y social.</w:t>
      </w:r>
    </w:p>
    <w:p w14:paraId="42C8CD89" w14:textId="77777777" w:rsidR="00A41562" w:rsidRPr="00887DEF" w:rsidRDefault="00116B57" w:rsidP="00A41562">
      <w:pPr>
        <w:numPr>
          <w:ilvl w:val="0"/>
          <w:numId w:val="19"/>
        </w:numPr>
        <w:snapToGrid w:val="0"/>
        <w:spacing w:after="120" w:line="276" w:lineRule="auto"/>
        <w:jc w:val="both"/>
        <w:rPr>
          <w:rFonts w:ascii="Verdana" w:eastAsia="Calibri" w:hAnsi="Verdana" w:cs="Arial"/>
          <w:lang w:val="es-ES_tradnl"/>
        </w:rPr>
      </w:pPr>
      <w:r w:rsidRPr="00887DEF">
        <w:rPr>
          <w:rFonts w:ascii="Verdana" w:eastAsia="Calibri" w:hAnsi="Verdana" w:cs="Times New Roman"/>
          <w:lang w:val="es-ES_tradnl"/>
        </w:rPr>
        <w:t>Para el sector de infraestructura de transporte, la Agencia Nacional de Contratación Pública – Colombia Compra Eficiente ha expedido Documentos Tipo</w:t>
      </w:r>
      <w:r w:rsidRPr="00887DEF">
        <w:rPr>
          <w:rFonts w:ascii="Verdana" w:eastAsia="Calibri" w:hAnsi="Verdana" w:cs="Times New Roman"/>
          <w:vertAlign w:val="superscript"/>
          <w:lang w:val="es-ES_tradnl"/>
        </w:rPr>
        <w:footnoteReference w:id="1"/>
      </w:r>
      <w:r w:rsidRPr="00887DEF">
        <w:rPr>
          <w:rFonts w:ascii="Verdana" w:eastAsia="Calibri" w:hAnsi="Verdana" w:cs="Times New Roman"/>
          <w:lang w:val="es-ES_tradnl"/>
        </w:rPr>
        <w:t xml:space="preserve"> para contratar obras públicas de infraestructura de transporte bajo las </w:t>
      </w:r>
      <w:r w:rsidRPr="00887DEF">
        <w:rPr>
          <w:rFonts w:ascii="Verdana" w:eastAsia="Calibri" w:hAnsi="Verdana" w:cs="Times New Roman"/>
          <w:lang w:val="es-ES_tradnl"/>
        </w:rPr>
        <w:lastRenderedPageBreak/>
        <w:t xml:space="preserve">modalidades de selección de licitación pública, selección abreviada de menor cuantía y mínima cuantía. Así mismo, esta Agencia ha expedido documentos tipo de concurso de méritos para contratar la interventoría y la consultoría de estudios de ingeniería de infraestructura de transporte. </w:t>
      </w:r>
    </w:p>
    <w:p w14:paraId="41256747" w14:textId="77777777" w:rsidR="00A41562" w:rsidRPr="00887DEF" w:rsidRDefault="00116B57" w:rsidP="00A41562">
      <w:pPr>
        <w:numPr>
          <w:ilvl w:val="0"/>
          <w:numId w:val="19"/>
        </w:numPr>
        <w:snapToGrid w:val="0"/>
        <w:spacing w:after="120" w:line="276" w:lineRule="auto"/>
        <w:jc w:val="both"/>
        <w:rPr>
          <w:rFonts w:ascii="Verdana" w:eastAsia="Calibri" w:hAnsi="Verdana" w:cs="Arial"/>
          <w:lang w:val="es-ES_tradnl"/>
        </w:rPr>
      </w:pPr>
      <w:r w:rsidRPr="00887DEF">
        <w:rPr>
          <w:rFonts w:ascii="Verdana" w:eastAsia="Calibri" w:hAnsi="Verdana" w:cs="Arial"/>
          <w:lang w:val="es-ES_tradnl"/>
        </w:rPr>
        <w:t>En el caso del sector de infraestructura de agua potable y saneamiento básico, esta Agencia ha expedido documentos tipo para contratar obras públicas bajo las modalidades de selección de licitación pública y licitación pública en la modalidad de llave en mano. También, expidió los documentos tipo de concurso de méritos para contratar la interventoría de obra pública de infraestructura de agua potable y saneamiento básico.</w:t>
      </w:r>
    </w:p>
    <w:p w14:paraId="354315C8" w14:textId="77777777" w:rsidR="00A41562" w:rsidRPr="00887DEF" w:rsidRDefault="00116B57" w:rsidP="00A41562">
      <w:pPr>
        <w:numPr>
          <w:ilvl w:val="0"/>
          <w:numId w:val="19"/>
        </w:numPr>
        <w:snapToGrid w:val="0"/>
        <w:spacing w:after="120" w:line="276" w:lineRule="auto"/>
        <w:jc w:val="both"/>
        <w:rPr>
          <w:rFonts w:ascii="Verdana" w:eastAsia="Calibri" w:hAnsi="Verdana" w:cs="Arial"/>
          <w:lang w:val="es-ES_tradnl"/>
        </w:rPr>
      </w:pPr>
      <w:r w:rsidRPr="00887DEF">
        <w:rPr>
          <w:rFonts w:ascii="Verdana" w:eastAsia="Calibri" w:hAnsi="Verdana" w:cs="Arial"/>
          <w:lang w:val="es-ES_tradnl"/>
        </w:rPr>
        <w:t xml:space="preserve">A su turno, para el sector de infraestructura social, la Agencia adoptó los documentos tipo de licitación de obra pública de infraestructura social y de concurso de méritos para contratar la interventoría de obras públicas de infraestructura social. Estos documentos agrupan, a su vez, los sectores de educación, salud, y cultura, recreación y deporte. </w:t>
      </w:r>
    </w:p>
    <w:p w14:paraId="191054FE" w14:textId="77777777" w:rsidR="00A41562" w:rsidRPr="00887DEF" w:rsidRDefault="00116B57" w:rsidP="00A41562">
      <w:pPr>
        <w:numPr>
          <w:ilvl w:val="0"/>
          <w:numId w:val="19"/>
        </w:numPr>
        <w:snapToGrid w:val="0"/>
        <w:spacing w:after="120" w:line="276" w:lineRule="auto"/>
        <w:jc w:val="both"/>
        <w:rPr>
          <w:rFonts w:ascii="Verdana" w:eastAsia="Calibri" w:hAnsi="Verdana" w:cs="Arial"/>
          <w:lang w:val="es-ES_tradnl"/>
        </w:rPr>
      </w:pPr>
      <w:r w:rsidRPr="00887DEF">
        <w:rPr>
          <w:rFonts w:ascii="Verdana" w:eastAsia="Calibri" w:hAnsi="Verdana" w:cs="Arial"/>
          <w:lang w:val="es-ES_tradnl"/>
        </w:rPr>
        <w:t xml:space="preserve">Así mismo, esta Agencia expidió los documentos tipo de gestión catastral con enfoque multipropósito y los documentos tipo para la contratación directa de convenios solidarios para la ejecución de obras hasta la menor cuantía con Organismos de Acción Comunal. </w:t>
      </w:r>
    </w:p>
    <w:p w14:paraId="473090BC" w14:textId="77777777" w:rsidR="00A41562" w:rsidRPr="00887DEF" w:rsidRDefault="000821D5" w:rsidP="00A41562">
      <w:pPr>
        <w:numPr>
          <w:ilvl w:val="0"/>
          <w:numId w:val="19"/>
        </w:numPr>
        <w:snapToGrid w:val="0"/>
        <w:spacing w:after="120" w:line="276" w:lineRule="auto"/>
        <w:jc w:val="both"/>
        <w:rPr>
          <w:rFonts w:ascii="Verdana" w:eastAsia="Calibri" w:hAnsi="Verdana" w:cs="Arial"/>
          <w:lang w:val="es-ES_tradnl"/>
        </w:rPr>
      </w:pPr>
      <w:r w:rsidRPr="00887DEF">
        <w:rPr>
          <w:rFonts w:ascii="Verdana" w:eastAsia="Calibri" w:hAnsi="Verdana" w:cs="Arial"/>
          <w:lang w:val="es-ES_tradnl"/>
        </w:rPr>
        <w:t>Ahora bien, en lo que respecta a</w:t>
      </w:r>
      <w:r w:rsidR="00465683" w:rsidRPr="00887DEF">
        <w:rPr>
          <w:rFonts w:ascii="Verdana" w:eastAsia="Calibri" w:hAnsi="Verdana" w:cs="Arial"/>
          <w:lang w:val="es-ES_tradnl"/>
        </w:rPr>
        <w:t xml:space="preserve"> las observaciones a los documentos del proceso de selección </w:t>
      </w:r>
      <w:r w:rsidR="00844778" w:rsidRPr="00887DEF">
        <w:rPr>
          <w:rFonts w:ascii="Verdana" w:eastAsia="Calibri" w:hAnsi="Verdana" w:cs="Arial"/>
          <w:lang w:val="es-ES_tradnl"/>
        </w:rPr>
        <w:t xml:space="preserve">debe precisarse en principio que </w:t>
      </w:r>
      <w:r w:rsidR="00D041EF" w:rsidRPr="00887DEF">
        <w:rPr>
          <w:rFonts w:ascii="Verdana" w:eastAsia="Calibri" w:hAnsi="Verdana" w:cs="Arial"/>
          <w:lang w:val="es-ES_tradnl"/>
        </w:rPr>
        <w:t xml:space="preserve">el </w:t>
      </w:r>
      <w:r w:rsidR="0026776A" w:rsidRPr="00887DEF">
        <w:rPr>
          <w:rFonts w:ascii="Verdana" w:eastAsia="Calibri" w:hAnsi="Verdana" w:cs="Arial"/>
          <w:lang w:val="es-ES_tradnl"/>
        </w:rPr>
        <w:t xml:space="preserve">artículo 23 de la Ley 80 de 1993 regula los principios aplicables a las actuaciones contractuales adelantadas por las Entidades Estatales. Entre otros, allí se estableció el principio de transparencia de la actividad contractual, objeto de regulación expresa en el artículo 24 ibidem. Este principio guarda estrecha relación con el de publicidad, que rige el ejercicio de la función administrativa. Por ello, el numeral 2º dispone la facultad de los interesados para realizar y/o presentar observaciones, como un mecanismo para controvertir algunas de las decisiones adoptadas por las </w:t>
      </w:r>
      <w:r w:rsidR="00940B57" w:rsidRPr="00887DEF">
        <w:rPr>
          <w:rFonts w:ascii="Verdana" w:eastAsia="Calibri" w:hAnsi="Verdana" w:cs="Arial"/>
          <w:lang w:val="es-ES_tradnl"/>
        </w:rPr>
        <w:t>E</w:t>
      </w:r>
      <w:r w:rsidR="0026776A" w:rsidRPr="00887DEF">
        <w:rPr>
          <w:rFonts w:ascii="Verdana" w:eastAsia="Calibri" w:hAnsi="Verdana" w:cs="Arial"/>
          <w:lang w:val="es-ES_tradnl"/>
        </w:rPr>
        <w:t xml:space="preserve">ntidades </w:t>
      </w:r>
      <w:r w:rsidR="00940B57" w:rsidRPr="00887DEF">
        <w:rPr>
          <w:rFonts w:ascii="Verdana" w:eastAsia="Calibri" w:hAnsi="Verdana" w:cs="Arial"/>
          <w:lang w:val="es-ES_tradnl"/>
        </w:rPr>
        <w:t>E</w:t>
      </w:r>
      <w:r w:rsidR="0026776A" w:rsidRPr="00887DEF">
        <w:rPr>
          <w:rFonts w:ascii="Verdana" w:eastAsia="Calibri" w:hAnsi="Verdana" w:cs="Arial"/>
          <w:lang w:val="es-ES_tradnl"/>
        </w:rPr>
        <w:t>statales</w:t>
      </w:r>
      <w:r w:rsidR="00940B57" w:rsidRPr="00887DEF">
        <w:rPr>
          <w:rFonts w:ascii="Verdana" w:eastAsia="Calibri" w:hAnsi="Verdana" w:cs="Arial"/>
          <w:lang w:val="es-ES_tradnl"/>
        </w:rPr>
        <w:t>.</w:t>
      </w:r>
    </w:p>
    <w:p w14:paraId="7D33C31C" w14:textId="77777777" w:rsidR="00A41562" w:rsidRPr="00887DEF" w:rsidRDefault="00217227" w:rsidP="00A41562">
      <w:pPr>
        <w:numPr>
          <w:ilvl w:val="0"/>
          <w:numId w:val="19"/>
        </w:numPr>
        <w:snapToGrid w:val="0"/>
        <w:spacing w:after="120" w:line="276" w:lineRule="auto"/>
        <w:jc w:val="both"/>
        <w:rPr>
          <w:rFonts w:ascii="Verdana" w:eastAsia="Calibri" w:hAnsi="Verdana" w:cs="Arial"/>
          <w:lang w:val="es-ES_tradnl"/>
        </w:rPr>
      </w:pPr>
      <w:r w:rsidRPr="00887DEF">
        <w:rPr>
          <w:rFonts w:ascii="Verdana" w:eastAsia="Calibri" w:hAnsi="Verdana" w:cs="Arial"/>
          <w:lang w:val="es-MX"/>
        </w:rPr>
        <w:t xml:space="preserve">Conforme a lo anterior, el conocimiento y la motivación de las decisiones tomadas por la administración son un presupuesto necesario para controvertirlas. Así las cosas, de acuerdo con lo dispuesto en el numeral 2º previamente citado, </w:t>
      </w:r>
      <w:r w:rsidRPr="00887DEF">
        <w:rPr>
          <w:rFonts w:ascii="Verdana" w:hAnsi="Verdana" w:cs="Arial"/>
          <w:color w:val="0B1107" w:themeColor="accent6" w:themeShade="1A"/>
        </w:rPr>
        <w:t xml:space="preserve">la doctrina considera que </w:t>
      </w:r>
      <w:r w:rsidRPr="00887DEF">
        <w:rPr>
          <w:rFonts w:ascii="Verdana" w:eastAsia="Calibri" w:hAnsi="Verdana" w:cs="Arial"/>
          <w:lang w:val="es-MX"/>
        </w:rPr>
        <w:t xml:space="preserve">“[…] en los procesos de </w:t>
      </w:r>
      <w:r w:rsidRPr="00887DEF">
        <w:rPr>
          <w:rFonts w:ascii="Verdana" w:eastAsia="Calibri" w:hAnsi="Verdana" w:cs="Arial"/>
          <w:lang w:val="es-MX"/>
        </w:rPr>
        <w:lastRenderedPageBreak/>
        <w:t>selección en los cuales el ordenamiento jurídico no indique de manera expresa una etapa tal para esos fines, los pliegos de condiciones deben introducir y reglar una instancia en donde los oferentes puedan expresar sus opiniones y observaciones […]”</w:t>
      </w:r>
      <w:r w:rsidRPr="00887DEF">
        <w:rPr>
          <w:rStyle w:val="Refdenotaalpie"/>
          <w:rFonts w:ascii="Verdana" w:eastAsia="Calibri" w:hAnsi="Verdana" w:cs="Arial"/>
          <w:lang w:val="es-MX"/>
        </w:rPr>
        <w:footnoteReference w:id="2"/>
      </w:r>
      <w:r w:rsidRPr="00887DEF">
        <w:rPr>
          <w:rFonts w:ascii="Verdana" w:eastAsia="Calibri" w:hAnsi="Verdana" w:cs="Arial"/>
          <w:lang w:val="es-MX"/>
        </w:rPr>
        <w:t>.</w:t>
      </w:r>
      <w:r w:rsidRPr="00887DEF">
        <w:rPr>
          <w:rFonts w:ascii="Verdana" w:eastAsia="Batang" w:hAnsi="Verdana" w:cs="Arial"/>
          <w:lang w:val="es-MX"/>
        </w:rPr>
        <w:t xml:space="preserve"> </w:t>
      </w:r>
    </w:p>
    <w:p w14:paraId="627B872B" w14:textId="77777777" w:rsidR="00A41562" w:rsidRPr="00887DEF" w:rsidRDefault="0004525A" w:rsidP="00A41562">
      <w:pPr>
        <w:numPr>
          <w:ilvl w:val="0"/>
          <w:numId w:val="19"/>
        </w:numPr>
        <w:snapToGrid w:val="0"/>
        <w:spacing w:after="120" w:line="276" w:lineRule="auto"/>
        <w:jc w:val="both"/>
        <w:rPr>
          <w:rFonts w:ascii="Verdana" w:eastAsia="Calibri" w:hAnsi="Verdana" w:cs="Arial"/>
          <w:lang w:val="es-ES_tradnl"/>
        </w:rPr>
      </w:pPr>
      <w:r w:rsidRPr="00887DEF">
        <w:rPr>
          <w:rFonts w:ascii="Verdana" w:eastAsia="Batang" w:hAnsi="Verdana" w:cs="Arial"/>
          <w:lang w:val="es-MX"/>
        </w:rPr>
        <w:t xml:space="preserve">Este principio está desarrollado el Decreto 1082 de 2015, el cual establece los plazos dentro de los cuales los interesados podrán realizar observaciones en las actuaciones adelantadas a instancia de las </w:t>
      </w:r>
      <w:r w:rsidR="00AD5C02" w:rsidRPr="00887DEF">
        <w:rPr>
          <w:rFonts w:ascii="Verdana" w:eastAsia="Batang" w:hAnsi="Verdana" w:cs="Arial"/>
          <w:lang w:val="es-MX"/>
        </w:rPr>
        <w:t>E</w:t>
      </w:r>
      <w:r w:rsidRPr="00887DEF">
        <w:rPr>
          <w:rFonts w:ascii="Verdana" w:eastAsia="Batang" w:hAnsi="Verdana" w:cs="Arial"/>
          <w:lang w:val="es-MX"/>
        </w:rPr>
        <w:t xml:space="preserve">ntidades </w:t>
      </w:r>
      <w:r w:rsidR="00AD5C02" w:rsidRPr="00887DEF">
        <w:rPr>
          <w:rFonts w:ascii="Verdana" w:eastAsia="Batang" w:hAnsi="Verdana" w:cs="Arial"/>
          <w:lang w:val="es-MX"/>
        </w:rPr>
        <w:t>E</w:t>
      </w:r>
      <w:r w:rsidRPr="00887DEF">
        <w:rPr>
          <w:rFonts w:ascii="Verdana" w:eastAsia="Batang" w:hAnsi="Verdana" w:cs="Arial"/>
          <w:lang w:val="es-MX"/>
        </w:rPr>
        <w:t xml:space="preserve">statales en sus procesos de contratación. Dichos plazos podrán ampliarse, más no restringirse por las </w:t>
      </w:r>
      <w:r w:rsidR="00AD5C02" w:rsidRPr="00887DEF">
        <w:rPr>
          <w:rFonts w:ascii="Verdana" w:eastAsia="Batang" w:hAnsi="Verdana" w:cs="Arial"/>
          <w:lang w:val="es-MX"/>
        </w:rPr>
        <w:t>E</w:t>
      </w:r>
      <w:r w:rsidRPr="00887DEF">
        <w:rPr>
          <w:rFonts w:ascii="Verdana" w:eastAsia="Batang" w:hAnsi="Verdana" w:cs="Arial"/>
          <w:lang w:val="es-MX"/>
        </w:rPr>
        <w:t>ntidades, dependiendo del procedimiento de selección.</w:t>
      </w:r>
    </w:p>
    <w:p w14:paraId="6106FED6" w14:textId="77777777" w:rsidR="00A41562" w:rsidRPr="00887DEF" w:rsidRDefault="00115A06" w:rsidP="00A41562">
      <w:pPr>
        <w:numPr>
          <w:ilvl w:val="0"/>
          <w:numId w:val="19"/>
        </w:numPr>
        <w:snapToGrid w:val="0"/>
        <w:spacing w:after="120" w:line="276" w:lineRule="auto"/>
        <w:jc w:val="both"/>
        <w:rPr>
          <w:rFonts w:ascii="Verdana" w:eastAsia="Calibri" w:hAnsi="Verdana" w:cs="Arial"/>
          <w:lang w:val="es-ES_tradnl"/>
        </w:rPr>
      </w:pPr>
      <w:r w:rsidRPr="00887DEF">
        <w:rPr>
          <w:rFonts w:ascii="Verdana" w:eastAsia="Batang" w:hAnsi="Verdana" w:cs="Arial"/>
          <w:lang w:val="es-MX"/>
        </w:rPr>
        <w:t>En conclusión, el principio de transparencia garantiza la participación tanto de los interesados como de la ciudadanía en general en las actuaciones contractuales adelantadas por las Entidades Estatales</w:t>
      </w:r>
      <w:r w:rsidRPr="00887DEF">
        <w:rPr>
          <w:rFonts w:ascii="Verdana" w:eastAsia="Batang" w:hAnsi="Verdana" w:cs="Arial"/>
          <w:vertAlign w:val="superscript"/>
          <w:lang w:val="es-MX"/>
        </w:rPr>
        <w:footnoteReference w:id="3"/>
      </w:r>
      <w:r w:rsidRPr="00887DEF">
        <w:rPr>
          <w:rFonts w:ascii="Verdana" w:eastAsia="Batang" w:hAnsi="Verdana" w:cs="Arial"/>
          <w:lang w:val="es-MX"/>
        </w:rPr>
        <w:t>. Esta participación se materializa en la oportunidad concedida para presentar observaciones en las distintas etapas o fases del proceso que culmina con la celebración del contrato estatal, lo cual busca salvaguardar también el ejercicio del derecho de contradicción en las actuaciones administrativas</w:t>
      </w:r>
      <w:r w:rsidRPr="00887DEF">
        <w:rPr>
          <w:rStyle w:val="Refdenotaalpie"/>
          <w:rFonts w:ascii="Verdana" w:eastAsia="Batang" w:hAnsi="Verdana" w:cs="Arial"/>
          <w:lang w:val="es-MX"/>
        </w:rPr>
        <w:footnoteReference w:id="4"/>
      </w:r>
      <w:r w:rsidRPr="00887DEF">
        <w:rPr>
          <w:rFonts w:ascii="Verdana" w:eastAsia="Batang" w:hAnsi="Verdana" w:cs="Arial"/>
          <w:lang w:val="es-MX"/>
        </w:rPr>
        <w:t>.</w:t>
      </w:r>
    </w:p>
    <w:p w14:paraId="42FE4828" w14:textId="77777777" w:rsidR="00A41562" w:rsidRPr="00887DEF" w:rsidRDefault="00417D34" w:rsidP="00A41562">
      <w:pPr>
        <w:numPr>
          <w:ilvl w:val="0"/>
          <w:numId w:val="19"/>
        </w:numPr>
        <w:snapToGrid w:val="0"/>
        <w:spacing w:after="120" w:line="276" w:lineRule="auto"/>
        <w:jc w:val="both"/>
        <w:rPr>
          <w:rFonts w:ascii="Verdana" w:eastAsia="Calibri" w:hAnsi="Verdana" w:cs="Arial"/>
          <w:lang w:val="es-ES_tradnl"/>
        </w:rPr>
      </w:pPr>
      <w:r w:rsidRPr="00887DEF">
        <w:rPr>
          <w:rFonts w:ascii="Verdana" w:hAnsi="Verdana" w:cs="Arial"/>
          <w:color w:val="000000" w:themeColor="text1"/>
        </w:rPr>
        <w:t xml:space="preserve">Respecto a la formulación de observaciones por parte de los interesados, estas se sujetan al principio de economía. De acuerdo con el numeral 1 del artículo 25 de la Ley 80 de 1993, “En las normas de selección y en los pliegos de condiciones para la escogencia de contratistas, se cumplirán y establecerán los procedimientos y etapas estrictamente necesarios para asegurar la selección objetiva de la propuesta más favorable. </w:t>
      </w:r>
      <w:r w:rsidRPr="00887DEF">
        <w:rPr>
          <w:rFonts w:ascii="Verdana" w:hAnsi="Verdana" w:cs="Arial"/>
          <w:i/>
          <w:iCs/>
          <w:color w:val="000000" w:themeColor="text1"/>
        </w:rPr>
        <w:t>Para este propósito, se señalarán términos preclusivos y perentorios para las diferentes etapas de la selección y las autoridades darán impulso oficioso a las actuaciones</w:t>
      </w:r>
      <w:r w:rsidRPr="00887DEF">
        <w:rPr>
          <w:rFonts w:ascii="Verdana" w:hAnsi="Verdana" w:cs="Arial"/>
          <w:color w:val="000000" w:themeColor="text1"/>
        </w:rPr>
        <w:t xml:space="preserve">” (Énfasis fuera de texto). </w:t>
      </w:r>
    </w:p>
    <w:p w14:paraId="3EC0FFC4" w14:textId="77777777" w:rsidR="00A41562" w:rsidRPr="00887DEF" w:rsidRDefault="00FE507E" w:rsidP="00A41562">
      <w:pPr>
        <w:numPr>
          <w:ilvl w:val="0"/>
          <w:numId w:val="19"/>
        </w:numPr>
        <w:snapToGrid w:val="0"/>
        <w:spacing w:after="120" w:line="276" w:lineRule="auto"/>
        <w:jc w:val="both"/>
        <w:rPr>
          <w:rFonts w:ascii="Verdana" w:eastAsia="Calibri" w:hAnsi="Verdana" w:cs="Arial"/>
          <w:lang w:val="es-ES_tradnl"/>
        </w:rPr>
      </w:pPr>
      <w:r w:rsidRPr="00887DEF">
        <w:rPr>
          <w:rFonts w:ascii="Verdana" w:hAnsi="Verdana" w:cs="Arial"/>
          <w:color w:val="000000" w:themeColor="text1"/>
        </w:rPr>
        <w:t xml:space="preserve">Por ello, si bien tanto a los interesados como a la ciudadanía en general les asiste el derecho a realizar observaciones, este derecho debe ejercerse </w:t>
      </w:r>
      <w:r w:rsidRPr="00887DEF">
        <w:rPr>
          <w:rFonts w:ascii="Verdana" w:hAnsi="Verdana" w:cs="Arial"/>
          <w:color w:val="000000" w:themeColor="text1"/>
        </w:rPr>
        <w:lastRenderedPageBreak/>
        <w:t xml:space="preserve">dentro de los plazos establecidos por el ordenamiento jurídico y por el cronograma del proceso de contratación, so pena de perder tal facultad por la </w:t>
      </w:r>
      <w:proofErr w:type="spellStart"/>
      <w:r w:rsidRPr="00887DEF">
        <w:rPr>
          <w:rFonts w:ascii="Verdana" w:hAnsi="Verdana" w:cs="Arial"/>
          <w:color w:val="000000" w:themeColor="text1"/>
        </w:rPr>
        <w:t>preclusividad</w:t>
      </w:r>
      <w:proofErr w:type="spellEnd"/>
      <w:r w:rsidRPr="00887DEF">
        <w:rPr>
          <w:rFonts w:ascii="Verdana" w:hAnsi="Verdana" w:cs="Arial"/>
          <w:color w:val="000000" w:themeColor="text1"/>
        </w:rPr>
        <w:t xml:space="preserve"> y perentoriedad de los términos que rigen el proceso de contratación. Lo anterior teniendo en cuenta que, una vez agotada cada fase de este, la entidad estatal –en principio– no puede volver sobre aquella. </w:t>
      </w:r>
    </w:p>
    <w:p w14:paraId="5D0F4F3D" w14:textId="77777777" w:rsidR="00A41562" w:rsidRPr="00887DEF" w:rsidRDefault="005B0C7B" w:rsidP="00A41562">
      <w:pPr>
        <w:numPr>
          <w:ilvl w:val="0"/>
          <w:numId w:val="19"/>
        </w:numPr>
        <w:snapToGrid w:val="0"/>
        <w:spacing w:after="120" w:line="276" w:lineRule="auto"/>
        <w:jc w:val="both"/>
        <w:rPr>
          <w:rFonts w:ascii="Verdana" w:eastAsia="Calibri" w:hAnsi="Verdana" w:cs="Arial"/>
          <w:lang w:val="es-ES_tradnl"/>
        </w:rPr>
      </w:pPr>
      <w:r w:rsidRPr="00887DEF">
        <w:rPr>
          <w:rFonts w:ascii="Verdana" w:hAnsi="Verdana" w:cs="Arial"/>
          <w:color w:val="000000" w:themeColor="text1"/>
        </w:rPr>
        <w:t>A modo de ejemplo, carece de sentido realizar observaciones sobre los factores de evaluación durante el término de traslado de los informes de evaluación, especialmente, cuando han vencido los plazos para observar tanto el proyecto de pliego de condiciones como el pliego de condiciones definitivo. Si bien la Entidad Estatal que adelanta un proceso de contratación está en la obligación de responder las observaciones extemporáneas, no lo es menos que esa respuesta debe limitarse al rechazo de la solicitud, precisamente, por realizarse fuera del plazo previsto en los documentos del proceso.</w:t>
      </w:r>
    </w:p>
    <w:p w14:paraId="5875D22E" w14:textId="77777777" w:rsidR="00A41562" w:rsidRPr="00887DEF" w:rsidRDefault="0024496B" w:rsidP="00A41562">
      <w:pPr>
        <w:numPr>
          <w:ilvl w:val="0"/>
          <w:numId w:val="19"/>
        </w:numPr>
        <w:snapToGrid w:val="0"/>
        <w:spacing w:after="120" w:line="276" w:lineRule="auto"/>
        <w:jc w:val="both"/>
        <w:rPr>
          <w:rFonts w:ascii="Verdana" w:eastAsia="Calibri" w:hAnsi="Verdana" w:cs="Arial"/>
          <w:lang w:val="es-ES_tradnl"/>
        </w:rPr>
      </w:pPr>
      <w:r w:rsidRPr="00887DEF">
        <w:rPr>
          <w:rFonts w:ascii="Verdana" w:hAnsi="Verdana" w:cs="Arial"/>
          <w:color w:val="000000" w:themeColor="text1"/>
        </w:rPr>
        <w:t xml:space="preserve">Sin embargo, esto no significa que la entidad esté obligada a aceptar las observaciones formuladas oportunamente. Para estos efectos, conforme al inciso segundo del artículo 13 de la Ley 1437 de 2011, “Toda actuación que inicie cualquier persona ante las autoridades implica el ejercicio del derecho de petición […] sin que sea necesario invocarlo. Mediante él, entre otras actuaciones, se podrá solicitar: el reconocimiento de un derecho, la intervención de una entidad o funcionario, la resolución de una situación jurídica, la prestación de un servicio, requerir información, consultar, examinar y requerir copias de documentos, formular consultas, quejas, denuncias y reclamos e interponer recursos”.  </w:t>
      </w:r>
    </w:p>
    <w:p w14:paraId="559F859F" w14:textId="77777777" w:rsidR="00A41562" w:rsidRPr="00887DEF" w:rsidRDefault="00DC38C4" w:rsidP="00A41562">
      <w:pPr>
        <w:numPr>
          <w:ilvl w:val="0"/>
          <w:numId w:val="19"/>
        </w:numPr>
        <w:snapToGrid w:val="0"/>
        <w:spacing w:after="120" w:line="276" w:lineRule="auto"/>
        <w:jc w:val="both"/>
        <w:rPr>
          <w:rStyle w:val="eop"/>
          <w:rFonts w:ascii="Verdana" w:eastAsia="Calibri" w:hAnsi="Verdana" w:cs="Arial"/>
          <w:lang w:val="es-ES_tradnl"/>
        </w:rPr>
      </w:pPr>
      <w:r w:rsidRPr="00887DEF">
        <w:rPr>
          <w:rFonts w:ascii="Verdana" w:hAnsi="Verdana" w:cs="Arial"/>
          <w:color w:val="000000" w:themeColor="text1"/>
        </w:rPr>
        <w:t xml:space="preserve">Dado que las observaciones son una manifestación de la garantía prevista en el artículo 23 superior en el ámbito contractual, es necesario distinguir entre el “derecho a pedir” y el “derecho a lo pedido”. Como explica la Corte Constitucional, </w:t>
      </w:r>
      <w:r w:rsidRPr="00887DEF">
        <w:rPr>
          <w:rStyle w:val="normaltextrun"/>
          <w:rFonts w:ascii="Verdana" w:hAnsi="Verdana" w:cs="Arial"/>
          <w:color w:val="000000"/>
          <w:shd w:val="clear" w:color="auto" w:fill="FFFFFF"/>
        </w:rPr>
        <w:t xml:space="preserve">“[…] </w:t>
      </w:r>
      <w:r w:rsidRPr="00887DEF">
        <w:rPr>
          <w:rFonts w:ascii="Verdana" w:hAnsi="Verdana" w:cs="Arial"/>
          <w:color w:val="000000"/>
          <w:shd w:val="clear" w:color="auto" w:fill="FFFFFF"/>
        </w:rPr>
        <w:t xml:space="preserve">es claro que el solicitante no tiene, en modo alguno, derecho a esperar que la autoridad resuelva su pedido de manera favorable, concediendo lo que él busca, al punto de poder afirmar que se vulnera el derecho de petición si quien lo resuelve no accede, sin objeción, a […] lo pedido. </w:t>
      </w:r>
      <w:r w:rsidRPr="00887DEF">
        <w:rPr>
          <w:rFonts w:ascii="Verdana" w:hAnsi="Verdana" w:cs="Arial"/>
          <w:i/>
          <w:iCs/>
          <w:color w:val="000000"/>
          <w:shd w:val="clear" w:color="auto" w:fill="FFFFFF"/>
        </w:rPr>
        <w:t xml:space="preserve">La garantía de este derecho consiste en que la autoridad deberá necesariamente estudiar la solicitud que ha recibido, pronunciarse de fondo sobre ella en un tiempo prudencial, y asegurarse de poner la respuesta en </w:t>
      </w:r>
      <w:r w:rsidRPr="00887DEF">
        <w:rPr>
          <w:rFonts w:ascii="Verdana" w:hAnsi="Verdana" w:cs="Arial"/>
          <w:i/>
          <w:iCs/>
          <w:color w:val="000000"/>
          <w:shd w:val="clear" w:color="auto" w:fill="FFFFFF"/>
        </w:rPr>
        <w:lastRenderedPageBreak/>
        <w:t>conocimiento del peticionario,</w:t>
      </w:r>
      <w:r w:rsidRPr="00887DEF">
        <w:rPr>
          <w:rFonts w:ascii="Verdana" w:hAnsi="Verdana"/>
          <w:i/>
          <w:iCs/>
        </w:rPr>
        <w:t xml:space="preserve"> </w:t>
      </w:r>
      <w:r w:rsidRPr="00887DEF">
        <w:rPr>
          <w:rFonts w:ascii="Verdana" w:hAnsi="Verdana" w:cs="Arial"/>
          <w:i/>
          <w:iCs/>
          <w:color w:val="000000"/>
          <w:shd w:val="clear" w:color="auto" w:fill="FFFFFF"/>
        </w:rPr>
        <w:t>de tal modo que éste no tenga que esperar de manera indefinida</w:t>
      </w:r>
      <w:r w:rsidRPr="00887DEF">
        <w:rPr>
          <w:rFonts w:ascii="Verdana" w:hAnsi="Verdana" w:cs="Arial"/>
          <w:color w:val="000000"/>
          <w:shd w:val="clear" w:color="auto" w:fill="FFFFFF"/>
        </w:rPr>
        <w:t xml:space="preserve"> […]”</w:t>
      </w:r>
      <w:r w:rsidRPr="00887DEF">
        <w:rPr>
          <w:rStyle w:val="Refdenotaalpie"/>
          <w:rFonts w:ascii="Verdana" w:hAnsi="Verdana" w:cs="Arial"/>
          <w:color w:val="000000"/>
          <w:shd w:val="clear" w:color="auto" w:fill="FFFFFF"/>
        </w:rPr>
        <w:footnoteReference w:id="5"/>
      </w:r>
      <w:r w:rsidRPr="00887DEF">
        <w:rPr>
          <w:rFonts w:ascii="Verdana" w:hAnsi="Verdana" w:cs="Arial"/>
          <w:color w:val="000000"/>
          <w:shd w:val="clear" w:color="auto" w:fill="FFFFFF"/>
        </w:rPr>
        <w:t xml:space="preserve"> (Énfasis fuera de texto).</w:t>
      </w:r>
      <w:r w:rsidRPr="00887DEF">
        <w:rPr>
          <w:rStyle w:val="normaltextrun"/>
          <w:rFonts w:ascii="Verdana" w:hAnsi="Verdana" w:cs="Arial"/>
          <w:color w:val="000000"/>
          <w:shd w:val="clear" w:color="auto" w:fill="FFFFFF"/>
        </w:rPr>
        <w:t xml:space="preserve"> </w:t>
      </w:r>
      <w:r w:rsidRPr="00887DEF">
        <w:rPr>
          <w:rStyle w:val="eop"/>
          <w:rFonts w:ascii="Verdana" w:hAnsi="Verdana" w:cs="Arial"/>
          <w:color w:val="000000"/>
          <w:shd w:val="clear" w:color="auto" w:fill="FFFFFF"/>
        </w:rPr>
        <w:t> </w:t>
      </w:r>
    </w:p>
    <w:p w14:paraId="7BE8E8C2" w14:textId="140543C0" w:rsidR="009B3E44" w:rsidRPr="00887DEF" w:rsidRDefault="00A41562" w:rsidP="00FB2A55">
      <w:pPr>
        <w:numPr>
          <w:ilvl w:val="0"/>
          <w:numId w:val="19"/>
        </w:numPr>
        <w:snapToGrid w:val="0"/>
        <w:spacing w:after="120" w:line="276" w:lineRule="auto"/>
        <w:jc w:val="both"/>
        <w:rPr>
          <w:rFonts w:ascii="Verdana" w:eastAsia="Calibri" w:hAnsi="Verdana" w:cs="Arial"/>
          <w:lang w:val="es-ES_tradnl"/>
        </w:rPr>
      </w:pPr>
      <w:r w:rsidRPr="00887DEF">
        <w:rPr>
          <w:rStyle w:val="eop"/>
          <w:rFonts w:ascii="Verdana" w:hAnsi="Verdana" w:cs="Arial"/>
          <w:color w:val="000000"/>
          <w:shd w:val="clear" w:color="auto" w:fill="FFFFFF"/>
        </w:rPr>
        <w:t>De acuerdo con</w:t>
      </w:r>
      <w:r w:rsidR="004A589D" w:rsidRPr="00887DEF">
        <w:rPr>
          <w:rStyle w:val="eop"/>
          <w:rFonts w:ascii="Verdana" w:hAnsi="Verdana" w:cs="Arial"/>
          <w:color w:val="000000"/>
          <w:shd w:val="clear" w:color="auto" w:fill="FFFFFF"/>
        </w:rPr>
        <w:t xml:space="preserve"> lo expuesto, se concluye </w:t>
      </w:r>
      <w:r w:rsidR="002923C7" w:rsidRPr="00887DEF">
        <w:rPr>
          <w:rStyle w:val="eop"/>
          <w:rFonts w:ascii="Verdana" w:hAnsi="Verdana" w:cs="Arial"/>
          <w:color w:val="000000"/>
          <w:shd w:val="clear" w:color="auto" w:fill="FFFFFF"/>
        </w:rPr>
        <w:t xml:space="preserve">que </w:t>
      </w:r>
      <w:r w:rsidR="002B4B99" w:rsidRPr="00887DEF">
        <w:rPr>
          <w:rStyle w:val="eop"/>
          <w:rFonts w:ascii="Verdana" w:hAnsi="Verdana" w:cs="Arial"/>
          <w:color w:val="000000"/>
          <w:shd w:val="clear" w:color="auto" w:fill="FFFFFF"/>
        </w:rPr>
        <w:t>por regla general</w:t>
      </w:r>
      <w:r w:rsidR="002923C7" w:rsidRPr="00887DEF">
        <w:rPr>
          <w:rStyle w:val="eop"/>
          <w:rFonts w:ascii="Verdana" w:hAnsi="Verdana" w:cs="Arial"/>
          <w:color w:val="000000"/>
          <w:shd w:val="clear" w:color="auto" w:fill="FFFFFF"/>
        </w:rPr>
        <w:t xml:space="preserve"> la presentación de las observaciones </w:t>
      </w:r>
      <w:r w:rsidR="002B4B99" w:rsidRPr="00887DEF">
        <w:rPr>
          <w:rStyle w:val="eop"/>
          <w:rFonts w:ascii="Verdana" w:hAnsi="Verdana" w:cs="Arial"/>
          <w:color w:val="000000"/>
          <w:shd w:val="clear" w:color="auto" w:fill="FFFFFF"/>
        </w:rPr>
        <w:t xml:space="preserve">debe realizarse a través </w:t>
      </w:r>
      <w:r w:rsidR="00676AF3" w:rsidRPr="00887DEF">
        <w:rPr>
          <w:rStyle w:val="eop"/>
          <w:rFonts w:ascii="Verdana" w:hAnsi="Verdana" w:cs="Arial"/>
          <w:color w:val="000000"/>
          <w:shd w:val="clear" w:color="auto" w:fill="FFFFFF"/>
        </w:rPr>
        <w:t>del</w:t>
      </w:r>
      <w:r w:rsidR="002B4B99" w:rsidRPr="00887DEF">
        <w:rPr>
          <w:rStyle w:val="eop"/>
          <w:rFonts w:ascii="Verdana" w:hAnsi="Verdana" w:cs="Arial"/>
          <w:color w:val="000000"/>
          <w:shd w:val="clear" w:color="auto" w:fill="FFFFFF"/>
        </w:rPr>
        <w:t xml:space="preserve"> </w:t>
      </w:r>
      <w:r w:rsidR="007C10EC" w:rsidRPr="00887DEF">
        <w:rPr>
          <w:rFonts w:ascii="Verdana" w:eastAsia="Century Gothic" w:hAnsi="Verdana" w:cs="Arial"/>
        </w:rPr>
        <w:t>Sistema Electrónico de Contratación Pública</w:t>
      </w:r>
      <w:r w:rsidR="00A306EA" w:rsidRPr="00887DEF">
        <w:rPr>
          <w:rFonts w:ascii="Verdana" w:eastAsia="Century Gothic" w:hAnsi="Verdana" w:cs="Arial"/>
        </w:rPr>
        <w:t xml:space="preserve"> -SECOP-. </w:t>
      </w:r>
      <w:r w:rsidR="002F2F67" w:rsidRPr="00887DEF">
        <w:rPr>
          <w:rFonts w:ascii="Verdana" w:eastAsia="Century Gothic" w:hAnsi="Verdana" w:cs="Arial"/>
        </w:rPr>
        <w:t>Ahora</w:t>
      </w:r>
      <w:r w:rsidR="00A306EA" w:rsidRPr="00887DEF">
        <w:rPr>
          <w:rFonts w:ascii="Verdana" w:eastAsia="Century Gothic" w:hAnsi="Verdana" w:cs="Arial"/>
        </w:rPr>
        <w:t>,</w:t>
      </w:r>
      <w:r w:rsidR="002F2F67" w:rsidRPr="00887DEF">
        <w:rPr>
          <w:rFonts w:ascii="Verdana" w:eastAsia="Century Gothic" w:hAnsi="Verdana" w:cs="Arial"/>
        </w:rPr>
        <w:t xml:space="preserve"> </w:t>
      </w:r>
      <w:r w:rsidR="002C4A42" w:rsidRPr="00887DEF">
        <w:rPr>
          <w:rFonts w:ascii="Verdana" w:eastAsia="Century Gothic" w:hAnsi="Verdana" w:cs="Arial"/>
        </w:rPr>
        <w:t>en</w:t>
      </w:r>
      <w:r w:rsidR="002F2F67" w:rsidRPr="00887DEF">
        <w:rPr>
          <w:rFonts w:ascii="Verdana" w:eastAsia="Century Gothic" w:hAnsi="Verdana" w:cs="Arial"/>
        </w:rPr>
        <w:t xml:space="preserve"> el</w:t>
      </w:r>
      <w:r w:rsidR="002C4A42" w:rsidRPr="00887DEF">
        <w:rPr>
          <w:rFonts w:ascii="Verdana" w:eastAsia="Century Gothic" w:hAnsi="Verdana" w:cs="Arial"/>
        </w:rPr>
        <w:t xml:space="preserve"> caso de </w:t>
      </w:r>
      <w:r w:rsidR="00676AF3" w:rsidRPr="00887DEF">
        <w:rPr>
          <w:rFonts w:ascii="Verdana" w:eastAsia="Century Gothic" w:hAnsi="Verdana" w:cs="Arial"/>
        </w:rPr>
        <w:t xml:space="preserve">presentarse </w:t>
      </w:r>
      <w:r w:rsidR="002C4A42" w:rsidRPr="00887DEF">
        <w:rPr>
          <w:rFonts w:ascii="Verdana" w:eastAsia="Century Gothic" w:hAnsi="Verdana" w:cs="Arial"/>
        </w:rPr>
        <w:t xml:space="preserve">indisponibilidad </w:t>
      </w:r>
      <w:r w:rsidR="00676AF3" w:rsidRPr="00887DEF">
        <w:rPr>
          <w:rFonts w:ascii="Verdana" w:eastAsia="Century Gothic" w:hAnsi="Verdana" w:cs="Arial"/>
        </w:rPr>
        <w:t>particular o general de la plataforma</w:t>
      </w:r>
      <w:r w:rsidR="008E2B4F" w:rsidRPr="00887DEF">
        <w:rPr>
          <w:rFonts w:ascii="Verdana" w:eastAsia="Century Gothic" w:hAnsi="Verdana" w:cs="Arial"/>
        </w:rPr>
        <w:t xml:space="preserve">, </w:t>
      </w:r>
      <w:r w:rsidR="00E80AE7" w:rsidRPr="00887DEF">
        <w:rPr>
          <w:rFonts w:ascii="Verdana" w:eastAsia="Century Gothic" w:hAnsi="Verdana" w:cs="Arial"/>
        </w:rPr>
        <w:t xml:space="preserve">resulta procedente tramitar las observaciones </w:t>
      </w:r>
      <w:r w:rsidR="00FB2A55" w:rsidRPr="00887DEF">
        <w:rPr>
          <w:rFonts w:ascii="Verdana" w:eastAsia="Century Gothic" w:hAnsi="Verdana" w:cs="Arial"/>
        </w:rPr>
        <w:t>mediante el</w:t>
      </w:r>
      <w:r w:rsidR="00E80AE7" w:rsidRPr="00887DEF">
        <w:rPr>
          <w:rFonts w:ascii="Verdana" w:eastAsia="Century Gothic" w:hAnsi="Verdana" w:cs="Arial"/>
        </w:rPr>
        <w:t xml:space="preserve"> correo electrónico dispuesto en el pliego de condiciones</w:t>
      </w:r>
      <w:r w:rsidR="0029092B" w:rsidRPr="00887DEF">
        <w:rPr>
          <w:rFonts w:ascii="Verdana" w:eastAsia="Century Gothic" w:hAnsi="Verdana" w:cs="Arial"/>
        </w:rPr>
        <w:t xml:space="preserve">, esta situación vale la pena aclarar debe estar debidamente </w:t>
      </w:r>
      <w:r w:rsidR="00B83F4C" w:rsidRPr="00887DEF">
        <w:rPr>
          <w:rFonts w:ascii="Verdana" w:eastAsia="Century Gothic" w:hAnsi="Verdana" w:cs="Arial"/>
        </w:rPr>
        <w:t>soportado</w:t>
      </w:r>
      <w:r w:rsidR="0029092B" w:rsidRPr="00887DEF">
        <w:rPr>
          <w:rFonts w:ascii="Verdana" w:eastAsia="Century Gothic" w:hAnsi="Verdana" w:cs="Arial"/>
        </w:rPr>
        <w:t xml:space="preserve"> por el observante. </w:t>
      </w:r>
      <w:r w:rsidR="006D5271" w:rsidRPr="00887DEF">
        <w:rPr>
          <w:rFonts w:ascii="Verdana" w:eastAsia="Century Gothic" w:hAnsi="Verdana" w:cs="Arial"/>
        </w:rPr>
        <w:t>Por otro lado</w:t>
      </w:r>
      <w:r w:rsidR="009B3E44" w:rsidRPr="00887DEF">
        <w:rPr>
          <w:rFonts w:ascii="Verdana" w:eastAsia="Century Gothic" w:hAnsi="Verdana" w:cs="Arial"/>
        </w:rPr>
        <w:t xml:space="preserve">, en el evento en que se presenten observaciones sin acreditar el supuesto anterior, este es, el de </w:t>
      </w:r>
      <w:r w:rsidR="002778CC" w:rsidRPr="00887DEF">
        <w:rPr>
          <w:rFonts w:ascii="Verdana" w:eastAsia="Century Gothic" w:hAnsi="Verdana" w:cs="Arial"/>
        </w:rPr>
        <w:t>acreditarse la</w:t>
      </w:r>
      <w:r w:rsidR="009B3E44" w:rsidRPr="00887DEF">
        <w:rPr>
          <w:rFonts w:ascii="Verdana" w:eastAsia="Century Gothic" w:hAnsi="Verdana" w:cs="Arial"/>
        </w:rPr>
        <w:t xml:space="preserve"> indisponibilidad de</w:t>
      </w:r>
      <w:r w:rsidR="00667042" w:rsidRPr="00887DEF">
        <w:rPr>
          <w:rFonts w:ascii="Verdana" w:eastAsia="Century Gothic" w:hAnsi="Verdana" w:cs="Arial"/>
        </w:rPr>
        <w:t xml:space="preserve">l SECOP, las observaciones </w:t>
      </w:r>
      <w:r w:rsidR="002778CC" w:rsidRPr="00887DEF">
        <w:rPr>
          <w:rFonts w:ascii="Verdana" w:eastAsia="Century Gothic" w:hAnsi="Verdana" w:cs="Arial"/>
        </w:rPr>
        <w:t xml:space="preserve">si bien pueden ser </w:t>
      </w:r>
      <w:r w:rsidR="00FB2A55" w:rsidRPr="00887DEF">
        <w:rPr>
          <w:rFonts w:ascii="Verdana" w:eastAsia="Century Gothic" w:hAnsi="Verdana" w:cs="Arial"/>
        </w:rPr>
        <w:t>tramitadas, las Entidades podrán rechazarlas</w:t>
      </w:r>
      <w:r w:rsidR="004A2BB9" w:rsidRPr="00887DEF">
        <w:rPr>
          <w:rFonts w:ascii="Verdana" w:eastAsia="Century Gothic" w:hAnsi="Verdana" w:cs="Arial"/>
        </w:rPr>
        <w:t xml:space="preserve"> </w:t>
      </w:r>
      <w:r w:rsidR="00667042" w:rsidRPr="00887DEF">
        <w:rPr>
          <w:rStyle w:val="eop"/>
          <w:rFonts w:ascii="Verdana" w:hAnsi="Verdana" w:cs="Arial"/>
          <w:color w:val="000000"/>
          <w:shd w:val="clear" w:color="auto" w:fill="FFFFFF"/>
        </w:rPr>
        <w:t>de manera motivada, pues “[…] el ámbito de protección constitucional de la petición se circunscribe al derecho a la solicitud y a tener una contestación para la misma, en ningún caso implica otorgar la materia de la solicitud como tal”</w:t>
      </w:r>
      <w:r w:rsidR="00667042" w:rsidRPr="00887DEF">
        <w:rPr>
          <w:rStyle w:val="Refdenotaalpie"/>
          <w:rFonts w:ascii="Verdana" w:hAnsi="Verdana" w:cs="Arial"/>
          <w:color w:val="000000"/>
          <w:shd w:val="clear" w:color="auto" w:fill="FFFFFF"/>
        </w:rPr>
        <w:footnoteReference w:id="6"/>
      </w:r>
      <w:r w:rsidR="00667042" w:rsidRPr="00887DEF">
        <w:rPr>
          <w:rFonts w:ascii="Verdana" w:eastAsia="Arial" w:hAnsi="Verdana" w:cs="Arial"/>
          <w:color w:val="000000"/>
        </w:rPr>
        <w:t>.</w:t>
      </w:r>
    </w:p>
    <w:p w14:paraId="6765A0B4" w14:textId="77777777" w:rsidR="00260704" w:rsidRPr="00887DEF" w:rsidRDefault="00260704" w:rsidP="0026070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Arial"/>
          <w:b/>
          <w:bCs/>
        </w:rPr>
      </w:pPr>
      <w:r w:rsidRPr="00887DEF">
        <w:rPr>
          <w:rFonts w:ascii="Verdana" w:eastAsia="Century Gothic" w:hAnsi="Verdana" w:cs="Arial"/>
          <w:b/>
          <w:bCs/>
        </w:rPr>
        <w:t>Referencias normativas, jurisprudenciales y otras fuentes:</w:t>
      </w:r>
    </w:p>
    <w:p w14:paraId="40D3158C" w14:textId="77777777" w:rsidR="00260704" w:rsidRPr="00887DEF" w:rsidRDefault="00260704" w:rsidP="00260704">
      <w:pPr>
        <w:pStyle w:val="Prrafodelista"/>
        <w:tabs>
          <w:tab w:val="left" w:pos="142"/>
          <w:tab w:val="left" w:pos="284"/>
        </w:tabs>
        <w:spacing w:after="0" w:line="276" w:lineRule="auto"/>
        <w:ind w:left="0"/>
        <w:contextualSpacing w:val="0"/>
        <w:jc w:val="both"/>
        <w:rPr>
          <w:rFonts w:ascii="Verdana" w:eastAsia="Century Gothic" w:hAnsi="Verdana" w:cs="Arial"/>
          <w:b/>
          <w:bCs/>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260704" w:rsidRPr="00887DEF" w14:paraId="37E6DD30" w14:textId="77777777" w:rsidTr="002D6177">
        <w:trPr>
          <w:trHeight w:val="349"/>
        </w:trPr>
        <w:tc>
          <w:tcPr>
            <w:tcW w:w="8647" w:type="dxa"/>
          </w:tcPr>
          <w:p w14:paraId="7C336453" w14:textId="77777777" w:rsidR="004F748B" w:rsidRPr="00887DEF" w:rsidRDefault="006845CA" w:rsidP="004F748B">
            <w:pPr>
              <w:widowControl w:val="0"/>
              <w:numPr>
                <w:ilvl w:val="0"/>
                <w:numId w:val="17"/>
              </w:numPr>
              <w:autoSpaceDE w:val="0"/>
              <w:autoSpaceDN w:val="0"/>
              <w:spacing w:after="120" w:line="276" w:lineRule="auto"/>
              <w:jc w:val="both"/>
              <w:rPr>
                <w:rFonts w:ascii="Verdana" w:eastAsia="Calibri" w:hAnsi="Verdana" w:cs="Arial"/>
                <w:lang w:val="es-ES_tradnl"/>
              </w:rPr>
            </w:pPr>
            <w:r w:rsidRPr="00887DEF">
              <w:rPr>
                <w:rFonts w:ascii="Verdana" w:eastAsia="Calibri" w:hAnsi="Verdana" w:cs="Arial"/>
                <w:lang w:val="es-ES_tradnl"/>
              </w:rPr>
              <w:t xml:space="preserve">Ley 2022 de 2020, artículo 1. </w:t>
            </w:r>
          </w:p>
          <w:p w14:paraId="49E3B74A" w14:textId="64CF6314" w:rsidR="004F748B" w:rsidRPr="00887DEF" w:rsidRDefault="004F748B" w:rsidP="004F748B">
            <w:pPr>
              <w:widowControl w:val="0"/>
              <w:numPr>
                <w:ilvl w:val="0"/>
                <w:numId w:val="17"/>
              </w:numPr>
              <w:autoSpaceDE w:val="0"/>
              <w:autoSpaceDN w:val="0"/>
              <w:spacing w:after="120" w:line="276" w:lineRule="auto"/>
              <w:jc w:val="both"/>
              <w:rPr>
                <w:rFonts w:ascii="Verdana" w:eastAsia="Calibri" w:hAnsi="Verdana" w:cs="Arial"/>
                <w:lang w:val="es-ES_tradnl"/>
              </w:rPr>
            </w:pPr>
            <w:r w:rsidRPr="00887DEF">
              <w:rPr>
                <w:rFonts w:ascii="Verdana" w:eastAsia="Calibri" w:hAnsi="Verdana" w:cs="Arial"/>
                <w:lang w:val="es-ES_tradnl"/>
              </w:rPr>
              <w:t>Constitución de 1991. Artículo 23</w:t>
            </w:r>
          </w:p>
          <w:p w14:paraId="6A4D8978" w14:textId="0919E742" w:rsidR="004F748B" w:rsidRPr="00887DEF" w:rsidRDefault="007400AD" w:rsidP="004F748B">
            <w:pPr>
              <w:widowControl w:val="0"/>
              <w:numPr>
                <w:ilvl w:val="0"/>
                <w:numId w:val="17"/>
              </w:numPr>
              <w:autoSpaceDE w:val="0"/>
              <w:autoSpaceDN w:val="0"/>
              <w:spacing w:after="120" w:line="276" w:lineRule="auto"/>
              <w:jc w:val="both"/>
              <w:rPr>
                <w:rFonts w:ascii="Verdana" w:eastAsia="Calibri" w:hAnsi="Verdana" w:cs="Arial"/>
                <w:lang w:val="es-ES_tradnl"/>
              </w:rPr>
            </w:pPr>
            <w:r w:rsidRPr="00887DEF">
              <w:rPr>
                <w:rFonts w:ascii="Verdana" w:eastAsia="Calibri" w:hAnsi="Verdana" w:cs="Arial"/>
                <w:lang w:val="es-ES_tradnl"/>
              </w:rPr>
              <w:t>Ley 1437 del 2011. Artículo 13</w:t>
            </w:r>
          </w:p>
          <w:p w14:paraId="02A0D71F" w14:textId="134C44AC" w:rsidR="00AE143D" w:rsidRPr="00887DEF" w:rsidRDefault="00A90252" w:rsidP="004F748B">
            <w:pPr>
              <w:widowControl w:val="0"/>
              <w:numPr>
                <w:ilvl w:val="0"/>
                <w:numId w:val="17"/>
              </w:numPr>
              <w:autoSpaceDE w:val="0"/>
              <w:autoSpaceDN w:val="0"/>
              <w:spacing w:after="120" w:line="276" w:lineRule="auto"/>
              <w:jc w:val="both"/>
              <w:rPr>
                <w:rFonts w:ascii="Verdana" w:eastAsia="Calibri" w:hAnsi="Verdana" w:cs="Arial"/>
                <w:lang w:val="es-ES_tradnl"/>
              </w:rPr>
            </w:pPr>
            <w:r w:rsidRPr="00887DEF">
              <w:rPr>
                <w:rFonts w:ascii="Verdana" w:eastAsia="Calibri" w:hAnsi="Verdana" w:cs="Arial"/>
                <w:lang w:val="es-ES_tradnl"/>
              </w:rPr>
              <w:t>Ley 80 de 1993. Artículo 23.</w:t>
            </w:r>
            <w:r w:rsidR="001B3AF6" w:rsidRPr="00887DEF">
              <w:rPr>
                <w:rFonts w:ascii="Verdana" w:eastAsia="Calibri" w:hAnsi="Verdana" w:cs="Arial"/>
                <w:lang w:val="es-ES_tradnl"/>
              </w:rPr>
              <w:t xml:space="preserve"> Artículo 24. </w:t>
            </w:r>
            <w:r w:rsidRPr="00887DEF">
              <w:rPr>
                <w:rFonts w:ascii="Verdana" w:eastAsia="Calibri" w:hAnsi="Verdana" w:cs="Arial"/>
                <w:lang w:val="es-ES_tradnl"/>
              </w:rPr>
              <w:t>Artículo 25 numeral 1.</w:t>
            </w:r>
          </w:p>
          <w:p w14:paraId="4182895F" w14:textId="5D379F26" w:rsidR="00A90252" w:rsidRPr="00887DEF" w:rsidRDefault="001B3AF6" w:rsidP="004F748B">
            <w:pPr>
              <w:widowControl w:val="0"/>
              <w:numPr>
                <w:ilvl w:val="0"/>
                <w:numId w:val="17"/>
              </w:numPr>
              <w:autoSpaceDE w:val="0"/>
              <w:autoSpaceDN w:val="0"/>
              <w:spacing w:after="120" w:line="276" w:lineRule="auto"/>
              <w:jc w:val="both"/>
              <w:rPr>
                <w:rFonts w:ascii="Verdana" w:eastAsia="Calibri" w:hAnsi="Verdana" w:cs="Arial"/>
                <w:lang w:val="es-ES_tradnl"/>
              </w:rPr>
            </w:pPr>
            <w:r w:rsidRPr="00887DEF">
              <w:rPr>
                <w:rFonts w:ascii="Verdana" w:eastAsia="Calibri" w:hAnsi="Verdana" w:cs="Arial"/>
                <w:lang w:val="es-ES_tradnl"/>
              </w:rPr>
              <w:t>Decreto 1082 de 2015.</w:t>
            </w:r>
          </w:p>
          <w:p w14:paraId="351C1BF1" w14:textId="71A5AEE4" w:rsidR="00B83F4C" w:rsidRPr="00887DEF" w:rsidRDefault="00B83F4C" w:rsidP="004F748B">
            <w:pPr>
              <w:widowControl w:val="0"/>
              <w:numPr>
                <w:ilvl w:val="0"/>
                <w:numId w:val="17"/>
              </w:numPr>
              <w:autoSpaceDE w:val="0"/>
              <w:autoSpaceDN w:val="0"/>
              <w:spacing w:after="120" w:line="276" w:lineRule="auto"/>
              <w:jc w:val="both"/>
              <w:rPr>
                <w:rFonts w:ascii="Verdana" w:eastAsia="Calibri" w:hAnsi="Verdana" w:cs="Arial"/>
                <w:lang w:val="es-ES_tradnl"/>
              </w:rPr>
            </w:pPr>
            <w:r w:rsidRPr="00887DEF">
              <w:rPr>
                <w:rFonts w:ascii="Verdana" w:eastAsia="Calibri" w:hAnsi="Verdana" w:cs="Arial"/>
                <w:lang w:val="es-ES_tradnl"/>
              </w:rPr>
              <w:t>CORTE CONSTITUCIONAL. Sentencia T-108 de 2014. M.P. Gabriel Eduardo Mendoza Martelo.</w:t>
            </w:r>
          </w:p>
          <w:p w14:paraId="3B6F85E9" w14:textId="0A9E832A" w:rsidR="00CB3D88" w:rsidRPr="00887DEF" w:rsidRDefault="00CB3D88" w:rsidP="004F748B">
            <w:pPr>
              <w:widowControl w:val="0"/>
              <w:numPr>
                <w:ilvl w:val="0"/>
                <w:numId w:val="17"/>
              </w:numPr>
              <w:autoSpaceDE w:val="0"/>
              <w:autoSpaceDN w:val="0"/>
              <w:spacing w:after="120" w:line="276" w:lineRule="auto"/>
              <w:jc w:val="both"/>
              <w:rPr>
                <w:rFonts w:ascii="Verdana" w:eastAsia="Calibri" w:hAnsi="Verdana" w:cs="Arial"/>
                <w:lang w:val="es-ES_tradnl"/>
              </w:rPr>
            </w:pPr>
            <w:r w:rsidRPr="00887DEF">
              <w:rPr>
                <w:rFonts w:ascii="Verdana" w:eastAsia="Calibri" w:hAnsi="Verdana" w:cs="Arial"/>
                <w:lang w:val="es-ES_tradnl"/>
              </w:rPr>
              <w:t>CORTE CONSTITUCIONAL. Sentencia C-007 de 2017. M.P. Gloria Stella Ortiz Delgado.</w:t>
            </w:r>
          </w:p>
          <w:p w14:paraId="234562AA" w14:textId="461CFB9B" w:rsidR="00260704" w:rsidRPr="00887DEF" w:rsidRDefault="006845CA" w:rsidP="006845CA">
            <w:pPr>
              <w:pStyle w:val="Prrafodelista"/>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887DEF">
              <w:rPr>
                <w:rFonts w:ascii="Verdana" w:eastAsia="Calibri" w:hAnsi="Verdana" w:cs="Arial"/>
                <w:lang w:val="es-ES_tradnl"/>
              </w:rPr>
              <w:t xml:space="preserve">Documentos Tipo adoptados por la Agencia Nacional de Contratación Pública – Colombia Compra Eficiente. Disponibles en: </w:t>
            </w:r>
            <w:hyperlink r:id="rId12" w:history="1">
              <w:r w:rsidRPr="00887DEF">
                <w:rPr>
                  <w:rStyle w:val="Hipervnculo"/>
                  <w:rFonts w:ascii="Verdana" w:eastAsia="Calibri" w:hAnsi="Verdana" w:cs="Arial"/>
                  <w:lang w:val="es-ES_tradnl"/>
                </w:rPr>
                <w:t>https://www.colombiacompra.gov.co/documentos-tipo/documentos-tipo</w:t>
              </w:r>
            </w:hyperlink>
          </w:p>
        </w:tc>
      </w:tr>
    </w:tbl>
    <w:p w14:paraId="2EC05494" w14:textId="77777777" w:rsidR="00260704" w:rsidRPr="00887DEF" w:rsidRDefault="00260704" w:rsidP="00260704">
      <w:pPr>
        <w:widowControl w:val="0"/>
        <w:autoSpaceDE w:val="0"/>
        <w:autoSpaceDN w:val="0"/>
        <w:spacing w:after="0" w:line="276" w:lineRule="auto"/>
        <w:jc w:val="both"/>
        <w:rPr>
          <w:rFonts w:ascii="Verdana" w:hAnsi="Verdana" w:cs="Arial"/>
        </w:rPr>
      </w:pPr>
    </w:p>
    <w:p w14:paraId="237978F3" w14:textId="77777777" w:rsidR="00260704" w:rsidRPr="00887DEF" w:rsidRDefault="00260704" w:rsidP="0026070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Arial"/>
          <w:b/>
          <w:bCs/>
        </w:rPr>
      </w:pPr>
      <w:r w:rsidRPr="00887DEF">
        <w:rPr>
          <w:rFonts w:ascii="Verdana" w:eastAsia="Century Gothic" w:hAnsi="Verdana" w:cs="Arial"/>
          <w:b/>
          <w:bCs/>
        </w:rPr>
        <w:t>Doctrina de la Agencia Nacional de Contratación Pública:</w:t>
      </w:r>
    </w:p>
    <w:p w14:paraId="0621CB30" w14:textId="77777777" w:rsidR="00260704" w:rsidRPr="00887DEF" w:rsidRDefault="00260704" w:rsidP="00260704">
      <w:pPr>
        <w:widowControl w:val="0"/>
        <w:autoSpaceDE w:val="0"/>
        <w:autoSpaceDN w:val="0"/>
        <w:spacing w:after="0" w:line="276" w:lineRule="auto"/>
        <w:jc w:val="both"/>
        <w:rPr>
          <w:rFonts w:ascii="Verdana" w:hAnsi="Verdana" w:cs="Arial"/>
        </w:rPr>
      </w:pPr>
    </w:p>
    <w:p w14:paraId="597C99CC" w14:textId="3CEF9F12" w:rsidR="00260704" w:rsidRPr="00887DEF" w:rsidRDefault="00210BA9" w:rsidP="00260704">
      <w:pPr>
        <w:widowControl w:val="0"/>
        <w:autoSpaceDE w:val="0"/>
        <w:autoSpaceDN w:val="0"/>
        <w:spacing w:after="0" w:line="276" w:lineRule="auto"/>
        <w:jc w:val="both"/>
        <w:rPr>
          <w:rFonts w:ascii="Verdana" w:hAnsi="Verdana"/>
          <w:color w:val="000000"/>
          <w:bdr w:val="none" w:sz="0" w:space="0" w:color="auto" w:frame="1"/>
        </w:rPr>
      </w:pPr>
      <w:r w:rsidRPr="00887DEF">
        <w:rPr>
          <w:rFonts w:ascii="Verdana" w:hAnsi="Verdana" w:cs="Arial"/>
          <w:lang w:val="es-ES"/>
        </w:rPr>
        <w:t>Sobre el fundamento normativo de los documentos tipo en la contratación estatal</w:t>
      </w:r>
      <w:r w:rsidRPr="00887DEF">
        <w:rPr>
          <w:rFonts w:ascii="Verdana" w:hAnsi="Verdana" w:cs="Arial"/>
          <w:bCs/>
          <w:lang w:val="es-ES_tradnl"/>
        </w:rPr>
        <w:t xml:space="preserve">, </w:t>
      </w:r>
      <w:r w:rsidRPr="00887DEF">
        <w:rPr>
          <w:rFonts w:ascii="Verdana" w:hAnsi="Verdana" w:cs="Arial"/>
          <w:lang w:val="es-ES"/>
        </w:rPr>
        <w:t xml:space="preserve">esta Subdirección se ha pronunciado en los conceptos </w:t>
      </w:r>
      <w:r w:rsidRPr="00887DEF">
        <w:rPr>
          <w:rFonts w:ascii="Verdana" w:hAnsi="Verdana" w:cs="Arial"/>
        </w:rPr>
        <w:t xml:space="preserve">Nos. </w:t>
      </w:r>
      <w:r w:rsidRPr="00887DEF">
        <w:rPr>
          <w:rStyle w:val="normaltextrun"/>
          <w:rFonts w:ascii="Verdana" w:hAnsi="Verdana"/>
          <w:color w:val="000000"/>
          <w:bdr w:val="none" w:sz="0" w:space="0" w:color="auto" w:frame="1"/>
        </w:rPr>
        <w:t xml:space="preserve">C-356 del 6 de julio de 2022, C-654 del 7 de octubre de 2022, C-874 del 22 de diciembre de 2022, C-909 del 5 de enero de 2023, C-945 del 17 de febrero de 2023, C-042 del 29 de marzo de 2023, C-051 del 28 de abril de 2023, C-299 del 24 de julio de 2023 y C-290 del 28 de julio de 2023, C-587 del 23 de octubre del 2024 y C-594 del 24 de octubre del 2024. Igualmente, ha </w:t>
      </w:r>
      <w:r w:rsidR="00C343FE" w:rsidRPr="00887DEF">
        <w:rPr>
          <w:rStyle w:val="normaltextrun"/>
          <w:rFonts w:ascii="Verdana" w:hAnsi="Verdana"/>
          <w:color w:val="000000"/>
          <w:bdr w:val="none" w:sz="0" w:space="0" w:color="auto" w:frame="1"/>
        </w:rPr>
        <w:t>analizado</w:t>
      </w:r>
      <w:r w:rsidR="001F4BFC" w:rsidRPr="00887DEF">
        <w:rPr>
          <w:rStyle w:val="normaltextrun"/>
          <w:rFonts w:ascii="Verdana" w:hAnsi="Verdana"/>
          <w:color w:val="000000"/>
          <w:bdr w:val="none" w:sz="0" w:space="0" w:color="auto" w:frame="1"/>
        </w:rPr>
        <w:t xml:space="preserve"> </w:t>
      </w:r>
      <w:r w:rsidR="00E8273D" w:rsidRPr="00887DEF">
        <w:rPr>
          <w:rStyle w:val="normaltextrun"/>
          <w:rFonts w:ascii="Verdana" w:hAnsi="Verdana"/>
          <w:color w:val="000000"/>
          <w:bdr w:val="none" w:sz="0" w:space="0" w:color="auto" w:frame="1"/>
        </w:rPr>
        <w:t>el</w:t>
      </w:r>
      <w:r w:rsidR="002C026D" w:rsidRPr="00887DEF">
        <w:rPr>
          <w:rStyle w:val="normaltextrun"/>
          <w:rFonts w:ascii="Verdana" w:hAnsi="Verdana"/>
          <w:color w:val="000000"/>
          <w:bdr w:val="none" w:sz="0" w:space="0" w:color="auto" w:frame="1"/>
        </w:rPr>
        <w:t xml:space="preserve"> régimen </w:t>
      </w:r>
      <w:r w:rsidR="00E8273D" w:rsidRPr="00887DEF">
        <w:rPr>
          <w:rStyle w:val="normaltextrun"/>
          <w:rFonts w:ascii="Verdana" w:hAnsi="Verdana"/>
          <w:color w:val="000000"/>
          <w:bdr w:val="none" w:sz="0" w:space="0" w:color="auto" w:frame="1"/>
        </w:rPr>
        <w:t>de observaciones en los conceptos Nro.</w:t>
      </w:r>
      <w:r w:rsidR="00A4365B" w:rsidRPr="00887DEF">
        <w:rPr>
          <w:rStyle w:val="normaltextrun"/>
          <w:rFonts w:ascii="Verdana" w:hAnsi="Verdana"/>
          <w:color w:val="000000"/>
          <w:bdr w:val="none" w:sz="0" w:space="0" w:color="auto" w:frame="1"/>
        </w:rPr>
        <w:t xml:space="preserve"> </w:t>
      </w:r>
      <w:r w:rsidR="00A96BD5" w:rsidRPr="00887DEF">
        <w:rPr>
          <w:rStyle w:val="normaltextrun"/>
          <w:rFonts w:ascii="Verdana" w:hAnsi="Verdana"/>
          <w:color w:val="000000"/>
          <w:bdr w:val="none" w:sz="0" w:space="0" w:color="auto" w:frame="1"/>
        </w:rPr>
        <w:t xml:space="preserve">C-201 del 13 de abril de 2020, C-323 del 4 de junio de 2020, C-328 del 30 de junio de 2020, C-418 del 12 de agosto de 2021, C-512 del 22 de septiembre de 2021, C-310 del 16 de mayo de 2022 y </w:t>
      </w:r>
      <w:r w:rsidR="00A4365B" w:rsidRPr="00887DEF">
        <w:rPr>
          <w:rStyle w:val="normaltextrun"/>
          <w:rFonts w:ascii="Verdana" w:hAnsi="Verdana"/>
          <w:color w:val="000000"/>
          <w:bdr w:val="none" w:sz="0" w:space="0" w:color="auto" w:frame="1"/>
        </w:rPr>
        <w:t>C-366 del 08 de septiembre del 2023</w:t>
      </w:r>
      <w:r w:rsidR="00260704" w:rsidRPr="00887DEF">
        <w:rPr>
          <w:rFonts w:ascii="Verdana" w:hAnsi="Verdana" w:cs="Arial"/>
          <w:shd w:val="clear" w:color="auto" w:fill="FFFFFF"/>
          <w:lang w:val="es-ES"/>
        </w:rPr>
        <w:t>.</w:t>
      </w:r>
      <w:r w:rsidR="00260704" w:rsidRPr="00887DEF">
        <w:rPr>
          <w:rStyle w:val="normaltextrun"/>
          <w:rFonts w:ascii="Verdana" w:hAnsi="Verdana" w:cs="Arial"/>
          <w:shd w:val="clear" w:color="auto" w:fill="FFFFFF"/>
          <w:lang w:val="es-ES"/>
        </w:rPr>
        <w:t xml:space="preserve"> </w:t>
      </w:r>
      <w:r w:rsidR="00260704" w:rsidRPr="00887DEF">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3" w:tgtFrame="_blank" w:tooltip="Dirección URL original: https://relatoria.colombiacompra.gov.co/. Haga clic o pulse si confía en este vínculo." w:history="1">
        <w:r w:rsidR="00260704" w:rsidRPr="00887DEF">
          <w:rPr>
            <w:rStyle w:val="Hipervnculo"/>
            <w:rFonts w:ascii="Verdana" w:hAnsi="Verdana" w:cs="Arial"/>
            <w:shd w:val="clear" w:color="auto" w:fill="FFFFFF"/>
          </w:rPr>
          <w:t>https://relatoria.colombiacompra.gov.co/</w:t>
        </w:r>
      </w:hyperlink>
    </w:p>
    <w:p w14:paraId="1C250B24" w14:textId="77777777" w:rsidR="00260704" w:rsidRPr="00887DEF" w:rsidRDefault="00260704" w:rsidP="00260704">
      <w:pPr>
        <w:widowControl w:val="0"/>
        <w:autoSpaceDE w:val="0"/>
        <w:autoSpaceDN w:val="0"/>
        <w:spacing w:after="0" w:line="276" w:lineRule="auto"/>
        <w:jc w:val="both"/>
        <w:rPr>
          <w:rFonts w:ascii="Verdana" w:hAnsi="Verdana" w:cs="Arial"/>
          <w:shd w:val="clear" w:color="auto" w:fill="FFFFFF"/>
          <w:lang w:val="es-ES"/>
        </w:rPr>
      </w:pPr>
    </w:p>
    <w:p w14:paraId="54292A5C" w14:textId="77777777" w:rsidR="00260704" w:rsidRPr="00887DEF" w:rsidRDefault="00260704" w:rsidP="00260704">
      <w:pPr>
        <w:widowControl w:val="0"/>
        <w:autoSpaceDE w:val="0"/>
        <w:autoSpaceDN w:val="0"/>
        <w:spacing w:after="0" w:line="276" w:lineRule="auto"/>
        <w:jc w:val="both"/>
        <w:rPr>
          <w:rFonts w:ascii="Verdana" w:hAnsi="Verdana" w:cs="Arial"/>
          <w:color w:val="000000" w:themeColor="text1"/>
          <w:shd w:val="clear" w:color="auto" w:fill="FFFFFF"/>
        </w:rPr>
      </w:pPr>
      <w:r w:rsidRPr="00887DEF">
        <w:rPr>
          <w:rFonts w:ascii="Verdana" w:hAnsi="Verdana" w:cs="Arial"/>
          <w:color w:val="000000" w:themeColor="text1"/>
          <w:shd w:val="clear" w:color="auto" w:fill="FFFFFF"/>
        </w:rPr>
        <w:t>De otro lado,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Este instrumento se encuentra disponible para consulta en el siguiente enlace: </w:t>
      </w:r>
      <w:hyperlink r:id="rId14" w:tgtFrame="_blank" w:tooltip="Dirección URL original: https://www.colombiacompra.gov.co/sites/cce_public/files/cce_documents/manual_para_el_manejo_de_acuerdos_comerciales_vf.pdf. Haga clic o pulse si confía en este vínculo." w:history="1">
        <w:r w:rsidRPr="00887DEF">
          <w:rPr>
            <w:rStyle w:val="Hipervnculo"/>
            <w:rFonts w:ascii="Verdana" w:hAnsi="Verdana" w:cs="Arial"/>
            <w:shd w:val="clear" w:color="auto" w:fill="FFFFFF"/>
          </w:rPr>
          <w:t>manual_para_el_manejo_de_acuerdos_comerciales_vf.pdf</w:t>
        </w:r>
      </w:hyperlink>
    </w:p>
    <w:p w14:paraId="4A4AF3CC" w14:textId="77777777" w:rsidR="00260704" w:rsidRPr="00887DEF" w:rsidRDefault="00260704" w:rsidP="00260704">
      <w:pPr>
        <w:widowControl w:val="0"/>
        <w:autoSpaceDE w:val="0"/>
        <w:autoSpaceDN w:val="0"/>
        <w:spacing w:after="0" w:line="276" w:lineRule="auto"/>
        <w:jc w:val="both"/>
        <w:rPr>
          <w:rFonts w:ascii="Verdana" w:hAnsi="Verdana" w:cs="Arial"/>
          <w:color w:val="000000"/>
        </w:rPr>
      </w:pPr>
    </w:p>
    <w:p w14:paraId="3877B3EC" w14:textId="77777777" w:rsidR="00260704" w:rsidRPr="00887DEF" w:rsidRDefault="00260704" w:rsidP="00260704">
      <w:pPr>
        <w:widowControl w:val="0"/>
        <w:autoSpaceDE w:val="0"/>
        <w:autoSpaceDN w:val="0"/>
        <w:spacing w:after="0" w:line="276" w:lineRule="auto"/>
        <w:jc w:val="both"/>
        <w:rPr>
          <w:rFonts w:ascii="Verdana" w:hAnsi="Verdana" w:cs="Arial"/>
          <w:color w:val="000000" w:themeColor="text1"/>
          <w:shd w:val="clear" w:color="auto" w:fill="FFFFFF"/>
        </w:rPr>
      </w:pPr>
      <w:r w:rsidRPr="00887DEF">
        <w:rPr>
          <w:rFonts w:ascii="Verdana" w:hAnsi="Verdana" w:cs="Arial"/>
          <w:color w:val="000000"/>
        </w:rPr>
        <w:t>También lo invitamos a consultar la versión VII  de 2024, del Boletín de Relatoría de la Subdirección de Gestión Contractual relacionado con las ASOCIACIONES PÚBLICO POPULARES, el cual se puede descargar en la página web de la Agencia: </w:t>
      </w:r>
      <w:hyperlink r:id="rId15" w:tgtFrame="_blank" w:tooltip="Dirección URL original: https://www.colombiacompra.gov.co/sala-de-prensa/boletin-digital. Haga clic o pulse si confía en este vínculo." w:history="1">
        <w:r w:rsidRPr="00887DEF">
          <w:rPr>
            <w:rStyle w:val="Hipervnculo"/>
            <w:rFonts w:ascii="Verdana" w:hAnsi="Verdana" w:cs="Arial"/>
          </w:rPr>
          <w:t>https://www.colombiacompra.gov.co/sala-de-prensa/boletin-digital</w:t>
        </w:r>
      </w:hyperlink>
      <w:r w:rsidRPr="00887DEF">
        <w:rPr>
          <w:rFonts w:ascii="Verdana" w:hAnsi="Verdana" w:cs="Arial"/>
          <w:color w:val="000000"/>
        </w:rPr>
        <w:t> </w:t>
      </w:r>
    </w:p>
    <w:p w14:paraId="633E4444" w14:textId="77777777" w:rsidR="00260704" w:rsidRPr="00887DEF" w:rsidRDefault="00260704" w:rsidP="00260704">
      <w:pPr>
        <w:widowControl w:val="0"/>
        <w:autoSpaceDE w:val="0"/>
        <w:autoSpaceDN w:val="0"/>
        <w:spacing w:after="0" w:line="276" w:lineRule="auto"/>
        <w:jc w:val="both"/>
        <w:rPr>
          <w:rFonts w:ascii="Verdana" w:hAnsi="Verdana" w:cs="Arial"/>
          <w:color w:val="000000" w:themeColor="text1"/>
          <w:shd w:val="clear" w:color="auto" w:fill="FFFFFF"/>
        </w:rPr>
      </w:pPr>
    </w:p>
    <w:p w14:paraId="66CDD53E" w14:textId="77777777" w:rsidR="00260704" w:rsidRPr="00887DEF" w:rsidRDefault="00260704" w:rsidP="00260704">
      <w:pPr>
        <w:widowControl w:val="0"/>
        <w:autoSpaceDE w:val="0"/>
        <w:autoSpaceDN w:val="0"/>
        <w:spacing w:after="0" w:line="276" w:lineRule="auto"/>
        <w:jc w:val="both"/>
        <w:rPr>
          <w:rFonts w:ascii="Verdana" w:hAnsi="Verdana" w:cs="Arial"/>
        </w:rPr>
      </w:pPr>
      <w:r w:rsidRPr="00887DEF">
        <w:rPr>
          <w:rFonts w:ascii="Verdana" w:hAnsi="Verdana" w:cs="Arial"/>
        </w:rPr>
        <w:t xml:space="preserve">Por último, lo invitamos a seguirnos en las redes sociales en las cuales se difunde información institucional: </w:t>
      </w:r>
    </w:p>
    <w:p w14:paraId="017AA4FD" w14:textId="77777777" w:rsidR="00260704" w:rsidRPr="00887DEF" w:rsidRDefault="00260704" w:rsidP="00260704">
      <w:pPr>
        <w:widowControl w:val="0"/>
        <w:autoSpaceDE w:val="0"/>
        <w:autoSpaceDN w:val="0"/>
        <w:spacing w:after="0" w:line="276" w:lineRule="auto"/>
        <w:jc w:val="both"/>
        <w:rPr>
          <w:rFonts w:ascii="Verdana" w:hAnsi="Verdana" w:cs="Arial"/>
          <w:color w:val="000000" w:themeColor="text1"/>
          <w:shd w:val="clear" w:color="auto" w:fill="FFFFFF"/>
        </w:rPr>
      </w:pPr>
    </w:p>
    <w:p w14:paraId="59181BE1" w14:textId="77777777" w:rsidR="00260704" w:rsidRPr="00887DEF" w:rsidRDefault="00260704" w:rsidP="00260704">
      <w:pPr>
        <w:spacing w:after="0" w:line="240" w:lineRule="auto"/>
        <w:jc w:val="both"/>
        <w:rPr>
          <w:rFonts w:ascii="Verdana" w:hAnsi="Verdana" w:cs="Arial"/>
        </w:rPr>
      </w:pPr>
      <w:r w:rsidRPr="00887DEF">
        <w:rPr>
          <w:rFonts w:ascii="Verdana" w:hAnsi="Verdana" w:cs="Arial"/>
        </w:rPr>
        <w:t xml:space="preserve">Twitter: </w:t>
      </w:r>
      <w:r w:rsidRPr="00887DEF">
        <w:rPr>
          <w:rStyle w:val="Hipervnculo"/>
          <w:rFonts w:ascii="Verdana" w:hAnsi="Verdana" w:cs="Arial"/>
          <w:color w:val="4472C4" w:themeColor="accent1"/>
        </w:rPr>
        <w:t>@colombiacompra</w:t>
      </w:r>
      <w:r w:rsidRPr="00887DEF">
        <w:rPr>
          <w:rFonts w:ascii="Verdana" w:hAnsi="Verdana" w:cs="Arial"/>
          <w:color w:val="4472C4" w:themeColor="accent1"/>
        </w:rPr>
        <w:t xml:space="preserve"> </w:t>
      </w:r>
    </w:p>
    <w:p w14:paraId="0CF279C2" w14:textId="77777777" w:rsidR="00260704" w:rsidRPr="00887DEF" w:rsidRDefault="00260704" w:rsidP="00260704">
      <w:pPr>
        <w:spacing w:after="0" w:line="240" w:lineRule="auto"/>
        <w:jc w:val="both"/>
        <w:rPr>
          <w:rFonts w:ascii="Verdana" w:hAnsi="Verdana" w:cs="Arial"/>
        </w:rPr>
      </w:pPr>
      <w:r w:rsidRPr="00887DEF">
        <w:rPr>
          <w:rFonts w:ascii="Verdana" w:hAnsi="Verdana" w:cs="Arial"/>
        </w:rPr>
        <w:lastRenderedPageBreak/>
        <w:t xml:space="preserve">Facebook: </w:t>
      </w:r>
      <w:proofErr w:type="spellStart"/>
      <w:r w:rsidRPr="00887DEF">
        <w:rPr>
          <w:rStyle w:val="Hipervnculo"/>
          <w:rFonts w:ascii="Verdana" w:hAnsi="Verdana" w:cs="Arial"/>
          <w:color w:val="4472C4" w:themeColor="accent1"/>
        </w:rPr>
        <w:t>ColombiaCompraEficiente</w:t>
      </w:r>
      <w:proofErr w:type="spellEnd"/>
    </w:p>
    <w:p w14:paraId="4D35BF73" w14:textId="77777777" w:rsidR="00260704" w:rsidRPr="00887DEF" w:rsidRDefault="00260704" w:rsidP="00260704">
      <w:pPr>
        <w:spacing w:after="0" w:line="240" w:lineRule="auto"/>
        <w:jc w:val="both"/>
        <w:rPr>
          <w:rFonts w:ascii="Verdana" w:hAnsi="Verdana" w:cs="Arial"/>
        </w:rPr>
      </w:pPr>
      <w:r w:rsidRPr="00887DEF">
        <w:rPr>
          <w:rFonts w:ascii="Verdana" w:hAnsi="Verdana" w:cs="Arial"/>
        </w:rPr>
        <w:t xml:space="preserve">LinkedIn: </w:t>
      </w:r>
      <w:r w:rsidRPr="00887DEF">
        <w:rPr>
          <w:rStyle w:val="Hipervnculo"/>
          <w:rFonts w:ascii="Verdana" w:hAnsi="Verdana" w:cs="Arial"/>
          <w:color w:val="4472C4" w:themeColor="accent1"/>
        </w:rPr>
        <w:t>Agencia Nacional de Contratación Pública - Colombia Compra Eficiente</w:t>
      </w:r>
      <w:r w:rsidRPr="00887DEF">
        <w:rPr>
          <w:rFonts w:ascii="Verdana" w:hAnsi="Verdana" w:cs="Arial"/>
          <w:color w:val="4472C4" w:themeColor="accent1"/>
        </w:rPr>
        <w:t xml:space="preserve"> </w:t>
      </w:r>
      <w:r w:rsidRPr="00887DEF">
        <w:rPr>
          <w:rFonts w:ascii="Verdana" w:hAnsi="Verdana" w:cs="Arial"/>
        </w:rPr>
        <w:t xml:space="preserve">Instagram: </w:t>
      </w:r>
      <w:r w:rsidRPr="00887DEF">
        <w:rPr>
          <w:rStyle w:val="Hipervnculo"/>
          <w:rFonts w:ascii="Verdana" w:hAnsi="Verdana" w:cs="Arial"/>
          <w:color w:val="4472C4" w:themeColor="accent1"/>
        </w:rPr>
        <w:t>@colombiacompraeficiente_cce</w:t>
      </w:r>
    </w:p>
    <w:p w14:paraId="21FE6C8E" w14:textId="77777777" w:rsidR="00260704" w:rsidRPr="00887DEF" w:rsidRDefault="00260704" w:rsidP="00260704">
      <w:pPr>
        <w:widowControl w:val="0"/>
        <w:autoSpaceDE w:val="0"/>
        <w:autoSpaceDN w:val="0"/>
        <w:spacing w:after="0" w:line="276" w:lineRule="auto"/>
        <w:jc w:val="both"/>
        <w:rPr>
          <w:rFonts w:ascii="Verdana" w:hAnsi="Verdana" w:cs="Arial"/>
        </w:rPr>
      </w:pPr>
    </w:p>
    <w:p w14:paraId="38974BE4" w14:textId="77777777" w:rsidR="00260704" w:rsidRPr="00887DEF" w:rsidRDefault="00260704" w:rsidP="00260704">
      <w:pPr>
        <w:widowControl w:val="0"/>
        <w:autoSpaceDE w:val="0"/>
        <w:autoSpaceDN w:val="0"/>
        <w:spacing w:after="0" w:line="276" w:lineRule="auto"/>
        <w:jc w:val="both"/>
        <w:rPr>
          <w:rFonts w:ascii="Verdana" w:hAnsi="Verdana" w:cs="Arial"/>
          <w:lang w:val="es-ES_tradnl"/>
        </w:rPr>
      </w:pPr>
      <w:r w:rsidRPr="00887DEF">
        <w:rPr>
          <w:rFonts w:ascii="Verdana" w:hAnsi="Verdana" w:cs="Arial"/>
        </w:rPr>
        <w:t xml:space="preserve">Este concepto tiene el alcance previsto en el artículo 28 del Código de Procedimiento Administrativo y de lo Contencioso Administrativo </w:t>
      </w:r>
      <w:r w:rsidRPr="00887DEF">
        <w:rPr>
          <w:rFonts w:ascii="Verdana" w:hAnsi="Verdana" w:cs="Arial"/>
          <w:lang w:val="es-ES_tradnl"/>
        </w:rPr>
        <w:t>y las expresiones aquí utilizadas con mayúscula inicial deben ser entendidas con el significado que les otorga el artículo 2.2.1.1.1.3.1. del Decreto 1082 de 2015.</w:t>
      </w:r>
    </w:p>
    <w:p w14:paraId="1F474E89" w14:textId="77777777" w:rsidR="00260704" w:rsidRPr="00887DEF" w:rsidRDefault="00260704" w:rsidP="00260704">
      <w:pPr>
        <w:widowControl w:val="0"/>
        <w:autoSpaceDE w:val="0"/>
        <w:autoSpaceDN w:val="0"/>
        <w:spacing w:after="0" w:line="276" w:lineRule="auto"/>
        <w:jc w:val="both"/>
        <w:rPr>
          <w:rFonts w:ascii="Verdana" w:hAnsi="Verdana" w:cs="Arial"/>
        </w:rPr>
      </w:pPr>
    </w:p>
    <w:p w14:paraId="0D9C960B" w14:textId="77777777" w:rsidR="00260704" w:rsidRPr="00887DEF" w:rsidRDefault="00260704" w:rsidP="00260704">
      <w:pPr>
        <w:spacing w:after="0" w:line="240" w:lineRule="auto"/>
        <w:rPr>
          <w:rFonts w:ascii="Verdana" w:hAnsi="Verdana" w:cs="Arial"/>
          <w:lang w:eastAsia="es-CO"/>
        </w:rPr>
      </w:pPr>
      <w:r w:rsidRPr="00887DEF">
        <w:rPr>
          <w:rFonts w:ascii="Verdana" w:eastAsia="Times New Roman" w:hAnsi="Verdana" w:cs="Arial"/>
          <w:lang w:eastAsia="es-CO"/>
        </w:rPr>
        <w:t>Atentamente,</w:t>
      </w:r>
      <w:r w:rsidRPr="00887DEF">
        <w:rPr>
          <w:rFonts w:ascii="Verdana" w:hAnsi="Verdana" w:cs="Arial"/>
          <w:lang w:eastAsia="es-CO"/>
        </w:rPr>
        <w:t xml:space="preserve"> </w:t>
      </w:r>
    </w:p>
    <w:p w14:paraId="4B34E748" w14:textId="59D4D72E" w:rsidR="00260704" w:rsidRPr="00887DEF" w:rsidRDefault="00033FD5" w:rsidP="00260704">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554FDDBF" wp14:editId="73FAC0A6">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6"/>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260704" w:rsidRPr="00887DEF" w14:paraId="435B6A57" w14:textId="77777777" w:rsidTr="00241FE3">
        <w:trPr>
          <w:trHeight w:val="315"/>
        </w:trPr>
        <w:tc>
          <w:tcPr>
            <w:tcW w:w="893" w:type="dxa"/>
            <w:vAlign w:val="center"/>
            <w:hideMark/>
          </w:tcPr>
          <w:p w14:paraId="47999357" w14:textId="77777777" w:rsidR="00260704" w:rsidRPr="00887DEF" w:rsidRDefault="00260704" w:rsidP="00241FE3">
            <w:pPr>
              <w:contextualSpacing/>
              <w:rPr>
                <w:rFonts w:ascii="Verdana" w:hAnsi="Verdana" w:cs="Arial"/>
                <w:sz w:val="16"/>
                <w:szCs w:val="16"/>
                <w:lang w:val="es-ES" w:eastAsia="es-ES"/>
              </w:rPr>
            </w:pPr>
            <w:r w:rsidRPr="00887DEF">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69B656CE" w14:textId="77777777" w:rsidR="00260704" w:rsidRPr="00887DEF" w:rsidRDefault="00260704" w:rsidP="00241FE3">
            <w:pPr>
              <w:contextualSpacing/>
              <w:rPr>
                <w:rFonts w:ascii="Verdana" w:eastAsia="Arial" w:hAnsi="Verdana" w:cs="Arial"/>
                <w:sz w:val="16"/>
                <w:szCs w:val="16"/>
              </w:rPr>
            </w:pPr>
            <w:r w:rsidRPr="00887DEF">
              <w:rPr>
                <w:rFonts w:ascii="Verdana" w:eastAsia="Arial" w:hAnsi="Verdana" w:cs="Arial"/>
                <w:sz w:val="16"/>
                <w:szCs w:val="16"/>
              </w:rPr>
              <w:t>Ana María Ortiz Ballesteros</w:t>
            </w:r>
          </w:p>
          <w:p w14:paraId="132D13C0" w14:textId="77777777" w:rsidR="00260704" w:rsidRPr="00887DEF" w:rsidRDefault="00260704" w:rsidP="00241FE3">
            <w:pPr>
              <w:contextualSpacing/>
              <w:rPr>
                <w:rFonts w:ascii="Verdana" w:eastAsia="Arial" w:hAnsi="Verdana" w:cs="Arial"/>
                <w:sz w:val="16"/>
                <w:szCs w:val="16"/>
              </w:rPr>
            </w:pPr>
            <w:r w:rsidRPr="00887DEF">
              <w:rPr>
                <w:rStyle w:val="normaltextrun"/>
                <w:rFonts w:ascii="Verdana" w:eastAsia="Arial" w:hAnsi="Verdana" w:cs="Arial"/>
                <w:sz w:val="16"/>
                <w:szCs w:val="16"/>
              </w:rPr>
              <w:t>C</w:t>
            </w:r>
            <w:r w:rsidRPr="00887DEF">
              <w:rPr>
                <w:rStyle w:val="normaltextrun"/>
                <w:rFonts w:ascii="Verdana" w:hAnsi="Verdana" w:cs="Arial"/>
                <w:sz w:val="16"/>
                <w:szCs w:val="16"/>
              </w:rPr>
              <w:t>ontratista</w:t>
            </w:r>
            <w:r w:rsidRPr="00887DEF">
              <w:rPr>
                <w:rStyle w:val="normaltextrun"/>
                <w:rFonts w:ascii="Verdana" w:eastAsia="Arial" w:hAnsi="Verdana" w:cs="Arial"/>
                <w:sz w:val="16"/>
                <w:szCs w:val="16"/>
              </w:rPr>
              <w:t xml:space="preserve"> de la Subdirección de Gestión Contractual</w:t>
            </w:r>
          </w:p>
        </w:tc>
      </w:tr>
      <w:tr w:rsidR="00260704" w:rsidRPr="00887DEF" w14:paraId="74B6C6DC" w14:textId="77777777" w:rsidTr="00241FE3">
        <w:trPr>
          <w:trHeight w:val="330"/>
        </w:trPr>
        <w:tc>
          <w:tcPr>
            <w:tcW w:w="893" w:type="dxa"/>
            <w:vAlign w:val="center"/>
            <w:hideMark/>
          </w:tcPr>
          <w:p w14:paraId="250B7149" w14:textId="77777777" w:rsidR="00260704" w:rsidRPr="00887DEF" w:rsidRDefault="00260704" w:rsidP="00241FE3">
            <w:pPr>
              <w:contextualSpacing/>
              <w:rPr>
                <w:rFonts w:ascii="Verdana" w:hAnsi="Verdana" w:cs="Arial"/>
                <w:sz w:val="16"/>
                <w:szCs w:val="16"/>
                <w:lang w:val="es-ES" w:eastAsia="es-ES"/>
              </w:rPr>
            </w:pPr>
            <w:r w:rsidRPr="00887DEF">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305C3A7" w14:textId="707C0F88" w:rsidR="00260704" w:rsidRPr="00887DEF" w:rsidRDefault="00260704" w:rsidP="00241FE3">
            <w:pPr>
              <w:pStyle w:val="paragraph"/>
              <w:spacing w:after="0"/>
              <w:contextualSpacing/>
              <w:textAlignment w:val="baseline"/>
              <w:rPr>
                <w:rStyle w:val="normaltextrun"/>
                <w:rFonts w:ascii="Verdana" w:hAnsi="Verdana" w:cs="Arial"/>
                <w:sz w:val="16"/>
                <w:szCs w:val="16"/>
                <w:lang w:val="es-ES"/>
              </w:rPr>
            </w:pPr>
            <w:r w:rsidRPr="00887DEF">
              <w:rPr>
                <w:rStyle w:val="normaltextrun"/>
                <w:rFonts w:ascii="Verdana" w:hAnsi="Verdana" w:cs="Arial"/>
                <w:sz w:val="16"/>
                <w:szCs w:val="16"/>
                <w:lang w:val="es-ES"/>
              </w:rPr>
              <w:t xml:space="preserve">Juan David Cárdenas Cabeza </w:t>
            </w:r>
          </w:p>
          <w:p w14:paraId="4F2FB81B" w14:textId="37846993" w:rsidR="00260704" w:rsidRPr="00887DEF" w:rsidRDefault="00260704" w:rsidP="00241FE3">
            <w:pPr>
              <w:pStyle w:val="paragraph"/>
              <w:spacing w:before="0" w:beforeAutospacing="0" w:after="0" w:afterAutospacing="0"/>
              <w:contextualSpacing/>
              <w:textAlignment w:val="baseline"/>
              <w:rPr>
                <w:rFonts w:ascii="Verdana" w:hAnsi="Verdana" w:cs="Arial"/>
                <w:sz w:val="16"/>
                <w:szCs w:val="16"/>
              </w:rPr>
            </w:pPr>
            <w:r w:rsidRPr="00887DEF">
              <w:rPr>
                <w:rStyle w:val="normaltextrun"/>
                <w:rFonts w:ascii="Verdana" w:eastAsia="Arial" w:hAnsi="Verdana" w:cs="Arial"/>
                <w:sz w:val="16"/>
                <w:szCs w:val="16"/>
              </w:rPr>
              <w:t>C</w:t>
            </w:r>
            <w:r w:rsidRPr="00887DEF">
              <w:rPr>
                <w:rStyle w:val="normaltextrun"/>
                <w:rFonts w:ascii="Verdana" w:hAnsi="Verdana" w:cs="Arial"/>
                <w:sz w:val="16"/>
                <w:szCs w:val="16"/>
              </w:rPr>
              <w:t>ontratista</w:t>
            </w:r>
            <w:r w:rsidRPr="00887DEF">
              <w:rPr>
                <w:rStyle w:val="normaltextrun"/>
                <w:rFonts w:ascii="Verdana" w:eastAsia="Arial" w:hAnsi="Verdana" w:cs="Arial"/>
                <w:sz w:val="16"/>
                <w:szCs w:val="16"/>
              </w:rPr>
              <w:t xml:space="preserve"> de la Subdirección de Gestión Contractual</w:t>
            </w:r>
          </w:p>
        </w:tc>
      </w:tr>
      <w:tr w:rsidR="00260704" w:rsidRPr="00887DEF" w14:paraId="2520D180" w14:textId="77777777" w:rsidTr="00241FE3">
        <w:trPr>
          <w:trHeight w:val="300"/>
        </w:trPr>
        <w:tc>
          <w:tcPr>
            <w:tcW w:w="893" w:type="dxa"/>
            <w:vAlign w:val="center"/>
          </w:tcPr>
          <w:p w14:paraId="22F7EB12" w14:textId="77777777" w:rsidR="00260704" w:rsidRPr="00887DEF" w:rsidRDefault="00260704" w:rsidP="00241FE3">
            <w:pPr>
              <w:contextualSpacing/>
              <w:rPr>
                <w:rFonts w:ascii="Verdana" w:hAnsi="Verdana" w:cs="Arial"/>
                <w:sz w:val="16"/>
                <w:szCs w:val="16"/>
                <w:lang w:val="es-ES" w:eastAsia="es-ES"/>
              </w:rPr>
            </w:pPr>
            <w:r w:rsidRPr="00887DEF">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C01E2D7" w14:textId="77777777" w:rsidR="00260704" w:rsidRPr="00887DEF" w:rsidRDefault="00260704" w:rsidP="00241FE3">
            <w:pPr>
              <w:contextualSpacing/>
              <w:rPr>
                <w:rFonts w:ascii="Verdana" w:eastAsia="Calibri" w:hAnsi="Verdana" w:cs="Arial"/>
                <w:sz w:val="16"/>
                <w:szCs w:val="16"/>
                <w:lang w:val="pt-BR" w:eastAsia="es-ES"/>
              </w:rPr>
            </w:pPr>
            <w:r w:rsidRPr="00887DEF">
              <w:rPr>
                <w:rFonts w:ascii="Verdana" w:eastAsia="Calibri" w:hAnsi="Verdana" w:cs="Arial"/>
                <w:sz w:val="16"/>
                <w:szCs w:val="16"/>
                <w:lang w:val="pt-BR" w:eastAsia="es-ES"/>
              </w:rPr>
              <w:t xml:space="preserve">Carolina Quintero </w:t>
            </w:r>
            <w:proofErr w:type="spellStart"/>
            <w:r w:rsidRPr="00887DEF">
              <w:rPr>
                <w:rFonts w:ascii="Verdana" w:eastAsia="Calibri" w:hAnsi="Verdana" w:cs="Arial"/>
                <w:sz w:val="16"/>
                <w:szCs w:val="16"/>
                <w:lang w:val="pt-BR" w:eastAsia="es-ES"/>
              </w:rPr>
              <w:t>Gacharná</w:t>
            </w:r>
            <w:proofErr w:type="spellEnd"/>
          </w:p>
          <w:p w14:paraId="0F6808A8" w14:textId="77777777" w:rsidR="00260704" w:rsidRPr="00887DEF" w:rsidRDefault="00260704" w:rsidP="00241FE3">
            <w:pPr>
              <w:contextualSpacing/>
              <w:rPr>
                <w:rFonts w:ascii="Verdana" w:eastAsia="Calibri" w:hAnsi="Verdana" w:cs="Arial"/>
                <w:sz w:val="16"/>
                <w:szCs w:val="16"/>
                <w:lang w:val="pt-BR" w:eastAsia="es-ES"/>
              </w:rPr>
            </w:pPr>
            <w:r w:rsidRPr="00887DEF">
              <w:rPr>
                <w:rFonts w:ascii="Verdana" w:eastAsia="Calibri" w:hAnsi="Verdana" w:cs="Arial"/>
                <w:sz w:val="16"/>
                <w:szCs w:val="16"/>
                <w:lang w:eastAsia="es-ES"/>
              </w:rPr>
              <w:t>Subdirectora</w:t>
            </w:r>
            <w:r w:rsidRPr="00887DEF">
              <w:rPr>
                <w:rFonts w:ascii="Verdana" w:eastAsia="Calibri" w:hAnsi="Verdana" w:cs="Arial"/>
                <w:sz w:val="16"/>
                <w:szCs w:val="16"/>
                <w:lang w:val="pt-BR" w:eastAsia="es-ES"/>
              </w:rPr>
              <w:t xml:space="preserve"> de Gestión Contractual ANCP – CCE</w:t>
            </w:r>
          </w:p>
        </w:tc>
      </w:tr>
      <w:bookmarkEnd w:id="0"/>
    </w:tbl>
    <w:p w14:paraId="3900974D" w14:textId="77777777" w:rsidR="003D5B0D" w:rsidRPr="0044528D" w:rsidRDefault="003D5B0D" w:rsidP="00C76B1C">
      <w:pPr>
        <w:spacing w:after="0" w:line="240" w:lineRule="auto"/>
        <w:textAlignment w:val="baseline"/>
        <w:rPr>
          <w:rFonts w:ascii="Verdana" w:eastAsia="Times New Roman" w:hAnsi="Verdana" w:cs="Segoe UI"/>
          <w:b/>
          <w:bCs/>
          <w:color w:val="46589C"/>
          <w:lang w:val="es-ES" w:eastAsia="es-CO"/>
        </w:rPr>
      </w:pPr>
    </w:p>
    <w:sectPr w:rsidR="003D5B0D" w:rsidRPr="0044528D"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EE1E8" w14:textId="77777777" w:rsidR="00ED7384" w:rsidRDefault="00ED7384" w:rsidP="004A1847">
      <w:pPr>
        <w:spacing w:after="0" w:line="240" w:lineRule="auto"/>
      </w:pPr>
      <w:r>
        <w:separator/>
      </w:r>
    </w:p>
  </w:endnote>
  <w:endnote w:type="continuationSeparator" w:id="0">
    <w:p w14:paraId="4A7AB4CB" w14:textId="77777777" w:rsidR="00ED7384" w:rsidRDefault="00ED7384"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4B691" w14:textId="77777777" w:rsidR="00ED7384" w:rsidRDefault="00ED7384" w:rsidP="004A1847">
      <w:pPr>
        <w:spacing w:after="0" w:line="240" w:lineRule="auto"/>
      </w:pPr>
      <w:r>
        <w:separator/>
      </w:r>
    </w:p>
  </w:footnote>
  <w:footnote w:type="continuationSeparator" w:id="0">
    <w:p w14:paraId="46133D6B" w14:textId="77777777" w:rsidR="00ED7384" w:rsidRDefault="00ED7384" w:rsidP="004A1847">
      <w:pPr>
        <w:spacing w:after="0" w:line="240" w:lineRule="auto"/>
      </w:pPr>
      <w:r>
        <w:continuationSeparator/>
      </w:r>
    </w:p>
  </w:footnote>
  <w:footnote w:id="1">
    <w:p w14:paraId="47468665" w14:textId="77777777" w:rsidR="00116B57" w:rsidRPr="00B83F4C" w:rsidRDefault="00116B57" w:rsidP="00116B57">
      <w:pPr>
        <w:pStyle w:val="Textonotapie"/>
        <w:ind w:firstLine="709"/>
        <w:jc w:val="both"/>
        <w:rPr>
          <w:rFonts w:ascii="Verdana" w:hAnsi="Verdana" w:cs="Times New Roman"/>
          <w:sz w:val="18"/>
          <w:szCs w:val="18"/>
        </w:rPr>
      </w:pPr>
      <w:r w:rsidRPr="00A34F99">
        <w:rPr>
          <w:rStyle w:val="Refdenotaalpie"/>
          <w:rFonts w:ascii="Verdana" w:hAnsi="Verdana"/>
          <w:sz w:val="18"/>
          <w:szCs w:val="18"/>
        </w:rPr>
        <w:footnoteRef/>
      </w:r>
      <w:r w:rsidRPr="00A34F99">
        <w:rPr>
          <w:rFonts w:ascii="Verdana" w:hAnsi="Verdana"/>
          <w:sz w:val="18"/>
          <w:szCs w:val="18"/>
        </w:rPr>
        <w:t xml:space="preserve"> </w:t>
      </w:r>
      <w:r w:rsidRPr="00B83F4C">
        <w:rPr>
          <w:rFonts w:ascii="Verdana" w:hAnsi="Verdana"/>
          <w:sz w:val="18"/>
          <w:szCs w:val="18"/>
        </w:rPr>
        <w:t xml:space="preserve">Los Documentos Tipo adoptados por la Agencia Nacional de Contratación Pública pueden ser consultados en la página web de Colombia Compra Eficiente, en los diferentes sectores, a través del siguiente enlace: </w:t>
      </w:r>
      <w:hyperlink r:id="rId1" w:history="1">
        <w:r w:rsidRPr="00B83F4C">
          <w:rPr>
            <w:rStyle w:val="Hipervnculo"/>
            <w:rFonts w:ascii="Verdana" w:hAnsi="Verdana"/>
            <w:sz w:val="18"/>
            <w:szCs w:val="18"/>
          </w:rPr>
          <w:t>https://www.colombiacompra.gov.co/documentos-tipo/documentos-tipo</w:t>
        </w:r>
      </w:hyperlink>
      <w:r w:rsidRPr="00B83F4C">
        <w:rPr>
          <w:rFonts w:ascii="Verdana" w:hAnsi="Verdana"/>
          <w:sz w:val="18"/>
          <w:szCs w:val="18"/>
        </w:rPr>
        <w:t xml:space="preserve"> </w:t>
      </w:r>
    </w:p>
  </w:footnote>
  <w:footnote w:id="2">
    <w:p w14:paraId="4DED831F" w14:textId="77777777" w:rsidR="00217227" w:rsidRPr="00B83F4C" w:rsidRDefault="00217227" w:rsidP="00217227">
      <w:pPr>
        <w:pStyle w:val="Textonotapie"/>
        <w:ind w:firstLine="708"/>
        <w:jc w:val="both"/>
        <w:rPr>
          <w:rFonts w:ascii="Verdana" w:hAnsi="Verdana" w:cs="Arial"/>
          <w:sz w:val="18"/>
          <w:szCs w:val="18"/>
        </w:rPr>
      </w:pPr>
      <w:r w:rsidRPr="00B83F4C">
        <w:rPr>
          <w:rStyle w:val="Refdenotaalpie"/>
          <w:rFonts w:ascii="Verdana" w:hAnsi="Verdana" w:cs="Arial"/>
          <w:sz w:val="18"/>
          <w:szCs w:val="18"/>
        </w:rPr>
        <w:footnoteRef/>
      </w:r>
      <w:r w:rsidRPr="00B83F4C">
        <w:rPr>
          <w:rFonts w:ascii="Verdana" w:hAnsi="Verdana" w:cs="Arial"/>
          <w:sz w:val="18"/>
          <w:szCs w:val="18"/>
        </w:rPr>
        <w:t xml:space="preserve"> DÁVILA VINUEZA, Luis Guillermo. Régimen jurídico de la contratación estatal. Tercera edición. Editorial Legis, Bogotá, 2016, p. 304.</w:t>
      </w:r>
    </w:p>
  </w:footnote>
  <w:footnote w:id="3">
    <w:p w14:paraId="2D1BC040" w14:textId="77777777" w:rsidR="00115A06" w:rsidRPr="00B83F4C" w:rsidRDefault="00115A06" w:rsidP="00115A06">
      <w:pPr>
        <w:pStyle w:val="Textonotapie"/>
        <w:ind w:firstLine="709"/>
        <w:jc w:val="both"/>
        <w:rPr>
          <w:rFonts w:ascii="Verdana" w:hAnsi="Verdana" w:cs="Arial"/>
          <w:sz w:val="18"/>
          <w:szCs w:val="18"/>
        </w:rPr>
      </w:pPr>
      <w:r w:rsidRPr="00B83F4C">
        <w:rPr>
          <w:rStyle w:val="Refdenotaalpie"/>
          <w:rFonts w:ascii="Verdana" w:hAnsi="Verdana" w:cs="Arial"/>
          <w:sz w:val="18"/>
          <w:szCs w:val="18"/>
        </w:rPr>
        <w:footnoteRef/>
      </w:r>
      <w:r w:rsidRPr="00B83F4C">
        <w:rPr>
          <w:rFonts w:ascii="Verdana" w:hAnsi="Verdana" w:cs="Arial"/>
          <w:sz w:val="18"/>
          <w:szCs w:val="18"/>
        </w:rPr>
        <w:t xml:space="preserve"> Concepto con radicado número 4201912000006639 del 29 de noviembre de 2019 “Tipo de asunto consultado: Sujetos que pueden hacer observaciones al informe de evaluación en un procedimiento contractual mediante la modalidad de licitación pública”.</w:t>
      </w:r>
    </w:p>
    <w:p w14:paraId="1CAB2687" w14:textId="77777777" w:rsidR="00115A06" w:rsidRPr="00B83F4C" w:rsidRDefault="00115A06" w:rsidP="00115A06">
      <w:pPr>
        <w:pStyle w:val="Textonotapie"/>
        <w:ind w:firstLine="709"/>
        <w:jc w:val="both"/>
        <w:rPr>
          <w:rFonts w:ascii="Verdana" w:hAnsi="Verdana" w:cs="Arial"/>
          <w:sz w:val="18"/>
          <w:szCs w:val="18"/>
        </w:rPr>
      </w:pPr>
    </w:p>
  </w:footnote>
  <w:footnote w:id="4">
    <w:p w14:paraId="6CF1C343" w14:textId="77777777" w:rsidR="00115A06" w:rsidRPr="00B83F4C" w:rsidRDefault="00115A06" w:rsidP="00115A06">
      <w:pPr>
        <w:pStyle w:val="Textonotapie"/>
        <w:ind w:firstLine="708"/>
        <w:jc w:val="both"/>
        <w:rPr>
          <w:rFonts w:ascii="Verdana" w:hAnsi="Verdana" w:cs="Arial"/>
          <w:sz w:val="18"/>
          <w:szCs w:val="18"/>
        </w:rPr>
      </w:pPr>
      <w:r w:rsidRPr="00B83F4C">
        <w:rPr>
          <w:rStyle w:val="Refdenotaalpie"/>
          <w:rFonts w:ascii="Verdana" w:hAnsi="Verdana" w:cs="Arial"/>
          <w:sz w:val="18"/>
          <w:szCs w:val="18"/>
        </w:rPr>
        <w:footnoteRef/>
      </w:r>
      <w:r w:rsidRPr="00B83F4C">
        <w:rPr>
          <w:rFonts w:ascii="Verdana" w:hAnsi="Verdana" w:cs="Arial"/>
          <w:sz w:val="18"/>
          <w:szCs w:val="18"/>
        </w:rPr>
        <w:t xml:space="preserve"> Al respecto, el artículo 3.1 de la Ley 1437 de 2011 dispone que “En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p>
    <w:p w14:paraId="11DCC05A" w14:textId="77777777" w:rsidR="00115A06" w:rsidRPr="00B83F4C" w:rsidRDefault="00115A06" w:rsidP="00115A06">
      <w:pPr>
        <w:pStyle w:val="Textonotapie"/>
        <w:ind w:firstLine="708"/>
        <w:jc w:val="both"/>
        <w:rPr>
          <w:rFonts w:ascii="Verdana" w:hAnsi="Verdana" w:cs="Arial"/>
          <w:sz w:val="18"/>
          <w:szCs w:val="18"/>
        </w:rPr>
      </w:pPr>
    </w:p>
  </w:footnote>
  <w:footnote w:id="5">
    <w:p w14:paraId="01A6242D" w14:textId="77777777" w:rsidR="00DC38C4" w:rsidRPr="00B83F4C" w:rsidRDefault="00DC38C4" w:rsidP="00DC38C4">
      <w:pPr>
        <w:pStyle w:val="Textonotapie"/>
        <w:ind w:firstLine="708"/>
        <w:jc w:val="both"/>
        <w:rPr>
          <w:rFonts w:ascii="Verdana" w:hAnsi="Verdana" w:cs="Arial"/>
          <w:sz w:val="18"/>
          <w:szCs w:val="18"/>
        </w:rPr>
      </w:pPr>
      <w:r w:rsidRPr="00B83F4C">
        <w:rPr>
          <w:rStyle w:val="Refdenotaalpie"/>
          <w:rFonts w:ascii="Verdana" w:hAnsi="Verdana" w:cs="Arial"/>
          <w:sz w:val="18"/>
          <w:szCs w:val="18"/>
        </w:rPr>
        <w:footnoteRef/>
      </w:r>
      <w:r w:rsidRPr="00B83F4C">
        <w:rPr>
          <w:rFonts w:ascii="Verdana" w:hAnsi="Verdana" w:cs="Arial"/>
          <w:sz w:val="18"/>
          <w:szCs w:val="18"/>
        </w:rPr>
        <w:t xml:space="preserve"> CORTE CONSTITUCIONAL. Sentencia T-108 de 2014. M.P. Gabriel Eduardo Mendoza Martelo.</w:t>
      </w:r>
    </w:p>
    <w:p w14:paraId="5DC67124" w14:textId="77777777" w:rsidR="00DC38C4" w:rsidRPr="00B83F4C" w:rsidRDefault="00DC38C4" w:rsidP="00DC38C4">
      <w:pPr>
        <w:pStyle w:val="Textonotapie"/>
        <w:ind w:firstLine="708"/>
        <w:jc w:val="both"/>
        <w:rPr>
          <w:rFonts w:ascii="Verdana" w:hAnsi="Verdana" w:cs="Arial"/>
          <w:sz w:val="18"/>
          <w:szCs w:val="18"/>
        </w:rPr>
      </w:pPr>
    </w:p>
  </w:footnote>
  <w:footnote w:id="6">
    <w:p w14:paraId="3F2E5ADF" w14:textId="77777777" w:rsidR="00667042" w:rsidRDefault="00667042" w:rsidP="00667042">
      <w:pPr>
        <w:ind w:firstLine="708"/>
        <w:jc w:val="both"/>
        <w:rPr>
          <w:rFonts w:ascii="Arial" w:hAnsi="Arial" w:cs="Arial"/>
          <w:sz w:val="18"/>
          <w:szCs w:val="18"/>
        </w:rPr>
      </w:pPr>
      <w:r w:rsidRPr="00E23F64">
        <w:rPr>
          <w:rStyle w:val="Refdenotaalpie"/>
          <w:rFonts w:ascii="Arial" w:hAnsi="Arial" w:cs="Arial"/>
          <w:sz w:val="18"/>
          <w:szCs w:val="18"/>
        </w:rPr>
        <w:footnoteRef/>
      </w:r>
      <w:r w:rsidRPr="00E23F64">
        <w:rPr>
          <w:rFonts w:ascii="Arial" w:hAnsi="Arial" w:cs="Arial"/>
          <w:sz w:val="18"/>
          <w:szCs w:val="18"/>
        </w:rPr>
        <w:t xml:space="preserve"> CORTE CONSTITUCIONAL. Sentencia C-007 de 2017. M.P. Gloria Stella Ortiz Delgado.</w:t>
      </w:r>
    </w:p>
    <w:p w14:paraId="7060F6C6" w14:textId="77777777" w:rsidR="00667042" w:rsidRPr="00E23F64" w:rsidRDefault="00667042" w:rsidP="00667042">
      <w:pPr>
        <w:ind w:firstLine="708"/>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081DDCFF" w:rsidR="004A305D" w:rsidRPr="00DC39FC" w:rsidRDefault="004A305D"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2061" w:hanging="360"/>
      </w:pPr>
      <w:rPr>
        <w:b/>
        <w:color w:val="000000" w:themeColor="text1"/>
      </w:rPr>
    </w:lvl>
    <w:lvl w:ilvl="1">
      <w:start w:val="2"/>
      <w:numFmt w:val="decimal"/>
      <w:isLgl/>
      <w:lvlText w:val="%1.%2"/>
      <w:lvlJc w:val="left"/>
      <w:pPr>
        <w:ind w:left="1701" w:hanging="360"/>
      </w:pPr>
    </w:lvl>
    <w:lvl w:ilvl="2">
      <w:start w:val="1"/>
      <w:numFmt w:val="decimal"/>
      <w:isLgl/>
      <w:lvlText w:val="%1.%2.%3"/>
      <w:lvlJc w:val="left"/>
      <w:pPr>
        <w:ind w:left="2421" w:hanging="720"/>
      </w:pPr>
    </w:lvl>
    <w:lvl w:ilvl="3">
      <w:start w:val="1"/>
      <w:numFmt w:val="decimal"/>
      <w:isLgl/>
      <w:lvlText w:val="%1.%2.%3.%4"/>
      <w:lvlJc w:val="left"/>
      <w:pPr>
        <w:ind w:left="2421" w:hanging="720"/>
      </w:pPr>
    </w:lvl>
    <w:lvl w:ilvl="4">
      <w:start w:val="1"/>
      <w:numFmt w:val="decimal"/>
      <w:isLgl/>
      <w:lvlText w:val="%1.%2.%3.%4.%5"/>
      <w:lvlJc w:val="left"/>
      <w:pPr>
        <w:ind w:left="2781" w:hanging="1080"/>
      </w:pPr>
    </w:lvl>
    <w:lvl w:ilvl="5">
      <w:start w:val="1"/>
      <w:numFmt w:val="decimal"/>
      <w:isLgl/>
      <w:lvlText w:val="%1.%2.%3.%4.%5.%6"/>
      <w:lvlJc w:val="left"/>
      <w:pPr>
        <w:ind w:left="2781" w:hanging="1080"/>
      </w:pPr>
    </w:lvl>
    <w:lvl w:ilvl="6">
      <w:start w:val="1"/>
      <w:numFmt w:val="decimal"/>
      <w:isLgl/>
      <w:lvlText w:val="%1.%2.%3.%4.%5.%6.%7"/>
      <w:lvlJc w:val="left"/>
      <w:pPr>
        <w:ind w:left="3141" w:hanging="1440"/>
      </w:pPr>
    </w:lvl>
    <w:lvl w:ilvl="7">
      <w:start w:val="1"/>
      <w:numFmt w:val="decimal"/>
      <w:isLgl/>
      <w:lvlText w:val="%1.%2.%3.%4.%5.%6.%7.%8"/>
      <w:lvlJc w:val="left"/>
      <w:pPr>
        <w:ind w:left="3141" w:hanging="1440"/>
      </w:pPr>
    </w:lvl>
    <w:lvl w:ilvl="8">
      <w:start w:val="1"/>
      <w:numFmt w:val="decimal"/>
      <w:isLgl/>
      <w:lvlText w:val="%1.%2.%3.%4.%5.%6.%7.%8.%9"/>
      <w:lvlJc w:val="left"/>
      <w:pPr>
        <w:ind w:left="350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start w:val="1"/>
      <w:numFmt w:val="bullet"/>
      <w:lvlText w:val="o"/>
      <w:lvlJc w:val="left"/>
      <w:pPr>
        <w:ind w:left="3240" w:hanging="360"/>
      </w:pPr>
      <w:rPr>
        <w:rFonts w:ascii="Courier New" w:hAnsi="Courier New" w:cs="Courier New" w:hint="default"/>
      </w:rPr>
    </w:lvl>
    <w:lvl w:ilvl="5" w:tplc="040A0005">
      <w:start w:val="1"/>
      <w:numFmt w:val="bullet"/>
      <w:lvlText w:val=""/>
      <w:lvlJc w:val="left"/>
      <w:pPr>
        <w:ind w:left="3960" w:hanging="360"/>
      </w:pPr>
      <w:rPr>
        <w:rFonts w:ascii="Wingdings" w:hAnsi="Wingdings" w:hint="default"/>
      </w:rPr>
    </w:lvl>
    <w:lvl w:ilvl="6" w:tplc="040A0001">
      <w:start w:val="1"/>
      <w:numFmt w:val="bullet"/>
      <w:lvlText w:val=""/>
      <w:lvlJc w:val="left"/>
      <w:pPr>
        <w:ind w:left="4680" w:hanging="360"/>
      </w:pPr>
      <w:rPr>
        <w:rFonts w:ascii="Symbol" w:hAnsi="Symbol" w:hint="default"/>
      </w:rPr>
    </w:lvl>
    <w:lvl w:ilvl="7" w:tplc="040A0003">
      <w:start w:val="1"/>
      <w:numFmt w:val="bullet"/>
      <w:lvlText w:val="o"/>
      <w:lvlJc w:val="left"/>
      <w:pPr>
        <w:ind w:left="5400" w:hanging="360"/>
      </w:pPr>
      <w:rPr>
        <w:rFonts w:ascii="Courier New" w:hAnsi="Courier New" w:cs="Courier New" w:hint="default"/>
      </w:rPr>
    </w:lvl>
    <w:lvl w:ilvl="8" w:tplc="040A0005">
      <w:start w:val="1"/>
      <w:numFmt w:val="bullet"/>
      <w:lvlText w:val=""/>
      <w:lvlJc w:val="left"/>
      <w:pPr>
        <w:ind w:left="612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7B1080"/>
    <w:multiLevelType w:val="hybridMultilevel"/>
    <w:tmpl w:val="80B2A1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AD0B1A"/>
    <w:multiLevelType w:val="hybridMultilevel"/>
    <w:tmpl w:val="450C5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86F7BC6"/>
    <w:multiLevelType w:val="multilevel"/>
    <w:tmpl w:val="374835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1442605298">
    <w:abstractNumId w:val="10"/>
  </w:num>
  <w:num w:numId="18" w16cid:durableId="1209611643">
    <w:abstractNumId w:val="16"/>
  </w:num>
  <w:num w:numId="19" w16cid:durableId="1132404805">
    <w:abstractNumId w:val="5"/>
  </w:num>
  <w:num w:numId="20" w16cid:durableId="14824280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33FD5"/>
    <w:rsid w:val="00035FFD"/>
    <w:rsid w:val="0004525A"/>
    <w:rsid w:val="00046945"/>
    <w:rsid w:val="00061B2A"/>
    <w:rsid w:val="00066430"/>
    <w:rsid w:val="000821D5"/>
    <w:rsid w:val="00082362"/>
    <w:rsid w:val="000A683E"/>
    <w:rsid w:val="000B19B9"/>
    <w:rsid w:val="000C641B"/>
    <w:rsid w:val="000D0334"/>
    <w:rsid w:val="000D16D9"/>
    <w:rsid w:val="000F1CE9"/>
    <w:rsid w:val="000F46F4"/>
    <w:rsid w:val="000F6486"/>
    <w:rsid w:val="00115A06"/>
    <w:rsid w:val="00116B57"/>
    <w:rsid w:val="00125105"/>
    <w:rsid w:val="00127233"/>
    <w:rsid w:val="001457CE"/>
    <w:rsid w:val="00146C33"/>
    <w:rsid w:val="001511A0"/>
    <w:rsid w:val="00170720"/>
    <w:rsid w:val="00194234"/>
    <w:rsid w:val="00197B5C"/>
    <w:rsid w:val="001B3AF6"/>
    <w:rsid w:val="001E4177"/>
    <w:rsid w:val="001F4BFC"/>
    <w:rsid w:val="001F4E45"/>
    <w:rsid w:val="001F73CC"/>
    <w:rsid w:val="001F7DC6"/>
    <w:rsid w:val="00210BA9"/>
    <w:rsid w:val="00217227"/>
    <w:rsid w:val="002421BB"/>
    <w:rsid w:val="0024496B"/>
    <w:rsid w:val="0025796E"/>
    <w:rsid w:val="00260704"/>
    <w:rsid w:val="0026776A"/>
    <w:rsid w:val="002707A2"/>
    <w:rsid w:val="002778CC"/>
    <w:rsid w:val="0029092B"/>
    <w:rsid w:val="002923C7"/>
    <w:rsid w:val="002951A0"/>
    <w:rsid w:val="002962BC"/>
    <w:rsid w:val="002A093D"/>
    <w:rsid w:val="002A0DD0"/>
    <w:rsid w:val="002A49AC"/>
    <w:rsid w:val="002A64FD"/>
    <w:rsid w:val="002B4B99"/>
    <w:rsid w:val="002C026D"/>
    <w:rsid w:val="002C4A42"/>
    <w:rsid w:val="002C7A84"/>
    <w:rsid w:val="002D6177"/>
    <w:rsid w:val="002E4FD9"/>
    <w:rsid w:val="002F2F67"/>
    <w:rsid w:val="00322A85"/>
    <w:rsid w:val="00324168"/>
    <w:rsid w:val="0034078E"/>
    <w:rsid w:val="003448F4"/>
    <w:rsid w:val="003454F5"/>
    <w:rsid w:val="0035177C"/>
    <w:rsid w:val="003546D9"/>
    <w:rsid w:val="00374F5E"/>
    <w:rsid w:val="00377E3E"/>
    <w:rsid w:val="003A779E"/>
    <w:rsid w:val="003B1D43"/>
    <w:rsid w:val="003B5E3F"/>
    <w:rsid w:val="003D0F4D"/>
    <w:rsid w:val="003D5B0D"/>
    <w:rsid w:val="003E0499"/>
    <w:rsid w:val="003F3941"/>
    <w:rsid w:val="003F54CE"/>
    <w:rsid w:val="00406575"/>
    <w:rsid w:val="00414C74"/>
    <w:rsid w:val="0041751C"/>
    <w:rsid w:val="00417D34"/>
    <w:rsid w:val="0042722E"/>
    <w:rsid w:val="004314B3"/>
    <w:rsid w:val="0043328A"/>
    <w:rsid w:val="004372CB"/>
    <w:rsid w:val="00443333"/>
    <w:rsid w:val="0044528D"/>
    <w:rsid w:val="00465683"/>
    <w:rsid w:val="004A1847"/>
    <w:rsid w:val="004A2BB9"/>
    <w:rsid w:val="004A305D"/>
    <w:rsid w:val="004A589D"/>
    <w:rsid w:val="004C0C41"/>
    <w:rsid w:val="004F21C4"/>
    <w:rsid w:val="004F685F"/>
    <w:rsid w:val="004F748B"/>
    <w:rsid w:val="0050286A"/>
    <w:rsid w:val="005323F2"/>
    <w:rsid w:val="00544B39"/>
    <w:rsid w:val="005566E8"/>
    <w:rsid w:val="00574867"/>
    <w:rsid w:val="00591460"/>
    <w:rsid w:val="005A568E"/>
    <w:rsid w:val="005B0C7B"/>
    <w:rsid w:val="005B3816"/>
    <w:rsid w:val="005C3777"/>
    <w:rsid w:val="005C5CDC"/>
    <w:rsid w:val="005D476C"/>
    <w:rsid w:val="005F5284"/>
    <w:rsid w:val="006219F8"/>
    <w:rsid w:val="00647E16"/>
    <w:rsid w:val="006522F7"/>
    <w:rsid w:val="00652D33"/>
    <w:rsid w:val="006537A3"/>
    <w:rsid w:val="00665D70"/>
    <w:rsid w:val="00667042"/>
    <w:rsid w:val="00676AF3"/>
    <w:rsid w:val="006845CA"/>
    <w:rsid w:val="00687B5C"/>
    <w:rsid w:val="006900D9"/>
    <w:rsid w:val="00694C5C"/>
    <w:rsid w:val="006B2E68"/>
    <w:rsid w:val="006D5271"/>
    <w:rsid w:val="006D5793"/>
    <w:rsid w:val="006E46A2"/>
    <w:rsid w:val="006E76E7"/>
    <w:rsid w:val="00706C16"/>
    <w:rsid w:val="00711417"/>
    <w:rsid w:val="007400AD"/>
    <w:rsid w:val="00741291"/>
    <w:rsid w:val="00745191"/>
    <w:rsid w:val="00747A65"/>
    <w:rsid w:val="00756841"/>
    <w:rsid w:val="00756DEB"/>
    <w:rsid w:val="007649AB"/>
    <w:rsid w:val="00771D0C"/>
    <w:rsid w:val="007833AC"/>
    <w:rsid w:val="007959B3"/>
    <w:rsid w:val="007A747C"/>
    <w:rsid w:val="007B268C"/>
    <w:rsid w:val="007B7171"/>
    <w:rsid w:val="007C0C0F"/>
    <w:rsid w:val="007C10EC"/>
    <w:rsid w:val="007C3DC2"/>
    <w:rsid w:val="007D72BC"/>
    <w:rsid w:val="007E5497"/>
    <w:rsid w:val="007F22F9"/>
    <w:rsid w:val="00806F5F"/>
    <w:rsid w:val="0081065E"/>
    <w:rsid w:val="00820278"/>
    <w:rsid w:val="0082284F"/>
    <w:rsid w:val="00844778"/>
    <w:rsid w:val="00864BCB"/>
    <w:rsid w:val="00867F95"/>
    <w:rsid w:val="008843B6"/>
    <w:rsid w:val="00887DEF"/>
    <w:rsid w:val="00891928"/>
    <w:rsid w:val="008922F8"/>
    <w:rsid w:val="008A446D"/>
    <w:rsid w:val="008B143A"/>
    <w:rsid w:val="008C0421"/>
    <w:rsid w:val="008C5F73"/>
    <w:rsid w:val="008D180B"/>
    <w:rsid w:val="008D233E"/>
    <w:rsid w:val="008E24DC"/>
    <w:rsid w:val="008E2B4F"/>
    <w:rsid w:val="008F0EA7"/>
    <w:rsid w:val="00923EEF"/>
    <w:rsid w:val="00940B57"/>
    <w:rsid w:val="009419F9"/>
    <w:rsid w:val="0095685E"/>
    <w:rsid w:val="00961B09"/>
    <w:rsid w:val="00965334"/>
    <w:rsid w:val="0097093E"/>
    <w:rsid w:val="0098441C"/>
    <w:rsid w:val="00985201"/>
    <w:rsid w:val="00986AC5"/>
    <w:rsid w:val="009A0DFA"/>
    <w:rsid w:val="009B2D26"/>
    <w:rsid w:val="009B3E44"/>
    <w:rsid w:val="009C71FA"/>
    <w:rsid w:val="009C72E7"/>
    <w:rsid w:val="009D0B7B"/>
    <w:rsid w:val="009D3058"/>
    <w:rsid w:val="009F3A13"/>
    <w:rsid w:val="00A058C9"/>
    <w:rsid w:val="00A122D3"/>
    <w:rsid w:val="00A17F13"/>
    <w:rsid w:val="00A20739"/>
    <w:rsid w:val="00A254CD"/>
    <w:rsid w:val="00A306EA"/>
    <w:rsid w:val="00A33C78"/>
    <w:rsid w:val="00A41562"/>
    <w:rsid w:val="00A4365B"/>
    <w:rsid w:val="00A44D5A"/>
    <w:rsid w:val="00A65E60"/>
    <w:rsid w:val="00A73BC7"/>
    <w:rsid w:val="00A90252"/>
    <w:rsid w:val="00A96BD5"/>
    <w:rsid w:val="00AA69FA"/>
    <w:rsid w:val="00AB0ADB"/>
    <w:rsid w:val="00AC1F27"/>
    <w:rsid w:val="00AC569C"/>
    <w:rsid w:val="00AD5C02"/>
    <w:rsid w:val="00AE143D"/>
    <w:rsid w:val="00B01B1A"/>
    <w:rsid w:val="00B3479A"/>
    <w:rsid w:val="00B35E4E"/>
    <w:rsid w:val="00B3624E"/>
    <w:rsid w:val="00B66319"/>
    <w:rsid w:val="00B72CD3"/>
    <w:rsid w:val="00B72FFF"/>
    <w:rsid w:val="00B812B8"/>
    <w:rsid w:val="00B83F4C"/>
    <w:rsid w:val="00BC3D36"/>
    <w:rsid w:val="00BD7F72"/>
    <w:rsid w:val="00BE1BE0"/>
    <w:rsid w:val="00C00DAD"/>
    <w:rsid w:val="00C04FB3"/>
    <w:rsid w:val="00C330EB"/>
    <w:rsid w:val="00C343FE"/>
    <w:rsid w:val="00C34AC6"/>
    <w:rsid w:val="00C37C9C"/>
    <w:rsid w:val="00C41061"/>
    <w:rsid w:val="00C60709"/>
    <w:rsid w:val="00C754BE"/>
    <w:rsid w:val="00C76B1C"/>
    <w:rsid w:val="00C82396"/>
    <w:rsid w:val="00C90274"/>
    <w:rsid w:val="00CB3D88"/>
    <w:rsid w:val="00CB6357"/>
    <w:rsid w:val="00CC1B26"/>
    <w:rsid w:val="00CE0BDC"/>
    <w:rsid w:val="00D041EF"/>
    <w:rsid w:val="00D342CA"/>
    <w:rsid w:val="00D423A2"/>
    <w:rsid w:val="00D42D28"/>
    <w:rsid w:val="00D4374D"/>
    <w:rsid w:val="00D44C84"/>
    <w:rsid w:val="00D520D8"/>
    <w:rsid w:val="00D63AC2"/>
    <w:rsid w:val="00D7383B"/>
    <w:rsid w:val="00D92F77"/>
    <w:rsid w:val="00DA231B"/>
    <w:rsid w:val="00DA6BD2"/>
    <w:rsid w:val="00DC03AD"/>
    <w:rsid w:val="00DC38C4"/>
    <w:rsid w:val="00DC39FC"/>
    <w:rsid w:val="00DF5254"/>
    <w:rsid w:val="00E16408"/>
    <w:rsid w:val="00E20894"/>
    <w:rsid w:val="00E245AB"/>
    <w:rsid w:val="00E25DCF"/>
    <w:rsid w:val="00E2764C"/>
    <w:rsid w:val="00E27F2E"/>
    <w:rsid w:val="00E50516"/>
    <w:rsid w:val="00E50AFE"/>
    <w:rsid w:val="00E6715D"/>
    <w:rsid w:val="00E75C92"/>
    <w:rsid w:val="00E771DC"/>
    <w:rsid w:val="00E80AE7"/>
    <w:rsid w:val="00E8273D"/>
    <w:rsid w:val="00E829FF"/>
    <w:rsid w:val="00E8400A"/>
    <w:rsid w:val="00E8772A"/>
    <w:rsid w:val="00E90F6B"/>
    <w:rsid w:val="00E92C27"/>
    <w:rsid w:val="00EA0E3D"/>
    <w:rsid w:val="00EC38A7"/>
    <w:rsid w:val="00ED7384"/>
    <w:rsid w:val="00EE1AA8"/>
    <w:rsid w:val="00F07E09"/>
    <w:rsid w:val="00F31EDC"/>
    <w:rsid w:val="00F45C87"/>
    <w:rsid w:val="00F462B3"/>
    <w:rsid w:val="00F5664F"/>
    <w:rsid w:val="00F666C4"/>
    <w:rsid w:val="00F70E6A"/>
    <w:rsid w:val="00F76AFC"/>
    <w:rsid w:val="00FA47C0"/>
    <w:rsid w:val="00FB2A55"/>
    <w:rsid w:val="00FB5DD1"/>
    <w:rsid w:val="00FC179E"/>
    <w:rsid w:val="00FC28B3"/>
    <w:rsid w:val="00FC2B5D"/>
    <w:rsid w:val="00FE507E"/>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323F2"/>
    <w:rPr>
      <w:rFonts w:ascii="Geomanist Light" w:hAnsi="Geomanist Light"/>
      <w:lang w:val="es-ES"/>
    </w:rPr>
  </w:style>
  <w:style w:type="paragraph" w:customStyle="1" w:styleId="Appelnotedebasde">
    <w:name w:val="Appel note de bas de..."/>
    <w:basedOn w:val="Normal"/>
    <w:link w:val="Refdenotaalpie"/>
    <w:uiPriority w:val="99"/>
    <w:rsid w:val="00260704"/>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973210">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086540629">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562710461">
      <w:bodyDiv w:val="1"/>
      <w:marLeft w:val="0"/>
      <w:marRight w:val="0"/>
      <w:marTop w:val="0"/>
      <w:marBottom w:val="0"/>
      <w:divBdr>
        <w:top w:val="none" w:sz="0" w:space="0" w:color="auto"/>
        <w:left w:val="none" w:sz="0" w:space="0" w:color="auto"/>
        <w:bottom w:val="none" w:sz="0" w:space="0" w:color="auto"/>
        <w:right w:val="none" w:sz="0" w:space="0" w:color="auto"/>
      </w:divBdr>
    </w:div>
    <w:div w:id="1837768685">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documentos-tipo/documentos-tip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daleja@hot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ala-de-prensa%2Fboletin-digital&amp;data=05%7C02%7Cana.ortizb%40colombiacompra.gov.co%7C6192b0470d324981a09708dd0a6c28db%7C7b09041e245149d08cb179d5e3d8c1be%7C0%7C0%7C638678181870275682%7CUnknown%7CTWFpbGZsb3d8eyJFbXB0eU1hcGkiOnRydWUsIlYiOiIwLjAuMDAwMCIsIlAiOiJXaW4zMiIsIkFOIjoiTWFpbCIsIldUIjoyfQ%3D%3D%7C0%7C%7C%7C&amp;sdata=p0GFj1VBUfthqd8T5xnFB7dri6l2lgXegV4TNtfJ5Gc%3D&amp;reserved=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sites%2Fcce_public%2Ffiles%2Fcce_documents%2Fmanual_para_el_manejo_de_acuerdos_comerciales_vf.pdf&amp;data=05%7C02%7Cana.ortizb%40colombiacompra.gov.co%7C6192b0470d324981a09708dd0a6c28db%7C7b09041e245149d08cb179d5e3d8c1be%7C0%7C0%7C638678181870208042%7CUnknown%7CTWFpbGZsb3d8eyJFbXB0eU1hcGkiOnRydWUsIlYiOiIwLjAuMDAwMCIsIlAiOiJXaW4zMiIsIkFOIjoiTWFpbCIsIldUIjoyfQ%3D%3D%7C0%7C%7C%7C&amp;sdata=T2aU0Q5vXhbYrL0XWa%2BoLFPWSByM6GrIG1Uv0bDGk%2FA%3D&amp;reserved=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documentos-tipo/documentos-tip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purl.org/dc/terms/"/>
    <ds:schemaRef ds:uri="http://schemas.microsoft.com/office/2006/metadata/properties"/>
    <ds:schemaRef ds:uri="http://schemas.microsoft.com/office/2006/documentManagement/types"/>
    <ds:schemaRef ds:uri="8ae15d26-076e-464e-81a7-6f76a0fb3917"/>
    <ds:schemaRef ds:uri="http://schemas.microsoft.com/office/infopath/2007/PartnerControls"/>
    <ds:schemaRef ds:uri="http://purl.org/dc/elements/1.1/"/>
    <ds:schemaRef ds:uri="http://schemas.openxmlformats.org/package/2006/metadata/core-properties"/>
    <ds:schemaRef ds:uri="36c82cfe-0eda-494d-b392-a9281b89aaf0"/>
    <ds:schemaRef ds:uri="http://www.w3.org/XML/1998/namespace"/>
    <ds:schemaRef ds:uri="http://purl.org/dc/dcmitype/"/>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30CF5AD8-AB8D-4772-9EA9-F25A9CCF3B89}"/>
</file>

<file path=docProps/app.xml><?xml version="1.0" encoding="utf-8"?>
<Properties xmlns="http://schemas.openxmlformats.org/officeDocument/2006/extended-properties" xmlns:vt="http://schemas.openxmlformats.org/officeDocument/2006/docPropsVTypes">
  <Template>Normal</Template>
  <TotalTime>5</TotalTime>
  <Pages>11</Pages>
  <Words>3537</Words>
  <Characters>19458</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Subdirección de Gestión Contractual -ANCP-CCE</cp:lastModifiedBy>
  <cp:revision>42</cp:revision>
  <cp:lastPrinted>2023-01-10T21:18:00Z</cp:lastPrinted>
  <dcterms:created xsi:type="dcterms:W3CDTF">2024-12-11T01:43:00Z</dcterms:created>
  <dcterms:modified xsi:type="dcterms:W3CDTF">2024-12-14T00:31:00Z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