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45512B" w:rsidR="0045512B" w:rsidP="009D513D" w:rsidRDefault="0045512B" w14:paraId="16E65279" w14:textId="6932A007">
      <w:pPr>
        <w:spacing w:after="0" w:line="240" w:lineRule="auto"/>
        <w:rPr>
          <w:rFonts w:ascii="Verdana" w:hAnsi="Verdana" w:eastAsia="Calibri" w:cs="Arial"/>
          <w:b/>
          <w:color w:val="000000"/>
          <w:lang w:val="es-ES" w:eastAsia="en-GB"/>
        </w:rPr>
      </w:pPr>
      <w:r w:rsidRPr="0045512B">
        <w:rPr>
          <w:rFonts w:ascii="Verdana" w:hAnsi="Verdana" w:eastAsia="Geomanist Light" w:cs="Arial"/>
          <w:b/>
          <w:lang w:val="es-ES"/>
        </w:rPr>
        <w:t xml:space="preserve">PARTICIPACION CIUDADANA - </w:t>
      </w:r>
      <w:r w:rsidRPr="0045512B">
        <w:rPr>
          <w:rFonts w:ascii="Verdana" w:hAnsi="Verdana" w:eastAsia="Calibri" w:cs="Arial"/>
          <w:b/>
          <w:color w:val="000000"/>
          <w:lang w:val="es-ES" w:eastAsia="en-GB"/>
        </w:rPr>
        <w:t>Fundamentos legales y constitucionales</w:t>
      </w:r>
    </w:p>
    <w:p w:rsidR="0045512B" w:rsidP="009D513D" w:rsidRDefault="0045512B" w14:paraId="531F52BA" w14:textId="77777777">
      <w:pPr>
        <w:spacing w:after="0" w:line="240" w:lineRule="auto"/>
        <w:rPr>
          <w:rFonts w:ascii="Verdana" w:hAnsi="Verdana" w:eastAsia="Calibri" w:cs="Arial"/>
          <w:bCs/>
          <w:color w:val="000000"/>
          <w:lang w:val="es-ES" w:eastAsia="en-GB"/>
        </w:rPr>
      </w:pPr>
    </w:p>
    <w:p w:rsidRPr="0045512B" w:rsidR="0045512B" w:rsidP="0045512B" w:rsidRDefault="0045512B" w14:paraId="0733B30E" w14:textId="0DDFFC5A">
      <w:pPr>
        <w:tabs>
          <w:tab w:val="left" w:pos="426"/>
        </w:tabs>
        <w:spacing w:after="0" w:line="240" w:lineRule="auto"/>
        <w:jc w:val="both"/>
        <w:rPr>
          <w:rFonts w:ascii="Verdana" w:hAnsi="Verdana" w:cs="Arial"/>
          <w:color w:val="000000" w:themeColor="text1"/>
          <w:sz w:val="21"/>
          <w:szCs w:val="21"/>
          <w:lang w:val="es-ES" w:eastAsia="es-ES_tradnl"/>
        </w:rPr>
      </w:pPr>
      <w:r w:rsidRPr="0045512B">
        <w:rPr>
          <w:rFonts w:ascii="Verdana" w:hAnsi="Verdana" w:cs="Arial"/>
          <w:color w:val="000000" w:themeColor="text1"/>
          <w:sz w:val="21"/>
          <w:szCs w:val="21"/>
          <w:lang w:val="es-ES" w:eastAsia="es-ES_tradnl"/>
        </w:rPr>
        <w:t xml:space="preserve">La participación ciudadana en las decisiones del Estado tiene fundamento en la Constitución Política. En efecto, el artículo 2 de la Constitución dispone cuáles son los fines esenciales del Estado, entre ellos, “[...] </w:t>
      </w:r>
      <w:r w:rsidRPr="0045512B">
        <w:rPr>
          <w:rFonts w:ascii="Verdana" w:hAnsi="Verdana" w:eastAsia="Calibri" w:cs="Arial"/>
          <w:bCs/>
          <w:color w:val="000000" w:themeColor="text1"/>
          <w:sz w:val="21"/>
          <w:szCs w:val="21"/>
          <w:lang w:val="es-ES"/>
        </w:rPr>
        <w:t>facilitar la participación de todos en las decisiones que los afectan y en la vida económica, política, administrativa y cultural de la Nación</w:t>
      </w:r>
      <w:r w:rsidRPr="0045512B">
        <w:rPr>
          <w:rFonts w:ascii="Verdana" w:hAnsi="Verdana" w:eastAsia="Calibri" w:cs="Arial"/>
          <w:bCs/>
          <w:i/>
          <w:iCs/>
          <w:color w:val="000000" w:themeColor="text1"/>
          <w:sz w:val="21"/>
          <w:szCs w:val="21"/>
          <w:lang w:val="es-ES"/>
        </w:rPr>
        <w:t xml:space="preserve"> </w:t>
      </w:r>
      <w:r w:rsidRPr="0045512B">
        <w:rPr>
          <w:rFonts w:ascii="Verdana" w:hAnsi="Verdana" w:cs="Arial"/>
          <w:color w:val="000000" w:themeColor="text1"/>
          <w:sz w:val="21"/>
          <w:szCs w:val="21"/>
          <w:lang w:val="es-ES" w:eastAsia="es-ES_tradnl"/>
        </w:rPr>
        <w:t xml:space="preserve">[...]”. </w:t>
      </w:r>
    </w:p>
    <w:p w:rsidRPr="0045512B" w:rsidR="0045512B" w:rsidP="0045512B" w:rsidRDefault="0045512B" w14:paraId="6568C194" w14:textId="77777777">
      <w:pPr>
        <w:pStyle w:val="Prrafodelista"/>
        <w:tabs>
          <w:tab w:val="left" w:pos="426"/>
        </w:tabs>
        <w:spacing w:line="240" w:lineRule="auto"/>
        <w:jc w:val="both"/>
        <w:rPr>
          <w:rFonts w:ascii="Verdana" w:hAnsi="Verdana" w:cs="Arial"/>
          <w:color w:val="000000" w:themeColor="text1"/>
          <w:sz w:val="21"/>
          <w:szCs w:val="21"/>
          <w:lang w:val="es-ES" w:eastAsia="es-ES_tradnl"/>
        </w:rPr>
      </w:pPr>
    </w:p>
    <w:p w:rsidRPr="0045512B" w:rsidR="0045512B" w:rsidP="0045512B" w:rsidRDefault="0045512B" w14:paraId="7ED72C05" w14:textId="77777777">
      <w:pPr>
        <w:tabs>
          <w:tab w:val="left" w:pos="426"/>
        </w:tabs>
        <w:spacing w:before="120" w:after="0" w:line="240" w:lineRule="auto"/>
        <w:jc w:val="both"/>
        <w:rPr>
          <w:rFonts w:ascii="Verdana" w:hAnsi="Verdana" w:eastAsia="Calibri" w:cs="Arial"/>
          <w:bCs/>
          <w:color w:val="000000" w:themeColor="text1"/>
          <w:sz w:val="21"/>
          <w:szCs w:val="21"/>
          <w:lang w:val="es-ES"/>
        </w:rPr>
      </w:pPr>
      <w:r w:rsidRPr="0045512B">
        <w:rPr>
          <w:rFonts w:ascii="Verdana" w:hAnsi="Verdana" w:cs="Arial"/>
          <w:color w:val="000000" w:themeColor="text1"/>
          <w:sz w:val="21"/>
          <w:szCs w:val="21"/>
          <w:lang w:val="es-ES" w:eastAsia="es-ES_tradnl"/>
        </w:rPr>
        <w:t xml:space="preserve">Por su parte, el artículo 270 de la Constitución atribuye a la Ley la organización de “[...] las formas y los sistemas de participación ciudadana que permitan vigilar la gestión pública que se cumpla en los diversos niveles administrativos y sus resultados”. Por tanto, </w:t>
      </w:r>
      <w:r w:rsidRPr="0045512B">
        <w:rPr>
          <w:rFonts w:ascii="Verdana" w:hAnsi="Verdana" w:eastAsia="Calibri" w:cs="Arial"/>
          <w:bCs/>
          <w:color w:val="000000" w:themeColor="text1"/>
          <w:sz w:val="21"/>
          <w:szCs w:val="21"/>
          <w:lang w:val="es-ES"/>
        </w:rPr>
        <w:t xml:space="preserve">la participación ciudadana es un elemento fundante del pacto social sobre el que se erige el Estado colombiano. </w:t>
      </w:r>
    </w:p>
    <w:p w:rsidRPr="0045512B" w:rsidR="0045512B" w:rsidP="0045512B" w:rsidRDefault="0045512B" w14:paraId="50D5B2A7" w14:textId="77777777">
      <w:pPr>
        <w:tabs>
          <w:tab w:val="left" w:pos="426"/>
        </w:tabs>
        <w:spacing w:before="120" w:after="0" w:line="240" w:lineRule="auto"/>
        <w:jc w:val="both"/>
        <w:rPr>
          <w:rFonts w:ascii="Verdana" w:hAnsi="Verdana" w:eastAsia="Calibri" w:cs="Arial"/>
          <w:bCs/>
          <w:color w:val="000000" w:themeColor="text1"/>
          <w:sz w:val="21"/>
          <w:szCs w:val="21"/>
          <w:lang w:val="es-ES"/>
        </w:rPr>
      </w:pPr>
    </w:p>
    <w:p w:rsidR="0045512B" w:rsidP="0045512B" w:rsidRDefault="0045512B" w14:paraId="76B13463" w14:textId="5C4CA7D0">
      <w:pPr>
        <w:spacing w:after="0" w:line="240" w:lineRule="auto"/>
        <w:jc w:val="both"/>
        <w:rPr>
          <w:rFonts w:ascii="Verdana" w:hAnsi="Verdana" w:cs="Arial"/>
          <w:color w:val="000000" w:themeColor="text1"/>
          <w:sz w:val="21"/>
          <w:szCs w:val="21"/>
          <w:lang w:val="es-ES" w:eastAsia="es-ES_tradnl"/>
        </w:rPr>
      </w:pPr>
      <w:r w:rsidRPr="0045512B">
        <w:rPr>
          <w:rFonts w:ascii="Verdana" w:hAnsi="Verdana" w:cs="Arial"/>
          <w:color w:val="000000" w:themeColor="text1"/>
          <w:sz w:val="21"/>
          <w:szCs w:val="21"/>
          <w:lang w:val="es-ES" w:eastAsia="es-ES_tradnl"/>
        </w:rPr>
        <w:t>Desde el punto de vista legal, las reglas sobre la participación comunitaria en materia de contratación estatal fueron fijadas por el artículo 66 de la Ley 80 de 1993</w:t>
      </w:r>
      <w:r w:rsidRPr="0045512B">
        <w:rPr>
          <w:rFonts w:ascii="Verdana" w:hAnsi="Verdana" w:cs="Arial"/>
          <w:color w:val="000000" w:themeColor="text1"/>
          <w:sz w:val="21"/>
          <w:szCs w:val="21"/>
          <w:lang w:val="es-ES" w:eastAsia="es-ES_tradnl"/>
        </w:rPr>
        <w:t xml:space="preserve"> […]</w:t>
      </w:r>
    </w:p>
    <w:p w:rsidR="0045512B" w:rsidP="0045512B" w:rsidRDefault="0045512B" w14:paraId="030D4584" w14:textId="77777777">
      <w:pPr>
        <w:spacing w:after="0" w:line="240" w:lineRule="auto"/>
        <w:jc w:val="both"/>
        <w:rPr>
          <w:rFonts w:ascii="Verdana" w:hAnsi="Verdana" w:cs="Arial"/>
          <w:color w:val="000000" w:themeColor="text1"/>
          <w:sz w:val="21"/>
          <w:szCs w:val="21"/>
          <w:lang w:val="es-ES" w:eastAsia="es-ES_tradnl"/>
        </w:rPr>
      </w:pPr>
    </w:p>
    <w:p w:rsidRPr="0045512B" w:rsidR="0045512B" w:rsidP="0045512B" w:rsidRDefault="0045512B" w14:paraId="5FEAE0E9" w14:textId="77777777">
      <w:pPr>
        <w:spacing w:line="276" w:lineRule="auto"/>
        <w:jc w:val="both"/>
        <w:rPr>
          <w:rFonts w:ascii="Verdana" w:hAnsi="Verdana" w:eastAsia="Calibri" w:cs="Arial"/>
          <w:b/>
          <w:color w:val="000000" w:themeColor="text1"/>
          <w:lang w:val="es-ES" w:eastAsia="es-ES"/>
        </w:rPr>
      </w:pPr>
      <w:r w:rsidRPr="0045512B">
        <w:rPr>
          <w:rFonts w:ascii="Verdana" w:hAnsi="Verdana" w:eastAsia="Calibri" w:cs="Arial"/>
          <w:b/>
          <w:color w:val="000000"/>
          <w:lang w:val="es-ES" w:eastAsia="en-GB"/>
        </w:rPr>
        <w:t>VEEDURIAS CIUDADANAS - Naturaleza</w:t>
      </w:r>
      <w:r w:rsidRPr="0045512B">
        <w:rPr>
          <w:rFonts w:ascii="Verdana" w:hAnsi="Verdana" w:eastAsia="Calibri" w:cs="Arial"/>
          <w:b/>
          <w:color w:val="000000" w:themeColor="text1"/>
          <w:lang w:val="es-ES" w:eastAsia="es-ES"/>
        </w:rPr>
        <w:t xml:space="preserve"> - Obligación</w:t>
      </w:r>
    </w:p>
    <w:p w:rsidRPr="00AB0862" w:rsidR="0045512B" w:rsidP="0045512B" w:rsidRDefault="0045512B" w14:paraId="5C3BED36" w14:textId="77777777">
      <w:pPr>
        <w:spacing w:after="0" w:line="240"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 xml:space="preserve">Para responder el interrogante planteado, para la Agencia resulta pertinente determinar el marco de aplicación del control social en la actividad contractual, así como las etapas del proceso de contratación en las cuales puede ejercerse la vigilancia y control de la gestión pública por parte de la ciudadanía y, por ende, de las veedurías ciudadanas. </w:t>
      </w:r>
    </w:p>
    <w:p w:rsidRPr="00AB0862" w:rsidR="0045512B" w:rsidP="0045512B" w:rsidRDefault="0045512B" w14:paraId="020810AE" w14:textId="77777777">
      <w:pPr>
        <w:shd w:val="clear" w:color="auto" w:fill="FFFFFF"/>
        <w:spacing w:after="0" w:line="240" w:lineRule="auto"/>
        <w:jc w:val="both"/>
        <w:rPr>
          <w:rFonts w:ascii="Verdana" w:hAnsi="Verdana" w:eastAsia="Times New Roman" w:cs="Arial"/>
          <w:color w:val="000000" w:themeColor="text1"/>
          <w:lang w:val="es-ES" w:eastAsia="es-ES_tradnl"/>
        </w:rPr>
      </w:pPr>
      <w:r w:rsidRPr="00AB0862">
        <w:rPr>
          <w:rFonts w:ascii="Verdana" w:hAnsi="Verdana" w:eastAsia="Times New Roman" w:cs="Arial"/>
          <w:color w:val="000000" w:themeColor="text1"/>
          <w:lang w:val="es-ES" w:eastAsia="es-ES_tradnl"/>
        </w:rPr>
        <w:t xml:space="preserve">Es por ello que como primera medida, el Decreto 1082 de 2015, en su artículo 2.2.1.1.2.1.5., hace referencia a las convocatorias de las veedurías ciudadanas en relación con el acto administrativo de apertura del proceso de selección. </w:t>
      </w:r>
    </w:p>
    <w:p w:rsidRPr="00AB0862" w:rsidR="0045512B" w:rsidP="0045512B" w:rsidRDefault="0045512B" w14:paraId="0A749172" w14:textId="77777777">
      <w:pPr>
        <w:shd w:val="clear" w:color="auto" w:fill="FFFFFF"/>
        <w:spacing w:before="120" w:after="0" w:line="240" w:lineRule="auto"/>
        <w:jc w:val="both"/>
        <w:rPr>
          <w:rFonts w:ascii="Verdana" w:hAnsi="Verdana" w:eastAsia="Times New Roman" w:cs="Arial"/>
          <w:color w:val="000000" w:themeColor="text1"/>
          <w:lang w:val="es-ES" w:eastAsia="es-ES_tradnl"/>
        </w:rPr>
      </w:pPr>
      <w:r w:rsidRPr="00AB0862">
        <w:rPr>
          <w:rFonts w:ascii="Verdana" w:hAnsi="Verdana" w:eastAsia="Times New Roman" w:cs="Arial"/>
          <w:color w:val="000000" w:themeColor="text1"/>
          <w:lang w:val="es-ES" w:eastAsia="es-ES_tradnl"/>
        </w:rPr>
        <w:t xml:space="preserve">El citado Decreto específicamente establece que “la Entidad Estatal debe ordenar la apertura del proceso de selección, mediante acto administrativo de carácter general, sin perjuicio de lo dispuesto en las Disposiciones Especiales para las modalidades de selección, previstas en el capítulo 2 del presente título”. Dicho acto deberá señalar, entre otros aspectos, la convocatoria a las veedurías ciudadanas, en virtud de la cual se invita a estas a participar en el proceso de selección que se inicia, con el propósito de que realicen el control social a la actividad contractual.  </w:t>
      </w:r>
    </w:p>
    <w:p w:rsidRPr="00AB0862" w:rsidR="0045512B" w:rsidP="0045512B" w:rsidRDefault="0045512B" w14:paraId="34FC78AA" w14:textId="77777777">
      <w:pPr>
        <w:shd w:val="clear" w:color="auto" w:fill="FFFFFF"/>
        <w:spacing w:before="120" w:after="0" w:line="240" w:lineRule="auto"/>
        <w:jc w:val="both"/>
        <w:rPr>
          <w:rFonts w:ascii="Verdana" w:hAnsi="Verdana" w:eastAsia="Times New Roman" w:cs="Arial"/>
          <w:color w:val="000000" w:themeColor="text1"/>
          <w:lang w:val="es-ES" w:eastAsia="es-ES_tradnl"/>
        </w:rPr>
      </w:pPr>
      <w:r w:rsidRPr="00AB0862">
        <w:rPr>
          <w:rFonts w:ascii="Verdana" w:hAnsi="Verdana" w:eastAsia="Times New Roman" w:cs="Arial"/>
          <w:color w:val="000000" w:themeColor="text1"/>
          <w:lang w:val="es-ES" w:eastAsia="es-ES_tradnl"/>
        </w:rPr>
        <w:lastRenderedPageBreak/>
        <w:t>En lo concerniente a la contratación directa, el Decreto 1082 de 2015 estableció unos procedimientos especiales que no contemplan la expedición de un acto administrativo de apertura, ni el aviso de convocatoria establecido en el artículo 2.2.1.1.2.1.2 del mismo cuerpo normativo. Por ende, en atención al principio de economía en los procesos de contratación, por medio del cual no es posible adelantar procedimientos o etapas que no estén expresamente previstos en las normas, en esta modalidad de selección no se expide un acto administrativo de apertura y, en consecuencia, no hay convocatoria a las veedurías ciudadanas en los términos del artículo 2.2.1.1.2.1.5 del Decreto 1082 de 2015.</w:t>
      </w:r>
    </w:p>
    <w:p w:rsidR="0045512B" w:rsidP="0045512B" w:rsidRDefault="0045512B" w14:paraId="54ADEFB5" w14:textId="0CD18EDE">
      <w:pPr>
        <w:shd w:val="clear" w:color="auto" w:fill="FFFFFF"/>
        <w:spacing w:before="120"/>
        <w:jc w:val="both"/>
        <w:rPr>
          <w:rFonts w:ascii="Verdana" w:hAnsi="Verdana" w:eastAsia="Times New Roman" w:cs="Arial"/>
          <w:color w:val="000000" w:themeColor="text1"/>
          <w:lang w:val="es-ES" w:eastAsia="es-ES_tradnl"/>
        </w:rPr>
      </w:pPr>
      <w:r w:rsidRPr="00AB0862">
        <w:rPr>
          <w:rFonts w:ascii="Verdana" w:hAnsi="Verdana" w:eastAsia="Times New Roman" w:cs="Arial"/>
          <w:color w:val="000000" w:themeColor="text1"/>
          <w:lang w:val="es-ES" w:eastAsia="es-ES_tradnl"/>
        </w:rPr>
        <w:t>Sin embargo, ello no impide que los ciudadanos individualmente considerados, o las organizaciones constituidas para tal fin, por ejemplo, las veedurías ciudadanas, puedan participar y ejercer el control social respecto de los procesos en la modalidad de contratación directa. Ello, se reitera, por cuanto todos los contratos que celebren las entidades del Estado están sujetos a la vigilancia y control ciudadano.</w:t>
      </w:r>
      <w:r>
        <w:rPr>
          <w:rFonts w:ascii="Verdana" w:hAnsi="Verdana" w:eastAsia="Times New Roman" w:cs="Arial"/>
          <w:color w:val="000000" w:themeColor="text1"/>
          <w:lang w:val="es-ES" w:eastAsia="es-ES_tradnl"/>
        </w:rPr>
        <w:t xml:space="preserve"> </w:t>
      </w:r>
    </w:p>
    <w:p w:rsidRPr="00AB0862" w:rsidR="0045512B" w:rsidP="0045512B" w:rsidRDefault="0045512B" w14:paraId="5B3CBA2B" w14:textId="54277159">
      <w:pPr>
        <w:shd w:val="clear" w:color="auto" w:fill="FFFFFF"/>
        <w:spacing w:before="120" w:after="0" w:line="240" w:lineRule="auto"/>
        <w:jc w:val="both"/>
        <w:rPr>
          <w:rFonts w:ascii="Verdana" w:hAnsi="Verdana" w:eastAsia="Times New Roman" w:cs="Arial"/>
          <w:color w:val="000000" w:themeColor="text1"/>
          <w:lang w:val="es-ES" w:eastAsia="es-ES_tradnl"/>
        </w:rPr>
      </w:pPr>
      <w:r>
        <w:rPr>
          <w:rFonts w:ascii="Verdana" w:hAnsi="Verdana" w:eastAsia="Times New Roman" w:cs="Arial"/>
          <w:color w:val="000000" w:themeColor="text1"/>
          <w:lang w:val="es-ES" w:eastAsia="es-ES_tradnl"/>
        </w:rPr>
        <w:t xml:space="preserve">[…] </w:t>
      </w:r>
    </w:p>
    <w:p w:rsidR="0045512B" w:rsidP="0045512B" w:rsidRDefault="0045512B" w14:paraId="2B806C05" w14:textId="77777777">
      <w:pPr>
        <w:spacing w:after="0" w:line="240" w:lineRule="auto"/>
        <w:jc w:val="both"/>
        <w:rPr>
          <w:rFonts w:ascii="Verdana" w:hAnsi="Verdana" w:eastAsia="Times New Roman" w:cs="Arial"/>
          <w:color w:val="000000" w:themeColor="text1"/>
          <w:lang w:val="es-ES" w:eastAsia="es-ES_tradnl"/>
        </w:rPr>
      </w:pPr>
    </w:p>
    <w:p w:rsidR="0045512B" w:rsidP="0045512B" w:rsidRDefault="0045512B" w14:paraId="7A7AF7F5" w14:textId="77777777">
      <w:pPr>
        <w:spacing w:after="0" w:line="240" w:lineRule="auto"/>
        <w:jc w:val="both"/>
        <w:rPr>
          <w:rFonts w:ascii="Verdana" w:hAnsi="Verdana" w:eastAsia="Times New Roman" w:cs="Arial"/>
          <w:color w:val="000000" w:themeColor="text1"/>
          <w:lang w:val="es-ES" w:eastAsia="es-ES_tradnl"/>
        </w:rPr>
      </w:pPr>
    </w:p>
    <w:p w:rsidR="0045512B" w:rsidP="0045512B" w:rsidRDefault="0045512B" w14:paraId="17973FA0" w14:textId="77777777">
      <w:pPr>
        <w:spacing w:after="0" w:line="240" w:lineRule="auto"/>
        <w:jc w:val="both"/>
        <w:rPr>
          <w:rFonts w:ascii="Verdana" w:hAnsi="Verdana" w:eastAsia="Times New Roman" w:cs="Arial"/>
          <w:color w:val="000000" w:themeColor="text1"/>
          <w:lang w:val="es-ES" w:eastAsia="es-ES_tradnl"/>
        </w:rPr>
      </w:pPr>
    </w:p>
    <w:p w:rsidRPr="0045512B" w:rsidR="0045512B" w:rsidP="0045512B" w:rsidRDefault="0045512B" w14:paraId="1D142B54" w14:textId="77777777">
      <w:pPr>
        <w:spacing w:after="0" w:line="240" w:lineRule="auto"/>
        <w:jc w:val="both"/>
        <w:rPr>
          <w:rFonts w:ascii="Verdana" w:hAnsi="Verdana" w:eastAsia="Geomanist Light" w:cs="Arial"/>
          <w:color w:val="000000" w:themeColor="text1"/>
          <w:sz w:val="21"/>
          <w:szCs w:val="21"/>
          <w:lang w:val="es-MX"/>
        </w:rPr>
      </w:pPr>
    </w:p>
    <w:p w:rsidR="0045512B" w:rsidP="009D513D" w:rsidRDefault="0045512B" w14:paraId="3DBF2671" w14:textId="77777777">
      <w:pPr>
        <w:spacing w:after="0" w:line="240" w:lineRule="auto"/>
        <w:rPr>
          <w:rFonts w:ascii="Verdana" w:hAnsi="Verdana" w:eastAsia="Geomanist Light" w:cs="Arial"/>
          <w:color w:val="000000" w:themeColor="text1"/>
          <w:lang w:val="es-MX"/>
        </w:rPr>
      </w:pPr>
    </w:p>
    <w:p w:rsidR="0045512B" w:rsidP="009D513D" w:rsidRDefault="0045512B" w14:paraId="7FEFC99A" w14:textId="77777777">
      <w:pPr>
        <w:spacing w:after="0" w:line="240" w:lineRule="auto"/>
        <w:rPr>
          <w:rFonts w:ascii="Verdana" w:hAnsi="Verdana" w:eastAsia="Geomanist Light" w:cs="Arial"/>
          <w:color w:val="000000" w:themeColor="text1"/>
          <w:lang w:val="es-MX"/>
        </w:rPr>
      </w:pPr>
    </w:p>
    <w:p w:rsidR="0045512B" w:rsidP="009D513D" w:rsidRDefault="0045512B" w14:paraId="427C735A" w14:textId="77777777">
      <w:pPr>
        <w:spacing w:after="0" w:line="240" w:lineRule="auto"/>
        <w:rPr>
          <w:rFonts w:ascii="Verdana" w:hAnsi="Verdana" w:eastAsia="Geomanist Light" w:cs="Arial"/>
          <w:color w:val="000000" w:themeColor="text1"/>
          <w:lang w:val="es-MX"/>
        </w:rPr>
      </w:pPr>
    </w:p>
    <w:p w:rsidR="0045512B" w:rsidP="009D513D" w:rsidRDefault="0045512B" w14:paraId="3D088E78" w14:textId="77777777">
      <w:pPr>
        <w:spacing w:after="0" w:line="240" w:lineRule="auto"/>
        <w:rPr>
          <w:rFonts w:ascii="Verdana" w:hAnsi="Verdana" w:eastAsia="Geomanist Light" w:cs="Arial"/>
          <w:color w:val="000000" w:themeColor="text1"/>
          <w:lang w:val="es-MX"/>
        </w:rPr>
      </w:pPr>
    </w:p>
    <w:p w:rsidR="0045512B" w:rsidP="009D513D" w:rsidRDefault="0045512B" w14:paraId="375CB46B" w14:textId="77777777">
      <w:pPr>
        <w:spacing w:after="0" w:line="240" w:lineRule="auto"/>
        <w:rPr>
          <w:rFonts w:ascii="Verdana" w:hAnsi="Verdana" w:eastAsia="Geomanist Light" w:cs="Arial"/>
          <w:color w:val="000000" w:themeColor="text1"/>
          <w:lang w:val="es-MX"/>
        </w:rPr>
      </w:pPr>
    </w:p>
    <w:p w:rsidR="0045512B" w:rsidP="009D513D" w:rsidRDefault="0045512B" w14:paraId="73D99A89" w14:textId="77777777">
      <w:pPr>
        <w:spacing w:after="0" w:line="240" w:lineRule="auto"/>
        <w:rPr>
          <w:rFonts w:ascii="Verdana" w:hAnsi="Verdana" w:eastAsia="Geomanist Light" w:cs="Arial"/>
          <w:color w:val="000000" w:themeColor="text1"/>
          <w:lang w:val="es-MX"/>
        </w:rPr>
      </w:pPr>
    </w:p>
    <w:p w:rsidR="0045512B" w:rsidP="009D513D" w:rsidRDefault="0045512B" w14:paraId="70EAEEBD" w14:textId="77777777">
      <w:pPr>
        <w:spacing w:after="0" w:line="240" w:lineRule="auto"/>
        <w:rPr>
          <w:rFonts w:ascii="Verdana" w:hAnsi="Verdana" w:eastAsia="Geomanist Light" w:cs="Arial"/>
          <w:color w:val="000000" w:themeColor="text1"/>
          <w:lang w:val="es-MX"/>
        </w:rPr>
      </w:pPr>
    </w:p>
    <w:p w:rsidR="0045512B" w:rsidP="009D513D" w:rsidRDefault="0045512B" w14:paraId="57F04916" w14:textId="77777777">
      <w:pPr>
        <w:spacing w:after="0" w:line="240" w:lineRule="auto"/>
        <w:rPr>
          <w:rFonts w:ascii="Verdana" w:hAnsi="Verdana" w:eastAsia="Geomanist Light" w:cs="Arial"/>
          <w:color w:val="000000" w:themeColor="text1"/>
          <w:lang w:val="es-MX"/>
        </w:rPr>
      </w:pPr>
    </w:p>
    <w:p w:rsidR="0045512B" w:rsidP="009D513D" w:rsidRDefault="0045512B" w14:paraId="3E4FFC77" w14:textId="77777777">
      <w:pPr>
        <w:spacing w:after="0" w:line="240" w:lineRule="auto"/>
        <w:rPr>
          <w:rFonts w:ascii="Verdana" w:hAnsi="Verdana" w:eastAsia="Geomanist Light" w:cs="Arial"/>
          <w:color w:val="000000" w:themeColor="text1"/>
          <w:lang w:val="es-MX"/>
        </w:rPr>
      </w:pPr>
    </w:p>
    <w:p w:rsidR="0045512B" w:rsidP="009D513D" w:rsidRDefault="0045512B" w14:paraId="001C3DD2" w14:textId="77777777">
      <w:pPr>
        <w:spacing w:after="0" w:line="240" w:lineRule="auto"/>
        <w:rPr>
          <w:rFonts w:ascii="Verdana" w:hAnsi="Verdana" w:eastAsia="Geomanist Light" w:cs="Arial"/>
          <w:color w:val="000000" w:themeColor="text1"/>
          <w:lang w:val="es-MX"/>
        </w:rPr>
      </w:pPr>
    </w:p>
    <w:p w:rsidR="0045512B" w:rsidP="009D513D" w:rsidRDefault="0045512B" w14:paraId="79A1C253" w14:textId="77777777">
      <w:pPr>
        <w:spacing w:after="0" w:line="240" w:lineRule="auto"/>
        <w:rPr>
          <w:rFonts w:ascii="Verdana" w:hAnsi="Verdana" w:eastAsia="Geomanist Light" w:cs="Arial"/>
          <w:color w:val="000000" w:themeColor="text1"/>
          <w:lang w:val="es-MX"/>
        </w:rPr>
      </w:pPr>
    </w:p>
    <w:p w:rsidR="0045512B" w:rsidP="009D513D" w:rsidRDefault="0045512B" w14:paraId="61875595" w14:textId="77777777">
      <w:pPr>
        <w:spacing w:after="0" w:line="240" w:lineRule="auto"/>
        <w:rPr>
          <w:rFonts w:ascii="Verdana" w:hAnsi="Verdana" w:eastAsia="Geomanist Light" w:cs="Arial"/>
          <w:color w:val="000000" w:themeColor="text1"/>
          <w:lang w:val="es-MX"/>
        </w:rPr>
      </w:pPr>
    </w:p>
    <w:p w:rsidR="0045512B" w:rsidP="009D513D" w:rsidRDefault="0045512B" w14:paraId="1BE5C103" w14:textId="77777777">
      <w:pPr>
        <w:spacing w:after="0" w:line="240" w:lineRule="auto"/>
        <w:rPr>
          <w:rFonts w:ascii="Verdana" w:hAnsi="Verdana" w:eastAsia="Geomanist Light" w:cs="Arial"/>
          <w:color w:val="000000" w:themeColor="text1"/>
          <w:lang w:val="es-MX"/>
        </w:rPr>
      </w:pPr>
    </w:p>
    <w:p w:rsidR="0045512B" w:rsidP="009D513D" w:rsidRDefault="0045512B" w14:paraId="6B4062E2" w14:textId="77777777">
      <w:pPr>
        <w:spacing w:after="0" w:line="240" w:lineRule="auto"/>
        <w:rPr>
          <w:rFonts w:ascii="Verdana" w:hAnsi="Verdana" w:eastAsia="Geomanist Light" w:cs="Arial"/>
          <w:color w:val="000000" w:themeColor="text1"/>
          <w:lang w:val="es-MX"/>
        </w:rPr>
      </w:pPr>
    </w:p>
    <w:p w:rsidR="0045512B" w:rsidP="009D513D" w:rsidRDefault="0045512B" w14:paraId="4C1F7853" w14:textId="77777777">
      <w:pPr>
        <w:spacing w:after="0" w:line="240" w:lineRule="auto"/>
        <w:rPr>
          <w:rFonts w:ascii="Verdana" w:hAnsi="Verdana" w:eastAsia="Geomanist Light" w:cs="Arial"/>
          <w:color w:val="000000" w:themeColor="text1"/>
          <w:lang w:val="es-MX"/>
        </w:rPr>
      </w:pPr>
    </w:p>
    <w:p w:rsidR="0045512B" w:rsidP="009D513D" w:rsidRDefault="0045512B" w14:paraId="3FEC97C3" w14:textId="77777777">
      <w:pPr>
        <w:spacing w:after="0" w:line="240" w:lineRule="auto"/>
        <w:rPr>
          <w:rFonts w:ascii="Verdana" w:hAnsi="Verdana" w:eastAsia="Geomanist Light" w:cs="Arial"/>
          <w:color w:val="000000" w:themeColor="text1"/>
          <w:lang w:val="es-MX"/>
        </w:rPr>
      </w:pPr>
    </w:p>
    <w:p w:rsidRPr="00593A5F" w:rsidR="009D513D" w:rsidP="009D513D" w:rsidRDefault="009D513D" w14:paraId="402BACDF" w14:textId="73C2C17F">
      <w:pPr>
        <w:spacing w:after="0" w:line="240" w:lineRule="auto"/>
        <w:rPr>
          <w:rFonts w:ascii="Verdana" w:hAnsi="Verdana" w:eastAsia="Geomanist Light" w:cs="Arial"/>
          <w:color w:val="201F1E"/>
          <w:lang w:val="es-MX"/>
        </w:rPr>
      </w:pPr>
      <w:r w:rsidRPr="00593A5F">
        <w:rPr>
          <w:rFonts w:ascii="Verdana" w:hAnsi="Verdana" w:eastAsia="Geomanist Light" w:cs="Arial"/>
          <w:color w:val="000000" w:themeColor="text1"/>
          <w:lang w:val="es-MX"/>
        </w:rPr>
        <w:lastRenderedPageBreak/>
        <w:t>Bogotá D.C., </w:t>
      </w:r>
      <w:r w:rsidR="0045512B">
        <w:rPr>
          <w:rFonts w:ascii="Verdana" w:hAnsi="Verdana" w:eastAsia="Geomanist Light" w:cs="Arial"/>
          <w:color w:val="201F1E"/>
          <w:lang w:val="es-MX"/>
        </w:rPr>
        <w:t>27</w:t>
      </w:r>
      <w:r w:rsidRPr="00593A5F">
        <w:rPr>
          <w:rFonts w:ascii="Verdana" w:hAnsi="Verdana" w:eastAsia="Geomanist Light" w:cs="Arial"/>
          <w:color w:val="201F1E"/>
          <w:lang w:val="es-MX"/>
        </w:rPr>
        <w:t xml:space="preserve"> de </w:t>
      </w:r>
      <w:r w:rsidR="0045512B">
        <w:rPr>
          <w:rFonts w:ascii="Verdana" w:hAnsi="Verdana" w:eastAsia="Geomanist Light" w:cs="Arial"/>
          <w:color w:val="201F1E"/>
          <w:lang w:val="es-MX"/>
        </w:rPr>
        <w:t>diciembre</w:t>
      </w:r>
      <w:r w:rsidRPr="00593A5F">
        <w:rPr>
          <w:rFonts w:ascii="Verdana" w:hAnsi="Verdana" w:eastAsia="Geomanist Light" w:cs="Arial"/>
          <w:color w:val="201F1E"/>
          <w:lang w:val="es-MX"/>
        </w:rPr>
        <w:t xml:space="preserve"> d</w:t>
      </w:r>
      <w:proofErr w:type="spellStart"/>
      <w:r w:rsidRPr="00593A5F">
        <w:rPr>
          <w:rFonts w:ascii="Verdana" w:hAnsi="Verdana" w:eastAsia="Geomanist Light" w:cs="Arial"/>
          <w:color w:val="201F1E"/>
          <w:lang w:val="es-MX"/>
        </w:rPr>
        <w:t>e</w:t>
      </w:r>
      <w:proofErr w:type="spellEnd"/>
      <w:r w:rsidRPr="00593A5F">
        <w:rPr>
          <w:rFonts w:ascii="Verdana" w:hAnsi="Verdana" w:eastAsia="Geomanist Light" w:cs="Arial"/>
          <w:color w:val="201F1E"/>
          <w:lang w:val="es-MX"/>
        </w:rPr>
        <w:t xml:space="preserve"> </w:t>
      </w:r>
      <w:r w:rsidR="0045512B">
        <w:rPr>
          <w:rFonts w:ascii="Verdana" w:hAnsi="Verdana" w:eastAsia="Geomanist Light" w:cs="Arial"/>
          <w:color w:val="201F1E"/>
          <w:lang w:val="es-MX"/>
        </w:rPr>
        <w:t>2024</w:t>
      </w:r>
    </w:p>
    <w:p w:rsidRPr="006256C0" w:rsidR="009D513D" w:rsidP="009D513D" w:rsidRDefault="009D513D" w14:paraId="6693C498" w14:textId="77777777">
      <w:pPr>
        <w:pStyle w:val="Textoindependiente"/>
        <w:spacing w:before="1"/>
        <w:jc w:val="both"/>
        <w:rPr>
          <w:spacing w:val="-2"/>
          <w:lang w:val="es-MX"/>
        </w:rPr>
      </w:pPr>
    </w:p>
    <w:p w:rsidR="00333F80" w:rsidP="0045512B" w:rsidRDefault="0045512B" w14:paraId="25D8BD4C" w14:textId="6D220362">
      <w:pPr>
        <w:spacing w:after="0" w:line="240" w:lineRule="auto"/>
        <w:ind w:left="4956"/>
        <w:jc w:val="both"/>
        <w:rPr>
          <w:rFonts w:ascii="Verdana" w:hAnsi="Verdana" w:eastAsia="Geomanist Light" w:cs="Arial"/>
          <w:color w:val="000000" w:themeColor="text1"/>
          <w:lang w:val="es-MX"/>
        </w:rPr>
      </w:pPr>
      <w:r w:rsidRPr="0045512B">
        <w:rPr>
          <w:rFonts w:ascii="Verdana" w:hAnsi="Verdana" w:eastAsia="Geomanist Light" w:cs="Arial"/>
          <w:color w:val="000000" w:themeColor="text1"/>
          <w:lang w:val="es-MX"/>
        </w:rPr>
        <w:drawing>
          <wp:inline distT="0" distB="0" distL="0" distR="0" wp14:anchorId="4CE8A995" wp14:editId="337D6BA0">
            <wp:extent cx="2962275" cy="886221"/>
            <wp:effectExtent l="0" t="0" r="0" b="9525"/>
            <wp:docPr id="2720742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74283" name=""/>
                    <pic:cNvPicPr/>
                  </pic:nvPicPr>
                  <pic:blipFill>
                    <a:blip r:embed="rId10"/>
                    <a:stretch>
                      <a:fillRect/>
                    </a:stretch>
                  </pic:blipFill>
                  <pic:spPr>
                    <a:xfrm>
                      <a:off x="0" y="0"/>
                      <a:ext cx="2970297" cy="888621"/>
                    </a:xfrm>
                    <a:prstGeom prst="rect">
                      <a:avLst/>
                    </a:prstGeom>
                  </pic:spPr>
                </pic:pic>
              </a:graphicData>
            </a:graphic>
          </wp:inline>
        </w:drawing>
      </w:r>
    </w:p>
    <w:p w:rsidR="0045512B" w:rsidP="009D513D" w:rsidRDefault="0045512B" w14:paraId="316F112A" w14:textId="77777777">
      <w:pPr>
        <w:spacing w:after="0" w:line="240" w:lineRule="auto"/>
        <w:jc w:val="both"/>
        <w:rPr>
          <w:rFonts w:ascii="Verdana" w:hAnsi="Verdana" w:eastAsia="Geomanist Light" w:cs="Arial"/>
          <w:color w:val="000000" w:themeColor="text1"/>
          <w:lang w:val="es-MX"/>
        </w:rPr>
      </w:pPr>
    </w:p>
    <w:p w:rsidRPr="009D513D" w:rsidR="009D513D" w:rsidP="009D513D" w:rsidRDefault="009D513D" w14:paraId="4DE9F666" w14:textId="1E294CAB">
      <w:pPr>
        <w:spacing w:after="0" w:line="240" w:lineRule="auto"/>
        <w:jc w:val="both"/>
        <w:rPr>
          <w:rFonts w:ascii="Verdana" w:hAnsi="Verdana" w:eastAsia="Geomanist Light" w:cs="Arial"/>
          <w:color w:val="000000" w:themeColor="text1"/>
          <w:lang w:val="es-MX"/>
        </w:rPr>
      </w:pPr>
      <w:r w:rsidRPr="009D513D">
        <w:rPr>
          <w:rFonts w:ascii="Verdana" w:hAnsi="Verdana" w:eastAsia="Geomanist Light" w:cs="Arial"/>
          <w:color w:val="000000" w:themeColor="text1"/>
          <w:lang w:val="es-MX"/>
        </w:rPr>
        <w:t>Señor</w:t>
      </w:r>
    </w:p>
    <w:p w:rsidR="002C1DE9" w:rsidP="009D513D" w:rsidRDefault="002C1DE9" w14:paraId="79FB462C" w14:textId="77777777">
      <w:pPr>
        <w:spacing w:after="0" w:line="240" w:lineRule="auto"/>
        <w:jc w:val="both"/>
        <w:rPr>
          <w:rFonts w:ascii="Verdana" w:hAnsi="Verdana" w:eastAsia="Geomanist Light" w:cs="Arial"/>
          <w:b/>
          <w:bCs/>
          <w:color w:val="000000" w:themeColor="text1"/>
        </w:rPr>
      </w:pPr>
      <w:r w:rsidRPr="002C1DE9">
        <w:rPr>
          <w:rFonts w:ascii="Verdana" w:hAnsi="Verdana" w:eastAsia="Geomanist Light" w:cs="Arial"/>
          <w:b/>
          <w:bCs/>
          <w:color w:val="000000" w:themeColor="text1"/>
        </w:rPr>
        <w:t xml:space="preserve">JENNIFFER ALEXANDRA MURILLO DUCUARA </w:t>
      </w:r>
    </w:p>
    <w:p w:rsidRPr="002C1DE9" w:rsidR="002C1DE9" w:rsidP="00333F80" w:rsidRDefault="002C1DE9" w14:paraId="2BEFF5C6" w14:textId="798F9540">
      <w:pPr>
        <w:spacing w:after="0" w:line="240" w:lineRule="auto"/>
        <w:jc w:val="both"/>
        <w:rPr>
          <w:rFonts w:ascii="Verdana" w:hAnsi="Verdana"/>
          <w:lang w:val="es-MX"/>
        </w:rPr>
      </w:pPr>
      <w:hyperlink w:history="1" r:id="rId11">
        <w:r w:rsidRPr="001B101B">
          <w:rPr>
            <w:rStyle w:val="Hipervnculo"/>
            <w:rFonts w:ascii="Verdana" w:hAnsi="Verdana"/>
          </w:rPr>
          <w:t>jenniffermurillo18.jm@gmail.com</w:t>
        </w:r>
      </w:hyperlink>
      <w:r>
        <w:rPr>
          <w:rFonts w:ascii="Verdana" w:hAnsi="Verdana"/>
          <w:lang w:val="es-MX"/>
        </w:rPr>
        <w:t xml:space="preserve">; </w:t>
      </w:r>
    </w:p>
    <w:p w:rsidRPr="00333F80" w:rsidR="00661953" w:rsidP="00333F80" w:rsidRDefault="009D513D" w14:paraId="6C5D5405" w14:textId="236D1CA0">
      <w:pPr>
        <w:spacing w:after="0" w:line="240" w:lineRule="auto"/>
        <w:jc w:val="both"/>
        <w:rPr>
          <w:rFonts w:ascii="Verdana" w:hAnsi="Verdana" w:eastAsia="Geomanist Light" w:cs="Arial"/>
          <w:color w:val="000000" w:themeColor="text1"/>
          <w:lang w:val="es-MX"/>
        </w:rPr>
      </w:pPr>
      <w:r w:rsidRPr="009D513D">
        <w:rPr>
          <w:rFonts w:ascii="Verdana" w:hAnsi="Verdana" w:eastAsia="Geomanist Light" w:cs="Arial"/>
          <w:color w:val="000000" w:themeColor="text1"/>
          <w:lang w:val="es-MX"/>
        </w:rPr>
        <w:t>Ciudad.</w:t>
      </w:r>
    </w:p>
    <w:p w:rsidRPr="00115E3D" w:rsidR="00661953" w:rsidP="00661953" w:rsidRDefault="00661953" w14:paraId="536D2D77" w14:textId="77777777">
      <w:pPr>
        <w:spacing w:after="0" w:line="240" w:lineRule="auto"/>
        <w:rPr>
          <w:rFonts w:ascii="Verdana" w:hAnsi="Verdana" w:eastAsia="Calibri" w:cs="Arial"/>
          <w:b/>
          <w:bCs/>
          <w:color w:val="000000" w:themeColor="text1"/>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115E3D" w:rsidR="00661953" w:rsidTr="003028CD" w14:paraId="1C64FE73" w14:textId="77777777">
        <w:trPr>
          <w:trHeight w:val="884"/>
        </w:trPr>
        <w:tc>
          <w:tcPr>
            <w:tcW w:w="2689" w:type="dxa"/>
          </w:tcPr>
          <w:p w:rsidRPr="00115E3D" w:rsidR="00661953" w:rsidP="003028CD" w:rsidRDefault="00661953" w14:paraId="1E760C91" w14:textId="77777777">
            <w:pPr>
              <w:jc w:val="both"/>
              <w:rPr>
                <w:rFonts w:ascii="Verdana" w:hAnsi="Verdana" w:eastAsia="Calibri" w:cs="Arial"/>
                <w:b/>
                <w:bCs/>
                <w:color w:val="000000" w:themeColor="text1"/>
                <w:lang w:val="es-ES_tradnl" w:eastAsia="es-ES_tradnl"/>
              </w:rPr>
            </w:pPr>
          </w:p>
        </w:tc>
        <w:tc>
          <w:tcPr>
            <w:tcW w:w="6100" w:type="dxa"/>
          </w:tcPr>
          <w:p w:rsidRPr="00115E3D" w:rsidR="00661953" w:rsidP="003028CD" w:rsidRDefault="00661953" w14:paraId="31CCE474" w14:textId="24746348">
            <w:pPr>
              <w:jc w:val="both"/>
              <w:rPr>
                <w:rFonts w:ascii="Verdana" w:hAnsi="Verdana" w:eastAsia="Calibri" w:cs="Arial"/>
                <w:b/>
                <w:bCs/>
                <w:color w:val="000000" w:themeColor="text1"/>
                <w:lang w:val="es-ES" w:eastAsia="es-ES"/>
              </w:rPr>
            </w:pPr>
            <w:r w:rsidRPr="00115E3D">
              <w:rPr>
                <w:rFonts w:ascii="Verdana" w:hAnsi="Verdana" w:eastAsia="Calibri" w:cs="Arial"/>
                <w:b/>
                <w:bCs/>
                <w:color w:val="000000" w:themeColor="text1"/>
                <w:lang w:val="es-ES" w:eastAsia="es-ES"/>
              </w:rPr>
              <w:t xml:space="preserve">Concepto </w:t>
            </w:r>
            <w:r w:rsidRPr="002C1DE9" w:rsidR="002C1DE9">
              <w:rPr>
                <w:rFonts w:ascii="Verdana" w:hAnsi="Verdana" w:eastAsia="Calibri" w:cs="Arial"/>
                <w:b/>
                <w:bCs/>
                <w:color w:val="000000" w:themeColor="text1"/>
                <w:lang w:val="es-ES" w:eastAsia="es-ES"/>
              </w:rPr>
              <w:t>C-875</w:t>
            </w:r>
            <w:r w:rsidRPr="00115E3D">
              <w:rPr>
                <w:rFonts w:ascii="Verdana" w:hAnsi="Verdana" w:eastAsia="Calibri" w:cs="Arial"/>
                <w:b/>
                <w:bCs/>
                <w:color w:val="000000" w:themeColor="text1"/>
                <w:lang w:val="es-ES" w:eastAsia="es-ES"/>
              </w:rPr>
              <w:t xml:space="preserve"> de 2024</w:t>
            </w:r>
          </w:p>
        </w:tc>
      </w:tr>
      <w:tr w:rsidRPr="00115E3D" w:rsidR="00661953" w:rsidTr="003028CD" w14:paraId="6E1F7B45" w14:textId="77777777">
        <w:trPr>
          <w:trHeight w:val="884"/>
        </w:trPr>
        <w:tc>
          <w:tcPr>
            <w:tcW w:w="2689" w:type="dxa"/>
          </w:tcPr>
          <w:p w:rsidRPr="000B7ECC" w:rsidR="00661953" w:rsidP="003028CD" w:rsidRDefault="00661953" w14:paraId="6982401E" w14:textId="77777777">
            <w:pPr>
              <w:jc w:val="both"/>
              <w:rPr>
                <w:rFonts w:ascii="Verdana" w:hAnsi="Verdana" w:eastAsia="Calibri" w:cs="Arial"/>
                <w:color w:val="000000" w:themeColor="text1"/>
                <w:lang w:val="es-ES_tradnl" w:eastAsia="es-ES_tradnl"/>
              </w:rPr>
            </w:pPr>
            <w:r w:rsidRPr="000B7ECC">
              <w:rPr>
                <w:rFonts w:ascii="Verdana" w:hAnsi="Verdana" w:eastAsia="Calibri" w:cs="Arial"/>
                <w:b/>
                <w:color w:val="000000" w:themeColor="text1"/>
                <w:lang w:val="es-ES_tradnl" w:eastAsia="es-ES_tradnl"/>
              </w:rPr>
              <w:t>Temas:</w:t>
            </w:r>
            <w:r w:rsidRPr="000B7ECC">
              <w:rPr>
                <w:rFonts w:ascii="Verdana" w:hAnsi="Verdana" w:eastAsia="Calibri" w:cs="Arial"/>
                <w:color w:val="000000" w:themeColor="text1"/>
                <w:lang w:val="es-ES_tradnl" w:eastAsia="es-ES_tradnl"/>
              </w:rPr>
              <w:t xml:space="preserve">                   </w:t>
            </w:r>
          </w:p>
        </w:tc>
        <w:tc>
          <w:tcPr>
            <w:tcW w:w="6100" w:type="dxa"/>
          </w:tcPr>
          <w:p w:rsidRPr="002C1DE9" w:rsidR="001C50D9" w:rsidP="001C50D9" w:rsidRDefault="002C1DE9" w14:paraId="7B2A3413" w14:textId="6B3EA1B6">
            <w:pPr>
              <w:spacing w:line="276" w:lineRule="auto"/>
              <w:jc w:val="both"/>
              <w:rPr>
                <w:rFonts w:ascii="Verdana" w:hAnsi="Verdana" w:eastAsia="Calibri" w:cs="Arial"/>
                <w:bCs/>
                <w:color w:val="000000" w:themeColor="text1"/>
                <w:lang w:val="es-ES" w:eastAsia="es-ES"/>
              </w:rPr>
            </w:pPr>
            <w:r w:rsidRPr="002C1DE9">
              <w:rPr>
                <w:rFonts w:ascii="Verdana" w:hAnsi="Verdana" w:eastAsia="Geomanist Light" w:cs="Arial"/>
                <w:bCs/>
                <w:lang w:val="es-ES"/>
              </w:rPr>
              <w:t xml:space="preserve">PARTICIPACION CIUDADANA - </w:t>
            </w:r>
            <w:r w:rsidRPr="002C1DE9">
              <w:rPr>
                <w:rFonts w:ascii="Verdana" w:hAnsi="Verdana" w:eastAsia="Calibri" w:cs="Arial"/>
                <w:bCs/>
                <w:color w:val="000000"/>
                <w:lang w:val="es-ES" w:eastAsia="en-GB"/>
              </w:rPr>
              <w:t>Fundamentos legales y constitucionales – VEEDURIAS CIUDADANAS - Naturaleza</w:t>
            </w:r>
            <w:r w:rsidRPr="002C1DE9">
              <w:rPr>
                <w:rFonts w:ascii="Verdana" w:hAnsi="Verdana" w:eastAsia="Calibri" w:cs="Arial"/>
                <w:bCs/>
                <w:color w:val="000000" w:themeColor="text1"/>
                <w:lang w:val="es-ES" w:eastAsia="es-ES"/>
              </w:rPr>
              <w:t xml:space="preserve"> - Obligación</w:t>
            </w:r>
          </w:p>
          <w:p w:rsidRPr="000B7ECC" w:rsidR="002C1DE9" w:rsidP="001C50D9" w:rsidRDefault="002C1DE9" w14:paraId="44C2540E" w14:textId="2159EE66">
            <w:pPr>
              <w:spacing w:line="276" w:lineRule="auto"/>
              <w:jc w:val="both"/>
              <w:rPr>
                <w:rFonts w:ascii="Verdana" w:hAnsi="Verdana" w:eastAsia="Calibri" w:cs="Arial"/>
                <w:color w:val="000000" w:themeColor="text1"/>
                <w:lang w:val="es-ES" w:eastAsia="es-ES"/>
              </w:rPr>
            </w:pPr>
          </w:p>
        </w:tc>
      </w:tr>
      <w:tr w:rsidRPr="00115E3D" w:rsidR="00661953" w:rsidTr="003028CD" w14:paraId="7254E1FD" w14:textId="77777777">
        <w:tc>
          <w:tcPr>
            <w:tcW w:w="2689" w:type="dxa"/>
          </w:tcPr>
          <w:p w:rsidRPr="00661953" w:rsidR="00661953" w:rsidP="003028CD" w:rsidRDefault="00661953" w14:paraId="48C8EC45" w14:textId="77777777">
            <w:pPr>
              <w:jc w:val="both"/>
              <w:rPr>
                <w:rFonts w:ascii="Verdana" w:hAnsi="Verdana" w:eastAsia="Calibri" w:cs="Arial"/>
                <w:b/>
                <w:color w:val="000000" w:themeColor="text1"/>
                <w:lang w:val="es-ES_tradnl" w:eastAsia="es-ES_tradnl"/>
              </w:rPr>
            </w:pPr>
            <w:r w:rsidRPr="00661953">
              <w:rPr>
                <w:rFonts w:ascii="Verdana" w:hAnsi="Verdana" w:eastAsia="Calibri" w:cs="Arial"/>
                <w:b/>
                <w:color w:val="000000" w:themeColor="text1"/>
                <w:lang w:val="es-ES_tradnl" w:eastAsia="es-ES_tradnl"/>
              </w:rPr>
              <w:t>Radicación:</w:t>
            </w:r>
            <w:r w:rsidRPr="00661953">
              <w:rPr>
                <w:rFonts w:ascii="Verdana" w:hAnsi="Verdana" w:eastAsia="Calibri" w:cs="Arial"/>
                <w:color w:val="000000" w:themeColor="text1"/>
                <w:lang w:val="es-ES_tradnl" w:eastAsia="es-ES_tradnl"/>
              </w:rPr>
              <w:t xml:space="preserve">               </w:t>
            </w:r>
          </w:p>
        </w:tc>
        <w:tc>
          <w:tcPr>
            <w:tcW w:w="6100" w:type="dxa"/>
          </w:tcPr>
          <w:p w:rsidRPr="00661953" w:rsidR="00661953" w:rsidP="003028CD" w:rsidRDefault="00661953" w14:paraId="0088658C" w14:textId="77777777">
            <w:pPr>
              <w:jc w:val="both"/>
              <w:rPr>
                <w:rFonts w:ascii="Verdana" w:hAnsi="Verdana" w:eastAsia="Calibri" w:cs="Arial"/>
                <w:color w:val="000000" w:themeColor="text1"/>
                <w:lang w:val="es-ES_tradnl" w:eastAsia="es-ES_tradnl"/>
              </w:rPr>
            </w:pPr>
            <w:r w:rsidRPr="00661953">
              <w:rPr>
                <w:rFonts w:ascii="Verdana" w:hAnsi="Verdana" w:eastAsia="Calibri" w:cs="Arial"/>
                <w:color w:val="000000" w:themeColor="text1"/>
                <w:lang w:val="es-ES_tradnl" w:eastAsia="es-ES_tradnl"/>
              </w:rPr>
              <w:t xml:space="preserve">Respuesta a consulta con radicado No. </w:t>
            </w:r>
          </w:p>
          <w:p w:rsidRPr="00661953" w:rsidR="00661953" w:rsidP="003028CD" w:rsidRDefault="002C1DE9" w14:paraId="5F1CE39D" w14:textId="244A85E7">
            <w:pPr>
              <w:jc w:val="both"/>
              <w:rPr>
                <w:rFonts w:ascii="Verdana" w:hAnsi="Verdana" w:cs="Arial"/>
                <w:color w:val="000000"/>
              </w:rPr>
            </w:pPr>
            <w:r w:rsidRPr="002C1DE9">
              <w:rPr>
                <w:rFonts w:ascii="Verdana" w:hAnsi="Verdana" w:cs="Arial"/>
                <w:color w:val="000000"/>
              </w:rPr>
              <w:t>P20241114011438</w:t>
            </w:r>
          </w:p>
        </w:tc>
      </w:tr>
    </w:tbl>
    <w:p w:rsidRPr="00115E3D" w:rsidR="00661953" w:rsidP="00661953" w:rsidRDefault="00661953" w14:paraId="3D6E8C97" w14:textId="77777777">
      <w:pPr>
        <w:spacing w:after="0" w:line="240" w:lineRule="auto"/>
        <w:jc w:val="both"/>
        <w:rPr>
          <w:rFonts w:ascii="Verdana" w:hAnsi="Verdana" w:eastAsia="Calibri" w:cs="Arial"/>
          <w:color w:val="000000" w:themeColor="text1"/>
          <w:lang w:val="es-ES_tradnl" w:eastAsia="es-ES_tradnl"/>
        </w:rPr>
      </w:pPr>
    </w:p>
    <w:p w:rsidRPr="00115E3D" w:rsidR="00661953" w:rsidP="00661953" w:rsidRDefault="00661953" w14:paraId="55144310" w14:textId="77777777">
      <w:pPr>
        <w:spacing w:after="0" w:line="240" w:lineRule="auto"/>
        <w:jc w:val="both"/>
        <w:rPr>
          <w:rFonts w:ascii="Verdana" w:hAnsi="Verdana" w:eastAsia="Calibri" w:cs="Arial"/>
          <w:color w:val="000000" w:themeColor="text1"/>
          <w:lang w:val="es-ES_tradnl" w:eastAsia="es-ES_tradnl"/>
        </w:rPr>
      </w:pPr>
    </w:p>
    <w:p w:rsidRPr="00115E3D" w:rsidR="00661953" w:rsidP="00661953" w:rsidRDefault="00661953" w14:paraId="055D9E39" w14:textId="66B8D533">
      <w:pPr>
        <w:spacing w:after="0" w:line="276" w:lineRule="auto"/>
        <w:jc w:val="both"/>
        <w:rPr>
          <w:rFonts w:ascii="Verdana" w:hAnsi="Verdana" w:eastAsia="Calibri" w:cs="Arial"/>
          <w:color w:val="000000" w:themeColor="text1"/>
          <w:lang w:val="es-ES" w:eastAsia="es-ES"/>
        </w:rPr>
      </w:pPr>
      <w:r w:rsidRPr="00115E3D">
        <w:rPr>
          <w:rFonts w:ascii="Verdana" w:hAnsi="Verdana" w:eastAsia="Calibri" w:cs="Arial"/>
          <w:color w:val="000000" w:themeColor="text1"/>
          <w:lang w:val="es-ES" w:eastAsia="es-ES"/>
        </w:rPr>
        <w:t>Estimad</w:t>
      </w:r>
      <w:r w:rsidR="002C1DE9">
        <w:rPr>
          <w:rFonts w:ascii="Verdana" w:hAnsi="Verdana" w:eastAsia="Calibri" w:cs="Arial"/>
          <w:color w:val="000000" w:themeColor="text1"/>
          <w:lang w:val="es-ES" w:eastAsia="es-ES"/>
        </w:rPr>
        <w:t>a</w:t>
      </w:r>
      <w:r w:rsidRPr="00115E3D">
        <w:rPr>
          <w:rFonts w:ascii="Verdana" w:hAnsi="Verdana" w:eastAsia="Calibri" w:cs="Arial"/>
          <w:color w:val="000000" w:themeColor="text1"/>
          <w:lang w:val="es-ES" w:eastAsia="es-ES"/>
        </w:rPr>
        <w:t xml:space="preserve"> seño</w:t>
      </w:r>
      <w:r w:rsidR="002C1DE9">
        <w:rPr>
          <w:rFonts w:ascii="Verdana" w:hAnsi="Verdana" w:eastAsia="Calibri" w:cs="Arial"/>
          <w:color w:val="000000" w:themeColor="text1"/>
          <w:lang w:val="es-ES" w:eastAsia="es-ES"/>
        </w:rPr>
        <w:t>ra</w:t>
      </w:r>
      <w:r>
        <w:rPr>
          <w:rFonts w:ascii="Verdana" w:hAnsi="Verdana" w:eastAsia="Calibri" w:cs="Arial"/>
          <w:color w:val="000000" w:themeColor="text1"/>
          <w:lang w:val="es-ES" w:eastAsia="es-ES"/>
        </w:rPr>
        <w:t xml:space="preserve"> </w:t>
      </w:r>
      <w:r w:rsidR="002C1DE9">
        <w:rPr>
          <w:rFonts w:ascii="Verdana" w:hAnsi="Verdana" w:eastAsia="Calibri" w:cs="Arial"/>
          <w:color w:val="000000" w:themeColor="text1"/>
          <w:lang w:val="es-ES" w:eastAsia="es-ES"/>
        </w:rPr>
        <w:t>Murillo</w:t>
      </w:r>
      <w:r>
        <w:rPr>
          <w:rFonts w:ascii="Verdana" w:hAnsi="Verdana" w:eastAsia="Calibri" w:cs="Arial"/>
          <w:color w:val="000000" w:themeColor="text1"/>
          <w:lang w:val="es-ES" w:eastAsia="es-ES"/>
        </w:rPr>
        <w:t>:</w:t>
      </w:r>
      <w:r w:rsidRPr="00115E3D">
        <w:rPr>
          <w:rFonts w:ascii="Verdana" w:hAnsi="Verdana" w:eastAsia="Calibri" w:cs="Arial"/>
          <w:color w:val="000000" w:themeColor="text1"/>
          <w:lang w:val="es-ES" w:eastAsia="es-ES"/>
        </w:rPr>
        <w:t xml:space="preserve"> </w:t>
      </w:r>
    </w:p>
    <w:p w:rsidRPr="00115E3D" w:rsidR="00661953" w:rsidP="00661953" w:rsidRDefault="00661953" w14:paraId="738BA946" w14:textId="77777777">
      <w:pPr>
        <w:tabs>
          <w:tab w:val="left" w:pos="3768"/>
        </w:tabs>
        <w:spacing w:after="0" w:line="276" w:lineRule="auto"/>
        <w:jc w:val="both"/>
        <w:rPr>
          <w:rFonts w:ascii="Verdana" w:hAnsi="Verdana" w:eastAsia="Calibri" w:cs="Arial"/>
          <w:color w:val="000000" w:themeColor="text1"/>
          <w:lang w:val="es-ES" w:eastAsia="es-ES"/>
        </w:rPr>
      </w:pPr>
      <w:r w:rsidRPr="00115E3D">
        <w:rPr>
          <w:rFonts w:ascii="Verdana" w:hAnsi="Verdana" w:eastAsia="Calibri" w:cs="Arial"/>
          <w:color w:val="000000" w:themeColor="text1"/>
          <w:lang w:val="es-ES" w:eastAsia="es-ES"/>
        </w:rPr>
        <w:tab/>
      </w:r>
    </w:p>
    <w:p w:rsidRPr="002C1DE9" w:rsidR="009D513D" w:rsidP="002C1DE9" w:rsidRDefault="00661953" w14:paraId="77C8CE7B" w14:textId="37C3922B">
      <w:pPr>
        <w:spacing w:after="0" w:line="276" w:lineRule="auto"/>
        <w:jc w:val="both"/>
        <w:rPr>
          <w:rFonts w:ascii="Verdana" w:hAnsi="Verdana" w:eastAsia="Calibri" w:cs="Arial"/>
          <w:color w:val="000000" w:themeColor="text1"/>
          <w:lang w:val="es-ES" w:eastAsia="es-ES"/>
        </w:rPr>
      </w:pPr>
      <w:r w:rsidRPr="00115E3D">
        <w:rPr>
          <w:rFonts w:ascii="Verdana" w:hAnsi="Verdana" w:eastAsia="Calibri" w:cs="Arial"/>
          <w:color w:val="000000" w:themeColor="text1"/>
          <w:lang w:val="es-ES" w:eastAsia="es-ES"/>
        </w:rPr>
        <w:t>En ejercicio de la competencia otorgada por los artículos 3, numeral 5º, y 11, numeral 8º, del Decreto Ley 4170 de 2011,</w:t>
      </w:r>
      <w:r w:rsidRPr="00115E3D">
        <w:rPr>
          <w:rFonts w:ascii="Verdana" w:hAnsi="Verdana" w:eastAsia="Arial MT" w:cs="Arial MT"/>
          <w:color w:val="000000" w:themeColor="text1"/>
          <w:lang w:val="es-ES" w:eastAsia="es-ES"/>
        </w:rPr>
        <w:t xml:space="preserve"> </w:t>
      </w:r>
      <w:r w:rsidRPr="00115E3D">
        <w:rPr>
          <w:rFonts w:ascii="Verdana" w:hAnsi="Verdana" w:cs="Arial"/>
          <w:color w:val="000000" w:themeColor="text1"/>
        </w:rPr>
        <w:t xml:space="preserve">así como lo establecido en el artículo 4 de la Resolución 1707 de 2018 expedida por esta Entidad, </w:t>
      </w:r>
      <w:r w:rsidRPr="00115E3D">
        <w:rPr>
          <w:rFonts w:ascii="Verdana" w:hAnsi="Verdana" w:eastAsia="Calibri" w:cs="Arial"/>
          <w:color w:val="000000" w:themeColor="text1"/>
          <w:lang w:val="es-ES" w:eastAsia="es-ES"/>
        </w:rPr>
        <w:t xml:space="preserve">la Agencia Nacional de Contratación Pública – Colombia Compra Eficiente– responde su solicitud de consulta de fecha </w:t>
      </w:r>
      <w:r w:rsidR="002C1DE9">
        <w:rPr>
          <w:rFonts w:ascii="Verdana" w:hAnsi="Verdana" w:eastAsia="Calibri" w:cs="Arial"/>
          <w:color w:val="000000" w:themeColor="text1"/>
          <w:lang w:val="es-ES" w:eastAsia="es-ES"/>
        </w:rPr>
        <w:t>14</w:t>
      </w:r>
      <w:r w:rsidRPr="00115E3D">
        <w:rPr>
          <w:rFonts w:ascii="Verdana" w:hAnsi="Verdana" w:eastAsia="Calibri" w:cs="Arial"/>
          <w:color w:val="000000" w:themeColor="text1"/>
          <w:lang w:val="es-ES" w:eastAsia="es-ES"/>
        </w:rPr>
        <w:t xml:space="preserve"> de </w:t>
      </w:r>
      <w:r w:rsidR="009D513D">
        <w:rPr>
          <w:rFonts w:ascii="Verdana" w:hAnsi="Verdana" w:eastAsia="Calibri" w:cs="Arial"/>
          <w:color w:val="000000" w:themeColor="text1"/>
          <w:lang w:val="es-ES" w:eastAsia="es-ES"/>
        </w:rPr>
        <w:t>noviembre</w:t>
      </w:r>
      <w:r w:rsidRPr="00115E3D">
        <w:rPr>
          <w:rFonts w:ascii="Verdana" w:hAnsi="Verdana" w:eastAsia="Calibri" w:cs="Arial"/>
          <w:color w:val="000000" w:themeColor="text1"/>
          <w:lang w:val="es-ES" w:eastAsia="es-ES"/>
        </w:rPr>
        <w:t xml:space="preserve"> de 20</w:t>
      </w:r>
      <w:r>
        <w:rPr>
          <w:rFonts w:ascii="Verdana" w:hAnsi="Verdana" w:eastAsia="Calibri" w:cs="Arial"/>
          <w:color w:val="000000" w:themeColor="text1"/>
          <w:lang w:val="es-ES" w:eastAsia="es-ES"/>
        </w:rPr>
        <w:t>24</w:t>
      </w:r>
      <w:r w:rsidRPr="00115E3D">
        <w:rPr>
          <w:rFonts w:ascii="Verdana" w:hAnsi="Verdana" w:eastAsia="Calibri" w:cs="Arial"/>
          <w:color w:val="000000" w:themeColor="text1"/>
          <w:lang w:val="es-ES" w:eastAsia="es-ES"/>
        </w:rPr>
        <w:t xml:space="preserve">, en la cual manifiesta lo </w:t>
      </w:r>
      <w:r w:rsidRPr="00115E3D" w:rsidR="002C1DE9">
        <w:rPr>
          <w:rFonts w:ascii="Verdana" w:hAnsi="Verdana" w:eastAsia="Calibri" w:cs="Arial"/>
          <w:color w:val="000000" w:themeColor="text1"/>
          <w:lang w:val="es-ES" w:eastAsia="es-ES"/>
        </w:rPr>
        <w:t>siguiente:</w:t>
      </w:r>
      <w:r w:rsidR="002C1DE9">
        <w:rPr>
          <w:i/>
          <w:sz w:val="20"/>
        </w:rPr>
        <w:t xml:space="preserve"> “[…] </w:t>
      </w:r>
      <w:r w:rsidRPr="002C1DE9" w:rsidR="002C1DE9">
        <w:rPr>
          <w:rFonts w:ascii="Verdana" w:hAnsi="Verdana" w:eastAsia="Verdana" w:cs="Verdana"/>
          <w:i/>
          <w:sz w:val="20"/>
        </w:rPr>
        <w:t>ES OBLIGATORIO PARA LA EJECUCIÓN DE CONTRATOS DE OBRA</w:t>
      </w:r>
      <w:r w:rsidR="002C1DE9">
        <w:rPr>
          <w:rFonts w:ascii="Verdana" w:hAnsi="Verdana" w:eastAsia="Verdana" w:cs="Verdana"/>
          <w:i/>
          <w:sz w:val="20"/>
        </w:rPr>
        <w:t xml:space="preserve"> </w:t>
      </w:r>
      <w:r w:rsidRPr="002C1DE9" w:rsidR="002C1DE9">
        <w:rPr>
          <w:rFonts w:ascii="Verdana" w:hAnsi="Verdana" w:eastAsia="Verdana" w:cs="Verdana"/>
          <w:i/>
          <w:sz w:val="20"/>
        </w:rPr>
        <w:t>CONSTITUIR VEEDURÍAS CIUDADANAS?</w:t>
      </w:r>
      <w:r w:rsidR="002C1DE9">
        <w:rPr>
          <w:rFonts w:ascii="Verdana" w:hAnsi="Verdana" w:eastAsia="Verdana" w:cs="Verdana"/>
          <w:i/>
          <w:sz w:val="20"/>
        </w:rPr>
        <w:t xml:space="preserve"> </w:t>
      </w:r>
      <w:r w:rsidRPr="002C1DE9" w:rsidR="002C1DE9">
        <w:rPr>
          <w:rFonts w:ascii="Verdana" w:hAnsi="Verdana" w:eastAsia="Verdana" w:cs="Verdana"/>
          <w:i/>
          <w:sz w:val="20"/>
        </w:rPr>
        <w:t>SI UNA ENTIDAD ESTATAL, HACE LA CONVOCATORIA A CONSTITUIR</w:t>
      </w:r>
      <w:r w:rsidR="002C1DE9">
        <w:rPr>
          <w:rFonts w:ascii="Verdana" w:hAnsi="Verdana" w:eastAsia="Verdana" w:cs="Verdana"/>
          <w:i/>
          <w:sz w:val="20"/>
        </w:rPr>
        <w:t xml:space="preserve"> </w:t>
      </w:r>
      <w:r w:rsidRPr="002C1DE9" w:rsidR="002C1DE9">
        <w:rPr>
          <w:rFonts w:ascii="Verdana" w:hAnsi="Verdana" w:eastAsia="Verdana" w:cs="Verdana"/>
          <w:i/>
          <w:sz w:val="20"/>
        </w:rPr>
        <w:t>VEEDURÍA CIUDADANAS Y NINGÚN CIUDADANO LA</w:t>
      </w:r>
      <w:r w:rsidR="002C1DE9">
        <w:rPr>
          <w:rFonts w:ascii="Verdana" w:hAnsi="Verdana" w:eastAsia="Verdana" w:cs="Verdana"/>
          <w:i/>
          <w:sz w:val="20"/>
        </w:rPr>
        <w:t xml:space="preserve"> </w:t>
      </w:r>
      <w:r w:rsidRPr="002C1DE9" w:rsidR="002C1DE9">
        <w:rPr>
          <w:rFonts w:ascii="Verdana" w:hAnsi="Verdana" w:eastAsia="Verdana" w:cs="Verdana"/>
          <w:i/>
          <w:sz w:val="20"/>
        </w:rPr>
        <w:t>CONSTITUYE, ESTARÍA</w:t>
      </w:r>
      <w:r w:rsidR="002C1DE9">
        <w:rPr>
          <w:i/>
          <w:sz w:val="20"/>
        </w:rPr>
        <w:t xml:space="preserve"> </w:t>
      </w:r>
      <w:r w:rsidRPr="002C1DE9" w:rsidR="002C1DE9">
        <w:rPr>
          <w:i/>
          <w:sz w:val="20"/>
        </w:rPr>
        <w:t>INCUMPLIMIENDO LAS NORMAS</w:t>
      </w:r>
      <w:proofErr w:type="gramStart"/>
      <w:r w:rsidRPr="002C1DE9" w:rsidR="002C1DE9">
        <w:rPr>
          <w:i/>
          <w:sz w:val="20"/>
        </w:rPr>
        <w:t>?:</w:t>
      </w:r>
      <w:r w:rsidRPr="006256C0" w:rsidR="009D513D">
        <w:rPr>
          <w:i/>
          <w:sz w:val="20"/>
        </w:rPr>
        <w:t>?</w:t>
      </w:r>
      <w:proofErr w:type="gramEnd"/>
      <w:r w:rsidR="009D513D">
        <w:rPr>
          <w:i/>
          <w:sz w:val="20"/>
        </w:rPr>
        <w:t xml:space="preserve"> […]”</w:t>
      </w:r>
    </w:p>
    <w:p w:rsidRPr="00115E3D" w:rsidR="00661953" w:rsidP="00661953" w:rsidRDefault="00661953" w14:paraId="490A4AF1" w14:textId="77777777">
      <w:pPr>
        <w:pStyle w:val="Prrafodelista"/>
        <w:tabs>
          <w:tab w:val="left" w:pos="142"/>
          <w:tab w:val="left" w:pos="284"/>
        </w:tabs>
        <w:spacing w:line="276" w:lineRule="auto"/>
        <w:ind w:left="0"/>
        <w:jc w:val="both"/>
        <w:rPr>
          <w:rFonts w:ascii="Verdana" w:hAnsi="Verdana" w:eastAsia="Century Gothic" w:cs="Century Gothic"/>
          <w:b/>
          <w:bCs/>
          <w:color w:val="000000" w:themeColor="text1"/>
          <w:lang w:val="es-ES"/>
        </w:rPr>
      </w:pPr>
    </w:p>
    <w:p w:rsidRPr="00115E3D" w:rsidR="00661953" w:rsidP="00661953" w:rsidRDefault="00661953" w14:paraId="2AE9DE90" w14:textId="77777777">
      <w:pPr>
        <w:spacing w:after="120" w:line="276" w:lineRule="auto"/>
        <w:ind w:firstLine="709"/>
        <w:jc w:val="both"/>
        <w:rPr>
          <w:rFonts w:ascii="Verdana" w:hAnsi="Verdana" w:eastAsia="Calibri" w:cs="Arial"/>
          <w:color w:val="000000" w:themeColor="text1"/>
          <w:szCs w:val="24"/>
          <w:lang w:val="es-ES_tradnl" w:eastAsia="es-ES_tradnl"/>
        </w:rPr>
      </w:pPr>
      <w:r w:rsidRPr="00115E3D">
        <w:rPr>
          <w:rFonts w:ascii="Verdana" w:hAnsi="Verdana" w:eastAsia="Calibri"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5E3D">
        <w:rPr>
          <w:rFonts w:ascii="Verdana" w:hAnsi="Verdana" w:eastAsia="Calibri" w:cs="Arial"/>
          <w:color w:val="000000" w:themeColor="text1"/>
          <w:szCs w:val="24"/>
          <w:lang w:val="es-ES_tradnl" w:eastAsia="es-ES_tradnl"/>
        </w:rPr>
        <w:tab/>
      </w:r>
    </w:p>
    <w:p w:rsidRPr="00115E3D" w:rsidR="00661953" w:rsidP="00661953" w:rsidRDefault="00661953" w14:paraId="690BFA13" w14:textId="77777777">
      <w:pPr>
        <w:spacing w:after="0" w:line="276" w:lineRule="auto"/>
        <w:ind w:firstLine="709"/>
        <w:jc w:val="both"/>
        <w:rPr>
          <w:rFonts w:ascii="Verdana" w:hAnsi="Verdana" w:eastAsia="Calibri" w:cs="Arial"/>
          <w:color w:val="000000" w:themeColor="text1"/>
          <w:lang w:val="es-ES" w:eastAsia="es-ES"/>
        </w:rPr>
      </w:pPr>
      <w:r w:rsidRPr="00115E3D">
        <w:rPr>
          <w:rFonts w:ascii="Verdana" w:hAnsi="Verdana" w:eastAsia="Calibri"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rsidRPr="00115E3D" w:rsidR="00661953" w:rsidP="00661953" w:rsidRDefault="00661953" w14:paraId="0B859AD9" w14:textId="77777777">
      <w:pPr>
        <w:spacing w:after="0" w:line="276" w:lineRule="auto"/>
        <w:ind w:firstLine="709"/>
        <w:jc w:val="both"/>
        <w:rPr>
          <w:rFonts w:ascii="Verdana" w:hAnsi="Verdana" w:eastAsia="Calibri" w:cs="Arial"/>
          <w:color w:val="000000" w:themeColor="text1"/>
          <w:lang w:val="es-ES" w:eastAsia="es-ES"/>
        </w:rPr>
      </w:pPr>
    </w:p>
    <w:p w:rsidRPr="00115E3D" w:rsidR="00661953" w:rsidP="00661953" w:rsidRDefault="00661953" w14:paraId="1F92388C" w14:textId="77777777">
      <w:pPr>
        <w:pStyle w:val="Prrafodelista"/>
        <w:numPr>
          <w:ilvl w:val="0"/>
          <w:numId w:val="1"/>
        </w:numPr>
        <w:tabs>
          <w:tab w:val="left" w:pos="142"/>
          <w:tab w:val="left" w:pos="284"/>
        </w:tabs>
        <w:spacing w:after="0" w:line="276" w:lineRule="auto"/>
        <w:ind w:left="0" w:firstLine="0"/>
        <w:jc w:val="both"/>
        <w:rPr>
          <w:rFonts w:ascii="Verdana" w:hAnsi="Verdana" w:eastAsia="Century Gothic" w:cs="Century Gothic"/>
          <w:b/>
          <w:bCs/>
          <w:color w:val="000000" w:themeColor="text1"/>
          <w:lang w:val="es-ES"/>
        </w:rPr>
      </w:pPr>
      <w:r w:rsidRPr="00115E3D">
        <w:rPr>
          <w:rFonts w:ascii="Verdana" w:hAnsi="Verdana" w:eastAsia="Century Gothic" w:cs="Century Gothic"/>
          <w:b/>
          <w:bCs/>
          <w:color w:val="000000" w:themeColor="text1"/>
          <w:lang w:val="es-ES"/>
        </w:rPr>
        <w:t>Problema planteado:</w:t>
      </w:r>
    </w:p>
    <w:p w:rsidRPr="00115E3D" w:rsidR="00661953" w:rsidP="00661953" w:rsidRDefault="00661953" w14:paraId="479011CD" w14:textId="77777777">
      <w:pPr>
        <w:tabs>
          <w:tab w:val="left" w:pos="426"/>
        </w:tabs>
        <w:spacing w:after="0" w:line="276" w:lineRule="auto"/>
        <w:jc w:val="both"/>
        <w:rPr>
          <w:rFonts w:ascii="Verdana" w:hAnsi="Verdana" w:eastAsia="Century Gothic" w:cs="Century Gothic"/>
          <w:color w:val="000000" w:themeColor="text1"/>
          <w:lang w:val="es-ES"/>
        </w:rPr>
      </w:pPr>
    </w:p>
    <w:p w:rsidR="00661953" w:rsidP="002C1DE9" w:rsidRDefault="00661953" w14:paraId="2AD64DAC" w14:textId="78831D51">
      <w:pPr>
        <w:pStyle w:val="Textoindependiente"/>
        <w:spacing w:line="276" w:lineRule="auto"/>
        <w:ind w:right="-93"/>
        <w:jc w:val="both"/>
        <w:rPr>
          <w:rFonts w:cs="Arial"/>
        </w:rPr>
      </w:pPr>
      <w:r w:rsidRPr="00115E3D">
        <w:rPr>
          <w:rFonts w:eastAsia="Century Gothic" w:cs="Century Gothic"/>
          <w:color w:val="000000" w:themeColor="text1"/>
        </w:rPr>
        <w:t xml:space="preserve">De acuerdo con el contenido de su solicitud, esta Agencia resolverá </w:t>
      </w:r>
      <w:r w:rsidRPr="00115E3D" w:rsidR="00AB3348">
        <w:rPr>
          <w:rFonts w:eastAsia="Century Gothic" w:cs="Century Gothic"/>
          <w:color w:val="000000" w:themeColor="text1"/>
        </w:rPr>
        <w:t>el siguiente problema</w:t>
      </w:r>
      <w:r w:rsidRPr="00115E3D" w:rsidR="00456BB7">
        <w:rPr>
          <w:rFonts w:eastAsia="Century Gothic" w:cs="Century Gothic"/>
          <w:color w:val="000000" w:themeColor="text1"/>
        </w:rPr>
        <w:t xml:space="preserve"> jurídico</w:t>
      </w:r>
      <w:r w:rsidRPr="00115E3D">
        <w:rPr>
          <w:rFonts w:eastAsia="Century Gothic" w:cs="Century Gothic"/>
          <w:color w:val="000000" w:themeColor="text1"/>
        </w:rPr>
        <w:t xml:space="preserve">: </w:t>
      </w:r>
      <w:r w:rsidRPr="00AB0862" w:rsidR="002C1DE9">
        <w:rPr>
          <w:rFonts w:cs="Arial"/>
        </w:rPr>
        <w:t>¿En qué tipos de contratos estatales es obligatorio constituir veedurías ciudadanas?</w:t>
      </w:r>
    </w:p>
    <w:p w:rsidRPr="005B4C2B" w:rsidR="002C1DE9" w:rsidP="002C1DE9" w:rsidRDefault="002C1DE9" w14:paraId="5A23351E" w14:textId="77777777">
      <w:pPr>
        <w:pStyle w:val="Textoindependiente"/>
        <w:spacing w:line="276" w:lineRule="auto"/>
        <w:ind w:right="-93"/>
        <w:jc w:val="both"/>
        <w:rPr>
          <w:rFonts w:eastAsia="Calibri" w:cs="Arial"/>
          <w:color w:val="000000" w:themeColor="text1"/>
        </w:rPr>
      </w:pPr>
    </w:p>
    <w:p w:rsidRPr="00115E3D" w:rsidR="00661953" w:rsidP="00661953" w:rsidRDefault="00661953" w14:paraId="7A6E7A73" w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color w:val="000000" w:themeColor="text1"/>
          <w:lang w:val="es-ES"/>
        </w:rPr>
      </w:pPr>
      <w:r w:rsidRPr="00115E3D">
        <w:rPr>
          <w:rFonts w:ascii="Verdana" w:hAnsi="Verdana" w:eastAsia="Century Gothic" w:cs="Century Gothic"/>
          <w:b/>
          <w:bCs/>
          <w:color w:val="000000" w:themeColor="text1"/>
          <w:lang w:val="es-ES"/>
        </w:rPr>
        <w:t>Respuesta:</w:t>
      </w:r>
    </w:p>
    <w:p w:rsidRPr="00115E3D" w:rsidR="00661953" w:rsidP="00661953" w:rsidRDefault="00661953" w14:paraId="7B5C8C1A" w14:textId="77777777">
      <w:pPr>
        <w:tabs>
          <w:tab w:val="left" w:pos="142"/>
          <w:tab w:val="left" w:pos="284"/>
        </w:tabs>
        <w:spacing w:after="0" w:line="276" w:lineRule="auto"/>
        <w:jc w:val="both"/>
        <w:rPr>
          <w:rFonts w:ascii="Verdana" w:hAnsi="Verdana" w:eastAsia="Century Gothic" w:cs="Century Gothic"/>
          <w:b/>
          <w:bCs/>
          <w:color w:val="000000" w:themeColor="text1"/>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115E3D" w:rsidR="00661953" w:rsidTr="003028CD" w14:paraId="16BCBE80" w14:textId="77777777">
        <w:tc>
          <w:tcPr>
            <w:tcW w:w="8828" w:type="dxa"/>
            <w:shd w:val="clear" w:color="auto" w:fill="auto"/>
          </w:tcPr>
          <w:p w:rsidRPr="00AB0862" w:rsidR="002C1DE9" w:rsidP="002C1DE9" w:rsidRDefault="002C1DE9" w14:paraId="0BF179D7" w14:textId="77777777">
            <w:pPr>
              <w:spacing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 xml:space="preserve">Para responder el interrogante planteado, para la Agencia resulta pertinente determinar el marco de aplicación del control social en la actividad contractual, así como las etapas del proceso de contratación en las cuales puede ejercerse </w:t>
            </w:r>
            <w:r w:rsidRPr="00AB0862">
              <w:rPr>
                <w:rFonts w:ascii="Verdana" w:hAnsi="Verdana" w:cs="Arial"/>
                <w:color w:val="000000" w:themeColor="text1"/>
                <w:lang w:val="es-ES" w:eastAsia="es-ES_tradnl"/>
              </w:rPr>
              <w:lastRenderedPageBreak/>
              <w:t xml:space="preserve">la vigilancia y control de la gestión pública por parte de la ciudadanía y, por ende, de las veedurías ciudadanas. </w:t>
            </w:r>
          </w:p>
          <w:p w:rsidRPr="00AB0862" w:rsidR="002C1DE9" w:rsidP="002C1DE9" w:rsidRDefault="002C1DE9" w14:paraId="49DBD651" w14:textId="77777777">
            <w:pPr>
              <w:shd w:val="clear" w:color="auto" w:fill="FFFFFF"/>
              <w:spacing w:line="276" w:lineRule="auto"/>
              <w:jc w:val="both"/>
              <w:rPr>
                <w:rFonts w:ascii="Verdana" w:hAnsi="Verdana" w:eastAsia="Times New Roman" w:cs="Arial"/>
                <w:color w:val="000000" w:themeColor="text1"/>
                <w:lang w:val="es-ES" w:eastAsia="es-ES_tradnl"/>
              </w:rPr>
            </w:pPr>
            <w:r w:rsidRPr="00AB0862">
              <w:rPr>
                <w:rFonts w:ascii="Verdana" w:hAnsi="Verdana" w:eastAsia="Times New Roman" w:cs="Arial"/>
                <w:color w:val="000000" w:themeColor="text1"/>
                <w:lang w:val="es-ES" w:eastAsia="es-ES_tradnl"/>
              </w:rPr>
              <w:t xml:space="preserve">Es por ello que como primera medida, el </w:t>
            </w:r>
            <w:bookmarkStart w:name="_Hlk186191439" w:id="0"/>
            <w:r w:rsidRPr="00AB0862">
              <w:rPr>
                <w:rFonts w:ascii="Verdana" w:hAnsi="Verdana" w:eastAsia="Times New Roman" w:cs="Arial"/>
                <w:color w:val="000000" w:themeColor="text1"/>
                <w:lang w:val="es-ES" w:eastAsia="es-ES_tradnl"/>
              </w:rPr>
              <w:t xml:space="preserve">Decreto 1082 de 2015, en su artículo 2.2.1.1.2.1.5., </w:t>
            </w:r>
            <w:bookmarkEnd w:id="0"/>
            <w:r w:rsidRPr="00AB0862">
              <w:rPr>
                <w:rFonts w:ascii="Verdana" w:hAnsi="Verdana" w:eastAsia="Times New Roman" w:cs="Arial"/>
                <w:color w:val="000000" w:themeColor="text1"/>
                <w:lang w:val="es-ES" w:eastAsia="es-ES_tradnl"/>
              </w:rPr>
              <w:t xml:space="preserve">hace referencia a las convocatorias de las veedurías ciudadanas en relación con el acto administrativo de apertura del proceso de selección. </w:t>
            </w:r>
          </w:p>
          <w:p w:rsidRPr="00AB0862" w:rsidR="002C1DE9" w:rsidP="002C1DE9" w:rsidRDefault="002C1DE9" w14:paraId="11B9B786" w14:textId="77777777">
            <w:pPr>
              <w:shd w:val="clear" w:color="auto" w:fill="FFFFFF"/>
              <w:spacing w:before="120" w:line="276" w:lineRule="auto"/>
              <w:jc w:val="both"/>
              <w:rPr>
                <w:rFonts w:ascii="Verdana" w:hAnsi="Verdana" w:eastAsia="Times New Roman" w:cs="Arial"/>
                <w:color w:val="000000" w:themeColor="text1"/>
                <w:lang w:val="es-ES" w:eastAsia="es-ES_tradnl"/>
              </w:rPr>
            </w:pPr>
            <w:r w:rsidRPr="00AB0862">
              <w:rPr>
                <w:rFonts w:ascii="Verdana" w:hAnsi="Verdana" w:eastAsia="Times New Roman" w:cs="Arial"/>
                <w:color w:val="000000" w:themeColor="text1"/>
                <w:lang w:val="es-ES" w:eastAsia="es-ES_tradnl"/>
              </w:rPr>
              <w:t xml:space="preserve">El citado Decreto específicamente establece que “la Entidad Estatal debe ordenar la apertura del proceso de selección, mediante acto administrativo de carácter general, sin perjuicio de lo dispuesto en las Disposiciones Especiales para las modalidades de selección, previstas en el capítulo 2 del presente título”. Dicho acto deberá señalar, entre otros aspectos, la convocatoria a las veedurías ciudadanas, en virtud de la cual se invita a estas a participar en el proceso de selección que se inicia, con el propósito de que realicen el control social a la actividad contractual.  </w:t>
            </w:r>
          </w:p>
          <w:p w:rsidRPr="00AB0862" w:rsidR="002C1DE9" w:rsidP="002C1DE9" w:rsidRDefault="002C1DE9" w14:paraId="1CC237D8" w14:textId="77777777">
            <w:pPr>
              <w:shd w:val="clear" w:color="auto" w:fill="FFFFFF"/>
              <w:spacing w:before="120" w:line="276" w:lineRule="auto"/>
              <w:jc w:val="both"/>
              <w:rPr>
                <w:rFonts w:ascii="Verdana" w:hAnsi="Verdana" w:eastAsia="Times New Roman" w:cs="Arial"/>
                <w:color w:val="000000" w:themeColor="text1"/>
                <w:lang w:val="es-ES" w:eastAsia="es-ES_tradnl"/>
              </w:rPr>
            </w:pPr>
            <w:r w:rsidRPr="00AB0862">
              <w:rPr>
                <w:rFonts w:ascii="Verdana" w:hAnsi="Verdana" w:eastAsia="Times New Roman" w:cs="Arial"/>
                <w:color w:val="000000" w:themeColor="text1"/>
                <w:lang w:val="es-ES" w:eastAsia="es-ES_tradnl"/>
              </w:rPr>
              <w:t xml:space="preserve">En lo concerniente a la contratación directa, el Decreto 1082 de 2015 estableció unos procedimientos especiales que no contemplan la expedición de un acto administrativo de apertura, ni el aviso de convocatoria establecido en el artículo </w:t>
            </w:r>
            <w:bookmarkStart w:name="_Hlk186191477" w:id="1"/>
            <w:r w:rsidRPr="00AB0862">
              <w:rPr>
                <w:rFonts w:ascii="Verdana" w:hAnsi="Verdana" w:eastAsia="Times New Roman" w:cs="Arial"/>
                <w:color w:val="000000" w:themeColor="text1"/>
                <w:lang w:val="es-ES" w:eastAsia="es-ES_tradnl"/>
              </w:rPr>
              <w:t xml:space="preserve">2.2.1.1.2.1.2 </w:t>
            </w:r>
            <w:bookmarkEnd w:id="1"/>
            <w:r w:rsidRPr="00AB0862">
              <w:rPr>
                <w:rFonts w:ascii="Verdana" w:hAnsi="Verdana" w:eastAsia="Times New Roman" w:cs="Arial"/>
                <w:color w:val="000000" w:themeColor="text1"/>
                <w:lang w:val="es-ES" w:eastAsia="es-ES_tradnl"/>
              </w:rPr>
              <w:t>del mismo cuerpo normativo. Por ende, en atención al principio de economía en los procesos de contratación, por medio del cual no es posible adelantar procedimientos o etapas que no estén expresamente previstos en las normas, en esta modalidad de selección no se expide un acto administrativo de apertura y, en consecuencia, no hay convocatoria a las veedurías ciudadanas en los términos del artículo 2.2.1.1.2.1.5 del Decreto 1082 de 2015.</w:t>
            </w:r>
          </w:p>
          <w:p w:rsidRPr="00AB0862" w:rsidR="002C1DE9" w:rsidP="002C1DE9" w:rsidRDefault="002C1DE9" w14:paraId="61E51ABB" w14:textId="77777777">
            <w:pPr>
              <w:shd w:val="clear" w:color="auto" w:fill="FFFFFF"/>
              <w:spacing w:before="120" w:line="276" w:lineRule="auto"/>
              <w:jc w:val="both"/>
              <w:rPr>
                <w:rFonts w:ascii="Verdana" w:hAnsi="Verdana" w:eastAsia="Times New Roman" w:cs="Arial"/>
                <w:color w:val="000000" w:themeColor="text1"/>
                <w:lang w:val="es-ES" w:eastAsia="es-ES_tradnl"/>
              </w:rPr>
            </w:pPr>
            <w:r w:rsidRPr="00AB0862">
              <w:rPr>
                <w:rFonts w:ascii="Verdana" w:hAnsi="Verdana" w:eastAsia="Times New Roman" w:cs="Arial"/>
                <w:color w:val="000000" w:themeColor="text1"/>
                <w:lang w:val="es-ES" w:eastAsia="es-ES_tradnl"/>
              </w:rPr>
              <w:t>Sin embargo, ello no impide que los ciudadanos individualmente considerados, o las organizaciones constituidas para tal fin, por ejemplo, las veedurías ciudadanas, puedan participar y ejercer el control social respecto de los procesos en la modalidad de contratación directa. Ello, se reitera, por cuanto todos los contratos que celebren las entidades del Estado están sujetos a la vigilancia y control ciudadano.</w:t>
            </w:r>
          </w:p>
          <w:p w:rsidRPr="002C1DE9" w:rsidR="00661953" w:rsidP="002C1DE9" w:rsidRDefault="002C1DE9" w14:paraId="2877CB3D" w14:textId="1BE1DED3">
            <w:pPr>
              <w:shd w:val="clear" w:color="auto" w:fill="FFFFFF"/>
              <w:spacing w:before="120" w:line="276" w:lineRule="auto"/>
              <w:jc w:val="both"/>
              <w:rPr>
                <w:rFonts w:ascii="Verdana" w:hAnsi="Verdana" w:eastAsia="Times New Roman" w:cs="Arial"/>
                <w:color w:val="000000" w:themeColor="text1"/>
                <w:lang w:val="es-ES" w:eastAsia="es-ES_tradnl"/>
              </w:rPr>
            </w:pPr>
            <w:r w:rsidRPr="00266475">
              <w:rPr>
                <w:rFonts w:ascii="Verdana" w:hAnsi="Verdana" w:eastAsia="Times New Roman" w:cs="Arial"/>
                <w:color w:val="000000" w:themeColor="text1"/>
                <w:lang w:val="es-ES" w:eastAsia="es-ES_tradnl"/>
              </w:rPr>
              <w:t xml:space="preserve">A manera de conclusión, a juicio de la Agencia, </w:t>
            </w:r>
            <w:r>
              <w:rPr>
                <w:rFonts w:ascii="Verdana" w:hAnsi="Verdana" w:eastAsia="Times New Roman" w:cs="Arial"/>
                <w:color w:val="000000" w:themeColor="text1"/>
                <w:lang w:val="es-ES" w:eastAsia="es-ES_tradnl"/>
              </w:rPr>
              <w:t>l</w:t>
            </w:r>
            <w:r w:rsidRPr="00266475">
              <w:rPr>
                <w:rFonts w:ascii="Verdana" w:hAnsi="Verdana" w:eastAsia="Times New Roman" w:cs="Arial"/>
                <w:color w:val="000000" w:themeColor="text1"/>
                <w:lang w:val="es-ES" w:eastAsia="es-ES_tradnl"/>
              </w:rPr>
              <w:t>as veedurías</w:t>
            </w:r>
            <w:r>
              <w:rPr>
                <w:rFonts w:ascii="Verdana" w:hAnsi="Verdana" w:eastAsia="Times New Roman" w:cs="Arial"/>
                <w:color w:val="000000" w:themeColor="text1"/>
                <w:lang w:val="es-ES" w:eastAsia="es-ES_tradnl"/>
              </w:rPr>
              <w:t xml:space="preserve"> ciudadanas</w:t>
            </w:r>
            <w:r w:rsidRPr="00266475">
              <w:rPr>
                <w:rFonts w:ascii="Verdana" w:hAnsi="Verdana" w:eastAsia="Times New Roman" w:cs="Arial"/>
                <w:color w:val="000000" w:themeColor="text1"/>
                <w:lang w:val="es-ES" w:eastAsia="es-ES_tradnl"/>
              </w:rPr>
              <w:t xml:space="preserve"> ejercen</w:t>
            </w:r>
            <w:r>
              <w:rPr>
                <w:rFonts w:ascii="Verdana" w:hAnsi="Verdana" w:eastAsia="Times New Roman" w:cs="Arial"/>
                <w:color w:val="000000" w:themeColor="text1"/>
                <w:lang w:val="es-ES" w:eastAsia="es-ES_tradnl"/>
              </w:rPr>
              <w:t xml:space="preserve"> la potestad de </w:t>
            </w:r>
            <w:r w:rsidRPr="00266475">
              <w:rPr>
                <w:rFonts w:ascii="Verdana" w:hAnsi="Verdana" w:eastAsia="Times New Roman" w:cs="Arial"/>
                <w:color w:val="000000" w:themeColor="text1"/>
                <w:lang w:val="es-ES" w:eastAsia="es-ES_tradnl"/>
              </w:rPr>
              <w:t xml:space="preserve">vigilancia preventiva y posterior del proceso de </w:t>
            </w:r>
            <w:r>
              <w:rPr>
                <w:rFonts w:ascii="Verdana" w:hAnsi="Verdana" w:eastAsia="Times New Roman" w:cs="Arial"/>
                <w:color w:val="000000" w:themeColor="text1"/>
                <w:lang w:val="es-ES" w:eastAsia="es-ES_tradnl"/>
              </w:rPr>
              <w:lastRenderedPageBreak/>
              <w:t>contratación,</w:t>
            </w:r>
            <w:r w:rsidRPr="00266475">
              <w:rPr>
                <w:rFonts w:ascii="Verdana" w:hAnsi="Verdana" w:eastAsia="Times New Roman" w:cs="Arial"/>
                <w:color w:val="000000" w:themeColor="text1"/>
                <w:lang w:val="es-ES" w:eastAsia="es-ES_tradnl"/>
              </w:rPr>
              <w:t xml:space="preserve"> haciendo recomendaciones escritas y oportunas ante las entidades </w:t>
            </w:r>
            <w:r>
              <w:rPr>
                <w:rFonts w:ascii="Verdana" w:hAnsi="Verdana" w:eastAsia="Times New Roman" w:cs="Arial"/>
                <w:color w:val="000000" w:themeColor="text1"/>
                <w:lang w:val="es-ES" w:eastAsia="es-ES_tradnl"/>
              </w:rPr>
              <w:t>contratantes</w:t>
            </w:r>
            <w:r w:rsidRPr="00266475">
              <w:rPr>
                <w:rFonts w:ascii="Verdana" w:hAnsi="Verdana" w:eastAsia="Times New Roman" w:cs="Arial"/>
                <w:color w:val="000000" w:themeColor="text1"/>
                <w:lang w:val="es-ES" w:eastAsia="es-ES_tradnl"/>
              </w:rPr>
              <w:t xml:space="preserve"> y ante los organismos de control del Estado</w:t>
            </w:r>
            <w:r>
              <w:rPr>
                <w:rFonts w:ascii="Verdana" w:hAnsi="Verdana" w:eastAsia="Times New Roman" w:cs="Arial"/>
                <w:color w:val="000000" w:themeColor="text1"/>
                <w:lang w:val="es-ES" w:eastAsia="es-ES_tradnl"/>
              </w:rPr>
              <w:t>,</w:t>
            </w:r>
            <w:r w:rsidRPr="00266475">
              <w:rPr>
                <w:rFonts w:ascii="Verdana" w:hAnsi="Verdana" w:eastAsia="Times New Roman" w:cs="Arial"/>
                <w:color w:val="000000" w:themeColor="text1"/>
                <w:lang w:val="es-ES" w:eastAsia="es-ES_tradnl"/>
              </w:rPr>
              <w:t xml:space="preserve"> para mejorar la eficiencia institucional y la actuación de los funcionarios públicos</w:t>
            </w:r>
            <w:r>
              <w:rPr>
                <w:rFonts w:ascii="Verdana" w:hAnsi="Verdana" w:eastAsia="Times New Roman" w:cs="Arial"/>
                <w:color w:val="000000" w:themeColor="text1"/>
                <w:lang w:val="es-ES" w:eastAsia="es-ES_tradnl"/>
              </w:rPr>
              <w:t>; sin embargo, de acuerdo con lo expuesto no existe una obligación de constituir veedurías por parte de las entidades contratantes o de solicitar que se constituyan, ya que de acuerdo con el Decreto 1082 de 2015 la obligación es convocar a las veedurías en los procesos de contratación de acuerdo con lo expuesto respecto del acto de apertura para determinadas modalidad de selección, y para la contratación directa de forma diferente por no contar con dicho acto.</w:t>
            </w:r>
          </w:p>
        </w:tc>
      </w:tr>
    </w:tbl>
    <w:p w:rsidRPr="00115E3D" w:rsidR="00661953" w:rsidP="00661953" w:rsidRDefault="00661953" w14:paraId="61E4F815" w14:textId="77777777">
      <w:pPr>
        <w:tabs>
          <w:tab w:val="left" w:pos="142"/>
          <w:tab w:val="left" w:pos="284"/>
        </w:tabs>
        <w:spacing w:after="0" w:line="276" w:lineRule="auto"/>
        <w:jc w:val="both"/>
        <w:rPr>
          <w:rFonts w:ascii="Verdana" w:hAnsi="Verdana" w:eastAsia="Century Gothic" w:cs="Century Gothic"/>
          <w:b/>
          <w:bCs/>
          <w:color w:val="000000" w:themeColor="text1"/>
          <w:lang w:val="es-ES"/>
        </w:rPr>
      </w:pPr>
    </w:p>
    <w:p w:rsidRPr="00115E3D" w:rsidR="00661953" w:rsidP="00661953" w:rsidRDefault="00661953" w14:paraId="280E37B0" w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color w:val="000000" w:themeColor="text1"/>
          <w:lang w:val="es-ES"/>
        </w:rPr>
      </w:pPr>
      <w:r w:rsidRPr="00115E3D">
        <w:rPr>
          <w:rFonts w:ascii="Verdana" w:hAnsi="Verdana" w:eastAsia="Century Gothic" w:cs="Century Gothic"/>
          <w:b/>
          <w:bCs/>
          <w:color w:val="000000" w:themeColor="text1"/>
          <w:lang w:val="es-ES"/>
        </w:rPr>
        <w:t>Razones de la respuesta:</w:t>
      </w:r>
    </w:p>
    <w:p w:rsidRPr="00115E3D" w:rsidR="00661953" w:rsidP="00661953" w:rsidRDefault="00661953" w14:paraId="447B30A8" w14:textId="77777777">
      <w:pPr>
        <w:spacing w:after="0" w:line="276" w:lineRule="auto"/>
        <w:jc w:val="both"/>
        <w:rPr>
          <w:rFonts w:ascii="Verdana" w:hAnsi="Verdana" w:eastAsia="Calibri" w:cs="Arial"/>
          <w:color w:val="000000" w:themeColor="text1"/>
          <w:lang w:val="es-ES"/>
        </w:rPr>
      </w:pPr>
    </w:p>
    <w:p w:rsidRPr="00115E3D" w:rsidR="00661953" w:rsidP="00661953" w:rsidRDefault="00661953" w14:paraId="45066F14" w14:textId="77777777">
      <w:pPr>
        <w:spacing w:after="0" w:line="276" w:lineRule="auto"/>
        <w:jc w:val="both"/>
        <w:rPr>
          <w:rFonts w:ascii="Verdana" w:hAnsi="Verdana" w:eastAsia="Calibri" w:cs="Arial"/>
          <w:color w:val="000000" w:themeColor="text1"/>
          <w:lang w:val="es-ES"/>
        </w:rPr>
      </w:pPr>
      <w:r w:rsidRPr="00115E3D">
        <w:rPr>
          <w:rFonts w:ascii="Verdana" w:hAnsi="Verdana" w:eastAsia="Calibri" w:cs="Arial"/>
          <w:color w:val="000000" w:themeColor="text1"/>
          <w:lang w:val="es-ES"/>
        </w:rPr>
        <w:t xml:space="preserve">Lo anterior se sustenta en las siguientes consideraciones: </w:t>
      </w:r>
    </w:p>
    <w:p w:rsidRPr="00115E3D" w:rsidR="00661953" w:rsidP="00661953" w:rsidRDefault="00661953" w14:paraId="22E02823" w14:textId="77777777">
      <w:pPr>
        <w:spacing w:after="0" w:line="276" w:lineRule="auto"/>
        <w:jc w:val="both"/>
        <w:rPr>
          <w:rFonts w:ascii="Verdana" w:hAnsi="Verdana" w:eastAsia="Calibri" w:cs="Arial"/>
          <w:color w:val="000000" w:themeColor="text1"/>
          <w:lang w:val="es-ES"/>
        </w:rPr>
      </w:pPr>
    </w:p>
    <w:p w:rsidRPr="00AB0862" w:rsidR="002C1DE9" w:rsidP="002C1DE9" w:rsidRDefault="002C1DE9" w14:paraId="28FDE4F1" w14:textId="77777777">
      <w:pPr>
        <w:pStyle w:val="Prrafodelista"/>
        <w:numPr>
          <w:ilvl w:val="0"/>
          <w:numId w:val="7"/>
        </w:numPr>
        <w:tabs>
          <w:tab w:val="left" w:pos="426"/>
        </w:tabs>
        <w:spacing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 xml:space="preserve">La participación ciudadana en las decisiones del Estado tiene fundamento en la Constitución Política. En efecto, el </w:t>
      </w:r>
      <w:bookmarkStart w:name="_Hlk186191499" w:id="2"/>
      <w:r w:rsidRPr="00AB0862">
        <w:rPr>
          <w:rFonts w:ascii="Verdana" w:hAnsi="Verdana" w:cs="Arial"/>
          <w:color w:val="000000" w:themeColor="text1"/>
          <w:lang w:val="es-ES" w:eastAsia="es-ES_tradnl"/>
        </w:rPr>
        <w:t xml:space="preserve">artículo 2 de la Constitución </w:t>
      </w:r>
      <w:bookmarkEnd w:id="2"/>
      <w:r w:rsidRPr="00AB0862">
        <w:rPr>
          <w:rFonts w:ascii="Verdana" w:hAnsi="Verdana" w:cs="Arial"/>
          <w:color w:val="000000" w:themeColor="text1"/>
          <w:lang w:val="es-ES" w:eastAsia="es-ES_tradnl"/>
        </w:rPr>
        <w:t xml:space="preserve">dispone cuáles son los fines esenciales del Estado, entre ellos, “[...] </w:t>
      </w:r>
      <w:r w:rsidRPr="00AB0862">
        <w:rPr>
          <w:rFonts w:ascii="Verdana" w:hAnsi="Verdana" w:eastAsia="Calibri" w:cs="Arial"/>
          <w:bCs/>
          <w:color w:val="000000" w:themeColor="text1"/>
          <w:lang w:val="es-ES"/>
        </w:rPr>
        <w:t>facilitar la participación de todos en las decisiones que los afectan y en la vida económica, política, administrativa y cultural de la Nación</w:t>
      </w:r>
      <w:r w:rsidRPr="00AB0862">
        <w:rPr>
          <w:rFonts w:ascii="Verdana" w:hAnsi="Verdana" w:eastAsia="Calibri" w:cs="Arial"/>
          <w:bCs/>
          <w:i/>
          <w:iCs/>
          <w:color w:val="000000" w:themeColor="text1"/>
          <w:lang w:val="es-ES"/>
        </w:rPr>
        <w:t xml:space="preserve"> </w:t>
      </w:r>
      <w:r w:rsidRPr="00AB0862">
        <w:rPr>
          <w:rFonts w:ascii="Verdana" w:hAnsi="Verdana" w:cs="Arial"/>
          <w:color w:val="000000" w:themeColor="text1"/>
          <w:lang w:val="es-ES" w:eastAsia="es-ES_tradnl"/>
        </w:rPr>
        <w:t xml:space="preserve">[...]”. </w:t>
      </w:r>
    </w:p>
    <w:p w:rsidRPr="00AB0862" w:rsidR="002C1DE9" w:rsidP="002C1DE9" w:rsidRDefault="002C1DE9" w14:paraId="2F44B92F" w14:textId="77777777">
      <w:pPr>
        <w:pStyle w:val="Prrafodelista"/>
        <w:tabs>
          <w:tab w:val="left" w:pos="426"/>
        </w:tabs>
        <w:spacing w:line="276" w:lineRule="auto"/>
        <w:jc w:val="both"/>
        <w:rPr>
          <w:rFonts w:ascii="Verdana" w:hAnsi="Verdana" w:cs="Arial"/>
          <w:color w:val="000000" w:themeColor="text1"/>
          <w:lang w:val="es-ES" w:eastAsia="es-ES_tradnl"/>
        </w:rPr>
      </w:pPr>
    </w:p>
    <w:p w:rsidRPr="00AB0862" w:rsidR="002C1DE9" w:rsidP="002C1DE9" w:rsidRDefault="002C1DE9" w14:paraId="7A810C6C" w14:textId="77777777">
      <w:pPr>
        <w:pStyle w:val="Prrafodelista"/>
        <w:numPr>
          <w:ilvl w:val="0"/>
          <w:numId w:val="7"/>
        </w:numPr>
        <w:tabs>
          <w:tab w:val="left" w:pos="426"/>
        </w:tabs>
        <w:spacing w:before="120" w:after="0" w:line="276" w:lineRule="auto"/>
        <w:jc w:val="both"/>
        <w:rPr>
          <w:rFonts w:ascii="Verdana" w:hAnsi="Verdana" w:eastAsia="Calibri" w:cs="Arial"/>
          <w:bCs/>
          <w:color w:val="000000" w:themeColor="text1"/>
          <w:lang w:val="es-ES"/>
        </w:rPr>
      </w:pPr>
      <w:r w:rsidRPr="00AB0862">
        <w:rPr>
          <w:rFonts w:ascii="Verdana" w:hAnsi="Verdana" w:cs="Arial"/>
          <w:color w:val="000000" w:themeColor="text1"/>
          <w:lang w:val="es-ES" w:eastAsia="es-ES_tradnl"/>
        </w:rPr>
        <w:t xml:space="preserve">Por su parte, el </w:t>
      </w:r>
      <w:bookmarkStart w:name="_Hlk186191542" w:id="3"/>
      <w:r w:rsidRPr="00AB0862">
        <w:rPr>
          <w:rFonts w:ascii="Verdana" w:hAnsi="Verdana" w:cs="Arial"/>
          <w:color w:val="000000" w:themeColor="text1"/>
          <w:lang w:val="es-ES" w:eastAsia="es-ES_tradnl"/>
        </w:rPr>
        <w:t xml:space="preserve">artículo 270 </w:t>
      </w:r>
      <w:bookmarkEnd w:id="3"/>
      <w:r w:rsidRPr="00AB0862">
        <w:rPr>
          <w:rFonts w:ascii="Verdana" w:hAnsi="Verdana" w:cs="Arial"/>
          <w:color w:val="000000" w:themeColor="text1"/>
          <w:lang w:val="es-ES" w:eastAsia="es-ES_tradnl"/>
        </w:rPr>
        <w:t xml:space="preserve">de la Constitución atribuye a la Ley la organización de “[...] las formas y los sistemas de participación ciudadana que permitan vigilar la gestión pública que se cumpla en los diversos niveles administrativos y sus resultados”. Por tanto, </w:t>
      </w:r>
      <w:r w:rsidRPr="00AB0862">
        <w:rPr>
          <w:rFonts w:ascii="Verdana" w:hAnsi="Verdana" w:eastAsia="Calibri" w:cs="Arial"/>
          <w:bCs/>
          <w:color w:val="000000" w:themeColor="text1"/>
          <w:lang w:val="es-ES"/>
        </w:rPr>
        <w:t xml:space="preserve">la participación ciudadana es un elemento fundante del pacto social sobre el que se erige el Estado colombiano. </w:t>
      </w:r>
    </w:p>
    <w:p w:rsidRPr="00AB0862" w:rsidR="002C1DE9" w:rsidP="002C1DE9" w:rsidRDefault="002C1DE9" w14:paraId="43C68EF5" w14:textId="77777777">
      <w:pPr>
        <w:pStyle w:val="Prrafodelista"/>
        <w:numPr>
          <w:ilvl w:val="0"/>
          <w:numId w:val="7"/>
        </w:numPr>
        <w:spacing w:before="120"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 xml:space="preserve">Desde el punto de vista legal, las reglas sobre la participación comunitaria en materia de contratación estatal fueron fijadas por el </w:t>
      </w:r>
      <w:bookmarkStart w:name="_Hlk186191560" w:id="4"/>
      <w:r w:rsidRPr="00AB0862">
        <w:rPr>
          <w:rFonts w:ascii="Verdana" w:hAnsi="Verdana" w:cs="Arial"/>
          <w:color w:val="000000" w:themeColor="text1"/>
          <w:lang w:val="es-ES" w:eastAsia="es-ES_tradnl"/>
        </w:rPr>
        <w:t>artículo 66 de la Ley 80 de 1993</w:t>
      </w:r>
      <w:bookmarkEnd w:id="4"/>
      <w:r w:rsidRPr="00AB0862">
        <w:rPr>
          <w:rFonts w:ascii="Verdana" w:hAnsi="Verdana" w:cs="Arial"/>
          <w:color w:val="000000" w:themeColor="text1"/>
          <w:lang w:val="es-ES" w:eastAsia="es-ES_tradnl"/>
        </w:rPr>
        <w:t>, en el que se estableció lo siguiente:</w:t>
      </w:r>
    </w:p>
    <w:p w:rsidRPr="00AB0862" w:rsidR="002C1DE9" w:rsidP="002C1DE9" w:rsidRDefault="002C1DE9" w14:paraId="3367336F" w14:textId="77777777">
      <w:pPr>
        <w:spacing w:after="0" w:line="276" w:lineRule="auto"/>
        <w:ind w:firstLine="709"/>
        <w:jc w:val="both"/>
        <w:rPr>
          <w:rFonts w:ascii="Verdana" w:hAnsi="Verdana" w:eastAsia="Times New Roman" w:cs="Arial"/>
          <w:color w:val="000000" w:themeColor="text1"/>
          <w:lang w:val="es-ES" w:eastAsia="es-ES_tradnl"/>
        </w:rPr>
      </w:pPr>
    </w:p>
    <w:p w:rsidRPr="00AB0862" w:rsidR="002C1DE9" w:rsidP="002C1DE9" w:rsidRDefault="002C1DE9" w14:paraId="192CE86B" w14:textId="77777777">
      <w:pPr>
        <w:spacing w:after="0" w:line="240" w:lineRule="auto"/>
        <w:ind w:left="709" w:right="709"/>
        <w:jc w:val="both"/>
        <w:rPr>
          <w:rFonts w:ascii="Verdana" w:hAnsi="Verdana" w:eastAsia="Calibri" w:cs="Arial"/>
          <w:color w:val="000000"/>
          <w:sz w:val="21"/>
          <w:szCs w:val="21"/>
          <w:lang w:val="es-ES_tradnl"/>
        </w:rPr>
      </w:pPr>
      <w:r w:rsidRPr="00AB0862">
        <w:rPr>
          <w:rFonts w:ascii="Verdana" w:hAnsi="Verdana" w:cs="Arial"/>
          <w:sz w:val="21"/>
          <w:szCs w:val="21"/>
        </w:rPr>
        <w:t>“</w:t>
      </w:r>
      <w:r w:rsidRPr="00AB0862">
        <w:rPr>
          <w:rFonts w:ascii="Verdana" w:hAnsi="Verdana" w:eastAsia="Calibri" w:cs="Arial"/>
          <w:color w:val="000000"/>
          <w:sz w:val="21"/>
          <w:szCs w:val="21"/>
          <w:lang w:val="es-ES_tradnl"/>
        </w:rPr>
        <w:t>Todo contrato que celebren las entidades estatales, estará sujeto a la vigilancia y control ciudadano.</w:t>
      </w:r>
    </w:p>
    <w:p w:rsidRPr="00AB0862" w:rsidR="002C1DE9" w:rsidP="002C1DE9" w:rsidRDefault="002C1DE9" w14:paraId="6ADD0219" w14:textId="77777777">
      <w:pPr>
        <w:spacing w:after="0" w:line="240" w:lineRule="auto"/>
        <w:ind w:left="709" w:right="709"/>
        <w:jc w:val="both"/>
        <w:rPr>
          <w:rFonts w:ascii="Verdana" w:hAnsi="Verdana" w:eastAsia="Calibri" w:cs="Arial"/>
          <w:color w:val="000000"/>
          <w:sz w:val="21"/>
          <w:szCs w:val="21"/>
          <w:lang w:val="es-ES_tradnl"/>
        </w:rPr>
      </w:pPr>
    </w:p>
    <w:p w:rsidRPr="00AB0862" w:rsidR="002C1DE9" w:rsidP="09BFEBC6" w:rsidRDefault="002C1DE9" w14:paraId="3BA65FE2" w14:textId="77777777" w14:noSpellErr="1">
      <w:pPr>
        <w:spacing w:after="0" w:line="240" w:lineRule="auto"/>
        <w:ind w:left="709" w:right="709"/>
        <w:jc w:val="both"/>
        <w:rPr>
          <w:rFonts w:ascii="Verdana" w:hAnsi="Verdana" w:eastAsia="Calibri" w:cs="Arial"/>
          <w:color w:val="000000"/>
          <w:sz w:val="21"/>
          <w:szCs w:val="21"/>
          <w:lang w:val="es-ES"/>
        </w:rPr>
      </w:pPr>
      <w:r w:rsidRPr="09BFEBC6" w:rsidR="002C1DE9">
        <w:rPr>
          <w:rFonts w:ascii="Verdana" w:hAnsi="Verdana" w:eastAsia="Calibri" w:cs="Arial"/>
          <w:color w:val="000000" w:themeColor="text1" w:themeTint="FF" w:themeShade="FF"/>
          <w:sz w:val="21"/>
          <w:szCs w:val="21"/>
          <w:lang w:val="es-ES"/>
        </w:rPr>
        <w:t>Las asociaciones cívicas, comunitarias, de profesionales, benéficas o de utilidad común, podrán denunciar ante las autoridades competentes las actuaciones, hechos u omisiones de los servidores públicos o de los particulares, que constituyan delitos, contravenciones o faltas en materia de contratación estatal.</w:t>
      </w:r>
    </w:p>
    <w:p w:rsidRPr="00AB0862" w:rsidR="002C1DE9" w:rsidP="002C1DE9" w:rsidRDefault="002C1DE9" w14:paraId="78B94308" w14:textId="77777777">
      <w:pPr>
        <w:spacing w:after="0" w:line="240" w:lineRule="auto"/>
        <w:ind w:left="709" w:right="709"/>
        <w:jc w:val="both"/>
        <w:rPr>
          <w:rFonts w:ascii="Verdana" w:hAnsi="Verdana" w:eastAsia="Calibri" w:cs="Arial"/>
          <w:color w:val="000000"/>
          <w:sz w:val="21"/>
          <w:szCs w:val="21"/>
          <w:lang w:val="es-ES_tradnl"/>
        </w:rPr>
      </w:pPr>
    </w:p>
    <w:p w:rsidRPr="00AB0862" w:rsidR="002C1DE9" w:rsidP="09BFEBC6" w:rsidRDefault="002C1DE9" w14:paraId="764D7341" w14:textId="77777777" w14:noSpellErr="1">
      <w:pPr>
        <w:spacing w:after="0" w:line="240" w:lineRule="auto"/>
        <w:ind w:left="709" w:right="709"/>
        <w:jc w:val="both"/>
        <w:rPr>
          <w:rFonts w:ascii="Verdana" w:hAnsi="Verdana" w:eastAsia="Calibri" w:cs="Arial"/>
          <w:color w:val="000000"/>
          <w:sz w:val="21"/>
          <w:szCs w:val="21"/>
          <w:lang w:val="es-ES"/>
        </w:rPr>
      </w:pPr>
      <w:r w:rsidRPr="09BFEBC6" w:rsidR="002C1DE9">
        <w:rPr>
          <w:rFonts w:ascii="Verdana" w:hAnsi="Verdana" w:eastAsia="Calibri" w:cs="Arial"/>
          <w:color w:val="000000" w:themeColor="text1" w:themeTint="FF" w:themeShade="FF"/>
          <w:sz w:val="21"/>
          <w:szCs w:val="21"/>
          <w:lang w:val="es-ES"/>
        </w:rPr>
        <w:t>Las autoridades brindarán especial apoyo y colaboración a las personas y asociaciones que emprendan campañas de control y vigilancia de la gestión pública contractual y oportunamente suministrarán la documentación e información que requieran para el cumplimiento de tales tareas.</w:t>
      </w:r>
    </w:p>
    <w:p w:rsidRPr="00AB0862" w:rsidR="002C1DE9" w:rsidP="002C1DE9" w:rsidRDefault="002C1DE9" w14:paraId="144B6D71" w14:textId="77777777">
      <w:pPr>
        <w:spacing w:after="0" w:line="240" w:lineRule="auto"/>
        <w:ind w:left="709" w:right="709"/>
        <w:jc w:val="both"/>
        <w:rPr>
          <w:rFonts w:ascii="Verdana" w:hAnsi="Verdana" w:eastAsia="Calibri" w:cs="Arial"/>
          <w:color w:val="000000"/>
          <w:sz w:val="21"/>
          <w:szCs w:val="21"/>
          <w:lang w:val="es-ES_tradnl"/>
        </w:rPr>
      </w:pPr>
    </w:p>
    <w:p w:rsidRPr="00AB0862" w:rsidR="002C1DE9" w:rsidP="002C1DE9" w:rsidRDefault="002C1DE9" w14:paraId="2CB24006" w14:textId="77777777">
      <w:pPr>
        <w:spacing w:after="0" w:line="240" w:lineRule="auto"/>
        <w:ind w:left="709" w:right="709"/>
        <w:jc w:val="both"/>
        <w:rPr>
          <w:rFonts w:ascii="Verdana" w:hAnsi="Verdana" w:eastAsia="Calibri" w:cs="Arial"/>
          <w:color w:val="000000"/>
          <w:sz w:val="21"/>
          <w:szCs w:val="21"/>
          <w:lang w:val="es-ES_tradnl"/>
        </w:rPr>
      </w:pPr>
      <w:r w:rsidRPr="00AB0862">
        <w:rPr>
          <w:rFonts w:ascii="Verdana" w:hAnsi="Verdana" w:eastAsia="Calibri" w:cs="Arial"/>
          <w:color w:val="000000"/>
          <w:sz w:val="21"/>
          <w:szCs w:val="21"/>
          <w:lang w:val="es-ES_tradnl"/>
        </w:rPr>
        <w:t>El Gobierno Nacional y los de las entidades territoriales establecerán sistemas y mecanismos de estímulo de la vigilancia y control comunitario en la actividad contractual orientados a recompensar dichas labores.</w:t>
      </w:r>
    </w:p>
    <w:p w:rsidRPr="00AB0862" w:rsidR="002C1DE9" w:rsidP="002C1DE9" w:rsidRDefault="002C1DE9" w14:paraId="4D4EF3F4" w14:textId="77777777">
      <w:pPr>
        <w:spacing w:after="0" w:line="240" w:lineRule="auto"/>
        <w:ind w:left="709" w:right="709"/>
        <w:jc w:val="both"/>
        <w:rPr>
          <w:rFonts w:ascii="Verdana" w:hAnsi="Verdana" w:eastAsia="Calibri" w:cs="Arial"/>
          <w:color w:val="000000"/>
          <w:sz w:val="21"/>
          <w:szCs w:val="21"/>
          <w:lang w:val="es-ES_tradnl"/>
        </w:rPr>
      </w:pPr>
    </w:p>
    <w:p w:rsidRPr="00AB0862" w:rsidR="002C1DE9" w:rsidP="002C1DE9" w:rsidRDefault="002C1DE9" w14:paraId="68F1C64F" w14:textId="77777777">
      <w:pPr>
        <w:spacing w:after="0" w:line="240" w:lineRule="auto"/>
        <w:ind w:left="709" w:right="709"/>
        <w:jc w:val="both"/>
        <w:rPr>
          <w:rFonts w:ascii="Verdana" w:hAnsi="Verdana" w:eastAsia="Calibri" w:cs="Arial"/>
          <w:color w:val="000000"/>
          <w:sz w:val="21"/>
          <w:szCs w:val="21"/>
          <w:lang w:val="es-ES_tradnl"/>
        </w:rPr>
      </w:pPr>
      <w:r w:rsidRPr="00AB0862">
        <w:rPr>
          <w:rFonts w:ascii="Verdana" w:hAnsi="Verdana" w:eastAsia="Calibri" w:cs="Arial"/>
          <w:color w:val="000000"/>
          <w:sz w:val="21"/>
          <w:szCs w:val="21"/>
          <w:lang w:val="es-ES_tradnl"/>
        </w:rPr>
        <w:t>Las entidades estatales podrán contratar con las asociaciones de profesionales y gremiales y con las universidades y centros especializados de investigación, el estudio y análisis de las gestiones contractuales realizadas.</w:t>
      </w:r>
      <w:r w:rsidRPr="00AB0862">
        <w:rPr>
          <w:rFonts w:ascii="Verdana" w:hAnsi="Verdana" w:eastAsia="Times New Roman" w:cs="Arial"/>
          <w:color w:val="000000" w:themeColor="text1"/>
          <w:sz w:val="21"/>
          <w:szCs w:val="21"/>
          <w:lang w:val="es-ES" w:eastAsia="es-ES_tradnl"/>
        </w:rPr>
        <w:t>”</w:t>
      </w:r>
    </w:p>
    <w:p w:rsidRPr="00AB0862" w:rsidR="002C1DE9" w:rsidP="002C1DE9" w:rsidRDefault="002C1DE9" w14:paraId="1E51A968" w14:textId="77777777">
      <w:pPr>
        <w:spacing w:after="0" w:line="276" w:lineRule="auto"/>
        <w:ind w:firstLine="709"/>
        <w:jc w:val="both"/>
        <w:rPr>
          <w:rFonts w:ascii="Verdana" w:hAnsi="Verdana" w:eastAsia="Times New Roman" w:cs="Arial"/>
          <w:color w:val="000000" w:themeColor="text1"/>
          <w:lang w:val="es-ES" w:eastAsia="es-ES_tradnl"/>
        </w:rPr>
      </w:pPr>
    </w:p>
    <w:p w:rsidRPr="00AB0862" w:rsidR="002C1DE9" w:rsidP="002C1DE9" w:rsidRDefault="002C1DE9" w14:paraId="3DDCB30E" w14:textId="77777777">
      <w:pPr>
        <w:pStyle w:val="Prrafodelista"/>
        <w:numPr>
          <w:ilvl w:val="0"/>
          <w:numId w:val="8"/>
        </w:numPr>
        <w:spacing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La norma mencionada dispuso que todo contrato que celebren las entidades estatales estará sujeto a la vigilancia y control ciudadano, prescribiendo así el ámbito de aplicación de la participación ciudadana en la contratación estatal. De igual manera, dicho precepto determina, entre otros aspectos, el deber de las autoridades de brindar especial apoyo y colaboración a las personas y asociaciones que realicen el control y vigilancia de la gestión pública contractual, así como de suministrar oportunamente la documentación e información que requieran para el cumplimiento de tales tareas.</w:t>
      </w:r>
    </w:p>
    <w:p w:rsidRPr="00AB0862" w:rsidR="002C1DE9" w:rsidP="002C1DE9" w:rsidRDefault="002C1DE9" w14:paraId="56CDE35F" w14:textId="77777777">
      <w:pPr>
        <w:pStyle w:val="Prrafodelista"/>
        <w:spacing w:line="276" w:lineRule="auto"/>
        <w:jc w:val="both"/>
        <w:rPr>
          <w:rFonts w:ascii="Verdana" w:hAnsi="Verdana" w:cs="Arial"/>
          <w:color w:val="000000" w:themeColor="text1"/>
          <w:lang w:val="es-ES" w:eastAsia="es-ES_tradnl"/>
        </w:rPr>
      </w:pPr>
    </w:p>
    <w:p w:rsidRPr="00AB0862" w:rsidR="002C1DE9" w:rsidP="002C1DE9" w:rsidRDefault="002C1DE9" w14:paraId="339891B3" w14:textId="77777777">
      <w:pPr>
        <w:pStyle w:val="Prrafodelista"/>
        <w:numPr>
          <w:ilvl w:val="0"/>
          <w:numId w:val="8"/>
        </w:numPr>
        <w:spacing w:before="120"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 xml:space="preserve">En adición a la Ley 80 de 1993, existen otras normas que regulan la participación de la ciudadanía en el control social de la gestión pública, </w:t>
      </w:r>
      <w:r w:rsidRPr="00AB0862">
        <w:rPr>
          <w:rFonts w:ascii="Verdana" w:hAnsi="Verdana" w:cs="Arial"/>
          <w:color w:val="000000" w:themeColor="text1"/>
          <w:lang w:val="es-ES" w:eastAsia="es-ES_tradnl"/>
        </w:rPr>
        <w:lastRenderedPageBreak/>
        <w:t xml:space="preserve">tales como las </w:t>
      </w:r>
      <w:bookmarkStart w:name="_Hlk186191600" w:id="5"/>
      <w:r w:rsidRPr="00AB0862">
        <w:rPr>
          <w:rFonts w:ascii="Verdana" w:hAnsi="Verdana" w:cs="Arial"/>
          <w:color w:val="000000" w:themeColor="text1"/>
          <w:lang w:val="es-ES" w:eastAsia="es-ES_tradnl"/>
        </w:rPr>
        <w:t>leyes 134 de 1994, 393 de 1997, 472 de 1998 y 489 de 1998</w:t>
      </w:r>
      <w:bookmarkEnd w:id="5"/>
      <w:r w:rsidRPr="00AB0862">
        <w:rPr>
          <w:rFonts w:ascii="Verdana" w:hAnsi="Verdana" w:cs="Arial"/>
          <w:color w:val="000000" w:themeColor="text1"/>
          <w:lang w:val="es-ES" w:eastAsia="es-ES_tradnl"/>
        </w:rPr>
        <w:t xml:space="preserve">, entre otras. </w:t>
      </w:r>
    </w:p>
    <w:p w:rsidRPr="00AB0862" w:rsidR="002C1DE9" w:rsidP="002C1DE9" w:rsidRDefault="002C1DE9" w14:paraId="7F1A3FDD" w14:textId="77777777">
      <w:pPr>
        <w:pStyle w:val="Prrafodelista"/>
        <w:rPr>
          <w:rFonts w:ascii="Verdana" w:hAnsi="Verdana" w:cs="Arial"/>
          <w:color w:val="000000" w:themeColor="text1"/>
          <w:lang w:val="es-ES" w:eastAsia="es-ES_tradnl"/>
        </w:rPr>
      </w:pPr>
    </w:p>
    <w:p w:rsidRPr="00AB0862" w:rsidR="002C1DE9" w:rsidP="002C1DE9" w:rsidRDefault="002C1DE9" w14:paraId="2D10F833" w14:textId="77777777">
      <w:pPr>
        <w:pStyle w:val="Prrafodelista"/>
        <w:spacing w:before="120" w:line="276" w:lineRule="auto"/>
        <w:jc w:val="both"/>
        <w:rPr>
          <w:rFonts w:ascii="Verdana" w:hAnsi="Verdana" w:cs="Arial"/>
          <w:color w:val="000000" w:themeColor="text1"/>
          <w:lang w:val="es-ES" w:eastAsia="es-ES_tradnl"/>
        </w:rPr>
      </w:pPr>
    </w:p>
    <w:p w:rsidRPr="00AB0862" w:rsidR="002C1DE9" w:rsidP="002C1DE9" w:rsidRDefault="002C1DE9" w14:paraId="7F0E7A31" w14:textId="77777777">
      <w:pPr>
        <w:pStyle w:val="Prrafodelista"/>
        <w:numPr>
          <w:ilvl w:val="0"/>
          <w:numId w:val="8"/>
        </w:numPr>
        <w:spacing w:before="120"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 xml:space="preserve">En particular, la </w:t>
      </w:r>
      <w:bookmarkStart w:name="_Hlk186191644" w:id="6"/>
      <w:r w:rsidRPr="00AB0862">
        <w:rPr>
          <w:rFonts w:ascii="Verdana" w:hAnsi="Verdana" w:cs="Arial"/>
          <w:color w:val="000000" w:themeColor="text1"/>
          <w:lang w:val="es-ES" w:eastAsia="es-ES_tradnl"/>
        </w:rPr>
        <w:t xml:space="preserve">Ley 850 del 2003 </w:t>
      </w:r>
      <w:bookmarkEnd w:id="6"/>
      <w:r w:rsidRPr="00AB0862">
        <w:rPr>
          <w:rFonts w:ascii="Verdana" w:hAnsi="Verdana" w:cs="Arial"/>
          <w:color w:val="000000" w:themeColor="text1"/>
          <w:lang w:val="es-ES" w:eastAsia="es-ES_tradnl"/>
        </w:rPr>
        <w:t xml:space="preserve">reguló las veedurías ciudadanas como un mecanismo democrático de representación que le permite a la ciudadanía y a las diferentes formas de organización comunitaria ejercer vigilancia sobre la gestión pública. El artículo 4 contiene el objeto de la Ley, el cual consagra lo siguiente: </w:t>
      </w:r>
    </w:p>
    <w:p w:rsidRPr="00AB0862" w:rsidR="002C1DE9" w:rsidP="002C1DE9" w:rsidRDefault="002C1DE9" w14:paraId="69729672" w14:textId="77777777">
      <w:pPr>
        <w:spacing w:after="0" w:line="276" w:lineRule="auto"/>
        <w:jc w:val="both"/>
        <w:rPr>
          <w:rFonts w:ascii="Verdana" w:hAnsi="Verdana" w:eastAsia="Times New Roman" w:cs="Arial"/>
          <w:color w:val="000000" w:themeColor="text1"/>
          <w:sz w:val="21"/>
          <w:szCs w:val="21"/>
          <w:lang w:val="es-ES" w:eastAsia="es-ES_tradnl"/>
        </w:rPr>
      </w:pPr>
    </w:p>
    <w:p w:rsidRPr="00AB0862" w:rsidR="002C1DE9" w:rsidP="002C1DE9" w:rsidRDefault="002C1DE9" w14:paraId="6C027BF0" w14:textId="77777777">
      <w:pPr>
        <w:spacing w:after="0" w:line="240" w:lineRule="auto"/>
        <w:ind w:left="709" w:right="709"/>
        <w:jc w:val="both"/>
        <w:rPr>
          <w:rFonts w:ascii="Verdana" w:hAnsi="Verdana" w:eastAsia="Calibri" w:cs="Arial"/>
          <w:color w:val="000000"/>
          <w:sz w:val="21"/>
          <w:szCs w:val="21"/>
          <w:lang w:val="es-ES_tradnl"/>
        </w:rPr>
      </w:pPr>
      <w:r w:rsidRPr="00AB0862">
        <w:rPr>
          <w:rFonts w:ascii="Verdana" w:hAnsi="Verdana" w:cs="Arial"/>
          <w:sz w:val="21"/>
          <w:szCs w:val="21"/>
        </w:rPr>
        <w:t>“</w:t>
      </w:r>
      <w:r w:rsidRPr="00AB0862">
        <w:rPr>
          <w:rFonts w:ascii="Verdana" w:hAnsi="Verdana" w:eastAsia="Calibri" w:cs="Arial"/>
          <w:color w:val="000000"/>
          <w:sz w:val="21"/>
          <w:szCs w:val="21"/>
          <w:lang w:val="es-ES_tradnl"/>
        </w:rPr>
        <w:t>La vigilancia de la gestión pública por parte de la Veeduría Ciudadana se podrá ejercer sobre la gestión administrativa, con sujeción al servicio de los intereses generales y la observancia de los principios de igualdad, moralidad, eficacia, economía, celeridad, imparcialidad, y publicidad.</w:t>
      </w:r>
    </w:p>
    <w:p w:rsidRPr="00AB0862" w:rsidR="002C1DE9" w:rsidP="002C1DE9" w:rsidRDefault="002C1DE9" w14:paraId="36598EF0" w14:textId="77777777">
      <w:pPr>
        <w:spacing w:after="0" w:line="240" w:lineRule="auto"/>
        <w:ind w:left="709" w:right="709"/>
        <w:jc w:val="both"/>
        <w:rPr>
          <w:rFonts w:ascii="Verdana" w:hAnsi="Verdana" w:eastAsia="Calibri" w:cs="Arial"/>
          <w:color w:val="000000"/>
          <w:sz w:val="21"/>
          <w:szCs w:val="21"/>
          <w:lang w:val="es-ES_tradnl"/>
        </w:rPr>
      </w:pPr>
    </w:p>
    <w:p w:rsidRPr="00AB0862" w:rsidR="002C1DE9" w:rsidP="09BFEBC6" w:rsidRDefault="002C1DE9" w14:paraId="24CD64A1" w14:textId="77777777" w14:noSpellErr="1">
      <w:pPr>
        <w:spacing w:after="0" w:line="240" w:lineRule="auto"/>
        <w:ind w:left="709" w:right="709"/>
        <w:jc w:val="both"/>
        <w:rPr>
          <w:rFonts w:ascii="Verdana" w:hAnsi="Verdana" w:eastAsia="Calibri" w:cs="Arial"/>
          <w:color w:val="000000"/>
          <w:sz w:val="21"/>
          <w:szCs w:val="21"/>
          <w:lang w:val="es-ES"/>
        </w:rPr>
      </w:pPr>
      <w:r w:rsidRPr="09BFEBC6" w:rsidR="002C1DE9">
        <w:rPr>
          <w:rFonts w:ascii="Verdana" w:hAnsi="Verdana" w:eastAsia="Calibri" w:cs="Arial"/>
          <w:color w:val="000000" w:themeColor="text1" w:themeTint="FF" w:themeShade="FF"/>
          <w:sz w:val="21"/>
          <w:szCs w:val="21"/>
          <w:lang w:val="es-ES"/>
        </w:rPr>
        <w:t>Será materia de especial importancia en la vigilancia ejercida por la Veeduría Ciudadana la correcta aplicación de los recursos públicos, la forma como estos se asignen conforme a las disposiciones legales y a los planes, programas, y proyectos debidamente aprobados, el cumplimiento del cometido, los fines y la cobertura efectiva a los beneficiarios que deben ser atendidos de conformidad con los preceptos antes mencionados, la calidad, oportunidad y efectividad de las intervenciones públicas, la contratación pública y la diligencia de las diversas autoridades en garantizar los objetivos del Estado en las distintas áreas de gestión que se les ha encomendado.</w:t>
      </w:r>
    </w:p>
    <w:p w:rsidRPr="00AB0862" w:rsidR="002C1DE9" w:rsidP="002C1DE9" w:rsidRDefault="002C1DE9" w14:paraId="769A4D5A" w14:textId="77777777">
      <w:pPr>
        <w:spacing w:after="0" w:line="240" w:lineRule="auto"/>
        <w:ind w:left="709" w:right="709"/>
        <w:jc w:val="both"/>
        <w:rPr>
          <w:rFonts w:ascii="Verdana" w:hAnsi="Verdana" w:eastAsia="Calibri" w:cs="Arial"/>
          <w:color w:val="000000"/>
          <w:sz w:val="21"/>
          <w:szCs w:val="21"/>
          <w:lang w:val="es-ES_tradnl"/>
        </w:rPr>
      </w:pPr>
    </w:p>
    <w:p w:rsidRPr="00AB0862" w:rsidR="002C1DE9" w:rsidP="002C1DE9" w:rsidRDefault="002C1DE9" w14:paraId="18965FDF" w14:textId="77777777">
      <w:pPr>
        <w:spacing w:after="0" w:line="240" w:lineRule="auto"/>
        <w:ind w:left="709" w:right="709"/>
        <w:jc w:val="both"/>
        <w:rPr>
          <w:rFonts w:ascii="Verdana" w:hAnsi="Verdana" w:eastAsia="Calibri" w:cs="Arial"/>
          <w:color w:val="000000"/>
          <w:sz w:val="21"/>
          <w:szCs w:val="21"/>
          <w:lang w:val="es-ES_tradnl"/>
        </w:rPr>
      </w:pPr>
      <w:r w:rsidRPr="00AB0862">
        <w:rPr>
          <w:rFonts w:ascii="Verdana" w:hAnsi="Verdana" w:eastAsia="Calibri" w:cs="Arial"/>
          <w:color w:val="000000"/>
          <w:sz w:val="21"/>
          <w:szCs w:val="21"/>
          <w:lang w:val="es-ES_tradnl"/>
        </w:rPr>
        <w:t>Las veedurías ejercen vigilancia preventiva y posterior del proceso de gestión haciendo recomendaciones escritas y oportunas ante las entidades que ejecutan el programa, proyecto o contrato y ante los organismos de control del Estado para mejorar la eficiencia institucional y la actuación de los funcionarios públicos.</w:t>
      </w:r>
      <w:r w:rsidRPr="00AB0862">
        <w:rPr>
          <w:rFonts w:ascii="Verdana" w:hAnsi="Verdana" w:eastAsia="Times New Roman" w:cs="Arial"/>
          <w:color w:val="000000" w:themeColor="text1"/>
          <w:sz w:val="21"/>
          <w:szCs w:val="21"/>
          <w:lang w:val="es-ES" w:eastAsia="es-ES_tradnl"/>
        </w:rPr>
        <w:t>”</w:t>
      </w:r>
    </w:p>
    <w:p w:rsidRPr="00AB0862" w:rsidR="002C1DE9" w:rsidP="002C1DE9" w:rsidRDefault="002C1DE9" w14:paraId="5BE8B052" w14:textId="77777777">
      <w:pPr>
        <w:spacing w:before="120" w:after="0" w:line="276" w:lineRule="auto"/>
        <w:ind w:left="709" w:right="709" w:firstLine="709"/>
        <w:jc w:val="both"/>
        <w:rPr>
          <w:rFonts w:ascii="Verdana" w:hAnsi="Verdana" w:eastAsia="Times New Roman" w:cs="Arial"/>
          <w:color w:val="000000" w:themeColor="text1"/>
          <w:lang w:val="es-ES" w:eastAsia="es-ES_tradnl"/>
        </w:rPr>
      </w:pPr>
    </w:p>
    <w:p w:rsidRPr="00AB0862" w:rsidR="002C1DE9" w:rsidP="002C1DE9" w:rsidRDefault="002C1DE9" w14:paraId="08C1307B" w14:textId="77777777">
      <w:pPr>
        <w:pStyle w:val="Prrafodelista"/>
        <w:numPr>
          <w:ilvl w:val="0"/>
          <w:numId w:val="9"/>
        </w:numPr>
        <w:spacing w:before="120"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 xml:space="preserve">Finalmente, la </w:t>
      </w:r>
      <w:bookmarkStart w:name="_Hlk186191660" w:id="7"/>
      <w:r w:rsidRPr="00AB0862">
        <w:rPr>
          <w:rFonts w:ascii="Verdana" w:hAnsi="Verdana" w:cs="Arial"/>
          <w:color w:val="000000" w:themeColor="text1"/>
          <w:lang w:val="es-ES" w:eastAsia="es-ES_tradnl"/>
        </w:rPr>
        <w:t xml:space="preserve">Ley 1757 de 2015 </w:t>
      </w:r>
      <w:bookmarkEnd w:id="7"/>
      <w:r w:rsidRPr="00AB0862">
        <w:rPr>
          <w:rFonts w:ascii="Verdana" w:hAnsi="Verdana" w:cs="Arial"/>
          <w:color w:val="000000" w:themeColor="text1"/>
          <w:lang w:val="es-ES" w:eastAsia="es-ES_tradnl"/>
        </w:rPr>
        <w:t xml:space="preserve">“Por la cual se dictan disposiciones en materia de promoción y protección del derecho a la participación democrática” regula el Control Social a lo Público e introduce algunos </w:t>
      </w:r>
      <w:r w:rsidRPr="00AB0862">
        <w:rPr>
          <w:rFonts w:ascii="Verdana" w:hAnsi="Verdana" w:eastAsia="Calibri" w:cs="Arial"/>
          <w:bCs/>
          <w:color w:val="000000" w:themeColor="text1"/>
          <w:lang w:val="es-ES"/>
        </w:rPr>
        <w:lastRenderedPageBreak/>
        <w:t xml:space="preserve">ajustes a ciertas disposiciones de la Ley 850 de </w:t>
      </w:r>
      <w:r w:rsidRPr="00AB0862">
        <w:rPr>
          <w:rFonts w:ascii="Verdana" w:hAnsi="Verdana" w:cs="Arial"/>
          <w:color w:val="000000" w:themeColor="text1"/>
          <w:lang w:val="es-ES" w:eastAsia="es-ES_tradnl"/>
        </w:rPr>
        <w:t>2003. Para tales efectos, define el control social como el derecho y el deber de los ciudadanos a participar, de manera individual o colectiva, en la vigilancia de la gestión pública y sus resultados, estableciendo un espectro más amplio de control y vigilancia, puesto que puede ser ejercido por todos los ciudadanos, siendo las veedurías uno de los múltiples actores que pueden adelantar el control social.</w:t>
      </w:r>
    </w:p>
    <w:p w:rsidRPr="00AB0862" w:rsidR="002C1DE9" w:rsidP="002C1DE9" w:rsidRDefault="002C1DE9" w14:paraId="766D875E" w14:textId="77777777">
      <w:pPr>
        <w:pStyle w:val="Prrafodelista"/>
        <w:spacing w:before="120" w:line="276" w:lineRule="auto"/>
        <w:jc w:val="both"/>
        <w:rPr>
          <w:rFonts w:ascii="Verdana" w:hAnsi="Verdana" w:cs="Arial"/>
          <w:color w:val="000000" w:themeColor="text1"/>
          <w:lang w:val="es-ES" w:eastAsia="es-ES_tradnl"/>
        </w:rPr>
      </w:pPr>
    </w:p>
    <w:p w:rsidRPr="00AB0862" w:rsidR="002C1DE9" w:rsidP="002C1DE9" w:rsidRDefault="002C1DE9" w14:paraId="62EF1330" w14:textId="77777777">
      <w:pPr>
        <w:pStyle w:val="Prrafodelista"/>
        <w:numPr>
          <w:ilvl w:val="0"/>
          <w:numId w:val="6"/>
        </w:numPr>
        <w:spacing w:after="4" w:line="271" w:lineRule="auto"/>
        <w:ind w:right="63"/>
        <w:jc w:val="both"/>
        <w:rPr>
          <w:rFonts w:ascii="Verdana" w:hAnsi="Verdana"/>
        </w:rPr>
      </w:pPr>
      <w:r w:rsidRPr="00AB0862">
        <w:rPr>
          <w:rFonts w:ascii="Verdana" w:hAnsi="Verdana" w:cs="Arial"/>
          <w:color w:val="000000" w:themeColor="text1"/>
          <w:lang w:val="es-ES" w:eastAsia="es-ES_tradnl"/>
        </w:rPr>
        <w:t>En ese sentido, la participación ciudadana encuentra su fundamento en la Constitución y en la Ley, constituyéndose en un pilar fundamental en la vigilancia y control de la gestión pública, en especial de la contratación estatal, con miras a la correcta inversión de los recursos públicos.</w:t>
      </w:r>
    </w:p>
    <w:p w:rsidRPr="00AB0862" w:rsidR="002C1DE9" w:rsidP="002C1DE9" w:rsidRDefault="002C1DE9" w14:paraId="08C003F7" w14:textId="77777777">
      <w:pPr>
        <w:pStyle w:val="Prrafodelista"/>
        <w:spacing w:after="4" w:line="271" w:lineRule="auto"/>
        <w:ind w:right="63"/>
        <w:jc w:val="both"/>
        <w:rPr>
          <w:rFonts w:ascii="Verdana" w:hAnsi="Verdana"/>
        </w:rPr>
      </w:pPr>
    </w:p>
    <w:p w:rsidRPr="00AB0862" w:rsidR="002C1DE9" w:rsidP="002C1DE9" w:rsidRDefault="002C1DE9" w14:paraId="4964C0F2" w14:textId="77777777">
      <w:pPr>
        <w:pStyle w:val="Prrafodelista"/>
        <w:numPr>
          <w:ilvl w:val="0"/>
          <w:numId w:val="6"/>
        </w:numPr>
        <w:spacing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 xml:space="preserve">Ahora bien, dentro de este análisis, </w:t>
      </w:r>
      <w:bookmarkStart w:name="_Hlk184745127" w:id="8"/>
      <w:r w:rsidRPr="00AB0862">
        <w:rPr>
          <w:rFonts w:ascii="Verdana" w:hAnsi="Verdana" w:cs="Arial"/>
          <w:color w:val="000000" w:themeColor="text1"/>
          <w:lang w:val="es-ES" w:eastAsia="es-ES_tradnl"/>
        </w:rPr>
        <w:t xml:space="preserve">resulta pertinente determinar el marco de aplicación del control social en la actividad contractual, así como las etapas del proceso de contratación en las cuales puede ejercerse la vigilancia y control de la gestión pública por parte de la ciudadanía y, por ende, de las veedurías ciudadanas. </w:t>
      </w:r>
    </w:p>
    <w:p w:rsidRPr="00AB0862" w:rsidR="002C1DE9" w:rsidP="002C1DE9" w:rsidRDefault="002C1DE9" w14:paraId="394ACFD1" w14:textId="77777777">
      <w:pPr>
        <w:spacing w:line="276" w:lineRule="auto"/>
        <w:jc w:val="both"/>
        <w:rPr>
          <w:rFonts w:ascii="Verdana" w:hAnsi="Verdana" w:cs="Arial"/>
          <w:color w:val="000000" w:themeColor="text1"/>
          <w:lang w:val="es-ES" w:eastAsia="es-ES_tradnl"/>
        </w:rPr>
      </w:pPr>
    </w:p>
    <w:p w:rsidRPr="00AB0862" w:rsidR="002C1DE9" w:rsidP="002C1DE9" w:rsidRDefault="002C1DE9" w14:paraId="06135ED8" w14:textId="77777777">
      <w:pPr>
        <w:pStyle w:val="Prrafodelista"/>
        <w:numPr>
          <w:ilvl w:val="0"/>
          <w:numId w:val="6"/>
        </w:numPr>
        <w:spacing w:before="120"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Así, es preciso señalar que el control social que ejerza la ciudadanía puede adelantarse en relación con todos los contratos estatales, cualquiera que sea su modalidad de contratación. Lo anterior, toda vez que, de esa manera, se garantiza una verdadera gestión de vigilancia y control de los recursos públicos y se cumplen con los objetivos establecidos en artículo 64 de la Ley 1757 de 2015</w:t>
      </w:r>
      <w:bookmarkEnd w:id="8"/>
      <w:r w:rsidRPr="00AB0862">
        <w:rPr>
          <w:rFonts w:ascii="Verdana" w:hAnsi="Verdana"/>
          <w:vertAlign w:val="superscript"/>
          <w:lang w:val="es-ES"/>
        </w:rPr>
        <w:footnoteReference w:id="1"/>
      </w:r>
      <w:r w:rsidRPr="00AB0862">
        <w:rPr>
          <w:rFonts w:ascii="Verdana" w:hAnsi="Verdana" w:cs="Arial"/>
          <w:color w:val="000000" w:themeColor="text1"/>
          <w:lang w:val="es-ES" w:eastAsia="es-ES_tradnl"/>
        </w:rPr>
        <w:t xml:space="preserve">. </w:t>
      </w:r>
      <w:bookmarkStart w:name="_Hlk184745390" w:id="9"/>
      <w:r w:rsidRPr="00AB0862">
        <w:rPr>
          <w:rFonts w:ascii="Verdana" w:hAnsi="Verdana" w:cs="Arial"/>
          <w:color w:val="000000" w:themeColor="text1"/>
          <w:lang w:val="es-ES" w:eastAsia="es-ES_tradnl"/>
        </w:rPr>
        <w:t xml:space="preserve">En relación con este punto, el </w:t>
      </w:r>
      <w:bookmarkStart w:name="_Hlk186191691" w:id="10"/>
      <w:r w:rsidRPr="00AB0862">
        <w:rPr>
          <w:rFonts w:ascii="Verdana" w:hAnsi="Verdana" w:cs="Arial"/>
          <w:color w:val="000000" w:themeColor="text1"/>
          <w:lang w:val="es-ES" w:eastAsia="es-ES_tradnl"/>
        </w:rPr>
        <w:t>artículo 65 de la Ley 1757 de 2015</w:t>
      </w:r>
      <w:bookmarkEnd w:id="10"/>
      <w:r w:rsidRPr="00AB0862">
        <w:rPr>
          <w:rFonts w:ascii="Verdana" w:hAnsi="Verdana" w:cs="Arial"/>
          <w:color w:val="000000" w:themeColor="text1"/>
          <w:lang w:val="es-ES" w:eastAsia="es-ES_tradnl"/>
        </w:rPr>
        <w:t xml:space="preserve"> establece lo siguiente: </w:t>
      </w:r>
    </w:p>
    <w:p w:rsidRPr="00AB0862" w:rsidR="002C1DE9" w:rsidP="002C1DE9" w:rsidRDefault="002C1DE9" w14:paraId="302A36BF" w14:textId="77777777">
      <w:pPr>
        <w:pStyle w:val="Prrafodelista"/>
        <w:tabs>
          <w:tab w:val="left" w:pos="7938"/>
        </w:tabs>
        <w:spacing w:line="276" w:lineRule="auto"/>
        <w:ind w:right="851"/>
        <w:jc w:val="both"/>
        <w:rPr>
          <w:rFonts w:ascii="Verdana" w:hAnsi="Verdana" w:cs="Arial"/>
          <w:bCs/>
          <w:color w:val="000000"/>
          <w:lang w:val="es-ES_tradnl" w:eastAsia="es-CO"/>
        </w:rPr>
      </w:pPr>
    </w:p>
    <w:p w:rsidRPr="00AB0862" w:rsidR="002C1DE9" w:rsidP="002C1DE9" w:rsidRDefault="002C1DE9" w14:paraId="5E8312A7" w14:textId="77777777">
      <w:pPr>
        <w:pStyle w:val="Prrafodelista"/>
        <w:tabs>
          <w:tab w:val="left" w:pos="7938"/>
        </w:tabs>
        <w:ind w:left="709" w:right="709"/>
        <w:jc w:val="both"/>
        <w:rPr>
          <w:rFonts w:ascii="Verdana" w:hAnsi="Verdana" w:cs="Arial"/>
          <w:bCs/>
          <w:color w:val="000000"/>
          <w:sz w:val="21"/>
          <w:szCs w:val="21"/>
          <w:lang w:val="es-ES_tradnl" w:eastAsia="es-CO"/>
        </w:rPr>
      </w:pPr>
      <w:r w:rsidRPr="00AB0862">
        <w:rPr>
          <w:rFonts w:ascii="Verdana" w:hAnsi="Verdana" w:cs="Arial"/>
          <w:sz w:val="21"/>
          <w:szCs w:val="21"/>
        </w:rPr>
        <w:t>“</w:t>
      </w:r>
      <w:r w:rsidRPr="00AB0862">
        <w:rPr>
          <w:rFonts w:ascii="Verdana" w:hAnsi="Verdana" w:cs="Arial"/>
          <w:bCs/>
          <w:color w:val="000000"/>
          <w:sz w:val="21"/>
          <w:szCs w:val="21"/>
          <w:lang w:val="es-ES_tradnl" w:eastAsia="es-CO"/>
        </w:rPr>
        <w:t>Salvo los aspectos que sean reservados, todos los niveles de la administración pública pueden ser objeto de vigilancia ciudadana.</w:t>
      </w:r>
    </w:p>
    <w:p w:rsidRPr="00AB0862" w:rsidR="002C1DE9" w:rsidP="002C1DE9" w:rsidRDefault="002C1DE9" w14:paraId="656F85A1" w14:textId="77777777">
      <w:pPr>
        <w:pStyle w:val="Prrafodelista"/>
        <w:tabs>
          <w:tab w:val="left" w:pos="7938"/>
        </w:tabs>
        <w:ind w:left="709" w:right="709"/>
        <w:jc w:val="both"/>
        <w:rPr>
          <w:rFonts w:ascii="Verdana" w:hAnsi="Verdana" w:cs="Arial"/>
          <w:bCs/>
          <w:color w:val="000000"/>
          <w:sz w:val="21"/>
          <w:szCs w:val="21"/>
          <w:lang w:val="es-ES_tradnl" w:eastAsia="es-CO"/>
        </w:rPr>
      </w:pPr>
    </w:p>
    <w:p w:rsidRPr="00AB0862" w:rsidR="002C1DE9" w:rsidP="002C1DE9" w:rsidRDefault="002C1DE9" w14:paraId="02666016" w14:textId="77777777">
      <w:pPr>
        <w:pStyle w:val="Prrafodelista"/>
        <w:tabs>
          <w:tab w:val="left" w:pos="7938"/>
        </w:tabs>
        <w:ind w:left="709" w:right="709"/>
        <w:jc w:val="both"/>
        <w:rPr>
          <w:rFonts w:ascii="Verdana" w:hAnsi="Verdana" w:cs="Arial"/>
          <w:bCs/>
          <w:color w:val="000000"/>
          <w:sz w:val="21"/>
          <w:szCs w:val="21"/>
          <w:lang w:val="es-ES_tradnl" w:eastAsia="es-CO"/>
        </w:rPr>
      </w:pPr>
      <w:r w:rsidRPr="00AB0862">
        <w:rPr>
          <w:rFonts w:ascii="Verdana" w:hAnsi="Verdana" w:cs="Arial"/>
          <w:bCs/>
          <w:color w:val="000000"/>
          <w:sz w:val="21"/>
          <w:szCs w:val="21"/>
          <w:lang w:val="es-ES_tradnl" w:eastAsia="es-CO"/>
        </w:rPr>
        <w:t>En particular, todo contrato que celebren las instituciones del Estado estará sujeto a la vigilancia por parte de las personas, entidades y organizaciones que quieran hacerlo, de conformidad con la normatividad vigente en la materia. En tal sentido, las entidades del Estado y las entidades privadas que presten servicios públicos domiciliarios o realicen proyectos con recursos públicos deberán garantizar el ejercicio del derecho al control social. Para tal efecto, deberán entregar información relacionada con la prestación del servicio público domiciliario, el proyecto o el uso de los recursos públicos y de acuerdo con los objetivos perseguidos por el control social correspondiente, según sea el caso a los agentes de control para el ejercicio de su función y brindar las condiciones y las garantías necesarias a los ciudadanos, las organizaciones y redes para que puedan ejercer ese derecho.</w:t>
      </w:r>
      <w:r w:rsidRPr="00AB0862">
        <w:rPr>
          <w:rFonts w:ascii="Verdana" w:hAnsi="Verdana" w:cs="Arial"/>
          <w:color w:val="000000" w:themeColor="text1"/>
          <w:sz w:val="21"/>
          <w:szCs w:val="21"/>
          <w:lang w:val="es-ES" w:eastAsia="es-ES_tradnl"/>
        </w:rPr>
        <w:t>”</w:t>
      </w:r>
    </w:p>
    <w:p w:rsidRPr="00AB0862" w:rsidR="002C1DE9" w:rsidP="002C1DE9" w:rsidRDefault="002C1DE9" w14:paraId="2C80E35E" w14:textId="77777777">
      <w:pPr>
        <w:pStyle w:val="Prrafodelista"/>
        <w:spacing w:line="276" w:lineRule="auto"/>
        <w:ind w:right="709"/>
        <w:jc w:val="both"/>
        <w:rPr>
          <w:rFonts w:ascii="Verdana" w:hAnsi="Verdana" w:cs="Arial"/>
          <w:bCs/>
          <w:color w:val="000000"/>
          <w:lang w:val="es-ES_tradnl" w:eastAsia="es-CO"/>
        </w:rPr>
      </w:pPr>
    </w:p>
    <w:p w:rsidRPr="00AB0862" w:rsidR="002C1DE9" w:rsidP="002C1DE9" w:rsidRDefault="002C1DE9" w14:paraId="679F498A" w14:textId="77777777">
      <w:pPr>
        <w:pStyle w:val="Prrafodelista"/>
        <w:numPr>
          <w:ilvl w:val="0"/>
          <w:numId w:val="6"/>
        </w:numPr>
        <w:shd w:val="clear" w:color="auto" w:fill="FFFFFF"/>
        <w:spacing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 xml:space="preserve">Nótese que la norma se refiere a todo contrato, sin efectuar distinción acerca del régimen jurídico o de la entidad que lo celebra. Por tanto, es claro que el control social puede ejercerse respecto de todos los contratos que celebre cualquier órgano del Estado que maneje recursos públicos, con independencia de la modalidad de selección empleada para la celebración del contrato estatal. </w:t>
      </w:r>
    </w:p>
    <w:p w:rsidRPr="00AB0862" w:rsidR="002C1DE9" w:rsidP="002C1DE9" w:rsidRDefault="002C1DE9" w14:paraId="64D53368" w14:textId="77777777">
      <w:pPr>
        <w:pStyle w:val="Prrafodelista"/>
        <w:shd w:val="clear" w:color="auto" w:fill="FFFFFF"/>
        <w:spacing w:line="276" w:lineRule="auto"/>
        <w:jc w:val="both"/>
        <w:rPr>
          <w:rFonts w:ascii="Verdana" w:hAnsi="Verdana" w:cs="Arial"/>
          <w:color w:val="000000" w:themeColor="text1"/>
          <w:lang w:val="es-ES" w:eastAsia="es-ES_tradnl"/>
        </w:rPr>
      </w:pPr>
    </w:p>
    <w:bookmarkEnd w:id="9"/>
    <w:p w:rsidRPr="00AB0862" w:rsidR="002C1DE9" w:rsidP="002C1DE9" w:rsidRDefault="002C1DE9" w14:paraId="62221BC8" w14:textId="77777777">
      <w:pPr>
        <w:pStyle w:val="Prrafodelista"/>
        <w:numPr>
          <w:ilvl w:val="0"/>
          <w:numId w:val="6"/>
        </w:numPr>
        <w:shd w:val="clear" w:color="auto" w:fill="FFFFFF"/>
        <w:spacing w:before="120"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 xml:space="preserve">En lo que atañe a la oportunidad para hacer control social a la contratación pública, se resalta que las normas sobre el control social no establecen un ámbito temporal de aplicación para el ejercicio </w:t>
      </w:r>
      <w:proofErr w:type="gramStart"/>
      <w:r w:rsidRPr="00AB0862">
        <w:rPr>
          <w:rFonts w:ascii="Verdana" w:hAnsi="Verdana" w:cs="Arial"/>
          <w:color w:val="000000" w:themeColor="text1"/>
          <w:lang w:val="es-ES" w:eastAsia="es-ES_tradnl"/>
        </w:rPr>
        <w:t>del mismo</w:t>
      </w:r>
      <w:proofErr w:type="gramEnd"/>
      <w:r w:rsidRPr="00AB0862">
        <w:rPr>
          <w:rFonts w:ascii="Verdana" w:hAnsi="Verdana" w:cs="Arial"/>
          <w:color w:val="000000" w:themeColor="text1"/>
          <w:lang w:val="es-ES" w:eastAsia="es-ES_tradnl"/>
        </w:rPr>
        <w:t xml:space="preserve">. En </w:t>
      </w:r>
      <w:r w:rsidRPr="00AB0862">
        <w:rPr>
          <w:rFonts w:ascii="Verdana" w:hAnsi="Verdana" w:cs="Arial"/>
          <w:color w:val="000000" w:themeColor="text1"/>
          <w:lang w:val="es-ES" w:eastAsia="es-ES_tradnl"/>
        </w:rPr>
        <w:lastRenderedPageBreak/>
        <w:t xml:space="preserve">consecuencia, el control social puede ejercerse desde la etapa de planeación contractual, pasando por su adjudicación y ejecución, e incluso hasta después de finalizada la ejecución del contrato estatal. </w:t>
      </w:r>
    </w:p>
    <w:p w:rsidRPr="00AB0862" w:rsidR="002C1DE9" w:rsidP="002C1DE9" w:rsidRDefault="002C1DE9" w14:paraId="5190C34A" w14:textId="77777777">
      <w:pPr>
        <w:shd w:val="clear" w:color="auto" w:fill="FFFFFF"/>
        <w:spacing w:before="120" w:line="276" w:lineRule="auto"/>
        <w:jc w:val="both"/>
        <w:rPr>
          <w:rFonts w:ascii="Verdana" w:hAnsi="Verdana" w:cs="Arial"/>
          <w:color w:val="000000" w:themeColor="text1"/>
          <w:lang w:val="es-ES" w:eastAsia="es-ES_tradnl"/>
        </w:rPr>
      </w:pPr>
    </w:p>
    <w:p w:rsidRPr="00AB0862" w:rsidR="002C1DE9" w:rsidP="002C1DE9" w:rsidRDefault="002C1DE9" w14:paraId="39A0BC7C" w14:textId="77777777">
      <w:pPr>
        <w:pStyle w:val="Prrafodelista"/>
        <w:numPr>
          <w:ilvl w:val="0"/>
          <w:numId w:val="6"/>
        </w:numPr>
        <w:shd w:val="clear" w:color="auto" w:fill="FFFFFF"/>
        <w:spacing w:before="120"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En relación con lo expresado en precedencia, la Contraloría General de la República señaló que “El control social a la contratación pública puede ser (i) durante la etapa de planeación; (</w:t>
      </w:r>
      <w:proofErr w:type="spellStart"/>
      <w:r w:rsidRPr="00AB0862">
        <w:rPr>
          <w:rFonts w:ascii="Verdana" w:hAnsi="Verdana" w:cs="Arial"/>
          <w:color w:val="000000" w:themeColor="text1"/>
          <w:lang w:val="es-ES" w:eastAsia="es-ES_tradnl"/>
        </w:rPr>
        <w:t>ii</w:t>
      </w:r>
      <w:proofErr w:type="spellEnd"/>
      <w:r w:rsidRPr="00AB0862">
        <w:rPr>
          <w:rFonts w:ascii="Verdana" w:hAnsi="Verdana" w:cs="Arial"/>
          <w:color w:val="000000" w:themeColor="text1"/>
          <w:lang w:val="es-ES" w:eastAsia="es-ES_tradnl"/>
        </w:rPr>
        <w:t>) durante la etapa de selección; (</w:t>
      </w:r>
      <w:proofErr w:type="spellStart"/>
      <w:r w:rsidRPr="00AB0862">
        <w:rPr>
          <w:rFonts w:ascii="Verdana" w:hAnsi="Verdana" w:cs="Arial"/>
          <w:color w:val="000000" w:themeColor="text1"/>
          <w:lang w:val="es-ES" w:eastAsia="es-ES_tradnl"/>
        </w:rPr>
        <w:t>iii</w:t>
      </w:r>
      <w:proofErr w:type="spellEnd"/>
      <w:r w:rsidRPr="00AB0862">
        <w:rPr>
          <w:rFonts w:ascii="Verdana" w:hAnsi="Verdana" w:cs="Arial"/>
          <w:color w:val="000000" w:themeColor="text1"/>
          <w:lang w:val="es-ES" w:eastAsia="es-ES_tradnl"/>
        </w:rPr>
        <w:t>) durante la etapa de contratación; (</w:t>
      </w:r>
      <w:proofErr w:type="spellStart"/>
      <w:r w:rsidRPr="00AB0862">
        <w:rPr>
          <w:rFonts w:ascii="Verdana" w:hAnsi="Verdana" w:cs="Arial"/>
          <w:color w:val="000000" w:themeColor="text1"/>
          <w:lang w:val="es-ES" w:eastAsia="es-ES_tradnl"/>
        </w:rPr>
        <w:t>iv</w:t>
      </w:r>
      <w:proofErr w:type="spellEnd"/>
      <w:r w:rsidRPr="00AB0862">
        <w:rPr>
          <w:rFonts w:ascii="Verdana" w:hAnsi="Verdana" w:cs="Arial"/>
          <w:color w:val="000000" w:themeColor="text1"/>
          <w:lang w:val="es-ES" w:eastAsia="es-ES_tradnl"/>
        </w:rPr>
        <w:t>) durante la etapa de ejecución; y (v) después de la finalización del proceso de compra y contratación”</w:t>
      </w:r>
      <w:r w:rsidRPr="00AB0862">
        <w:rPr>
          <w:rFonts w:ascii="Verdana" w:hAnsi="Verdana"/>
          <w:vertAlign w:val="superscript"/>
          <w:lang w:val="es-ES"/>
        </w:rPr>
        <w:footnoteReference w:id="2"/>
      </w:r>
      <w:r w:rsidRPr="00AB0862">
        <w:rPr>
          <w:rFonts w:ascii="Verdana" w:hAnsi="Verdana" w:cs="Arial"/>
          <w:color w:val="000000" w:themeColor="text1"/>
          <w:lang w:val="es-ES" w:eastAsia="es-ES_tradnl"/>
        </w:rPr>
        <w:t>.</w:t>
      </w:r>
    </w:p>
    <w:p w:rsidRPr="00AB0862" w:rsidR="002C1DE9" w:rsidP="002C1DE9" w:rsidRDefault="002C1DE9" w14:paraId="666BA947" w14:textId="77777777">
      <w:pPr>
        <w:pStyle w:val="Prrafodelista"/>
        <w:rPr>
          <w:rFonts w:ascii="Verdana" w:hAnsi="Verdana" w:cs="Arial"/>
          <w:color w:val="000000" w:themeColor="text1"/>
          <w:lang w:val="es-ES" w:eastAsia="es-ES_tradnl"/>
        </w:rPr>
      </w:pPr>
    </w:p>
    <w:p w:rsidRPr="00AB0862" w:rsidR="002C1DE9" w:rsidP="002C1DE9" w:rsidRDefault="002C1DE9" w14:paraId="4B49E687" w14:textId="77777777">
      <w:pPr>
        <w:pStyle w:val="Prrafodelista"/>
        <w:shd w:val="clear" w:color="auto" w:fill="FFFFFF"/>
        <w:spacing w:before="120" w:line="276" w:lineRule="auto"/>
        <w:jc w:val="both"/>
        <w:rPr>
          <w:rFonts w:ascii="Verdana" w:hAnsi="Verdana" w:cs="Arial"/>
          <w:color w:val="000000" w:themeColor="text1"/>
          <w:lang w:val="es-ES" w:eastAsia="es-ES_tradnl"/>
        </w:rPr>
      </w:pPr>
    </w:p>
    <w:p w:rsidRPr="00AB0862" w:rsidR="002C1DE9" w:rsidP="002C1DE9" w:rsidRDefault="002C1DE9" w14:paraId="6D1DABCC" w14:textId="77777777">
      <w:pPr>
        <w:pStyle w:val="Prrafodelista"/>
        <w:numPr>
          <w:ilvl w:val="0"/>
          <w:numId w:val="6"/>
        </w:numPr>
        <w:shd w:val="clear" w:color="auto" w:fill="FFFFFF"/>
        <w:spacing w:before="120"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De lo expuesto, se puede afirmar entonces que, en materia de contratación pública, el control social se ejerce por la ciudadanía de manera individual o colectiva, a través de las diferentes formas de organización comunitaria, entre las que se cuentan, las veedurías ciudadanas. Así mismo, el control social se puede ejercer respecto de todo contrato que celebren las entidades del Estado, las entidades privadas que prestan servicios públicos domiciliarios y las empresas que realizan proyectos con recursos públicos, es decir, el control social cobija a la actividad contractual tanto de las entidades estatales como de aquellas que están sometidas a un régimen jurídico especial. Finalmente, el ejercicio del control social se puede realizar en cualquier etapa del proceso de contratación.</w:t>
      </w:r>
    </w:p>
    <w:p w:rsidRPr="00AB0862" w:rsidR="002C1DE9" w:rsidP="002C1DE9" w:rsidRDefault="002C1DE9" w14:paraId="26549A63" w14:textId="77777777">
      <w:pPr>
        <w:pStyle w:val="Prrafodelista"/>
        <w:shd w:val="clear" w:color="auto" w:fill="FFFFFF"/>
        <w:spacing w:before="120" w:line="276" w:lineRule="auto"/>
        <w:jc w:val="both"/>
        <w:rPr>
          <w:rFonts w:ascii="Verdana" w:hAnsi="Verdana" w:cs="Arial"/>
          <w:color w:val="000000" w:themeColor="text1"/>
          <w:lang w:val="es-ES" w:eastAsia="es-ES_tradnl"/>
        </w:rPr>
      </w:pPr>
    </w:p>
    <w:p w:rsidRPr="00AB0862" w:rsidR="002C1DE9" w:rsidP="002C1DE9" w:rsidRDefault="002C1DE9" w14:paraId="16B38363" w14:textId="77777777">
      <w:pPr>
        <w:pStyle w:val="Prrafodelista"/>
        <w:numPr>
          <w:ilvl w:val="0"/>
          <w:numId w:val="6"/>
        </w:numPr>
        <w:shd w:val="clear" w:color="auto" w:fill="FFFFFF"/>
        <w:spacing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 xml:space="preserve">Además de las normas que regulan la participación de las veedurías ciudadanas en el marco de la vigilancia de la gestión pública y el control social, el Decreto 1082 de 2015, en su artículo 2.2.1.1.2.1.5., hace referencia a las convocatorias de las veedurías ciudadanas en relación con el acto administrativo de apertura del proceso de selección. </w:t>
      </w:r>
    </w:p>
    <w:p w:rsidRPr="00AB0862" w:rsidR="002C1DE9" w:rsidP="002C1DE9" w:rsidRDefault="002C1DE9" w14:paraId="7FC42203" w14:textId="77777777">
      <w:pPr>
        <w:pStyle w:val="Prrafodelista"/>
        <w:shd w:val="clear" w:color="auto" w:fill="FFFFFF"/>
        <w:spacing w:line="276" w:lineRule="auto"/>
        <w:jc w:val="both"/>
        <w:rPr>
          <w:rFonts w:ascii="Verdana" w:hAnsi="Verdana" w:cs="Arial"/>
          <w:color w:val="000000" w:themeColor="text1"/>
          <w:lang w:val="es-ES" w:eastAsia="es-ES_tradnl"/>
        </w:rPr>
      </w:pPr>
    </w:p>
    <w:p w:rsidRPr="00AB0862" w:rsidR="002C1DE9" w:rsidP="002C1DE9" w:rsidRDefault="002C1DE9" w14:paraId="2259BE02" w14:textId="77777777">
      <w:pPr>
        <w:pStyle w:val="Prrafodelista"/>
        <w:numPr>
          <w:ilvl w:val="0"/>
          <w:numId w:val="6"/>
        </w:numPr>
        <w:shd w:val="clear" w:color="auto" w:fill="FFFFFF"/>
        <w:spacing w:before="120"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lastRenderedPageBreak/>
        <w:t>El citado Decreto específicamente establece que “la Entidad Estatal debe ordenar la apertura del proceso de selección, mediante acto administrativo de carácter general, sin perjuicio de lo dispuesto en las Disposiciones Especiales para las modalidades de selección, previstas en el capítulo 2 del presente título”. Dicho acto deberá señalar, entre otros aspectos, la convocatoria a las veedurías ciudadanas, en virtud de la cual se invita a estas a participar en el proceso de selección que se inicia, con el propósito de que realicen el control social a la actividad contractual.</w:t>
      </w:r>
    </w:p>
    <w:p w:rsidRPr="00AB0862" w:rsidR="002C1DE9" w:rsidP="002C1DE9" w:rsidRDefault="002C1DE9" w14:paraId="67DB2260" w14:textId="77777777">
      <w:pPr>
        <w:pStyle w:val="Prrafodelista"/>
        <w:shd w:val="clear" w:color="auto" w:fill="FFFFFF"/>
        <w:spacing w:before="12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 xml:space="preserve">  </w:t>
      </w:r>
    </w:p>
    <w:p w:rsidRPr="00AB0862" w:rsidR="002C1DE9" w:rsidP="002C1DE9" w:rsidRDefault="002C1DE9" w14:paraId="5CC299EF" w14:textId="77777777">
      <w:pPr>
        <w:pStyle w:val="Prrafodelista"/>
        <w:numPr>
          <w:ilvl w:val="0"/>
          <w:numId w:val="6"/>
        </w:numPr>
        <w:shd w:val="clear" w:color="auto" w:fill="FFFFFF"/>
        <w:spacing w:before="120"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En lo concerniente a la contratación directa, el Decreto 1082 de 2015 estableció unos procedimientos especiales que no contemplan la expedición de un acto administrativo de apertura, ni el aviso de convocatoria establecido en el artículo 2.2.1.1.2.1.2 del mismo cuerpo normativo. Por ende, en atención al principio de economía en los procesos de contratación, por medio del cual no es posible adelantar procedimientos o etapas que no estén expresamente previstos en las normas</w:t>
      </w:r>
      <w:r w:rsidRPr="00AB0862">
        <w:rPr>
          <w:rFonts w:ascii="Verdana" w:hAnsi="Verdana"/>
          <w:vertAlign w:val="superscript"/>
          <w:lang w:val="es-ES"/>
        </w:rPr>
        <w:footnoteReference w:id="3"/>
      </w:r>
      <w:r w:rsidRPr="00AB0862">
        <w:rPr>
          <w:rFonts w:ascii="Verdana" w:hAnsi="Verdana" w:cs="Arial"/>
          <w:color w:val="000000" w:themeColor="text1"/>
          <w:lang w:val="es-ES" w:eastAsia="es-ES_tradnl"/>
        </w:rPr>
        <w:t>, en esta modalidad de selección no se expide un acto administrativo de apertura y, en consecuencia, no hay convocatoria a las veedurías ciudadanas en los términos del artículo 2.2.1.1.2.1.5 del Decreto 1082 de 2015.</w:t>
      </w:r>
    </w:p>
    <w:p w:rsidRPr="00AB0862" w:rsidR="002C1DE9" w:rsidP="002C1DE9" w:rsidRDefault="002C1DE9" w14:paraId="30985698" w14:textId="77777777">
      <w:pPr>
        <w:pStyle w:val="Prrafodelista"/>
        <w:shd w:val="clear" w:color="auto" w:fill="FFFFFF"/>
        <w:spacing w:before="120" w:line="276" w:lineRule="auto"/>
        <w:jc w:val="both"/>
        <w:rPr>
          <w:rFonts w:ascii="Verdana" w:hAnsi="Verdana" w:cs="Arial"/>
          <w:color w:val="000000" w:themeColor="text1"/>
          <w:lang w:val="es-ES" w:eastAsia="es-ES_tradnl"/>
        </w:rPr>
      </w:pPr>
    </w:p>
    <w:p w:rsidRPr="00AB0862" w:rsidR="002C1DE9" w:rsidP="002C1DE9" w:rsidRDefault="002C1DE9" w14:paraId="5F3EC6DB" w14:textId="77777777">
      <w:pPr>
        <w:pStyle w:val="Prrafodelista"/>
        <w:numPr>
          <w:ilvl w:val="0"/>
          <w:numId w:val="6"/>
        </w:numPr>
        <w:shd w:val="clear" w:color="auto" w:fill="FFFFFF"/>
        <w:spacing w:before="120"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 xml:space="preserve">Sin embargo, ello no impide que los ciudadanos individualmente considerados, o las organizaciones constituidas para tal fin, por ejemplo, las veedurías ciudadanas, puedan participar y ejercer el control social respecto de los procesos en la modalidad de contratación directa. Ello, se reitera, por cuanto todos los contratos que celebren las entidades del Estado están sujetos a la vigilancia y control ciudadano. </w:t>
      </w:r>
    </w:p>
    <w:p w:rsidRPr="00AB0862" w:rsidR="002C1DE9" w:rsidP="002C1DE9" w:rsidRDefault="002C1DE9" w14:paraId="065F9DE6" w14:textId="77777777">
      <w:pPr>
        <w:pStyle w:val="Prrafodelista"/>
        <w:shd w:val="clear" w:color="auto" w:fill="FFFFFF"/>
        <w:spacing w:before="120" w:line="276" w:lineRule="auto"/>
        <w:jc w:val="both"/>
        <w:rPr>
          <w:rFonts w:ascii="Verdana" w:hAnsi="Verdana" w:cs="Arial"/>
          <w:color w:val="000000" w:themeColor="text1"/>
          <w:lang w:val="es-ES" w:eastAsia="es-ES_tradnl"/>
        </w:rPr>
      </w:pPr>
    </w:p>
    <w:p w:rsidRPr="00AB0862" w:rsidR="002C1DE9" w:rsidP="002C1DE9" w:rsidRDefault="002C1DE9" w14:paraId="1D3927F8" w14:textId="77777777">
      <w:pPr>
        <w:pStyle w:val="Prrafodelista"/>
        <w:numPr>
          <w:ilvl w:val="0"/>
          <w:numId w:val="6"/>
        </w:numPr>
        <w:shd w:val="clear" w:color="auto" w:fill="FFFFFF"/>
        <w:spacing w:before="120"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lastRenderedPageBreak/>
        <w:t xml:space="preserve">Esto implica que dichas organizaciones podrán efectuar la revisión de los documentos que reposan en las diferentes plataformas electrónicas como SECOP I y II y en la Tienda Virtual del Estado Colombiano. De igual forma, podrán realizar observaciones, efectuar requerimientos y, en general, adelantar cualquier actuación que materialice su derecho de participación en la revisión de los procesos precontractuales, en la etapa de ejecución de los contratos y etapa </w:t>
      </w:r>
      <w:proofErr w:type="spellStart"/>
      <w:r w:rsidRPr="00AB0862">
        <w:rPr>
          <w:rFonts w:ascii="Verdana" w:hAnsi="Verdana" w:cs="Arial"/>
          <w:color w:val="000000" w:themeColor="text1"/>
          <w:lang w:val="es-ES" w:eastAsia="es-ES_tradnl"/>
        </w:rPr>
        <w:t>poscontractual</w:t>
      </w:r>
      <w:proofErr w:type="spellEnd"/>
      <w:r w:rsidRPr="00AB0862">
        <w:rPr>
          <w:rFonts w:ascii="Verdana" w:hAnsi="Verdana" w:cs="Arial"/>
          <w:color w:val="000000" w:themeColor="text1"/>
          <w:lang w:val="es-ES" w:eastAsia="es-ES_tradnl"/>
        </w:rPr>
        <w:t xml:space="preserve">. </w:t>
      </w:r>
    </w:p>
    <w:p w:rsidRPr="00AB0862" w:rsidR="002C1DE9" w:rsidP="002C1DE9" w:rsidRDefault="002C1DE9" w14:paraId="34BF1D67" w14:textId="77777777">
      <w:pPr>
        <w:pStyle w:val="Prrafodelista"/>
        <w:shd w:val="clear" w:color="auto" w:fill="FFFFFF"/>
        <w:spacing w:before="120" w:line="276" w:lineRule="auto"/>
        <w:jc w:val="both"/>
        <w:rPr>
          <w:rFonts w:ascii="Verdana" w:hAnsi="Verdana" w:cs="Arial"/>
          <w:color w:val="000000" w:themeColor="text1"/>
          <w:lang w:val="es-ES" w:eastAsia="es-ES_tradnl"/>
        </w:rPr>
      </w:pPr>
    </w:p>
    <w:p w:rsidRPr="00AB0862" w:rsidR="002C1DE9" w:rsidP="002C1DE9" w:rsidRDefault="002C1DE9" w14:paraId="22D7B6C3" w14:textId="77777777">
      <w:pPr>
        <w:pStyle w:val="Prrafodelista"/>
        <w:numPr>
          <w:ilvl w:val="0"/>
          <w:numId w:val="6"/>
        </w:numPr>
        <w:shd w:val="clear" w:color="auto" w:fill="FFFFFF"/>
        <w:spacing w:before="120" w:after="0" w:line="276" w:lineRule="auto"/>
        <w:jc w:val="both"/>
        <w:rPr>
          <w:rFonts w:ascii="Verdana" w:hAnsi="Verdana" w:cs="Arial"/>
          <w:color w:val="000000" w:themeColor="text1"/>
          <w:lang w:val="es-ES" w:eastAsia="es-ES_tradnl"/>
        </w:rPr>
      </w:pPr>
      <w:r w:rsidRPr="00AB0862">
        <w:rPr>
          <w:rFonts w:ascii="Verdana" w:hAnsi="Verdana" w:cs="Arial"/>
          <w:color w:val="000000" w:themeColor="text1"/>
          <w:lang w:val="es-ES" w:eastAsia="es-ES_tradnl"/>
        </w:rPr>
        <w:t xml:space="preserve">En relación con este punto, las entidades públicas deberán garantizar el ejercicio del derecho al control social y facilitar el suministro de la información, como lo dispone el párrafo segundo del artículo 65 de la Ley 1757 de 2017, el cual establece: </w:t>
      </w:r>
    </w:p>
    <w:p w:rsidRPr="00AB0862" w:rsidR="002C1DE9" w:rsidP="002C1DE9" w:rsidRDefault="002C1DE9" w14:paraId="488B0F1C" w14:textId="77777777">
      <w:pPr>
        <w:pStyle w:val="Prrafodelista"/>
        <w:shd w:val="clear" w:color="auto" w:fill="FFFFFF"/>
        <w:jc w:val="both"/>
        <w:rPr>
          <w:rFonts w:ascii="Verdana" w:hAnsi="Verdana" w:cs="Arial"/>
          <w:color w:val="000000" w:themeColor="text1"/>
          <w:lang w:val="es-ES" w:eastAsia="es-ES_tradnl"/>
        </w:rPr>
      </w:pPr>
    </w:p>
    <w:p w:rsidRPr="00AB0862" w:rsidR="002C1DE9" w:rsidP="002C1DE9" w:rsidRDefault="002C1DE9" w14:paraId="19CF8ED3" w14:textId="77777777">
      <w:pPr>
        <w:pStyle w:val="Prrafodelista"/>
        <w:shd w:val="clear" w:color="auto" w:fill="FFFFFF"/>
        <w:ind w:left="709" w:right="709"/>
        <w:jc w:val="both"/>
        <w:rPr>
          <w:rFonts w:ascii="Verdana" w:hAnsi="Verdana" w:eastAsia="Calibri" w:cs="Arial"/>
          <w:color w:val="000000"/>
          <w:sz w:val="21"/>
          <w:szCs w:val="21"/>
          <w:lang w:val="es-ES"/>
        </w:rPr>
      </w:pPr>
      <w:r w:rsidRPr="00AB0862">
        <w:rPr>
          <w:rFonts w:ascii="Verdana" w:hAnsi="Verdana" w:eastAsia="Calibri" w:cs="Arial"/>
          <w:color w:val="000000"/>
          <w:sz w:val="21"/>
          <w:szCs w:val="21"/>
          <w:lang w:val="es-ES"/>
        </w:rPr>
        <w:t>[…] las entidades del Estado y las entidades privadas que presten servicios públicos domiciliarios o realicen proyectos con recursos públicos deberán garantizar el ejercicio del derecho al control social. Para tal efecto, deberán entregar información relacionada con la prestación del servicio público domiciliario, el proyecto o el uso de los recursos públicos y de acuerdo con los objetivos perseguidos por el control social correspondiente, según sea el caso a los agentes de control para el ejercicio de su función y brindar las condiciones y las garantías necesarias a los ciudadanos, las organizaciones y redes para que puedan ejercer ese derecho.</w:t>
      </w:r>
    </w:p>
    <w:p w:rsidRPr="00AB0862" w:rsidR="002C1DE9" w:rsidP="002C1DE9" w:rsidRDefault="002C1DE9" w14:paraId="4AA6EC79" w14:textId="77777777">
      <w:pPr>
        <w:pStyle w:val="Prrafodelista"/>
        <w:shd w:val="clear" w:color="auto" w:fill="FFFFFF"/>
        <w:ind w:right="709"/>
        <w:jc w:val="both"/>
        <w:rPr>
          <w:rFonts w:ascii="Verdana" w:hAnsi="Verdana" w:eastAsia="Calibri" w:cs="Arial"/>
          <w:color w:val="000000"/>
          <w:lang w:val="es-ES"/>
        </w:rPr>
      </w:pPr>
    </w:p>
    <w:p w:rsidR="00661953" w:rsidP="002C1DE9" w:rsidRDefault="002C1DE9" w14:paraId="65F81B9B" w14:textId="00CAC42A">
      <w:pPr>
        <w:pStyle w:val="Prrafodelista"/>
        <w:widowControl w:val="0"/>
        <w:numPr>
          <w:ilvl w:val="0"/>
          <w:numId w:val="6"/>
        </w:numPr>
        <w:autoSpaceDE w:val="0"/>
        <w:autoSpaceDN w:val="0"/>
        <w:spacing w:after="0" w:line="276" w:lineRule="auto"/>
        <w:jc w:val="both"/>
        <w:rPr>
          <w:rFonts w:ascii="Verdana" w:hAnsi="Verdana" w:cs="Arial"/>
          <w:color w:val="000000" w:themeColor="text1"/>
          <w:lang w:val="es-ES"/>
        </w:rPr>
      </w:pPr>
      <w:r w:rsidRPr="002C1DE9">
        <w:rPr>
          <w:rFonts w:ascii="Verdana" w:hAnsi="Verdana" w:cs="Arial"/>
          <w:color w:val="000000" w:themeColor="text1"/>
          <w:lang w:val="es-ES" w:eastAsia="es-ES_tradnl"/>
        </w:rPr>
        <w:t xml:space="preserve">Por último, teniendo en cuenta que el control social es un derecho y un deber ciudadano que autoriza y exige de estos participar de manera individual o colectiva en la vigilancia de la gestión pública y sus resultados, es preciso señalar que su ejercicio opera por ministerio de la Ley. Esto significa que no es necesaria su inclusión en el contrato estatal para que pueda realizarse. Basta con que la ciudadanía tenga acceso a la información respectiva, contemplada en las herramientas dispuestas para tal fin, para que puedan ejercer las funciones establecidas en las leyes que lo regulan. La participación podrá realizarse mediante el uso de los instrumentos de acción, tales como la intervención en audiencias públicas, </w:t>
      </w:r>
      <w:r w:rsidRPr="002C1DE9">
        <w:rPr>
          <w:rFonts w:ascii="Verdana" w:hAnsi="Verdana" w:cs="Arial"/>
          <w:color w:val="000000" w:themeColor="text1"/>
          <w:lang w:val="es-ES" w:eastAsia="es-ES_tradnl"/>
        </w:rPr>
        <w:lastRenderedPageBreak/>
        <w:t>requerimientos, peticiones, quejas, denuncias ante autoridades competentes, acciones de tutela y las demás acciones reglamentadas en la Ley.</w:t>
      </w:r>
    </w:p>
    <w:p w:rsidR="0052272C" w:rsidP="0052272C" w:rsidRDefault="0052272C" w14:paraId="7401F8DF" w14:textId="77777777">
      <w:pPr>
        <w:pStyle w:val="Prrafodelista"/>
        <w:widowControl w:val="0"/>
        <w:autoSpaceDE w:val="0"/>
        <w:autoSpaceDN w:val="0"/>
        <w:spacing w:after="0" w:line="276" w:lineRule="auto"/>
        <w:jc w:val="both"/>
        <w:rPr>
          <w:rFonts w:ascii="Verdana" w:hAnsi="Verdana" w:cs="Arial"/>
          <w:color w:val="000000" w:themeColor="text1"/>
          <w:lang w:val="es-ES"/>
        </w:rPr>
      </w:pPr>
    </w:p>
    <w:p w:rsidRPr="002C1DE9" w:rsidR="002C1DE9" w:rsidP="002C1DE9" w:rsidRDefault="002C1DE9" w14:paraId="398425DD" w14:textId="77777777">
      <w:pPr>
        <w:pStyle w:val="Prrafodelista"/>
        <w:widowControl w:val="0"/>
        <w:autoSpaceDE w:val="0"/>
        <w:autoSpaceDN w:val="0"/>
        <w:spacing w:after="0" w:line="276" w:lineRule="auto"/>
        <w:jc w:val="both"/>
        <w:rPr>
          <w:rFonts w:ascii="Verdana" w:hAnsi="Verdana" w:cs="Arial"/>
          <w:color w:val="000000" w:themeColor="text1"/>
          <w:lang w:val="es-ES"/>
        </w:rPr>
      </w:pPr>
    </w:p>
    <w:p w:rsidRPr="00115E3D" w:rsidR="00661953" w:rsidP="00661953" w:rsidRDefault="00661953" w14:paraId="7A47E624" w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color w:val="000000" w:themeColor="text1"/>
          <w:lang w:val="es-ES"/>
        </w:rPr>
      </w:pPr>
      <w:r w:rsidRPr="00115E3D">
        <w:rPr>
          <w:rFonts w:ascii="Verdana" w:hAnsi="Verdana" w:eastAsia="Century Gothic" w:cs="Century Gothic"/>
          <w:b/>
          <w:bCs/>
          <w:color w:val="000000" w:themeColor="text1"/>
          <w:lang w:val="es-ES"/>
        </w:rPr>
        <w:t>Referencias normativas, jurisprudenciales y otras fuentes:</w:t>
      </w:r>
    </w:p>
    <w:p w:rsidRPr="00115E3D" w:rsidR="00661953" w:rsidP="00661953" w:rsidRDefault="00661953" w14:paraId="3354F54E" w14:textId="77777777">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115E3D" w:rsidR="00661953" w:rsidTr="003028CD" w14:paraId="57B01B18" w14:textId="77777777">
        <w:trPr>
          <w:trHeight w:val="870"/>
        </w:trPr>
        <w:tc>
          <w:tcPr>
            <w:tcW w:w="8647" w:type="dxa"/>
          </w:tcPr>
          <w:p w:rsidRPr="00AD1CE9" w:rsidR="0052272C" w:rsidP="0052272C" w:rsidRDefault="0052272C" w14:paraId="7629FE98" w14:textId="77777777">
            <w:pPr>
              <w:pStyle w:val="Prrafodelista"/>
              <w:numPr>
                <w:ilvl w:val="0"/>
                <w:numId w:val="10"/>
              </w:numPr>
              <w:spacing w:line="278" w:lineRule="auto"/>
            </w:pPr>
            <w:r w:rsidRPr="00AD1CE9">
              <w:rPr>
                <w:rFonts w:ascii="Verdana" w:hAnsi="Verdana" w:cs="Arial"/>
                <w:color w:val="000000" w:themeColor="text1"/>
                <w:lang w:val="es-ES" w:eastAsia="es-ES_tradnl"/>
              </w:rPr>
              <w:t>Constitución Política, artículo 2</w:t>
            </w:r>
            <w:r>
              <w:rPr>
                <w:rFonts w:ascii="Verdana" w:hAnsi="Verdana" w:cs="Arial"/>
                <w:color w:val="000000" w:themeColor="text1"/>
                <w:lang w:val="es-ES" w:eastAsia="es-ES_tradnl"/>
              </w:rPr>
              <w:t xml:space="preserve"> y </w:t>
            </w:r>
            <w:r w:rsidRPr="00AB0862">
              <w:rPr>
                <w:rFonts w:ascii="Verdana" w:hAnsi="Verdana" w:cs="Arial"/>
                <w:color w:val="000000" w:themeColor="text1"/>
                <w:lang w:val="es-ES" w:eastAsia="es-ES_tradnl"/>
              </w:rPr>
              <w:t>270</w:t>
            </w:r>
          </w:p>
          <w:p w:rsidRPr="00AD1CE9" w:rsidR="0052272C" w:rsidP="0052272C" w:rsidRDefault="0052272C" w14:paraId="44190D6C" w14:textId="77777777">
            <w:pPr>
              <w:pStyle w:val="Prrafodelista"/>
              <w:numPr>
                <w:ilvl w:val="0"/>
                <w:numId w:val="10"/>
              </w:numPr>
              <w:spacing w:line="278" w:lineRule="auto"/>
            </w:pPr>
            <w:r w:rsidRPr="00AD1CE9">
              <w:rPr>
                <w:rFonts w:ascii="Verdana" w:hAnsi="Verdana" w:eastAsia="Times New Roman" w:cs="Arial"/>
                <w:color w:val="000000" w:themeColor="text1"/>
                <w:lang w:val="es-ES" w:eastAsia="es-ES_tradnl"/>
              </w:rPr>
              <w:t>Decreto 1082 de 2015, artículos 2.2.1.1.2.1.2</w:t>
            </w:r>
            <w:proofErr w:type="gramStart"/>
            <w:r w:rsidRPr="00AD1CE9">
              <w:rPr>
                <w:rFonts w:ascii="Verdana" w:hAnsi="Verdana" w:eastAsia="Times New Roman" w:cs="Arial"/>
                <w:color w:val="000000" w:themeColor="text1"/>
                <w:lang w:val="es-ES" w:eastAsia="es-ES_tradnl"/>
              </w:rPr>
              <w:t>,  2.2.1.1.2.1.5.</w:t>
            </w:r>
            <w:proofErr w:type="gramEnd"/>
          </w:p>
          <w:p w:rsidRPr="00AD1CE9" w:rsidR="0052272C" w:rsidP="0052272C" w:rsidRDefault="0052272C" w14:paraId="1024B9FC" w14:textId="77777777">
            <w:pPr>
              <w:pStyle w:val="Prrafodelista"/>
              <w:numPr>
                <w:ilvl w:val="0"/>
                <w:numId w:val="10"/>
              </w:numPr>
              <w:spacing w:line="278" w:lineRule="auto"/>
            </w:pPr>
            <w:r w:rsidRPr="00AB0862">
              <w:rPr>
                <w:rFonts w:ascii="Verdana" w:hAnsi="Verdana" w:cs="Arial"/>
                <w:color w:val="000000" w:themeColor="text1"/>
                <w:lang w:val="es-ES" w:eastAsia="es-ES_tradnl"/>
              </w:rPr>
              <w:t>Ley 80 de 1993</w:t>
            </w:r>
            <w:r>
              <w:rPr>
                <w:rFonts w:ascii="Verdana" w:hAnsi="Verdana" w:cs="Arial"/>
                <w:color w:val="000000" w:themeColor="text1"/>
                <w:lang w:val="es-ES" w:eastAsia="es-ES_tradnl"/>
              </w:rPr>
              <w:t xml:space="preserve">, </w:t>
            </w:r>
            <w:r w:rsidRPr="00AB0862">
              <w:rPr>
                <w:rFonts w:ascii="Verdana" w:hAnsi="Verdana" w:cs="Arial"/>
                <w:color w:val="000000" w:themeColor="text1"/>
                <w:lang w:val="es-ES" w:eastAsia="es-ES_tradnl"/>
              </w:rPr>
              <w:t>artículo 66</w:t>
            </w:r>
            <w:r>
              <w:rPr>
                <w:rFonts w:ascii="Verdana" w:hAnsi="Verdana" w:cs="Arial"/>
                <w:color w:val="000000" w:themeColor="text1"/>
                <w:lang w:val="es-ES" w:eastAsia="es-ES_tradnl"/>
              </w:rPr>
              <w:t>.</w:t>
            </w:r>
          </w:p>
          <w:p w:rsidRPr="00AD1CE9" w:rsidR="0052272C" w:rsidP="0052272C" w:rsidRDefault="0052272C" w14:paraId="6BFFB28A" w14:textId="77777777">
            <w:pPr>
              <w:pStyle w:val="Prrafodelista"/>
              <w:numPr>
                <w:ilvl w:val="0"/>
                <w:numId w:val="10"/>
              </w:numPr>
              <w:spacing w:line="278" w:lineRule="auto"/>
            </w:pPr>
            <w:r w:rsidRPr="00AB0862">
              <w:rPr>
                <w:rFonts w:ascii="Verdana" w:hAnsi="Verdana" w:cs="Arial"/>
                <w:color w:val="000000" w:themeColor="text1"/>
                <w:lang w:val="es-ES" w:eastAsia="es-ES_tradnl"/>
              </w:rPr>
              <w:t>Ley</w:t>
            </w:r>
            <w:r>
              <w:rPr>
                <w:rFonts w:ascii="Verdana" w:hAnsi="Verdana" w:cs="Arial"/>
                <w:color w:val="000000" w:themeColor="text1"/>
                <w:lang w:val="es-ES" w:eastAsia="es-ES_tradnl"/>
              </w:rPr>
              <w:t xml:space="preserve"> </w:t>
            </w:r>
            <w:r w:rsidRPr="00AB0862">
              <w:rPr>
                <w:rFonts w:ascii="Verdana" w:hAnsi="Verdana" w:cs="Arial"/>
                <w:color w:val="000000" w:themeColor="text1"/>
                <w:lang w:val="es-ES" w:eastAsia="es-ES_tradnl"/>
              </w:rPr>
              <w:t xml:space="preserve">134 de 1994 </w:t>
            </w:r>
          </w:p>
          <w:p w:rsidRPr="00AD1CE9" w:rsidR="0052272C" w:rsidP="0052272C" w:rsidRDefault="0052272C" w14:paraId="4B71489A" w14:textId="77777777">
            <w:pPr>
              <w:pStyle w:val="Prrafodelista"/>
              <w:numPr>
                <w:ilvl w:val="0"/>
                <w:numId w:val="10"/>
              </w:numPr>
              <w:spacing w:line="278" w:lineRule="auto"/>
            </w:pPr>
            <w:r>
              <w:rPr>
                <w:rFonts w:ascii="Verdana" w:hAnsi="Verdana" w:cs="Arial"/>
                <w:color w:val="000000" w:themeColor="text1"/>
                <w:lang w:val="es-ES" w:eastAsia="es-ES_tradnl"/>
              </w:rPr>
              <w:t xml:space="preserve">Ley </w:t>
            </w:r>
            <w:r w:rsidRPr="00AB0862">
              <w:rPr>
                <w:rFonts w:ascii="Verdana" w:hAnsi="Verdana" w:cs="Arial"/>
                <w:color w:val="000000" w:themeColor="text1"/>
                <w:lang w:val="es-ES" w:eastAsia="es-ES_tradnl"/>
              </w:rPr>
              <w:t>393 de 1997</w:t>
            </w:r>
          </w:p>
          <w:p w:rsidRPr="00AD1CE9" w:rsidR="0052272C" w:rsidP="0052272C" w:rsidRDefault="0052272C" w14:paraId="53FB0826" w14:textId="77777777">
            <w:pPr>
              <w:pStyle w:val="Prrafodelista"/>
              <w:numPr>
                <w:ilvl w:val="0"/>
                <w:numId w:val="10"/>
              </w:numPr>
              <w:spacing w:line="278" w:lineRule="auto"/>
            </w:pPr>
            <w:r>
              <w:rPr>
                <w:rFonts w:ascii="Verdana" w:hAnsi="Verdana" w:cs="Arial"/>
                <w:color w:val="000000" w:themeColor="text1"/>
                <w:lang w:val="es-ES" w:eastAsia="es-ES_tradnl"/>
              </w:rPr>
              <w:t xml:space="preserve">Ley </w:t>
            </w:r>
            <w:r w:rsidRPr="00AB0862">
              <w:rPr>
                <w:rFonts w:ascii="Verdana" w:hAnsi="Verdana" w:cs="Arial"/>
                <w:color w:val="000000" w:themeColor="text1"/>
                <w:lang w:val="es-ES" w:eastAsia="es-ES_tradnl"/>
              </w:rPr>
              <w:t>472 de 1998</w:t>
            </w:r>
          </w:p>
          <w:p w:rsidRPr="00AD1CE9" w:rsidR="0052272C" w:rsidP="0052272C" w:rsidRDefault="0052272C" w14:paraId="6074693A" w14:textId="77777777">
            <w:pPr>
              <w:pStyle w:val="Prrafodelista"/>
              <w:numPr>
                <w:ilvl w:val="0"/>
                <w:numId w:val="10"/>
              </w:numPr>
              <w:spacing w:line="278" w:lineRule="auto"/>
            </w:pPr>
            <w:r>
              <w:rPr>
                <w:rFonts w:ascii="Verdana" w:hAnsi="Verdana" w:cs="Arial"/>
                <w:color w:val="000000" w:themeColor="text1"/>
                <w:lang w:val="es-ES" w:eastAsia="es-ES_tradnl"/>
              </w:rPr>
              <w:t xml:space="preserve">Ley </w:t>
            </w:r>
            <w:r w:rsidRPr="00AB0862">
              <w:rPr>
                <w:rFonts w:ascii="Verdana" w:hAnsi="Verdana" w:cs="Arial"/>
                <w:color w:val="000000" w:themeColor="text1"/>
                <w:lang w:val="es-ES" w:eastAsia="es-ES_tradnl"/>
              </w:rPr>
              <w:t>489 de 1998</w:t>
            </w:r>
          </w:p>
          <w:p w:rsidRPr="00AD1CE9" w:rsidR="0052272C" w:rsidP="0052272C" w:rsidRDefault="0052272C" w14:paraId="6CF5C496" w14:textId="77777777">
            <w:pPr>
              <w:pStyle w:val="Prrafodelista"/>
              <w:numPr>
                <w:ilvl w:val="0"/>
                <w:numId w:val="10"/>
              </w:numPr>
              <w:spacing w:line="278" w:lineRule="auto"/>
            </w:pPr>
            <w:r w:rsidRPr="00AB0862">
              <w:rPr>
                <w:rFonts w:ascii="Verdana" w:hAnsi="Verdana" w:cs="Arial"/>
                <w:color w:val="000000" w:themeColor="text1"/>
                <w:lang w:val="es-ES" w:eastAsia="es-ES_tradnl"/>
              </w:rPr>
              <w:t>Ley 850 del 2003</w:t>
            </w:r>
          </w:p>
          <w:p w:rsidRPr="00AD1CE9" w:rsidR="0052272C" w:rsidP="0052272C" w:rsidRDefault="0052272C" w14:paraId="2B83ABA0" w14:textId="77777777">
            <w:pPr>
              <w:pStyle w:val="Prrafodelista"/>
              <w:numPr>
                <w:ilvl w:val="0"/>
                <w:numId w:val="10"/>
              </w:numPr>
              <w:spacing w:line="278" w:lineRule="auto"/>
            </w:pPr>
            <w:r w:rsidRPr="00AB0862">
              <w:rPr>
                <w:rFonts w:ascii="Verdana" w:hAnsi="Verdana" w:cs="Arial"/>
                <w:color w:val="000000" w:themeColor="text1"/>
                <w:lang w:val="es-ES" w:eastAsia="es-ES_tradnl"/>
              </w:rPr>
              <w:t>Ley 1757 de 2015</w:t>
            </w:r>
            <w:r>
              <w:rPr>
                <w:rFonts w:ascii="Verdana" w:hAnsi="Verdana" w:cs="Arial"/>
                <w:color w:val="000000" w:themeColor="text1"/>
                <w:lang w:val="es-ES" w:eastAsia="es-ES_tradnl"/>
              </w:rPr>
              <w:t xml:space="preserve">, Articulo 65. </w:t>
            </w:r>
          </w:p>
          <w:p w:rsidRPr="0052272C" w:rsidR="00661953" w:rsidP="0052272C" w:rsidRDefault="00661953" w14:paraId="53CC178B" w14:textId="4817E9EE">
            <w:pPr>
              <w:widowControl w:val="0"/>
              <w:autoSpaceDE w:val="0"/>
              <w:autoSpaceDN w:val="0"/>
              <w:spacing w:after="120" w:line="276" w:lineRule="auto"/>
              <w:jc w:val="both"/>
              <w:rPr>
                <w:rFonts w:ascii="Verdana" w:hAnsi="Verdana" w:cs="Arial"/>
                <w:color w:val="000000" w:themeColor="text1"/>
              </w:rPr>
            </w:pPr>
          </w:p>
        </w:tc>
      </w:tr>
    </w:tbl>
    <w:p w:rsidRPr="00115E3D" w:rsidR="00661953" w:rsidP="00661953" w:rsidRDefault="00661953" w14:paraId="1A0C3B44" w14:textId="77777777">
      <w:pPr>
        <w:widowControl w:val="0"/>
        <w:autoSpaceDE w:val="0"/>
        <w:autoSpaceDN w:val="0"/>
        <w:spacing w:after="0" w:line="276" w:lineRule="auto"/>
        <w:jc w:val="both"/>
        <w:rPr>
          <w:rFonts w:ascii="Verdana" w:hAnsi="Verdana" w:cs="Arial"/>
          <w:color w:val="000000" w:themeColor="text1"/>
        </w:rPr>
      </w:pPr>
    </w:p>
    <w:p w:rsidRPr="00115E3D" w:rsidR="00661953" w:rsidP="00661953" w:rsidRDefault="00661953" w14:paraId="624A677C" w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color w:val="000000" w:themeColor="text1"/>
          <w:lang w:val="es-ES"/>
        </w:rPr>
      </w:pPr>
      <w:r w:rsidRPr="00115E3D">
        <w:rPr>
          <w:rFonts w:ascii="Verdana" w:hAnsi="Verdana" w:eastAsia="Century Gothic" w:cs="Century Gothic"/>
          <w:b/>
          <w:bCs/>
          <w:color w:val="000000" w:themeColor="text1"/>
          <w:lang w:val="es-ES"/>
        </w:rPr>
        <w:t>Doctrina de la Agencia Nacional de Contratación Pública:</w:t>
      </w:r>
    </w:p>
    <w:p w:rsidRPr="00115E3D" w:rsidR="00661953" w:rsidP="00661953" w:rsidRDefault="00661953" w14:paraId="5B70DA56" w14:textId="77777777">
      <w:pPr>
        <w:widowControl w:val="0"/>
        <w:autoSpaceDE w:val="0"/>
        <w:autoSpaceDN w:val="0"/>
        <w:spacing w:after="0" w:line="276" w:lineRule="auto"/>
        <w:jc w:val="both"/>
        <w:rPr>
          <w:rFonts w:ascii="Verdana" w:hAnsi="Verdana" w:cs="Arial"/>
          <w:color w:val="000000" w:themeColor="text1"/>
        </w:rPr>
      </w:pPr>
    </w:p>
    <w:p w:rsidRPr="0052272C" w:rsidR="00661953" w:rsidP="0052272C" w:rsidRDefault="0052272C" w14:paraId="074FB274" w14:textId="2C905453">
      <w:pPr>
        <w:spacing w:after="0" w:line="276" w:lineRule="auto"/>
        <w:jc w:val="both"/>
        <w:rPr>
          <w:rFonts w:ascii="Arial" w:hAnsi="Arial" w:eastAsia="Calibri" w:cs="Arial"/>
          <w:b/>
          <w:lang w:eastAsia="es-ES_tradnl"/>
        </w:rPr>
      </w:pPr>
      <w:r w:rsidRPr="0052272C">
        <w:rPr>
          <w:rFonts w:ascii="Verdana" w:hAnsi="Verdana" w:eastAsia="Times New Roman" w:cs="Arial"/>
          <w:color w:val="000000" w:themeColor="text1"/>
          <w:lang w:val="es-ES" w:eastAsia="es-ES_tradnl"/>
        </w:rPr>
        <w:t xml:space="preserve">El asunto en mención ha sido abordado previamente por la Agencia Nacional de Contratación Pública – Colombia Compra Eficiente en el concepto C-445 del 24 de julio de 2020, radicado No. 2202013000006599, </w:t>
      </w:r>
      <w:r w:rsidRPr="0052272C">
        <w:rPr>
          <w:rFonts w:ascii="Verdana" w:hAnsi="Verdana" w:eastAsia="Calibri" w:cs="Arial"/>
          <w:color w:val="000000" w:themeColor="text1"/>
          <w:lang w:val="es-ES"/>
        </w:rPr>
        <w:t xml:space="preserve">C – 753 de 2020 y </w:t>
      </w:r>
      <w:r w:rsidRPr="0052272C">
        <w:rPr>
          <w:rFonts w:ascii="Verdana" w:hAnsi="Verdana" w:eastAsia="Calibri" w:cs="Arial"/>
          <w:bCs/>
          <w:lang w:eastAsia="es-ES_tradnl"/>
        </w:rPr>
        <w:t>Concepto C – 886 de 2022</w:t>
      </w:r>
      <w:r w:rsidRPr="0052272C">
        <w:rPr>
          <w:rFonts w:ascii="Verdana" w:hAnsi="Verdana" w:eastAsia="Times New Roman" w:cs="Arial"/>
          <w:color w:val="000000" w:themeColor="text1"/>
          <w:lang w:val="es-ES" w:eastAsia="es-ES_tradnl"/>
        </w:rPr>
        <w:t>, en el que se trataron algunos aspectos relacionados con el control social de la contratación estatal y las Veedurías Ciudadanas</w:t>
      </w:r>
      <w:r w:rsidRPr="0052272C" w:rsidR="000F155D">
        <w:rPr>
          <w:rFonts w:ascii="Verdana" w:hAnsi="Verdana" w:cs="Arial"/>
          <w:color w:val="000000" w:themeColor="text1"/>
          <w:shd w:val="clear" w:color="auto" w:fill="FFFFFF"/>
          <w:lang w:val="es-ES"/>
        </w:rPr>
        <w:t>.</w:t>
      </w:r>
      <w:r w:rsidRPr="000F155D" w:rsidR="000F155D">
        <w:rPr>
          <w:rFonts w:ascii="Verdana" w:hAnsi="Verdana" w:cs="Arial"/>
          <w:color w:val="000000" w:themeColor="text1"/>
          <w:shd w:val="clear" w:color="auto" w:fill="FFFFFF"/>
          <w:lang w:val="es-ES"/>
        </w:rPr>
        <w:t xml:space="preserve"> </w:t>
      </w:r>
      <w:r w:rsidRPr="000F155D" w:rsidR="000F155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w:tgtFrame="_blank" w:tooltip="Dirección URL original: https://relatoria.colombiacompra.gov.co/. Haga clic o pulse si confía en este vínculo." w:history="1" r:id="rId12">
        <w:r w:rsidRPr="000F155D" w:rsidR="000F155D">
          <w:rPr>
            <w:rStyle w:val="Hipervnculo"/>
            <w:rFonts w:ascii="Verdana" w:hAnsi="Verdana" w:cs="Arial"/>
            <w:shd w:val="clear" w:color="auto" w:fill="FFFFFF"/>
          </w:rPr>
          <w:t>https://relatoria.colombiacompra.gov.co/</w:t>
        </w:r>
      </w:hyperlink>
      <w:r w:rsidRPr="000F155D" w:rsidR="000F155D">
        <w:rPr>
          <w:rFonts w:ascii="Verdana" w:hAnsi="Verdana" w:cs="Arial"/>
          <w:color w:val="000000" w:themeColor="text1"/>
          <w:shd w:val="clear" w:color="auto" w:fill="FFFFFF"/>
        </w:rPr>
        <w:t> .</w:t>
      </w:r>
    </w:p>
    <w:p w:rsidRPr="00115E3D" w:rsidR="000F155D" w:rsidP="00661953" w:rsidRDefault="000F155D" w14:paraId="7A69D1EA" w14:textId="77777777">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rsidRPr="0052272C" w:rsidR="0052272C" w:rsidP="0052272C" w:rsidRDefault="0052272C" w14:paraId="70E30B8D" w14:textId="77777777">
      <w:pPr>
        <w:widowControl w:val="0"/>
        <w:autoSpaceDE w:val="0"/>
        <w:autoSpaceDN w:val="0"/>
        <w:spacing w:after="0" w:line="276" w:lineRule="auto"/>
        <w:jc w:val="both"/>
        <w:rPr>
          <w:rFonts w:ascii="Verdana" w:hAnsi="Verdana" w:cs="Arial"/>
          <w:color w:val="000000" w:themeColor="text1"/>
        </w:rPr>
      </w:pPr>
      <w:r w:rsidRPr="0052272C">
        <w:rPr>
          <w:rFonts w:ascii="Verdana" w:hAnsi="Verdana" w:cs="Arial"/>
          <w:color w:val="000000" w:themeColor="text1"/>
        </w:rPr>
        <w:t>Le informamos que ya se encuentra disponible la </w:t>
      </w:r>
      <w:r w:rsidRPr="0052272C">
        <w:rPr>
          <w:rFonts w:ascii="Verdana" w:hAnsi="Verdana" w:cs="Arial"/>
          <w:b/>
          <w:bCs/>
          <w:color w:val="000000" w:themeColor="text1"/>
        </w:rPr>
        <w:t xml:space="preserve">Guía para el manejo de </w:t>
      </w:r>
      <w:r w:rsidRPr="0052272C">
        <w:rPr>
          <w:rFonts w:ascii="Verdana" w:hAnsi="Verdana" w:cs="Arial"/>
          <w:b/>
          <w:bCs/>
          <w:color w:val="000000" w:themeColor="text1"/>
        </w:rPr>
        <w:lastRenderedPageBreak/>
        <w:t>ofertas artificialmente bajas en Procesos de Contratación.</w:t>
      </w:r>
      <w:r w:rsidRPr="0052272C">
        <w:rPr>
          <w:rFonts w:ascii="Verdana" w:hAnsi="Verdana" w:cs="Arial"/>
          <w:color w:val="000000" w:themeColor="text1"/>
        </w:rPr>
        <w:t xml:space="preserve"> En </w:t>
      </w:r>
      <w:proofErr w:type="gramStart"/>
      <w:r w:rsidRPr="0052272C">
        <w:rPr>
          <w:rFonts w:ascii="Verdana" w:hAnsi="Verdana" w:cs="Arial"/>
          <w:color w:val="000000" w:themeColor="text1"/>
        </w:rPr>
        <w:t>este  documento</w:t>
      </w:r>
      <w:proofErr w:type="gramEnd"/>
      <w:r w:rsidRPr="0052272C">
        <w:rPr>
          <w:rFonts w:ascii="Verdana" w:hAnsi="Verdana" w:cs="Arial"/>
          <w:color w:val="000000" w:themeColor="text1"/>
        </w:rPr>
        <w:t xml:space="preserve"> podrás consultar una serie de pautas para el manejo ofertas artificialmente bajas, en línea con las mejores prácticas internacionales en la materia. Puede consultar la versión actualizada en el siguiente enlace: </w:t>
      </w:r>
      <w:hyperlink w:tgtFrame="_blank" w:tooltip="Dirección URL original: https://www.colombiacompra.gov.co/manuales-guias-y-pliegos-tipo/manuales-y-guias/guia-para-el-manejo-de-ofertas-artificialmente-baja-0. Haga clic o pulse si confía en este vínculo." w:history="1" r:id="rId13">
        <w:r w:rsidRPr="0052272C">
          <w:rPr>
            <w:rStyle w:val="Hipervnculo"/>
            <w:rFonts w:ascii="Verdana" w:hAnsi="Verdana" w:cs="Arial"/>
          </w:rPr>
          <w:t>https://www.colombiacompra.gov.co/manuales-guias-y-pliegos-tipo/manuales-y-guias/guia-para-el-manejo-de-ofertas-artificialmente-baja-0</w:t>
        </w:r>
      </w:hyperlink>
      <w:r w:rsidRPr="0052272C">
        <w:rPr>
          <w:rFonts w:ascii="Verdana" w:hAnsi="Verdana" w:cs="Arial"/>
          <w:color w:val="000000" w:themeColor="text1"/>
          <w:u w:val="single"/>
        </w:rPr>
        <w:t> </w:t>
      </w:r>
    </w:p>
    <w:p w:rsidRPr="0052272C" w:rsidR="0052272C" w:rsidP="0052272C" w:rsidRDefault="0052272C" w14:paraId="513F1C27" w14:textId="77777777">
      <w:pPr>
        <w:widowControl w:val="0"/>
        <w:autoSpaceDE w:val="0"/>
        <w:autoSpaceDN w:val="0"/>
        <w:spacing w:after="0" w:line="276" w:lineRule="auto"/>
        <w:jc w:val="both"/>
        <w:rPr>
          <w:rFonts w:ascii="Verdana" w:hAnsi="Verdana" w:cs="Arial"/>
          <w:color w:val="000000" w:themeColor="text1"/>
        </w:rPr>
      </w:pPr>
      <w:r w:rsidRPr="0052272C">
        <w:rPr>
          <w:rFonts w:ascii="Verdana" w:hAnsi="Verdana" w:cs="Arial"/>
          <w:color w:val="000000" w:themeColor="text1"/>
        </w:rPr>
        <w:t>De otra parte, te contamos que ya publicamos la </w:t>
      </w:r>
      <w:r w:rsidRPr="0052272C">
        <w:rPr>
          <w:rFonts w:ascii="Verdana" w:hAnsi="Verdana" w:cs="Arial"/>
          <w:b/>
          <w:bCs/>
          <w:color w:val="000000" w:themeColor="text1"/>
        </w:rPr>
        <w:t>Guía para incentivar la participación de Mujeres en el Sistema de Compras y Contratación Pública</w:t>
      </w:r>
      <w:r w:rsidRPr="0052272C">
        <w:rPr>
          <w:rFonts w:ascii="Verdana" w:hAnsi="Verdana" w:cs="Arial"/>
          <w:color w:val="000000" w:themeColor="text1"/>
        </w:rPr>
        <w:t>. Esta guía tiene como finalidad ofrecer información de valor para que las Entidades Estatales fomenten de manera efectiva la participación de las mujeres en el mercado de compras públicas. Puedes consultar la guía en el siguiente enlace: </w:t>
      </w:r>
      <w:hyperlink w:tgtFrame="_blank" w:tooltip="Dirección URL original: https://www.colombiacompra.gov.co/manuales-guias-y-pliegos-tipo/manuales-y-guias/guia-para-incentivar-la-participacion-de-las-mujeres. Haga clic o pulse si confía en este vínculo." w:history="1" r:id="rId14">
        <w:r w:rsidRPr="0052272C">
          <w:rPr>
            <w:rStyle w:val="Hipervnculo"/>
            <w:rFonts w:ascii="Verdana" w:hAnsi="Verdana" w:cs="Arial"/>
          </w:rPr>
          <w:t>https://www.colombiacompra.gov.co/manuales-guias-y-pliegos-tipo/manuales-y-guias/guia-para-incentivar-la-participacion-de-las-mujeres</w:t>
        </w:r>
      </w:hyperlink>
    </w:p>
    <w:p w:rsidRPr="0052272C" w:rsidR="0052272C" w:rsidP="0052272C" w:rsidRDefault="0052272C" w14:paraId="7D27EECA" w14:textId="77777777">
      <w:pPr>
        <w:widowControl w:val="0"/>
        <w:autoSpaceDE w:val="0"/>
        <w:autoSpaceDN w:val="0"/>
        <w:spacing w:after="0" w:line="276" w:lineRule="auto"/>
        <w:jc w:val="both"/>
        <w:rPr>
          <w:rFonts w:ascii="Verdana" w:hAnsi="Verdana" w:cs="Arial"/>
          <w:color w:val="000000" w:themeColor="text1"/>
        </w:rPr>
      </w:pPr>
      <w:r w:rsidRPr="0052272C">
        <w:rPr>
          <w:rFonts w:ascii="Verdana" w:hAnsi="Verdana" w:cs="Arial"/>
          <w:color w:val="000000" w:themeColor="text1"/>
        </w:rPr>
        <w:t>También te invitamos a consultar la </w:t>
      </w:r>
      <w:r w:rsidRPr="0052272C">
        <w:rPr>
          <w:rFonts w:ascii="Verdana" w:hAnsi="Verdana" w:cs="Arial"/>
          <w:b/>
          <w:bCs/>
          <w:color w:val="000000" w:themeColor="text1"/>
        </w:rPr>
        <w:t>versión VIII de 2024</w:t>
      </w:r>
      <w:r w:rsidRPr="0052272C">
        <w:rPr>
          <w:rFonts w:ascii="Verdana" w:hAnsi="Verdana" w:cs="Arial"/>
          <w:color w:val="000000" w:themeColor="text1"/>
        </w:rPr>
        <w:t>, del </w:t>
      </w:r>
      <w:r w:rsidRPr="0052272C">
        <w:rPr>
          <w:rFonts w:ascii="Verdana" w:hAnsi="Verdana" w:cs="Arial"/>
          <w:b/>
          <w:bCs/>
          <w:color w:val="000000" w:themeColor="text1"/>
        </w:rPr>
        <w:t>Boletín de Relatoría</w:t>
      </w:r>
      <w:r w:rsidRPr="0052272C">
        <w:rPr>
          <w:rFonts w:ascii="Verdana" w:hAnsi="Verdana" w:cs="Arial"/>
          <w:color w:val="000000" w:themeColor="text1"/>
        </w:rPr>
        <w:t> de la Subdirección de Gestión Contractual relacionado con la participación de las MIPYMES en los procesos de compra y contratación pública, el cual se puede descargar en la página web de la Agencia: </w:t>
      </w:r>
      <w:hyperlink w:tgtFrame="_blank" w:tooltip="Dirección URL original: https://www.colombiacompra.gov.co/sites/cce_public/files/files_2020/boletin_de_realtoria_viii.pdf. Haga clic o pulse si confía en este vínculo." w:history="1" r:id="rId15">
        <w:r w:rsidRPr="0052272C">
          <w:rPr>
            <w:rStyle w:val="Hipervnculo"/>
            <w:rFonts w:ascii="Verdana" w:hAnsi="Verdana" w:cs="Arial"/>
          </w:rPr>
          <w:t>https://www.colombiacompra.gov.co/sites/cce_public/files/files_2020/boletin_de_realtoria_viii.pdf</w:t>
        </w:r>
      </w:hyperlink>
    </w:p>
    <w:p w:rsidR="00A8329D" w:rsidP="00A8329D" w:rsidRDefault="00A8329D" w14:paraId="420E559C" w14:textId="77777777">
      <w:pPr>
        <w:widowControl w:val="0"/>
        <w:autoSpaceDE w:val="0"/>
        <w:autoSpaceDN w:val="0"/>
        <w:spacing w:after="0" w:line="276" w:lineRule="auto"/>
        <w:jc w:val="both"/>
        <w:rPr>
          <w:rFonts w:ascii="Verdana" w:hAnsi="Verdana" w:cs="Arial"/>
          <w:color w:val="000000" w:themeColor="text1"/>
        </w:rPr>
      </w:pPr>
    </w:p>
    <w:p w:rsidRPr="00E91F32" w:rsidR="00A8329D" w:rsidP="00A8329D" w:rsidRDefault="00A8329D" w14:paraId="3AF71046" w14:textId="77777777">
      <w:pPr>
        <w:widowControl w:val="0"/>
        <w:autoSpaceDE w:val="0"/>
        <w:autoSpaceDN w:val="0"/>
        <w:spacing w:after="0" w:line="276" w:lineRule="auto"/>
        <w:jc w:val="both"/>
        <w:rPr>
          <w:rFonts w:ascii="Verdana" w:hAnsi="Verdana" w:cs="Arial"/>
          <w:color w:val="000000" w:themeColor="text1"/>
        </w:rPr>
      </w:pPr>
      <w:r w:rsidRPr="00E91F32">
        <w:rPr>
          <w:rFonts w:ascii="Verdana" w:hAnsi="Verdana" w:cs="Arial"/>
          <w:color w:val="000000" w:themeColor="text1"/>
        </w:rPr>
        <w:t xml:space="preserve">Por último, lo invitamos a seguirnos en las redes sociales en las cuales se difunde información institucional: </w:t>
      </w:r>
    </w:p>
    <w:p w:rsidRPr="00CA17B5" w:rsidR="00A8329D" w:rsidP="00A8329D" w:rsidRDefault="00A8329D" w14:paraId="333815A9" w14:textId="77777777">
      <w:pPr>
        <w:widowControl w:val="0"/>
        <w:autoSpaceDE w:val="0"/>
        <w:autoSpaceDN w:val="0"/>
        <w:spacing w:after="0" w:line="276" w:lineRule="auto"/>
        <w:jc w:val="both"/>
        <w:rPr>
          <w:rFonts w:ascii="Verdana" w:hAnsi="Verdana" w:cs="Arial"/>
          <w:color w:val="000000" w:themeColor="text1"/>
        </w:rPr>
      </w:pPr>
    </w:p>
    <w:p w:rsidRPr="00CA17B5" w:rsidR="00A8329D" w:rsidP="00A8329D" w:rsidRDefault="00A8329D" w14:paraId="09A3D222" w14:textId="77777777">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Twitter: </w:t>
      </w:r>
      <w:r w:rsidRPr="00CA17B5">
        <w:rPr>
          <w:rFonts w:ascii="Verdana" w:hAnsi="Verdana" w:cs="Arial"/>
          <w:color w:val="000000" w:themeColor="text1"/>
          <w:u w:val="single"/>
        </w:rPr>
        <w:t>@colombiacompra</w:t>
      </w:r>
      <w:r w:rsidRPr="00CA17B5">
        <w:rPr>
          <w:rFonts w:ascii="Verdana" w:hAnsi="Verdana" w:cs="Arial"/>
          <w:color w:val="000000" w:themeColor="text1"/>
        </w:rPr>
        <w:t xml:space="preserve"> </w:t>
      </w:r>
    </w:p>
    <w:p w:rsidRPr="00CA17B5" w:rsidR="00A8329D" w:rsidP="00A8329D" w:rsidRDefault="00A8329D" w14:paraId="6CC11EBE" w14:textId="77777777">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Facebook: </w:t>
      </w:r>
      <w:proofErr w:type="spellStart"/>
      <w:r w:rsidRPr="00CA17B5">
        <w:rPr>
          <w:rFonts w:ascii="Verdana" w:hAnsi="Verdana" w:cs="Arial"/>
          <w:color w:val="000000" w:themeColor="text1"/>
          <w:u w:val="single"/>
        </w:rPr>
        <w:t>ColombiaCompraEficiente</w:t>
      </w:r>
      <w:proofErr w:type="spellEnd"/>
    </w:p>
    <w:p w:rsidRPr="00CA17B5" w:rsidR="00A8329D" w:rsidP="00A8329D" w:rsidRDefault="00A8329D" w14:paraId="47C5484C" w14:textId="77777777">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LinkedIn: </w:t>
      </w:r>
      <w:r w:rsidRPr="00CA17B5">
        <w:rPr>
          <w:rFonts w:ascii="Verdana" w:hAnsi="Verdana" w:cs="Arial"/>
          <w:color w:val="000000" w:themeColor="text1"/>
          <w:u w:val="single"/>
        </w:rPr>
        <w:t>Agencia Nacional de Contratación Pública - Colombia Compra Eficiente</w:t>
      </w:r>
      <w:r w:rsidRPr="00CA17B5">
        <w:rPr>
          <w:rFonts w:ascii="Verdana" w:hAnsi="Verdana" w:cs="Arial"/>
          <w:color w:val="000000" w:themeColor="text1"/>
        </w:rPr>
        <w:t xml:space="preserve"> Instagram: </w:t>
      </w:r>
      <w:r w:rsidRPr="00CA17B5">
        <w:rPr>
          <w:rFonts w:ascii="Verdana" w:hAnsi="Verdana" w:cs="Arial"/>
          <w:color w:val="000000" w:themeColor="text1"/>
          <w:u w:val="single"/>
        </w:rPr>
        <w:t>@colombiacompraeficiente_cce</w:t>
      </w:r>
    </w:p>
    <w:p w:rsidRPr="00CA17B5" w:rsidR="00A8329D" w:rsidP="00A8329D" w:rsidRDefault="00A8329D" w14:paraId="76736D63" w14:textId="77777777">
      <w:pPr>
        <w:widowControl w:val="0"/>
        <w:autoSpaceDE w:val="0"/>
        <w:autoSpaceDN w:val="0"/>
        <w:spacing w:after="0" w:line="276" w:lineRule="auto"/>
        <w:jc w:val="both"/>
        <w:rPr>
          <w:rFonts w:ascii="Verdana" w:hAnsi="Verdana" w:cs="Arial"/>
          <w:color w:val="000000" w:themeColor="text1"/>
        </w:rPr>
      </w:pPr>
    </w:p>
    <w:p w:rsidRPr="00CA17B5" w:rsidR="00A8329D" w:rsidP="00A8329D" w:rsidRDefault="00A8329D" w14:paraId="453870BE" w14:textId="77777777">
      <w:pPr>
        <w:widowControl w:val="0"/>
        <w:autoSpaceDE w:val="0"/>
        <w:autoSpaceDN w:val="0"/>
        <w:spacing w:after="0" w:line="276" w:lineRule="auto"/>
        <w:jc w:val="both"/>
        <w:rPr>
          <w:rFonts w:ascii="Verdana" w:hAnsi="Verdana" w:cs="Arial"/>
          <w:color w:val="000000" w:themeColor="text1"/>
          <w:lang w:val="es-ES_tradnl"/>
        </w:rPr>
      </w:pPr>
      <w:r w:rsidRPr="00CA17B5">
        <w:rPr>
          <w:rFonts w:ascii="Verdana" w:hAnsi="Verdana" w:cs="Arial"/>
          <w:color w:val="000000" w:themeColor="text1"/>
        </w:rPr>
        <w:t xml:space="preserve">Este concepto tiene el alcance previsto en el artículo 28 del Código de Procedimiento Administrativo y de lo Contencioso Administrativo </w:t>
      </w:r>
      <w:r w:rsidRPr="00CA17B5">
        <w:rPr>
          <w:rFonts w:ascii="Verdana" w:hAnsi="Verdana" w:cs="Arial"/>
          <w:color w:val="000000" w:themeColor="text1"/>
          <w:lang w:val="es-ES_tradnl"/>
        </w:rPr>
        <w:t>y las expresiones aquí utilizadas con mayúscula inicial deben ser entendidas con el significado que les otorga el artículo 2.2.1.1.1.3.1. del Decreto 1082 de 2015.</w:t>
      </w:r>
    </w:p>
    <w:p w:rsidRPr="00A8329D" w:rsidR="00661953" w:rsidP="00661953" w:rsidRDefault="00661953" w14:paraId="285F6224" w14:textId="1B0DD4D5">
      <w:pPr>
        <w:widowControl w:val="0"/>
        <w:autoSpaceDE w:val="0"/>
        <w:autoSpaceDN w:val="0"/>
        <w:spacing w:after="0" w:line="276" w:lineRule="auto"/>
        <w:jc w:val="both"/>
        <w:rPr>
          <w:rFonts w:ascii="Verdana" w:hAnsi="Verdana" w:cs="Arial"/>
          <w:color w:val="000000" w:themeColor="text1"/>
          <w:lang w:val="es-ES_tradnl"/>
        </w:rPr>
      </w:pPr>
    </w:p>
    <w:p w:rsidRPr="00115E3D" w:rsidR="00661953" w:rsidP="00661953" w:rsidRDefault="00661953" w14:paraId="6E44BD44" w14:textId="415AE66D">
      <w:pPr>
        <w:spacing w:after="0" w:line="240" w:lineRule="auto"/>
        <w:rPr>
          <w:rFonts w:ascii="Verdana" w:hAnsi="Verdana" w:cs="Arial"/>
          <w:color w:val="000000" w:themeColor="text1"/>
          <w:lang w:eastAsia="es-CO"/>
        </w:rPr>
      </w:pPr>
      <w:r w:rsidRPr="00115E3D">
        <w:rPr>
          <w:rFonts w:ascii="Verdana" w:hAnsi="Verdana" w:eastAsia="Times New Roman" w:cs="Arial"/>
          <w:color w:val="000000" w:themeColor="text1"/>
          <w:lang w:eastAsia="es-CO"/>
        </w:rPr>
        <w:t>Atentamente,</w:t>
      </w:r>
      <w:r w:rsidRPr="00115E3D">
        <w:rPr>
          <w:rFonts w:ascii="Verdana" w:hAnsi="Verdana" w:cs="Arial"/>
          <w:color w:val="000000" w:themeColor="text1"/>
          <w:lang w:eastAsia="es-CO"/>
        </w:rPr>
        <w:t xml:space="preserve"> </w:t>
      </w:r>
    </w:p>
    <w:p w:rsidRPr="00115E3D" w:rsidR="00661953" w:rsidP="00661953" w:rsidRDefault="0045512B" w14:paraId="5E1DD0C3" w14:textId="218F9DD5">
      <w:pPr>
        <w:spacing w:line="276" w:lineRule="auto"/>
        <w:jc w:val="center"/>
        <w:rPr>
          <w:rFonts w:ascii="Verdana" w:hAnsi="Verdana" w:cs="Arial"/>
          <w:color w:val="000000" w:themeColor="text1"/>
          <w:lang w:val="es-ES_tradnl" w:eastAsia="es-CO"/>
        </w:rPr>
      </w:pPr>
      <w:r w:rsidRPr="002C3AD6">
        <w:rPr>
          <w:rFonts w:ascii="Century Gothic" w:hAnsi="Century Gothic"/>
          <w:noProof/>
        </w:rPr>
        <w:drawing>
          <wp:inline distT="0" distB="0" distL="0" distR="0" wp14:anchorId="1DA6C23B" wp14:editId="217620B6">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115E3D" w:rsidR="00661953" w:rsidTr="003028CD" w14:paraId="45053A4A" w14:textId="77777777">
        <w:trPr>
          <w:trHeight w:val="315"/>
        </w:trPr>
        <w:tc>
          <w:tcPr>
            <w:tcW w:w="893" w:type="dxa"/>
            <w:vAlign w:val="center"/>
            <w:hideMark/>
          </w:tcPr>
          <w:p w:rsidRPr="00115E3D" w:rsidR="00661953" w:rsidP="003028CD" w:rsidRDefault="00661953" w14:paraId="38DEBACE" w14:textId="52314897">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115E3D" w:rsidR="00661953" w:rsidP="003028CD" w:rsidRDefault="00333F80" w14:paraId="53B1553D" w14:textId="3934E1FB">
            <w:pPr>
              <w:contextualSpacing/>
              <w:rPr>
                <w:rFonts w:ascii="Verdana" w:hAnsi="Verdana" w:eastAsia="Arial" w:cs="Arial"/>
                <w:color w:val="000000" w:themeColor="text1"/>
                <w:sz w:val="16"/>
                <w:szCs w:val="16"/>
              </w:rPr>
            </w:pPr>
            <w:r>
              <w:rPr>
                <w:rFonts w:ascii="Verdana" w:hAnsi="Verdana" w:eastAsia="Arial" w:cs="Arial"/>
                <w:color w:val="000000" w:themeColor="text1"/>
                <w:sz w:val="16"/>
                <w:szCs w:val="16"/>
              </w:rPr>
              <w:t>Richard Andrés Montenegro Siefken</w:t>
            </w:r>
          </w:p>
          <w:p w:rsidRPr="00115E3D" w:rsidR="00661953" w:rsidP="003028CD" w:rsidRDefault="00333F80" w14:paraId="551FEE49" w14:textId="429A4C8C">
            <w:pPr>
              <w:contextualSpacing/>
              <w:rPr>
                <w:rFonts w:ascii="Verdana" w:hAnsi="Verdana" w:eastAsia="Arial" w:cs="Arial"/>
                <w:color w:val="000000" w:themeColor="text1"/>
                <w:sz w:val="16"/>
                <w:szCs w:val="16"/>
              </w:rPr>
            </w:pPr>
            <w:r>
              <w:rPr>
                <w:rStyle w:val="normaltextrun"/>
                <w:rFonts w:ascii="Verdana" w:hAnsi="Verdana" w:eastAsia="Arial" w:cs="Arial"/>
                <w:color w:val="000000" w:themeColor="text1"/>
                <w:sz w:val="16"/>
                <w:szCs w:val="16"/>
              </w:rPr>
              <w:t>Contratista</w:t>
            </w:r>
            <w:r w:rsidRPr="00115E3D" w:rsidR="00661953">
              <w:rPr>
                <w:rStyle w:val="normaltextrun"/>
                <w:rFonts w:ascii="Verdana" w:hAnsi="Verdana" w:eastAsia="Arial" w:cs="Arial"/>
                <w:color w:val="000000" w:themeColor="text1"/>
                <w:sz w:val="16"/>
                <w:szCs w:val="16"/>
              </w:rPr>
              <w:t xml:space="preserve"> de la Subdirección de Gestión Contractual</w:t>
            </w:r>
          </w:p>
        </w:tc>
      </w:tr>
      <w:tr w:rsidRPr="00115E3D" w:rsidR="00661953" w:rsidTr="003028CD" w14:paraId="571EB8EB" w14:textId="77777777">
        <w:trPr>
          <w:trHeight w:val="330"/>
        </w:trPr>
        <w:tc>
          <w:tcPr>
            <w:tcW w:w="893" w:type="dxa"/>
            <w:vAlign w:val="center"/>
            <w:hideMark/>
          </w:tcPr>
          <w:p w:rsidRPr="00115E3D" w:rsidR="00661953" w:rsidP="003028CD" w:rsidRDefault="00661953" w14:paraId="749A0591" w14:textId="77777777">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580396" w:rsidR="00661953" w:rsidP="003028CD" w:rsidRDefault="00A224D0" w14:paraId="53D47FF7" w14:textId="1DA98B8E">
            <w:pPr>
              <w:pStyle w:val="paragraph"/>
              <w:spacing w:before="0" w:beforeAutospacing="0" w:after="0" w:afterAutospacing="0"/>
              <w:contextualSpacing/>
              <w:textAlignment w:val="baseline"/>
              <w:rPr>
                <w:rFonts w:ascii="Verdana" w:hAnsi="Verdana" w:cs="Segoe UI"/>
                <w:color w:val="000000" w:themeColor="text1"/>
                <w:sz w:val="16"/>
                <w:szCs w:val="16"/>
              </w:rPr>
            </w:pPr>
            <w:r w:rsidRPr="00580396">
              <w:rPr>
                <w:rFonts w:ascii="Verdana" w:hAnsi="Verdana" w:cs="Segoe UI"/>
                <w:color w:val="000000" w:themeColor="text1"/>
                <w:sz w:val="16"/>
                <w:szCs w:val="16"/>
              </w:rPr>
              <w:t>X</w:t>
            </w:r>
            <w:r w:rsidRPr="00580396">
              <w:rPr>
                <w:rFonts w:ascii="Verdana" w:hAnsi="Verdana" w:cs="Segoe UI"/>
                <w:sz w:val="16"/>
                <w:szCs w:val="16"/>
              </w:rPr>
              <w:t xml:space="preserve">imena Ríos López </w:t>
            </w:r>
          </w:p>
          <w:p w:rsidRPr="00115E3D" w:rsidR="00661953" w:rsidP="003028CD" w:rsidRDefault="00580396" w14:paraId="1A3DFCFA" w14:textId="7038E745">
            <w:pPr>
              <w:pStyle w:val="paragraph"/>
              <w:spacing w:before="0" w:beforeAutospacing="0" w:after="0" w:afterAutospacing="0"/>
              <w:contextualSpacing/>
              <w:textAlignment w:val="baseline"/>
              <w:rPr>
                <w:rFonts w:ascii="Verdana" w:hAnsi="Verdana" w:cs="Segoe UI"/>
                <w:color w:val="000000" w:themeColor="text1"/>
                <w:sz w:val="16"/>
                <w:szCs w:val="16"/>
              </w:rPr>
            </w:pPr>
            <w:r w:rsidRPr="00580396">
              <w:rPr>
                <w:rStyle w:val="normaltextrun"/>
                <w:rFonts w:ascii="Verdana" w:hAnsi="Verdana" w:cs="Arial"/>
                <w:color w:val="000000" w:themeColor="text1"/>
                <w:sz w:val="16"/>
                <w:szCs w:val="16"/>
                <w:lang w:val="es-ES"/>
              </w:rPr>
              <w:t>Gestor T1-11</w:t>
            </w:r>
            <w:r w:rsidRPr="00580396" w:rsidR="00661953">
              <w:rPr>
                <w:rStyle w:val="normaltextrun"/>
                <w:rFonts w:ascii="Verdana" w:hAnsi="Verdana" w:cs="Arial"/>
                <w:color w:val="000000" w:themeColor="text1"/>
                <w:sz w:val="16"/>
                <w:szCs w:val="16"/>
                <w:lang w:val="es-ES"/>
              </w:rPr>
              <w:t xml:space="preserve"> de la Subdirección de Gestión Contractual</w:t>
            </w:r>
            <w:r w:rsidRPr="00115E3D" w:rsidR="00661953">
              <w:rPr>
                <w:rStyle w:val="eop"/>
                <w:rFonts w:ascii="Verdana" w:hAnsi="Verdana" w:cs="Arial"/>
                <w:color w:val="000000" w:themeColor="text1"/>
                <w:sz w:val="16"/>
                <w:szCs w:val="16"/>
              </w:rPr>
              <w:t> </w:t>
            </w:r>
          </w:p>
        </w:tc>
      </w:tr>
      <w:tr w:rsidRPr="00115E3D" w:rsidR="00661953" w:rsidTr="003028CD" w14:paraId="133D28BD" w14:textId="77777777">
        <w:trPr>
          <w:trHeight w:val="300"/>
        </w:trPr>
        <w:tc>
          <w:tcPr>
            <w:tcW w:w="893" w:type="dxa"/>
            <w:vAlign w:val="center"/>
          </w:tcPr>
          <w:p w:rsidRPr="00115E3D" w:rsidR="00661953" w:rsidP="003028CD" w:rsidRDefault="00661953" w14:paraId="50A8EEC1" w14:textId="77777777">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115E3D" w:rsidR="00661953" w:rsidP="003028CD" w:rsidRDefault="00661953" w14:paraId="7BDC44B7" w14:textId="77777777">
            <w:pPr>
              <w:contextualSpacing/>
              <w:rPr>
                <w:rFonts w:ascii="Verdana" w:hAnsi="Verdana" w:eastAsia="Calibri" w:cs="Arial"/>
                <w:color w:val="000000" w:themeColor="text1"/>
                <w:sz w:val="16"/>
                <w:szCs w:val="16"/>
                <w:lang w:val="pt-BR" w:eastAsia="es-ES"/>
              </w:rPr>
            </w:pPr>
            <w:r w:rsidRPr="00115E3D">
              <w:rPr>
                <w:rFonts w:ascii="Verdana" w:hAnsi="Verdana" w:eastAsia="Calibri" w:cs="Arial"/>
                <w:color w:val="000000" w:themeColor="text1"/>
                <w:sz w:val="16"/>
                <w:szCs w:val="16"/>
                <w:lang w:val="pt-BR" w:eastAsia="es-ES"/>
              </w:rPr>
              <w:t xml:space="preserve">Carolina Quintero </w:t>
            </w:r>
            <w:proofErr w:type="spellStart"/>
            <w:r w:rsidRPr="00115E3D">
              <w:rPr>
                <w:rFonts w:ascii="Verdana" w:hAnsi="Verdana" w:eastAsia="Calibri" w:cs="Arial"/>
                <w:color w:val="000000" w:themeColor="text1"/>
                <w:sz w:val="16"/>
                <w:szCs w:val="16"/>
                <w:lang w:val="pt-BR" w:eastAsia="es-ES"/>
              </w:rPr>
              <w:t>Gacharná</w:t>
            </w:r>
            <w:proofErr w:type="spellEnd"/>
          </w:p>
          <w:p w:rsidRPr="00115E3D" w:rsidR="00661953" w:rsidP="003028CD" w:rsidRDefault="00661953" w14:paraId="4C45222E" w14:textId="77777777">
            <w:pPr>
              <w:contextualSpacing/>
              <w:rPr>
                <w:rFonts w:ascii="Verdana" w:hAnsi="Verdana" w:eastAsia="Calibri" w:cs="Arial"/>
                <w:color w:val="000000" w:themeColor="text1"/>
                <w:sz w:val="16"/>
                <w:szCs w:val="16"/>
                <w:lang w:val="pt-BR" w:eastAsia="es-ES"/>
              </w:rPr>
            </w:pPr>
            <w:r w:rsidRPr="00115E3D">
              <w:rPr>
                <w:rFonts w:ascii="Verdana" w:hAnsi="Verdana" w:eastAsia="Calibri" w:cs="Arial"/>
                <w:color w:val="000000" w:themeColor="text1"/>
                <w:sz w:val="16"/>
                <w:szCs w:val="16"/>
                <w:lang w:eastAsia="es-ES"/>
              </w:rPr>
              <w:t>Subdirectora</w:t>
            </w:r>
            <w:r w:rsidRPr="00115E3D">
              <w:rPr>
                <w:rFonts w:ascii="Verdana" w:hAnsi="Verdana" w:eastAsia="Calibri" w:cs="Arial"/>
                <w:color w:val="000000" w:themeColor="text1"/>
                <w:sz w:val="16"/>
                <w:szCs w:val="16"/>
                <w:lang w:val="pt-BR" w:eastAsia="es-ES"/>
              </w:rPr>
              <w:t xml:space="preserve"> de Gestión </w:t>
            </w:r>
            <w:proofErr w:type="spellStart"/>
            <w:r w:rsidRPr="00115E3D">
              <w:rPr>
                <w:rFonts w:ascii="Verdana" w:hAnsi="Verdana" w:eastAsia="Calibri" w:cs="Arial"/>
                <w:color w:val="000000" w:themeColor="text1"/>
                <w:sz w:val="16"/>
                <w:szCs w:val="16"/>
                <w:lang w:val="pt-BR" w:eastAsia="es-ES"/>
              </w:rPr>
              <w:t>Contractual</w:t>
            </w:r>
            <w:proofErr w:type="spellEnd"/>
            <w:r w:rsidRPr="00115E3D">
              <w:rPr>
                <w:rFonts w:ascii="Verdana" w:hAnsi="Verdana" w:eastAsia="Calibri" w:cs="Arial"/>
                <w:color w:val="000000" w:themeColor="text1"/>
                <w:sz w:val="16"/>
                <w:szCs w:val="16"/>
                <w:lang w:val="pt-BR" w:eastAsia="es-ES"/>
              </w:rPr>
              <w:t xml:space="preserve"> ANCP – CCE</w:t>
            </w:r>
          </w:p>
        </w:tc>
      </w:tr>
    </w:tbl>
    <w:p w:rsidRPr="00115E3D" w:rsidR="00661953" w:rsidP="00661953" w:rsidRDefault="00661953" w14:paraId="2C508EF6" w14:textId="77777777">
      <w:pPr>
        <w:spacing w:after="0" w:line="240" w:lineRule="auto"/>
        <w:rPr>
          <w:rFonts w:ascii="Verdana" w:hAnsi="Verdana" w:eastAsia="Times New Roman" w:cs="Arial"/>
          <w:color w:val="000000" w:themeColor="text1"/>
          <w:sz w:val="24"/>
          <w:szCs w:val="24"/>
          <w:lang w:eastAsia="es-ES"/>
        </w:rPr>
      </w:pPr>
    </w:p>
    <w:p w:rsidR="000F5A42" w:rsidRDefault="000F5A42" w14:paraId="4327250B" w14:textId="77777777"/>
    <w:sectPr w:rsidR="000F5A42" w:rsidSect="00661953">
      <w:headerReference w:type="default" r:id="rId17"/>
      <w:footerReference w:type="default" r:id="rId18"/>
      <w:pgSz w:w="12240" w:h="15840" w:orient="portrait"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33AB" w:rsidP="00661953" w:rsidRDefault="009733AB" w14:paraId="33CCA350" w14:textId="77777777">
      <w:pPr>
        <w:spacing w:after="0" w:line="240" w:lineRule="auto"/>
      </w:pPr>
      <w:r>
        <w:separator/>
      </w:r>
    </w:p>
  </w:endnote>
  <w:endnote w:type="continuationSeparator" w:id="0">
    <w:p w:rsidR="009733AB" w:rsidP="00661953" w:rsidRDefault="009733AB" w14:paraId="7BD1B8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0785" w:rsidP="000849D5" w:rsidRDefault="007C0785" w14:paraId="02A5B410" w14:textId="77777777">
    <w:pPr>
      <w:spacing w:after="0"/>
      <w:rPr>
        <w:rFonts w:ascii="Verdana" w:hAnsi="Verdana"/>
        <w:b/>
        <w:bCs/>
        <w:sz w:val="20"/>
        <w:szCs w:val="20"/>
      </w:rPr>
    </w:pPr>
  </w:p>
  <w:p w:rsidRPr="00174B77" w:rsidR="007C0785" w:rsidP="000849D5" w:rsidRDefault="007C0785" w14:paraId="29F98E39"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E35D69">
      <w:rPr>
        <w:rFonts w:ascii="Verdana" w:hAnsi="Verdana" w:eastAsia="Times New Roman" w:cs="Times New Roman"/>
        <w:b/>
        <w:bCs/>
        <w:sz w:val="16"/>
        <w:szCs w:val="16"/>
        <w:lang w:val="es-ES"/>
      </w:rPr>
      <w:t xml:space="preserve">pág. </w:t>
    </w:r>
    <w:r w:rsidRPr="00E35D69">
      <w:rPr>
        <w:rFonts w:ascii="Verdana" w:hAnsi="Verdana" w:eastAsia="Times New Roman"/>
        <w:b/>
        <w:bCs/>
        <w:sz w:val="16"/>
        <w:szCs w:val="16"/>
      </w:rPr>
      <w:fldChar w:fldCharType="begin"/>
    </w:r>
    <w:r w:rsidRPr="002E1330">
      <w:rPr>
        <w:rFonts w:ascii="Verdana" w:hAnsi="Verdana"/>
        <w:b/>
        <w:bCs/>
        <w:sz w:val="16"/>
        <w:szCs w:val="16"/>
      </w:rPr>
      <w:instrText>PAGE    \* MERGEFORMAT</w:instrText>
    </w:r>
    <w:r w:rsidRPr="00E35D69">
      <w:rPr>
        <w:rFonts w:ascii="Verdana" w:hAnsi="Verdana" w:eastAsia="Times New Roman"/>
        <w:b/>
        <w:bCs/>
        <w:sz w:val="16"/>
        <w:szCs w:val="16"/>
      </w:rPr>
      <w:fldChar w:fldCharType="separate"/>
    </w:r>
    <w:r w:rsidRPr="00E35D69">
      <w:rPr>
        <w:rFonts w:ascii="Verdana" w:hAnsi="Verdana" w:eastAsia="Times New Roman"/>
        <w:b/>
        <w:bCs/>
        <w:sz w:val="16"/>
        <w:szCs w:val="16"/>
      </w:rPr>
      <w:t>1</w:t>
    </w:r>
    <w:r w:rsidRPr="00E35D69">
      <w:rPr>
        <w:rFonts w:ascii="Verdana" w:hAnsi="Verdana" w:eastAsia="Times New Roman"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7C0785" w:rsidP="000849D5" w:rsidRDefault="007C0785" w14:paraId="65D1F454"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7C0785" w:rsidP="000849D5" w:rsidRDefault="007C0785" w14:paraId="42972045" w14:textId="77777777">
    <w:pPr>
      <w:spacing w:after="0"/>
      <w:jc w:val="both"/>
      <w:rPr>
        <w:rFonts w:ascii="Verdana" w:hAnsi="Verdana"/>
        <w:sz w:val="18"/>
        <w:szCs w:val="18"/>
      </w:rPr>
    </w:pPr>
    <w:r w:rsidRPr="00E41027">
      <w:rPr>
        <w:rFonts w:ascii="Verdana" w:hAnsi="Verdana"/>
        <w:sz w:val="18"/>
        <w:szCs w:val="18"/>
      </w:rPr>
      <w:t>Mesa de servicio: (+57) 601 7456788</w:t>
    </w:r>
  </w:p>
  <w:p w:rsidR="007C0785" w:rsidP="000849D5" w:rsidRDefault="007C0785" w14:paraId="3ABDC42B" w14:textId="77777777">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rsidRPr="007D04B2" w:rsidR="007C0785" w:rsidP="000849D5" w:rsidRDefault="007C0785" w14:paraId="1D1B7BF1" w14:textId="77777777">
    <w:pPr>
      <w:pStyle w:val="Piedepgina"/>
    </w:pPr>
  </w:p>
  <w:p w:rsidRPr="000849D5" w:rsidR="007C0785" w:rsidP="000849D5" w:rsidRDefault="007C0785" w14:paraId="426E899E" w14:textId="77777777">
    <w:pPr>
      <w:pStyle w:val="Piedepgina"/>
    </w:pPr>
  </w:p>
  <w:p w:rsidR="00792062" w:rsidRDefault="00792062" w14:paraId="56984F7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33AB" w:rsidP="00661953" w:rsidRDefault="009733AB" w14:paraId="6F1CB99E" w14:textId="77777777">
      <w:pPr>
        <w:spacing w:after="0" w:line="240" w:lineRule="auto"/>
      </w:pPr>
      <w:r>
        <w:separator/>
      </w:r>
    </w:p>
  </w:footnote>
  <w:footnote w:type="continuationSeparator" w:id="0">
    <w:p w:rsidR="009733AB" w:rsidP="00661953" w:rsidRDefault="009733AB" w14:paraId="62527F2C" w14:textId="77777777">
      <w:pPr>
        <w:spacing w:after="0" w:line="240" w:lineRule="auto"/>
      </w:pPr>
      <w:r>
        <w:continuationSeparator/>
      </w:r>
    </w:p>
  </w:footnote>
  <w:footnote w:id="1">
    <w:p w:rsidRPr="00D41B43" w:rsidR="002C1DE9" w:rsidP="002C1DE9" w:rsidRDefault="002C1DE9" w14:paraId="7DD42970" w14:textId="77777777">
      <w:pPr>
        <w:pStyle w:val="Textonotapie"/>
        <w:ind w:firstLine="709"/>
        <w:jc w:val="both"/>
        <w:rPr>
          <w:rFonts w:ascii="Arial" w:hAnsi="Arial" w:cs="Arial"/>
          <w:sz w:val="18"/>
          <w:szCs w:val="18"/>
        </w:rPr>
      </w:pPr>
      <w:r w:rsidRPr="00D41B43">
        <w:rPr>
          <w:rStyle w:val="Refdenotaalpie"/>
          <w:rFonts w:ascii="Arial" w:hAnsi="Arial" w:cs="Arial"/>
          <w:color w:val="000000" w:themeColor="text1"/>
          <w:sz w:val="18"/>
          <w:szCs w:val="18"/>
        </w:rPr>
        <w:footnoteRef/>
      </w:r>
      <w:r w:rsidRPr="00D41B43">
        <w:rPr>
          <w:rFonts w:ascii="Arial" w:hAnsi="Arial" w:cs="Arial"/>
          <w:sz w:val="18"/>
          <w:szCs w:val="18"/>
        </w:rPr>
        <w:t xml:space="preserve"> ARTÍCULO 64. OBJETIVOS DEL CONTROL SOCIAL. Son objetivos del control social de la gestión pública y sus resultados:</w:t>
      </w:r>
    </w:p>
    <w:p w:rsidRPr="00D41B43" w:rsidR="002C1DE9" w:rsidP="002C1DE9" w:rsidRDefault="002C1DE9" w14:paraId="4F46B801" w14:textId="77777777">
      <w:pPr>
        <w:pStyle w:val="Textonotapie"/>
        <w:jc w:val="both"/>
        <w:rPr>
          <w:rFonts w:ascii="Arial" w:hAnsi="Arial" w:cs="Arial"/>
          <w:sz w:val="18"/>
          <w:szCs w:val="18"/>
        </w:rPr>
      </w:pPr>
      <w:r w:rsidRPr="00D41B43">
        <w:rPr>
          <w:rFonts w:ascii="Arial" w:hAnsi="Arial" w:cs="Arial"/>
          <w:sz w:val="18"/>
          <w:szCs w:val="18"/>
        </w:rPr>
        <w:t>a). Fortalecer la cultura de lo público en el ciudadano;</w:t>
      </w:r>
    </w:p>
    <w:p w:rsidRPr="00D41B43" w:rsidR="002C1DE9" w:rsidP="002C1DE9" w:rsidRDefault="002C1DE9" w14:paraId="670DEF94" w14:textId="77777777">
      <w:pPr>
        <w:pStyle w:val="Textonotapie"/>
        <w:jc w:val="both"/>
        <w:rPr>
          <w:rFonts w:ascii="Arial" w:hAnsi="Arial" w:cs="Arial"/>
          <w:sz w:val="18"/>
          <w:szCs w:val="18"/>
        </w:rPr>
      </w:pPr>
      <w:r w:rsidRPr="00D41B43">
        <w:rPr>
          <w:rFonts w:ascii="Arial" w:hAnsi="Arial" w:cs="Arial"/>
          <w:sz w:val="18"/>
          <w:szCs w:val="18"/>
        </w:rPr>
        <w:t>b). Contribuir a mejorar la gestión pública desde el punto de vista de su eficiencia, su eficacia y su transparencia;</w:t>
      </w:r>
    </w:p>
    <w:p w:rsidRPr="00D41B43" w:rsidR="002C1DE9" w:rsidP="002C1DE9" w:rsidRDefault="002C1DE9" w14:paraId="1CACEC37" w14:textId="77777777">
      <w:pPr>
        <w:pStyle w:val="Textonotapie"/>
        <w:jc w:val="both"/>
        <w:rPr>
          <w:rFonts w:ascii="Arial" w:hAnsi="Arial" w:cs="Arial"/>
          <w:sz w:val="18"/>
          <w:szCs w:val="18"/>
        </w:rPr>
      </w:pPr>
      <w:r w:rsidRPr="00D41B43">
        <w:rPr>
          <w:rFonts w:ascii="Arial" w:hAnsi="Arial" w:cs="Arial"/>
          <w:sz w:val="18"/>
          <w:szCs w:val="18"/>
        </w:rPr>
        <w:t>c). Prevenir los riesgos y los hechos de corrupción en la gestión pública, en particular los relacionados con el manejo de los recursos públicos;</w:t>
      </w:r>
    </w:p>
    <w:p w:rsidRPr="00D41B43" w:rsidR="002C1DE9" w:rsidP="002C1DE9" w:rsidRDefault="002C1DE9" w14:paraId="30EEBF97" w14:textId="77777777">
      <w:pPr>
        <w:pStyle w:val="Textonotapie"/>
        <w:jc w:val="both"/>
        <w:rPr>
          <w:rFonts w:ascii="Arial" w:hAnsi="Arial" w:cs="Arial"/>
          <w:sz w:val="18"/>
          <w:szCs w:val="18"/>
        </w:rPr>
      </w:pPr>
      <w:r w:rsidRPr="00D41B43">
        <w:rPr>
          <w:rFonts w:ascii="Arial" w:hAnsi="Arial" w:cs="Arial"/>
          <w:sz w:val="18"/>
          <w:szCs w:val="18"/>
        </w:rPr>
        <w:t>d). Fortalecer la participación ciudadana para que esta contribuya a que las autoridades hagan un manejo transparente y eficiente de los asuntos públicos;</w:t>
      </w:r>
    </w:p>
    <w:p w:rsidRPr="00D41B43" w:rsidR="002C1DE9" w:rsidP="002C1DE9" w:rsidRDefault="002C1DE9" w14:paraId="5238D3E1" w14:textId="77777777">
      <w:pPr>
        <w:pStyle w:val="Textonotapie"/>
        <w:jc w:val="both"/>
        <w:rPr>
          <w:rFonts w:ascii="Arial" w:hAnsi="Arial" w:cs="Arial"/>
          <w:sz w:val="18"/>
          <w:szCs w:val="18"/>
        </w:rPr>
      </w:pPr>
      <w:r w:rsidRPr="00D41B43">
        <w:rPr>
          <w:rFonts w:ascii="Arial" w:hAnsi="Arial" w:cs="Arial"/>
          <w:sz w:val="18"/>
          <w:szCs w:val="18"/>
        </w:rPr>
        <w:t>e). Apoyar y complementar la labor de los organismos de control en la realización de sus funciones legales y constitucionales;</w:t>
      </w:r>
    </w:p>
    <w:p w:rsidRPr="00D41B43" w:rsidR="002C1DE9" w:rsidP="002C1DE9" w:rsidRDefault="002C1DE9" w14:paraId="69253847" w14:textId="77777777">
      <w:pPr>
        <w:pStyle w:val="Textonotapie"/>
        <w:jc w:val="both"/>
        <w:rPr>
          <w:rFonts w:ascii="Arial" w:hAnsi="Arial" w:cs="Arial"/>
          <w:sz w:val="18"/>
          <w:szCs w:val="18"/>
        </w:rPr>
      </w:pPr>
      <w:r w:rsidRPr="00D41B43">
        <w:rPr>
          <w:rFonts w:ascii="Arial" w:hAnsi="Arial" w:cs="Arial"/>
          <w:sz w:val="18"/>
          <w:szCs w:val="18"/>
        </w:rPr>
        <w:t>f). Propender por el cumplimiento de los principios constitucionales que rigen la función pública;</w:t>
      </w:r>
    </w:p>
    <w:p w:rsidRPr="00D41B43" w:rsidR="002C1DE9" w:rsidP="002C1DE9" w:rsidRDefault="002C1DE9" w14:paraId="53ECD7F4" w14:textId="77777777">
      <w:pPr>
        <w:pStyle w:val="Textonotapie"/>
        <w:jc w:val="both"/>
        <w:rPr>
          <w:rFonts w:ascii="Arial" w:hAnsi="Arial" w:cs="Arial"/>
          <w:sz w:val="18"/>
          <w:szCs w:val="18"/>
        </w:rPr>
      </w:pPr>
      <w:r w:rsidRPr="00D41B43">
        <w:rPr>
          <w:rFonts w:ascii="Arial" w:hAnsi="Arial" w:cs="Arial"/>
          <w:sz w:val="18"/>
          <w:szCs w:val="18"/>
        </w:rPr>
        <w:t>g). Promover el liderazgo y la participación con miras a democratizar la gestión pública;</w:t>
      </w:r>
    </w:p>
    <w:p w:rsidRPr="00D41B43" w:rsidR="002C1DE9" w:rsidP="002C1DE9" w:rsidRDefault="002C1DE9" w14:paraId="40259584" w14:textId="77777777">
      <w:pPr>
        <w:pStyle w:val="Textonotapie"/>
        <w:jc w:val="both"/>
        <w:rPr>
          <w:rFonts w:ascii="Arial" w:hAnsi="Arial" w:cs="Arial"/>
          <w:sz w:val="18"/>
          <w:szCs w:val="18"/>
        </w:rPr>
      </w:pPr>
      <w:r w:rsidRPr="00D41B43">
        <w:rPr>
          <w:rFonts w:ascii="Arial" w:hAnsi="Arial" w:cs="Arial"/>
          <w:sz w:val="18"/>
          <w:szCs w:val="18"/>
        </w:rPr>
        <w:t>h). Poner en evidencia las fallas en la gestión pública por parte de agentes estatales y no estatales, y formular propuestas para mejorarla;</w:t>
      </w:r>
    </w:p>
    <w:p w:rsidRPr="00D41B43" w:rsidR="002C1DE9" w:rsidP="002C1DE9" w:rsidRDefault="002C1DE9" w14:paraId="7CE5B5AD" w14:textId="77777777">
      <w:pPr>
        <w:pStyle w:val="Textonotapie"/>
        <w:jc w:val="both"/>
        <w:rPr>
          <w:rStyle w:val="Refdenotaalpie"/>
          <w:rFonts w:ascii="Arial" w:hAnsi="Arial" w:cs="Arial"/>
          <w:sz w:val="18"/>
          <w:szCs w:val="18"/>
        </w:rPr>
      </w:pPr>
      <w:r w:rsidRPr="00D41B43">
        <w:rPr>
          <w:rFonts w:ascii="Arial" w:hAnsi="Arial" w:cs="Arial"/>
          <w:sz w:val="18"/>
          <w:szCs w:val="18"/>
        </w:rPr>
        <w:t>i). Contribuir a la garantía y al restablecimiento de los derechos sociales, económicos y culturales.</w:t>
      </w:r>
    </w:p>
  </w:footnote>
  <w:footnote w:id="2">
    <w:p w:rsidRPr="00D41B43" w:rsidR="002C1DE9" w:rsidP="002C1DE9" w:rsidRDefault="002C1DE9" w14:paraId="1377AE0E" w14:textId="77777777">
      <w:pPr>
        <w:pStyle w:val="Textonotapie"/>
        <w:ind w:firstLine="708"/>
        <w:jc w:val="both"/>
        <w:rPr>
          <w:rFonts w:ascii="Arial" w:hAnsi="Arial" w:cs="Arial"/>
          <w:sz w:val="18"/>
          <w:szCs w:val="18"/>
          <w:lang w:val="es-CO"/>
        </w:rPr>
      </w:pPr>
      <w:r w:rsidRPr="00D41B43">
        <w:rPr>
          <w:rStyle w:val="Refdenotaalpie"/>
          <w:rFonts w:ascii="Arial" w:hAnsi="Arial" w:cs="Arial"/>
          <w:color w:val="000000" w:themeColor="text1"/>
          <w:sz w:val="18"/>
          <w:szCs w:val="18"/>
        </w:rPr>
        <w:footnoteRef/>
      </w:r>
      <w:r w:rsidRPr="00D41B43">
        <w:rPr>
          <w:rStyle w:val="Refdenotaalpie"/>
          <w:rFonts w:ascii="Arial" w:hAnsi="Arial" w:cs="Arial"/>
          <w:color w:val="000000" w:themeColor="text1"/>
          <w:sz w:val="18"/>
          <w:szCs w:val="18"/>
        </w:rPr>
        <w:t xml:space="preserve"> </w:t>
      </w:r>
      <w:r w:rsidRPr="00D41B43">
        <w:rPr>
          <w:rFonts w:ascii="Arial" w:hAnsi="Arial" w:cs="Arial"/>
          <w:sz w:val="18"/>
          <w:szCs w:val="18"/>
        </w:rPr>
        <w:t>GUZMÁN SANTOS, José Camilo. Control social a la compra y la contratación pública. Fase de focalización. Módulo III. Contraloría General de la República, 2018, 45.</w:t>
      </w:r>
      <w:r w:rsidRPr="00D41B43">
        <w:rPr>
          <w:rFonts w:ascii="Arial" w:hAnsi="Arial" w:cs="Arial"/>
          <w:sz w:val="18"/>
          <w:szCs w:val="18"/>
          <w:lang w:val="es-CO"/>
        </w:rPr>
        <w:t xml:space="preserve"> </w:t>
      </w:r>
    </w:p>
  </w:footnote>
  <w:footnote w:id="3">
    <w:p w:rsidRPr="00930C5D" w:rsidR="002C1DE9" w:rsidP="002C1DE9" w:rsidRDefault="002C1DE9" w14:paraId="715CFA77" w14:textId="77777777">
      <w:pPr>
        <w:pStyle w:val="Textonotapie"/>
        <w:ind w:firstLine="709"/>
        <w:jc w:val="both"/>
        <w:rPr>
          <w:rFonts w:ascii="Arial" w:hAnsi="Arial" w:cs="Arial"/>
          <w:sz w:val="19"/>
          <w:szCs w:val="19"/>
        </w:rPr>
      </w:pPr>
      <w:r w:rsidRPr="00C36F5B">
        <w:rPr>
          <w:rStyle w:val="Refdenotaalpie"/>
          <w:rFonts w:ascii="Arial" w:hAnsi="Arial" w:cs="Arial"/>
          <w:color w:val="000000" w:themeColor="text1"/>
          <w:sz w:val="19"/>
          <w:szCs w:val="19"/>
        </w:rPr>
        <w:footnoteRef/>
      </w:r>
      <w:r w:rsidRPr="00C36F5B">
        <w:rPr>
          <w:rStyle w:val="Refdenotaalpie"/>
          <w:rFonts w:ascii="Arial" w:hAnsi="Arial" w:cs="Arial"/>
          <w:color w:val="000000" w:themeColor="text1"/>
          <w:sz w:val="19"/>
          <w:szCs w:val="19"/>
        </w:rPr>
        <w:t xml:space="preserve"> </w:t>
      </w:r>
      <w:r w:rsidRPr="00930C5D">
        <w:rPr>
          <w:rFonts w:ascii="Arial" w:hAnsi="Arial" w:cs="Arial"/>
          <w:sz w:val="19"/>
          <w:szCs w:val="19"/>
        </w:rPr>
        <w:t>Ley 80 de 1993. ARTÍCULO 25. DEL PRINCIPIO DE ECONOMÍA. En virtud de este principio: […]</w:t>
      </w:r>
    </w:p>
    <w:p w:rsidRPr="00930C5D" w:rsidR="002C1DE9" w:rsidP="002C1DE9" w:rsidRDefault="002C1DE9" w14:paraId="1701ADF4" w14:textId="77777777">
      <w:pPr>
        <w:pStyle w:val="Textonotapie"/>
        <w:jc w:val="both"/>
        <w:rPr>
          <w:rFonts w:ascii="Arial" w:hAnsi="Arial" w:cs="Arial"/>
          <w:sz w:val="19"/>
          <w:szCs w:val="19"/>
          <w:lang w:val="es-CO"/>
        </w:rPr>
      </w:pPr>
      <w:r w:rsidRPr="00930C5D">
        <w:rPr>
          <w:rFonts w:ascii="Arial" w:hAnsi="Arial" w:cs="Arial"/>
          <w:sz w:val="19"/>
          <w:szCs w:val="19"/>
        </w:rPr>
        <w:t>2o.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C0785" w:rsidP="00515FB5" w:rsidRDefault="007C0785" w14:paraId="61E94853" w14:textId="77777777">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5E8A2F60" wp14:editId="76484DB0">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ED954A5" wp14:editId="0291139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C0785" w:rsidP="00515FB5" w:rsidRDefault="007C0785" w14:paraId="4D8895F5" w14:textId="77777777">
    <w:pPr>
      <w:pStyle w:val="Encabezado"/>
    </w:pPr>
  </w:p>
  <w:p w:rsidR="007C0785" w:rsidP="00515FB5" w:rsidRDefault="007C0785" w14:paraId="0BEDB0DF" w14:textId="77777777">
    <w:pPr>
      <w:pStyle w:val="Encabezado"/>
    </w:pPr>
  </w:p>
  <w:p w:rsidRPr="00515FB5" w:rsidR="007C0785" w:rsidP="00515FB5" w:rsidRDefault="007C0785" w14:paraId="4EEA622F" w14:textId="77777777">
    <w:pPr>
      <w:pStyle w:val="Encabezado"/>
    </w:pPr>
  </w:p>
  <w:p w:rsidR="00792062" w:rsidRDefault="00792062" w14:paraId="38BD803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97844CD"/>
    <w:multiLevelType w:val="hybridMultilevel"/>
    <w:tmpl w:val="B37AC90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23095A13"/>
    <w:multiLevelType w:val="hybridMultilevel"/>
    <w:tmpl w:val="F672F81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2DEF6503"/>
    <w:multiLevelType w:val="hybridMultilevel"/>
    <w:tmpl w:val="5F60792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5"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6" w15:restartNumberingAfterBreak="0">
    <w:nsid w:val="41D417DC"/>
    <w:multiLevelType w:val="hybridMultilevel"/>
    <w:tmpl w:val="62721808"/>
    <w:lvl w:ilvl="0" w:tplc="5574B2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394C6E"/>
    <w:multiLevelType w:val="hybridMultilevel"/>
    <w:tmpl w:val="C3A29C10"/>
    <w:lvl w:ilvl="0" w:tplc="240A0001">
      <w:start w:val="1"/>
      <w:numFmt w:val="bullet"/>
      <w:lvlText w:val=""/>
      <w:lvlJc w:val="left"/>
      <w:pPr>
        <w:ind w:left="922" w:hanging="360"/>
      </w:pPr>
      <w:rPr>
        <w:rFonts w:hint="default" w:ascii="Symbol" w:hAnsi="Symbol"/>
      </w:rPr>
    </w:lvl>
    <w:lvl w:ilvl="1" w:tplc="240A0003" w:tentative="1">
      <w:start w:val="1"/>
      <w:numFmt w:val="bullet"/>
      <w:lvlText w:val="o"/>
      <w:lvlJc w:val="left"/>
      <w:pPr>
        <w:ind w:left="1642" w:hanging="360"/>
      </w:pPr>
      <w:rPr>
        <w:rFonts w:hint="default" w:ascii="Courier New" w:hAnsi="Courier New" w:cs="Courier New"/>
      </w:rPr>
    </w:lvl>
    <w:lvl w:ilvl="2" w:tplc="240A0005" w:tentative="1">
      <w:start w:val="1"/>
      <w:numFmt w:val="bullet"/>
      <w:lvlText w:val=""/>
      <w:lvlJc w:val="left"/>
      <w:pPr>
        <w:ind w:left="2362" w:hanging="360"/>
      </w:pPr>
      <w:rPr>
        <w:rFonts w:hint="default" w:ascii="Wingdings" w:hAnsi="Wingdings"/>
      </w:rPr>
    </w:lvl>
    <w:lvl w:ilvl="3" w:tplc="240A0001" w:tentative="1">
      <w:start w:val="1"/>
      <w:numFmt w:val="bullet"/>
      <w:lvlText w:val=""/>
      <w:lvlJc w:val="left"/>
      <w:pPr>
        <w:ind w:left="3082" w:hanging="360"/>
      </w:pPr>
      <w:rPr>
        <w:rFonts w:hint="default" w:ascii="Symbol" w:hAnsi="Symbol"/>
      </w:rPr>
    </w:lvl>
    <w:lvl w:ilvl="4" w:tplc="240A0003" w:tentative="1">
      <w:start w:val="1"/>
      <w:numFmt w:val="bullet"/>
      <w:lvlText w:val="o"/>
      <w:lvlJc w:val="left"/>
      <w:pPr>
        <w:ind w:left="3802" w:hanging="360"/>
      </w:pPr>
      <w:rPr>
        <w:rFonts w:hint="default" w:ascii="Courier New" w:hAnsi="Courier New" w:cs="Courier New"/>
      </w:rPr>
    </w:lvl>
    <w:lvl w:ilvl="5" w:tplc="240A0005" w:tentative="1">
      <w:start w:val="1"/>
      <w:numFmt w:val="bullet"/>
      <w:lvlText w:val=""/>
      <w:lvlJc w:val="left"/>
      <w:pPr>
        <w:ind w:left="4522" w:hanging="360"/>
      </w:pPr>
      <w:rPr>
        <w:rFonts w:hint="default" w:ascii="Wingdings" w:hAnsi="Wingdings"/>
      </w:rPr>
    </w:lvl>
    <w:lvl w:ilvl="6" w:tplc="240A0001" w:tentative="1">
      <w:start w:val="1"/>
      <w:numFmt w:val="bullet"/>
      <w:lvlText w:val=""/>
      <w:lvlJc w:val="left"/>
      <w:pPr>
        <w:ind w:left="5242" w:hanging="360"/>
      </w:pPr>
      <w:rPr>
        <w:rFonts w:hint="default" w:ascii="Symbol" w:hAnsi="Symbol"/>
      </w:rPr>
    </w:lvl>
    <w:lvl w:ilvl="7" w:tplc="240A0003" w:tentative="1">
      <w:start w:val="1"/>
      <w:numFmt w:val="bullet"/>
      <w:lvlText w:val="o"/>
      <w:lvlJc w:val="left"/>
      <w:pPr>
        <w:ind w:left="5962" w:hanging="360"/>
      </w:pPr>
      <w:rPr>
        <w:rFonts w:hint="default" w:ascii="Courier New" w:hAnsi="Courier New" w:cs="Courier New"/>
      </w:rPr>
    </w:lvl>
    <w:lvl w:ilvl="8" w:tplc="240A0005" w:tentative="1">
      <w:start w:val="1"/>
      <w:numFmt w:val="bullet"/>
      <w:lvlText w:val=""/>
      <w:lvlJc w:val="left"/>
      <w:pPr>
        <w:ind w:left="6682" w:hanging="360"/>
      </w:pPr>
      <w:rPr>
        <w:rFonts w:hint="default" w:ascii="Wingdings" w:hAnsi="Wingdings"/>
      </w:rPr>
    </w:lvl>
  </w:abstractNum>
  <w:abstractNum w:abstractNumId="8" w15:restartNumberingAfterBreak="0">
    <w:nsid w:val="6F1E2FB1"/>
    <w:multiLevelType w:val="hybridMultilevel"/>
    <w:tmpl w:val="C7E414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730A0461"/>
    <w:multiLevelType w:val="hybridMultilevel"/>
    <w:tmpl w:val="AF68B9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341274352">
    <w:abstractNumId w:val="0"/>
  </w:num>
  <w:num w:numId="2" w16cid:durableId="1492209491">
    <w:abstractNumId w:val="4"/>
  </w:num>
  <w:num w:numId="3" w16cid:durableId="679089576">
    <w:abstractNumId w:val="5"/>
  </w:num>
  <w:num w:numId="4" w16cid:durableId="1250188551">
    <w:abstractNumId w:val="6"/>
  </w:num>
  <w:num w:numId="5" w16cid:durableId="2014523607">
    <w:abstractNumId w:val="7"/>
  </w:num>
  <w:num w:numId="6" w16cid:durableId="1419987049">
    <w:abstractNumId w:val="1"/>
  </w:num>
  <w:num w:numId="7" w16cid:durableId="2016419000">
    <w:abstractNumId w:val="9"/>
  </w:num>
  <w:num w:numId="8" w16cid:durableId="914709207">
    <w:abstractNumId w:val="3"/>
  </w:num>
  <w:num w:numId="9" w16cid:durableId="655719064">
    <w:abstractNumId w:val="8"/>
  </w:num>
  <w:num w:numId="10" w16cid:durableId="610405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53"/>
    <w:rsid w:val="000B3A0C"/>
    <w:rsid w:val="000B7ECC"/>
    <w:rsid w:val="000F155D"/>
    <w:rsid w:val="000F5A42"/>
    <w:rsid w:val="00165D13"/>
    <w:rsid w:val="00197955"/>
    <w:rsid w:val="001C50D9"/>
    <w:rsid w:val="00231E9D"/>
    <w:rsid w:val="002410DF"/>
    <w:rsid w:val="00272D47"/>
    <w:rsid w:val="002A4195"/>
    <w:rsid w:val="002A43F3"/>
    <w:rsid w:val="002C1DE9"/>
    <w:rsid w:val="002E02A8"/>
    <w:rsid w:val="002E0F04"/>
    <w:rsid w:val="003234E0"/>
    <w:rsid w:val="00333D23"/>
    <w:rsid w:val="00333F80"/>
    <w:rsid w:val="0034225D"/>
    <w:rsid w:val="003E6924"/>
    <w:rsid w:val="004248A8"/>
    <w:rsid w:val="0045512B"/>
    <w:rsid w:val="00456BB7"/>
    <w:rsid w:val="00467A72"/>
    <w:rsid w:val="00511022"/>
    <w:rsid w:val="00520FF1"/>
    <w:rsid w:val="0052272C"/>
    <w:rsid w:val="0056467C"/>
    <w:rsid w:val="00580396"/>
    <w:rsid w:val="00590567"/>
    <w:rsid w:val="0059065C"/>
    <w:rsid w:val="005A048C"/>
    <w:rsid w:val="005A51A8"/>
    <w:rsid w:val="005B4C2B"/>
    <w:rsid w:val="005D18A0"/>
    <w:rsid w:val="005E079A"/>
    <w:rsid w:val="00660429"/>
    <w:rsid w:val="00661953"/>
    <w:rsid w:val="00677F9A"/>
    <w:rsid w:val="006B331D"/>
    <w:rsid w:val="006C01AC"/>
    <w:rsid w:val="006F5018"/>
    <w:rsid w:val="007257E2"/>
    <w:rsid w:val="00792062"/>
    <w:rsid w:val="007A159C"/>
    <w:rsid w:val="007A49AF"/>
    <w:rsid w:val="007C0785"/>
    <w:rsid w:val="00850396"/>
    <w:rsid w:val="00853900"/>
    <w:rsid w:val="008C1785"/>
    <w:rsid w:val="009733AB"/>
    <w:rsid w:val="00994B5E"/>
    <w:rsid w:val="009A16DE"/>
    <w:rsid w:val="009C5DDB"/>
    <w:rsid w:val="009D513D"/>
    <w:rsid w:val="00A12218"/>
    <w:rsid w:val="00A224D0"/>
    <w:rsid w:val="00A8329D"/>
    <w:rsid w:val="00A90678"/>
    <w:rsid w:val="00AB3348"/>
    <w:rsid w:val="00B1115F"/>
    <w:rsid w:val="00B278F6"/>
    <w:rsid w:val="00B80563"/>
    <w:rsid w:val="00BC0A5B"/>
    <w:rsid w:val="00BD4274"/>
    <w:rsid w:val="00BD51D3"/>
    <w:rsid w:val="00BF1201"/>
    <w:rsid w:val="00C5324D"/>
    <w:rsid w:val="00C55B3B"/>
    <w:rsid w:val="00C775D1"/>
    <w:rsid w:val="00D74FB2"/>
    <w:rsid w:val="00DB0612"/>
    <w:rsid w:val="00E32ED8"/>
    <w:rsid w:val="00E35D69"/>
    <w:rsid w:val="00EE510A"/>
    <w:rsid w:val="00F13E28"/>
    <w:rsid w:val="09BFEB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C5C0"/>
  <w15:chartTrackingRefBased/>
  <w15:docId w15:val="{D8983247-5008-46E0-B6DF-04A0B153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1953"/>
    <w:rPr>
      <w:kern w:val="0"/>
      <w14:ligatures w14:val="none"/>
    </w:rPr>
  </w:style>
  <w:style w:type="paragraph" w:styleId="Ttulo1">
    <w:name w:val="heading 1"/>
    <w:basedOn w:val="Normal"/>
    <w:next w:val="Normal"/>
    <w:link w:val="Ttulo1Car"/>
    <w:uiPriority w:val="9"/>
    <w:qFormat/>
    <w:rsid w:val="0066195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6195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619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619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19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19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19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19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1953"/>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661953"/>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661953"/>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661953"/>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661953"/>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661953"/>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661953"/>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661953"/>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661953"/>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661953"/>
    <w:rPr>
      <w:rFonts w:eastAsiaTheme="majorEastAsia" w:cstheme="majorBidi"/>
      <w:color w:val="272727" w:themeColor="text1" w:themeTint="D8"/>
    </w:rPr>
  </w:style>
  <w:style w:type="paragraph" w:styleId="Ttulo">
    <w:name w:val="Title"/>
    <w:basedOn w:val="Normal"/>
    <w:next w:val="Normal"/>
    <w:link w:val="TtuloCar"/>
    <w:uiPriority w:val="10"/>
    <w:qFormat/>
    <w:rsid w:val="00661953"/>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661953"/>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661953"/>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6619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1953"/>
    <w:pPr>
      <w:spacing w:before="160"/>
      <w:jc w:val="center"/>
    </w:pPr>
    <w:rPr>
      <w:i/>
      <w:iCs/>
      <w:color w:val="404040" w:themeColor="text1" w:themeTint="BF"/>
    </w:rPr>
  </w:style>
  <w:style w:type="character" w:styleId="CitaCar" w:customStyle="1">
    <w:name w:val="Cita Car"/>
    <w:basedOn w:val="Fuentedeprrafopredeter"/>
    <w:link w:val="Cita"/>
    <w:uiPriority w:val="29"/>
    <w:rsid w:val="00661953"/>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661953"/>
    <w:pPr>
      <w:ind w:left="720"/>
      <w:contextualSpacing/>
    </w:pPr>
  </w:style>
  <w:style w:type="character" w:styleId="nfasisintenso">
    <w:name w:val="Intense Emphasis"/>
    <w:basedOn w:val="Fuentedeprrafopredeter"/>
    <w:uiPriority w:val="21"/>
    <w:qFormat/>
    <w:rsid w:val="00661953"/>
    <w:rPr>
      <w:i/>
      <w:iCs/>
      <w:color w:val="0F4761" w:themeColor="accent1" w:themeShade="BF"/>
    </w:rPr>
  </w:style>
  <w:style w:type="paragraph" w:styleId="Citadestacada">
    <w:name w:val="Intense Quote"/>
    <w:basedOn w:val="Normal"/>
    <w:next w:val="Normal"/>
    <w:link w:val="CitadestacadaCar"/>
    <w:uiPriority w:val="30"/>
    <w:qFormat/>
    <w:rsid w:val="0066195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661953"/>
    <w:rPr>
      <w:i/>
      <w:iCs/>
      <w:color w:val="0F4761" w:themeColor="accent1" w:themeShade="BF"/>
    </w:rPr>
  </w:style>
  <w:style w:type="character" w:styleId="Referenciaintensa">
    <w:name w:val="Intense Reference"/>
    <w:basedOn w:val="Fuentedeprrafopredeter"/>
    <w:uiPriority w:val="32"/>
    <w:qFormat/>
    <w:rsid w:val="00661953"/>
    <w:rPr>
      <w:b/>
      <w:bCs/>
      <w:smallCaps/>
      <w:color w:val="0F4761" w:themeColor="accent1" w:themeShade="BF"/>
      <w:spacing w:val="5"/>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6195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61953"/>
    <w:pPr>
      <w:spacing w:after="0" w:line="240" w:lineRule="auto"/>
    </w:pPr>
    <w:rPr>
      <w:kern w:val="2"/>
      <w:sz w:val="20"/>
      <w:szCs w:val="20"/>
      <w:lang w:val="es-MX"/>
      <w14:ligatures w14:val="standardContextual"/>
    </w:rPr>
  </w:style>
  <w:style w:type="character" w:styleId="TextonotapieCar1" w:customStyle="1">
    <w:name w:val="Texto nota pie Car1"/>
    <w:basedOn w:val="Fuentedeprrafopredeter"/>
    <w:uiPriority w:val="99"/>
    <w:semiHidden/>
    <w:rsid w:val="00661953"/>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61953"/>
    <w:rPr>
      <w:vertAlign w:val="superscript"/>
    </w:rPr>
  </w:style>
  <w:style w:type="paragraph" w:styleId="Appelnotedebasde" w:customStyle="1">
    <w:name w:val="Appel note de bas de..."/>
    <w:basedOn w:val="Normal"/>
    <w:link w:val="Refdenotaalpie"/>
    <w:uiPriority w:val="99"/>
    <w:rsid w:val="00661953"/>
    <w:pPr>
      <w:spacing w:line="240" w:lineRule="exact"/>
    </w:pPr>
    <w:rPr>
      <w:kern w:val="2"/>
      <w:vertAlign w:val="superscript"/>
      <w14:ligatures w14:val="standardContextual"/>
    </w:rPr>
  </w:style>
  <w:style w:type="paragraph" w:styleId="Encabezado">
    <w:name w:val="header"/>
    <w:basedOn w:val="Normal"/>
    <w:link w:val="EncabezadoCar"/>
    <w:uiPriority w:val="99"/>
    <w:unhideWhenUsed/>
    <w:rsid w:val="0066195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661953"/>
    <w:rPr>
      <w:kern w:val="0"/>
      <w14:ligatures w14:val="none"/>
    </w:rPr>
  </w:style>
  <w:style w:type="paragraph" w:styleId="Piedepgina">
    <w:name w:val="footer"/>
    <w:basedOn w:val="Normal"/>
    <w:link w:val="PiedepginaCar"/>
    <w:uiPriority w:val="99"/>
    <w:unhideWhenUsed/>
    <w:rsid w:val="0066195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61953"/>
    <w:rPr>
      <w:kern w:val="0"/>
      <w14:ligatures w14:val="none"/>
    </w:rPr>
  </w:style>
  <w:style w:type="table" w:styleId="Tablaconcuadrcula">
    <w:name w:val="Table Grid"/>
    <w:basedOn w:val="Tablanormal"/>
    <w:uiPriority w:val="39"/>
    <w:qFormat/>
    <w:rsid w:val="00661953"/>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661953"/>
    <w:rPr>
      <w:color w:val="467886" w:themeColor="hyperlink"/>
      <w:u w:val="single"/>
    </w:rPr>
  </w:style>
  <w:style w:type="character" w:styleId="Refdecomentario">
    <w:name w:val="annotation reference"/>
    <w:basedOn w:val="Fuentedeprrafopredeter"/>
    <w:uiPriority w:val="99"/>
    <w:semiHidden/>
    <w:unhideWhenUsed/>
    <w:rsid w:val="00661953"/>
    <w:rPr>
      <w:sz w:val="16"/>
      <w:szCs w:val="16"/>
    </w:rPr>
  </w:style>
  <w:style w:type="paragraph" w:styleId="Textocomentario">
    <w:name w:val="annotation text"/>
    <w:basedOn w:val="Normal"/>
    <w:link w:val="TextocomentarioCar"/>
    <w:uiPriority w:val="99"/>
    <w:unhideWhenUsed/>
    <w:rsid w:val="00661953"/>
    <w:pPr>
      <w:spacing w:line="240" w:lineRule="auto"/>
    </w:pPr>
    <w:rPr>
      <w:sz w:val="20"/>
      <w:szCs w:val="20"/>
    </w:rPr>
  </w:style>
  <w:style w:type="character" w:styleId="TextocomentarioCar" w:customStyle="1">
    <w:name w:val="Texto comentario Car"/>
    <w:basedOn w:val="Fuentedeprrafopredeter"/>
    <w:link w:val="Textocomentario"/>
    <w:uiPriority w:val="99"/>
    <w:rsid w:val="00661953"/>
    <w:rPr>
      <w:kern w:val="0"/>
      <w:sz w:val="20"/>
      <w:szCs w:val="20"/>
      <w14:ligatures w14:val="none"/>
    </w:rPr>
  </w:style>
  <w:style w:type="character" w:styleId="normaltextrun" w:customStyle="1">
    <w:name w:val="normaltextrun"/>
    <w:basedOn w:val="Fuentedeprrafopredeter"/>
    <w:rsid w:val="00661953"/>
  </w:style>
  <w:style w:type="character" w:styleId="eop" w:customStyle="1">
    <w:name w:val="eop"/>
    <w:basedOn w:val="Fuentedeprrafopredeter"/>
    <w:rsid w:val="00661953"/>
  </w:style>
  <w:style w:type="paragraph" w:styleId="paragraph" w:customStyle="1">
    <w:name w:val="paragraph"/>
    <w:basedOn w:val="Normal"/>
    <w:rsid w:val="00661953"/>
    <w:pPr>
      <w:spacing w:before="100" w:beforeAutospacing="1" w:after="100" w:afterAutospacing="1" w:line="240" w:lineRule="auto"/>
    </w:pPr>
    <w:rPr>
      <w:rFonts w:ascii="Times New Roman" w:hAnsi="Times New Roman" w:eastAsia="Times New Roman" w:cs="Times New Roman"/>
      <w:sz w:val="24"/>
      <w:szCs w:val="24"/>
      <w:lang w:eastAsia="es-ES_tradnl"/>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661953"/>
  </w:style>
  <w:style w:type="character" w:styleId="Mencinsinresolver">
    <w:name w:val="Unresolved Mention"/>
    <w:basedOn w:val="Fuentedeprrafopredeter"/>
    <w:uiPriority w:val="99"/>
    <w:semiHidden/>
    <w:unhideWhenUsed/>
    <w:rsid w:val="000F155D"/>
    <w:rPr>
      <w:color w:val="605E5C"/>
      <w:shd w:val="clear" w:color="auto" w:fill="E1DFDD"/>
    </w:rPr>
  </w:style>
  <w:style w:type="paragraph" w:styleId="Textoindependiente">
    <w:name w:val="Body Text"/>
    <w:basedOn w:val="Normal"/>
    <w:link w:val="TextoindependienteCar"/>
    <w:uiPriority w:val="1"/>
    <w:qFormat/>
    <w:rsid w:val="009D513D"/>
    <w:pPr>
      <w:widowControl w:val="0"/>
      <w:autoSpaceDE w:val="0"/>
      <w:autoSpaceDN w:val="0"/>
      <w:spacing w:after="0" w:line="240" w:lineRule="auto"/>
    </w:pPr>
    <w:rPr>
      <w:rFonts w:ascii="Verdana" w:hAnsi="Verdana" w:eastAsia="Verdana" w:cs="Verdana"/>
      <w:lang w:val="es-ES"/>
    </w:rPr>
  </w:style>
  <w:style w:type="character" w:styleId="TextoindependienteCar" w:customStyle="1">
    <w:name w:val="Texto independiente Car"/>
    <w:basedOn w:val="Fuentedeprrafopredeter"/>
    <w:link w:val="Textoindependiente"/>
    <w:uiPriority w:val="1"/>
    <w:rsid w:val="009D513D"/>
    <w:rPr>
      <w:rFonts w:ascii="Verdana" w:hAnsi="Verdana" w:eastAsia="Verdana" w:cs="Verdana"/>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026807">
      <w:bodyDiv w:val="1"/>
      <w:marLeft w:val="0"/>
      <w:marRight w:val="0"/>
      <w:marTop w:val="0"/>
      <w:marBottom w:val="0"/>
      <w:divBdr>
        <w:top w:val="none" w:sz="0" w:space="0" w:color="auto"/>
        <w:left w:val="none" w:sz="0" w:space="0" w:color="auto"/>
        <w:bottom w:val="none" w:sz="0" w:space="0" w:color="auto"/>
        <w:right w:val="none" w:sz="0" w:space="0" w:color="auto"/>
      </w:divBdr>
      <w:divsChild>
        <w:div w:id="1793203728">
          <w:marLeft w:val="0"/>
          <w:marRight w:val="0"/>
          <w:marTop w:val="0"/>
          <w:marBottom w:val="160"/>
          <w:divBdr>
            <w:top w:val="none" w:sz="0" w:space="0" w:color="auto"/>
            <w:left w:val="none" w:sz="0" w:space="0" w:color="auto"/>
            <w:bottom w:val="none" w:sz="0" w:space="0" w:color="auto"/>
            <w:right w:val="none" w:sz="0" w:space="0" w:color="auto"/>
          </w:divBdr>
        </w:div>
        <w:div w:id="1368793897">
          <w:marLeft w:val="0"/>
          <w:marRight w:val="0"/>
          <w:marTop w:val="0"/>
          <w:marBottom w:val="160"/>
          <w:divBdr>
            <w:top w:val="none" w:sz="0" w:space="0" w:color="auto"/>
            <w:left w:val="none" w:sz="0" w:space="0" w:color="auto"/>
            <w:bottom w:val="none" w:sz="0" w:space="0" w:color="auto"/>
            <w:right w:val="none" w:sz="0" w:space="0" w:color="auto"/>
          </w:divBdr>
        </w:div>
        <w:div w:id="1765035981">
          <w:marLeft w:val="0"/>
          <w:marRight w:val="0"/>
          <w:marTop w:val="0"/>
          <w:marBottom w:val="160"/>
          <w:divBdr>
            <w:top w:val="none" w:sz="0" w:space="0" w:color="auto"/>
            <w:left w:val="none" w:sz="0" w:space="0" w:color="auto"/>
            <w:bottom w:val="none" w:sz="0" w:space="0" w:color="auto"/>
            <w:right w:val="none" w:sz="0" w:space="0" w:color="auto"/>
          </w:divBdr>
        </w:div>
      </w:divsChild>
    </w:div>
    <w:div w:id="1310480645">
      <w:bodyDiv w:val="1"/>
      <w:marLeft w:val="0"/>
      <w:marRight w:val="0"/>
      <w:marTop w:val="0"/>
      <w:marBottom w:val="0"/>
      <w:divBdr>
        <w:top w:val="none" w:sz="0" w:space="0" w:color="auto"/>
        <w:left w:val="none" w:sz="0" w:space="0" w:color="auto"/>
        <w:bottom w:val="none" w:sz="0" w:space="0" w:color="auto"/>
        <w:right w:val="none" w:sz="0" w:space="0" w:color="auto"/>
      </w:divBdr>
    </w:div>
    <w:div w:id="1889951287">
      <w:bodyDiv w:val="1"/>
      <w:marLeft w:val="0"/>
      <w:marRight w:val="0"/>
      <w:marTop w:val="0"/>
      <w:marBottom w:val="0"/>
      <w:divBdr>
        <w:top w:val="none" w:sz="0" w:space="0" w:color="auto"/>
        <w:left w:val="none" w:sz="0" w:space="0" w:color="auto"/>
        <w:bottom w:val="none" w:sz="0" w:space="0" w:color="auto"/>
        <w:right w:val="none" w:sz="0" w:space="0" w:color="auto"/>
      </w:divBdr>
      <w:divsChild>
        <w:div w:id="773091751">
          <w:marLeft w:val="0"/>
          <w:marRight w:val="0"/>
          <w:marTop w:val="0"/>
          <w:marBottom w:val="160"/>
          <w:divBdr>
            <w:top w:val="none" w:sz="0" w:space="0" w:color="auto"/>
            <w:left w:val="none" w:sz="0" w:space="0" w:color="auto"/>
            <w:bottom w:val="none" w:sz="0" w:space="0" w:color="auto"/>
            <w:right w:val="none" w:sz="0" w:space="0" w:color="auto"/>
          </w:divBdr>
        </w:div>
        <w:div w:id="1109928545">
          <w:marLeft w:val="0"/>
          <w:marRight w:val="0"/>
          <w:marTop w:val="0"/>
          <w:marBottom w:val="160"/>
          <w:divBdr>
            <w:top w:val="none" w:sz="0" w:space="0" w:color="auto"/>
            <w:left w:val="none" w:sz="0" w:space="0" w:color="auto"/>
            <w:bottom w:val="none" w:sz="0" w:space="0" w:color="auto"/>
            <w:right w:val="none" w:sz="0" w:space="0" w:color="auto"/>
          </w:divBdr>
        </w:div>
        <w:div w:id="181910820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nam02.safelinks.protection.outlook.com/?url=https%3A%2F%2Fwww.colombiacompra.gov.co%2Fmanuales-guias-y-pliegos-tipo%2Fmanuales-y-guias%2Fguia-para-el-manejo-de-ofertas-artificialmente-baja-0&amp;data=05%7C02%7Crichard.montenegro%40colombiacompra.gov.co%7C925ae1c2336243aecb2908dd21173dd2%7C7b09041e245149d08cb179d5e3d8c1be%7C0%7C0%7C638703105895315615%7CUnknown%7CTWFpbGZsb3d8eyJFbXB0eU1hcGkiOnRydWUsIlYiOiIwLjAuMDAwMCIsIlAiOiJXaW4zMiIsIkFOIjoiTWFpbCIsIldUIjoyfQ%3D%3D%7C0%7C%7C%7C&amp;sdata=vF8lsjGG2tf83CgOF%2F7Mvl1%2FUdwMKUw5PIX4zx7np9o%3D&amp;reserved=0"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nam02.safelinks.protection.outlook.com/?url=https%3A%2F%2Frelatoria.colombiacompra.gov.co%2F&amp;data=05%7C02%7Csantiago.herrera%40colombiacompra.gov.co%7C5aad36a736844ec87b2108dcc1fa4639%7C7b09041e245149d08cb179d5e3d8c1be%7C0%7C0%7C638598527916403321%7CUnknown%7CTWFpbGZsb3d8eyJWIjoiMC4wLjAwMDAiLCJQIjoiV2luMzIiLCJBTiI6Ik1haWwiLCJXVCI6Mn0%3D%7C0%7C%7C%7C&amp;sdata=neyw9B8a4kmrys5KzRYzkS0Ic%2B9lB44MAv0EAAX%2BfcY%3D&amp;reserved=0"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enniffermurillo18.jm@gmail.com" TargetMode="External" Id="rId11" /><Relationship Type="http://schemas.openxmlformats.org/officeDocument/2006/relationships/styles" Target="styles.xml" Id="rId5" /><Relationship Type="http://schemas.openxmlformats.org/officeDocument/2006/relationships/hyperlink" Target="https://nam02.safelinks.protection.outlook.com/?url=https%3A%2F%2Fwww.colombiacompra.gov.co%2Fsites%2Fcce_public%2Ffiles%2Ffiles_2020%2Fboletin_de_realtoria_viii.pdf&amp;data=05%7C02%7Crichard.montenegro%40colombiacompra.gov.co%7C925ae1c2336243aecb2908dd21173dd2%7C7b09041e245149d08cb179d5e3d8c1be%7C0%7C0%7C638703105895352717%7CUnknown%7CTWFpbGZsb3d8eyJFbXB0eU1hcGkiOnRydWUsIlYiOiIwLjAuMDAwMCIsIlAiOiJXaW4zMiIsIkFOIjoiTWFpbCIsIldUIjoyfQ%3D%3D%7C0%7C%7C%7C&amp;sdata=yMAHoW5ekLuHXKfsx8KpIRO5KUAfFYcB9n%2FEgT2Pyv4%3D&amp;reserved=0" TargetMode="Externa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nam02.safelinks.protection.outlook.com/?url=https%3A%2F%2Fwww.colombiacompra.gov.co%2Fmanuales-guias-y-pliegos-tipo%2Fmanuales-y-guias%2Fguia-para-incentivar-la-participacion-de-las-mujeres&amp;data=05%7C02%7Crichard.montenegro%40colombiacompra.gov.co%7C925ae1c2336243aecb2908dd21173dd2%7C7b09041e245149d08cb179d5e3d8c1be%7C0%7C0%7C638703105895336308%7CUnknown%7CTWFpbGZsb3d8eyJFbXB0eU1hcGkiOnRydWUsIlYiOiIwLjAuMDAwMCIsIlAiOiJXaW4zMiIsIkFOIjoiTWFpbCIsIldUIjoyfQ%3D%3D%7C0%7C%7C%7C&amp;sdata=CAJhSWUiqo%2FHx8JF3Lxsp6zUELeRS76MPWKp0fUaYZM%3D&amp;reserved=0"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3AB6F-FE69-4678-8AA0-44E8E6E4A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82AC0-F8FC-420B-9128-13E77AE3E378}">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5FEFAD01-1FDC-4BD7-BDC3-13F1BBD9BB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Rey David Saido Quintero</cp:lastModifiedBy>
  <cp:revision>3</cp:revision>
  <dcterms:created xsi:type="dcterms:W3CDTF">2024-12-30T04:56:00Z</dcterms:created>
  <dcterms:modified xsi:type="dcterms:W3CDTF">2024-12-31T00:07:00Z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