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A7BA89" w14:textId="77777777" w:rsidR="00E47B7E" w:rsidRPr="00BB3BE4" w:rsidRDefault="00E47B7E" w:rsidP="00E47B7E">
      <w:pPr>
        <w:tabs>
          <w:tab w:val="left" w:pos="709"/>
        </w:tabs>
        <w:spacing w:after="0" w:line="240" w:lineRule="auto"/>
        <w:jc w:val="both"/>
        <w:rPr>
          <w:rFonts w:ascii="Verdana" w:eastAsia="Calibri" w:hAnsi="Verdana" w:cs="Arial"/>
          <w:bCs/>
          <w:sz w:val="20"/>
          <w:szCs w:val="20"/>
          <w:lang w:val="es-ES_tradnl" w:eastAsia="es-ES_tradnl"/>
        </w:rPr>
      </w:pPr>
    </w:p>
    <w:p w14:paraId="23A7BA8A" w14:textId="77777777" w:rsidR="00E47B7E" w:rsidRPr="00BB3BE4" w:rsidRDefault="00E47B7E" w:rsidP="00E47B7E">
      <w:pPr>
        <w:tabs>
          <w:tab w:val="left" w:pos="709"/>
        </w:tabs>
        <w:spacing w:after="0" w:line="240" w:lineRule="auto"/>
        <w:jc w:val="both"/>
        <w:rPr>
          <w:rFonts w:ascii="Verdana" w:eastAsia="Calibri" w:hAnsi="Verdana" w:cs="Arial"/>
          <w:b/>
          <w:lang w:val="es-ES_tradnl" w:eastAsia="es-ES_tradnl"/>
        </w:rPr>
      </w:pPr>
      <w:r w:rsidRPr="00BB3BE4">
        <w:rPr>
          <w:rFonts w:ascii="Verdana" w:eastAsia="Calibri" w:hAnsi="Verdana" w:cs="Arial"/>
          <w:b/>
          <w:lang w:val="es-ES_tradnl" w:eastAsia="es-ES_tradnl"/>
        </w:rPr>
        <w:t>PROPONENTE PLURAL ‒ Consorcio ‒ Uni</w:t>
      </w:r>
      <w:r w:rsidRPr="00BB3BE4">
        <w:rPr>
          <w:rFonts w:ascii="Verdana" w:eastAsia="Calibri" w:hAnsi="Verdana" w:cs="Century Gothic"/>
          <w:b/>
          <w:lang w:val="es-ES_tradnl" w:eastAsia="es-ES_tradnl"/>
        </w:rPr>
        <w:t>ó</w:t>
      </w:r>
      <w:r w:rsidRPr="00BB3BE4">
        <w:rPr>
          <w:rFonts w:ascii="Verdana" w:eastAsia="Calibri" w:hAnsi="Verdana" w:cs="Arial"/>
          <w:b/>
          <w:lang w:val="es-ES_tradnl" w:eastAsia="es-ES_tradnl"/>
        </w:rPr>
        <w:t xml:space="preserve">n temporal ‒ Concepto </w:t>
      </w:r>
      <w:r w:rsidRPr="00BB3BE4">
        <w:rPr>
          <w:rFonts w:ascii="Verdana" w:eastAsia="Calibri" w:hAnsi="Verdana" w:cs="Century Gothic"/>
          <w:b/>
          <w:lang w:val="es-ES_tradnl" w:eastAsia="es-ES_tradnl"/>
        </w:rPr>
        <w:t>–</w:t>
      </w:r>
      <w:r w:rsidRPr="00BB3BE4">
        <w:rPr>
          <w:rFonts w:ascii="Verdana" w:eastAsia="Calibri" w:hAnsi="Verdana" w:cs="Arial"/>
          <w:b/>
          <w:lang w:val="es-ES_tradnl" w:eastAsia="es-ES_tradnl"/>
        </w:rPr>
        <w:t xml:space="preserve"> Diferencias</w:t>
      </w:r>
    </w:p>
    <w:p w14:paraId="23A7BA8B" w14:textId="77777777" w:rsidR="00E47B7E" w:rsidRPr="00BB3BE4" w:rsidRDefault="00E47B7E" w:rsidP="00E47B7E">
      <w:pPr>
        <w:tabs>
          <w:tab w:val="left" w:pos="709"/>
        </w:tabs>
        <w:spacing w:after="0" w:line="240" w:lineRule="auto"/>
        <w:jc w:val="both"/>
        <w:rPr>
          <w:rFonts w:ascii="Verdana" w:eastAsia="Calibri" w:hAnsi="Verdana" w:cs="Arial"/>
          <w:bCs/>
          <w:sz w:val="20"/>
          <w:szCs w:val="20"/>
          <w:lang w:val="es-ES_tradnl" w:eastAsia="es-ES_tradnl"/>
        </w:rPr>
      </w:pPr>
    </w:p>
    <w:p w14:paraId="23A7BA8C" w14:textId="77777777" w:rsidR="00E47B7E" w:rsidRPr="00BB3BE4" w:rsidRDefault="00E47B7E" w:rsidP="00E47B7E">
      <w:pPr>
        <w:spacing w:after="0" w:line="240" w:lineRule="auto"/>
        <w:jc w:val="both"/>
        <w:rPr>
          <w:rFonts w:ascii="Verdana" w:hAnsi="Verdana" w:cs="Arial"/>
          <w:color w:val="000000" w:themeColor="text1"/>
          <w:sz w:val="20"/>
          <w:szCs w:val="20"/>
        </w:rPr>
      </w:pPr>
      <w:r w:rsidRPr="00BB3BE4">
        <w:rPr>
          <w:rFonts w:ascii="Verdana" w:hAnsi="Verdana" w:cs="Arial"/>
          <w:color w:val="000000" w:themeColor="text1"/>
          <w:sz w:val="20"/>
          <w:szCs w:val="20"/>
        </w:rPr>
        <w:t xml:space="preserve">[…] los consorcios o uniones temporales son convenios de asociación provenientes de la colaboración empresarial, mediante los cuales sus integrantes se unen y se organizan mancomunadamente para lograr con mayor eficacia un fin común de contenido patrimonial y lucrativo, como lo es la obtención del derecho a ser adjudicatarios de un contrato estatal, compartiendo recursos, de toda índole, para su ejecución, así como las utilidades y los riesgos. La diferencia radica en la responsabilidad frente a las eventuales sanciones por el incumplimiento de las obligaciones, toda vez que tratándose de una unión temporal, estas se individualizan según </w:t>
      </w:r>
      <w:r>
        <w:rPr>
          <w:rFonts w:ascii="Verdana" w:hAnsi="Verdana" w:cs="Arial"/>
          <w:color w:val="000000" w:themeColor="text1"/>
          <w:sz w:val="20"/>
          <w:szCs w:val="20"/>
        </w:rPr>
        <w:t xml:space="preserve">el grado de </w:t>
      </w:r>
      <w:r w:rsidRPr="00BB3BE4">
        <w:rPr>
          <w:rFonts w:ascii="Verdana" w:hAnsi="Verdana" w:cs="Arial"/>
          <w:color w:val="000000" w:themeColor="text1"/>
          <w:sz w:val="20"/>
          <w:szCs w:val="20"/>
        </w:rPr>
        <w:t xml:space="preserve"> participación de sus miembros, mientras que en el consorcio los miembros responden solidariamente</w:t>
      </w:r>
      <w:r>
        <w:rPr>
          <w:rFonts w:ascii="Verdana" w:hAnsi="Verdana" w:cs="Arial"/>
          <w:color w:val="000000" w:themeColor="text1"/>
          <w:sz w:val="20"/>
          <w:szCs w:val="20"/>
        </w:rPr>
        <w:t xml:space="preserve"> independientemente de su grado de participación</w:t>
      </w:r>
      <w:r w:rsidRPr="00BB3BE4">
        <w:rPr>
          <w:rFonts w:ascii="Verdana" w:hAnsi="Verdana" w:cs="Arial"/>
          <w:color w:val="000000" w:themeColor="text1"/>
          <w:sz w:val="20"/>
          <w:szCs w:val="20"/>
        </w:rPr>
        <w:t xml:space="preserve">.  </w:t>
      </w:r>
    </w:p>
    <w:p w14:paraId="23A7BA8D" w14:textId="77777777" w:rsidR="00E47B7E" w:rsidRPr="00BB3BE4" w:rsidRDefault="00E47B7E" w:rsidP="00E47B7E">
      <w:pPr>
        <w:spacing w:after="0" w:line="240" w:lineRule="auto"/>
        <w:jc w:val="both"/>
        <w:rPr>
          <w:rFonts w:ascii="Verdana" w:hAnsi="Verdana" w:cs="Arial"/>
          <w:color w:val="000000" w:themeColor="text1"/>
          <w:sz w:val="20"/>
          <w:szCs w:val="20"/>
        </w:rPr>
      </w:pPr>
      <w:r w:rsidRPr="00BB3BE4">
        <w:rPr>
          <w:rFonts w:ascii="Verdana" w:hAnsi="Verdana" w:cs="Arial"/>
          <w:color w:val="000000" w:themeColor="text1"/>
          <w:sz w:val="20"/>
          <w:szCs w:val="20"/>
        </w:rPr>
        <w:t xml:space="preserve"> </w:t>
      </w:r>
    </w:p>
    <w:p w14:paraId="23A7BA8E" w14:textId="77777777" w:rsidR="00E47B7E" w:rsidRPr="00BB3BE4" w:rsidRDefault="00E47B7E" w:rsidP="00E47B7E">
      <w:pPr>
        <w:tabs>
          <w:tab w:val="left" w:pos="709"/>
        </w:tabs>
        <w:spacing w:after="0" w:line="240" w:lineRule="auto"/>
        <w:jc w:val="both"/>
        <w:rPr>
          <w:rFonts w:ascii="Verdana" w:eastAsia="Calibri" w:hAnsi="Verdana" w:cs="Arial"/>
          <w:b/>
          <w:color w:val="000000" w:themeColor="text1"/>
        </w:rPr>
      </w:pPr>
      <w:r w:rsidRPr="00BB3BE4">
        <w:rPr>
          <w:rFonts w:ascii="Verdana" w:eastAsia="Calibri" w:hAnsi="Verdana" w:cs="Arial"/>
          <w:b/>
          <w:lang w:val="es-ES_tradnl" w:eastAsia="es-ES_tradnl"/>
        </w:rPr>
        <w:t>CONSORCIOS Y UNIONES TEMPORALES – Ausencia de personería jurídica – Capacidad jurídica restringida</w:t>
      </w:r>
    </w:p>
    <w:p w14:paraId="23A7BA8F" w14:textId="77777777" w:rsidR="00E47B7E" w:rsidRPr="00BB3BE4" w:rsidRDefault="00E47B7E" w:rsidP="00E47B7E">
      <w:pPr>
        <w:spacing w:after="0" w:line="240" w:lineRule="auto"/>
        <w:jc w:val="both"/>
        <w:rPr>
          <w:rFonts w:ascii="Verdana" w:eastAsia="Calibri" w:hAnsi="Verdana" w:cs="Arial"/>
          <w:bCs/>
          <w:sz w:val="20"/>
          <w:szCs w:val="20"/>
          <w:lang w:val="es-ES_tradnl" w:eastAsia="es-ES_tradnl"/>
        </w:rPr>
      </w:pPr>
    </w:p>
    <w:p w14:paraId="23A7BA90" w14:textId="77777777" w:rsidR="00E47B7E" w:rsidRPr="00BB3BE4" w:rsidRDefault="00E47B7E" w:rsidP="00E47B7E">
      <w:pPr>
        <w:spacing w:after="0" w:line="240" w:lineRule="auto"/>
        <w:jc w:val="both"/>
        <w:rPr>
          <w:rFonts w:ascii="Verdana" w:eastAsia="Calibri" w:hAnsi="Verdana" w:cs="Arial"/>
          <w:bCs/>
          <w:color w:val="000000" w:themeColor="text1"/>
          <w:sz w:val="20"/>
          <w:szCs w:val="20"/>
          <w:lang w:val="es-ES"/>
        </w:rPr>
      </w:pPr>
      <w:r w:rsidRPr="00BB3BE4">
        <w:rPr>
          <w:rFonts w:ascii="Verdana" w:eastAsia="Calibri" w:hAnsi="Verdana" w:cs="Arial"/>
          <w:bCs/>
          <w:color w:val="000000" w:themeColor="text1"/>
          <w:sz w:val="20"/>
          <w:szCs w:val="20"/>
          <w:lang w:val="es-ES"/>
        </w:rPr>
        <w:t>Debido a que los consorcios y las uniones temporales no son personas jurídicas, su creación depende de un acuerdo en el que concurre la voluntad de sus integrantes para regular su objeto, la participación de los miembros, las obligaciones frente al proyecto, su responsabilidad, la forma en que regirán sus relaciones internas y el relacionamiento con la entidad contratante, mediante la designación de un representante, de conformidad con el parágrafo 1 del artículo 7 de la Ley 80 de 1993</w:t>
      </w:r>
    </w:p>
    <w:p w14:paraId="23A7BA91" w14:textId="77777777" w:rsidR="00E47B7E" w:rsidRPr="00BB3BE4" w:rsidRDefault="00E47B7E" w:rsidP="00E47B7E">
      <w:pPr>
        <w:spacing w:after="0" w:line="240" w:lineRule="auto"/>
        <w:jc w:val="both"/>
        <w:rPr>
          <w:rFonts w:ascii="Verdana" w:eastAsia="Calibri" w:hAnsi="Verdana" w:cs="Arial"/>
          <w:bCs/>
          <w:color w:val="000000" w:themeColor="text1"/>
          <w:sz w:val="20"/>
          <w:szCs w:val="20"/>
          <w:lang w:val="es-ES"/>
        </w:rPr>
      </w:pPr>
    </w:p>
    <w:p w14:paraId="23A7BA92" w14:textId="77777777" w:rsidR="00E47B7E" w:rsidRPr="00BB3BE4" w:rsidRDefault="00E47B7E" w:rsidP="00E47B7E">
      <w:pPr>
        <w:spacing w:after="0" w:line="240" w:lineRule="auto"/>
        <w:jc w:val="both"/>
        <w:rPr>
          <w:rFonts w:ascii="Verdana" w:hAnsi="Verdana" w:cs="Arial"/>
          <w:color w:val="000000" w:themeColor="text1"/>
          <w:sz w:val="20"/>
          <w:szCs w:val="20"/>
        </w:rPr>
      </w:pPr>
      <w:r w:rsidRPr="00BB3BE4">
        <w:rPr>
          <w:rFonts w:ascii="Verdana" w:eastAsia="Calibri" w:hAnsi="Verdana" w:cs="Arial"/>
          <w:bCs/>
          <w:color w:val="000000" w:themeColor="text1"/>
          <w:sz w:val="20"/>
          <w:szCs w:val="20"/>
          <w:lang w:val="es-ES"/>
        </w:rPr>
        <w:t>[…] el consorcio o la unión temporal se da “Cuando dos o más personas en forma conjunta presentan una misma propuesta para la adjudicación, celebración y ejecución de un contrato […]”.</w:t>
      </w:r>
      <w:r w:rsidRPr="00BB3BE4">
        <w:rPr>
          <w:rFonts w:ascii="Verdana" w:hAnsi="Verdana" w:cs="Arial"/>
          <w:color w:val="000000" w:themeColor="text1"/>
          <w:sz w:val="20"/>
          <w:szCs w:val="20"/>
        </w:rPr>
        <w:t xml:space="preserve"> Desde esta perspectiva, su capacidad para participar en la adjudicación, celebración</w:t>
      </w:r>
      <w:r>
        <w:rPr>
          <w:rFonts w:ascii="Verdana" w:hAnsi="Verdana" w:cs="Arial"/>
          <w:color w:val="000000" w:themeColor="text1"/>
          <w:sz w:val="20"/>
          <w:szCs w:val="20"/>
        </w:rPr>
        <w:t>,</w:t>
      </w:r>
      <w:r w:rsidRPr="00BB3BE4">
        <w:rPr>
          <w:rFonts w:ascii="Verdana" w:hAnsi="Verdana" w:cs="Arial"/>
          <w:color w:val="000000" w:themeColor="text1"/>
          <w:sz w:val="20"/>
          <w:szCs w:val="20"/>
        </w:rPr>
        <w:t xml:space="preserve"> ejecución</w:t>
      </w:r>
      <w:r>
        <w:rPr>
          <w:rFonts w:ascii="Verdana" w:hAnsi="Verdana" w:cs="Arial"/>
          <w:color w:val="000000" w:themeColor="text1"/>
          <w:sz w:val="20"/>
          <w:szCs w:val="20"/>
        </w:rPr>
        <w:t xml:space="preserve"> y liquidación</w:t>
      </w:r>
      <w:r w:rsidRPr="00BB3BE4">
        <w:rPr>
          <w:rFonts w:ascii="Verdana" w:hAnsi="Verdana" w:cs="Arial"/>
          <w:color w:val="000000" w:themeColor="text1"/>
          <w:sz w:val="20"/>
          <w:szCs w:val="20"/>
        </w:rPr>
        <w:t xml:space="preserve"> de los contratos estatales depende de que los integrantes de la estructura plural adopten la decisión conjunta de presentar una misma propuesta al proceso de selección. Como existe una relación de medio – fin, sin la entrega de la oferta no surge la habilitación legal para todo lo demás. </w:t>
      </w:r>
    </w:p>
    <w:p w14:paraId="23A7BA93" w14:textId="77777777" w:rsidR="00E47B7E" w:rsidRPr="00BB3BE4" w:rsidRDefault="00E47B7E" w:rsidP="00E47B7E">
      <w:pPr>
        <w:spacing w:after="0" w:line="240" w:lineRule="auto"/>
        <w:jc w:val="both"/>
        <w:rPr>
          <w:rFonts w:ascii="Verdana" w:hAnsi="Verdana" w:cs="Arial"/>
          <w:color w:val="000000" w:themeColor="text1"/>
          <w:sz w:val="20"/>
          <w:szCs w:val="20"/>
        </w:rPr>
      </w:pPr>
    </w:p>
    <w:p w14:paraId="23A7BA94" w14:textId="77777777" w:rsidR="00E47B7E" w:rsidRPr="00420D9C" w:rsidRDefault="00E47B7E" w:rsidP="00E47B7E">
      <w:pPr>
        <w:spacing w:after="0" w:line="240" w:lineRule="auto"/>
        <w:jc w:val="both"/>
        <w:rPr>
          <w:rFonts w:ascii="Verdana" w:hAnsi="Verdana" w:cs="Arial"/>
          <w:color w:val="000000" w:themeColor="text1"/>
          <w:sz w:val="20"/>
          <w:szCs w:val="20"/>
        </w:rPr>
      </w:pPr>
      <w:r>
        <w:rPr>
          <w:rFonts w:ascii="Verdana" w:hAnsi="Verdana" w:cs="Arial"/>
          <w:color w:val="000000" w:themeColor="text1"/>
          <w:sz w:val="20"/>
          <w:szCs w:val="20"/>
        </w:rPr>
        <w:t>L</w:t>
      </w:r>
      <w:r w:rsidRPr="00420D9C">
        <w:rPr>
          <w:rFonts w:ascii="Verdana" w:hAnsi="Verdana" w:cs="Arial"/>
          <w:color w:val="000000" w:themeColor="text1"/>
          <w:sz w:val="20"/>
          <w:szCs w:val="20"/>
        </w:rPr>
        <w:t xml:space="preserve">a capacidad jurídica de los proponentes plurales se limita al campo de la contratación estatal de las entidades sometidas al EGCAP, es decir, a las relaciones entre los consorcios y las uniones temporales con las entidades estatales del artículo 2 de la Ley 80 de 1993. Las personas que conforman proponentes plurales pueden presentar en forma conjunta una misma propuesta para la adjudicación, </w:t>
      </w:r>
      <w:proofErr w:type="spellStart"/>
      <w:r w:rsidRPr="00420D9C">
        <w:rPr>
          <w:rFonts w:ascii="Verdana" w:hAnsi="Verdana" w:cs="Arial"/>
          <w:color w:val="000000" w:themeColor="text1"/>
          <w:sz w:val="20"/>
          <w:szCs w:val="20"/>
        </w:rPr>
        <w:t>celebración</w:t>
      </w:r>
      <w:r>
        <w:rPr>
          <w:rFonts w:ascii="Verdana" w:hAnsi="Verdana" w:cs="Arial"/>
          <w:color w:val="000000" w:themeColor="text1"/>
          <w:sz w:val="20"/>
          <w:szCs w:val="20"/>
        </w:rPr>
        <w:t>,</w:t>
      </w:r>
      <w:r w:rsidRPr="00420D9C">
        <w:rPr>
          <w:rFonts w:ascii="Verdana" w:hAnsi="Verdana" w:cs="Arial"/>
          <w:color w:val="000000" w:themeColor="text1"/>
          <w:sz w:val="20"/>
          <w:szCs w:val="20"/>
        </w:rPr>
        <w:t>ejecución</w:t>
      </w:r>
      <w:proofErr w:type="spellEnd"/>
      <w:r w:rsidRPr="00420D9C">
        <w:rPr>
          <w:rFonts w:ascii="Verdana" w:hAnsi="Verdana" w:cs="Arial"/>
          <w:color w:val="000000" w:themeColor="text1"/>
          <w:sz w:val="20"/>
          <w:szCs w:val="20"/>
        </w:rPr>
        <w:t xml:space="preserve"> </w:t>
      </w:r>
      <w:r>
        <w:rPr>
          <w:rFonts w:ascii="Verdana" w:hAnsi="Verdana" w:cs="Arial"/>
          <w:color w:val="000000" w:themeColor="text1"/>
          <w:sz w:val="20"/>
          <w:szCs w:val="20"/>
        </w:rPr>
        <w:t xml:space="preserve">y liquidación </w:t>
      </w:r>
      <w:r w:rsidRPr="00420D9C">
        <w:rPr>
          <w:rFonts w:ascii="Verdana" w:hAnsi="Verdana" w:cs="Arial"/>
          <w:color w:val="000000" w:themeColor="text1"/>
          <w:sz w:val="20"/>
          <w:szCs w:val="20"/>
        </w:rPr>
        <w:t xml:space="preserve">de contratos estatales con </w:t>
      </w:r>
      <w:r w:rsidRPr="00420D9C">
        <w:rPr>
          <w:rFonts w:ascii="Verdana" w:hAnsi="Verdana" w:cs="Arial"/>
          <w:i/>
          <w:iCs/>
          <w:color w:val="000000" w:themeColor="text1"/>
          <w:sz w:val="20"/>
          <w:szCs w:val="20"/>
        </w:rPr>
        <w:t>una o varias</w:t>
      </w:r>
      <w:r w:rsidRPr="00420D9C">
        <w:rPr>
          <w:rFonts w:ascii="Verdana" w:hAnsi="Verdana" w:cs="Arial"/>
          <w:color w:val="000000" w:themeColor="text1"/>
          <w:sz w:val="20"/>
          <w:szCs w:val="20"/>
        </w:rPr>
        <w:t xml:space="preserve"> de las entidades descritas en la norma precitada. Dichas ofertas serán analizadas de acuerdo con los criterios habilitantes y factores de evaluación del pliego de condiciones o documento equivalente, en el marco de las reglas previstas en el Estatuto General de Contratación, sus normas complementarias y los reglamentos respectivos.</w:t>
      </w:r>
    </w:p>
    <w:p w14:paraId="23A7BA95" w14:textId="77777777" w:rsidR="00E47B7E" w:rsidRPr="00396DBB" w:rsidRDefault="00E47B7E" w:rsidP="00E47B7E">
      <w:pPr>
        <w:spacing w:after="0" w:line="240" w:lineRule="auto"/>
        <w:jc w:val="both"/>
        <w:rPr>
          <w:rFonts w:ascii="Verdana" w:hAnsi="Verdana" w:cs="Arial"/>
          <w:color w:val="000000" w:themeColor="text1"/>
          <w:sz w:val="20"/>
          <w:szCs w:val="20"/>
          <w:lang w:val="es-ES_tradnl"/>
        </w:rPr>
      </w:pPr>
    </w:p>
    <w:p w14:paraId="23A7BA96" w14:textId="77777777" w:rsidR="00E47B7E" w:rsidRDefault="00E47B7E" w:rsidP="00E47B7E">
      <w:pPr>
        <w:spacing w:after="0" w:line="240" w:lineRule="auto"/>
        <w:rPr>
          <w:rFonts w:ascii="Verdana" w:hAnsi="Verdana" w:cs="Arial"/>
          <w:b/>
          <w:lang w:eastAsia="es-CO"/>
        </w:rPr>
      </w:pPr>
    </w:p>
    <w:p w14:paraId="23A7BA97" w14:textId="77777777" w:rsidR="00E47B7E" w:rsidRDefault="00E47B7E" w:rsidP="00E47B7E">
      <w:pPr>
        <w:spacing w:after="0" w:line="240" w:lineRule="auto"/>
        <w:jc w:val="both"/>
        <w:rPr>
          <w:rFonts w:ascii="Verdana" w:eastAsia="Times New Roman" w:hAnsi="Verdana" w:cs="Arial"/>
          <w:noProof/>
          <w:lang w:eastAsia="es-ES_tradnl"/>
        </w:rPr>
      </w:pPr>
    </w:p>
    <w:p w14:paraId="23A7BA98" w14:textId="77777777" w:rsidR="00E47B7E" w:rsidRDefault="00E47B7E" w:rsidP="00E47B7E">
      <w:pPr>
        <w:spacing w:after="0" w:line="240" w:lineRule="auto"/>
        <w:jc w:val="both"/>
        <w:rPr>
          <w:rFonts w:ascii="Verdana" w:eastAsia="Times New Roman" w:hAnsi="Verdana" w:cs="Arial"/>
          <w:noProof/>
          <w:lang w:eastAsia="es-ES_tradnl"/>
        </w:rPr>
      </w:pPr>
    </w:p>
    <w:p w14:paraId="23A7BA99" w14:textId="77777777" w:rsidR="00E47B7E" w:rsidRPr="00CC5C68" w:rsidRDefault="00E47B7E" w:rsidP="00E47B7E">
      <w:pPr>
        <w:spacing w:after="0" w:line="240" w:lineRule="auto"/>
        <w:jc w:val="both"/>
        <w:rPr>
          <w:rFonts w:ascii="Verdana" w:eastAsia="Times New Roman" w:hAnsi="Verdana" w:cs="Arial"/>
          <w:noProof/>
          <w:lang w:val="es-ES_tradnl" w:eastAsia="es-ES_tradnl"/>
        </w:rPr>
      </w:pPr>
      <w:r w:rsidRPr="00CC5C68">
        <w:rPr>
          <w:rFonts w:ascii="Verdana" w:eastAsia="Times New Roman" w:hAnsi="Verdana" w:cs="Arial"/>
          <w:noProof/>
          <w:lang w:val="es-ES_tradnl" w:eastAsia="es-ES_tradnl"/>
        </w:rPr>
        <w:lastRenderedPageBreak/>
        <w:t>Bogotá D.C., [Día] de [Mes.NombreCapitalizado] de [Año]</w:t>
      </w:r>
    </w:p>
    <w:p w14:paraId="23A7BA9A" w14:textId="77777777" w:rsidR="00E47B7E" w:rsidRDefault="00E47B7E" w:rsidP="00E47B7E">
      <w:pPr>
        <w:spacing w:after="0" w:line="240" w:lineRule="auto"/>
        <w:jc w:val="both"/>
        <w:rPr>
          <w:rFonts w:ascii="Verdana" w:eastAsia="Times New Roman" w:hAnsi="Verdana" w:cs="Arial"/>
          <w:noProof/>
          <w:lang w:val="es-ES_tradnl" w:eastAsia="es-ES_tradnl"/>
        </w:rPr>
      </w:pPr>
    </w:p>
    <w:p w14:paraId="23A7BA9B" w14:textId="77777777" w:rsidR="00E47B7E" w:rsidRPr="00CC5C68" w:rsidRDefault="00F33209" w:rsidP="00E47B7E">
      <w:pPr>
        <w:spacing w:after="0" w:line="240" w:lineRule="auto"/>
        <w:jc w:val="right"/>
        <w:rPr>
          <w:rFonts w:ascii="Verdana" w:eastAsia="Times New Roman" w:hAnsi="Verdana" w:cs="Arial"/>
          <w:noProof/>
          <w:lang w:val="es-ES_tradnl" w:eastAsia="es-ES_tradnl"/>
        </w:rPr>
      </w:pPr>
      <w:r w:rsidRPr="00F33209">
        <w:rPr>
          <w:rFonts w:ascii="Verdana" w:eastAsia="Times New Roman" w:hAnsi="Verdana" w:cs="Arial"/>
          <w:noProof/>
          <w:lang w:val="es-ES_tradnl" w:eastAsia="es-ES_tradnl"/>
        </w:rPr>
        <w:drawing>
          <wp:anchor distT="0" distB="0" distL="114300" distR="114300" simplePos="0" relativeHeight="251658240" behindDoc="1" locked="0" layoutInCell="1" allowOverlap="1" wp14:anchorId="23A7BB21" wp14:editId="23A7BB22">
            <wp:simplePos x="0" y="0"/>
            <wp:positionH relativeFrom="column">
              <wp:posOffset>2439670</wp:posOffset>
            </wp:positionH>
            <wp:positionV relativeFrom="paragraph">
              <wp:posOffset>3810</wp:posOffset>
            </wp:positionV>
            <wp:extent cx="3177783" cy="883762"/>
            <wp:effectExtent l="0" t="0" r="0" b="5715"/>
            <wp:wrapNone/>
            <wp:docPr id="20696700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967008" name=""/>
                    <pic:cNvPicPr/>
                  </pic:nvPicPr>
                  <pic:blipFill>
                    <a:blip r:embed="rId10">
                      <a:extLst>
                        <a:ext uri="{28A0092B-C50C-407E-A947-70E740481C1C}">
                          <a14:useLocalDpi xmlns:a14="http://schemas.microsoft.com/office/drawing/2010/main" val="0"/>
                        </a:ext>
                      </a:extLst>
                    </a:blip>
                    <a:stretch>
                      <a:fillRect/>
                    </a:stretch>
                  </pic:blipFill>
                  <pic:spPr>
                    <a:xfrm>
                      <a:off x="0" y="0"/>
                      <a:ext cx="3177783" cy="883762"/>
                    </a:xfrm>
                    <a:prstGeom prst="rect">
                      <a:avLst/>
                    </a:prstGeom>
                  </pic:spPr>
                </pic:pic>
              </a:graphicData>
            </a:graphic>
            <wp14:sizeRelH relativeFrom="page">
              <wp14:pctWidth>0</wp14:pctWidth>
            </wp14:sizeRelH>
            <wp14:sizeRelV relativeFrom="page">
              <wp14:pctHeight>0</wp14:pctHeight>
            </wp14:sizeRelV>
          </wp:anchor>
        </w:drawing>
      </w:r>
    </w:p>
    <w:p w14:paraId="23A7BA9C" w14:textId="77777777" w:rsidR="00E47B7E" w:rsidRPr="00CC5C68" w:rsidRDefault="00E47B7E" w:rsidP="00E47B7E">
      <w:pPr>
        <w:spacing w:after="0" w:line="240" w:lineRule="auto"/>
        <w:jc w:val="both"/>
        <w:rPr>
          <w:rFonts w:ascii="Verdana" w:eastAsia="Calibri" w:hAnsi="Verdana" w:cs="Arial"/>
          <w:lang w:val="es-ES" w:eastAsia="es-ES_tradnl"/>
        </w:rPr>
      </w:pPr>
      <w:r w:rsidRPr="00CC5C68">
        <w:rPr>
          <w:rFonts w:ascii="Verdana" w:eastAsia="Calibri" w:hAnsi="Verdana" w:cs="Arial"/>
          <w:lang w:val="es-ES" w:eastAsia="es-ES_tradnl"/>
        </w:rPr>
        <w:t>Señor</w:t>
      </w:r>
      <w:r>
        <w:rPr>
          <w:rFonts w:ascii="Verdana" w:eastAsia="Calibri" w:hAnsi="Verdana" w:cs="Arial"/>
          <w:lang w:val="es-ES" w:eastAsia="es-ES_tradnl"/>
        </w:rPr>
        <w:t>a</w:t>
      </w:r>
    </w:p>
    <w:p w14:paraId="23A7BA9D" w14:textId="77777777" w:rsidR="00E47B7E" w:rsidRDefault="00E47B7E" w:rsidP="00E47B7E">
      <w:pPr>
        <w:spacing w:after="0" w:line="240" w:lineRule="auto"/>
        <w:rPr>
          <w:rFonts w:ascii="Verdana" w:eastAsia="Calibri" w:hAnsi="Verdana" w:cs="Arial"/>
          <w:b/>
          <w:bCs/>
          <w:lang w:val="es-ES" w:eastAsia="es-ES_tradnl"/>
        </w:rPr>
      </w:pPr>
      <w:proofErr w:type="spellStart"/>
      <w:r>
        <w:rPr>
          <w:rFonts w:ascii="Verdana" w:eastAsia="Calibri" w:hAnsi="Verdana" w:cs="Arial"/>
          <w:b/>
          <w:bCs/>
          <w:lang w:val="es-ES" w:eastAsia="es-ES_tradnl"/>
        </w:rPr>
        <w:t>Laudy</w:t>
      </w:r>
      <w:proofErr w:type="spellEnd"/>
      <w:r>
        <w:rPr>
          <w:rFonts w:ascii="Verdana" w:eastAsia="Calibri" w:hAnsi="Verdana" w:cs="Arial"/>
          <w:b/>
          <w:bCs/>
          <w:lang w:val="es-ES" w:eastAsia="es-ES_tradnl"/>
        </w:rPr>
        <w:t xml:space="preserve"> Triana</w:t>
      </w:r>
    </w:p>
    <w:p w14:paraId="23A7BA9E" w14:textId="77777777" w:rsidR="00E47B7E" w:rsidRPr="004B6389" w:rsidRDefault="00E47B7E" w:rsidP="00E47B7E">
      <w:pPr>
        <w:spacing w:after="0" w:line="240" w:lineRule="auto"/>
        <w:rPr>
          <w:rFonts w:ascii="Verdana" w:hAnsi="Verdana"/>
        </w:rPr>
      </w:pPr>
      <w:hyperlink r:id="rId11" w:history="1">
        <w:r w:rsidRPr="004B6389">
          <w:rPr>
            <w:rStyle w:val="Hipervnculo"/>
            <w:rFonts w:ascii="Verdana" w:hAnsi="Verdana"/>
          </w:rPr>
          <w:t>laudylorena@gmail.com</w:t>
        </w:r>
      </w:hyperlink>
    </w:p>
    <w:p w14:paraId="23A7BA9F" w14:textId="77777777" w:rsidR="00E47B7E" w:rsidRPr="00CC5C68" w:rsidRDefault="00E47B7E" w:rsidP="00E47B7E">
      <w:pPr>
        <w:spacing w:after="0" w:line="240" w:lineRule="auto"/>
        <w:rPr>
          <w:rFonts w:ascii="Verdana" w:eastAsia="Calibri" w:hAnsi="Verdana" w:cs="Arial"/>
          <w:lang w:val="es-ES_tradnl" w:eastAsia="es-ES_tradnl"/>
        </w:rPr>
      </w:pPr>
      <w:r>
        <w:rPr>
          <w:rFonts w:ascii="Verdana" w:eastAsia="Calibri" w:hAnsi="Verdana" w:cs="Arial"/>
          <w:bCs/>
          <w:lang w:val="es-ES_tradnl" w:eastAsia="es-ES_tradnl"/>
        </w:rPr>
        <w:t>Bogotá D.C.</w:t>
      </w:r>
    </w:p>
    <w:p w14:paraId="23A7BAA0" w14:textId="77777777" w:rsidR="00E47B7E" w:rsidRPr="00CC5C68" w:rsidRDefault="00E47B7E" w:rsidP="00E47B7E">
      <w:pPr>
        <w:spacing w:after="0" w:line="240" w:lineRule="auto"/>
        <w:rPr>
          <w:rFonts w:ascii="Verdana" w:eastAsia="Calibri" w:hAnsi="Verdana" w:cs="Arial"/>
          <w:lang w:val="es-ES_tradnl" w:eastAsia="es-ES_tradnl"/>
        </w:rPr>
      </w:pPr>
    </w:p>
    <w:p w14:paraId="23A7BAA1" w14:textId="77777777" w:rsidR="00E47B7E" w:rsidRPr="00CC5C68" w:rsidRDefault="00E47B7E" w:rsidP="00E47B7E">
      <w:pPr>
        <w:spacing w:after="0" w:line="240" w:lineRule="auto"/>
        <w:ind w:left="2694"/>
        <w:rPr>
          <w:rFonts w:ascii="Verdana" w:eastAsia="Calibri" w:hAnsi="Verdana" w:cs="Arial"/>
          <w:b/>
          <w:bCs/>
          <w:lang w:val="es-ES" w:eastAsia="es-ES_tradnl"/>
        </w:rPr>
      </w:pPr>
      <w:r w:rsidRPr="00CC5C68">
        <w:rPr>
          <w:rFonts w:ascii="Verdana" w:eastAsia="Calibri" w:hAnsi="Verdana" w:cs="Arial"/>
          <w:b/>
          <w:bCs/>
          <w:lang w:val="es-ES" w:eastAsia="es-ES_tradnl"/>
        </w:rPr>
        <w:t>Concepto C</w:t>
      </w:r>
      <w:r>
        <w:rPr>
          <w:rFonts w:ascii="Verdana" w:eastAsia="Calibri" w:hAnsi="Verdana" w:cs="Arial"/>
          <w:b/>
          <w:bCs/>
          <w:lang w:val="es-ES" w:eastAsia="es-ES_tradnl"/>
        </w:rPr>
        <w:t xml:space="preserve">-894 </w:t>
      </w:r>
      <w:r w:rsidRPr="00CC5C68">
        <w:rPr>
          <w:rFonts w:ascii="Verdana" w:eastAsia="Calibri" w:hAnsi="Verdana" w:cs="Arial"/>
          <w:b/>
          <w:bCs/>
          <w:lang w:val="es-ES" w:eastAsia="es-ES_tradnl"/>
        </w:rPr>
        <w:t>de 2024</w:t>
      </w:r>
    </w:p>
    <w:p w14:paraId="23A7BAA2" w14:textId="77777777" w:rsidR="00E47B7E" w:rsidRPr="00CC5C68" w:rsidRDefault="00E47B7E" w:rsidP="00E47B7E">
      <w:pPr>
        <w:spacing w:after="0" w:line="240" w:lineRule="auto"/>
        <w:jc w:val="both"/>
        <w:rPr>
          <w:rFonts w:ascii="Verdana" w:eastAsia="Calibri" w:hAnsi="Verdana" w:cs="Arial"/>
          <w:lang w:val="es-ES_tradnl" w:eastAsia="es-ES_tradnl"/>
        </w:rPr>
      </w:pPr>
    </w:p>
    <w:tbl>
      <w:tblPr>
        <w:tblStyle w:val="Tablaconcuadrcula"/>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94"/>
        <w:gridCol w:w="6095"/>
      </w:tblGrid>
      <w:tr w:rsidR="00E47B7E" w:rsidRPr="00CC5C68" w14:paraId="23A7BAA6" w14:textId="77777777" w:rsidTr="00C77973">
        <w:tc>
          <w:tcPr>
            <w:tcW w:w="2694" w:type="dxa"/>
          </w:tcPr>
          <w:p w14:paraId="23A7BAA3" w14:textId="77777777" w:rsidR="00E47B7E" w:rsidRPr="00CC5C68" w:rsidRDefault="00E47B7E" w:rsidP="00C77973">
            <w:pPr>
              <w:rPr>
                <w:rFonts w:ascii="Verdana" w:eastAsia="Calibri" w:hAnsi="Verdana" w:cs="Arial"/>
                <w:lang w:val="es-ES_tradnl" w:eastAsia="es-ES_tradnl"/>
              </w:rPr>
            </w:pPr>
            <w:r w:rsidRPr="00CC5C68">
              <w:rPr>
                <w:rFonts w:ascii="Verdana" w:eastAsia="Calibri" w:hAnsi="Verdana" w:cs="Arial"/>
                <w:b/>
                <w:lang w:val="es-ES_tradnl" w:eastAsia="es-ES_tradnl"/>
              </w:rPr>
              <w:t>Temas:</w:t>
            </w:r>
          </w:p>
        </w:tc>
        <w:tc>
          <w:tcPr>
            <w:tcW w:w="6095" w:type="dxa"/>
          </w:tcPr>
          <w:p w14:paraId="23A7BAA4" w14:textId="77777777" w:rsidR="00E47B7E" w:rsidRDefault="00E47B7E" w:rsidP="00C77973">
            <w:pPr>
              <w:contextualSpacing/>
              <w:jc w:val="both"/>
              <w:rPr>
                <w:rFonts w:ascii="Verdana" w:eastAsia="Times New Roman" w:hAnsi="Verdana" w:cs="Arial"/>
                <w:lang w:val="es-ES_tradnl" w:eastAsia="es-ES_tradnl"/>
              </w:rPr>
            </w:pPr>
            <w:r w:rsidRPr="00420D9C">
              <w:rPr>
                <w:rFonts w:ascii="Verdana" w:eastAsia="Calibri" w:hAnsi="Verdana" w:cs="Arial"/>
                <w:lang w:val="es-ES" w:eastAsia="es-ES"/>
              </w:rPr>
              <w:t>PROPONENTE PLURAL ‒ Consorcio ‒ Unión temporal ‒ Concepto – Diferencias / CONSORCIOS Y UNIONES TEMPORALES – Ausencia de personería jurídica – Capacidad jurídica restringida</w:t>
            </w:r>
            <w:r w:rsidRPr="00CC5C68">
              <w:rPr>
                <w:rFonts w:ascii="Verdana" w:eastAsia="Times New Roman" w:hAnsi="Verdana" w:cs="Arial"/>
                <w:lang w:val="es-ES_tradnl" w:eastAsia="es-ES_tradnl"/>
              </w:rPr>
              <w:t xml:space="preserve"> </w:t>
            </w:r>
          </w:p>
          <w:p w14:paraId="23A7BAA5" w14:textId="77777777" w:rsidR="00E47B7E" w:rsidRPr="00CC5C68" w:rsidRDefault="00E47B7E" w:rsidP="00C77973">
            <w:pPr>
              <w:contextualSpacing/>
              <w:jc w:val="both"/>
              <w:rPr>
                <w:rFonts w:ascii="Verdana" w:eastAsia="Times New Roman" w:hAnsi="Verdana" w:cs="Arial"/>
                <w:lang w:val="es-ES_tradnl" w:eastAsia="es-ES_tradnl"/>
              </w:rPr>
            </w:pPr>
          </w:p>
        </w:tc>
      </w:tr>
      <w:tr w:rsidR="00E47B7E" w:rsidRPr="00CC5C68" w14:paraId="23A7BAA9" w14:textId="77777777" w:rsidTr="00C77973">
        <w:tc>
          <w:tcPr>
            <w:tcW w:w="2694" w:type="dxa"/>
          </w:tcPr>
          <w:p w14:paraId="23A7BAA7" w14:textId="77777777" w:rsidR="00E47B7E" w:rsidRPr="00CC5C68" w:rsidRDefault="00E47B7E" w:rsidP="00C77973">
            <w:pPr>
              <w:rPr>
                <w:rFonts w:ascii="Verdana" w:eastAsia="Calibri" w:hAnsi="Verdana" w:cs="Arial"/>
                <w:b/>
                <w:lang w:val="es-ES" w:eastAsia="es-ES_tradnl"/>
              </w:rPr>
            </w:pPr>
            <w:r w:rsidRPr="00CC5C68">
              <w:rPr>
                <w:rFonts w:ascii="Verdana" w:eastAsia="Calibri" w:hAnsi="Verdana" w:cs="Arial"/>
                <w:b/>
                <w:lang w:val="es-ES" w:eastAsia="es-ES_tradnl"/>
              </w:rPr>
              <w:t>Radicación:</w:t>
            </w:r>
          </w:p>
        </w:tc>
        <w:tc>
          <w:tcPr>
            <w:tcW w:w="6095" w:type="dxa"/>
          </w:tcPr>
          <w:p w14:paraId="23A7BAA8" w14:textId="77777777" w:rsidR="00E47B7E" w:rsidRPr="00CC5C68" w:rsidRDefault="00E47B7E" w:rsidP="00C77973">
            <w:pPr>
              <w:jc w:val="both"/>
              <w:rPr>
                <w:rFonts w:ascii="Verdana" w:eastAsia="Calibri" w:hAnsi="Verdana" w:cs="Arial"/>
                <w:lang w:val="es-ES" w:eastAsia="es-ES_tradnl"/>
              </w:rPr>
            </w:pPr>
            <w:r w:rsidRPr="00CC5C68">
              <w:rPr>
                <w:rFonts w:ascii="Verdana" w:eastAsia="Calibri" w:hAnsi="Verdana" w:cs="Arial"/>
                <w:lang w:val="es-ES" w:eastAsia="es-ES_tradnl"/>
              </w:rPr>
              <w:t xml:space="preserve">Respuesta a consulta radicado No. </w:t>
            </w:r>
            <w:r w:rsidRPr="004B6389">
              <w:rPr>
                <w:rFonts w:ascii="Verdana" w:eastAsia="Times New Roman" w:hAnsi="Verdana" w:cs="Arial"/>
                <w:lang w:eastAsia="es-ES_tradnl"/>
              </w:rPr>
              <w:t>P20241123011823</w:t>
            </w:r>
          </w:p>
        </w:tc>
      </w:tr>
    </w:tbl>
    <w:p w14:paraId="23A7BAAA" w14:textId="77777777" w:rsidR="00E47B7E" w:rsidRPr="00CC5C68" w:rsidRDefault="00E47B7E" w:rsidP="00E47B7E">
      <w:pPr>
        <w:spacing w:after="0" w:line="240" w:lineRule="auto"/>
        <w:jc w:val="both"/>
        <w:rPr>
          <w:rFonts w:ascii="Verdana" w:eastAsia="Calibri" w:hAnsi="Verdana" w:cs="Arial"/>
          <w:lang w:val="es-ES_tradnl" w:eastAsia="es-ES_tradnl"/>
        </w:rPr>
      </w:pPr>
    </w:p>
    <w:p w14:paraId="23A7BAAB" w14:textId="77777777" w:rsidR="00E47B7E" w:rsidRPr="00CC5C68" w:rsidRDefault="00E47B7E" w:rsidP="00E47B7E">
      <w:pPr>
        <w:spacing w:after="0" w:line="276" w:lineRule="auto"/>
        <w:contextualSpacing/>
        <w:jc w:val="both"/>
        <w:rPr>
          <w:rFonts w:ascii="Verdana" w:eastAsia="Calibri" w:hAnsi="Verdana" w:cs="Arial"/>
          <w:lang w:val="es-ES" w:eastAsia="es-ES"/>
        </w:rPr>
      </w:pPr>
      <w:r w:rsidRPr="2D01692F">
        <w:rPr>
          <w:rFonts w:ascii="Verdana" w:eastAsia="Calibri" w:hAnsi="Verdana" w:cs="Arial"/>
          <w:lang w:val="es-ES" w:eastAsia="es-ES"/>
        </w:rPr>
        <w:t>Estimad</w:t>
      </w:r>
      <w:r>
        <w:rPr>
          <w:rFonts w:ascii="Verdana" w:eastAsia="Calibri" w:hAnsi="Verdana" w:cs="Arial"/>
          <w:lang w:val="es-ES" w:eastAsia="es-ES"/>
        </w:rPr>
        <w:t>a</w:t>
      </w:r>
      <w:r w:rsidRPr="2D01692F">
        <w:rPr>
          <w:rFonts w:ascii="Verdana" w:eastAsia="Calibri" w:hAnsi="Verdana" w:cs="Arial"/>
          <w:lang w:val="es-ES" w:eastAsia="es-ES"/>
        </w:rPr>
        <w:t xml:space="preserve"> señor</w:t>
      </w:r>
      <w:r>
        <w:rPr>
          <w:rFonts w:ascii="Verdana" w:eastAsia="Calibri" w:hAnsi="Verdana" w:cs="Arial"/>
          <w:lang w:val="es-ES" w:eastAsia="es-ES"/>
        </w:rPr>
        <w:t>a</w:t>
      </w:r>
      <w:r w:rsidRPr="2D01692F">
        <w:rPr>
          <w:rFonts w:ascii="Verdana" w:eastAsia="Calibri" w:hAnsi="Verdana" w:cs="Arial"/>
          <w:lang w:val="es-ES" w:eastAsia="es-ES"/>
        </w:rPr>
        <w:t xml:space="preserve"> </w:t>
      </w:r>
      <w:proofErr w:type="spellStart"/>
      <w:r>
        <w:rPr>
          <w:rFonts w:ascii="Verdana" w:eastAsia="Calibri" w:hAnsi="Verdana" w:cs="Arial"/>
          <w:lang w:val="es-ES" w:eastAsia="es-ES"/>
        </w:rPr>
        <w:t>Laudy</w:t>
      </w:r>
      <w:proofErr w:type="spellEnd"/>
      <w:r w:rsidRPr="2D01692F">
        <w:rPr>
          <w:rFonts w:ascii="Verdana" w:eastAsia="Calibri" w:hAnsi="Verdana" w:cs="Arial"/>
          <w:lang w:val="es-ES" w:eastAsia="es-ES"/>
        </w:rPr>
        <w:t>:</w:t>
      </w:r>
    </w:p>
    <w:p w14:paraId="23A7BAAC" w14:textId="77777777" w:rsidR="00E47B7E" w:rsidRPr="00CC5C68" w:rsidRDefault="00E47B7E" w:rsidP="00E47B7E">
      <w:pPr>
        <w:spacing w:after="0" w:line="276" w:lineRule="auto"/>
        <w:contextualSpacing/>
        <w:jc w:val="both"/>
        <w:rPr>
          <w:rFonts w:ascii="Verdana" w:eastAsia="Calibri" w:hAnsi="Verdana" w:cs="Arial"/>
          <w:lang w:val="es-ES_tradnl" w:eastAsia="es-ES_tradnl"/>
        </w:rPr>
      </w:pPr>
    </w:p>
    <w:p w14:paraId="23A7BAAD" w14:textId="77777777" w:rsidR="00E47B7E" w:rsidRPr="00CC5C68" w:rsidRDefault="00E47B7E" w:rsidP="00E47B7E">
      <w:pPr>
        <w:spacing w:after="0" w:line="276" w:lineRule="auto"/>
        <w:contextualSpacing/>
        <w:jc w:val="both"/>
        <w:rPr>
          <w:rFonts w:ascii="Verdana" w:eastAsia="Calibri" w:hAnsi="Verdana" w:cs="Arial"/>
          <w:lang w:val="es-ES" w:eastAsia="es-ES_tradnl"/>
        </w:rPr>
      </w:pPr>
      <w:r w:rsidRPr="00CC5C68">
        <w:rPr>
          <w:rFonts w:ascii="Verdana" w:eastAsia="Calibri" w:hAnsi="Verdana" w:cs="Arial"/>
          <w:lang w:val="es-ES" w:eastAsia="es-ES_tradnl"/>
        </w:rPr>
        <w:t xml:space="preserve">En ejercicio de la competencia otorgada por los artículos 3, numeral 5º, y 11, numeral 8º, del Decreto Ley 4170 de 2011, así como lo establecido en el artículo 4 de la Resolución 1707 de 2018 expedida por esta Entidad, la Agencia Nacional de Contratación Pública – Colombia Compra Eficiente– responde su solicitud de consulta de fecha </w:t>
      </w:r>
      <w:r>
        <w:rPr>
          <w:rFonts w:ascii="Verdana" w:eastAsia="Calibri" w:hAnsi="Verdana" w:cs="Arial"/>
          <w:lang w:val="es-ES" w:eastAsia="es-ES_tradnl"/>
        </w:rPr>
        <w:t>26</w:t>
      </w:r>
      <w:r w:rsidRPr="00CC5C68">
        <w:rPr>
          <w:rFonts w:ascii="Verdana" w:eastAsia="Calibri" w:hAnsi="Verdana" w:cs="Arial"/>
          <w:lang w:val="es-ES" w:eastAsia="es-ES_tradnl"/>
        </w:rPr>
        <w:t xml:space="preserve"> de </w:t>
      </w:r>
      <w:r>
        <w:rPr>
          <w:rFonts w:ascii="Verdana" w:eastAsia="Calibri" w:hAnsi="Verdana" w:cs="Arial"/>
          <w:lang w:val="es-ES" w:eastAsia="es-ES_tradnl"/>
        </w:rPr>
        <w:t>noviembre</w:t>
      </w:r>
      <w:r w:rsidRPr="00CC5C68">
        <w:rPr>
          <w:rFonts w:ascii="Verdana" w:eastAsia="Calibri" w:hAnsi="Verdana" w:cs="Arial"/>
          <w:lang w:val="es-ES" w:eastAsia="es-ES_tradnl"/>
        </w:rPr>
        <w:t xml:space="preserve"> de 2024, en la cual manifiesta lo siguiente:</w:t>
      </w:r>
    </w:p>
    <w:p w14:paraId="23A7BAAE" w14:textId="77777777" w:rsidR="00E47B7E" w:rsidRPr="00CC5C68" w:rsidRDefault="00E47B7E" w:rsidP="00E47B7E">
      <w:pPr>
        <w:spacing w:after="0" w:line="276" w:lineRule="auto"/>
        <w:contextualSpacing/>
        <w:jc w:val="both"/>
        <w:rPr>
          <w:rFonts w:ascii="Verdana" w:eastAsia="Calibri" w:hAnsi="Verdana" w:cs="Arial"/>
          <w:b/>
          <w:szCs w:val="24"/>
          <w:lang w:val="es-ES_tradnl" w:eastAsia="es-ES_tradnl"/>
        </w:rPr>
      </w:pPr>
    </w:p>
    <w:p w14:paraId="23A7BAAF" w14:textId="77777777" w:rsidR="00E47B7E" w:rsidRDefault="00E47B7E" w:rsidP="00E47B7E">
      <w:pPr>
        <w:spacing w:after="0" w:line="240" w:lineRule="auto"/>
        <w:ind w:left="709" w:right="709"/>
        <w:contextualSpacing/>
        <w:jc w:val="both"/>
        <w:rPr>
          <w:rFonts w:ascii="Verdana" w:eastAsia="Times New Roman" w:hAnsi="Verdana" w:cs="Arial"/>
          <w:sz w:val="21"/>
          <w:szCs w:val="21"/>
          <w:lang w:eastAsia="es-ES_tradnl"/>
        </w:rPr>
      </w:pPr>
      <w:r w:rsidRPr="00CC5C68">
        <w:rPr>
          <w:rFonts w:ascii="Verdana" w:eastAsia="Times New Roman" w:hAnsi="Verdana" w:cs="Arial"/>
          <w:sz w:val="21"/>
          <w:szCs w:val="21"/>
          <w:lang w:eastAsia="es-ES_tradnl"/>
        </w:rPr>
        <w:t>“</w:t>
      </w:r>
      <w:r w:rsidRPr="004B6389">
        <w:rPr>
          <w:rFonts w:ascii="Verdana" w:eastAsia="Times New Roman" w:hAnsi="Verdana" w:cs="Arial"/>
          <w:sz w:val="21"/>
          <w:szCs w:val="21"/>
          <w:lang w:eastAsia="es-ES_tradnl"/>
        </w:rPr>
        <w:t>¿Pueden dos mismos miembros de una figura asociativa constituir dos consorcios denominados de manera diferente para procesos de contratación desarrollados en entidades estatales diferentes? Esto teniendo en cuenta que tendrían el mismo porcentaje de participación en ambos procesos.</w:t>
      </w:r>
      <w:r w:rsidRPr="004A7575">
        <w:rPr>
          <w:rFonts w:ascii="Verdana" w:eastAsia="Times New Roman" w:hAnsi="Verdana" w:cs="Arial"/>
          <w:sz w:val="21"/>
          <w:szCs w:val="21"/>
          <w:lang w:eastAsia="es-ES_tradnl"/>
        </w:rPr>
        <w:t>?</w:t>
      </w:r>
      <w:r w:rsidRPr="00CC5C68">
        <w:rPr>
          <w:rFonts w:ascii="Verdana" w:eastAsia="Times New Roman" w:hAnsi="Verdana" w:cs="Arial"/>
          <w:sz w:val="21"/>
          <w:szCs w:val="21"/>
          <w:lang w:eastAsia="es-ES_tradnl"/>
        </w:rPr>
        <w:t>”</w:t>
      </w:r>
      <w:r>
        <w:rPr>
          <w:rFonts w:ascii="Verdana" w:eastAsia="Times New Roman" w:hAnsi="Verdana" w:cs="Arial"/>
          <w:sz w:val="21"/>
          <w:szCs w:val="21"/>
          <w:lang w:eastAsia="es-ES_tradnl"/>
        </w:rPr>
        <w:t xml:space="preserve"> </w:t>
      </w:r>
    </w:p>
    <w:p w14:paraId="23A7BAB0" w14:textId="77777777" w:rsidR="00E47B7E" w:rsidRDefault="00E47B7E" w:rsidP="00E47B7E">
      <w:pPr>
        <w:spacing w:after="0" w:line="240" w:lineRule="auto"/>
        <w:ind w:right="709"/>
        <w:contextualSpacing/>
        <w:jc w:val="both"/>
        <w:rPr>
          <w:rFonts w:ascii="Verdana" w:eastAsia="Times New Roman" w:hAnsi="Verdana" w:cs="Arial"/>
          <w:sz w:val="21"/>
          <w:szCs w:val="21"/>
          <w:lang w:eastAsia="es-ES_tradnl"/>
        </w:rPr>
      </w:pPr>
    </w:p>
    <w:p w14:paraId="23A7BAB1" w14:textId="77777777" w:rsidR="00E47B7E" w:rsidRPr="00CC5C68" w:rsidRDefault="00E47B7E" w:rsidP="00E47B7E">
      <w:pPr>
        <w:spacing w:after="0" w:line="240" w:lineRule="auto"/>
        <w:ind w:right="709"/>
        <w:contextualSpacing/>
        <w:jc w:val="both"/>
        <w:rPr>
          <w:rFonts w:ascii="Verdana" w:eastAsia="Times New Roman" w:hAnsi="Verdana" w:cs="Arial"/>
          <w:sz w:val="21"/>
          <w:szCs w:val="21"/>
          <w:lang w:eastAsia="es-ES_tradnl"/>
        </w:rPr>
      </w:pPr>
    </w:p>
    <w:p w14:paraId="23A7BAB2" w14:textId="77777777" w:rsidR="00E47B7E" w:rsidRPr="00CC5C68" w:rsidRDefault="00E47B7E" w:rsidP="00E47B7E">
      <w:pPr>
        <w:spacing w:after="120" w:line="276" w:lineRule="auto"/>
        <w:ind w:firstLine="709"/>
        <w:jc w:val="both"/>
        <w:rPr>
          <w:rFonts w:ascii="Verdana" w:eastAsia="Calibri" w:hAnsi="Verdana" w:cs="Arial"/>
          <w:color w:val="000000"/>
          <w:szCs w:val="24"/>
          <w:lang w:val="es-ES_tradnl" w:eastAsia="es-ES_tradnl"/>
        </w:rPr>
      </w:pPr>
      <w:r w:rsidRPr="00CC5C68">
        <w:rPr>
          <w:rFonts w:ascii="Verdana" w:eastAsia="Calibri" w:hAnsi="Verdana" w:cs="Arial"/>
          <w:color w:val="000000"/>
          <w:lang w:val="es-ES" w:eastAsia="es-ES"/>
        </w:rPr>
        <w:t xml:space="preserve">De manera preliminar, resulta necesario acotar que esta entidad solo tiene competencia para responder consultas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 de todos los partícipes del sistema de compra pública. La competencia de esta entidad se fija con límites claros, con el objeto de evitar que la Agencia actúe como una instancia de validación de las actuaciones de las entidades sujetas a la Ley 80 de 1993 o de </w:t>
      </w:r>
      <w:r w:rsidRPr="00CC5C68">
        <w:rPr>
          <w:rFonts w:ascii="Verdana" w:eastAsia="Calibri" w:hAnsi="Verdana" w:cs="Arial"/>
          <w:color w:val="000000"/>
          <w:lang w:val="es-ES" w:eastAsia="es-ES"/>
        </w:rPr>
        <w:lastRenderedPageBreak/>
        <w:t xml:space="preserve">los demás participantes de la contratación pública. Esta competencia de interpretación de normas generales, por definición, no puede extenderse a la resolución de controversias, ni a brindar asesorías sobre casos puntuales. </w:t>
      </w:r>
      <w:r w:rsidRPr="00CC5C68">
        <w:rPr>
          <w:rFonts w:ascii="Verdana" w:eastAsia="Calibri" w:hAnsi="Verdana" w:cs="Arial"/>
          <w:color w:val="000000"/>
          <w:szCs w:val="24"/>
          <w:lang w:val="es-ES_tradnl" w:eastAsia="es-ES_tradnl"/>
        </w:rPr>
        <w:tab/>
      </w:r>
    </w:p>
    <w:p w14:paraId="23A7BAB3" w14:textId="77777777" w:rsidR="00E47B7E" w:rsidRPr="00CC5C68" w:rsidRDefault="00E47B7E" w:rsidP="00E47B7E">
      <w:pPr>
        <w:spacing w:after="0" w:line="276" w:lineRule="auto"/>
        <w:ind w:firstLine="709"/>
        <w:jc w:val="both"/>
        <w:rPr>
          <w:rFonts w:ascii="Verdana" w:eastAsia="Calibri" w:hAnsi="Verdana" w:cs="Arial"/>
          <w:lang w:val="es-ES" w:eastAsia="es-ES"/>
        </w:rPr>
      </w:pPr>
      <w:r w:rsidRPr="00CC5C68">
        <w:rPr>
          <w:rFonts w:ascii="Verdana" w:eastAsia="Calibri" w:hAnsi="Verdana" w:cs="Arial"/>
          <w:lang w:val="es-ES" w:eastAsia="es-ES"/>
        </w:rPr>
        <w:t>Conforme lo expuesto, en aras de satisfacer el derecho fundamental de petición se resolverá su consulta dentro de los límites de la referida competencia consultiva,</w:t>
      </w:r>
      <w:r>
        <w:rPr>
          <w:rFonts w:ascii="Verdana" w:eastAsia="Calibri" w:hAnsi="Verdana" w:cs="Arial"/>
          <w:lang w:val="es-ES" w:eastAsia="es-ES"/>
        </w:rPr>
        <w:t xml:space="preserve"> </w:t>
      </w:r>
      <w:r w:rsidRPr="00CC5C68">
        <w:rPr>
          <w:rFonts w:ascii="Verdana" w:eastAsia="Calibri" w:hAnsi="Verdana" w:cs="Arial"/>
          <w:lang w:val="es-ES" w:eastAsia="es-ES"/>
        </w:rPr>
        <w:t xml:space="preserve">haciendo unas consideraciones sobre las normas generales relacionadas con los problemas jurídicos de su consulta. </w:t>
      </w:r>
    </w:p>
    <w:p w14:paraId="23A7BAB4" w14:textId="77777777" w:rsidR="00E47B7E" w:rsidRPr="00CC5C68" w:rsidRDefault="00E47B7E" w:rsidP="00E47B7E">
      <w:pPr>
        <w:spacing w:after="0" w:line="276" w:lineRule="auto"/>
        <w:contextualSpacing/>
        <w:jc w:val="both"/>
        <w:rPr>
          <w:rFonts w:ascii="Verdana" w:eastAsia="Times New Roman" w:hAnsi="Verdana" w:cs="Arial"/>
          <w:szCs w:val="24"/>
          <w:lang w:val="es-ES_tradnl" w:eastAsia="es-ES_tradnl"/>
        </w:rPr>
      </w:pPr>
    </w:p>
    <w:p w14:paraId="23A7BAB5" w14:textId="77777777" w:rsidR="00E47B7E" w:rsidRPr="00CC5C68" w:rsidRDefault="00E47B7E" w:rsidP="00E47B7E">
      <w:pPr>
        <w:tabs>
          <w:tab w:val="left" w:pos="0"/>
          <w:tab w:val="left" w:pos="284"/>
        </w:tabs>
        <w:spacing w:after="0" w:line="276" w:lineRule="auto"/>
        <w:contextualSpacing/>
        <w:jc w:val="both"/>
        <w:rPr>
          <w:rFonts w:ascii="Verdana" w:eastAsia="Calibri" w:hAnsi="Verdana" w:cs="Arial"/>
          <w:b/>
          <w:lang w:val="es-ES_tradnl"/>
        </w:rPr>
      </w:pPr>
      <w:r w:rsidRPr="00CC5C68">
        <w:rPr>
          <w:rFonts w:ascii="Verdana" w:eastAsia="Calibri" w:hAnsi="Verdana" w:cs="Arial"/>
          <w:b/>
          <w:lang w:val="es-ES_tradnl"/>
        </w:rPr>
        <w:t>1. Problema planteado:</w:t>
      </w:r>
    </w:p>
    <w:p w14:paraId="23A7BAB6" w14:textId="77777777" w:rsidR="00E47B7E" w:rsidRPr="00CC5C68" w:rsidRDefault="00E47B7E" w:rsidP="00E47B7E">
      <w:pPr>
        <w:tabs>
          <w:tab w:val="left" w:pos="0"/>
          <w:tab w:val="left" w:pos="284"/>
        </w:tabs>
        <w:spacing w:after="0" w:line="276" w:lineRule="auto"/>
        <w:contextualSpacing/>
        <w:jc w:val="both"/>
        <w:rPr>
          <w:rFonts w:ascii="Verdana" w:eastAsia="Calibri" w:hAnsi="Verdana" w:cs="Arial"/>
          <w:b/>
          <w:lang w:val="es-ES_tradnl"/>
        </w:rPr>
      </w:pPr>
    </w:p>
    <w:p w14:paraId="23A7BAB7" w14:textId="77777777" w:rsidR="00E47B7E" w:rsidRPr="00992D2F" w:rsidRDefault="00E47B7E" w:rsidP="00E47B7E">
      <w:pPr>
        <w:spacing w:after="0" w:line="276" w:lineRule="auto"/>
        <w:jc w:val="both"/>
        <w:rPr>
          <w:rFonts w:ascii="Verdana" w:eastAsia="Century Gothic" w:hAnsi="Verdana" w:cs="Century Gothic"/>
        </w:rPr>
      </w:pPr>
      <w:r w:rsidRPr="00CC5C68">
        <w:rPr>
          <w:rFonts w:ascii="Verdana" w:eastAsia="Century Gothic" w:hAnsi="Verdana" w:cs="Century Gothic"/>
        </w:rPr>
        <w:t xml:space="preserve">De acuerdo con el contenido de su solicitud, esta Agencia resolverá </w:t>
      </w:r>
      <w:r>
        <w:rPr>
          <w:rFonts w:ascii="Verdana" w:eastAsia="Century Gothic" w:hAnsi="Verdana" w:cs="Century Gothic"/>
        </w:rPr>
        <w:t xml:space="preserve">el </w:t>
      </w:r>
      <w:r w:rsidRPr="00CC5C68">
        <w:rPr>
          <w:rFonts w:ascii="Verdana" w:eastAsia="Century Gothic" w:hAnsi="Verdana" w:cs="Century Gothic"/>
        </w:rPr>
        <w:t>siguiente problema jurídico</w:t>
      </w:r>
      <w:r>
        <w:rPr>
          <w:rFonts w:ascii="Verdana" w:eastAsia="Century Gothic" w:hAnsi="Verdana" w:cs="Century Gothic"/>
        </w:rPr>
        <w:t>, en materia de contratación estatal</w:t>
      </w:r>
      <w:r w:rsidRPr="00CC5C68">
        <w:rPr>
          <w:rFonts w:ascii="Verdana" w:eastAsia="Century Gothic" w:hAnsi="Verdana" w:cs="Century Gothic"/>
        </w:rPr>
        <w:t xml:space="preserve">: </w:t>
      </w:r>
      <w:r w:rsidRPr="00992D2F">
        <w:rPr>
          <w:rFonts w:ascii="Verdana" w:eastAsia="Century Gothic" w:hAnsi="Verdana" w:cs="Century Gothic"/>
        </w:rPr>
        <w:t>¿</w:t>
      </w:r>
      <w:r>
        <w:rPr>
          <w:rFonts w:ascii="Verdana" w:eastAsia="Century Gothic" w:hAnsi="Verdana" w:cs="Century Gothic"/>
          <w:lang w:val="es-ES"/>
        </w:rPr>
        <w:t>E</w:t>
      </w:r>
      <w:r w:rsidRPr="00992D2F">
        <w:rPr>
          <w:rFonts w:ascii="Verdana" w:eastAsia="Century Gothic" w:hAnsi="Verdana" w:cs="Century Gothic"/>
          <w:lang w:val="es-ES"/>
        </w:rPr>
        <w:t xml:space="preserve">s viable jurídicamente que </w:t>
      </w:r>
      <w:r w:rsidRPr="004B6389">
        <w:rPr>
          <w:rFonts w:ascii="Verdana" w:eastAsia="Times New Roman" w:hAnsi="Verdana" w:cs="Arial"/>
          <w:sz w:val="21"/>
          <w:szCs w:val="21"/>
          <w:lang w:eastAsia="es-ES_tradnl"/>
        </w:rPr>
        <w:t xml:space="preserve">dos mismos miembros de una figura asociativa </w:t>
      </w:r>
      <w:r>
        <w:rPr>
          <w:rFonts w:ascii="Verdana" w:eastAsia="Times New Roman" w:hAnsi="Verdana" w:cs="Arial"/>
          <w:sz w:val="21"/>
          <w:szCs w:val="21"/>
          <w:lang w:eastAsia="es-ES_tradnl"/>
        </w:rPr>
        <w:t>constituyan</w:t>
      </w:r>
      <w:r w:rsidRPr="004B6389">
        <w:rPr>
          <w:rFonts w:ascii="Verdana" w:eastAsia="Times New Roman" w:hAnsi="Verdana" w:cs="Arial"/>
          <w:sz w:val="21"/>
          <w:szCs w:val="21"/>
          <w:lang w:eastAsia="es-ES_tradnl"/>
        </w:rPr>
        <w:t xml:space="preserve"> dos consorcios denominados de manera diferente para procesos de contratación desarrollados en entidades estatales diferentes?</w:t>
      </w:r>
    </w:p>
    <w:p w14:paraId="23A7BAB8" w14:textId="77777777" w:rsidR="00E47B7E" w:rsidRDefault="00E47B7E" w:rsidP="00E47B7E">
      <w:pPr>
        <w:spacing w:after="0" w:line="276" w:lineRule="auto"/>
        <w:jc w:val="both"/>
        <w:rPr>
          <w:rFonts w:ascii="Verdana" w:eastAsia="Century Gothic" w:hAnsi="Verdana" w:cs="Century Gothic"/>
        </w:rPr>
      </w:pPr>
    </w:p>
    <w:p w14:paraId="23A7BAB9" w14:textId="77777777" w:rsidR="00E47B7E" w:rsidRPr="00CC5C68" w:rsidRDefault="00E47B7E" w:rsidP="00E47B7E">
      <w:pPr>
        <w:tabs>
          <w:tab w:val="left" w:pos="142"/>
          <w:tab w:val="left" w:pos="284"/>
        </w:tabs>
        <w:spacing w:after="0" w:line="276" w:lineRule="auto"/>
        <w:jc w:val="both"/>
        <w:rPr>
          <w:rFonts w:ascii="Verdana" w:eastAsia="Century Gothic" w:hAnsi="Verdana" w:cs="Century Gothic"/>
          <w:b/>
          <w:bCs/>
        </w:rPr>
      </w:pPr>
      <w:r w:rsidRPr="00CC5C68">
        <w:rPr>
          <w:rFonts w:ascii="Verdana" w:eastAsia="Century Gothic" w:hAnsi="Verdana" w:cs="Century Gothic"/>
          <w:b/>
          <w:bCs/>
        </w:rPr>
        <w:t>2. Respuesta:</w:t>
      </w:r>
    </w:p>
    <w:p w14:paraId="23A7BABA" w14:textId="77777777" w:rsidR="00E47B7E" w:rsidRPr="00CC5C68" w:rsidRDefault="00E47B7E" w:rsidP="00E47B7E">
      <w:pPr>
        <w:tabs>
          <w:tab w:val="left" w:pos="142"/>
          <w:tab w:val="left" w:pos="284"/>
        </w:tabs>
        <w:spacing w:after="0" w:line="276" w:lineRule="auto"/>
        <w:jc w:val="both"/>
        <w:rPr>
          <w:rFonts w:ascii="Verdana" w:eastAsia="Century Gothic" w:hAnsi="Verdana" w:cs="Century Gothic"/>
          <w:b/>
          <w:bCs/>
          <w:lang w:val="es-ES"/>
        </w:rPr>
      </w:pPr>
    </w:p>
    <w:tbl>
      <w:tblPr>
        <w:tblStyle w:val="Tablaconcuadrcu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28"/>
      </w:tblGrid>
      <w:tr w:rsidR="00E47B7E" w:rsidRPr="00CC5C68" w14:paraId="23A7BACE" w14:textId="77777777" w:rsidTr="00C77973">
        <w:tc>
          <w:tcPr>
            <w:tcW w:w="8828" w:type="dxa"/>
            <w:shd w:val="clear" w:color="auto" w:fill="auto"/>
          </w:tcPr>
          <w:p w14:paraId="23A7BABB" w14:textId="77777777" w:rsidR="00E47B7E" w:rsidRDefault="00E47B7E" w:rsidP="00C77973">
            <w:pPr>
              <w:spacing w:after="120" w:line="276" w:lineRule="auto"/>
              <w:jc w:val="both"/>
              <w:rPr>
                <w:rFonts w:ascii="Verdana" w:eastAsia="Calibri" w:hAnsi="Verdana" w:cs="Arial"/>
              </w:rPr>
            </w:pPr>
            <w:r>
              <w:rPr>
                <w:rFonts w:ascii="Verdana" w:eastAsia="Calibri" w:hAnsi="Verdana" w:cs="Arial"/>
                <w:lang w:val="es-ES"/>
              </w:rPr>
              <w:t xml:space="preserve">Frente al interrogante planteado, es pertinente indicar que es viable jurídicamente que dos mismos miembros constituyan uno o cuantos proponentes plurales consideren y que estos participen en uno o varios procesos de contratación adelantados por diferentes entidades públicas, sin perjuicio </w:t>
            </w:r>
            <w:r>
              <w:rPr>
                <w:rFonts w:ascii="Verdana" w:hAnsi="Verdana" w:cs="Arial"/>
                <w:color w:val="000000" w:themeColor="text1"/>
              </w:rPr>
              <w:t>de cumplir con las condiciones de uso del SECOP II en los procesos que se gestionan de manera transaccional, es decir, es deber de los proponentes realizar la respectiva inscripción del proponente plural de manera individual a cada proceso que pretende postularse</w:t>
            </w:r>
            <w:r>
              <w:rPr>
                <w:rFonts w:ascii="Verdana" w:eastAsia="Calibri" w:hAnsi="Verdana" w:cs="Arial"/>
                <w:lang w:val="es-ES"/>
              </w:rPr>
              <w:t>. Lo anterior fundamentado en que e</w:t>
            </w:r>
            <w:r w:rsidRPr="00065C6D">
              <w:rPr>
                <w:rFonts w:ascii="Verdana" w:eastAsia="Calibri" w:hAnsi="Verdana" w:cs="Arial"/>
                <w:lang w:val="es-ES"/>
              </w:rPr>
              <w:t>l consorcio o la unión temporal surge “Cuando dos o más personas en forma conjunta presentan una misma propuesta para la adjudicación, celebración y ejecución de un contrato […]”.</w:t>
            </w:r>
            <w:r>
              <w:rPr>
                <w:rStyle w:val="Refdenotaalpie"/>
                <w:rFonts w:ascii="Verdana" w:eastAsia="Calibri" w:hAnsi="Verdana" w:cs="Arial"/>
                <w:lang w:val="es-ES"/>
              </w:rPr>
              <w:footnoteReference w:id="1"/>
            </w:r>
            <w:r w:rsidRPr="00065C6D">
              <w:rPr>
                <w:rFonts w:ascii="Verdana" w:eastAsia="Calibri" w:hAnsi="Verdana" w:cs="Arial"/>
                <w:lang w:val="es-ES"/>
              </w:rPr>
              <w:t xml:space="preserve"> </w:t>
            </w:r>
            <w:r w:rsidRPr="00071565">
              <w:rPr>
                <w:rFonts w:ascii="Verdana" w:eastAsia="Calibri" w:hAnsi="Verdana" w:cs="Arial"/>
              </w:rPr>
              <w:t xml:space="preserve">Como </w:t>
            </w:r>
            <w:r>
              <w:rPr>
                <w:rFonts w:ascii="Verdana" w:eastAsia="Calibri" w:hAnsi="Verdana" w:cs="Arial"/>
              </w:rPr>
              <w:t xml:space="preserve">se </w:t>
            </w:r>
            <w:r w:rsidRPr="00071565">
              <w:rPr>
                <w:rFonts w:ascii="Verdana" w:eastAsia="Calibri" w:hAnsi="Verdana" w:cs="Arial"/>
              </w:rPr>
              <w:t>p</w:t>
            </w:r>
            <w:r>
              <w:rPr>
                <w:rFonts w:ascii="Verdana" w:eastAsia="Calibri" w:hAnsi="Verdana" w:cs="Arial"/>
              </w:rPr>
              <w:t>uede</w:t>
            </w:r>
            <w:r w:rsidRPr="00071565">
              <w:rPr>
                <w:rFonts w:ascii="Verdana" w:eastAsia="Calibri" w:hAnsi="Verdana" w:cs="Arial"/>
              </w:rPr>
              <w:t xml:space="preserve"> observar, la definición de estos convenios hace especial precisión en que la creación de estos</w:t>
            </w:r>
            <w:r>
              <w:rPr>
                <w:rFonts w:ascii="Verdana" w:eastAsia="Calibri" w:hAnsi="Verdana" w:cs="Arial"/>
              </w:rPr>
              <w:t xml:space="preserve">, </w:t>
            </w:r>
            <w:r w:rsidRPr="00071565">
              <w:rPr>
                <w:rFonts w:ascii="Verdana" w:eastAsia="Calibri" w:hAnsi="Verdana" w:cs="Arial"/>
              </w:rPr>
              <w:t>tiene un fin claro y es la facultad de ser adjudicatarios de</w:t>
            </w:r>
            <w:r w:rsidRPr="003734FE">
              <w:rPr>
                <w:rFonts w:ascii="Verdana" w:eastAsia="Calibri" w:hAnsi="Verdana" w:cs="Arial"/>
                <w:u w:val="single"/>
              </w:rPr>
              <w:t>l contrato estatal</w:t>
            </w:r>
            <w:r w:rsidRPr="003734FE">
              <w:rPr>
                <w:rFonts w:ascii="Verdana" w:eastAsia="Calibri" w:hAnsi="Verdana" w:cs="Arial"/>
              </w:rPr>
              <w:t xml:space="preserve">. </w:t>
            </w:r>
          </w:p>
          <w:p w14:paraId="23A7BABC" w14:textId="77777777" w:rsidR="00E47B7E" w:rsidRDefault="00E47B7E" w:rsidP="00C77973">
            <w:pPr>
              <w:spacing w:after="120" w:line="276" w:lineRule="auto"/>
              <w:jc w:val="both"/>
              <w:rPr>
                <w:rFonts w:ascii="Verdana" w:eastAsia="Calibri" w:hAnsi="Verdana" w:cs="Arial"/>
              </w:rPr>
            </w:pPr>
          </w:p>
          <w:p w14:paraId="23A7BABD" w14:textId="77777777" w:rsidR="00E47B7E" w:rsidRDefault="00E47B7E" w:rsidP="00C77973">
            <w:pPr>
              <w:spacing w:after="120" w:line="276" w:lineRule="auto"/>
              <w:jc w:val="both"/>
              <w:rPr>
                <w:rFonts w:ascii="Verdana" w:eastAsia="Calibri" w:hAnsi="Verdana" w:cs="Arial"/>
              </w:rPr>
            </w:pPr>
            <w:r>
              <w:rPr>
                <w:rFonts w:ascii="Verdana" w:eastAsia="Calibri" w:hAnsi="Verdana" w:cs="Arial"/>
              </w:rPr>
              <w:lastRenderedPageBreak/>
              <w:t>Ahora bien, la Agencia ha definido unas líneas claras en la que se explica en los conceptos más recientes C-050 del 18 de julio de 2024, C-727 del 28 de octubre de 2024, entre otros, y se aclara que:</w:t>
            </w:r>
          </w:p>
          <w:p w14:paraId="23A7BABE" w14:textId="77777777" w:rsidR="00E47B7E" w:rsidRDefault="00E47B7E" w:rsidP="00C77973">
            <w:pPr>
              <w:spacing w:after="120" w:line="276" w:lineRule="auto"/>
              <w:jc w:val="both"/>
              <w:rPr>
                <w:rFonts w:ascii="Verdana" w:eastAsia="Calibri" w:hAnsi="Verdana" w:cs="Arial"/>
              </w:rPr>
            </w:pPr>
          </w:p>
          <w:p w14:paraId="23A7BABF" w14:textId="77777777" w:rsidR="00E47B7E" w:rsidRPr="003734FE" w:rsidRDefault="00E47B7E" w:rsidP="00C77973">
            <w:pPr>
              <w:spacing w:after="120" w:line="276" w:lineRule="auto"/>
              <w:ind w:left="709" w:right="709"/>
              <w:jc w:val="both"/>
              <w:rPr>
                <w:rFonts w:ascii="Verdana" w:eastAsia="Calibri" w:hAnsi="Verdana" w:cs="Arial"/>
              </w:rPr>
            </w:pPr>
            <w:r>
              <w:rPr>
                <w:rFonts w:ascii="Verdana" w:eastAsia="Calibri" w:hAnsi="Verdana" w:cs="Arial"/>
              </w:rPr>
              <w:t>Lo</w:t>
            </w:r>
            <w:r w:rsidRPr="003734FE">
              <w:rPr>
                <w:rFonts w:ascii="Verdana" w:eastAsia="Calibri" w:hAnsi="Verdana" w:cs="Arial"/>
              </w:rPr>
              <w:t xml:space="preserve">s </w:t>
            </w:r>
            <w:r>
              <w:rPr>
                <w:rFonts w:ascii="Verdana" w:eastAsia="Calibri" w:hAnsi="Verdana" w:cs="Arial"/>
              </w:rPr>
              <w:t>proponentes plurales</w:t>
            </w:r>
            <w:r w:rsidRPr="003734FE">
              <w:rPr>
                <w:rFonts w:ascii="Verdana" w:eastAsia="Calibri" w:hAnsi="Verdana" w:cs="Arial"/>
              </w:rPr>
              <w:t>, son convenios de asociación provenientes de la colaboración empresarial, mediante los cuales sus integrantes se unen y se organizan mancomunadamente para lograr con mayor eficacia un fin común de contenido patrimonial y lucrativo, como lo es la obtención del derecho a ser adjudicatarios de un</w:t>
            </w:r>
            <w:r>
              <w:rPr>
                <w:rFonts w:ascii="Verdana" w:eastAsia="Calibri" w:hAnsi="Verdana" w:cs="Arial"/>
              </w:rPr>
              <w:t>o</w:t>
            </w:r>
            <w:r w:rsidRPr="003734FE">
              <w:rPr>
                <w:rFonts w:ascii="Verdana" w:eastAsia="Calibri" w:hAnsi="Verdana" w:cs="Arial"/>
              </w:rPr>
              <w:t xml:space="preserve"> o varios contratos estatales, compartiendo recursos, de toda índole, para su ejecución, así como las utilidades y los riesgos.</w:t>
            </w:r>
          </w:p>
          <w:p w14:paraId="23A7BAC0" w14:textId="77777777" w:rsidR="00E47B7E" w:rsidRDefault="00E47B7E" w:rsidP="00C77973">
            <w:pPr>
              <w:spacing w:after="120" w:line="276" w:lineRule="auto"/>
              <w:ind w:left="709" w:right="709"/>
              <w:jc w:val="both"/>
              <w:rPr>
                <w:rFonts w:ascii="Verdana" w:eastAsia="Calibri" w:hAnsi="Verdana" w:cs="Arial"/>
              </w:rPr>
            </w:pPr>
            <w:r w:rsidRPr="003734FE">
              <w:rPr>
                <w:rFonts w:ascii="Verdana" w:eastAsia="Calibri" w:hAnsi="Verdana" w:cs="Arial"/>
              </w:rPr>
              <w:t>Es de tener en cuenta que un proponente plural, aunque por lo general es creado para participar en un proceso de selección en particular, no existe impedimento o prohibición alguna que limite su actividad a un solo contrato, es decir puede participar en más de un proceso de selección y así mismo ejecutar más de un contrato.</w:t>
            </w:r>
            <w:r>
              <w:rPr>
                <w:rFonts w:ascii="Verdana" w:eastAsia="Calibri" w:hAnsi="Verdana" w:cs="Arial"/>
              </w:rPr>
              <w:t xml:space="preserve"> […]</w:t>
            </w:r>
          </w:p>
          <w:p w14:paraId="23A7BAC1" w14:textId="77777777" w:rsidR="00E47B7E" w:rsidRDefault="00E47B7E" w:rsidP="00C77973">
            <w:pPr>
              <w:spacing w:after="120" w:line="276" w:lineRule="auto"/>
              <w:jc w:val="both"/>
              <w:rPr>
                <w:rFonts w:ascii="Verdana" w:eastAsia="Calibri" w:hAnsi="Verdana" w:cs="Arial"/>
              </w:rPr>
            </w:pPr>
          </w:p>
          <w:p w14:paraId="23A7BAC2" w14:textId="77777777" w:rsidR="00E47B7E" w:rsidRDefault="00E47B7E" w:rsidP="00C77973">
            <w:pPr>
              <w:spacing w:after="120" w:line="276" w:lineRule="auto"/>
              <w:jc w:val="both"/>
              <w:rPr>
                <w:rFonts w:ascii="Verdana" w:eastAsia="Calibri" w:hAnsi="Verdana" w:cs="Arial"/>
                <w:lang w:val="es-ES"/>
              </w:rPr>
            </w:pPr>
            <w:r w:rsidRPr="00065C6D">
              <w:rPr>
                <w:rFonts w:ascii="Verdana" w:eastAsia="Calibri" w:hAnsi="Verdana" w:cs="Arial"/>
                <w:lang w:val="es-ES"/>
              </w:rPr>
              <w:t xml:space="preserve">Desde esta perspectiva, </w:t>
            </w:r>
            <w:r>
              <w:rPr>
                <w:rFonts w:ascii="Verdana" w:eastAsia="Calibri" w:hAnsi="Verdana" w:cs="Arial"/>
                <w:lang w:val="es-ES"/>
              </w:rPr>
              <w:t xml:space="preserve">la </w:t>
            </w:r>
            <w:r w:rsidRPr="00065C6D">
              <w:rPr>
                <w:rFonts w:ascii="Verdana" w:eastAsia="Calibri" w:hAnsi="Verdana" w:cs="Arial"/>
                <w:lang w:val="es-ES"/>
              </w:rPr>
              <w:t>capacidad jurídica</w:t>
            </w:r>
            <w:r>
              <w:rPr>
                <w:rFonts w:ascii="Verdana" w:eastAsia="Calibri" w:hAnsi="Verdana" w:cs="Arial"/>
                <w:lang w:val="es-ES"/>
              </w:rPr>
              <w:t xml:space="preserve"> de los proponentes plurales</w:t>
            </w:r>
            <w:r w:rsidRPr="00065C6D">
              <w:rPr>
                <w:rFonts w:ascii="Verdana" w:eastAsia="Calibri" w:hAnsi="Verdana" w:cs="Arial"/>
                <w:lang w:val="es-ES"/>
              </w:rPr>
              <w:t xml:space="preserve"> se limita al campo de la contratación estatal de las entidades sometidas al EGCAP, es decir, a las relaciones en consorcios y las uniones temporales con las entidades estatales del artículo 2 de la Ley 80 de 1993.</w:t>
            </w:r>
            <w:r>
              <w:rPr>
                <w:rFonts w:ascii="Verdana" w:eastAsia="Calibri" w:hAnsi="Verdana" w:cs="Arial"/>
                <w:lang w:val="es-ES"/>
              </w:rPr>
              <w:t xml:space="preserve"> </w:t>
            </w:r>
          </w:p>
          <w:p w14:paraId="23A7BAC3" w14:textId="77777777" w:rsidR="00E47B7E" w:rsidRDefault="00E47B7E" w:rsidP="00C77973">
            <w:pPr>
              <w:spacing w:after="120" w:line="276" w:lineRule="auto"/>
              <w:jc w:val="both"/>
              <w:rPr>
                <w:rFonts w:ascii="Verdana" w:hAnsi="Verdana" w:cs="Arial"/>
                <w:color w:val="000000" w:themeColor="text1"/>
              </w:rPr>
            </w:pPr>
            <w:r>
              <w:rPr>
                <w:rFonts w:ascii="Verdana" w:eastAsia="Calibri" w:hAnsi="Verdana" w:cs="Arial"/>
                <w:lang w:val="es-ES" w:eastAsia="es-ES"/>
              </w:rPr>
              <w:t>Así, l</w:t>
            </w:r>
            <w:r>
              <w:rPr>
                <w:rFonts w:ascii="Verdana" w:hAnsi="Verdana" w:cs="Arial"/>
                <w:color w:val="000000" w:themeColor="text1"/>
              </w:rPr>
              <w:t xml:space="preserve">as personas que conforman proponentes plurales pueden presentar </w:t>
            </w:r>
            <w:r w:rsidRPr="00B33BA7">
              <w:rPr>
                <w:rFonts w:ascii="Verdana" w:hAnsi="Verdana" w:cs="Arial"/>
                <w:color w:val="000000" w:themeColor="text1"/>
              </w:rPr>
              <w:t xml:space="preserve">en forma conjunta </w:t>
            </w:r>
            <w:r>
              <w:rPr>
                <w:rFonts w:ascii="Verdana" w:hAnsi="Verdana" w:cs="Arial"/>
                <w:color w:val="000000" w:themeColor="text1"/>
              </w:rPr>
              <w:t>una</w:t>
            </w:r>
            <w:r w:rsidRPr="00B33BA7">
              <w:rPr>
                <w:rFonts w:ascii="Verdana" w:hAnsi="Verdana" w:cs="Arial"/>
                <w:color w:val="000000" w:themeColor="text1"/>
              </w:rPr>
              <w:t xml:space="preserve"> propuesta para la adjudicación, celebración y ejecución d</w:t>
            </w:r>
            <w:r>
              <w:rPr>
                <w:rFonts w:ascii="Verdana" w:hAnsi="Verdana" w:cs="Arial"/>
                <w:color w:val="000000" w:themeColor="text1"/>
              </w:rPr>
              <w:t xml:space="preserve">e contratos estatales con </w:t>
            </w:r>
            <w:r w:rsidRPr="008706A7">
              <w:rPr>
                <w:rFonts w:ascii="Verdana" w:hAnsi="Verdana" w:cs="Arial"/>
                <w:i/>
                <w:iCs/>
                <w:color w:val="000000" w:themeColor="text1"/>
              </w:rPr>
              <w:t>una o varias</w:t>
            </w:r>
            <w:r>
              <w:rPr>
                <w:rFonts w:ascii="Verdana" w:hAnsi="Verdana" w:cs="Arial"/>
                <w:color w:val="000000" w:themeColor="text1"/>
              </w:rPr>
              <w:t xml:space="preserve"> de las entidades descritas en la norma precitada. Dichas ofertas serán analizadas de acuerdo con los criterios habilitantes y factores de evaluación del pliego de condiciones o documento equivalente, en el marco de las reglas previstas en el Estatuto General de Contratación, sus normas complementarias y los reglamentos respectivos. El proponente plural debe estar debidamente constituido dentro de cada uno de los procesos en que desee presentarse, sin perjuicio de cumplir con las condiciones de uso del SECOP II en los procesos que se gestionan de manera transaccional.</w:t>
            </w:r>
          </w:p>
          <w:p w14:paraId="23A7BAC4" w14:textId="77777777" w:rsidR="00E47B7E" w:rsidRDefault="00E47B7E" w:rsidP="00C77973">
            <w:pPr>
              <w:spacing w:after="120" w:line="276" w:lineRule="auto"/>
              <w:jc w:val="both"/>
              <w:rPr>
                <w:rFonts w:ascii="Verdana" w:hAnsi="Verdana" w:cs="Arial"/>
                <w:color w:val="000000" w:themeColor="text1"/>
              </w:rPr>
            </w:pPr>
            <w:r>
              <w:rPr>
                <w:rFonts w:ascii="Verdana" w:hAnsi="Verdana" w:cs="Arial"/>
                <w:color w:val="000000" w:themeColor="text1"/>
              </w:rPr>
              <w:lastRenderedPageBreak/>
              <w:t xml:space="preserve">Ahora bien, lo que no podría realizarse es que los integrantes del proponente plural presenten ofertas de manera individual en la misma entidad o entidades donde ya han presentado oferta a través de un proponente plural, puesto que al momento de evaluación de ofertas, se evalúan los requisitos habilitantes de oferentes, y para el caso, se evalúan los aportes de manera individual de los integrantes del proponente plural, los cuales serán evaluados doblemente en caso que se presenten la situación, rompiendo con los principios de la contratación. </w:t>
            </w:r>
          </w:p>
          <w:p w14:paraId="23A7BAC5" w14:textId="77777777" w:rsidR="00E47B7E" w:rsidRDefault="00E47B7E" w:rsidP="00C77973">
            <w:pPr>
              <w:spacing w:after="120" w:line="276" w:lineRule="auto"/>
              <w:jc w:val="both"/>
              <w:rPr>
                <w:rFonts w:ascii="Verdana" w:hAnsi="Verdana" w:cs="Arial"/>
                <w:color w:val="000000" w:themeColor="text1"/>
              </w:rPr>
            </w:pPr>
            <w:r>
              <w:rPr>
                <w:rFonts w:ascii="Verdana" w:hAnsi="Verdana" w:cs="Arial"/>
                <w:color w:val="000000" w:themeColor="text1"/>
              </w:rPr>
              <w:t>Por lo anterior es claro que, n</w:t>
            </w:r>
            <w:r w:rsidRPr="003D2BD4">
              <w:rPr>
                <w:rFonts w:ascii="Verdana" w:hAnsi="Verdana" w:cs="Arial"/>
                <w:color w:val="000000" w:themeColor="text1"/>
              </w:rPr>
              <w:t xml:space="preserve">o existe un impedimento jurídico explícito para que los mismos miembros participen en diferentes consorcios con la misma proporción de participación, siempre y cuando cada </w:t>
            </w:r>
            <w:r>
              <w:rPr>
                <w:rFonts w:ascii="Verdana" w:hAnsi="Verdana" w:cs="Arial"/>
                <w:color w:val="000000" w:themeColor="text1"/>
              </w:rPr>
              <w:t>proponente plural</w:t>
            </w:r>
            <w:r w:rsidRPr="003D2BD4">
              <w:rPr>
                <w:rFonts w:ascii="Verdana" w:hAnsi="Verdana" w:cs="Arial"/>
                <w:color w:val="000000" w:themeColor="text1"/>
              </w:rPr>
              <w:t xml:space="preserve"> sea tratado como una entidad independiente en cada proceso contractual. Esto incluye el cumplimiento de las obligaciones derivadas de cada contrato</w:t>
            </w:r>
            <w:r>
              <w:rPr>
                <w:rFonts w:ascii="Verdana" w:hAnsi="Verdana" w:cs="Arial"/>
                <w:color w:val="000000" w:themeColor="text1"/>
              </w:rPr>
              <w:t>, la responsabilidad y obligaciones de orden tributario</w:t>
            </w:r>
            <w:r w:rsidRPr="003D2BD4">
              <w:rPr>
                <w:rFonts w:ascii="Verdana" w:hAnsi="Verdana" w:cs="Arial"/>
                <w:color w:val="000000" w:themeColor="text1"/>
              </w:rPr>
              <w:t xml:space="preserve"> y la gestión de riesgos asociados a la solidaridad que la ley impone sobre los miembros de los </w:t>
            </w:r>
            <w:r>
              <w:rPr>
                <w:rFonts w:ascii="Verdana" w:hAnsi="Verdana" w:cs="Arial"/>
                <w:color w:val="000000" w:themeColor="text1"/>
              </w:rPr>
              <w:t xml:space="preserve">integrantes de los </w:t>
            </w:r>
            <w:proofErr w:type="spellStart"/>
            <w:r>
              <w:rPr>
                <w:rFonts w:ascii="Verdana" w:hAnsi="Verdana" w:cs="Arial"/>
                <w:color w:val="000000" w:themeColor="text1"/>
              </w:rPr>
              <w:t>proponenters</w:t>
            </w:r>
            <w:proofErr w:type="spellEnd"/>
            <w:r>
              <w:rPr>
                <w:rFonts w:ascii="Verdana" w:hAnsi="Verdana" w:cs="Arial"/>
                <w:color w:val="000000" w:themeColor="text1"/>
              </w:rPr>
              <w:t xml:space="preserve"> plurales, todo lo anterior en cumplimiento de lo previsto en el </w:t>
            </w:r>
            <w:r w:rsidRPr="003D2BD4">
              <w:rPr>
                <w:rFonts w:ascii="Verdana" w:hAnsi="Verdana" w:cs="Arial"/>
                <w:color w:val="000000" w:themeColor="text1"/>
              </w:rPr>
              <w:t>artículo 7</w:t>
            </w:r>
            <w:r>
              <w:rPr>
                <w:rFonts w:ascii="Verdana" w:hAnsi="Verdana" w:cs="Arial"/>
                <w:color w:val="000000" w:themeColor="text1"/>
              </w:rPr>
              <w:t xml:space="preserve"> de la </w:t>
            </w:r>
            <w:r w:rsidRPr="003D2BD4">
              <w:rPr>
                <w:rFonts w:ascii="Verdana" w:hAnsi="Verdana" w:cs="Arial"/>
                <w:color w:val="000000" w:themeColor="text1"/>
              </w:rPr>
              <w:t>Ley 80 de 1993</w:t>
            </w:r>
            <w:r>
              <w:rPr>
                <w:rFonts w:ascii="Verdana" w:hAnsi="Verdana" w:cs="Arial"/>
                <w:color w:val="000000" w:themeColor="text1"/>
              </w:rPr>
              <w:t>.</w:t>
            </w:r>
          </w:p>
          <w:p w14:paraId="23A7BAC6" w14:textId="77777777" w:rsidR="00E47B7E" w:rsidRDefault="00E47B7E" w:rsidP="00C77973">
            <w:pPr>
              <w:spacing w:after="120" w:line="276" w:lineRule="auto"/>
              <w:jc w:val="both"/>
              <w:rPr>
                <w:rFonts w:ascii="Verdana" w:hAnsi="Verdana" w:cs="Arial"/>
                <w:color w:val="000000" w:themeColor="text1"/>
              </w:rPr>
            </w:pPr>
          </w:p>
          <w:p w14:paraId="23A7BAC7" w14:textId="77777777" w:rsidR="00E47B7E" w:rsidRDefault="00E47B7E" w:rsidP="00C77973">
            <w:pPr>
              <w:spacing w:after="120" w:line="276" w:lineRule="auto"/>
              <w:jc w:val="both"/>
              <w:rPr>
                <w:rFonts w:ascii="Verdana" w:hAnsi="Verdana" w:cs="Arial"/>
                <w:color w:val="000000" w:themeColor="text1"/>
              </w:rPr>
            </w:pPr>
            <w:r>
              <w:rPr>
                <w:rFonts w:ascii="Verdana" w:hAnsi="Verdana" w:cs="Arial"/>
                <w:color w:val="000000" w:themeColor="text1"/>
              </w:rPr>
              <w:t>Resulta i</w:t>
            </w:r>
            <w:r w:rsidRPr="006B4D4E">
              <w:rPr>
                <w:rFonts w:ascii="Verdana" w:hAnsi="Verdana" w:cs="Arial"/>
                <w:color w:val="000000" w:themeColor="text1"/>
              </w:rPr>
              <w:t>mportante analizar las normas específicas de cada proceso de contratación y las restricciones que puedan aplicar en términos de integridad, conflicto de interés o competencia desleal. Estas disposiciones pueden variar según la entidad contratante y el tipo de proceso</w:t>
            </w:r>
            <w:r>
              <w:rPr>
                <w:rFonts w:ascii="Verdana" w:hAnsi="Verdana" w:cs="Arial"/>
                <w:color w:val="000000" w:themeColor="text1"/>
              </w:rPr>
              <w:t xml:space="preserve"> contractual al cual se presente propuesta como proponente plural.</w:t>
            </w:r>
          </w:p>
          <w:p w14:paraId="23A7BAC8" w14:textId="77777777" w:rsidR="00E47B7E" w:rsidRPr="006B4D4E" w:rsidRDefault="00E47B7E" w:rsidP="00C77973">
            <w:pPr>
              <w:spacing w:after="120" w:line="276" w:lineRule="auto"/>
              <w:jc w:val="both"/>
              <w:rPr>
                <w:rFonts w:ascii="Verdana" w:hAnsi="Verdana" w:cs="Arial"/>
                <w:color w:val="000000" w:themeColor="text1"/>
              </w:rPr>
            </w:pPr>
          </w:p>
          <w:p w14:paraId="23A7BAC9" w14:textId="77777777" w:rsidR="00E47B7E" w:rsidRPr="006B4D4E" w:rsidRDefault="00E47B7E" w:rsidP="00C77973">
            <w:pPr>
              <w:spacing w:after="120" w:line="276" w:lineRule="auto"/>
              <w:jc w:val="both"/>
              <w:rPr>
                <w:rFonts w:ascii="Verdana" w:hAnsi="Verdana" w:cs="Arial"/>
                <w:color w:val="000000" w:themeColor="text1"/>
              </w:rPr>
            </w:pPr>
            <w:r>
              <w:rPr>
                <w:rFonts w:ascii="Verdana" w:hAnsi="Verdana" w:cs="Arial"/>
                <w:color w:val="000000" w:themeColor="text1"/>
              </w:rPr>
              <w:t>Es preciso concluir que b</w:t>
            </w:r>
            <w:r w:rsidRPr="006B4D4E">
              <w:rPr>
                <w:rFonts w:ascii="Verdana" w:hAnsi="Verdana" w:cs="Arial"/>
                <w:color w:val="000000" w:themeColor="text1"/>
              </w:rPr>
              <w:t>ajo el marco general de la Ley 80, sí es posible que dos mismos miembros conformen dos consorcios</w:t>
            </w:r>
            <w:r>
              <w:rPr>
                <w:rFonts w:ascii="Verdana" w:hAnsi="Verdana" w:cs="Arial"/>
                <w:color w:val="000000" w:themeColor="text1"/>
              </w:rPr>
              <w:t xml:space="preserve"> y/o uniones temporales</w:t>
            </w:r>
            <w:r w:rsidRPr="006B4D4E">
              <w:rPr>
                <w:rFonts w:ascii="Verdana" w:hAnsi="Verdana" w:cs="Arial"/>
                <w:color w:val="000000" w:themeColor="text1"/>
              </w:rPr>
              <w:t xml:space="preserve"> diferentes con el mismo porcentaje de participación para procesos de contratación en distintas entidades estatales, salvo que existan restricciones específicas en los pliegos de condiciones o normativa aplicable al proceso.</w:t>
            </w:r>
          </w:p>
          <w:p w14:paraId="23A7BACA" w14:textId="77777777" w:rsidR="00E47B7E" w:rsidRDefault="00E47B7E" w:rsidP="00C77973">
            <w:pPr>
              <w:spacing w:after="120" w:line="276" w:lineRule="auto"/>
              <w:jc w:val="both"/>
              <w:rPr>
                <w:rFonts w:ascii="Verdana" w:hAnsi="Verdana" w:cs="Arial"/>
                <w:color w:val="000000" w:themeColor="text1"/>
              </w:rPr>
            </w:pPr>
          </w:p>
          <w:p w14:paraId="23A7BACB" w14:textId="77777777" w:rsidR="00E47B7E" w:rsidRDefault="00E47B7E" w:rsidP="00C77973">
            <w:pPr>
              <w:spacing w:after="120" w:line="276" w:lineRule="auto"/>
              <w:jc w:val="both"/>
              <w:rPr>
                <w:rFonts w:ascii="Verdana" w:hAnsi="Verdana" w:cs="Arial"/>
                <w:color w:val="000000" w:themeColor="text1"/>
              </w:rPr>
            </w:pPr>
          </w:p>
          <w:p w14:paraId="23A7BACC" w14:textId="77777777" w:rsidR="00E47B7E" w:rsidRDefault="00E47B7E" w:rsidP="00C77973">
            <w:pPr>
              <w:spacing w:after="120" w:line="276" w:lineRule="auto"/>
              <w:jc w:val="both"/>
              <w:rPr>
                <w:rFonts w:ascii="Verdana" w:hAnsi="Verdana" w:cs="Arial"/>
                <w:color w:val="000000" w:themeColor="text1"/>
              </w:rPr>
            </w:pPr>
          </w:p>
          <w:p w14:paraId="23A7BACD" w14:textId="77777777" w:rsidR="00E47B7E" w:rsidRPr="00992D2F" w:rsidRDefault="00E47B7E" w:rsidP="00C77973">
            <w:pPr>
              <w:spacing w:after="120" w:line="276" w:lineRule="auto"/>
              <w:jc w:val="both"/>
              <w:rPr>
                <w:rFonts w:ascii="Verdana" w:hAnsi="Verdana" w:cs="Arial"/>
                <w:color w:val="000000" w:themeColor="text1"/>
              </w:rPr>
            </w:pPr>
          </w:p>
        </w:tc>
      </w:tr>
    </w:tbl>
    <w:p w14:paraId="23A7BACF" w14:textId="77777777" w:rsidR="00E47B7E" w:rsidRPr="00CC5C68" w:rsidRDefault="00E47B7E" w:rsidP="00E47B7E">
      <w:pPr>
        <w:spacing w:after="0" w:line="276" w:lineRule="auto"/>
        <w:contextualSpacing/>
        <w:jc w:val="both"/>
        <w:rPr>
          <w:rFonts w:ascii="Verdana" w:eastAsia="Times New Roman" w:hAnsi="Verdana" w:cs="Arial"/>
          <w:lang w:eastAsia="es-ES_tradnl"/>
        </w:rPr>
      </w:pPr>
    </w:p>
    <w:p w14:paraId="23A7BAD0" w14:textId="77777777" w:rsidR="00E47B7E" w:rsidRPr="00CC5C68" w:rsidRDefault="00E47B7E" w:rsidP="00E47B7E">
      <w:pPr>
        <w:pStyle w:val="Prrafodelista"/>
        <w:tabs>
          <w:tab w:val="left" w:pos="142"/>
          <w:tab w:val="left" w:pos="284"/>
        </w:tabs>
        <w:spacing w:after="0" w:line="276" w:lineRule="auto"/>
        <w:ind w:left="0"/>
        <w:contextualSpacing w:val="0"/>
        <w:jc w:val="both"/>
        <w:rPr>
          <w:rFonts w:ascii="Verdana" w:eastAsia="Century Gothic" w:hAnsi="Verdana" w:cs="Century Gothic"/>
          <w:b/>
          <w:bCs/>
        </w:rPr>
      </w:pPr>
      <w:r w:rsidRPr="00CC5C68">
        <w:rPr>
          <w:rFonts w:ascii="Verdana" w:eastAsia="Century Gothic" w:hAnsi="Verdana" w:cs="Century Gothic"/>
          <w:b/>
          <w:bCs/>
        </w:rPr>
        <w:lastRenderedPageBreak/>
        <w:t>3. Razones de la respuesta:</w:t>
      </w:r>
    </w:p>
    <w:p w14:paraId="23A7BAD1" w14:textId="77777777" w:rsidR="00E47B7E" w:rsidRPr="00CC5C68" w:rsidRDefault="00E47B7E" w:rsidP="00E47B7E">
      <w:pPr>
        <w:spacing w:after="0" w:line="276" w:lineRule="auto"/>
        <w:jc w:val="both"/>
        <w:rPr>
          <w:rFonts w:ascii="Verdana" w:eastAsia="Calibri" w:hAnsi="Verdana" w:cs="Arial"/>
          <w:color w:val="7030A0"/>
          <w:lang w:val="es-ES"/>
        </w:rPr>
      </w:pPr>
    </w:p>
    <w:p w14:paraId="23A7BAD2" w14:textId="77777777" w:rsidR="00E47B7E" w:rsidRPr="00CC5C68" w:rsidRDefault="00E47B7E" w:rsidP="00E47B7E">
      <w:pPr>
        <w:spacing w:after="0" w:line="276" w:lineRule="auto"/>
        <w:jc w:val="both"/>
        <w:rPr>
          <w:rFonts w:ascii="Verdana" w:eastAsia="Calibri" w:hAnsi="Verdana" w:cs="Arial"/>
          <w:lang w:val="es-ES"/>
        </w:rPr>
      </w:pPr>
      <w:r w:rsidRPr="00CC5C68">
        <w:rPr>
          <w:rFonts w:ascii="Verdana" w:eastAsia="Calibri" w:hAnsi="Verdana" w:cs="Arial"/>
          <w:lang w:val="es-ES"/>
        </w:rPr>
        <w:t xml:space="preserve">Lo anterior se sustenta en las siguientes consideraciones: </w:t>
      </w:r>
    </w:p>
    <w:p w14:paraId="23A7BAD3" w14:textId="77777777" w:rsidR="00E47B7E" w:rsidRPr="00CC5C68" w:rsidRDefault="00E47B7E" w:rsidP="00E47B7E">
      <w:pPr>
        <w:spacing w:after="0" w:line="276" w:lineRule="auto"/>
        <w:jc w:val="both"/>
        <w:rPr>
          <w:rFonts w:ascii="Verdana" w:eastAsia="Calibri" w:hAnsi="Verdana" w:cs="Arial"/>
          <w:lang w:val="es-ES"/>
        </w:rPr>
      </w:pPr>
    </w:p>
    <w:p w14:paraId="23A7BAD4" w14:textId="77777777" w:rsidR="00E47B7E" w:rsidRDefault="00E47B7E" w:rsidP="00E47B7E">
      <w:pPr>
        <w:spacing w:after="120" w:line="276" w:lineRule="auto"/>
        <w:jc w:val="both"/>
        <w:rPr>
          <w:rFonts w:ascii="Verdana" w:eastAsia="Calibri" w:hAnsi="Verdana" w:cs="Arial"/>
          <w:lang w:val="es-MX"/>
        </w:rPr>
      </w:pPr>
      <w:r w:rsidRPr="008A4AEC">
        <w:rPr>
          <w:rFonts w:ascii="Verdana" w:hAnsi="Verdana" w:cs="Arial"/>
          <w:lang w:val="es-ES_tradnl"/>
        </w:rPr>
        <w:t xml:space="preserve">Si bien las personas pueden presentarse individualmente a los procesos de selección, también pueden hacerlo en forma plural a través de consorcios o uniones temporales. En efecto, </w:t>
      </w:r>
      <w:r w:rsidRPr="008A4AEC">
        <w:rPr>
          <w:rFonts w:ascii="Verdana" w:eastAsia="Calibri" w:hAnsi="Verdana" w:cs="Arial"/>
          <w:lang w:val="es-MX"/>
        </w:rPr>
        <w:t xml:space="preserve">de acuerdo con el Código Civil, la capacidad se refiere a la facultad que la ley le confiere a la persona para ejercer derechos y contraer obligaciones. Esta norma parte del supuesto de que todas las personas naturales mayores de edad son capaces, con excepción de aquellas que la ley expresamente excluye de esta presunción –artículos 1502, 1503 y 1504–, y de que la capacidad de las personas jurídicas se circunscribe a su objeto social –artículo 99 del Código de Comercio–. </w:t>
      </w:r>
    </w:p>
    <w:p w14:paraId="23A7BAD5" w14:textId="77777777" w:rsidR="00E47B7E" w:rsidRPr="008A4AEC" w:rsidRDefault="00E47B7E" w:rsidP="00E47B7E">
      <w:pPr>
        <w:spacing w:after="120" w:line="276" w:lineRule="auto"/>
        <w:jc w:val="both"/>
        <w:rPr>
          <w:rFonts w:ascii="Verdana" w:eastAsia="Calibri" w:hAnsi="Verdana" w:cs="Arial"/>
          <w:lang w:val="es-MX"/>
        </w:rPr>
      </w:pPr>
      <w:r w:rsidRPr="008A4AEC">
        <w:rPr>
          <w:rFonts w:ascii="Verdana" w:eastAsia="Calibri" w:hAnsi="Verdana" w:cs="Arial"/>
          <w:lang w:val="es-MX"/>
        </w:rPr>
        <w:t>Al respecto, el artículo 6 de la Ley 80 de 1993 –modificado por el artículo 1 de la Ley 2160 de 2021– dispone que: “Pueden celebrar contratos con las entidades estatales las personas consideradas legalmente capaces en las disposiciones vigentes. También podrán celebrar contratos con las entidades estatales […] los consorcios y uniones temporales”.</w:t>
      </w:r>
    </w:p>
    <w:p w14:paraId="23A7BAD6" w14:textId="77777777" w:rsidR="00E47B7E" w:rsidRPr="008A4AEC" w:rsidRDefault="00E47B7E" w:rsidP="00E47B7E">
      <w:pPr>
        <w:spacing w:after="0" w:line="276" w:lineRule="auto"/>
        <w:ind w:firstLine="720"/>
        <w:jc w:val="both"/>
        <w:rPr>
          <w:rFonts w:ascii="Verdana" w:eastAsia="Calibri" w:hAnsi="Verdana" w:cs="Arial"/>
          <w:bCs/>
          <w:color w:val="000000" w:themeColor="text1"/>
          <w:lang w:val="es-ES"/>
        </w:rPr>
      </w:pPr>
      <w:r w:rsidRPr="008A4AEC">
        <w:rPr>
          <w:rFonts w:ascii="Verdana" w:eastAsia="Calibri" w:hAnsi="Verdana" w:cs="Arial"/>
          <w:bCs/>
          <w:color w:val="000000" w:themeColor="text1"/>
          <w:lang w:val="es-ES"/>
        </w:rPr>
        <w:t>La capacidad para contratar, e incluso la de realizar actos jurídicamente vinculantes como la presentación de una oferta en un procedimiento de selección de contratistas, se consideró por mucho tiempo</w:t>
      </w:r>
      <w:r>
        <w:rPr>
          <w:rFonts w:ascii="Verdana" w:eastAsia="Calibri" w:hAnsi="Verdana" w:cs="Arial"/>
          <w:bCs/>
          <w:color w:val="000000" w:themeColor="text1"/>
          <w:lang w:val="es-ES"/>
        </w:rPr>
        <w:t xml:space="preserve"> cómo</w:t>
      </w:r>
      <w:r w:rsidRPr="008A4AEC">
        <w:rPr>
          <w:rFonts w:ascii="Verdana" w:eastAsia="Calibri" w:hAnsi="Verdana" w:cs="Arial"/>
          <w:bCs/>
          <w:color w:val="000000" w:themeColor="text1"/>
          <w:lang w:val="es-ES"/>
        </w:rPr>
        <w:t xml:space="preserve"> uno de los atributos de la personalidad reservado, en tanto tal, a las personas jurídicas y naturales. No obstante, el progreso en las formas negociales y asociativas hizo necesario reconocer nuevas estructuras plurales y otorgarles ciertos atributos que tradicionalmente habían estado reservados a las personas jurídicas. Tal es precisamente el caso de la capacidad para contratar otorgada a los consorcios y uniones temporales. En este sentido, la Corte Constitucional ha sostenido:</w:t>
      </w:r>
    </w:p>
    <w:p w14:paraId="23A7BAD7" w14:textId="77777777" w:rsidR="00E47B7E" w:rsidRPr="008A4AEC" w:rsidRDefault="00E47B7E" w:rsidP="00E47B7E">
      <w:pPr>
        <w:spacing w:after="0" w:line="276" w:lineRule="auto"/>
        <w:jc w:val="both"/>
        <w:rPr>
          <w:rFonts w:ascii="Verdana" w:eastAsia="Calibri" w:hAnsi="Verdana" w:cs="Arial"/>
          <w:bCs/>
          <w:color w:val="000000" w:themeColor="text1"/>
          <w:lang w:val="es-ES"/>
        </w:rPr>
      </w:pPr>
    </w:p>
    <w:p w14:paraId="23A7BAD8" w14:textId="77777777" w:rsidR="00E47B7E" w:rsidRPr="008A4AEC" w:rsidRDefault="00E47B7E" w:rsidP="00E47B7E">
      <w:pPr>
        <w:spacing w:after="0" w:line="240" w:lineRule="auto"/>
        <w:ind w:left="709" w:right="709"/>
        <w:jc w:val="both"/>
        <w:rPr>
          <w:rFonts w:ascii="Verdana" w:eastAsia="Calibri" w:hAnsi="Verdana" w:cs="Arial"/>
          <w:bCs/>
          <w:color w:val="000000" w:themeColor="text1"/>
          <w:sz w:val="21"/>
          <w:szCs w:val="21"/>
        </w:rPr>
      </w:pPr>
      <w:r w:rsidRPr="008A4AEC">
        <w:rPr>
          <w:rFonts w:ascii="Verdana" w:eastAsia="Calibri" w:hAnsi="Verdana" w:cs="Arial"/>
          <w:bCs/>
          <w:color w:val="000000" w:themeColor="text1"/>
          <w:sz w:val="21"/>
          <w:szCs w:val="21"/>
        </w:rPr>
        <w:t>“Respecto de la capacidad legal para contratar y la personalidad jurídica señala, que la Ley 80 de 1993 al crear las figuras de los consorcios y uniones temporales, y construirlas como sujetos de la contratación administrativa, reconoce una realidad del mundo negocial: la necesidad de los contratos de colaboración económica para la efectiva realización de proyectos de contratación pública, altamente especializados e intensivos en capital y, así mismo, indispensables para que el Estado Social de Derecho, cumpla los cometidos para los cuales fue instituido- Preámbulo, artículos 1 y 2 de la Carta Política.</w:t>
      </w:r>
    </w:p>
    <w:p w14:paraId="23A7BAD9" w14:textId="77777777" w:rsidR="00E47B7E" w:rsidRPr="008A4AEC" w:rsidRDefault="00E47B7E" w:rsidP="00E47B7E">
      <w:pPr>
        <w:spacing w:after="120" w:line="240" w:lineRule="auto"/>
        <w:ind w:left="709" w:right="709"/>
        <w:jc w:val="both"/>
        <w:rPr>
          <w:rFonts w:ascii="Verdana" w:eastAsia="Calibri" w:hAnsi="Verdana" w:cs="Arial"/>
          <w:bCs/>
          <w:color w:val="000000" w:themeColor="text1"/>
          <w:sz w:val="21"/>
          <w:szCs w:val="21"/>
        </w:rPr>
      </w:pPr>
      <w:r w:rsidRPr="008A4AEC">
        <w:rPr>
          <w:rFonts w:ascii="Verdana" w:eastAsia="Calibri" w:hAnsi="Verdana" w:cs="Arial"/>
          <w:bCs/>
          <w:color w:val="000000" w:themeColor="text1"/>
          <w:sz w:val="21"/>
          <w:szCs w:val="21"/>
        </w:rPr>
        <w:t>[…]</w:t>
      </w:r>
    </w:p>
    <w:p w14:paraId="23A7BADA" w14:textId="77777777" w:rsidR="00E47B7E" w:rsidRPr="008A4AEC" w:rsidRDefault="00E47B7E" w:rsidP="00E47B7E">
      <w:pPr>
        <w:spacing w:after="0" w:line="240" w:lineRule="auto"/>
        <w:ind w:left="709" w:right="709"/>
        <w:jc w:val="both"/>
        <w:rPr>
          <w:rFonts w:ascii="Verdana" w:eastAsia="Calibri" w:hAnsi="Verdana" w:cs="Arial"/>
          <w:bCs/>
          <w:color w:val="000000" w:themeColor="text1"/>
          <w:sz w:val="21"/>
          <w:szCs w:val="21"/>
        </w:rPr>
      </w:pPr>
      <w:r w:rsidRPr="008A4AEC">
        <w:rPr>
          <w:rFonts w:ascii="Verdana" w:eastAsia="Calibri" w:hAnsi="Verdana" w:cs="Arial"/>
          <w:bCs/>
          <w:color w:val="000000" w:themeColor="text1"/>
          <w:sz w:val="21"/>
          <w:szCs w:val="21"/>
        </w:rPr>
        <w:lastRenderedPageBreak/>
        <w:t>En torno a la capacidad contractual de los consorcios y uniones temporales la jurisprudencia constitucional ha expresado que el Estatuto de contratación les reconoce este atributo sin exigirles como condición de su ejercicio la de ser personas morales. También ha dicho que el consorcio es un convenio de asociación, o mejor, un sistema de mediación que permite a sus miembros organizarse mancomunadamente para la celebración y ejecución de un contrato con el Estado, sin que por ello pierdan su individualidad jurídica, pero asumiendo un grado de responsabilidad solidaria en el cumplimiento de las obligaciones contractuales”</w:t>
      </w:r>
      <w:r w:rsidRPr="008A4AEC">
        <w:rPr>
          <w:rStyle w:val="Refdenotaalpie"/>
          <w:rFonts w:ascii="Verdana" w:eastAsia="Calibri" w:hAnsi="Verdana" w:cs="Arial"/>
          <w:bCs/>
          <w:color w:val="000000" w:themeColor="text1"/>
          <w:sz w:val="21"/>
          <w:szCs w:val="21"/>
        </w:rPr>
        <w:footnoteReference w:id="2"/>
      </w:r>
      <w:r w:rsidRPr="008A4AEC">
        <w:rPr>
          <w:rFonts w:ascii="Verdana" w:eastAsia="Calibri" w:hAnsi="Verdana" w:cs="Arial"/>
          <w:bCs/>
          <w:color w:val="000000" w:themeColor="text1"/>
          <w:sz w:val="21"/>
          <w:szCs w:val="21"/>
        </w:rPr>
        <w:t>.</w:t>
      </w:r>
    </w:p>
    <w:p w14:paraId="23A7BADB" w14:textId="77777777" w:rsidR="00E47B7E" w:rsidRPr="008A4AEC" w:rsidRDefault="00E47B7E" w:rsidP="00E47B7E">
      <w:pPr>
        <w:spacing w:after="0"/>
        <w:ind w:left="720" w:right="730"/>
        <w:jc w:val="both"/>
        <w:rPr>
          <w:rFonts w:ascii="Verdana" w:eastAsia="Calibri" w:hAnsi="Verdana" w:cs="Arial"/>
          <w:bCs/>
          <w:color w:val="000000" w:themeColor="text1"/>
          <w:sz w:val="21"/>
          <w:szCs w:val="21"/>
        </w:rPr>
      </w:pPr>
    </w:p>
    <w:p w14:paraId="23A7BADC" w14:textId="77777777" w:rsidR="00E47B7E" w:rsidRPr="008A4AEC" w:rsidRDefault="00E47B7E" w:rsidP="00E47B7E">
      <w:pPr>
        <w:spacing w:after="120" w:line="276" w:lineRule="auto"/>
        <w:ind w:firstLine="720"/>
        <w:jc w:val="both"/>
        <w:rPr>
          <w:rFonts w:ascii="Verdana" w:eastAsia="Calibri" w:hAnsi="Verdana" w:cs="Arial"/>
          <w:bCs/>
          <w:color w:val="000000" w:themeColor="text1"/>
          <w:lang w:val="es-ES"/>
        </w:rPr>
      </w:pPr>
      <w:bookmarkStart w:id="0" w:name="_Hlk135067740"/>
      <w:r w:rsidRPr="008A4AEC">
        <w:rPr>
          <w:rFonts w:ascii="Verdana" w:eastAsia="Calibri" w:hAnsi="Verdana" w:cs="Arial"/>
          <w:bCs/>
          <w:color w:val="000000" w:themeColor="text1"/>
          <w:lang w:val="es-ES"/>
        </w:rPr>
        <w:t>La Corte Constitucional destaca, de un lado, que las estructuras plurales son el reconocimiento de una realidad negocial en materia de contratación estatal, y del otro, que esta colaboración económica entre sujetos de derecho permite la materialización de los fines del estado, al facilitar la efectiva ejecución de los contratos. Adicionalmente, puntualiza que la capacidad contractual de los consorcios y uniones temporales se reconoce sin necesidad de exigirles como condición de su ejercicio que sean personas morales lo que, hasta cierto punto, podría considerarse una evolución en la teoría de la personalidad jurídica.</w:t>
      </w:r>
    </w:p>
    <w:bookmarkEnd w:id="0"/>
    <w:p w14:paraId="23A7BADD" w14:textId="77777777" w:rsidR="00E47B7E" w:rsidRPr="008A4AEC" w:rsidRDefault="00E47B7E" w:rsidP="00E47B7E">
      <w:pPr>
        <w:spacing w:after="0" w:line="276" w:lineRule="auto"/>
        <w:ind w:firstLine="709"/>
        <w:jc w:val="both"/>
        <w:rPr>
          <w:rFonts w:ascii="Verdana" w:hAnsi="Verdana" w:cs="Arial"/>
        </w:rPr>
      </w:pPr>
      <w:r w:rsidRPr="008A4AEC">
        <w:rPr>
          <w:rFonts w:ascii="Verdana" w:hAnsi="Verdana" w:cs="Arial"/>
        </w:rPr>
        <w:t xml:space="preserve">Debido a que los consorcios y las uniones temporales no son personas jurídicas, su creación depende de un acuerdo en el que concurre la voluntad </w:t>
      </w:r>
      <w:r>
        <w:rPr>
          <w:rFonts w:ascii="Verdana" w:hAnsi="Verdana" w:cs="Arial"/>
        </w:rPr>
        <w:t xml:space="preserve">y capacidad jurídica </w:t>
      </w:r>
      <w:r w:rsidRPr="008A4AEC">
        <w:rPr>
          <w:rFonts w:ascii="Verdana" w:hAnsi="Verdana" w:cs="Arial"/>
        </w:rPr>
        <w:t>de sus integrantes para regular su objeto, la participación de los miembros, las obligaciones frente al proyecto, su responsabilidad, la forma en que regirán sus relaciones internas y el relacionamiento con la entidad contratante, mediante la designación de un representante, de conformidad con el parágrafo 1 del artículo 7 de la Ley 80 de 1993. En lo pertinente, la norma precitada dispone que:</w:t>
      </w:r>
    </w:p>
    <w:p w14:paraId="23A7BADE" w14:textId="77777777" w:rsidR="00E47B7E" w:rsidRPr="008A4AEC" w:rsidRDefault="00E47B7E" w:rsidP="00E47B7E">
      <w:pPr>
        <w:spacing w:after="0" w:line="276" w:lineRule="auto"/>
        <w:ind w:firstLine="709"/>
        <w:jc w:val="both"/>
        <w:rPr>
          <w:rFonts w:ascii="Verdana" w:eastAsia="Calibri" w:hAnsi="Verdana" w:cs="Arial"/>
          <w:bCs/>
          <w:color w:val="000000" w:themeColor="text1"/>
          <w:lang w:val="es-ES"/>
        </w:rPr>
      </w:pPr>
    </w:p>
    <w:p w14:paraId="23A7BADF" w14:textId="77777777" w:rsidR="00E47B7E" w:rsidRPr="008A4AEC" w:rsidRDefault="00E47B7E" w:rsidP="00E47B7E">
      <w:pPr>
        <w:spacing w:after="0" w:line="240" w:lineRule="auto"/>
        <w:ind w:left="709" w:right="709"/>
        <w:jc w:val="both"/>
        <w:rPr>
          <w:rFonts w:ascii="Verdana" w:eastAsia="Calibri" w:hAnsi="Verdana" w:cs="Arial"/>
          <w:bCs/>
          <w:color w:val="000000" w:themeColor="text1"/>
          <w:sz w:val="21"/>
          <w:lang w:val="es-ES"/>
        </w:rPr>
      </w:pPr>
      <w:r w:rsidRPr="008A4AEC">
        <w:rPr>
          <w:rFonts w:ascii="Verdana" w:eastAsia="Calibri" w:hAnsi="Verdana" w:cs="Arial"/>
          <w:bCs/>
          <w:color w:val="000000" w:themeColor="text1"/>
          <w:sz w:val="21"/>
          <w:lang w:val="es-ES"/>
        </w:rPr>
        <w:t>“Artículo 7º.- ENTIDADES A CONTRATAR. Artículo modificado por el artículo 3 de la Ley 2160 de 2021. Para los efectos de esta Ley se entiende por:</w:t>
      </w:r>
    </w:p>
    <w:p w14:paraId="23A7BAE0" w14:textId="77777777" w:rsidR="00E47B7E" w:rsidRPr="008A4AEC" w:rsidRDefault="00E47B7E" w:rsidP="00E47B7E">
      <w:pPr>
        <w:spacing w:after="120" w:line="240" w:lineRule="auto"/>
        <w:ind w:left="709" w:right="709"/>
        <w:jc w:val="both"/>
        <w:rPr>
          <w:rFonts w:ascii="Verdana" w:eastAsia="Calibri" w:hAnsi="Verdana" w:cs="Arial"/>
          <w:bCs/>
          <w:color w:val="000000" w:themeColor="text1"/>
          <w:sz w:val="21"/>
          <w:lang w:val="es-ES"/>
        </w:rPr>
      </w:pPr>
      <w:r w:rsidRPr="008A4AEC">
        <w:rPr>
          <w:rFonts w:ascii="Verdana" w:eastAsia="Calibri" w:hAnsi="Verdana" w:cs="Arial"/>
          <w:bCs/>
          <w:color w:val="000000" w:themeColor="text1"/>
          <w:sz w:val="21"/>
          <w:lang w:val="es-ES"/>
        </w:rPr>
        <w:t>[…]</w:t>
      </w:r>
    </w:p>
    <w:p w14:paraId="23A7BAE1" w14:textId="77777777" w:rsidR="00E47B7E" w:rsidRPr="008A4AEC" w:rsidRDefault="00E47B7E" w:rsidP="00E47B7E">
      <w:pPr>
        <w:spacing w:after="120" w:line="240" w:lineRule="auto"/>
        <w:ind w:left="709" w:right="709"/>
        <w:jc w:val="both"/>
        <w:rPr>
          <w:rFonts w:ascii="Verdana" w:eastAsia="Calibri" w:hAnsi="Verdana" w:cs="Arial"/>
          <w:bCs/>
          <w:color w:val="000000" w:themeColor="text1"/>
          <w:sz w:val="21"/>
          <w:lang w:val="es-ES"/>
        </w:rPr>
      </w:pPr>
      <w:r w:rsidRPr="008A4AEC">
        <w:rPr>
          <w:rFonts w:ascii="Verdana" w:eastAsia="Calibri" w:hAnsi="Verdana" w:cs="Arial"/>
          <w:bCs/>
          <w:color w:val="000000" w:themeColor="text1"/>
          <w:sz w:val="21"/>
          <w:lang w:val="es-ES"/>
        </w:rPr>
        <w:t xml:space="preserve">6. Consorcio: Cuando dos o más personas </w:t>
      </w:r>
      <w:bookmarkStart w:id="1" w:name="_Hlk180410264"/>
      <w:r w:rsidRPr="008A4AEC">
        <w:rPr>
          <w:rFonts w:ascii="Verdana" w:eastAsia="Calibri" w:hAnsi="Verdana" w:cs="Arial"/>
          <w:bCs/>
          <w:color w:val="000000" w:themeColor="text1"/>
          <w:sz w:val="21"/>
          <w:lang w:val="es-ES"/>
        </w:rPr>
        <w:t>en forma conjunta presentan una misma propuesta para la adjudicación, celebración y ejecución de un contrato</w:t>
      </w:r>
      <w:bookmarkEnd w:id="1"/>
      <w:r w:rsidRPr="008A4AEC">
        <w:rPr>
          <w:rFonts w:ascii="Verdana" w:eastAsia="Calibri" w:hAnsi="Verdana" w:cs="Arial"/>
          <w:bCs/>
          <w:color w:val="000000" w:themeColor="text1"/>
          <w:sz w:val="21"/>
          <w:lang w:val="es-ES"/>
        </w:rPr>
        <w:t xml:space="preserve">, respondiendo solidariamente de todas y cada una de las obligaciones derivadas de la propuesta y del contrato. En consecuencia, las actuaciones, hechos y omisiones que se presenten </w:t>
      </w:r>
      <w:r w:rsidRPr="008A4AEC">
        <w:rPr>
          <w:rFonts w:ascii="Verdana" w:eastAsia="Calibri" w:hAnsi="Verdana" w:cs="Arial"/>
          <w:bCs/>
          <w:color w:val="000000" w:themeColor="text1"/>
          <w:sz w:val="21"/>
          <w:lang w:val="es-ES"/>
        </w:rPr>
        <w:lastRenderedPageBreak/>
        <w:t>en desarrollo de la propuesta y del contrato, afectarán a todos los miembros que lo conforman.</w:t>
      </w:r>
    </w:p>
    <w:p w14:paraId="23A7BAE2" w14:textId="77777777" w:rsidR="00E47B7E" w:rsidRPr="008A4AEC" w:rsidRDefault="00E47B7E" w:rsidP="00E47B7E">
      <w:pPr>
        <w:spacing w:after="0" w:line="240" w:lineRule="auto"/>
        <w:ind w:left="709" w:right="709"/>
        <w:jc w:val="both"/>
        <w:rPr>
          <w:rFonts w:ascii="Verdana" w:eastAsia="Calibri" w:hAnsi="Verdana" w:cs="Arial"/>
          <w:bCs/>
          <w:color w:val="000000" w:themeColor="text1"/>
          <w:sz w:val="21"/>
          <w:lang w:val="es-ES"/>
        </w:rPr>
      </w:pPr>
      <w:r w:rsidRPr="008A4AEC">
        <w:rPr>
          <w:rFonts w:ascii="Verdana" w:eastAsia="Calibri" w:hAnsi="Verdana" w:cs="Arial"/>
          <w:bCs/>
          <w:color w:val="000000" w:themeColor="text1"/>
          <w:sz w:val="21"/>
          <w:lang w:val="es-ES"/>
        </w:rPr>
        <w:t>7. Unión Temporal: Cuando dos o más personas en forma conjunta presentan una misma propuesta para la adjudicación, celebración y ejecución de un contrato, respondiendo solidariamente por el cumplimiento total de la propuesta y del objeto contratado, pero las sanciones por el incumplimiento de las obligaciones derivadas de la propuesta y del contrato se impondrán de acuerdo con la participación en la ejecución de cada uno de los miembros de la unión temporal. </w:t>
      </w:r>
    </w:p>
    <w:p w14:paraId="23A7BAE3" w14:textId="77777777" w:rsidR="00E47B7E" w:rsidRPr="008A4AEC" w:rsidRDefault="00E47B7E" w:rsidP="00E47B7E">
      <w:pPr>
        <w:spacing w:after="120" w:line="240" w:lineRule="auto"/>
        <w:ind w:left="709" w:right="709"/>
        <w:jc w:val="both"/>
        <w:rPr>
          <w:rFonts w:ascii="Verdana" w:eastAsia="Calibri" w:hAnsi="Verdana" w:cs="Arial"/>
          <w:bCs/>
          <w:color w:val="000000" w:themeColor="text1"/>
          <w:sz w:val="21"/>
          <w:lang w:val="es-ES"/>
        </w:rPr>
      </w:pPr>
      <w:r w:rsidRPr="008A4AEC">
        <w:rPr>
          <w:rFonts w:ascii="Verdana" w:eastAsia="Calibri" w:hAnsi="Verdana" w:cs="Arial"/>
          <w:bCs/>
          <w:color w:val="000000" w:themeColor="text1"/>
          <w:sz w:val="21"/>
          <w:lang w:val="es-ES"/>
        </w:rPr>
        <w:t>[…]</w:t>
      </w:r>
    </w:p>
    <w:p w14:paraId="23A7BAE4" w14:textId="77777777" w:rsidR="00E47B7E" w:rsidRPr="008A4AEC" w:rsidRDefault="00E47B7E" w:rsidP="00E47B7E">
      <w:pPr>
        <w:spacing w:after="120" w:line="240" w:lineRule="auto"/>
        <w:ind w:left="709" w:right="709"/>
        <w:jc w:val="both"/>
        <w:rPr>
          <w:rFonts w:ascii="Verdana" w:eastAsia="Calibri" w:hAnsi="Verdana" w:cs="Arial"/>
          <w:bCs/>
          <w:color w:val="000000" w:themeColor="text1"/>
          <w:sz w:val="21"/>
          <w:lang w:val="es-ES"/>
        </w:rPr>
      </w:pPr>
      <w:r w:rsidRPr="008A4AEC">
        <w:rPr>
          <w:rFonts w:ascii="Verdana" w:eastAsia="Calibri" w:hAnsi="Verdana" w:cs="Arial"/>
          <w:bCs/>
          <w:color w:val="000000" w:themeColor="text1"/>
          <w:sz w:val="21"/>
          <w:lang w:val="es-ES"/>
        </w:rPr>
        <w:t>Parágrafo 1º.- Los proponentes indicarán si su participación es a título de consorcio o unión temporal y, en este último caso, señalarán los términos y extensión de la participación en la propuesta y en su ejecución, los cuales no podrán ser modificados sin el consentimiento previo de la entidad estatal contratante.</w:t>
      </w:r>
    </w:p>
    <w:p w14:paraId="23A7BAE5" w14:textId="77777777" w:rsidR="00E47B7E" w:rsidRPr="008A4AEC" w:rsidRDefault="00E47B7E" w:rsidP="00E47B7E">
      <w:pPr>
        <w:spacing w:after="0" w:line="240" w:lineRule="auto"/>
        <w:ind w:left="709" w:right="709"/>
        <w:jc w:val="both"/>
        <w:rPr>
          <w:rFonts w:ascii="Verdana" w:eastAsia="Calibri" w:hAnsi="Verdana" w:cs="Arial"/>
          <w:bCs/>
          <w:color w:val="000000" w:themeColor="text1"/>
          <w:sz w:val="21"/>
          <w:lang w:val="es-ES"/>
        </w:rPr>
      </w:pPr>
      <w:r w:rsidRPr="008A4AEC">
        <w:rPr>
          <w:rFonts w:ascii="Verdana" w:eastAsia="Calibri" w:hAnsi="Verdana" w:cs="Arial"/>
          <w:bCs/>
          <w:color w:val="000000" w:themeColor="text1"/>
          <w:sz w:val="21"/>
          <w:lang w:val="es-ES"/>
        </w:rPr>
        <w:t>Los miembros del consorcio y de la unión temporal deberán designar la persona que, para todos los efectos, representará al consorcio o unión temporal y señalarán las reglas básicas que regulen las relaciones entre ellos y su responsabilidad.</w:t>
      </w:r>
    </w:p>
    <w:p w14:paraId="23A7BAE6" w14:textId="77777777" w:rsidR="00E47B7E" w:rsidRPr="008A4AEC" w:rsidRDefault="00E47B7E" w:rsidP="00E47B7E">
      <w:pPr>
        <w:spacing w:after="0" w:line="240" w:lineRule="auto"/>
        <w:ind w:left="709" w:right="709"/>
        <w:jc w:val="both"/>
        <w:rPr>
          <w:rFonts w:ascii="Verdana" w:eastAsia="Calibri" w:hAnsi="Verdana" w:cs="Arial"/>
          <w:bCs/>
          <w:color w:val="000000" w:themeColor="text1"/>
          <w:sz w:val="21"/>
          <w:lang w:val="es-ES"/>
        </w:rPr>
      </w:pPr>
      <w:r w:rsidRPr="008A4AEC">
        <w:rPr>
          <w:rFonts w:ascii="Verdana" w:eastAsia="Calibri" w:hAnsi="Verdana" w:cs="Arial"/>
          <w:bCs/>
          <w:color w:val="000000" w:themeColor="text1"/>
          <w:sz w:val="21"/>
          <w:lang w:val="es-ES"/>
        </w:rPr>
        <w:t>[…]”.</w:t>
      </w:r>
    </w:p>
    <w:p w14:paraId="23A7BAE7" w14:textId="77777777" w:rsidR="00E47B7E" w:rsidRPr="008A4AEC" w:rsidRDefault="00E47B7E" w:rsidP="00E47B7E">
      <w:pPr>
        <w:spacing w:after="0" w:line="276" w:lineRule="auto"/>
        <w:ind w:left="720" w:right="731"/>
        <w:jc w:val="both"/>
        <w:rPr>
          <w:rFonts w:ascii="Verdana" w:eastAsia="Calibri" w:hAnsi="Verdana" w:cs="Arial"/>
          <w:bCs/>
          <w:color w:val="000000" w:themeColor="text1"/>
          <w:lang w:val="es-ES"/>
        </w:rPr>
      </w:pPr>
    </w:p>
    <w:p w14:paraId="23A7BAE8" w14:textId="77777777" w:rsidR="00E47B7E" w:rsidRPr="008A4AEC" w:rsidRDefault="00E47B7E" w:rsidP="00E47B7E">
      <w:pPr>
        <w:spacing w:after="120" w:line="276" w:lineRule="auto"/>
        <w:jc w:val="both"/>
        <w:rPr>
          <w:rFonts w:ascii="Verdana" w:hAnsi="Verdana" w:cs="Arial"/>
          <w:color w:val="000000" w:themeColor="text1"/>
        </w:rPr>
      </w:pPr>
      <w:r w:rsidRPr="008A4AEC">
        <w:rPr>
          <w:rFonts w:ascii="Verdana" w:eastAsia="Calibri" w:hAnsi="Verdana" w:cs="Arial"/>
          <w:bCs/>
          <w:color w:val="000000" w:themeColor="text1"/>
          <w:lang w:val="es-ES"/>
        </w:rPr>
        <w:tab/>
        <w:t>Como se observa, el artículo citado señala que el consorcio o la unión temporal se da “Cuando dos o más personas en forma conjunta presentan una misma propuesta para la adjudicación, celebración y ejecución de un contrato […]”.</w:t>
      </w:r>
      <w:r w:rsidRPr="008A4AEC">
        <w:rPr>
          <w:rFonts w:ascii="Verdana" w:hAnsi="Verdana" w:cs="Arial"/>
          <w:color w:val="000000" w:themeColor="text1"/>
        </w:rPr>
        <w:t xml:space="preserve"> Desde esta perspectiva, su capacidad para participar en la adjudicación, celebración y ejecución de los contratos estatales depende de que los integrantes de la estructura plural adopten la decisión conjunta de presentar una misma propuesta al proceso de selección. Como existe una relación de medio – fin, sin la entrega de la oferta no surge la habilitación legal para todo lo demás. </w:t>
      </w:r>
    </w:p>
    <w:p w14:paraId="23A7BAE9" w14:textId="77777777" w:rsidR="00E47B7E" w:rsidRDefault="00E47B7E" w:rsidP="00E47B7E">
      <w:pPr>
        <w:spacing w:after="120" w:line="276" w:lineRule="auto"/>
        <w:jc w:val="both"/>
        <w:rPr>
          <w:rFonts w:ascii="Verdana" w:hAnsi="Verdana" w:cs="Arial"/>
          <w:color w:val="000000" w:themeColor="text1"/>
        </w:rPr>
      </w:pPr>
      <w:r w:rsidRPr="008A4AEC">
        <w:rPr>
          <w:rFonts w:ascii="Verdana" w:hAnsi="Verdana" w:cs="Arial"/>
          <w:color w:val="000000" w:themeColor="text1"/>
        </w:rPr>
        <w:tab/>
        <w:t xml:space="preserve">De esta manera, los consorcios o uniones temporales son convenios de asociación provenientes de la colaboración empresarial, mediante los cuales sus integrantes se unen y se organizan mancomunadamente para lograr con mayor eficacia un fin común de contenido patrimonial y lucrativo, como lo es la obtención del derecho a ser adjudicatarios de un contrato estatal, compartiendo recursos, de toda índole, para su ejecución, así como las utilidades y los riesgos. La diferencia radica en la responsabilidad frente a las eventuales sanciones por el incumplimiento de las obligaciones, toda vez que tratándose de una unión temporal, estas se individualizan según </w:t>
      </w:r>
      <w:r>
        <w:rPr>
          <w:rFonts w:ascii="Verdana" w:hAnsi="Verdana" w:cs="Arial"/>
          <w:color w:val="000000" w:themeColor="text1"/>
        </w:rPr>
        <w:t>el grado de</w:t>
      </w:r>
      <w:r w:rsidRPr="008A4AEC">
        <w:rPr>
          <w:rFonts w:ascii="Verdana" w:hAnsi="Verdana" w:cs="Arial"/>
          <w:color w:val="000000" w:themeColor="text1"/>
        </w:rPr>
        <w:t xml:space="preserve"> participación de sus miembros, mientras que en el consorcio los miembros responden solidariamente, </w:t>
      </w:r>
      <w:r>
        <w:rPr>
          <w:rFonts w:ascii="Verdana" w:hAnsi="Verdana" w:cs="Arial"/>
          <w:color w:val="000000" w:themeColor="text1"/>
        </w:rPr>
        <w:t>independientemente de su grado de participación</w:t>
      </w:r>
      <w:r w:rsidRPr="008A4AEC">
        <w:rPr>
          <w:rFonts w:ascii="Verdana" w:hAnsi="Verdana" w:cs="Arial"/>
          <w:color w:val="000000" w:themeColor="text1"/>
        </w:rPr>
        <w:t>.</w:t>
      </w:r>
    </w:p>
    <w:p w14:paraId="23A7BAEA" w14:textId="77777777" w:rsidR="00E47B7E" w:rsidRDefault="00E47B7E" w:rsidP="00E47B7E">
      <w:pPr>
        <w:spacing w:after="120" w:line="276" w:lineRule="auto"/>
        <w:ind w:firstLine="708"/>
        <w:jc w:val="both"/>
        <w:rPr>
          <w:rFonts w:ascii="Verdana" w:hAnsi="Verdana" w:cs="Arial"/>
          <w:color w:val="000000" w:themeColor="text1"/>
        </w:rPr>
      </w:pPr>
      <w:r>
        <w:rPr>
          <w:rFonts w:ascii="Verdana" w:hAnsi="Verdana" w:cs="Arial"/>
          <w:color w:val="000000" w:themeColor="text1"/>
        </w:rPr>
        <w:lastRenderedPageBreak/>
        <w:t>En conclusión, l</w:t>
      </w:r>
      <w:r w:rsidRPr="008A4AEC">
        <w:rPr>
          <w:rFonts w:ascii="Verdana" w:hAnsi="Verdana" w:cs="Arial"/>
          <w:color w:val="000000" w:themeColor="text1"/>
        </w:rPr>
        <w:t>a capacidad jurídica de lo</w:t>
      </w:r>
      <w:r>
        <w:rPr>
          <w:rFonts w:ascii="Verdana" w:hAnsi="Verdana" w:cs="Arial"/>
          <w:color w:val="000000" w:themeColor="text1"/>
        </w:rPr>
        <w:t>s</w:t>
      </w:r>
      <w:r w:rsidRPr="008A4AEC">
        <w:rPr>
          <w:rFonts w:ascii="Verdana" w:hAnsi="Verdana" w:cs="Arial"/>
          <w:color w:val="000000" w:themeColor="text1"/>
        </w:rPr>
        <w:t xml:space="preserve"> proponentes plurales se limita al campo de la contratación estatal de las entidades sometidas al EGCAP, es decir, a las relaciones en</w:t>
      </w:r>
      <w:r>
        <w:rPr>
          <w:rFonts w:ascii="Verdana" w:hAnsi="Verdana" w:cs="Arial"/>
          <w:color w:val="000000" w:themeColor="text1"/>
        </w:rPr>
        <w:t>tre los</w:t>
      </w:r>
      <w:r w:rsidRPr="008A4AEC">
        <w:rPr>
          <w:rFonts w:ascii="Verdana" w:hAnsi="Verdana" w:cs="Arial"/>
          <w:color w:val="000000" w:themeColor="text1"/>
        </w:rPr>
        <w:t xml:space="preserve"> consorcios y las uniones temporales con las entidades estatales del artículo 2 de la Ley 80 de 1993.</w:t>
      </w:r>
      <w:r>
        <w:rPr>
          <w:rFonts w:ascii="Verdana" w:hAnsi="Verdana" w:cs="Arial"/>
          <w:color w:val="000000" w:themeColor="text1"/>
        </w:rPr>
        <w:t xml:space="preserve"> Las personas que conforman proponentes plurales pueden presentar </w:t>
      </w:r>
      <w:r w:rsidRPr="00B33BA7">
        <w:rPr>
          <w:rFonts w:ascii="Verdana" w:hAnsi="Verdana" w:cs="Arial"/>
          <w:color w:val="000000" w:themeColor="text1"/>
        </w:rPr>
        <w:t>en forma conjunta una misma propuesta para la adjudicación, celebración ejecución</w:t>
      </w:r>
      <w:r>
        <w:rPr>
          <w:rFonts w:ascii="Verdana" w:hAnsi="Verdana" w:cs="Arial"/>
          <w:color w:val="000000" w:themeColor="text1"/>
        </w:rPr>
        <w:t xml:space="preserve"> y liquidación</w:t>
      </w:r>
      <w:r w:rsidRPr="00B33BA7">
        <w:rPr>
          <w:rFonts w:ascii="Verdana" w:hAnsi="Verdana" w:cs="Arial"/>
          <w:color w:val="000000" w:themeColor="text1"/>
        </w:rPr>
        <w:t xml:space="preserve"> d</w:t>
      </w:r>
      <w:r>
        <w:rPr>
          <w:rFonts w:ascii="Verdana" w:hAnsi="Verdana" w:cs="Arial"/>
          <w:color w:val="000000" w:themeColor="text1"/>
        </w:rPr>
        <w:t xml:space="preserve">e contratos estatales con </w:t>
      </w:r>
      <w:r w:rsidRPr="008706A7">
        <w:rPr>
          <w:rFonts w:ascii="Verdana" w:hAnsi="Verdana" w:cs="Arial"/>
          <w:i/>
          <w:iCs/>
          <w:color w:val="000000" w:themeColor="text1"/>
        </w:rPr>
        <w:t>una o varias</w:t>
      </w:r>
      <w:r>
        <w:rPr>
          <w:rFonts w:ascii="Verdana" w:hAnsi="Verdana" w:cs="Arial"/>
          <w:color w:val="000000" w:themeColor="text1"/>
        </w:rPr>
        <w:t xml:space="preserve"> de las entidades descritas en la norma precitada. Dichas ofertas serán analizadas de acuerdo con los criterios habilitantes y factores de evaluación del pliego de condiciones o documento equivalente, en el marco de las reglas previstas en el Estatuto General de Contratación, sus normas complementarias y los reglamentos respectivos. El proponente plural debe estar debidamente constituido dentro de cada uno de los procesos en que desee presentarse, sin perjuicio de cumplir con las condiciones de uso del SECOP II en los procesos que se gestionan de manera transaccional.</w:t>
      </w:r>
    </w:p>
    <w:p w14:paraId="23A7BAEB" w14:textId="77777777" w:rsidR="00E47B7E" w:rsidRDefault="00E47B7E" w:rsidP="00E47B7E">
      <w:pPr>
        <w:spacing w:after="120" w:line="276" w:lineRule="auto"/>
        <w:ind w:firstLine="708"/>
        <w:jc w:val="both"/>
        <w:rPr>
          <w:rFonts w:ascii="Verdana" w:hAnsi="Verdana" w:cs="Arial"/>
          <w:color w:val="000000" w:themeColor="text1"/>
        </w:rPr>
      </w:pPr>
      <w:r>
        <w:rPr>
          <w:rFonts w:ascii="Verdana" w:hAnsi="Verdana" w:cs="Arial"/>
          <w:color w:val="000000" w:themeColor="text1"/>
        </w:rPr>
        <w:t xml:space="preserve">Ahora bien, ha sido reiterada y pacifica la línea de la ANCP-CCE, respecto a considerar la viabilidad jurídica de que los proponentes plurales al momento de su constitución, puedan presentar ofertas a una o varias entidades públicas, sin desconocer las obligaciones que les asiste ante la plataforma Secop II de su inscripción individual para cada proceso en el que se pretenda participar.  </w:t>
      </w:r>
    </w:p>
    <w:p w14:paraId="23A7BAEC" w14:textId="77777777" w:rsidR="00E47B7E" w:rsidRDefault="00E47B7E" w:rsidP="00E47B7E">
      <w:pPr>
        <w:spacing w:after="120" w:line="276" w:lineRule="auto"/>
        <w:ind w:firstLine="708"/>
        <w:jc w:val="both"/>
        <w:rPr>
          <w:rFonts w:ascii="Verdana" w:hAnsi="Verdana" w:cs="Arial"/>
          <w:color w:val="000000" w:themeColor="text1"/>
        </w:rPr>
      </w:pPr>
    </w:p>
    <w:p w14:paraId="23A7BAED" w14:textId="77777777" w:rsidR="00E47B7E" w:rsidRPr="00CC5C68" w:rsidRDefault="00E47B7E" w:rsidP="00E47B7E">
      <w:pPr>
        <w:tabs>
          <w:tab w:val="left" w:pos="142"/>
          <w:tab w:val="left" w:pos="284"/>
        </w:tabs>
        <w:spacing w:after="0" w:line="276" w:lineRule="auto"/>
        <w:jc w:val="both"/>
        <w:rPr>
          <w:rFonts w:ascii="Verdana" w:eastAsia="Century Gothic" w:hAnsi="Verdana" w:cs="Century Gothic"/>
          <w:b/>
          <w:bCs/>
        </w:rPr>
      </w:pPr>
      <w:r w:rsidRPr="00CC5C68">
        <w:rPr>
          <w:rFonts w:ascii="Verdana" w:eastAsia="Century Gothic" w:hAnsi="Verdana" w:cs="Century Gothic"/>
          <w:b/>
          <w:bCs/>
        </w:rPr>
        <w:t>4. Referencias normativas, jurisprudenciales y otras fuentes:</w:t>
      </w:r>
    </w:p>
    <w:p w14:paraId="23A7BAEE" w14:textId="77777777" w:rsidR="00E47B7E" w:rsidRPr="00CC5C68" w:rsidRDefault="00E47B7E" w:rsidP="00E47B7E">
      <w:pPr>
        <w:widowControl w:val="0"/>
        <w:autoSpaceDE w:val="0"/>
        <w:autoSpaceDN w:val="0"/>
        <w:spacing w:after="0" w:line="276" w:lineRule="auto"/>
        <w:jc w:val="both"/>
        <w:rPr>
          <w:rFonts w:ascii="Verdana" w:hAnsi="Verdana" w:cs="Arial"/>
        </w:rPr>
      </w:pPr>
    </w:p>
    <w:tbl>
      <w:tblPr>
        <w:tblStyle w:val="Tablaconcuadrcula"/>
        <w:tblW w:w="8647"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647"/>
      </w:tblGrid>
      <w:tr w:rsidR="00E47B7E" w:rsidRPr="00CC5C68" w14:paraId="23A7BAF4" w14:textId="77777777" w:rsidTr="00C77973">
        <w:trPr>
          <w:trHeight w:val="331"/>
        </w:trPr>
        <w:tc>
          <w:tcPr>
            <w:tcW w:w="8647" w:type="dxa"/>
          </w:tcPr>
          <w:p w14:paraId="23A7BAEF" w14:textId="77777777" w:rsidR="00E47B7E" w:rsidRPr="002407CE" w:rsidRDefault="00E47B7E" w:rsidP="00E47B7E">
            <w:pPr>
              <w:pStyle w:val="Prrafodelista"/>
              <w:widowControl w:val="0"/>
              <w:numPr>
                <w:ilvl w:val="0"/>
                <w:numId w:val="1"/>
              </w:numPr>
              <w:autoSpaceDE w:val="0"/>
              <w:autoSpaceDN w:val="0"/>
              <w:spacing w:after="120" w:line="276" w:lineRule="auto"/>
              <w:jc w:val="both"/>
              <w:rPr>
                <w:rFonts w:ascii="Verdana" w:hAnsi="Verdana" w:cs="Arial"/>
              </w:rPr>
            </w:pPr>
            <w:r w:rsidRPr="002407CE">
              <w:rPr>
                <w:rFonts w:ascii="Verdana" w:hAnsi="Verdana" w:cs="Arial"/>
              </w:rPr>
              <w:t xml:space="preserve">Código Civil, artículos 1502, 1503 y 1504. </w:t>
            </w:r>
          </w:p>
          <w:p w14:paraId="23A7BAF0" w14:textId="77777777" w:rsidR="00E47B7E" w:rsidRPr="002407CE" w:rsidRDefault="00E47B7E" w:rsidP="00C77973">
            <w:pPr>
              <w:pStyle w:val="Prrafodelista"/>
              <w:widowControl w:val="0"/>
              <w:autoSpaceDE w:val="0"/>
              <w:autoSpaceDN w:val="0"/>
              <w:spacing w:after="120" w:line="276" w:lineRule="auto"/>
              <w:jc w:val="both"/>
              <w:rPr>
                <w:rFonts w:ascii="Verdana" w:hAnsi="Verdana" w:cs="Arial"/>
                <w:sz w:val="12"/>
                <w:szCs w:val="12"/>
              </w:rPr>
            </w:pPr>
          </w:p>
          <w:p w14:paraId="23A7BAF1" w14:textId="77777777" w:rsidR="00E47B7E" w:rsidRPr="002407CE" w:rsidRDefault="00E47B7E" w:rsidP="00E47B7E">
            <w:pPr>
              <w:pStyle w:val="Prrafodelista"/>
              <w:widowControl w:val="0"/>
              <w:numPr>
                <w:ilvl w:val="0"/>
                <w:numId w:val="1"/>
              </w:numPr>
              <w:autoSpaceDE w:val="0"/>
              <w:autoSpaceDN w:val="0"/>
              <w:spacing w:after="120" w:line="276" w:lineRule="auto"/>
              <w:contextualSpacing w:val="0"/>
              <w:jc w:val="both"/>
              <w:rPr>
                <w:rFonts w:ascii="Verdana" w:hAnsi="Verdana" w:cs="Arial"/>
              </w:rPr>
            </w:pPr>
            <w:r w:rsidRPr="002407CE">
              <w:rPr>
                <w:rFonts w:ascii="Verdana" w:hAnsi="Verdana" w:cs="Arial"/>
              </w:rPr>
              <w:t>Código de Comercio, artículo 99.</w:t>
            </w:r>
          </w:p>
          <w:p w14:paraId="23A7BAF2" w14:textId="77777777" w:rsidR="00E47B7E" w:rsidRPr="002407CE" w:rsidRDefault="00E47B7E" w:rsidP="00E47B7E">
            <w:pPr>
              <w:pStyle w:val="Prrafodelista"/>
              <w:widowControl w:val="0"/>
              <w:numPr>
                <w:ilvl w:val="0"/>
                <w:numId w:val="1"/>
              </w:numPr>
              <w:autoSpaceDE w:val="0"/>
              <w:autoSpaceDN w:val="0"/>
              <w:spacing w:after="120" w:line="276" w:lineRule="auto"/>
              <w:contextualSpacing w:val="0"/>
              <w:jc w:val="both"/>
              <w:rPr>
                <w:rFonts w:ascii="Verdana" w:hAnsi="Verdana" w:cs="Arial"/>
              </w:rPr>
            </w:pPr>
            <w:r w:rsidRPr="002407CE">
              <w:rPr>
                <w:rFonts w:ascii="Verdana" w:hAnsi="Verdana" w:cs="Arial"/>
              </w:rPr>
              <w:t>Ley 80 de 1993, artículos 2, 6 y 7.</w:t>
            </w:r>
          </w:p>
          <w:p w14:paraId="23A7BAF3" w14:textId="77777777" w:rsidR="00E47B7E" w:rsidRPr="003D2146" w:rsidRDefault="00E47B7E" w:rsidP="00E47B7E">
            <w:pPr>
              <w:pStyle w:val="Prrafodelista"/>
              <w:widowControl w:val="0"/>
              <w:numPr>
                <w:ilvl w:val="0"/>
                <w:numId w:val="1"/>
              </w:numPr>
              <w:tabs>
                <w:tab w:val="left" w:pos="8419"/>
              </w:tabs>
              <w:autoSpaceDE w:val="0"/>
              <w:autoSpaceDN w:val="0"/>
              <w:spacing w:after="0" w:line="276" w:lineRule="auto"/>
              <w:contextualSpacing w:val="0"/>
              <w:jc w:val="both"/>
              <w:rPr>
                <w:rFonts w:ascii="Verdana" w:hAnsi="Verdana" w:cs="Arial"/>
              </w:rPr>
            </w:pPr>
            <w:r w:rsidRPr="002407CE">
              <w:rPr>
                <w:rFonts w:ascii="Verdana" w:hAnsi="Verdana" w:cs="Arial"/>
              </w:rPr>
              <w:t xml:space="preserve">Jurisprudencia de la Corte Constitucional. Disponible en:  </w:t>
            </w:r>
            <w:hyperlink r:id="rId12" w:history="1">
              <w:r w:rsidRPr="00BB3BE4">
                <w:rPr>
                  <w:rStyle w:val="Hipervnculo"/>
                  <w:rFonts w:ascii="Verdana" w:hAnsi="Verdana" w:cs="Arial"/>
                  <w:color w:val="4472C4" w:themeColor="accent1"/>
                </w:rPr>
                <w:t>https://www.corteconstitucional.gov./relatoria/</w:t>
              </w:r>
            </w:hyperlink>
            <w:r w:rsidRPr="002407CE">
              <w:rPr>
                <w:rFonts w:ascii="Verdana" w:hAnsi="Verdana" w:cs="Arial"/>
              </w:rPr>
              <w:t xml:space="preserve">.  </w:t>
            </w:r>
          </w:p>
        </w:tc>
      </w:tr>
    </w:tbl>
    <w:p w14:paraId="23A7BAF5" w14:textId="77777777" w:rsidR="00E47B7E" w:rsidRDefault="00E47B7E" w:rsidP="00E47B7E">
      <w:pPr>
        <w:pStyle w:val="Prrafodelista"/>
        <w:tabs>
          <w:tab w:val="left" w:pos="142"/>
          <w:tab w:val="left" w:pos="284"/>
        </w:tabs>
        <w:spacing w:after="0" w:line="276" w:lineRule="auto"/>
        <w:ind w:left="0"/>
        <w:contextualSpacing w:val="0"/>
        <w:jc w:val="both"/>
        <w:rPr>
          <w:rFonts w:ascii="Verdana" w:eastAsia="Century Gothic" w:hAnsi="Verdana" w:cs="Century Gothic"/>
          <w:b/>
          <w:bCs/>
        </w:rPr>
      </w:pPr>
    </w:p>
    <w:p w14:paraId="23A7BAF6" w14:textId="77777777" w:rsidR="00E47B7E" w:rsidRDefault="00E47B7E" w:rsidP="00E47B7E">
      <w:pPr>
        <w:pStyle w:val="Prrafodelista"/>
        <w:tabs>
          <w:tab w:val="left" w:pos="142"/>
          <w:tab w:val="left" w:pos="284"/>
        </w:tabs>
        <w:spacing w:after="0" w:line="276" w:lineRule="auto"/>
        <w:ind w:left="0"/>
        <w:contextualSpacing w:val="0"/>
        <w:jc w:val="both"/>
        <w:rPr>
          <w:rFonts w:ascii="Verdana" w:eastAsia="Century Gothic" w:hAnsi="Verdana" w:cs="Century Gothic"/>
          <w:b/>
          <w:bCs/>
        </w:rPr>
      </w:pPr>
    </w:p>
    <w:p w14:paraId="23A7BAF7" w14:textId="77777777" w:rsidR="00E47B7E" w:rsidRPr="00CC5C68" w:rsidRDefault="00E47B7E" w:rsidP="00E47B7E">
      <w:pPr>
        <w:pStyle w:val="Prrafodelista"/>
        <w:tabs>
          <w:tab w:val="left" w:pos="142"/>
          <w:tab w:val="left" w:pos="284"/>
        </w:tabs>
        <w:spacing w:after="0" w:line="276" w:lineRule="auto"/>
        <w:ind w:left="0"/>
        <w:contextualSpacing w:val="0"/>
        <w:jc w:val="both"/>
        <w:rPr>
          <w:rFonts w:ascii="Verdana" w:eastAsia="Century Gothic" w:hAnsi="Verdana" w:cs="Century Gothic"/>
          <w:b/>
          <w:bCs/>
        </w:rPr>
      </w:pPr>
    </w:p>
    <w:p w14:paraId="23A7BAF8" w14:textId="77777777" w:rsidR="00E47B7E" w:rsidRPr="00CC5C68" w:rsidRDefault="00E47B7E" w:rsidP="00E47B7E">
      <w:pPr>
        <w:pStyle w:val="Prrafodelista"/>
        <w:tabs>
          <w:tab w:val="left" w:pos="142"/>
          <w:tab w:val="left" w:pos="284"/>
        </w:tabs>
        <w:spacing w:after="0" w:line="276" w:lineRule="auto"/>
        <w:ind w:left="0"/>
        <w:contextualSpacing w:val="0"/>
        <w:jc w:val="both"/>
        <w:rPr>
          <w:rFonts w:ascii="Verdana" w:eastAsia="Century Gothic" w:hAnsi="Verdana" w:cs="Century Gothic"/>
          <w:b/>
          <w:bCs/>
        </w:rPr>
      </w:pPr>
      <w:r w:rsidRPr="00CC5C68">
        <w:rPr>
          <w:rFonts w:ascii="Verdana" w:eastAsia="Century Gothic" w:hAnsi="Verdana" w:cs="Century Gothic"/>
          <w:b/>
          <w:bCs/>
        </w:rPr>
        <w:t>5. Doctrina de la Agencia Nacional de Contratación Pública:</w:t>
      </w:r>
    </w:p>
    <w:p w14:paraId="23A7BAF9" w14:textId="77777777" w:rsidR="00E47B7E" w:rsidRPr="00CC5C68" w:rsidRDefault="00E47B7E" w:rsidP="00E47B7E">
      <w:pPr>
        <w:spacing w:after="0" w:line="276" w:lineRule="auto"/>
        <w:ind w:firstLine="709"/>
        <w:jc w:val="both"/>
        <w:rPr>
          <w:rFonts w:ascii="Verdana" w:eastAsia="Times New Roman" w:hAnsi="Verdana" w:cs="Arial"/>
          <w:szCs w:val="24"/>
          <w:lang w:val="es-ES" w:eastAsia="es-ES_tradnl"/>
        </w:rPr>
      </w:pPr>
    </w:p>
    <w:p w14:paraId="23A7BAFA" w14:textId="77777777" w:rsidR="00E47B7E" w:rsidRDefault="00E47B7E" w:rsidP="00E47B7E">
      <w:pPr>
        <w:spacing w:after="120" w:line="276" w:lineRule="auto"/>
        <w:jc w:val="both"/>
        <w:rPr>
          <w:rStyle w:val="normaltextrun"/>
          <w:rFonts w:ascii="Verdana" w:eastAsia="Calibri" w:hAnsi="Verdana" w:cs="Arial"/>
          <w:lang w:val="es-ES" w:eastAsia="es-ES"/>
        </w:rPr>
      </w:pPr>
      <w:r>
        <w:rPr>
          <w:rStyle w:val="normaltextrun"/>
          <w:rFonts w:ascii="Verdana" w:hAnsi="Verdana" w:cs="Arial"/>
          <w:shd w:val="clear" w:color="auto" w:fill="FFFFFF"/>
          <w:lang w:val="es-ES"/>
        </w:rPr>
        <w:t>E</w:t>
      </w:r>
      <w:r w:rsidRPr="00EA761C">
        <w:rPr>
          <w:rStyle w:val="normaltextrun"/>
          <w:rFonts w:ascii="Verdana" w:hAnsi="Verdana" w:cs="Arial"/>
          <w:shd w:val="clear" w:color="auto" w:fill="FFFFFF"/>
          <w:lang w:val="es-ES"/>
        </w:rPr>
        <w:t>sta Subdirección </w:t>
      </w:r>
      <w:r>
        <w:rPr>
          <w:rStyle w:val="normaltextrun"/>
          <w:rFonts w:ascii="Verdana" w:hAnsi="Verdana" w:cs="Arial"/>
          <w:shd w:val="clear" w:color="auto" w:fill="FFFFFF"/>
          <w:lang w:val="es-ES"/>
        </w:rPr>
        <w:t>se ha pronunciado s</w:t>
      </w:r>
      <w:r w:rsidRPr="00EA761C">
        <w:rPr>
          <w:rStyle w:val="normaltextrun"/>
          <w:rFonts w:ascii="Verdana" w:hAnsi="Verdana" w:cs="Arial"/>
          <w:shd w:val="clear" w:color="auto" w:fill="FFFFFF"/>
          <w:lang w:val="es-ES"/>
        </w:rPr>
        <w:t>obre la capacidad jurídica de los consorcios y las uniones temporales en los Conceptos</w:t>
      </w:r>
      <w:r w:rsidRPr="00EA761C">
        <w:rPr>
          <w:rStyle w:val="normaltextrun"/>
          <w:rFonts w:ascii="Verdana" w:hAnsi="Verdana" w:cs="Calibri"/>
          <w:shd w:val="clear" w:color="auto" w:fill="FFFFFF"/>
        </w:rPr>
        <w:t xml:space="preserve"> </w:t>
      </w:r>
      <w:r w:rsidRPr="00EA761C">
        <w:rPr>
          <w:rStyle w:val="normaltextrun"/>
          <w:rFonts w:ascii="Verdana" w:hAnsi="Verdana" w:cs="Arial"/>
          <w:shd w:val="clear" w:color="auto" w:fill="FFFFFF"/>
          <w:lang w:val="es-ES"/>
        </w:rPr>
        <w:t xml:space="preserve">4201913000007643 del 26 de diciembre de 2019, C-343 del 17 de junio de 2020, C-518 del 9 de septiembre de 2020, C-614 del 5 de octubre de 2022, C-882 del 21 de diciembre </w:t>
      </w:r>
      <w:r w:rsidRPr="00EA761C">
        <w:rPr>
          <w:rStyle w:val="normaltextrun"/>
          <w:rFonts w:ascii="Verdana" w:hAnsi="Verdana" w:cs="Arial"/>
          <w:shd w:val="clear" w:color="auto" w:fill="FFFFFF"/>
          <w:lang w:val="es-ES"/>
        </w:rPr>
        <w:lastRenderedPageBreak/>
        <w:t>de 2022, C-172 del 6 de junio de 2023, C-032 del 16 de abril de 2024</w:t>
      </w:r>
      <w:r>
        <w:rPr>
          <w:rStyle w:val="normaltextrun"/>
          <w:rFonts w:ascii="Verdana" w:hAnsi="Verdana" w:cs="Arial"/>
          <w:shd w:val="clear" w:color="auto" w:fill="FFFFFF"/>
          <w:lang w:val="es-ES"/>
        </w:rPr>
        <w:t>,</w:t>
      </w:r>
      <w:r w:rsidRPr="00EA761C">
        <w:rPr>
          <w:rStyle w:val="normaltextrun"/>
          <w:rFonts w:ascii="Verdana" w:hAnsi="Verdana" w:cs="Arial"/>
          <w:shd w:val="clear" w:color="auto" w:fill="FFFFFF"/>
          <w:lang w:val="es-ES"/>
        </w:rPr>
        <w:t xml:space="preserve"> </w:t>
      </w:r>
      <w:r>
        <w:rPr>
          <w:rStyle w:val="normaltextrun"/>
          <w:rFonts w:ascii="Verdana" w:hAnsi="Verdana" w:cs="Arial"/>
          <w:shd w:val="clear" w:color="auto" w:fill="FFFFFF"/>
          <w:lang w:val="es-ES"/>
        </w:rPr>
        <w:t xml:space="preserve">C-050 del 18 de julio de 2024, </w:t>
      </w:r>
      <w:r w:rsidRPr="00EA761C">
        <w:rPr>
          <w:rStyle w:val="normaltextrun"/>
          <w:rFonts w:ascii="Verdana" w:hAnsi="Verdana" w:cs="Arial"/>
          <w:shd w:val="clear" w:color="auto" w:fill="FFFFFF"/>
          <w:lang w:val="es-ES"/>
        </w:rPr>
        <w:t>C-100 del 12 de junio de 2024</w:t>
      </w:r>
      <w:r>
        <w:rPr>
          <w:rStyle w:val="normaltextrun"/>
          <w:rFonts w:ascii="Verdana" w:hAnsi="Verdana" w:cs="Arial"/>
          <w:shd w:val="clear" w:color="auto" w:fill="FFFFFF"/>
          <w:lang w:val="es-ES"/>
        </w:rPr>
        <w:t xml:space="preserve"> y 727 del 28 de octubre de 2024</w:t>
      </w:r>
      <w:r>
        <w:rPr>
          <w:rFonts w:ascii="Verdana" w:hAnsi="Verdana"/>
        </w:rPr>
        <w:t>.</w:t>
      </w:r>
      <w:r>
        <w:rPr>
          <w:rFonts w:ascii="Verdana" w:eastAsia="Calibri" w:hAnsi="Verdana" w:cs="Arial"/>
          <w:lang w:eastAsia="es-ES"/>
        </w:rPr>
        <w:t xml:space="preserve"> </w:t>
      </w:r>
      <w:r w:rsidRPr="00EE174D">
        <w:rPr>
          <w:rFonts w:ascii="Verdana" w:hAnsi="Verdana" w:cs="Arial"/>
          <w:color w:val="000000" w:themeColor="text1"/>
          <w:shd w:val="clear" w:color="auto" w:fill="FFFFFF"/>
        </w:rPr>
        <w:t>Estos y otros conceptos se encuentran disponibles para consulta en el Sistema d</w:t>
      </w:r>
      <w:r w:rsidRPr="003D2146">
        <w:rPr>
          <w:rFonts w:ascii="Verdana" w:hAnsi="Verdana" w:cs="Arial"/>
          <w:color w:val="000000" w:themeColor="text1"/>
          <w:shd w:val="clear" w:color="auto" w:fill="FFFFFF"/>
        </w:rPr>
        <w:t>e Relatoría de la Agencia, en el cual también podrá</w:t>
      </w:r>
      <w:r>
        <w:rPr>
          <w:rFonts w:ascii="Verdana" w:hAnsi="Verdana" w:cs="Arial"/>
          <w:color w:val="000000" w:themeColor="text1"/>
          <w:shd w:val="clear" w:color="auto" w:fill="FFFFFF"/>
        </w:rPr>
        <w:t>n</w:t>
      </w:r>
      <w:r w:rsidRPr="003D2146">
        <w:rPr>
          <w:rFonts w:ascii="Verdana" w:hAnsi="Verdana" w:cs="Arial"/>
          <w:color w:val="000000" w:themeColor="text1"/>
          <w:shd w:val="clear" w:color="auto" w:fill="FFFFFF"/>
        </w:rPr>
        <w:t xml:space="preserve"> encontrar jurisprudencia del Consejo de Estado, laudos arbitrales y la normativa de la contratación concordada con la doctrina de la Subdirección de Gestión Contractual</w:t>
      </w:r>
      <w:r w:rsidRPr="00CC5C68">
        <w:rPr>
          <w:rFonts w:ascii="Verdana" w:hAnsi="Verdana"/>
        </w:rPr>
        <w:t>, al cual se puede acceder a través del siguiente enlace:</w:t>
      </w:r>
      <w:r>
        <w:rPr>
          <w:rFonts w:ascii="Verdana" w:eastAsia="Calibri" w:hAnsi="Verdana" w:cs="Arial"/>
          <w:lang w:eastAsia="es-ES"/>
        </w:rPr>
        <w:t xml:space="preserve"> </w:t>
      </w:r>
      <w:hyperlink r:id="rId13" w:history="1">
        <w:r w:rsidRPr="00D94C94">
          <w:rPr>
            <w:rStyle w:val="Hipervnculo"/>
            <w:rFonts w:ascii="Verdana" w:hAnsi="Verdana" w:cs="Arial"/>
            <w:shd w:val="clear" w:color="auto" w:fill="FFFFFF"/>
            <w:lang w:val="es-ES"/>
          </w:rPr>
          <w:t>https://relatoria.colombiacompra.gov.co/busqueda/conceptos</w:t>
        </w:r>
      </w:hyperlink>
    </w:p>
    <w:p w14:paraId="23A7BAFB" w14:textId="77777777" w:rsidR="00E47B7E" w:rsidRDefault="00E47B7E" w:rsidP="00E47B7E">
      <w:pPr>
        <w:spacing w:after="120" w:line="276" w:lineRule="auto"/>
        <w:jc w:val="both"/>
        <w:rPr>
          <w:rFonts w:ascii="Verdana" w:hAnsi="Verdana"/>
          <w:color w:val="000000"/>
        </w:rPr>
      </w:pPr>
      <w:r w:rsidRPr="009061E6">
        <w:rPr>
          <w:rFonts w:ascii="Verdana" w:hAnsi="Verdana"/>
          <w:color w:val="000000"/>
        </w:rPr>
        <w:t>Le informamos que ya se encuentra disponible la actualización del Manual de Acuerdos Comerciales en Procesos de Contratación. Esta herramienta ofrece una orientación valiosa para que las entidades públicas determinen los acuerdos comerciales que deben incluir en sus procesos contractuales. Puede consultar la versión actualizada en el siguiente enlace: </w:t>
      </w:r>
      <w:hyperlink r:id="rId14" w:tgtFrame="_blank" w:tooltip="Dirección URL original: https://www.colombiacompra.gov.co/sites/cce_public/files/cce_documents/manual_para_el_manejo_de_acuerdos_comerciales_vf.pdf. Haga clic o pulse si confía en este vínculo." w:history="1">
        <w:r w:rsidRPr="009061E6">
          <w:rPr>
            <w:rStyle w:val="Hipervnculo"/>
            <w:rFonts w:ascii="Verdana" w:hAnsi="Verdana"/>
            <w:bdr w:val="none" w:sz="0" w:space="0" w:color="auto" w:frame="1"/>
          </w:rPr>
          <w:t>manual_para_el_manejo_de_acuerdos_comerciales_vf.pdf</w:t>
        </w:r>
      </w:hyperlink>
    </w:p>
    <w:p w14:paraId="23A7BAFC" w14:textId="77777777" w:rsidR="00E47B7E" w:rsidRPr="009061E6" w:rsidRDefault="00E47B7E" w:rsidP="00E47B7E">
      <w:pPr>
        <w:spacing w:after="120" w:line="276" w:lineRule="auto"/>
        <w:jc w:val="both"/>
        <w:rPr>
          <w:rFonts w:ascii="Verdana" w:eastAsia="Calibri" w:hAnsi="Verdana" w:cs="Arial"/>
          <w:lang w:val="es-ES" w:eastAsia="es-ES"/>
        </w:rPr>
      </w:pPr>
      <w:r w:rsidRPr="009061E6">
        <w:rPr>
          <w:rFonts w:ascii="Verdana" w:hAnsi="Verdana"/>
          <w:color w:val="000000"/>
        </w:rPr>
        <w:t>De otra parte, te contamos que ya publicamos el borrador de la nueva Guía para Incentivar la Participación de Mujeres en el Sistema de Compras y Contratación Pública. Conoce el documento y realiza tus comentarios hasta el 2 de diciembre de 2024</w:t>
      </w:r>
      <w:r w:rsidRPr="009061E6">
        <w:rPr>
          <w:rFonts w:ascii="Verdana" w:hAnsi="Verdana"/>
          <w:b/>
          <w:bCs/>
          <w:color w:val="000000"/>
        </w:rPr>
        <w:t> </w:t>
      </w:r>
      <w:r w:rsidRPr="009061E6">
        <w:rPr>
          <w:rFonts w:ascii="Verdana" w:hAnsi="Verdana"/>
          <w:color w:val="000000"/>
        </w:rPr>
        <w:t>a través de estos enlaces:</w:t>
      </w:r>
    </w:p>
    <w:p w14:paraId="23A7BAFD" w14:textId="77777777" w:rsidR="00E47B7E" w:rsidRPr="009061E6" w:rsidRDefault="00E47B7E" w:rsidP="00E47B7E">
      <w:pPr>
        <w:numPr>
          <w:ilvl w:val="0"/>
          <w:numId w:val="2"/>
        </w:numPr>
        <w:spacing w:beforeAutospacing="1" w:after="0" w:afterAutospacing="1" w:line="240" w:lineRule="auto"/>
        <w:jc w:val="both"/>
        <w:rPr>
          <w:rFonts w:ascii="Verdana" w:hAnsi="Verdana"/>
          <w:color w:val="000000"/>
        </w:rPr>
      </w:pPr>
      <w:r w:rsidRPr="009061E6">
        <w:rPr>
          <w:rFonts w:ascii="Verdana" w:hAnsi="Verdana"/>
          <w:color w:val="000000"/>
        </w:rPr>
        <w:t>Enlace página ANCP-CCE: </w:t>
      </w:r>
      <w:hyperlink r:id="rId15" w:tgtFrame="_blank" w:tooltip="Dirección URL original: https://www.colombiacompra.gov.co/content/convocatorias. Haga clic o pulse si confía en este vínculo." w:history="1">
        <w:r w:rsidRPr="009061E6">
          <w:rPr>
            <w:rStyle w:val="Hipervnculo"/>
            <w:rFonts w:ascii="Verdana" w:hAnsi="Verdana"/>
            <w:bdr w:val="none" w:sz="0" w:space="0" w:color="auto" w:frame="1"/>
          </w:rPr>
          <w:t>https://www.colombiacompra.gov.co/content/convocatorias</w:t>
        </w:r>
      </w:hyperlink>
    </w:p>
    <w:p w14:paraId="23A7BAFE" w14:textId="77777777" w:rsidR="00E47B7E" w:rsidRPr="00AC7F30" w:rsidRDefault="00E47B7E" w:rsidP="00E47B7E">
      <w:pPr>
        <w:numPr>
          <w:ilvl w:val="0"/>
          <w:numId w:val="2"/>
        </w:numPr>
        <w:spacing w:beforeAutospacing="1" w:after="0" w:afterAutospacing="1" w:line="240" w:lineRule="auto"/>
        <w:jc w:val="both"/>
        <w:rPr>
          <w:rFonts w:ascii="Verdana" w:hAnsi="Verdana"/>
          <w:color w:val="000000"/>
          <w:lang w:val="en-US"/>
        </w:rPr>
      </w:pPr>
      <w:r w:rsidRPr="00AC7F30">
        <w:rPr>
          <w:rFonts w:ascii="Verdana" w:hAnsi="Verdana"/>
          <w:color w:val="000000"/>
          <w:lang w:val="en-US"/>
        </w:rPr>
        <w:t>Enlace SUCOP:  </w:t>
      </w:r>
      <w:hyperlink r:id="rId16" w:tgtFrame="_blank" w:tooltip="Dirección URL original: https://www.sucop.gov.co/entidades/colombiacompra/Normativa?IDNorma=19201. Haga clic o pulse si confía en este vínculo." w:history="1">
        <w:r w:rsidRPr="00AC7F30">
          <w:rPr>
            <w:rStyle w:val="Hipervnculo"/>
            <w:rFonts w:ascii="Verdana" w:hAnsi="Verdana"/>
            <w:bdr w:val="none" w:sz="0" w:space="0" w:color="auto" w:frame="1"/>
            <w:lang w:val="en-US"/>
          </w:rPr>
          <w:t>https://www.sucop.gov.co/entidades/colombiacompra/Normativa?IDNorma=19201</w:t>
        </w:r>
      </w:hyperlink>
    </w:p>
    <w:p w14:paraId="23A7BAFF" w14:textId="77777777" w:rsidR="00E47B7E" w:rsidRPr="009061E6" w:rsidRDefault="00E47B7E" w:rsidP="00E47B7E">
      <w:pPr>
        <w:spacing w:beforeAutospacing="1" w:after="0" w:afterAutospacing="1" w:line="240" w:lineRule="auto"/>
        <w:jc w:val="both"/>
        <w:rPr>
          <w:rFonts w:ascii="Verdana" w:hAnsi="Verdana"/>
          <w:color w:val="000000"/>
        </w:rPr>
      </w:pPr>
      <w:r w:rsidRPr="009061E6">
        <w:rPr>
          <w:rFonts w:ascii="Verdana" w:hAnsi="Verdana"/>
          <w:color w:val="000000"/>
        </w:rPr>
        <w:t>También le invitamos a consultar la versión VII  de 2024 , del Boletín de Relatoría de la Subdirección de Gestión Contractual relacionado con las ASOCIACIONES PÚBLICO POPULARES , el cual se puede descargar en la página web de la Agencia: </w:t>
      </w:r>
      <w:hyperlink r:id="rId17" w:tgtFrame="_blank" w:tooltip="Dirección URL original: https://www.colombiacompra.gov.co/sala-de-prensa/boletin-digital. Haga clic o pulse si confía en este vínculo." w:history="1">
        <w:r w:rsidRPr="009061E6">
          <w:rPr>
            <w:rStyle w:val="Hipervnculo"/>
            <w:rFonts w:ascii="Verdana" w:hAnsi="Verdana"/>
            <w:bdr w:val="none" w:sz="0" w:space="0" w:color="auto" w:frame="1"/>
          </w:rPr>
          <w:t>https://www.colombiacompra.gov.co/sala-de-prensa/boletin-digital</w:t>
        </w:r>
      </w:hyperlink>
      <w:r w:rsidRPr="009061E6">
        <w:rPr>
          <w:rFonts w:ascii="Verdana" w:hAnsi="Verdana"/>
          <w:color w:val="000000"/>
        </w:rPr>
        <w:t> ".</w:t>
      </w:r>
    </w:p>
    <w:p w14:paraId="23A7BB00" w14:textId="77777777" w:rsidR="00E47B7E" w:rsidRDefault="00E47B7E" w:rsidP="00E47B7E">
      <w:pPr>
        <w:spacing w:after="0" w:line="240" w:lineRule="auto"/>
        <w:jc w:val="both"/>
        <w:rPr>
          <w:rFonts w:ascii="Verdana" w:hAnsi="Verdana"/>
        </w:rPr>
      </w:pPr>
    </w:p>
    <w:p w14:paraId="23A7BB01" w14:textId="77777777" w:rsidR="00E47B7E" w:rsidRPr="00CC5C68" w:rsidRDefault="00E47B7E" w:rsidP="00E47B7E">
      <w:pPr>
        <w:spacing w:after="0" w:line="240" w:lineRule="auto"/>
        <w:jc w:val="both"/>
        <w:rPr>
          <w:rFonts w:ascii="Verdana" w:hAnsi="Verdana"/>
        </w:rPr>
      </w:pPr>
      <w:r w:rsidRPr="00CC5C68">
        <w:rPr>
          <w:rFonts w:ascii="Verdana" w:hAnsi="Verdana"/>
        </w:rPr>
        <w:t xml:space="preserve">Por último, lo invitamos a seguirnos en las redes sociales en las cuales se difunde información institucional: </w:t>
      </w:r>
    </w:p>
    <w:p w14:paraId="23A7BB02" w14:textId="77777777" w:rsidR="00E47B7E" w:rsidRPr="00CC5C68" w:rsidRDefault="00E47B7E" w:rsidP="00E47B7E">
      <w:pPr>
        <w:spacing w:after="0" w:line="240" w:lineRule="auto"/>
        <w:jc w:val="both"/>
        <w:rPr>
          <w:rFonts w:ascii="Verdana" w:hAnsi="Verdana"/>
        </w:rPr>
      </w:pPr>
    </w:p>
    <w:p w14:paraId="23A7BB03" w14:textId="77777777" w:rsidR="00E47B7E" w:rsidRPr="00CC5C68" w:rsidRDefault="00E47B7E" w:rsidP="00E47B7E">
      <w:pPr>
        <w:spacing w:after="0" w:line="240" w:lineRule="auto"/>
        <w:jc w:val="both"/>
        <w:rPr>
          <w:rFonts w:ascii="Verdana" w:hAnsi="Verdana"/>
        </w:rPr>
      </w:pPr>
      <w:r w:rsidRPr="00CC5C68">
        <w:rPr>
          <w:rFonts w:ascii="Verdana" w:hAnsi="Verdana"/>
        </w:rPr>
        <w:t xml:space="preserve">Twitter: </w:t>
      </w:r>
      <w:r w:rsidRPr="00CC5C68">
        <w:rPr>
          <w:rStyle w:val="Hipervnculo"/>
          <w:rFonts w:ascii="Verdana" w:hAnsi="Verdana"/>
          <w:color w:val="4472C4" w:themeColor="accent1"/>
        </w:rPr>
        <w:t>@colombiacompra</w:t>
      </w:r>
      <w:r w:rsidRPr="00CC5C68">
        <w:rPr>
          <w:rFonts w:ascii="Verdana" w:hAnsi="Verdana"/>
          <w:color w:val="4472C4" w:themeColor="accent1"/>
        </w:rPr>
        <w:t xml:space="preserve"> </w:t>
      </w:r>
    </w:p>
    <w:p w14:paraId="23A7BB04" w14:textId="77777777" w:rsidR="00E47B7E" w:rsidRPr="00CC5C68" w:rsidRDefault="00E47B7E" w:rsidP="00E47B7E">
      <w:pPr>
        <w:spacing w:after="0" w:line="240" w:lineRule="auto"/>
        <w:jc w:val="both"/>
        <w:rPr>
          <w:rFonts w:ascii="Verdana" w:hAnsi="Verdana"/>
        </w:rPr>
      </w:pPr>
      <w:r w:rsidRPr="00CC5C68">
        <w:rPr>
          <w:rFonts w:ascii="Verdana" w:hAnsi="Verdana"/>
        </w:rPr>
        <w:t xml:space="preserve">Facebook: </w:t>
      </w:r>
      <w:r w:rsidRPr="00CC5C68">
        <w:rPr>
          <w:rStyle w:val="Hipervnculo"/>
          <w:rFonts w:ascii="Verdana" w:hAnsi="Verdana"/>
          <w:color w:val="4472C4" w:themeColor="accent1"/>
        </w:rPr>
        <w:t>ColombiaCompraEficiente</w:t>
      </w:r>
    </w:p>
    <w:p w14:paraId="23A7BB05" w14:textId="77777777" w:rsidR="00E47B7E" w:rsidRPr="00CC5C68" w:rsidRDefault="00E47B7E" w:rsidP="00E47B7E">
      <w:pPr>
        <w:spacing w:after="0" w:line="240" w:lineRule="auto"/>
        <w:jc w:val="both"/>
        <w:rPr>
          <w:rFonts w:ascii="Verdana" w:hAnsi="Verdana"/>
        </w:rPr>
      </w:pPr>
      <w:r w:rsidRPr="00CC5C68">
        <w:rPr>
          <w:rFonts w:ascii="Verdana" w:hAnsi="Verdana"/>
        </w:rPr>
        <w:t xml:space="preserve">LinkedIn: </w:t>
      </w:r>
      <w:r w:rsidRPr="00CC5C68">
        <w:rPr>
          <w:rStyle w:val="Hipervnculo"/>
          <w:rFonts w:ascii="Verdana" w:hAnsi="Verdana"/>
          <w:color w:val="4472C4" w:themeColor="accent1"/>
        </w:rPr>
        <w:t>Agencia Nacional de Contratación Pública - Colombia Compra Eficiente</w:t>
      </w:r>
      <w:r w:rsidRPr="00CC5C68">
        <w:rPr>
          <w:rFonts w:ascii="Verdana" w:hAnsi="Verdana"/>
          <w:color w:val="4472C4" w:themeColor="accent1"/>
        </w:rPr>
        <w:t xml:space="preserve"> </w:t>
      </w:r>
      <w:r w:rsidRPr="00CC5C68">
        <w:rPr>
          <w:rFonts w:ascii="Verdana" w:hAnsi="Verdana"/>
        </w:rPr>
        <w:t xml:space="preserve">Instagram: </w:t>
      </w:r>
      <w:r w:rsidRPr="00CC5C68">
        <w:rPr>
          <w:rStyle w:val="Hipervnculo"/>
          <w:rFonts w:ascii="Verdana" w:hAnsi="Verdana"/>
          <w:color w:val="4472C4" w:themeColor="accent1"/>
        </w:rPr>
        <w:t>@colombiacompraeficiente_cce</w:t>
      </w:r>
    </w:p>
    <w:p w14:paraId="23A7BB06" w14:textId="77777777" w:rsidR="00E47B7E" w:rsidRPr="0044528D" w:rsidRDefault="00E47B7E" w:rsidP="00E47B7E">
      <w:pPr>
        <w:widowControl w:val="0"/>
        <w:autoSpaceDE w:val="0"/>
        <w:autoSpaceDN w:val="0"/>
        <w:spacing w:after="0" w:line="276" w:lineRule="auto"/>
        <w:jc w:val="both"/>
        <w:rPr>
          <w:rFonts w:ascii="Verdana" w:hAnsi="Verdana"/>
        </w:rPr>
      </w:pPr>
    </w:p>
    <w:p w14:paraId="23A7BB07" w14:textId="77777777" w:rsidR="00E47B7E" w:rsidRPr="00CC5C68" w:rsidRDefault="00E47B7E" w:rsidP="00E47B7E">
      <w:pPr>
        <w:widowControl w:val="0"/>
        <w:autoSpaceDE w:val="0"/>
        <w:autoSpaceDN w:val="0"/>
        <w:spacing w:after="0" w:line="276" w:lineRule="auto"/>
        <w:jc w:val="both"/>
        <w:rPr>
          <w:rFonts w:ascii="Verdana" w:hAnsi="Verdana" w:cs="Arial"/>
          <w:lang w:val="es-ES_tradnl"/>
        </w:rPr>
      </w:pPr>
      <w:r w:rsidRPr="00CC5C68">
        <w:rPr>
          <w:rFonts w:ascii="Verdana" w:hAnsi="Verdana" w:cs="Arial"/>
        </w:rPr>
        <w:t xml:space="preserve">Este concepto tiene el alcance previsto en el artículo 28 del Código de </w:t>
      </w:r>
      <w:r w:rsidRPr="00CC5C68">
        <w:rPr>
          <w:rFonts w:ascii="Verdana" w:hAnsi="Verdana" w:cs="Arial"/>
        </w:rPr>
        <w:lastRenderedPageBreak/>
        <w:t xml:space="preserve">Procedimiento Administrativo y de lo Contencioso Administrativo </w:t>
      </w:r>
      <w:r w:rsidRPr="00CC5C68">
        <w:rPr>
          <w:rFonts w:ascii="Verdana" w:hAnsi="Verdana" w:cs="Arial"/>
          <w:lang w:val="es-ES_tradnl"/>
        </w:rPr>
        <w:t>y las expresiones aquí utilizadas con mayúscula inicial deben ser entendidas con el significado que les otorga el artículo 2.2.1.1.1.3.1. del Decreto 1082 de 2015.</w:t>
      </w:r>
    </w:p>
    <w:p w14:paraId="23A7BB08" w14:textId="77777777" w:rsidR="00E47B7E" w:rsidRPr="00CC5C68" w:rsidRDefault="00E47B7E" w:rsidP="00E47B7E">
      <w:pPr>
        <w:spacing w:after="0" w:line="276" w:lineRule="auto"/>
        <w:ind w:firstLine="709"/>
        <w:jc w:val="both"/>
        <w:rPr>
          <w:rFonts w:ascii="Verdana" w:eastAsia="Times New Roman" w:hAnsi="Verdana" w:cs="Arial"/>
          <w:szCs w:val="24"/>
          <w:lang w:val="es-ES_tradnl" w:eastAsia="es-ES_tradnl"/>
        </w:rPr>
      </w:pPr>
    </w:p>
    <w:p w14:paraId="23A7BB09" w14:textId="77777777" w:rsidR="00E47B7E" w:rsidRPr="00CC5C68" w:rsidRDefault="00E47B7E" w:rsidP="00E47B7E">
      <w:pPr>
        <w:spacing w:after="0" w:line="276" w:lineRule="auto"/>
        <w:jc w:val="both"/>
        <w:rPr>
          <w:rFonts w:ascii="Verdana" w:eastAsia="Times New Roman" w:hAnsi="Verdana" w:cs="Arial"/>
          <w:lang w:val="es-ES_tradnl" w:eastAsia="es-CO"/>
        </w:rPr>
      </w:pPr>
      <w:bookmarkStart w:id="2" w:name="_Hlk117695077"/>
      <w:r w:rsidRPr="00CC5C68">
        <w:rPr>
          <w:rFonts w:ascii="Verdana" w:eastAsia="Times New Roman" w:hAnsi="Verdana" w:cs="Arial"/>
          <w:lang w:val="es-ES_tradnl" w:eastAsia="es-CO"/>
        </w:rPr>
        <w:t>Atentamente,</w:t>
      </w:r>
    </w:p>
    <w:bookmarkEnd w:id="2"/>
    <w:p w14:paraId="23A7BB0A" w14:textId="77777777" w:rsidR="00E47B7E" w:rsidRPr="00CC5C68" w:rsidRDefault="00F33209" w:rsidP="00E47B7E">
      <w:pPr>
        <w:spacing w:after="18" w:line="240" w:lineRule="auto"/>
        <w:jc w:val="center"/>
        <w:rPr>
          <w:rFonts w:ascii="Verdana" w:eastAsia="Times New Roman" w:hAnsi="Verdana" w:cs="Arial"/>
          <w:sz w:val="24"/>
          <w:szCs w:val="24"/>
          <w:lang w:eastAsia="es-CO"/>
        </w:rPr>
      </w:pPr>
      <w:r w:rsidRPr="004D5C25">
        <w:rPr>
          <w:rFonts w:ascii="Century Gothic" w:hAnsi="Century Gothic"/>
          <w:noProof/>
        </w:rPr>
        <w:drawing>
          <wp:inline distT="0" distB="0" distL="0" distR="0" wp14:anchorId="23A7BB23" wp14:editId="23A7BB24">
            <wp:extent cx="3705742" cy="1590897"/>
            <wp:effectExtent l="0" t="0" r="9525" b="9525"/>
            <wp:docPr id="1822740040"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2740040" name="Imagen 1" descr="Texto&#10;&#10;Descripción generada automáticamente"/>
                    <pic:cNvPicPr/>
                  </pic:nvPicPr>
                  <pic:blipFill>
                    <a:blip r:embed="rId18"/>
                    <a:stretch>
                      <a:fillRect/>
                    </a:stretch>
                  </pic:blipFill>
                  <pic:spPr>
                    <a:xfrm>
                      <a:off x="0" y="0"/>
                      <a:ext cx="3705742" cy="1590897"/>
                    </a:xfrm>
                    <a:prstGeom prst="rect">
                      <a:avLst/>
                    </a:prstGeom>
                  </pic:spPr>
                </pic:pic>
              </a:graphicData>
            </a:graphic>
          </wp:inline>
        </w:drawing>
      </w:r>
    </w:p>
    <w:tbl>
      <w:tblPr>
        <w:tblStyle w:val="Tablaconcuadrcula1"/>
        <w:tblpPr w:leftFromText="141" w:rightFromText="141" w:vertAnchor="text" w:horzAnchor="margin" w:tblpY="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
        <w:gridCol w:w="4777"/>
      </w:tblGrid>
      <w:tr w:rsidR="00E47B7E" w:rsidRPr="00CC5C68" w14:paraId="23A7BB0E" w14:textId="77777777" w:rsidTr="00C77973">
        <w:trPr>
          <w:trHeight w:val="286"/>
        </w:trPr>
        <w:tc>
          <w:tcPr>
            <w:tcW w:w="893" w:type="dxa"/>
            <w:vAlign w:val="center"/>
            <w:hideMark/>
          </w:tcPr>
          <w:p w14:paraId="23A7BB0B" w14:textId="77777777" w:rsidR="00E47B7E" w:rsidRPr="00CC5C68" w:rsidRDefault="00E47B7E" w:rsidP="00E47B7E">
            <w:pPr>
              <w:spacing w:after="0"/>
              <w:rPr>
                <w:rFonts w:ascii="Verdana" w:eastAsia="Times New Roman" w:hAnsi="Verdana" w:cs="Arial"/>
                <w:sz w:val="14"/>
                <w:szCs w:val="14"/>
                <w:lang w:eastAsia="es-ES"/>
              </w:rPr>
            </w:pPr>
            <w:r w:rsidRPr="00CC5C68">
              <w:rPr>
                <w:rFonts w:ascii="Verdana" w:eastAsia="Times New Roman" w:hAnsi="Verdana" w:cs="Arial"/>
                <w:sz w:val="16"/>
                <w:szCs w:val="16"/>
                <w:lang w:eastAsia="es-ES"/>
              </w:rPr>
              <w:t>Elaboró:</w:t>
            </w:r>
          </w:p>
        </w:tc>
        <w:tc>
          <w:tcPr>
            <w:tcW w:w="4777" w:type="dxa"/>
            <w:vAlign w:val="center"/>
            <w:hideMark/>
          </w:tcPr>
          <w:p w14:paraId="23A7BB0C" w14:textId="77777777" w:rsidR="00E47B7E" w:rsidRPr="00CC5C68" w:rsidRDefault="00E47B7E" w:rsidP="00E47B7E">
            <w:pPr>
              <w:spacing w:after="0"/>
              <w:rPr>
                <w:rFonts w:ascii="Verdana" w:eastAsia="Times New Roman" w:hAnsi="Verdana" w:cs="Arial"/>
                <w:sz w:val="16"/>
                <w:szCs w:val="16"/>
                <w:lang w:val="es-ES" w:eastAsia="es-ES"/>
              </w:rPr>
            </w:pPr>
            <w:proofErr w:type="spellStart"/>
            <w:r w:rsidRPr="632A2DD4">
              <w:rPr>
                <w:rFonts w:ascii="Verdana" w:eastAsia="Times New Roman" w:hAnsi="Verdana" w:cs="Arial"/>
                <w:sz w:val="16"/>
                <w:szCs w:val="16"/>
                <w:lang w:val="es-ES" w:eastAsia="es-ES"/>
              </w:rPr>
              <w:t>Jhonattan</w:t>
            </w:r>
            <w:proofErr w:type="spellEnd"/>
            <w:r w:rsidRPr="632A2DD4">
              <w:rPr>
                <w:rFonts w:ascii="Verdana" w:eastAsia="Times New Roman" w:hAnsi="Verdana" w:cs="Arial"/>
                <w:sz w:val="16"/>
                <w:szCs w:val="16"/>
                <w:lang w:val="es-ES" w:eastAsia="es-ES"/>
              </w:rPr>
              <w:t xml:space="preserve"> </w:t>
            </w:r>
            <w:proofErr w:type="spellStart"/>
            <w:r w:rsidRPr="632A2DD4">
              <w:rPr>
                <w:rFonts w:ascii="Verdana" w:eastAsia="Times New Roman" w:hAnsi="Verdana" w:cs="Arial"/>
                <w:sz w:val="16"/>
                <w:szCs w:val="16"/>
                <w:lang w:val="es-ES" w:eastAsia="es-ES"/>
              </w:rPr>
              <w:t>Gualdrón</w:t>
            </w:r>
            <w:proofErr w:type="spellEnd"/>
            <w:r w:rsidRPr="632A2DD4">
              <w:rPr>
                <w:rFonts w:ascii="Verdana" w:eastAsia="Times New Roman" w:hAnsi="Verdana" w:cs="Arial"/>
                <w:sz w:val="16"/>
                <w:szCs w:val="16"/>
                <w:lang w:val="es-ES" w:eastAsia="es-ES"/>
              </w:rPr>
              <w:t xml:space="preserve"> Salazar</w:t>
            </w:r>
          </w:p>
          <w:p w14:paraId="23A7BB0D" w14:textId="77777777" w:rsidR="00E47B7E" w:rsidRPr="00CC5C68" w:rsidRDefault="00E47B7E" w:rsidP="00E47B7E">
            <w:pPr>
              <w:spacing w:after="0"/>
              <w:rPr>
                <w:rFonts w:ascii="Verdana" w:eastAsia="Times New Roman" w:hAnsi="Verdana" w:cs="Arial"/>
                <w:sz w:val="14"/>
                <w:szCs w:val="14"/>
                <w:lang w:eastAsia="es-ES"/>
              </w:rPr>
            </w:pPr>
            <w:r>
              <w:rPr>
                <w:rFonts w:ascii="Verdana" w:eastAsia="Times New Roman" w:hAnsi="Verdana" w:cs="Arial"/>
                <w:sz w:val="16"/>
                <w:szCs w:val="16"/>
                <w:lang w:eastAsia="es-ES"/>
              </w:rPr>
              <w:t>Contratista de la</w:t>
            </w:r>
            <w:r w:rsidRPr="00CC5C68">
              <w:rPr>
                <w:rFonts w:ascii="Verdana" w:eastAsia="Times New Roman" w:hAnsi="Verdana" w:cs="Arial"/>
                <w:sz w:val="16"/>
                <w:szCs w:val="16"/>
                <w:lang w:eastAsia="es-ES"/>
              </w:rPr>
              <w:t xml:space="preserve"> Subdirección de Gestión Contractual</w:t>
            </w:r>
          </w:p>
        </w:tc>
      </w:tr>
      <w:tr w:rsidR="00E47B7E" w:rsidRPr="00CC5C68" w14:paraId="23A7BB12" w14:textId="77777777" w:rsidTr="00C77973">
        <w:trPr>
          <w:trHeight w:val="299"/>
        </w:trPr>
        <w:tc>
          <w:tcPr>
            <w:tcW w:w="893" w:type="dxa"/>
            <w:vAlign w:val="center"/>
            <w:hideMark/>
          </w:tcPr>
          <w:p w14:paraId="23A7BB0F" w14:textId="77777777" w:rsidR="00E47B7E" w:rsidRPr="00CC5C68" w:rsidRDefault="00E47B7E" w:rsidP="00E47B7E">
            <w:pPr>
              <w:spacing w:after="0"/>
              <w:rPr>
                <w:rFonts w:ascii="Verdana" w:eastAsia="Times New Roman" w:hAnsi="Verdana" w:cs="Arial"/>
                <w:sz w:val="14"/>
                <w:szCs w:val="14"/>
                <w:lang w:eastAsia="es-ES"/>
              </w:rPr>
            </w:pPr>
            <w:r w:rsidRPr="00CC5C68">
              <w:rPr>
                <w:rFonts w:ascii="Verdana" w:eastAsia="Times New Roman" w:hAnsi="Verdana" w:cs="Arial"/>
                <w:sz w:val="16"/>
                <w:szCs w:val="16"/>
                <w:lang w:eastAsia="es-ES"/>
              </w:rPr>
              <w:t>Revisó:</w:t>
            </w:r>
          </w:p>
        </w:tc>
        <w:tc>
          <w:tcPr>
            <w:tcW w:w="4777" w:type="dxa"/>
            <w:vAlign w:val="center"/>
            <w:hideMark/>
          </w:tcPr>
          <w:p w14:paraId="23A7BB10" w14:textId="77777777" w:rsidR="00E47B7E" w:rsidRPr="00CC5C68" w:rsidRDefault="00E47B7E" w:rsidP="00E47B7E">
            <w:pPr>
              <w:spacing w:after="0"/>
              <w:rPr>
                <w:rFonts w:ascii="Verdana" w:eastAsia="Times New Roman" w:hAnsi="Verdana" w:cs="Arial"/>
                <w:sz w:val="16"/>
                <w:szCs w:val="16"/>
                <w:lang w:val="es-ES" w:eastAsia="es-ES"/>
              </w:rPr>
            </w:pPr>
            <w:r>
              <w:rPr>
                <w:rFonts w:ascii="Verdana" w:eastAsia="Times New Roman" w:hAnsi="Verdana" w:cs="Arial"/>
                <w:sz w:val="16"/>
                <w:szCs w:val="16"/>
                <w:lang w:val="es-ES" w:eastAsia="es-ES"/>
              </w:rPr>
              <w:t xml:space="preserve">Juan Carlos González </w:t>
            </w:r>
            <w:proofErr w:type="spellStart"/>
            <w:r>
              <w:rPr>
                <w:rFonts w:ascii="Verdana" w:eastAsia="Times New Roman" w:hAnsi="Verdana" w:cs="Arial"/>
                <w:sz w:val="16"/>
                <w:szCs w:val="16"/>
                <w:lang w:val="es-ES" w:eastAsia="es-ES"/>
              </w:rPr>
              <w:t>Vasquez</w:t>
            </w:r>
            <w:proofErr w:type="spellEnd"/>
          </w:p>
          <w:p w14:paraId="23A7BB11" w14:textId="77777777" w:rsidR="00E47B7E" w:rsidRPr="00CC5C68" w:rsidRDefault="00E47B7E" w:rsidP="00E47B7E">
            <w:pPr>
              <w:spacing w:after="0"/>
              <w:rPr>
                <w:rFonts w:ascii="Verdana" w:eastAsia="Times New Roman" w:hAnsi="Verdana" w:cs="Arial"/>
                <w:sz w:val="14"/>
                <w:szCs w:val="14"/>
                <w:lang w:eastAsia="es-ES"/>
              </w:rPr>
            </w:pPr>
            <w:r>
              <w:rPr>
                <w:rFonts w:ascii="Verdana" w:eastAsia="Times New Roman" w:hAnsi="Verdana" w:cs="Arial"/>
                <w:sz w:val="16"/>
                <w:szCs w:val="16"/>
                <w:lang w:eastAsia="es-ES"/>
              </w:rPr>
              <w:t>Contratista</w:t>
            </w:r>
            <w:r w:rsidRPr="00CC5C68">
              <w:rPr>
                <w:rFonts w:ascii="Verdana" w:eastAsia="Times New Roman" w:hAnsi="Verdana" w:cs="Arial"/>
                <w:sz w:val="16"/>
                <w:szCs w:val="16"/>
                <w:lang w:eastAsia="es-ES"/>
              </w:rPr>
              <w:t xml:space="preserve"> de la Subdirección de Gestión Contractual</w:t>
            </w:r>
          </w:p>
        </w:tc>
      </w:tr>
      <w:tr w:rsidR="00E47B7E" w:rsidRPr="00CC5C68" w14:paraId="23A7BB16" w14:textId="77777777" w:rsidTr="00C77973">
        <w:trPr>
          <w:trHeight w:val="272"/>
        </w:trPr>
        <w:tc>
          <w:tcPr>
            <w:tcW w:w="893" w:type="dxa"/>
            <w:vAlign w:val="center"/>
            <w:hideMark/>
          </w:tcPr>
          <w:p w14:paraId="23A7BB13" w14:textId="77777777" w:rsidR="00E47B7E" w:rsidRPr="00CC5C68" w:rsidRDefault="00E47B7E" w:rsidP="00E47B7E">
            <w:pPr>
              <w:spacing w:after="0"/>
              <w:rPr>
                <w:rFonts w:ascii="Verdana" w:eastAsia="Times New Roman" w:hAnsi="Verdana" w:cs="Arial"/>
                <w:sz w:val="14"/>
                <w:szCs w:val="14"/>
                <w:lang w:eastAsia="es-ES"/>
              </w:rPr>
            </w:pPr>
            <w:r w:rsidRPr="00CC5C68">
              <w:rPr>
                <w:rFonts w:ascii="Verdana" w:eastAsia="Times New Roman" w:hAnsi="Verdana" w:cs="Arial"/>
                <w:sz w:val="16"/>
                <w:szCs w:val="16"/>
                <w:lang w:eastAsia="es-ES"/>
              </w:rPr>
              <w:t>Aprobó:</w:t>
            </w:r>
          </w:p>
        </w:tc>
        <w:tc>
          <w:tcPr>
            <w:tcW w:w="4777" w:type="dxa"/>
            <w:vAlign w:val="center"/>
            <w:hideMark/>
          </w:tcPr>
          <w:p w14:paraId="23A7BB14" w14:textId="77777777" w:rsidR="00E47B7E" w:rsidRPr="00CC5C68" w:rsidRDefault="00E47B7E" w:rsidP="00E47B7E">
            <w:pPr>
              <w:spacing w:after="0"/>
              <w:rPr>
                <w:rFonts w:ascii="Verdana" w:eastAsia="Times New Roman" w:hAnsi="Verdana" w:cs="Arial"/>
                <w:sz w:val="16"/>
                <w:szCs w:val="16"/>
                <w:lang w:eastAsia="es-ES"/>
              </w:rPr>
            </w:pPr>
            <w:r w:rsidRPr="00CC5C68">
              <w:rPr>
                <w:rFonts w:ascii="Verdana" w:eastAsia="Times New Roman" w:hAnsi="Verdana" w:cs="Arial"/>
                <w:sz w:val="16"/>
                <w:szCs w:val="16"/>
                <w:lang w:eastAsia="es-ES"/>
              </w:rPr>
              <w:t>Carolina Quintero Gacharná</w:t>
            </w:r>
          </w:p>
          <w:p w14:paraId="23A7BB15" w14:textId="77777777" w:rsidR="00E47B7E" w:rsidRPr="00CC5C68" w:rsidRDefault="00E47B7E" w:rsidP="00E47B7E">
            <w:pPr>
              <w:spacing w:after="0"/>
              <w:rPr>
                <w:rFonts w:ascii="Verdana" w:eastAsia="Times New Roman" w:hAnsi="Verdana" w:cs="Arial"/>
                <w:sz w:val="14"/>
                <w:szCs w:val="14"/>
                <w:lang w:eastAsia="es-ES"/>
              </w:rPr>
            </w:pPr>
            <w:r w:rsidRPr="00CC5C68">
              <w:rPr>
                <w:rFonts w:ascii="Verdana" w:eastAsia="Times New Roman" w:hAnsi="Verdana" w:cs="Arial"/>
                <w:sz w:val="16"/>
                <w:szCs w:val="16"/>
                <w:lang w:eastAsia="es-ES"/>
              </w:rPr>
              <w:t>Subdirectora de Gestión Contractual ANCP – CCE</w:t>
            </w:r>
          </w:p>
        </w:tc>
      </w:tr>
    </w:tbl>
    <w:p w14:paraId="23A7BB17" w14:textId="77777777" w:rsidR="00E47B7E" w:rsidRPr="00CC5C68" w:rsidRDefault="00E47B7E" w:rsidP="00E47B7E">
      <w:pPr>
        <w:spacing w:after="0" w:line="276" w:lineRule="auto"/>
        <w:jc w:val="both"/>
        <w:rPr>
          <w:rFonts w:ascii="Verdana" w:eastAsia="Times New Roman" w:hAnsi="Verdana" w:cs="Arial"/>
          <w:lang w:val="es-ES_tradnl"/>
        </w:rPr>
      </w:pPr>
    </w:p>
    <w:p w14:paraId="23A7BB18" w14:textId="77777777" w:rsidR="00E47B7E" w:rsidRPr="00CC5C68" w:rsidRDefault="00E47B7E" w:rsidP="00E47B7E">
      <w:pPr>
        <w:spacing w:after="0" w:line="240" w:lineRule="auto"/>
        <w:rPr>
          <w:rFonts w:ascii="Verdana" w:eastAsia="Times New Roman" w:hAnsi="Verdana" w:cs="Arial"/>
          <w:sz w:val="24"/>
          <w:szCs w:val="24"/>
          <w:lang w:eastAsia="es-ES_tradnl"/>
        </w:rPr>
      </w:pPr>
    </w:p>
    <w:p w14:paraId="23A7BB19" w14:textId="77777777" w:rsidR="00E47B7E" w:rsidRPr="00CC5C68" w:rsidRDefault="00E47B7E" w:rsidP="00E47B7E">
      <w:pPr>
        <w:rPr>
          <w:rFonts w:ascii="Verdana" w:hAnsi="Verdana"/>
        </w:rPr>
      </w:pPr>
    </w:p>
    <w:p w14:paraId="23A7BB1A" w14:textId="77777777" w:rsidR="00E47B7E" w:rsidRDefault="00E47B7E" w:rsidP="00E47B7E"/>
    <w:p w14:paraId="23A7BB1B" w14:textId="77777777" w:rsidR="00E47B7E" w:rsidRDefault="00E47B7E" w:rsidP="00E47B7E"/>
    <w:p w14:paraId="23A7BB1C" w14:textId="77777777" w:rsidR="00E47B7E" w:rsidRPr="00252414" w:rsidRDefault="00E47B7E" w:rsidP="00E47B7E"/>
    <w:p w14:paraId="23A7BB1D" w14:textId="77777777" w:rsidR="00E47B7E" w:rsidRPr="00BF0971" w:rsidRDefault="00E47B7E" w:rsidP="00E47B7E"/>
    <w:p w14:paraId="23A7BB1E" w14:textId="77777777" w:rsidR="00E47B7E" w:rsidRDefault="00E47B7E" w:rsidP="00E47B7E"/>
    <w:p w14:paraId="23A7BB1F" w14:textId="77777777" w:rsidR="00E47B7E" w:rsidRPr="00A67466" w:rsidRDefault="00E47B7E" w:rsidP="00E47B7E"/>
    <w:p w14:paraId="23A7BB20" w14:textId="77777777" w:rsidR="00735AF2" w:rsidRPr="00E47B7E" w:rsidRDefault="00735AF2" w:rsidP="00E47B7E"/>
    <w:sectPr w:rsidR="00735AF2" w:rsidRPr="00E47B7E" w:rsidSect="005855EB">
      <w:headerReference w:type="default" r:id="rId19"/>
      <w:footerReference w:type="default" r:id="rId20"/>
      <w:pgSz w:w="12240" w:h="15840"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A7BB27" w14:textId="77777777" w:rsidR="00AA1FF1" w:rsidRDefault="00AA1FF1" w:rsidP="004B6389">
      <w:pPr>
        <w:spacing w:after="0" w:line="240" w:lineRule="auto"/>
      </w:pPr>
      <w:r>
        <w:separator/>
      </w:r>
    </w:p>
  </w:endnote>
  <w:endnote w:type="continuationSeparator" w:id="0">
    <w:p w14:paraId="23A7BB28" w14:textId="77777777" w:rsidR="00AA1FF1" w:rsidRDefault="00AA1FF1" w:rsidP="004B63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eomanist Bold">
    <w:altName w:val="Calibri"/>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A7BB2E" w14:textId="77777777" w:rsidR="00735AF2" w:rsidRDefault="00735AF2">
    <w:pPr>
      <w:pStyle w:val="Piedepgina"/>
    </w:pPr>
  </w:p>
  <w:p w14:paraId="23A7BB2F" w14:textId="77777777" w:rsidR="00735AF2" w:rsidRPr="00174B77" w:rsidRDefault="005B171A" w:rsidP="00D520D8">
    <w:pPr>
      <w:pBdr>
        <w:top w:val="single" w:sz="4" w:space="1" w:color="auto"/>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2E1330">
      <w:rPr>
        <w:rFonts w:ascii="Verdana" w:eastAsiaTheme="majorEastAsia" w:hAnsi="Verdana" w:cstheme="majorBidi"/>
        <w:b/>
        <w:bCs/>
        <w:sz w:val="16"/>
        <w:szCs w:val="16"/>
        <w:lang w:val="es-ES"/>
      </w:rPr>
      <w:t xml:space="preserve">pág. </w:t>
    </w:r>
    <w:r w:rsidRPr="002E1330">
      <w:rPr>
        <w:rFonts w:ascii="Verdana" w:eastAsiaTheme="minorEastAsia" w:hAnsi="Verdana"/>
        <w:b/>
        <w:bCs/>
        <w:sz w:val="16"/>
        <w:szCs w:val="16"/>
      </w:rPr>
      <w:fldChar w:fldCharType="begin"/>
    </w:r>
    <w:r w:rsidRPr="002E1330">
      <w:rPr>
        <w:rFonts w:ascii="Verdana" w:hAnsi="Verdana"/>
        <w:b/>
        <w:bCs/>
        <w:sz w:val="16"/>
        <w:szCs w:val="16"/>
      </w:rPr>
      <w:instrText>PAGE    \* MERGEFORMAT</w:instrText>
    </w:r>
    <w:r w:rsidRPr="002E1330">
      <w:rPr>
        <w:rFonts w:ascii="Verdana" w:eastAsiaTheme="minorEastAsia" w:hAnsi="Verdana"/>
        <w:b/>
        <w:bCs/>
        <w:sz w:val="16"/>
        <w:szCs w:val="16"/>
      </w:rPr>
      <w:fldChar w:fldCharType="separate"/>
    </w:r>
    <w:r>
      <w:rPr>
        <w:rFonts w:ascii="Verdana" w:eastAsiaTheme="minorEastAsia" w:hAnsi="Verdana"/>
        <w:b/>
        <w:bCs/>
        <w:sz w:val="16"/>
        <w:szCs w:val="16"/>
      </w:rPr>
      <w:t>1</w:t>
    </w:r>
    <w:r w:rsidRPr="002E1330">
      <w:rPr>
        <w:rFonts w:ascii="Verdana" w:eastAsiaTheme="majorEastAsia" w:hAnsi="Verdana" w:cstheme="majorBidi"/>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14:paraId="23A7BB30" w14:textId="77777777" w:rsidR="00735AF2" w:rsidRDefault="005B171A" w:rsidP="00D520D8">
    <w:pPr>
      <w:spacing w:after="0"/>
      <w:jc w:val="both"/>
      <w:rPr>
        <w:rFonts w:ascii="Verdana" w:hAnsi="Verdana"/>
        <w:sz w:val="18"/>
        <w:szCs w:val="18"/>
      </w:rPr>
    </w:pPr>
    <w:r w:rsidRPr="00E41027">
      <w:rPr>
        <w:rFonts w:ascii="Verdana" w:hAnsi="Verdana"/>
        <w:sz w:val="18"/>
        <w:szCs w:val="18"/>
      </w:rPr>
      <w:t>Dirección: Carrera 7 # 26 – 20 - Bogotá, Colombia</w:t>
    </w:r>
  </w:p>
  <w:p w14:paraId="23A7BB31" w14:textId="77777777" w:rsidR="00735AF2" w:rsidRPr="00E41027" w:rsidRDefault="005B171A" w:rsidP="00D520D8">
    <w:pPr>
      <w:spacing w:after="0"/>
      <w:jc w:val="both"/>
      <w:rPr>
        <w:rFonts w:ascii="Verdana" w:hAnsi="Verdana"/>
        <w:sz w:val="18"/>
        <w:szCs w:val="18"/>
      </w:rPr>
    </w:pPr>
    <w:r w:rsidRPr="00E41027">
      <w:rPr>
        <w:rFonts w:ascii="Verdana" w:hAnsi="Verdana"/>
        <w:sz w:val="18"/>
        <w:szCs w:val="18"/>
      </w:rPr>
      <w:t>Mesa de servicio: (+57) 601 7456788</w:t>
    </w:r>
  </w:p>
  <w:p w14:paraId="23A7BB32" w14:textId="77777777" w:rsidR="00735AF2" w:rsidRDefault="005B171A" w:rsidP="0025796E">
    <w:pPr>
      <w:pBdr>
        <w:top w:val="nil"/>
        <w:left w:val="nil"/>
        <w:bottom w:val="nil"/>
        <w:right w:val="nil"/>
        <w:between w:val="nil"/>
      </w:pBdr>
      <w:tabs>
        <w:tab w:val="center" w:pos="4419"/>
        <w:tab w:val="right" w:pos="8838"/>
        <w:tab w:val="center" w:pos="5400"/>
      </w:tabs>
      <w:spacing w:after="0"/>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18"/>
        <w:szCs w:val="18"/>
      </w:rPr>
      <w:t xml:space="preserve">          </w:t>
    </w:r>
    <w:r w:rsidRPr="004A305D">
      <w:rPr>
        <w:rFonts w:ascii="Century Gothic" w:eastAsia="Geo" w:hAnsi="Century Gothic" w:cs="Geo"/>
        <w:b/>
        <w:color w:val="000000"/>
        <w:sz w:val="16"/>
        <w:szCs w:val="16"/>
        <w:lang w:eastAsia="es-CO"/>
      </w:rPr>
      <w:t xml:space="preserve">Código: </w:t>
    </w:r>
    <w:r w:rsidRPr="004A305D">
      <w:rPr>
        <w:rFonts w:ascii="Century Gothic" w:eastAsia="Geo" w:hAnsi="Century Gothic" w:cs="Geo"/>
        <w:bCs/>
        <w:color w:val="000000"/>
        <w:sz w:val="16"/>
        <w:szCs w:val="16"/>
        <w:lang w:eastAsia="es-CO"/>
      </w:rPr>
      <w:t>CCE-</w:t>
    </w:r>
    <w:r>
      <w:rPr>
        <w:rFonts w:ascii="Century Gothic" w:eastAsia="Geo" w:hAnsi="Century Gothic" w:cs="Geo"/>
        <w:bCs/>
        <w:color w:val="000000"/>
        <w:sz w:val="16"/>
        <w:szCs w:val="16"/>
        <w:lang w:eastAsia="es-CO"/>
      </w:rPr>
      <w:t>REC</w:t>
    </w:r>
    <w:r w:rsidRPr="004A305D">
      <w:rPr>
        <w:rFonts w:ascii="Century Gothic" w:eastAsia="Geo" w:hAnsi="Century Gothic" w:cs="Geo"/>
        <w:bCs/>
        <w:color w:val="000000"/>
        <w:sz w:val="16"/>
        <w:szCs w:val="16"/>
        <w:lang w:eastAsia="es-CO"/>
      </w:rPr>
      <w:t>-FM-</w:t>
    </w:r>
    <w:r>
      <w:rPr>
        <w:rFonts w:ascii="Century Gothic" w:eastAsia="Geo" w:hAnsi="Century Gothic" w:cs="Geo"/>
        <w:bCs/>
        <w:color w:val="000000"/>
        <w:sz w:val="16"/>
        <w:szCs w:val="16"/>
        <w:lang w:eastAsia="es-CO"/>
      </w:rPr>
      <w:t xml:space="preserve">17 </w:t>
    </w:r>
    <w:r w:rsidRPr="004A305D">
      <w:rPr>
        <w:rFonts w:ascii="Century Gothic" w:eastAsia="Geo" w:hAnsi="Century Gothic" w:cs="Geo"/>
        <w:b/>
        <w:color w:val="000000"/>
        <w:sz w:val="16"/>
        <w:szCs w:val="16"/>
        <w:lang w:eastAsia="es-CO"/>
      </w:rPr>
      <w:t>Versión</w:t>
    </w:r>
    <w:r w:rsidRPr="004A305D">
      <w:rPr>
        <w:rFonts w:ascii="Century Gothic" w:eastAsia="Arial Nova" w:hAnsi="Century Gothic" w:cs="Arial Nova"/>
        <w:b/>
        <w:color w:val="000000"/>
        <w:sz w:val="16"/>
        <w:szCs w:val="16"/>
        <w:lang w:eastAsia="es-CO"/>
      </w:rPr>
      <w:t xml:space="preserve">: </w:t>
    </w:r>
    <w:r w:rsidRPr="004A305D">
      <w:rPr>
        <w:rFonts w:ascii="Century Gothic" w:eastAsia="Geo" w:hAnsi="Century Gothic" w:cs="Geo"/>
        <w:sz w:val="16"/>
        <w:szCs w:val="16"/>
        <w:lang w:eastAsia="es-CO"/>
      </w:rPr>
      <w:t>0</w:t>
    </w:r>
    <w:r>
      <w:rPr>
        <w:rFonts w:ascii="Century Gothic" w:eastAsia="Geo" w:hAnsi="Century Gothic" w:cs="Geo"/>
        <w:sz w:val="16"/>
        <w:szCs w:val="16"/>
        <w:lang w:eastAsia="es-CO"/>
      </w:rPr>
      <w:t>2</w:t>
    </w:r>
    <w:r w:rsidRPr="004A305D">
      <w:rPr>
        <w:rFonts w:ascii="Century Gothic" w:eastAsia="Geo" w:hAnsi="Century Gothic" w:cs="Geo"/>
        <w:sz w:val="16"/>
        <w:szCs w:val="16"/>
        <w:lang w:eastAsia="es-CO"/>
      </w:rPr>
      <w:t xml:space="preserve"> </w:t>
    </w:r>
    <w:r>
      <w:rPr>
        <w:rFonts w:ascii="Century Gothic" w:eastAsia="Geo" w:hAnsi="Century Gothic" w:cs="Geo"/>
        <w:sz w:val="16"/>
        <w:szCs w:val="16"/>
        <w:lang w:eastAsia="es-CO"/>
      </w:rPr>
      <w:t>Fecha: 31-08-2023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A7BB25" w14:textId="77777777" w:rsidR="00AA1FF1" w:rsidRDefault="00AA1FF1" w:rsidP="004B6389">
      <w:pPr>
        <w:spacing w:after="0" w:line="240" w:lineRule="auto"/>
      </w:pPr>
      <w:r>
        <w:separator/>
      </w:r>
    </w:p>
  </w:footnote>
  <w:footnote w:type="continuationSeparator" w:id="0">
    <w:p w14:paraId="23A7BB26" w14:textId="77777777" w:rsidR="00AA1FF1" w:rsidRDefault="00AA1FF1" w:rsidP="004B6389">
      <w:pPr>
        <w:spacing w:after="0" w:line="240" w:lineRule="auto"/>
      </w:pPr>
      <w:r>
        <w:continuationSeparator/>
      </w:r>
    </w:p>
  </w:footnote>
  <w:footnote w:id="1">
    <w:p w14:paraId="23A7BB37" w14:textId="77777777" w:rsidR="00E47B7E" w:rsidRPr="003734FE" w:rsidRDefault="00E47B7E" w:rsidP="00E47B7E">
      <w:pPr>
        <w:pStyle w:val="Textonotapie"/>
        <w:rPr>
          <w:lang w:val="es-ES"/>
        </w:rPr>
      </w:pPr>
      <w:r>
        <w:rPr>
          <w:rStyle w:val="Refdenotaalpie"/>
        </w:rPr>
        <w:footnoteRef/>
      </w:r>
      <w:r>
        <w:t xml:space="preserve"> </w:t>
      </w:r>
      <w:r>
        <w:rPr>
          <w:lang w:val="es-ES"/>
        </w:rPr>
        <w:t>Numeral 6 y 7 del artículo 7 de la ley 80 de 1993.</w:t>
      </w:r>
    </w:p>
  </w:footnote>
  <w:footnote w:id="2">
    <w:p w14:paraId="23A7BB38" w14:textId="77777777" w:rsidR="00E47B7E" w:rsidRPr="00003BC7" w:rsidRDefault="00E47B7E" w:rsidP="00E47B7E">
      <w:pPr>
        <w:pStyle w:val="Textonotapie"/>
        <w:ind w:firstLine="720"/>
        <w:jc w:val="both"/>
        <w:rPr>
          <w:rFonts w:ascii="Century Gothic" w:hAnsi="Century Gothic" w:cs="Arial"/>
          <w:sz w:val="16"/>
          <w:szCs w:val="16"/>
        </w:rPr>
      </w:pPr>
      <w:r w:rsidRPr="00003BC7">
        <w:rPr>
          <w:rStyle w:val="Refdenotaalpie"/>
          <w:rFonts w:ascii="Century Gothic" w:hAnsi="Century Gothic" w:cs="Arial"/>
          <w:sz w:val="16"/>
          <w:szCs w:val="16"/>
        </w:rPr>
        <w:footnoteRef/>
      </w:r>
      <w:r w:rsidRPr="00003BC7">
        <w:rPr>
          <w:rFonts w:ascii="Century Gothic" w:hAnsi="Century Gothic" w:cs="Arial"/>
          <w:sz w:val="16"/>
          <w:szCs w:val="16"/>
        </w:rPr>
        <w:t xml:space="preserve"> CORTE CONSTITUCIONAL. Sentencia C-949 del 5 de septiembre de 2001. M.P. Clara Inés Vargas Hernández.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A7BB29" w14:textId="77777777" w:rsidR="00735AF2" w:rsidRDefault="005B171A">
    <w:pPr>
      <w:pStyle w:val="Encabezado"/>
    </w:pPr>
    <w:r>
      <w:rPr>
        <w:rFonts w:ascii="Geomanist Bold" w:hAnsi="Geomanist Bold"/>
        <w:b/>
        <w:bCs/>
        <w:noProof/>
        <w:color w:val="002060"/>
        <w:sz w:val="24"/>
        <w:szCs w:val="24"/>
      </w:rPr>
      <w:drawing>
        <wp:anchor distT="0" distB="0" distL="114300" distR="114300" simplePos="0" relativeHeight="251660288" behindDoc="1" locked="0" layoutInCell="1" allowOverlap="1" wp14:anchorId="23A7BB33" wp14:editId="23A7BB34">
          <wp:simplePos x="0" y="0"/>
          <wp:positionH relativeFrom="margin">
            <wp:align>center</wp:align>
          </wp:positionH>
          <wp:positionV relativeFrom="paragraph">
            <wp:posOffset>-345440</wp:posOffset>
          </wp:positionV>
          <wp:extent cx="1924050" cy="856004"/>
          <wp:effectExtent l="0" t="0" r="0" b="1270"/>
          <wp:wrapNone/>
          <wp:docPr id="1309089902"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Pr>
        <w:rFonts w:ascii="Geomanist Bold" w:hAnsi="Geomanist Bold"/>
        <w:b/>
        <w:bCs/>
        <w:noProof/>
        <w:color w:val="002060"/>
        <w:sz w:val="24"/>
        <w:szCs w:val="24"/>
      </w:rPr>
      <w:drawing>
        <wp:anchor distT="0" distB="0" distL="114300" distR="114300" simplePos="0" relativeHeight="251659264" behindDoc="0" locked="0" layoutInCell="1" allowOverlap="1" wp14:anchorId="23A7BB35" wp14:editId="23A7BB36">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14:paraId="23A7BB2A" w14:textId="77777777" w:rsidR="00735AF2" w:rsidRDefault="00735AF2">
    <w:pPr>
      <w:pStyle w:val="Encabezado"/>
    </w:pPr>
  </w:p>
  <w:p w14:paraId="23A7BB2B" w14:textId="77777777" w:rsidR="00735AF2" w:rsidRDefault="00735AF2" w:rsidP="004A305D">
    <w:pPr>
      <w:spacing w:after="0"/>
      <w:rPr>
        <w:rFonts w:ascii="Verdana" w:hAnsi="Verdana"/>
        <w:b/>
        <w:bCs/>
      </w:rPr>
    </w:pPr>
  </w:p>
  <w:p w14:paraId="23A7BB2C" w14:textId="77777777" w:rsidR="00735AF2" w:rsidRPr="004A305D" w:rsidRDefault="00735AF2" w:rsidP="00B01B1A">
    <w:pPr>
      <w:spacing w:after="0" w:line="120" w:lineRule="auto"/>
      <w:rPr>
        <w:rFonts w:ascii="Century Gothic" w:eastAsia="Geo" w:hAnsi="Century Gothic" w:cs="Geo"/>
        <w:sz w:val="16"/>
        <w:szCs w:val="16"/>
        <w:lang w:eastAsia="es-CO"/>
      </w:rPr>
    </w:pPr>
  </w:p>
  <w:p w14:paraId="23A7BB2D" w14:textId="77777777" w:rsidR="00735AF2" w:rsidRDefault="00735AF2" w:rsidP="00061B2A">
    <w:pPr>
      <w:pStyle w:val="Encabezado"/>
      <w:spacing w:line="12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D726F5"/>
    <w:multiLevelType w:val="hybridMultilevel"/>
    <w:tmpl w:val="7BDC1A1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3E5638AA"/>
    <w:multiLevelType w:val="multilevel"/>
    <w:tmpl w:val="29A02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79089576">
    <w:abstractNumId w:val="0"/>
  </w:num>
  <w:num w:numId="2" w16cid:durableId="18119407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389"/>
    <w:rsid w:val="0011482D"/>
    <w:rsid w:val="002005BE"/>
    <w:rsid w:val="002870A5"/>
    <w:rsid w:val="0043496D"/>
    <w:rsid w:val="004B6389"/>
    <w:rsid w:val="005B171A"/>
    <w:rsid w:val="006113E1"/>
    <w:rsid w:val="00735AF2"/>
    <w:rsid w:val="008C2760"/>
    <w:rsid w:val="00AA1FF1"/>
    <w:rsid w:val="00B92F35"/>
    <w:rsid w:val="00D66088"/>
    <w:rsid w:val="00E47B7E"/>
    <w:rsid w:val="00F33209"/>
    <w:rsid w:val="00F339DE"/>
    <w:rsid w:val="00F86AD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A7BA89"/>
  <w15:chartTrackingRefBased/>
  <w15:docId w15:val="{2CC9918A-15B7-A84C-ABBF-930AF6328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CO"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6389"/>
    <w:pPr>
      <w:spacing w:after="160" w:line="259" w:lineRule="auto"/>
    </w:pPr>
    <w:rPr>
      <w:kern w:val="0"/>
      <w:sz w:val="22"/>
      <w:szCs w:val="22"/>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4B6389"/>
    <w:pPr>
      <w:ind w:left="720"/>
      <w:contextualSpacing/>
    </w:pPr>
  </w:style>
  <w:style w:type="paragraph" w:styleId="Encabezado">
    <w:name w:val="header"/>
    <w:basedOn w:val="Normal"/>
    <w:link w:val="EncabezadoCar"/>
    <w:uiPriority w:val="99"/>
    <w:unhideWhenUsed/>
    <w:rsid w:val="004B638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B6389"/>
    <w:rPr>
      <w:kern w:val="0"/>
      <w:sz w:val="22"/>
      <w:szCs w:val="22"/>
      <w14:ligatures w14:val="none"/>
    </w:rPr>
  </w:style>
  <w:style w:type="paragraph" w:styleId="Piedepgina">
    <w:name w:val="footer"/>
    <w:basedOn w:val="Normal"/>
    <w:link w:val="PiedepginaCar"/>
    <w:uiPriority w:val="99"/>
    <w:unhideWhenUsed/>
    <w:rsid w:val="004B638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B6389"/>
    <w:rPr>
      <w:kern w:val="0"/>
      <w:sz w:val="22"/>
      <w:szCs w:val="22"/>
      <w14:ligatures w14:val="none"/>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4B6389"/>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4B6389"/>
    <w:pPr>
      <w:spacing w:after="0" w:line="240" w:lineRule="auto"/>
    </w:pPr>
    <w:rPr>
      <w:kern w:val="2"/>
      <w:sz w:val="20"/>
      <w:szCs w:val="20"/>
      <w:lang w:val="es-MX"/>
      <w14:ligatures w14:val="standardContextual"/>
    </w:rPr>
  </w:style>
  <w:style w:type="character" w:customStyle="1" w:styleId="TextonotapieCar1">
    <w:name w:val="Texto nota pie Car1"/>
    <w:basedOn w:val="Fuentedeprrafopredeter"/>
    <w:uiPriority w:val="99"/>
    <w:semiHidden/>
    <w:rsid w:val="004B6389"/>
    <w:rPr>
      <w:kern w:val="0"/>
      <w:sz w:val="20"/>
      <w:szCs w:val="20"/>
      <w14:ligatures w14:val="none"/>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4B6389"/>
    <w:rPr>
      <w:vertAlign w:val="superscript"/>
    </w:rPr>
  </w:style>
  <w:style w:type="character" w:customStyle="1" w:styleId="normaltextrun">
    <w:name w:val="normaltextrun"/>
    <w:basedOn w:val="Fuentedeprrafopredeter"/>
    <w:rsid w:val="004B6389"/>
  </w:style>
  <w:style w:type="table" w:styleId="Tablaconcuadrcula">
    <w:name w:val="Table Grid"/>
    <w:basedOn w:val="Tablanormal"/>
    <w:uiPriority w:val="39"/>
    <w:qFormat/>
    <w:rsid w:val="004B6389"/>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4B6389"/>
    <w:rPr>
      <w:color w:val="0000FF"/>
      <w:u w:val="single"/>
    </w:rPr>
  </w:style>
  <w:style w:type="table" w:customStyle="1" w:styleId="Tablaconcuadrcula1">
    <w:name w:val="Tabla con cuadrícula1"/>
    <w:basedOn w:val="Tablanormal"/>
    <w:next w:val="Tablaconcuadrcula"/>
    <w:uiPriority w:val="59"/>
    <w:rsid w:val="004B6389"/>
    <w:pPr>
      <w:jc w:val="both"/>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lnotedebasde">
    <w:name w:val="Appel note de bas de..."/>
    <w:basedOn w:val="Normal"/>
    <w:link w:val="Refdenotaalpie"/>
    <w:uiPriority w:val="99"/>
    <w:rsid w:val="004B6389"/>
    <w:pPr>
      <w:spacing w:line="240" w:lineRule="exact"/>
    </w:pPr>
    <w:rPr>
      <w:kern w:val="2"/>
      <w:sz w:val="24"/>
      <w:szCs w:val="24"/>
      <w:vertAlign w:val="superscript"/>
      <w14:ligatures w14:val="standardContextual"/>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4B6389"/>
    <w:rPr>
      <w:kern w:val="0"/>
      <w:sz w:val="22"/>
      <w:szCs w:val="22"/>
      <w14:ligatures w14:val="none"/>
    </w:rPr>
  </w:style>
  <w:style w:type="character" w:styleId="Mencinsinresolver">
    <w:name w:val="Unresolved Mention"/>
    <w:basedOn w:val="Fuentedeprrafopredeter"/>
    <w:uiPriority w:val="99"/>
    <w:semiHidden/>
    <w:unhideWhenUsed/>
    <w:rsid w:val="004B63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relatoria.colombiacompra.gov.co/busqueda/conceptos" TargetMode="External"/><Relationship Id="rId18"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corteconstitucional.gov./relatoria/" TargetMode="External"/><Relationship Id="rId17" Type="http://schemas.openxmlformats.org/officeDocument/2006/relationships/hyperlink" Target="https://nam02.safelinks.protection.outlook.com/?url=https%3A%2F%2Fwww.colombiacompra.gov.co%2Fsala-de-prensa%2Fboletin-digital&amp;data=05%7C02%7Cjhonattan.gualdron%40colombiacompra.gov.co%7C6192b0470d324981a09708dd0a6c28db%7C7b09041e245149d08cb179d5e3d8c1be%7C0%7C0%7C638678181872336115%7CUnknown%7CTWFpbGZsb3d8eyJFbXB0eU1hcGkiOnRydWUsIlYiOiIwLjAuMDAwMCIsIlAiOiJXaW4zMiIsIkFOIjoiTWFpbCIsIldUIjoyfQ%3D%3D%7C0%7C%7C%7C&amp;sdata=hJEdB1dfLd9%2FoNVOdRsSxfAuHH%2Buq8MfEiQK0eFje00%3D&amp;reserved=0" TargetMode="External"/><Relationship Id="rId2" Type="http://schemas.openxmlformats.org/officeDocument/2006/relationships/customXml" Target="../customXml/item2.xml"/><Relationship Id="rId16" Type="http://schemas.openxmlformats.org/officeDocument/2006/relationships/hyperlink" Target="https://nam02.safelinks.protection.outlook.com/?url=https%3A%2F%2Fwww.sucop.gov.co%2Fentidades%2Fcolombiacompra%2FNormativa%3FIDNorma%3D19201&amp;data=05%7C02%7Cjhonattan.gualdron%40colombiacompra.gov.co%7C6192b0470d324981a09708dd0a6c28db%7C7b09041e245149d08cb179d5e3d8c1be%7C0%7C0%7C638678181872319846%7CUnknown%7CTWFpbGZsb3d8eyJFbXB0eU1hcGkiOnRydWUsIlYiOiIwLjAuMDAwMCIsIlAiOiJXaW4zMiIsIkFOIjoiTWFpbCIsIldUIjoyfQ%3D%3D%7C0%7C%7C%7C&amp;sdata=4tf75HVk8SuChJMA27zYFJ4Jjt3y9uN3ltcBsDBcrMI%3D&amp;reserved=0"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laudylorena@gmail.com" TargetMode="External"/><Relationship Id="rId5" Type="http://schemas.openxmlformats.org/officeDocument/2006/relationships/styles" Target="styles.xml"/><Relationship Id="rId15" Type="http://schemas.openxmlformats.org/officeDocument/2006/relationships/hyperlink" Target="https://nam02.safelinks.protection.outlook.com/?url=https%3A%2F%2Fwww.colombiacompra.gov.co%2Fcontent%2Fconvocatorias&amp;data=05%7C02%7Cjhonattan.gualdron%40colombiacompra.gov.co%7C6192b0470d324981a09708dd0a6c28db%7C7b09041e245149d08cb179d5e3d8c1be%7C0%7C0%7C638678181872303954%7CUnknown%7CTWFpbGZsb3d8eyJFbXB0eU1hcGkiOnRydWUsIlYiOiIwLjAuMDAwMCIsIlAiOiJXaW4zMiIsIkFOIjoiTWFpbCIsIldUIjoyfQ%3D%3D%7C0%7C%7C%7C&amp;sdata=VJvwxrXifTJryFSVBljFc2Ikmu4Fn95y0CO6IXPGFy4%3D&amp;reserved=0" TargetMode="External"/><Relationship Id="rId10" Type="http://schemas.openxmlformats.org/officeDocument/2006/relationships/image" Target="media/image1.png"/><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nam02.safelinks.protection.outlook.com/?url=https%3A%2F%2Fwww.colombiacompra.gov.co%2Fsites%2Fcce_public%2Ffiles%2Fcce_documents%2Fmanual_para_el_manejo_de_acuerdos_comerciales_vf.pdf&amp;data=05%7C02%7Cjhonattan.gualdron%40colombiacompra.gov.co%7C6192b0470d324981a09708dd0a6c28db%7C7b09041e245149d08cb179d5e3d8c1be%7C0%7C0%7C638678181872286796%7CUnknown%7CTWFpbGZsb3d8eyJFbXB0eU1hcGkiOnRydWUsIlYiOiIwLjAuMDAwMCIsIlAiOiJXaW4zMiIsIkFOIjoiTWFpbCIsIldUIjoyfQ%3D%3D%7C0%7C%7C%7C&amp;sdata=cKSTkbemh2dgP2gDn4Nkg%2Fb9Xf%2BalSyUt7erPFodKGU%3D&amp;reserved=0"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_Flow_SignoffStatus xmlns="9d85dbaf-23eb-4e57-a637-93dcacc8b1a1" xsi:nil="true"/>
    <lcf76f155ced4ddcb4097134ff3c332f xmlns="9d85dbaf-23eb-4e57-a637-93dcacc8b1a1">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1E82119-CF8C-4667-B5D1-313AC669C8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E97213-087C-4F07-AA11-3E057865BED0}">
  <ds:schemaRefs>
    <ds:schemaRef ds:uri="http://schemas.microsoft.com/office/2006/metadata/properties"/>
    <ds:schemaRef ds:uri="http://purl.org/dc/elements/1.1/"/>
    <ds:schemaRef ds:uri="http://schemas.microsoft.com/office/2006/documentManagement/types"/>
    <ds:schemaRef ds:uri="http://purl.org/dc/terms/"/>
    <ds:schemaRef ds:uri="http://schemas.microsoft.com/office/infopath/2007/PartnerControls"/>
    <ds:schemaRef ds:uri="http://purl.org/dc/dcmitype/"/>
    <ds:schemaRef ds:uri="http://www.w3.org/XML/1998/namespace"/>
    <ds:schemaRef ds:uri="a6cb9e4b-f1d1-4245-83ec-6cad768d538a"/>
    <ds:schemaRef ds:uri="http://schemas.openxmlformats.org/package/2006/metadata/core-properties"/>
    <ds:schemaRef ds:uri="9d85dbaf-23eb-4e57-a637-93dcacc8b1a1"/>
  </ds:schemaRefs>
</ds:datastoreItem>
</file>

<file path=customXml/itemProps3.xml><?xml version="1.0" encoding="utf-8"?>
<ds:datastoreItem xmlns:ds="http://schemas.openxmlformats.org/officeDocument/2006/customXml" ds:itemID="{A4C1C042-87F7-4530-896A-C45133324FF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3901</Words>
  <Characters>21460</Characters>
  <Application>Microsoft Office Word</Application>
  <DocSecurity>0</DocSecurity>
  <Lines>178</Lines>
  <Paragraphs>50</Paragraphs>
  <ScaleCrop>false</ScaleCrop>
  <Company/>
  <LinksUpToDate>false</LinksUpToDate>
  <CharactersWithSpaces>25311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Jhonattan Gualdron Salazar</dc:creator>
  <cp:keywords/>
  <dc:description/>
  <cp:lastModifiedBy>Kelmis Yimara Bruges Alvarado</cp:lastModifiedBy>
  <cp:revision>2</cp:revision>
  <dcterms:created xsi:type="dcterms:W3CDTF">2024-12-12T14:17:00Z</dcterms:created>
  <dcterms:modified xsi:type="dcterms:W3CDTF">2024-12-12T14:17:00Z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