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1E8E" w14:textId="77777777" w:rsidR="004C2EA9" w:rsidRPr="00BB7952" w:rsidRDefault="004C2EA9" w:rsidP="004C2EA9">
      <w:pPr>
        <w:widowControl w:val="0"/>
        <w:autoSpaceDE w:val="0"/>
        <w:autoSpaceDN w:val="0"/>
        <w:spacing w:after="0" w:line="276" w:lineRule="auto"/>
        <w:jc w:val="both"/>
        <w:rPr>
          <w:rFonts w:ascii="Verdana" w:eastAsia="Arial" w:hAnsi="Verdana" w:cs="Arial"/>
          <w:b/>
          <w:bCs/>
          <w:lang w:val="es-ES"/>
        </w:rPr>
      </w:pPr>
      <w:bookmarkStart w:id="0" w:name="_Hlk143780582"/>
      <w:r w:rsidRPr="00BB7952">
        <w:rPr>
          <w:rFonts w:ascii="Verdana" w:eastAsia="Arial" w:hAnsi="Verdana" w:cs="Arial"/>
          <w:b/>
          <w:bCs/>
          <w:lang w:val="es-ES"/>
        </w:rPr>
        <w:t xml:space="preserve">PROFESIONAL EN INGENIERÍA </w:t>
      </w:r>
      <w:r w:rsidRPr="00BB7952">
        <w:rPr>
          <w:rFonts w:ascii="Verdana" w:eastAsia="Arial" w:hAnsi="Verdana" w:cs="Arial"/>
          <w:b/>
          <w:lang w:val="es-ES"/>
        </w:rPr>
        <w:t>–</w:t>
      </w:r>
      <w:r w:rsidRPr="00BB7952">
        <w:rPr>
          <w:rFonts w:ascii="Verdana" w:eastAsia="Arial" w:hAnsi="Verdana" w:cs="Arial"/>
          <w:b/>
          <w:bCs/>
          <w:lang w:val="es-ES"/>
        </w:rPr>
        <w:t xml:space="preserve"> Ejercicio de la ingeniería – Aval – Procesos de contratación – </w:t>
      </w:r>
    </w:p>
    <w:p w14:paraId="2948FE49" w14:textId="77777777" w:rsidR="004C2EA9" w:rsidRPr="00BB7952" w:rsidRDefault="004C2EA9" w:rsidP="004C2EA9">
      <w:pPr>
        <w:widowControl w:val="0"/>
        <w:autoSpaceDE w:val="0"/>
        <w:autoSpaceDN w:val="0"/>
        <w:spacing w:before="5" w:after="0" w:line="276" w:lineRule="auto"/>
        <w:rPr>
          <w:rFonts w:ascii="Verdana" w:eastAsia="Arial" w:hAnsi="Verdana" w:cs="Arial"/>
          <w:lang w:val="es-ES"/>
        </w:rPr>
      </w:pPr>
    </w:p>
    <w:p w14:paraId="7050106E" w14:textId="77777777" w:rsidR="004C2EA9" w:rsidRPr="00BB7952" w:rsidRDefault="004C2EA9" w:rsidP="004C2EA9">
      <w:pPr>
        <w:spacing w:after="0" w:line="240" w:lineRule="auto"/>
        <w:jc w:val="both"/>
        <w:rPr>
          <w:rFonts w:ascii="Verdana" w:hAnsi="Verdana" w:cs="Arial"/>
          <w:sz w:val="20"/>
          <w:szCs w:val="20"/>
          <w:lang w:val="es-MX"/>
        </w:rPr>
      </w:pPr>
      <w:r w:rsidRPr="00BB7952">
        <w:rPr>
          <w:rFonts w:ascii="Verdana" w:eastAsia="Arial" w:hAnsi="Verdana" w:cs="Arial"/>
          <w:sz w:val="20"/>
          <w:szCs w:val="20"/>
          <w:lang w:val="es-ES"/>
        </w:rPr>
        <w:t>[…]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 profesional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 diferente.</w:t>
      </w:r>
    </w:p>
    <w:p w14:paraId="4A934AF7" w14:textId="77777777" w:rsidR="004C2EA9" w:rsidRPr="00BB7952" w:rsidRDefault="004C2EA9" w:rsidP="004C2EA9">
      <w:pPr>
        <w:spacing w:after="0" w:line="240" w:lineRule="auto"/>
        <w:jc w:val="both"/>
        <w:rPr>
          <w:rFonts w:ascii="Verdana" w:hAnsi="Verdana" w:cs="Arial"/>
          <w:sz w:val="20"/>
          <w:szCs w:val="20"/>
          <w:lang w:val="es-ES"/>
        </w:rPr>
      </w:pPr>
      <w:r w:rsidRPr="00BB7952">
        <w:rPr>
          <w:rFonts w:ascii="Verdana" w:hAnsi="Verdana" w:cs="Arial"/>
          <w:sz w:val="20"/>
          <w:szCs w:val="20"/>
          <w:lang w:val="es-ES"/>
        </w:rPr>
        <w:t>[…]</w:t>
      </w:r>
    </w:p>
    <w:p w14:paraId="0FAFBB14" w14:textId="77777777" w:rsidR="004C2EA9" w:rsidRDefault="004C2EA9" w:rsidP="004C2EA9">
      <w:pPr>
        <w:spacing w:after="0" w:line="240" w:lineRule="auto"/>
        <w:jc w:val="both"/>
        <w:rPr>
          <w:rFonts w:ascii="Verdana" w:hAnsi="Verdana" w:cs="Arial"/>
          <w:sz w:val="20"/>
          <w:szCs w:val="20"/>
          <w:lang w:val="es-ES"/>
        </w:rPr>
      </w:pPr>
      <w:r w:rsidRPr="00BB7952">
        <w:rPr>
          <w:rFonts w:ascii="Verdana" w:hAnsi="Verdana" w:cs="Arial"/>
          <w:sz w:val="20"/>
          <w:szCs w:val="20"/>
          <w:lang w:val="es-ES"/>
        </w:rPr>
        <w:t>En efecto,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2CABA44A" w14:textId="77777777" w:rsidR="004C2EA9" w:rsidRDefault="004C2EA9" w:rsidP="004C2EA9">
      <w:pPr>
        <w:spacing w:after="0" w:line="240" w:lineRule="auto"/>
        <w:jc w:val="both"/>
        <w:rPr>
          <w:rFonts w:ascii="Verdana" w:hAnsi="Verdana" w:cs="Arial"/>
          <w:sz w:val="20"/>
          <w:szCs w:val="20"/>
          <w:lang w:val="es-ES"/>
        </w:rPr>
      </w:pPr>
    </w:p>
    <w:p w14:paraId="23E8A632" w14:textId="77777777" w:rsidR="004C2EA9" w:rsidRDefault="004C2EA9" w:rsidP="004C2EA9">
      <w:pPr>
        <w:spacing w:after="0" w:line="240" w:lineRule="auto"/>
        <w:jc w:val="both"/>
        <w:rPr>
          <w:rFonts w:ascii="Verdana" w:hAnsi="Verdana" w:cs="Arial"/>
          <w:sz w:val="20"/>
          <w:szCs w:val="20"/>
          <w:lang w:val="es-ES"/>
        </w:rPr>
      </w:pPr>
    </w:p>
    <w:p w14:paraId="42AE1D93" w14:textId="77777777" w:rsidR="004C2EA9" w:rsidRDefault="004C2EA9" w:rsidP="004C2EA9">
      <w:pPr>
        <w:spacing w:after="0" w:line="240" w:lineRule="auto"/>
        <w:jc w:val="both"/>
        <w:rPr>
          <w:rFonts w:ascii="Verdana" w:hAnsi="Verdana" w:cs="Arial"/>
          <w:sz w:val="20"/>
          <w:szCs w:val="20"/>
          <w:lang w:val="es-ES"/>
        </w:rPr>
      </w:pPr>
    </w:p>
    <w:p w14:paraId="2A9F3CB8" w14:textId="77777777" w:rsidR="004C2EA9" w:rsidRDefault="004C2EA9" w:rsidP="004C2EA9">
      <w:pPr>
        <w:spacing w:after="0" w:line="240" w:lineRule="auto"/>
        <w:jc w:val="both"/>
        <w:rPr>
          <w:rFonts w:ascii="Verdana" w:hAnsi="Verdana" w:cs="Arial"/>
          <w:sz w:val="20"/>
          <w:szCs w:val="20"/>
          <w:lang w:val="es-ES"/>
        </w:rPr>
      </w:pPr>
    </w:p>
    <w:p w14:paraId="3F64CEF5" w14:textId="77777777" w:rsidR="004C2EA9" w:rsidRDefault="004C2EA9" w:rsidP="004C2EA9">
      <w:pPr>
        <w:spacing w:after="0" w:line="240" w:lineRule="auto"/>
        <w:jc w:val="both"/>
        <w:rPr>
          <w:rFonts w:ascii="Verdana" w:hAnsi="Verdana" w:cs="Arial"/>
          <w:sz w:val="20"/>
          <w:szCs w:val="20"/>
          <w:lang w:val="es-ES"/>
        </w:rPr>
      </w:pPr>
    </w:p>
    <w:p w14:paraId="3D7F2A7C" w14:textId="77777777" w:rsidR="004C2EA9" w:rsidRDefault="004C2EA9" w:rsidP="004C2EA9">
      <w:pPr>
        <w:spacing w:after="0" w:line="240" w:lineRule="auto"/>
        <w:jc w:val="both"/>
        <w:rPr>
          <w:rFonts w:ascii="Verdana" w:hAnsi="Verdana" w:cs="Arial"/>
          <w:sz w:val="20"/>
          <w:szCs w:val="20"/>
          <w:lang w:val="es-ES"/>
        </w:rPr>
      </w:pPr>
    </w:p>
    <w:p w14:paraId="1ED39CA4" w14:textId="77777777" w:rsidR="004C2EA9" w:rsidRDefault="004C2EA9" w:rsidP="004C2EA9">
      <w:pPr>
        <w:spacing w:after="0" w:line="240" w:lineRule="auto"/>
        <w:jc w:val="both"/>
        <w:rPr>
          <w:rFonts w:ascii="Verdana" w:hAnsi="Verdana" w:cs="Arial"/>
          <w:sz w:val="20"/>
          <w:szCs w:val="20"/>
          <w:lang w:val="es-ES"/>
        </w:rPr>
      </w:pPr>
    </w:p>
    <w:p w14:paraId="565D84C0" w14:textId="77777777" w:rsidR="004C2EA9" w:rsidRDefault="004C2EA9" w:rsidP="004C2EA9">
      <w:pPr>
        <w:spacing w:after="0" w:line="240" w:lineRule="auto"/>
        <w:jc w:val="both"/>
        <w:rPr>
          <w:rFonts w:ascii="Verdana" w:hAnsi="Verdana" w:cs="Arial"/>
          <w:sz w:val="20"/>
          <w:szCs w:val="20"/>
          <w:lang w:val="es-ES"/>
        </w:rPr>
      </w:pPr>
    </w:p>
    <w:p w14:paraId="0037F171" w14:textId="77777777" w:rsidR="004C2EA9" w:rsidRDefault="004C2EA9" w:rsidP="004C2EA9">
      <w:pPr>
        <w:spacing w:after="0" w:line="240" w:lineRule="auto"/>
        <w:jc w:val="both"/>
        <w:rPr>
          <w:rFonts w:ascii="Verdana" w:hAnsi="Verdana" w:cs="Arial"/>
          <w:sz w:val="20"/>
          <w:szCs w:val="20"/>
          <w:lang w:val="es-ES"/>
        </w:rPr>
      </w:pPr>
    </w:p>
    <w:p w14:paraId="20FE3469" w14:textId="77777777" w:rsidR="004C2EA9" w:rsidRDefault="004C2EA9" w:rsidP="004C2EA9">
      <w:pPr>
        <w:spacing w:after="0" w:line="240" w:lineRule="auto"/>
        <w:jc w:val="both"/>
        <w:rPr>
          <w:rFonts w:ascii="Verdana" w:hAnsi="Verdana" w:cs="Arial"/>
          <w:sz w:val="20"/>
          <w:szCs w:val="20"/>
          <w:lang w:val="es-ES"/>
        </w:rPr>
      </w:pPr>
    </w:p>
    <w:p w14:paraId="101867F8" w14:textId="77777777" w:rsidR="004C2EA9" w:rsidRDefault="004C2EA9" w:rsidP="004C2EA9">
      <w:pPr>
        <w:spacing w:after="0" w:line="240" w:lineRule="auto"/>
        <w:jc w:val="both"/>
        <w:rPr>
          <w:rFonts w:ascii="Verdana" w:hAnsi="Verdana" w:cs="Arial"/>
          <w:sz w:val="20"/>
          <w:szCs w:val="20"/>
          <w:lang w:val="es-ES"/>
        </w:rPr>
      </w:pPr>
    </w:p>
    <w:p w14:paraId="61816EE2" w14:textId="77777777" w:rsidR="004C2EA9" w:rsidRDefault="004C2EA9" w:rsidP="004C2EA9">
      <w:pPr>
        <w:spacing w:after="0" w:line="240" w:lineRule="auto"/>
        <w:jc w:val="both"/>
        <w:rPr>
          <w:rFonts w:ascii="Verdana" w:hAnsi="Verdana" w:cs="Arial"/>
          <w:sz w:val="20"/>
          <w:szCs w:val="20"/>
          <w:lang w:val="es-ES"/>
        </w:rPr>
      </w:pPr>
    </w:p>
    <w:p w14:paraId="1D72D6D3" w14:textId="77777777" w:rsidR="004C2EA9" w:rsidRDefault="004C2EA9" w:rsidP="004C2EA9">
      <w:pPr>
        <w:spacing w:after="0" w:line="240" w:lineRule="auto"/>
        <w:jc w:val="both"/>
        <w:rPr>
          <w:rFonts w:ascii="Verdana" w:hAnsi="Verdana" w:cs="Arial"/>
          <w:sz w:val="20"/>
          <w:szCs w:val="20"/>
          <w:lang w:val="es-ES"/>
        </w:rPr>
      </w:pPr>
    </w:p>
    <w:p w14:paraId="1F3A96C4" w14:textId="77777777" w:rsidR="004C2EA9" w:rsidRDefault="004C2EA9" w:rsidP="004C2EA9">
      <w:pPr>
        <w:spacing w:after="0" w:line="240" w:lineRule="auto"/>
        <w:jc w:val="both"/>
        <w:rPr>
          <w:rFonts w:ascii="Verdana" w:hAnsi="Verdana" w:cs="Arial"/>
          <w:sz w:val="20"/>
          <w:szCs w:val="20"/>
          <w:lang w:val="es-ES"/>
        </w:rPr>
      </w:pPr>
    </w:p>
    <w:p w14:paraId="6B1ACF60" w14:textId="77777777" w:rsidR="004C2EA9" w:rsidRDefault="004C2EA9" w:rsidP="004C2EA9">
      <w:pPr>
        <w:spacing w:after="0" w:line="240" w:lineRule="auto"/>
        <w:jc w:val="both"/>
        <w:rPr>
          <w:rFonts w:ascii="Verdana" w:hAnsi="Verdana" w:cs="Arial"/>
          <w:sz w:val="20"/>
          <w:szCs w:val="20"/>
          <w:lang w:val="es-ES"/>
        </w:rPr>
      </w:pPr>
    </w:p>
    <w:p w14:paraId="57A2D9E0" w14:textId="77777777" w:rsidR="004C2EA9" w:rsidRDefault="004C2EA9" w:rsidP="004C2EA9">
      <w:pPr>
        <w:spacing w:after="0" w:line="240" w:lineRule="auto"/>
        <w:jc w:val="both"/>
        <w:rPr>
          <w:rFonts w:ascii="Verdana" w:hAnsi="Verdana" w:cs="Arial"/>
          <w:sz w:val="20"/>
          <w:szCs w:val="20"/>
          <w:lang w:val="es-ES"/>
        </w:rPr>
      </w:pPr>
    </w:p>
    <w:p w14:paraId="5004C2B8" w14:textId="77777777" w:rsidR="004C2EA9" w:rsidRDefault="004C2EA9" w:rsidP="004C2EA9">
      <w:pPr>
        <w:spacing w:after="0" w:line="240" w:lineRule="auto"/>
        <w:jc w:val="both"/>
        <w:rPr>
          <w:rFonts w:ascii="Verdana" w:hAnsi="Verdana" w:cs="Arial"/>
          <w:sz w:val="20"/>
          <w:szCs w:val="20"/>
          <w:lang w:val="es-ES"/>
        </w:rPr>
      </w:pPr>
    </w:p>
    <w:p w14:paraId="0F3EC8F4" w14:textId="77777777" w:rsidR="004C2EA9" w:rsidRDefault="004C2EA9" w:rsidP="004C2EA9">
      <w:pPr>
        <w:spacing w:after="0" w:line="240" w:lineRule="auto"/>
        <w:jc w:val="both"/>
        <w:rPr>
          <w:rFonts w:ascii="Verdana" w:hAnsi="Verdana" w:cs="Arial"/>
          <w:sz w:val="20"/>
          <w:szCs w:val="20"/>
          <w:lang w:val="es-ES"/>
        </w:rPr>
      </w:pPr>
    </w:p>
    <w:p w14:paraId="589CEE91" w14:textId="77777777" w:rsidR="004C2EA9" w:rsidRDefault="004C2EA9" w:rsidP="004C2EA9">
      <w:pPr>
        <w:spacing w:after="0" w:line="240" w:lineRule="auto"/>
        <w:jc w:val="both"/>
        <w:rPr>
          <w:rFonts w:ascii="Verdana" w:hAnsi="Verdana" w:cs="Arial"/>
          <w:sz w:val="20"/>
          <w:szCs w:val="20"/>
          <w:lang w:val="es-ES"/>
        </w:rPr>
      </w:pPr>
    </w:p>
    <w:p w14:paraId="19FCB6F9" w14:textId="77777777" w:rsidR="004C2EA9" w:rsidRDefault="004C2EA9" w:rsidP="004C2EA9">
      <w:pPr>
        <w:spacing w:after="0" w:line="240" w:lineRule="auto"/>
        <w:jc w:val="both"/>
        <w:rPr>
          <w:rFonts w:ascii="Verdana" w:hAnsi="Verdana" w:cs="Arial"/>
          <w:sz w:val="20"/>
          <w:szCs w:val="20"/>
          <w:lang w:val="es-ES"/>
        </w:rPr>
      </w:pPr>
    </w:p>
    <w:p w14:paraId="2D48D77B" w14:textId="77777777" w:rsidR="004C2EA9" w:rsidRPr="00BB7952" w:rsidRDefault="004C2EA9" w:rsidP="004C2EA9">
      <w:pPr>
        <w:spacing w:after="0" w:line="240" w:lineRule="auto"/>
        <w:jc w:val="both"/>
        <w:rPr>
          <w:rFonts w:ascii="Verdana" w:hAnsi="Verdana" w:cs="Arial"/>
          <w:sz w:val="20"/>
          <w:szCs w:val="20"/>
          <w:lang w:val="es-MX"/>
        </w:rPr>
      </w:pPr>
    </w:p>
    <w:p w14:paraId="00408201" w14:textId="77777777" w:rsidR="004C2EA9" w:rsidRDefault="004C2EA9" w:rsidP="00454A9A">
      <w:pPr>
        <w:spacing w:after="0" w:line="240" w:lineRule="auto"/>
        <w:rPr>
          <w:rFonts w:ascii="Verdana" w:eastAsia="Geomanist Light" w:hAnsi="Verdana" w:cs="Arial"/>
          <w:color w:val="000000" w:themeColor="text1"/>
          <w:lang w:val="es-MX"/>
        </w:rPr>
      </w:pPr>
    </w:p>
    <w:p w14:paraId="35EAF1D5" w14:textId="49E08B73" w:rsidR="00454A9A" w:rsidRPr="00593A5F" w:rsidRDefault="00454A9A" w:rsidP="00454A9A">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4C2EA9">
        <w:rPr>
          <w:rFonts w:ascii="Verdana" w:eastAsia="Geomanist Light" w:hAnsi="Verdana" w:cs="Arial"/>
          <w:color w:val="201F1E"/>
          <w:lang w:val="es-MX"/>
        </w:rPr>
        <w:t xml:space="preserve">11 </w:t>
      </w:r>
      <w:r w:rsidRPr="00593A5F">
        <w:rPr>
          <w:rFonts w:ascii="Verdana" w:eastAsia="Geomanist Light" w:hAnsi="Verdana" w:cs="Arial"/>
          <w:color w:val="201F1E"/>
          <w:lang w:val="es-MX"/>
        </w:rPr>
        <w:t xml:space="preserve">de </w:t>
      </w:r>
      <w:r w:rsidR="004C2EA9">
        <w:rPr>
          <w:rFonts w:ascii="Verdana" w:eastAsia="Geomanist Light" w:hAnsi="Verdana" w:cs="Arial"/>
          <w:color w:val="201F1E"/>
          <w:lang w:val="es-MX"/>
        </w:rPr>
        <w:t>diciembre</w:t>
      </w:r>
      <w:r w:rsidRPr="00593A5F">
        <w:rPr>
          <w:rFonts w:ascii="Verdana" w:eastAsia="Geomanist Light" w:hAnsi="Verdana" w:cs="Arial"/>
          <w:color w:val="201F1E"/>
          <w:lang w:val="es-MX"/>
        </w:rPr>
        <w:t xml:space="preserve"> de </w:t>
      </w:r>
      <w:r w:rsidR="004C2EA9">
        <w:rPr>
          <w:rFonts w:ascii="Verdana" w:eastAsia="Geomanist Light" w:hAnsi="Verdana" w:cs="Arial"/>
          <w:color w:val="201F1E"/>
          <w:lang w:val="es-MX"/>
        </w:rPr>
        <w:t>2024</w:t>
      </w:r>
    </w:p>
    <w:p w14:paraId="114C525F" w14:textId="77777777" w:rsidR="00454A9A" w:rsidRDefault="00454A9A" w:rsidP="00454A9A">
      <w:pPr>
        <w:spacing w:after="0" w:line="240" w:lineRule="auto"/>
        <w:jc w:val="both"/>
        <w:rPr>
          <w:rFonts w:ascii="Verdana" w:eastAsia="Calibri" w:hAnsi="Verdana" w:cs="Arial"/>
          <w:color w:val="000000"/>
          <w:lang w:val="es-MX"/>
        </w:rPr>
      </w:pPr>
    </w:p>
    <w:p w14:paraId="3800BFC2" w14:textId="3453622A" w:rsidR="00454A9A" w:rsidRPr="005755DF" w:rsidRDefault="00454A9A" w:rsidP="004C2EA9">
      <w:pPr>
        <w:spacing w:after="0" w:line="240" w:lineRule="auto"/>
        <w:ind w:left="4956"/>
        <w:jc w:val="both"/>
        <w:rPr>
          <w:rFonts w:ascii="Verdana" w:eastAsia="Calibri" w:hAnsi="Verdana" w:cs="Arial"/>
          <w:color w:val="000000"/>
          <w:lang w:val="es-MX"/>
        </w:rPr>
      </w:pPr>
      <w:r>
        <w:rPr>
          <w:rFonts w:ascii="Verdana" w:eastAsia="Calibri" w:hAnsi="Verdana" w:cs="Arial"/>
          <w:noProof/>
          <w:lang w:val="es-ES" w:eastAsia="es-ES"/>
        </w:rPr>
        <w:t xml:space="preserve">     </w:t>
      </w:r>
      <w:r w:rsidR="004C2EA9" w:rsidRPr="004C2EA9">
        <w:rPr>
          <w:rFonts w:ascii="Verdana" w:eastAsia="Calibri" w:hAnsi="Verdana" w:cs="Arial"/>
          <w:noProof/>
          <w:lang w:val="es-ES" w:eastAsia="es-ES"/>
        </w:rPr>
        <w:drawing>
          <wp:inline distT="0" distB="0" distL="0" distR="0" wp14:anchorId="7DE9AA43" wp14:editId="0835D7B6">
            <wp:extent cx="3515216" cy="1038370"/>
            <wp:effectExtent l="0" t="0" r="9525" b="9525"/>
            <wp:docPr id="18147192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19204" name=""/>
                    <pic:cNvPicPr/>
                  </pic:nvPicPr>
                  <pic:blipFill>
                    <a:blip r:embed="rId10"/>
                    <a:stretch>
                      <a:fillRect/>
                    </a:stretch>
                  </pic:blipFill>
                  <pic:spPr>
                    <a:xfrm>
                      <a:off x="0" y="0"/>
                      <a:ext cx="3515216" cy="1038370"/>
                    </a:xfrm>
                    <a:prstGeom prst="rect">
                      <a:avLst/>
                    </a:prstGeom>
                  </pic:spPr>
                </pic:pic>
              </a:graphicData>
            </a:graphic>
          </wp:inline>
        </w:drawing>
      </w:r>
      <w:r>
        <w:rPr>
          <w:rFonts w:ascii="Verdana" w:eastAsia="Calibri" w:hAnsi="Verdana" w:cs="Arial"/>
          <w:noProof/>
          <w:lang w:val="es-ES" w:eastAsia="es-ES"/>
        </w:rPr>
        <w:t xml:space="preserve">                                                         </w:t>
      </w:r>
    </w:p>
    <w:p w14:paraId="0FC946A1" w14:textId="77777777" w:rsidR="00454A9A" w:rsidRDefault="00454A9A" w:rsidP="00454A9A">
      <w:pPr>
        <w:spacing w:after="0" w:line="240" w:lineRule="auto"/>
        <w:jc w:val="both"/>
        <w:rPr>
          <w:rFonts w:ascii="Verdana" w:eastAsia="Calibri" w:hAnsi="Verdana" w:cs="Arial"/>
          <w:b/>
          <w:bCs/>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37A7371A" w14:textId="77777777" w:rsidR="00454A9A" w:rsidRDefault="00454A9A" w:rsidP="00454A9A">
      <w:pPr>
        <w:spacing w:after="0" w:line="240" w:lineRule="auto"/>
        <w:jc w:val="both"/>
        <w:rPr>
          <w:rFonts w:ascii="Verdana" w:eastAsia="Calibri" w:hAnsi="Verdana" w:cs="Arial"/>
          <w:b/>
          <w:bCs/>
          <w:lang w:eastAsia="es-ES"/>
        </w:rPr>
      </w:pPr>
      <w:r w:rsidRPr="001706FD">
        <w:rPr>
          <w:rFonts w:ascii="Verdana" w:eastAsia="Calibri" w:hAnsi="Verdana" w:cs="Arial"/>
          <w:b/>
          <w:bCs/>
          <w:lang w:eastAsia="es-ES"/>
        </w:rPr>
        <w:t xml:space="preserve">LISETH CAROLA PINEDA BARRIO </w:t>
      </w:r>
    </w:p>
    <w:p w14:paraId="24F9A528" w14:textId="77777777" w:rsidR="00454A9A" w:rsidRDefault="00454A9A" w:rsidP="00454A9A">
      <w:pPr>
        <w:spacing w:after="0" w:line="240" w:lineRule="auto"/>
        <w:rPr>
          <w:rFonts w:ascii="Verdana" w:eastAsia="Calibri" w:hAnsi="Verdana" w:cs="Arial"/>
          <w:lang w:eastAsia="es-ES"/>
        </w:rPr>
      </w:pPr>
      <w:hyperlink r:id="rId11" w:history="1">
        <w:r w:rsidRPr="00AB1D1B">
          <w:rPr>
            <w:rStyle w:val="Hipervnculo"/>
            <w:rFonts w:ascii="Verdana" w:eastAsia="Calibri" w:hAnsi="Verdana" w:cs="Arial"/>
            <w:lang w:eastAsia="es-ES"/>
          </w:rPr>
          <w:t>concejodevalledupar@gmail.com</w:t>
        </w:r>
      </w:hyperlink>
      <w:r>
        <w:rPr>
          <w:rFonts w:ascii="Verdana" w:eastAsia="Calibri" w:hAnsi="Verdana" w:cs="Arial"/>
          <w:lang w:eastAsia="es-ES"/>
        </w:rPr>
        <w:t xml:space="preserve">; </w:t>
      </w:r>
    </w:p>
    <w:p w14:paraId="1841B8AA" w14:textId="77777777" w:rsidR="00454A9A" w:rsidRDefault="00454A9A" w:rsidP="00454A9A">
      <w:pPr>
        <w:spacing w:after="0" w:line="240" w:lineRule="auto"/>
        <w:rPr>
          <w:rFonts w:ascii="Verdana" w:eastAsia="Calibri" w:hAnsi="Verdana" w:cs="Arial"/>
          <w:lang w:val="es-ES" w:eastAsia="es-ES"/>
        </w:rPr>
      </w:pPr>
      <w:r>
        <w:rPr>
          <w:rFonts w:ascii="Verdana" w:eastAsia="Calibri" w:hAnsi="Verdana" w:cs="Arial"/>
          <w:lang w:val="es-ES" w:eastAsia="es-ES"/>
        </w:rPr>
        <w:t xml:space="preserve">Valledupar, Cesar.    </w:t>
      </w:r>
    </w:p>
    <w:p w14:paraId="2C561006" w14:textId="77777777" w:rsidR="00454A9A" w:rsidRPr="00593A5F" w:rsidRDefault="00454A9A" w:rsidP="00454A9A">
      <w:pPr>
        <w:spacing w:after="0" w:line="240" w:lineRule="auto"/>
        <w:rPr>
          <w:rFonts w:ascii="Verdana" w:eastAsia="Calibri" w:hAnsi="Verdana" w:cs="Arial"/>
          <w:b/>
          <w:bCs/>
          <w:color w:val="000000"/>
          <w:lang w:val="es-ES_tradnl" w:eastAsia="es-ES_tradnl"/>
        </w:rPr>
      </w:pPr>
    </w:p>
    <w:p w14:paraId="7CB18DD8" w14:textId="77777777" w:rsidR="00454A9A" w:rsidRPr="00593A5F" w:rsidRDefault="00454A9A" w:rsidP="00454A9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54A9A" w:rsidRPr="00593A5F" w14:paraId="0EA5BDB1" w14:textId="77777777" w:rsidTr="001336AC">
        <w:trPr>
          <w:trHeight w:val="884"/>
        </w:trPr>
        <w:tc>
          <w:tcPr>
            <w:tcW w:w="2689" w:type="dxa"/>
          </w:tcPr>
          <w:p w14:paraId="429B853D" w14:textId="77777777" w:rsidR="00454A9A" w:rsidRPr="00C00976" w:rsidRDefault="00454A9A" w:rsidP="001336AC">
            <w:pPr>
              <w:jc w:val="both"/>
              <w:rPr>
                <w:rFonts w:ascii="Verdana" w:eastAsia="Calibri" w:hAnsi="Verdana" w:cs="Arial"/>
                <w:b/>
                <w:bCs/>
                <w:color w:val="7030A0"/>
                <w:lang w:val="es-ES_tradnl" w:eastAsia="es-ES_tradnl"/>
              </w:rPr>
            </w:pPr>
          </w:p>
        </w:tc>
        <w:tc>
          <w:tcPr>
            <w:tcW w:w="6100" w:type="dxa"/>
          </w:tcPr>
          <w:p w14:paraId="6353530B" w14:textId="77777777" w:rsidR="00454A9A" w:rsidRPr="000F3B4B" w:rsidRDefault="00454A9A" w:rsidP="001336AC">
            <w:pPr>
              <w:jc w:val="both"/>
              <w:rPr>
                <w:rFonts w:ascii="Verdana" w:eastAsia="Calibri" w:hAnsi="Verdana" w:cs="Arial"/>
                <w:b/>
                <w:bCs/>
                <w:color w:val="7030A0"/>
                <w:lang w:val="es-ES" w:eastAsia="es-ES"/>
              </w:rPr>
            </w:pPr>
            <w:r w:rsidRPr="000F3B4B">
              <w:rPr>
                <w:rFonts w:ascii="Verdana" w:eastAsia="Calibri" w:hAnsi="Verdana" w:cs="Arial"/>
                <w:b/>
                <w:bCs/>
                <w:lang w:val="es-ES" w:eastAsia="es-ES"/>
              </w:rPr>
              <w:t>Concepto C- 908</w:t>
            </w:r>
            <w:r w:rsidRPr="000F3B4B">
              <w:rPr>
                <w:rFonts w:ascii="Verdana" w:eastAsia="Calibri" w:hAnsi="Verdana" w:cs="Arial"/>
                <w:b/>
                <w:bCs/>
                <w:color w:val="7030A0"/>
                <w:lang w:val="es-ES" w:eastAsia="es-ES"/>
              </w:rPr>
              <w:t xml:space="preserve"> </w:t>
            </w:r>
            <w:r w:rsidRPr="000F3B4B">
              <w:rPr>
                <w:rFonts w:ascii="Verdana" w:eastAsia="Calibri" w:hAnsi="Verdana" w:cs="Arial"/>
                <w:b/>
                <w:bCs/>
                <w:lang w:val="es-ES" w:eastAsia="es-ES"/>
              </w:rPr>
              <w:t>de 2024</w:t>
            </w:r>
          </w:p>
        </w:tc>
      </w:tr>
      <w:tr w:rsidR="00454A9A" w:rsidRPr="007203E3" w14:paraId="771234F3" w14:textId="77777777" w:rsidTr="001336AC">
        <w:trPr>
          <w:trHeight w:val="884"/>
        </w:trPr>
        <w:tc>
          <w:tcPr>
            <w:tcW w:w="2689" w:type="dxa"/>
          </w:tcPr>
          <w:p w14:paraId="076AE9F9" w14:textId="77777777" w:rsidR="00454A9A" w:rsidRPr="00C1207D" w:rsidRDefault="00454A9A" w:rsidP="001336AC">
            <w:pPr>
              <w:jc w:val="both"/>
              <w:rPr>
                <w:rFonts w:ascii="Verdana" w:eastAsia="Calibri" w:hAnsi="Verdana" w:cs="Arial"/>
                <w:color w:val="000000"/>
                <w:lang w:val="es-ES_tradnl" w:eastAsia="es-ES_tradnl"/>
              </w:rPr>
            </w:pPr>
            <w:r w:rsidRPr="00C1207D">
              <w:rPr>
                <w:rFonts w:ascii="Verdana" w:eastAsia="Calibri" w:hAnsi="Verdana" w:cs="Arial"/>
                <w:b/>
                <w:color w:val="000000"/>
                <w:lang w:val="es-ES_tradnl" w:eastAsia="es-ES_tradnl"/>
              </w:rPr>
              <w:t>Temas:</w:t>
            </w:r>
            <w:r w:rsidRPr="00C1207D">
              <w:rPr>
                <w:rFonts w:ascii="Verdana" w:eastAsia="Calibri" w:hAnsi="Verdana" w:cs="Arial"/>
                <w:color w:val="000000"/>
                <w:lang w:val="es-ES_tradnl" w:eastAsia="es-ES_tradnl"/>
              </w:rPr>
              <w:t xml:space="preserve">                   </w:t>
            </w:r>
          </w:p>
        </w:tc>
        <w:tc>
          <w:tcPr>
            <w:tcW w:w="6100" w:type="dxa"/>
          </w:tcPr>
          <w:p w14:paraId="2B9EB18D" w14:textId="77777777" w:rsidR="00454A9A" w:rsidRPr="000F3B4B" w:rsidRDefault="00454A9A" w:rsidP="001336AC">
            <w:pPr>
              <w:spacing w:line="276" w:lineRule="auto"/>
              <w:jc w:val="both"/>
              <w:rPr>
                <w:rFonts w:ascii="Verdana" w:eastAsia="Arial" w:hAnsi="Verdana" w:cs="Arial"/>
                <w:lang w:val="es-ES"/>
              </w:rPr>
            </w:pPr>
            <w:r w:rsidRPr="000F3B4B">
              <w:rPr>
                <w:rFonts w:ascii="Verdana" w:eastAsia="Arial" w:hAnsi="Verdana" w:cs="Arial"/>
                <w:lang w:val="es-ES"/>
              </w:rPr>
              <w:t xml:space="preserve">PROFESIONAL EN INGENIERÍA – Ejercicio de la ingeniería – Aval– </w:t>
            </w:r>
            <w:r w:rsidRPr="000F3B4B">
              <w:rPr>
                <w:rFonts w:ascii="Verdana" w:hAnsi="Verdana"/>
                <w:color w:val="000000" w:themeColor="text1"/>
              </w:rPr>
              <w:t xml:space="preserve">Ley 842 de 2003 </w:t>
            </w:r>
            <w:r w:rsidRPr="000F3B4B">
              <w:rPr>
                <w:rFonts w:ascii="Verdana" w:eastAsia="Calibri" w:hAnsi="Verdana" w:cs="Arial"/>
              </w:rPr>
              <w:t xml:space="preserve">artículos 2, 6 y 20, </w:t>
            </w:r>
            <w:r w:rsidRPr="000F3B4B">
              <w:rPr>
                <w:rFonts w:ascii="Verdana" w:eastAsia="Calibri" w:hAnsi="Verdana" w:cs="Arial"/>
                <w:lang w:val="es-ES" w:eastAsia="es-ES"/>
              </w:rPr>
              <w:t>REQUISITOS HABILITANTES – Definición</w:t>
            </w:r>
            <w:r w:rsidRPr="000F3B4B">
              <w:rPr>
                <w:rFonts w:ascii="Verdana" w:eastAsia="Calibri" w:hAnsi="Verdana" w:cs="Arial"/>
              </w:rPr>
              <w:t>.</w:t>
            </w:r>
            <w:r w:rsidRPr="000F3B4B">
              <w:rPr>
                <w:rFonts w:ascii="Verdana" w:eastAsia="Calibri" w:hAnsi="Verdana" w:cs="Arial"/>
                <w:bCs/>
                <w:lang w:val="es-ES"/>
              </w:rPr>
              <w:t xml:space="preserve"> </w:t>
            </w:r>
          </w:p>
          <w:p w14:paraId="020E3BA1" w14:textId="77777777" w:rsidR="00454A9A" w:rsidRPr="000F3B4B" w:rsidRDefault="00454A9A" w:rsidP="001336AC">
            <w:pPr>
              <w:spacing w:line="276" w:lineRule="auto"/>
              <w:jc w:val="both"/>
              <w:rPr>
                <w:rFonts w:ascii="Verdana" w:eastAsia="Calibri" w:hAnsi="Verdana" w:cs="Arial"/>
                <w:lang w:val="es-ES" w:eastAsia="es-ES"/>
              </w:rPr>
            </w:pPr>
          </w:p>
        </w:tc>
      </w:tr>
      <w:tr w:rsidR="00454A9A" w:rsidRPr="000364D7" w14:paraId="188205C9" w14:textId="77777777" w:rsidTr="001336AC">
        <w:tc>
          <w:tcPr>
            <w:tcW w:w="2689" w:type="dxa"/>
          </w:tcPr>
          <w:p w14:paraId="10864798" w14:textId="77777777" w:rsidR="00454A9A" w:rsidRPr="000364D7" w:rsidRDefault="00454A9A" w:rsidP="001336AC">
            <w:pPr>
              <w:jc w:val="both"/>
              <w:rPr>
                <w:rFonts w:ascii="Verdana" w:eastAsia="Calibri" w:hAnsi="Verdana" w:cs="Arial"/>
                <w:b/>
                <w:lang w:val="es-ES_tradnl" w:eastAsia="es-ES_tradnl"/>
              </w:rPr>
            </w:pPr>
            <w:r w:rsidRPr="000364D7">
              <w:rPr>
                <w:rFonts w:ascii="Verdana" w:eastAsia="Calibri" w:hAnsi="Verdana" w:cs="Arial"/>
                <w:b/>
                <w:lang w:val="es-ES_tradnl" w:eastAsia="es-ES_tradnl"/>
              </w:rPr>
              <w:t>Radicación:</w:t>
            </w:r>
            <w:r w:rsidRPr="000364D7">
              <w:rPr>
                <w:rFonts w:ascii="Verdana" w:eastAsia="Calibri" w:hAnsi="Verdana" w:cs="Arial"/>
                <w:lang w:val="es-ES_tradnl" w:eastAsia="es-ES_tradnl"/>
              </w:rPr>
              <w:t xml:space="preserve">               </w:t>
            </w:r>
          </w:p>
        </w:tc>
        <w:tc>
          <w:tcPr>
            <w:tcW w:w="6100" w:type="dxa"/>
          </w:tcPr>
          <w:p w14:paraId="0A753943" w14:textId="77777777" w:rsidR="00454A9A" w:rsidRPr="000364D7" w:rsidRDefault="00454A9A" w:rsidP="001336AC">
            <w:pPr>
              <w:jc w:val="both"/>
              <w:rPr>
                <w:rFonts w:ascii="Verdana" w:eastAsia="Calibri" w:hAnsi="Verdana" w:cs="Arial"/>
                <w:lang w:val="es-ES_tradnl" w:eastAsia="es-ES_tradnl"/>
              </w:rPr>
            </w:pPr>
            <w:r w:rsidRPr="000364D7">
              <w:rPr>
                <w:rFonts w:ascii="Verdana" w:eastAsia="Calibri" w:hAnsi="Verdana" w:cs="Arial"/>
                <w:lang w:val="es-ES_tradnl" w:eastAsia="es-ES_tradnl"/>
              </w:rPr>
              <w:t xml:space="preserve">Respuesta a consulta con radicado No. </w:t>
            </w:r>
          </w:p>
          <w:p w14:paraId="4E2264CE" w14:textId="77777777" w:rsidR="00454A9A" w:rsidRPr="000364D7" w:rsidRDefault="00454A9A" w:rsidP="001336AC">
            <w:pPr>
              <w:jc w:val="both"/>
              <w:rPr>
                <w:rFonts w:ascii="Verdana" w:eastAsia="Calibri" w:hAnsi="Verdana" w:cs="Arial"/>
                <w:lang w:val="es-ES_tradnl" w:eastAsia="es-ES_tradnl"/>
              </w:rPr>
            </w:pPr>
            <w:r w:rsidRPr="001706FD">
              <w:rPr>
                <w:rFonts w:ascii="Verdana" w:hAnsi="Verdana" w:cs="Calibri"/>
              </w:rPr>
              <w:t>P20241121011753</w:t>
            </w:r>
          </w:p>
        </w:tc>
      </w:tr>
    </w:tbl>
    <w:p w14:paraId="4F24A66B" w14:textId="77777777" w:rsidR="00454A9A" w:rsidRPr="00593A5F" w:rsidRDefault="00454A9A" w:rsidP="00454A9A">
      <w:pPr>
        <w:spacing w:after="0" w:line="240" w:lineRule="auto"/>
        <w:jc w:val="both"/>
        <w:rPr>
          <w:rFonts w:ascii="Verdana" w:eastAsia="Calibri" w:hAnsi="Verdana" w:cs="Arial"/>
          <w:color w:val="000000"/>
          <w:lang w:val="es-ES_tradnl" w:eastAsia="es-ES_tradnl"/>
        </w:rPr>
      </w:pPr>
    </w:p>
    <w:p w14:paraId="4C112BC4" w14:textId="77777777" w:rsidR="00454A9A" w:rsidRPr="00890A8F" w:rsidRDefault="00454A9A" w:rsidP="00454A9A">
      <w:pPr>
        <w:spacing w:after="0" w:line="276" w:lineRule="auto"/>
        <w:jc w:val="both"/>
        <w:rPr>
          <w:rFonts w:ascii="Verdana" w:eastAsia="Calibri" w:hAnsi="Verdana" w:cs="Arial"/>
          <w:lang w:val="es-ES" w:eastAsia="es-ES"/>
        </w:rPr>
      </w:pPr>
      <w:r w:rsidRPr="00890A8F">
        <w:rPr>
          <w:rFonts w:ascii="Verdana" w:eastAsia="Calibri" w:hAnsi="Verdana" w:cs="Arial"/>
          <w:lang w:val="es-ES" w:eastAsia="es-ES"/>
        </w:rPr>
        <w:t>Estimad</w:t>
      </w:r>
      <w:r>
        <w:rPr>
          <w:rFonts w:ascii="Verdana" w:eastAsia="Calibri" w:hAnsi="Verdana" w:cs="Arial"/>
          <w:lang w:val="es-ES" w:eastAsia="es-ES"/>
        </w:rPr>
        <w:t>a Sra. Pineda</w:t>
      </w:r>
      <w:r w:rsidRPr="00890A8F">
        <w:rPr>
          <w:rFonts w:ascii="Verdana" w:eastAsia="Calibri" w:hAnsi="Verdana" w:cs="Arial"/>
          <w:lang w:val="es-ES" w:eastAsia="es-ES"/>
        </w:rPr>
        <w:t xml:space="preserve">: </w:t>
      </w:r>
    </w:p>
    <w:p w14:paraId="49C8D053" w14:textId="77777777" w:rsidR="00454A9A" w:rsidRDefault="00454A9A" w:rsidP="00454A9A">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7ECDCFD" w14:textId="77777777" w:rsidR="00454A9A" w:rsidRPr="00F51234" w:rsidRDefault="00454A9A" w:rsidP="00454A9A">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w:t>
      </w:r>
      <w:r w:rsidRPr="00F51234">
        <w:rPr>
          <w:rFonts w:ascii="Verdana" w:eastAsia="Calibri" w:hAnsi="Verdana" w:cs="Arial"/>
          <w:lang w:val="es-ES" w:eastAsia="es-ES"/>
        </w:rPr>
        <w:t xml:space="preserve">de Contratación Pública – Colombia Compra Eficiente– responde su solicitud de consulta de fecha </w:t>
      </w:r>
      <w:r>
        <w:rPr>
          <w:rFonts w:ascii="Verdana" w:eastAsia="Calibri" w:hAnsi="Verdana" w:cs="Arial"/>
          <w:lang w:val="es-ES" w:eastAsia="es-ES"/>
        </w:rPr>
        <w:t>21</w:t>
      </w:r>
      <w:r w:rsidRPr="00F51234">
        <w:rPr>
          <w:rFonts w:ascii="Verdana" w:eastAsia="Calibri" w:hAnsi="Verdana" w:cs="Arial"/>
          <w:lang w:val="es-ES" w:eastAsia="es-ES"/>
        </w:rPr>
        <w:t xml:space="preserve"> de </w:t>
      </w:r>
      <w:r>
        <w:rPr>
          <w:rFonts w:ascii="Verdana" w:eastAsia="Calibri" w:hAnsi="Verdana" w:cs="Arial"/>
          <w:lang w:val="es-ES" w:eastAsia="es-ES"/>
        </w:rPr>
        <w:t>noviembre</w:t>
      </w:r>
      <w:r w:rsidRPr="00F51234">
        <w:rPr>
          <w:rFonts w:ascii="Verdana" w:eastAsia="Calibri" w:hAnsi="Verdana" w:cs="Arial"/>
          <w:lang w:val="es-ES" w:eastAsia="es-ES"/>
        </w:rPr>
        <w:t xml:space="preserve"> de 2024, en la cual manifiesta lo siguiente: </w:t>
      </w:r>
    </w:p>
    <w:p w14:paraId="14E6B1C6" w14:textId="77777777" w:rsidR="00454A9A" w:rsidRPr="009E1A8C" w:rsidRDefault="00454A9A" w:rsidP="00454A9A">
      <w:pPr>
        <w:spacing w:after="0" w:line="240" w:lineRule="auto"/>
        <w:ind w:right="709"/>
        <w:jc w:val="both"/>
        <w:rPr>
          <w:rFonts w:ascii="Verdana" w:eastAsia="Century Gothic" w:hAnsi="Verdana" w:cs="Century Gothic"/>
          <w:i/>
          <w:iCs/>
          <w:sz w:val="21"/>
          <w:szCs w:val="21"/>
        </w:rPr>
      </w:pPr>
      <w:bookmarkStart w:id="1" w:name="_Hlk95313578"/>
    </w:p>
    <w:p w14:paraId="713EC6ED"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t xml:space="preserve">1. El Concejo Municipal de Valledupar, anualmente adelanta a través de procesos de selección de mínima cuantía, la contratación de reparaciones locativas en las instalaciones de la Corporación. </w:t>
      </w:r>
    </w:p>
    <w:p w14:paraId="106275AD"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t xml:space="preserve">2. Las obras específicamente están relacionadas adecuaciones locativas, Reparación muros, Pintura y resane de paredes, Instalación de puntos eléctricos, Instalación de divisiones de oficina en súper </w:t>
      </w:r>
      <w:proofErr w:type="spellStart"/>
      <w:r w:rsidRPr="009E1A8C">
        <w:rPr>
          <w:rFonts w:ascii="Verdana" w:eastAsia="Century Gothic" w:hAnsi="Verdana" w:cs="Century Gothic"/>
          <w:i/>
          <w:iCs/>
          <w:sz w:val="21"/>
          <w:szCs w:val="21"/>
        </w:rPr>
        <w:t>board</w:t>
      </w:r>
      <w:proofErr w:type="spellEnd"/>
      <w:r w:rsidRPr="009E1A8C">
        <w:rPr>
          <w:rFonts w:ascii="Verdana" w:eastAsia="Century Gothic" w:hAnsi="Verdana" w:cs="Century Gothic"/>
          <w:i/>
          <w:iCs/>
          <w:sz w:val="21"/>
          <w:szCs w:val="21"/>
        </w:rPr>
        <w:t xml:space="preserve"> y Levantamiento e instalación de pisos. </w:t>
      </w:r>
    </w:p>
    <w:p w14:paraId="2C491FD4"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lastRenderedPageBreak/>
        <w:t xml:space="preserve">3. Dentro de las condiciones exigidas en los documentos previos del proceso, se exige un director de la obra que debe ser ingeniero civil. </w:t>
      </w:r>
    </w:p>
    <w:p w14:paraId="0C56C16A"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t xml:space="preserve">4. A la luz de lo establecido en el artículo 20 de la Ley 842 de 2003: </w:t>
      </w:r>
    </w:p>
    <w:p w14:paraId="7746B83A"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t xml:space="preserve">¿El Concejo Municipal de Valledupar, debe contratar estas obras exclusivamente con una persona que ejerza la profesión de ingeniería? </w:t>
      </w:r>
    </w:p>
    <w:p w14:paraId="6F16762A"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t xml:space="preserve">¿Dentro del proceso de selección de mínima cuantía los oferentes deben ser ingenieros (persona natural) o avalado por un ingeniero (persona jurídica)? </w:t>
      </w:r>
    </w:p>
    <w:p w14:paraId="4BC01514" w14:textId="77777777" w:rsidR="00454A9A" w:rsidRPr="009E1A8C" w:rsidRDefault="00454A9A" w:rsidP="00454A9A">
      <w:pPr>
        <w:spacing w:after="0" w:line="240" w:lineRule="auto"/>
        <w:ind w:left="709" w:right="709"/>
        <w:jc w:val="both"/>
        <w:rPr>
          <w:rFonts w:ascii="Verdana" w:eastAsia="Century Gothic" w:hAnsi="Verdana" w:cs="Century Gothic"/>
          <w:i/>
          <w:iCs/>
          <w:sz w:val="21"/>
          <w:szCs w:val="21"/>
        </w:rPr>
      </w:pPr>
      <w:r w:rsidRPr="009E1A8C">
        <w:rPr>
          <w:rFonts w:ascii="Verdana" w:eastAsia="Century Gothic" w:hAnsi="Verdana" w:cs="Century Gothic"/>
          <w:i/>
          <w:iCs/>
          <w:sz w:val="21"/>
          <w:szCs w:val="21"/>
        </w:rPr>
        <w:t>¿Las personas naturales jurídicas o naturales con actividades económicas registradas ante cámara de comercio o DIAN (RUT), relacionadas con otras actividades de ingeniería o construcción, no podrán participar o ser seleccionados como contratista en dichos procesos de selección?</w:t>
      </w:r>
      <w:r w:rsidRPr="00685836">
        <w:rPr>
          <w:rFonts w:ascii="Verdana" w:eastAsia="Century Gothic" w:hAnsi="Verdana" w:cs="Century Gothic"/>
          <w:i/>
          <w:iCs/>
          <w:sz w:val="20"/>
          <w:szCs w:val="20"/>
          <w:lang w:val="es-ES"/>
        </w:rPr>
        <w:t>”</w:t>
      </w:r>
      <w:bookmarkEnd w:id="1"/>
    </w:p>
    <w:p w14:paraId="22F588CB" w14:textId="77777777" w:rsidR="00454A9A" w:rsidRPr="00593A5F" w:rsidRDefault="00454A9A" w:rsidP="00454A9A">
      <w:pPr>
        <w:pStyle w:val="Prrafodelista"/>
        <w:tabs>
          <w:tab w:val="left" w:pos="142"/>
          <w:tab w:val="left" w:pos="284"/>
        </w:tabs>
        <w:spacing w:after="0" w:line="276" w:lineRule="auto"/>
        <w:ind w:left="0"/>
        <w:jc w:val="both"/>
        <w:rPr>
          <w:rFonts w:ascii="Verdana" w:eastAsia="Century Gothic" w:hAnsi="Verdana" w:cs="Century Gothic"/>
          <w:b/>
          <w:bCs/>
        </w:rPr>
      </w:pPr>
    </w:p>
    <w:p w14:paraId="408D9622" w14:textId="77777777" w:rsidR="00454A9A" w:rsidRDefault="00454A9A" w:rsidP="00454A9A">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2C56DA5" w14:textId="77777777" w:rsidR="00454A9A" w:rsidRDefault="00454A9A" w:rsidP="00454A9A">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B0C1DDF" w14:textId="77777777" w:rsidR="00454A9A" w:rsidRPr="00593A5F" w:rsidRDefault="00454A9A" w:rsidP="00454A9A">
      <w:pPr>
        <w:spacing w:after="0" w:line="276" w:lineRule="auto"/>
        <w:ind w:firstLine="709"/>
        <w:jc w:val="both"/>
        <w:rPr>
          <w:rFonts w:ascii="Verdana" w:eastAsia="Calibri" w:hAnsi="Verdana" w:cs="Arial"/>
          <w:color w:val="000000"/>
          <w:lang w:val="es-ES" w:eastAsia="es-ES"/>
        </w:rPr>
      </w:pPr>
    </w:p>
    <w:p w14:paraId="5AE2C010" w14:textId="77777777" w:rsidR="00454A9A" w:rsidRPr="00593A5F" w:rsidRDefault="00454A9A" w:rsidP="00454A9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7EF0DAA" w14:textId="77777777" w:rsidR="00454A9A" w:rsidRPr="00593A5F" w:rsidRDefault="00454A9A" w:rsidP="00454A9A">
      <w:pPr>
        <w:tabs>
          <w:tab w:val="left" w:pos="426"/>
        </w:tabs>
        <w:spacing w:after="0" w:line="276" w:lineRule="auto"/>
        <w:jc w:val="both"/>
        <w:rPr>
          <w:rFonts w:ascii="Verdana" w:eastAsia="Century Gothic" w:hAnsi="Verdana" w:cs="Century Gothic"/>
          <w:lang w:val="es-ES"/>
        </w:rPr>
      </w:pPr>
    </w:p>
    <w:p w14:paraId="38EC0328" w14:textId="297C89CD" w:rsidR="00454A9A" w:rsidRPr="00D95D35" w:rsidRDefault="00454A9A" w:rsidP="00454A9A">
      <w:pPr>
        <w:snapToGrid w:val="0"/>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 xml:space="preserve">los </w:t>
      </w:r>
      <w:r w:rsidRPr="00593A5F">
        <w:rPr>
          <w:rFonts w:ascii="Verdana" w:eastAsia="Century Gothic" w:hAnsi="Verdana" w:cs="Century Gothic"/>
        </w:rPr>
        <w:t>siguiente</w:t>
      </w:r>
      <w:r>
        <w:rPr>
          <w:rFonts w:ascii="Verdana" w:eastAsia="Century Gothic" w:hAnsi="Verdana" w:cs="Century Gothic"/>
        </w:rPr>
        <w:t>s</w:t>
      </w:r>
      <w:r w:rsidRPr="00593A5F">
        <w:rPr>
          <w:rFonts w:ascii="Verdana" w:eastAsia="Century Gothic" w:hAnsi="Verdana" w:cs="Century Gothic"/>
        </w:rPr>
        <w:t xml:space="preserve"> </w:t>
      </w:r>
      <w:r w:rsidRPr="0098455E">
        <w:rPr>
          <w:rFonts w:ascii="Verdana" w:eastAsia="Century Gothic" w:hAnsi="Verdana" w:cs="Century Gothic"/>
        </w:rPr>
        <w:t>problema</w:t>
      </w:r>
      <w:r>
        <w:rPr>
          <w:rFonts w:ascii="Verdana" w:eastAsia="Century Gothic" w:hAnsi="Verdana" w:cs="Century Gothic"/>
        </w:rPr>
        <w:t>s</w:t>
      </w:r>
      <w:r w:rsidRPr="0098455E">
        <w:rPr>
          <w:rFonts w:ascii="Verdana" w:eastAsia="Century Gothic" w:hAnsi="Verdana" w:cs="Century Gothic"/>
        </w:rPr>
        <w:t xml:space="preserve"> jurídico</w:t>
      </w:r>
      <w:r>
        <w:rPr>
          <w:rFonts w:ascii="Verdana" w:eastAsia="Century Gothic" w:hAnsi="Verdana" w:cs="Century Gothic"/>
        </w:rPr>
        <w:t>s</w:t>
      </w:r>
      <w:r w:rsidRPr="0098455E">
        <w:rPr>
          <w:rFonts w:ascii="Verdana" w:eastAsia="Century Gothic" w:hAnsi="Verdana" w:cs="Century Gothic"/>
        </w:rPr>
        <w:t xml:space="preserve">: </w:t>
      </w:r>
      <w:r>
        <w:rPr>
          <w:rFonts w:ascii="Verdana" w:eastAsia="Century Gothic" w:hAnsi="Verdana" w:cs="Century Gothic"/>
        </w:rPr>
        <w:t>1. ¿Aspectos generales respecto al ejercicio de la Ingeniería respecto a los requisitos habilitantes?   2. ¿</w:t>
      </w:r>
      <w:r w:rsidRPr="006E5700">
        <w:rPr>
          <w:rFonts w:ascii="Verdana" w:eastAsia="Calibri" w:hAnsi="Verdana" w:cs="Arial"/>
          <w:shd w:val="clear" w:color="auto" w:fill="FFFFFF"/>
          <w:lang w:val="es-ES"/>
        </w:rPr>
        <w:t>Para</w:t>
      </w:r>
      <w:r>
        <w:rPr>
          <w:rFonts w:ascii="Verdana" w:eastAsia="Calibri" w:hAnsi="Verdana" w:cs="Arial"/>
          <w:shd w:val="clear" w:color="auto" w:fill="FFFFFF"/>
          <w:lang w:val="es-ES"/>
        </w:rPr>
        <w:t xml:space="preserve"> qué modalidades contractuales aplica el aval del ingeniero</w:t>
      </w:r>
      <w:r w:rsidRPr="001866A5">
        <w:rPr>
          <w:rFonts w:ascii="Verdana" w:eastAsia="Calibri" w:hAnsi="Verdana" w:cs="Arial"/>
          <w:shd w:val="clear" w:color="auto" w:fill="FFFFFF"/>
        </w:rPr>
        <w:t xml:space="preserve"> inscrito y con tarjeta de matrícula profesional</w:t>
      </w:r>
      <w:r w:rsidR="00923FE1" w:rsidRPr="001866A5">
        <w:rPr>
          <w:rFonts w:ascii="Verdana" w:eastAsia="Calibri" w:hAnsi="Verdana" w:cs="Arial"/>
          <w:shd w:val="clear" w:color="auto" w:fill="FFFFFF"/>
        </w:rPr>
        <w:t xml:space="preserve"> vigente</w:t>
      </w:r>
      <w:r w:rsidR="60DF9B29">
        <w:rPr>
          <w:rFonts w:ascii="Verdana" w:eastAsia="Calibri" w:hAnsi="Verdana" w:cs="Arial"/>
          <w:shd w:val="clear" w:color="auto" w:fill="FFFFFF"/>
          <w:lang w:val="es-ES"/>
        </w:rPr>
        <w:t>?</w:t>
      </w:r>
    </w:p>
    <w:p w14:paraId="5141EB8C" w14:textId="77777777" w:rsidR="00454A9A" w:rsidRDefault="00454A9A" w:rsidP="00454A9A">
      <w:pPr>
        <w:spacing w:after="0" w:line="276" w:lineRule="auto"/>
        <w:jc w:val="both"/>
        <w:rPr>
          <w:rFonts w:ascii="Verdana" w:eastAsia="Century Gothic" w:hAnsi="Verdana" w:cs="Century Gothic"/>
        </w:rPr>
      </w:pPr>
    </w:p>
    <w:p w14:paraId="68F647C7" w14:textId="77777777" w:rsidR="00454A9A" w:rsidRDefault="00454A9A" w:rsidP="00454A9A">
      <w:pPr>
        <w:spacing w:after="0" w:line="276" w:lineRule="auto"/>
        <w:jc w:val="both"/>
        <w:rPr>
          <w:rFonts w:ascii="Verdana" w:eastAsia="Century Gothic" w:hAnsi="Verdana" w:cs="Century Gothic"/>
        </w:rPr>
      </w:pPr>
    </w:p>
    <w:p w14:paraId="4B2C890A" w14:textId="77777777" w:rsidR="00454A9A" w:rsidRPr="00593A5F" w:rsidRDefault="00454A9A" w:rsidP="00454A9A">
      <w:pPr>
        <w:spacing w:after="0" w:line="276" w:lineRule="auto"/>
        <w:jc w:val="both"/>
        <w:rPr>
          <w:rFonts w:ascii="Verdana" w:eastAsia="Century Gothic" w:hAnsi="Verdana" w:cs="Century Gothic"/>
          <w:b/>
          <w:bCs/>
          <w:lang w:val="es-ES"/>
        </w:rPr>
      </w:pPr>
      <w:r>
        <w:rPr>
          <w:rFonts w:ascii="Verdana" w:eastAsia="Century Gothic" w:hAnsi="Verdana" w:cs="Century Gothic"/>
          <w:b/>
          <w:bCs/>
          <w:lang w:val="es-ES"/>
        </w:rPr>
        <w:t xml:space="preserve">2. </w:t>
      </w:r>
      <w:r w:rsidRPr="00593A5F">
        <w:rPr>
          <w:rFonts w:ascii="Verdana" w:eastAsia="Century Gothic" w:hAnsi="Verdana" w:cs="Century Gothic"/>
          <w:b/>
          <w:bCs/>
          <w:lang w:val="es-ES"/>
        </w:rPr>
        <w:t>Respuesta:</w:t>
      </w:r>
    </w:p>
    <w:p w14:paraId="0692261E" w14:textId="77777777" w:rsidR="00454A9A" w:rsidRPr="00593A5F" w:rsidRDefault="00454A9A" w:rsidP="00454A9A">
      <w:pPr>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54A9A" w:rsidRPr="00593A5F" w14:paraId="08FFAF7C" w14:textId="77777777" w:rsidTr="001336AC">
        <w:tc>
          <w:tcPr>
            <w:tcW w:w="8828" w:type="dxa"/>
            <w:shd w:val="clear" w:color="auto" w:fill="auto"/>
          </w:tcPr>
          <w:p w14:paraId="2FCD0C70" w14:textId="77777777" w:rsidR="00454A9A" w:rsidRDefault="00454A9A" w:rsidP="001336AC">
            <w:pPr>
              <w:spacing w:after="120" w:line="276" w:lineRule="auto"/>
              <w:jc w:val="both"/>
              <w:rPr>
                <w:rFonts w:ascii="Verdana" w:eastAsia="Calibri" w:hAnsi="Verdana" w:cs="Arial"/>
                <w:bCs/>
                <w:color w:val="000000" w:themeColor="text1"/>
              </w:rPr>
            </w:pPr>
            <w:r>
              <w:rPr>
                <w:rFonts w:ascii="Verdana" w:eastAsia="Calibri" w:hAnsi="Verdana" w:cs="Arial"/>
                <w:lang w:val="es-ES_tradnl"/>
              </w:rPr>
              <w:t xml:space="preserve">Como primera medida, </w:t>
            </w:r>
            <w:r>
              <w:rPr>
                <w:rFonts w:ascii="Verdana" w:eastAsia="Calibri" w:hAnsi="Verdana" w:cs="Arial"/>
                <w:bCs/>
                <w:color w:val="000000" w:themeColor="text1"/>
              </w:rPr>
              <w:t xml:space="preserve">esta Agencia quiere recalcar que, conforme a las facultades otorgadas por el numeral 5 del artículo 3 y el numeral 8 del artículo 11 del </w:t>
            </w:r>
            <w:bookmarkStart w:id="2" w:name="_Hlk183701659"/>
            <w:r>
              <w:rPr>
                <w:rFonts w:ascii="Verdana" w:eastAsia="Calibri" w:hAnsi="Verdana" w:cs="Arial"/>
                <w:bCs/>
                <w:color w:val="000000" w:themeColor="text1"/>
              </w:rPr>
              <w:t>Decreto 4170 de 2011</w:t>
            </w:r>
            <w:bookmarkEnd w:id="2"/>
            <w:r>
              <w:rPr>
                <w:rFonts w:ascii="Verdana" w:eastAsia="Calibri" w:hAnsi="Verdana" w:cs="Arial"/>
                <w:bCs/>
                <w:color w:val="000000" w:themeColor="text1"/>
              </w:rPr>
              <w:t>, esta Agencia no tiene competencia y no puede pronunciarse sobre casos particulares o preguntas que no contengan dudas sobre la aplicación de una norma general en materia de contratación estatal; y teniendo en cuenta que usted radicó esta consulta ante el Departamento Administrativo de la Función Pública, no daremos traslado de su petición.</w:t>
            </w:r>
          </w:p>
          <w:p w14:paraId="6862FFB9" w14:textId="3930CF02" w:rsidR="00454A9A" w:rsidRDefault="00454A9A" w:rsidP="001336AC">
            <w:pPr>
              <w:spacing w:after="120" w:line="276" w:lineRule="auto"/>
              <w:jc w:val="both"/>
              <w:rPr>
                <w:rFonts w:ascii="Verdana" w:eastAsia="Calibri" w:hAnsi="Verdana" w:cs="Arial"/>
                <w:lang w:val="es-ES"/>
              </w:rPr>
            </w:pPr>
            <w:r>
              <w:rPr>
                <w:rFonts w:ascii="Verdana" w:eastAsia="Calibri" w:hAnsi="Verdana" w:cs="Arial"/>
                <w:bCs/>
                <w:color w:val="000000" w:themeColor="text1"/>
              </w:rPr>
              <w:t xml:space="preserve">Ahora bien, conforme al primer interrogante, </w:t>
            </w:r>
            <w:r w:rsidR="69F44265" w:rsidRPr="2B56113A">
              <w:rPr>
                <w:rFonts w:ascii="Verdana" w:eastAsia="Calibri" w:hAnsi="Verdana" w:cs="Arial"/>
                <w:color w:val="000000" w:themeColor="text1"/>
              </w:rPr>
              <w:t xml:space="preserve"> debemos señalar que</w:t>
            </w:r>
            <w:r w:rsidR="60DF9B29" w:rsidRPr="2B56113A">
              <w:rPr>
                <w:rFonts w:ascii="Verdana" w:eastAsia="Calibri" w:hAnsi="Verdana" w:cs="Arial"/>
                <w:color w:val="000000" w:themeColor="text1"/>
              </w:rPr>
              <w:t xml:space="preserve"> </w:t>
            </w:r>
            <w:r w:rsidR="04E84D7E" w:rsidRPr="2B56113A">
              <w:rPr>
                <w:rFonts w:ascii="Verdana" w:eastAsia="Calibri" w:hAnsi="Verdana" w:cs="Arial"/>
                <w:color w:val="000000" w:themeColor="text1"/>
              </w:rPr>
              <w:t xml:space="preserve">el </w:t>
            </w:r>
            <w:r w:rsidR="04E84D7E" w:rsidRPr="2B56113A">
              <w:rPr>
                <w:rFonts w:ascii="Verdana" w:eastAsia="Calibri" w:hAnsi="Verdana" w:cs="Arial"/>
                <w:lang w:val="es-ES"/>
              </w:rPr>
              <w:t>artículo 2°</w:t>
            </w:r>
            <w:r w:rsidR="04E84D7E" w:rsidRPr="2B56113A">
              <w:rPr>
                <w:rFonts w:ascii="Verdana" w:eastAsia="Calibri" w:hAnsi="Verdana" w:cs="Arial"/>
                <w:color w:val="000000" w:themeColor="text1"/>
              </w:rPr>
              <w:t xml:space="preserve"> </w:t>
            </w:r>
            <w:r w:rsidR="4CFD5026" w:rsidRPr="2B56113A">
              <w:rPr>
                <w:rFonts w:ascii="Verdana" w:eastAsia="Calibri" w:hAnsi="Verdana" w:cs="Arial"/>
                <w:color w:val="000000" w:themeColor="text1"/>
              </w:rPr>
              <w:t>de</w:t>
            </w:r>
            <w:r>
              <w:rPr>
                <w:rFonts w:ascii="Verdana" w:eastAsia="Calibri" w:hAnsi="Verdana" w:cs="Arial"/>
                <w:bCs/>
                <w:color w:val="000000" w:themeColor="text1"/>
              </w:rPr>
              <w:t xml:space="preserve"> la ley</w:t>
            </w:r>
            <w:r w:rsidRPr="2B56113A">
              <w:rPr>
                <w:rFonts w:ascii="Verdana" w:eastAsia="Calibri" w:hAnsi="Verdana" w:cs="Arial"/>
                <w:lang w:val="es-ES"/>
              </w:rPr>
              <w:t xml:space="preserve"> 842 de 2003,  establece taxativamente las actividades </w:t>
            </w:r>
            <w:r w:rsidR="0AFCD898" w:rsidRPr="2B56113A">
              <w:rPr>
                <w:rFonts w:ascii="Verdana" w:eastAsia="Calibri" w:hAnsi="Verdana" w:cs="Arial"/>
                <w:lang w:val="es-ES"/>
              </w:rPr>
              <w:t xml:space="preserve">que </w:t>
            </w:r>
            <w:r w:rsidR="57D757CF" w:rsidRPr="2B56113A">
              <w:rPr>
                <w:rFonts w:ascii="Verdana" w:eastAsia="Calibri" w:hAnsi="Verdana" w:cs="Arial"/>
                <w:lang w:val="es-ES"/>
              </w:rPr>
              <w:t>están</w:t>
            </w:r>
            <w:r w:rsidR="0AFCD898" w:rsidRPr="2B56113A">
              <w:rPr>
                <w:rFonts w:ascii="Verdana" w:eastAsia="Calibri" w:hAnsi="Verdana" w:cs="Arial"/>
                <w:lang w:val="es-ES"/>
              </w:rPr>
              <w:t xml:space="preserve"> relacionadas con </w:t>
            </w:r>
            <w:r w:rsidR="3608DEE5" w:rsidRPr="2B56113A">
              <w:rPr>
                <w:rFonts w:ascii="Verdana" w:eastAsia="Calibri" w:hAnsi="Verdana" w:cs="Arial"/>
                <w:lang w:val="es-ES"/>
              </w:rPr>
              <w:t>el</w:t>
            </w:r>
            <w:r w:rsidRPr="2B56113A">
              <w:rPr>
                <w:rFonts w:ascii="Verdana" w:eastAsia="Calibri" w:hAnsi="Verdana" w:cs="Arial"/>
                <w:lang w:val="es-ES"/>
              </w:rPr>
              <w:t xml:space="preserve"> ejercicio de la ingeniería, las cuales deberán ser analizadas por parte de cada entidad estatal, haciendo uso de la autonomía de la que gozan las mismas para establecer si las enlistadas </w:t>
            </w:r>
            <w:r w:rsidR="5216A07B" w:rsidRPr="2B56113A">
              <w:rPr>
                <w:rFonts w:ascii="Verdana" w:eastAsia="Calibri" w:hAnsi="Verdana" w:cs="Arial"/>
                <w:lang w:val="es-ES"/>
              </w:rPr>
              <w:t>ramas de esta profesión,</w:t>
            </w:r>
            <w:r w:rsidR="60DF9B29" w:rsidRPr="2B56113A">
              <w:rPr>
                <w:rFonts w:ascii="Verdana" w:eastAsia="Calibri" w:hAnsi="Verdana" w:cs="Arial"/>
                <w:lang w:val="es-ES"/>
              </w:rPr>
              <w:t xml:space="preserve"> encuadran dentro de</w:t>
            </w:r>
            <w:r w:rsidR="4FA6ADC5" w:rsidRPr="2B56113A">
              <w:rPr>
                <w:rFonts w:ascii="Verdana" w:eastAsia="Calibri" w:hAnsi="Verdana" w:cs="Arial"/>
                <w:lang w:val="es-ES"/>
              </w:rPr>
              <w:t>l</w:t>
            </w:r>
            <w:r w:rsidRPr="2B56113A">
              <w:rPr>
                <w:rFonts w:ascii="Verdana" w:eastAsia="Calibri" w:hAnsi="Verdana" w:cs="Arial"/>
                <w:lang w:val="es-ES"/>
              </w:rPr>
              <w:t xml:space="preserve"> objeto </w:t>
            </w:r>
            <w:r w:rsidR="4FB28451" w:rsidRPr="2B56113A">
              <w:rPr>
                <w:rFonts w:ascii="Verdana" w:eastAsia="Calibri" w:hAnsi="Verdana" w:cs="Arial"/>
                <w:lang w:val="es-ES"/>
              </w:rPr>
              <w:t xml:space="preserve">y obligaciones </w:t>
            </w:r>
            <w:r w:rsidR="60DF9B29" w:rsidRPr="2B56113A">
              <w:rPr>
                <w:rFonts w:ascii="Verdana" w:eastAsia="Calibri" w:hAnsi="Verdana" w:cs="Arial"/>
                <w:lang w:val="es-ES"/>
              </w:rPr>
              <w:t>contractual</w:t>
            </w:r>
            <w:r w:rsidR="3B7C9FB2" w:rsidRPr="2B56113A">
              <w:rPr>
                <w:rFonts w:ascii="Verdana" w:eastAsia="Calibri" w:hAnsi="Verdana" w:cs="Arial"/>
                <w:lang w:val="es-ES"/>
              </w:rPr>
              <w:t>es</w:t>
            </w:r>
            <w:r w:rsidRPr="2B56113A">
              <w:rPr>
                <w:rFonts w:ascii="Verdana" w:eastAsia="Calibri" w:hAnsi="Verdana" w:cs="Arial"/>
                <w:lang w:val="es-ES"/>
              </w:rPr>
              <w:t xml:space="preserve"> para ser catalogadas como ejercicio de la ingeniería y </w:t>
            </w:r>
            <w:proofErr w:type="spellStart"/>
            <w:r w:rsidR="7E9B331A" w:rsidRPr="2B56113A">
              <w:rPr>
                <w:rFonts w:ascii="Verdana" w:eastAsia="Calibri" w:hAnsi="Verdana" w:cs="Arial"/>
                <w:lang w:val="es-ES"/>
              </w:rPr>
              <w:t>exigir</w:t>
            </w:r>
            <w:r w:rsidR="6569E19E" w:rsidRPr="2B56113A">
              <w:rPr>
                <w:rFonts w:ascii="Verdana" w:eastAsia="Calibri" w:hAnsi="Verdana" w:cs="Arial"/>
                <w:lang w:val="es-ES"/>
              </w:rPr>
              <w:t>si</w:t>
            </w:r>
            <w:proofErr w:type="spellEnd"/>
            <w:r w:rsidR="6569E19E" w:rsidRPr="2B56113A">
              <w:rPr>
                <w:rFonts w:ascii="Verdana" w:eastAsia="Calibri" w:hAnsi="Verdana" w:cs="Arial"/>
                <w:lang w:val="es-ES"/>
              </w:rPr>
              <w:t xml:space="preserve"> es del caso que</w:t>
            </w:r>
            <w:r w:rsidR="0F479A5A" w:rsidRPr="2B56113A">
              <w:rPr>
                <w:rFonts w:ascii="Verdana" w:eastAsia="Calibri" w:hAnsi="Verdana" w:cs="Arial"/>
                <w:lang w:val="es-ES"/>
              </w:rPr>
              <w:t>,</w:t>
            </w:r>
            <w:r w:rsidRPr="2B56113A">
              <w:rPr>
                <w:rFonts w:ascii="Verdana" w:eastAsia="Calibri" w:hAnsi="Verdana" w:cs="Arial"/>
                <w:lang w:val="es-ES"/>
              </w:rPr>
              <w:t xml:space="preserve"> dentro de sus requisitos habilitantes </w:t>
            </w:r>
            <w:r w:rsidR="30495114" w:rsidRPr="2B56113A">
              <w:rPr>
                <w:rFonts w:ascii="Verdana" w:eastAsia="Calibri" w:hAnsi="Verdana" w:cs="Arial"/>
                <w:lang w:val="es-ES"/>
              </w:rPr>
              <w:t>este avalada la propuesta por un profesional de esta área del conocimiento</w:t>
            </w:r>
            <w:r w:rsidRPr="2B56113A">
              <w:rPr>
                <w:rFonts w:ascii="Verdana" w:eastAsia="Calibri" w:hAnsi="Verdana" w:cs="Arial"/>
                <w:lang w:val="es-ES"/>
              </w:rPr>
              <w:t xml:space="preserve">. </w:t>
            </w:r>
          </w:p>
          <w:p w14:paraId="38F950A5" w14:textId="5FA5B526" w:rsidR="00454A9A" w:rsidRDefault="00454A9A" w:rsidP="001336AC">
            <w:pPr>
              <w:spacing w:after="120" w:line="276" w:lineRule="auto"/>
              <w:jc w:val="both"/>
              <w:rPr>
                <w:rFonts w:ascii="Verdana" w:eastAsia="Arial" w:hAnsi="Verdana" w:cs="Arial"/>
              </w:rPr>
            </w:pPr>
            <w:r w:rsidRPr="2B56113A">
              <w:rPr>
                <w:rFonts w:ascii="Verdana" w:eastAsia="Calibri" w:hAnsi="Verdana" w:cs="Arial"/>
                <w:lang w:val="es-ES"/>
              </w:rPr>
              <w:t xml:space="preserve">Respecto a la segunda pregunta, </w:t>
            </w:r>
            <w:r w:rsidR="54CCDAF3" w:rsidRPr="2B56113A">
              <w:rPr>
                <w:rFonts w:ascii="Verdana" w:eastAsia="Calibri" w:hAnsi="Verdana" w:cs="Arial"/>
                <w:lang w:val="es-ES"/>
              </w:rPr>
              <w:t>y como consecuencia de lo previsto en la respuesta a</w:t>
            </w:r>
            <w:r w:rsidR="440A1FC8" w:rsidRPr="2B56113A">
              <w:rPr>
                <w:rFonts w:ascii="Verdana" w:eastAsia="Calibri" w:hAnsi="Verdana" w:cs="Arial"/>
                <w:lang w:val="es-ES"/>
              </w:rPr>
              <w:t>nterior</w:t>
            </w:r>
            <w:r w:rsidR="54CCDAF3" w:rsidRPr="2B56113A">
              <w:rPr>
                <w:rFonts w:ascii="Verdana" w:eastAsia="Calibri" w:hAnsi="Verdana" w:cs="Arial"/>
                <w:lang w:val="es-ES"/>
              </w:rPr>
              <w:t xml:space="preserve">, es preciso anotar que </w:t>
            </w:r>
            <w:r w:rsidR="60DF9B29" w:rsidRPr="2B56113A">
              <w:rPr>
                <w:rFonts w:ascii="Verdana" w:eastAsia="Calibri" w:hAnsi="Verdana" w:cs="Arial"/>
                <w:lang w:val="es-ES"/>
              </w:rPr>
              <w:t>e</w:t>
            </w:r>
            <w:r w:rsidR="60DF9B29" w:rsidRPr="00FD305B">
              <w:rPr>
                <w:rFonts w:ascii="Verdana" w:eastAsia="Arial" w:hAnsi="Verdana" w:cs="Arial"/>
              </w:rPr>
              <w:t>l artículo 20</w:t>
            </w:r>
            <w:r w:rsidR="2168C7F7" w:rsidRPr="00FD305B">
              <w:rPr>
                <w:rFonts w:ascii="Verdana" w:eastAsia="Arial" w:hAnsi="Verdana" w:cs="Arial"/>
              </w:rPr>
              <w:t xml:space="preserve"> </w:t>
            </w:r>
            <w:r w:rsidR="0E176316" w:rsidRPr="00FD305B">
              <w:rPr>
                <w:rFonts w:ascii="Verdana" w:eastAsia="Arial" w:hAnsi="Verdana" w:cs="Arial"/>
              </w:rPr>
              <w:t>ibidem</w:t>
            </w:r>
            <w:r w:rsidRPr="00FD305B">
              <w:rPr>
                <w:rFonts w:ascii="Verdana" w:eastAsia="Arial" w:hAnsi="Verdana" w:cs="Arial"/>
              </w:rPr>
              <w:t xml:space="preserve"> dispone que las propuestas en las licitaciones y concursos abiertos cuyo objeto implique el desarrollo de las actividades catalogadas como ejercicio de la ingeniería, deberán estar avalados por un ingeniero inscrito y con tarjeta de matrícula profesional </w:t>
            </w:r>
            <w:r w:rsidR="6801DB7A" w:rsidRPr="00FD305B">
              <w:rPr>
                <w:rFonts w:ascii="Verdana" w:eastAsia="Arial" w:hAnsi="Verdana" w:cs="Arial"/>
              </w:rPr>
              <w:t xml:space="preserve">vigente </w:t>
            </w:r>
            <w:r w:rsidRPr="00FD305B">
              <w:rPr>
                <w:rFonts w:ascii="Verdana" w:eastAsia="Arial" w:hAnsi="Verdana" w:cs="Arial"/>
              </w:rPr>
              <w:t>en la respectiva rama de la</w:t>
            </w:r>
            <w:r w:rsidRPr="00FD305B">
              <w:rPr>
                <w:rFonts w:ascii="Verdana" w:eastAsia="Arial" w:hAnsi="Verdana" w:cs="Arial"/>
                <w:spacing w:val="-16"/>
              </w:rPr>
              <w:t xml:space="preserve"> </w:t>
            </w:r>
            <w:r w:rsidRPr="00FD305B">
              <w:rPr>
                <w:rFonts w:ascii="Verdana" w:eastAsia="Arial" w:hAnsi="Verdana" w:cs="Arial"/>
              </w:rPr>
              <w:t>ingeniería</w:t>
            </w:r>
            <w:r>
              <w:rPr>
                <w:rFonts w:ascii="Verdana" w:eastAsia="Arial" w:hAnsi="Verdana" w:cs="Arial"/>
              </w:rPr>
              <w:t xml:space="preserve">. </w:t>
            </w:r>
          </w:p>
          <w:p w14:paraId="26B1A802" w14:textId="00ECE717" w:rsidR="00454A9A" w:rsidRPr="00341526" w:rsidRDefault="46C9968D" w:rsidP="2B56113A">
            <w:pPr>
              <w:spacing w:after="120" w:line="276" w:lineRule="auto"/>
              <w:jc w:val="both"/>
              <w:rPr>
                <w:rFonts w:ascii="Verdana" w:eastAsia="Calibri" w:hAnsi="Verdana" w:cs="Arial"/>
                <w:lang w:val="es-ES"/>
              </w:rPr>
            </w:pPr>
            <w:r w:rsidRPr="2B56113A">
              <w:rPr>
                <w:rFonts w:ascii="Verdana" w:eastAsia="Arial" w:hAnsi="Verdana" w:cs="Arial"/>
                <w:lang w:val="es-ES"/>
              </w:rPr>
              <w:t xml:space="preserve">Visto lo anterior, </w:t>
            </w:r>
            <w:r w:rsidR="7B5A4E67" w:rsidRPr="2B56113A">
              <w:rPr>
                <w:rFonts w:ascii="Verdana" w:eastAsia="Arial" w:hAnsi="Verdana" w:cs="Arial"/>
                <w:lang w:val="es-ES"/>
              </w:rPr>
              <w:t>l</w:t>
            </w:r>
            <w:r w:rsidR="60DF9B29" w:rsidRPr="2B56113A">
              <w:rPr>
                <w:rFonts w:ascii="Verdana" w:eastAsia="Arial" w:hAnsi="Verdana" w:cs="Arial"/>
                <w:lang w:val="es-ES"/>
              </w:rPr>
              <w:t>a</w:t>
            </w:r>
            <w:r w:rsidR="00454A9A" w:rsidRPr="00C76ECB">
              <w:rPr>
                <w:rFonts w:ascii="Verdana" w:eastAsia="Arial" w:hAnsi="Verdana" w:cs="Arial"/>
                <w:lang w:val="es-ES"/>
              </w:rPr>
              <w:t xml:space="preserve"> obligatoriedad de presentar propuestas con el aval de un ingeniero en licitaciones y</w:t>
            </w:r>
            <w:r w:rsidR="72C5FCDB" w:rsidRPr="2B56113A">
              <w:rPr>
                <w:rFonts w:ascii="Verdana" w:eastAsia="Arial" w:hAnsi="Verdana" w:cs="Arial"/>
                <w:lang w:val="es-ES"/>
              </w:rPr>
              <w:t>/o</w:t>
            </w:r>
            <w:r w:rsidR="00454A9A" w:rsidRPr="00C76ECB">
              <w:rPr>
                <w:rFonts w:ascii="Verdana" w:eastAsia="Arial" w:hAnsi="Verdana" w:cs="Arial"/>
                <w:lang w:val="es-ES"/>
              </w:rPr>
              <w:t xml:space="preserve"> </w:t>
            </w:r>
            <w:proofErr w:type="gramStart"/>
            <w:r w:rsidR="00454A9A" w:rsidRPr="00C76ECB">
              <w:rPr>
                <w:rFonts w:ascii="Verdana" w:eastAsia="Arial" w:hAnsi="Verdana" w:cs="Arial"/>
                <w:lang w:val="es-ES"/>
              </w:rPr>
              <w:t>concursos  en</w:t>
            </w:r>
            <w:proofErr w:type="gramEnd"/>
            <w:r w:rsidR="00454A9A" w:rsidRPr="00C76ECB">
              <w:rPr>
                <w:rFonts w:ascii="Verdana" w:eastAsia="Arial" w:hAnsi="Verdana" w:cs="Arial"/>
                <w:lang w:val="es-ES"/>
              </w:rPr>
              <w:t xml:space="preserve"> los contratos que impliquen el desarrollo de actividades catalogadas como ejercicio de la ingeniería es objetiva y proporcional en la medida que el aval de un ingeniero únicamente se debe realizar tratándose de procesos de contratación que involucren actividades catalogadas como ejercicio de la ingeniería.</w:t>
            </w:r>
            <w:r w:rsidR="00454A9A">
              <w:rPr>
                <w:rFonts w:ascii="Verdana" w:eastAsia="Arial" w:hAnsi="Verdana" w:cs="Arial"/>
                <w:lang w:val="es-ES"/>
              </w:rPr>
              <w:t xml:space="preserve"> </w:t>
            </w:r>
          </w:p>
          <w:p w14:paraId="4F97AE1F" w14:textId="5F97900A" w:rsidR="00454A9A" w:rsidRPr="00341526" w:rsidRDefault="60DF9B29" w:rsidP="001336AC">
            <w:pPr>
              <w:spacing w:after="120" w:line="276" w:lineRule="auto"/>
              <w:jc w:val="both"/>
              <w:rPr>
                <w:rFonts w:ascii="Verdana" w:eastAsia="Calibri" w:hAnsi="Verdana" w:cs="Arial"/>
                <w:lang w:val="es-ES"/>
              </w:rPr>
            </w:pPr>
            <w:r w:rsidRPr="2B56113A">
              <w:rPr>
                <w:rFonts w:ascii="Verdana" w:eastAsia="Arial" w:hAnsi="Verdana" w:cs="Arial"/>
                <w:lang w:val="es-ES"/>
              </w:rPr>
              <w:t xml:space="preserve"> </w:t>
            </w:r>
            <w:r w:rsidR="29C1931D" w:rsidRPr="2B56113A">
              <w:rPr>
                <w:rFonts w:ascii="Verdana" w:eastAsia="Arial" w:hAnsi="Verdana" w:cs="Arial"/>
                <w:lang w:val="es-ES"/>
              </w:rPr>
              <w:t>De</w:t>
            </w:r>
            <w:r w:rsidR="00454A9A">
              <w:rPr>
                <w:rFonts w:ascii="Verdana" w:eastAsia="Arial" w:hAnsi="Verdana" w:cs="Arial"/>
                <w:lang w:val="es-ES"/>
              </w:rPr>
              <w:t xml:space="preserve"> otra parte, cabe mencionar que el </w:t>
            </w:r>
            <w:r w:rsidR="00454A9A" w:rsidRPr="001E5C69">
              <w:rPr>
                <w:rFonts w:ascii="Verdana" w:eastAsia="Century Gothic" w:hAnsi="Verdana" w:cs="Century Gothic"/>
                <w:sz w:val="21"/>
                <w:szCs w:val="21"/>
                <w:lang w:val="es-ES"/>
              </w:rPr>
              <w:t>artículo 20 de la Ley 842 de 2003</w:t>
            </w:r>
            <w:r w:rsidR="00454A9A">
              <w:rPr>
                <w:rFonts w:ascii="Verdana" w:eastAsia="Century Gothic" w:hAnsi="Verdana" w:cs="Century Gothic"/>
                <w:sz w:val="21"/>
                <w:szCs w:val="21"/>
                <w:lang w:val="es-ES"/>
              </w:rPr>
              <w:t xml:space="preserve">, </w:t>
            </w:r>
            <w:r w:rsidR="6C2E6756" w:rsidRPr="2B56113A">
              <w:rPr>
                <w:rFonts w:ascii="Verdana" w:eastAsia="Century Gothic" w:hAnsi="Verdana" w:cs="Century Gothic"/>
                <w:sz w:val="21"/>
                <w:szCs w:val="21"/>
                <w:lang w:val="es-ES"/>
              </w:rPr>
              <w:t>prevé</w:t>
            </w:r>
            <w:r w:rsidR="4505CB08" w:rsidRPr="2B56113A">
              <w:rPr>
                <w:rFonts w:ascii="Verdana" w:eastAsia="Century Gothic" w:hAnsi="Verdana" w:cs="Century Gothic"/>
                <w:sz w:val="21"/>
                <w:szCs w:val="21"/>
                <w:lang w:val="es-ES"/>
              </w:rPr>
              <w:t xml:space="preserve"> que</w:t>
            </w:r>
            <w:r w:rsidR="18256F25" w:rsidRPr="2B56113A">
              <w:rPr>
                <w:rFonts w:ascii="Verdana" w:eastAsia="Century Gothic" w:hAnsi="Verdana" w:cs="Century Gothic"/>
                <w:sz w:val="21"/>
                <w:szCs w:val="21"/>
                <w:lang w:val="es-ES"/>
              </w:rPr>
              <w:t xml:space="preserve"> la exigencia en </w:t>
            </w:r>
            <w:proofErr w:type="gramStart"/>
            <w:r w:rsidR="18256F25" w:rsidRPr="2B56113A">
              <w:rPr>
                <w:rFonts w:ascii="Verdana" w:eastAsia="Century Gothic" w:hAnsi="Verdana" w:cs="Century Gothic"/>
                <w:sz w:val="21"/>
                <w:szCs w:val="21"/>
                <w:lang w:val="es-ES"/>
              </w:rPr>
              <w:t xml:space="preserve">cuestión </w:t>
            </w:r>
            <w:r w:rsidR="00454A9A">
              <w:rPr>
                <w:rFonts w:ascii="Verdana" w:eastAsia="Century Gothic" w:hAnsi="Verdana" w:cs="Century Gothic"/>
                <w:sz w:val="21"/>
                <w:szCs w:val="21"/>
                <w:lang w:val="es-ES"/>
              </w:rPr>
              <w:t xml:space="preserve"> aplica</w:t>
            </w:r>
            <w:proofErr w:type="gramEnd"/>
            <w:r w:rsidR="00454A9A">
              <w:rPr>
                <w:rFonts w:ascii="Verdana" w:eastAsia="Century Gothic" w:hAnsi="Verdana" w:cs="Century Gothic"/>
                <w:sz w:val="21"/>
                <w:szCs w:val="21"/>
                <w:lang w:val="es-ES"/>
              </w:rPr>
              <w:t xml:space="preserve"> a todas las modalidades de contratación que </w:t>
            </w:r>
            <w:r w:rsidR="7F4F1EB4" w:rsidRPr="2B56113A">
              <w:rPr>
                <w:rFonts w:ascii="Verdana" w:eastAsia="Century Gothic" w:hAnsi="Verdana" w:cs="Century Gothic"/>
                <w:sz w:val="21"/>
                <w:szCs w:val="21"/>
                <w:lang w:val="es-ES"/>
              </w:rPr>
              <w:t>involucren</w:t>
            </w:r>
            <w:r w:rsidR="00454A9A">
              <w:rPr>
                <w:rFonts w:ascii="Verdana" w:eastAsia="Century Gothic" w:hAnsi="Verdana" w:cs="Century Gothic"/>
                <w:sz w:val="21"/>
                <w:szCs w:val="21"/>
                <w:lang w:val="es-ES"/>
              </w:rPr>
              <w:t xml:space="preserve"> un proceso competitivo ya que </w:t>
            </w:r>
            <w:r w:rsidR="7FACBB0D" w:rsidRPr="2B56113A">
              <w:rPr>
                <w:rFonts w:ascii="Verdana" w:eastAsia="Century Gothic" w:hAnsi="Verdana" w:cs="Century Gothic"/>
                <w:sz w:val="21"/>
                <w:szCs w:val="21"/>
                <w:lang w:val="es-ES"/>
              </w:rPr>
              <w:t>ésta</w:t>
            </w:r>
            <w:r w:rsidR="00454A9A">
              <w:rPr>
                <w:rFonts w:ascii="Verdana" w:eastAsia="Century Gothic" w:hAnsi="Verdana" w:cs="Century Gothic"/>
                <w:sz w:val="21"/>
                <w:szCs w:val="21"/>
                <w:lang w:val="es-ES"/>
              </w:rPr>
              <w:t xml:space="preserve"> normativa de manera expresa </w:t>
            </w:r>
            <w:r w:rsidR="1D618456" w:rsidRPr="2B56113A">
              <w:rPr>
                <w:rFonts w:ascii="Verdana" w:eastAsia="Century Gothic" w:hAnsi="Verdana" w:cs="Century Gothic"/>
                <w:sz w:val="21"/>
                <w:szCs w:val="21"/>
                <w:lang w:val="es-ES"/>
              </w:rPr>
              <w:t xml:space="preserve">se </w:t>
            </w:r>
            <w:r w:rsidR="1D618456" w:rsidRPr="2B56113A">
              <w:rPr>
                <w:rFonts w:ascii="Verdana" w:eastAsia="Century Gothic" w:hAnsi="Verdana" w:cs="Century Gothic"/>
                <w:sz w:val="21"/>
                <w:szCs w:val="21"/>
                <w:lang w:val="es-ES"/>
              </w:rPr>
              <w:lastRenderedPageBreak/>
              <w:t xml:space="preserve">refiere a </w:t>
            </w:r>
            <w:r w:rsidR="00454A9A">
              <w:rPr>
                <w:rFonts w:ascii="Verdana" w:eastAsia="Century Gothic" w:hAnsi="Verdana" w:cs="Century Gothic"/>
                <w:sz w:val="21"/>
                <w:szCs w:val="21"/>
                <w:lang w:val="es-ES"/>
              </w:rPr>
              <w:t xml:space="preserve"> concursos abiertos y no </w:t>
            </w:r>
            <w:r w:rsidR="532F46C5" w:rsidRPr="2B56113A">
              <w:rPr>
                <w:rFonts w:ascii="Verdana" w:eastAsia="Century Gothic" w:hAnsi="Verdana" w:cs="Century Gothic"/>
                <w:sz w:val="21"/>
                <w:szCs w:val="21"/>
                <w:lang w:val="es-ES"/>
              </w:rPr>
              <w:t>se</w:t>
            </w:r>
            <w:r w:rsidR="00454A9A">
              <w:rPr>
                <w:rFonts w:ascii="Verdana" w:eastAsia="Century Gothic" w:hAnsi="Verdana" w:cs="Century Gothic"/>
                <w:sz w:val="21"/>
                <w:szCs w:val="21"/>
                <w:lang w:val="es-ES"/>
              </w:rPr>
              <w:t xml:space="preserve"> limita a una modalidad de contratación</w:t>
            </w:r>
            <w:r w:rsidR="4DE53626" w:rsidRPr="2B56113A">
              <w:rPr>
                <w:rFonts w:ascii="Verdana" w:eastAsia="Century Gothic" w:hAnsi="Verdana" w:cs="Century Gothic"/>
                <w:sz w:val="21"/>
                <w:szCs w:val="21"/>
                <w:lang w:val="es-ES"/>
              </w:rPr>
              <w:t xml:space="preserve"> especific</w:t>
            </w:r>
            <w:r w:rsidR="4FA27E1D" w:rsidRPr="2B56113A">
              <w:rPr>
                <w:rFonts w:ascii="Verdana" w:eastAsia="Century Gothic" w:hAnsi="Verdana" w:cs="Century Gothic"/>
                <w:sz w:val="21"/>
                <w:szCs w:val="21"/>
                <w:lang w:val="es-ES"/>
              </w:rPr>
              <w:t>a</w:t>
            </w:r>
            <w:r w:rsidR="00454A9A">
              <w:rPr>
                <w:rFonts w:ascii="Verdana" w:eastAsia="Century Gothic" w:hAnsi="Verdana" w:cs="Century Gothic"/>
                <w:sz w:val="21"/>
                <w:szCs w:val="21"/>
                <w:lang w:val="es-ES"/>
              </w:rPr>
              <w:t>.</w:t>
            </w:r>
          </w:p>
        </w:tc>
      </w:tr>
    </w:tbl>
    <w:p w14:paraId="53FBE1D1" w14:textId="77777777" w:rsidR="00454A9A" w:rsidRPr="00593A5F" w:rsidRDefault="00454A9A" w:rsidP="00454A9A">
      <w:pPr>
        <w:tabs>
          <w:tab w:val="left" w:pos="142"/>
          <w:tab w:val="left" w:pos="284"/>
        </w:tabs>
        <w:spacing w:after="0" w:line="276" w:lineRule="auto"/>
        <w:jc w:val="both"/>
        <w:rPr>
          <w:rFonts w:ascii="Verdana" w:eastAsia="Century Gothic" w:hAnsi="Verdana" w:cs="Century Gothic"/>
          <w:b/>
          <w:bCs/>
          <w:lang w:val="es-ES"/>
        </w:rPr>
      </w:pPr>
    </w:p>
    <w:p w14:paraId="0112EA7E" w14:textId="77777777" w:rsidR="00454A9A" w:rsidRPr="00593A5F" w:rsidRDefault="00454A9A" w:rsidP="00454A9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DBA95E6" w14:textId="77777777" w:rsidR="00454A9A" w:rsidRPr="00997A0E" w:rsidRDefault="00454A9A" w:rsidP="00454A9A">
      <w:pPr>
        <w:spacing w:after="0"/>
        <w:jc w:val="both"/>
        <w:rPr>
          <w:rFonts w:ascii="Verdana" w:eastAsia="Calibri" w:hAnsi="Verdana" w:cs="Arial"/>
          <w:lang w:val="es-ES"/>
        </w:rPr>
      </w:pPr>
    </w:p>
    <w:p w14:paraId="0A158641" w14:textId="77777777" w:rsidR="00454A9A" w:rsidRPr="00E65018" w:rsidRDefault="00454A9A" w:rsidP="00454A9A">
      <w:pPr>
        <w:spacing w:after="0"/>
        <w:jc w:val="both"/>
        <w:rPr>
          <w:rFonts w:ascii="Verdana" w:eastAsia="Calibri" w:hAnsi="Verdana" w:cs="Arial"/>
          <w:lang w:val="es-ES"/>
        </w:rPr>
      </w:pPr>
      <w:r w:rsidRPr="00E65018">
        <w:rPr>
          <w:rFonts w:ascii="Verdana" w:eastAsia="Calibri" w:hAnsi="Verdana" w:cs="Arial"/>
          <w:lang w:val="es-ES"/>
        </w:rPr>
        <w:t>Lo anterior se sustenta en las siguientes consideraciones:</w:t>
      </w:r>
    </w:p>
    <w:p w14:paraId="76CC278E" w14:textId="77777777" w:rsidR="00454A9A" w:rsidRPr="00E65018" w:rsidRDefault="00454A9A" w:rsidP="00454A9A">
      <w:pPr>
        <w:spacing w:after="0"/>
        <w:jc w:val="both"/>
        <w:rPr>
          <w:rFonts w:ascii="Verdana" w:eastAsia="Calibri" w:hAnsi="Verdana" w:cs="Arial"/>
          <w:lang w:val="es-ES"/>
        </w:rPr>
      </w:pPr>
    </w:p>
    <w:p w14:paraId="1116586B" w14:textId="77777777" w:rsidR="00454A9A" w:rsidRPr="00E65018" w:rsidRDefault="00454A9A" w:rsidP="00454A9A">
      <w:pPr>
        <w:pStyle w:val="Prrafodelista"/>
        <w:numPr>
          <w:ilvl w:val="0"/>
          <w:numId w:val="22"/>
        </w:numPr>
        <w:spacing w:after="0"/>
        <w:jc w:val="both"/>
        <w:rPr>
          <w:rFonts w:ascii="Verdana" w:eastAsia="Calibri" w:hAnsi="Verdana" w:cs="Arial"/>
        </w:rPr>
      </w:pPr>
      <w:r w:rsidRPr="00E65018">
        <w:rPr>
          <w:rFonts w:ascii="Verdana" w:eastAsia="Calibri" w:hAnsi="Verdana" w:cs="Arial"/>
        </w:rPr>
        <w:t>Para brindar respuesta al problema jurídico de la consulta se hace necesario indicar que 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214AAEA8" w14:textId="77777777" w:rsidR="00454A9A" w:rsidRPr="00E65018" w:rsidRDefault="00454A9A" w:rsidP="00454A9A">
      <w:pPr>
        <w:pStyle w:val="Prrafodelista"/>
        <w:spacing w:after="0"/>
        <w:jc w:val="both"/>
        <w:rPr>
          <w:rFonts w:ascii="Verdana" w:eastAsia="Calibri" w:hAnsi="Verdana" w:cs="Arial"/>
        </w:rPr>
      </w:pPr>
    </w:p>
    <w:p w14:paraId="491B15D5" w14:textId="0EEEF0C9" w:rsidR="00454A9A" w:rsidRPr="00E65018" w:rsidRDefault="00454A9A" w:rsidP="00454A9A">
      <w:pPr>
        <w:pStyle w:val="Prrafodelista"/>
        <w:numPr>
          <w:ilvl w:val="0"/>
          <w:numId w:val="22"/>
        </w:numPr>
        <w:spacing w:after="0"/>
        <w:jc w:val="both"/>
        <w:rPr>
          <w:rFonts w:ascii="Verdana" w:eastAsia="Calibri" w:hAnsi="Verdana" w:cs="Arial"/>
        </w:rPr>
      </w:pPr>
      <w:r w:rsidRPr="00E65018">
        <w:rPr>
          <w:rFonts w:ascii="Verdana" w:eastAsia="Century Gothic" w:hAnsi="Verdana" w:cs="Century Gothic"/>
          <w:color w:val="000000" w:themeColor="text1"/>
        </w:rPr>
        <w:t xml:space="preserve">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w:t>
      </w:r>
      <w:r w:rsidR="072B6AE4" w:rsidRPr="2B56113A">
        <w:rPr>
          <w:rFonts w:ascii="Verdana" w:eastAsia="Century Gothic" w:hAnsi="Verdana" w:cs="Century Gothic"/>
          <w:color w:val="000000" w:themeColor="text1"/>
        </w:rPr>
        <w:t>es decir</w:t>
      </w:r>
      <w:r w:rsidRPr="00E65018">
        <w:rPr>
          <w:rFonts w:ascii="Verdana" w:eastAsia="Century Gothic" w:hAnsi="Verdana" w:cs="Century Gothic"/>
          <w:color w:val="000000" w:themeColor="text1"/>
        </w:rPr>
        <w:t>, incurren en causal de rechazo. Esto sin perjuicio del derecho que tienen los oferentes de subsanar los defectos que se presenten en la prueba de tales requisitos, de conformidad con el artículo 5, parágrafos 1º al 4º, de la Ley 1150 de 2007.</w:t>
      </w:r>
    </w:p>
    <w:p w14:paraId="2F216C10" w14:textId="77777777" w:rsidR="00454A9A" w:rsidRPr="00E65018" w:rsidRDefault="00454A9A" w:rsidP="00454A9A">
      <w:pPr>
        <w:pStyle w:val="Prrafodelista"/>
        <w:rPr>
          <w:rFonts w:ascii="Verdana" w:eastAsia="Calibri" w:hAnsi="Verdana" w:cs="Arial"/>
        </w:rPr>
      </w:pPr>
    </w:p>
    <w:p w14:paraId="303B79EE" w14:textId="06C06619" w:rsidR="00454A9A" w:rsidRPr="00E65018" w:rsidRDefault="00454A9A" w:rsidP="00454A9A">
      <w:pPr>
        <w:pStyle w:val="Prrafodelista"/>
        <w:numPr>
          <w:ilvl w:val="0"/>
          <w:numId w:val="22"/>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w:t>
      </w:r>
      <w:r w:rsidRPr="00E65018">
        <w:rPr>
          <w:rFonts w:ascii="Verdana" w:eastAsia="Century Gothic" w:hAnsi="Verdana" w:cs="Century Gothic"/>
          <w:i/>
          <w:iCs/>
          <w:color w:val="000000" w:themeColor="text1"/>
        </w:rPr>
        <w:t>.</w:t>
      </w:r>
      <w:r w:rsidRPr="00E65018">
        <w:rPr>
          <w:rFonts w:ascii="Verdana" w:eastAsia="Century Gothic" w:hAnsi="Verdana" w:cs="Century Gothic"/>
          <w:color w:val="000000" w:themeColor="text1"/>
        </w:rPr>
        <w:t xml:space="preserve"> En ese contexto, los factores de escogencia y calificación que establezcan las Entidades en los pliegos de condiciones o en sus documentos equivalentes deberán tener en cuenta, entre otras cuestiones, los criterios establecidos </w:t>
      </w:r>
      <w:r w:rsidRPr="00E65018">
        <w:rPr>
          <w:rFonts w:ascii="Verdana" w:eastAsia="Century Gothic" w:hAnsi="Verdana" w:cs="Century Gothic"/>
          <w:color w:val="000000" w:themeColor="text1"/>
        </w:rPr>
        <w:lastRenderedPageBreak/>
        <w:t>en dicha disposición. Específicamente, el numeral 1º del artículo referido</w:t>
      </w:r>
      <w:r w:rsidR="1B2C8955" w:rsidRPr="2B56113A">
        <w:rPr>
          <w:rFonts w:ascii="Verdana" w:eastAsia="Century Gothic" w:hAnsi="Verdana" w:cs="Century Gothic"/>
          <w:color w:val="000000" w:themeColor="text1"/>
        </w:rPr>
        <w:t>,</w:t>
      </w:r>
      <w:r w:rsidRPr="00E65018">
        <w:rPr>
          <w:rFonts w:ascii="Verdana" w:eastAsia="Century Gothic" w:hAnsi="Verdana" w:cs="Century Gothic"/>
          <w:color w:val="000000" w:themeColor="text1"/>
        </w:rPr>
        <w:t xml:space="preserve"> establece que en los procesos de selección de contratistas serán objeto de verificación, como requisitos habilitantes, </w:t>
      </w:r>
      <w:r w:rsidRPr="00E65018">
        <w:rPr>
          <w:rFonts w:ascii="Verdana" w:eastAsia="Century Gothic" w:hAnsi="Verdana" w:cs="Century Gothic"/>
          <w:i/>
          <w:iCs/>
          <w:color w:val="000000" w:themeColor="text1"/>
        </w:rPr>
        <w:t>entre otros</w:t>
      </w:r>
      <w:r w:rsidRPr="00E65018">
        <w:rPr>
          <w:rFonts w:ascii="Verdana" w:eastAsia="Century Gothic" w:hAnsi="Verdana" w:cs="Century Gothic"/>
          <w:color w:val="000000" w:themeColor="text1"/>
        </w:rPr>
        <w:t xml:space="preserve">, los siguientes: i) la capacidad jurídica; </w:t>
      </w:r>
      <w:proofErr w:type="spellStart"/>
      <w:r w:rsidRPr="00E65018">
        <w:rPr>
          <w:rFonts w:ascii="Verdana" w:eastAsia="Century Gothic" w:hAnsi="Verdana" w:cs="Century Gothic"/>
          <w:color w:val="000000" w:themeColor="text1"/>
        </w:rPr>
        <w:t>ii</w:t>
      </w:r>
      <w:proofErr w:type="spellEnd"/>
      <w:r w:rsidRPr="00E65018">
        <w:rPr>
          <w:rFonts w:ascii="Verdana" w:eastAsia="Century Gothic" w:hAnsi="Verdana" w:cs="Century Gothic"/>
          <w:color w:val="000000" w:themeColor="text1"/>
        </w:rPr>
        <w:t xml:space="preserve">) la experiencia; </w:t>
      </w:r>
      <w:proofErr w:type="spellStart"/>
      <w:r w:rsidRPr="00E65018">
        <w:rPr>
          <w:rFonts w:ascii="Verdana" w:eastAsia="Century Gothic" w:hAnsi="Verdana" w:cs="Century Gothic"/>
          <w:color w:val="000000" w:themeColor="text1"/>
        </w:rPr>
        <w:t>iii</w:t>
      </w:r>
      <w:proofErr w:type="spellEnd"/>
      <w:r w:rsidRPr="00E65018">
        <w:rPr>
          <w:rFonts w:ascii="Verdana" w:eastAsia="Century Gothic" w:hAnsi="Verdana" w:cs="Century Gothic"/>
          <w:color w:val="000000" w:themeColor="text1"/>
        </w:rPr>
        <w:t xml:space="preserve">) la capacidad financiera y </w:t>
      </w:r>
      <w:proofErr w:type="spellStart"/>
      <w:r w:rsidRPr="00E65018">
        <w:rPr>
          <w:rFonts w:ascii="Verdana" w:eastAsia="Century Gothic" w:hAnsi="Verdana" w:cs="Century Gothic"/>
          <w:color w:val="000000" w:themeColor="text1"/>
        </w:rPr>
        <w:t>iv</w:t>
      </w:r>
      <w:proofErr w:type="spellEnd"/>
      <w:r w:rsidRPr="00E65018">
        <w:rPr>
          <w:rFonts w:ascii="Verdana" w:eastAsia="Century Gothic" w:hAnsi="Verdana" w:cs="Century Gothic"/>
          <w:color w:val="000000" w:themeColor="text1"/>
        </w:rPr>
        <w:t>) la capacidad de organización.</w:t>
      </w:r>
    </w:p>
    <w:p w14:paraId="74C16A50" w14:textId="77777777" w:rsidR="00454A9A" w:rsidRPr="00E65018" w:rsidRDefault="00454A9A" w:rsidP="00454A9A">
      <w:pPr>
        <w:pStyle w:val="Prrafodelista"/>
        <w:rPr>
          <w:rFonts w:ascii="Verdana" w:eastAsia="Calibri" w:hAnsi="Verdana" w:cs="Arial"/>
          <w:lang w:val="es-ES_tradnl"/>
        </w:rPr>
      </w:pPr>
    </w:p>
    <w:p w14:paraId="3B186A83" w14:textId="77777777" w:rsidR="00454A9A" w:rsidRPr="00E14B79" w:rsidRDefault="00454A9A" w:rsidP="00454A9A">
      <w:pPr>
        <w:pStyle w:val="Prrafodelista"/>
        <w:numPr>
          <w:ilvl w:val="0"/>
          <w:numId w:val="22"/>
        </w:numPr>
        <w:spacing w:after="120" w:line="276" w:lineRule="auto"/>
        <w:jc w:val="both"/>
        <w:rPr>
          <w:rFonts w:ascii="Verdana" w:eastAsia="Century Gothic" w:hAnsi="Verdana" w:cs="Century Gothic"/>
          <w:color w:val="000000" w:themeColor="text1"/>
        </w:rPr>
      </w:pPr>
      <w:r w:rsidRPr="00E65018">
        <w:rPr>
          <w:rFonts w:ascii="Verdana" w:eastAsia="Calibri" w:hAnsi="Verdana" w:cs="Arial"/>
          <w:lang w:val="es-ES_tradnl"/>
        </w:rPr>
        <w:t>Una vez fijados los requisitos habilitantes por la Entidad Estatal, quienes presenten ofertas deben acreditar que cumplen con los mismos, pues, en el evento contrario, las propuestas deberán ser rechazadas.</w:t>
      </w:r>
    </w:p>
    <w:p w14:paraId="32BAE959" w14:textId="77777777" w:rsidR="00454A9A" w:rsidRPr="00E14B79" w:rsidRDefault="00454A9A" w:rsidP="00454A9A">
      <w:pPr>
        <w:pStyle w:val="Prrafodelista"/>
        <w:rPr>
          <w:rFonts w:ascii="Verdana" w:eastAsia="Century Gothic" w:hAnsi="Verdana" w:cs="Century Gothic"/>
          <w:color w:val="000000" w:themeColor="text1"/>
        </w:rPr>
      </w:pPr>
    </w:p>
    <w:p w14:paraId="4796D94B" w14:textId="77777777" w:rsidR="00454A9A" w:rsidRPr="0044549E" w:rsidRDefault="00454A9A" w:rsidP="00454A9A">
      <w:pPr>
        <w:pStyle w:val="Prrafodelista"/>
        <w:numPr>
          <w:ilvl w:val="0"/>
          <w:numId w:val="22"/>
        </w:numPr>
        <w:spacing w:after="120" w:line="276" w:lineRule="auto"/>
        <w:jc w:val="both"/>
        <w:rPr>
          <w:rFonts w:ascii="Verdana" w:eastAsia="Century Gothic" w:hAnsi="Verdana" w:cs="Century Gothic"/>
          <w:color w:val="000000" w:themeColor="text1"/>
        </w:rPr>
      </w:pPr>
      <w:r>
        <w:rPr>
          <w:rFonts w:ascii="Verdana" w:eastAsia="Century Gothic" w:hAnsi="Verdana" w:cs="Century Gothic"/>
          <w:color w:val="000000" w:themeColor="text1"/>
        </w:rPr>
        <w:t xml:space="preserve">Ahora bien, Respecto al </w:t>
      </w:r>
      <w:r w:rsidRPr="001866A5">
        <w:rPr>
          <w:rFonts w:ascii="Verdana" w:eastAsia="Calibri" w:hAnsi="Verdana" w:cs="Arial"/>
          <w:shd w:val="clear" w:color="auto" w:fill="FFFFFF"/>
        </w:rPr>
        <w:t>el desarrollo de las actividades catalogadas como ejercicio de la ingeniería</w:t>
      </w:r>
      <w:r>
        <w:rPr>
          <w:rFonts w:ascii="Verdana" w:eastAsia="Calibri" w:hAnsi="Verdana" w:cs="Arial"/>
          <w:shd w:val="clear" w:color="auto" w:fill="FFFFFF"/>
        </w:rPr>
        <w:t>, l</w:t>
      </w:r>
      <w:r w:rsidRPr="0044549E">
        <w:rPr>
          <w:rFonts w:ascii="Verdana" w:eastAsia="Arial" w:hAnsi="Verdana" w:cs="Arial"/>
          <w:lang w:eastAsia="es-ES" w:bidi="es-ES"/>
        </w:rPr>
        <w:t>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011AE38C" w14:textId="77777777" w:rsidR="00454A9A" w:rsidRPr="00A50BD9" w:rsidRDefault="00454A9A" w:rsidP="00454A9A">
      <w:pPr>
        <w:widowControl w:val="0"/>
        <w:autoSpaceDE w:val="0"/>
        <w:autoSpaceDN w:val="0"/>
        <w:spacing w:after="0" w:line="276" w:lineRule="auto"/>
        <w:rPr>
          <w:rFonts w:ascii="Verdana" w:eastAsia="Arial" w:hAnsi="Verdana" w:cs="Arial"/>
          <w:lang w:val="es-ES" w:eastAsia="es-ES" w:bidi="es-ES"/>
        </w:rPr>
      </w:pPr>
    </w:p>
    <w:p w14:paraId="7F982867" w14:textId="77777777" w:rsidR="00454A9A" w:rsidRPr="00FD305B" w:rsidRDefault="00454A9A" w:rsidP="00454A9A">
      <w:pPr>
        <w:pStyle w:val="Prrafodelista"/>
        <w:widowControl w:val="0"/>
        <w:autoSpaceDE w:val="0"/>
        <w:autoSpaceDN w:val="0"/>
        <w:spacing w:after="0" w:line="240" w:lineRule="auto"/>
        <w:ind w:right="709"/>
        <w:jc w:val="both"/>
        <w:rPr>
          <w:rFonts w:ascii="Verdana" w:eastAsia="Arial" w:hAnsi="Verdana" w:cs="Arial"/>
          <w:sz w:val="21"/>
          <w:szCs w:val="21"/>
          <w:lang w:eastAsia="es-ES" w:bidi="es-ES"/>
        </w:rPr>
      </w:pPr>
      <w:r w:rsidRPr="00FD305B">
        <w:rPr>
          <w:rFonts w:ascii="Verdana" w:eastAsia="Arial" w:hAnsi="Verdana" w:cs="Arial"/>
          <w:sz w:val="21"/>
          <w:szCs w:val="21"/>
          <w:lang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0B53009E" w14:textId="77777777" w:rsidR="00454A9A" w:rsidRPr="00FD305B" w:rsidRDefault="00454A9A" w:rsidP="00454A9A">
      <w:pPr>
        <w:widowControl w:val="0"/>
        <w:autoSpaceDE w:val="0"/>
        <w:autoSpaceDN w:val="0"/>
        <w:spacing w:after="0" w:line="240" w:lineRule="auto"/>
        <w:ind w:left="709" w:right="709"/>
        <w:rPr>
          <w:rFonts w:ascii="Verdana" w:eastAsia="Arial" w:hAnsi="Verdana" w:cs="Arial"/>
          <w:sz w:val="21"/>
          <w:szCs w:val="21"/>
          <w:lang w:val="es-ES" w:eastAsia="es-ES" w:bidi="es-ES"/>
        </w:rPr>
      </w:pPr>
      <w:r w:rsidRPr="00FD305B">
        <w:rPr>
          <w:rFonts w:ascii="Verdana" w:eastAsia="Arial" w:hAnsi="Verdana" w:cs="Arial"/>
          <w:sz w:val="21"/>
          <w:szCs w:val="21"/>
          <w:lang w:val="es-ES" w:eastAsia="es-ES" w:bidi="es-ES"/>
        </w:rPr>
        <w:t>[…]</w:t>
      </w:r>
    </w:p>
    <w:p w14:paraId="0A4B5C88" w14:textId="77777777" w:rsidR="00454A9A" w:rsidRPr="00FD305B" w:rsidRDefault="00454A9A" w:rsidP="00454A9A">
      <w:pPr>
        <w:widowControl w:val="0"/>
        <w:autoSpaceDE w:val="0"/>
        <w:autoSpaceDN w:val="0"/>
        <w:spacing w:after="0" w:line="240" w:lineRule="auto"/>
        <w:ind w:left="709" w:right="709"/>
        <w:jc w:val="both"/>
        <w:rPr>
          <w:rFonts w:ascii="Verdana" w:eastAsia="Arial" w:hAnsi="Verdana" w:cs="Arial"/>
          <w:sz w:val="21"/>
          <w:szCs w:val="21"/>
          <w:lang w:val="es-ES" w:eastAsia="es-ES" w:bidi="es-ES"/>
        </w:rPr>
      </w:pPr>
      <w:r w:rsidRPr="00FD305B">
        <w:rPr>
          <w:rFonts w:ascii="Verdana" w:eastAsia="Arial" w:hAnsi="Verdana" w:cs="Arial"/>
          <w:sz w:val="21"/>
          <w:szCs w:val="21"/>
          <w:lang w:val="es-ES" w:eastAsia="es-ES" w:bidi="es-ES"/>
        </w:rPr>
        <w:t xml:space="preserve">La exigencia de títulos de idoneidad y tarjetas </w:t>
      </w:r>
      <w:proofErr w:type="gramStart"/>
      <w:r w:rsidRPr="00FD305B">
        <w:rPr>
          <w:rFonts w:ascii="Verdana" w:eastAsia="Arial" w:hAnsi="Verdana" w:cs="Arial"/>
          <w:sz w:val="21"/>
          <w:szCs w:val="21"/>
          <w:lang w:val="es-ES" w:eastAsia="es-ES" w:bidi="es-ES"/>
        </w:rPr>
        <w:t>profesionales,</w:t>
      </w:r>
      <w:proofErr w:type="gramEnd"/>
      <w:r w:rsidRPr="00FD305B">
        <w:rPr>
          <w:rFonts w:ascii="Verdana" w:eastAsia="Arial" w:hAnsi="Verdana" w:cs="Arial"/>
          <w:sz w:val="21"/>
          <w:szCs w:val="21"/>
          <w:lang w:val="es-ES" w:eastAsia="es-ES" w:bidi="es-ES"/>
        </w:rPr>
        <w:t xml:space="preserve"> constituye una excepción al principio de libertad e igualdad en materia laboral y, por lo tanto, es necesario demostrar que la formación intelectual y técnica requerida es un medio idóneo y proporción”</w:t>
      </w:r>
      <w:r w:rsidRPr="00FD305B">
        <w:rPr>
          <w:rFonts w:ascii="Verdana" w:eastAsia="Arial" w:hAnsi="Verdana" w:cs="Arial"/>
          <w:sz w:val="21"/>
          <w:szCs w:val="21"/>
          <w:vertAlign w:val="superscript"/>
          <w:lang w:val="es-ES" w:eastAsia="es-ES" w:bidi="es-ES"/>
        </w:rPr>
        <w:footnoteReference w:id="2"/>
      </w:r>
      <w:r w:rsidRPr="00FD305B">
        <w:rPr>
          <w:rFonts w:ascii="Verdana" w:eastAsia="Arial" w:hAnsi="Verdana" w:cs="Arial"/>
          <w:sz w:val="21"/>
          <w:szCs w:val="21"/>
          <w:lang w:val="es-ES" w:eastAsia="es-ES" w:bidi="es-ES"/>
        </w:rPr>
        <w:t>.</w:t>
      </w:r>
    </w:p>
    <w:p w14:paraId="08298A8D" w14:textId="77777777" w:rsidR="00454A9A" w:rsidRPr="00A50BD9" w:rsidRDefault="00454A9A" w:rsidP="00454A9A">
      <w:pPr>
        <w:widowControl w:val="0"/>
        <w:autoSpaceDE w:val="0"/>
        <w:autoSpaceDN w:val="0"/>
        <w:spacing w:after="0" w:line="276" w:lineRule="auto"/>
        <w:ind w:right="304"/>
        <w:jc w:val="both"/>
        <w:rPr>
          <w:rFonts w:ascii="Verdana" w:eastAsia="Calibri" w:hAnsi="Verdana" w:cs="Arial"/>
          <w:b/>
          <w:bCs/>
          <w:lang w:val="es-MX"/>
        </w:rPr>
      </w:pPr>
    </w:p>
    <w:p w14:paraId="3CB4FF17" w14:textId="7C837164" w:rsidR="00454A9A" w:rsidRPr="00FD305B" w:rsidRDefault="00454A9A" w:rsidP="00454A9A">
      <w:pPr>
        <w:pStyle w:val="Prrafodelista"/>
        <w:widowControl w:val="0"/>
        <w:numPr>
          <w:ilvl w:val="0"/>
          <w:numId w:val="20"/>
        </w:numPr>
        <w:autoSpaceDE w:val="0"/>
        <w:autoSpaceDN w:val="0"/>
        <w:spacing w:after="0" w:line="276" w:lineRule="auto"/>
        <w:jc w:val="both"/>
        <w:rPr>
          <w:rFonts w:ascii="Verdana" w:hAnsi="Verdana" w:cs="Arial"/>
          <w:lang w:val="es-MX"/>
        </w:rPr>
      </w:pPr>
      <w:r w:rsidRPr="00FD305B">
        <w:rPr>
          <w:rFonts w:ascii="Verdana" w:eastAsia="Arial" w:hAnsi="Verdana" w:cs="Arial"/>
          <w:lang w:val="es-MX"/>
        </w:rPr>
        <w:t xml:space="preserve">Haciendo uso de la mencionada prerrogativa, el legislador reguló el </w:t>
      </w:r>
      <w:r w:rsidRPr="00FD305B">
        <w:rPr>
          <w:rFonts w:ascii="Verdana" w:eastAsia="Arial" w:hAnsi="Verdana" w:cs="Arial"/>
        </w:rPr>
        <w:t xml:space="preserve">ejercicio de la ingeniería y de sus profesiones afines y auxiliares en la Ley 842 de 2003, estableciendo en el artículo 2 las actividades que se </w:t>
      </w:r>
      <w:r w:rsidRPr="00FD305B">
        <w:rPr>
          <w:rFonts w:ascii="Verdana" w:eastAsia="Arial" w:hAnsi="Verdana" w:cs="Arial"/>
        </w:rPr>
        <w:lastRenderedPageBreak/>
        <w:t>entienden como ejercicio de la ingeniería y en el artículo 6 la exigencia de efectuar la matrícula o inscripción en el Registro Profesional</w:t>
      </w:r>
      <w:r w:rsidRPr="00FD305B">
        <w:rPr>
          <w:rFonts w:ascii="Verdana" w:eastAsia="Arial" w:hAnsi="Verdana" w:cs="Arial"/>
          <w:spacing w:val="8"/>
        </w:rPr>
        <w:t xml:space="preserve"> </w:t>
      </w:r>
      <w:r w:rsidRPr="00FD305B">
        <w:rPr>
          <w:rFonts w:ascii="Verdana" w:eastAsia="Arial" w:hAnsi="Verdana" w:cs="Arial"/>
        </w:rPr>
        <w:t>respectivo,</w:t>
      </w:r>
      <w:r w:rsidRPr="00FD305B">
        <w:rPr>
          <w:rFonts w:ascii="Verdana" w:eastAsia="Arial" w:hAnsi="Verdana" w:cs="Arial"/>
          <w:spacing w:val="8"/>
        </w:rPr>
        <w:t xml:space="preserve"> </w:t>
      </w:r>
      <w:r w:rsidRPr="00FD305B">
        <w:rPr>
          <w:rFonts w:ascii="Verdana" w:eastAsia="Arial" w:hAnsi="Verdana" w:cs="Arial"/>
        </w:rPr>
        <w:t>lo</w:t>
      </w:r>
      <w:r w:rsidRPr="00FD305B">
        <w:rPr>
          <w:rFonts w:ascii="Verdana" w:eastAsia="Arial" w:hAnsi="Verdana" w:cs="Arial"/>
          <w:spacing w:val="9"/>
        </w:rPr>
        <w:t xml:space="preserve"> </w:t>
      </w:r>
      <w:r w:rsidRPr="00FD305B">
        <w:rPr>
          <w:rFonts w:ascii="Verdana" w:eastAsia="Arial" w:hAnsi="Verdana" w:cs="Arial"/>
        </w:rPr>
        <w:t>cual</w:t>
      </w:r>
      <w:r w:rsidRPr="00FD305B">
        <w:rPr>
          <w:rFonts w:ascii="Verdana" w:eastAsia="Arial" w:hAnsi="Verdana" w:cs="Arial"/>
          <w:spacing w:val="8"/>
        </w:rPr>
        <w:t xml:space="preserve"> </w:t>
      </w:r>
      <w:r w:rsidRPr="00FD305B">
        <w:rPr>
          <w:rFonts w:ascii="Verdana" w:eastAsia="Arial" w:hAnsi="Verdana" w:cs="Arial"/>
        </w:rPr>
        <w:t>se</w:t>
      </w:r>
      <w:r w:rsidRPr="00FD305B">
        <w:rPr>
          <w:rFonts w:ascii="Verdana" w:eastAsia="Arial" w:hAnsi="Verdana" w:cs="Arial"/>
          <w:spacing w:val="8"/>
        </w:rPr>
        <w:t xml:space="preserve"> </w:t>
      </w:r>
      <w:r w:rsidRPr="00FD305B">
        <w:rPr>
          <w:rFonts w:ascii="Verdana" w:eastAsia="Arial" w:hAnsi="Verdana" w:cs="Arial"/>
        </w:rPr>
        <w:t>acredita</w:t>
      </w:r>
      <w:r w:rsidRPr="00FD305B">
        <w:rPr>
          <w:rFonts w:ascii="Verdana" w:eastAsia="Arial" w:hAnsi="Verdana" w:cs="Arial"/>
          <w:spacing w:val="6"/>
        </w:rPr>
        <w:t xml:space="preserve"> </w:t>
      </w:r>
      <w:r w:rsidRPr="00FD305B">
        <w:rPr>
          <w:rFonts w:ascii="Verdana" w:eastAsia="Arial" w:hAnsi="Verdana" w:cs="Arial"/>
        </w:rPr>
        <w:t>con</w:t>
      </w:r>
      <w:r w:rsidRPr="00FD305B">
        <w:rPr>
          <w:rFonts w:ascii="Verdana" w:eastAsia="Arial" w:hAnsi="Verdana" w:cs="Arial"/>
          <w:spacing w:val="7"/>
        </w:rPr>
        <w:t xml:space="preserve"> </w:t>
      </w:r>
      <w:r w:rsidRPr="00FD305B">
        <w:rPr>
          <w:rFonts w:ascii="Verdana" w:eastAsia="Arial" w:hAnsi="Verdana" w:cs="Arial"/>
        </w:rPr>
        <w:t>la</w:t>
      </w:r>
      <w:r w:rsidRPr="00FD305B">
        <w:rPr>
          <w:rFonts w:ascii="Verdana" w:eastAsia="Arial" w:hAnsi="Verdana" w:cs="Arial"/>
          <w:spacing w:val="8"/>
        </w:rPr>
        <w:t xml:space="preserve"> </w:t>
      </w:r>
      <w:r w:rsidRPr="00FD305B">
        <w:rPr>
          <w:rFonts w:ascii="Verdana" w:eastAsia="Arial" w:hAnsi="Verdana" w:cs="Arial"/>
        </w:rPr>
        <w:t>tarjeta</w:t>
      </w:r>
      <w:r w:rsidRPr="00FD305B">
        <w:rPr>
          <w:rFonts w:ascii="Verdana" w:eastAsia="Arial" w:hAnsi="Verdana" w:cs="Arial"/>
          <w:spacing w:val="9"/>
        </w:rPr>
        <w:t xml:space="preserve"> </w:t>
      </w:r>
      <w:r w:rsidRPr="00FD305B">
        <w:rPr>
          <w:rFonts w:ascii="Verdana" w:eastAsia="Arial" w:hAnsi="Verdana" w:cs="Arial"/>
        </w:rPr>
        <w:t>o</w:t>
      </w:r>
      <w:r w:rsidRPr="00FD305B">
        <w:rPr>
          <w:rFonts w:ascii="Verdana" w:eastAsia="Arial" w:hAnsi="Verdana" w:cs="Arial"/>
          <w:spacing w:val="7"/>
        </w:rPr>
        <w:t xml:space="preserve"> </w:t>
      </w:r>
      <w:r w:rsidRPr="00FD305B">
        <w:rPr>
          <w:rFonts w:ascii="Verdana" w:eastAsia="Arial" w:hAnsi="Verdana" w:cs="Arial"/>
        </w:rPr>
        <w:t>documento adoptado por este para tal fin.</w:t>
      </w:r>
      <w:r w:rsidRPr="00FD305B">
        <w:rPr>
          <w:rFonts w:ascii="Verdana" w:hAnsi="Verdana" w:cs="Arial"/>
          <w:lang w:val="es-MX"/>
        </w:rPr>
        <w:t xml:space="preserve">  Conforme a esto, el artículo 2 de la Ley 842 de 2003 enlista una serie de actividades que constituyen </w:t>
      </w:r>
      <w:r w:rsidR="3F948F93" w:rsidRPr="00FD305B">
        <w:rPr>
          <w:rFonts w:ascii="Verdana" w:hAnsi="Verdana" w:cs="Arial"/>
          <w:lang w:val="es-MX"/>
        </w:rPr>
        <w:t xml:space="preserve">el </w:t>
      </w:r>
      <w:r w:rsidRPr="00FD305B">
        <w:rPr>
          <w:rFonts w:ascii="Verdana" w:hAnsi="Verdana" w:cs="Arial"/>
          <w:lang w:val="es-MX"/>
        </w:rPr>
        <w:t>ejercicio de la ingeniería:</w:t>
      </w:r>
    </w:p>
    <w:p w14:paraId="06AAF438" w14:textId="77777777" w:rsidR="00454A9A" w:rsidRPr="00A50BD9" w:rsidRDefault="00454A9A" w:rsidP="00454A9A">
      <w:pPr>
        <w:widowControl w:val="0"/>
        <w:autoSpaceDE w:val="0"/>
        <w:autoSpaceDN w:val="0"/>
        <w:spacing w:after="0" w:line="276" w:lineRule="auto"/>
        <w:ind w:firstLine="708"/>
        <w:jc w:val="both"/>
        <w:rPr>
          <w:rFonts w:ascii="Verdana" w:hAnsi="Verdana" w:cs="Arial"/>
          <w:lang w:val="es-MX"/>
        </w:rPr>
      </w:pPr>
    </w:p>
    <w:p w14:paraId="6767BA2B"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“Artículo 2o. </w:t>
      </w:r>
      <w:r w:rsidRPr="00FD305B">
        <w:rPr>
          <w:rFonts w:ascii="Verdana" w:hAnsi="Verdana" w:cs="Arial"/>
          <w:i/>
          <w:iCs/>
          <w:sz w:val="21"/>
          <w:szCs w:val="21"/>
          <w:lang w:val="es-MX"/>
        </w:rPr>
        <w:t>Ejercicio de la ingeniería</w:t>
      </w:r>
      <w:r w:rsidRPr="00FD305B">
        <w:rPr>
          <w:rFonts w:ascii="Verdana" w:hAnsi="Verdana" w:cs="Arial"/>
          <w:sz w:val="21"/>
          <w:szCs w:val="21"/>
          <w:lang w:val="es-MX"/>
        </w:rPr>
        <w:t>. Para los efectos de la presente ley, se entiende como ejercicio de la ingeniería, el desempeño de actividades tales como:</w:t>
      </w:r>
    </w:p>
    <w:p w14:paraId="115DFBCF" w14:textId="77777777" w:rsidR="00454A9A" w:rsidRPr="00FD305B" w:rsidRDefault="00454A9A" w:rsidP="00454A9A">
      <w:pPr>
        <w:widowControl w:val="0"/>
        <w:autoSpaceDE w:val="0"/>
        <w:autoSpaceDN w:val="0"/>
        <w:spacing w:after="0" w:line="240" w:lineRule="auto"/>
        <w:ind w:left="709" w:right="709"/>
        <w:rPr>
          <w:rFonts w:ascii="Verdana" w:hAnsi="Verdana" w:cs="Arial"/>
          <w:sz w:val="21"/>
          <w:szCs w:val="21"/>
          <w:lang w:val="es-MX"/>
        </w:rPr>
      </w:pPr>
    </w:p>
    <w:p w14:paraId="5D91F529"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 </w:t>
      </w:r>
    </w:p>
    <w:p w14:paraId="4377123E"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p>
    <w:p w14:paraId="4A03A106"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b) Los estudios, proyectos, diseños y procesos industriales, textiles, electromecánicos, termoeléctricos, energéticos, mecánicos, eléctricos, electrónicos, de computación, de sistemas, </w:t>
      </w:r>
      <w:proofErr w:type="spellStart"/>
      <w:r w:rsidRPr="00FD305B">
        <w:rPr>
          <w:rFonts w:ascii="Verdana" w:hAnsi="Verdana" w:cs="Arial"/>
          <w:sz w:val="21"/>
          <w:szCs w:val="21"/>
          <w:lang w:val="es-MX"/>
        </w:rPr>
        <w:t>teleinformáticos</w:t>
      </w:r>
      <w:proofErr w:type="spellEnd"/>
      <w:r w:rsidRPr="00FD305B">
        <w:rPr>
          <w:rFonts w:ascii="Verdana" w:hAnsi="Verdana" w:cs="Arial"/>
          <w:sz w:val="21"/>
          <w:szCs w:val="21"/>
          <w:lang w:val="es-MX"/>
        </w:rPr>
        <w:t xml:space="preserve">, agroindustriales, agronómicos, agrícolas, agrológicos, de alimentos, agrometeorológicos, ambientales, geofísicos, forestales, químicos, metalúrgicos, mineros, de petróleos, geológicos, geodésicos, geográficos, topográficos e hidrológicos; </w:t>
      </w:r>
    </w:p>
    <w:p w14:paraId="08454E7B"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p>
    <w:p w14:paraId="65E07C5A"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 </w:t>
      </w:r>
    </w:p>
    <w:p w14:paraId="700F8752"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p>
    <w:p w14:paraId="1EC753F2" w14:textId="77777777" w:rsidR="00454A9A" w:rsidRPr="00FD305B" w:rsidRDefault="00454A9A" w:rsidP="00454A9A">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w:t>
      </w:r>
      <w:r w:rsidRPr="00FD305B">
        <w:rPr>
          <w:rFonts w:ascii="Verdana" w:hAnsi="Verdana" w:cs="Arial"/>
          <w:sz w:val="21"/>
          <w:szCs w:val="21"/>
          <w:lang w:val="es-MX"/>
        </w:rPr>
        <w:lastRenderedPageBreak/>
        <w:t>ingeniería, sus profesiones afines o sus profesiones auxiliares, según el caso, debidamente matriculados. […]”</w:t>
      </w:r>
    </w:p>
    <w:p w14:paraId="5FEC27D4" w14:textId="77777777" w:rsidR="00454A9A" w:rsidRPr="00A50BD9" w:rsidRDefault="00454A9A" w:rsidP="00454A9A">
      <w:pPr>
        <w:widowControl w:val="0"/>
        <w:autoSpaceDE w:val="0"/>
        <w:autoSpaceDN w:val="0"/>
        <w:spacing w:after="0" w:line="276" w:lineRule="auto"/>
        <w:ind w:left="709" w:right="709"/>
        <w:jc w:val="both"/>
        <w:rPr>
          <w:rFonts w:ascii="Verdana" w:hAnsi="Verdana" w:cs="Arial"/>
          <w:lang w:val="es-MX"/>
        </w:rPr>
      </w:pPr>
    </w:p>
    <w:p w14:paraId="01C0E3B6" w14:textId="77777777" w:rsidR="00454A9A" w:rsidRPr="00FD305B" w:rsidRDefault="00454A9A" w:rsidP="00454A9A">
      <w:pPr>
        <w:pStyle w:val="Prrafodelista"/>
        <w:widowControl w:val="0"/>
        <w:numPr>
          <w:ilvl w:val="0"/>
          <w:numId w:val="20"/>
        </w:numPr>
        <w:autoSpaceDE w:val="0"/>
        <w:autoSpaceDN w:val="0"/>
        <w:spacing w:after="0" w:line="276" w:lineRule="auto"/>
        <w:jc w:val="both"/>
        <w:rPr>
          <w:rFonts w:ascii="Verdana" w:hAnsi="Verdana" w:cs="Arial"/>
          <w:lang w:val="es-MX"/>
        </w:rPr>
      </w:pPr>
      <w:r w:rsidRPr="00FD305B">
        <w:rPr>
          <w:rFonts w:ascii="Verdana" w:hAnsi="Verdana" w:cs="Arial"/>
          <w:lang w:val="es-MX"/>
        </w:rPr>
        <w:t xml:space="preserve">Como se evidencia, la norma transcrita refiere varias actividades relacionadas con diferentes tipos de proyectos e infraestructuras. Se destaca como en el literal a) se hace referencia a objetos contractuales como la consultoría y la interventoría, asociados a diversos tipos de infraestructura de transporte, de lo que se colige que la ejecución de estos, según lo establecido en la ley, constituye ejercicio de la ingeniería. </w:t>
      </w:r>
    </w:p>
    <w:p w14:paraId="5FEC5B9D" w14:textId="77777777" w:rsidR="00454A9A" w:rsidRDefault="00454A9A" w:rsidP="00454A9A">
      <w:pPr>
        <w:widowControl w:val="0"/>
        <w:autoSpaceDE w:val="0"/>
        <w:autoSpaceDN w:val="0"/>
        <w:spacing w:after="0" w:line="276" w:lineRule="auto"/>
        <w:jc w:val="both"/>
        <w:rPr>
          <w:rFonts w:ascii="Verdana" w:eastAsia="Arial" w:hAnsi="Verdana" w:cs="Arial"/>
          <w:lang w:val="es-ES"/>
        </w:rPr>
      </w:pPr>
    </w:p>
    <w:p w14:paraId="09836D1C" w14:textId="77777777" w:rsidR="00454A9A" w:rsidRPr="00FD305B" w:rsidRDefault="00454A9A" w:rsidP="00454A9A">
      <w:pPr>
        <w:pStyle w:val="Prrafodelista"/>
        <w:widowControl w:val="0"/>
        <w:numPr>
          <w:ilvl w:val="0"/>
          <w:numId w:val="20"/>
        </w:numPr>
        <w:autoSpaceDE w:val="0"/>
        <w:autoSpaceDN w:val="0"/>
        <w:spacing w:after="0" w:line="276" w:lineRule="auto"/>
        <w:jc w:val="both"/>
        <w:rPr>
          <w:rFonts w:ascii="Verdana" w:eastAsia="Arial" w:hAnsi="Verdana" w:cs="Arial"/>
        </w:rPr>
      </w:pPr>
      <w:r w:rsidRPr="00FD305B">
        <w:rPr>
          <w:rFonts w:ascii="Verdana" w:eastAsia="Arial" w:hAnsi="Verdana" w:cs="Arial"/>
        </w:rPr>
        <w:t xml:space="preserve">En atención a lo anterior, cobra importancia el estudio </w:t>
      </w:r>
      <w:r>
        <w:rPr>
          <w:rFonts w:ascii="Verdana" w:eastAsia="Arial" w:hAnsi="Verdana" w:cs="Arial"/>
        </w:rPr>
        <w:t xml:space="preserve">de </w:t>
      </w:r>
      <w:r w:rsidRPr="00FD305B">
        <w:rPr>
          <w:rFonts w:ascii="Verdana" w:eastAsia="Arial" w:hAnsi="Verdana" w:cs="Arial"/>
        </w:rPr>
        <w:t>lo contemplado por la referida ley en el capítulo relativo al ejercicio ilegal de la ingeniera,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FD305B">
        <w:rPr>
          <w:rFonts w:ascii="Verdana" w:eastAsia="Arial" w:hAnsi="Verdana" w:cs="Arial"/>
          <w:spacing w:val="-16"/>
        </w:rPr>
        <w:t xml:space="preserve"> </w:t>
      </w:r>
      <w:r w:rsidRPr="00FD305B">
        <w:rPr>
          <w:rFonts w:ascii="Verdana" w:eastAsia="Arial" w:hAnsi="Verdana" w:cs="Arial"/>
        </w:rPr>
        <w:t>ingeniería. Al siguiente tenor reza:</w:t>
      </w:r>
    </w:p>
    <w:p w14:paraId="11FD71D7" w14:textId="77777777" w:rsidR="00454A9A" w:rsidRPr="00A50BD9" w:rsidRDefault="00454A9A" w:rsidP="00454A9A">
      <w:pPr>
        <w:widowControl w:val="0"/>
        <w:autoSpaceDE w:val="0"/>
        <w:autoSpaceDN w:val="0"/>
        <w:spacing w:after="0" w:line="276" w:lineRule="auto"/>
        <w:ind w:firstLine="709"/>
        <w:jc w:val="both"/>
        <w:rPr>
          <w:rFonts w:ascii="Verdana" w:eastAsia="Arial" w:hAnsi="Verdana" w:cs="Arial"/>
          <w:lang w:val="es-ES"/>
        </w:rPr>
      </w:pPr>
    </w:p>
    <w:p w14:paraId="4304EE17" w14:textId="77777777" w:rsidR="00454A9A" w:rsidRPr="00FD305B" w:rsidRDefault="00454A9A" w:rsidP="00454A9A">
      <w:pPr>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2F2ECFE8" w14:textId="77777777" w:rsidR="00454A9A" w:rsidRPr="00FD305B" w:rsidRDefault="00454A9A" w:rsidP="00454A9A">
      <w:pPr>
        <w:spacing w:after="0" w:line="240" w:lineRule="auto"/>
        <w:ind w:left="709" w:right="709"/>
        <w:jc w:val="both"/>
        <w:rPr>
          <w:rFonts w:ascii="Verdana" w:hAnsi="Verdana" w:cs="Arial"/>
          <w:sz w:val="21"/>
          <w:szCs w:val="21"/>
          <w:lang w:val="es-MX"/>
        </w:rPr>
      </w:pPr>
    </w:p>
    <w:p w14:paraId="31EAD22C" w14:textId="77777777" w:rsidR="00454A9A" w:rsidRPr="00FD305B" w:rsidRDefault="00454A9A" w:rsidP="00454A9A">
      <w:pPr>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FD305B">
        <w:rPr>
          <w:rFonts w:ascii="Verdana" w:hAnsi="Verdana" w:cs="Arial"/>
          <w:spacing w:val="-26"/>
          <w:sz w:val="21"/>
          <w:szCs w:val="21"/>
          <w:lang w:val="es-MX"/>
        </w:rPr>
        <w:t xml:space="preserve"> </w:t>
      </w:r>
      <w:r w:rsidRPr="00FD305B">
        <w:rPr>
          <w:rFonts w:ascii="Verdana" w:hAnsi="Verdana" w:cs="Arial"/>
          <w:sz w:val="21"/>
          <w:szCs w:val="21"/>
          <w:lang w:val="es-MX"/>
        </w:rPr>
        <w:t>vigencia.</w:t>
      </w:r>
    </w:p>
    <w:p w14:paraId="188DA220" w14:textId="77777777" w:rsidR="00454A9A" w:rsidRPr="00FD305B" w:rsidRDefault="00454A9A" w:rsidP="00454A9A">
      <w:pPr>
        <w:widowControl w:val="0"/>
        <w:autoSpaceDE w:val="0"/>
        <w:autoSpaceDN w:val="0"/>
        <w:spacing w:after="0" w:line="240" w:lineRule="auto"/>
        <w:ind w:left="709" w:right="709"/>
        <w:rPr>
          <w:rFonts w:ascii="Verdana" w:eastAsia="Arial" w:hAnsi="Verdana" w:cs="Arial"/>
          <w:sz w:val="21"/>
          <w:szCs w:val="21"/>
          <w:lang w:val="es-ES"/>
        </w:rPr>
      </w:pPr>
    </w:p>
    <w:p w14:paraId="0C916BB0" w14:textId="77777777" w:rsidR="00454A9A" w:rsidRPr="00FD305B" w:rsidRDefault="00454A9A" w:rsidP="00454A9A">
      <w:pPr>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41DCEC0B" w14:textId="77777777" w:rsidR="00454A9A" w:rsidRPr="00A50BD9" w:rsidRDefault="00454A9A" w:rsidP="00454A9A">
      <w:pPr>
        <w:spacing w:after="0" w:line="276" w:lineRule="auto"/>
        <w:ind w:left="709" w:right="709"/>
        <w:jc w:val="both"/>
        <w:rPr>
          <w:rFonts w:ascii="Verdana" w:hAnsi="Verdana" w:cs="Arial"/>
          <w:lang w:val="es-MX"/>
        </w:rPr>
      </w:pPr>
    </w:p>
    <w:p w14:paraId="5358492C" w14:textId="77777777" w:rsidR="00454A9A" w:rsidRPr="00A41597" w:rsidRDefault="00454A9A" w:rsidP="00454A9A">
      <w:pPr>
        <w:pStyle w:val="Prrafodelista"/>
        <w:widowControl w:val="0"/>
        <w:numPr>
          <w:ilvl w:val="0"/>
          <w:numId w:val="18"/>
        </w:numPr>
        <w:autoSpaceDE w:val="0"/>
        <w:autoSpaceDN w:val="0"/>
        <w:spacing w:after="0" w:line="276" w:lineRule="auto"/>
        <w:jc w:val="both"/>
        <w:rPr>
          <w:rFonts w:ascii="Verdana" w:eastAsia="Arial" w:hAnsi="Verdana" w:cs="Arial"/>
        </w:rPr>
      </w:pPr>
      <w:r w:rsidRPr="00A41597">
        <w:rPr>
          <w:rFonts w:ascii="Verdana" w:eastAsia="Arial" w:hAnsi="Verdana" w:cs="Arial"/>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7CFBFB64" w14:textId="77777777" w:rsidR="00454A9A" w:rsidRPr="00A50BD9" w:rsidRDefault="00454A9A" w:rsidP="00454A9A">
      <w:pPr>
        <w:widowControl w:val="0"/>
        <w:autoSpaceDE w:val="0"/>
        <w:autoSpaceDN w:val="0"/>
        <w:spacing w:after="0" w:line="276" w:lineRule="auto"/>
        <w:jc w:val="both"/>
        <w:rPr>
          <w:rFonts w:ascii="Verdana" w:eastAsia="Arial" w:hAnsi="Verdana" w:cs="Arial"/>
          <w:lang w:val="es-ES"/>
        </w:rPr>
      </w:pPr>
    </w:p>
    <w:p w14:paraId="69E8266F" w14:textId="77777777" w:rsidR="00454A9A" w:rsidRPr="00A41597" w:rsidRDefault="00454A9A" w:rsidP="00454A9A">
      <w:pPr>
        <w:pStyle w:val="Prrafodelista"/>
        <w:widowControl w:val="0"/>
        <w:numPr>
          <w:ilvl w:val="0"/>
          <w:numId w:val="18"/>
        </w:numPr>
        <w:autoSpaceDE w:val="0"/>
        <w:autoSpaceDN w:val="0"/>
        <w:spacing w:after="0" w:line="276" w:lineRule="auto"/>
        <w:jc w:val="both"/>
        <w:rPr>
          <w:rFonts w:ascii="Verdana" w:eastAsia="Arial" w:hAnsi="Verdana" w:cs="Arial"/>
        </w:rPr>
      </w:pPr>
      <w:r w:rsidRPr="00A41597">
        <w:rPr>
          <w:rFonts w:ascii="Verdana" w:eastAsia="Arial" w:hAnsi="Verdana" w:cs="Arial"/>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w:t>
      </w:r>
      <w:r>
        <w:rPr>
          <w:rFonts w:ascii="Verdana" w:eastAsia="Arial" w:hAnsi="Verdana" w:cs="Arial"/>
        </w:rPr>
        <w:t>í</w:t>
      </w:r>
      <w:r w:rsidRPr="00A41597">
        <w:rPr>
          <w:rFonts w:ascii="Verdana" w:eastAsia="Arial" w:hAnsi="Verdana" w:cs="Arial"/>
        </w:rPr>
        <w:t>a es objetiva y proporcional, en la medida que el aval de un ingeniero únicamente se debe realizar tratándose de procesos de contratación que involucren actividades catalogadas como ejercicio de la ingeniería</w:t>
      </w:r>
      <w:r w:rsidRPr="00A50BD9">
        <w:rPr>
          <w:vertAlign w:val="superscript"/>
        </w:rPr>
        <w:footnoteReference w:id="3"/>
      </w:r>
      <w:r w:rsidRPr="00A41597">
        <w:rPr>
          <w:rFonts w:ascii="Verdana" w:eastAsia="Arial" w:hAnsi="Verdana" w:cs="Arial"/>
        </w:rPr>
        <w:t>.</w:t>
      </w:r>
    </w:p>
    <w:p w14:paraId="0A175AF3" w14:textId="77777777" w:rsidR="00454A9A" w:rsidRDefault="00454A9A" w:rsidP="00454A9A">
      <w:pPr>
        <w:widowControl w:val="0"/>
        <w:tabs>
          <w:tab w:val="left" w:pos="2745"/>
        </w:tabs>
        <w:autoSpaceDE w:val="0"/>
        <w:autoSpaceDN w:val="0"/>
        <w:spacing w:after="0" w:line="276" w:lineRule="auto"/>
        <w:jc w:val="both"/>
        <w:rPr>
          <w:rFonts w:ascii="Verdana" w:eastAsia="Arial" w:hAnsi="Verdana" w:cs="Arial"/>
          <w:lang w:val="es-ES"/>
        </w:rPr>
      </w:pPr>
      <w:r>
        <w:rPr>
          <w:rFonts w:ascii="Verdana" w:eastAsia="Arial" w:hAnsi="Verdana" w:cs="Arial"/>
          <w:lang w:val="es-ES"/>
        </w:rPr>
        <w:tab/>
      </w:r>
    </w:p>
    <w:p w14:paraId="3D08E1F6" w14:textId="77777777" w:rsidR="00454A9A" w:rsidRDefault="00454A9A" w:rsidP="00454A9A">
      <w:pPr>
        <w:pStyle w:val="Prrafodelista"/>
        <w:widowControl w:val="0"/>
        <w:numPr>
          <w:ilvl w:val="0"/>
          <w:numId w:val="18"/>
        </w:numPr>
        <w:autoSpaceDE w:val="0"/>
        <w:autoSpaceDN w:val="0"/>
        <w:spacing w:after="0" w:line="276" w:lineRule="auto"/>
        <w:jc w:val="both"/>
        <w:rPr>
          <w:rFonts w:ascii="Verdana" w:eastAsia="Arial" w:hAnsi="Verdana" w:cs="Arial"/>
        </w:rPr>
      </w:pPr>
      <w:r w:rsidRPr="00AE4F63">
        <w:rPr>
          <w:rFonts w:ascii="Verdana" w:eastAsia="Arial" w:hAnsi="Verdana" w:cs="Arial"/>
        </w:rPr>
        <w:t>Aunado a lo anterior, el Tribunal Constitucional también señaló que la persona idónea y habilitada legalmente para ejercer la ingeniería, en actividades catalogadas como</w:t>
      </w:r>
      <w:r>
        <w:rPr>
          <w:rFonts w:ascii="Verdana" w:eastAsia="Arial" w:hAnsi="Verdana" w:cs="Arial"/>
        </w:rPr>
        <w:t xml:space="preserve"> </w:t>
      </w:r>
      <w:r w:rsidRPr="00AE4F63">
        <w:rPr>
          <w:rFonts w:ascii="Verdana" w:eastAsia="Arial" w:hAnsi="Verdana" w:cs="Arial"/>
        </w:rPr>
        <w:t>ejercicio de dicha profesión, es la matriculada o inscrita en el Registro Profesional de Ingenieros y que por ende cuenta con un título</w:t>
      </w:r>
      <w:r w:rsidRPr="00AE4F63">
        <w:rPr>
          <w:rFonts w:ascii="Verdana" w:eastAsia="Arial" w:hAnsi="Verdana" w:cs="Arial"/>
          <w:spacing w:val="-3"/>
        </w:rPr>
        <w:t xml:space="preserve"> </w:t>
      </w:r>
      <w:r w:rsidRPr="00AE4F63">
        <w:rPr>
          <w:rFonts w:ascii="Verdana" w:eastAsia="Arial" w:hAnsi="Verdana" w:cs="Arial"/>
        </w:rPr>
        <w:t>profesional</w:t>
      </w:r>
      <w:r w:rsidRPr="00A50BD9">
        <w:rPr>
          <w:vertAlign w:val="superscript"/>
        </w:rPr>
        <w:footnoteReference w:id="4"/>
      </w:r>
      <w:r w:rsidRPr="00AE4F63">
        <w:rPr>
          <w:rFonts w:ascii="Verdana" w:eastAsia="Arial" w:hAnsi="Verdana" w:cs="Arial"/>
        </w:rPr>
        <w:t xml:space="preserve"> y con la idoneidad que no se predica de otras profesiones –como es el caso de la arquitectura–. Esta idoneidad </w:t>
      </w:r>
      <w:r w:rsidRPr="00AE4F63">
        <w:rPr>
          <w:rFonts w:ascii="Verdana" w:eastAsia="Arial" w:hAnsi="Verdana" w:cs="Arial"/>
        </w:rPr>
        <w:lastRenderedPageBreak/>
        <w:t>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AE4F63">
        <w:rPr>
          <w:rFonts w:ascii="Verdana" w:eastAsia="Arial" w:hAnsi="Verdana" w:cs="Arial"/>
          <w:spacing w:val="-2"/>
        </w:rPr>
        <w:t xml:space="preserve"> </w:t>
      </w:r>
      <w:r w:rsidRPr="00AE4F63">
        <w:rPr>
          <w:rFonts w:ascii="Verdana" w:eastAsia="Arial" w:hAnsi="Verdana" w:cs="Arial"/>
        </w:rPr>
        <w:t>diferente.</w:t>
      </w:r>
    </w:p>
    <w:p w14:paraId="18D1715D" w14:textId="77777777" w:rsidR="00454A9A" w:rsidRPr="0049446F" w:rsidRDefault="00454A9A" w:rsidP="00454A9A">
      <w:pPr>
        <w:widowControl w:val="0"/>
        <w:autoSpaceDE w:val="0"/>
        <w:autoSpaceDN w:val="0"/>
        <w:spacing w:after="0" w:line="276" w:lineRule="auto"/>
        <w:jc w:val="both"/>
        <w:rPr>
          <w:rFonts w:ascii="Verdana" w:eastAsia="Arial" w:hAnsi="Verdana" w:cs="Arial"/>
          <w:lang w:val="es-ES"/>
        </w:rPr>
      </w:pPr>
    </w:p>
    <w:p w14:paraId="35F6ABD7" w14:textId="77777777" w:rsidR="00454A9A" w:rsidRPr="0049446F" w:rsidRDefault="00454A9A" w:rsidP="00454A9A">
      <w:pPr>
        <w:pStyle w:val="Prrafodelista"/>
        <w:widowControl w:val="0"/>
        <w:numPr>
          <w:ilvl w:val="0"/>
          <w:numId w:val="18"/>
        </w:numPr>
        <w:autoSpaceDE w:val="0"/>
        <w:autoSpaceDN w:val="0"/>
        <w:spacing w:after="0" w:line="276" w:lineRule="auto"/>
        <w:jc w:val="both"/>
        <w:rPr>
          <w:rFonts w:ascii="Verdana" w:eastAsia="Arial" w:hAnsi="Verdana" w:cs="Arial"/>
        </w:rPr>
      </w:pPr>
      <w:r w:rsidRPr="0049446F">
        <w:rPr>
          <w:rFonts w:ascii="Verdana" w:eastAsia="Arial" w:hAnsi="Verdana" w:cs="Arial"/>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532B33A4" w14:textId="77777777" w:rsidR="00454A9A" w:rsidRDefault="00454A9A" w:rsidP="00454A9A">
      <w:pPr>
        <w:spacing w:after="0" w:line="276" w:lineRule="auto"/>
        <w:jc w:val="both"/>
        <w:rPr>
          <w:rFonts w:ascii="Verdana" w:hAnsi="Verdana" w:cs="Arial"/>
          <w:lang w:val="es-ES"/>
        </w:rPr>
      </w:pPr>
    </w:p>
    <w:p w14:paraId="3B6900EE" w14:textId="77777777" w:rsidR="00454A9A" w:rsidRPr="00866710" w:rsidRDefault="00454A9A" w:rsidP="00454A9A">
      <w:pPr>
        <w:pStyle w:val="Prrafodelista"/>
        <w:numPr>
          <w:ilvl w:val="0"/>
          <w:numId w:val="18"/>
        </w:numPr>
        <w:spacing w:after="0" w:line="276" w:lineRule="auto"/>
        <w:jc w:val="both"/>
        <w:rPr>
          <w:rFonts w:ascii="Verdana" w:hAnsi="Verdana" w:cs="Arial"/>
        </w:rPr>
      </w:pPr>
      <w:r w:rsidRPr="00866710">
        <w:rPr>
          <w:rFonts w:ascii="Verdana" w:hAnsi="Verdana" w:cs="Arial"/>
        </w:rPr>
        <w:t>De igual forma, el Consejo Profesional Nacional de Ingeniería –COPNIA–, de acuerdo con la competencia consagrada en el artículo 26 de la Ley 842 de 2003</w:t>
      </w:r>
      <w:r w:rsidRPr="00A50BD9">
        <w:rPr>
          <w:rStyle w:val="Refdenotaalpie"/>
          <w:rFonts w:ascii="Verdana" w:hAnsi="Verdana" w:cs="Arial"/>
        </w:rPr>
        <w:footnoteReference w:id="5"/>
      </w:r>
      <w:r w:rsidRPr="00866710">
        <w:rPr>
          <w:rFonts w:ascii="Verdana" w:hAnsi="Verdana" w:cs="Arial"/>
        </w:rPr>
        <w:t>, ha conceptuado sobre la participación en procesos de selección relacionados con el ejercicio de actividades de la ingeniería, destacando el riesgo social que podría representar el uso inadecuado de la profesión por personas que no cuenten con la idoneidad para su ejercicio:</w:t>
      </w:r>
    </w:p>
    <w:p w14:paraId="465588F2" w14:textId="77777777" w:rsidR="00454A9A" w:rsidRPr="00A50BD9" w:rsidRDefault="00454A9A" w:rsidP="00454A9A">
      <w:pPr>
        <w:spacing w:after="0" w:line="276" w:lineRule="auto"/>
        <w:jc w:val="both"/>
        <w:rPr>
          <w:rFonts w:ascii="Verdana" w:hAnsi="Verdana" w:cs="Arial"/>
          <w:lang w:val="es-MX"/>
        </w:rPr>
      </w:pPr>
    </w:p>
    <w:p w14:paraId="5A7387A0" w14:textId="77777777" w:rsidR="00454A9A" w:rsidRPr="00CB247B" w:rsidRDefault="00454A9A" w:rsidP="00454A9A">
      <w:pPr>
        <w:spacing w:after="0" w:line="240" w:lineRule="auto"/>
        <w:ind w:left="709" w:right="709"/>
        <w:jc w:val="both"/>
        <w:rPr>
          <w:rFonts w:ascii="Verdana" w:hAnsi="Verdana" w:cs="Arial"/>
          <w:sz w:val="21"/>
          <w:szCs w:val="21"/>
          <w:lang w:val="es-MX"/>
        </w:rPr>
      </w:pPr>
      <w:r w:rsidRPr="00CB247B">
        <w:rPr>
          <w:rFonts w:ascii="Verdana" w:hAnsi="Verdana" w:cs="Arial"/>
          <w:sz w:val="21"/>
          <w:szCs w:val="21"/>
          <w:lang w:val="es-MX"/>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1D26EB8E" w14:textId="77777777" w:rsidR="00454A9A" w:rsidRPr="00CB247B" w:rsidRDefault="00454A9A" w:rsidP="00454A9A">
      <w:pPr>
        <w:spacing w:after="0" w:line="240" w:lineRule="auto"/>
        <w:ind w:left="709" w:right="709"/>
        <w:jc w:val="both"/>
        <w:rPr>
          <w:rFonts w:ascii="Verdana" w:hAnsi="Verdana" w:cs="Arial"/>
          <w:sz w:val="21"/>
          <w:szCs w:val="21"/>
          <w:lang w:val="es-MX"/>
        </w:rPr>
      </w:pPr>
    </w:p>
    <w:p w14:paraId="792765AC" w14:textId="77777777" w:rsidR="00454A9A" w:rsidRPr="00CB247B" w:rsidRDefault="00454A9A" w:rsidP="00454A9A">
      <w:pPr>
        <w:spacing w:after="0" w:line="240" w:lineRule="auto"/>
        <w:ind w:left="709" w:right="709"/>
        <w:jc w:val="both"/>
        <w:rPr>
          <w:rFonts w:ascii="Verdana" w:hAnsi="Verdana" w:cs="Arial"/>
          <w:sz w:val="21"/>
          <w:szCs w:val="21"/>
          <w:lang w:val="es-MX"/>
        </w:rPr>
      </w:pPr>
      <w:r w:rsidRPr="00CB247B">
        <w:rPr>
          <w:rFonts w:ascii="Verdana" w:hAnsi="Verdana" w:cs="Arial"/>
          <w:sz w:val="21"/>
          <w:szCs w:val="21"/>
          <w:lang w:val="es-MX"/>
        </w:rPr>
        <w:t xml:space="preserve">Permitir que una persona natural no idónea, es decir, sin título profesional y sin Matrícula Profesional ejerza actividades de la ingeniería cuando la Constitución y la ley exigen que sólo personas idóneas y con la respectiva autorización la ejerzan, es vaciar de </w:t>
      </w:r>
      <w:r w:rsidRPr="00CB247B">
        <w:rPr>
          <w:rFonts w:ascii="Verdana" w:hAnsi="Verdana" w:cs="Arial"/>
          <w:sz w:val="21"/>
          <w:szCs w:val="21"/>
          <w:lang w:val="es-MX"/>
        </w:rPr>
        <w:lastRenderedPageBreak/>
        <w:t xml:space="preserve">contenido el sentido y la finalidad de la reglamentación de las profesiones y constituye vulneración a las prohibiciones de i) ejercer profesión reglamentada sin autorización […] o </w:t>
      </w:r>
      <w:proofErr w:type="spellStart"/>
      <w:r w:rsidRPr="00CB247B">
        <w:rPr>
          <w:rFonts w:ascii="Verdana" w:hAnsi="Verdana" w:cs="Arial"/>
          <w:sz w:val="21"/>
          <w:szCs w:val="21"/>
          <w:lang w:val="es-MX"/>
        </w:rPr>
        <w:t>ii</w:t>
      </w:r>
      <w:proofErr w:type="spellEnd"/>
      <w:r w:rsidRPr="00CB247B">
        <w:rPr>
          <w:rFonts w:ascii="Verdana" w:hAnsi="Verdana" w:cs="Arial"/>
          <w:sz w:val="21"/>
          <w:szCs w:val="21"/>
          <w:lang w:val="es-MX"/>
        </w:rPr>
        <w:t xml:space="preserve">) permitir, tolerar o facilitar el ejercicio ilegal de profesión reglamentada […] e incluso podría constituir violación a los principios de la contratación estatal que entre otros implican que la adjudicación y celebración de tales contrato es intuito </w:t>
      </w:r>
      <w:proofErr w:type="spellStart"/>
      <w:r w:rsidRPr="00CB247B">
        <w:rPr>
          <w:rFonts w:ascii="Verdana" w:hAnsi="Verdana" w:cs="Arial"/>
          <w:sz w:val="21"/>
          <w:szCs w:val="21"/>
          <w:lang w:val="es-MX"/>
        </w:rPr>
        <w:t>personae</w:t>
      </w:r>
      <w:proofErr w:type="spellEnd"/>
      <w:r w:rsidRPr="00CB247B">
        <w:rPr>
          <w:rFonts w:ascii="Verdana" w:hAnsi="Verdana" w:cs="Arial"/>
          <w:sz w:val="21"/>
          <w:szCs w:val="21"/>
          <w:lang w:val="es-MX"/>
        </w:rPr>
        <w:t>”</w:t>
      </w:r>
      <w:r w:rsidRPr="00CB247B">
        <w:rPr>
          <w:rFonts w:ascii="Verdana" w:hAnsi="Verdana" w:cs="Arial"/>
          <w:sz w:val="21"/>
          <w:szCs w:val="21"/>
          <w:vertAlign w:val="superscript"/>
          <w:lang w:val="es-ES"/>
        </w:rPr>
        <w:footnoteReference w:id="6"/>
      </w:r>
      <w:r w:rsidRPr="00CB247B">
        <w:rPr>
          <w:rFonts w:ascii="Verdana" w:hAnsi="Verdana" w:cs="Arial"/>
          <w:sz w:val="21"/>
          <w:szCs w:val="21"/>
          <w:lang w:val="es-MX"/>
        </w:rPr>
        <w:t>.</w:t>
      </w:r>
    </w:p>
    <w:p w14:paraId="77747570" w14:textId="77777777" w:rsidR="00454A9A" w:rsidRPr="00A50BD9" w:rsidRDefault="00454A9A" w:rsidP="00454A9A">
      <w:pPr>
        <w:spacing w:after="0" w:line="276" w:lineRule="auto"/>
        <w:ind w:left="720"/>
        <w:jc w:val="both"/>
        <w:rPr>
          <w:rFonts w:ascii="Verdana" w:hAnsi="Verdana" w:cs="Arial"/>
          <w:lang w:val="es-MX"/>
        </w:rPr>
      </w:pPr>
    </w:p>
    <w:p w14:paraId="49CA3090" w14:textId="77777777" w:rsidR="00454A9A" w:rsidRDefault="00454A9A" w:rsidP="00454A9A">
      <w:pPr>
        <w:pStyle w:val="Prrafodelista"/>
        <w:numPr>
          <w:ilvl w:val="0"/>
          <w:numId w:val="19"/>
        </w:numPr>
        <w:spacing w:after="0" w:line="276" w:lineRule="auto"/>
        <w:jc w:val="both"/>
        <w:rPr>
          <w:rFonts w:ascii="Verdana" w:hAnsi="Verdana" w:cs="Arial"/>
          <w:lang w:val="es-MX"/>
        </w:rPr>
      </w:pPr>
      <w:r w:rsidRPr="00D8633B">
        <w:rPr>
          <w:rFonts w:ascii="Verdana" w:hAnsi="Verdana" w:cs="Arial"/>
          <w:lang w:val="es-MX"/>
        </w:rPr>
        <w:t>En efecto,  dado que las personas jurídicas no pueden y, por tanto, no les es exigible contar con una profesión, la ley previó dicha situación y las habilitó para contar con el apoyo de un profesional que avalara la</w:t>
      </w:r>
      <w:r>
        <w:rPr>
          <w:rFonts w:ascii="Verdana" w:hAnsi="Verdana" w:cs="Arial"/>
          <w:lang w:val="es-MX"/>
        </w:rPr>
        <w:t>s</w:t>
      </w:r>
      <w:r w:rsidRPr="00D8633B">
        <w:rPr>
          <w:rFonts w:ascii="Verdana" w:hAnsi="Verdana" w:cs="Arial"/>
          <w:lang w:val="es-MX"/>
        </w:rPr>
        <w:t xml:space="preserve"> propuestas relacionadas con ingeniería, pues si ello no hubiese ocurrido, a pesar</w:t>
      </w:r>
      <w:r>
        <w:rPr>
          <w:rFonts w:ascii="Verdana" w:hAnsi="Verdana" w:cs="Arial"/>
          <w:lang w:val="es-MX"/>
        </w:rPr>
        <w:t xml:space="preserve"> de</w:t>
      </w:r>
      <w:r w:rsidRPr="00D8633B">
        <w:rPr>
          <w:rFonts w:ascii="Verdana" w:hAnsi="Verdana" w:cs="Arial"/>
          <w:lang w:val="es-MX"/>
        </w:rPr>
        <w:t xml:space="preserve">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6CB5ED49" w14:textId="77777777" w:rsidR="00454A9A" w:rsidRPr="00D8633B" w:rsidRDefault="00454A9A" w:rsidP="00454A9A">
      <w:pPr>
        <w:pStyle w:val="Prrafodelista"/>
        <w:spacing w:after="0" w:line="276" w:lineRule="auto"/>
        <w:jc w:val="both"/>
        <w:rPr>
          <w:rFonts w:ascii="Verdana" w:hAnsi="Verdana" w:cs="Arial"/>
          <w:lang w:val="es-MX"/>
        </w:rPr>
      </w:pPr>
    </w:p>
    <w:p w14:paraId="1A5CF5B8" w14:textId="77777777" w:rsidR="00454A9A" w:rsidRPr="00F9364E" w:rsidRDefault="00454A9A" w:rsidP="00454A9A">
      <w:pPr>
        <w:pStyle w:val="Prrafodelista"/>
        <w:numPr>
          <w:ilvl w:val="0"/>
          <w:numId w:val="19"/>
        </w:numPr>
        <w:spacing w:after="0" w:line="276" w:lineRule="auto"/>
        <w:jc w:val="both"/>
        <w:rPr>
          <w:rFonts w:ascii="Verdana" w:hAnsi="Verdana" w:cs="Arial"/>
          <w:lang w:val="es-MX"/>
        </w:rPr>
      </w:pPr>
      <w:r w:rsidRPr="00F9364E">
        <w:rPr>
          <w:rFonts w:ascii="Verdana" w:hAnsi="Verdana" w:cs="Arial"/>
          <w:lang w:val="es-MX"/>
        </w:rPr>
        <w:t>En el mismo sentido, al analizar lo ordenado en el artículo 20 de la Ley 842 de 2003, haciendo énfasis en la responsabilidad de los profesionales de la ingeniería en los procesos adelantados por las entidades estatales, mediante concepto No</w:t>
      </w:r>
      <w:r>
        <w:rPr>
          <w:rFonts w:ascii="Verdana" w:hAnsi="Verdana" w:cs="Arial"/>
          <w:lang w:val="es-MX"/>
        </w:rPr>
        <w:t>.</w:t>
      </w:r>
      <w:r w:rsidRPr="00F9364E">
        <w:rPr>
          <w:rFonts w:ascii="Verdana" w:hAnsi="Verdana" w:cs="Arial"/>
          <w:lang w:val="es-MX"/>
        </w:rPr>
        <w:t xml:space="preserve"> 64 de 2020, el – COPNIA – señaló:</w:t>
      </w:r>
    </w:p>
    <w:p w14:paraId="7B4B5268" w14:textId="77777777" w:rsidR="00454A9A" w:rsidRPr="00A50BD9" w:rsidRDefault="00454A9A" w:rsidP="00454A9A">
      <w:pPr>
        <w:spacing w:after="0" w:line="276" w:lineRule="auto"/>
        <w:ind w:firstLine="709"/>
        <w:jc w:val="both"/>
        <w:rPr>
          <w:rFonts w:ascii="Verdana" w:hAnsi="Verdana" w:cs="Arial"/>
          <w:lang w:val="es-MX"/>
        </w:rPr>
      </w:pPr>
    </w:p>
    <w:p w14:paraId="13A55353" w14:textId="77777777" w:rsidR="00454A9A" w:rsidRPr="00004D43" w:rsidRDefault="00454A9A" w:rsidP="00454A9A">
      <w:pPr>
        <w:spacing w:after="0" w:line="240" w:lineRule="auto"/>
        <w:ind w:left="709" w:right="709"/>
        <w:jc w:val="both"/>
        <w:rPr>
          <w:rFonts w:ascii="Verdana" w:hAnsi="Verdana" w:cs="Arial"/>
          <w:sz w:val="21"/>
          <w:szCs w:val="21"/>
          <w:lang w:val="es-MX"/>
        </w:rPr>
      </w:pPr>
      <w:r w:rsidRPr="00004D43">
        <w:rPr>
          <w:rFonts w:ascii="Verdana" w:hAnsi="Verdana" w:cs="Arial"/>
          <w:sz w:val="21"/>
          <w:szCs w:val="21"/>
          <w:lang w:val="es-MX"/>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w:t>
      </w:r>
      <w:proofErr w:type="spellStart"/>
      <w:r w:rsidRPr="00004D43">
        <w:rPr>
          <w:rFonts w:ascii="Verdana" w:hAnsi="Verdana" w:cs="Arial"/>
          <w:sz w:val="21"/>
          <w:szCs w:val="21"/>
          <w:lang w:val="es-MX"/>
        </w:rPr>
        <w:t>Copnia</w:t>
      </w:r>
      <w:proofErr w:type="spellEnd"/>
      <w:r w:rsidRPr="00004D43">
        <w:rPr>
          <w:rFonts w:ascii="Verdana" w:hAnsi="Verdana" w:cs="Arial"/>
          <w:sz w:val="21"/>
          <w:szCs w:val="21"/>
          <w:lang w:val="es-MX"/>
        </w:rPr>
        <w:t xml:space="preserve">, independientemente de la cuantía o modalidad de contratación, dado que la norma no hace distinción alguna en ese aspecto, esto en aras de que dicho profesional asuma la </w:t>
      </w:r>
      <w:r w:rsidRPr="00004D43">
        <w:rPr>
          <w:rFonts w:ascii="Verdana" w:hAnsi="Verdana" w:cs="Arial"/>
          <w:sz w:val="21"/>
          <w:szCs w:val="21"/>
          <w:lang w:val="es-MX"/>
        </w:rPr>
        <w:lastRenderedPageBreak/>
        <w:t>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487A4E39" w14:textId="77777777" w:rsidR="00454A9A" w:rsidRPr="00A50BD9" w:rsidRDefault="00454A9A" w:rsidP="00454A9A">
      <w:pPr>
        <w:widowControl w:val="0"/>
        <w:autoSpaceDE w:val="0"/>
        <w:autoSpaceDN w:val="0"/>
        <w:spacing w:after="0" w:line="276" w:lineRule="auto"/>
        <w:ind w:right="448"/>
        <w:jc w:val="both"/>
        <w:rPr>
          <w:rFonts w:ascii="Verdana" w:eastAsia="Arial" w:hAnsi="Verdana" w:cs="Arial"/>
          <w:color w:val="000000" w:themeColor="text1"/>
          <w:lang w:val="es-MX"/>
        </w:rPr>
      </w:pPr>
    </w:p>
    <w:p w14:paraId="1717CDF5" w14:textId="77777777" w:rsidR="00454A9A" w:rsidRPr="00004D43" w:rsidRDefault="00454A9A" w:rsidP="00454A9A">
      <w:pPr>
        <w:pStyle w:val="Prrafodelista"/>
        <w:widowControl w:val="0"/>
        <w:numPr>
          <w:ilvl w:val="0"/>
          <w:numId w:val="21"/>
        </w:numPr>
        <w:autoSpaceDE w:val="0"/>
        <w:autoSpaceDN w:val="0"/>
        <w:spacing w:after="0" w:line="276" w:lineRule="auto"/>
        <w:jc w:val="both"/>
        <w:rPr>
          <w:rFonts w:ascii="Verdana" w:eastAsia="Arial" w:hAnsi="Verdana" w:cs="Arial"/>
          <w:color w:val="000000" w:themeColor="text1"/>
        </w:rPr>
      </w:pPr>
      <w:r w:rsidRPr="00004D43">
        <w:rPr>
          <w:rFonts w:ascii="Verdana" w:eastAsia="Arial" w:hAnsi="Verdana" w:cs="Arial"/>
          <w:color w:val="000000" w:themeColor="text1"/>
        </w:rPr>
        <w:t>De acuerdo con lo expuesto, en concordancia con el Consejo Profesional Nacional de Ingeniería –COPNIA–, la persona natural que presente propuesta en un proceso de contratación desarrollado en virtud de los documentos tipo de obra de infraestructura de transporte deberá acreditar título profesional en ingeniería de la rama correspondiente a la ejecución del objeto a contratar, sin que sea posible que ante la ausencia de dicho título participe con el aval de un ingeniero. En efecto, de acuerdo con los apartes citados, dicho aval por parte de un ingeniero solo es posible realizarlo en favor de una persona jurídica o un proponente plural, por lo que, tratándose de personas naturales, ellas directamente deberán ser ingenieros.</w:t>
      </w:r>
    </w:p>
    <w:p w14:paraId="0744DD0A" w14:textId="77777777" w:rsidR="00454A9A" w:rsidRDefault="00454A9A" w:rsidP="00454A9A">
      <w:pPr>
        <w:widowControl w:val="0"/>
        <w:tabs>
          <w:tab w:val="left" w:pos="1680"/>
        </w:tabs>
        <w:autoSpaceDE w:val="0"/>
        <w:autoSpaceDN w:val="0"/>
        <w:spacing w:after="0" w:line="276" w:lineRule="auto"/>
        <w:jc w:val="both"/>
        <w:rPr>
          <w:rFonts w:ascii="Verdana" w:eastAsia="Arial" w:hAnsi="Verdana" w:cs="Arial"/>
          <w:color w:val="000000" w:themeColor="text1"/>
          <w:lang w:val="es-ES"/>
        </w:rPr>
      </w:pPr>
      <w:r>
        <w:rPr>
          <w:rFonts w:ascii="Verdana" w:eastAsia="Arial" w:hAnsi="Verdana" w:cs="Arial"/>
          <w:color w:val="000000" w:themeColor="text1"/>
          <w:lang w:val="es-ES"/>
        </w:rPr>
        <w:tab/>
      </w:r>
    </w:p>
    <w:p w14:paraId="77E08279" w14:textId="77777777" w:rsidR="00454A9A" w:rsidRPr="008C0AAA" w:rsidRDefault="00454A9A" w:rsidP="00454A9A">
      <w:pPr>
        <w:pStyle w:val="Prrafodelista"/>
        <w:widowControl w:val="0"/>
        <w:numPr>
          <w:ilvl w:val="0"/>
          <w:numId w:val="21"/>
        </w:numPr>
        <w:autoSpaceDE w:val="0"/>
        <w:autoSpaceDN w:val="0"/>
        <w:spacing w:after="0" w:line="276" w:lineRule="auto"/>
        <w:jc w:val="both"/>
        <w:rPr>
          <w:rFonts w:ascii="Verdana" w:eastAsia="Arial" w:hAnsi="Verdana" w:cs="Arial"/>
          <w:color w:val="000000" w:themeColor="text1"/>
        </w:rPr>
      </w:pPr>
      <w:r w:rsidRPr="00C24BD8">
        <w:rPr>
          <w:rFonts w:ascii="Verdana" w:eastAsia="Arial" w:hAnsi="Verdana" w:cs="Arial"/>
          <w:color w:val="000000" w:themeColor="text1"/>
        </w:rPr>
        <w:t>Sin perjuicio de lo anterior,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como es el caso de los arquitectos, 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A50BD9">
        <w:rPr>
          <w:vertAlign w:val="superscript"/>
        </w:rPr>
        <w:footnoteReference w:id="7"/>
      </w:r>
      <w:r w:rsidRPr="00C24BD8">
        <w:rPr>
          <w:rFonts w:ascii="Verdana" w:eastAsia="Arial" w:hAnsi="Verdana" w:cs="Arial"/>
          <w:color w:val="000000" w:themeColor="text1"/>
        </w:rPr>
        <w:t>.</w:t>
      </w:r>
    </w:p>
    <w:p w14:paraId="7AFA64D9" w14:textId="77777777" w:rsidR="00454A9A" w:rsidRPr="00E52BB7" w:rsidRDefault="00454A9A" w:rsidP="00454A9A">
      <w:pPr>
        <w:spacing w:after="0" w:line="276" w:lineRule="auto"/>
        <w:jc w:val="both"/>
        <w:rPr>
          <w:rFonts w:ascii="Verdana" w:eastAsia="Calibri" w:hAnsi="Verdana" w:cs="Arial"/>
          <w:color w:val="7030A0"/>
          <w:lang w:val="es-ES"/>
        </w:rPr>
      </w:pPr>
    </w:p>
    <w:p w14:paraId="72FBD3A3" w14:textId="77777777" w:rsidR="00454A9A" w:rsidRPr="00593A5F" w:rsidRDefault="00454A9A" w:rsidP="00454A9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1F30954" w14:textId="77777777" w:rsidR="00454A9A" w:rsidRPr="00593A5F" w:rsidRDefault="00454A9A" w:rsidP="00454A9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54A9A" w:rsidRPr="00593A5F" w14:paraId="25A09948" w14:textId="77777777" w:rsidTr="001336AC">
        <w:trPr>
          <w:trHeight w:val="870"/>
        </w:trPr>
        <w:tc>
          <w:tcPr>
            <w:tcW w:w="8647" w:type="dxa"/>
          </w:tcPr>
          <w:p w14:paraId="23B9B1C3" w14:textId="77777777" w:rsidR="00454A9A" w:rsidRDefault="00454A9A" w:rsidP="001336AC">
            <w:pPr>
              <w:widowControl w:val="0"/>
              <w:numPr>
                <w:ilvl w:val="0"/>
                <w:numId w:val="17"/>
              </w:numPr>
              <w:autoSpaceDE w:val="0"/>
              <w:autoSpaceDN w:val="0"/>
              <w:spacing w:after="120" w:line="276" w:lineRule="auto"/>
              <w:jc w:val="both"/>
              <w:rPr>
                <w:rFonts w:ascii="Verdana" w:eastAsia="Calibri" w:hAnsi="Verdana" w:cs="Arial"/>
              </w:rPr>
            </w:pPr>
            <w:r>
              <w:rPr>
                <w:rFonts w:ascii="Verdana" w:eastAsia="Calibri" w:hAnsi="Verdana" w:cs="Arial"/>
              </w:rPr>
              <w:lastRenderedPageBreak/>
              <w:t>Constitución Política, artículo 26.</w:t>
            </w:r>
          </w:p>
          <w:p w14:paraId="25E53BF1" w14:textId="77777777" w:rsidR="00454A9A" w:rsidRDefault="00454A9A" w:rsidP="001336AC">
            <w:pPr>
              <w:widowControl w:val="0"/>
              <w:numPr>
                <w:ilvl w:val="0"/>
                <w:numId w:val="17"/>
              </w:numPr>
              <w:autoSpaceDE w:val="0"/>
              <w:autoSpaceDN w:val="0"/>
              <w:spacing w:after="120" w:line="276" w:lineRule="auto"/>
              <w:jc w:val="both"/>
              <w:rPr>
                <w:rFonts w:ascii="Verdana" w:eastAsia="Calibri" w:hAnsi="Verdana" w:cs="Arial"/>
              </w:rPr>
            </w:pPr>
            <w:r w:rsidRPr="00530B60">
              <w:rPr>
                <w:rFonts w:ascii="Verdana" w:eastAsia="Calibri" w:hAnsi="Verdana" w:cs="Arial"/>
              </w:rPr>
              <w:t>Ley 842 de 2003, artículos 2, 6 y 20.</w:t>
            </w:r>
          </w:p>
          <w:p w14:paraId="66394592" w14:textId="77777777" w:rsidR="00454A9A" w:rsidRPr="00530B60" w:rsidRDefault="00454A9A" w:rsidP="001336AC">
            <w:pPr>
              <w:widowControl w:val="0"/>
              <w:numPr>
                <w:ilvl w:val="0"/>
                <w:numId w:val="17"/>
              </w:numPr>
              <w:autoSpaceDE w:val="0"/>
              <w:autoSpaceDN w:val="0"/>
              <w:spacing w:after="120" w:line="276" w:lineRule="auto"/>
              <w:jc w:val="both"/>
              <w:rPr>
                <w:rFonts w:ascii="Verdana" w:eastAsia="Calibri" w:hAnsi="Verdana" w:cs="Arial"/>
              </w:rPr>
            </w:pPr>
            <w:r w:rsidRPr="00530B60">
              <w:rPr>
                <w:rFonts w:ascii="Verdana" w:eastAsia="Calibri" w:hAnsi="Verdana" w:cs="Arial"/>
              </w:rPr>
              <w:t>Corte Constitucional, sentencia C-697 de 2000, M.P. Eduardo Cifuentes Muñoz.</w:t>
            </w:r>
          </w:p>
          <w:p w14:paraId="3E2ED4A5" w14:textId="77777777" w:rsidR="00454A9A" w:rsidRPr="006306E6" w:rsidRDefault="00454A9A" w:rsidP="001336AC">
            <w:pPr>
              <w:widowControl w:val="0"/>
              <w:numPr>
                <w:ilvl w:val="0"/>
                <w:numId w:val="17"/>
              </w:numPr>
              <w:autoSpaceDE w:val="0"/>
              <w:autoSpaceDN w:val="0"/>
              <w:spacing w:after="120" w:line="276" w:lineRule="auto"/>
              <w:jc w:val="both"/>
              <w:rPr>
                <w:rFonts w:ascii="Verdana" w:hAnsi="Verdana" w:cs="Arial"/>
              </w:rPr>
            </w:pPr>
            <w:r>
              <w:rPr>
                <w:rFonts w:ascii="Verdana" w:eastAsia="Calibri" w:hAnsi="Verdana" w:cs="Arial"/>
              </w:rPr>
              <w:t>Corte Constitucional, sentencia C-191 de 2005, M.P. Manuel José Cepeda Espinosa.</w:t>
            </w:r>
          </w:p>
        </w:tc>
      </w:tr>
    </w:tbl>
    <w:p w14:paraId="1D2522BE" w14:textId="77777777" w:rsidR="00454A9A" w:rsidRPr="00593A5F" w:rsidRDefault="00454A9A" w:rsidP="00454A9A">
      <w:pPr>
        <w:widowControl w:val="0"/>
        <w:autoSpaceDE w:val="0"/>
        <w:autoSpaceDN w:val="0"/>
        <w:spacing w:after="0" w:line="276" w:lineRule="auto"/>
        <w:jc w:val="both"/>
        <w:rPr>
          <w:rFonts w:ascii="Verdana" w:hAnsi="Verdana" w:cs="Arial"/>
        </w:rPr>
      </w:pPr>
    </w:p>
    <w:p w14:paraId="34B2A6B8" w14:textId="77777777" w:rsidR="00454A9A" w:rsidRPr="00593A5F" w:rsidRDefault="00454A9A" w:rsidP="00454A9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4B2B690" w14:textId="77777777" w:rsidR="00454A9A" w:rsidRDefault="00454A9A" w:rsidP="00454A9A">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1712845D" w14:textId="77777777" w:rsidR="00454A9A" w:rsidRPr="00D95D35" w:rsidRDefault="00454A9A" w:rsidP="00454A9A">
      <w:pPr>
        <w:widowControl w:val="0"/>
        <w:autoSpaceDE w:val="0"/>
        <w:autoSpaceDN w:val="0"/>
        <w:spacing w:after="0" w:line="276" w:lineRule="auto"/>
        <w:jc w:val="both"/>
        <w:rPr>
          <w:rFonts w:ascii="Verdana" w:eastAsia="Calibri" w:hAnsi="Verdana" w:cs="Arial"/>
          <w:shd w:val="clear" w:color="auto" w:fill="FFFFFF"/>
          <w:lang w:val="es-ES"/>
        </w:rPr>
      </w:pPr>
      <w:r w:rsidRPr="00D95D35">
        <w:rPr>
          <w:rFonts w:ascii="Verdana" w:eastAsia="Calibri" w:hAnsi="Verdana" w:cs="Arial"/>
          <w:shd w:val="clear" w:color="auto" w:fill="FFFFFF"/>
          <w:lang w:val="es-ES"/>
        </w:rPr>
        <w:t>La Agencia Nacional de Contratación Pública – Colombia Compra Eficiente</w:t>
      </w:r>
      <w:r>
        <w:rPr>
          <w:rFonts w:ascii="Verdana" w:eastAsia="Calibri" w:hAnsi="Verdana" w:cs="Arial"/>
          <w:shd w:val="clear" w:color="auto" w:fill="FFFFFF"/>
          <w:lang w:val="es-ES"/>
        </w:rPr>
        <w:t xml:space="preserve"> se ha pronunciado </w:t>
      </w:r>
      <w:r w:rsidRPr="005F6304">
        <w:rPr>
          <w:rFonts w:ascii="Verdana" w:eastAsia="Calibri" w:hAnsi="Verdana" w:cs="Arial"/>
          <w:shd w:val="clear" w:color="auto" w:fill="FFFFFF"/>
          <w:lang w:val="es-ES"/>
        </w:rPr>
        <w:t xml:space="preserve">sobre el aval y la participación de profesionales de la ingeniería en los procesos de contratación en los conceptos: </w:t>
      </w:r>
      <w:r w:rsidRPr="006F2456">
        <w:rPr>
          <w:rFonts w:ascii="Verdana" w:eastAsia="Calibri" w:hAnsi="Verdana" w:cs="Arial"/>
          <w:shd w:val="clear" w:color="auto" w:fill="FFFFFF"/>
          <w:lang w:val="es-ES"/>
        </w:rPr>
        <w:t>2201913000006376 del 30 de agosto de 2019, 2201913000009554 del 24 de diciembre de 2019, C-054 del 19 de febrero de 2020, C-703 del 7 de diciembre de 2020, C-752 del 30 de noviembre de 2020, C-800 del 1 de febrero de 2021, C-105 del 26 de marzo de 2021, C-216 del 4 de mayo de 2021, C-298 del 22 de junio de 2021, C-360 del 2 de agosto de 2021, C-447 del 30 de agosto de 2021, C-659 del 30 de agosto de 2021, C-613 del 2 de noviembre de 2021, C-167 del 29 de marzo de 2022, C-893 del 27 de diciembre de 2022</w:t>
      </w:r>
      <w:r>
        <w:rPr>
          <w:rFonts w:ascii="Verdana" w:eastAsia="Calibri" w:hAnsi="Verdana" w:cs="Arial"/>
          <w:shd w:val="clear" w:color="auto" w:fill="FFFFFF"/>
          <w:lang w:val="es-ES"/>
        </w:rPr>
        <w:t xml:space="preserve"> y </w:t>
      </w:r>
      <w:r w:rsidRPr="006F2456">
        <w:rPr>
          <w:rFonts w:ascii="Verdana" w:eastAsia="Calibri" w:hAnsi="Verdana" w:cs="Arial"/>
          <w:shd w:val="clear" w:color="auto" w:fill="FFFFFF"/>
          <w:lang w:val="es-ES"/>
        </w:rPr>
        <w:t xml:space="preserve"> C-254 del 18 de agosto de 2023</w:t>
      </w:r>
      <w:r>
        <w:rPr>
          <w:rFonts w:ascii="Verdana" w:eastAsia="Calibri" w:hAnsi="Verdana" w:cs="Arial"/>
          <w:shd w:val="clear" w:color="auto" w:fill="FFFFFF"/>
          <w:lang w:val="es-ES"/>
        </w:rPr>
        <w:t xml:space="preserve"> </w:t>
      </w:r>
      <w:r w:rsidRPr="005F6304">
        <w:rPr>
          <w:rFonts w:ascii="Verdana" w:eastAsia="Calibri" w:hAnsi="Verdana" w:cs="Arial"/>
          <w:shd w:val="clear" w:color="auto" w:fill="FFFFFF"/>
          <w:lang w:val="es-ES"/>
        </w:rPr>
        <w:t xml:space="preserve">. </w:t>
      </w:r>
      <w:r w:rsidRPr="00D95D35">
        <w:rPr>
          <w:rFonts w:ascii="Verdana" w:eastAsia="Calibri" w:hAnsi="Verdana" w:cs="Arial"/>
          <w:shd w:val="clear" w:color="auto" w:fill="FFFFFF"/>
          <w:lang w:val="es-ES"/>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C6C934A" w14:textId="77777777" w:rsidR="00454A9A" w:rsidRPr="00D95D35" w:rsidRDefault="00454A9A" w:rsidP="00454A9A">
      <w:pPr>
        <w:widowControl w:val="0"/>
        <w:autoSpaceDE w:val="0"/>
        <w:autoSpaceDN w:val="0"/>
        <w:spacing w:after="0" w:line="276" w:lineRule="auto"/>
        <w:jc w:val="both"/>
        <w:rPr>
          <w:rFonts w:ascii="Verdana" w:eastAsia="Calibri" w:hAnsi="Verdana" w:cs="Arial"/>
          <w:shd w:val="clear" w:color="auto" w:fill="FFFFFF"/>
          <w:lang w:val="es-ES"/>
        </w:rPr>
      </w:pPr>
    </w:p>
    <w:p w14:paraId="2C5B5DDE" w14:textId="77777777" w:rsidR="00454A9A" w:rsidRPr="00B03483" w:rsidRDefault="00454A9A" w:rsidP="00454A9A">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Dirección URL original: https://www.colombiacompra.gov.co/sites/cce_public/files/cce_documents/manual_para_el_manejo_de_acuerdos_comerciales_vf.pdf. Haga clic o pulse si confía en este vínculo." w:history="1">
        <w:r w:rsidRPr="00B03483">
          <w:rPr>
            <w:rStyle w:val="Hipervnculo"/>
            <w:rFonts w:ascii="Verdana" w:hAnsi="Verdana"/>
            <w:sz w:val="22"/>
            <w:szCs w:val="22"/>
            <w:shd w:val="clear" w:color="auto" w:fill="FFFFFF"/>
            <w:lang w:val="es-CO"/>
          </w:rPr>
          <w:t>manual_para_el_manejo_de_acuerdos_comerciales_vf.pdf</w:t>
        </w:r>
      </w:hyperlink>
    </w:p>
    <w:p w14:paraId="482CDB46" w14:textId="77777777" w:rsidR="00454A9A" w:rsidRPr="008C0AAA" w:rsidRDefault="00454A9A" w:rsidP="00454A9A">
      <w:pPr>
        <w:pStyle w:val="Textonotapie"/>
        <w:spacing w:line="276" w:lineRule="auto"/>
        <w:jc w:val="both"/>
        <w:rPr>
          <w:rFonts w:ascii="Verdana" w:hAnsi="Verdana"/>
          <w:color w:val="000000"/>
          <w:sz w:val="22"/>
          <w:szCs w:val="22"/>
          <w:shd w:val="clear" w:color="auto" w:fill="FFFFFF"/>
          <w:lang w:val="es-CO"/>
        </w:rPr>
      </w:pPr>
      <w:r w:rsidRPr="008C0AAA">
        <w:rPr>
          <w:rFonts w:ascii="Verdana" w:hAnsi="Verdana"/>
          <w:color w:val="000000"/>
          <w:sz w:val="22"/>
          <w:szCs w:val="22"/>
          <w:shd w:val="clear" w:color="auto" w:fill="FFFFFF"/>
          <w:lang w:val="es-CO"/>
        </w:rPr>
        <w:t> </w:t>
      </w:r>
    </w:p>
    <w:p w14:paraId="7BE4ED29" w14:textId="77777777" w:rsidR="00454A9A" w:rsidRPr="00B03483" w:rsidRDefault="00454A9A" w:rsidP="00454A9A">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También le invitamos a consultar la versión VII  de 2024 , del Boletín de Relatoría de la Subdirección de Gestión Contractual relacionado con las Asociaciones Público Populares , el cual se puede descargar en la página web de la Agencia: </w:t>
      </w:r>
      <w:hyperlink r:id="rId13" w:tgtFrame="_blank" w:tooltip="Dirección URL original: https://www.colombiacompra.gov.co/sala-de-prensa/boletin-digital. Haga clic o pulse si confía en este vínculo." w:history="1">
        <w:r w:rsidRPr="00B03483">
          <w:rPr>
            <w:rStyle w:val="Hipervnculo"/>
            <w:rFonts w:ascii="Verdana" w:hAnsi="Verdana"/>
            <w:sz w:val="22"/>
            <w:szCs w:val="22"/>
            <w:shd w:val="clear" w:color="auto" w:fill="FFFFFF"/>
            <w:lang w:val="es-CO"/>
          </w:rPr>
          <w:t>https://www.colombiacompra.gov.co/sala-de-prensa/boletin-digital</w:t>
        </w:r>
      </w:hyperlink>
      <w:r w:rsidRPr="00B03483">
        <w:rPr>
          <w:rFonts w:ascii="Verdana" w:hAnsi="Verdana"/>
          <w:color w:val="000000"/>
          <w:sz w:val="22"/>
          <w:szCs w:val="22"/>
          <w:shd w:val="clear" w:color="auto" w:fill="FFFFFF"/>
          <w:lang w:val="es-CO"/>
        </w:rPr>
        <w:t> ".</w:t>
      </w:r>
    </w:p>
    <w:p w14:paraId="186B2AD8" w14:textId="77777777" w:rsidR="00454A9A" w:rsidRPr="00D95D35" w:rsidRDefault="00454A9A" w:rsidP="00454A9A">
      <w:pPr>
        <w:widowControl w:val="0"/>
        <w:autoSpaceDE w:val="0"/>
        <w:autoSpaceDN w:val="0"/>
        <w:spacing w:after="0" w:line="276" w:lineRule="auto"/>
        <w:jc w:val="both"/>
        <w:rPr>
          <w:rFonts w:ascii="Verdana" w:eastAsia="Calibri" w:hAnsi="Verdana" w:cs="Arial"/>
          <w:shd w:val="clear" w:color="auto" w:fill="FFFFFF"/>
          <w:lang w:val="es-ES"/>
        </w:rPr>
      </w:pPr>
    </w:p>
    <w:p w14:paraId="62575824" w14:textId="77777777" w:rsidR="00454A9A" w:rsidRPr="00D95D35" w:rsidRDefault="00454A9A" w:rsidP="00454A9A">
      <w:pPr>
        <w:spacing w:after="0" w:line="240" w:lineRule="auto"/>
        <w:jc w:val="both"/>
        <w:rPr>
          <w:rFonts w:ascii="Verdana" w:eastAsia="Calibri" w:hAnsi="Verdana" w:cs="Times New Roman"/>
        </w:rPr>
      </w:pPr>
      <w:r w:rsidRPr="00D95D35">
        <w:rPr>
          <w:rFonts w:ascii="Verdana" w:eastAsia="Calibri" w:hAnsi="Verdana" w:cs="Times New Roman"/>
        </w:rPr>
        <w:lastRenderedPageBreak/>
        <w:t xml:space="preserve">Por último, los invitamos a seguirnos en las redes sociales, en las cuales se difunde información institucional: </w:t>
      </w:r>
    </w:p>
    <w:p w14:paraId="4BDD3558" w14:textId="77777777" w:rsidR="00454A9A" w:rsidRPr="00D95D35" w:rsidRDefault="00454A9A" w:rsidP="00454A9A">
      <w:pPr>
        <w:spacing w:after="0" w:line="240" w:lineRule="auto"/>
        <w:jc w:val="both"/>
        <w:rPr>
          <w:rFonts w:ascii="Verdana" w:eastAsia="Calibri" w:hAnsi="Verdana" w:cs="Times New Roman"/>
        </w:rPr>
      </w:pPr>
    </w:p>
    <w:p w14:paraId="005449C3" w14:textId="77777777" w:rsidR="00454A9A" w:rsidRPr="00D95D35" w:rsidRDefault="00454A9A" w:rsidP="00454A9A">
      <w:pPr>
        <w:spacing w:after="0" w:line="240" w:lineRule="auto"/>
        <w:jc w:val="both"/>
        <w:rPr>
          <w:rFonts w:ascii="Verdana" w:eastAsia="Calibri" w:hAnsi="Verdana" w:cs="Times New Roman"/>
        </w:rPr>
      </w:pPr>
      <w:r w:rsidRPr="00D95D35">
        <w:rPr>
          <w:rFonts w:ascii="Verdana" w:eastAsia="Calibri" w:hAnsi="Verdana" w:cs="Times New Roman"/>
        </w:rPr>
        <w:t xml:space="preserve">Twitter: </w:t>
      </w:r>
      <w:r w:rsidRPr="00D95D35">
        <w:rPr>
          <w:rFonts w:ascii="Verdana" w:eastAsia="Calibri" w:hAnsi="Verdana" w:cs="Times New Roman"/>
          <w:u w:val="single"/>
        </w:rPr>
        <w:t>@colombiacompra</w:t>
      </w:r>
      <w:r w:rsidRPr="00D95D35">
        <w:rPr>
          <w:rFonts w:ascii="Verdana" w:eastAsia="Calibri" w:hAnsi="Verdana" w:cs="Times New Roman"/>
        </w:rPr>
        <w:t xml:space="preserve"> </w:t>
      </w:r>
    </w:p>
    <w:p w14:paraId="3C9E7AAF" w14:textId="77777777" w:rsidR="00454A9A" w:rsidRPr="00D95D35" w:rsidRDefault="00454A9A" w:rsidP="00454A9A">
      <w:pPr>
        <w:spacing w:after="0" w:line="240" w:lineRule="auto"/>
        <w:jc w:val="both"/>
        <w:rPr>
          <w:rFonts w:ascii="Verdana" w:eastAsia="Calibri" w:hAnsi="Verdana" w:cs="Times New Roman"/>
        </w:rPr>
      </w:pPr>
      <w:r w:rsidRPr="00D95D35">
        <w:rPr>
          <w:rFonts w:ascii="Verdana" w:eastAsia="Calibri" w:hAnsi="Verdana" w:cs="Times New Roman"/>
        </w:rPr>
        <w:t xml:space="preserve">Facebook: </w:t>
      </w:r>
      <w:proofErr w:type="spellStart"/>
      <w:r w:rsidRPr="00D95D35">
        <w:rPr>
          <w:rFonts w:ascii="Verdana" w:eastAsia="Calibri" w:hAnsi="Verdana" w:cs="Times New Roman"/>
          <w:u w:val="single"/>
        </w:rPr>
        <w:t>ColombiaCompraEficiente</w:t>
      </w:r>
      <w:proofErr w:type="spellEnd"/>
    </w:p>
    <w:p w14:paraId="26D551EF" w14:textId="77777777" w:rsidR="00454A9A" w:rsidRPr="00D95D35" w:rsidRDefault="00454A9A" w:rsidP="00454A9A">
      <w:pPr>
        <w:spacing w:after="0" w:line="240" w:lineRule="auto"/>
        <w:jc w:val="both"/>
        <w:rPr>
          <w:rFonts w:ascii="Verdana" w:eastAsia="Calibri" w:hAnsi="Verdana" w:cs="Times New Roman"/>
        </w:rPr>
      </w:pPr>
      <w:r w:rsidRPr="00D95D35">
        <w:rPr>
          <w:rFonts w:ascii="Verdana" w:eastAsia="Calibri" w:hAnsi="Verdana" w:cs="Times New Roman"/>
        </w:rPr>
        <w:t xml:space="preserve">LinkedIn: </w:t>
      </w:r>
      <w:r w:rsidRPr="00D95D35">
        <w:rPr>
          <w:rFonts w:ascii="Verdana" w:eastAsia="Calibri" w:hAnsi="Verdana" w:cs="Times New Roman"/>
          <w:u w:val="single"/>
        </w:rPr>
        <w:t>Agencia Nacional de Contratación Pública - Colombia Compra Eficiente</w:t>
      </w:r>
      <w:r w:rsidRPr="00D95D35">
        <w:rPr>
          <w:rFonts w:ascii="Verdana" w:eastAsia="Calibri" w:hAnsi="Verdana" w:cs="Times New Roman"/>
        </w:rPr>
        <w:t xml:space="preserve"> Instagram: </w:t>
      </w:r>
      <w:r w:rsidRPr="00D95D35">
        <w:rPr>
          <w:rFonts w:ascii="Verdana" w:eastAsia="Calibri" w:hAnsi="Verdana" w:cs="Times New Roman"/>
          <w:u w:val="single"/>
        </w:rPr>
        <w:t>@colombiacompraeficiente_cce</w:t>
      </w:r>
    </w:p>
    <w:p w14:paraId="60B51530" w14:textId="77777777" w:rsidR="00454A9A" w:rsidRDefault="00454A9A" w:rsidP="00454A9A">
      <w:pPr>
        <w:widowControl w:val="0"/>
        <w:autoSpaceDE w:val="0"/>
        <w:autoSpaceDN w:val="0"/>
        <w:spacing w:after="0" w:line="276" w:lineRule="auto"/>
        <w:jc w:val="both"/>
        <w:rPr>
          <w:rFonts w:ascii="Verdana" w:eastAsia="Calibri" w:hAnsi="Verdana" w:cs="Arial"/>
        </w:rPr>
      </w:pPr>
    </w:p>
    <w:p w14:paraId="1DFACAB3" w14:textId="77777777" w:rsidR="00454A9A" w:rsidRPr="00D95D35" w:rsidRDefault="00454A9A" w:rsidP="00454A9A">
      <w:pPr>
        <w:widowControl w:val="0"/>
        <w:autoSpaceDE w:val="0"/>
        <w:autoSpaceDN w:val="0"/>
        <w:spacing w:after="0" w:line="276" w:lineRule="auto"/>
        <w:jc w:val="both"/>
        <w:rPr>
          <w:rFonts w:ascii="Verdana" w:eastAsia="Calibri" w:hAnsi="Verdana" w:cs="Arial"/>
          <w:lang w:val="es-ES_tradnl"/>
        </w:rPr>
      </w:pPr>
      <w:r w:rsidRPr="00D95D35">
        <w:rPr>
          <w:rFonts w:ascii="Verdana" w:eastAsia="Calibri" w:hAnsi="Verdana" w:cs="Arial"/>
        </w:rPr>
        <w:t xml:space="preserve">Este concepto tiene el alcance previsto en el artículo 28 del Código de Procedimiento Administrativo y de lo Contencioso Administrativo </w:t>
      </w:r>
      <w:r w:rsidRPr="00D95D35">
        <w:rPr>
          <w:rFonts w:ascii="Verdana" w:eastAsia="Calibri" w:hAnsi="Verdana" w:cs="Arial"/>
          <w:lang w:val="es-ES_tradnl"/>
        </w:rPr>
        <w:t>y las expresiones aquí utilizadas con mayúscula inicial deben ser entendidas con el significado que les otorga el artículo 2.2.1.1.1.3.1. del Decreto 1082 de 2015.</w:t>
      </w:r>
    </w:p>
    <w:p w14:paraId="393EFCF6" w14:textId="77777777" w:rsidR="00454A9A" w:rsidRPr="00D95D35" w:rsidRDefault="00454A9A" w:rsidP="00454A9A">
      <w:pPr>
        <w:widowControl w:val="0"/>
        <w:autoSpaceDE w:val="0"/>
        <w:autoSpaceDN w:val="0"/>
        <w:spacing w:after="0" w:line="276" w:lineRule="auto"/>
        <w:jc w:val="both"/>
        <w:rPr>
          <w:rFonts w:ascii="Verdana" w:eastAsia="Calibri" w:hAnsi="Verdana" w:cs="Arial"/>
        </w:rPr>
      </w:pPr>
    </w:p>
    <w:p w14:paraId="407B2B3B" w14:textId="77777777" w:rsidR="00454A9A" w:rsidRPr="00D95D35" w:rsidRDefault="00454A9A" w:rsidP="00454A9A">
      <w:pPr>
        <w:spacing w:after="0" w:line="240" w:lineRule="auto"/>
        <w:rPr>
          <w:rFonts w:ascii="Verdana" w:eastAsia="Calibri" w:hAnsi="Verdana" w:cs="Arial"/>
          <w:lang w:eastAsia="es-CO"/>
        </w:rPr>
      </w:pPr>
      <w:r w:rsidRPr="00D95D35">
        <w:rPr>
          <w:rFonts w:ascii="Verdana" w:eastAsia="Times New Roman" w:hAnsi="Verdana" w:cs="Arial"/>
          <w:lang w:eastAsia="es-CO"/>
        </w:rPr>
        <w:t>Atentamente,</w:t>
      </w:r>
      <w:r w:rsidRPr="00D95D35">
        <w:rPr>
          <w:rFonts w:ascii="Verdana" w:eastAsia="Calibri" w:hAnsi="Verdana" w:cs="Arial"/>
          <w:lang w:eastAsia="es-CO"/>
        </w:rPr>
        <w:t xml:space="preserve"> </w:t>
      </w:r>
    </w:p>
    <w:p w14:paraId="5036434F" w14:textId="788C09F5" w:rsidR="00454A9A" w:rsidRPr="00113DC0" w:rsidRDefault="004C2EA9" w:rsidP="00454A9A">
      <w:pPr>
        <w:spacing w:line="276" w:lineRule="auto"/>
        <w:jc w:val="center"/>
        <w:rPr>
          <w:rFonts w:ascii="Century Gothic" w:hAnsi="Century Gothic"/>
          <w:noProof/>
        </w:rPr>
      </w:pPr>
      <w:r w:rsidRPr="002C3AD6">
        <w:rPr>
          <w:rFonts w:ascii="Century Gothic" w:hAnsi="Century Gothic"/>
          <w:noProof/>
        </w:rPr>
        <w:drawing>
          <wp:inline distT="0" distB="0" distL="0" distR="0" wp14:anchorId="62FE1229" wp14:editId="480B983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54A9A" w:rsidRPr="00113DC0" w14:paraId="50928173" w14:textId="77777777" w:rsidTr="001336AC">
        <w:trPr>
          <w:trHeight w:val="315"/>
        </w:trPr>
        <w:tc>
          <w:tcPr>
            <w:tcW w:w="893" w:type="dxa"/>
            <w:vAlign w:val="center"/>
            <w:hideMark/>
          </w:tcPr>
          <w:p w14:paraId="4CC11579" w14:textId="77777777" w:rsidR="00454A9A" w:rsidRPr="00113DC0" w:rsidRDefault="00454A9A" w:rsidP="001336AC">
            <w:pPr>
              <w:spacing w:line="276" w:lineRule="auto"/>
              <w:contextualSpacing/>
              <w:rPr>
                <w:rFonts w:ascii="Verdana" w:eastAsia="Calibri" w:hAnsi="Verdana" w:cs="Arial"/>
                <w:sz w:val="16"/>
                <w:szCs w:val="16"/>
                <w:lang w:val="es-ES_tradnl"/>
              </w:rPr>
            </w:pPr>
            <w:r w:rsidRPr="00113DC0">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661B2C0" w14:textId="77777777" w:rsidR="00454A9A" w:rsidRPr="00113DC0" w:rsidRDefault="00454A9A" w:rsidP="001336AC">
            <w:pPr>
              <w:jc w:val="both"/>
              <w:rPr>
                <w:rFonts w:ascii="Verdana" w:hAnsi="Verdana" w:cs="Arial"/>
                <w:sz w:val="16"/>
                <w:szCs w:val="16"/>
              </w:rPr>
            </w:pPr>
          </w:p>
          <w:tbl>
            <w:tblPr>
              <w:tblW w:w="4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tblGrid>
            <w:tr w:rsidR="00454A9A" w:rsidRPr="00113DC0" w14:paraId="6B1076FE" w14:textId="77777777" w:rsidTr="001336AC">
              <w:trPr>
                <w:trHeight w:val="45"/>
              </w:trPr>
              <w:tc>
                <w:tcPr>
                  <w:tcW w:w="4410" w:type="dxa"/>
                  <w:tcBorders>
                    <w:top w:val="dotted" w:sz="6" w:space="0" w:color="7F7F7F"/>
                    <w:left w:val="nil"/>
                    <w:bottom w:val="dotted" w:sz="6" w:space="0" w:color="7F7F7F"/>
                    <w:right w:val="nil"/>
                  </w:tcBorders>
                  <w:shd w:val="clear" w:color="auto" w:fill="auto"/>
                  <w:vAlign w:val="center"/>
                  <w:hideMark/>
                </w:tcPr>
                <w:p w14:paraId="0D1349E4" w14:textId="77777777" w:rsidR="00454A9A" w:rsidRPr="00113DC0" w:rsidRDefault="00454A9A" w:rsidP="001336AC">
                  <w:pPr>
                    <w:spacing w:after="0" w:line="240" w:lineRule="auto"/>
                    <w:textAlignment w:val="baseline"/>
                    <w:rPr>
                      <w:rFonts w:ascii="Verdana" w:eastAsia="Times New Roman" w:hAnsi="Verdana" w:cs="Arial"/>
                      <w:sz w:val="16"/>
                      <w:szCs w:val="16"/>
                      <w:lang w:val="es-MX" w:eastAsia="es-CO"/>
                    </w:rPr>
                  </w:pPr>
                  <w:r>
                    <w:rPr>
                      <w:rFonts w:ascii="Verdana" w:eastAsia="Times New Roman" w:hAnsi="Verdana" w:cs="Arial"/>
                      <w:sz w:val="16"/>
                      <w:szCs w:val="16"/>
                      <w:lang w:val="es-MX" w:eastAsia="es-CO"/>
                    </w:rPr>
                    <w:t>Richard Andrés Montenegro Siefken</w:t>
                  </w:r>
                </w:p>
                <w:p w14:paraId="38067703" w14:textId="77777777" w:rsidR="00454A9A" w:rsidRPr="00113DC0" w:rsidRDefault="00454A9A" w:rsidP="001336AC">
                  <w:pPr>
                    <w:spacing w:after="0" w:line="240" w:lineRule="auto"/>
                    <w:textAlignment w:val="baseline"/>
                    <w:rPr>
                      <w:rFonts w:ascii="Verdana" w:eastAsia="Times New Roman" w:hAnsi="Verdana" w:cs="Arial"/>
                      <w:sz w:val="16"/>
                      <w:szCs w:val="16"/>
                      <w:lang w:val="es-MX" w:eastAsia="es-CO"/>
                    </w:rPr>
                  </w:pPr>
                  <w:r>
                    <w:rPr>
                      <w:rFonts w:ascii="Verdana" w:eastAsia="Times New Roman" w:hAnsi="Verdana" w:cs="Arial"/>
                      <w:sz w:val="16"/>
                      <w:szCs w:val="16"/>
                      <w:lang w:val="es-MX" w:eastAsia="es-CO"/>
                    </w:rPr>
                    <w:t>Contratista</w:t>
                  </w:r>
                  <w:r w:rsidRPr="00113DC0">
                    <w:rPr>
                      <w:rFonts w:ascii="Verdana" w:eastAsia="Times New Roman" w:hAnsi="Verdana" w:cs="Arial"/>
                      <w:sz w:val="16"/>
                      <w:szCs w:val="16"/>
                      <w:lang w:val="es-MX" w:eastAsia="es-CO"/>
                    </w:rPr>
                    <w:t xml:space="preserve"> de la Subdirección de Gestión Contractual</w:t>
                  </w:r>
                </w:p>
              </w:tc>
            </w:tr>
          </w:tbl>
          <w:p w14:paraId="71B1E45C" w14:textId="77777777" w:rsidR="00454A9A" w:rsidRPr="00113DC0" w:rsidRDefault="00454A9A" w:rsidP="001336AC">
            <w:pPr>
              <w:spacing w:line="276" w:lineRule="auto"/>
              <w:contextualSpacing/>
              <w:rPr>
                <w:rFonts w:ascii="Verdana" w:eastAsia="Calibri" w:hAnsi="Verdana" w:cs="Arial"/>
                <w:sz w:val="16"/>
                <w:szCs w:val="16"/>
                <w:lang w:val="es-MX"/>
              </w:rPr>
            </w:pPr>
          </w:p>
        </w:tc>
      </w:tr>
      <w:tr w:rsidR="00454A9A" w:rsidRPr="00113DC0" w14:paraId="30825BC9" w14:textId="77777777" w:rsidTr="001336AC">
        <w:trPr>
          <w:trHeight w:val="330"/>
        </w:trPr>
        <w:tc>
          <w:tcPr>
            <w:tcW w:w="893" w:type="dxa"/>
            <w:vAlign w:val="center"/>
            <w:hideMark/>
          </w:tcPr>
          <w:p w14:paraId="1F7D0580" w14:textId="77777777" w:rsidR="00454A9A" w:rsidRPr="00113DC0" w:rsidRDefault="00454A9A" w:rsidP="001336AC">
            <w:pPr>
              <w:spacing w:line="276" w:lineRule="auto"/>
              <w:contextualSpacing/>
              <w:rPr>
                <w:rFonts w:ascii="Verdana" w:eastAsia="Calibri" w:hAnsi="Verdana" w:cs="Arial"/>
                <w:sz w:val="16"/>
                <w:szCs w:val="16"/>
                <w:lang w:val="es-ES_tradnl"/>
              </w:rPr>
            </w:pPr>
            <w:r w:rsidRPr="00113DC0">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A48C87C" w14:textId="77777777" w:rsidR="00454A9A" w:rsidRPr="00113DC0" w:rsidRDefault="00454A9A" w:rsidP="001336AC">
            <w:pPr>
              <w:pStyle w:val="paragraph"/>
              <w:spacing w:before="0" w:beforeAutospacing="0" w:after="0" w:afterAutospacing="0" w:line="276" w:lineRule="auto"/>
              <w:contextualSpacing/>
              <w:textAlignment w:val="baseline"/>
              <w:rPr>
                <w:rFonts w:ascii="Verdana" w:eastAsia="Calibri" w:hAnsi="Verdana" w:cs="Arial"/>
                <w:sz w:val="16"/>
                <w:szCs w:val="16"/>
                <w:lang w:val="es-ES" w:eastAsia="en-US"/>
              </w:rPr>
            </w:pPr>
            <w:r>
              <w:rPr>
                <w:rFonts w:ascii="Verdana" w:eastAsia="Calibri" w:hAnsi="Verdana" w:cs="Arial"/>
                <w:sz w:val="16"/>
                <w:szCs w:val="16"/>
                <w:lang w:val="es-ES" w:eastAsia="en-US"/>
              </w:rPr>
              <w:t>Juan Carlos González Vázquez</w:t>
            </w:r>
          </w:p>
          <w:p w14:paraId="753FED5F" w14:textId="77777777" w:rsidR="00454A9A" w:rsidRPr="00113DC0" w:rsidRDefault="00454A9A" w:rsidP="001336AC">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113DC0">
              <w:rPr>
                <w:rFonts w:ascii="Verdana" w:eastAsia="Calibri" w:hAnsi="Verdana"/>
                <w:sz w:val="16"/>
                <w:szCs w:val="16"/>
                <w:lang w:val="es-ES_tradnl" w:eastAsia="en-US"/>
              </w:rPr>
              <w:t>Contratista de la Subdirección de Gestión Contractual </w:t>
            </w:r>
          </w:p>
        </w:tc>
      </w:tr>
      <w:tr w:rsidR="00454A9A" w:rsidRPr="00113DC0" w14:paraId="7E7D0EFC" w14:textId="77777777" w:rsidTr="001336AC">
        <w:trPr>
          <w:trHeight w:val="300"/>
        </w:trPr>
        <w:tc>
          <w:tcPr>
            <w:tcW w:w="893" w:type="dxa"/>
            <w:vAlign w:val="center"/>
          </w:tcPr>
          <w:p w14:paraId="1407F4AE" w14:textId="77777777" w:rsidR="00454A9A" w:rsidRPr="00113DC0" w:rsidRDefault="00454A9A" w:rsidP="001336AC">
            <w:pPr>
              <w:spacing w:line="276" w:lineRule="auto"/>
              <w:contextualSpacing/>
              <w:rPr>
                <w:rFonts w:ascii="Verdana" w:eastAsia="Calibri" w:hAnsi="Verdana" w:cs="Arial"/>
                <w:sz w:val="16"/>
                <w:szCs w:val="16"/>
                <w:lang w:val="es-ES_tradnl"/>
              </w:rPr>
            </w:pPr>
            <w:r w:rsidRPr="00113DC0">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04275B4" w14:textId="77777777" w:rsidR="00454A9A" w:rsidRPr="00113DC0" w:rsidRDefault="00454A9A" w:rsidP="001336AC">
            <w:pPr>
              <w:spacing w:line="276" w:lineRule="auto"/>
              <w:contextualSpacing/>
              <w:rPr>
                <w:rFonts w:ascii="Verdana" w:eastAsia="Calibri" w:hAnsi="Verdana" w:cs="Arial"/>
                <w:sz w:val="16"/>
                <w:szCs w:val="16"/>
                <w:lang w:val="es-ES"/>
              </w:rPr>
            </w:pPr>
            <w:r w:rsidRPr="00113DC0">
              <w:rPr>
                <w:rFonts w:ascii="Verdana" w:eastAsia="Calibri" w:hAnsi="Verdana" w:cs="Arial"/>
                <w:sz w:val="16"/>
                <w:szCs w:val="16"/>
                <w:lang w:val="es-ES"/>
              </w:rPr>
              <w:t xml:space="preserve">Carolina Quintero </w:t>
            </w:r>
            <w:proofErr w:type="spellStart"/>
            <w:r w:rsidRPr="00113DC0">
              <w:rPr>
                <w:rFonts w:ascii="Verdana" w:eastAsia="Calibri" w:hAnsi="Verdana" w:cs="Arial"/>
                <w:sz w:val="16"/>
                <w:szCs w:val="16"/>
                <w:lang w:val="es-ES"/>
              </w:rPr>
              <w:t>Gacharná</w:t>
            </w:r>
            <w:proofErr w:type="spellEnd"/>
          </w:p>
          <w:p w14:paraId="60AA4099" w14:textId="77777777" w:rsidR="00454A9A" w:rsidRPr="00113DC0" w:rsidRDefault="00454A9A" w:rsidP="001336AC">
            <w:pPr>
              <w:spacing w:line="276" w:lineRule="auto"/>
              <w:contextualSpacing/>
              <w:rPr>
                <w:rFonts w:ascii="Verdana" w:eastAsia="Calibri" w:hAnsi="Verdana" w:cs="Arial"/>
                <w:sz w:val="16"/>
                <w:szCs w:val="16"/>
                <w:lang w:val="es-ES_tradnl"/>
              </w:rPr>
            </w:pPr>
            <w:r w:rsidRPr="00113DC0">
              <w:rPr>
                <w:rFonts w:ascii="Verdana" w:eastAsia="Calibri" w:hAnsi="Verdana" w:cs="Arial"/>
                <w:sz w:val="16"/>
                <w:szCs w:val="16"/>
                <w:lang w:val="es-ES_tradnl"/>
              </w:rPr>
              <w:t>Subdirectora de Gestión Contractual ANCP – CCE</w:t>
            </w:r>
          </w:p>
        </w:tc>
      </w:tr>
    </w:tbl>
    <w:p w14:paraId="1EB4DED9" w14:textId="77777777" w:rsidR="00454A9A" w:rsidRPr="00113DC0" w:rsidRDefault="00454A9A" w:rsidP="00454A9A">
      <w:pPr>
        <w:spacing w:after="0"/>
        <w:rPr>
          <w:rFonts w:ascii="Verdana" w:hAnsi="Verdana"/>
          <w:sz w:val="16"/>
          <w:szCs w:val="16"/>
        </w:rPr>
      </w:pPr>
    </w:p>
    <w:p w14:paraId="1BD5E3B5" w14:textId="77777777" w:rsidR="00454A9A" w:rsidRPr="00CB1B40" w:rsidRDefault="00454A9A" w:rsidP="00454A9A"/>
    <w:p w14:paraId="778D450E" w14:textId="77777777" w:rsidR="00454A9A" w:rsidRPr="00EE2EF9" w:rsidRDefault="00454A9A" w:rsidP="00454A9A">
      <w:pPr>
        <w:widowControl w:val="0"/>
        <w:autoSpaceDE w:val="0"/>
        <w:autoSpaceDN w:val="0"/>
        <w:spacing w:after="0" w:line="276" w:lineRule="auto"/>
        <w:jc w:val="both"/>
        <w:rPr>
          <w:rStyle w:val="normaltextrun"/>
          <w:rFonts w:ascii="Verdana" w:hAnsi="Verdana" w:cs="Arial"/>
          <w:color w:val="7030A0"/>
          <w:shd w:val="clear" w:color="auto" w:fill="FFFFFF"/>
        </w:rPr>
      </w:pPr>
    </w:p>
    <w:p w14:paraId="019F3408" w14:textId="77777777" w:rsidR="00454A9A" w:rsidRDefault="00454A9A" w:rsidP="00454A9A">
      <w:pPr>
        <w:widowControl w:val="0"/>
        <w:autoSpaceDE w:val="0"/>
        <w:autoSpaceDN w:val="0"/>
        <w:spacing w:after="0" w:line="276" w:lineRule="auto"/>
        <w:jc w:val="both"/>
        <w:rPr>
          <w:rStyle w:val="normaltextrun"/>
          <w:rFonts w:ascii="Verdana" w:hAnsi="Verdana" w:cs="Arial"/>
          <w:color w:val="7030A0"/>
          <w:shd w:val="clear" w:color="auto" w:fill="FFFFFF"/>
          <w:lang w:val="es-ES"/>
        </w:rPr>
      </w:pPr>
    </w:p>
    <w:bookmarkEnd w:id="0"/>
    <w:p w14:paraId="539BD9D1" w14:textId="77777777" w:rsidR="00454A9A" w:rsidRPr="00722914" w:rsidRDefault="00454A9A" w:rsidP="00454A9A">
      <w:pPr>
        <w:spacing w:after="0"/>
        <w:rPr>
          <w:rFonts w:ascii="Verdana" w:hAnsi="Verdana"/>
          <w:lang w:val="es-ES"/>
        </w:rPr>
      </w:pPr>
    </w:p>
    <w:p w14:paraId="3900974D" w14:textId="77777777" w:rsidR="003D5B0D" w:rsidRPr="00454A9A" w:rsidRDefault="003D5B0D" w:rsidP="005F46C3">
      <w:pPr>
        <w:rPr>
          <w:lang w:val="es-ES"/>
        </w:rPr>
      </w:pPr>
    </w:p>
    <w:sectPr w:rsidR="003D5B0D" w:rsidRPr="00454A9A"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A639" w14:textId="77777777" w:rsidR="0053597B" w:rsidRDefault="0053597B" w:rsidP="004A1847">
      <w:pPr>
        <w:spacing w:after="0" w:line="240" w:lineRule="auto"/>
      </w:pPr>
      <w:r>
        <w:separator/>
      </w:r>
    </w:p>
  </w:endnote>
  <w:endnote w:type="continuationSeparator" w:id="0">
    <w:p w14:paraId="6E36EBB9" w14:textId="77777777" w:rsidR="0053597B" w:rsidRDefault="0053597B" w:rsidP="004A1847">
      <w:pPr>
        <w:spacing w:after="0" w:line="240" w:lineRule="auto"/>
      </w:pPr>
      <w:r>
        <w:continuationSeparator/>
      </w:r>
    </w:p>
  </w:endnote>
  <w:endnote w:type="continuationNotice" w:id="1">
    <w:p w14:paraId="6AB6CB73" w14:textId="77777777" w:rsidR="0053597B" w:rsidRDefault="00535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F717" w14:textId="77777777" w:rsidR="0053597B" w:rsidRDefault="0053597B" w:rsidP="004A1847">
      <w:pPr>
        <w:spacing w:after="0" w:line="240" w:lineRule="auto"/>
      </w:pPr>
      <w:r>
        <w:separator/>
      </w:r>
    </w:p>
  </w:footnote>
  <w:footnote w:type="continuationSeparator" w:id="0">
    <w:p w14:paraId="59757E79" w14:textId="77777777" w:rsidR="0053597B" w:rsidRDefault="0053597B" w:rsidP="004A1847">
      <w:pPr>
        <w:spacing w:after="0" w:line="240" w:lineRule="auto"/>
      </w:pPr>
      <w:r>
        <w:continuationSeparator/>
      </w:r>
    </w:p>
  </w:footnote>
  <w:footnote w:type="continuationNotice" w:id="1">
    <w:p w14:paraId="0CEE9589" w14:textId="77777777" w:rsidR="0053597B" w:rsidRDefault="0053597B">
      <w:pPr>
        <w:spacing w:after="0" w:line="240" w:lineRule="auto"/>
      </w:pPr>
    </w:p>
  </w:footnote>
  <w:footnote w:id="2">
    <w:p w14:paraId="3E3B157F" w14:textId="77777777" w:rsidR="00454A9A" w:rsidRPr="00B045B1" w:rsidRDefault="00454A9A" w:rsidP="00454A9A">
      <w:pPr>
        <w:spacing w:after="0" w:line="240" w:lineRule="auto"/>
        <w:ind w:right="49"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7BB48DFD" w14:textId="77777777" w:rsidR="00454A9A" w:rsidRPr="00524866" w:rsidRDefault="00454A9A" w:rsidP="00454A9A">
      <w:pPr>
        <w:pStyle w:val="Textonotapie"/>
        <w:ind w:right="49"/>
        <w:jc w:val="both"/>
        <w:rPr>
          <w:rFonts w:ascii="Arial" w:hAnsi="Arial" w:cs="Arial"/>
          <w:sz w:val="19"/>
          <w:szCs w:val="19"/>
          <w:lang w:val="es-CO"/>
        </w:rPr>
      </w:pPr>
    </w:p>
  </w:footnote>
  <w:footnote w:id="3">
    <w:p w14:paraId="58B80F7B" w14:textId="77777777" w:rsidR="00454A9A" w:rsidRDefault="00454A9A" w:rsidP="00454A9A">
      <w:pPr>
        <w:pStyle w:val="Textonotapie"/>
        <w:ind w:right="49"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Pr>
          <w:rFonts w:ascii="Arial" w:hAnsi="Arial" w:cs="Arial"/>
          <w:color w:val="000000" w:themeColor="text1"/>
          <w:sz w:val="19"/>
          <w:szCs w:val="19"/>
        </w:rPr>
        <w:t>“</w:t>
      </w:r>
      <w:r w:rsidRPr="00B045B1">
        <w:rPr>
          <w:rFonts w:ascii="Arial" w:hAnsi="Arial" w:cs="Arial"/>
          <w:color w:val="000000" w:themeColor="text1"/>
          <w:sz w:val="19"/>
          <w:szCs w:val="19"/>
        </w:rPr>
        <w:t>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Pr>
          <w:rFonts w:ascii="Arial" w:hAnsi="Arial" w:cs="Arial"/>
          <w:color w:val="000000" w:themeColor="text1"/>
          <w:sz w:val="19"/>
          <w:szCs w:val="19"/>
        </w:rPr>
        <w:t>”</w:t>
      </w:r>
      <w:r w:rsidRPr="00524866">
        <w:rPr>
          <w:rFonts w:ascii="Arial" w:hAnsi="Arial" w:cs="Arial"/>
          <w:color w:val="000000" w:themeColor="text1"/>
          <w:sz w:val="19"/>
          <w:szCs w:val="19"/>
        </w:rPr>
        <w:t>.</w:t>
      </w:r>
      <w:r>
        <w:rPr>
          <w:rFonts w:ascii="Arial" w:hAnsi="Arial" w:cs="Arial"/>
          <w:color w:val="000000" w:themeColor="text1"/>
          <w:sz w:val="19"/>
          <w:szCs w:val="19"/>
        </w:rPr>
        <w:t xml:space="preserve"> </w:t>
      </w:r>
    </w:p>
    <w:p w14:paraId="2836C32B" w14:textId="77777777" w:rsidR="00454A9A" w:rsidRPr="00524866" w:rsidRDefault="00454A9A" w:rsidP="00454A9A">
      <w:pPr>
        <w:pStyle w:val="Textonotapie"/>
        <w:ind w:right="49" w:firstLine="720"/>
        <w:jc w:val="both"/>
        <w:rPr>
          <w:rFonts w:ascii="Arial" w:hAnsi="Arial" w:cs="Arial"/>
          <w:color w:val="000000" w:themeColor="text1"/>
          <w:sz w:val="19"/>
          <w:szCs w:val="19"/>
          <w:lang w:val="es-CO"/>
        </w:rPr>
      </w:pPr>
    </w:p>
  </w:footnote>
  <w:footnote w:id="4">
    <w:p w14:paraId="57EA0829" w14:textId="77777777" w:rsidR="00454A9A" w:rsidRDefault="00454A9A" w:rsidP="00454A9A">
      <w:pPr>
        <w:spacing w:after="0" w:line="240" w:lineRule="auto"/>
        <w:ind w:right="49"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w:t>
      </w:r>
      <w:r>
        <w:rPr>
          <w:rFonts w:ascii="Arial" w:hAnsi="Arial" w:cs="Arial"/>
          <w:color w:val="000000" w:themeColor="text1"/>
          <w:sz w:val="19"/>
          <w:szCs w:val="19"/>
        </w:rPr>
        <w:t xml:space="preserve">. Artículo </w:t>
      </w:r>
      <w:r w:rsidRPr="00524866">
        <w:rPr>
          <w:rFonts w:ascii="Arial" w:hAnsi="Arial" w:cs="Arial"/>
          <w:color w:val="000000" w:themeColor="text1"/>
          <w:sz w:val="19"/>
          <w:szCs w:val="19"/>
        </w:rPr>
        <w:t xml:space="preserve">6: </w:t>
      </w:r>
      <w:r>
        <w:rPr>
          <w:rFonts w:ascii="Arial" w:hAnsi="Arial" w:cs="Arial"/>
          <w:color w:val="000000" w:themeColor="text1"/>
          <w:sz w:val="19"/>
          <w:szCs w:val="19"/>
        </w:rPr>
        <w:t>“</w:t>
      </w:r>
      <w:r w:rsidRPr="00524866">
        <w:rPr>
          <w:rFonts w:ascii="Arial" w:hAnsi="Arial" w:cs="Arial"/>
          <w:color w:val="000000" w:themeColor="text1"/>
          <w:sz w:val="19"/>
          <w:szCs w:val="19"/>
        </w:rPr>
        <w:t>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r>
        <w:rPr>
          <w:rFonts w:ascii="Arial" w:hAnsi="Arial" w:cs="Arial"/>
          <w:color w:val="000000" w:themeColor="text1"/>
          <w:sz w:val="19"/>
          <w:szCs w:val="19"/>
        </w:rPr>
        <w:t>”</w:t>
      </w:r>
      <w:r w:rsidRPr="00524866">
        <w:rPr>
          <w:rFonts w:ascii="Arial" w:hAnsi="Arial" w:cs="Arial"/>
          <w:color w:val="000000" w:themeColor="text1"/>
          <w:sz w:val="19"/>
          <w:szCs w:val="19"/>
        </w:rPr>
        <w:t>.</w:t>
      </w:r>
    </w:p>
    <w:p w14:paraId="4847E7EF" w14:textId="77777777" w:rsidR="00454A9A" w:rsidRPr="00524866" w:rsidRDefault="00454A9A" w:rsidP="00454A9A">
      <w:pPr>
        <w:spacing w:after="0" w:line="240" w:lineRule="auto"/>
        <w:ind w:right="49" w:firstLine="720"/>
        <w:jc w:val="both"/>
        <w:rPr>
          <w:rFonts w:ascii="Arial" w:hAnsi="Arial" w:cs="Arial"/>
          <w:color w:val="000000" w:themeColor="text1"/>
          <w:sz w:val="19"/>
          <w:szCs w:val="19"/>
        </w:rPr>
      </w:pPr>
    </w:p>
  </w:footnote>
  <w:footnote w:id="5">
    <w:p w14:paraId="099989E7" w14:textId="77777777" w:rsidR="00454A9A" w:rsidRPr="00182045" w:rsidRDefault="00454A9A" w:rsidP="00454A9A">
      <w:pPr>
        <w:pStyle w:val="Textonotapie"/>
        <w:ind w:right="49" w:firstLine="708"/>
        <w:jc w:val="both"/>
        <w:rPr>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r>
        <w:rPr>
          <w:rFonts w:ascii="Arial" w:hAnsi="Arial" w:cs="Arial"/>
          <w:sz w:val="19"/>
          <w:szCs w:val="19"/>
          <w:lang w:val="es-CO"/>
        </w:rPr>
        <w:t>.</w:t>
      </w:r>
    </w:p>
  </w:footnote>
  <w:footnote w:id="6">
    <w:p w14:paraId="624C20BB" w14:textId="77777777" w:rsidR="00454A9A" w:rsidRPr="00524866" w:rsidRDefault="00454A9A" w:rsidP="00454A9A">
      <w:pPr>
        <w:pStyle w:val="Textonotapie"/>
        <w:ind w:right="49"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1D90A085" w14:textId="77777777" w:rsidR="00454A9A" w:rsidRPr="00524866" w:rsidRDefault="00454A9A" w:rsidP="00454A9A">
      <w:pPr>
        <w:pStyle w:val="Textonotapie"/>
        <w:ind w:right="49" w:firstLine="709"/>
        <w:jc w:val="both"/>
        <w:rPr>
          <w:rFonts w:ascii="Arial" w:hAnsi="Arial" w:cs="Arial"/>
          <w:sz w:val="19"/>
          <w:szCs w:val="19"/>
          <w:lang w:val="es-CO"/>
        </w:rPr>
      </w:pPr>
    </w:p>
  </w:footnote>
  <w:footnote w:id="7">
    <w:p w14:paraId="506AC816" w14:textId="77777777" w:rsidR="00454A9A" w:rsidRPr="00524866" w:rsidRDefault="00454A9A" w:rsidP="00454A9A">
      <w:pPr>
        <w:pStyle w:val="Textonotapie"/>
        <w:ind w:right="49"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w:t>
      </w:r>
      <w:r>
        <w:rPr>
          <w:rFonts w:ascii="Arial" w:hAnsi="Arial" w:cs="Arial"/>
          <w:color w:val="000000" w:themeColor="text1"/>
          <w:sz w:val="19"/>
          <w:szCs w:val="19"/>
        </w:rPr>
        <w:t>“</w:t>
      </w:r>
      <w:r w:rsidRPr="00B045B1">
        <w:rPr>
          <w:rFonts w:ascii="Arial" w:hAnsi="Arial" w:cs="Arial"/>
          <w:color w:val="000000" w:themeColor="text1"/>
          <w:sz w:val="19"/>
          <w:szCs w:val="19"/>
        </w:rPr>
        <w:t>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r>
        <w:rPr>
          <w:rFonts w:ascii="Arial" w:hAnsi="Arial" w:cs="Arial"/>
          <w:color w:val="000000" w:themeColor="text1"/>
          <w:sz w:val="19"/>
          <w:szCs w:val="19"/>
        </w:rPr>
        <w:t>”</w:t>
      </w:r>
      <w:r w:rsidRPr="00524866">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12195" w:hanging="360"/>
      </w:pPr>
      <w:rPr>
        <w:b/>
        <w:color w:val="000000" w:themeColor="text1"/>
      </w:rPr>
    </w:lvl>
    <w:lvl w:ilvl="1">
      <w:start w:val="2"/>
      <w:numFmt w:val="decimal"/>
      <w:isLgl/>
      <w:lvlText w:val="%1.%2"/>
      <w:lvlJc w:val="left"/>
      <w:pPr>
        <w:ind w:left="11835" w:hanging="360"/>
      </w:pPr>
    </w:lvl>
    <w:lvl w:ilvl="2">
      <w:start w:val="1"/>
      <w:numFmt w:val="decimal"/>
      <w:isLgl/>
      <w:lvlText w:val="%1.%2.%3"/>
      <w:lvlJc w:val="left"/>
      <w:pPr>
        <w:ind w:left="12555" w:hanging="720"/>
      </w:pPr>
    </w:lvl>
    <w:lvl w:ilvl="3">
      <w:start w:val="1"/>
      <w:numFmt w:val="decimal"/>
      <w:isLgl/>
      <w:lvlText w:val="%1.%2.%3.%4"/>
      <w:lvlJc w:val="left"/>
      <w:pPr>
        <w:ind w:left="12555" w:hanging="720"/>
      </w:pPr>
    </w:lvl>
    <w:lvl w:ilvl="4">
      <w:start w:val="1"/>
      <w:numFmt w:val="decimal"/>
      <w:isLgl/>
      <w:lvlText w:val="%1.%2.%3.%4.%5"/>
      <w:lvlJc w:val="left"/>
      <w:pPr>
        <w:ind w:left="12915" w:hanging="1080"/>
      </w:pPr>
    </w:lvl>
    <w:lvl w:ilvl="5">
      <w:start w:val="1"/>
      <w:numFmt w:val="decimal"/>
      <w:isLgl/>
      <w:lvlText w:val="%1.%2.%3.%4.%5.%6"/>
      <w:lvlJc w:val="left"/>
      <w:pPr>
        <w:ind w:left="12915" w:hanging="1080"/>
      </w:pPr>
    </w:lvl>
    <w:lvl w:ilvl="6">
      <w:start w:val="1"/>
      <w:numFmt w:val="decimal"/>
      <w:isLgl/>
      <w:lvlText w:val="%1.%2.%3.%4.%5.%6.%7"/>
      <w:lvlJc w:val="left"/>
      <w:pPr>
        <w:ind w:left="13275" w:hanging="1440"/>
      </w:pPr>
    </w:lvl>
    <w:lvl w:ilvl="7">
      <w:start w:val="1"/>
      <w:numFmt w:val="decimal"/>
      <w:isLgl/>
      <w:lvlText w:val="%1.%2.%3.%4.%5.%6.%7.%8"/>
      <w:lvlJc w:val="left"/>
      <w:pPr>
        <w:ind w:left="13275" w:hanging="1440"/>
      </w:pPr>
    </w:lvl>
    <w:lvl w:ilvl="8">
      <w:start w:val="1"/>
      <w:numFmt w:val="decimal"/>
      <w:isLgl/>
      <w:lvlText w:val="%1.%2.%3.%4.%5.%6.%7.%8.%9"/>
      <w:lvlJc w:val="left"/>
      <w:pPr>
        <w:ind w:left="13635"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B163F27"/>
    <w:multiLevelType w:val="hybridMultilevel"/>
    <w:tmpl w:val="0FD01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5ECC2A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4842CE"/>
    <w:multiLevelType w:val="hybridMultilevel"/>
    <w:tmpl w:val="6054E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C739ED"/>
    <w:multiLevelType w:val="hybridMultilevel"/>
    <w:tmpl w:val="0030A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DD3938"/>
    <w:multiLevelType w:val="hybridMultilevel"/>
    <w:tmpl w:val="D3645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00B48"/>
    <w:multiLevelType w:val="hybridMultilevel"/>
    <w:tmpl w:val="EACAF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6"/>
  </w:num>
  <w:num w:numId="8" w16cid:durableId="152644682">
    <w:abstractNumId w:val="16"/>
  </w:num>
  <w:num w:numId="9" w16cid:durableId="1317221377">
    <w:abstractNumId w:val="8"/>
  </w:num>
  <w:num w:numId="10" w16cid:durableId="1471245386">
    <w:abstractNumId w:val="15"/>
  </w:num>
  <w:num w:numId="11" w16cid:durableId="289172385">
    <w:abstractNumId w:val="9"/>
  </w:num>
  <w:num w:numId="12" w16cid:durableId="1470781324">
    <w:abstractNumId w:val="1"/>
  </w:num>
  <w:num w:numId="13" w16cid:durableId="1512908409">
    <w:abstractNumId w:val="4"/>
  </w:num>
  <w:num w:numId="14" w16cid:durableId="895897244">
    <w:abstractNumId w:val="19"/>
  </w:num>
  <w:num w:numId="15" w16cid:durableId="390349800">
    <w:abstractNumId w:val="14"/>
  </w:num>
  <w:num w:numId="16" w16cid:durableId="341274352">
    <w:abstractNumId w:val="0"/>
  </w:num>
  <w:num w:numId="17" w16cid:durableId="679089576">
    <w:abstractNumId w:val="10"/>
  </w:num>
  <w:num w:numId="18" w16cid:durableId="1706978367">
    <w:abstractNumId w:val="12"/>
  </w:num>
  <w:num w:numId="19" w16cid:durableId="737822126">
    <w:abstractNumId w:val="11"/>
  </w:num>
  <w:num w:numId="20" w16cid:durableId="50740679">
    <w:abstractNumId w:val="3"/>
  </w:num>
  <w:num w:numId="21" w16cid:durableId="470833680">
    <w:abstractNumId w:val="17"/>
  </w:num>
  <w:num w:numId="22" w16cid:durableId="15506109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D2C0E"/>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9404E"/>
    <w:rsid w:val="003A779E"/>
    <w:rsid w:val="003D0F4D"/>
    <w:rsid w:val="003D5B0D"/>
    <w:rsid w:val="003E0499"/>
    <w:rsid w:val="003F3941"/>
    <w:rsid w:val="003F688C"/>
    <w:rsid w:val="00406575"/>
    <w:rsid w:val="00414C74"/>
    <w:rsid w:val="0042722E"/>
    <w:rsid w:val="0044528D"/>
    <w:rsid w:val="00454A9A"/>
    <w:rsid w:val="0045576F"/>
    <w:rsid w:val="004A1847"/>
    <w:rsid w:val="004A305D"/>
    <w:rsid w:val="004C2EA9"/>
    <w:rsid w:val="004C5887"/>
    <w:rsid w:val="004F21C4"/>
    <w:rsid w:val="004F685F"/>
    <w:rsid w:val="0053597B"/>
    <w:rsid w:val="005566E8"/>
    <w:rsid w:val="00574867"/>
    <w:rsid w:val="00591460"/>
    <w:rsid w:val="005B3816"/>
    <w:rsid w:val="005C3777"/>
    <w:rsid w:val="005C5CDC"/>
    <w:rsid w:val="005D476C"/>
    <w:rsid w:val="005F46C3"/>
    <w:rsid w:val="00616B48"/>
    <w:rsid w:val="006219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B2391"/>
    <w:rsid w:val="008D180B"/>
    <w:rsid w:val="008F0EA7"/>
    <w:rsid w:val="00923EEF"/>
    <w:rsid w:val="00923FE1"/>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257FC"/>
    <w:rsid w:val="00A33C78"/>
    <w:rsid w:val="00AB0ADB"/>
    <w:rsid w:val="00B01B1A"/>
    <w:rsid w:val="00B36AC5"/>
    <w:rsid w:val="00B66319"/>
    <w:rsid w:val="00B72CD3"/>
    <w:rsid w:val="00B72FFF"/>
    <w:rsid w:val="00BC3D36"/>
    <w:rsid w:val="00BD7F72"/>
    <w:rsid w:val="00C04FB3"/>
    <w:rsid w:val="00C330EB"/>
    <w:rsid w:val="00C41061"/>
    <w:rsid w:val="00C754BE"/>
    <w:rsid w:val="00C76B1C"/>
    <w:rsid w:val="00CB6357"/>
    <w:rsid w:val="00CC1B26"/>
    <w:rsid w:val="00D423A2"/>
    <w:rsid w:val="00D520D8"/>
    <w:rsid w:val="00D63AC2"/>
    <w:rsid w:val="00D7383B"/>
    <w:rsid w:val="00DA231B"/>
    <w:rsid w:val="00DC39FC"/>
    <w:rsid w:val="00DF5254"/>
    <w:rsid w:val="00E05585"/>
    <w:rsid w:val="00E16408"/>
    <w:rsid w:val="00E20894"/>
    <w:rsid w:val="00E245AB"/>
    <w:rsid w:val="00E2764C"/>
    <w:rsid w:val="00E27F2E"/>
    <w:rsid w:val="00E50AFE"/>
    <w:rsid w:val="00E75C92"/>
    <w:rsid w:val="00E771DC"/>
    <w:rsid w:val="00E8772A"/>
    <w:rsid w:val="00E90F6B"/>
    <w:rsid w:val="00E92C27"/>
    <w:rsid w:val="00EA0E3D"/>
    <w:rsid w:val="00EB2EF4"/>
    <w:rsid w:val="00EC38A7"/>
    <w:rsid w:val="00ED7384"/>
    <w:rsid w:val="00EE1AA8"/>
    <w:rsid w:val="00F31EDC"/>
    <w:rsid w:val="00F462B3"/>
    <w:rsid w:val="00F5664F"/>
    <w:rsid w:val="00F666C4"/>
    <w:rsid w:val="00F76AFC"/>
    <w:rsid w:val="00FA47C0"/>
    <w:rsid w:val="00FB5DD1"/>
    <w:rsid w:val="00FC2B5D"/>
    <w:rsid w:val="00FF1449"/>
    <w:rsid w:val="016B80F1"/>
    <w:rsid w:val="02A16F42"/>
    <w:rsid w:val="042A9495"/>
    <w:rsid w:val="0441EE79"/>
    <w:rsid w:val="04E58340"/>
    <w:rsid w:val="04E84D7E"/>
    <w:rsid w:val="072B6AE4"/>
    <w:rsid w:val="09AFDD2E"/>
    <w:rsid w:val="0AFCD898"/>
    <w:rsid w:val="0E176316"/>
    <w:rsid w:val="0F479A5A"/>
    <w:rsid w:val="13767C70"/>
    <w:rsid w:val="14611610"/>
    <w:rsid w:val="18256F25"/>
    <w:rsid w:val="195CDF60"/>
    <w:rsid w:val="1B2C8955"/>
    <w:rsid w:val="1C407718"/>
    <w:rsid w:val="1CCAF090"/>
    <w:rsid w:val="1D618456"/>
    <w:rsid w:val="1EF5B34E"/>
    <w:rsid w:val="2168C7F7"/>
    <w:rsid w:val="234BF503"/>
    <w:rsid w:val="239FD09C"/>
    <w:rsid w:val="249418BB"/>
    <w:rsid w:val="29C1931D"/>
    <w:rsid w:val="2B56113A"/>
    <w:rsid w:val="2CBA9A8F"/>
    <w:rsid w:val="2D3B504A"/>
    <w:rsid w:val="2F3402E8"/>
    <w:rsid w:val="30495114"/>
    <w:rsid w:val="3608DEE5"/>
    <w:rsid w:val="38677E85"/>
    <w:rsid w:val="3B7C9FB2"/>
    <w:rsid w:val="3F948F93"/>
    <w:rsid w:val="440A1FC8"/>
    <w:rsid w:val="4505CB08"/>
    <w:rsid w:val="46C9968D"/>
    <w:rsid w:val="4814639F"/>
    <w:rsid w:val="49B9C7CF"/>
    <w:rsid w:val="4CFD5026"/>
    <w:rsid w:val="4DE53626"/>
    <w:rsid w:val="4FA27E1D"/>
    <w:rsid w:val="4FA6ADC5"/>
    <w:rsid w:val="4FB28451"/>
    <w:rsid w:val="5216A07B"/>
    <w:rsid w:val="532F46C5"/>
    <w:rsid w:val="54126209"/>
    <w:rsid w:val="54CCDAF3"/>
    <w:rsid w:val="562DD94F"/>
    <w:rsid w:val="57D757CF"/>
    <w:rsid w:val="5A698DA1"/>
    <w:rsid w:val="5D1B0347"/>
    <w:rsid w:val="60DF9B29"/>
    <w:rsid w:val="6569E19E"/>
    <w:rsid w:val="6682609A"/>
    <w:rsid w:val="6801DB7A"/>
    <w:rsid w:val="683973E7"/>
    <w:rsid w:val="68D1FD52"/>
    <w:rsid w:val="69F44265"/>
    <w:rsid w:val="6C2E6756"/>
    <w:rsid w:val="72C5FCDB"/>
    <w:rsid w:val="7B5A4E67"/>
    <w:rsid w:val="7E9B331A"/>
    <w:rsid w:val="7F4F1EB4"/>
    <w:rsid w:val="7FACB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54A9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54A9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richard.montenegro%40colombiacompra.gov.co%7C6192b0470d324981a09708dd0a6c28db%7C7b09041e245149d08cb179d5e3d8c1be%7C0%7C0%7C638678181870956554%7CUnknown%7CTWFpbGZsb3d8eyJFbXB0eU1hcGkiOnRydWUsIlYiOiIwLjAuMDAwMCIsIlAiOiJXaW4zMiIsIkFOIjoiTWFpbCIsIldUIjoyfQ%3D%3D%7C0%7C%7C%7C&amp;sdata=8lTLEULy0UvHb76H5sAIfCCgSBS%2FCvPh%2FSoM5lewfus%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richard.montenegro%40colombiacompra.gov.co%7C6192b0470d324981a09708dd0a6c28db%7C7b09041e245149d08cb179d5e3d8c1be%7C0%7C0%7C638678181870888306%7CUnknown%7CTWFpbGZsb3d8eyJFbXB0eU1hcGkiOnRydWUsIlYiOiIwLjAuMDAwMCIsIlAiOiJXaW4zMiIsIkFOIjoiTWFpbCIsIldUIjoyfQ%3D%3D%7C0%7C%7C%7C&amp;sdata=vFqsb63C8BLfx2dCgTygwronTaiHDzRWatf70Osgem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cejodevalledupar@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55DDB-2A04-4CC0-9D55-AAEAA9EA6EFC}"/>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4514</Words>
  <Characters>24832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2024-12-18T16:26:00Z</dcterms:created>
  <dcterms:modified xsi:type="dcterms:W3CDTF">2024-12-18T16:26:00Z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