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EFE70" w14:textId="77777777" w:rsidR="00D0252D" w:rsidRPr="00AF1555" w:rsidRDefault="00D0252D" w:rsidP="00D0252D">
      <w:pPr>
        <w:tabs>
          <w:tab w:val="left" w:pos="709"/>
        </w:tabs>
        <w:spacing w:after="0" w:line="240" w:lineRule="auto"/>
        <w:jc w:val="both"/>
        <w:rPr>
          <w:rFonts w:ascii="Verdana" w:eastAsia="Calibri" w:hAnsi="Verdana" w:cs="Arial"/>
          <w:bCs/>
          <w:sz w:val="20"/>
          <w:szCs w:val="20"/>
          <w:lang w:val="es-ES_tradnl" w:eastAsia="es-ES_tradnl"/>
        </w:rPr>
      </w:pPr>
      <w:bookmarkStart w:id="0" w:name="_Hlk143780582"/>
    </w:p>
    <w:p w14:paraId="5093E6F4" w14:textId="77777777" w:rsidR="00D0252D" w:rsidRPr="00AF1555" w:rsidRDefault="00D0252D" w:rsidP="00D0252D">
      <w:pPr>
        <w:spacing w:after="0" w:line="240" w:lineRule="auto"/>
        <w:jc w:val="both"/>
        <w:rPr>
          <w:rFonts w:ascii="Verdana" w:eastAsia="Calibri" w:hAnsi="Verdana" w:cs="Arial"/>
          <w:b/>
          <w:color w:val="000000" w:themeColor="text1"/>
          <w:lang w:val="es-ES"/>
        </w:rPr>
      </w:pPr>
      <w:r w:rsidRPr="00292198">
        <w:rPr>
          <w:rFonts w:ascii="Verdana" w:eastAsia="Calibri" w:hAnsi="Verdana" w:cs="Arial"/>
          <w:b/>
          <w:color w:val="000000" w:themeColor="text1"/>
          <w:lang w:val="es-ES"/>
        </w:rPr>
        <w:t>PRECIOS UNITARIOS – APU – AIU – Diferencias</w:t>
      </w:r>
      <w:r w:rsidRPr="00AF1555">
        <w:rPr>
          <w:rFonts w:ascii="Verdana" w:eastAsia="Calibri" w:hAnsi="Verdana" w:cs="Arial"/>
          <w:b/>
          <w:color w:val="000000" w:themeColor="text1"/>
          <w:lang w:val="es-ES"/>
        </w:rPr>
        <w:t xml:space="preserve"> </w:t>
      </w:r>
    </w:p>
    <w:p w14:paraId="550FF76E" w14:textId="77777777" w:rsidR="00D0252D" w:rsidRPr="00AF1555" w:rsidRDefault="00D0252D" w:rsidP="00D0252D">
      <w:pPr>
        <w:spacing w:after="0" w:line="240" w:lineRule="auto"/>
        <w:jc w:val="both"/>
        <w:rPr>
          <w:rFonts w:ascii="Verdana" w:eastAsia="Calibri" w:hAnsi="Verdana" w:cs="Arial"/>
          <w:bCs/>
          <w:color w:val="000000" w:themeColor="text1"/>
          <w:sz w:val="20"/>
          <w:szCs w:val="20"/>
          <w:lang w:val="es-ES"/>
        </w:rPr>
      </w:pPr>
    </w:p>
    <w:p w14:paraId="60941A2A" w14:textId="77777777" w:rsidR="00D0252D" w:rsidRPr="00EB0B5F" w:rsidRDefault="00D0252D" w:rsidP="00D0252D">
      <w:pPr>
        <w:spacing w:after="0" w:line="240" w:lineRule="auto"/>
        <w:jc w:val="both"/>
        <w:rPr>
          <w:rFonts w:ascii="Verdana" w:eastAsia="Calibri" w:hAnsi="Verdana" w:cs="Arial"/>
          <w:iCs/>
          <w:color w:val="000000" w:themeColor="text1"/>
          <w:sz w:val="20"/>
          <w:szCs w:val="20"/>
          <w:lang w:eastAsia="es-ES_tradnl"/>
        </w:rPr>
      </w:pPr>
      <w:r>
        <w:rPr>
          <w:rFonts w:ascii="Verdana" w:eastAsia="Calibri" w:hAnsi="Verdana" w:cs="Arial"/>
          <w:bCs/>
          <w:color w:val="000000" w:themeColor="text1"/>
          <w:sz w:val="20"/>
          <w:szCs w:val="20"/>
          <w:lang w:val="es-ES" w:eastAsia="es-ES_tradnl"/>
        </w:rPr>
        <w:t xml:space="preserve">[…] </w:t>
      </w:r>
      <w:r w:rsidRPr="00683260">
        <w:rPr>
          <w:rFonts w:ascii="Verdana" w:eastAsia="Calibri" w:hAnsi="Verdana" w:cs="Arial"/>
          <w:bCs/>
          <w:color w:val="000000" w:themeColor="text1"/>
          <w:sz w:val="20"/>
          <w:szCs w:val="20"/>
          <w:lang w:val="es-ES" w:eastAsia="es-ES_tradnl"/>
        </w:rPr>
        <w:t xml:space="preserve">en los contratos cuyo precio se estructura a partir del sistema de precios unitarios, ha hecho parte de la práctica de los negocios que el contratante le solicite al potencial contratista que separe en su propuesta los </w:t>
      </w:r>
      <w:r w:rsidRPr="00683260">
        <w:rPr>
          <w:rFonts w:ascii="Verdana" w:eastAsia="Calibri" w:hAnsi="Verdana" w:cs="Arial"/>
          <w:bCs/>
          <w:i/>
          <w:iCs/>
          <w:color w:val="000000" w:themeColor="text1"/>
          <w:sz w:val="20"/>
          <w:szCs w:val="20"/>
          <w:lang w:val="es-ES" w:eastAsia="es-ES_tradnl"/>
        </w:rPr>
        <w:t>costos directos</w:t>
      </w:r>
      <w:r w:rsidRPr="00683260">
        <w:rPr>
          <w:rFonts w:ascii="Verdana" w:eastAsia="Calibri" w:hAnsi="Verdana" w:cs="Arial"/>
          <w:bCs/>
          <w:color w:val="000000" w:themeColor="text1"/>
          <w:sz w:val="20"/>
          <w:szCs w:val="20"/>
          <w:lang w:val="es-ES" w:eastAsia="es-ES_tradnl"/>
        </w:rPr>
        <w:t xml:space="preserve"> –es decir, los que están directamente implicados en la ejecución del objeto–, de los </w:t>
      </w:r>
      <w:r w:rsidRPr="00683260">
        <w:rPr>
          <w:rFonts w:ascii="Verdana" w:eastAsia="Calibri" w:hAnsi="Verdana" w:cs="Arial"/>
          <w:bCs/>
          <w:i/>
          <w:iCs/>
          <w:color w:val="000000" w:themeColor="text1"/>
          <w:sz w:val="20"/>
          <w:szCs w:val="20"/>
          <w:lang w:val="es-ES" w:eastAsia="es-ES_tradnl"/>
        </w:rPr>
        <w:t>costos indirectos</w:t>
      </w:r>
      <w:r w:rsidRPr="00683260">
        <w:rPr>
          <w:rFonts w:ascii="Verdana" w:eastAsia="Calibri" w:hAnsi="Verdana" w:cs="Arial"/>
          <w:bCs/>
          <w:color w:val="000000" w:themeColor="text1"/>
          <w:sz w:val="20"/>
          <w:szCs w:val="20"/>
          <w:lang w:val="es-ES" w:eastAsia="es-ES_tradnl"/>
        </w:rPr>
        <w:t xml:space="preserve"> –que equivalen a los rubros que no tienen que ver de manera inmediata con la ejecución de las actividades contractuales, pero que integran también el precio, bien porque constituyen erogaciones administrativas o contingentes para el contratista o bien porque se dirigen a salvaguardar su ganancia–. En tal sentido, mientras que los </w:t>
      </w:r>
      <w:r w:rsidRPr="00683260">
        <w:rPr>
          <w:rFonts w:ascii="Verdana" w:eastAsia="Calibri" w:hAnsi="Verdana" w:cs="Arial"/>
          <w:bCs/>
          <w:i/>
          <w:iCs/>
          <w:color w:val="000000" w:themeColor="text1"/>
          <w:sz w:val="20"/>
          <w:szCs w:val="20"/>
          <w:lang w:val="es-ES" w:eastAsia="es-ES_tradnl"/>
        </w:rPr>
        <w:t>costos directos</w:t>
      </w:r>
      <w:r w:rsidRPr="00683260">
        <w:rPr>
          <w:rFonts w:ascii="Verdana" w:eastAsia="Calibri" w:hAnsi="Verdana" w:cs="Arial"/>
          <w:bCs/>
          <w:color w:val="000000" w:themeColor="text1"/>
          <w:sz w:val="20"/>
          <w:szCs w:val="20"/>
          <w:lang w:val="es-ES" w:eastAsia="es-ES_tradnl"/>
        </w:rPr>
        <w:t xml:space="preserve"> se evidencian en el análisis de precios unitarios –APU–, como la sumatoria de los valores de los </w:t>
      </w:r>
      <w:r w:rsidRPr="00683260">
        <w:rPr>
          <w:rFonts w:ascii="Verdana" w:eastAsia="Calibri" w:hAnsi="Verdana" w:cs="Arial"/>
          <w:bCs/>
          <w:i/>
          <w:iCs/>
          <w:color w:val="000000" w:themeColor="text1"/>
          <w:sz w:val="20"/>
          <w:szCs w:val="20"/>
          <w:lang w:val="es-ES" w:eastAsia="es-ES_tradnl"/>
        </w:rPr>
        <w:t>ítems</w:t>
      </w:r>
      <w:r w:rsidRPr="00683260">
        <w:rPr>
          <w:rFonts w:ascii="Verdana" w:eastAsia="Calibri" w:hAnsi="Verdana" w:cs="Arial"/>
          <w:bCs/>
          <w:color w:val="000000" w:themeColor="text1"/>
          <w:sz w:val="20"/>
          <w:szCs w:val="20"/>
          <w:lang w:val="es-ES" w:eastAsia="es-ES_tradnl"/>
        </w:rPr>
        <w:t xml:space="preserve"> según su unidad de medida, los </w:t>
      </w:r>
      <w:r w:rsidRPr="00683260">
        <w:rPr>
          <w:rFonts w:ascii="Verdana" w:eastAsia="Calibri" w:hAnsi="Verdana" w:cs="Arial"/>
          <w:bCs/>
          <w:i/>
          <w:iCs/>
          <w:color w:val="000000" w:themeColor="text1"/>
          <w:sz w:val="20"/>
          <w:szCs w:val="20"/>
          <w:lang w:val="es-ES" w:eastAsia="es-ES_tradnl"/>
        </w:rPr>
        <w:t>costos indirectos</w:t>
      </w:r>
      <w:r w:rsidRPr="00683260">
        <w:rPr>
          <w:rFonts w:ascii="Verdana" w:eastAsia="Calibri" w:hAnsi="Verdana" w:cs="Arial"/>
          <w:bCs/>
          <w:color w:val="000000" w:themeColor="text1"/>
          <w:sz w:val="20"/>
          <w:szCs w:val="20"/>
          <w:lang w:val="es-ES" w:eastAsia="es-ES_tradnl"/>
        </w:rPr>
        <w:t xml:space="preserve"> se suelen abreviar en las variables que integran el acrónimo AIU –Administración, Imprevistos y Utilidad–</w:t>
      </w:r>
      <w:r w:rsidRPr="00AF1555">
        <w:rPr>
          <w:rFonts w:ascii="Verdana" w:eastAsia="Calibri" w:hAnsi="Verdana" w:cs="Arial"/>
          <w:color w:val="000000" w:themeColor="text1"/>
          <w:sz w:val="20"/>
          <w:szCs w:val="20"/>
          <w:lang w:val="es-ES_tradnl"/>
        </w:rPr>
        <w:t>.</w:t>
      </w:r>
    </w:p>
    <w:p w14:paraId="468EC398" w14:textId="77777777" w:rsidR="00D0252D" w:rsidRDefault="00D0252D" w:rsidP="00E245AB">
      <w:pPr>
        <w:spacing w:after="0"/>
        <w:rPr>
          <w:rFonts w:ascii="Verdana" w:hAnsi="Verdana"/>
        </w:rPr>
      </w:pPr>
    </w:p>
    <w:p w14:paraId="3DC0EB98" w14:textId="77777777" w:rsidR="009E607B" w:rsidRPr="00AF1555" w:rsidRDefault="009E607B" w:rsidP="009E607B">
      <w:pPr>
        <w:spacing w:after="0" w:line="240" w:lineRule="auto"/>
        <w:jc w:val="both"/>
        <w:rPr>
          <w:rFonts w:ascii="Verdana" w:eastAsia="Calibri" w:hAnsi="Verdana" w:cs="Arial"/>
          <w:b/>
          <w:lang w:val="es-ES"/>
        </w:rPr>
      </w:pPr>
      <w:r w:rsidRPr="00292198">
        <w:rPr>
          <w:rFonts w:ascii="Verdana" w:eastAsia="Calibri" w:hAnsi="Verdana" w:cs="Arial"/>
          <w:b/>
          <w:lang w:val="es-ES"/>
        </w:rPr>
        <w:t>AIU – Costos indirectos – Finalidad – Ejecución del contrato</w:t>
      </w:r>
    </w:p>
    <w:p w14:paraId="2D1AECA7" w14:textId="77777777" w:rsidR="009E607B" w:rsidRPr="00AF1555" w:rsidRDefault="009E607B" w:rsidP="009E607B">
      <w:pPr>
        <w:spacing w:after="0" w:line="240" w:lineRule="auto"/>
        <w:jc w:val="both"/>
        <w:rPr>
          <w:rFonts w:ascii="Verdana" w:eastAsia="Calibri" w:hAnsi="Verdana" w:cs="Arial"/>
          <w:b/>
          <w:sz w:val="20"/>
          <w:szCs w:val="20"/>
          <w:lang w:val="es-ES"/>
        </w:rPr>
      </w:pPr>
    </w:p>
    <w:p w14:paraId="7CF5929D" w14:textId="77777777" w:rsidR="009E607B" w:rsidRPr="00683260" w:rsidRDefault="009E607B" w:rsidP="009E607B">
      <w:pPr>
        <w:spacing w:after="0" w:line="240" w:lineRule="auto"/>
        <w:jc w:val="both"/>
        <w:rPr>
          <w:rFonts w:ascii="Verdana" w:eastAsia="Calibri" w:hAnsi="Verdana" w:cs="Arial"/>
          <w:bCs/>
          <w:sz w:val="20"/>
          <w:szCs w:val="20"/>
          <w:lang w:val="es-ES"/>
        </w:rPr>
      </w:pPr>
      <w:r w:rsidRPr="00683260">
        <w:rPr>
          <w:rFonts w:ascii="Verdana" w:eastAsia="Calibri" w:hAnsi="Verdana" w:cs="Arial"/>
          <w:bCs/>
          <w:sz w:val="20"/>
          <w:szCs w:val="20"/>
          <w:lang w:val="es-ES"/>
        </w:rPr>
        <w:t xml:space="preserve">Lo usual, que se advierte en la práctica de las entidades estatales, es que acuden al AIU con la finalidad de establecer un precio más estable, de manera que el valor del contrato consistirá en lo que resulte de afectar los costos directos por el porcentaje, en principio, invariable del AIU, de manera que al valor de los costos directos se le sume el AIU. Así las cosas, las partes asumen los riesgos inherentes a esta forma de pactar el precio, entendiendo aceptados los </w:t>
      </w:r>
      <w:proofErr w:type="spellStart"/>
      <w:r w:rsidRPr="00683260">
        <w:rPr>
          <w:rFonts w:ascii="Verdana" w:eastAsia="Calibri" w:hAnsi="Verdana" w:cs="Arial"/>
          <w:bCs/>
          <w:sz w:val="20"/>
          <w:szCs w:val="20"/>
          <w:lang w:val="es-ES"/>
        </w:rPr>
        <w:t>áleas</w:t>
      </w:r>
      <w:proofErr w:type="spellEnd"/>
      <w:r w:rsidRPr="00683260">
        <w:rPr>
          <w:rFonts w:ascii="Verdana" w:eastAsia="Calibri" w:hAnsi="Verdana" w:cs="Arial"/>
          <w:bCs/>
          <w:sz w:val="20"/>
          <w:szCs w:val="20"/>
          <w:lang w:val="es-ES"/>
        </w:rPr>
        <w:t xml:space="preserve"> normales que se presenten en la ejecución del contrato, de manera que, aunque el contratista incurra en mayores costos de los ítems incluidos en la </w:t>
      </w:r>
      <w:r w:rsidRPr="00683260">
        <w:rPr>
          <w:rFonts w:ascii="Verdana" w:eastAsia="Calibri" w:hAnsi="Verdana" w:cs="Arial"/>
          <w:bCs/>
          <w:i/>
          <w:iCs/>
          <w:sz w:val="20"/>
          <w:szCs w:val="20"/>
          <w:lang w:val="es-ES"/>
        </w:rPr>
        <w:t>Administración</w:t>
      </w:r>
      <w:r w:rsidRPr="00683260">
        <w:rPr>
          <w:rFonts w:ascii="Verdana" w:eastAsia="Calibri" w:hAnsi="Verdana" w:cs="Arial"/>
          <w:bCs/>
          <w:sz w:val="20"/>
          <w:szCs w:val="20"/>
          <w:lang w:val="es-ES"/>
        </w:rPr>
        <w:t xml:space="preserve"> o en más gastos de </w:t>
      </w:r>
      <w:r w:rsidRPr="00683260">
        <w:rPr>
          <w:rFonts w:ascii="Verdana" w:eastAsia="Calibri" w:hAnsi="Verdana" w:cs="Arial"/>
          <w:bCs/>
          <w:i/>
          <w:iCs/>
          <w:sz w:val="20"/>
          <w:szCs w:val="20"/>
          <w:lang w:val="es-ES"/>
        </w:rPr>
        <w:t>Imprevistos</w:t>
      </w:r>
      <w:r w:rsidRPr="00683260">
        <w:rPr>
          <w:rFonts w:ascii="Verdana" w:eastAsia="Calibri" w:hAnsi="Verdana" w:cs="Arial"/>
          <w:bCs/>
          <w:sz w:val="20"/>
          <w:szCs w:val="20"/>
          <w:lang w:val="es-ES"/>
        </w:rPr>
        <w:t xml:space="preserve"> al presentar su oferta, o que estos disminuyan, aparezcan algunos nuevos o desaparezcan algunos de ellos, el valor se mantenga invariable. De este modo, las partes optan por darle estabilidad al negocio, asumiendo cada una de ellas lo que le favorezca o desfavorezca, lo que evita, además, incurrir en costos de transacción relacionados con la necesidad de acreditar y verificar cada costo o gasto específico asociado a la </w:t>
      </w:r>
      <w:r w:rsidRPr="00683260">
        <w:rPr>
          <w:rFonts w:ascii="Verdana" w:eastAsia="Calibri" w:hAnsi="Verdana" w:cs="Arial"/>
          <w:bCs/>
          <w:i/>
          <w:iCs/>
          <w:sz w:val="20"/>
          <w:szCs w:val="20"/>
          <w:lang w:val="es-ES"/>
        </w:rPr>
        <w:t xml:space="preserve">Administración </w:t>
      </w:r>
      <w:r w:rsidRPr="00683260">
        <w:rPr>
          <w:rFonts w:ascii="Verdana" w:eastAsia="Calibri" w:hAnsi="Verdana" w:cs="Arial"/>
          <w:bCs/>
          <w:sz w:val="20"/>
          <w:szCs w:val="20"/>
          <w:lang w:val="es-ES"/>
        </w:rPr>
        <w:t>o lo</w:t>
      </w:r>
      <w:r w:rsidRPr="00683260">
        <w:rPr>
          <w:rFonts w:ascii="Verdana" w:eastAsia="Calibri" w:hAnsi="Verdana" w:cs="Arial"/>
          <w:bCs/>
          <w:i/>
          <w:iCs/>
          <w:sz w:val="20"/>
          <w:szCs w:val="20"/>
          <w:lang w:val="es-ES"/>
        </w:rPr>
        <w:t>s Imprevistos</w:t>
      </w:r>
      <w:r w:rsidRPr="00683260">
        <w:rPr>
          <w:rFonts w:ascii="Verdana" w:eastAsia="Calibri" w:hAnsi="Verdana" w:cs="Arial"/>
          <w:bCs/>
          <w:sz w:val="20"/>
          <w:szCs w:val="20"/>
          <w:lang w:val="es-ES"/>
        </w:rPr>
        <w:t>, lo que generaría más gastos tanto para la entidad como para el contratista</w:t>
      </w:r>
      <w:r>
        <w:rPr>
          <w:rFonts w:ascii="Verdana" w:eastAsia="Calibri" w:hAnsi="Verdana" w:cs="Arial"/>
          <w:bCs/>
          <w:sz w:val="20"/>
          <w:szCs w:val="20"/>
        </w:rPr>
        <w:t>.</w:t>
      </w:r>
    </w:p>
    <w:p w14:paraId="740689F7" w14:textId="77777777" w:rsidR="009E607B" w:rsidRPr="00AF1555" w:rsidRDefault="009E607B" w:rsidP="009E607B">
      <w:pPr>
        <w:spacing w:after="0" w:line="240" w:lineRule="auto"/>
        <w:rPr>
          <w:rFonts w:ascii="Verdana" w:eastAsia="Geomanist Light" w:hAnsi="Verdana" w:cs="Arial"/>
          <w:color w:val="000000" w:themeColor="text1"/>
          <w:sz w:val="20"/>
          <w:szCs w:val="20"/>
          <w:lang w:val="es-ES_tradnl"/>
        </w:rPr>
      </w:pPr>
    </w:p>
    <w:p w14:paraId="39E7CF61" w14:textId="77777777" w:rsidR="009E607B" w:rsidRPr="00AF1555" w:rsidRDefault="009E607B" w:rsidP="009E607B">
      <w:pPr>
        <w:tabs>
          <w:tab w:val="left" w:pos="426"/>
        </w:tabs>
        <w:spacing w:after="0" w:line="240" w:lineRule="auto"/>
        <w:jc w:val="both"/>
        <w:rPr>
          <w:rFonts w:ascii="Verdana" w:hAnsi="Verdana" w:cs="Arial"/>
          <w:b/>
          <w:lang w:eastAsia="es-CO"/>
        </w:rPr>
      </w:pPr>
      <w:r>
        <w:rPr>
          <w:rFonts w:ascii="Verdana" w:hAnsi="Verdana" w:cs="Arial"/>
          <w:b/>
          <w:lang w:eastAsia="es-CO"/>
        </w:rPr>
        <w:t>AIU – Componentes – Discrecionalidad</w:t>
      </w:r>
    </w:p>
    <w:p w14:paraId="0D0B7F74" w14:textId="77777777" w:rsidR="009E607B" w:rsidRPr="00AF1555" w:rsidRDefault="009E607B" w:rsidP="009E607B">
      <w:pPr>
        <w:tabs>
          <w:tab w:val="left" w:pos="426"/>
        </w:tabs>
        <w:spacing w:after="0" w:line="240" w:lineRule="auto"/>
        <w:jc w:val="both"/>
        <w:rPr>
          <w:rFonts w:ascii="Verdana" w:hAnsi="Verdana" w:cs="Arial"/>
          <w:b/>
          <w:sz w:val="20"/>
          <w:szCs w:val="20"/>
          <w:lang w:eastAsia="es-CO"/>
        </w:rPr>
      </w:pPr>
    </w:p>
    <w:p w14:paraId="0D2535FF" w14:textId="77777777" w:rsidR="009E607B" w:rsidRDefault="009E607B" w:rsidP="009E607B">
      <w:pPr>
        <w:spacing w:after="0" w:line="240" w:lineRule="auto"/>
        <w:jc w:val="both"/>
        <w:rPr>
          <w:rFonts w:ascii="Verdana" w:hAnsi="Verdana" w:cs="Arial"/>
          <w:bCs/>
          <w:sz w:val="20"/>
          <w:szCs w:val="20"/>
          <w:lang w:val="es-ES" w:eastAsia="es-CO"/>
        </w:rPr>
      </w:pPr>
      <w:r>
        <w:rPr>
          <w:rFonts w:ascii="Verdana" w:hAnsi="Verdana" w:cs="Arial"/>
          <w:bCs/>
          <w:sz w:val="20"/>
          <w:szCs w:val="20"/>
          <w:lang w:val="es-ES" w:eastAsia="es-CO"/>
        </w:rPr>
        <w:t xml:space="preserve">[…] </w:t>
      </w:r>
      <w:r w:rsidRPr="00683260">
        <w:rPr>
          <w:rFonts w:ascii="Verdana" w:hAnsi="Verdana" w:cs="Arial"/>
          <w:bCs/>
          <w:sz w:val="20"/>
          <w:szCs w:val="20"/>
          <w:lang w:val="es-ES" w:eastAsia="es-CO"/>
        </w:rPr>
        <w:t>las entidades cuentan con discrecionalidad para establecer en el pliego de condiciones o en su documento equivalente, así como en el contrato, el sistema de precios unitarios y la figura del AIU. De este modo, teniendo en cuenta el concepto de AIU, ni la forma de calcularlo son aspectos que cuenten con una regulación normativa en materia contractual del Estado, la determinación de los componentes del AIU dependerá del análisis particular que realice la entidad en relación con el presupuesto estimado del valor de la ejecución del contrato que, a su vez, sirve de guía para que los proponentes formulen sus ofertas.</w:t>
      </w:r>
    </w:p>
    <w:p w14:paraId="67953B98" w14:textId="77777777" w:rsidR="009E607B" w:rsidRPr="00683260" w:rsidRDefault="009E607B" w:rsidP="009E607B">
      <w:pPr>
        <w:spacing w:after="0" w:line="240" w:lineRule="auto"/>
        <w:jc w:val="both"/>
        <w:rPr>
          <w:rFonts w:ascii="Verdana" w:hAnsi="Verdana" w:cs="Arial"/>
          <w:bCs/>
          <w:sz w:val="20"/>
          <w:szCs w:val="20"/>
          <w:lang w:val="es-ES" w:eastAsia="es-CO"/>
        </w:rPr>
      </w:pPr>
    </w:p>
    <w:p w14:paraId="631C2CC1" w14:textId="77777777" w:rsidR="009E607B" w:rsidRPr="00683260" w:rsidRDefault="009E607B" w:rsidP="009E607B">
      <w:pPr>
        <w:spacing w:after="0" w:line="240" w:lineRule="auto"/>
        <w:jc w:val="both"/>
        <w:rPr>
          <w:rFonts w:ascii="Verdana" w:hAnsi="Verdana" w:cs="Arial"/>
          <w:bCs/>
          <w:sz w:val="20"/>
          <w:szCs w:val="20"/>
          <w:lang w:val="es-ES" w:eastAsia="es-CO"/>
        </w:rPr>
      </w:pPr>
      <w:r w:rsidRPr="00683260">
        <w:rPr>
          <w:rFonts w:ascii="Verdana" w:hAnsi="Verdana" w:cs="Arial"/>
          <w:bCs/>
          <w:sz w:val="20"/>
          <w:szCs w:val="20"/>
          <w:lang w:val="es-ES" w:eastAsia="es-CO"/>
        </w:rPr>
        <w:t xml:space="preserve">En consecuencia, tanto las entidades sometidas al Estatuto General de Contratación de la Administración Pública, como las excluidas de este –es decir, las que tienen un régimen especial– gozan de autonomía para configurar el precio y para establecer el sistema de pago más apropiado para satisfacer los fines de la contratación, respetando </w:t>
      </w:r>
      <w:r w:rsidRPr="00683260">
        <w:rPr>
          <w:rFonts w:ascii="Verdana" w:hAnsi="Verdana" w:cs="Arial"/>
          <w:bCs/>
          <w:sz w:val="20"/>
          <w:szCs w:val="20"/>
          <w:lang w:val="es-ES" w:eastAsia="es-CO"/>
        </w:rPr>
        <w:lastRenderedPageBreak/>
        <w:t>los límites previstos en el ordenamiento. En tal perspectiva, cuentan con discrecionalidad para establecer en el pliego de condiciones o en su documento equivalente, así como en el contrato, el sistema de precios unitarios y la figura del AIU; modelo que, como se indicó, es más pertinente para los contratos de tracto sucesivo, como el de obra. Por ende, la decisión de incluir el AIU, al igual que la metodología de delimitación de sus variables –ítems y porcentajes– debe obedecer a un juicioso análisis de oportunidad y conveniencia, que consulte las reglas de la experiencia, así como los aspectos particulares de cada negocio. Lo anterior en armonía con la garantía de los principios de la función administrativa y de la gestión fiscal, dentro de los cuales se halla el principio de economía, postulado que exige la optimización de los recursos públicos.</w:t>
      </w:r>
    </w:p>
    <w:p w14:paraId="3CB66EAE" w14:textId="77777777" w:rsidR="009E607B" w:rsidRDefault="009E607B" w:rsidP="00E245AB">
      <w:pPr>
        <w:spacing w:after="0"/>
        <w:rPr>
          <w:rFonts w:ascii="Verdana" w:hAnsi="Verdana"/>
        </w:rPr>
      </w:pPr>
    </w:p>
    <w:p w14:paraId="0C58ED94" w14:textId="77777777" w:rsidR="00D0252D" w:rsidRDefault="00D0252D" w:rsidP="00E245AB">
      <w:pPr>
        <w:spacing w:after="0"/>
        <w:rPr>
          <w:rFonts w:ascii="Verdana" w:hAnsi="Verdana"/>
        </w:rPr>
      </w:pPr>
    </w:p>
    <w:p w14:paraId="34A21357" w14:textId="77777777" w:rsidR="000E59A4" w:rsidRDefault="000E59A4" w:rsidP="00E245AB">
      <w:pPr>
        <w:spacing w:after="0"/>
        <w:rPr>
          <w:rFonts w:ascii="Verdana" w:hAnsi="Verdana"/>
        </w:rPr>
      </w:pPr>
    </w:p>
    <w:p w14:paraId="741A8219" w14:textId="77777777" w:rsidR="000E59A4" w:rsidRDefault="000E59A4" w:rsidP="00E245AB">
      <w:pPr>
        <w:spacing w:after="0"/>
        <w:rPr>
          <w:rFonts w:ascii="Verdana" w:hAnsi="Verdana"/>
        </w:rPr>
      </w:pPr>
    </w:p>
    <w:p w14:paraId="26652ADA" w14:textId="77777777" w:rsidR="000E59A4" w:rsidRDefault="000E59A4" w:rsidP="00E245AB">
      <w:pPr>
        <w:spacing w:after="0"/>
        <w:rPr>
          <w:rFonts w:ascii="Verdana" w:hAnsi="Verdana"/>
        </w:rPr>
      </w:pPr>
    </w:p>
    <w:p w14:paraId="66F39F61" w14:textId="77777777" w:rsidR="000E59A4" w:rsidRDefault="000E59A4" w:rsidP="00E245AB">
      <w:pPr>
        <w:spacing w:after="0"/>
        <w:rPr>
          <w:rFonts w:ascii="Verdana" w:hAnsi="Verdana"/>
        </w:rPr>
      </w:pPr>
    </w:p>
    <w:p w14:paraId="5C2547F9" w14:textId="77777777" w:rsidR="000E59A4" w:rsidRDefault="000E59A4" w:rsidP="00E245AB">
      <w:pPr>
        <w:spacing w:after="0"/>
        <w:rPr>
          <w:rFonts w:ascii="Verdana" w:hAnsi="Verdana"/>
        </w:rPr>
      </w:pPr>
    </w:p>
    <w:p w14:paraId="4828C02B" w14:textId="77777777" w:rsidR="000E59A4" w:rsidRDefault="000E59A4" w:rsidP="00E245AB">
      <w:pPr>
        <w:spacing w:after="0"/>
        <w:rPr>
          <w:rFonts w:ascii="Verdana" w:hAnsi="Verdana"/>
        </w:rPr>
      </w:pPr>
    </w:p>
    <w:p w14:paraId="49D0F8C2" w14:textId="77777777" w:rsidR="000E59A4" w:rsidRDefault="000E59A4" w:rsidP="00E245AB">
      <w:pPr>
        <w:spacing w:after="0"/>
        <w:rPr>
          <w:rFonts w:ascii="Verdana" w:hAnsi="Verdana"/>
        </w:rPr>
      </w:pPr>
    </w:p>
    <w:p w14:paraId="76278D5D" w14:textId="77777777" w:rsidR="000E59A4" w:rsidRDefault="000E59A4" w:rsidP="00E245AB">
      <w:pPr>
        <w:spacing w:after="0"/>
        <w:rPr>
          <w:rFonts w:ascii="Verdana" w:hAnsi="Verdana"/>
        </w:rPr>
      </w:pPr>
    </w:p>
    <w:p w14:paraId="1BF02270" w14:textId="77777777" w:rsidR="000E59A4" w:rsidRDefault="000E59A4" w:rsidP="00E245AB">
      <w:pPr>
        <w:spacing w:after="0"/>
        <w:rPr>
          <w:rFonts w:ascii="Verdana" w:hAnsi="Verdana"/>
        </w:rPr>
      </w:pPr>
    </w:p>
    <w:p w14:paraId="70118A2C" w14:textId="77777777" w:rsidR="000E59A4" w:rsidRDefault="000E59A4" w:rsidP="00E245AB">
      <w:pPr>
        <w:spacing w:after="0"/>
        <w:rPr>
          <w:rFonts w:ascii="Verdana" w:hAnsi="Verdana"/>
        </w:rPr>
      </w:pPr>
    </w:p>
    <w:p w14:paraId="3D7B56DD" w14:textId="77777777" w:rsidR="000E59A4" w:rsidRDefault="000E59A4" w:rsidP="00E245AB">
      <w:pPr>
        <w:spacing w:after="0"/>
        <w:rPr>
          <w:rFonts w:ascii="Verdana" w:hAnsi="Verdana"/>
        </w:rPr>
      </w:pPr>
    </w:p>
    <w:p w14:paraId="4C11797C" w14:textId="77777777" w:rsidR="000E59A4" w:rsidRDefault="000E59A4" w:rsidP="00E245AB">
      <w:pPr>
        <w:spacing w:after="0"/>
        <w:rPr>
          <w:rFonts w:ascii="Verdana" w:hAnsi="Verdana"/>
        </w:rPr>
      </w:pPr>
    </w:p>
    <w:p w14:paraId="09C3AD11" w14:textId="77777777" w:rsidR="000E59A4" w:rsidRDefault="000E59A4" w:rsidP="00E245AB">
      <w:pPr>
        <w:spacing w:after="0"/>
        <w:rPr>
          <w:rFonts w:ascii="Verdana" w:hAnsi="Verdana"/>
        </w:rPr>
      </w:pPr>
    </w:p>
    <w:p w14:paraId="69653951" w14:textId="77777777" w:rsidR="000E59A4" w:rsidRDefault="000E59A4" w:rsidP="00E245AB">
      <w:pPr>
        <w:spacing w:after="0"/>
        <w:rPr>
          <w:rFonts w:ascii="Verdana" w:hAnsi="Verdana"/>
        </w:rPr>
      </w:pPr>
    </w:p>
    <w:p w14:paraId="3043F2F5" w14:textId="77777777" w:rsidR="000E59A4" w:rsidRDefault="000E59A4" w:rsidP="00E245AB">
      <w:pPr>
        <w:spacing w:after="0"/>
        <w:rPr>
          <w:rFonts w:ascii="Verdana" w:hAnsi="Verdana"/>
        </w:rPr>
      </w:pPr>
    </w:p>
    <w:p w14:paraId="7080F0F4" w14:textId="77777777" w:rsidR="000E59A4" w:rsidRDefault="000E59A4" w:rsidP="00E245AB">
      <w:pPr>
        <w:spacing w:after="0"/>
        <w:rPr>
          <w:rFonts w:ascii="Verdana" w:hAnsi="Verdana"/>
        </w:rPr>
      </w:pPr>
    </w:p>
    <w:p w14:paraId="6D42F87D" w14:textId="77777777" w:rsidR="000E59A4" w:rsidRDefault="000E59A4" w:rsidP="00E245AB">
      <w:pPr>
        <w:spacing w:after="0"/>
        <w:rPr>
          <w:rFonts w:ascii="Verdana" w:hAnsi="Verdana"/>
        </w:rPr>
      </w:pPr>
    </w:p>
    <w:p w14:paraId="6E5C1CBB" w14:textId="77777777" w:rsidR="000E59A4" w:rsidRDefault="000E59A4" w:rsidP="00E245AB">
      <w:pPr>
        <w:spacing w:after="0"/>
        <w:rPr>
          <w:rFonts w:ascii="Verdana" w:hAnsi="Verdana"/>
        </w:rPr>
      </w:pPr>
    </w:p>
    <w:p w14:paraId="18153A55" w14:textId="77777777" w:rsidR="000E59A4" w:rsidRDefault="000E59A4" w:rsidP="00E245AB">
      <w:pPr>
        <w:spacing w:after="0"/>
        <w:rPr>
          <w:rFonts w:ascii="Verdana" w:hAnsi="Verdana"/>
        </w:rPr>
      </w:pPr>
    </w:p>
    <w:p w14:paraId="17742C34" w14:textId="77777777" w:rsidR="000E59A4" w:rsidRDefault="000E59A4" w:rsidP="00E245AB">
      <w:pPr>
        <w:spacing w:after="0"/>
        <w:rPr>
          <w:rFonts w:ascii="Verdana" w:hAnsi="Verdana"/>
        </w:rPr>
      </w:pPr>
    </w:p>
    <w:p w14:paraId="00B69106" w14:textId="77777777" w:rsidR="000E59A4" w:rsidRDefault="000E59A4" w:rsidP="00E245AB">
      <w:pPr>
        <w:spacing w:after="0"/>
        <w:rPr>
          <w:rFonts w:ascii="Verdana" w:hAnsi="Verdana"/>
        </w:rPr>
      </w:pPr>
    </w:p>
    <w:p w14:paraId="785A2D6C" w14:textId="77777777" w:rsidR="000E59A4" w:rsidRDefault="000E59A4" w:rsidP="00E245AB">
      <w:pPr>
        <w:spacing w:after="0"/>
        <w:rPr>
          <w:rFonts w:ascii="Verdana" w:hAnsi="Verdana"/>
        </w:rPr>
      </w:pPr>
    </w:p>
    <w:p w14:paraId="6BA465DE" w14:textId="77777777" w:rsidR="000E59A4" w:rsidRDefault="000E59A4" w:rsidP="00E245AB">
      <w:pPr>
        <w:spacing w:after="0"/>
        <w:rPr>
          <w:rFonts w:ascii="Verdana" w:hAnsi="Verdana"/>
        </w:rPr>
      </w:pPr>
    </w:p>
    <w:p w14:paraId="1470F820" w14:textId="77777777" w:rsidR="000E59A4" w:rsidRDefault="000E59A4" w:rsidP="00E245AB">
      <w:pPr>
        <w:spacing w:after="0"/>
        <w:rPr>
          <w:rFonts w:ascii="Verdana" w:hAnsi="Verdana"/>
        </w:rPr>
      </w:pPr>
    </w:p>
    <w:p w14:paraId="03E2BFB3" w14:textId="77777777" w:rsidR="000E59A4" w:rsidRDefault="000E59A4" w:rsidP="00E245AB">
      <w:pPr>
        <w:spacing w:after="0"/>
        <w:rPr>
          <w:rFonts w:ascii="Verdana" w:hAnsi="Verdana"/>
        </w:rPr>
      </w:pPr>
    </w:p>
    <w:p w14:paraId="4CF499D1" w14:textId="77777777" w:rsidR="000E59A4" w:rsidRDefault="000E59A4" w:rsidP="00E245AB">
      <w:pPr>
        <w:spacing w:after="0"/>
        <w:rPr>
          <w:rFonts w:ascii="Verdana" w:hAnsi="Verdana"/>
        </w:rPr>
      </w:pPr>
    </w:p>
    <w:p w14:paraId="32287EE6" w14:textId="77777777" w:rsidR="000E59A4" w:rsidRDefault="000E59A4" w:rsidP="00E245AB">
      <w:pPr>
        <w:spacing w:after="0"/>
        <w:rPr>
          <w:rFonts w:ascii="Verdana" w:hAnsi="Verdana"/>
        </w:rPr>
      </w:pPr>
    </w:p>
    <w:p w14:paraId="4A76AB9D" w14:textId="77777777" w:rsidR="000E59A4" w:rsidRDefault="000E59A4" w:rsidP="00E245AB">
      <w:pPr>
        <w:spacing w:after="0"/>
        <w:rPr>
          <w:rFonts w:ascii="Verdana" w:hAnsi="Verdana"/>
        </w:rPr>
      </w:pPr>
    </w:p>
    <w:p w14:paraId="0555AE75" w14:textId="77777777" w:rsidR="000E59A4" w:rsidRDefault="000E59A4" w:rsidP="00E245AB">
      <w:pPr>
        <w:spacing w:after="0"/>
        <w:rPr>
          <w:rFonts w:ascii="Verdana" w:hAnsi="Verdana"/>
        </w:rPr>
      </w:pPr>
    </w:p>
    <w:p w14:paraId="3FE2184B" w14:textId="6DF28804" w:rsidR="00E245AB" w:rsidRPr="00BE74DA" w:rsidRDefault="00E245AB" w:rsidP="00E245AB">
      <w:pPr>
        <w:spacing w:after="0"/>
        <w:rPr>
          <w:rFonts w:ascii="Verdana" w:hAnsi="Verdana"/>
        </w:rPr>
      </w:pPr>
      <w:r w:rsidRPr="00BE74DA">
        <w:rPr>
          <w:rFonts w:ascii="Verdana" w:hAnsi="Verdana"/>
        </w:rPr>
        <w:lastRenderedPageBreak/>
        <w:t xml:space="preserve">Bogotá D.C., </w:t>
      </w:r>
      <w:r w:rsidR="00B9494A">
        <w:rPr>
          <w:rFonts w:ascii="Verdana" w:hAnsi="Verdana"/>
        </w:rPr>
        <w:t>18 de diciembre del 2024</w:t>
      </w:r>
    </w:p>
    <w:p w14:paraId="5FCADBF9" w14:textId="77777777" w:rsidR="00E245AB" w:rsidRDefault="00E245AB" w:rsidP="00E245AB">
      <w:pPr>
        <w:spacing w:after="0"/>
        <w:rPr>
          <w:rFonts w:ascii="Verdana" w:hAnsi="Verdana"/>
        </w:rPr>
      </w:pPr>
    </w:p>
    <w:p w14:paraId="5088D815" w14:textId="06C71F6C" w:rsidR="00863CDF" w:rsidRPr="00BE74DA" w:rsidRDefault="00863CDF" w:rsidP="00863CDF">
      <w:pPr>
        <w:spacing w:after="0"/>
        <w:jc w:val="right"/>
        <w:rPr>
          <w:rFonts w:ascii="Verdana" w:hAnsi="Verdana"/>
        </w:rPr>
      </w:pPr>
      <w:r w:rsidRPr="00863CDF">
        <w:rPr>
          <w:rFonts w:ascii="Verdana" w:hAnsi="Verdana"/>
        </w:rPr>
        <w:drawing>
          <wp:inline distT="0" distB="0" distL="0" distR="0" wp14:anchorId="200D1D05" wp14:editId="50FAC008">
            <wp:extent cx="3725545" cy="1039091"/>
            <wp:effectExtent l="0" t="0" r="0" b="2540"/>
            <wp:docPr id="11077958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795823" name=""/>
                    <pic:cNvPicPr/>
                  </pic:nvPicPr>
                  <pic:blipFill>
                    <a:blip r:embed="rId11"/>
                    <a:stretch>
                      <a:fillRect/>
                    </a:stretch>
                  </pic:blipFill>
                  <pic:spPr>
                    <a:xfrm>
                      <a:off x="0" y="0"/>
                      <a:ext cx="3772840" cy="1052282"/>
                    </a:xfrm>
                    <a:prstGeom prst="rect">
                      <a:avLst/>
                    </a:prstGeom>
                  </pic:spPr>
                </pic:pic>
              </a:graphicData>
            </a:graphic>
          </wp:inline>
        </w:drawing>
      </w:r>
    </w:p>
    <w:p w14:paraId="0465BA6D" w14:textId="77777777" w:rsidR="00E245AB" w:rsidRPr="00BE74DA" w:rsidRDefault="00E245AB" w:rsidP="00E245AB">
      <w:pPr>
        <w:spacing w:after="0"/>
        <w:rPr>
          <w:rFonts w:ascii="Verdana" w:hAnsi="Verdana"/>
        </w:rPr>
      </w:pPr>
    </w:p>
    <w:p w14:paraId="7FE4594A" w14:textId="68CA0CE4" w:rsidR="00B77CFD" w:rsidRPr="00BE74DA" w:rsidRDefault="00B77CFD" w:rsidP="00B77CFD">
      <w:pPr>
        <w:spacing w:after="0" w:line="240" w:lineRule="auto"/>
        <w:jc w:val="both"/>
        <w:rPr>
          <w:rFonts w:ascii="Verdana" w:eastAsia="Calibri" w:hAnsi="Verdana" w:cs="Arial"/>
          <w:lang w:val="es-ES" w:eastAsia="es-ES"/>
        </w:rPr>
      </w:pPr>
      <w:r w:rsidRPr="00BE74DA">
        <w:rPr>
          <w:rFonts w:ascii="Verdana" w:eastAsia="Calibri" w:hAnsi="Verdana" w:cs="Arial"/>
          <w:lang w:val="es-ES" w:eastAsia="es-ES"/>
        </w:rPr>
        <w:t>Señor:</w:t>
      </w:r>
    </w:p>
    <w:p w14:paraId="764274C6" w14:textId="09250E7F" w:rsidR="00B77CFD" w:rsidRPr="00BE74DA" w:rsidRDefault="00D55CA7" w:rsidP="00B77CFD">
      <w:pPr>
        <w:spacing w:after="0" w:line="240" w:lineRule="auto"/>
        <w:rPr>
          <w:rFonts w:ascii="Verdana" w:eastAsia="Calibri" w:hAnsi="Verdana" w:cs="Arial"/>
          <w:b/>
          <w:lang w:val="es-ES" w:eastAsia="es-ES"/>
        </w:rPr>
      </w:pPr>
      <w:proofErr w:type="spellStart"/>
      <w:r w:rsidRPr="00BE74DA">
        <w:rPr>
          <w:rFonts w:ascii="Verdana" w:eastAsia="Calibri" w:hAnsi="Verdana" w:cs="Arial"/>
          <w:b/>
          <w:lang w:val="es-ES" w:eastAsia="es-ES"/>
        </w:rPr>
        <w:t>Maurizio</w:t>
      </w:r>
      <w:proofErr w:type="spellEnd"/>
      <w:r w:rsidRPr="00BE74DA">
        <w:rPr>
          <w:rFonts w:ascii="Verdana" w:eastAsia="Calibri" w:hAnsi="Verdana" w:cs="Arial"/>
          <w:b/>
          <w:lang w:val="es-ES" w:eastAsia="es-ES"/>
        </w:rPr>
        <w:t xml:space="preserve"> Toscano Giraldo</w:t>
      </w:r>
    </w:p>
    <w:p w14:paraId="27EF394B" w14:textId="02D2D6F0" w:rsidR="00D55CA7" w:rsidRPr="00BE74DA" w:rsidRDefault="00D55CA7" w:rsidP="00B77CFD">
      <w:pPr>
        <w:spacing w:after="0" w:line="240" w:lineRule="auto"/>
        <w:rPr>
          <w:rFonts w:ascii="Verdana" w:eastAsia="Calibri" w:hAnsi="Verdana" w:cs="Arial"/>
          <w:bCs/>
          <w:lang w:val="es-ES" w:eastAsia="es-ES"/>
        </w:rPr>
      </w:pPr>
      <w:r w:rsidRPr="00BE74DA">
        <w:rPr>
          <w:rFonts w:ascii="Verdana" w:eastAsia="Calibri" w:hAnsi="Verdana" w:cs="Arial"/>
          <w:bCs/>
          <w:lang w:val="es-ES" w:eastAsia="es-ES"/>
        </w:rPr>
        <w:t>Secretaria Distrital de Cultura, Recreación y Deporte</w:t>
      </w:r>
    </w:p>
    <w:p w14:paraId="58DAFDF1" w14:textId="3884DA07" w:rsidR="00D55CA7" w:rsidRPr="00BE74DA" w:rsidRDefault="00D55CA7" w:rsidP="00B77CFD">
      <w:pPr>
        <w:spacing w:after="0" w:line="240" w:lineRule="auto"/>
        <w:rPr>
          <w:rFonts w:ascii="Verdana" w:hAnsi="Verdana"/>
        </w:rPr>
      </w:pPr>
      <w:hyperlink r:id="rId12" w:history="1">
        <w:r w:rsidRPr="00BE74DA">
          <w:rPr>
            <w:rStyle w:val="Hyperlink"/>
            <w:rFonts w:ascii="Verdana" w:hAnsi="Verdana"/>
          </w:rPr>
          <w:t>correspondencia.externa@scrd.gov.co</w:t>
        </w:r>
      </w:hyperlink>
    </w:p>
    <w:p w14:paraId="441C8369" w14:textId="1642641E" w:rsidR="00B77CFD" w:rsidRPr="00BE74DA" w:rsidRDefault="00D55CA7" w:rsidP="00B77CFD">
      <w:pPr>
        <w:spacing w:after="0" w:line="240" w:lineRule="auto"/>
        <w:rPr>
          <w:rFonts w:ascii="Verdana" w:hAnsi="Verdana"/>
        </w:rPr>
      </w:pPr>
      <w:r w:rsidRPr="00BE74DA">
        <w:rPr>
          <w:rFonts w:ascii="Verdana" w:hAnsi="Verdana"/>
        </w:rPr>
        <w:t>Bogotá D.C.</w:t>
      </w:r>
    </w:p>
    <w:p w14:paraId="14EA2964" w14:textId="77777777" w:rsidR="00B77CFD" w:rsidRPr="00BE74DA" w:rsidRDefault="00B77CFD" w:rsidP="00B77CFD">
      <w:pPr>
        <w:spacing w:after="0" w:line="240" w:lineRule="auto"/>
        <w:rPr>
          <w:rFonts w:ascii="Verdana" w:eastAsia="Calibri" w:hAnsi="Verdana" w:cs="Arial"/>
          <w:b/>
          <w:bCs/>
          <w:highlight w:val="cyan"/>
          <w:lang w:val="es-ES_tradnl" w:eastAsia="es-ES_tradnl"/>
        </w:rPr>
      </w:pPr>
    </w:p>
    <w:p w14:paraId="7642976C" w14:textId="77777777" w:rsidR="00B77CFD" w:rsidRPr="00BE74DA" w:rsidRDefault="00B77CFD" w:rsidP="00B77CFD">
      <w:pPr>
        <w:spacing w:after="0" w:line="240" w:lineRule="auto"/>
        <w:rPr>
          <w:rFonts w:ascii="Verdana" w:eastAsia="Calibri" w:hAnsi="Verdana" w:cs="Arial"/>
          <w:b/>
          <w:bCs/>
          <w:highlight w:val="cyan"/>
          <w:lang w:val="es-ES_tradnl" w:eastAsia="es-ES_tradnl"/>
        </w:rPr>
      </w:pP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6629"/>
      </w:tblGrid>
      <w:tr w:rsidR="00B77CFD" w:rsidRPr="00BE74DA" w14:paraId="6AF6EAAA" w14:textId="77777777" w:rsidTr="529A803E">
        <w:trPr>
          <w:trHeight w:val="747"/>
        </w:trPr>
        <w:tc>
          <w:tcPr>
            <w:tcW w:w="2160" w:type="dxa"/>
          </w:tcPr>
          <w:p w14:paraId="73B80FFB" w14:textId="77777777" w:rsidR="00B77CFD" w:rsidRPr="00BE74DA" w:rsidRDefault="00B77CFD" w:rsidP="00F139AF">
            <w:pPr>
              <w:jc w:val="both"/>
              <w:rPr>
                <w:rFonts w:ascii="Verdana" w:eastAsia="Calibri" w:hAnsi="Verdana" w:cs="Arial"/>
                <w:b/>
                <w:bCs/>
                <w:highlight w:val="cyan"/>
                <w:lang w:val="es-ES_tradnl" w:eastAsia="es-ES_tradnl"/>
              </w:rPr>
            </w:pPr>
          </w:p>
        </w:tc>
        <w:tc>
          <w:tcPr>
            <w:tcW w:w="6629" w:type="dxa"/>
          </w:tcPr>
          <w:p w14:paraId="7749F2DC" w14:textId="469C968F" w:rsidR="00B77CFD" w:rsidRPr="00BE74DA" w:rsidRDefault="00B77CFD" w:rsidP="00F139AF">
            <w:pPr>
              <w:jc w:val="both"/>
              <w:rPr>
                <w:rFonts w:ascii="Verdana" w:eastAsia="Calibri" w:hAnsi="Verdana" w:cs="Arial"/>
                <w:b/>
                <w:bCs/>
                <w:lang w:val="es-ES" w:eastAsia="es-ES"/>
              </w:rPr>
            </w:pPr>
            <w:r w:rsidRPr="00BE74DA">
              <w:rPr>
                <w:rFonts w:ascii="Verdana" w:eastAsia="Calibri" w:hAnsi="Verdana" w:cs="Arial"/>
                <w:b/>
                <w:bCs/>
                <w:lang w:val="es-ES" w:eastAsia="es-ES"/>
              </w:rPr>
              <w:t xml:space="preserve">Concepto </w:t>
            </w:r>
            <w:r w:rsidRPr="00BE74DA">
              <w:rPr>
                <w:rFonts w:ascii="Verdana" w:eastAsia="Calibri" w:hAnsi="Verdana" w:cs="Arial"/>
                <w:b/>
                <w:bCs/>
                <w:lang w:eastAsia="es-ES"/>
              </w:rPr>
              <w:t>C-</w:t>
            </w:r>
            <w:r w:rsidR="006426AE" w:rsidRPr="00BE74DA">
              <w:rPr>
                <w:rFonts w:ascii="Verdana" w:eastAsia="Calibri" w:hAnsi="Verdana" w:cs="Arial"/>
                <w:b/>
                <w:bCs/>
                <w:lang w:eastAsia="es-ES"/>
              </w:rPr>
              <w:t>912</w:t>
            </w:r>
            <w:r w:rsidRPr="00BE74DA">
              <w:rPr>
                <w:rFonts w:ascii="Verdana" w:eastAsia="Calibri" w:hAnsi="Verdana" w:cs="Arial"/>
                <w:b/>
                <w:bCs/>
                <w:lang w:eastAsia="es-ES"/>
              </w:rPr>
              <w:t xml:space="preserve"> </w:t>
            </w:r>
            <w:r w:rsidRPr="00BE74DA">
              <w:rPr>
                <w:rFonts w:ascii="Verdana" w:eastAsia="Calibri" w:hAnsi="Verdana" w:cs="Arial"/>
                <w:b/>
                <w:bCs/>
                <w:lang w:val="es-ES" w:eastAsia="es-ES"/>
              </w:rPr>
              <w:t>de 2024</w:t>
            </w:r>
          </w:p>
        </w:tc>
      </w:tr>
      <w:tr w:rsidR="00B77CFD" w:rsidRPr="00BE74DA" w14:paraId="02106CFC" w14:textId="77777777" w:rsidTr="529A803E">
        <w:trPr>
          <w:trHeight w:val="884"/>
        </w:trPr>
        <w:tc>
          <w:tcPr>
            <w:tcW w:w="2160" w:type="dxa"/>
            <w:shd w:val="clear" w:color="auto" w:fill="auto"/>
          </w:tcPr>
          <w:p w14:paraId="1D9568A2" w14:textId="77777777" w:rsidR="00B77CFD" w:rsidRPr="00BE74DA" w:rsidRDefault="00B77CFD" w:rsidP="00F139AF">
            <w:pPr>
              <w:jc w:val="both"/>
              <w:rPr>
                <w:rFonts w:ascii="Verdana" w:eastAsia="Calibri" w:hAnsi="Verdana" w:cs="Arial"/>
                <w:b/>
                <w:lang w:val="es-ES_tradnl" w:eastAsia="es-ES_tradnl"/>
              </w:rPr>
            </w:pPr>
            <w:r w:rsidRPr="00BE74DA">
              <w:rPr>
                <w:rFonts w:ascii="Verdana" w:eastAsia="Calibri" w:hAnsi="Verdana" w:cs="Arial"/>
                <w:b/>
                <w:lang w:val="es-ES_tradnl" w:eastAsia="es-ES_tradnl"/>
              </w:rPr>
              <w:t xml:space="preserve">Temas:                   </w:t>
            </w:r>
          </w:p>
        </w:tc>
        <w:tc>
          <w:tcPr>
            <w:tcW w:w="6629" w:type="dxa"/>
            <w:shd w:val="clear" w:color="auto" w:fill="auto"/>
          </w:tcPr>
          <w:p w14:paraId="0B71C482" w14:textId="77777777" w:rsidR="00793C80" w:rsidRPr="00BE74DA" w:rsidRDefault="00793C80" w:rsidP="00793C80">
            <w:pPr>
              <w:spacing w:line="276" w:lineRule="auto"/>
              <w:jc w:val="both"/>
              <w:rPr>
                <w:rFonts w:ascii="Verdana" w:eastAsia="Calibri" w:hAnsi="Verdana" w:cs="Arial"/>
                <w:lang w:val="es-ES" w:eastAsia="es-ES"/>
              </w:rPr>
            </w:pPr>
            <w:r w:rsidRPr="00BE74DA">
              <w:rPr>
                <w:rFonts w:ascii="Verdana" w:eastAsia="Calibri" w:hAnsi="Verdana" w:cs="Arial"/>
                <w:lang w:val="es-ES" w:eastAsia="es-ES"/>
              </w:rPr>
              <w:t xml:space="preserve">PRECIOS UNITARIOS – APU – AIU – Diferencias – Configuración / AIU – Costos indirectos – Finalidad – Ejecución del contrato / AIU – Componentes – Discrecionalidad     </w:t>
            </w:r>
          </w:p>
          <w:p w14:paraId="144DA71B" w14:textId="77777777" w:rsidR="00B77CFD" w:rsidRPr="00BE74DA" w:rsidRDefault="00B77CFD" w:rsidP="00F139AF">
            <w:pPr>
              <w:spacing w:line="276" w:lineRule="auto"/>
              <w:jc w:val="both"/>
              <w:rPr>
                <w:rFonts w:ascii="Verdana" w:eastAsia="Century Gothic" w:hAnsi="Verdana" w:cs="Century Gothic"/>
                <w:bCs/>
                <w:highlight w:val="cyan"/>
                <w:lang w:val="es-ES"/>
              </w:rPr>
            </w:pPr>
          </w:p>
        </w:tc>
      </w:tr>
      <w:tr w:rsidR="00B77CFD" w:rsidRPr="00BE74DA" w14:paraId="306EB554" w14:textId="77777777" w:rsidTr="529A803E">
        <w:trPr>
          <w:trHeight w:val="368"/>
        </w:trPr>
        <w:tc>
          <w:tcPr>
            <w:tcW w:w="2160" w:type="dxa"/>
            <w:shd w:val="clear" w:color="auto" w:fill="auto"/>
          </w:tcPr>
          <w:p w14:paraId="4B31BF89" w14:textId="77777777" w:rsidR="00B77CFD" w:rsidRPr="00BE74DA" w:rsidRDefault="00B77CFD" w:rsidP="00F139AF">
            <w:pPr>
              <w:jc w:val="both"/>
              <w:rPr>
                <w:rFonts w:ascii="Verdana" w:eastAsia="Calibri" w:hAnsi="Verdana" w:cs="Arial"/>
                <w:b/>
                <w:lang w:val="es-ES_tradnl" w:eastAsia="es-ES_tradnl"/>
              </w:rPr>
            </w:pPr>
            <w:r w:rsidRPr="00BE74DA">
              <w:rPr>
                <w:rFonts w:ascii="Verdana" w:eastAsia="Calibri" w:hAnsi="Verdana" w:cs="Arial"/>
                <w:b/>
                <w:lang w:val="es-ES_tradnl" w:eastAsia="es-ES_tradnl"/>
              </w:rPr>
              <w:t>Radicación:</w:t>
            </w:r>
            <w:r w:rsidRPr="00BE74DA">
              <w:rPr>
                <w:rFonts w:ascii="Verdana" w:eastAsia="Calibri" w:hAnsi="Verdana" w:cs="Arial"/>
                <w:lang w:val="es-ES_tradnl" w:eastAsia="es-ES_tradnl"/>
              </w:rPr>
              <w:t xml:space="preserve">               </w:t>
            </w:r>
          </w:p>
        </w:tc>
        <w:tc>
          <w:tcPr>
            <w:tcW w:w="6629" w:type="dxa"/>
            <w:shd w:val="clear" w:color="auto" w:fill="auto"/>
          </w:tcPr>
          <w:p w14:paraId="4E8DC942" w14:textId="7758CF42" w:rsidR="00B77CFD" w:rsidRPr="00BE74DA" w:rsidRDefault="00B77CFD" w:rsidP="00F139AF">
            <w:pPr>
              <w:jc w:val="both"/>
              <w:rPr>
                <w:rFonts w:ascii="Verdana" w:eastAsia="Calibri" w:hAnsi="Verdana" w:cs="Arial"/>
                <w:lang w:eastAsia="es-ES_tradnl"/>
              </w:rPr>
            </w:pPr>
            <w:r w:rsidRPr="00BE74DA">
              <w:rPr>
                <w:rFonts w:ascii="Verdana" w:eastAsia="Calibri" w:hAnsi="Verdana" w:cs="Arial"/>
                <w:lang w:val="es-ES_tradnl" w:eastAsia="es-ES_tradnl"/>
              </w:rPr>
              <w:t xml:space="preserve">Respuesta a consulta con radicado No. </w:t>
            </w:r>
            <w:r w:rsidR="006426AE" w:rsidRPr="00BE74DA">
              <w:rPr>
                <w:rFonts w:ascii="Verdana" w:eastAsia="Calibri" w:hAnsi="Verdana" w:cs="Arial"/>
                <w:lang w:eastAsia="es-ES_tradnl"/>
              </w:rPr>
              <w:t>P20241122011774</w:t>
            </w:r>
            <w:r w:rsidRPr="00BE74DA">
              <w:rPr>
                <w:rFonts w:ascii="Verdana" w:eastAsia="Calibri" w:hAnsi="Verdana" w:cs="Arial"/>
                <w:lang w:eastAsia="es-ES_tradnl"/>
              </w:rPr>
              <w:t>.</w:t>
            </w:r>
          </w:p>
        </w:tc>
      </w:tr>
    </w:tbl>
    <w:p w14:paraId="222F34E1" w14:textId="77777777" w:rsidR="00B77CFD" w:rsidRPr="00BE74DA" w:rsidRDefault="00B77CFD" w:rsidP="00B77CFD">
      <w:pPr>
        <w:spacing w:after="0" w:line="240" w:lineRule="auto"/>
        <w:jc w:val="both"/>
        <w:rPr>
          <w:rFonts w:ascii="Verdana" w:eastAsia="Calibri" w:hAnsi="Verdana" w:cs="Arial"/>
          <w:highlight w:val="cyan"/>
          <w:lang w:val="es-ES_tradnl" w:eastAsia="es-ES_tradnl"/>
        </w:rPr>
      </w:pPr>
    </w:p>
    <w:p w14:paraId="080C5BA8" w14:textId="77777777" w:rsidR="00B77CFD" w:rsidRPr="00BE74DA" w:rsidRDefault="00B77CFD" w:rsidP="00B77CFD">
      <w:pPr>
        <w:spacing w:after="0" w:line="240" w:lineRule="auto"/>
        <w:jc w:val="both"/>
        <w:rPr>
          <w:rFonts w:ascii="Verdana" w:eastAsia="Calibri" w:hAnsi="Verdana" w:cs="Arial"/>
          <w:highlight w:val="cyan"/>
          <w:lang w:val="es-ES_tradnl" w:eastAsia="es-ES_tradnl"/>
        </w:rPr>
      </w:pPr>
    </w:p>
    <w:p w14:paraId="5D24ED2F" w14:textId="5BC010D3" w:rsidR="00B77CFD" w:rsidRPr="00BE74DA" w:rsidRDefault="00B77CFD" w:rsidP="00B77CFD">
      <w:pPr>
        <w:spacing w:after="0" w:line="276" w:lineRule="auto"/>
        <w:jc w:val="both"/>
        <w:rPr>
          <w:rFonts w:ascii="Verdana" w:eastAsia="Calibri" w:hAnsi="Verdana" w:cs="Arial"/>
          <w:lang w:val="es-ES" w:eastAsia="es-ES"/>
        </w:rPr>
      </w:pPr>
      <w:r w:rsidRPr="00BE74DA">
        <w:rPr>
          <w:rFonts w:ascii="Verdana" w:eastAsia="Calibri" w:hAnsi="Verdana" w:cs="Arial"/>
          <w:lang w:val="es-ES" w:eastAsia="es-ES"/>
        </w:rPr>
        <w:t>Estimad</w:t>
      </w:r>
      <w:r w:rsidR="00D55CA7" w:rsidRPr="00BE74DA">
        <w:rPr>
          <w:rFonts w:ascii="Verdana" w:eastAsia="Calibri" w:hAnsi="Verdana" w:cs="Arial"/>
          <w:lang w:val="es-ES" w:eastAsia="es-ES"/>
        </w:rPr>
        <w:t>o</w:t>
      </w:r>
      <w:r w:rsidRPr="00BE74DA">
        <w:rPr>
          <w:rFonts w:ascii="Verdana" w:eastAsia="Calibri" w:hAnsi="Verdana" w:cs="Arial"/>
          <w:lang w:val="es-ES" w:eastAsia="es-ES"/>
        </w:rPr>
        <w:t xml:space="preserve"> señor </w:t>
      </w:r>
      <w:r w:rsidR="00D55CA7" w:rsidRPr="00BE74DA">
        <w:rPr>
          <w:rFonts w:ascii="Verdana" w:eastAsia="Calibri" w:hAnsi="Verdana" w:cs="Arial"/>
          <w:lang w:val="es-ES" w:eastAsia="es-ES"/>
        </w:rPr>
        <w:t>Toscano</w:t>
      </w:r>
      <w:r w:rsidRPr="00BE74DA">
        <w:rPr>
          <w:rFonts w:ascii="Verdana" w:eastAsia="Calibri" w:hAnsi="Verdana" w:cs="Arial"/>
          <w:lang w:val="es-ES" w:eastAsia="es-ES"/>
        </w:rPr>
        <w:t>;</w:t>
      </w:r>
    </w:p>
    <w:p w14:paraId="6CAC03E8" w14:textId="77777777" w:rsidR="00B77CFD" w:rsidRPr="00BE74DA" w:rsidRDefault="00B77CFD" w:rsidP="00B77CFD">
      <w:pPr>
        <w:tabs>
          <w:tab w:val="left" w:pos="3768"/>
        </w:tabs>
        <w:spacing w:after="0" w:line="276" w:lineRule="auto"/>
        <w:jc w:val="both"/>
        <w:rPr>
          <w:rFonts w:ascii="Verdana" w:eastAsia="Calibri" w:hAnsi="Verdana" w:cs="Arial"/>
          <w:highlight w:val="cyan"/>
          <w:lang w:val="es-ES" w:eastAsia="es-ES"/>
        </w:rPr>
      </w:pPr>
    </w:p>
    <w:p w14:paraId="1E1EC156" w14:textId="77777777" w:rsidR="00B77CFD" w:rsidRPr="00BE74DA" w:rsidRDefault="00B77CFD" w:rsidP="00B77CFD">
      <w:pPr>
        <w:spacing w:after="0" w:line="276" w:lineRule="auto"/>
        <w:jc w:val="both"/>
        <w:rPr>
          <w:rFonts w:ascii="Verdana" w:eastAsia="Calibri" w:hAnsi="Verdana" w:cs="Arial"/>
          <w:lang w:val="es-ES" w:eastAsia="es-ES"/>
        </w:rPr>
      </w:pPr>
      <w:r w:rsidRPr="00BE74DA">
        <w:rPr>
          <w:rFonts w:ascii="Verdana" w:eastAsia="Calibri" w:hAnsi="Verdana" w:cs="Arial"/>
          <w:lang w:val="es-ES" w:eastAsia="es-ES"/>
        </w:rPr>
        <w:t>En ejercicio de la competencia otorgada por los artículos 3, numeral 5º, y 11, numeral 8º, del Decreto Ley 4170 de 2011,</w:t>
      </w:r>
      <w:r w:rsidRPr="00BE74DA">
        <w:rPr>
          <w:rFonts w:ascii="Verdana" w:eastAsia="Arial MT" w:hAnsi="Verdana" w:cs="Arial MT"/>
          <w:lang w:val="es-ES" w:eastAsia="es-ES"/>
        </w:rPr>
        <w:t xml:space="preserve"> </w:t>
      </w:r>
      <w:r w:rsidRPr="00BE74DA">
        <w:rPr>
          <w:rFonts w:ascii="Verdana" w:hAnsi="Verdana" w:cs="Arial"/>
        </w:rPr>
        <w:t xml:space="preserve">así como lo establecido en el artículo 4 de la Resolución 1707 de 2018 expedida por esta Entidad, </w:t>
      </w:r>
      <w:r w:rsidRPr="00BE74DA">
        <w:rPr>
          <w:rFonts w:ascii="Verdana" w:eastAsia="Calibri" w:hAnsi="Verdana" w:cs="Arial"/>
          <w:lang w:val="es-ES" w:eastAsia="es-ES"/>
        </w:rPr>
        <w:t xml:space="preserve">la Agencia Nacional de Contratación Pública – Colombia Compra Eficiente– responde su solicitud de consulta de fecha 21 de noviembre del 2024, en la cual manifiesta lo siguiente: </w:t>
      </w:r>
    </w:p>
    <w:p w14:paraId="1CEBC301" w14:textId="77777777" w:rsidR="00B77CFD" w:rsidRPr="00BE74DA" w:rsidRDefault="00B77CFD" w:rsidP="00B77CFD">
      <w:pPr>
        <w:spacing w:after="0"/>
        <w:jc w:val="both"/>
        <w:rPr>
          <w:rFonts w:ascii="Verdana" w:hAnsi="Verdana"/>
          <w:highlight w:val="cyan"/>
          <w:lang w:val="es-ES"/>
        </w:rPr>
      </w:pPr>
    </w:p>
    <w:p w14:paraId="66FA1310" w14:textId="77777777" w:rsidR="006E6AB5" w:rsidRPr="00BE74DA" w:rsidRDefault="00B77CFD" w:rsidP="00B77CFD">
      <w:pPr>
        <w:spacing w:after="0" w:line="240" w:lineRule="auto"/>
        <w:ind w:left="709" w:right="709"/>
        <w:jc w:val="both"/>
        <w:rPr>
          <w:rFonts w:ascii="Verdana" w:eastAsia="Century Gothic" w:hAnsi="Verdana" w:cs="Century Gothic"/>
          <w:sz w:val="20"/>
          <w:szCs w:val="20"/>
          <w:lang w:val="es-ES"/>
        </w:rPr>
      </w:pPr>
      <w:r w:rsidRPr="00BE74DA">
        <w:rPr>
          <w:rFonts w:ascii="Verdana" w:eastAsia="Century Gothic" w:hAnsi="Verdana" w:cs="Century Gothic"/>
          <w:sz w:val="20"/>
          <w:szCs w:val="20"/>
          <w:lang w:val="es-ES"/>
        </w:rPr>
        <w:t xml:space="preserve">“[…] </w:t>
      </w:r>
      <w:r w:rsidR="006E6AB5" w:rsidRPr="00BE74DA">
        <w:rPr>
          <w:rFonts w:ascii="Verdana" w:eastAsia="Century Gothic" w:hAnsi="Verdana" w:cs="Century Gothic"/>
          <w:sz w:val="20"/>
          <w:szCs w:val="20"/>
          <w:lang w:val="es-ES"/>
        </w:rPr>
        <w:t>1. ¿Para el caso en concreto donde el contrato principal es la obra civil, es correcto que el contratista haya aplicado AIU a la totalidad de los ítems solicitados para la ejecución del contrato, incluidos aquellos que corresponden a la adquisición de bienes y servicios específicos?</w:t>
      </w:r>
      <w:r w:rsidRPr="00BE74DA">
        <w:rPr>
          <w:rFonts w:ascii="Verdana" w:eastAsia="Century Gothic" w:hAnsi="Verdana" w:cs="Century Gothic"/>
          <w:sz w:val="20"/>
          <w:szCs w:val="20"/>
          <w:lang w:val="es-ES"/>
        </w:rPr>
        <w:t xml:space="preserve"> </w:t>
      </w:r>
    </w:p>
    <w:p w14:paraId="5D8E8221" w14:textId="77777777" w:rsidR="006E6AB5" w:rsidRPr="00BE74DA" w:rsidRDefault="006E6AB5" w:rsidP="00B77CFD">
      <w:pPr>
        <w:spacing w:after="0" w:line="240" w:lineRule="auto"/>
        <w:ind w:left="709" w:right="709"/>
        <w:jc w:val="both"/>
        <w:rPr>
          <w:rFonts w:ascii="Verdana" w:eastAsia="Century Gothic" w:hAnsi="Verdana" w:cs="Century Gothic"/>
          <w:sz w:val="20"/>
          <w:szCs w:val="20"/>
          <w:lang w:val="es-ES"/>
        </w:rPr>
      </w:pPr>
    </w:p>
    <w:p w14:paraId="66B1DDF8" w14:textId="77777777" w:rsidR="005B6C83" w:rsidRPr="00BE74DA" w:rsidRDefault="006E6AB5" w:rsidP="00B77CFD">
      <w:pPr>
        <w:spacing w:after="0" w:line="240" w:lineRule="auto"/>
        <w:ind w:left="709" w:right="709"/>
        <w:jc w:val="both"/>
        <w:rPr>
          <w:rFonts w:ascii="Verdana" w:eastAsia="Century Gothic" w:hAnsi="Verdana" w:cs="Century Gothic"/>
          <w:sz w:val="20"/>
          <w:szCs w:val="20"/>
          <w:lang w:val="es-ES"/>
        </w:rPr>
      </w:pPr>
      <w:r w:rsidRPr="00BE74DA">
        <w:rPr>
          <w:rFonts w:ascii="Verdana" w:eastAsia="Century Gothic" w:hAnsi="Verdana" w:cs="Century Gothic"/>
          <w:sz w:val="20"/>
          <w:szCs w:val="20"/>
          <w:lang w:val="es-ES"/>
        </w:rPr>
        <w:lastRenderedPageBreak/>
        <w:t xml:space="preserve">2. ¿Existen </w:t>
      </w:r>
      <w:r w:rsidR="005B6C83" w:rsidRPr="00BE74DA">
        <w:rPr>
          <w:rFonts w:ascii="Verdana" w:eastAsia="Century Gothic" w:hAnsi="Verdana" w:cs="Century Gothic"/>
          <w:sz w:val="20"/>
          <w:szCs w:val="20"/>
          <w:lang w:val="es-ES"/>
        </w:rPr>
        <w:t>bases contractuales o legales que soporten la aplicación del AIU en la totalidad de los ítems, más allá de los costos directos asociados a la obra civil?</w:t>
      </w:r>
    </w:p>
    <w:p w14:paraId="40719DE8" w14:textId="77777777" w:rsidR="005B6C83" w:rsidRPr="00BE74DA" w:rsidRDefault="005B6C83" w:rsidP="00B77CFD">
      <w:pPr>
        <w:spacing w:after="0" w:line="240" w:lineRule="auto"/>
        <w:ind w:left="709" w:right="709"/>
        <w:jc w:val="both"/>
        <w:rPr>
          <w:rFonts w:ascii="Verdana" w:eastAsia="Century Gothic" w:hAnsi="Verdana" w:cs="Century Gothic"/>
          <w:sz w:val="20"/>
          <w:szCs w:val="20"/>
          <w:lang w:val="es-ES"/>
        </w:rPr>
      </w:pPr>
    </w:p>
    <w:p w14:paraId="1BA4D123" w14:textId="7C66058C" w:rsidR="00B77CFD" w:rsidRPr="00BE74DA" w:rsidRDefault="005B6C83" w:rsidP="00B77CFD">
      <w:pPr>
        <w:spacing w:after="0" w:line="240" w:lineRule="auto"/>
        <w:ind w:left="709" w:right="709"/>
        <w:jc w:val="both"/>
        <w:rPr>
          <w:rFonts w:ascii="Verdana" w:eastAsia="Century Gothic" w:hAnsi="Verdana" w:cs="Century Gothic"/>
          <w:sz w:val="20"/>
          <w:szCs w:val="20"/>
          <w:lang w:val="es-ES"/>
        </w:rPr>
      </w:pPr>
      <w:r w:rsidRPr="00BE74DA">
        <w:rPr>
          <w:rFonts w:ascii="Verdana" w:eastAsia="Century Gothic" w:hAnsi="Verdana" w:cs="Century Gothic"/>
          <w:sz w:val="20"/>
          <w:szCs w:val="20"/>
          <w:lang w:val="es-ES"/>
        </w:rPr>
        <w:t xml:space="preserve">3. ¿La normativa aplicable establece algún limite o restricción a la aplicación del AIU? </w:t>
      </w:r>
      <w:r w:rsidR="00B77CFD" w:rsidRPr="00BE74DA">
        <w:rPr>
          <w:rFonts w:ascii="Verdana" w:eastAsia="Century Gothic" w:hAnsi="Verdana" w:cs="Century Gothic"/>
          <w:sz w:val="20"/>
          <w:szCs w:val="20"/>
          <w:lang w:val="es-ES"/>
        </w:rPr>
        <w:t>[…]”</w:t>
      </w:r>
    </w:p>
    <w:p w14:paraId="1CF7E20A" w14:textId="77777777" w:rsidR="00B77CFD" w:rsidRPr="00BE74DA" w:rsidRDefault="00B77CFD" w:rsidP="00B77CFD">
      <w:pPr>
        <w:spacing w:after="0"/>
        <w:jc w:val="both"/>
        <w:rPr>
          <w:rFonts w:ascii="Verdana" w:hAnsi="Verdana"/>
          <w:highlight w:val="cyan"/>
          <w:lang w:val="es-ES"/>
        </w:rPr>
      </w:pPr>
    </w:p>
    <w:p w14:paraId="6CA7678E" w14:textId="77777777" w:rsidR="00B77CFD" w:rsidRPr="00BE74DA" w:rsidRDefault="00B77CFD" w:rsidP="00B77CFD">
      <w:pPr>
        <w:spacing w:after="120" w:line="276" w:lineRule="auto"/>
        <w:ind w:firstLine="709"/>
        <w:jc w:val="both"/>
        <w:rPr>
          <w:rFonts w:ascii="Verdana" w:eastAsia="Calibri" w:hAnsi="Verdana" w:cs="Arial"/>
          <w:color w:val="000000"/>
          <w:lang w:val="es-ES_tradnl" w:eastAsia="es-ES_tradnl"/>
        </w:rPr>
      </w:pPr>
      <w:r w:rsidRPr="00BE74DA">
        <w:rPr>
          <w:rFonts w:ascii="Verdana" w:eastAsia="Calibri" w:hAnsi="Verdana" w:cs="Arial"/>
          <w:color w:val="000000"/>
          <w:lang w:val="es-ES" w:eastAsia="es-ES"/>
        </w:rPr>
        <w:t>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w:t>
      </w:r>
    </w:p>
    <w:p w14:paraId="6D3CAF30" w14:textId="77777777" w:rsidR="00B77CFD" w:rsidRPr="00BE74DA" w:rsidRDefault="00B77CFD" w:rsidP="00B77CFD">
      <w:pPr>
        <w:spacing w:after="0" w:line="276" w:lineRule="auto"/>
        <w:ind w:firstLine="709"/>
        <w:jc w:val="both"/>
        <w:rPr>
          <w:rFonts w:ascii="Verdana" w:eastAsia="Calibri" w:hAnsi="Verdana" w:cs="Arial"/>
          <w:color w:val="000000"/>
          <w:lang w:val="es-ES" w:eastAsia="es-ES"/>
        </w:rPr>
      </w:pPr>
      <w:r w:rsidRPr="00BE74DA">
        <w:rPr>
          <w:rFonts w:ascii="Verdana" w:eastAsia="Calibri" w:hAnsi="Verdana" w:cs="Arial"/>
          <w:color w:val="000000"/>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4C19C756" w14:textId="77777777" w:rsidR="00B77CFD" w:rsidRPr="00BE74DA" w:rsidRDefault="00B77CFD" w:rsidP="00B77CFD">
      <w:pPr>
        <w:spacing w:after="0"/>
        <w:jc w:val="both"/>
        <w:rPr>
          <w:rFonts w:ascii="Verdana" w:hAnsi="Verdana"/>
          <w:lang w:val="es-ES"/>
        </w:rPr>
      </w:pPr>
    </w:p>
    <w:p w14:paraId="140114AC" w14:textId="77777777" w:rsidR="00B77CFD" w:rsidRPr="00BE74DA" w:rsidRDefault="00B77CFD" w:rsidP="00B77CFD">
      <w:pPr>
        <w:pStyle w:val="ListParagraph"/>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BE74DA">
        <w:rPr>
          <w:rFonts w:ascii="Verdana" w:eastAsia="Century Gothic" w:hAnsi="Verdana" w:cs="Century Gothic"/>
          <w:b/>
          <w:bCs/>
        </w:rPr>
        <w:t>Problema planteado:</w:t>
      </w:r>
    </w:p>
    <w:p w14:paraId="0882C994" w14:textId="77777777" w:rsidR="00B77CFD" w:rsidRPr="00BE74DA" w:rsidRDefault="00B77CFD" w:rsidP="00B77CFD">
      <w:pPr>
        <w:spacing w:after="0"/>
        <w:jc w:val="both"/>
        <w:rPr>
          <w:rStyle w:val="Hyperlink"/>
          <w:rFonts w:ascii="Verdana" w:hAnsi="Verdana"/>
          <w:highlight w:val="cyan"/>
        </w:rPr>
      </w:pPr>
    </w:p>
    <w:p w14:paraId="1C7BE3FF" w14:textId="3E9A43D9" w:rsidR="00B77CFD" w:rsidRPr="00BE74DA" w:rsidRDefault="00B77CFD" w:rsidP="00B77CFD">
      <w:pPr>
        <w:spacing w:after="0" w:line="276" w:lineRule="auto"/>
        <w:jc w:val="both"/>
        <w:rPr>
          <w:rFonts w:ascii="Verdana" w:eastAsia="Calibri" w:hAnsi="Verdana" w:cs="Arial"/>
          <w:lang w:val="es-ES" w:bidi="es-ES"/>
        </w:rPr>
      </w:pPr>
      <w:r w:rsidRPr="00BE74DA">
        <w:rPr>
          <w:rFonts w:ascii="Verdana" w:eastAsia="Century Gothic" w:hAnsi="Verdana" w:cs="Arial"/>
        </w:rPr>
        <w:t xml:space="preserve">De acuerdo con el contenido de su solicitud, esta Agencia resolverá el siguiente problema jurídico: </w:t>
      </w:r>
      <w:r w:rsidR="00620FD0" w:rsidRPr="00000263">
        <w:rPr>
          <w:rFonts w:ascii="Verdana" w:eastAsia="Century Gothic" w:hAnsi="Verdana" w:cs="Arial"/>
        </w:rPr>
        <w:t>¿</w:t>
      </w:r>
      <w:r w:rsidR="00781A49" w:rsidRPr="00000263">
        <w:rPr>
          <w:rFonts w:ascii="Verdana" w:eastAsia="Century Gothic" w:hAnsi="Verdana" w:cs="Arial"/>
        </w:rPr>
        <w:t xml:space="preserve">Cuál es la incidencia </w:t>
      </w:r>
      <w:r w:rsidR="006D0C6C" w:rsidRPr="00000263">
        <w:rPr>
          <w:rFonts w:ascii="Verdana" w:eastAsia="Century Gothic" w:hAnsi="Verdana" w:cs="Arial"/>
        </w:rPr>
        <w:t>de pactar</w:t>
      </w:r>
      <w:r w:rsidR="00620FD0" w:rsidRPr="00000263">
        <w:rPr>
          <w:rFonts w:ascii="Verdana" w:eastAsia="Century Gothic" w:hAnsi="Verdana" w:cs="Arial"/>
        </w:rPr>
        <w:t xml:space="preserve"> AIU </w:t>
      </w:r>
      <w:r w:rsidR="00E3093E" w:rsidRPr="00000263">
        <w:rPr>
          <w:rFonts w:ascii="Verdana" w:eastAsia="Century Gothic" w:hAnsi="Verdana" w:cs="Arial"/>
        </w:rPr>
        <w:t>para</w:t>
      </w:r>
      <w:r w:rsidR="006D0C6C" w:rsidRPr="00000263">
        <w:rPr>
          <w:rFonts w:ascii="Verdana" w:eastAsia="Century Gothic" w:hAnsi="Verdana" w:cs="Arial"/>
        </w:rPr>
        <w:t xml:space="preserve"> la ejecución de un c</w:t>
      </w:r>
      <w:r w:rsidR="00FE4734" w:rsidRPr="00000263">
        <w:rPr>
          <w:rFonts w:ascii="Verdana" w:eastAsia="Century Gothic" w:hAnsi="Verdana" w:cs="Arial"/>
        </w:rPr>
        <w:t>ontrato estatal</w:t>
      </w:r>
      <w:r w:rsidR="006D0C6C" w:rsidRPr="00000263">
        <w:rPr>
          <w:rFonts w:ascii="Verdana" w:eastAsia="Century Gothic" w:hAnsi="Verdana" w:cs="Arial"/>
        </w:rPr>
        <w:t>?</w:t>
      </w:r>
      <w:r w:rsidR="00620FD0" w:rsidRPr="00000263">
        <w:rPr>
          <w:rFonts w:ascii="Verdana" w:eastAsia="Century Gothic" w:hAnsi="Verdana" w:cs="Arial"/>
        </w:rPr>
        <w:t xml:space="preserve"> </w:t>
      </w:r>
      <w:r w:rsidR="00620FD0" w:rsidRPr="00BE74DA">
        <w:rPr>
          <w:rFonts w:ascii="Verdana" w:eastAsia="Century Gothic" w:hAnsi="Verdana" w:cs="Century Gothic"/>
        </w:rPr>
        <w:t xml:space="preserve"> </w:t>
      </w:r>
    </w:p>
    <w:p w14:paraId="57E66E13" w14:textId="77777777" w:rsidR="00B77CFD" w:rsidRPr="00BE74DA" w:rsidRDefault="00B77CFD" w:rsidP="00B77CFD">
      <w:pPr>
        <w:spacing w:after="0"/>
        <w:jc w:val="both"/>
        <w:rPr>
          <w:rStyle w:val="Hyperlink"/>
          <w:rFonts w:ascii="Verdana" w:hAnsi="Verdana"/>
          <w:lang w:val="es-ES"/>
        </w:rPr>
      </w:pPr>
    </w:p>
    <w:p w14:paraId="3E19B0D6" w14:textId="77777777" w:rsidR="00B77CFD" w:rsidRPr="00BE74DA" w:rsidRDefault="00B77CFD" w:rsidP="00B77CFD">
      <w:pPr>
        <w:widowControl w:val="0"/>
        <w:autoSpaceDE w:val="0"/>
        <w:autoSpaceDN w:val="0"/>
        <w:spacing w:before="1" w:after="0" w:line="240" w:lineRule="auto"/>
        <w:jc w:val="both"/>
        <w:outlineLvl w:val="0"/>
        <w:rPr>
          <w:rFonts w:ascii="Verdana" w:eastAsia="Arial" w:hAnsi="Verdana" w:cs="Arial"/>
          <w:b/>
          <w:bCs/>
          <w:lang w:val="es-ES"/>
        </w:rPr>
      </w:pPr>
      <w:r w:rsidRPr="00BE74DA">
        <w:rPr>
          <w:rFonts w:ascii="Verdana" w:eastAsia="Arial" w:hAnsi="Verdana" w:cs="Arial"/>
          <w:b/>
          <w:bCs/>
          <w:lang w:val="es-ES"/>
        </w:rPr>
        <w:t>Respuesta:</w:t>
      </w:r>
    </w:p>
    <w:p w14:paraId="7AA1C4BA" w14:textId="77777777" w:rsidR="00B77CFD" w:rsidRPr="00BE74DA" w:rsidRDefault="00B77CFD" w:rsidP="00B77CFD">
      <w:pPr>
        <w:spacing w:after="0"/>
        <w:rPr>
          <w:rFonts w:ascii="Verdana" w:eastAsia="Aptos" w:hAnsi="Verdana" w:cs="Times New Roman"/>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B77CFD" w:rsidRPr="00BE74DA" w14:paraId="1B9758B1" w14:textId="77777777" w:rsidTr="00F139AF">
        <w:tc>
          <w:tcPr>
            <w:tcW w:w="8828" w:type="dxa"/>
            <w:shd w:val="clear" w:color="auto" w:fill="auto"/>
          </w:tcPr>
          <w:p w14:paraId="2B04FC3F" w14:textId="77777777" w:rsidR="00B77CFD" w:rsidRPr="00BE74DA" w:rsidRDefault="00B77CFD" w:rsidP="00F139AF">
            <w:pPr>
              <w:spacing w:after="120" w:line="276" w:lineRule="auto"/>
              <w:jc w:val="both"/>
              <w:rPr>
                <w:rFonts w:ascii="Verdana" w:eastAsia="Calibri" w:hAnsi="Verdana" w:cs="Arial"/>
                <w:lang w:val="es-ES"/>
              </w:rPr>
            </w:pPr>
            <w:bookmarkStart w:id="1" w:name="_Hlk171067516"/>
            <w:r w:rsidRPr="00BE74DA">
              <w:rPr>
                <w:rFonts w:ascii="Verdana" w:eastAsia="Calibri" w:hAnsi="Verdana" w:cs="Arial"/>
                <w:lang w:val="es-ES"/>
              </w:rPr>
              <w:t>En respuesta al problema planteado esta Subdirección manifiesta:</w:t>
            </w:r>
          </w:p>
          <w:p w14:paraId="56F3783B" w14:textId="3369C33B" w:rsidR="00A3151E" w:rsidRPr="00BE74DA" w:rsidRDefault="00A3151E" w:rsidP="00A3151E">
            <w:pPr>
              <w:spacing w:after="120" w:line="276" w:lineRule="auto"/>
              <w:jc w:val="both"/>
              <w:rPr>
                <w:rFonts w:ascii="Verdana" w:eastAsia="Times New Roman" w:hAnsi="Verdana" w:cs="Arial"/>
                <w:color w:val="000000"/>
                <w:lang w:val="es-ES" w:eastAsia="es-ES"/>
              </w:rPr>
            </w:pPr>
            <w:r w:rsidRPr="00BE74DA">
              <w:rPr>
                <w:rFonts w:ascii="Verdana" w:eastAsia="Times New Roman" w:hAnsi="Verdana" w:cs="Arial"/>
                <w:color w:val="000000" w:themeColor="text1"/>
                <w:lang w:val="es-ES" w:eastAsia="es-ES"/>
              </w:rPr>
              <w:t xml:space="preserve">Conforme a la interpretación general de las normas del sistema de compras públicas, el AIU hace parte del precio de los contratos, cuando se ha pactado esta metodología de cálculo de los costos indirectos, que resulta más común, sobre todo, en los contratos de tracto sucesivo, como los de obra pública a </w:t>
            </w:r>
            <w:r w:rsidRPr="00BE74DA">
              <w:rPr>
                <w:rFonts w:ascii="Verdana" w:eastAsia="Times New Roman" w:hAnsi="Verdana" w:cs="Arial"/>
                <w:color w:val="000000" w:themeColor="text1"/>
                <w:lang w:val="es-ES" w:eastAsia="es-ES"/>
              </w:rPr>
              <w:lastRenderedPageBreak/>
              <w:t>precios unitarios. Al ser un elemento que integra el precio que se paga al contratista, este goza, en principio, de libertad en la fijación de sus componentes, salvo que las partes hayan acordado una metodología especial en el contrato, que le imponga al contratista algunas restricciones, en virtud de la autonomía de la voluntad.</w:t>
            </w:r>
            <w:r w:rsidR="009247AB" w:rsidRPr="00000263">
              <w:rPr>
                <w:rFonts w:ascii="Verdana" w:eastAsia="Times New Roman" w:hAnsi="Verdana" w:cs="Arial"/>
                <w:color w:val="000000" w:themeColor="text1"/>
                <w:lang w:val="es-ES" w:eastAsia="es-ES"/>
              </w:rPr>
              <w:t xml:space="preserve"> </w:t>
            </w:r>
          </w:p>
          <w:p w14:paraId="01092DD1" w14:textId="77777777" w:rsidR="007E3DF3" w:rsidRPr="00000263" w:rsidRDefault="27440A97" w:rsidP="007E3DF3">
            <w:pPr>
              <w:spacing w:after="120" w:line="276" w:lineRule="auto"/>
              <w:ind w:firstLine="731"/>
              <w:jc w:val="both"/>
              <w:rPr>
                <w:rFonts w:ascii="Verdana" w:eastAsia="Times New Roman" w:hAnsi="Verdana" w:cs="Arial"/>
                <w:color w:val="000000" w:themeColor="text1"/>
                <w:lang w:val="es-ES" w:eastAsia="es-ES"/>
              </w:rPr>
            </w:pPr>
            <w:r w:rsidRPr="00000263">
              <w:rPr>
                <w:rFonts w:ascii="Verdana" w:eastAsia="Arial" w:hAnsi="Verdana" w:cs="Arial"/>
                <w:color w:val="000000" w:themeColor="text1"/>
              </w:rPr>
              <w:t>Al no estar el AIU regulado normativamente, no existe un deber jurídico consagrado en el Estatuto General de Contratación de la Administración Pública dirigido al contratista, para que este rinda cuentas sobre la destinación de los ítems que componen dicha partida. La metodología de estipulación y administración del AIU ha sido un desarrollo de la costumbre mercantil que se ha venido adopta</w:t>
            </w:r>
            <w:r w:rsidR="6003884C" w:rsidRPr="00000263">
              <w:rPr>
                <w:rFonts w:ascii="Verdana" w:eastAsia="Arial" w:hAnsi="Verdana" w:cs="Arial"/>
                <w:color w:val="000000" w:themeColor="text1"/>
              </w:rPr>
              <w:t>n</w:t>
            </w:r>
            <w:r w:rsidRPr="00000263">
              <w:rPr>
                <w:rFonts w:ascii="Verdana" w:eastAsia="Arial" w:hAnsi="Verdana" w:cs="Arial"/>
                <w:color w:val="000000" w:themeColor="text1"/>
              </w:rPr>
              <w:t xml:space="preserve">do voluntariamente por parte de las </w:t>
            </w:r>
            <w:r w:rsidR="00B6329F" w:rsidRPr="00000263">
              <w:rPr>
                <w:rFonts w:ascii="Verdana" w:eastAsia="Arial" w:hAnsi="Verdana" w:cs="Arial"/>
                <w:color w:val="000000" w:themeColor="text1"/>
              </w:rPr>
              <w:t>E</w:t>
            </w:r>
            <w:r w:rsidRPr="00000263">
              <w:rPr>
                <w:rFonts w:ascii="Verdana" w:eastAsia="Arial" w:hAnsi="Verdana" w:cs="Arial"/>
                <w:color w:val="000000" w:themeColor="text1"/>
              </w:rPr>
              <w:t xml:space="preserve">ntidades </w:t>
            </w:r>
            <w:r w:rsidR="00B6329F" w:rsidRPr="00000263">
              <w:rPr>
                <w:rFonts w:ascii="Verdana" w:eastAsia="Arial" w:hAnsi="Verdana" w:cs="Arial"/>
                <w:color w:val="000000" w:themeColor="text1"/>
              </w:rPr>
              <w:t>E</w:t>
            </w:r>
            <w:r w:rsidRPr="00000263">
              <w:rPr>
                <w:rFonts w:ascii="Verdana" w:eastAsia="Arial" w:hAnsi="Verdana" w:cs="Arial"/>
                <w:color w:val="000000" w:themeColor="text1"/>
              </w:rPr>
              <w:t>statales. Sin embargo, en caso que el pliego de condiciones o el contrato establezca la obligación de rendir dichas cuentas</w:t>
            </w:r>
            <w:r w:rsidR="05EC7718" w:rsidRPr="00000263">
              <w:rPr>
                <w:rFonts w:ascii="Verdana" w:eastAsia="Arial" w:hAnsi="Verdana" w:cs="Arial"/>
                <w:color w:val="000000" w:themeColor="text1"/>
              </w:rPr>
              <w:t xml:space="preserve"> sobre el citado AIU</w:t>
            </w:r>
            <w:r w:rsidRPr="00000263">
              <w:rPr>
                <w:rFonts w:ascii="Verdana" w:eastAsia="Arial" w:hAnsi="Verdana" w:cs="Arial"/>
                <w:color w:val="000000" w:themeColor="text1"/>
              </w:rPr>
              <w:t>, deberá respetarse este pacto</w:t>
            </w:r>
            <w:r w:rsidR="00276EC6" w:rsidRPr="00000263">
              <w:rPr>
                <w:rFonts w:ascii="Verdana" w:eastAsia="Arial" w:hAnsi="Verdana" w:cs="Arial"/>
                <w:color w:val="000000" w:themeColor="text1"/>
              </w:rPr>
              <w:t xml:space="preserve">, es decir, </w:t>
            </w:r>
            <w:r w:rsidR="00276EC6" w:rsidRPr="00000263">
              <w:rPr>
                <w:rFonts w:ascii="Verdana" w:eastAsia="Times New Roman" w:hAnsi="Verdana" w:cs="Arial"/>
                <w:color w:val="000000" w:themeColor="text1"/>
                <w:lang w:val="es-ES" w:eastAsia="es-ES"/>
              </w:rPr>
              <w:t>como una buena práctica contractual, resulta viable determinar en el</w:t>
            </w:r>
            <w:r w:rsidR="00BE422B" w:rsidRPr="00000263">
              <w:rPr>
                <w:rFonts w:ascii="Verdana" w:eastAsia="Times New Roman" w:hAnsi="Verdana" w:cs="Arial"/>
                <w:color w:val="000000" w:themeColor="text1"/>
                <w:lang w:val="es-ES" w:eastAsia="es-ES"/>
              </w:rPr>
              <w:t xml:space="preserve"> pliego de condiciones y en el </w:t>
            </w:r>
            <w:r w:rsidR="00276EC6" w:rsidRPr="00000263">
              <w:rPr>
                <w:rFonts w:ascii="Verdana" w:eastAsia="Times New Roman" w:hAnsi="Verdana" w:cs="Arial"/>
                <w:color w:val="000000" w:themeColor="text1"/>
                <w:lang w:val="es-ES" w:eastAsia="es-ES"/>
              </w:rPr>
              <w:t xml:space="preserve">contrato si así las partes lo estiman </w:t>
            </w:r>
            <w:r w:rsidR="00014454" w:rsidRPr="00000263">
              <w:rPr>
                <w:rFonts w:ascii="Verdana" w:eastAsia="Times New Roman" w:hAnsi="Verdana" w:cs="Arial"/>
                <w:color w:val="000000" w:themeColor="text1"/>
                <w:lang w:val="es-ES" w:eastAsia="es-ES"/>
              </w:rPr>
              <w:t>favorable</w:t>
            </w:r>
            <w:r w:rsidR="00276EC6" w:rsidRPr="00000263">
              <w:rPr>
                <w:rFonts w:ascii="Verdana" w:eastAsia="Times New Roman" w:hAnsi="Verdana" w:cs="Arial"/>
                <w:color w:val="000000" w:themeColor="text1"/>
                <w:lang w:val="es-ES" w:eastAsia="es-ES"/>
              </w:rPr>
              <w:t>, la forma en la que el contratista debe</w:t>
            </w:r>
            <w:r w:rsidR="00515DBC" w:rsidRPr="00000263">
              <w:rPr>
                <w:rFonts w:ascii="Verdana" w:eastAsia="Times New Roman" w:hAnsi="Verdana" w:cs="Arial"/>
                <w:color w:val="000000" w:themeColor="text1"/>
                <w:lang w:val="es-ES" w:eastAsia="es-ES"/>
              </w:rPr>
              <w:t>rá</w:t>
            </w:r>
            <w:r w:rsidR="00276EC6" w:rsidRPr="00000263">
              <w:rPr>
                <w:rFonts w:ascii="Verdana" w:eastAsia="Times New Roman" w:hAnsi="Verdana" w:cs="Arial"/>
                <w:color w:val="000000" w:themeColor="text1"/>
                <w:lang w:val="es-ES" w:eastAsia="es-ES"/>
              </w:rPr>
              <w:t xml:space="preserve"> demostrar la ocurrencia de los imprevistos y la determinación especifica de los gastos de administración.  </w:t>
            </w:r>
          </w:p>
          <w:p w14:paraId="7B471A90" w14:textId="77777777" w:rsidR="007E3DF3" w:rsidRPr="00000263" w:rsidRDefault="009E3E3B" w:rsidP="007E3DF3">
            <w:pPr>
              <w:spacing w:after="120" w:line="276" w:lineRule="auto"/>
              <w:ind w:firstLine="731"/>
              <w:jc w:val="both"/>
              <w:rPr>
                <w:rFonts w:ascii="Verdana" w:eastAsia="Arial" w:hAnsi="Verdana" w:cs="Arial"/>
                <w:color w:val="000000"/>
              </w:rPr>
            </w:pPr>
            <w:r w:rsidRPr="00000263">
              <w:rPr>
                <w:rFonts w:ascii="Verdana" w:eastAsia="Times New Roman" w:hAnsi="Verdana" w:cs="Arial"/>
                <w:color w:val="000000" w:themeColor="text1"/>
                <w:lang w:val="es-ES" w:eastAsia="es-ES"/>
              </w:rPr>
              <w:t>Finalmente, y para b</w:t>
            </w:r>
            <w:r w:rsidR="004C750B" w:rsidRPr="00000263">
              <w:rPr>
                <w:rFonts w:ascii="Verdana" w:eastAsia="Times New Roman" w:hAnsi="Verdana" w:cs="Arial"/>
                <w:color w:val="000000" w:themeColor="text1"/>
                <w:lang w:val="es-ES" w:eastAsia="es-ES"/>
              </w:rPr>
              <w:t>rindar respuesta al interrogante planteado debe señalarse que para determinar la incidencia de AIU en la ejecuc</w:t>
            </w:r>
            <w:r w:rsidR="00692F53" w:rsidRPr="00000263">
              <w:rPr>
                <w:rFonts w:ascii="Verdana" w:eastAsia="Times New Roman" w:hAnsi="Verdana" w:cs="Arial"/>
                <w:color w:val="000000" w:themeColor="text1"/>
                <w:lang w:val="es-ES" w:eastAsia="es-ES"/>
              </w:rPr>
              <w:t xml:space="preserve">ión de un contrato, se deberá hacer remisión </w:t>
            </w:r>
            <w:r w:rsidR="00725CC6" w:rsidRPr="00000263">
              <w:rPr>
                <w:rFonts w:ascii="Verdana" w:eastAsia="Times New Roman" w:hAnsi="Verdana" w:cs="Arial"/>
                <w:color w:val="000000" w:themeColor="text1"/>
                <w:lang w:val="es-ES" w:eastAsia="es-ES"/>
              </w:rPr>
              <w:t xml:space="preserve">a las especificidades que sobre </w:t>
            </w:r>
            <w:r w:rsidR="00D41297" w:rsidRPr="00000263">
              <w:rPr>
                <w:rFonts w:ascii="Verdana" w:eastAsia="Times New Roman" w:hAnsi="Verdana" w:cs="Arial"/>
                <w:color w:val="000000" w:themeColor="text1"/>
                <w:lang w:val="es-ES" w:eastAsia="es-ES"/>
              </w:rPr>
              <w:t xml:space="preserve">el asunto se hayan dispuesto en el pliego y la minuta del contrato, en todo caso, también </w:t>
            </w:r>
            <w:r w:rsidR="00217E98" w:rsidRPr="00000263">
              <w:rPr>
                <w:rFonts w:ascii="Verdana" w:eastAsia="Arial" w:hAnsi="Verdana" w:cs="Arial"/>
                <w:color w:val="000000"/>
                <w:lang w:val="es-ES"/>
              </w:rPr>
              <w:t xml:space="preserve">resulta preciso advertir que </w:t>
            </w:r>
            <w:r w:rsidR="00217E98" w:rsidRPr="00000263">
              <w:rPr>
                <w:rFonts w:ascii="Verdana" w:eastAsia="Arial" w:hAnsi="Verdana" w:cs="Arial"/>
                <w:color w:val="000000"/>
              </w:rPr>
              <w:t xml:space="preserve">cuando las Entidades Estatales incluyen esta forma de desglosar el precio, al realizar el estudio de mercado elaboran un presupuesto estimado del valor de la ejecución del contrato. Dicho presupuesto estimado incluye los costos genéricos indirectos en que incurren los contratistas, entre ellos, los de la Administración y los Imprevistos, para efectos de definir el porcentaje con el que calculan el presupuesto. </w:t>
            </w:r>
          </w:p>
          <w:p w14:paraId="3934D96F" w14:textId="15E7DE48" w:rsidR="00A3151E" w:rsidRPr="00000263" w:rsidRDefault="00A3151E" w:rsidP="007E3DF3">
            <w:pPr>
              <w:spacing w:after="120" w:line="276" w:lineRule="auto"/>
              <w:ind w:firstLine="731"/>
              <w:jc w:val="both"/>
              <w:rPr>
                <w:rFonts w:ascii="Verdana" w:eastAsia="Times New Roman" w:hAnsi="Verdana" w:cs="Arial"/>
                <w:color w:val="000000" w:themeColor="text1"/>
                <w:lang w:val="es-ES" w:eastAsia="es-ES"/>
              </w:rPr>
            </w:pPr>
            <w:r w:rsidRPr="00BE74DA">
              <w:rPr>
                <w:rFonts w:ascii="Verdana" w:hAnsi="Verdana" w:cs="Arial"/>
                <w:lang w:eastAsia="es-ES"/>
              </w:rPr>
              <w:t xml:space="preserve">Al margen de la explicación precedente debe advertirse que el análisis requerido para resolver problemas específicos en torno al AIU debe ser realizado por quienes tengan interés en ello, de acuerdo con lo explicado la aclaración preliminar del presente oficio. De esta manera, las afirmaciones aquí realizadas no pueden ser interpretadas como juicios de valor sobre circunstancias concretas relacionadas con los hechos que motivan la consulta. Por lo anterior, previo concepto de sus asesores, la solución de situaciones </w:t>
            </w:r>
            <w:r w:rsidRPr="00BE74DA">
              <w:rPr>
                <w:rFonts w:ascii="Verdana" w:hAnsi="Verdana" w:cs="Arial"/>
                <w:lang w:eastAsia="es-ES"/>
              </w:rPr>
              <w:lastRenderedPageBreak/>
              <w:t>particulares corresponde a los interesados adoptar la decisión correspondiente y, en caso de conflicto, a las autoridades judiciales, fiscales y disciplinarias.</w:t>
            </w:r>
          </w:p>
          <w:p w14:paraId="38C93F8A" w14:textId="31CA4E91" w:rsidR="00B77CFD" w:rsidRPr="00000263" w:rsidRDefault="00A3151E" w:rsidP="00E305E0">
            <w:pPr>
              <w:spacing w:before="120" w:line="276" w:lineRule="auto"/>
              <w:ind w:firstLine="709"/>
              <w:jc w:val="both"/>
              <w:rPr>
                <w:rFonts w:ascii="Verdana" w:hAnsi="Verdana" w:cs="Arial"/>
                <w:lang w:eastAsia="es-ES"/>
              </w:rPr>
            </w:pPr>
            <w:r w:rsidRPr="00BE74DA">
              <w:rPr>
                <w:rFonts w:ascii="Verdana" w:hAnsi="Verdana" w:cs="Arial"/>
                <w:lang w:eastAsia="es-ES"/>
              </w:rPr>
              <w:t>Dentro de este marco, la entidad contratante definirá en cada caso concreto lo relacionado con el tema objeto de consulta. Al tratarse de un análisis que debe realizarse en el procedimiento contractual específico, la Agencia no puede definir un criterio universal y absoluto por vía consultiva, sino que brinda elementos de carácter general para que los partícipes del sistema de compras y contratación pública adopten la decisión que corresponda, lo cual es acorde con el principio de juridicidad. De esta manera, cada entidad definirá la forma de adelantar su gestión contractual, sin que sea atribución de Colombia Compra Eficiente validar sus actuaciones.</w:t>
            </w:r>
          </w:p>
        </w:tc>
      </w:tr>
      <w:bookmarkEnd w:id="1"/>
    </w:tbl>
    <w:p w14:paraId="183243B0" w14:textId="77777777" w:rsidR="00B77CFD" w:rsidRPr="00BE74DA" w:rsidRDefault="00B77CFD" w:rsidP="00B77CFD">
      <w:pPr>
        <w:widowControl w:val="0"/>
        <w:autoSpaceDE w:val="0"/>
        <w:autoSpaceDN w:val="0"/>
        <w:spacing w:before="1" w:after="0" w:line="240" w:lineRule="auto"/>
        <w:ind w:left="360" w:hanging="360"/>
        <w:outlineLvl w:val="0"/>
        <w:rPr>
          <w:rFonts w:ascii="Verdana" w:eastAsia="Arial" w:hAnsi="Verdana" w:cs="Arial"/>
          <w:b/>
          <w:bCs/>
          <w:lang w:val="es-ES"/>
        </w:rPr>
      </w:pPr>
    </w:p>
    <w:p w14:paraId="5B5B720E" w14:textId="77777777" w:rsidR="00B77CFD" w:rsidRPr="00BE74DA" w:rsidRDefault="00B77CFD" w:rsidP="00B77CFD">
      <w:pPr>
        <w:widowControl w:val="0"/>
        <w:autoSpaceDE w:val="0"/>
        <w:autoSpaceDN w:val="0"/>
        <w:spacing w:before="1" w:after="0" w:line="240" w:lineRule="auto"/>
        <w:ind w:left="360" w:hanging="360"/>
        <w:outlineLvl w:val="0"/>
        <w:rPr>
          <w:rFonts w:ascii="Verdana" w:eastAsia="Arial" w:hAnsi="Verdana" w:cs="Arial"/>
          <w:b/>
          <w:bCs/>
          <w:lang w:val="es-ES"/>
        </w:rPr>
      </w:pPr>
      <w:r w:rsidRPr="00BE74DA">
        <w:rPr>
          <w:rFonts w:ascii="Verdana" w:eastAsia="Arial" w:hAnsi="Verdana" w:cs="Arial"/>
          <w:b/>
          <w:bCs/>
          <w:lang w:val="es-ES"/>
        </w:rPr>
        <w:t>3. Razones de la respuesta</w:t>
      </w:r>
    </w:p>
    <w:p w14:paraId="5E3368FD" w14:textId="77777777" w:rsidR="00B77CFD" w:rsidRPr="00BE74DA" w:rsidRDefault="00B77CFD" w:rsidP="00B77CFD">
      <w:pPr>
        <w:spacing w:after="0" w:line="276" w:lineRule="auto"/>
        <w:jc w:val="both"/>
        <w:rPr>
          <w:rFonts w:ascii="Verdana" w:eastAsia="Calibri" w:hAnsi="Verdana" w:cs="Arial"/>
          <w:lang w:val="es-ES"/>
        </w:rPr>
      </w:pPr>
    </w:p>
    <w:p w14:paraId="754F8CF2" w14:textId="77777777" w:rsidR="00B77CFD" w:rsidRPr="00BE74DA" w:rsidRDefault="00B77CFD" w:rsidP="00B77CFD">
      <w:pPr>
        <w:spacing w:after="0" w:line="276" w:lineRule="auto"/>
        <w:jc w:val="both"/>
        <w:rPr>
          <w:rFonts w:ascii="Verdana" w:eastAsia="Calibri" w:hAnsi="Verdana" w:cs="Arial"/>
          <w:lang w:val="es-ES"/>
        </w:rPr>
      </w:pPr>
      <w:r w:rsidRPr="00BE74DA">
        <w:rPr>
          <w:rFonts w:ascii="Verdana" w:eastAsia="Calibri" w:hAnsi="Verdana" w:cs="Arial"/>
          <w:lang w:val="es-ES"/>
        </w:rPr>
        <w:t xml:space="preserve">La respuesta anterior se sustenta en las siguientes consideraciones: </w:t>
      </w:r>
    </w:p>
    <w:p w14:paraId="1D775011" w14:textId="77777777" w:rsidR="00FE1807" w:rsidRPr="00BE74DA" w:rsidRDefault="00FE1807" w:rsidP="00FE1807">
      <w:pPr>
        <w:spacing w:after="0" w:line="276" w:lineRule="auto"/>
        <w:jc w:val="both"/>
        <w:rPr>
          <w:rFonts w:ascii="Verdana" w:eastAsia="Calibri" w:hAnsi="Verdana" w:cs="Arial"/>
          <w:lang w:val="es-ES"/>
        </w:rPr>
      </w:pPr>
    </w:p>
    <w:p w14:paraId="2EFBB225" w14:textId="77777777" w:rsidR="001104FD" w:rsidRPr="00BE74DA" w:rsidRDefault="00FE1807" w:rsidP="001104FD">
      <w:pPr>
        <w:pStyle w:val="ListParagraph"/>
        <w:numPr>
          <w:ilvl w:val="0"/>
          <w:numId w:val="19"/>
        </w:numPr>
        <w:spacing w:after="0" w:line="276" w:lineRule="auto"/>
        <w:jc w:val="both"/>
        <w:rPr>
          <w:rFonts w:ascii="Verdana" w:hAnsi="Verdana" w:cs="Arial"/>
          <w:bCs/>
          <w:szCs w:val="24"/>
          <w:lang w:val="es-ES_tradnl" w:eastAsia="es-ES_tradnl"/>
        </w:rPr>
      </w:pPr>
      <w:r w:rsidRPr="00BE74DA">
        <w:rPr>
          <w:rFonts w:ascii="Verdana" w:hAnsi="Verdana" w:cs="Arial"/>
          <w:bCs/>
          <w:szCs w:val="24"/>
          <w:lang w:val="es-ES_tradnl" w:eastAsia="es-ES_tradnl"/>
        </w:rPr>
        <w:t>Como es sabido, uno de los elementos más comunes en los contratos estatales es el precio, también conocido como valor. Aunque no todo contrato lo incluye –pues también existen negocios gratuitos– lo usual es que los contratos estatales se perfeccionen como onerosos y, la mayoría de las veces, como conmutativos. Adicionalmente, el precio suele ser el elemento más importante para el contratista, porque equivale a la remuneración que la entidad contratante le pagará por la ejecución del objeto contractual.</w:t>
      </w:r>
    </w:p>
    <w:p w14:paraId="2CF8AF6B" w14:textId="77777777" w:rsidR="001104FD" w:rsidRPr="00BE74DA" w:rsidRDefault="001104FD" w:rsidP="001104FD">
      <w:pPr>
        <w:pStyle w:val="ListParagraph"/>
        <w:spacing w:after="0" w:line="276" w:lineRule="auto"/>
        <w:ind w:left="360"/>
        <w:jc w:val="both"/>
        <w:rPr>
          <w:rFonts w:ascii="Verdana" w:hAnsi="Verdana" w:cs="Arial"/>
          <w:bCs/>
          <w:szCs w:val="24"/>
          <w:lang w:val="es-ES_tradnl" w:eastAsia="es-ES_tradnl"/>
        </w:rPr>
      </w:pPr>
    </w:p>
    <w:p w14:paraId="53256854" w14:textId="77777777" w:rsidR="00D242EA" w:rsidRPr="00BE74DA" w:rsidRDefault="00FE1807" w:rsidP="00D242EA">
      <w:pPr>
        <w:pStyle w:val="ListParagraph"/>
        <w:numPr>
          <w:ilvl w:val="0"/>
          <w:numId w:val="19"/>
        </w:numPr>
        <w:spacing w:after="0" w:line="276" w:lineRule="auto"/>
        <w:jc w:val="both"/>
        <w:rPr>
          <w:rFonts w:ascii="Verdana" w:hAnsi="Verdana" w:cs="Arial"/>
          <w:bCs/>
          <w:szCs w:val="24"/>
          <w:lang w:val="es-ES_tradnl" w:eastAsia="es-ES_tradnl"/>
        </w:rPr>
      </w:pPr>
      <w:r w:rsidRPr="00BE74DA">
        <w:rPr>
          <w:rFonts w:ascii="Verdana" w:hAnsi="Verdana" w:cs="Arial"/>
          <w:lang w:eastAsia="es-ES"/>
        </w:rPr>
        <w:t xml:space="preserve">Desde la etapa de planeación, en la fase precontractual, las </w:t>
      </w:r>
      <w:r w:rsidR="001104FD" w:rsidRPr="00BE74DA">
        <w:rPr>
          <w:rFonts w:ascii="Verdana" w:hAnsi="Verdana" w:cs="Arial"/>
          <w:lang w:eastAsia="es-ES"/>
        </w:rPr>
        <w:t>Entidades</w:t>
      </w:r>
      <w:r w:rsidRPr="00BE74DA">
        <w:rPr>
          <w:rFonts w:ascii="Verdana" w:hAnsi="Verdana" w:cs="Arial"/>
          <w:lang w:eastAsia="es-ES"/>
        </w:rPr>
        <w:t xml:space="preserve"> </w:t>
      </w:r>
      <w:r w:rsidR="001104FD" w:rsidRPr="00BE74DA">
        <w:rPr>
          <w:rFonts w:ascii="Verdana" w:hAnsi="Verdana" w:cs="Arial"/>
          <w:lang w:eastAsia="es-ES"/>
        </w:rPr>
        <w:t>E</w:t>
      </w:r>
      <w:r w:rsidRPr="00BE74DA">
        <w:rPr>
          <w:rFonts w:ascii="Verdana" w:hAnsi="Verdana" w:cs="Arial"/>
          <w:lang w:eastAsia="es-ES"/>
        </w:rPr>
        <w:t>statales deben calcular el presupuesto oficial, mediante la realización del análisis del sector –que incluye el estudio del mercado– y definir la metodología con la cual estructurarán el precio del contrato. Dicho de otro modo, hace parte de los estudios previos la definición del esquema que la Administración usará para estipular el precio. Tal metodología generalmente depende del tipo de contrato, pues hay algunas modalidades más comunes en los de obra pública; otras más utilizadas en los de prestación de servicios y otras más indicadas para los de concesión, por mencionar algunos ejemplos</w:t>
      </w:r>
      <w:r w:rsidRPr="00BE74DA">
        <w:rPr>
          <w:rFonts w:ascii="Verdana" w:hAnsi="Verdana"/>
          <w:vertAlign w:val="superscript"/>
          <w:lang w:eastAsia="es-ES"/>
        </w:rPr>
        <w:footnoteReference w:id="2"/>
      </w:r>
      <w:r w:rsidRPr="00BE74DA">
        <w:rPr>
          <w:rFonts w:ascii="Verdana" w:hAnsi="Verdana" w:cs="Arial"/>
          <w:lang w:eastAsia="es-ES"/>
        </w:rPr>
        <w:t xml:space="preserve">. No hay, pues, una sola metodología para pactar el precio y, en </w:t>
      </w:r>
      <w:r w:rsidRPr="00BE74DA">
        <w:rPr>
          <w:rFonts w:ascii="Verdana" w:hAnsi="Verdana" w:cs="Arial"/>
          <w:lang w:eastAsia="es-ES"/>
        </w:rPr>
        <w:lastRenderedPageBreak/>
        <w:t xml:space="preserve">gran medida, la manera de hacerlo ha obedecido a la costumbre mercantil y a la influencia de disciplinas técnicas, como la ingeniería o la administración de empresas, en la contratación estatal. Dentro de tales esquemas de establecimiento del precio pueden citarse, entre otros: i) los precios unitarios –calculados de acuerdo con las unidades que componen el objeto del contrato–, </w:t>
      </w:r>
      <w:proofErr w:type="spellStart"/>
      <w:r w:rsidRPr="00BE74DA">
        <w:rPr>
          <w:rFonts w:ascii="Verdana" w:hAnsi="Verdana" w:cs="Arial"/>
          <w:lang w:eastAsia="es-ES"/>
        </w:rPr>
        <w:t>ii</w:t>
      </w:r>
      <w:proofErr w:type="spellEnd"/>
      <w:r w:rsidRPr="00BE74DA">
        <w:rPr>
          <w:rFonts w:ascii="Verdana" w:hAnsi="Verdana" w:cs="Arial"/>
          <w:lang w:eastAsia="es-ES"/>
        </w:rPr>
        <w:t xml:space="preserve">) el precio global –que equivale al monto total, sin discriminar unidades–, y </w:t>
      </w:r>
      <w:proofErr w:type="spellStart"/>
      <w:r w:rsidRPr="00BE74DA">
        <w:rPr>
          <w:rFonts w:ascii="Verdana" w:hAnsi="Verdana" w:cs="Arial"/>
          <w:lang w:eastAsia="es-ES"/>
        </w:rPr>
        <w:t>iii</w:t>
      </w:r>
      <w:proofErr w:type="spellEnd"/>
      <w:r w:rsidRPr="00BE74DA">
        <w:rPr>
          <w:rFonts w:ascii="Verdana" w:hAnsi="Verdana" w:cs="Arial"/>
          <w:lang w:eastAsia="es-ES"/>
        </w:rPr>
        <w:t>) la administración delegada de recursos –en la que se distinguen los costos de inversión de los honorarios del administrador–</w:t>
      </w:r>
      <w:r w:rsidR="00D242EA" w:rsidRPr="00BE74DA">
        <w:rPr>
          <w:rFonts w:ascii="Verdana" w:hAnsi="Verdana" w:cs="Arial"/>
          <w:lang w:eastAsia="es-ES"/>
        </w:rPr>
        <w:t>.</w:t>
      </w:r>
    </w:p>
    <w:p w14:paraId="391321BD" w14:textId="77777777" w:rsidR="00D242EA" w:rsidRPr="00BE74DA" w:rsidRDefault="00D242EA" w:rsidP="00D242EA">
      <w:pPr>
        <w:pStyle w:val="ListParagraph"/>
        <w:spacing w:after="0" w:line="276" w:lineRule="auto"/>
        <w:ind w:left="360"/>
        <w:jc w:val="both"/>
        <w:rPr>
          <w:rFonts w:ascii="Verdana" w:hAnsi="Verdana" w:cs="Arial"/>
          <w:bCs/>
          <w:szCs w:val="24"/>
          <w:lang w:val="es-ES_tradnl" w:eastAsia="es-ES_tradnl"/>
        </w:rPr>
      </w:pPr>
    </w:p>
    <w:p w14:paraId="71C7C68F" w14:textId="77777777" w:rsidR="00D242EA" w:rsidRPr="00BE74DA" w:rsidRDefault="00FE1807" w:rsidP="00D242EA">
      <w:pPr>
        <w:pStyle w:val="ListParagraph"/>
        <w:numPr>
          <w:ilvl w:val="0"/>
          <w:numId w:val="19"/>
        </w:numPr>
        <w:spacing w:after="0" w:line="276" w:lineRule="auto"/>
        <w:jc w:val="both"/>
        <w:rPr>
          <w:rFonts w:ascii="Verdana" w:hAnsi="Verdana" w:cs="Arial"/>
          <w:bCs/>
          <w:szCs w:val="24"/>
          <w:lang w:val="es-ES_tradnl" w:eastAsia="es-ES_tradnl"/>
        </w:rPr>
      </w:pPr>
      <w:r w:rsidRPr="00BE74DA">
        <w:rPr>
          <w:rFonts w:ascii="Verdana" w:hAnsi="Verdana" w:cs="Arial"/>
          <w:lang w:eastAsia="es-ES"/>
        </w:rPr>
        <w:t xml:space="preserve">Pues bien, en los contratos cuyo precio se estructura a partir del sistema de precios unitarios, ha hecho parte de la práctica de los negocios que el contratante le solicite al potencial contratista que separe en su propuesta los </w:t>
      </w:r>
      <w:r w:rsidRPr="00BE74DA">
        <w:rPr>
          <w:rFonts w:ascii="Verdana" w:hAnsi="Verdana" w:cs="Arial"/>
          <w:i/>
          <w:iCs/>
          <w:lang w:eastAsia="es-ES"/>
        </w:rPr>
        <w:t>costos directos</w:t>
      </w:r>
      <w:r w:rsidRPr="00BE74DA">
        <w:rPr>
          <w:rFonts w:ascii="Verdana" w:hAnsi="Verdana" w:cs="Arial"/>
          <w:lang w:eastAsia="es-ES"/>
        </w:rPr>
        <w:t xml:space="preserve"> –es decir, los que están directamente implicados en la ejecución del objeto–, de los </w:t>
      </w:r>
      <w:r w:rsidRPr="00BE74DA">
        <w:rPr>
          <w:rFonts w:ascii="Verdana" w:hAnsi="Verdana" w:cs="Arial"/>
          <w:i/>
          <w:iCs/>
          <w:lang w:eastAsia="es-ES"/>
        </w:rPr>
        <w:t>costos indirectos</w:t>
      </w:r>
      <w:r w:rsidRPr="00BE74DA">
        <w:rPr>
          <w:rFonts w:ascii="Verdana" w:hAnsi="Verdana" w:cs="Arial"/>
          <w:lang w:eastAsia="es-ES"/>
        </w:rPr>
        <w:t xml:space="preserve"> –que equivalen a los rubros que no tienen que ver de manera inmediata con la ejecución de las actividades contractuales, pero que integran también el precio, bien porque constituyen erogaciones administrativas o contingentes para el contratista o bien porque se dirigen a salvaguardar su ganancia–. En tal sentido, mientras que los </w:t>
      </w:r>
      <w:r w:rsidRPr="00BE74DA">
        <w:rPr>
          <w:rFonts w:ascii="Verdana" w:hAnsi="Verdana" w:cs="Arial"/>
          <w:i/>
          <w:iCs/>
          <w:lang w:eastAsia="es-ES"/>
        </w:rPr>
        <w:t>costos directos</w:t>
      </w:r>
      <w:r w:rsidRPr="00BE74DA">
        <w:rPr>
          <w:rFonts w:ascii="Verdana" w:hAnsi="Verdana" w:cs="Arial"/>
          <w:lang w:eastAsia="es-ES"/>
        </w:rPr>
        <w:t xml:space="preserve"> se evidencian en el análisis de precios unitarios –APU–, como la sumatoria de los valores de los </w:t>
      </w:r>
      <w:r w:rsidRPr="00BE74DA">
        <w:rPr>
          <w:rFonts w:ascii="Verdana" w:hAnsi="Verdana" w:cs="Arial"/>
          <w:i/>
          <w:iCs/>
          <w:lang w:eastAsia="es-ES"/>
        </w:rPr>
        <w:t>ítems</w:t>
      </w:r>
      <w:r w:rsidRPr="00BE74DA">
        <w:rPr>
          <w:rFonts w:ascii="Verdana" w:hAnsi="Verdana" w:cs="Arial"/>
          <w:lang w:eastAsia="es-ES"/>
        </w:rPr>
        <w:t xml:space="preserve"> según su unidad de medida, los </w:t>
      </w:r>
      <w:r w:rsidRPr="00BE74DA">
        <w:rPr>
          <w:rFonts w:ascii="Verdana" w:hAnsi="Verdana" w:cs="Arial"/>
          <w:i/>
          <w:iCs/>
          <w:lang w:eastAsia="es-ES"/>
        </w:rPr>
        <w:t>costos indirectos</w:t>
      </w:r>
      <w:r w:rsidRPr="00BE74DA">
        <w:rPr>
          <w:rFonts w:ascii="Verdana" w:hAnsi="Verdana" w:cs="Arial"/>
          <w:lang w:eastAsia="es-ES"/>
        </w:rPr>
        <w:t xml:space="preserve"> se suelen abreviar en las variables que integran el acrónimo AIU –Administración, Imprevistos y Utilidad–. </w:t>
      </w:r>
    </w:p>
    <w:p w14:paraId="181951F7" w14:textId="77777777" w:rsidR="00D242EA" w:rsidRPr="00BE74DA" w:rsidRDefault="00D242EA" w:rsidP="00D242EA">
      <w:pPr>
        <w:pStyle w:val="ListParagraph"/>
        <w:rPr>
          <w:rFonts w:ascii="Verdana" w:hAnsi="Verdana" w:cs="Arial"/>
          <w:bCs/>
          <w:szCs w:val="24"/>
          <w:lang w:eastAsia="es-ES_tradnl"/>
        </w:rPr>
      </w:pPr>
    </w:p>
    <w:p w14:paraId="123420AB" w14:textId="336CD8D9" w:rsidR="00FE1807" w:rsidRPr="00BE74DA" w:rsidRDefault="00FE1807" w:rsidP="00D242EA">
      <w:pPr>
        <w:pStyle w:val="ListParagraph"/>
        <w:numPr>
          <w:ilvl w:val="0"/>
          <w:numId w:val="19"/>
        </w:numPr>
        <w:spacing w:after="0" w:line="276" w:lineRule="auto"/>
        <w:jc w:val="both"/>
        <w:rPr>
          <w:rFonts w:ascii="Verdana" w:hAnsi="Verdana" w:cs="Arial"/>
          <w:bCs/>
          <w:szCs w:val="24"/>
          <w:lang w:val="es-ES_tradnl" w:eastAsia="es-ES_tradnl"/>
        </w:rPr>
      </w:pPr>
      <w:r w:rsidRPr="00BE74DA">
        <w:rPr>
          <w:rFonts w:ascii="Verdana" w:hAnsi="Verdana" w:cs="Arial"/>
          <w:bCs/>
          <w:szCs w:val="24"/>
          <w:lang w:eastAsia="es-ES_tradnl"/>
        </w:rPr>
        <w:t>L</w:t>
      </w:r>
      <w:r w:rsidRPr="00BE74DA">
        <w:rPr>
          <w:rFonts w:ascii="Verdana" w:hAnsi="Verdana" w:cs="Arial"/>
          <w:bCs/>
          <w:szCs w:val="24"/>
          <w:lang w:val="es-ES_tradnl" w:eastAsia="es-ES_tradnl"/>
        </w:rPr>
        <w:t xml:space="preserve">a jurisprudencia ha señalado que “[…] </w:t>
      </w:r>
      <w:r w:rsidRPr="00BE74DA">
        <w:rPr>
          <w:rFonts w:ascii="Verdana" w:hAnsi="Verdana" w:cs="Arial"/>
          <w:bCs/>
          <w:szCs w:val="24"/>
          <w:lang w:eastAsia="es-ES_tradnl"/>
        </w:rPr>
        <w:t xml:space="preserve">en la conformación de dichos precios unitarios, se tienen en cuenta todos los gastos que se requieren para realizar la unidad de medida respectiva –el metro lineal, el metro cúbico, el metro cuadrado, etc.-. Y lo que comúnmente se denomina análisis de precios unitarios, corresponde a la descomposición de </w:t>
      </w:r>
      <w:proofErr w:type="gramStart"/>
      <w:r w:rsidRPr="00BE74DA">
        <w:rPr>
          <w:rFonts w:ascii="Verdana" w:hAnsi="Verdana" w:cs="Arial"/>
          <w:bCs/>
          <w:szCs w:val="24"/>
          <w:lang w:eastAsia="es-ES_tradnl"/>
        </w:rPr>
        <w:t>los mismos</w:t>
      </w:r>
      <w:proofErr w:type="gramEnd"/>
      <w:r w:rsidRPr="00BE74DA">
        <w:rPr>
          <w:rFonts w:ascii="Verdana" w:hAnsi="Verdana" w:cs="Arial"/>
          <w:bCs/>
          <w:szCs w:val="24"/>
          <w:lang w:eastAsia="es-ES_tradnl"/>
        </w:rPr>
        <w:t xml:space="preserve"> para determinar los costos que los conforman: la maquinaria que se utilizará, calculando el valor por el tiempo que se requiera; la mano de obra, teniendo en cuenta el costo hora-hombre, y cuántas personas se requieren para la ejecución de esa unidad de medida; la cantidad de los materiales necesarios, etc.</w:t>
      </w:r>
      <w:r w:rsidRPr="00BE74DA">
        <w:rPr>
          <w:rFonts w:ascii="Verdana" w:hAnsi="Verdana" w:cs="Arial"/>
          <w:bCs/>
          <w:szCs w:val="24"/>
          <w:lang w:val="es-ES_tradnl" w:eastAsia="es-ES_tradnl"/>
        </w:rPr>
        <w:t>”</w:t>
      </w:r>
      <w:r w:rsidRPr="00BE74DA">
        <w:rPr>
          <w:rStyle w:val="FootnoteReference"/>
          <w:rFonts w:ascii="Verdana" w:hAnsi="Verdana" w:cs="Arial"/>
          <w:bCs/>
          <w:szCs w:val="24"/>
          <w:lang w:val="es-ES_tradnl" w:eastAsia="es-ES_tradnl"/>
        </w:rPr>
        <w:footnoteReference w:id="3"/>
      </w:r>
      <w:r w:rsidRPr="00BE74DA">
        <w:rPr>
          <w:rFonts w:ascii="Verdana" w:hAnsi="Verdana" w:cs="Arial"/>
          <w:bCs/>
          <w:szCs w:val="24"/>
          <w:lang w:eastAsia="es-ES_tradnl"/>
        </w:rPr>
        <w:t>. En concordancia, la doctrina explica que en la estructuración de los precios unitarios se tendrán en cuenta todos los costos directos necesarios para la ejecución del objeto contractual que se multiplicará por al AIU, lo que determina el valor unitario:</w:t>
      </w:r>
    </w:p>
    <w:p w14:paraId="74D5F0F9" w14:textId="77777777" w:rsidR="00FE1807" w:rsidRPr="00BE74DA" w:rsidRDefault="00FE1807" w:rsidP="00FE1807">
      <w:pPr>
        <w:spacing w:after="0" w:line="276" w:lineRule="auto"/>
        <w:ind w:firstLine="709"/>
        <w:jc w:val="both"/>
        <w:rPr>
          <w:rFonts w:ascii="Verdana" w:hAnsi="Verdana" w:cs="Arial"/>
          <w:bCs/>
          <w:szCs w:val="24"/>
          <w:lang w:eastAsia="es-ES_tradnl"/>
        </w:rPr>
      </w:pPr>
    </w:p>
    <w:p w14:paraId="4E8A6AC8" w14:textId="77777777" w:rsidR="00FE1807" w:rsidRPr="00BE74DA" w:rsidRDefault="00FE1807" w:rsidP="00D242EA">
      <w:pPr>
        <w:tabs>
          <w:tab w:val="left" w:pos="709"/>
        </w:tabs>
        <w:spacing w:after="0" w:line="240" w:lineRule="auto"/>
        <w:ind w:left="709" w:right="709"/>
        <w:jc w:val="both"/>
        <w:rPr>
          <w:rFonts w:ascii="Verdana" w:hAnsi="Verdana" w:cs="Arial"/>
          <w:sz w:val="20"/>
          <w:szCs w:val="20"/>
          <w:lang w:val="es-ES" w:eastAsia="es-ES"/>
        </w:rPr>
      </w:pPr>
      <w:r w:rsidRPr="00BE74DA">
        <w:rPr>
          <w:rFonts w:ascii="Verdana" w:hAnsi="Verdana" w:cs="Arial"/>
          <w:sz w:val="20"/>
          <w:szCs w:val="20"/>
          <w:lang w:val="es-ES" w:eastAsia="es-ES"/>
        </w:rPr>
        <w:t>“Cada uno de los valores unitarios resultan de un análisis de los componentes requeridos para su elaboración, estudio que se denomina comúnmente ‘análisis de precios unitarios’. Así, se examinará, por ejemplo, que para la construcción de un metro cuadrado de muro se requieren 50 ladrillos, que tienen un valor de $50.000; 15 kilos de cemento, que tienen un valor de $5.000; 30 kilos de arena, que tienen un valor de $500; 5 litros de agua, que tienen un valor de 100, y la mano de obra que tiene un valor de $5.000. La sumatoria de cada uno de estos insumos básicos arroja el costo directo que debe cancelar el contratista para la construcción de un metro de muro.</w:t>
      </w:r>
    </w:p>
    <w:p w14:paraId="7DED2DE3" w14:textId="77777777" w:rsidR="00D242EA" w:rsidRPr="00BE74DA" w:rsidRDefault="00D242EA" w:rsidP="00D242EA">
      <w:pPr>
        <w:tabs>
          <w:tab w:val="left" w:pos="709"/>
        </w:tabs>
        <w:spacing w:after="0" w:line="240" w:lineRule="auto"/>
        <w:ind w:left="709" w:right="709"/>
        <w:jc w:val="both"/>
        <w:rPr>
          <w:rFonts w:ascii="Verdana" w:hAnsi="Verdana" w:cs="Arial"/>
          <w:sz w:val="20"/>
          <w:szCs w:val="20"/>
          <w:lang w:val="es-ES" w:eastAsia="es-ES"/>
        </w:rPr>
      </w:pPr>
    </w:p>
    <w:p w14:paraId="2F2F4AE8" w14:textId="77777777" w:rsidR="00FE1807" w:rsidRPr="00BE74DA" w:rsidRDefault="00FE1807" w:rsidP="00D242EA">
      <w:pPr>
        <w:tabs>
          <w:tab w:val="left" w:pos="709"/>
        </w:tabs>
        <w:spacing w:after="0" w:line="240" w:lineRule="auto"/>
        <w:ind w:left="709" w:right="709"/>
        <w:jc w:val="both"/>
        <w:rPr>
          <w:rFonts w:ascii="Verdana" w:hAnsi="Verdana" w:cs="Arial"/>
          <w:sz w:val="20"/>
          <w:szCs w:val="20"/>
          <w:lang w:val="es-ES_tradnl" w:eastAsia="es-ES_tradnl"/>
        </w:rPr>
      </w:pPr>
      <w:r w:rsidRPr="00BE74DA">
        <w:rPr>
          <w:rFonts w:ascii="Verdana" w:hAnsi="Verdana" w:cs="Arial"/>
          <w:sz w:val="20"/>
          <w:szCs w:val="20"/>
          <w:lang w:val="es-ES_tradnl" w:eastAsia="es-ES_tradnl"/>
        </w:rPr>
        <w:t>El costo directo se multiplica por el AIU, es decir, por los gastos de administración, que incluye los gastos de personal que dirige la obra; los gastos de imprevistos, que pretende cubrir imprevistos y la utilidad. El resultado de la multiplicación anterior determina el valor unitario que deberá cancelar la entidad estatal. Dentro del valor unitario, entonces, están incorporados la totalidad de los gastos en los que incurre el contratista y la utilidad que espera recibir”</w:t>
      </w:r>
      <w:r w:rsidRPr="00BE74DA">
        <w:rPr>
          <w:rStyle w:val="FootnoteReference"/>
          <w:rFonts w:ascii="Verdana" w:hAnsi="Verdana" w:cs="Arial"/>
          <w:sz w:val="20"/>
          <w:szCs w:val="20"/>
          <w:lang w:val="es-ES_tradnl" w:eastAsia="es-ES_tradnl"/>
        </w:rPr>
        <w:footnoteReference w:id="4"/>
      </w:r>
      <w:r w:rsidRPr="00BE74DA">
        <w:rPr>
          <w:rFonts w:ascii="Verdana" w:hAnsi="Verdana" w:cs="Arial"/>
          <w:sz w:val="20"/>
          <w:szCs w:val="20"/>
          <w:lang w:val="es-ES_tradnl" w:eastAsia="es-ES_tradnl"/>
        </w:rPr>
        <w:t xml:space="preserve">. </w:t>
      </w:r>
    </w:p>
    <w:p w14:paraId="42222508" w14:textId="77777777" w:rsidR="00D242EA" w:rsidRPr="00BE74DA" w:rsidRDefault="00D242EA" w:rsidP="00D242EA">
      <w:pPr>
        <w:spacing w:after="0" w:line="276" w:lineRule="auto"/>
        <w:jc w:val="both"/>
        <w:rPr>
          <w:rFonts w:ascii="Verdana" w:hAnsi="Verdana" w:cs="Arial"/>
          <w:szCs w:val="24"/>
          <w:lang w:val="es-ES_tradnl" w:eastAsia="es-ES_tradnl"/>
        </w:rPr>
      </w:pPr>
    </w:p>
    <w:p w14:paraId="35EBB596" w14:textId="5782707C" w:rsidR="00FE1807" w:rsidRPr="00BE74DA" w:rsidRDefault="00FE1807" w:rsidP="00D242EA">
      <w:pPr>
        <w:pStyle w:val="ListParagraph"/>
        <w:numPr>
          <w:ilvl w:val="0"/>
          <w:numId w:val="20"/>
        </w:numPr>
        <w:spacing w:after="0" w:line="276" w:lineRule="auto"/>
        <w:jc w:val="both"/>
        <w:rPr>
          <w:rFonts w:ascii="Verdana" w:hAnsi="Verdana" w:cs="Arial"/>
          <w:szCs w:val="24"/>
          <w:lang w:val="es-ES_tradnl" w:eastAsia="es-ES_tradnl"/>
        </w:rPr>
      </w:pPr>
      <w:r w:rsidRPr="00BE74DA">
        <w:rPr>
          <w:rFonts w:ascii="Verdana" w:hAnsi="Verdana" w:cs="Arial"/>
          <w:szCs w:val="24"/>
          <w:lang w:val="es-ES_tradnl" w:eastAsia="es-ES_tradnl"/>
        </w:rPr>
        <w:t xml:space="preserve">Por su parte, de acuerdo con la Sección Tercera del Consejo de Estado, el AIU, concepto de común utilización en los contratos de tracto sucesivo –entre </w:t>
      </w:r>
      <w:r w:rsidRPr="00BE74DA">
        <w:rPr>
          <w:rFonts w:ascii="Verdana" w:hAnsi="Verdana" w:cs="Arial"/>
          <w:szCs w:val="24"/>
          <w:lang w:val="es-ES_tradnl" w:eastAsia="es-ES_tradnl"/>
        </w:rPr>
        <w:lastRenderedPageBreak/>
        <w:t xml:space="preserve">ellos, los contratos de obra– no cuenta con una definición normativa, pero hay elementos que permiten precisar su alcance, así: </w:t>
      </w:r>
    </w:p>
    <w:p w14:paraId="2EA20021" w14:textId="77777777" w:rsidR="00FE1807" w:rsidRPr="00BE74DA" w:rsidRDefault="00FE1807" w:rsidP="00FE1807">
      <w:pPr>
        <w:spacing w:after="0" w:line="276" w:lineRule="auto"/>
        <w:ind w:firstLine="709"/>
        <w:jc w:val="both"/>
        <w:rPr>
          <w:rFonts w:ascii="Verdana" w:hAnsi="Verdana" w:cs="Arial"/>
          <w:szCs w:val="24"/>
          <w:lang w:val="es-ES_tradnl" w:eastAsia="es-ES_tradnl"/>
        </w:rPr>
      </w:pPr>
    </w:p>
    <w:p w14:paraId="1952FFAF" w14:textId="2D9CA411" w:rsidR="00D54DBC" w:rsidRPr="00BE74DA" w:rsidRDefault="00FE1807" w:rsidP="00D54DBC">
      <w:pPr>
        <w:tabs>
          <w:tab w:val="left" w:pos="709"/>
        </w:tabs>
        <w:spacing w:after="0" w:line="240" w:lineRule="auto"/>
        <w:ind w:left="709" w:right="709"/>
        <w:jc w:val="both"/>
        <w:rPr>
          <w:rFonts w:ascii="Verdana" w:hAnsi="Verdana" w:cs="Arial"/>
          <w:sz w:val="20"/>
          <w:szCs w:val="20"/>
          <w:lang w:val="es-ES_tradnl" w:eastAsia="es-ES_tradnl"/>
        </w:rPr>
      </w:pPr>
      <w:r w:rsidRPr="00BE74DA">
        <w:rPr>
          <w:rFonts w:ascii="Verdana" w:hAnsi="Verdana" w:cs="Arial"/>
          <w:sz w:val="20"/>
          <w:szCs w:val="20"/>
          <w:lang w:val="es-ES_tradnl" w:eastAsia="es-ES_tradnl"/>
        </w:rPr>
        <w:t xml:space="preserve">“[…] el AIU propuesto para el contrato, corresponde a: </w:t>
      </w:r>
    </w:p>
    <w:p w14:paraId="486AFE8E" w14:textId="77777777" w:rsidR="00FE1807" w:rsidRPr="00BE74DA" w:rsidRDefault="00FE1807" w:rsidP="00D242EA">
      <w:pPr>
        <w:tabs>
          <w:tab w:val="left" w:pos="709"/>
        </w:tabs>
        <w:spacing w:after="0" w:line="240" w:lineRule="auto"/>
        <w:ind w:left="709" w:right="709"/>
        <w:jc w:val="both"/>
        <w:rPr>
          <w:rFonts w:ascii="Verdana" w:hAnsi="Verdana" w:cs="Arial"/>
          <w:sz w:val="20"/>
          <w:szCs w:val="20"/>
          <w:lang w:val="es-ES_tradnl" w:eastAsia="es-ES_tradnl"/>
        </w:rPr>
      </w:pPr>
      <w:r w:rsidRPr="00BE74DA">
        <w:rPr>
          <w:rFonts w:ascii="Verdana" w:hAnsi="Verdana" w:cs="Arial"/>
          <w:sz w:val="20"/>
          <w:szCs w:val="20"/>
          <w:lang w:val="es-ES_tradnl" w:eastAsia="es-ES_tradnl"/>
        </w:rPr>
        <w:t xml:space="preserve">i) los costos de administración o costos indirectos para la operación del contrato, tales como los gastos de disponibilidad de la organización del contratista, esto es: A; </w:t>
      </w:r>
    </w:p>
    <w:p w14:paraId="4BB464E1" w14:textId="77777777" w:rsidR="00FE1807" w:rsidRPr="00BE74DA" w:rsidRDefault="00FE1807" w:rsidP="00D242EA">
      <w:pPr>
        <w:tabs>
          <w:tab w:val="left" w:pos="709"/>
        </w:tabs>
        <w:spacing w:after="0" w:line="240" w:lineRule="auto"/>
        <w:ind w:left="709" w:right="709"/>
        <w:jc w:val="both"/>
        <w:rPr>
          <w:rFonts w:ascii="Verdana" w:hAnsi="Verdana" w:cs="Arial"/>
          <w:sz w:val="20"/>
          <w:szCs w:val="20"/>
          <w:lang w:val="es-ES" w:eastAsia="es-ES"/>
        </w:rPr>
      </w:pPr>
      <w:proofErr w:type="spellStart"/>
      <w:r w:rsidRPr="00BE74DA">
        <w:rPr>
          <w:rFonts w:ascii="Verdana" w:hAnsi="Verdana" w:cs="Arial"/>
          <w:sz w:val="20"/>
          <w:szCs w:val="20"/>
          <w:lang w:val="es-ES" w:eastAsia="es-ES"/>
        </w:rPr>
        <w:t>ii</w:t>
      </w:r>
      <w:proofErr w:type="spellEnd"/>
      <w:r w:rsidRPr="00BE74DA">
        <w:rPr>
          <w:rFonts w:ascii="Verdana" w:hAnsi="Verdana" w:cs="Arial"/>
          <w:sz w:val="20"/>
          <w:szCs w:val="20"/>
          <w:lang w:val="es-ES" w:eastAsia="es-ES"/>
        </w:rPr>
        <w:t xml:space="preserve">) los imprevistos, que es el porcentaje destinado a cubrir los gastos con los que no se contaba y que se presenten durante la ejecución del contrato, esto es, el </w:t>
      </w:r>
      <w:proofErr w:type="spellStart"/>
      <w:r w:rsidRPr="00BE74DA">
        <w:rPr>
          <w:rFonts w:ascii="Verdana" w:hAnsi="Verdana" w:cs="Arial"/>
          <w:sz w:val="20"/>
          <w:szCs w:val="20"/>
          <w:lang w:val="es-ES" w:eastAsia="es-ES"/>
        </w:rPr>
        <w:t>álea</w:t>
      </w:r>
      <w:proofErr w:type="spellEnd"/>
      <w:r w:rsidRPr="00BE74DA">
        <w:rPr>
          <w:rFonts w:ascii="Verdana" w:hAnsi="Verdana" w:cs="Arial"/>
          <w:sz w:val="20"/>
          <w:szCs w:val="20"/>
          <w:lang w:val="es-ES" w:eastAsia="es-ES"/>
        </w:rPr>
        <w:t xml:space="preserve"> normal del contrato: I; </w:t>
      </w:r>
    </w:p>
    <w:p w14:paraId="628ED6AA" w14:textId="77777777" w:rsidR="00FE1807" w:rsidRPr="00BE74DA" w:rsidRDefault="00FE1807" w:rsidP="00D242EA">
      <w:pPr>
        <w:tabs>
          <w:tab w:val="left" w:pos="709"/>
        </w:tabs>
        <w:spacing w:after="0" w:line="240" w:lineRule="auto"/>
        <w:ind w:left="709" w:right="709"/>
        <w:jc w:val="both"/>
        <w:rPr>
          <w:rFonts w:ascii="Verdana" w:hAnsi="Verdana" w:cs="Arial"/>
          <w:sz w:val="20"/>
          <w:szCs w:val="20"/>
          <w:lang w:val="es-ES" w:eastAsia="es-ES"/>
        </w:rPr>
      </w:pPr>
      <w:proofErr w:type="spellStart"/>
      <w:r w:rsidRPr="00BE74DA">
        <w:rPr>
          <w:rFonts w:ascii="Verdana" w:hAnsi="Verdana" w:cs="Arial"/>
          <w:sz w:val="20"/>
          <w:szCs w:val="20"/>
          <w:lang w:val="es-ES" w:eastAsia="es-ES"/>
        </w:rPr>
        <w:t>iii</w:t>
      </w:r>
      <w:proofErr w:type="spellEnd"/>
      <w:r w:rsidRPr="00BE74DA">
        <w:rPr>
          <w:rFonts w:ascii="Verdana" w:hAnsi="Verdana" w:cs="Arial"/>
          <w:sz w:val="20"/>
          <w:szCs w:val="20"/>
          <w:lang w:val="es-ES" w:eastAsia="es-ES"/>
        </w:rPr>
        <w:t xml:space="preserve">) la utilidad o el beneficio económico que pretende percibir el contratista por la ejecución del contrato, esto es: U. </w:t>
      </w:r>
    </w:p>
    <w:p w14:paraId="1CCE2A2D" w14:textId="77777777" w:rsidR="00FE1807" w:rsidRPr="00BE74DA" w:rsidRDefault="00FE1807" w:rsidP="00D242EA">
      <w:pPr>
        <w:tabs>
          <w:tab w:val="left" w:pos="709"/>
        </w:tabs>
        <w:spacing w:after="0" w:line="240" w:lineRule="auto"/>
        <w:ind w:left="709" w:right="709"/>
        <w:jc w:val="both"/>
        <w:rPr>
          <w:rFonts w:ascii="Verdana" w:hAnsi="Verdana" w:cs="Arial"/>
          <w:sz w:val="20"/>
          <w:szCs w:val="20"/>
          <w:lang w:val="es-ES_tradnl" w:eastAsia="es-ES_tradnl"/>
        </w:rPr>
      </w:pPr>
      <w:r w:rsidRPr="00BE74DA">
        <w:rPr>
          <w:rFonts w:ascii="Verdana" w:hAnsi="Verdana" w:cs="Arial"/>
          <w:sz w:val="20"/>
          <w:szCs w:val="20"/>
          <w:lang w:val="es-ES_tradnl" w:eastAsia="es-ES_tradnl"/>
        </w:rPr>
        <w:t>Ahora, teniendo en cuenta que no existe ninguna reglamentación que establezca porcentajes mínimos o máximos para determinar el A.I.U., cada empresa o comerciante de acuerdo con su infraestructura, experiencia, las condiciones del mercado, la naturaleza del contrato a celebrar, entre otros factores, establece su estructura de costos conforme a la cual se compromete a ejecutar cabalmente un contrato en el caso de que le sea adjudicado”</w:t>
      </w:r>
      <w:r w:rsidRPr="00BE74DA">
        <w:rPr>
          <w:rFonts w:ascii="Verdana" w:hAnsi="Verdana" w:cs="Arial"/>
          <w:sz w:val="20"/>
          <w:szCs w:val="20"/>
          <w:vertAlign w:val="superscript"/>
          <w:lang w:val="es-ES_tradnl" w:eastAsia="es-ES_tradnl"/>
        </w:rPr>
        <w:footnoteReference w:id="5"/>
      </w:r>
      <w:r w:rsidRPr="00BE74DA">
        <w:rPr>
          <w:rFonts w:ascii="Verdana" w:hAnsi="Verdana" w:cs="Arial"/>
          <w:sz w:val="20"/>
          <w:szCs w:val="20"/>
          <w:lang w:val="es-ES_tradnl" w:eastAsia="es-ES_tradnl"/>
        </w:rPr>
        <w:t>.</w:t>
      </w:r>
    </w:p>
    <w:p w14:paraId="2C34C1D6" w14:textId="77777777" w:rsidR="00FE1807" w:rsidRPr="00BE74DA" w:rsidRDefault="00FE1807" w:rsidP="00FE1807">
      <w:pPr>
        <w:tabs>
          <w:tab w:val="left" w:pos="709"/>
        </w:tabs>
        <w:spacing w:after="0" w:line="276" w:lineRule="auto"/>
        <w:ind w:left="709" w:right="760"/>
        <w:jc w:val="both"/>
        <w:rPr>
          <w:rFonts w:ascii="Verdana" w:hAnsi="Verdana" w:cs="Arial"/>
          <w:szCs w:val="24"/>
          <w:lang w:val="es-ES_tradnl" w:eastAsia="es-ES_tradnl"/>
        </w:rPr>
      </w:pPr>
    </w:p>
    <w:p w14:paraId="0988465D" w14:textId="77777777" w:rsidR="00D242EA" w:rsidRPr="00BE74DA" w:rsidRDefault="00FE1807" w:rsidP="00D242EA">
      <w:pPr>
        <w:pStyle w:val="ListParagraph"/>
        <w:numPr>
          <w:ilvl w:val="0"/>
          <w:numId w:val="20"/>
        </w:numPr>
        <w:spacing w:after="0" w:line="276" w:lineRule="auto"/>
        <w:jc w:val="both"/>
        <w:rPr>
          <w:rFonts w:ascii="Verdana" w:hAnsi="Verdana" w:cs="Arial"/>
          <w:lang w:eastAsia="es-ES"/>
        </w:rPr>
      </w:pPr>
      <w:r w:rsidRPr="00BE74DA">
        <w:rPr>
          <w:rFonts w:ascii="Verdana" w:hAnsi="Verdana" w:cs="Arial"/>
          <w:lang w:eastAsia="es-ES"/>
        </w:rPr>
        <w:t>A su turno, la Sala de Consulta y Servicio Civil del Consejo de Estado sostuvo en concepto del 5 de septiembre de 2018</w:t>
      </w:r>
      <w:r w:rsidRPr="00BE74DA">
        <w:rPr>
          <w:rFonts w:ascii="Verdana" w:hAnsi="Verdana"/>
          <w:vertAlign w:val="superscript"/>
          <w:lang w:eastAsia="es-ES"/>
        </w:rPr>
        <w:footnoteReference w:id="6"/>
      </w:r>
      <w:r w:rsidRPr="00BE74DA">
        <w:rPr>
          <w:rFonts w:ascii="Verdana" w:hAnsi="Verdana" w:cs="Arial"/>
          <w:lang w:eastAsia="es-ES"/>
        </w:rPr>
        <w:t xml:space="preserve"> que “el concepto del A.I.U. comprende la Administración (costos indirectos) imprevistos y utilidades, y en algunos contratos este valor aparece cuantificado en forma independiente al valor de la obra y como un porcentaje de </w:t>
      </w:r>
      <w:proofErr w:type="gramStart"/>
      <w:r w:rsidRPr="00BE74DA">
        <w:rPr>
          <w:rFonts w:ascii="Verdana" w:hAnsi="Verdana" w:cs="Arial"/>
          <w:lang w:eastAsia="es-ES"/>
        </w:rPr>
        <w:t>la misma</w:t>
      </w:r>
      <w:proofErr w:type="gramEnd"/>
      <w:r w:rsidRPr="00BE74DA">
        <w:rPr>
          <w:rFonts w:ascii="Verdana" w:hAnsi="Verdana"/>
          <w:vertAlign w:val="superscript"/>
          <w:lang w:eastAsia="es-ES"/>
        </w:rPr>
        <w:footnoteReference w:id="7"/>
      </w:r>
      <w:r w:rsidRPr="00BE74DA">
        <w:rPr>
          <w:rFonts w:ascii="Verdana" w:hAnsi="Verdana" w:cs="Arial"/>
          <w:lang w:eastAsia="es-ES"/>
        </w:rPr>
        <w:t>, sin perjuicio que en otros contratos este valor no aparezca discriminado y se incorpore en el valor de los precios unitarios”</w:t>
      </w:r>
      <w:r w:rsidRPr="00BE74DA">
        <w:rPr>
          <w:rFonts w:ascii="Verdana" w:hAnsi="Verdana"/>
          <w:vertAlign w:val="superscript"/>
          <w:lang w:eastAsia="es-ES"/>
        </w:rPr>
        <w:footnoteReference w:id="8"/>
      </w:r>
      <w:r w:rsidRPr="00BE74DA">
        <w:rPr>
          <w:rFonts w:ascii="Verdana" w:hAnsi="Verdana" w:cs="Arial"/>
          <w:lang w:eastAsia="es-ES"/>
        </w:rPr>
        <w:t xml:space="preserve">. </w:t>
      </w:r>
    </w:p>
    <w:p w14:paraId="39D6C6AF" w14:textId="77777777" w:rsidR="00D242EA" w:rsidRPr="00BE74DA" w:rsidRDefault="00D242EA" w:rsidP="00D242EA">
      <w:pPr>
        <w:pStyle w:val="ListParagraph"/>
        <w:spacing w:after="0" w:line="276" w:lineRule="auto"/>
        <w:ind w:left="360"/>
        <w:jc w:val="both"/>
        <w:rPr>
          <w:rFonts w:ascii="Verdana" w:hAnsi="Verdana" w:cs="Arial"/>
          <w:lang w:eastAsia="es-ES"/>
        </w:rPr>
      </w:pPr>
    </w:p>
    <w:p w14:paraId="35CBB201" w14:textId="77777777" w:rsidR="00D242EA" w:rsidRPr="00BE74DA" w:rsidRDefault="00FE1807" w:rsidP="00D242EA">
      <w:pPr>
        <w:pStyle w:val="ListParagraph"/>
        <w:numPr>
          <w:ilvl w:val="0"/>
          <w:numId w:val="20"/>
        </w:numPr>
        <w:spacing w:after="0" w:line="276" w:lineRule="auto"/>
        <w:jc w:val="both"/>
        <w:rPr>
          <w:rFonts w:ascii="Verdana" w:hAnsi="Verdana" w:cs="Arial"/>
          <w:lang w:eastAsia="es-ES"/>
        </w:rPr>
      </w:pPr>
      <w:r w:rsidRPr="00BE74DA">
        <w:rPr>
          <w:rFonts w:ascii="Verdana" w:hAnsi="Verdana" w:cs="Arial"/>
          <w:bCs/>
          <w:szCs w:val="24"/>
          <w:lang w:val="es-ES_tradnl" w:eastAsia="es-ES_tradnl"/>
        </w:rPr>
        <w:t>Así pues, ni el sistema de precios unitarios –como metodología de estipulación del valor contractual–, ni el concepto de AIU, ni mucho menos la forma de calcularlo –es decir, su porcentaje–, son aspectos regulados en el conjunto de las disposiciones legales y reglamentarias que integran la normativa contractual del Estado: “La justificación de esta manera de cotizar el precio procede, incluso, de la formación universitaria que reciben los ingenieros, a quienes les enseñan esta metodología para elaborar las ofertas. En fin, lo que se quiere indicar con estos comentarios es que la necesidad de presentar una propuesta desglosando en forma intensa su precio no procede de la ley, ni del reglamento, sino de la costumbre, […]”</w:t>
      </w:r>
      <w:r w:rsidRPr="00BE74DA">
        <w:rPr>
          <w:rFonts w:ascii="Verdana" w:hAnsi="Verdana"/>
          <w:vertAlign w:val="superscript"/>
          <w:lang w:eastAsia="es-ES_tradnl"/>
        </w:rPr>
        <w:footnoteReference w:id="9"/>
      </w:r>
      <w:r w:rsidRPr="00BE74DA">
        <w:rPr>
          <w:rFonts w:ascii="Verdana" w:hAnsi="Verdana" w:cs="Arial"/>
          <w:bCs/>
          <w:szCs w:val="24"/>
          <w:lang w:val="es-ES_tradnl" w:eastAsia="es-ES_tradnl"/>
        </w:rPr>
        <w:t xml:space="preserve">. De otro lado, quien define el valor de cada </w:t>
      </w:r>
      <w:r w:rsidRPr="00BE74DA">
        <w:rPr>
          <w:rFonts w:ascii="Verdana" w:hAnsi="Verdana" w:cs="Arial"/>
          <w:bCs/>
          <w:i/>
          <w:iCs/>
          <w:szCs w:val="24"/>
          <w:lang w:val="es-ES_tradnl" w:eastAsia="es-ES_tradnl"/>
        </w:rPr>
        <w:t>letra</w:t>
      </w:r>
      <w:r w:rsidRPr="00BE74DA">
        <w:rPr>
          <w:rFonts w:ascii="Verdana" w:hAnsi="Verdana" w:cs="Arial"/>
          <w:bCs/>
          <w:szCs w:val="24"/>
          <w:lang w:val="es-ES_tradnl" w:eastAsia="es-ES_tradnl"/>
        </w:rPr>
        <w:t xml:space="preserve"> –AIU– es el proponente, pues goza de libertad empresarial para hacerlo en la elaboración de su oferta</w:t>
      </w:r>
      <w:r w:rsidRPr="00BE74DA">
        <w:rPr>
          <w:rFonts w:ascii="Verdana" w:hAnsi="Verdana"/>
          <w:vertAlign w:val="superscript"/>
          <w:lang w:eastAsia="es-ES_tradnl"/>
        </w:rPr>
        <w:footnoteReference w:id="10"/>
      </w:r>
      <w:r w:rsidRPr="00BE74DA">
        <w:rPr>
          <w:rFonts w:ascii="Verdana" w:hAnsi="Verdana" w:cs="Arial"/>
          <w:bCs/>
          <w:szCs w:val="24"/>
          <w:lang w:val="es-ES_tradnl" w:eastAsia="es-ES_tradnl"/>
        </w:rPr>
        <w:t>.</w:t>
      </w:r>
    </w:p>
    <w:p w14:paraId="6278A94D" w14:textId="77777777" w:rsidR="00D242EA" w:rsidRPr="00BE74DA" w:rsidRDefault="00D242EA" w:rsidP="00D242EA">
      <w:pPr>
        <w:pStyle w:val="ListParagraph"/>
        <w:rPr>
          <w:rFonts w:ascii="Verdana" w:hAnsi="Verdana" w:cs="Arial"/>
          <w:lang w:eastAsia="es-ES"/>
        </w:rPr>
      </w:pPr>
    </w:p>
    <w:p w14:paraId="57E6EBF2" w14:textId="77777777" w:rsidR="00D242EA" w:rsidRPr="00BE74DA" w:rsidRDefault="00FE1807" w:rsidP="00D242EA">
      <w:pPr>
        <w:pStyle w:val="ListParagraph"/>
        <w:numPr>
          <w:ilvl w:val="0"/>
          <w:numId w:val="20"/>
        </w:numPr>
        <w:spacing w:after="0" w:line="276" w:lineRule="auto"/>
        <w:jc w:val="both"/>
        <w:rPr>
          <w:rFonts w:ascii="Verdana" w:hAnsi="Verdana" w:cs="Arial"/>
          <w:lang w:eastAsia="es-ES"/>
        </w:rPr>
      </w:pPr>
      <w:r w:rsidRPr="00BE74DA">
        <w:rPr>
          <w:rFonts w:ascii="Verdana" w:hAnsi="Verdana" w:cs="Arial"/>
          <w:lang w:eastAsia="es-ES"/>
        </w:rPr>
        <w:t xml:space="preserve">De esta manera, usualmente en los contratos cuyo valor se estructura bajo el sistema de precios unitarios y con el desglose del AIU, el precio se paga con base en el valor de los costos directos incrementados por el porcentaje del AIU, forma de pago que pueden incluir las entidades estatales en virtud de la autonomía de la voluntad a que remiten los artículos 13, 32 y 40 del EGCAP. </w:t>
      </w:r>
      <w:r w:rsidRPr="00BE74DA">
        <w:rPr>
          <w:rFonts w:ascii="Verdana" w:hAnsi="Verdana" w:cs="Arial"/>
          <w:bCs/>
          <w:szCs w:val="24"/>
          <w:lang w:val="es-ES_tradnl" w:eastAsia="es-ES_tradnl"/>
        </w:rPr>
        <w:t xml:space="preserve">Ahora bien, nada obstaría para que las partes le dieran otros efectos particulares a la forma en que pagan el precio estructurado con AIU. Por ejemplo, podrían incluir cláusulas o reglas bajo las cuales se estableciera que el valor de alguno o de todos los componentes de la </w:t>
      </w:r>
      <w:r w:rsidRPr="00BE74DA">
        <w:rPr>
          <w:rFonts w:ascii="Verdana" w:hAnsi="Verdana" w:cs="Arial"/>
          <w:bCs/>
          <w:i/>
          <w:iCs/>
          <w:szCs w:val="24"/>
          <w:lang w:val="es-ES_tradnl" w:eastAsia="es-ES_tradnl"/>
        </w:rPr>
        <w:t>Administración</w:t>
      </w:r>
      <w:r w:rsidRPr="00BE74DA">
        <w:rPr>
          <w:rFonts w:ascii="Verdana" w:hAnsi="Verdana" w:cs="Arial"/>
          <w:bCs/>
          <w:szCs w:val="24"/>
          <w:lang w:val="es-ES_tradnl" w:eastAsia="es-ES_tradnl"/>
        </w:rPr>
        <w:t xml:space="preserve"> o los </w:t>
      </w:r>
      <w:r w:rsidRPr="00BE74DA">
        <w:rPr>
          <w:rFonts w:ascii="Verdana" w:hAnsi="Verdana" w:cs="Arial"/>
          <w:bCs/>
          <w:i/>
          <w:iCs/>
          <w:szCs w:val="24"/>
          <w:lang w:val="es-ES_tradnl" w:eastAsia="es-ES_tradnl"/>
        </w:rPr>
        <w:t>Imprevistos</w:t>
      </w:r>
      <w:r w:rsidRPr="00BE74DA">
        <w:rPr>
          <w:rFonts w:ascii="Verdana" w:hAnsi="Verdana" w:cs="Arial"/>
          <w:bCs/>
          <w:szCs w:val="24"/>
          <w:lang w:val="es-ES_tradnl" w:eastAsia="es-ES_tradnl"/>
        </w:rPr>
        <w:t xml:space="preserve"> sólo se pagan si el contratista demuestra que incurrió en algunas situaciones específicas y bajo el monto que este logre demostrar. </w:t>
      </w:r>
    </w:p>
    <w:p w14:paraId="50F682F9" w14:textId="77777777" w:rsidR="00D242EA" w:rsidRPr="00BE74DA" w:rsidRDefault="00D242EA" w:rsidP="00D242EA">
      <w:pPr>
        <w:pStyle w:val="ListParagraph"/>
        <w:rPr>
          <w:rFonts w:ascii="Verdana" w:hAnsi="Verdana" w:cs="Arial"/>
          <w:lang w:eastAsia="es-ES"/>
        </w:rPr>
      </w:pPr>
    </w:p>
    <w:p w14:paraId="68377CED" w14:textId="79F0DB7B" w:rsidR="00D242EA" w:rsidRPr="00BE74DA" w:rsidRDefault="00FE1807" w:rsidP="00D242EA">
      <w:pPr>
        <w:pStyle w:val="ListParagraph"/>
        <w:numPr>
          <w:ilvl w:val="0"/>
          <w:numId w:val="20"/>
        </w:numPr>
        <w:spacing w:after="0" w:line="276" w:lineRule="auto"/>
        <w:jc w:val="both"/>
        <w:rPr>
          <w:rFonts w:ascii="Verdana" w:hAnsi="Verdana" w:cs="Arial"/>
          <w:lang w:eastAsia="es-ES"/>
        </w:rPr>
      </w:pPr>
      <w:r w:rsidRPr="00BE74DA">
        <w:rPr>
          <w:rFonts w:ascii="Verdana" w:hAnsi="Verdana" w:cs="Arial"/>
          <w:lang w:eastAsia="es-ES"/>
        </w:rPr>
        <w:t xml:space="preserve">Sin embargo, una regulación como la anterior no es la que suele emplearse en los contratos estatales. Lo usual, que se advierte en la práctica de las </w:t>
      </w:r>
      <w:r w:rsidR="000A2736" w:rsidRPr="00000263">
        <w:rPr>
          <w:rFonts w:ascii="Verdana" w:hAnsi="Verdana" w:cs="Arial"/>
          <w:lang w:eastAsia="es-ES"/>
        </w:rPr>
        <w:t>E</w:t>
      </w:r>
      <w:r w:rsidRPr="00000263">
        <w:rPr>
          <w:rFonts w:ascii="Verdana" w:hAnsi="Verdana" w:cs="Arial"/>
          <w:lang w:eastAsia="es-ES"/>
        </w:rPr>
        <w:t xml:space="preserve">ntidades </w:t>
      </w:r>
      <w:r w:rsidR="000A2736" w:rsidRPr="00000263">
        <w:rPr>
          <w:rFonts w:ascii="Verdana" w:hAnsi="Verdana" w:cs="Arial"/>
          <w:lang w:eastAsia="es-ES"/>
        </w:rPr>
        <w:t>E</w:t>
      </w:r>
      <w:r w:rsidRPr="00000263">
        <w:rPr>
          <w:rFonts w:ascii="Verdana" w:hAnsi="Verdana" w:cs="Arial"/>
          <w:lang w:eastAsia="es-ES"/>
        </w:rPr>
        <w:t>statales</w:t>
      </w:r>
      <w:r w:rsidRPr="00BE74DA">
        <w:rPr>
          <w:rFonts w:ascii="Verdana" w:hAnsi="Verdana" w:cs="Arial"/>
          <w:lang w:eastAsia="es-ES"/>
        </w:rPr>
        <w:t xml:space="preserve">, es que acuden al AIU con la finalidad de establecer un precio más estable, de manera que el valor del contrato consistirá en lo que resulte de afectar los costos directos por el porcentaje, en principio, invariable del AIU, de manera que al valor de los costos directos se le sume </w:t>
      </w:r>
      <w:r w:rsidRPr="00BE74DA">
        <w:rPr>
          <w:rFonts w:ascii="Verdana" w:hAnsi="Verdana" w:cs="Arial"/>
          <w:lang w:eastAsia="es-ES"/>
        </w:rPr>
        <w:lastRenderedPageBreak/>
        <w:t xml:space="preserve">el AIU. Así las cosas, las partes asumen los riesgos inherentes a esta forma de pactar el precio, entendiendo aceptados los </w:t>
      </w:r>
      <w:proofErr w:type="spellStart"/>
      <w:r w:rsidRPr="00BE74DA">
        <w:rPr>
          <w:rFonts w:ascii="Verdana" w:hAnsi="Verdana" w:cs="Arial"/>
          <w:lang w:eastAsia="es-ES"/>
        </w:rPr>
        <w:t>áleas</w:t>
      </w:r>
      <w:proofErr w:type="spellEnd"/>
      <w:r w:rsidRPr="00BE74DA">
        <w:rPr>
          <w:rFonts w:ascii="Verdana" w:hAnsi="Verdana" w:cs="Arial"/>
          <w:lang w:eastAsia="es-ES"/>
        </w:rPr>
        <w:t xml:space="preserve"> normales que se presenten en la ejecución del contrato, de manera que, aunque el contratista incurra en mayores costos de los ítems incluidos en la </w:t>
      </w:r>
      <w:r w:rsidRPr="00BE74DA">
        <w:rPr>
          <w:rFonts w:ascii="Verdana" w:hAnsi="Verdana" w:cs="Arial"/>
          <w:i/>
          <w:iCs/>
          <w:lang w:eastAsia="es-ES"/>
        </w:rPr>
        <w:t>Administración</w:t>
      </w:r>
      <w:r w:rsidRPr="00BE74DA">
        <w:rPr>
          <w:rFonts w:ascii="Verdana" w:hAnsi="Verdana" w:cs="Arial"/>
          <w:lang w:eastAsia="es-ES"/>
        </w:rPr>
        <w:t xml:space="preserve"> o en más gastos de </w:t>
      </w:r>
      <w:r w:rsidRPr="00BE74DA">
        <w:rPr>
          <w:rFonts w:ascii="Verdana" w:hAnsi="Verdana" w:cs="Arial"/>
          <w:i/>
          <w:iCs/>
          <w:lang w:eastAsia="es-ES"/>
        </w:rPr>
        <w:t>Imprevistos</w:t>
      </w:r>
      <w:r w:rsidRPr="00BE74DA">
        <w:rPr>
          <w:rFonts w:ascii="Verdana" w:hAnsi="Verdana" w:cs="Arial"/>
          <w:lang w:eastAsia="es-ES"/>
        </w:rPr>
        <w:t xml:space="preserve"> al presentar su oferta, o que estos disminuyan, aparezcan algunos nuevos o desaparezcan algunos de ellos, el valor se mantenga invariable. De este modo, las partes optan por darle estabilidad al negocio, asumiendo cada una de ellas lo que le favorezca o desfavorezca, lo que evita, además, incurrir en costos de transacción relacionados con la necesidad de acreditar y verificar cada costo o gasto específico asociado a la </w:t>
      </w:r>
      <w:r w:rsidRPr="00BE74DA">
        <w:rPr>
          <w:rFonts w:ascii="Verdana" w:hAnsi="Verdana" w:cs="Arial"/>
          <w:i/>
          <w:iCs/>
          <w:lang w:eastAsia="es-ES"/>
        </w:rPr>
        <w:t xml:space="preserve">Administración </w:t>
      </w:r>
      <w:r w:rsidRPr="00BE74DA">
        <w:rPr>
          <w:rFonts w:ascii="Verdana" w:hAnsi="Verdana" w:cs="Arial"/>
          <w:lang w:eastAsia="es-ES"/>
        </w:rPr>
        <w:t>o lo</w:t>
      </w:r>
      <w:r w:rsidRPr="00BE74DA">
        <w:rPr>
          <w:rFonts w:ascii="Verdana" w:hAnsi="Verdana" w:cs="Arial"/>
          <w:i/>
          <w:iCs/>
          <w:lang w:eastAsia="es-ES"/>
        </w:rPr>
        <w:t>s Imprevistos</w:t>
      </w:r>
      <w:r w:rsidRPr="00BE74DA">
        <w:rPr>
          <w:rFonts w:ascii="Verdana" w:hAnsi="Verdana" w:cs="Arial"/>
          <w:lang w:eastAsia="es-ES"/>
        </w:rPr>
        <w:t>, lo que generaría más gastos tanto para la entidad como para el contratista.</w:t>
      </w:r>
    </w:p>
    <w:p w14:paraId="7B395074" w14:textId="77777777" w:rsidR="00D242EA" w:rsidRPr="00BE74DA" w:rsidRDefault="00D242EA" w:rsidP="00D242EA">
      <w:pPr>
        <w:pStyle w:val="ListParagraph"/>
        <w:spacing w:after="0" w:line="276" w:lineRule="auto"/>
        <w:ind w:left="360"/>
        <w:jc w:val="both"/>
        <w:rPr>
          <w:rFonts w:ascii="Verdana" w:hAnsi="Verdana" w:cs="Arial"/>
          <w:lang w:eastAsia="es-ES"/>
        </w:rPr>
      </w:pPr>
    </w:p>
    <w:p w14:paraId="30E0A2F7" w14:textId="10B3BA12" w:rsidR="00D242EA" w:rsidRPr="00BE74DA" w:rsidRDefault="00FE1807" w:rsidP="00D242EA">
      <w:pPr>
        <w:pStyle w:val="ListParagraph"/>
        <w:numPr>
          <w:ilvl w:val="0"/>
          <w:numId w:val="20"/>
        </w:numPr>
        <w:spacing w:after="0" w:line="276" w:lineRule="auto"/>
        <w:jc w:val="both"/>
        <w:rPr>
          <w:rFonts w:ascii="Verdana" w:hAnsi="Verdana" w:cs="Arial"/>
          <w:lang w:eastAsia="es-ES"/>
        </w:rPr>
      </w:pPr>
      <w:r w:rsidRPr="00BE74DA">
        <w:rPr>
          <w:rFonts w:ascii="Verdana" w:hAnsi="Verdana" w:cs="Arial"/>
          <w:bCs/>
          <w:szCs w:val="24"/>
          <w:lang w:val="es-ES_tradnl" w:eastAsia="es-ES_tradnl"/>
        </w:rPr>
        <w:t xml:space="preserve">En este sentido, cuando las </w:t>
      </w:r>
      <w:r w:rsidR="00904964" w:rsidRPr="00000263">
        <w:rPr>
          <w:rFonts w:ascii="Verdana" w:hAnsi="Verdana" w:cs="Arial"/>
          <w:bCs/>
          <w:szCs w:val="24"/>
          <w:lang w:val="es-ES_tradnl" w:eastAsia="es-ES_tradnl"/>
        </w:rPr>
        <w:t>E</w:t>
      </w:r>
      <w:r w:rsidRPr="00000263">
        <w:rPr>
          <w:rFonts w:ascii="Verdana" w:hAnsi="Verdana" w:cs="Arial"/>
          <w:bCs/>
          <w:szCs w:val="24"/>
          <w:lang w:val="es-ES_tradnl" w:eastAsia="es-ES_tradnl"/>
        </w:rPr>
        <w:t xml:space="preserve">ntidades </w:t>
      </w:r>
      <w:r w:rsidR="00904964" w:rsidRPr="00000263">
        <w:rPr>
          <w:rFonts w:ascii="Verdana" w:hAnsi="Verdana" w:cs="Arial"/>
          <w:bCs/>
          <w:szCs w:val="24"/>
          <w:lang w:val="es-ES_tradnl" w:eastAsia="es-ES_tradnl"/>
        </w:rPr>
        <w:t>E</w:t>
      </w:r>
      <w:r w:rsidRPr="00000263">
        <w:rPr>
          <w:rFonts w:ascii="Verdana" w:hAnsi="Verdana" w:cs="Arial"/>
          <w:bCs/>
          <w:szCs w:val="24"/>
          <w:lang w:val="es-ES_tradnl" w:eastAsia="es-ES_tradnl"/>
        </w:rPr>
        <w:t>statales</w:t>
      </w:r>
      <w:r w:rsidRPr="00BE74DA">
        <w:rPr>
          <w:rFonts w:ascii="Verdana" w:hAnsi="Verdana" w:cs="Arial"/>
          <w:bCs/>
          <w:szCs w:val="24"/>
          <w:lang w:val="es-ES_tradnl" w:eastAsia="es-ES_tradnl"/>
        </w:rPr>
        <w:t xml:space="preserve"> incluyen esta forma de desglosar el precio, en los últimos términos indicados, al realizar el estudio de mercado elaboran un presupuesto estimado del valor de la ejecución del contrato. Dicho presupuesto estimado incluye los costos genéricos </w:t>
      </w:r>
      <w:r w:rsidRPr="00BE74DA">
        <w:rPr>
          <w:rFonts w:ascii="Verdana" w:hAnsi="Verdana" w:cs="Arial"/>
          <w:bCs/>
          <w:i/>
          <w:iCs/>
          <w:szCs w:val="24"/>
          <w:lang w:val="es-ES_tradnl" w:eastAsia="es-ES_tradnl"/>
        </w:rPr>
        <w:t xml:space="preserve">indirectos </w:t>
      </w:r>
      <w:r w:rsidRPr="00BE74DA">
        <w:rPr>
          <w:rFonts w:ascii="Verdana" w:hAnsi="Verdana" w:cs="Arial"/>
          <w:bCs/>
          <w:szCs w:val="24"/>
          <w:lang w:val="es-ES_tradnl" w:eastAsia="es-ES_tradnl"/>
        </w:rPr>
        <w:t xml:space="preserve">en que incurren los contratistas, entre ellos, los de la </w:t>
      </w:r>
      <w:r w:rsidRPr="00BE74DA">
        <w:rPr>
          <w:rFonts w:ascii="Verdana" w:hAnsi="Verdana" w:cs="Arial"/>
          <w:bCs/>
          <w:i/>
          <w:iCs/>
          <w:szCs w:val="24"/>
          <w:lang w:val="es-ES_tradnl" w:eastAsia="es-ES_tradnl"/>
        </w:rPr>
        <w:t xml:space="preserve">Administración </w:t>
      </w:r>
      <w:r w:rsidRPr="00BE74DA">
        <w:rPr>
          <w:rFonts w:ascii="Verdana" w:hAnsi="Verdana" w:cs="Arial"/>
          <w:lang w:val="es-ES_tradnl" w:eastAsia="es-ES"/>
        </w:rPr>
        <w:t>y</w:t>
      </w:r>
      <w:r w:rsidRPr="00BE74DA">
        <w:rPr>
          <w:rFonts w:ascii="Verdana" w:hAnsi="Verdana" w:cs="Arial"/>
          <w:lang w:eastAsia="es-ES"/>
        </w:rPr>
        <w:t xml:space="preserve"> lo</w:t>
      </w:r>
      <w:r w:rsidRPr="00BE74DA">
        <w:rPr>
          <w:rFonts w:ascii="Verdana" w:hAnsi="Verdana" w:cs="Arial"/>
          <w:i/>
          <w:iCs/>
          <w:lang w:eastAsia="es-ES"/>
        </w:rPr>
        <w:t>s Imprevistos</w:t>
      </w:r>
      <w:r w:rsidRPr="00BE74DA">
        <w:rPr>
          <w:rFonts w:ascii="Verdana" w:hAnsi="Verdana" w:cs="Arial"/>
          <w:bCs/>
          <w:szCs w:val="24"/>
          <w:lang w:val="es-ES_tradnl" w:eastAsia="es-ES_tradnl"/>
        </w:rPr>
        <w:t>, para efectos de definir el porcentaje con el que calculan el presupuesto, pese a que el monto de estos componentes varía ostensiblemente de un proponente a otro, pues su valor real depende de circunstancias particulares de los oferentes</w:t>
      </w:r>
      <w:r w:rsidRPr="00BE74DA">
        <w:rPr>
          <w:rFonts w:ascii="Verdana" w:hAnsi="Verdana"/>
          <w:vertAlign w:val="superscript"/>
          <w:lang w:eastAsia="es-ES_tradnl"/>
        </w:rPr>
        <w:footnoteReference w:id="11"/>
      </w:r>
      <w:r w:rsidRPr="00BE74DA">
        <w:rPr>
          <w:rFonts w:ascii="Verdana" w:hAnsi="Verdana" w:cs="Arial"/>
          <w:bCs/>
          <w:szCs w:val="24"/>
          <w:lang w:val="es-ES_tradnl" w:eastAsia="es-ES_tradnl"/>
        </w:rPr>
        <w:t xml:space="preserve">. </w:t>
      </w:r>
    </w:p>
    <w:p w14:paraId="34D89B79" w14:textId="77777777" w:rsidR="00D242EA" w:rsidRPr="00BE74DA" w:rsidRDefault="00D242EA" w:rsidP="00D242EA">
      <w:pPr>
        <w:pStyle w:val="ListParagraph"/>
        <w:rPr>
          <w:rFonts w:ascii="Verdana" w:hAnsi="Verdana" w:cs="Arial"/>
          <w:lang w:eastAsia="es-ES"/>
        </w:rPr>
      </w:pPr>
    </w:p>
    <w:p w14:paraId="37D411A8" w14:textId="77777777" w:rsidR="00D242EA" w:rsidRPr="00BE74DA" w:rsidRDefault="00FE1807" w:rsidP="00D242EA">
      <w:pPr>
        <w:pStyle w:val="ListParagraph"/>
        <w:numPr>
          <w:ilvl w:val="0"/>
          <w:numId w:val="20"/>
        </w:numPr>
        <w:spacing w:after="0" w:line="276" w:lineRule="auto"/>
        <w:jc w:val="both"/>
        <w:rPr>
          <w:rFonts w:ascii="Verdana" w:hAnsi="Verdana" w:cs="Arial"/>
          <w:lang w:eastAsia="es-ES"/>
        </w:rPr>
      </w:pPr>
      <w:r w:rsidRPr="00BE74DA">
        <w:rPr>
          <w:rFonts w:ascii="Verdana" w:hAnsi="Verdana" w:cs="Arial"/>
          <w:lang w:eastAsia="es-ES"/>
        </w:rPr>
        <w:t xml:space="preserve">De manera que las entidades calculan un valor estimado que, a su vez, sirve de guía para que los proponentes formulen sus ofertas, pero bajo la premisa de que pagarán un porcentaje fijo incluido por los interesados en sus propuestas, dado lo variable que resulta este valor, y lo complejo y gravoso de realizar un seguimiento minucioso a los costos en que incurren los contratistas por este componente en particular. Además, que estos podrían ser mayores a los inicialmente pactados con el contratista, de manera que la </w:t>
      </w:r>
      <w:r w:rsidRPr="00BE74DA">
        <w:rPr>
          <w:rFonts w:ascii="Verdana" w:hAnsi="Verdana" w:cs="Arial"/>
          <w:lang w:eastAsia="es-ES"/>
        </w:rPr>
        <w:lastRenderedPageBreak/>
        <w:t xml:space="preserve">fijación de un porcentaje fijo y estable también puede resultar favorable a la entidad estatal, pues su contraparte no le podrá exigir un monto superior, bajo el argumento de que incurrió en costos o gastos adicionales asociados al componente </w:t>
      </w:r>
      <w:r w:rsidRPr="00BE74DA">
        <w:rPr>
          <w:rFonts w:ascii="Verdana" w:hAnsi="Verdana" w:cs="Arial"/>
          <w:i/>
          <w:iCs/>
          <w:lang w:eastAsia="es-ES"/>
        </w:rPr>
        <w:t>Administración</w:t>
      </w:r>
      <w:r w:rsidRPr="00BE74DA">
        <w:rPr>
          <w:rFonts w:ascii="Verdana" w:hAnsi="Verdana" w:cs="Arial"/>
          <w:lang w:eastAsia="es-ES"/>
        </w:rPr>
        <w:t xml:space="preserve"> o de </w:t>
      </w:r>
      <w:r w:rsidRPr="00BE74DA">
        <w:rPr>
          <w:rFonts w:ascii="Verdana" w:hAnsi="Verdana" w:cs="Arial"/>
          <w:i/>
          <w:iCs/>
          <w:lang w:eastAsia="es-ES"/>
        </w:rPr>
        <w:t>Imprevistos</w:t>
      </w:r>
      <w:r w:rsidRPr="00BE74DA">
        <w:rPr>
          <w:rFonts w:ascii="Verdana" w:hAnsi="Verdana"/>
          <w:vertAlign w:val="superscript"/>
          <w:lang w:eastAsia="es-ES"/>
        </w:rPr>
        <w:footnoteReference w:id="12"/>
      </w:r>
      <w:r w:rsidRPr="00BE74DA">
        <w:rPr>
          <w:rFonts w:ascii="Verdana" w:hAnsi="Verdana" w:cs="Arial"/>
          <w:lang w:eastAsia="es-ES"/>
        </w:rPr>
        <w:t>.</w:t>
      </w:r>
    </w:p>
    <w:p w14:paraId="5DB633DE" w14:textId="77777777" w:rsidR="00D242EA" w:rsidRPr="00BE74DA" w:rsidRDefault="00D242EA" w:rsidP="00D242EA">
      <w:pPr>
        <w:pStyle w:val="ListParagraph"/>
        <w:rPr>
          <w:rFonts w:ascii="Verdana" w:hAnsi="Verdana" w:cs="Arial"/>
          <w:lang w:eastAsia="es-ES"/>
        </w:rPr>
      </w:pPr>
    </w:p>
    <w:p w14:paraId="5C01A973" w14:textId="77777777" w:rsidR="00D242EA" w:rsidRPr="00BE74DA" w:rsidRDefault="00FE1807" w:rsidP="00D242EA">
      <w:pPr>
        <w:pStyle w:val="ListParagraph"/>
        <w:numPr>
          <w:ilvl w:val="0"/>
          <w:numId w:val="20"/>
        </w:numPr>
        <w:spacing w:after="0" w:line="276" w:lineRule="auto"/>
        <w:jc w:val="both"/>
        <w:rPr>
          <w:rFonts w:ascii="Verdana" w:hAnsi="Verdana" w:cs="Arial"/>
          <w:lang w:eastAsia="es-ES"/>
        </w:rPr>
      </w:pPr>
      <w:r w:rsidRPr="00BE74DA">
        <w:rPr>
          <w:rFonts w:ascii="Verdana" w:hAnsi="Verdana" w:cs="Arial"/>
          <w:lang w:eastAsia="es-ES"/>
        </w:rPr>
        <w:t>Así las cosas, las entidades cuentan con discrecionalidad para establecer en el pliego de condiciones o en su documento equivalente, así como en el contrato, el sistema de precios unitarios y la figura del AIU. De este modo, teniendo en cuenta el concepto de AIU, ni la forma de calcularlo son aspectos que cuenten con una regulación normativa en materia contractual del Estado, la determinación de los componentes del AIU dependerá del análisis particular que realice la entidad en relación con el presupuesto estimado del valor de la ejecución del contrato que, a su vez, sirve de guía para que los proponentes formulen sus ofertas.</w:t>
      </w:r>
    </w:p>
    <w:p w14:paraId="46CE8E8C" w14:textId="77777777" w:rsidR="00D242EA" w:rsidRPr="00BE74DA" w:rsidRDefault="00D242EA" w:rsidP="00D242EA">
      <w:pPr>
        <w:pStyle w:val="ListParagraph"/>
        <w:rPr>
          <w:rFonts w:ascii="Verdana" w:hAnsi="Verdana" w:cs="Arial"/>
          <w:lang w:eastAsia="es-ES"/>
        </w:rPr>
      </w:pPr>
    </w:p>
    <w:p w14:paraId="68A64447" w14:textId="77777777" w:rsidR="00D242EA" w:rsidRPr="00BE74DA" w:rsidRDefault="00FE1807" w:rsidP="00D242EA">
      <w:pPr>
        <w:pStyle w:val="ListParagraph"/>
        <w:numPr>
          <w:ilvl w:val="0"/>
          <w:numId w:val="20"/>
        </w:numPr>
        <w:spacing w:after="0" w:line="276" w:lineRule="auto"/>
        <w:jc w:val="both"/>
        <w:rPr>
          <w:rFonts w:ascii="Verdana" w:hAnsi="Verdana" w:cs="Arial"/>
          <w:lang w:eastAsia="es-ES"/>
        </w:rPr>
      </w:pPr>
      <w:r w:rsidRPr="00BE74DA">
        <w:rPr>
          <w:rFonts w:ascii="Verdana" w:hAnsi="Verdana" w:cs="Arial"/>
          <w:lang w:eastAsia="es-ES"/>
        </w:rPr>
        <w:t>En consecuencia, tanto las entidades sometidas al Estatuto General de Contratación de la Administración Pública, como las excluidas de este –es decir, las que tienen un régimen especial– gozan de autonomía para configurar el precio y para establecer el sistema de pago más apropiado para satisfacer los fines de la contratación, respetando los límites previstos en el ordenamiento. En tal perspectiva, cuentan con discrecionalidad para establecer en el pliego de condiciones o en su documento equivalente, así como en el contrato, el sistema de precios unitarios y la figura del AIU; modelo que, como se indicó, es más pertinente para los contratos de tracto sucesivo, como el de obra. Por ende, la decisión de incluir el AIU, al igual que la metodología de delimitación de sus variables –ítems y porcentajes– debe obedecer a un juicioso análisis de oportunidad y conveniencia, que consulte las reglas de la experiencia, así como los aspectos particulares de cada negocio. Lo anterior en armonía con la garantía de los principios de la función administrativa y de la gestión fiscal, dentro de los cuales se halla el principio de economía, postulado que exige la optimización de los recursos públicos.</w:t>
      </w:r>
    </w:p>
    <w:p w14:paraId="181D0CF4" w14:textId="77777777" w:rsidR="00D242EA" w:rsidRPr="00BE74DA" w:rsidRDefault="00D242EA" w:rsidP="00D242EA">
      <w:pPr>
        <w:pStyle w:val="ListParagraph"/>
        <w:spacing w:after="0" w:line="276" w:lineRule="auto"/>
        <w:ind w:left="360"/>
        <w:jc w:val="both"/>
        <w:rPr>
          <w:rFonts w:ascii="Verdana" w:hAnsi="Verdana" w:cs="Arial"/>
          <w:lang w:eastAsia="es-ES"/>
        </w:rPr>
      </w:pPr>
    </w:p>
    <w:p w14:paraId="24C6977A" w14:textId="77777777" w:rsidR="00D242EA" w:rsidRPr="00BE74DA" w:rsidRDefault="00FE1807" w:rsidP="00D242EA">
      <w:pPr>
        <w:pStyle w:val="ListParagraph"/>
        <w:numPr>
          <w:ilvl w:val="0"/>
          <w:numId w:val="20"/>
        </w:numPr>
        <w:spacing w:after="0" w:line="276" w:lineRule="auto"/>
        <w:jc w:val="both"/>
        <w:rPr>
          <w:rFonts w:ascii="Verdana" w:hAnsi="Verdana" w:cs="Arial"/>
          <w:lang w:eastAsia="es-ES"/>
        </w:rPr>
      </w:pPr>
      <w:r w:rsidRPr="00BE74DA">
        <w:rPr>
          <w:rFonts w:ascii="Verdana" w:hAnsi="Verdana" w:cs="Arial"/>
          <w:lang w:eastAsia="es-ES"/>
        </w:rPr>
        <w:lastRenderedPageBreak/>
        <w:t>Al margen de la explicación precedente debe advertirse que el análisis requerido para resolver problemas específicos en torno al AIU debe ser realizado por quienes tengan interés en ello, de acuerdo con lo explicado la aclaración preliminar del presente oficio. De esta manera, las afirmaciones aquí realizadas no pueden ser interpretadas como juicios de valor sobre circunstancias concretas relacionadas con los hechos que motivan la consulta. Por lo anterior, previo concepto de sus asesores, la solución de situaciones particulares corresponde a los interesados adoptar la decisión correspondiente y, en caso de conflicto, a las autoridades judiciales, fiscales y disciplinarias.</w:t>
      </w:r>
    </w:p>
    <w:p w14:paraId="71ADE4E1" w14:textId="77777777" w:rsidR="00D242EA" w:rsidRPr="00BE74DA" w:rsidRDefault="00D242EA" w:rsidP="00D242EA">
      <w:pPr>
        <w:pStyle w:val="ListParagraph"/>
        <w:rPr>
          <w:rFonts w:ascii="Verdana" w:hAnsi="Verdana" w:cs="Arial"/>
          <w:lang w:eastAsia="es-ES"/>
        </w:rPr>
      </w:pPr>
    </w:p>
    <w:p w14:paraId="485D310C" w14:textId="2481DB4B" w:rsidR="00FE1807" w:rsidRPr="00BE74DA" w:rsidRDefault="00FE1807" w:rsidP="00D242EA">
      <w:pPr>
        <w:pStyle w:val="ListParagraph"/>
        <w:numPr>
          <w:ilvl w:val="0"/>
          <w:numId w:val="20"/>
        </w:numPr>
        <w:spacing w:after="0" w:line="276" w:lineRule="auto"/>
        <w:jc w:val="both"/>
        <w:rPr>
          <w:rFonts w:ascii="Verdana" w:hAnsi="Verdana" w:cs="Arial"/>
          <w:lang w:eastAsia="es-ES"/>
        </w:rPr>
      </w:pPr>
      <w:r w:rsidRPr="00BE74DA">
        <w:rPr>
          <w:rFonts w:ascii="Verdana" w:hAnsi="Verdana" w:cs="Arial"/>
          <w:lang w:eastAsia="es-ES"/>
        </w:rPr>
        <w:t>Dentro de este marco, la entidad contratante definirá en cada caso concreto lo relacionado con el tema objeto de consulta. Al tratarse de un análisis que debe realizarse en el procedimiento contractual específico, la Agencia no puede definir un criterio universal y absoluto por vía consultiva, sino que brinda elementos de carácter general para que los partícipes del sistema de compras y contratación pública adopten la decisión que corresponda, lo cual es acorde con el principio de juridicidad. De esta manera, cada entidad definirá la forma de adelantar su gestión contractual, sin que sea atribución de Colombia Compra Eficiente validar sus actuaciones.</w:t>
      </w:r>
    </w:p>
    <w:p w14:paraId="60D062DC" w14:textId="77777777" w:rsidR="0039595A" w:rsidRPr="00BE74DA" w:rsidRDefault="0039595A" w:rsidP="0039595A">
      <w:pPr>
        <w:spacing w:after="0"/>
        <w:jc w:val="both"/>
        <w:rPr>
          <w:rStyle w:val="Hyperlink"/>
          <w:rFonts w:ascii="Verdana" w:hAnsi="Verdana"/>
          <w:lang w:val="es-ES"/>
        </w:rPr>
      </w:pPr>
    </w:p>
    <w:p w14:paraId="44B18825" w14:textId="19604C4B" w:rsidR="0039595A" w:rsidRPr="00BE74DA" w:rsidRDefault="0039595A" w:rsidP="0039595A">
      <w:pPr>
        <w:pStyle w:val="ListParagraph"/>
        <w:numPr>
          <w:ilvl w:val="0"/>
          <w:numId w:val="18"/>
        </w:numPr>
        <w:tabs>
          <w:tab w:val="left" w:pos="142"/>
          <w:tab w:val="left" w:pos="284"/>
        </w:tabs>
        <w:spacing w:after="0" w:line="276" w:lineRule="auto"/>
        <w:jc w:val="both"/>
        <w:rPr>
          <w:rFonts w:ascii="Verdana" w:eastAsia="Century Gothic" w:hAnsi="Verdana" w:cs="Century Gothic"/>
          <w:b/>
          <w:bCs/>
        </w:rPr>
      </w:pPr>
      <w:r w:rsidRPr="00BE74DA">
        <w:rPr>
          <w:rFonts w:ascii="Verdana" w:eastAsia="Century Gothic" w:hAnsi="Verdana" w:cs="Century Gothic"/>
          <w:b/>
          <w:bCs/>
        </w:rPr>
        <w:t>Referencias normativas, jurisprudenciales y otras fuentes:</w:t>
      </w:r>
    </w:p>
    <w:p w14:paraId="3C03E66B" w14:textId="77777777" w:rsidR="0039595A" w:rsidRPr="00BE74DA" w:rsidRDefault="0039595A" w:rsidP="0039595A">
      <w:pPr>
        <w:pStyle w:val="ListParagraph"/>
        <w:tabs>
          <w:tab w:val="left" w:pos="142"/>
          <w:tab w:val="left" w:pos="284"/>
        </w:tabs>
        <w:spacing w:after="0" w:line="276" w:lineRule="auto"/>
        <w:ind w:left="360"/>
        <w:jc w:val="both"/>
        <w:rPr>
          <w:rFonts w:ascii="Verdana" w:eastAsia="Century Gothic" w:hAnsi="Verdana" w:cs="Century Gothic"/>
          <w:b/>
          <w:bCs/>
        </w:rPr>
      </w:pPr>
    </w:p>
    <w:tbl>
      <w:tblPr>
        <w:tblStyle w:val="TableGrid"/>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39595A" w:rsidRPr="00BE74DA" w14:paraId="42777790" w14:textId="77777777" w:rsidTr="004B27E8">
        <w:trPr>
          <w:trHeight w:val="433"/>
        </w:trPr>
        <w:tc>
          <w:tcPr>
            <w:tcW w:w="8647" w:type="dxa"/>
          </w:tcPr>
          <w:p w14:paraId="16E1C37A" w14:textId="088FD3BF" w:rsidR="004B27E8" w:rsidRPr="00BE74DA" w:rsidRDefault="004B27E8" w:rsidP="004B27E8">
            <w:pPr>
              <w:pStyle w:val="ListParagraph"/>
              <w:widowControl w:val="0"/>
              <w:numPr>
                <w:ilvl w:val="0"/>
                <w:numId w:val="17"/>
              </w:numPr>
              <w:autoSpaceDE w:val="0"/>
              <w:autoSpaceDN w:val="0"/>
              <w:spacing w:after="120" w:line="276" w:lineRule="auto"/>
              <w:contextualSpacing w:val="0"/>
              <w:jc w:val="both"/>
              <w:rPr>
                <w:rFonts w:ascii="Verdana" w:hAnsi="Verdana" w:cs="Arial"/>
              </w:rPr>
            </w:pPr>
            <w:r w:rsidRPr="00BE74DA">
              <w:rPr>
                <w:rFonts w:ascii="Verdana" w:hAnsi="Verdana" w:cs="Arial"/>
              </w:rPr>
              <w:t xml:space="preserve">Ley 80 de 1993, artículos 13, 32 y 40.  </w:t>
            </w:r>
          </w:p>
          <w:p w14:paraId="069F2E69" w14:textId="77777777" w:rsidR="0039595A" w:rsidRPr="00BE74DA" w:rsidRDefault="00C22E6F" w:rsidP="00F139AF">
            <w:pPr>
              <w:pStyle w:val="ListParagraph"/>
              <w:widowControl w:val="0"/>
              <w:numPr>
                <w:ilvl w:val="0"/>
                <w:numId w:val="17"/>
              </w:numPr>
              <w:autoSpaceDE w:val="0"/>
              <w:autoSpaceDN w:val="0"/>
              <w:spacing w:after="120" w:line="276" w:lineRule="auto"/>
              <w:contextualSpacing w:val="0"/>
              <w:jc w:val="both"/>
              <w:rPr>
                <w:rFonts w:ascii="Verdana" w:hAnsi="Verdana" w:cs="Arial"/>
              </w:rPr>
            </w:pPr>
            <w:r w:rsidRPr="00BE74DA">
              <w:rPr>
                <w:rFonts w:ascii="Verdana" w:eastAsia="Calibri" w:hAnsi="Verdana" w:cs="Arial"/>
                <w:color w:val="000000" w:themeColor="text1"/>
              </w:rPr>
              <w:t xml:space="preserve">CONSEJO DE ESTADO. Sección Tercera. Subsección B. Sentencia del 29 de febrero de 2012. </w:t>
            </w:r>
            <w:proofErr w:type="spellStart"/>
            <w:r w:rsidRPr="00BE74DA">
              <w:rPr>
                <w:rFonts w:ascii="Verdana" w:eastAsia="Calibri" w:hAnsi="Verdana" w:cs="Arial"/>
                <w:color w:val="000000" w:themeColor="text1"/>
              </w:rPr>
              <w:t>Exp</w:t>
            </w:r>
            <w:proofErr w:type="spellEnd"/>
            <w:r w:rsidRPr="00BE74DA">
              <w:rPr>
                <w:rFonts w:ascii="Verdana" w:eastAsia="Calibri" w:hAnsi="Verdana" w:cs="Arial"/>
                <w:color w:val="000000" w:themeColor="text1"/>
              </w:rPr>
              <w:t xml:space="preserve">. 16371, C.P. Danilo Rojas </w:t>
            </w:r>
            <w:proofErr w:type="spellStart"/>
            <w:r w:rsidRPr="00BE74DA">
              <w:rPr>
                <w:rFonts w:ascii="Verdana" w:eastAsia="Calibri" w:hAnsi="Verdana" w:cs="Arial"/>
                <w:color w:val="000000" w:themeColor="text1"/>
              </w:rPr>
              <w:t>Betancourth</w:t>
            </w:r>
            <w:proofErr w:type="spellEnd"/>
            <w:r w:rsidRPr="00BE74DA">
              <w:rPr>
                <w:rFonts w:ascii="Verdana" w:eastAsia="Calibri" w:hAnsi="Verdana" w:cs="Arial"/>
                <w:color w:val="000000" w:themeColor="text1"/>
              </w:rPr>
              <w:t>.</w:t>
            </w:r>
          </w:p>
          <w:p w14:paraId="5879AB56" w14:textId="77777777" w:rsidR="007D0B4B" w:rsidRPr="00BE74DA" w:rsidRDefault="007D0B4B" w:rsidP="00F139AF">
            <w:pPr>
              <w:pStyle w:val="ListParagraph"/>
              <w:widowControl w:val="0"/>
              <w:numPr>
                <w:ilvl w:val="0"/>
                <w:numId w:val="17"/>
              </w:numPr>
              <w:autoSpaceDE w:val="0"/>
              <w:autoSpaceDN w:val="0"/>
              <w:spacing w:after="120" w:line="276" w:lineRule="auto"/>
              <w:contextualSpacing w:val="0"/>
              <w:jc w:val="both"/>
              <w:rPr>
                <w:rFonts w:ascii="Verdana" w:hAnsi="Verdana" w:cs="Arial"/>
              </w:rPr>
            </w:pPr>
            <w:r w:rsidRPr="00BE74DA">
              <w:rPr>
                <w:rFonts w:ascii="Verdana" w:hAnsi="Verdana" w:cs="Arial"/>
              </w:rPr>
              <w:t xml:space="preserve">CONSEJO DE ESTADO. Sección Tercera. Subsección B. Sentencia del 14 de octubre de 2011. </w:t>
            </w:r>
            <w:proofErr w:type="spellStart"/>
            <w:r w:rsidRPr="00BE74DA">
              <w:rPr>
                <w:rFonts w:ascii="Verdana" w:hAnsi="Verdana" w:cs="Arial"/>
              </w:rPr>
              <w:t>Exp</w:t>
            </w:r>
            <w:proofErr w:type="spellEnd"/>
            <w:r w:rsidRPr="00BE74DA">
              <w:rPr>
                <w:rFonts w:ascii="Verdana" w:hAnsi="Verdana" w:cs="Arial"/>
              </w:rPr>
              <w:t>. 20811, C.P. Ruth Stella Correa Palacio.</w:t>
            </w:r>
          </w:p>
          <w:p w14:paraId="3649A624" w14:textId="45855FC7" w:rsidR="005A005F" w:rsidRPr="00BE74DA" w:rsidRDefault="005A005F" w:rsidP="00F139AF">
            <w:pPr>
              <w:pStyle w:val="ListParagraph"/>
              <w:widowControl w:val="0"/>
              <w:numPr>
                <w:ilvl w:val="0"/>
                <w:numId w:val="17"/>
              </w:numPr>
              <w:autoSpaceDE w:val="0"/>
              <w:autoSpaceDN w:val="0"/>
              <w:spacing w:after="120" w:line="276" w:lineRule="auto"/>
              <w:contextualSpacing w:val="0"/>
              <w:jc w:val="both"/>
              <w:rPr>
                <w:rFonts w:ascii="Verdana" w:hAnsi="Verdana" w:cs="Arial"/>
              </w:rPr>
            </w:pPr>
            <w:r w:rsidRPr="00BE74DA">
              <w:rPr>
                <w:rFonts w:ascii="Verdana" w:hAnsi="Verdana" w:cs="Arial"/>
              </w:rPr>
              <w:t>CONSEJO DE ESTADO. Sala de Consulta y Servicio Civil. Concepto del 5 de septiembre de 2018, radicado No. 11001-03-06-000-2018-00124-00 C.P. Édgar González López.</w:t>
            </w:r>
          </w:p>
        </w:tc>
      </w:tr>
    </w:tbl>
    <w:p w14:paraId="7C32A9E6" w14:textId="77777777" w:rsidR="0039595A" w:rsidRPr="00BE74DA" w:rsidRDefault="0039595A" w:rsidP="0039595A">
      <w:pPr>
        <w:spacing w:before="120" w:line="276" w:lineRule="auto"/>
        <w:jc w:val="both"/>
        <w:rPr>
          <w:rFonts w:ascii="Verdana" w:eastAsia="Calibri" w:hAnsi="Verdana" w:cs="Arial"/>
          <w:color w:val="000000"/>
          <w:lang w:eastAsia="es-ES" w:bidi="es-ES"/>
        </w:rPr>
      </w:pPr>
    </w:p>
    <w:p w14:paraId="3EACCD8C" w14:textId="77777777" w:rsidR="0039595A" w:rsidRPr="00BE74DA" w:rsidRDefault="0039595A" w:rsidP="0039595A">
      <w:pPr>
        <w:pStyle w:val="ListParagraph"/>
        <w:numPr>
          <w:ilvl w:val="0"/>
          <w:numId w:val="18"/>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BE74DA">
        <w:rPr>
          <w:rFonts w:ascii="Verdana" w:eastAsia="Century Gothic" w:hAnsi="Verdana" w:cs="Century Gothic"/>
          <w:b/>
          <w:bCs/>
        </w:rPr>
        <w:t>Doctrina de la Agencia Nacional de Contratación Pública:</w:t>
      </w:r>
    </w:p>
    <w:p w14:paraId="06564A68" w14:textId="77777777" w:rsidR="0039595A" w:rsidRPr="00BE74DA" w:rsidRDefault="0039595A" w:rsidP="0039595A">
      <w:pPr>
        <w:widowControl w:val="0"/>
        <w:autoSpaceDE w:val="0"/>
        <w:autoSpaceDN w:val="0"/>
        <w:spacing w:after="0" w:line="276" w:lineRule="auto"/>
        <w:jc w:val="both"/>
        <w:rPr>
          <w:rFonts w:ascii="Verdana" w:hAnsi="Verdana" w:cs="Arial"/>
        </w:rPr>
      </w:pPr>
    </w:p>
    <w:p w14:paraId="37712364" w14:textId="6C3041DC" w:rsidR="0039595A" w:rsidRPr="00BE74DA" w:rsidRDefault="0039595A" w:rsidP="0039595A">
      <w:pPr>
        <w:widowControl w:val="0"/>
        <w:autoSpaceDE w:val="0"/>
        <w:autoSpaceDN w:val="0"/>
        <w:spacing w:after="0" w:line="276" w:lineRule="auto"/>
        <w:jc w:val="both"/>
        <w:rPr>
          <w:rStyle w:val="normaltextrun"/>
          <w:rFonts w:ascii="Verdana" w:hAnsi="Verdana"/>
        </w:rPr>
      </w:pPr>
      <w:r w:rsidRPr="00BE74DA">
        <w:rPr>
          <w:rFonts w:ascii="Verdana" w:hAnsi="Verdana"/>
        </w:rPr>
        <w:t xml:space="preserve">Sobre el ámbito de consulta, esta Subdirección se ha pronunciado </w:t>
      </w:r>
      <w:r w:rsidR="00151CA5" w:rsidRPr="00BE74DA">
        <w:rPr>
          <w:rFonts w:ascii="Verdana" w:hAnsi="Verdana"/>
        </w:rPr>
        <w:t xml:space="preserve">en varias </w:t>
      </w:r>
      <w:r w:rsidR="00151CA5" w:rsidRPr="00BE74DA">
        <w:rPr>
          <w:rFonts w:ascii="Verdana" w:hAnsi="Verdana"/>
        </w:rPr>
        <w:lastRenderedPageBreak/>
        <w:t>ocasiones sobre el AIU en los Conceptos Nro.</w:t>
      </w:r>
      <w:r w:rsidRPr="00BE74DA">
        <w:rPr>
          <w:rFonts w:ascii="Verdana" w:hAnsi="Verdana"/>
        </w:rPr>
        <w:t xml:space="preserve"> en los Conceptos </w:t>
      </w:r>
      <w:r w:rsidR="00D331A2" w:rsidRPr="00BE74DA">
        <w:rPr>
          <w:rFonts w:ascii="Verdana" w:hAnsi="Verdana"/>
        </w:rPr>
        <w:t>C–037 del 28 de enero de 2020, 4202012000000664 del 30 de enero de 2020, C-191 del 16 de marzo de 2020, C-211 del 8 de abril de 2020, C-714 del 9 de diciembre de 2020, C-059 del 10 de marzo de 2021, C-613 del 6 de octubre de 2022, C-716 de 15 de noviembre de 2022, C-802 de 23 de noviembre de 2022, C-854 del 9 de diciembre de 2022, C-914 del 27 de diciembre de 2022, C-361 de septiembre de 2023, C-401 del 27 de septiembre de 2023, C-</w:t>
      </w:r>
      <w:r w:rsidR="002D121F" w:rsidRPr="00BE74DA">
        <w:rPr>
          <w:rFonts w:ascii="Verdana" w:hAnsi="Verdana"/>
        </w:rPr>
        <w:t>455 del 18 de septiembre del 2024</w:t>
      </w:r>
      <w:r w:rsidR="00A65171" w:rsidRPr="00BE74DA">
        <w:rPr>
          <w:rFonts w:ascii="Verdana" w:hAnsi="Verdana"/>
        </w:rPr>
        <w:t xml:space="preserve">, </w:t>
      </w:r>
      <w:r w:rsidR="00A65171" w:rsidRPr="00BE74DA">
        <w:rPr>
          <w:rFonts w:ascii="Verdana" w:eastAsia="Calibri" w:hAnsi="Verdana" w:cs="Arial"/>
          <w:lang w:val="es-ES" w:eastAsia="es-ES"/>
        </w:rPr>
        <w:t>C-212 del 05 de agosto de 2024 y C-</w:t>
      </w:r>
      <w:r w:rsidR="00445859" w:rsidRPr="00BE74DA">
        <w:rPr>
          <w:rFonts w:ascii="Verdana" w:eastAsia="Calibri" w:hAnsi="Verdana" w:cs="Arial"/>
          <w:lang w:val="es-ES" w:eastAsia="es-ES"/>
        </w:rPr>
        <w:t>784 del 11 de diciembre del 2024</w:t>
      </w:r>
      <w:r w:rsidRPr="00BE74DA">
        <w:rPr>
          <w:rFonts w:ascii="Verdana" w:hAnsi="Verdana"/>
        </w:rPr>
        <w:t xml:space="preserve">. </w:t>
      </w:r>
      <w:r w:rsidRPr="00BE74DA">
        <w:rPr>
          <w:rStyle w:val="normaltextrun"/>
          <w:rFonts w:ascii="Verdana" w:hAnsi="Verdana" w:cs="Arial"/>
          <w:shd w:val="clear" w:color="auto" w:fill="FFFFFF"/>
          <w:lang w:val="es-ES"/>
        </w:rPr>
        <w:t>Es</w:t>
      </w:r>
      <w:r w:rsidRPr="00BE74DA">
        <w:rPr>
          <w:rFonts w:ascii="Verdana" w:hAnsi="Verdana"/>
        </w:rPr>
        <w:t>tos y otros conceptos se encuentran disponibles para consulta en el Sistema de relatoría de la Agencia, al cual se puede acceder a través del siguiente enlace:</w:t>
      </w:r>
      <w:r w:rsidRPr="00BE74DA">
        <w:rPr>
          <w:rStyle w:val="normaltextrun"/>
          <w:rFonts w:ascii="Verdana" w:hAnsi="Verdana" w:cs="Arial"/>
          <w:shd w:val="clear" w:color="auto" w:fill="FFFFFF"/>
          <w:lang w:val="es-ES"/>
        </w:rPr>
        <w:t xml:space="preserve"> </w:t>
      </w:r>
      <w:hyperlink r:id="rId13" w:history="1">
        <w:r w:rsidRPr="00BE74DA">
          <w:rPr>
            <w:rStyle w:val="Hyperlink"/>
            <w:rFonts w:ascii="Verdana" w:hAnsi="Verdana" w:cs="Arial"/>
            <w:shd w:val="clear" w:color="auto" w:fill="FFFFFF"/>
            <w:lang w:val="es-ES"/>
          </w:rPr>
          <w:t>https://relatoria.colombiacompra.gov.co/busqueda/conceptos</w:t>
        </w:r>
      </w:hyperlink>
      <w:r w:rsidRPr="00BE74DA">
        <w:rPr>
          <w:rStyle w:val="normaltextrun"/>
          <w:rFonts w:ascii="Verdana" w:hAnsi="Verdana" w:cs="Arial"/>
          <w:color w:val="FF0000"/>
          <w:shd w:val="clear" w:color="auto" w:fill="FFFFFF"/>
          <w:lang w:val="es-ES"/>
        </w:rPr>
        <w:t xml:space="preserve">. </w:t>
      </w:r>
    </w:p>
    <w:p w14:paraId="0A67823B" w14:textId="77777777" w:rsidR="0039595A" w:rsidRPr="00BE74DA" w:rsidRDefault="0039595A" w:rsidP="0039595A">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3FFBCF2D" w14:textId="77777777" w:rsidR="0039595A" w:rsidRPr="00BE74DA" w:rsidRDefault="0039595A" w:rsidP="0039595A">
      <w:pPr>
        <w:widowControl w:val="0"/>
        <w:autoSpaceDE w:val="0"/>
        <w:autoSpaceDN w:val="0"/>
        <w:spacing w:after="120" w:line="276" w:lineRule="auto"/>
        <w:jc w:val="both"/>
        <w:rPr>
          <w:rFonts w:ascii="Verdana" w:hAnsi="Verdana" w:cs="Arial"/>
        </w:rPr>
      </w:pPr>
      <w:r w:rsidRPr="00BE74DA">
        <w:rPr>
          <w:rFonts w:ascii="Verdana" w:hAnsi="Verdana" w:cs="Arial"/>
          <w:color w:val="000000" w:themeColor="text1"/>
          <w:shd w:val="clear" w:color="auto" w:fill="FFFFFF"/>
        </w:rPr>
        <w:t>De otro lado, informamos que ya se encuentra disponible la actualización del Manual de Acuerdos Comerciales en Procesos de Contratación. Esta herramienta ofrece una orientación valiosa para que las entidades públicas determinen los acuerdos comerciales que deben incluir en sus procesos contractuales. Este instrumento se encuentra disponible para consulta en el siguiente enlace: </w:t>
      </w:r>
      <w:hyperlink r:id="rId14" w:tgtFrame="_blank" w:tooltip="Dirección URL original: https://www.colombiacompra.gov.co/sites/cce_public/files/cce_documents/manual_para_el_manejo_de_acuerdos_comerciales_vf.pdf. Haga clic o pulse si confía en este vínculo." w:history="1">
        <w:r w:rsidRPr="00BE74DA">
          <w:rPr>
            <w:rStyle w:val="Hyperlink"/>
            <w:rFonts w:ascii="Verdana" w:hAnsi="Verdana" w:cs="Arial"/>
            <w:shd w:val="clear" w:color="auto" w:fill="FFFFFF"/>
          </w:rPr>
          <w:t>manual_para_el_manejo_de_acuerdos_comerciales_vf.pdf</w:t>
        </w:r>
      </w:hyperlink>
    </w:p>
    <w:p w14:paraId="3A47BE99" w14:textId="77777777" w:rsidR="0039595A" w:rsidRPr="00BE74DA" w:rsidRDefault="0039595A" w:rsidP="0039595A">
      <w:pPr>
        <w:widowControl w:val="0"/>
        <w:autoSpaceDE w:val="0"/>
        <w:autoSpaceDN w:val="0"/>
        <w:spacing w:after="120" w:line="276" w:lineRule="auto"/>
        <w:jc w:val="both"/>
        <w:rPr>
          <w:rFonts w:ascii="Verdana" w:hAnsi="Verdana" w:cs="Arial"/>
        </w:rPr>
      </w:pPr>
      <w:r w:rsidRPr="00BE74DA">
        <w:rPr>
          <w:rFonts w:ascii="Verdana" w:hAnsi="Verdana" w:cs="Arial"/>
          <w:color w:val="000000"/>
        </w:rPr>
        <w:t>También lo invitamos a consultar la versión VII  de 2024, del Boletín de Relatoría de la Subdirección de Gestión Contractual relacionado con las ASOCIACIONES PÚBLICO POPULARES, el cual se puede descargar en la página web de la Agencia: </w:t>
      </w:r>
      <w:hyperlink r:id="rId15" w:tgtFrame="_blank" w:tooltip="Dirección URL original: https://www.colombiacompra.gov.co/sala-de-prensa/boletin-digital. Haga clic o pulse si confía en este vínculo." w:history="1">
        <w:r w:rsidRPr="00BE74DA">
          <w:rPr>
            <w:rStyle w:val="Hyperlink"/>
            <w:rFonts w:ascii="Verdana" w:hAnsi="Verdana" w:cs="Arial"/>
          </w:rPr>
          <w:t>https://www.colombiacompra.gov.co/sala-de-prensa/boletin-digital</w:t>
        </w:r>
      </w:hyperlink>
      <w:r w:rsidRPr="00BE74DA">
        <w:rPr>
          <w:rFonts w:ascii="Verdana" w:hAnsi="Verdana" w:cs="Arial"/>
          <w:color w:val="000000"/>
        </w:rPr>
        <w:t> </w:t>
      </w:r>
    </w:p>
    <w:p w14:paraId="6D67D7D5" w14:textId="77777777" w:rsidR="0039595A" w:rsidRPr="00BE74DA" w:rsidRDefault="0039595A" w:rsidP="0039595A">
      <w:pPr>
        <w:widowControl w:val="0"/>
        <w:autoSpaceDE w:val="0"/>
        <w:autoSpaceDN w:val="0"/>
        <w:spacing w:after="120" w:line="276" w:lineRule="auto"/>
        <w:jc w:val="both"/>
        <w:rPr>
          <w:rFonts w:ascii="Verdana" w:hAnsi="Verdana" w:cs="Arial"/>
        </w:rPr>
      </w:pPr>
      <w:r w:rsidRPr="00BE74DA">
        <w:rPr>
          <w:rFonts w:ascii="Verdana" w:hAnsi="Verdana"/>
        </w:rPr>
        <w:t xml:space="preserve">Por último, lo invitamos a seguirnos en las redes sociales en las cuales se difunde información institucional: </w:t>
      </w:r>
    </w:p>
    <w:p w14:paraId="43D007EE" w14:textId="77777777" w:rsidR="0039595A" w:rsidRPr="00BE74DA" w:rsidRDefault="0039595A" w:rsidP="0039595A">
      <w:pPr>
        <w:spacing w:after="0" w:line="240" w:lineRule="auto"/>
        <w:jc w:val="both"/>
        <w:rPr>
          <w:rFonts w:ascii="Verdana" w:hAnsi="Verdana"/>
        </w:rPr>
      </w:pPr>
      <w:r w:rsidRPr="00BE74DA">
        <w:rPr>
          <w:rFonts w:ascii="Verdana" w:hAnsi="Verdana"/>
        </w:rPr>
        <w:t xml:space="preserve">Twitter: </w:t>
      </w:r>
      <w:r w:rsidRPr="00BE74DA">
        <w:rPr>
          <w:rStyle w:val="Hyperlink"/>
          <w:rFonts w:ascii="Verdana" w:hAnsi="Verdana" w:cs="Arial"/>
          <w:shd w:val="clear" w:color="auto" w:fill="FFFFFF"/>
          <w:lang w:val="es-ES"/>
        </w:rPr>
        <w:t>@colombiacompra</w:t>
      </w:r>
      <w:r w:rsidRPr="00BE74DA">
        <w:rPr>
          <w:rFonts w:ascii="Verdana" w:eastAsia="Aptos" w:hAnsi="Verdana" w:cs="Times New Roman"/>
          <w:color w:val="156082"/>
        </w:rPr>
        <w:t xml:space="preserve"> </w:t>
      </w:r>
    </w:p>
    <w:p w14:paraId="1ECD118D" w14:textId="77777777" w:rsidR="0039595A" w:rsidRPr="00BE74DA" w:rsidRDefault="0039595A" w:rsidP="0039595A">
      <w:pPr>
        <w:spacing w:after="0" w:line="240" w:lineRule="auto"/>
        <w:jc w:val="both"/>
        <w:rPr>
          <w:rFonts w:ascii="Verdana" w:hAnsi="Verdana"/>
        </w:rPr>
      </w:pPr>
      <w:r w:rsidRPr="00BE74DA">
        <w:rPr>
          <w:rFonts w:ascii="Verdana" w:hAnsi="Verdana"/>
        </w:rPr>
        <w:t xml:space="preserve">Facebook: </w:t>
      </w:r>
      <w:proofErr w:type="spellStart"/>
      <w:r w:rsidRPr="00BE74DA">
        <w:rPr>
          <w:rStyle w:val="Hyperlink"/>
          <w:rFonts w:ascii="Verdana" w:hAnsi="Verdana" w:cs="Arial"/>
          <w:shd w:val="clear" w:color="auto" w:fill="FFFFFF"/>
          <w:lang w:val="es-ES"/>
        </w:rPr>
        <w:t>ColombiaCompraEficiente</w:t>
      </w:r>
      <w:proofErr w:type="spellEnd"/>
    </w:p>
    <w:p w14:paraId="3C270AC4" w14:textId="77777777" w:rsidR="0039595A" w:rsidRPr="00BE74DA" w:rsidRDefault="0039595A" w:rsidP="0039595A">
      <w:pPr>
        <w:spacing w:after="0" w:line="240" w:lineRule="auto"/>
        <w:jc w:val="both"/>
        <w:rPr>
          <w:rFonts w:ascii="Verdana" w:hAnsi="Verdana"/>
        </w:rPr>
      </w:pPr>
      <w:r w:rsidRPr="00BE74DA">
        <w:rPr>
          <w:rFonts w:ascii="Verdana" w:hAnsi="Verdana"/>
        </w:rPr>
        <w:t xml:space="preserve">LinkedIn: </w:t>
      </w:r>
      <w:r w:rsidRPr="00BE74DA">
        <w:rPr>
          <w:rStyle w:val="Hyperlink"/>
          <w:rFonts w:ascii="Verdana" w:hAnsi="Verdana" w:cs="Arial"/>
          <w:shd w:val="clear" w:color="auto" w:fill="FFFFFF"/>
          <w:lang w:val="es-ES"/>
        </w:rPr>
        <w:t>Agencia Nacional de Contratación Pública - Colombia Compra Eficiente</w:t>
      </w:r>
      <w:r w:rsidRPr="00BE74DA">
        <w:rPr>
          <w:rFonts w:ascii="Verdana" w:eastAsia="Aptos" w:hAnsi="Verdana" w:cs="Times New Roman"/>
          <w:color w:val="156082"/>
        </w:rPr>
        <w:t xml:space="preserve"> </w:t>
      </w:r>
      <w:r w:rsidRPr="00BE74DA">
        <w:rPr>
          <w:rFonts w:ascii="Verdana" w:hAnsi="Verdana"/>
        </w:rPr>
        <w:t xml:space="preserve">Instagram: </w:t>
      </w:r>
      <w:r w:rsidRPr="00BE74DA">
        <w:rPr>
          <w:rStyle w:val="Hyperlink"/>
          <w:rFonts w:ascii="Verdana" w:hAnsi="Verdana" w:cs="Arial"/>
          <w:shd w:val="clear" w:color="auto" w:fill="FFFFFF"/>
          <w:lang w:val="es-ES"/>
        </w:rPr>
        <w:t>@colombiacompraeficiente_cce</w:t>
      </w:r>
    </w:p>
    <w:p w14:paraId="40D4D20D" w14:textId="77777777" w:rsidR="0039595A" w:rsidRPr="00BE74DA" w:rsidRDefault="0039595A" w:rsidP="0039595A">
      <w:pPr>
        <w:widowControl w:val="0"/>
        <w:autoSpaceDE w:val="0"/>
        <w:autoSpaceDN w:val="0"/>
        <w:spacing w:after="0" w:line="276" w:lineRule="auto"/>
        <w:jc w:val="both"/>
        <w:rPr>
          <w:rFonts w:ascii="Verdana" w:hAnsi="Verdana"/>
        </w:rPr>
      </w:pPr>
    </w:p>
    <w:p w14:paraId="3F8B1630" w14:textId="77777777" w:rsidR="0039595A" w:rsidRPr="00BE74DA" w:rsidRDefault="0039595A" w:rsidP="0039595A">
      <w:pPr>
        <w:widowControl w:val="0"/>
        <w:autoSpaceDE w:val="0"/>
        <w:autoSpaceDN w:val="0"/>
        <w:spacing w:after="0" w:line="276" w:lineRule="auto"/>
        <w:jc w:val="both"/>
        <w:rPr>
          <w:rFonts w:ascii="Verdana" w:eastAsia="Aptos" w:hAnsi="Verdana" w:cs="Arial"/>
          <w:lang w:val="es-ES_tradnl"/>
        </w:rPr>
      </w:pPr>
      <w:r w:rsidRPr="00BE74DA">
        <w:rPr>
          <w:rFonts w:ascii="Verdana" w:eastAsia="Aptos" w:hAnsi="Verdana" w:cs="Arial"/>
        </w:rPr>
        <w:t xml:space="preserve">Este concepto tiene el alcance previsto en el artículo 28 del Código de Procedimiento Administrativo y de lo Contencioso Administrativo </w:t>
      </w:r>
      <w:r w:rsidRPr="00BE74DA">
        <w:rPr>
          <w:rFonts w:ascii="Verdana" w:eastAsia="Aptos" w:hAnsi="Verdana" w:cs="Arial"/>
          <w:lang w:val="es-ES_tradnl"/>
        </w:rPr>
        <w:t>y las expresiones aquí utilizadas con mayúscula inicial deben ser entendidas con el significado que les otorga el artículo 2.2.1.1.1.3.1. del Decreto 1082 de 2015.</w:t>
      </w:r>
    </w:p>
    <w:p w14:paraId="55DF04A1" w14:textId="77777777" w:rsidR="0039595A" w:rsidRPr="00BE74DA" w:rsidRDefault="0039595A" w:rsidP="0039595A">
      <w:pPr>
        <w:widowControl w:val="0"/>
        <w:autoSpaceDE w:val="0"/>
        <w:autoSpaceDN w:val="0"/>
        <w:spacing w:after="0" w:line="276" w:lineRule="auto"/>
        <w:jc w:val="both"/>
        <w:rPr>
          <w:rFonts w:ascii="Verdana" w:eastAsia="Aptos" w:hAnsi="Verdana" w:cs="Arial"/>
        </w:rPr>
      </w:pPr>
    </w:p>
    <w:p w14:paraId="67C1827B" w14:textId="77777777" w:rsidR="0039595A" w:rsidRPr="00BE74DA" w:rsidRDefault="0039595A" w:rsidP="0039595A">
      <w:pPr>
        <w:spacing w:after="0" w:line="240" w:lineRule="auto"/>
        <w:rPr>
          <w:rFonts w:ascii="Verdana" w:hAnsi="Verdana" w:cs="Arial"/>
          <w:lang w:eastAsia="es-CO"/>
        </w:rPr>
      </w:pPr>
      <w:r w:rsidRPr="00BE74DA">
        <w:rPr>
          <w:rFonts w:ascii="Verdana" w:eastAsia="Times New Roman" w:hAnsi="Verdana" w:cs="Arial"/>
          <w:lang w:eastAsia="es-CO"/>
        </w:rPr>
        <w:t>Atentamente,</w:t>
      </w:r>
      <w:r w:rsidRPr="00BE74DA">
        <w:rPr>
          <w:rFonts w:ascii="Verdana" w:hAnsi="Verdana" w:cs="Arial"/>
          <w:lang w:eastAsia="es-CO"/>
        </w:rPr>
        <w:t xml:space="preserve"> </w:t>
      </w:r>
    </w:p>
    <w:p w14:paraId="05B79B67" w14:textId="0A753A4A" w:rsidR="0039595A" w:rsidRPr="00BE74DA" w:rsidRDefault="00212D6F" w:rsidP="0039595A">
      <w:pPr>
        <w:spacing w:line="276" w:lineRule="auto"/>
        <w:jc w:val="center"/>
        <w:rPr>
          <w:rFonts w:ascii="Verdana" w:hAnsi="Verdana" w:cs="Arial"/>
          <w:color w:val="000000"/>
          <w:lang w:val="es-ES_tradnl" w:eastAsia="es-CO"/>
        </w:rPr>
      </w:pPr>
      <w:r w:rsidRPr="004D5C25">
        <w:rPr>
          <w:rFonts w:ascii="Century Gothic" w:hAnsi="Century Gothic"/>
          <w:noProof/>
        </w:rPr>
        <w:lastRenderedPageBreak/>
        <w:drawing>
          <wp:inline distT="0" distB="0" distL="0" distR="0" wp14:anchorId="4E49E067" wp14:editId="0332C01D">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6"/>
                    <a:stretch>
                      <a:fillRect/>
                    </a:stretch>
                  </pic:blipFill>
                  <pic:spPr>
                    <a:xfrm>
                      <a:off x="0" y="0"/>
                      <a:ext cx="3705742" cy="1590897"/>
                    </a:xfrm>
                    <a:prstGeom prst="rect">
                      <a:avLst/>
                    </a:prstGeom>
                  </pic:spPr>
                </pic:pic>
              </a:graphicData>
            </a:graphic>
          </wp:inline>
        </w:drawing>
      </w:r>
    </w:p>
    <w:tbl>
      <w:tblPr>
        <w:tblStyle w:val="TableGrid"/>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39595A" w:rsidRPr="00BE74DA" w14:paraId="5D03F679" w14:textId="77777777" w:rsidTr="00F139AF">
        <w:trPr>
          <w:trHeight w:val="315"/>
        </w:trPr>
        <w:tc>
          <w:tcPr>
            <w:tcW w:w="893" w:type="dxa"/>
            <w:vAlign w:val="center"/>
            <w:hideMark/>
          </w:tcPr>
          <w:p w14:paraId="6FD1756A" w14:textId="77777777" w:rsidR="0039595A" w:rsidRPr="00BE74DA" w:rsidRDefault="0039595A" w:rsidP="00F139AF">
            <w:pPr>
              <w:contextualSpacing/>
              <w:rPr>
                <w:rFonts w:ascii="Verdana" w:hAnsi="Verdana" w:cs="Arial"/>
                <w:sz w:val="16"/>
                <w:szCs w:val="16"/>
                <w:lang w:val="es-ES" w:eastAsia="es-ES"/>
              </w:rPr>
            </w:pPr>
            <w:r w:rsidRPr="00BE74DA">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519249C9" w14:textId="77777777" w:rsidR="0039595A" w:rsidRPr="00BE74DA" w:rsidRDefault="0039595A" w:rsidP="00F139AF">
            <w:pPr>
              <w:contextualSpacing/>
              <w:rPr>
                <w:rFonts w:ascii="Verdana" w:eastAsia="Arial" w:hAnsi="Verdana" w:cs="Arial"/>
                <w:sz w:val="16"/>
                <w:szCs w:val="16"/>
              </w:rPr>
            </w:pPr>
            <w:r w:rsidRPr="00BE74DA">
              <w:rPr>
                <w:rFonts w:ascii="Verdana" w:eastAsia="Arial" w:hAnsi="Verdana" w:cs="Arial"/>
                <w:sz w:val="16"/>
                <w:szCs w:val="16"/>
              </w:rPr>
              <w:t>Ana María Ortiz Ballesteros</w:t>
            </w:r>
          </w:p>
          <w:p w14:paraId="74257B9C" w14:textId="77777777" w:rsidR="0039595A" w:rsidRPr="00BE74DA" w:rsidRDefault="0039595A" w:rsidP="00F139AF">
            <w:pPr>
              <w:contextualSpacing/>
              <w:rPr>
                <w:rFonts w:ascii="Verdana" w:eastAsia="Arial" w:hAnsi="Verdana" w:cs="Arial"/>
                <w:sz w:val="16"/>
                <w:szCs w:val="16"/>
              </w:rPr>
            </w:pPr>
            <w:r w:rsidRPr="00BE74DA">
              <w:rPr>
                <w:rStyle w:val="normaltextrun"/>
                <w:rFonts w:ascii="Verdana" w:eastAsia="Arial" w:hAnsi="Verdana" w:cs="Arial"/>
                <w:sz w:val="16"/>
                <w:szCs w:val="16"/>
              </w:rPr>
              <w:t>C</w:t>
            </w:r>
            <w:r w:rsidRPr="00BE74DA">
              <w:rPr>
                <w:rStyle w:val="normaltextrun"/>
                <w:rFonts w:ascii="Verdana" w:hAnsi="Verdana" w:cs="Arial"/>
                <w:sz w:val="16"/>
                <w:szCs w:val="16"/>
              </w:rPr>
              <w:t>ontratista</w:t>
            </w:r>
            <w:r w:rsidRPr="00BE74DA">
              <w:rPr>
                <w:rStyle w:val="normaltextrun"/>
                <w:rFonts w:ascii="Verdana" w:eastAsia="Arial" w:hAnsi="Verdana" w:cs="Arial"/>
                <w:sz w:val="16"/>
                <w:szCs w:val="16"/>
              </w:rPr>
              <w:t xml:space="preserve"> de la Subdirección de Gestión Contractual</w:t>
            </w:r>
          </w:p>
        </w:tc>
      </w:tr>
      <w:tr w:rsidR="0039595A" w:rsidRPr="00BE74DA" w14:paraId="5810F239" w14:textId="77777777" w:rsidTr="00F139AF">
        <w:trPr>
          <w:trHeight w:val="330"/>
        </w:trPr>
        <w:tc>
          <w:tcPr>
            <w:tcW w:w="893" w:type="dxa"/>
            <w:vAlign w:val="center"/>
            <w:hideMark/>
          </w:tcPr>
          <w:p w14:paraId="7C1361E3" w14:textId="77777777" w:rsidR="0039595A" w:rsidRPr="00BE74DA" w:rsidRDefault="0039595A" w:rsidP="00F139AF">
            <w:pPr>
              <w:contextualSpacing/>
              <w:rPr>
                <w:rFonts w:ascii="Verdana" w:hAnsi="Verdana" w:cs="Arial"/>
                <w:sz w:val="16"/>
                <w:szCs w:val="16"/>
                <w:lang w:val="es-ES" w:eastAsia="es-ES"/>
              </w:rPr>
            </w:pPr>
            <w:r w:rsidRPr="00BE74DA">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0E9F2AD1" w14:textId="77777777" w:rsidR="0039595A" w:rsidRPr="00BE74DA" w:rsidRDefault="0039595A" w:rsidP="00F139AF">
            <w:pPr>
              <w:pStyle w:val="paragraph"/>
              <w:spacing w:before="0" w:beforeAutospacing="0" w:after="0" w:afterAutospacing="0"/>
              <w:contextualSpacing/>
              <w:textAlignment w:val="baseline"/>
              <w:rPr>
                <w:rStyle w:val="normaltextrun"/>
                <w:rFonts w:ascii="Verdana" w:hAnsi="Verdana" w:cs="Arial"/>
                <w:sz w:val="16"/>
                <w:szCs w:val="16"/>
                <w:lang w:val="es-ES"/>
              </w:rPr>
            </w:pPr>
            <w:r w:rsidRPr="00BE74DA">
              <w:rPr>
                <w:rStyle w:val="normaltextrun"/>
                <w:rFonts w:ascii="Verdana" w:hAnsi="Verdana" w:cs="Arial"/>
                <w:sz w:val="16"/>
                <w:szCs w:val="16"/>
                <w:lang w:val="es-ES"/>
              </w:rPr>
              <w:t>Juan Carlos González Vázquez</w:t>
            </w:r>
          </w:p>
          <w:p w14:paraId="0B3A5664" w14:textId="77777777" w:rsidR="0039595A" w:rsidRPr="00BE74DA" w:rsidRDefault="0039595A" w:rsidP="00F139AF">
            <w:pPr>
              <w:pStyle w:val="paragraph"/>
              <w:spacing w:before="0" w:beforeAutospacing="0" w:after="0" w:afterAutospacing="0"/>
              <w:contextualSpacing/>
              <w:textAlignment w:val="baseline"/>
              <w:rPr>
                <w:rFonts w:ascii="Verdana" w:hAnsi="Verdana" w:cs="Arial"/>
                <w:sz w:val="16"/>
                <w:szCs w:val="16"/>
              </w:rPr>
            </w:pPr>
            <w:r w:rsidRPr="00BE74DA">
              <w:rPr>
                <w:rStyle w:val="normaltextrun"/>
                <w:rFonts w:ascii="Verdana" w:eastAsia="Arial" w:hAnsi="Verdana" w:cs="Arial"/>
                <w:sz w:val="16"/>
                <w:szCs w:val="16"/>
              </w:rPr>
              <w:t>C</w:t>
            </w:r>
            <w:r w:rsidRPr="00BE74DA">
              <w:rPr>
                <w:rStyle w:val="normaltextrun"/>
                <w:rFonts w:ascii="Verdana" w:hAnsi="Verdana" w:cs="Arial"/>
                <w:sz w:val="16"/>
                <w:szCs w:val="16"/>
              </w:rPr>
              <w:t>ontratista</w:t>
            </w:r>
            <w:r w:rsidRPr="00BE74DA">
              <w:rPr>
                <w:rStyle w:val="normaltextrun"/>
                <w:rFonts w:ascii="Verdana" w:eastAsia="Arial" w:hAnsi="Verdana" w:cs="Arial"/>
                <w:sz w:val="16"/>
                <w:szCs w:val="16"/>
              </w:rPr>
              <w:t xml:space="preserve"> de la Subdirección de Gestión Contractual</w:t>
            </w:r>
          </w:p>
        </w:tc>
      </w:tr>
      <w:tr w:rsidR="0039595A" w:rsidRPr="00BE74DA" w14:paraId="4DA5F8A6" w14:textId="77777777" w:rsidTr="00F139AF">
        <w:trPr>
          <w:trHeight w:val="300"/>
        </w:trPr>
        <w:tc>
          <w:tcPr>
            <w:tcW w:w="893" w:type="dxa"/>
            <w:vAlign w:val="center"/>
          </w:tcPr>
          <w:p w14:paraId="1D2961E1" w14:textId="77777777" w:rsidR="0039595A" w:rsidRPr="00BE74DA" w:rsidRDefault="0039595A" w:rsidP="00F139AF">
            <w:pPr>
              <w:contextualSpacing/>
              <w:rPr>
                <w:rFonts w:ascii="Verdana" w:hAnsi="Verdana" w:cs="Arial"/>
                <w:sz w:val="16"/>
                <w:szCs w:val="16"/>
                <w:lang w:val="es-ES" w:eastAsia="es-ES"/>
              </w:rPr>
            </w:pPr>
            <w:r w:rsidRPr="00BE74DA">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579CC12A" w14:textId="77777777" w:rsidR="0039595A" w:rsidRPr="00BE74DA" w:rsidRDefault="0039595A" w:rsidP="00F139AF">
            <w:pPr>
              <w:contextualSpacing/>
              <w:rPr>
                <w:rFonts w:ascii="Verdana" w:eastAsia="Calibri" w:hAnsi="Verdana" w:cs="Arial"/>
                <w:sz w:val="16"/>
                <w:szCs w:val="16"/>
                <w:lang w:val="pt-BR" w:eastAsia="es-ES"/>
              </w:rPr>
            </w:pPr>
            <w:r w:rsidRPr="00BE74DA">
              <w:rPr>
                <w:rFonts w:ascii="Verdana" w:eastAsia="Calibri" w:hAnsi="Verdana" w:cs="Arial"/>
                <w:sz w:val="16"/>
                <w:szCs w:val="16"/>
                <w:lang w:val="pt-BR" w:eastAsia="es-ES"/>
              </w:rPr>
              <w:t xml:space="preserve">Carolina Quintero </w:t>
            </w:r>
            <w:proofErr w:type="spellStart"/>
            <w:r w:rsidRPr="00BE74DA">
              <w:rPr>
                <w:rFonts w:ascii="Verdana" w:eastAsia="Calibri" w:hAnsi="Verdana" w:cs="Arial"/>
                <w:sz w:val="16"/>
                <w:szCs w:val="16"/>
                <w:lang w:val="pt-BR" w:eastAsia="es-ES"/>
              </w:rPr>
              <w:t>Gacharná</w:t>
            </w:r>
            <w:proofErr w:type="spellEnd"/>
          </w:p>
          <w:p w14:paraId="33AB4C96" w14:textId="77777777" w:rsidR="0039595A" w:rsidRPr="00BE74DA" w:rsidRDefault="0039595A" w:rsidP="00F139AF">
            <w:pPr>
              <w:contextualSpacing/>
              <w:rPr>
                <w:rFonts w:ascii="Verdana" w:eastAsia="Calibri" w:hAnsi="Verdana" w:cs="Arial"/>
                <w:sz w:val="16"/>
                <w:szCs w:val="16"/>
                <w:lang w:val="pt-BR" w:eastAsia="es-ES"/>
              </w:rPr>
            </w:pPr>
            <w:r w:rsidRPr="00BE74DA">
              <w:rPr>
                <w:rFonts w:ascii="Verdana" w:eastAsia="Calibri" w:hAnsi="Verdana" w:cs="Arial"/>
                <w:sz w:val="16"/>
                <w:szCs w:val="16"/>
                <w:lang w:eastAsia="es-ES"/>
              </w:rPr>
              <w:t>Subdirectora</w:t>
            </w:r>
            <w:r w:rsidRPr="00BE74DA">
              <w:rPr>
                <w:rFonts w:ascii="Verdana" w:eastAsia="Calibri" w:hAnsi="Verdana" w:cs="Arial"/>
                <w:sz w:val="16"/>
                <w:szCs w:val="16"/>
                <w:lang w:val="pt-BR" w:eastAsia="es-ES"/>
              </w:rPr>
              <w:t xml:space="preserve"> de Gestión Contractual ANCP – CCE</w:t>
            </w:r>
          </w:p>
        </w:tc>
      </w:tr>
      <w:bookmarkEnd w:id="0"/>
    </w:tbl>
    <w:p w14:paraId="3900974D" w14:textId="21AF1ED3" w:rsidR="003D5B0D" w:rsidRPr="0044528D" w:rsidRDefault="003D5B0D" w:rsidP="00C76B1C">
      <w:pPr>
        <w:spacing w:after="0" w:line="240" w:lineRule="auto"/>
        <w:textAlignment w:val="baseline"/>
        <w:rPr>
          <w:rFonts w:ascii="Verdana" w:eastAsia="Times New Roman" w:hAnsi="Verdana" w:cs="Segoe UI"/>
          <w:b/>
          <w:bCs/>
          <w:color w:val="46589C"/>
          <w:lang w:val="es-ES" w:eastAsia="es-CO"/>
        </w:rPr>
      </w:pPr>
    </w:p>
    <w:sectPr w:rsidR="003D5B0D" w:rsidRPr="0044528D" w:rsidSect="007C0C0F">
      <w:headerReference w:type="default" r:id="rId17"/>
      <w:footerReference w:type="default" r:id="rId1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A76C1" w14:textId="77777777" w:rsidR="00ED7384" w:rsidRDefault="00ED7384" w:rsidP="004A1847">
      <w:pPr>
        <w:spacing w:after="0" w:line="240" w:lineRule="auto"/>
      </w:pPr>
      <w:r>
        <w:separator/>
      </w:r>
    </w:p>
  </w:endnote>
  <w:endnote w:type="continuationSeparator" w:id="0">
    <w:p w14:paraId="3D3031BD" w14:textId="77777777" w:rsidR="00ED7384" w:rsidRDefault="00ED7384" w:rsidP="004A1847">
      <w:pPr>
        <w:spacing w:after="0" w:line="240" w:lineRule="auto"/>
      </w:pPr>
      <w:r>
        <w:continuationSeparator/>
      </w:r>
    </w:p>
  </w:endnote>
  <w:endnote w:type="continuationNotice" w:id="1">
    <w:p w14:paraId="444CED6A" w14:textId="77777777" w:rsidR="000225DE" w:rsidRDefault="000225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Geomanist">
    <w:altName w:val="Calibri"/>
    <w:panose1 w:val="020B0604020202020204"/>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MT">
    <w:altName w:val="Arial"/>
    <w:panose1 w:val="020B0604020202020204"/>
    <w:charset w:val="01"/>
    <w:family w:val="swiss"/>
    <w:pitch w:val="variable"/>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20B0604020202020204"/>
    <w:charset w:val="00"/>
    <w:family w:val="modern"/>
    <w:notTrueType/>
    <w:pitch w:val="variable"/>
    <w:sig w:usb0="A000002F" w:usb1="1000004A" w:usb2="00000000" w:usb3="00000000" w:csb0="00000193" w:csb1="00000000"/>
  </w:font>
  <w:font w:name="Geo">
    <w:altName w:val="Calibri"/>
    <w:panose1 w:val="020B0604020202020204"/>
    <w:charset w:val="00"/>
    <w:family w:val="auto"/>
    <w:pitch w:val="variable"/>
    <w:sig w:usb0="8000002F" w:usb1="40000048" w:usb2="00000000" w:usb3="00000000" w:csb0="00000001"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Footer"/>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1C68F" w14:textId="77777777" w:rsidR="00ED7384" w:rsidRDefault="00ED7384" w:rsidP="004A1847">
      <w:pPr>
        <w:spacing w:after="0" w:line="240" w:lineRule="auto"/>
      </w:pPr>
      <w:r>
        <w:separator/>
      </w:r>
    </w:p>
  </w:footnote>
  <w:footnote w:type="continuationSeparator" w:id="0">
    <w:p w14:paraId="5F7CC70A" w14:textId="77777777" w:rsidR="00ED7384" w:rsidRDefault="00ED7384" w:rsidP="004A1847">
      <w:pPr>
        <w:spacing w:after="0" w:line="240" w:lineRule="auto"/>
      </w:pPr>
      <w:r>
        <w:continuationSeparator/>
      </w:r>
    </w:p>
  </w:footnote>
  <w:footnote w:type="continuationNotice" w:id="1">
    <w:p w14:paraId="2306B544" w14:textId="77777777" w:rsidR="000225DE" w:rsidRDefault="000225DE">
      <w:pPr>
        <w:spacing w:after="0" w:line="240" w:lineRule="auto"/>
      </w:pPr>
    </w:p>
  </w:footnote>
  <w:footnote w:id="2">
    <w:p w14:paraId="3A2F72D3" w14:textId="77777777" w:rsidR="00FE1807" w:rsidRPr="005431DE" w:rsidRDefault="00FE1807" w:rsidP="00D605DE">
      <w:pPr>
        <w:pStyle w:val="FootnoteText"/>
        <w:ind w:firstLine="709"/>
        <w:jc w:val="both"/>
        <w:rPr>
          <w:rFonts w:ascii="Verdana" w:eastAsia="Calibri" w:hAnsi="Verdana" w:cs="Arial"/>
          <w:sz w:val="18"/>
          <w:szCs w:val="18"/>
          <w:lang w:val="es-ES_tradnl" w:eastAsia="es-ES_tradnl"/>
        </w:rPr>
      </w:pPr>
      <w:r w:rsidRPr="005431DE">
        <w:rPr>
          <w:rStyle w:val="FootnoteReference"/>
          <w:rFonts w:ascii="Verdana" w:hAnsi="Verdana" w:cs="Arial"/>
          <w:sz w:val="18"/>
          <w:szCs w:val="18"/>
        </w:rPr>
        <w:footnoteRef/>
      </w:r>
      <w:r w:rsidRPr="005431DE">
        <w:rPr>
          <w:rFonts w:ascii="Verdana" w:hAnsi="Verdana" w:cs="Arial"/>
          <w:sz w:val="18"/>
          <w:szCs w:val="18"/>
        </w:rPr>
        <w:t xml:space="preserve"> </w:t>
      </w:r>
      <w:r w:rsidRPr="005431DE">
        <w:rPr>
          <w:rFonts w:ascii="Verdana" w:eastAsia="Calibri" w:hAnsi="Verdana" w:cs="Arial"/>
          <w:sz w:val="18"/>
          <w:szCs w:val="18"/>
          <w:lang w:val="es-ES_tradnl" w:eastAsia="es-ES_tradnl"/>
        </w:rPr>
        <w:t>“La manera como las ofertas presentan el precio varía demasiado, incluso por razón de la costumbre que se impone en determinados negocios. Por ejemplo, tratándose de la compraventa, del suministro o la prestación de servicios profesionales –entre otros contratos, que de hecho son la mayoría– el valor que se ofrece no se desglosa para revelar al destinatario su estructura de costos. El proponente se limita a establecer una cifra por la que está dispuesto a asumir ciertas obligaciones, pero el comprador desconoce cómo se compone internamente, es decir, no sabe –ni usualmente le interesa conocerlo– qué parte del valor corresponde a gastos de mano de obra, de transporte, de energía, cuál es la utilidad esperada, entre otros conceptos. En estos casos se limita a conocer con claridad absoluta cuánto le costará el bien o el servicio, porque es lo que pagará.</w:t>
      </w:r>
    </w:p>
    <w:p w14:paraId="4954DDD8" w14:textId="77777777" w:rsidR="00FE1807" w:rsidRPr="005431DE" w:rsidRDefault="00FE1807" w:rsidP="00D605DE">
      <w:pPr>
        <w:pStyle w:val="FootnoteText"/>
        <w:ind w:firstLine="709"/>
        <w:jc w:val="both"/>
        <w:rPr>
          <w:rFonts w:ascii="Verdana" w:hAnsi="Verdana" w:cs="Arial"/>
          <w:sz w:val="18"/>
          <w:szCs w:val="18"/>
          <w:lang w:val="es-ES"/>
        </w:rPr>
      </w:pPr>
      <w:r w:rsidRPr="005431DE">
        <w:rPr>
          <w:rFonts w:ascii="Verdana" w:eastAsia="Calibri" w:hAnsi="Verdana" w:cs="Arial"/>
          <w:sz w:val="18"/>
          <w:szCs w:val="18"/>
          <w:lang w:val="es-ES_tradnl" w:eastAsia="es-ES_tradnl"/>
        </w:rPr>
        <w:t>Sin embargo, en otros negocios, como la obra pública, la concesión y la consultoría, el Estado está acostumbrado a que se desglosen intensamente los costos, exigiendo no sólo el precio total sino una distinción entre los costos directos y los costos indirectos. Los primeros son los gastos imprescindibles para ejecutar la obra, entre los que se encuentra: la adquisición de materiales, insumos y suministros, la inversión en equipos, el pago de la mano de obra de las cuadrillas de trabajadores obreros y otros gastos afines –representados en los ítems que componen el contrato–. Los costos indirectos aluden a los gastos que también son necesarios para la obra, pero que no hacen parte de los elementos mismos con los que se construye, es decir, se trata de los costos de administración de la obra, los imprevistos que se presentan durante su ejecución y la utilidad esperada” (MARÍN CORTÉS, Fabián. El precio. Serie: Las cláusulas del contrato estatal. Medellín: Librería Jurídica Sánchez y Centro de Estudios de Derecho Administrativo –CEDA–, 2012. pp. 63-64).</w:t>
      </w:r>
    </w:p>
  </w:footnote>
  <w:footnote w:id="3">
    <w:p w14:paraId="57CF9576" w14:textId="77777777" w:rsidR="00FE1807" w:rsidRPr="005431DE" w:rsidRDefault="00FE1807" w:rsidP="00D605DE">
      <w:pPr>
        <w:pStyle w:val="FootnoteText"/>
        <w:ind w:firstLine="708"/>
        <w:jc w:val="both"/>
        <w:rPr>
          <w:rFonts w:ascii="Verdana" w:hAnsi="Verdana" w:cs="Arial"/>
          <w:sz w:val="18"/>
          <w:szCs w:val="18"/>
        </w:rPr>
      </w:pPr>
      <w:r w:rsidRPr="005431DE">
        <w:rPr>
          <w:rStyle w:val="FootnoteReference"/>
          <w:rFonts w:ascii="Verdana" w:hAnsi="Verdana" w:cs="Arial"/>
          <w:sz w:val="18"/>
          <w:szCs w:val="18"/>
        </w:rPr>
        <w:footnoteRef/>
      </w:r>
      <w:r w:rsidRPr="005431DE">
        <w:rPr>
          <w:rFonts w:ascii="Verdana" w:hAnsi="Verdana" w:cs="Arial"/>
          <w:sz w:val="18"/>
          <w:szCs w:val="18"/>
        </w:rPr>
        <w:t xml:space="preserve"> </w:t>
      </w:r>
      <w:r w:rsidRPr="005431DE">
        <w:rPr>
          <w:rFonts w:ascii="Verdana" w:eastAsia="Calibri" w:hAnsi="Verdana" w:cs="Arial"/>
          <w:sz w:val="18"/>
          <w:szCs w:val="18"/>
          <w:lang w:val="es-ES_tradnl" w:eastAsia="es-ES_tradnl"/>
        </w:rPr>
        <w:t xml:space="preserve">CONSEJO DE ESTADO. Sección Tercera. Subsección B. Sentencia del 29 de febrero de 2012. </w:t>
      </w:r>
      <w:proofErr w:type="spellStart"/>
      <w:r w:rsidRPr="005431DE">
        <w:rPr>
          <w:rFonts w:ascii="Verdana" w:eastAsia="Calibri" w:hAnsi="Verdana" w:cs="Arial"/>
          <w:sz w:val="18"/>
          <w:szCs w:val="18"/>
          <w:lang w:val="es-ES_tradnl" w:eastAsia="es-ES_tradnl"/>
        </w:rPr>
        <w:t>Exp</w:t>
      </w:r>
      <w:proofErr w:type="spellEnd"/>
      <w:r w:rsidRPr="005431DE">
        <w:rPr>
          <w:rFonts w:ascii="Verdana" w:eastAsia="Calibri" w:hAnsi="Verdana" w:cs="Arial"/>
          <w:sz w:val="18"/>
          <w:szCs w:val="18"/>
          <w:lang w:val="es-ES_tradnl" w:eastAsia="es-ES_tradnl"/>
        </w:rPr>
        <w:t xml:space="preserve">. 16371, C.P. Danilo Rojas </w:t>
      </w:r>
      <w:proofErr w:type="spellStart"/>
      <w:r w:rsidRPr="005431DE">
        <w:rPr>
          <w:rFonts w:ascii="Verdana" w:eastAsia="Calibri" w:hAnsi="Verdana" w:cs="Arial"/>
          <w:sz w:val="18"/>
          <w:szCs w:val="18"/>
          <w:lang w:val="es-ES_tradnl" w:eastAsia="es-ES_tradnl"/>
        </w:rPr>
        <w:t>Betancourth</w:t>
      </w:r>
      <w:proofErr w:type="spellEnd"/>
      <w:r w:rsidRPr="005431DE">
        <w:rPr>
          <w:rFonts w:ascii="Verdana" w:eastAsia="Calibri" w:hAnsi="Verdana" w:cs="Arial"/>
          <w:sz w:val="18"/>
          <w:szCs w:val="18"/>
          <w:lang w:val="es-ES_tradnl" w:eastAsia="es-ES_tradnl"/>
        </w:rPr>
        <w:t>.</w:t>
      </w:r>
    </w:p>
  </w:footnote>
  <w:footnote w:id="4">
    <w:p w14:paraId="51A5C295" w14:textId="77777777" w:rsidR="00FE1807" w:rsidRPr="005431DE" w:rsidRDefault="00FE1807" w:rsidP="00D605DE">
      <w:pPr>
        <w:pStyle w:val="FootnoteText"/>
        <w:ind w:firstLine="709"/>
        <w:jc w:val="both"/>
        <w:rPr>
          <w:rFonts w:ascii="Verdana" w:eastAsia="Calibri" w:hAnsi="Verdana" w:cs="Arial"/>
          <w:sz w:val="18"/>
          <w:szCs w:val="18"/>
          <w:lang w:val="es-ES_tradnl" w:eastAsia="es-ES_tradnl"/>
        </w:rPr>
      </w:pPr>
      <w:r w:rsidRPr="005431DE">
        <w:rPr>
          <w:rStyle w:val="FootnoteReference"/>
          <w:rFonts w:ascii="Verdana" w:hAnsi="Verdana" w:cs="Arial"/>
          <w:sz w:val="18"/>
          <w:szCs w:val="18"/>
        </w:rPr>
        <w:footnoteRef/>
      </w:r>
      <w:r w:rsidRPr="005431DE">
        <w:rPr>
          <w:rFonts w:ascii="Verdana" w:hAnsi="Verdana" w:cs="Arial"/>
          <w:sz w:val="18"/>
          <w:szCs w:val="18"/>
        </w:rPr>
        <w:t xml:space="preserve"> </w:t>
      </w:r>
      <w:r w:rsidRPr="005431DE">
        <w:rPr>
          <w:rFonts w:ascii="Verdana" w:eastAsia="Calibri" w:hAnsi="Verdana" w:cs="Arial"/>
          <w:sz w:val="18"/>
          <w:szCs w:val="18"/>
          <w:lang w:val="es-ES_tradnl" w:eastAsia="es-ES_tradnl"/>
        </w:rPr>
        <w:t>PINO RICCI, Jorge. El régimen jurídico de los contratos estatales. Universidad Externado de Colombia. Bogotá, 2005. pp. 416.</w:t>
      </w:r>
    </w:p>
    <w:p w14:paraId="5B9951F2" w14:textId="77777777" w:rsidR="00D242EA" w:rsidRPr="005431DE" w:rsidRDefault="00D242EA" w:rsidP="00D605DE">
      <w:pPr>
        <w:pStyle w:val="FootnoteText"/>
        <w:ind w:firstLine="709"/>
        <w:jc w:val="both"/>
        <w:rPr>
          <w:rFonts w:ascii="Verdana" w:hAnsi="Verdana" w:cs="Arial"/>
          <w:sz w:val="18"/>
          <w:szCs w:val="18"/>
          <w:lang w:val="es-CO"/>
        </w:rPr>
      </w:pPr>
    </w:p>
  </w:footnote>
  <w:footnote w:id="5">
    <w:p w14:paraId="5F26AB7D" w14:textId="77777777" w:rsidR="00FE1807" w:rsidRPr="005431DE" w:rsidRDefault="00FE1807" w:rsidP="00D605DE">
      <w:pPr>
        <w:pStyle w:val="FootnoteText"/>
        <w:ind w:firstLine="708"/>
        <w:jc w:val="both"/>
        <w:rPr>
          <w:rFonts w:ascii="Verdana" w:eastAsia="Calibri" w:hAnsi="Verdana" w:cs="Arial"/>
          <w:sz w:val="18"/>
          <w:szCs w:val="18"/>
          <w:lang w:val="es-ES_tradnl" w:eastAsia="es-ES_tradnl"/>
        </w:rPr>
      </w:pPr>
      <w:r w:rsidRPr="005431DE">
        <w:rPr>
          <w:rStyle w:val="FootnoteReference"/>
          <w:rFonts w:ascii="Verdana" w:hAnsi="Verdana" w:cs="Arial"/>
          <w:sz w:val="18"/>
          <w:szCs w:val="18"/>
        </w:rPr>
        <w:footnoteRef/>
      </w:r>
      <w:r w:rsidRPr="005431DE">
        <w:rPr>
          <w:rFonts w:ascii="Verdana" w:hAnsi="Verdana" w:cs="Arial"/>
          <w:sz w:val="18"/>
          <w:szCs w:val="18"/>
        </w:rPr>
        <w:t xml:space="preserve"> </w:t>
      </w:r>
      <w:r w:rsidRPr="005431DE">
        <w:rPr>
          <w:rFonts w:ascii="Verdana" w:eastAsia="Calibri" w:hAnsi="Verdana" w:cs="Arial"/>
          <w:sz w:val="18"/>
          <w:szCs w:val="18"/>
          <w:lang w:val="es-ES_tradnl" w:eastAsia="es-ES_tradnl"/>
        </w:rPr>
        <w:t xml:space="preserve">CONSEJO DE ESTADO. Sección Tercera. Subsección B. Sentencia del 14 de octubre de 2011. </w:t>
      </w:r>
      <w:proofErr w:type="spellStart"/>
      <w:r w:rsidRPr="005431DE">
        <w:rPr>
          <w:rFonts w:ascii="Verdana" w:eastAsia="Calibri" w:hAnsi="Verdana" w:cs="Arial"/>
          <w:sz w:val="18"/>
          <w:szCs w:val="18"/>
          <w:lang w:val="es-ES_tradnl" w:eastAsia="es-ES_tradnl"/>
        </w:rPr>
        <w:t>Exp</w:t>
      </w:r>
      <w:proofErr w:type="spellEnd"/>
      <w:r w:rsidRPr="005431DE">
        <w:rPr>
          <w:rFonts w:ascii="Verdana" w:eastAsia="Calibri" w:hAnsi="Verdana" w:cs="Arial"/>
          <w:sz w:val="18"/>
          <w:szCs w:val="18"/>
          <w:lang w:val="es-ES_tradnl" w:eastAsia="es-ES_tradnl"/>
        </w:rPr>
        <w:t>. 20811, C.P. Ruth Stella Correa Palacio.</w:t>
      </w:r>
    </w:p>
    <w:p w14:paraId="51184450" w14:textId="77777777" w:rsidR="00D242EA" w:rsidRPr="005431DE" w:rsidRDefault="00D242EA" w:rsidP="00D605DE">
      <w:pPr>
        <w:pStyle w:val="FootnoteText"/>
        <w:ind w:firstLine="708"/>
        <w:jc w:val="both"/>
        <w:rPr>
          <w:rFonts w:ascii="Verdana" w:hAnsi="Verdana" w:cs="Arial"/>
          <w:sz w:val="18"/>
          <w:szCs w:val="18"/>
        </w:rPr>
      </w:pPr>
    </w:p>
  </w:footnote>
  <w:footnote w:id="6">
    <w:p w14:paraId="698DC0AF" w14:textId="77777777" w:rsidR="00FE1807" w:rsidRPr="005431DE" w:rsidRDefault="00FE1807" w:rsidP="00D605DE">
      <w:pPr>
        <w:pStyle w:val="FootnoteText"/>
        <w:ind w:firstLine="708"/>
        <w:jc w:val="both"/>
        <w:rPr>
          <w:rFonts w:ascii="Verdana" w:hAnsi="Verdana" w:cs="Arial"/>
          <w:sz w:val="18"/>
          <w:szCs w:val="18"/>
        </w:rPr>
      </w:pPr>
      <w:r w:rsidRPr="005431DE">
        <w:rPr>
          <w:rStyle w:val="FootnoteReference"/>
          <w:rFonts w:ascii="Verdana" w:hAnsi="Verdana" w:cs="Arial"/>
          <w:sz w:val="18"/>
          <w:szCs w:val="18"/>
        </w:rPr>
        <w:footnoteRef/>
      </w:r>
      <w:r w:rsidRPr="005431DE">
        <w:rPr>
          <w:rFonts w:ascii="Verdana" w:hAnsi="Verdana" w:cs="Arial"/>
          <w:sz w:val="18"/>
          <w:szCs w:val="18"/>
        </w:rPr>
        <w:t xml:space="preserve"> </w:t>
      </w:r>
      <w:r w:rsidRPr="005431DE">
        <w:rPr>
          <w:rFonts w:ascii="Verdana" w:eastAsia="Calibri" w:hAnsi="Verdana" w:cs="Arial"/>
          <w:sz w:val="18"/>
          <w:szCs w:val="18"/>
          <w:lang w:val="es-ES_tradnl" w:eastAsia="es-ES_tradnl"/>
        </w:rPr>
        <w:t>CONSEJO DE ESTADO. Sala de Consulta y Servicio Civil. Concepto del 5 de septiembre de 2018, radicado No. 11001-03-06-000-2018-00124-00 C.P. Édgar González López.</w:t>
      </w:r>
    </w:p>
  </w:footnote>
  <w:footnote w:id="7">
    <w:p w14:paraId="7E25F773" w14:textId="77777777" w:rsidR="00FE1807" w:rsidRPr="005431DE" w:rsidRDefault="00FE1807" w:rsidP="00D605DE">
      <w:pPr>
        <w:pStyle w:val="FootnoteText"/>
        <w:ind w:firstLine="708"/>
        <w:jc w:val="both"/>
        <w:rPr>
          <w:rFonts w:ascii="Verdana" w:eastAsia="Calibri" w:hAnsi="Verdana" w:cs="Arial"/>
          <w:sz w:val="18"/>
          <w:szCs w:val="18"/>
          <w:lang w:val="es-ES_tradnl" w:eastAsia="es-ES_tradnl"/>
        </w:rPr>
      </w:pPr>
      <w:r w:rsidRPr="005431DE">
        <w:rPr>
          <w:rStyle w:val="FootnoteReference"/>
          <w:rFonts w:ascii="Verdana" w:hAnsi="Verdana" w:cs="Arial"/>
          <w:sz w:val="18"/>
          <w:szCs w:val="18"/>
        </w:rPr>
        <w:footnoteRef/>
      </w:r>
      <w:r w:rsidRPr="005431DE">
        <w:rPr>
          <w:rFonts w:ascii="Verdana" w:hAnsi="Verdana" w:cs="Arial"/>
          <w:sz w:val="18"/>
          <w:szCs w:val="18"/>
        </w:rPr>
        <w:t xml:space="preserve"> </w:t>
      </w:r>
      <w:r w:rsidRPr="005431DE">
        <w:rPr>
          <w:rFonts w:ascii="Verdana" w:eastAsia="Calibri" w:hAnsi="Verdana" w:cs="Arial"/>
          <w:sz w:val="18"/>
          <w:szCs w:val="18"/>
          <w:lang w:val="es-ES_tradnl" w:eastAsia="es-ES_tradnl"/>
        </w:rPr>
        <w:t>“Los costos indirectos incorporados en el A, corresponden como regla general a gastos de la oficina central, honorarios del director de obra, y de personal especializado. Generalmente estos costos pueden estar compartidos con los diversos contratos de obra que en forma simultánea esté ejecutando el contratista. Un ejemplo corresponde a los costos de la oficina central, y de los asesores de proyectos”.</w:t>
      </w:r>
    </w:p>
    <w:p w14:paraId="2F4C57EA" w14:textId="77777777" w:rsidR="003967A4" w:rsidRPr="005431DE" w:rsidRDefault="003967A4" w:rsidP="00D605DE">
      <w:pPr>
        <w:pStyle w:val="FootnoteText"/>
        <w:ind w:firstLine="708"/>
        <w:jc w:val="both"/>
        <w:rPr>
          <w:rFonts w:ascii="Verdana" w:hAnsi="Verdana" w:cs="Arial"/>
          <w:sz w:val="18"/>
          <w:szCs w:val="18"/>
        </w:rPr>
      </w:pPr>
    </w:p>
  </w:footnote>
  <w:footnote w:id="8">
    <w:p w14:paraId="1192FCFA" w14:textId="77777777" w:rsidR="00FE1807" w:rsidRPr="005431DE" w:rsidRDefault="00FE1807" w:rsidP="00D605DE">
      <w:pPr>
        <w:pStyle w:val="FootnoteText"/>
        <w:ind w:firstLine="708"/>
        <w:jc w:val="both"/>
        <w:rPr>
          <w:rFonts w:ascii="Verdana" w:hAnsi="Verdana" w:cs="Arial"/>
          <w:sz w:val="18"/>
          <w:szCs w:val="18"/>
        </w:rPr>
      </w:pPr>
      <w:r w:rsidRPr="005431DE">
        <w:rPr>
          <w:rStyle w:val="FootnoteReference"/>
          <w:rFonts w:ascii="Verdana" w:hAnsi="Verdana" w:cs="Arial"/>
          <w:sz w:val="18"/>
          <w:szCs w:val="18"/>
        </w:rPr>
        <w:footnoteRef/>
      </w:r>
      <w:r w:rsidRPr="005431DE">
        <w:rPr>
          <w:rFonts w:ascii="Verdana" w:hAnsi="Verdana" w:cs="Arial"/>
          <w:sz w:val="18"/>
          <w:szCs w:val="18"/>
        </w:rPr>
        <w:t xml:space="preserve"> </w:t>
      </w:r>
      <w:r w:rsidRPr="005431DE">
        <w:rPr>
          <w:rFonts w:ascii="Verdana" w:eastAsia="Calibri" w:hAnsi="Verdana" w:cs="Arial"/>
          <w:sz w:val="18"/>
          <w:szCs w:val="18"/>
          <w:lang w:val="es-ES_tradnl" w:eastAsia="es-ES_tradnl"/>
        </w:rPr>
        <w:t>“[…] la utilidad es el beneficio económico que pretende percibir el contratista por la ejecución del contrato y por costos de administración se han tenido como tales los que constituyen costos indirectos para la operación del contrato, tales como los gastos de disponibilidad de la organización del contratista; el porcentaje para imprevistos, como su nombre lo indica, está destinado a cubrir los gastos con los que no se contaba y que se presenten durante la ejecución del contrato” (Consejo de Estado. Sección Tercera. Consejero Ponente: Ramiro Saavedra Becerra. Sentencia del 28 de agosto de 2003. Radicado: 17.554).</w:t>
      </w:r>
      <w:r w:rsidRPr="005431DE">
        <w:rPr>
          <w:rFonts w:ascii="Verdana" w:hAnsi="Verdana" w:cs="Arial"/>
          <w:sz w:val="18"/>
          <w:szCs w:val="18"/>
        </w:rPr>
        <w:t xml:space="preserve"> </w:t>
      </w:r>
    </w:p>
    <w:p w14:paraId="7FB9304B" w14:textId="77777777" w:rsidR="003967A4" w:rsidRPr="005431DE" w:rsidRDefault="003967A4" w:rsidP="00D605DE">
      <w:pPr>
        <w:pStyle w:val="FootnoteText"/>
        <w:ind w:firstLine="708"/>
        <w:jc w:val="both"/>
        <w:rPr>
          <w:rFonts w:ascii="Verdana" w:hAnsi="Verdana" w:cs="Arial"/>
          <w:sz w:val="18"/>
          <w:szCs w:val="18"/>
        </w:rPr>
      </w:pPr>
    </w:p>
  </w:footnote>
  <w:footnote w:id="9">
    <w:p w14:paraId="4EFFC295" w14:textId="77777777" w:rsidR="00FE1807" w:rsidRPr="005431DE" w:rsidRDefault="00FE1807" w:rsidP="00D605DE">
      <w:pPr>
        <w:pStyle w:val="FootnoteText"/>
        <w:ind w:firstLine="709"/>
        <w:jc w:val="both"/>
        <w:rPr>
          <w:rFonts w:ascii="Verdana" w:eastAsia="Calibri" w:hAnsi="Verdana" w:cs="Arial"/>
          <w:sz w:val="18"/>
          <w:szCs w:val="18"/>
          <w:lang w:val="es-ES_tradnl" w:eastAsia="es-ES_tradnl"/>
        </w:rPr>
      </w:pPr>
      <w:r w:rsidRPr="005431DE">
        <w:rPr>
          <w:rStyle w:val="FootnoteReference"/>
          <w:rFonts w:ascii="Verdana" w:hAnsi="Verdana" w:cs="Arial"/>
          <w:sz w:val="18"/>
          <w:szCs w:val="18"/>
        </w:rPr>
        <w:footnoteRef/>
      </w:r>
      <w:r w:rsidRPr="005431DE">
        <w:rPr>
          <w:rFonts w:ascii="Verdana" w:hAnsi="Verdana" w:cs="Arial"/>
          <w:sz w:val="18"/>
          <w:szCs w:val="18"/>
        </w:rPr>
        <w:t xml:space="preserve"> </w:t>
      </w:r>
      <w:r w:rsidRPr="005431DE">
        <w:rPr>
          <w:rFonts w:ascii="Verdana" w:eastAsia="Calibri" w:hAnsi="Verdana" w:cs="Arial"/>
          <w:sz w:val="18"/>
          <w:szCs w:val="18"/>
          <w:lang w:val="es-ES_tradnl" w:eastAsia="es-ES_tradnl"/>
        </w:rPr>
        <w:t xml:space="preserve">MARÍN, </w:t>
      </w:r>
      <w:proofErr w:type="spellStart"/>
      <w:r w:rsidRPr="005431DE">
        <w:rPr>
          <w:rFonts w:ascii="Verdana" w:eastAsia="Calibri" w:hAnsi="Verdana" w:cs="Arial"/>
          <w:sz w:val="18"/>
          <w:szCs w:val="18"/>
          <w:lang w:val="es-ES_tradnl" w:eastAsia="es-ES_tradnl"/>
        </w:rPr>
        <w:t>Op</w:t>
      </w:r>
      <w:proofErr w:type="spellEnd"/>
      <w:r w:rsidRPr="005431DE">
        <w:rPr>
          <w:rFonts w:ascii="Verdana" w:eastAsia="Calibri" w:hAnsi="Verdana" w:cs="Arial"/>
          <w:sz w:val="18"/>
          <w:szCs w:val="18"/>
          <w:lang w:val="es-ES_tradnl" w:eastAsia="es-ES_tradnl"/>
        </w:rPr>
        <w:t>. Cit., pp. 64-65.</w:t>
      </w:r>
    </w:p>
    <w:p w14:paraId="5E801320" w14:textId="77777777" w:rsidR="003967A4" w:rsidRPr="005431DE" w:rsidRDefault="003967A4" w:rsidP="00D605DE">
      <w:pPr>
        <w:pStyle w:val="FootnoteText"/>
        <w:ind w:firstLine="709"/>
        <w:jc w:val="both"/>
        <w:rPr>
          <w:rFonts w:ascii="Verdana" w:eastAsia="Calibri" w:hAnsi="Verdana" w:cs="Arial"/>
          <w:sz w:val="18"/>
          <w:szCs w:val="18"/>
          <w:lang w:val="es-ES_tradnl" w:eastAsia="es-ES_tradnl"/>
        </w:rPr>
      </w:pPr>
    </w:p>
  </w:footnote>
  <w:footnote w:id="10">
    <w:p w14:paraId="44D8BE12" w14:textId="77777777" w:rsidR="00FE1807" w:rsidRPr="005431DE" w:rsidRDefault="00FE1807" w:rsidP="00D605DE">
      <w:pPr>
        <w:pStyle w:val="FootnoteText"/>
        <w:ind w:firstLine="709"/>
        <w:jc w:val="both"/>
        <w:rPr>
          <w:rFonts w:ascii="Verdana" w:hAnsi="Verdana" w:cs="Arial"/>
          <w:sz w:val="18"/>
          <w:szCs w:val="18"/>
          <w:lang w:val="es-ES"/>
        </w:rPr>
      </w:pPr>
      <w:r w:rsidRPr="005431DE">
        <w:rPr>
          <w:rStyle w:val="FootnoteReference"/>
          <w:rFonts w:ascii="Verdana" w:hAnsi="Verdana" w:cs="Arial"/>
          <w:sz w:val="18"/>
          <w:szCs w:val="18"/>
        </w:rPr>
        <w:footnoteRef/>
      </w:r>
      <w:r w:rsidRPr="005431DE">
        <w:rPr>
          <w:rFonts w:ascii="Verdana" w:hAnsi="Verdana" w:cs="Arial"/>
          <w:sz w:val="18"/>
          <w:szCs w:val="18"/>
        </w:rPr>
        <w:t xml:space="preserve"> </w:t>
      </w:r>
      <w:proofErr w:type="spellStart"/>
      <w:r w:rsidRPr="005431DE">
        <w:rPr>
          <w:rFonts w:ascii="Verdana" w:eastAsia="Calibri" w:hAnsi="Verdana" w:cs="Arial"/>
          <w:sz w:val="18"/>
          <w:szCs w:val="18"/>
          <w:lang w:val="es-ES_tradnl" w:eastAsia="es-ES_tradnl"/>
        </w:rPr>
        <w:t>Ibíd</w:t>
      </w:r>
      <w:proofErr w:type="spellEnd"/>
      <w:r w:rsidRPr="005431DE">
        <w:rPr>
          <w:rFonts w:ascii="Verdana" w:eastAsia="Calibri" w:hAnsi="Verdana" w:cs="Arial"/>
          <w:sz w:val="18"/>
          <w:szCs w:val="18"/>
          <w:lang w:val="es-ES_tradnl" w:eastAsia="es-ES_tradnl"/>
        </w:rPr>
        <w:t>., p. 66.</w:t>
      </w:r>
    </w:p>
  </w:footnote>
  <w:footnote w:id="11">
    <w:p w14:paraId="4A00A09D" w14:textId="77777777" w:rsidR="00FE1807" w:rsidRPr="005431DE" w:rsidRDefault="00FE1807" w:rsidP="00D605DE">
      <w:pPr>
        <w:pStyle w:val="FootnoteText"/>
        <w:ind w:firstLine="708"/>
        <w:jc w:val="both"/>
        <w:rPr>
          <w:rFonts w:ascii="Verdana" w:eastAsia="Calibri" w:hAnsi="Verdana" w:cs="Arial"/>
          <w:sz w:val="18"/>
          <w:szCs w:val="18"/>
          <w:lang w:val="es-ES_tradnl" w:eastAsia="es-ES_tradnl"/>
        </w:rPr>
      </w:pPr>
      <w:r w:rsidRPr="005431DE">
        <w:rPr>
          <w:rStyle w:val="FootnoteReference"/>
          <w:rFonts w:ascii="Verdana" w:hAnsi="Verdana" w:cs="Arial"/>
          <w:sz w:val="18"/>
          <w:szCs w:val="18"/>
        </w:rPr>
        <w:footnoteRef/>
      </w:r>
      <w:r w:rsidRPr="005431DE">
        <w:rPr>
          <w:rFonts w:ascii="Verdana" w:hAnsi="Verdana" w:cs="Arial"/>
          <w:sz w:val="18"/>
          <w:szCs w:val="18"/>
        </w:rPr>
        <w:t xml:space="preserve"> </w:t>
      </w:r>
      <w:r w:rsidRPr="005431DE">
        <w:rPr>
          <w:rFonts w:ascii="Verdana" w:eastAsia="Calibri" w:hAnsi="Verdana" w:cs="Arial"/>
          <w:sz w:val="18"/>
          <w:szCs w:val="18"/>
          <w:lang w:val="es-ES_tradnl" w:eastAsia="es-ES_tradnl"/>
        </w:rPr>
        <w:t>“Que el porcentaje sea superior o inferior, o que para una empresa sea mayor o menor que para otra, depende de muchas razones, por ejemplo: del personal que se requiera en la obra –unas empresas emplean más o menos que otras–; de la magnitud del trabajo; de las cargas administrativas que cada empresa tienen –pensionados, convenciones colectivas y otros; del tamaño de la misma –mientras más grande es la A tiende a ser mayor; del costo de los campamentos; del transporte del personal; del sitio de las obras –si la empresa tiene un domicilio en el lugar del trabajo su A tiende a ser menor, y si se encuentra en otra ciudad tiende a subir, por ejemplo porque el salario de los ingenieros se incrementa por los viáticos–”. (</w:t>
      </w:r>
      <w:proofErr w:type="spellStart"/>
      <w:r w:rsidRPr="005431DE">
        <w:rPr>
          <w:rFonts w:ascii="Verdana" w:eastAsia="Calibri" w:hAnsi="Verdana" w:cs="Arial"/>
          <w:sz w:val="18"/>
          <w:szCs w:val="18"/>
          <w:lang w:val="es-ES_tradnl" w:eastAsia="es-ES_tradnl"/>
        </w:rPr>
        <w:t>Ibíd</w:t>
      </w:r>
      <w:proofErr w:type="spellEnd"/>
      <w:r w:rsidRPr="005431DE">
        <w:rPr>
          <w:rFonts w:ascii="Verdana" w:eastAsia="Calibri" w:hAnsi="Verdana" w:cs="Arial"/>
          <w:sz w:val="18"/>
          <w:szCs w:val="18"/>
          <w:lang w:val="es-ES_tradnl" w:eastAsia="es-ES_tradnl"/>
        </w:rPr>
        <w:t>, p. 76).</w:t>
      </w:r>
    </w:p>
    <w:p w14:paraId="7CF1BF05" w14:textId="77777777" w:rsidR="003967A4" w:rsidRPr="005431DE" w:rsidRDefault="003967A4" w:rsidP="00D605DE">
      <w:pPr>
        <w:pStyle w:val="FootnoteText"/>
        <w:ind w:firstLine="708"/>
        <w:jc w:val="both"/>
        <w:rPr>
          <w:rFonts w:ascii="Verdana" w:hAnsi="Verdana" w:cs="Arial"/>
          <w:bCs/>
          <w:sz w:val="18"/>
          <w:szCs w:val="18"/>
          <w:lang w:val="es-ES_tradnl"/>
        </w:rPr>
      </w:pPr>
    </w:p>
  </w:footnote>
  <w:footnote w:id="12">
    <w:p w14:paraId="151E8C57" w14:textId="77777777" w:rsidR="00FE1807" w:rsidRPr="003967A4" w:rsidRDefault="00FE1807" w:rsidP="00D605DE">
      <w:pPr>
        <w:pStyle w:val="FootnoteText"/>
        <w:ind w:firstLine="708"/>
        <w:jc w:val="both"/>
        <w:rPr>
          <w:rFonts w:ascii="Verdana" w:hAnsi="Verdana" w:cs="Arial"/>
          <w:sz w:val="18"/>
          <w:szCs w:val="18"/>
        </w:rPr>
      </w:pPr>
      <w:r w:rsidRPr="005431DE">
        <w:rPr>
          <w:rStyle w:val="FootnoteReference"/>
          <w:rFonts w:ascii="Verdana" w:hAnsi="Verdana" w:cs="Arial"/>
          <w:sz w:val="18"/>
          <w:szCs w:val="18"/>
        </w:rPr>
        <w:footnoteRef/>
      </w:r>
      <w:r w:rsidRPr="005431DE">
        <w:rPr>
          <w:rFonts w:ascii="Verdana" w:hAnsi="Verdana" w:cs="Arial"/>
          <w:sz w:val="18"/>
          <w:szCs w:val="18"/>
        </w:rPr>
        <w:t xml:space="preserve"> </w:t>
      </w:r>
      <w:r w:rsidRPr="005431DE">
        <w:rPr>
          <w:rFonts w:ascii="Verdana" w:eastAsia="Calibri" w:hAnsi="Verdana" w:cs="Arial"/>
          <w:sz w:val="18"/>
          <w:szCs w:val="18"/>
          <w:lang w:val="es-ES_tradnl" w:eastAsia="es-ES_tradnl"/>
        </w:rPr>
        <w:t>Lo anterior, sin perjuicio de las fórmulas de reajuste que se establezcan en el contrato y lo establecido en el artículo 27 de la Ley 80 de 1993. En tal sentido, en los casos de desequilibrio económico, porque los costos indirectos en los que incurre el contratista exceden el alea normal, es decir, le causan una afectación grave de su economía, podría exigirle a la entidad que le pague más de lo que se estipuló en la A o en la I, siendo esta una circunstancia extraordinaria.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Header"/>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Header"/>
    </w:pPr>
  </w:p>
  <w:p w14:paraId="3079FC11" w14:textId="77777777" w:rsidR="00DC39FC" w:rsidRDefault="00DC39FC" w:rsidP="004A305D">
    <w:pPr>
      <w:spacing w:after="0"/>
      <w:rPr>
        <w:rFonts w:ascii="Verdana" w:hAnsi="Verdana"/>
        <w:b/>
        <w:bCs/>
      </w:rPr>
    </w:pPr>
  </w:p>
  <w:p w14:paraId="5E18350A" w14:textId="705F7B76" w:rsidR="004A305D" w:rsidRDefault="004A305D" w:rsidP="00B01B1A">
    <w:pPr>
      <w:spacing w:after="0" w:line="120" w:lineRule="auto"/>
      <w:rPr>
        <w:rFonts w:ascii="Century Gothic" w:eastAsia="Geo" w:hAnsi="Century Gothic" w:cs="Geo"/>
        <w:sz w:val="16"/>
        <w:szCs w:val="16"/>
        <w:lang w:eastAsia="es-CO"/>
      </w:rPr>
    </w:pPr>
  </w:p>
  <w:p w14:paraId="11B76E61" w14:textId="77777777" w:rsidR="00E177D6" w:rsidRDefault="00E177D6" w:rsidP="00B01B1A">
    <w:pPr>
      <w:spacing w:after="0" w:line="120" w:lineRule="auto"/>
      <w:rPr>
        <w:rFonts w:ascii="Century Gothic" w:eastAsia="Geo" w:hAnsi="Century Gothic" w:cs="Geo"/>
        <w:sz w:val="16"/>
        <w:szCs w:val="16"/>
        <w:lang w:eastAsia="es-CO"/>
      </w:rPr>
    </w:pPr>
  </w:p>
  <w:p w14:paraId="65C60CEF" w14:textId="77777777" w:rsidR="00E177D6" w:rsidRPr="004A305D" w:rsidRDefault="00E177D6"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Header"/>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45pt;height:11.4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2061" w:hanging="360"/>
      </w:pPr>
      <w:rPr>
        <w:b/>
        <w:color w:val="000000" w:themeColor="text1"/>
      </w:rPr>
    </w:lvl>
    <w:lvl w:ilvl="1">
      <w:start w:val="2"/>
      <w:numFmt w:val="decimal"/>
      <w:isLgl/>
      <w:lvlText w:val="%1.%2"/>
      <w:lvlJc w:val="left"/>
      <w:pPr>
        <w:ind w:left="1701" w:hanging="360"/>
      </w:pPr>
    </w:lvl>
    <w:lvl w:ilvl="2">
      <w:start w:val="1"/>
      <w:numFmt w:val="decimal"/>
      <w:isLgl/>
      <w:lvlText w:val="%1.%2.%3"/>
      <w:lvlJc w:val="left"/>
      <w:pPr>
        <w:ind w:left="2421" w:hanging="720"/>
      </w:pPr>
    </w:lvl>
    <w:lvl w:ilvl="3">
      <w:start w:val="1"/>
      <w:numFmt w:val="decimal"/>
      <w:isLgl/>
      <w:lvlText w:val="%1.%2.%3.%4"/>
      <w:lvlJc w:val="left"/>
      <w:pPr>
        <w:ind w:left="2421" w:hanging="720"/>
      </w:pPr>
    </w:lvl>
    <w:lvl w:ilvl="4">
      <w:start w:val="1"/>
      <w:numFmt w:val="decimal"/>
      <w:isLgl/>
      <w:lvlText w:val="%1.%2.%3.%4.%5"/>
      <w:lvlJc w:val="left"/>
      <w:pPr>
        <w:ind w:left="2781" w:hanging="1080"/>
      </w:pPr>
    </w:lvl>
    <w:lvl w:ilvl="5">
      <w:start w:val="1"/>
      <w:numFmt w:val="decimal"/>
      <w:isLgl/>
      <w:lvlText w:val="%1.%2.%3.%4.%5.%6"/>
      <w:lvlJc w:val="left"/>
      <w:pPr>
        <w:ind w:left="2781" w:hanging="1080"/>
      </w:pPr>
    </w:lvl>
    <w:lvl w:ilvl="6">
      <w:start w:val="1"/>
      <w:numFmt w:val="decimal"/>
      <w:isLgl/>
      <w:lvlText w:val="%1.%2.%3.%4.%5.%6.%7"/>
      <w:lvlJc w:val="left"/>
      <w:pPr>
        <w:ind w:left="3141" w:hanging="1440"/>
      </w:pPr>
    </w:lvl>
    <w:lvl w:ilvl="7">
      <w:start w:val="1"/>
      <w:numFmt w:val="decimal"/>
      <w:isLgl/>
      <w:lvlText w:val="%1.%2.%3.%4.%5.%6.%7.%8"/>
      <w:lvlJc w:val="left"/>
      <w:pPr>
        <w:ind w:left="3141" w:hanging="1440"/>
      </w:pPr>
    </w:lvl>
    <w:lvl w:ilvl="8">
      <w:start w:val="1"/>
      <w:numFmt w:val="decimal"/>
      <w:isLgl/>
      <w:lvlText w:val="%1.%2.%3.%4.%5.%6.%7.%8.%9"/>
      <w:lvlJc w:val="left"/>
      <w:pPr>
        <w:ind w:left="350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90D61FB"/>
    <w:multiLevelType w:val="hybridMultilevel"/>
    <w:tmpl w:val="874616CA"/>
    <w:lvl w:ilvl="0" w:tplc="D0840EC2">
      <w:start w:val="4"/>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2C53827"/>
    <w:multiLevelType w:val="hybridMultilevel"/>
    <w:tmpl w:val="3406473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3" w15:restartNumberingAfterBreak="0">
    <w:nsid w:val="6852598B"/>
    <w:multiLevelType w:val="hybridMultilevel"/>
    <w:tmpl w:val="DC1CE0A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8"/>
  </w:num>
  <w:num w:numId="2" w16cid:durableId="19822139">
    <w:abstractNumId w:val="2"/>
  </w:num>
  <w:num w:numId="3" w16cid:durableId="876742304">
    <w:abstractNumId w:val="6"/>
  </w:num>
  <w:num w:numId="4" w16cid:durableId="245186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6"/>
  </w:num>
  <w:num w:numId="7" w16cid:durableId="1946422806">
    <w:abstractNumId w:val="7"/>
  </w:num>
  <w:num w:numId="8" w16cid:durableId="152644682">
    <w:abstractNumId w:val="15"/>
  </w:num>
  <w:num w:numId="9" w16cid:durableId="1317221377">
    <w:abstractNumId w:val="9"/>
  </w:num>
  <w:num w:numId="10" w16cid:durableId="1471245386">
    <w:abstractNumId w:val="14"/>
  </w:num>
  <w:num w:numId="11" w16cid:durableId="289172385">
    <w:abstractNumId w:val="10"/>
  </w:num>
  <w:num w:numId="12" w16cid:durableId="1470781324">
    <w:abstractNumId w:val="1"/>
  </w:num>
  <w:num w:numId="13" w16cid:durableId="1512908409">
    <w:abstractNumId w:val="5"/>
  </w:num>
  <w:num w:numId="14" w16cid:durableId="895897244">
    <w:abstractNumId w:val="17"/>
  </w:num>
  <w:num w:numId="15" w16cid:durableId="390349800">
    <w:abstractNumId w:val="12"/>
  </w:num>
  <w:num w:numId="16" w16cid:durableId="341274352">
    <w:abstractNumId w:val="0"/>
  </w:num>
  <w:num w:numId="17" w16cid:durableId="679089576">
    <w:abstractNumId w:val="11"/>
  </w:num>
  <w:num w:numId="18" w16cid:durableId="1261915733">
    <w:abstractNumId w:val="3"/>
  </w:num>
  <w:num w:numId="19" w16cid:durableId="1563708483">
    <w:abstractNumId w:val="13"/>
  </w:num>
  <w:num w:numId="20" w16cid:durableId="2572991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08"/>
  <w:hyphenationZone w:val="425"/>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0263"/>
    <w:rsid w:val="00014454"/>
    <w:rsid w:val="00016F78"/>
    <w:rsid w:val="000225DE"/>
    <w:rsid w:val="00046945"/>
    <w:rsid w:val="0005499F"/>
    <w:rsid w:val="0005603D"/>
    <w:rsid w:val="00061B2A"/>
    <w:rsid w:val="00072200"/>
    <w:rsid w:val="00082362"/>
    <w:rsid w:val="000A2736"/>
    <w:rsid w:val="000A683E"/>
    <w:rsid w:val="000B19B9"/>
    <w:rsid w:val="000D0334"/>
    <w:rsid w:val="000D71C0"/>
    <w:rsid w:val="000E59A4"/>
    <w:rsid w:val="000F6486"/>
    <w:rsid w:val="001104FD"/>
    <w:rsid w:val="00125105"/>
    <w:rsid w:val="001252EC"/>
    <w:rsid w:val="00127233"/>
    <w:rsid w:val="00146830"/>
    <w:rsid w:val="001511A0"/>
    <w:rsid w:val="00151CA5"/>
    <w:rsid w:val="00162C5A"/>
    <w:rsid w:val="001C3E99"/>
    <w:rsid w:val="001D6C09"/>
    <w:rsid w:val="001E4177"/>
    <w:rsid w:val="001F7DC6"/>
    <w:rsid w:val="00212D6F"/>
    <w:rsid w:val="00217E98"/>
    <w:rsid w:val="00226A4C"/>
    <w:rsid w:val="00232B9A"/>
    <w:rsid w:val="002421BB"/>
    <w:rsid w:val="0025796E"/>
    <w:rsid w:val="002707A2"/>
    <w:rsid w:val="00276EC6"/>
    <w:rsid w:val="002951A0"/>
    <w:rsid w:val="002962BC"/>
    <w:rsid w:val="002A093D"/>
    <w:rsid w:val="002A0DD0"/>
    <w:rsid w:val="002A3A0D"/>
    <w:rsid w:val="002A49AC"/>
    <w:rsid w:val="002A64FD"/>
    <w:rsid w:val="002C7A84"/>
    <w:rsid w:val="002D121F"/>
    <w:rsid w:val="002E0CE7"/>
    <w:rsid w:val="002E4FD9"/>
    <w:rsid w:val="002F6030"/>
    <w:rsid w:val="00322A85"/>
    <w:rsid w:val="00324168"/>
    <w:rsid w:val="003448F4"/>
    <w:rsid w:val="00365000"/>
    <w:rsid w:val="00374F5E"/>
    <w:rsid w:val="00377E3E"/>
    <w:rsid w:val="0039451F"/>
    <w:rsid w:val="0039595A"/>
    <w:rsid w:val="003967A4"/>
    <w:rsid w:val="003A779E"/>
    <w:rsid w:val="003C6FB7"/>
    <w:rsid w:val="003D0F4D"/>
    <w:rsid w:val="003D5B0D"/>
    <w:rsid w:val="003E0499"/>
    <w:rsid w:val="003F3941"/>
    <w:rsid w:val="00406575"/>
    <w:rsid w:val="00414C74"/>
    <w:rsid w:val="00414FBB"/>
    <w:rsid w:val="0042722E"/>
    <w:rsid w:val="0044528D"/>
    <w:rsid w:val="00445859"/>
    <w:rsid w:val="00460A02"/>
    <w:rsid w:val="00476D05"/>
    <w:rsid w:val="004A1847"/>
    <w:rsid w:val="004A305D"/>
    <w:rsid w:val="004B27E8"/>
    <w:rsid w:val="004C750B"/>
    <w:rsid w:val="004F21C4"/>
    <w:rsid w:val="004F685F"/>
    <w:rsid w:val="00514411"/>
    <w:rsid w:val="00515DBC"/>
    <w:rsid w:val="005165A8"/>
    <w:rsid w:val="00536FFC"/>
    <w:rsid w:val="005431DE"/>
    <w:rsid w:val="005566E8"/>
    <w:rsid w:val="00572A20"/>
    <w:rsid w:val="00573070"/>
    <w:rsid w:val="00574867"/>
    <w:rsid w:val="00591460"/>
    <w:rsid w:val="005A005F"/>
    <w:rsid w:val="005B3816"/>
    <w:rsid w:val="005B6C83"/>
    <w:rsid w:val="005C3777"/>
    <w:rsid w:val="005C5CDC"/>
    <w:rsid w:val="005D2717"/>
    <w:rsid w:val="005D476C"/>
    <w:rsid w:val="00620FD0"/>
    <w:rsid w:val="006219F8"/>
    <w:rsid w:val="006426AE"/>
    <w:rsid w:val="00665D70"/>
    <w:rsid w:val="006900D9"/>
    <w:rsid w:val="00692391"/>
    <w:rsid w:val="00692F53"/>
    <w:rsid w:val="006A57CF"/>
    <w:rsid w:val="006D0C6C"/>
    <w:rsid w:val="006D59C1"/>
    <w:rsid w:val="006E6AB5"/>
    <w:rsid w:val="00706C16"/>
    <w:rsid w:val="00725CC6"/>
    <w:rsid w:val="00756841"/>
    <w:rsid w:val="007649AB"/>
    <w:rsid w:val="00771D0C"/>
    <w:rsid w:val="00781A49"/>
    <w:rsid w:val="007833AC"/>
    <w:rsid w:val="00793C80"/>
    <w:rsid w:val="007B268C"/>
    <w:rsid w:val="007B7171"/>
    <w:rsid w:val="007C0C0F"/>
    <w:rsid w:val="007C3DC2"/>
    <w:rsid w:val="007C59EB"/>
    <w:rsid w:val="007D0B4B"/>
    <w:rsid w:val="007E3DF3"/>
    <w:rsid w:val="007E5497"/>
    <w:rsid w:val="00806F5F"/>
    <w:rsid w:val="00820278"/>
    <w:rsid w:val="00863CDF"/>
    <w:rsid w:val="00867F95"/>
    <w:rsid w:val="00870696"/>
    <w:rsid w:val="008843B6"/>
    <w:rsid w:val="00891928"/>
    <w:rsid w:val="008943F4"/>
    <w:rsid w:val="008A446D"/>
    <w:rsid w:val="008D180B"/>
    <w:rsid w:val="008F0EA7"/>
    <w:rsid w:val="00900677"/>
    <w:rsid w:val="00904964"/>
    <w:rsid w:val="00923EEF"/>
    <w:rsid w:val="009247AB"/>
    <w:rsid w:val="009419F9"/>
    <w:rsid w:val="0095384E"/>
    <w:rsid w:val="00955DE2"/>
    <w:rsid w:val="0095685E"/>
    <w:rsid w:val="00961B09"/>
    <w:rsid w:val="00965334"/>
    <w:rsid w:val="0097093E"/>
    <w:rsid w:val="00986AC5"/>
    <w:rsid w:val="009A0DFA"/>
    <w:rsid w:val="009B2D26"/>
    <w:rsid w:val="009C71FA"/>
    <w:rsid w:val="009C72E7"/>
    <w:rsid w:val="009D3058"/>
    <w:rsid w:val="009E3E3B"/>
    <w:rsid w:val="009E607B"/>
    <w:rsid w:val="009F3A13"/>
    <w:rsid w:val="009F5FE1"/>
    <w:rsid w:val="00A018FA"/>
    <w:rsid w:val="00A122D3"/>
    <w:rsid w:val="00A17F13"/>
    <w:rsid w:val="00A20739"/>
    <w:rsid w:val="00A3151E"/>
    <w:rsid w:val="00A33C78"/>
    <w:rsid w:val="00A57C3F"/>
    <w:rsid w:val="00A65171"/>
    <w:rsid w:val="00A966AF"/>
    <w:rsid w:val="00AA73AE"/>
    <w:rsid w:val="00AB0ADB"/>
    <w:rsid w:val="00B01B1A"/>
    <w:rsid w:val="00B02503"/>
    <w:rsid w:val="00B61C9E"/>
    <w:rsid w:val="00B6329F"/>
    <w:rsid w:val="00B66319"/>
    <w:rsid w:val="00B72CD3"/>
    <w:rsid w:val="00B72FFF"/>
    <w:rsid w:val="00B77CFD"/>
    <w:rsid w:val="00B870A5"/>
    <w:rsid w:val="00B9494A"/>
    <w:rsid w:val="00BB512B"/>
    <w:rsid w:val="00BC3D36"/>
    <w:rsid w:val="00BD7F72"/>
    <w:rsid w:val="00BE422B"/>
    <w:rsid w:val="00BE74DA"/>
    <w:rsid w:val="00BF3EB6"/>
    <w:rsid w:val="00C04FB3"/>
    <w:rsid w:val="00C22E6F"/>
    <w:rsid w:val="00C330EB"/>
    <w:rsid w:val="00C41061"/>
    <w:rsid w:val="00C43B26"/>
    <w:rsid w:val="00C754BE"/>
    <w:rsid w:val="00C76B1C"/>
    <w:rsid w:val="00CB6357"/>
    <w:rsid w:val="00CC1B26"/>
    <w:rsid w:val="00D0252D"/>
    <w:rsid w:val="00D242EA"/>
    <w:rsid w:val="00D331A2"/>
    <w:rsid w:val="00D41297"/>
    <w:rsid w:val="00D423A2"/>
    <w:rsid w:val="00D520D8"/>
    <w:rsid w:val="00D54DBC"/>
    <w:rsid w:val="00D55CA7"/>
    <w:rsid w:val="00D605DE"/>
    <w:rsid w:val="00D607E1"/>
    <w:rsid w:val="00D63AC2"/>
    <w:rsid w:val="00D7383B"/>
    <w:rsid w:val="00D77C86"/>
    <w:rsid w:val="00D8593A"/>
    <w:rsid w:val="00D94308"/>
    <w:rsid w:val="00DA231B"/>
    <w:rsid w:val="00DC39FC"/>
    <w:rsid w:val="00DF5254"/>
    <w:rsid w:val="00E00808"/>
    <w:rsid w:val="00E028D7"/>
    <w:rsid w:val="00E16408"/>
    <w:rsid w:val="00E177D6"/>
    <w:rsid w:val="00E20894"/>
    <w:rsid w:val="00E245AB"/>
    <w:rsid w:val="00E2764C"/>
    <w:rsid w:val="00E27F2E"/>
    <w:rsid w:val="00E305E0"/>
    <w:rsid w:val="00E3093E"/>
    <w:rsid w:val="00E31D23"/>
    <w:rsid w:val="00E34019"/>
    <w:rsid w:val="00E50AFE"/>
    <w:rsid w:val="00E75C92"/>
    <w:rsid w:val="00E771DC"/>
    <w:rsid w:val="00E8772A"/>
    <w:rsid w:val="00E90F6B"/>
    <w:rsid w:val="00E92C27"/>
    <w:rsid w:val="00EA0E3D"/>
    <w:rsid w:val="00EA38C0"/>
    <w:rsid w:val="00EC38A7"/>
    <w:rsid w:val="00ED052E"/>
    <w:rsid w:val="00ED7384"/>
    <w:rsid w:val="00EE1AA8"/>
    <w:rsid w:val="00F31EDC"/>
    <w:rsid w:val="00F356C9"/>
    <w:rsid w:val="00F435B2"/>
    <w:rsid w:val="00F462B3"/>
    <w:rsid w:val="00F5664F"/>
    <w:rsid w:val="00F666C4"/>
    <w:rsid w:val="00F76AFC"/>
    <w:rsid w:val="00F8217A"/>
    <w:rsid w:val="00F8691C"/>
    <w:rsid w:val="00FA47C0"/>
    <w:rsid w:val="00FB5DD1"/>
    <w:rsid w:val="00FC2B5D"/>
    <w:rsid w:val="00FE1807"/>
    <w:rsid w:val="00FE4734"/>
    <w:rsid w:val="00FF1449"/>
    <w:rsid w:val="00FF3867"/>
    <w:rsid w:val="05EC7718"/>
    <w:rsid w:val="0A765A8B"/>
    <w:rsid w:val="0F2525FC"/>
    <w:rsid w:val="21809524"/>
    <w:rsid w:val="27440A97"/>
    <w:rsid w:val="28E8369F"/>
    <w:rsid w:val="2A0C7AB5"/>
    <w:rsid w:val="41EC47E5"/>
    <w:rsid w:val="529A803E"/>
    <w:rsid w:val="6003884C"/>
    <w:rsid w:val="66773937"/>
    <w:rsid w:val="749E50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1847"/>
    <w:pPr>
      <w:tabs>
        <w:tab w:val="center" w:pos="4419"/>
        <w:tab w:val="right" w:pos="8838"/>
      </w:tabs>
      <w:spacing w:after="0" w:line="240" w:lineRule="auto"/>
    </w:pPr>
  </w:style>
  <w:style w:type="character" w:customStyle="1" w:styleId="HeaderChar">
    <w:name w:val="Header Char"/>
    <w:basedOn w:val="DefaultParagraphFont"/>
    <w:link w:val="Header"/>
    <w:uiPriority w:val="99"/>
    <w:rsid w:val="004A1847"/>
  </w:style>
  <w:style w:type="paragraph" w:styleId="Footer">
    <w:name w:val="footer"/>
    <w:basedOn w:val="Normal"/>
    <w:link w:val="FooterChar"/>
    <w:uiPriority w:val="99"/>
    <w:unhideWhenUsed/>
    <w:rsid w:val="004A1847"/>
    <w:pPr>
      <w:tabs>
        <w:tab w:val="center" w:pos="4419"/>
        <w:tab w:val="right" w:pos="8838"/>
      </w:tabs>
      <w:spacing w:after="0" w:line="240" w:lineRule="auto"/>
    </w:pPr>
  </w:style>
  <w:style w:type="character" w:customStyle="1" w:styleId="FooterChar">
    <w:name w:val="Footer Char"/>
    <w:basedOn w:val="DefaultParagraphFont"/>
    <w:link w:val="Footer"/>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FootnoteTextChar">
    <w:name w:val="Footnote Text Char"/>
    <w:aliases w:val="Ref. de nota al pie1 Char,Texto de nota al pie Char,referencia nota al pie Char,Appel note de bas de page Char,Footnotes refss Char,Footnote number Char,BVI fnr Char,Footnote Text Char Char Char Char Char Char,Footnote reference Char"/>
    <w:basedOn w:val="DefaultParagraphFont"/>
    <w:link w:val="FootnoteText"/>
    <w:uiPriority w:val="99"/>
    <w:qFormat/>
    <w:locked/>
    <w:rsid w:val="006219F8"/>
    <w:rPr>
      <w:sz w:val="20"/>
      <w:szCs w:val="20"/>
      <w:lang w:val="es-MX"/>
    </w:rPr>
  </w:style>
  <w:style w:type="paragraph" w:styleId="FootnoteText">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FootnoteTextChar"/>
    <w:unhideWhenUsed/>
    <w:qFormat/>
    <w:rsid w:val="006219F8"/>
    <w:pPr>
      <w:spacing w:after="0" w:line="240" w:lineRule="auto"/>
    </w:pPr>
    <w:rPr>
      <w:sz w:val="20"/>
      <w:szCs w:val="20"/>
      <w:lang w:val="es-MX"/>
    </w:rPr>
  </w:style>
  <w:style w:type="character" w:customStyle="1" w:styleId="TextonotapieCar1">
    <w:name w:val="Texto nota pie Car1"/>
    <w:basedOn w:val="DefaultParagraphFont"/>
    <w:uiPriority w:val="99"/>
    <w:semiHidden/>
    <w:rsid w:val="006219F8"/>
    <w:rPr>
      <w:sz w:val="20"/>
      <w:szCs w:val="20"/>
    </w:rPr>
  </w:style>
  <w:style w:type="character" w:styleId="FootnoteReference">
    <w:name w:val="footnote reference"/>
    <w:aliases w:val="Ref. de nota al pie 2,Ref,de nota al pie,FC,Appel note de bas de p,f,4_G,16 Point,Superscript 6 Point,Texto nota al pie,Pie de Página,Texto de nota al pi,Nota de pie,Texto de nota al p,Footnote Reference Char3,Texto nota pie Car2,F,R"/>
    <w:basedOn w:val="DefaultParagraphFont"/>
    <w:link w:val="Appelnotedebasde"/>
    <w:unhideWhenUsed/>
    <w:qFormat/>
    <w:rsid w:val="006219F8"/>
    <w:rPr>
      <w:vertAlign w:val="superscript"/>
    </w:rPr>
  </w:style>
  <w:style w:type="character" w:customStyle="1" w:styleId="normaltextrun">
    <w:name w:val="normaltextrun"/>
    <w:basedOn w:val="DefaultParagraphFont"/>
    <w:rsid w:val="006219F8"/>
  </w:style>
  <w:style w:type="table" w:styleId="TableGrid">
    <w:name w:val="Table Grid"/>
    <w:basedOn w:val="Table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tografía,Párrafo de lista1,Bullet List,FooterText,numbered,Paragraphe de liste1,lp1,Scitum normal,HOJA,Bolita,Párrafo de lista4,BOLADEF,Párrafo de lista3,Párrafo de lista21,BOLA,Nivel 1 OS,Colorful List Accent 1,Foot"/>
    <w:basedOn w:val="Normal"/>
    <w:link w:val="ListParagraphChar"/>
    <w:uiPriority w:val="34"/>
    <w:qFormat/>
    <w:rsid w:val="005566E8"/>
    <w:pPr>
      <w:ind w:left="720"/>
      <w:contextualSpacing/>
    </w:pPr>
    <w:rPr>
      <w:rFonts w:ascii="Geomanist Light" w:hAnsi="Geomanist Light"/>
      <w:lang w:val="es-ES"/>
    </w:rPr>
  </w:style>
  <w:style w:type="paragraph" w:styleId="Title">
    <w:name w:val="Title"/>
    <w:basedOn w:val="Normal"/>
    <w:next w:val="Normal"/>
    <w:link w:val="TitleCh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itleChar">
    <w:name w:val="Title Char"/>
    <w:basedOn w:val="DefaultParagraphFont"/>
    <w:link w:val="Title"/>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DefaultParagraphFont"/>
    <w:rsid w:val="00DA231B"/>
  </w:style>
  <w:style w:type="character" w:styleId="Hyperlink">
    <w:name w:val="Hyperlink"/>
    <w:basedOn w:val="DefaultParagraphFont"/>
    <w:uiPriority w:val="99"/>
    <w:unhideWhenUsed/>
    <w:rsid w:val="00125105"/>
    <w:rPr>
      <w:color w:val="0000FF"/>
      <w:u w:val="single"/>
    </w:rPr>
  </w:style>
  <w:style w:type="character" w:styleId="FollowedHyperlink">
    <w:name w:val="FollowedHyperlink"/>
    <w:basedOn w:val="DefaultParagraphFont"/>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DefaultParagraphFont"/>
    <w:rsid w:val="00322A85"/>
  </w:style>
  <w:style w:type="character" w:customStyle="1" w:styleId="eop">
    <w:name w:val="eop"/>
    <w:basedOn w:val="DefaultParagraphFont"/>
    <w:rsid w:val="00322A85"/>
  </w:style>
  <w:style w:type="character" w:styleId="UnresolvedMention">
    <w:name w:val="Unresolved Mention"/>
    <w:basedOn w:val="DefaultParagraphFont"/>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on">
    <w:name w:val="Revision"/>
    <w:hidden/>
    <w:uiPriority w:val="99"/>
    <w:semiHidden/>
    <w:rsid w:val="009F3A13"/>
    <w:pPr>
      <w:spacing w:after="0" w:line="240" w:lineRule="auto"/>
    </w:pPr>
  </w:style>
  <w:style w:type="character" w:customStyle="1" w:styleId="ListParagraphChar">
    <w:name w:val="List Paragraph Char"/>
    <w:aliases w:val="Fotografía Char,Párrafo de lista1 Char,Bullet List Char,FooterText Char,numbered Char,Paragraphe de liste1 Char,lp1 Char,Scitum normal Char,HOJA Char,Bolita Char,Párrafo de lista4 Char,BOLADEF Char,Párrafo de lista3 Char,BOLA Char"/>
    <w:link w:val="ListParagraph"/>
    <w:uiPriority w:val="34"/>
    <w:qFormat/>
    <w:locked/>
    <w:rsid w:val="00B77CFD"/>
    <w:rPr>
      <w:rFonts w:ascii="Geomanist Light" w:hAnsi="Geomanist Light"/>
      <w:lang w:val="es-ES"/>
    </w:rPr>
  </w:style>
  <w:style w:type="paragraph" w:customStyle="1" w:styleId="Appelnotedebasde">
    <w:name w:val="Appel note de bas de..."/>
    <w:basedOn w:val="Normal"/>
    <w:link w:val="FootnoteReference"/>
    <w:rsid w:val="00FE1807"/>
    <w:pPr>
      <w:spacing w:line="240" w:lineRule="exact"/>
    </w:pPr>
    <w:rPr>
      <w:vertAlign w:val="superscript"/>
    </w:rPr>
  </w:style>
  <w:style w:type="paragraph" w:styleId="CommentText">
    <w:name w:val="annotation text"/>
    <w:basedOn w:val="Normal"/>
    <w:link w:val="CommentTextChar"/>
    <w:uiPriority w:val="99"/>
    <w:semiHidden/>
    <w:unhideWhenUsed/>
    <w:rsid w:val="00536FFC"/>
    <w:pPr>
      <w:spacing w:line="240" w:lineRule="auto"/>
    </w:pPr>
    <w:rPr>
      <w:sz w:val="20"/>
      <w:szCs w:val="20"/>
    </w:rPr>
  </w:style>
  <w:style w:type="character" w:customStyle="1" w:styleId="CommentTextChar">
    <w:name w:val="Comment Text Char"/>
    <w:basedOn w:val="DefaultParagraphFont"/>
    <w:link w:val="CommentText"/>
    <w:uiPriority w:val="99"/>
    <w:semiHidden/>
    <w:rsid w:val="00536FFC"/>
    <w:rPr>
      <w:sz w:val="20"/>
      <w:szCs w:val="20"/>
    </w:rPr>
  </w:style>
  <w:style w:type="character" w:styleId="CommentReference">
    <w:name w:val="annotation reference"/>
    <w:basedOn w:val="DefaultParagraphFont"/>
    <w:uiPriority w:val="99"/>
    <w:semiHidden/>
    <w:unhideWhenUsed/>
    <w:rsid w:val="00536FF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097465">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busqueda/concepto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rrespondencia.externa@scrd.gov.c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nam02.safelinks.protection.outlook.com/?url=https%3A%2F%2Fwww.colombiacompra.gov.co%2Fsala-de-prensa%2Fboletin-digital&amp;data=05%7C02%7Cana.ortizb%40colombiacompra.gov.co%7C6192b0470d324981a09708dd0a6c28db%7C7b09041e245149d08cb179d5e3d8c1be%7C0%7C0%7C638678181870275682%7CUnknown%7CTWFpbGZsb3d8eyJFbXB0eU1hcGkiOnRydWUsIlYiOiIwLjAuMDAwMCIsIlAiOiJXaW4zMiIsIkFOIjoiTWFpbCIsIldUIjoyfQ%3D%3D%7C0%7C%7C%7C&amp;sdata=p0GFj1VBUfthqd8T5xnFB7dri6l2lgXegV4TNtfJ5Gc%3D&amp;reserved=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2.safelinks.protection.outlook.com/?url=https%3A%2F%2Fwww.colombiacompra.gov.co%2Fsites%2Fcce_public%2Ffiles%2Fcce_documents%2Fmanual_para_el_manejo_de_acuerdos_comerciales_vf.pdf&amp;data=05%7C02%7Cana.ortizb%40colombiacompra.gov.co%7C6192b0470d324981a09708dd0a6c28db%7C7b09041e245149d08cb179d5e3d8c1be%7C0%7C0%7C638678181870208042%7CUnknown%7CTWFpbGZsb3d8eyJFbXB0eU1hcGkiOnRydWUsIlYiOiIwLjAuMDAwMCIsIlAiOiJXaW4zMiIsIkFOIjoiTWFpbCIsIldUIjoyfQ%3D%3D%7C0%7C%7C%7C&amp;sdata=T2aU0Q5vXhbYrL0XWa%2BoLFPWSByM6GrIG1Uv0bDGk%2FA%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E0F32964D9B84EA054B84E5D4157A0" ma:contentTypeVersion="20" ma:contentTypeDescription="Create a new document." ma:contentTypeScope="" ma:versionID="f2aded54591a7fd7c71e00322775124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8225e9d864fb3b86d94084293229f75"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FED1C66A-5F80-4911-BA33-5B111725EB23}"/>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49E8CEF3-E268-41CD-9136-DC6BB5FA36FE}">
  <ds:schemaRefs>
    <ds:schemaRef ds:uri="http://schemas.openxmlformats.org/officeDocument/2006/bibliography"/>
  </ds:schemaRefs>
</ds:datastoreItem>
</file>

<file path=customXml/itemProps4.xml><?xml version="1.0" encoding="utf-8"?>
<ds:datastoreItem xmlns:ds="http://schemas.openxmlformats.org/officeDocument/2006/customXml" ds:itemID="{163618BE-28CB-4D69-955E-CDA788483BED}">
  <ds:schemaRefs>
    <ds:schemaRef ds:uri="8ae15d26-076e-464e-81a7-6f76a0fb3917"/>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36c82cfe-0eda-494d-b392-a9281b89aaf0"/>
    <ds:schemaRef ds:uri="http://www.w3.org/XML/1998/namespace"/>
    <ds:schemaRef ds:uri="100d7df5-0e9a-4fca-984e-da1804d5950e"/>
    <ds:schemaRef ds:uri="697c4dee-e7ec-4d95-9444-4931b2058c5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4455</Words>
  <Characters>25395</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29791</CharactersWithSpaces>
  <SharedDoc>false</SharedDoc>
  <HLinks>
    <vt:vector size="6" baseType="variant">
      <vt:variant>
        <vt:i4>7077952</vt:i4>
      </vt:variant>
      <vt:variant>
        <vt:i4>0</vt:i4>
      </vt:variant>
      <vt:variant>
        <vt:i4>0</vt:i4>
      </vt:variant>
      <vt:variant>
        <vt:i4>5</vt:i4>
      </vt:variant>
      <vt:variant>
        <vt:lpwstr>mailto:correspondencia.externa@scrd.gov.co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Ana Maria Ortiz Ballesteros</cp:lastModifiedBy>
  <cp:revision>2</cp:revision>
  <cp:lastPrinted>2023-01-10T21:18:00Z</cp:lastPrinted>
  <dcterms:created xsi:type="dcterms:W3CDTF">2024-12-18T19:14:00Z</dcterms:created>
  <dcterms:modified xsi:type="dcterms:W3CDTF">2024-12-18T19:14:00Z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