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B735" w14:textId="77777777" w:rsidR="00B76121" w:rsidRPr="00AF1555" w:rsidRDefault="00B76121" w:rsidP="00B76121">
      <w:pPr>
        <w:tabs>
          <w:tab w:val="left" w:pos="709"/>
        </w:tabs>
        <w:spacing w:after="0" w:line="240" w:lineRule="auto"/>
        <w:jc w:val="both"/>
        <w:rPr>
          <w:rFonts w:ascii="Verdana" w:eastAsia="Calibri" w:hAnsi="Verdana" w:cs="Arial"/>
          <w:bCs/>
          <w:sz w:val="20"/>
          <w:szCs w:val="20"/>
          <w:lang w:val="es-ES_tradnl" w:eastAsia="es-ES_tradnl"/>
        </w:rPr>
      </w:pPr>
    </w:p>
    <w:p w14:paraId="2DB11132" w14:textId="77777777" w:rsidR="00B76121" w:rsidRPr="00AF1555" w:rsidRDefault="00B76121" w:rsidP="00B76121">
      <w:pPr>
        <w:spacing w:after="0" w:line="240" w:lineRule="auto"/>
        <w:jc w:val="both"/>
        <w:rPr>
          <w:rFonts w:ascii="Verdana" w:eastAsia="Calibri" w:hAnsi="Verdana" w:cs="Arial"/>
          <w:b/>
          <w:color w:val="000000" w:themeColor="text1"/>
          <w:lang w:val="es-ES"/>
        </w:rPr>
      </w:pPr>
      <w:r w:rsidRPr="00AF1555">
        <w:rPr>
          <w:rFonts w:ascii="Verdana" w:eastAsia="Calibri" w:hAnsi="Verdana" w:cs="Arial"/>
          <w:b/>
          <w:color w:val="000000" w:themeColor="text1"/>
          <w:lang w:val="es-ES"/>
        </w:rPr>
        <w:t xml:space="preserve">GARANTÍAS – Contratación estatal – Constitución de garantías – Finalidad – Cumplimiento – Obligaciones contractuales </w:t>
      </w:r>
    </w:p>
    <w:p w14:paraId="7CED73B1" w14:textId="77777777" w:rsidR="00B76121" w:rsidRPr="00AF1555" w:rsidRDefault="00B76121" w:rsidP="00B76121">
      <w:pPr>
        <w:spacing w:after="0" w:line="240" w:lineRule="auto"/>
        <w:jc w:val="both"/>
        <w:rPr>
          <w:rFonts w:ascii="Verdana" w:eastAsia="Calibri" w:hAnsi="Verdana" w:cs="Arial"/>
          <w:bCs/>
          <w:color w:val="000000" w:themeColor="text1"/>
          <w:sz w:val="20"/>
          <w:szCs w:val="20"/>
          <w:lang w:val="es-ES"/>
        </w:rPr>
      </w:pPr>
    </w:p>
    <w:p w14:paraId="3C7C5269" w14:textId="77777777" w:rsidR="00B76121" w:rsidRPr="00AF1555" w:rsidRDefault="00B76121" w:rsidP="00B76121">
      <w:pPr>
        <w:spacing w:after="0" w:line="240" w:lineRule="auto"/>
        <w:jc w:val="both"/>
        <w:rPr>
          <w:rFonts w:ascii="Verdana" w:eastAsia="Calibri" w:hAnsi="Verdana" w:cs="Arial"/>
          <w:color w:val="000000" w:themeColor="text1"/>
          <w:sz w:val="20"/>
          <w:szCs w:val="20"/>
          <w:lang w:val="es-ES_tradnl"/>
        </w:rPr>
      </w:pPr>
      <w:r w:rsidRPr="00AF1555">
        <w:rPr>
          <w:rFonts w:ascii="Verdana" w:eastAsia="Calibri" w:hAnsi="Verdana" w:cs="Arial"/>
          <w:color w:val="000000" w:themeColor="text1"/>
          <w:sz w:val="20"/>
          <w:szCs w:val="20"/>
          <w:lang w:val="es-ES_tradnl" w:eastAsia="es-ES_tradnl"/>
        </w:rPr>
        <w:t xml:space="preserve">El Estatuto General de Contratación de la Administración Pública exige, por regla general, en los procesos de contratación pública </w:t>
      </w:r>
      <w:r w:rsidRPr="00AF1555">
        <w:rPr>
          <w:rFonts w:ascii="Verdana" w:eastAsia="Calibri" w:hAnsi="Verdana" w:cs="Arial"/>
          <w:color w:val="000000" w:themeColor="text1"/>
          <w:sz w:val="20"/>
          <w:szCs w:val="20"/>
          <w:lang w:val="es-ES" w:eastAsia="es-ES_tradnl"/>
        </w:rPr>
        <w:t>la constitución de garantías con el fin de evitar o mitigar posibles riesgos</w:t>
      </w:r>
      <w:r w:rsidRPr="00AF1555">
        <w:rPr>
          <w:rFonts w:ascii="Verdana" w:eastAsia="Calibri" w:hAnsi="Verdana" w:cs="Arial"/>
          <w:color w:val="000000" w:themeColor="text1"/>
          <w:sz w:val="20"/>
          <w:szCs w:val="20"/>
          <w:lang w:val="es-ES_tradnl" w:eastAsia="es-ES_tradnl"/>
        </w:rPr>
        <w:t xml:space="preserve">. En esa orientación, </w:t>
      </w:r>
      <w:r w:rsidRPr="00AF1555">
        <w:rPr>
          <w:rFonts w:ascii="Verdana" w:eastAsia="Calibri" w:hAnsi="Verdana" w:cs="Arial"/>
          <w:color w:val="000000" w:themeColor="text1"/>
          <w:sz w:val="20"/>
          <w:szCs w:val="20"/>
          <w:lang w:val="es-ES_tradnl"/>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14:paraId="08726708" w14:textId="77777777" w:rsidR="00B76121" w:rsidRPr="00AF1555" w:rsidRDefault="00B76121" w:rsidP="00B76121">
      <w:pPr>
        <w:spacing w:after="0" w:line="240" w:lineRule="auto"/>
        <w:rPr>
          <w:rFonts w:ascii="Verdana" w:eastAsia="Geomanist Light" w:hAnsi="Verdana" w:cs="Arial"/>
          <w:color w:val="000000" w:themeColor="text1"/>
          <w:sz w:val="20"/>
          <w:szCs w:val="20"/>
          <w:lang w:val="es-ES_tradnl"/>
        </w:rPr>
      </w:pPr>
    </w:p>
    <w:p w14:paraId="27E74C10" w14:textId="77777777" w:rsidR="00B76121" w:rsidRPr="00AF1555" w:rsidRDefault="00B76121" w:rsidP="00B76121">
      <w:pPr>
        <w:spacing w:after="0" w:line="240" w:lineRule="auto"/>
        <w:jc w:val="both"/>
        <w:rPr>
          <w:rFonts w:ascii="Verdana" w:eastAsia="Calibri" w:hAnsi="Verdana" w:cs="Arial"/>
          <w:b/>
          <w:lang w:val="es-ES"/>
        </w:rPr>
      </w:pPr>
      <w:r w:rsidRPr="00AF1555">
        <w:rPr>
          <w:rFonts w:ascii="Verdana" w:eastAsia="Calibri" w:hAnsi="Verdana" w:cs="Arial"/>
          <w:b/>
          <w:lang w:val="es-ES"/>
        </w:rPr>
        <w:t>GARANTÍA DE CUMPLIMIENTO – Amparos – Finalidad</w:t>
      </w:r>
    </w:p>
    <w:p w14:paraId="6F5DD774" w14:textId="77777777" w:rsidR="00B76121" w:rsidRPr="00AF1555" w:rsidRDefault="00B76121" w:rsidP="00B76121">
      <w:pPr>
        <w:spacing w:after="0" w:line="240" w:lineRule="auto"/>
        <w:jc w:val="both"/>
        <w:rPr>
          <w:rFonts w:ascii="Verdana" w:eastAsia="Calibri" w:hAnsi="Verdana" w:cs="Arial"/>
          <w:b/>
          <w:sz w:val="20"/>
          <w:szCs w:val="20"/>
          <w:lang w:val="es-ES"/>
        </w:rPr>
      </w:pPr>
    </w:p>
    <w:p w14:paraId="7E1F6E94" w14:textId="77777777" w:rsidR="00B76121" w:rsidRPr="00AF1555" w:rsidRDefault="00B76121" w:rsidP="00B76121">
      <w:pPr>
        <w:spacing w:after="0" w:line="240" w:lineRule="auto"/>
        <w:jc w:val="both"/>
        <w:rPr>
          <w:rFonts w:ascii="Verdana" w:eastAsia="Times New Roman" w:hAnsi="Verdana" w:cs="Arial"/>
          <w:bCs/>
          <w:color w:val="000000" w:themeColor="text1"/>
          <w:sz w:val="20"/>
          <w:szCs w:val="20"/>
          <w:lang w:val="es-ES_tradnl"/>
        </w:rPr>
      </w:pPr>
      <w:r w:rsidRPr="00AF1555">
        <w:rPr>
          <w:rFonts w:ascii="Verdana" w:eastAsia="Calibri" w:hAnsi="Verdana" w:cs="Arial"/>
          <w:bCs/>
          <w:sz w:val="20"/>
          <w:szCs w:val="20"/>
          <w:lang w:val="es-ES"/>
        </w:rPr>
        <w:t xml:space="preserve">[…] </w:t>
      </w:r>
      <w:r w:rsidRPr="00AF1555">
        <w:rPr>
          <w:rFonts w:ascii="Verdana" w:eastAsia="Times New Roman" w:hAnsi="Verdana" w:cs="Arial"/>
          <w:bCs/>
          <w:color w:val="000000" w:themeColor="text1"/>
          <w:sz w:val="20"/>
          <w:szCs w:val="20"/>
          <w:lang w:val="es-ES_tradnl"/>
        </w:rPr>
        <w:t xml:space="preserve">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14:paraId="16E2241F" w14:textId="77777777" w:rsidR="00B76121" w:rsidRPr="00AF1555" w:rsidRDefault="00B76121" w:rsidP="00B76121">
      <w:pPr>
        <w:spacing w:after="0" w:line="240" w:lineRule="auto"/>
        <w:jc w:val="both"/>
        <w:rPr>
          <w:rFonts w:ascii="Verdana" w:eastAsia="Times New Roman" w:hAnsi="Verdana" w:cs="Arial"/>
          <w:bCs/>
          <w:color w:val="000000" w:themeColor="text1"/>
          <w:sz w:val="20"/>
          <w:szCs w:val="20"/>
          <w:lang w:val="es-ES_tradnl"/>
        </w:rPr>
      </w:pPr>
    </w:p>
    <w:p w14:paraId="7C907294" w14:textId="77777777" w:rsidR="00B76121" w:rsidRPr="00AF1555" w:rsidRDefault="00B76121" w:rsidP="00B76121">
      <w:pPr>
        <w:spacing w:after="0" w:line="240" w:lineRule="auto"/>
        <w:jc w:val="both"/>
        <w:rPr>
          <w:rFonts w:ascii="Verdana" w:eastAsia="Calibri" w:hAnsi="Verdana" w:cs="Arial"/>
          <w:color w:val="000000"/>
          <w:sz w:val="20"/>
          <w:szCs w:val="20"/>
          <w:lang w:val="es-ES_tradnl"/>
        </w:rPr>
      </w:pPr>
      <w:r w:rsidRPr="00AF1555">
        <w:rPr>
          <w:rFonts w:ascii="Verdana" w:eastAsia="Times New Roman" w:hAnsi="Verdana" w:cs="Arial"/>
          <w:bCs/>
          <w:color w:val="000000" w:themeColor="text1"/>
          <w:sz w:val="20"/>
          <w:szCs w:val="20"/>
          <w:lang w:val="es-ES_tradnl"/>
        </w:rPr>
        <w:t>L</w:t>
      </w:r>
      <w:r w:rsidRPr="00AF1555">
        <w:rPr>
          <w:rFonts w:ascii="Verdana" w:eastAsia="Calibri" w:hAnsi="Verdana" w:cs="Arial"/>
          <w:color w:val="000000"/>
          <w:sz w:val="20"/>
          <w:szCs w:val="20"/>
          <w:lang w:val="es-ES" w:eastAsia="es-ES_tradnl"/>
        </w:rPr>
        <w:t xml:space="preserve">os artículos 2.2.1.2.3.1.6 y 2.2.1.2.3.1.9 establecen las condiciones que debe cumplir la garantía de los riesgos derivados del incumplimiento de la oferta. </w:t>
      </w:r>
      <w:r w:rsidRPr="00AF1555">
        <w:rPr>
          <w:rFonts w:ascii="Verdana" w:eastAsia="Calibri" w:hAnsi="Verdana" w:cs="Arial"/>
          <w:color w:val="000000"/>
          <w:sz w:val="20"/>
          <w:szCs w:val="20"/>
          <w:lang w:val="es-ES_tradnl"/>
        </w:rPr>
        <w:t xml:space="preserve">De otro lado, el artículo 2.2.1.3.1.7 prescribe que la garantía de cumplimiento debe cubrir: i) el buen manejo y correcta inversión del anticipo; </w:t>
      </w:r>
      <w:proofErr w:type="spellStart"/>
      <w:r w:rsidRPr="00AF1555">
        <w:rPr>
          <w:rFonts w:ascii="Verdana" w:eastAsia="Calibri" w:hAnsi="Verdana" w:cs="Arial"/>
          <w:color w:val="000000"/>
          <w:sz w:val="20"/>
          <w:szCs w:val="20"/>
          <w:lang w:val="es-ES_tradnl"/>
        </w:rPr>
        <w:t>ii</w:t>
      </w:r>
      <w:proofErr w:type="spellEnd"/>
      <w:r w:rsidRPr="00AF1555">
        <w:rPr>
          <w:rFonts w:ascii="Verdana" w:eastAsia="Calibri" w:hAnsi="Verdana" w:cs="Arial"/>
          <w:color w:val="000000"/>
          <w:sz w:val="20"/>
          <w:szCs w:val="20"/>
          <w:lang w:val="es-ES_tradnl"/>
        </w:rPr>
        <w:t xml:space="preserve">) la devolución del pago anticipado; </w:t>
      </w:r>
      <w:proofErr w:type="spellStart"/>
      <w:r w:rsidRPr="00AF1555">
        <w:rPr>
          <w:rFonts w:ascii="Verdana" w:eastAsia="Calibri" w:hAnsi="Verdana" w:cs="Arial"/>
          <w:color w:val="000000"/>
          <w:sz w:val="20"/>
          <w:szCs w:val="20"/>
          <w:lang w:val="es-ES_tradnl"/>
        </w:rPr>
        <w:t>iii</w:t>
      </w:r>
      <w:proofErr w:type="spellEnd"/>
      <w:r w:rsidRPr="00AF1555">
        <w:rPr>
          <w:rFonts w:ascii="Verdana" w:eastAsia="Calibri" w:hAnsi="Verdana" w:cs="Arial"/>
          <w:color w:val="000000"/>
          <w:sz w:val="20"/>
          <w:szCs w:val="20"/>
          <w:lang w:val="es-ES_tradnl"/>
        </w:rPr>
        <w:t xml:space="preserve">) el cumplimiento del contrato; </w:t>
      </w:r>
      <w:proofErr w:type="spellStart"/>
      <w:r w:rsidRPr="00AF1555">
        <w:rPr>
          <w:rFonts w:ascii="Verdana" w:eastAsia="Calibri" w:hAnsi="Verdana" w:cs="Arial"/>
          <w:color w:val="000000"/>
          <w:sz w:val="20"/>
          <w:szCs w:val="20"/>
          <w:lang w:val="es-ES_tradnl"/>
        </w:rPr>
        <w:t>iv</w:t>
      </w:r>
      <w:proofErr w:type="spellEnd"/>
      <w:r w:rsidRPr="00AF1555">
        <w:rPr>
          <w:rFonts w:ascii="Verdana" w:eastAsia="Calibri" w:hAnsi="Verdana" w:cs="Arial"/>
          <w:color w:val="000000"/>
          <w:sz w:val="20"/>
          <w:szCs w:val="20"/>
          <w:lang w:val="es-ES_tradnl"/>
        </w:rPr>
        <w:t xml:space="preserve">) el pago de salarios, prestaciones sociales legales e indemnizaciones laborales; v) la estabilidad y calidad de la obra; vi) la calidad del servicio; </w:t>
      </w:r>
      <w:proofErr w:type="spellStart"/>
      <w:r w:rsidRPr="00AF1555">
        <w:rPr>
          <w:rFonts w:ascii="Verdana" w:eastAsia="Calibri" w:hAnsi="Verdana" w:cs="Arial"/>
          <w:color w:val="000000"/>
          <w:sz w:val="20"/>
          <w:szCs w:val="20"/>
          <w:lang w:val="es-ES_tradnl"/>
        </w:rPr>
        <w:t>vii</w:t>
      </w:r>
      <w:proofErr w:type="spellEnd"/>
      <w:r w:rsidRPr="00AF1555">
        <w:rPr>
          <w:rFonts w:ascii="Verdana" w:eastAsia="Calibri" w:hAnsi="Verdana" w:cs="Arial"/>
          <w:color w:val="000000"/>
          <w:sz w:val="20"/>
          <w:szCs w:val="20"/>
          <w:lang w:val="es-ES_tradnl"/>
        </w:rPr>
        <w:t xml:space="preserve">) la calidad y correcto funcionamiento de los bienes; y </w:t>
      </w:r>
      <w:proofErr w:type="spellStart"/>
      <w:r w:rsidRPr="00AF1555">
        <w:rPr>
          <w:rFonts w:ascii="Verdana" w:eastAsia="Calibri" w:hAnsi="Verdana" w:cs="Arial"/>
          <w:color w:val="000000"/>
          <w:sz w:val="20"/>
          <w:szCs w:val="20"/>
          <w:lang w:val="es-ES_tradnl"/>
        </w:rPr>
        <w:t>viii</w:t>
      </w:r>
      <w:proofErr w:type="spellEnd"/>
      <w:r w:rsidRPr="00AF1555">
        <w:rPr>
          <w:rFonts w:ascii="Verdana" w:eastAsia="Calibri" w:hAnsi="Verdana" w:cs="Arial"/>
          <w:color w:val="000000"/>
          <w:sz w:val="20"/>
          <w:szCs w:val="20"/>
          <w:lang w:val="es-ES_tradnl"/>
        </w:rPr>
        <w:t>) los demás incumplimientos de las obligaciones que la entidad estatal considere deben ser amparados.</w:t>
      </w:r>
    </w:p>
    <w:p w14:paraId="4C88963E" w14:textId="77777777" w:rsidR="00B76121" w:rsidRPr="00AF1555" w:rsidRDefault="00B76121" w:rsidP="00B76121">
      <w:pPr>
        <w:spacing w:after="0" w:line="240" w:lineRule="auto"/>
        <w:rPr>
          <w:rFonts w:ascii="Verdana" w:eastAsia="Geomanist Light" w:hAnsi="Verdana" w:cs="Arial"/>
          <w:color w:val="000000" w:themeColor="text1"/>
          <w:sz w:val="20"/>
          <w:szCs w:val="20"/>
          <w:lang w:val="es-ES_tradnl"/>
        </w:rPr>
      </w:pPr>
    </w:p>
    <w:p w14:paraId="2EF8B9BE" w14:textId="77777777" w:rsidR="00B76121" w:rsidRPr="00AF1555" w:rsidRDefault="00B76121" w:rsidP="00B76121">
      <w:pPr>
        <w:tabs>
          <w:tab w:val="left" w:pos="426"/>
        </w:tabs>
        <w:spacing w:after="0" w:line="240" w:lineRule="auto"/>
        <w:jc w:val="both"/>
        <w:rPr>
          <w:rFonts w:ascii="Verdana" w:hAnsi="Verdana" w:cs="Arial"/>
          <w:b/>
          <w:lang w:eastAsia="es-CO"/>
        </w:rPr>
      </w:pPr>
      <w:r w:rsidRPr="00AF1555">
        <w:rPr>
          <w:rFonts w:ascii="Verdana" w:hAnsi="Verdana" w:cs="Arial"/>
          <w:b/>
          <w:lang w:eastAsia="es-CO"/>
        </w:rPr>
        <w:t xml:space="preserve">GARANTÍA DE ESTABILIDAD Y CALIDAD DE LA OBRA – Suficiencia  </w:t>
      </w:r>
    </w:p>
    <w:p w14:paraId="16FA731C" w14:textId="77777777" w:rsidR="00B76121" w:rsidRPr="00AF1555" w:rsidRDefault="00B76121" w:rsidP="00B76121">
      <w:pPr>
        <w:tabs>
          <w:tab w:val="left" w:pos="426"/>
        </w:tabs>
        <w:spacing w:after="0" w:line="240" w:lineRule="auto"/>
        <w:jc w:val="both"/>
        <w:rPr>
          <w:rFonts w:ascii="Verdana" w:hAnsi="Verdana" w:cs="Arial"/>
          <w:b/>
          <w:sz w:val="20"/>
          <w:szCs w:val="20"/>
          <w:lang w:eastAsia="es-CO"/>
        </w:rPr>
      </w:pPr>
    </w:p>
    <w:p w14:paraId="211EBEC8" w14:textId="77777777" w:rsidR="00B76121" w:rsidRPr="00AF1555" w:rsidRDefault="00B76121" w:rsidP="00B76121">
      <w:pPr>
        <w:tabs>
          <w:tab w:val="left" w:pos="426"/>
        </w:tabs>
        <w:spacing w:after="0" w:line="240" w:lineRule="auto"/>
        <w:jc w:val="both"/>
        <w:rPr>
          <w:rFonts w:ascii="Verdana" w:hAnsi="Verdana" w:cs="Arial"/>
          <w:bCs/>
          <w:sz w:val="20"/>
          <w:szCs w:val="20"/>
          <w:lang w:eastAsia="es-CO"/>
        </w:rPr>
      </w:pPr>
      <w:r w:rsidRPr="00AF1555">
        <w:rPr>
          <w:rFonts w:ascii="Verdana" w:hAnsi="Verdana" w:cs="Arial"/>
          <w:bCs/>
          <w:sz w:val="20"/>
          <w:szCs w:val="20"/>
          <w:lang w:eastAsia="es-CO"/>
        </w:rPr>
        <w:t xml:space="preserve">De acuerdo con el artículo 2.2.1.2.3.1.14 del Decreto 1082 de 2015 modificado por el Decreto 399 de 2021, la garantía de estabilidad y calidad de la obra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 </w:t>
      </w:r>
    </w:p>
    <w:p w14:paraId="3389CEAE" w14:textId="77777777" w:rsidR="00B76121" w:rsidRPr="00AF1555" w:rsidRDefault="00B76121" w:rsidP="00B76121">
      <w:pPr>
        <w:tabs>
          <w:tab w:val="left" w:pos="426"/>
        </w:tabs>
        <w:spacing w:after="0" w:line="240" w:lineRule="auto"/>
        <w:jc w:val="both"/>
        <w:rPr>
          <w:rFonts w:ascii="Verdana" w:hAnsi="Verdana" w:cs="Arial"/>
          <w:bCs/>
          <w:sz w:val="20"/>
          <w:szCs w:val="20"/>
          <w:lang w:eastAsia="es-CO"/>
        </w:rPr>
      </w:pPr>
    </w:p>
    <w:p w14:paraId="48CAC2C0" w14:textId="77777777" w:rsidR="00B76121" w:rsidRPr="00AF1555" w:rsidRDefault="00B76121" w:rsidP="00B76121">
      <w:pPr>
        <w:tabs>
          <w:tab w:val="left" w:pos="426"/>
        </w:tabs>
        <w:spacing w:after="0" w:line="240" w:lineRule="auto"/>
        <w:jc w:val="both"/>
        <w:rPr>
          <w:rFonts w:ascii="Verdana" w:hAnsi="Verdana" w:cs="Arial"/>
          <w:bCs/>
          <w:sz w:val="20"/>
          <w:szCs w:val="20"/>
          <w:lang w:eastAsia="es-CO"/>
        </w:rPr>
      </w:pPr>
      <w:r w:rsidRPr="00AF1555">
        <w:rPr>
          <w:rFonts w:ascii="Verdana" w:hAnsi="Verdana" w:cs="Arial"/>
          <w:bCs/>
          <w:sz w:val="20"/>
          <w:szCs w:val="20"/>
          <w:lang w:eastAsia="es-CO"/>
        </w:rPr>
        <w:t xml:space="preserve">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 </w:t>
      </w:r>
    </w:p>
    <w:p w14:paraId="259E1BEA" w14:textId="77777777" w:rsidR="00B76121" w:rsidRPr="00AF1555" w:rsidRDefault="00B76121" w:rsidP="00B76121">
      <w:pPr>
        <w:tabs>
          <w:tab w:val="left" w:pos="426"/>
        </w:tabs>
        <w:spacing w:after="0" w:line="240" w:lineRule="auto"/>
        <w:jc w:val="both"/>
        <w:rPr>
          <w:rFonts w:ascii="Verdana" w:hAnsi="Verdana" w:cs="Arial"/>
          <w:bCs/>
          <w:sz w:val="20"/>
          <w:szCs w:val="20"/>
          <w:lang w:eastAsia="es-CO"/>
        </w:rPr>
      </w:pPr>
    </w:p>
    <w:p w14:paraId="3DA1A385" w14:textId="77777777" w:rsidR="00B76121" w:rsidRPr="00AF1555" w:rsidRDefault="00B76121" w:rsidP="00B76121">
      <w:pPr>
        <w:tabs>
          <w:tab w:val="left" w:pos="426"/>
        </w:tabs>
        <w:spacing w:after="0" w:line="240" w:lineRule="auto"/>
        <w:jc w:val="both"/>
        <w:rPr>
          <w:rFonts w:ascii="Verdana" w:hAnsi="Verdana" w:cs="Arial"/>
          <w:bCs/>
          <w:sz w:val="20"/>
          <w:szCs w:val="20"/>
          <w:lang w:eastAsia="es-CO"/>
        </w:rPr>
      </w:pPr>
      <w:r w:rsidRPr="00AF1555">
        <w:rPr>
          <w:rFonts w:ascii="Verdana" w:hAnsi="Verdana" w:cs="Arial"/>
          <w:bCs/>
          <w:sz w:val="20"/>
          <w:szCs w:val="20"/>
          <w:lang w:eastAsia="es-CO"/>
        </w:rPr>
        <w:lastRenderedPageBreak/>
        <w:t>La Entidad Estatal puede aceptar que esta garantía tenga una vigencia inferior a cinco (5) años previa justificación técnica de un experto en la materia objeto del contrato, lo cual se debe reflejar en los documentos del proceso. Como consecuencia del análisis anterior y según la complejidad técnica del contrato a celebrar, esta garantía podrá tener una vigencia inferior a cinco (5) años y en todo caso de mínimo un (1) año.</w:t>
      </w:r>
    </w:p>
    <w:p w14:paraId="160BE2B5" w14:textId="77777777" w:rsidR="00B76121" w:rsidRPr="00B76121" w:rsidRDefault="00B76121" w:rsidP="00313DBF">
      <w:pPr>
        <w:spacing w:after="0" w:line="240" w:lineRule="auto"/>
        <w:rPr>
          <w:rFonts w:ascii="Verdana" w:eastAsia="Geomanist Light" w:hAnsi="Verdana" w:cs="Arial"/>
          <w:color w:val="000000" w:themeColor="text1"/>
        </w:rPr>
      </w:pPr>
    </w:p>
    <w:p w14:paraId="17948503" w14:textId="77777777" w:rsidR="00B76121" w:rsidRDefault="00B76121" w:rsidP="00313DBF">
      <w:pPr>
        <w:spacing w:after="0" w:line="240" w:lineRule="auto"/>
        <w:rPr>
          <w:rFonts w:ascii="Verdana" w:eastAsia="Geomanist Light" w:hAnsi="Verdana" w:cs="Arial"/>
          <w:color w:val="000000" w:themeColor="text1"/>
          <w:lang w:val="es-MX"/>
        </w:rPr>
      </w:pPr>
    </w:p>
    <w:p w14:paraId="464F7360" w14:textId="77777777" w:rsidR="00B76121" w:rsidRDefault="00B76121" w:rsidP="00313DBF">
      <w:pPr>
        <w:spacing w:after="0" w:line="240" w:lineRule="auto"/>
        <w:rPr>
          <w:rFonts w:ascii="Verdana" w:eastAsia="Geomanist Light" w:hAnsi="Verdana" w:cs="Arial"/>
          <w:color w:val="000000" w:themeColor="text1"/>
          <w:lang w:val="es-MX"/>
        </w:rPr>
      </w:pPr>
    </w:p>
    <w:p w14:paraId="281DB694" w14:textId="77777777" w:rsidR="00B76121" w:rsidRDefault="00B76121" w:rsidP="00313DBF">
      <w:pPr>
        <w:spacing w:after="0" w:line="240" w:lineRule="auto"/>
        <w:rPr>
          <w:rFonts w:ascii="Verdana" w:eastAsia="Geomanist Light" w:hAnsi="Verdana" w:cs="Arial"/>
          <w:color w:val="000000" w:themeColor="text1"/>
          <w:lang w:val="es-MX"/>
        </w:rPr>
      </w:pPr>
    </w:p>
    <w:p w14:paraId="5DD6B3D0" w14:textId="77777777" w:rsidR="00B76121" w:rsidRDefault="00B76121" w:rsidP="00313DBF">
      <w:pPr>
        <w:spacing w:after="0" w:line="240" w:lineRule="auto"/>
        <w:rPr>
          <w:rFonts w:ascii="Verdana" w:eastAsia="Geomanist Light" w:hAnsi="Verdana" w:cs="Arial"/>
          <w:color w:val="000000" w:themeColor="text1"/>
          <w:lang w:val="es-MX"/>
        </w:rPr>
      </w:pPr>
    </w:p>
    <w:p w14:paraId="42A539A8" w14:textId="77777777" w:rsidR="00B76121" w:rsidRDefault="00B76121" w:rsidP="00313DBF">
      <w:pPr>
        <w:spacing w:after="0" w:line="240" w:lineRule="auto"/>
        <w:rPr>
          <w:rFonts w:ascii="Verdana" w:eastAsia="Geomanist Light" w:hAnsi="Verdana" w:cs="Arial"/>
          <w:color w:val="000000" w:themeColor="text1"/>
          <w:lang w:val="es-MX"/>
        </w:rPr>
      </w:pPr>
    </w:p>
    <w:p w14:paraId="7021C92B" w14:textId="77777777" w:rsidR="00B76121" w:rsidRDefault="00B76121" w:rsidP="00313DBF">
      <w:pPr>
        <w:spacing w:after="0" w:line="240" w:lineRule="auto"/>
        <w:rPr>
          <w:rFonts w:ascii="Verdana" w:eastAsia="Geomanist Light" w:hAnsi="Verdana" w:cs="Arial"/>
          <w:color w:val="000000" w:themeColor="text1"/>
          <w:lang w:val="es-MX"/>
        </w:rPr>
      </w:pPr>
    </w:p>
    <w:p w14:paraId="43F1B0CD" w14:textId="77777777" w:rsidR="00B76121" w:rsidRDefault="00B76121" w:rsidP="00313DBF">
      <w:pPr>
        <w:spacing w:after="0" w:line="240" w:lineRule="auto"/>
        <w:rPr>
          <w:rFonts w:ascii="Verdana" w:eastAsia="Geomanist Light" w:hAnsi="Verdana" w:cs="Arial"/>
          <w:color w:val="000000" w:themeColor="text1"/>
          <w:lang w:val="es-MX"/>
        </w:rPr>
      </w:pPr>
    </w:p>
    <w:p w14:paraId="07D379AE" w14:textId="77777777" w:rsidR="00B76121" w:rsidRDefault="00B76121" w:rsidP="00313DBF">
      <w:pPr>
        <w:spacing w:after="0" w:line="240" w:lineRule="auto"/>
        <w:rPr>
          <w:rFonts w:ascii="Verdana" w:eastAsia="Geomanist Light" w:hAnsi="Verdana" w:cs="Arial"/>
          <w:color w:val="000000" w:themeColor="text1"/>
          <w:lang w:val="es-MX"/>
        </w:rPr>
      </w:pPr>
    </w:p>
    <w:p w14:paraId="46593C9A" w14:textId="77777777" w:rsidR="00B76121" w:rsidRDefault="00B76121" w:rsidP="00313DBF">
      <w:pPr>
        <w:spacing w:after="0" w:line="240" w:lineRule="auto"/>
        <w:rPr>
          <w:rFonts w:ascii="Verdana" w:eastAsia="Geomanist Light" w:hAnsi="Verdana" w:cs="Arial"/>
          <w:color w:val="000000" w:themeColor="text1"/>
          <w:lang w:val="es-MX"/>
        </w:rPr>
      </w:pPr>
    </w:p>
    <w:p w14:paraId="2BCB1C53" w14:textId="77777777" w:rsidR="00B76121" w:rsidRDefault="00B76121" w:rsidP="00313DBF">
      <w:pPr>
        <w:spacing w:after="0" w:line="240" w:lineRule="auto"/>
        <w:rPr>
          <w:rFonts w:ascii="Verdana" w:eastAsia="Geomanist Light" w:hAnsi="Verdana" w:cs="Arial"/>
          <w:color w:val="000000" w:themeColor="text1"/>
          <w:lang w:val="es-MX"/>
        </w:rPr>
      </w:pPr>
    </w:p>
    <w:p w14:paraId="6D24110A" w14:textId="77777777" w:rsidR="00B76121" w:rsidRDefault="00B76121" w:rsidP="00313DBF">
      <w:pPr>
        <w:spacing w:after="0" w:line="240" w:lineRule="auto"/>
        <w:rPr>
          <w:rFonts w:ascii="Verdana" w:eastAsia="Geomanist Light" w:hAnsi="Verdana" w:cs="Arial"/>
          <w:color w:val="000000" w:themeColor="text1"/>
          <w:lang w:val="es-MX"/>
        </w:rPr>
      </w:pPr>
    </w:p>
    <w:p w14:paraId="156BD376" w14:textId="77777777" w:rsidR="00B76121" w:rsidRDefault="00B76121" w:rsidP="00313DBF">
      <w:pPr>
        <w:spacing w:after="0" w:line="240" w:lineRule="auto"/>
        <w:rPr>
          <w:rFonts w:ascii="Verdana" w:eastAsia="Geomanist Light" w:hAnsi="Verdana" w:cs="Arial"/>
          <w:color w:val="000000" w:themeColor="text1"/>
          <w:lang w:val="es-MX"/>
        </w:rPr>
      </w:pPr>
    </w:p>
    <w:p w14:paraId="54CB3C5A" w14:textId="77777777" w:rsidR="00B76121" w:rsidRDefault="00B76121" w:rsidP="00313DBF">
      <w:pPr>
        <w:spacing w:after="0" w:line="240" w:lineRule="auto"/>
        <w:rPr>
          <w:rFonts w:ascii="Verdana" w:eastAsia="Geomanist Light" w:hAnsi="Verdana" w:cs="Arial"/>
          <w:color w:val="000000" w:themeColor="text1"/>
          <w:lang w:val="es-MX"/>
        </w:rPr>
      </w:pPr>
    </w:p>
    <w:p w14:paraId="3E889CA0" w14:textId="77777777" w:rsidR="00B76121" w:rsidRDefault="00B76121" w:rsidP="00313DBF">
      <w:pPr>
        <w:spacing w:after="0" w:line="240" w:lineRule="auto"/>
        <w:rPr>
          <w:rFonts w:ascii="Verdana" w:eastAsia="Geomanist Light" w:hAnsi="Verdana" w:cs="Arial"/>
          <w:color w:val="000000" w:themeColor="text1"/>
          <w:lang w:val="es-MX"/>
        </w:rPr>
      </w:pPr>
    </w:p>
    <w:p w14:paraId="451CB1E1" w14:textId="77777777" w:rsidR="00B76121" w:rsidRDefault="00B76121" w:rsidP="00313DBF">
      <w:pPr>
        <w:spacing w:after="0" w:line="240" w:lineRule="auto"/>
        <w:rPr>
          <w:rFonts w:ascii="Verdana" w:eastAsia="Geomanist Light" w:hAnsi="Verdana" w:cs="Arial"/>
          <w:color w:val="000000" w:themeColor="text1"/>
          <w:lang w:val="es-MX"/>
        </w:rPr>
      </w:pPr>
    </w:p>
    <w:p w14:paraId="66A4FB7A" w14:textId="77777777" w:rsidR="00B76121" w:rsidRDefault="00B76121" w:rsidP="00313DBF">
      <w:pPr>
        <w:spacing w:after="0" w:line="240" w:lineRule="auto"/>
        <w:rPr>
          <w:rFonts w:ascii="Verdana" w:eastAsia="Geomanist Light" w:hAnsi="Verdana" w:cs="Arial"/>
          <w:color w:val="000000" w:themeColor="text1"/>
          <w:lang w:val="es-MX"/>
        </w:rPr>
      </w:pPr>
    </w:p>
    <w:p w14:paraId="426833FA" w14:textId="77777777" w:rsidR="00B76121" w:rsidRDefault="00B76121" w:rsidP="00313DBF">
      <w:pPr>
        <w:spacing w:after="0" w:line="240" w:lineRule="auto"/>
        <w:rPr>
          <w:rFonts w:ascii="Verdana" w:eastAsia="Geomanist Light" w:hAnsi="Verdana" w:cs="Arial"/>
          <w:color w:val="000000" w:themeColor="text1"/>
          <w:lang w:val="es-MX"/>
        </w:rPr>
      </w:pPr>
    </w:p>
    <w:p w14:paraId="0FA52406" w14:textId="77777777" w:rsidR="00B76121" w:rsidRDefault="00B76121" w:rsidP="00313DBF">
      <w:pPr>
        <w:spacing w:after="0" w:line="240" w:lineRule="auto"/>
        <w:rPr>
          <w:rFonts w:ascii="Verdana" w:eastAsia="Geomanist Light" w:hAnsi="Verdana" w:cs="Arial"/>
          <w:color w:val="000000" w:themeColor="text1"/>
          <w:lang w:val="es-MX"/>
        </w:rPr>
      </w:pPr>
    </w:p>
    <w:p w14:paraId="778A1711" w14:textId="77777777" w:rsidR="00B76121" w:rsidRDefault="00B76121" w:rsidP="00313DBF">
      <w:pPr>
        <w:spacing w:after="0" w:line="240" w:lineRule="auto"/>
        <w:rPr>
          <w:rFonts w:ascii="Verdana" w:eastAsia="Geomanist Light" w:hAnsi="Verdana" w:cs="Arial"/>
          <w:color w:val="000000" w:themeColor="text1"/>
          <w:lang w:val="es-MX"/>
        </w:rPr>
      </w:pPr>
    </w:p>
    <w:p w14:paraId="33E7FD52" w14:textId="77777777" w:rsidR="00B76121" w:rsidRDefault="00B76121" w:rsidP="00313DBF">
      <w:pPr>
        <w:spacing w:after="0" w:line="240" w:lineRule="auto"/>
        <w:rPr>
          <w:rFonts w:ascii="Verdana" w:eastAsia="Geomanist Light" w:hAnsi="Verdana" w:cs="Arial"/>
          <w:color w:val="000000" w:themeColor="text1"/>
          <w:lang w:val="es-MX"/>
        </w:rPr>
      </w:pPr>
    </w:p>
    <w:p w14:paraId="7522D3CB" w14:textId="77777777" w:rsidR="00B76121" w:rsidRDefault="00B76121" w:rsidP="00313DBF">
      <w:pPr>
        <w:spacing w:after="0" w:line="240" w:lineRule="auto"/>
        <w:rPr>
          <w:rFonts w:ascii="Verdana" w:eastAsia="Geomanist Light" w:hAnsi="Verdana" w:cs="Arial"/>
          <w:color w:val="000000" w:themeColor="text1"/>
          <w:lang w:val="es-MX"/>
        </w:rPr>
      </w:pPr>
    </w:p>
    <w:p w14:paraId="02A517BE" w14:textId="77777777" w:rsidR="00B76121" w:rsidRDefault="00B76121" w:rsidP="00313DBF">
      <w:pPr>
        <w:spacing w:after="0" w:line="240" w:lineRule="auto"/>
        <w:rPr>
          <w:rFonts w:ascii="Verdana" w:eastAsia="Geomanist Light" w:hAnsi="Verdana" w:cs="Arial"/>
          <w:color w:val="000000" w:themeColor="text1"/>
          <w:lang w:val="es-MX"/>
        </w:rPr>
      </w:pPr>
    </w:p>
    <w:p w14:paraId="3633D449" w14:textId="77777777" w:rsidR="00B76121" w:rsidRDefault="00B76121" w:rsidP="00313DBF">
      <w:pPr>
        <w:spacing w:after="0" w:line="240" w:lineRule="auto"/>
        <w:rPr>
          <w:rFonts w:ascii="Verdana" w:eastAsia="Geomanist Light" w:hAnsi="Verdana" w:cs="Arial"/>
          <w:color w:val="000000" w:themeColor="text1"/>
          <w:lang w:val="es-MX"/>
        </w:rPr>
      </w:pPr>
    </w:p>
    <w:p w14:paraId="767DCD49" w14:textId="77777777" w:rsidR="00B76121" w:rsidRDefault="00B76121" w:rsidP="00313DBF">
      <w:pPr>
        <w:spacing w:after="0" w:line="240" w:lineRule="auto"/>
        <w:rPr>
          <w:rFonts w:ascii="Verdana" w:eastAsia="Geomanist Light" w:hAnsi="Verdana" w:cs="Arial"/>
          <w:color w:val="000000" w:themeColor="text1"/>
          <w:lang w:val="es-MX"/>
        </w:rPr>
      </w:pPr>
    </w:p>
    <w:p w14:paraId="592FD745" w14:textId="77777777" w:rsidR="00B76121" w:rsidRDefault="00B76121" w:rsidP="00313DBF">
      <w:pPr>
        <w:spacing w:after="0" w:line="240" w:lineRule="auto"/>
        <w:rPr>
          <w:rFonts w:ascii="Verdana" w:eastAsia="Geomanist Light" w:hAnsi="Verdana" w:cs="Arial"/>
          <w:color w:val="000000" w:themeColor="text1"/>
          <w:lang w:val="es-MX"/>
        </w:rPr>
      </w:pPr>
    </w:p>
    <w:p w14:paraId="24070077" w14:textId="77777777" w:rsidR="00B76121" w:rsidRDefault="00B76121" w:rsidP="00313DBF">
      <w:pPr>
        <w:spacing w:after="0" w:line="240" w:lineRule="auto"/>
        <w:rPr>
          <w:rFonts w:ascii="Verdana" w:eastAsia="Geomanist Light" w:hAnsi="Verdana" w:cs="Arial"/>
          <w:color w:val="000000" w:themeColor="text1"/>
          <w:lang w:val="es-MX"/>
        </w:rPr>
      </w:pPr>
    </w:p>
    <w:p w14:paraId="75161515" w14:textId="77777777" w:rsidR="00B76121" w:rsidRDefault="00B76121" w:rsidP="00313DBF">
      <w:pPr>
        <w:spacing w:after="0" w:line="240" w:lineRule="auto"/>
        <w:rPr>
          <w:rFonts w:ascii="Verdana" w:eastAsia="Geomanist Light" w:hAnsi="Verdana" w:cs="Arial"/>
          <w:color w:val="000000" w:themeColor="text1"/>
          <w:lang w:val="es-MX"/>
        </w:rPr>
      </w:pPr>
    </w:p>
    <w:p w14:paraId="3B3D581D" w14:textId="77777777" w:rsidR="00B76121" w:rsidRDefault="00B76121" w:rsidP="00313DBF">
      <w:pPr>
        <w:spacing w:after="0" w:line="240" w:lineRule="auto"/>
        <w:rPr>
          <w:rFonts w:ascii="Verdana" w:eastAsia="Geomanist Light" w:hAnsi="Verdana" w:cs="Arial"/>
          <w:color w:val="000000" w:themeColor="text1"/>
          <w:lang w:val="es-MX"/>
        </w:rPr>
      </w:pPr>
    </w:p>
    <w:p w14:paraId="71FCC126" w14:textId="77777777" w:rsidR="00B76121" w:rsidRDefault="00B76121" w:rsidP="00313DBF">
      <w:pPr>
        <w:spacing w:after="0" w:line="240" w:lineRule="auto"/>
        <w:rPr>
          <w:rFonts w:ascii="Verdana" w:eastAsia="Geomanist Light" w:hAnsi="Verdana" w:cs="Arial"/>
          <w:color w:val="000000" w:themeColor="text1"/>
          <w:lang w:val="es-MX"/>
        </w:rPr>
      </w:pPr>
    </w:p>
    <w:p w14:paraId="4F095EEC" w14:textId="77777777" w:rsidR="00B76121" w:rsidRDefault="00B76121" w:rsidP="00313DBF">
      <w:pPr>
        <w:spacing w:after="0" w:line="240" w:lineRule="auto"/>
        <w:rPr>
          <w:rFonts w:ascii="Verdana" w:eastAsia="Geomanist Light" w:hAnsi="Verdana" w:cs="Arial"/>
          <w:color w:val="000000" w:themeColor="text1"/>
          <w:lang w:val="es-MX"/>
        </w:rPr>
      </w:pPr>
    </w:p>
    <w:p w14:paraId="4088AB71" w14:textId="77777777" w:rsidR="00B76121" w:rsidRDefault="00B76121" w:rsidP="00313DBF">
      <w:pPr>
        <w:spacing w:after="0" w:line="240" w:lineRule="auto"/>
        <w:rPr>
          <w:rFonts w:ascii="Verdana" w:eastAsia="Geomanist Light" w:hAnsi="Verdana" w:cs="Arial"/>
          <w:color w:val="000000" w:themeColor="text1"/>
          <w:lang w:val="es-MX"/>
        </w:rPr>
      </w:pPr>
    </w:p>
    <w:p w14:paraId="0854BAF6" w14:textId="77777777" w:rsidR="00B76121" w:rsidRDefault="00B76121" w:rsidP="00313DBF">
      <w:pPr>
        <w:spacing w:after="0" w:line="240" w:lineRule="auto"/>
        <w:rPr>
          <w:rFonts w:ascii="Verdana" w:eastAsia="Geomanist Light" w:hAnsi="Verdana" w:cs="Arial"/>
          <w:color w:val="000000" w:themeColor="text1"/>
          <w:lang w:val="es-MX"/>
        </w:rPr>
      </w:pPr>
    </w:p>
    <w:p w14:paraId="32EB46B9" w14:textId="77777777" w:rsidR="00B76121" w:rsidRDefault="00B76121" w:rsidP="00313DBF">
      <w:pPr>
        <w:spacing w:after="0" w:line="240" w:lineRule="auto"/>
        <w:rPr>
          <w:rFonts w:ascii="Verdana" w:eastAsia="Geomanist Light" w:hAnsi="Verdana" w:cs="Arial"/>
          <w:color w:val="000000" w:themeColor="text1"/>
          <w:lang w:val="es-MX"/>
        </w:rPr>
      </w:pPr>
    </w:p>
    <w:p w14:paraId="64766D01" w14:textId="77777777" w:rsidR="00B76121" w:rsidRDefault="00B76121" w:rsidP="00313DBF">
      <w:pPr>
        <w:spacing w:after="0" w:line="240" w:lineRule="auto"/>
        <w:rPr>
          <w:rFonts w:ascii="Verdana" w:eastAsia="Geomanist Light" w:hAnsi="Verdana" w:cs="Arial"/>
          <w:color w:val="000000" w:themeColor="text1"/>
          <w:lang w:val="es-MX"/>
        </w:rPr>
      </w:pPr>
    </w:p>
    <w:p w14:paraId="048C14A7" w14:textId="77777777" w:rsidR="00B76121" w:rsidRDefault="00B76121" w:rsidP="00313DBF">
      <w:pPr>
        <w:spacing w:after="0" w:line="240" w:lineRule="auto"/>
        <w:rPr>
          <w:rFonts w:ascii="Verdana" w:eastAsia="Geomanist Light" w:hAnsi="Verdana" w:cs="Arial"/>
          <w:color w:val="000000" w:themeColor="text1"/>
          <w:lang w:val="es-MX"/>
        </w:rPr>
      </w:pPr>
    </w:p>
    <w:p w14:paraId="7C64691E" w14:textId="77777777" w:rsidR="00B76121" w:rsidRDefault="00B76121" w:rsidP="00313DBF">
      <w:pPr>
        <w:spacing w:after="0" w:line="240" w:lineRule="auto"/>
        <w:rPr>
          <w:rFonts w:ascii="Verdana" w:eastAsia="Geomanist Light" w:hAnsi="Verdana" w:cs="Arial"/>
          <w:color w:val="000000" w:themeColor="text1"/>
          <w:lang w:val="es-MX"/>
        </w:rPr>
      </w:pPr>
    </w:p>
    <w:p w14:paraId="29291315" w14:textId="77777777" w:rsidR="00B76121" w:rsidRDefault="00B76121" w:rsidP="00313DBF">
      <w:pPr>
        <w:spacing w:after="0" w:line="240" w:lineRule="auto"/>
        <w:rPr>
          <w:rFonts w:ascii="Verdana" w:eastAsia="Geomanist Light" w:hAnsi="Verdana" w:cs="Arial"/>
          <w:color w:val="000000" w:themeColor="text1"/>
          <w:lang w:val="es-MX"/>
        </w:rPr>
      </w:pPr>
    </w:p>
    <w:p w14:paraId="69D9E75A" w14:textId="33218CF3" w:rsidR="00313DBF" w:rsidRPr="00593A5F" w:rsidRDefault="00313DBF" w:rsidP="00313DBF">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746C21" w:rsidRPr="00746C21">
        <w:rPr>
          <w:rFonts w:ascii="Verdana" w:eastAsia="Geomanist Light" w:hAnsi="Verdana" w:cs="Arial"/>
          <w:color w:val="201F1E"/>
          <w:lang w:val="es-MX"/>
        </w:rPr>
        <w:t>10 de Diciembre de 2024</w:t>
      </w:r>
    </w:p>
    <w:p w14:paraId="678D5264" w14:textId="77777777" w:rsidR="00313DBF" w:rsidRDefault="00313DBF" w:rsidP="00313DBF">
      <w:pPr>
        <w:spacing w:after="0" w:line="240" w:lineRule="auto"/>
        <w:jc w:val="both"/>
        <w:rPr>
          <w:rFonts w:ascii="Verdana" w:eastAsia="Calibri" w:hAnsi="Verdana" w:cs="Arial"/>
          <w:color w:val="000000"/>
          <w:lang w:val="es-ES"/>
        </w:rPr>
      </w:pPr>
    </w:p>
    <w:p w14:paraId="339EB958" w14:textId="20F17F1C" w:rsidR="00313DBF" w:rsidRDefault="00746C21" w:rsidP="00746C21">
      <w:pPr>
        <w:spacing w:after="0" w:line="240" w:lineRule="auto"/>
        <w:jc w:val="right"/>
        <w:rPr>
          <w:rFonts w:ascii="Verdana" w:eastAsia="Calibri" w:hAnsi="Verdana" w:cs="Arial"/>
          <w:color w:val="000000"/>
          <w:lang w:val="es-ES"/>
        </w:rPr>
      </w:pPr>
      <w:r w:rsidRPr="00746C21">
        <w:rPr>
          <w:rFonts w:ascii="Verdana" w:eastAsia="Calibri" w:hAnsi="Verdana" w:cs="Arial"/>
          <w:noProof/>
          <w:color w:val="000000"/>
          <w:lang w:val="es-ES"/>
        </w:rPr>
        <w:drawing>
          <wp:inline distT="0" distB="0" distL="0" distR="0" wp14:anchorId="6BA60B7E" wp14:editId="5C13D510">
            <wp:extent cx="3238500" cy="901700"/>
            <wp:effectExtent l="0" t="0" r="0" b="0"/>
            <wp:docPr id="1676746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46149" name=""/>
                    <pic:cNvPicPr/>
                  </pic:nvPicPr>
                  <pic:blipFill>
                    <a:blip r:embed="rId10"/>
                    <a:stretch>
                      <a:fillRect/>
                    </a:stretch>
                  </pic:blipFill>
                  <pic:spPr>
                    <a:xfrm>
                      <a:off x="0" y="0"/>
                      <a:ext cx="3238500" cy="901700"/>
                    </a:xfrm>
                    <a:prstGeom prst="rect">
                      <a:avLst/>
                    </a:prstGeom>
                  </pic:spPr>
                </pic:pic>
              </a:graphicData>
            </a:graphic>
          </wp:inline>
        </w:drawing>
      </w:r>
    </w:p>
    <w:p w14:paraId="3666C6AA" w14:textId="77777777" w:rsidR="00746C21" w:rsidRPr="00593A5F" w:rsidRDefault="00746C21" w:rsidP="00313DBF">
      <w:pPr>
        <w:spacing w:after="0" w:line="240" w:lineRule="auto"/>
        <w:jc w:val="both"/>
        <w:rPr>
          <w:rFonts w:ascii="Verdana" w:eastAsia="Calibri" w:hAnsi="Verdana" w:cs="Arial"/>
          <w:color w:val="000000"/>
          <w:lang w:val="es-ES"/>
        </w:rPr>
      </w:pPr>
    </w:p>
    <w:p w14:paraId="6B3937D6" w14:textId="77777777" w:rsidR="00313DBF" w:rsidRPr="00B96799" w:rsidRDefault="00313DBF" w:rsidP="00313DBF">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0D2008E7" w14:textId="77777777" w:rsidR="00313DBF" w:rsidRDefault="00313DBF" w:rsidP="00313DBF">
      <w:pPr>
        <w:spacing w:after="0" w:line="240" w:lineRule="auto"/>
        <w:rPr>
          <w:rFonts w:ascii="Verdana" w:eastAsia="Calibri" w:hAnsi="Verdana" w:cs="Arial"/>
          <w:b/>
          <w:lang w:val="es-ES_tradnl" w:eastAsia="es-ES_tradnl"/>
        </w:rPr>
      </w:pPr>
      <w:r w:rsidRPr="004F6A49">
        <w:rPr>
          <w:rFonts w:ascii="Verdana" w:eastAsia="Calibri" w:hAnsi="Verdana" w:cs="Arial"/>
          <w:b/>
          <w:lang w:val="es-ES_tradnl" w:eastAsia="es-ES_tradnl"/>
        </w:rPr>
        <w:t>Alexis</w:t>
      </w:r>
      <w:r>
        <w:rPr>
          <w:rFonts w:ascii="Verdana" w:eastAsia="Calibri" w:hAnsi="Verdana" w:cs="Arial"/>
          <w:b/>
          <w:lang w:val="es-ES_tradnl" w:eastAsia="es-ES_tradnl"/>
        </w:rPr>
        <w:t xml:space="preserve"> </w:t>
      </w:r>
      <w:r w:rsidRPr="004F6A49">
        <w:rPr>
          <w:rFonts w:ascii="Verdana" w:eastAsia="Calibri" w:hAnsi="Verdana" w:cs="Arial"/>
          <w:b/>
          <w:lang w:val="es-ES_tradnl" w:eastAsia="es-ES_tradnl"/>
        </w:rPr>
        <w:t>Cardona Ortiz</w:t>
      </w:r>
    </w:p>
    <w:p w14:paraId="210238A6" w14:textId="77777777" w:rsidR="00313DBF" w:rsidRPr="004F6A49" w:rsidRDefault="00313DBF" w:rsidP="00313DBF">
      <w:pPr>
        <w:spacing w:after="0" w:line="240" w:lineRule="auto"/>
        <w:rPr>
          <w:rFonts w:ascii="Verdana" w:eastAsia="Calibri" w:hAnsi="Verdana" w:cs="Arial"/>
          <w:color w:val="4472C4" w:themeColor="accent1"/>
          <w:u w:val="single"/>
          <w:lang w:val="es-ES" w:eastAsia="es-ES"/>
        </w:rPr>
      </w:pPr>
      <w:hyperlink r:id="rId11" w:history="1">
        <w:r w:rsidRPr="00621C5C">
          <w:rPr>
            <w:rStyle w:val="Hipervnculo"/>
            <w:rFonts w:ascii="Verdana" w:hAnsi="Verdana"/>
          </w:rPr>
          <w:t>alexisbcardona@hotmail.com</w:t>
        </w:r>
      </w:hyperlink>
      <w:r>
        <w:rPr>
          <w:rFonts w:ascii="Verdana" w:hAnsi="Verdana"/>
        </w:rPr>
        <w:t xml:space="preserve"> </w:t>
      </w:r>
    </w:p>
    <w:p w14:paraId="6D43EAA7" w14:textId="77777777" w:rsidR="00313DBF" w:rsidRDefault="00313DBF" w:rsidP="00313DBF">
      <w:pPr>
        <w:spacing w:after="0" w:line="240" w:lineRule="auto"/>
        <w:rPr>
          <w:rFonts w:ascii="Verdana" w:eastAsia="Calibri" w:hAnsi="Verdana" w:cs="Arial"/>
          <w:lang w:val="es-ES" w:eastAsia="es-ES"/>
        </w:rPr>
      </w:pPr>
      <w:r>
        <w:rPr>
          <w:rFonts w:ascii="Verdana" w:eastAsia="Calibri" w:hAnsi="Verdana" w:cs="Arial"/>
          <w:lang w:val="es-ES" w:eastAsia="es-ES"/>
        </w:rPr>
        <w:t xml:space="preserve">Maicao, La Guajira </w:t>
      </w:r>
    </w:p>
    <w:p w14:paraId="618E0B44" w14:textId="77777777" w:rsidR="00313DBF" w:rsidRPr="00593A5F" w:rsidRDefault="00313DBF" w:rsidP="00313DBF">
      <w:pPr>
        <w:spacing w:after="0" w:line="240" w:lineRule="auto"/>
        <w:rPr>
          <w:rFonts w:ascii="Verdana" w:eastAsia="Calibri" w:hAnsi="Verdana" w:cs="Arial"/>
          <w:b/>
          <w:bCs/>
          <w:color w:val="000000"/>
          <w:lang w:val="es-ES_tradnl" w:eastAsia="es-ES_tradnl"/>
        </w:rPr>
      </w:pPr>
    </w:p>
    <w:p w14:paraId="2153209F" w14:textId="77777777" w:rsidR="00313DBF" w:rsidRPr="00593A5F" w:rsidRDefault="00313DBF" w:rsidP="00313DBF">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13DBF" w:rsidRPr="00593A5F" w14:paraId="35A281C5" w14:textId="77777777" w:rsidTr="00902E5F">
        <w:trPr>
          <w:trHeight w:val="884"/>
        </w:trPr>
        <w:tc>
          <w:tcPr>
            <w:tcW w:w="2689" w:type="dxa"/>
          </w:tcPr>
          <w:p w14:paraId="0D174357" w14:textId="77777777" w:rsidR="00313DBF" w:rsidRPr="00C00976" w:rsidRDefault="00313DBF" w:rsidP="00902E5F">
            <w:pPr>
              <w:jc w:val="both"/>
              <w:rPr>
                <w:rFonts w:ascii="Verdana" w:eastAsia="Calibri" w:hAnsi="Verdana" w:cs="Arial"/>
                <w:b/>
                <w:bCs/>
                <w:color w:val="7030A0"/>
                <w:lang w:val="es-ES_tradnl" w:eastAsia="es-ES_tradnl"/>
              </w:rPr>
            </w:pPr>
          </w:p>
        </w:tc>
        <w:tc>
          <w:tcPr>
            <w:tcW w:w="6100" w:type="dxa"/>
          </w:tcPr>
          <w:p w14:paraId="507F1056" w14:textId="2E311C53" w:rsidR="00313DBF" w:rsidRPr="00C00976" w:rsidRDefault="00313DBF" w:rsidP="00902E5F">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sidR="007E3A04">
              <w:rPr>
                <w:rFonts w:ascii="Verdana" w:eastAsia="Calibri" w:hAnsi="Verdana" w:cs="Arial"/>
                <w:b/>
                <w:bCs/>
                <w:lang w:val="es-ES" w:eastAsia="es-ES"/>
              </w:rPr>
              <w:t>919</w:t>
            </w:r>
            <w:r w:rsidRPr="008E6AD9">
              <w:rPr>
                <w:rFonts w:ascii="Verdana" w:eastAsia="Calibri" w:hAnsi="Verdana" w:cs="Arial"/>
                <w:b/>
                <w:bCs/>
                <w:lang w:val="es-ES" w:eastAsia="es-ES"/>
              </w:rPr>
              <w:t xml:space="preserve"> de 2024</w:t>
            </w:r>
          </w:p>
        </w:tc>
      </w:tr>
      <w:tr w:rsidR="00313DBF" w:rsidRPr="00593A5F" w14:paraId="0D0DE721" w14:textId="77777777" w:rsidTr="00902E5F">
        <w:trPr>
          <w:trHeight w:val="884"/>
        </w:trPr>
        <w:tc>
          <w:tcPr>
            <w:tcW w:w="2689" w:type="dxa"/>
          </w:tcPr>
          <w:p w14:paraId="365923D4" w14:textId="77777777" w:rsidR="00313DBF" w:rsidRPr="00593A5F" w:rsidRDefault="00313DBF" w:rsidP="00902E5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14C05DE0" w14:textId="77777777" w:rsidR="00313DBF" w:rsidRPr="00A11406" w:rsidRDefault="00313DBF" w:rsidP="00902E5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GARANTÍAS – Contratación estatal – Constitución de garantías – Finalidad – Cumplimiento – Obligaciones contractuales</w:t>
            </w:r>
            <w:r>
              <w:rPr>
                <w:rFonts w:ascii="Verdana" w:eastAsia="Calibri" w:hAnsi="Verdana" w:cs="Arial"/>
                <w:lang w:val="es-ES" w:eastAsia="es-ES"/>
              </w:rPr>
              <w:t xml:space="preserve"> / </w:t>
            </w:r>
            <w:r w:rsidRPr="00A11406">
              <w:rPr>
                <w:rFonts w:ascii="Verdana" w:eastAsia="Calibri" w:hAnsi="Verdana" w:cs="Arial"/>
                <w:lang w:val="es-ES" w:eastAsia="es-ES"/>
              </w:rPr>
              <w:t>GARANTÍA DE CUMPLIMIENTO – Amparos – Finalidad</w:t>
            </w:r>
            <w:r>
              <w:rPr>
                <w:rFonts w:ascii="Verdana" w:eastAsia="Calibri" w:hAnsi="Verdana" w:cs="Arial"/>
                <w:lang w:val="es-ES" w:eastAsia="es-ES"/>
              </w:rPr>
              <w:t xml:space="preserve"> / </w:t>
            </w:r>
            <w:r w:rsidRPr="00A11406">
              <w:rPr>
                <w:rFonts w:ascii="Verdana" w:eastAsia="Calibri" w:hAnsi="Verdana" w:cs="Arial"/>
                <w:lang w:val="es-ES" w:eastAsia="es-ES"/>
              </w:rPr>
              <w:t>GARANTÍA DE ESTABILIDAD Y CALIDAD DE LA OBRA – Suficiencia</w:t>
            </w:r>
          </w:p>
          <w:p w14:paraId="32DE1665" w14:textId="77777777" w:rsidR="00313DBF" w:rsidRPr="00593A5F" w:rsidRDefault="00313DBF" w:rsidP="00902E5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313DBF" w:rsidRPr="008E6AD9" w14:paraId="0B103BBE" w14:textId="77777777" w:rsidTr="00902E5F">
        <w:tc>
          <w:tcPr>
            <w:tcW w:w="2689" w:type="dxa"/>
          </w:tcPr>
          <w:p w14:paraId="69688692" w14:textId="77777777" w:rsidR="00313DBF" w:rsidRPr="008E6AD9" w:rsidRDefault="00313DBF" w:rsidP="00902E5F">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9FF87F9" w14:textId="4B3DD5A7" w:rsidR="00313DBF" w:rsidRPr="008E6AD9" w:rsidRDefault="00313DBF" w:rsidP="00902E5F">
            <w:pPr>
              <w:jc w:val="both"/>
              <w:rPr>
                <w:rFonts w:ascii="Verdana" w:eastAsia="Calibri" w:hAnsi="Verdana" w:cs="Arial"/>
                <w:lang w:eastAsia="es-ES_tradnl"/>
              </w:rPr>
            </w:pPr>
            <w:r w:rsidRPr="008E6AD9">
              <w:rPr>
                <w:rFonts w:ascii="Verdana" w:eastAsia="Calibri" w:hAnsi="Verdana" w:cs="Arial"/>
                <w:lang w:val="es-ES_tradnl" w:eastAsia="es-ES_tradnl"/>
              </w:rPr>
              <w:t>Respuesta a consulta con radicado</w:t>
            </w:r>
            <w:r>
              <w:rPr>
                <w:rFonts w:ascii="Verdana" w:eastAsia="Calibri" w:hAnsi="Verdana" w:cs="Arial"/>
                <w:lang w:val="es-ES_tradnl" w:eastAsia="es-ES_tradnl"/>
              </w:rPr>
              <w:t>s</w:t>
            </w:r>
            <w:r w:rsidRPr="008E6AD9">
              <w:rPr>
                <w:rFonts w:ascii="Verdana" w:eastAsia="Calibri" w:hAnsi="Verdana" w:cs="Arial"/>
                <w:lang w:val="es-ES_tradnl" w:eastAsia="es-ES_tradnl"/>
              </w:rPr>
              <w:t xml:space="preserve"> No. </w:t>
            </w:r>
            <w:r w:rsidRPr="008B018C">
              <w:rPr>
                <w:rFonts w:ascii="Verdana" w:eastAsia="Calibri" w:hAnsi="Verdana" w:cs="Arial"/>
                <w:lang w:val="es-ES_tradnl" w:eastAsia="es-ES_tradnl"/>
              </w:rPr>
              <w:t>P20241122011818</w:t>
            </w:r>
            <w:r w:rsidR="00CB20DD">
              <w:rPr>
                <w:rFonts w:ascii="Verdana" w:eastAsia="Calibri" w:hAnsi="Verdana" w:cs="Arial"/>
                <w:lang w:val="es-ES_tradnl" w:eastAsia="es-ES_tradnl"/>
              </w:rPr>
              <w:t>,</w:t>
            </w:r>
            <w:r>
              <w:rPr>
                <w:rFonts w:ascii="Verdana" w:eastAsia="Calibri" w:hAnsi="Verdana" w:cs="Arial"/>
                <w:lang w:val="es-ES_tradnl" w:eastAsia="es-ES_tradnl"/>
              </w:rPr>
              <w:t xml:space="preserve"> </w:t>
            </w:r>
            <w:r w:rsidRPr="008B018C">
              <w:rPr>
                <w:rFonts w:ascii="Verdana" w:eastAsia="Calibri" w:hAnsi="Verdana" w:cs="Arial"/>
                <w:lang w:val="es-ES_tradnl" w:eastAsia="es-ES_tradnl"/>
              </w:rPr>
              <w:t>P20241125011830</w:t>
            </w:r>
            <w:r w:rsidR="00CB20DD">
              <w:rPr>
                <w:rFonts w:ascii="Verdana" w:eastAsia="Calibri" w:hAnsi="Verdana" w:cs="Arial"/>
                <w:lang w:val="es-ES_tradnl" w:eastAsia="es-ES_tradnl"/>
              </w:rPr>
              <w:t xml:space="preserve">, </w:t>
            </w:r>
            <w:r w:rsidR="00CB20DD" w:rsidRPr="00CB20DD">
              <w:rPr>
                <w:rFonts w:ascii="Verdana" w:eastAsia="Calibri" w:hAnsi="Verdana" w:cs="Arial"/>
                <w:lang w:val="es-ES_tradnl" w:eastAsia="es-ES_tradnl"/>
              </w:rPr>
              <w:t xml:space="preserve">P20241129012013 </w:t>
            </w:r>
            <w:r w:rsidR="00CB20DD">
              <w:rPr>
                <w:rFonts w:ascii="Verdana" w:eastAsia="Calibri" w:hAnsi="Verdana" w:cs="Arial"/>
                <w:lang w:val="es-ES_tradnl" w:eastAsia="es-ES_tradnl"/>
              </w:rPr>
              <w:t xml:space="preserve">y </w:t>
            </w:r>
            <w:r w:rsidR="00CB20DD" w:rsidRPr="00CB20DD">
              <w:rPr>
                <w:rFonts w:ascii="Verdana" w:eastAsia="Calibri" w:hAnsi="Verdana" w:cs="Arial"/>
                <w:lang w:val="es-ES_tradnl" w:eastAsia="es-ES_tradnl"/>
              </w:rPr>
              <w:t>P20241202012087</w:t>
            </w:r>
            <w:r>
              <w:rPr>
                <w:rFonts w:ascii="Verdana" w:eastAsia="Calibri" w:hAnsi="Verdana" w:cs="Arial"/>
                <w:lang w:val="es-ES_tradnl" w:eastAsia="es-ES_tradnl"/>
              </w:rPr>
              <w:t xml:space="preserve"> –Acumulados–                                   </w:t>
            </w:r>
          </w:p>
        </w:tc>
      </w:tr>
    </w:tbl>
    <w:p w14:paraId="08D0AB2A" w14:textId="77777777" w:rsidR="00313DBF" w:rsidRPr="00593A5F" w:rsidRDefault="00313DBF" w:rsidP="00313DBF">
      <w:pPr>
        <w:spacing w:after="0" w:line="240" w:lineRule="auto"/>
        <w:jc w:val="both"/>
        <w:rPr>
          <w:rFonts w:ascii="Verdana" w:eastAsia="Calibri" w:hAnsi="Verdana" w:cs="Arial"/>
          <w:color w:val="000000"/>
          <w:lang w:val="es-ES_tradnl" w:eastAsia="es-ES_tradnl"/>
        </w:rPr>
      </w:pPr>
    </w:p>
    <w:p w14:paraId="48431424" w14:textId="77777777" w:rsidR="00313DBF" w:rsidRPr="00593A5F" w:rsidRDefault="00313DBF" w:rsidP="00313DBF">
      <w:pPr>
        <w:spacing w:after="0" w:line="240" w:lineRule="auto"/>
        <w:jc w:val="both"/>
        <w:rPr>
          <w:rFonts w:ascii="Verdana" w:eastAsia="Calibri" w:hAnsi="Verdana" w:cs="Arial"/>
          <w:color w:val="000000"/>
          <w:lang w:val="es-ES_tradnl" w:eastAsia="es-ES_tradnl"/>
        </w:rPr>
      </w:pPr>
    </w:p>
    <w:p w14:paraId="50689786" w14:textId="77777777" w:rsidR="00313DBF" w:rsidRPr="008E6AD9" w:rsidRDefault="00313DBF" w:rsidP="00313DBF">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 xml:space="preserve">Estimado señor </w:t>
      </w:r>
      <w:r w:rsidRPr="0056048E">
        <w:rPr>
          <w:rFonts w:ascii="Verdana" w:eastAsia="Calibri" w:hAnsi="Verdana" w:cs="Arial"/>
          <w:lang w:val="es-ES" w:eastAsia="es-ES"/>
        </w:rPr>
        <w:t>Cardona Ortiz</w:t>
      </w:r>
      <w:r w:rsidRPr="008E6AD9">
        <w:rPr>
          <w:rFonts w:ascii="Verdana" w:eastAsia="Calibri" w:hAnsi="Verdana" w:cs="Arial"/>
          <w:lang w:val="es-ES" w:eastAsia="es-ES"/>
        </w:rPr>
        <w:t xml:space="preserve">: </w:t>
      </w:r>
    </w:p>
    <w:p w14:paraId="5789BF7A" w14:textId="77777777" w:rsidR="00313DBF" w:rsidRDefault="00313DBF" w:rsidP="00313DB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A839651" w14:textId="77777777" w:rsidR="00313DBF" w:rsidRPr="007C28A7" w:rsidRDefault="00313DBF" w:rsidP="00313DBF">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las</w:t>
      </w:r>
      <w:r w:rsidRPr="00593A5F">
        <w:rPr>
          <w:rFonts w:ascii="Verdana" w:eastAsia="Calibri" w:hAnsi="Verdana" w:cs="Arial"/>
          <w:color w:val="000000" w:themeColor="text1"/>
          <w:lang w:val="es-ES" w:eastAsia="es-ES"/>
        </w:rPr>
        <w:t xml:space="preserve"> solicitud</w:t>
      </w:r>
      <w:r>
        <w:rPr>
          <w:rFonts w:ascii="Verdana" w:eastAsia="Calibri" w:hAnsi="Verdana" w:cs="Arial"/>
          <w:color w:val="000000" w:themeColor="text1"/>
          <w:lang w:val="es-ES" w:eastAsia="es-ES"/>
        </w:rPr>
        <w:t>es</w:t>
      </w:r>
      <w:r w:rsidRPr="00593A5F">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 xml:space="preserve">de los puntos 1 a 4 </w:t>
      </w:r>
      <w:r w:rsidRPr="00593A5F">
        <w:rPr>
          <w:rFonts w:ascii="Verdana" w:eastAsia="Calibri" w:hAnsi="Verdana" w:cs="Arial"/>
          <w:color w:val="000000" w:themeColor="text1"/>
          <w:lang w:val="es-ES" w:eastAsia="es-ES"/>
        </w:rPr>
        <w:t>de</w:t>
      </w:r>
      <w:r>
        <w:rPr>
          <w:rFonts w:ascii="Verdana" w:eastAsia="Calibri" w:hAnsi="Verdana" w:cs="Arial"/>
          <w:color w:val="000000" w:themeColor="text1"/>
          <w:lang w:val="es-ES" w:eastAsia="es-ES"/>
        </w:rPr>
        <w:t xml:space="preserve"> la consulta con </w:t>
      </w:r>
      <w:r w:rsidRPr="008E6AD9">
        <w:rPr>
          <w:rFonts w:ascii="Verdana" w:eastAsia="Calibri" w:hAnsi="Verdana" w:cs="Arial"/>
          <w:lang w:val="es-ES" w:eastAsia="es-ES"/>
        </w:rPr>
        <w:t xml:space="preserve">fecha </w:t>
      </w:r>
      <w:r>
        <w:rPr>
          <w:rFonts w:ascii="Verdana" w:eastAsia="Calibri" w:hAnsi="Verdana" w:cs="Arial"/>
          <w:lang w:val="es-ES" w:eastAsia="es-ES"/>
        </w:rPr>
        <w:t>del 19 de noviembre 2024 realizada a la Procuraduría General de la Nación</w:t>
      </w:r>
      <w:r w:rsidRPr="008E6AD9">
        <w:rPr>
          <w:rFonts w:ascii="Verdana" w:eastAsia="Calibri" w:hAnsi="Verdana" w:cs="Arial"/>
          <w:lang w:val="es-ES" w:eastAsia="es-ES"/>
        </w:rPr>
        <w:t>,</w:t>
      </w:r>
      <w:r>
        <w:rPr>
          <w:rFonts w:ascii="Verdana" w:eastAsia="Calibri" w:hAnsi="Verdana" w:cs="Arial"/>
          <w:lang w:val="es-ES" w:eastAsia="es-ES"/>
        </w:rPr>
        <w:t xml:space="preserve"> las cuales –conforme al artículo 21 de la Ley 1437 de 2011– fueron remitidas por competencia a esta entidad mediante correo electrónico del 22 de noviembre de 2024. En los puntos mencionados –respecto al artículo </w:t>
      </w:r>
      <w:r w:rsidRPr="00F710A9">
        <w:rPr>
          <w:rFonts w:ascii="Verdana" w:eastAsia="Calibri" w:hAnsi="Verdana" w:cs="Arial"/>
          <w:lang w:val="es-ES" w:eastAsia="es-ES"/>
        </w:rPr>
        <w:t>2.2.1.2.3.1.14 del Decreto 1082 de 2015</w:t>
      </w:r>
      <w:r>
        <w:rPr>
          <w:rFonts w:ascii="Verdana" w:eastAsia="Calibri" w:hAnsi="Verdana" w:cs="Arial"/>
          <w:lang w:val="es-ES" w:eastAsia="es-ES"/>
        </w:rPr>
        <w:t xml:space="preserve">, modificado por el </w:t>
      </w:r>
      <w:r>
        <w:rPr>
          <w:rFonts w:ascii="Verdana" w:eastAsia="Calibri" w:hAnsi="Verdana" w:cs="Arial"/>
          <w:lang w:val="es-ES" w:eastAsia="es-ES"/>
        </w:rPr>
        <w:lastRenderedPageBreak/>
        <w:t xml:space="preserve">Decreto 399 de 2021, sobre la vigencia de la garantía de estabilidad y calidad de la obra– pregunta </w:t>
      </w:r>
      <w:proofErr w:type="gramStart"/>
      <w:r w:rsidRPr="0056048E">
        <w:rPr>
          <w:rFonts w:ascii="Verdana" w:eastAsia="Calibri" w:hAnsi="Verdana" w:cs="Arial"/>
          <w:i/>
          <w:iCs/>
          <w:lang w:val="es-ES" w:eastAsia="es-ES"/>
        </w:rPr>
        <w:t>in extenso</w:t>
      </w:r>
      <w:proofErr w:type="gramEnd"/>
      <w:r>
        <w:rPr>
          <w:rFonts w:ascii="Verdana" w:eastAsia="Calibri" w:hAnsi="Verdana" w:cs="Arial"/>
          <w:lang w:val="es-ES" w:eastAsia="es-ES"/>
        </w:rPr>
        <w:t xml:space="preserve"> lo siguiente</w:t>
      </w:r>
      <w:r w:rsidRPr="008E6AD9">
        <w:rPr>
          <w:rFonts w:ascii="Verdana" w:eastAsia="Calibri" w:hAnsi="Verdana" w:cs="Arial"/>
          <w:lang w:val="es-ES" w:eastAsia="es-ES"/>
        </w:rPr>
        <w:t xml:space="preserve">: </w:t>
      </w:r>
    </w:p>
    <w:p w14:paraId="052A89F4" w14:textId="77777777" w:rsidR="00313DBF" w:rsidRPr="00272A7B" w:rsidRDefault="00313DBF" w:rsidP="00F0275C">
      <w:pPr>
        <w:pStyle w:val="Prrafodelista"/>
        <w:tabs>
          <w:tab w:val="left" w:pos="142"/>
          <w:tab w:val="left" w:pos="284"/>
        </w:tabs>
        <w:spacing w:after="0" w:line="276" w:lineRule="auto"/>
        <w:ind w:left="0"/>
        <w:jc w:val="both"/>
        <w:rPr>
          <w:rFonts w:ascii="Verdana" w:eastAsia="Century Gothic" w:hAnsi="Verdana" w:cs="Century Gothic"/>
          <w:b/>
          <w:bCs/>
        </w:rPr>
      </w:pPr>
    </w:p>
    <w:p w14:paraId="4BFB1807" w14:textId="77777777" w:rsidR="00313DBF" w:rsidRDefault="00313DBF" w:rsidP="00313DBF">
      <w:pPr>
        <w:spacing w:after="120" w:line="240" w:lineRule="auto"/>
        <w:ind w:left="709" w:right="709"/>
        <w:jc w:val="both"/>
        <w:rPr>
          <w:rStyle w:val="normaltextrun"/>
          <w:rFonts w:ascii="Verdana" w:hAnsi="Verdana" w:cs="Arial"/>
          <w:sz w:val="20"/>
          <w:szCs w:val="20"/>
          <w:shd w:val="clear" w:color="auto" w:fill="FFFFFF"/>
          <w:lang w:val="es-ES"/>
        </w:rPr>
      </w:pPr>
      <w:bookmarkStart w:id="0" w:name="_Hlk95313578"/>
      <w:r w:rsidRPr="008E6AD9">
        <w:rPr>
          <w:rFonts w:ascii="Verdana" w:eastAsia="Century Gothic" w:hAnsi="Verdana" w:cs="Century Gothic"/>
          <w:sz w:val="20"/>
          <w:szCs w:val="20"/>
          <w:lang w:val="es-ES"/>
        </w:rPr>
        <w:t>“</w:t>
      </w:r>
      <w:r w:rsidRPr="002A65F1">
        <w:rPr>
          <w:rStyle w:val="normaltextrun"/>
          <w:rFonts w:ascii="Verdana" w:hAnsi="Verdana" w:cs="Arial"/>
          <w:b/>
          <w:bCs/>
          <w:sz w:val="20"/>
          <w:szCs w:val="20"/>
          <w:shd w:val="clear" w:color="auto" w:fill="FFFFFF"/>
          <w:lang w:val="es-ES"/>
        </w:rPr>
        <w:t>1. Alcance de la Póliza de Cumplimiento y Estabilidad de Obra</w:t>
      </w:r>
      <w:r>
        <w:rPr>
          <w:rStyle w:val="normaltextrun"/>
          <w:rFonts w:ascii="Verdana" w:hAnsi="Verdana" w:cs="Arial"/>
          <w:sz w:val="20"/>
          <w:szCs w:val="20"/>
          <w:shd w:val="clear" w:color="auto" w:fill="FFFFFF"/>
          <w:lang w:val="es-ES"/>
        </w:rPr>
        <w:t xml:space="preserve"> </w:t>
      </w:r>
    </w:p>
    <w:p w14:paraId="7AD59BD5" w14:textId="77777777" w:rsidR="00313DBF" w:rsidRPr="002A65F1" w:rsidRDefault="00313DBF" w:rsidP="00313DBF">
      <w:pPr>
        <w:spacing w:after="120" w:line="240" w:lineRule="auto"/>
        <w:ind w:left="709" w:right="709"/>
        <w:jc w:val="both"/>
        <w:rPr>
          <w:rStyle w:val="normaltextrun"/>
          <w:rFonts w:ascii="Verdana" w:hAnsi="Verdana" w:cs="Arial"/>
          <w:sz w:val="20"/>
          <w:szCs w:val="20"/>
          <w:shd w:val="clear" w:color="auto" w:fill="FFFFFF"/>
          <w:lang w:val="es-ES"/>
        </w:rPr>
      </w:pPr>
      <w:r w:rsidRPr="002A65F1">
        <w:rPr>
          <w:rStyle w:val="normaltextrun"/>
          <w:rFonts w:ascii="Verdana" w:hAnsi="Verdana" w:cs="Arial"/>
          <w:sz w:val="20"/>
          <w:szCs w:val="20"/>
          <w:shd w:val="clear" w:color="auto" w:fill="FFFFFF"/>
          <w:lang w:val="es-ES"/>
        </w:rPr>
        <w:t>La Ley 80 de 1993, junto con la Ley 1150 de 2007, establece que las garantías contractuales buscan</w:t>
      </w:r>
      <w:r>
        <w:rPr>
          <w:rStyle w:val="normaltextrun"/>
          <w:rFonts w:ascii="Verdana" w:hAnsi="Verdana" w:cs="Arial"/>
          <w:sz w:val="20"/>
          <w:szCs w:val="20"/>
          <w:shd w:val="clear" w:color="auto" w:fill="FFFFFF"/>
          <w:lang w:val="es-ES"/>
        </w:rPr>
        <w:t xml:space="preserve"> </w:t>
      </w:r>
      <w:r w:rsidRPr="002A65F1">
        <w:rPr>
          <w:rStyle w:val="normaltextrun"/>
          <w:rFonts w:ascii="Verdana" w:hAnsi="Verdana" w:cs="Arial"/>
          <w:sz w:val="20"/>
          <w:szCs w:val="20"/>
          <w:shd w:val="clear" w:color="auto" w:fill="FFFFFF"/>
          <w:lang w:val="es-ES"/>
        </w:rPr>
        <w:t>proteger los intereses del Estado frente al incumplimiento de las obligaciones por parte del contratista.</w:t>
      </w:r>
    </w:p>
    <w:p w14:paraId="6FC82BAB" w14:textId="77777777" w:rsidR="00313DBF" w:rsidRPr="002A65F1" w:rsidRDefault="00313DBF" w:rsidP="00313DBF">
      <w:pPr>
        <w:spacing w:after="120" w:line="240" w:lineRule="auto"/>
        <w:ind w:left="709" w:right="709"/>
        <w:jc w:val="both"/>
        <w:rPr>
          <w:rStyle w:val="normaltextrun"/>
          <w:rFonts w:ascii="Verdana" w:hAnsi="Verdana" w:cs="Arial"/>
          <w:sz w:val="20"/>
          <w:szCs w:val="20"/>
          <w:shd w:val="clear" w:color="auto" w:fill="FFFFFF"/>
          <w:lang w:val="es-ES"/>
        </w:rPr>
      </w:pPr>
      <w:r w:rsidRPr="002A65F1">
        <w:rPr>
          <w:rStyle w:val="normaltextrun"/>
          <w:rFonts w:ascii="Verdana" w:hAnsi="Verdana" w:cs="Arial"/>
          <w:sz w:val="20"/>
          <w:szCs w:val="20"/>
          <w:shd w:val="clear" w:color="auto" w:fill="FFFFFF"/>
          <w:lang w:val="es-ES"/>
        </w:rPr>
        <w:t xml:space="preserve">Sin embargo, la cobertura de la </w:t>
      </w:r>
      <w:r w:rsidRPr="002A65F1">
        <w:rPr>
          <w:rStyle w:val="normaltextrun"/>
          <w:rFonts w:ascii="Verdana" w:hAnsi="Verdana" w:cs="Arial"/>
          <w:b/>
          <w:bCs/>
          <w:sz w:val="20"/>
          <w:szCs w:val="20"/>
          <w:shd w:val="clear" w:color="auto" w:fill="FFFFFF"/>
          <w:lang w:val="es-ES"/>
        </w:rPr>
        <w:t>Póliza de Cumplimiento y Estabilidad de Obra</w:t>
      </w:r>
      <w:r w:rsidRPr="002A65F1">
        <w:rPr>
          <w:rStyle w:val="normaltextrun"/>
          <w:rFonts w:ascii="Verdana" w:hAnsi="Verdana" w:cs="Arial"/>
          <w:sz w:val="20"/>
          <w:szCs w:val="20"/>
          <w:shd w:val="clear" w:color="auto" w:fill="FFFFFF"/>
          <w:lang w:val="es-ES"/>
        </w:rPr>
        <w:t xml:space="preserve"> generalmente tiene</w:t>
      </w:r>
      <w:r>
        <w:rPr>
          <w:rStyle w:val="normaltextrun"/>
          <w:rFonts w:ascii="Verdana" w:hAnsi="Verdana" w:cs="Arial"/>
          <w:sz w:val="20"/>
          <w:szCs w:val="20"/>
          <w:shd w:val="clear" w:color="auto" w:fill="FFFFFF"/>
          <w:lang w:val="es-ES"/>
        </w:rPr>
        <w:t xml:space="preserve"> </w:t>
      </w:r>
      <w:r w:rsidRPr="002A65F1">
        <w:rPr>
          <w:rStyle w:val="normaltextrun"/>
          <w:rFonts w:ascii="Verdana" w:hAnsi="Verdana" w:cs="Arial"/>
          <w:sz w:val="20"/>
          <w:szCs w:val="20"/>
          <w:shd w:val="clear" w:color="auto" w:fill="FFFFFF"/>
          <w:lang w:val="es-ES"/>
        </w:rPr>
        <w:t>un plazo limitado a un año después de la entrega de la obra.</w:t>
      </w:r>
    </w:p>
    <w:p w14:paraId="6D403189" w14:textId="77777777" w:rsidR="00313DBF" w:rsidRPr="002A65F1" w:rsidRDefault="00313DBF" w:rsidP="00313DBF">
      <w:pPr>
        <w:spacing w:after="120" w:line="240" w:lineRule="auto"/>
        <w:ind w:left="709" w:right="709"/>
        <w:jc w:val="both"/>
        <w:rPr>
          <w:rStyle w:val="normaltextrun"/>
          <w:rFonts w:ascii="Verdana" w:hAnsi="Verdana" w:cs="Arial"/>
          <w:sz w:val="20"/>
          <w:szCs w:val="20"/>
          <w:shd w:val="clear" w:color="auto" w:fill="FFFFFF"/>
          <w:lang w:val="es-ES"/>
        </w:rPr>
      </w:pPr>
      <w:r w:rsidRPr="002A65F1">
        <w:rPr>
          <w:rStyle w:val="normaltextrun"/>
          <w:rFonts w:ascii="Verdana" w:hAnsi="Verdana" w:cs="Arial"/>
          <w:sz w:val="20"/>
          <w:szCs w:val="20"/>
          <w:shd w:val="clear" w:color="auto" w:fill="FFFFFF"/>
          <w:lang w:val="es-ES"/>
        </w:rPr>
        <w:t>Dado lo anterior, solicito:</w:t>
      </w:r>
    </w:p>
    <w:p w14:paraId="52B93CB2" w14:textId="77777777" w:rsidR="00313DBF" w:rsidRPr="002A65F1" w:rsidRDefault="00313DBF" w:rsidP="00313DBF">
      <w:pPr>
        <w:spacing w:after="120" w:line="240" w:lineRule="auto"/>
        <w:ind w:left="709" w:right="709"/>
        <w:jc w:val="both"/>
        <w:rPr>
          <w:rStyle w:val="normaltextrun"/>
          <w:rFonts w:ascii="Verdana" w:hAnsi="Verdana" w:cs="Arial"/>
          <w:sz w:val="20"/>
          <w:szCs w:val="20"/>
          <w:shd w:val="clear" w:color="auto" w:fill="FFFFFF"/>
          <w:lang w:val="es-ES"/>
        </w:rPr>
      </w:pPr>
      <w:r w:rsidRPr="002A65F1">
        <w:rPr>
          <w:rStyle w:val="normaltextrun"/>
          <w:rFonts w:ascii="Verdana" w:hAnsi="Verdana" w:cs="Arial"/>
          <w:sz w:val="20"/>
          <w:szCs w:val="20"/>
          <w:shd w:val="clear" w:color="auto" w:fill="FFFFFF"/>
          <w:lang w:val="es-ES"/>
        </w:rPr>
        <w:t>1. Interpretación de la Procuraduría sobre los alcances y limitaciones de la cobertura de dichas</w:t>
      </w:r>
      <w:r>
        <w:rPr>
          <w:rStyle w:val="normaltextrun"/>
          <w:rFonts w:ascii="Verdana" w:hAnsi="Verdana" w:cs="Arial"/>
          <w:sz w:val="20"/>
          <w:szCs w:val="20"/>
          <w:shd w:val="clear" w:color="auto" w:fill="FFFFFF"/>
          <w:lang w:val="es-ES"/>
        </w:rPr>
        <w:t xml:space="preserve"> </w:t>
      </w:r>
      <w:r w:rsidRPr="002A65F1">
        <w:rPr>
          <w:rStyle w:val="normaltextrun"/>
          <w:rFonts w:ascii="Verdana" w:hAnsi="Verdana" w:cs="Arial"/>
          <w:sz w:val="20"/>
          <w:szCs w:val="20"/>
          <w:shd w:val="clear" w:color="auto" w:fill="FFFFFF"/>
          <w:lang w:val="es-ES"/>
        </w:rPr>
        <w:t>pólizas. En particular, solicito un concepto sobre si es jurídicamente procedente imputar</w:t>
      </w:r>
      <w:r>
        <w:rPr>
          <w:rStyle w:val="normaltextrun"/>
          <w:rFonts w:ascii="Verdana" w:hAnsi="Verdana" w:cs="Arial"/>
          <w:sz w:val="20"/>
          <w:szCs w:val="20"/>
          <w:shd w:val="clear" w:color="auto" w:fill="FFFFFF"/>
          <w:lang w:val="es-ES"/>
        </w:rPr>
        <w:t xml:space="preserve"> </w:t>
      </w:r>
      <w:r w:rsidRPr="002A65F1">
        <w:rPr>
          <w:rStyle w:val="normaltextrun"/>
          <w:rFonts w:ascii="Verdana" w:hAnsi="Verdana" w:cs="Arial"/>
          <w:sz w:val="20"/>
          <w:szCs w:val="20"/>
          <w:shd w:val="clear" w:color="auto" w:fill="FFFFFF"/>
          <w:lang w:val="es-ES"/>
        </w:rPr>
        <w:t>responsabilidad al contratista por deterioros ocurridos una vez vencido el plazo de cobertura,</w:t>
      </w:r>
      <w:r>
        <w:rPr>
          <w:rStyle w:val="normaltextrun"/>
          <w:rFonts w:ascii="Verdana" w:hAnsi="Verdana" w:cs="Arial"/>
          <w:sz w:val="20"/>
          <w:szCs w:val="20"/>
          <w:shd w:val="clear" w:color="auto" w:fill="FFFFFF"/>
          <w:lang w:val="es-ES"/>
        </w:rPr>
        <w:t xml:space="preserve"> </w:t>
      </w:r>
      <w:r w:rsidRPr="002A65F1">
        <w:rPr>
          <w:rStyle w:val="normaltextrun"/>
          <w:rFonts w:ascii="Verdana" w:hAnsi="Verdana" w:cs="Arial"/>
          <w:sz w:val="20"/>
          <w:szCs w:val="20"/>
          <w:shd w:val="clear" w:color="auto" w:fill="FFFFFF"/>
          <w:lang w:val="es-ES"/>
        </w:rPr>
        <w:t>considerando que el Código Civil Colombiano en su artículo 1602 establece que los contratos</w:t>
      </w:r>
      <w:r>
        <w:rPr>
          <w:rStyle w:val="normaltextrun"/>
          <w:rFonts w:ascii="Verdana" w:hAnsi="Verdana" w:cs="Arial"/>
          <w:sz w:val="20"/>
          <w:szCs w:val="20"/>
          <w:shd w:val="clear" w:color="auto" w:fill="FFFFFF"/>
          <w:lang w:val="es-ES"/>
        </w:rPr>
        <w:t xml:space="preserve"> </w:t>
      </w:r>
      <w:r w:rsidRPr="002A65F1">
        <w:rPr>
          <w:rStyle w:val="normaltextrun"/>
          <w:rFonts w:ascii="Verdana" w:hAnsi="Verdana" w:cs="Arial"/>
          <w:sz w:val="20"/>
          <w:szCs w:val="20"/>
          <w:shd w:val="clear" w:color="auto" w:fill="FFFFFF"/>
          <w:lang w:val="es-ES"/>
        </w:rPr>
        <w:t>deben cumplirse conforme a lo pactado.</w:t>
      </w:r>
    </w:p>
    <w:p w14:paraId="275A501B" w14:textId="77777777" w:rsidR="00313DBF" w:rsidRDefault="00313DBF" w:rsidP="00313DBF">
      <w:pPr>
        <w:spacing w:after="120" w:line="240" w:lineRule="auto"/>
        <w:ind w:left="709" w:right="709"/>
        <w:jc w:val="both"/>
        <w:rPr>
          <w:rStyle w:val="normaltextrun"/>
          <w:rFonts w:ascii="Verdana" w:hAnsi="Verdana" w:cs="Arial"/>
          <w:sz w:val="20"/>
          <w:szCs w:val="20"/>
          <w:shd w:val="clear" w:color="auto" w:fill="FFFFFF"/>
          <w:lang w:val="es-ES"/>
        </w:rPr>
      </w:pPr>
      <w:r w:rsidRPr="002A65F1">
        <w:rPr>
          <w:rStyle w:val="normaltextrun"/>
          <w:rFonts w:ascii="Verdana" w:hAnsi="Verdana" w:cs="Arial"/>
          <w:sz w:val="20"/>
          <w:szCs w:val="20"/>
          <w:shd w:val="clear" w:color="auto" w:fill="FFFFFF"/>
          <w:lang w:val="es-ES"/>
        </w:rPr>
        <w:t xml:space="preserve">2. Análisis sobre el principio de </w:t>
      </w:r>
      <w:r w:rsidRPr="002A65F1">
        <w:rPr>
          <w:rStyle w:val="normaltextrun"/>
          <w:rFonts w:ascii="Verdana" w:hAnsi="Verdana" w:cs="Arial"/>
          <w:b/>
          <w:bCs/>
          <w:sz w:val="20"/>
          <w:szCs w:val="20"/>
          <w:shd w:val="clear" w:color="auto" w:fill="FFFFFF"/>
          <w:lang w:val="es-ES"/>
        </w:rPr>
        <w:t>buena fe contractual</w:t>
      </w:r>
      <w:r w:rsidRPr="002A65F1">
        <w:rPr>
          <w:rStyle w:val="normaltextrun"/>
          <w:rFonts w:ascii="Verdana" w:hAnsi="Verdana" w:cs="Arial"/>
          <w:sz w:val="20"/>
          <w:szCs w:val="20"/>
          <w:shd w:val="clear" w:color="auto" w:fill="FFFFFF"/>
          <w:lang w:val="es-ES"/>
        </w:rPr>
        <w:t xml:space="preserve"> (Articulo 83 de la Constitución), dado que</w:t>
      </w:r>
      <w:r>
        <w:rPr>
          <w:rStyle w:val="normaltextrun"/>
          <w:rFonts w:ascii="Verdana" w:hAnsi="Verdana" w:cs="Arial"/>
          <w:sz w:val="20"/>
          <w:szCs w:val="20"/>
          <w:shd w:val="clear" w:color="auto" w:fill="FFFFFF"/>
          <w:lang w:val="es-ES"/>
        </w:rPr>
        <w:t xml:space="preserve"> </w:t>
      </w:r>
      <w:r w:rsidRPr="002A65F1">
        <w:rPr>
          <w:rStyle w:val="normaltextrun"/>
          <w:rFonts w:ascii="Verdana" w:hAnsi="Verdana" w:cs="Arial"/>
          <w:sz w:val="20"/>
          <w:szCs w:val="20"/>
          <w:shd w:val="clear" w:color="auto" w:fill="FFFFFF"/>
          <w:lang w:val="es-ES"/>
        </w:rPr>
        <w:t>en la práctica la interpretación amplia de las responsabilidades podría generar inseguridad</w:t>
      </w:r>
      <w:r>
        <w:rPr>
          <w:rStyle w:val="normaltextrun"/>
          <w:rFonts w:ascii="Verdana" w:hAnsi="Verdana" w:cs="Arial"/>
          <w:sz w:val="20"/>
          <w:szCs w:val="20"/>
          <w:shd w:val="clear" w:color="auto" w:fill="FFFFFF"/>
          <w:lang w:val="es-ES"/>
        </w:rPr>
        <w:t xml:space="preserve"> </w:t>
      </w:r>
      <w:r w:rsidRPr="002A65F1">
        <w:rPr>
          <w:rStyle w:val="normaltextrun"/>
          <w:rFonts w:ascii="Verdana" w:hAnsi="Verdana" w:cs="Arial"/>
          <w:sz w:val="20"/>
          <w:szCs w:val="20"/>
          <w:shd w:val="clear" w:color="auto" w:fill="FFFFFF"/>
          <w:lang w:val="es-ES"/>
        </w:rPr>
        <w:t>jurídica, afectando al contratista incluso más allá del tiempo razonable establecido por las pólizas</w:t>
      </w:r>
      <w:r>
        <w:rPr>
          <w:rStyle w:val="normaltextrun"/>
          <w:rFonts w:ascii="Verdana" w:hAnsi="Verdana" w:cs="Arial"/>
          <w:sz w:val="20"/>
          <w:szCs w:val="20"/>
          <w:shd w:val="clear" w:color="auto" w:fill="FFFFFF"/>
          <w:lang w:val="es-ES"/>
        </w:rPr>
        <w:t>.</w:t>
      </w:r>
    </w:p>
    <w:p w14:paraId="4EBFF4AC" w14:textId="77777777" w:rsidR="00313DBF" w:rsidRDefault="00313DBF" w:rsidP="00313DBF">
      <w:pPr>
        <w:spacing w:after="120" w:line="240" w:lineRule="auto"/>
        <w:ind w:left="709" w:right="709"/>
        <w:jc w:val="both"/>
        <w:rPr>
          <w:rFonts w:ascii="Verdana" w:eastAsia="Century Gothic" w:hAnsi="Verdana" w:cs="Century Gothic"/>
          <w:sz w:val="20"/>
          <w:szCs w:val="20"/>
          <w:lang w:val="es-ES"/>
        </w:rPr>
      </w:pPr>
      <w:r w:rsidRPr="00E56EF1">
        <w:rPr>
          <w:rFonts w:ascii="Verdana" w:eastAsia="Century Gothic" w:hAnsi="Verdana" w:cs="Century Gothic"/>
          <w:sz w:val="20"/>
          <w:szCs w:val="20"/>
          <w:lang w:val="es-ES"/>
        </w:rPr>
        <w:t>Adicionalmente, considero relevante determinar si, en situaciones específicas, el incumplimiento de</w:t>
      </w:r>
      <w:r>
        <w:rPr>
          <w:rFonts w:ascii="Verdana" w:eastAsia="Century Gothic" w:hAnsi="Verdana" w:cs="Century Gothic"/>
          <w:sz w:val="20"/>
          <w:szCs w:val="20"/>
          <w:lang w:val="es-ES"/>
        </w:rPr>
        <w:t xml:space="preserve"> </w:t>
      </w:r>
      <w:r w:rsidRPr="00E56EF1">
        <w:rPr>
          <w:rFonts w:ascii="Verdana" w:eastAsia="Century Gothic" w:hAnsi="Verdana" w:cs="Century Gothic"/>
          <w:sz w:val="20"/>
          <w:szCs w:val="20"/>
          <w:lang w:val="es-ES"/>
        </w:rPr>
        <w:t>las garantías aseguradas puede ser imputado al contratista incluso cuando el deterioro de las obras obedezca a factores externos no contemplados al momento de la ejecución contractual</w:t>
      </w:r>
      <w:r>
        <w:rPr>
          <w:rFonts w:ascii="Verdana" w:eastAsia="Century Gothic" w:hAnsi="Verdana" w:cs="Century Gothic"/>
          <w:sz w:val="20"/>
          <w:szCs w:val="20"/>
          <w:lang w:val="es-ES"/>
        </w:rPr>
        <w:t>.</w:t>
      </w:r>
    </w:p>
    <w:p w14:paraId="351A54A9" w14:textId="77777777" w:rsidR="00313DBF" w:rsidRPr="00122172" w:rsidRDefault="00313DBF" w:rsidP="00313DBF">
      <w:pPr>
        <w:spacing w:after="120" w:line="240" w:lineRule="auto"/>
        <w:ind w:left="709" w:right="709"/>
        <w:jc w:val="both"/>
        <w:rPr>
          <w:rFonts w:ascii="Verdana" w:eastAsia="Century Gothic" w:hAnsi="Verdana" w:cs="Century Gothic"/>
          <w:b/>
          <w:bCs/>
          <w:sz w:val="20"/>
          <w:szCs w:val="20"/>
          <w:lang w:val="es-ES"/>
        </w:rPr>
      </w:pPr>
      <w:r w:rsidRPr="00122172">
        <w:rPr>
          <w:rFonts w:ascii="Verdana" w:eastAsia="Century Gothic" w:hAnsi="Verdana" w:cs="Century Gothic"/>
          <w:b/>
          <w:bCs/>
          <w:sz w:val="20"/>
          <w:szCs w:val="20"/>
          <w:lang w:val="es-ES"/>
        </w:rPr>
        <w:t>2. Consideraciones Ambientales y Geográficas en La Guajira</w:t>
      </w:r>
    </w:p>
    <w:p w14:paraId="4E2E99A1" w14:textId="77777777"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El Estatuto de Contratación Pública (Ley 80 de 1993) establece que los contratistas deben garantizar</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la estabilidad de las obras en función de las condiciones específicas del territorio. Sin embargo, en</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zonas como La Guajira, donde las características desérticas, la salinidad y la alta exposición a factores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climáticos extremos son predominantes, el cumplimiento de este principio es un desafío técnico y financiero considerable.</w:t>
      </w:r>
    </w:p>
    <w:p w14:paraId="6CC8A534" w14:textId="77777777"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Por lo tanto, solicito a la Procuraduría:</w:t>
      </w:r>
    </w:p>
    <w:p w14:paraId="6876B56C" w14:textId="77777777"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1. Conceptuar sobre cómo debe interpretarse la responsabilidad del contratista frente al</w:t>
      </w:r>
      <w:r>
        <w:rPr>
          <w:rFonts w:ascii="Verdana" w:eastAsia="Century Gothic" w:hAnsi="Verdana" w:cs="Century Gothic"/>
          <w:sz w:val="20"/>
          <w:szCs w:val="20"/>
          <w:lang w:val="es-ES"/>
        </w:rPr>
        <w:t xml:space="preserve"> </w:t>
      </w:r>
      <w:r w:rsidRPr="00122172">
        <w:rPr>
          <w:rFonts w:ascii="Verdana" w:eastAsia="Century Gothic" w:hAnsi="Verdana" w:cs="Century Gothic"/>
          <w:b/>
          <w:bCs/>
          <w:sz w:val="20"/>
          <w:szCs w:val="20"/>
          <w:lang w:val="es-ES"/>
        </w:rPr>
        <w:t>deterioro natural de las obras</w:t>
      </w:r>
      <w:r w:rsidRPr="00122172">
        <w:rPr>
          <w:rFonts w:ascii="Verdana" w:eastAsia="Century Gothic" w:hAnsi="Verdana" w:cs="Century Gothic"/>
          <w:sz w:val="20"/>
          <w:szCs w:val="20"/>
          <w:lang w:val="es-ES"/>
        </w:rPr>
        <w:t xml:space="preserve"> por condiciones geográficas, particularmente cuando dichos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factores exceden los riesgos previsibles o se encuadran dentro de los eventos de fuerza</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mayor y caso fortuito, conforme al artículo 64 del Código Civil.</w:t>
      </w:r>
    </w:p>
    <w:p w14:paraId="2D1AE1E7" w14:textId="77777777"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Pr>
          <w:rFonts w:ascii="Verdana" w:eastAsia="Century Gothic" w:hAnsi="Verdana" w:cs="Century Gothic"/>
          <w:sz w:val="20"/>
          <w:szCs w:val="20"/>
          <w:lang w:val="es-ES"/>
        </w:rPr>
        <w:lastRenderedPageBreak/>
        <w:t xml:space="preserve">2. </w:t>
      </w:r>
      <w:r w:rsidRPr="00122172">
        <w:rPr>
          <w:rFonts w:ascii="Verdana" w:eastAsia="Century Gothic" w:hAnsi="Verdana" w:cs="Century Gothic"/>
          <w:sz w:val="20"/>
          <w:szCs w:val="20"/>
          <w:lang w:val="es-ES"/>
        </w:rPr>
        <w:t>Exponer su posición frente a los temblores frecuentes en La Guajira y otros departamentos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del Caribe, considerando que este fenómeno geológico ha sido clasificado por el Sistema</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Nacional de Gestión del Riesgo de Desastres como un evento recurrente y de alto impacto.</w:t>
      </w:r>
    </w:p>
    <w:p w14:paraId="7B592372" w14:textId="77777777" w:rsidR="00313DBF"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El análisis solicitado resulta imperativo para garantizar una imputación proporcional y justa de</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responsabilidades en los procesos fiscales, evitando que se endilgue al contratista la totalidad de las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 xml:space="preserve">afectaciones, en desmedro del principio de </w:t>
      </w:r>
      <w:r w:rsidRPr="00122172">
        <w:rPr>
          <w:rFonts w:ascii="Verdana" w:eastAsia="Century Gothic" w:hAnsi="Verdana" w:cs="Century Gothic"/>
          <w:b/>
          <w:bCs/>
          <w:sz w:val="20"/>
          <w:szCs w:val="20"/>
          <w:lang w:val="es-ES"/>
        </w:rPr>
        <w:t>equidad contractual</w:t>
      </w:r>
      <w:r w:rsidRPr="00122172">
        <w:rPr>
          <w:rFonts w:ascii="Verdana" w:eastAsia="Century Gothic" w:hAnsi="Verdana" w:cs="Century Gothic"/>
          <w:sz w:val="20"/>
          <w:szCs w:val="20"/>
          <w:lang w:val="es-ES"/>
        </w:rPr>
        <w:t>.</w:t>
      </w:r>
    </w:p>
    <w:p w14:paraId="25B1C606" w14:textId="77777777" w:rsidR="00313DBF" w:rsidRPr="00122172" w:rsidRDefault="00313DBF" w:rsidP="00313DBF">
      <w:pPr>
        <w:spacing w:after="120" w:line="240" w:lineRule="auto"/>
        <w:ind w:left="709" w:right="709"/>
        <w:jc w:val="both"/>
        <w:rPr>
          <w:rFonts w:ascii="Verdana" w:eastAsia="Century Gothic" w:hAnsi="Verdana" w:cs="Century Gothic"/>
          <w:b/>
          <w:bCs/>
          <w:sz w:val="20"/>
          <w:szCs w:val="20"/>
          <w:lang w:val="es-ES"/>
        </w:rPr>
      </w:pPr>
      <w:r w:rsidRPr="00122172">
        <w:rPr>
          <w:rFonts w:ascii="Verdana" w:eastAsia="Century Gothic" w:hAnsi="Verdana" w:cs="Century Gothic"/>
          <w:b/>
          <w:bCs/>
          <w:sz w:val="20"/>
          <w:szCs w:val="20"/>
          <w:lang w:val="es-ES"/>
        </w:rPr>
        <w:t xml:space="preserve">3. Modificaciones a las Obras por Comunidades Indígenas en Ejercicio de su Autonomía </w:t>
      </w:r>
    </w:p>
    <w:p w14:paraId="3006A687" w14:textId="5DEFC192"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El Convenio 169 de la OIT, ratificado en Colombia mediante la Ley 21 de 1991, garantiza a las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comunidades indígenas el derecho a la autodeterminación, incluyendo el uso y adaptación de</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infraestructuras dentro de sus territorios en función de sus costumbres. En ese contexto, la autonomía</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 xml:space="preserve">otorgada por el </w:t>
      </w:r>
      <w:r w:rsidR="00707E96" w:rsidRPr="00122172">
        <w:rPr>
          <w:rFonts w:ascii="Verdana" w:eastAsia="Century Gothic" w:hAnsi="Verdana" w:cs="Century Gothic"/>
          <w:sz w:val="20"/>
          <w:szCs w:val="20"/>
          <w:lang w:val="es-ES"/>
        </w:rPr>
        <w:t>artículo</w:t>
      </w:r>
      <w:r w:rsidRPr="00122172">
        <w:rPr>
          <w:rFonts w:ascii="Verdana" w:eastAsia="Century Gothic" w:hAnsi="Verdana" w:cs="Century Gothic"/>
          <w:sz w:val="20"/>
          <w:szCs w:val="20"/>
          <w:lang w:val="es-ES"/>
        </w:rPr>
        <w:t xml:space="preserve"> 330 de la Constitución implica un desafío adicional para los contratistas.</w:t>
      </w:r>
    </w:p>
    <w:p w14:paraId="0A2F546D" w14:textId="77777777"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Por ello, solicito:</w:t>
      </w:r>
    </w:p>
    <w:p w14:paraId="54C682BB" w14:textId="77777777"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1. Concepto sobre la aplicabilidad del marco normativo que regula las modificaciones realizadas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por comunidades indígenas a obras públicas entregadas a satisfacción.</w:t>
      </w:r>
    </w:p>
    <w:p w14:paraId="5E92356B" w14:textId="77777777" w:rsidR="00313DBF"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2. Aclaración de si estas modificaciones, realizadas bajo el marco de la autonomía indígena,</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exoneran de responsabilidad fiscal al contratista, quien no tiene control sobre los cambios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efectuados por las comunidades receptoras de las obras.</w:t>
      </w:r>
    </w:p>
    <w:p w14:paraId="2A1842E2" w14:textId="77777777" w:rsidR="00313DBF" w:rsidRDefault="00313DBF" w:rsidP="00313DBF">
      <w:pPr>
        <w:spacing w:after="120" w:line="240" w:lineRule="auto"/>
        <w:ind w:left="709" w:right="709"/>
        <w:jc w:val="both"/>
        <w:rPr>
          <w:rFonts w:ascii="Verdana" w:eastAsia="Century Gothic" w:hAnsi="Verdana" w:cs="Century Gothic"/>
          <w:sz w:val="20"/>
          <w:szCs w:val="20"/>
          <w:lang w:val="es-ES"/>
        </w:rPr>
      </w:pPr>
      <w:r>
        <w:rPr>
          <w:rFonts w:ascii="Verdana" w:eastAsia="Century Gothic" w:hAnsi="Verdana" w:cs="Century Gothic"/>
          <w:sz w:val="20"/>
          <w:szCs w:val="20"/>
          <w:lang w:val="es-ES"/>
        </w:rPr>
        <w:t xml:space="preserve">3. </w:t>
      </w:r>
      <w:r w:rsidRPr="00122172">
        <w:rPr>
          <w:rFonts w:ascii="Verdana" w:eastAsia="Century Gothic" w:hAnsi="Verdana" w:cs="Century Gothic"/>
          <w:sz w:val="20"/>
          <w:szCs w:val="20"/>
          <w:lang w:val="es-ES"/>
        </w:rPr>
        <w:t xml:space="preserve">Valoración del principio de </w:t>
      </w:r>
      <w:r w:rsidRPr="00122172">
        <w:rPr>
          <w:rFonts w:ascii="Verdana" w:eastAsia="Century Gothic" w:hAnsi="Verdana" w:cs="Century Gothic"/>
          <w:b/>
          <w:bCs/>
          <w:sz w:val="20"/>
          <w:szCs w:val="20"/>
          <w:lang w:val="es-ES"/>
        </w:rPr>
        <w:t>equilibrio contractual</w:t>
      </w:r>
      <w:r w:rsidRPr="00122172">
        <w:rPr>
          <w:rFonts w:ascii="Verdana" w:eastAsia="Century Gothic" w:hAnsi="Verdana" w:cs="Century Gothic"/>
          <w:sz w:val="20"/>
          <w:szCs w:val="20"/>
          <w:lang w:val="es-ES"/>
        </w:rPr>
        <w:t xml:space="preserve"> en estas situaciones, evitando que las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alteraciones posteriores realizadas por los beneficiarios sean imputadas al contratista.</w:t>
      </w:r>
    </w:p>
    <w:p w14:paraId="7FCA98FC" w14:textId="77777777" w:rsidR="00313DBF" w:rsidRPr="00122172" w:rsidRDefault="00313DBF" w:rsidP="00313DBF">
      <w:pPr>
        <w:spacing w:after="120" w:line="240" w:lineRule="auto"/>
        <w:ind w:left="709" w:right="709"/>
        <w:jc w:val="both"/>
        <w:rPr>
          <w:rFonts w:ascii="Verdana" w:eastAsia="Century Gothic" w:hAnsi="Verdana" w:cs="Century Gothic"/>
          <w:b/>
          <w:bCs/>
          <w:sz w:val="20"/>
          <w:szCs w:val="20"/>
          <w:lang w:val="es-ES"/>
        </w:rPr>
      </w:pPr>
      <w:r w:rsidRPr="00122172">
        <w:rPr>
          <w:rFonts w:ascii="Verdana" w:eastAsia="Century Gothic" w:hAnsi="Verdana" w:cs="Century Gothic"/>
          <w:b/>
          <w:bCs/>
          <w:sz w:val="20"/>
          <w:szCs w:val="20"/>
          <w:lang w:val="es-ES"/>
        </w:rPr>
        <w:t xml:space="preserve">4. Recepción de Obras en Buen Estado y Posterior Modificación por Beneficiarios </w:t>
      </w:r>
    </w:p>
    <w:p w14:paraId="1A5C074A" w14:textId="77777777"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El artículo 15 de la Ley 1474 de 2011 (Estatuto Anticorrupción) establece que los contratistas tienen</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derecho a que las obras entregadas sean utilizadas adecuadamente por los beneficiarios. Sin</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embargo, existen casos donde, tras la entrega formal de las obras y su recepción a satisfacción, los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beneficiarios proceden a modificar, desmantelar o deteriorar las mismas.</w:t>
      </w:r>
    </w:p>
    <w:p w14:paraId="57907294" w14:textId="77777777"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Ante ello, solicito:</w:t>
      </w:r>
    </w:p>
    <w:p w14:paraId="5B8889A8" w14:textId="77777777" w:rsidR="00313DBF" w:rsidRPr="00122172" w:rsidRDefault="00313DBF" w:rsidP="00313DBF">
      <w:pPr>
        <w:spacing w:after="12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1. Interpretación de la Procuraduría sobre la delimitación de responsabilidades fiscales en estos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casos, dado que el contratista pierde control sobre la obra al momento de su entrega formal.</w:t>
      </w:r>
    </w:p>
    <w:p w14:paraId="2015CF78" w14:textId="77777777" w:rsidR="00313DBF" w:rsidRPr="00E56EF1" w:rsidRDefault="00313DBF" w:rsidP="00313DBF">
      <w:pPr>
        <w:spacing w:after="0" w:line="240" w:lineRule="auto"/>
        <w:ind w:left="709" w:right="709"/>
        <w:jc w:val="both"/>
        <w:rPr>
          <w:rFonts w:ascii="Verdana" w:eastAsia="Century Gothic" w:hAnsi="Verdana" w:cs="Century Gothic"/>
          <w:sz w:val="20"/>
          <w:szCs w:val="20"/>
          <w:lang w:val="es-ES"/>
        </w:rPr>
      </w:pPr>
      <w:r w:rsidRPr="00122172">
        <w:rPr>
          <w:rFonts w:ascii="Verdana" w:eastAsia="Century Gothic" w:hAnsi="Verdana" w:cs="Century Gothic"/>
          <w:sz w:val="20"/>
          <w:szCs w:val="20"/>
          <w:lang w:val="es-ES"/>
        </w:rPr>
        <w:t>2. Análisis de precedentes jurisprudenciales y administrativos que esclarezcan los criterios para</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 xml:space="preserve">evitar una imputación desproporcionada de </w:t>
      </w:r>
      <w:r w:rsidRPr="00122172">
        <w:rPr>
          <w:rFonts w:ascii="Verdana" w:eastAsia="Century Gothic" w:hAnsi="Verdana" w:cs="Century Gothic"/>
          <w:sz w:val="20"/>
          <w:szCs w:val="20"/>
          <w:lang w:val="es-ES"/>
        </w:rPr>
        <w:lastRenderedPageBreak/>
        <w:t>responsabilidades al contratista en estas</w:t>
      </w:r>
      <w:r>
        <w:rPr>
          <w:rFonts w:ascii="Verdana" w:eastAsia="Century Gothic" w:hAnsi="Verdana" w:cs="Century Gothic"/>
          <w:sz w:val="20"/>
          <w:szCs w:val="20"/>
          <w:lang w:val="es-ES"/>
        </w:rPr>
        <w:t xml:space="preserve"> </w:t>
      </w:r>
      <w:r w:rsidRPr="00122172">
        <w:rPr>
          <w:rFonts w:ascii="Verdana" w:eastAsia="Century Gothic" w:hAnsi="Verdana" w:cs="Century Gothic"/>
          <w:sz w:val="20"/>
          <w:szCs w:val="20"/>
          <w:lang w:val="es-ES"/>
        </w:rPr>
        <w:t>circunstancias</w:t>
      </w:r>
      <w:r w:rsidRPr="008E6AD9">
        <w:rPr>
          <w:rFonts w:ascii="Verdana" w:eastAsia="Century Gothic" w:hAnsi="Verdana" w:cs="Century Gothic"/>
          <w:sz w:val="20"/>
          <w:szCs w:val="20"/>
          <w:lang w:val="es-ES"/>
        </w:rPr>
        <w:t>”</w:t>
      </w:r>
      <w:bookmarkEnd w:id="0"/>
      <w:r w:rsidRPr="008E6AD9">
        <w:rPr>
          <w:rFonts w:ascii="Verdana" w:eastAsia="Century Gothic" w:hAnsi="Verdana" w:cs="Century Gothic"/>
          <w:sz w:val="20"/>
          <w:szCs w:val="20"/>
          <w:lang w:val="es-ES"/>
        </w:rPr>
        <w:t>.</w:t>
      </w:r>
      <w:r>
        <w:rPr>
          <w:rFonts w:ascii="Verdana" w:eastAsia="Century Gothic" w:hAnsi="Verdana" w:cs="Century Gothic"/>
          <w:sz w:val="20"/>
          <w:szCs w:val="20"/>
          <w:lang w:val="es-ES"/>
        </w:rPr>
        <w:t xml:space="preserve"> (Énfasis dentro del texto)</w:t>
      </w:r>
    </w:p>
    <w:p w14:paraId="7FC4F579" w14:textId="77777777" w:rsidR="00313DBF" w:rsidRPr="008E6AD9" w:rsidRDefault="00313DBF" w:rsidP="00F0275C">
      <w:pPr>
        <w:pStyle w:val="Prrafodelista"/>
        <w:tabs>
          <w:tab w:val="left" w:pos="142"/>
          <w:tab w:val="left" w:pos="284"/>
        </w:tabs>
        <w:spacing w:after="0" w:line="276" w:lineRule="auto"/>
        <w:ind w:left="0"/>
        <w:jc w:val="both"/>
        <w:rPr>
          <w:rFonts w:ascii="Verdana" w:eastAsia="Century Gothic" w:hAnsi="Verdana" w:cs="Century Gothic"/>
          <w:b/>
          <w:bCs/>
        </w:rPr>
      </w:pPr>
    </w:p>
    <w:p w14:paraId="420A1CB7" w14:textId="77777777" w:rsidR="00313DBF" w:rsidRPr="00A652FF" w:rsidRDefault="00313DBF" w:rsidP="00313DBF">
      <w:pPr>
        <w:spacing w:after="12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18FC78C4" w14:textId="77777777" w:rsidR="00313DBF" w:rsidRDefault="00313DBF" w:rsidP="00313DBF">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 con posible incidencia disciplinaria</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8B1BA57" w14:textId="77777777" w:rsidR="00313DBF" w:rsidRPr="00593A5F" w:rsidRDefault="00313DBF" w:rsidP="00313DBF">
      <w:pPr>
        <w:spacing w:after="0" w:line="276" w:lineRule="auto"/>
        <w:ind w:firstLine="709"/>
        <w:jc w:val="both"/>
        <w:rPr>
          <w:rFonts w:ascii="Verdana" w:eastAsia="Calibri" w:hAnsi="Verdana" w:cs="Arial"/>
          <w:color w:val="000000"/>
          <w:lang w:val="es-ES" w:eastAsia="es-ES"/>
        </w:rPr>
      </w:pPr>
    </w:p>
    <w:p w14:paraId="45466BDB" w14:textId="77777777" w:rsidR="00313DBF" w:rsidRPr="00593A5F" w:rsidRDefault="00313DBF" w:rsidP="00313DB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39A478A4" w14:textId="77777777" w:rsidR="00313DBF" w:rsidRPr="00593A5F" w:rsidRDefault="00313DBF" w:rsidP="00313DBF">
      <w:pPr>
        <w:tabs>
          <w:tab w:val="left" w:pos="426"/>
        </w:tabs>
        <w:spacing w:after="0" w:line="276" w:lineRule="auto"/>
        <w:jc w:val="both"/>
        <w:rPr>
          <w:rFonts w:ascii="Verdana" w:eastAsia="Century Gothic" w:hAnsi="Verdana" w:cs="Century Gothic"/>
          <w:lang w:val="es-ES"/>
        </w:rPr>
      </w:pPr>
    </w:p>
    <w:p w14:paraId="75B4FB60" w14:textId="5C9498EA" w:rsidR="00313DBF" w:rsidRPr="00593A5F" w:rsidRDefault="00313DBF" w:rsidP="00313DBF">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sidR="007E2952">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¿cuál es el marco jurídico de la garantía de estabilidad y calidad de la obra en el sistema de compras públicas?</w:t>
      </w:r>
    </w:p>
    <w:p w14:paraId="3B1C7CE0" w14:textId="77777777" w:rsidR="00313DBF" w:rsidRPr="00593A5F" w:rsidRDefault="00313DBF" w:rsidP="00313DBF">
      <w:pPr>
        <w:spacing w:after="0" w:line="276" w:lineRule="auto"/>
        <w:jc w:val="both"/>
        <w:rPr>
          <w:rFonts w:ascii="Verdana" w:eastAsia="Calibri" w:hAnsi="Verdana" w:cs="Arial"/>
          <w:color w:val="7030A0"/>
          <w:lang w:val="es-ES"/>
        </w:rPr>
      </w:pPr>
    </w:p>
    <w:p w14:paraId="4EEF5F89" w14:textId="4BBB1F8D" w:rsidR="00313DBF" w:rsidRPr="00593A5F" w:rsidRDefault="00313DBF" w:rsidP="00313DB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030F385" w14:textId="77777777" w:rsidR="00313DBF" w:rsidRPr="00593A5F" w:rsidRDefault="00313DBF" w:rsidP="00313DB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13DBF" w:rsidRPr="00593A5F" w14:paraId="49BFF805" w14:textId="77777777" w:rsidTr="00902E5F">
        <w:trPr>
          <w:jc w:val="center"/>
        </w:trPr>
        <w:tc>
          <w:tcPr>
            <w:tcW w:w="8828" w:type="dxa"/>
            <w:shd w:val="clear" w:color="auto" w:fill="auto"/>
          </w:tcPr>
          <w:p w14:paraId="00FB0C9D" w14:textId="7BE87956" w:rsidR="00313DBF" w:rsidRDefault="00313DBF" w:rsidP="00902E5F">
            <w:pPr>
              <w:spacing w:after="120" w:line="276" w:lineRule="auto"/>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Conforme a la interpretación general de las normas del sistema de compras </w:t>
            </w:r>
            <w:r w:rsidR="00776B72">
              <w:rPr>
                <w:rFonts w:ascii="Verdana" w:eastAsia="Times New Roman" w:hAnsi="Verdana" w:cs="Arial"/>
                <w:color w:val="000000" w:themeColor="text1"/>
                <w:lang w:eastAsia="es-CO"/>
              </w:rPr>
              <w:t xml:space="preserve">y contratación </w:t>
            </w:r>
            <w:r>
              <w:rPr>
                <w:rFonts w:ascii="Verdana" w:eastAsia="Times New Roman" w:hAnsi="Verdana" w:cs="Arial"/>
                <w:color w:val="000000" w:themeColor="text1"/>
                <w:lang w:eastAsia="es-CO"/>
              </w:rPr>
              <w:t xml:space="preserve">pública, el artículo </w:t>
            </w:r>
            <w:r w:rsidRPr="00CA6FDA">
              <w:rPr>
                <w:rFonts w:ascii="Verdana" w:eastAsia="Times New Roman" w:hAnsi="Verdana" w:cs="Arial"/>
                <w:color w:val="000000" w:themeColor="text1"/>
                <w:lang w:eastAsia="es-CO"/>
              </w:rPr>
              <w:t>2.2.1.2.3.1.14</w:t>
            </w:r>
            <w:r>
              <w:rPr>
                <w:rFonts w:ascii="Verdana" w:eastAsia="Times New Roman" w:hAnsi="Verdana" w:cs="Arial"/>
                <w:color w:val="000000" w:themeColor="text1"/>
                <w:lang w:eastAsia="es-CO"/>
              </w:rPr>
              <w:t xml:space="preserve"> del Decreto 1082 de 2015 –después de la modificación del artículo 3 del Decreto 399 de 2021– regula la suficiencia del amparo de estabilidad y calidad de la obra. Para efectos de la vigencia y el monto, el inciso primero dispone que “</w:t>
            </w:r>
            <w:r w:rsidRPr="00CA6FDA">
              <w:rPr>
                <w:rFonts w:ascii="Verdana" w:eastAsia="Times New Roman" w:hAnsi="Verdana" w:cs="Arial"/>
                <w:color w:val="000000" w:themeColor="text1"/>
                <w:lang w:eastAsia="es-CO"/>
              </w:rPr>
              <w:t>Esta garantía debe estar vigente por un término no inferior a cinco (5) años contados a partir de la fecha en la cual la Entidad Estatal recibe a satisfacción la obra</w:t>
            </w:r>
            <w:r>
              <w:rPr>
                <w:rFonts w:ascii="Verdana" w:eastAsia="Times New Roman" w:hAnsi="Verdana" w:cs="Arial"/>
                <w:color w:val="000000" w:themeColor="text1"/>
                <w:lang w:eastAsia="es-CO"/>
              </w:rPr>
              <w:t xml:space="preserve">. </w:t>
            </w:r>
            <w:r w:rsidRPr="00E945AF">
              <w:rPr>
                <w:rFonts w:ascii="Verdana" w:eastAsia="Times New Roman" w:hAnsi="Verdana" w:cs="Arial"/>
                <w:color w:val="000000" w:themeColor="text1"/>
                <w:lang w:eastAsia="es-CO"/>
              </w:rPr>
              <w:t xml:space="preserve">La Entidad </w:t>
            </w:r>
            <w:r w:rsidRPr="00E945AF">
              <w:rPr>
                <w:rFonts w:ascii="Verdana" w:eastAsia="Times New Roman" w:hAnsi="Verdana" w:cs="Arial"/>
                <w:color w:val="000000" w:themeColor="text1"/>
                <w:lang w:eastAsia="es-CO"/>
              </w:rPr>
              <w:lastRenderedPageBreak/>
              <w:t>Estatal debe determinar el valor asegurado de esta garantía en los documentos del proceso, de acuerdo con el objeto, la cuantía, la naturaleza y las obligaciones contenidas en el contrato a celebrar</w:t>
            </w:r>
            <w:r>
              <w:rPr>
                <w:rFonts w:ascii="Verdana" w:eastAsia="Times New Roman" w:hAnsi="Verdana" w:cs="Arial"/>
                <w:color w:val="000000" w:themeColor="text1"/>
                <w:lang w:eastAsia="es-CO"/>
              </w:rPr>
              <w:t>”</w:t>
            </w:r>
            <w:r w:rsidRPr="00CA6FDA">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No obstante, en lo que atañe al plazo, la norma consagra una excepción, puesto que la norma faculta a la entidad para establecer una garantía por un plazo inferior a </w:t>
            </w:r>
            <w:r w:rsidRPr="00CA6FDA">
              <w:rPr>
                <w:rFonts w:ascii="Verdana" w:eastAsia="Times New Roman" w:hAnsi="Verdana" w:cs="Arial"/>
                <w:color w:val="000000" w:themeColor="text1"/>
                <w:lang w:eastAsia="es-CO"/>
              </w:rPr>
              <w:t>cinco (5) años</w:t>
            </w:r>
            <w:r>
              <w:rPr>
                <w:rFonts w:ascii="Verdana" w:eastAsia="Times New Roman" w:hAnsi="Verdana" w:cs="Arial"/>
                <w:color w:val="000000" w:themeColor="text1"/>
                <w:lang w:eastAsia="es-CO"/>
              </w:rPr>
              <w:t>, sin que la misma tenga una duración inferior a uno (1).</w:t>
            </w:r>
          </w:p>
          <w:p w14:paraId="3A1F879A" w14:textId="77777777" w:rsidR="00313DBF" w:rsidRDefault="00313DBF" w:rsidP="00902E5F">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Al respecto,</w:t>
            </w:r>
            <w:r w:rsidRPr="00DE5648">
              <w:rPr>
                <w:rFonts w:ascii="Verdana" w:eastAsia="Times New Roman" w:hAnsi="Verdana" w:cs="Arial"/>
                <w:color w:val="000000" w:themeColor="text1"/>
                <w:lang w:eastAsia="es-CO"/>
              </w:rPr>
              <w:t xml:space="preserve"> deberá emitir</w:t>
            </w:r>
            <w:r>
              <w:rPr>
                <w:rFonts w:ascii="Verdana" w:eastAsia="Times New Roman" w:hAnsi="Verdana" w:cs="Arial"/>
                <w:color w:val="000000" w:themeColor="text1"/>
                <w:lang w:eastAsia="es-CO"/>
              </w:rPr>
              <w:t>se</w:t>
            </w:r>
            <w:r w:rsidRPr="00DE5648">
              <w:rPr>
                <w:rFonts w:ascii="Verdana" w:eastAsia="Times New Roman" w:hAnsi="Verdana" w:cs="Arial"/>
                <w:color w:val="000000" w:themeColor="text1"/>
                <w:lang w:eastAsia="es-CO"/>
              </w:rPr>
              <w:t xml:space="preserve"> </w:t>
            </w:r>
            <w:r>
              <w:rPr>
                <w:rFonts w:ascii="Verdana" w:eastAsia="Times New Roman" w:hAnsi="Verdana" w:cs="Arial"/>
                <w:color w:val="000000" w:themeColor="text1"/>
                <w:lang w:eastAsia="es-CO"/>
              </w:rPr>
              <w:t>una</w:t>
            </w:r>
            <w:r w:rsidRPr="00DE5648">
              <w:rPr>
                <w:rFonts w:ascii="Verdana" w:eastAsia="Times New Roman" w:hAnsi="Verdana" w:cs="Arial"/>
                <w:color w:val="000000" w:themeColor="text1"/>
                <w:lang w:eastAsia="es-CO"/>
              </w:rPr>
              <w:t xml:space="preserve">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justificación</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entendida como la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Prueba convincente de algo</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de acuerdo con su área </w:t>
            </w:r>
            <w:r>
              <w:rPr>
                <w:rFonts w:ascii="Verdana" w:eastAsia="Times New Roman" w:hAnsi="Verdana" w:cs="Arial"/>
                <w:color w:val="000000" w:themeColor="text1"/>
                <w:lang w:eastAsia="es-CO"/>
              </w:rPr>
              <w:t>profesional</w:t>
            </w:r>
            <w:r w:rsidRPr="00DE5648">
              <w:rPr>
                <w:rFonts w:ascii="Verdana" w:eastAsia="Times New Roman" w:hAnsi="Verdana" w:cs="Arial"/>
                <w:color w:val="000000" w:themeColor="text1"/>
                <w:lang w:eastAsia="es-CO"/>
              </w:rPr>
              <w:t xml:space="preserve">. Sin limitarse a la cuantía del proceso, la justificación técnica se relaciona con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el tipo de actividades que serán realizadas, la experticia técnica requerida, el alcance físico de las obras, entre otros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Con fundamento en la opinión del experto, la entidad encargada del proceso de selección definirá si existe una justificación razonable para constituir la garantía de estabilidad y calidad de la obra por un término inferior a cinco (5) años.</w:t>
            </w:r>
          </w:p>
          <w:p w14:paraId="66A1EAFF" w14:textId="77777777" w:rsidR="00313DBF" w:rsidRDefault="00313DBF" w:rsidP="00902E5F">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Finalmente, conforme a los artículos </w:t>
            </w:r>
            <w:r w:rsidRPr="00A31E14">
              <w:rPr>
                <w:rFonts w:ascii="Verdana" w:eastAsia="Times New Roman" w:hAnsi="Verdana" w:cs="Arial"/>
                <w:color w:val="000000" w:themeColor="text1"/>
                <w:lang w:eastAsia="es-CO"/>
              </w:rPr>
              <w:t>2.2.1.1.1.6.1</w:t>
            </w:r>
            <w:r>
              <w:rPr>
                <w:rFonts w:ascii="Verdana" w:eastAsia="Times New Roman" w:hAnsi="Verdana" w:cs="Arial"/>
                <w:color w:val="000000" w:themeColor="text1"/>
                <w:lang w:eastAsia="es-CO"/>
              </w:rPr>
              <w:t xml:space="preserve">, </w:t>
            </w:r>
            <w:r w:rsidRPr="00A31E14">
              <w:rPr>
                <w:rFonts w:ascii="Verdana" w:eastAsia="Times New Roman" w:hAnsi="Verdana" w:cs="Arial"/>
                <w:color w:val="000000" w:themeColor="text1"/>
                <w:lang w:eastAsia="es-CO"/>
              </w:rPr>
              <w:t>2.2.1.1.2.1.1</w:t>
            </w:r>
            <w:r>
              <w:rPr>
                <w:rFonts w:ascii="Verdana" w:eastAsia="Times New Roman" w:hAnsi="Verdana" w:cs="Arial"/>
                <w:color w:val="000000" w:themeColor="text1"/>
                <w:lang w:eastAsia="es-CO"/>
              </w:rPr>
              <w:t xml:space="preserve"> y </w:t>
            </w:r>
            <w:r w:rsidRPr="00173477">
              <w:rPr>
                <w:rFonts w:ascii="Verdana" w:eastAsia="Times New Roman" w:hAnsi="Verdana" w:cs="Arial"/>
                <w:color w:val="000000" w:themeColor="text1"/>
                <w:lang w:eastAsia="es-CO"/>
              </w:rPr>
              <w:t>2.2.1.1.2.1.3</w:t>
            </w:r>
            <w:r>
              <w:rPr>
                <w:rFonts w:ascii="Verdana" w:eastAsia="Times New Roman" w:hAnsi="Verdana" w:cs="Arial"/>
                <w:color w:val="000000" w:themeColor="text1"/>
                <w:lang w:eastAsia="es-CO"/>
              </w:rPr>
              <w:t xml:space="preserve"> del Decreto 1082 de 2015, las entidades deben realizar el análisis de los riesgos y de la forma de mitigarlos en los estudios del sector, en los estudios previos y en el pliego de condiciones, documentos propios de la etapa precontractual. Allí deben precisar la cobertura de las garantías, sin perjuicio de las observaciones que formulen los interesados y de los ajustes realizados al pliego de condiciones definitivo cuando éstas se aceptan. </w:t>
            </w:r>
          </w:p>
          <w:p w14:paraId="6CC12BF3" w14:textId="77777777" w:rsidR="00313DBF" w:rsidRPr="006A77ED" w:rsidRDefault="00313DBF" w:rsidP="00902E5F">
            <w:pPr>
              <w:widowControl w:val="0"/>
              <w:autoSpaceDE w:val="0"/>
              <w:autoSpaceDN w:val="0"/>
              <w:spacing w:line="276" w:lineRule="auto"/>
              <w:ind w:firstLine="708"/>
              <w:jc w:val="both"/>
              <w:rPr>
                <w:rFonts w:ascii="Verdana" w:hAnsi="Verdana" w:cs="Arial"/>
              </w:rPr>
            </w:pPr>
            <w:r w:rsidRPr="006759B0">
              <w:rPr>
                <w:rFonts w:ascii="Verdana" w:hAnsi="Verdana" w:cs="Arial"/>
              </w:rPr>
              <w:t xml:space="preserve">Sin perjuicio de lo anterior debe advertirse que el análisis requerido para </w:t>
            </w:r>
            <w:r w:rsidRPr="00016280">
              <w:rPr>
                <w:rFonts w:ascii="Verdana" w:hAnsi="Verdana" w:cs="Arial"/>
              </w:rPr>
              <w:t xml:space="preserve">para </w:t>
            </w:r>
            <w:r>
              <w:rPr>
                <w:rFonts w:ascii="Verdana" w:hAnsi="Verdana" w:cs="Arial"/>
              </w:rPr>
              <w:t>resolver problemas puntuales en torno a</w:t>
            </w:r>
            <w:r w:rsidRPr="00016280">
              <w:rPr>
                <w:rFonts w:ascii="Verdana" w:hAnsi="Verdana" w:cs="Arial"/>
              </w:rPr>
              <w:t xml:space="preserve"> la garantía de estabilidad y calidad</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 xml:space="preserve">la aclaración preliminar del presente oficio.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Así, </w:t>
            </w:r>
            <w:r w:rsidRPr="001E3FCB">
              <w:rPr>
                <w:rFonts w:ascii="Verdana" w:hAnsi="Verdana" w:cs="Arial"/>
              </w:rPr>
              <w:t>cada entidad definirá la forma de adelantar su gestión contractual, sin que sea atribución de Colombia Compra Eficiente validar sus actuaciones</w:t>
            </w:r>
            <w:r>
              <w:rPr>
                <w:rFonts w:ascii="Verdana" w:hAnsi="Verdana" w:cs="Arial"/>
              </w:rPr>
              <w:t xml:space="preserve"> frente a órganos de control como la Procuraduría General de la Nación</w:t>
            </w:r>
            <w:r w:rsidRPr="001E3FCB">
              <w:rPr>
                <w:rFonts w:ascii="Verdana" w:hAnsi="Verdana" w:cs="Arial"/>
              </w:rPr>
              <w:t>.</w:t>
            </w:r>
          </w:p>
        </w:tc>
      </w:tr>
    </w:tbl>
    <w:p w14:paraId="649AC37D" w14:textId="77777777" w:rsidR="00313DBF" w:rsidRPr="00593A5F" w:rsidRDefault="00313DBF" w:rsidP="00313DBF">
      <w:pPr>
        <w:tabs>
          <w:tab w:val="left" w:pos="142"/>
          <w:tab w:val="left" w:pos="284"/>
        </w:tabs>
        <w:spacing w:after="0" w:line="276" w:lineRule="auto"/>
        <w:jc w:val="both"/>
        <w:rPr>
          <w:rFonts w:ascii="Verdana" w:eastAsia="Century Gothic" w:hAnsi="Verdana" w:cs="Century Gothic"/>
          <w:b/>
          <w:bCs/>
          <w:lang w:val="es-ES"/>
        </w:rPr>
      </w:pPr>
    </w:p>
    <w:p w14:paraId="204A6CED" w14:textId="77777777" w:rsidR="00313DBF" w:rsidRPr="00593A5F" w:rsidRDefault="00313DBF" w:rsidP="00313DB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24183C2" w14:textId="77777777" w:rsidR="00313DBF" w:rsidRPr="00593A5F" w:rsidRDefault="00313DBF" w:rsidP="00313DBF">
      <w:pPr>
        <w:spacing w:after="0" w:line="276" w:lineRule="auto"/>
        <w:jc w:val="both"/>
        <w:rPr>
          <w:rFonts w:ascii="Verdana" w:eastAsia="Calibri" w:hAnsi="Verdana" w:cs="Arial"/>
          <w:color w:val="7030A0"/>
          <w:lang w:val="es-ES"/>
        </w:rPr>
      </w:pPr>
    </w:p>
    <w:p w14:paraId="06688425" w14:textId="77777777" w:rsidR="00313DBF" w:rsidRPr="00B96799" w:rsidRDefault="00313DBF" w:rsidP="00313DBF">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72A22AAC" w14:textId="77777777" w:rsidR="00313DBF" w:rsidRPr="00593A5F" w:rsidRDefault="00313DBF" w:rsidP="00313DBF">
      <w:pPr>
        <w:spacing w:after="0" w:line="276" w:lineRule="auto"/>
        <w:jc w:val="both"/>
        <w:rPr>
          <w:rFonts w:ascii="Verdana" w:eastAsia="Calibri" w:hAnsi="Verdana" w:cs="Arial"/>
          <w:color w:val="7030A0"/>
          <w:lang w:val="es-ES"/>
        </w:rPr>
      </w:pPr>
    </w:p>
    <w:p w14:paraId="524C0145" w14:textId="77777777" w:rsidR="00313DBF" w:rsidRPr="00CA6FDA" w:rsidRDefault="00313DBF" w:rsidP="00313DBF">
      <w:pPr>
        <w:spacing w:after="0" w:line="276" w:lineRule="auto"/>
        <w:jc w:val="both"/>
        <w:rPr>
          <w:rFonts w:ascii="Verdana" w:eastAsia="Calibri" w:hAnsi="Verdana" w:cs="Arial"/>
          <w:color w:val="000000" w:themeColor="text1"/>
          <w:lang w:val="es-ES"/>
        </w:rPr>
      </w:pPr>
      <w:r w:rsidRPr="00CA6FDA">
        <w:rPr>
          <w:rFonts w:ascii="Verdana" w:hAnsi="Verdana" w:cs="Arial"/>
          <w:color w:val="000000"/>
          <w:shd w:val="clear" w:color="auto" w:fill="FFFFFF"/>
        </w:rPr>
        <w:lastRenderedPageBreak/>
        <w:t xml:space="preserve">Por regla, para seleccionar contratistas y para ejecutar contratos se requiere la constitución de garantías. </w:t>
      </w:r>
      <w:bookmarkStart w:id="1" w:name="_Hlk47893233"/>
      <w:r w:rsidRPr="00CA6FDA">
        <w:rPr>
          <w:rFonts w:ascii="Verdana" w:hAnsi="Verdana" w:cs="Arial"/>
          <w:color w:val="000000"/>
          <w:shd w:val="clear" w:color="auto" w:fill="FFFFFF"/>
        </w:rPr>
        <w:t>Por un lado, l</w:t>
      </w:r>
      <w:r w:rsidRPr="00CA6FDA">
        <w:rPr>
          <w:rFonts w:ascii="Verdana" w:eastAsia="Calibri" w:hAnsi="Verdana" w:cs="Arial"/>
          <w:color w:val="000000" w:themeColor="text1"/>
          <w:lang w:val="es-ES"/>
        </w:rPr>
        <w:t xml:space="preserve">a </w:t>
      </w:r>
      <w:r w:rsidRPr="00CA6FDA">
        <w:rPr>
          <w:rFonts w:ascii="Verdana" w:eastAsia="Calibri" w:hAnsi="Verdana" w:cs="Arial"/>
          <w:i/>
          <w:iCs/>
          <w:color w:val="000000" w:themeColor="text1"/>
          <w:lang w:val="es-ES"/>
        </w:rPr>
        <w:t>garantía de seriedad</w:t>
      </w:r>
      <w:r w:rsidRPr="00CA6FDA">
        <w:rPr>
          <w:rFonts w:ascii="Verdana" w:eastAsia="Calibri" w:hAnsi="Verdana" w:cs="Arial"/>
          <w:color w:val="000000" w:themeColor="text1"/>
          <w:lang w:val="es-ES"/>
        </w:rPr>
        <w:t xml:space="preserve"> respalda al principio de irrevocabilidad de la oferta, caso en el cual los proponentes que pierdan interés en la adjudicación resarcirán los perjuicios causados por su retiro del proceso de selección. Naturalmente, esta garantía solo la constituyen quienes presenten las propuestas, motivo por el cual sus efectos no se extienden a personas ajenas a la actividad precontractual; sin perjuicio de que la póliza sea un mecanismo conminatorio, en la medida en que obliga a celebrar el 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1"/>
      <w:r w:rsidRPr="00CA6FDA">
        <w:rPr>
          <w:rStyle w:val="Refdenotaalpie"/>
          <w:rFonts w:ascii="Verdana" w:eastAsia="Calibri" w:hAnsi="Verdana" w:cs="Arial"/>
          <w:color w:val="000000" w:themeColor="text1"/>
        </w:rPr>
        <w:footnoteReference w:id="2"/>
      </w:r>
      <w:r w:rsidRPr="00CA6FDA">
        <w:rPr>
          <w:rFonts w:ascii="Verdana" w:eastAsia="Calibri" w:hAnsi="Verdana" w:cs="Arial"/>
          <w:color w:val="000000" w:themeColor="text1"/>
          <w:lang w:val="es-ES"/>
        </w:rPr>
        <w:t>. Sobre este aspecto, la doctrina explica que:</w:t>
      </w:r>
    </w:p>
    <w:p w14:paraId="48D9866A" w14:textId="77777777" w:rsidR="00313DBF" w:rsidRPr="00CA6FDA" w:rsidRDefault="00313DBF" w:rsidP="00313DBF">
      <w:pPr>
        <w:spacing w:after="0" w:line="276" w:lineRule="auto"/>
        <w:jc w:val="both"/>
        <w:rPr>
          <w:rFonts w:ascii="Verdana" w:eastAsia="Calibri" w:hAnsi="Verdana" w:cs="Arial"/>
          <w:color w:val="000000" w:themeColor="text1"/>
          <w:lang w:val="es-ES"/>
        </w:rPr>
      </w:pPr>
    </w:p>
    <w:p w14:paraId="5C065BE2" w14:textId="77777777" w:rsidR="00313DBF" w:rsidRPr="00CA6FDA" w:rsidRDefault="00313DBF" w:rsidP="00313DBF">
      <w:pPr>
        <w:spacing w:after="0" w:line="240" w:lineRule="auto"/>
        <w:ind w:left="709" w:right="709"/>
        <w:jc w:val="both"/>
        <w:rPr>
          <w:rFonts w:ascii="Verdana" w:eastAsia="Calibri" w:hAnsi="Verdana" w:cs="Arial"/>
          <w:color w:val="000000" w:themeColor="text1"/>
          <w:sz w:val="21"/>
          <w:szCs w:val="21"/>
          <w:lang w:val="es-ES"/>
        </w:rPr>
      </w:pPr>
      <w:r w:rsidRPr="00CA6FDA">
        <w:rPr>
          <w:rFonts w:ascii="Verdana" w:eastAsia="Calibri" w:hAnsi="Verdana" w:cs="Arial"/>
          <w:color w:val="000000" w:themeColor="text1"/>
          <w:sz w:val="21"/>
          <w:szCs w:val="21"/>
          <w:lang w:val="es-ES"/>
        </w:rPr>
        <w:t xml:space="preserve">“Las </w:t>
      </w:r>
      <w:r w:rsidRPr="00CA6FDA">
        <w:rPr>
          <w:rFonts w:ascii="Verdana" w:eastAsia="Calibri" w:hAnsi="Verdana" w:cs="Arial"/>
          <w:i/>
          <w:iCs/>
          <w:color w:val="000000" w:themeColor="text1"/>
          <w:sz w:val="21"/>
          <w:szCs w:val="21"/>
          <w:lang w:val="es-ES"/>
        </w:rPr>
        <w:t>garantías provisionales</w:t>
      </w:r>
      <w:r w:rsidRPr="00CA6FDA">
        <w:rPr>
          <w:rFonts w:ascii="Verdana" w:eastAsia="Calibri" w:hAnsi="Verdana" w:cs="Arial"/>
          <w:color w:val="000000" w:themeColor="text1"/>
          <w:sz w:val="21"/>
          <w:szCs w:val="21"/>
          <w:lang w:val="es-ES"/>
        </w:rPr>
        <w:t xml:space="preserve"> </w:t>
      </w:r>
      <w:r>
        <w:rPr>
          <w:rFonts w:ascii="Verdana" w:eastAsia="Calibri" w:hAnsi="Verdana" w:cs="Arial"/>
          <w:color w:val="000000" w:themeColor="text1"/>
          <w:sz w:val="21"/>
          <w:szCs w:val="21"/>
          <w:lang w:val="es-ES"/>
        </w:rPr>
        <w:t>‘</w:t>
      </w:r>
      <w:r w:rsidRPr="00CA6FDA">
        <w:rPr>
          <w:rFonts w:ascii="Verdana" w:eastAsia="Calibri" w:hAnsi="Verdana" w:cs="Arial"/>
          <w:color w:val="000000" w:themeColor="text1"/>
          <w:sz w:val="21"/>
          <w:szCs w:val="21"/>
          <w:lang w:val="es-ES"/>
        </w:rPr>
        <w:t>avalan la solemnidad de la oferta por parte del contratista</w:t>
      </w:r>
      <w:r>
        <w:rPr>
          <w:rFonts w:ascii="Verdana" w:eastAsia="Calibri" w:hAnsi="Verdana" w:cs="Arial"/>
          <w:color w:val="000000" w:themeColor="text1"/>
          <w:sz w:val="21"/>
          <w:szCs w:val="21"/>
          <w:lang w:val="es-ES"/>
        </w:rPr>
        <w:t>’</w:t>
      </w:r>
      <w:r w:rsidRPr="00CA6FDA">
        <w:rPr>
          <w:rFonts w:ascii="Verdana" w:eastAsia="Calibri" w:hAnsi="Verdana" w:cs="Arial"/>
          <w:color w:val="000000" w:themeColor="text1"/>
          <w:sz w:val="21"/>
          <w:szCs w:val="21"/>
          <w:lang w:val="es-ES"/>
        </w:rPr>
        <w:t xml:space="preserve">; constituyen una seña pre-contractual destinada a </w:t>
      </w:r>
      <w:r w:rsidRPr="00CA6FDA">
        <w:rPr>
          <w:rFonts w:ascii="Verdana" w:eastAsia="Calibri" w:hAnsi="Verdana" w:cs="Arial"/>
          <w:i/>
          <w:iCs/>
          <w:color w:val="000000" w:themeColor="text1"/>
          <w:sz w:val="21"/>
          <w:szCs w:val="21"/>
          <w:lang w:val="es-ES"/>
        </w:rPr>
        <w:t>asegurar la celebración del contrato</w:t>
      </w:r>
      <w:r w:rsidRPr="00CA6FDA">
        <w:rPr>
          <w:rFonts w:ascii="Verdana" w:eastAsia="Calibri" w:hAnsi="Verdana" w:cs="Arial"/>
          <w:color w:val="000000" w:themeColor="text1"/>
          <w:sz w:val="21"/>
          <w:szCs w:val="21"/>
          <w:lang w:val="es-ES"/>
        </w:rPr>
        <w:t xml:space="preserve">, no su cumplimiento. La administración procede a devolver a los oferentes no adjudicatarios, y a transformar en definitiva respecto al adjudicatario, las garantías provisionales, deduciéndose entonces que las </w:t>
      </w:r>
      <w:r w:rsidRPr="00CA6FDA">
        <w:rPr>
          <w:rFonts w:ascii="Verdana" w:eastAsia="Calibri" w:hAnsi="Verdana" w:cs="Arial"/>
          <w:i/>
          <w:iCs/>
          <w:color w:val="000000" w:themeColor="text1"/>
          <w:sz w:val="21"/>
          <w:szCs w:val="21"/>
          <w:lang w:val="es-ES"/>
        </w:rPr>
        <w:t>arras</w:t>
      </w:r>
      <w:r w:rsidRPr="00CA6FDA">
        <w:rPr>
          <w:rFonts w:ascii="Verdana" w:eastAsia="Calibri" w:hAnsi="Verdana" w:cs="Arial"/>
          <w:color w:val="000000" w:themeColor="text1"/>
          <w:sz w:val="21"/>
          <w:szCs w:val="21"/>
          <w:lang w:val="es-ES"/>
        </w:rPr>
        <w:t xml:space="preserve"> no forman parte del precio, ni son por tanto arras confirmatorias […], sino puramente penitenciales […] como garantías y compensación del </w:t>
      </w:r>
      <w:r w:rsidRPr="00CA6FDA">
        <w:rPr>
          <w:rFonts w:ascii="Verdana" w:eastAsia="Calibri" w:hAnsi="Verdana" w:cs="Arial"/>
          <w:i/>
          <w:iCs/>
          <w:color w:val="000000" w:themeColor="text1"/>
          <w:sz w:val="21"/>
          <w:szCs w:val="21"/>
          <w:lang w:val="es-ES"/>
        </w:rPr>
        <w:t xml:space="preserve">ius </w:t>
      </w:r>
      <w:proofErr w:type="spellStart"/>
      <w:r w:rsidRPr="00CA6FDA">
        <w:rPr>
          <w:rFonts w:ascii="Verdana" w:eastAsia="Calibri" w:hAnsi="Verdana" w:cs="Arial"/>
          <w:i/>
          <w:iCs/>
          <w:color w:val="000000" w:themeColor="text1"/>
          <w:sz w:val="21"/>
          <w:szCs w:val="21"/>
          <w:lang w:val="es-ES"/>
        </w:rPr>
        <w:t>poenitendi</w:t>
      </w:r>
      <w:proofErr w:type="spellEnd"/>
      <w:r w:rsidRPr="00CA6FDA">
        <w:rPr>
          <w:rFonts w:ascii="Verdana" w:eastAsia="Calibri" w:hAnsi="Verdana" w:cs="Arial"/>
          <w:color w:val="000000" w:themeColor="text1"/>
          <w:sz w:val="21"/>
          <w:szCs w:val="21"/>
          <w:lang w:val="es-ES"/>
        </w:rPr>
        <w:t xml:space="preserve"> del licitante. Son, en consecuencia, </w:t>
      </w:r>
      <w:r>
        <w:rPr>
          <w:rFonts w:ascii="Verdana" w:eastAsia="Calibri" w:hAnsi="Verdana" w:cs="Arial"/>
          <w:color w:val="000000" w:themeColor="text1"/>
          <w:sz w:val="21"/>
          <w:szCs w:val="21"/>
          <w:lang w:val="es-ES"/>
        </w:rPr>
        <w:t>‘</w:t>
      </w:r>
      <w:r w:rsidRPr="00CA6FDA">
        <w:rPr>
          <w:rFonts w:ascii="Verdana" w:eastAsia="Calibri" w:hAnsi="Verdana" w:cs="Arial"/>
          <w:color w:val="000000" w:themeColor="text1"/>
          <w:sz w:val="21"/>
          <w:szCs w:val="21"/>
          <w:lang w:val="es-ES"/>
        </w:rPr>
        <w:t>la medida de la responsabilidad pre-contractual del oferente</w:t>
      </w:r>
      <w:r>
        <w:rPr>
          <w:rFonts w:ascii="Verdana" w:eastAsia="Calibri" w:hAnsi="Verdana" w:cs="Arial"/>
          <w:color w:val="000000" w:themeColor="text1"/>
          <w:sz w:val="21"/>
          <w:szCs w:val="21"/>
          <w:lang w:val="es-ES"/>
        </w:rPr>
        <w:t>’</w:t>
      </w:r>
      <w:r w:rsidRPr="00CA6FDA">
        <w:rPr>
          <w:rFonts w:ascii="Verdana" w:eastAsia="Calibri" w:hAnsi="Verdana" w:cs="Arial"/>
          <w:color w:val="000000" w:themeColor="text1"/>
          <w:sz w:val="21"/>
          <w:szCs w:val="21"/>
          <w:lang w:val="es-ES"/>
        </w:rPr>
        <w:t>; o, más bien, la garantía de oferta representa en definitiva la medida de la responsabilidad”</w:t>
      </w:r>
      <w:r w:rsidRPr="00CA6FDA">
        <w:rPr>
          <w:rStyle w:val="Refdenotaalpie"/>
          <w:rFonts w:ascii="Verdana" w:eastAsia="Calibri" w:hAnsi="Verdana" w:cs="Arial"/>
          <w:color w:val="000000" w:themeColor="text1"/>
          <w:sz w:val="21"/>
          <w:szCs w:val="21"/>
        </w:rPr>
        <w:footnoteReference w:id="3"/>
      </w:r>
      <w:r w:rsidRPr="00CA6FDA">
        <w:rPr>
          <w:rFonts w:ascii="Verdana" w:eastAsia="Calibri" w:hAnsi="Verdana" w:cs="Arial"/>
          <w:color w:val="000000" w:themeColor="text1"/>
          <w:sz w:val="21"/>
          <w:szCs w:val="21"/>
          <w:lang w:val="es-ES"/>
        </w:rPr>
        <w:t xml:space="preserve">. (Cursivas dentro del texto)   </w:t>
      </w:r>
    </w:p>
    <w:p w14:paraId="7AFFE2F6" w14:textId="77777777" w:rsidR="00313DBF" w:rsidRPr="00CA6FDA" w:rsidRDefault="00313DBF" w:rsidP="00313DBF">
      <w:pPr>
        <w:spacing w:after="0" w:line="276" w:lineRule="auto"/>
        <w:jc w:val="both"/>
        <w:rPr>
          <w:rFonts w:ascii="Verdana" w:eastAsia="Calibri" w:hAnsi="Verdana" w:cs="Arial"/>
          <w:color w:val="000000" w:themeColor="text1"/>
          <w:lang w:val="es-ES"/>
        </w:rPr>
      </w:pPr>
    </w:p>
    <w:p w14:paraId="45B2ECDB" w14:textId="77777777" w:rsidR="00313DBF" w:rsidRPr="00CA6FDA" w:rsidRDefault="00313DBF" w:rsidP="00313DBF">
      <w:pPr>
        <w:spacing w:after="120" w:line="276" w:lineRule="auto"/>
        <w:ind w:firstLine="709"/>
        <w:jc w:val="both"/>
        <w:rPr>
          <w:rFonts w:ascii="Verdana" w:eastAsia="Calibri" w:hAnsi="Verdana" w:cs="Arial"/>
          <w:color w:val="000000" w:themeColor="text1"/>
          <w:lang w:val="es-ES"/>
        </w:rPr>
      </w:pPr>
      <w:r w:rsidRPr="00CA6FDA">
        <w:rPr>
          <w:rFonts w:ascii="Verdana" w:eastAsia="Calibri" w:hAnsi="Verdana" w:cs="Arial"/>
          <w:color w:val="000000" w:themeColor="text1"/>
          <w:lang w:val="es-ES"/>
        </w:rPr>
        <w:t xml:space="preserve">En contraste, mediante la </w:t>
      </w:r>
      <w:r w:rsidRPr="00CA6FDA">
        <w:rPr>
          <w:rFonts w:ascii="Verdana" w:eastAsia="Calibri" w:hAnsi="Verdana" w:cs="Arial"/>
          <w:i/>
          <w:iCs/>
          <w:color w:val="000000" w:themeColor="text1"/>
          <w:lang w:val="es-ES"/>
        </w:rPr>
        <w:t>garantía de única de cumplimiento</w:t>
      </w:r>
      <w:r w:rsidRPr="00CA6FDA">
        <w:rPr>
          <w:rFonts w:ascii="Verdana" w:eastAsia="Calibri" w:hAnsi="Verdana" w:cs="Arial"/>
          <w:color w:val="000000" w:themeColor="text1"/>
          <w:lang w:val="es-ES"/>
        </w:rPr>
        <w:t>, el contratista ampara los perjuicios que le pueda generar a la entidad el incumplimiento de las obligaciones derivadas del contrato</w:t>
      </w:r>
      <w:r w:rsidRPr="00CA6FDA">
        <w:rPr>
          <w:rStyle w:val="Refdenotaalpie"/>
          <w:rFonts w:ascii="Verdana" w:eastAsia="Calibri" w:hAnsi="Verdana" w:cs="Arial"/>
          <w:color w:val="000000" w:themeColor="text1"/>
        </w:rPr>
        <w:footnoteReference w:id="4"/>
      </w:r>
      <w:r w:rsidRPr="00CA6FDA">
        <w:rPr>
          <w:rFonts w:ascii="Verdana" w:eastAsia="Calibri" w:hAnsi="Verdana" w:cs="Arial"/>
          <w:color w:val="000000" w:themeColor="text1"/>
          <w:lang w:val="es-ES"/>
        </w:rPr>
        <w:t xml:space="preserve">. En esta medida, tienen como objetivo reparar los perjuicios causados por conductas atribuibles </w:t>
      </w:r>
      <w:r w:rsidRPr="00CA6FDA">
        <w:rPr>
          <w:rFonts w:ascii="Verdana" w:eastAsia="Calibri" w:hAnsi="Verdana" w:cs="Arial"/>
          <w:color w:val="000000" w:themeColor="text1"/>
          <w:lang w:val="es-ES"/>
        </w:rPr>
        <w:lastRenderedPageBreak/>
        <w:t xml:space="preserve">al contratista, por lo que estos últimos son un presupuesto necesario para el pago que cubre la garantía. </w:t>
      </w:r>
      <w:r w:rsidRPr="00CA6FDA">
        <w:rPr>
          <w:rFonts w:ascii="Verdana" w:hAnsi="Verdana" w:cs="Arial"/>
          <w:color w:val="000000" w:themeColor="text1"/>
          <w:lang w:val="es-ES_tradnl"/>
        </w:rPr>
        <w:t>Para estos efectos es única, ya que “[…] La prioridad […] es que no haya garantías separadas para los diferentes riesgos, aunque existan varias garantías para diferentes proporciones del interés asegurado […]”</w:t>
      </w:r>
      <w:r w:rsidRPr="00CA6FDA">
        <w:rPr>
          <w:rStyle w:val="Refdenotaalpie"/>
          <w:rFonts w:ascii="Verdana" w:hAnsi="Verdana" w:cs="Arial"/>
          <w:color w:val="000000" w:themeColor="text1"/>
          <w:lang w:val="es-ES_tradnl"/>
        </w:rPr>
        <w:footnoteReference w:id="5"/>
      </w:r>
      <w:r w:rsidRPr="00CA6FDA">
        <w:rPr>
          <w:rFonts w:ascii="Verdana" w:hAnsi="Verdana" w:cs="Arial"/>
          <w:color w:val="000000" w:themeColor="text1"/>
          <w:lang w:val="es-ES_tradnl"/>
        </w:rPr>
        <w:t xml:space="preserve">.    </w:t>
      </w:r>
    </w:p>
    <w:p w14:paraId="7C356033" w14:textId="77777777" w:rsidR="00313DBF" w:rsidRPr="00CA6FDA" w:rsidRDefault="00313DBF" w:rsidP="00313DBF">
      <w:pPr>
        <w:spacing w:after="120" w:line="276" w:lineRule="auto"/>
        <w:ind w:firstLine="708"/>
        <w:jc w:val="both"/>
        <w:rPr>
          <w:rFonts w:ascii="Verdana" w:hAnsi="Verdana" w:cs="Arial"/>
          <w:color w:val="000000" w:themeColor="text1"/>
          <w:lang w:val="es-ES"/>
        </w:rPr>
      </w:pPr>
      <w:r w:rsidRPr="35A098AA">
        <w:rPr>
          <w:rFonts w:ascii="Verdana" w:hAnsi="Verdana" w:cs="Arial"/>
          <w:color w:val="000000" w:themeColor="text1"/>
          <w:lang w:val="es-ES"/>
        </w:rPr>
        <w:t xml:space="preserve">Desde esta perspectiva, ambas garantías constituyen una obligación de seguridad, es decir, aquella donde el interés del acreedor no consiste en una utilidad específica y tangible, sino en la tranquilidad frente a ciertos riesgos por la cobertura de sus consecuencias nocivas. Conforme al inciso segundo del artículo 7 de la Ley 1150 de 2007, pueden otorgarse a través de: i) contratos de seguro, </w:t>
      </w:r>
      <w:proofErr w:type="spellStart"/>
      <w:r w:rsidRPr="35A098AA">
        <w:rPr>
          <w:rFonts w:ascii="Verdana" w:hAnsi="Verdana" w:cs="Arial"/>
          <w:color w:val="000000" w:themeColor="text1"/>
          <w:lang w:val="es-ES"/>
        </w:rPr>
        <w:t>ii</w:t>
      </w:r>
      <w:proofErr w:type="spellEnd"/>
      <w:r w:rsidRPr="35A098AA">
        <w:rPr>
          <w:rFonts w:ascii="Verdana" w:hAnsi="Verdana" w:cs="Arial"/>
          <w:color w:val="000000" w:themeColor="text1"/>
          <w:lang w:val="es-ES"/>
        </w:rPr>
        <w:t xml:space="preserve">) garantías bancarias o </w:t>
      </w:r>
      <w:proofErr w:type="spellStart"/>
      <w:r w:rsidRPr="35A098AA">
        <w:rPr>
          <w:rFonts w:ascii="Verdana" w:hAnsi="Verdana" w:cs="Arial"/>
          <w:color w:val="000000" w:themeColor="text1"/>
          <w:lang w:val="es-ES"/>
        </w:rPr>
        <w:t>iii</w:t>
      </w:r>
      <w:proofErr w:type="spellEnd"/>
      <w:r w:rsidRPr="35A098AA">
        <w:rPr>
          <w:rFonts w:ascii="Verdana" w:hAnsi="Verdana" w:cs="Arial"/>
          <w:color w:val="000000" w:themeColor="text1"/>
          <w:lang w:val="es-ES"/>
        </w:rPr>
        <w:t>) los demás mecanismos de cobertura del riesgo que disponga el reglamento. Igualmente establece que “[…] tratándose de pólizas, las mismas no expirarán por falta de pago de la prima o por revocatoria unilateral […]”. Esta norma es una excepción a la terminación automática del contrato de seguro prevista en los artículos 1068 y 1071 del Código de Comercio</w:t>
      </w:r>
      <w:r w:rsidRPr="35A098AA">
        <w:rPr>
          <w:rStyle w:val="Refdenotaalpie"/>
          <w:rFonts w:ascii="Verdana" w:hAnsi="Verdana" w:cs="Arial"/>
          <w:color w:val="000000" w:themeColor="text1"/>
          <w:lang w:val="es-ES"/>
        </w:rPr>
        <w:footnoteReference w:id="6"/>
      </w:r>
      <w:r w:rsidRPr="35A098AA">
        <w:rPr>
          <w:rFonts w:ascii="Verdana" w:hAnsi="Verdana" w:cs="Arial"/>
          <w:color w:val="000000" w:themeColor="text1"/>
          <w:lang w:val="es-ES"/>
        </w:rPr>
        <w:t>. De esta manera, las garantías previstas en la ley tienen como objetivo asegurar la solvencia del garante</w:t>
      </w:r>
      <w:r w:rsidRPr="35A098AA">
        <w:rPr>
          <w:rStyle w:val="Refdenotaalpie"/>
          <w:rFonts w:ascii="Verdana" w:hAnsi="Verdana" w:cs="Arial"/>
          <w:color w:val="000000" w:themeColor="text1"/>
          <w:lang w:val="es-ES"/>
        </w:rPr>
        <w:footnoteReference w:id="7"/>
      </w:r>
      <w:r w:rsidRPr="35A098AA">
        <w:rPr>
          <w:rFonts w:ascii="Verdana" w:hAnsi="Verdana" w:cs="Arial"/>
          <w:color w:val="000000" w:themeColor="text1"/>
          <w:lang w:val="es-ES"/>
        </w:rPr>
        <w:t>.</w:t>
      </w:r>
    </w:p>
    <w:p w14:paraId="26B89225" w14:textId="77777777" w:rsidR="00313DBF" w:rsidRPr="00CA6FDA" w:rsidRDefault="00313DBF" w:rsidP="00313DBF">
      <w:pPr>
        <w:spacing w:after="120" w:line="276" w:lineRule="auto"/>
        <w:ind w:firstLine="708"/>
        <w:jc w:val="both"/>
        <w:rPr>
          <w:rFonts w:ascii="Verdana" w:hAnsi="Verdana" w:cs="Arial"/>
          <w:color w:val="000000" w:themeColor="text1"/>
        </w:rPr>
      </w:pPr>
      <w:r w:rsidRPr="00CA6FDA">
        <w:rPr>
          <w:rFonts w:ascii="Verdana" w:hAnsi="Verdana" w:cs="Arial"/>
          <w:color w:val="000000" w:themeColor="text1"/>
        </w:rPr>
        <w:t xml:space="preserve">El Decreto 1082 de 2015 reglamenta las condiciones en que debe cumplirse esta obligación. Los artículos 2.2.1.2.3.1.1 a 2.2.1.2.3.1.19 del Decreto Único Reglamentario del sector Administrativo de Planeación Nacional regulan asuntos como las clases de garantías permitidas, la indivisibilidad de las mismas, los diferentes riesgos que deben ser objeto de garantía, la vigencia y valores mínimos que deben cubrir los amparos, entre otros aspectos. </w:t>
      </w:r>
    </w:p>
    <w:p w14:paraId="11CB5476" w14:textId="77777777" w:rsidR="00313DBF" w:rsidRDefault="00313DBF" w:rsidP="00313DBF">
      <w:pPr>
        <w:spacing w:before="120" w:after="120" w:line="276" w:lineRule="auto"/>
        <w:ind w:firstLine="708"/>
        <w:jc w:val="both"/>
        <w:rPr>
          <w:rFonts w:ascii="Verdana" w:eastAsia="Times New Roman" w:hAnsi="Verdana" w:cs="Arial"/>
          <w:color w:val="000000" w:themeColor="text1"/>
          <w:lang w:eastAsia="es-CO"/>
        </w:rPr>
      </w:pPr>
      <w:r w:rsidRPr="00CA6FDA">
        <w:rPr>
          <w:rFonts w:ascii="Verdana" w:hAnsi="Verdana" w:cs="Arial"/>
          <w:color w:val="000000" w:themeColor="text1"/>
        </w:rPr>
        <w:t xml:space="preserve">El artículo 2.2.1.2.3.1.3, por ejemplo, establece que la “garantía de cobertura del Riesgo es indivisible”, además de la obligación de los contratantes </w:t>
      </w:r>
      <w:r w:rsidRPr="00CA6FDA">
        <w:rPr>
          <w:rFonts w:ascii="Verdana" w:hAnsi="Verdana" w:cs="Arial"/>
          <w:color w:val="000000" w:themeColor="text1"/>
        </w:rPr>
        <w:lastRenderedPageBreak/>
        <w:t>de establecer en los pliegos de condiciones las garantías exigidas para cada periodo contractual</w:t>
      </w:r>
      <w:r w:rsidRPr="00CA6FDA">
        <w:rPr>
          <w:rStyle w:val="Refdenotaalpie"/>
          <w:rFonts w:ascii="Verdana" w:hAnsi="Verdana" w:cs="Arial"/>
          <w:color w:val="000000" w:themeColor="text1"/>
        </w:rPr>
        <w:footnoteReference w:id="8"/>
      </w:r>
      <w:r w:rsidRPr="00CA6FDA">
        <w:rPr>
          <w:rFonts w:ascii="Verdana" w:hAnsi="Verdana" w:cs="Arial"/>
          <w:color w:val="000000" w:themeColor="text1"/>
        </w:rPr>
        <w:t xml:space="preserve">. Por su parte, el artículo 2.2.1.3.1.7 prescribe que la garantía de cumplimiento debe cubrir: i) el buen manejo y correcta inversión del anticipo; </w:t>
      </w:r>
      <w:proofErr w:type="spellStart"/>
      <w:r w:rsidRPr="00CA6FDA">
        <w:rPr>
          <w:rFonts w:ascii="Verdana" w:hAnsi="Verdana" w:cs="Arial"/>
          <w:color w:val="000000" w:themeColor="text1"/>
        </w:rPr>
        <w:t>ii</w:t>
      </w:r>
      <w:proofErr w:type="spellEnd"/>
      <w:r w:rsidRPr="00CA6FDA">
        <w:rPr>
          <w:rFonts w:ascii="Verdana" w:hAnsi="Verdana" w:cs="Arial"/>
          <w:color w:val="000000" w:themeColor="text1"/>
        </w:rPr>
        <w:t xml:space="preserve">) la devolución del pago anticipado; </w:t>
      </w:r>
      <w:proofErr w:type="spellStart"/>
      <w:r w:rsidRPr="00CA6FDA">
        <w:rPr>
          <w:rFonts w:ascii="Verdana" w:hAnsi="Verdana" w:cs="Arial"/>
          <w:color w:val="000000" w:themeColor="text1"/>
        </w:rPr>
        <w:t>iii</w:t>
      </w:r>
      <w:proofErr w:type="spellEnd"/>
      <w:r w:rsidRPr="00CA6FDA">
        <w:rPr>
          <w:rFonts w:ascii="Verdana" w:hAnsi="Verdana" w:cs="Arial"/>
          <w:color w:val="000000" w:themeColor="text1"/>
        </w:rPr>
        <w:t xml:space="preserve">) el cumplimiento del contrato; </w:t>
      </w:r>
      <w:proofErr w:type="spellStart"/>
      <w:r w:rsidRPr="00CA6FDA">
        <w:rPr>
          <w:rFonts w:ascii="Verdana" w:hAnsi="Verdana" w:cs="Arial"/>
          <w:color w:val="000000" w:themeColor="text1"/>
        </w:rPr>
        <w:t>iv</w:t>
      </w:r>
      <w:proofErr w:type="spellEnd"/>
      <w:r w:rsidRPr="00CA6FDA">
        <w:rPr>
          <w:rFonts w:ascii="Verdana" w:hAnsi="Verdana" w:cs="Arial"/>
          <w:color w:val="000000" w:themeColor="text1"/>
        </w:rPr>
        <w:t xml:space="preserve">) el pago de salarios, prestaciones sociales legales e indemnizaciones laborales; v)  la estabilidad y calidad de la obra; vi) la </w:t>
      </w:r>
      <w:r w:rsidRPr="00CA6FDA">
        <w:rPr>
          <w:rFonts w:ascii="Verdana" w:eastAsia="Times New Roman" w:hAnsi="Verdana" w:cs="Arial"/>
          <w:color w:val="000000" w:themeColor="text1"/>
          <w:lang w:eastAsia="es-CO"/>
        </w:rPr>
        <w:t xml:space="preserve">calidad del servicio; </w:t>
      </w:r>
      <w:proofErr w:type="spellStart"/>
      <w:r w:rsidRPr="00CA6FDA">
        <w:rPr>
          <w:rFonts w:ascii="Verdana" w:eastAsia="Times New Roman" w:hAnsi="Verdana" w:cs="Arial"/>
          <w:color w:val="000000" w:themeColor="text1"/>
          <w:lang w:eastAsia="es-CO"/>
        </w:rPr>
        <w:t>vii</w:t>
      </w:r>
      <w:proofErr w:type="spellEnd"/>
      <w:r w:rsidRPr="00CA6FDA">
        <w:rPr>
          <w:rFonts w:ascii="Verdana" w:eastAsia="Times New Roman" w:hAnsi="Verdana" w:cs="Arial"/>
          <w:color w:val="000000" w:themeColor="text1"/>
          <w:lang w:eastAsia="es-CO"/>
        </w:rPr>
        <w:t xml:space="preserve">) la calidad y correcto funcionamiento de los bienes; y </w:t>
      </w:r>
      <w:proofErr w:type="spellStart"/>
      <w:r w:rsidRPr="00CA6FDA">
        <w:rPr>
          <w:rFonts w:ascii="Verdana" w:eastAsia="Times New Roman" w:hAnsi="Verdana" w:cs="Arial"/>
          <w:color w:val="000000" w:themeColor="text1"/>
          <w:lang w:eastAsia="es-CO"/>
        </w:rPr>
        <w:t>viii</w:t>
      </w:r>
      <w:proofErr w:type="spellEnd"/>
      <w:r w:rsidRPr="00CA6FDA">
        <w:rPr>
          <w:rFonts w:ascii="Verdana" w:eastAsia="Times New Roman" w:hAnsi="Verdana" w:cs="Arial"/>
          <w:color w:val="000000" w:themeColor="text1"/>
          <w:lang w:eastAsia="es-CO"/>
        </w:rPr>
        <w:t>) los demás incumplimientos de las obligaciones que la entidad estatal considere deben ser amparados</w:t>
      </w:r>
      <w:r w:rsidRPr="00CA6FDA">
        <w:rPr>
          <w:rStyle w:val="Refdenotaalpie"/>
          <w:rFonts w:ascii="Verdana" w:eastAsia="Times New Roman" w:hAnsi="Verdana" w:cs="Arial"/>
          <w:color w:val="000000" w:themeColor="text1"/>
          <w:lang w:eastAsia="es-CO"/>
        </w:rPr>
        <w:footnoteReference w:id="9"/>
      </w:r>
      <w:r w:rsidRPr="00CA6FDA">
        <w:rPr>
          <w:rFonts w:ascii="Verdana" w:eastAsia="Times New Roman" w:hAnsi="Verdana" w:cs="Arial"/>
          <w:color w:val="000000" w:themeColor="text1"/>
          <w:lang w:eastAsia="es-CO"/>
        </w:rPr>
        <w:t xml:space="preserve">. Esto además de la póliza de responsabilidad civil extracontractual </w:t>
      </w:r>
      <w:r w:rsidRPr="00CA6FDA">
        <w:rPr>
          <w:rFonts w:ascii="Verdana" w:eastAsia="Times New Roman" w:hAnsi="Verdana" w:cs="Arial"/>
          <w:color w:val="000000" w:themeColor="text1"/>
          <w:lang w:eastAsia="es-CO"/>
        </w:rPr>
        <w:lastRenderedPageBreak/>
        <w:t xml:space="preserve">en los contratos de obra, así en aquellos en que por su objeto o naturaleza se considere necesario con ocasión de los riesgos previstos en el negocio, de acuerdo con el artículo 2.2.1.2.3.1.8 </w:t>
      </w:r>
      <w:r w:rsidRPr="00CA6FDA">
        <w:rPr>
          <w:rFonts w:ascii="Verdana" w:eastAsia="Times New Roman" w:hAnsi="Verdana" w:cs="Arial"/>
          <w:i/>
          <w:iCs/>
          <w:color w:val="000000" w:themeColor="text1"/>
          <w:lang w:eastAsia="es-CO"/>
        </w:rPr>
        <w:t>ibidem</w:t>
      </w:r>
      <w:r w:rsidRPr="00CA6FDA">
        <w:rPr>
          <w:rFonts w:ascii="Verdana" w:eastAsia="Times New Roman" w:hAnsi="Verdana" w:cs="Arial"/>
          <w:color w:val="000000" w:themeColor="text1"/>
          <w:lang w:eastAsia="es-CO"/>
        </w:rPr>
        <w:t>.</w:t>
      </w:r>
    </w:p>
    <w:p w14:paraId="4073DD21" w14:textId="77777777" w:rsidR="00313DBF" w:rsidRDefault="00313DBF" w:rsidP="00313DBF">
      <w:pPr>
        <w:spacing w:before="120" w:after="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Respecto a la garantía de estabilidad y calidad de la obra, el artículo </w:t>
      </w:r>
      <w:r w:rsidRPr="00CA6FDA">
        <w:rPr>
          <w:rFonts w:ascii="Verdana" w:eastAsia="Times New Roman" w:hAnsi="Verdana" w:cs="Arial"/>
          <w:color w:val="000000" w:themeColor="text1"/>
          <w:lang w:eastAsia="es-CO"/>
        </w:rPr>
        <w:t>2.2.1.2.3.1.14</w:t>
      </w:r>
      <w:r>
        <w:rPr>
          <w:rFonts w:ascii="Verdana" w:eastAsia="Times New Roman" w:hAnsi="Verdana" w:cs="Arial"/>
          <w:color w:val="000000" w:themeColor="text1"/>
          <w:lang w:eastAsia="es-CO"/>
        </w:rPr>
        <w:t xml:space="preserve"> del Decreto 1082 de 2015 –después de la modificación del artículo 3 del Decreto 399 de 2021– regula la suficiencia del amparo. Para efectos de la vigencia y el monto, el inciso primero dispone que “</w:t>
      </w:r>
      <w:r w:rsidRPr="00CA6FDA">
        <w:rPr>
          <w:rFonts w:ascii="Verdana" w:eastAsia="Times New Roman" w:hAnsi="Verdana" w:cs="Arial"/>
          <w:color w:val="000000" w:themeColor="text1"/>
          <w:lang w:eastAsia="es-CO"/>
        </w:rPr>
        <w:t>Esta garantía debe estar vigente por un término no inferior a cinco (5) años contados a partir de la fecha en la cual la Entidad Estatal recibe a satisfacción la obra</w:t>
      </w:r>
      <w:r>
        <w:rPr>
          <w:rFonts w:ascii="Verdana" w:eastAsia="Times New Roman" w:hAnsi="Verdana" w:cs="Arial"/>
          <w:color w:val="000000" w:themeColor="text1"/>
          <w:lang w:eastAsia="es-CO"/>
        </w:rPr>
        <w:t xml:space="preserve">. </w:t>
      </w:r>
      <w:r w:rsidRPr="00E945AF">
        <w:rPr>
          <w:rFonts w:ascii="Verdana" w:eastAsia="Times New Roman" w:hAnsi="Verdana" w:cs="Arial"/>
          <w:color w:val="000000" w:themeColor="text1"/>
          <w:lang w:eastAsia="es-CO"/>
        </w:rPr>
        <w:t>La Entidad Estatal debe determinar el valor asegurado de esta garantía en los documentos del proceso, de acuerdo con el objeto, la cuantía, la naturaleza y las obligaciones contenidas en el contrato a celebrar</w:t>
      </w:r>
      <w:r>
        <w:rPr>
          <w:rFonts w:ascii="Verdana" w:eastAsia="Times New Roman" w:hAnsi="Verdana" w:cs="Arial"/>
          <w:color w:val="000000" w:themeColor="text1"/>
          <w:lang w:eastAsia="es-CO"/>
        </w:rPr>
        <w:t>”</w:t>
      </w:r>
      <w:r w:rsidRPr="00CA6FDA">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No obstante, en lo que atañe al plazo, la norma consagra una excepción, puesto que la norma faculta a la entidad para establecer una garantía por un plazo inferior a </w:t>
      </w:r>
      <w:r w:rsidRPr="00CA6FDA">
        <w:rPr>
          <w:rFonts w:ascii="Verdana" w:eastAsia="Times New Roman" w:hAnsi="Verdana" w:cs="Arial"/>
          <w:color w:val="000000" w:themeColor="text1"/>
          <w:lang w:eastAsia="es-CO"/>
        </w:rPr>
        <w:t>cinco (5) años</w:t>
      </w:r>
      <w:r>
        <w:rPr>
          <w:rFonts w:ascii="Verdana" w:eastAsia="Times New Roman" w:hAnsi="Verdana" w:cs="Arial"/>
          <w:color w:val="000000" w:themeColor="text1"/>
          <w:lang w:eastAsia="es-CO"/>
        </w:rPr>
        <w:t>, sin que la misma tenga una duración inferior a uno (1). Para estos efectos, los incisos segundo y tercero disponen lo siguiente:</w:t>
      </w:r>
    </w:p>
    <w:p w14:paraId="37F6FF8C" w14:textId="77777777" w:rsidR="00313DBF" w:rsidRDefault="00313DBF" w:rsidP="00313DBF">
      <w:pPr>
        <w:spacing w:after="0" w:line="276" w:lineRule="auto"/>
        <w:ind w:firstLine="708"/>
        <w:jc w:val="both"/>
        <w:rPr>
          <w:rFonts w:ascii="Verdana" w:eastAsia="Times New Roman" w:hAnsi="Verdana" w:cs="Arial"/>
          <w:color w:val="000000" w:themeColor="text1"/>
          <w:lang w:eastAsia="es-CO"/>
        </w:rPr>
      </w:pPr>
    </w:p>
    <w:p w14:paraId="19B67F6B" w14:textId="77777777" w:rsidR="00313DBF" w:rsidRPr="00DE5648" w:rsidRDefault="00313DBF" w:rsidP="00313DBF">
      <w:pPr>
        <w:spacing w:after="120" w:line="240" w:lineRule="auto"/>
        <w:ind w:left="709" w:right="709"/>
        <w:jc w:val="both"/>
        <w:rPr>
          <w:rFonts w:ascii="Verdana" w:eastAsia="Times New Roman" w:hAnsi="Verdana" w:cs="Arial"/>
          <w:color w:val="000000" w:themeColor="text1"/>
          <w:sz w:val="21"/>
          <w:szCs w:val="21"/>
          <w:lang w:eastAsia="es-CO"/>
        </w:rPr>
      </w:pPr>
      <w:r w:rsidRPr="00DE5648">
        <w:rPr>
          <w:rFonts w:ascii="Verdana" w:eastAsia="Times New Roman" w:hAnsi="Verdana" w:cs="Arial"/>
          <w:color w:val="000000" w:themeColor="text1"/>
          <w:sz w:val="21"/>
          <w:szCs w:val="21"/>
          <w:lang w:eastAsia="es-CO"/>
        </w:rPr>
        <w:t xml:space="preserve">“La Entidad Estatal puede aceptar que esta garantía tenga una vigencia inferior a cinco (5) años previa justificación técnica de un experto en la materia objeto del contrato, lo cual </w:t>
      </w:r>
      <w:bookmarkStart w:id="5" w:name="_Hlk171000426"/>
      <w:r w:rsidRPr="00DE5648">
        <w:rPr>
          <w:rFonts w:ascii="Verdana" w:eastAsia="Times New Roman" w:hAnsi="Verdana" w:cs="Arial"/>
          <w:color w:val="000000" w:themeColor="text1"/>
          <w:sz w:val="21"/>
          <w:szCs w:val="21"/>
          <w:lang w:eastAsia="es-CO"/>
        </w:rPr>
        <w:t>se debe reflejar en los documentos del proceso</w:t>
      </w:r>
      <w:bookmarkEnd w:id="5"/>
      <w:r w:rsidRPr="00DE5648">
        <w:rPr>
          <w:rFonts w:ascii="Verdana" w:eastAsia="Times New Roman" w:hAnsi="Verdana" w:cs="Arial"/>
          <w:color w:val="000000" w:themeColor="text1"/>
          <w:sz w:val="21"/>
          <w:szCs w:val="21"/>
          <w:lang w:eastAsia="es-CO"/>
        </w:rPr>
        <w:t>. Como consecuencia del análisis anterior y según la complejidad técnica del contrato a celebrar, esta garantía podrá tener una vigencia inferior a cinco (5) años y en todo caso de mínimo un (1) año.</w:t>
      </w:r>
    </w:p>
    <w:p w14:paraId="0942F262" w14:textId="77777777" w:rsidR="00313DBF" w:rsidRPr="00DE5648" w:rsidRDefault="00313DBF" w:rsidP="00313DBF">
      <w:pPr>
        <w:spacing w:before="120" w:after="0" w:line="240" w:lineRule="auto"/>
        <w:ind w:left="709" w:right="709"/>
        <w:jc w:val="both"/>
        <w:rPr>
          <w:rFonts w:ascii="Verdana" w:eastAsia="Times New Roman" w:hAnsi="Verdana" w:cs="Arial"/>
          <w:color w:val="000000" w:themeColor="text1"/>
          <w:sz w:val="21"/>
          <w:szCs w:val="21"/>
          <w:lang w:eastAsia="es-CO"/>
        </w:rPr>
      </w:pPr>
      <w:r w:rsidRPr="00DE5648">
        <w:rPr>
          <w:rFonts w:ascii="Verdana" w:eastAsia="Times New Roman" w:hAnsi="Verdana" w:cs="Arial"/>
          <w:color w:val="000000" w:themeColor="text1"/>
          <w:sz w:val="21"/>
          <w:szCs w:val="21"/>
          <w:lang w:eastAsia="es-CO"/>
        </w:rPr>
        <w:t xml:space="preserve">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 </w:t>
      </w:r>
    </w:p>
    <w:p w14:paraId="68594A27" w14:textId="77777777" w:rsidR="00313DBF" w:rsidRPr="00CA6FDA" w:rsidRDefault="00313DBF" w:rsidP="00313DBF">
      <w:pPr>
        <w:spacing w:after="0" w:line="276" w:lineRule="auto"/>
        <w:jc w:val="both"/>
        <w:rPr>
          <w:rFonts w:ascii="Verdana" w:eastAsia="Times New Roman" w:hAnsi="Verdana" w:cs="Arial"/>
          <w:color w:val="000000" w:themeColor="text1"/>
          <w:lang w:eastAsia="es-CO"/>
        </w:rPr>
      </w:pPr>
    </w:p>
    <w:p w14:paraId="447EAEFB" w14:textId="77777777" w:rsidR="00313DBF" w:rsidRDefault="00313DBF" w:rsidP="00313DBF">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Para precisar el alcance de este apartado, e</w:t>
      </w:r>
      <w:r w:rsidRPr="00DE5648">
        <w:rPr>
          <w:rFonts w:ascii="Verdana" w:eastAsia="Times New Roman" w:hAnsi="Verdana" w:cs="Arial"/>
          <w:color w:val="000000" w:themeColor="text1"/>
          <w:lang w:eastAsia="es-CO"/>
        </w:rPr>
        <w:t xml:space="preserve">s necesario tener cuenta que el artículo 28 del Código Civil dispone que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Las palabras de la ley se entenderán en su sentido natural y obvio, según el uso general de las mismas palabras; pero cuando el legislador las haya definido expresamente para ciertas materias, se les dará en éstas su significado legal</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w:t>
      </w:r>
      <w:r w:rsidRPr="00DE5648">
        <w:rPr>
          <w:rFonts w:ascii="Verdana" w:eastAsia="Times New Roman" w:hAnsi="Verdana" w:cs="Arial"/>
          <w:color w:val="000000" w:themeColor="text1"/>
          <w:lang w:eastAsia="es-CO"/>
        </w:rPr>
        <w:t xml:space="preserve">De esta manera, dentro de las definiciones del Diccionario de la Real Academia Española, puede entenderse la palabra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experto</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como una persona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Especializada o con grandes conocimientos en una materia</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quien deberá entender </w:t>
      </w:r>
      <w:r>
        <w:rPr>
          <w:rFonts w:ascii="Verdana" w:eastAsia="Times New Roman" w:hAnsi="Verdana" w:cs="Arial"/>
          <w:color w:val="000000" w:themeColor="text1"/>
          <w:lang w:eastAsia="es-CO"/>
        </w:rPr>
        <w:t>los aspectos involucrados en el</w:t>
      </w:r>
      <w:r w:rsidRPr="00DE5648">
        <w:rPr>
          <w:rFonts w:ascii="Verdana" w:eastAsia="Times New Roman" w:hAnsi="Verdana" w:cs="Arial"/>
          <w:color w:val="000000" w:themeColor="text1"/>
          <w:lang w:eastAsia="es-CO"/>
        </w:rPr>
        <w:t xml:space="preserve"> objeto del contrato. </w:t>
      </w:r>
    </w:p>
    <w:p w14:paraId="4B0BB3D7" w14:textId="77777777" w:rsidR="00313DBF" w:rsidRDefault="00313DBF" w:rsidP="00313DBF">
      <w:pPr>
        <w:spacing w:after="120" w:line="276" w:lineRule="auto"/>
        <w:ind w:firstLine="708"/>
        <w:jc w:val="both"/>
        <w:rPr>
          <w:rFonts w:ascii="Verdana" w:eastAsia="Times New Roman" w:hAnsi="Verdana" w:cs="Arial"/>
          <w:color w:val="000000" w:themeColor="text1"/>
          <w:lang w:eastAsia="es-CO"/>
        </w:rPr>
      </w:pPr>
      <w:r w:rsidRPr="00DE5648">
        <w:rPr>
          <w:rFonts w:ascii="Verdana" w:eastAsia="Times New Roman" w:hAnsi="Verdana" w:cs="Arial"/>
          <w:color w:val="000000" w:themeColor="text1"/>
          <w:lang w:eastAsia="es-CO"/>
        </w:rPr>
        <w:t xml:space="preserve">Esta persona deberá emitir la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justificación</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entendida como la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Prueba convincente de algo</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xml:space="preserve">, de acuerdo con su área </w:t>
      </w:r>
      <w:r>
        <w:rPr>
          <w:rFonts w:ascii="Verdana" w:eastAsia="Times New Roman" w:hAnsi="Verdana" w:cs="Arial"/>
          <w:color w:val="000000" w:themeColor="text1"/>
          <w:lang w:eastAsia="es-CO"/>
        </w:rPr>
        <w:t>profesional</w:t>
      </w:r>
      <w:r w:rsidRPr="00DE5648">
        <w:rPr>
          <w:rFonts w:ascii="Verdana" w:eastAsia="Times New Roman" w:hAnsi="Verdana" w:cs="Arial"/>
          <w:color w:val="000000" w:themeColor="text1"/>
          <w:lang w:eastAsia="es-CO"/>
        </w:rPr>
        <w:t xml:space="preserve">. Sin limitarse a la cuantía del proceso, la justificación técnica se relaciona con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el tipo de actividades que serán realizadas, la experticia técnica requerida, el alcance físico de las obras, entre otros […]</w:t>
      </w:r>
      <w:r>
        <w:rPr>
          <w:rFonts w:ascii="Verdana" w:eastAsia="Times New Roman" w:hAnsi="Verdana" w:cs="Arial"/>
          <w:color w:val="000000" w:themeColor="text1"/>
          <w:lang w:eastAsia="es-CO"/>
        </w:rPr>
        <w:t>”</w:t>
      </w:r>
      <w:r w:rsidRPr="00DE5648">
        <w:rPr>
          <w:rFonts w:ascii="Verdana" w:eastAsia="Times New Roman" w:hAnsi="Verdana" w:cs="Arial"/>
          <w:color w:val="000000" w:themeColor="text1"/>
          <w:lang w:eastAsia="es-CO"/>
        </w:rPr>
        <w:t>. Con fundamento en la opinión del experto, la entidad encargada del proceso de selección definirá si existe una justificación razonable para constituir la garantía de estabilidad y calidad de la obra por un término inferior a cinco (5) años.</w:t>
      </w:r>
    </w:p>
    <w:p w14:paraId="1AFF2516" w14:textId="77777777" w:rsidR="00313DBF" w:rsidRDefault="00313DBF" w:rsidP="00313DBF">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Como dispone la norma en comento, este análisis “[…] </w:t>
      </w:r>
      <w:r w:rsidRPr="00DE5648">
        <w:rPr>
          <w:rFonts w:ascii="Verdana" w:eastAsia="Times New Roman" w:hAnsi="Verdana" w:cs="Arial"/>
          <w:color w:val="000000" w:themeColor="text1"/>
          <w:lang w:eastAsia="es-CO"/>
        </w:rPr>
        <w:t>se debe reflejar en los documentos del proceso</w:t>
      </w:r>
      <w:r>
        <w:rPr>
          <w:rFonts w:ascii="Verdana" w:eastAsia="Times New Roman" w:hAnsi="Verdana" w:cs="Arial"/>
          <w:color w:val="000000" w:themeColor="text1"/>
          <w:lang w:eastAsia="es-CO"/>
        </w:rPr>
        <w:t xml:space="preserve"> […]”. Dicho concepto se encuentra definido en el artículo </w:t>
      </w:r>
      <w:r w:rsidRPr="00DE5648">
        <w:rPr>
          <w:rFonts w:ascii="Verdana" w:eastAsia="Times New Roman" w:hAnsi="Verdana" w:cs="Arial"/>
          <w:color w:val="000000" w:themeColor="text1"/>
          <w:lang w:eastAsia="es-CO"/>
        </w:rPr>
        <w:t>2.2.1.1.1.3.1</w:t>
      </w:r>
      <w:r>
        <w:rPr>
          <w:rFonts w:ascii="Verdana" w:eastAsia="Times New Roman" w:hAnsi="Verdana" w:cs="Arial"/>
          <w:color w:val="000000" w:themeColor="text1"/>
          <w:lang w:eastAsia="es-CO"/>
        </w:rPr>
        <w:t xml:space="preserve"> del Decreto 1082 de 2015, modificado por el artículo 1° del Decreto 142 de 2023. Esta norma dispone que son documentos del proceso “</w:t>
      </w:r>
      <w:r w:rsidRPr="00BA249D">
        <w:rPr>
          <w:rFonts w:ascii="Verdana" w:eastAsia="Times New Roman" w:hAnsi="Verdana" w:cs="Arial"/>
          <w:color w:val="000000" w:themeColor="text1"/>
          <w:lang w:eastAsia="es-CO"/>
        </w:rPr>
        <w:t>(a)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Pr>
          <w:rFonts w:ascii="Verdana" w:eastAsia="Times New Roman" w:hAnsi="Verdana" w:cs="Arial"/>
          <w:color w:val="000000" w:themeColor="text1"/>
          <w:lang w:eastAsia="es-CO"/>
        </w:rPr>
        <w:t>”</w:t>
      </w:r>
      <w:r w:rsidRPr="00BA249D">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w:t>
      </w:r>
    </w:p>
    <w:p w14:paraId="493E78A3" w14:textId="77777777" w:rsidR="00313DBF" w:rsidRDefault="00313DBF" w:rsidP="00313DBF">
      <w:pPr>
        <w:spacing w:after="12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Finalmente, conforme a los artículos </w:t>
      </w:r>
      <w:r w:rsidRPr="00A31E14">
        <w:rPr>
          <w:rFonts w:ascii="Verdana" w:eastAsia="Times New Roman" w:hAnsi="Verdana" w:cs="Arial"/>
          <w:color w:val="000000" w:themeColor="text1"/>
          <w:lang w:eastAsia="es-CO"/>
        </w:rPr>
        <w:t>2.2.1.1.1.6.1</w:t>
      </w:r>
      <w:r>
        <w:rPr>
          <w:rFonts w:ascii="Verdana" w:eastAsia="Times New Roman" w:hAnsi="Verdana" w:cs="Arial"/>
          <w:color w:val="000000" w:themeColor="text1"/>
          <w:lang w:eastAsia="es-CO"/>
        </w:rPr>
        <w:t xml:space="preserve">, </w:t>
      </w:r>
      <w:r w:rsidRPr="00A31E14">
        <w:rPr>
          <w:rFonts w:ascii="Verdana" w:eastAsia="Times New Roman" w:hAnsi="Verdana" w:cs="Arial"/>
          <w:color w:val="000000" w:themeColor="text1"/>
          <w:lang w:eastAsia="es-CO"/>
        </w:rPr>
        <w:t>2.2.1.1.2.1.1</w:t>
      </w:r>
      <w:r>
        <w:rPr>
          <w:rFonts w:ascii="Verdana" w:eastAsia="Times New Roman" w:hAnsi="Verdana" w:cs="Arial"/>
          <w:color w:val="000000" w:themeColor="text1"/>
          <w:lang w:eastAsia="es-CO"/>
        </w:rPr>
        <w:t xml:space="preserve"> y </w:t>
      </w:r>
      <w:r w:rsidRPr="00173477">
        <w:rPr>
          <w:rFonts w:ascii="Verdana" w:eastAsia="Times New Roman" w:hAnsi="Verdana" w:cs="Arial"/>
          <w:color w:val="000000" w:themeColor="text1"/>
          <w:lang w:eastAsia="es-CO"/>
        </w:rPr>
        <w:t>2.2.1.1.2.1.3</w:t>
      </w:r>
      <w:r>
        <w:rPr>
          <w:rFonts w:ascii="Verdana" w:eastAsia="Times New Roman" w:hAnsi="Verdana" w:cs="Arial"/>
          <w:color w:val="000000" w:themeColor="text1"/>
          <w:lang w:eastAsia="es-CO"/>
        </w:rPr>
        <w:t xml:space="preserve"> del Decreto 1082 de 2015, las entidades deben realizar el análisis de los riesgos y de la forma de mitigarlos en los estudios del sector, en los estudios previos y en el pliego de condiciones, documentos propios de la etapa precontractual. Allí deben precisar la cobertura de las garantías, sin perjuicio de las observaciones que formulen los interesados y de los ajustes realizados al pliego de condiciones definitivo cuando éstas se aceptan. </w:t>
      </w:r>
    </w:p>
    <w:p w14:paraId="7CA6CF2A" w14:textId="77777777" w:rsidR="00313DBF" w:rsidRDefault="00313DBF" w:rsidP="00313DBF">
      <w:pPr>
        <w:widowControl w:val="0"/>
        <w:autoSpaceDE w:val="0"/>
        <w:autoSpaceDN w:val="0"/>
        <w:spacing w:after="120" w:line="276" w:lineRule="auto"/>
        <w:ind w:firstLine="709"/>
        <w:jc w:val="both"/>
        <w:rPr>
          <w:rFonts w:ascii="Verdana" w:hAnsi="Verdana" w:cs="Arial"/>
        </w:rPr>
      </w:pPr>
      <w:r w:rsidRPr="006759B0">
        <w:rPr>
          <w:rFonts w:ascii="Verdana" w:hAnsi="Verdana" w:cs="Arial"/>
        </w:rPr>
        <w:t xml:space="preserve">Sin perjuicio de lo anterior debe advertirse que el análisis requerido para </w:t>
      </w:r>
      <w:r w:rsidRPr="00016280">
        <w:rPr>
          <w:rFonts w:ascii="Verdana" w:hAnsi="Verdana" w:cs="Arial"/>
        </w:rPr>
        <w:t xml:space="preserve">para </w:t>
      </w:r>
      <w:r>
        <w:rPr>
          <w:rFonts w:ascii="Verdana" w:hAnsi="Verdana" w:cs="Arial"/>
        </w:rPr>
        <w:t>resolver problemas puntuales en torno a</w:t>
      </w:r>
      <w:r w:rsidRPr="00016280">
        <w:rPr>
          <w:rFonts w:ascii="Verdana" w:hAnsi="Verdana" w:cs="Arial"/>
        </w:rPr>
        <w:t xml:space="preserve"> la garantía de estabilidad y calidad</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w:t>
      </w:r>
      <w:r w:rsidRPr="006759B0">
        <w:rPr>
          <w:rFonts w:ascii="Verdana" w:hAnsi="Verdana" w:cs="Arial"/>
        </w:rPr>
        <w:lastRenderedPageBreak/>
        <w:t xml:space="preserve">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consulta</w:t>
      </w:r>
      <w:r w:rsidRPr="006759B0">
        <w:rPr>
          <w:rFonts w:ascii="Verdana" w:hAnsi="Verdana" w:cs="Arial"/>
        </w:rPr>
        <w:t>.</w:t>
      </w:r>
      <w:r>
        <w:rPr>
          <w:rFonts w:ascii="Verdana" w:hAnsi="Verdana" w:cs="Arial"/>
        </w:rPr>
        <w:t xml:space="preserve">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2666892D" w14:textId="77777777" w:rsidR="00313DBF" w:rsidRPr="008A4AEC" w:rsidRDefault="00313DBF" w:rsidP="00313DBF">
      <w:pPr>
        <w:widowControl w:val="0"/>
        <w:autoSpaceDE w:val="0"/>
        <w:autoSpaceDN w:val="0"/>
        <w:spacing w:after="0" w:line="276" w:lineRule="auto"/>
        <w:ind w:firstLine="708"/>
        <w:jc w:val="both"/>
        <w:rPr>
          <w:rFonts w:ascii="Verdana" w:hAnsi="Verdana" w:cs="Arial"/>
        </w:rPr>
      </w:pPr>
      <w:r w:rsidRPr="001E3FCB">
        <w:rPr>
          <w:rFonts w:ascii="Verdana" w:hAnsi="Verdana" w:cs="Arial"/>
        </w:rPr>
        <w:t>Dentro de este marco, la entidad contratante definirá en cada caso concreto lo</w:t>
      </w:r>
      <w:r>
        <w:rPr>
          <w:rFonts w:ascii="Verdana" w:hAnsi="Verdana" w:cs="Arial"/>
        </w:rPr>
        <w:t xml:space="preserve"> relacionado con el tema objeto de consulta frente a eventuales procesos de responsabilidad disciplinaria</w:t>
      </w:r>
      <w:r w:rsidRPr="001E3FCB">
        <w:rPr>
          <w:rFonts w:ascii="Verdana" w:hAnsi="Verdana" w:cs="Arial"/>
        </w:rPr>
        <w:t>. Al tratarse de un análisis 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entidad definirá la forma de adelantar su gestión contractual, sin que sea atribución de Colombia Compra Eficiente validar sus actuaciones</w:t>
      </w:r>
      <w:r>
        <w:rPr>
          <w:rFonts w:ascii="Verdana" w:hAnsi="Verdana" w:cs="Arial"/>
        </w:rPr>
        <w:t xml:space="preserve"> frente a órganos de control como la Procuraduría General de la Nación</w:t>
      </w:r>
      <w:r w:rsidRPr="001E3FCB">
        <w:rPr>
          <w:rFonts w:ascii="Verdana" w:hAnsi="Verdana" w:cs="Arial"/>
        </w:rPr>
        <w:t>.</w:t>
      </w:r>
    </w:p>
    <w:p w14:paraId="46A9540C" w14:textId="77777777" w:rsidR="00313DBF" w:rsidRPr="00593A5F" w:rsidRDefault="00313DBF" w:rsidP="00313DBF">
      <w:pPr>
        <w:widowControl w:val="0"/>
        <w:autoSpaceDE w:val="0"/>
        <w:autoSpaceDN w:val="0"/>
        <w:spacing w:after="0" w:line="276" w:lineRule="auto"/>
        <w:jc w:val="both"/>
        <w:rPr>
          <w:rFonts w:ascii="Verdana" w:hAnsi="Verdana" w:cs="Arial"/>
        </w:rPr>
      </w:pPr>
    </w:p>
    <w:p w14:paraId="690A1BE3" w14:textId="77777777" w:rsidR="00313DBF" w:rsidRPr="00593A5F" w:rsidRDefault="00313DBF" w:rsidP="00313DB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43DCB0E7" w14:textId="77777777" w:rsidR="00313DBF" w:rsidRPr="00593A5F" w:rsidRDefault="00313DBF" w:rsidP="00313DBF">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313DBF" w:rsidRPr="002407CE" w14:paraId="5E995C46" w14:textId="77777777" w:rsidTr="00902E5F">
        <w:trPr>
          <w:trHeight w:val="870"/>
          <w:jc w:val="center"/>
        </w:trPr>
        <w:tc>
          <w:tcPr>
            <w:tcW w:w="8647" w:type="dxa"/>
          </w:tcPr>
          <w:p w14:paraId="047B54CE" w14:textId="77777777" w:rsidR="00313DBF" w:rsidRPr="00EA612E" w:rsidRDefault="00313DBF" w:rsidP="00313DBF">
            <w:pPr>
              <w:pStyle w:val="Prrafodelista"/>
              <w:widowControl w:val="0"/>
              <w:numPr>
                <w:ilvl w:val="0"/>
                <w:numId w:val="17"/>
              </w:numPr>
              <w:autoSpaceDE w:val="0"/>
              <w:autoSpaceDN w:val="0"/>
              <w:spacing w:after="120" w:line="276" w:lineRule="auto"/>
              <w:jc w:val="both"/>
              <w:rPr>
                <w:rFonts w:ascii="Verdana" w:hAnsi="Verdana" w:cs="Arial"/>
              </w:rPr>
            </w:pPr>
            <w:r w:rsidRPr="00EA612E">
              <w:rPr>
                <w:rFonts w:ascii="Verdana" w:hAnsi="Verdana" w:cs="Arial"/>
              </w:rPr>
              <w:t xml:space="preserve">Ley 1150 de 2007, artículo 7. </w:t>
            </w:r>
          </w:p>
          <w:p w14:paraId="0A710FDF" w14:textId="77777777" w:rsidR="00313DBF" w:rsidRPr="00EA612E" w:rsidRDefault="00313DBF" w:rsidP="00902E5F">
            <w:pPr>
              <w:pStyle w:val="Prrafodelista"/>
              <w:widowControl w:val="0"/>
              <w:autoSpaceDE w:val="0"/>
              <w:autoSpaceDN w:val="0"/>
              <w:spacing w:after="120" w:line="276" w:lineRule="auto"/>
              <w:jc w:val="both"/>
              <w:rPr>
                <w:rFonts w:ascii="Verdana" w:hAnsi="Verdana" w:cs="Arial"/>
                <w:sz w:val="12"/>
                <w:szCs w:val="12"/>
              </w:rPr>
            </w:pPr>
          </w:p>
          <w:p w14:paraId="2E7A97DC" w14:textId="77777777" w:rsidR="00313DBF" w:rsidRPr="00EA612E" w:rsidRDefault="00313DBF" w:rsidP="00313DBF">
            <w:pPr>
              <w:pStyle w:val="Prrafodelista"/>
              <w:widowControl w:val="0"/>
              <w:numPr>
                <w:ilvl w:val="0"/>
                <w:numId w:val="17"/>
              </w:numPr>
              <w:autoSpaceDE w:val="0"/>
              <w:autoSpaceDN w:val="0"/>
              <w:spacing w:after="120" w:line="276" w:lineRule="auto"/>
              <w:contextualSpacing w:val="0"/>
              <w:jc w:val="both"/>
              <w:rPr>
                <w:rFonts w:ascii="Verdana" w:hAnsi="Verdana" w:cs="Arial"/>
              </w:rPr>
            </w:pPr>
            <w:r>
              <w:rPr>
                <w:rFonts w:ascii="Verdana" w:hAnsi="Verdana" w:cs="Arial"/>
              </w:rPr>
              <w:t>Código Civil, artículo 28.</w:t>
            </w:r>
          </w:p>
          <w:p w14:paraId="30208F17" w14:textId="77777777" w:rsidR="00313DBF" w:rsidRPr="00EA612E" w:rsidRDefault="00313DBF" w:rsidP="00313DBF">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EA612E">
              <w:rPr>
                <w:rFonts w:ascii="Verdana" w:hAnsi="Verdana" w:cs="Arial"/>
              </w:rPr>
              <w:t>Código de Comercio, artículos 1068 y 1071.</w:t>
            </w:r>
          </w:p>
          <w:p w14:paraId="6C1E39B9" w14:textId="77777777" w:rsidR="00313DBF" w:rsidRPr="00EA612E" w:rsidRDefault="00313DBF" w:rsidP="00313DBF">
            <w:pPr>
              <w:pStyle w:val="Prrafodelista"/>
              <w:widowControl w:val="0"/>
              <w:numPr>
                <w:ilvl w:val="0"/>
                <w:numId w:val="17"/>
              </w:numPr>
              <w:autoSpaceDE w:val="0"/>
              <w:autoSpaceDN w:val="0"/>
              <w:spacing w:line="276" w:lineRule="auto"/>
              <w:contextualSpacing w:val="0"/>
              <w:jc w:val="both"/>
              <w:rPr>
                <w:rFonts w:ascii="Verdana" w:hAnsi="Verdana" w:cs="Arial"/>
              </w:rPr>
            </w:pPr>
            <w:r>
              <w:rPr>
                <w:rFonts w:ascii="Verdana" w:hAnsi="Verdana" w:cs="Arial"/>
              </w:rPr>
              <w:t>Decreto 1082 de 2015</w:t>
            </w:r>
            <w:r w:rsidRPr="00EA612E">
              <w:rPr>
                <w:rFonts w:ascii="Verdana" w:hAnsi="Verdana" w:cs="Arial"/>
              </w:rPr>
              <w:t xml:space="preserve">, artículos </w:t>
            </w:r>
            <w:r w:rsidRPr="00CF0B17">
              <w:rPr>
                <w:rFonts w:ascii="Verdana" w:hAnsi="Verdana" w:cs="Arial"/>
              </w:rPr>
              <w:t>2.2.1.1.1.6.1, 2.2.1.1.2.1.1 y 2.2.1.1.2.1.3</w:t>
            </w:r>
            <w:r>
              <w:rPr>
                <w:rFonts w:ascii="Verdana" w:hAnsi="Verdana" w:cs="Arial"/>
              </w:rPr>
              <w:t xml:space="preserve"> y </w:t>
            </w:r>
            <w:r w:rsidRPr="00EA612E">
              <w:rPr>
                <w:rFonts w:ascii="Verdana" w:hAnsi="Verdana" w:cs="Arial"/>
              </w:rPr>
              <w:t xml:space="preserve">2.2.1.2.3.1.1 a 2.2.1.2.3.1.19.  </w:t>
            </w:r>
          </w:p>
        </w:tc>
      </w:tr>
    </w:tbl>
    <w:p w14:paraId="3C75E330" w14:textId="77777777" w:rsidR="00313DBF" w:rsidRPr="002407CE" w:rsidRDefault="00313DBF" w:rsidP="00313DBF">
      <w:pPr>
        <w:widowControl w:val="0"/>
        <w:autoSpaceDE w:val="0"/>
        <w:autoSpaceDN w:val="0"/>
        <w:spacing w:after="0" w:line="276" w:lineRule="auto"/>
        <w:jc w:val="both"/>
        <w:rPr>
          <w:rFonts w:ascii="Verdana" w:hAnsi="Verdana" w:cs="Arial"/>
        </w:rPr>
      </w:pPr>
    </w:p>
    <w:p w14:paraId="119988A6" w14:textId="77777777" w:rsidR="00313DBF" w:rsidRPr="00593A5F" w:rsidRDefault="00313DBF" w:rsidP="00313DB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A1C0479" w14:textId="77777777" w:rsidR="00313DBF" w:rsidRPr="00593A5F" w:rsidRDefault="00313DBF" w:rsidP="00313DBF">
      <w:pPr>
        <w:widowControl w:val="0"/>
        <w:autoSpaceDE w:val="0"/>
        <w:autoSpaceDN w:val="0"/>
        <w:spacing w:after="0" w:line="276" w:lineRule="auto"/>
        <w:jc w:val="both"/>
        <w:rPr>
          <w:rFonts w:ascii="Verdana" w:hAnsi="Verdana" w:cs="Arial"/>
        </w:rPr>
      </w:pPr>
    </w:p>
    <w:p w14:paraId="2FE46A54" w14:textId="77777777" w:rsidR="00313DBF" w:rsidRDefault="00313DBF" w:rsidP="00313DBF">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Esta Subdirección se ha pronunciado sobre el régimen de garantías en los Conceptos</w:t>
      </w:r>
      <w:r w:rsidRPr="00DD781E">
        <w:rPr>
          <w:rStyle w:val="normaltextrun"/>
          <w:rFonts w:ascii="Verdana" w:hAnsi="Verdana" w:cs="Calibri"/>
          <w:shd w:val="clear" w:color="auto" w:fill="FFFFFF"/>
        </w:rPr>
        <w:t xml:space="preserve"> </w:t>
      </w:r>
      <w:r w:rsidRPr="00EE1B01">
        <w:rPr>
          <w:rStyle w:val="normaltextrun"/>
          <w:rFonts w:ascii="Verdana" w:hAnsi="Verdana" w:cs="Arial"/>
          <w:shd w:val="clear" w:color="auto" w:fill="FFFFFF"/>
          <w:lang w:val="es-ES"/>
        </w:rPr>
        <w:t xml:space="preserve">2201913000009075 del 9 de diciembre de 2019, C-080 del 8 de abril de 2021, C-525 del 27 de septiembre de 2021, C- 567 del 08 de octubre del 2021, C-036 del 28 de febrero del 2022, C-126 de 25 de marzo de 2022, C-583 del 19 de octubre de 2022, C-584 del 26 de septiembre de 2022, C-712 del 13 de octubre de 2022 y C-845 del 7 de diciembre de 2022, C-036 del 31 de marzo </w:t>
      </w:r>
      <w:r w:rsidRPr="00EE1B01">
        <w:rPr>
          <w:rStyle w:val="normaltextrun"/>
          <w:rFonts w:ascii="Verdana" w:hAnsi="Verdana" w:cs="Arial"/>
          <w:shd w:val="clear" w:color="auto" w:fill="FFFFFF"/>
          <w:lang w:val="es-ES"/>
        </w:rPr>
        <w:lastRenderedPageBreak/>
        <w:t>de 2023</w:t>
      </w:r>
      <w:r>
        <w:rPr>
          <w:rStyle w:val="normaltextrun"/>
          <w:rFonts w:ascii="Verdana" w:hAnsi="Verdana" w:cs="Arial"/>
          <w:shd w:val="clear" w:color="auto" w:fill="FFFFFF"/>
          <w:lang w:val="es-ES"/>
        </w:rPr>
        <w:t xml:space="preserve">, </w:t>
      </w:r>
      <w:r w:rsidRPr="00DD781E">
        <w:rPr>
          <w:rStyle w:val="normaltextrun"/>
          <w:rFonts w:ascii="Verdana" w:hAnsi="Verdana" w:cs="Arial"/>
          <w:shd w:val="clear" w:color="auto" w:fill="FFFFFF"/>
          <w:lang w:val="es-ES"/>
        </w:rPr>
        <w:t>C-</w:t>
      </w:r>
      <w:r>
        <w:rPr>
          <w:rStyle w:val="normaltextrun"/>
          <w:rFonts w:ascii="Verdana" w:hAnsi="Verdana" w:cs="Arial"/>
          <w:shd w:val="clear" w:color="auto" w:fill="FFFFFF"/>
          <w:lang w:val="es-ES"/>
        </w:rPr>
        <w:t>386</w:t>
      </w:r>
      <w:r w:rsidRPr="00DD781E">
        <w:rPr>
          <w:rStyle w:val="normaltextrun"/>
          <w:rFonts w:ascii="Verdana" w:hAnsi="Verdana" w:cs="Arial"/>
          <w:shd w:val="clear" w:color="auto" w:fill="FFFFFF"/>
          <w:lang w:val="es-ES"/>
        </w:rPr>
        <w:t xml:space="preserve"> del </w:t>
      </w:r>
      <w:r>
        <w:rPr>
          <w:rStyle w:val="normaltextrun"/>
          <w:rFonts w:ascii="Verdana" w:hAnsi="Verdana" w:cs="Arial"/>
          <w:shd w:val="clear" w:color="auto" w:fill="FFFFFF"/>
          <w:lang w:val="es-ES"/>
        </w:rPr>
        <w:t>31</w:t>
      </w:r>
      <w:r w:rsidRPr="00DD781E">
        <w:rPr>
          <w:rStyle w:val="normaltextrun"/>
          <w:rFonts w:ascii="Verdana" w:hAnsi="Verdana" w:cs="Arial"/>
          <w:shd w:val="clear" w:color="auto" w:fill="FFFFFF"/>
          <w:lang w:val="es-ES"/>
        </w:rPr>
        <w:t xml:space="preserve"> de </w:t>
      </w:r>
      <w:r>
        <w:rPr>
          <w:rStyle w:val="normaltextrun"/>
          <w:rFonts w:ascii="Verdana" w:hAnsi="Verdana" w:cs="Arial"/>
          <w:shd w:val="clear" w:color="auto" w:fill="FFFFFF"/>
          <w:lang w:val="es-ES"/>
        </w:rPr>
        <w:t>enero</w:t>
      </w:r>
      <w:r w:rsidRPr="00DD781E">
        <w:rPr>
          <w:rStyle w:val="normaltextrun"/>
          <w:rFonts w:ascii="Verdana" w:hAnsi="Verdana" w:cs="Arial"/>
          <w:shd w:val="clear" w:color="auto" w:fill="FFFFFF"/>
          <w:lang w:val="es-ES"/>
        </w:rPr>
        <w:t xml:space="preserve"> de 202</w:t>
      </w:r>
      <w:r>
        <w:rPr>
          <w:rStyle w:val="normaltextrun"/>
          <w:rFonts w:ascii="Verdana" w:hAnsi="Verdana" w:cs="Arial"/>
          <w:shd w:val="clear" w:color="auto" w:fill="FFFFFF"/>
          <w:lang w:val="es-ES"/>
        </w:rPr>
        <w:t>4 y C-133 del 11 de julio de 2024</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y otros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12"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68CFE038" w14:textId="77777777" w:rsidR="00313DBF" w:rsidRDefault="00313DBF" w:rsidP="00313DBF">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9D9BE08" w14:textId="77777777" w:rsidR="00313DBF" w:rsidRPr="00A1554D" w:rsidRDefault="00313DBF" w:rsidP="00313DBF">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3"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Pr>
          <w:rFonts w:ascii="Verdana" w:hAnsi="Verdana" w:cs="Arial"/>
          <w:color w:val="000000" w:themeColor="text1"/>
          <w:shd w:val="clear" w:color="auto" w:fill="FFFFFF"/>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015BEBC9" w14:textId="77777777" w:rsidR="00313DBF" w:rsidRPr="008B018C" w:rsidRDefault="00313DBF" w:rsidP="00313DBF">
      <w:pPr>
        <w:widowControl w:val="0"/>
        <w:autoSpaceDE w:val="0"/>
        <w:autoSpaceDN w:val="0"/>
        <w:spacing w:after="120" w:line="276" w:lineRule="auto"/>
        <w:jc w:val="both"/>
        <w:rPr>
          <w:rFonts w:ascii="Verdana" w:hAnsi="Verdana" w:cs="Arial"/>
          <w:lang w:val="es-MX"/>
        </w:rPr>
      </w:pPr>
    </w:p>
    <w:p w14:paraId="3E713E4F" w14:textId="77777777" w:rsidR="00313DBF" w:rsidRPr="00593A5F" w:rsidRDefault="00313DBF" w:rsidP="00313DBF">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97030B3" w14:textId="77777777" w:rsidR="00313DBF" w:rsidRPr="00593A5F" w:rsidRDefault="00313DBF" w:rsidP="00313DBF">
      <w:pPr>
        <w:widowControl w:val="0"/>
        <w:autoSpaceDE w:val="0"/>
        <w:autoSpaceDN w:val="0"/>
        <w:spacing w:after="0" w:line="276" w:lineRule="auto"/>
        <w:jc w:val="both"/>
        <w:rPr>
          <w:rFonts w:ascii="Verdana" w:hAnsi="Verdana" w:cs="Arial"/>
        </w:rPr>
      </w:pPr>
    </w:p>
    <w:p w14:paraId="0008F35C" w14:textId="77777777" w:rsidR="00313DBF" w:rsidRPr="00593A5F" w:rsidRDefault="00313DBF" w:rsidP="00313DBF">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26CC9F7" w14:textId="152149C0" w:rsidR="00313DBF" w:rsidRPr="00593A5F" w:rsidRDefault="00D7772E" w:rsidP="00313DBF">
      <w:pPr>
        <w:spacing w:line="276" w:lineRule="auto"/>
        <w:jc w:val="center"/>
        <w:rPr>
          <w:rFonts w:ascii="Verdana" w:hAnsi="Verdana" w:cs="Arial"/>
          <w:color w:val="000000"/>
          <w:lang w:val="es-ES_tradnl" w:eastAsia="es-CO"/>
        </w:rPr>
      </w:pPr>
      <w:r>
        <w:rPr>
          <w:noProof/>
        </w:rPr>
        <w:drawing>
          <wp:inline distT="0" distB="0" distL="0" distR="0" wp14:anchorId="3916F5E9" wp14:editId="40E4B719">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13DBF" w:rsidRPr="00593A5F" w14:paraId="3AEB9E5A" w14:textId="77777777" w:rsidTr="00902E5F">
        <w:trPr>
          <w:trHeight w:val="315"/>
        </w:trPr>
        <w:tc>
          <w:tcPr>
            <w:tcW w:w="893" w:type="dxa"/>
            <w:vAlign w:val="center"/>
            <w:hideMark/>
          </w:tcPr>
          <w:p w14:paraId="528CF5C0" w14:textId="77777777" w:rsidR="00313DBF" w:rsidRPr="003751C7" w:rsidRDefault="00313DBF" w:rsidP="00902E5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4BCB952" w14:textId="77777777" w:rsidR="00313DBF" w:rsidRPr="00254A7A" w:rsidRDefault="00313DBF" w:rsidP="00902E5F">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571E27D9" w14:textId="77777777" w:rsidR="00313DBF" w:rsidRPr="00254A7A" w:rsidRDefault="00313DBF" w:rsidP="00902E5F">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313DBF" w:rsidRPr="00593A5F" w14:paraId="4FEEF9E8" w14:textId="77777777" w:rsidTr="00902E5F">
        <w:trPr>
          <w:trHeight w:val="330"/>
        </w:trPr>
        <w:tc>
          <w:tcPr>
            <w:tcW w:w="893" w:type="dxa"/>
            <w:vAlign w:val="center"/>
            <w:hideMark/>
          </w:tcPr>
          <w:p w14:paraId="7C26B975" w14:textId="77777777" w:rsidR="00313DBF" w:rsidRPr="003751C7" w:rsidRDefault="00313DBF" w:rsidP="00902E5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4A5CABE" w14:textId="77777777" w:rsidR="00313DBF" w:rsidRPr="00254A7A" w:rsidRDefault="00313DBF" w:rsidP="00902E5F">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175FC400" w14:textId="77777777" w:rsidR="00313DBF" w:rsidRPr="00254A7A" w:rsidRDefault="00313DBF" w:rsidP="00902E5F">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313DBF" w:rsidRPr="00593A5F" w14:paraId="7C505412" w14:textId="77777777" w:rsidTr="00902E5F">
        <w:trPr>
          <w:trHeight w:val="300"/>
        </w:trPr>
        <w:tc>
          <w:tcPr>
            <w:tcW w:w="893" w:type="dxa"/>
            <w:vAlign w:val="center"/>
          </w:tcPr>
          <w:p w14:paraId="1DF6252E" w14:textId="77777777" w:rsidR="00313DBF" w:rsidRPr="003751C7" w:rsidRDefault="00313DBF" w:rsidP="00902E5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6FD1EC5" w14:textId="77777777" w:rsidR="00313DBF" w:rsidRPr="003751C7" w:rsidRDefault="00313DBF" w:rsidP="00902E5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379222DD" w14:textId="77777777" w:rsidR="00313DBF" w:rsidRPr="003751C7" w:rsidRDefault="00313DBF" w:rsidP="00902E5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30B623F0" w14:textId="77777777" w:rsidR="00313DBF" w:rsidRPr="00593A5F" w:rsidRDefault="00313DBF" w:rsidP="00313DBF">
      <w:pPr>
        <w:spacing w:after="0" w:line="240" w:lineRule="auto"/>
        <w:rPr>
          <w:rFonts w:ascii="Verdana" w:eastAsia="Times New Roman" w:hAnsi="Verdana" w:cs="Arial"/>
          <w:sz w:val="24"/>
          <w:szCs w:val="24"/>
          <w:lang w:eastAsia="es-ES"/>
        </w:rPr>
      </w:pPr>
    </w:p>
    <w:p w14:paraId="3900974D" w14:textId="77777777" w:rsidR="003D5B0D" w:rsidRPr="00794E5F" w:rsidRDefault="003D5B0D" w:rsidP="00794E5F"/>
    <w:p w14:paraId="2042E178" w14:textId="77777777" w:rsidR="00035458" w:rsidRPr="00794E5F" w:rsidRDefault="00035458"/>
    <w:sectPr w:rsidR="00035458" w:rsidRPr="00794E5F"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0710A" w14:textId="77777777" w:rsidR="004C6EEF" w:rsidRDefault="004C6EEF" w:rsidP="004A1847">
      <w:pPr>
        <w:spacing w:after="0" w:line="240" w:lineRule="auto"/>
      </w:pPr>
      <w:r>
        <w:separator/>
      </w:r>
    </w:p>
  </w:endnote>
  <w:endnote w:type="continuationSeparator" w:id="0">
    <w:p w14:paraId="73B32F35" w14:textId="77777777" w:rsidR="004C6EEF" w:rsidRDefault="004C6EEF" w:rsidP="004A1847">
      <w:pPr>
        <w:spacing w:after="0" w:line="240" w:lineRule="auto"/>
      </w:pPr>
      <w:r>
        <w:continuationSeparator/>
      </w:r>
    </w:p>
  </w:endnote>
  <w:endnote w:type="continuationNotice" w:id="1">
    <w:p w14:paraId="3BACDEAC" w14:textId="77777777" w:rsidR="004C6EEF" w:rsidRDefault="004C6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0F4B4" w14:textId="77777777" w:rsidR="004C6EEF" w:rsidRDefault="004C6EEF" w:rsidP="004A1847">
      <w:pPr>
        <w:spacing w:after="0" w:line="240" w:lineRule="auto"/>
      </w:pPr>
      <w:r>
        <w:separator/>
      </w:r>
    </w:p>
  </w:footnote>
  <w:footnote w:type="continuationSeparator" w:id="0">
    <w:p w14:paraId="2F1F7D74" w14:textId="77777777" w:rsidR="004C6EEF" w:rsidRDefault="004C6EEF" w:rsidP="004A1847">
      <w:pPr>
        <w:spacing w:after="0" w:line="240" w:lineRule="auto"/>
      </w:pPr>
      <w:r>
        <w:continuationSeparator/>
      </w:r>
    </w:p>
  </w:footnote>
  <w:footnote w:type="continuationNotice" w:id="1">
    <w:p w14:paraId="74314002" w14:textId="77777777" w:rsidR="004C6EEF" w:rsidRDefault="004C6EEF">
      <w:pPr>
        <w:spacing w:after="0" w:line="240" w:lineRule="auto"/>
      </w:pPr>
    </w:p>
  </w:footnote>
  <w:footnote w:id="2">
    <w:p w14:paraId="6F481A6A" w14:textId="77777777" w:rsidR="00313DBF" w:rsidRPr="00CA6FDA" w:rsidRDefault="00313DBF" w:rsidP="00313DBF">
      <w:pPr>
        <w:pStyle w:val="Textonotapie"/>
        <w:ind w:firstLine="708"/>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4134D8">
        <w:rPr>
          <w:rFonts w:ascii="Verdana" w:hAnsi="Verdana" w:cs="Arial"/>
          <w:color w:val="000000" w:themeColor="text1"/>
          <w:sz w:val="16"/>
          <w:szCs w:val="16"/>
          <w:lang w:val="pt-BR"/>
        </w:rPr>
        <w:t xml:space="preserve"> CORTE CONSTITUCIONAL. Sentencia C-452 de 1999. </w:t>
      </w:r>
      <w:r w:rsidRPr="00CA6FDA">
        <w:rPr>
          <w:rFonts w:ascii="Verdana" w:hAnsi="Verdana" w:cs="Arial"/>
          <w:color w:val="000000" w:themeColor="text1"/>
          <w:sz w:val="16"/>
          <w:szCs w:val="16"/>
        </w:rPr>
        <w:t xml:space="preserve">M.P. Eduardo Cifuentes Muñoz. </w:t>
      </w:r>
    </w:p>
  </w:footnote>
  <w:footnote w:id="3">
    <w:p w14:paraId="3C2A4833" w14:textId="77777777" w:rsidR="00313DBF" w:rsidRPr="00CA6FDA" w:rsidRDefault="00313DBF" w:rsidP="00313DBF">
      <w:pPr>
        <w:pStyle w:val="Textonotapie"/>
        <w:ind w:firstLine="708"/>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DROMI, José Roberto. La licitación pública. Buenos Aires: Ciudad Argentina, 1980. pp. 288-289.</w:t>
      </w:r>
    </w:p>
  </w:footnote>
  <w:footnote w:id="4">
    <w:p w14:paraId="3D209163" w14:textId="77777777" w:rsidR="00313DBF" w:rsidRPr="00CA6FDA" w:rsidRDefault="00313DBF" w:rsidP="00313DBF">
      <w:pPr>
        <w:pStyle w:val="Textonotapie"/>
        <w:ind w:firstLine="708"/>
        <w:jc w:val="both"/>
        <w:rPr>
          <w:rFonts w:ascii="Verdana" w:hAnsi="Verdana" w:cs="Arial"/>
          <w:sz w:val="16"/>
          <w:szCs w:val="16"/>
        </w:rPr>
      </w:pPr>
      <w:r w:rsidRPr="00CA6FDA">
        <w:rPr>
          <w:rStyle w:val="Refdenotaalpie"/>
          <w:rFonts w:ascii="Verdana" w:hAnsi="Verdana" w:cs="Arial"/>
          <w:sz w:val="16"/>
          <w:szCs w:val="16"/>
        </w:rPr>
        <w:footnoteRef/>
      </w:r>
      <w:r w:rsidRPr="00CA6FDA">
        <w:rPr>
          <w:rFonts w:ascii="Verdana" w:hAnsi="Verdana" w:cs="Arial"/>
          <w:sz w:val="16"/>
          <w:szCs w:val="16"/>
        </w:rPr>
        <w:t xml:space="preserve"> Para la jurisprudencia, “[…] los seguros de cumplimiento, específicamente, el de contratos estatales, son aquellos que garantizan al acreedor (entidad estatal) que serán resarcidos los daños que pueda provocar el incumplimiento de las obligaciones del deudor (contratista) dentro del marco de una relación contractual. Así, pues, el riesgo asegurado en esta categoría de seguros, visto de manera general, lo constituye el incumplimiento de las obligaciones contractuales a cargo del deudor (contratista), quien a su vez es el tomador de la póliza, de modo que el objeto de las obligaciones garantizadas es lo que determina o particulariza el riesgo asegurado” (CONSEJO DE ESTADO. Sección Tercera. Subsección A. Sentencia del 12 de febrero de 2015. Exp.  28278. C.P. Carlos Alberto Zambrano Barrera).</w:t>
      </w:r>
    </w:p>
  </w:footnote>
  <w:footnote w:id="5">
    <w:p w14:paraId="25765A09" w14:textId="77777777" w:rsidR="00313DBF" w:rsidRPr="00CA6FDA" w:rsidRDefault="00313DBF" w:rsidP="00313DBF">
      <w:pPr>
        <w:pStyle w:val="Textonotapie"/>
        <w:ind w:firstLine="709"/>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ORDÓÑEZ ORDÓÑEZ, Andrés E. Seguro de cumplimiento de los contratos estatales en Colombia. Bogotá: Universidad Externado de Colombia, 2011. p. 44.</w:t>
      </w:r>
    </w:p>
  </w:footnote>
  <w:footnote w:id="6">
    <w:p w14:paraId="4868C14B" w14:textId="77777777" w:rsidR="00313DBF" w:rsidRPr="00CA6FDA" w:rsidRDefault="00313DBF" w:rsidP="00313DBF">
      <w:pPr>
        <w:pStyle w:val="Textonotapie"/>
        <w:ind w:firstLine="709"/>
        <w:jc w:val="both"/>
        <w:rPr>
          <w:rFonts w:ascii="Verdana" w:hAnsi="Verdana" w:cs="Arial"/>
          <w:color w:val="000000" w:themeColor="text1"/>
          <w:sz w:val="16"/>
          <w:szCs w:val="16"/>
          <w:lang w:val="es-ES"/>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Al respecto, el inciso primero del artículo 1068 del Código de Comercio dispone lo siguiente: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 </w:t>
      </w:r>
      <w:r w:rsidRPr="00CA6FDA">
        <w:rPr>
          <w:rFonts w:ascii="Verdana" w:hAnsi="Verdana" w:cs="Arial"/>
          <w:color w:val="000000" w:themeColor="text1"/>
          <w:sz w:val="16"/>
          <w:szCs w:val="16"/>
          <w:lang w:val="es-ES"/>
        </w:rPr>
        <w:t xml:space="preserve">Igualmente, el inciso primero del artículo 1071 </w:t>
      </w:r>
      <w:r w:rsidRPr="00CA6FDA">
        <w:rPr>
          <w:rFonts w:ascii="Verdana" w:hAnsi="Verdana" w:cs="Arial"/>
          <w:i/>
          <w:iCs/>
          <w:color w:val="000000" w:themeColor="text1"/>
          <w:sz w:val="16"/>
          <w:szCs w:val="16"/>
          <w:lang w:val="es-ES"/>
        </w:rPr>
        <w:t>ibidem</w:t>
      </w:r>
      <w:r w:rsidRPr="00CA6FDA">
        <w:rPr>
          <w:rFonts w:ascii="Verdana" w:hAnsi="Verdana" w:cs="Arial"/>
          <w:color w:val="000000" w:themeColor="text1"/>
          <w:sz w:val="16"/>
          <w:szCs w:val="16"/>
          <w:lang w:val="es-ES"/>
        </w:rPr>
        <w:t xml:space="preserve"> prescribe: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  </w:t>
      </w:r>
    </w:p>
  </w:footnote>
  <w:footnote w:id="7">
    <w:p w14:paraId="75CC32A9" w14:textId="77777777" w:rsidR="00313DBF" w:rsidRPr="00CA6FDA" w:rsidRDefault="00313DBF" w:rsidP="00313DBF">
      <w:pPr>
        <w:pStyle w:val="Textonotapie"/>
        <w:ind w:firstLine="709"/>
        <w:jc w:val="both"/>
        <w:rPr>
          <w:rFonts w:ascii="Verdana" w:hAnsi="Verdana" w:cs="Arial"/>
          <w:color w:val="000000" w:themeColor="text1"/>
          <w:sz w:val="16"/>
          <w:szCs w:val="16"/>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ESCOBAR GIL, Rodrigo. Teoría general de los contratos de la Administración pública. Bogotá: Legis, 2000. p. 247. Respecto a las pólizas, la doctrina explica que “En rigor, el seguro no elimina el daño sino que tolera que sus consecuencias resulten transferidas (trasladadas) por el sujeto amenazado por un evento económicamente desfavorable, a otro (asegurador) que, a esos fines, ha constituido una mutualidad especialmente</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preparada para absorber el riesgo de indemnización</w:t>
      </w:r>
      <w:r>
        <w:rPr>
          <w:rFonts w:ascii="Verdana" w:hAnsi="Verdana" w:cs="Arial"/>
          <w:color w:val="000000" w:themeColor="text1"/>
          <w:sz w:val="16"/>
          <w:szCs w:val="16"/>
        </w:rPr>
        <w:t>’</w:t>
      </w:r>
      <w:r w:rsidRPr="00CA6FDA">
        <w:rPr>
          <w:rFonts w:ascii="Verdana" w:hAnsi="Verdana" w:cs="Arial"/>
          <w:color w:val="000000" w:themeColor="text1"/>
          <w:sz w:val="16"/>
          <w:szCs w:val="16"/>
        </w:rPr>
        <w:t>“</w:t>
      </w:r>
      <w:r>
        <w:rPr>
          <w:rFonts w:ascii="Verdana" w:hAnsi="Verdana" w:cs="Arial"/>
          <w:color w:val="000000" w:themeColor="text1"/>
          <w:sz w:val="16"/>
          <w:szCs w:val="16"/>
        </w:rPr>
        <w:t xml:space="preserve"> </w:t>
      </w:r>
      <w:r w:rsidRPr="00CA6FDA">
        <w:rPr>
          <w:rFonts w:ascii="Verdana" w:hAnsi="Verdana" w:cs="Arial"/>
          <w:color w:val="000000" w:themeColor="text1"/>
          <w:sz w:val="16"/>
          <w:szCs w:val="16"/>
        </w:rPr>
        <w:t>(Cfr. STIGLITZ, Rubén S. Derecho de seguros. Tomo I. Tercera Edición. Buenos Aires: Abeledo – Perrot, 2001. p. 21).</w:t>
      </w:r>
    </w:p>
  </w:footnote>
  <w:footnote w:id="8">
    <w:p w14:paraId="35C0641F"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14:paraId="30CDD44D"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En consecuencia, la Entidad Estatal en los pliegos de condiciones para la Contratación debe indicar las garantías que exige en cada Etapa del Contrato o cada Periodo Contractual así: </w:t>
      </w:r>
    </w:p>
    <w:p w14:paraId="63565C0C"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1. La Entidad Estatal debe exigir una garantía independiente para cada Etapa del Contrato o cada Periodo Contractual o cada unidad funcional en el caso de las Asociaciones Público</w:t>
      </w:r>
      <w:r>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 xml:space="preserve">Privadas, cuya vigencia debe ser por lo menos la misma establecida para la Etapa del Contrato o Periodo Contractual respectivo. </w:t>
      </w:r>
    </w:p>
    <w:p w14:paraId="03161C8B"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14:paraId="0251AE5B"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14:paraId="129A92D5"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footnote>
  <w:footnote w:id="9">
    <w:p w14:paraId="4EFFC193"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Style w:val="Refdenotaalpie"/>
          <w:rFonts w:ascii="Verdana" w:hAnsi="Verdana" w:cs="Arial"/>
          <w:color w:val="000000" w:themeColor="text1"/>
          <w:sz w:val="16"/>
          <w:szCs w:val="16"/>
        </w:rPr>
        <w:footnoteRef/>
      </w:r>
      <w:r w:rsidRPr="00CA6FDA">
        <w:rPr>
          <w:rFonts w:ascii="Verdana" w:hAnsi="Verdana" w:cs="Arial"/>
          <w:color w:val="000000" w:themeColor="text1"/>
          <w:sz w:val="16"/>
          <w:szCs w:val="16"/>
        </w:rPr>
        <w:t xml:space="preserve"> </w:t>
      </w:r>
      <w:r w:rsidRPr="00CA6FDA">
        <w:rPr>
          <w:rFonts w:ascii="Verdana" w:hAnsi="Verdana" w:cs="Arial"/>
          <w:color w:val="000000" w:themeColor="text1"/>
          <w:sz w:val="16"/>
          <w:szCs w:val="16"/>
          <w:lang w:val="es-CO"/>
        </w:rPr>
        <w:t xml:space="preserve">“Artículo </w:t>
      </w:r>
      <w:bookmarkStart w:id="2" w:name="_Hlk67919994"/>
      <w:r w:rsidRPr="00CA6FDA">
        <w:rPr>
          <w:rFonts w:ascii="Verdana" w:hAnsi="Verdana" w:cs="Arial"/>
          <w:color w:val="000000" w:themeColor="text1"/>
          <w:sz w:val="16"/>
          <w:szCs w:val="16"/>
          <w:lang w:val="es-CO"/>
        </w:rPr>
        <w:t>2.2.1.2.3.1.7</w:t>
      </w:r>
      <w:bookmarkEnd w:id="2"/>
      <w:r w:rsidRPr="00CA6FDA">
        <w:rPr>
          <w:rFonts w:ascii="Verdana" w:hAnsi="Verdana" w:cs="Arial"/>
          <w:color w:val="000000" w:themeColor="text1"/>
          <w:sz w:val="16"/>
          <w:szCs w:val="16"/>
          <w:lang w:val="es-CO"/>
        </w:rPr>
        <w:t xml:space="preserve">. Garantía de cumplimiento. La garantía de cumplimiento del contrato debe cubrir: </w:t>
      </w:r>
    </w:p>
    <w:p w14:paraId="44B21291" w14:textId="77777777" w:rsidR="00313DBF" w:rsidRPr="00CA6FDA" w:rsidRDefault="00313DBF" w:rsidP="00313DBF">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7E7F1718"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14:paraId="6CA5EC6D"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 Cumplimiento del contrato. Este amparo cubre a la Entidad Estatal de los perjuicios derivados de: </w:t>
      </w:r>
    </w:p>
    <w:p w14:paraId="346C036A" w14:textId="77777777" w:rsidR="00313DBF" w:rsidRPr="00CA6FDA" w:rsidRDefault="00313DBF" w:rsidP="00313DBF">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 xml:space="preserve">3.1. </w:t>
      </w:r>
      <w:bookmarkStart w:id="3" w:name="_Hlk67920056"/>
      <w:r w:rsidRPr="00CA6FDA">
        <w:rPr>
          <w:rFonts w:ascii="Verdana" w:hAnsi="Verdana" w:cs="Arial"/>
          <w:color w:val="000000" w:themeColor="text1"/>
          <w:sz w:val="16"/>
          <w:szCs w:val="16"/>
          <w:lang w:val="es-CO"/>
        </w:rPr>
        <w:t xml:space="preserve">El incumplimiento total o parcial del contrato, cuando el incumplimiento es imputable al contratista; </w:t>
      </w:r>
    </w:p>
    <w:p w14:paraId="2ECBD00D" w14:textId="77777777" w:rsidR="00313DBF" w:rsidRPr="00CA6FDA" w:rsidRDefault="00313DBF" w:rsidP="00313DBF">
      <w:pPr>
        <w:pStyle w:val="Textonotapie"/>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  </w:t>
      </w:r>
      <w:r w:rsidRPr="00CA6FDA">
        <w:rPr>
          <w:rFonts w:ascii="Verdana" w:hAnsi="Verdana" w:cs="Arial"/>
          <w:color w:val="000000" w:themeColor="text1"/>
          <w:sz w:val="16"/>
          <w:szCs w:val="16"/>
          <w:lang w:val="es-CO"/>
        </w:rPr>
        <w:tab/>
        <w:t xml:space="preserve">3.2. El cumplimiento tardío o defectuoso del contrato, cuando el incumplimiento es imputable al contratista; </w:t>
      </w:r>
    </w:p>
    <w:p w14:paraId="5BF954B1"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3.3. Los daños imputables al contratista por entregas parciales de la obra, cuando el contrato no prevé entregas parciales; y </w:t>
      </w:r>
    </w:p>
    <w:bookmarkEnd w:id="3"/>
    <w:p w14:paraId="0732FF91"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3.4. El pago del valor de las multas y de la cláusula penal pecuniaria. </w:t>
      </w:r>
    </w:p>
    <w:p w14:paraId="4A831B6B"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14:paraId="22BFA520"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La Entidad Estatal no debe exigir una garantía para cubrir este Riesgo en los contratos que se ejecuten fuera del territorio nacional con personal contratado bajo un régimen jurídico distinto al colombiano. </w:t>
      </w:r>
    </w:p>
    <w:p w14:paraId="2D2E7A84"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5. Estabilidad y calidad de la obra. Este amparo cubre a la Entidad Estatal de los perjuicios ocasionados por cualquier tipo de daño o deterioro, imputable al contratista, sufrido por la obra entregada a satisfacción. </w:t>
      </w:r>
    </w:p>
    <w:p w14:paraId="6B1EF523"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6. Calidad del servicio. Este amparo cubre a la Entidad Estatal por los perjuicios derivados de la deficiente calidad del servicio prestado. </w:t>
      </w:r>
    </w:p>
    <w:p w14:paraId="1DAF4218"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7. Calidad y correcto funcionamiento de los bienes. Este amparo debe cubrir la calidad y el correcto funcionamiento de los bienes que recibe la Entidad Estatal en cumplimiento de un contrato. </w:t>
      </w:r>
    </w:p>
    <w:p w14:paraId="6787484A"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r w:rsidRPr="00CA6FDA">
        <w:rPr>
          <w:rFonts w:ascii="Verdana" w:hAnsi="Verdana" w:cs="Arial"/>
          <w:color w:val="000000" w:themeColor="text1"/>
          <w:sz w:val="16"/>
          <w:szCs w:val="16"/>
          <w:lang w:val="es-CO"/>
        </w:rPr>
        <w:t xml:space="preserve">8. </w:t>
      </w:r>
      <w:bookmarkStart w:id="4" w:name="_Hlk143267015"/>
      <w:r w:rsidRPr="00CA6FDA">
        <w:rPr>
          <w:rFonts w:ascii="Verdana" w:hAnsi="Verdana" w:cs="Arial"/>
          <w:color w:val="000000" w:themeColor="text1"/>
          <w:sz w:val="16"/>
          <w:szCs w:val="16"/>
          <w:lang w:val="es-CO"/>
        </w:rPr>
        <w:t>Los demás incumplimientos de obligaciones que la Entidad Estatal considere deben ser amparados de manera proporcional y acorde a la naturaleza del contrato</w:t>
      </w:r>
      <w:bookmarkEnd w:id="4"/>
      <w:r w:rsidRPr="00CA6FDA">
        <w:rPr>
          <w:rFonts w:ascii="Verdana" w:hAnsi="Verdana" w:cs="Arial"/>
          <w:color w:val="000000" w:themeColor="text1"/>
          <w:sz w:val="16"/>
          <w:szCs w:val="16"/>
          <w:lang w:val="es-CO"/>
        </w:rPr>
        <w:t>”.</w:t>
      </w:r>
    </w:p>
    <w:p w14:paraId="4BED3A37" w14:textId="77777777" w:rsidR="00313DBF" w:rsidRPr="00CA6FDA" w:rsidRDefault="00313DBF" w:rsidP="00313DBF">
      <w:pPr>
        <w:pStyle w:val="Textonotapie"/>
        <w:ind w:firstLine="708"/>
        <w:jc w:val="both"/>
        <w:rPr>
          <w:rFonts w:ascii="Verdana" w:hAnsi="Verdana" w:cs="Arial"/>
          <w:color w:val="000000" w:themeColor="text1"/>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pt;height:11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5458"/>
    <w:rsid w:val="00046945"/>
    <w:rsid w:val="00061B2A"/>
    <w:rsid w:val="00065BD2"/>
    <w:rsid w:val="00082362"/>
    <w:rsid w:val="000A683E"/>
    <w:rsid w:val="000B19B9"/>
    <w:rsid w:val="000D0334"/>
    <w:rsid w:val="000F6486"/>
    <w:rsid w:val="00120AD5"/>
    <w:rsid w:val="00125105"/>
    <w:rsid w:val="00127233"/>
    <w:rsid w:val="001511A0"/>
    <w:rsid w:val="00165A5E"/>
    <w:rsid w:val="001756CC"/>
    <w:rsid w:val="00197886"/>
    <w:rsid w:val="001E4177"/>
    <w:rsid w:val="001F7DC6"/>
    <w:rsid w:val="00212EDB"/>
    <w:rsid w:val="00232725"/>
    <w:rsid w:val="002421BB"/>
    <w:rsid w:val="0025796E"/>
    <w:rsid w:val="002707A2"/>
    <w:rsid w:val="002951A0"/>
    <w:rsid w:val="002962BC"/>
    <w:rsid w:val="002A093D"/>
    <w:rsid w:val="002A0DD0"/>
    <w:rsid w:val="002A49AC"/>
    <w:rsid w:val="002A64FD"/>
    <w:rsid w:val="002C7A84"/>
    <w:rsid w:val="002D50A3"/>
    <w:rsid w:val="002E4FD9"/>
    <w:rsid w:val="00313DBF"/>
    <w:rsid w:val="00322A85"/>
    <w:rsid w:val="00324168"/>
    <w:rsid w:val="003448F4"/>
    <w:rsid w:val="00374F5E"/>
    <w:rsid w:val="00377E3E"/>
    <w:rsid w:val="00380518"/>
    <w:rsid w:val="003A779E"/>
    <w:rsid w:val="003D0F4D"/>
    <w:rsid w:val="003D5B0D"/>
    <w:rsid w:val="003E0499"/>
    <w:rsid w:val="003F3941"/>
    <w:rsid w:val="00406575"/>
    <w:rsid w:val="004134D8"/>
    <w:rsid w:val="00414C74"/>
    <w:rsid w:val="0042722E"/>
    <w:rsid w:val="0044528D"/>
    <w:rsid w:val="00466A7E"/>
    <w:rsid w:val="004A1847"/>
    <w:rsid w:val="004A305D"/>
    <w:rsid w:val="004C6EEF"/>
    <w:rsid w:val="004D3ED5"/>
    <w:rsid w:val="004F21C4"/>
    <w:rsid w:val="004F685F"/>
    <w:rsid w:val="005566E8"/>
    <w:rsid w:val="00574867"/>
    <w:rsid w:val="00590322"/>
    <w:rsid w:val="00591460"/>
    <w:rsid w:val="005B3816"/>
    <w:rsid w:val="005C3777"/>
    <w:rsid w:val="005C5CDC"/>
    <w:rsid w:val="005D476C"/>
    <w:rsid w:val="006219F8"/>
    <w:rsid w:val="00660BE7"/>
    <w:rsid w:val="00665D70"/>
    <w:rsid w:val="006900D9"/>
    <w:rsid w:val="00706C16"/>
    <w:rsid w:val="00707E96"/>
    <w:rsid w:val="00723EC7"/>
    <w:rsid w:val="00746C21"/>
    <w:rsid w:val="00756841"/>
    <w:rsid w:val="007649AB"/>
    <w:rsid w:val="00771D0C"/>
    <w:rsid w:val="00776B72"/>
    <w:rsid w:val="007833AC"/>
    <w:rsid w:val="00794E5F"/>
    <w:rsid w:val="007B268C"/>
    <w:rsid w:val="007B7171"/>
    <w:rsid w:val="007C0C0F"/>
    <w:rsid w:val="007C3DC2"/>
    <w:rsid w:val="007E2952"/>
    <w:rsid w:val="007E3A04"/>
    <w:rsid w:val="007E5497"/>
    <w:rsid w:val="00806F5F"/>
    <w:rsid w:val="008125CC"/>
    <w:rsid w:val="00820278"/>
    <w:rsid w:val="008308E2"/>
    <w:rsid w:val="00867F95"/>
    <w:rsid w:val="008843B6"/>
    <w:rsid w:val="00891928"/>
    <w:rsid w:val="008A446D"/>
    <w:rsid w:val="008D180B"/>
    <w:rsid w:val="008F0EA7"/>
    <w:rsid w:val="00923EEF"/>
    <w:rsid w:val="009419F9"/>
    <w:rsid w:val="00947917"/>
    <w:rsid w:val="0095685E"/>
    <w:rsid w:val="00961B09"/>
    <w:rsid w:val="00965334"/>
    <w:rsid w:val="0097093E"/>
    <w:rsid w:val="00986AC5"/>
    <w:rsid w:val="009A0DFA"/>
    <w:rsid w:val="009A1246"/>
    <w:rsid w:val="009B2D26"/>
    <w:rsid w:val="009C71FA"/>
    <w:rsid w:val="009C72E7"/>
    <w:rsid w:val="009D2F87"/>
    <w:rsid w:val="009D3058"/>
    <w:rsid w:val="009F3A13"/>
    <w:rsid w:val="00A122D3"/>
    <w:rsid w:val="00A17F13"/>
    <w:rsid w:val="00A20739"/>
    <w:rsid w:val="00A33C78"/>
    <w:rsid w:val="00AB0ADB"/>
    <w:rsid w:val="00AD392F"/>
    <w:rsid w:val="00B01B1A"/>
    <w:rsid w:val="00B06AA5"/>
    <w:rsid w:val="00B66319"/>
    <w:rsid w:val="00B71A18"/>
    <w:rsid w:val="00B72CD3"/>
    <w:rsid w:val="00B72FFF"/>
    <w:rsid w:val="00B76121"/>
    <w:rsid w:val="00BC3D36"/>
    <w:rsid w:val="00BD7F72"/>
    <w:rsid w:val="00C04FB3"/>
    <w:rsid w:val="00C330EB"/>
    <w:rsid w:val="00C41061"/>
    <w:rsid w:val="00C50DF8"/>
    <w:rsid w:val="00C754BE"/>
    <w:rsid w:val="00C76B1C"/>
    <w:rsid w:val="00C80EA4"/>
    <w:rsid w:val="00C863FA"/>
    <w:rsid w:val="00CB20DD"/>
    <w:rsid w:val="00CB6357"/>
    <w:rsid w:val="00CC1B26"/>
    <w:rsid w:val="00D423A2"/>
    <w:rsid w:val="00D44600"/>
    <w:rsid w:val="00D520D8"/>
    <w:rsid w:val="00D63AC2"/>
    <w:rsid w:val="00D64F11"/>
    <w:rsid w:val="00D7383B"/>
    <w:rsid w:val="00D7772E"/>
    <w:rsid w:val="00DA231B"/>
    <w:rsid w:val="00DC39FC"/>
    <w:rsid w:val="00DF5254"/>
    <w:rsid w:val="00E16408"/>
    <w:rsid w:val="00E20894"/>
    <w:rsid w:val="00E22FEB"/>
    <w:rsid w:val="00E245AB"/>
    <w:rsid w:val="00E2748C"/>
    <w:rsid w:val="00E2764C"/>
    <w:rsid w:val="00E27F2E"/>
    <w:rsid w:val="00E31708"/>
    <w:rsid w:val="00E50AFE"/>
    <w:rsid w:val="00E64CC6"/>
    <w:rsid w:val="00E75C92"/>
    <w:rsid w:val="00E771DC"/>
    <w:rsid w:val="00E8772A"/>
    <w:rsid w:val="00E90F6B"/>
    <w:rsid w:val="00E92C27"/>
    <w:rsid w:val="00EA0E3D"/>
    <w:rsid w:val="00EA6B1F"/>
    <w:rsid w:val="00EB419B"/>
    <w:rsid w:val="00EC38A7"/>
    <w:rsid w:val="00ED7384"/>
    <w:rsid w:val="00EE1AA8"/>
    <w:rsid w:val="00F0275C"/>
    <w:rsid w:val="00F31EDC"/>
    <w:rsid w:val="00F462B3"/>
    <w:rsid w:val="00F5664F"/>
    <w:rsid w:val="00F666C4"/>
    <w:rsid w:val="00F76AFC"/>
    <w:rsid w:val="00FA47C0"/>
    <w:rsid w:val="00FB5DD1"/>
    <w:rsid w:val="00FC2B5D"/>
    <w:rsid w:val="00FF1449"/>
    <w:rsid w:val="35A098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13DB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13DBF"/>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isbcardona@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2.xml><?xml version="1.0" encoding="utf-8"?>
<ds:datastoreItem xmlns:ds="http://schemas.openxmlformats.org/officeDocument/2006/customXml" ds:itemID="{E04016BA-0153-4E18-9D88-10AB2F10B5E0}"/>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4215</Words>
  <Characters>23188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6</cp:revision>
  <cp:lastPrinted>2023-01-10T21:18:00Z</cp:lastPrinted>
  <dcterms:created xsi:type="dcterms:W3CDTF">2024-12-10T03:47:00Z</dcterms:created>
  <dcterms:modified xsi:type="dcterms:W3CDTF">2024-12-10T22:33:00Z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