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C0E22" w14:textId="77777777" w:rsidR="00E64475" w:rsidRDefault="00E64475" w:rsidP="00E245AB">
      <w:pPr>
        <w:spacing w:after="0"/>
        <w:rPr>
          <w:rFonts w:ascii="Verdana" w:hAnsi="Verdana"/>
        </w:rPr>
      </w:pPr>
      <w:bookmarkStart w:id="0" w:name="_Hlk143780582"/>
    </w:p>
    <w:p w14:paraId="463F29C1" w14:textId="77777777" w:rsidR="00E64475" w:rsidRPr="004C6846" w:rsidRDefault="00E64475" w:rsidP="00E64475">
      <w:pPr>
        <w:spacing w:line="276" w:lineRule="auto"/>
        <w:jc w:val="both"/>
        <w:rPr>
          <w:rFonts w:ascii="Verdana" w:eastAsia="Calibri" w:hAnsi="Verdana" w:cs="Arial"/>
          <w:b/>
          <w:bCs/>
        </w:rPr>
      </w:pPr>
      <w:r w:rsidRPr="004C6846">
        <w:rPr>
          <w:rFonts w:ascii="Verdana" w:eastAsia="Calibri" w:hAnsi="Verdana" w:cs="Arial"/>
          <w:b/>
          <w:bCs/>
        </w:rPr>
        <w:t>SUBSANABILIDAD DE LAS OFERTAS – Alcance de la regla – Ley 1882 de 2018– Ámbito temporal – Criterio material</w:t>
      </w:r>
    </w:p>
    <w:p w14:paraId="0031A2CA" w14:textId="77777777" w:rsidR="00E64475" w:rsidRPr="004C6846" w:rsidRDefault="00E64475" w:rsidP="00E64475">
      <w:pPr>
        <w:spacing w:after="0" w:line="240" w:lineRule="auto"/>
        <w:contextualSpacing/>
        <w:jc w:val="both"/>
        <w:rPr>
          <w:rFonts w:ascii="Verdana" w:hAnsi="Verdana" w:cs="Arial"/>
          <w:lang w:val="es-ES_tradnl"/>
          <w14:ligatures w14:val="standardContextual"/>
        </w:rPr>
      </w:pPr>
      <w:r w:rsidRPr="004C6846">
        <w:rPr>
          <w:rFonts w:ascii="Verdana" w:eastAsia="Calibri" w:hAnsi="Verdana" w:cs="Arial"/>
          <w:lang w:val="es-ES_tradnl"/>
        </w:rPr>
        <w:t xml:space="preserve">“[…] </w:t>
      </w:r>
      <w:r w:rsidRPr="004C6846">
        <w:rPr>
          <w:rFonts w:ascii="Verdana" w:hAnsi="Verdana" w:cs="Arial"/>
          <w:lang w:val="es-ES_tradnl"/>
          <w14:ligatures w14:val="standardContextual"/>
        </w:rPr>
        <w:t xml:space="preserve">Como puede observarse, la Ley 1882 de 2018: i) mantiene el criterio de la Ley 80 de 1993, relativo a que todo lo que no sea necesario para la comparación de propuestas no es título suficiente para su rechazo; </w:t>
      </w:r>
      <w:proofErr w:type="spellStart"/>
      <w:r w:rsidRPr="004C6846">
        <w:rPr>
          <w:rFonts w:ascii="Verdana" w:hAnsi="Verdana" w:cs="Arial"/>
          <w:lang w:val="es-ES_tradnl"/>
          <w14:ligatures w14:val="standardContextual"/>
        </w:rPr>
        <w:t>ii</w:t>
      </w:r>
      <w:proofErr w:type="spellEnd"/>
      <w:r w:rsidRPr="004C6846">
        <w:rPr>
          <w:rFonts w:ascii="Verdana" w:hAnsi="Verdana" w:cs="Arial"/>
          <w:lang w:val="es-ES_tradnl"/>
          <w14:ligatures w14:val="standardContextual"/>
        </w:rPr>
        <w:t xml:space="preserve">) mantiene el criterio aclaratorio de la Ley 1150 de 2007, según el cual todo lo que no afecte la asignación de puntaje puede subsanarse y, </w:t>
      </w:r>
      <w:proofErr w:type="spellStart"/>
      <w:r w:rsidRPr="004C6846">
        <w:rPr>
          <w:rFonts w:ascii="Verdana" w:hAnsi="Verdana" w:cs="Arial"/>
          <w:lang w:val="es-ES_tradnl"/>
          <w14:ligatures w14:val="standardContextual"/>
        </w:rPr>
        <w:t>iii</w:t>
      </w:r>
      <w:proofErr w:type="spellEnd"/>
      <w:r w:rsidRPr="004C6846">
        <w:rPr>
          <w:rFonts w:ascii="Verdana" w:hAnsi="Verdana" w:cs="Arial"/>
          <w:lang w:val="es-ES_tradnl"/>
          <w14:ligatures w14:val="standardContextual"/>
        </w:rPr>
        <w:t xml:space="preserve">) introduce modificaciones en relación con algunos aspectos que se analizarán a continuación. </w:t>
      </w:r>
    </w:p>
    <w:p w14:paraId="0B3ED26A" w14:textId="77777777" w:rsidR="00E64475" w:rsidRPr="004C6846" w:rsidRDefault="00E64475" w:rsidP="00E64475">
      <w:pPr>
        <w:spacing w:after="0" w:line="240" w:lineRule="auto"/>
        <w:contextualSpacing/>
        <w:jc w:val="both"/>
        <w:rPr>
          <w:rFonts w:ascii="Verdana" w:hAnsi="Verdana" w:cs="Arial"/>
          <w:lang w:val="es-ES_tradnl"/>
        </w:rPr>
      </w:pPr>
    </w:p>
    <w:p w14:paraId="041AD460" w14:textId="77777777" w:rsidR="00E64475" w:rsidRPr="004C6846" w:rsidRDefault="00E64475" w:rsidP="00E64475">
      <w:pPr>
        <w:spacing w:after="0" w:line="240" w:lineRule="auto"/>
        <w:contextualSpacing/>
        <w:jc w:val="both"/>
        <w:rPr>
          <w:rFonts w:ascii="Verdana" w:eastAsia="Calibri" w:hAnsi="Verdana" w:cs="Arial"/>
          <w:lang w:val="es-ES_tradnl"/>
        </w:rPr>
      </w:pPr>
      <w:r w:rsidRPr="004C6846">
        <w:rPr>
          <w:rFonts w:ascii="Verdana" w:hAnsi="Verdana" w:cs="Arial"/>
          <w:i/>
          <w:iCs/>
          <w:lang w:val="es-ES_tradnl"/>
          <w14:ligatures w14:val="standardContextual"/>
        </w:rPr>
        <w:t>El primero</w:t>
      </w:r>
      <w:r w:rsidRPr="004C6846">
        <w:rPr>
          <w:rFonts w:ascii="Verdana" w:hAnsi="Verdana" w:cs="Arial"/>
          <w:lang w:val="es-ES_tradnl"/>
          <w14:ligatures w14:val="standardContextual"/>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w:t>
      </w:r>
      <w:r w:rsidRPr="004C6846">
        <w:rPr>
          <w:rFonts w:ascii="Verdana" w:eastAsia="Calibri" w:hAnsi="Verdana" w:cs="Arial"/>
          <w:lang w:val="es-ES_tradnl"/>
          <w14:ligatures w14:val="standardContextual"/>
        </w:rPr>
        <w:t>de selección a través del sistema de subasta, este último al cual hace referencia en su consulta, y en el que los documentos o requisitos subsanables pueden y deben solicitarse por parte de las entidades estatales, como límite, hasta el momento previo a la celebración de la audiencia</w:t>
      </w:r>
      <w:r w:rsidRPr="004C6846">
        <w:rPr>
          <w:rFonts w:ascii="Verdana" w:eastAsia="Calibri" w:hAnsi="Verdana" w:cs="Arial"/>
          <w:lang w:val="es-ES_tradnl"/>
        </w:rPr>
        <w:t xml:space="preserve"> […]</w:t>
      </w:r>
    </w:p>
    <w:p w14:paraId="14521AA5" w14:textId="77777777" w:rsidR="00E64475" w:rsidRPr="004C6846" w:rsidRDefault="00E64475" w:rsidP="00E64475">
      <w:pPr>
        <w:spacing w:after="0" w:line="240" w:lineRule="auto"/>
        <w:contextualSpacing/>
        <w:jc w:val="both"/>
        <w:rPr>
          <w:rFonts w:ascii="Verdana" w:eastAsia="Calibri" w:hAnsi="Verdana" w:cs="Arial"/>
          <w:lang w:val="es-ES_tradnl"/>
        </w:rPr>
      </w:pPr>
    </w:p>
    <w:p w14:paraId="2CD4E3DE" w14:textId="77777777" w:rsidR="00E64475" w:rsidRPr="004C6846" w:rsidRDefault="00E64475" w:rsidP="00E64475">
      <w:pPr>
        <w:spacing w:line="240" w:lineRule="auto"/>
        <w:contextualSpacing/>
        <w:jc w:val="both"/>
        <w:rPr>
          <w:rFonts w:ascii="Verdana" w:hAnsi="Verdana" w:cs="Arial"/>
          <w:lang w:val="es-ES_tradnl"/>
        </w:rPr>
      </w:pPr>
      <w:r w:rsidRPr="004C6846">
        <w:rPr>
          <w:rFonts w:ascii="Verdana" w:eastAsia="Calibri" w:hAnsi="Verdana" w:cs="Arial"/>
          <w:lang w:val="es-ES_tradnl"/>
          <w14:ligatures w14:val="standardContextual"/>
        </w:rPr>
        <w:t xml:space="preserve">De otro lado, </w:t>
      </w:r>
      <w:r w:rsidRPr="004C6846">
        <w:rPr>
          <w:rFonts w:ascii="Verdana" w:eastAsia="Calibri" w:hAnsi="Verdana" w:cs="Arial"/>
          <w:i/>
          <w:iCs/>
          <w:lang w:val="es-ES_tradnl"/>
          <w14:ligatures w14:val="standardContextual"/>
        </w:rPr>
        <w:t>el segundo</w:t>
      </w:r>
      <w:r w:rsidRPr="004C6846">
        <w:rPr>
          <w:rFonts w:ascii="Verdana" w:eastAsia="Calibri" w:hAnsi="Verdana" w:cs="Arial"/>
          <w:lang w:val="es-ES_tradnl"/>
          <w14:ligatures w14:val="standardContextual"/>
        </w:rPr>
        <w:t xml:space="preserve"> cambio importante de la Ley 1882 de 2018 fue la introducción de un criterio material, directamente relacionado con los aspectos subsanables: “</w:t>
      </w:r>
      <w:r w:rsidRPr="004C6846">
        <w:rPr>
          <w:rFonts w:ascii="Verdana" w:hAnsi="Verdana" w:cs="Arial"/>
          <w:lang w:val="es-ES_tradnl"/>
          <w14:ligatures w14:val="standardContextual"/>
        </w:rPr>
        <w:t xml:space="preserve">los proponentes no podrán acreditar circunstancias ocurridas con posterioridad al cierre del proceso”. Lo anterior ofrece dos aspectos que merecen clarificación; primero, qué debe entenderse por circunstancias ocurridas con posterioridad; y segundo, qué es el cierre del proceso. </w:t>
      </w:r>
    </w:p>
    <w:p w14:paraId="7E3689DF" w14:textId="77777777" w:rsidR="00E64475" w:rsidRPr="004C6846" w:rsidRDefault="00E64475" w:rsidP="00E64475">
      <w:pPr>
        <w:spacing w:after="0" w:line="240" w:lineRule="auto"/>
        <w:contextualSpacing/>
        <w:jc w:val="both"/>
        <w:rPr>
          <w:rFonts w:ascii="Verdana" w:hAnsi="Verdana" w:cs="Arial"/>
          <w:lang w:val="es-ES_tradnl"/>
          <w14:ligatures w14:val="standardContextual"/>
        </w:rPr>
      </w:pPr>
    </w:p>
    <w:p w14:paraId="0D542222" w14:textId="77777777" w:rsidR="00E64475" w:rsidRPr="004C6846" w:rsidRDefault="00E64475" w:rsidP="00E64475">
      <w:pPr>
        <w:spacing w:after="0" w:line="240" w:lineRule="auto"/>
        <w:contextualSpacing/>
        <w:jc w:val="both"/>
        <w:rPr>
          <w:rFonts w:ascii="Verdana" w:hAnsi="Verdana" w:cs="Arial"/>
          <w:lang w:val="es-ES_tradnl"/>
        </w:rPr>
      </w:pPr>
      <w:r w:rsidRPr="004C6846">
        <w:rPr>
          <w:rFonts w:ascii="Verdana" w:hAnsi="Verdana" w:cs="Arial"/>
          <w:lang w:val="es-ES_tradnl"/>
        </w:rPr>
        <w:t xml:space="preserve">[…] </w:t>
      </w:r>
    </w:p>
    <w:p w14:paraId="6FAE180A" w14:textId="77777777" w:rsidR="00E64475" w:rsidRPr="004C6846" w:rsidRDefault="00E64475" w:rsidP="00E64475">
      <w:pPr>
        <w:spacing w:after="0" w:line="240" w:lineRule="auto"/>
        <w:contextualSpacing/>
        <w:jc w:val="both"/>
        <w:rPr>
          <w:rFonts w:ascii="Verdana" w:hAnsi="Verdana" w:cs="Arial"/>
          <w:lang w:val="es-ES_tradnl"/>
        </w:rPr>
      </w:pPr>
    </w:p>
    <w:p w14:paraId="04DD1F7D" w14:textId="77777777" w:rsidR="00E64475" w:rsidRPr="004C6846" w:rsidRDefault="00E64475" w:rsidP="00E64475">
      <w:pPr>
        <w:spacing w:after="0" w:line="240" w:lineRule="auto"/>
        <w:contextualSpacing/>
        <w:jc w:val="both"/>
        <w:rPr>
          <w:rFonts w:ascii="Verdana" w:eastAsia="Calibri" w:hAnsi="Verdana" w:cs="Arial"/>
          <w:lang w:val="es-ES_tradnl"/>
          <w14:ligatures w14:val="standardContextual"/>
        </w:rPr>
      </w:pPr>
      <w:r w:rsidRPr="004C6846">
        <w:rPr>
          <w:rFonts w:ascii="Verdana" w:eastAsia="Calibri" w:hAnsi="Verdana" w:cs="Arial"/>
          <w:lang w:val="es-ES_tradnl"/>
          <w14:ligatures w14:val="standardContextua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r w:rsidRPr="004C6846">
        <w:rPr>
          <w:rFonts w:ascii="Verdana" w:eastAsia="Calibri" w:hAnsi="Verdana" w:cs="Arial"/>
          <w:lang w:val="es-ES_tradnl"/>
        </w:rPr>
        <w:t>[…]”</w:t>
      </w:r>
    </w:p>
    <w:p w14:paraId="320DA899" w14:textId="77777777" w:rsidR="00E64475" w:rsidRPr="004C6846" w:rsidRDefault="00E64475" w:rsidP="00E64475">
      <w:pPr>
        <w:spacing w:line="276" w:lineRule="auto"/>
        <w:jc w:val="both"/>
        <w:rPr>
          <w:rFonts w:ascii="Verdana" w:eastAsia="Calibri" w:hAnsi="Verdana" w:cs="Arial"/>
          <w:b/>
          <w:bCs/>
          <w:lang w:val="es-ES_tradnl"/>
        </w:rPr>
      </w:pPr>
    </w:p>
    <w:p w14:paraId="2406FDE4" w14:textId="77777777" w:rsidR="00E64475" w:rsidRDefault="00E64475" w:rsidP="00E245AB">
      <w:pPr>
        <w:spacing w:after="0"/>
        <w:rPr>
          <w:rFonts w:ascii="Verdana" w:hAnsi="Verdana"/>
        </w:rPr>
      </w:pPr>
    </w:p>
    <w:p w14:paraId="2A2FB545" w14:textId="77777777" w:rsidR="00E64475" w:rsidRDefault="00E64475" w:rsidP="00E245AB">
      <w:pPr>
        <w:spacing w:after="0"/>
        <w:rPr>
          <w:rFonts w:ascii="Verdana" w:hAnsi="Verdana"/>
        </w:rPr>
      </w:pPr>
    </w:p>
    <w:p w14:paraId="45091784" w14:textId="77777777" w:rsidR="00E64475" w:rsidRDefault="00E64475" w:rsidP="00E245AB">
      <w:pPr>
        <w:spacing w:after="0"/>
        <w:rPr>
          <w:rFonts w:ascii="Verdana" w:hAnsi="Verdana"/>
        </w:rPr>
      </w:pPr>
    </w:p>
    <w:p w14:paraId="616E7BE5" w14:textId="77777777" w:rsidR="00E64475" w:rsidRDefault="00E64475" w:rsidP="00E245AB">
      <w:pPr>
        <w:spacing w:after="0"/>
        <w:rPr>
          <w:rFonts w:ascii="Verdana" w:hAnsi="Verdana"/>
        </w:rPr>
      </w:pPr>
    </w:p>
    <w:p w14:paraId="5114B718" w14:textId="77777777" w:rsidR="00E64475" w:rsidRDefault="00E64475" w:rsidP="00E245AB">
      <w:pPr>
        <w:spacing w:after="0"/>
        <w:rPr>
          <w:rFonts w:ascii="Verdana" w:hAnsi="Verdana"/>
        </w:rPr>
      </w:pPr>
    </w:p>
    <w:p w14:paraId="60CD7CF2" w14:textId="77777777" w:rsidR="00E64475" w:rsidRDefault="00E64475" w:rsidP="00E245AB">
      <w:pPr>
        <w:spacing w:after="0"/>
        <w:rPr>
          <w:rFonts w:ascii="Verdana" w:hAnsi="Verdana"/>
        </w:rPr>
      </w:pPr>
    </w:p>
    <w:p w14:paraId="3FE2184B" w14:textId="22C0FD98" w:rsidR="00E245AB" w:rsidRPr="0044528D" w:rsidRDefault="00E245AB" w:rsidP="00E245AB">
      <w:pPr>
        <w:spacing w:after="0"/>
        <w:rPr>
          <w:rFonts w:ascii="Verdana" w:hAnsi="Verdana"/>
        </w:rPr>
      </w:pPr>
      <w:r w:rsidRPr="0044528D">
        <w:rPr>
          <w:rFonts w:ascii="Verdana" w:hAnsi="Verdana"/>
        </w:rPr>
        <w:t xml:space="preserve">Bogotá D.C., </w:t>
      </w:r>
      <w:r w:rsidR="00891928" w:rsidRPr="0044528D">
        <w:rPr>
          <w:rFonts w:ascii="Verdana" w:hAnsi="Verdana"/>
        </w:rPr>
        <w:t xml:space="preserve">[Día] </w:t>
      </w:r>
      <w:r w:rsidR="001511A0" w:rsidRPr="001511A0">
        <w:rPr>
          <w:rFonts w:ascii="Verdana" w:hAnsi="Verdana"/>
        </w:rPr>
        <w:t>[</w:t>
      </w:r>
      <w:proofErr w:type="spellStart"/>
      <w:r w:rsidR="001511A0" w:rsidRPr="001511A0">
        <w:rPr>
          <w:rFonts w:ascii="Verdana" w:hAnsi="Verdana"/>
        </w:rPr>
        <w:t>Mes.NombreCapitalizado</w:t>
      </w:r>
      <w:proofErr w:type="spellEnd"/>
      <w:r w:rsidR="001511A0" w:rsidRPr="001511A0">
        <w:rPr>
          <w:rFonts w:ascii="Verdana" w:hAnsi="Verdana"/>
        </w:rPr>
        <w:t xml:space="preserve">] </w:t>
      </w:r>
      <w:r w:rsidR="00891928" w:rsidRPr="0044528D">
        <w:rPr>
          <w:rFonts w:ascii="Verdana" w:hAnsi="Verdana"/>
        </w:rPr>
        <w:t>[Año]</w:t>
      </w:r>
      <w:r w:rsidR="00891928" w:rsidRPr="0044528D">
        <w:rPr>
          <w:rFonts w:ascii="Verdana" w:hAnsi="Verdana"/>
        </w:rPr>
        <w:tab/>
      </w:r>
    </w:p>
    <w:p w14:paraId="30C063A2" w14:textId="5AAFB9F6" w:rsidR="00E6106F" w:rsidRDefault="00E6106F" w:rsidP="00E6106F">
      <w:pPr>
        <w:spacing w:after="0"/>
        <w:rPr>
          <w:rFonts w:ascii="Verdana" w:hAnsi="Verdana"/>
        </w:rPr>
      </w:pPr>
    </w:p>
    <w:p w14:paraId="5FBB1764" w14:textId="227DF3ED" w:rsidR="00E6106F" w:rsidRDefault="00187A3C" w:rsidP="00E6106F">
      <w:pPr>
        <w:spacing w:after="0"/>
        <w:rPr>
          <w:rFonts w:ascii="Verdana" w:hAnsi="Verdana"/>
        </w:rPr>
      </w:pPr>
      <w:r w:rsidRPr="00187A3C">
        <w:rPr>
          <w:rFonts w:ascii="Verdana" w:hAnsi="Verdana"/>
          <w:noProof/>
        </w:rPr>
        <w:drawing>
          <wp:anchor distT="0" distB="0" distL="114300" distR="114300" simplePos="0" relativeHeight="251658240" behindDoc="1" locked="0" layoutInCell="1" allowOverlap="1" wp14:anchorId="622C2139" wp14:editId="5431B798">
            <wp:simplePos x="0" y="0"/>
            <wp:positionH relativeFrom="column">
              <wp:posOffset>3529137</wp:posOffset>
            </wp:positionH>
            <wp:positionV relativeFrom="paragraph">
              <wp:posOffset>13970</wp:posOffset>
            </wp:positionV>
            <wp:extent cx="2915478" cy="838200"/>
            <wp:effectExtent l="0" t="0" r="0" b="0"/>
            <wp:wrapNone/>
            <wp:docPr id="7167975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797593" name=""/>
                    <pic:cNvPicPr/>
                  </pic:nvPicPr>
                  <pic:blipFill>
                    <a:blip r:embed="rId10">
                      <a:extLst>
                        <a:ext uri="{28A0092B-C50C-407E-A947-70E740481C1C}">
                          <a14:useLocalDpi xmlns:a14="http://schemas.microsoft.com/office/drawing/2010/main" val="0"/>
                        </a:ext>
                      </a:extLst>
                    </a:blip>
                    <a:stretch>
                      <a:fillRect/>
                    </a:stretch>
                  </pic:blipFill>
                  <pic:spPr>
                    <a:xfrm>
                      <a:off x="0" y="0"/>
                      <a:ext cx="2919164" cy="839260"/>
                    </a:xfrm>
                    <a:prstGeom prst="rect">
                      <a:avLst/>
                    </a:prstGeom>
                  </pic:spPr>
                </pic:pic>
              </a:graphicData>
            </a:graphic>
            <wp14:sizeRelH relativeFrom="page">
              <wp14:pctWidth>0</wp14:pctWidth>
            </wp14:sizeRelH>
            <wp14:sizeRelV relativeFrom="page">
              <wp14:pctHeight>0</wp14:pctHeight>
            </wp14:sizeRelV>
          </wp:anchor>
        </w:drawing>
      </w:r>
    </w:p>
    <w:p w14:paraId="277D337E" w14:textId="77777777" w:rsidR="00E6106F" w:rsidRPr="00560511" w:rsidRDefault="00E6106F" w:rsidP="00E6106F">
      <w:pPr>
        <w:spacing w:after="0" w:line="240" w:lineRule="auto"/>
        <w:jc w:val="both"/>
        <w:rPr>
          <w:rFonts w:ascii="Verdana" w:eastAsia="Calibri" w:hAnsi="Verdana" w:cs="Arial"/>
          <w:lang w:eastAsia="es-ES"/>
        </w:rPr>
      </w:pPr>
      <w:r w:rsidRPr="00560511">
        <w:rPr>
          <w:rFonts w:ascii="Verdana" w:eastAsia="Calibri" w:hAnsi="Verdana" w:cs="Arial"/>
          <w:lang w:eastAsia="es-ES"/>
        </w:rPr>
        <w:t>Señor</w:t>
      </w:r>
    </w:p>
    <w:p w14:paraId="092D2C4A" w14:textId="72404EEA" w:rsidR="00E6106F" w:rsidRDefault="00F962A5" w:rsidP="00E6106F">
      <w:pPr>
        <w:spacing w:after="0" w:line="240" w:lineRule="auto"/>
        <w:rPr>
          <w:rFonts w:ascii="Verdana" w:eastAsia="Calibri" w:hAnsi="Verdana" w:cs="Arial"/>
          <w:b/>
          <w:bCs/>
          <w:lang w:eastAsia="es-ES_tradnl"/>
        </w:rPr>
      </w:pPr>
      <w:r w:rsidRPr="00723C32">
        <w:rPr>
          <w:rFonts w:ascii="Verdana" w:eastAsia="Calibri" w:hAnsi="Verdana" w:cs="Arial"/>
          <w:b/>
          <w:bCs/>
          <w:lang w:eastAsia="es-ES_tradnl"/>
        </w:rPr>
        <w:t xml:space="preserve">Genny Lucia Medina Cano </w:t>
      </w:r>
    </w:p>
    <w:p w14:paraId="2508B940" w14:textId="77777777" w:rsidR="00E6106F" w:rsidRDefault="00E6106F" w:rsidP="00E6106F">
      <w:pPr>
        <w:spacing w:after="0" w:line="240" w:lineRule="auto"/>
        <w:rPr>
          <w:rFonts w:ascii="Verdana" w:eastAsia="Calibri" w:hAnsi="Verdana" w:cs="Arial"/>
          <w:u w:val="single"/>
          <w:lang w:eastAsia="es-ES"/>
        </w:rPr>
      </w:pPr>
      <w:hyperlink r:id="rId11" w:history="1">
        <w:r w:rsidRPr="008D5A12">
          <w:rPr>
            <w:rStyle w:val="Hipervnculo"/>
            <w:rFonts w:ascii="Verdana" w:eastAsia="Calibri" w:hAnsi="Verdana" w:cs="Arial"/>
            <w:lang w:eastAsia="es-ES"/>
          </w:rPr>
          <w:t>contratacion@paratebueno-cundinamarca.gov.co</w:t>
        </w:r>
      </w:hyperlink>
    </w:p>
    <w:p w14:paraId="5AB77FB9" w14:textId="77777777" w:rsidR="00E6106F" w:rsidRDefault="00E6106F" w:rsidP="00E6106F">
      <w:pPr>
        <w:spacing w:after="0" w:line="240" w:lineRule="auto"/>
        <w:rPr>
          <w:rFonts w:ascii="Verdana" w:eastAsia="Calibri" w:hAnsi="Verdana" w:cs="Arial"/>
          <w:lang w:val="es-ES" w:eastAsia="es-ES"/>
        </w:rPr>
      </w:pPr>
      <w:r>
        <w:rPr>
          <w:rFonts w:ascii="Verdana" w:eastAsia="Calibri" w:hAnsi="Verdana" w:cs="Arial"/>
          <w:lang w:val="es-ES" w:eastAsia="es-ES"/>
        </w:rPr>
        <w:t>Bogotá D.C.</w:t>
      </w:r>
    </w:p>
    <w:p w14:paraId="4CABD43E" w14:textId="77777777" w:rsidR="00E6106F" w:rsidRDefault="00E6106F" w:rsidP="00E6106F">
      <w:pPr>
        <w:spacing w:after="0" w:line="240" w:lineRule="auto"/>
        <w:rPr>
          <w:rFonts w:ascii="Verdana" w:eastAsia="Calibri" w:hAnsi="Verdana" w:cs="Arial"/>
          <w:lang w:val="es-ES" w:eastAsia="es-ES"/>
        </w:rPr>
      </w:pPr>
    </w:p>
    <w:p w14:paraId="76FA27E9" w14:textId="77777777" w:rsidR="00E6106F" w:rsidRPr="00B96799" w:rsidRDefault="00E6106F" w:rsidP="00E6106F">
      <w:pPr>
        <w:spacing w:after="0" w:line="240" w:lineRule="auto"/>
        <w:jc w:val="right"/>
        <w:rPr>
          <w:rFonts w:ascii="Verdana" w:eastAsia="Calibri" w:hAnsi="Verdana" w:cs="Arial"/>
          <w:b/>
          <w:bCs/>
          <w:lang w:val="es-ES" w:eastAsia="es-ES"/>
        </w:rPr>
      </w:pPr>
    </w:p>
    <w:p w14:paraId="75DA0A3B" w14:textId="77777777" w:rsidR="00E6106F" w:rsidRPr="00593A5F" w:rsidRDefault="00E6106F" w:rsidP="00E6106F">
      <w:pPr>
        <w:spacing w:after="0" w:line="240" w:lineRule="auto"/>
        <w:rPr>
          <w:rFonts w:ascii="Verdana" w:eastAsia="Calibri" w:hAnsi="Verdana" w:cs="Arial"/>
          <w:b/>
          <w:bCs/>
          <w:color w:val="000000"/>
          <w:lang w:val="es-ES_tradnl" w:eastAsia="es-ES_tradn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804"/>
      </w:tblGrid>
      <w:tr w:rsidR="00E6106F" w:rsidRPr="00593A5F" w14:paraId="332A8148" w14:textId="77777777" w:rsidTr="00E3779F">
        <w:trPr>
          <w:trHeight w:val="884"/>
        </w:trPr>
        <w:tc>
          <w:tcPr>
            <w:tcW w:w="2410" w:type="dxa"/>
          </w:tcPr>
          <w:p w14:paraId="48C76B8D" w14:textId="77777777" w:rsidR="00E6106F" w:rsidRPr="00E5644F" w:rsidRDefault="00E6106F" w:rsidP="00E3779F">
            <w:pPr>
              <w:jc w:val="both"/>
              <w:rPr>
                <w:rFonts w:ascii="Verdana" w:eastAsia="Calibri" w:hAnsi="Verdana" w:cs="Arial"/>
                <w:b/>
                <w:bCs/>
                <w:color w:val="7030A0"/>
                <w:lang w:val="es-ES_tradnl" w:eastAsia="es-ES_tradnl"/>
              </w:rPr>
            </w:pPr>
          </w:p>
        </w:tc>
        <w:tc>
          <w:tcPr>
            <w:tcW w:w="6804" w:type="dxa"/>
          </w:tcPr>
          <w:p w14:paraId="2575CC47" w14:textId="77777777" w:rsidR="00E6106F" w:rsidRPr="00E5644F" w:rsidRDefault="00E6106F" w:rsidP="00E3779F">
            <w:pPr>
              <w:jc w:val="both"/>
              <w:rPr>
                <w:rFonts w:ascii="Verdana" w:eastAsia="Calibri" w:hAnsi="Verdana" w:cs="Arial"/>
                <w:b/>
                <w:bCs/>
                <w:color w:val="7030A0"/>
                <w:lang w:val="es-ES" w:eastAsia="es-ES"/>
              </w:rPr>
            </w:pPr>
            <w:r w:rsidRPr="00E5644F">
              <w:rPr>
                <w:rFonts w:ascii="Verdana" w:eastAsia="Calibri" w:hAnsi="Verdana" w:cs="Arial"/>
                <w:b/>
                <w:bCs/>
                <w:lang w:val="es-ES" w:eastAsia="es-ES"/>
              </w:rPr>
              <w:t xml:space="preserve">Concepto C- </w:t>
            </w:r>
            <w:r>
              <w:rPr>
                <w:rFonts w:ascii="Verdana" w:eastAsia="Calibri" w:hAnsi="Verdana" w:cs="Arial"/>
                <w:b/>
                <w:bCs/>
                <w:lang w:val="es-ES" w:eastAsia="es-ES"/>
              </w:rPr>
              <w:t xml:space="preserve">926 </w:t>
            </w:r>
            <w:r w:rsidRPr="00E5644F">
              <w:rPr>
                <w:rFonts w:ascii="Verdana" w:eastAsia="Calibri" w:hAnsi="Verdana" w:cs="Arial"/>
                <w:b/>
                <w:bCs/>
                <w:lang w:val="es-ES" w:eastAsia="es-ES"/>
              </w:rPr>
              <w:t>de 2024</w:t>
            </w:r>
          </w:p>
        </w:tc>
      </w:tr>
      <w:tr w:rsidR="00E6106F" w:rsidRPr="00593A5F" w14:paraId="54FA8A7F" w14:textId="77777777" w:rsidTr="00E3779F">
        <w:trPr>
          <w:trHeight w:val="884"/>
        </w:trPr>
        <w:tc>
          <w:tcPr>
            <w:tcW w:w="2410" w:type="dxa"/>
          </w:tcPr>
          <w:p w14:paraId="00AE778F" w14:textId="77777777" w:rsidR="00E6106F" w:rsidRPr="00331C1B" w:rsidRDefault="00E6106F" w:rsidP="00E3779F">
            <w:pPr>
              <w:jc w:val="both"/>
              <w:rPr>
                <w:rFonts w:ascii="Verdana" w:eastAsia="Calibri" w:hAnsi="Verdana" w:cs="Arial"/>
                <w:color w:val="000000"/>
                <w:lang w:val="es-ES_tradnl" w:eastAsia="es-ES_tradnl"/>
              </w:rPr>
            </w:pPr>
            <w:r w:rsidRPr="00331C1B">
              <w:rPr>
                <w:rFonts w:ascii="Verdana" w:eastAsia="Calibri" w:hAnsi="Verdana" w:cs="Arial"/>
                <w:b/>
                <w:color w:val="000000"/>
                <w:lang w:val="es-ES_tradnl" w:eastAsia="es-ES_tradnl"/>
              </w:rPr>
              <w:t>Temas:</w:t>
            </w:r>
            <w:r w:rsidRPr="00331C1B">
              <w:rPr>
                <w:rFonts w:ascii="Verdana" w:eastAsia="Calibri" w:hAnsi="Verdana" w:cs="Arial"/>
                <w:color w:val="000000"/>
                <w:lang w:val="es-ES_tradnl" w:eastAsia="es-ES_tradnl"/>
              </w:rPr>
              <w:t xml:space="preserve">                   </w:t>
            </w:r>
          </w:p>
        </w:tc>
        <w:tc>
          <w:tcPr>
            <w:tcW w:w="6804" w:type="dxa"/>
          </w:tcPr>
          <w:p w14:paraId="402D589B" w14:textId="77777777" w:rsidR="00E6106F" w:rsidRPr="00331C1B" w:rsidRDefault="00E6106F" w:rsidP="00E3779F">
            <w:pPr>
              <w:spacing w:line="276" w:lineRule="auto"/>
              <w:jc w:val="both"/>
              <w:rPr>
                <w:rFonts w:ascii="Verdana" w:eastAsia="Calibri" w:hAnsi="Verdana" w:cs="Arial"/>
                <w:lang w:val="es-ES" w:eastAsia="es-ES"/>
              </w:rPr>
            </w:pPr>
            <w:r w:rsidRPr="00331C1B">
              <w:rPr>
                <w:rFonts w:ascii="Verdana" w:eastAsia="Calibri" w:hAnsi="Verdana" w:cs="Arial"/>
                <w:lang w:val="es-ES" w:eastAsia="es-ES"/>
              </w:rPr>
              <w:t>SUBSANABILIDAD DE LAS OFERTAS – Procesos de contratación pública – Alcance – Oportunidad -</w:t>
            </w:r>
            <w:r>
              <w:rPr>
                <w:rFonts w:ascii="Verdana" w:eastAsia="Calibri" w:hAnsi="Verdana" w:cs="Arial"/>
                <w:lang w:val="es-ES" w:eastAsia="es-ES"/>
              </w:rPr>
              <w:t xml:space="preserve"> T</w:t>
            </w:r>
            <w:proofErr w:type="spellStart"/>
            <w:r w:rsidRPr="00331C1B">
              <w:rPr>
                <w:rFonts w:ascii="Verdana" w:eastAsia="Century Gothic" w:hAnsi="Verdana" w:cs="Century Gothic"/>
              </w:rPr>
              <w:t>raslado</w:t>
            </w:r>
            <w:proofErr w:type="spellEnd"/>
            <w:r w:rsidRPr="00331C1B">
              <w:rPr>
                <w:rFonts w:ascii="Verdana" w:eastAsia="Century Gothic" w:hAnsi="Verdana" w:cs="Century Gothic"/>
              </w:rPr>
              <w:t xml:space="preserve"> del informe de evaluación</w:t>
            </w:r>
            <w:r w:rsidRPr="00331C1B">
              <w:rPr>
                <w:rFonts w:ascii="Verdana" w:eastAsia="Calibri" w:hAnsi="Verdana" w:cs="Arial"/>
                <w:lang w:val="es-ES" w:eastAsia="es-ES"/>
              </w:rPr>
              <w:t xml:space="preserve"> – interpretación restrictiva </w:t>
            </w:r>
          </w:p>
          <w:p w14:paraId="26ACF9DE" w14:textId="77777777" w:rsidR="00E6106F" w:rsidRPr="00331C1B" w:rsidRDefault="00E6106F" w:rsidP="00E3779F">
            <w:pPr>
              <w:spacing w:line="276" w:lineRule="auto"/>
              <w:jc w:val="both"/>
              <w:rPr>
                <w:rFonts w:ascii="Verdana" w:eastAsia="Calibri" w:hAnsi="Verdana" w:cs="Arial"/>
                <w:lang w:val="es-ES" w:eastAsia="es-ES"/>
              </w:rPr>
            </w:pPr>
          </w:p>
        </w:tc>
      </w:tr>
      <w:tr w:rsidR="00E6106F" w:rsidRPr="00593A5F" w14:paraId="228D2CB6" w14:textId="77777777" w:rsidTr="00E3779F">
        <w:tc>
          <w:tcPr>
            <w:tcW w:w="2410" w:type="dxa"/>
          </w:tcPr>
          <w:p w14:paraId="2AA0039A" w14:textId="77777777" w:rsidR="00E6106F" w:rsidRPr="006730E9" w:rsidRDefault="00E6106F" w:rsidP="00E3779F">
            <w:pPr>
              <w:jc w:val="both"/>
              <w:rPr>
                <w:rFonts w:ascii="Verdana" w:eastAsia="Calibri" w:hAnsi="Verdana" w:cs="Arial"/>
                <w:b/>
                <w:lang w:val="es-ES_tradnl" w:eastAsia="es-ES_tradnl"/>
              </w:rPr>
            </w:pPr>
            <w:r w:rsidRPr="006730E9">
              <w:rPr>
                <w:rFonts w:ascii="Verdana" w:eastAsia="Calibri" w:hAnsi="Verdana" w:cs="Arial"/>
                <w:b/>
                <w:lang w:val="es-ES_tradnl" w:eastAsia="es-ES_tradnl"/>
              </w:rPr>
              <w:t>Radicación:</w:t>
            </w:r>
            <w:r w:rsidRPr="006730E9">
              <w:rPr>
                <w:rFonts w:ascii="Verdana" w:eastAsia="Calibri" w:hAnsi="Verdana" w:cs="Arial"/>
                <w:lang w:val="es-ES_tradnl" w:eastAsia="es-ES_tradnl"/>
              </w:rPr>
              <w:t xml:space="preserve">               </w:t>
            </w:r>
          </w:p>
        </w:tc>
        <w:tc>
          <w:tcPr>
            <w:tcW w:w="6804" w:type="dxa"/>
          </w:tcPr>
          <w:p w14:paraId="57B70023" w14:textId="77777777" w:rsidR="00E6106F" w:rsidRPr="006730E9" w:rsidRDefault="00E6106F" w:rsidP="00E3779F">
            <w:pPr>
              <w:jc w:val="both"/>
              <w:rPr>
                <w:rFonts w:ascii="Verdana" w:eastAsia="Calibri" w:hAnsi="Verdana" w:cs="Arial"/>
                <w:lang w:val="es-ES_tradnl" w:eastAsia="es-ES_tradnl"/>
              </w:rPr>
            </w:pPr>
            <w:r w:rsidRPr="007121A5">
              <w:rPr>
                <w:rFonts w:ascii="Verdana" w:eastAsia="Calibri" w:hAnsi="Verdana" w:cs="Arial"/>
                <w:lang w:val="es-ES_tradnl" w:eastAsia="es-ES_tradnl"/>
              </w:rPr>
              <w:t xml:space="preserve">Respuesta a consulta con radicado No. </w:t>
            </w:r>
            <w:r w:rsidRPr="00331C1B">
              <w:rPr>
                <w:rFonts w:ascii="Verdana" w:eastAsia="Calibri" w:hAnsi="Verdana" w:cs="Arial"/>
                <w:lang w:val="es-ES_tradnl" w:eastAsia="es-ES_tradnl"/>
              </w:rPr>
              <w:t>P20241125011851</w:t>
            </w:r>
            <w:r>
              <w:rPr>
                <w:rFonts w:ascii="Verdana" w:eastAsia="Calibri" w:hAnsi="Verdana" w:cs="Arial"/>
                <w:lang w:val="es-ES_tradnl" w:eastAsia="es-ES_tradnl"/>
              </w:rPr>
              <w:t>.</w:t>
            </w:r>
          </w:p>
        </w:tc>
      </w:tr>
    </w:tbl>
    <w:p w14:paraId="1CF90E79" w14:textId="77777777" w:rsidR="00E6106F" w:rsidRPr="00593A5F" w:rsidRDefault="00E6106F" w:rsidP="00E6106F">
      <w:pPr>
        <w:spacing w:after="0" w:line="240" w:lineRule="auto"/>
        <w:jc w:val="both"/>
        <w:rPr>
          <w:rFonts w:ascii="Verdana" w:eastAsia="Calibri" w:hAnsi="Verdana" w:cs="Arial"/>
          <w:color w:val="000000"/>
          <w:lang w:val="es-ES_tradnl" w:eastAsia="es-ES_tradnl"/>
        </w:rPr>
      </w:pPr>
    </w:p>
    <w:p w14:paraId="19ACEEF5" w14:textId="77777777" w:rsidR="00E6106F" w:rsidRPr="00593A5F" w:rsidRDefault="00E6106F" w:rsidP="00E6106F">
      <w:pPr>
        <w:spacing w:after="0" w:line="240" w:lineRule="auto"/>
        <w:jc w:val="both"/>
        <w:rPr>
          <w:rFonts w:ascii="Verdana" w:eastAsia="Calibri" w:hAnsi="Verdana" w:cs="Arial"/>
          <w:color w:val="000000"/>
          <w:lang w:val="es-ES_tradnl" w:eastAsia="es-ES_tradnl"/>
        </w:rPr>
      </w:pPr>
    </w:p>
    <w:p w14:paraId="1A57ECEC" w14:textId="77777777" w:rsidR="00E6106F" w:rsidRPr="006730E9" w:rsidRDefault="00E6106F" w:rsidP="00E6106F">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Estimad</w:t>
      </w:r>
      <w:r>
        <w:rPr>
          <w:rFonts w:ascii="Verdana" w:eastAsia="Calibri" w:hAnsi="Verdana" w:cs="Arial"/>
          <w:lang w:val="es-ES" w:eastAsia="es-ES"/>
        </w:rPr>
        <w:t xml:space="preserve">a </w:t>
      </w:r>
      <w:r w:rsidRPr="006730E9">
        <w:rPr>
          <w:rFonts w:ascii="Verdana" w:eastAsia="Calibri" w:hAnsi="Verdana" w:cs="Arial"/>
          <w:lang w:val="es-ES" w:eastAsia="es-ES"/>
        </w:rPr>
        <w:t>señor</w:t>
      </w:r>
      <w:r>
        <w:rPr>
          <w:rFonts w:ascii="Verdana" w:eastAsia="Calibri" w:hAnsi="Verdana" w:cs="Arial"/>
          <w:lang w:val="es-ES" w:eastAsia="es-ES"/>
        </w:rPr>
        <w:t>a</w:t>
      </w:r>
      <w:r w:rsidRPr="006730E9">
        <w:rPr>
          <w:rFonts w:ascii="Verdana" w:eastAsia="Calibri" w:hAnsi="Verdana" w:cs="Arial"/>
          <w:lang w:val="es-ES" w:eastAsia="es-ES"/>
        </w:rPr>
        <w:t xml:space="preserve"> </w:t>
      </w:r>
      <w:r>
        <w:rPr>
          <w:rFonts w:ascii="Verdana" w:eastAsia="Calibri" w:hAnsi="Verdana" w:cs="Arial"/>
          <w:lang w:val="es-ES" w:eastAsia="es-ES"/>
        </w:rPr>
        <w:t>Medina;</w:t>
      </w:r>
      <w:r w:rsidRPr="006730E9">
        <w:rPr>
          <w:rFonts w:ascii="Verdana" w:eastAsia="Calibri" w:hAnsi="Verdana" w:cs="Arial"/>
          <w:lang w:val="es-ES" w:eastAsia="es-ES"/>
        </w:rPr>
        <w:t xml:space="preserve"> </w:t>
      </w:r>
    </w:p>
    <w:p w14:paraId="3A28CAE3" w14:textId="77777777" w:rsidR="00E6106F" w:rsidRDefault="00E6106F" w:rsidP="00E6106F">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49FC464C" w14:textId="0E537CE6" w:rsidR="00E6106F" w:rsidRPr="006730E9" w:rsidRDefault="00E6106F" w:rsidP="00E6106F">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En ejercicio de la competencia otorgada por los artículos 3, numeral 5º, y 11, numeral 8º, del Decreto Ley 4170 de 2011,</w:t>
      </w:r>
      <w:r w:rsidRPr="006730E9">
        <w:rPr>
          <w:rFonts w:ascii="Verdana" w:eastAsia="Arial MT" w:hAnsi="Verdana"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eastAsia="Calibri" w:hAnsi="Verdana" w:cs="Arial"/>
          <w:lang w:val="es-ES" w:eastAsia="es-ES"/>
        </w:rPr>
        <w:t xml:space="preserve">la Agencia Nacional de Contratación Pública – Colombia Compra Eficiente– responde su solicitud </w:t>
      </w:r>
      <w:r>
        <w:rPr>
          <w:rFonts w:ascii="Verdana" w:eastAsia="Calibri" w:hAnsi="Verdana" w:cs="Arial"/>
          <w:lang w:val="es-ES" w:eastAsia="es-ES"/>
        </w:rPr>
        <w:t xml:space="preserve">radicada en esta entidad </w:t>
      </w:r>
      <w:r w:rsidRPr="00E5644F">
        <w:rPr>
          <w:rFonts w:ascii="Verdana" w:eastAsia="Calibri" w:hAnsi="Verdana" w:cs="Arial"/>
          <w:lang w:val="es-ES" w:eastAsia="es-ES"/>
        </w:rPr>
        <w:t xml:space="preserve">el </w:t>
      </w:r>
      <w:r w:rsidR="00697954">
        <w:rPr>
          <w:rFonts w:ascii="Verdana" w:eastAsia="Calibri" w:hAnsi="Verdana" w:cs="Arial"/>
          <w:lang w:val="es-ES" w:eastAsia="es-ES"/>
        </w:rPr>
        <w:t>2</w:t>
      </w:r>
      <w:r w:rsidRPr="00E5644F">
        <w:rPr>
          <w:rFonts w:ascii="Verdana" w:eastAsia="Calibri" w:hAnsi="Verdana" w:cs="Arial"/>
          <w:lang w:val="es-ES" w:eastAsia="es-ES"/>
        </w:rPr>
        <w:t xml:space="preserve">5 de </w:t>
      </w:r>
      <w:r w:rsidR="00697954">
        <w:rPr>
          <w:rFonts w:ascii="Verdana" w:eastAsia="Calibri" w:hAnsi="Verdana" w:cs="Arial"/>
          <w:lang w:val="es-ES" w:eastAsia="es-ES"/>
        </w:rPr>
        <w:t xml:space="preserve">noviembre </w:t>
      </w:r>
      <w:r w:rsidRPr="00E5644F">
        <w:rPr>
          <w:rFonts w:ascii="Verdana" w:eastAsia="Calibri" w:hAnsi="Verdana" w:cs="Arial"/>
          <w:lang w:val="es-ES" w:eastAsia="es-ES"/>
        </w:rPr>
        <w:t>de 2024, en</w:t>
      </w:r>
      <w:r w:rsidRPr="006730E9">
        <w:rPr>
          <w:rFonts w:ascii="Verdana" w:eastAsia="Calibri" w:hAnsi="Verdana" w:cs="Arial"/>
          <w:lang w:val="es-ES" w:eastAsia="es-ES"/>
        </w:rPr>
        <w:t xml:space="preserve"> la cual manifiesta lo siguiente: </w:t>
      </w:r>
    </w:p>
    <w:p w14:paraId="6E21B7A9" w14:textId="77777777" w:rsidR="00E6106F" w:rsidRPr="00326382" w:rsidRDefault="00E6106F" w:rsidP="00E6106F">
      <w:pPr>
        <w:spacing w:after="0" w:line="240" w:lineRule="auto"/>
        <w:ind w:left="709" w:right="709"/>
        <w:jc w:val="both"/>
        <w:rPr>
          <w:rFonts w:ascii="Verdana" w:hAnsi="Verdana" w:cs="Arial"/>
          <w:sz w:val="20"/>
          <w:szCs w:val="20"/>
          <w:shd w:val="clear" w:color="auto" w:fill="FFFFFF"/>
        </w:rPr>
      </w:pPr>
      <w:bookmarkStart w:id="1" w:name="_Hlk95313578"/>
    </w:p>
    <w:p w14:paraId="1E8FB75F" w14:textId="77777777" w:rsidR="00E6106F" w:rsidRDefault="00E6106F" w:rsidP="00E6106F">
      <w:pPr>
        <w:spacing w:after="0" w:line="276" w:lineRule="auto"/>
        <w:ind w:left="709" w:right="758"/>
        <w:jc w:val="both"/>
        <w:rPr>
          <w:rFonts w:ascii="Verdana" w:eastAsia="Century Gothic" w:hAnsi="Verdana" w:cs="Century Gothic"/>
          <w:i/>
          <w:iCs/>
        </w:rPr>
      </w:pPr>
      <w:bookmarkStart w:id="2" w:name="_Hlk184398447"/>
      <w:bookmarkEnd w:id="1"/>
      <w:r>
        <w:rPr>
          <w:rFonts w:ascii="Verdana" w:eastAsia="Century Gothic" w:hAnsi="Verdana" w:cs="Century Gothic"/>
          <w:i/>
          <w:iCs/>
        </w:rPr>
        <w:t>Solicito de manera respetuosa, aclaración y /o confirmación de traslado que se debe conceder a los oferentes respecto del informe de evaluación, para los procesos adelantados con pliego tipo a través de selección abreviada de menor cuantía- infraestructura de transporte.</w:t>
      </w:r>
    </w:p>
    <w:p w14:paraId="0A7A7D6C" w14:textId="4881598A" w:rsidR="00E6106F" w:rsidRDefault="00E6106F" w:rsidP="00E6106F">
      <w:pPr>
        <w:spacing w:after="0" w:line="276" w:lineRule="auto"/>
        <w:ind w:left="709" w:right="758"/>
        <w:jc w:val="both"/>
        <w:rPr>
          <w:rFonts w:ascii="Verdana" w:eastAsia="Century Gothic" w:hAnsi="Verdana" w:cs="Century Gothic"/>
          <w:i/>
          <w:iCs/>
        </w:rPr>
      </w:pPr>
      <w:r>
        <w:rPr>
          <w:rFonts w:ascii="Verdana" w:eastAsia="Century Gothic" w:hAnsi="Verdana" w:cs="Century Gothic"/>
          <w:i/>
          <w:iCs/>
        </w:rPr>
        <w:t xml:space="preserve">La petición se fundamenta en que existe diferencia entre el documento base en su numeral 1.6 REGLA DE SUBSANABILIDAD, EXPLICACIONES Y ACLARACIONES- que indica lo </w:t>
      </w:r>
      <w:proofErr w:type="spellStart"/>
      <w:r w:rsidR="00FC5BE4">
        <w:rPr>
          <w:rFonts w:ascii="Verdana" w:eastAsia="Century Gothic" w:hAnsi="Verdana" w:cs="Century Gothic"/>
          <w:i/>
          <w:iCs/>
        </w:rPr>
        <w:t>siguiente</w:t>
      </w:r>
      <w:proofErr w:type="gramStart"/>
      <w:r w:rsidR="00FC5BE4">
        <w:rPr>
          <w:rFonts w:ascii="Verdana" w:eastAsia="Century Gothic" w:hAnsi="Verdana" w:cs="Century Gothic"/>
          <w:i/>
          <w:iCs/>
        </w:rPr>
        <w:t>:</w:t>
      </w:r>
      <w:r>
        <w:rPr>
          <w:rFonts w:ascii="Verdana" w:eastAsia="Century Gothic" w:hAnsi="Verdana" w:cs="Century Gothic"/>
          <w:i/>
          <w:iCs/>
        </w:rPr>
        <w:t>”dentro</w:t>
      </w:r>
      <w:proofErr w:type="spellEnd"/>
      <w:proofErr w:type="gramEnd"/>
      <w:r>
        <w:rPr>
          <w:rFonts w:ascii="Verdana" w:eastAsia="Century Gothic" w:hAnsi="Verdana" w:cs="Century Gothic"/>
          <w:i/>
          <w:iCs/>
        </w:rPr>
        <w:t xml:space="preserve"> de los tres (3) días hábiles siguientes contados a partir del día hábil siguiente a la expedición del informe de evaluación”…. Y lo </w:t>
      </w:r>
      <w:r>
        <w:rPr>
          <w:rFonts w:ascii="Verdana" w:eastAsia="Century Gothic" w:hAnsi="Verdana" w:cs="Century Gothic"/>
          <w:i/>
          <w:iCs/>
        </w:rPr>
        <w:lastRenderedPageBreak/>
        <w:t xml:space="preserve">dispuesto en el anexo 2 cronograma del proceso; el cual nos hace remisión L. 1882/18 art. 1 que establece un </w:t>
      </w:r>
      <w:r w:rsidR="00FC5BE4">
        <w:rPr>
          <w:rFonts w:ascii="Verdana" w:eastAsia="Century Gothic" w:hAnsi="Verdana" w:cs="Century Gothic"/>
          <w:i/>
          <w:iCs/>
        </w:rPr>
        <w:t>término</w:t>
      </w:r>
      <w:r>
        <w:rPr>
          <w:rFonts w:ascii="Verdana" w:eastAsia="Century Gothic" w:hAnsi="Verdana" w:cs="Century Gothic"/>
          <w:i/>
          <w:iCs/>
        </w:rPr>
        <w:t xml:space="preserve"> de traslado para procesos de licitación pública de 5 días hábiles.</w:t>
      </w:r>
    </w:p>
    <w:p w14:paraId="182A5DC5" w14:textId="77777777" w:rsidR="00E6106F" w:rsidRDefault="00E6106F" w:rsidP="00E6106F">
      <w:pPr>
        <w:spacing w:after="0" w:line="276" w:lineRule="auto"/>
        <w:ind w:left="709" w:right="758"/>
        <w:jc w:val="both"/>
        <w:rPr>
          <w:rFonts w:ascii="Verdana" w:eastAsia="Century Gothic" w:hAnsi="Verdana" w:cs="Century Gothic"/>
          <w:i/>
          <w:iCs/>
        </w:rPr>
      </w:pPr>
      <w:r>
        <w:rPr>
          <w:rFonts w:ascii="Verdana" w:eastAsia="Century Gothic" w:hAnsi="Verdana" w:cs="Century Gothic"/>
          <w:i/>
          <w:iCs/>
        </w:rPr>
        <w:t>Solicitamos precisar el termino de traslado de los informes de evaluación, para los procesos adelantados a través de selección abreviada de transporte. SIC</w:t>
      </w:r>
    </w:p>
    <w:p w14:paraId="2C5C179F" w14:textId="77777777" w:rsidR="00E6106F" w:rsidRPr="00FC1099" w:rsidRDefault="00E6106F" w:rsidP="00E6106F">
      <w:pPr>
        <w:spacing w:after="0" w:line="276" w:lineRule="auto"/>
        <w:ind w:left="709" w:right="758"/>
        <w:jc w:val="both"/>
        <w:rPr>
          <w:rFonts w:ascii="Verdana" w:eastAsia="Century Gothic" w:hAnsi="Verdana" w:cs="Century Gothic"/>
          <w:i/>
          <w:iCs/>
        </w:rPr>
      </w:pPr>
    </w:p>
    <w:bookmarkEnd w:id="2"/>
    <w:p w14:paraId="64030C6C" w14:textId="77777777" w:rsidR="00E6106F" w:rsidRPr="00FC1099" w:rsidRDefault="00E6106F" w:rsidP="00E6106F">
      <w:pPr>
        <w:spacing w:after="0" w:line="276" w:lineRule="auto"/>
        <w:ind w:left="1069" w:right="758" w:hanging="76"/>
        <w:jc w:val="both"/>
        <w:rPr>
          <w:rFonts w:ascii="Verdana" w:eastAsia="Century Gothic" w:hAnsi="Verdana" w:cs="Century Gothic"/>
          <w:i/>
          <w:iCs/>
        </w:rPr>
      </w:pPr>
    </w:p>
    <w:p w14:paraId="64006705" w14:textId="77777777" w:rsidR="00E6106F" w:rsidRDefault="00E6106F" w:rsidP="00E6106F">
      <w:pPr>
        <w:spacing w:after="0" w:line="276" w:lineRule="auto"/>
        <w:ind w:firstLine="709"/>
        <w:jc w:val="both"/>
        <w:rPr>
          <w:rFonts w:ascii="Verdana" w:eastAsia="Calibri" w:hAnsi="Verdana" w:cs="Arial"/>
          <w:color w:val="000000"/>
          <w:lang w:val="es-ES" w:eastAsia="es-ES"/>
        </w:rPr>
      </w:pPr>
    </w:p>
    <w:p w14:paraId="7E7D1835" w14:textId="77777777" w:rsidR="00E6106F" w:rsidRPr="00593A5F" w:rsidRDefault="00E6106F" w:rsidP="00E6106F">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2016B0F4" w14:textId="77777777" w:rsidR="00E6106F" w:rsidRPr="00593A5F" w:rsidRDefault="00E6106F" w:rsidP="00E6106F">
      <w:pPr>
        <w:tabs>
          <w:tab w:val="left" w:pos="426"/>
        </w:tabs>
        <w:spacing w:after="0" w:line="276" w:lineRule="auto"/>
        <w:jc w:val="both"/>
        <w:rPr>
          <w:rFonts w:ascii="Verdana" w:eastAsia="Century Gothic" w:hAnsi="Verdana" w:cs="Century Gothic"/>
          <w:lang w:val="es-ES"/>
        </w:rPr>
      </w:pPr>
    </w:p>
    <w:p w14:paraId="218F3252" w14:textId="77777777" w:rsidR="00E6106F" w:rsidRDefault="00E6106F" w:rsidP="00E6106F">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w:t>
      </w:r>
      <w:r>
        <w:rPr>
          <w:rFonts w:ascii="Verdana" w:eastAsia="Century Gothic" w:hAnsi="Verdana" w:cs="Century Gothic"/>
        </w:rPr>
        <w:t xml:space="preserve"> </w:t>
      </w:r>
      <w:r w:rsidRPr="00593A5F">
        <w:rPr>
          <w:rFonts w:ascii="Verdana" w:eastAsia="Century Gothic" w:hAnsi="Verdana" w:cs="Century Gothic"/>
        </w:rPr>
        <w:t xml:space="preserve">problema jurídico: </w:t>
      </w:r>
    </w:p>
    <w:p w14:paraId="0D8A37AD" w14:textId="77777777" w:rsidR="00E6106F" w:rsidRDefault="00E6106F" w:rsidP="00E6106F">
      <w:pPr>
        <w:spacing w:after="0" w:line="276" w:lineRule="auto"/>
        <w:jc w:val="both"/>
        <w:rPr>
          <w:rFonts w:ascii="Verdana" w:eastAsia="Century Gothic" w:hAnsi="Verdana" w:cs="Century Gothic"/>
        </w:rPr>
      </w:pPr>
    </w:p>
    <w:p w14:paraId="0A86B10E" w14:textId="77777777" w:rsidR="00E6106F" w:rsidRDefault="00E6106F" w:rsidP="00E6106F">
      <w:pPr>
        <w:spacing w:after="0" w:line="276" w:lineRule="auto"/>
        <w:ind w:left="709" w:right="758"/>
        <w:jc w:val="both"/>
        <w:rPr>
          <w:rFonts w:ascii="Verdana" w:eastAsia="Century Gothic" w:hAnsi="Verdana" w:cs="Century Gothic"/>
          <w:i/>
          <w:iCs/>
        </w:rPr>
      </w:pPr>
      <w:r>
        <w:rPr>
          <w:rFonts w:ascii="Verdana" w:eastAsia="Century Gothic" w:hAnsi="Verdana" w:cs="Century Gothic"/>
          <w:i/>
          <w:iCs/>
        </w:rPr>
        <w:t>¿Cuál es el t</w:t>
      </w:r>
      <w:r w:rsidRPr="003D498C">
        <w:rPr>
          <w:rFonts w:ascii="Verdana" w:eastAsia="Century Gothic" w:hAnsi="Verdana" w:cs="Century Gothic"/>
          <w:i/>
          <w:iCs/>
        </w:rPr>
        <w:t>érmino de traslado del informe de evaluación que corresponda a</w:t>
      </w:r>
      <w:r>
        <w:rPr>
          <w:rFonts w:ascii="Verdana" w:eastAsia="Century Gothic" w:hAnsi="Verdana" w:cs="Century Gothic"/>
          <w:i/>
          <w:iCs/>
        </w:rPr>
        <w:t xml:space="preserve"> la modalidad </w:t>
      </w:r>
      <w:r>
        <w:rPr>
          <w:rFonts w:ascii="Verdana" w:eastAsia="Calibri" w:hAnsi="Verdana" w:cs="Arial"/>
        </w:rPr>
        <w:t>de</w:t>
      </w:r>
      <w:r w:rsidRPr="00772883">
        <w:rPr>
          <w:rFonts w:ascii="Verdana" w:eastAsia="Calibri" w:hAnsi="Verdana" w:cs="Arial"/>
        </w:rPr>
        <w:t xml:space="preserve"> selección abreviada de menor cuantía</w:t>
      </w:r>
      <w:r>
        <w:rPr>
          <w:rFonts w:ascii="Verdana" w:eastAsia="Calibri" w:hAnsi="Verdana" w:cs="Arial"/>
        </w:rPr>
        <w:t>?</w:t>
      </w:r>
    </w:p>
    <w:p w14:paraId="6C432B51" w14:textId="77777777" w:rsidR="00E6106F" w:rsidRDefault="00E6106F" w:rsidP="00E6106F">
      <w:pPr>
        <w:pStyle w:val="Prrafodelista"/>
        <w:spacing w:after="0" w:line="276" w:lineRule="auto"/>
        <w:ind w:left="426" w:right="1041"/>
        <w:jc w:val="both"/>
        <w:rPr>
          <w:rFonts w:ascii="Verdana" w:eastAsia="Century Gothic" w:hAnsi="Verdana" w:cs="Century Gothic"/>
          <w:i/>
          <w:iCs/>
          <w:lang w:val="es-CO"/>
        </w:rPr>
      </w:pPr>
    </w:p>
    <w:p w14:paraId="67E1BC55" w14:textId="77777777" w:rsidR="00E6106F" w:rsidRPr="001B53B7" w:rsidRDefault="00E6106F" w:rsidP="00E6106F">
      <w:pPr>
        <w:pStyle w:val="Prrafodelista"/>
        <w:spacing w:after="0" w:line="276" w:lineRule="auto"/>
        <w:ind w:left="426" w:right="1041"/>
        <w:jc w:val="both"/>
        <w:rPr>
          <w:rFonts w:ascii="Verdana" w:eastAsia="Calibri" w:hAnsi="Verdana" w:cs="Arial"/>
          <w:color w:val="7030A0"/>
        </w:rPr>
      </w:pPr>
    </w:p>
    <w:p w14:paraId="5A02F719" w14:textId="77777777" w:rsidR="00E6106F" w:rsidRPr="00593A5F" w:rsidRDefault="00E6106F" w:rsidP="00E6106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3ECE5B57" w14:textId="77777777" w:rsidR="00E6106F" w:rsidRPr="00593A5F" w:rsidRDefault="00E6106F" w:rsidP="00E6106F">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6106F" w:rsidRPr="00593A5F" w14:paraId="34CB4996" w14:textId="77777777" w:rsidTr="00E3779F">
        <w:tc>
          <w:tcPr>
            <w:tcW w:w="8828" w:type="dxa"/>
            <w:shd w:val="clear" w:color="auto" w:fill="auto"/>
          </w:tcPr>
          <w:p w14:paraId="0D92E99B" w14:textId="77777777" w:rsidR="00E6106F" w:rsidRDefault="00E6106F" w:rsidP="00E3779F">
            <w:pPr>
              <w:spacing w:after="120" w:line="276" w:lineRule="auto"/>
              <w:jc w:val="both"/>
              <w:rPr>
                <w:rFonts w:ascii="Verdana" w:eastAsia="Calibri" w:hAnsi="Verdana" w:cs="Arial"/>
                <w:lang w:val="es-ES"/>
              </w:rPr>
            </w:pPr>
          </w:p>
          <w:p w14:paraId="7DF4D639" w14:textId="4E8B95E6" w:rsidR="00E6106F" w:rsidRPr="00E6106F" w:rsidRDefault="00E6106F" w:rsidP="00E3779F">
            <w:pPr>
              <w:spacing w:after="120" w:line="276" w:lineRule="auto"/>
              <w:jc w:val="both"/>
              <w:rPr>
                <w:rFonts w:ascii="Verdana" w:eastAsia="Calibri" w:hAnsi="Verdana" w:cs="Arial"/>
                <w:lang w:val="es-ES"/>
              </w:rPr>
            </w:pPr>
            <w:r w:rsidRPr="00772883">
              <w:rPr>
                <w:rFonts w:ascii="Verdana" w:eastAsia="Calibri" w:hAnsi="Verdana" w:cs="Arial"/>
              </w:rPr>
              <w:t>De acuerdo con lo previsto en el artículo 5 de la Ley 1882 de 2018, los proponentes pueden subsanar los errores, inconsistencias o ausencias hasta el término de traslado del informe de evaluación que corresponda a cada modalidad de selección. Ello quiere decir que, tratándose de la licitación pública, el término para subsanar será de cinco (5) días hábiles, como lo prevé el artículo 1 de la Ley 1882 de 2018. Por su parte, en la selección abreviada de menor cuantía y en el concurso de méritos será de tres (3) días hábiles, en aplicación de lo dispuesto en los artículos 2.2.1.2.1.2.20 y 2.2.1.2.1.3.2 del Decreto 1082 de 2015. A su turno, en la selección abreviada por subasta inversa será hasta el momento previo a la realización de la subasta (artículo 5 de la Ley 1882 de 2018). Finalmente, en la mínima cuantía el plazo será de 1 día hábil, según lo estatuido en el artículo 2.2.1.2.1.5.2 del Decreto 1082 de 2015.</w:t>
            </w:r>
          </w:p>
        </w:tc>
      </w:tr>
    </w:tbl>
    <w:p w14:paraId="75D2C326" w14:textId="77777777" w:rsidR="00E6106F" w:rsidRDefault="00E6106F" w:rsidP="00E6106F">
      <w:pPr>
        <w:tabs>
          <w:tab w:val="left" w:pos="142"/>
          <w:tab w:val="left" w:pos="284"/>
        </w:tabs>
        <w:spacing w:after="0" w:line="276" w:lineRule="auto"/>
        <w:jc w:val="both"/>
        <w:rPr>
          <w:rFonts w:ascii="Verdana" w:eastAsia="Century Gothic" w:hAnsi="Verdana" w:cs="Century Gothic"/>
          <w:b/>
          <w:bCs/>
          <w:lang w:val="es-ES"/>
        </w:rPr>
      </w:pPr>
    </w:p>
    <w:p w14:paraId="319589D5" w14:textId="77777777" w:rsidR="00E6106F" w:rsidRDefault="00E6106F" w:rsidP="00E6106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0AAE96D1" w14:textId="77777777" w:rsidR="003C42CD" w:rsidRPr="00E52FC2" w:rsidRDefault="003C42CD" w:rsidP="00E52FC2">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19FA8466" w14:textId="37B93EEE" w:rsidR="00641CCE" w:rsidRDefault="00AF36C6" w:rsidP="00E52FC2">
      <w:pPr>
        <w:jc w:val="both"/>
        <w:rPr>
          <w:rFonts w:ascii="Verdana" w:hAnsi="Verdana"/>
        </w:rPr>
      </w:pPr>
      <w:r w:rsidRPr="00E52FC2">
        <w:rPr>
          <w:rFonts w:ascii="Verdana" w:hAnsi="Verdana"/>
        </w:rPr>
        <w:lastRenderedPageBreak/>
        <w:t>La selección abreviada</w:t>
      </w:r>
      <w:r w:rsidR="00535888">
        <w:rPr>
          <w:rFonts w:ascii="Verdana" w:hAnsi="Verdana"/>
        </w:rPr>
        <w:t xml:space="preserve"> se encuentr</w:t>
      </w:r>
      <w:r w:rsidR="00FC5BE4">
        <w:rPr>
          <w:rFonts w:ascii="Verdana" w:hAnsi="Verdana"/>
        </w:rPr>
        <w:t xml:space="preserve">a </w:t>
      </w:r>
      <w:r w:rsidRPr="00E52FC2">
        <w:rPr>
          <w:rFonts w:ascii="Verdana" w:hAnsi="Verdana"/>
        </w:rPr>
        <w:t>regulada en el numeral 2 del artículo 2 de la Ley 1150 de 2007, prevista para aquellos casos en que, por las características del objeto a contratar, las circunstancias de la contratación, la cuantía o la destinación del bien, obra o servicio pueden adelantarse procesos simplificados para garantizar la eficiencia de la gestión contractual</w:t>
      </w:r>
      <w:r w:rsidR="003D7DB8" w:rsidRPr="00E52FC2">
        <w:rPr>
          <w:rFonts w:ascii="Verdana" w:hAnsi="Verdana"/>
        </w:rPr>
        <w:t>.</w:t>
      </w:r>
      <w:r w:rsidR="00641CCE">
        <w:rPr>
          <w:rFonts w:ascii="Verdana" w:hAnsi="Verdana"/>
        </w:rPr>
        <w:t xml:space="preserve"> </w:t>
      </w:r>
      <w:r w:rsidR="003D7DB8" w:rsidRPr="00E52FC2">
        <w:rPr>
          <w:rFonts w:ascii="Verdana" w:hAnsi="Verdana"/>
        </w:rPr>
        <w:t>Se entiende por menor cuantía, según lo dispuesto en el artículo 2 de la Ley 1150 de 2007, los valores que a continuación se relacionan, determinados en función de los presupuestos anuales de las Entidades Estatales expresados en salarios mínimos legales mensuales:</w:t>
      </w:r>
    </w:p>
    <w:p w14:paraId="3E2812B6" w14:textId="52804C25" w:rsidR="00E52FC2" w:rsidRPr="00E52FC2" w:rsidRDefault="003D7DB8" w:rsidP="00E52FC2">
      <w:pPr>
        <w:jc w:val="both"/>
        <w:rPr>
          <w:rFonts w:ascii="Verdana" w:hAnsi="Verdana"/>
        </w:rPr>
      </w:pPr>
      <w:r w:rsidRPr="00E52FC2">
        <w:rPr>
          <w:rFonts w:ascii="Verdana" w:hAnsi="Verdana"/>
        </w:rPr>
        <w:t>Para las entidades que tengan un presupuesto anual superior o igual a 1.200.000 salarios mínimos legales mensuales, la menor cuantía será hasta 1.000 salarios mínimos legales mensuales.</w:t>
      </w:r>
    </w:p>
    <w:p w14:paraId="3F583F94" w14:textId="487FFDC1" w:rsidR="00E52FC2" w:rsidRPr="00E52FC2" w:rsidRDefault="003D7DB8" w:rsidP="00E52FC2">
      <w:pPr>
        <w:jc w:val="both"/>
        <w:rPr>
          <w:rFonts w:ascii="Verdana" w:hAnsi="Verdana"/>
        </w:rPr>
      </w:pPr>
      <w:r w:rsidRPr="00E52FC2">
        <w:rPr>
          <w:rFonts w:ascii="Verdana" w:hAnsi="Verdana"/>
        </w:rPr>
        <w:t>Las que tengan un presupuesto anual superior o igual a 850.000 salarios mínimos legales mensuales e inferiores a 1.200.000 salarios mínimos legales mensuales, la menor cuantía será hasta 850 salarios mínimos</w:t>
      </w:r>
      <w:r w:rsidR="00E52FC2" w:rsidRPr="00E52FC2">
        <w:rPr>
          <w:rFonts w:ascii="Verdana" w:hAnsi="Verdana"/>
        </w:rPr>
        <w:t xml:space="preserve"> </w:t>
      </w:r>
      <w:r w:rsidR="00641CCE" w:rsidRPr="00E52FC2">
        <w:rPr>
          <w:rFonts w:ascii="Verdana" w:hAnsi="Verdana"/>
        </w:rPr>
        <w:t>legales</w:t>
      </w:r>
      <w:r w:rsidR="00E52FC2" w:rsidRPr="00E52FC2">
        <w:rPr>
          <w:rFonts w:ascii="Verdana" w:hAnsi="Verdana"/>
        </w:rPr>
        <w:t xml:space="preserve"> mensuales. </w:t>
      </w:r>
    </w:p>
    <w:p w14:paraId="0F4F1B7D" w14:textId="77777777" w:rsidR="00E52FC2" w:rsidRPr="00E52FC2" w:rsidRDefault="00E52FC2" w:rsidP="00E52FC2">
      <w:pPr>
        <w:jc w:val="both"/>
        <w:rPr>
          <w:rFonts w:ascii="Verdana" w:hAnsi="Verdana"/>
        </w:rPr>
      </w:pPr>
      <w:r w:rsidRPr="00E52FC2">
        <w:rPr>
          <w:rFonts w:ascii="Verdana" w:hAnsi="Verdana"/>
        </w:rPr>
        <w:t>Las que tengan un presupuesto anual superior o igual a 400.000 salarios mínimos legales mensuales e inferior a 850.000 salarios mínimos legales mensuales, la menor cuantía será hasta 650 salarios mínimos legales mensuales.</w:t>
      </w:r>
    </w:p>
    <w:p w14:paraId="7B0F6A69" w14:textId="77777777" w:rsidR="00641CCE" w:rsidRDefault="00E52FC2" w:rsidP="00E52FC2">
      <w:pPr>
        <w:jc w:val="both"/>
        <w:rPr>
          <w:rFonts w:ascii="Verdana" w:hAnsi="Verdana"/>
        </w:rPr>
      </w:pPr>
      <w:r w:rsidRPr="00E52FC2">
        <w:rPr>
          <w:rFonts w:ascii="Verdana" w:hAnsi="Verdana"/>
        </w:rPr>
        <w:t xml:space="preserve"> Las que tengan un presupuesto anual superior o igual a 120.000 salarios mínimos legales mensuales e inferior a 400.000 salarios mínimos legales mensuales, la menor cuantía será hasta 450 salarios mínimos legales mensuales.</w:t>
      </w:r>
    </w:p>
    <w:p w14:paraId="0D70E391" w14:textId="19723954" w:rsidR="003D7DB8" w:rsidRPr="00E52FC2" w:rsidRDefault="00E52FC2" w:rsidP="00E52FC2">
      <w:pPr>
        <w:jc w:val="both"/>
        <w:rPr>
          <w:rFonts w:ascii="Verdana" w:hAnsi="Verdana"/>
        </w:rPr>
      </w:pPr>
      <w:r w:rsidRPr="00E52FC2">
        <w:rPr>
          <w:rFonts w:ascii="Verdana" w:hAnsi="Verdana"/>
        </w:rPr>
        <w:t>Las que tengan un presupuesto anual inferior a 120.000 salarios mínimos legales mensuales, la menor cuantía será hasta 280 salarios mínimos legales mensuales”</w:t>
      </w:r>
    </w:p>
    <w:p w14:paraId="269CBEA7" w14:textId="711DB469" w:rsidR="00E6106F" w:rsidRPr="000A2ED8" w:rsidRDefault="00E6106F" w:rsidP="00E6106F">
      <w:pPr>
        <w:spacing w:after="0" w:line="276" w:lineRule="auto"/>
        <w:jc w:val="both"/>
        <w:rPr>
          <w:rFonts w:ascii="Verdana" w:eastAsia="Calibri" w:hAnsi="Verdana" w:cs="Arial"/>
          <w:lang w:val="es-ES"/>
        </w:rPr>
      </w:pPr>
    </w:p>
    <w:p w14:paraId="664AD8CB" w14:textId="7C8BDE5C" w:rsidR="00E6106F" w:rsidRPr="00B62EF2" w:rsidRDefault="00033445" w:rsidP="00E6106F">
      <w:pPr>
        <w:spacing w:after="120" w:line="276" w:lineRule="auto"/>
        <w:ind w:right="49" w:firstLine="708"/>
        <w:jc w:val="both"/>
        <w:rPr>
          <w:rFonts w:ascii="Verdana" w:eastAsia="Calibri" w:hAnsi="Verdana" w:cs="Arial"/>
        </w:rPr>
      </w:pPr>
      <w:r>
        <w:rPr>
          <w:rFonts w:ascii="Verdana" w:eastAsia="Calibri" w:hAnsi="Verdana" w:cs="Arial"/>
        </w:rPr>
        <w:t xml:space="preserve">Ahora </w:t>
      </w:r>
      <w:proofErr w:type="gramStart"/>
      <w:r>
        <w:rPr>
          <w:rFonts w:ascii="Verdana" w:eastAsia="Calibri" w:hAnsi="Verdana" w:cs="Arial"/>
        </w:rPr>
        <w:t>bien</w:t>
      </w:r>
      <w:proofErr w:type="gramEnd"/>
      <w:r>
        <w:rPr>
          <w:rFonts w:ascii="Verdana" w:eastAsia="Calibri" w:hAnsi="Verdana" w:cs="Arial"/>
        </w:rPr>
        <w:t xml:space="preserve"> </w:t>
      </w:r>
      <w:r w:rsidR="00535888">
        <w:rPr>
          <w:rFonts w:ascii="Verdana" w:eastAsia="Calibri" w:hAnsi="Verdana" w:cs="Arial"/>
        </w:rPr>
        <w:t>l</w:t>
      </w:r>
      <w:r w:rsidR="00E6106F" w:rsidRPr="00B62EF2">
        <w:rPr>
          <w:rFonts w:ascii="Verdana" w:eastAsia="Calibri" w:hAnsi="Verdana" w:cs="Arial"/>
        </w:rPr>
        <w:t xml:space="preserve">a regla de </w:t>
      </w:r>
      <w:proofErr w:type="spellStart"/>
      <w:r w:rsidR="00E6106F" w:rsidRPr="00B62EF2">
        <w:rPr>
          <w:rFonts w:ascii="Verdana" w:eastAsia="Calibri" w:hAnsi="Verdana" w:cs="Arial"/>
        </w:rPr>
        <w:t>subsanabilidad</w:t>
      </w:r>
      <w:proofErr w:type="spellEnd"/>
      <w:r w:rsidR="00E6106F" w:rsidRPr="00B62EF2">
        <w:rPr>
          <w:rFonts w:ascii="Verdana" w:eastAsia="Calibri" w:hAnsi="Verdana" w:cs="Arial"/>
        </w:rPr>
        <w:t xml:space="preserve"> es un mecanismo previsto en los </w:t>
      </w:r>
      <w:r w:rsidR="00E6106F">
        <w:rPr>
          <w:rFonts w:ascii="Verdana" w:eastAsia="Calibri" w:hAnsi="Verdana" w:cs="Arial"/>
        </w:rPr>
        <w:t>p</w:t>
      </w:r>
      <w:r w:rsidR="00E6106F" w:rsidRPr="00B62EF2">
        <w:rPr>
          <w:rFonts w:ascii="Verdana" w:eastAsia="Calibri" w:hAnsi="Verdana" w:cs="Arial"/>
        </w:rPr>
        <w:t xml:space="preserve">rocesos de </w:t>
      </w:r>
      <w:r w:rsidR="00E6106F">
        <w:rPr>
          <w:rFonts w:ascii="Verdana" w:eastAsia="Calibri" w:hAnsi="Verdana" w:cs="Arial"/>
        </w:rPr>
        <w:t>c</w:t>
      </w:r>
      <w:r w:rsidR="00E6106F" w:rsidRPr="00B62EF2">
        <w:rPr>
          <w:rFonts w:ascii="Verdana" w:eastAsia="Calibri" w:hAnsi="Verdana" w:cs="Arial"/>
        </w:rPr>
        <w:t>ontratación que se regulan por el Estatuto General de Contratación de la Administración Pública, en adelante EGCAP. Esta regla, prevista en el artículo 5 de la Ley 1150 de 2007, consiste en permitir que los proponentes puedan enmendar, corregir o modificar los errores en los que se incurre en los documentos contentivos de la oferta. Así lo ha establecido el Consejo de Estado, en los siguientes términos:</w:t>
      </w:r>
    </w:p>
    <w:p w14:paraId="606BD290" w14:textId="77777777" w:rsidR="00E6106F" w:rsidRPr="00B62EF2" w:rsidRDefault="00E6106F" w:rsidP="00E6106F">
      <w:pPr>
        <w:tabs>
          <w:tab w:val="left" w:pos="567"/>
        </w:tabs>
        <w:spacing w:after="120" w:line="276" w:lineRule="auto"/>
        <w:ind w:left="709" w:right="709"/>
        <w:jc w:val="both"/>
        <w:rPr>
          <w:rFonts w:ascii="Verdana" w:eastAsia="Calibri" w:hAnsi="Verdana" w:cs="Arial"/>
          <w:sz w:val="21"/>
          <w:szCs w:val="21"/>
        </w:rPr>
      </w:pPr>
      <w:r w:rsidRPr="00B62EF2">
        <w:rPr>
          <w:rFonts w:ascii="Verdana" w:eastAsia="Calibri" w:hAnsi="Verdana" w:cs="Arial"/>
          <w:sz w:val="21"/>
          <w:szCs w:val="21"/>
        </w:rPr>
        <w:t xml:space="preserve">“[…] materializar un principio general de primacía de lo sustancial sobre lo formal, adoptando medidas de saneamiento del proceso de </w:t>
      </w:r>
      <w:r w:rsidRPr="00B62EF2">
        <w:rPr>
          <w:rFonts w:ascii="Verdana" w:eastAsia="Calibri" w:hAnsi="Verdana" w:cs="Arial"/>
          <w:sz w:val="21"/>
          <w:szCs w:val="21"/>
        </w:rPr>
        <w:lastRenderedPageBreak/>
        <w:t xml:space="preserve">selección tendientes a que los meros defectos formales, que no afecten sustancialmente la oferta, referidos a la documentación o instrumentalización de </w:t>
      </w:r>
      <w:proofErr w:type="gramStart"/>
      <w:r w:rsidRPr="00B62EF2">
        <w:rPr>
          <w:rFonts w:ascii="Verdana" w:eastAsia="Calibri" w:hAnsi="Verdana" w:cs="Arial"/>
          <w:sz w:val="21"/>
          <w:szCs w:val="21"/>
        </w:rPr>
        <w:t>la misma</w:t>
      </w:r>
      <w:proofErr w:type="gramEnd"/>
      <w:r w:rsidRPr="00B62EF2">
        <w:rPr>
          <w:rFonts w:ascii="Verdana" w:eastAsia="Calibri" w:hAnsi="Verdana" w:cs="Arial"/>
          <w:sz w:val="21"/>
          <w:szCs w:val="21"/>
        </w:rPr>
        <w:t>, priven a la administración de considerar una oferta por causa de tales falencias</w:t>
      </w:r>
      <w:r w:rsidRPr="00B62EF2">
        <w:rPr>
          <w:rFonts w:ascii="Verdana" w:eastAsia="Calibri" w:hAnsi="Verdana" w:cs="Arial"/>
          <w:sz w:val="21"/>
          <w:szCs w:val="21"/>
          <w:vertAlign w:val="superscript"/>
        </w:rPr>
        <w:footnoteReference w:id="2"/>
      </w:r>
      <w:r w:rsidRPr="00B62EF2">
        <w:rPr>
          <w:rFonts w:ascii="Verdana" w:eastAsia="Calibri" w:hAnsi="Verdana" w:cs="Arial"/>
          <w:sz w:val="21"/>
          <w:szCs w:val="21"/>
        </w:rPr>
        <w:t xml:space="preserve">”. </w:t>
      </w:r>
    </w:p>
    <w:p w14:paraId="2379D0F4" w14:textId="77777777" w:rsidR="00E6106F" w:rsidRPr="00B62EF2" w:rsidRDefault="00E6106F" w:rsidP="00E6106F">
      <w:pPr>
        <w:widowControl w:val="0"/>
        <w:autoSpaceDE w:val="0"/>
        <w:autoSpaceDN w:val="0"/>
        <w:spacing w:after="120" w:line="276" w:lineRule="auto"/>
        <w:ind w:firstLine="609"/>
        <w:jc w:val="both"/>
        <w:rPr>
          <w:rFonts w:ascii="Verdana" w:eastAsia="Calibri" w:hAnsi="Verdana" w:cs="Arial"/>
        </w:rPr>
      </w:pPr>
      <w:r w:rsidRPr="00B62EF2">
        <w:rPr>
          <w:rFonts w:ascii="Verdana" w:eastAsia="Calibri" w:hAnsi="Verdana" w:cs="Arial"/>
        </w:rPr>
        <w:t xml:space="preserve">Esta Subdirección se ha pronunciado en diversas oportunidades acerca del alcance de la regla de la </w:t>
      </w:r>
      <w:proofErr w:type="spellStart"/>
      <w:r w:rsidRPr="00B62EF2">
        <w:rPr>
          <w:rFonts w:ascii="Verdana" w:eastAsia="Calibri" w:hAnsi="Verdana" w:cs="Arial"/>
        </w:rPr>
        <w:t>subsanabilidad</w:t>
      </w:r>
      <w:proofErr w:type="spellEnd"/>
      <w:r w:rsidRPr="00B62EF2">
        <w:rPr>
          <w:rFonts w:ascii="Verdana" w:eastAsia="Calibri" w:hAnsi="Verdana" w:cs="Arial"/>
        </w:rPr>
        <w:t>, contenida actualmente en el parágrafo 1 del artículo 5 de la Ley 1150 de 2007, modificado por el artículo 5 de la Ley 1882 de 2018</w:t>
      </w:r>
      <w:r w:rsidRPr="00B62EF2">
        <w:rPr>
          <w:rFonts w:ascii="Verdana" w:eastAsia="Calibri" w:hAnsi="Verdana" w:cs="Arial"/>
          <w:vertAlign w:val="superscript"/>
        </w:rPr>
        <w:footnoteReference w:id="3"/>
      </w:r>
      <w:r w:rsidRPr="00B62EF2">
        <w:rPr>
          <w:rFonts w:ascii="Verdana" w:eastAsia="Calibri" w:hAnsi="Verdana" w:cs="Arial"/>
        </w:rPr>
        <w:t xml:space="preserve">. Al respecto, la postura que se reitera en el presente concepto es la siguiente: por regla general, la falta de entrega o los defectos frente a los requisitos que no asignan puntaje, son subsanables. La excepción se encuentra en los casos, previstos en la ley, que limitan la </w:t>
      </w:r>
      <w:proofErr w:type="spellStart"/>
      <w:r w:rsidRPr="00B62EF2">
        <w:rPr>
          <w:rFonts w:ascii="Verdana" w:eastAsia="Calibri" w:hAnsi="Verdana" w:cs="Arial"/>
        </w:rPr>
        <w:t>subsanabilidad</w:t>
      </w:r>
      <w:proofErr w:type="spellEnd"/>
      <w:r w:rsidRPr="00B62EF2">
        <w:rPr>
          <w:rFonts w:ascii="Verdana" w:eastAsia="Calibri" w:hAnsi="Verdana" w:cs="Arial"/>
        </w:rPr>
        <w:t>, como, por ejemplo, la prohibición de permitir la entrega de la garantía de seriedad de la oferta que no fue aportada con la propuesta y de permitir la acreditación de circunstancias ocurridas con posterioridad al cierre del proceso.</w:t>
      </w:r>
    </w:p>
    <w:p w14:paraId="1351F709" w14:textId="77777777" w:rsidR="00E6106F" w:rsidRPr="00B62EF2" w:rsidRDefault="00E6106F" w:rsidP="00E6106F">
      <w:pPr>
        <w:widowControl w:val="0"/>
        <w:tabs>
          <w:tab w:val="left" w:pos="284"/>
        </w:tabs>
        <w:autoSpaceDE w:val="0"/>
        <w:autoSpaceDN w:val="0"/>
        <w:spacing w:before="120" w:after="120" w:line="276" w:lineRule="auto"/>
        <w:ind w:firstLine="709"/>
        <w:jc w:val="both"/>
        <w:rPr>
          <w:rFonts w:ascii="Verdana" w:eastAsia="Calibri" w:hAnsi="Verdana" w:cs="Arial"/>
          <w:color w:val="000000"/>
          <w:lang w:val="es-ES_tradnl"/>
        </w:rPr>
      </w:pPr>
      <w:r w:rsidRPr="00B62EF2">
        <w:rPr>
          <w:rFonts w:ascii="Verdana" w:eastAsia="Calibri" w:hAnsi="Verdana" w:cs="Arial"/>
        </w:rPr>
        <w:t xml:space="preserve">En este sentido, bajo la normativa actual que regula la </w:t>
      </w:r>
      <w:proofErr w:type="spellStart"/>
      <w:r w:rsidRPr="00B62EF2">
        <w:rPr>
          <w:rFonts w:ascii="Verdana" w:eastAsia="Calibri" w:hAnsi="Verdana" w:cs="Arial"/>
        </w:rPr>
        <w:t>subsanabilidad</w:t>
      </w:r>
      <w:proofErr w:type="spellEnd"/>
      <w:r w:rsidRPr="00B62EF2">
        <w:rPr>
          <w:rFonts w:ascii="Verdana" w:eastAsia="Calibri" w:hAnsi="Verdana" w:cs="Arial"/>
        </w:rPr>
        <w:t xml:space="preserve"> de las ofertas debe tenerse en cuenta que </w:t>
      </w:r>
      <w:r w:rsidRPr="00B62EF2">
        <w:rPr>
          <w:rFonts w:ascii="Verdana" w:eastAsia="Arial" w:hAnsi="Verdana" w:cs="Arial"/>
          <w:lang w:val="es-ES"/>
        </w:rPr>
        <w:t>el</w:t>
      </w:r>
      <w:r w:rsidRPr="00B62EF2">
        <w:rPr>
          <w:rFonts w:ascii="Verdana" w:eastAsia="Arial" w:hAnsi="Verdana" w:cs="Arial"/>
          <w:spacing w:val="-12"/>
          <w:lang w:val="es-ES"/>
        </w:rPr>
        <w:t xml:space="preserve"> </w:t>
      </w:r>
      <w:r w:rsidRPr="00B62EF2">
        <w:rPr>
          <w:rFonts w:ascii="Verdana" w:eastAsia="Arial" w:hAnsi="Verdana" w:cs="Arial"/>
          <w:lang w:val="es-ES"/>
        </w:rPr>
        <w:t>legislador</w:t>
      </w:r>
      <w:r w:rsidRPr="00B62EF2">
        <w:rPr>
          <w:rFonts w:ascii="Verdana" w:eastAsia="Arial" w:hAnsi="Verdana" w:cs="Arial"/>
          <w:spacing w:val="-12"/>
          <w:lang w:val="es-ES"/>
        </w:rPr>
        <w:t xml:space="preserve"> </w:t>
      </w:r>
      <w:r w:rsidRPr="00B62EF2">
        <w:rPr>
          <w:rFonts w:ascii="Verdana" w:eastAsia="Arial" w:hAnsi="Verdana" w:cs="Arial"/>
          <w:lang w:val="es-ES"/>
        </w:rPr>
        <w:t>expidió</w:t>
      </w:r>
      <w:r w:rsidRPr="00B62EF2">
        <w:rPr>
          <w:rFonts w:ascii="Verdana" w:eastAsia="Arial" w:hAnsi="Verdana" w:cs="Arial"/>
          <w:spacing w:val="-13"/>
          <w:lang w:val="es-ES"/>
        </w:rPr>
        <w:t xml:space="preserve"> </w:t>
      </w:r>
      <w:r w:rsidRPr="00B62EF2">
        <w:rPr>
          <w:rFonts w:ascii="Verdana" w:eastAsia="Arial" w:hAnsi="Verdana" w:cs="Arial"/>
          <w:lang w:val="es-ES"/>
        </w:rPr>
        <w:t>la</w:t>
      </w:r>
      <w:r w:rsidRPr="00B62EF2">
        <w:rPr>
          <w:rFonts w:ascii="Verdana" w:eastAsia="Arial" w:hAnsi="Verdana" w:cs="Arial"/>
          <w:spacing w:val="-12"/>
          <w:lang w:val="es-ES"/>
        </w:rPr>
        <w:t xml:space="preserve"> </w:t>
      </w:r>
      <w:r w:rsidRPr="00B62EF2">
        <w:rPr>
          <w:rFonts w:ascii="Verdana" w:eastAsia="Arial" w:hAnsi="Verdana" w:cs="Arial"/>
          <w:lang w:val="es-ES"/>
        </w:rPr>
        <w:t>Ley</w:t>
      </w:r>
      <w:r w:rsidRPr="00B62EF2">
        <w:rPr>
          <w:rFonts w:ascii="Verdana" w:eastAsia="Arial" w:hAnsi="Verdana" w:cs="Arial"/>
          <w:spacing w:val="-13"/>
          <w:lang w:val="es-ES"/>
        </w:rPr>
        <w:t xml:space="preserve"> </w:t>
      </w:r>
      <w:r w:rsidRPr="00B62EF2">
        <w:rPr>
          <w:rFonts w:ascii="Verdana" w:eastAsia="Arial" w:hAnsi="Verdana" w:cs="Arial"/>
          <w:lang w:val="es-ES"/>
        </w:rPr>
        <w:t>1882</w:t>
      </w:r>
      <w:r w:rsidRPr="00B62EF2">
        <w:rPr>
          <w:rFonts w:ascii="Verdana" w:eastAsia="Arial" w:hAnsi="Verdana" w:cs="Arial"/>
          <w:spacing w:val="-13"/>
          <w:lang w:val="es-ES"/>
        </w:rPr>
        <w:t xml:space="preserve"> </w:t>
      </w:r>
      <w:r w:rsidRPr="00B62EF2">
        <w:rPr>
          <w:rFonts w:ascii="Verdana" w:eastAsia="Arial" w:hAnsi="Verdana" w:cs="Arial"/>
          <w:lang w:val="es-ES"/>
        </w:rPr>
        <w:t>de</w:t>
      </w:r>
      <w:r w:rsidRPr="00B62EF2">
        <w:rPr>
          <w:rFonts w:ascii="Verdana" w:eastAsia="Arial" w:hAnsi="Verdana" w:cs="Arial"/>
          <w:spacing w:val="-12"/>
          <w:lang w:val="es-ES"/>
        </w:rPr>
        <w:t xml:space="preserve"> </w:t>
      </w:r>
      <w:r w:rsidRPr="00B62EF2">
        <w:rPr>
          <w:rFonts w:ascii="Verdana" w:eastAsia="Arial" w:hAnsi="Verdana" w:cs="Arial"/>
          <w:lang w:val="es-ES"/>
        </w:rPr>
        <w:t>2018,</w:t>
      </w:r>
      <w:r w:rsidRPr="00B62EF2">
        <w:rPr>
          <w:rFonts w:ascii="Verdana" w:eastAsia="Arial" w:hAnsi="Verdana" w:cs="Arial"/>
          <w:spacing w:val="-13"/>
          <w:lang w:val="es-ES"/>
        </w:rPr>
        <w:t xml:space="preserve"> </w:t>
      </w:r>
      <w:r w:rsidRPr="00B62EF2">
        <w:rPr>
          <w:rFonts w:ascii="Verdana" w:eastAsia="Arial" w:hAnsi="Verdana" w:cs="Arial"/>
          <w:lang w:val="es-ES"/>
        </w:rPr>
        <w:t>con</w:t>
      </w:r>
      <w:r w:rsidRPr="00B62EF2">
        <w:rPr>
          <w:rFonts w:ascii="Verdana" w:eastAsia="Arial" w:hAnsi="Verdana" w:cs="Arial"/>
          <w:spacing w:val="-12"/>
          <w:lang w:val="es-ES"/>
        </w:rPr>
        <w:t xml:space="preserve"> </w:t>
      </w:r>
      <w:r w:rsidRPr="00B62EF2">
        <w:rPr>
          <w:rFonts w:ascii="Verdana" w:eastAsia="Arial" w:hAnsi="Verdana" w:cs="Arial"/>
          <w:lang w:val="es-ES"/>
        </w:rPr>
        <w:t>la</w:t>
      </w:r>
      <w:r w:rsidRPr="00B62EF2">
        <w:rPr>
          <w:rFonts w:ascii="Verdana" w:eastAsia="Arial" w:hAnsi="Verdana" w:cs="Arial"/>
          <w:spacing w:val="-13"/>
          <w:lang w:val="es-ES"/>
        </w:rPr>
        <w:t xml:space="preserve"> </w:t>
      </w:r>
      <w:r w:rsidRPr="00B62EF2">
        <w:rPr>
          <w:rFonts w:ascii="Verdana" w:eastAsia="Arial" w:hAnsi="Verdana" w:cs="Arial"/>
          <w:lang w:val="es-ES"/>
        </w:rPr>
        <w:t xml:space="preserve">finalidad de introducir cambios y ajustes para fortalecer la contratación pública. </w:t>
      </w:r>
      <w:r w:rsidRPr="00B62EF2">
        <w:rPr>
          <w:rFonts w:ascii="Verdana" w:eastAsia="Arial" w:hAnsi="Verdana" w:cs="Arial"/>
          <w:color w:val="000000"/>
          <w:lang w:val="es-ES_tradnl"/>
        </w:rPr>
        <w:t xml:space="preserve">Particularmente, el artículo 5 de dicha norma, modificó el parágrafo 1º del artículo 5 de la Ley 1150 de 2007, así: </w:t>
      </w:r>
    </w:p>
    <w:p w14:paraId="4A7ED84E" w14:textId="77777777" w:rsidR="00E6106F" w:rsidRPr="00B62EF2" w:rsidRDefault="00E6106F" w:rsidP="00E6106F">
      <w:pPr>
        <w:spacing w:after="120" w:line="276" w:lineRule="auto"/>
        <w:jc w:val="both"/>
        <w:rPr>
          <w:rFonts w:ascii="Verdana" w:eastAsia="Calibri" w:hAnsi="Verdana" w:cs="Arial"/>
          <w:color w:val="000000"/>
          <w:lang w:val="es-ES_tradnl"/>
        </w:rPr>
      </w:pPr>
    </w:p>
    <w:p w14:paraId="7F3CFF79" w14:textId="77777777" w:rsidR="00E6106F" w:rsidRPr="00B62EF2" w:rsidRDefault="00E6106F" w:rsidP="00E6106F">
      <w:pPr>
        <w:spacing w:after="120" w:line="276" w:lineRule="auto"/>
        <w:ind w:left="709" w:right="709"/>
        <w:jc w:val="both"/>
        <w:rPr>
          <w:rFonts w:ascii="Verdana" w:eastAsia="Calibri" w:hAnsi="Verdana" w:cs="Arial"/>
          <w:color w:val="000000"/>
          <w:lang w:val="es-ES_tradnl"/>
        </w:rPr>
      </w:pPr>
      <w:r w:rsidRPr="00B62EF2">
        <w:rPr>
          <w:rFonts w:ascii="Verdana" w:eastAsia="Calibri" w:hAnsi="Verdana" w:cs="Arial"/>
          <w:color w:val="000000"/>
          <w:lang w:val="es-ES_tradnl"/>
        </w:rPr>
        <w:t xml:space="preserve">“Artículo 5°. De la selección objetiva. </w:t>
      </w:r>
    </w:p>
    <w:p w14:paraId="6221CEAC" w14:textId="77777777" w:rsidR="00E6106F" w:rsidRPr="00B62EF2" w:rsidRDefault="00E6106F" w:rsidP="00E6106F">
      <w:pPr>
        <w:spacing w:after="120" w:line="276" w:lineRule="auto"/>
        <w:ind w:left="709" w:right="709"/>
        <w:jc w:val="both"/>
        <w:rPr>
          <w:rFonts w:ascii="Verdana" w:eastAsia="Calibri" w:hAnsi="Verdana" w:cs="Arial"/>
          <w:color w:val="000000"/>
          <w:lang w:val="es-ES_tradnl"/>
        </w:rPr>
      </w:pPr>
      <w:r w:rsidRPr="00B62EF2">
        <w:rPr>
          <w:rFonts w:ascii="Verdana" w:eastAsia="Calibri" w:hAnsi="Verdana" w:cs="Arial"/>
          <w:color w:val="000000"/>
          <w:lang w:val="es-ES_tradnl"/>
        </w:rPr>
        <w:t xml:space="preserve">[...] </w:t>
      </w:r>
    </w:p>
    <w:p w14:paraId="4602974B" w14:textId="77777777" w:rsidR="00E6106F" w:rsidRPr="00B62EF2" w:rsidRDefault="00E6106F" w:rsidP="00E6106F">
      <w:pPr>
        <w:spacing w:after="120" w:line="276" w:lineRule="auto"/>
        <w:ind w:left="709" w:right="709"/>
        <w:jc w:val="both"/>
        <w:rPr>
          <w:rFonts w:ascii="Verdana" w:eastAsia="Calibri" w:hAnsi="Verdana" w:cs="Arial"/>
          <w:color w:val="000000"/>
          <w:sz w:val="21"/>
          <w:szCs w:val="21"/>
          <w:lang w:val="es-ES"/>
        </w:rPr>
      </w:pPr>
      <w:r w:rsidRPr="18EA8C89">
        <w:rPr>
          <w:rFonts w:ascii="Verdana" w:eastAsia="Calibri" w:hAnsi="Verdana" w:cs="Arial"/>
          <w:color w:val="000000" w:themeColor="text1"/>
          <w:sz w:val="21"/>
          <w:szCs w:val="21"/>
          <w:lang w:val="es-ES"/>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18EA8C89">
        <w:rPr>
          <w:rFonts w:ascii="Verdana" w:eastAsia="Calibri" w:hAnsi="Verdana" w:cs="Arial"/>
          <w:color w:val="000000" w:themeColor="text1"/>
          <w:sz w:val="21"/>
          <w:szCs w:val="21"/>
          <w:lang w:val="es-ES"/>
        </w:rPr>
        <w:t>puntaje,</w:t>
      </w:r>
      <w:proofErr w:type="gramEnd"/>
      <w:r w:rsidRPr="18EA8C89">
        <w:rPr>
          <w:rFonts w:ascii="Verdana" w:eastAsia="Calibri" w:hAnsi="Verdana" w:cs="Arial"/>
          <w:color w:val="000000" w:themeColor="text1"/>
          <w:sz w:val="21"/>
          <w:szCs w:val="21"/>
          <w:lang w:val="es-ES"/>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w:t>
      </w:r>
      <w:r w:rsidRPr="18EA8C89">
        <w:rPr>
          <w:rFonts w:ascii="Verdana" w:eastAsia="Calibri" w:hAnsi="Verdana" w:cs="Arial"/>
          <w:color w:val="000000" w:themeColor="text1"/>
          <w:sz w:val="21"/>
          <w:szCs w:val="21"/>
          <w:lang w:val="es-ES"/>
        </w:rPr>
        <w:lastRenderedPageBreak/>
        <w:t xml:space="preserve">anteriormente señalado. Durante el término otorgado para subsanar las ofertas, los proponentes no podrán acreditar circunstancias ocurridas con posterioridad al cierre del proceso”. </w:t>
      </w:r>
    </w:p>
    <w:p w14:paraId="6C72E6EB" w14:textId="77777777" w:rsidR="00E6106F" w:rsidRPr="00B62EF2" w:rsidRDefault="00E6106F" w:rsidP="00E6106F">
      <w:pPr>
        <w:spacing w:after="120" w:line="276" w:lineRule="auto"/>
        <w:ind w:firstLine="709"/>
        <w:jc w:val="both"/>
        <w:rPr>
          <w:rFonts w:ascii="Verdana" w:eastAsia="Arial" w:hAnsi="Verdana" w:cs="Arial"/>
          <w:color w:val="000000"/>
          <w:lang w:val="es-ES" w:eastAsia="es-MX"/>
        </w:rPr>
      </w:pPr>
      <w:r w:rsidRPr="00B62EF2">
        <w:rPr>
          <w:rFonts w:ascii="Verdana" w:eastAsia="Calibri" w:hAnsi="Verdana" w:cs="Arial"/>
          <w:color w:val="000000"/>
          <w:lang w:val="es-ES_tradnl"/>
        </w:rPr>
        <w:t xml:space="preserve">De lo anterior, se colige que la disposición precitada: i) mantiene el criterio de la Ley 80 de 1993, relativo a que todo lo que no sea necesario para la comparación de propuestas no es título suficiente para su rechazo, </w:t>
      </w:r>
      <w:proofErr w:type="spellStart"/>
      <w:r w:rsidRPr="00B62EF2">
        <w:rPr>
          <w:rFonts w:ascii="Verdana" w:eastAsia="Calibri" w:hAnsi="Verdana" w:cs="Arial"/>
          <w:color w:val="000000"/>
          <w:lang w:val="es-ES_tradnl"/>
        </w:rPr>
        <w:t>ii</w:t>
      </w:r>
      <w:proofErr w:type="spellEnd"/>
      <w:r w:rsidRPr="00B62EF2">
        <w:rPr>
          <w:rFonts w:ascii="Verdana" w:eastAsia="Calibri" w:hAnsi="Verdana" w:cs="Arial"/>
          <w:color w:val="000000"/>
          <w:lang w:val="es-ES_tradnl"/>
        </w:rPr>
        <w:t xml:space="preserve">) mantiene el criterio aclaratorio de la Ley 1150 de 2007, según el cual todo lo que no afecte la asignación de puntaje puede subsanarse e </w:t>
      </w:r>
      <w:proofErr w:type="spellStart"/>
      <w:r w:rsidRPr="00B62EF2">
        <w:rPr>
          <w:rFonts w:ascii="Verdana" w:eastAsia="Calibri" w:hAnsi="Verdana" w:cs="Arial"/>
          <w:color w:val="000000"/>
          <w:lang w:val="es-ES_tradnl"/>
        </w:rPr>
        <w:t>iii</w:t>
      </w:r>
      <w:proofErr w:type="spellEnd"/>
      <w:r w:rsidRPr="00B62EF2">
        <w:rPr>
          <w:rFonts w:ascii="Verdana" w:eastAsia="Calibri" w:hAnsi="Verdana" w:cs="Arial"/>
          <w:color w:val="000000"/>
          <w:lang w:val="es-ES_tradnl"/>
        </w:rPr>
        <w:t>) introduce modificaciones en relación con tres aspectos que se analizarán a continuación</w:t>
      </w:r>
      <w:r w:rsidRPr="00B62EF2">
        <w:rPr>
          <w:rFonts w:ascii="Verdana" w:eastAsia="Arial" w:hAnsi="Verdana" w:cs="Arial"/>
          <w:color w:val="000000"/>
          <w:lang w:val="es-ES" w:eastAsia="es-MX"/>
        </w:rPr>
        <w:t xml:space="preserve">. </w:t>
      </w:r>
    </w:p>
    <w:p w14:paraId="0F11BAF0" w14:textId="77777777" w:rsidR="00E6106F" w:rsidRPr="00B62EF2" w:rsidRDefault="00E6106F" w:rsidP="00E6106F">
      <w:pPr>
        <w:spacing w:after="120" w:line="276" w:lineRule="auto"/>
        <w:ind w:firstLine="709"/>
        <w:jc w:val="both"/>
        <w:rPr>
          <w:rFonts w:ascii="Verdana" w:eastAsia="Arial" w:hAnsi="Verdana" w:cs="Arial"/>
          <w:color w:val="000000"/>
          <w:lang w:val="es-ES" w:eastAsia="es-MX"/>
        </w:rPr>
      </w:pPr>
      <w:r w:rsidRPr="00B62EF2">
        <w:rPr>
          <w:rFonts w:ascii="Verdana" w:eastAsia="Arial" w:hAnsi="Verdana" w:cs="Arial"/>
          <w:color w:val="000000"/>
          <w:lang w:val="es-ES" w:eastAsia="es-MX"/>
        </w:rPr>
        <w:t xml:space="preserve">El </w:t>
      </w:r>
      <w:r w:rsidRPr="00B62EF2">
        <w:rPr>
          <w:rFonts w:ascii="Verdana" w:eastAsia="Arial" w:hAnsi="Verdana" w:cs="Arial"/>
          <w:i/>
          <w:iCs/>
          <w:color w:val="000000"/>
          <w:lang w:val="es-ES" w:eastAsia="es-MX"/>
        </w:rPr>
        <w:t>primero</w:t>
      </w:r>
      <w:r w:rsidRPr="00B62EF2">
        <w:rPr>
          <w:rFonts w:ascii="Verdana" w:eastAsia="Arial" w:hAnsi="Verdana" w:cs="Arial"/>
          <w:color w:val="000000"/>
          <w:lang w:val="es-ES" w:eastAsia="es-MX"/>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el proceso de selección a través del sistema de subasta: en este último los documentos o requisitos subsanables deben solicitarse, como límite final, hasta el momento previo a su realización</w:t>
      </w:r>
      <w:r w:rsidRPr="00B62EF2">
        <w:rPr>
          <w:rFonts w:ascii="Verdana" w:eastAsia="Arial" w:hAnsi="Verdana" w:cs="Arial"/>
          <w:color w:val="000000"/>
          <w:vertAlign w:val="superscript"/>
          <w:lang w:eastAsia="es-MX"/>
        </w:rPr>
        <w:footnoteReference w:id="4"/>
      </w:r>
      <w:r w:rsidRPr="00B62EF2">
        <w:rPr>
          <w:rFonts w:ascii="Verdana" w:eastAsia="Arial" w:hAnsi="Verdana" w:cs="Arial"/>
          <w:color w:val="000000"/>
          <w:lang w:val="es-ES" w:eastAsia="es-MX"/>
        </w:rPr>
        <w:t>. Sin embargo, para el caso de los procesos de mínima cuantía, deberá tenerse en cuenta la regla dispuesta en el numeral 5 y 6 del artículo 2.2.1.2.1.5.2 del Decreto 1860 de 2021.</w:t>
      </w:r>
    </w:p>
    <w:p w14:paraId="363D3C84" w14:textId="77777777" w:rsidR="00E6106F" w:rsidRPr="00B62EF2" w:rsidRDefault="00E6106F" w:rsidP="00E6106F">
      <w:pPr>
        <w:spacing w:after="120" w:line="276" w:lineRule="auto"/>
        <w:ind w:firstLine="709"/>
        <w:jc w:val="both"/>
        <w:rPr>
          <w:rFonts w:ascii="Verdana" w:eastAsia="Arial" w:hAnsi="Verdana" w:cs="Arial"/>
          <w:color w:val="000000"/>
          <w:lang w:val="es-ES" w:eastAsia="es-MX"/>
        </w:rPr>
      </w:pPr>
      <w:r w:rsidRPr="00B62EF2">
        <w:rPr>
          <w:rFonts w:ascii="Verdana" w:eastAsia="Times New Roman" w:hAnsi="Verdana" w:cs="Arial"/>
          <w:color w:val="000000"/>
          <w:shd w:val="clear" w:color="auto" w:fill="FFFFFF"/>
          <w:lang w:eastAsia="es-MX"/>
        </w:rPr>
        <w:t>Frente a la regla general, como lo explicó esta Agencia en el Concepto CU-060 del 24 de febrero de 2020,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664757B0" w14:textId="77777777" w:rsidR="00E6106F" w:rsidRPr="00B62EF2" w:rsidRDefault="00E6106F" w:rsidP="00E6106F">
      <w:pPr>
        <w:spacing w:after="120" w:line="276" w:lineRule="auto"/>
        <w:ind w:firstLine="720"/>
        <w:jc w:val="both"/>
        <w:rPr>
          <w:rFonts w:ascii="Verdana" w:eastAsia="Calibri" w:hAnsi="Verdana" w:cs="Arial"/>
          <w:color w:val="000000"/>
          <w:lang w:eastAsia="es-MX"/>
        </w:rPr>
      </w:pPr>
      <w:r w:rsidRPr="00B62EF2">
        <w:rPr>
          <w:rFonts w:ascii="Verdana" w:eastAsia="Arial" w:hAnsi="Verdana" w:cs="Arial"/>
          <w:color w:val="000000"/>
          <w:lang w:val="es-ES" w:eastAsia="es-MX"/>
        </w:rPr>
        <w:t xml:space="preserve">De otro lado, el </w:t>
      </w:r>
      <w:r w:rsidRPr="00B62EF2">
        <w:rPr>
          <w:rFonts w:ascii="Verdana" w:eastAsia="Arial" w:hAnsi="Verdana" w:cs="Arial"/>
          <w:i/>
          <w:iCs/>
          <w:color w:val="000000"/>
          <w:lang w:val="es-ES" w:eastAsia="es-MX"/>
        </w:rPr>
        <w:t>segundo</w:t>
      </w:r>
      <w:r w:rsidRPr="00B62EF2">
        <w:rPr>
          <w:rFonts w:ascii="Verdana" w:eastAsia="Arial" w:hAnsi="Verdana" w:cs="Arial"/>
          <w:color w:val="000000"/>
          <w:lang w:val="es-ES" w:eastAsia="es-MX"/>
        </w:rPr>
        <w:t xml:space="preserve"> cambio importante de la Ley 1882 de 2018</w:t>
      </w:r>
      <w:r w:rsidRPr="00B62EF2">
        <w:rPr>
          <w:rFonts w:ascii="Verdana" w:eastAsia="Arial" w:hAnsi="Verdana" w:cs="Arial"/>
          <w:color w:val="000000"/>
          <w:lang w:eastAsia="es-MX"/>
        </w:rPr>
        <w:t xml:space="preserve"> </w:t>
      </w:r>
      <w:r w:rsidRPr="00B62EF2">
        <w:rPr>
          <w:rFonts w:ascii="Verdana" w:eastAsia="Calibri" w:hAnsi="Verdana" w:cs="Arial"/>
          <w:color w:val="000000"/>
          <w:lang w:eastAsia="es-MX"/>
        </w:rPr>
        <w:t xml:space="preserve">es el correspondiente a la garantía de seriedad. El parágrafo 3 del artículo 5 de la Ley 1150 de 2007, adicionado por el artículo 5 de la Ley 1882 de 2018 dispone que la falta de entrega de la garantía de seriedad es insubsanable. Al respecto, la norma prescribe lo siguiente: “PARÁGRAFO 3o. La no entrega de la garantía de seriedad junto con la propuesta no será subsanable y será causal de rechazo de </w:t>
      </w:r>
      <w:proofErr w:type="gramStart"/>
      <w:r w:rsidRPr="00B62EF2">
        <w:rPr>
          <w:rFonts w:ascii="Verdana" w:eastAsia="Calibri" w:hAnsi="Verdana" w:cs="Arial"/>
          <w:color w:val="000000"/>
          <w:lang w:eastAsia="es-MX"/>
        </w:rPr>
        <w:t>la misma</w:t>
      </w:r>
      <w:proofErr w:type="gramEnd"/>
      <w:r w:rsidRPr="00B62EF2">
        <w:rPr>
          <w:rFonts w:ascii="Verdana" w:eastAsia="Calibri" w:hAnsi="Verdana" w:cs="Arial"/>
          <w:color w:val="000000"/>
          <w:lang w:eastAsia="es-MX"/>
        </w:rPr>
        <w:t>”.</w:t>
      </w:r>
    </w:p>
    <w:p w14:paraId="59FBDC91" w14:textId="77777777" w:rsidR="00E6106F" w:rsidRPr="00B62EF2" w:rsidRDefault="00E6106F" w:rsidP="00E6106F">
      <w:pPr>
        <w:spacing w:after="120" w:line="276" w:lineRule="auto"/>
        <w:ind w:firstLine="709"/>
        <w:jc w:val="both"/>
        <w:rPr>
          <w:rFonts w:ascii="Verdana" w:eastAsia="Times New Roman" w:hAnsi="Verdana" w:cs="Arial"/>
          <w:bdr w:val="none" w:sz="0" w:space="0" w:color="auto" w:frame="1"/>
          <w:lang w:val="es-ES_tradnl" w:eastAsia="es-MX"/>
        </w:rPr>
      </w:pPr>
      <w:r w:rsidRPr="00B62EF2">
        <w:rPr>
          <w:rFonts w:ascii="Verdana" w:eastAsia="Arial" w:hAnsi="Verdana" w:cs="Arial"/>
          <w:color w:val="000000"/>
          <w:lang w:eastAsia="es-MX"/>
        </w:rPr>
        <w:t>El último cambio</w:t>
      </w:r>
      <w:r w:rsidRPr="00B62EF2">
        <w:rPr>
          <w:rFonts w:ascii="Verdana" w:eastAsia="Arial" w:hAnsi="Verdana" w:cs="Arial"/>
          <w:color w:val="000000"/>
          <w:lang w:val="es-ES" w:eastAsia="es-MX"/>
        </w:rPr>
        <w:t xml:space="preserve"> importante de la Ley 1882 de 2018 fue la introducción de un criterio material, directamente relacionado con los aspectos subsanables: </w:t>
      </w:r>
      <w:r w:rsidRPr="00B62EF2">
        <w:rPr>
          <w:rFonts w:ascii="Verdana" w:eastAsia="Arial" w:hAnsi="Verdana" w:cs="Arial"/>
          <w:i/>
          <w:iCs/>
          <w:color w:val="000000"/>
          <w:lang w:val="es-ES" w:eastAsia="es-MX"/>
        </w:rPr>
        <w:lastRenderedPageBreak/>
        <w:t>“</w:t>
      </w:r>
      <w:r w:rsidRPr="00B62EF2">
        <w:rPr>
          <w:rFonts w:ascii="Verdana" w:eastAsia="Arial" w:hAnsi="Verdana" w:cs="Arial"/>
          <w:color w:val="000000"/>
          <w:lang w:val="es-ES" w:eastAsia="es-MX"/>
        </w:rPr>
        <w:t>los proponentes no podrán acreditar circunstancias ocurridas con posterioridad al cierre del proceso”</w:t>
      </w:r>
      <w:r w:rsidRPr="00B62EF2">
        <w:rPr>
          <w:rFonts w:ascii="Verdana" w:eastAsia="Arial" w:hAnsi="Verdana" w:cs="Arial"/>
          <w:b/>
          <w:bCs/>
          <w:color w:val="000000"/>
          <w:lang w:val="es-ES" w:eastAsia="es-MX"/>
        </w:rPr>
        <w:t>.</w:t>
      </w:r>
      <w:r w:rsidRPr="00B62EF2">
        <w:rPr>
          <w:rFonts w:ascii="Verdana" w:eastAsia="Times New Roman" w:hAnsi="Verdana" w:cs="Arial"/>
          <w:bdr w:val="none" w:sz="0" w:space="0" w:color="auto" w:frame="1"/>
          <w:lang w:val="es-ES_tradnl" w:eastAsia="es-MX"/>
        </w:rPr>
        <w:t xml:space="preserve"> Esta regla tiene una finalidad particular, y es que, al momento de presentar la oferta, el proponente deberá hacerlo de forma íntegra y así evitar que a lo largo del procedimiento contractual complete o adicione su propuesta, conforme mejora su situación particular. En términos del Consejo de Estado:</w:t>
      </w:r>
    </w:p>
    <w:p w14:paraId="2E499A84" w14:textId="77777777" w:rsidR="00E6106F" w:rsidRDefault="00E6106F" w:rsidP="00E6106F">
      <w:pPr>
        <w:tabs>
          <w:tab w:val="left" w:pos="426"/>
        </w:tabs>
        <w:spacing w:after="120" w:line="276" w:lineRule="auto"/>
        <w:ind w:left="709" w:right="709"/>
        <w:jc w:val="both"/>
        <w:rPr>
          <w:rFonts w:ascii="Verdana" w:eastAsia="Arial" w:hAnsi="Verdana" w:cs="Arial"/>
          <w:color w:val="000000"/>
          <w:sz w:val="21"/>
          <w:szCs w:val="21"/>
          <w:lang w:eastAsia="es-MX"/>
        </w:rPr>
      </w:pPr>
      <w:r w:rsidRPr="00B62EF2">
        <w:rPr>
          <w:rFonts w:ascii="Verdana" w:eastAsia="Arial" w:hAnsi="Verdana" w:cs="Arial"/>
          <w:color w:val="000000"/>
          <w:sz w:val="21"/>
          <w:szCs w:val="21"/>
          <w:lang w:eastAsia="es-MX"/>
        </w:rPr>
        <w:t>“[…] no es posible que el oferente vaya mejorando, completando, adicionando, modificando o estructurando su propuesta a lo largo del proceso contractual según vaya evolucionando su situación particular en el mismo, pues como se establece en el numeral 6º del artículo 30 de la Ley 80 de 1993, “las propuestas deben referirse y sujetarse a todos y cada uno de los puntos contenidos en el pliego de condiciones”, es decir, todos los elementos del negocio jurídico exigidos en los pliegos de condiciones. Dicho de otra forma, el oferente tiene la carga de presentar su oferta en forma íntegra, esto es, respondiendo todos los puntos del pliego de condiciones y adjuntando todos los documentos de soporte o prueba de las condiciones habilitantes y de los elementos de su oferta, de manera que la entidad licitante pueda, con economía de medios, evaluarla lo más eficientemente posible, y sólo si hace falta algún requisito o un documento, la administración puede requerirlo del oferente</w:t>
      </w:r>
      <w:r w:rsidRPr="00B62EF2">
        <w:rPr>
          <w:rFonts w:ascii="Verdana" w:eastAsia="Arial" w:hAnsi="Verdana" w:cs="Arial"/>
          <w:color w:val="000000"/>
          <w:sz w:val="21"/>
          <w:szCs w:val="21"/>
          <w:vertAlign w:val="superscript"/>
          <w:lang w:eastAsia="es-MX"/>
        </w:rPr>
        <w:footnoteReference w:id="5"/>
      </w:r>
      <w:r w:rsidRPr="00B62EF2">
        <w:rPr>
          <w:rFonts w:ascii="Verdana" w:eastAsia="Arial" w:hAnsi="Verdana" w:cs="Arial"/>
          <w:color w:val="000000"/>
          <w:sz w:val="21"/>
          <w:szCs w:val="21"/>
          <w:lang w:eastAsia="es-MX"/>
        </w:rPr>
        <w:t>”.</w:t>
      </w:r>
    </w:p>
    <w:p w14:paraId="58B98CBF" w14:textId="77777777" w:rsidR="00E6106F" w:rsidRDefault="00E6106F" w:rsidP="00E6106F">
      <w:pPr>
        <w:spacing w:after="120" w:line="276" w:lineRule="auto"/>
        <w:ind w:firstLine="709"/>
        <w:jc w:val="both"/>
        <w:rPr>
          <w:rFonts w:ascii="Verdana" w:eastAsia="Times New Roman" w:hAnsi="Verdana" w:cs="Arial"/>
          <w:lang w:val="es-ES" w:eastAsia="es-ES"/>
        </w:rPr>
      </w:pPr>
      <w:r w:rsidRPr="008F3D03">
        <w:rPr>
          <w:rFonts w:ascii="Verdana" w:eastAsia="Times New Roman" w:hAnsi="Verdana" w:cs="Arial"/>
          <w:lang w:val="es-ES" w:eastAsia="es-ES"/>
        </w:rPr>
        <w:t>Visto lo anterior, una vez verificada la ausencia de requisitos y/o documentos de la oferta, para efectos de saber si se pueden subsanar, la Administración se debe preguntar, en primer lugar, si lo que hace falta es un documento que afecte la asignación de puntaje o no y, en segundo lugar, si el cumplimiento del requisito constituye una circunstancia ocurrida con anterioridad o con posterioridad al cierre del proceso.</w:t>
      </w:r>
      <w:r w:rsidRPr="50927A94">
        <w:rPr>
          <w:rFonts w:ascii="Verdana" w:eastAsia="Times New Roman" w:hAnsi="Verdana" w:cs="Arial"/>
          <w:lang w:val="es-ES" w:eastAsia="es-ES"/>
        </w:rPr>
        <w:t xml:space="preserve">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w:t>
      </w:r>
    </w:p>
    <w:p w14:paraId="61597093" w14:textId="77777777" w:rsidR="00E6106F" w:rsidRDefault="00E6106F" w:rsidP="00E6106F">
      <w:pPr>
        <w:spacing w:after="120" w:line="276" w:lineRule="auto"/>
        <w:ind w:firstLine="709"/>
        <w:jc w:val="both"/>
        <w:rPr>
          <w:rFonts w:ascii="Verdana" w:hAnsi="Verdana" w:cs="Arial"/>
          <w:noProof/>
          <w:lang w:val="es-ES_tradnl"/>
        </w:rPr>
      </w:pPr>
      <w:proofErr w:type="spellStart"/>
      <w:r>
        <w:rPr>
          <w:rFonts w:ascii="Verdana" w:eastAsia="Calibri" w:hAnsi="Verdana" w:cs="Arial"/>
          <w:lang w:val="es-ES"/>
        </w:rPr>
        <w:t>Asi</w:t>
      </w:r>
      <w:proofErr w:type="spellEnd"/>
      <w:r>
        <w:rPr>
          <w:rFonts w:ascii="Verdana" w:eastAsia="Calibri" w:hAnsi="Verdana" w:cs="Arial"/>
          <w:lang w:val="es-ES"/>
        </w:rPr>
        <w:t xml:space="preserve"> las cosas, </w:t>
      </w:r>
      <w:r w:rsidRPr="0019683B">
        <w:rPr>
          <w:rFonts w:ascii="Verdana" w:eastAsia="Calibri" w:hAnsi="Verdana" w:cs="Arial"/>
          <w:lang w:val="es-ES"/>
        </w:rPr>
        <w:t xml:space="preserve">corresponde a cada entidad pública, en ejercicio de su competencia y previa valoración de los elementos fácticos y jurídicos </w:t>
      </w:r>
      <w:proofErr w:type="spellStart"/>
      <w:r w:rsidRPr="0019683B">
        <w:rPr>
          <w:rFonts w:ascii="Verdana" w:eastAsia="Calibri" w:hAnsi="Verdana" w:cs="Arial"/>
          <w:lang w:val="es-ES"/>
        </w:rPr>
        <w:t>asi</w:t>
      </w:r>
      <w:proofErr w:type="spellEnd"/>
      <w:r w:rsidRPr="0019683B">
        <w:rPr>
          <w:rFonts w:ascii="Verdana" w:eastAsia="Calibri" w:hAnsi="Verdana" w:cs="Arial"/>
          <w:lang w:val="es-ES"/>
        </w:rPr>
        <w:t xml:space="preserve"> como de las disposiciones legales anteriormente mencionadas, determinar</w:t>
      </w:r>
      <w:r>
        <w:rPr>
          <w:rFonts w:ascii="Verdana" w:eastAsia="Calibri" w:hAnsi="Verdana" w:cs="Arial"/>
          <w:lang w:val="es-ES"/>
        </w:rPr>
        <w:t xml:space="preserve"> las reglas </w:t>
      </w:r>
      <w:r>
        <w:rPr>
          <w:rFonts w:ascii="Verdana" w:eastAsia="Calibri" w:hAnsi="Verdana" w:cs="Arial"/>
          <w:lang w:val="es-ES"/>
        </w:rPr>
        <w:lastRenderedPageBreak/>
        <w:t xml:space="preserve">de </w:t>
      </w:r>
      <w:proofErr w:type="spellStart"/>
      <w:r>
        <w:rPr>
          <w:rFonts w:ascii="Verdana" w:eastAsia="Calibri" w:hAnsi="Verdana" w:cs="Arial"/>
          <w:lang w:val="es-ES"/>
        </w:rPr>
        <w:t>subsanabilidad</w:t>
      </w:r>
      <w:proofErr w:type="spellEnd"/>
      <w:r>
        <w:rPr>
          <w:rFonts w:ascii="Verdana" w:eastAsia="Calibri" w:hAnsi="Verdana" w:cs="Arial"/>
          <w:lang w:val="es-ES"/>
        </w:rPr>
        <w:t xml:space="preserve"> y causales de rechazo aplicables al caso, ya que, a</w:t>
      </w:r>
      <w:r w:rsidRPr="0019683B">
        <w:rPr>
          <w:rFonts w:ascii="Verdana" w:eastAsia="Calibri" w:hAnsi="Verdana" w:cs="Arial"/>
          <w:lang w:val="es-ES"/>
        </w:rPr>
        <w:t>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Por lo anterior, previo concepto de sus órganos asesores, la solución de casos particulares corresponde a la entidad que debe adoptar la decisión correspondiente y, en caso de conflicto, a las autoridades judiciales, fiscales y disciplinarias.</w:t>
      </w:r>
    </w:p>
    <w:p w14:paraId="3F40948A" w14:textId="77777777" w:rsidR="00E6106F" w:rsidRPr="00593A5F" w:rsidRDefault="00E6106F" w:rsidP="00E6106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2B8F4382" w14:textId="77777777" w:rsidR="00E6106F" w:rsidRPr="00593A5F" w:rsidRDefault="00E6106F" w:rsidP="00E6106F">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E6106F" w:rsidRPr="00593A5F" w14:paraId="6AC5B1D9" w14:textId="77777777" w:rsidTr="00E3779F">
        <w:trPr>
          <w:trHeight w:val="870"/>
        </w:trPr>
        <w:tc>
          <w:tcPr>
            <w:tcW w:w="8647" w:type="dxa"/>
          </w:tcPr>
          <w:p w14:paraId="321D8FBE" w14:textId="77777777" w:rsidR="00E6106F" w:rsidRDefault="00E6106F" w:rsidP="00E6106F">
            <w:pPr>
              <w:pStyle w:val="Prrafodelista"/>
              <w:numPr>
                <w:ilvl w:val="0"/>
                <w:numId w:val="17"/>
              </w:numPr>
              <w:spacing w:after="120" w:line="276" w:lineRule="auto"/>
              <w:ind w:right="709"/>
              <w:jc w:val="both"/>
              <w:rPr>
                <w:rFonts w:ascii="Verdana" w:hAnsi="Verdana" w:cs="Arial"/>
                <w:noProof/>
                <w:lang w:val="es-ES_tradnl"/>
              </w:rPr>
            </w:pPr>
            <w:r>
              <w:rPr>
                <w:rFonts w:ascii="Verdana" w:hAnsi="Verdana" w:cs="Arial"/>
                <w:noProof/>
                <w:lang w:val="es-ES_tradnl"/>
              </w:rPr>
              <w:t>A</w:t>
            </w:r>
            <w:r w:rsidRPr="009F4606">
              <w:rPr>
                <w:rFonts w:ascii="Verdana" w:hAnsi="Verdana" w:cs="Arial"/>
                <w:noProof/>
                <w:lang w:val="es-ES_tradnl"/>
              </w:rPr>
              <w:t xml:space="preserve">rtículo 5 de la Ley 1150 de 2007, </w:t>
            </w:r>
            <w:bookmarkStart w:id="3" w:name="_Hlk176762543"/>
            <w:r w:rsidRPr="009F4606">
              <w:rPr>
                <w:rFonts w:ascii="Verdana" w:hAnsi="Verdana" w:cs="Arial"/>
                <w:noProof/>
                <w:lang w:val="es-ES_tradnl"/>
              </w:rPr>
              <w:t>modificado por la Ley 1882 de 2018, parágrafos 1, 3 y 4</w:t>
            </w:r>
            <w:bookmarkEnd w:id="3"/>
            <w:r w:rsidRPr="009F4606">
              <w:rPr>
                <w:rFonts w:ascii="Verdana" w:hAnsi="Verdana" w:cs="Arial"/>
                <w:noProof/>
                <w:lang w:val="es-ES_tradnl"/>
              </w:rPr>
              <w:t>.</w:t>
            </w:r>
            <w:r>
              <w:rPr>
                <w:rFonts w:ascii="Verdana" w:hAnsi="Verdana" w:cs="Arial"/>
                <w:noProof/>
                <w:lang w:val="es-ES_tradnl"/>
              </w:rPr>
              <w:t xml:space="preserve"> Disponible en: </w:t>
            </w:r>
            <w:hyperlink r:id="rId12" w:history="1">
              <w:r w:rsidRPr="00836E04">
                <w:rPr>
                  <w:rStyle w:val="Hipervnculo"/>
                  <w:rFonts w:ascii="Verdana" w:hAnsi="Verdana" w:cs="Arial"/>
                  <w:noProof/>
                  <w:lang w:val="es-ES_tradnl"/>
                </w:rPr>
                <w:t>https://relatoria.colombiacompra.gov.co/normativa/ley-1882-de-2018/</w:t>
              </w:r>
            </w:hyperlink>
            <w:r w:rsidRPr="00D16A5E">
              <w:rPr>
                <w:rFonts w:ascii="Verdana" w:hAnsi="Verdana" w:cs="Arial"/>
                <w:noProof/>
                <w:lang w:val="es-ES_tradnl"/>
              </w:rPr>
              <w:t xml:space="preserve"> </w:t>
            </w:r>
          </w:p>
          <w:p w14:paraId="27BDC1C0" w14:textId="77777777" w:rsidR="00A51955" w:rsidRPr="00D16A5E" w:rsidRDefault="00A51955" w:rsidP="00A51955">
            <w:pPr>
              <w:pStyle w:val="Prrafodelista"/>
              <w:spacing w:after="120" w:line="276" w:lineRule="auto"/>
              <w:ind w:right="709"/>
              <w:jc w:val="both"/>
              <w:rPr>
                <w:rFonts w:ascii="Verdana" w:hAnsi="Verdana" w:cs="Arial"/>
                <w:noProof/>
                <w:lang w:val="es-ES_tradnl"/>
              </w:rPr>
            </w:pPr>
          </w:p>
          <w:p w14:paraId="33204ABC" w14:textId="77777777" w:rsidR="00E6106F" w:rsidRPr="00A51955" w:rsidRDefault="00E6106F" w:rsidP="00E6106F">
            <w:pPr>
              <w:pStyle w:val="Prrafodelista"/>
              <w:numPr>
                <w:ilvl w:val="0"/>
                <w:numId w:val="17"/>
              </w:numPr>
              <w:spacing w:after="120" w:line="276" w:lineRule="auto"/>
              <w:ind w:right="709"/>
              <w:jc w:val="both"/>
              <w:rPr>
                <w:rFonts w:ascii="Verdana" w:hAnsi="Verdana" w:cs="Arial"/>
                <w:noProof/>
                <w:lang w:val="es-ES_tradnl"/>
              </w:rPr>
            </w:pPr>
            <w:r>
              <w:rPr>
                <w:rFonts w:ascii="Verdana" w:eastAsia="Times New Roman" w:hAnsi="Verdana" w:cs="Arial"/>
                <w:lang w:val="es-ES_tradnl" w:eastAsia="es-ES_tradnl"/>
              </w:rPr>
              <w:t>A</w:t>
            </w:r>
            <w:r w:rsidRPr="00D16A5E">
              <w:rPr>
                <w:rFonts w:ascii="Verdana" w:eastAsia="Times New Roman" w:hAnsi="Verdana" w:cs="Arial"/>
                <w:lang w:val="es-ES_tradnl" w:eastAsia="es-ES_tradnl"/>
              </w:rPr>
              <w:t>rtículo 2.2.1.2.1.5.2</w:t>
            </w:r>
            <w:r>
              <w:rPr>
                <w:rFonts w:ascii="Verdana" w:eastAsia="Times New Roman" w:hAnsi="Verdana" w:cs="Arial"/>
                <w:lang w:val="es-ES_tradnl" w:eastAsia="es-ES_tradnl"/>
              </w:rPr>
              <w:t xml:space="preserve"> del Decreto 1082 de 2015 modificado por el artículo 2 </w:t>
            </w:r>
            <w:r w:rsidRPr="00D16A5E">
              <w:rPr>
                <w:rFonts w:ascii="Verdana" w:eastAsia="Times New Roman" w:hAnsi="Verdana" w:cs="Arial"/>
                <w:lang w:val="es-ES_tradnl" w:eastAsia="es-ES_tradnl"/>
              </w:rPr>
              <w:t>Decreto 1860 de 2021</w:t>
            </w:r>
            <w:r>
              <w:rPr>
                <w:rFonts w:ascii="Verdana" w:eastAsia="Times New Roman" w:hAnsi="Verdana" w:cs="Arial"/>
                <w:lang w:val="es-ES_tradnl" w:eastAsia="es-ES_tradnl"/>
              </w:rPr>
              <w:t xml:space="preserve">. </w:t>
            </w:r>
            <w:r>
              <w:rPr>
                <w:rFonts w:ascii="Verdana" w:hAnsi="Verdana" w:cs="Arial"/>
                <w:noProof/>
                <w:lang w:val="es-ES_tradnl"/>
              </w:rPr>
              <w:t xml:space="preserve">Disponible en: </w:t>
            </w:r>
            <w:r w:rsidRPr="00D16A5E">
              <w:rPr>
                <w:rFonts w:ascii="Verdana" w:eastAsia="Times New Roman" w:hAnsi="Verdana" w:cs="Arial"/>
                <w:lang w:val="es-ES_tradnl" w:eastAsia="es-ES_tradnl"/>
              </w:rPr>
              <w:t xml:space="preserve"> </w:t>
            </w:r>
            <w:hyperlink r:id="rId13" w:history="1">
              <w:r w:rsidRPr="00D16A5E">
                <w:rPr>
                  <w:rStyle w:val="Hipervnculo"/>
                  <w:rFonts w:ascii="Verdana" w:eastAsia="Times New Roman" w:hAnsi="Verdana" w:cs="Arial"/>
                  <w:lang w:val="es-ES_tradnl" w:eastAsia="es-ES_tradnl"/>
                </w:rPr>
                <w:t>https://relatoria.colombiacompra.gov.co/normativa/decreto-1860-de-2021/</w:t>
              </w:r>
            </w:hyperlink>
            <w:r w:rsidRPr="00D16A5E">
              <w:rPr>
                <w:rFonts w:ascii="Verdana" w:eastAsia="Times New Roman" w:hAnsi="Verdana" w:cs="Arial"/>
                <w:lang w:val="es-ES_tradnl" w:eastAsia="es-ES_tradnl"/>
              </w:rPr>
              <w:t xml:space="preserve"> </w:t>
            </w:r>
          </w:p>
          <w:p w14:paraId="6477490B" w14:textId="77777777" w:rsidR="00A51955" w:rsidRPr="00A51955" w:rsidRDefault="00A51955" w:rsidP="00A51955">
            <w:pPr>
              <w:pStyle w:val="Prrafodelista"/>
              <w:rPr>
                <w:rFonts w:ascii="Verdana" w:hAnsi="Verdana" w:cs="Arial"/>
                <w:noProof/>
                <w:lang w:val="es-ES_tradnl"/>
              </w:rPr>
            </w:pPr>
          </w:p>
          <w:p w14:paraId="6E30E2BC" w14:textId="77777777" w:rsidR="00A51955" w:rsidRPr="00D16A5E" w:rsidRDefault="00A51955" w:rsidP="00A51955">
            <w:pPr>
              <w:pStyle w:val="Prrafodelista"/>
              <w:spacing w:after="120" w:line="276" w:lineRule="auto"/>
              <w:ind w:right="709"/>
              <w:jc w:val="both"/>
              <w:rPr>
                <w:rFonts w:ascii="Verdana" w:hAnsi="Verdana" w:cs="Arial"/>
                <w:noProof/>
                <w:lang w:val="es-ES_tradnl"/>
              </w:rPr>
            </w:pPr>
          </w:p>
          <w:p w14:paraId="78DFD88C" w14:textId="77777777" w:rsidR="00E6106F" w:rsidRDefault="00E6106F" w:rsidP="00E6106F">
            <w:pPr>
              <w:pStyle w:val="Prrafodelista"/>
              <w:numPr>
                <w:ilvl w:val="0"/>
                <w:numId w:val="17"/>
              </w:numPr>
              <w:spacing w:after="120" w:line="276" w:lineRule="auto"/>
              <w:ind w:right="709"/>
              <w:jc w:val="both"/>
              <w:rPr>
                <w:rFonts w:ascii="Verdana" w:hAnsi="Verdana" w:cs="Arial"/>
                <w:noProof/>
                <w:lang w:val="es-ES_tradnl"/>
              </w:rPr>
            </w:pPr>
            <w:r w:rsidRPr="00D16A5E">
              <w:rPr>
                <w:rFonts w:ascii="Verdana" w:hAnsi="Verdana" w:cs="Arial"/>
              </w:rPr>
              <w:t xml:space="preserve">Jurisprudencia del Consejo de Estado. </w:t>
            </w:r>
            <w:r w:rsidRPr="009C0560">
              <w:rPr>
                <w:rFonts w:ascii="Verdana" w:hAnsi="Verdana" w:cs="Arial"/>
                <w:noProof/>
                <w:lang w:val="es-ES_tradnl"/>
              </w:rPr>
              <w:t>Consejo de Estado. Sala de Consulta y Servicio Civil. Concepto del 20 de mayo de 2010. Exp. 1.992. C.P. Enrique José Arboleda Perdomo.</w:t>
            </w:r>
          </w:p>
          <w:p w14:paraId="5108ED61" w14:textId="77777777" w:rsidR="00A51955" w:rsidRDefault="00A51955" w:rsidP="00A51955">
            <w:pPr>
              <w:pStyle w:val="Prrafodelista"/>
              <w:spacing w:after="120" w:line="276" w:lineRule="auto"/>
              <w:ind w:right="709"/>
              <w:jc w:val="both"/>
              <w:rPr>
                <w:rFonts w:ascii="Verdana" w:hAnsi="Verdana" w:cs="Arial"/>
                <w:noProof/>
                <w:lang w:val="es-ES_tradnl"/>
              </w:rPr>
            </w:pPr>
          </w:p>
          <w:p w14:paraId="21811253" w14:textId="42C42828" w:rsidR="00535888" w:rsidRDefault="00E6106F" w:rsidP="00535888">
            <w:pPr>
              <w:pStyle w:val="Prrafodelista"/>
              <w:numPr>
                <w:ilvl w:val="0"/>
                <w:numId w:val="17"/>
              </w:numPr>
              <w:spacing w:after="120" w:line="276" w:lineRule="auto"/>
              <w:ind w:right="709"/>
              <w:jc w:val="both"/>
              <w:rPr>
                <w:rFonts w:ascii="Verdana" w:hAnsi="Verdana" w:cs="Arial"/>
                <w:noProof/>
                <w:lang w:val="es-ES_tradnl"/>
              </w:rPr>
            </w:pPr>
            <w:r w:rsidRPr="009C0560">
              <w:rPr>
                <w:rFonts w:ascii="Verdana" w:hAnsi="Verdana" w:cs="Arial"/>
                <w:noProof/>
                <w:lang w:val="es-ES_tradnl"/>
              </w:rPr>
              <w:t>Consejo De Estado. Sección Tercera. Subsección C. Sentencia del 26 de febrero de 2014. Expediente: 25.804. Consejero Ponente: Enrique Gil Botero</w:t>
            </w:r>
            <w:r w:rsidR="00535888">
              <w:rPr>
                <w:rFonts w:ascii="Verdana" w:hAnsi="Verdana" w:cs="Arial"/>
                <w:noProof/>
                <w:lang w:val="es-ES_tradnl"/>
              </w:rPr>
              <w:t>.</w:t>
            </w:r>
          </w:p>
          <w:p w14:paraId="6FDAA185" w14:textId="77777777" w:rsidR="00535888" w:rsidRPr="00535888" w:rsidRDefault="00535888" w:rsidP="00535888">
            <w:pPr>
              <w:pStyle w:val="Prrafodelista"/>
              <w:rPr>
                <w:rFonts w:ascii="Verdana" w:hAnsi="Verdana" w:cs="Arial"/>
                <w:noProof/>
                <w:lang w:val="es-ES_tradnl"/>
              </w:rPr>
            </w:pPr>
          </w:p>
          <w:p w14:paraId="52750F59" w14:textId="77777777" w:rsidR="00535888" w:rsidRPr="00535888" w:rsidRDefault="00535888" w:rsidP="00187A3C">
            <w:pPr>
              <w:pStyle w:val="Prrafodelista"/>
              <w:spacing w:after="120" w:line="276" w:lineRule="auto"/>
              <w:ind w:right="709"/>
              <w:jc w:val="both"/>
              <w:rPr>
                <w:rFonts w:ascii="Verdana" w:hAnsi="Verdana" w:cs="Arial"/>
                <w:noProof/>
                <w:lang w:val="es-ES_tradnl"/>
              </w:rPr>
            </w:pPr>
          </w:p>
          <w:p w14:paraId="53EA9E3F" w14:textId="77777777" w:rsidR="00E6106F" w:rsidRPr="000D446F" w:rsidRDefault="00E6106F" w:rsidP="00E6106F">
            <w:pPr>
              <w:pStyle w:val="Prrafodelista"/>
              <w:numPr>
                <w:ilvl w:val="0"/>
                <w:numId w:val="17"/>
              </w:numPr>
              <w:spacing w:after="120" w:line="276" w:lineRule="auto"/>
              <w:ind w:right="709"/>
              <w:jc w:val="both"/>
              <w:rPr>
                <w:rFonts w:ascii="Verdana" w:hAnsi="Verdana" w:cs="Arial"/>
              </w:rPr>
            </w:pPr>
            <w:r w:rsidRPr="00DD313F">
              <w:rPr>
                <w:rFonts w:ascii="Verdana" w:hAnsi="Verdana" w:cs="Arial"/>
                <w:noProof/>
                <w:lang w:val="es-ES_tradnl"/>
              </w:rPr>
              <w:t>Consejo De Estado, Sección Tercera, Subsección C. Sentencia del 26 de febrero de 2011. C.P. Jaime Orlando Santofimio. Rad. 36.408.</w:t>
            </w:r>
            <w:r w:rsidRPr="00DD313F">
              <w:rPr>
                <w:rFonts w:ascii="Verdana" w:hAnsi="Verdana" w:cs="Arial"/>
              </w:rPr>
              <w:t xml:space="preserve">Disponible en: </w:t>
            </w:r>
            <w:hyperlink w:history="1">
              <w:r w:rsidRPr="00DD313F">
                <w:rPr>
                  <w:rStyle w:val="Hipervnculo"/>
                  <w:rFonts w:ascii="Verdana" w:hAnsi="Verdana" w:cs="Arial"/>
                  <w:noProof/>
                  <w:lang w:val="es-ES_tradnl"/>
                </w:rPr>
                <w:t>https://relatoria.colombiacompra.gov.co /providencias-consejo-de-estado/</w:t>
              </w:r>
            </w:hyperlink>
          </w:p>
        </w:tc>
      </w:tr>
    </w:tbl>
    <w:p w14:paraId="3D44BF4E" w14:textId="77777777" w:rsidR="00E6106F" w:rsidRDefault="00E6106F" w:rsidP="00E6106F">
      <w:pPr>
        <w:widowControl w:val="0"/>
        <w:autoSpaceDE w:val="0"/>
        <w:autoSpaceDN w:val="0"/>
        <w:spacing w:after="0" w:line="276" w:lineRule="auto"/>
        <w:jc w:val="both"/>
        <w:rPr>
          <w:rFonts w:ascii="Verdana" w:hAnsi="Verdana" w:cs="Arial"/>
        </w:rPr>
      </w:pPr>
    </w:p>
    <w:p w14:paraId="3688C3B2" w14:textId="77777777" w:rsidR="00535888" w:rsidRDefault="00535888" w:rsidP="00E6106F">
      <w:pPr>
        <w:widowControl w:val="0"/>
        <w:autoSpaceDE w:val="0"/>
        <w:autoSpaceDN w:val="0"/>
        <w:spacing w:after="0" w:line="276" w:lineRule="auto"/>
        <w:jc w:val="both"/>
        <w:rPr>
          <w:rFonts w:ascii="Verdana" w:hAnsi="Verdana" w:cs="Arial"/>
        </w:rPr>
      </w:pPr>
    </w:p>
    <w:p w14:paraId="1A762988" w14:textId="77777777" w:rsidR="00535888" w:rsidRPr="00593A5F" w:rsidRDefault="00535888" w:rsidP="00E6106F">
      <w:pPr>
        <w:widowControl w:val="0"/>
        <w:autoSpaceDE w:val="0"/>
        <w:autoSpaceDN w:val="0"/>
        <w:spacing w:after="0" w:line="276" w:lineRule="auto"/>
        <w:jc w:val="both"/>
        <w:rPr>
          <w:rFonts w:ascii="Verdana" w:hAnsi="Verdana" w:cs="Arial"/>
        </w:rPr>
      </w:pPr>
    </w:p>
    <w:p w14:paraId="116BD55A" w14:textId="77777777" w:rsidR="00E6106F" w:rsidRPr="00593A5F" w:rsidRDefault="00E6106F" w:rsidP="00E6106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lastRenderedPageBreak/>
        <w:t>Doctrina de la Agencia Nacional de Contratación Pública</w:t>
      </w:r>
      <w:r w:rsidRPr="00593A5F">
        <w:rPr>
          <w:rFonts w:ascii="Verdana" w:eastAsia="Century Gothic" w:hAnsi="Verdana" w:cs="Century Gothic"/>
          <w:b/>
          <w:bCs/>
        </w:rPr>
        <w:t>:</w:t>
      </w:r>
    </w:p>
    <w:p w14:paraId="70E49224" w14:textId="77777777" w:rsidR="00E6106F" w:rsidRDefault="00E6106F" w:rsidP="00E6106F">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0BC774FA" w14:textId="77777777" w:rsidR="00E6106F" w:rsidRDefault="00E6106F" w:rsidP="00E6106F">
      <w:pPr>
        <w:widowControl w:val="0"/>
        <w:autoSpaceDE w:val="0"/>
        <w:autoSpaceDN w:val="0"/>
        <w:spacing w:after="0" w:line="276" w:lineRule="auto"/>
        <w:jc w:val="both"/>
        <w:rPr>
          <w:rFonts w:ascii="Verdana" w:eastAsia="Calibri" w:hAnsi="Verdana" w:cs="Arial"/>
          <w:lang w:val="es-ES"/>
        </w:rPr>
      </w:pPr>
      <w:r w:rsidRPr="00DD781E">
        <w:rPr>
          <w:rStyle w:val="normaltextrun"/>
          <w:rFonts w:ascii="Verdana" w:hAnsi="Verdana" w:cs="Arial"/>
          <w:shd w:val="clear" w:color="auto" w:fill="FFFFFF"/>
          <w:lang w:val="es-ES"/>
        </w:rPr>
        <w:t xml:space="preserve">Esta Subdirección se ha pronunciado sobre </w:t>
      </w:r>
      <w:r w:rsidRPr="00D16A5E">
        <w:rPr>
          <w:rFonts w:ascii="Verdana" w:eastAsia="Calibri" w:hAnsi="Verdana" w:cs="Arial"/>
          <w:lang w:val="es-ES" w:eastAsia="es-ES"/>
        </w:rPr>
        <w:t xml:space="preserve">la </w:t>
      </w:r>
      <w:r w:rsidRPr="00D16A5E">
        <w:rPr>
          <w:rFonts w:ascii="Verdana" w:eastAsia="Calibri" w:hAnsi="Verdana" w:cs="Arial"/>
          <w:lang w:val="es-ES"/>
        </w:rPr>
        <w:t xml:space="preserve">regla de </w:t>
      </w:r>
      <w:proofErr w:type="spellStart"/>
      <w:r w:rsidRPr="00D16A5E">
        <w:rPr>
          <w:rFonts w:ascii="Verdana" w:eastAsia="Calibri" w:hAnsi="Verdana" w:cs="Arial"/>
          <w:lang w:val="es-ES"/>
        </w:rPr>
        <w:t>subsanabilidad</w:t>
      </w:r>
      <w:proofErr w:type="spellEnd"/>
      <w:r w:rsidRPr="00D16A5E">
        <w:rPr>
          <w:rFonts w:ascii="Verdana" w:eastAsia="Calibri" w:hAnsi="Verdana" w:cs="Arial"/>
          <w:lang w:val="es-ES"/>
        </w:rPr>
        <w:t xml:space="preserve"> en los procesos de selección,</w:t>
      </w:r>
      <w:r w:rsidRPr="00D16A5E">
        <w:rPr>
          <w:rStyle w:val="superscript"/>
          <w:rFonts w:ascii="Verdana" w:hAnsi="Verdana" w:cs="Arial"/>
          <w:shd w:val="clear" w:color="auto" w:fill="FFFFFF"/>
          <w:lang w:val="es-ES"/>
        </w:rPr>
        <w:t xml:space="preserve"> </w:t>
      </w:r>
      <w:r w:rsidRPr="00D16A5E">
        <w:rPr>
          <w:rFonts w:ascii="Verdana" w:eastAsia="Calibri" w:hAnsi="Verdana" w:cs="Arial"/>
          <w:lang w:val="es-ES"/>
        </w:rPr>
        <w:t>en los conceptos 4201913000007643 del 26 de diciembre de 2019, C-343 del 17 de junio de 2020, C-518 del 9 de septiembre de 2020, C-614 del 5 de octubre de 2022, C-882 del 21 de diciembre de 2022</w:t>
      </w:r>
      <w:r>
        <w:rPr>
          <w:rFonts w:ascii="Verdana" w:eastAsia="Calibri" w:hAnsi="Verdana" w:cs="Arial"/>
          <w:lang w:val="es-ES"/>
        </w:rPr>
        <w:t xml:space="preserve">, </w:t>
      </w:r>
      <w:r w:rsidRPr="00D16A5E">
        <w:rPr>
          <w:rFonts w:ascii="Verdana" w:eastAsia="Calibri" w:hAnsi="Verdana" w:cs="Arial"/>
          <w:lang w:val="es-ES"/>
        </w:rPr>
        <w:t>C-172 del 6 de junio de 2023</w:t>
      </w:r>
      <w:r>
        <w:rPr>
          <w:rFonts w:ascii="Verdana" w:eastAsia="Calibri" w:hAnsi="Verdana" w:cs="Arial"/>
          <w:lang w:val="es-ES"/>
        </w:rPr>
        <w:t xml:space="preserve"> y C-230 del 06 de agosto de 2024</w:t>
      </w:r>
      <w:r w:rsidRPr="00D16A5E">
        <w:rPr>
          <w:rFonts w:ascii="Verdana" w:eastAsia="Calibri" w:hAnsi="Verdana" w:cs="Arial"/>
          <w:lang w:val="es-ES"/>
        </w:rPr>
        <w:t xml:space="preserve">. </w:t>
      </w:r>
    </w:p>
    <w:p w14:paraId="7DDF6512" w14:textId="77777777" w:rsidR="00E6106F" w:rsidRDefault="00E6106F" w:rsidP="00E6106F">
      <w:pPr>
        <w:widowControl w:val="0"/>
        <w:autoSpaceDE w:val="0"/>
        <w:autoSpaceDN w:val="0"/>
        <w:spacing w:after="0" w:line="276" w:lineRule="auto"/>
        <w:jc w:val="both"/>
        <w:rPr>
          <w:rFonts w:ascii="Verdana" w:hAnsi="Verdana" w:cs="Arial"/>
          <w:color w:val="000000" w:themeColor="text1"/>
          <w:shd w:val="clear" w:color="auto" w:fill="FFFFFF"/>
          <w:lang w:val="es-ES_tradnl"/>
        </w:rPr>
      </w:pPr>
    </w:p>
    <w:p w14:paraId="7E3563F6" w14:textId="77777777" w:rsidR="00E6106F" w:rsidRDefault="00E6106F" w:rsidP="00E6106F">
      <w:pPr>
        <w:widowControl w:val="0"/>
        <w:autoSpaceDE w:val="0"/>
        <w:autoSpaceDN w:val="0"/>
        <w:spacing w:after="0" w:line="276" w:lineRule="auto"/>
        <w:jc w:val="both"/>
        <w:rPr>
          <w:rFonts w:ascii="Verdana" w:hAnsi="Verdana" w:cs="Arial"/>
          <w:color w:val="000000" w:themeColor="text1"/>
          <w:shd w:val="clear" w:color="auto" w:fill="FFFFFF"/>
          <w:lang w:val="es-ES_tradnl"/>
        </w:rPr>
      </w:pPr>
      <w:r w:rsidRPr="00A8619D">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tgtFrame="_blank" w:tooltip="Dirección URL original: https://relatoria.colombiacompra.gov.co/. Haga clic o pulse si confía en este vínculo." w:history="1">
        <w:r w:rsidRPr="00A8619D">
          <w:rPr>
            <w:rStyle w:val="Hipervnculo"/>
            <w:rFonts w:ascii="Verdana" w:hAnsi="Verdana" w:cs="Arial"/>
            <w:shd w:val="clear" w:color="auto" w:fill="FFFFFF"/>
          </w:rPr>
          <w:t>https://relatoria.colombiacompra.gov.co/</w:t>
        </w:r>
      </w:hyperlink>
      <w:r w:rsidRPr="00A8619D">
        <w:rPr>
          <w:rFonts w:ascii="Verdana" w:hAnsi="Verdana" w:cs="Arial"/>
          <w:color w:val="000000" w:themeColor="text1"/>
          <w:shd w:val="clear" w:color="auto" w:fill="FFFFFF"/>
        </w:rPr>
        <w:t> . Te invitamos también a revisar la tercera edición del  Boletín de Relatoría de 2024 en el cual podrás consultar en detalle el marco normativo de documentos tipo: </w:t>
      </w:r>
      <w:hyperlink r:id="rId15" w:tgtFrame="_blank" w:tooltip="Dirección URL original: https://www.colombiacompra.gov.co/sites/cce_public/files/files_2020/boletin_de_realtoria_iii.pdf. Haga clic o pulse si confía en este vínculo." w:history="1">
        <w:r w:rsidRPr="00A8619D">
          <w:rPr>
            <w:rStyle w:val="Hipervnculo"/>
            <w:rFonts w:ascii="Verdana" w:hAnsi="Verdana" w:cs="Arial"/>
            <w:shd w:val="clear" w:color="auto" w:fill="FFFFFF"/>
          </w:rPr>
          <w:t>https://www.colombiacompra.gov.co/sites/cce_public/files/files_2020/boletin_de_realtoria_iii.pdf</w:t>
        </w:r>
      </w:hyperlink>
      <w:r w:rsidRPr="00A8619D">
        <w:rPr>
          <w:rFonts w:ascii="Verdana" w:hAnsi="Verdana" w:cs="Arial"/>
          <w:color w:val="000000" w:themeColor="text1"/>
          <w:shd w:val="clear" w:color="auto" w:fill="FFFFFF"/>
        </w:rPr>
        <w:t> ".</w:t>
      </w:r>
    </w:p>
    <w:p w14:paraId="6148E175" w14:textId="77777777" w:rsidR="00E6106F" w:rsidRDefault="00E6106F" w:rsidP="00E6106F">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43FE208B" w14:textId="77777777" w:rsidR="00E6106F" w:rsidRPr="00DF24BE" w:rsidRDefault="00E6106F" w:rsidP="00E6106F">
      <w:pPr>
        <w:spacing w:after="120" w:line="276" w:lineRule="auto"/>
        <w:jc w:val="both"/>
        <w:rPr>
          <w:rFonts w:ascii="Verdana" w:hAnsi="Verdana"/>
        </w:rPr>
      </w:pPr>
      <w:r w:rsidRPr="00DF24BE">
        <w:rPr>
          <w:rFonts w:ascii="Verdana" w:hAnsi="Verdana"/>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6" w:tgtFrame="_blank" w:tooltip="Dirección URL original: https://www.colombiacompra.gov.co/sites/cce_public/files/cce_documents/manual_para_el_manejo_de_acuerdos_comerciales_vf.pdf. Haga clic o pulse si confía en este vínculo." w:history="1">
        <w:r w:rsidRPr="00DF24BE">
          <w:rPr>
            <w:rStyle w:val="Hipervnculo"/>
            <w:rFonts w:ascii="Verdana" w:hAnsi="Verdana"/>
          </w:rPr>
          <w:t>manual_para_el_manejo_de_acuerdos_comerciales_vf.pdf</w:t>
        </w:r>
      </w:hyperlink>
    </w:p>
    <w:p w14:paraId="07334293" w14:textId="77777777" w:rsidR="00E6106F" w:rsidRPr="00DF24BE" w:rsidRDefault="00E6106F" w:rsidP="00E6106F">
      <w:pPr>
        <w:spacing w:after="120" w:line="276" w:lineRule="auto"/>
        <w:jc w:val="both"/>
        <w:rPr>
          <w:rFonts w:ascii="Verdana" w:hAnsi="Verdana"/>
        </w:rPr>
      </w:pPr>
      <w:r w:rsidRPr="00DF24BE">
        <w:rPr>
          <w:rFonts w:ascii="Verdana" w:hAnsi="Verdana"/>
        </w:rPr>
        <w:t>De otra parte, te contamos que ya publicamos el borrador de la nueva Guía para Incentivar la Participación de Mujeres en el Sistema de Compras y Contratación Pública. Conoce el documento y realiza tus comentarios hasta el 2 de diciembre de 2024</w:t>
      </w:r>
      <w:r w:rsidRPr="00DF24BE">
        <w:rPr>
          <w:rFonts w:ascii="Verdana" w:hAnsi="Verdana"/>
          <w:b/>
          <w:bCs/>
        </w:rPr>
        <w:t> </w:t>
      </w:r>
      <w:r w:rsidRPr="00DF24BE">
        <w:rPr>
          <w:rFonts w:ascii="Verdana" w:hAnsi="Verdana"/>
        </w:rPr>
        <w:t>a través de estos enlaces:</w:t>
      </w:r>
    </w:p>
    <w:p w14:paraId="548DBF38" w14:textId="77777777" w:rsidR="00E6106F" w:rsidRPr="00DF24BE" w:rsidRDefault="00E6106F" w:rsidP="00E6106F">
      <w:pPr>
        <w:numPr>
          <w:ilvl w:val="0"/>
          <w:numId w:val="18"/>
        </w:numPr>
        <w:spacing w:after="120" w:line="276" w:lineRule="auto"/>
        <w:jc w:val="both"/>
        <w:rPr>
          <w:rFonts w:ascii="Verdana" w:hAnsi="Verdana"/>
        </w:rPr>
      </w:pPr>
      <w:r w:rsidRPr="00DF24BE">
        <w:rPr>
          <w:rFonts w:ascii="Verdana" w:hAnsi="Verdana"/>
        </w:rPr>
        <w:t>Enlace página ANCP-CCE: </w:t>
      </w:r>
      <w:hyperlink r:id="rId17" w:tgtFrame="_blank" w:tooltip="Dirección URL original: https://www.colombiacompra.gov.co/content/convocatorias. Haga clic o pulse si confía en este vínculo." w:history="1">
        <w:r w:rsidRPr="00DF24BE">
          <w:rPr>
            <w:rStyle w:val="Hipervnculo"/>
            <w:rFonts w:ascii="Verdana" w:hAnsi="Verdana"/>
          </w:rPr>
          <w:t>https://www.colombiacompra.gov.co/content/convocatorias</w:t>
        </w:r>
      </w:hyperlink>
    </w:p>
    <w:p w14:paraId="5CED9B90" w14:textId="77777777" w:rsidR="00E6106F" w:rsidRPr="00A64AED" w:rsidRDefault="00E6106F" w:rsidP="00E6106F">
      <w:pPr>
        <w:numPr>
          <w:ilvl w:val="0"/>
          <w:numId w:val="18"/>
        </w:numPr>
        <w:spacing w:after="120" w:line="276" w:lineRule="auto"/>
        <w:jc w:val="both"/>
        <w:rPr>
          <w:rFonts w:ascii="Verdana" w:hAnsi="Verdana"/>
          <w:lang w:val="en-US"/>
        </w:rPr>
      </w:pPr>
      <w:r w:rsidRPr="00A64AED">
        <w:rPr>
          <w:rFonts w:ascii="Verdana" w:hAnsi="Verdana"/>
          <w:lang w:val="en-US"/>
        </w:rPr>
        <w:t>Enlace SUCOP:  </w:t>
      </w:r>
      <w:hyperlink r:id="rId18" w:tgtFrame="_blank" w:tooltip="Dirección URL original: https://www.sucop.gov.co/entidades/colombiacompra/Normativa?IDNorma=19201. Haga clic o pulse si confía en este vínculo." w:history="1">
        <w:r w:rsidRPr="00A64AED">
          <w:rPr>
            <w:rStyle w:val="Hipervnculo"/>
            <w:rFonts w:ascii="Verdana" w:hAnsi="Verdana"/>
            <w:lang w:val="en-US"/>
          </w:rPr>
          <w:t>https://www.sucop.gov.co/entidades/colombiacompra/Normativa?IDNorma=19201</w:t>
        </w:r>
      </w:hyperlink>
    </w:p>
    <w:p w14:paraId="2275C373" w14:textId="77777777" w:rsidR="00E6106F" w:rsidRPr="00A64AED" w:rsidRDefault="00E6106F" w:rsidP="00E6106F">
      <w:pPr>
        <w:spacing w:after="120" w:line="276" w:lineRule="auto"/>
        <w:jc w:val="both"/>
        <w:rPr>
          <w:rFonts w:ascii="Verdana" w:hAnsi="Verdana"/>
          <w:lang w:val="en-US"/>
        </w:rPr>
      </w:pPr>
      <w:r w:rsidRPr="00A64AED">
        <w:rPr>
          <w:rFonts w:ascii="Verdana" w:hAnsi="Verdana"/>
          <w:lang w:val="en-US"/>
        </w:rPr>
        <w:t> </w:t>
      </w:r>
    </w:p>
    <w:p w14:paraId="1AD7C7FB" w14:textId="77777777" w:rsidR="00E6106F" w:rsidRPr="00DF24BE" w:rsidRDefault="00E6106F" w:rsidP="00E6106F">
      <w:pPr>
        <w:spacing w:after="120" w:line="276" w:lineRule="auto"/>
        <w:jc w:val="both"/>
        <w:rPr>
          <w:rFonts w:ascii="Verdana" w:hAnsi="Verdana"/>
        </w:rPr>
      </w:pPr>
      <w:r w:rsidRPr="00DF24BE">
        <w:rPr>
          <w:rFonts w:ascii="Verdana" w:hAnsi="Verdana"/>
        </w:rPr>
        <w:t xml:space="preserve">También le invitamos a consultar la versión VII  de 2024 , del Boletín de Relatoría de la Subdirección de Gestión Contractual relacionado con las ASOCIACIONES </w:t>
      </w:r>
      <w:r w:rsidRPr="00DF24BE">
        <w:rPr>
          <w:rFonts w:ascii="Verdana" w:hAnsi="Verdana"/>
        </w:rPr>
        <w:lastRenderedPageBreak/>
        <w:t>PÚBLICO POPULARES , el cual se puede descargar en la página web de la Agencia: </w:t>
      </w:r>
      <w:hyperlink r:id="rId19" w:tgtFrame="_blank" w:tooltip="Dirección URL original: https://www.colombiacompra.gov.co/sala-de-prensa/boletin-digital. Haga clic o pulse si confía en este vínculo." w:history="1">
        <w:r w:rsidRPr="00DF24BE">
          <w:rPr>
            <w:rStyle w:val="Hipervnculo"/>
            <w:rFonts w:ascii="Verdana" w:hAnsi="Verdana"/>
          </w:rPr>
          <w:t>https://www.colombiacompra.gov.co/sala-de-prensa/boletin-digital</w:t>
        </w:r>
      </w:hyperlink>
      <w:r w:rsidRPr="00DF24BE">
        <w:rPr>
          <w:rFonts w:ascii="Verdana" w:hAnsi="Verdana"/>
        </w:rPr>
        <w:t> ".</w:t>
      </w:r>
    </w:p>
    <w:p w14:paraId="631F9A4F" w14:textId="77777777" w:rsidR="00E6106F" w:rsidRPr="0011467B" w:rsidRDefault="00E6106F" w:rsidP="00E6106F">
      <w:pPr>
        <w:pStyle w:val="Textonotapie"/>
        <w:jc w:val="both"/>
        <w:rPr>
          <w:rFonts w:ascii="Verdana" w:hAnsi="Verdana" w:cs="Arial"/>
          <w:sz w:val="22"/>
          <w:szCs w:val="22"/>
          <w:lang w:val="es-ES"/>
        </w:rPr>
      </w:pPr>
    </w:p>
    <w:p w14:paraId="4E6FB665" w14:textId="77777777" w:rsidR="00E6106F" w:rsidRPr="0011467B" w:rsidRDefault="00E6106F" w:rsidP="00E6106F">
      <w:pPr>
        <w:spacing w:after="0" w:line="240" w:lineRule="auto"/>
        <w:jc w:val="both"/>
        <w:rPr>
          <w:rFonts w:ascii="Verdana" w:hAnsi="Verdana"/>
        </w:rPr>
      </w:pPr>
      <w:r w:rsidRPr="0011467B">
        <w:rPr>
          <w:rFonts w:ascii="Verdana" w:hAnsi="Verdana"/>
        </w:rPr>
        <w:t xml:space="preserve">Por último, lo invitamos a seguirnos en las redes sociales en las cuales se difunde información institucional: </w:t>
      </w:r>
    </w:p>
    <w:p w14:paraId="2EB51789" w14:textId="77777777" w:rsidR="00E6106F" w:rsidRPr="0011467B" w:rsidRDefault="00E6106F" w:rsidP="00E6106F">
      <w:pPr>
        <w:spacing w:after="0" w:line="240" w:lineRule="auto"/>
        <w:jc w:val="both"/>
        <w:rPr>
          <w:rFonts w:ascii="Verdana" w:hAnsi="Verdana"/>
        </w:rPr>
      </w:pPr>
    </w:p>
    <w:p w14:paraId="7454AA40" w14:textId="77777777" w:rsidR="00E6106F" w:rsidRPr="0011467B" w:rsidRDefault="00E6106F" w:rsidP="00E6106F">
      <w:pPr>
        <w:spacing w:after="0" w:line="240" w:lineRule="auto"/>
        <w:jc w:val="both"/>
        <w:rPr>
          <w:rFonts w:ascii="Verdana" w:hAnsi="Verdana"/>
        </w:rPr>
      </w:pPr>
      <w:r w:rsidRPr="0011467B">
        <w:rPr>
          <w:rFonts w:ascii="Verdana" w:hAnsi="Verdana"/>
        </w:rPr>
        <w:t xml:space="preserve">Twitter: </w:t>
      </w:r>
      <w:r w:rsidRPr="0011467B">
        <w:rPr>
          <w:rStyle w:val="Hipervnculo"/>
          <w:rFonts w:ascii="Verdana" w:hAnsi="Verdana"/>
          <w:color w:val="4472C4" w:themeColor="accent1"/>
        </w:rPr>
        <w:t>@colombiacompra</w:t>
      </w:r>
      <w:r w:rsidRPr="0011467B">
        <w:rPr>
          <w:rFonts w:ascii="Verdana" w:hAnsi="Verdana"/>
          <w:color w:val="4472C4" w:themeColor="accent1"/>
        </w:rPr>
        <w:t xml:space="preserve"> </w:t>
      </w:r>
    </w:p>
    <w:p w14:paraId="6F143E07" w14:textId="77777777" w:rsidR="00E6106F" w:rsidRPr="0011467B" w:rsidRDefault="00E6106F" w:rsidP="00E6106F">
      <w:pPr>
        <w:spacing w:after="0" w:line="240" w:lineRule="auto"/>
        <w:jc w:val="both"/>
        <w:rPr>
          <w:rFonts w:ascii="Verdana" w:hAnsi="Verdana"/>
        </w:rPr>
      </w:pPr>
      <w:r w:rsidRPr="0011467B">
        <w:rPr>
          <w:rFonts w:ascii="Verdana" w:hAnsi="Verdana"/>
        </w:rPr>
        <w:t xml:space="preserve">Facebook: </w:t>
      </w:r>
      <w:proofErr w:type="spellStart"/>
      <w:r w:rsidRPr="0011467B">
        <w:rPr>
          <w:rStyle w:val="Hipervnculo"/>
          <w:rFonts w:ascii="Verdana" w:hAnsi="Verdana"/>
          <w:color w:val="4472C4" w:themeColor="accent1"/>
        </w:rPr>
        <w:t>ColombiaCompraEficiente</w:t>
      </w:r>
      <w:proofErr w:type="spellEnd"/>
    </w:p>
    <w:p w14:paraId="769C7838" w14:textId="77777777" w:rsidR="00E6106F" w:rsidRPr="0011467B" w:rsidRDefault="00E6106F" w:rsidP="00E6106F">
      <w:pPr>
        <w:spacing w:after="0" w:line="240" w:lineRule="auto"/>
        <w:jc w:val="both"/>
        <w:rPr>
          <w:rFonts w:ascii="Verdana" w:hAnsi="Verdana"/>
        </w:rPr>
      </w:pPr>
      <w:r w:rsidRPr="0011467B">
        <w:rPr>
          <w:rFonts w:ascii="Verdana" w:hAnsi="Verdana"/>
        </w:rPr>
        <w:t xml:space="preserve">LinkedIn: </w:t>
      </w:r>
      <w:r w:rsidRPr="0011467B">
        <w:rPr>
          <w:rStyle w:val="Hipervnculo"/>
          <w:rFonts w:ascii="Verdana" w:hAnsi="Verdana"/>
          <w:color w:val="4472C4" w:themeColor="accent1"/>
        </w:rPr>
        <w:t>Agencia Nacional de Contratación Pública - Colombia Compra Eficiente</w:t>
      </w:r>
      <w:r w:rsidRPr="0011467B">
        <w:rPr>
          <w:rFonts w:ascii="Verdana" w:hAnsi="Verdana"/>
          <w:color w:val="4472C4" w:themeColor="accent1"/>
        </w:rPr>
        <w:t xml:space="preserve"> </w:t>
      </w:r>
      <w:r w:rsidRPr="0011467B">
        <w:rPr>
          <w:rFonts w:ascii="Verdana" w:hAnsi="Verdana"/>
        </w:rPr>
        <w:t xml:space="preserve">Instagram: </w:t>
      </w:r>
      <w:r w:rsidRPr="0011467B">
        <w:rPr>
          <w:rStyle w:val="Hipervnculo"/>
          <w:rFonts w:ascii="Verdana" w:hAnsi="Verdana"/>
          <w:color w:val="4472C4" w:themeColor="accent1"/>
        </w:rPr>
        <w:t>@colombiacompraeficiente_cce</w:t>
      </w:r>
    </w:p>
    <w:p w14:paraId="6BBCE8EA" w14:textId="77777777" w:rsidR="00E6106F" w:rsidRPr="0011467B" w:rsidRDefault="00E6106F" w:rsidP="00E6106F">
      <w:pPr>
        <w:spacing w:after="120" w:line="276" w:lineRule="auto"/>
        <w:jc w:val="both"/>
        <w:rPr>
          <w:rFonts w:ascii="Verdana" w:hAnsi="Verdana" w:cs="Arial"/>
          <w:lang w:val="es-ES"/>
        </w:rPr>
      </w:pPr>
    </w:p>
    <w:p w14:paraId="49403A7D" w14:textId="77777777" w:rsidR="00E6106F" w:rsidRPr="0011467B" w:rsidRDefault="00E6106F" w:rsidP="00E6106F">
      <w:pPr>
        <w:spacing w:after="120" w:line="276" w:lineRule="auto"/>
        <w:jc w:val="both"/>
        <w:rPr>
          <w:rFonts w:ascii="Verdana" w:hAnsi="Verdana" w:cs="Arial"/>
          <w:color w:val="000000" w:themeColor="text1"/>
          <w:lang w:val="es-ES_tradnl"/>
        </w:rPr>
      </w:pPr>
      <w:r w:rsidRPr="0011467B">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4010B363" w14:textId="77777777" w:rsidR="00E6106F" w:rsidRPr="0011467B" w:rsidRDefault="00E6106F" w:rsidP="00E6106F">
      <w:pPr>
        <w:spacing w:after="120" w:line="276" w:lineRule="auto"/>
        <w:jc w:val="both"/>
        <w:rPr>
          <w:rFonts w:ascii="Verdana" w:eastAsia="Times New Roman" w:hAnsi="Verdana" w:cs="Arial"/>
          <w:i/>
          <w:lang w:val="es-ES" w:eastAsia="es-ES"/>
        </w:rPr>
      </w:pPr>
    </w:p>
    <w:p w14:paraId="5BBEBEF8" w14:textId="77777777" w:rsidR="00E6106F" w:rsidRPr="0011467B" w:rsidRDefault="00E6106F" w:rsidP="00E6106F">
      <w:pPr>
        <w:spacing w:after="0" w:line="240" w:lineRule="auto"/>
        <w:rPr>
          <w:rFonts w:ascii="Verdana" w:eastAsia="Times New Roman" w:hAnsi="Verdana" w:cs="Arial"/>
          <w:lang w:eastAsia="es-CO"/>
        </w:rPr>
      </w:pPr>
      <w:r w:rsidRPr="0011467B">
        <w:rPr>
          <w:rFonts w:ascii="Verdana" w:eastAsia="Times New Roman" w:hAnsi="Verdana" w:cs="Arial"/>
          <w:lang w:eastAsia="es-CO"/>
        </w:rPr>
        <w:t>Atentamente,</w:t>
      </w:r>
    </w:p>
    <w:p w14:paraId="3FB12069" w14:textId="77777777" w:rsidR="00E6106F" w:rsidRPr="0011467B" w:rsidRDefault="00E6106F" w:rsidP="00E6106F">
      <w:pPr>
        <w:spacing w:after="0" w:line="276" w:lineRule="auto"/>
        <w:jc w:val="center"/>
        <w:rPr>
          <w:rFonts w:ascii="Verdana" w:eastAsia="Times New Roman" w:hAnsi="Verdana" w:cs="Arial"/>
          <w:color w:val="000000"/>
          <w:lang w:val="es-ES_tradnl" w:eastAsia="es-CO"/>
        </w:rPr>
      </w:pPr>
    </w:p>
    <w:p w14:paraId="093540B4" w14:textId="27456025" w:rsidR="00E6106F" w:rsidRPr="0011467B" w:rsidRDefault="00187A3C" w:rsidP="00E6106F">
      <w:pPr>
        <w:spacing w:after="0" w:line="276" w:lineRule="auto"/>
        <w:jc w:val="center"/>
        <w:rPr>
          <w:rFonts w:ascii="Verdana" w:eastAsia="Times New Roman" w:hAnsi="Verdana" w:cs="Arial"/>
          <w:color w:val="000000"/>
          <w:lang w:val="es-ES_tradnl" w:eastAsia="es-CO"/>
        </w:rPr>
      </w:pPr>
      <w:bookmarkStart w:id="4" w:name="_Hlk184289275"/>
      <w:r>
        <w:rPr>
          <w:noProof/>
        </w:rPr>
        <w:drawing>
          <wp:inline distT="0" distB="0" distL="0" distR="0" wp14:anchorId="4A2F1496" wp14:editId="0B359424">
            <wp:extent cx="3705225" cy="1590675"/>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a:picLocks noChangeAspect="1"/>
                    </pic:cNvPicPr>
                  </pic:nvPicPr>
                  <pic:blipFill>
                    <a:blip r:embed="rId20"/>
                    <a:stretch>
                      <a:fillRect/>
                    </a:stretch>
                  </pic:blipFill>
                  <pic:spPr>
                    <a:xfrm>
                      <a:off x="0" y="0"/>
                      <a:ext cx="3705225" cy="1590675"/>
                    </a:xfrm>
                    <a:prstGeom prst="rect">
                      <a:avLst/>
                    </a:prstGeom>
                  </pic:spPr>
                </pic:pic>
              </a:graphicData>
            </a:graphic>
          </wp:inline>
        </w:drawing>
      </w:r>
    </w:p>
    <w:p w14:paraId="5AFFE3B9" w14:textId="77777777" w:rsidR="00E6106F" w:rsidRPr="0011467B" w:rsidRDefault="00E6106F" w:rsidP="00E6106F">
      <w:pPr>
        <w:spacing w:after="0" w:line="276" w:lineRule="auto"/>
        <w:jc w:val="center"/>
        <w:rPr>
          <w:rFonts w:ascii="Verdana" w:eastAsia="Times New Roman" w:hAnsi="Verdana" w:cs="Arial"/>
          <w:color w:val="000000"/>
          <w:sz w:val="18"/>
          <w:szCs w:val="18"/>
          <w:lang w:val="es-ES" w:eastAsia="es-CO"/>
        </w:rPr>
      </w:pPr>
    </w:p>
    <w:tbl>
      <w:tblPr>
        <w:tblW w:w="6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
        <w:gridCol w:w="5525"/>
      </w:tblGrid>
      <w:tr w:rsidR="00E6106F" w:rsidRPr="008F3D03" w14:paraId="15AB5EED" w14:textId="77777777" w:rsidTr="00E3779F">
        <w:trPr>
          <w:trHeight w:val="409"/>
        </w:trPr>
        <w:tc>
          <w:tcPr>
            <w:tcW w:w="913" w:type="dxa"/>
            <w:tcBorders>
              <w:top w:val="nil"/>
              <w:left w:val="nil"/>
              <w:bottom w:val="nil"/>
              <w:right w:val="nil"/>
            </w:tcBorders>
            <w:vAlign w:val="center"/>
            <w:hideMark/>
          </w:tcPr>
          <w:p w14:paraId="25D0221A" w14:textId="77777777" w:rsidR="00E6106F" w:rsidRPr="008F3D03" w:rsidRDefault="00E6106F" w:rsidP="00E3779F">
            <w:pPr>
              <w:pStyle w:val="Sinespaciado"/>
              <w:rPr>
                <w:rFonts w:ascii="Verdana" w:hAnsi="Verdana"/>
                <w:sz w:val="16"/>
                <w:szCs w:val="16"/>
              </w:rPr>
            </w:pPr>
            <w:r w:rsidRPr="008F3D03">
              <w:rPr>
                <w:rFonts w:ascii="Verdana" w:hAnsi="Verdana"/>
                <w:sz w:val="16"/>
                <w:szCs w:val="16"/>
              </w:rPr>
              <w:t>Elaboró: </w:t>
            </w:r>
          </w:p>
        </w:tc>
        <w:tc>
          <w:tcPr>
            <w:tcW w:w="5525" w:type="dxa"/>
            <w:tcBorders>
              <w:top w:val="nil"/>
              <w:left w:val="nil"/>
              <w:bottom w:val="dotted" w:sz="6" w:space="0" w:color="7F7F7F" w:themeColor="text1" w:themeTint="80"/>
              <w:right w:val="nil"/>
            </w:tcBorders>
            <w:vAlign w:val="center"/>
            <w:hideMark/>
          </w:tcPr>
          <w:p w14:paraId="3CB8F685" w14:textId="77777777" w:rsidR="00E6106F" w:rsidRPr="008F3D03" w:rsidRDefault="00E6106F" w:rsidP="00E3779F">
            <w:pPr>
              <w:pStyle w:val="Sinespaciado"/>
              <w:rPr>
                <w:rFonts w:ascii="Verdana" w:hAnsi="Verdana"/>
                <w:sz w:val="16"/>
                <w:szCs w:val="16"/>
              </w:rPr>
            </w:pPr>
            <w:r w:rsidRPr="008F3D03">
              <w:rPr>
                <w:rFonts w:ascii="Verdana" w:hAnsi="Verdana"/>
                <w:sz w:val="16"/>
                <w:szCs w:val="16"/>
              </w:rPr>
              <w:t>Keila Margarita Reyes Cassiani</w:t>
            </w:r>
          </w:p>
          <w:p w14:paraId="1ED61333" w14:textId="77777777" w:rsidR="00E6106F" w:rsidRPr="008F3D03" w:rsidRDefault="00E6106F" w:rsidP="00E3779F">
            <w:pPr>
              <w:pStyle w:val="Sinespaciado"/>
              <w:rPr>
                <w:rFonts w:ascii="Verdana" w:hAnsi="Verdana"/>
                <w:sz w:val="16"/>
                <w:szCs w:val="16"/>
              </w:rPr>
            </w:pPr>
            <w:r w:rsidRPr="008F3D03">
              <w:rPr>
                <w:rFonts w:ascii="Verdana" w:hAnsi="Verdana"/>
                <w:sz w:val="16"/>
                <w:szCs w:val="16"/>
              </w:rPr>
              <w:t>Contratista de la Subdirección de Gestión Contractual</w:t>
            </w:r>
          </w:p>
        </w:tc>
      </w:tr>
      <w:tr w:rsidR="00E6106F" w:rsidRPr="008F3D03" w14:paraId="37C288B5" w14:textId="77777777" w:rsidTr="00E3779F">
        <w:trPr>
          <w:trHeight w:val="409"/>
        </w:trPr>
        <w:tc>
          <w:tcPr>
            <w:tcW w:w="913" w:type="dxa"/>
            <w:tcBorders>
              <w:top w:val="nil"/>
              <w:left w:val="nil"/>
              <w:right w:val="nil"/>
            </w:tcBorders>
            <w:vAlign w:val="center"/>
          </w:tcPr>
          <w:p w14:paraId="6A6563F1" w14:textId="77777777" w:rsidR="00E6106F" w:rsidRPr="008F3D03" w:rsidRDefault="00E6106F" w:rsidP="00E3779F">
            <w:pPr>
              <w:pStyle w:val="Sinespaciado"/>
              <w:rPr>
                <w:rFonts w:ascii="Verdana" w:hAnsi="Verdana"/>
                <w:sz w:val="16"/>
                <w:szCs w:val="16"/>
              </w:rPr>
            </w:pPr>
            <w:r w:rsidRPr="008F3D03">
              <w:rPr>
                <w:rFonts w:ascii="Verdana" w:hAnsi="Verdana"/>
                <w:sz w:val="16"/>
                <w:szCs w:val="16"/>
              </w:rPr>
              <w:t>Revisó</w:t>
            </w:r>
          </w:p>
        </w:tc>
        <w:tc>
          <w:tcPr>
            <w:tcW w:w="5525" w:type="dxa"/>
            <w:tcBorders>
              <w:top w:val="dotted" w:sz="6" w:space="0" w:color="7F7F7F" w:themeColor="text1" w:themeTint="80"/>
              <w:left w:val="nil"/>
              <w:bottom w:val="dotted" w:sz="6" w:space="0" w:color="7F7F7F" w:themeColor="text1" w:themeTint="80"/>
              <w:right w:val="nil"/>
            </w:tcBorders>
            <w:vAlign w:val="center"/>
          </w:tcPr>
          <w:p w14:paraId="4EB7F715" w14:textId="77777777" w:rsidR="00E6106F" w:rsidRPr="008F3D03" w:rsidRDefault="00E6106F" w:rsidP="00E3779F">
            <w:pPr>
              <w:pStyle w:val="Sinespaciado"/>
              <w:rPr>
                <w:rFonts w:ascii="Verdana" w:eastAsia="Arial" w:hAnsi="Verdana"/>
                <w:color w:val="000000" w:themeColor="text1"/>
                <w:sz w:val="16"/>
                <w:szCs w:val="16"/>
              </w:rPr>
            </w:pPr>
            <w:r w:rsidRPr="008F3D03">
              <w:rPr>
                <w:rFonts w:ascii="Verdana" w:eastAsia="Arial" w:hAnsi="Verdana"/>
                <w:color w:val="000000" w:themeColor="text1"/>
                <w:sz w:val="16"/>
                <w:szCs w:val="16"/>
              </w:rPr>
              <w:t>Juan David Cárdenas Cabeza</w:t>
            </w:r>
          </w:p>
          <w:p w14:paraId="028EB501" w14:textId="77777777" w:rsidR="00E6106F" w:rsidRPr="008F3D03" w:rsidRDefault="00E6106F" w:rsidP="00E3779F">
            <w:pPr>
              <w:pStyle w:val="Sinespaciado"/>
              <w:rPr>
                <w:rFonts w:ascii="Verdana" w:hAnsi="Verdana"/>
                <w:sz w:val="16"/>
                <w:szCs w:val="16"/>
              </w:rPr>
            </w:pPr>
            <w:r w:rsidRPr="008F3D03">
              <w:rPr>
                <w:rStyle w:val="normaltextrun"/>
                <w:rFonts w:ascii="Verdana" w:eastAsia="Arial" w:hAnsi="Verdana" w:cs="Arial"/>
                <w:color w:val="000000" w:themeColor="text1"/>
                <w:sz w:val="16"/>
                <w:szCs w:val="16"/>
              </w:rPr>
              <w:t>C</w:t>
            </w:r>
            <w:r w:rsidRPr="008F3D03">
              <w:rPr>
                <w:rStyle w:val="normaltextrun"/>
                <w:rFonts w:ascii="Verdana" w:eastAsia="Arial" w:hAnsi="Verdana"/>
                <w:color w:val="000000" w:themeColor="text1"/>
                <w:sz w:val="16"/>
                <w:szCs w:val="16"/>
              </w:rPr>
              <w:t xml:space="preserve">ontratista </w:t>
            </w:r>
            <w:r w:rsidRPr="008F3D03">
              <w:rPr>
                <w:rStyle w:val="normaltextrun"/>
                <w:rFonts w:ascii="Verdana" w:eastAsia="Arial" w:hAnsi="Verdana" w:cs="Arial"/>
                <w:color w:val="000000" w:themeColor="text1"/>
                <w:sz w:val="16"/>
                <w:szCs w:val="16"/>
              </w:rPr>
              <w:t>de la Subdirección de Gestión Contractual</w:t>
            </w:r>
          </w:p>
        </w:tc>
      </w:tr>
      <w:tr w:rsidR="00E6106F" w:rsidRPr="008F3D03" w14:paraId="5B469E5C" w14:textId="77777777" w:rsidTr="00E3779F">
        <w:trPr>
          <w:trHeight w:val="389"/>
        </w:trPr>
        <w:tc>
          <w:tcPr>
            <w:tcW w:w="913" w:type="dxa"/>
            <w:tcBorders>
              <w:top w:val="nil"/>
              <w:left w:val="nil"/>
              <w:bottom w:val="nil"/>
              <w:right w:val="nil"/>
            </w:tcBorders>
            <w:vAlign w:val="center"/>
            <w:hideMark/>
          </w:tcPr>
          <w:p w14:paraId="3D035B14" w14:textId="77777777" w:rsidR="00E6106F" w:rsidRPr="008F3D03" w:rsidRDefault="00E6106F" w:rsidP="00E3779F">
            <w:pPr>
              <w:pStyle w:val="Sinespaciado"/>
              <w:rPr>
                <w:rFonts w:ascii="Verdana" w:hAnsi="Verdana"/>
                <w:sz w:val="16"/>
                <w:szCs w:val="16"/>
              </w:rPr>
            </w:pPr>
            <w:r w:rsidRPr="008F3D03">
              <w:rPr>
                <w:rFonts w:ascii="Verdana" w:hAnsi="Verdana"/>
                <w:sz w:val="16"/>
                <w:szCs w:val="16"/>
              </w:rPr>
              <w:t>Aprobó: </w:t>
            </w:r>
          </w:p>
        </w:tc>
        <w:tc>
          <w:tcPr>
            <w:tcW w:w="5525" w:type="dxa"/>
            <w:tcBorders>
              <w:top w:val="dotted" w:sz="6" w:space="0" w:color="7F7F7F" w:themeColor="text1" w:themeTint="80"/>
              <w:left w:val="nil"/>
              <w:bottom w:val="dotted" w:sz="6" w:space="0" w:color="7F7F7F" w:themeColor="text1" w:themeTint="80"/>
              <w:right w:val="nil"/>
            </w:tcBorders>
            <w:vAlign w:val="center"/>
            <w:hideMark/>
          </w:tcPr>
          <w:p w14:paraId="44C9D825" w14:textId="77777777" w:rsidR="00E6106F" w:rsidRPr="008F3D03" w:rsidRDefault="00E6106F" w:rsidP="00E3779F">
            <w:pPr>
              <w:pStyle w:val="Sinespaciado"/>
              <w:rPr>
                <w:rFonts w:ascii="Verdana" w:eastAsia="Calibri" w:hAnsi="Verdana"/>
                <w:sz w:val="16"/>
                <w:szCs w:val="16"/>
                <w:lang w:val="pt-BR" w:eastAsia="es-ES"/>
              </w:rPr>
            </w:pPr>
            <w:r w:rsidRPr="008F3D03">
              <w:rPr>
                <w:rFonts w:ascii="Verdana" w:eastAsia="Calibri" w:hAnsi="Verdana"/>
                <w:sz w:val="16"/>
                <w:szCs w:val="16"/>
                <w:lang w:val="pt-BR" w:eastAsia="es-ES"/>
              </w:rPr>
              <w:t xml:space="preserve">Carolina Quintero </w:t>
            </w:r>
            <w:proofErr w:type="spellStart"/>
            <w:r w:rsidRPr="008F3D03">
              <w:rPr>
                <w:rFonts w:ascii="Verdana" w:eastAsia="Calibri" w:hAnsi="Verdana"/>
                <w:sz w:val="16"/>
                <w:szCs w:val="16"/>
                <w:lang w:val="pt-BR" w:eastAsia="es-ES"/>
              </w:rPr>
              <w:t>Gacharná</w:t>
            </w:r>
            <w:proofErr w:type="spellEnd"/>
          </w:p>
          <w:p w14:paraId="0E75E108" w14:textId="77777777" w:rsidR="00E6106F" w:rsidRPr="008F3D03" w:rsidRDefault="00E6106F" w:rsidP="00E3779F">
            <w:pPr>
              <w:pStyle w:val="Sinespaciado"/>
              <w:rPr>
                <w:rFonts w:ascii="Verdana" w:hAnsi="Verdana"/>
                <w:sz w:val="16"/>
                <w:szCs w:val="16"/>
              </w:rPr>
            </w:pPr>
            <w:r w:rsidRPr="008F3D03">
              <w:rPr>
                <w:rFonts w:ascii="Verdana" w:hAnsi="Verdana"/>
                <w:sz w:val="16"/>
                <w:szCs w:val="16"/>
              </w:rPr>
              <w:t>Subdirectora de Gestión Contractual ANCP – CCE</w:t>
            </w:r>
          </w:p>
        </w:tc>
      </w:tr>
      <w:bookmarkEnd w:id="4"/>
    </w:tbl>
    <w:p w14:paraId="3F3620F0" w14:textId="77777777" w:rsidR="00E6106F" w:rsidRPr="00A65B93" w:rsidRDefault="00E6106F" w:rsidP="00E6106F">
      <w:pPr>
        <w:spacing w:after="0"/>
        <w:rPr>
          <w:rFonts w:ascii="Verdana" w:hAnsi="Verdana"/>
          <w:lang w:val="es-ES"/>
        </w:rPr>
      </w:pPr>
    </w:p>
    <w:p w14:paraId="1A9A7826" w14:textId="77777777" w:rsidR="00E6106F" w:rsidRPr="0044528D" w:rsidRDefault="00E6106F" w:rsidP="00E6106F">
      <w:pPr>
        <w:spacing w:after="0"/>
        <w:rPr>
          <w:rFonts w:ascii="Verdana" w:hAnsi="Verdana"/>
        </w:rPr>
      </w:pPr>
      <w:r w:rsidRPr="0044528D">
        <w:rPr>
          <w:rFonts w:ascii="Verdana" w:hAnsi="Verdana"/>
        </w:rPr>
        <w:tab/>
      </w:r>
    </w:p>
    <w:p w14:paraId="32FFFEEE" w14:textId="77777777" w:rsidR="00E6106F" w:rsidRPr="0044528D" w:rsidRDefault="00E6106F" w:rsidP="00E6106F">
      <w:pPr>
        <w:spacing w:after="0"/>
        <w:rPr>
          <w:rFonts w:ascii="Verdana" w:hAnsi="Verdana"/>
        </w:rPr>
      </w:pPr>
    </w:p>
    <w:p w14:paraId="21E3C1FC" w14:textId="77777777" w:rsidR="00E6106F" w:rsidRPr="0044528D" w:rsidRDefault="00E6106F" w:rsidP="00E6106F">
      <w:pPr>
        <w:spacing w:after="0"/>
        <w:jc w:val="both"/>
        <w:rPr>
          <w:rFonts w:ascii="Verdana" w:hAnsi="Verdana"/>
        </w:rPr>
      </w:pPr>
    </w:p>
    <w:p w14:paraId="70F795F3" w14:textId="77777777" w:rsidR="002707A2" w:rsidRPr="0044528D" w:rsidRDefault="002707A2" w:rsidP="00E245AB">
      <w:pPr>
        <w:spacing w:after="0"/>
        <w:jc w:val="both"/>
        <w:rPr>
          <w:rStyle w:val="Hipervnculo"/>
          <w:rFonts w:ascii="Verdana" w:hAnsi="Verdana"/>
        </w:rPr>
      </w:pPr>
    </w:p>
    <w:p w14:paraId="6FAF0BCA" w14:textId="77777777" w:rsidR="002707A2" w:rsidRPr="0044528D" w:rsidRDefault="002707A2" w:rsidP="00E245AB">
      <w:pPr>
        <w:spacing w:after="0"/>
        <w:jc w:val="both"/>
        <w:rPr>
          <w:rStyle w:val="Hipervnculo"/>
          <w:rFonts w:ascii="Verdana" w:hAnsi="Verdana"/>
        </w:rPr>
      </w:pPr>
    </w:p>
    <w:p w14:paraId="67DD3F8C" w14:textId="77777777" w:rsidR="002707A2" w:rsidRPr="0044528D" w:rsidRDefault="002707A2" w:rsidP="00E245AB">
      <w:pPr>
        <w:spacing w:after="0"/>
        <w:jc w:val="both"/>
        <w:rPr>
          <w:rStyle w:val="Hipervnculo"/>
          <w:rFonts w:ascii="Verdana" w:hAnsi="Verdana"/>
        </w:rPr>
      </w:pPr>
    </w:p>
    <w:bookmarkEnd w:id="0"/>
    <w:p w14:paraId="3900974D" w14:textId="148A9888" w:rsidR="003D5B0D" w:rsidRPr="0044528D" w:rsidRDefault="003D5B0D" w:rsidP="00C76B1C">
      <w:pPr>
        <w:spacing w:after="0" w:line="240" w:lineRule="auto"/>
        <w:textAlignment w:val="baseline"/>
        <w:rPr>
          <w:rFonts w:ascii="Verdana" w:eastAsia="Times New Roman" w:hAnsi="Verdana" w:cs="Segoe UI"/>
          <w:b/>
          <w:bCs/>
          <w:color w:val="46589C"/>
          <w:lang w:val="es-ES" w:eastAsia="es-CO"/>
        </w:rPr>
      </w:pPr>
    </w:p>
    <w:sectPr w:rsidR="003D5B0D" w:rsidRPr="0044528D" w:rsidSect="00344B29">
      <w:headerReference w:type="default" r:id="rId21"/>
      <w:footerReference w:type="default" r:id="rId22"/>
      <w:pgSz w:w="12240" w:h="15840" w:code="1"/>
      <w:pgMar w:top="1417" w:right="1701" w:bottom="1417" w:left="170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F62C4" w14:textId="77777777" w:rsidR="009B7944" w:rsidRDefault="009B7944" w:rsidP="004A1847">
      <w:pPr>
        <w:spacing w:after="0" w:line="240" w:lineRule="auto"/>
      </w:pPr>
      <w:r>
        <w:separator/>
      </w:r>
    </w:p>
  </w:endnote>
  <w:endnote w:type="continuationSeparator" w:id="0">
    <w:p w14:paraId="5FBAFA64" w14:textId="77777777" w:rsidR="009B7944" w:rsidRDefault="009B7944" w:rsidP="004A1847">
      <w:pPr>
        <w:spacing w:after="0" w:line="240" w:lineRule="auto"/>
      </w:pPr>
      <w:r>
        <w:continuationSeparator/>
      </w:r>
    </w:p>
  </w:endnote>
  <w:endnote w:type="continuationNotice" w:id="1">
    <w:p w14:paraId="50D2C59A" w14:textId="77777777" w:rsidR="009B7944" w:rsidRDefault="009B79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ED29F" w14:textId="77777777" w:rsidR="009B7944" w:rsidRDefault="009B7944" w:rsidP="004A1847">
      <w:pPr>
        <w:spacing w:after="0" w:line="240" w:lineRule="auto"/>
      </w:pPr>
      <w:r>
        <w:separator/>
      </w:r>
    </w:p>
  </w:footnote>
  <w:footnote w:type="continuationSeparator" w:id="0">
    <w:p w14:paraId="05EA7012" w14:textId="77777777" w:rsidR="009B7944" w:rsidRDefault="009B7944" w:rsidP="004A1847">
      <w:pPr>
        <w:spacing w:after="0" w:line="240" w:lineRule="auto"/>
      </w:pPr>
      <w:r>
        <w:continuationSeparator/>
      </w:r>
    </w:p>
  </w:footnote>
  <w:footnote w:type="continuationNotice" w:id="1">
    <w:p w14:paraId="014697BE" w14:textId="77777777" w:rsidR="009B7944" w:rsidRDefault="009B7944">
      <w:pPr>
        <w:spacing w:after="0" w:line="240" w:lineRule="auto"/>
      </w:pPr>
    </w:p>
  </w:footnote>
  <w:footnote w:id="2">
    <w:p w14:paraId="610C9098" w14:textId="77777777" w:rsidR="00E6106F" w:rsidRPr="00F27DD5" w:rsidRDefault="00E6106F" w:rsidP="00E6106F">
      <w:pPr>
        <w:pStyle w:val="Textonotapie"/>
        <w:contextualSpacing/>
        <w:jc w:val="both"/>
        <w:rPr>
          <w:rFonts w:ascii="Arial" w:eastAsia="Times New Roman" w:hAnsi="Arial" w:cs="Arial"/>
          <w:color w:val="000000"/>
          <w:sz w:val="18"/>
          <w:szCs w:val="18"/>
          <w:lang w:eastAsia="es-CO"/>
        </w:rPr>
      </w:pPr>
      <w:r w:rsidRPr="00F27DD5">
        <w:rPr>
          <w:rStyle w:val="Refdenotaalpie"/>
          <w:rFonts w:ascii="Arial" w:hAnsi="Arial" w:cs="Arial"/>
          <w:color w:val="000000"/>
          <w:sz w:val="18"/>
          <w:szCs w:val="18"/>
        </w:rPr>
        <w:footnoteRef/>
      </w:r>
      <w:r w:rsidRPr="00F27DD5">
        <w:rPr>
          <w:rFonts w:ascii="Arial" w:hAnsi="Arial" w:cs="Arial"/>
          <w:color w:val="000000"/>
          <w:sz w:val="18"/>
          <w:szCs w:val="18"/>
        </w:rPr>
        <w:t xml:space="preserve"> </w:t>
      </w:r>
      <w:r w:rsidRPr="00F27DD5">
        <w:rPr>
          <w:rFonts w:ascii="Arial" w:eastAsia="Times New Roman" w:hAnsi="Arial" w:cs="Arial"/>
          <w:color w:val="000000"/>
          <w:sz w:val="18"/>
          <w:szCs w:val="18"/>
          <w:lang w:eastAsia="es-CO"/>
        </w:rPr>
        <w:t>Consejo de Estado. Sala de Consulta y Servicio Civil. Concepto del 20 de mayo de 2010. Exp. 1.992. C.P. Enrique José Arboleda Perdomo.</w:t>
      </w:r>
    </w:p>
  </w:footnote>
  <w:footnote w:id="3">
    <w:p w14:paraId="3A14109A" w14:textId="77777777" w:rsidR="00E6106F" w:rsidRPr="00F27DD5" w:rsidRDefault="00E6106F" w:rsidP="00E6106F">
      <w:pPr>
        <w:pStyle w:val="Textonotapie"/>
        <w:contextualSpacing/>
        <w:jc w:val="both"/>
        <w:rPr>
          <w:rFonts w:ascii="Arial" w:eastAsia="Times New Roman" w:hAnsi="Arial" w:cs="Arial"/>
          <w:color w:val="000000"/>
          <w:sz w:val="18"/>
          <w:szCs w:val="18"/>
          <w:lang w:eastAsia="es-CO"/>
        </w:rPr>
      </w:pPr>
      <w:r w:rsidRPr="00F27DD5">
        <w:rPr>
          <w:rStyle w:val="Refdenotaalpie"/>
          <w:rFonts w:ascii="Arial" w:hAnsi="Arial" w:cs="Arial"/>
          <w:color w:val="000000"/>
          <w:sz w:val="18"/>
          <w:szCs w:val="18"/>
        </w:rPr>
        <w:footnoteRef/>
      </w:r>
      <w:r w:rsidRPr="00F27DD5">
        <w:rPr>
          <w:rFonts w:ascii="Arial" w:hAnsi="Arial" w:cs="Arial"/>
          <w:color w:val="000000"/>
          <w:sz w:val="18"/>
          <w:szCs w:val="18"/>
        </w:rPr>
        <w:t xml:space="preserve"> </w:t>
      </w:r>
      <w:r w:rsidRPr="00F27DD5">
        <w:rPr>
          <w:rFonts w:ascii="Arial" w:eastAsia="Times New Roman" w:hAnsi="Arial" w:cs="Arial"/>
          <w:color w:val="000000"/>
          <w:sz w:val="18"/>
          <w:szCs w:val="18"/>
          <w:lang w:eastAsia="es-CO"/>
        </w:rPr>
        <w:t>Ver conceptos: C-008 del 4 de mayo de 2020, C-267 del 4 de mayo de 2020, C-283 del 4 de mayo de 2020, C-365 del 30 de junio de 2020 y C-730 del 14 de diciembre del 2020 y C-779 de 18 de enero de 2021.</w:t>
      </w:r>
    </w:p>
  </w:footnote>
  <w:footnote w:id="4">
    <w:p w14:paraId="2ECDC7AD" w14:textId="77777777" w:rsidR="00E6106F" w:rsidRPr="00F27DD5" w:rsidRDefault="00E6106F" w:rsidP="00E6106F">
      <w:pPr>
        <w:pBdr>
          <w:top w:val="nil"/>
          <w:left w:val="nil"/>
          <w:bottom w:val="nil"/>
          <w:right w:val="nil"/>
          <w:between w:val="nil"/>
        </w:pBdr>
        <w:spacing w:after="0"/>
        <w:jc w:val="both"/>
        <w:rPr>
          <w:rFonts w:ascii="Arial" w:eastAsia="Arial" w:hAnsi="Arial" w:cs="Arial"/>
          <w:color w:val="000000"/>
          <w:sz w:val="18"/>
          <w:szCs w:val="18"/>
        </w:rPr>
      </w:pPr>
      <w:r w:rsidRPr="00F27DD5">
        <w:rPr>
          <w:rFonts w:ascii="Arial" w:hAnsi="Arial" w:cs="Arial"/>
          <w:sz w:val="18"/>
          <w:szCs w:val="18"/>
          <w:vertAlign w:val="superscript"/>
        </w:rPr>
        <w:footnoteRef/>
      </w:r>
      <w:r w:rsidRPr="00F27DD5">
        <w:rPr>
          <w:rFonts w:ascii="Arial" w:eastAsia="Arial" w:hAnsi="Arial" w:cs="Arial"/>
          <w:color w:val="000000"/>
          <w:sz w:val="18"/>
          <w:szCs w:val="18"/>
          <w:vertAlign w:val="superscript"/>
        </w:rPr>
        <w:t xml:space="preserve"> </w:t>
      </w:r>
      <w:r w:rsidRPr="00F27DD5">
        <w:rPr>
          <w:rFonts w:ascii="Arial" w:eastAsia="Arial" w:hAnsi="Arial" w:cs="Arial"/>
          <w:color w:val="000000"/>
          <w:sz w:val="18"/>
          <w:szCs w:val="18"/>
        </w:rPr>
        <w:t xml:space="preserve">Ley 1150 de 2007, artículo 5, parágrafo 4°: </w:t>
      </w:r>
      <w:r>
        <w:rPr>
          <w:rFonts w:ascii="Arial" w:eastAsia="Arial" w:hAnsi="Arial" w:cs="Arial"/>
          <w:color w:val="000000"/>
          <w:sz w:val="18"/>
          <w:szCs w:val="18"/>
        </w:rPr>
        <w:t>“</w:t>
      </w:r>
      <w:r w:rsidRPr="00F27DD5">
        <w:rPr>
          <w:rFonts w:ascii="Arial" w:eastAsia="Arial" w:hAnsi="Arial" w:cs="Arial"/>
          <w:color w:val="000000"/>
          <w:sz w:val="18"/>
          <w:szCs w:val="18"/>
        </w:rPr>
        <w:t>En aquellos procesos de selección en los que se utilice el mecanismo de subasta, los documentos referentes a la futura contratación o a proponente, no necesarios para la comparación de las propuestas, deberán ser solicitados hasta el momento previo a su realización</w:t>
      </w:r>
      <w:r>
        <w:rPr>
          <w:rFonts w:ascii="Arial" w:eastAsia="Arial" w:hAnsi="Arial" w:cs="Arial"/>
          <w:color w:val="000000"/>
          <w:sz w:val="18"/>
          <w:szCs w:val="18"/>
        </w:rPr>
        <w:t>”</w:t>
      </w:r>
      <w:r w:rsidRPr="00F27DD5">
        <w:rPr>
          <w:rFonts w:ascii="Arial" w:eastAsia="Arial" w:hAnsi="Arial" w:cs="Arial"/>
          <w:color w:val="000000"/>
          <w:sz w:val="18"/>
          <w:szCs w:val="18"/>
        </w:rPr>
        <w:t>.</w:t>
      </w:r>
    </w:p>
  </w:footnote>
  <w:footnote w:id="5">
    <w:p w14:paraId="2772089F" w14:textId="77777777" w:rsidR="00E6106F" w:rsidRDefault="00E6106F" w:rsidP="00E6106F">
      <w:pPr>
        <w:pStyle w:val="Textonotapie"/>
        <w:ind w:firstLine="708"/>
        <w:jc w:val="both"/>
        <w:rPr>
          <w:rFonts w:ascii="Arial" w:eastAsia="Arial" w:hAnsi="Arial" w:cs="Arial"/>
          <w:color w:val="000000"/>
          <w:sz w:val="18"/>
          <w:szCs w:val="18"/>
          <w:vertAlign w:val="superscript"/>
          <w:lang w:val="es-ES"/>
        </w:rPr>
      </w:pPr>
    </w:p>
    <w:p w14:paraId="5CC18E42" w14:textId="77777777" w:rsidR="00E6106F" w:rsidRPr="00F27DD5" w:rsidRDefault="00E6106F" w:rsidP="00E6106F">
      <w:pPr>
        <w:pStyle w:val="Textonotapie"/>
        <w:jc w:val="both"/>
        <w:rPr>
          <w:rFonts w:ascii="Arial" w:hAnsi="Arial" w:cs="Arial"/>
          <w:color w:val="000000"/>
          <w:sz w:val="18"/>
          <w:szCs w:val="18"/>
          <w:lang w:val="es-ES"/>
        </w:rPr>
      </w:pPr>
      <w:r w:rsidRPr="00F27DD5">
        <w:rPr>
          <w:rFonts w:ascii="Arial" w:eastAsia="Arial" w:hAnsi="Arial" w:cs="Arial"/>
          <w:color w:val="000000"/>
          <w:sz w:val="18"/>
          <w:szCs w:val="18"/>
          <w:vertAlign w:val="superscript"/>
        </w:rPr>
        <w:footnoteRef/>
      </w:r>
      <w:r w:rsidRPr="00F27DD5">
        <w:rPr>
          <w:rFonts w:ascii="Arial" w:eastAsia="Arial" w:hAnsi="Arial" w:cs="Arial"/>
          <w:color w:val="000000"/>
          <w:sz w:val="18"/>
          <w:szCs w:val="18"/>
          <w:vertAlign w:val="superscript"/>
          <w:lang w:val="es-ES"/>
        </w:rPr>
        <w:t xml:space="preserve"> </w:t>
      </w:r>
      <w:r w:rsidRPr="00F27DD5">
        <w:rPr>
          <w:rFonts w:ascii="Arial" w:eastAsia="Arial" w:hAnsi="Arial" w:cs="Arial"/>
          <w:color w:val="000000"/>
          <w:sz w:val="18"/>
          <w:szCs w:val="18"/>
          <w:lang w:val="es-ES"/>
        </w:rPr>
        <w:t>Consejo de Estado. Sala de Consulta y Servicio Civil. Concepto del 20 de mayo de 2010. No. de Radicado: 11001-03-06-000-2010-00034-00(1992). C.P. Enrique José Arboleda Perdomo.</w:t>
      </w:r>
    </w:p>
    <w:p w14:paraId="087B534B" w14:textId="77777777" w:rsidR="00E6106F" w:rsidRPr="00F27DD5" w:rsidRDefault="00E6106F" w:rsidP="00E6106F">
      <w:pPr>
        <w:pStyle w:val="Textonotapie"/>
        <w:ind w:firstLine="708"/>
        <w:jc w:val="both"/>
        <w:rPr>
          <w:rFonts w:ascii="Arial" w:hAnsi="Arial" w:cs="Arial"/>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716355"/>
    <w:multiLevelType w:val="multilevel"/>
    <w:tmpl w:val="1EAA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8779781">
    <w:abstractNumId w:val="7"/>
  </w:num>
  <w:num w:numId="2" w16cid:durableId="19822139">
    <w:abstractNumId w:val="3"/>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3"/>
  </w:num>
  <w:num w:numId="7" w16cid:durableId="1946422806">
    <w:abstractNumId w:val="6"/>
  </w:num>
  <w:num w:numId="8" w16cid:durableId="152644682">
    <w:abstractNumId w:val="12"/>
  </w:num>
  <w:num w:numId="9" w16cid:durableId="1317221377">
    <w:abstractNumId w:val="8"/>
  </w:num>
  <w:num w:numId="10" w16cid:durableId="1471245386">
    <w:abstractNumId w:val="11"/>
  </w:num>
  <w:num w:numId="11" w16cid:durableId="289172385">
    <w:abstractNumId w:val="9"/>
  </w:num>
  <w:num w:numId="12" w16cid:durableId="1470781324">
    <w:abstractNumId w:val="1"/>
  </w:num>
  <w:num w:numId="13" w16cid:durableId="1512908409">
    <w:abstractNumId w:val="4"/>
  </w:num>
  <w:num w:numId="14" w16cid:durableId="895897244">
    <w:abstractNumId w:val="14"/>
  </w:num>
  <w:num w:numId="15" w16cid:durableId="390349800">
    <w:abstractNumId w:val="10"/>
  </w:num>
  <w:num w:numId="16" w16cid:durableId="1380713882">
    <w:abstractNumId w:val="0"/>
  </w:num>
  <w:num w:numId="17" w16cid:durableId="784039179">
    <w:abstractNumId w:val="15"/>
  </w:num>
  <w:num w:numId="18" w16cid:durableId="712460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33445"/>
    <w:rsid w:val="00045F8B"/>
    <w:rsid w:val="00046945"/>
    <w:rsid w:val="00061B2A"/>
    <w:rsid w:val="00082362"/>
    <w:rsid w:val="000A683E"/>
    <w:rsid w:val="000B19B9"/>
    <w:rsid w:val="000D0334"/>
    <w:rsid w:val="000F6010"/>
    <w:rsid w:val="000F6486"/>
    <w:rsid w:val="00125105"/>
    <w:rsid w:val="00127233"/>
    <w:rsid w:val="001511A0"/>
    <w:rsid w:val="0015343E"/>
    <w:rsid w:val="00187A3C"/>
    <w:rsid w:val="001E4177"/>
    <w:rsid w:val="001F7DC6"/>
    <w:rsid w:val="00224B68"/>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44B29"/>
    <w:rsid w:val="00374F5E"/>
    <w:rsid w:val="00377E3E"/>
    <w:rsid w:val="00391080"/>
    <w:rsid w:val="003A779E"/>
    <w:rsid w:val="003C42CD"/>
    <w:rsid w:val="003D0F4D"/>
    <w:rsid w:val="003D5B0D"/>
    <w:rsid w:val="003D7DB8"/>
    <w:rsid w:val="003E0499"/>
    <w:rsid w:val="003F3941"/>
    <w:rsid w:val="00406575"/>
    <w:rsid w:val="00414C74"/>
    <w:rsid w:val="0042722E"/>
    <w:rsid w:val="0044528D"/>
    <w:rsid w:val="004A1847"/>
    <w:rsid w:val="004A1AC7"/>
    <w:rsid w:val="004A305D"/>
    <w:rsid w:val="004C5E03"/>
    <w:rsid w:val="004F21C4"/>
    <w:rsid w:val="004F685F"/>
    <w:rsid w:val="00535888"/>
    <w:rsid w:val="005566E8"/>
    <w:rsid w:val="00565AC6"/>
    <w:rsid w:val="00574867"/>
    <w:rsid w:val="00591460"/>
    <w:rsid w:val="005B3816"/>
    <w:rsid w:val="005C3777"/>
    <w:rsid w:val="005C5CDC"/>
    <w:rsid w:val="005D476C"/>
    <w:rsid w:val="00604725"/>
    <w:rsid w:val="006219F8"/>
    <w:rsid w:val="00641CCE"/>
    <w:rsid w:val="00665D70"/>
    <w:rsid w:val="006900D9"/>
    <w:rsid w:val="00697954"/>
    <w:rsid w:val="006C3100"/>
    <w:rsid w:val="00706C16"/>
    <w:rsid w:val="00756841"/>
    <w:rsid w:val="007649AB"/>
    <w:rsid w:val="00771D0C"/>
    <w:rsid w:val="007833AC"/>
    <w:rsid w:val="007B268C"/>
    <w:rsid w:val="007B7171"/>
    <w:rsid w:val="007C0C0F"/>
    <w:rsid w:val="007C3DC2"/>
    <w:rsid w:val="007E0F27"/>
    <w:rsid w:val="007E5497"/>
    <w:rsid w:val="00806F5F"/>
    <w:rsid w:val="00820278"/>
    <w:rsid w:val="00867F95"/>
    <w:rsid w:val="008843B6"/>
    <w:rsid w:val="00891928"/>
    <w:rsid w:val="008A446D"/>
    <w:rsid w:val="008D180B"/>
    <w:rsid w:val="008E692A"/>
    <w:rsid w:val="008F0EA7"/>
    <w:rsid w:val="00900749"/>
    <w:rsid w:val="00923EEF"/>
    <w:rsid w:val="009419F9"/>
    <w:rsid w:val="0095685E"/>
    <w:rsid w:val="00961B09"/>
    <w:rsid w:val="00965334"/>
    <w:rsid w:val="0097093E"/>
    <w:rsid w:val="00986AC5"/>
    <w:rsid w:val="009A0DFA"/>
    <w:rsid w:val="009B2D26"/>
    <w:rsid w:val="009B7944"/>
    <w:rsid w:val="009C71FA"/>
    <w:rsid w:val="009C72E7"/>
    <w:rsid w:val="009D3058"/>
    <w:rsid w:val="009F373F"/>
    <w:rsid w:val="009F3A13"/>
    <w:rsid w:val="00A122D3"/>
    <w:rsid w:val="00A17F13"/>
    <w:rsid w:val="00A20739"/>
    <w:rsid w:val="00A33717"/>
    <w:rsid w:val="00A33C78"/>
    <w:rsid w:val="00A51955"/>
    <w:rsid w:val="00A553DA"/>
    <w:rsid w:val="00A64825"/>
    <w:rsid w:val="00AB0ADB"/>
    <w:rsid w:val="00AF36C6"/>
    <w:rsid w:val="00B01B1A"/>
    <w:rsid w:val="00B04DE8"/>
    <w:rsid w:val="00B60EF1"/>
    <w:rsid w:val="00B66319"/>
    <w:rsid w:val="00B72CD3"/>
    <w:rsid w:val="00B72FFF"/>
    <w:rsid w:val="00BC3D36"/>
    <w:rsid w:val="00BD7F72"/>
    <w:rsid w:val="00C0375F"/>
    <w:rsid w:val="00C04FB3"/>
    <w:rsid w:val="00C330EB"/>
    <w:rsid w:val="00C41061"/>
    <w:rsid w:val="00C4481A"/>
    <w:rsid w:val="00C754BE"/>
    <w:rsid w:val="00C76B1C"/>
    <w:rsid w:val="00CB6357"/>
    <w:rsid w:val="00CC1B26"/>
    <w:rsid w:val="00D0664C"/>
    <w:rsid w:val="00D423A2"/>
    <w:rsid w:val="00D520D8"/>
    <w:rsid w:val="00D61D7A"/>
    <w:rsid w:val="00D63AC2"/>
    <w:rsid w:val="00D7383B"/>
    <w:rsid w:val="00DA231B"/>
    <w:rsid w:val="00DC39FC"/>
    <w:rsid w:val="00DE623A"/>
    <w:rsid w:val="00DF5254"/>
    <w:rsid w:val="00DF541C"/>
    <w:rsid w:val="00E16408"/>
    <w:rsid w:val="00E20894"/>
    <w:rsid w:val="00E245AB"/>
    <w:rsid w:val="00E2764C"/>
    <w:rsid w:val="00E27F2E"/>
    <w:rsid w:val="00E50AFE"/>
    <w:rsid w:val="00E52FC2"/>
    <w:rsid w:val="00E6106F"/>
    <w:rsid w:val="00E64475"/>
    <w:rsid w:val="00E75C92"/>
    <w:rsid w:val="00E771DC"/>
    <w:rsid w:val="00E8772A"/>
    <w:rsid w:val="00E90F6B"/>
    <w:rsid w:val="00E92C27"/>
    <w:rsid w:val="00EA0E3D"/>
    <w:rsid w:val="00EC38A7"/>
    <w:rsid w:val="00ED7384"/>
    <w:rsid w:val="00EE1AA8"/>
    <w:rsid w:val="00F31EDC"/>
    <w:rsid w:val="00F462B3"/>
    <w:rsid w:val="00F5664F"/>
    <w:rsid w:val="00F666C4"/>
    <w:rsid w:val="00F76AFC"/>
    <w:rsid w:val="00F903C1"/>
    <w:rsid w:val="00F962A5"/>
    <w:rsid w:val="00FA47C0"/>
    <w:rsid w:val="00FB5DD1"/>
    <w:rsid w:val="00FC2B5D"/>
    <w:rsid w:val="00FC5BE4"/>
    <w:rsid w:val="00FF1449"/>
    <w:rsid w:val="18EA8C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E6106F"/>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6106F"/>
    <w:rPr>
      <w:rFonts w:ascii="Geomanist Light" w:hAnsi="Geomanist Light"/>
      <w:lang w:val="es-ES"/>
    </w:rPr>
  </w:style>
  <w:style w:type="character" w:customStyle="1" w:styleId="superscript">
    <w:name w:val="superscript"/>
    <w:basedOn w:val="Fuentedeprrafopredeter"/>
    <w:rsid w:val="00E6106F"/>
  </w:style>
  <w:style w:type="paragraph" w:styleId="Sinespaciado">
    <w:name w:val="No Spacing"/>
    <w:uiPriority w:val="1"/>
    <w:qFormat/>
    <w:rsid w:val="00E6106F"/>
    <w:pPr>
      <w:spacing w:after="0" w:line="240" w:lineRule="auto"/>
    </w:pPr>
  </w:style>
  <w:style w:type="paragraph" w:styleId="Subttulo">
    <w:name w:val="Subtitle"/>
    <w:basedOn w:val="Normal"/>
    <w:next w:val="Normal"/>
    <w:link w:val="SubttuloCar"/>
    <w:uiPriority w:val="11"/>
    <w:qFormat/>
    <w:rsid w:val="003C42C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3C42CD"/>
    <w:rPr>
      <w:rFonts w:eastAsiaTheme="majorEastAsia" w:cstheme="majorBidi"/>
      <w:color w:val="595959" w:themeColor="text1" w:themeTint="A6"/>
      <w:spacing w:val="15"/>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decreto-1860-de-2021/" TargetMode="External"/><Relationship Id="rId18" Type="http://schemas.openxmlformats.org/officeDocument/2006/relationships/hyperlink" Target="https://nam02.safelinks.protection.outlook.com/?url=https%3A%2F%2Fwww.sucop.gov.co%2Fentidades%2Fcolombiacompra%2FNormativa%3FIDNorma%3D19201&amp;data=05%7C02%7Ckeila.reyes%40colombiacompra.gov.co%7C6192b0470d324981a09708dd0a6c28db%7C7b09041e245149d08cb179d5e3d8c1be%7C0%7C0%7C638678181871293316%7CUnknown%7CTWFpbGZsb3d8eyJFbXB0eU1hcGkiOnRydWUsIlYiOiIwLjAuMDAwMCIsIlAiOiJXaW4zMiIsIkFOIjoiTWFpbCIsIldUIjoyfQ%3D%3D%7C0%7C%7C%7C&amp;sdata=qkmIAHuBiyaRPKsa1Uj68umOpOQFs%2B%2BdCG%2BRsrOg4sk%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relatoria.colombiacompra.gov.co/normativa/ley-1882-de-2018/" TargetMode="External"/><Relationship Id="rId17" Type="http://schemas.openxmlformats.org/officeDocument/2006/relationships/hyperlink" Target="https://nam02.safelinks.protection.outlook.com/?url=https%3A%2F%2Fwww.colombiacompra.gov.co%2Fcontent%2Fconvocatorias&amp;data=05%7C02%7Ckeila.reyes%40colombiacompra.gov.co%7C6192b0470d324981a09708dd0a6c28db%7C7b09041e245149d08cb179d5e3d8c1be%7C0%7C0%7C638678181871275312%7CUnknown%7CTWFpbGZsb3d8eyJFbXB0eU1hcGkiOnRydWUsIlYiOiIwLjAuMDAwMCIsIlAiOiJXaW4zMiIsIkFOIjoiTWFpbCIsIldUIjoyfQ%3D%3D%7C0%7C%7C%7C&amp;sdata=K675DpBjIiWAG331bxUb2sO9idj9aqjXBw8PqEp43OU%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ites%2Fcce_public%2Ffiles%2Fcce_documents%2Fmanual_para_el_manejo_de_acuerdos_comerciales_vf.pdf&amp;data=05%7C02%7Ckeila.reyes%40colombiacompra.gov.co%7C6192b0470d324981a09708dd0a6c28db%7C7b09041e245149d08cb179d5e3d8c1be%7C0%7C0%7C638678181871239903%7CUnknown%7CTWFpbGZsb3d8eyJFbXB0eU1hcGkiOnRydWUsIlYiOiIwLjAuMDAwMCIsIlAiOiJXaW4zMiIsIkFOIjoiTWFpbCIsIldUIjoyfQ%3D%3D%7C0%7C%7C%7C&amp;sdata=OZAFZHsDgUWgUWCoeHvaJXplid2U6p5XrzdNR3c8jno%3D&amp;reserved=0"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ratacion@paratebueno-cundinamarca.gov.co"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nam02.safelinks.protection.outlook.com/?url=https%3A%2F%2Fwww.colombiacompra.gov.co%2Fsala-de-prensa%2Fboletin-digital&amp;data=05%7C02%7Ckeila.reyes%40colombiacompra.gov.co%7C6192b0470d324981a09708dd0a6c28db%7C7b09041e245149d08cb179d5e3d8c1be%7C0%7C0%7C638678181871307332%7CUnknown%7CTWFpbGZsb3d8eyJFbXB0eU1hcGkiOnRydWUsIlYiOiIwLjAuMDAwMCIsIlAiOiJXaW4zMiIsIkFOIjoiTWFpbCIsIldUIjoyfQ%3D%3D%7C0%7C%7C%7C&amp;sdata=WIq7Y7%2FhRTMV3XtpxpNpzvRPXDAR8GNNXZuJxORfqA0%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304DC816-9C57-40A5-AF93-8F3BDC284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10</Pages>
  <Words>3653</Words>
  <Characters>20096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5</cp:revision>
  <cp:lastPrinted>2023-01-10T21:18:00Z</cp:lastPrinted>
  <dcterms:created xsi:type="dcterms:W3CDTF">2024-12-08T18:28:00Z</dcterms:created>
  <dcterms:modified xsi:type="dcterms:W3CDTF">2024-12-20T19:53:00Z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