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B46EA" w:rsidR="00DA1E3A" w:rsidP="00DA1E3A" w:rsidRDefault="00DA1E3A" w14:paraId="5FFF5CA9" w14:textId="77777777">
      <w:pPr>
        <w:pStyle w:val="Textoindependiente"/>
        <w:spacing w:after="0" w:line="240" w:lineRule="auto"/>
        <w:ind w:right="102"/>
        <w:jc w:val="both"/>
        <w:rPr>
          <w:rFonts w:ascii="Verdana" w:hAnsi="Verdana" w:cs="Arial"/>
          <w:b/>
          <w:color w:val="000000" w:themeColor="text1"/>
          <w:sz w:val="20"/>
          <w:szCs w:val="20"/>
          <w:lang w:val="es-ES_tradnl"/>
        </w:rPr>
      </w:pPr>
    </w:p>
    <w:p w:rsidRPr="009B46EA" w:rsidR="00DA1E3A" w:rsidP="00DA1E3A" w:rsidRDefault="00DA1E3A" w14:paraId="6292B45B" w14:textId="77777777">
      <w:pPr>
        <w:pStyle w:val="Textoindependiente"/>
        <w:spacing w:after="0" w:line="240" w:lineRule="auto"/>
        <w:ind w:right="102"/>
        <w:jc w:val="both"/>
        <w:rPr>
          <w:rFonts w:ascii="Verdana" w:hAnsi="Verdana" w:cs="Arial"/>
          <w:b/>
          <w:color w:val="000000" w:themeColor="text1"/>
          <w:lang w:val="es-ES_tradnl"/>
        </w:rPr>
      </w:pPr>
      <w:r w:rsidRPr="009B46EA">
        <w:rPr>
          <w:rFonts w:ascii="Verdana" w:hAnsi="Verdana" w:cs="Arial"/>
          <w:b/>
          <w:color w:val="000000" w:themeColor="text1"/>
          <w:lang w:val="es-ES_tradnl"/>
        </w:rPr>
        <w:t xml:space="preserve">DECRETO 092 DE 2017 – Finalidad – Clases de contratos </w:t>
      </w:r>
    </w:p>
    <w:p w:rsidRPr="009B46EA" w:rsidR="00DA1E3A" w:rsidP="00DA1E3A" w:rsidRDefault="00DA1E3A" w14:paraId="311DF5A7" w14:textId="77777777">
      <w:pPr>
        <w:pStyle w:val="Textoindependiente"/>
        <w:spacing w:after="0" w:line="240" w:lineRule="auto"/>
        <w:ind w:right="102"/>
        <w:jc w:val="both"/>
        <w:rPr>
          <w:rFonts w:ascii="Verdana" w:hAnsi="Verdana" w:cs="Arial"/>
          <w:color w:val="000000" w:themeColor="text1"/>
          <w:sz w:val="20"/>
          <w:szCs w:val="20"/>
          <w:lang w:val="es-ES_tradnl"/>
        </w:rPr>
      </w:pPr>
    </w:p>
    <w:p w:rsidRPr="009B46EA" w:rsidR="00DA1E3A" w:rsidP="44C2167F" w:rsidRDefault="00DA1E3A" w14:paraId="6565E567" w14:textId="77777777">
      <w:pPr>
        <w:spacing w:after="0" w:line="240" w:lineRule="auto"/>
        <w:jc w:val="both"/>
        <w:rPr>
          <w:rFonts w:ascii="Verdana" w:hAnsi="Verdana" w:eastAsia="Arial" w:cs="Arial"/>
          <w:color w:val="000000" w:themeColor="text1"/>
          <w:sz w:val="20"/>
          <w:szCs w:val="20"/>
          <w:lang w:val="es-ES"/>
        </w:rPr>
      </w:pPr>
      <w:r w:rsidRPr="44C2167F" w:rsidR="00DA1E3A">
        <w:rPr>
          <w:rFonts w:ascii="Verdana" w:hAnsi="Verdana" w:eastAsia="Arial" w:cs="Arial"/>
          <w:color w:val="000000" w:themeColor="text1" w:themeTint="FF" w:themeShade="FF"/>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r w:rsidRPr="44C2167F" w:rsidR="00DA1E3A">
        <w:rPr>
          <w:rFonts w:ascii="Verdana" w:hAnsi="Verdana" w:eastAsia="Arial" w:cs="Arial"/>
          <w:color w:val="000000" w:themeColor="text1" w:themeTint="FF" w:themeShade="FF"/>
          <w:sz w:val="20"/>
          <w:szCs w:val="20"/>
          <w:lang w:val="es-ES"/>
        </w:rPr>
        <w:t>ii</w:t>
      </w:r>
      <w:r w:rsidRPr="44C2167F" w:rsidR="00DA1E3A">
        <w:rPr>
          <w:rFonts w:ascii="Verdana" w:hAnsi="Verdana" w:eastAsia="Arial" w:cs="Arial"/>
          <w:color w:val="000000" w:themeColor="text1" w:themeTint="FF" w:themeShade="FF"/>
          <w:sz w:val="20"/>
          <w:szCs w:val="20"/>
          <w:lang w:val="es-ES"/>
        </w:rPr>
        <w:t>) los convenios de asociación, para el desarrollo conjunto de actividades relacionadas con las funciones de las entidades estatales, en desarrollo del artículo 96 de la Ley 489 de 1998.</w:t>
      </w:r>
    </w:p>
    <w:p w:rsidRPr="009B46EA" w:rsidR="00DA1E3A" w:rsidP="00DA1E3A" w:rsidRDefault="00DA1E3A" w14:paraId="111E832D" w14:textId="77777777">
      <w:pPr>
        <w:spacing w:after="0" w:line="240" w:lineRule="auto"/>
        <w:jc w:val="both"/>
        <w:rPr>
          <w:rFonts w:ascii="Verdana" w:hAnsi="Verdana" w:eastAsia="Calibri" w:cs="Arial"/>
          <w:b/>
          <w:color w:val="000000" w:themeColor="text1"/>
          <w:lang w:val="es-ES_tradnl"/>
        </w:rPr>
      </w:pPr>
    </w:p>
    <w:p w:rsidRPr="009B46EA" w:rsidR="00DA1E3A" w:rsidP="00DA1E3A" w:rsidRDefault="00DA1E3A" w14:paraId="5A9B1842" w14:textId="77777777">
      <w:pPr>
        <w:spacing w:after="0" w:line="240" w:lineRule="auto"/>
        <w:jc w:val="both"/>
        <w:rPr>
          <w:rFonts w:ascii="Verdana" w:hAnsi="Verdana" w:eastAsia="Calibri" w:cs="Arial"/>
          <w:b/>
          <w:color w:val="000000" w:themeColor="text1"/>
          <w:lang w:val="es-ES_tradnl"/>
        </w:rPr>
      </w:pPr>
      <w:r w:rsidRPr="009B46EA">
        <w:rPr>
          <w:rFonts w:ascii="Verdana" w:hAnsi="Verdana" w:eastAsia="Calibri" w:cs="Arial"/>
          <w:b/>
          <w:color w:val="000000" w:themeColor="text1"/>
          <w:lang w:val="es-ES_tradnl"/>
        </w:rPr>
        <w:t xml:space="preserve">CONTRATACIÓN CON ESAL – Contrato de colaboración – Objeto – Alcance </w:t>
      </w:r>
    </w:p>
    <w:p w:rsidRPr="009B46EA" w:rsidR="00DA1E3A" w:rsidP="00DA1E3A" w:rsidRDefault="00DA1E3A" w14:paraId="0AFE7DB0" w14:textId="77777777">
      <w:pPr>
        <w:spacing w:after="0" w:line="240" w:lineRule="auto"/>
        <w:jc w:val="both"/>
        <w:rPr>
          <w:rFonts w:ascii="Verdana" w:hAnsi="Verdana" w:eastAsia="Calibri" w:cs="Arial"/>
          <w:bCs/>
          <w:color w:val="000000" w:themeColor="text1"/>
          <w:sz w:val="20"/>
          <w:szCs w:val="20"/>
          <w:lang w:val="es-ES_tradnl"/>
        </w:rPr>
      </w:pPr>
    </w:p>
    <w:p w:rsidRPr="009B46EA" w:rsidR="00DA1E3A" w:rsidP="00DA1E3A" w:rsidRDefault="00DA1E3A" w14:paraId="60287704" w14:textId="77777777">
      <w:pPr>
        <w:spacing w:after="0" w:line="240" w:lineRule="auto"/>
        <w:jc w:val="both"/>
        <w:rPr>
          <w:rFonts w:ascii="Verdana" w:hAnsi="Verdana" w:cs="Arial"/>
          <w:color w:val="000000" w:themeColor="text1"/>
          <w:sz w:val="20"/>
          <w:szCs w:val="20"/>
          <w:lang w:val="es-ES_tradnl"/>
        </w:rPr>
      </w:pPr>
      <w:r w:rsidRPr="009B46EA">
        <w:rPr>
          <w:rFonts w:ascii="Verdana" w:hAnsi="Verdana"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rsidRPr="009B46EA" w:rsidR="00DA1E3A" w:rsidP="00DA1E3A" w:rsidRDefault="00DA1E3A" w14:paraId="0B6AC97F" w14:textId="77777777">
      <w:pPr>
        <w:spacing w:after="0" w:line="240" w:lineRule="auto"/>
        <w:jc w:val="both"/>
        <w:rPr>
          <w:rFonts w:ascii="Verdana" w:hAnsi="Verdana" w:cs="Arial"/>
          <w:color w:val="000000" w:themeColor="text1"/>
          <w:sz w:val="21"/>
          <w:szCs w:val="21"/>
          <w:lang w:val="es-ES_tradnl"/>
        </w:rPr>
      </w:pPr>
    </w:p>
    <w:p w:rsidRPr="009B46EA" w:rsidR="00DA1E3A" w:rsidP="00DA1E3A" w:rsidRDefault="00DA1E3A" w14:paraId="1AC0B5FA" w14:textId="77777777">
      <w:pPr>
        <w:spacing w:after="0" w:line="240" w:lineRule="auto"/>
        <w:jc w:val="both"/>
        <w:rPr>
          <w:rFonts w:ascii="Verdana" w:hAnsi="Verdana" w:eastAsia="Calibri" w:cs="Arial"/>
          <w:b/>
          <w:color w:val="000000" w:themeColor="text1"/>
          <w:lang w:val="es-ES_tradnl"/>
        </w:rPr>
      </w:pPr>
      <w:bookmarkStart w:name="_Hlk109118876" w:id="0"/>
      <w:r w:rsidRPr="009B46EA">
        <w:rPr>
          <w:rFonts w:ascii="Verdana" w:hAnsi="Verdana" w:eastAsia="Calibri" w:cs="Arial"/>
          <w:b/>
          <w:color w:val="000000" w:themeColor="text1"/>
          <w:lang w:val="es-ES_tradnl"/>
        </w:rPr>
        <w:t>CONTRATACIÓN CON ESAL –</w:t>
      </w:r>
      <w:bookmarkEnd w:id="0"/>
      <w:r w:rsidRPr="009B46EA">
        <w:rPr>
          <w:rFonts w:ascii="Verdana" w:hAnsi="Verdana" w:eastAsia="Calibri" w:cs="Arial"/>
          <w:b/>
          <w:color w:val="000000" w:themeColor="text1"/>
          <w:lang w:val="es-ES_tradnl"/>
        </w:rPr>
        <w:t xml:space="preserve"> Contrato de asociación – Objeto – Alcance </w:t>
      </w:r>
    </w:p>
    <w:p w:rsidRPr="009B46EA" w:rsidR="00DA1E3A" w:rsidP="00DA1E3A" w:rsidRDefault="00DA1E3A" w14:paraId="6E11EB12" w14:textId="77777777">
      <w:pPr>
        <w:spacing w:after="0" w:line="240" w:lineRule="auto"/>
        <w:jc w:val="both"/>
        <w:rPr>
          <w:rFonts w:ascii="Verdana" w:hAnsi="Verdana" w:eastAsia="Calibri" w:cs="Arial"/>
          <w:b/>
          <w:color w:val="000000" w:themeColor="text1"/>
          <w:lang w:val="es-ES_tradnl"/>
        </w:rPr>
      </w:pPr>
    </w:p>
    <w:p w:rsidRPr="009B46EA" w:rsidR="00DA1E3A" w:rsidP="44C2167F" w:rsidRDefault="00DA1E3A" w14:paraId="4073F4AB" w14:textId="77777777">
      <w:pPr>
        <w:spacing w:after="0" w:line="240" w:lineRule="auto"/>
        <w:jc w:val="both"/>
        <w:rPr>
          <w:rFonts w:ascii="Verdana" w:hAnsi="Verdana" w:cs="Arial"/>
          <w:color w:val="000000" w:themeColor="text1"/>
          <w:sz w:val="20"/>
          <w:szCs w:val="20"/>
          <w:lang w:val="es-ES"/>
        </w:rPr>
      </w:pPr>
      <w:r w:rsidRPr="44C2167F" w:rsidR="00DA1E3A">
        <w:rPr>
          <w:rFonts w:ascii="Verdana" w:hAnsi="Verdana" w:cs="Arial"/>
          <w:color w:val="000000" w:themeColor="text1" w:themeTint="FF" w:themeShade="FF"/>
          <w:sz w:val="20"/>
          <w:szCs w:val="20"/>
          <w:lang w:val="es-ES"/>
        </w:rPr>
        <w:t>De otro lado, los convenios de asociación «[t]</w:t>
      </w:r>
      <w:r w:rsidRPr="44C2167F" w:rsidR="00DA1E3A">
        <w:rPr>
          <w:rFonts w:ascii="Verdana" w:hAnsi="Verdana" w:cs="Arial"/>
          <w:color w:val="000000" w:themeColor="text1" w:themeTint="FF" w:themeShade="FF"/>
          <w:sz w:val="20"/>
          <w:szCs w:val="20"/>
          <w:lang w:val="es-ES"/>
        </w:rPr>
        <w:t>ienen</w:t>
      </w:r>
      <w:r w:rsidRPr="44C2167F" w:rsidR="00DA1E3A">
        <w:rPr>
          <w:rFonts w:ascii="Verdana" w:hAnsi="Verdana" w:cs="Arial"/>
          <w:color w:val="000000" w:themeColor="text1" w:themeTint="FF" w:themeShade="FF"/>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r w:rsidRPr="44C2167F" w:rsidR="00DA1E3A">
        <w:rPr>
          <w:rFonts w:ascii="Verdana" w:hAnsi="Verdana" w:cs="Arial"/>
          <w:color w:val="000000" w:themeColor="text1" w:themeTint="FF" w:themeShade="FF"/>
          <w:sz w:val="20"/>
          <w:szCs w:val="20"/>
          <w:lang w:val="es-ES"/>
        </w:rPr>
        <w:t>y</w:t>
      </w:r>
      <w:r w:rsidRPr="44C2167F" w:rsidR="00DA1E3A">
        <w:rPr>
          <w:rFonts w:ascii="Verdana" w:hAnsi="Verdana" w:cs="Arial"/>
          <w:color w:val="000000" w:themeColor="text1" w:themeTint="FF" w:themeShade="FF"/>
          <w:sz w:val="20"/>
          <w:szCs w:val="20"/>
          <w:lang w:val="es-ES"/>
        </w:rPr>
        <w:t xml:space="preserve"> por tanto, la entidad no instruye al contratista para desarrollar los programas o actividades previstas, sino que se asocia con él para el cumplimiento de objetivos comunes.</w:t>
      </w:r>
    </w:p>
    <w:p w:rsidRPr="009B46EA" w:rsidR="00DA1E3A" w:rsidP="00DA1E3A" w:rsidRDefault="00DA1E3A" w14:paraId="3B7E29F3" w14:textId="77777777">
      <w:pPr>
        <w:spacing w:after="0" w:line="240" w:lineRule="auto"/>
        <w:jc w:val="both"/>
        <w:rPr>
          <w:rFonts w:ascii="Verdana" w:hAnsi="Verdana" w:cs="Arial"/>
          <w:color w:val="000000" w:themeColor="text1"/>
          <w:sz w:val="20"/>
          <w:szCs w:val="20"/>
          <w:lang w:val="es-ES_tradnl"/>
        </w:rPr>
      </w:pPr>
    </w:p>
    <w:p w:rsidRPr="009B46EA" w:rsidR="00DA1E3A" w:rsidP="00DA1E3A" w:rsidRDefault="00DA1E3A" w14:paraId="721C2358" w14:textId="77777777">
      <w:pPr>
        <w:spacing w:after="0" w:line="240" w:lineRule="auto"/>
        <w:jc w:val="both"/>
        <w:rPr>
          <w:rFonts w:ascii="Verdana" w:hAnsi="Verdana" w:eastAsia="Calibri" w:cs="Arial"/>
          <w:b/>
          <w:color w:val="000000" w:themeColor="text1"/>
          <w:lang w:val="es-ES_tradnl"/>
        </w:rPr>
      </w:pPr>
      <w:r w:rsidRPr="009B46EA">
        <w:rPr>
          <w:rFonts w:ascii="Verdana" w:hAnsi="Verdana" w:eastAsia="Calibri" w:cs="Arial"/>
          <w:b/>
          <w:color w:val="000000" w:themeColor="text1"/>
          <w:lang w:val="es-ES_tradnl"/>
        </w:rPr>
        <w:t>CONVENIOS DE ASOCIACIÓN – Multiplicidad de sujetos – Límites legales</w:t>
      </w:r>
    </w:p>
    <w:p w:rsidRPr="009B46EA" w:rsidR="00DA1E3A" w:rsidP="00DA1E3A" w:rsidRDefault="00DA1E3A" w14:paraId="3C84DF87" w14:textId="77777777">
      <w:pPr>
        <w:spacing w:after="0" w:line="240" w:lineRule="auto"/>
        <w:jc w:val="both"/>
        <w:rPr>
          <w:rFonts w:ascii="Verdana" w:hAnsi="Verdana" w:cs="Arial"/>
          <w:color w:val="000000" w:themeColor="text1"/>
          <w:sz w:val="20"/>
          <w:szCs w:val="20"/>
          <w:lang w:val="es-ES_tradnl"/>
        </w:rPr>
      </w:pPr>
    </w:p>
    <w:p w:rsidRPr="009B46EA" w:rsidR="00DA1E3A" w:rsidP="44C2167F" w:rsidRDefault="00DA1E3A" w14:paraId="508021EC" w14:textId="77777777" w14:noSpellErr="1">
      <w:pPr>
        <w:pStyle w:val="Sinespaciado"/>
        <w:jc w:val="both"/>
        <w:rPr>
          <w:rFonts w:ascii="Verdana" w:hAnsi="Verdana" w:cs="Arial"/>
          <w:color w:val="000000" w:themeColor="text1"/>
          <w:sz w:val="20"/>
          <w:szCs w:val="20"/>
          <w:lang w:val="es-ES"/>
        </w:rPr>
      </w:pPr>
      <w:r w:rsidRPr="44C2167F" w:rsidR="00DA1E3A">
        <w:rPr>
          <w:rFonts w:ascii="Verdana" w:hAnsi="Verdana" w:cs="Arial"/>
          <w:color w:val="000000" w:themeColor="text1" w:themeTint="FF" w:themeShade="FF"/>
          <w:sz w:val="20"/>
          <w:szCs w:val="20"/>
          <w:lang w:val="es-ES"/>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w:t>
      </w:r>
      <w:r w:rsidRPr="44C2167F" w:rsidR="00DA1E3A">
        <w:rPr>
          <w:rFonts w:ascii="Verdana" w:hAnsi="Verdana" w:cs="Arial"/>
          <w:color w:val="000000" w:themeColor="text1" w:themeTint="FF" w:themeShade="FF"/>
          <w:sz w:val="20"/>
          <w:szCs w:val="20"/>
          <w:lang w:val="es-ES"/>
        </w:rPr>
        <w:t xml:space="preserve">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w:t>
      </w:r>
      <w:r w:rsidRPr="44C2167F" w:rsidR="00DA1E3A">
        <w:rPr>
          <w:rFonts w:ascii="Verdana" w:hAnsi="Verdana" w:cs="Arial"/>
          <w:color w:val="000000" w:themeColor="text1" w:themeTint="FF" w:themeShade="FF"/>
          <w:sz w:val="20"/>
          <w:szCs w:val="20"/>
          <w:lang w:val="es-ES"/>
        </w:rPr>
        <w:t>En caso de que la entidad encuentre que más de una ESAL le ofrece al menos el 30% de recursos en dinero para el convenio de asociación, debe seleccionar objetivamente con cual asociarse».</w:t>
      </w:r>
    </w:p>
    <w:p w:rsidRPr="009B46EA" w:rsidR="00DA1E3A" w:rsidP="00DA1E3A" w:rsidRDefault="00DA1E3A" w14:paraId="5EA23971" w14:textId="77777777">
      <w:pPr>
        <w:pStyle w:val="Sinespaciado"/>
        <w:jc w:val="both"/>
        <w:rPr>
          <w:rFonts w:ascii="Verdana" w:hAnsi="Verdana" w:cs="Arial"/>
          <w:color w:val="000000" w:themeColor="text1"/>
          <w:sz w:val="20"/>
          <w:szCs w:val="20"/>
          <w:lang w:val="es-ES_tradnl"/>
        </w:rPr>
      </w:pPr>
    </w:p>
    <w:p w:rsidRPr="009B46EA" w:rsidR="00DA1E3A" w:rsidP="00DA1E3A" w:rsidRDefault="00DA1E3A" w14:paraId="108294AC" w14:textId="77777777">
      <w:pPr>
        <w:spacing w:after="0" w:line="240" w:lineRule="auto"/>
        <w:jc w:val="both"/>
        <w:rPr>
          <w:rFonts w:ascii="Verdana" w:hAnsi="Verdana" w:eastAsia="Calibri" w:cs="Arial"/>
          <w:b/>
          <w:color w:val="000000" w:themeColor="text1"/>
          <w:lang w:val="es-ES_tradnl"/>
        </w:rPr>
      </w:pPr>
      <w:r w:rsidRPr="009B46EA">
        <w:rPr>
          <w:rFonts w:ascii="Verdana" w:hAnsi="Verdana" w:eastAsia="Calibri" w:cs="Arial"/>
          <w:b/>
          <w:color w:val="000000" w:themeColor="text1"/>
          <w:lang w:val="es-ES_tradnl"/>
        </w:rPr>
        <w:t xml:space="preserve">DECRETO 092 DE 2017 – Criterios – Aplicación </w:t>
      </w:r>
    </w:p>
    <w:p w:rsidRPr="009B46EA" w:rsidR="00DA1E3A" w:rsidP="00DA1E3A" w:rsidRDefault="00DA1E3A" w14:paraId="7C8E3E2E" w14:textId="77777777">
      <w:pPr>
        <w:spacing w:after="0" w:line="240" w:lineRule="auto"/>
        <w:jc w:val="both"/>
        <w:rPr>
          <w:rFonts w:ascii="Verdana" w:hAnsi="Verdana" w:cs="Arial"/>
          <w:color w:val="000000" w:themeColor="text1"/>
          <w:sz w:val="21"/>
          <w:szCs w:val="21"/>
          <w:lang w:val="es-ES_tradnl"/>
        </w:rPr>
      </w:pPr>
    </w:p>
    <w:p w:rsidR="00DA1E3A" w:rsidP="44C2167F" w:rsidRDefault="00DA1E3A" w14:paraId="77F477A6" w14:textId="77777777" w14:noSpellErr="1">
      <w:pPr>
        <w:spacing w:after="0" w:line="240" w:lineRule="auto"/>
        <w:jc w:val="both"/>
        <w:rPr>
          <w:rFonts w:ascii="Verdana" w:hAnsi="Verdana" w:cs="Arial"/>
          <w:color w:val="000000" w:themeColor="text1"/>
          <w:sz w:val="20"/>
          <w:szCs w:val="20"/>
          <w:lang w:val="es-ES"/>
        </w:rPr>
      </w:pPr>
      <w:r w:rsidRPr="44C2167F" w:rsidR="00DA1E3A">
        <w:rPr>
          <w:rFonts w:ascii="Verdana" w:hAnsi="Verdana" w:cs="Arial"/>
          <w:color w:val="000000" w:themeColor="text1" w:themeTint="FF" w:themeShade="FF"/>
          <w:sz w:val="20"/>
          <w:szCs w:val="20"/>
          <w:lang w:val="es-ES"/>
        </w:rPr>
        <w:t xml:space="preserve">[…]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w:t>
      </w:r>
      <w:r w:rsidRPr="44C2167F" w:rsidR="00DA1E3A">
        <w:rPr>
          <w:rFonts w:ascii="Verdana" w:hAnsi="Verdana" w:cs="Arial"/>
          <w:color w:val="000000" w:themeColor="text1" w:themeTint="FF" w:themeShade="FF"/>
          <w:sz w:val="20"/>
          <w:szCs w:val="20"/>
          <w:lang w:val="es-ES"/>
        </w:rPr>
        <w:t>Por tanto, el hecho de que se trate de una entidad sin ánimo de lucro no implica que necesariamente deba celebrarse un contrato de colaboración o un convenio de asociación.</w:t>
      </w:r>
    </w:p>
    <w:p w:rsidRPr="009B46EA" w:rsidR="00DA1E3A" w:rsidP="00DA1E3A" w:rsidRDefault="00DA1E3A" w14:paraId="789F0EC4" w14:textId="77777777">
      <w:pPr>
        <w:spacing w:after="0" w:line="240" w:lineRule="auto"/>
        <w:jc w:val="both"/>
        <w:rPr>
          <w:rFonts w:ascii="Verdana" w:hAnsi="Verdana" w:cs="Arial"/>
          <w:color w:val="000000" w:themeColor="text1"/>
          <w:sz w:val="20"/>
          <w:szCs w:val="20"/>
          <w:lang w:val="es-ES_tradnl"/>
        </w:rPr>
      </w:pPr>
    </w:p>
    <w:p w:rsidRPr="009B46EA" w:rsidR="00DA1E3A" w:rsidP="00DA1E3A" w:rsidRDefault="00DA1E3A" w14:paraId="090671F6" w14:textId="77777777">
      <w:pPr>
        <w:spacing w:after="0" w:line="240" w:lineRule="auto"/>
        <w:jc w:val="both"/>
        <w:rPr>
          <w:rFonts w:ascii="Verdana" w:hAnsi="Verdana" w:eastAsia="Arial" w:cs="Arial"/>
          <w:b/>
          <w:bCs/>
          <w:color w:val="000000" w:themeColor="text1"/>
          <w:lang w:val="es-ES_tradnl"/>
        </w:rPr>
      </w:pPr>
      <w:r w:rsidRPr="009B46EA">
        <w:rPr>
          <w:rFonts w:ascii="Verdana" w:hAnsi="Verdana" w:eastAsia="Arial" w:cs="Arial"/>
          <w:b/>
          <w:bCs/>
          <w:color w:val="000000" w:themeColor="text1"/>
          <w:lang w:val="es-ES_tradnl"/>
        </w:rPr>
        <w:t xml:space="preserve">DECRETO 092 DE 2017 – Normativa vigente </w:t>
      </w:r>
    </w:p>
    <w:p w:rsidRPr="009B46EA" w:rsidR="009B10BC" w:rsidP="00DA1E3A" w:rsidRDefault="009B10BC" w14:paraId="659E7588" w14:textId="77777777">
      <w:pPr>
        <w:spacing w:after="0" w:line="240" w:lineRule="auto"/>
        <w:jc w:val="both"/>
        <w:rPr>
          <w:rFonts w:ascii="Verdana" w:hAnsi="Verdana" w:eastAsia="Arial" w:cs="Arial"/>
          <w:b/>
          <w:bCs/>
          <w:color w:val="000000" w:themeColor="text1"/>
          <w:lang w:val="es-ES_tradnl"/>
        </w:rPr>
      </w:pPr>
    </w:p>
    <w:p w:rsidR="00DA1E3A" w:rsidP="44C2167F" w:rsidRDefault="00DA1E3A" w14:paraId="00885C6F" w14:textId="77777777">
      <w:pPr>
        <w:spacing w:after="0" w:line="240" w:lineRule="auto"/>
        <w:jc w:val="both"/>
        <w:rPr>
          <w:rFonts w:ascii="Verdana" w:hAnsi="Verdana" w:cs="Arial"/>
          <w:color w:val="000000" w:themeColor="text1"/>
          <w:sz w:val="20"/>
          <w:szCs w:val="20"/>
          <w:lang w:val="es-ES"/>
        </w:rPr>
      </w:pPr>
      <w:r w:rsidRPr="44C2167F" w:rsidR="00DA1E3A">
        <w:rPr>
          <w:rFonts w:ascii="Verdana" w:hAnsi="Verdana" w:cs="Arial"/>
          <w:color w:val="000000" w:themeColor="text1" w:themeTint="FF" w:themeShade="FF"/>
          <w:sz w:val="20"/>
          <w:szCs w:val="20"/>
          <w:lang w:val="es-ES"/>
        </w:rPr>
        <w:t>Es importante tener en cuenta que la contratación con entidades sin ánimo de lucro se rige por el Decreto 092 de 2017, salvo lo que ha sido objeto de suspensión provisional por parte del Consejo de Estado.</w:t>
      </w:r>
      <w:r w:rsidRPr="44C2167F" w:rsidR="00DA1E3A">
        <w:rPr>
          <w:rFonts w:ascii="Verdana" w:hAnsi="Verdana" w:cs="Arial"/>
          <w:color w:val="000000" w:themeColor="text1" w:themeTint="FF" w:themeShade="FF"/>
          <w:sz w:val="20"/>
          <w:szCs w:val="20"/>
          <w:lang w:val="es-ES"/>
        </w:rPr>
        <w:t xml:space="preserve"> Por lo tanto, las entidades públicas que desean celebrar contratos del artículo 355 de la Constitución Política deberán contratar con ESAL de reconocida idoneidad realizando un proceso competitivo, y teniendo en cuenta lo siguiente: i) no debe condicionarse el proceso de contratación a la inexistencia de oferta en el mercado de bienes y servicios; </w:t>
      </w:r>
      <w:r w:rsidRPr="44C2167F" w:rsidR="00DA1E3A">
        <w:rPr>
          <w:rFonts w:ascii="Verdana" w:hAnsi="Verdana" w:cs="Arial"/>
          <w:color w:val="000000" w:themeColor="text1" w:themeTint="FF" w:themeShade="FF"/>
          <w:sz w:val="20"/>
          <w:szCs w:val="20"/>
          <w:lang w:val="es-ES"/>
        </w:rPr>
        <w:t>ii</w:t>
      </w:r>
      <w:r w:rsidRPr="44C2167F" w:rsidR="00DA1E3A">
        <w:rPr>
          <w:rFonts w:ascii="Verdana" w:hAnsi="Verdana" w:cs="Arial"/>
          <w:color w:val="000000" w:themeColor="text1" w:themeTint="FF" w:themeShade="FF"/>
          <w:sz w:val="20"/>
          <w:szCs w:val="20"/>
          <w:lang w:val="es-ES"/>
        </w:rPr>
        <w:t xml:space="preserve">) tampoco debe condicionarse a que la contratación con las ESAL garantice la optimización de los recursos públicos en términos de eficiencia, eficacia, economía y manejo del riesgo; </w:t>
      </w:r>
      <w:r w:rsidRPr="44C2167F" w:rsidR="00DA1E3A">
        <w:rPr>
          <w:rFonts w:ascii="Verdana" w:hAnsi="Verdana" w:cs="Arial"/>
          <w:color w:val="000000" w:themeColor="text1" w:themeTint="FF" w:themeShade="FF"/>
          <w:sz w:val="20"/>
          <w:szCs w:val="20"/>
          <w:lang w:val="es-ES"/>
        </w:rPr>
        <w:t>iii</w:t>
      </w:r>
      <w:r w:rsidRPr="44C2167F" w:rsidR="00DA1E3A">
        <w:rPr>
          <w:rFonts w:ascii="Verdana" w:hAnsi="Verdana" w:cs="Arial"/>
          <w:color w:val="000000" w:themeColor="text1" w:themeTint="FF" w:themeShade="FF"/>
          <w:sz w:val="20"/>
          <w:szCs w:val="20"/>
          <w:lang w:val="es-ES"/>
        </w:rPr>
        <w:t xml:space="preserve">) el objeto del contrato debe estar acorde con el plan nacional o seccional de desarrollo; </w:t>
      </w:r>
      <w:r w:rsidRPr="44C2167F" w:rsidR="00DA1E3A">
        <w:rPr>
          <w:rFonts w:ascii="Verdana" w:hAnsi="Verdana" w:cs="Arial"/>
          <w:color w:val="000000" w:themeColor="text1" w:themeTint="FF" w:themeShade="FF"/>
          <w:sz w:val="20"/>
          <w:szCs w:val="20"/>
          <w:lang w:val="es-ES"/>
        </w:rPr>
        <w:t>iv</w:t>
      </w:r>
      <w:r w:rsidRPr="44C2167F" w:rsidR="00DA1E3A">
        <w:rPr>
          <w:rFonts w:ascii="Verdana" w:hAnsi="Verdana" w:cs="Arial"/>
          <w:color w:val="000000" w:themeColor="text1" w:themeTint="FF" w:themeShade="FF"/>
          <w:sz w:val="20"/>
          <w:szCs w:val="20"/>
          <w:lang w:val="es-ES"/>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r w:rsidRPr="44C2167F" w:rsidR="00DA1E3A">
        <w:rPr>
          <w:rFonts w:ascii="Verdana" w:hAnsi="Verdana" w:cs="Arial"/>
          <w:color w:val="000000" w:themeColor="text1" w:themeTint="FF" w:themeShade="FF"/>
          <w:sz w:val="20"/>
          <w:szCs w:val="20"/>
          <w:lang w:val="es-ES"/>
        </w:rPr>
        <w:t>iii</w:t>
      </w:r>
      <w:r w:rsidRPr="44C2167F" w:rsidR="00DA1E3A">
        <w:rPr>
          <w:rFonts w:ascii="Verdana" w:hAnsi="Verdana" w:cs="Arial"/>
          <w:color w:val="000000" w:themeColor="text1" w:themeTint="FF" w:themeShade="FF"/>
          <w:sz w:val="20"/>
          <w:szCs w:val="20"/>
          <w:lang w:val="es-ES"/>
        </w:rPr>
        <w:t>); y v) el contrato no debe establecer una relación conmutativa en el cual haya una contraprestación directa a favor de la entidad, ni instrucciones precisas dadas por esta al contratista para cumplir con el objeto del contrato</w:t>
      </w:r>
      <w:r w:rsidRPr="44C2167F" w:rsidR="00DA1E3A">
        <w:rPr>
          <w:rFonts w:ascii="Verdana" w:hAnsi="Verdana" w:cs="Arial"/>
          <w:color w:val="000000" w:themeColor="text1" w:themeTint="FF" w:themeShade="FF"/>
          <w:sz w:val="20"/>
          <w:szCs w:val="20"/>
          <w:lang w:val="es-ES"/>
        </w:rPr>
        <w:t>.</w:t>
      </w:r>
    </w:p>
    <w:p w:rsidRPr="009B46EA" w:rsidR="00DA1E3A" w:rsidP="00DA1E3A" w:rsidRDefault="00DA1E3A" w14:paraId="0B3C9DD6" w14:textId="77777777">
      <w:pPr>
        <w:spacing w:after="0" w:line="240" w:lineRule="auto"/>
        <w:jc w:val="both"/>
        <w:rPr>
          <w:rFonts w:ascii="Verdana" w:hAnsi="Verdana" w:cs="Arial"/>
          <w:color w:val="000000" w:themeColor="text1"/>
          <w:sz w:val="20"/>
          <w:szCs w:val="20"/>
          <w:lang w:val="es-ES_tradnl"/>
        </w:rPr>
      </w:pPr>
    </w:p>
    <w:p w:rsidRPr="009B46EA" w:rsidR="00DA1E3A" w:rsidP="00DA1E3A" w:rsidRDefault="00DA1E3A" w14:paraId="2F7FE376" w14:textId="77777777">
      <w:pPr>
        <w:spacing w:after="0" w:line="240" w:lineRule="auto"/>
        <w:jc w:val="both"/>
        <w:rPr>
          <w:rFonts w:ascii="Verdana" w:hAnsi="Verdana" w:eastAsia="Arial" w:cs="Arial"/>
          <w:b/>
          <w:bCs/>
          <w:color w:val="000000" w:themeColor="text1"/>
          <w:lang w:val="es-ES_tradnl"/>
        </w:rPr>
      </w:pPr>
      <w:r>
        <w:rPr>
          <w:rFonts w:ascii="Verdana" w:hAnsi="Verdana" w:eastAsia="Arial" w:cs="Arial"/>
          <w:b/>
          <w:bCs/>
          <w:color w:val="000000" w:themeColor="text1"/>
          <w:lang w:val="es-ES_tradnl"/>
        </w:rPr>
        <w:lastRenderedPageBreak/>
        <w:t>INTEGRACIÓN NORMATIVA – Reglas</w:t>
      </w:r>
      <w:r w:rsidRPr="008251D0">
        <w:rPr>
          <w:rFonts w:ascii="Verdana" w:hAnsi="Verdana" w:eastAsia="Arial" w:cs="Arial"/>
          <w:b/>
          <w:bCs/>
          <w:color w:val="000000" w:themeColor="text1"/>
          <w:lang w:val="es-ES_tradnl"/>
        </w:rPr>
        <w:t xml:space="preserve"> generales del sistema de contratación pública</w:t>
      </w:r>
      <w:r>
        <w:rPr>
          <w:rFonts w:ascii="Verdana" w:hAnsi="Verdana" w:eastAsia="Arial" w:cs="Arial"/>
          <w:b/>
          <w:bCs/>
          <w:color w:val="000000" w:themeColor="text1"/>
          <w:lang w:val="es-ES_tradnl"/>
        </w:rPr>
        <w:t xml:space="preserve"> – Declaratoria de incumplimiento – Multas y cláusula penal pecuniaria </w:t>
      </w:r>
      <w:r w:rsidRPr="009B46EA">
        <w:rPr>
          <w:rFonts w:ascii="Verdana" w:hAnsi="Verdana" w:eastAsia="Arial" w:cs="Arial"/>
          <w:b/>
          <w:bCs/>
          <w:color w:val="000000" w:themeColor="text1"/>
          <w:lang w:val="es-ES_tradnl"/>
        </w:rPr>
        <w:t xml:space="preserve"> </w:t>
      </w:r>
    </w:p>
    <w:p w:rsidRPr="009B46EA" w:rsidR="00DA1E3A" w:rsidP="00DA1E3A" w:rsidRDefault="00DA1E3A" w14:paraId="5845F75A" w14:textId="77777777">
      <w:pPr>
        <w:spacing w:after="0" w:line="240" w:lineRule="auto"/>
        <w:jc w:val="both"/>
        <w:rPr>
          <w:rFonts w:ascii="Verdana" w:hAnsi="Verdana" w:eastAsia="Arial" w:cs="Arial"/>
          <w:b/>
          <w:bCs/>
          <w:color w:val="000000" w:themeColor="text1"/>
          <w:lang w:val="es-ES_tradnl"/>
        </w:rPr>
      </w:pPr>
    </w:p>
    <w:p w:rsidR="00DA1E3A" w:rsidP="44C2167F" w:rsidRDefault="00DA1E3A" w14:paraId="0F2F12D9" w14:textId="77777777" w14:noSpellErr="1">
      <w:pPr>
        <w:spacing w:after="0" w:line="240" w:lineRule="auto"/>
        <w:jc w:val="both"/>
        <w:rPr>
          <w:rFonts w:ascii="Verdana" w:hAnsi="Verdana" w:cs="Arial"/>
          <w:color w:val="000000" w:themeColor="text1"/>
          <w:sz w:val="20"/>
          <w:szCs w:val="20"/>
          <w:lang w:val="es-ES"/>
        </w:rPr>
      </w:pPr>
      <w:r w:rsidRPr="44C2167F" w:rsidR="00DA1E3A">
        <w:rPr>
          <w:rFonts w:ascii="Verdana" w:hAnsi="Verdana" w:cs="Arial"/>
          <w:color w:val="000000" w:themeColor="text1" w:themeTint="FF" w:themeShade="FF"/>
          <w:sz w:val="20"/>
          <w:szCs w:val="20"/>
          <w:lang w:val="es-ES"/>
        </w:rPr>
        <w:t>E</w:t>
      </w:r>
      <w:r w:rsidRPr="44C2167F" w:rsidR="00DA1E3A">
        <w:rPr>
          <w:rFonts w:ascii="Verdana" w:hAnsi="Verdana" w:cs="Arial"/>
          <w:color w:val="000000" w:themeColor="text1" w:themeTint="FF" w:themeShade="FF"/>
          <w:sz w:val="20"/>
          <w:szCs w:val="20"/>
          <w:lang w:val="es-ES"/>
        </w:rPr>
        <w:t xml:space="preserve">l artículo 8 del Decreto 092 de 2017 </w:t>
      </w:r>
      <w:r w:rsidRPr="44C2167F" w:rsidR="00DA1E3A">
        <w:rPr>
          <w:rFonts w:ascii="Verdana" w:hAnsi="Verdana" w:cs="Arial"/>
          <w:i w:val="1"/>
          <w:iCs w:val="1"/>
          <w:color w:val="000000" w:themeColor="text1" w:themeTint="FF" w:themeShade="FF"/>
          <w:sz w:val="20"/>
          <w:szCs w:val="20"/>
          <w:lang w:val="es-ES"/>
        </w:rPr>
        <w:t>remite integralmente</w:t>
      </w:r>
      <w:r w:rsidRPr="44C2167F" w:rsidR="00DA1E3A">
        <w:rPr>
          <w:rFonts w:ascii="Verdana" w:hAnsi="Verdana" w:cs="Arial"/>
          <w:color w:val="000000" w:themeColor="text1" w:themeTint="FF" w:themeShade="FF"/>
          <w:sz w:val="20"/>
          <w:szCs w:val="20"/>
          <w:lang w:val="es-ES"/>
        </w:rPr>
        <w:t xml:space="preserve"> al Estatuto de Contratación. Esta remisión alcanza tanto el régimen de inhabilidades e incompatibilidades como los principios aplicables a la contratación estatal. </w:t>
      </w:r>
      <w:r w:rsidRPr="44C2167F" w:rsidR="00DA1E3A">
        <w:rPr>
          <w:rFonts w:ascii="Verdana" w:hAnsi="Verdana" w:cs="Arial"/>
          <w:color w:val="000000" w:themeColor="text1" w:themeTint="FF" w:themeShade="FF"/>
          <w:sz w:val="20"/>
          <w:szCs w:val="20"/>
          <w:lang w:val="es-ES"/>
        </w:rPr>
        <w:t>Por tanto, los artículos 6, 7 y 8 del reglamento autónomo deben interpretarse en bloque, es decir, aplicando la Ley 80 de 1993 a todo supuesto que no esté expresamente regulado en el Decreto 092 de 2017.</w:t>
      </w:r>
      <w:r w:rsidRPr="44C2167F" w:rsidR="00DA1E3A">
        <w:rPr>
          <w:rFonts w:ascii="Verdana" w:hAnsi="Verdana" w:cs="Arial"/>
          <w:color w:val="000000" w:themeColor="text1" w:themeTint="FF" w:themeShade="FF"/>
          <w:sz w:val="20"/>
          <w:szCs w:val="20"/>
          <w:lang w:val="es-ES"/>
        </w:rPr>
        <w:t xml:space="preserve"> En esta medida, los </w:t>
      </w:r>
      <w:r w:rsidRPr="44C2167F" w:rsidR="00DA1E3A">
        <w:rPr>
          <w:rFonts w:ascii="Verdana" w:hAnsi="Verdana" w:cs="Arial"/>
          <w:i w:val="1"/>
          <w:iCs w:val="1"/>
          <w:color w:val="000000" w:themeColor="text1" w:themeTint="FF" w:themeShade="FF"/>
          <w:sz w:val="20"/>
          <w:szCs w:val="20"/>
          <w:lang w:val="es-ES"/>
        </w:rPr>
        <w:t xml:space="preserve">contratos del artículo 355 de la Constitución </w:t>
      </w:r>
      <w:r w:rsidRPr="44C2167F" w:rsidR="00DA1E3A">
        <w:rPr>
          <w:rFonts w:ascii="Verdana" w:hAnsi="Verdana" w:cs="Arial"/>
          <w:color w:val="000000" w:themeColor="text1" w:themeTint="FF" w:themeShade="FF"/>
          <w:sz w:val="20"/>
          <w:szCs w:val="20"/>
          <w:lang w:val="es-ES"/>
        </w:rPr>
        <w:t xml:space="preserve">y los </w:t>
      </w:r>
      <w:r w:rsidRPr="44C2167F" w:rsidR="00DA1E3A">
        <w:rPr>
          <w:rFonts w:ascii="Verdana" w:hAnsi="Verdana" w:cs="Arial"/>
          <w:i w:val="1"/>
          <w:iCs w:val="1"/>
          <w:color w:val="000000" w:themeColor="text1" w:themeTint="FF" w:themeShade="FF"/>
          <w:sz w:val="20"/>
          <w:szCs w:val="20"/>
          <w:lang w:val="es-ES"/>
        </w:rPr>
        <w:t>convenios de asociación</w:t>
      </w:r>
      <w:r w:rsidRPr="44C2167F" w:rsidR="00DA1E3A">
        <w:rPr>
          <w:rFonts w:ascii="Verdana" w:hAnsi="Verdana" w:cs="Arial"/>
          <w:color w:val="000000" w:themeColor="text1" w:themeTint="FF" w:themeShade="FF"/>
          <w:sz w:val="20"/>
          <w:szCs w:val="20"/>
          <w:lang w:val="es-ES"/>
        </w:rPr>
        <w:t xml:space="preserve"> se rigen por el decreto y las normas del Estatuto General que sean compatibles con él.</w:t>
      </w:r>
    </w:p>
    <w:p w:rsidRPr="008251D0" w:rsidR="00DA1E3A" w:rsidP="00DA1E3A" w:rsidRDefault="00DA1E3A" w14:paraId="1BF2D438" w14:textId="77777777">
      <w:pPr>
        <w:spacing w:after="0" w:line="240" w:lineRule="auto"/>
        <w:jc w:val="both"/>
        <w:rPr>
          <w:rFonts w:ascii="Verdana" w:hAnsi="Verdana" w:cs="Arial"/>
          <w:color w:val="000000" w:themeColor="text1"/>
          <w:sz w:val="20"/>
          <w:szCs w:val="20"/>
          <w:lang w:val="es-ES_tradnl"/>
        </w:rPr>
      </w:pPr>
    </w:p>
    <w:p w:rsidR="00DA1E3A" w:rsidP="00DA1E3A" w:rsidRDefault="00DA1E3A" w14:paraId="4DC42376" w14:textId="77777777">
      <w:pPr>
        <w:spacing w:after="0" w:line="240" w:lineRule="auto"/>
        <w:jc w:val="both"/>
        <w:rPr>
          <w:rFonts w:ascii="Verdana" w:hAnsi="Verdana" w:cs="Arial"/>
          <w:color w:val="000000" w:themeColor="text1"/>
          <w:sz w:val="20"/>
          <w:szCs w:val="20"/>
          <w:lang w:val="es-ES"/>
        </w:rPr>
      </w:pPr>
      <w:r w:rsidRPr="008251D0">
        <w:rPr>
          <w:rFonts w:ascii="Verdana" w:hAnsi="Verdana" w:cs="Arial"/>
          <w:color w:val="000000" w:themeColor="text1"/>
          <w:sz w:val="20"/>
          <w:szCs w:val="20"/>
          <w:lang w:val="es-ES_tradnl"/>
        </w:rPr>
        <w:t xml:space="preserve">Como la Ley 1150 de 2007 complementa el EGCAP, también es posible declarar el incumplimiento para hacer efectivas las multas o la cláusula penal pactadas a través del procedimiento del artículo 86 de la Ley 1474 de 2011. Esta prerrogativa supone </w:t>
      </w:r>
      <w:r w:rsidRPr="008251D0">
        <w:rPr>
          <w:rFonts w:ascii="Verdana" w:hAnsi="Verdana" w:cs="Arial"/>
          <w:color w:val="000000" w:themeColor="text1"/>
          <w:sz w:val="20"/>
          <w:szCs w:val="20"/>
          <w:lang w:val="es-ES"/>
        </w:rPr>
        <w:t xml:space="preserve">una particular combinación entre el principio de legalidad y la autonomía de la voluntad, de tal suerte </w:t>
      </w:r>
      <w:proofErr w:type="gramStart"/>
      <w:r w:rsidRPr="008251D0">
        <w:rPr>
          <w:rFonts w:ascii="Verdana" w:hAnsi="Verdana" w:cs="Arial"/>
          <w:color w:val="000000" w:themeColor="text1"/>
          <w:sz w:val="20"/>
          <w:szCs w:val="20"/>
          <w:lang w:val="es-ES"/>
        </w:rPr>
        <w:t>que</w:t>
      </w:r>
      <w:proofErr w:type="gramEnd"/>
      <w:r w:rsidRPr="008251D0">
        <w:rPr>
          <w:rFonts w:ascii="Verdana" w:hAnsi="Verdana" w:cs="Arial"/>
          <w:color w:val="000000" w:themeColor="text1"/>
          <w:sz w:val="20"/>
          <w:szCs w:val="20"/>
          <w:lang w:val="es-ES"/>
        </w:rPr>
        <w:t xml:space="preserve"> si bien el legislador autorizó a las entidades para declarar el incumplimiento con la intención de multar al contratista para conminarlo al cumplimiento o para hacer efectiva la cláusula penal, es indispensable que uno u otro caso se hayan pactado en el contrato. </w:t>
      </w:r>
    </w:p>
    <w:p w:rsidRPr="008251D0" w:rsidR="00DA1E3A" w:rsidP="00DA1E3A" w:rsidRDefault="00DA1E3A" w14:paraId="78914BC4" w14:textId="77777777">
      <w:pPr>
        <w:spacing w:after="0" w:line="240" w:lineRule="auto"/>
        <w:jc w:val="both"/>
        <w:rPr>
          <w:rFonts w:ascii="Verdana" w:hAnsi="Verdana" w:cs="Arial"/>
          <w:color w:val="000000" w:themeColor="text1"/>
          <w:sz w:val="20"/>
          <w:szCs w:val="20"/>
          <w:lang w:val="es-ES"/>
        </w:rPr>
      </w:pPr>
    </w:p>
    <w:p w:rsidRPr="009B46EA" w:rsidR="00DA1E3A" w:rsidP="00DA1E3A" w:rsidRDefault="00DA1E3A" w14:paraId="79149F9A" w14:textId="77777777">
      <w:pPr>
        <w:spacing w:after="0" w:line="240" w:lineRule="auto"/>
        <w:jc w:val="both"/>
        <w:rPr>
          <w:rFonts w:ascii="Verdana" w:hAnsi="Verdana" w:eastAsia="Arial" w:cs="Arial"/>
          <w:b/>
          <w:bCs/>
          <w:color w:val="000000" w:themeColor="text1"/>
          <w:lang w:val="es-ES_tradnl"/>
        </w:rPr>
      </w:pPr>
      <w:r w:rsidRPr="008251D0">
        <w:rPr>
          <w:rFonts w:ascii="Verdana" w:hAnsi="Verdana" w:cs="Arial"/>
          <w:color w:val="000000" w:themeColor="text1"/>
          <w:sz w:val="20"/>
          <w:szCs w:val="20"/>
          <w:lang w:val="es-ES"/>
        </w:rPr>
        <w:t xml:space="preserve">Cumplido dicho requisito, las entidades estatales que celebren </w:t>
      </w:r>
      <w:r w:rsidRPr="008251D0">
        <w:rPr>
          <w:rFonts w:ascii="Verdana" w:hAnsi="Verdana" w:cs="Arial"/>
          <w:i/>
          <w:iCs/>
          <w:color w:val="000000" w:themeColor="text1"/>
          <w:sz w:val="20"/>
          <w:szCs w:val="20"/>
          <w:lang w:val="es-ES_tradnl"/>
        </w:rPr>
        <w:t xml:space="preserve">contratos del artículo 355 de la Constitución </w:t>
      </w:r>
      <w:r w:rsidRPr="008251D0">
        <w:rPr>
          <w:rFonts w:ascii="Verdana" w:hAnsi="Verdana" w:cs="Arial"/>
          <w:color w:val="000000" w:themeColor="text1"/>
          <w:sz w:val="20"/>
          <w:szCs w:val="20"/>
          <w:lang w:val="es-ES_tradnl"/>
        </w:rPr>
        <w:t xml:space="preserve">o </w:t>
      </w:r>
      <w:r w:rsidRPr="008251D0">
        <w:rPr>
          <w:rFonts w:ascii="Verdana" w:hAnsi="Verdana" w:cs="Arial"/>
          <w:i/>
          <w:iCs/>
          <w:color w:val="000000" w:themeColor="text1"/>
          <w:sz w:val="20"/>
          <w:szCs w:val="20"/>
          <w:lang w:val="es-ES_tradnl"/>
        </w:rPr>
        <w:t>convenios de asociación</w:t>
      </w:r>
      <w:r w:rsidRPr="008251D0">
        <w:rPr>
          <w:rFonts w:ascii="Verdana" w:hAnsi="Verdana" w:cs="Arial"/>
          <w:color w:val="000000" w:themeColor="text1"/>
          <w:sz w:val="20"/>
          <w:szCs w:val="20"/>
          <w:lang w:val="es-ES"/>
        </w:rPr>
        <w:t>,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rsidRPr="00DA1E3A" w:rsidR="00DA1E3A" w:rsidP="008C70E0" w:rsidRDefault="00DA1E3A" w14:paraId="00A30CF7" w14:textId="77777777">
      <w:pPr>
        <w:spacing w:after="0" w:line="240" w:lineRule="auto"/>
        <w:rPr>
          <w:rFonts w:ascii="Verdana" w:hAnsi="Verdana" w:eastAsia="Geomanist Light" w:cs="Arial"/>
          <w:color w:val="000000" w:themeColor="text1"/>
          <w:lang w:val="es-ES_tradnl"/>
        </w:rPr>
      </w:pPr>
    </w:p>
    <w:p w:rsidR="00DA1E3A" w:rsidP="008C70E0" w:rsidRDefault="00DA1E3A" w14:paraId="32EF15C1" w14:textId="77777777">
      <w:pPr>
        <w:spacing w:after="0" w:line="240" w:lineRule="auto"/>
        <w:rPr>
          <w:rFonts w:ascii="Verdana" w:hAnsi="Verdana" w:eastAsia="Geomanist Light" w:cs="Arial"/>
          <w:color w:val="000000" w:themeColor="text1"/>
          <w:lang w:val="es-MX"/>
        </w:rPr>
      </w:pPr>
    </w:p>
    <w:p w:rsidR="00DA1E3A" w:rsidP="008C70E0" w:rsidRDefault="00DA1E3A" w14:paraId="55211F6A" w14:textId="77777777">
      <w:pPr>
        <w:spacing w:after="0" w:line="240" w:lineRule="auto"/>
        <w:rPr>
          <w:rFonts w:ascii="Verdana" w:hAnsi="Verdana" w:eastAsia="Geomanist Light" w:cs="Arial"/>
          <w:color w:val="000000" w:themeColor="text1"/>
          <w:lang w:val="es-MX"/>
        </w:rPr>
      </w:pPr>
    </w:p>
    <w:p w:rsidR="00DA1E3A" w:rsidP="008C70E0" w:rsidRDefault="00DA1E3A" w14:paraId="263285A4" w14:textId="77777777">
      <w:pPr>
        <w:spacing w:after="0" w:line="240" w:lineRule="auto"/>
        <w:rPr>
          <w:rFonts w:ascii="Verdana" w:hAnsi="Verdana" w:eastAsia="Geomanist Light" w:cs="Arial"/>
          <w:color w:val="000000" w:themeColor="text1"/>
          <w:lang w:val="es-MX"/>
        </w:rPr>
      </w:pPr>
    </w:p>
    <w:p w:rsidR="00DA1E3A" w:rsidP="008C70E0" w:rsidRDefault="00DA1E3A" w14:paraId="06B9CED8" w14:textId="77777777">
      <w:pPr>
        <w:spacing w:after="0" w:line="240" w:lineRule="auto"/>
        <w:rPr>
          <w:rFonts w:ascii="Verdana" w:hAnsi="Verdana" w:eastAsia="Geomanist Light" w:cs="Arial"/>
          <w:color w:val="000000" w:themeColor="text1"/>
          <w:lang w:val="es-MX"/>
        </w:rPr>
      </w:pPr>
    </w:p>
    <w:p w:rsidR="00DA1E3A" w:rsidP="008C70E0" w:rsidRDefault="00DA1E3A" w14:paraId="549E6319" w14:textId="77777777">
      <w:pPr>
        <w:spacing w:after="0" w:line="240" w:lineRule="auto"/>
        <w:rPr>
          <w:rFonts w:ascii="Verdana" w:hAnsi="Verdana" w:eastAsia="Geomanist Light" w:cs="Arial"/>
          <w:color w:val="000000" w:themeColor="text1"/>
          <w:lang w:val="es-MX"/>
        </w:rPr>
      </w:pPr>
    </w:p>
    <w:p w:rsidR="00DA1E3A" w:rsidP="008C70E0" w:rsidRDefault="00DA1E3A" w14:paraId="2614418F" w14:textId="77777777">
      <w:pPr>
        <w:spacing w:after="0" w:line="240" w:lineRule="auto"/>
        <w:rPr>
          <w:rFonts w:ascii="Verdana" w:hAnsi="Verdana" w:eastAsia="Geomanist Light" w:cs="Arial"/>
          <w:color w:val="000000" w:themeColor="text1"/>
          <w:lang w:val="es-MX"/>
        </w:rPr>
      </w:pPr>
    </w:p>
    <w:p w:rsidR="00DA1E3A" w:rsidP="008C70E0" w:rsidRDefault="00DA1E3A" w14:paraId="6457FEB6" w14:textId="77777777">
      <w:pPr>
        <w:spacing w:after="0" w:line="240" w:lineRule="auto"/>
        <w:rPr>
          <w:rFonts w:ascii="Verdana" w:hAnsi="Verdana" w:eastAsia="Geomanist Light" w:cs="Arial"/>
          <w:color w:val="000000" w:themeColor="text1"/>
          <w:lang w:val="es-MX"/>
        </w:rPr>
      </w:pPr>
    </w:p>
    <w:p w:rsidR="00DA1E3A" w:rsidP="008C70E0" w:rsidRDefault="00DA1E3A" w14:paraId="30CCE4BA" w14:textId="77777777">
      <w:pPr>
        <w:spacing w:after="0" w:line="240" w:lineRule="auto"/>
        <w:rPr>
          <w:rFonts w:ascii="Verdana" w:hAnsi="Verdana" w:eastAsia="Geomanist Light" w:cs="Arial"/>
          <w:color w:val="000000" w:themeColor="text1"/>
          <w:lang w:val="es-MX"/>
        </w:rPr>
      </w:pPr>
    </w:p>
    <w:p w:rsidR="00DA1E3A" w:rsidP="008C70E0" w:rsidRDefault="00DA1E3A" w14:paraId="332F623C" w14:textId="77777777">
      <w:pPr>
        <w:spacing w:after="0" w:line="240" w:lineRule="auto"/>
        <w:rPr>
          <w:rFonts w:ascii="Verdana" w:hAnsi="Verdana" w:eastAsia="Geomanist Light" w:cs="Arial"/>
          <w:color w:val="000000" w:themeColor="text1"/>
          <w:lang w:val="es-MX"/>
        </w:rPr>
      </w:pPr>
    </w:p>
    <w:p w:rsidR="00DA1E3A" w:rsidP="008C70E0" w:rsidRDefault="00DA1E3A" w14:paraId="782D9BA9" w14:textId="77777777">
      <w:pPr>
        <w:spacing w:after="0" w:line="240" w:lineRule="auto"/>
        <w:rPr>
          <w:rFonts w:ascii="Verdana" w:hAnsi="Verdana" w:eastAsia="Geomanist Light" w:cs="Arial"/>
          <w:color w:val="000000" w:themeColor="text1"/>
          <w:lang w:val="es-MX"/>
        </w:rPr>
      </w:pPr>
    </w:p>
    <w:p w:rsidR="00DA1E3A" w:rsidP="008C70E0" w:rsidRDefault="00DA1E3A" w14:paraId="5529931F" w14:textId="77777777">
      <w:pPr>
        <w:spacing w:after="0" w:line="240" w:lineRule="auto"/>
        <w:rPr>
          <w:rFonts w:ascii="Verdana" w:hAnsi="Verdana" w:eastAsia="Geomanist Light" w:cs="Arial"/>
          <w:color w:val="000000" w:themeColor="text1"/>
          <w:lang w:val="es-MX"/>
        </w:rPr>
      </w:pPr>
    </w:p>
    <w:p w:rsidR="00DA1E3A" w:rsidP="008C70E0" w:rsidRDefault="00DA1E3A" w14:paraId="45856436" w14:textId="77777777">
      <w:pPr>
        <w:spacing w:after="0" w:line="240" w:lineRule="auto"/>
        <w:rPr>
          <w:rFonts w:ascii="Verdana" w:hAnsi="Verdana" w:eastAsia="Geomanist Light" w:cs="Arial"/>
          <w:color w:val="000000" w:themeColor="text1"/>
          <w:lang w:val="es-MX"/>
        </w:rPr>
      </w:pPr>
    </w:p>
    <w:p w:rsidR="00DA1E3A" w:rsidP="008C70E0" w:rsidRDefault="00DA1E3A" w14:paraId="3B6B3B87" w14:textId="77777777">
      <w:pPr>
        <w:spacing w:after="0" w:line="240" w:lineRule="auto"/>
        <w:rPr>
          <w:rFonts w:ascii="Verdana" w:hAnsi="Verdana" w:eastAsia="Geomanist Light" w:cs="Arial"/>
          <w:color w:val="000000" w:themeColor="text1"/>
          <w:lang w:val="es-MX"/>
        </w:rPr>
      </w:pPr>
    </w:p>
    <w:p w:rsidR="00DA1E3A" w:rsidP="008C70E0" w:rsidRDefault="00DA1E3A" w14:paraId="35DCE76C" w14:textId="77777777">
      <w:pPr>
        <w:spacing w:after="0" w:line="240" w:lineRule="auto"/>
        <w:rPr>
          <w:rFonts w:ascii="Verdana" w:hAnsi="Verdana" w:eastAsia="Geomanist Light" w:cs="Arial"/>
          <w:color w:val="000000" w:themeColor="text1"/>
          <w:lang w:val="es-MX"/>
        </w:rPr>
      </w:pPr>
    </w:p>
    <w:p w:rsidR="00DA1E3A" w:rsidP="008C70E0" w:rsidRDefault="00DA1E3A" w14:paraId="7B33CDFF" w14:textId="77777777">
      <w:pPr>
        <w:spacing w:after="0" w:line="240" w:lineRule="auto"/>
        <w:rPr>
          <w:rFonts w:ascii="Verdana" w:hAnsi="Verdana" w:eastAsia="Geomanist Light" w:cs="Arial"/>
          <w:color w:val="000000" w:themeColor="text1"/>
          <w:lang w:val="es-MX"/>
        </w:rPr>
      </w:pPr>
    </w:p>
    <w:p w:rsidR="00DA1E3A" w:rsidP="008C70E0" w:rsidRDefault="00DA1E3A" w14:paraId="31365831" w14:textId="77777777">
      <w:pPr>
        <w:spacing w:after="0" w:line="240" w:lineRule="auto"/>
        <w:rPr>
          <w:rFonts w:ascii="Verdana" w:hAnsi="Verdana" w:eastAsia="Geomanist Light" w:cs="Arial"/>
          <w:color w:val="000000" w:themeColor="text1"/>
          <w:lang w:val="es-MX"/>
        </w:rPr>
      </w:pPr>
    </w:p>
    <w:p w:rsidRPr="00593A5F" w:rsidR="008C70E0" w:rsidP="008C70E0" w:rsidRDefault="008C70E0" w14:paraId="38CF3BB5" w14:textId="5C332599">
      <w:pPr>
        <w:spacing w:after="0" w:line="240" w:lineRule="auto"/>
        <w:rPr>
          <w:rFonts w:ascii="Verdana" w:hAnsi="Verdana" w:eastAsia="Geomanist Light" w:cs="Arial"/>
          <w:color w:val="201F1E"/>
          <w:lang w:val="es-MX"/>
        </w:rPr>
      </w:pPr>
      <w:r w:rsidRPr="00593A5F">
        <w:rPr>
          <w:rFonts w:ascii="Verdana" w:hAnsi="Verdana" w:eastAsia="Geomanist Light" w:cs="Arial"/>
          <w:color w:val="000000" w:themeColor="text1"/>
          <w:lang w:val="es-MX"/>
        </w:rPr>
        <w:lastRenderedPageBreak/>
        <w:t>Bogotá D.C., </w:t>
      </w:r>
      <w:r w:rsidRPr="00DA5A3C" w:rsidR="00DA5A3C">
        <w:rPr>
          <w:rFonts w:ascii="Verdana" w:hAnsi="Verdana" w:eastAsia="Geomanist Light" w:cs="Arial"/>
          <w:color w:val="201F1E"/>
          <w:lang w:val="es-MX"/>
        </w:rPr>
        <w:t>09 de Diciembre de 2024</w:t>
      </w:r>
    </w:p>
    <w:p w:rsidR="008C70E0" w:rsidP="008C70E0" w:rsidRDefault="008C70E0" w14:paraId="013265AD" w14:textId="77777777">
      <w:pPr>
        <w:spacing w:after="0" w:line="240" w:lineRule="auto"/>
        <w:jc w:val="both"/>
        <w:rPr>
          <w:rFonts w:ascii="Verdana" w:hAnsi="Verdana" w:eastAsia="Calibri" w:cs="Arial"/>
          <w:color w:val="000000"/>
          <w:lang w:val="es-MX"/>
        </w:rPr>
      </w:pPr>
    </w:p>
    <w:p w:rsidRPr="00DA5A3C" w:rsidR="00DA5A3C" w:rsidP="00DA5A3C" w:rsidRDefault="00DA5A3C" w14:paraId="4584917E" w14:textId="24BB64E5">
      <w:pPr>
        <w:spacing w:after="0" w:line="240" w:lineRule="auto"/>
        <w:jc w:val="right"/>
        <w:rPr>
          <w:rFonts w:ascii="Verdana" w:hAnsi="Verdana" w:eastAsia="Calibri" w:cs="Arial"/>
          <w:color w:val="000000"/>
          <w:lang w:val="es-MX"/>
        </w:rPr>
      </w:pPr>
      <w:r w:rsidRPr="00DA5A3C">
        <w:rPr>
          <w:rFonts w:ascii="Verdana" w:hAnsi="Verdana" w:eastAsia="Calibri" w:cs="Arial"/>
          <w:noProof/>
          <w:color w:val="000000"/>
          <w:lang w:val="es-MX"/>
        </w:rPr>
        <w:drawing>
          <wp:inline distT="0" distB="0" distL="0" distR="0" wp14:anchorId="441A6CAC" wp14:editId="44C7E743">
            <wp:extent cx="3238500" cy="901700"/>
            <wp:effectExtent l="0" t="0" r="0" b="0"/>
            <wp:docPr id="1403309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09698" name=""/>
                    <pic:cNvPicPr/>
                  </pic:nvPicPr>
                  <pic:blipFill>
                    <a:blip r:embed="rId10"/>
                    <a:stretch>
                      <a:fillRect/>
                    </a:stretch>
                  </pic:blipFill>
                  <pic:spPr>
                    <a:xfrm>
                      <a:off x="0" y="0"/>
                      <a:ext cx="3238500" cy="901700"/>
                    </a:xfrm>
                    <a:prstGeom prst="rect">
                      <a:avLst/>
                    </a:prstGeom>
                  </pic:spPr>
                </pic:pic>
              </a:graphicData>
            </a:graphic>
          </wp:inline>
        </w:drawing>
      </w:r>
    </w:p>
    <w:p w:rsidRPr="00593A5F" w:rsidR="008C70E0" w:rsidP="008C70E0" w:rsidRDefault="008C70E0" w14:paraId="057345F0" w14:textId="77777777">
      <w:pPr>
        <w:spacing w:after="0" w:line="240" w:lineRule="auto"/>
        <w:jc w:val="both"/>
        <w:rPr>
          <w:rFonts w:ascii="Verdana" w:hAnsi="Verdana" w:eastAsia="Calibri" w:cs="Arial"/>
          <w:color w:val="000000"/>
          <w:lang w:val="es-ES"/>
        </w:rPr>
      </w:pPr>
    </w:p>
    <w:p w:rsidRPr="00B96799" w:rsidR="008C70E0" w:rsidP="008C70E0" w:rsidRDefault="008C70E0" w14:paraId="324EC27C" w14:textId="77777777">
      <w:pPr>
        <w:spacing w:after="0" w:line="240" w:lineRule="auto"/>
        <w:jc w:val="both"/>
        <w:rPr>
          <w:rFonts w:ascii="Verdana" w:hAnsi="Verdana" w:eastAsia="Calibri" w:cs="Arial"/>
          <w:lang w:val="es-ES" w:eastAsia="es-ES"/>
        </w:rPr>
      </w:pPr>
      <w:r>
        <w:rPr>
          <w:rFonts w:ascii="Verdana" w:hAnsi="Verdana" w:eastAsia="Calibri" w:cs="Arial"/>
          <w:lang w:val="es-ES" w:eastAsia="es-ES"/>
        </w:rPr>
        <w:t>Señora</w:t>
      </w:r>
    </w:p>
    <w:p w:rsidRPr="0085423D" w:rsidR="008C70E0" w:rsidP="008C70E0" w:rsidRDefault="008C70E0" w14:paraId="1287DA2A" w14:textId="77777777">
      <w:pPr>
        <w:spacing w:after="0" w:line="240" w:lineRule="auto"/>
        <w:rPr>
          <w:rFonts w:ascii="Verdana" w:hAnsi="Verdana" w:eastAsia="Calibri" w:cs="Arial"/>
          <w:b/>
          <w:lang w:val="es-ES_tradnl" w:eastAsia="es-ES_tradnl"/>
        </w:rPr>
      </w:pPr>
      <w:r w:rsidRPr="008254BC">
        <w:rPr>
          <w:rFonts w:ascii="Verdana" w:hAnsi="Verdana" w:eastAsia="Calibri" w:cs="Arial"/>
          <w:b/>
          <w:lang w:val="es-ES_tradnl" w:eastAsia="es-ES_tradnl"/>
        </w:rPr>
        <w:t>Lorena Mejía Arana</w:t>
      </w:r>
      <w:r>
        <w:rPr>
          <w:rFonts w:ascii="Verdana" w:hAnsi="Verdana" w:eastAsia="Calibri" w:cs="Arial"/>
          <w:b/>
          <w:lang w:val="es-ES_tradnl" w:eastAsia="es-ES_tradnl"/>
        </w:rPr>
        <w:t xml:space="preserve">  </w:t>
      </w:r>
    </w:p>
    <w:p w:rsidRPr="008254BC" w:rsidR="008C70E0" w:rsidP="008C70E0" w:rsidRDefault="008C70E0" w14:paraId="00C9478E" w14:textId="77777777">
      <w:pPr>
        <w:spacing w:after="0" w:line="240" w:lineRule="auto"/>
        <w:rPr>
          <w:rFonts w:ascii="Verdana" w:hAnsi="Verdana" w:eastAsia="Calibri" w:cs="Arial"/>
          <w:lang w:val="es-ES" w:eastAsia="es-ES"/>
        </w:rPr>
      </w:pPr>
      <w:hyperlink w:history="1" r:id="rId11">
        <w:r w:rsidRPr="008440FD">
          <w:rPr>
            <w:rStyle w:val="Hipervnculo"/>
            <w:rFonts w:ascii="Verdana" w:hAnsi="Verdana"/>
          </w:rPr>
          <w:t>lmejia@procuraduria.gov.co</w:t>
        </w:r>
      </w:hyperlink>
      <w:r>
        <w:rPr>
          <w:rFonts w:ascii="Verdana" w:hAnsi="Verdana"/>
        </w:rPr>
        <w:t xml:space="preserve"> </w:t>
      </w:r>
      <w:r w:rsidRPr="008254BC">
        <w:rPr>
          <w:rFonts w:ascii="Verdana" w:hAnsi="Verdana"/>
        </w:rPr>
        <w:t xml:space="preserve">       </w:t>
      </w:r>
      <w:r w:rsidRPr="008254BC">
        <w:rPr>
          <w:rFonts w:ascii="Verdana" w:hAnsi="Verdana" w:eastAsia="Calibri" w:cs="Arial"/>
          <w:lang w:val="es-ES" w:eastAsia="es-ES"/>
        </w:rPr>
        <w:t xml:space="preserve">    </w:t>
      </w:r>
    </w:p>
    <w:p w:rsidR="008C70E0" w:rsidP="008C70E0" w:rsidRDefault="008C70E0" w14:paraId="44CAB697" w14:textId="77777777">
      <w:pPr>
        <w:spacing w:after="0" w:line="240" w:lineRule="auto"/>
        <w:rPr>
          <w:rFonts w:ascii="Verdana" w:hAnsi="Verdana" w:eastAsia="Calibri" w:cs="Arial"/>
          <w:lang w:val="es-ES" w:eastAsia="es-ES"/>
        </w:rPr>
      </w:pPr>
      <w:r w:rsidRPr="00F75AAC">
        <w:rPr>
          <w:rFonts w:ascii="Verdana" w:hAnsi="Verdana" w:eastAsia="Calibri" w:cs="Arial"/>
          <w:lang w:val="es-ES" w:eastAsia="es-ES"/>
        </w:rPr>
        <w:t>Bogotá D.C.</w:t>
      </w:r>
    </w:p>
    <w:p w:rsidRPr="00593A5F" w:rsidR="008C70E0" w:rsidP="008C70E0" w:rsidRDefault="008C70E0" w14:paraId="2FCB9031" w14:textId="77777777">
      <w:pPr>
        <w:spacing w:after="0" w:line="240" w:lineRule="auto"/>
        <w:rPr>
          <w:rFonts w:ascii="Verdana" w:hAnsi="Verdana" w:eastAsia="Calibri" w:cs="Arial"/>
          <w:b/>
          <w:bCs/>
          <w:color w:val="000000"/>
          <w:lang w:val="es-ES_tradnl" w:eastAsia="es-ES_tradnl"/>
        </w:rPr>
      </w:pPr>
    </w:p>
    <w:p w:rsidRPr="00593A5F" w:rsidR="008C70E0" w:rsidP="008C70E0" w:rsidRDefault="008C70E0" w14:paraId="2F678084"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8C70E0" w:rsidTr="00580A51" w14:paraId="792E30C2" w14:textId="77777777">
        <w:trPr>
          <w:trHeight w:val="884"/>
        </w:trPr>
        <w:tc>
          <w:tcPr>
            <w:tcW w:w="2689" w:type="dxa"/>
          </w:tcPr>
          <w:p w:rsidRPr="00C00976" w:rsidR="008C70E0" w:rsidP="00580A51" w:rsidRDefault="008C70E0" w14:paraId="30BA2431" w14:textId="77777777">
            <w:pPr>
              <w:jc w:val="both"/>
              <w:rPr>
                <w:rFonts w:ascii="Verdana" w:hAnsi="Verdana" w:eastAsia="Calibri" w:cs="Arial"/>
                <w:b/>
                <w:bCs/>
                <w:color w:val="7030A0"/>
                <w:lang w:val="es-ES_tradnl" w:eastAsia="es-ES_tradnl"/>
              </w:rPr>
            </w:pPr>
          </w:p>
        </w:tc>
        <w:tc>
          <w:tcPr>
            <w:tcW w:w="6100" w:type="dxa"/>
          </w:tcPr>
          <w:p w:rsidRPr="00C00976" w:rsidR="008C70E0" w:rsidP="00580A51" w:rsidRDefault="008C70E0" w14:paraId="700B3647" w14:textId="77777777">
            <w:pPr>
              <w:jc w:val="both"/>
              <w:rPr>
                <w:rFonts w:ascii="Verdana" w:hAnsi="Verdana" w:eastAsia="Calibri" w:cs="Arial"/>
                <w:b/>
                <w:bCs/>
                <w:color w:val="7030A0"/>
                <w:lang w:val="es-ES" w:eastAsia="es-ES"/>
              </w:rPr>
            </w:pPr>
            <w:r w:rsidRPr="008E6AD9">
              <w:rPr>
                <w:rFonts w:ascii="Verdana" w:hAnsi="Verdana" w:eastAsia="Calibri" w:cs="Arial"/>
                <w:b/>
                <w:bCs/>
                <w:lang w:val="es-ES" w:eastAsia="es-ES"/>
              </w:rPr>
              <w:t xml:space="preserve">Concepto C – </w:t>
            </w:r>
            <w:r>
              <w:rPr>
                <w:rFonts w:ascii="Verdana" w:hAnsi="Verdana" w:eastAsia="Calibri" w:cs="Arial"/>
                <w:b/>
                <w:bCs/>
                <w:lang w:val="es-ES" w:eastAsia="es-ES"/>
              </w:rPr>
              <w:t>937</w:t>
            </w:r>
            <w:r w:rsidRPr="008E6AD9">
              <w:rPr>
                <w:rFonts w:ascii="Verdana" w:hAnsi="Verdana" w:eastAsia="Calibri" w:cs="Arial"/>
                <w:b/>
                <w:bCs/>
                <w:lang w:val="es-ES" w:eastAsia="es-ES"/>
              </w:rPr>
              <w:t xml:space="preserve"> de 2024</w:t>
            </w:r>
          </w:p>
        </w:tc>
      </w:tr>
      <w:tr w:rsidRPr="00593A5F" w:rsidR="008C70E0" w:rsidTr="00580A51" w14:paraId="5019E3FA" w14:textId="77777777">
        <w:trPr>
          <w:trHeight w:val="884"/>
        </w:trPr>
        <w:tc>
          <w:tcPr>
            <w:tcW w:w="2689" w:type="dxa"/>
          </w:tcPr>
          <w:p w:rsidRPr="00593A5F" w:rsidR="008C70E0" w:rsidP="00580A51" w:rsidRDefault="008C70E0" w14:paraId="7C118320"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Pr="00A11406" w:rsidR="008C70E0" w:rsidP="00580A51" w:rsidRDefault="008C70E0" w14:paraId="46E05E2F" w14:textId="77777777">
            <w:pPr>
              <w:spacing w:line="276" w:lineRule="auto"/>
              <w:jc w:val="both"/>
              <w:rPr>
                <w:rFonts w:ascii="Verdana" w:hAnsi="Verdana" w:eastAsia="Calibri" w:cs="Arial"/>
                <w:lang w:val="es-ES" w:eastAsia="es-ES"/>
              </w:rPr>
            </w:pPr>
            <w:r w:rsidRPr="008251D0">
              <w:rPr>
                <w:rFonts w:ascii="Verdana" w:hAnsi="Verdana" w:eastAsia="Calibri" w:cs="Arial"/>
                <w:lang w:val="es-ES" w:eastAsia="es-ES"/>
              </w:rPr>
              <w:t>DECRETO 092 DE 2017 – Finalidad – Clases de contratos</w:t>
            </w:r>
            <w:r>
              <w:rPr>
                <w:rFonts w:ascii="Verdana" w:hAnsi="Verdana" w:eastAsia="Calibri" w:cs="Arial"/>
                <w:lang w:val="es-ES" w:eastAsia="es-ES"/>
              </w:rPr>
              <w:t xml:space="preserve"> / </w:t>
            </w:r>
            <w:r w:rsidRPr="008251D0">
              <w:rPr>
                <w:rFonts w:ascii="Verdana" w:hAnsi="Verdana" w:eastAsia="Calibri" w:cs="Arial"/>
                <w:lang w:val="es-ES" w:eastAsia="es-ES"/>
              </w:rPr>
              <w:t>CONTRATACIÓN CON ESAL – Contrato de colaboración – Objeto – Alcance</w:t>
            </w:r>
            <w:r>
              <w:rPr>
                <w:rFonts w:ascii="Verdana" w:hAnsi="Verdana" w:eastAsia="Calibri" w:cs="Arial"/>
                <w:lang w:val="es-ES" w:eastAsia="es-ES"/>
              </w:rPr>
              <w:t xml:space="preserve"> / </w:t>
            </w:r>
            <w:r w:rsidRPr="008251D0">
              <w:rPr>
                <w:rFonts w:ascii="Verdana" w:hAnsi="Verdana" w:eastAsia="Calibri" w:cs="Arial"/>
                <w:lang w:val="es-ES" w:eastAsia="es-ES"/>
              </w:rPr>
              <w:t>CONTRATACIÓN CON ESAL – Contrato de asociación – Objeto – Alcance</w:t>
            </w:r>
            <w:r>
              <w:rPr>
                <w:rFonts w:ascii="Verdana" w:hAnsi="Verdana" w:eastAsia="Calibri" w:cs="Arial"/>
                <w:lang w:val="es-ES" w:eastAsia="es-ES"/>
              </w:rPr>
              <w:t xml:space="preserve"> / </w:t>
            </w:r>
            <w:r w:rsidRPr="008251D0">
              <w:rPr>
                <w:rFonts w:ascii="Verdana" w:hAnsi="Verdana" w:eastAsia="Calibri" w:cs="Arial"/>
                <w:lang w:val="es-ES" w:eastAsia="es-ES"/>
              </w:rPr>
              <w:t>CONVENIOS DE ASOCIACIÓN – Multiplicidad de sujetos – Límites legales</w:t>
            </w:r>
            <w:r>
              <w:rPr>
                <w:rFonts w:ascii="Verdana" w:hAnsi="Verdana" w:eastAsia="Calibri" w:cs="Arial"/>
                <w:lang w:val="es-ES" w:eastAsia="es-ES"/>
              </w:rPr>
              <w:t xml:space="preserve"> / </w:t>
            </w:r>
            <w:r w:rsidRPr="008251D0">
              <w:rPr>
                <w:rFonts w:ascii="Verdana" w:hAnsi="Verdana" w:eastAsia="Calibri" w:cs="Arial"/>
                <w:lang w:val="es-ES" w:eastAsia="es-ES"/>
              </w:rPr>
              <w:t>DECRETO 092 DE 2017 – Criterios – Aplicación</w:t>
            </w:r>
            <w:r>
              <w:rPr>
                <w:rFonts w:ascii="Verdana" w:hAnsi="Verdana" w:eastAsia="Calibri" w:cs="Arial"/>
                <w:lang w:val="es-ES" w:eastAsia="es-ES"/>
              </w:rPr>
              <w:t xml:space="preserve"> / </w:t>
            </w:r>
            <w:r w:rsidRPr="008251D0">
              <w:rPr>
                <w:rFonts w:ascii="Verdana" w:hAnsi="Verdana" w:eastAsia="Calibri" w:cs="Arial"/>
                <w:lang w:val="es-ES" w:eastAsia="es-ES"/>
              </w:rPr>
              <w:t>DECRETO 092 DE 2017 – Normativa vigente</w:t>
            </w:r>
            <w:r>
              <w:rPr>
                <w:rFonts w:ascii="Verdana" w:hAnsi="Verdana" w:eastAsia="Calibri" w:cs="Arial"/>
                <w:lang w:val="es-ES" w:eastAsia="es-ES"/>
              </w:rPr>
              <w:t xml:space="preserve"> / </w:t>
            </w:r>
            <w:r w:rsidRPr="008251D0">
              <w:rPr>
                <w:rFonts w:ascii="Verdana" w:hAnsi="Verdana" w:eastAsia="Calibri" w:cs="Arial"/>
                <w:lang w:val="es-ES" w:eastAsia="es-ES"/>
              </w:rPr>
              <w:t xml:space="preserve">INTEGRACIÓN NORMATIVA – Reglas generales del sistema de contratación pública – Declaratoria de incumplimiento – Multas y cláusula penal pecuniaria  </w:t>
            </w:r>
            <w:r w:rsidRPr="000307C2">
              <w:rPr>
                <w:rFonts w:ascii="Verdana" w:hAnsi="Verdana" w:eastAsia="Calibri" w:cs="Arial"/>
                <w:lang w:val="es-ES" w:eastAsia="es-ES"/>
              </w:rPr>
              <w:t xml:space="preserve">  </w:t>
            </w:r>
            <w:r w:rsidRPr="00BE364D">
              <w:rPr>
                <w:rFonts w:ascii="Verdana" w:hAnsi="Verdana" w:eastAsia="Calibri" w:cs="Arial"/>
                <w:lang w:val="es-ES" w:eastAsia="es-ES"/>
              </w:rPr>
              <w:t xml:space="preserve">  </w:t>
            </w:r>
            <w:r w:rsidRPr="00E23D97">
              <w:rPr>
                <w:rFonts w:ascii="Verdana" w:hAnsi="Verdana" w:eastAsia="Calibri" w:cs="Arial"/>
                <w:lang w:val="es-ES" w:eastAsia="es-ES"/>
              </w:rPr>
              <w:t xml:space="preserve"> </w:t>
            </w:r>
            <w:r w:rsidRPr="009E03E6">
              <w:rPr>
                <w:rFonts w:ascii="Verdana" w:hAnsi="Verdana" w:eastAsia="Calibri" w:cs="Arial"/>
                <w:lang w:val="es-ES" w:eastAsia="es-ES"/>
              </w:rPr>
              <w:t xml:space="preserve">  </w:t>
            </w:r>
            <w:r w:rsidRPr="006E6F30">
              <w:rPr>
                <w:rFonts w:ascii="Verdana" w:hAnsi="Verdana" w:eastAsia="Calibri" w:cs="Arial"/>
                <w:lang w:val="es-ES" w:eastAsia="es-ES"/>
              </w:rPr>
              <w:t xml:space="preserve"> </w:t>
            </w:r>
            <w:r w:rsidRPr="00FA3A97">
              <w:rPr>
                <w:rFonts w:ascii="Verdana" w:hAnsi="Verdana" w:eastAsia="Calibri" w:cs="Arial"/>
                <w:lang w:val="es-ES" w:eastAsia="es-ES"/>
              </w:rPr>
              <w:t xml:space="preserve">  </w:t>
            </w:r>
          </w:p>
          <w:p w:rsidRPr="00593A5F" w:rsidR="008C70E0" w:rsidP="00580A51" w:rsidRDefault="008C70E0" w14:paraId="2889F8C8" w14:textId="77777777">
            <w:pPr>
              <w:spacing w:line="276" w:lineRule="auto"/>
              <w:jc w:val="both"/>
              <w:rPr>
                <w:rFonts w:ascii="Verdana" w:hAnsi="Verdana" w:eastAsia="Calibri" w:cs="Arial"/>
                <w:lang w:val="es-ES" w:eastAsia="es-ES"/>
              </w:rPr>
            </w:pPr>
            <w:r w:rsidRPr="00A11406">
              <w:rPr>
                <w:rFonts w:ascii="Verdana" w:hAnsi="Verdana" w:eastAsia="Calibri" w:cs="Arial"/>
                <w:lang w:val="es-ES" w:eastAsia="es-ES"/>
              </w:rPr>
              <w:t xml:space="preserve"> </w:t>
            </w:r>
            <w:r w:rsidRPr="00D1484F">
              <w:rPr>
                <w:rFonts w:ascii="Verdana" w:hAnsi="Verdana" w:eastAsia="Calibri" w:cs="Arial"/>
                <w:lang w:val="es-ES" w:eastAsia="es-ES"/>
              </w:rPr>
              <w:t xml:space="preserve"> </w:t>
            </w:r>
          </w:p>
        </w:tc>
      </w:tr>
      <w:tr w:rsidRPr="008E6AD9" w:rsidR="008C70E0" w:rsidTr="00580A51" w14:paraId="419FC671" w14:textId="77777777">
        <w:tc>
          <w:tcPr>
            <w:tcW w:w="2689" w:type="dxa"/>
          </w:tcPr>
          <w:p w:rsidRPr="008E6AD9" w:rsidR="008C70E0" w:rsidP="00580A51" w:rsidRDefault="008C70E0" w14:paraId="0C4BC710" w14:textId="77777777">
            <w:pPr>
              <w:jc w:val="both"/>
              <w:rPr>
                <w:rFonts w:ascii="Verdana" w:hAnsi="Verdana" w:eastAsia="Calibri" w:cs="Arial"/>
                <w:b/>
                <w:lang w:val="es-ES_tradnl" w:eastAsia="es-ES_tradnl"/>
              </w:rPr>
            </w:pPr>
            <w:r w:rsidRPr="008E6AD9">
              <w:rPr>
                <w:rFonts w:ascii="Verdana" w:hAnsi="Verdana" w:eastAsia="Calibri" w:cs="Arial"/>
                <w:b/>
                <w:lang w:val="es-ES_tradnl" w:eastAsia="es-ES_tradnl"/>
              </w:rPr>
              <w:t>Radicación:</w:t>
            </w:r>
            <w:r w:rsidRPr="008E6AD9">
              <w:rPr>
                <w:rFonts w:ascii="Verdana" w:hAnsi="Verdana" w:eastAsia="Calibri" w:cs="Arial"/>
                <w:lang w:val="es-ES_tradnl" w:eastAsia="es-ES_tradnl"/>
              </w:rPr>
              <w:t xml:space="preserve">               </w:t>
            </w:r>
          </w:p>
        </w:tc>
        <w:tc>
          <w:tcPr>
            <w:tcW w:w="6100" w:type="dxa"/>
          </w:tcPr>
          <w:p w:rsidRPr="008E6AD9" w:rsidR="008C70E0" w:rsidP="00580A51" w:rsidRDefault="008C70E0" w14:paraId="5220711A" w14:textId="77777777">
            <w:pPr>
              <w:spacing w:line="276" w:lineRule="auto"/>
              <w:jc w:val="both"/>
              <w:rPr>
                <w:rFonts w:ascii="Verdana" w:hAnsi="Verdana" w:eastAsia="Calibri" w:cs="Arial"/>
                <w:lang w:eastAsia="es-ES_tradnl"/>
              </w:rPr>
            </w:pPr>
            <w:r w:rsidRPr="008E6AD9">
              <w:rPr>
                <w:rFonts w:ascii="Verdana" w:hAnsi="Verdana" w:eastAsia="Calibri" w:cs="Arial"/>
                <w:lang w:val="es-ES_tradnl" w:eastAsia="es-ES_tradnl"/>
              </w:rPr>
              <w:t xml:space="preserve">Respuesta a </w:t>
            </w:r>
            <w:r>
              <w:rPr>
                <w:rFonts w:ascii="Verdana" w:hAnsi="Verdana" w:eastAsia="Calibri" w:cs="Arial"/>
                <w:lang w:val="es-ES_tradnl" w:eastAsia="es-ES_tradnl"/>
              </w:rPr>
              <w:t xml:space="preserve">la </w:t>
            </w:r>
            <w:r w:rsidRPr="008E6AD9">
              <w:rPr>
                <w:rFonts w:ascii="Verdana" w:hAnsi="Verdana" w:eastAsia="Calibri" w:cs="Arial"/>
                <w:lang w:val="es-ES_tradnl" w:eastAsia="es-ES_tradnl"/>
              </w:rPr>
              <w:t>consulta con radicado No.</w:t>
            </w:r>
            <w:r>
              <w:rPr>
                <w:rFonts w:ascii="Verdana" w:hAnsi="Verdana" w:eastAsia="Calibri" w:cs="Arial"/>
                <w:lang w:val="es-ES_tradnl" w:eastAsia="es-ES_tradnl"/>
              </w:rPr>
              <w:t xml:space="preserve"> </w:t>
            </w:r>
            <w:r w:rsidRPr="0064408B">
              <w:rPr>
                <w:rFonts w:ascii="Verdana" w:hAnsi="Verdana" w:eastAsia="Calibri" w:cs="Arial"/>
                <w:lang w:val="es-ES_tradnl" w:eastAsia="es-ES_tradnl"/>
              </w:rPr>
              <w:t>P20241127011921</w:t>
            </w:r>
            <w:r>
              <w:rPr>
                <w:rFonts w:ascii="Verdana" w:hAnsi="Verdana" w:eastAsia="Calibri" w:cs="Arial"/>
                <w:lang w:val="es-ES_tradnl" w:eastAsia="es-ES_tradnl"/>
              </w:rPr>
              <w:t xml:space="preserve"> </w:t>
            </w:r>
          </w:p>
        </w:tc>
      </w:tr>
    </w:tbl>
    <w:p w:rsidRPr="00593A5F" w:rsidR="008C70E0" w:rsidP="008C70E0" w:rsidRDefault="008C70E0" w14:paraId="298CA848" w14:textId="77777777">
      <w:pPr>
        <w:spacing w:after="0" w:line="240" w:lineRule="auto"/>
        <w:jc w:val="both"/>
        <w:rPr>
          <w:rFonts w:ascii="Verdana" w:hAnsi="Verdana" w:eastAsia="Calibri" w:cs="Arial"/>
          <w:color w:val="000000"/>
          <w:lang w:val="es-ES_tradnl" w:eastAsia="es-ES_tradnl"/>
        </w:rPr>
      </w:pPr>
    </w:p>
    <w:p w:rsidRPr="00593A5F" w:rsidR="008C70E0" w:rsidP="008C70E0" w:rsidRDefault="008C70E0" w14:paraId="142093B9" w14:textId="77777777">
      <w:pPr>
        <w:spacing w:after="0" w:line="240" w:lineRule="auto"/>
        <w:jc w:val="both"/>
        <w:rPr>
          <w:rFonts w:ascii="Verdana" w:hAnsi="Verdana" w:eastAsia="Calibri" w:cs="Arial"/>
          <w:color w:val="000000"/>
          <w:lang w:val="es-ES_tradnl" w:eastAsia="es-ES_tradnl"/>
        </w:rPr>
      </w:pPr>
    </w:p>
    <w:p w:rsidRPr="008E6AD9" w:rsidR="008C70E0" w:rsidP="008C70E0" w:rsidRDefault="008C70E0" w14:paraId="40CFD136" w14:textId="77777777">
      <w:pPr>
        <w:spacing w:after="0" w:line="276" w:lineRule="auto"/>
        <w:jc w:val="both"/>
        <w:rPr>
          <w:rFonts w:ascii="Verdana" w:hAnsi="Verdana" w:eastAsia="Calibri" w:cs="Arial"/>
          <w:lang w:val="es-ES" w:eastAsia="es-ES"/>
        </w:rPr>
      </w:pPr>
      <w:r w:rsidRPr="008E6AD9">
        <w:rPr>
          <w:rFonts w:ascii="Verdana" w:hAnsi="Verdana" w:eastAsia="Calibri" w:cs="Arial"/>
          <w:lang w:val="es-ES" w:eastAsia="es-ES"/>
        </w:rPr>
        <w:t>Estimad</w:t>
      </w:r>
      <w:r>
        <w:rPr>
          <w:rFonts w:ascii="Verdana" w:hAnsi="Verdana" w:eastAsia="Calibri" w:cs="Arial"/>
          <w:lang w:val="es-ES" w:eastAsia="es-ES"/>
        </w:rPr>
        <w:t>a</w:t>
      </w:r>
      <w:r w:rsidRPr="008E6AD9">
        <w:rPr>
          <w:rFonts w:ascii="Verdana" w:hAnsi="Verdana" w:eastAsia="Calibri" w:cs="Arial"/>
          <w:lang w:val="es-ES" w:eastAsia="es-ES"/>
        </w:rPr>
        <w:t xml:space="preserve"> </w:t>
      </w:r>
      <w:r>
        <w:rPr>
          <w:rFonts w:ascii="Verdana" w:hAnsi="Verdana" w:eastAsia="Calibri" w:cs="Arial"/>
          <w:lang w:val="es-ES" w:eastAsia="es-ES"/>
        </w:rPr>
        <w:t xml:space="preserve">señora </w:t>
      </w:r>
      <w:r w:rsidRPr="008254BC">
        <w:rPr>
          <w:rFonts w:ascii="Verdana" w:hAnsi="Verdana" w:eastAsia="Calibri" w:cs="Arial"/>
          <w:lang w:val="es-ES" w:eastAsia="es-ES"/>
        </w:rPr>
        <w:t>Mejía Arana</w:t>
      </w:r>
      <w:r w:rsidRPr="008E6AD9">
        <w:rPr>
          <w:rFonts w:ascii="Verdana" w:hAnsi="Verdana" w:eastAsia="Calibri" w:cs="Arial"/>
          <w:lang w:val="es-ES" w:eastAsia="es-ES"/>
        </w:rPr>
        <w:t xml:space="preserve">: </w:t>
      </w:r>
    </w:p>
    <w:p w:rsidR="008C70E0" w:rsidP="008C70E0" w:rsidRDefault="008C70E0" w14:paraId="7F99D683"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593A5F" w:rsidR="008C70E0" w:rsidP="008C70E0" w:rsidRDefault="008C70E0" w14:paraId="4BC74DE2" w14:textId="77777777">
      <w:pPr>
        <w:spacing w:after="0" w:line="276" w:lineRule="auto"/>
        <w:jc w:val="both"/>
        <w:rPr>
          <w:rFonts w:ascii="Verdana" w:hAnsi="Verdana" w:eastAsia="Calibri" w:cs="Arial"/>
          <w:color w:val="7030A0"/>
          <w:lang w:val="es-ES" w:eastAsia="es-ES"/>
        </w:rPr>
      </w:pPr>
      <w:r w:rsidRPr="00593A5F">
        <w:rPr>
          <w:rFonts w:ascii="Verdana" w:hAnsi="Verdana" w:eastAsia="Calibri" w:cs="Arial"/>
          <w:color w:val="000000" w:themeColor="text1"/>
          <w:lang w:val="es-ES" w:eastAsia="es-ES"/>
        </w:rPr>
        <w:t>En ejercicio de la competencia otorgada por los artículos 3, numeral 5º, y 11, numeral 8º, del Decreto Ley 4170 de 2011,</w:t>
      </w:r>
      <w:r w:rsidRPr="00593A5F">
        <w:rPr>
          <w:rFonts w:ascii="Verdana" w:hAnsi="Verdana" w:eastAsia="Arial MT"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hAnsi="Verdana" w:eastAsia="Calibri" w:cs="Arial"/>
          <w:color w:val="000000" w:themeColor="text1"/>
          <w:lang w:val="es-ES" w:eastAsia="es-ES"/>
        </w:rPr>
        <w:t>la Agencia Nacional de Contratación Pública – Colombia Compra Eficiente responde su</w:t>
      </w:r>
      <w:r>
        <w:rPr>
          <w:rFonts w:ascii="Verdana" w:hAnsi="Verdana" w:eastAsia="Calibri" w:cs="Arial"/>
          <w:color w:val="000000" w:themeColor="text1"/>
          <w:lang w:val="es-ES" w:eastAsia="es-ES"/>
        </w:rPr>
        <w:t>s</w:t>
      </w:r>
      <w:r w:rsidRPr="00593A5F">
        <w:rPr>
          <w:rFonts w:ascii="Verdana" w:hAnsi="Verdana" w:eastAsia="Calibri" w:cs="Arial"/>
          <w:color w:val="000000" w:themeColor="text1"/>
          <w:lang w:val="es-ES" w:eastAsia="es-ES"/>
        </w:rPr>
        <w:t xml:space="preserve"> solicitud</w:t>
      </w:r>
      <w:r>
        <w:rPr>
          <w:rFonts w:ascii="Verdana" w:hAnsi="Verdana" w:eastAsia="Calibri" w:cs="Arial"/>
          <w:color w:val="000000" w:themeColor="text1"/>
          <w:lang w:val="es-ES" w:eastAsia="es-ES"/>
        </w:rPr>
        <w:t>es</w:t>
      </w:r>
      <w:r w:rsidRPr="00593A5F">
        <w:rPr>
          <w:rFonts w:ascii="Verdana" w:hAnsi="Verdana" w:eastAsia="Calibri" w:cs="Arial"/>
          <w:color w:val="000000" w:themeColor="text1"/>
          <w:lang w:val="es-ES" w:eastAsia="es-ES"/>
        </w:rPr>
        <w:t xml:space="preserve"> </w:t>
      </w:r>
      <w:r w:rsidRPr="00593A5F">
        <w:rPr>
          <w:rFonts w:ascii="Verdana" w:hAnsi="Verdana" w:eastAsia="Calibri" w:cs="Arial"/>
          <w:color w:val="000000" w:themeColor="text1"/>
          <w:lang w:val="es-ES" w:eastAsia="es-ES"/>
        </w:rPr>
        <w:lastRenderedPageBreak/>
        <w:t>de</w:t>
      </w:r>
      <w:r>
        <w:rPr>
          <w:rFonts w:ascii="Verdana" w:hAnsi="Verdana" w:eastAsia="Calibri" w:cs="Arial"/>
          <w:color w:val="000000" w:themeColor="text1"/>
          <w:lang w:val="es-ES" w:eastAsia="es-ES"/>
        </w:rPr>
        <w:t xml:space="preserve"> consulta de </w:t>
      </w:r>
      <w:r w:rsidRPr="008E6AD9">
        <w:rPr>
          <w:rFonts w:ascii="Verdana" w:hAnsi="Verdana" w:eastAsia="Calibri" w:cs="Arial"/>
          <w:lang w:val="es-ES" w:eastAsia="es-ES"/>
        </w:rPr>
        <w:t>fecha</w:t>
      </w:r>
      <w:r>
        <w:rPr>
          <w:rFonts w:ascii="Verdana" w:hAnsi="Verdana" w:eastAsia="Calibri" w:cs="Arial"/>
          <w:lang w:val="es-ES" w:eastAsia="es-ES"/>
        </w:rPr>
        <w:t xml:space="preserve"> 26 de noviembre</w:t>
      </w:r>
      <w:r w:rsidRPr="008E6AD9">
        <w:rPr>
          <w:rFonts w:ascii="Verdana" w:hAnsi="Verdana" w:eastAsia="Calibri" w:cs="Arial"/>
          <w:lang w:val="es-ES" w:eastAsia="es-ES"/>
        </w:rPr>
        <w:t xml:space="preserve"> de 2024,</w:t>
      </w:r>
      <w:r>
        <w:rPr>
          <w:rFonts w:ascii="Verdana" w:hAnsi="Verdana" w:eastAsia="Calibri" w:cs="Arial"/>
          <w:lang w:val="es-ES" w:eastAsia="es-ES"/>
        </w:rPr>
        <w:t xml:space="preserve"> </w:t>
      </w:r>
      <w:r w:rsidRPr="008E6AD9">
        <w:rPr>
          <w:rFonts w:ascii="Verdana" w:hAnsi="Verdana" w:eastAsia="Calibri" w:cs="Arial"/>
          <w:lang w:val="es-ES" w:eastAsia="es-ES"/>
        </w:rPr>
        <w:t>en la cua</w:t>
      </w:r>
      <w:r>
        <w:rPr>
          <w:rFonts w:ascii="Verdana" w:hAnsi="Verdana" w:eastAsia="Calibri" w:cs="Arial"/>
          <w:lang w:val="es-ES" w:eastAsia="es-ES"/>
        </w:rPr>
        <w:t>l –respecto al proceso disciplinario del expediente I</w:t>
      </w:r>
      <w:r w:rsidRPr="00FC259A">
        <w:rPr>
          <w:rFonts w:ascii="Verdana" w:hAnsi="Verdana" w:eastAsia="Calibri" w:cs="Arial"/>
          <w:lang w:val="es-ES" w:eastAsia="es-ES"/>
        </w:rPr>
        <w:t>US E-2024-613045</w:t>
      </w:r>
      <w:r>
        <w:rPr>
          <w:rFonts w:ascii="Verdana" w:hAnsi="Verdana" w:eastAsia="Calibri" w:cs="Arial"/>
          <w:lang w:val="es-ES" w:eastAsia="es-ES"/>
        </w:rPr>
        <w:t xml:space="preserve"> adelantado por la Procuraduría General de la Nación– pregunta lo siguiente</w:t>
      </w:r>
      <w:r w:rsidRPr="008E6AD9">
        <w:rPr>
          <w:rFonts w:ascii="Verdana" w:hAnsi="Verdana" w:eastAsia="Calibri" w:cs="Arial"/>
          <w:lang w:val="es-ES" w:eastAsia="es-ES"/>
        </w:rPr>
        <w:t xml:space="preserve">: </w:t>
      </w:r>
    </w:p>
    <w:p w:rsidRPr="00272A7B" w:rsidR="008C70E0" w:rsidP="00072944" w:rsidRDefault="008C70E0" w14:paraId="3803BF54" w14:textId="77777777">
      <w:pPr>
        <w:pStyle w:val="Prrafodelista"/>
        <w:tabs>
          <w:tab w:val="left" w:pos="142"/>
          <w:tab w:val="left" w:pos="284"/>
        </w:tabs>
        <w:spacing w:after="0" w:line="276" w:lineRule="auto"/>
        <w:ind w:left="0"/>
        <w:jc w:val="both"/>
        <w:rPr>
          <w:rFonts w:ascii="Verdana" w:hAnsi="Verdana" w:eastAsia="Century Gothic" w:cs="Century Gothic"/>
          <w:b/>
          <w:bCs/>
        </w:rPr>
      </w:pPr>
    </w:p>
    <w:p w:rsidRPr="005B7798" w:rsidR="008C70E0" w:rsidP="008C70E0" w:rsidRDefault="008C70E0" w14:paraId="02CFC665" w14:textId="77777777">
      <w:pPr>
        <w:spacing w:after="0" w:line="240" w:lineRule="auto"/>
        <w:ind w:left="709" w:right="709"/>
        <w:jc w:val="both"/>
        <w:rPr>
          <w:rFonts w:ascii="Verdana" w:hAnsi="Verdana" w:eastAsia="Century Gothic" w:cs="Century Gothic"/>
          <w:sz w:val="21"/>
          <w:szCs w:val="21"/>
          <w:lang w:val="es-ES"/>
        </w:rPr>
      </w:pPr>
      <w:bookmarkStart w:name="_Hlk95313578" w:id="1"/>
      <w:r w:rsidRPr="006E7258">
        <w:rPr>
          <w:rFonts w:ascii="Verdana" w:hAnsi="Verdana" w:eastAsia="Century Gothic" w:cs="Century Gothic"/>
          <w:sz w:val="21"/>
          <w:szCs w:val="21"/>
          <w:lang w:val="es-ES"/>
        </w:rPr>
        <w:t>“</w:t>
      </w:r>
      <w:bookmarkEnd w:id="1"/>
      <w:r>
        <w:rPr>
          <w:rFonts w:ascii="Verdana" w:hAnsi="Verdana" w:eastAsia="Century Gothic" w:cs="Century Gothic"/>
          <w:sz w:val="21"/>
          <w:szCs w:val="21"/>
          <w:lang w:val="es-ES"/>
        </w:rPr>
        <w:t xml:space="preserve">[…] </w:t>
      </w:r>
      <w:r w:rsidRPr="008254BC">
        <w:rPr>
          <w:rFonts w:ascii="Verdana" w:hAnsi="Verdana" w:eastAsia="Century Gothic" w:cs="Century Gothic"/>
          <w:sz w:val="21"/>
          <w:szCs w:val="21"/>
          <w:lang w:val="es-ES"/>
        </w:rPr>
        <w:t>Un convenio de asociación suscrito bajo las reglas previstas en el artículo 355 de la constitución política 96 de la Ley 489 de 1998; es OBLIGATORIO pactar las facultades jurídicas unilaterales de declaratoria de incumplimiento, imposición de multas y efectividad de la cláusula penal. En caso positivo, en cuáles disposiciones del ordenamiento jurídico se encuentra de manera taxativa dicha obligación</w:t>
      </w:r>
      <w:r w:rsidRPr="006040CE">
        <w:rPr>
          <w:rFonts w:ascii="Verdana" w:hAnsi="Verdana" w:eastAsia="Century Gothic" w:cs="Century Gothic"/>
          <w:sz w:val="21"/>
          <w:szCs w:val="21"/>
          <w:lang w:val="es-ES"/>
        </w:rPr>
        <w:t>”.</w:t>
      </w:r>
      <w:r>
        <w:rPr>
          <w:rFonts w:ascii="Verdana" w:hAnsi="Verdana" w:eastAsia="Century Gothic" w:cs="Century Gothic"/>
          <w:sz w:val="20"/>
          <w:szCs w:val="20"/>
          <w:lang w:val="es-ES"/>
        </w:rPr>
        <w:t xml:space="preserve"> </w:t>
      </w:r>
    </w:p>
    <w:p w:rsidRPr="008E6AD9" w:rsidR="008C70E0" w:rsidP="00072944" w:rsidRDefault="008C70E0" w14:paraId="77FAD21A" w14:textId="77777777">
      <w:pPr>
        <w:pStyle w:val="Prrafodelista"/>
        <w:tabs>
          <w:tab w:val="left" w:pos="142"/>
          <w:tab w:val="left" w:pos="284"/>
        </w:tabs>
        <w:spacing w:after="0" w:line="276" w:lineRule="auto"/>
        <w:ind w:left="0"/>
        <w:jc w:val="both"/>
        <w:rPr>
          <w:rFonts w:ascii="Verdana" w:hAnsi="Verdana" w:eastAsia="Century Gothic" w:cs="Century Gothic"/>
          <w:b/>
          <w:bCs/>
        </w:rPr>
      </w:pPr>
    </w:p>
    <w:p w:rsidRPr="000B43B3" w:rsidR="008C70E0" w:rsidP="008C70E0" w:rsidRDefault="008C70E0" w14:paraId="6C5B1F3D" w14:textId="77777777">
      <w:pPr>
        <w:spacing w:after="120" w:line="276" w:lineRule="auto"/>
        <w:ind w:firstLine="708"/>
        <w:jc w:val="both"/>
        <w:rPr>
          <w:rFonts w:ascii="Verdana" w:hAnsi="Verdana" w:cs="Arial"/>
          <w:lang w:val="es-ES"/>
        </w:rPr>
      </w:pPr>
      <w:bookmarkStart w:name="_Hlk135067441" w:id="2"/>
      <w:r w:rsidRPr="000B43B3">
        <w:rPr>
          <w:rFonts w:ascii="Verdana" w:hAnsi="Verdana" w:cs="Arial"/>
          <w:bCs/>
        </w:rPr>
        <w:t xml:space="preserve">En ejercicio de las competencias de los artículos 3.5 y 11.8 del Decreto Ley 4170 de 2011, la Agencia Nacional de Contratación Pública – Colombia Compra Eficiente resuelve consultas sobre </w:t>
      </w:r>
      <w:r w:rsidRPr="000B43B3">
        <w:rPr>
          <w:rFonts w:ascii="Verdana" w:hAnsi="Verdana"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0B43B3">
        <w:rPr>
          <w:rFonts w:ascii="Verdana" w:hAnsi="Verdana" w:cs="Arial"/>
          <w:bCs/>
        </w:rPr>
        <w:t xml:space="preserve"> de todos los partícipes de la contratación estatal.</w:t>
      </w:r>
    </w:p>
    <w:p w:rsidRPr="000B43B3" w:rsidR="008C70E0" w:rsidP="008C70E0" w:rsidRDefault="008C70E0" w14:paraId="7ECA5839" w14:textId="77777777">
      <w:pPr>
        <w:spacing w:after="120" w:line="276" w:lineRule="auto"/>
        <w:ind w:firstLine="708"/>
        <w:jc w:val="both"/>
        <w:rPr>
          <w:rFonts w:ascii="Verdana" w:hAnsi="Verdana" w:cs="Arial"/>
          <w:lang w:val="es-ES"/>
        </w:rPr>
      </w:pPr>
      <w:r w:rsidRPr="000B43B3">
        <w:rPr>
          <w:rFonts w:ascii="Verdana" w:hAnsi="Verdana"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43B3">
        <w:rPr>
          <w:rFonts w:ascii="Verdana" w:hAnsi="Verdana" w:cs="Arial"/>
          <w:vertAlign w:val="superscript"/>
          <w:lang w:val="es-ES"/>
        </w:rPr>
        <w:footnoteReference w:id="2"/>
      </w:r>
      <w:r w:rsidRPr="000B43B3">
        <w:rPr>
          <w:rFonts w:ascii="Verdana" w:hAnsi="Verdana" w:cs="Arial"/>
          <w:lang w:val="es-ES"/>
        </w:rPr>
        <w:t>. 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p>
    <w:p w:rsidR="008C70E0" w:rsidP="008C70E0" w:rsidRDefault="008C70E0" w14:paraId="33A786A8" w14:textId="77777777">
      <w:pPr>
        <w:spacing w:after="0" w:line="276" w:lineRule="auto"/>
        <w:ind w:firstLine="708"/>
        <w:jc w:val="both"/>
        <w:rPr>
          <w:rFonts w:ascii="Verdana" w:hAnsi="Verdana" w:eastAsia="Calibri" w:cs="Arial"/>
          <w:lang w:val="es-ES" w:eastAsia="es-ES"/>
        </w:rPr>
      </w:pPr>
      <w:r w:rsidRPr="000B43B3">
        <w:rPr>
          <w:rFonts w:ascii="Verdana" w:hAnsi="Verdana" w:cs="Arial"/>
          <w:bCs/>
          <w:color w:val="1A1A1A" w:themeColor="background1" w:themeShade="1A"/>
        </w:rPr>
        <w:t xml:space="preserve">Para efectos disciplinarios, el inciso 3 del artículo 226 del Código General del Proceso, normativa a la que remite el artículo 241 de la Ley 1952 de 2019 </w:t>
      </w:r>
      <w:r w:rsidRPr="000B43B3">
        <w:rPr>
          <w:rFonts w:ascii="Verdana" w:hAnsi="Verdana" w:cs="Arial"/>
          <w:bCs/>
          <w:color w:val="1A1A1A" w:themeColor="background1" w:themeShade="1A"/>
        </w:rPr>
        <w:lastRenderedPageBreak/>
        <w:t xml:space="preserve">en materia probatoria, establece expresamente que “No serán admisibles los dictámenes periciales que versen sobre puntos de derecho”. </w:t>
      </w:r>
      <w:r w:rsidRPr="000B43B3">
        <w:rPr>
          <w:rFonts w:ascii="Verdana" w:hAnsi="Verdana" w:eastAsia="Calibri" w:cs="Arial"/>
          <w:lang w:val="es-ES"/>
        </w:rPr>
        <w:t xml:space="preserve">En este contexto, </w:t>
      </w:r>
      <w:r w:rsidRPr="000B43B3">
        <w:rPr>
          <w:rFonts w:ascii="Verdana" w:hAnsi="Verdana" w:cs="Arial"/>
          <w:bCs/>
          <w:color w:val="1A1A1A" w:themeColor="background1" w:themeShade="1A"/>
        </w:rPr>
        <w:t xml:space="preserve">lo decidido en torno </w:t>
      </w:r>
      <w:r>
        <w:rPr>
          <w:rFonts w:ascii="Verdana" w:hAnsi="Verdana" w:eastAsia="Calibri" w:cs="Arial"/>
          <w:lang w:val="es-ES" w:eastAsia="es-ES"/>
        </w:rPr>
        <w:t>al proceso disciplinario del expediente I</w:t>
      </w:r>
      <w:r w:rsidRPr="00FC259A">
        <w:rPr>
          <w:rFonts w:ascii="Verdana" w:hAnsi="Verdana" w:eastAsia="Calibri" w:cs="Arial"/>
          <w:lang w:val="es-ES" w:eastAsia="es-ES"/>
        </w:rPr>
        <w:t>US E-2024-613045</w:t>
      </w:r>
      <w:r>
        <w:rPr>
          <w:rFonts w:ascii="Verdana" w:hAnsi="Verdana" w:eastAsia="Calibri" w:cs="Arial"/>
          <w:lang w:val="es-ES" w:eastAsia="es-ES"/>
        </w:rPr>
        <w:t xml:space="preserve"> es</w:t>
      </w:r>
      <w:r w:rsidRPr="000B43B3">
        <w:rPr>
          <w:rFonts w:ascii="Verdana" w:hAnsi="Verdana" w:cs="Arial"/>
          <w:color w:val="000000" w:themeColor="text1"/>
          <w:lang w:val="es-ES_tradnl"/>
        </w:rPr>
        <w:t xml:space="preserve"> responsabilidad única y exclusiva de la </w:t>
      </w:r>
      <w:r>
        <w:rPr>
          <w:rFonts w:ascii="Verdana" w:hAnsi="Verdana" w:eastAsia="Calibri" w:cs="Arial"/>
          <w:lang w:val="es-ES" w:eastAsia="es-ES"/>
        </w:rPr>
        <w:t>Procuraduría General de la Nación</w:t>
      </w:r>
      <w:r w:rsidRPr="000B43B3">
        <w:rPr>
          <w:rFonts w:ascii="Verdana" w:hAnsi="Verdana" w:eastAsia="Calibri" w:cs="Arial"/>
          <w:bCs/>
          <w:lang w:eastAsia="es-ES_tradnl"/>
        </w:rPr>
        <w:t xml:space="preserve">. </w:t>
      </w:r>
      <w:bookmarkEnd w:id="2"/>
      <w:r w:rsidRPr="000B43B3">
        <w:rPr>
          <w:rFonts w:ascii="Verdana" w:hAnsi="Verdana" w:eastAsia="Calibri" w:cs="Arial"/>
        </w:rPr>
        <w:t xml:space="preserve">Sin perjuicio de lo anterior, </w:t>
      </w:r>
      <w:r w:rsidRPr="000B43B3">
        <w:rPr>
          <w:rFonts w:ascii="Verdana" w:hAnsi="Verdana" w:eastAsia="Calibri" w:cs="Arial"/>
          <w:lang w:val="es-ES"/>
        </w:rPr>
        <w:t xml:space="preserve">la Agencia –dentro de los límites de sus atribuciones, esto es, al margen de las conductas investigadas en </w:t>
      </w:r>
      <w:r>
        <w:rPr>
          <w:rFonts w:ascii="Verdana" w:hAnsi="Verdana" w:eastAsia="Calibri" w:cs="Arial"/>
          <w:lang w:val="es-ES"/>
        </w:rPr>
        <w:t xml:space="preserve">el </w:t>
      </w:r>
      <w:r w:rsidRPr="000B43B3">
        <w:rPr>
          <w:rFonts w:ascii="Verdana" w:hAnsi="Verdana" w:eastAsia="Calibri" w:cs="Arial"/>
          <w:lang w:val="es-ES"/>
        </w:rPr>
        <w:t>expediente anteriormente citado– resolverá la consulta conforme a las normas generales del sistema de compras públicas</w:t>
      </w:r>
      <w:r>
        <w:rPr>
          <w:rFonts w:ascii="Verdana" w:hAnsi="Verdana" w:eastAsia="Calibri" w:cs="Arial"/>
          <w:lang w:val="es-ES"/>
        </w:rPr>
        <w:t>.</w:t>
      </w:r>
      <w:r w:rsidRPr="000B43B3">
        <w:rPr>
          <w:rFonts w:ascii="Verdana" w:hAnsi="Verdana" w:eastAsia="Calibri" w:cs="Arial"/>
          <w:lang w:val="es-ES" w:eastAsia="es-ES"/>
        </w:rPr>
        <w:t xml:space="preserve"> </w:t>
      </w:r>
    </w:p>
    <w:p w:rsidRPr="00B92624" w:rsidR="008C70E0" w:rsidP="008C70E0" w:rsidRDefault="008C70E0" w14:paraId="3CE5AFED" w14:textId="77777777">
      <w:pPr>
        <w:spacing w:after="0" w:line="276" w:lineRule="auto"/>
        <w:ind w:firstLine="708"/>
        <w:jc w:val="both"/>
        <w:rPr>
          <w:rFonts w:ascii="Verdana" w:hAnsi="Verdana" w:eastAsia="Calibri" w:cs="Arial"/>
          <w:lang w:val="es-ES" w:eastAsia="es-ES"/>
        </w:rPr>
      </w:pPr>
    </w:p>
    <w:p w:rsidRPr="00593A5F" w:rsidR="008C70E0" w:rsidP="008C70E0" w:rsidRDefault="008C70E0" w14:paraId="529AE938"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8C70E0" w:rsidP="008C70E0" w:rsidRDefault="008C70E0" w14:paraId="1BF1E62F" w14:textId="77777777">
      <w:pPr>
        <w:tabs>
          <w:tab w:val="left" w:pos="426"/>
        </w:tabs>
        <w:spacing w:after="0" w:line="276" w:lineRule="auto"/>
        <w:jc w:val="both"/>
        <w:rPr>
          <w:rFonts w:ascii="Verdana" w:hAnsi="Verdana" w:eastAsia="Century Gothic" w:cs="Century Gothic"/>
          <w:lang w:val="es-ES"/>
        </w:rPr>
      </w:pPr>
    </w:p>
    <w:p w:rsidRPr="00593A5F" w:rsidR="008C70E0" w:rsidP="008C70E0" w:rsidRDefault="008C70E0" w14:paraId="2A184E93" w14:textId="64C7D00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 xml:space="preserve">su solicitud, esta Agencia resolverá </w:t>
      </w:r>
      <w:r>
        <w:rPr>
          <w:rFonts w:ascii="Verdana" w:hAnsi="Verdana" w:eastAsia="Century Gothic" w:cs="Century Gothic"/>
        </w:rPr>
        <w:t>el</w:t>
      </w:r>
      <w:r w:rsidRPr="00593A5F">
        <w:rPr>
          <w:rFonts w:ascii="Verdana" w:hAnsi="Verdana" w:eastAsia="Century Gothic" w:cs="Century Gothic"/>
        </w:rPr>
        <w:t xml:space="preserve"> siguiente problema jurídico: </w:t>
      </w:r>
      <w:r>
        <w:rPr>
          <w:rFonts w:ascii="Verdana" w:hAnsi="Verdana" w:eastAsia="Century Gothic" w:cs="Century Gothic"/>
        </w:rPr>
        <w:t xml:space="preserve">¿cuál es el marco jurídico de </w:t>
      </w:r>
      <w:r w:rsidRPr="008254BC">
        <w:rPr>
          <w:rFonts w:ascii="Verdana" w:hAnsi="Verdana" w:eastAsia="Century Gothic" w:cs="Century Gothic"/>
        </w:rPr>
        <w:t>los contratos del artículo 355 de la Constitución Política y</w:t>
      </w:r>
      <w:r>
        <w:rPr>
          <w:rFonts w:ascii="Verdana" w:hAnsi="Verdana" w:eastAsia="Century Gothic" w:cs="Century Gothic"/>
        </w:rPr>
        <w:t xml:space="preserve"> de</w:t>
      </w:r>
      <w:r w:rsidRPr="008254BC">
        <w:rPr>
          <w:rFonts w:ascii="Verdana" w:hAnsi="Verdana" w:eastAsia="Century Gothic" w:cs="Century Gothic"/>
        </w:rPr>
        <w:t xml:space="preserve"> los convenios de asociación del artículo 96 de la Ley 489 de 1998</w:t>
      </w:r>
      <w:r>
        <w:rPr>
          <w:rFonts w:ascii="Verdana" w:hAnsi="Verdana" w:eastAsia="Century Gothic" w:cs="Century Gothic"/>
        </w:rPr>
        <w:t>?</w:t>
      </w:r>
    </w:p>
    <w:p w:rsidRPr="004B140F" w:rsidR="008C70E0" w:rsidP="008C70E0" w:rsidRDefault="008C70E0" w14:paraId="018B2B68" w14:textId="77777777">
      <w:pPr>
        <w:spacing w:after="0" w:line="276" w:lineRule="auto"/>
        <w:jc w:val="both"/>
        <w:rPr>
          <w:rFonts w:ascii="Verdana" w:hAnsi="Verdana" w:eastAsia="Calibri" w:cs="Arial"/>
          <w:color w:val="7030A0"/>
        </w:rPr>
      </w:pPr>
    </w:p>
    <w:p w:rsidRPr="00593A5F" w:rsidR="008C70E0" w:rsidP="008C70E0" w:rsidRDefault="008C70E0" w14:paraId="530CEBA1"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8C70E0" w:rsidP="008C70E0" w:rsidRDefault="008C70E0" w14:paraId="31B857D5"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8C70E0" w:rsidTr="00580A51" w14:paraId="1FDBD51A" w14:textId="77777777">
        <w:trPr>
          <w:jc w:val="center"/>
        </w:trPr>
        <w:tc>
          <w:tcPr>
            <w:tcW w:w="8828" w:type="dxa"/>
            <w:shd w:val="clear" w:color="auto" w:fill="auto"/>
          </w:tcPr>
          <w:p w:rsidR="008C70E0" w:rsidP="00580A51" w:rsidRDefault="008C70E0" w14:paraId="080E4B3E" w14:textId="1A900B33">
            <w:pPr>
              <w:spacing w:after="120" w:line="276" w:lineRule="auto"/>
              <w:jc w:val="both"/>
              <w:rPr>
                <w:rFonts w:ascii="Verdana" w:hAnsi="Verdana" w:eastAsia="Calibri" w:cs="Arial"/>
                <w:lang w:val="es-ES_tradnl"/>
              </w:rPr>
            </w:pPr>
            <w:bookmarkStart w:name="_Hlk171694685" w:id="3"/>
            <w:r>
              <w:rPr>
                <w:rFonts w:ascii="Verdana" w:hAnsi="Verdana" w:cs="Arial"/>
                <w:color w:val="000000" w:themeColor="text1"/>
              </w:rPr>
              <w:t xml:space="preserve">Conforme a la interpretación general de las normas del sistema de compras públicas, </w:t>
            </w:r>
            <w:r w:rsidRPr="000A33B7">
              <w:rPr>
                <w:rFonts w:ascii="Verdana" w:hAnsi="Verdana" w:eastAsia="Calibri" w:cs="Arial"/>
                <w:lang w:val="es-ES_tradnl"/>
              </w:rPr>
              <w:t xml:space="preserve">el artículo 8 del Decreto 092 de 2017 </w:t>
            </w:r>
            <w:r w:rsidRPr="000F2189">
              <w:rPr>
                <w:rFonts w:ascii="Verdana" w:hAnsi="Verdana" w:eastAsia="Calibri" w:cs="Arial"/>
                <w:lang w:val="es-ES_tradnl"/>
              </w:rPr>
              <w:t>remite integralmente</w:t>
            </w:r>
            <w:r w:rsidRPr="000A33B7">
              <w:rPr>
                <w:rFonts w:ascii="Verdana" w:hAnsi="Verdana" w:eastAsia="Calibri" w:cs="Arial"/>
                <w:lang w:val="es-ES_tradnl"/>
              </w:rPr>
              <w:t xml:space="preserve"> al Estatuto </w:t>
            </w:r>
            <w:r w:rsidR="008C59D6">
              <w:rPr>
                <w:rFonts w:ascii="Verdana" w:hAnsi="Verdana" w:eastAsia="Calibri" w:cs="Arial"/>
                <w:lang w:val="es-ES_tradnl"/>
              </w:rPr>
              <w:t xml:space="preserve">General </w:t>
            </w:r>
            <w:r w:rsidRPr="000A33B7">
              <w:rPr>
                <w:rFonts w:ascii="Verdana" w:hAnsi="Verdana" w:eastAsia="Calibri" w:cs="Arial"/>
                <w:lang w:val="es-ES_tradnl"/>
              </w:rPr>
              <w:t xml:space="preserve">de </w:t>
            </w:r>
            <w:r w:rsidR="008C59D6">
              <w:rPr>
                <w:rFonts w:ascii="Verdana" w:hAnsi="Verdana" w:eastAsia="Calibri" w:cs="Arial"/>
                <w:lang w:val="es-ES_tradnl"/>
              </w:rPr>
              <w:t xml:space="preserve">la </w:t>
            </w:r>
            <w:r w:rsidRPr="000A33B7">
              <w:rPr>
                <w:rFonts w:ascii="Verdana" w:hAnsi="Verdana" w:eastAsia="Calibri" w:cs="Arial"/>
                <w:lang w:val="es-ES_tradnl"/>
              </w:rPr>
              <w:t>Contratación</w:t>
            </w:r>
            <w:r w:rsidR="0025667C">
              <w:rPr>
                <w:rFonts w:ascii="Verdana" w:hAnsi="Verdana" w:eastAsia="Calibri" w:cs="Arial"/>
                <w:lang w:val="es-ES_tradnl"/>
              </w:rPr>
              <w:t xml:space="preserve"> de la Administración</w:t>
            </w:r>
            <w:r w:rsidR="008C59D6">
              <w:rPr>
                <w:rFonts w:ascii="Verdana" w:hAnsi="Verdana" w:eastAsia="Calibri" w:cs="Arial"/>
                <w:lang w:val="es-ES_tradnl"/>
              </w:rPr>
              <w:t xml:space="preserve"> </w:t>
            </w:r>
            <w:r w:rsidR="00A13906">
              <w:rPr>
                <w:rFonts w:ascii="Verdana" w:hAnsi="Verdana" w:eastAsia="Calibri" w:cs="Arial"/>
                <w:lang w:val="es-ES_tradnl"/>
              </w:rPr>
              <w:t>Pública</w:t>
            </w:r>
            <w:r w:rsidR="00EA6E1A">
              <w:rPr>
                <w:rFonts w:ascii="Verdana" w:hAnsi="Verdana" w:eastAsia="Calibri" w:cs="Arial"/>
                <w:lang w:val="es-ES_tradnl"/>
              </w:rPr>
              <w:t xml:space="preserve">- </w:t>
            </w:r>
            <w:r w:rsidR="00CC0C91">
              <w:rPr>
                <w:rFonts w:ascii="Verdana" w:hAnsi="Verdana" w:eastAsia="Calibri" w:cs="Arial"/>
                <w:lang w:val="es-ES_tradnl"/>
              </w:rPr>
              <w:t>EGCAP</w:t>
            </w:r>
            <w:r w:rsidRPr="000F2189">
              <w:rPr>
                <w:rFonts w:ascii="Verdana" w:hAnsi="Verdana" w:eastAsia="Calibri" w:cs="Arial"/>
                <w:lang w:val="es-ES_tradnl"/>
              </w:rPr>
              <w:t>.</w:t>
            </w:r>
            <w:r w:rsidRPr="000A33B7">
              <w:rPr>
                <w:rFonts w:ascii="Verdana" w:hAnsi="Verdana" w:eastAsia="Calibri" w:cs="Arial"/>
                <w:lang w:val="es-ES_tradnl"/>
              </w:rPr>
              <w:t xml:space="preserve">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w:t>
            </w:r>
            <w:r>
              <w:rPr>
                <w:rFonts w:ascii="Verdana" w:hAnsi="Verdana" w:eastAsia="Calibri" w:cs="Arial"/>
                <w:lang w:val="es-ES_tradnl"/>
              </w:rPr>
              <w:t xml:space="preserve"> </w:t>
            </w:r>
            <w:r w:rsidRPr="000A33B7">
              <w:rPr>
                <w:rFonts w:ascii="Verdana" w:hAnsi="Verdana" w:eastAsia="Calibri" w:cs="Arial"/>
                <w:lang w:val="es-ES_tradnl"/>
              </w:rPr>
              <w:t xml:space="preserve">En esta medida, los </w:t>
            </w:r>
            <w:r w:rsidRPr="000A33B7">
              <w:rPr>
                <w:rFonts w:ascii="Verdana" w:hAnsi="Verdana" w:eastAsia="Calibri" w:cs="Arial"/>
                <w:i/>
                <w:iCs/>
                <w:lang w:val="es-ES_tradnl"/>
              </w:rPr>
              <w:t xml:space="preserve">contratos del artículo 355 de la Constitución </w:t>
            </w:r>
            <w:r w:rsidRPr="000A33B7">
              <w:rPr>
                <w:rFonts w:ascii="Verdana" w:hAnsi="Verdana" w:eastAsia="Calibri" w:cs="Arial"/>
                <w:lang w:val="es-ES_tradnl"/>
              </w:rPr>
              <w:t xml:space="preserve">y los </w:t>
            </w:r>
            <w:r w:rsidRPr="000A33B7">
              <w:rPr>
                <w:rFonts w:ascii="Verdana" w:hAnsi="Verdana" w:eastAsia="Calibri" w:cs="Arial"/>
                <w:i/>
                <w:iCs/>
                <w:lang w:val="es-ES_tradnl"/>
              </w:rPr>
              <w:t>convenios de asociación</w:t>
            </w:r>
            <w:r w:rsidRPr="000A33B7">
              <w:rPr>
                <w:rFonts w:ascii="Verdana" w:hAnsi="Verdana" w:eastAsia="Calibri" w:cs="Arial"/>
                <w:lang w:val="es-ES_tradnl"/>
              </w:rPr>
              <w:t xml:space="preserve"> se rigen por el decreto y las normas del </w:t>
            </w:r>
            <w:r w:rsidR="00F65295">
              <w:rPr>
                <w:rFonts w:ascii="Verdana" w:hAnsi="Verdana" w:eastAsia="Calibri" w:cs="Arial"/>
                <w:lang w:val="es-ES_tradnl"/>
              </w:rPr>
              <w:t>EGCAP</w:t>
            </w:r>
            <w:r w:rsidRPr="000A33B7">
              <w:rPr>
                <w:rFonts w:ascii="Verdana" w:hAnsi="Verdana" w:eastAsia="Calibri" w:cs="Arial"/>
                <w:lang w:val="es-ES_tradnl"/>
              </w:rPr>
              <w:t xml:space="preserve"> que sean compatibles con él</w:t>
            </w:r>
            <w:r>
              <w:rPr>
                <w:rFonts w:ascii="Verdana" w:hAnsi="Verdana" w:eastAsia="Calibri" w:cs="Arial"/>
                <w:lang w:val="es-ES_tradnl"/>
              </w:rPr>
              <w:t>.</w:t>
            </w:r>
          </w:p>
          <w:p w:rsidR="008C70E0" w:rsidP="00580A51" w:rsidRDefault="008C70E0" w14:paraId="27693A3B" w14:textId="3E1350E8">
            <w:pPr>
              <w:spacing w:before="120" w:after="120" w:line="276" w:lineRule="auto"/>
              <w:ind w:firstLine="709"/>
              <w:jc w:val="both"/>
              <w:rPr>
                <w:rFonts w:ascii="Verdana" w:hAnsi="Verdana" w:eastAsia="Times New Roman" w:cs="Arial"/>
                <w:color w:val="000000"/>
                <w:lang w:val="es-ES" w:eastAsia="es-ES_tradnl"/>
              </w:rPr>
            </w:pPr>
            <w:r>
              <w:rPr>
                <w:rFonts w:ascii="Verdana" w:hAnsi="Verdana" w:eastAsia="Calibri" w:cs="Arial"/>
                <w:lang w:val="es-ES_tradnl"/>
              </w:rPr>
              <w:t xml:space="preserve">Como la Ley 1150 de 2007 complementa el EGCAP, también es posible declarar el incumplimiento para hacer efectivas las multas o la cláusula penal pactadas a través del procedimiento del artículo 86 de la Ley 1474 de 2011. </w:t>
            </w:r>
            <w:r w:rsidRPr="00FB4099">
              <w:rPr>
                <w:rFonts w:ascii="Verdana" w:hAnsi="Verdana" w:eastAsia="Calibri" w:cs="Arial"/>
                <w:lang w:val="es-ES_tradnl"/>
              </w:rPr>
              <w:t xml:space="preserve">Esta prerrogativa supone </w:t>
            </w:r>
            <w:r w:rsidRPr="00FB4099">
              <w:rPr>
                <w:rFonts w:ascii="Verdana" w:hAnsi="Verdana" w:eastAsia="Times New Roman" w:cs="Arial"/>
                <w:color w:val="000000"/>
                <w:lang w:val="es-ES" w:eastAsia="es-ES_tradnl"/>
              </w:rPr>
              <w:t>una particular combinación entre el principio de legalidad y la autonomía de la voluntad, de tal suerte que</w:t>
            </w:r>
            <w:r w:rsidRPr="00FB4099" w:rsidR="009667E0">
              <w:rPr>
                <w:rFonts w:ascii="Verdana" w:hAnsi="Verdana" w:eastAsia="Times New Roman" w:cs="Arial"/>
                <w:color w:val="000000"/>
                <w:lang w:val="es-ES" w:eastAsia="es-ES_tradnl"/>
              </w:rPr>
              <w:t>,</w:t>
            </w:r>
            <w:r w:rsidRPr="00FB4099">
              <w:rPr>
                <w:rFonts w:ascii="Verdana" w:hAnsi="Verdana" w:eastAsia="Times New Roman" w:cs="Arial"/>
                <w:color w:val="000000"/>
                <w:lang w:val="es-ES" w:eastAsia="es-ES_tradnl"/>
              </w:rPr>
              <w:t xml:space="preserve"> si bien el legislador autorizó a las entidades para declarar el incumplimiento con la intención de multar al contratista para conminarlo al cumplimiento o para hacer efectiva la </w:t>
            </w:r>
            <w:r w:rsidRPr="00FB4099">
              <w:rPr>
                <w:rFonts w:ascii="Verdana" w:hAnsi="Verdana" w:eastAsia="Times New Roman" w:cs="Arial"/>
                <w:color w:val="000000"/>
                <w:lang w:val="es-ES" w:eastAsia="es-ES_tradnl"/>
              </w:rPr>
              <w:lastRenderedPageBreak/>
              <w:t xml:space="preserve">cláusula penal, es indispensable que uno u otro caso se hayan pactado en el contrato. </w:t>
            </w:r>
          </w:p>
          <w:p w:rsidRPr="00FB4099" w:rsidR="008C70E0" w:rsidP="00580A51" w:rsidRDefault="008C70E0" w14:paraId="0AEB9F76" w14:textId="77777777">
            <w:pPr>
              <w:spacing w:before="120" w:after="120" w:line="276" w:lineRule="auto"/>
              <w:ind w:firstLine="709"/>
              <w:jc w:val="both"/>
              <w:rPr>
                <w:rFonts w:ascii="Verdana" w:hAnsi="Verdana" w:eastAsia="Times New Roman" w:cs="Arial"/>
                <w:color w:val="000000"/>
                <w:lang w:val="es-ES" w:eastAsia="es-ES_tradnl"/>
              </w:rPr>
            </w:pPr>
            <w:r>
              <w:rPr>
                <w:rFonts w:ascii="Verdana" w:hAnsi="Verdana" w:eastAsia="Times New Roman" w:cs="Arial"/>
                <w:color w:val="000000"/>
                <w:lang w:val="es-ES" w:eastAsia="es-ES_tradnl"/>
              </w:rPr>
              <w:t>Cumplido dicho requisito</w:t>
            </w:r>
            <w:r w:rsidRPr="00FB4099">
              <w:rPr>
                <w:rFonts w:ascii="Verdana" w:hAnsi="Verdana" w:eastAsia="Times New Roman" w:cs="Arial"/>
                <w:color w:val="000000"/>
                <w:lang w:val="es-ES" w:eastAsia="es-ES_tradnl"/>
              </w:rPr>
              <w:t>, las entidades estatales</w:t>
            </w:r>
            <w:r>
              <w:rPr>
                <w:rFonts w:ascii="Verdana" w:hAnsi="Verdana" w:eastAsia="Times New Roman" w:cs="Arial"/>
                <w:color w:val="000000"/>
                <w:lang w:val="es-ES" w:eastAsia="es-ES_tradnl"/>
              </w:rPr>
              <w:t xml:space="preserve"> que celebren </w:t>
            </w:r>
            <w:r w:rsidRPr="000A33B7">
              <w:rPr>
                <w:rFonts w:ascii="Verdana" w:hAnsi="Verdana" w:eastAsia="Calibri" w:cs="Arial"/>
                <w:i/>
                <w:iCs/>
                <w:lang w:val="es-ES_tradnl"/>
              </w:rPr>
              <w:t xml:space="preserve">contratos del artículo 355 de la Constitución </w:t>
            </w:r>
            <w:r w:rsidRPr="000A33B7">
              <w:rPr>
                <w:rFonts w:ascii="Verdana" w:hAnsi="Verdana" w:eastAsia="Calibri" w:cs="Arial"/>
                <w:lang w:val="es-ES_tradnl"/>
              </w:rPr>
              <w:t xml:space="preserve">o </w:t>
            </w:r>
            <w:r w:rsidRPr="000A33B7">
              <w:rPr>
                <w:rFonts w:ascii="Verdana" w:hAnsi="Verdana" w:eastAsia="Calibri" w:cs="Arial"/>
                <w:i/>
                <w:iCs/>
                <w:lang w:val="es-ES_tradnl"/>
              </w:rPr>
              <w:t>convenios de asociación</w:t>
            </w:r>
            <w:r w:rsidRPr="00FB4099">
              <w:rPr>
                <w:rFonts w:ascii="Verdana" w:hAnsi="Verdana" w:eastAsia="Times New Roman" w:cs="Arial"/>
                <w:color w:val="000000"/>
                <w:lang w:val="es-ES" w:eastAsia="es-ES_tradnl"/>
              </w:rPr>
              <w:t>,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rsidR="009667E0" w:rsidP="000F59F2" w:rsidRDefault="008C70E0" w14:paraId="40105360" w14:textId="479CC32D">
            <w:pPr>
              <w:spacing w:line="276" w:lineRule="auto"/>
              <w:ind w:firstLine="709"/>
              <w:jc w:val="both"/>
              <w:rPr>
                <w:rFonts w:ascii="Verdana" w:hAnsi="Verdana" w:cs="Arial"/>
                <w:color w:val="000000" w:themeColor="text1"/>
              </w:rPr>
            </w:pPr>
            <w:r w:rsidRPr="00C35305">
              <w:rPr>
                <w:rFonts w:ascii="Verdana" w:hAnsi="Verdana" w:cs="Arial"/>
                <w:color w:val="000000" w:themeColor="text1"/>
              </w:rPr>
              <w:t>Al margen de la explicación precedente</w:t>
            </w:r>
            <w:r w:rsidR="000F59F2">
              <w:rPr>
                <w:rFonts w:ascii="Verdana" w:hAnsi="Verdana" w:cs="Arial"/>
                <w:color w:val="000000" w:themeColor="text1"/>
              </w:rPr>
              <w:t xml:space="preserve"> </w:t>
            </w:r>
            <w:r w:rsidRPr="00C35305">
              <w:rPr>
                <w:rFonts w:ascii="Verdana" w:hAnsi="Verdana" w:cs="Arial"/>
                <w:color w:val="000000" w:themeColor="text1"/>
              </w:rPr>
              <w:t>debe advertirse que 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calificar conductas con presunta incidencia disciplinaria </w:t>
            </w:r>
            <w:r w:rsidRPr="00C35305">
              <w:rPr>
                <w:rFonts w:ascii="Verdana" w:hAnsi="Verdana" w:cs="Arial"/>
                <w:color w:val="000000" w:themeColor="text1"/>
              </w:rPr>
              <w:t>debe ser 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 del presente oficio</w:t>
            </w:r>
            <w:r>
              <w:rPr>
                <w:rFonts w:ascii="Verdana" w:hAnsi="Verdana" w:cs="Arial"/>
                <w:color w:val="000000" w:themeColor="text1"/>
              </w:rPr>
              <w:t xml:space="preserve">. Por tanto, </w:t>
            </w:r>
            <w:r w:rsidRPr="00C35305">
              <w:rPr>
                <w:rFonts w:ascii="Verdana" w:hAnsi="Verdana" w:cs="Arial"/>
                <w:color w:val="000000" w:themeColor="text1"/>
              </w:rPr>
              <w:t>cada entidad definirá la forma de adelantar su gestión contractual, sin que sea atribución de Colombia Compra Eficiente validar sus actuaciones</w:t>
            </w:r>
            <w:r>
              <w:rPr>
                <w:rFonts w:ascii="Verdana" w:hAnsi="Verdana" w:cs="Arial"/>
                <w:color w:val="000000" w:themeColor="text1"/>
              </w:rPr>
              <w:t xml:space="preserve"> frente a las autoridades que cumplen funciones de control y vigilancia</w:t>
            </w:r>
            <w:r w:rsidRPr="00C35305">
              <w:rPr>
                <w:rFonts w:ascii="Verdana" w:hAnsi="Verdana" w:cs="Arial"/>
                <w:color w:val="000000" w:themeColor="text1"/>
              </w:rPr>
              <w:t>.</w:t>
            </w:r>
          </w:p>
          <w:p w:rsidRPr="000F59F2" w:rsidR="008C70E0" w:rsidP="00580A51" w:rsidRDefault="008C70E0" w14:paraId="0C5123EC" w14:textId="7C934848">
            <w:pPr>
              <w:spacing w:line="276" w:lineRule="auto"/>
              <w:ind w:firstLine="709"/>
              <w:jc w:val="both"/>
              <w:rPr>
                <w:rFonts w:ascii="Verdana" w:hAnsi="Verdana" w:cs="Arial"/>
                <w:color w:val="000000" w:themeColor="text1"/>
              </w:rPr>
            </w:pPr>
          </w:p>
        </w:tc>
      </w:tr>
    </w:tbl>
    <w:p w:rsidRPr="00593A5F" w:rsidR="008C70E0" w:rsidP="008C70E0" w:rsidRDefault="008C70E0" w14:paraId="4F8AFB0B" w14:textId="77777777">
      <w:pPr>
        <w:tabs>
          <w:tab w:val="left" w:pos="142"/>
          <w:tab w:val="left" w:pos="284"/>
        </w:tabs>
        <w:spacing w:after="0" w:line="276" w:lineRule="auto"/>
        <w:jc w:val="both"/>
        <w:rPr>
          <w:rFonts w:ascii="Verdana" w:hAnsi="Verdana" w:eastAsia="Century Gothic" w:cs="Century Gothic"/>
          <w:b/>
          <w:bCs/>
          <w:lang w:val="es-ES"/>
        </w:rPr>
      </w:pPr>
    </w:p>
    <w:bookmarkEnd w:id="3"/>
    <w:p w:rsidRPr="00593A5F" w:rsidR="008C70E0" w:rsidP="008C70E0" w:rsidRDefault="008C70E0" w14:paraId="21CDC278"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8C70E0" w:rsidP="008C70E0" w:rsidRDefault="008C70E0" w14:paraId="6DAA3787" w14:textId="77777777">
      <w:pPr>
        <w:spacing w:after="0" w:line="276" w:lineRule="auto"/>
        <w:jc w:val="both"/>
        <w:rPr>
          <w:rFonts w:ascii="Verdana" w:hAnsi="Verdana" w:eastAsia="Calibri" w:cs="Arial"/>
          <w:color w:val="7030A0"/>
          <w:lang w:val="es-ES"/>
        </w:rPr>
      </w:pPr>
    </w:p>
    <w:p w:rsidR="008C70E0" w:rsidP="008C70E0" w:rsidRDefault="008C70E0" w14:paraId="36213040" w14:textId="77777777">
      <w:pPr>
        <w:spacing w:after="0" w:line="276" w:lineRule="auto"/>
        <w:jc w:val="both"/>
        <w:rPr>
          <w:rFonts w:ascii="Verdana" w:hAnsi="Verdana" w:eastAsia="Calibri" w:cs="Arial"/>
          <w:lang w:val="es-ES"/>
        </w:rPr>
      </w:pPr>
      <w:r w:rsidRPr="00B96799">
        <w:rPr>
          <w:rFonts w:ascii="Verdana" w:hAnsi="Verdana" w:eastAsia="Calibri" w:cs="Arial"/>
          <w:lang w:val="es-ES"/>
        </w:rPr>
        <w:t>Lo anterior se sustenta en las siguientes consideraciones:</w:t>
      </w:r>
    </w:p>
    <w:p w:rsidR="008C70E0" w:rsidP="008C70E0" w:rsidRDefault="008C70E0" w14:paraId="3244EAFB" w14:textId="77777777">
      <w:pPr>
        <w:spacing w:after="0" w:line="276" w:lineRule="auto"/>
        <w:jc w:val="both"/>
        <w:rPr>
          <w:rFonts w:ascii="Verdana" w:hAnsi="Verdana" w:eastAsia="Calibri" w:cs="Arial"/>
          <w:lang w:val="es-ES"/>
        </w:rPr>
      </w:pPr>
    </w:p>
    <w:p w:rsidRPr="0063743B" w:rsidR="008C70E0" w:rsidP="008C70E0" w:rsidRDefault="008C70E0" w14:paraId="18F76FF6" w14:textId="77777777">
      <w:pPr>
        <w:spacing w:line="276" w:lineRule="auto"/>
        <w:jc w:val="both"/>
        <w:rPr>
          <w:rFonts w:ascii="Verdana" w:hAnsi="Verdana" w:eastAsia="Calibri" w:cs="Arial"/>
          <w:bCs/>
          <w:lang w:val="es-ES_tradnl"/>
        </w:rPr>
      </w:pPr>
      <w:r w:rsidRPr="0063743B">
        <w:rPr>
          <w:rFonts w:ascii="Verdana" w:hAnsi="Verdana" w:eastAsia="Calibri" w:cs="Arial"/>
          <w:lang w:val="es-ES"/>
        </w:rPr>
        <w:t xml:space="preserve">i. </w:t>
      </w:r>
      <w:r w:rsidRPr="0063743B">
        <w:rPr>
          <w:rFonts w:ascii="Verdana" w:hAnsi="Verdana" w:eastAsia="Calibri"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3743B">
        <w:rPr>
          <w:rStyle w:val="Refdenotaalpie"/>
          <w:rFonts w:ascii="Verdana" w:hAnsi="Verdana" w:cs="Arial"/>
        </w:rPr>
        <w:footnoteReference w:id="3"/>
      </w:r>
      <w:r w:rsidRPr="0063743B">
        <w:rPr>
          <w:rFonts w:ascii="Verdana" w:hAnsi="Verdana" w:eastAsia="Calibri" w:cs="Arial"/>
          <w:bCs/>
          <w:lang w:val="es-ES_tradnl"/>
        </w:rPr>
        <w:t xml:space="preserve">.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w:t>
      </w:r>
      <w:r w:rsidRPr="0063743B">
        <w:rPr>
          <w:rFonts w:ascii="Verdana" w:hAnsi="Verdana" w:eastAsia="Calibri" w:cs="Arial"/>
          <w:bCs/>
          <w:lang w:val="es-ES_tradnl"/>
        </w:rPr>
        <w:lastRenderedPageBreak/>
        <w:t>desarrollar conjuntamente actividades relacionadas con los cometidos y funciones legales asignadas a la entidad</w:t>
      </w:r>
      <w:r w:rsidRPr="0063743B">
        <w:rPr>
          <w:rStyle w:val="Refdenotaalpie"/>
          <w:rFonts w:ascii="Verdana" w:hAnsi="Verdana" w:eastAsia="Calibri" w:cs="Arial"/>
          <w:bCs/>
          <w:lang w:val="es-ES_tradnl"/>
        </w:rPr>
        <w:footnoteReference w:id="4"/>
      </w:r>
      <w:r w:rsidRPr="0063743B">
        <w:rPr>
          <w:rFonts w:ascii="Verdana" w:hAnsi="Verdana" w:eastAsia="Calibri" w:cs="Arial"/>
          <w:bCs/>
          <w:lang w:val="es-ES_tradnl"/>
        </w:rPr>
        <w:t>.</w:t>
      </w:r>
    </w:p>
    <w:p w:rsidRPr="0063743B" w:rsidR="008C70E0" w:rsidP="008C70E0" w:rsidRDefault="008C70E0" w14:paraId="678EDC7F" w14:textId="77777777">
      <w:pPr>
        <w:spacing w:before="120" w:after="120" w:line="276" w:lineRule="auto"/>
        <w:ind w:firstLine="709"/>
        <w:jc w:val="both"/>
        <w:rPr>
          <w:rFonts w:ascii="Verdana" w:hAnsi="Verdana" w:eastAsia="Calibri" w:cs="Arial"/>
          <w:lang w:val="es-ES"/>
        </w:rPr>
      </w:pPr>
      <w:bookmarkStart w:name="_Hlk38819155" w:id="5"/>
      <w:r w:rsidRPr="0063743B">
        <w:rPr>
          <w:rFonts w:ascii="Verdana" w:hAnsi="Verdana" w:eastAsia="Calibri" w:cs="Arial"/>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63743B">
        <w:rPr>
          <w:rFonts w:ascii="Verdana" w:hAnsi="Verdana" w:eastAsia="Calibri" w:cs="Arial"/>
          <w:lang w:val="es-ES"/>
        </w:rPr>
        <w:t>ii</w:t>
      </w:r>
      <w:proofErr w:type="spellEnd"/>
      <w:r w:rsidRPr="0063743B">
        <w:rPr>
          <w:rFonts w:ascii="Verdana" w:hAnsi="Verdana" w:eastAsia="Calibri" w:cs="Arial"/>
          <w:lang w:val="es-ES"/>
        </w:rPr>
        <w:t xml:space="preserve">) los convenios de asociación, para el desarrollo conjunto de actividades relacionadas con las funciones de las entidades estatales, en desarrollo del artículo 96 de la Ley 489 de 1998. </w:t>
      </w:r>
      <w:bookmarkEnd w:id="5"/>
    </w:p>
    <w:p w:rsidRPr="0063743B" w:rsidR="008C70E0" w:rsidP="008C70E0" w:rsidRDefault="008C70E0" w14:paraId="6EADF3D0" w14:textId="77777777">
      <w:pPr>
        <w:spacing w:before="120" w:after="120" w:line="276" w:lineRule="auto"/>
        <w:ind w:firstLine="709"/>
        <w:jc w:val="both"/>
        <w:rPr>
          <w:rFonts w:ascii="Verdana" w:hAnsi="Verdana" w:eastAsia="Calibri" w:cs="Arial"/>
          <w:lang w:val="es-ES"/>
        </w:rPr>
      </w:pPr>
      <w:bookmarkStart w:name="_Hlk95756032" w:id="6"/>
      <w:r w:rsidRPr="0063743B">
        <w:rPr>
          <w:rFonts w:ascii="Verdana" w:hAnsi="Verdana" w:eastAsia="Calibri" w:cs="Arial"/>
          <w:lang w:val="es-ES"/>
        </w:rPr>
        <w:t xml:space="preserve">Los </w:t>
      </w:r>
      <w:r w:rsidRPr="0063743B">
        <w:rPr>
          <w:rFonts w:ascii="Verdana" w:hAnsi="Verdana" w:eastAsia="Calibri" w:cs="Arial"/>
          <w:i/>
          <w:iCs/>
          <w:lang w:val="es-ES"/>
        </w:rPr>
        <w:t>contratos del artículo 355 de la Constitución Política</w:t>
      </w:r>
      <w:r w:rsidRPr="0063743B">
        <w:rPr>
          <w:rFonts w:ascii="Verdana" w:hAnsi="Verdana"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63743B">
        <w:rPr>
          <w:rFonts w:ascii="Verdana" w:hAnsi="Verdana" w:eastAsia="Calibri" w:cs="Arial"/>
          <w:lang w:val="es-ES"/>
        </w:rPr>
        <w:t>ii</w:t>
      </w:r>
      <w:proofErr w:type="spellEnd"/>
      <w:r w:rsidRPr="0063743B">
        <w:rPr>
          <w:rFonts w:ascii="Verdana" w:hAnsi="Verdana" w:eastAsia="Calibri" w:cs="Arial"/>
          <w:lang w:val="es-ES"/>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6"/>
    <w:p w:rsidRPr="0063743B" w:rsidR="008C70E0" w:rsidP="008C70E0" w:rsidRDefault="008C70E0" w14:paraId="226F602F" w14:textId="77777777">
      <w:pPr>
        <w:spacing w:before="120" w:after="120" w:line="276" w:lineRule="auto"/>
        <w:ind w:firstLine="709"/>
        <w:jc w:val="both"/>
        <w:rPr>
          <w:rFonts w:ascii="Verdana" w:hAnsi="Verdana" w:eastAsia="Calibri" w:cs="Arial"/>
          <w:bCs/>
          <w:lang w:val="es-ES_tradnl"/>
        </w:rPr>
      </w:pPr>
      <w:r w:rsidRPr="0063743B">
        <w:rPr>
          <w:rFonts w:ascii="Verdana" w:hAnsi="Verdana" w:eastAsia="Calibri" w:cs="Arial"/>
          <w:bCs/>
          <w:lang w:val="es-ES_tradnl"/>
        </w:rPr>
        <w:t xml:space="preserve">De otro lado, los </w:t>
      </w:r>
      <w:r w:rsidRPr="0063743B">
        <w:rPr>
          <w:rFonts w:ascii="Verdana" w:hAnsi="Verdana" w:eastAsia="Calibri" w:cs="Arial"/>
          <w:bCs/>
          <w:i/>
          <w:lang w:val="es-ES_tradnl"/>
        </w:rPr>
        <w:t>convenios de asociación</w:t>
      </w:r>
      <w:r w:rsidRPr="0063743B">
        <w:rPr>
          <w:rFonts w:ascii="Verdana" w:hAnsi="Verdana" w:eastAsia="Calibri" w:cs="Arial"/>
          <w:bCs/>
          <w:lang w:val="es-ES_tradnl"/>
        </w:rPr>
        <w:t xml:space="preserve"> “[t]</w:t>
      </w:r>
      <w:proofErr w:type="spellStart"/>
      <w:r w:rsidRPr="0063743B">
        <w:rPr>
          <w:rFonts w:ascii="Verdana" w:hAnsi="Verdana" w:eastAsia="Calibri" w:cs="Arial"/>
          <w:bCs/>
          <w:lang w:val="es-ES_tradnl"/>
        </w:rPr>
        <w:t>ienen</w:t>
      </w:r>
      <w:proofErr w:type="spellEnd"/>
      <w:r w:rsidRPr="0063743B">
        <w:rPr>
          <w:rFonts w:ascii="Verdana" w:hAnsi="Verdana" w:eastAsia="Calibri" w:cs="Arial"/>
          <w:bCs/>
          <w:lang w:val="es-ES_tradnl"/>
        </w:rPr>
        <w:t xml:space="preserve"> como finalidad que la entidad estatal, cualquiera que sea su naturaleza y orden administrativo, se </w:t>
      </w:r>
      <w:r w:rsidRPr="0063743B">
        <w:rPr>
          <w:rFonts w:ascii="Verdana" w:hAnsi="Verdana" w:eastAsia="Calibri" w:cs="Arial"/>
          <w:bCs/>
          <w:lang w:val="es-ES_tradnl"/>
        </w:rPr>
        <w:lastRenderedPageBreak/>
        <w:t>asocien con personas jurídicas particulares para el desarrollo conjunto de actividades relacionadas con los cometidos y funciones asignadas a aquellas conforme a la Constitución y a la Ley”</w:t>
      </w:r>
      <w:r w:rsidRPr="0063743B">
        <w:rPr>
          <w:rStyle w:val="Refdenotaalpie"/>
          <w:rFonts w:ascii="Verdana" w:hAnsi="Verdana" w:cs="Arial"/>
        </w:rPr>
        <w:footnoteReference w:id="5"/>
      </w:r>
      <w:r w:rsidRPr="0063743B">
        <w:rPr>
          <w:rFonts w:ascii="Verdana" w:hAnsi="Verdana" w:eastAsia="Calibri" w:cs="Arial"/>
          <w:bCs/>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63743B">
        <w:rPr>
          <w:rFonts w:ascii="Verdana" w:hAnsi="Verdana" w:eastAsia="Calibri" w:cs="Arial"/>
          <w:bCs/>
          <w:lang w:val="es-ES_tradnl"/>
        </w:rPr>
        <w:t>y</w:t>
      </w:r>
      <w:proofErr w:type="gramEnd"/>
      <w:r w:rsidRPr="0063743B">
        <w:rPr>
          <w:rFonts w:ascii="Verdana" w:hAnsi="Verdana" w:eastAsia="Calibri" w:cs="Arial"/>
          <w:bCs/>
          <w:lang w:val="es-ES_tradnl"/>
        </w:rPr>
        <w:t xml:space="preserve"> por tanto, la entidad no instruye al contratista para desarrollar los programas o actividades previstas, sino que se asocia con él para el cumplimiento de objetivos comunes</w:t>
      </w:r>
      <w:r w:rsidRPr="0063743B">
        <w:rPr>
          <w:rStyle w:val="Refdenotaalpie"/>
          <w:rFonts w:ascii="Verdana" w:hAnsi="Verdana" w:cs="Arial"/>
        </w:rPr>
        <w:footnoteReference w:id="6"/>
      </w:r>
      <w:r w:rsidRPr="0063743B">
        <w:rPr>
          <w:rFonts w:ascii="Verdana" w:hAnsi="Verdana" w:eastAsia="Calibri" w:cs="Arial"/>
          <w:bCs/>
          <w:lang w:val="es-ES_tradnl"/>
        </w:rPr>
        <w:t>.</w:t>
      </w:r>
    </w:p>
    <w:p w:rsidRPr="0063743B" w:rsidR="008C70E0" w:rsidP="008C70E0" w:rsidRDefault="008C70E0" w14:paraId="25C9BB06" w14:textId="77777777">
      <w:pPr>
        <w:spacing w:before="120" w:after="120" w:line="276" w:lineRule="auto"/>
        <w:ind w:firstLine="709"/>
        <w:jc w:val="both"/>
        <w:rPr>
          <w:rFonts w:ascii="Verdana" w:hAnsi="Verdana" w:eastAsia="Calibri" w:cs="Arial"/>
          <w:bCs/>
        </w:rPr>
      </w:pPr>
      <w:r w:rsidRPr="0063743B">
        <w:rPr>
          <w:rFonts w:ascii="Verdana" w:hAnsi="Verdana" w:eastAsia="Calibri"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63743B">
        <w:rPr>
          <w:rFonts w:ascii="Verdana" w:hAnsi="Verdana" w:eastAsia="Calibri" w:cs="Arial"/>
          <w:bCs/>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de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Pr="0063743B" w:rsidR="008C70E0" w:rsidP="008C70E0" w:rsidRDefault="008C70E0" w14:paraId="4718A7C0" w14:textId="77777777">
      <w:pPr>
        <w:spacing w:before="120" w:after="120" w:line="276" w:lineRule="auto"/>
        <w:ind w:firstLine="709"/>
        <w:jc w:val="both"/>
        <w:rPr>
          <w:rFonts w:ascii="Verdana" w:hAnsi="Verdana"/>
        </w:rPr>
      </w:pPr>
      <w:r w:rsidRPr="0063743B">
        <w:rPr>
          <w:rFonts w:ascii="Verdana" w:hAnsi="Verdana" w:cs="Arial"/>
          <w:color w:val="000000" w:themeColor="text1"/>
        </w:rPr>
        <w:t xml:space="preserve">La noción “seleccionar de forma objetiva”, contenida en la disposición </w:t>
      </w:r>
      <w:r w:rsidRPr="0063743B">
        <w:rPr>
          <w:rFonts w:ascii="Verdana" w:hAnsi="Verdana" w:cs="Arial"/>
          <w:i/>
          <w:iCs/>
          <w:color w:val="000000" w:themeColor="text1"/>
        </w:rPr>
        <w:t xml:space="preserve">sub examine </w:t>
      </w:r>
      <w:r w:rsidRPr="0063743B">
        <w:rPr>
          <w:rFonts w:ascii="Verdana" w:hAnsi="Verdana" w:cs="Arial"/>
          <w:color w:val="000000" w:themeColor="text1"/>
        </w:rPr>
        <w:t xml:space="preserve">no puede ser entendida como una remisión total a las Leyes 80 de 1993 y 1150 de 2007. A lo que se refiere la norma es a que la entidad estatal debe diseñar herramientas que permitan una comparación objetiva de las entidades </w:t>
      </w:r>
      <w:r w:rsidRPr="0063743B">
        <w:rPr>
          <w:rFonts w:ascii="Verdana" w:hAnsi="Verdana" w:cs="Arial"/>
          <w:color w:val="000000" w:themeColor="text1"/>
        </w:rPr>
        <w:lastRenderedPageBreak/>
        <w:t>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rsidRPr="0063743B" w:rsidR="008C70E0" w:rsidP="008C70E0" w:rsidRDefault="008C70E0" w14:paraId="17E85109" w14:textId="77777777">
      <w:pPr>
        <w:pStyle w:val="Sinespaciado"/>
        <w:spacing w:line="276" w:lineRule="auto"/>
        <w:ind w:firstLine="708"/>
        <w:jc w:val="both"/>
        <w:rPr>
          <w:rFonts w:ascii="Verdana" w:hAnsi="Verdana" w:cs="Arial"/>
          <w:color w:val="000000" w:themeColor="text1"/>
          <w:sz w:val="22"/>
        </w:rPr>
      </w:pPr>
      <w:r w:rsidRPr="0063743B">
        <w:rPr>
          <w:rFonts w:ascii="Verdana" w:hAnsi="Verdana" w:cs="Arial"/>
          <w:color w:val="000000" w:themeColor="text1"/>
          <w:sz w:val="22"/>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63743B">
        <w:rPr>
          <w:rStyle w:val="Refdenotaalpie"/>
          <w:rFonts w:ascii="Verdana" w:hAnsi="Verdana" w:cs="Arial"/>
          <w:color w:val="000000" w:themeColor="text1"/>
          <w:sz w:val="22"/>
        </w:rPr>
        <w:footnoteReference w:id="7"/>
      </w:r>
      <w:r w:rsidRPr="0063743B">
        <w:rPr>
          <w:rFonts w:ascii="Verdana" w:hAnsi="Verdana" w:cs="Arial"/>
          <w:color w:val="000000" w:themeColor="text1"/>
          <w:sz w:val="22"/>
        </w:rPr>
        <w:t>. Así lo consideró la Sala de Consulta y Servicio Civil del Consejo de Estado:</w:t>
      </w:r>
    </w:p>
    <w:p w:rsidRPr="0063743B" w:rsidR="008C70E0" w:rsidP="008C70E0" w:rsidRDefault="008C70E0" w14:paraId="46798968" w14:textId="77777777">
      <w:pPr>
        <w:pStyle w:val="Sinespaciado"/>
        <w:spacing w:line="276" w:lineRule="auto"/>
        <w:jc w:val="both"/>
        <w:rPr>
          <w:rFonts w:ascii="Verdana" w:hAnsi="Verdana" w:cs="Arial"/>
          <w:color w:val="000000" w:themeColor="text1"/>
          <w:sz w:val="22"/>
        </w:rPr>
      </w:pPr>
    </w:p>
    <w:p w:rsidRPr="0063743B" w:rsidR="008C70E0" w:rsidP="008C70E0" w:rsidRDefault="008C70E0" w14:paraId="3F992B08" w14:textId="77777777">
      <w:pPr>
        <w:spacing w:line="240" w:lineRule="auto"/>
        <w:ind w:left="709" w:right="709"/>
        <w:jc w:val="both"/>
        <w:rPr>
          <w:rFonts w:ascii="Verdana" w:hAnsi="Verdana" w:eastAsia="Calibri" w:cs="Arial"/>
          <w:color w:val="000000" w:themeColor="text1"/>
          <w:sz w:val="21"/>
          <w:szCs w:val="21"/>
        </w:rPr>
      </w:pPr>
      <w:r w:rsidRPr="0063743B">
        <w:rPr>
          <w:rFonts w:ascii="Verdana" w:hAnsi="Verdana" w:eastAsia="Calibri"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63743B" w:rsidR="008C70E0" w:rsidP="008C70E0" w:rsidRDefault="008C70E0" w14:paraId="721499FC" w14:textId="77777777">
      <w:pPr>
        <w:spacing w:after="0" w:line="240" w:lineRule="auto"/>
        <w:ind w:left="708" w:right="709"/>
        <w:jc w:val="both"/>
        <w:rPr>
          <w:rFonts w:ascii="Verdana" w:hAnsi="Verdana" w:eastAsia="Calibri" w:cs="Arial"/>
          <w:color w:val="000000" w:themeColor="text1"/>
          <w:sz w:val="21"/>
          <w:szCs w:val="21"/>
        </w:rPr>
      </w:pPr>
      <w:r w:rsidRPr="0063743B">
        <w:rPr>
          <w:rFonts w:ascii="Verdana" w:hAnsi="Verdana" w:eastAsia="Calibri"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r w:rsidRPr="0063743B">
        <w:rPr>
          <w:rStyle w:val="Refdenotaalpie"/>
          <w:rFonts w:ascii="Verdana" w:hAnsi="Verdana" w:cs="Arial"/>
          <w:color w:val="000000" w:themeColor="text1"/>
        </w:rPr>
        <w:t xml:space="preserve"> </w:t>
      </w:r>
      <w:r w:rsidRPr="0063743B">
        <w:rPr>
          <w:rStyle w:val="Refdenotaalpie"/>
          <w:rFonts w:ascii="Verdana" w:hAnsi="Verdana" w:cs="Arial"/>
          <w:color w:val="000000" w:themeColor="text1"/>
        </w:rPr>
        <w:footnoteReference w:id="8"/>
      </w:r>
      <w:r w:rsidRPr="0063743B">
        <w:rPr>
          <w:rFonts w:ascii="Verdana" w:hAnsi="Verdana" w:eastAsia="Calibri" w:cs="Arial"/>
          <w:color w:val="000000" w:themeColor="text1"/>
          <w:sz w:val="21"/>
          <w:szCs w:val="21"/>
        </w:rPr>
        <w:t>.</w:t>
      </w:r>
    </w:p>
    <w:p w:rsidRPr="0063743B" w:rsidR="008C70E0" w:rsidP="008C70E0" w:rsidRDefault="008C70E0" w14:paraId="1B644EB6" w14:textId="77777777">
      <w:pPr>
        <w:spacing w:after="0" w:line="276" w:lineRule="auto"/>
        <w:ind w:firstLine="708"/>
        <w:jc w:val="both"/>
        <w:rPr>
          <w:rFonts w:ascii="Verdana" w:hAnsi="Verdana" w:eastAsia="Calibri" w:cs="Arial"/>
          <w:color w:val="000000" w:themeColor="text1"/>
        </w:rPr>
      </w:pPr>
      <w:bookmarkStart w:name="_Hlk95756200" w:id="7"/>
    </w:p>
    <w:p w:rsidRPr="0063743B" w:rsidR="008C70E0" w:rsidP="008C70E0" w:rsidRDefault="008C70E0" w14:paraId="722C60D3" w14:textId="77777777">
      <w:pPr>
        <w:spacing w:after="0" w:line="276" w:lineRule="auto"/>
        <w:ind w:firstLine="708"/>
        <w:jc w:val="both"/>
        <w:rPr>
          <w:rFonts w:ascii="Verdana" w:hAnsi="Verdana" w:eastAsia="Calibri" w:cs="Arial"/>
          <w:color w:val="000000" w:themeColor="text1"/>
        </w:rPr>
      </w:pPr>
      <w:r w:rsidRPr="0063743B">
        <w:rPr>
          <w:rFonts w:ascii="Verdana" w:hAnsi="Verdana" w:eastAsia="Calibri"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w:t>
      </w:r>
      <w:r w:rsidRPr="0063743B">
        <w:rPr>
          <w:rFonts w:ascii="Verdana" w:hAnsi="Verdana" w:eastAsia="Calibri" w:cs="Arial"/>
          <w:color w:val="000000" w:themeColor="text1"/>
        </w:rPr>
        <w:lastRenderedPageBreak/>
        <w:t xml:space="preserve">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7"/>
      <w:r w:rsidRPr="0063743B">
        <w:rPr>
          <w:rFonts w:ascii="Verdana" w:hAnsi="Verdana" w:eastAsia="Calibri" w:cs="Arial"/>
          <w:color w:val="000000" w:themeColor="text1"/>
        </w:rPr>
        <w:t>Así lo reconoció la Corte Constitucional en la sentencia C-287 del 18 de abril de 2012, en la que sostuvo lo siguiente:</w:t>
      </w:r>
    </w:p>
    <w:p w:rsidRPr="0063743B" w:rsidR="008C70E0" w:rsidP="008C70E0" w:rsidRDefault="008C70E0" w14:paraId="2B8B6E26" w14:textId="77777777">
      <w:pPr>
        <w:spacing w:after="0" w:line="276" w:lineRule="auto"/>
        <w:ind w:firstLine="708"/>
        <w:jc w:val="both"/>
        <w:rPr>
          <w:rFonts w:ascii="Verdana" w:hAnsi="Verdana" w:eastAsia="Calibri" w:cs="Arial"/>
          <w:color w:val="000000" w:themeColor="text1"/>
        </w:rPr>
      </w:pPr>
    </w:p>
    <w:p w:rsidRPr="0063743B" w:rsidR="008C70E0" w:rsidP="008C70E0" w:rsidRDefault="008C70E0" w14:paraId="1F0D6613" w14:textId="77777777">
      <w:pPr>
        <w:spacing w:line="240" w:lineRule="auto"/>
        <w:ind w:left="709" w:right="709"/>
        <w:jc w:val="both"/>
        <w:rPr>
          <w:rFonts w:ascii="Verdana" w:hAnsi="Verdana" w:eastAsia="Calibri" w:cs="Arial"/>
          <w:color w:val="000000" w:themeColor="text1"/>
          <w:sz w:val="21"/>
          <w:szCs w:val="21"/>
        </w:rPr>
      </w:pPr>
      <w:r w:rsidRPr="0063743B">
        <w:rPr>
          <w:rFonts w:ascii="Verdana" w:hAnsi="Verdana"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63743B" w:rsidR="008C70E0" w:rsidP="008C70E0" w:rsidRDefault="008C70E0" w14:paraId="60119834" w14:textId="77777777">
      <w:pPr>
        <w:spacing w:after="0" w:line="240" w:lineRule="auto"/>
        <w:ind w:left="709" w:right="709"/>
        <w:jc w:val="both"/>
        <w:rPr>
          <w:rFonts w:ascii="Verdana" w:hAnsi="Verdana" w:eastAsia="Calibri" w:cs="Arial"/>
          <w:color w:val="000000" w:themeColor="text1"/>
          <w:sz w:val="21"/>
          <w:szCs w:val="21"/>
        </w:rPr>
      </w:pPr>
      <w:r w:rsidRPr="0063743B">
        <w:rPr>
          <w:rFonts w:ascii="Verdana" w:hAnsi="Verdana" w:eastAsia="Calibri"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63743B">
        <w:rPr>
          <w:rFonts w:ascii="Verdana" w:hAnsi="Verdana" w:eastAsia="Calibri"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rsidRPr="0063743B" w:rsidR="008C70E0" w:rsidP="008C70E0" w:rsidRDefault="008C70E0" w14:paraId="1E08F0AA" w14:textId="77777777">
      <w:pPr>
        <w:spacing w:after="0" w:line="276" w:lineRule="auto"/>
        <w:ind w:firstLine="709"/>
        <w:jc w:val="both"/>
        <w:rPr>
          <w:rFonts w:ascii="Verdana" w:hAnsi="Verdana" w:eastAsia="Calibri" w:cs="Arial"/>
          <w:color w:val="000000" w:themeColor="text1"/>
        </w:rPr>
      </w:pPr>
    </w:p>
    <w:p w:rsidRPr="0063743B" w:rsidR="008C70E0" w:rsidP="008C70E0" w:rsidRDefault="008C70E0" w14:paraId="58056134" w14:textId="77777777">
      <w:pPr>
        <w:spacing w:after="120" w:line="276" w:lineRule="auto"/>
        <w:ind w:firstLine="709"/>
        <w:jc w:val="both"/>
        <w:rPr>
          <w:rFonts w:ascii="Verdana" w:hAnsi="Verdana" w:eastAsia="Calibri" w:cs="Arial"/>
          <w:color w:val="000000" w:themeColor="text1"/>
        </w:rPr>
      </w:pPr>
      <w:r w:rsidRPr="0063743B">
        <w:rPr>
          <w:rFonts w:ascii="Verdana" w:hAnsi="Verdana" w:eastAsia="Calibri" w:cs="Arial"/>
          <w:color w:val="000000" w:themeColor="text1"/>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0A33B7" w:rsidR="008C70E0" w:rsidP="008C70E0" w:rsidRDefault="008C70E0" w14:paraId="616EF19D" w14:textId="77777777">
      <w:pPr>
        <w:spacing w:line="276" w:lineRule="auto"/>
        <w:ind w:firstLine="709"/>
        <w:jc w:val="both"/>
        <w:rPr>
          <w:rFonts w:ascii="Verdana" w:hAnsi="Verdana" w:eastAsia="Calibri" w:cs="Arial"/>
          <w:color w:val="000000" w:themeColor="text1"/>
        </w:rPr>
      </w:pPr>
      <w:r>
        <w:rPr>
          <w:rFonts w:ascii="Verdana" w:hAnsi="Verdana" w:cs="Arial"/>
          <w:color w:val="000000" w:themeColor="text1"/>
        </w:rPr>
        <w:lastRenderedPageBreak/>
        <w:t>Es importante tener en cuenta que la</w:t>
      </w:r>
      <w:r w:rsidRPr="000A33B7">
        <w:rPr>
          <w:rFonts w:ascii="Verdana" w:hAnsi="Verdana" w:cs="Arial"/>
          <w:color w:val="000000" w:themeColor="text1"/>
        </w:rPr>
        <w:t xml:space="preserve"> contratación con entidades sin ánimo de lucro se</w:t>
      </w:r>
      <w:r>
        <w:rPr>
          <w:rFonts w:ascii="Verdana" w:hAnsi="Verdana" w:cs="Arial"/>
          <w:color w:val="000000" w:themeColor="text1"/>
        </w:rPr>
        <w:t xml:space="preserve"> rige</w:t>
      </w:r>
      <w:r w:rsidRPr="000A33B7">
        <w:rPr>
          <w:rFonts w:ascii="Verdana" w:hAnsi="Verdana" w:cs="Arial"/>
          <w:color w:val="000000" w:themeColor="text1"/>
        </w:rPr>
        <w:t xml:space="preserve"> por el Decreto 092 de 2017, salvo lo que ha sido objeto de suspensión provisional por parte del Consejo de Estado. Por lo tanto, las entidades públicas que desean celebrar </w:t>
      </w:r>
      <w:r w:rsidRPr="002965A0">
        <w:rPr>
          <w:rFonts w:ascii="Verdana" w:hAnsi="Verdana" w:cs="Arial"/>
          <w:i/>
          <w:iCs/>
          <w:color w:val="000000" w:themeColor="text1"/>
        </w:rPr>
        <w:t>contratos del artículo 355 de la Constitución Política</w:t>
      </w:r>
      <w:r w:rsidRPr="000A33B7">
        <w:rPr>
          <w:rFonts w:ascii="Verdana" w:hAnsi="Verdana" w:cs="Arial"/>
          <w:color w:val="000000" w:themeColor="text1"/>
        </w:rPr>
        <w:t xml:space="preserve"> deberán contratar con ESAL de reconocida idoneidad realizando un proceso competitivo, y teniendo en cuenta lo siguiente: i) no debe condicionarse el proceso de contratación a la inexistencia de oferta en el mercado de bienes y servicios; </w:t>
      </w:r>
      <w:proofErr w:type="spellStart"/>
      <w:r w:rsidRPr="000A33B7">
        <w:rPr>
          <w:rFonts w:ascii="Verdana" w:hAnsi="Verdana" w:cs="Arial"/>
          <w:color w:val="000000" w:themeColor="text1"/>
        </w:rPr>
        <w:t>ii</w:t>
      </w:r>
      <w:proofErr w:type="spellEnd"/>
      <w:r w:rsidRPr="000A33B7">
        <w:rPr>
          <w:rFonts w:ascii="Verdana" w:hAnsi="Verdana"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0A33B7">
        <w:rPr>
          <w:rFonts w:ascii="Verdana" w:hAnsi="Verdana" w:cs="Arial"/>
          <w:color w:val="000000" w:themeColor="text1"/>
        </w:rPr>
        <w:t>iii</w:t>
      </w:r>
      <w:proofErr w:type="spellEnd"/>
      <w:r w:rsidRPr="000A33B7">
        <w:rPr>
          <w:rFonts w:ascii="Verdana" w:hAnsi="Verdana" w:cs="Arial"/>
          <w:color w:val="000000" w:themeColor="text1"/>
        </w:rPr>
        <w:t xml:space="preserve">) el objeto del contrato debe estar acorde con el plan nacional o seccional de desarrollo; </w:t>
      </w:r>
      <w:proofErr w:type="spellStart"/>
      <w:r w:rsidRPr="000A33B7">
        <w:rPr>
          <w:rFonts w:ascii="Verdana" w:hAnsi="Verdana" w:cs="Arial"/>
          <w:color w:val="000000" w:themeColor="text1"/>
        </w:rPr>
        <w:t>iv</w:t>
      </w:r>
      <w:proofErr w:type="spellEnd"/>
      <w:r w:rsidRPr="000A33B7">
        <w:rPr>
          <w:rFonts w:ascii="Verdana" w:hAnsi="Verdana" w:cs="Arial"/>
          <w:color w:val="000000" w:themeColor="text1"/>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0A33B7">
        <w:rPr>
          <w:rFonts w:ascii="Verdana" w:hAnsi="Verdana" w:cs="Arial"/>
          <w:color w:val="000000" w:themeColor="text1"/>
        </w:rPr>
        <w:t>iii</w:t>
      </w:r>
      <w:proofErr w:type="spellEnd"/>
      <w:r w:rsidRPr="000A33B7">
        <w:rPr>
          <w:rFonts w:ascii="Verdana" w:hAnsi="Verdana" w:cs="Arial"/>
          <w:color w:val="000000" w:themeColor="text1"/>
        </w:rPr>
        <w:t>); y v) el contrato no debe establecer una relación conmutativa en el cual haya una contraprestación directa a favor de la entidad, ni instrucciones precisas dadas por esta al contratista para cumplir con el objeto del contrato.</w:t>
      </w:r>
    </w:p>
    <w:p w:rsidR="008C70E0" w:rsidP="008C70E0" w:rsidRDefault="008C70E0" w14:paraId="7837F92F" w14:textId="77777777">
      <w:pPr>
        <w:spacing w:after="0" w:line="276" w:lineRule="auto"/>
        <w:ind w:firstLine="709"/>
        <w:jc w:val="both"/>
        <w:rPr>
          <w:rFonts w:ascii="Verdana" w:hAnsi="Verdana" w:eastAsia="Calibri" w:cs="Arial"/>
          <w:color w:val="000000" w:themeColor="text1"/>
        </w:rPr>
      </w:pPr>
      <w:r w:rsidRPr="000A33B7">
        <w:rPr>
          <w:rFonts w:ascii="Verdana" w:hAnsi="Verdana" w:eastAsia="Calibri" w:cs="Arial"/>
          <w:color w:val="000000" w:themeColor="text1"/>
        </w:rPr>
        <w:t xml:space="preserve">Ahora, si se pretende realizar un </w:t>
      </w:r>
      <w:r w:rsidRPr="000A33B7">
        <w:rPr>
          <w:rFonts w:ascii="Verdana" w:hAnsi="Verdana" w:eastAsia="Calibri" w:cs="Arial"/>
          <w:i/>
          <w:iCs/>
          <w:color w:val="000000" w:themeColor="text1"/>
        </w:rPr>
        <w:t>convenio de asociación</w:t>
      </w:r>
      <w:r w:rsidRPr="000A33B7">
        <w:rPr>
          <w:rFonts w:ascii="Verdana" w:hAnsi="Verdana"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deben estar sujetos a competencia, salvo en aquellos casos en que una entidad sin ánimo de lucro comprometa recursos en dinero por un valor igual o superior al 30% del valor total del convenio</w:t>
      </w:r>
      <w:r w:rsidRPr="000A33B7">
        <w:rPr>
          <w:rStyle w:val="Refdenotaalpie"/>
          <w:rFonts w:ascii="Verdana" w:hAnsi="Verdana" w:cs="Arial"/>
          <w:color w:val="000000" w:themeColor="text1"/>
        </w:rPr>
        <w:footnoteReference w:id="9"/>
      </w:r>
      <w:r w:rsidRPr="000A33B7">
        <w:rPr>
          <w:rFonts w:ascii="Verdana" w:hAnsi="Verdana" w:eastAsia="Calibri" w:cs="Arial"/>
          <w:color w:val="000000" w:themeColor="text1"/>
        </w:rPr>
        <w:t xml:space="preserve">, y siempre que la entidad estatal verifique previamente que no existe ninguna otra entidad sin ánimo de lucro que ofrezca aportes iguales o superiores al 30%. </w:t>
      </w:r>
      <w:r w:rsidRPr="000A33B7">
        <w:rPr>
          <w:rFonts w:ascii="Verdana" w:hAnsi="Verdana" w:eastAsia="Calibri" w:cs="Arial"/>
          <w:color w:val="000000"/>
        </w:rPr>
        <w:t>Lo anterior sin perjuicio de las restricciones previstas en el artículo 33 de la Ley de Garantías durante el periodo preelectoral de las elecciones presidenciales para los procesos no competitivos</w:t>
      </w:r>
      <w:r w:rsidRPr="000A33B7">
        <w:rPr>
          <w:rFonts w:ascii="Verdana" w:hAnsi="Verdana" w:eastAsia="Calibri" w:cs="Arial"/>
          <w:color w:val="000000" w:themeColor="text1"/>
        </w:rPr>
        <w:t>.</w:t>
      </w:r>
    </w:p>
    <w:p w:rsidRPr="000A33B7" w:rsidR="008C70E0" w:rsidP="008C70E0" w:rsidRDefault="008C70E0" w14:paraId="165F8886" w14:textId="77777777">
      <w:pPr>
        <w:spacing w:after="0" w:line="276" w:lineRule="auto"/>
        <w:ind w:firstLine="709"/>
        <w:jc w:val="both"/>
        <w:rPr>
          <w:rFonts w:ascii="Verdana" w:hAnsi="Verdana" w:eastAsia="Calibri" w:cs="Arial"/>
          <w:color w:val="000000" w:themeColor="text1"/>
        </w:rPr>
      </w:pPr>
    </w:p>
    <w:p w:rsidRPr="000A33B7" w:rsidR="008C70E0" w:rsidP="008C70E0" w:rsidRDefault="008C70E0" w14:paraId="6A052750" w14:textId="77777777">
      <w:pPr>
        <w:spacing w:after="0" w:line="276" w:lineRule="auto"/>
        <w:jc w:val="both"/>
        <w:rPr>
          <w:rFonts w:ascii="Verdana" w:hAnsi="Verdana" w:eastAsia="Calibri" w:cs="Arial"/>
          <w:lang w:val="es-ES_tradnl"/>
        </w:rPr>
      </w:pPr>
      <w:proofErr w:type="spellStart"/>
      <w:r w:rsidRPr="000A33B7">
        <w:rPr>
          <w:rFonts w:ascii="Verdana" w:hAnsi="Verdana" w:eastAsia="Calibri" w:cs="Arial"/>
          <w:color w:val="000000" w:themeColor="text1"/>
        </w:rPr>
        <w:lastRenderedPageBreak/>
        <w:t>ii</w:t>
      </w:r>
      <w:proofErr w:type="spellEnd"/>
      <w:r w:rsidRPr="000A33B7">
        <w:rPr>
          <w:rFonts w:ascii="Verdana" w:hAnsi="Verdana" w:eastAsia="Calibri" w:cs="Arial"/>
          <w:color w:val="000000" w:themeColor="text1"/>
        </w:rPr>
        <w:t xml:space="preserve">. </w:t>
      </w:r>
      <w:r w:rsidRPr="000A33B7">
        <w:rPr>
          <w:rFonts w:ascii="Verdana" w:hAnsi="Verdana" w:eastAsia="Calibri" w:cs="Arial"/>
          <w:lang w:val="es-ES_tradnl"/>
        </w:rPr>
        <w:t>L</w:t>
      </w:r>
      <w:r>
        <w:rPr>
          <w:rFonts w:ascii="Verdana" w:hAnsi="Verdana" w:eastAsia="Calibri" w:cs="Arial"/>
          <w:lang w:val="es-ES_tradnl"/>
        </w:rPr>
        <w:t>as normas aplicables a la gestión de las entidades sometidas y exceptuadas del EGCAP</w:t>
      </w:r>
      <w:r w:rsidRPr="000A33B7">
        <w:rPr>
          <w:rFonts w:ascii="Verdana" w:hAnsi="Verdana" w:eastAsia="Calibri" w:cs="Arial"/>
          <w:lang w:val="es-ES_tradnl"/>
        </w:rPr>
        <w:t xml:space="preserve"> se caracterizan por la exhaustiva regulación de la actividad contractual. Los contratos sometidos al Estatuto General, aunque se rigen por el derecho público, permiten la aplicación del derecho civil y comercial en los casos previstos en los artículos 13, 32 y 40 de la Ley 80 de 1993. As</w:t>
      </w:r>
      <w:r>
        <w:rPr>
          <w:rFonts w:ascii="Verdana" w:hAnsi="Verdana" w:eastAsia="Calibri" w:cs="Arial"/>
          <w:lang w:val="es-ES_tradnl"/>
        </w:rPr>
        <w:t>i</w:t>
      </w:r>
      <w:r w:rsidRPr="000A33B7">
        <w:rPr>
          <w:rFonts w:ascii="Verdana" w:hAnsi="Verdana" w:eastAsia="Calibri" w:cs="Arial"/>
          <w:lang w:val="es-ES_tradnl"/>
        </w:rPr>
        <w:t xml:space="preserve">mismo, pese a la aplicación de las normas comunes sobre obligaciones y contratos en las entidades del régimen exceptuado, deben respetar los principios de la función administrativa, de la gestión fiscal y el régimen de inhabilidades e incompatibilidades –Ley 1150 de 2007, art. 13–, los cuales se concretan en los respectivos manuales de contratación. Sin embargo, frente a la regulación sumaria de los </w:t>
      </w:r>
      <w:r w:rsidRPr="000A33B7">
        <w:rPr>
          <w:rFonts w:ascii="Verdana" w:hAnsi="Verdana" w:eastAsia="Calibri" w:cs="Arial"/>
          <w:i/>
          <w:iCs/>
          <w:lang w:val="es-ES_tradnl"/>
        </w:rPr>
        <w:t>contratos del art. 355 de la Constitución</w:t>
      </w:r>
      <w:r w:rsidRPr="000A33B7">
        <w:rPr>
          <w:rFonts w:ascii="Verdana" w:hAnsi="Verdana" w:eastAsia="Calibri" w:cs="Arial"/>
          <w:lang w:val="es-ES_tradnl"/>
        </w:rPr>
        <w:t xml:space="preserve"> y los </w:t>
      </w:r>
      <w:r w:rsidRPr="000A33B7">
        <w:rPr>
          <w:rFonts w:ascii="Verdana" w:hAnsi="Verdana" w:eastAsia="Calibri" w:cs="Arial"/>
          <w:i/>
          <w:iCs/>
          <w:lang w:val="es-ES_tradnl"/>
        </w:rPr>
        <w:t>convenios de asociación</w:t>
      </w:r>
      <w:r w:rsidRPr="000A33B7">
        <w:rPr>
          <w:rFonts w:ascii="Verdana" w:hAnsi="Verdana" w:eastAsia="Calibri" w:cs="Arial"/>
          <w:lang w:val="es-ES_tradnl"/>
        </w:rPr>
        <w:t xml:space="preserve">, los artículos 6, 7 y 8 del </w:t>
      </w:r>
      <w:bookmarkStart w:name="_Hlk38214426" w:id="8"/>
      <w:r w:rsidRPr="000A33B7">
        <w:rPr>
          <w:rFonts w:ascii="Verdana" w:hAnsi="Verdana" w:eastAsia="Calibri" w:cs="Arial"/>
          <w:lang w:val="es-ES_tradnl"/>
        </w:rPr>
        <w:t>Decreto 092 de 2017</w:t>
      </w:r>
      <w:bookmarkEnd w:id="8"/>
      <w:r w:rsidRPr="000A33B7">
        <w:rPr>
          <w:rFonts w:ascii="Verdana" w:hAnsi="Verdana" w:eastAsia="Calibri" w:cs="Arial"/>
          <w:lang w:val="es-ES_tradnl"/>
        </w:rPr>
        <w:t xml:space="preserve"> disponen lo siguiente:</w:t>
      </w:r>
    </w:p>
    <w:p w:rsidRPr="000A33B7" w:rsidR="008C70E0" w:rsidP="008C70E0" w:rsidRDefault="008C70E0" w14:paraId="62C20F76" w14:textId="77777777">
      <w:pPr>
        <w:spacing w:after="0" w:line="276" w:lineRule="auto"/>
        <w:jc w:val="both"/>
        <w:rPr>
          <w:rFonts w:ascii="Verdana" w:hAnsi="Verdana" w:eastAsia="Calibri" w:cs="Arial"/>
          <w:lang w:val="es-ES_tradnl"/>
        </w:rPr>
      </w:pPr>
    </w:p>
    <w:p w:rsidRPr="000A33B7" w:rsidR="008C70E0" w:rsidP="008C70E0" w:rsidRDefault="008C70E0" w14:paraId="49D8152E" w14:textId="77777777">
      <w:pPr>
        <w:spacing w:after="120"/>
        <w:ind w:left="709" w:right="709"/>
        <w:jc w:val="both"/>
        <w:rPr>
          <w:rFonts w:ascii="Verdana" w:hAnsi="Verdana" w:eastAsia="Calibri" w:cs="Arial"/>
          <w:sz w:val="21"/>
          <w:szCs w:val="21"/>
          <w:lang w:val="es-ES_tradnl"/>
        </w:rPr>
      </w:pPr>
      <w:r>
        <w:rPr>
          <w:rFonts w:ascii="Verdana" w:hAnsi="Verdana" w:eastAsia="Calibri" w:cs="Arial"/>
          <w:sz w:val="21"/>
          <w:szCs w:val="21"/>
          <w:lang w:val="es-ES_tradnl"/>
        </w:rPr>
        <w:t>“</w:t>
      </w:r>
      <w:r w:rsidRPr="000A33B7">
        <w:rPr>
          <w:rFonts w:ascii="Verdana" w:hAnsi="Verdana" w:eastAsia="Calibri" w:cs="Arial"/>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rsidRPr="000A33B7" w:rsidR="008C70E0" w:rsidP="008C70E0" w:rsidRDefault="008C70E0" w14:paraId="01B17476" w14:textId="77777777">
      <w:pPr>
        <w:spacing w:after="120"/>
        <w:ind w:left="709" w:right="709"/>
        <w:jc w:val="both"/>
        <w:rPr>
          <w:rFonts w:ascii="Verdana" w:hAnsi="Verdana" w:eastAsia="Calibri" w:cs="Arial"/>
          <w:sz w:val="21"/>
          <w:szCs w:val="21"/>
          <w:lang w:val="es-ES_tradnl"/>
        </w:rPr>
      </w:pPr>
      <w:r w:rsidRPr="000A33B7">
        <w:rPr>
          <w:rFonts w:ascii="Verdana" w:hAnsi="Verdana" w:eastAsia="Calibri" w:cs="Arial"/>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rsidRPr="000A33B7" w:rsidR="008C70E0" w:rsidP="008C70E0" w:rsidRDefault="008C70E0" w14:paraId="0FCD71D1" w14:textId="77777777">
      <w:pPr>
        <w:spacing w:after="0"/>
        <w:ind w:left="709" w:right="709"/>
        <w:jc w:val="both"/>
        <w:rPr>
          <w:rFonts w:ascii="Verdana" w:hAnsi="Verdana" w:eastAsia="Calibri" w:cs="Arial"/>
          <w:sz w:val="21"/>
          <w:szCs w:val="21"/>
          <w:lang w:val="es-ES_tradnl"/>
        </w:rPr>
      </w:pPr>
      <w:r w:rsidRPr="000A33B7">
        <w:rPr>
          <w:rFonts w:ascii="Verdana" w:hAnsi="Verdana" w:eastAsia="Calibri" w:cs="Arial"/>
          <w:sz w:val="21"/>
          <w:szCs w:val="21"/>
          <w:lang w:val="es-ES_tradnl"/>
        </w:rPr>
        <w:t xml:space="preserve">Artículo 8°. Aplicación de normas generales del sistema de contratación pública. La contratación a la que hace referencia el presente decreto está sujeta </w:t>
      </w:r>
      <w:bookmarkStart w:name="_Hlk38206940" w:id="9"/>
      <w:r w:rsidRPr="000A33B7">
        <w:rPr>
          <w:rFonts w:ascii="Verdana" w:hAnsi="Verdana" w:eastAsia="Calibri" w:cs="Arial"/>
          <w:sz w:val="21"/>
          <w:szCs w:val="21"/>
          <w:lang w:val="es-ES_tradnl"/>
        </w:rPr>
        <w:t xml:space="preserve">a las </w:t>
      </w:r>
      <w:bookmarkStart w:name="_Hlk38633960" w:id="10"/>
      <w:r w:rsidRPr="000A33B7">
        <w:rPr>
          <w:rFonts w:ascii="Verdana" w:hAnsi="Verdana" w:eastAsia="Calibri" w:cs="Arial"/>
          <w:sz w:val="21"/>
          <w:szCs w:val="21"/>
          <w:lang w:val="es-ES_tradnl"/>
        </w:rPr>
        <w:t xml:space="preserve">normas generales </w:t>
      </w:r>
      <w:bookmarkStart w:name="_Hlk38275055" w:id="11"/>
      <w:r w:rsidRPr="000A33B7">
        <w:rPr>
          <w:rFonts w:ascii="Verdana" w:hAnsi="Verdana" w:eastAsia="Calibri" w:cs="Arial"/>
          <w:sz w:val="21"/>
          <w:szCs w:val="21"/>
          <w:lang w:val="es-ES_tradnl"/>
        </w:rPr>
        <w:t>aplicables a la contratación pública</w:t>
      </w:r>
      <w:bookmarkEnd w:id="9"/>
      <w:bookmarkEnd w:id="10"/>
      <w:r w:rsidRPr="000A33B7">
        <w:rPr>
          <w:rFonts w:ascii="Verdana" w:hAnsi="Verdana" w:eastAsia="Calibri" w:cs="Arial"/>
          <w:sz w:val="21"/>
          <w:szCs w:val="21"/>
          <w:lang w:val="es-ES_tradnl"/>
        </w:rPr>
        <w:t xml:space="preserve"> </w:t>
      </w:r>
      <w:bookmarkEnd w:id="11"/>
      <w:r w:rsidRPr="000A33B7">
        <w:rPr>
          <w:rFonts w:ascii="Verdana" w:hAnsi="Verdana" w:eastAsia="Calibri" w:cs="Arial"/>
          <w:sz w:val="21"/>
          <w:szCs w:val="21"/>
          <w:lang w:val="es-ES_tradnl"/>
        </w:rPr>
        <w:t>excepto en lo reglamentado en el presente decreto</w:t>
      </w:r>
      <w:r>
        <w:rPr>
          <w:rFonts w:ascii="Verdana" w:hAnsi="Verdana" w:eastAsia="Calibri" w:cs="Arial"/>
          <w:sz w:val="21"/>
          <w:szCs w:val="21"/>
          <w:lang w:val="es-ES_tradnl"/>
        </w:rPr>
        <w:t>”</w:t>
      </w:r>
      <w:r w:rsidRPr="000A33B7">
        <w:rPr>
          <w:rFonts w:ascii="Verdana" w:hAnsi="Verdana" w:eastAsia="Calibri" w:cs="Arial"/>
          <w:sz w:val="21"/>
          <w:szCs w:val="21"/>
          <w:lang w:val="es-ES_tradnl"/>
        </w:rPr>
        <w:t xml:space="preserve">. </w:t>
      </w:r>
    </w:p>
    <w:p w:rsidRPr="000A33B7" w:rsidR="008C70E0" w:rsidP="008C70E0" w:rsidRDefault="008C70E0" w14:paraId="57941314" w14:textId="77777777">
      <w:pPr>
        <w:spacing w:after="0"/>
        <w:ind w:left="709" w:right="709"/>
        <w:jc w:val="both"/>
        <w:rPr>
          <w:rFonts w:ascii="Verdana" w:hAnsi="Verdana" w:eastAsia="Calibri" w:cs="Arial"/>
          <w:lang w:val="es-ES_tradnl"/>
        </w:rPr>
      </w:pPr>
    </w:p>
    <w:p w:rsidRPr="000A33B7" w:rsidR="008C70E0" w:rsidP="008C70E0" w:rsidRDefault="008C70E0" w14:paraId="66ACC0ED" w14:textId="77777777">
      <w:pPr>
        <w:spacing w:after="120" w:line="276" w:lineRule="auto"/>
        <w:jc w:val="both"/>
        <w:rPr>
          <w:rFonts w:ascii="Verdana" w:hAnsi="Verdana" w:eastAsia="Calibri" w:cs="Arial"/>
          <w:lang w:val="es-ES"/>
        </w:rPr>
      </w:pPr>
      <w:r w:rsidRPr="000A33B7">
        <w:rPr>
          <w:rFonts w:ascii="Verdana" w:hAnsi="Verdana" w:eastAsia="Calibri" w:cs="Arial"/>
          <w:lang w:val="es-ES_tradnl"/>
        </w:rPr>
        <w:tab/>
      </w:r>
      <w:r w:rsidRPr="15E5F6B6">
        <w:rPr>
          <w:rFonts w:ascii="Verdana" w:hAnsi="Verdana" w:eastAsia="Calibri" w:cs="Arial"/>
          <w:lang w:val="es-ES"/>
        </w:rPr>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15E5F6B6">
        <w:rPr>
          <w:rFonts w:ascii="Verdana" w:hAnsi="Verdana" w:eastAsia="Calibri" w:cs="Arial"/>
          <w:i/>
          <w:lang w:val="es-ES"/>
        </w:rPr>
        <w:t xml:space="preserve">contratos del artículo 355 de la Constitución </w:t>
      </w:r>
      <w:r w:rsidRPr="15E5F6B6">
        <w:rPr>
          <w:rFonts w:ascii="Verdana" w:hAnsi="Verdana" w:eastAsia="Calibri" w:cs="Arial"/>
          <w:lang w:val="es-ES"/>
        </w:rPr>
        <w:t xml:space="preserve">y la </w:t>
      </w:r>
      <w:proofErr w:type="spellStart"/>
      <w:r w:rsidRPr="15E5F6B6">
        <w:rPr>
          <w:rFonts w:ascii="Verdana" w:hAnsi="Verdana" w:eastAsia="Calibri" w:cs="Arial"/>
          <w:lang w:val="es-ES"/>
        </w:rPr>
        <w:t>indelegabilidad</w:t>
      </w:r>
      <w:proofErr w:type="spellEnd"/>
      <w:r w:rsidRPr="15E5F6B6">
        <w:rPr>
          <w:rFonts w:ascii="Verdana" w:hAnsi="Verdana" w:eastAsia="Calibri" w:cs="Arial"/>
          <w:lang w:val="es-ES"/>
        </w:rPr>
        <w:t xml:space="preserve"> de la autorización –art. 2–, la idoneidad de las ESAL –art. 3–, su registro en el SECOP –art. 9– y la inaplicación del registro único de proponentes –art. 10–. </w:t>
      </w:r>
    </w:p>
    <w:p w:rsidRPr="000A33B7" w:rsidR="008C70E0" w:rsidP="008C70E0" w:rsidRDefault="008C70E0" w14:paraId="0C723C10" w14:textId="77777777">
      <w:pPr>
        <w:spacing w:after="0" w:line="276" w:lineRule="auto"/>
        <w:ind w:firstLine="708"/>
        <w:jc w:val="both"/>
        <w:rPr>
          <w:rFonts w:ascii="Verdana" w:hAnsi="Verdana" w:eastAsia="Calibri" w:cs="Arial"/>
          <w:lang w:val="es-ES_tradnl"/>
        </w:rPr>
      </w:pPr>
      <w:r w:rsidRPr="000A33B7">
        <w:rPr>
          <w:rFonts w:ascii="Verdana" w:hAnsi="Verdana" w:eastAsia="Calibri" w:cs="Arial"/>
          <w:lang w:val="es-ES_tradnl"/>
        </w:rPr>
        <w:t>En contraste, en los vacíos es necesario resolver si las tres (3) normas expresan la misma idea o, por el contrario, son autónomas en su interpretación.</w:t>
      </w:r>
      <w:r>
        <w:rPr>
          <w:rFonts w:ascii="Verdana" w:hAnsi="Verdana" w:eastAsia="Calibri" w:cs="Arial"/>
          <w:lang w:val="es-ES_tradnl"/>
        </w:rPr>
        <w:t xml:space="preserve"> </w:t>
      </w:r>
      <w:r w:rsidRPr="000A33B7">
        <w:rPr>
          <w:rFonts w:ascii="Verdana" w:hAnsi="Verdana" w:eastAsia="Calibri" w:cs="Arial"/>
          <w:lang w:val="es-ES_tradnl"/>
        </w:rPr>
        <w:lastRenderedPageBreak/>
        <w:t xml:space="preserve">Para resolver este interrogante, </w:t>
      </w:r>
      <w:bookmarkStart w:name="_Hlk38282598" w:id="12"/>
      <w:r w:rsidRPr="000A33B7">
        <w:rPr>
          <w:rFonts w:ascii="Verdana" w:hAnsi="Verdana" w:eastAsia="Calibri" w:cs="Arial"/>
          <w:lang w:val="es-ES_tradnl"/>
        </w:rPr>
        <w:t xml:space="preserve">en principio, podría considerarse que dichas disposiciones son independientes, pues si los supuestos están regulados en normas separadas, cada una produciría consecuencias distintas. Esta posición no se comparte, ya que están relacionadas entre sí. En efecto, el artículo 6 del Decreto 092 de 2017 se refiere a las inhabilidades e incompatibilidades previstas en el ordenamiento jurídico, incluyendo las previstas en el artículo 8 de la Ley 80 de 1993; además, los artículos 23, 24, 25, 26 y otros del Estatuto General regulan los principios de la contratación estatal, relacionándose parcialmente con el artículo 7 </w:t>
      </w:r>
      <w:r w:rsidRPr="000A33B7">
        <w:rPr>
          <w:rFonts w:ascii="Verdana" w:hAnsi="Verdana" w:eastAsia="Calibri" w:cs="Arial"/>
          <w:i/>
          <w:iCs/>
          <w:lang w:val="es-ES_tradnl"/>
        </w:rPr>
        <w:t>ibidem</w:t>
      </w:r>
      <w:bookmarkEnd w:id="12"/>
      <w:r w:rsidRPr="000A33B7">
        <w:rPr>
          <w:rFonts w:ascii="Verdana" w:hAnsi="Verdana" w:eastAsia="Calibri" w:cs="Arial"/>
          <w:lang w:val="es-ES_tradnl"/>
        </w:rPr>
        <w:t xml:space="preserve"> al disponer lo siguiente: </w:t>
      </w:r>
    </w:p>
    <w:p w:rsidRPr="000A33B7" w:rsidR="008C70E0" w:rsidP="008C70E0" w:rsidRDefault="008C70E0" w14:paraId="1576DDE0" w14:textId="77777777">
      <w:pPr>
        <w:spacing w:after="0" w:line="276" w:lineRule="auto"/>
        <w:ind w:firstLine="708"/>
        <w:jc w:val="both"/>
        <w:rPr>
          <w:rFonts w:ascii="Verdana" w:hAnsi="Verdana" w:eastAsia="Calibri" w:cs="Arial"/>
          <w:lang w:val="es-ES_tradnl"/>
        </w:rPr>
      </w:pPr>
    </w:p>
    <w:p w:rsidR="008C70E0" w:rsidP="008C70E0" w:rsidRDefault="008C70E0" w14:paraId="0C2A865D" w14:textId="77777777">
      <w:pPr>
        <w:spacing w:after="0"/>
        <w:ind w:left="709" w:right="709"/>
        <w:jc w:val="both"/>
        <w:rPr>
          <w:rFonts w:ascii="Verdana" w:hAnsi="Verdana" w:eastAsia="Calibri" w:cs="Arial"/>
          <w:sz w:val="21"/>
          <w:szCs w:val="21"/>
          <w:lang w:val="es-ES_tradnl"/>
        </w:rPr>
      </w:pPr>
      <w:r>
        <w:rPr>
          <w:rFonts w:ascii="Verdana" w:hAnsi="Verdana" w:eastAsia="Calibri" w:cs="Arial"/>
          <w:sz w:val="21"/>
          <w:szCs w:val="21"/>
          <w:lang w:val="es-ES_tradnl"/>
        </w:rPr>
        <w:t>“</w:t>
      </w:r>
      <w:r w:rsidRPr="000A33B7">
        <w:rPr>
          <w:rFonts w:ascii="Verdana" w:hAnsi="Verdana" w:eastAsia="Calibri" w:cs="Arial"/>
          <w:sz w:val="21"/>
          <w:szCs w:val="21"/>
          <w:lang w:val="es-ES_tradnl"/>
        </w:rPr>
        <w:t>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Pr>
          <w:rFonts w:ascii="Verdana" w:hAnsi="Verdana" w:eastAsia="Calibri" w:cs="Arial"/>
          <w:sz w:val="21"/>
          <w:szCs w:val="21"/>
          <w:lang w:val="es-ES_tradnl"/>
        </w:rPr>
        <w:t>”</w:t>
      </w:r>
      <w:r w:rsidRPr="000A33B7">
        <w:rPr>
          <w:rFonts w:ascii="Verdana" w:hAnsi="Verdana" w:eastAsia="Calibri" w:cs="Arial"/>
          <w:sz w:val="21"/>
          <w:szCs w:val="21"/>
          <w:lang w:val="es-ES_tradnl"/>
        </w:rPr>
        <w:t>.</w:t>
      </w:r>
    </w:p>
    <w:p w:rsidRPr="008251D0" w:rsidR="008C70E0" w:rsidP="008C70E0" w:rsidRDefault="008C70E0" w14:paraId="567142CC" w14:textId="77777777">
      <w:pPr>
        <w:spacing w:after="0" w:line="276" w:lineRule="auto"/>
        <w:ind w:left="709" w:right="709"/>
        <w:jc w:val="both"/>
        <w:rPr>
          <w:rFonts w:ascii="Verdana" w:hAnsi="Verdana" w:eastAsia="Calibri" w:cs="Arial"/>
          <w:lang w:val="es-ES_tradnl"/>
        </w:rPr>
      </w:pPr>
    </w:p>
    <w:p w:rsidRPr="000A33B7" w:rsidR="008C70E0" w:rsidP="008C70E0" w:rsidRDefault="008C70E0" w14:paraId="521C81F9" w14:textId="77777777">
      <w:pPr>
        <w:spacing w:after="120" w:line="276" w:lineRule="auto"/>
        <w:ind w:firstLine="708"/>
        <w:jc w:val="both"/>
        <w:rPr>
          <w:rFonts w:ascii="Verdana" w:hAnsi="Verdana" w:eastAsia="Calibri" w:cs="Arial"/>
          <w:lang w:val="es-ES"/>
        </w:rPr>
      </w:pPr>
      <w:bookmarkStart w:name="_Hlk38282653" w:id="13"/>
      <w:r w:rsidRPr="444EA3C1">
        <w:rPr>
          <w:rFonts w:ascii="Verdana" w:hAnsi="Verdana" w:eastAsia="Calibri" w:cs="Arial"/>
          <w:lang w:val="es-ES"/>
        </w:rPr>
        <w:t>A su vez, tanto el “régimen de inhabilidades e incompatibilidades” como los “principios” hacen parte de las normas generales aplicables a la contratación pública. Naturalmente, podría preguntarse si el artículo 8 del Decreto 092 de 2017 se relaciona con estos dos (2) aspectos por ser comunes a los procesos de selección o, incluso, si se extiende a la totalidad del Estatuto General. De concluirse lo primero, el ámbito de los artículos 6, 7 y 8 del reglamento es similar, refiriéndose –entre otros aspectos– a las “inhabilidades e incompatibilidades” y a los “principios”, pues están contenidos en la Ley 80 de 1993 y son aplicables en todos los regímenes de contratación que se analizaron al inicio de este aparte –</w:t>
      </w:r>
      <w:r w:rsidRPr="444EA3C1">
        <w:rPr>
          <w:rFonts w:ascii="Verdana" w:hAnsi="Verdana" w:eastAsia="Calibri" w:cs="Arial"/>
          <w:i/>
          <w:lang w:val="es-ES"/>
        </w:rPr>
        <w:t>remisión parcial</w:t>
      </w:r>
      <w:r w:rsidRPr="444EA3C1">
        <w:rPr>
          <w:rFonts w:ascii="Verdana" w:hAnsi="Verdana" w:eastAsia="Calibri" w:cs="Arial"/>
          <w:lang w:val="es-ES"/>
        </w:rPr>
        <w:t xml:space="preserve">–. Por el contrario, de concluirse lo segundo, la remisión del artículo 8 del Decreto 092 de 2017 es más amplia que la de los artículos 6 y 7 </w:t>
      </w:r>
      <w:proofErr w:type="spellStart"/>
      <w:r w:rsidRPr="444EA3C1">
        <w:rPr>
          <w:rFonts w:ascii="Verdana" w:hAnsi="Verdana" w:eastAsia="Calibri" w:cs="Arial"/>
          <w:i/>
          <w:lang w:val="es-ES"/>
        </w:rPr>
        <w:t>ibídem</w:t>
      </w:r>
      <w:proofErr w:type="spellEnd"/>
      <w:r w:rsidRPr="444EA3C1">
        <w:rPr>
          <w:rFonts w:ascii="Verdana" w:hAnsi="Verdana" w:eastAsia="Calibri" w:cs="Arial"/>
          <w:lang w:val="es-ES"/>
        </w:rPr>
        <w:t>. En otras palabras, no se restringiría a las “inhabilidades e incompatibilidades”, a los “principios” y a las demás normas generales de la Ley 80, sino a todo lo previsto en el Estatuto General. Desde esta perspectiva, las “[…] normas generales aplicables a la contratación pública […]” comprenderían los artículos 6 y 7 del decreto autónomo, ampliándose a las demás normas de la Ley 80 de 1993 –</w:t>
      </w:r>
      <w:r w:rsidRPr="444EA3C1">
        <w:rPr>
          <w:rFonts w:ascii="Verdana" w:hAnsi="Verdana" w:eastAsia="Calibri" w:cs="Arial"/>
          <w:i/>
          <w:lang w:val="es-ES"/>
        </w:rPr>
        <w:t>remisión total</w:t>
      </w:r>
      <w:r w:rsidRPr="444EA3C1">
        <w:rPr>
          <w:rFonts w:ascii="Verdana" w:hAnsi="Verdana" w:eastAsia="Calibri" w:cs="Arial"/>
          <w:lang w:val="es-ES"/>
        </w:rPr>
        <w:t xml:space="preserve">–. </w:t>
      </w:r>
    </w:p>
    <w:p w:rsidRPr="000A33B7" w:rsidR="008C70E0" w:rsidP="008C70E0" w:rsidRDefault="008C70E0" w14:paraId="2AB2FC95" w14:textId="77777777">
      <w:pPr>
        <w:spacing w:after="120" w:line="276" w:lineRule="auto"/>
        <w:ind w:firstLine="708"/>
        <w:jc w:val="both"/>
        <w:rPr>
          <w:rFonts w:ascii="Verdana" w:hAnsi="Verdana" w:eastAsia="Calibri" w:cs="Arial"/>
          <w:lang w:val="es-ES"/>
        </w:rPr>
      </w:pPr>
      <w:r w:rsidRPr="15E5F6B6">
        <w:rPr>
          <w:rFonts w:ascii="Verdana" w:hAnsi="Verdana" w:eastAsia="Calibri" w:cs="Arial"/>
          <w:lang w:val="es-ES"/>
        </w:rPr>
        <w:lastRenderedPageBreak/>
        <w:t xml:space="preserve">La postura sobre el tema es relevante, pues quien opte por la </w:t>
      </w:r>
      <w:r w:rsidRPr="15E5F6B6">
        <w:rPr>
          <w:rFonts w:ascii="Verdana" w:hAnsi="Verdana" w:eastAsia="Calibri" w:cs="Arial"/>
          <w:i/>
          <w:lang w:val="es-ES"/>
        </w:rPr>
        <w:t xml:space="preserve">remisión parcial </w:t>
      </w:r>
      <w:r w:rsidRPr="15E5F6B6">
        <w:rPr>
          <w:rFonts w:ascii="Verdana" w:hAnsi="Verdana" w:eastAsia="Calibri" w:cs="Arial"/>
          <w:lang w:val="es-ES"/>
        </w:rPr>
        <w:t>o bien debe entender que el artículo 8 del Decreto 092 se refiere únicamente a las “inhabilidades e incompatibilidades” y a los “principios” –</w:t>
      </w:r>
      <w:r w:rsidRPr="15E5F6B6">
        <w:rPr>
          <w:rFonts w:ascii="Verdana" w:hAnsi="Verdana" w:eastAsia="Calibri" w:cs="Arial"/>
          <w:i/>
          <w:lang w:val="es-ES"/>
        </w:rPr>
        <w:t>remisión parcial stricto sensu</w:t>
      </w:r>
      <w:r w:rsidRPr="15E5F6B6">
        <w:rPr>
          <w:rFonts w:ascii="Verdana" w:hAnsi="Verdana" w:eastAsia="Calibri" w:cs="Arial"/>
          <w:lang w:val="es-ES"/>
        </w:rPr>
        <w:t>– o debe explicar qué normas son transversales a la actividad contractual del Estado, justificando la razón por las que se excluyen aquellas privativas de determinados procesos de selección, tipologías contractuales, etc. –</w:t>
      </w:r>
      <w:r w:rsidRPr="15E5F6B6">
        <w:rPr>
          <w:rFonts w:ascii="Verdana" w:hAnsi="Verdana" w:eastAsia="Calibri" w:cs="Arial"/>
          <w:i/>
          <w:lang w:val="es-ES"/>
        </w:rPr>
        <w:t xml:space="preserve">remisión parcial </w:t>
      </w:r>
      <w:proofErr w:type="spellStart"/>
      <w:r w:rsidRPr="15E5F6B6">
        <w:rPr>
          <w:rFonts w:ascii="Verdana" w:hAnsi="Verdana" w:eastAsia="Calibri" w:cs="Arial"/>
          <w:i/>
          <w:lang w:val="es-ES"/>
        </w:rPr>
        <w:t>latu</w:t>
      </w:r>
      <w:proofErr w:type="spellEnd"/>
      <w:r w:rsidRPr="15E5F6B6">
        <w:rPr>
          <w:rFonts w:ascii="Verdana" w:hAnsi="Verdana" w:eastAsia="Calibri" w:cs="Arial"/>
          <w:i/>
          <w:lang w:val="es-ES"/>
        </w:rPr>
        <w:t xml:space="preserve"> sensu</w:t>
      </w:r>
      <w:r w:rsidRPr="15E5F6B6">
        <w:rPr>
          <w:rFonts w:ascii="Verdana" w:hAnsi="Verdana" w:eastAsia="Calibri" w:cs="Arial"/>
          <w:lang w:val="es-ES"/>
        </w:rPr>
        <w:t xml:space="preserve">–. </w:t>
      </w:r>
    </w:p>
    <w:p w:rsidRPr="000A33B7" w:rsidR="008C70E0" w:rsidP="008C70E0" w:rsidRDefault="008C70E0" w14:paraId="2F90B2C7" w14:textId="77777777">
      <w:pPr>
        <w:spacing w:after="120" w:line="276" w:lineRule="auto"/>
        <w:ind w:firstLine="708"/>
        <w:jc w:val="both"/>
        <w:rPr>
          <w:rFonts w:ascii="Verdana" w:hAnsi="Verdana" w:eastAsia="Calibri" w:cs="Arial"/>
          <w:lang w:val="es-ES_tradnl"/>
        </w:rPr>
      </w:pPr>
      <w:r w:rsidRPr="000A33B7">
        <w:rPr>
          <w:rFonts w:ascii="Verdana" w:hAnsi="Verdana" w:eastAsia="Calibri" w:cs="Arial"/>
          <w:lang w:val="es-ES_tradnl"/>
        </w:rPr>
        <w:t xml:space="preserve">Para quienes adopten la primera postura, el ámbito de los artículos 6, 7 y 8 del Decreto 092 de 2017 sería exactamente el mismo, pues el último –referido a las normas generales– contiene a los otros dos –es decir, tanto las </w:t>
      </w:r>
      <w:r>
        <w:rPr>
          <w:rFonts w:ascii="Verdana" w:hAnsi="Verdana" w:eastAsia="Calibri" w:cs="Arial"/>
          <w:lang w:val="es-ES_tradnl"/>
        </w:rPr>
        <w:t>“</w:t>
      </w:r>
      <w:r w:rsidRPr="000A33B7">
        <w:rPr>
          <w:rFonts w:ascii="Verdana" w:hAnsi="Verdana" w:eastAsia="Calibri" w:cs="Arial"/>
          <w:lang w:val="es-ES_tradnl"/>
        </w:rPr>
        <w:t>inhabilidades e incompatibilidades</w:t>
      </w:r>
      <w:r>
        <w:rPr>
          <w:rFonts w:ascii="Verdana" w:hAnsi="Verdana" w:eastAsia="Calibri" w:cs="Arial"/>
          <w:lang w:val="es-ES_tradnl"/>
        </w:rPr>
        <w:t>”</w:t>
      </w:r>
      <w:r w:rsidRPr="000A33B7">
        <w:rPr>
          <w:rFonts w:ascii="Verdana" w:hAnsi="Verdana" w:eastAsia="Calibri" w:cs="Arial"/>
          <w:lang w:val="es-ES_tradnl"/>
        </w:rPr>
        <w:t xml:space="preserve"> como a los </w:t>
      </w:r>
      <w:r>
        <w:rPr>
          <w:rFonts w:ascii="Verdana" w:hAnsi="Verdana" w:eastAsia="Calibri" w:cs="Arial"/>
          <w:lang w:val="es-ES_tradnl"/>
        </w:rPr>
        <w:t>“</w:t>
      </w:r>
      <w:r w:rsidRPr="000A33B7">
        <w:rPr>
          <w:rFonts w:ascii="Verdana" w:hAnsi="Verdana" w:eastAsia="Calibri" w:cs="Arial"/>
          <w:lang w:val="es-ES_tradnl"/>
        </w:rPr>
        <w:t>principios</w:t>
      </w:r>
      <w:r>
        <w:rPr>
          <w:rFonts w:ascii="Verdana" w:hAnsi="Verdana" w:eastAsia="Calibri" w:cs="Arial"/>
          <w:lang w:val="es-ES_tradnl"/>
        </w:rPr>
        <w:t>”</w:t>
      </w:r>
      <w:r w:rsidRPr="000A33B7">
        <w:rPr>
          <w:rFonts w:ascii="Verdana" w:hAnsi="Verdana" w:eastAsia="Calibri" w:cs="Arial"/>
          <w:lang w:val="es-ES_tradnl"/>
        </w:rPr>
        <w:t xml:space="preserve">–. En contraste, la segunda idea implica que –además de estos– las normas generales se refieren disposiciones comunes de los contratos estatales. Ambas interpretaciones se apoyarían en el artículo 8 del reglamento autónomo que regula la contratación del artículo 355 constitucional y del artículo 96 de la Ley 489 de 1998, ya que cuando prescribe que se regirán por las </w:t>
      </w:r>
      <w:r>
        <w:rPr>
          <w:rFonts w:ascii="Verdana" w:hAnsi="Verdana" w:eastAsia="Calibri" w:cs="Arial"/>
          <w:lang w:val="es-ES_tradnl"/>
        </w:rPr>
        <w:t>“</w:t>
      </w:r>
      <w:r w:rsidRPr="000A33B7">
        <w:rPr>
          <w:rFonts w:ascii="Verdana" w:hAnsi="Verdana" w:eastAsia="Calibri" w:cs="Arial"/>
          <w:lang w:val="es-ES_tradnl"/>
        </w:rPr>
        <w:t>[…] normas generales aplicables a la contratación pública […]</w:t>
      </w:r>
      <w:r>
        <w:rPr>
          <w:rFonts w:ascii="Verdana" w:hAnsi="Verdana" w:eastAsia="Calibri" w:cs="Arial"/>
          <w:lang w:val="es-ES_tradnl"/>
        </w:rPr>
        <w:t>”</w:t>
      </w:r>
      <w:r w:rsidRPr="000A33B7">
        <w:rPr>
          <w:rFonts w:ascii="Verdana" w:hAnsi="Verdana" w:eastAsia="Calibri" w:cs="Arial"/>
          <w:lang w:val="es-ES_tradnl"/>
        </w:rPr>
        <w:t>, significaría que no es posible una remisión integra al Estatuto General, ya que habría que descartar normas especiales de determinados contratos o procesos de selección y verificar la ausencia de regulación en el Decreto 092 de 2017 para aplicar aquellas transversales a la gestión contractual.</w:t>
      </w:r>
    </w:p>
    <w:p w:rsidRPr="000A33B7" w:rsidR="008C70E0" w:rsidP="008C70E0" w:rsidRDefault="008C70E0" w14:paraId="5D273D2E" w14:textId="77777777">
      <w:pPr>
        <w:spacing w:after="120" w:line="276" w:lineRule="auto"/>
        <w:ind w:firstLine="708"/>
        <w:jc w:val="both"/>
        <w:rPr>
          <w:rFonts w:ascii="Verdana" w:hAnsi="Verdana" w:eastAsia="Calibri" w:cs="Arial"/>
          <w:lang w:val="es-ES_tradnl"/>
        </w:rPr>
      </w:pPr>
      <w:r w:rsidRPr="000A33B7">
        <w:rPr>
          <w:rFonts w:ascii="Verdana" w:hAnsi="Verdana" w:eastAsia="Calibri" w:cs="Arial"/>
          <w:lang w:val="es-ES_tradnl"/>
        </w:rPr>
        <w:t>Por lo pronto, se descarta razonablemente de que los artículos 6, 7 y 8 del Decreto 092 de 2017 tengan en mismo ámbito de aplicación –</w:t>
      </w:r>
      <w:r w:rsidRPr="000A33B7">
        <w:rPr>
          <w:rFonts w:ascii="Verdana" w:hAnsi="Verdana" w:eastAsia="Calibri" w:cs="Arial"/>
          <w:i/>
          <w:iCs/>
          <w:lang w:val="es-ES_tradnl"/>
        </w:rPr>
        <w:t>remisión parcial stricto sensu</w:t>
      </w:r>
      <w:r w:rsidRPr="000A33B7">
        <w:rPr>
          <w:rFonts w:ascii="Verdana" w:hAnsi="Verdana" w:eastAsia="Calibri" w:cs="Arial"/>
          <w:lang w:val="es-ES_tradnl"/>
        </w:rPr>
        <w:t xml:space="preserve">–, ya que esta última disposición no produciría ningún efecto útil, es decir, habría bastado la remisión a las </w:t>
      </w:r>
      <w:r>
        <w:rPr>
          <w:rFonts w:ascii="Verdana" w:hAnsi="Verdana" w:eastAsia="Calibri" w:cs="Arial"/>
          <w:lang w:val="es-ES_tradnl"/>
        </w:rPr>
        <w:t>“</w:t>
      </w:r>
      <w:r w:rsidRPr="000A33B7">
        <w:rPr>
          <w:rFonts w:ascii="Verdana" w:hAnsi="Verdana" w:eastAsia="Calibri" w:cs="Arial"/>
          <w:lang w:val="es-ES_tradnl"/>
        </w:rPr>
        <w:t>inhabilidades e incompatibilidades</w:t>
      </w:r>
      <w:r>
        <w:rPr>
          <w:rFonts w:ascii="Verdana" w:hAnsi="Verdana" w:eastAsia="Calibri" w:cs="Arial"/>
          <w:lang w:val="es-ES_tradnl"/>
        </w:rPr>
        <w:t>”</w:t>
      </w:r>
      <w:r w:rsidRPr="000A33B7">
        <w:rPr>
          <w:rFonts w:ascii="Verdana" w:hAnsi="Verdana" w:eastAsia="Calibri" w:cs="Arial"/>
          <w:lang w:val="es-ES_tradnl"/>
        </w:rPr>
        <w:t xml:space="preserve"> y a los </w:t>
      </w:r>
      <w:r>
        <w:rPr>
          <w:rFonts w:ascii="Verdana" w:hAnsi="Verdana" w:eastAsia="Calibri" w:cs="Arial"/>
          <w:lang w:val="es-ES_tradnl"/>
        </w:rPr>
        <w:t>“</w:t>
      </w:r>
      <w:r w:rsidRPr="000A33B7">
        <w:rPr>
          <w:rFonts w:ascii="Verdana" w:hAnsi="Verdana" w:eastAsia="Calibri" w:cs="Arial"/>
          <w:lang w:val="es-ES_tradnl"/>
        </w:rPr>
        <w:t>principios</w:t>
      </w:r>
      <w:r>
        <w:rPr>
          <w:rFonts w:ascii="Verdana" w:hAnsi="Verdana" w:eastAsia="Calibri" w:cs="Arial"/>
          <w:lang w:val="es-ES_tradnl"/>
        </w:rPr>
        <w:t>”</w:t>
      </w:r>
      <w:r w:rsidRPr="000A33B7">
        <w:rPr>
          <w:rFonts w:ascii="Verdana" w:hAnsi="Verdana" w:eastAsia="Calibri" w:cs="Arial"/>
          <w:lang w:val="es-ES_tradnl"/>
        </w:rPr>
        <w:t xml:space="preserve"> sin necesidad de remisiones adicionales a otras normas de contratación. Lo anterior se fundamenta en la directriz hermenéutica según la cual</w:t>
      </w:r>
      <w:r w:rsidRPr="000A33B7">
        <w:rPr>
          <w:rFonts w:ascii="Verdana" w:hAnsi="Verdana"/>
        </w:rPr>
        <w:t xml:space="preserve"> </w:t>
      </w:r>
      <w:r w:rsidRPr="000A33B7">
        <w:rPr>
          <w:rFonts w:ascii="Verdana" w:hAnsi="Verdana" w:eastAsia="Calibri" w:cs="Arial"/>
          <w:lang w:val="es-ES_tradnl"/>
        </w:rPr>
        <w:t xml:space="preserve">el sentido en el que una disposición produce efectos se prefiere sobre aquel en que no produzca efecto.       </w:t>
      </w:r>
    </w:p>
    <w:p w:rsidRPr="000A33B7" w:rsidR="008C70E0" w:rsidP="008C70E0" w:rsidRDefault="008C70E0" w14:paraId="4562F317" w14:textId="77777777">
      <w:pPr>
        <w:spacing w:after="120" w:line="276" w:lineRule="auto"/>
        <w:ind w:firstLine="708"/>
        <w:jc w:val="both"/>
        <w:rPr>
          <w:rFonts w:ascii="Verdana" w:hAnsi="Verdana" w:eastAsia="Calibri" w:cs="Arial"/>
          <w:lang w:val="es-ES"/>
        </w:rPr>
      </w:pPr>
      <w:r w:rsidRPr="15E5F6B6">
        <w:rPr>
          <w:rFonts w:ascii="Verdana" w:hAnsi="Verdana" w:eastAsia="Calibri" w:cs="Arial"/>
          <w:lang w:val="es-ES"/>
        </w:rPr>
        <w:t>Ahora bien, cuando el artículo 8 del decreto menciona a las “[…] normas generales aplicables a la contratación pública […]”, bien podrían referirse a las disposiciones comunes del Estatuto General –</w:t>
      </w:r>
      <w:r w:rsidRPr="15E5F6B6">
        <w:rPr>
          <w:rFonts w:ascii="Verdana" w:hAnsi="Verdana" w:eastAsia="Calibri" w:cs="Arial"/>
          <w:i/>
          <w:lang w:val="es-ES"/>
        </w:rPr>
        <w:t xml:space="preserve">remisión parcial </w:t>
      </w:r>
      <w:proofErr w:type="spellStart"/>
      <w:r w:rsidRPr="15E5F6B6">
        <w:rPr>
          <w:rFonts w:ascii="Verdana" w:hAnsi="Verdana" w:eastAsia="Calibri" w:cs="Arial"/>
          <w:i/>
          <w:lang w:val="es-ES"/>
        </w:rPr>
        <w:t>latu</w:t>
      </w:r>
      <w:proofErr w:type="spellEnd"/>
      <w:r w:rsidRPr="15E5F6B6">
        <w:rPr>
          <w:rFonts w:ascii="Verdana" w:hAnsi="Verdana" w:eastAsia="Calibri" w:cs="Arial"/>
          <w:i/>
          <w:lang w:val="es-ES"/>
        </w:rPr>
        <w:t xml:space="preserve"> sensu</w:t>
      </w:r>
      <w:r w:rsidRPr="15E5F6B6">
        <w:rPr>
          <w:rFonts w:ascii="Verdana" w:hAnsi="Verdana" w:eastAsia="Calibri" w:cs="Arial"/>
          <w:lang w:val="es-ES"/>
        </w:rPr>
        <w:t>– o a la totalidad de la Ley 80 de 1993 –</w:t>
      </w:r>
      <w:r w:rsidRPr="15E5F6B6">
        <w:rPr>
          <w:rFonts w:ascii="Verdana" w:hAnsi="Verdana" w:eastAsia="Calibri" w:cs="Arial"/>
          <w:i/>
          <w:lang w:val="es-ES"/>
        </w:rPr>
        <w:t>remisión integral</w:t>
      </w:r>
      <w:r w:rsidRPr="15E5F6B6">
        <w:rPr>
          <w:rFonts w:ascii="Verdana" w:hAnsi="Verdana" w:eastAsia="Calibri" w:cs="Arial"/>
          <w:lang w:val="es-ES"/>
        </w:rPr>
        <w:t xml:space="preserve">–. En esta medida, determinar el alcance de la remisión del artículo 8 del Decreto 092 requiere considerar que no hay lugar a distinguir entre normas de carácter general o especial dentro del Estatuto de Contratación de la Administración Pública, ya que de la competencia </w:t>
      </w:r>
      <w:r w:rsidRPr="15E5F6B6">
        <w:rPr>
          <w:rFonts w:ascii="Verdana" w:hAnsi="Verdana" w:eastAsia="Calibri" w:cs="Arial"/>
          <w:lang w:val="es-ES"/>
        </w:rPr>
        <w:lastRenderedPageBreak/>
        <w:t xml:space="preserve">dispuesta en el inciso final del artículo 150 de la Constitución Política se desprende que todas estas disposiciones regulan con el mismo grado de generalidad la actividad contractual del Estado.     </w:t>
      </w:r>
    </w:p>
    <w:p w:rsidRPr="000A33B7" w:rsidR="008C70E0" w:rsidP="008C70E0" w:rsidRDefault="008C70E0" w14:paraId="001489FC" w14:textId="77777777">
      <w:pPr>
        <w:spacing w:after="120" w:line="276" w:lineRule="auto"/>
        <w:ind w:firstLine="708"/>
        <w:jc w:val="both"/>
        <w:rPr>
          <w:rFonts w:ascii="Verdana" w:hAnsi="Verdana" w:eastAsia="Calibri" w:cs="Arial"/>
          <w:lang w:val="es-ES"/>
        </w:rPr>
      </w:pPr>
      <w:r w:rsidRPr="15E5F6B6">
        <w:rPr>
          <w:rFonts w:ascii="Verdana" w:hAnsi="Verdana" w:eastAsia="Calibri" w:cs="Arial"/>
          <w:lang w:val="es-ES"/>
        </w:rPr>
        <w:t xml:space="preserve">Por ello, considerando que la Ley 80 de 1993 tiene el mismo grado de generalidad, esta Subdirección concluye que el artículo 8 del Decreto 092 de 2017 </w:t>
      </w:r>
      <w:r w:rsidRPr="15E5F6B6">
        <w:rPr>
          <w:rFonts w:ascii="Verdana" w:hAnsi="Verdana" w:eastAsia="Calibri" w:cs="Arial"/>
          <w:i/>
          <w:lang w:val="es-ES"/>
        </w:rPr>
        <w:t>remite integralmente</w:t>
      </w:r>
      <w:r w:rsidRPr="15E5F6B6">
        <w:rPr>
          <w:rFonts w:ascii="Verdana" w:hAnsi="Verdana" w:eastAsia="Calibri" w:cs="Arial"/>
          <w:lang w:val="es-ES"/>
        </w:rPr>
        <w:t xml:space="preserve"> al Estatuto de Contratación.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bookmarkEnd w:id="13"/>
    <w:p w:rsidRPr="000A33B7" w:rsidR="008C70E0" w:rsidP="008C70E0" w:rsidRDefault="008C70E0" w14:paraId="2EFE26BF" w14:textId="77777777">
      <w:pPr>
        <w:spacing w:after="120" w:line="276" w:lineRule="auto"/>
        <w:ind w:firstLine="708"/>
        <w:jc w:val="both"/>
        <w:rPr>
          <w:rFonts w:ascii="Verdana" w:hAnsi="Verdana" w:eastAsia="Calibri" w:cs="Arial"/>
          <w:lang w:val="es-ES"/>
        </w:rPr>
      </w:pPr>
      <w:r w:rsidRPr="15E5F6B6">
        <w:rPr>
          <w:rFonts w:ascii="Verdana" w:hAnsi="Verdana" w:eastAsia="Calibri" w:cs="Arial"/>
          <w:lang w:val="es-ES"/>
        </w:rPr>
        <w:t xml:space="preserve">En esta medida, los </w:t>
      </w:r>
      <w:bookmarkStart w:name="_Hlk38213744" w:id="14"/>
      <w:r w:rsidRPr="15E5F6B6">
        <w:rPr>
          <w:rFonts w:ascii="Verdana" w:hAnsi="Verdana" w:eastAsia="Calibri" w:cs="Arial"/>
          <w:i/>
          <w:lang w:val="es-ES"/>
        </w:rPr>
        <w:t xml:space="preserve">contratos del artículo 355 de la Constitución </w:t>
      </w:r>
      <w:r w:rsidRPr="15E5F6B6">
        <w:rPr>
          <w:rFonts w:ascii="Verdana" w:hAnsi="Verdana" w:eastAsia="Calibri" w:cs="Arial"/>
          <w:lang w:val="es-ES"/>
        </w:rPr>
        <w:t xml:space="preserve">y los </w:t>
      </w:r>
      <w:r w:rsidRPr="15E5F6B6">
        <w:rPr>
          <w:rFonts w:ascii="Verdana" w:hAnsi="Verdana" w:eastAsia="Calibri" w:cs="Arial"/>
          <w:i/>
          <w:lang w:val="es-ES"/>
        </w:rPr>
        <w:t>convenios de asociación</w:t>
      </w:r>
      <w:bookmarkEnd w:id="14"/>
      <w:r w:rsidRPr="15E5F6B6">
        <w:rPr>
          <w:rFonts w:ascii="Verdana" w:hAnsi="Verdana" w:eastAsia="Calibri" w:cs="Arial"/>
          <w:lang w:val="es-ES"/>
        </w:rPr>
        <w:t xml:space="preserve"> se rigen por el decreto y las normas del Estatuto General que sean compatibles con él,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 </w:t>
      </w:r>
    </w:p>
    <w:p w:rsidR="008C70E0" w:rsidP="008C70E0" w:rsidRDefault="008C70E0" w14:paraId="67212894" w14:textId="77777777">
      <w:pPr>
        <w:spacing w:line="276" w:lineRule="auto"/>
        <w:ind w:firstLine="708"/>
        <w:jc w:val="both"/>
        <w:rPr>
          <w:rFonts w:ascii="Verdana" w:hAnsi="Verdana" w:eastAsia="Calibri" w:cs="Arial"/>
          <w:lang w:val="es-ES"/>
        </w:rPr>
      </w:pPr>
      <w:r w:rsidRPr="15E5F6B6">
        <w:rPr>
          <w:rFonts w:ascii="Verdana" w:hAnsi="Verdana" w:eastAsia="Calibri" w:cs="Arial"/>
          <w:lang w:val="es-ES"/>
        </w:rPr>
        <w:t xml:space="preserve">Incluso, en ambos es posible el ejercicio de poderes exorbitantes, siempre que estén relacionados con alguna de las tipologías previstas en el artículo 14, numeral 2, de la Ley 80 de 1993. Esta precisión es importante, porque –en los términos del artículo 1495 del Código Civil– los </w:t>
      </w:r>
      <w:r w:rsidRPr="15E5F6B6">
        <w:rPr>
          <w:rFonts w:ascii="Verdana" w:hAnsi="Verdana" w:eastAsia="Calibri" w:cs="Arial"/>
          <w:i/>
          <w:lang w:val="es-ES"/>
        </w:rPr>
        <w:t xml:space="preserve">contratos del artículo 355 de la Constitución </w:t>
      </w:r>
      <w:r w:rsidRPr="15E5F6B6">
        <w:rPr>
          <w:rFonts w:ascii="Verdana" w:hAnsi="Verdana" w:eastAsia="Calibri" w:cs="Arial"/>
          <w:lang w:val="es-ES"/>
        </w:rPr>
        <w:t xml:space="preserve">o los </w:t>
      </w:r>
      <w:r w:rsidRPr="15E5F6B6">
        <w:rPr>
          <w:rFonts w:ascii="Verdana" w:hAnsi="Verdana" w:eastAsia="Calibri" w:cs="Arial"/>
          <w:i/>
          <w:lang w:val="es-ES"/>
        </w:rPr>
        <w:t>convenios de asociación</w:t>
      </w:r>
      <w:r w:rsidRPr="15E5F6B6">
        <w:rPr>
          <w:rFonts w:ascii="Verdana" w:hAnsi="Verdana" w:eastAsia="Calibri" w:cs="Arial"/>
          <w:lang w:val="es-ES"/>
        </w:rPr>
        <w:t xml:space="preserve"> no son tipologías contractuales, sino acuerdos de voluntades para producir obligaciones. Si bien el Decreto 092 de 2017 define los sujetos y la causa del contrato, la tipología contractual se establece en función del objeto como uno de los elementos de la esencia del negocio jurídico, pues sin él no existe o degenera en otro</w:t>
      </w:r>
      <w:r w:rsidRPr="15E5F6B6">
        <w:rPr>
          <w:rStyle w:val="Refdenotaalpie"/>
          <w:rFonts w:ascii="Verdana" w:hAnsi="Verdana" w:eastAsia="Calibri" w:cs="Arial"/>
          <w:lang w:val="es-ES"/>
        </w:rPr>
        <w:footnoteReference w:id="10"/>
      </w:r>
      <w:r w:rsidRPr="15E5F6B6">
        <w:rPr>
          <w:rFonts w:ascii="Verdana" w:hAnsi="Verdana" w:eastAsia="Calibri" w:cs="Arial"/>
          <w:lang w:val="es-ES"/>
        </w:rPr>
        <w:t>.</w:t>
      </w:r>
    </w:p>
    <w:p w:rsidR="008C70E0" w:rsidP="008C70E0" w:rsidRDefault="008C70E0" w14:paraId="7E1EB045" w14:textId="77777777">
      <w:pPr>
        <w:spacing w:before="120" w:after="120" w:line="276" w:lineRule="auto"/>
        <w:ind w:firstLine="709"/>
        <w:jc w:val="both"/>
        <w:rPr>
          <w:rFonts w:ascii="Verdana" w:hAnsi="Verdana" w:eastAsia="Times New Roman" w:cs="Arial"/>
          <w:color w:val="000000"/>
          <w:lang w:val="es-ES" w:eastAsia="es-ES_tradnl"/>
        </w:rPr>
      </w:pPr>
      <w:r>
        <w:rPr>
          <w:rFonts w:ascii="Verdana" w:hAnsi="Verdana" w:eastAsia="Calibri" w:cs="Arial"/>
          <w:lang w:val="es-ES_tradnl"/>
        </w:rPr>
        <w:lastRenderedPageBreak/>
        <w:t xml:space="preserve">Como la Ley 1150 de 2007 complementa el EGCAP, también es posible declarar el incumplimiento para hacer efectivas las multas o la cláusula penal pactadas a través del procedimiento del artículo 86 de la Ley 1474 de 2011. </w:t>
      </w:r>
      <w:r w:rsidRPr="00FB4099">
        <w:rPr>
          <w:rFonts w:ascii="Verdana" w:hAnsi="Verdana" w:eastAsia="Calibri" w:cs="Arial"/>
          <w:lang w:val="es-ES_tradnl"/>
        </w:rPr>
        <w:t xml:space="preserve">Esta prerrogativa supone </w:t>
      </w:r>
      <w:r w:rsidRPr="00FB4099">
        <w:rPr>
          <w:rFonts w:ascii="Verdana" w:hAnsi="Verdana" w:eastAsia="Times New Roman" w:cs="Arial"/>
          <w:color w:val="000000"/>
          <w:lang w:val="es-ES" w:eastAsia="es-ES_tradnl"/>
        </w:rPr>
        <w:t xml:space="preserve">una particular combinación entre el principio de legalidad y la autonomía de la voluntad, de tal suerte </w:t>
      </w:r>
      <w:proofErr w:type="gramStart"/>
      <w:r w:rsidRPr="00FB4099">
        <w:rPr>
          <w:rFonts w:ascii="Verdana" w:hAnsi="Verdana" w:eastAsia="Times New Roman" w:cs="Arial"/>
          <w:color w:val="000000"/>
          <w:lang w:val="es-ES" w:eastAsia="es-ES_tradnl"/>
        </w:rPr>
        <w:t>que</w:t>
      </w:r>
      <w:proofErr w:type="gramEnd"/>
      <w:r w:rsidRPr="00FB4099">
        <w:rPr>
          <w:rFonts w:ascii="Verdana" w:hAnsi="Verdana" w:eastAsia="Times New Roman" w:cs="Arial"/>
          <w:color w:val="000000"/>
          <w:lang w:val="es-ES" w:eastAsia="es-ES_tradnl"/>
        </w:rPr>
        <w:t xml:space="preserv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FB4099">
        <w:rPr>
          <w:rFonts w:ascii="Verdana" w:hAnsi="Verdana" w:eastAsia="Times New Roman" w:cs="Arial"/>
          <w:sz w:val="24"/>
          <w:szCs w:val="24"/>
          <w:vertAlign w:val="superscript"/>
          <w:lang w:eastAsia="es-ES_tradnl"/>
        </w:rPr>
        <w:footnoteReference w:id="11"/>
      </w:r>
      <w:r w:rsidRPr="00FB4099">
        <w:rPr>
          <w:rFonts w:ascii="Verdana" w:hAnsi="Verdana" w:eastAsia="Times New Roman" w:cs="Arial"/>
          <w:color w:val="000000"/>
          <w:lang w:val="es-ES" w:eastAsia="es-ES_tradnl"/>
        </w:rPr>
        <w:t xml:space="preserve">. </w:t>
      </w:r>
    </w:p>
    <w:p w:rsidRPr="00FB4099" w:rsidR="008C70E0" w:rsidP="008C70E0" w:rsidRDefault="008C70E0" w14:paraId="7A5D4697" w14:textId="77777777">
      <w:pPr>
        <w:spacing w:before="120" w:after="120" w:line="276" w:lineRule="auto"/>
        <w:ind w:firstLine="709"/>
        <w:jc w:val="both"/>
        <w:rPr>
          <w:rFonts w:ascii="Verdana" w:hAnsi="Verdana" w:eastAsia="Times New Roman" w:cs="Arial"/>
          <w:color w:val="000000"/>
          <w:lang w:val="es-ES" w:eastAsia="es-ES_tradnl"/>
        </w:rPr>
      </w:pPr>
      <w:r>
        <w:rPr>
          <w:rFonts w:ascii="Verdana" w:hAnsi="Verdana" w:eastAsia="Times New Roman" w:cs="Arial"/>
          <w:color w:val="000000"/>
          <w:lang w:val="es-ES" w:eastAsia="es-ES_tradnl"/>
        </w:rPr>
        <w:t>Cumplido dicho requisito</w:t>
      </w:r>
      <w:r w:rsidRPr="00FB4099">
        <w:rPr>
          <w:rFonts w:ascii="Verdana" w:hAnsi="Verdana" w:eastAsia="Times New Roman" w:cs="Arial"/>
          <w:color w:val="000000"/>
          <w:lang w:val="es-ES" w:eastAsia="es-ES_tradnl"/>
        </w:rPr>
        <w:t>, las entidades estatales</w:t>
      </w:r>
      <w:r>
        <w:rPr>
          <w:rFonts w:ascii="Verdana" w:hAnsi="Verdana" w:eastAsia="Times New Roman" w:cs="Arial"/>
          <w:color w:val="000000"/>
          <w:lang w:val="es-ES" w:eastAsia="es-ES_tradnl"/>
        </w:rPr>
        <w:t xml:space="preserve"> que celebren </w:t>
      </w:r>
      <w:r w:rsidRPr="000A33B7">
        <w:rPr>
          <w:rFonts w:ascii="Verdana" w:hAnsi="Verdana" w:eastAsia="Calibri" w:cs="Arial"/>
          <w:i/>
          <w:iCs/>
          <w:lang w:val="es-ES_tradnl"/>
        </w:rPr>
        <w:t xml:space="preserve">contratos del artículo 355 de la Constitución </w:t>
      </w:r>
      <w:r w:rsidRPr="000A33B7">
        <w:rPr>
          <w:rFonts w:ascii="Verdana" w:hAnsi="Verdana" w:eastAsia="Calibri" w:cs="Arial"/>
          <w:lang w:val="es-ES_tradnl"/>
        </w:rPr>
        <w:t xml:space="preserve">o </w:t>
      </w:r>
      <w:r w:rsidRPr="000A33B7">
        <w:rPr>
          <w:rFonts w:ascii="Verdana" w:hAnsi="Verdana" w:eastAsia="Calibri" w:cs="Arial"/>
          <w:i/>
          <w:iCs/>
          <w:lang w:val="es-ES_tradnl"/>
        </w:rPr>
        <w:t>convenios de asociación</w:t>
      </w:r>
      <w:r w:rsidRPr="00FB4099">
        <w:rPr>
          <w:rFonts w:ascii="Verdana" w:hAnsi="Verdana" w:eastAsia="Times New Roman" w:cs="Arial"/>
          <w:color w:val="000000"/>
          <w:lang w:val="es-ES" w:eastAsia="es-ES_tradnl"/>
        </w:rPr>
        <w:t>,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rsidRPr="00FB4099" w:rsidR="008C70E0" w:rsidP="008C70E0" w:rsidRDefault="008C70E0" w14:paraId="676A14E6" w14:textId="77777777">
      <w:pPr>
        <w:spacing w:before="120" w:after="0" w:line="276" w:lineRule="auto"/>
        <w:ind w:firstLine="709"/>
        <w:jc w:val="both"/>
        <w:rPr>
          <w:rFonts w:ascii="Verdana" w:hAnsi="Verdana" w:eastAsia="Times New Roman" w:cs="Arial"/>
          <w:color w:val="000000"/>
          <w:lang w:val="es-ES" w:eastAsia="es-ES"/>
        </w:rPr>
      </w:pPr>
      <w:r w:rsidRPr="00FB4099">
        <w:rPr>
          <w:rFonts w:ascii="Verdana" w:hAnsi="Verdana" w:eastAsia="Times New Roman" w:cs="Arial"/>
          <w:color w:val="000000" w:themeColor="text1"/>
          <w:lang w:val="es-ES" w:eastAsia="es-ES"/>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rsidRPr="00FB4099" w:rsidR="008C70E0" w:rsidP="008C70E0" w:rsidRDefault="008C70E0" w14:paraId="6BB0BA1B" w14:textId="77777777">
      <w:pPr>
        <w:spacing w:after="0" w:line="276" w:lineRule="auto"/>
        <w:ind w:left="720" w:right="-425"/>
        <w:contextualSpacing/>
        <w:jc w:val="both"/>
        <w:rPr>
          <w:rFonts w:ascii="Verdana" w:hAnsi="Verdana" w:eastAsia="Calibri" w:cs="Arial"/>
          <w:iCs/>
          <w:color w:val="000000"/>
          <w:lang w:val="es-ES_tradnl"/>
        </w:rPr>
      </w:pPr>
    </w:p>
    <w:p w:rsidRPr="00881DAB" w:rsidR="008C70E0" w:rsidP="008C70E0" w:rsidRDefault="008C70E0" w14:paraId="75E095FE" w14:textId="77777777">
      <w:pPr>
        <w:spacing w:after="0" w:line="240" w:lineRule="auto"/>
        <w:ind w:left="709" w:right="709"/>
        <w:contextualSpacing/>
        <w:jc w:val="both"/>
        <w:rPr>
          <w:rFonts w:ascii="Verdana" w:hAnsi="Verdana" w:eastAsia="Calibri" w:cs="Arial"/>
          <w:iCs/>
          <w:color w:val="000000"/>
          <w:sz w:val="21"/>
          <w:szCs w:val="21"/>
          <w:lang w:val="es-ES_tradnl"/>
        </w:rPr>
      </w:pPr>
      <w:r w:rsidRPr="00881DAB">
        <w:rPr>
          <w:rFonts w:ascii="Verdana" w:hAnsi="Verdana" w:eastAsia="Calibri" w:cs="Arial"/>
          <w:iCs/>
          <w:color w:val="000000"/>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881DAB">
        <w:rPr>
          <w:rFonts w:ascii="Verdana" w:hAnsi="Verdana" w:eastAsia="Calibri" w:cs="Arial"/>
          <w:sz w:val="21"/>
          <w:szCs w:val="21"/>
          <w:vertAlign w:val="superscript"/>
          <w:lang w:val="es-MX"/>
        </w:rPr>
        <w:footnoteReference w:id="12"/>
      </w:r>
      <w:r w:rsidRPr="00881DAB">
        <w:rPr>
          <w:rFonts w:ascii="Verdana" w:hAnsi="Verdana" w:eastAsia="Calibri" w:cs="Arial"/>
          <w:iCs/>
          <w:color w:val="000000"/>
          <w:sz w:val="21"/>
          <w:szCs w:val="21"/>
          <w:lang w:val="es-ES_tradnl"/>
        </w:rPr>
        <w:t xml:space="preserve">. </w:t>
      </w:r>
    </w:p>
    <w:p w:rsidRPr="00FB4099" w:rsidR="008C70E0" w:rsidP="008C70E0" w:rsidRDefault="008C70E0" w14:paraId="43E7189A" w14:textId="77777777">
      <w:pPr>
        <w:spacing w:after="0" w:line="240" w:lineRule="auto"/>
        <w:ind w:left="709" w:right="758"/>
        <w:jc w:val="both"/>
        <w:rPr>
          <w:rFonts w:ascii="Verdana" w:hAnsi="Verdana" w:eastAsia="Times New Roman" w:cs="Arial"/>
          <w:iCs/>
          <w:color w:val="000000"/>
          <w:sz w:val="21"/>
          <w:szCs w:val="21"/>
          <w:lang w:val="es-ES_tradnl" w:eastAsia="es-ES_tradnl"/>
        </w:rPr>
      </w:pPr>
    </w:p>
    <w:p w:rsidRPr="00FB4099" w:rsidR="008C70E0" w:rsidP="008C70E0" w:rsidRDefault="008C70E0" w14:paraId="13A79202" w14:textId="77777777">
      <w:pPr>
        <w:spacing w:after="0" w:line="276" w:lineRule="auto"/>
        <w:ind w:firstLine="709"/>
        <w:jc w:val="both"/>
        <w:rPr>
          <w:rFonts w:ascii="Verdana" w:hAnsi="Verdana" w:eastAsia="Times New Roman" w:cs="Arial"/>
          <w:iCs/>
          <w:color w:val="000000"/>
          <w:szCs w:val="24"/>
          <w:lang w:val="es-ES_tradnl" w:eastAsia="es-ES_tradnl"/>
        </w:rPr>
      </w:pPr>
      <w:r w:rsidRPr="00881DAB">
        <w:rPr>
          <w:rFonts w:ascii="Verdana" w:hAnsi="Verdana" w:eastAsia="Times New Roman" w:cs="Arial"/>
          <w:iCs/>
          <w:color w:val="000000"/>
          <w:lang w:val="es-ES_tradnl" w:eastAsia="es-ES_tradnl"/>
        </w:rPr>
        <w:t xml:space="preserve">De igual forma, en otra oportunidad, el Consejo de Estado indicó que “el núcleo mínimo de este derecho exige que una norma –legal o contractual– </w:t>
      </w:r>
      <w:r w:rsidRPr="00881DAB">
        <w:rPr>
          <w:rFonts w:ascii="Verdana" w:hAnsi="Verdana" w:eastAsia="Times New Roman" w:cs="Arial"/>
          <w:iCs/>
          <w:color w:val="000000"/>
          <w:lang w:val="es-ES_tradnl" w:eastAsia="es-ES_tradnl"/>
        </w:rPr>
        <w:lastRenderedPageBreak/>
        <w:t>contemple la falta y la sanción. Si ni siquiera lo hace el contrato, la Administración no puede imponer sanciones, so pena de violar el debido proceso”</w:t>
      </w:r>
      <w:r w:rsidRPr="00881DAB">
        <w:rPr>
          <w:rFonts w:ascii="Verdana" w:hAnsi="Verdana" w:eastAsia="Times New Roman" w:cs="Arial"/>
          <w:vertAlign w:val="superscript"/>
          <w:lang w:eastAsia="es-ES_tradnl"/>
        </w:rPr>
        <w:footnoteReference w:id="13"/>
      </w:r>
      <w:r w:rsidRPr="00881DAB">
        <w:rPr>
          <w:rFonts w:ascii="Verdana" w:hAnsi="Verdana" w:eastAsia="Times New Roman" w:cs="Arial"/>
          <w:iCs/>
          <w:color w:val="000000"/>
          <w:lang w:val="es-ES_tradnl" w:eastAsia="es-ES_tradnl"/>
        </w:rPr>
        <w:t>. De otro lado, la Corte Constitucional precisó que la tipicidad hacía referencia a “la exigencia de descripción específica y precisa por la norma creadora de las infracciones y de las sanciones, de las conductas que pueden ser sancionadas y del contenido material de las sanciones que puede</w:t>
      </w:r>
      <w:r w:rsidRPr="00FB4099">
        <w:rPr>
          <w:rFonts w:ascii="Verdana" w:hAnsi="Verdana" w:eastAsia="Times New Roman" w:cs="Arial"/>
          <w:iCs/>
          <w:color w:val="000000"/>
          <w:szCs w:val="24"/>
          <w:lang w:val="es-ES_tradnl" w:eastAsia="es-ES_tradnl"/>
        </w:rPr>
        <w:t xml:space="preserve"> imponerse por la comisión de cada conducta, así como la correlación entre unas y otras</w:t>
      </w:r>
      <w:r>
        <w:rPr>
          <w:rFonts w:ascii="Verdana" w:hAnsi="Verdana" w:eastAsia="Times New Roman" w:cs="Arial"/>
          <w:iCs/>
          <w:color w:val="000000"/>
          <w:szCs w:val="24"/>
          <w:lang w:val="es-ES_tradnl" w:eastAsia="es-ES_tradnl"/>
        </w:rPr>
        <w:t>”</w:t>
      </w:r>
      <w:r w:rsidRPr="00881DAB">
        <w:rPr>
          <w:rFonts w:ascii="Verdana" w:hAnsi="Verdana" w:eastAsia="Times New Roman" w:cs="Arial"/>
          <w:vertAlign w:val="superscript"/>
          <w:lang w:eastAsia="es-ES_tradnl"/>
        </w:rPr>
        <w:footnoteReference w:id="14"/>
      </w:r>
      <w:r w:rsidRPr="00FB4099">
        <w:rPr>
          <w:rFonts w:ascii="Verdana" w:hAnsi="Verdana" w:eastAsia="Times New Roman" w:cs="Arial"/>
          <w:iCs/>
          <w:color w:val="000000"/>
          <w:szCs w:val="24"/>
          <w:lang w:val="es-ES_tradnl" w:eastAsia="es-ES_tradnl"/>
        </w:rPr>
        <w:t xml:space="preserve">. </w:t>
      </w:r>
    </w:p>
    <w:p w:rsidRPr="00FB4099" w:rsidR="008C70E0" w:rsidP="008C70E0" w:rsidRDefault="008C70E0" w14:paraId="1E9903D6" w14:textId="77777777">
      <w:pPr>
        <w:spacing w:before="120" w:after="0" w:line="276" w:lineRule="auto"/>
        <w:ind w:firstLine="709"/>
        <w:jc w:val="both"/>
        <w:rPr>
          <w:rFonts w:ascii="Verdana" w:hAnsi="Verdana" w:eastAsia="Times New Roman" w:cs="Arial"/>
          <w:iCs/>
          <w:color w:val="000000"/>
          <w:szCs w:val="24"/>
          <w:lang w:val="es-ES_tradnl" w:eastAsia="es-ES_tradnl"/>
        </w:rPr>
      </w:pPr>
      <w:r w:rsidRPr="00FB4099">
        <w:rPr>
          <w:rFonts w:ascii="Verdana" w:hAnsi="Verdana" w:eastAsia="Times New Roman" w:cs="Arial"/>
          <w:iCs/>
          <w:color w:val="000000"/>
          <w:szCs w:val="24"/>
          <w:lang w:val="es-ES_tradnl" w:eastAsia="es-ES_tradnl"/>
        </w:rPr>
        <w:t xml:space="preserve">Por su parte, el artículo 17 de la Ley 1150 de 2007, además de autorizar la imposición unilateral de multas, también precisa que la declaración de incumplimiento tiene como propósito </w:t>
      </w:r>
      <w:r>
        <w:rPr>
          <w:rFonts w:ascii="Verdana" w:hAnsi="Verdana" w:eastAsia="Times New Roman" w:cs="Arial"/>
          <w:iCs/>
          <w:color w:val="000000"/>
          <w:szCs w:val="24"/>
          <w:lang w:val="es-ES_tradnl" w:eastAsia="es-ES_tradnl"/>
        </w:rPr>
        <w:t>“</w:t>
      </w:r>
      <w:r w:rsidRPr="00FB4099">
        <w:rPr>
          <w:rFonts w:ascii="Verdana" w:hAnsi="Verdana" w:eastAsia="Times New Roman" w:cs="Arial"/>
          <w:iCs/>
          <w:color w:val="000000"/>
          <w:szCs w:val="24"/>
          <w:lang w:val="es-ES_tradnl" w:eastAsia="es-ES_tradnl"/>
        </w:rPr>
        <w:t>hacer efectiva la cláusula penal pecuniaria incluida en el contrato</w:t>
      </w:r>
      <w:r>
        <w:rPr>
          <w:rFonts w:ascii="Verdana" w:hAnsi="Verdana" w:eastAsia="Times New Roman" w:cs="Arial"/>
          <w:iCs/>
          <w:color w:val="000000"/>
          <w:szCs w:val="24"/>
          <w:lang w:val="es-ES_tradnl" w:eastAsia="es-ES_tradnl"/>
        </w:rPr>
        <w:t>”</w:t>
      </w:r>
      <w:r w:rsidRPr="00FB4099">
        <w:rPr>
          <w:rFonts w:ascii="Verdana" w:hAnsi="Verdana" w:eastAsia="Times New Roman" w:cs="Arial"/>
          <w:iCs/>
          <w:color w:val="000000"/>
          <w:szCs w:val="24"/>
          <w:lang w:val="es-ES_tradnl" w:eastAsia="es-ES_tradnl"/>
        </w:rPr>
        <w:t>. En este punto, conviene resaltar lo dicho por la Sección Tercera del Consejo de Estado, en relación con las diferencias entre las multas y la cláusula penal, esto es</w:t>
      </w:r>
      <w:r>
        <w:rPr>
          <w:rFonts w:ascii="Verdana" w:hAnsi="Verdana" w:eastAsia="Times New Roman" w:cs="Arial"/>
          <w:iCs/>
          <w:color w:val="000000"/>
          <w:szCs w:val="24"/>
          <w:lang w:val="es-ES_tradnl" w:eastAsia="es-ES_tradnl"/>
        </w:rPr>
        <w:t>,</w:t>
      </w:r>
      <w:r w:rsidRPr="00FB4099">
        <w:rPr>
          <w:rFonts w:ascii="Verdana" w:hAnsi="Verdana" w:eastAsia="Times New Roman" w:cs="Arial"/>
          <w:iCs/>
          <w:color w:val="000000"/>
          <w:szCs w:val="24"/>
          <w:lang w:val="es-ES_tradnl" w:eastAsia="es-ES_tradnl"/>
        </w:rPr>
        <w:t xml:space="preserve"> </w:t>
      </w:r>
      <w:r>
        <w:rPr>
          <w:rFonts w:ascii="Verdana" w:hAnsi="Verdana" w:eastAsia="Times New Roman" w:cs="Arial"/>
          <w:iCs/>
          <w:color w:val="000000"/>
          <w:szCs w:val="24"/>
          <w:lang w:val="es-ES_tradnl" w:eastAsia="es-ES_tradnl"/>
        </w:rPr>
        <w:t>“</w:t>
      </w:r>
      <w:r w:rsidRPr="00FB4099">
        <w:rPr>
          <w:rFonts w:ascii="Verdana" w:hAnsi="Verdana" w:eastAsia="Times New Roman" w:cs="Arial"/>
          <w:iCs/>
          <w:color w:val="000000"/>
          <w:szCs w:val="24"/>
          <w:lang w:val="es-ES_tradnl" w:eastAsia="es-ES_tradnl"/>
        </w:rPr>
        <w:t>[a]</w:t>
      </w:r>
      <w:proofErr w:type="spellStart"/>
      <w:r w:rsidRPr="00FB4099">
        <w:rPr>
          <w:rFonts w:ascii="Verdana" w:hAnsi="Verdana" w:eastAsia="Times New Roman" w:cs="Arial"/>
          <w:iCs/>
          <w:color w:val="000000"/>
          <w:szCs w:val="24"/>
          <w:lang w:val="es-ES_tradnl" w:eastAsia="es-ES_tradnl"/>
        </w:rPr>
        <w:t>unque</w:t>
      </w:r>
      <w:proofErr w:type="spellEnd"/>
      <w:r w:rsidRPr="00FB4099">
        <w:rPr>
          <w:rFonts w:ascii="Verdana" w:hAnsi="Verdana" w:eastAsia="Times New Roman" w:cs="Arial"/>
          <w:iCs/>
          <w:color w:val="000000"/>
          <w:szCs w:val="24"/>
          <w:lang w:val="es-ES_tradnl" w:eastAsia="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Pr>
          <w:rFonts w:ascii="Verdana" w:hAnsi="Verdana" w:eastAsia="Times New Roman" w:cs="Arial"/>
          <w:iCs/>
          <w:color w:val="000000"/>
          <w:szCs w:val="24"/>
          <w:lang w:val="es-ES_tradnl" w:eastAsia="es-ES_tradnl"/>
        </w:rPr>
        <w:t>”</w:t>
      </w:r>
      <w:r w:rsidRPr="00FB4099">
        <w:rPr>
          <w:rFonts w:ascii="Verdana" w:hAnsi="Verdana" w:eastAsia="Times New Roman" w:cs="Arial"/>
          <w:sz w:val="24"/>
          <w:szCs w:val="24"/>
          <w:vertAlign w:val="superscript"/>
          <w:lang w:eastAsia="es-ES_tradnl"/>
        </w:rPr>
        <w:footnoteReference w:id="15"/>
      </w:r>
      <w:r w:rsidRPr="00FB4099">
        <w:rPr>
          <w:rFonts w:ascii="Verdana" w:hAnsi="Verdana" w:eastAsia="Times New Roman" w:cs="Arial"/>
          <w:iCs/>
          <w:color w:val="000000"/>
          <w:szCs w:val="24"/>
          <w:lang w:val="es-ES_tradnl" w:eastAsia="es-ES_tradnl"/>
        </w:rPr>
        <w:t>.</w:t>
      </w:r>
    </w:p>
    <w:p w:rsidR="008C70E0" w:rsidP="008C70E0" w:rsidRDefault="008C70E0" w14:paraId="6F34E98D" w14:textId="77777777">
      <w:pPr>
        <w:spacing w:after="0" w:line="276" w:lineRule="auto"/>
        <w:jc w:val="both"/>
        <w:rPr>
          <w:rFonts w:ascii="Verdana" w:hAnsi="Verdana" w:eastAsia="Calibri" w:cs="Arial"/>
          <w:lang w:val="es-ES"/>
        </w:rPr>
      </w:pPr>
    </w:p>
    <w:p w:rsidRPr="00C35305" w:rsidR="008C70E0" w:rsidP="008C70E0" w:rsidRDefault="008C70E0" w14:paraId="5BF0CAFF" w14:textId="77777777">
      <w:pPr>
        <w:spacing w:line="276" w:lineRule="auto"/>
        <w:jc w:val="both"/>
        <w:rPr>
          <w:rFonts w:ascii="Verdana" w:hAnsi="Verdana" w:cs="Arial"/>
          <w:color w:val="000000" w:themeColor="text1"/>
        </w:rPr>
      </w:pPr>
      <w:proofErr w:type="spellStart"/>
      <w:r>
        <w:rPr>
          <w:rFonts w:ascii="Verdana" w:hAnsi="Verdana" w:cs="Arial"/>
          <w:color w:val="000000" w:themeColor="text1"/>
        </w:rPr>
        <w:t>iii</w:t>
      </w:r>
      <w:proofErr w:type="spellEnd"/>
      <w:r>
        <w:rPr>
          <w:rFonts w:ascii="Verdana" w:hAnsi="Verdana" w:cs="Arial"/>
          <w:color w:val="000000" w:themeColor="text1"/>
        </w:rPr>
        <w:t xml:space="preserve">. </w:t>
      </w:r>
      <w:r w:rsidRPr="00C35305">
        <w:rPr>
          <w:rFonts w:ascii="Verdana" w:hAnsi="Verdana" w:cs="Arial"/>
          <w:color w:val="000000" w:themeColor="text1"/>
        </w:rPr>
        <w:t>Al margen de la explicación precedente debe advertirse que 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calificar conductas con presunta incidencia disciplinaria </w:t>
      </w:r>
      <w:r w:rsidRPr="00C35305">
        <w:rPr>
          <w:rFonts w:ascii="Verdana" w:hAnsi="Verdana" w:cs="Arial"/>
          <w:color w:val="000000" w:themeColor="text1"/>
        </w:rPr>
        <w:t>debe ser 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 del presente oficio. De esta manera, las afirmaciones aquí realizadas</w:t>
      </w:r>
      <w:r>
        <w:rPr>
          <w:rFonts w:ascii="Verdana" w:hAnsi="Verdana" w:cs="Arial"/>
          <w:color w:val="000000" w:themeColor="text1"/>
        </w:rPr>
        <w:t xml:space="preserve"> </w:t>
      </w:r>
      <w:r w:rsidRPr="00C35305">
        <w:rPr>
          <w:rFonts w:ascii="Verdana" w:hAnsi="Verdana" w:cs="Arial"/>
          <w:color w:val="000000" w:themeColor="text1"/>
        </w:rPr>
        <w:t>no</w:t>
      </w:r>
      <w:r>
        <w:rPr>
          <w:rFonts w:ascii="Verdana" w:hAnsi="Verdana" w:cs="Arial"/>
          <w:color w:val="000000" w:themeColor="text1"/>
        </w:rPr>
        <w:t xml:space="preserve"> </w:t>
      </w:r>
      <w:r w:rsidRPr="00C35305">
        <w:rPr>
          <w:rFonts w:ascii="Verdana" w:hAnsi="Verdana" w:cs="Arial"/>
          <w:color w:val="000000" w:themeColor="text1"/>
        </w:rPr>
        <w:t>pueden ser interpretadas como juicios de valor sobre circunstancias</w:t>
      </w:r>
      <w:r>
        <w:rPr>
          <w:rFonts w:ascii="Verdana" w:hAnsi="Verdana" w:cs="Arial"/>
          <w:color w:val="000000" w:themeColor="text1"/>
        </w:rPr>
        <w:t xml:space="preserve"> </w:t>
      </w:r>
      <w:r w:rsidRPr="00C35305">
        <w:rPr>
          <w:rFonts w:ascii="Verdana" w:hAnsi="Verdana" w:cs="Arial"/>
          <w:color w:val="000000" w:themeColor="text1"/>
        </w:rPr>
        <w:t>concretas</w:t>
      </w:r>
      <w:r>
        <w:rPr>
          <w:rFonts w:ascii="Verdana" w:hAnsi="Verdana" w:cs="Arial"/>
          <w:color w:val="000000" w:themeColor="text1"/>
        </w:rPr>
        <w:t xml:space="preserve"> </w:t>
      </w:r>
      <w:r w:rsidRPr="00C35305">
        <w:rPr>
          <w:rFonts w:ascii="Verdana" w:hAnsi="Verdana" w:cs="Arial"/>
          <w:color w:val="000000" w:themeColor="text1"/>
        </w:rPr>
        <w:t xml:space="preserve">relacionadas con los hechos </w:t>
      </w:r>
      <w:r>
        <w:rPr>
          <w:rFonts w:ascii="Verdana" w:hAnsi="Verdana" w:cs="Arial"/>
          <w:color w:val="000000" w:themeColor="text1"/>
        </w:rPr>
        <w:t>del expediente disciplinario que</w:t>
      </w:r>
      <w:r w:rsidRPr="00C35305">
        <w:rPr>
          <w:rFonts w:ascii="Verdana" w:hAnsi="Verdana" w:cs="Arial"/>
          <w:color w:val="000000" w:themeColor="text1"/>
        </w:rPr>
        <w:t xml:space="preserve"> motivan la</w:t>
      </w:r>
      <w:r>
        <w:rPr>
          <w:rFonts w:ascii="Verdana" w:hAnsi="Verdana" w:cs="Arial"/>
          <w:color w:val="000000" w:themeColor="text1"/>
        </w:rPr>
        <w:t xml:space="preserve"> </w:t>
      </w:r>
      <w:r w:rsidRPr="00C35305">
        <w:rPr>
          <w:rFonts w:ascii="Verdana" w:hAnsi="Verdana" w:cs="Arial"/>
          <w:color w:val="000000" w:themeColor="text1"/>
        </w:rPr>
        <w:t>consulta.</w:t>
      </w:r>
      <w:r>
        <w:rPr>
          <w:rFonts w:ascii="Verdana" w:hAnsi="Verdana" w:cs="Arial"/>
          <w:color w:val="000000" w:themeColor="text1"/>
        </w:rPr>
        <w:t xml:space="preserve"> </w:t>
      </w:r>
      <w:r w:rsidRPr="00C35305">
        <w:rPr>
          <w:rFonts w:ascii="Verdana" w:hAnsi="Verdana" w:cs="Arial"/>
          <w:color w:val="000000" w:themeColor="text1"/>
        </w:rPr>
        <w:t>Por lo anterior, previo concepto de sus asesores, la solución de situaciones particulares corresponde a los interesados</w:t>
      </w:r>
      <w:r>
        <w:rPr>
          <w:rFonts w:ascii="Verdana" w:hAnsi="Verdana" w:cs="Arial"/>
          <w:color w:val="000000" w:themeColor="text1"/>
        </w:rPr>
        <w:t xml:space="preserve"> </w:t>
      </w:r>
      <w:r w:rsidRPr="00C35305">
        <w:rPr>
          <w:rFonts w:ascii="Verdana" w:hAnsi="Verdana" w:cs="Arial"/>
          <w:color w:val="000000" w:themeColor="text1"/>
        </w:rPr>
        <w:t>adoptar la decisión correspondiente y, en caso de conflicto, a las autoridades judiciales.</w:t>
      </w:r>
    </w:p>
    <w:p w:rsidR="008C70E0" w:rsidP="008C70E0" w:rsidRDefault="008C70E0" w14:paraId="3FA86D62" w14:textId="77777777">
      <w:pPr>
        <w:spacing w:after="0" w:line="276" w:lineRule="auto"/>
        <w:ind w:firstLine="708"/>
        <w:jc w:val="both"/>
        <w:rPr>
          <w:rFonts w:ascii="Verdana" w:hAnsi="Verdana" w:cs="Arial"/>
          <w:color w:val="000000" w:themeColor="text1"/>
        </w:rPr>
      </w:pPr>
      <w:r w:rsidRPr="00C35305">
        <w:rPr>
          <w:rFonts w:ascii="Verdana" w:hAnsi="Verdana" w:cs="Arial"/>
          <w:color w:val="000000" w:themeColor="text1"/>
        </w:rPr>
        <w:t xml:space="preserve">Dentro de este marco, </w:t>
      </w:r>
      <w:r>
        <w:rPr>
          <w:rFonts w:ascii="Verdana" w:hAnsi="Verdana" w:cs="Arial"/>
          <w:color w:val="000000" w:themeColor="text1"/>
        </w:rPr>
        <w:t>el órgano disciplinario</w:t>
      </w:r>
      <w:r w:rsidRPr="00C35305">
        <w:rPr>
          <w:rFonts w:ascii="Verdana" w:hAnsi="Verdana" w:cs="Arial"/>
          <w:color w:val="000000" w:themeColor="text1"/>
        </w:rPr>
        <w:t xml:space="preserve"> definirá en cada caso concreto lo</w:t>
      </w:r>
      <w:r>
        <w:rPr>
          <w:rFonts w:ascii="Verdana" w:hAnsi="Verdana" w:cs="Arial"/>
          <w:color w:val="000000" w:themeColor="text1"/>
        </w:rPr>
        <w:t xml:space="preserve"> </w:t>
      </w:r>
      <w:r w:rsidRPr="00C35305">
        <w:rPr>
          <w:rFonts w:ascii="Verdana" w:hAnsi="Verdana" w:cs="Arial"/>
          <w:color w:val="000000" w:themeColor="text1"/>
        </w:rPr>
        <w:t xml:space="preserve">relacionado con </w:t>
      </w:r>
      <w:r>
        <w:rPr>
          <w:rFonts w:ascii="Verdana" w:hAnsi="Verdana" w:cs="Arial"/>
          <w:color w:val="000000" w:themeColor="text1"/>
        </w:rPr>
        <w:t xml:space="preserve">la tipicidad de las conductas investigadas en </w:t>
      </w:r>
      <w:r>
        <w:rPr>
          <w:rFonts w:ascii="Verdana" w:hAnsi="Verdana" w:eastAsia="Calibri" w:cs="Arial"/>
          <w:lang w:val="es-ES" w:eastAsia="es-ES"/>
        </w:rPr>
        <w:t xml:space="preserve">el </w:t>
      </w:r>
      <w:r>
        <w:rPr>
          <w:rFonts w:ascii="Verdana" w:hAnsi="Verdana" w:eastAsia="Calibri" w:cs="Arial"/>
          <w:lang w:val="es-ES" w:eastAsia="es-ES"/>
        </w:rPr>
        <w:lastRenderedPageBreak/>
        <w:t>expediente I</w:t>
      </w:r>
      <w:r w:rsidRPr="00FC259A">
        <w:rPr>
          <w:rFonts w:ascii="Verdana" w:hAnsi="Verdana" w:eastAsia="Calibri" w:cs="Arial"/>
          <w:lang w:val="es-ES" w:eastAsia="es-ES"/>
        </w:rPr>
        <w:t>US E-2024-613045</w:t>
      </w:r>
      <w:r w:rsidRPr="00C35305">
        <w:rPr>
          <w:rFonts w:ascii="Verdana" w:hAnsi="Verdana" w:cs="Arial"/>
          <w:color w:val="000000" w:themeColor="text1"/>
        </w:rPr>
        <w:t xml:space="preserve">. </w:t>
      </w:r>
      <w:r>
        <w:rPr>
          <w:rFonts w:ascii="Verdana" w:hAnsi="Verdana" w:cs="Arial"/>
          <w:color w:val="000000" w:themeColor="text1"/>
        </w:rPr>
        <w:t>Dado que sólo tiene a cargo la interpretación abstracta de las normas del sistema de compras y contratación pública, l</w:t>
      </w:r>
      <w:r w:rsidRPr="00C35305">
        <w:rPr>
          <w:rFonts w:ascii="Verdana" w:hAnsi="Verdana" w:cs="Arial"/>
          <w:color w:val="000000" w:themeColor="text1"/>
        </w:rPr>
        <w:t>a Agencia no puede definir un criterio universal y absoluto, sino que brinda elementos de carácter general para que los partícipes del sistema de compras y contratación pública adopten la decisión que corresponda, lo cual es acorde con el principio de juridicidad.</w:t>
      </w:r>
      <w:r>
        <w:rPr>
          <w:rFonts w:ascii="Verdana" w:hAnsi="Verdana" w:cs="Arial"/>
          <w:color w:val="000000" w:themeColor="text1"/>
        </w:rPr>
        <w:t xml:space="preserve"> </w:t>
      </w:r>
      <w:r w:rsidRPr="00C35305">
        <w:rPr>
          <w:rFonts w:ascii="Verdana" w:hAnsi="Verdana" w:cs="Arial"/>
          <w:color w:val="000000" w:themeColor="text1"/>
        </w:rPr>
        <w:t>Así, cada entidad definirá la forma de adelantar su gestión contractual, sin que sea atribución de Colombia Compra Eficiente validar sus actuaciones</w:t>
      </w:r>
      <w:r>
        <w:rPr>
          <w:rFonts w:ascii="Verdana" w:hAnsi="Verdana" w:cs="Arial"/>
          <w:color w:val="000000" w:themeColor="text1"/>
        </w:rPr>
        <w:t xml:space="preserve"> frente a las autoridades que cumplen funciones de control y vigilancia</w:t>
      </w:r>
      <w:r w:rsidRPr="00C35305">
        <w:rPr>
          <w:rFonts w:ascii="Verdana" w:hAnsi="Verdana" w:cs="Arial"/>
          <w:color w:val="000000" w:themeColor="text1"/>
        </w:rPr>
        <w:t>.</w:t>
      </w:r>
    </w:p>
    <w:p w:rsidRPr="001F1E9D" w:rsidR="008C70E0" w:rsidP="008C70E0" w:rsidRDefault="008C70E0" w14:paraId="3B790CC9" w14:textId="77777777">
      <w:pPr>
        <w:spacing w:after="0" w:line="276" w:lineRule="auto"/>
        <w:ind w:firstLine="708"/>
        <w:jc w:val="both"/>
        <w:rPr>
          <w:rFonts w:ascii="Verdana" w:hAnsi="Verdana" w:cs="Arial"/>
          <w:color w:val="000000" w:themeColor="text1"/>
        </w:rPr>
      </w:pPr>
    </w:p>
    <w:p w:rsidRPr="00593A5F" w:rsidR="008C70E0" w:rsidP="008C70E0" w:rsidRDefault="008C70E0" w14:paraId="2DEC6019"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w:t>
      </w:r>
    </w:p>
    <w:p w:rsidRPr="00593A5F" w:rsidR="008C70E0" w:rsidP="008C70E0" w:rsidRDefault="008C70E0" w14:paraId="602F7A31" w14:textId="7777777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2407CE" w:rsidR="008C70E0" w:rsidTr="00580A51" w14:paraId="36243369" w14:textId="77777777">
        <w:trPr>
          <w:trHeight w:val="870"/>
          <w:jc w:val="center"/>
        </w:trPr>
        <w:tc>
          <w:tcPr>
            <w:tcW w:w="8647" w:type="dxa"/>
          </w:tcPr>
          <w:p w:rsidRPr="00B954AE" w:rsidR="008C70E0" w:rsidP="008C70E0" w:rsidRDefault="008C70E0" w14:paraId="186FA536"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Constitución Política de 1991, artículos 150 y 355.</w:t>
            </w:r>
          </w:p>
          <w:p w:rsidRPr="00B954AE" w:rsidR="008C70E0" w:rsidP="008C70E0" w:rsidRDefault="008C70E0" w14:paraId="0E21C251"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 xml:space="preserve">Ley 80 de 1993, artículos 3, 4, 5, 7, 8, 13, 14, </w:t>
            </w:r>
            <w:r w:rsidRPr="00B954AE">
              <w:rPr>
                <w:rFonts w:ascii="Verdana" w:hAnsi="Verdana" w:cs="Arial"/>
              </w:rPr>
              <w:t>23, 24, 25, 26</w:t>
            </w:r>
            <w:r>
              <w:rPr>
                <w:rFonts w:ascii="Verdana" w:hAnsi="Verdana" w:cs="Arial"/>
              </w:rPr>
              <w:t>, 32, 40, 41, 44, 50 y 60.</w:t>
            </w:r>
          </w:p>
          <w:p w:rsidRPr="00B954AE" w:rsidR="008C70E0" w:rsidP="008C70E0" w:rsidRDefault="008C70E0" w14:paraId="40284BA8"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Ley 489 de 1998, artículo 96.</w:t>
            </w:r>
          </w:p>
          <w:p w:rsidRPr="00B954AE" w:rsidR="008C70E0" w:rsidP="008C70E0" w:rsidRDefault="008C70E0" w14:paraId="64EB48A4"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Ley 1150 de 2007, artículos 13 y 17.</w:t>
            </w:r>
          </w:p>
          <w:p w:rsidRPr="00B954AE" w:rsidR="008C70E0" w:rsidP="008C70E0" w:rsidRDefault="008C70E0" w14:paraId="314EA8E6"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Ley 1474 de 2011, artículo 86.</w:t>
            </w:r>
          </w:p>
          <w:p w:rsidRPr="00B954AE" w:rsidR="008C70E0" w:rsidP="008C70E0" w:rsidRDefault="008C70E0" w14:paraId="31B259EB" w14:textId="77777777">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 xml:space="preserve">Decreto 092 de 2017, artículos 2, 3, 5, 6, 7, 8, 9 y 10. </w:t>
            </w:r>
          </w:p>
          <w:p w:rsidRPr="00C02F8B" w:rsidR="008C70E0" w:rsidP="008C70E0" w:rsidRDefault="008C70E0" w14:paraId="22306876" w14:textId="77777777">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Código Civil, artículo 1495.</w:t>
            </w:r>
            <w:r w:rsidRPr="002407CE">
              <w:rPr>
                <w:rFonts w:ascii="Verdana" w:hAnsi="Verdana" w:cs="Arial"/>
              </w:rPr>
              <w:t xml:space="preserve">  </w:t>
            </w:r>
          </w:p>
        </w:tc>
      </w:tr>
    </w:tbl>
    <w:p w:rsidRPr="002407CE" w:rsidR="008C70E0" w:rsidP="008C70E0" w:rsidRDefault="008C70E0" w14:paraId="25D513FE" w14:textId="77777777">
      <w:pPr>
        <w:widowControl w:val="0"/>
        <w:autoSpaceDE w:val="0"/>
        <w:autoSpaceDN w:val="0"/>
        <w:spacing w:after="0" w:line="276" w:lineRule="auto"/>
        <w:jc w:val="both"/>
        <w:rPr>
          <w:rFonts w:ascii="Verdana" w:hAnsi="Verdana" w:cs="Arial"/>
        </w:rPr>
      </w:pPr>
    </w:p>
    <w:p w:rsidRPr="00593A5F" w:rsidR="008C70E0" w:rsidP="008C70E0" w:rsidRDefault="008C70E0" w14:paraId="7A6CD0B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Pr="00593A5F" w:rsidR="008C70E0" w:rsidP="008C70E0" w:rsidRDefault="008C70E0" w14:paraId="3B90B7DB" w14:textId="77777777">
      <w:pPr>
        <w:widowControl w:val="0"/>
        <w:autoSpaceDE w:val="0"/>
        <w:autoSpaceDN w:val="0"/>
        <w:spacing w:after="0" w:line="276" w:lineRule="auto"/>
        <w:jc w:val="both"/>
        <w:rPr>
          <w:rFonts w:ascii="Verdana" w:hAnsi="Verdana" w:cs="Arial"/>
        </w:rPr>
      </w:pPr>
    </w:p>
    <w:p w:rsidRPr="00ED0098" w:rsidR="008C70E0" w:rsidP="008C70E0" w:rsidRDefault="008C70E0" w14:paraId="39EA1444" w14:textId="77777777">
      <w:pPr>
        <w:widowControl w:val="0"/>
        <w:autoSpaceDE w:val="0"/>
        <w:autoSpaceDN w:val="0"/>
        <w:spacing w:after="0" w:line="276" w:lineRule="auto"/>
        <w:jc w:val="both"/>
        <w:rPr>
          <w:rStyle w:val="normaltextrun"/>
          <w:rFonts w:ascii="Verdana" w:hAnsi="Verdana" w:cs="Arial"/>
          <w:shd w:val="clear" w:color="auto" w:fill="FFFFFF"/>
        </w:rPr>
      </w:pPr>
      <w:r w:rsidRPr="002965A0">
        <w:rPr>
          <w:rStyle w:val="normaltextrun"/>
          <w:rFonts w:ascii="Verdana" w:hAnsi="Verdana" w:cs="Arial"/>
          <w:shd w:val="clear" w:color="auto" w:fill="FFFFFF"/>
          <w:lang w:val="es-ES"/>
        </w:rPr>
        <w:t xml:space="preserve">Esta Subdirección se ha pronunciado sobre el régimen contractual de las ESAL con fundamento en el Decreto 092 de 2017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w:t>
      </w:r>
      <w:r w:rsidRPr="002965A0">
        <w:rPr>
          <w:rStyle w:val="normaltextrun"/>
          <w:rFonts w:ascii="Verdana" w:hAnsi="Verdana" w:cs="Arial"/>
          <w:shd w:val="clear" w:color="auto" w:fill="FFFFFF"/>
          <w:lang w:val="es-ES"/>
        </w:rPr>
        <w:lastRenderedPageBreak/>
        <w:t>diciembre de 2020, C-749 del 23 de diciembre de 2020, C-758 del 04 de enero de 2021, C-806 de 8 de febrero de 2021, C-364 de 26 de julio de 2021, C-379 de 20 de julio de 2021, C-537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C-351 del 6 de octubre de 2023, C-054 del 24 de abril de 2024, C-064 del 24 de abril de 2024</w:t>
      </w:r>
      <w:r>
        <w:rPr>
          <w:rStyle w:val="normaltextrun"/>
          <w:rFonts w:ascii="Verdana" w:hAnsi="Verdana" w:cs="Arial"/>
          <w:shd w:val="clear" w:color="auto" w:fill="FFFFFF"/>
          <w:lang w:val="es-ES"/>
        </w:rPr>
        <w:t xml:space="preserve">, </w:t>
      </w:r>
      <w:r w:rsidRPr="002965A0">
        <w:rPr>
          <w:rStyle w:val="normaltextrun"/>
          <w:rFonts w:ascii="Verdana" w:hAnsi="Verdana" w:cs="Arial"/>
          <w:shd w:val="clear" w:color="auto" w:fill="FFFFFF"/>
          <w:lang w:val="es-ES"/>
        </w:rPr>
        <w:t>C-080 del 7 de mayo de 2024</w:t>
      </w:r>
      <w:r>
        <w:rPr>
          <w:rStyle w:val="normaltextrun"/>
          <w:rFonts w:ascii="Verdana" w:hAnsi="Verdana" w:cs="Arial"/>
          <w:shd w:val="clear" w:color="auto" w:fill="FFFFFF"/>
          <w:lang w:val="es-ES"/>
        </w:rPr>
        <w:t xml:space="preserve"> y C-281 del 29 de octubre de 2024</w:t>
      </w:r>
      <w:r>
        <w:rPr>
          <w:rFonts w:ascii="Verdana" w:hAnsi="Verdana"/>
        </w:rPr>
        <w:t>.</w:t>
      </w:r>
      <w:r>
        <w:rPr>
          <w:rFonts w:ascii="Verdana" w:hAnsi="Verdana" w:cs="Arial"/>
          <w:shd w:val="clear" w:color="auto" w:fill="FFFFFF"/>
        </w:rPr>
        <w:t xml:space="preserve"> </w:t>
      </w:r>
      <w:r w:rsidRPr="00DD0AFF">
        <w:rPr>
          <w:rFonts w:ascii="Verdana" w:hAnsi="Verdana" w:cs="Arial"/>
          <w:shd w:val="clear" w:color="auto" w:fill="FFFFFF"/>
        </w:rPr>
        <w:t>Estos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w:history="1" r:id="rId12">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rsidR="008C70E0" w:rsidP="008C70E0" w:rsidRDefault="008C70E0" w14:paraId="64184806"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Pr="00A1554D" w:rsidR="008C70E0" w:rsidP="008C70E0" w:rsidRDefault="008C70E0" w14:paraId="128FE76C" w14:textId="77777777">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w:tgtFrame="_blank" w:tooltip="Original URL:&#10;https://www.colombiacompra.gov.co/sala-de-prensa/boletin-digital&#10;&#10;Click to follow link." w:history="1" r:id="rId13">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Pr="00242D53" w:rsidR="008C70E0" w:rsidP="008C70E0" w:rsidRDefault="008C70E0" w14:paraId="35ADDA86" w14:textId="77777777">
      <w:pPr>
        <w:widowControl w:val="0"/>
        <w:autoSpaceDE w:val="0"/>
        <w:autoSpaceDN w:val="0"/>
        <w:spacing w:after="120" w:line="276" w:lineRule="auto"/>
        <w:jc w:val="both"/>
        <w:rPr>
          <w:rFonts w:ascii="Verdana" w:hAnsi="Verdana" w:cs="Arial"/>
          <w:lang w:val="es-MX"/>
        </w:rPr>
      </w:pPr>
    </w:p>
    <w:p w:rsidRPr="00593A5F" w:rsidR="008C70E0" w:rsidP="008C70E0" w:rsidRDefault="008C70E0" w14:paraId="69A51AAC"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r>
        <w:rPr>
          <w:rFonts w:ascii="Verdana" w:hAnsi="Verdana" w:cs="Arial"/>
          <w:lang w:val="es-ES_tradnl"/>
        </w:rPr>
        <w:t xml:space="preserve"> </w:t>
      </w:r>
      <w:r w:rsidRPr="001F1E9D">
        <w:rPr>
          <w:rFonts w:ascii="Verdana" w:hAnsi="Verdana" w:cs="Arial"/>
          <w:lang w:val="es-ES_tradnl"/>
        </w:rPr>
        <w:t xml:space="preserve">De acuerdo con el inciso 3 del artículo 226 del Código General del Proceso, aplicable por remisión del artículo 241 del Código General Disciplinario, el presente oficio no tiene el valor de un dictamen pericial, pues versa sobre puntos de derecho. En consecuencia, lo decidido en torno </w:t>
      </w:r>
      <w:r>
        <w:rPr>
          <w:rFonts w:ascii="Verdana" w:hAnsi="Verdana" w:eastAsia="Calibri" w:cs="Arial"/>
          <w:lang w:val="es-ES" w:eastAsia="es-ES"/>
        </w:rPr>
        <w:t>al proceso disciplinario del expediente I</w:t>
      </w:r>
      <w:r w:rsidRPr="00FC259A">
        <w:rPr>
          <w:rFonts w:ascii="Verdana" w:hAnsi="Verdana" w:eastAsia="Calibri" w:cs="Arial"/>
          <w:lang w:val="es-ES" w:eastAsia="es-ES"/>
        </w:rPr>
        <w:t>US E-2024-613045</w:t>
      </w:r>
      <w:r w:rsidRPr="001F1E9D">
        <w:rPr>
          <w:rFonts w:ascii="Verdana" w:hAnsi="Verdana" w:cs="Arial"/>
          <w:lang w:val="es-ES_tradnl"/>
        </w:rPr>
        <w:t xml:space="preserve"> es responsabilidad única y exclusiva de la </w:t>
      </w:r>
      <w:r>
        <w:rPr>
          <w:rFonts w:ascii="Verdana" w:hAnsi="Verdana" w:eastAsia="Calibri" w:cs="Arial"/>
          <w:lang w:val="es-ES" w:eastAsia="es-ES"/>
        </w:rPr>
        <w:t>Procuraduría General de la Nación</w:t>
      </w:r>
      <w:r w:rsidRPr="001F1E9D">
        <w:rPr>
          <w:rFonts w:ascii="Verdana" w:hAnsi="Verdana" w:cs="Arial"/>
          <w:lang w:val="es-ES_tradnl"/>
        </w:rPr>
        <w:t>.</w:t>
      </w:r>
    </w:p>
    <w:p w:rsidRPr="001F1E9D" w:rsidR="008C70E0" w:rsidP="008C70E0" w:rsidRDefault="008C70E0" w14:paraId="7DFD2A12" w14:textId="77777777">
      <w:pPr>
        <w:widowControl w:val="0"/>
        <w:autoSpaceDE w:val="0"/>
        <w:autoSpaceDN w:val="0"/>
        <w:spacing w:after="0" w:line="276" w:lineRule="auto"/>
        <w:jc w:val="both"/>
        <w:rPr>
          <w:rFonts w:ascii="Verdana" w:hAnsi="Verdana" w:cs="Arial"/>
          <w:lang w:val="es-ES_tradnl"/>
        </w:rPr>
      </w:pPr>
    </w:p>
    <w:p w:rsidRPr="00593A5F" w:rsidR="008C70E0" w:rsidP="008C70E0" w:rsidRDefault="008C70E0" w14:paraId="744402D3"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8C70E0" w:rsidP="008C70E0" w:rsidRDefault="00811733" w14:paraId="702D5674" w14:textId="10BDE70E">
      <w:pPr>
        <w:spacing w:line="276" w:lineRule="auto"/>
        <w:jc w:val="center"/>
        <w:rPr>
          <w:rFonts w:ascii="Verdana" w:hAnsi="Verdana" w:cs="Arial"/>
          <w:color w:val="000000"/>
          <w:lang w:val="es-ES_tradnl" w:eastAsia="es-CO"/>
        </w:rPr>
      </w:pPr>
      <w:r>
        <w:rPr>
          <w:noProof/>
        </w:rPr>
        <w:lastRenderedPageBreak/>
        <w:drawing>
          <wp:inline distT="0" distB="0" distL="0" distR="0" wp14:anchorId="6055B503" wp14:editId="530E2561">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8C70E0" w:rsidTr="00580A51" w14:paraId="2271C4C7" w14:textId="77777777">
        <w:trPr>
          <w:trHeight w:val="315"/>
        </w:trPr>
        <w:tc>
          <w:tcPr>
            <w:tcW w:w="893" w:type="dxa"/>
            <w:vAlign w:val="center"/>
            <w:hideMark/>
          </w:tcPr>
          <w:p w:rsidRPr="003751C7" w:rsidR="008C70E0" w:rsidP="00580A51" w:rsidRDefault="008C70E0" w14:paraId="165A9F72"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254A7A" w:rsidR="008C70E0" w:rsidP="00580A51" w:rsidRDefault="008C70E0" w14:paraId="2DA3A345" w14:textId="77777777">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rsidRPr="00254A7A" w:rsidR="008C70E0" w:rsidP="00580A51" w:rsidRDefault="008C70E0" w14:paraId="79BB5326" w14:textId="77777777">
            <w:pPr>
              <w:contextualSpacing/>
              <w:rPr>
                <w:rFonts w:ascii="Verdana" w:hAnsi="Verdana" w:eastAsia="Arial" w:cs="Arial"/>
                <w:sz w:val="16"/>
                <w:szCs w:val="16"/>
              </w:rPr>
            </w:pPr>
            <w:r w:rsidRPr="00254A7A">
              <w:rPr>
                <w:rStyle w:val="normaltextrun"/>
                <w:rFonts w:ascii="Verdana" w:hAnsi="Verdana"/>
                <w:sz w:val="16"/>
                <w:szCs w:val="16"/>
              </w:rPr>
              <w:t>Contratista de la Subdirección de Gestión Contractual</w:t>
            </w:r>
          </w:p>
        </w:tc>
      </w:tr>
      <w:tr w:rsidRPr="00593A5F" w:rsidR="008C70E0" w:rsidTr="00580A51" w14:paraId="647F7D67" w14:textId="77777777">
        <w:trPr>
          <w:trHeight w:val="330"/>
        </w:trPr>
        <w:tc>
          <w:tcPr>
            <w:tcW w:w="893" w:type="dxa"/>
            <w:vAlign w:val="center"/>
            <w:hideMark/>
          </w:tcPr>
          <w:p w:rsidRPr="003751C7" w:rsidR="008C70E0" w:rsidP="00580A51" w:rsidRDefault="008C70E0" w14:paraId="0196D665"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E44E04" w:rsidR="008C70E0" w:rsidP="00580A51" w:rsidRDefault="008C70E0" w14:paraId="12AB9AD7" w14:textId="77777777">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rsidRPr="00254A7A" w:rsidR="008C70E0" w:rsidP="00580A51" w:rsidRDefault="008C70E0" w14:paraId="5C5FDBC8" w14:textId="77777777">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Pr="00593A5F" w:rsidR="008C70E0" w:rsidTr="00580A51" w14:paraId="2A9C8983" w14:textId="77777777">
        <w:trPr>
          <w:trHeight w:val="300"/>
        </w:trPr>
        <w:tc>
          <w:tcPr>
            <w:tcW w:w="893" w:type="dxa"/>
            <w:vAlign w:val="center"/>
          </w:tcPr>
          <w:p w:rsidRPr="003751C7" w:rsidR="008C70E0" w:rsidP="00580A51" w:rsidRDefault="008C70E0" w14:paraId="09FAD6AD"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3751C7" w:rsidR="008C70E0" w:rsidP="00580A51" w:rsidRDefault="008C70E0" w14:paraId="770A60CB" w14:textId="77777777">
            <w:pPr>
              <w:contextualSpacing/>
              <w:rPr>
                <w:rFonts w:ascii="Verdana" w:hAnsi="Verdana" w:eastAsia="Calibri" w:cs="Arial"/>
                <w:sz w:val="16"/>
                <w:szCs w:val="16"/>
                <w:lang w:val="pt-BR" w:eastAsia="es-ES"/>
              </w:rPr>
            </w:pPr>
            <w:r w:rsidRPr="003751C7">
              <w:rPr>
                <w:rFonts w:ascii="Verdana" w:hAnsi="Verdana" w:eastAsia="Calibri" w:cs="Arial"/>
                <w:sz w:val="16"/>
                <w:szCs w:val="16"/>
                <w:lang w:val="pt-BR" w:eastAsia="es-ES"/>
              </w:rPr>
              <w:t xml:space="preserve">Carolina Quintero </w:t>
            </w:r>
            <w:proofErr w:type="spellStart"/>
            <w:r w:rsidRPr="003751C7">
              <w:rPr>
                <w:rFonts w:ascii="Verdana" w:hAnsi="Verdana" w:eastAsia="Calibri" w:cs="Arial"/>
                <w:sz w:val="16"/>
                <w:szCs w:val="16"/>
                <w:lang w:val="pt-BR" w:eastAsia="es-ES"/>
              </w:rPr>
              <w:t>Gacharná</w:t>
            </w:r>
            <w:proofErr w:type="spellEnd"/>
          </w:p>
          <w:p w:rsidRPr="003751C7" w:rsidR="008C70E0" w:rsidP="00580A51" w:rsidRDefault="008C70E0" w14:paraId="6430438E" w14:textId="77777777">
            <w:pPr>
              <w:contextualSpacing/>
              <w:rPr>
                <w:rFonts w:ascii="Verdana" w:hAnsi="Verdana" w:eastAsia="Calibri" w:cs="Arial"/>
                <w:sz w:val="16"/>
                <w:szCs w:val="16"/>
                <w:lang w:val="pt-BR" w:eastAsia="es-ES"/>
              </w:rPr>
            </w:pPr>
            <w:r w:rsidRPr="003751C7">
              <w:rPr>
                <w:rFonts w:ascii="Verdana" w:hAnsi="Verdana" w:eastAsia="Calibri" w:cs="Arial"/>
                <w:sz w:val="16"/>
                <w:szCs w:val="16"/>
                <w:lang w:eastAsia="es-ES"/>
              </w:rPr>
              <w:t>Subdirectora</w:t>
            </w:r>
            <w:r w:rsidRPr="003751C7">
              <w:rPr>
                <w:rFonts w:ascii="Verdana" w:hAnsi="Verdana" w:eastAsia="Calibri" w:cs="Arial"/>
                <w:sz w:val="16"/>
                <w:szCs w:val="16"/>
                <w:lang w:val="pt-BR" w:eastAsia="es-ES"/>
              </w:rPr>
              <w:t xml:space="preserve"> de Gestión </w:t>
            </w:r>
            <w:proofErr w:type="spellStart"/>
            <w:r w:rsidRPr="003751C7">
              <w:rPr>
                <w:rFonts w:ascii="Verdana" w:hAnsi="Verdana" w:eastAsia="Calibri" w:cs="Arial"/>
                <w:sz w:val="16"/>
                <w:szCs w:val="16"/>
                <w:lang w:val="pt-BR" w:eastAsia="es-ES"/>
              </w:rPr>
              <w:t>Contractual</w:t>
            </w:r>
            <w:proofErr w:type="spellEnd"/>
            <w:r w:rsidRPr="003751C7">
              <w:rPr>
                <w:rFonts w:ascii="Verdana" w:hAnsi="Verdana" w:eastAsia="Calibri" w:cs="Arial"/>
                <w:sz w:val="16"/>
                <w:szCs w:val="16"/>
                <w:lang w:val="pt-BR" w:eastAsia="es-ES"/>
              </w:rPr>
              <w:t xml:space="preserve"> ANCP – CCE</w:t>
            </w:r>
          </w:p>
        </w:tc>
      </w:tr>
    </w:tbl>
    <w:p w:rsidRPr="00593A5F" w:rsidR="008C70E0" w:rsidP="008C70E0" w:rsidRDefault="008C70E0" w14:paraId="525421C8" w14:textId="77777777">
      <w:pPr>
        <w:spacing w:after="0" w:line="240" w:lineRule="auto"/>
        <w:rPr>
          <w:rFonts w:ascii="Verdana" w:hAnsi="Verdana" w:eastAsia="Times New Roman" w:cs="Arial"/>
          <w:sz w:val="24"/>
          <w:szCs w:val="24"/>
          <w:lang w:eastAsia="es-ES"/>
        </w:rPr>
      </w:pPr>
    </w:p>
    <w:p w:rsidRPr="003A13EA" w:rsidR="003D5B0D" w:rsidP="003A13EA" w:rsidRDefault="003D5B0D" w14:paraId="3900974D" w14:textId="77777777"/>
    <w:sectPr w:rsidRPr="003A13EA" w:rsidR="003D5B0D" w:rsidSect="007C0C0F">
      <w:headerReference w:type="default" r:id="rId15"/>
      <w:footerReference w:type="default" r:id="rId1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5058" w:rsidP="004A1847" w:rsidRDefault="002A5058" w14:paraId="3A6624C1" w14:textId="77777777">
      <w:pPr>
        <w:spacing w:after="0" w:line="240" w:lineRule="auto"/>
      </w:pPr>
      <w:r>
        <w:separator/>
      </w:r>
    </w:p>
  </w:endnote>
  <w:endnote w:type="continuationSeparator" w:id="0">
    <w:p w:rsidR="002A5058" w:rsidP="004A1847" w:rsidRDefault="002A5058" w14:paraId="4A2EA526" w14:textId="77777777">
      <w:pPr>
        <w:spacing w:after="0" w:line="240" w:lineRule="auto"/>
      </w:pPr>
      <w:r>
        <w:continuationSeparator/>
      </w:r>
    </w:p>
  </w:endnote>
  <w:endnote w:type="continuationNotice" w:id="1">
    <w:p w:rsidR="002A5058" w:rsidRDefault="002A5058" w14:paraId="7DBD77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5058" w:rsidP="004A1847" w:rsidRDefault="002A5058" w14:paraId="061E19C9" w14:textId="77777777">
      <w:pPr>
        <w:spacing w:after="0" w:line="240" w:lineRule="auto"/>
      </w:pPr>
      <w:r>
        <w:separator/>
      </w:r>
    </w:p>
  </w:footnote>
  <w:footnote w:type="continuationSeparator" w:id="0">
    <w:p w:rsidR="002A5058" w:rsidP="004A1847" w:rsidRDefault="002A5058" w14:paraId="02134343" w14:textId="77777777">
      <w:pPr>
        <w:spacing w:after="0" w:line="240" w:lineRule="auto"/>
      </w:pPr>
      <w:r>
        <w:continuationSeparator/>
      </w:r>
    </w:p>
  </w:footnote>
  <w:footnote w:type="continuationNotice" w:id="1">
    <w:p w:rsidR="002A5058" w:rsidRDefault="002A5058" w14:paraId="2758BB85" w14:textId="77777777">
      <w:pPr>
        <w:spacing w:after="0" w:line="240" w:lineRule="auto"/>
      </w:pPr>
    </w:p>
  </w:footnote>
  <w:footnote w:id="2">
    <w:p w:rsidRPr="00881DAB" w:rsidR="008C70E0" w:rsidP="008C70E0" w:rsidRDefault="008C70E0" w14:paraId="41E64AD2" w14:textId="77777777">
      <w:pPr>
        <w:pStyle w:val="Textonotapie"/>
        <w:ind w:firstLine="708"/>
        <w:jc w:val="both"/>
        <w:rPr>
          <w:rFonts w:ascii="Verdana" w:hAnsi="Verdana" w:cs="Arial"/>
          <w:sz w:val="16"/>
          <w:szCs w:val="16"/>
        </w:rPr>
      </w:pPr>
      <w:r w:rsidRPr="00881DAB">
        <w:rPr>
          <w:rStyle w:val="Refdenotaalpie"/>
          <w:rFonts w:ascii="Verdana" w:hAnsi="Verdana" w:cs="Arial"/>
          <w:sz w:val="16"/>
          <w:szCs w:val="16"/>
        </w:rPr>
        <w:footnoteRef/>
      </w:r>
      <w:r w:rsidRPr="00881DAB">
        <w:rPr>
          <w:rFonts w:ascii="Verdana" w:hAnsi="Verdana"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81DAB">
        <w:rPr>
          <w:rFonts w:ascii="Verdana" w:hAnsi="Verdana" w:cs="Arial"/>
          <w:i/>
          <w:iCs/>
          <w:sz w:val="16"/>
          <w:szCs w:val="16"/>
        </w:rPr>
        <w:t xml:space="preserve">ibidem </w:t>
      </w:r>
      <w:r w:rsidRPr="00881DAB">
        <w:rPr>
          <w:rFonts w:ascii="Verdana" w:hAnsi="Verdana"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881DAB" w:rsidR="008C70E0" w:rsidP="008C70E0" w:rsidRDefault="008C70E0" w14:paraId="03C74A53" w14:textId="77777777">
      <w:pPr>
        <w:pStyle w:val="Textonotapie"/>
        <w:ind w:firstLine="708"/>
        <w:jc w:val="both"/>
        <w:rPr>
          <w:rFonts w:ascii="Verdana" w:hAnsi="Verdana" w:cs="Arial"/>
          <w:sz w:val="16"/>
          <w:szCs w:val="16"/>
        </w:rPr>
      </w:pPr>
      <w:r w:rsidRPr="00881DAB">
        <w:rPr>
          <w:rStyle w:val="Refdenotaalpie"/>
          <w:rFonts w:ascii="Verdana" w:hAnsi="Verdana" w:cs="Arial"/>
          <w:sz w:val="16"/>
          <w:szCs w:val="16"/>
        </w:rPr>
        <w:footnoteRef/>
      </w:r>
      <w:r w:rsidRPr="00881DAB">
        <w:rPr>
          <w:rFonts w:ascii="Verdana" w:hAnsi="Verdana" w:cs="Arial"/>
          <w:sz w:val="16"/>
          <w:szCs w:val="16"/>
        </w:rPr>
        <w:t xml:space="preserve"> Sobre esta norma, consultar los conceptos del 8 de octubre de 2019, con radicado No. 2201913000007532, y del 20 de diciembre de 2019, con radicado No. 4201913000008240.</w:t>
      </w:r>
    </w:p>
  </w:footnote>
  <w:footnote w:id="4">
    <w:p w:rsidRPr="00881DAB" w:rsidR="008C70E0" w:rsidP="008C70E0" w:rsidRDefault="008C70E0" w14:paraId="0F7AFD17" w14:textId="77777777">
      <w:pPr>
        <w:pStyle w:val="Textonotapie"/>
        <w:ind w:firstLine="708"/>
        <w:jc w:val="both"/>
        <w:rPr>
          <w:rFonts w:ascii="Verdana" w:hAnsi="Verdana" w:cs="Arial"/>
          <w:sz w:val="16"/>
          <w:szCs w:val="16"/>
        </w:rPr>
      </w:pPr>
      <w:r w:rsidRPr="00881DAB">
        <w:rPr>
          <w:rStyle w:val="Refdenotaalpie"/>
          <w:rFonts w:ascii="Verdana" w:hAnsi="Verdana"/>
          <w:sz w:val="16"/>
          <w:szCs w:val="16"/>
        </w:rPr>
        <w:footnoteRef/>
      </w:r>
      <w:r w:rsidRPr="00881DAB">
        <w:rPr>
          <w:rFonts w:ascii="Verdana" w:hAnsi="Verdana"/>
          <w:sz w:val="16"/>
          <w:szCs w:val="16"/>
        </w:rPr>
        <w:t xml:space="preserve"> </w:t>
      </w:r>
      <w:r w:rsidRPr="00881DAB">
        <w:rPr>
          <w:rFonts w:ascii="Verdana" w:hAnsi="Verdana"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881DAB" w:rsidR="008C70E0" w:rsidP="008C70E0" w:rsidRDefault="008C70E0" w14:paraId="7C4C11E6" w14:textId="77777777">
      <w:pPr>
        <w:pStyle w:val="Textonotapie"/>
        <w:ind w:firstLine="708"/>
        <w:jc w:val="both"/>
        <w:rPr>
          <w:rFonts w:ascii="Verdana" w:hAnsi="Verdana" w:cs="Arial"/>
          <w:sz w:val="16"/>
          <w:szCs w:val="16"/>
        </w:rPr>
      </w:pPr>
      <w:r w:rsidRPr="00881DAB">
        <w:rPr>
          <w:rFonts w:ascii="Verdana" w:hAnsi="Verdana" w:cs="Arial"/>
          <w:sz w:val="16"/>
          <w:szCs w:val="16"/>
        </w:rPr>
        <w:t xml:space="preserve">Los convenios de asociación a que se refiere el presente artículo </w:t>
      </w:r>
      <w:bookmarkStart w:name="_Hlk36023315" w:id="4"/>
      <w:r w:rsidRPr="00881DAB">
        <w:rPr>
          <w:rFonts w:ascii="Verdana" w:hAnsi="Verdana" w:cs="Arial"/>
          <w:sz w:val="16"/>
          <w:szCs w:val="16"/>
        </w:rPr>
        <w:t>se celebrarán de conformidad con lo dispuesto en el artículo 355 de la Constitución Política</w:t>
      </w:r>
      <w:bookmarkEnd w:id="4"/>
      <w:r w:rsidRPr="00881DAB">
        <w:rPr>
          <w:rFonts w:ascii="Verdana" w:hAnsi="Verdana" w:cs="Arial"/>
          <w:sz w:val="16"/>
          <w:szCs w:val="16"/>
        </w:rPr>
        <w:t>, en ellos se determinará con precisión su objeto, término, obligaciones de las partes, aportes, coordinación y todos aquellos aspectos que se consideren pertinentes”.</w:t>
      </w:r>
    </w:p>
  </w:footnote>
  <w:footnote w:id="5">
    <w:p w:rsidRPr="00881DAB" w:rsidR="008C70E0" w:rsidP="008C70E0" w:rsidRDefault="008C70E0" w14:paraId="0D57ADC0" w14:textId="77777777">
      <w:pPr>
        <w:pStyle w:val="Textonotapie"/>
        <w:ind w:firstLine="708"/>
        <w:jc w:val="both"/>
        <w:rPr>
          <w:rFonts w:ascii="Verdana" w:hAnsi="Verdana" w:cs="Arial"/>
          <w:sz w:val="16"/>
          <w:szCs w:val="16"/>
        </w:rPr>
      </w:pPr>
      <w:r w:rsidRPr="00881DAB">
        <w:rPr>
          <w:rStyle w:val="Refdenotaalpie"/>
          <w:rFonts w:ascii="Verdana" w:hAnsi="Verdana" w:cs="Arial"/>
          <w:sz w:val="16"/>
          <w:szCs w:val="16"/>
        </w:rPr>
        <w:footnoteRef/>
      </w:r>
      <w:r w:rsidRPr="00881DAB">
        <w:rPr>
          <w:rFonts w:ascii="Verdana" w:hAnsi="Verdana" w:cs="Arial"/>
          <w:sz w:val="16"/>
          <w:szCs w:val="16"/>
        </w:rPr>
        <w:t xml:space="preserve"> Concepto del 3 de septiembre de 2019, con radicado No. 2201913000006512.</w:t>
      </w:r>
    </w:p>
  </w:footnote>
  <w:footnote w:id="6">
    <w:p w:rsidRPr="00881DAB" w:rsidR="008C70E0" w:rsidP="008C70E0" w:rsidRDefault="008C70E0" w14:paraId="77B168B3" w14:textId="77777777">
      <w:pPr>
        <w:pStyle w:val="Textonotapie"/>
        <w:ind w:firstLine="708"/>
        <w:jc w:val="both"/>
        <w:rPr>
          <w:rFonts w:ascii="Verdana" w:hAnsi="Verdana" w:cs="Arial"/>
          <w:sz w:val="16"/>
          <w:szCs w:val="16"/>
        </w:rPr>
      </w:pPr>
      <w:r w:rsidRPr="00881DAB">
        <w:rPr>
          <w:rStyle w:val="Refdenotaalpie"/>
          <w:rFonts w:ascii="Verdana" w:hAnsi="Verdana" w:cs="Arial"/>
          <w:sz w:val="16"/>
          <w:szCs w:val="16"/>
        </w:rPr>
        <w:footnoteRef/>
      </w:r>
      <w:r w:rsidRPr="00881DAB">
        <w:rPr>
          <w:rFonts w:ascii="Verdana" w:hAnsi="Verdana" w:cs="Arial"/>
          <w:sz w:val="16"/>
          <w:szCs w:val="16"/>
        </w:rPr>
        <w:t xml:space="preserve"> Sobre la naturaleza de los convenios de asociación, se reitera lo expuesto en el concepto del 19 de noviembre de 2019, con radicado No. 2201913000008611.</w:t>
      </w:r>
    </w:p>
  </w:footnote>
  <w:footnote w:id="7">
    <w:p w:rsidRPr="00881DAB" w:rsidR="008C70E0" w:rsidP="008C70E0" w:rsidRDefault="008C70E0" w14:paraId="6C0AA5F1" w14:textId="77777777">
      <w:pPr>
        <w:pStyle w:val="Textonotapie"/>
        <w:ind w:firstLine="708"/>
        <w:jc w:val="both"/>
        <w:rPr>
          <w:rFonts w:ascii="Verdana" w:hAnsi="Verdana" w:cs="Arial"/>
          <w:color w:val="000000" w:themeColor="text1"/>
          <w:sz w:val="16"/>
          <w:szCs w:val="16"/>
        </w:rPr>
      </w:pPr>
      <w:r w:rsidRPr="00881DAB">
        <w:rPr>
          <w:rStyle w:val="Refdenotaalpie"/>
          <w:rFonts w:ascii="Verdana" w:hAnsi="Verdana" w:cs="Arial"/>
          <w:color w:val="000000" w:themeColor="text1"/>
          <w:sz w:val="16"/>
          <w:szCs w:val="16"/>
        </w:rPr>
        <w:footnoteRef/>
      </w:r>
      <w:r w:rsidRPr="00881DAB">
        <w:rPr>
          <w:rFonts w:ascii="Verdana" w:hAnsi="Verdana" w:cs="Arial"/>
          <w:color w:val="000000" w:themeColor="text1"/>
          <w:sz w:val="16"/>
          <w:szCs w:val="16"/>
        </w:rPr>
        <w:t xml:space="preserve"> Cfr. Concepto del 21 de agosto de 2019, dictado dentro del radicado No. 2201913000006047.</w:t>
      </w:r>
    </w:p>
  </w:footnote>
  <w:footnote w:id="8">
    <w:p w:rsidRPr="00881DAB" w:rsidR="008C70E0" w:rsidP="008C70E0" w:rsidRDefault="008C70E0" w14:paraId="6F8D059C" w14:textId="77777777">
      <w:pPr>
        <w:pStyle w:val="Textonotapie"/>
        <w:ind w:firstLine="708"/>
        <w:jc w:val="both"/>
        <w:rPr>
          <w:rFonts w:ascii="Verdana" w:hAnsi="Verdana" w:cs="Arial"/>
          <w:color w:val="000000" w:themeColor="text1"/>
          <w:sz w:val="16"/>
          <w:szCs w:val="16"/>
          <w:lang w:val="es-ES"/>
        </w:rPr>
      </w:pPr>
      <w:r w:rsidRPr="00881DAB">
        <w:rPr>
          <w:rStyle w:val="Refdenotaalpie"/>
          <w:rFonts w:ascii="Verdana" w:hAnsi="Verdana" w:cs="Arial"/>
          <w:color w:val="000000" w:themeColor="text1"/>
          <w:sz w:val="16"/>
          <w:szCs w:val="16"/>
        </w:rPr>
        <w:footnoteRef/>
      </w:r>
      <w:r w:rsidRPr="00881DAB">
        <w:rPr>
          <w:rFonts w:ascii="Verdana" w:hAnsi="Verdana" w:cs="Arial"/>
          <w:color w:val="000000" w:themeColor="text1"/>
          <w:sz w:val="16"/>
          <w:szCs w:val="16"/>
        </w:rPr>
        <w:t xml:space="preserve"> Concepto del 24 de febrero de 2005, con radicado No. 1626, C.P. Dra. Gloria Duque Hernández</w:t>
      </w:r>
    </w:p>
  </w:footnote>
  <w:footnote w:id="9">
    <w:p w:rsidRPr="00881DAB" w:rsidR="008C70E0" w:rsidP="008C70E0" w:rsidRDefault="008C70E0" w14:paraId="101D23A4" w14:textId="77777777">
      <w:pPr>
        <w:pStyle w:val="Textonotapie"/>
        <w:ind w:firstLine="708"/>
        <w:jc w:val="both"/>
        <w:rPr>
          <w:rFonts w:ascii="Verdana" w:hAnsi="Verdana" w:cs="Arial"/>
          <w:color w:val="000000" w:themeColor="text1"/>
          <w:sz w:val="16"/>
          <w:szCs w:val="16"/>
        </w:rPr>
      </w:pPr>
      <w:r w:rsidRPr="00881DAB">
        <w:rPr>
          <w:rStyle w:val="Refdenotaalpie"/>
          <w:rFonts w:ascii="Verdana" w:hAnsi="Verdana" w:cs="Arial"/>
          <w:color w:val="000000" w:themeColor="text1"/>
          <w:sz w:val="16"/>
          <w:szCs w:val="16"/>
        </w:rPr>
        <w:footnoteRef/>
      </w:r>
      <w:r w:rsidRPr="00881DAB">
        <w:rPr>
          <w:rFonts w:ascii="Verdana" w:hAnsi="Verdana" w:cs="Arial"/>
          <w:color w:val="000000" w:themeColor="text1"/>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10">
    <w:p w:rsidRPr="00881DAB" w:rsidR="008C70E0" w:rsidP="008C70E0" w:rsidRDefault="008C70E0" w14:paraId="48ED08B2" w14:textId="77777777">
      <w:pPr>
        <w:pStyle w:val="Textonotapie"/>
        <w:ind w:firstLine="708"/>
        <w:jc w:val="both"/>
        <w:rPr>
          <w:rFonts w:ascii="Verdana" w:hAnsi="Verdana" w:cs="Arial"/>
          <w:sz w:val="16"/>
          <w:szCs w:val="16"/>
        </w:rPr>
      </w:pPr>
      <w:r w:rsidRPr="00881DAB">
        <w:rPr>
          <w:rStyle w:val="Refdenotaalpie"/>
          <w:rFonts w:ascii="Verdana" w:hAnsi="Verdana"/>
          <w:sz w:val="16"/>
          <w:szCs w:val="16"/>
        </w:rPr>
        <w:footnoteRef/>
      </w:r>
      <w:r w:rsidRPr="00881DAB">
        <w:rPr>
          <w:rFonts w:ascii="Verdana" w:hAnsi="Verdana"/>
          <w:sz w:val="16"/>
          <w:szCs w:val="16"/>
        </w:rPr>
        <w:t xml:space="preserve"> </w:t>
      </w:r>
      <w:r w:rsidRPr="00881DAB">
        <w:rPr>
          <w:rFonts w:ascii="Verdana" w:hAnsi="Verdana" w:cs="Arial"/>
          <w:sz w:val="16"/>
          <w:szCs w:val="16"/>
        </w:rPr>
        <w:t>Al respecto,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footnote>
  <w:footnote w:id="11">
    <w:p w:rsidRPr="00881DAB" w:rsidR="008C70E0" w:rsidP="008C70E0" w:rsidRDefault="008C70E0" w14:paraId="48735E65" w14:textId="77777777">
      <w:pPr>
        <w:pStyle w:val="Textonotapie"/>
        <w:ind w:firstLine="709"/>
        <w:jc w:val="both"/>
        <w:rPr>
          <w:rFonts w:ascii="Verdana" w:hAnsi="Verdana" w:cs="Arial"/>
          <w:iCs/>
          <w:color w:val="000000" w:themeColor="text1"/>
          <w:sz w:val="16"/>
          <w:szCs w:val="16"/>
        </w:rPr>
      </w:pPr>
      <w:r w:rsidRPr="00881DAB">
        <w:rPr>
          <w:rStyle w:val="Refdenotaalpie"/>
          <w:rFonts w:ascii="Verdana" w:hAnsi="Verdana" w:cs="Arial"/>
          <w:color w:val="000000" w:themeColor="text1"/>
          <w:sz w:val="16"/>
          <w:szCs w:val="16"/>
        </w:rPr>
        <w:footnoteRef/>
      </w:r>
      <w:r w:rsidRPr="00881DAB">
        <w:rPr>
          <w:rFonts w:ascii="Verdana" w:hAnsi="Verdana" w:cs="Arial"/>
          <w:iCs/>
          <w:color w:val="000000" w:themeColor="text1"/>
          <w:sz w:val="16"/>
          <w:szCs w:val="16"/>
        </w:rPr>
        <w:t xml:space="preserve"> Motivo por el cual son típicas cláusulas accidentales dentro de los contratos estatales, en los términos del artículo 1501 del Código Civil.</w:t>
      </w:r>
    </w:p>
  </w:footnote>
  <w:footnote w:id="12">
    <w:p w:rsidRPr="00881DAB" w:rsidR="008C70E0" w:rsidP="008C70E0" w:rsidRDefault="008C70E0" w14:paraId="0CF91858" w14:textId="77777777">
      <w:pPr>
        <w:pStyle w:val="Textonotapie"/>
        <w:ind w:firstLine="709"/>
        <w:jc w:val="both"/>
        <w:rPr>
          <w:rFonts w:ascii="Verdana" w:hAnsi="Verdana" w:cs="Arial"/>
          <w:color w:val="000000" w:themeColor="text1"/>
          <w:sz w:val="16"/>
          <w:szCs w:val="16"/>
        </w:rPr>
      </w:pPr>
      <w:r w:rsidRPr="00881DAB">
        <w:rPr>
          <w:rStyle w:val="Refdenotaalpie"/>
          <w:rFonts w:ascii="Verdana" w:hAnsi="Verdana" w:cs="Arial"/>
          <w:color w:val="000000" w:themeColor="text1"/>
          <w:sz w:val="16"/>
          <w:szCs w:val="16"/>
        </w:rPr>
        <w:footnoteRef/>
      </w:r>
      <w:r w:rsidRPr="00881DAB">
        <w:rPr>
          <w:rFonts w:ascii="Verdana" w:hAnsi="Verdana" w:cs="Arial"/>
          <w:color w:val="000000" w:themeColor="text1"/>
          <w:sz w:val="16"/>
          <w:szCs w:val="16"/>
        </w:rPr>
        <w:t xml:space="preserve"> CONSEJO DE ESTADO. Sección Tercera. Sentencia del 15 de noviembre de 2011. Consejera Ponente: Olga Mélida Valle de De La Hoz. Expediente: 20.916.</w:t>
      </w:r>
    </w:p>
  </w:footnote>
  <w:footnote w:id="13">
    <w:p w:rsidRPr="00881DAB" w:rsidR="008C70E0" w:rsidP="008C70E0" w:rsidRDefault="008C70E0" w14:paraId="4B279EAB" w14:textId="77777777">
      <w:pPr>
        <w:pStyle w:val="Textonotapie"/>
        <w:ind w:firstLine="709"/>
        <w:jc w:val="both"/>
        <w:rPr>
          <w:rFonts w:ascii="Verdana" w:hAnsi="Verdana" w:cs="Arial"/>
          <w:color w:val="000000" w:themeColor="text1"/>
          <w:sz w:val="16"/>
          <w:szCs w:val="16"/>
        </w:rPr>
      </w:pPr>
      <w:r w:rsidRPr="00881DAB">
        <w:rPr>
          <w:rStyle w:val="Refdenotaalpie"/>
          <w:rFonts w:ascii="Verdana" w:hAnsi="Verdana" w:cs="Arial"/>
          <w:color w:val="000000" w:themeColor="text1"/>
          <w:sz w:val="16"/>
          <w:szCs w:val="16"/>
        </w:rPr>
        <w:footnoteRef/>
      </w:r>
      <w:r w:rsidRPr="00881DAB">
        <w:rPr>
          <w:rFonts w:ascii="Verdana" w:hAnsi="Verdana" w:cs="Arial"/>
          <w:color w:val="000000" w:themeColor="text1"/>
          <w:sz w:val="16"/>
          <w:szCs w:val="16"/>
        </w:rPr>
        <w:t xml:space="preserve"> </w:t>
      </w:r>
      <w:r w:rsidRPr="00881DAB">
        <w:rPr>
          <w:rFonts w:ascii="Verdana" w:hAnsi="Verdana" w:cs="Arial"/>
          <w:iCs/>
          <w:color w:val="000000" w:themeColor="text1"/>
          <w:sz w:val="16"/>
          <w:szCs w:val="16"/>
          <w:lang w:val="es-ES_tradnl"/>
        </w:rPr>
        <w:t xml:space="preserve">CONSEJO DE ESTADO. Sección Tercera. Sentencia del 23 de junio de 2010. Consejero Ponente: Enrique Gil Botero. Expediente: 16.367. Véase también: </w:t>
      </w:r>
      <w:r w:rsidRPr="00881DAB">
        <w:rPr>
          <w:rFonts w:ascii="Verdana" w:hAnsi="Verdana" w:cs="Arial"/>
          <w:color w:val="000000" w:themeColor="text1"/>
          <w:sz w:val="16"/>
          <w:szCs w:val="16"/>
        </w:rPr>
        <w:t>CONSEJO DE ESTADO. Sección Tercera. Sentencia del 13 de noviembre de 2008. Consejero Ponente: Enrique Gil Botero.Expediente: 17.009.</w:t>
      </w:r>
    </w:p>
  </w:footnote>
  <w:footnote w:id="14">
    <w:p w:rsidRPr="00881DAB" w:rsidR="008C70E0" w:rsidP="008C70E0" w:rsidRDefault="008C70E0" w14:paraId="49FED086" w14:textId="77777777">
      <w:pPr>
        <w:pStyle w:val="Textonotapie"/>
        <w:ind w:firstLine="709"/>
        <w:jc w:val="both"/>
        <w:rPr>
          <w:rFonts w:ascii="Verdana" w:hAnsi="Verdana" w:cs="Arial"/>
          <w:color w:val="000000" w:themeColor="text1"/>
          <w:sz w:val="16"/>
          <w:szCs w:val="16"/>
        </w:rPr>
      </w:pPr>
      <w:r w:rsidRPr="00881DAB">
        <w:rPr>
          <w:rStyle w:val="Refdenotaalpie"/>
          <w:rFonts w:ascii="Verdana" w:hAnsi="Verdana" w:cs="Arial"/>
          <w:color w:val="000000" w:themeColor="text1"/>
          <w:sz w:val="16"/>
          <w:szCs w:val="16"/>
        </w:rPr>
        <w:footnoteRef/>
      </w:r>
      <w:r w:rsidRPr="00734C5C">
        <w:rPr>
          <w:rFonts w:ascii="Verdana" w:hAnsi="Verdana" w:cs="Arial"/>
          <w:color w:val="000000" w:themeColor="text1"/>
          <w:sz w:val="16"/>
          <w:szCs w:val="16"/>
          <w:lang w:val="pt-BR"/>
        </w:rPr>
        <w:t xml:space="preserve"> CORTE CONSTITUCIONAL. Sentencia C-827 de 2001. </w:t>
      </w:r>
      <w:r w:rsidRPr="00881DAB">
        <w:rPr>
          <w:rFonts w:ascii="Verdana" w:hAnsi="Verdana" w:cs="Arial"/>
          <w:color w:val="000000" w:themeColor="text1"/>
          <w:sz w:val="16"/>
          <w:szCs w:val="16"/>
        </w:rPr>
        <w:t>M.P. Álvaro Tafur Galvis.</w:t>
      </w:r>
    </w:p>
  </w:footnote>
  <w:footnote w:id="15">
    <w:p w:rsidRPr="00881DAB" w:rsidR="008C70E0" w:rsidP="008C70E0" w:rsidRDefault="008C70E0" w14:paraId="4F928CAE" w14:textId="77777777">
      <w:pPr>
        <w:pStyle w:val="Textonotapie"/>
        <w:ind w:firstLine="709"/>
        <w:jc w:val="both"/>
        <w:rPr>
          <w:rFonts w:ascii="Verdana" w:hAnsi="Verdana" w:cs="Arial"/>
          <w:color w:val="000000" w:themeColor="text1"/>
          <w:sz w:val="16"/>
          <w:szCs w:val="16"/>
        </w:rPr>
      </w:pPr>
      <w:r w:rsidRPr="00881DAB">
        <w:rPr>
          <w:rStyle w:val="Refdenotaalpie"/>
          <w:rFonts w:ascii="Verdana" w:hAnsi="Verdana" w:cs="Arial"/>
          <w:color w:val="000000" w:themeColor="text1"/>
          <w:sz w:val="16"/>
          <w:szCs w:val="16"/>
        </w:rPr>
        <w:footnoteRef/>
      </w:r>
      <w:r w:rsidRPr="00881DAB">
        <w:rPr>
          <w:rFonts w:ascii="Verdana" w:hAnsi="Verdana" w:cs="Arial"/>
          <w:color w:val="000000" w:themeColor="text1"/>
          <w:sz w:val="16"/>
          <w:szCs w:val="16"/>
          <w:vertAlign w:val="superscript"/>
        </w:rPr>
        <w:t xml:space="preserve"> </w:t>
      </w:r>
      <w:r w:rsidRPr="00881DAB">
        <w:rPr>
          <w:rFonts w:ascii="Verdana" w:hAnsi="Verdana" w:cs="Arial"/>
          <w:color w:val="000000" w:themeColor="text1"/>
          <w:sz w:val="16"/>
          <w:szCs w:val="16"/>
        </w:rPr>
        <w:t>CONSEJO DE ESTADO. Sección Tercera. Sentencia del 13 de noviembre de 2008. Exp. 17.009. C.P.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DC39FC" w:rsidR="004A305D" w:rsidP="004A305D" w:rsidRDefault="004A305D" w14:paraId="7FE1230C" w14:textId="77E53D9F">
    <w:pPr>
      <w:spacing w:after="0"/>
      <w:rPr>
        <w:rFonts w:ascii="Verdana" w:hAnsi="Verdana"/>
        <w:b/>
        <w:bCs/>
      </w:rPr>
    </w:pPr>
    <w:r w:rsidRPr="00DC39FC">
      <w:rPr>
        <w:rFonts w:ascii="Verdana" w:hAnsi="Verdana"/>
        <w:b/>
        <w:bCs/>
      </w:rPr>
      <w:t>FORMATO PQRSD</w:t>
    </w: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40" style="width:11pt;height:11pt" o:bullet="t" type="#_x0000_t75">
        <v:imagedata o:title="mso1B13" r:id="rId1"/>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0A6B"/>
    <w:rsid w:val="00061B2A"/>
    <w:rsid w:val="00072944"/>
    <w:rsid w:val="00082362"/>
    <w:rsid w:val="000A683E"/>
    <w:rsid w:val="000B19B9"/>
    <w:rsid w:val="000D0334"/>
    <w:rsid w:val="000F2189"/>
    <w:rsid w:val="000F59F2"/>
    <w:rsid w:val="000F6486"/>
    <w:rsid w:val="00125105"/>
    <w:rsid w:val="00127233"/>
    <w:rsid w:val="001511A0"/>
    <w:rsid w:val="001648B3"/>
    <w:rsid w:val="001E4177"/>
    <w:rsid w:val="001F7DC6"/>
    <w:rsid w:val="002421BB"/>
    <w:rsid w:val="0025667C"/>
    <w:rsid w:val="0025796E"/>
    <w:rsid w:val="002707A2"/>
    <w:rsid w:val="00274801"/>
    <w:rsid w:val="002951A0"/>
    <w:rsid w:val="002962BC"/>
    <w:rsid w:val="002A093D"/>
    <w:rsid w:val="002A0DD0"/>
    <w:rsid w:val="002A49AC"/>
    <w:rsid w:val="002A5058"/>
    <w:rsid w:val="002A64FD"/>
    <w:rsid w:val="002C7A84"/>
    <w:rsid w:val="002E4A86"/>
    <w:rsid w:val="002E4FD9"/>
    <w:rsid w:val="00322A85"/>
    <w:rsid w:val="00324168"/>
    <w:rsid w:val="003448F4"/>
    <w:rsid w:val="00374F5E"/>
    <w:rsid w:val="00377E3E"/>
    <w:rsid w:val="003A13EA"/>
    <w:rsid w:val="003A779E"/>
    <w:rsid w:val="003D0F4D"/>
    <w:rsid w:val="003D5B0D"/>
    <w:rsid w:val="003E0499"/>
    <w:rsid w:val="003F3941"/>
    <w:rsid w:val="00406575"/>
    <w:rsid w:val="00414C74"/>
    <w:rsid w:val="0042722E"/>
    <w:rsid w:val="0044528D"/>
    <w:rsid w:val="004A1847"/>
    <w:rsid w:val="004A305D"/>
    <w:rsid w:val="004C2AE2"/>
    <w:rsid w:val="004F21C4"/>
    <w:rsid w:val="004F685F"/>
    <w:rsid w:val="005566E8"/>
    <w:rsid w:val="00574867"/>
    <w:rsid w:val="005820D2"/>
    <w:rsid w:val="00591460"/>
    <w:rsid w:val="005B3816"/>
    <w:rsid w:val="005C3777"/>
    <w:rsid w:val="005C4127"/>
    <w:rsid w:val="005C5CDC"/>
    <w:rsid w:val="005D476C"/>
    <w:rsid w:val="005F5370"/>
    <w:rsid w:val="00616CE5"/>
    <w:rsid w:val="006205E9"/>
    <w:rsid w:val="006219F8"/>
    <w:rsid w:val="00665D70"/>
    <w:rsid w:val="006900D9"/>
    <w:rsid w:val="006D6F84"/>
    <w:rsid w:val="00706C16"/>
    <w:rsid w:val="00734C5C"/>
    <w:rsid w:val="00756841"/>
    <w:rsid w:val="007649AB"/>
    <w:rsid w:val="00771D0C"/>
    <w:rsid w:val="007833AC"/>
    <w:rsid w:val="007B268C"/>
    <w:rsid w:val="007B7171"/>
    <w:rsid w:val="007C0C0F"/>
    <w:rsid w:val="007C3DC2"/>
    <w:rsid w:val="007E5497"/>
    <w:rsid w:val="00806F5F"/>
    <w:rsid w:val="00811733"/>
    <w:rsid w:val="00820278"/>
    <w:rsid w:val="00834EF4"/>
    <w:rsid w:val="008361E7"/>
    <w:rsid w:val="00867F95"/>
    <w:rsid w:val="008843B6"/>
    <w:rsid w:val="00891928"/>
    <w:rsid w:val="008A446D"/>
    <w:rsid w:val="008B0596"/>
    <w:rsid w:val="008B7C95"/>
    <w:rsid w:val="008C59D6"/>
    <w:rsid w:val="008C70E0"/>
    <w:rsid w:val="008D180B"/>
    <w:rsid w:val="008F0EA7"/>
    <w:rsid w:val="00923EEF"/>
    <w:rsid w:val="009419F9"/>
    <w:rsid w:val="0095685E"/>
    <w:rsid w:val="00961B09"/>
    <w:rsid w:val="00965334"/>
    <w:rsid w:val="009667E0"/>
    <w:rsid w:val="0097093E"/>
    <w:rsid w:val="00986AC5"/>
    <w:rsid w:val="009A0DFA"/>
    <w:rsid w:val="009B10BC"/>
    <w:rsid w:val="009B2D26"/>
    <w:rsid w:val="009C71FA"/>
    <w:rsid w:val="009C72E7"/>
    <w:rsid w:val="009D3058"/>
    <w:rsid w:val="009F3A13"/>
    <w:rsid w:val="00A122D3"/>
    <w:rsid w:val="00A13906"/>
    <w:rsid w:val="00A17F13"/>
    <w:rsid w:val="00A20739"/>
    <w:rsid w:val="00A33C78"/>
    <w:rsid w:val="00A802E5"/>
    <w:rsid w:val="00AB0ADB"/>
    <w:rsid w:val="00B01B1A"/>
    <w:rsid w:val="00B66319"/>
    <w:rsid w:val="00B72CD3"/>
    <w:rsid w:val="00B72FFF"/>
    <w:rsid w:val="00BC3D36"/>
    <w:rsid w:val="00BD5453"/>
    <w:rsid w:val="00BD7F72"/>
    <w:rsid w:val="00BF0249"/>
    <w:rsid w:val="00C04FB3"/>
    <w:rsid w:val="00C330EB"/>
    <w:rsid w:val="00C356FA"/>
    <w:rsid w:val="00C41061"/>
    <w:rsid w:val="00C558DE"/>
    <w:rsid w:val="00C754BE"/>
    <w:rsid w:val="00C76B1C"/>
    <w:rsid w:val="00CB6357"/>
    <w:rsid w:val="00CC0C91"/>
    <w:rsid w:val="00CC1B26"/>
    <w:rsid w:val="00D423A2"/>
    <w:rsid w:val="00D44600"/>
    <w:rsid w:val="00D520D8"/>
    <w:rsid w:val="00D63AC2"/>
    <w:rsid w:val="00D7383B"/>
    <w:rsid w:val="00DA1E3A"/>
    <w:rsid w:val="00DA231B"/>
    <w:rsid w:val="00DA5A3C"/>
    <w:rsid w:val="00DC24E7"/>
    <w:rsid w:val="00DC39FC"/>
    <w:rsid w:val="00DF5254"/>
    <w:rsid w:val="00E16408"/>
    <w:rsid w:val="00E20894"/>
    <w:rsid w:val="00E245AB"/>
    <w:rsid w:val="00E2764C"/>
    <w:rsid w:val="00E27F2E"/>
    <w:rsid w:val="00E50AFE"/>
    <w:rsid w:val="00E75C92"/>
    <w:rsid w:val="00E771DC"/>
    <w:rsid w:val="00E8772A"/>
    <w:rsid w:val="00E90F6B"/>
    <w:rsid w:val="00E92C27"/>
    <w:rsid w:val="00E93D3A"/>
    <w:rsid w:val="00EA0E3D"/>
    <w:rsid w:val="00EA6E1A"/>
    <w:rsid w:val="00EC38A7"/>
    <w:rsid w:val="00ED7384"/>
    <w:rsid w:val="00EE1AA8"/>
    <w:rsid w:val="00F31EDC"/>
    <w:rsid w:val="00F462B3"/>
    <w:rsid w:val="00F52ED2"/>
    <w:rsid w:val="00F5664F"/>
    <w:rsid w:val="00F573EC"/>
    <w:rsid w:val="00F65295"/>
    <w:rsid w:val="00F666C4"/>
    <w:rsid w:val="00F76AFC"/>
    <w:rsid w:val="00FA47C0"/>
    <w:rsid w:val="00FB5DD1"/>
    <w:rsid w:val="00FC2B5D"/>
    <w:rsid w:val="00FF1449"/>
    <w:rsid w:val="15E5F6B6"/>
    <w:rsid w:val="444EA3C1"/>
    <w:rsid w:val="44C216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8C70E0"/>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70E0"/>
    <w:rPr>
      <w:rFonts w:ascii="Geomanist Light" w:hAnsi="Geomanist Light"/>
      <w:lang w:val="es-ES"/>
    </w:rPr>
  </w:style>
  <w:style w:type="paragraph" w:styleId="Textoindependiente">
    <w:name w:val="Body Text"/>
    <w:basedOn w:val="Normal"/>
    <w:link w:val="TextoindependienteCar"/>
    <w:uiPriority w:val="99"/>
    <w:unhideWhenUsed/>
    <w:rsid w:val="008C70E0"/>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99"/>
    <w:rsid w:val="008C70E0"/>
    <w:rPr>
      <w:rFonts w:eastAsiaTheme="minorEastAsia"/>
      <w:lang w:eastAsia="es-CO"/>
    </w:rPr>
  </w:style>
  <w:style w:type="paragraph" w:styleId="Sinespaciado">
    <w:name w:val="No Spacing"/>
    <w:aliases w:val="No Indent"/>
    <w:uiPriority w:val="3"/>
    <w:qFormat/>
    <w:rsid w:val="008C70E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latoria.colombiacompra.gov.co/busqueda/concepto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mejia@procuraduria.gov.co"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D7F9B59-9ACA-4D53-BEF7-951E294730D5}"/>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Pedro Nel Avila Navarro</lastModifiedBy>
  <revision>7</revision>
  <lastPrinted>2023-01-10T21:18:00.0000000Z</lastPrinted>
  <dcterms:created xsi:type="dcterms:W3CDTF">2024-12-07T15:51:00.0000000Z</dcterms:created>
  <dcterms:modified xsi:type="dcterms:W3CDTF">2024-12-11T16:22:01.8318980Z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