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80BF" w14:textId="77777777" w:rsidR="007C4023" w:rsidRDefault="007C4023" w:rsidP="007E58B2">
      <w:pPr>
        <w:spacing w:after="0" w:line="240" w:lineRule="auto"/>
        <w:rPr>
          <w:rFonts w:ascii="Verdana" w:eastAsia="Times New Roman" w:hAnsi="Verdana" w:cs="Arial"/>
          <w:lang w:eastAsia="es-ES_tradnl"/>
        </w:rPr>
      </w:pPr>
      <w:bookmarkStart w:id="0" w:name="_Hlk143780582"/>
    </w:p>
    <w:p w14:paraId="3D87E5D0" w14:textId="77777777" w:rsidR="007C4023" w:rsidRPr="00E35D69" w:rsidRDefault="007C4023" w:rsidP="007C4023">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 xml:space="preserve">INHABILIDADES E INCOMPATIBILIDADES – Límites a la capacidad – Régimen </w:t>
      </w:r>
    </w:p>
    <w:p w14:paraId="218831FC" w14:textId="77777777" w:rsidR="007C4023" w:rsidRPr="00E35D69" w:rsidRDefault="007C4023" w:rsidP="007C4023">
      <w:pPr>
        <w:spacing w:after="0" w:line="240" w:lineRule="auto"/>
        <w:jc w:val="both"/>
        <w:rPr>
          <w:rFonts w:ascii="Verdana" w:eastAsia="Times New Roman" w:hAnsi="Verdana" w:cs="Arial"/>
          <w:sz w:val="20"/>
          <w:szCs w:val="20"/>
          <w:lang w:val="es-ES"/>
        </w:rPr>
      </w:pPr>
    </w:p>
    <w:p w14:paraId="00F246B9" w14:textId="77777777" w:rsidR="007C4023" w:rsidRPr="00E35D69" w:rsidRDefault="007C4023" w:rsidP="007C4023">
      <w:pPr>
        <w:spacing w:after="0" w:line="240" w:lineRule="auto"/>
        <w:jc w:val="both"/>
        <w:rPr>
          <w:rFonts w:ascii="Verdana" w:eastAsia="Times New Roman" w:hAnsi="Verdana" w:cs="Arial"/>
          <w:sz w:val="20"/>
          <w:szCs w:val="20"/>
        </w:rPr>
      </w:pPr>
      <w:r w:rsidRPr="00E35D69">
        <w:rPr>
          <w:rFonts w:ascii="Verdana" w:eastAsia="Times New Roman" w:hAnsi="Verdana" w:cs="Arial"/>
          <w:sz w:val="20"/>
          <w:szCs w:val="20"/>
          <w:lang w:val="es-ES"/>
        </w:rPr>
        <w:t xml:space="preserve">[…] </w:t>
      </w:r>
      <w:r w:rsidRPr="00E35D69">
        <w:rPr>
          <w:rFonts w:ascii="Verdana" w:eastAsia="Times New Roman" w:hAnsi="Verdana" w:cs="Arial"/>
          <w:sz w:val="20"/>
          <w:szCs w:val="20"/>
          <w:lang w:val="es-ES_tradnl" w:eastAsia="es-ES_tradnl"/>
        </w:rPr>
        <w:t>e</w:t>
      </w:r>
      <w:r w:rsidRPr="00E35D69">
        <w:rPr>
          <w:rFonts w:ascii="Verdana" w:eastAsia="Times New Roman" w:hAnsi="Verdana" w:cs="Arial"/>
          <w:sz w:val="20"/>
          <w:szCs w:val="20"/>
          <w:lang w:val="es-MX"/>
        </w:rPr>
        <w:t xml:space="preserv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w:t>
      </w:r>
      <w:r w:rsidRPr="00E35D69">
        <w:rPr>
          <w:rFonts w:ascii="Verdana" w:eastAsia="Times New Roman" w:hAnsi="Verdana" w:cs="Arial"/>
          <w:sz w:val="20"/>
          <w:szCs w:val="20"/>
        </w:rPr>
        <w:t>consagradas</w:t>
      </w:r>
      <w:r w:rsidRPr="00E35D69">
        <w:rPr>
          <w:rFonts w:ascii="Verdana" w:eastAsia="Times New Roman" w:hAnsi="Verdana" w:cs="Arial"/>
          <w:sz w:val="20"/>
          <w:szCs w:val="20"/>
          <w:lang w:val="es-MX"/>
        </w:rPr>
        <w:t xml:space="preserve"> por el ordenamiento jurídico</w:t>
      </w:r>
      <w:r w:rsidRPr="00E35D69">
        <w:rPr>
          <w:rFonts w:ascii="Verdana" w:eastAsia="Times New Roman" w:hAnsi="Verdana" w:cs="Arial"/>
          <w:sz w:val="20"/>
          <w:szCs w:val="20"/>
        </w:rPr>
        <w:t xml:space="preserve">. </w:t>
      </w:r>
    </w:p>
    <w:p w14:paraId="698FE732" w14:textId="77777777" w:rsidR="007C4023" w:rsidRPr="00E35D69" w:rsidRDefault="007C4023" w:rsidP="007C4023">
      <w:pPr>
        <w:spacing w:after="0" w:line="240" w:lineRule="auto"/>
        <w:jc w:val="both"/>
        <w:rPr>
          <w:rFonts w:ascii="Verdana" w:eastAsia="Times New Roman" w:hAnsi="Verdana" w:cs="Arial"/>
          <w:sz w:val="20"/>
          <w:szCs w:val="20"/>
        </w:rPr>
      </w:pPr>
    </w:p>
    <w:p w14:paraId="50A547A6" w14:textId="77777777" w:rsidR="007C4023" w:rsidRPr="00E35D69" w:rsidRDefault="007C4023" w:rsidP="007C4023">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 xml:space="preserve">INHABILIDADES E INCOMPATIBILIDADES – Concepto </w:t>
      </w:r>
    </w:p>
    <w:p w14:paraId="6FBA927A" w14:textId="77777777" w:rsidR="007C4023" w:rsidRPr="00E35D69" w:rsidRDefault="007C4023" w:rsidP="007C4023">
      <w:pPr>
        <w:spacing w:after="0" w:line="240" w:lineRule="auto"/>
        <w:jc w:val="both"/>
        <w:rPr>
          <w:rFonts w:ascii="Verdana" w:eastAsia="Times New Roman" w:hAnsi="Verdana" w:cs="Arial"/>
          <w:b/>
          <w:bCs/>
          <w:sz w:val="20"/>
          <w:szCs w:val="20"/>
          <w:lang w:val="es-ES"/>
        </w:rPr>
      </w:pPr>
    </w:p>
    <w:p w14:paraId="63925717" w14:textId="77777777" w:rsidR="007C4023" w:rsidRPr="00E35D69" w:rsidRDefault="007C4023" w:rsidP="007C4023">
      <w:pPr>
        <w:spacing w:after="0" w:line="240" w:lineRule="auto"/>
        <w:jc w:val="both"/>
        <w:rPr>
          <w:rFonts w:ascii="Verdana" w:eastAsia="Times New Roman" w:hAnsi="Verdana" w:cs="Arial"/>
          <w:sz w:val="20"/>
          <w:szCs w:val="20"/>
          <w:lang w:val="es-MX"/>
        </w:rPr>
      </w:pPr>
      <w:r w:rsidRPr="00E35D69">
        <w:rPr>
          <w:rFonts w:ascii="Verdana" w:eastAsia="Times New Roman" w:hAnsi="Verdana" w:cs="Arial"/>
          <w:sz w:val="20"/>
          <w:szCs w:val="20"/>
        </w:rPr>
        <w:t>La</w:t>
      </w:r>
      <w:r w:rsidRPr="00E35D69">
        <w:rPr>
          <w:rFonts w:ascii="Verdana" w:eastAsia="Times New Roman" w:hAnsi="Verdana" w:cs="Arial"/>
          <w:sz w:val="20"/>
          <w:szCs w:val="20"/>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E35D69">
        <w:rPr>
          <w:rFonts w:ascii="Verdana" w:eastAsia="Times New Roman" w:hAnsi="Verdana" w:cs="Times New Roman"/>
          <w:sz w:val="20"/>
          <w:szCs w:val="20"/>
          <w:vertAlign w:val="superscript"/>
          <w:lang w:val="es-MX"/>
        </w:rPr>
        <w:t>.</w:t>
      </w:r>
    </w:p>
    <w:p w14:paraId="00240878" w14:textId="77777777" w:rsidR="007C4023" w:rsidRPr="00E35D69" w:rsidRDefault="007C4023" w:rsidP="007C4023">
      <w:pPr>
        <w:spacing w:after="0" w:line="240" w:lineRule="auto"/>
        <w:ind w:left="360"/>
        <w:jc w:val="both"/>
        <w:rPr>
          <w:rFonts w:ascii="Verdana" w:eastAsia="Times New Roman" w:hAnsi="Verdana" w:cs="Arial"/>
          <w:sz w:val="20"/>
          <w:szCs w:val="20"/>
          <w:lang w:val="es-MX"/>
        </w:rPr>
      </w:pPr>
    </w:p>
    <w:p w14:paraId="0165816B" w14:textId="77777777" w:rsidR="007C4023" w:rsidRPr="00E35D69" w:rsidRDefault="007C4023" w:rsidP="007C4023">
      <w:pPr>
        <w:spacing w:after="0" w:line="240" w:lineRule="auto"/>
        <w:jc w:val="both"/>
        <w:rPr>
          <w:rFonts w:ascii="Verdana" w:eastAsia="Times New Roman" w:hAnsi="Verdana" w:cs="Arial"/>
          <w:sz w:val="20"/>
          <w:szCs w:val="20"/>
          <w:lang w:val="es-MX"/>
        </w:rPr>
      </w:pPr>
      <w:r w:rsidRPr="00E35D69">
        <w:rPr>
          <w:rFonts w:ascii="Verdana" w:eastAsia="Times New Roman" w:hAnsi="Verdana" w:cs="Arial"/>
          <w:sz w:val="20"/>
          <w:szCs w:val="20"/>
          <w:lang w:val="es-MX"/>
        </w:rPr>
        <w:t>La consagración de limitaciones que afectan la capacidad jurídica para contratar desarrolla los principios de la función administrativa consagrados en el artículo 209 de la Constitución Política, con especial énfasis el de moralidad.</w:t>
      </w:r>
    </w:p>
    <w:p w14:paraId="2E22A497" w14:textId="77777777" w:rsidR="007C4023" w:rsidRPr="00E35D69" w:rsidRDefault="007C4023" w:rsidP="007C4023">
      <w:pPr>
        <w:spacing w:after="0" w:line="240" w:lineRule="auto"/>
        <w:jc w:val="both"/>
        <w:rPr>
          <w:rFonts w:ascii="Verdana" w:eastAsia="Times New Roman" w:hAnsi="Verdana" w:cs="Arial"/>
          <w:sz w:val="20"/>
          <w:szCs w:val="20"/>
          <w:lang w:val="es-ES"/>
        </w:rPr>
      </w:pPr>
    </w:p>
    <w:p w14:paraId="0210F7FC" w14:textId="77777777" w:rsidR="007C4023" w:rsidRPr="00E35D69" w:rsidRDefault="007C4023" w:rsidP="007C4023">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 xml:space="preserve">INHABILIDADES E INCOMPATIBILIDADES – Interpretación restrictiva – Principio pro libértate </w:t>
      </w:r>
    </w:p>
    <w:p w14:paraId="60061D0B" w14:textId="77777777" w:rsidR="007C4023" w:rsidRPr="00E35D69" w:rsidRDefault="007C4023" w:rsidP="007C4023">
      <w:pPr>
        <w:spacing w:after="0" w:line="240" w:lineRule="auto"/>
        <w:jc w:val="both"/>
        <w:rPr>
          <w:rFonts w:ascii="Verdana" w:eastAsia="Times New Roman" w:hAnsi="Verdana" w:cs="Times New Roman"/>
          <w:b/>
          <w:bCs/>
          <w:sz w:val="20"/>
          <w:szCs w:val="20"/>
          <w:shd w:val="clear" w:color="auto" w:fill="FFFFFF"/>
          <w:lang w:val="es-ES"/>
        </w:rPr>
      </w:pPr>
    </w:p>
    <w:p w14:paraId="65950610" w14:textId="77777777" w:rsidR="007C4023" w:rsidRPr="00E35D69" w:rsidRDefault="007C4023" w:rsidP="007C4023">
      <w:pPr>
        <w:spacing w:after="0" w:line="240" w:lineRule="auto"/>
        <w:jc w:val="both"/>
        <w:rPr>
          <w:rFonts w:ascii="Verdana" w:eastAsia="Times New Roman" w:hAnsi="Verdana" w:cs="Arial"/>
          <w:color w:val="000000"/>
          <w:kern w:val="2"/>
          <w:sz w:val="20"/>
          <w:szCs w:val="20"/>
          <w:lang w:eastAsia="es-ES"/>
        </w:rPr>
      </w:pPr>
      <w:r w:rsidRPr="00E35D69">
        <w:rPr>
          <w:rFonts w:ascii="Verdana" w:eastAsia="Times New Roman" w:hAnsi="Verdana" w:cs="Times New Roman"/>
          <w:sz w:val="20"/>
          <w:szCs w:val="20"/>
          <w:shd w:val="clear" w:color="auto" w:fill="FFFFFF"/>
          <w:lang w:val="es-ES"/>
        </w:rPr>
        <w:t xml:space="preserve">[…] </w:t>
      </w:r>
      <w:r w:rsidRPr="00E35D69">
        <w:rPr>
          <w:rFonts w:ascii="Verdana" w:eastAsia="Times New Roman" w:hAnsi="Verdana" w:cs="Arial"/>
          <w:color w:val="000000"/>
          <w:kern w:val="2"/>
          <w:sz w:val="20"/>
          <w:szCs w:val="20"/>
          <w:lang w:eastAsia="es-ES"/>
        </w:rPr>
        <w:t>el principio pro libértate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21168734" w14:textId="77777777" w:rsidR="007C4023" w:rsidRPr="00E35D69" w:rsidRDefault="007C4023" w:rsidP="007C4023">
      <w:pPr>
        <w:spacing w:after="0" w:line="240" w:lineRule="auto"/>
        <w:rPr>
          <w:rFonts w:ascii="Verdana" w:eastAsia="Times New Roman" w:hAnsi="Verdana" w:cs="Arial"/>
          <w:color w:val="000000"/>
          <w:lang w:val="es-MX"/>
        </w:rPr>
      </w:pPr>
    </w:p>
    <w:p w14:paraId="784DA53D" w14:textId="77777777" w:rsidR="007C4023" w:rsidRPr="00E35D69" w:rsidRDefault="007C4023" w:rsidP="007C4023">
      <w:pPr>
        <w:spacing w:before="120" w:after="120" w:line="240" w:lineRule="auto"/>
        <w:jc w:val="both"/>
        <w:rPr>
          <w:rFonts w:ascii="Verdana" w:eastAsia="Times New Roman" w:hAnsi="Verdana" w:cs="Arial"/>
          <w:b/>
          <w:bCs/>
          <w:lang w:val="es-ES"/>
        </w:rPr>
      </w:pPr>
      <w:r w:rsidRPr="00E35D69">
        <w:rPr>
          <w:rFonts w:ascii="Verdana" w:eastAsia="Times New Roman" w:hAnsi="Verdana" w:cs="Arial"/>
          <w:b/>
          <w:bCs/>
          <w:lang w:val="es-ES"/>
        </w:rPr>
        <w:t>CONFLICTO DE INTERESES – Concepto – Consagración Legal</w:t>
      </w:r>
    </w:p>
    <w:p w14:paraId="55C8FCB6" w14:textId="77777777" w:rsidR="007C4023" w:rsidRPr="00E35D69" w:rsidRDefault="007C4023" w:rsidP="007C4023">
      <w:pPr>
        <w:spacing w:after="0" w:line="240" w:lineRule="auto"/>
        <w:rPr>
          <w:rFonts w:ascii="Verdana" w:eastAsia="Times New Roman" w:hAnsi="Verdana" w:cs="Arial"/>
          <w:color w:val="000000"/>
          <w:lang w:val="es-MX"/>
        </w:rPr>
      </w:pPr>
    </w:p>
    <w:p w14:paraId="1A93AD28" w14:textId="77777777" w:rsidR="007C4023" w:rsidRPr="00E35D69" w:rsidRDefault="007C4023" w:rsidP="007C4023">
      <w:pPr>
        <w:spacing w:after="0" w:line="240" w:lineRule="auto"/>
        <w:jc w:val="both"/>
        <w:rPr>
          <w:rFonts w:ascii="Verdana" w:eastAsia="Times New Roman" w:hAnsi="Verdana" w:cs="Times New Roman"/>
          <w:sz w:val="20"/>
          <w:szCs w:val="20"/>
          <w:shd w:val="clear" w:color="auto" w:fill="FFFFFF"/>
          <w:lang w:val="es-ES"/>
        </w:rPr>
      </w:pPr>
      <w:r w:rsidRPr="00E35D69">
        <w:rPr>
          <w:rFonts w:ascii="Verdana" w:eastAsia="Times New Roman" w:hAnsi="Verdana" w:cs="Times New Roman"/>
          <w:sz w:val="20"/>
          <w:szCs w:val="20"/>
          <w:shd w:val="clear" w:color="auto" w:fill="FFFFFF"/>
          <w:lang w:val="es-ES"/>
        </w:rPr>
        <w:t xml:space="preserve">[…]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w:t>
      </w:r>
      <w:r w:rsidRPr="00E35D69">
        <w:rPr>
          <w:rFonts w:ascii="Verdana" w:eastAsia="Times New Roman" w:hAnsi="Verdana" w:cs="Times New Roman"/>
          <w:sz w:val="20"/>
          <w:szCs w:val="20"/>
          <w:shd w:val="clear" w:color="auto" w:fill="FFFFFF"/>
          <w:lang w:val="es-ES"/>
        </w:rPr>
        <w:lastRenderedPageBreak/>
        <w:t>adelante CPACA–, corresponde aplicar el trámite establecido en el artículo 12 de la misma ley.</w:t>
      </w:r>
    </w:p>
    <w:p w14:paraId="2E66A59C" w14:textId="77777777" w:rsidR="007C4023" w:rsidRPr="00E35D69" w:rsidRDefault="007C4023" w:rsidP="007C4023">
      <w:pPr>
        <w:spacing w:after="0" w:line="240" w:lineRule="auto"/>
        <w:rPr>
          <w:rFonts w:ascii="Verdana" w:eastAsia="Geomanist Light" w:hAnsi="Verdana" w:cs="Arial"/>
          <w:color w:val="000000" w:themeColor="text1"/>
          <w:lang w:val="es-ES"/>
        </w:rPr>
      </w:pPr>
    </w:p>
    <w:p w14:paraId="32EC0F7D" w14:textId="77777777" w:rsidR="007C4023" w:rsidRPr="00853900" w:rsidRDefault="007C4023" w:rsidP="007C4023">
      <w:pPr>
        <w:spacing w:after="0" w:line="240" w:lineRule="auto"/>
        <w:jc w:val="both"/>
        <w:rPr>
          <w:rFonts w:ascii="Verdana" w:eastAsia="Geomanist Light" w:hAnsi="Verdana" w:cs="Arial"/>
          <w:b/>
          <w:bCs/>
          <w:color w:val="000000" w:themeColor="text1"/>
          <w:lang w:val="es-ES"/>
        </w:rPr>
      </w:pPr>
      <w:r w:rsidRPr="00853900">
        <w:rPr>
          <w:rFonts w:ascii="Verdana" w:eastAsia="Geomanist Light" w:hAnsi="Verdana" w:cs="Arial"/>
          <w:b/>
          <w:bCs/>
          <w:color w:val="000000" w:themeColor="text1"/>
          <w:lang w:val="es-ES"/>
        </w:rPr>
        <w:t xml:space="preserve">CONFLICTO DE INTERESES – Concepto </w:t>
      </w:r>
    </w:p>
    <w:p w14:paraId="251B02A2" w14:textId="77777777" w:rsidR="007C4023" w:rsidRPr="00853900" w:rsidRDefault="007C4023" w:rsidP="007C4023">
      <w:pPr>
        <w:spacing w:after="0" w:line="240" w:lineRule="auto"/>
        <w:rPr>
          <w:rFonts w:ascii="Verdana" w:eastAsia="Geomanist Light" w:hAnsi="Verdana" w:cs="Arial"/>
          <w:color w:val="000000" w:themeColor="text1"/>
          <w:lang w:val="es-MX"/>
        </w:rPr>
      </w:pPr>
    </w:p>
    <w:p w14:paraId="1840BAA0" w14:textId="77777777" w:rsidR="007C4023" w:rsidRPr="00853900" w:rsidRDefault="007C4023" w:rsidP="007C4023">
      <w:pPr>
        <w:spacing w:after="0" w:line="240" w:lineRule="auto"/>
        <w:jc w:val="both"/>
        <w:rPr>
          <w:rFonts w:ascii="Verdana" w:eastAsia="Geomanist Light" w:hAnsi="Verdana" w:cs="Arial"/>
          <w:color w:val="000000" w:themeColor="text1"/>
          <w:sz w:val="20"/>
          <w:szCs w:val="20"/>
          <w:lang w:val="es-ES"/>
        </w:rPr>
      </w:pPr>
      <w:r w:rsidRPr="00853900">
        <w:rPr>
          <w:rFonts w:ascii="Verdana" w:eastAsia="Geomanist Light" w:hAnsi="Verdana" w:cs="Arial"/>
          <w:color w:val="000000" w:themeColor="text1"/>
          <w:sz w:val="20"/>
          <w:szCs w:val="20"/>
          <w:lang w:val="es-ES"/>
        </w:rPr>
        <w:t>[…]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06444154" w14:textId="77777777" w:rsidR="007C4023" w:rsidRPr="00853900" w:rsidRDefault="007C4023" w:rsidP="007C4023">
      <w:pPr>
        <w:spacing w:after="0" w:line="240" w:lineRule="auto"/>
        <w:jc w:val="both"/>
        <w:rPr>
          <w:rFonts w:ascii="Verdana" w:eastAsia="Geomanist Light" w:hAnsi="Verdana" w:cs="Arial"/>
          <w:color w:val="000000" w:themeColor="text1"/>
          <w:lang w:val="es-ES"/>
        </w:rPr>
      </w:pPr>
    </w:p>
    <w:p w14:paraId="038AE5A6" w14:textId="77777777" w:rsidR="007C4023" w:rsidRDefault="007C4023" w:rsidP="007C4023">
      <w:pPr>
        <w:spacing w:after="0" w:line="240" w:lineRule="auto"/>
        <w:rPr>
          <w:rFonts w:ascii="Verdana" w:eastAsia="Geomanist Light" w:hAnsi="Verdana" w:cs="Arial"/>
          <w:color w:val="000000" w:themeColor="text1"/>
          <w:lang w:val="es-MX"/>
        </w:rPr>
      </w:pPr>
    </w:p>
    <w:p w14:paraId="2A3CA9DE" w14:textId="77777777" w:rsidR="007C4023" w:rsidRDefault="007C4023" w:rsidP="007E58B2">
      <w:pPr>
        <w:spacing w:after="0" w:line="240" w:lineRule="auto"/>
        <w:rPr>
          <w:rFonts w:ascii="Verdana" w:eastAsia="Times New Roman" w:hAnsi="Verdana" w:cs="Arial"/>
          <w:lang w:eastAsia="es-ES_tradnl"/>
        </w:rPr>
      </w:pPr>
    </w:p>
    <w:p w14:paraId="23829AE9" w14:textId="77777777" w:rsidR="007C4023" w:rsidRDefault="007C4023" w:rsidP="007E58B2">
      <w:pPr>
        <w:spacing w:after="0" w:line="240" w:lineRule="auto"/>
        <w:rPr>
          <w:rFonts w:ascii="Verdana" w:eastAsia="Times New Roman" w:hAnsi="Verdana" w:cs="Arial"/>
          <w:lang w:eastAsia="es-ES_tradnl"/>
        </w:rPr>
      </w:pPr>
    </w:p>
    <w:p w14:paraId="432DE2FB" w14:textId="77777777" w:rsidR="007C4023" w:rsidRDefault="007C4023" w:rsidP="007E58B2">
      <w:pPr>
        <w:spacing w:after="0" w:line="240" w:lineRule="auto"/>
        <w:rPr>
          <w:rFonts w:ascii="Verdana" w:eastAsia="Times New Roman" w:hAnsi="Verdana" w:cs="Arial"/>
          <w:lang w:eastAsia="es-ES_tradnl"/>
        </w:rPr>
      </w:pPr>
    </w:p>
    <w:p w14:paraId="37A55C93" w14:textId="77777777" w:rsidR="007C4023" w:rsidRDefault="007C4023" w:rsidP="007E58B2">
      <w:pPr>
        <w:spacing w:after="0" w:line="240" w:lineRule="auto"/>
        <w:rPr>
          <w:rFonts w:ascii="Verdana" w:eastAsia="Times New Roman" w:hAnsi="Verdana" w:cs="Arial"/>
          <w:lang w:eastAsia="es-ES_tradnl"/>
        </w:rPr>
      </w:pPr>
    </w:p>
    <w:p w14:paraId="0E8FCDB3" w14:textId="77777777" w:rsidR="007C4023" w:rsidRDefault="007C4023" w:rsidP="007E58B2">
      <w:pPr>
        <w:spacing w:after="0" w:line="240" w:lineRule="auto"/>
        <w:rPr>
          <w:rFonts w:ascii="Verdana" w:eastAsia="Times New Roman" w:hAnsi="Verdana" w:cs="Arial"/>
          <w:lang w:eastAsia="es-ES_tradnl"/>
        </w:rPr>
      </w:pPr>
    </w:p>
    <w:p w14:paraId="613C5992" w14:textId="77777777" w:rsidR="007C4023" w:rsidRDefault="007C4023" w:rsidP="007E58B2">
      <w:pPr>
        <w:spacing w:after="0" w:line="240" w:lineRule="auto"/>
        <w:rPr>
          <w:rFonts w:ascii="Verdana" w:eastAsia="Times New Roman" w:hAnsi="Verdana" w:cs="Arial"/>
          <w:lang w:eastAsia="es-ES_tradnl"/>
        </w:rPr>
      </w:pPr>
    </w:p>
    <w:p w14:paraId="6D4527F9" w14:textId="77777777" w:rsidR="007C4023" w:rsidRDefault="007C4023" w:rsidP="007E58B2">
      <w:pPr>
        <w:spacing w:after="0" w:line="240" w:lineRule="auto"/>
        <w:rPr>
          <w:rFonts w:ascii="Verdana" w:eastAsia="Times New Roman" w:hAnsi="Verdana" w:cs="Arial"/>
          <w:lang w:eastAsia="es-ES_tradnl"/>
        </w:rPr>
      </w:pPr>
    </w:p>
    <w:p w14:paraId="667AD31B" w14:textId="77777777" w:rsidR="007C4023" w:rsidRDefault="007C4023" w:rsidP="007E58B2">
      <w:pPr>
        <w:spacing w:after="0" w:line="240" w:lineRule="auto"/>
        <w:rPr>
          <w:rFonts w:ascii="Verdana" w:eastAsia="Times New Roman" w:hAnsi="Verdana" w:cs="Arial"/>
          <w:lang w:eastAsia="es-ES_tradnl"/>
        </w:rPr>
      </w:pPr>
    </w:p>
    <w:p w14:paraId="0546996B" w14:textId="77777777" w:rsidR="007C4023" w:rsidRDefault="007C4023" w:rsidP="007E58B2">
      <w:pPr>
        <w:spacing w:after="0" w:line="240" w:lineRule="auto"/>
        <w:rPr>
          <w:rFonts w:ascii="Verdana" w:eastAsia="Times New Roman" w:hAnsi="Verdana" w:cs="Arial"/>
          <w:lang w:eastAsia="es-ES_tradnl"/>
        </w:rPr>
      </w:pPr>
    </w:p>
    <w:p w14:paraId="224E7B16" w14:textId="77777777" w:rsidR="007C4023" w:rsidRDefault="007C4023" w:rsidP="007E58B2">
      <w:pPr>
        <w:spacing w:after="0" w:line="240" w:lineRule="auto"/>
        <w:rPr>
          <w:rFonts w:ascii="Verdana" w:eastAsia="Times New Roman" w:hAnsi="Verdana" w:cs="Arial"/>
          <w:lang w:eastAsia="es-ES_tradnl"/>
        </w:rPr>
      </w:pPr>
    </w:p>
    <w:p w14:paraId="756CAC4F" w14:textId="77777777" w:rsidR="007C4023" w:rsidRDefault="007C4023" w:rsidP="007E58B2">
      <w:pPr>
        <w:spacing w:after="0" w:line="240" w:lineRule="auto"/>
        <w:rPr>
          <w:rFonts w:ascii="Verdana" w:eastAsia="Times New Roman" w:hAnsi="Verdana" w:cs="Arial"/>
          <w:lang w:eastAsia="es-ES_tradnl"/>
        </w:rPr>
      </w:pPr>
    </w:p>
    <w:p w14:paraId="606E45F2" w14:textId="77777777" w:rsidR="007C4023" w:rsidRDefault="007C4023" w:rsidP="007E58B2">
      <w:pPr>
        <w:spacing w:after="0" w:line="240" w:lineRule="auto"/>
        <w:rPr>
          <w:rFonts w:ascii="Verdana" w:eastAsia="Times New Roman" w:hAnsi="Verdana" w:cs="Arial"/>
          <w:lang w:eastAsia="es-ES_tradnl"/>
        </w:rPr>
      </w:pPr>
    </w:p>
    <w:p w14:paraId="659FDC90" w14:textId="77777777" w:rsidR="007C4023" w:rsidRDefault="007C4023" w:rsidP="007E58B2">
      <w:pPr>
        <w:spacing w:after="0" w:line="240" w:lineRule="auto"/>
        <w:rPr>
          <w:rFonts w:ascii="Verdana" w:eastAsia="Times New Roman" w:hAnsi="Verdana" w:cs="Arial"/>
          <w:lang w:eastAsia="es-ES_tradnl"/>
        </w:rPr>
      </w:pPr>
    </w:p>
    <w:p w14:paraId="0787BF6B" w14:textId="77777777" w:rsidR="007C4023" w:rsidRDefault="007C4023" w:rsidP="007E58B2">
      <w:pPr>
        <w:spacing w:after="0" w:line="240" w:lineRule="auto"/>
        <w:rPr>
          <w:rFonts w:ascii="Verdana" w:eastAsia="Times New Roman" w:hAnsi="Verdana" w:cs="Arial"/>
          <w:lang w:eastAsia="es-ES_tradnl"/>
        </w:rPr>
      </w:pPr>
    </w:p>
    <w:p w14:paraId="5C57DC00" w14:textId="77777777" w:rsidR="007C4023" w:rsidRDefault="007C4023" w:rsidP="007E58B2">
      <w:pPr>
        <w:spacing w:after="0" w:line="240" w:lineRule="auto"/>
        <w:rPr>
          <w:rFonts w:ascii="Verdana" w:eastAsia="Times New Roman" w:hAnsi="Verdana" w:cs="Arial"/>
          <w:lang w:eastAsia="es-ES_tradnl"/>
        </w:rPr>
      </w:pPr>
    </w:p>
    <w:p w14:paraId="5C837799" w14:textId="77777777" w:rsidR="007C4023" w:rsidRDefault="007C4023" w:rsidP="007E58B2">
      <w:pPr>
        <w:spacing w:after="0" w:line="240" w:lineRule="auto"/>
        <w:rPr>
          <w:rFonts w:ascii="Verdana" w:eastAsia="Times New Roman" w:hAnsi="Verdana" w:cs="Arial"/>
          <w:lang w:eastAsia="es-ES_tradnl"/>
        </w:rPr>
      </w:pPr>
    </w:p>
    <w:p w14:paraId="462647F4" w14:textId="77777777" w:rsidR="007C4023" w:rsidRDefault="007C4023" w:rsidP="007E58B2">
      <w:pPr>
        <w:spacing w:after="0" w:line="240" w:lineRule="auto"/>
        <w:rPr>
          <w:rFonts w:ascii="Verdana" w:eastAsia="Times New Roman" w:hAnsi="Verdana" w:cs="Arial"/>
          <w:lang w:eastAsia="es-ES_tradnl"/>
        </w:rPr>
      </w:pPr>
    </w:p>
    <w:p w14:paraId="1F59179A" w14:textId="77777777" w:rsidR="007C4023" w:rsidRDefault="007C4023" w:rsidP="007E58B2">
      <w:pPr>
        <w:spacing w:after="0" w:line="240" w:lineRule="auto"/>
        <w:rPr>
          <w:rFonts w:ascii="Verdana" w:eastAsia="Times New Roman" w:hAnsi="Verdana" w:cs="Arial"/>
          <w:lang w:eastAsia="es-ES_tradnl"/>
        </w:rPr>
      </w:pPr>
    </w:p>
    <w:p w14:paraId="55407C20" w14:textId="77777777" w:rsidR="007C4023" w:rsidRDefault="007C4023" w:rsidP="007E58B2">
      <w:pPr>
        <w:spacing w:after="0" w:line="240" w:lineRule="auto"/>
        <w:rPr>
          <w:rFonts w:ascii="Verdana" w:eastAsia="Times New Roman" w:hAnsi="Verdana" w:cs="Arial"/>
          <w:lang w:eastAsia="es-ES_tradnl"/>
        </w:rPr>
      </w:pPr>
    </w:p>
    <w:p w14:paraId="209FD7F8" w14:textId="77777777" w:rsidR="007C4023" w:rsidRDefault="007C4023" w:rsidP="007E58B2">
      <w:pPr>
        <w:spacing w:after="0" w:line="240" w:lineRule="auto"/>
        <w:rPr>
          <w:rFonts w:ascii="Verdana" w:eastAsia="Times New Roman" w:hAnsi="Verdana" w:cs="Arial"/>
          <w:lang w:eastAsia="es-ES_tradnl"/>
        </w:rPr>
      </w:pPr>
    </w:p>
    <w:p w14:paraId="6FCC56B8" w14:textId="77777777" w:rsidR="007C4023" w:rsidRDefault="007C4023" w:rsidP="007E58B2">
      <w:pPr>
        <w:spacing w:after="0" w:line="240" w:lineRule="auto"/>
        <w:rPr>
          <w:rFonts w:ascii="Verdana" w:eastAsia="Times New Roman" w:hAnsi="Verdana" w:cs="Arial"/>
          <w:lang w:eastAsia="es-ES_tradnl"/>
        </w:rPr>
      </w:pPr>
    </w:p>
    <w:p w14:paraId="4A6C180A" w14:textId="77777777" w:rsidR="007C4023" w:rsidRDefault="007C4023" w:rsidP="007E58B2">
      <w:pPr>
        <w:spacing w:after="0" w:line="240" w:lineRule="auto"/>
        <w:rPr>
          <w:rFonts w:ascii="Verdana" w:eastAsia="Times New Roman" w:hAnsi="Verdana" w:cs="Arial"/>
          <w:lang w:eastAsia="es-ES_tradnl"/>
        </w:rPr>
      </w:pPr>
    </w:p>
    <w:p w14:paraId="34A0C673" w14:textId="77777777" w:rsidR="007C4023" w:rsidRDefault="007C4023" w:rsidP="007E58B2">
      <w:pPr>
        <w:spacing w:after="0" w:line="240" w:lineRule="auto"/>
        <w:rPr>
          <w:rFonts w:ascii="Verdana" w:eastAsia="Times New Roman" w:hAnsi="Verdana" w:cs="Arial"/>
          <w:lang w:eastAsia="es-ES_tradnl"/>
        </w:rPr>
      </w:pPr>
    </w:p>
    <w:p w14:paraId="299401D7" w14:textId="77777777" w:rsidR="007C4023" w:rsidRDefault="007C4023" w:rsidP="007E58B2">
      <w:pPr>
        <w:spacing w:after="0" w:line="240" w:lineRule="auto"/>
        <w:rPr>
          <w:rFonts w:ascii="Verdana" w:eastAsia="Times New Roman" w:hAnsi="Verdana" w:cs="Arial"/>
          <w:lang w:eastAsia="es-ES_tradnl"/>
        </w:rPr>
      </w:pPr>
    </w:p>
    <w:p w14:paraId="52AC3B3C" w14:textId="77777777" w:rsidR="007C4023" w:rsidRDefault="007C4023" w:rsidP="007E58B2">
      <w:pPr>
        <w:spacing w:after="0" w:line="240" w:lineRule="auto"/>
        <w:rPr>
          <w:rFonts w:ascii="Verdana" w:eastAsia="Times New Roman" w:hAnsi="Verdana" w:cs="Arial"/>
          <w:lang w:eastAsia="es-ES_tradnl"/>
        </w:rPr>
      </w:pPr>
    </w:p>
    <w:p w14:paraId="45B38DCB" w14:textId="77777777" w:rsidR="007C4023" w:rsidRDefault="007C4023" w:rsidP="007E58B2">
      <w:pPr>
        <w:spacing w:after="0" w:line="240" w:lineRule="auto"/>
        <w:rPr>
          <w:rFonts w:ascii="Verdana" w:eastAsia="Times New Roman" w:hAnsi="Verdana" w:cs="Arial"/>
          <w:lang w:eastAsia="es-ES_tradnl"/>
        </w:rPr>
      </w:pPr>
    </w:p>
    <w:p w14:paraId="60ADC35D" w14:textId="77777777" w:rsidR="007C4023" w:rsidRDefault="007C4023" w:rsidP="007E58B2">
      <w:pPr>
        <w:spacing w:after="0" w:line="240" w:lineRule="auto"/>
        <w:rPr>
          <w:rFonts w:ascii="Verdana" w:eastAsia="Times New Roman" w:hAnsi="Verdana" w:cs="Arial"/>
          <w:lang w:eastAsia="es-ES_tradnl"/>
        </w:rPr>
      </w:pPr>
    </w:p>
    <w:p w14:paraId="1DB03990" w14:textId="77777777" w:rsidR="007C4023" w:rsidRDefault="007C4023" w:rsidP="007E58B2">
      <w:pPr>
        <w:spacing w:after="0" w:line="240" w:lineRule="auto"/>
        <w:rPr>
          <w:rFonts w:ascii="Verdana" w:eastAsia="Times New Roman" w:hAnsi="Verdana" w:cs="Arial"/>
          <w:lang w:eastAsia="es-ES_tradnl"/>
        </w:rPr>
      </w:pPr>
    </w:p>
    <w:p w14:paraId="582278FA" w14:textId="77777777" w:rsidR="007C4023" w:rsidRDefault="007C4023" w:rsidP="007E58B2">
      <w:pPr>
        <w:spacing w:after="0" w:line="240" w:lineRule="auto"/>
        <w:rPr>
          <w:rFonts w:ascii="Verdana" w:eastAsia="Times New Roman" w:hAnsi="Verdana" w:cs="Arial"/>
          <w:lang w:eastAsia="es-ES_tradnl"/>
        </w:rPr>
      </w:pPr>
    </w:p>
    <w:p w14:paraId="14F8B2F0" w14:textId="744D64D7" w:rsidR="007E58B2" w:rsidRDefault="007E58B2" w:rsidP="007E58B2">
      <w:pPr>
        <w:spacing w:after="0" w:line="240" w:lineRule="auto"/>
        <w:rPr>
          <w:rFonts w:ascii="Verdana" w:eastAsia="Times New Roman" w:hAnsi="Verdana" w:cs="Arial"/>
          <w:lang w:eastAsia="es-ES_tradnl"/>
        </w:rPr>
      </w:pPr>
      <w:r w:rsidRPr="00BE151B">
        <w:rPr>
          <w:rFonts w:ascii="Verdana" w:eastAsia="Times New Roman" w:hAnsi="Verdana" w:cs="Arial"/>
          <w:lang w:eastAsia="es-ES_tradnl"/>
        </w:rPr>
        <w:t>Bogotá D.C., [Día] de [</w:t>
      </w:r>
      <w:proofErr w:type="spellStart"/>
      <w:r w:rsidRPr="00BE151B">
        <w:rPr>
          <w:rFonts w:ascii="Verdana" w:eastAsia="Times New Roman" w:hAnsi="Verdana" w:cs="Arial"/>
          <w:lang w:eastAsia="es-ES_tradnl"/>
        </w:rPr>
        <w:t>Mes.NombreCapitalizado</w:t>
      </w:r>
      <w:proofErr w:type="spellEnd"/>
      <w:r w:rsidRPr="00BE151B">
        <w:rPr>
          <w:rFonts w:ascii="Verdana" w:eastAsia="Times New Roman" w:hAnsi="Verdana" w:cs="Arial"/>
          <w:lang w:eastAsia="es-ES_tradnl"/>
        </w:rPr>
        <w:t>] de [Año] </w:t>
      </w:r>
    </w:p>
    <w:p w14:paraId="23F56EBE" w14:textId="24590C2A" w:rsidR="007E58B2" w:rsidRDefault="00DA2679" w:rsidP="007E58B2">
      <w:pPr>
        <w:spacing w:after="0" w:line="240" w:lineRule="auto"/>
        <w:jc w:val="right"/>
        <w:rPr>
          <w:rFonts w:ascii="Verdana" w:eastAsia="Times New Roman" w:hAnsi="Verdana" w:cs="Arial"/>
          <w:lang w:eastAsia="es-ES_tradnl"/>
        </w:rPr>
      </w:pPr>
      <w:r w:rsidRPr="00DA2679">
        <w:rPr>
          <w:rFonts w:ascii="Verdana" w:eastAsia="Times New Roman" w:hAnsi="Verdana" w:cs="Arial"/>
          <w:lang w:eastAsia="es-ES_tradnl"/>
        </w:rPr>
        <w:drawing>
          <wp:anchor distT="0" distB="0" distL="114300" distR="114300" simplePos="0" relativeHeight="251657216" behindDoc="1" locked="0" layoutInCell="1" allowOverlap="1" wp14:anchorId="5AD63C0E" wp14:editId="59572AF4">
            <wp:simplePos x="0" y="0"/>
            <wp:positionH relativeFrom="column">
              <wp:posOffset>3613785</wp:posOffset>
            </wp:positionH>
            <wp:positionV relativeFrom="paragraph">
              <wp:posOffset>160020</wp:posOffset>
            </wp:positionV>
            <wp:extent cx="2745024" cy="819150"/>
            <wp:effectExtent l="0" t="0" r="0" b="0"/>
            <wp:wrapNone/>
            <wp:docPr id="20853006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0068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745024" cy="819150"/>
                    </a:xfrm>
                    <a:prstGeom prst="rect">
                      <a:avLst/>
                    </a:prstGeom>
                  </pic:spPr>
                </pic:pic>
              </a:graphicData>
            </a:graphic>
            <wp14:sizeRelH relativeFrom="page">
              <wp14:pctWidth>0</wp14:pctWidth>
            </wp14:sizeRelH>
            <wp14:sizeRelV relativeFrom="page">
              <wp14:pctHeight>0</wp14:pctHeight>
            </wp14:sizeRelV>
          </wp:anchor>
        </w:drawing>
      </w:r>
    </w:p>
    <w:p w14:paraId="19A6226D" w14:textId="3533EEB3" w:rsidR="007E58B2" w:rsidRPr="008A3874" w:rsidRDefault="007E58B2" w:rsidP="007E58B2">
      <w:pPr>
        <w:spacing w:after="0" w:line="240" w:lineRule="auto"/>
        <w:jc w:val="right"/>
        <w:rPr>
          <w:rFonts w:ascii="Verdana" w:eastAsia="Times New Roman" w:hAnsi="Verdana" w:cs="Arial"/>
          <w:lang w:eastAsia="es-ES_tradnl"/>
        </w:rPr>
      </w:pPr>
    </w:p>
    <w:p w14:paraId="15837A4E" w14:textId="77777777" w:rsidR="007E58B2" w:rsidRPr="008A3874" w:rsidRDefault="007E58B2" w:rsidP="007E58B2">
      <w:pPr>
        <w:spacing w:after="0" w:line="240" w:lineRule="auto"/>
        <w:jc w:val="both"/>
        <w:rPr>
          <w:rFonts w:ascii="Verdana" w:eastAsia="Calibri" w:hAnsi="Verdana" w:cs="Arial"/>
          <w:lang w:eastAsia="es-ES_tradnl"/>
        </w:rPr>
      </w:pPr>
      <w:r w:rsidRPr="008A3874">
        <w:rPr>
          <w:rFonts w:ascii="Verdana" w:eastAsia="Calibri" w:hAnsi="Verdana" w:cs="Arial"/>
          <w:lang w:eastAsia="es-ES_tradnl"/>
        </w:rPr>
        <w:t>Señor</w:t>
      </w:r>
    </w:p>
    <w:p w14:paraId="6FF7B97B" w14:textId="77777777" w:rsidR="007E58B2" w:rsidRPr="009C59A6" w:rsidRDefault="007E58B2" w:rsidP="007E58B2">
      <w:pPr>
        <w:spacing w:after="0" w:line="240" w:lineRule="auto"/>
        <w:rPr>
          <w:rFonts w:ascii="Verdana" w:eastAsia="Calibri" w:hAnsi="Verdana" w:cs="Arial"/>
          <w:b/>
          <w:lang w:eastAsia="es-ES_tradnl"/>
        </w:rPr>
      </w:pPr>
      <w:r w:rsidRPr="009C59A6">
        <w:rPr>
          <w:rFonts w:ascii="Verdana" w:eastAsia="Calibri" w:hAnsi="Verdana" w:cs="Arial"/>
          <w:b/>
          <w:lang w:eastAsia="es-ES_tradnl"/>
        </w:rPr>
        <w:t>Juan Pablo Bernal Moncada</w:t>
      </w:r>
    </w:p>
    <w:p w14:paraId="0D9397E7" w14:textId="77777777" w:rsidR="007E58B2" w:rsidRPr="008A3874" w:rsidRDefault="007E58B2" w:rsidP="007E58B2">
      <w:pPr>
        <w:spacing w:after="0" w:line="240" w:lineRule="auto"/>
        <w:rPr>
          <w:rFonts w:ascii="Verdana" w:eastAsia="Calibri" w:hAnsi="Verdana" w:cs="Arial"/>
          <w:bCs/>
          <w:lang w:eastAsia="es-ES_tradnl"/>
        </w:rPr>
      </w:pPr>
      <w:r w:rsidRPr="008A3874">
        <w:rPr>
          <w:rFonts w:ascii="Verdana" w:hAnsi="Verdana"/>
          <w:bCs/>
        </w:rPr>
        <w:t>objetor4@gmail.com</w:t>
      </w:r>
      <w:r w:rsidRPr="008A3874">
        <w:rPr>
          <w:rFonts w:ascii="Verdana" w:eastAsia="Calibri" w:hAnsi="Verdana" w:cs="Arial"/>
          <w:bCs/>
          <w:lang w:eastAsia="es-ES_tradnl"/>
        </w:rPr>
        <w:t xml:space="preserve"> </w:t>
      </w:r>
    </w:p>
    <w:p w14:paraId="723721E7" w14:textId="77777777" w:rsidR="007E58B2" w:rsidRDefault="007E58B2" w:rsidP="007E58B2">
      <w:pPr>
        <w:spacing w:after="0" w:line="240" w:lineRule="auto"/>
        <w:rPr>
          <w:rFonts w:ascii="Verdana" w:eastAsia="Calibri" w:hAnsi="Verdana" w:cs="Arial"/>
          <w:bCs/>
          <w:lang w:val="pt-BR" w:eastAsia="es-ES_tradnl"/>
        </w:rPr>
      </w:pPr>
      <w:r w:rsidRPr="008A3874">
        <w:rPr>
          <w:rFonts w:ascii="Verdana" w:eastAsia="Calibri" w:hAnsi="Verdana" w:cs="Arial"/>
          <w:bCs/>
          <w:lang w:val="pt-BR" w:eastAsia="es-ES_tradnl"/>
        </w:rPr>
        <w:t>Bogotá D.C.</w:t>
      </w:r>
    </w:p>
    <w:p w14:paraId="481C8278" w14:textId="77777777" w:rsidR="007E58B2" w:rsidRDefault="007E58B2" w:rsidP="007E58B2">
      <w:pPr>
        <w:spacing w:after="0" w:line="240" w:lineRule="auto"/>
        <w:rPr>
          <w:rFonts w:ascii="Verdana" w:eastAsia="Calibri" w:hAnsi="Verdana" w:cs="Arial"/>
          <w:bCs/>
          <w:lang w:val="pt-BR" w:eastAsia="es-ES_tradnl"/>
        </w:rPr>
      </w:pPr>
    </w:p>
    <w:p w14:paraId="08C610A3" w14:textId="77777777" w:rsidR="007E58B2" w:rsidRPr="008A3874" w:rsidRDefault="007E58B2" w:rsidP="007E58B2">
      <w:pPr>
        <w:spacing w:after="0" w:line="240" w:lineRule="auto"/>
        <w:rPr>
          <w:rFonts w:ascii="Verdana" w:eastAsia="Calibri" w:hAnsi="Verdana" w:cs="Arial"/>
          <w:bCs/>
          <w:lang w:val="pt-BR" w:eastAsia="es-ES_tradnl"/>
        </w:rPr>
      </w:pPr>
    </w:p>
    <w:p w14:paraId="3178E4EE" w14:textId="77777777" w:rsidR="007E58B2" w:rsidRPr="008A3874" w:rsidRDefault="007E58B2" w:rsidP="007E58B2">
      <w:pPr>
        <w:spacing w:after="0" w:line="240" w:lineRule="auto"/>
        <w:ind w:left="2694"/>
        <w:rPr>
          <w:rFonts w:ascii="Verdana" w:eastAsia="Calibri" w:hAnsi="Verdana" w:cs="Arial"/>
          <w:b/>
          <w:bCs/>
          <w:lang w:eastAsia="es-ES_tradnl"/>
        </w:rPr>
      </w:pPr>
      <w:r w:rsidRPr="008A3874">
        <w:rPr>
          <w:rFonts w:ascii="Verdana" w:eastAsia="Calibri" w:hAnsi="Verdana" w:cs="Arial"/>
          <w:b/>
          <w:bCs/>
          <w:lang w:eastAsia="es-ES_tradnl"/>
        </w:rPr>
        <w:t>Concepto C-939 de 2024</w:t>
      </w:r>
    </w:p>
    <w:p w14:paraId="05F33C48" w14:textId="77777777" w:rsidR="007E58B2" w:rsidRPr="00BE151B" w:rsidRDefault="007E58B2" w:rsidP="007E58B2">
      <w:pPr>
        <w:spacing w:after="0" w:line="240" w:lineRule="auto"/>
        <w:jc w:val="both"/>
        <w:rPr>
          <w:rFonts w:ascii="Verdana" w:eastAsia="Calibri" w:hAnsi="Verdana" w:cs="Arial"/>
          <w:lang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E58B2" w:rsidRPr="00BE151B" w14:paraId="1DABBCB6" w14:textId="77777777" w:rsidTr="009D67F1">
        <w:trPr>
          <w:jc w:val="right"/>
        </w:trPr>
        <w:tc>
          <w:tcPr>
            <w:tcW w:w="1838" w:type="dxa"/>
          </w:tcPr>
          <w:p w14:paraId="5F5C4403" w14:textId="77777777" w:rsidR="007E58B2" w:rsidRPr="00BE151B" w:rsidRDefault="007E58B2" w:rsidP="009D67F1">
            <w:pPr>
              <w:jc w:val="center"/>
              <w:rPr>
                <w:rFonts w:ascii="Verdana" w:eastAsia="Calibri" w:hAnsi="Verdana" w:cs="Arial"/>
                <w:lang w:eastAsia="es-ES_tradnl"/>
              </w:rPr>
            </w:pPr>
            <w:r w:rsidRPr="00BE151B">
              <w:rPr>
                <w:rFonts w:ascii="Verdana" w:eastAsia="Calibri" w:hAnsi="Verdana" w:cs="Arial"/>
                <w:b/>
                <w:lang w:eastAsia="es-ES_tradnl"/>
              </w:rPr>
              <w:t>Temas:</w:t>
            </w:r>
          </w:p>
        </w:tc>
        <w:tc>
          <w:tcPr>
            <w:tcW w:w="6237" w:type="dxa"/>
          </w:tcPr>
          <w:p w14:paraId="71AA0738" w14:textId="77777777" w:rsidR="007E58B2" w:rsidRDefault="007E58B2" w:rsidP="009D67F1">
            <w:pPr>
              <w:spacing w:line="276" w:lineRule="auto"/>
              <w:jc w:val="both"/>
              <w:textAlignment w:val="baseline"/>
              <w:rPr>
                <w:rFonts w:ascii="Verdana" w:eastAsia="Calibri" w:hAnsi="Verdana" w:cs="Arial"/>
                <w:bCs/>
                <w:lang w:val="es-ES_tradnl"/>
              </w:rPr>
            </w:pPr>
            <w:r w:rsidRPr="0051527E">
              <w:rPr>
                <w:rFonts w:ascii="Verdana" w:eastAsia="Calibri" w:hAnsi="Verdana" w:cs="Arial"/>
                <w:bCs/>
                <w:lang w:val="es-ES_tradnl"/>
              </w:rPr>
              <w:t>INHABILIDADES – Definición – Finalidad – Limitación capacidad / INHABILIDADES – Clasificación – Sanción – Proceso sancionatorio – Requisito – Condiciones personales / INHABILIDADES – Taxatividad – Principio de legalidad – Interpretación restrictiva</w:t>
            </w:r>
          </w:p>
          <w:p w14:paraId="22E3F146" w14:textId="77777777" w:rsidR="007E58B2" w:rsidRPr="0051527E" w:rsidRDefault="007E58B2" w:rsidP="009D67F1">
            <w:pPr>
              <w:spacing w:line="276" w:lineRule="auto"/>
              <w:jc w:val="both"/>
              <w:textAlignment w:val="baseline"/>
              <w:rPr>
                <w:rFonts w:ascii="Verdana" w:eastAsia="Times New Roman" w:hAnsi="Verdana" w:cs="Arial"/>
                <w:lang w:val="es-ES" w:eastAsia="es-ES_tradnl"/>
              </w:rPr>
            </w:pPr>
          </w:p>
        </w:tc>
      </w:tr>
      <w:tr w:rsidR="007E58B2" w:rsidRPr="00666220" w14:paraId="48582DE3" w14:textId="77777777" w:rsidTr="009D67F1">
        <w:trPr>
          <w:jc w:val="right"/>
        </w:trPr>
        <w:tc>
          <w:tcPr>
            <w:tcW w:w="1838" w:type="dxa"/>
          </w:tcPr>
          <w:p w14:paraId="60734105" w14:textId="77777777" w:rsidR="007E58B2" w:rsidRPr="00BE151B" w:rsidRDefault="007E58B2" w:rsidP="009D67F1">
            <w:pPr>
              <w:jc w:val="center"/>
              <w:rPr>
                <w:rFonts w:ascii="Verdana" w:eastAsia="Calibri" w:hAnsi="Verdana" w:cs="Arial"/>
                <w:b/>
                <w:lang w:eastAsia="es-ES_tradnl"/>
              </w:rPr>
            </w:pPr>
            <w:r w:rsidRPr="00BE151B">
              <w:rPr>
                <w:rFonts w:ascii="Verdana" w:eastAsia="Calibri" w:hAnsi="Verdana" w:cs="Arial"/>
                <w:b/>
                <w:lang w:eastAsia="es-ES_tradnl"/>
              </w:rPr>
              <w:t>Radicación:</w:t>
            </w:r>
          </w:p>
        </w:tc>
        <w:tc>
          <w:tcPr>
            <w:tcW w:w="6237" w:type="dxa"/>
          </w:tcPr>
          <w:p w14:paraId="409251C8" w14:textId="77777777" w:rsidR="007E58B2" w:rsidRPr="00666220" w:rsidRDefault="007E58B2" w:rsidP="009D67F1">
            <w:pPr>
              <w:jc w:val="both"/>
              <w:rPr>
                <w:rFonts w:ascii="Verdana" w:eastAsia="Calibri" w:hAnsi="Verdana" w:cs="Arial"/>
                <w:lang w:eastAsia="es-ES_tradnl"/>
              </w:rPr>
            </w:pPr>
            <w:r w:rsidRPr="00666220">
              <w:rPr>
                <w:rFonts w:ascii="Verdana" w:eastAsia="Calibri" w:hAnsi="Verdana" w:cs="Arial"/>
                <w:lang w:eastAsia="es-ES_tradnl"/>
              </w:rPr>
              <w:t xml:space="preserve">Respuesta a consulta radicado No. </w:t>
            </w:r>
            <w:r w:rsidRPr="00666220">
              <w:rPr>
                <w:rFonts w:ascii="Verdana" w:eastAsia="Times New Roman" w:hAnsi="Verdana" w:cs="Arial"/>
                <w:lang w:eastAsia="es-ES_tradnl"/>
              </w:rPr>
              <w:t>P20241127011937</w:t>
            </w:r>
            <w:r>
              <w:rPr>
                <w:rFonts w:ascii="Verdana" w:eastAsia="Times New Roman" w:hAnsi="Verdana" w:cs="Arial"/>
                <w:lang w:eastAsia="es-ES_tradnl"/>
              </w:rPr>
              <w:t xml:space="preserve"> acumulada con No. </w:t>
            </w:r>
            <w:r w:rsidRPr="0010382B">
              <w:rPr>
                <w:rFonts w:ascii="Verdana" w:eastAsia="Times New Roman" w:hAnsi="Verdana" w:cs="Arial"/>
                <w:lang w:eastAsia="es-ES_tradnl"/>
              </w:rPr>
              <w:t>P20241118011562</w:t>
            </w:r>
          </w:p>
        </w:tc>
      </w:tr>
    </w:tbl>
    <w:p w14:paraId="79E53B32" w14:textId="77777777" w:rsidR="007E58B2" w:rsidRPr="00BE151B" w:rsidRDefault="007E58B2" w:rsidP="007E58B2">
      <w:pPr>
        <w:spacing w:after="0" w:line="240" w:lineRule="auto"/>
        <w:jc w:val="both"/>
        <w:rPr>
          <w:rFonts w:ascii="Verdana" w:eastAsia="Calibri" w:hAnsi="Verdana" w:cs="Arial"/>
          <w:lang w:eastAsia="es-ES_tradnl"/>
        </w:rPr>
      </w:pPr>
    </w:p>
    <w:p w14:paraId="6A1CF648" w14:textId="77777777" w:rsidR="007E58B2" w:rsidRPr="00BE151B" w:rsidRDefault="007E58B2" w:rsidP="007E58B2">
      <w:pPr>
        <w:spacing w:after="0" w:line="240" w:lineRule="auto"/>
        <w:jc w:val="both"/>
        <w:rPr>
          <w:rFonts w:ascii="Verdana" w:eastAsia="Calibri" w:hAnsi="Verdana" w:cs="Arial"/>
          <w:lang w:eastAsia="es-ES_tradnl"/>
        </w:rPr>
      </w:pPr>
    </w:p>
    <w:p w14:paraId="74211194" w14:textId="77777777" w:rsidR="007E58B2" w:rsidRPr="00BE151B" w:rsidRDefault="007E58B2" w:rsidP="007E58B2">
      <w:pPr>
        <w:spacing w:after="0" w:line="276" w:lineRule="auto"/>
        <w:contextualSpacing/>
        <w:jc w:val="both"/>
        <w:rPr>
          <w:rFonts w:ascii="Verdana" w:eastAsia="Calibri" w:hAnsi="Verdana" w:cs="Arial"/>
          <w:bCs/>
          <w:lang w:eastAsia="es-ES_tradnl"/>
        </w:rPr>
      </w:pPr>
      <w:r w:rsidRPr="00BE151B">
        <w:rPr>
          <w:rFonts w:ascii="Verdana" w:eastAsia="Calibri" w:hAnsi="Verdana" w:cs="Arial"/>
          <w:lang w:eastAsia="es-ES_tradnl"/>
        </w:rPr>
        <w:t>Estimad</w:t>
      </w:r>
      <w:r>
        <w:rPr>
          <w:rFonts w:ascii="Verdana" w:eastAsia="Calibri" w:hAnsi="Verdana" w:cs="Arial"/>
          <w:lang w:eastAsia="es-ES_tradnl"/>
        </w:rPr>
        <w:t>o</w:t>
      </w:r>
      <w:r w:rsidRPr="00BE151B">
        <w:rPr>
          <w:rFonts w:ascii="Verdana" w:eastAsia="Calibri" w:hAnsi="Verdana" w:cs="Arial"/>
          <w:lang w:eastAsia="es-ES_tradnl"/>
        </w:rPr>
        <w:t xml:space="preserve"> </w:t>
      </w:r>
      <w:r>
        <w:rPr>
          <w:rFonts w:ascii="Verdana" w:eastAsia="Calibri" w:hAnsi="Verdana" w:cs="Arial"/>
          <w:lang w:eastAsia="es-ES_tradnl"/>
        </w:rPr>
        <w:t>señor Bernal</w:t>
      </w:r>
      <w:r>
        <w:rPr>
          <w:rFonts w:ascii="Verdana" w:eastAsia="Calibri" w:hAnsi="Verdana" w:cs="Arial"/>
          <w:bCs/>
          <w:lang w:eastAsia="es-ES_tradnl"/>
        </w:rPr>
        <w:t>;</w:t>
      </w:r>
    </w:p>
    <w:p w14:paraId="33AC4A69" w14:textId="77777777" w:rsidR="007E58B2" w:rsidRPr="00BE151B" w:rsidRDefault="007E58B2" w:rsidP="007E58B2">
      <w:pPr>
        <w:spacing w:after="0" w:line="276" w:lineRule="auto"/>
        <w:contextualSpacing/>
        <w:jc w:val="both"/>
        <w:rPr>
          <w:rFonts w:ascii="Verdana" w:eastAsia="Calibri" w:hAnsi="Verdana" w:cs="Arial"/>
          <w:lang w:eastAsia="es-ES_tradnl"/>
        </w:rPr>
      </w:pPr>
    </w:p>
    <w:p w14:paraId="73AF6A7E" w14:textId="77777777" w:rsidR="007E58B2" w:rsidRPr="00BE151B" w:rsidRDefault="007E58B2" w:rsidP="007E58B2">
      <w:pPr>
        <w:spacing w:after="120" w:line="276" w:lineRule="auto"/>
        <w:jc w:val="both"/>
        <w:rPr>
          <w:rFonts w:ascii="Verdana" w:eastAsia="Calibri" w:hAnsi="Verdana" w:cs="Arial"/>
          <w:lang w:eastAsia="es-ES_tradnl"/>
        </w:rPr>
      </w:pPr>
      <w:r w:rsidRPr="00BE151B">
        <w:rPr>
          <w:rFonts w:ascii="Verdana" w:eastAsia="Calibri" w:hAnsi="Verdana" w:cs="Arial"/>
          <w:lang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w:t>
      </w:r>
      <w:r>
        <w:rPr>
          <w:rFonts w:ascii="Verdana" w:eastAsia="Calibri" w:hAnsi="Verdana" w:cs="Arial"/>
          <w:lang w:eastAsia="es-ES_tradnl"/>
        </w:rPr>
        <w:t>s</w:t>
      </w:r>
      <w:r w:rsidRPr="00BE151B">
        <w:rPr>
          <w:rFonts w:ascii="Verdana" w:eastAsia="Calibri" w:hAnsi="Verdana" w:cs="Arial"/>
          <w:lang w:eastAsia="es-ES_tradnl"/>
        </w:rPr>
        <w:t xml:space="preserve"> solicitud</w:t>
      </w:r>
      <w:r>
        <w:rPr>
          <w:rFonts w:ascii="Verdana" w:eastAsia="Calibri" w:hAnsi="Verdana" w:cs="Arial"/>
          <w:lang w:eastAsia="es-ES_tradnl"/>
        </w:rPr>
        <w:t xml:space="preserve">es del 18 de noviembre y del </w:t>
      </w:r>
      <w:r>
        <w:rPr>
          <w:rFonts w:ascii="Verdana" w:eastAsia="Calibri" w:hAnsi="Verdana" w:cs="Arial"/>
          <w:color w:val="000000" w:themeColor="text1"/>
          <w:lang w:eastAsia="es-ES"/>
        </w:rPr>
        <w:t>27</w:t>
      </w:r>
      <w:r w:rsidRPr="00AE4161">
        <w:rPr>
          <w:rFonts w:ascii="Verdana" w:eastAsia="Calibri" w:hAnsi="Verdana" w:cs="Arial"/>
          <w:color w:val="000000" w:themeColor="text1"/>
          <w:lang w:eastAsia="es-ES"/>
        </w:rPr>
        <w:t xml:space="preserve"> de </w:t>
      </w:r>
      <w:r>
        <w:rPr>
          <w:rFonts w:ascii="Verdana" w:eastAsia="Calibri" w:hAnsi="Verdana" w:cs="Arial"/>
          <w:color w:val="000000" w:themeColor="text1"/>
          <w:lang w:eastAsia="es-ES"/>
        </w:rPr>
        <w:t>noviembre</w:t>
      </w:r>
      <w:r w:rsidRPr="00AE4161">
        <w:rPr>
          <w:rFonts w:ascii="Verdana" w:eastAsia="Calibri" w:hAnsi="Verdana" w:cs="Arial"/>
          <w:color w:val="000000" w:themeColor="text1"/>
          <w:lang w:eastAsia="es-ES"/>
        </w:rPr>
        <w:t xml:space="preserve"> de 2024,</w:t>
      </w:r>
      <w:r>
        <w:rPr>
          <w:rFonts w:ascii="Verdana" w:eastAsia="Calibri" w:hAnsi="Verdana" w:cs="Arial"/>
          <w:color w:val="000000" w:themeColor="text1"/>
          <w:lang w:eastAsia="es-ES"/>
        </w:rPr>
        <w:t xml:space="preserve"> esta última remitida</w:t>
      </w:r>
      <w:r w:rsidRPr="00AE4161">
        <w:rPr>
          <w:rFonts w:ascii="Verdana" w:eastAsia="Calibri" w:hAnsi="Verdana" w:cs="Arial"/>
          <w:color w:val="000000" w:themeColor="text1"/>
          <w:lang w:eastAsia="es-ES"/>
        </w:rPr>
        <w:t xml:space="preserve"> por el Departamento Administrativo de la Función Pública con oficio remisorio No. </w:t>
      </w:r>
      <w:r w:rsidRPr="00063D7A">
        <w:rPr>
          <w:rFonts w:ascii="Verdana" w:eastAsia="Calibri" w:hAnsi="Verdana" w:cs="Arial"/>
          <w:color w:val="000000" w:themeColor="text1"/>
          <w:lang w:eastAsia="es-ES"/>
        </w:rPr>
        <w:t>2024</w:t>
      </w:r>
      <w:r>
        <w:rPr>
          <w:rFonts w:ascii="Verdana" w:eastAsia="Calibri" w:hAnsi="Verdana" w:cs="Arial"/>
          <w:color w:val="000000" w:themeColor="text1"/>
          <w:lang w:eastAsia="es-ES"/>
        </w:rPr>
        <w:t>9000821762</w:t>
      </w:r>
      <w:r w:rsidRPr="00C13AA5">
        <w:rPr>
          <w:rFonts w:ascii="Verdana" w:eastAsia="Calibri" w:hAnsi="Verdana" w:cs="Arial"/>
          <w:color w:val="000000" w:themeColor="text1"/>
          <w:lang w:val="es-ES" w:eastAsia="es-ES"/>
        </w:rPr>
        <w:t xml:space="preserve">, en la cual manifiesta lo siguiente: </w:t>
      </w:r>
    </w:p>
    <w:p w14:paraId="2B956780" w14:textId="77777777" w:rsidR="007E58B2" w:rsidRDefault="007E58B2" w:rsidP="007E58B2">
      <w:pPr>
        <w:spacing w:after="120" w:line="240" w:lineRule="auto"/>
        <w:ind w:left="709" w:right="709"/>
        <w:jc w:val="both"/>
        <w:rPr>
          <w:rFonts w:ascii="Verdana" w:eastAsia="Times New Roman" w:hAnsi="Verdana" w:cs="Arial"/>
          <w:i/>
          <w:sz w:val="20"/>
          <w:szCs w:val="20"/>
          <w:lang w:eastAsia="es-ES_tradnl"/>
        </w:rPr>
      </w:pPr>
    </w:p>
    <w:p w14:paraId="1DB05991" w14:textId="77777777" w:rsidR="007E58B2" w:rsidRPr="00472C94" w:rsidRDefault="007E58B2" w:rsidP="007E58B2">
      <w:pPr>
        <w:spacing w:after="120" w:line="240" w:lineRule="auto"/>
        <w:ind w:left="709" w:right="709"/>
        <w:jc w:val="both"/>
        <w:rPr>
          <w:rFonts w:ascii="Verdana" w:eastAsia="Times New Roman" w:hAnsi="Verdana" w:cs="Arial"/>
          <w:i/>
          <w:sz w:val="20"/>
          <w:szCs w:val="20"/>
          <w:lang w:eastAsia="es-ES_tradnl"/>
        </w:rPr>
      </w:pPr>
      <w:r w:rsidRPr="00472C94">
        <w:rPr>
          <w:rFonts w:ascii="Verdana" w:eastAsia="Times New Roman" w:hAnsi="Verdana" w:cs="Arial"/>
          <w:i/>
          <w:sz w:val="20"/>
          <w:szCs w:val="20"/>
          <w:lang w:eastAsia="es-ES_tradnl"/>
        </w:rPr>
        <w:t>“</w:t>
      </w:r>
      <w:r w:rsidRPr="00666220">
        <w:rPr>
          <w:rFonts w:ascii="Verdana" w:eastAsia="Times New Roman" w:hAnsi="Verdana" w:cs="Arial"/>
          <w:i/>
          <w:sz w:val="20"/>
          <w:szCs w:val="20"/>
          <w:lang w:eastAsia="es-ES_tradnl"/>
        </w:rPr>
        <w:t xml:space="preserve">1. ¿un alcalde municipal puede celebrar contrato de prestación de servicios profesionales con persona vinculada a proceso penal (por delitos contra la administración pública) en donde el mismo municipio que representa tiene condición de víctima? 2. En caso de permitirse la celebración del contrato descrito: ¿el alcalde debe declararse impedido, en conflicto de intereses o en incompatibilidad para conferir poder al abogado que represente al municipio como víctima al interior del proceso </w:t>
      </w:r>
      <w:proofErr w:type="gramStart"/>
      <w:r w:rsidRPr="00666220">
        <w:rPr>
          <w:rFonts w:ascii="Verdana" w:eastAsia="Times New Roman" w:hAnsi="Verdana" w:cs="Arial"/>
          <w:i/>
          <w:sz w:val="20"/>
          <w:szCs w:val="20"/>
          <w:lang w:eastAsia="es-ES_tradnl"/>
        </w:rPr>
        <w:t>penal?</w:t>
      </w:r>
      <w:r>
        <w:rPr>
          <w:rFonts w:ascii="Verdana" w:eastAsia="Times New Roman" w:hAnsi="Verdana" w:cs="Arial"/>
          <w:i/>
          <w:sz w:val="20"/>
          <w:szCs w:val="20"/>
          <w:lang w:eastAsia="es-ES_tradnl"/>
        </w:rPr>
        <w:t>.</w:t>
      </w:r>
      <w:proofErr w:type="gramEnd"/>
      <w:r w:rsidRPr="00472C94">
        <w:rPr>
          <w:rFonts w:ascii="Verdana" w:eastAsia="Times New Roman" w:hAnsi="Verdana" w:cs="Arial"/>
          <w:i/>
          <w:sz w:val="20"/>
          <w:szCs w:val="20"/>
          <w:lang w:eastAsia="es-ES_tradnl"/>
        </w:rPr>
        <w:t>”</w:t>
      </w:r>
      <w:r w:rsidRPr="00472C94">
        <w:rPr>
          <w:rFonts w:ascii="Verdana" w:eastAsia="Times New Roman" w:hAnsi="Verdana" w:cs="Arial"/>
          <w:sz w:val="20"/>
          <w:szCs w:val="20"/>
          <w:lang w:eastAsia="es-ES_tradnl"/>
        </w:rPr>
        <w:t xml:space="preserve"> [SIC]</w:t>
      </w:r>
      <w:r w:rsidRPr="00472C94">
        <w:rPr>
          <w:rFonts w:ascii="Verdana" w:eastAsia="Times New Roman" w:hAnsi="Verdana" w:cs="Arial"/>
          <w:i/>
          <w:sz w:val="20"/>
          <w:szCs w:val="20"/>
          <w:lang w:eastAsia="es-ES_tradnl"/>
        </w:rPr>
        <w:t>.</w:t>
      </w:r>
    </w:p>
    <w:p w14:paraId="1168CEC5" w14:textId="77777777" w:rsidR="007E58B2" w:rsidRPr="00BE151B" w:rsidRDefault="007E58B2" w:rsidP="007E58B2">
      <w:pPr>
        <w:spacing w:after="120" w:line="240" w:lineRule="auto"/>
        <w:ind w:left="709" w:right="709"/>
        <w:jc w:val="both"/>
        <w:rPr>
          <w:rFonts w:ascii="Verdana" w:eastAsia="Times New Roman" w:hAnsi="Verdana" w:cs="Arial"/>
          <w:i/>
          <w:lang w:eastAsia="es-ES_tradnl"/>
        </w:rPr>
      </w:pPr>
    </w:p>
    <w:p w14:paraId="7CD10CCA" w14:textId="77777777" w:rsidR="007E58B2" w:rsidRPr="00BE151B" w:rsidRDefault="007E58B2" w:rsidP="007E58B2">
      <w:pPr>
        <w:spacing w:after="120" w:line="276" w:lineRule="auto"/>
        <w:ind w:firstLine="709"/>
        <w:jc w:val="both"/>
        <w:rPr>
          <w:rFonts w:ascii="Verdana" w:eastAsia="Calibri" w:hAnsi="Verdana" w:cs="Arial"/>
          <w:color w:val="000000"/>
          <w:szCs w:val="24"/>
          <w:lang w:eastAsia="es-ES_tradnl"/>
        </w:rPr>
      </w:pPr>
      <w:r w:rsidRPr="00BE151B">
        <w:rPr>
          <w:rFonts w:ascii="Verdana" w:eastAsia="Calibri" w:hAnsi="Verdana" w:cs="Arial"/>
          <w:color w:val="000000"/>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E151B">
        <w:rPr>
          <w:rFonts w:ascii="Verdana" w:eastAsia="Calibri" w:hAnsi="Verdana" w:cs="Arial"/>
          <w:color w:val="000000"/>
          <w:szCs w:val="24"/>
          <w:lang w:eastAsia="es-ES_tradnl"/>
        </w:rPr>
        <w:tab/>
      </w:r>
    </w:p>
    <w:p w14:paraId="7AE4AE8B" w14:textId="77777777" w:rsidR="007E58B2" w:rsidRPr="00BE151B" w:rsidRDefault="007E58B2" w:rsidP="007E58B2">
      <w:pPr>
        <w:spacing w:after="0" w:line="276" w:lineRule="auto"/>
        <w:ind w:firstLine="709"/>
        <w:jc w:val="both"/>
        <w:rPr>
          <w:rFonts w:ascii="Verdana" w:eastAsia="Calibri" w:hAnsi="Verdana" w:cs="Arial"/>
          <w:lang w:eastAsia="es-ES"/>
        </w:rPr>
      </w:pPr>
      <w:r w:rsidRPr="00BE151B">
        <w:rPr>
          <w:rFonts w:ascii="Verdana" w:eastAsia="Calibri" w:hAnsi="Verdana" w:cs="Arial"/>
          <w:lang w:eastAsia="es-ES"/>
        </w:rPr>
        <w:t xml:space="preserve">Conforme lo expuesto, en aras de satisfacer el derecho fundamental de petición se resolverá su consulta dentro de los límites de la referida competencia consultiva, </w:t>
      </w:r>
      <w:r>
        <w:rPr>
          <w:rFonts w:ascii="Verdana" w:eastAsia="Calibri" w:hAnsi="Verdana" w:cs="Arial"/>
          <w:lang w:eastAsia="es-ES"/>
        </w:rPr>
        <w:t xml:space="preserve">esto es, </w:t>
      </w:r>
      <w:r w:rsidRPr="00BE151B">
        <w:rPr>
          <w:rFonts w:ascii="Verdana" w:eastAsia="Calibri" w:hAnsi="Verdana" w:cs="Arial"/>
          <w:lang w:eastAsia="es-ES"/>
        </w:rPr>
        <w:t xml:space="preserve">haciendo abstracción de las circunstancias particulares y concretas, pero haciendo unas consideraciones sobre las normas generales relacionadas con </w:t>
      </w:r>
      <w:r>
        <w:rPr>
          <w:rFonts w:ascii="Verdana" w:eastAsia="Calibri" w:hAnsi="Verdana" w:cs="Arial"/>
          <w:lang w:eastAsia="es-ES"/>
        </w:rPr>
        <w:t>el</w:t>
      </w:r>
      <w:r w:rsidRPr="00BE151B">
        <w:rPr>
          <w:rFonts w:ascii="Verdana" w:eastAsia="Calibri" w:hAnsi="Verdana" w:cs="Arial"/>
          <w:lang w:eastAsia="es-ES"/>
        </w:rPr>
        <w:t xml:space="preserve"> problema jurídico de su consulta. </w:t>
      </w:r>
    </w:p>
    <w:p w14:paraId="320912CB" w14:textId="77777777" w:rsidR="007E58B2" w:rsidRPr="00BE151B" w:rsidRDefault="007E58B2" w:rsidP="007E58B2">
      <w:pPr>
        <w:spacing w:after="0" w:line="276" w:lineRule="auto"/>
        <w:contextualSpacing/>
        <w:jc w:val="both"/>
        <w:rPr>
          <w:rFonts w:ascii="Verdana" w:eastAsia="Times New Roman" w:hAnsi="Verdana" w:cs="Arial"/>
          <w:szCs w:val="24"/>
          <w:lang w:eastAsia="es-ES_tradnl"/>
        </w:rPr>
      </w:pPr>
    </w:p>
    <w:p w14:paraId="2122B8CF" w14:textId="77777777" w:rsidR="007E58B2" w:rsidRPr="00BE151B" w:rsidRDefault="007E58B2" w:rsidP="007E58B2">
      <w:pPr>
        <w:tabs>
          <w:tab w:val="left" w:pos="0"/>
          <w:tab w:val="left" w:pos="284"/>
        </w:tabs>
        <w:spacing w:after="0" w:line="276" w:lineRule="auto"/>
        <w:contextualSpacing/>
        <w:jc w:val="both"/>
        <w:rPr>
          <w:rFonts w:ascii="Verdana" w:eastAsia="Calibri" w:hAnsi="Verdana" w:cs="Arial"/>
          <w:b/>
        </w:rPr>
      </w:pPr>
      <w:r w:rsidRPr="00BE151B">
        <w:rPr>
          <w:rFonts w:ascii="Verdana" w:eastAsia="Calibri" w:hAnsi="Verdana" w:cs="Arial"/>
          <w:b/>
        </w:rPr>
        <w:t>1. Problema planteado:</w:t>
      </w:r>
    </w:p>
    <w:p w14:paraId="4C18A67B" w14:textId="77777777" w:rsidR="007E58B2" w:rsidRPr="00BE151B" w:rsidRDefault="007E58B2" w:rsidP="007E58B2">
      <w:pPr>
        <w:tabs>
          <w:tab w:val="left" w:pos="0"/>
          <w:tab w:val="left" w:pos="284"/>
        </w:tabs>
        <w:spacing w:after="0" w:line="276" w:lineRule="auto"/>
        <w:contextualSpacing/>
        <w:jc w:val="both"/>
        <w:rPr>
          <w:rFonts w:ascii="Verdana" w:eastAsia="Calibri" w:hAnsi="Verdana" w:cs="Arial"/>
          <w:b/>
        </w:rPr>
      </w:pPr>
    </w:p>
    <w:p w14:paraId="68B788E2" w14:textId="77777777" w:rsidR="007E58B2" w:rsidRDefault="007E58B2" w:rsidP="007E58B2">
      <w:pPr>
        <w:spacing w:after="0" w:line="276" w:lineRule="auto"/>
        <w:jc w:val="both"/>
        <w:rPr>
          <w:rFonts w:ascii="Verdana" w:hAnsi="Verdana"/>
          <w:w w:val="105"/>
        </w:rPr>
      </w:pPr>
      <w:bookmarkStart w:id="1" w:name="_Hlk184568413"/>
      <w:r w:rsidRPr="003A6115">
        <w:rPr>
          <w:rFonts w:ascii="Verdana" w:eastAsia="Century Gothic" w:hAnsi="Verdana" w:cs="Century Gothic"/>
        </w:rPr>
        <w:t xml:space="preserve">De acuerdo con el contenido de su solicitud, esta Agencia resolverá </w:t>
      </w:r>
      <w:r>
        <w:rPr>
          <w:rFonts w:ascii="Verdana" w:eastAsia="Century Gothic" w:hAnsi="Verdana" w:cs="Century Gothic"/>
        </w:rPr>
        <w:t>el siguiente</w:t>
      </w:r>
      <w:r w:rsidRPr="003A6115">
        <w:rPr>
          <w:rFonts w:ascii="Verdana" w:eastAsia="Century Gothic" w:hAnsi="Verdana" w:cs="Century Gothic"/>
        </w:rPr>
        <w:t xml:space="preserve"> problema jurídico:</w:t>
      </w:r>
      <w:r>
        <w:rPr>
          <w:rFonts w:ascii="Verdana" w:eastAsia="Century Gothic" w:hAnsi="Verdana" w:cs="Century Gothic"/>
        </w:rPr>
        <w:t xml:space="preserve"> </w:t>
      </w:r>
      <w:r w:rsidRPr="005840D8">
        <w:rPr>
          <w:rStyle w:val="normaltextrun"/>
          <w:rFonts w:ascii="Verdana" w:hAnsi="Verdana"/>
        </w:rPr>
        <w:t>¿Puede una persona vinculada a un proce</w:t>
      </w:r>
      <w:r>
        <w:rPr>
          <w:rStyle w:val="normaltextrun"/>
          <w:rFonts w:ascii="Verdana" w:hAnsi="Verdana"/>
        </w:rPr>
        <w:t>so</w:t>
      </w:r>
      <w:r w:rsidRPr="005840D8">
        <w:rPr>
          <w:rFonts w:ascii="Verdana" w:hAnsi="Verdana"/>
          <w:w w:val="105"/>
        </w:rPr>
        <w:t xml:space="preserve"> </w:t>
      </w:r>
      <w:r>
        <w:rPr>
          <w:rFonts w:ascii="Verdana" w:hAnsi="Verdana"/>
          <w:w w:val="105"/>
        </w:rPr>
        <w:t xml:space="preserve">penal </w:t>
      </w:r>
      <w:r w:rsidRPr="005840D8">
        <w:rPr>
          <w:rFonts w:ascii="Verdana" w:hAnsi="Verdana"/>
          <w:w w:val="105"/>
        </w:rPr>
        <w:t xml:space="preserve">por la comisión de delitos contra la </w:t>
      </w:r>
      <w:r>
        <w:rPr>
          <w:rFonts w:ascii="Verdana" w:hAnsi="Verdana"/>
          <w:w w:val="105"/>
        </w:rPr>
        <w:t>a</w:t>
      </w:r>
      <w:r w:rsidRPr="005840D8">
        <w:rPr>
          <w:rFonts w:ascii="Verdana" w:hAnsi="Verdana"/>
          <w:w w:val="105"/>
        </w:rPr>
        <w:t xml:space="preserve">dministración pública celebrar un contrato </w:t>
      </w:r>
      <w:r>
        <w:rPr>
          <w:rFonts w:ascii="Verdana" w:hAnsi="Verdana"/>
          <w:w w:val="105"/>
        </w:rPr>
        <w:t>e</w:t>
      </w:r>
      <w:r w:rsidRPr="005840D8">
        <w:rPr>
          <w:rFonts w:ascii="Verdana" w:hAnsi="Verdana"/>
          <w:w w:val="105"/>
        </w:rPr>
        <w:t>statal</w:t>
      </w:r>
      <w:r>
        <w:rPr>
          <w:rFonts w:ascii="Verdana" w:hAnsi="Verdana"/>
          <w:w w:val="105"/>
        </w:rPr>
        <w:t xml:space="preserve"> con la entidad víctima dentro de dicho proceso</w:t>
      </w:r>
      <w:r w:rsidRPr="005840D8">
        <w:rPr>
          <w:rFonts w:ascii="Verdana" w:hAnsi="Verdana"/>
          <w:w w:val="105"/>
        </w:rPr>
        <w:t>?</w:t>
      </w:r>
      <w:bookmarkEnd w:id="1"/>
    </w:p>
    <w:p w14:paraId="640B3BE3" w14:textId="77777777" w:rsidR="007E58B2" w:rsidRDefault="007E58B2" w:rsidP="007E58B2">
      <w:pPr>
        <w:spacing w:after="0" w:line="276" w:lineRule="auto"/>
        <w:jc w:val="both"/>
        <w:rPr>
          <w:rFonts w:ascii="Verdana" w:eastAsia="Calibri" w:hAnsi="Verdana" w:cs="Arial"/>
          <w:lang w:eastAsia="es-ES"/>
        </w:rPr>
      </w:pPr>
    </w:p>
    <w:p w14:paraId="1E0561FD" w14:textId="77777777" w:rsidR="007E58B2" w:rsidRPr="00BE151B" w:rsidRDefault="007E58B2" w:rsidP="007E58B2">
      <w:pPr>
        <w:tabs>
          <w:tab w:val="left" w:pos="142"/>
          <w:tab w:val="left" w:pos="284"/>
        </w:tabs>
        <w:spacing w:after="0" w:line="276" w:lineRule="auto"/>
        <w:jc w:val="both"/>
        <w:rPr>
          <w:rFonts w:ascii="Verdana" w:eastAsia="Century Gothic" w:hAnsi="Verdana" w:cs="Century Gothic"/>
          <w:b/>
          <w:bCs/>
        </w:rPr>
      </w:pPr>
      <w:r w:rsidRPr="00BE151B">
        <w:rPr>
          <w:rFonts w:ascii="Verdana" w:eastAsia="Century Gothic" w:hAnsi="Verdana" w:cs="Century Gothic"/>
          <w:b/>
          <w:bCs/>
        </w:rPr>
        <w:t>2. Respuesta:</w:t>
      </w:r>
    </w:p>
    <w:p w14:paraId="4F8CD750" w14:textId="77777777" w:rsidR="007E58B2" w:rsidRPr="00BE151B" w:rsidRDefault="007E58B2" w:rsidP="007E58B2">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E58B2" w:rsidRPr="00BE151B" w14:paraId="623202B2" w14:textId="77777777" w:rsidTr="009D67F1">
        <w:tc>
          <w:tcPr>
            <w:tcW w:w="8828" w:type="dxa"/>
            <w:tcBorders>
              <w:bottom w:val="single" w:sz="4" w:space="0" w:color="auto"/>
            </w:tcBorders>
            <w:shd w:val="clear" w:color="auto" w:fill="auto"/>
            <w:vAlign w:val="center"/>
          </w:tcPr>
          <w:p w14:paraId="692CFEF0" w14:textId="77777777" w:rsidR="007E58B2" w:rsidRPr="00D60212" w:rsidRDefault="007E58B2" w:rsidP="009D67F1">
            <w:pPr>
              <w:spacing w:after="160" w:line="276" w:lineRule="auto"/>
              <w:jc w:val="both"/>
              <w:rPr>
                <w:rFonts w:ascii="Verdana" w:hAnsi="Verdana"/>
              </w:rPr>
            </w:pPr>
            <w:r w:rsidRPr="00196626">
              <w:rPr>
                <w:rFonts w:ascii="Verdana" w:hAnsi="Verdana"/>
              </w:rPr>
              <w:t xml:space="preserve">Una persona vinculada a un proceso penal por la comisión de delitos contra la administración pública si puede celebrar un contrato </w:t>
            </w:r>
            <w:r>
              <w:rPr>
                <w:rFonts w:ascii="Verdana" w:hAnsi="Verdana"/>
              </w:rPr>
              <w:t>e</w:t>
            </w:r>
            <w:r w:rsidRPr="00196626">
              <w:rPr>
                <w:rFonts w:ascii="Verdana" w:hAnsi="Verdana"/>
              </w:rPr>
              <w:t>statal con la entidad v</w:t>
            </w:r>
            <w:r>
              <w:rPr>
                <w:rFonts w:ascii="Verdana" w:hAnsi="Verdana"/>
              </w:rPr>
              <w:t>í</w:t>
            </w:r>
            <w:r w:rsidRPr="00196626">
              <w:rPr>
                <w:rFonts w:ascii="Verdana" w:hAnsi="Verdana"/>
              </w:rPr>
              <w:t>ctima dentro del proceso, toda vez que el artículo 8 de la Ley 80 de 1993 literal</w:t>
            </w:r>
            <w:r>
              <w:rPr>
                <w:rFonts w:ascii="Verdana" w:hAnsi="Verdana"/>
              </w:rPr>
              <w:t xml:space="preserve"> </w:t>
            </w:r>
            <w:r w:rsidRPr="00196626">
              <w:rPr>
                <w:rFonts w:ascii="Verdana" w:hAnsi="Verdana"/>
              </w:rPr>
              <w:t>j</w:t>
            </w:r>
            <w:r>
              <w:rPr>
                <w:rFonts w:ascii="Verdana" w:hAnsi="Verdana"/>
              </w:rPr>
              <w:t>)</w:t>
            </w:r>
            <w:r w:rsidRPr="00196626">
              <w:rPr>
                <w:rFonts w:ascii="Verdana" w:hAnsi="Verdana"/>
              </w:rPr>
              <w:t xml:space="preserve"> indica que la inhabilidad recae sobre l</w:t>
            </w:r>
            <w:r w:rsidRPr="00D60212">
              <w:rPr>
                <w:rFonts w:ascii="Verdana" w:hAnsi="Verdana"/>
              </w:rPr>
              <w:t>as personas naturales que hayan sido declaradas responsables judicialmente por la comisión de delitos contra la Administración Pública, o de cualquiera de los delitos o faltas contempladas por la Ley 1474 de 2011 y sus normas modificatorias</w:t>
            </w:r>
            <w:r>
              <w:rPr>
                <w:rFonts w:ascii="Verdana" w:hAnsi="Verdana"/>
              </w:rPr>
              <w:t>,</w:t>
            </w:r>
            <w:r w:rsidRPr="00D60212">
              <w:rPr>
                <w:rFonts w:ascii="Verdana" w:hAnsi="Verdana"/>
              </w:rPr>
              <w:t xml:space="preserve"> o de cualquiera de las conductas delictivas contempladas por las convenciones o tratados de lucha contra la corrupción suscritos y ratificados por Colombia, así como las personas </w:t>
            </w:r>
            <w:r w:rsidRPr="00D60212">
              <w:rPr>
                <w:rFonts w:ascii="Verdana" w:hAnsi="Verdana"/>
              </w:rPr>
              <w:lastRenderedPageBreak/>
              <w:t>jurídicas que hayan sido declaradas responsables administrativamente por la conducta de soborno transnacional.</w:t>
            </w:r>
          </w:p>
          <w:p w14:paraId="7E3D2615" w14:textId="77777777" w:rsidR="007E58B2" w:rsidRDefault="007E58B2" w:rsidP="009D67F1">
            <w:pPr>
              <w:spacing w:after="160" w:line="276" w:lineRule="auto"/>
              <w:jc w:val="both"/>
              <w:rPr>
                <w:rFonts w:ascii="Verdana" w:hAnsi="Verdana"/>
              </w:rPr>
            </w:pPr>
            <w:r w:rsidRPr="00D60212">
              <w:rPr>
                <w:rFonts w:ascii="Verdana" w:hAnsi="Verdana"/>
              </w:rPr>
              <w:t>Esta inhabilidad procederá preventivamente aún en los casos en los que esté pendiente la decisión sobre la impugnación de la sentencia condenatoria.</w:t>
            </w:r>
            <w:r>
              <w:rPr>
                <w:rFonts w:ascii="Verdana" w:hAnsi="Verdana"/>
              </w:rPr>
              <w:t xml:space="preserve"> </w:t>
            </w:r>
            <w:r w:rsidRPr="00196626">
              <w:rPr>
                <w:rFonts w:ascii="Verdana" w:hAnsi="Verdana"/>
              </w:rPr>
              <w:t>Por lo anterior la sola vinculación al proceso no genera una inhabilidad para celebrar contratos con las entidades estatales</w:t>
            </w:r>
            <w:r w:rsidRPr="00D60212">
              <w:rPr>
                <w:rFonts w:ascii="Verdana" w:hAnsi="Verdana"/>
              </w:rPr>
              <w:t>.</w:t>
            </w:r>
            <w:r>
              <w:rPr>
                <w:rFonts w:ascii="Verdana" w:hAnsi="Verdana"/>
              </w:rPr>
              <w:t xml:space="preserve"> </w:t>
            </w:r>
          </w:p>
          <w:p w14:paraId="0AEAFF39" w14:textId="77777777" w:rsidR="007E58B2" w:rsidRPr="00C030F1" w:rsidRDefault="007E58B2" w:rsidP="009D67F1">
            <w:pPr>
              <w:spacing w:after="160" w:line="276" w:lineRule="auto"/>
              <w:jc w:val="both"/>
              <w:rPr>
                <w:rFonts w:ascii="Verdana" w:hAnsi="Verdana"/>
              </w:rPr>
            </w:pPr>
            <w:r w:rsidRPr="00C030F1">
              <w:rPr>
                <w:rFonts w:ascii="Verdana" w:eastAsia="Calibri" w:hAnsi="Verdana" w:cs="Arial"/>
                <w:lang w:val="es-ES_tradnl"/>
              </w:rPr>
              <w:t xml:space="preserve">Por otro lado, se debe analizar el régimen de los conflictos de interés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el régimen de los </w:t>
            </w:r>
            <w:r w:rsidRPr="00C030F1">
              <w:rPr>
                <w:rFonts w:ascii="Verdana" w:eastAsia="Calibri" w:hAnsi="Verdana" w:cs="Arial"/>
                <w:i/>
                <w:iCs/>
                <w:lang w:val="es-ES_tradnl"/>
              </w:rPr>
              <w:t>conflictos de interés</w:t>
            </w:r>
            <w:r w:rsidRPr="00C030F1">
              <w:rPr>
                <w:rFonts w:ascii="Verdana" w:eastAsia="Calibri" w:hAnsi="Verdana" w:cs="Arial"/>
                <w:lang w:val="es-ES_tradnl"/>
              </w:rPr>
              <w:t xml:space="preserve">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corresponde a cada Entidad Pública, en ejercicio de su competencia y previa valoración de los elementos fácticos y jurídicos, determinar si se configura un conflicto de intereses.</w:t>
            </w:r>
            <w:r w:rsidRPr="00C030F1">
              <w:rPr>
                <w:rFonts w:ascii="Verdana" w:hAnsi="Verdana" w:cs="Arial"/>
                <w:bCs/>
                <w:color w:val="000000" w:themeColor="text1"/>
                <w:lang w:val="es-MX"/>
              </w:rPr>
              <w:t xml:space="preserve"> </w:t>
            </w:r>
          </w:p>
          <w:p w14:paraId="744DF077" w14:textId="77777777" w:rsidR="007E58B2" w:rsidRDefault="007E58B2" w:rsidP="009D67F1">
            <w:pPr>
              <w:spacing w:line="276" w:lineRule="auto"/>
              <w:jc w:val="both"/>
              <w:rPr>
                <w:rFonts w:ascii="Verdana" w:hAnsi="Verdana"/>
                <w:bCs/>
              </w:rPr>
            </w:pPr>
            <w:r>
              <w:rPr>
                <w:rFonts w:ascii="Verdana" w:hAnsi="Verdana"/>
              </w:rPr>
              <w:t xml:space="preserve">Finalmente, respecto del otorgamiento del poder por parte del representante legal de la entidad víctima dentro del </w:t>
            </w:r>
            <w:r w:rsidRPr="00196626">
              <w:rPr>
                <w:rFonts w:ascii="Verdana" w:hAnsi="Verdana"/>
              </w:rPr>
              <w:t xml:space="preserve">proceso penal </w:t>
            </w:r>
            <w:r>
              <w:rPr>
                <w:rFonts w:ascii="Verdana" w:hAnsi="Verdana"/>
              </w:rPr>
              <w:t>sobre</w:t>
            </w:r>
            <w:r w:rsidRPr="00196626">
              <w:rPr>
                <w:rFonts w:ascii="Verdana" w:hAnsi="Verdana"/>
              </w:rPr>
              <w:t xml:space="preserve"> delitos contra la administración pública</w:t>
            </w:r>
            <w:r>
              <w:rPr>
                <w:rFonts w:ascii="Verdana" w:hAnsi="Verdana"/>
              </w:rPr>
              <w:t xml:space="preserve">, a un abogado para su defensa, </w:t>
            </w:r>
            <w:r w:rsidRPr="000B48FE">
              <w:rPr>
                <w:rFonts w:ascii="Verdana" w:hAnsi="Verdana"/>
                <w:bCs/>
              </w:rPr>
              <w:t xml:space="preserve">en </w:t>
            </w:r>
            <w:bookmarkStart w:id="2" w:name="_Hlk61026958"/>
            <w:bookmarkStart w:id="3" w:name="_Hlk61701014"/>
            <w:r w:rsidRPr="000B48FE">
              <w:rPr>
                <w:rFonts w:ascii="Verdana" w:hAnsi="Verdana"/>
                <w:bCs/>
              </w:rPr>
              <w:t xml:space="preserve">ejercicio de las competencias establecidas en los artículos 3.5 y 11.8 del Decreto 4170 de 2011, la Agencia Nacional de Contratación Pública – Colombia Compra Eficiente resuelve consultas sobre </w:t>
            </w:r>
            <w:r w:rsidRPr="000B48FE">
              <w:rPr>
                <w:rFonts w:ascii="Verdana" w:hAnsi="Verdana"/>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0B48FE">
              <w:rPr>
                <w:rFonts w:ascii="Verdana" w:hAnsi="Verdana"/>
                <w:bCs/>
              </w:rPr>
              <w:t xml:space="preserve"> de todos los partícipes de la contratación estatal.</w:t>
            </w:r>
          </w:p>
          <w:p w14:paraId="6D0EFF5C" w14:textId="77777777" w:rsidR="007E58B2" w:rsidRPr="000B48FE" w:rsidRDefault="007E58B2" w:rsidP="009D67F1">
            <w:pPr>
              <w:spacing w:line="276" w:lineRule="auto"/>
              <w:jc w:val="both"/>
              <w:rPr>
                <w:rFonts w:ascii="Verdana" w:hAnsi="Verdana"/>
                <w:bCs/>
              </w:rPr>
            </w:pPr>
          </w:p>
          <w:p w14:paraId="73676F9E" w14:textId="77777777" w:rsidR="007E58B2" w:rsidRPr="008C268B" w:rsidRDefault="007E58B2" w:rsidP="009D67F1">
            <w:pPr>
              <w:spacing w:line="276" w:lineRule="auto"/>
              <w:jc w:val="both"/>
              <w:rPr>
                <w:rFonts w:ascii="Verdana" w:hAnsi="Verdana" w:cs="Arial"/>
                <w:color w:val="000000"/>
              </w:rPr>
            </w:pPr>
            <w:r w:rsidRPr="000B48FE">
              <w:rPr>
                <w:rFonts w:ascii="Verdana" w:hAnsi="Verdana"/>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48FE">
              <w:rPr>
                <w:rFonts w:ascii="Verdana" w:hAnsi="Verdana"/>
                <w:vertAlign w:val="superscript"/>
              </w:rPr>
              <w:footnoteReference w:id="1"/>
            </w:r>
            <w:r w:rsidRPr="000B48FE">
              <w:rPr>
                <w:rFonts w:ascii="Verdana" w:hAnsi="Verdana"/>
                <w:lang w:val="es-ES"/>
              </w:rPr>
              <w:t xml:space="preserve">. Esta competencia de interpretación </w:t>
            </w:r>
            <w:r w:rsidRPr="000B48FE">
              <w:rPr>
                <w:rFonts w:ascii="Verdana" w:hAnsi="Verdana"/>
                <w:lang w:val="es-ES"/>
              </w:rPr>
              <w:lastRenderedPageBreak/>
              <w:t>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0B48FE">
              <w:rPr>
                <w:rFonts w:ascii="Verdana" w:hAnsi="Verdana"/>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tc>
      </w:tr>
    </w:tbl>
    <w:p w14:paraId="339E6212" w14:textId="77777777" w:rsidR="007E58B2" w:rsidRPr="00BE151B" w:rsidRDefault="007E58B2" w:rsidP="007E58B2">
      <w:pPr>
        <w:spacing w:after="0" w:line="276" w:lineRule="auto"/>
        <w:contextualSpacing/>
        <w:jc w:val="both"/>
        <w:rPr>
          <w:rFonts w:ascii="Verdana" w:eastAsia="Times New Roman" w:hAnsi="Verdana" w:cs="Arial"/>
          <w:lang w:eastAsia="es-ES_tradnl"/>
        </w:rPr>
      </w:pPr>
    </w:p>
    <w:p w14:paraId="5E252C98" w14:textId="77777777" w:rsidR="007E58B2" w:rsidRPr="00BE151B" w:rsidRDefault="007E58B2" w:rsidP="007E58B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BE151B">
        <w:rPr>
          <w:rFonts w:ascii="Verdana" w:eastAsia="Century Gothic" w:hAnsi="Verdana" w:cs="Century Gothic"/>
          <w:b/>
          <w:bCs/>
        </w:rPr>
        <w:t>3. Razones de la respuesta:</w:t>
      </w:r>
    </w:p>
    <w:p w14:paraId="532CBE2D" w14:textId="77777777" w:rsidR="007E58B2" w:rsidRPr="00BE151B" w:rsidRDefault="007E58B2" w:rsidP="007E58B2">
      <w:pPr>
        <w:spacing w:after="0" w:line="276" w:lineRule="auto"/>
        <w:jc w:val="both"/>
        <w:rPr>
          <w:rFonts w:ascii="Verdana" w:eastAsia="Calibri" w:hAnsi="Verdana" w:cs="Arial"/>
          <w:color w:val="7030A0"/>
        </w:rPr>
      </w:pPr>
    </w:p>
    <w:p w14:paraId="7688A0F5" w14:textId="77777777" w:rsidR="007E58B2" w:rsidRPr="00BE151B" w:rsidRDefault="007E58B2" w:rsidP="007E58B2">
      <w:pPr>
        <w:spacing w:after="0" w:line="276" w:lineRule="auto"/>
        <w:jc w:val="both"/>
        <w:rPr>
          <w:rFonts w:ascii="Verdana" w:eastAsia="Calibri" w:hAnsi="Verdana" w:cs="Arial"/>
        </w:rPr>
      </w:pPr>
      <w:r w:rsidRPr="00BE151B">
        <w:rPr>
          <w:rFonts w:ascii="Verdana" w:eastAsia="Calibri" w:hAnsi="Verdana" w:cs="Arial"/>
        </w:rPr>
        <w:t xml:space="preserve">Lo anterior se sustenta en las siguientes consideraciones: </w:t>
      </w:r>
    </w:p>
    <w:p w14:paraId="7293C452" w14:textId="77777777" w:rsidR="007E58B2" w:rsidRPr="00BE151B" w:rsidRDefault="007E58B2" w:rsidP="007E58B2">
      <w:pPr>
        <w:spacing w:after="0" w:line="276" w:lineRule="auto"/>
        <w:jc w:val="both"/>
        <w:rPr>
          <w:rFonts w:ascii="Verdana" w:eastAsia="Calibri" w:hAnsi="Verdana" w:cs="Arial"/>
        </w:rPr>
      </w:pPr>
    </w:p>
    <w:p w14:paraId="29DF7E98" w14:textId="77777777" w:rsidR="007E58B2" w:rsidRPr="00857661" w:rsidRDefault="007E58B2" w:rsidP="007E58B2">
      <w:pPr>
        <w:pStyle w:val="Sinespaciado"/>
        <w:spacing w:after="120" w:line="276" w:lineRule="auto"/>
        <w:jc w:val="both"/>
        <w:rPr>
          <w:rFonts w:ascii="Verdana" w:hAnsi="Verdana" w:cs="Arial"/>
          <w:sz w:val="22"/>
          <w:lang w:val="es-ES"/>
        </w:rPr>
      </w:pPr>
      <w:r w:rsidRPr="00857661">
        <w:rPr>
          <w:rFonts w:ascii="Verdana" w:hAnsi="Verdana"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7E0849FB" w14:textId="77777777" w:rsidR="007E58B2" w:rsidRPr="00857661" w:rsidRDefault="007E58B2" w:rsidP="007E58B2">
      <w:pPr>
        <w:pStyle w:val="Sinespaciado"/>
        <w:spacing w:before="120" w:after="120" w:line="276" w:lineRule="auto"/>
        <w:ind w:firstLine="708"/>
        <w:jc w:val="both"/>
        <w:rPr>
          <w:rFonts w:ascii="Verdana" w:hAnsi="Verdana" w:cs="Arial"/>
          <w:sz w:val="22"/>
          <w:lang w:val="es-ES"/>
        </w:rPr>
      </w:pPr>
      <w:r w:rsidRPr="00857661">
        <w:rPr>
          <w:rFonts w:ascii="Verdana" w:hAnsi="Verdana" w:cs="Arial"/>
          <w:sz w:val="22"/>
          <w:lang w:val="es-ES"/>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Pr>
          <w:rFonts w:ascii="Verdana" w:hAnsi="Verdana" w:cs="Arial"/>
          <w:sz w:val="22"/>
          <w:lang w:val="es-ES"/>
        </w:rPr>
        <w:t>“</w:t>
      </w:r>
      <w:r w:rsidRPr="00857661">
        <w:rPr>
          <w:rFonts w:ascii="Verdana" w:hAnsi="Verdana" w:cs="Arial"/>
          <w:sz w:val="22"/>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Verdana" w:hAnsi="Verdana" w:cs="Arial"/>
          <w:sz w:val="22"/>
          <w:lang w:val="es-ES"/>
        </w:rPr>
        <w:t>”</w:t>
      </w:r>
      <w:r w:rsidRPr="00857661">
        <w:rPr>
          <w:rFonts w:ascii="Verdana" w:hAnsi="Verdana" w:cs="Arial"/>
          <w:sz w:val="22"/>
          <w:vertAlign w:val="superscript"/>
          <w:lang w:val="es-ES"/>
        </w:rPr>
        <w:footnoteReference w:id="2"/>
      </w:r>
      <w:r w:rsidRPr="00857661">
        <w:rPr>
          <w:rFonts w:ascii="Verdana" w:hAnsi="Verdana" w:cs="Arial"/>
          <w:sz w:val="22"/>
          <w:lang w:val="es-ES"/>
        </w:rPr>
        <w:t xml:space="preserve">. </w:t>
      </w:r>
    </w:p>
    <w:p w14:paraId="1F0B2E4D" w14:textId="77777777" w:rsidR="007E58B2" w:rsidRPr="00857661" w:rsidRDefault="007E58B2" w:rsidP="007E58B2">
      <w:pPr>
        <w:pStyle w:val="Sinespaciado"/>
        <w:spacing w:before="120" w:line="276" w:lineRule="auto"/>
        <w:ind w:firstLine="709"/>
        <w:jc w:val="both"/>
        <w:rPr>
          <w:rFonts w:ascii="Verdana" w:hAnsi="Verdana" w:cs="Arial"/>
          <w:sz w:val="22"/>
          <w:lang w:val="es-ES"/>
        </w:rPr>
      </w:pPr>
      <w:r w:rsidRPr="00857661">
        <w:rPr>
          <w:rFonts w:ascii="Verdana" w:hAnsi="Verdana"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0AFC0D3A" w14:textId="77777777" w:rsidR="007E58B2" w:rsidRPr="00857661" w:rsidRDefault="007E58B2" w:rsidP="007E58B2">
      <w:pPr>
        <w:pStyle w:val="Sinespaciado"/>
        <w:spacing w:line="276" w:lineRule="auto"/>
        <w:jc w:val="both"/>
        <w:rPr>
          <w:rFonts w:ascii="Verdana" w:hAnsi="Verdana" w:cs="Arial"/>
          <w:sz w:val="22"/>
          <w:lang w:val="es-ES"/>
        </w:rPr>
      </w:pPr>
    </w:p>
    <w:p w14:paraId="029427F7" w14:textId="77777777" w:rsidR="007E58B2" w:rsidRPr="00857661" w:rsidRDefault="007E58B2" w:rsidP="007E58B2">
      <w:pPr>
        <w:pStyle w:val="NormalWeb"/>
        <w:shd w:val="clear" w:color="auto" w:fill="FFFFFF"/>
        <w:spacing w:before="0" w:beforeAutospacing="0" w:after="120" w:afterAutospacing="0"/>
        <w:ind w:left="709" w:right="709"/>
        <w:jc w:val="both"/>
        <w:rPr>
          <w:rFonts w:ascii="Verdana" w:eastAsiaTheme="minorHAnsi" w:hAnsi="Verdana" w:cs="Arial"/>
          <w:sz w:val="21"/>
          <w:szCs w:val="21"/>
          <w:lang w:val="es-ES" w:eastAsia="en-US"/>
        </w:rPr>
      </w:pPr>
      <w:r w:rsidRPr="00857661">
        <w:rPr>
          <w:rFonts w:ascii="Verdana" w:eastAsiaTheme="minorHAnsi" w:hAnsi="Verdana" w:cs="Arial"/>
          <w:sz w:val="21"/>
          <w:szCs w:val="21"/>
          <w:lang w:val="es-ES" w:eastAsia="en-US"/>
        </w:rPr>
        <w:t xml:space="preserve">De manera primordial en esta reflexión debe advertirse que la consagración legal de las incompatibilidades e inhabilidades en materia </w:t>
      </w:r>
      <w:r w:rsidRPr="00857661">
        <w:rPr>
          <w:rFonts w:ascii="Verdana" w:eastAsiaTheme="minorHAnsi" w:hAnsi="Verdana" w:cs="Arial"/>
          <w:sz w:val="21"/>
          <w:szCs w:val="21"/>
          <w:lang w:val="es-ES" w:eastAsia="en-US"/>
        </w:rPr>
        <w:lastRenderedPageBreak/>
        <w:t>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8CDE38F" w14:textId="77777777" w:rsidR="007E58B2" w:rsidRPr="00857661" w:rsidRDefault="007E58B2" w:rsidP="007E58B2">
      <w:pPr>
        <w:pStyle w:val="NormalWeb"/>
        <w:shd w:val="clear" w:color="auto" w:fill="FFFFFF"/>
        <w:spacing w:before="0" w:beforeAutospacing="0" w:after="0" w:afterAutospacing="0"/>
        <w:ind w:left="709" w:right="709"/>
        <w:jc w:val="both"/>
        <w:rPr>
          <w:rFonts w:ascii="Verdana" w:eastAsiaTheme="minorHAnsi" w:hAnsi="Verdana" w:cs="Arial"/>
          <w:sz w:val="21"/>
          <w:szCs w:val="21"/>
          <w:lang w:val="es-ES" w:eastAsia="en-US"/>
        </w:rPr>
      </w:pPr>
      <w:r w:rsidRPr="00857661">
        <w:rPr>
          <w:rFonts w:ascii="Verdana" w:eastAsiaTheme="minorHAnsi" w:hAnsi="Verdana"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857661">
        <w:rPr>
          <w:rStyle w:val="Refdenotaalpie"/>
          <w:rFonts w:ascii="Verdana" w:eastAsiaTheme="minorHAnsi" w:hAnsi="Verdana" w:cs="Arial"/>
          <w:sz w:val="21"/>
          <w:szCs w:val="21"/>
          <w:lang w:val="es-ES" w:eastAsia="en-US"/>
        </w:rPr>
        <w:footnoteReference w:id="3"/>
      </w:r>
      <w:r w:rsidRPr="00857661">
        <w:rPr>
          <w:rFonts w:ascii="Verdana" w:eastAsiaTheme="minorHAnsi" w:hAnsi="Verdana" w:cs="Arial"/>
          <w:sz w:val="21"/>
          <w:szCs w:val="21"/>
          <w:lang w:val="es-ES" w:eastAsia="en-US"/>
        </w:rPr>
        <w:t xml:space="preserve">. </w:t>
      </w:r>
    </w:p>
    <w:p w14:paraId="5D9F9A99" w14:textId="77777777" w:rsidR="007E58B2" w:rsidRPr="00857661" w:rsidRDefault="007E58B2" w:rsidP="007E58B2">
      <w:pPr>
        <w:pStyle w:val="Sinespaciado"/>
        <w:spacing w:line="276" w:lineRule="auto"/>
        <w:jc w:val="both"/>
        <w:rPr>
          <w:rFonts w:ascii="Verdana" w:hAnsi="Verdana" w:cs="Arial"/>
          <w:sz w:val="22"/>
          <w:lang w:val="es-ES"/>
        </w:rPr>
      </w:pPr>
    </w:p>
    <w:p w14:paraId="4EFAD283" w14:textId="77777777" w:rsidR="007E58B2" w:rsidRPr="00857661" w:rsidRDefault="007E58B2" w:rsidP="007E58B2">
      <w:pPr>
        <w:pStyle w:val="Sinespaciado"/>
        <w:spacing w:line="276" w:lineRule="auto"/>
        <w:ind w:firstLine="709"/>
        <w:jc w:val="both"/>
        <w:rPr>
          <w:rFonts w:ascii="Verdana" w:hAnsi="Verdana" w:cs="Arial"/>
          <w:sz w:val="22"/>
          <w:lang w:val="es-ES"/>
        </w:rPr>
      </w:pPr>
      <w:r w:rsidRPr="00857661">
        <w:rPr>
          <w:rFonts w:ascii="Verdana" w:hAnsi="Verdana"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076ACE93" w14:textId="77777777" w:rsidR="007E58B2" w:rsidRPr="00857661" w:rsidRDefault="007E58B2" w:rsidP="007E58B2">
      <w:pPr>
        <w:spacing w:after="0"/>
        <w:rPr>
          <w:rFonts w:ascii="Verdana" w:eastAsia="Times New Roman" w:hAnsi="Verdana" w:cs="Arial"/>
          <w:shd w:val="clear" w:color="auto" w:fill="FFFFFF"/>
          <w:lang w:val="es-ES" w:eastAsia="es-ES_tradnl"/>
        </w:rPr>
      </w:pPr>
    </w:p>
    <w:p w14:paraId="27838EDB" w14:textId="77777777" w:rsidR="007E58B2" w:rsidRPr="00857661" w:rsidRDefault="007E58B2" w:rsidP="007E58B2">
      <w:pPr>
        <w:spacing w:after="120"/>
        <w:ind w:left="709" w:right="709"/>
        <w:jc w:val="both"/>
        <w:rPr>
          <w:rFonts w:ascii="Verdana" w:hAnsi="Verdana" w:cs="Arial"/>
          <w:sz w:val="21"/>
          <w:szCs w:val="21"/>
          <w:lang w:val="es-ES"/>
        </w:rPr>
      </w:pPr>
      <w:r w:rsidRPr="00857661">
        <w:rPr>
          <w:rFonts w:ascii="Verdana" w:hAnsi="Verdana" w:cs="Arial"/>
          <w:sz w:val="21"/>
          <w:szCs w:val="21"/>
          <w:lang w:val="es-ES"/>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7D0C3CE6" w14:textId="77777777" w:rsidR="007E58B2" w:rsidRPr="005A33B9" w:rsidRDefault="007E58B2" w:rsidP="007E58B2">
      <w:pPr>
        <w:ind w:left="709" w:right="709"/>
        <w:jc w:val="both"/>
        <w:rPr>
          <w:rFonts w:ascii="Verdana" w:hAnsi="Verdana" w:cs="Arial"/>
          <w:sz w:val="21"/>
          <w:szCs w:val="21"/>
          <w:lang w:val="es-ES"/>
        </w:rPr>
      </w:pPr>
      <w:r w:rsidRPr="00857661">
        <w:rPr>
          <w:rFonts w:ascii="Verdana" w:hAnsi="Verdana" w:cs="Arial"/>
          <w:sz w:val="21"/>
          <w:szCs w:val="21"/>
          <w:lang w:val="es-ES"/>
        </w:rPr>
        <w:t xml:space="preserve">El carácter reconocidamente taxativo y restrictivo de este régimen y el de las correlativas nulidades, obedece a la necesidad de salvaguardar el interés general ínsito en la contratación pública de manera que </w:t>
      </w:r>
      <w:r w:rsidRPr="00857661">
        <w:rPr>
          <w:rFonts w:ascii="Verdana" w:hAnsi="Verdana" w:cs="Arial"/>
          <w:sz w:val="21"/>
          <w:szCs w:val="21"/>
          <w:lang w:val="es-ES"/>
        </w:rPr>
        <w:lastRenderedPageBreak/>
        <w:t>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857661">
        <w:rPr>
          <w:rStyle w:val="Refdenotaalpie"/>
          <w:rFonts w:ascii="Verdana" w:hAnsi="Verdana" w:cs="Arial"/>
          <w:sz w:val="21"/>
          <w:szCs w:val="21"/>
          <w:lang w:val="es-ES"/>
        </w:rPr>
        <w:footnoteReference w:id="4"/>
      </w:r>
      <w:r w:rsidRPr="00857661">
        <w:rPr>
          <w:rFonts w:ascii="Verdana" w:hAnsi="Verdana" w:cs="Arial"/>
          <w:sz w:val="21"/>
          <w:szCs w:val="21"/>
          <w:lang w:val="es-ES"/>
        </w:rPr>
        <w:t>.</w:t>
      </w:r>
    </w:p>
    <w:p w14:paraId="59893F7C" w14:textId="77777777" w:rsidR="007E58B2" w:rsidRPr="00857661" w:rsidRDefault="007E58B2" w:rsidP="007E58B2">
      <w:pPr>
        <w:spacing w:after="0" w:line="276" w:lineRule="auto"/>
        <w:ind w:firstLine="709"/>
        <w:jc w:val="both"/>
        <w:rPr>
          <w:rFonts w:ascii="Verdana" w:hAnsi="Verdana" w:cs="Arial"/>
          <w:lang w:val="es-ES"/>
        </w:rPr>
      </w:pPr>
      <w:r w:rsidRPr="00857661">
        <w:rPr>
          <w:rFonts w:ascii="Verdana" w:hAnsi="Verdana" w:cs="Arial"/>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015562AD" w14:textId="77777777" w:rsidR="007E58B2" w:rsidRPr="00857661" w:rsidRDefault="007E58B2" w:rsidP="007E58B2">
      <w:pPr>
        <w:pStyle w:val="Sinespaciado"/>
        <w:tabs>
          <w:tab w:val="left" w:pos="1532"/>
        </w:tabs>
        <w:spacing w:line="276" w:lineRule="auto"/>
        <w:jc w:val="both"/>
        <w:rPr>
          <w:rFonts w:ascii="Verdana" w:hAnsi="Verdana" w:cs="Arial"/>
          <w:sz w:val="22"/>
          <w:lang w:val="es-ES"/>
        </w:rPr>
      </w:pPr>
    </w:p>
    <w:p w14:paraId="43B7262B" w14:textId="77777777" w:rsidR="007E58B2" w:rsidRPr="00857661" w:rsidRDefault="007E58B2" w:rsidP="007E58B2">
      <w:pPr>
        <w:spacing w:after="120"/>
        <w:ind w:left="709" w:right="709"/>
        <w:jc w:val="both"/>
        <w:rPr>
          <w:rFonts w:ascii="Verdana" w:hAnsi="Verdana" w:cs="Arial"/>
          <w:sz w:val="21"/>
          <w:szCs w:val="21"/>
          <w:lang w:val="es-ES"/>
        </w:rPr>
      </w:pPr>
      <w:r w:rsidRPr="00857661">
        <w:rPr>
          <w:rFonts w:ascii="Verdana" w:hAnsi="Verdana" w:cs="Arial"/>
          <w:sz w:val="21"/>
          <w:szCs w:val="21"/>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857661">
        <w:rPr>
          <w:rFonts w:ascii="Verdana" w:hAnsi="Verdana" w:cs="Arial"/>
          <w:sz w:val="21"/>
          <w:szCs w:val="21"/>
          <w:lang w:val="es-ES"/>
        </w:rPr>
        <w:t>libertate</w:t>
      </w:r>
      <w:proofErr w:type="spellEnd"/>
      <w:r w:rsidRPr="00857661">
        <w:rPr>
          <w:rFonts w:ascii="Verdana" w:hAnsi="Verdana" w:cs="Arial"/>
          <w:sz w:val="21"/>
          <w:szCs w:val="21"/>
          <w:lang w:val="es-ES"/>
        </w:rPr>
        <w:t xml:space="preserve">, sino el de legalidad, el que ordena que la función pública debe someterse estrictamente a lo que disponga la Constitución y la ley (CP art. 6). </w:t>
      </w:r>
    </w:p>
    <w:p w14:paraId="6440169D" w14:textId="77777777" w:rsidR="007E58B2" w:rsidRPr="00857661" w:rsidRDefault="007E58B2" w:rsidP="007E58B2">
      <w:pPr>
        <w:spacing w:after="120"/>
        <w:ind w:left="709" w:right="709"/>
        <w:jc w:val="both"/>
        <w:rPr>
          <w:rFonts w:ascii="Verdana" w:hAnsi="Verdana" w:cs="Arial"/>
          <w:sz w:val="21"/>
          <w:szCs w:val="21"/>
          <w:lang w:val="es-ES"/>
        </w:rPr>
      </w:pPr>
      <w:r w:rsidRPr="00857661">
        <w:rPr>
          <w:rFonts w:ascii="Verdana" w:hAnsi="Verdana" w:cs="Arial"/>
          <w:sz w:val="21"/>
          <w:szCs w:val="21"/>
          <w:lang w:val="es-ES"/>
        </w:rPr>
        <w:t xml:space="preserve">[…] </w:t>
      </w:r>
    </w:p>
    <w:p w14:paraId="09B065EC" w14:textId="77777777" w:rsidR="007E58B2" w:rsidRPr="00857661" w:rsidRDefault="007E58B2" w:rsidP="007E58B2">
      <w:pPr>
        <w:spacing w:after="0"/>
        <w:ind w:left="709" w:right="709"/>
        <w:jc w:val="both"/>
        <w:rPr>
          <w:rFonts w:ascii="Verdana" w:hAnsi="Verdana" w:cs="Arial"/>
          <w:sz w:val="21"/>
          <w:szCs w:val="21"/>
          <w:lang w:val="es-ES"/>
        </w:rPr>
      </w:pPr>
      <w:r w:rsidRPr="00857661">
        <w:rPr>
          <w:rFonts w:ascii="Verdana" w:hAnsi="Verdana" w:cs="Arial"/>
          <w:sz w:val="21"/>
          <w:szCs w:val="21"/>
          <w:lang w:val="es-ES"/>
        </w:rPr>
        <w:t xml:space="preserve">Se comprende con facilidad que el régimen de inhabilidades e </w:t>
      </w:r>
      <w:proofErr w:type="gramStart"/>
      <w:r w:rsidRPr="00857661">
        <w:rPr>
          <w:rFonts w:ascii="Verdana" w:hAnsi="Verdana" w:cs="Arial"/>
          <w:sz w:val="21"/>
          <w:szCs w:val="21"/>
          <w:lang w:val="es-ES"/>
        </w:rPr>
        <w:t>incompatibilidades,</w:t>
      </w:r>
      <w:proofErr w:type="gramEnd"/>
      <w:r w:rsidRPr="00857661">
        <w:rPr>
          <w:rFonts w:ascii="Verdana" w:hAnsi="Verdana" w:cs="Arial"/>
          <w:sz w:val="21"/>
          <w:szCs w:val="21"/>
          <w:lang w:val="es-ES"/>
        </w:rPr>
        <w:t xml:space="preserve"> corresponde a una materia de normal y obligada inclusión en un estatuto contractual. El legislador, a quien se ha confiado expedir el indicado estatuto, tiene, pues, competencia para establecerlo (CP art. 150)</w:t>
      </w:r>
      <w:r w:rsidRPr="00857661">
        <w:rPr>
          <w:rStyle w:val="Refdenotaalpie"/>
          <w:rFonts w:ascii="Verdana" w:hAnsi="Verdana" w:cs="Arial"/>
          <w:sz w:val="21"/>
          <w:szCs w:val="21"/>
          <w:lang w:val="es-ES"/>
        </w:rPr>
        <w:footnoteReference w:id="5"/>
      </w:r>
      <w:r w:rsidRPr="00857661">
        <w:rPr>
          <w:rFonts w:ascii="Verdana" w:hAnsi="Verdana" w:cs="Arial"/>
          <w:sz w:val="21"/>
          <w:szCs w:val="21"/>
          <w:lang w:val="es-ES"/>
        </w:rPr>
        <w:t>.</w:t>
      </w:r>
    </w:p>
    <w:p w14:paraId="4F42BCE4" w14:textId="77777777" w:rsidR="007E58B2" w:rsidRPr="00857661" w:rsidRDefault="007E58B2" w:rsidP="007E58B2">
      <w:pPr>
        <w:spacing w:after="0"/>
        <w:ind w:left="709" w:right="709"/>
        <w:rPr>
          <w:rFonts w:ascii="Verdana" w:eastAsia="Times New Roman" w:hAnsi="Verdana" w:cs="Arial"/>
          <w:shd w:val="clear" w:color="auto" w:fill="FFFFFF"/>
          <w:lang w:val="es-ES" w:eastAsia="es-ES_tradnl"/>
        </w:rPr>
      </w:pPr>
    </w:p>
    <w:p w14:paraId="4E554C78" w14:textId="77777777" w:rsidR="007E58B2" w:rsidRPr="00857661" w:rsidRDefault="007E58B2" w:rsidP="007E58B2">
      <w:pPr>
        <w:spacing w:after="120" w:line="276" w:lineRule="auto"/>
        <w:ind w:firstLine="709"/>
        <w:jc w:val="both"/>
        <w:rPr>
          <w:rFonts w:ascii="Verdana" w:hAnsi="Verdana" w:cs="Arial"/>
          <w:lang w:val="es-ES"/>
        </w:rPr>
      </w:pPr>
      <w:r w:rsidRPr="00857661">
        <w:rPr>
          <w:rFonts w:ascii="Verdana" w:hAnsi="Verdana" w:cs="Arial"/>
          <w:lang w:val="es-ES"/>
        </w:rPr>
        <w:t xml:space="preserve">Conviene también distinguir las fuentes de las inhabilidades, las cuales han sido clasificadas en dos (2) grupos: i) inhabilidades-sanción </w:t>
      </w:r>
      <w:r>
        <w:rPr>
          <w:rFonts w:ascii="Verdana" w:hAnsi="Verdana" w:cs="Arial"/>
          <w:lang w:val="es-ES"/>
        </w:rPr>
        <w:t>e</w:t>
      </w:r>
      <w:r w:rsidRPr="00857661">
        <w:rPr>
          <w:rFonts w:ascii="Verdana" w:hAnsi="Verdana" w:cs="Arial"/>
          <w:lang w:val="es-ES"/>
        </w:rPr>
        <w:t xml:space="preserve"> </w:t>
      </w:r>
      <w:proofErr w:type="spellStart"/>
      <w:r w:rsidRPr="00857661">
        <w:rPr>
          <w:rFonts w:ascii="Verdana" w:hAnsi="Verdana" w:cs="Arial"/>
          <w:lang w:val="es-ES"/>
        </w:rPr>
        <w:t>ii</w:t>
      </w:r>
      <w:proofErr w:type="spellEnd"/>
      <w:r w:rsidRPr="00857661">
        <w:rPr>
          <w:rFonts w:ascii="Verdana" w:hAnsi="Verdana" w:cs="Arial"/>
          <w:lang w:val="es-ES"/>
        </w:rPr>
        <w:t xml:space="preserve">) inhabilidades-requisito. En el primer grupo se encuentran las inhabilidades que </w:t>
      </w:r>
      <w:r w:rsidRPr="00857661">
        <w:rPr>
          <w:rFonts w:ascii="Verdana" w:hAnsi="Verdana" w:cs="Arial"/>
          <w:lang w:val="es-ES"/>
        </w:rPr>
        <w:lastRenderedPageBreak/>
        <w:t>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857661">
        <w:rPr>
          <w:rStyle w:val="Refdenotaalpie"/>
          <w:rFonts w:ascii="Verdana" w:hAnsi="Verdana" w:cs="Arial"/>
          <w:lang w:val="es-ES"/>
        </w:rPr>
        <w:footnoteReference w:id="6"/>
      </w:r>
      <w:r w:rsidRPr="00857661">
        <w:rPr>
          <w:rFonts w:ascii="Verdana" w:hAnsi="Verdana" w:cs="Arial"/>
          <w:lang w:val="es-ES"/>
        </w:rPr>
        <w:t xml:space="preserve">. </w:t>
      </w:r>
    </w:p>
    <w:p w14:paraId="39638909" w14:textId="77777777" w:rsidR="007E58B2" w:rsidRPr="00857661" w:rsidRDefault="007E58B2" w:rsidP="007E58B2">
      <w:pPr>
        <w:spacing w:after="120" w:line="276" w:lineRule="auto"/>
        <w:ind w:firstLine="709"/>
        <w:jc w:val="both"/>
        <w:rPr>
          <w:rFonts w:ascii="Verdana" w:hAnsi="Verdana" w:cs="Arial"/>
          <w:lang w:val="es-ES"/>
        </w:rPr>
      </w:pPr>
      <w:r w:rsidRPr="00857661">
        <w:rPr>
          <w:rFonts w:ascii="Verdana" w:hAnsi="Verdana" w:cs="Arial"/>
          <w:lang w:val="es-ES"/>
        </w:rPr>
        <w:t>A manera de ejemplo, en materia contractual, los literales c), d) y j) del numeral 1 del artículo 8 de la Ley 80 de 1993</w:t>
      </w:r>
      <w:r w:rsidRPr="00857661">
        <w:rPr>
          <w:rFonts w:ascii="Verdana" w:hAnsi="Verdana" w:cs="Arial"/>
          <w:vertAlign w:val="superscript"/>
          <w:lang w:val="es-ES"/>
        </w:rPr>
        <w:footnoteReference w:id="7"/>
      </w:r>
      <w:r w:rsidRPr="00857661">
        <w:rPr>
          <w:rFonts w:ascii="Verdana" w:hAnsi="Verdana" w:cs="Arial"/>
          <w:lang w:val="es-ES"/>
        </w:rPr>
        <w:t xml:space="preserve"> establecen inhabilidades-sanción,</w:t>
      </w:r>
      <w:r>
        <w:rPr>
          <w:rFonts w:ascii="Verdana" w:hAnsi="Verdana" w:cs="Arial"/>
          <w:lang w:val="es-ES"/>
        </w:rPr>
        <w:t xml:space="preserve"> </w:t>
      </w:r>
      <w:r w:rsidRPr="00857661">
        <w:rPr>
          <w:rFonts w:ascii="Verdana" w:hAnsi="Verdana" w:cs="Arial"/>
          <w:lang w:val="es-ES"/>
        </w:rPr>
        <w:t xml:space="preserve">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3A8CF842" w14:textId="77777777" w:rsidR="007E58B2" w:rsidRDefault="007E58B2" w:rsidP="007E58B2">
      <w:pPr>
        <w:spacing w:before="120" w:line="276" w:lineRule="auto"/>
        <w:ind w:firstLine="709"/>
        <w:jc w:val="both"/>
        <w:rPr>
          <w:rFonts w:ascii="Verdana" w:hAnsi="Verdana" w:cs="Arial"/>
          <w:lang w:val="es-ES"/>
        </w:rPr>
      </w:pPr>
      <w:bookmarkStart w:id="4" w:name="_Hlk40976328"/>
      <w:r w:rsidRPr="00857661">
        <w:rPr>
          <w:rFonts w:ascii="Verdana" w:hAnsi="Verdana" w:cs="Arial"/>
          <w:lang w:val="es-ES"/>
        </w:rPr>
        <w:t xml:space="preserve">En ambos eventos, la inhabilidad tiene como fuente una situación o un hecho propio del proponente –una conducta o una condición– ajena a la oferta. </w:t>
      </w:r>
      <w:r w:rsidRPr="00857661">
        <w:rPr>
          <w:rFonts w:ascii="Verdana" w:hAnsi="Verdana" w:cs="Arial"/>
          <w:lang w:val="es-ES"/>
        </w:rPr>
        <w:lastRenderedPageBreak/>
        <w:t xml:space="preserve">La inhabilidad surge, entre otros, por su grado de parentesco o afinidad, por su condición de servidor público o por una declaratoria de responsabilidad penal, disciplinaria o sancionatoria contractual sobre él. </w:t>
      </w:r>
    </w:p>
    <w:p w14:paraId="4D1CDB96" w14:textId="77777777" w:rsidR="007E58B2" w:rsidRPr="0028089C" w:rsidRDefault="007E58B2" w:rsidP="007E58B2">
      <w:pPr>
        <w:spacing w:line="276" w:lineRule="auto"/>
        <w:ind w:firstLine="708"/>
        <w:jc w:val="both"/>
        <w:rPr>
          <w:rFonts w:ascii="Verdana" w:eastAsia="Calibri" w:hAnsi="Verdana" w:cs="Arial"/>
          <w:lang w:val="es-ES"/>
        </w:rPr>
      </w:pPr>
      <w:r>
        <w:rPr>
          <w:rFonts w:ascii="Verdana" w:eastAsia="Calibri" w:hAnsi="Verdana" w:cs="Arial"/>
          <w:lang w:val="es-ES"/>
        </w:rPr>
        <w:t>De otro lado, e</w:t>
      </w:r>
      <w:r w:rsidRPr="0028089C">
        <w:rPr>
          <w:rFonts w:ascii="Verdana" w:eastAsia="Calibri" w:hAnsi="Verdana" w:cs="Arial"/>
          <w:lang w:val="es-ES"/>
        </w:rPr>
        <w:t>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720DAA3" w14:textId="77777777" w:rsidR="007E58B2" w:rsidRPr="0028089C" w:rsidRDefault="007E58B2" w:rsidP="007E58B2">
      <w:pPr>
        <w:spacing w:before="120" w:after="120" w:line="276" w:lineRule="auto"/>
        <w:ind w:firstLine="709"/>
        <w:jc w:val="both"/>
        <w:rPr>
          <w:rFonts w:ascii="Verdana" w:eastAsia="Calibri" w:hAnsi="Verdana" w:cs="Arial"/>
          <w:lang w:val="es-ES"/>
        </w:rPr>
      </w:pPr>
      <w:r w:rsidRPr="0028089C">
        <w:rPr>
          <w:rFonts w:ascii="Verdana" w:eastAsia="Calibri" w:hAnsi="Verdana" w:cs="Arial"/>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28089C">
        <w:rPr>
          <w:rFonts w:ascii="Verdana" w:eastAsia="Calibri" w:hAnsi="Verdana" w:cs="Arial"/>
          <w:i/>
          <w:iCs/>
          <w:lang w:val="es-ES"/>
        </w:rPr>
        <w:t>restrictiva</w:t>
      </w:r>
      <w:r w:rsidRPr="0028089C">
        <w:rPr>
          <w:rFonts w:ascii="Verdana" w:eastAsia="Calibri" w:hAnsi="Verdana" w:cs="Arial"/>
          <w:vertAlign w:val="superscript"/>
          <w:lang w:val="es-ES"/>
        </w:rPr>
        <w:footnoteReference w:id="8"/>
      </w:r>
      <w:r w:rsidRPr="0028089C">
        <w:rPr>
          <w:rFonts w:ascii="Verdana" w:eastAsia="Calibri" w:hAnsi="Verdana" w:cs="Arial"/>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7270948D" w14:textId="77777777" w:rsidR="007E58B2" w:rsidRPr="0028089C" w:rsidRDefault="007E58B2" w:rsidP="007E58B2">
      <w:pPr>
        <w:spacing w:after="0" w:line="276" w:lineRule="auto"/>
        <w:ind w:firstLine="709"/>
        <w:jc w:val="both"/>
        <w:rPr>
          <w:rFonts w:ascii="Verdana" w:eastAsia="Calibri" w:hAnsi="Verdana" w:cs="Arial"/>
          <w:lang w:val="es-ES"/>
        </w:rPr>
      </w:pPr>
      <w:r w:rsidRPr="0028089C">
        <w:rPr>
          <w:rFonts w:ascii="Verdana" w:eastAsia="Calibri" w:hAnsi="Verdana" w:cs="Arial"/>
          <w:lang w:val="es-ES"/>
        </w:rPr>
        <w:t xml:space="preserve">En efecto, el máximo tribunal constitucional ha indicado que, al tratar de precisar el sentido de este tipo de normas, </w:t>
      </w:r>
      <w:r>
        <w:rPr>
          <w:rFonts w:ascii="Verdana" w:eastAsia="Calibri" w:hAnsi="Verdana" w:cs="Arial"/>
          <w:lang w:val="es-ES"/>
        </w:rPr>
        <w:t>“</w:t>
      </w:r>
      <w:r w:rsidRPr="0028089C">
        <w:rPr>
          <w:rFonts w:ascii="Verdana" w:eastAsia="Calibri" w:hAnsi="Verdana" w:cs="Arial"/>
          <w:lang w:val="es-ES"/>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Verdana" w:eastAsia="Calibri" w:hAnsi="Verdana" w:cs="Arial"/>
          <w:lang w:val="es-ES"/>
        </w:rPr>
        <w:t>”</w:t>
      </w:r>
      <w:r w:rsidRPr="0028089C">
        <w:rPr>
          <w:rFonts w:ascii="Verdana" w:eastAsia="Calibri" w:hAnsi="Verdana" w:cs="Arial"/>
          <w:vertAlign w:val="superscript"/>
          <w:lang w:val="es-ES"/>
        </w:rPr>
        <w:footnoteReference w:id="9"/>
      </w:r>
      <w:r w:rsidRPr="0028089C">
        <w:rPr>
          <w:rFonts w:ascii="Verdana" w:eastAsia="Calibri" w:hAnsi="Verdana" w:cs="Arial"/>
          <w:lang w:val="es-ES"/>
        </w:rPr>
        <w:t xml:space="preserve">. Por su parte, el Consejo de Estado ha acogido también este criterio, considerando –como expresa la Sala de Consulta y Servicio Civil–, que </w:t>
      </w:r>
      <w:r>
        <w:rPr>
          <w:rFonts w:ascii="Verdana" w:eastAsia="Calibri" w:hAnsi="Verdana" w:cs="Arial"/>
          <w:lang w:val="es-ES"/>
        </w:rPr>
        <w:t>“</w:t>
      </w:r>
      <w:r w:rsidRPr="0028089C">
        <w:rPr>
          <w:rFonts w:ascii="Verdana" w:eastAsia="Calibri" w:hAnsi="Verdana" w:cs="Arial"/>
          <w:lang w:val="es-ES"/>
        </w:rPr>
        <w:t xml:space="preserve">La interpretación restrictiva de las normas que establecen inhabilidades constituye una aplicación del principio del Estado de Derecho previsto en el artículo 6º de la Constitución, </w:t>
      </w:r>
      <w:r w:rsidRPr="0028089C">
        <w:rPr>
          <w:rFonts w:ascii="Verdana" w:eastAsia="Calibri" w:hAnsi="Verdana" w:cs="Arial"/>
          <w:lang w:val="es-ES"/>
        </w:rPr>
        <w:lastRenderedPageBreak/>
        <w:t>según el cual “Los particulares sólo son responsables ante las autoridades por infringir la Constitución y las leyes” lo que se traduce en que pueden hacer todo aquello que no les esté expresamente prohibido</w:t>
      </w:r>
      <w:r>
        <w:rPr>
          <w:rFonts w:ascii="Verdana" w:eastAsia="Calibri" w:hAnsi="Verdana" w:cs="Arial"/>
          <w:lang w:val="es-ES"/>
        </w:rPr>
        <w:t>”</w:t>
      </w:r>
      <w:r w:rsidRPr="0028089C">
        <w:rPr>
          <w:rFonts w:ascii="Verdana" w:eastAsia="Calibri" w:hAnsi="Verdana" w:cs="Arial"/>
          <w:vertAlign w:val="superscript"/>
          <w:lang w:val="es-ES"/>
        </w:rPr>
        <w:footnoteReference w:id="10"/>
      </w:r>
      <w:r w:rsidRPr="0028089C">
        <w:rPr>
          <w:rFonts w:ascii="Verdana" w:eastAsia="Calibri" w:hAnsi="Verdana" w:cs="Arial"/>
          <w:lang w:val="es-ES"/>
        </w:rPr>
        <w:t>. En tal sentido, la Sección Tercera ha señalado que:</w:t>
      </w:r>
    </w:p>
    <w:p w14:paraId="63FFD04B" w14:textId="77777777" w:rsidR="007E58B2" w:rsidRPr="0028089C" w:rsidRDefault="007E58B2" w:rsidP="007E58B2">
      <w:pPr>
        <w:spacing w:after="0" w:line="276" w:lineRule="auto"/>
        <w:ind w:firstLine="709"/>
        <w:jc w:val="both"/>
        <w:rPr>
          <w:rFonts w:ascii="Verdana" w:eastAsia="Calibri" w:hAnsi="Verdana" w:cs="Arial"/>
          <w:lang w:val="es-ES"/>
        </w:rPr>
      </w:pPr>
    </w:p>
    <w:p w14:paraId="67E6BCD0" w14:textId="77777777" w:rsidR="007E58B2" w:rsidRPr="0028089C" w:rsidRDefault="007E58B2" w:rsidP="007E58B2">
      <w:pPr>
        <w:ind w:left="709" w:right="709"/>
        <w:jc w:val="both"/>
        <w:rPr>
          <w:rFonts w:ascii="Verdana" w:eastAsia="Calibri" w:hAnsi="Verdana" w:cs="Arial"/>
          <w:lang w:val="es-ES"/>
        </w:rPr>
      </w:pPr>
      <w:r w:rsidRPr="0028089C">
        <w:rPr>
          <w:rFonts w:ascii="Verdana" w:hAnsi="Verdana" w:cs="Arial"/>
          <w:sz w:val="21"/>
          <w:szCs w:val="21"/>
          <w:lang w:val="es-E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28089C">
        <w:rPr>
          <w:rFonts w:ascii="Verdana" w:hAnsi="Verdana" w:cs="Arial"/>
          <w:sz w:val="21"/>
          <w:szCs w:val="21"/>
          <w:vertAlign w:val="superscript"/>
          <w:lang w:val="es-ES"/>
        </w:rPr>
        <w:footnoteReference w:id="11"/>
      </w:r>
      <w:r w:rsidRPr="0028089C">
        <w:rPr>
          <w:rFonts w:ascii="Verdana" w:hAnsi="Verdana" w:cs="Arial"/>
          <w:sz w:val="21"/>
          <w:szCs w:val="21"/>
          <w:lang w:val="es-ES"/>
        </w:rPr>
        <w:t>.</w:t>
      </w:r>
    </w:p>
    <w:p w14:paraId="19E6632A" w14:textId="77777777" w:rsidR="007E58B2" w:rsidRPr="0028089C" w:rsidRDefault="007E58B2" w:rsidP="007E58B2">
      <w:pPr>
        <w:ind w:firstLine="709"/>
        <w:jc w:val="both"/>
        <w:rPr>
          <w:rFonts w:ascii="Verdana" w:eastAsia="Calibri" w:hAnsi="Verdana" w:cs="Arial"/>
          <w:lang w:val="es-ES"/>
        </w:rPr>
      </w:pPr>
      <w:r w:rsidRPr="0028089C">
        <w:rPr>
          <w:rFonts w:ascii="Verdana" w:eastAsia="Calibri" w:hAnsi="Verdana" w:cs="Arial"/>
          <w:lang w:val="es-ES"/>
        </w:rPr>
        <w:t>También ha dicho que:</w:t>
      </w:r>
    </w:p>
    <w:p w14:paraId="3676EF71" w14:textId="77777777" w:rsidR="007E58B2" w:rsidRPr="0028089C" w:rsidRDefault="007E58B2" w:rsidP="007E58B2">
      <w:pPr>
        <w:spacing w:after="0"/>
        <w:ind w:left="709" w:right="709"/>
        <w:jc w:val="both"/>
        <w:rPr>
          <w:rFonts w:ascii="Verdana" w:hAnsi="Verdana" w:cs="Arial"/>
          <w:sz w:val="21"/>
          <w:szCs w:val="21"/>
          <w:lang w:val="es-ES"/>
        </w:rPr>
      </w:pPr>
      <w:r w:rsidRPr="0028089C">
        <w:rPr>
          <w:rFonts w:ascii="Verdana" w:hAnsi="Verdana" w:cs="Arial"/>
          <w:sz w:val="21"/>
          <w:szCs w:val="21"/>
          <w:lang w:val="es-ES"/>
        </w:rPr>
        <w:t xml:space="preserve">[…] la aplicación de estos preceptos exige una interpretación restrictiva, dado que según el principio hermenéutico </w:t>
      </w:r>
      <w:r w:rsidRPr="0028089C">
        <w:rPr>
          <w:rFonts w:ascii="Verdana" w:hAnsi="Verdana" w:cs="Arial"/>
          <w:i/>
          <w:iCs/>
          <w:sz w:val="21"/>
          <w:szCs w:val="21"/>
          <w:lang w:val="es-ES"/>
        </w:rPr>
        <w:t xml:space="preserve">pro </w:t>
      </w:r>
      <w:proofErr w:type="spellStart"/>
      <w:r w:rsidRPr="0028089C">
        <w:rPr>
          <w:rFonts w:ascii="Verdana" w:hAnsi="Verdana" w:cs="Arial"/>
          <w:i/>
          <w:iCs/>
          <w:sz w:val="21"/>
          <w:szCs w:val="21"/>
          <w:lang w:val="es-ES"/>
        </w:rPr>
        <w:t>libertate</w:t>
      </w:r>
      <w:proofErr w:type="spellEnd"/>
      <w:r w:rsidRPr="0028089C">
        <w:rPr>
          <w:rFonts w:ascii="Verdana" w:hAnsi="Verdana"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28089C">
        <w:rPr>
          <w:rFonts w:ascii="Verdana" w:hAnsi="Verdana" w:cs="Arial"/>
          <w:sz w:val="21"/>
          <w:szCs w:val="21"/>
          <w:vertAlign w:val="superscript"/>
          <w:lang w:val="es-ES"/>
        </w:rPr>
        <w:footnoteReference w:id="12"/>
      </w:r>
      <w:r w:rsidRPr="0028089C">
        <w:rPr>
          <w:rFonts w:ascii="Verdana" w:hAnsi="Verdana" w:cs="Arial"/>
          <w:sz w:val="21"/>
          <w:szCs w:val="21"/>
          <w:lang w:val="es-ES"/>
        </w:rPr>
        <w:t>.</w:t>
      </w:r>
    </w:p>
    <w:p w14:paraId="0BCC89D6" w14:textId="77777777" w:rsidR="007E58B2" w:rsidRPr="0028089C" w:rsidRDefault="007E58B2" w:rsidP="007E58B2">
      <w:pPr>
        <w:spacing w:after="0"/>
        <w:ind w:left="709" w:right="709"/>
        <w:jc w:val="both"/>
        <w:rPr>
          <w:rFonts w:ascii="Verdana" w:eastAsia="Calibri" w:hAnsi="Verdana" w:cs="Arial"/>
          <w:lang w:val="es-ES"/>
        </w:rPr>
      </w:pPr>
    </w:p>
    <w:p w14:paraId="40D08AAB" w14:textId="77777777" w:rsidR="007E58B2" w:rsidRDefault="007E58B2" w:rsidP="007E58B2">
      <w:pPr>
        <w:spacing w:line="276" w:lineRule="auto"/>
        <w:ind w:firstLine="708"/>
        <w:jc w:val="both"/>
        <w:rPr>
          <w:rFonts w:ascii="Verdana" w:eastAsia="Calibri" w:hAnsi="Verdana" w:cs="Arial"/>
          <w:lang w:val="es-ES"/>
        </w:rPr>
      </w:pPr>
      <w:r w:rsidRPr="0028089C">
        <w:rPr>
          <w:rFonts w:ascii="Verdana" w:eastAsia="Calibri" w:hAnsi="Verdana" w:cs="Arial"/>
          <w:lang w:val="es-ES"/>
        </w:rPr>
        <w:t xml:space="preserve">Como se aprecia, el principio </w:t>
      </w:r>
      <w:r w:rsidRPr="0028089C">
        <w:rPr>
          <w:rFonts w:ascii="Verdana" w:eastAsia="Calibri" w:hAnsi="Verdana" w:cs="Arial"/>
          <w:i/>
          <w:iCs/>
          <w:lang w:val="es-ES"/>
        </w:rPr>
        <w:t xml:space="preserve">pro </w:t>
      </w:r>
      <w:proofErr w:type="spellStart"/>
      <w:r w:rsidRPr="0028089C">
        <w:rPr>
          <w:rFonts w:ascii="Verdana" w:eastAsia="Calibri" w:hAnsi="Verdana" w:cs="Arial"/>
          <w:i/>
          <w:iCs/>
          <w:lang w:val="es-ES"/>
        </w:rPr>
        <w:t>libertate</w:t>
      </w:r>
      <w:proofErr w:type="spellEnd"/>
      <w:r w:rsidRPr="0028089C">
        <w:rPr>
          <w:rFonts w:ascii="Verdana" w:eastAsia="Calibri" w:hAnsi="Verdana" w:cs="Arial"/>
          <w:lang w:val="es-ES"/>
        </w:rPr>
        <w:t xml:space="preserve"> dirige la interpretación de las disposiciones que consagran restricciones de derechos, como sucede con las causales de inhabilidad e incompatibilidad en la contratación estatal.</w:t>
      </w:r>
    </w:p>
    <w:bookmarkEnd w:id="4"/>
    <w:p w14:paraId="1B64973E" w14:textId="77777777" w:rsidR="007E58B2" w:rsidRPr="005A0147" w:rsidRDefault="007E58B2" w:rsidP="007E58B2">
      <w:pPr>
        <w:spacing w:line="276" w:lineRule="auto"/>
        <w:ind w:firstLine="708"/>
        <w:jc w:val="both"/>
        <w:rPr>
          <w:rFonts w:ascii="Verdana" w:hAnsi="Verdana" w:cs="Arial"/>
          <w:color w:val="000000" w:themeColor="text1"/>
        </w:rPr>
      </w:pPr>
      <w:r>
        <w:rPr>
          <w:rFonts w:ascii="Verdana" w:eastAsia="Calibri" w:hAnsi="Verdana" w:cs="Arial"/>
          <w:color w:val="000000" w:themeColor="text1"/>
          <w:lang w:val="es-ES"/>
        </w:rPr>
        <w:t>C</w:t>
      </w:r>
      <w:r w:rsidRPr="005A0147">
        <w:rPr>
          <w:rFonts w:ascii="Verdana" w:eastAsia="Calibri" w:hAnsi="Verdana" w:cs="Arial"/>
          <w:color w:val="000000" w:themeColor="text1"/>
          <w:lang w:val="es-ES"/>
        </w:rPr>
        <w:t xml:space="preserve">on el propósito de resolver el interrogante planteado, resulta importante analizar lo consagrado en el </w:t>
      </w:r>
      <w:r w:rsidRPr="005A0147">
        <w:rPr>
          <w:rFonts w:ascii="Verdana" w:hAnsi="Verdana" w:cs="Arial"/>
          <w:color w:val="000000" w:themeColor="text1"/>
        </w:rPr>
        <w:t xml:space="preserve">literal j) del numeral 1 del artículo 8 de la Ley 80 de 1993 donde el legislador establece una inhabilidad que, en principio, afecta la capacidad jurídica tanto de personas naturales como de personas jurídicas, pero que, por virtud de los incisos 3 y 5 de la norma en cita, sus efectos se extienden a las sociedades de las que hagan parte dichas personas inhabilitadas solo en la medida en que detenten las calidades, no solo de representantes legales, sino de todas aquellas que señala la norma. En ese orden, resulta </w:t>
      </w:r>
      <w:r w:rsidRPr="005A0147">
        <w:rPr>
          <w:rFonts w:ascii="Verdana" w:hAnsi="Verdana" w:cs="Arial"/>
          <w:color w:val="000000" w:themeColor="text1"/>
        </w:rPr>
        <w:lastRenderedPageBreak/>
        <w:t>pertinente enlistar los sujetos a quienes aplica la inhabilidad contemplada en el literal j), así:</w:t>
      </w:r>
    </w:p>
    <w:p w14:paraId="7D0AE62F" w14:textId="77777777" w:rsidR="007E58B2" w:rsidRPr="005A0147" w:rsidRDefault="007E58B2" w:rsidP="007E58B2">
      <w:pPr>
        <w:spacing w:line="276" w:lineRule="auto"/>
        <w:ind w:firstLine="360"/>
        <w:jc w:val="both"/>
        <w:rPr>
          <w:rFonts w:ascii="Verdana" w:hAnsi="Verdana" w:cs="Arial"/>
          <w:color w:val="000000" w:themeColor="text1"/>
        </w:rPr>
      </w:pPr>
      <w:r w:rsidRPr="005A0147">
        <w:rPr>
          <w:rFonts w:ascii="Verdana" w:hAnsi="Verdana" w:cs="Arial"/>
          <w:color w:val="000000" w:themeColor="text1"/>
        </w:rPr>
        <w:t xml:space="preserve">Inhabilidades aplicables cuando las </w:t>
      </w:r>
      <w:r w:rsidRPr="005A0147">
        <w:rPr>
          <w:rFonts w:ascii="Verdana" w:hAnsi="Verdana" w:cs="Arial"/>
          <w:b/>
          <w:bCs/>
          <w:color w:val="000000" w:themeColor="text1"/>
          <w:u w:val="single"/>
        </w:rPr>
        <w:t>personas naturales</w:t>
      </w:r>
      <w:r w:rsidRPr="005A0147">
        <w:rPr>
          <w:rFonts w:ascii="Verdana" w:hAnsi="Verdana" w:cs="Arial"/>
          <w:color w:val="000000" w:themeColor="text1"/>
        </w:rPr>
        <w:t>:</w:t>
      </w:r>
    </w:p>
    <w:p w14:paraId="262D8FEA" w14:textId="77777777" w:rsidR="007E58B2" w:rsidRPr="005A0147" w:rsidRDefault="007E58B2" w:rsidP="007E58B2">
      <w:pPr>
        <w:pStyle w:val="Prrafodelista"/>
        <w:numPr>
          <w:ilvl w:val="0"/>
          <w:numId w:val="17"/>
        </w:numPr>
        <w:spacing w:line="276" w:lineRule="auto"/>
        <w:jc w:val="both"/>
        <w:rPr>
          <w:rFonts w:ascii="Verdana" w:hAnsi="Verdana" w:cs="Arial"/>
          <w:color w:val="000000" w:themeColor="text1"/>
        </w:rPr>
      </w:pPr>
      <w:r w:rsidRPr="005A0147">
        <w:rPr>
          <w:rFonts w:ascii="Verdana" w:hAnsi="Verdana" w:cs="Arial"/>
          <w:color w:val="000000" w:themeColor="text1"/>
        </w:rPr>
        <w:t>Hayan sido declaradas responsables judicialmente por la comisión de delitos contra la Administración pública</w:t>
      </w:r>
      <w:r>
        <w:rPr>
          <w:rFonts w:ascii="Verdana" w:hAnsi="Verdana" w:cs="Arial"/>
          <w:color w:val="000000" w:themeColor="text1"/>
        </w:rPr>
        <w:t>.</w:t>
      </w:r>
    </w:p>
    <w:p w14:paraId="3CF6BAC8" w14:textId="77777777" w:rsidR="007E58B2" w:rsidRPr="005A0147" w:rsidRDefault="007E58B2" w:rsidP="007E58B2">
      <w:pPr>
        <w:pStyle w:val="Prrafodelista"/>
        <w:numPr>
          <w:ilvl w:val="0"/>
          <w:numId w:val="17"/>
        </w:numPr>
        <w:spacing w:line="276" w:lineRule="auto"/>
        <w:jc w:val="both"/>
        <w:rPr>
          <w:rFonts w:ascii="Verdana" w:hAnsi="Verdana" w:cs="Arial"/>
          <w:color w:val="000000" w:themeColor="text1"/>
        </w:rPr>
      </w:pPr>
      <w:r w:rsidRPr="005A0147">
        <w:rPr>
          <w:rFonts w:ascii="Verdana" w:hAnsi="Verdana" w:cs="Arial"/>
          <w:color w:val="000000" w:themeColor="text1"/>
        </w:rPr>
        <w:t>Hayan sido declaradas responsables judicialmente por la comisión de</w:t>
      </w:r>
      <w:r w:rsidRPr="005A0147">
        <w:rPr>
          <w:rFonts w:ascii="Arial" w:hAnsi="Arial" w:cs="Arial"/>
          <w:color w:val="000000" w:themeColor="text1"/>
          <w:sz w:val="21"/>
          <w:szCs w:val="21"/>
        </w:rPr>
        <w:t xml:space="preserve"> </w:t>
      </w:r>
      <w:r w:rsidRPr="005A0147">
        <w:rPr>
          <w:rFonts w:ascii="Verdana" w:hAnsi="Verdana" w:cs="Arial"/>
          <w:color w:val="000000" w:themeColor="text1"/>
        </w:rPr>
        <w:t>cualquiera de los delitos o faltas contempladas por la Ley 1474 de 2011 y sus normas modificatorias</w:t>
      </w:r>
      <w:r>
        <w:rPr>
          <w:rFonts w:ascii="Verdana" w:hAnsi="Verdana" w:cs="Arial"/>
          <w:color w:val="000000" w:themeColor="text1"/>
        </w:rPr>
        <w:t>.</w:t>
      </w:r>
    </w:p>
    <w:p w14:paraId="60685C07" w14:textId="77777777" w:rsidR="007E58B2" w:rsidRPr="005A0147" w:rsidRDefault="007E58B2" w:rsidP="007E58B2">
      <w:pPr>
        <w:pStyle w:val="Prrafodelista"/>
        <w:numPr>
          <w:ilvl w:val="0"/>
          <w:numId w:val="17"/>
        </w:numPr>
        <w:spacing w:line="276" w:lineRule="auto"/>
        <w:jc w:val="both"/>
        <w:rPr>
          <w:rFonts w:ascii="Verdana" w:hAnsi="Verdana" w:cs="Arial"/>
          <w:color w:val="000000" w:themeColor="text1"/>
        </w:rPr>
      </w:pPr>
      <w:r w:rsidRPr="005A0147">
        <w:rPr>
          <w:rFonts w:ascii="Verdana" w:hAnsi="Verdana" w:cs="Arial"/>
          <w:color w:val="000000" w:themeColor="text1"/>
        </w:rPr>
        <w:t>Hayan sido declaradas responsables judicialmente por la comisión de cualquiera de las conductas delictivas contempladas por las convenciones o tratados de lucha contra la corrupción suscritos y ratificados por Colombia</w:t>
      </w:r>
      <w:r>
        <w:rPr>
          <w:rFonts w:ascii="Verdana" w:hAnsi="Verdana" w:cs="Arial"/>
          <w:color w:val="000000" w:themeColor="text1"/>
        </w:rPr>
        <w:t>.</w:t>
      </w:r>
    </w:p>
    <w:p w14:paraId="1E9F5C6D" w14:textId="77777777" w:rsidR="007E58B2" w:rsidRPr="005A0147" w:rsidRDefault="007E58B2" w:rsidP="007E58B2">
      <w:pPr>
        <w:spacing w:line="276" w:lineRule="auto"/>
        <w:ind w:firstLine="360"/>
        <w:jc w:val="both"/>
        <w:rPr>
          <w:rFonts w:ascii="Verdana" w:hAnsi="Verdana" w:cs="Arial"/>
          <w:color w:val="000000" w:themeColor="text1"/>
        </w:rPr>
      </w:pPr>
      <w:r w:rsidRPr="005A0147">
        <w:rPr>
          <w:rFonts w:ascii="Verdana" w:hAnsi="Verdana" w:cs="Arial"/>
          <w:color w:val="000000" w:themeColor="text1"/>
        </w:rPr>
        <w:t xml:space="preserve">Inhabilidades aplicables cuando las </w:t>
      </w:r>
      <w:r w:rsidRPr="005A0147">
        <w:rPr>
          <w:rFonts w:ascii="Verdana" w:hAnsi="Verdana" w:cs="Arial"/>
          <w:b/>
          <w:bCs/>
          <w:color w:val="000000" w:themeColor="text1"/>
          <w:u w:val="single"/>
        </w:rPr>
        <w:t>personas jurídicas</w:t>
      </w:r>
      <w:r w:rsidRPr="005A0147">
        <w:rPr>
          <w:rFonts w:ascii="Verdana" w:hAnsi="Verdana" w:cs="Arial"/>
          <w:color w:val="000000" w:themeColor="text1"/>
        </w:rPr>
        <w:t>:</w:t>
      </w:r>
    </w:p>
    <w:p w14:paraId="62A979F1" w14:textId="77777777" w:rsidR="007E58B2" w:rsidRPr="005A0147" w:rsidRDefault="007E58B2" w:rsidP="007E58B2">
      <w:pPr>
        <w:pStyle w:val="Prrafodelista"/>
        <w:numPr>
          <w:ilvl w:val="0"/>
          <w:numId w:val="18"/>
        </w:numPr>
        <w:spacing w:line="276" w:lineRule="auto"/>
        <w:jc w:val="both"/>
        <w:rPr>
          <w:rFonts w:ascii="Verdana" w:hAnsi="Verdana" w:cs="Arial"/>
          <w:color w:val="000000" w:themeColor="text1"/>
        </w:rPr>
      </w:pPr>
      <w:r w:rsidRPr="005A0147">
        <w:rPr>
          <w:rFonts w:ascii="Verdana" w:hAnsi="Verdana" w:cs="Arial"/>
          <w:color w:val="000000" w:themeColor="text1"/>
        </w:rPr>
        <w:t>Hayan sido declaradas responsables administrativamente por la conducta de soborno transnacional</w:t>
      </w:r>
    </w:p>
    <w:p w14:paraId="1AB8032C" w14:textId="77777777" w:rsidR="007E58B2" w:rsidRPr="005A0147" w:rsidRDefault="007E58B2" w:rsidP="007E58B2">
      <w:pPr>
        <w:pStyle w:val="Prrafodelista"/>
        <w:numPr>
          <w:ilvl w:val="0"/>
          <w:numId w:val="18"/>
        </w:numPr>
        <w:spacing w:line="276" w:lineRule="auto"/>
        <w:jc w:val="both"/>
        <w:rPr>
          <w:rFonts w:ascii="Verdana" w:hAnsi="Verdana" w:cs="Arial"/>
          <w:color w:val="000000" w:themeColor="text1"/>
        </w:rPr>
      </w:pPr>
      <w:r w:rsidRPr="005A0147">
        <w:rPr>
          <w:rFonts w:ascii="Verdana" w:hAnsi="Verdana" w:cs="Arial"/>
          <w:color w:val="000000" w:themeColor="text1"/>
        </w:rPr>
        <w:t>O, se les haya ordenado la suspensión de la perso</w:t>
      </w:r>
      <w:r w:rsidRPr="005A0147">
        <w:rPr>
          <w:rFonts w:ascii="Verdana" w:hAnsi="Verdana" w:cs="Arial"/>
          <w:color w:val="000000" w:themeColor="text1"/>
        </w:rPr>
        <w:softHyphen/>
        <w:t>nería jurídica en los términos de ley</w:t>
      </w:r>
    </w:p>
    <w:p w14:paraId="205E62B0" w14:textId="77777777" w:rsidR="007E58B2" w:rsidRPr="005A0147" w:rsidRDefault="007E58B2" w:rsidP="007E58B2">
      <w:pPr>
        <w:pStyle w:val="Prrafodelista"/>
        <w:numPr>
          <w:ilvl w:val="0"/>
          <w:numId w:val="18"/>
        </w:numPr>
        <w:spacing w:line="276" w:lineRule="auto"/>
        <w:jc w:val="both"/>
        <w:rPr>
          <w:rFonts w:ascii="Verdana" w:hAnsi="Verdana" w:cs="Arial"/>
          <w:color w:val="000000" w:themeColor="text1"/>
        </w:rPr>
      </w:pPr>
      <w:r w:rsidRPr="005A0147">
        <w:rPr>
          <w:rFonts w:ascii="Verdana" w:hAnsi="Verdana" w:cs="Arial"/>
          <w:color w:val="000000" w:themeColor="text1"/>
        </w:rPr>
        <w:t>O, sus representantes legales, ad</w:t>
      </w:r>
      <w:r w:rsidRPr="005A0147">
        <w:rPr>
          <w:rFonts w:ascii="Verdana" w:hAnsi="Verdana" w:cs="Arial"/>
          <w:color w:val="000000" w:themeColor="text1"/>
        </w:rPr>
        <w:softHyphen/>
        <w:t xml:space="preserve">ministradores de hecho o de derecho, miembros de junta directiva o </w:t>
      </w:r>
      <w:r w:rsidRPr="005A0147">
        <w:rPr>
          <w:rFonts w:ascii="Verdana" w:hAnsi="Verdana" w:cs="Arial"/>
          <w:color w:val="000000" w:themeColor="text1"/>
          <w:u w:val="single"/>
        </w:rPr>
        <w:t>sus socios controlantes, sus matrices, subordinadas</w:t>
      </w:r>
      <w:r w:rsidRPr="005A0147">
        <w:rPr>
          <w:rFonts w:ascii="Verdana" w:hAnsi="Verdana" w:cs="Arial"/>
          <w:color w:val="000000" w:themeColor="text1"/>
        </w:rPr>
        <w:t xml:space="preserve"> y/o las sucursales de sociedades extranjeras, hayan sido beneficiados con la aplicación de un principio de oportunidad por cualquier delito contra la Administración pública o el patrimonio del Estado</w:t>
      </w:r>
    </w:p>
    <w:p w14:paraId="5FFCBA26" w14:textId="77777777" w:rsidR="007E58B2" w:rsidRPr="00C83950" w:rsidRDefault="007E58B2" w:rsidP="007E58B2">
      <w:pPr>
        <w:spacing w:line="276" w:lineRule="auto"/>
        <w:ind w:firstLine="708"/>
        <w:jc w:val="both"/>
        <w:rPr>
          <w:rFonts w:ascii="Verdana" w:hAnsi="Verdana" w:cs="Arial"/>
          <w:color w:val="000000" w:themeColor="text1"/>
        </w:rPr>
      </w:pPr>
      <w:r w:rsidRPr="005A0147">
        <w:rPr>
          <w:rFonts w:ascii="Verdana" w:hAnsi="Verdana" w:cs="Arial"/>
          <w:color w:val="000000" w:themeColor="text1"/>
        </w:rPr>
        <w:t xml:space="preserve">Visto lo anterior, es posible afirmar dos cosas: En primer lugar, para el caso de las inhabilidades dirigidas, en principio, para las </w:t>
      </w:r>
      <w:r w:rsidRPr="005A0147">
        <w:rPr>
          <w:rFonts w:ascii="Verdana" w:hAnsi="Verdana" w:cs="Arial"/>
          <w:b/>
          <w:bCs/>
          <w:color w:val="000000" w:themeColor="text1"/>
        </w:rPr>
        <w:t>personas naturales</w:t>
      </w:r>
      <w:r w:rsidRPr="005A0147">
        <w:rPr>
          <w:rFonts w:ascii="Verdana" w:hAnsi="Verdana" w:cs="Arial"/>
          <w:color w:val="000000" w:themeColor="text1"/>
        </w:rPr>
        <w:t>, que se configuran como consecuencia del resultado de procesos judiciales de responsabilidad penal, disciplinaria y/o fiscal, y las cuales proceden preventivamente</w:t>
      </w:r>
      <w:r w:rsidRPr="005A0147">
        <w:rPr>
          <w:rFonts w:ascii="Arial" w:hAnsi="Arial" w:cs="Arial"/>
          <w:color w:val="000000" w:themeColor="text1"/>
          <w:sz w:val="21"/>
          <w:szCs w:val="21"/>
        </w:rPr>
        <w:t xml:space="preserve"> </w:t>
      </w:r>
      <w:r w:rsidRPr="005A0147">
        <w:rPr>
          <w:rFonts w:ascii="Verdana" w:hAnsi="Verdana" w:cs="Arial"/>
          <w:color w:val="000000" w:themeColor="text1"/>
        </w:rPr>
        <w:t xml:space="preserve">aún en los casos en los que esté pendiente la decisión sobre la impugnación de la sentencia condenatoria, </w:t>
      </w:r>
      <w:r w:rsidRPr="00C83950">
        <w:rPr>
          <w:rFonts w:ascii="Verdana" w:hAnsi="Verdana" w:cs="Arial"/>
          <w:color w:val="000000" w:themeColor="text1"/>
        </w:rPr>
        <w:t>sus efectos se extienden a las sociedades de las que hagan parte dichas personas en las siguientes calidades:</w:t>
      </w:r>
    </w:p>
    <w:p w14:paraId="7D7E3731" w14:textId="77777777" w:rsidR="007E58B2" w:rsidRPr="00C83950" w:rsidRDefault="007E58B2" w:rsidP="007E58B2">
      <w:pPr>
        <w:pStyle w:val="Prrafodelista"/>
        <w:numPr>
          <w:ilvl w:val="0"/>
          <w:numId w:val="19"/>
        </w:numPr>
        <w:spacing w:line="276" w:lineRule="auto"/>
        <w:jc w:val="both"/>
        <w:rPr>
          <w:rFonts w:ascii="Verdana" w:hAnsi="Verdana" w:cs="Arial"/>
          <w:color w:val="000000" w:themeColor="text1"/>
        </w:rPr>
      </w:pPr>
      <w:r w:rsidRPr="00C83950">
        <w:rPr>
          <w:rFonts w:ascii="Verdana" w:hAnsi="Verdana" w:cs="Arial"/>
          <w:color w:val="000000" w:themeColor="text1"/>
        </w:rPr>
        <w:t xml:space="preserve">administradores, </w:t>
      </w:r>
    </w:p>
    <w:p w14:paraId="6E184883" w14:textId="77777777" w:rsidR="007E58B2" w:rsidRPr="00C83950" w:rsidRDefault="007E58B2" w:rsidP="007E58B2">
      <w:pPr>
        <w:pStyle w:val="Prrafodelista"/>
        <w:numPr>
          <w:ilvl w:val="0"/>
          <w:numId w:val="19"/>
        </w:numPr>
        <w:spacing w:line="276" w:lineRule="auto"/>
        <w:jc w:val="both"/>
        <w:rPr>
          <w:rFonts w:ascii="Verdana" w:hAnsi="Verdana" w:cs="Arial"/>
          <w:color w:val="000000" w:themeColor="text1"/>
        </w:rPr>
      </w:pPr>
      <w:r w:rsidRPr="00C83950">
        <w:rPr>
          <w:rFonts w:ascii="Verdana" w:hAnsi="Verdana" w:cs="Arial"/>
          <w:color w:val="000000" w:themeColor="text1"/>
        </w:rPr>
        <w:t>represen</w:t>
      </w:r>
      <w:r w:rsidRPr="00C83950">
        <w:rPr>
          <w:rFonts w:ascii="Verdana" w:hAnsi="Verdana" w:cs="Arial"/>
          <w:color w:val="000000" w:themeColor="text1"/>
        </w:rPr>
        <w:softHyphen/>
        <w:t xml:space="preserve">tantes legales, </w:t>
      </w:r>
    </w:p>
    <w:p w14:paraId="34A2B137" w14:textId="77777777" w:rsidR="007E58B2" w:rsidRPr="00C83950" w:rsidRDefault="007E58B2" w:rsidP="007E58B2">
      <w:pPr>
        <w:pStyle w:val="Prrafodelista"/>
        <w:numPr>
          <w:ilvl w:val="0"/>
          <w:numId w:val="19"/>
        </w:numPr>
        <w:spacing w:line="276" w:lineRule="auto"/>
        <w:jc w:val="both"/>
        <w:rPr>
          <w:rFonts w:ascii="Verdana" w:hAnsi="Verdana" w:cs="Arial"/>
          <w:color w:val="000000" w:themeColor="text1"/>
        </w:rPr>
      </w:pPr>
      <w:r w:rsidRPr="00C83950">
        <w:rPr>
          <w:rFonts w:ascii="Verdana" w:hAnsi="Verdana" w:cs="Arial"/>
          <w:color w:val="000000" w:themeColor="text1"/>
        </w:rPr>
        <w:t xml:space="preserve">miembros de junta directiva </w:t>
      </w:r>
    </w:p>
    <w:p w14:paraId="60756CE9" w14:textId="77777777" w:rsidR="007E58B2" w:rsidRPr="005A0147" w:rsidRDefault="007E58B2" w:rsidP="007E58B2">
      <w:pPr>
        <w:pStyle w:val="Prrafodelista"/>
        <w:numPr>
          <w:ilvl w:val="0"/>
          <w:numId w:val="19"/>
        </w:numPr>
        <w:spacing w:line="276" w:lineRule="auto"/>
        <w:jc w:val="both"/>
        <w:rPr>
          <w:rFonts w:ascii="Verdana" w:hAnsi="Verdana" w:cs="Arial"/>
          <w:color w:val="000000" w:themeColor="text1"/>
        </w:rPr>
      </w:pPr>
      <w:r w:rsidRPr="00C83950">
        <w:rPr>
          <w:rFonts w:ascii="Verdana" w:hAnsi="Verdana" w:cs="Arial"/>
          <w:color w:val="000000" w:themeColor="text1"/>
        </w:rPr>
        <w:t>socios controlantes</w:t>
      </w:r>
      <w:r w:rsidRPr="005A0147">
        <w:rPr>
          <w:rFonts w:ascii="Verdana" w:hAnsi="Verdana" w:cs="Arial"/>
          <w:color w:val="000000" w:themeColor="text1"/>
        </w:rPr>
        <w:t>, a sus matrices, a sus subordinadas, a los grupos empresariales a los que estas pertenezcan cuando la conducta delictiva haya sido parte de una política del grupo y a las sucursales de sociedades extranjeras, con ex</w:t>
      </w:r>
      <w:r w:rsidRPr="005A0147">
        <w:rPr>
          <w:rFonts w:ascii="Verdana" w:hAnsi="Verdana" w:cs="Arial"/>
          <w:color w:val="000000" w:themeColor="text1"/>
        </w:rPr>
        <w:softHyphen/>
        <w:t xml:space="preserve">cepción de las sociedades anónimas abiertas. </w:t>
      </w:r>
    </w:p>
    <w:p w14:paraId="13E00FFF" w14:textId="77777777" w:rsidR="007E58B2" w:rsidRPr="00D60212" w:rsidRDefault="007E58B2" w:rsidP="007E58B2">
      <w:pPr>
        <w:spacing w:line="276" w:lineRule="auto"/>
        <w:ind w:firstLine="708"/>
        <w:jc w:val="both"/>
        <w:rPr>
          <w:rFonts w:ascii="Verdana" w:hAnsi="Verdana"/>
        </w:rPr>
      </w:pPr>
      <w:r>
        <w:rPr>
          <w:rFonts w:ascii="Verdana" w:hAnsi="Verdana"/>
        </w:rPr>
        <w:lastRenderedPageBreak/>
        <w:t xml:space="preserve">Por tanto, es importante precisar que una </w:t>
      </w:r>
      <w:r w:rsidRPr="00196626">
        <w:rPr>
          <w:rFonts w:ascii="Verdana" w:hAnsi="Verdana"/>
        </w:rPr>
        <w:t xml:space="preserve">persona vinculada a un proceso penal por la comisión de delitos contra la administración pública puede celebrar un contrato </w:t>
      </w:r>
      <w:r>
        <w:rPr>
          <w:rFonts w:ascii="Verdana" w:hAnsi="Verdana"/>
        </w:rPr>
        <w:t>e</w:t>
      </w:r>
      <w:r w:rsidRPr="00196626">
        <w:rPr>
          <w:rFonts w:ascii="Verdana" w:hAnsi="Verdana"/>
        </w:rPr>
        <w:t>statal con la entidad v</w:t>
      </w:r>
      <w:r>
        <w:rPr>
          <w:rFonts w:ascii="Verdana" w:hAnsi="Verdana"/>
        </w:rPr>
        <w:t>í</w:t>
      </w:r>
      <w:r w:rsidRPr="00196626">
        <w:rPr>
          <w:rFonts w:ascii="Verdana" w:hAnsi="Verdana"/>
        </w:rPr>
        <w:t>ctima dentro del proceso, toda vez que el artículo 8 de la Ley 80 de 1993 literal j</w:t>
      </w:r>
      <w:r>
        <w:rPr>
          <w:rFonts w:ascii="Verdana" w:hAnsi="Verdana"/>
        </w:rPr>
        <w:t>)</w:t>
      </w:r>
      <w:r w:rsidRPr="00196626">
        <w:rPr>
          <w:rFonts w:ascii="Verdana" w:hAnsi="Verdana"/>
        </w:rPr>
        <w:t xml:space="preserve"> indica que la inhabilidad recae sobre l</w:t>
      </w:r>
      <w:r w:rsidRPr="00D60212">
        <w:rPr>
          <w:rFonts w:ascii="Verdana" w:hAnsi="Verdana"/>
        </w:rPr>
        <w:t>as personas naturales que hayan sido declaradas responsables judicialmente por la comisión de delitos contra la Administración Pública, o de cualquiera de los delitos o faltas contempladas por la Ley 1474 de 2011 y sus normas modificatorias</w:t>
      </w:r>
      <w:r>
        <w:rPr>
          <w:rFonts w:ascii="Verdana" w:hAnsi="Verdana"/>
        </w:rPr>
        <w:t>,</w:t>
      </w:r>
      <w:r w:rsidRPr="00D60212">
        <w:rPr>
          <w:rFonts w:ascii="Verdana" w:hAnsi="Verdana"/>
        </w:rPr>
        <w:t xml:space="preserve">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15D26BF3" w14:textId="77777777" w:rsidR="007E58B2" w:rsidRDefault="007E58B2" w:rsidP="007E58B2">
      <w:pPr>
        <w:spacing w:line="276" w:lineRule="auto"/>
        <w:ind w:firstLine="708"/>
        <w:jc w:val="both"/>
        <w:rPr>
          <w:rFonts w:ascii="Verdana" w:hAnsi="Verdana"/>
        </w:rPr>
      </w:pPr>
      <w:r w:rsidRPr="00D60212">
        <w:rPr>
          <w:rFonts w:ascii="Verdana" w:hAnsi="Verdana"/>
        </w:rPr>
        <w:t>Esta inhabilidad procederá preventivamente aún en los casos en los que esté pendiente la decisión sobre la impugnación de la sentencia condenatoria.</w:t>
      </w:r>
      <w:r>
        <w:rPr>
          <w:rFonts w:ascii="Verdana" w:hAnsi="Verdana"/>
        </w:rPr>
        <w:t xml:space="preserve"> </w:t>
      </w:r>
      <w:r w:rsidRPr="00196626">
        <w:rPr>
          <w:rFonts w:ascii="Verdana" w:hAnsi="Verdana"/>
        </w:rPr>
        <w:t>Por lo anterior la sola vinculación al proceso no genera una inhabilidad para celebrar contratos con las entidades estatales</w:t>
      </w:r>
      <w:r w:rsidRPr="00D60212">
        <w:rPr>
          <w:rFonts w:ascii="Verdana" w:hAnsi="Verdana"/>
        </w:rPr>
        <w:t>.</w:t>
      </w:r>
    </w:p>
    <w:p w14:paraId="4484199A" w14:textId="77777777" w:rsidR="007E58B2" w:rsidRDefault="007E58B2" w:rsidP="007E58B2">
      <w:pPr>
        <w:spacing w:line="276" w:lineRule="auto"/>
        <w:ind w:firstLine="708"/>
        <w:jc w:val="both"/>
        <w:rPr>
          <w:rFonts w:ascii="Verdana" w:eastAsia="Calibri" w:hAnsi="Verdana" w:cs="Arial"/>
          <w:sz w:val="21"/>
          <w:szCs w:val="21"/>
        </w:rPr>
      </w:pPr>
      <w:r>
        <w:rPr>
          <w:rFonts w:ascii="Verdana" w:eastAsia="Calibri" w:hAnsi="Verdana" w:cs="Arial"/>
        </w:rPr>
        <w:t>S</w:t>
      </w:r>
      <w:r w:rsidRPr="00B73371">
        <w:rPr>
          <w:rFonts w:ascii="Verdana" w:eastAsia="Calibri" w:hAnsi="Verdana" w:cs="Arial"/>
        </w:rPr>
        <w:t xml:space="preserve">e destaca que el régimen de inhabilidades corresponde a un conjunto de restricciones que afectan la capacidad para contratar con el Estado. En consecuencia, los operadores jurídicos están sometidos a la interpretación y aplicación restrictiva, por lo que cada entidad contratante deberá analizar en cada caso concreto si efectivamente la respectiva persona se encuentra incursa en el supuesto de hecho que da lugar a la configuración de la inhabilidad o </w:t>
      </w:r>
      <w:r w:rsidRPr="0001479F">
        <w:rPr>
          <w:rFonts w:ascii="Verdana" w:hAnsi="Verdana"/>
        </w:rPr>
        <w:t>incompatibilidad</w:t>
      </w:r>
      <w:r w:rsidRPr="00B73371">
        <w:rPr>
          <w:rFonts w:ascii="Verdana" w:eastAsia="Calibri" w:hAnsi="Verdana" w:cs="Arial"/>
        </w:rPr>
        <w:t xml:space="preserve"> que </w:t>
      </w:r>
      <w:r>
        <w:rPr>
          <w:rFonts w:ascii="Verdana" w:eastAsia="Calibri" w:hAnsi="Verdana" w:cs="Arial"/>
        </w:rPr>
        <w:t>opera como</w:t>
      </w:r>
      <w:r w:rsidRPr="00B73371">
        <w:rPr>
          <w:rFonts w:ascii="Verdana" w:eastAsia="Calibri" w:hAnsi="Verdana" w:cs="Arial"/>
        </w:rPr>
        <w:t xml:space="preserve"> restricción </w:t>
      </w:r>
      <w:r>
        <w:rPr>
          <w:rFonts w:ascii="Verdana" w:eastAsia="Calibri" w:hAnsi="Verdana" w:cs="Arial"/>
        </w:rPr>
        <w:t>a</w:t>
      </w:r>
      <w:r w:rsidRPr="00B73371">
        <w:rPr>
          <w:rFonts w:ascii="Verdana" w:eastAsia="Calibri" w:hAnsi="Verdana" w:cs="Arial"/>
        </w:rPr>
        <w:t xml:space="preserve"> la capacidad para contratar</w:t>
      </w:r>
      <w:r w:rsidRPr="00B73371">
        <w:rPr>
          <w:rFonts w:ascii="Verdana" w:eastAsia="Calibri" w:hAnsi="Verdana" w:cs="Arial"/>
          <w:sz w:val="21"/>
          <w:szCs w:val="21"/>
        </w:rPr>
        <w:t>.</w:t>
      </w:r>
    </w:p>
    <w:p w14:paraId="1AD6F7FF" w14:textId="77777777" w:rsidR="007E58B2" w:rsidRPr="00A3519D" w:rsidRDefault="007E58B2" w:rsidP="007E58B2">
      <w:pPr>
        <w:spacing w:line="276" w:lineRule="auto"/>
        <w:ind w:firstLine="708"/>
        <w:jc w:val="both"/>
        <w:rPr>
          <w:rFonts w:ascii="Verdana" w:eastAsia="Calibri" w:hAnsi="Verdana" w:cs="Arial"/>
          <w:sz w:val="21"/>
          <w:szCs w:val="21"/>
        </w:rPr>
      </w:pPr>
      <w:r w:rsidRPr="0001479F">
        <w:rPr>
          <w:rFonts w:ascii="Verdana" w:eastAsia="Calibri" w:hAnsi="Verdana" w:cs="Arial"/>
          <w:lang w:val="es-ES"/>
        </w:rPr>
        <w:t xml:space="preserve">Dado que en la pregunta de su consulta también hace referencia al régimen de los conflictos de interés en la contratación estatal, debe señalarse que,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w:t>
      </w:r>
      <w:bookmarkStart w:id="5" w:name="_Hlk36672204"/>
      <w:r w:rsidRPr="0001479F">
        <w:rPr>
          <w:rFonts w:ascii="Verdana" w:eastAsia="Calibri" w:hAnsi="Verdana" w:cs="Arial"/>
          <w:lang w:val="es-ES"/>
        </w:rPr>
        <w:t xml:space="preserve">el régimen de los </w:t>
      </w:r>
      <w:r w:rsidRPr="0001479F">
        <w:rPr>
          <w:rFonts w:ascii="Verdana" w:eastAsia="Calibri" w:hAnsi="Verdana" w:cs="Arial"/>
          <w:i/>
          <w:iCs/>
          <w:lang w:val="es-ES"/>
        </w:rPr>
        <w:t>conflictos de interés</w:t>
      </w:r>
      <w:r w:rsidRPr="0001479F">
        <w:rPr>
          <w:rFonts w:ascii="Verdana" w:eastAsia="Calibri" w:hAnsi="Verdana" w:cs="Arial"/>
          <w:lang w:val="es-ES"/>
        </w:rPr>
        <w:t xml:space="preserve">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w:t>
      </w:r>
      <w:bookmarkStart w:id="6" w:name="_Hlk36668905"/>
      <w:r w:rsidRPr="0001479F">
        <w:rPr>
          <w:rFonts w:ascii="Verdana" w:eastAsia="Calibri" w:hAnsi="Verdana" w:cs="Arial"/>
          <w:lang w:val="es-ES"/>
        </w:rPr>
        <w:t xml:space="preserve">concurrencia de intereses antagónicos que afectan la transparencia de las decisiones, al </w:t>
      </w:r>
      <w:r w:rsidRPr="0001479F">
        <w:rPr>
          <w:rFonts w:ascii="Verdana" w:eastAsia="Calibri" w:hAnsi="Verdana" w:cs="Arial"/>
          <w:lang w:val="es-ES"/>
        </w:rPr>
        <w:lastRenderedPageBreak/>
        <w:t xml:space="preserve">implicar –en detrimento del interés general– el aprovechamiento personal, familiar o </w:t>
      </w:r>
      <w:r w:rsidRPr="0001479F">
        <w:rPr>
          <w:rFonts w:ascii="Verdana" w:hAnsi="Verdana"/>
        </w:rPr>
        <w:t>particular</w:t>
      </w:r>
      <w:bookmarkEnd w:id="5"/>
      <w:bookmarkEnd w:id="6"/>
      <w:r w:rsidRPr="0001479F">
        <w:rPr>
          <w:rFonts w:ascii="Verdana" w:eastAsia="Calibri" w:hAnsi="Verdana" w:cs="Arial"/>
          <w:vertAlign w:val="superscript"/>
          <w:lang w:val="es-ES"/>
        </w:rPr>
        <w:footnoteReference w:id="13"/>
      </w:r>
      <w:r w:rsidRPr="0001479F">
        <w:rPr>
          <w:rFonts w:ascii="Verdana" w:eastAsia="Calibri" w:hAnsi="Verdana" w:cs="Arial"/>
          <w:lang w:val="es-ES"/>
        </w:rPr>
        <w:t>.</w:t>
      </w:r>
    </w:p>
    <w:p w14:paraId="43F4BD50" w14:textId="77777777" w:rsidR="007E58B2" w:rsidRPr="0001479F" w:rsidRDefault="007E58B2" w:rsidP="007E58B2">
      <w:pPr>
        <w:spacing w:line="276" w:lineRule="auto"/>
        <w:ind w:firstLine="708"/>
        <w:jc w:val="both"/>
        <w:rPr>
          <w:rFonts w:ascii="Verdana" w:eastAsia="Calibri" w:hAnsi="Verdana" w:cs="Arial"/>
          <w:lang w:val="es-ES"/>
        </w:rPr>
      </w:pPr>
      <w:r w:rsidRPr="0001479F">
        <w:rPr>
          <w:rFonts w:ascii="Verdana" w:eastAsia="Calibri" w:hAnsi="Verdana" w:cs="Arial"/>
          <w:lang w:val="es-ES"/>
        </w:rPr>
        <w:t xml:space="preserve">La institución jurídica de los conflictos de interés no está definida con carácter general en el ordenamiento jurídico y tampoco de forma precisa en las normas que regulan la contratación estatal, por lo que es un asunto ausente en el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EGCAP dispone que aquellos </w:t>
      </w:r>
      <w:r w:rsidRPr="002C2CE5">
        <w:rPr>
          <w:rFonts w:ascii="Verdana" w:hAnsi="Verdana"/>
        </w:rPr>
        <w:t>obrarán</w:t>
      </w:r>
      <w:r w:rsidRPr="0001479F">
        <w:rPr>
          <w:rFonts w:ascii="Verdana" w:eastAsia="Calibri" w:hAnsi="Verdana" w:cs="Arial"/>
          <w:lang w:val="es-ES"/>
        </w:rPr>
        <w:t xml:space="preserve"> con lealtad y buena fe en las distintas etapas contractuales. </w:t>
      </w:r>
    </w:p>
    <w:p w14:paraId="1F0F9170" w14:textId="77777777" w:rsidR="007E58B2" w:rsidRPr="0001479F" w:rsidRDefault="007E58B2" w:rsidP="007E58B2">
      <w:pPr>
        <w:spacing w:after="0" w:line="276" w:lineRule="auto"/>
        <w:jc w:val="both"/>
        <w:rPr>
          <w:rFonts w:ascii="Verdana" w:eastAsia="Calibri" w:hAnsi="Verdana" w:cs="Arial"/>
          <w:lang w:val="es-ES_tradnl"/>
        </w:rPr>
      </w:pPr>
      <w:r w:rsidRPr="0001479F">
        <w:rPr>
          <w:rFonts w:ascii="Verdana" w:eastAsia="Calibri" w:hAnsi="Verdana" w:cs="Arial"/>
          <w:lang w:val="es-ES_tradnl"/>
        </w:rPr>
        <w:t xml:space="preserve">           Sin perjuicio de lo anterior,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334B3454" w14:textId="77777777" w:rsidR="007E58B2" w:rsidRPr="00BE151B" w:rsidRDefault="007E58B2" w:rsidP="007E58B2">
      <w:pPr>
        <w:spacing w:after="0" w:line="276" w:lineRule="auto"/>
        <w:jc w:val="both"/>
        <w:rPr>
          <w:rFonts w:ascii="Verdana" w:eastAsia="Calibri" w:hAnsi="Verdana" w:cs="Arial"/>
          <w:sz w:val="21"/>
          <w:szCs w:val="21"/>
        </w:rPr>
      </w:pPr>
    </w:p>
    <w:p w14:paraId="67234EA8" w14:textId="77777777" w:rsidR="007E58B2" w:rsidRDefault="007E58B2" w:rsidP="007E58B2">
      <w:pPr>
        <w:tabs>
          <w:tab w:val="left" w:pos="142"/>
          <w:tab w:val="left" w:pos="284"/>
        </w:tabs>
        <w:spacing w:after="0" w:line="276" w:lineRule="auto"/>
        <w:jc w:val="both"/>
        <w:rPr>
          <w:rFonts w:ascii="Verdana" w:eastAsia="Century Gothic" w:hAnsi="Verdana" w:cs="Century Gothic"/>
          <w:b/>
          <w:bCs/>
        </w:rPr>
      </w:pPr>
      <w:r w:rsidRPr="00BE151B">
        <w:rPr>
          <w:rFonts w:ascii="Verdana" w:eastAsia="Century Gothic" w:hAnsi="Verdana" w:cs="Century Gothic"/>
          <w:b/>
          <w:bCs/>
        </w:rPr>
        <w:t>4. Referencias normativas, jurisprudenciales y otras fuentes:</w:t>
      </w:r>
    </w:p>
    <w:p w14:paraId="508D828F" w14:textId="77777777" w:rsidR="007E58B2" w:rsidRPr="00BE151B" w:rsidRDefault="007E58B2" w:rsidP="007E58B2">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E58B2" w:rsidRPr="001D185F" w14:paraId="418428A3" w14:textId="77777777" w:rsidTr="009D67F1">
        <w:trPr>
          <w:trHeight w:val="870"/>
        </w:trPr>
        <w:tc>
          <w:tcPr>
            <w:tcW w:w="8647" w:type="dxa"/>
          </w:tcPr>
          <w:p w14:paraId="5FD687A2" w14:textId="77777777" w:rsidR="007E58B2" w:rsidRPr="001E4837"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sidRPr="003B7EF6">
              <w:rPr>
                <w:rFonts w:ascii="Verdana" w:hAnsi="Verdana" w:cs="Arial"/>
              </w:rPr>
              <w:lastRenderedPageBreak/>
              <w:t>Constitución Política</w:t>
            </w:r>
            <w:r>
              <w:rPr>
                <w:rFonts w:ascii="Verdana" w:hAnsi="Verdana" w:cs="Arial"/>
              </w:rPr>
              <w:t>, artículos 150 y 209</w:t>
            </w:r>
          </w:p>
          <w:p w14:paraId="441E29F8"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sidRPr="00C56B10">
              <w:rPr>
                <w:rFonts w:ascii="Verdana" w:hAnsi="Verdana" w:cs="Arial"/>
              </w:rPr>
              <w:t>Ley 80 de 1993</w:t>
            </w:r>
            <w:r>
              <w:rPr>
                <w:rFonts w:ascii="Verdana" w:hAnsi="Verdana" w:cs="Arial"/>
              </w:rPr>
              <w:t>, artículos 3, 8 literal j)</w:t>
            </w:r>
          </w:p>
          <w:p w14:paraId="543CD9F2"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Pr>
                <w:rFonts w:ascii="Verdana" w:hAnsi="Verdana" w:cs="Arial"/>
              </w:rPr>
              <w:t>Ley 1474 de 2011</w:t>
            </w:r>
          </w:p>
          <w:p w14:paraId="3D82045D"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Pr>
                <w:rFonts w:ascii="Verdana" w:hAnsi="Verdana" w:cs="Arial"/>
              </w:rPr>
              <w:t>Decreto 4170 artículos 3.5 y 11.8</w:t>
            </w:r>
          </w:p>
          <w:p w14:paraId="3FEE2965"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Pr>
                <w:rFonts w:ascii="Verdana" w:hAnsi="Verdana" w:cs="Arial"/>
              </w:rPr>
              <w:t>Ley 1437 de 2011 artículos 11 y 12</w:t>
            </w:r>
          </w:p>
          <w:p w14:paraId="2EB6D7B7"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lang w:val="pt-BR"/>
              </w:rPr>
            </w:pPr>
            <w:r w:rsidRPr="00F74A2D">
              <w:rPr>
                <w:rFonts w:ascii="Verdana" w:hAnsi="Verdana" w:cs="Arial"/>
                <w:lang w:val="pt-BR"/>
              </w:rPr>
              <w:t>CORTE CONSTITUCIONAL. Sentencia C-1016 de 2012. M.P. Jorge Iván Palacio</w:t>
            </w:r>
          </w:p>
          <w:p w14:paraId="377E6105"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lang w:val="pt-BR"/>
              </w:rPr>
            </w:pPr>
            <w:r w:rsidRPr="009B34D7">
              <w:rPr>
                <w:rFonts w:ascii="Verdana" w:hAnsi="Verdana" w:cs="Arial"/>
                <w:lang w:val="pt-BR"/>
              </w:rPr>
              <w:t xml:space="preserve">CORTE CONSTITUCIONAL. Sentencia C-415 de 1994. M.P. Eduardo </w:t>
            </w:r>
            <w:proofErr w:type="spellStart"/>
            <w:r w:rsidRPr="009B34D7">
              <w:rPr>
                <w:rFonts w:ascii="Verdana" w:hAnsi="Verdana" w:cs="Arial"/>
                <w:lang w:val="pt-BR"/>
              </w:rPr>
              <w:t>Cifuentes</w:t>
            </w:r>
            <w:proofErr w:type="spellEnd"/>
            <w:r w:rsidRPr="009B34D7">
              <w:rPr>
                <w:rFonts w:ascii="Verdana" w:hAnsi="Verdana" w:cs="Arial"/>
                <w:lang w:val="pt-BR"/>
              </w:rPr>
              <w:t xml:space="preserve"> </w:t>
            </w:r>
            <w:proofErr w:type="spellStart"/>
            <w:r w:rsidRPr="009B34D7">
              <w:rPr>
                <w:rFonts w:ascii="Verdana" w:hAnsi="Verdana" w:cs="Arial"/>
                <w:lang w:val="pt-BR"/>
              </w:rPr>
              <w:t>Muñoz</w:t>
            </w:r>
            <w:proofErr w:type="spellEnd"/>
          </w:p>
          <w:p w14:paraId="065CD8FB"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lang w:val="en-US"/>
              </w:rPr>
            </w:pPr>
            <w:r w:rsidRPr="00982983">
              <w:rPr>
                <w:rFonts w:ascii="Verdana" w:hAnsi="Verdana" w:cs="Arial"/>
                <w:lang w:val="pt-BR"/>
              </w:rPr>
              <w:t xml:space="preserve">CORTE CONSTITUCIONAL. Sentencia C-780 de 2001. </w:t>
            </w:r>
            <w:r w:rsidRPr="00982983">
              <w:rPr>
                <w:rFonts w:ascii="Verdana" w:hAnsi="Verdana" w:cs="Arial"/>
                <w:lang w:val="en-US"/>
              </w:rPr>
              <w:t>M.P. Jaime Córdoba Triviño</w:t>
            </w:r>
          </w:p>
          <w:p w14:paraId="32FCD8B2"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sidRPr="001D185F">
              <w:rPr>
                <w:rFonts w:ascii="Verdana" w:hAnsi="Verdana" w:cs="Arial"/>
                <w:lang w:val="pt-BR"/>
              </w:rPr>
              <w:t xml:space="preserve">CORTE CONSTITUCIONAL. Sentencia T-1039 de 2006. </w:t>
            </w:r>
            <w:r w:rsidRPr="001D185F">
              <w:rPr>
                <w:rFonts w:ascii="Verdana" w:hAnsi="Verdana" w:cs="Arial"/>
              </w:rPr>
              <w:t>M.P. Humberto Sierra Porto. La Corte Constitucional ha mantenido este criterio en las sentencias: C-903 de 2008. M.P. Jaime Araujo Rentería; C-101 de 2018. M.P. Gloria Stella Ortiz Delgado; entre otras.</w:t>
            </w:r>
          </w:p>
          <w:p w14:paraId="2911F164"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sidRPr="00AC0F06">
              <w:rPr>
                <w:rFonts w:ascii="Verdana" w:hAnsi="Verdana" w:cs="Arial"/>
              </w:rPr>
              <w:t xml:space="preserve">CONSEJO DE ESTADO. Sección Tercera. Subsección A. Sentencia del 13 de noviembre de 2013. Rad. 25.646. C.P. Mauricio Fajardo Gómez.  </w:t>
            </w:r>
          </w:p>
          <w:p w14:paraId="3066632B" w14:textId="77777777" w:rsidR="007E58B2"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sidRPr="00744BDD">
              <w:rPr>
                <w:rFonts w:ascii="Verdana" w:hAnsi="Verdana" w:cs="Arial"/>
              </w:rPr>
              <w:t xml:space="preserve">CONSEJO DE ESTADO. Sala de Consulta y Servicio Civil. Concepto del 30 de abril de 2015. </w:t>
            </w:r>
            <w:proofErr w:type="spellStart"/>
            <w:r w:rsidRPr="00744BDD">
              <w:rPr>
                <w:rFonts w:ascii="Verdana" w:hAnsi="Verdana" w:cs="Arial"/>
              </w:rPr>
              <w:t>Exp</w:t>
            </w:r>
            <w:proofErr w:type="spellEnd"/>
            <w:r w:rsidRPr="00744BDD">
              <w:rPr>
                <w:rFonts w:ascii="Verdana" w:hAnsi="Verdana" w:cs="Arial"/>
              </w:rPr>
              <w:t xml:space="preserve">. 2251. </w:t>
            </w:r>
            <w:proofErr w:type="gramStart"/>
            <w:r w:rsidRPr="00744BDD">
              <w:rPr>
                <w:rFonts w:ascii="Verdana" w:hAnsi="Verdana" w:cs="Arial"/>
              </w:rPr>
              <w:t>Consejero</w:t>
            </w:r>
            <w:proofErr w:type="gramEnd"/>
            <w:r w:rsidRPr="00744BDD">
              <w:rPr>
                <w:rFonts w:ascii="Verdana" w:hAnsi="Verdana" w:cs="Arial"/>
              </w:rPr>
              <w:t xml:space="preserve"> Ponente: Álvaro </w:t>
            </w:r>
            <w:proofErr w:type="spellStart"/>
            <w:r w:rsidRPr="00744BDD">
              <w:rPr>
                <w:rFonts w:ascii="Verdana" w:hAnsi="Verdana" w:cs="Arial"/>
              </w:rPr>
              <w:t>Namén</w:t>
            </w:r>
            <w:proofErr w:type="spellEnd"/>
            <w:r w:rsidRPr="00744BDD">
              <w:rPr>
                <w:rFonts w:ascii="Verdana" w:hAnsi="Verdana" w:cs="Arial"/>
              </w:rPr>
              <w:t xml:space="preserve"> Vargas.</w:t>
            </w:r>
          </w:p>
          <w:p w14:paraId="62F73A4B" w14:textId="77777777" w:rsidR="007E58B2" w:rsidRPr="001D185F" w:rsidRDefault="007E58B2" w:rsidP="009D67F1">
            <w:pPr>
              <w:pStyle w:val="Prrafodelista"/>
              <w:widowControl w:val="0"/>
              <w:numPr>
                <w:ilvl w:val="0"/>
                <w:numId w:val="16"/>
              </w:numPr>
              <w:tabs>
                <w:tab w:val="left" w:pos="8419"/>
              </w:tabs>
              <w:autoSpaceDE w:val="0"/>
              <w:autoSpaceDN w:val="0"/>
              <w:spacing w:line="276" w:lineRule="auto"/>
              <w:jc w:val="both"/>
              <w:rPr>
                <w:rFonts w:ascii="Verdana" w:hAnsi="Verdana" w:cs="Arial"/>
              </w:rPr>
            </w:pPr>
            <w:r w:rsidRPr="005C613F">
              <w:rPr>
                <w:rFonts w:ascii="Verdana" w:hAnsi="Verdana" w:cs="Arial"/>
              </w:rPr>
              <w:t>CONSEJO DE ESTADO. Sección Tercera. Subsección A. Sentencia del 24 de junio de 2015. Rad. 40.635. Consejero Ponente: Hernán Andrade Rincón (E).</w:t>
            </w:r>
          </w:p>
        </w:tc>
      </w:tr>
    </w:tbl>
    <w:p w14:paraId="0617C372" w14:textId="77777777" w:rsidR="007E58B2" w:rsidRPr="001D185F" w:rsidRDefault="007E58B2" w:rsidP="007E58B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8B191CD" w14:textId="77777777" w:rsidR="007E58B2" w:rsidRPr="00BE151B" w:rsidRDefault="007E58B2" w:rsidP="007E58B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BE151B">
        <w:rPr>
          <w:rFonts w:ascii="Verdana" w:eastAsia="Century Gothic" w:hAnsi="Verdana" w:cs="Century Gothic"/>
          <w:b/>
          <w:bCs/>
        </w:rPr>
        <w:t>5. Doctrina de la Agencia Nacional de Contratación Pública:</w:t>
      </w:r>
    </w:p>
    <w:p w14:paraId="2F3357D1" w14:textId="77777777" w:rsidR="007E58B2" w:rsidRPr="00BE151B" w:rsidRDefault="007E58B2" w:rsidP="007E58B2">
      <w:pPr>
        <w:spacing w:after="0" w:line="276" w:lineRule="auto"/>
        <w:ind w:firstLine="709"/>
        <w:jc w:val="both"/>
        <w:rPr>
          <w:rFonts w:ascii="Verdana" w:eastAsia="Times New Roman" w:hAnsi="Verdana" w:cs="Arial"/>
          <w:szCs w:val="24"/>
          <w:lang w:eastAsia="es-ES_tradnl"/>
        </w:rPr>
      </w:pPr>
    </w:p>
    <w:p w14:paraId="5FBCA771" w14:textId="77777777" w:rsidR="007E58B2" w:rsidRPr="004A4AAA" w:rsidRDefault="007E58B2" w:rsidP="007E58B2">
      <w:pPr>
        <w:widowControl w:val="0"/>
        <w:autoSpaceDE w:val="0"/>
        <w:autoSpaceDN w:val="0"/>
        <w:spacing w:after="0" w:line="276" w:lineRule="auto"/>
        <w:jc w:val="both"/>
        <w:rPr>
          <w:rFonts w:ascii="Verdana" w:hAnsi="Verdana" w:cs="Arial"/>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el régimen de inhabilidades</w:t>
      </w:r>
      <w:r w:rsidRPr="00916093">
        <w:rPr>
          <w:rStyle w:val="normaltextrun"/>
          <w:rFonts w:ascii="Verdana" w:hAnsi="Verdana" w:cs="Arial"/>
          <w:shd w:val="clear" w:color="auto" w:fill="FFFFFF"/>
          <w:lang w:val="es-ES"/>
        </w:rPr>
        <w:t xml:space="preserve"> en los </w:t>
      </w:r>
      <w:r>
        <w:rPr>
          <w:rStyle w:val="normaltextrun"/>
          <w:rFonts w:ascii="Verdana" w:hAnsi="Verdana" w:cs="Arial"/>
          <w:shd w:val="clear" w:color="auto" w:fill="FFFFFF"/>
          <w:lang w:val="es-ES"/>
        </w:rPr>
        <w:t>C</w:t>
      </w:r>
      <w:r w:rsidRPr="00916093">
        <w:rPr>
          <w:rStyle w:val="normaltextrun"/>
          <w:rFonts w:ascii="Verdana" w:hAnsi="Verdana" w:cs="Arial"/>
          <w:shd w:val="clear" w:color="auto" w:fill="FFFFFF"/>
          <w:lang w:val="es-ES"/>
        </w:rPr>
        <w:t>onceptos</w:t>
      </w:r>
      <w:r>
        <w:rPr>
          <w:rStyle w:val="normaltextrun"/>
          <w:rFonts w:ascii="Verdana" w:hAnsi="Verdana" w:cs="Arial"/>
          <w:shd w:val="clear" w:color="auto" w:fill="FFFFFF"/>
          <w:lang w:val="es-ES"/>
        </w:rPr>
        <w:t xml:space="preserve"> </w:t>
      </w:r>
      <w:r w:rsidRPr="005E688A">
        <w:rPr>
          <w:rStyle w:val="normaltextrun"/>
          <w:rFonts w:ascii="Verdana" w:hAnsi="Verdana" w:cs="Arial"/>
          <w:shd w:val="clear" w:color="auto" w:fill="FFFFFF"/>
          <w:lang w:val="es-ES"/>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w:t>
      </w:r>
      <w:r w:rsidRPr="005E688A">
        <w:rPr>
          <w:rStyle w:val="normaltextrun"/>
          <w:rFonts w:ascii="Verdana" w:hAnsi="Verdana" w:cs="Arial"/>
          <w:shd w:val="clear" w:color="auto" w:fill="FFFFFF"/>
          <w:lang w:val="es-ES"/>
        </w:rPr>
        <w:lastRenderedPageBreak/>
        <w:t>de 2021, C-815 del 18 de febrero de 2021, C-210 del 12 de mayo de 2021, C-275 del 11 de junio de 2021, C-321 del 2 de julio de 2021, C-410 del 7 de julio del 2021, C-491 del 14 de septiembre de 2021, C-028 del 28 de febrero de 2022, C-318 del 18 de mayo de 2022, C-252 del 30 de mayo de 2022</w:t>
      </w:r>
      <w:r>
        <w:rPr>
          <w:rStyle w:val="normaltextrun"/>
          <w:rFonts w:ascii="Verdana" w:hAnsi="Verdana" w:cs="Arial"/>
          <w:shd w:val="clear" w:color="auto" w:fill="FFFFFF"/>
          <w:lang w:val="es-ES"/>
        </w:rPr>
        <w:t>,</w:t>
      </w:r>
      <w:r w:rsidRPr="005E688A">
        <w:rPr>
          <w:rStyle w:val="normaltextrun"/>
          <w:rFonts w:ascii="Verdana" w:hAnsi="Verdana" w:cs="Arial"/>
          <w:shd w:val="clear" w:color="auto" w:fill="FFFFFF"/>
          <w:lang w:val="es-ES"/>
        </w:rPr>
        <w:t xml:space="preserve"> C-175 del 4 de mayo de 2023</w:t>
      </w:r>
      <w:r>
        <w:rPr>
          <w:rStyle w:val="normaltextrun"/>
          <w:rFonts w:ascii="Verdana" w:hAnsi="Verdana" w:cs="Arial"/>
          <w:shd w:val="clear" w:color="auto" w:fill="FFFFFF"/>
          <w:lang w:val="es-ES"/>
        </w:rPr>
        <w:t xml:space="preserve">, C-234 del 5 de julio de 2023, C-108 del 6 de agosto de 2024, C-136 del 6 de agosto de 2024, C-205 del 12 de septiembre de 2024, C-408 del 21 de agosto de 2024 , C-466 del 23 de septiembre de 2024 y C-693  del 9 de noviembre de 2024. </w:t>
      </w:r>
      <w:r w:rsidRPr="002F50E1">
        <w:rPr>
          <w:rFonts w:ascii="Verdana" w:hAnsi="Verdana" w:cs="Arial"/>
          <w:shd w:val="clear" w:color="auto" w:fill="FFFFFF"/>
          <w:lang w:val="es-ES"/>
        </w:rPr>
        <w:t>También se ha pronunciado sobre el conflicto de interés en los conceptos C-229 del 16 de abril de 2020, C-815 del 18 de febrero de 2021, C-449 del 31 de agosto de 2021, C-288 del 14 de julio de 2023, C-294 del 14 de agosto de 2024 y C-560 del 27 de septiembre de 2024.</w:t>
      </w:r>
      <w:r>
        <w:rPr>
          <w:rStyle w:val="normaltextrun"/>
          <w:rFonts w:ascii="Verdana" w:hAnsi="Verdana" w:cs="Arial"/>
          <w:shd w:val="clear" w:color="auto" w:fill="FFFFFF"/>
          <w:lang w:val="es-ES"/>
        </w:rPr>
        <w:t xml:space="preserve"> </w:t>
      </w: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w:t>
      </w:r>
    </w:p>
    <w:p w14:paraId="637094EE" w14:textId="77777777" w:rsidR="007E58B2" w:rsidRDefault="007E58B2" w:rsidP="007E58B2">
      <w:pPr>
        <w:widowControl w:val="0"/>
        <w:autoSpaceDE w:val="0"/>
        <w:autoSpaceDN w:val="0"/>
        <w:spacing w:after="0" w:line="276" w:lineRule="auto"/>
        <w:jc w:val="both"/>
        <w:rPr>
          <w:rFonts w:ascii="Verdana" w:hAnsi="Verdana" w:cs="Arial"/>
          <w:shd w:val="clear" w:color="auto" w:fill="FFFFFF"/>
        </w:rPr>
      </w:pPr>
    </w:p>
    <w:p w14:paraId="710E6A77" w14:textId="77777777" w:rsidR="007E58B2" w:rsidRPr="00FA4E56" w:rsidRDefault="007E58B2" w:rsidP="007E58B2">
      <w:pPr>
        <w:spacing w:after="0" w:line="276" w:lineRule="auto"/>
        <w:jc w:val="both"/>
        <w:rPr>
          <w:rFonts w:ascii="Verdana" w:hAnsi="Verdana" w:cs="Arial"/>
          <w:shd w:val="clear" w:color="auto" w:fill="FFFFFF"/>
        </w:rPr>
      </w:pPr>
      <w:r w:rsidRPr="00FA4E56">
        <w:rPr>
          <w:rFonts w:ascii="Verdana" w:hAnsi="Verdana" w:cs="Arial"/>
          <w:shd w:val="clear" w:color="auto" w:fill="FFFFFF"/>
        </w:rPr>
        <w:t>Le informamos que ya se encuentra disponible la </w:t>
      </w:r>
      <w:r w:rsidRPr="00FA4E56">
        <w:rPr>
          <w:rFonts w:ascii="Verdana" w:hAnsi="Verdana" w:cs="Arial"/>
          <w:b/>
          <w:bCs/>
          <w:shd w:val="clear" w:color="auto" w:fill="FFFFFF"/>
        </w:rPr>
        <w:t>Guía para el manejo de ofertas artificialmente bajas en Procesos de Contratación.</w:t>
      </w:r>
      <w:r w:rsidRPr="00FA4E56">
        <w:rPr>
          <w:rFonts w:ascii="Verdana" w:hAnsi="Verdana" w:cs="Arial"/>
          <w:shd w:val="clear" w:color="auto" w:fill="FFFFFF"/>
        </w:rPr>
        <w:t xml:space="preserve"> En este documento podrás consultar una serie de pautas para el manejo ofertas artificialmente bajas, en línea con las mejores prácticas internacionales en la materia. </w:t>
      </w:r>
      <w:r w:rsidRPr="00881A59">
        <w:rPr>
          <w:rFonts w:ascii="Verdana" w:hAnsi="Verdana" w:cs="Arial"/>
          <w:shd w:val="clear" w:color="auto" w:fill="FFFFFF"/>
        </w:rPr>
        <w:t>Puede consultar la versión actualizada en el siguiente enlace: </w:t>
      </w:r>
      <w:hyperlink r:id="rId12" w:tgtFrame="_blank" w:tooltip="Dirección URL original: https://www.colombiacompra.gov.co/manuales-guias-y-pliegos-tipo/manuales-y-guias/guia-para-el-manejo-de-ofertas-artificialmente-baja-0. Haga clic o pulse si confía en este vínculo." w:history="1">
        <w:r w:rsidRPr="00881A59">
          <w:rPr>
            <w:rStyle w:val="Hipervnculo"/>
            <w:rFonts w:ascii="Verdana" w:hAnsi="Verdana" w:cs="Arial"/>
            <w:shd w:val="clear" w:color="auto" w:fill="FFFFFF"/>
          </w:rPr>
          <w:t>https://www.colombiacompra.gov.co/manuales-guias-y-pliegos-tipo/manuales-y-guias/guia-para-el-manejo-de-ofertas-artificialmente-baja-0</w:t>
        </w:r>
      </w:hyperlink>
      <w:r w:rsidRPr="00FA4E56">
        <w:rPr>
          <w:rFonts w:ascii="Verdana" w:hAnsi="Verdana" w:cs="Arial"/>
          <w:u w:val="single"/>
          <w:shd w:val="clear" w:color="auto" w:fill="FFFFFF"/>
        </w:rPr>
        <w:t> </w:t>
      </w:r>
    </w:p>
    <w:p w14:paraId="511748AC" w14:textId="77777777" w:rsidR="007E58B2" w:rsidRDefault="007E58B2" w:rsidP="007E58B2">
      <w:pPr>
        <w:spacing w:after="0" w:line="276" w:lineRule="auto"/>
        <w:jc w:val="both"/>
        <w:rPr>
          <w:rFonts w:ascii="Verdana" w:hAnsi="Verdana" w:cs="Arial"/>
          <w:shd w:val="clear" w:color="auto" w:fill="FFFFFF"/>
        </w:rPr>
      </w:pPr>
    </w:p>
    <w:p w14:paraId="054BC8A1" w14:textId="77777777" w:rsidR="007E58B2" w:rsidRPr="00881A59" w:rsidRDefault="007E58B2" w:rsidP="007E58B2">
      <w:pPr>
        <w:pStyle w:val="Sinespaciado"/>
        <w:spacing w:line="276" w:lineRule="auto"/>
        <w:jc w:val="both"/>
        <w:rPr>
          <w:rFonts w:ascii="Verdana" w:hAnsi="Verdana"/>
          <w:sz w:val="22"/>
          <w:shd w:val="clear" w:color="auto" w:fill="FFFFFF"/>
        </w:rPr>
      </w:pPr>
      <w:r w:rsidRPr="00881A59">
        <w:rPr>
          <w:rFonts w:ascii="Verdana" w:hAnsi="Verdana"/>
          <w:sz w:val="22"/>
          <w:shd w:val="clear" w:color="auto" w:fill="FFFFFF"/>
        </w:rPr>
        <w:t>De otra parte, te contamos que ya publicamos la </w:t>
      </w:r>
      <w:r w:rsidRPr="00881A59">
        <w:rPr>
          <w:rFonts w:ascii="Verdana" w:hAnsi="Verdana"/>
          <w:b/>
          <w:bCs/>
          <w:sz w:val="22"/>
          <w:shd w:val="clear" w:color="auto" w:fill="FFFFFF"/>
        </w:rPr>
        <w:t>Guía para incentivar la participación de Mujeres en el Sistema de Compras y Contratación Pública</w:t>
      </w:r>
      <w:r w:rsidRPr="00881A59">
        <w:rPr>
          <w:rFonts w:ascii="Verdana" w:hAnsi="Verdana"/>
          <w:sz w:val="22"/>
          <w:shd w:val="clear" w:color="auto" w:fill="FFFFFF"/>
        </w:rPr>
        <w:t>. Esta guía tiene como finalidad ofrecer información de valor para que las Entidades Estatales fomenten de manera efectiva la participación de las mujeres en el mercado de compras públicas. Puedes consultar la guía en el siguiente enlace: </w:t>
      </w:r>
      <w:hyperlink r:id="rId13" w:tgtFrame="_blank" w:tooltip="Dirección URL original: https://www.colombiacompra.gov.co/manuales-guias-y-pliegos-tipo/manuales-y-guias/guia-para-incentivar-la-participacion-de-las-mujeres. Haga clic o pulse si confía en este vínculo." w:history="1">
        <w:r w:rsidRPr="00881A59">
          <w:rPr>
            <w:rStyle w:val="Hipervnculo"/>
            <w:rFonts w:ascii="Verdana" w:hAnsi="Verdana" w:cs="Arial"/>
            <w:sz w:val="22"/>
            <w:shd w:val="clear" w:color="auto" w:fill="FFFFFF"/>
          </w:rPr>
          <w:t>https://www.colombiacompra.gov.co/manuales-guias-y-pliegos-tipo/manuales-y-guias/guia-para-incentivar-la-participacion-de-las-mujeres</w:t>
        </w:r>
      </w:hyperlink>
    </w:p>
    <w:p w14:paraId="475C694F" w14:textId="77777777" w:rsidR="007E58B2" w:rsidRDefault="007E58B2" w:rsidP="007E58B2">
      <w:pPr>
        <w:spacing w:after="0" w:line="276" w:lineRule="auto"/>
        <w:jc w:val="both"/>
        <w:rPr>
          <w:rFonts w:ascii="Verdana" w:hAnsi="Verdana" w:cs="Arial"/>
          <w:shd w:val="clear" w:color="auto" w:fill="FFFFFF"/>
        </w:rPr>
      </w:pPr>
    </w:p>
    <w:p w14:paraId="3F40C49B" w14:textId="77777777" w:rsidR="007E58B2" w:rsidRPr="00881A59" w:rsidRDefault="007E58B2" w:rsidP="007E58B2">
      <w:pPr>
        <w:spacing w:after="0" w:line="276" w:lineRule="auto"/>
        <w:jc w:val="both"/>
        <w:rPr>
          <w:rFonts w:ascii="Verdana" w:hAnsi="Verdana" w:cs="Arial"/>
          <w:shd w:val="clear" w:color="auto" w:fill="FFFFFF"/>
        </w:rPr>
      </w:pPr>
      <w:r w:rsidRPr="00881A59">
        <w:rPr>
          <w:rFonts w:ascii="Verdana" w:hAnsi="Verdana" w:cs="Arial"/>
          <w:shd w:val="clear" w:color="auto" w:fill="FFFFFF"/>
        </w:rPr>
        <w:t>También te invitamos a consultar la </w:t>
      </w:r>
      <w:r w:rsidRPr="00881A59">
        <w:rPr>
          <w:rFonts w:ascii="Verdana" w:hAnsi="Verdana" w:cs="Arial"/>
          <w:b/>
          <w:bCs/>
          <w:shd w:val="clear" w:color="auto" w:fill="FFFFFF"/>
        </w:rPr>
        <w:t>versión VIII de 2024</w:t>
      </w:r>
      <w:r w:rsidRPr="00881A59">
        <w:rPr>
          <w:rFonts w:ascii="Verdana" w:hAnsi="Verdana" w:cs="Arial"/>
          <w:shd w:val="clear" w:color="auto" w:fill="FFFFFF"/>
        </w:rPr>
        <w:t>, del </w:t>
      </w:r>
      <w:r w:rsidRPr="00881A59">
        <w:rPr>
          <w:rFonts w:ascii="Verdana" w:hAnsi="Verdana" w:cs="Arial"/>
          <w:b/>
          <w:bCs/>
          <w:shd w:val="clear" w:color="auto" w:fill="FFFFFF"/>
        </w:rPr>
        <w:t>Boletín de Relatoría</w:t>
      </w:r>
      <w:r w:rsidRPr="00881A59">
        <w:rPr>
          <w:rFonts w:ascii="Verdana" w:hAnsi="Verdana" w:cs="Arial"/>
          <w:shd w:val="clear" w:color="auto" w:fill="FFFFFF"/>
        </w:rPr>
        <w:t xml:space="preserve"> de la Subdirección de Gestión Contractual relacionado con la participación de las MIPYMES en los procesos de compra y contratación pública, el cual se puede descargar en la página web de la </w:t>
      </w:r>
      <w:r w:rsidRPr="00881A59">
        <w:rPr>
          <w:rFonts w:ascii="Verdana" w:hAnsi="Verdana" w:cs="Arial"/>
          <w:shd w:val="clear" w:color="auto" w:fill="FFFFFF"/>
        </w:rPr>
        <w:lastRenderedPageBreak/>
        <w:t>Agencia: </w:t>
      </w:r>
      <w:hyperlink r:id="rId14" w:tgtFrame="_blank" w:tooltip="Dirección URL original: https://www.colombiacompra.gov.co/sites/cce_public/files/files_2020/boletin_de_realtoria_viii.pdf. Haga clic o pulse si confía en este vínculo." w:history="1">
        <w:r w:rsidRPr="00881A59">
          <w:rPr>
            <w:rStyle w:val="Hipervnculo"/>
            <w:rFonts w:ascii="Verdana" w:hAnsi="Verdana" w:cs="Arial"/>
            <w:shd w:val="clear" w:color="auto" w:fill="FFFFFF"/>
          </w:rPr>
          <w:t>https://www.colombiacompra.gov.co/sites/cce_public/files/files_2020/boletin_de_realtoria_viii.pdf</w:t>
        </w:r>
      </w:hyperlink>
    </w:p>
    <w:p w14:paraId="32C33E09" w14:textId="77777777" w:rsidR="007E58B2" w:rsidRPr="00881A59" w:rsidRDefault="007E58B2" w:rsidP="007E58B2">
      <w:pPr>
        <w:spacing w:after="0" w:line="240" w:lineRule="auto"/>
        <w:jc w:val="both"/>
        <w:rPr>
          <w:rFonts w:ascii="Verdana" w:hAnsi="Verdana" w:cs="Arial"/>
          <w:shd w:val="clear" w:color="auto" w:fill="FFFFFF"/>
        </w:rPr>
      </w:pPr>
    </w:p>
    <w:p w14:paraId="072F9CF0" w14:textId="77777777" w:rsidR="007E58B2" w:rsidRPr="0011467B" w:rsidRDefault="007E58B2" w:rsidP="007E58B2">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48A46978" w14:textId="77777777" w:rsidR="007E58B2" w:rsidRPr="0011467B" w:rsidRDefault="007E58B2" w:rsidP="007E58B2">
      <w:pPr>
        <w:spacing w:after="0" w:line="240" w:lineRule="auto"/>
        <w:jc w:val="both"/>
        <w:rPr>
          <w:rFonts w:ascii="Verdana" w:hAnsi="Verdana"/>
        </w:rPr>
      </w:pPr>
    </w:p>
    <w:p w14:paraId="666F08F8" w14:textId="77777777" w:rsidR="007E58B2" w:rsidRPr="0011467B" w:rsidRDefault="007E58B2" w:rsidP="007E58B2">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4CB7ECE8" w14:textId="77777777" w:rsidR="007E58B2" w:rsidRPr="0011467B" w:rsidRDefault="007E58B2" w:rsidP="007E58B2">
      <w:pPr>
        <w:spacing w:after="0" w:line="240" w:lineRule="auto"/>
        <w:jc w:val="both"/>
        <w:rPr>
          <w:rFonts w:ascii="Verdana" w:hAnsi="Verdana"/>
        </w:rPr>
      </w:pPr>
      <w:r w:rsidRPr="0011467B">
        <w:rPr>
          <w:rFonts w:ascii="Verdana" w:hAnsi="Verdana"/>
        </w:rPr>
        <w:t xml:space="preserve">Facebook: </w:t>
      </w:r>
      <w:proofErr w:type="spellStart"/>
      <w:r w:rsidRPr="0011467B">
        <w:rPr>
          <w:rStyle w:val="Hipervnculo"/>
          <w:rFonts w:ascii="Verdana" w:hAnsi="Verdana"/>
          <w:color w:val="4472C4" w:themeColor="accent1"/>
        </w:rPr>
        <w:t>ColombiaCompraEficiente</w:t>
      </w:r>
      <w:proofErr w:type="spellEnd"/>
    </w:p>
    <w:p w14:paraId="47085FD1" w14:textId="77777777" w:rsidR="007E58B2" w:rsidRPr="0011467B" w:rsidRDefault="007E58B2" w:rsidP="007E58B2">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27509F1B" w14:textId="77777777" w:rsidR="007E58B2" w:rsidRPr="0011467B" w:rsidRDefault="007E58B2" w:rsidP="007E58B2">
      <w:pPr>
        <w:spacing w:after="120" w:line="276" w:lineRule="auto"/>
        <w:jc w:val="both"/>
        <w:rPr>
          <w:rFonts w:ascii="Verdana" w:hAnsi="Verdana" w:cs="Arial"/>
          <w:lang w:val="es-ES"/>
        </w:rPr>
      </w:pPr>
    </w:p>
    <w:p w14:paraId="75F4059D" w14:textId="4AFEC150" w:rsidR="007E58B2" w:rsidRDefault="007E58B2" w:rsidP="007E58B2">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B58B59D" w14:textId="77777777" w:rsidR="00022ABF" w:rsidRPr="00022ABF" w:rsidRDefault="00022ABF" w:rsidP="007E58B2">
      <w:pPr>
        <w:spacing w:after="120" w:line="276" w:lineRule="auto"/>
        <w:jc w:val="both"/>
        <w:rPr>
          <w:rFonts w:ascii="Verdana" w:hAnsi="Verdana" w:cs="Arial"/>
          <w:color w:val="000000" w:themeColor="text1"/>
          <w:lang w:val="es-ES_tradnl"/>
        </w:rPr>
      </w:pPr>
    </w:p>
    <w:p w14:paraId="2D884B0D" w14:textId="77777777" w:rsidR="007E58B2" w:rsidRPr="001B7C94" w:rsidRDefault="007E58B2" w:rsidP="007E58B2">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7523F0E1" w14:textId="459461C5" w:rsidR="007E58B2" w:rsidRPr="00F25294" w:rsidRDefault="007C4023" w:rsidP="00F25294">
      <w:pPr>
        <w:spacing w:after="0" w:line="276" w:lineRule="auto"/>
        <w:jc w:val="center"/>
        <w:rPr>
          <w:rFonts w:ascii="Verdana" w:eastAsia="Times New Roman" w:hAnsi="Verdana" w:cs="Arial"/>
          <w:color w:val="000000"/>
          <w:lang w:val="es-ES_tradnl" w:eastAsia="es-CO"/>
        </w:rPr>
      </w:pPr>
      <w:bookmarkStart w:id="7" w:name="_Hlk184289275"/>
      <w:r w:rsidRPr="004D5C25">
        <w:rPr>
          <w:rFonts w:ascii="Century Gothic" w:hAnsi="Century Gothic"/>
          <w:noProof/>
        </w:rPr>
        <w:drawing>
          <wp:inline distT="0" distB="0" distL="0" distR="0" wp14:anchorId="3375A202" wp14:editId="42D4EE3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7E58B2" w:rsidRPr="008F3D03" w14:paraId="71F1A7C2" w14:textId="77777777" w:rsidTr="009D67F1">
        <w:trPr>
          <w:trHeight w:val="409"/>
        </w:trPr>
        <w:tc>
          <w:tcPr>
            <w:tcW w:w="913" w:type="dxa"/>
            <w:tcBorders>
              <w:top w:val="nil"/>
              <w:left w:val="nil"/>
              <w:bottom w:val="nil"/>
              <w:right w:val="nil"/>
            </w:tcBorders>
            <w:vAlign w:val="center"/>
            <w:hideMark/>
          </w:tcPr>
          <w:p w14:paraId="7EDCE2FE" w14:textId="77777777" w:rsidR="007E58B2" w:rsidRPr="008F3D03" w:rsidRDefault="007E58B2" w:rsidP="009D67F1">
            <w:pPr>
              <w:pStyle w:val="Sinespaciado"/>
              <w:rPr>
                <w:rFonts w:ascii="Verdana" w:hAnsi="Verdana"/>
                <w:sz w:val="16"/>
                <w:szCs w:val="16"/>
              </w:rPr>
            </w:pPr>
            <w:r w:rsidRPr="008F3D03">
              <w:rPr>
                <w:rFonts w:ascii="Verdana" w:hAnsi="Verdana"/>
                <w:sz w:val="16"/>
                <w:szCs w:val="16"/>
              </w:rPr>
              <w:t>Elaboró: </w:t>
            </w:r>
          </w:p>
        </w:tc>
        <w:tc>
          <w:tcPr>
            <w:tcW w:w="5525" w:type="dxa"/>
            <w:tcBorders>
              <w:top w:val="nil"/>
              <w:left w:val="nil"/>
              <w:bottom w:val="dotted" w:sz="6" w:space="0" w:color="7F7F7F" w:themeColor="text1" w:themeTint="80"/>
              <w:right w:val="nil"/>
            </w:tcBorders>
            <w:vAlign w:val="center"/>
            <w:hideMark/>
          </w:tcPr>
          <w:p w14:paraId="7AFD22D4" w14:textId="77777777" w:rsidR="007E58B2" w:rsidRPr="008F3D03" w:rsidRDefault="007E58B2" w:rsidP="009D67F1">
            <w:pPr>
              <w:pStyle w:val="Sinespaciado"/>
              <w:rPr>
                <w:rFonts w:ascii="Verdana" w:hAnsi="Verdana"/>
                <w:sz w:val="16"/>
                <w:szCs w:val="16"/>
              </w:rPr>
            </w:pPr>
            <w:r w:rsidRPr="008F3D03">
              <w:rPr>
                <w:rFonts w:ascii="Verdana" w:hAnsi="Verdana"/>
                <w:sz w:val="16"/>
                <w:szCs w:val="16"/>
              </w:rPr>
              <w:t>Keila Margarita Reyes Cassiani</w:t>
            </w:r>
          </w:p>
          <w:p w14:paraId="5C2E2942" w14:textId="77777777" w:rsidR="007E58B2" w:rsidRPr="008F3D03" w:rsidRDefault="007E58B2" w:rsidP="009D67F1">
            <w:pPr>
              <w:pStyle w:val="Sinespaciado"/>
              <w:rPr>
                <w:rFonts w:ascii="Verdana" w:hAnsi="Verdana"/>
                <w:sz w:val="16"/>
                <w:szCs w:val="16"/>
              </w:rPr>
            </w:pPr>
            <w:r w:rsidRPr="008F3D03">
              <w:rPr>
                <w:rFonts w:ascii="Verdana" w:hAnsi="Verdana"/>
                <w:sz w:val="16"/>
                <w:szCs w:val="16"/>
              </w:rPr>
              <w:t>Contratista de la Subdirección de Gestión Contractual</w:t>
            </w:r>
          </w:p>
        </w:tc>
      </w:tr>
      <w:tr w:rsidR="007E58B2" w:rsidRPr="008F3D03" w14:paraId="6F33D8AE" w14:textId="77777777" w:rsidTr="009D67F1">
        <w:trPr>
          <w:trHeight w:val="409"/>
        </w:trPr>
        <w:tc>
          <w:tcPr>
            <w:tcW w:w="913" w:type="dxa"/>
            <w:tcBorders>
              <w:top w:val="nil"/>
              <w:left w:val="nil"/>
              <w:right w:val="nil"/>
            </w:tcBorders>
            <w:vAlign w:val="center"/>
          </w:tcPr>
          <w:p w14:paraId="5EBDB510" w14:textId="77777777" w:rsidR="007E58B2" w:rsidRPr="008F3D03" w:rsidRDefault="007E58B2" w:rsidP="009D67F1">
            <w:pPr>
              <w:pStyle w:val="Sinespaciado"/>
              <w:rPr>
                <w:rFonts w:ascii="Verdana" w:hAnsi="Verdana"/>
                <w:sz w:val="16"/>
                <w:szCs w:val="16"/>
              </w:rPr>
            </w:pPr>
            <w:r w:rsidRPr="008F3D03">
              <w:rPr>
                <w:rFonts w:ascii="Verdana" w:hAnsi="Verdana"/>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2ED7FCC2" w14:textId="77777777" w:rsidR="007E58B2" w:rsidRPr="00DB79A9" w:rsidRDefault="007E58B2" w:rsidP="009D67F1">
            <w:pPr>
              <w:pStyle w:val="Sinespaciado"/>
              <w:rPr>
                <w:rFonts w:ascii="Verdana" w:hAnsi="Verdana"/>
                <w:sz w:val="16"/>
                <w:szCs w:val="16"/>
              </w:rPr>
            </w:pPr>
            <w:r w:rsidRPr="00DB79A9">
              <w:rPr>
                <w:rFonts w:ascii="Verdana" w:hAnsi="Verdana"/>
                <w:sz w:val="16"/>
                <w:szCs w:val="16"/>
              </w:rPr>
              <w:t>Ximena Ríos López</w:t>
            </w:r>
          </w:p>
          <w:p w14:paraId="2F085F11" w14:textId="77777777" w:rsidR="007E58B2" w:rsidRPr="008F3D03" w:rsidRDefault="007E58B2" w:rsidP="009D67F1">
            <w:pPr>
              <w:pStyle w:val="Sinespaciado"/>
            </w:pPr>
            <w:r w:rsidRPr="00DB79A9">
              <w:rPr>
                <w:rFonts w:ascii="Verdana" w:eastAsia="Arial" w:hAnsi="Verdana" w:cs="Arial"/>
                <w:color w:val="000000" w:themeColor="text1"/>
                <w:sz w:val="16"/>
                <w:szCs w:val="16"/>
                <w:lang w:val="es-CO"/>
              </w:rPr>
              <w:t xml:space="preserve">Gestor T1 </w:t>
            </w:r>
            <w:r>
              <w:rPr>
                <w:rFonts w:ascii="Verdana" w:eastAsia="Arial" w:hAnsi="Verdana" w:cs="Arial"/>
                <w:color w:val="000000" w:themeColor="text1"/>
                <w:sz w:val="16"/>
                <w:szCs w:val="16"/>
                <w:lang w:val="es-CO"/>
              </w:rPr>
              <w:t>-</w:t>
            </w:r>
            <w:r w:rsidRPr="00DB79A9">
              <w:rPr>
                <w:rFonts w:ascii="Verdana" w:eastAsia="Arial" w:hAnsi="Verdana" w:cs="Arial"/>
                <w:color w:val="000000" w:themeColor="text1"/>
                <w:sz w:val="16"/>
                <w:szCs w:val="16"/>
                <w:lang w:val="es-CO"/>
              </w:rPr>
              <w:t>G-11</w:t>
            </w:r>
            <w:r>
              <w:rPr>
                <w:rFonts w:ascii="Verdana" w:eastAsia="Arial" w:hAnsi="Verdana" w:cs="Arial"/>
                <w:color w:val="000000" w:themeColor="text1"/>
                <w:sz w:val="16"/>
                <w:szCs w:val="16"/>
                <w:lang w:val="es-CO"/>
              </w:rPr>
              <w:t xml:space="preserve"> </w:t>
            </w:r>
            <w:r w:rsidRPr="00DB79A9">
              <w:rPr>
                <w:rStyle w:val="normaltextrun"/>
                <w:rFonts w:ascii="Verdana" w:eastAsia="Arial" w:hAnsi="Verdana" w:cs="Arial"/>
                <w:color w:val="000000" w:themeColor="text1"/>
                <w:sz w:val="16"/>
                <w:szCs w:val="16"/>
              </w:rPr>
              <w:t>de la Subdirección de Gestión Contractual</w:t>
            </w:r>
          </w:p>
        </w:tc>
      </w:tr>
      <w:tr w:rsidR="007E58B2" w:rsidRPr="008F3D03" w14:paraId="29FEC0AD" w14:textId="77777777" w:rsidTr="009D67F1">
        <w:trPr>
          <w:trHeight w:val="389"/>
        </w:trPr>
        <w:tc>
          <w:tcPr>
            <w:tcW w:w="913" w:type="dxa"/>
            <w:tcBorders>
              <w:top w:val="nil"/>
              <w:left w:val="nil"/>
              <w:bottom w:val="nil"/>
              <w:right w:val="nil"/>
            </w:tcBorders>
            <w:vAlign w:val="center"/>
            <w:hideMark/>
          </w:tcPr>
          <w:p w14:paraId="330C6C52" w14:textId="77777777" w:rsidR="007E58B2" w:rsidRPr="008F3D03" w:rsidRDefault="007E58B2" w:rsidP="009D67F1">
            <w:pPr>
              <w:pStyle w:val="Sinespaciado"/>
              <w:rPr>
                <w:rFonts w:ascii="Verdana" w:hAnsi="Verdana"/>
                <w:sz w:val="16"/>
                <w:szCs w:val="16"/>
              </w:rPr>
            </w:pPr>
            <w:r w:rsidRPr="008F3D03">
              <w:rPr>
                <w:rFonts w:ascii="Verdana" w:hAnsi="Verdana"/>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7EA448D9" w14:textId="77777777" w:rsidR="007E58B2" w:rsidRPr="008F3D03" w:rsidRDefault="007E58B2" w:rsidP="009D67F1">
            <w:pPr>
              <w:pStyle w:val="Sinespaciado"/>
              <w:rPr>
                <w:rFonts w:ascii="Verdana" w:eastAsia="Calibri" w:hAnsi="Verdana"/>
                <w:sz w:val="16"/>
                <w:szCs w:val="16"/>
                <w:lang w:val="pt-BR" w:eastAsia="es-ES"/>
              </w:rPr>
            </w:pPr>
            <w:r w:rsidRPr="008F3D03">
              <w:rPr>
                <w:rFonts w:ascii="Verdana" w:eastAsia="Calibri" w:hAnsi="Verdana"/>
                <w:sz w:val="16"/>
                <w:szCs w:val="16"/>
                <w:lang w:val="pt-BR" w:eastAsia="es-ES"/>
              </w:rPr>
              <w:t xml:space="preserve">Carolina Quintero </w:t>
            </w:r>
            <w:proofErr w:type="spellStart"/>
            <w:r w:rsidRPr="008F3D03">
              <w:rPr>
                <w:rFonts w:ascii="Verdana" w:eastAsia="Calibri" w:hAnsi="Verdana"/>
                <w:sz w:val="16"/>
                <w:szCs w:val="16"/>
                <w:lang w:val="pt-BR" w:eastAsia="es-ES"/>
              </w:rPr>
              <w:t>Gacharná</w:t>
            </w:r>
            <w:proofErr w:type="spellEnd"/>
          </w:p>
          <w:p w14:paraId="7F8B9C79" w14:textId="77777777" w:rsidR="007E58B2" w:rsidRPr="008F3D03" w:rsidRDefault="007E58B2" w:rsidP="009D67F1">
            <w:pPr>
              <w:pStyle w:val="Sinespaciado"/>
              <w:rPr>
                <w:rFonts w:ascii="Verdana" w:hAnsi="Verdana"/>
                <w:sz w:val="16"/>
                <w:szCs w:val="16"/>
              </w:rPr>
            </w:pPr>
            <w:r w:rsidRPr="008F3D03">
              <w:rPr>
                <w:rFonts w:ascii="Verdana" w:hAnsi="Verdana"/>
                <w:sz w:val="16"/>
                <w:szCs w:val="16"/>
              </w:rPr>
              <w:t>Subdirectora de Gestión Contractual ANCP – CCE</w:t>
            </w:r>
          </w:p>
        </w:tc>
      </w:tr>
      <w:bookmarkEnd w:id="0"/>
      <w:bookmarkEnd w:id="7"/>
    </w:tbl>
    <w:p w14:paraId="3900974D" w14:textId="0CC41D01" w:rsidR="003D5B0D" w:rsidRPr="00556C23" w:rsidRDefault="003D5B0D" w:rsidP="00556C23"/>
    <w:sectPr w:rsidR="003D5B0D" w:rsidRPr="00556C23" w:rsidSect="000F37DF">
      <w:headerReference w:type="default" r:id="rId16"/>
      <w:footerReference w:type="default" r:id="rId17"/>
      <w:pgSz w:w="12240" w:h="15840" w:code="1"/>
      <w:pgMar w:top="1417" w:right="1701" w:bottom="1417" w:left="1701"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3C52" w14:textId="77777777" w:rsidR="00E165D8" w:rsidRDefault="00E165D8" w:rsidP="004A1847">
      <w:pPr>
        <w:spacing w:after="0" w:line="240" w:lineRule="auto"/>
      </w:pPr>
      <w:r>
        <w:separator/>
      </w:r>
    </w:p>
  </w:endnote>
  <w:endnote w:type="continuationSeparator" w:id="0">
    <w:p w14:paraId="6831237A" w14:textId="77777777" w:rsidR="00E165D8" w:rsidRDefault="00E165D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12D4" w14:textId="77777777" w:rsidR="00E165D8" w:rsidRDefault="00E165D8" w:rsidP="004A1847">
      <w:pPr>
        <w:spacing w:after="0" w:line="240" w:lineRule="auto"/>
      </w:pPr>
      <w:r>
        <w:separator/>
      </w:r>
    </w:p>
  </w:footnote>
  <w:footnote w:type="continuationSeparator" w:id="0">
    <w:p w14:paraId="3AE3DA7A" w14:textId="77777777" w:rsidR="00E165D8" w:rsidRDefault="00E165D8" w:rsidP="004A1847">
      <w:pPr>
        <w:spacing w:after="0" w:line="240" w:lineRule="auto"/>
      </w:pPr>
      <w:r>
        <w:continuationSeparator/>
      </w:r>
    </w:p>
  </w:footnote>
  <w:footnote w:id="1">
    <w:p w14:paraId="053EC4AD" w14:textId="77777777" w:rsidR="007E58B2" w:rsidRDefault="007E58B2" w:rsidP="007E58B2">
      <w:pPr>
        <w:pStyle w:val="Textonotapie"/>
        <w:ind w:firstLine="708"/>
        <w:jc w:val="both"/>
        <w:rPr>
          <w:rFonts w:ascii="Arial" w:hAnsi="Arial" w:cs="Arial"/>
          <w:sz w:val="10"/>
          <w:szCs w:val="10"/>
        </w:rPr>
      </w:pPr>
      <w:r>
        <w:rPr>
          <w:rStyle w:val="Refdenotaalpie"/>
          <w:rFonts w:ascii="Arial" w:hAnsi="Arial" w:cs="Arial"/>
          <w:sz w:val="10"/>
          <w:szCs w:val="10"/>
        </w:rPr>
        <w:footnoteRef/>
      </w:r>
      <w:r>
        <w:rPr>
          <w:rFonts w:ascii="Arial" w:hAnsi="Arial" w:cs="Arial"/>
          <w:sz w:val="10"/>
          <w:szCs w:val="10"/>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sz w:val="10"/>
          <w:szCs w:val="10"/>
        </w:rPr>
        <w:t xml:space="preserve">ibidem </w:t>
      </w:r>
      <w:r>
        <w:rPr>
          <w:rFonts w:ascii="Arial" w:hAnsi="Arial" w:cs="Arial"/>
          <w:sz w:val="10"/>
          <w:szCs w:val="10"/>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40BDD9D" w14:textId="77777777" w:rsidR="007E58B2" w:rsidRDefault="007E58B2" w:rsidP="007E58B2">
      <w:pPr>
        <w:pStyle w:val="Textonotapie"/>
        <w:ind w:firstLine="708"/>
        <w:jc w:val="both"/>
        <w:rPr>
          <w:rFonts w:ascii="Arial" w:hAnsi="Arial" w:cs="Arial"/>
          <w:sz w:val="10"/>
          <w:szCs w:val="10"/>
          <w:lang w:val="es-ES"/>
        </w:rPr>
      </w:pPr>
    </w:p>
  </w:footnote>
  <w:footnote w:id="2">
    <w:p w14:paraId="6641B5C9" w14:textId="77777777" w:rsidR="007E58B2" w:rsidRPr="00DE59D0" w:rsidRDefault="007E58B2" w:rsidP="007E58B2">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CORTE CONSTITUCIONAL. Sentencia C-1016 de 2012. M.P. Jorge Iván Palacio. </w:t>
      </w:r>
    </w:p>
    <w:p w14:paraId="01E7D37D" w14:textId="77777777" w:rsidR="007E58B2" w:rsidRPr="00DE59D0" w:rsidRDefault="007E58B2" w:rsidP="007E58B2">
      <w:pPr>
        <w:pStyle w:val="Textonotapie"/>
        <w:ind w:firstLine="709"/>
        <w:jc w:val="both"/>
        <w:rPr>
          <w:rFonts w:ascii="Verdana" w:hAnsi="Verdana" w:cs="Arial"/>
          <w:sz w:val="10"/>
          <w:szCs w:val="10"/>
          <w:lang w:val="pt-BR"/>
        </w:rPr>
      </w:pPr>
    </w:p>
  </w:footnote>
  <w:footnote w:id="3">
    <w:p w14:paraId="35A9125D" w14:textId="77777777" w:rsidR="007E58B2" w:rsidRPr="00DE59D0" w:rsidRDefault="007E58B2" w:rsidP="007E58B2">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A. Sentencia del 13 de noviembre de 2013. </w:t>
      </w:r>
      <w:r w:rsidRPr="00DE59D0">
        <w:rPr>
          <w:rFonts w:ascii="Verdana" w:hAnsi="Verdana" w:cs="Arial"/>
          <w:sz w:val="10"/>
          <w:szCs w:val="10"/>
          <w:lang w:val="pt-BR"/>
        </w:rPr>
        <w:t xml:space="preserve">Rad. 25.646. C.P. Mauricio Fajardo Gómez.  </w:t>
      </w:r>
    </w:p>
    <w:p w14:paraId="32325D38" w14:textId="77777777" w:rsidR="007E58B2" w:rsidRPr="00DE59D0" w:rsidRDefault="007E58B2" w:rsidP="007E58B2">
      <w:pPr>
        <w:pStyle w:val="Textonotapie"/>
        <w:ind w:firstLine="709"/>
        <w:jc w:val="both"/>
        <w:rPr>
          <w:rFonts w:ascii="Verdana" w:hAnsi="Verdana" w:cs="Arial"/>
          <w:sz w:val="10"/>
          <w:szCs w:val="10"/>
          <w:lang w:val="pt-BR"/>
        </w:rPr>
      </w:pPr>
    </w:p>
  </w:footnote>
  <w:footnote w:id="4">
    <w:p w14:paraId="512EF93F" w14:textId="77777777" w:rsidR="007E58B2" w:rsidRPr="00DE59D0" w:rsidRDefault="007E58B2" w:rsidP="007E58B2">
      <w:pPr>
        <w:pStyle w:val="Textonotapie"/>
        <w:ind w:firstLine="709"/>
        <w:jc w:val="both"/>
        <w:rPr>
          <w:rFonts w:ascii="Verdana" w:hAnsi="Verdana" w:cs="Arial"/>
          <w:sz w:val="10"/>
          <w:szCs w:val="10"/>
          <w:lang w:val="pt-BR"/>
        </w:rPr>
      </w:pPr>
      <w:r w:rsidRPr="00DE59D0">
        <w:rPr>
          <w:rFonts w:ascii="Verdana" w:hAnsi="Verdana" w:cs="Arial"/>
          <w:sz w:val="10"/>
          <w:szCs w:val="10"/>
          <w:vertAlign w:val="superscript"/>
        </w:rPr>
        <w:footnoteRef/>
      </w:r>
      <w:r w:rsidRPr="00DE59D0">
        <w:rPr>
          <w:rFonts w:ascii="Verdana" w:hAnsi="Verdana" w:cs="Arial"/>
          <w:sz w:val="10"/>
          <w:szCs w:val="10"/>
          <w:lang w:val="pt-BR"/>
        </w:rPr>
        <w:t xml:space="preserve"> CORTE CONSTITUCIONAL. Sentencia C-415 de 1994. M.P. Eduardo Cifuentes Muñoz. </w:t>
      </w:r>
    </w:p>
    <w:p w14:paraId="121CBFCE" w14:textId="77777777" w:rsidR="007E58B2" w:rsidRPr="00DE59D0" w:rsidRDefault="007E58B2" w:rsidP="007E58B2">
      <w:pPr>
        <w:pStyle w:val="Textonotapie"/>
        <w:ind w:firstLine="709"/>
        <w:jc w:val="both"/>
        <w:rPr>
          <w:rFonts w:ascii="Verdana" w:hAnsi="Verdana" w:cs="Arial"/>
          <w:sz w:val="10"/>
          <w:szCs w:val="10"/>
          <w:lang w:val="pt-BR"/>
        </w:rPr>
      </w:pPr>
    </w:p>
  </w:footnote>
  <w:footnote w:id="5">
    <w:p w14:paraId="73F6F41C" w14:textId="77777777" w:rsidR="007E58B2" w:rsidRPr="00DE59D0" w:rsidRDefault="007E58B2" w:rsidP="007E58B2">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Ibídem. </w:t>
      </w:r>
    </w:p>
    <w:p w14:paraId="63FFD1CD" w14:textId="77777777" w:rsidR="007E58B2" w:rsidRPr="00DE59D0" w:rsidRDefault="007E58B2" w:rsidP="007E58B2">
      <w:pPr>
        <w:pStyle w:val="Textonotapie"/>
        <w:ind w:firstLine="709"/>
        <w:jc w:val="both"/>
        <w:rPr>
          <w:rFonts w:ascii="Verdana" w:hAnsi="Verdana" w:cs="Arial"/>
          <w:sz w:val="10"/>
          <w:szCs w:val="10"/>
          <w:lang w:val="pt-BR"/>
        </w:rPr>
      </w:pPr>
    </w:p>
  </w:footnote>
  <w:footnote w:id="6">
    <w:p w14:paraId="68209A95" w14:textId="77777777" w:rsidR="007E58B2" w:rsidRPr="00DE59D0" w:rsidRDefault="007E58B2" w:rsidP="007E58B2">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CORTE CONSTITUCIONAL. </w:t>
      </w:r>
      <w:r w:rsidRPr="00DE59D0">
        <w:rPr>
          <w:rFonts w:ascii="Verdana" w:hAnsi="Verdana" w:cs="Arial"/>
          <w:sz w:val="10"/>
          <w:szCs w:val="10"/>
        </w:rPr>
        <w:t xml:space="preserve">Sentencia C-780 de 2001. M.P. Jaime Córdoba Triviño. </w:t>
      </w:r>
    </w:p>
    <w:p w14:paraId="45D742A9" w14:textId="77777777" w:rsidR="007E58B2" w:rsidRPr="00DE59D0" w:rsidRDefault="007E58B2" w:rsidP="007E58B2">
      <w:pPr>
        <w:pStyle w:val="Textonotapie"/>
        <w:ind w:firstLine="709"/>
        <w:jc w:val="both"/>
        <w:rPr>
          <w:rFonts w:ascii="Verdana" w:hAnsi="Verdana" w:cs="Arial"/>
          <w:sz w:val="10"/>
          <w:szCs w:val="10"/>
        </w:rPr>
      </w:pPr>
    </w:p>
  </w:footnote>
  <w:footnote w:id="7">
    <w:p w14:paraId="6E2522E3"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Style w:val="Refdenotaalpie"/>
          <w:rFonts w:ascii="Verdana" w:eastAsiaTheme="majorEastAsia" w:hAnsi="Verdana" w:cs="Arial"/>
          <w:sz w:val="10"/>
          <w:szCs w:val="10"/>
        </w:rPr>
        <w:footnoteRef/>
      </w:r>
      <w:r w:rsidRPr="00DE59D0">
        <w:rPr>
          <w:rFonts w:ascii="Verdana" w:hAnsi="Verdana" w:cs="Arial"/>
          <w:sz w:val="10"/>
          <w:szCs w:val="10"/>
        </w:rPr>
        <w:t xml:space="preserve"> </w:t>
      </w:r>
      <w:r w:rsidRPr="00DE59D0">
        <w:rPr>
          <w:rFonts w:ascii="Verdana" w:eastAsiaTheme="minorHAnsi" w:hAnsi="Verdana" w:cs="Arial"/>
          <w:sz w:val="10"/>
          <w:szCs w:val="10"/>
          <w:lang w:val="es-ES" w:eastAsia="en-US"/>
        </w:rPr>
        <w:t>Ley 80 de 1993: “Artículo 8: 1o. Son inhábiles para participar en licitaciones o concursos y para celebrar contratos con las entidades estatales: </w:t>
      </w:r>
    </w:p>
    <w:p w14:paraId="21B841F9"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a) Las personas que se hallen inhabilitadas para contratar por la Constitución y las leyes. </w:t>
      </w:r>
    </w:p>
    <w:p w14:paraId="34C7A953"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b) Quienes participaron en las licitaciones o concursos o celebraron los contratos de que trata el literal anterior estando inhabilitados. </w:t>
      </w:r>
    </w:p>
    <w:p w14:paraId="6AB7B402"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c) Quienes dieron lugar a la declaratoria de caducidad. </w:t>
      </w:r>
    </w:p>
    <w:p w14:paraId="2481AF48"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d) Quienes en sentencia judicial hayan sido condenados a la pena accesoria de interdicción de derechos y funciones públicas y quienes hayan sido sancionados disciplinariamente con destitución. </w:t>
      </w:r>
    </w:p>
    <w:p w14:paraId="1E2E2EFB"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 Quienes sin justa causa se abstengan de suscribir el contrato estatal adjudicado. </w:t>
      </w:r>
    </w:p>
    <w:p w14:paraId="6CCD1425"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f) Los servidores públicos. </w:t>
      </w:r>
    </w:p>
    <w:p w14:paraId="128ABBCA"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6F530108"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5E5B8924"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i) Los socios de sociedades de personas a las cuales se haya declarado la caducidad, así como las sociedades de personas de las que aquellos formen parte con posterioridad a dicha declaratoria. </w:t>
      </w:r>
    </w:p>
    <w:p w14:paraId="78A90005"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672A6C6"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7749D38"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DE59D0">
        <w:rPr>
          <w:rFonts w:ascii="Verdana" w:eastAsiaTheme="minorHAnsi" w:hAnsi="Verdana" w:cs="Arial"/>
          <w:sz w:val="10"/>
          <w:szCs w:val="10"/>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DE59D0">
        <w:rPr>
          <w:rFonts w:ascii="Verdana" w:eastAsiaTheme="minorHAnsi" w:hAnsi="Verdana" w:cs="Arial"/>
          <w:sz w:val="10"/>
          <w:szCs w:val="10"/>
          <w:lang w:val="es-ES" w:eastAsia="en-US"/>
        </w:rPr>
        <w:softHyphen/>
        <w:t>cepción de las sociedades anónimas abiertas. También se considerarán inhabilitadas para contratar, las personas jurídicas sobre las cuales se haya ordenado la suspensión de la perso</w:t>
      </w:r>
      <w:r w:rsidRPr="00DE59D0">
        <w:rPr>
          <w:rFonts w:ascii="Verdana" w:eastAsiaTheme="minorHAnsi" w:hAnsi="Verdana" w:cs="Arial"/>
          <w:sz w:val="10"/>
          <w:szCs w:val="10"/>
          <w:lang w:val="es-ES" w:eastAsia="en-US"/>
        </w:rPr>
        <w:softHyphen/>
        <w:t>nería jurídica en los términos de ley, o cuyos representantes legales, ad</w:t>
      </w:r>
      <w:r w:rsidRPr="00DE59D0">
        <w:rPr>
          <w:rFonts w:ascii="Verdana" w:eastAsiaTheme="minorHAnsi" w:hAnsi="Verdana" w:cs="Arial"/>
          <w:sz w:val="10"/>
          <w:szCs w:val="10"/>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DE59D0">
        <w:rPr>
          <w:rFonts w:ascii="Verdana" w:eastAsiaTheme="minorHAnsi" w:hAnsi="Verdana" w:cs="Arial"/>
          <w:sz w:val="10"/>
          <w:szCs w:val="10"/>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FC05C63"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w:t>
      </w:r>
    </w:p>
    <w:p w14:paraId="21A5234D"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2o. Tampoco podrán participar en licitaciones o concursos ni celebrar contratos estatales con la entidad respectiva: </w:t>
      </w:r>
    </w:p>
    <w:p w14:paraId="5747F293"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7E31D4AE"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58B90AE6"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4DE404C7"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3F981D5C"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49AB2ECF"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DE59D0">
        <w:rPr>
          <w:rFonts w:ascii="Verdana" w:eastAsiaTheme="minorHAnsi" w:hAnsi="Verdana" w:cs="Arial"/>
          <w:sz w:val="10"/>
          <w:szCs w:val="10"/>
          <w:lang w:val="es-ES" w:eastAsia="en-US"/>
        </w:rPr>
        <w:t>ex empleado</w:t>
      </w:r>
      <w:proofErr w:type="gramEnd"/>
      <w:r w:rsidRPr="00DE59D0">
        <w:rPr>
          <w:rFonts w:ascii="Verdana" w:eastAsiaTheme="minorHAnsi" w:hAnsi="Verdana" w:cs="Arial"/>
          <w:sz w:val="10"/>
          <w:szCs w:val="10"/>
          <w:lang w:val="es-ES" w:eastAsia="en-US"/>
        </w:rPr>
        <w:t xml:space="preserve"> público. </w:t>
      </w:r>
    </w:p>
    <w:p w14:paraId="472F939D" w14:textId="77777777" w:rsidR="007E58B2" w:rsidRPr="00DE59D0" w:rsidRDefault="007E58B2" w:rsidP="007E58B2">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 xml:space="preserve">[…]”. </w:t>
      </w:r>
    </w:p>
  </w:footnote>
  <w:footnote w:id="8">
    <w:p w14:paraId="073ED4C4" w14:textId="77777777" w:rsidR="007E58B2" w:rsidRDefault="007E58B2" w:rsidP="007E58B2">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DÁVILA VINUEZA, Luis Guillermo. </w:t>
      </w:r>
      <w:r w:rsidRPr="00DE59D0">
        <w:rPr>
          <w:rFonts w:ascii="Verdana" w:hAnsi="Verdana" w:cs="Arial"/>
          <w:sz w:val="10"/>
          <w:szCs w:val="10"/>
          <w:lang w:val="es-ES"/>
        </w:rPr>
        <w:t xml:space="preserve">Régimen Jurídico De La Contratación Estatal. Recuperado de https://xperta.legis.co, Capítulo VI Inhabilidades e Incompatibilidades, Sección 2 Interpretación Restrictiva. </w:t>
      </w:r>
    </w:p>
    <w:p w14:paraId="107517CE" w14:textId="77777777" w:rsidR="007E58B2" w:rsidRPr="00DE59D0" w:rsidRDefault="007E58B2" w:rsidP="007E58B2">
      <w:pPr>
        <w:pStyle w:val="Textonotapie"/>
        <w:ind w:firstLine="709"/>
        <w:jc w:val="both"/>
        <w:rPr>
          <w:rFonts w:ascii="Verdana" w:hAnsi="Verdana" w:cs="Arial"/>
          <w:sz w:val="10"/>
          <w:szCs w:val="10"/>
          <w:lang w:val="es-ES"/>
        </w:rPr>
      </w:pPr>
    </w:p>
  </w:footnote>
  <w:footnote w:id="9">
    <w:p w14:paraId="771F00F1" w14:textId="77777777" w:rsidR="007E58B2" w:rsidRPr="00DE59D0" w:rsidRDefault="007E58B2" w:rsidP="007E58B2">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w:t>
      </w:r>
      <w:r w:rsidRPr="00DE59D0">
        <w:rPr>
          <w:rFonts w:ascii="Verdana" w:hAnsi="Verdana" w:cs="Arial"/>
          <w:sz w:val="10"/>
          <w:szCs w:val="10"/>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7B7405D9" w14:textId="77777777" w:rsidR="007E58B2" w:rsidRPr="00DE59D0" w:rsidRDefault="007E58B2" w:rsidP="007E58B2">
      <w:pPr>
        <w:pStyle w:val="Textonotapie"/>
        <w:ind w:firstLine="709"/>
        <w:jc w:val="both"/>
        <w:rPr>
          <w:rFonts w:ascii="Verdana" w:hAnsi="Verdana" w:cs="Arial"/>
          <w:sz w:val="10"/>
          <w:szCs w:val="10"/>
          <w:lang w:val="es-ES"/>
        </w:rPr>
      </w:pPr>
    </w:p>
  </w:footnote>
  <w:footnote w:id="10">
    <w:p w14:paraId="2D11500B" w14:textId="77777777" w:rsidR="007E58B2" w:rsidRPr="00DE59D0" w:rsidRDefault="007E58B2" w:rsidP="007E58B2">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w:t>
      </w:r>
      <w:r w:rsidRPr="00DE59D0">
        <w:rPr>
          <w:rFonts w:ascii="Verdana" w:hAnsi="Verdana" w:cs="Arial"/>
          <w:sz w:val="10"/>
          <w:szCs w:val="10"/>
          <w:lang w:val="es-ES"/>
        </w:rPr>
        <w:t xml:space="preserve">CONSEJO DE ESTADO. Sala de Consulta y Servicio Civil. Concepto del 30 de abril de 2015. Exp. 2251. </w:t>
      </w:r>
      <w:proofErr w:type="gramStart"/>
      <w:r w:rsidRPr="00DE59D0">
        <w:rPr>
          <w:rFonts w:ascii="Verdana" w:hAnsi="Verdana" w:cs="Arial"/>
          <w:sz w:val="10"/>
          <w:szCs w:val="10"/>
          <w:lang w:val="es-ES"/>
        </w:rPr>
        <w:t>Consejero</w:t>
      </w:r>
      <w:proofErr w:type="gramEnd"/>
      <w:r w:rsidRPr="00DE59D0">
        <w:rPr>
          <w:rFonts w:ascii="Verdana" w:hAnsi="Verdana" w:cs="Arial"/>
          <w:sz w:val="10"/>
          <w:szCs w:val="10"/>
          <w:lang w:val="es-ES"/>
        </w:rPr>
        <w:t xml:space="preserve"> Ponente: Álvaro Namén Vargas.</w:t>
      </w:r>
    </w:p>
    <w:p w14:paraId="0C38735E" w14:textId="77777777" w:rsidR="007E58B2" w:rsidRPr="00DE59D0" w:rsidRDefault="007E58B2" w:rsidP="007E58B2">
      <w:pPr>
        <w:pStyle w:val="Textonotapie"/>
        <w:ind w:firstLine="709"/>
        <w:jc w:val="both"/>
        <w:rPr>
          <w:rFonts w:ascii="Verdana" w:hAnsi="Verdana" w:cs="Arial"/>
          <w:sz w:val="10"/>
          <w:szCs w:val="10"/>
          <w:lang w:val="es-ES"/>
        </w:rPr>
      </w:pPr>
    </w:p>
  </w:footnote>
  <w:footnote w:id="11">
    <w:p w14:paraId="6CAE878E" w14:textId="77777777" w:rsidR="007E58B2" w:rsidRPr="00DE59D0" w:rsidRDefault="007E58B2" w:rsidP="007E58B2">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A. Sentencia del 24 de junio de 2015. Rad. 40.635. Consejero Ponente: Hernán Andrade Rincón (E).</w:t>
      </w:r>
    </w:p>
    <w:p w14:paraId="7E934B71" w14:textId="77777777" w:rsidR="007E58B2" w:rsidRPr="00DE59D0" w:rsidRDefault="007E58B2" w:rsidP="007E58B2">
      <w:pPr>
        <w:pStyle w:val="Textonotapie"/>
        <w:ind w:firstLine="709"/>
        <w:jc w:val="both"/>
        <w:rPr>
          <w:rFonts w:ascii="Verdana" w:hAnsi="Verdana" w:cs="Arial"/>
          <w:sz w:val="10"/>
          <w:szCs w:val="10"/>
        </w:rPr>
      </w:pPr>
    </w:p>
  </w:footnote>
  <w:footnote w:id="12">
    <w:p w14:paraId="73C22DCD" w14:textId="77777777" w:rsidR="007E58B2" w:rsidRPr="00DE59D0" w:rsidRDefault="007E58B2" w:rsidP="007E58B2">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C. Sentencia del 22 de mayo de 2013. Rad. 24.057. Consejera Ponente: Olga Melida Valle De De La Hoz.</w:t>
      </w:r>
    </w:p>
  </w:footnote>
  <w:footnote w:id="13">
    <w:p w14:paraId="7B640622" w14:textId="77777777" w:rsidR="007E58B2" w:rsidRDefault="007E58B2" w:rsidP="007E58B2">
      <w:pPr>
        <w:pStyle w:val="Textonotapie"/>
        <w:ind w:firstLine="708"/>
        <w:jc w:val="both"/>
        <w:rPr>
          <w:rFonts w:ascii="Verdana" w:hAnsi="Verdana" w:cs="Arial"/>
          <w:color w:val="000000"/>
          <w:sz w:val="18"/>
          <w:szCs w:val="18"/>
        </w:rPr>
      </w:pPr>
      <w:r>
        <w:rPr>
          <w:rFonts w:ascii="Verdana" w:hAnsi="Verdana" w:cs="Arial"/>
          <w:color w:val="000000"/>
          <w:sz w:val="18"/>
          <w:szCs w:val="18"/>
          <w:vertAlign w:val="superscript"/>
        </w:rPr>
        <w:footnoteRef/>
      </w:r>
      <w:r>
        <w:rPr>
          <w:rFonts w:ascii="Verdana" w:hAnsi="Verdana" w:cs="Arial"/>
          <w:color w:val="000000"/>
          <w:sz w:val="18"/>
          <w:szCs w:val="18"/>
        </w:rPr>
        <w:t xml:space="preserve"> Consejo de Estado. Sala de Consulta y de Servicio Civil. Concepto del 23 de marzo de 2011. Rad. 2.045. C.P. Enrique José Arboleda Perdomo.</w:t>
      </w:r>
    </w:p>
    <w:p w14:paraId="474C3F83" w14:textId="77777777" w:rsidR="007E58B2" w:rsidRDefault="007E58B2" w:rsidP="007E58B2">
      <w:pPr>
        <w:pStyle w:val="Textonotapie"/>
        <w:ind w:firstLine="70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2336"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216"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A66549"/>
    <w:multiLevelType w:val="hybridMultilevel"/>
    <w:tmpl w:val="E5F20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917235"/>
    <w:multiLevelType w:val="hybridMultilevel"/>
    <w:tmpl w:val="77BC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A77E24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82E5D0B"/>
    <w:multiLevelType w:val="hybridMultilevel"/>
    <w:tmpl w:val="69CE7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5"/>
  </w:num>
  <w:num w:numId="7" w16cid:durableId="1946422806">
    <w:abstractNumId w:val="5"/>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0"/>
  </w:num>
  <w:num w:numId="13" w16cid:durableId="1512908409">
    <w:abstractNumId w:val="3"/>
  </w:num>
  <w:num w:numId="14" w16cid:durableId="895897244">
    <w:abstractNumId w:val="16"/>
  </w:num>
  <w:num w:numId="15" w16cid:durableId="390349800">
    <w:abstractNumId w:val="12"/>
  </w:num>
  <w:num w:numId="16" w16cid:durableId="679089576">
    <w:abstractNumId w:val="10"/>
  </w:num>
  <w:num w:numId="17" w16cid:durableId="803348058">
    <w:abstractNumId w:val="2"/>
  </w:num>
  <w:num w:numId="18" w16cid:durableId="585380331">
    <w:abstractNumId w:val="7"/>
  </w:num>
  <w:num w:numId="19" w16cid:durableId="184597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692"/>
    <w:rsid w:val="00016F78"/>
    <w:rsid w:val="00022ABF"/>
    <w:rsid w:val="00046945"/>
    <w:rsid w:val="00061B2A"/>
    <w:rsid w:val="00082362"/>
    <w:rsid w:val="000A683E"/>
    <w:rsid w:val="000B19B9"/>
    <w:rsid w:val="000D0334"/>
    <w:rsid w:val="000F37DF"/>
    <w:rsid w:val="000F4370"/>
    <w:rsid w:val="000F6486"/>
    <w:rsid w:val="001011F3"/>
    <w:rsid w:val="00125105"/>
    <w:rsid w:val="00127233"/>
    <w:rsid w:val="001511A0"/>
    <w:rsid w:val="0019533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46175"/>
    <w:rsid w:val="004551B8"/>
    <w:rsid w:val="00477008"/>
    <w:rsid w:val="004A1847"/>
    <w:rsid w:val="004A305D"/>
    <w:rsid w:val="004F21C4"/>
    <w:rsid w:val="004F5D78"/>
    <w:rsid w:val="004F685F"/>
    <w:rsid w:val="005566E8"/>
    <w:rsid w:val="00556C23"/>
    <w:rsid w:val="00574867"/>
    <w:rsid w:val="00591460"/>
    <w:rsid w:val="005B3816"/>
    <w:rsid w:val="005C3777"/>
    <w:rsid w:val="005C5CDC"/>
    <w:rsid w:val="005D476C"/>
    <w:rsid w:val="006219F8"/>
    <w:rsid w:val="00623B2A"/>
    <w:rsid w:val="00665D70"/>
    <w:rsid w:val="006900D9"/>
    <w:rsid w:val="00706C16"/>
    <w:rsid w:val="00756841"/>
    <w:rsid w:val="007649AB"/>
    <w:rsid w:val="00771D0C"/>
    <w:rsid w:val="007833AC"/>
    <w:rsid w:val="007B268C"/>
    <w:rsid w:val="007B7171"/>
    <w:rsid w:val="007C0C0F"/>
    <w:rsid w:val="007C3DC2"/>
    <w:rsid w:val="007C4023"/>
    <w:rsid w:val="007E5497"/>
    <w:rsid w:val="007E58B2"/>
    <w:rsid w:val="00806F5F"/>
    <w:rsid w:val="00820278"/>
    <w:rsid w:val="008204C9"/>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B01B1A"/>
    <w:rsid w:val="00B63635"/>
    <w:rsid w:val="00B66319"/>
    <w:rsid w:val="00B72CD3"/>
    <w:rsid w:val="00B72FFF"/>
    <w:rsid w:val="00BB17FE"/>
    <w:rsid w:val="00BC3D36"/>
    <w:rsid w:val="00BD7F72"/>
    <w:rsid w:val="00C04FB3"/>
    <w:rsid w:val="00C330EB"/>
    <w:rsid w:val="00C41061"/>
    <w:rsid w:val="00C754BE"/>
    <w:rsid w:val="00C76B1C"/>
    <w:rsid w:val="00CB6357"/>
    <w:rsid w:val="00CC1B26"/>
    <w:rsid w:val="00D423A2"/>
    <w:rsid w:val="00D520D8"/>
    <w:rsid w:val="00D63AC2"/>
    <w:rsid w:val="00D7383B"/>
    <w:rsid w:val="00DA231B"/>
    <w:rsid w:val="00DA2679"/>
    <w:rsid w:val="00DC39FC"/>
    <w:rsid w:val="00DF5254"/>
    <w:rsid w:val="00E16408"/>
    <w:rsid w:val="00E165D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06975"/>
    <w:rsid w:val="00F25294"/>
    <w:rsid w:val="00F31EDC"/>
    <w:rsid w:val="00F462B3"/>
    <w:rsid w:val="00F5507C"/>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7700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77008"/>
    <w:rPr>
      <w:rFonts w:ascii="Geomanist Light" w:hAnsi="Geomanist Light"/>
      <w:lang w:val="es-ES"/>
    </w:rPr>
  </w:style>
  <w:style w:type="paragraph" w:styleId="Sinespaciado">
    <w:name w:val="No Spacing"/>
    <w:aliases w:val="No Indent"/>
    <w:uiPriority w:val="1"/>
    <w:qFormat/>
    <w:rsid w:val="0047700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manuales-guias-y-pliegos-tipo%2Fmanuales-y-guias%2Fguia-para-incentivar-la-participacion-de-las-mujeres&amp;data=05%7C02%7Ckeila.reyes%40colombiacompra.gov.co%7C925ae1c2336243aecb2908dd21173dd2%7C7b09041e245149d08cb179d5e3d8c1be%7C0%7C0%7C638703105898182566%7CUnknown%7CTWFpbGZsb3d8eyJFbXB0eU1hcGkiOnRydWUsIlYiOiIwLjAuMDAwMCIsIlAiOiJXaW4zMiIsIkFOIjoiTWFpbCIsIldUIjoyfQ%3D%3D%7C0%7C%7C%7C&amp;sdata=K%2FYtmzkeyHZO3osZEbwQdbZz1fUxNNZQGrxfA4C3O%2Bs%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manuales-guias-y-pliegos-tipo%2Fmanuales-y-guias%2Fguia-para-el-manejo-de-ofertas-artificialmente-baja-0&amp;data=05%7C02%7Ckeila.reyes%40colombiacompra.gov.co%7C925ae1c2336243aecb2908dd21173dd2%7C7b09041e245149d08cb179d5e3d8c1be%7C0%7C0%7C638703105898157545%7CUnknown%7CTWFpbGZsb3d8eyJFbXB0eU1hcGkiOnRydWUsIlYiOiIwLjAuMDAwMCIsIlAiOiJXaW4zMiIsIkFOIjoiTWFpbCIsIldUIjoyfQ%3D%3D%7C0%7C%7C%7C&amp;sdata=WOBnG%2B8KQSffuXrs20KPOZ%2B%2BMnNunexRmNiNAoJJjxo%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viii.pdf&amp;data=05%7C02%7Ckeila.reyes%40colombiacompra.gov.co%7C925ae1c2336243aecb2908dd21173dd2%7C7b09041e245149d08cb179d5e3d8c1be%7C0%7C0%7C638703105898197304%7CUnknown%7CTWFpbGZsb3d8eyJFbXB0eU1hcGkiOnRydWUsIlYiOiIwLjAuMDAwMCIsIlAiOiJXaW4zMiIsIkFOIjoiTWFpbCIsIldUIjoyfQ%3D%3D%7C0%7C%7C%7C&amp;sdata=cgk9KOUeUAnUZBID3OgoTx5v7Mom7B9ZztmLYNN8a9c%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659B3-EA04-41FC-89FF-72833DE3A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www.w3.org/XML/1998/namespace"/>
    <ds:schemaRef ds:uri="36c82cfe-0eda-494d-b392-a9281b89aaf0"/>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8ae15d26-076e-464e-81a7-6f76a0fb3917"/>
    <ds:schemaRef ds:uri="http://purl.org/dc/elements/1.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6077</Words>
  <Characters>33424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2023-01-10T21:18:00Z</cp:lastPrinted>
  <dcterms:created xsi:type="dcterms:W3CDTF">2024-12-26T21:37:00Z</dcterms:created>
  <dcterms:modified xsi:type="dcterms:W3CDTF">2024-12-26T21:37:00Z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