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CC3B" w14:textId="77777777" w:rsidR="00D5640E" w:rsidRPr="00D5640E" w:rsidRDefault="00D5640E" w:rsidP="00D5640E">
      <w:pPr>
        <w:spacing w:after="0" w:line="240" w:lineRule="auto"/>
        <w:jc w:val="both"/>
        <w:rPr>
          <w:rFonts w:ascii="Verdana" w:eastAsia="Calibri" w:hAnsi="Verdana" w:cs="Arial"/>
          <w:b/>
          <w:bCs/>
          <w:lang w:val="es-ES_tradnl" w:eastAsia="es-ES_tradnl"/>
        </w:rPr>
      </w:pPr>
      <w:bookmarkStart w:id="0" w:name="_Hlk143780582"/>
      <w:r w:rsidRPr="00D5640E">
        <w:rPr>
          <w:rFonts w:ascii="Verdana" w:eastAsia="Calibri" w:hAnsi="Verdana" w:cs="Arial"/>
          <w:b/>
          <w:bCs/>
          <w:lang w:val="es-ES_tradnl" w:eastAsia="es-ES_tradnl"/>
        </w:rPr>
        <w:t>PLANEACIÓN CONTRACTUAL – Noción – Obligación de las entidades – Ley 80 de 1993</w:t>
      </w:r>
    </w:p>
    <w:p w14:paraId="43AABF90" w14:textId="77777777" w:rsidR="00D5640E" w:rsidRPr="00D5640E" w:rsidRDefault="00D5640E" w:rsidP="00D5640E">
      <w:pPr>
        <w:spacing w:after="0" w:line="240" w:lineRule="auto"/>
        <w:jc w:val="both"/>
        <w:rPr>
          <w:rFonts w:ascii="Verdana" w:eastAsia="Calibri" w:hAnsi="Verdana" w:cs="Arial"/>
          <w:b/>
          <w:bCs/>
          <w:sz w:val="20"/>
          <w:szCs w:val="20"/>
          <w:highlight w:val="yellow"/>
          <w:lang w:val="es-ES_tradnl" w:eastAsia="es-ES_tradnl"/>
        </w:rPr>
      </w:pPr>
    </w:p>
    <w:p w14:paraId="0883CB46" w14:textId="77777777" w:rsidR="00D5640E" w:rsidRPr="00D5640E" w:rsidRDefault="00D5640E" w:rsidP="00D5640E">
      <w:pPr>
        <w:spacing w:after="0" w:line="240" w:lineRule="auto"/>
        <w:jc w:val="both"/>
        <w:rPr>
          <w:rFonts w:ascii="Verdana" w:eastAsia="Aptos" w:hAnsi="Verdana" w:cs="Times New Roman"/>
          <w:sz w:val="20"/>
          <w:szCs w:val="20"/>
        </w:rPr>
      </w:pPr>
      <w:r w:rsidRPr="00D5640E">
        <w:rPr>
          <w:rFonts w:ascii="Verdana" w:eastAsia="Aptos" w:hAnsi="Verdana" w:cs="Times New Roman"/>
          <w:sz w:val="20"/>
          <w:szCs w:val="20"/>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4319F108" w14:textId="77777777" w:rsidR="00D5640E" w:rsidRPr="00D5640E" w:rsidRDefault="00D5640E" w:rsidP="00D5640E">
      <w:pPr>
        <w:spacing w:after="0" w:line="240" w:lineRule="auto"/>
        <w:jc w:val="both"/>
        <w:rPr>
          <w:rFonts w:ascii="Verdana" w:eastAsia="Aptos" w:hAnsi="Verdana" w:cs="Times New Roman"/>
          <w:sz w:val="20"/>
          <w:szCs w:val="20"/>
        </w:rPr>
      </w:pPr>
    </w:p>
    <w:p w14:paraId="55408703" w14:textId="77777777" w:rsidR="00D5640E" w:rsidRPr="00D5640E" w:rsidRDefault="00D5640E" w:rsidP="00D5640E">
      <w:pPr>
        <w:spacing w:after="0" w:line="240" w:lineRule="auto"/>
        <w:jc w:val="both"/>
        <w:rPr>
          <w:rFonts w:ascii="Verdana" w:eastAsia="Aptos" w:hAnsi="Verdana" w:cs="Times New Roman"/>
          <w:sz w:val="20"/>
          <w:szCs w:val="20"/>
        </w:rPr>
      </w:pPr>
      <w:r w:rsidRPr="00D5640E">
        <w:rPr>
          <w:rFonts w:ascii="Verdana" w:eastAsia="Aptos" w:hAnsi="Verdana" w:cs="Times New Roman"/>
          <w:sz w:val="20"/>
          <w:szCs w:val="20"/>
        </w:rPr>
        <w:t>[…] el Estatuto General de Contratación de la Administración Pública, en adelante EGCAP, 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w:t>
      </w:r>
    </w:p>
    <w:p w14:paraId="27886664" w14:textId="77777777" w:rsidR="00D5640E" w:rsidRPr="00D5640E" w:rsidRDefault="00D5640E" w:rsidP="00D5640E">
      <w:pPr>
        <w:spacing w:after="0" w:line="240" w:lineRule="auto"/>
        <w:jc w:val="both"/>
        <w:rPr>
          <w:rFonts w:ascii="Verdana" w:eastAsia="Aptos" w:hAnsi="Verdana" w:cs="Times New Roman"/>
          <w:sz w:val="20"/>
          <w:szCs w:val="20"/>
          <w:highlight w:val="yellow"/>
        </w:rPr>
      </w:pPr>
    </w:p>
    <w:p w14:paraId="36CCDE2C" w14:textId="77777777" w:rsidR="00D5640E" w:rsidRPr="00D5640E" w:rsidRDefault="00D5640E" w:rsidP="00D5640E">
      <w:pPr>
        <w:spacing w:after="0" w:line="240" w:lineRule="auto"/>
        <w:jc w:val="both"/>
        <w:rPr>
          <w:rFonts w:ascii="Verdana" w:eastAsia="Calibri" w:hAnsi="Verdana" w:cs="Arial"/>
          <w:b/>
          <w:bCs/>
          <w:lang w:val="es-ES" w:eastAsia="es-ES"/>
        </w:rPr>
      </w:pPr>
      <w:r w:rsidRPr="00D5640E">
        <w:rPr>
          <w:rFonts w:ascii="Verdana" w:eastAsia="Calibri" w:hAnsi="Verdana" w:cs="Arial"/>
          <w:b/>
          <w:bCs/>
          <w:lang w:val="es-ES" w:eastAsia="es-ES"/>
        </w:rPr>
        <w:t>ESTUDIOS PREVIOS – Finalidad</w:t>
      </w:r>
    </w:p>
    <w:p w14:paraId="6C7421A3" w14:textId="77777777" w:rsidR="00D5640E" w:rsidRPr="00D5640E" w:rsidRDefault="00D5640E" w:rsidP="00D5640E">
      <w:pPr>
        <w:spacing w:after="0" w:line="240" w:lineRule="auto"/>
        <w:jc w:val="both"/>
        <w:rPr>
          <w:rFonts w:ascii="Verdana" w:eastAsia="Calibri" w:hAnsi="Verdana" w:cs="Arial"/>
          <w:b/>
          <w:bCs/>
          <w:sz w:val="20"/>
          <w:szCs w:val="20"/>
          <w:highlight w:val="yellow"/>
          <w:lang w:val="es-ES_tradnl" w:eastAsia="es-ES_tradnl"/>
        </w:rPr>
      </w:pPr>
    </w:p>
    <w:p w14:paraId="3E3B5A62" w14:textId="77777777" w:rsidR="00D5640E" w:rsidRPr="00D5640E" w:rsidRDefault="00D5640E" w:rsidP="00D5640E">
      <w:pPr>
        <w:spacing w:after="0" w:line="240" w:lineRule="auto"/>
        <w:jc w:val="both"/>
        <w:rPr>
          <w:rFonts w:ascii="Verdana" w:eastAsia="Aptos" w:hAnsi="Verdana" w:cs="Times New Roman"/>
          <w:sz w:val="20"/>
          <w:szCs w:val="20"/>
        </w:rPr>
      </w:pPr>
      <w:r w:rsidRPr="00D5640E">
        <w:rPr>
          <w:rFonts w:ascii="Verdana" w:eastAsia="Aptos" w:hAnsi="Verdana" w:cs="Times New Roman"/>
          <w:sz w:val="20"/>
          <w:szCs w:val="20"/>
        </w:rPr>
        <w:t xml:space="preserve">[…] la Entidad Estatal podrá determinar con los estudios previos: i) la verdadera necesidad de la celebración del contrato; </w:t>
      </w:r>
      <w:proofErr w:type="spellStart"/>
      <w:r w:rsidRPr="00D5640E">
        <w:rPr>
          <w:rFonts w:ascii="Verdana" w:eastAsia="Aptos" w:hAnsi="Verdana" w:cs="Times New Roman"/>
          <w:sz w:val="20"/>
          <w:szCs w:val="20"/>
        </w:rPr>
        <w:t>ii</w:t>
      </w:r>
      <w:proofErr w:type="spellEnd"/>
      <w:r w:rsidRPr="00D5640E">
        <w:rPr>
          <w:rFonts w:ascii="Verdana" w:eastAsia="Aptos" w:hAnsi="Verdana" w:cs="Times New Roman"/>
          <w:sz w:val="20"/>
          <w:szCs w:val="20"/>
        </w:rPr>
        <w:t xml:space="preserve">) las modalidades existentes para satisfacer esa necesidad y las razones que justifiquen la modalidad o tipo contractual que se escoja; </w:t>
      </w:r>
      <w:proofErr w:type="spellStart"/>
      <w:r w:rsidRPr="00D5640E">
        <w:rPr>
          <w:rFonts w:ascii="Verdana" w:eastAsia="Aptos" w:hAnsi="Verdana" w:cs="Times New Roman"/>
          <w:sz w:val="20"/>
          <w:szCs w:val="20"/>
        </w:rPr>
        <w:t>iii</w:t>
      </w:r>
      <w:proofErr w:type="spellEnd"/>
      <w:r w:rsidRPr="00D5640E">
        <w:rPr>
          <w:rFonts w:ascii="Verdana" w:eastAsia="Aptos" w:hAnsi="Verdana" w:cs="Times New Roman"/>
          <w:sz w:val="20"/>
          <w:szCs w:val="20"/>
        </w:rPr>
        <w:t xml:space="preserve">) las calidades, especificaciones, cantidades y demás características que puedan o deban reunir los bienes, las obras o los servicios cuya contratación se haya determinado necesaria, </w:t>
      </w:r>
      <w:proofErr w:type="spellStart"/>
      <w:r w:rsidRPr="00D5640E">
        <w:rPr>
          <w:rFonts w:ascii="Verdana" w:eastAsia="Aptos" w:hAnsi="Verdana" w:cs="Times New Roman"/>
          <w:sz w:val="20"/>
          <w:szCs w:val="20"/>
        </w:rPr>
        <w:t>iv</w:t>
      </w:r>
      <w:proofErr w:type="spellEnd"/>
      <w:r w:rsidRPr="00D5640E">
        <w:rPr>
          <w:rFonts w:ascii="Verdana" w:eastAsia="Aptos" w:hAnsi="Verdana" w:cs="Times New Roman"/>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D5640E">
        <w:rPr>
          <w:rFonts w:ascii="Verdana" w:eastAsia="Aptos" w:hAnsi="Verdana" w:cs="Times New Roman"/>
          <w:sz w:val="20"/>
          <w:szCs w:val="20"/>
        </w:rPr>
        <w:t>vii</w:t>
      </w:r>
      <w:proofErr w:type="spellEnd"/>
      <w:r w:rsidRPr="00D5640E">
        <w:rPr>
          <w:rFonts w:ascii="Verdana" w:eastAsia="Aptos" w:hAnsi="Verdana" w:cs="Times New Roman"/>
          <w:sz w:val="20"/>
          <w:szCs w:val="20"/>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0607384C" w14:textId="77777777" w:rsidR="00D5640E" w:rsidRPr="00D5640E" w:rsidRDefault="00D5640E" w:rsidP="00D5640E">
      <w:pPr>
        <w:spacing w:after="0" w:line="240" w:lineRule="auto"/>
        <w:rPr>
          <w:rFonts w:ascii="Verdana" w:eastAsia="Aptos" w:hAnsi="Verdana" w:cs="Times New Roman"/>
          <w:sz w:val="20"/>
          <w:szCs w:val="20"/>
        </w:rPr>
      </w:pPr>
    </w:p>
    <w:p w14:paraId="2CB189E6" w14:textId="77777777" w:rsidR="00D5640E" w:rsidRDefault="00D5640E" w:rsidP="00E245AB">
      <w:pPr>
        <w:spacing w:after="0"/>
        <w:rPr>
          <w:rFonts w:ascii="Verdana" w:hAnsi="Verdana"/>
        </w:rPr>
      </w:pPr>
    </w:p>
    <w:p w14:paraId="6140B958" w14:textId="77777777" w:rsidR="00D5640E" w:rsidRDefault="00D5640E" w:rsidP="00E245AB">
      <w:pPr>
        <w:spacing w:after="0"/>
        <w:rPr>
          <w:rFonts w:ascii="Verdana" w:hAnsi="Verdana"/>
        </w:rPr>
      </w:pPr>
    </w:p>
    <w:p w14:paraId="00E6A8A1" w14:textId="77777777" w:rsidR="00D5640E" w:rsidRDefault="00D5640E" w:rsidP="00E245AB">
      <w:pPr>
        <w:spacing w:after="0"/>
        <w:rPr>
          <w:rFonts w:ascii="Verdana" w:hAnsi="Verdana"/>
        </w:rPr>
      </w:pPr>
    </w:p>
    <w:p w14:paraId="019344E2" w14:textId="77777777" w:rsidR="00D5640E" w:rsidRDefault="00D5640E" w:rsidP="00E245AB">
      <w:pPr>
        <w:spacing w:after="0"/>
        <w:rPr>
          <w:rFonts w:ascii="Verdana" w:hAnsi="Verdana"/>
        </w:rPr>
      </w:pPr>
    </w:p>
    <w:p w14:paraId="159919C1" w14:textId="77777777" w:rsidR="00D5640E" w:rsidRDefault="00D5640E" w:rsidP="00E245AB">
      <w:pPr>
        <w:spacing w:after="0"/>
        <w:rPr>
          <w:rFonts w:ascii="Verdana" w:hAnsi="Verdana"/>
        </w:rPr>
      </w:pPr>
    </w:p>
    <w:p w14:paraId="58B83F2A" w14:textId="77777777" w:rsidR="00D5640E" w:rsidRDefault="00D5640E" w:rsidP="00E245AB">
      <w:pPr>
        <w:spacing w:after="0"/>
        <w:rPr>
          <w:rFonts w:ascii="Verdana" w:hAnsi="Verdana"/>
        </w:rPr>
      </w:pPr>
    </w:p>
    <w:p w14:paraId="7CFF4717" w14:textId="77777777" w:rsidR="00D5640E" w:rsidRDefault="00D5640E" w:rsidP="00E245AB">
      <w:pPr>
        <w:spacing w:after="0"/>
        <w:rPr>
          <w:rFonts w:ascii="Verdana" w:hAnsi="Verdana"/>
        </w:rPr>
      </w:pPr>
    </w:p>
    <w:p w14:paraId="3FE2184B" w14:textId="0B135D15" w:rsidR="00E245AB" w:rsidRPr="003E1C7D" w:rsidRDefault="00E245AB" w:rsidP="00E245AB">
      <w:pPr>
        <w:spacing w:after="0"/>
        <w:rPr>
          <w:rFonts w:ascii="Verdana" w:hAnsi="Verdana"/>
        </w:rPr>
      </w:pPr>
      <w:r w:rsidRPr="003E1C7D">
        <w:rPr>
          <w:rFonts w:ascii="Verdana" w:hAnsi="Verdana"/>
        </w:rPr>
        <w:lastRenderedPageBreak/>
        <w:t xml:space="preserve">Bogotá D.C., </w:t>
      </w:r>
      <w:r w:rsidR="00E94146">
        <w:rPr>
          <w:rFonts w:ascii="Verdana" w:hAnsi="Verdana"/>
        </w:rPr>
        <w:t>16 de diciembre del 2024</w:t>
      </w:r>
      <w:r w:rsidR="00891928" w:rsidRPr="003E1C7D">
        <w:rPr>
          <w:rFonts w:ascii="Verdana" w:hAnsi="Verdana"/>
        </w:rPr>
        <w:tab/>
      </w:r>
    </w:p>
    <w:p w14:paraId="0465BA6D" w14:textId="77777777" w:rsidR="00E245AB" w:rsidRPr="003E1C7D" w:rsidRDefault="00E245AB" w:rsidP="00E245AB">
      <w:pPr>
        <w:spacing w:after="0"/>
        <w:rPr>
          <w:rFonts w:ascii="Verdana" w:hAnsi="Verdana"/>
        </w:rPr>
      </w:pPr>
    </w:p>
    <w:p w14:paraId="1CEB85ED" w14:textId="77777777" w:rsidR="00E94146" w:rsidRDefault="00E94146" w:rsidP="00E94146">
      <w:pPr>
        <w:spacing w:after="0"/>
        <w:jc w:val="right"/>
        <w:rPr>
          <w:rFonts w:ascii="Verdana" w:hAnsi="Verdana"/>
        </w:rPr>
      </w:pPr>
      <w:r w:rsidRPr="00E94146">
        <w:rPr>
          <w:rFonts w:ascii="Verdana" w:hAnsi="Verdana"/>
        </w:rPr>
        <w:drawing>
          <wp:inline distT="0" distB="0" distL="0" distR="0" wp14:anchorId="1802D9B8" wp14:editId="60747E79">
            <wp:extent cx="3344545" cy="966355"/>
            <wp:effectExtent l="0" t="0" r="0" b="0"/>
            <wp:docPr id="57428394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83941" name="Picture 1" descr="A close-up of a card&#10;&#10;Description automatically generated"/>
                    <pic:cNvPicPr/>
                  </pic:nvPicPr>
                  <pic:blipFill>
                    <a:blip r:embed="rId11"/>
                    <a:stretch>
                      <a:fillRect/>
                    </a:stretch>
                  </pic:blipFill>
                  <pic:spPr>
                    <a:xfrm>
                      <a:off x="0" y="0"/>
                      <a:ext cx="3406211" cy="984173"/>
                    </a:xfrm>
                    <a:prstGeom prst="rect">
                      <a:avLst/>
                    </a:prstGeom>
                  </pic:spPr>
                </pic:pic>
              </a:graphicData>
            </a:graphic>
          </wp:inline>
        </w:drawing>
      </w:r>
    </w:p>
    <w:p w14:paraId="4B7872C0" w14:textId="127D9EE8" w:rsidR="00DB614F" w:rsidRPr="00E94146" w:rsidRDefault="00DB614F" w:rsidP="00E94146">
      <w:pPr>
        <w:spacing w:after="0"/>
        <w:rPr>
          <w:rFonts w:ascii="Verdana" w:hAnsi="Verdana"/>
        </w:rPr>
      </w:pPr>
      <w:r w:rsidRPr="003E1C7D">
        <w:rPr>
          <w:rFonts w:ascii="Verdana" w:eastAsia="Calibri" w:hAnsi="Verdana" w:cs="Arial"/>
          <w:lang w:val="es-ES" w:eastAsia="es-ES"/>
        </w:rPr>
        <w:t>Señor:</w:t>
      </w:r>
    </w:p>
    <w:p w14:paraId="66D6FAD3" w14:textId="10B16BB7" w:rsidR="00DB614F" w:rsidRPr="003E1C7D" w:rsidRDefault="009A4CFB" w:rsidP="00DB614F">
      <w:pPr>
        <w:spacing w:after="0" w:line="240" w:lineRule="auto"/>
        <w:rPr>
          <w:rFonts w:ascii="Verdana" w:eastAsia="Calibri" w:hAnsi="Verdana" w:cs="Arial"/>
          <w:b/>
          <w:lang w:val="es-ES" w:eastAsia="es-ES"/>
        </w:rPr>
      </w:pPr>
      <w:r w:rsidRPr="003E1C7D">
        <w:rPr>
          <w:rFonts w:ascii="Verdana" w:eastAsia="Calibri" w:hAnsi="Verdana" w:cs="Arial"/>
          <w:b/>
          <w:lang w:val="es-ES" w:eastAsia="es-ES"/>
        </w:rPr>
        <w:t>José Manuel Ramírez Rincón</w:t>
      </w:r>
    </w:p>
    <w:p w14:paraId="153912FA" w14:textId="531CF238" w:rsidR="00DB614F" w:rsidRPr="003E1C7D" w:rsidRDefault="00AE543F" w:rsidP="00DB614F">
      <w:pPr>
        <w:spacing w:after="0" w:line="240" w:lineRule="auto"/>
        <w:rPr>
          <w:rFonts w:ascii="Verdana" w:hAnsi="Verdana"/>
        </w:rPr>
      </w:pPr>
      <w:hyperlink r:id="rId12" w:history="1">
        <w:r w:rsidRPr="003E1C7D">
          <w:rPr>
            <w:rStyle w:val="Hyperlink"/>
            <w:rFonts w:ascii="Verdana" w:hAnsi="Verdana"/>
          </w:rPr>
          <w:t>joserami144@gmail.com</w:t>
        </w:r>
      </w:hyperlink>
    </w:p>
    <w:p w14:paraId="27EFF870" w14:textId="1DCCEB83" w:rsidR="00AE543F" w:rsidRPr="003E1C7D" w:rsidRDefault="00AE543F" w:rsidP="00DB614F">
      <w:pPr>
        <w:spacing w:after="0" w:line="240" w:lineRule="auto"/>
        <w:rPr>
          <w:rFonts w:ascii="Verdana" w:hAnsi="Verdana"/>
          <w:highlight w:val="cyan"/>
        </w:rPr>
      </w:pPr>
      <w:r w:rsidRPr="003E1C7D">
        <w:rPr>
          <w:rFonts w:ascii="Verdana" w:hAnsi="Verdana"/>
        </w:rPr>
        <w:t>Bogotá D.C.</w:t>
      </w:r>
    </w:p>
    <w:p w14:paraId="27592849" w14:textId="77777777" w:rsidR="00DB614F" w:rsidRPr="003E1C7D" w:rsidRDefault="00DB614F" w:rsidP="00DB614F">
      <w:pPr>
        <w:spacing w:after="0" w:line="240" w:lineRule="auto"/>
        <w:rPr>
          <w:rFonts w:ascii="Verdana" w:eastAsia="Calibri" w:hAnsi="Verdana" w:cs="Arial"/>
          <w:b/>
          <w:bCs/>
          <w:highlight w:val="cyan"/>
          <w:lang w:val="es-ES_tradnl" w:eastAsia="es-ES_tradnl"/>
        </w:rPr>
      </w:pPr>
    </w:p>
    <w:p w14:paraId="226B3D3B" w14:textId="77777777" w:rsidR="00DB614F" w:rsidRPr="003E1C7D" w:rsidRDefault="00DB614F" w:rsidP="00DB614F">
      <w:pPr>
        <w:spacing w:after="0" w:line="240" w:lineRule="auto"/>
        <w:rPr>
          <w:rFonts w:ascii="Verdana" w:eastAsia="Calibri" w:hAnsi="Verdana" w:cs="Arial"/>
          <w:b/>
          <w:bCs/>
          <w:highlight w:val="cyan"/>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B614F" w:rsidRPr="003E1C7D" w14:paraId="6A615E37" w14:textId="77777777" w:rsidTr="00082822">
        <w:trPr>
          <w:trHeight w:val="747"/>
        </w:trPr>
        <w:tc>
          <w:tcPr>
            <w:tcW w:w="2689" w:type="dxa"/>
          </w:tcPr>
          <w:p w14:paraId="0718C991" w14:textId="77777777" w:rsidR="00DB614F" w:rsidRPr="003E1C7D" w:rsidRDefault="00DB614F" w:rsidP="00082822">
            <w:pPr>
              <w:jc w:val="both"/>
              <w:rPr>
                <w:rFonts w:ascii="Verdana" w:eastAsia="Calibri" w:hAnsi="Verdana" w:cs="Arial"/>
                <w:b/>
                <w:bCs/>
                <w:lang w:val="es-ES_tradnl" w:eastAsia="es-ES_tradnl"/>
              </w:rPr>
            </w:pPr>
          </w:p>
        </w:tc>
        <w:tc>
          <w:tcPr>
            <w:tcW w:w="6100" w:type="dxa"/>
          </w:tcPr>
          <w:p w14:paraId="5CF97DF1" w14:textId="096BB21E" w:rsidR="00DB614F" w:rsidRPr="003E1C7D" w:rsidRDefault="00DB614F" w:rsidP="00082822">
            <w:pPr>
              <w:jc w:val="both"/>
              <w:rPr>
                <w:rFonts w:ascii="Verdana" w:eastAsia="Calibri" w:hAnsi="Verdana" w:cs="Arial"/>
                <w:b/>
                <w:bCs/>
                <w:lang w:val="es-ES" w:eastAsia="es-ES"/>
              </w:rPr>
            </w:pPr>
            <w:r w:rsidRPr="003E1C7D">
              <w:rPr>
                <w:rFonts w:ascii="Verdana" w:eastAsia="Calibri" w:hAnsi="Verdana" w:cs="Arial"/>
                <w:b/>
                <w:bCs/>
                <w:lang w:val="es-ES" w:eastAsia="es-ES"/>
              </w:rPr>
              <w:t xml:space="preserve">Concepto </w:t>
            </w:r>
            <w:r w:rsidR="00154CEC" w:rsidRPr="003E1C7D">
              <w:rPr>
                <w:rFonts w:ascii="Verdana" w:eastAsia="Calibri" w:hAnsi="Verdana" w:cs="Arial"/>
                <w:b/>
                <w:bCs/>
                <w:lang w:eastAsia="es-ES"/>
              </w:rPr>
              <w:t xml:space="preserve">C-949 </w:t>
            </w:r>
            <w:r w:rsidRPr="003E1C7D">
              <w:rPr>
                <w:rFonts w:ascii="Verdana" w:eastAsia="Calibri" w:hAnsi="Verdana" w:cs="Arial"/>
                <w:b/>
                <w:bCs/>
                <w:lang w:val="es-ES" w:eastAsia="es-ES"/>
              </w:rPr>
              <w:t>de 2024</w:t>
            </w:r>
          </w:p>
        </w:tc>
      </w:tr>
      <w:tr w:rsidR="00DB614F" w:rsidRPr="003E1C7D" w14:paraId="05E3D6A4" w14:textId="77777777" w:rsidTr="00082822">
        <w:trPr>
          <w:trHeight w:val="884"/>
        </w:trPr>
        <w:tc>
          <w:tcPr>
            <w:tcW w:w="2689" w:type="dxa"/>
            <w:shd w:val="clear" w:color="auto" w:fill="auto"/>
          </w:tcPr>
          <w:p w14:paraId="346851C0" w14:textId="77777777" w:rsidR="00DB614F" w:rsidRPr="003E1C7D" w:rsidRDefault="00DB614F" w:rsidP="00082822">
            <w:pPr>
              <w:jc w:val="both"/>
              <w:rPr>
                <w:rFonts w:ascii="Verdana" w:eastAsia="Calibri" w:hAnsi="Verdana" w:cs="Arial"/>
                <w:b/>
                <w:highlight w:val="cyan"/>
                <w:lang w:val="es-ES_tradnl" w:eastAsia="es-ES_tradnl"/>
              </w:rPr>
            </w:pPr>
            <w:r w:rsidRPr="003E1C7D">
              <w:rPr>
                <w:rFonts w:ascii="Verdana" w:eastAsia="Calibri" w:hAnsi="Verdana" w:cs="Arial"/>
                <w:b/>
                <w:lang w:val="es-ES_tradnl" w:eastAsia="es-ES_tradnl"/>
              </w:rPr>
              <w:t xml:space="preserve">Temas:                   </w:t>
            </w:r>
          </w:p>
        </w:tc>
        <w:tc>
          <w:tcPr>
            <w:tcW w:w="6100" w:type="dxa"/>
            <w:shd w:val="clear" w:color="auto" w:fill="auto"/>
          </w:tcPr>
          <w:p w14:paraId="4C5A5CFB" w14:textId="20A2CECB" w:rsidR="00DB614F" w:rsidRPr="003E1C7D" w:rsidRDefault="00FC6AB8" w:rsidP="00082822">
            <w:pPr>
              <w:spacing w:line="276" w:lineRule="auto"/>
              <w:jc w:val="both"/>
              <w:rPr>
                <w:rFonts w:ascii="Verdana" w:eastAsia="Century Gothic" w:hAnsi="Verdana" w:cs="Century Gothic"/>
                <w:bCs/>
              </w:rPr>
            </w:pPr>
            <w:r w:rsidRPr="003E1C7D">
              <w:rPr>
                <w:rFonts w:ascii="Verdana" w:eastAsia="Century Gothic" w:hAnsi="Verdana" w:cs="Century Gothic"/>
                <w:bCs/>
              </w:rPr>
              <w:t>PLANEACIÓN CONTRACTUAL – Noción – Obligación de las entidades – Ley 80 de 1993 / ESTUDIOS PREVIOS – Finalidad</w:t>
            </w:r>
            <w:r w:rsidR="0039246E" w:rsidRPr="003E1C7D">
              <w:rPr>
                <w:rFonts w:ascii="Verdana" w:eastAsia="Century Gothic" w:hAnsi="Verdana" w:cs="Century Gothic"/>
                <w:bCs/>
              </w:rPr>
              <w:t xml:space="preserve">  </w:t>
            </w:r>
          </w:p>
          <w:p w14:paraId="402927AC" w14:textId="01BC3F2D" w:rsidR="00FC6AB8" w:rsidRPr="003E1C7D" w:rsidRDefault="00FC6AB8" w:rsidP="00082822">
            <w:pPr>
              <w:spacing w:line="276" w:lineRule="auto"/>
              <w:jc w:val="both"/>
              <w:rPr>
                <w:rFonts w:ascii="Verdana" w:eastAsia="Century Gothic" w:hAnsi="Verdana" w:cs="Century Gothic"/>
                <w:bCs/>
                <w:highlight w:val="cyan"/>
              </w:rPr>
            </w:pPr>
          </w:p>
        </w:tc>
      </w:tr>
      <w:tr w:rsidR="00DB614F" w:rsidRPr="003E1C7D" w14:paraId="55E55AD7" w14:textId="77777777" w:rsidTr="00082822">
        <w:trPr>
          <w:trHeight w:val="80"/>
        </w:trPr>
        <w:tc>
          <w:tcPr>
            <w:tcW w:w="2689" w:type="dxa"/>
            <w:shd w:val="clear" w:color="auto" w:fill="auto"/>
          </w:tcPr>
          <w:p w14:paraId="10AE0D4D" w14:textId="77777777" w:rsidR="00DB614F" w:rsidRPr="003E1C7D" w:rsidRDefault="00DB614F" w:rsidP="00082822">
            <w:pPr>
              <w:jc w:val="both"/>
              <w:rPr>
                <w:rFonts w:ascii="Verdana" w:eastAsia="Calibri" w:hAnsi="Verdana" w:cs="Arial"/>
                <w:b/>
                <w:lang w:val="es-ES_tradnl" w:eastAsia="es-ES_tradnl"/>
              </w:rPr>
            </w:pPr>
            <w:r w:rsidRPr="003E1C7D">
              <w:rPr>
                <w:rFonts w:ascii="Verdana" w:eastAsia="Calibri" w:hAnsi="Verdana" w:cs="Arial"/>
                <w:b/>
                <w:lang w:val="es-ES_tradnl" w:eastAsia="es-ES_tradnl"/>
              </w:rPr>
              <w:t>Radicación:</w:t>
            </w:r>
            <w:r w:rsidRPr="003E1C7D">
              <w:rPr>
                <w:rFonts w:ascii="Verdana" w:eastAsia="Calibri" w:hAnsi="Verdana" w:cs="Arial"/>
                <w:lang w:val="es-ES_tradnl" w:eastAsia="es-ES_tradnl"/>
              </w:rPr>
              <w:t xml:space="preserve">               </w:t>
            </w:r>
          </w:p>
        </w:tc>
        <w:tc>
          <w:tcPr>
            <w:tcW w:w="6100" w:type="dxa"/>
            <w:shd w:val="clear" w:color="auto" w:fill="auto"/>
          </w:tcPr>
          <w:p w14:paraId="0040ED89" w14:textId="217BA00F" w:rsidR="00DB614F" w:rsidRPr="003E1C7D" w:rsidRDefault="00DB614F" w:rsidP="00082822">
            <w:pPr>
              <w:jc w:val="both"/>
              <w:rPr>
                <w:rFonts w:ascii="Verdana" w:eastAsia="Calibri" w:hAnsi="Verdana" w:cs="Arial"/>
                <w:lang w:eastAsia="es-ES_tradnl"/>
              </w:rPr>
            </w:pPr>
            <w:r w:rsidRPr="003E1C7D">
              <w:rPr>
                <w:rFonts w:ascii="Verdana" w:eastAsia="Calibri" w:hAnsi="Verdana" w:cs="Arial"/>
                <w:lang w:val="es-ES_tradnl" w:eastAsia="es-ES_tradnl"/>
              </w:rPr>
              <w:t xml:space="preserve">Respuesta a consulta con radicado No. </w:t>
            </w:r>
            <w:r w:rsidR="00047A19" w:rsidRPr="003E1C7D">
              <w:rPr>
                <w:rFonts w:ascii="Verdana" w:eastAsia="Calibri" w:hAnsi="Verdana" w:cs="Arial"/>
                <w:lang w:eastAsia="es-ES_tradnl"/>
              </w:rPr>
              <w:t>P20241128011963</w:t>
            </w:r>
            <w:r w:rsidRPr="003E1C7D">
              <w:rPr>
                <w:rFonts w:ascii="Verdana" w:eastAsia="Calibri" w:hAnsi="Verdana" w:cs="Arial"/>
                <w:lang w:eastAsia="es-ES_tradnl"/>
              </w:rPr>
              <w:t>.</w:t>
            </w:r>
          </w:p>
        </w:tc>
      </w:tr>
    </w:tbl>
    <w:p w14:paraId="5ADABB2E" w14:textId="77777777" w:rsidR="00DB614F" w:rsidRPr="003E1C7D" w:rsidRDefault="00DB614F" w:rsidP="00DB614F">
      <w:pPr>
        <w:spacing w:after="0" w:line="240" w:lineRule="auto"/>
        <w:jc w:val="both"/>
        <w:rPr>
          <w:rFonts w:ascii="Verdana" w:eastAsia="Calibri" w:hAnsi="Verdana" w:cs="Arial"/>
          <w:highlight w:val="cyan"/>
          <w:lang w:val="es-ES_tradnl" w:eastAsia="es-ES_tradnl"/>
        </w:rPr>
      </w:pPr>
    </w:p>
    <w:p w14:paraId="144BAA1B" w14:textId="77777777" w:rsidR="00DB614F" w:rsidRPr="003E1C7D" w:rsidRDefault="00DB614F" w:rsidP="00DB614F">
      <w:pPr>
        <w:spacing w:after="0" w:line="240" w:lineRule="auto"/>
        <w:jc w:val="both"/>
        <w:rPr>
          <w:rFonts w:ascii="Verdana" w:eastAsia="Calibri" w:hAnsi="Verdana" w:cs="Arial"/>
          <w:highlight w:val="cyan"/>
          <w:lang w:val="es-ES_tradnl" w:eastAsia="es-ES_tradnl"/>
        </w:rPr>
      </w:pPr>
    </w:p>
    <w:p w14:paraId="35C991D8" w14:textId="41E1A0FE" w:rsidR="00DB614F" w:rsidRPr="003E1C7D" w:rsidRDefault="00DB614F" w:rsidP="00DB614F">
      <w:pPr>
        <w:spacing w:after="0" w:line="276" w:lineRule="auto"/>
        <w:jc w:val="both"/>
        <w:rPr>
          <w:rFonts w:ascii="Verdana" w:eastAsia="Calibri" w:hAnsi="Verdana" w:cs="Arial"/>
          <w:lang w:val="es-ES" w:eastAsia="es-ES"/>
        </w:rPr>
      </w:pPr>
      <w:r w:rsidRPr="003E1C7D">
        <w:rPr>
          <w:rFonts w:ascii="Verdana" w:eastAsia="Calibri" w:hAnsi="Verdana" w:cs="Arial"/>
          <w:lang w:val="es-ES" w:eastAsia="es-ES"/>
        </w:rPr>
        <w:t>Estimad</w:t>
      </w:r>
      <w:r w:rsidR="009A4CFB" w:rsidRPr="003E1C7D">
        <w:rPr>
          <w:rFonts w:ascii="Verdana" w:eastAsia="Calibri" w:hAnsi="Verdana" w:cs="Arial"/>
          <w:lang w:val="es-ES" w:eastAsia="es-ES"/>
        </w:rPr>
        <w:t>o</w:t>
      </w:r>
      <w:r w:rsidRPr="003E1C7D">
        <w:rPr>
          <w:rFonts w:ascii="Verdana" w:eastAsia="Calibri" w:hAnsi="Verdana" w:cs="Arial"/>
          <w:lang w:val="es-ES" w:eastAsia="es-ES"/>
        </w:rPr>
        <w:t xml:space="preserve"> señor </w:t>
      </w:r>
      <w:r w:rsidR="009A4CFB" w:rsidRPr="003E1C7D">
        <w:rPr>
          <w:rFonts w:ascii="Verdana" w:eastAsia="Calibri" w:hAnsi="Verdana" w:cs="Arial"/>
          <w:lang w:val="es-ES" w:eastAsia="es-ES"/>
        </w:rPr>
        <w:t>Ramírez</w:t>
      </w:r>
      <w:r w:rsidRPr="003E1C7D">
        <w:rPr>
          <w:rFonts w:ascii="Verdana" w:eastAsia="Calibri" w:hAnsi="Verdana" w:cs="Arial"/>
          <w:lang w:val="es-ES" w:eastAsia="es-ES"/>
        </w:rPr>
        <w:t>;</w:t>
      </w:r>
    </w:p>
    <w:p w14:paraId="10ECE29D" w14:textId="77777777" w:rsidR="00DB614F" w:rsidRPr="003E1C7D" w:rsidRDefault="00DB614F" w:rsidP="00DB614F">
      <w:pPr>
        <w:tabs>
          <w:tab w:val="left" w:pos="3768"/>
        </w:tabs>
        <w:spacing w:after="0" w:line="276" w:lineRule="auto"/>
        <w:jc w:val="both"/>
        <w:rPr>
          <w:rFonts w:ascii="Verdana" w:eastAsia="Calibri" w:hAnsi="Verdana" w:cs="Arial"/>
          <w:highlight w:val="cyan"/>
          <w:lang w:val="es-ES" w:eastAsia="es-ES"/>
        </w:rPr>
      </w:pPr>
    </w:p>
    <w:p w14:paraId="6ABE5E06" w14:textId="5A439322" w:rsidR="00DB614F" w:rsidRPr="003E1C7D" w:rsidRDefault="00DB614F" w:rsidP="00DB614F">
      <w:pPr>
        <w:spacing w:after="0" w:line="276" w:lineRule="auto"/>
        <w:jc w:val="both"/>
        <w:rPr>
          <w:rFonts w:ascii="Verdana" w:eastAsia="Calibri" w:hAnsi="Verdana" w:cs="Arial"/>
          <w:lang w:val="es-ES" w:eastAsia="es-ES"/>
        </w:rPr>
      </w:pPr>
      <w:r w:rsidRPr="003E1C7D">
        <w:rPr>
          <w:rFonts w:ascii="Verdana" w:eastAsia="Calibri" w:hAnsi="Verdana" w:cs="Arial"/>
          <w:lang w:val="es-ES" w:eastAsia="es-ES"/>
        </w:rPr>
        <w:t>En ejercicio de la competencia otorgada por los artículos 3, numeral 5º, y 11, numeral 8º, del Decreto Ley 4170 de 2011,</w:t>
      </w:r>
      <w:r w:rsidRPr="003E1C7D">
        <w:rPr>
          <w:rFonts w:ascii="Verdana" w:eastAsia="Arial MT" w:hAnsi="Verdana" w:cs="Arial MT"/>
          <w:lang w:val="es-ES" w:eastAsia="es-ES"/>
        </w:rPr>
        <w:t xml:space="preserve"> </w:t>
      </w:r>
      <w:r w:rsidRPr="003E1C7D">
        <w:rPr>
          <w:rFonts w:ascii="Verdana" w:hAnsi="Verdana" w:cs="Arial"/>
        </w:rPr>
        <w:t xml:space="preserve">así como lo establecido en el artículo 4 de la Resolución 1707 de 2018 expedida por esta Entidad, </w:t>
      </w:r>
      <w:r w:rsidRPr="003E1C7D">
        <w:rPr>
          <w:rFonts w:ascii="Verdana" w:eastAsia="Calibri" w:hAnsi="Verdana" w:cs="Arial"/>
          <w:lang w:val="es-ES" w:eastAsia="es-ES"/>
        </w:rPr>
        <w:t xml:space="preserve">la Agencia Nacional de Contratación Pública – Colombia Compra Eficiente– responde su solicitud de consulta de fecha </w:t>
      </w:r>
      <w:r w:rsidR="004031AE" w:rsidRPr="003E1C7D">
        <w:rPr>
          <w:rFonts w:ascii="Verdana" w:eastAsia="Calibri" w:hAnsi="Verdana" w:cs="Arial"/>
          <w:lang w:val="es-ES" w:eastAsia="es-ES"/>
        </w:rPr>
        <w:t>28 de noviembre del 2024</w:t>
      </w:r>
      <w:r w:rsidRPr="003E1C7D">
        <w:rPr>
          <w:rFonts w:ascii="Verdana" w:eastAsia="Calibri" w:hAnsi="Verdana" w:cs="Arial"/>
          <w:lang w:val="es-ES" w:eastAsia="es-ES"/>
        </w:rPr>
        <w:t xml:space="preserve">, en la cual manifiesta lo siguiente: </w:t>
      </w:r>
    </w:p>
    <w:p w14:paraId="242A06D7" w14:textId="77777777" w:rsidR="00DB614F" w:rsidRPr="003E1C7D" w:rsidRDefault="00DB614F" w:rsidP="00DB614F">
      <w:pPr>
        <w:spacing w:after="0"/>
        <w:jc w:val="both"/>
        <w:rPr>
          <w:rFonts w:ascii="Verdana" w:hAnsi="Verdana"/>
          <w:highlight w:val="cyan"/>
          <w:lang w:val="es-ES"/>
        </w:rPr>
      </w:pPr>
    </w:p>
    <w:p w14:paraId="06B4768D" w14:textId="63738B3A" w:rsidR="00DB614F" w:rsidRPr="003E1C7D" w:rsidRDefault="00DB614F" w:rsidP="0096421D">
      <w:pPr>
        <w:spacing w:after="0" w:line="240" w:lineRule="auto"/>
        <w:ind w:left="709" w:right="709"/>
        <w:jc w:val="both"/>
        <w:rPr>
          <w:rFonts w:ascii="Verdana" w:eastAsia="Century Gothic" w:hAnsi="Verdana" w:cs="Century Gothic"/>
          <w:sz w:val="20"/>
          <w:szCs w:val="20"/>
          <w:lang w:val="es-ES"/>
        </w:rPr>
      </w:pPr>
      <w:r w:rsidRPr="003E1C7D">
        <w:rPr>
          <w:rFonts w:ascii="Verdana" w:eastAsia="Century Gothic" w:hAnsi="Verdana" w:cs="Century Gothic"/>
          <w:sz w:val="20"/>
          <w:szCs w:val="20"/>
          <w:lang w:val="es-ES"/>
        </w:rPr>
        <w:t xml:space="preserve">“[…] </w:t>
      </w:r>
      <w:r w:rsidR="0096421D" w:rsidRPr="003E1C7D">
        <w:rPr>
          <w:rFonts w:ascii="Verdana" w:eastAsia="Century Gothic" w:hAnsi="Verdana" w:cs="Century Gothic"/>
          <w:sz w:val="20"/>
          <w:szCs w:val="20"/>
          <w:lang w:val="es-ES"/>
        </w:rPr>
        <w:t xml:space="preserve">¿La entidad estatal conforme a los principios de la Contratación está facultada para interpretar las condiciones técnicas exigidas de los bienes para dar cumplimiento al objeto del contrato? </w:t>
      </w:r>
      <w:r w:rsidRPr="003E1C7D">
        <w:rPr>
          <w:rFonts w:ascii="Verdana" w:eastAsia="Century Gothic" w:hAnsi="Verdana" w:cs="Century Gothic"/>
          <w:sz w:val="20"/>
          <w:szCs w:val="20"/>
          <w:lang w:val="es-ES"/>
        </w:rPr>
        <w:t>[…]”</w:t>
      </w:r>
    </w:p>
    <w:p w14:paraId="5434A297" w14:textId="77777777" w:rsidR="00DB614F" w:rsidRPr="003E1C7D" w:rsidRDefault="00DB614F" w:rsidP="00DB614F">
      <w:pPr>
        <w:spacing w:after="0"/>
        <w:jc w:val="both"/>
        <w:rPr>
          <w:rFonts w:ascii="Verdana" w:hAnsi="Verdana"/>
          <w:highlight w:val="cyan"/>
          <w:lang w:val="es-ES"/>
        </w:rPr>
      </w:pPr>
    </w:p>
    <w:p w14:paraId="024E4A82" w14:textId="77777777" w:rsidR="00DB614F" w:rsidRPr="003E1C7D" w:rsidRDefault="00DB614F" w:rsidP="00DB614F">
      <w:pPr>
        <w:spacing w:after="120" w:line="276" w:lineRule="auto"/>
        <w:ind w:firstLine="709"/>
        <w:jc w:val="both"/>
        <w:rPr>
          <w:rFonts w:ascii="Verdana" w:eastAsia="Calibri" w:hAnsi="Verdana" w:cs="Arial"/>
          <w:color w:val="000000"/>
          <w:lang w:val="es-ES_tradnl" w:eastAsia="es-ES_tradnl"/>
        </w:rPr>
      </w:pPr>
      <w:r w:rsidRPr="003E1C7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3E1C7D">
        <w:rPr>
          <w:rFonts w:ascii="Verdana" w:eastAsia="Calibri" w:hAnsi="Verdana" w:cs="Arial"/>
          <w:color w:val="000000"/>
          <w:lang w:val="es-ES" w:eastAsia="es-ES"/>
        </w:rPr>
        <w:lastRenderedPageBreak/>
        <w:t>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08D13ED" w14:textId="1E9772ED" w:rsidR="00DB614F" w:rsidRPr="003E1C7D" w:rsidRDefault="00DB614F" w:rsidP="00DB614F">
      <w:pPr>
        <w:spacing w:after="0" w:line="276" w:lineRule="auto"/>
        <w:ind w:firstLine="709"/>
        <w:jc w:val="both"/>
        <w:rPr>
          <w:rFonts w:ascii="Verdana" w:eastAsia="Calibri" w:hAnsi="Verdana" w:cs="Arial"/>
          <w:color w:val="000000"/>
          <w:lang w:val="es-ES" w:eastAsia="es-ES"/>
        </w:rPr>
      </w:pPr>
      <w:r w:rsidRPr="003E1C7D">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7A6F0B" w:rsidRPr="003E1C7D">
        <w:rPr>
          <w:rFonts w:ascii="Verdana" w:eastAsia="Calibri" w:hAnsi="Verdana" w:cs="Arial"/>
          <w:color w:val="000000"/>
          <w:lang w:val="es-ES" w:eastAsia="es-ES"/>
        </w:rPr>
        <w:t>los</w:t>
      </w:r>
      <w:r w:rsidRPr="003E1C7D">
        <w:rPr>
          <w:rFonts w:ascii="Verdana" w:eastAsia="Calibri" w:hAnsi="Verdana" w:cs="Arial"/>
          <w:color w:val="000000"/>
          <w:lang w:val="es-ES" w:eastAsia="es-ES"/>
        </w:rPr>
        <w:t xml:space="preserve"> problema</w:t>
      </w:r>
      <w:r w:rsidR="007A6F0B" w:rsidRPr="003E1C7D">
        <w:rPr>
          <w:rFonts w:ascii="Verdana" w:eastAsia="Calibri" w:hAnsi="Verdana" w:cs="Arial"/>
          <w:color w:val="000000"/>
          <w:lang w:val="es-ES" w:eastAsia="es-ES"/>
        </w:rPr>
        <w:t>s</w:t>
      </w:r>
      <w:r w:rsidRPr="003E1C7D">
        <w:rPr>
          <w:rFonts w:ascii="Verdana" w:eastAsia="Calibri" w:hAnsi="Verdana" w:cs="Arial"/>
          <w:color w:val="000000"/>
          <w:lang w:val="es-ES" w:eastAsia="es-ES"/>
        </w:rPr>
        <w:t xml:space="preserve"> jurídico</w:t>
      </w:r>
      <w:r w:rsidR="007A6F0B" w:rsidRPr="003E1C7D">
        <w:rPr>
          <w:rFonts w:ascii="Verdana" w:eastAsia="Calibri" w:hAnsi="Verdana" w:cs="Arial"/>
          <w:color w:val="000000"/>
          <w:lang w:val="es-ES" w:eastAsia="es-ES"/>
        </w:rPr>
        <w:t>s</w:t>
      </w:r>
      <w:r w:rsidRPr="003E1C7D">
        <w:rPr>
          <w:rFonts w:ascii="Verdana" w:eastAsia="Calibri" w:hAnsi="Verdana" w:cs="Arial"/>
          <w:color w:val="000000"/>
          <w:lang w:val="es-ES" w:eastAsia="es-ES"/>
        </w:rPr>
        <w:t xml:space="preserve"> de su consulta.  </w:t>
      </w:r>
    </w:p>
    <w:p w14:paraId="0F423582" w14:textId="77777777" w:rsidR="00DB614F" w:rsidRPr="003E1C7D" w:rsidRDefault="00DB614F" w:rsidP="00DB614F">
      <w:pPr>
        <w:spacing w:after="0"/>
        <w:jc w:val="both"/>
        <w:rPr>
          <w:rFonts w:ascii="Verdana" w:hAnsi="Verdana"/>
          <w:lang w:val="es-ES"/>
        </w:rPr>
      </w:pPr>
    </w:p>
    <w:p w14:paraId="7A0B6E80" w14:textId="77777777" w:rsidR="00DB614F" w:rsidRPr="003E1C7D" w:rsidRDefault="00DB614F" w:rsidP="00DB614F">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E1C7D">
        <w:rPr>
          <w:rFonts w:ascii="Verdana" w:eastAsia="Century Gothic" w:hAnsi="Verdana" w:cs="Century Gothic"/>
          <w:b/>
          <w:bCs/>
        </w:rPr>
        <w:t>Problema planteado:</w:t>
      </w:r>
    </w:p>
    <w:p w14:paraId="239B2022" w14:textId="77777777" w:rsidR="00DB614F" w:rsidRPr="003E1C7D" w:rsidRDefault="00DB614F" w:rsidP="00DB614F">
      <w:pPr>
        <w:spacing w:after="0"/>
        <w:jc w:val="both"/>
        <w:rPr>
          <w:rStyle w:val="Hyperlink"/>
          <w:rFonts w:ascii="Verdana" w:hAnsi="Verdana"/>
          <w:highlight w:val="cyan"/>
        </w:rPr>
      </w:pPr>
    </w:p>
    <w:p w14:paraId="112C871B" w14:textId="028F50F1" w:rsidR="00DB614F" w:rsidRPr="003E1C7D" w:rsidRDefault="00DB614F" w:rsidP="00DB614F">
      <w:pPr>
        <w:spacing w:after="0" w:line="276" w:lineRule="auto"/>
        <w:jc w:val="both"/>
        <w:rPr>
          <w:rFonts w:ascii="Verdana" w:eastAsia="Calibri" w:hAnsi="Verdana" w:cs="Arial"/>
          <w:lang w:val="es-ES" w:bidi="es-ES"/>
        </w:rPr>
      </w:pPr>
      <w:r w:rsidRPr="003E1C7D">
        <w:rPr>
          <w:rFonts w:ascii="Verdana" w:eastAsia="Century Gothic" w:hAnsi="Verdana" w:cs="Arial"/>
        </w:rPr>
        <w:t xml:space="preserve">De acuerdo con el contenido de su solicitud, esta Agencia resolverá </w:t>
      </w:r>
      <w:r w:rsidR="007A6F0B" w:rsidRPr="003E1C7D">
        <w:rPr>
          <w:rFonts w:ascii="Verdana" w:eastAsia="Century Gothic" w:hAnsi="Verdana" w:cs="Arial"/>
        </w:rPr>
        <w:t>los</w:t>
      </w:r>
      <w:r w:rsidRPr="003E1C7D">
        <w:rPr>
          <w:rFonts w:ascii="Verdana" w:eastAsia="Century Gothic" w:hAnsi="Verdana" w:cs="Arial"/>
        </w:rPr>
        <w:t xml:space="preserve"> siguiente</w:t>
      </w:r>
      <w:r w:rsidR="007A6F0B" w:rsidRPr="003E1C7D">
        <w:rPr>
          <w:rFonts w:ascii="Verdana" w:eastAsia="Century Gothic" w:hAnsi="Verdana" w:cs="Arial"/>
        </w:rPr>
        <w:t>s</w:t>
      </w:r>
      <w:r w:rsidRPr="003E1C7D">
        <w:rPr>
          <w:rFonts w:ascii="Verdana" w:eastAsia="Century Gothic" w:hAnsi="Verdana" w:cs="Arial"/>
        </w:rPr>
        <w:t xml:space="preserve"> problema</w:t>
      </w:r>
      <w:r w:rsidR="007A6F0B" w:rsidRPr="003E1C7D">
        <w:rPr>
          <w:rFonts w:ascii="Verdana" w:eastAsia="Century Gothic" w:hAnsi="Verdana" w:cs="Arial"/>
        </w:rPr>
        <w:t>s</w:t>
      </w:r>
      <w:r w:rsidRPr="003E1C7D">
        <w:rPr>
          <w:rFonts w:ascii="Verdana" w:eastAsia="Century Gothic" w:hAnsi="Verdana" w:cs="Arial"/>
        </w:rPr>
        <w:t xml:space="preserve"> jurídico</w:t>
      </w:r>
      <w:r w:rsidR="007A6F0B" w:rsidRPr="003E1C7D">
        <w:rPr>
          <w:rFonts w:ascii="Verdana" w:eastAsia="Century Gothic" w:hAnsi="Verdana" w:cs="Arial"/>
        </w:rPr>
        <w:t>s</w:t>
      </w:r>
      <w:r w:rsidRPr="003E1C7D">
        <w:rPr>
          <w:rFonts w:ascii="Verdana" w:eastAsia="Century Gothic" w:hAnsi="Verdana" w:cs="Arial"/>
        </w:rPr>
        <w:t xml:space="preserve">: </w:t>
      </w:r>
      <w:r w:rsidR="007A6F0B" w:rsidRPr="003E1C7D">
        <w:rPr>
          <w:rFonts w:ascii="Verdana" w:eastAsia="Century Gothic" w:hAnsi="Verdana" w:cs="Arial"/>
        </w:rPr>
        <w:t xml:space="preserve">i) </w:t>
      </w:r>
      <w:r w:rsidR="00E2347C" w:rsidRPr="003E1C7D">
        <w:rPr>
          <w:rFonts w:ascii="Verdana" w:eastAsia="Century Gothic" w:hAnsi="Verdana" w:cs="Century Gothic"/>
        </w:rPr>
        <w:t>¿</w:t>
      </w:r>
      <w:r w:rsidR="00055092" w:rsidRPr="003E1C7D">
        <w:rPr>
          <w:rFonts w:ascii="Verdana" w:eastAsia="Century Gothic" w:hAnsi="Verdana" w:cs="Century Gothic"/>
        </w:rPr>
        <w:t>C</w:t>
      </w:r>
      <w:r w:rsidR="00E2347C" w:rsidRPr="003E1C7D">
        <w:rPr>
          <w:rFonts w:ascii="Verdana" w:eastAsia="Century Gothic" w:hAnsi="Verdana" w:cs="Century Gothic"/>
        </w:rPr>
        <w:t xml:space="preserve">ómo una Entidad Estatal </w:t>
      </w:r>
      <w:r w:rsidR="007A798A" w:rsidRPr="003E1C7D">
        <w:rPr>
          <w:rFonts w:ascii="Verdana" w:eastAsia="Century Gothic" w:hAnsi="Verdana" w:cs="Century Gothic"/>
        </w:rPr>
        <w:t>determina las especificaciones técnicas de la necesidad que se pretende satisfacer</w:t>
      </w:r>
      <w:r w:rsidR="00407184" w:rsidRPr="003E1C7D">
        <w:rPr>
          <w:rFonts w:ascii="Verdana" w:eastAsia="Century Gothic" w:hAnsi="Verdana" w:cs="Century Gothic"/>
        </w:rPr>
        <w:t xml:space="preserve"> mediante la suscripción de un contrato estatal</w:t>
      </w:r>
      <w:r w:rsidR="00E2347C" w:rsidRPr="003E1C7D">
        <w:rPr>
          <w:rFonts w:ascii="Verdana" w:eastAsia="Century Gothic" w:hAnsi="Verdana" w:cs="Century Gothic"/>
        </w:rPr>
        <w:t>?</w:t>
      </w:r>
      <w:r w:rsidR="007A6F0B" w:rsidRPr="003E1C7D">
        <w:rPr>
          <w:rFonts w:ascii="Verdana" w:eastAsia="Century Gothic" w:hAnsi="Verdana" w:cs="Century Gothic"/>
        </w:rPr>
        <w:t xml:space="preserve">; </w:t>
      </w:r>
      <w:proofErr w:type="spellStart"/>
      <w:r w:rsidR="007A6F0B" w:rsidRPr="003E1C7D">
        <w:rPr>
          <w:rFonts w:ascii="Verdana" w:eastAsia="Century Gothic" w:hAnsi="Verdana" w:cs="Century Gothic"/>
        </w:rPr>
        <w:t>ii</w:t>
      </w:r>
      <w:proofErr w:type="spellEnd"/>
      <w:r w:rsidR="007A6F0B" w:rsidRPr="003E1C7D">
        <w:rPr>
          <w:rFonts w:ascii="Verdana" w:eastAsia="Century Gothic" w:hAnsi="Verdana" w:cs="Century Gothic"/>
        </w:rPr>
        <w:t xml:space="preserve">) </w:t>
      </w:r>
      <w:r w:rsidR="001A1375" w:rsidRPr="003E1C7D">
        <w:rPr>
          <w:rFonts w:ascii="Verdana" w:eastAsia="Century Gothic" w:hAnsi="Verdana" w:cs="Century Gothic"/>
        </w:rPr>
        <w:t xml:space="preserve">¿Cómo una Entidad Estatal </w:t>
      </w:r>
      <w:r w:rsidR="005E1F35" w:rsidRPr="003E1C7D">
        <w:rPr>
          <w:rFonts w:ascii="Verdana" w:eastAsia="Century Gothic" w:hAnsi="Verdana" w:cs="Century Gothic"/>
        </w:rPr>
        <w:t xml:space="preserve">ejerce la potestad </w:t>
      </w:r>
      <w:r w:rsidR="00B648D8" w:rsidRPr="003E1C7D">
        <w:rPr>
          <w:rFonts w:ascii="Verdana" w:eastAsia="Century Gothic" w:hAnsi="Verdana" w:cs="Century Gothic"/>
        </w:rPr>
        <w:t xml:space="preserve">discrecional de interpretación o hermenéutica </w:t>
      </w:r>
      <w:r w:rsidR="005B5C4C" w:rsidRPr="003E1C7D">
        <w:rPr>
          <w:rFonts w:ascii="Verdana" w:eastAsia="Century Gothic" w:hAnsi="Verdana" w:cs="Century Gothic"/>
        </w:rPr>
        <w:t>en el</w:t>
      </w:r>
      <w:r w:rsidR="00D566E3" w:rsidRPr="003E1C7D">
        <w:rPr>
          <w:rFonts w:ascii="Verdana" w:eastAsia="Century Gothic" w:hAnsi="Verdana" w:cs="Century Gothic"/>
        </w:rPr>
        <w:t xml:space="preserve"> pliego de condiciones? </w:t>
      </w:r>
    </w:p>
    <w:p w14:paraId="71450DB7" w14:textId="77777777" w:rsidR="00322A85" w:rsidRPr="003E1C7D" w:rsidRDefault="00322A85" w:rsidP="00E245AB">
      <w:pPr>
        <w:spacing w:after="0"/>
        <w:jc w:val="both"/>
        <w:rPr>
          <w:rStyle w:val="Hyperlink"/>
          <w:rFonts w:ascii="Verdana" w:hAnsi="Verdana"/>
          <w:lang w:val="es-ES"/>
        </w:rPr>
      </w:pPr>
    </w:p>
    <w:p w14:paraId="7491FB0B" w14:textId="77777777" w:rsidR="002C6C96" w:rsidRPr="003E1C7D" w:rsidRDefault="002C6C96" w:rsidP="002C6C96">
      <w:pPr>
        <w:widowControl w:val="0"/>
        <w:autoSpaceDE w:val="0"/>
        <w:autoSpaceDN w:val="0"/>
        <w:spacing w:before="1" w:after="0" w:line="240" w:lineRule="auto"/>
        <w:jc w:val="both"/>
        <w:outlineLvl w:val="0"/>
        <w:rPr>
          <w:rFonts w:ascii="Verdana" w:eastAsia="Arial" w:hAnsi="Verdana" w:cs="Arial"/>
          <w:b/>
          <w:bCs/>
          <w:lang w:val="es-ES"/>
        </w:rPr>
      </w:pPr>
      <w:r w:rsidRPr="003E1C7D">
        <w:rPr>
          <w:rFonts w:ascii="Verdana" w:eastAsia="Arial" w:hAnsi="Verdana" w:cs="Arial"/>
          <w:b/>
          <w:bCs/>
          <w:lang w:val="es-ES"/>
        </w:rPr>
        <w:t>Respuesta:</w:t>
      </w:r>
    </w:p>
    <w:p w14:paraId="1F58CEC2" w14:textId="77777777" w:rsidR="002C6C96" w:rsidRPr="003E1C7D" w:rsidRDefault="002C6C96" w:rsidP="002C6C96">
      <w:pPr>
        <w:spacing w:after="0"/>
        <w:rPr>
          <w:rFonts w:ascii="Verdana" w:eastAsia="Aptos" w:hAnsi="Verdana" w:cs="Times New Roman"/>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C6C96" w:rsidRPr="003E1C7D" w14:paraId="5E55105B" w14:textId="77777777" w:rsidTr="00082822">
        <w:tc>
          <w:tcPr>
            <w:tcW w:w="8828" w:type="dxa"/>
            <w:shd w:val="clear" w:color="auto" w:fill="auto"/>
          </w:tcPr>
          <w:p w14:paraId="084CF60B" w14:textId="0650A65C" w:rsidR="00B21D62" w:rsidRPr="003E1C7D" w:rsidRDefault="00B21D62" w:rsidP="00B21D62">
            <w:pPr>
              <w:spacing w:after="120" w:line="276" w:lineRule="auto"/>
              <w:jc w:val="both"/>
              <w:rPr>
                <w:rFonts w:ascii="Verdana" w:eastAsia="Calibri" w:hAnsi="Verdana" w:cs="Arial"/>
                <w:lang w:val="es-ES"/>
              </w:rPr>
            </w:pPr>
            <w:bookmarkStart w:id="1" w:name="_Hlk171067516"/>
            <w:r w:rsidRPr="003E1C7D">
              <w:rPr>
                <w:rFonts w:ascii="Verdana" w:eastAsia="Calibri" w:hAnsi="Verdana" w:cs="Arial"/>
                <w:lang w:val="es-ES"/>
              </w:rPr>
              <w:t>En respuesta a</w:t>
            </w:r>
            <w:r w:rsidR="00F61C4E" w:rsidRPr="003E1C7D">
              <w:rPr>
                <w:rFonts w:ascii="Verdana" w:eastAsia="Calibri" w:hAnsi="Verdana" w:cs="Arial"/>
                <w:lang w:val="es-ES"/>
              </w:rPr>
              <w:t xml:space="preserve"> </w:t>
            </w:r>
            <w:r w:rsidRPr="003E1C7D">
              <w:rPr>
                <w:rFonts w:ascii="Verdana" w:eastAsia="Calibri" w:hAnsi="Verdana" w:cs="Arial"/>
                <w:lang w:val="es-ES"/>
              </w:rPr>
              <w:t>l</w:t>
            </w:r>
            <w:r w:rsidR="00F61C4E" w:rsidRPr="003E1C7D">
              <w:rPr>
                <w:rFonts w:ascii="Verdana" w:eastAsia="Calibri" w:hAnsi="Verdana" w:cs="Arial"/>
                <w:lang w:val="es-ES"/>
              </w:rPr>
              <w:t>os</w:t>
            </w:r>
            <w:r w:rsidRPr="003E1C7D">
              <w:rPr>
                <w:rFonts w:ascii="Verdana" w:eastAsia="Calibri" w:hAnsi="Verdana" w:cs="Arial"/>
                <w:lang w:val="es-ES"/>
              </w:rPr>
              <w:t xml:space="preserve"> problema</w:t>
            </w:r>
            <w:r w:rsidR="00F61C4E" w:rsidRPr="003E1C7D">
              <w:rPr>
                <w:rFonts w:ascii="Verdana" w:eastAsia="Calibri" w:hAnsi="Verdana" w:cs="Arial"/>
                <w:lang w:val="es-ES"/>
              </w:rPr>
              <w:t>s</w:t>
            </w:r>
            <w:r w:rsidRPr="003E1C7D">
              <w:rPr>
                <w:rFonts w:ascii="Verdana" w:eastAsia="Calibri" w:hAnsi="Verdana" w:cs="Arial"/>
                <w:lang w:val="es-ES"/>
              </w:rPr>
              <w:t xml:space="preserve"> planteado</w:t>
            </w:r>
            <w:r w:rsidR="00F61C4E" w:rsidRPr="003E1C7D">
              <w:rPr>
                <w:rFonts w:ascii="Verdana" w:eastAsia="Calibri" w:hAnsi="Verdana" w:cs="Arial"/>
                <w:lang w:val="es-ES"/>
              </w:rPr>
              <w:t>s</w:t>
            </w:r>
            <w:r w:rsidRPr="003E1C7D">
              <w:rPr>
                <w:rFonts w:ascii="Verdana" w:eastAsia="Calibri" w:hAnsi="Verdana" w:cs="Arial"/>
                <w:lang w:val="es-ES"/>
              </w:rPr>
              <w:t xml:space="preserve"> esta Subdirección manifiesta:</w:t>
            </w:r>
          </w:p>
          <w:p w14:paraId="4C8664B3" w14:textId="77777777" w:rsidR="002C6C96" w:rsidRPr="003E1C7D" w:rsidRDefault="002C6C96" w:rsidP="00B21D62">
            <w:pPr>
              <w:spacing w:after="120" w:line="276" w:lineRule="auto"/>
              <w:jc w:val="both"/>
              <w:rPr>
                <w:rFonts w:ascii="Verdana" w:eastAsia="Calibri" w:hAnsi="Verdana" w:cs="Arial"/>
                <w:lang w:val="es-ES"/>
              </w:rPr>
            </w:pPr>
            <w:r w:rsidRPr="003E1C7D">
              <w:rPr>
                <w:rFonts w:ascii="Verdana" w:eastAsia="Calibri" w:hAnsi="Verdana" w:cs="Arial"/>
              </w:rPr>
              <w:t xml:space="preserve">La normativa en materia de contratación estatal establece la obligatoriedad de realizar el análisis necesario para conocer el sector relativo al objeto del Proceso de Contratación, no obstante, no determina un procedimiento específico para efectuar </w:t>
            </w:r>
            <w:r w:rsidR="00274727" w:rsidRPr="003E1C7D">
              <w:rPr>
                <w:rFonts w:ascii="Verdana" w:eastAsia="Calibri" w:hAnsi="Verdana" w:cs="Arial"/>
              </w:rPr>
              <w:t xml:space="preserve">el mencionado </w:t>
            </w:r>
            <w:r w:rsidRPr="003E1C7D">
              <w:rPr>
                <w:rFonts w:ascii="Verdana" w:eastAsia="Calibri" w:hAnsi="Verdana" w:cs="Arial"/>
              </w:rPr>
              <w:t xml:space="preserve">análisis, por </w:t>
            </w:r>
            <w:r w:rsidR="00B21D62" w:rsidRPr="003E1C7D">
              <w:rPr>
                <w:rFonts w:ascii="Verdana" w:eastAsia="Calibri" w:hAnsi="Verdana" w:cs="Arial"/>
              </w:rPr>
              <w:t xml:space="preserve">esta razón </w:t>
            </w:r>
            <w:r w:rsidRPr="003E1C7D">
              <w:rPr>
                <w:rFonts w:ascii="Verdana" w:eastAsia="Calibri" w:hAnsi="Verdana" w:cs="Arial"/>
                <w:lang w:val="es-ES"/>
              </w:rPr>
              <w:t xml:space="preserve">las Entidades Estatales en el marco del principio de autonomía, se encuentran facultadas para determinar las metodologías que aplicarán para </w:t>
            </w:r>
            <w:r w:rsidR="00B21D62" w:rsidRPr="003E1C7D">
              <w:rPr>
                <w:rFonts w:ascii="Verdana" w:eastAsia="Calibri" w:hAnsi="Verdana" w:cs="Arial"/>
                <w:lang w:val="es-ES"/>
              </w:rPr>
              <w:t xml:space="preserve">determinar </w:t>
            </w:r>
            <w:r w:rsidR="003C5C12" w:rsidRPr="003E1C7D">
              <w:rPr>
                <w:rFonts w:ascii="Verdana" w:eastAsia="Calibri" w:hAnsi="Verdana" w:cs="Arial"/>
                <w:lang w:val="es-ES"/>
              </w:rPr>
              <w:t xml:space="preserve">las especificaciones técnicas de la necesidad que se </w:t>
            </w:r>
            <w:r w:rsidR="003C5C12" w:rsidRPr="003E1C7D">
              <w:rPr>
                <w:rFonts w:ascii="Verdana" w:eastAsia="Century Gothic" w:hAnsi="Verdana" w:cs="Century Gothic"/>
              </w:rPr>
              <w:t>pretende satisfacer mediante la suscripción de un contrato estatal</w:t>
            </w:r>
            <w:r w:rsidRPr="003E1C7D">
              <w:rPr>
                <w:rFonts w:ascii="Verdana" w:eastAsia="Calibri" w:hAnsi="Verdana" w:cs="Arial"/>
                <w:lang w:val="es-ES"/>
              </w:rPr>
              <w:t xml:space="preserve">, esto, claramente, bajo la observancia de las reglas dispuestas en las normas generales aplicables a la contratación pública –Ley 80 de 1993, Ley 1150 de 2007, Decreto 1082 de 2015, entre </w:t>
            </w:r>
            <w:r w:rsidRPr="003E1C7D">
              <w:rPr>
                <w:rFonts w:ascii="Verdana" w:eastAsia="Calibri" w:hAnsi="Verdana" w:cs="Arial"/>
                <w:lang w:val="es-ES"/>
              </w:rPr>
              <w:lastRenderedPageBreak/>
              <w:t xml:space="preserve">otras–, a fin de que se </w:t>
            </w:r>
            <w:r w:rsidRPr="003E1C7D">
              <w:rPr>
                <w:rFonts w:ascii="Verdana" w:eastAsia="Calibri" w:hAnsi="Verdana" w:cs="Arial"/>
              </w:rPr>
              <w:t xml:space="preserve">realice un análisis integral de planeación que sirva de sustento a la decisión de dar inicio a un Proceso de contratación. </w:t>
            </w:r>
            <w:r w:rsidRPr="003E1C7D">
              <w:rPr>
                <w:rFonts w:ascii="Verdana" w:eastAsia="Calibri" w:hAnsi="Verdana" w:cs="Arial"/>
                <w:lang w:val="es-ES"/>
              </w:rPr>
              <w:t xml:space="preserve"> </w:t>
            </w:r>
          </w:p>
          <w:p w14:paraId="56849B5B" w14:textId="69D370B3" w:rsidR="00B722FD" w:rsidRPr="003E1C7D" w:rsidRDefault="00CB543C" w:rsidP="00B21D62">
            <w:pPr>
              <w:spacing w:after="120" w:line="276" w:lineRule="auto"/>
              <w:jc w:val="both"/>
              <w:rPr>
                <w:rFonts w:ascii="Verdana" w:eastAsia="Calibri" w:hAnsi="Verdana" w:cs="Arial"/>
                <w:lang w:val="es-ES"/>
              </w:rPr>
            </w:pPr>
            <w:r w:rsidRPr="003E1C7D">
              <w:rPr>
                <w:rFonts w:ascii="Verdana" w:eastAsia="Calibri" w:hAnsi="Verdana" w:cs="Arial"/>
                <w:lang w:val="es-ES"/>
              </w:rPr>
              <w:t xml:space="preserve">Ahora bien, en lo que respecta </w:t>
            </w:r>
            <w:r w:rsidR="000B1784" w:rsidRPr="003E1C7D">
              <w:rPr>
                <w:rFonts w:ascii="Verdana" w:eastAsia="Calibri" w:hAnsi="Verdana" w:cs="Arial"/>
                <w:lang w:val="es-ES"/>
              </w:rPr>
              <w:t xml:space="preserve">a la facultad que tienen </w:t>
            </w:r>
            <w:r w:rsidR="00120EA1" w:rsidRPr="003E1C7D">
              <w:rPr>
                <w:rFonts w:ascii="Verdana" w:eastAsia="Calibri" w:hAnsi="Verdana" w:cs="Arial"/>
                <w:lang w:val="es-ES"/>
              </w:rPr>
              <w:t xml:space="preserve">las Entidades Estatales, para interpretar </w:t>
            </w:r>
            <w:r w:rsidR="009B3CF1" w:rsidRPr="003E1C7D">
              <w:rPr>
                <w:rFonts w:ascii="Verdana" w:eastAsia="Calibri" w:hAnsi="Verdana" w:cs="Arial"/>
                <w:lang w:val="es-ES"/>
              </w:rPr>
              <w:t>los pliegos de condiciones, debe ponerse de presente que la jurisprudencia del Consejo de Estado reconoce</w:t>
            </w:r>
            <w:r w:rsidR="00D063E5" w:rsidRPr="003E1C7D">
              <w:rPr>
                <w:rFonts w:ascii="Verdana" w:eastAsia="Calibri" w:hAnsi="Verdana" w:cs="Arial"/>
                <w:lang w:val="es-ES"/>
              </w:rPr>
              <w:t xml:space="preserve"> </w:t>
            </w:r>
            <w:r w:rsidR="004742A9" w:rsidRPr="003E1C7D">
              <w:rPr>
                <w:rFonts w:ascii="Verdana" w:eastAsia="Calibri" w:hAnsi="Verdana" w:cs="Arial"/>
                <w:lang w:val="es-ES"/>
              </w:rPr>
              <w:t>esta</w:t>
            </w:r>
            <w:r w:rsidR="009B3CF1" w:rsidRPr="003E1C7D">
              <w:rPr>
                <w:rFonts w:ascii="Verdana" w:eastAsia="Calibri" w:hAnsi="Verdana" w:cs="Arial"/>
                <w:lang w:val="es-ES"/>
              </w:rPr>
              <w:t xml:space="preserve"> </w:t>
            </w:r>
            <w:r w:rsidR="00EC65A2" w:rsidRPr="003E1C7D">
              <w:rPr>
                <w:rFonts w:ascii="Verdana" w:eastAsia="Calibri" w:hAnsi="Verdana" w:cs="Arial"/>
                <w:lang w:val="es-ES"/>
              </w:rPr>
              <w:t xml:space="preserve">potestad </w:t>
            </w:r>
            <w:r w:rsidR="00A8360D" w:rsidRPr="003E1C7D">
              <w:rPr>
                <w:rFonts w:ascii="Verdana" w:eastAsia="Calibri" w:hAnsi="Verdana" w:cs="Arial"/>
                <w:lang w:val="es-ES"/>
              </w:rPr>
              <w:t xml:space="preserve">a favor de las Entidades </w:t>
            </w:r>
            <w:r w:rsidR="004742A9" w:rsidRPr="003E1C7D">
              <w:rPr>
                <w:rFonts w:ascii="Verdana" w:eastAsia="Calibri" w:hAnsi="Verdana" w:cs="Arial"/>
                <w:lang w:val="es-ES"/>
              </w:rPr>
              <w:t xml:space="preserve">en tanto </w:t>
            </w:r>
            <w:r w:rsidR="004D70E7" w:rsidRPr="003E1C7D">
              <w:rPr>
                <w:rFonts w:ascii="Verdana" w:eastAsia="Calibri" w:hAnsi="Verdana" w:cs="Arial"/>
                <w:lang w:val="es-ES"/>
              </w:rPr>
              <w:t xml:space="preserve">a que </w:t>
            </w:r>
            <w:r w:rsidR="00F42D57" w:rsidRPr="003E1C7D">
              <w:rPr>
                <w:rFonts w:ascii="Verdana" w:eastAsia="Calibri" w:hAnsi="Verdana" w:cs="Arial"/>
                <w:lang w:val="es-ES"/>
              </w:rPr>
              <w:t>es posible que el pliego contenga ciertos vacíos o lagunas –con independencia de que se trate de un acto extremadamente reglado– razón por la que es factible que se presenten problemas hermenéuticos típicos de cualquier norma o precepto, razón por la que es preciso que el operador acuda a los postulados fijados por el legislador para brindar herramientas interpretativas; en el caso contractual administrativo, el estatuto de contratación de la administración pública remite a los principios de la función administrativa, a los generales del derecho, a los propios del derecho privado –civil y/o comercial–, y a los particulares del derecho administrativo.</w:t>
            </w:r>
          </w:p>
          <w:p w14:paraId="3FA5FFD9" w14:textId="4D84399B" w:rsidR="000411AA" w:rsidRPr="003E1C7D" w:rsidRDefault="000411AA" w:rsidP="00B21D62">
            <w:pPr>
              <w:spacing w:after="120" w:line="276" w:lineRule="auto"/>
              <w:jc w:val="both"/>
              <w:rPr>
                <w:rFonts w:ascii="Verdana" w:eastAsia="Calibri" w:hAnsi="Verdana" w:cs="Arial"/>
              </w:rPr>
            </w:pPr>
            <w:r w:rsidRPr="003E1C7D">
              <w:rPr>
                <w:rFonts w:ascii="Verdana" w:eastAsia="Calibri" w:hAnsi="Verdana" w:cs="Arial"/>
              </w:rPr>
              <w:t xml:space="preserve">En </w:t>
            </w:r>
            <w:r w:rsidR="004D70E7" w:rsidRPr="003E1C7D">
              <w:rPr>
                <w:rFonts w:ascii="Verdana" w:eastAsia="Calibri" w:hAnsi="Verdana" w:cs="Arial"/>
              </w:rPr>
              <w:t>estos</w:t>
            </w:r>
            <w:r w:rsidRPr="003E1C7D">
              <w:rPr>
                <w:rFonts w:ascii="Verdana" w:eastAsia="Calibri" w:hAnsi="Verdana" w:cs="Arial"/>
              </w:rPr>
              <w:t xml:space="preserve"> términos, la administración pública cuenta con una compleja gama de herramientas que le permiten salvaguardar el proceso licitatorio frente a posibles lagunas o problemas interpretativos que se presenten en el pliego de condiciones.</w:t>
            </w:r>
            <w:r w:rsidR="00064558" w:rsidRPr="003E1C7D">
              <w:rPr>
                <w:rFonts w:ascii="Verdana" w:eastAsia="Calibri" w:hAnsi="Verdana" w:cs="Arial"/>
              </w:rPr>
              <w:t xml:space="preserve"> No obstante, </w:t>
            </w:r>
            <w:r w:rsidR="006C6474" w:rsidRPr="003E1C7D">
              <w:rPr>
                <w:rFonts w:ascii="Verdana" w:eastAsia="Calibri" w:hAnsi="Verdana" w:cs="Arial"/>
              </w:rPr>
              <w:t xml:space="preserve">el </w:t>
            </w:r>
            <w:r w:rsidR="00492BEB" w:rsidRPr="003E1C7D">
              <w:rPr>
                <w:rFonts w:ascii="Verdana" w:eastAsia="Calibri" w:hAnsi="Verdana" w:cs="Arial"/>
              </w:rPr>
              <w:t>hecho de que la ley y la jurisprudencia hayan reconocido en cabeza de la administración estatal la facultad o potestad de interpretación de los pliegos de condiciones, ello no puede constituir una patente de corso para que las entidades elaboren pliegos ambiguos, confusos, anfibológicos, farragosos, sinuosos, inasibles u abstrusos.</w:t>
            </w:r>
          </w:p>
        </w:tc>
      </w:tr>
      <w:bookmarkEnd w:id="1"/>
    </w:tbl>
    <w:p w14:paraId="00615BD0" w14:textId="77777777" w:rsidR="002C6C96" w:rsidRPr="003E1C7D" w:rsidRDefault="002C6C96" w:rsidP="002C6C96">
      <w:pPr>
        <w:widowControl w:val="0"/>
        <w:autoSpaceDE w:val="0"/>
        <w:autoSpaceDN w:val="0"/>
        <w:spacing w:before="1" w:after="0" w:line="240" w:lineRule="auto"/>
        <w:ind w:left="360" w:hanging="360"/>
        <w:outlineLvl w:val="0"/>
        <w:rPr>
          <w:rFonts w:ascii="Verdana" w:eastAsia="Arial" w:hAnsi="Verdana" w:cs="Arial"/>
          <w:b/>
          <w:bCs/>
          <w:lang w:val="es-ES"/>
        </w:rPr>
      </w:pPr>
    </w:p>
    <w:p w14:paraId="320BEB7E" w14:textId="77777777" w:rsidR="002C6C96" w:rsidRPr="003E1C7D" w:rsidRDefault="002C6C96" w:rsidP="002C6C96">
      <w:pPr>
        <w:widowControl w:val="0"/>
        <w:autoSpaceDE w:val="0"/>
        <w:autoSpaceDN w:val="0"/>
        <w:spacing w:before="1" w:after="0" w:line="240" w:lineRule="auto"/>
        <w:ind w:left="360" w:hanging="360"/>
        <w:outlineLvl w:val="0"/>
        <w:rPr>
          <w:rFonts w:ascii="Verdana" w:eastAsia="Arial" w:hAnsi="Verdana" w:cs="Arial"/>
          <w:b/>
          <w:bCs/>
          <w:lang w:val="es-ES"/>
        </w:rPr>
      </w:pPr>
      <w:r w:rsidRPr="003E1C7D">
        <w:rPr>
          <w:rFonts w:ascii="Verdana" w:eastAsia="Arial" w:hAnsi="Verdana" w:cs="Arial"/>
          <w:b/>
          <w:bCs/>
          <w:lang w:val="es-ES"/>
        </w:rPr>
        <w:t>3. Razones de la respuesta</w:t>
      </w:r>
    </w:p>
    <w:p w14:paraId="0E560BB5" w14:textId="77777777" w:rsidR="002C6C96" w:rsidRPr="003E1C7D" w:rsidRDefault="002C6C96" w:rsidP="002C6C96">
      <w:pPr>
        <w:spacing w:after="0" w:line="276" w:lineRule="auto"/>
        <w:jc w:val="both"/>
        <w:rPr>
          <w:rFonts w:ascii="Verdana" w:eastAsia="Calibri" w:hAnsi="Verdana" w:cs="Arial"/>
          <w:lang w:val="es-ES"/>
        </w:rPr>
      </w:pPr>
    </w:p>
    <w:p w14:paraId="160BD2D5" w14:textId="77777777" w:rsidR="002C6C96" w:rsidRPr="003E1C7D" w:rsidRDefault="002C6C96" w:rsidP="002C6C96">
      <w:pPr>
        <w:spacing w:after="0" w:line="276" w:lineRule="auto"/>
        <w:jc w:val="both"/>
        <w:rPr>
          <w:rFonts w:ascii="Verdana" w:eastAsia="Calibri" w:hAnsi="Verdana" w:cs="Arial"/>
          <w:lang w:val="es-ES"/>
        </w:rPr>
      </w:pPr>
      <w:r w:rsidRPr="003E1C7D">
        <w:rPr>
          <w:rFonts w:ascii="Verdana" w:eastAsia="Calibri" w:hAnsi="Verdana" w:cs="Arial"/>
          <w:lang w:val="es-ES"/>
        </w:rPr>
        <w:t xml:space="preserve">Las respuestas anteriores se sustentan en las siguientes consideraciones: </w:t>
      </w:r>
    </w:p>
    <w:p w14:paraId="5EA3F212" w14:textId="77777777" w:rsidR="002C6C96" w:rsidRPr="003E1C7D" w:rsidRDefault="002C6C96" w:rsidP="002C6C96">
      <w:pPr>
        <w:spacing w:after="0" w:line="276" w:lineRule="auto"/>
        <w:contextualSpacing/>
        <w:jc w:val="both"/>
        <w:rPr>
          <w:rFonts w:ascii="Verdana" w:eastAsia="Calibri" w:hAnsi="Verdana" w:cs="Arial"/>
          <w:lang w:val="es-ES"/>
        </w:rPr>
      </w:pPr>
    </w:p>
    <w:p w14:paraId="528A7B53" w14:textId="77777777" w:rsidR="002C6C96" w:rsidRPr="003E1C7D" w:rsidRDefault="002C6C96" w:rsidP="002C6C96">
      <w:pPr>
        <w:numPr>
          <w:ilvl w:val="0"/>
          <w:numId w:val="19"/>
        </w:numPr>
        <w:spacing w:after="0" w:line="276" w:lineRule="auto"/>
        <w:contextualSpacing/>
        <w:jc w:val="both"/>
        <w:rPr>
          <w:rFonts w:ascii="Verdana" w:eastAsia="Calibri" w:hAnsi="Verdana" w:cs="Arial"/>
          <w:lang w:val="es-ES"/>
        </w:rPr>
      </w:pPr>
      <w:bookmarkStart w:id="2" w:name="_Hlk173311098"/>
      <w:r w:rsidRPr="003E1C7D">
        <w:rPr>
          <w:rFonts w:ascii="Verdana" w:eastAsia="Calibri" w:hAnsi="Verdana" w:cs="Arial"/>
          <w:lang w:val="es-ES"/>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25A9F060" w14:textId="77777777" w:rsidR="002C6C96" w:rsidRPr="003E1C7D" w:rsidRDefault="002C6C96" w:rsidP="002C6C96">
      <w:pPr>
        <w:spacing w:after="0" w:line="276" w:lineRule="auto"/>
        <w:ind w:left="720"/>
        <w:contextualSpacing/>
        <w:jc w:val="both"/>
        <w:rPr>
          <w:rFonts w:ascii="Verdana" w:eastAsia="Calibri" w:hAnsi="Verdana" w:cs="Arial"/>
          <w:lang w:val="es-ES"/>
        </w:rPr>
      </w:pPr>
    </w:p>
    <w:p w14:paraId="037768D2" w14:textId="77777777" w:rsidR="002C6C96" w:rsidRPr="003E1C7D" w:rsidRDefault="002C6C96" w:rsidP="002C6C96">
      <w:pPr>
        <w:numPr>
          <w:ilvl w:val="0"/>
          <w:numId w:val="19"/>
        </w:numPr>
        <w:spacing w:after="0" w:line="276" w:lineRule="auto"/>
        <w:contextualSpacing/>
        <w:jc w:val="both"/>
        <w:rPr>
          <w:rFonts w:ascii="Verdana" w:eastAsia="Calibri" w:hAnsi="Verdana" w:cs="Arial"/>
          <w:lang w:val="es-ES"/>
        </w:rPr>
      </w:pPr>
      <w:r w:rsidRPr="003E1C7D">
        <w:rPr>
          <w:rFonts w:ascii="Verdana" w:eastAsia="Calibri" w:hAnsi="Verdana" w:cs="Arial"/>
          <w:lang w:val="es-ES"/>
        </w:rPr>
        <w:t>En ese sentido, se tiene que el Estatuto General de Contratación de la Administración Pública, en adelante EGCAP, 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valor del futuro contrato y su correlativo respaldo presupuestal, se tienen, por ejemplo, las siguientes reglas derivadas de la aplicación del principio de economía previsto en el artículo 25 de la Ley 80 de 1993:</w:t>
      </w:r>
    </w:p>
    <w:p w14:paraId="16FD00E1" w14:textId="77777777" w:rsidR="002C6C96" w:rsidRPr="003E1C7D" w:rsidRDefault="002C6C96" w:rsidP="002C6C96">
      <w:pPr>
        <w:pStyle w:val="ListParagraph"/>
        <w:rPr>
          <w:rFonts w:ascii="Verdana" w:eastAsia="Calibri" w:hAnsi="Verdana" w:cs="Arial"/>
        </w:rPr>
      </w:pPr>
    </w:p>
    <w:p w14:paraId="37C608A2" w14:textId="255B705C"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w:t>
      </w:r>
      <w:r w:rsidR="0073556D" w:rsidRPr="003E1C7D">
        <w:rPr>
          <w:rFonts w:ascii="Verdana" w:eastAsia="Calibri" w:hAnsi="Verdana" w:cs="Arial"/>
          <w:sz w:val="20"/>
          <w:szCs w:val="20"/>
        </w:rPr>
        <w:t xml:space="preserve"> </w:t>
      </w:r>
      <w:r w:rsidRPr="003E1C7D">
        <w:rPr>
          <w:rFonts w:ascii="Verdana" w:eastAsia="Calibri" w:hAnsi="Verdana" w:cs="Arial"/>
          <w:sz w:val="20"/>
          <w:szCs w:val="20"/>
        </w:rPr>
        <w:t>7o. La conveniencia o inconveniencia del objeto a contratar y las autorizaciones y aprobaciones para ello, se analizarán o impartirán con antelación al inicio del proceso de selección del contratista o al de la firma del contrato, según el caso.</w:t>
      </w:r>
    </w:p>
    <w:p w14:paraId="4C6B9A4A" w14:textId="77777777" w:rsidR="0073556D" w:rsidRPr="003E1C7D" w:rsidRDefault="0073556D" w:rsidP="0073556D">
      <w:pPr>
        <w:pStyle w:val="ListParagraph"/>
        <w:spacing w:after="0" w:line="240" w:lineRule="auto"/>
        <w:ind w:left="1416" w:right="709"/>
        <w:jc w:val="both"/>
        <w:rPr>
          <w:rFonts w:ascii="Verdana" w:eastAsia="Calibri" w:hAnsi="Verdana" w:cs="Arial"/>
          <w:sz w:val="20"/>
          <w:szCs w:val="20"/>
        </w:rPr>
      </w:pPr>
    </w:p>
    <w:p w14:paraId="4345F1EA"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w:t>
      </w:r>
    </w:p>
    <w:p w14:paraId="6D5E7E4A"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12.</w:t>
      </w:r>
      <w:r w:rsidRPr="003E1C7D">
        <w:rPr>
          <w:rFonts w:ascii="Verdana" w:eastAsia="Calibri" w:hAnsi="Verdana" w:cs="Arial"/>
          <w:sz w:val="20"/>
          <w:szCs w:val="20"/>
        </w:rPr>
        <w:tab/>
        <w:t>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D1FC661" w14:textId="77777777" w:rsidR="002C6C96" w:rsidRPr="003E1C7D" w:rsidRDefault="002C6C96" w:rsidP="0073556D">
      <w:pPr>
        <w:pStyle w:val="ListParagraph"/>
        <w:spacing w:before="120" w:after="0" w:line="240" w:lineRule="auto"/>
        <w:ind w:left="1418" w:right="709"/>
        <w:jc w:val="both"/>
        <w:rPr>
          <w:rFonts w:ascii="Verdana" w:eastAsia="Calibri" w:hAnsi="Verdana" w:cs="Arial"/>
          <w:sz w:val="20"/>
          <w:szCs w:val="20"/>
        </w:rPr>
      </w:pPr>
    </w:p>
    <w:p w14:paraId="270A6DDA" w14:textId="77777777" w:rsidR="002C6C96" w:rsidRPr="003E1C7D" w:rsidRDefault="002C6C96" w:rsidP="0073556D">
      <w:pPr>
        <w:pStyle w:val="ListParagraph"/>
        <w:spacing w:before="120" w:after="0" w:line="240" w:lineRule="auto"/>
        <w:ind w:left="1418" w:right="709"/>
        <w:jc w:val="both"/>
        <w:rPr>
          <w:rFonts w:ascii="Verdana" w:eastAsia="Calibri" w:hAnsi="Verdana" w:cs="Arial"/>
          <w:sz w:val="20"/>
          <w:szCs w:val="20"/>
        </w:rPr>
      </w:pPr>
      <w:r w:rsidRPr="003E1C7D">
        <w:rPr>
          <w:rFonts w:ascii="Verdana" w:eastAsia="Calibri" w:hAnsi="Verdana" w:cs="Arial"/>
          <w:sz w:val="20"/>
          <w:szCs w:val="20"/>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6250C46"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p>
    <w:p w14:paraId="6654CF97"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13.</w:t>
      </w:r>
      <w:r w:rsidRPr="003E1C7D">
        <w:rPr>
          <w:rFonts w:ascii="Verdana" w:eastAsia="Calibri" w:hAnsi="Verdana" w:cs="Arial"/>
          <w:sz w:val="20"/>
          <w:szCs w:val="20"/>
        </w:rPr>
        <w:tab/>
        <w:t>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EACBEDA"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p>
    <w:p w14:paraId="242299B9" w14:textId="77777777" w:rsidR="002C6C96" w:rsidRPr="003E1C7D" w:rsidRDefault="002C6C96" w:rsidP="0073556D">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14.</w:t>
      </w:r>
      <w:r w:rsidRPr="003E1C7D">
        <w:rPr>
          <w:rFonts w:ascii="Verdana" w:eastAsia="Calibri" w:hAnsi="Verdana" w:cs="Arial"/>
          <w:sz w:val="20"/>
          <w:szCs w:val="20"/>
        </w:rPr>
        <w:tab/>
        <w:t>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5E701098" w14:textId="77777777" w:rsidR="002C6C96" w:rsidRPr="003E1C7D" w:rsidRDefault="002C6C96" w:rsidP="002C6C96">
      <w:pPr>
        <w:pStyle w:val="ListParagraph"/>
        <w:spacing w:line="240" w:lineRule="auto"/>
        <w:ind w:left="1416"/>
        <w:jc w:val="both"/>
        <w:rPr>
          <w:rFonts w:ascii="Verdana" w:eastAsia="Calibri" w:hAnsi="Verdana" w:cs="Arial"/>
          <w:sz w:val="21"/>
          <w:szCs w:val="21"/>
        </w:rPr>
      </w:pPr>
    </w:p>
    <w:p w14:paraId="0C396E84" w14:textId="77777777" w:rsidR="002C6C96" w:rsidRPr="003E1C7D" w:rsidRDefault="002C6C96" w:rsidP="002C6C96">
      <w:pPr>
        <w:numPr>
          <w:ilvl w:val="0"/>
          <w:numId w:val="19"/>
        </w:numPr>
        <w:spacing w:after="0" w:line="276" w:lineRule="auto"/>
        <w:contextualSpacing/>
        <w:jc w:val="both"/>
        <w:rPr>
          <w:rFonts w:ascii="Verdana" w:eastAsia="Calibri" w:hAnsi="Verdana" w:cs="Arial"/>
          <w:lang w:val="es-ES"/>
        </w:rPr>
      </w:pPr>
      <w:r w:rsidRPr="003E1C7D">
        <w:rPr>
          <w:rFonts w:ascii="Verdana" w:eastAsia="Calibri" w:hAnsi="Verdana" w:cs="Arial"/>
          <w:lang w:val="es-ES"/>
        </w:rPr>
        <w:t>Lo anterior, le permitirá a la Entidad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3E1C7D">
        <w:rPr>
          <w:rFonts w:ascii="Verdana" w:eastAsia="Times New Roman" w:hAnsi="Verdana" w:cs="Arial"/>
          <w:vertAlign w:val="superscript"/>
          <w:lang w:val="es-ES_tradnl" w:eastAsia="es-MX"/>
        </w:rPr>
        <w:footnoteReference w:id="1"/>
      </w:r>
      <w:r w:rsidRPr="003E1C7D">
        <w:rPr>
          <w:rFonts w:ascii="Verdana" w:eastAsia="Times New Roman" w:hAnsi="Verdana" w:cs="Arial"/>
          <w:lang w:val="es-ES_tradnl" w:eastAsia="es-MX"/>
        </w:rPr>
        <w:t xml:space="preserve">. </w:t>
      </w:r>
    </w:p>
    <w:p w14:paraId="12516285" w14:textId="77777777" w:rsidR="002C6C96" w:rsidRPr="003E1C7D" w:rsidRDefault="002C6C96" w:rsidP="002C6C96">
      <w:pPr>
        <w:spacing w:after="0" w:line="276" w:lineRule="auto"/>
        <w:ind w:left="720"/>
        <w:contextualSpacing/>
        <w:jc w:val="both"/>
        <w:rPr>
          <w:rFonts w:ascii="Verdana" w:eastAsia="Calibri" w:hAnsi="Verdana" w:cs="Arial"/>
          <w:lang w:val="es-ES"/>
        </w:rPr>
      </w:pPr>
    </w:p>
    <w:p w14:paraId="573D545E" w14:textId="77777777" w:rsidR="002C6C96" w:rsidRPr="003E1C7D" w:rsidRDefault="002C6C96" w:rsidP="002C6C96">
      <w:pPr>
        <w:numPr>
          <w:ilvl w:val="0"/>
          <w:numId w:val="19"/>
        </w:numPr>
        <w:spacing w:after="0" w:line="276" w:lineRule="auto"/>
        <w:contextualSpacing/>
        <w:jc w:val="both"/>
        <w:rPr>
          <w:rFonts w:ascii="Verdana" w:eastAsia="Calibri" w:hAnsi="Verdana" w:cs="Arial"/>
          <w:lang w:val="es-ES"/>
        </w:rPr>
      </w:pPr>
      <w:r w:rsidRPr="003E1C7D">
        <w:rPr>
          <w:rFonts w:ascii="Verdana" w:eastAsia="Times New Roman" w:hAnsi="Verdana" w:cs="Arial"/>
          <w:lang w:val="es-ES_tradnl" w:eastAsia="es-MX"/>
        </w:rPr>
        <w:t>En congruencia con el artículo 25 de la Ley 80 de 1993, el Decreto Único Reglamentario del Sector Administrativo de Planeación –Decreto 1082 de 2015</w:t>
      </w:r>
      <w:r w:rsidRPr="003E1C7D">
        <w:rPr>
          <w:rFonts w:ascii="Verdana" w:eastAsia="Calibri" w:hAnsi="Verdana" w:cs="Arial"/>
          <w:lang w:val="es-ES"/>
        </w:rPr>
        <w:t>–, dispone en el artículo .2.1.1.2.1.1 el contenido mínimo de los estudios y documentos previos:</w:t>
      </w:r>
    </w:p>
    <w:p w14:paraId="66DA81FF" w14:textId="77777777" w:rsidR="002C6C96" w:rsidRPr="003E1C7D" w:rsidRDefault="002C6C96" w:rsidP="00B679CB">
      <w:pPr>
        <w:pStyle w:val="ListParagraph"/>
        <w:spacing w:after="0" w:line="240" w:lineRule="auto"/>
        <w:ind w:right="709"/>
        <w:rPr>
          <w:rFonts w:ascii="Verdana" w:eastAsia="Calibri" w:hAnsi="Verdana" w:cs="Arial"/>
          <w:sz w:val="20"/>
          <w:szCs w:val="20"/>
        </w:rPr>
      </w:pPr>
    </w:p>
    <w:p w14:paraId="67BA0A65"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672DC112"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6154BD75"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1. La descripción de la necesidad que la Entidad Estatal pretende satisfacer con el Proceso de Contratación. </w:t>
      </w:r>
    </w:p>
    <w:p w14:paraId="0AF51D41"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787001BB"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2. El objeto a contratar, con sus especificaciones, las autorizaciones, permisos y licencias requeridos para su ejecución, y cuando el contrato incluye diseño y construcción, los documentos técnicos para el desarrollo del proyecto. </w:t>
      </w:r>
    </w:p>
    <w:p w14:paraId="7BFF48D5"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0B9A14C9"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3. La modalidad de selección del contratista y su justificación, incluyendo los fundamentos jurídicos. </w:t>
      </w:r>
    </w:p>
    <w:p w14:paraId="311C0ACF"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1BD76BFC"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4. El valor estimado del contrato y la justificación </w:t>
      </w:r>
      <w:proofErr w:type="gramStart"/>
      <w:r w:rsidRPr="003E1C7D">
        <w:rPr>
          <w:rFonts w:ascii="Verdana" w:eastAsia="Calibri" w:hAnsi="Verdana" w:cs="Arial"/>
          <w:sz w:val="20"/>
          <w:szCs w:val="20"/>
        </w:rPr>
        <w:t>del mismo</w:t>
      </w:r>
      <w:proofErr w:type="gramEnd"/>
      <w:r w:rsidRPr="003E1C7D">
        <w:rPr>
          <w:rFonts w:ascii="Verdana" w:eastAsia="Calibri" w:hAnsi="Verdana" w:cs="Arial"/>
          <w:sz w:val="20"/>
          <w:szCs w:val="20"/>
        </w:rPr>
        <w:t xml:space="preserve">. Cuando el valor del contrato esté determinado por precios </w:t>
      </w:r>
      <w:r w:rsidRPr="003E1C7D">
        <w:rPr>
          <w:rFonts w:ascii="Verdana" w:eastAsia="Calibri" w:hAnsi="Verdana" w:cs="Arial"/>
          <w:sz w:val="20"/>
          <w:szCs w:val="20"/>
        </w:rPr>
        <w:lastRenderedPageBreak/>
        <w:t xml:space="preserve">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325672A5"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39790473"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5. Los criterios para seleccionar la oferta más favorable. </w:t>
      </w:r>
    </w:p>
    <w:p w14:paraId="72AC87D1"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5FE3472C"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6. El análisis de Riesgo y la forma de mitigarlo. </w:t>
      </w:r>
    </w:p>
    <w:p w14:paraId="2D2E52B4"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6527968F"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7. Las garantías que la Entidad Estatal contempla exigir en el proceso de contratación. </w:t>
      </w:r>
    </w:p>
    <w:p w14:paraId="3AC7DD9E"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208DBEEE"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 xml:space="preserve">8. La indicación de si el proceso de contratación está cobijado por un acuerdo comercial. </w:t>
      </w:r>
    </w:p>
    <w:p w14:paraId="78E283B4"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p>
    <w:p w14:paraId="24E38907" w14:textId="77777777" w:rsidR="002C6C96" w:rsidRPr="003E1C7D" w:rsidRDefault="002C6C96" w:rsidP="00B679CB">
      <w:pPr>
        <w:pStyle w:val="ListParagraph"/>
        <w:spacing w:after="0" w:line="240" w:lineRule="auto"/>
        <w:ind w:left="1416" w:right="709"/>
        <w:jc w:val="both"/>
        <w:rPr>
          <w:rFonts w:ascii="Verdana" w:eastAsia="Calibri" w:hAnsi="Verdana" w:cs="Arial"/>
          <w:sz w:val="20"/>
          <w:szCs w:val="20"/>
        </w:rPr>
      </w:pPr>
      <w:r w:rsidRPr="003E1C7D">
        <w:rPr>
          <w:rFonts w:ascii="Verdana" w:eastAsia="Calibri" w:hAnsi="Verdana" w:cs="Arial"/>
          <w:sz w:val="20"/>
          <w:szCs w:val="20"/>
        </w:rPr>
        <w:t>El presente artículo no es aplicable a la contratación por mínima cuantía”.</w:t>
      </w:r>
    </w:p>
    <w:p w14:paraId="480C961A" w14:textId="77777777" w:rsidR="002C6C96" w:rsidRPr="003E1C7D" w:rsidRDefault="002C6C96" w:rsidP="002C6C96">
      <w:pPr>
        <w:pStyle w:val="ListParagraph"/>
        <w:spacing w:after="0"/>
        <w:rPr>
          <w:rFonts w:ascii="Verdana" w:eastAsia="Calibri" w:hAnsi="Verdana" w:cs="Arial"/>
        </w:rPr>
      </w:pPr>
    </w:p>
    <w:p w14:paraId="25E74501" w14:textId="77777777" w:rsidR="002C6C96" w:rsidRPr="003E1C7D" w:rsidRDefault="002C6C96" w:rsidP="002C6C96">
      <w:pPr>
        <w:numPr>
          <w:ilvl w:val="0"/>
          <w:numId w:val="19"/>
        </w:numPr>
        <w:spacing w:after="0" w:line="276" w:lineRule="auto"/>
        <w:contextualSpacing/>
        <w:jc w:val="both"/>
        <w:rPr>
          <w:rFonts w:ascii="Verdana" w:eastAsia="Calibri" w:hAnsi="Verdana" w:cs="Arial"/>
          <w:lang w:val="es-ES"/>
        </w:rPr>
      </w:pPr>
      <w:r w:rsidRPr="003E1C7D">
        <w:rPr>
          <w:rFonts w:ascii="Verdana" w:eastAsia="Calibri" w:hAnsi="Verdana" w:cs="Arial"/>
          <w:lang w:val="es-ES"/>
        </w:rPr>
        <w:t xml:space="preserve">De esta forma, antes de iniciar un procedimiento de selección, la Entidad Estatal podrá determinar con los estudios previos: </w:t>
      </w:r>
    </w:p>
    <w:p w14:paraId="2F61A54C" w14:textId="77777777" w:rsidR="00B679CB" w:rsidRPr="003E1C7D" w:rsidRDefault="00B679CB" w:rsidP="00B679CB">
      <w:pPr>
        <w:spacing w:after="0" w:line="276" w:lineRule="auto"/>
        <w:ind w:left="720"/>
        <w:contextualSpacing/>
        <w:jc w:val="both"/>
        <w:rPr>
          <w:rFonts w:ascii="Verdana" w:eastAsia="Calibri" w:hAnsi="Verdana" w:cs="Arial"/>
          <w:lang w:val="es-ES"/>
        </w:rPr>
      </w:pPr>
    </w:p>
    <w:p w14:paraId="344EFDDF"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 xml:space="preserve">la verdadera necesidad de la celebración del contrato; </w:t>
      </w:r>
    </w:p>
    <w:p w14:paraId="556E2AED"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las modalidades existentes para satisfacer esa necesidad y las razones que justifiquen la modalidad o tipo contractual que se escoja;</w:t>
      </w:r>
    </w:p>
    <w:p w14:paraId="7E71BAE8"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las calidades, especificaciones, cantidades y demás características que puedan o deban reunir los bienes, las obras o los servicios cuya contratación se haya determinado necesaria,</w:t>
      </w:r>
    </w:p>
    <w:p w14:paraId="6C1C5D4D"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los costos, valores y alternativas que, a precios de mercado reales, podría demandar la celebración y ejecución del contrato;</w:t>
      </w:r>
    </w:p>
    <w:p w14:paraId="1734391A"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la disponibilidad de recursos o la capacidad financiera de la entidad contratante, para asumir las obligaciones de pago producto de la celebración de ese pretendido contrato;</w:t>
      </w:r>
    </w:p>
    <w:p w14:paraId="497F6419"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 xml:space="preserve">la existencia y disponibilidad, en el mercado nacional o internacional, de proveedores, constructores, profesionales, etc., en condiciones de atender los requerimientos y satisfacer las necesidades; </w:t>
      </w:r>
    </w:p>
    <w:p w14:paraId="37300220" w14:textId="77777777" w:rsidR="002C6C96" w:rsidRPr="003E1C7D" w:rsidRDefault="002C6C96" w:rsidP="002C6C96">
      <w:pPr>
        <w:pStyle w:val="ListParagraph"/>
        <w:numPr>
          <w:ilvl w:val="0"/>
          <w:numId w:val="22"/>
        </w:numPr>
        <w:spacing w:after="0" w:line="276" w:lineRule="auto"/>
        <w:jc w:val="both"/>
        <w:rPr>
          <w:rFonts w:ascii="Verdana" w:eastAsia="Calibri" w:hAnsi="Verdana" w:cs="Arial"/>
        </w:rPr>
      </w:pPr>
      <w:r w:rsidRPr="003E1C7D">
        <w:rPr>
          <w:rFonts w:ascii="Verdana" w:eastAsia="Calibri" w:hAnsi="Verdana" w:cs="Arial"/>
        </w:rPr>
        <w:t xml:space="preserve">los procedimientos, trámites y requisitos que deban satisfacerse, reunirse u obtenerse para llevar a cabo la selección del respectivo contratista y la celebración del contrato que se pretenda celebrar. La consideración de todos estos aspectos permite que los contratos </w:t>
      </w:r>
      <w:r w:rsidRPr="003E1C7D">
        <w:rPr>
          <w:rFonts w:ascii="Verdana" w:eastAsia="Calibri" w:hAnsi="Verdana" w:cs="Arial"/>
        </w:rPr>
        <w:lastRenderedPageBreak/>
        <w:t>resultantes de la planeación cuenten con el sustento técnico, económico y jurídico que incidirá en una adecuada ejecución.</w:t>
      </w:r>
    </w:p>
    <w:p w14:paraId="47CE66CF" w14:textId="77777777" w:rsidR="002C6C96" w:rsidRPr="003E1C7D" w:rsidRDefault="002C6C96" w:rsidP="002C6C96">
      <w:pPr>
        <w:spacing w:after="0" w:line="276" w:lineRule="auto"/>
        <w:ind w:left="720"/>
        <w:contextualSpacing/>
        <w:jc w:val="both"/>
        <w:rPr>
          <w:rFonts w:ascii="Verdana" w:eastAsia="Calibri" w:hAnsi="Verdana" w:cs="Arial"/>
          <w:lang w:val="es-ES"/>
        </w:rPr>
      </w:pPr>
    </w:p>
    <w:p w14:paraId="544ADD3A" w14:textId="7FBB94B0" w:rsidR="002C6C96" w:rsidRPr="003E1C7D" w:rsidRDefault="002C6C96" w:rsidP="002C6C96">
      <w:pPr>
        <w:pStyle w:val="ListParagraph"/>
        <w:numPr>
          <w:ilvl w:val="0"/>
          <w:numId w:val="19"/>
        </w:numPr>
        <w:spacing w:after="0" w:line="276" w:lineRule="auto"/>
        <w:jc w:val="both"/>
        <w:rPr>
          <w:rFonts w:ascii="Verdana" w:eastAsia="Calibri" w:hAnsi="Verdana" w:cs="Arial"/>
        </w:rPr>
      </w:pPr>
      <w:r w:rsidRPr="003E1C7D">
        <w:rPr>
          <w:rFonts w:ascii="Verdana" w:eastAsia="Calibri" w:hAnsi="Verdana" w:cs="Arial"/>
        </w:rPr>
        <w:t>Adicionalmente debe precisarse que, más allá del cumplimiento de la normativa, “los estudios y documentos previos son el soporte para elaborar el proyecto de pliego de condiciones, los pliegos de condiciones, y el contrato”</w:t>
      </w:r>
      <w:r w:rsidRPr="003E1C7D">
        <w:rPr>
          <w:rFonts w:ascii="Verdana" w:eastAsia="Times New Roman" w:hAnsi="Verdana" w:cs="Arial"/>
          <w:vertAlign w:val="superscript"/>
          <w:lang w:val="es-ES_tradnl" w:eastAsia="es-MX"/>
        </w:rPr>
        <w:footnoteReference w:id="2"/>
      </w:r>
      <w:r w:rsidRPr="003E1C7D">
        <w:rPr>
          <w:rFonts w:ascii="Verdana" w:eastAsia="Times New Roman" w:hAnsi="Verdana" w:cs="Arial"/>
          <w:lang w:val="es-ES_tradnl" w:eastAsia="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 Así </w:t>
      </w:r>
      <w:r w:rsidR="00B101EF" w:rsidRPr="003E1C7D">
        <w:rPr>
          <w:rFonts w:ascii="Verdana" w:eastAsia="Times New Roman" w:hAnsi="Verdana" w:cs="Arial"/>
          <w:lang w:val="es-ES_tradnl" w:eastAsia="es-MX"/>
        </w:rPr>
        <w:t>las cosas</w:t>
      </w:r>
      <w:r w:rsidRPr="003E1C7D">
        <w:rPr>
          <w:rFonts w:ascii="Verdana" w:eastAsia="Times New Roman" w:hAnsi="Verdana" w:cs="Arial"/>
          <w:lang w:val="es-ES_tradnl" w:eastAsia="es-MX"/>
        </w:rPr>
        <w:t>, los estudios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r w:rsidRPr="003E1C7D">
        <w:rPr>
          <w:rFonts w:ascii="Verdana" w:eastAsia="Times New Roman" w:hAnsi="Verdana" w:cs="Arial"/>
          <w:vertAlign w:val="superscript"/>
          <w:lang w:val="es-ES_tradnl" w:eastAsia="es-MX"/>
        </w:rPr>
        <w:footnoteReference w:id="3"/>
      </w:r>
      <w:r w:rsidRPr="003E1C7D">
        <w:rPr>
          <w:rFonts w:ascii="Verdana" w:eastAsia="Times New Roman" w:hAnsi="Verdana" w:cs="Arial"/>
          <w:lang w:val="es-ES_tradnl" w:eastAsia="es-MX"/>
        </w:rPr>
        <w:t>.</w:t>
      </w:r>
    </w:p>
    <w:p w14:paraId="5715E597" w14:textId="77777777" w:rsidR="002C6C96" w:rsidRPr="003E1C7D" w:rsidRDefault="002C6C96" w:rsidP="002C6C96">
      <w:pPr>
        <w:pStyle w:val="ListParagraph"/>
        <w:rPr>
          <w:rFonts w:ascii="Verdana" w:eastAsia="Arial MT" w:hAnsi="Verdana" w:cstheme="majorHAnsi"/>
        </w:rPr>
      </w:pPr>
    </w:p>
    <w:p w14:paraId="7E15C4CB" w14:textId="6692E24E" w:rsidR="002C6C96" w:rsidRPr="003E1C7D" w:rsidRDefault="00B101EF" w:rsidP="002C6C96">
      <w:pPr>
        <w:pStyle w:val="ListParagraph"/>
        <w:numPr>
          <w:ilvl w:val="0"/>
          <w:numId w:val="19"/>
        </w:numPr>
        <w:spacing w:after="0" w:line="276" w:lineRule="auto"/>
        <w:jc w:val="both"/>
        <w:rPr>
          <w:rFonts w:ascii="Verdana" w:eastAsia="Calibri" w:hAnsi="Verdana" w:cs="Arial"/>
        </w:rPr>
      </w:pPr>
      <w:r w:rsidRPr="003E1C7D">
        <w:rPr>
          <w:rFonts w:ascii="Verdana" w:eastAsia="Arial MT" w:hAnsi="Verdana" w:cstheme="majorHAnsi"/>
        </w:rPr>
        <w:t>Por otro lado</w:t>
      </w:r>
      <w:r w:rsidR="002C6C96" w:rsidRPr="003E1C7D">
        <w:rPr>
          <w:rFonts w:ascii="Verdana" w:eastAsia="Arial MT" w:hAnsi="Verdana" w:cstheme="majorHAnsi"/>
        </w:rPr>
        <w:t xml:space="preserve">, </w:t>
      </w:r>
      <w:r w:rsidRPr="003E1C7D">
        <w:rPr>
          <w:rFonts w:ascii="Verdana" w:eastAsia="Arial MT" w:hAnsi="Verdana" w:cstheme="majorHAnsi"/>
        </w:rPr>
        <w:t>y en lo que a los estudios previos se refiere</w:t>
      </w:r>
      <w:r w:rsidR="002C6C96" w:rsidRPr="003E1C7D">
        <w:rPr>
          <w:rFonts w:ascii="Verdana" w:eastAsia="Arial MT" w:hAnsi="Verdana" w:cstheme="majorHAnsi"/>
        </w:rPr>
        <w:t xml:space="preserve"> la Agencia Nacional de Contratación Pública – Colombia Compra Eficiente, en el ejercicio de las facultades conferidas por el Legislador, particularmente en las establecidas en el artículo 3.2 del Decreto Ley 4170 de 2011 y el inciso primero del artículo 2.2.1.2.5.2 del Decreto 1082 de 2015, emitió la Guía para la Elaboración de los Estudios del Sector</w:t>
      </w:r>
      <w:r w:rsidR="002C6C96" w:rsidRPr="003E1C7D">
        <w:rPr>
          <w:rFonts w:ascii="Verdana" w:eastAsia="Times New Roman" w:hAnsi="Verdana" w:cs="Arial"/>
          <w:vertAlign w:val="superscript"/>
          <w:lang w:val="es-ES_tradnl" w:eastAsia="es-CO"/>
        </w:rPr>
        <w:footnoteReference w:id="4"/>
      </w:r>
      <w:r w:rsidR="002C6C96" w:rsidRPr="003E1C7D">
        <w:rPr>
          <w:rFonts w:ascii="Verdana" w:eastAsia="Calibri" w:hAnsi="Verdana" w:cs="Arial"/>
          <w:bCs/>
          <w:lang w:val="es-ES_tradnl" w:eastAsia="es-MX"/>
        </w:rPr>
        <w:t xml:space="preserve">, documento este, que sirve de apoyo para entender el mercado del bien, obra o servicio que la Entidad Estatal pretende adquirir para diseñar el Proceso de Contratación con la </w:t>
      </w:r>
      <w:r w:rsidR="002C6C96" w:rsidRPr="003E1C7D">
        <w:rPr>
          <w:rFonts w:ascii="Verdana" w:eastAsia="Calibri" w:hAnsi="Verdana" w:cs="Arial"/>
          <w:bCs/>
          <w:lang w:val="es-ES_tradnl" w:eastAsia="es-MX"/>
        </w:rPr>
        <w:lastRenderedPageBreak/>
        <w:t xml:space="preserve">información necesaria para alcanzar los objetivos de eficacia, eficiencia, economía, promoción de la competencia y manejo del riesgo. </w:t>
      </w:r>
    </w:p>
    <w:p w14:paraId="242B9204" w14:textId="77777777" w:rsidR="002C6C96" w:rsidRPr="003E1C7D" w:rsidRDefault="002C6C96" w:rsidP="002C6C96">
      <w:pPr>
        <w:pStyle w:val="ListParagraph"/>
        <w:rPr>
          <w:rFonts w:ascii="Verdana" w:eastAsia="Calibri" w:hAnsi="Verdana" w:cs="Arial"/>
          <w:bCs/>
          <w:lang w:val="es-ES_tradnl" w:eastAsia="es-MX"/>
        </w:rPr>
      </w:pPr>
    </w:p>
    <w:p w14:paraId="767501DD" w14:textId="77777777" w:rsidR="001A2A7B" w:rsidRPr="003E1C7D" w:rsidRDefault="002C6C96" w:rsidP="001A2A7B">
      <w:pPr>
        <w:pStyle w:val="ListParagraph"/>
        <w:numPr>
          <w:ilvl w:val="0"/>
          <w:numId w:val="19"/>
        </w:numPr>
        <w:spacing w:after="0" w:line="276" w:lineRule="auto"/>
        <w:jc w:val="both"/>
        <w:rPr>
          <w:rFonts w:ascii="Verdana" w:eastAsia="Calibri" w:hAnsi="Verdana" w:cs="Arial"/>
        </w:rPr>
      </w:pPr>
      <w:r w:rsidRPr="003E1C7D">
        <w:rPr>
          <w:rFonts w:ascii="Verdana" w:eastAsia="Calibri" w:hAnsi="Verdana" w:cs="Arial"/>
          <w:bCs/>
          <w:lang w:val="es-ES_tradnl" w:eastAsia="es-MX"/>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 recomendaciones generales por lo que no debe aplicarse de manera mecánica, pues la profundidad del estudio del sector depende de la complejidad y particularidades de cada Proceso de Contratación.</w:t>
      </w:r>
      <w:bookmarkEnd w:id="2"/>
    </w:p>
    <w:p w14:paraId="01D57772" w14:textId="77777777" w:rsidR="001A2A7B" w:rsidRPr="003E1C7D" w:rsidRDefault="001A2A7B" w:rsidP="001A2A7B">
      <w:pPr>
        <w:pStyle w:val="ListParagraph"/>
        <w:rPr>
          <w:rFonts w:ascii="Verdana" w:eastAsia="Calibri" w:hAnsi="Verdana" w:cs="Arial"/>
        </w:rPr>
      </w:pPr>
    </w:p>
    <w:p w14:paraId="23B5A0D7" w14:textId="66661D0A" w:rsidR="002C6C96" w:rsidRPr="003E1C7D" w:rsidRDefault="002C6C96" w:rsidP="001A2A7B">
      <w:pPr>
        <w:pStyle w:val="ListParagraph"/>
        <w:numPr>
          <w:ilvl w:val="0"/>
          <w:numId w:val="19"/>
        </w:numPr>
        <w:spacing w:after="0" w:line="276" w:lineRule="auto"/>
        <w:jc w:val="both"/>
        <w:rPr>
          <w:rFonts w:ascii="Verdana" w:eastAsia="Calibri" w:hAnsi="Verdana" w:cs="Arial"/>
        </w:rPr>
      </w:pPr>
      <w:r w:rsidRPr="003E1C7D">
        <w:rPr>
          <w:rFonts w:ascii="Verdana" w:eastAsia="Calibri" w:hAnsi="Verdana" w:cs="Arial"/>
        </w:rPr>
        <w:t xml:space="preserve">En ese orden de ideas, el análisis del sector 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debe consignar en los Documentos del Proceso, bien sea en los estudios previos o en la información soporte de estos. </w:t>
      </w:r>
    </w:p>
    <w:p w14:paraId="09E82DAD" w14:textId="77777777" w:rsidR="002C6C96" w:rsidRPr="003E1C7D" w:rsidRDefault="002C6C96" w:rsidP="002C6C96">
      <w:pPr>
        <w:pStyle w:val="ListParagraph"/>
        <w:jc w:val="both"/>
        <w:rPr>
          <w:rFonts w:ascii="Verdana" w:eastAsia="Calibri" w:hAnsi="Verdana" w:cs="Arial"/>
        </w:rPr>
      </w:pPr>
    </w:p>
    <w:p w14:paraId="14CD4CD9" w14:textId="77777777" w:rsidR="001563D0" w:rsidRPr="003E1C7D" w:rsidRDefault="002C6C96" w:rsidP="001563D0">
      <w:pPr>
        <w:pStyle w:val="ListParagraph"/>
        <w:numPr>
          <w:ilvl w:val="0"/>
          <w:numId w:val="21"/>
        </w:numPr>
        <w:spacing w:after="0" w:line="276" w:lineRule="auto"/>
        <w:jc w:val="both"/>
        <w:rPr>
          <w:rFonts w:ascii="Verdana" w:eastAsia="Calibri" w:hAnsi="Verdana" w:cs="Arial"/>
        </w:rPr>
      </w:pPr>
      <w:r w:rsidRPr="003E1C7D">
        <w:rPr>
          <w:rFonts w:ascii="Verdana" w:eastAsia="Times New Roman" w:hAnsi="Verdana" w:cs="Arial"/>
          <w:szCs w:val="24"/>
          <w:lang w:eastAsia="es-ES_tradnl"/>
        </w:rPr>
        <w:t>En conclusión, las Entidades Estatales en el marco del principio de autonomía, se encuentran facultadas para determinar las metodologías que aplicarán para realizar el estudio del sector, respecto del proceso de selección que pretendan adelantar. Esto, claramente, bajo la observancia de las reglas dispuestas en las normas generales aplicables a la contratación pública –Ley 80 de 1993, Ley 1150 de 2007, Decreto 1082 de 2015, entre otras–.</w:t>
      </w:r>
    </w:p>
    <w:p w14:paraId="38623B14" w14:textId="77777777" w:rsidR="002F1175" w:rsidRPr="003E1C7D" w:rsidRDefault="002F1175" w:rsidP="002F1175">
      <w:pPr>
        <w:pStyle w:val="ListParagraph"/>
        <w:spacing w:after="0" w:line="276" w:lineRule="auto"/>
        <w:jc w:val="both"/>
        <w:rPr>
          <w:rFonts w:ascii="Verdana" w:eastAsia="Calibri" w:hAnsi="Verdana" w:cs="Arial"/>
        </w:rPr>
      </w:pPr>
    </w:p>
    <w:p w14:paraId="4BD635E9" w14:textId="77777777" w:rsidR="00FD7FE5" w:rsidRPr="003E1C7D" w:rsidRDefault="002F1175" w:rsidP="00FD7FE5">
      <w:pPr>
        <w:pStyle w:val="ListParagraph"/>
        <w:numPr>
          <w:ilvl w:val="0"/>
          <w:numId w:val="21"/>
        </w:numPr>
        <w:spacing w:after="0" w:line="276" w:lineRule="auto"/>
        <w:jc w:val="both"/>
        <w:rPr>
          <w:rFonts w:ascii="Verdana" w:eastAsia="Calibri" w:hAnsi="Verdana" w:cs="Arial"/>
        </w:rPr>
      </w:pPr>
      <w:r w:rsidRPr="003E1C7D">
        <w:rPr>
          <w:rFonts w:ascii="Verdana" w:eastAsia="Calibri" w:hAnsi="Verdana" w:cs="Arial"/>
        </w:rPr>
        <w:t xml:space="preserve">Ahora bien, en lo que respecta a la </w:t>
      </w:r>
      <w:r w:rsidR="005325A6" w:rsidRPr="003E1C7D">
        <w:rPr>
          <w:rFonts w:ascii="Verdana" w:eastAsia="Calibri" w:hAnsi="Verdana" w:cs="Arial"/>
        </w:rPr>
        <w:t xml:space="preserve">potestad de interpretación con la que cuentan las Entidades Estatales, </w:t>
      </w:r>
      <w:r w:rsidR="006D7E26" w:rsidRPr="003E1C7D">
        <w:rPr>
          <w:rFonts w:ascii="Verdana" w:eastAsia="Calibri" w:hAnsi="Verdana" w:cs="Arial"/>
        </w:rPr>
        <w:t xml:space="preserve">debe ponerse de presente que en reiterada jurisprudencia del Consejo de Estado </w:t>
      </w:r>
      <w:r w:rsidR="00FB4E31" w:rsidRPr="003E1C7D">
        <w:rPr>
          <w:rFonts w:ascii="Verdana" w:eastAsia="Calibri" w:hAnsi="Verdana" w:cs="Arial"/>
        </w:rPr>
        <w:t xml:space="preserve">se ha indicado que de conformidad con lo dispuesto en el numeral 2 del artículo 25 de la ley 80 de 1993, </w:t>
      </w:r>
      <w:r w:rsidR="00E01663" w:rsidRPr="003E1C7D">
        <w:rPr>
          <w:rFonts w:ascii="Verdana" w:eastAsia="Calibri" w:hAnsi="Verdana" w:cs="Arial"/>
        </w:rPr>
        <w:t>se</w:t>
      </w:r>
      <w:r w:rsidR="006C2A3D" w:rsidRPr="003E1C7D">
        <w:rPr>
          <w:rFonts w:ascii="Verdana" w:eastAsia="Calibri" w:hAnsi="Verdana" w:cs="Arial"/>
        </w:rPr>
        <w:t xml:space="preserve"> avala la posibilidad de que los pliegos sean objeto de </w:t>
      </w:r>
      <w:r w:rsidR="006C2A3D" w:rsidRPr="003E1C7D">
        <w:rPr>
          <w:rFonts w:ascii="Verdana" w:eastAsia="Calibri" w:hAnsi="Verdana" w:cs="Arial"/>
        </w:rPr>
        <w:lastRenderedPageBreak/>
        <w:t>hermenéutica administrativa, con la finalidad de que no se condene al procedimiento a la declaratoria de desierta o a decisiones inhibitorias.</w:t>
      </w:r>
      <w:r w:rsidR="006C2A3D" w:rsidRPr="003E1C7D">
        <w:rPr>
          <w:rStyle w:val="FootnoteReference"/>
          <w:rFonts w:ascii="Verdana" w:eastAsia="Calibri" w:hAnsi="Verdana" w:cs="Arial"/>
        </w:rPr>
        <w:footnoteReference w:id="5"/>
      </w:r>
    </w:p>
    <w:p w14:paraId="71089C40" w14:textId="77777777" w:rsidR="0075263A" w:rsidRPr="003E1C7D" w:rsidRDefault="0075263A" w:rsidP="0075263A">
      <w:pPr>
        <w:pStyle w:val="ListParagraph"/>
        <w:rPr>
          <w:rFonts w:ascii="Verdana" w:eastAsia="Calibri" w:hAnsi="Verdana" w:cs="Arial"/>
        </w:rPr>
      </w:pPr>
    </w:p>
    <w:p w14:paraId="4554157A" w14:textId="77777777" w:rsidR="00C51F35" w:rsidRPr="003E1C7D" w:rsidRDefault="0075263A" w:rsidP="00C51F35">
      <w:pPr>
        <w:pStyle w:val="ListParagraph"/>
        <w:numPr>
          <w:ilvl w:val="0"/>
          <w:numId w:val="21"/>
        </w:numPr>
        <w:spacing w:after="0" w:line="276" w:lineRule="auto"/>
        <w:jc w:val="both"/>
        <w:rPr>
          <w:rFonts w:ascii="Verdana" w:eastAsia="Calibri" w:hAnsi="Verdana" w:cs="Arial"/>
        </w:rPr>
      </w:pPr>
      <w:r w:rsidRPr="003E1C7D">
        <w:rPr>
          <w:rFonts w:ascii="Verdana" w:eastAsia="Calibri" w:hAnsi="Verdana" w:cs="Arial"/>
        </w:rPr>
        <w:t xml:space="preserve">En línea con lo anterior, el Consejo de Estado advierte </w:t>
      </w:r>
      <w:r w:rsidR="00F04AAB" w:rsidRPr="003E1C7D">
        <w:rPr>
          <w:rFonts w:ascii="Verdana" w:eastAsia="Calibri" w:hAnsi="Verdana" w:cs="Arial"/>
        </w:rPr>
        <w:t xml:space="preserve">que </w:t>
      </w:r>
      <w:r w:rsidR="00612416" w:rsidRPr="003E1C7D">
        <w:rPr>
          <w:rFonts w:ascii="Verdana" w:eastAsia="Calibri" w:hAnsi="Verdana" w:cs="Arial"/>
        </w:rPr>
        <w:t>imposible que la administración pública prevea todas las circunstancias que se pueden presentar a lo largo del procedimiento de selección, aunado al hecho de que como todo acto jurídico es posible que el pliego contenga ciertos vacíos o lagunas –con independencia de que se trate de un acto extremadamente reglado– razón por la que es factible que se presenten problemas hermenéuticos típicos de cualquier norma o precepto, razón por la que es preciso que el operador acuda a los postulados fijados por el legislador para brindar herramientas interpretativas; en el caso contractual administrativo, el estatuto de contratación de la administración pública remite a los principios de la función administrativa, a los generales del derecho, a los propios del derecho privado –civil y/o comercial–, y a los particulares del derecho administrativo.</w:t>
      </w:r>
      <w:r w:rsidR="00612416" w:rsidRPr="003E1C7D">
        <w:rPr>
          <w:rStyle w:val="FootnoteReference"/>
          <w:rFonts w:ascii="Verdana" w:eastAsia="Calibri" w:hAnsi="Verdana" w:cs="Arial"/>
        </w:rPr>
        <w:footnoteReference w:id="6"/>
      </w:r>
    </w:p>
    <w:p w14:paraId="45C8B3A6" w14:textId="77777777" w:rsidR="00C51F35" w:rsidRPr="003E1C7D" w:rsidRDefault="00C51F35" w:rsidP="00C51F35">
      <w:pPr>
        <w:pStyle w:val="ListParagraph"/>
        <w:rPr>
          <w:rFonts w:ascii="Verdana" w:hAnsi="Verdana"/>
        </w:rPr>
      </w:pPr>
    </w:p>
    <w:p w14:paraId="2D4E682C" w14:textId="29141068" w:rsidR="00C51F35" w:rsidRPr="003E1C7D" w:rsidRDefault="00C51F35" w:rsidP="00C51F35">
      <w:pPr>
        <w:pStyle w:val="ListParagraph"/>
        <w:numPr>
          <w:ilvl w:val="0"/>
          <w:numId w:val="21"/>
        </w:numPr>
        <w:spacing w:after="0" w:line="276" w:lineRule="auto"/>
        <w:jc w:val="both"/>
        <w:rPr>
          <w:rFonts w:ascii="Verdana" w:eastAsia="Calibri" w:hAnsi="Verdana" w:cs="Arial"/>
        </w:rPr>
      </w:pPr>
      <w:r w:rsidRPr="003E1C7D">
        <w:rPr>
          <w:rFonts w:ascii="Verdana" w:hAnsi="Verdana"/>
        </w:rPr>
        <w:t>En esa perspectiva, el sentido gramatical o exegético será el que prevalecerá cuando el tenor literal sea claro; agotada esa vía, es pertinente recurrir al espíritu (criterio histórico) y al significado de las palabras en su contexto legal, el de uso común y el sentido técnico de las mismas (criterio semántico); con posterioridad, es dable acudir a la hermenéutica por contexto (criterio sistemático), según el cual es posible ilustrar el sentido de la norma a partir de los elementos fácticos y jurídicos que la enmarcan, en procura de la búsqueda de correspondencia y armonía; de igual forma, es posible desentrañar la finalidad u objetivos perseguidos por la disposición (criterio teleológico); otros criterios hermenéuticos – de naturaleza subsidiaria– son los relacionados con la articulación general del ordenamiento jurídico y la equidad.</w:t>
      </w:r>
      <w:r w:rsidR="00957C48" w:rsidRPr="003E1C7D">
        <w:rPr>
          <w:rStyle w:val="FootnoteReference"/>
          <w:rFonts w:ascii="Verdana" w:hAnsi="Verdana"/>
        </w:rPr>
        <w:footnoteReference w:id="7"/>
      </w:r>
    </w:p>
    <w:p w14:paraId="33FF25BE" w14:textId="77777777" w:rsidR="00C51F35" w:rsidRPr="003E1C7D" w:rsidRDefault="00C51F35" w:rsidP="00C51F35">
      <w:pPr>
        <w:pStyle w:val="ListParagraph"/>
        <w:rPr>
          <w:rFonts w:ascii="Verdana" w:hAnsi="Verdana"/>
        </w:rPr>
      </w:pPr>
    </w:p>
    <w:p w14:paraId="4F656461" w14:textId="14EEF964" w:rsidR="00C51F35" w:rsidRPr="003E1C7D" w:rsidRDefault="00C51F35" w:rsidP="00C51F35">
      <w:pPr>
        <w:pStyle w:val="ListParagraph"/>
        <w:numPr>
          <w:ilvl w:val="0"/>
          <w:numId w:val="21"/>
        </w:numPr>
        <w:spacing w:after="0" w:line="276" w:lineRule="auto"/>
        <w:jc w:val="both"/>
        <w:rPr>
          <w:rFonts w:ascii="Verdana" w:eastAsia="Calibri" w:hAnsi="Verdana" w:cs="Arial"/>
        </w:rPr>
      </w:pPr>
      <w:r w:rsidRPr="003E1C7D">
        <w:rPr>
          <w:rFonts w:ascii="Verdana" w:hAnsi="Verdana"/>
        </w:rPr>
        <w:lastRenderedPageBreak/>
        <w:t>Aunado a lo anterior, la administración puede emplear la lógica de lo razonable, la ponderación o test de proporcionalidad para solucionar las antinomias, vacíos o contradicciones en el contenido de los pliegos de condiciones.</w:t>
      </w:r>
      <w:r w:rsidR="00957C48" w:rsidRPr="003E1C7D">
        <w:rPr>
          <w:rStyle w:val="FootnoteReference"/>
          <w:rFonts w:ascii="Verdana" w:hAnsi="Verdana"/>
        </w:rPr>
        <w:footnoteReference w:id="8"/>
      </w:r>
    </w:p>
    <w:p w14:paraId="7FC8B3B4" w14:textId="77777777" w:rsidR="00C51F35" w:rsidRPr="003E1C7D" w:rsidRDefault="00C51F35" w:rsidP="00C51F35">
      <w:pPr>
        <w:pStyle w:val="ListParagraph"/>
        <w:rPr>
          <w:rFonts w:ascii="Verdana" w:hAnsi="Verdana"/>
        </w:rPr>
      </w:pPr>
    </w:p>
    <w:p w14:paraId="10C66432" w14:textId="05E0B08E" w:rsidR="00C51F35" w:rsidRPr="003E1C7D" w:rsidRDefault="00C51F35" w:rsidP="00C51F35">
      <w:pPr>
        <w:pStyle w:val="ListParagraph"/>
        <w:numPr>
          <w:ilvl w:val="0"/>
          <w:numId w:val="21"/>
        </w:numPr>
        <w:spacing w:after="0" w:line="276" w:lineRule="auto"/>
        <w:jc w:val="both"/>
        <w:rPr>
          <w:rFonts w:ascii="Verdana" w:eastAsia="Calibri" w:hAnsi="Verdana" w:cs="Arial"/>
        </w:rPr>
      </w:pPr>
      <w:r w:rsidRPr="003E1C7D">
        <w:rPr>
          <w:rFonts w:ascii="Verdana" w:hAnsi="Verdana"/>
        </w:rPr>
        <w:t xml:space="preserve">En otros términos, la administración pública cuenta con una compleja gama de herramientas </w:t>
      </w:r>
      <w:proofErr w:type="spellStart"/>
      <w:r w:rsidRPr="003E1C7D">
        <w:rPr>
          <w:rFonts w:ascii="Verdana" w:hAnsi="Verdana"/>
        </w:rPr>
        <w:t>nomoárquicas</w:t>
      </w:r>
      <w:proofErr w:type="spellEnd"/>
      <w:r w:rsidRPr="003E1C7D">
        <w:rPr>
          <w:rFonts w:ascii="Verdana" w:hAnsi="Verdana"/>
        </w:rPr>
        <w:t xml:space="preserve"> que le permiten salvaguardar el proceso licitatorio frente a posibles lagunas o problemas interpretativos que se presenten en el pliego de condiciones.</w:t>
      </w:r>
      <w:r w:rsidR="00062935" w:rsidRPr="003E1C7D">
        <w:rPr>
          <w:rStyle w:val="FootnoteReference"/>
          <w:rFonts w:ascii="Verdana" w:hAnsi="Verdana"/>
        </w:rPr>
        <w:footnoteReference w:id="9"/>
      </w:r>
    </w:p>
    <w:p w14:paraId="4B81881A" w14:textId="77777777" w:rsidR="001563D0" w:rsidRPr="003E1C7D" w:rsidRDefault="001563D0" w:rsidP="00FD7FE5">
      <w:pPr>
        <w:spacing w:after="0" w:line="276" w:lineRule="auto"/>
        <w:jc w:val="both"/>
        <w:rPr>
          <w:rFonts w:ascii="Verdana" w:eastAsia="Calibri" w:hAnsi="Verdana" w:cs="Arial"/>
        </w:rPr>
      </w:pPr>
    </w:p>
    <w:p w14:paraId="353369C5" w14:textId="109A9185" w:rsidR="002C6C96" w:rsidRPr="003E1C7D" w:rsidRDefault="002C6C96" w:rsidP="001563D0">
      <w:pPr>
        <w:pStyle w:val="ListParagraph"/>
        <w:numPr>
          <w:ilvl w:val="0"/>
          <w:numId w:val="21"/>
        </w:numPr>
        <w:spacing w:after="0" w:line="276" w:lineRule="auto"/>
        <w:jc w:val="both"/>
        <w:rPr>
          <w:rFonts w:ascii="Verdana" w:eastAsia="Calibri" w:hAnsi="Verdana" w:cs="Arial"/>
        </w:rPr>
      </w:pPr>
      <w:r w:rsidRPr="003E1C7D">
        <w:rPr>
          <w:rFonts w:ascii="Verdana" w:eastAsia="Calibri" w:hAnsi="Verdana" w:cs="Times New Roman"/>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106D7F50" w14:textId="77777777" w:rsidR="002C6C96" w:rsidRPr="003E1C7D" w:rsidRDefault="002C6C96" w:rsidP="002C6C96">
      <w:pPr>
        <w:widowControl w:val="0"/>
        <w:autoSpaceDE w:val="0"/>
        <w:autoSpaceDN w:val="0"/>
        <w:spacing w:after="0" w:line="276" w:lineRule="auto"/>
        <w:contextualSpacing/>
        <w:jc w:val="both"/>
        <w:rPr>
          <w:rFonts w:ascii="Verdana" w:eastAsia="Aptos" w:hAnsi="Verdana" w:cs="Arial"/>
        </w:rPr>
      </w:pPr>
    </w:p>
    <w:p w14:paraId="53B9E43F" w14:textId="77777777" w:rsidR="002C6C96" w:rsidRPr="003E1C7D" w:rsidRDefault="002C6C96" w:rsidP="002C6C96">
      <w:pPr>
        <w:widowControl w:val="0"/>
        <w:autoSpaceDE w:val="0"/>
        <w:autoSpaceDN w:val="0"/>
        <w:spacing w:before="1" w:after="0" w:line="240" w:lineRule="auto"/>
        <w:outlineLvl w:val="0"/>
        <w:rPr>
          <w:rFonts w:ascii="Verdana" w:eastAsia="Arial" w:hAnsi="Verdana" w:cs="Arial"/>
          <w:b/>
          <w:bCs/>
          <w:lang w:val="es-ES"/>
        </w:rPr>
      </w:pPr>
      <w:r w:rsidRPr="003E1C7D">
        <w:rPr>
          <w:rFonts w:ascii="Verdana" w:eastAsia="Arial" w:hAnsi="Verdana" w:cs="Arial"/>
          <w:b/>
          <w:bCs/>
          <w:lang w:val="es-ES"/>
        </w:rPr>
        <w:t>4.Referencias normativas, jurisprudenciales y otras fuentes:</w:t>
      </w:r>
    </w:p>
    <w:p w14:paraId="1D7629F8" w14:textId="77777777" w:rsidR="002C6C96" w:rsidRPr="003E1C7D" w:rsidRDefault="002C6C96" w:rsidP="002C6C96">
      <w:pPr>
        <w:widowControl w:val="0"/>
        <w:autoSpaceDE w:val="0"/>
        <w:autoSpaceDN w:val="0"/>
        <w:spacing w:after="0" w:line="276" w:lineRule="auto"/>
        <w:jc w:val="both"/>
        <w:rPr>
          <w:rFonts w:ascii="Verdana" w:eastAsia="Aptos"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C6C96" w:rsidRPr="003E1C7D" w14:paraId="1A59AD14" w14:textId="77777777" w:rsidTr="00082822">
        <w:trPr>
          <w:trHeight w:val="870"/>
        </w:trPr>
        <w:tc>
          <w:tcPr>
            <w:tcW w:w="8647" w:type="dxa"/>
          </w:tcPr>
          <w:p w14:paraId="722AC0B1" w14:textId="77777777" w:rsidR="00C05FC9" w:rsidRPr="003E1C7D" w:rsidRDefault="00C05FC9" w:rsidP="00C05FC9">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_tradnl"/>
              </w:rPr>
              <w:t xml:space="preserve">Ley 80 de 1993. </w:t>
            </w:r>
            <w:r w:rsidRPr="003E1C7D">
              <w:rPr>
                <w:rFonts w:ascii="Verdana" w:eastAsia="Calibri" w:hAnsi="Verdana" w:cs="Arial"/>
                <w:lang w:val="es-ES"/>
              </w:rPr>
              <w:t>Artículo 25</w:t>
            </w:r>
          </w:p>
          <w:p w14:paraId="22C018FA" w14:textId="77777777" w:rsidR="00D94246" w:rsidRPr="003E1C7D" w:rsidRDefault="00C05FC9" w:rsidP="00D94246">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
              </w:rPr>
              <w:t>Decreto 1082 de 2015. Artículos 2.2.1.1.2.1.1. y 2.2.1.1.1.6.1.</w:t>
            </w:r>
          </w:p>
          <w:p w14:paraId="08B56C49" w14:textId="77777777" w:rsidR="00D94246" w:rsidRPr="003E1C7D" w:rsidRDefault="002C6C96" w:rsidP="00D94246">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
              </w:rPr>
              <w:t xml:space="preserve">Consejo de Estado. Sección Tercera. Subsección B. Sentencia del 31 de agosto de 2011. </w:t>
            </w:r>
            <w:proofErr w:type="spellStart"/>
            <w:r w:rsidRPr="003E1C7D">
              <w:rPr>
                <w:rFonts w:ascii="Verdana" w:eastAsia="Calibri" w:hAnsi="Verdana" w:cs="Arial"/>
                <w:lang w:val="es-ES"/>
              </w:rPr>
              <w:t>Exp</w:t>
            </w:r>
            <w:proofErr w:type="spellEnd"/>
            <w:r w:rsidRPr="003E1C7D">
              <w:rPr>
                <w:rFonts w:ascii="Verdana" w:eastAsia="Calibri" w:hAnsi="Verdana" w:cs="Arial"/>
                <w:lang w:val="es-ES"/>
              </w:rPr>
              <w:t>. 18.080.</w:t>
            </w:r>
          </w:p>
          <w:p w14:paraId="73E91356" w14:textId="2AD144E5" w:rsidR="00CA6AB0" w:rsidRPr="003E1C7D" w:rsidRDefault="00CA6AB0" w:rsidP="00D94246">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
              </w:rPr>
              <w:t xml:space="preserve">Consejo de Estado. </w:t>
            </w:r>
            <w:r w:rsidR="00C252A6" w:rsidRPr="003E1C7D">
              <w:rPr>
                <w:rFonts w:ascii="Verdana" w:eastAsia="Calibri" w:hAnsi="Verdana" w:cs="Arial"/>
                <w:lang w:val="es-ES"/>
              </w:rPr>
              <w:t xml:space="preserve">Sección Tercera- Subsección C. Sentencia del 24 de julio del 2023. </w:t>
            </w:r>
            <w:proofErr w:type="spellStart"/>
            <w:r w:rsidR="00C252A6" w:rsidRPr="003E1C7D">
              <w:rPr>
                <w:rFonts w:ascii="Verdana" w:eastAsia="Calibri" w:hAnsi="Verdana" w:cs="Arial"/>
                <w:lang w:val="es-ES"/>
              </w:rPr>
              <w:t>Exp</w:t>
            </w:r>
            <w:proofErr w:type="spellEnd"/>
            <w:r w:rsidR="00C252A6" w:rsidRPr="003E1C7D">
              <w:rPr>
                <w:rFonts w:ascii="Verdana" w:eastAsia="Calibri" w:hAnsi="Verdana" w:cs="Arial"/>
                <w:lang w:val="es-ES"/>
              </w:rPr>
              <w:t>. 25642</w:t>
            </w:r>
            <w:r w:rsidR="002B7C53" w:rsidRPr="003E1C7D">
              <w:rPr>
                <w:rFonts w:ascii="Verdana" w:eastAsia="Calibri" w:hAnsi="Verdana" w:cs="Arial"/>
                <w:lang w:val="es-ES"/>
              </w:rPr>
              <w:t xml:space="preserve">. </w:t>
            </w:r>
          </w:p>
          <w:p w14:paraId="1B686448" w14:textId="77777777" w:rsidR="00D94246" w:rsidRPr="003E1C7D" w:rsidRDefault="002C6C96" w:rsidP="00D94246">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
              </w:rPr>
              <w:t>Guía de Elaboración de Estudios de Sector</w:t>
            </w:r>
            <w:r w:rsidR="00D94246" w:rsidRPr="003E1C7D">
              <w:rPr>
                <w:rFonts w:ascii="Verdana" w:eastAsia="Calibri" w:hAnsi="Verdana" w:cs="Arial"/>
                <w:lang w:val="es-ES"/>
              </w:rPr>
              <w:t>. Disponible para consulta en el enlace:</w:t>
            </w:r>
            <w:r w:rsidR="00D94246" w:rsidRPr="003E1C7D">
              <w:rPr>
                <w:rFonts w:ascii="Verdana" w:eastAsia="Calibri" w:hAnsi="Verdana" w:cs="Arial"/>
                <w:lang w:val="es-ES_tradnl"/>
              </w:rPr>
              <w:t xml:space="preserve"> </w:t>
            </w:r>
            <w:hyperlink r:id="rId13" w:history="1">
              <w:r w:rsidR="00D94246" w:rsidRPr="003E1C7D">
                <w:rPr>
                  <w:rStyle w:val="Hyperlink"/>
                  <w:rFonts w:ascii="Verdana" w:eastAsia="Calibri" w:hAnsi="Verdana" w:cs="Arial"/>
                  <w:lang w:val="es-ES"/>
                </w:rPr>
                <w:t>https://www.colombiacompra.gov.co/sites/cce_public/files/cce_documentos/cce-eicp-gi-18._gees_v.2_2.pdf</w:t>
              </w:r>
            </w:hyperlink>
            <w:r w:rsidRPr="003E1C7D">
              <w:rPr>
                <w:rFonts w:ascii="Verdana" w:eastAsia="Calibri" w:hAnsi="Verdana" w:cs="Arial"/>
                <w:lang w:val="es-ES"/>
              </w:rPr>
              <w:t xml:space="preserve"> </w:t>
            </w:r>
          </w:p>
          <w:p w14:paraId="5A4B6B21" w14:textId="3E67BFED" w:rsidR="002C6C96" w:rsidRPr="003E1C7D" w:rsidRDefault="002C6C96" w:rsidP="00D94246">
            <w:pPr>
              <w:widowControl w:val="0"/>
              <w:numPr>
                <w:ilvl w:val="0"/>
                <w:numId w:val="18"/>
              </w:numPr>
              <w:autoSpaceDE w:val="0"/>
              <w:autoSpaceDN w:val="0"/>
              <w:spacing w:after="120" w:line="276" w:lineRule="auto"/>
              <w:jc w:val="both"/>
              <w:rPr>
                <w:rFonts w:ascii="Verdana" w:eastAsia="Calibri" w:hAnsi="Verdana" w:cs="Arial"/>
                <w:lang w:val="es-ES_tradnl"/>
              </w:rPr>
            </w:pPr>
            <w:r w:rsidRPr="003E1C7D">
              <w:rPr>
                <w:rFonts w:ascii="Verdana" w:eastAsia="Calibri" w:hAnsi="Verdana" w:cs="Arial"/>
                <w:lang w:val="es-ES"/>
              </w:rPr>
              <w:t>DEIK ACOSTAMADIEDO</w:t>
            </w:r>
            <w:r w:rsidR="00D40150" w:rsidRPr="003E1C7D">
              <w:rPr>
                <w:rFonts w:ascii="Verdana" w:eastAsia="Calibri" w:hAnsi="Verdana" w:cs="Arial"/>
                <w:lang w:val="es-ES"/>
              </w:rPr>
              <w:t xml:space="preserve">. </w:t>
            </w:r>
            <w:r w:rsidRPr="003E1C7D">
              <w:rPr>
                <w:rFonts w:ascii="Verdana" w:eastAsia="Calibri" w:hAnsi="Verdana" w:cs="Arial"/>
                <w:lang w:val="es-ES"/>
              </w:rPr>
              <w:t>Carolina</w:t>
            </w:r>
            <w:r w:rsidR="00D40150" w:rsidRPr="003E1C7D">
              <w:rPr>
                <w:rFonts w:ascii="Verdana" w:eastAsia="Calibri" w:hAnsi="Verdana" w:cs="Arial"/>
                <w:lang w:val="es-ES"/>
              </w:rPr>
              <w:t xml:space="preserve">. </w:t>
            </w:r>
            <w:r w:rsidRPr="003E1C7D">
              <w:rPr>
                <w:rFonts w:ascii="Verdana" w:eastAsia="Calibri" w:hAnsi="Verdana" w:cs="Arial"/>
                <w:lang w:val="es-ES"/>
              </w:rPr>
              <w:t>Guía de Contratación Estatal: Deber de planeación y modalidades de selección</w:t>
            </w:r>
            <w:r w:rsidR="00D40150" w:rsidRPr="003E1C7D">
              <w:rPr>
                <w:rFonts w:ascii="Verdana" w:eastAsia="Calibri" w:hAnsi="Verdana" w:cs="Arial"/>
                <w:lang w:val="es-ES"/>
              </w:rPr>
              <w:t xml:space="preserve">. </w:t>
            </w:r>
            <w:r w:rsidRPr="003E1C7D">
              <w:rPr>
                <w:rFonts w:ascii="Verdana" w:eastAsia="Calibri" w:hAnsi="Verdana" w:cs="Arial"/>
                <w:lang w:val="es-ES"/>
              </w:rPr>
              <w:t>Buenos Aires</w:t>
            </w:r>
            <w:r w:rsidR="00D40150" w:rsidRPr="003E1C7D">
              <w:rPr>
                <w:rFonts w:ascii="Verdana" w:eastAsia="Calibri" w:hAnsi="Verdana" w:cs="Arial"/>
                <w:lang w:val="es-ES"/>
              </w:rPr>
              <w:t>.</w:t>
            </w:r>
            <w:r w:rsidRPr="003E1C7D">
              <w:rPr>
                <w:rFonts w:ascii="Verdana" w:eastAsia="Calibri" w:hAnsi="Verdana" w:cs="Arial"/>
                <w:lang w:val="es-ES"/>
              </w:rPr>
              <w:t xml:space="preserve"> 2015</w:t>
            </w:r>
            <w:r w:rsidR="00D40150" w:rsidRPr="003E1C7D">
              <w:rPr>
                <w:rFonts w:ascii="Verdana" w:eastAsia="Calibri" w:hAnsi="Verdana" w:cs="Arial"/>
                <w:lang w:val="es-ES"/>
              </w:rPr>
              <w:t>.</w:t>
            </w:r>
            <w:r w:rsidRPr="003E1C7D">
              <w:rPr>
                <w:rFonts w:ascii="Verdana" w:eastAsia="Calibri" w:hAnsi="Verdana" w:cs="Arial"/>
                <w:lang w:val="es-ES"/>
              </w:rPr>
              <w:t xml:space="preserve"> p. 59.</w:t>
            </w:r>
          </w:p>
        </w:tc>
      </w:tr>
    </w:tbl>
    <w:p w14:paraId="7D5194CE" w14:textId="77777777" w:rsidR="002C6C96" w:rsidRPr="003E1C7D" w:rsidRDefault="002C6C96" w:rsidP="002C6C96">
      <w:pPr>
        <w:widowControl w:val="0"/>
        <w:autoSpaceDE w:val="0"/>
        <w:autoSpaceDN w:val="0"/>
        <w:spacing w:after="0" w:line="276" w:lineRule="auto"/>
        <w:jc w:val="both"/>
        <w:rPr>
          <w:rFonts w:ascii="Verdana" w:eastAsia="Aptos" w:hAnsi="Verdana" w:cs="Arial"/>
        </w:rPr>
      </w:pPr>
    </w:p>
    <w:p w14:paraId="3DC69A0C" w14:textId="77777777" w:rsidR="002C6C96" w:rsidRPr="003E1C7D" w:rsidRDefault="002C6C96" w:rsidP="002C6C96">
      <w:pPr>
        <w:widowControl w:val="0"/>
        <w:autoSpaceDE w:val="0"/>
        <w:autoSpaceDN w:val="0"/>
        <w:spacing w:before="1" w:after="0" w:line="240" w:lineRule="auto"/>
        <w:outlineLvl w:val="0"/>
        <w:rPr>
          <w:rFonts w:ascii="Verdana" w:eastAsia="Arial" w:hAnsi="Verdana" w:cs="Arial"/>
          <w:b/>
          <w:bCs/>
          <w:lang w:val="es-ES"/>
        </w:rPr>
      </w:pPr>
      <w:r w:rsidRPr="003E1C7D">
        <w:rPr>
          <w:rFonts w:ascii="Verdana" w:eastAsia="Arial" w:hAnsi="Verdana" w:cs="Arial"/>
          <w:b/>
          <w:bCs/>
          <w:lang w:val="es-ES"/>
        </w:rPr>
        <w:lastRenderedPageBreak/>
        <w:t>5. Doctrina de la Agencia Nacional de Contratación Pública:</w:t>
      </w:r>
    </w:p>
    <w:p w14:paraId="071097E7" w14:textId="77777777" w:rsidR="002C6C96" w:rsidRPr="003E1C7D" w:rsidRDefault="002C6C96" w:rsidP="002C6C96">
      <w:pPr>
        <w:widowControl w:val="0"/>
        <w:autoSpaceDE w:val="0"/>
        <w:autoSpaceDN w:val="0"/>
        <w:spacing w:after="0" w:line="276" w:lineRule="auto"/>
        <w:jc w:val="both"/>
        <w:rPr>
          <w:rFonts w:ascii="Verdana" w:eastAsia="Aptos" w:hAnsi="Verdana" w:cs="Arial"/>
        </w:rPr>
      </w:pPr>
    </w:p>
    <w:p w14:paraId="22A02EB8" w14:textId="6AAA16DF" w:rsidR="002C6C96" w:rsidRPr="003E1C7D" w:rsidRDefault="002C6C96" w:rsidP="002C6C96">
      <w:pPr>
        <w:widowControl w:val="0"/>
        <w:autoSpaceDE w:val="0"/>
        <w:autoSpaceDN w:val="0"/>
        <w:spacing w:after="0" w:line="276" w:lineRule="auto"/>
        <w:jc w:val="both"/>
        <w:rPr>
          <w:rFonts w:ascii="Verdana" w:eastAsia="Aptos" w:hAnsi="Verdana" w:cs="Arial"/>
          <w:shd w:val="clear" w:color="auto" w:fill="FFFFFF"/>
          <w:lang w:val="es-ES"/>
        </w:rPr>
      </w:pPr>
      <w:r w:rsidRPr="003E1C7D">
        <w:rPr>
          <w:rFonts w:ascii="Verdana" w:eastAsia="Aptos" w:hAnsi="Verdana" w:cs="Arial"/>
          <w:shd w:val="clear" w:color="auto" w:fill="FFFFFF"/>
          <w:lang w:val="es-ES"/>
        </w:rPr>
        <w:t xml:space="preserve">Sobre el deber de elaborar </w:t>
      </w:r>
      <w:r w:rsidR="0092439A" w:rsidRPr="003E1C7D">
        <w:rPr>
          <w:rFonts w:ascii="Verdana" w:eastAsia="Aptos" w:hAnsi="Verdana" w:cs="Arial"/>
          <w:shd w:val="clear" w:color="auto" w:fill="FFFFFF"/>
          <w:lang w:val="es-ES"/>
        </w:rPr>
        <w:t xml:space="preserve">el </w:t>
      </w:r>
      <w:r w:rsidRPr="003E1C7D">
        <w:rPr>
          <w:rFonts w:ascii="Verdana" w:eastAsia="Aptos" w:hAnsi="Verdana" w:cs="Arial"/>
          <w:shd w:val="clear" w:color="auto" w:fill="FFFFFF"/>
          <w:lang w:val="es-ES"/>
        </w:rPr>
        <w:t xml:space="preserve">análisis del sector </w:t>
      </w:r>
      <w:r w:rsidR="00E022D7" w:rsidRPr="003E1C7D">
        <w:rPr>
          <w:rFonts w:ascii="Verdana" w:eastAsia="Aptos" w:hAnsi="Verdana" w:cs="Arial"/>
          <w:shd w:val="clear" w:color="auto" w:fill="FFFFFF"/>
          <w:lang w:val="es-ES"/>
        </w:rPr>
        <w:t>en los</w:t>
      </w:r>
      <w:r w:rsidRPr="003E1C7D">
        <w:rPr>
          <w:rFonts w:ascii="Verdana" w:eastAsia="Aptos" w:hAnsi="Verdana" w:cs="Arial"/>
          <w:shd w:val="clear" w:color="auto" w:fill="FFFFFF"/>
          <w:lang w:val="es-ES"/>
        </w:rPr>
        <w:t xml:space="preserve"> procesos de contratación, esta Subdirección </w:t>
      </w:r>
      <w:r w:rsidR="00347481" w:rsidRPr="003E1C7D">
        <w:rPr>
          <w:rFonts w:ascii="Verdana" w:eastAsia="Aptos" w:hAnsi="Verdana" w:cs="Arial"/>
          <w:shd w:val="clear" w:color="auto" w:fill="FFFFFF"/>
          <w:lang w:val="es-ES"/>
        </w:rPr>
        <w:t xml:space="preserve">se ha pronunciado </w:t>
      </w:r>
      <w:r w:rsidRPr="003E1C7D">
        <w:rPr>
          <w:rFonts w:ascii="Verdana" w:eastAsia="Aptos" w:hAnsi="Verdana" w:cs="Arial"/>
          <w:shd w:val="clear" w:color="auto" w:fill="FFFFFF"/>
          <w:lang w:val="es-ES"/>
        </w:rPr>
        <w:t>en los conceptos</w:t>
      </w:r>
      <w:r w:rsidR="0092439A" w:rsidRPr="003E1C7D">
        <w:rPr>
          <w:rFonts w:ascii="Verdana" w:eastAsia="Aptos" w:hAnsi="Verdana" w:cs="Arial"/>
          <w:shd w:val="clear" w:color="auto" w:fill="FFFFFF"/>
          <w:lang w:val="es-ES"/>
        </w:rPr>
        <w:t xml:space="preserve"> Nro. </w:t>
      </w:r>
      <w:r w:rsidRPr="003E1C7D">
        <w:rPr>
          <w:rFonts w:ascii="Verdana" w:eastAsia="Aptos" w:hAnsi="Verdana" w:cs="Arial"/>
          <w:shd w:val="clear" w:color="auto" w:fill="FFFFFF"/>
          <w:lang w:val="es-ES"/>
        </w:rPr>
        <w:t>2202013000000037 del 7 de enero de 2020, C-223 del 29 de abril de 2020 y C-148 de 2021. Igualmente, se reiteran los Conceptos C-387 del 23 de junio de 2020, C-415 del 7 de julio de 2020, C-443 del 7 de julio de 2020, C-387 del 23 de junio de 2020, C-223 del 29 de abril de 2020, C-671 de 2020 de 23 de noviembre de 2020, C-215 del 12 de mayo de 2021, C-742 del 27 de diciembre de 2021, C-519 del 13 de septiembre de 2022, C-716 del 15 de noviembre de 2022, C-856 del 13 de diciembre de 2022, C-235 del 5 de julio de 2023, C-124 del 24 de julio de 2024, C-168 del 25 de julio 2024, C-258 del 12 de agosto de 2024, C-255 del 14 de agosto de 2024</w:t>
      </w:r>
      <w:r w:rsidR="00E022D7" w:rsidRPr="003E1C7D">
        <w:rPr>
          <w:rFonts w:ascii="Verdana" w:eastAsia="Aptos" w:hAnsi="Verdana" w:cs="Arial"/>
          <w:shd w:val="clear" w:color="auto" w:fill="FFFFFF"/>
          <w:lang w:val="es-ES"/>
        </w:rPr>
        <w:t xml:space="preserve"> y C-</w:t>
      </w:r>
      <w:r w:rsidR="00347481" w:rsidRPr="003E1C7D">
        <w:rPr>
          <w:rFonts w:ascii="Verdana" w:eastAsia="Aptos" w:hAnsi="Verdana" w:cs="Arial"/>
          <w:shd w:val="clear" w:color="auto" w:fill="FFFFFF"/>
          <w:lang w:val="es-ES"/>
        </w:rPr>
        <w:t xml:space="preserve">297 del </w:t>
      </w:r>
      <w:r w:rsidR="00722014" w:rsidRPr="003E1C7D">
        <w:rPr>
          <w:rFonts w:ascii="Verdana" w:eastAsia="Aptos" w:hAnsi="Verdana" w:cs="Arial"/>
          <w:shd w:val="clear" w:color="auto" w:fill="FFFFFF"/>
          <w:lang w:val="es-ES"/>
        </w:rPr>
        <w:t>11 de septiembre del 2024</w:t>
      </w:r>
      <w:r w:rsidR="00347481" w:rsidRPr="003E1C7D">
        <w:rPr>
          <w:rFonts w:ascii="Verdana" w:eastAsia="Aptos" w:hAnsi="Verdana" w:cs="Arial"/>
          <w:shd w:val="clear" w:color="auto" w:fill="FFFFFF"/>
          <w:lang w:val="es-ES"/>
        </w:rPr>
        <w:t xml:space="preserve">. </w:t>
      </w:r>
      <w:r w:rsidRPr="003E1C7D">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3E1C7D">
          <w:rPr>
            <w:rStyle w:val="Hyperlink"/>
            <w:rFonts w:ascii="Verdana" w:eastAsia="Aptos" w:hAnsi="Verdana" w:cs="Arial"/>
            <w:shd w:val="clear" w:color="auto" w:fill="FFFFFF"/>
            <w:lang w:val="es-ES"/>
          </w:rPr>
          <w:t>https://relatoria.colombiacompra.gov.co/</w:t>
        </w:r>
      </w:hyperlink>
      <w:r w:rsidRPr="003E1C7D">
        <w:rPr>
          <w:rFonts w:ascii="Verdana" w:eastAsia="Aptos" w:hAnsi="Verdana" w:cs="Arial"/>
          <w:shd w:val="clear" w:color="auto" w:fill="FFFFFF"/>
          <w:lang w:val="es-ES"/>
        </w:rPr>
        <w:t xml:space="preserve">. </w:t>
      </w:r>
    </w:p>
    <w:p w14:paraId="762D0C5A" w14:textId="77777777" w:rsidR="002C6C96" w:rsidRPr="003E1C7D" w:rsidRDefault="002C6C96" w:rsidP="002C6C96">
      <w:pPr>
        <w:widowControl w:val="0"/>
        <w:autoSpaceDE w:val="0"/>
        <w:autoSpaceDN w:val="0"/>
        <w:spacing w:after="0" w:line="276" w:lineRule="auto"/>
        <w:jc w:val="both"/>
        <w:rPr>
          <w:rFonts w:ascii="Verdana" w:eastAsia="Aptos" w:hAnsi="Verdana" w:cs="Arial"/>
          <w:shd w:val="clear" w:color="auto" w:fill="FFFFFF"/>
          <w:lang w:val="es-ES"/>
        </w:rPr>
      </w:pPr>
    </w:p>
    <w:p w14:paraId="29E044A5" w14:textId="77777777" w:rsidR="00E022D7" w:rsidRPr="003E1C7D" w:rsidRDefault="00E022D7" w:rsidP="00E022D7">
      <w:pPr>
        <w:widowControl w:val="0"/>
        <w:autoSpaceDE w:val="0"/>
        <w:autoSpaceDN w:val="0"/>
        <w:spacing w:after="120" w:line="276" w:lineRule="auto"/>
        <w:jc w:val="both"/>
        <w:rPr>
          <w:rFonts w:ascii="Verdana" w:hAnsi="Verdana" w:cs="Arial"/>
        </w:rPr>
      </w:pPr>
      <w:r w:rsidRPr="003E1C7D">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3E1C7D">
          <w:rPr>
            <w:rStyle w:val="Hyperlink"/>
            <w:rFonts w:ascii="Verdana" w:hAnsi="Verdana" w:cs="Arial"/>
            <w:shd w:val="clear" w:color="auto" w:fill="FFFFFF"/>
          </w:rPr>
          <w:t>manual_para_el_manejo_de_acuerdos_comerciales_vf.pdf</w:t>
        </w:r>
      </w:hyperlink>
    </w:p>
    <w:p w14:paraId="2616882B" w14:textId="77777777" w:rsidR="00E022D7" w:rsidRPr="003E1C7D" w:rsidRDefault="00E022D7" w:rsidP="00E022D7">
      <w:pPr>
        <w:widowControl w:val="0"/>
        <w:autoSpaceDE w:val="0"/>
        <w:autoSpaceDN w:val="0"/>
        <w:spacing w:after="120" w:line="276" w:lineRule="auto"/>
        <w:jc w:val="both"/>
        <w:rPr>
          <w:rFonts w:ascii="Verdana" w:hAnsi="Verdana" w:cs="Arial"/>
        </w:rPr>
      </w:pPr>
      <w:r w:rsidRPr="003E1C7D">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6" w:tgtFrame="_blank" w:tooltip="Dirección URL original: https://www.colombiacompra.gov.co/sala-de-prensa/boletin-digital. Haga clic o pulse si confía en este vínculo." w:history="1">
        <w:r w:rsidRPr="003E1C7D">
          <w:rPr>
            <w:rStyle w:val="Hyperlink"/>
            <w:rFonts w:ascii="Verdana" w:hAnsi="Verdana" w:cs="Arial"/>
          </w:rPr>
          <w:t>https://www.colombiacompra.gov.co/sala-de-prensa/boletin-digital</w:t>
        </w:r>
      </w:hyperlink>
      <w:r w:rsidRPr="003E1C7D">
        <w:rPr>
          <w:rFonts w:ascii="Verdana" w:hAnsi="Verdana" w:cs="Arial"/>
          <w:color w:val="000000"/>
        </w:rPr>
        <w:t> </w:t>
      </w:r>
    </w:p>
    <w:p w14:paraId="2247549C" w14:textId="043614E5" w:rsidR="002C6C96" w:rsidRPr="003E1C7D" w:rsidRDefault="002C6C96" w:rsidP="00E022D7">
      <w:pPr>
        <w:widowControl w:val="0"/>
        <w:autoSpaceDE w:val="0"/>
        <w:autoSpaceDN w:val="0"/>
        <w:spacing w:after="120" w:line="276" w:lineRule="auto"/>
        <w:jc w:val="both"/>
        <w:rPr>
          <w:rFonts w:ascii="Verdana" w:hAnsi="Verdana" w:cs="Arial"/>
        </w:rPr>
      </w:pPr>
      <w:r w:rsidRPr="003E1C7D">
        <w:rPr>
          <w:rFonts w:ascii="Verdana" w:hAnsi="Verdana"/>
        </w:rPr>
        <w:t xml:space="preserve">Por último, lo invitamos a seguirnos en las redes sociales en las cuales se difunde información institucional: </w:t>
      </w:r>
    </w:p>
    <w:p w14:paraId="2585B2E6" w14:textId="77777777" w:rsidR="002C6C96" w:rsidRPr="003E1C7D" w:rsidRDefault="002C6C96" w:rsidP="002C6C96">
      <w:pPr>
        <w:spacing w:after="0" w:line="240" w:lineRule="auto"/>
        <w:jc w:val="both"/>
        <w:rPr>
          <w:rFonts w:ascii="Verdana" w:hAnsi="Verdana"/>
        </w:rPr>
      </w:pPr>
      <w:r w:rsidRPr="003E1C7D">
        <w:rPr>
          <w:rFonts w:ascii="Verdana" w:hAnsi="Verdana"/>
        </w:rPr>
        <w:t xml:space="preserve">Twitter: </w:t>
      </w:r>
      <w:r w:rsidRPr="003E1C7D">
        <w:rPr>
          <w:rStyle w:val="Hyperlink"/>
          <w:rFonts w:ascii="Verdana" w:hAnsi="Verdana" w:cs="Arial"/>
          <w:shd w:val="clear" w:color="auto" w:fill="FFFFFF"/>
          <w:lang w:val="es-ES"/>
        </w:rPr>
        <w:t>@colombiacompra</w:t>
      </w:r>
      <w:r w:rsidRPr="003E1C7D">
        <w:rPr>
          <w:rFonts w:ascii="Verdana" w:eastAsia="Aptos" w:hAnsi="Verdana" w:cs="Times New Roman"/>
          <w:color w:val="156082"/>
        </w:rPr>
        <w:t xml:space="preserve"> </w:t>
      </w:r>
    </w:p>
    <w:p w14:paraId="152CED4F" w14:textId="77777777" w:rsidR="002C6C96" w:rsidRPr="003E1C7D" w:rsidRDefault="002C6C96" w:rsidP="002C6C96">
      <w:pPr>
        <w:spacing w:after="0" w:line="240" w:lineRule="auto"/>
        <w:jc w:val="both"/>
        <w:rPr>
          <w:rFonts w:ascii="Verdana" w:hAnsi="Verdana"/>
        </w:rPr>
      </w:pPr>
      <w:r w:rsidRPr="003E1C7D">
        <w:rPr>
          <w:rFonts w:ascii="Verdana" w:hAnsi="Verdana"/>
        </w:rPr>
        <w:t xml:space="preserve">Facebook: </w:t>
      </w:r>
      <w:proofErr w:type="spellStart"/>
      <w:r w:rsidRPr="003E1C7D">
        <w:rPr>
          <w:rStyle w:val="Hyperlink"/>
          <w:rFonts w:ascii="Verdana" w:hAnsi="Verdana" w:cs="Arial"/>
          <w:shd w:val="clear" w:color="auto" w:fill="FFFFFF"/>
          <w:lang w:val="es-ES"/>
        </w:rPr>
        <w:t>ColombiaCompraEficiente</w:t>
      </w:r>
      <w:proofErr w:type="spellEnd"/>
    </w:p>
    <w:p w14:paraId="7798BBAC" w14:textId="77777777" w:rsidR="002C6C96" w:rsidRPr="003E1C7D" w:rsidRDefault="002C6C96" w:rsidP="002C6C96">
      <w:pPr>
        <w:spacing w:after="0" w:line="240" w:lineRule="auto"/>
        <w:jc w:val="both"/>
        <w:rPr>
          <w:rFonts w:ascii="Verdana" w:hAnsi="Verdana"/>
        </w:rPr>
      </w:pPr>
      <w:r w:rsidRPr="003E1C7D">
        <w:rPr>
          <w:rFonts w:ascii="Verdana" w:hAnsi="Verdana"/>
        </w:rPr>
        <w:t xml:space="preserve">LinkedIn: </w:t>
      </w:r>
      <w:r w:rsidRPr="003E1C7D">
        <w:rPr>
          <w:rStyle w:val="Hyperlink"/>
          <w:rFonts w:ascii="Verdana" w:hAnsi="Verdana" w:cs="Arial"/>
          <w:shd w:val="clear" w:color="auto" w:fill="FFFFFF"/>
          <w:lang w:val="es-ES"/>
        </w:rPr>
        <w:t>Agencia Nacional de Contratación Pública - Colombia Compra Eficiente</w:t>
      </w:r>
      <w:r w:rsidRPr="003E1C7D">
        <w:rPr>
          <w:rFonts w:ascii="Verdana" w:eastAsia="Aptos" w:hAnsi="Verdana" w:cs="Times New Roman"/>
          <w:color w:val="156082"/>
        </w:rPr>
        <w:t xml:space="preserve"> </w:t>
      </w:r>
      <w:r w:rsidRPr="003E1C7D">
        <w:rPr>
          <w:rFonts w:ascii="Verdana" w:hAnsi="Verdana"/>
        </w:rPr>
        <w:t xml:space="preserve">Instagram: </w:t>
      </w:r>
      <w:r w:rsidRPr="003E1C7D">
        <w:rPr>
          <w:rStyle w:val="Hyperlink"/>
          <w:rFonts w:ascii="Verdana" w:hAnsi="Verdana" w:cs="Arial"/>
          <w:shd w:val="clear" w:color="auto" w:fill="FFFFFF"/>
          <w:lang w:val="es-ES"/>
        </w:rPr>
        <w:t>@colombiacompraeficiente_cce</w:t>
      </w:r>
    </w:p>
    <w:p w14:paraId="3964BCBB" w14:textId="77777777" w:rsidR="002C6C96" w:rsidRPr="003E1C7D" w:rsidRDefault="002C6C96" w:rsidP="002C6C96">
      <w:pPr>
        <w:widowControl w:val="0"/>
        <w:autoSpaceDE w:val="0"/>
        <w:autoSpaceDN w:val="0"/>
        <w:spacing w:after="0" w:line="276" w:lineRule="auto"/>
        <w:jc w:val="both"/>
        <w:rPr>
          <w:rFonts w:ascii="Verdana" w:hAnsi="Verdana"/>
        </w:rPr>
      </w:pPr>
    </w:p>
    <w:p w14:paraId="68A92687" w14:textId="77777777" w:rsidR="002C6C96" w:rsidRPr="003E1C7D" w:rsidRDefault="002C6C96" w:rsidP="002C6C96">
      <w:pPr>
        <w:widowControl w:val="0"/>
        <w:autoSpaceDE w:val="0"/>
        <w:autoSpaceDN w:val="0"/>
        <w:spacing w:after="0" w:line="276" w:lineRule="auto"/>
        <w:jc w:val="both"/>
        <w:rPr>
          <w:rFonts w:ascii="Verdana" w:eastAsia="Aptos" w:hAnsi="Verdana" w:cs="Arial"/>
          <w:lang w:val="es-ES_tradnl"/>
        </w:rPr>
      </w:pPr>
      <w:r w:rsidRPr="003E1C7D">
        <w:rPr>
          <w:rFonts w:ascii="Verdana" w:eastAsia="Aptos" w:hAnsi="Verdana" w:cs="Arial"/>
        </w:rPr>
        <w:t xml:space="preserve">Este concepto tiene el alcance previsto en el artículo 28 del Código de </w:t>
      </w:r>
      <w:r w:rsidRPr="003E1C7D">
        <w:rPr>
          <w:rFonts w:ascii="Verdana" w:eastAsia="Aptos" w:hAnsi="Verdana" w:cs="Arial"/>
        </w:rPr>
        <w:lastRenderedPageBreak/>
        <w:t xml:space="preserve">Procedimiento Administrativo y de lo Contencioso Administrativo </w:t>
      </w:r>
      <w:r w:rsidRPr="003E1C7D">
        <w:rPr>
          <w:rFonts w:ascii="Verdana" w:eastAsia="Aptos" w:hAnsi="Verdana" w:cs="Arial"/>
          <w:lang w:val="es-ES_tradnl"/>
        </w:rPr>
        <w:t>y las expresiones aquí utilizadas con mayúscula inicial deben ser entendidas con el significado que les otorga el artículo 2.2.1.1.1.3.1. del Decreto 1082 de 2015.</w:t>
      </w:r>
    </w:p>
    <w:p w14:paraId="3C37E5A8" w14:textId="77777777" w:rsidR="002C6C96" w:rsidRPr="003E1C7D" w:rsidRDefault="002C6C96" w:rsidP="002C6C96">
      <w:pPr>
        <w:widowControl w:val="0"/>
        <w:autoSpaceDE w:val="0"/>
        <w:autoSpaceDN w:val="0"/>
        <w:spacing w:after="0" w:line="276" w:lineRule="auto"/>
        <w:jc w:val="both"/>
        <w:rPr>
          <w:rFonts w:ascii="Verdana" w:eastAsia="Aptos" w:hAnsi="Verdana" w:cs="Arial"/>
        </w:rPr>
      </w:pPr>
    </w:p>
    <w:p w14:paraId="789D2DFF" w14:textId="77777777" w:rsidR="00806516" w:rsidRPr="003E1C7D" w:rsidRDefault="00806516" w:rsidP="00806516">
      <w:pPr>
        <w:spacing w:after="0" w:line="240" w:lineRule="auto"/>
        <w:rPr>
          <w:rFonts w:ascii="Verdana" w:hAnsi="Verdana" w:cs="Arial"/>
          <w:lang w:eastAsia="es-CO"/>
        </w:rPr>
      </w:pPr>
      <w:r w:rsidRPr="003E1C7D">
        <w:rPr>
          <w:rFonts w:ascii="Verdana" w:eastAsia="Times New Roman" w:hAnsi="Verdana" w:cs="Arial"/>
          <w:lang w:eastAsia="es-CO"/>
        </w:rPr>
        <w:t>Atentamente,</w:t>
      </w:r>
      <w:r w:rsidRPr="003E1C7D">
        <w:rPr>
          <w:rFonts w:ascii="Verdana" w:hAnsi="Verdana" w:cs="Arial"/>
          <w:lang w:eastAsia="es-CO"/>
        </w:rPr>
        <w:t xml:space="preserve"> </w:t>
      </w:r>
    </w:p>
    <w:p w14:paraId="40FA97EE" w14:textId="63471B36" w:rsidR="00806516" w:rsidRPr="003E1C7D" w:rsidRDefault="000A1D59" w:rsidP="00806516">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9EBC182" wp14:editId="246B585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06516" w:rsidRPr="003E1C7D" w14:paraId="5A4A6A47" w14:textId="77777777" w:rsidTr="00082822">
        <w:trPr>
          <w:trHeight w:val="315"/>
        </w:trPr>
        <w:tc>
          <w:tcPr>
            <w:tcW w:w="893" w:type="dxa"/>
            <w:vAlign w:val="center"/>
            <w:hideMark/>
          </w:tcPr>
          <w:p w14:paraId="68A36EE2" w14:textId="77777777" w:rsidR="00806516" w:rsidRPr="003E1C7D" w:rsidRDefault="00806516" w:rsidP="00082822">
            <w:pPr>
              <w:contextualSpacing/>
              <w:rPr>
                <w:rFonts w:ascii="Verdana" w:hAnsi="Verdana" w:cs="Arial"/>
                <w:sz w:val="16"/>
                <w:szCs w:val="16"/>
                <w:lang w:val="es-ES" w:eastAsia="es-ES"/>
              </w:rPr>
            </w:pPr>
            <w:r w:rsidRPr="003E1C7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0E1C3BE" w14:textId="77777777" w:rsidR="00806516" w:rsidRPr="003E1C7D" w:rsidRDefault="00806516" w:rsidP="00082822">
            <w:pPr>
              <w:contextualSpacing/>
              <w:rPr>
                <w:rFonts w:ascii="Verdana" w:eastAsia="Arial" w:hAnsi="Verdana" w:cs="Arial"/>
                <w:sz w:val="16"/>
                <w:szCs w:val="16"/>
              </w:rPr>
            </w:pPr>
            <w:r w:rsidRPr="003E1C7D">
              <w:rPr>
                <w:rFonts w:ascii="Verdana" w:eastAsia="Arial" w:hAnsi="Verdana" w:cs="Arial"/>
                <w:sz w:val="16"/>
                <w:szCs w:val="16"/>
              </w:rPr>
              <w:t>Ana María Ortiz Ballesteros</w:t>
            </w:r>
          </w:p>
          <w:p w14:paraId="501F4297" w14:textId="77777777" w:rsidR="00806516" w:rsidRPr="003E1C7D" w:rsidRDefault="00806516" w:rsidP="00082822">
            <w:pPr>
              <w:contextualSpacing/>
              <w:rPr>
                <w:rFonts w:ascii="Verdana" w:eastAsia="Arial" w:hAnsi="Verdana" w:cs="Arial"/>
                <w:sz w:val="16"/>
                <w:szCs w:val="16"/>
              </w:rPr>
            </w:pPr>
            <w:r w:rsidRPr="003E1C7D">
              <w:rPr>
                <w:rStyle w:val="normaltextrun"/>
                <w:rFonts w:ascii="Verdana" w:eastAsia="Arial" w:hAnsi="Verdana" w:cs="Arial"/>
                <w:sz w:val="16"/>
                <w:szCs w:val="16"/>
              </w:rPr>
              <w:t>C</w:t>
            </w:r>
            <w:r w:rsidRPr="003E1C7D">
              <w:rPr>
                <w:rStyle w:val="normaltextrun"/>
                <w:rFonts w:ascii="Verdana" w:hAnsi="Verdana" w:cs="Arial"/>
                <w:sz w:val="16"/>
                <w:szCs w:val="16"/>
              </w:rPr>
              <w:t>ontratista</w:t>
            </w:r>
            <w:r w:rsidRPr="003E1C7D">
              <w:rPr>
                <w:rStyle w:val="normaltextrun"/>
                <w:rFonts w:ascii="Verdana" w:eastAsia="Arial" w:hAnsi="Verdana" w:cs="Arial"/>
                <w:sz w:val="16"/>
                <w:szCs w:val="16"/>
              </w:rPr>
              <w:t xml:space="preserve"> de la Subdirección de Gestión Contractual</w:t>
            </w:r>
          </w:p>
        </w:tc>
      </w:tr>
      <w:tr w:rsidR="00806516" w:rsidRPr="003E1C7D" w14:paraId="52020178" w14:textId="77777777" w:rsidTr="00082822">
        <w:trPr>
          <w:trHeight w:val="330"/>
        </w:trPr>
        <w:tc>
          <w:tcPr>
            <w:tcW w:w="893" w:type="dxa"/>
            <w:vAlign w:val="center"/>
            <w:hideMark/>
          </w:tcPr>
          <w:p w14:paraId="73DC144F" w14:textId="77777777" w:rsidR="00806516" w:rsidRPr="003E1C7D" w:rsidRDefault="00806516" w:rsidP="00082822">
            <w:pPr>
              <w:contextualSpacing/>
              <w:rPr>
                <w:rFonts w:ascii="Verdana" w:hAnsi="Verdana" w:cs="Arial"/>
                <w:sz w:val="16"/>
                <w:szCs w:val="16"/>
                <w:lang w:val="es-ES" w:eastAsia="es-ES"/>
              </w:rPr>
            </w:pPr>
            <w:r w:rsidRPr="003E1C7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D0417D4" w14:textId="77777777" w:rsidR="00806516" w:rsidRPr="003E1C7D" w:rsidRDefault="00806516" w:rsidP="00082822">
            <w:pPr>
              <w:pStyle w:val="paragraph"/>
              <w:spacing w:after="0"/>
              <w:contextualSpacing/>
              <w:textAlignment w:val="baseline"/>
              <w:rPr>
                <w:rStyle w:val="normaltextrun"/>
                <w:rFonts w:ascii="Verdana" w:hAnsi="Verdana" w:cs="Arial"/>
                <w:sz w:val="16"/>
                <w:szCs w:val="16"/>
                <w:lang w:val="es-ES"/>
              </w:rPr>
            </w:pPr>
            <w:r w:rsidRPr="003E1C7D">
              <w:rPr>
                <w:rStyle w:val="normaltextrun"/>
                <w:rFonts w:ascii="Verdana" w:hAnsi="Verdana" w:cs="Arial"/>
                <w:sz w:val="16"/>
                <w:szCs w:val="16"/>
                <w:lang w:val="es-ES"/>
              </w:rPr>
              <w:t xml:space="preserve">Juan David Cárdenas Cabeza </w:t>
            </w:r>
          </w:p>
          <w:p w14:paraId="0113070C" w14:textId="77777777" w:rsidR="00806516" w:rsidRPr="003E1C7D" w:rsidRDefault="00806516" w:rsidP="00082822">
            <w:pPr>
              <w:pStyle w:val="paragraph"/>
              <w:spacing w:before="0" w:beforeAutospacing="0" w:after="0" w:afterAutospacing="0"/>
              <w:contextualSpacing/>
              <w:textAlignment w:val="baseline"/>
              <w:rPr>
                <w:rFonts w:ascii="Verdana" w:hAnsi="Verdana" w:cs="Arial"/>
                <w:sz w:val="16"/>
                <w:szCs w:val="16"/>
              </w:rPr>
            </w:pPr>
            <w:r w:rsidRPr="003E1C7D">
              <w:rPr>
                <w:rStyle w:val="normaltextrun"/>
                <w:rFonts w:ascii="Verdana" w:eastAsia="Arial" w:hAnsi="Verdana" w:cs="Arial"/>
                <w:sz w:val="16"/>
                <w:szCs w:val="16"/>
              </w:rPr>
              <w:t>C</w:t>
            </w:r>
            <w:r w:rsidRPr="003E1C7D">
              <w:rPr>
                <w:rStyle w:val="normaltextrun"/>
                <w:rFonts w:ascii="Verdana" w:hAnsi="Verdana" w:cs="Arial"/>
                <w:sz w:val="16"/>
                <w:szCs w:val="16"/>
              </w:rPr>
              <w:t>ontratista</w:t>
            </w:r>
            <w:r w:rsidRPr="003E1C7D">
              <w:rPr>
                <w:rStyle w:val="normaltextrun"/>
                <w:rFonts w:ascii="Verdana" w:eastAsia="Arial" w:hAnsi="Verdana" w:cs="Arial"/>
                <w:sz w:val="16"/>
                <w:szCs w:val="16"/>
              </w:rPr>
              <w:t xml:space="preserve"> de la Subdirección de Gestión Contractual</w:t>
            </w:r>
          </w:p>
        </w:tc>
      </w:tr>
      <w:tr w:rsidR="00806516" w:rsidRPr="003E1C7D" w14:paraId="67A7618E" w14:textId="77777777" w:rsidTr="00082822">
        <w:trPr>
          <w:trHeight w:val="300"/>
        </w:trPr>
        <w:tc>
          <w:tcPr>
            <w:tcW w:w="893" w:type="dxa"/>
            <w:vAlign w:val="center"/>
          </w:tcPr>
          <w:p w14:paraId="31FF3595" w14:textId="77777777" w:rsidR="00806516" w:rsidRPr="003E1C7D" w:rsidRDefault="00806516" w:rsidP="00082822">
            <w:pPr>
              <w:contextualSpacing/>
              <w:rPr>
                <w:rFonts w:ascii="Verdana" w:hAnsi="Verdana" w:cs="Arial"/>
                <w:sz w:val="16"/>
                <w:szCs w:val="16"/>
                <w:lang w:val="es-ES" w:eastAsia="es-ES"/>
              </w:rPr>
            </w:pPr>
            <w:r w:rsidRPr="003E1C7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6B76408" w14:textId="77777777" w:rsidR="00806516" w:rsidRPr="003E1C7D" w:rsidRDefault="00806516" w:rsidP="00082822">
            <w:pPr>
              <w:contextualSpacing/>
              <w:rPr>
                <w:rFonts w:ascii="Verdana" w:eastAsia="Calibri" w:hAnsi="Verdana" w:cs="Arial"/>
                <w:sz w:val="16"/>
                <w:szCs w:val="16"/>
                <w:lang w:val="pt-BR" w:eastAsia="es-ES"/>
              </w:rPr>
            </w:pPr>
            <w:r w:rsidRPr="003E1C7D">
              <w:rPr>
                <w:rFonts w:ascii="Verdana" w:eastAsia="Calibri" w:hAnsi="Verdana" w:cs="Arial"/>
                <w:sz w:val="16"/>
                <w:szCs w:val="16"/>
                <w:lang w:val="pt-BR" w:eastAsia="es-ES"/>
              </w:rPr>
              <w:t xml:space="preserve">Carolina Quintero </w:t>
            </w:r>
            <w:proofErr w:type="spellStart"/>
            <w:r w:rsidRPr="003E1C7D">
              <w:rPr>
                <w:rFonts w:ascii="Verdana" w:eastAsia="Calibri" w:hAnsi="Verdana" w:cs="Arial"/>
                <w:sz w:val="16"/>
                <w:szCs w:val="16"/>
                <w:lang w:val="pt-BR" w:eastAsia="es-ES"/>
              </w:rPr>
              <w:t>Gacharná</w:t>
            </w:r>
            <w:proofErr w:type="spellEnd"/>
          </w:p>
          <w:p w14:paraId="648544A5" w14:textId="77777777" w:rsidR="00806516" w:rsidRPr="003E1C7D" w:rsidRDefault="00806516" w:rsidP="00082822">
            <w:pPr>
              <w:contextualSpacing/>
              <w:rPr>
                <w:rFonts w:ascii="Verdana" w:eastAsia="Calibri" w:hAnsi="Verdana" w:cs="Arial"/>
                <w:sz w:val="16"/>
                <w:szCs w:val="16"/>
                <w:lang w:val="pt-BR" w:eastAsia="es-ES"/>
              </w:rPr>
            </w:pPr>
            <w:r w:rsidRPr="003E1C7D">
              <w:rPr>
                <w:rFonts w:ascii="Verdana" w:eastAsia="Calibri" w:hAnsi="Verdana" w:cs="Arial"/>
                <w:sz w:val="16"/>
                <w:szCs w:val="16"/>
                <w:lang w:eastAsia="es-ES"/>
              </w:rPr>
              <w:t>Subdirectora</w:t>
            </w:r>
            <w:r w:rsidRPr="003E1C7D">
              <w:rPr>
                <w:rFonts w:ascii="Verdana" w:eastAsia="Calibri" w:hAnsi="Verdana" w:cs="Arial"/>
                <w:sz w:val="16"/>
                <w:szCs w:val="16"/>
                <w:lang w:val="pt-BR" w:eastAsia="es-ES"/>
              </w:rPr>
              <w:t xml:space="preserve"> de Gestión </w:t>
            </w:r>
            <w:proofErr w:type="spellStart"/>
            <w:r w:rsidRPr="003E1C7D">
              <w:rPr>
                <w:rFonts w:ascii="Verdana" w:eastAsia="Calibri" w:hAnsi="Verdana" w:cs="Arial"/>
                <w:sz w:val="16"/>
                <w:szCs w:val="16"/>
                <w:lang w:val="pt-BR" w:eastAsia="es-ES"/>
              </w:rPr>
              <w:t>Contractual</w:t>
            </w:r>
            <w:proofErr w:type="spellEnd"/>
            <w:r w:rsidRPr="003E1C7D">
              <w:rPr>
                <w:rFonts w:ascii="Verdana" w:eastAsia="Calibri" w:hAnsi="Verdana" w:cs="Arial"/>
                <w:sz w:val="16"/>
                <w:szCs w:val="16"/>
                <w:lang w:val="pt-BR" w:eastAsia="es-ES"/>
              </w:rPr>
              <w:t xml:space="preserve"> ANCP – CCE</w:t>
            </w:r>
          </w:p>
        </w:tc>
      </w:tr>
      <w:bookmarkEnd w:id="0"/>
    </w:tbl>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CA71" w14:textId="77777777" w:rsidR="000B4506" w:rsidRDefault="000B4506" w:rsidP="004A1847">
      <w:pPr>
        <w:spacing w:after="0" w:line="240" w:lineRule="auto"/>
      </w:pPr>
      <w:r>
        <w:separator/>
      </w:r>
    </w:p>
  </w:endnote>
  <w:endnote w:type="continuationSeparator" w:id="0">
    <w:p w14:paraId="1632238C" w14:textId="77777777" w:rsidR="000B4506" w:rsidRDefault="000B450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9EA2" w14:textId="77777777" w:rsidR="000B4506" w:rsidRDefault="000B4506" w:rsidP="004A1847">
      <w:pPr>
        <w:spacing w:after="0" w:line="240" w:lineRule="auto"/>
      </w:pPr>
      <w:r>
        <w:separator/>
      </w:r>
    </w:p>
  </w:footnote>
  <w:footnote w:type="continuationSeparator" w:id="0">
    <w:p w14:paraId="6DB7EE2D" w14:textId="77777777" w:rsidR="000B4506" w:rsidRDefault="000B4506" w:rsidP="004A1847">
      <w:pPr>
        <w:spacing w:after="0" w:line="240" w:lineRule="auto"/>
      </w:pPr>
      <w:r>
        <w:continuationSeparator/>
      </w:r>
    </w:p>
  </w:footnote>
  <w:footnote w:id="1">
    <w:p w14:paraId="5CA053E3" w14:textId="77777777" w:rsidR="002C6C96" w:rsidRPr="008D0F11" w:rsidRDefault="002C6C96" w:rsidP="002C6C96">
      <w:pPr>
        <w:spacing w:after="0" w:line="240" w:lineRule="auto"/>
        <w:ind w:firstLine="707"/>
        <w:contextualSpacing/>
        <w:jc w:val="both"/>
        <w:rPr>
          <w:rFonts w:ascii="Verdana" w:hAnsi="Verdana" w:cs="Arial"/>
          <w:sz w:val="18"/>
          <w:szCs w:val="18"/>
        </w:rPr>
      </w:pPr>
      <w:r w:rsidRPr="008D0F11">
        <w:rPr>
          <w:rStyle w:val="FootnoteReference"/>
          <w:rFonts w:ascii="Verdana" w:hAnsi="Verdana" w:cs="Arial"/>
          <w:sz w:val="18"/>
          <w:szCs w:val="18"/>
        </w:rPr>
        <w:footnoteRef/>
      </w:r>
      <w:r w:rsidRPr="008D0F11">
        <w:rPr>
          <w:rFonts w:ascii="Verdana" w:hAnsi="Verdana" w:cs="Arial"/>
          <w:position w:val="6"/>
          <w:sz w:val="18"/>
          <w:szCs w:val="18"/>
        </w:rPr>
        <w:t xml:space="preserve"> </w:t>
      </w:r>
      <w:r w:rsidRPr="008D0F11">
        <w:rPr>
          <w:rFonts w:ascii="Verdana" w:hAnsi="Verdana" w:cs="Arial"/>
          <w:sz w:val="18"/>
          <w:szCs w:val="18"/>
        </w:rPr>
        <w:t>DEIK ACOSTAMADIEDO, Carolina, Guía de Contratación Estatal: Deber de planeación y modalidades de selección, Buenos Aires, 2015, p. 59.</w:t>
      </w:r>
    </w:p>
    <w:p w14:paraId="0DBF13B2" w14:textId="77777777" w:rsidR="002C6C96" w:rsidRPr="008D0F11" w:rsidRDefault="002C6C96" w:rsidP="002C6C96">
      <w:pPr>
        <w:pStyle w:val="FootnoteText"/>
        <w:contextualSpacing/>
        <w:jc w:val="both"/>
        <w:rPr>
          <w:rFonts w:ascii="Verdana" w:hAnsi="Verdana" w:cs="Arial"/>
          <w:sz w:val="18"/>
          <w:szCs w:val="18"/>
        </w:rPr>
      </w:pPr>
    </w:p>
  </w:footnote>
  <w:footnote w:id="2">
    <w:p w14:paraId="76633A2D" w14:textId="77777777" w:rsidR="002C6C96" w:rsidRPr="008D0F11" w:rsidRDefault="002C6C96" w:rsidP="002C6C96">
      <w:pPr>
        <w:pStyle w:val="BodyText"/>
        <w:spacing w:after="0" w:line="240" w:lineRule="auto"/>
        <w:ind w:firstLine="709"/>
        <w:contextualSpacing/>
        <w:jc w:val="both"/>
        <w:rPr>
          <w:rFonts w:ascii="Verdana" w:hAnsi="Verdana" w:cs="Arial"/>
          <w:sz w:val="18"/>
          <w:szCs w:val="18"/>
        </w:rPr>
      </w:pPr>
      <w:r w:rsidRPr="008D0F11">
        <w:rPr>
          <w:rStyle w:val="FootnoteReference"/>
          <w:rFonts w:ascii="Verdana" w:hAnsi="Verdana" w:cs="Arial"/>
          <w:sz w:val="18"/>
          <w:szCs w:val="18"/>
        </w:rPr>
        <w:footnoteRef/>
      </w:r>
      <w:r w:rsidRPr="008D0F11">
        <w:rPr>
          <w:rFonts w:ascii="Verdana" w:hAnsi="Verdana" w:cs="Arial"/>
          <w:sz w:val="18"/>
          <w:szCs w:val="18"/>
        </w:rPr>
        <w:t xml:space="preserve"> </w:t>
      </w:r>
      <w:r w:rsidRPr="008D0F11">
        <w:rPr>
          <w:rFonts w:ascii="Verdana" w:hAnsi="Verdana" w:cs="Arial"/>
          <w:sz w:val="18"/>
          <w:szCs w:val="18"/>
        </w:rPr>
        <w:t xml:space="preserve">“Artículo </w:t>
      </w:r>
      <w:bookmarkStart w:id="3" w:name="_Hlk54173885"/>
      <w:r w:rsidRPr="008D0F11">
        <w:rPr>
          <w:rFonts w:ascii="Verdana" w:hAnsi="Verdana" w:cs="Arial"/>
          <w:sz w:val="18"/>
          <w:szCs w:val="18"/>
        </w:rPr>
        <w:t>2.2.1.1.2.1.1</w:t>
      </w:r>
      <w:bookmarkEnd w:id="3"/>
      <w:r w:rsidRPr="008D0F11">
        <w:rPr>
          <w:rFonts w:ascii="Verdana" w:hAnsi="Verdana" w:cs="Arial"/>
          <w:sz w:val="18"/>
          <w:szCs w:val="18"/>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57BBB81F" w14:textId="77777777" w:rsidR="002C6C96" w:rsidRPr="008D0F11" w:rsidRDefault="002C6C96" w:rsidP="002C6C96">
      <w:pPr>
        <w:pStyle w:val="FootnoteText"/>
        <w:ind w:firstLine="709"/>
        <w:contextualSpacing/>
        <w:jc w:val="both"/>
        <w:rPr>
          <w:rFonts w:ascii="Verdana" w:hAnsi="Verdana" w:cs="Arial"/>
          <w:sz w:val="18"/>
          <w:szCs w:val="18"/>
        </w:rPr>
      </w:pPr>
    </w:p>
  </w:footnote>
  <w:footnote w:id="3">
    <w:p w14:paraId="57936D21" w14:textId="77777777" w:rsidR="002C6C96" w:rsidRPr="008D0F11" w:rsidRDefault="002C6C96" w:rsidP="002C6C96">
      <w:pPr>
        <w:pStyle w:val="BodyText"/>
        <w:spacing w:after="0" w:line="240" w:lineRule="auto"/>
        <w:ind w:firstLine="709"/>
        <w:contextualSpacing/>
        <w:jc w:val="both"/>
        <w:rPr>
          <w:rFonts w:ascii="Verdana" w:hAnsi="Verdana" w:cs="Arial"/>
          <w:sz w:val="18"/>
          <w:szCs w:val="18"/>
        </w:rPr>
      </w:pPr>
      <w:r w:rsidRPr="008D0F11">
        <w:rPr>
          <w:rStyle w:val="FootnoteReference"/>
          <w:rFonts w:ascii="Verdana" w:hAnsi="Verdana" w:cs="Arial"/>
          <w:sz w:val="18"/>
          <w:szCs w:val="18"/>
        </w:rPr>
        <w:footnoteRef/>
      </w:r>
      <w:r w:rsidRPr="008D0F11">
        <w:rPr>
          <w:rFonts w:ascii="Verdana" w:hAnsi="Verdana" w:cs="Arial"/>
          <w:sz w:val="18"/>
          <w:szCs w:val="18"/>
        </w:rPr>
        <w:t xml:space="preserve"> </w:t>
      </w:r>
      <w:r w:rsidRPr="008D0F11">
        <w:rPr>
          <w:rFonts w:ascii="Verdana" w:hAnsi="Verdana" w:cs="Arial"/>
          <w:sz w:val="18"/>
          <w:szCs w:val="18"/>
        </w:rPr>
        <w:t xml:space="preserve">Consejo de Estado. Sección Tercera. Subsección B. Sentencia del 31 de agosto de 2011. </w:t>
      </w:r>
      <w:proofErr w:type="spellStart"/>
      <w:r w:rsidRPr="008D0F11">
        <w:rPr>
          <w:rFonts w:ascii="Verdana" w:hAnsi="Verdana" w:cs="Arial"/>
          <w:sz w:val="18"/>
          <w:szCs w:val="18"/>
        </w:rPr>
        <w:t>Exp</w:t>
      </w:r>
      <w:proofErr w:type="spellEnd"/>
      <w:r w:rsidRPr="008D0F11">
        <w:rPr>
          <w:rFonts w:ascii="Verdana" w:hAnsi="Verdana" w:cs="Arial"/>
          <w:sz w:val="18"/>
          <w:szCs w:val="18"/>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4DCE6C18" w14:textId="77777777" w:rsidR="002C6C96" w:rsidRPr="008D0F11" w:rsidRDefault="002C6C96" w:rsidP="002C6C96">
      <w:pPr>
        <w:pStyle w:val="FootnoteText"/>
        <w:contextualSpacing/>
        <w:jc w:val="both"/>
        <w:rPr>
          <w:rFonts w:ascii="Verdana" w:hAnsi="Verdana" w:cs="Arial"/>
          <w:sz w:val="18"/>
          <w:szCs w:val="18"/>
        </w:rPr>
      </w:pPr>
    </w:p>
  </w:footnote>
  <w:footnote w:id="4">
    <w:p w14:paraId="0315BE26" w14:textId="77777777" w:rsidR="002C6C96" w:rsidRPr="008D0F11" w:rsidRDefault="002C6C96" w:rsidP="002C6C96">
      <w:pPr>
        <w:pStyle w:val="FootnoteText"/>
        <w:ind w:firstLine="708"/>
        <w:contextualSpacing/>
        <w:jc w:val="both"/>
        <w:rPr>
          <w:rFonts w:ascii="Verdana" w:hAnsi="Verdana" w:cs="Arial"/>
          <w:sz w:val="18"/>
          <w:szCs w:val="18"/>
        </w:rPr>
      </w:pPr>
      <w:r w:rsidRPr="008D0F11">
        <w:rPr>
          <w:rStyle w:val="FootnoteReference"/>
          <w:rFonts w:ascii="Verdana" w:hAnsi="Verdana" w:cs="Arial"/>
          <w:sz w:val="18"/>
          <w:szCs w:val="18"/>
        </w:rPr>
        <w:footnoteRef/>
      </w:r>
      <w:r w:rsidRPr="008D0F11">
        <w:rPr>
          <w:rFonts w:ascii="Verdana" w:hAnsi="Verdana" w:cs="Arial"/>
          <w:sz w:val="18"/>
          <w:szCs w:val="18"/>
        </w:rPr>
        <w:t xml:space="preserve"> </w:t>
      </w:r>
      <w:r w:rsidRPr="008D0F11">
        <w:rPr>
          <w:rFonts w:ascii="Verdana" w:hAnsi="Verdana" w:cs="Arial"/>
          <w:sz w:val="18"/>
          <w:szCs w:val="18"/>
        </w:rPr>
        <w:t xml:space="preserve">Agencia Nacional de Contratación Pública – Colombia Compra Eficiente. </w:t>
      </w:r>
      <w:r w:rsidRPr="008D0F11">
        <w:rPr>
          <w:rFonts w:ascii="Verdana" w:eastAsia="Calibri" w:hAnsi="Verdana" w:cs="Arial"/>
          <w:bCs/>
          <w:sz w:val="18"/>
          <w:szCs w:val="18"/>
          <w:lang w:val="es-ES_tradnl" w:eastAsia="es-ES_tradnl"/>
        </w:rPr>
        <w:t>Guía de Elaboración de Estudios del Sector</w:t>
      </w:r>
      <w:r w:rsidRPr="008D0F11">
        <w:rPr>
          <w:rFonts w:ascii="Verdana" w:hAnsi="Verdana" w:cs="Arial"/>
          <w:sz w:val="18"/>
          <w:szCs w:val="18"/>
        </w:rPr>
        <w:t xml:space="preserve">. Disponible en: </w:t>
      </w:r>
      <w:hyperlink r:id="rId1" w:history="1">
        <w:r w:rsidRPr="008D0F11">
          <w:rPr>
            <w:rStyle w:val="Hyperlink"/>
            <w:rFonts w:ascii="Verdana" w:hAnsi="Verdana" w:cs="Arial"/>
            <w:sz w:val="18"/>
            <w:szCs w:val="18"/>
          </w:rPr>
          <w:t>https://www.colombiacompra.gov.co/manuales-guias-y-pliegos-tipo/manuales-y-guias</w:t>
        </w:r>
      </w:hyperlink>
      <w:r w:rsidRPr="008D0F11">
        <w:rPr>
          <w:rFonts w:ascii="Verdana" w:hAnsi="Verdana" w:cs="Arial"/>
          <w:sz w:val="18"/>
          <w:szCs w:val="18"/>
        </w:rPr>
        <w:t xml:space="preserve">. </w:t>
      </w:r>
    </w:p>
    <w:p w14:paraId="742C5AB8" w14:textId="77777777" w:rsidR="002C6C96" w:rsidRPr="008D0F11" w:rsidRDefault="002C6C96" w:rsidP="002C6C96">
      <w:pPr>
        <w:pStyle w:val="FootnoteText"/>
        <w:ind w:firstLine="708"/>
        <w:contextualSpacing/>
        <w:jc w:val="both"/>
        <w:rPr>
          <w:rFonts w:ascii="Verdana" w:hAnsi="Verdana" w:cs="Arial"/>
          <w:sz w:val="18"/>
          <w:szCs w:val="18"/>
          <w:lang w:val="es-CO"/>
        </w:rPr>
      </w:pPr>
    </w:p>
  </w:footnote>
  <w:footnote w:id="5">
    <w:p w14:paraId="7C5AA07E" w14:textId="561B0997" w:rsidR="006C2A3D" w:rsidRDefault="006C2A3D" w:rsidP="006C2A3D">
      <w:pPr>
        <w:pStyle w:val="FootnoteText"/>
        <w:ind w:firstLine="708"/>
        <w:rPr>
          <w:rFonts w:ascii="Verdana" w:hAnsi="Verdana"/>
          <w:sz w:val="18"/>
          <w:szCs w:val="18"/>
          <w:lang w:val="es-ES"/>
        </w:rPr>
      </w:pPr>
      <w:r w:rsidRPr="008D0F11">
        <w:rPr>
          <w:rStyle w:val="FootnoteReference"/>
          <w:rFonts w:ascii="Verdana" w:hAnsi="Verdana"/>
          <w:sz w:val="18"/>
          <w:szCs w:val="18"/>
        </w:rPr>
        <w:footnoteRef/>
      </w:r>
      <w:r w:rsidRPr="008D0F11">
        <w:rPr>
          <w:rFonts w:ascii="Verdana" w:hAnsi="Verdana"/>
          <w:sz w:val="18"/>
          <w:szCs w:val="18"/>
        </w:rPr>
        <w:t xml:space="preserve">Consejo de Estado. Sección Tercera- Subsección C. Sentencia del 24 de julio del 2023. Exp. 25642.   </w:t>
      </w:r>
      <w:r w:rsidRPr="008D0F11">
        <w:rPr>
          <w:rFonts w:ascii="Verdana" w:hAnsi="Verdana"/>
          <w:sz w:val="18"/>
          <w:szCs w:val="18"/>
          <w:lang w:val="es-ES"/>
        </w:rPr>
        <w:tab/>
      </w:r>
    </w:p>
    <w:p w14:paraId="5F4DB825" w14:textId="77777777" w:rsidR="00056870" w:rsidRPr="008D0F11" w:rsidRDefault="00056870" w:rsidP="006C2A3D">
      <w:pPr>
        <w:pStyle w:val="FootnoteText"/>
        <w:ind w:firstLine="708"/>
        <w:rPr>
          <w:rFonts w:ascii="Verdana" w:hAnsi="Verdana"/>
          <w:sz w:val="18"/>
          <w:szCs w:val="18"/>
          <w:lang w:val="es-ES"/>
        </w:rPr>
      </w:pPr>
    </w:p>
  </w:footnote>
  <w:footnote w:id="6">
    <w:p w14:paraId="38AF3B43" w14:textId="43D4DA04" w:rsidR="00612416" w:rsidRPr="008D0F11" w:rsidRDefault="00612416" w:rsidP="00612416">
      <w:pPr>
        <w:pStyle w:val="FootnoteText"/>
        <w:ind w:firstLine="708"/>
        <w:rPr>
          <w:rFonts w:ascii="Verdana" w:hAnsi="Verdana"/>
          <w:sz w:val="18"/>
          <w:szCs w:val="18"/>
          <w:lang w:val="es-ES"/>
        </w:rPr>
      </w:pPr>
      <w:r w:rsidRPr="008D0F11">
        <w:rPr>
          <w:rStyle w:val="FootnoteReference"/>
          <w:rFonts w:ascii="Verdana" w:hAnsi="Verdana"/>
          <w:sz w:val="18"/>
          <w:szCs w:val="18"/>
        </w:rPr>
        <w:footnoteRef/>
      </w:r>
      <w:r w:rsidRPr="008D0F11">
        <w:rPr>
          <w:rFonts w:ascii="Verdana" w:hAnsi="Verdana"/>
          <w:sz w:val="18"/>
          <w:szCs w:val="18"/>
        </w:rPr>
        <w:t xml:space="preserve"> </w:t>
      </w:r>
      <w:r w:rsidRPr="008D0F11">
        <w:rPr>
          <w:rFonts w:ascii="Verdana" w:hAnsi="Verdana"/>
          <w:sz w:val="18"/>
          <w:szCs w:val="18"/>
          <w:lang w:val="es-ES"/>
        </w:rPr>
        <w:t xml:space="preserve">Ibidem </w:t>
      </w:r>
    </w:p>
    <w:p w14:paraId="3C1F3988" w14:textId="77777777" w:rsidR="00957C48" w:rsidRPr="008D0F11" w:rsidRDefault="00957C48" w:rsidP="00612416">
      <w:pPr>
        <w:pStyle w:val="FootnoteText"/>
        <w:ind w:firstLine="708"/>
        <w:rPr>
          <w:rFonts w:ascii="Verdana" w:hAnsi="Verdana"/>
          <w:sz w:val="18"/>
          <w:szCs w:val="18"/>
          <w:lang w:val="es-ES"/>
        </w:rPr>
      </w:pPr>
    </w:p>
  </w:footnote>
  <w:footnote w:id="7">
    <w:p w14:paraId="01C63788" w14:textId="353E8C58" w:rsidR="00957C48" w:rsidRPr="008D0F11" w:rsidRDefault="00957C48" w:rsidP="00957C48">
      <w:pPr>
        <w:pStyle w:val="FootnoteText"/>
        <w:ind w:firstLine="708"/>
        <w:rPr>
          <w:rFonts w:ascii="Verdana" w:hAnsi="Verdana"/>
          <w:sz w:val="18"/>
          <w:szCs w:val="18"/>
          <w:lang w:val="es-ES"/>
        </w:rPr>
      </w:pPr>
      <w:r w:rsidRPr="008D0F11">
        <w:rPr>
          <w:rStyle w:val="FootnoteReference"/>
          <w:rFonts w:ascii="Verdana" w:hAnsi="Verdana"/>
          <w:sz w:val="18"/>
          <w:szCs w:val="18"/>
        </w:rPr>
        <w:footnoteRef/>
      </w:r>
      <w:r w:rsidRPr="008D0F11">
        <w:rPr>
          <w:rFonts w:ascii="Verdana" w:hAnsi="Verdana"/>
          <w:sz w:val="18"/>
          <w:szCs w:val="18"/>
        </w:rPr>
        <w:t xml:space="preserve"> </w:t>
      </w:r>
      <w:r w:rsidRPr="008D0F11">
        <w:rPr>
          <w:rFonts w:ascii="Verdana" w:hAnsi="Verdana"/>
          <w:sz w:val="18"/>
          <w:szCs w:val="18"/>
          <w:lang w:val="es-ES"/>
        </w:rPr>
        <w:t>Ibidem</w:t>
      </w:r>
    </w:p>
    <w:p w14:paraId="06FD211E" w14:textId="77777777" w:rsidR="00957C48" w:rsidRPr="008D0F11" w:rsidRDefault="00957C48" w:rsidP="00957C48">
      <w:pPr>
        <w:pStyle w:val="FootnoteText"/>
        <w:ind w:firstLine="708"/>
        <w:rPr>
          <w:rFonts w:ascii="Verdana" w:hAnsi="Verdana"/>
          <w:sz w:val="18"/>
          <w:szCs w:val="18"/>
          <w:lang w:val="es-ES"/>
        </w:rPr>
      </w:pPr>
    </w:p>
  </w:footnote>
  <w:footnote w:id="8">
    <w:p w14:paraId="2EE222C8" w14:textId="37156A2C" w:rsidR="00957C48" w:rsidRDefault="00957C48" w:rsidP="00957C48">
      <w:pPr>
        <w:pStyle w:val="FootnoteText"/>
        <w:ind w:firstLine="708"/>
        <w:rPr>
          <w:rFonts w:ascii="Verdana" w:hAnsi="Verdana"/>
          <w:sz w:val="18"/>
          <w:szCs w:val="18"/>
        </w:rPr>
      </w:pPr>
      <w:r w:rsidRPr="008D0F11">
        <w:rPr>
          <w:rStyle w:val="FootnoteReference"/>
          <w:rFonts w:ascii="Verdana" w:hAnsi="Verdana"/>
          <w:sz w:val="18"/>
          <w:szCs w:val="18"/>
        </w:rPr>
        <w:footnoteRef/>
      </w:r>
      <w:r w:rsidR="008D0F11" w:rsidRPr="008D0F11">
        <w:rPr>
          <w:rFonts w:ascii="Verdana" w:hAnsi="Verdana"/>
          <w:sz w:val="18"/>
          <w:szCs w:val="18"/>
          <w:lang w:val="es-ES"/>
        </w:rPr>
        <w:t xml:space="preserve"> </w:t>
      </w:r>
      <w:r w:rsidRPr="008D0F11">
        <w:rPr>
          <w:rFonts w:ascii="Verdana" w:hAnsi="Verdana"/>
          <w:sz w:val="18"/>
          <w:szCs w:val="18"/>
          <w:lang w:val="es-ES"/>
        </w:rPr>
        <w:t>Ibidem</w:t>
      </w:r>
      <w:r w:rsidRPr="008D0F11">
        <w:rPr>
          <w:rFonts w:ascii="Verdana" w:hAnsi="Verdana"/>
          <w:sz w:val="18"/>
          <w:szCs w:val="18"/>
        </w:rPr>
        <w:t xml:space="preserve"> </w:t>
      </w:r>
    </w:p>
    <w:p w14:paraId="2909402D" w14:textId="77777777" w:rsidR="00056870" w:rsidRPr="008D0F11" w:rsidRDefault="00056870" w:rsidP="00957C48">
      <w:pPr>
        <w:pStyle w:val="FootnoteText"/>
        <w:ind w:firstLine="708"/>
        <w:rPr>
          <w:rFonts w:ascii="Verdana" w:hAnsi="Verdana"/>
          <w:sz w:val="18"/>
          <w:szCs w:val="18"/>
          <w:lang w:val="es-ES"/>
        </w:rPr>
      </w:pPr>
    </w:p>
  </w:footnote>
  <w:footnote w:id="9">
    <w:p w14:paraId="17E1F4CE" w14:textId="782C0D45" w:rsidR="00062935" w:rsidRPr="003E1C7D" w:rsidRDefault="00062935" w:rsidP="00062935">
      <w:pPr>
        <w:pStyle w:val="FootnoteText"/>
        <w:ind w:firstLine="708"/>
        <w:rPr>
          <w:rFonts w:ascii="Verdana" w:hAnsi="Verdana"/>
          <w:sz w:val="18"/>
          <w:szCs w:val="18"/>
          <w:lang w:val="es-ES"/>
        </w:rPr>
      </w:pPr>
      <w:r w:rsidRPr="008D0F11">
        <w:rPr>
          <w:rStyle w:val="FootnoteReference"/>
          <w:rFonts w:ascii="Verdana" w:hAnsi="Verdana"/>
          <w:sz w:val="18"/>
          <w:szCs w:val="18"/>
        </w:rPr>
        <w:footnoteRef/>
      </w:r>
      <w:r w:rsidRPr="008D0F11">
        <w:rPr>
          <w:rFonts w:ascii="Verdana" w:hAnsi="Verdana"/>
          <w:sz w:val="18"/>
          <w:szCs w:val="18"/>
        </w:rPr>
        <w:t xml:space="preserve"> </w:t>
      </w:r>
      <w:r w:rsidRPr="008D0F11">
        <w:rPr>
          <w:rFonts w:ascii="Verdana" w:hAnsi="Verdana"/>
          <w:sz w:val="18"/>
          <w:szCs w:val="18"/>
          <w:lang w:val="es-ES"/>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Verdana" w:hAnsi="Verdana"/>
        <w:b/>
        <w:bCs/>
      </w:rPr>
    </w:pPr>
  </w:p>
  <w:p w14:paraId="76C55E1A" w14:textId="77777777" w:rsidR="0014273F" w:rsidRDefault="0014273F" w:rsidP="00B01B1A">
    <w:pPr>
      <w:spacing w:after="0" w:line="120" w:lineRule="auto"/>
      <w:rPr>
        <w:rFonts w:ascii="Verdana" w:hAnsi="Verdana"/>
        <w:b/>
        <w:bCs/>
      </w:rPr>
    </w:pPr>
  </w:p>
  <w:p w14:paraId="0905EF43" w14:textId="77777777" w:rsidR="0014273F" w:rsidRPr="004A305D" w:rsidRDefault="0014273F"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3.9pt;height:13.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239701A"/>
    <w:multiLevelType w:val="hybridMultilevel"/>
    <w:tmpl w:val="367809B4"/>
    <w:lvl w:ilvl="0" w:tplc="C4DCABCC">
      <w:start w:val="1"/>
      <w:numFmt w:val="lowerRoman"/>
      <w:lvlText w:val="%1)"/>
      <w:lvlJc w:val="left"/>
      <w:pPr>
        <w:ind w:left="1520" w:hanging="720"/>
      </w:pPr>
      <w:rPr>
        <w:rFonts w:hint="default"/>
      </w:rPr>
    </w:lvl>
    <w:lvl w:ilvl="1" w:tplc="080A0019" w:tentative="1">
      <w:start w:val="1"/>
      <w:numFmt w:val="lowerLetter"/>
      <w:lvlText w:val="%2."/>
      <w:lvlJc w:val="left"/>
      <w:pPr>
        <w:ind w:left="1880" w:hanging="360"/>
      </w:pPr>
    </w:lvl>
    <w:lvl w:ilvl="2" w:tplc="080A001B" w:tentative="1">
      <w:start w:val="1"/>
      <w:numFmt w:val="lowerRoman"/>
      <w:lvlText w:val="%3."/>
      <w:lvlJc w:val="right"/>
      <w:pPr>
        <w:ind w:left="2600" w:hanging="180"/>
      </w:pPr>
    </w:lvl>
    <w:lvl w:ilvl="3" w:tplc="080A000F" w:tentative="1">
      <w:start w:val="1"/>
      <w:numFmt w:val="decimal"/>
      <w:lvlText w:val="%4."/>
      <w:lvlJc w:val="left"/>
      <w:pPr>
        <w:ind w:left="3320" w:hanging="360"/>
      </w:pPr>
    </w:lvl>
    <w:lvl w:ilvl="4" w:tplc="080A0019" w:tentative="1">
      <w:start w:val="1"/>
      <w:numFmt w:val="lowerLetter"/>
      <w:lvlText w:val="%5."/>
      <w:lvlJc w:val="left"/>
      <w:pPr>
        <w:ind w:left="4040" w:hanging="360"/>
      </w:pPr>
    </w:lvl>
    <w:lvl w:ilvl="5" w:tplc="080A001B" w:tentative="1">
      <w:start w:val="1"/>
      <w:numFmt w:val="lowerRoman"/>
      <w:lvlText w:val="%6."/>
      <w:lvlJc w:val="right"/>
      <w:pPr>
        <w:ind w:left="4760" w:hanging="180"/>
      </w:pPr>
    </w:lvl>
    <w:lvl w:ilvl="6" w:tplc="080A000F" w:tentative="1">
      <w:start w:val="1"/>
      <w:numFmt w:val="decimal"/>
      <w:lvlText w:val="%7."/>
      <w:lvlJc w:val="left"/>
      <w:pPr>
        <w:ind w:left="5480" w:hanging="360"/>
      </w:pPr>
    </w:lvl>
    <w:lvl w:ilvl="7" w:tplc="080A0019" w:tentative="1">
      <w:start w:val="1"/>
      <w:numFmt w:val="lowerLetter"/>
      <w:lvlText w:val="%8."/>
      <w:lvlJc w:val="left"/>
      <w:pPr>
        <w:ind w:left="6200" w:hanging="360"/>
      </w:pPr>
    </w:lvl>
    <w:lvl w:ilvl="8" w:tplc="080A001B" w:tentative="1">
      <w:start w:val="1"/>
      <w:numFmt w:val="lowerRoman"/>
      <w:lvlText w:val="%9."/>
      <w:lvlJc w:val="right"/>
      <w:pPr>
        <w:ind w:left="692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143A1"/>
    <w:multiLevelType w:val="hybridMultilevel"/>
    <w:tmpl w:val="4EB84EEC"/>
    <w:lvl w:ilvl="0" w:tplc="5E18510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E5AE1"/>
    <w:multiLevelType w:val="hybridMultilevel"/>
    <w:tmpl w:val="1B62FA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56C6231"/>
    <w:multiLevelType w:val="hybridMultilevel"/>
    <w:tmpl w:val="6C964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3F44998"/>
    <w:multiLevelType w:val="hybridMultilevel"/>
    <w:tmpl w:val="181C6C60"/>
    <w:lvl w:ilvl="0" w:tplc="493AB10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0"/>
  </w:num>
  <w:num w:numId="7" w16cid:durableId="1946422806">
    <w:abstractNumId w:val="8"/>
  </w:num>
  <w:num w:numId="8" w16cid:durableId="152644682">
    <w:abstractNumId w:val="19"/>
  </w:num>
  <w:num w:numId="9" w16cid:durableId="1317221377">
    <w:abstractNumId w:val="10"/>
  </w:num>
  <w:num w:numId="10" w16cid:durableId="1471245386">
    <w:abstractNumId w:val="18"/>
  </w:num>
  <w:num w:numId="11" w16cid:durableId="289172385">
    <w:abstractNumId w:val="11"/>
  </w:num>
  <w:num w:numId="12" w16cid:durableId="1470781324">
    <w:abstractNumId w:val="2"/>
  </w:num>
  <w:num w:numId="13" w16cid:durableId="1512908409">
    <w:abstractNumId w:val="4"/>
  </w:num>
  <w:num w:numId="14" w16cid:durableId="895897244">
    <w:abstractNumId w:val="21"/>
  </w:num>
  <w:num w:numId="15" w16cid:durableId="390349800">
    <w:abstractNumId w:val="16"/>
  </w:num>
  <w:num w:numId="16" w16cid:durableId="341274352">
    <w:abstractNumId w:val="0"/>
  </w:num>
  <w:num w:numId="17" w16cid:durableId="1996452202">
    <w:abstractNumId w:val="7"/>
  </w:num>
  <w:num w:numId="18" w16cid:durableId="609043445">
    <w:abstractNumId w:val="13"/>
  </w:num>
  <w:num w:numId="19" w16cid:durableId="1880236817">
    <w:abstractNumId w:val="12"/>
  </w:num>
  <w:num w:numId="20" w16cid:durableId="146092205">
    <w:abstractNumId w:val="5"/>
  </w:num>
  <w:num w:numId="21" w16cid:durableId="293027825">
    <w:abstractNumId w:val="14"/>
  </w:num>
  <w:num w:numId="22" w16cid:durableId="44106002">
    <w:abstractNumId w:val="17"/>
  </w:num>
  <w:num w:numId="23" w16cid:durableId="1582064749">
    <w:abstractNumId w:val="1"/>
  </w:num>
  <w:num w:numId="24" w16cid:durableId="1442605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11AA"/>
    <w:rsid w:val="00046945"/>
    <w:rsid w:val="00047A19"/>
    <w:rsid w:val="00055092"/>
    <w:rsid w:val="00056870"/>
    <w:rsid w:val="00061B2A"/>
    <w:rsid w:val="00062935"/>
    <w:rsid w:val="00064558"/>
    <w:rsid w:val="00082362"/>
    <w:rsid w:val="00097C3F"/>
    <w:rsid w:val="000A1D59"/>
    <w:rsid w:val="000A683E"/>
    <w:rsid w:val="000B1784"/>
    <w:rsid w:val="000B19B9"/>
    <w:rsid w:val="000B3434"/>
    <w:rsid w:val="000B4506"/>
    <w:rsid w:val="000B585F"/>
    <w:rsid w:val="000D0334"/>
    <w:rsid w:val="000E0D2F"/>
    <w:rsid w:val="000F6486"/>
    <w:rsid w:val="00120EA1"/>
    <w:rsid w:val="00125105"/>
    <w:rsid w:val="00127233"/>
    <w:rsid w:val="0013617C"/>
    <w:rsid w:val="0014273F"/>
    <w:rsid w:val="001511A0"/>
    <w:rsid w:val="00154CEC"/>
    <w:rsid w:val="001563D0"/>
    <w:rsid w:val="001A1375"/>
    <w:rsid w:val="001A2A7B"/>
    <w:rsid w:val="001E4177"/>
    <w:rsid w:val="001F7DC6"/>
    <w:rsid w:val="002421BB"/>
    <w:rsid w:val="0025796E"/>
    <w:rsid w:val="002707A2"/>
    <w:rsid w:val="00274727"/>
    <w:rsid w:val="002830A7"/>
    <w:rsid w:val="002951A0"/>
    <w:rsid w:val="002962BC"/>
    <w:rsid w:val="002A093D"/>
    <w:rsid w:val="002A0DD0"/>
    <w:rsid w:val="002A49AC"/>
    <w:rsid w:val="002A64FD"/>
    <w:rsid w:val="002B7C53"/>
    <w:rsid w:val="002C6C96"/>
    <w:rsid w:val="002C7A84"/>
    <w:rsid w:val="002E4FD9"/>
    <w:rsid w:val="002F1175"/>
    <w:rsid w:val="00322A85"/>
    <w:rsid w:val="00324168"/>
    <w:rsid w:val="003448F4"/>
    <w:rsid w:val="00347481"/>
    <w:rsid w:val="00374F5E"/>
    <w:rsid w:val="00377E3E"/>
    <w:rsid w:val="0039246E"/>
    <w:rsid w:val="003A779E"/>
    <w:rsid w:val="003C5C12"/>
    <w:rsid w:val="003D0F4D"/>
    <w:rsid w:val="003D5B0D"/>
    <w:rsid w:val="003E0499"/>
    <w:rsid w:val="003E1C7D"/>
    <w:rsid w:val="003F3941"/>
    <w:rsid w:val="004031AE"/>
    <w:rsid w:val="00406575"/>
    <w:rsid w:val="00407184"/>
    <w:rsid w:val="00414C74"/>
    <w:rsid w:val="0042722E"/>
    <w:rsid w:val="0044528D"/>
    <w:rsid w:val="004742A9"/>
    <w:rsid w:val="0047669B"/>
    <w:rsid w:val="00492BEB"/>
    <w:rsid w:val="004A1847"/>
    <w:rsid w:val="004A305D"/>
    <w:rsid w:val="004D70E7"/>
    <w:rsid w:val="004F21C4"/>
    <w:rsid w:val="004F685F"/>
    <w:rsid w:val="005325A6"/>
    <w:rsid w:val="00553AA7"/>
    <w:rsid w:val="005566E8"/>
    <w:rsid w:val="00565999"/>
    <w:rsid w:val="00574867"/>
    <w:rsid w:val="00591460"/>
    <w:rsid w:val="00595976"/>
    <w:rsid w:val="005B3816"/>
    <w:rsid w:val="005B5C4C"/>
    <w:rsid w:val="005C3777"/>
    <w:rsid w:val="005C5CDC"/>
    <w:rsid w:val="005D476C"/>
    <w:rsid w:val="005E1F35"/>
    <w:rsid w:val="00612416"/>
    <w:rsid w:val="006219F8"/>
    <w:rsid w:val="006653BB"/>
    <w:rsid w:val="00665D70"/>
    <w:rsid w:val="006900D9"/>
    <w:rsid w:val="006C2A3D"/>
    <w:rsid w:val="006C6474"/>
    <w:rsid w:val="006D580B"/>
    <w:rsid w:val="006D7E26"/>
    <w:rsid w:val="00706C16"/>
    <w:rsid w:val="00722014"/>
    <w:rsid w:val="0073556D"/>
    <w:rsid w:val="007448F9"/>
    <w:rsid w:val="007466D4"/>
    <w:rsid w:val="0075263A"/>
    <w:rsid w:val="00756841"/>
    <w:rsid w:val="007649AB"/>
    <w:rsid w:val="00771D0C"/>
    <w:rsid w:val="007833AC"/>
    <w:rsid w:val="007A6F0B"/>
    <w:rsid w:val="007A798A"/>
    <w:rsid w:val="007B091A"/>
    <w:rsid w:val="007B268C"/>
    <w:rsid w:val="007B7171"/>
    <w:rsid w:val="007C0C0F"/>
    <w:rsid w:val="007C3DC2"/>
    <w:rsid w:val="007E5497"/>
    <w:rsid w:val="00806516"/>
    <w:rsid w:val="00806F5F"/>
    <w:rsid w:val="00820278"/>
    <w:rsid w:val="008570E0"/>
    <w:rsid w:val="00867F95"/>
    <w:rsid w:val="00870558"/>
    <w:rsid w:val="0087533B"/>
    <w:rsid w:val="008843B6"/>
    <w:rsid w:val="00891928"/>
    <w:rsid w:val="00896432"/>
    <w:rsid w:val="008A2360"/>
    <w:rsid w:val="008A446D"/>
    <w:rsid w:val="008C597F"/>
    <w:rsid w:val="008D0F11"/>
    <w:rsid w:val="008D180B"/>
    <w:rsid w:val="008F0EA7"/>
    <w:rsid w:val="00923EEF"/>
    <w:rsid w:val="0092439A"/>
    <w:rsid w:val="009419F9"/>
    <w:rsid w:val="0095685E"/>
    <w:rsid w:val="00957C48"/>
    <w:rsid w:val="00961B09"/>
    <w:rsid w:val="0096421D"/>
    <w:rsid w:val="00965334"/>
    <w:rsid w:val="0097093E"/>
    <w:rsid w:val="00986AC5"/>
    <w:rsid w:val="009A0DFA"/>
    <w:rsid w:val="009A4CFB"/>
    <w:rsid w:val="009B2D26"/>
    <w:rsid w:val="009B3CF1"/>
    <w:rsid w:val="009C71FA"/>
    <w:rsid w:val="009C72E7"/>
    <w:rsid w:val="009D3058"/>
    <w:rsid w:val="009F3A13"/>
    <w:rsid w:val="00A054E4"/>
    <w:rsid w:val="00A122D3"/>
    <w:rsid w:val="00A17F13"/>
    <w:rsid w:val="00A20739"/>
    <w:rsid w:val="00A33C78"/>
    <w:rsid w:val="00A8360D"/>
    <w:rsid w:val="00A91604"/>
    <w:rsid w:val="00AB0ADB"/>
    <w:rsid w:val="00AD0F9F"/>
    <w:rsid w:val="00AE543F"/>
    <w:rsid w:val="00B01B1A"/>
    <w:rsid w:val="00B05221"/>
    <w:rsid w:val="00B101EF"/>
    <w:rsid w:val="00B21D62"/>
    <w:rsid w:val="00B648D8"/>
    <w:rsid w:val="00B66319"/>
    <w:rsid w:val="00B679CB"/>
    <w:rsid w:val="00B722FD"/>
    <w:rsid w:val="00B72CD3"/>
    <w:rsid w:val="00B72FFF"/>
    <w:rsid w:val="00B90400"/>
    <w:rsid w:val="00BC3D36"/>
    <w:rsid w:val="00BD7F72"/>
    <w:rsid w:val="00C04FB3"/>
    <w:rsid w:val="00C05FC9"/>
    <w:rsid w:val="00C252A6"/>
    <w:rsid w:val="00C330EB"/>
    <w:rsid w:val="00C41061"/>
    <w:rsid w:val="00C51F35"/>
    <w:rsid w:val="00C754BE"/>
    <w:rsid w:val="00C76B1C"/>
    <w:rsid w:val="00CA6AB0"/>
    <w:rsid w:val="00CB1D21"/>
    <w:rsid w:val="00CB543C"/>
    <w:rsid w:val="00CB6357"/>
    <w:rsid w:val="00CC1B26"/>
    <w:rsid w:val="00D063E5"/>
    <w:rsid w:val="00D40150"/>
    <w:rsid w:val="00D423A2"/>
    <w:rsid w:val="00D520D8"/>
    <w:rsid w:val="00D5640E"/>
    <w:rsid w:val="00D566E3"/>
    <w:rsid w:val="00D624E8"/>
    <w:rsid w:val="00D63AC2"/>
    <w:rsid w:val="00D7383B"/>
    <w:rsid w:val="00D94246"/>
    <w:rsid w:val="00DA0820"/>
    <w:rsid w:val="00DA231B"/>
    <w:rsid w:val="00DB614F"/>
    <w:rsid w:val="00DC39FC"/>
    <w:rsid w:val="00DF5254"/>
    <w:rsid w:val="00E01663"/>
    <w:rsid w:val="00E022D7"/>
    <w:rsid w:val="00E16408"/>
    <w:rsid w:val="00E20894"/>
    <w:rsid w:val="00E2347C"/>
    <w:rsid w:val="00E245AB"/>
    <w:rsid w:val="00E2764C"/>
    <w:rsid w:val="00E27F2E"/>
    <w:rsid w:val="00E50AFE"/>
    <w:rsid w:val="00E75C92"/>
    <w:rsid w:val="00E771DC"/>
    <w:rsid w:val="00E82CF5"/>
    <w:rsid w:val="00E8772A"/>
    <w:rsid w:val="00E90F6B"/>
    <w:rsid w:val="00E92C27"/>
    <w:rsid w:val="00E94146"/>
    <w:rsid w:val="00EA0E3D"/>
    <w:rsid w:val="00EA144F"/>
    <w:rsid w:val="00EC38A7"/>
    <w:rsid w:val="00EC65A2"/>
    <w:rsid w:val="00ED7384"/>
    <w:rsid w:val="00EE1AA8"/>
    <w:rsid w:val="00EE3104"/>
    <w:rsid w:val="00F04AAB"/>
    <w:rsid w:val="00F2588A"/>
    <w:rsid w:val="00F31EDC"/>
    <w:rsid w:val="00F42D57"/>
    <w:rsid w:val="00F462B3"/>
    <w:rsid w:val="00F5664F"/>
    <w:rsid w:val="00F61C4E"/>
    <w:rsid w:val="00F666C4"/>
    <w:rsid w:val="00F76AFC"/>
    <w:rsid w:val="00FA0F96"/>
    <w:rsid w:val="00FA47C0"/>
    <w:rsid w:val="00FB4E31"/>
    <w:rsid w:val="00FB5DD1"/>
    <w:rsid w:val="00FC2B5D"/>
    <w:rsid w:val="00FC6AB8"/>
    <w:rsid w:val="00FD7FE5"/>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Foot"/>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DB614F"/>
    <w:rPr>
      <w:rFonts w:ascii="Geomanist Light" w:hAnsi="Geomanist Light"/>
      <w:lang w:val="es-ES"/>
    </w:rPr>
  </w:style>
  <w:style w:type="paragraph" w:customStyle="1" w:styleId="Appelnotedebasde">
    <w:name w:val="Appel note de bas de..."/>
    <w:basedOn w:val="Normal"/>
    <w:link w:val="FootnoteReference"/>
    <w:uiPriority w:val="99"/>
    <w:rsid w:val="002C6C96"/>
    <w:pPr>
      <w:spacing w:line="240" w:lineRule="exact"/>
    </w:pPr>
    <w:rPr>
      <w:vertAlign w:val="superscript"/>
    </w:rPr>
  </w:style>
  <w:style w:type="table" w:customStyle="1" w:styleId="Tablaconcuadrcula11">
    <w:name w:val="Tabla con cuadrícula11"/>
    <w:basedOn w:val="TableNormal"/>
    <w:next w:val="TableGrid"/>
    <w:uiPriority w:val="59"/>
    <w:qFormat/>
    <w:rsid w:val="002C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C6C96"/>
    <w:pPr>
      <w:spacing w:after="120"/>
    </w:pPr>
  </w:style>
  <w:style w:type="character" w:customStyle="1" w:styleId="BodyTextChar">
    <w:name w:val="Body Text Char"/>
    <w:basedOn w:val="DefaultParagraphFont"/>
    <w:link w:val="BodyText"/>
    <w:uiPriority w:val="99"/>
    <w:semiHidden/>
    <w:rsid w:val="002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08937258">
      <w:bodyDiv w:val="1"/>
      <w:marLeft w:val="0"/>
      <w:marRight w:val="0"/>
      <w:marTop w:val="0"/>
      <w:marBottom w:val="0"/>
      <w:divBdr>
        <w:top w:val="none" w:sz="0" w:space="0" w:color="auto"/>
        <w:left w:val="none" w:sz="0" w:space="0" w:color="auto"/>
        <w:bottom w:val="none" w:sz="0" w:space="0" w:color="auto"/>
        <w:right w:val="none" w:sz="0" w:space="0" w:color="auto"/>
      </w:divBdr>
      <w:divsChild>
        <w:div w:id="420377683">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8856549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61861112">
      <w:bodyDiv w:val="1"/>
      <w:marLeft w:val="0"/>
      <w:marRight w:val="0"/>
      <w:marTop w:val="0"/>
      <w:marBottom w:val="0"/>
      <w:divBdr>
        <w:top w:val="none" w:sz="0" w:space="0" w:color="auto"/>
        <w:left w:val="none" w:sz="0" w:space="0" w:color="auto"/>
        <w:bottom w:val="none" w:sz="0" w:space="0" w:color="auto"/>
        <w:right w:val="none" w:sz="0" w:space="0" w:color="auto"/>
      </w:divBdr>
    </w:div>
    <w:div w:id="1733382630">
      <w:bodyDiv w:val="1"/>
      <w:marLeft w:val="0"/>
      <w:marRight w:val="0"/>
      <w:marTop w:val="0"/>
      <w:marBottom w:val="0"/>
      <w:divBdr>
        <w:top w:val="none" w:sz="0" w:space="0" w:color="auto"/>
        <w:left w:val="none" w:sz="0" w:space="0" w:color="auto"/>
        <w:bottom w:val="none" w:sz="0" w:space="0" w:color="auto"/>
        <w:right w:val="none" w:sz="0" w:space="0" w:color="auto"/>
      </w:divBdr>
      <w:divsChild>
        <w:div w:id="776295039">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os/cce-eicp-gi-18._gees_v.2_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serami144@g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83E7096-A4C1-43C7-AB1E-683DC35367FE}">
  <ds:schemaRefs>
    <ds:schemaRef ds:uri="http://schemas.openxmlformats.org/officeDocument/2006/bibliography"/>
  </ds:schemaRefs>
</ds:datastoreItem>
</file>

<file path=customXml/itemProps3.xml><?xml version="1.0" encoding="utf-8"?>
<ds:datastoreItem xmlns:ds="http://schemas.openxmlformats.org/officeDocument/2006/customXml" ds:itemID="{F35A97C2-2C30-4AF6-BECA-B7C7887E772E}"/>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3940</Words>
  <Characters>22460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54</cp:revision>
  <cp:lastPrinted>2023-01-10T21:18:00Z</cp:lastPrinted>
  <dcterms:created xsi:type="dcterms:W3CDTF">2024-12-16T12:46:00Z</dcterms:created>
  <dcterms:modified xsi:type="dcterms:W3CDTF">2024-12-16T15:16:00Z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y fmtid="{D5CDD505-2E9C-101B-9397-08002B2CF9AE}" pid="4" name="MSIP_Label_79c9bbd4-2155-4c05-a8cb-143fc41f09a9_Enabled">
    <vt:lpwstr>true</vt:lpwstr>
  </property>
  <property fmtid="{D5CDD505-2E9C-101B-9397-08002B2CF9AE}" pid="5" name="MSIP_Label_79c9bbd4-2155-4c05-a8cb-143fc41f09a9_SetDate">
    <vt:lpwstr>2024-12-16T12:47:34Z</vt:lpwstr>
  </property>
  <property fmtid="{D5CDD505-2E9C-101B-9397-08002B2CF9AE}" pid="6" name="MSIP_Label_79c9bbd4-2155-4c05-a8cb-143fc41f09a9_Method">
    <vt:lpwstr>Standard</vt:lpwstr>
  </property>
  <property fmtid="{D5CDD505-2E9C-101B-9397-08002B2CF9AE}" pid="7" name="MSIP_Label_79c9bbd4-2155-4c05-a8cb-143fc41f09a9_Name">
    <vt:lpwstr>defa4170-0d19-0005-0004-bc88714345d2</vt:lpwstr>
  </property>
  <property fmtid="{D5CDD505-2E9C-101B-9397-08002B2CF9AE}" pid="8" name="MSIP_Label_79c9bbd4-2155-4c05-a8cb-143fc41f09a9_SiteId">
    <vt:lpwstr>33fa6907-21c6-4126-aa66-bcbed95361bb</vt:lpwstr>
  </property>
  <property fmtid="{D5CDD505-2E9C-101B-9397-08002B2CF9AE}" pid="9" name="MSIP_Label_79c9bbd4-2155-4c05-a8cb-143fc41f09a9_ActionId">
    <vt:lpwstr>2f91e26c-d680-4881-b8fb-60fd338a5489</vt:lpwstr>
  </property>
  <property fmtid="{D5CDD505-2E9C-101B-9397-08002B2CF9AE}" pid="10" name="MSIP_Label_79c9bbd4-2155-4c05-a8cb-143fc41f09a9_ContentBits">
    <vt:lpwstr>0</vt:lpwstr>
  </property>
</Properties>
</file>