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8FA90" w14:textId="77777777" w:rsidR="007F0535" w:rsidRPr="00F217FD" w:rsidRDefault="007F0535" w:rsidP="007F0535">
      <w:pPr>
        <w:spacing w:after="0"/>
        <w:jc w:val="both"/>
        <w:rPr>
          <w:rFonts w:ascii="Verdana" w:hAnsi="Verdana"/>
        </w:rPr>
      </w:pPr>
      <w:r w:rsidRPr="00F217FD">
        <w:rPr>
          <w:rFonts w:ascii="Verdana" w:eastAsia="Aptos" w:hAnsi="Verdana" w:cs="Arial"/>
          <w:b/>
          <w:color w:val="000000"/>
          <w:kern w:val="2"/>
          <w:lang w:val="es-ES_tradnl"/>
          <w14:ligatures w14:val="standardContextual"/>
        </w:rPr>
        <w:t xml:space="preserve">CAUSALES DE RECHAZO – Principio de legalidad – Configuración </w:t>
      </w:r>
    </w:p>
    <w:p w14:paraId="672A6659" w14:textId="77777777" w:rsidR="007F0535" w:rsidRPr="00F217FD" w:rsidRDefault="007F0535" w:rsidP="007F0535">
      <w:pPr>
        <w:spacing w:after="0" w:line="276" w:lineRule="auto"/>
        <w:jc w:val="both"/>
        <w:rPr>
          <w:rFonts w:ascii="Verdana" w:eastAsia="Aptos" w:hAnsi="Verdana" w:cs="Arial"/>
          <w:bCs/>
          <w:color w:val="000000"/>
          <w:kern w:val="2"/>
          <w:lang w:val="es-ES_tradnl"/>
          <w14:ligatures w14:val="standardContextual"/>
        </w:rPr>
      </w:pPr>
    </w:p>
    <w:p w14:paraId="2EC95251" w14:textId="77777777" w:rsidR="007F0535" w:rsidRPr="00B66E1B" w:rsidRDefault="007F0535" w:rsidP="007F0535">
      <w:pPr>
        <w:spacing w:after="0" w:line="240" w:lineRule="auto"/>
        <w:jc w:val="both"/>
        <w:rPr>
          <w:rFonts w:ascii="Verdana" w:eastAsia="Aptos" w:hAnsi="Verdana" w:cs="Arial"/>
          <w:bCs/>
          <w:color w:val="000000"/>
          <w:kern w:val="2"/>
          <w:sz w:val="20"/>
          <w:szCs w:val="20"/>
          <w:lang w:val="es-ES_tradnl"/>
          <w14:ligatures w14:val="standardContextual"/>
        </w:rPr>
      </w:pPr>
      <w:r w:rsidRPr="00B66E1B">
        <w:rPr>
          <w:rFonts w:ascii="Verdana" w:eastAsia="Aptos" w:hAnsi="Verdana" w:cs="Arial"/>
          <w:bCs/>
          <w:color w:val="000000"/>
          <w:kern w:val="2"/>
          <w:sz w:val="20"/>
          <w:szCs w:val="20"/>
          <w:lang w:val="es-ES_tradnl"/>
          <w14:ligatures w14:val="standardContextual"/>
        </w:rPr>
        <w:t>Las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contratación. Sobre el particular, el Consejo de Estado señala:</w:t>
      </w:r>
    </w:p>
    <w:p w14:paraId="074A65D5" w14:textId="77777777" w:rsidR="007F0535" w:rsidRPr="00B66E1B" w:rsidRDefault="007F0535" w:rsidP="007F0535">
      <w:pPr>
        <w:spacing w:after="0" w:line="240" w:lineRule="auto"/>
        <w:jc w:val="both"/>
        <w:rPr>
          <w:rFonts w:ascii="Verdana" w:eastAsia="Aptos" w:hAnsi="Verdana" w:cs="Arial"/>
          <w:bCs/>
          <w:color w:val="000000"/>
          <w:kern w:val="2"/>
          <w:sz w:val="20"/>
          <w:szCs w:val="20"/>
          <w:lang w:val="es-ES_tradnl"/>
          <w14:ligatures w14:val="standardContextual"/>
        </w:rPr>
      </w:pPr>
      <w:r>
        <w:rPr>
          <w:rFonts w:ascii="Verdana" w:eastAsia="Aptos" w:hAnsi="Verdana" w:cs="Arial"/>
          <w:bCs/>
          <w:color w:val="000000"/>
          <w:kern w:val="2"/>
          <w:sz w:val="20"/>
          <w:szCs w:val="20"/>
          <w:lang w:val="es-ES_tradnl"/>
          <w14:ligatures w14:val="standardContextual"/>
        </w:rPr>
        <w:t>[…]</w:t>
      </w:r>
    </w:p>
    <w:p w14:paraId="3FDBC13E" w14:textId="77777777" w:rsidR="007F0535" w:rsidRPr="007F0535" w:rsidRDefault="007F0535" w:rsidP="007F0535">
      <w:pPr>
        <w:spacing w:after="0" w:line="240" w:lineRule="auto"/>
        <w:jc w:val="both"/>
        <w:rPr>
          <w:rFonts w:ascii="Verdana" w:eastAsia="Aptos" w:hAnsi="Verdana" w:cs="Arial"/>
          <w:bCs/>
          <w:color w:val="000000"/>
          <w:kern w:val="2"/>
          <w:sz w:val="20"/>
          <w:szCs w:val="20"/>
          <w:lang w:val="es-ES_tradnl"/>
          <w14:ligatures w14:val="standardContextual"/>
        </w:rPr>
      </w:pPr>
      <w:r w:rsidRPr="00B66E1B">
        <w:rPr>
          <w:rFonts w:ascii="Verdana" w:eastAsia="Aptos" w:hAnsi="Verdana" w:cs="Arial"/>
          <w:bCs/>
          <w:color w:val="000000"/>
          <w:kern w:val="2"/>
          <w:sz w:val="20"/>
          <w:szCs w:val="20"/>
          <w:lang w:val="es-ES_tradnl"/>
          <w14:ligatures w14:val="standardContextual"/>
        </w:rPr>
        <w:t>De igual forma, esta Agencia ha reiterado la postura del Consejo de Estado, según la cual, por la naturaleza propia de las causales de rechazo, su aplicación es estricta y restrictiva, lo que significa que su interpretación gramatical prevalece sobre una interpretación extensiva o de otra índole, mediante la cual se pretenda ampliar su alcance. Al respecto, el Consejo de Estado sostuvo:</w:t>
      </w:r>
    </w:p>
    <w:p w14:paraId="0A37501D" w14:textId="77777777" w:rsidR="007F0535" w:rsidRDefault="007F0535" w:rsidP="007F0535">
      <w:pPr>
        <w:spacing w:after="0" w:line="240" w:lineRule="auto"/>
        <w:jc w:val="both"/>
        <w:rPr>
          <w:rFonts w:ascii="Verdana" w:hAnsi="Verdana" w:cs="Arial"/>
          <w:b/>
          <w:lang w:val="es-ES_tradnl" w:eastAsia="es-ES"/>
        </w:rPr>
      </w:pPr>
    </w:p>
    <w:p w14:paraId="5DAB6C7B" w14:textId="77777777" w:rsidR="007F0535" w:rsidRDefault="007F0535" w:rsidP="007F0535">
      <w:pPr>
        <w:spacing w:after="0" w:line="240" w:lineRule="auto"/>
        <w:jc w:val="both"/>
        <w:rPr>
          <w:rFonts w:ascii="Verdana" w:hAnsi="Verdana" w:cs="Arial"/>
          <w:b/>
          <w:lang w:val="es-ES_tradnl" w:eastAsia="es-ES"/>
        </w:rPr>
      </w:pPr>
    </w:p>
    <w:p w14:paraId="78D0F30E" w14:textId="77777777" w:rsidR="007F0535" w:rsidRDefault="007F0535" w:rsidP="007F0535">
      <w:pPr>
        <w:spacing w:after="0" w:line="240" w:lineRule="auto"/>
        <w:jc w:val="both"/>
        <w:rPr>
          <w:rFonts w:ascii="Verdana" w:hAnsi="Verdana" w:cs="Arial"/>
          <w:b/>
          <w:lang w:val="es-ES_tradnl" w:eastAsia="es-ES"/>
        </w:rPr>
      </w:pPr>
      <w:r w:rsidRPr="00D37CE7">
        <w:rPr>
          <w:rFonts w:ascii="Verdana" w:hAnsi="Verdana" w:cs="Arial"/>
          <w:b/>
          <w:lang w:val="es-ES_tradnl" w:eastAsia="es-ES"/>
        </w:rPr>
        <w:t>PRINCIPIO DE SELECCIÓN OBJETIVA – Rechazo de las ofertas – Aspectos formales</w:t>
      </w:r>
    </w:p>
    <w:p w14:paraId="02EB378F" w14:textId="77777777" w:rsidR="007F0535" w:rsidRDefault="007F0535" w:rsidP="007F0535">
      <w:pPr>
        <w:spacing w:after="0" w:line="240" w:lineRule="auto"/>
        <w:jc w:val="both"/>
        <w:rPr>
          <w:rFonts w:ascii="Verdana" w:hAnsi="Verdana" w:cs="Arial"/>
          <w:b/>
          <w:lang w:val="es-ES_tradnl" w:eastAsia="es-ES"/>
        </w:rPr>
      </w:pPr>
    </w:p>
    <w:p w14:paraId="1C05F799" w14:textId="77777777" w:rsidR="007F0535" w:rsidRDefault="007F0535" w:rsidP="007F0535">
      <w:pPr>
        <w:spacing w:after="0" w:line="240" w:lineRule="auto"/>
        <w:jc w:val="both"/>
        <w:rPr>
          <w:rFonts w:ascii="Verdana" w:hAnsi="Verdana" w:cs="Arial"/>
          <w:sz w:val="20"/>
          <w:szCs w:val="20"/>
          <w:lang w:val="es-ES" w:eastAsia="es-ES"/>
        </w:rPr>
      </w:pPr>
      <w:r w:rsidRPr="00446B85">
        <w:rPr>
          <w:rFonts w:ascii="Verdana" w:hAnsi="Verdana" w:cs="Arial"/>
          <w:sz w:val="20"/>
          <w:szCs w:val="20"/>
          <w:lang w:val="es-ES" w:eastAsia="es-ES"/>
        </w:rPr>
        <w:t>Por otra parte, es importante señalar que, uno de los principios transversales de los procedimientos de selección es el de selección objetiva. Se trata del postulado que exige que la escogencia de la oferta ganadora deba fundamentarse en factores objetivos, de carácter técnico, jurídico y financiero, y no en criterios subjetivos, como el afecto, la amistad, el ánimo de ayuda, el interés personal, etc. Si bien dentro de la historia de la contratación pública en Colombia se vislumbran antecedentes normativos que consagraban dicho principio, en la actualidad la disposición legal que lo prevé de manera más clara y contundente es el artículo 5 de la Ley 1150 de 2007, modificado por el artículo 88 de la Ley 1474 de 2011 y por el artículo 5 de la Ley 1882 de 2018.</w:t>
      </w:r>
    </w:p>
    <w:p w14:paraId="6A05A809" w14:textId="77777777" w:rsidR="007F0535" w:rsidRDefault="007F0535" w:rsidP="007F0535">
      <w:pPr>
        <w:spacing w:after="0" w:line="240" w:lineRule="auto"/>
        <w:jc w:val="both"/>
        <w:rPr>
          <w:rFonts w:ascii="Verdana" w:eastAsia="Calibri" w:hAnsi="Verdana" w:cs="Arial"/>
          <w:color w:val="000000"/>
          <w:kern w:val="2"/>
          <w:sz w:val="20"/>
          <w:szCs w:val="20"/>
          <w14:ligatures w14:val="standardContextual"/>
        </w:rPr>
      </w:pPr>
    </w:p>
    <w:p w14:paraId="5A39BBE3" w14:textId="77777777" w:rsidR="007F0535" w:rsidRDefault="007F0535" w:rsidP="007F0535">
      <w:pPr>
        <w:spacing w:after="0"/>
        <w:jc w:val="both"/>
        <w:rPr>
          <w:rFonts w:ascii="Verdana" w:eastAsia="Calibri" w:hAnsi="Verdana" w:cs="Arial"/>
          <w:color w:val="000000"/>
          <w:kern w:val="2"/>
          <w:sz w:val="20"/>
          <w:szCs w:val="20"/>
          <w14:ligatures w14:val="standardContextual"/>
        </w:rPr>
      </w:pPr>
    </w:p>
    <w:p w14:paraId="41C8F396" w14:textId="77777777" w:rsidR="007F0535" w:rsidRPr="007F0535" w:rsidRDefault="007F0535" w:rsidP="007F0535">
      <w:pPr>
        <w:spacing w:after="120" w:line="276" w:lineRule="auto"/>
        <w:jc w:val="both"/>
        <w:rPr>
          <w:rFonts w:ascii="Verdana" w:hAnsi="Verdana" w:cs="Arial"/>
          <w:color w:val="000000" w:themeColor="text1"/>
        </w:rPr>
      </w:pPr>
    </w:p>
    <w:p w14:paraId="72A3D3EC" w14:textId="77777777" w:rsidR="007F0535" w:rsidRDefault="007F0535" w:rsidP="007F0535">
      <w:pPr>
        <w:spacing w:after="0" w:line="240" w:lineRule="auto"/>
        <w:jc w:val="both"/>
        <w:rPr>
          <w:rFonts w:ascii="Verdana" w:eastAsia="Geomanist Light" w:hAnsi="Verdana" w:cs="Arial"/>
          <w:color w:val="000000" w:themeColor="text1"/>
          <w:lang w:val="es-ES"/>
        </w:rPr>
      </w:pPr>
    </w:p>
    <w:p w14:paraId="0D0B940D" w14:textId="77777777" w:rsidR="007F0535" w:rsidRDefault="007F0535" w:rsidP="007F0535">
      <w:pPr>
        <w:spacing w:after="0" w:line="240" w:lineRule="auto"/>
        <w:jc w:val="both"/>
        <w:rPr>
          <w:rFonts w:ascii="Verdana" w:eastAsia="Geomanist Light" w:hAnsi="Verdana" w:cs="Arial"/>
          <w:color w:val="000000" w:themeColor="text1"/>
          <w:lang w:val="es-ES"/>
        </w:rPr>
      </w:pPr>
    </w:p>
    <w:p w14:paraId="0E27B00A" w14:textId="77777777" w:rsidR="007F0535" w:rsidRDefault="007F0535" w:rsidP="007F0535">
      <w:pPr>
        <w:spacing w:after="0" w:line="240" w:lineRule="auto"/>
        <w:jc w:val="both"/>
        <w:rPr>
          <w:rFonts w:ascii="Verdana" w:eastAsia="Geomanist Light" w:hAnsi="Verdana" w:cs="Arial"/>
          <w:color w:val="000000" w:themeColor="text1"/>
          <w:lang w:val="es-ES"/>
        </w:rPr>
      </w:pPr>
    </w:p>
    <w:p w14:paraId="60061E4C" w14:textId="77777777" w:rsidR="007F0535" w:rsidRDefault="007F0535" w:rsidP="007F0535">
      <w:pPr>
        <w:spacing w:after="0" w:line="240" w:lineRule="auto"/>
        <w:jc w:val="both"/>
        <w:rPr>
          <w:rFonts w:ascii="Verdana" w:eastAsia="Geomanist Light" w:hAnsi="Verdana" w:cs="Arial"/>
          <w:color w:val="000000" w:themeColor="text1"/>
          <w:lang w:val="es-ES"/>
        </w:rPr>
      </w:pPr>
    </w:p>
    <w:p w14:paraId="44EAFD9C" w14:textId="77777777" w:rsidR="007F0535" w:rsidRDefault="007F0535" w:rsidP="007F0535">
      <w:pPr>
        <w:spacing w:after="0" w:line="240" w:lineRule="auto"/>
        <w:jc w:val="both"/>
        <w:rPr>
          <w:rFonts w:ascii="Verdana" w:eastAsia="Geomanist Light" w:hAnsi="Verdana" w:cs="Arial"/>
          <w:color w:val="000000" w:themeColor="text1"/>
          <w:lang w:val="es-ES"/>
        </w:rPr>
      </w:pPr>
    </w:p>
    <w:p w14:paraId="4B94D5A5" w14:textId="77777777" w:rsidR="007F0535" w:rsidRDefault="007F0535" w:rsidP="007F0535">
      <w:pPr>
        <w:spacing w:after="0" w:line="240" w:lineRule="auto"/>
        <w:jc w:val="both"/>
        <w:rPr>
          <w:rFonts w:ascii="Verdana" w:eastAsia="Geomanist Light" w:hAnsi="Verdana" w:cs="Arial"/>
          <w:color w:val="000000" w:themeColor="text1"/>
          <w:lang w:val="es-ES"/>
        </w:rPr>
      </w:pPr>
    </w:p>
    <w:p w14:paraId="3DEEC669" w14:textId="77777777" w:rsidR="007F0535" w:rsidRDefault="007F0535" w:rsidP="007F0535">
      <w:pPr>
        <w:spacing w:after="0" w:line="240" w:lineRule="auto"/>
        <w:jc w:val="both"/>
        <w:rPr>
          <w:rFonts w:ascii="Verdana" w:eastAsia="Geomanist Light" w:hAnsi="Verdana" w:cs="Arial"/>
          <w:color w:val="000000" w:themeColor="text1"/>
          <w:lang w:val="es-ES"/>
        </w:rPr>
      </w:pPr>
    </w:p>
    <w:p w14:paraId="3656B9AB" w14:textId="77777777" w:rsidR="007F0535" w:rsidRDefault="007F0535" w:rsidP="007F0535">
      <w:pPr>
        <w:spacing w:after="0" w:line="240" w:lineRule="auto"/>
        <w:jc w:val="both"/>
        <w:rPr>
          <w:rFonts w:ascii="Verdana" w:eastAsia="Geomanist Light" w:hAnsi="Verdana" w:cs="Arial"/>
          <w:color w:val="000000" w:themeColor="text1"/>
          <w:lang w:val="es-ES"/>
        </w:rPr>
      </w:pPr>
    </w:p>
    <w:p w14:paraId="45FB0818" w14:textId="77777777" w:rsidR="007F0535" w:rsidRDefault="007F0535" w:rsidP="007F0535">
      <w:pPr>
        <w:spacing w:after="0" w:line="240" w:lineRule="auto"/>
        <w:jc w:val="both"/>
        <w:rPr>
          <w:rFonts w:ascii="Verdana" w:eastAsia="Geomanist Light" w:hAnsi="Verdana" w:cs="Arial"/>
          <w:color w:val="000000" w:themeColor="text1"/>
          <w:lang w:val="es-ES"/>
        </w:rPr>
      </w:pPr>
    </w:p>
    <w:p w14:paraId="049F31CB" w14:textId="77777777" w:rsidR="007F0535" w:rsidRDefault="007F0535" w:rsidP="007F0535">
      <w:pPr>
        <w:spacing w:after="0" w:line="240" w:lineRule="auto"/>
        <w:jc w:val="both"/>
        <w:rPr>
          <w:rFonts w:ascii="Verdana" w:eastAsia="Geomanist Light" w:hAnsi="Verdana" w:cs="Arial"/>
          <w:color w:val="000000" w:themeColor="text1"/>
          <w:lang w:val="es-ES"/>
        </w:rPr>
      </w:pPr>
    </w:p>
    <w:p w14:paraId="53128261" w14:textId="77777777" w:rsidR="007F0535" w:rsidRDefault="007F0535" w:rsidP="007F0535">
      <w:pPr>
        <w:spacing w:after="0" w:line="240" w:lineRule="auto"/>
        <w:jc w:val="both"/>
        <w:rPr>
          <w:rFonts w:ascii="Verdana" w:eastAsia="Geomanist Light" w:hAnsi="Verdana" w:cs="Arial"/>
          <w:color w:val="000000" w:themeColor="text1"/>
          <w:lang w:val="es-ES"/>
        </w:rPr>
      </w:pPr>
    </w:p>
    <w:p w14:paraId="62486C05" w14:textId="77777777" w:rsidR="007F0535" w:rsidRDefault="007F0535" w:rsidP="007F0535">
      <w:pPr>
        <w:spacing w:after="0" w:line="240" w:lineRule="auto"/>
        <w:jc w:val="both"/>
        <w:rPr>
          <w:rFonts w:ascii="Verdana" w:eastAsia="Geomanist Light" w:hAnsi="Verdana" w:cs="Arial"/>
          <w:color w:val="000000" w:themeColor="text1"/>
          <w:lang w:val="es-ES"/>
        </w:rPr>
      </w:pPr>
    </w:p>
    <w:p w14:paraId="4101652C" w14:textId="77777777" w:rsidR="007F0535" w:rsidRDefault="007F0535" w:rsidP="007F0535">
      <w:pPr>
        <w:spacing w:after="0" w:line="240" w:lineRule="auto"/>
        <w:jc w:val="both"/>
        <w:rPr>
          <w:rFonts w:ascii="Verdana" w:eastAsia="Geomanist Light" w:hAnsi="Verdana" w:cs="Arial"/>
          <w:color w:val="000000" w:themeColor="text1"/>
          <w:lang w:val="es-ES"/>
        </w:rPr>
      </w:pPr>
    </w:p>
    <w:p w14:paraId="4B99056E" w14:textId="77777777" w:rsidR="007F0535" w:rsidRDefault="007F0535" w:rsidP="007F0535">
      <w:pPr>
        <w:spacing w:after="0" w:line="240" w:lineRule="auto"/>
        <w:jc w:val="both"/>
        <w:rPr>
          <w:rFonts w:ascii="Verdana" w:eastAsia="Geomanist Light" w:hAnsi="Verdana" w:cs="Arial"/>
          <w:color w:val="000000" w:themeColor="text1"/>
          <w:lang w:val="es-ES"/>
        </w:rPr>
      </w:pPr>
    </w:p>
    <w:p w14:paraId="1299C43A" w14:textId="77777777" w:rsidR="007F0535" w:rsidRDefault="007F0535" w:rsidP="007F0535">
      <w:pPr>
        <w:spacing w:after="0" w:line="240" w:lineRule="auto"/>
        <w:jc w:val="both"/>
        <w:rPr>
          <w:rFonts w:ascii="Verdana" w:eastAsia="Geomanist Light" w:hAnsi="Verdana" w:cs="Arial"/>
          <w:color w:val="000000" w:themeColor="text1"/>
          <w:lang w:val="es-ES"/>
        </w:rPr>
      </w:pPr>
    </w:p>
    <w:p w14:paraId="4DDBEF00" w14:textId="77777777" w:rsidR="007F0535" w:rsidRDefault="007F0535" w:rsidP="007F0535">
      <w:pPr>
        <w:spacing w:after="0" w:line="240" w:lineRule="auto"/>
        <w:jc w:val="both"/>
        <w:rPr>
          <w:rFonts w:ascii="Verdana" w:eastAsia="Geomanist Light" w:hAnsi="Verdana" w:cs="Arial"/>
          <w:color w:val="000000" w:themeColor="text1"/>
          <w:lang w:val="es-ES"/>
        </w:rPr>
      </w:pPr>
    </w:p>
    <w:p w14:paraId="53234FB8" w14:textId="77777777" w:rsidR="007F0535" w:rsidRPr="00AB152A" w:rsidRDefault="007F0535" w:rsidP="007F0535">
      <w:pPr>
        <w:spacing w:after="0" w:line="240" w:lineRule="auto"/>
        <w:jc w:val="both"/>
        <w:rPr>
          <w:rFonts w:ascii="Verdana" w:eastAsia="Geomanist Light" w:hAnsi="Verdana" w:cs="Arial"/>
          <w:color w:val="000000" w:themeColor="text1"/>
          <w:lang w:val="es-ES"/>
        </w:rPr>
      </w:pPr>
      <w:r w:rsidRPr="0015EC3E">
        <w:rPr>
          <w:rFonts w:ascii="Verdana" w:eastAsia="Geomanist Light" w:hAnsi="Verdana" w:cs="Arial"/>
          <w:color w:val="000000" w:themeColor="text1"/>
          <w:lang w:val="es-ES"/>
        </w:rPr>
        <w:lastRenderedPageBreak/>
        <w:t>Bogotá D.C., [Día] de [</w:t>
      </w:r>
      <w:proofErr w:type="spellStart"/>
      <w:r w:rsidRPr="0015EC3E">
        <w:rPr>
          <w:rFonts w:ascii="Verdana" w:eastAsia="Geomanist Light" w:hAnsi="Verdana" w:cs="Arial"/>
          <w:color w:val="000000" w:themeColor="text1"/>
          <w:lang w:val="es-ES"/>
        </w:rPr>
        <w:t>Mes.NombreCapitalizado</w:t>
      </w:r>
      <w:proofErr w:type="spellEnd"/>
      <w:r w:rsidRPr="0015EC3E">
        <w:rPr>
          <w:rFonts w:ascii="Verdana" w:eastAsia="Geomanist Light" w:hAnsi="Verdana" w:cs="Arial"/>
          <w:color w:val="000000" w:themeColor="text1"/>
          <w:lang w:val="es-ES"/>
        </w:rPr>
        <w:t>] de [Año]</w:t>
      </w:r>
    </w:p>
    <w:p w14:paraId="3461D779" w14:textId="77777777" w:rsidR="007F0535" w:rsidRDefault="007F0535" w:rsidP="007F0535">
      <w:pPr>
        <w:spacing w:after="0" w:line="240" w:lineRule="auto"/>
        <w:jc w:val="right"/>
        <w:rPr>
          <w:rFonts w:ascii="Verdana" w:eastAsia="Calibri" w:hAnsi="Verdana" w:cs="Arial"/>
          <w:color w:val="000000"/>
          <w:lang w:val="es-ES"/>
        </w:rPr>
      </w:pPr>
    </w:p>
    <w:p w14:paraId="3D254D50" w14:textId="77777777" w:rsidR="007F0535" w:rsidRPr="00593A5F" w:rsidRDefault="00C51AE6" w:rsidP="007F0535">
      <w:pPr>
        <w:spacing w:after="0" w:line="240" w:lineRule="auto"/>
        <w:jc w:val="both"/>
        <w:rPr>
          <w:rFonts w:ascii="Verdana" w:eastAsia="Calibri" w:hAnsi="Verdana" w:cs="Arial"/>
          <w:color w:val="000000"/>
          <w:lang w:val="es-ES"/>
        </w:rPr>
      </w:pPr>
      <w:r w:rsidRPr="00C51AE6">
        <w:rPr>
          <w:rFonts w:ascii="Verdana" w:eastAsia="Calibri" w:hAnsi="Verdana" w:cs="Arial"/>
          <w:noProof/>
          <w:color w:val="000000"/>
          <w:lang w:val="es-ES"/>
        </w:rPr>
        <w:drawing>
          <wp:anchor distT="0" distB="0" distL="114300" distR="114300" simplePos="0" relativeHeight="251658240" behindDoc="1" locked="0" layoutInCell="1" allowOverlap="1" wp14:anchorId="052CEC13" wp14:editId="781A97D4">
            <wp:simplePos x="0" y="0"/>
            <wp:positionH relativeFrom="column">
              <wp:posOffset>3427095</wp:posOffset>
            </wp:positionH>
            <wp:positionV relativeFrom="paragraph">
              <wp:posOffset>170905</wp:posOffset>
            </wp:positionV>
            <wp:extent cx="2789539" cy="775789"/>
            <wp:effectExtent l="0" t="0" r="5080" b="0"/>
            <wp:wrapNone/>
            <wp:docPr id="5756342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3420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9539" cy="775789"/>
                    </a:xfrm>
                    <a:prstGeom prst="rect">
                      <a:avLst/>
                    </a:prstGeom>
                  </pic:spPr>
                </pic:pic>
              </a:graphicData>
            </a:graphic>
            <wp14:sizeRelH relativeFrom="page">
              <wp14:pctWidth>0</wp14:pctWidth>
            </wp14:sizeRelH>
            <wp14:sizeRelV relativeFrom="page">
              <wp14:pctHeight>0</wp14:pctHeight>
            </wp14:sizeRelV>
          </wp:anchor>
        </w:drawing>
      </w:r>
    </w:p>
    <w:p w14:paraId="63D37C31" w14:textId="77777777" w:rsidR="007F0535" w:rsidRPr="00B96799" w:rsidRDefault="007F0535" w:rsidP="007F0535">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4377C257" w14:textId="77777777" w:rsidR="007F0535" w:rsidRDefault="007F0535" w:rsidP="223DB84E">
      <w:pPr>
        <w:spacing w:after="0" w:line="240" w:lineRule="auto"/>
        <w:rPr>
          <w:rFonts w:ascii="Verdana" w:eastAsia="Calibri" w:hAnsi="Verdana" w:cs="Arial"/>
          <w:b/>
          <w:bCs/>
          <w:lang w:val="es-ES" w:eastAsia="es-ES"/>
        </w:rPr>
      </w:pPr>
      <w:r w:rsidRPr="223DB84E">
        <w:rPr>
          <w:rFonts w:ascii="Verdana" w:eastAsia="Calibri" w:hAnsi="Verdana" w:cs="Arial"/>
          <w:b/>
          <w:bCs/>
          <w:lang w:val="es-ES" w:eastAsia="es-ES"/>
        </w:rPr>
        <w:t>Elver Danilo Fúquene Rincón</w:t>
      </w:r>
    </w:p>
    <w:p w14:paraId="473D7B0E" w14:textId="77777777" w:rsidR="007F0535" w:rsidRDefault="007F0535" w:rsidP="007F0535">
      <w:pPr>
        <w:spacing w:after="0" w:line="240" w:lineRule="auto"/>
      </w:pPr>
      <w:hyperlink r:id="rId11" w:history="1">
        <w:r w:rsidRPr="00D94C94">
          <w:rPr>
            <w:rStyle w:val="Hipervnculo"/>
          </w:rPr>
          <w:t>danilo_fuquene@hotmail.com</w:t>
        </w:r>
      </w:hyperlink>
    </w:p>
    <w:p w14:paraId="6FF924CB" w14:textId="77777777" w:rsidR="007F0535" w:rsidRDefault="007F0535" w:rsidP="007F0535">
      <w:pPr>
        <w:spacing w:after="0" w:line="240" w:lineRule="auto"/>
        <w:rPr>
          <w:rFonts w:ascii="Verdana" w:eastAsia="Calibri" w:hAnsi="Verdana" w:cs="Arial"/>
          <w:lang w:val="es-ES" w:eastAsia="es-ES"/>
        </w:rPr>
      </w:pPr>
      <w:r>
        <w:rPr>
          <w:rFonts w:ascii="Verdana" w:eastAsia="Calibri" w:hAnsi="Verdana" w:cs="Arial"/>
          <w:lang w:val="es-ES" w:eastAsia="es-ES"/>
        </w:rPr>
        <w:t>Barrancabermeja - Santander</w:t>
      </w:r>
    </w:p>
    <w:p w14:paraId="3CF2D8B6" w14:textId="77777777" w:rsidR="007F0535" w:rsidRPr="00593A5F" w:rsidRDefault="007F0535" w:rsidP="007F0535">
      <w:pPr>
        <w:spacing w:after="0" w:line="240" w:lineRule="auto"/>
        <w:rPr>
          <w:rFonts w:ascii="Verdana" w:eastAsia="Calibri" w:hAnsi="Verdana" w:cs="Arial"/>
          <w:b/>
          <w:bCs/>
          <w:color w:val="000000"/>
          <w:lang w:val="es-ES_tradnl" w:eastAsia="es-ES_tradnl"/>
        </w:rPr>
      </w:pPr>
    </w:p>
    <w:p w14:paraId="0FB78278" w14:textId="77777777" w:rsidR="007F0535" w:rsidRPr="00593A5F" w:rsidRDefault="007F0535" w:rsidP="007F053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F0535" w:rsidRPr="00593A5F" w14:paraId="2C88C125" w14:textId="77777777" w:rsidTr="00C77973">
        <w:trPr>
          <w:trHeight w:val="884"/>
        </w:trPr>
        <w:tc>
          <w:tcPr>
            <w:tcW w:w="2689" w:type="dxa"/>
          </w:tcPr>
          <w:p w14:paraId="1FC39945" w14:textId="77777777" w:rsidR="007F0535" w:rsidRPr="00C00976" w:rsidRDefault="007F0535" w:rsidP="00C77973">
            <w:pPr>
              <w:jc w:val="both"/>
              <w:rPr>
                <w:rFonts w:ascii="Verdana" w:eastAsia="Calibri" w:hAnsi="Verdana" w:cs="Arial"/>
                <w:b/>
                <w:bCs/>
                <w:color w:val="7030A0"/>
                <w:lang w:val="es-ES_tradnl" w:eastAsia="es-ES_tradnl"/>
              </w:rPr>
            </w:pPr>
          </w:p>
        </w:tc>
        <w:tc>
          <w:tcPr>
            <w:tcW w:w="6100" w:type="dxa"/>
          </w:tcPr>
          <w:p w14:paraId="2F79A86D" w14:textId="77777777" w:rsidR="007F0535" w:rsidRPr="00C00976" w:rsidRDefault="007F0535" w:rsidP="00C7797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Concepto C</w:t>
            </w:r>
            <w:r>
              <w:rPr>
                <w:rFonts w:ascii="Verdana" w:eastAsia="Calibri" w:hAnsi="Verdana" w:cs="Arial"/>
                <w:b/>
                <w:bCs/>
                <w:lang w:val="es-ES" w:eastAsia="es-ES"/>
              </w:rPr>
              <w:t>-</w:t>
            </w:r>
            <w:r>
              <w:rPr>
                <w:rFonts w:ascii="Verdana" w:eastAsia="Calibri" w:hAnsi="Verdana"/>
                <w:b/>
                <w:bCs/>
                <w:lang w:val="es-ES" w:eastAsia="es-ES"/>
              </w:rPr>
              <w:t xml:space="preserve">953 </w:t>
            </w:r>
            <w:r w:rsidRPr="008E6AD9">
              <w:rPr>
                <w:rFonts w:ascii="Verdana" w:eastAsia="Calibri" w:hAnsi="Verdana" w:cs="Arial"/>
                <w:b/>
                <w:bCs/>
                <w:lang w:val="es-ES" w:eastAsia="es-ES"/>
              </w:rPr>
              <w:t>de 2024</w:t>
            </w:r>
          </w:p>
        </w:tc>
      </w:tr>
      <w:tr w:rsidR="007F0535" w:rsidRPr="00F73E29" w14:paraId="3234FA2A" w14:textId="77777777" w:rsidTr="00C77973">
        <w:trPr>
          <w:trHeight w:val="884"/>
        </w:trPr>
        <w:tc>
          <w:tcPr>
            <w:tcW w:w="2689" w:type="dxa"/>
          </w:tcPr>
          <w:p w14:paraId="1CCB75E4" w14:textId="77777777" w:rsidR="007F0535" w:rsidRPr="00593A5F" w:rsidRDefault="007F0535" w:rsidP="00C7797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35F45DBA" w14:textId="77777777" w:rsidR="007F0535" w:rsidRPr="007F0535" w:rsidRDefault="007F0535" w:rsidP="00C77973">
            <w:pPr>
              <w:spacing w:line="276" w:lineRule="auto"/>
              <w:jc w:val="both"/>
              <w:rPr>
                <w:rFonts w:ascii="Verdana" w:eastAsia="Aptos" w:hAnsi="Verdana" w:cs="Arial"/>
                <w:bCs/>
                <w:color w:val="000000"/>
                <w:lang w:val="es-ES_tradnl"/>
              </w:rPr>
            </w:pPr>
            <w:r w:rsidRPr="00F217FD">
              <w:rPr>
                <w:rFonts w:ascii="Verdana" w:eastAsia="Aptos" w:hAnsi="Verdana" w:cs="Arial"/>
                <w:bCs/>
                <w:color w:val="000000"/>
                <w:lang w:val="es-ES_tradnl"/>
              </w:rPr>
              <w:t>CAUSALES DE RECHAZO – Principio de legalidad – Configuración / PRINCIPIO DE SELECCIÓN OBJETIVA – Rechazo de las ofertas – Aspectos formales</w:t>
            </w:r>
          </w:p>
        </w:tc>
      </w:tr>
      <w:tr w:rsidR="007F0535" w:rsidRPr="008E6AD9" w14:paraId="42038C0D" w14:textId="77777777" w:rsidTr="00C77973">
        <w:tc>
          <w:tcPr>
            <w:tcW w:w="2689" w:type="dxa"/>
          </w:tcPr>
          <w:p w14:paraId="1D720380" w14:textId="77777777" w:rsidR="007F0535" w:rsidRPr="008E6AD9" w:rsidRDefault="007F0535" w:rsidP="00C7797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46A8309B" w14:textId="77777777" w:rsidR="007F0535" w:rsidRPr="008E6AD9" w:rsidRDefault="007F0535" w:rsidP="00C77973">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7F0535">
              <w:rPr>
                <w:rFonts w:ascii="Verdana" w:eastAsia="Calibri" w:hAnsi="Verdana" w:cs="Arial"/>
                <w:lang w:val="es-ES_tradnl" w:eastAsia="es-ES_tradnl"/>
              </w:rPr>
              <w:t>P20241128011984</w:t>
            </w:r>
            <w:r>
              <w:rPr>
                <w:rFonts w:ascii="Verdana" w:eastAsia="Calibri" w:hAnsi="Verdana" w:cs="Arial"/>
                <w:lang w:val="es-ES_tradnl" w:eastAsia="es-ES_tradnl"/>
              </w:rPr>
              <w:t xml:space="preserve">                                   </w:t>
            </w:r>
          </w:p>
        </w:tc>
      </w:tr>
    </w:tbl>
    <w:p w14:paraId="0562CB0E" w14:textId="77777777" w:rsidR="007F0535" w:rsidRPr="00593A5F" w:rsidRDefault="007F0535" w:rsidP="007F0535">
      <w:pPr>
        <w:spacing w:after="0" w:line="240" w:lineRule="auto"/>
        <w:jc w:val="both"/>
        <w:rPr>
          <w:rFonts w:ascii="Verdana" w:eastAsia="Calibri" w:hAnsi="Verdana" w:cs="Arial"/>
          <w:color w:val="000000"/>
          <w:lang w:val="es-ES_tradnl" w:eastAsia="es-ES_tradnl"/>
        </w:rPr>
      </w:pPr>
    </w:p>
    <w:p w14:paraId="34CE0A41" w14:textId="77777777" w:rsidR="007F0535" w:rsidRPr="00593A5F" w:rsidRDefault="007F0535" w:rsidP="007F0535">
      <w:pPr>
        <w:spacing w:after="0" w:line="240" w:lineRule="auto"/>
        <w:jc w:val="both"/>
        <w:rPr>
          <w:rFonts w:ascii="Verdana" w:eastAsia="Calibri" w:hAnsi="Verdana" w:cs="Arial"/>
          <w:color w:val="000000"/>
          <w:lang w:val="es-ES_tradnl" w:eastAsia="es-ES_tradnl"/>
        </w:rPr>
      </w:pPr>
    </w:p>
    <w:p w14:paraId="07560672" w14:textId="77777777" w:rsidR="007F0535" w:rsidRPr="008E6AD9" w:rsidRDefault="007F0535" w:rsidP="007F0535">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Pr>
          <w:rFonts w:ascii="Verdana" w:eastAsia="Calibri" w:hAnsi="Verdana" w:cs="Arial"/>
          <w:lang w:val="es-ES" w:eastAsia="es-ES"/>
        </w:rPr>
        <w:t>Fúquene</w:t>
      </w:r>
      <w:r w:rsidRPr="008E6AD9">
        <w:rPr>
          <w:rFonts w:ascii="Verdana" w:eastAsia="Calibri" w:hAnsi="Verdana" w:cs="Arial"/>
          <w:lang w:val="es-ES" w:eastAsia="es-ES"/>
        </w:rPr>
        <w:t xml:space="preserve">: </w:t>
      </w:r>
    </w:p>
    <w:p w14:paraId="62EBF3C5" w14:textId="77777777" w:rsidR="007F0535" w:rsidRDefault="007F0535" w:rsidP="007F0535">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15727CF" w14:textId="77777777" w:rsidR="007F0535" w:rsidRDefault="007F0535" w:rsidP="007F0535">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realizada </w:t>
      </w:r>
      <w:r>
        <w:rPr>
          <w:rFonts w:ascii="Verdana" w:eastAsia="Calibri" w:hAnsi="Verdana" w:cs="Arial"/>
          <w:lang w:val="es-ES" w:eastAsia="es-ES"/>
        </w:rPr>
        <w:t xml:space="preserve">el 28 de noviembre de 2024, </w:t>
      </w:r>
      <w:r w:rsidRPr="008E6AD9">
        <w:rPr>
          <w:rFonts w:ascii="Verdana" w:eastAsia="Calibri" w:hAnsi="Verdana" w:cs="Arial"/>
          <w:lang w:val="es-ES" w:eastAsia="es-ES"/>
        </w:rPr>
        <w:t xml:space="preserve">en </w:t>
      </w:r>
      <w:r>
        <w:rPr>
          <w:rFonts w:ascii="Verdana" w:eastAsia="Calibri" w:hAnsi="Verdana" w:cs="Arial"/>
          <w:lang w:val="es-ES" w:eastAsia="es-ES"/>
        </w:rPr>
        <w:t>el cual plantea las siguientes inquietudes</w:t>
      </w:r>
      <w:r w:rsidRPr="008E6AD9">
        <w:rPr>
          <w:rFonts w:ascii="Verdana" w:eastAsia="Calibri" w:hAnsi="Verdana" w:cs="Arial"/>
          <w:lang w:val="es-ES" w:eastAsia="es-ES"/>
        </w:rPr>
        <w:t xml:space="preserve">: </w:t>
      </w:r>
    </w:p>
    <w:p w14:paraId="6D98A12B" w14:textId="77777777" w:rsidR="00582DE3" w:rsidRPr="00593A5F" w:rsidRDefault="00582DE3" w:rsidP="007F0535">
      <w:pPr>
        <w:spacing w:after="0" w:line="276" w:lineRule="auto"/>
        <w:jc w:val="both"/>
        <w:rPr>
          <w:rFonts w:ascii="Verdana" w:eastAsia="Calibri" w:hAnsi="Verdana" w:cs="Arial"/>
          <w:color w:val="7030A0"/>
          <w:lang w:val="es-ES" w:eastAsia="es-ES"/>
        </w:rPr>
      </w:pPr>
    </w:p>
    <w:p w14:paraId="2946DB82" w14:textId="77777777" w:rsidR="007F0535" w:rsidRPr="00272A7B" w:rsidRDefault="007F0535" w:rsidP="007F0535">
      <w:pPr>
        <w:pStyle w:val="Prrafodelista"/>
        <w:tabs>
          <w:tab w:val="left" w:pos="142"/>
          <w:tab w:val="left" w:pos="284"/>
        </w:tabs>
        <w:spacing w:after="0" w:line="276" w:lineRule="auto"/>
        <w:ind w:left="0"/>
        <w:jc w:val="both"/>
        <w:rPr>
          <w:rFonts w:ascii="Verdana" w:eastAsia="Century Gothic" w:hAnsi="Verdana" w:cs="Century Gothic"/>
          <w:b/>
          <w:bCs/>
        </w:rPr>
      </w:pPr>
    </w:p>
    <w:p w14:paraId="7BA26D37" w14:textId="77777777" w:rsidR="007F0535" w:rsidRPr="00582DE3" w:rsidRDefault="007F0535" w:rsidP="00582DE3">
      <w:pPr>
        <w:spacing w:after="120" w:line="240" w:lineRule="auto"/>
        <w:ind w:left="709" w:right="709"/>
        <w:jc w:val="both"/>
        <w:rPr>
          <w:rFonts w:ascii="Verdana" w:eastAsia="Century Gothic" w:hAnsi="Verdana" w:cs="Century Gothic"/>
          <w:sz w:val="21"/>
          <w:szCs w:val="21"/>
          <w:lang w:val="es-ES"/>
        </w:rPr>
      </w:pPr>
      <w:bookmarkStart w:id="0" w:name="_Hlk95313578"/>
      <w:r w:rsidRPr="00582DE3">
        <w:rPr>
          <w:rFonts w:ascii="Verdana" w:eastAsia="Century Gothic" w:hAnsi="Verdana" w:cs="Century Gothic"/>
          <w:sz w:val="21"/>
          <w:szCs w:val="21"/>
          <w:lang w:val="es-ES"/>
        </w:rPr>
        <w:t>“</w:t>
      </w:r>
      <w:bookmarkEnd w:id="0"/>
      <w:r w:rsidR="00582DE3" w:rsidRPr="00582DE3">
        <w:rPr>
          <w:rFonts w:ascii="Verdana" w:hAnsi="Verdana"/>
          <w:sz w:val="21"/>
          <w:szCs w:val="21"/>
        </w:rPr>
        <w:t xml:space="preserve">¿Es causal de rechazo en un procedimiento de selección de subasta inversa </w:t>
      </w:r>
      <w:proofErr w:type="spellStart"/>
      <w:r w:rsidR="00582DE3" w:rsidRPr="00582DE3">
        <w:rPr>
          <w:rFonts w:ascii="Verdana" w:hAnsi="Verdana"/>
          <w:sz w:val="21"/>
          <w:szCs w:val="21"/>
        </w:rPr>
        <w:t>electronica</w:t>
      </w:r>
      <w:proofErr w:type="spellEnd"/>
      <w:r w:rsidR="00582DE3" w:rsidRPr="00582DE3">
        <w:rPr>
          <w:rFonts w:ascii="Verdana" w:hAnsi="Verdana"/>
          <w:sz w:val="21"/>
          <w:szCs w:val="21"/>
        </w:rPr>
        <w:t>, cuando el proponente incluye su oferta económica en el sobre No. 1 de la plataforma Secop II</w:t>
      </w:r>
      <w:r w:rsidRPr="00582DE3">
        <w:rPr>
          <w:rFonts w:ascii="Verdana" w:hAnsi="Verdana"/>
          <w:sz w:val="21"/>
          <w:szCs w:val="21"/>
        </w:rPr>
        <w:t>?</w:t>
      </w:r>
      <w:r w:rsidRPr="00582DE3">
        <w:rPr>
          <w:rFonts w:ascii="Verdana" w:eastAsia="Century Gothic" w:hAnsi="Verdana" w:cs="Century Gothic"/>
          <w:sz w:val="21"/>
          <w:szCs w:val="21"/>
          <w:lang w:val="es-ES"/>
        </w:rPr>
        <w:t xml:space="preserve">”. </w:t>
      </w:r>
    </w:p>
    <w:p w14:paraId="5997CC1D" w14:textId="77777777" w:rsidR="007F0535" w:rsidRPr="008E6AD9" w:rsidRDefault="007F0535" w:rsidP="007F0535">
      <w:pPr>
        <w:pStyle w:val="Prrafodelista"/>
        <w:tabs>
          <w:tab w:val="left" w:pos="142"/>
          <w:tab w:val="left" w:pos="284"/>
        </w:tabs>
        <w:spacing w:line="276" w:lineRule="auto"/>
        <w:ind w:left="0"/>
        <w:jc w:val="both"/>
        <w:rPr>
          <w:rFonts w:ascii="Verdana" w:eastAsia="Century Gothic" w:hAnsi="Verdana" w:cs="Century Gothic"/>
          <w:b/>
          <w:bCs/>
        </w:rPr>
      </w:pPr>
    </w:p>
    <w:p w14:paraId="29A221DA" w14:textId="77777777" w:rsidR="007F0535" w:rsidRPr="00A652FF" w:rsidRDefault="007F0535" w:rsidP="007F0535">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593A5F">
        <w:rPr>
          <w:rFonts w:ascii="Verdana" w:eastAsia="Calibri" w:hAnsi="Verdana" w:cs="Arial"/>
          <w:color w:val="000000"/>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3EC76FE" w14:textId="77777777" w:rsidR="007F0535" w:rsidRDefault="007F0535" w:rsidP="007F0535">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en la solicitud</w:t>
      </w:r>
      <w:r w:rsidRPr="00593A5F">
        <w:rPr>
          <w:rFonts w:ascii="Verdana" w:eastAsia="Calibri" w:hAnsi="Verdana" w:cs="Arial"/>
          <w:color w:val="000000"/>
          <w:lang w:val="es-ES" w:eastAsia="es-ES"/>
        </w:rPr>
        <w:t>, pero haciendo unas consideraciones</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110FFD37" w14:textId="77777777" w:rsidR="007F0535" w:rsidRPr="00593A5F" w:rsidRDefault="007F0535" w:rsidP="007F0535">
      <w:pPr>
        <w:spacing w:after="0" w:line="276" w:lineRule="auto"/>
        <w:ind w:firstLine="709"/>
        <w:jc w:val="both"/>
        <w:rPr>
          <w:rFonts w:ascii="Verdana" w:eastAsia="Calibri" w:hAnsi="Verdana" w:cs="Arial"/>
          <w:color w:val="000000"/>
          <w:lang w:val="es-ES" w:eastAsia="es-ES"/>
        </w:rPr>
      </w:pPr>
    </w:p>
    <w:p w14:paraId="6445C295" w14:textId="77777777" w:rsidR="007F0535" w:rsidRPr="00593A5F" w:rsidRDefault="007F0535" w:rsidP="007F053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Problema planteado:</w:t>
      </w:r>
    </w:p>
    <w:p w14:paraId="6B699379" w14:textId="77777777" w:rsidR="007F0535" w:rsidRPr="00593A5F" w:rsidRDefault="007F0535" w:rsidP="007F0535">
      <w:pPr>
        <w:tabs>
          <w:tab w:val="left" w:pos="426"/>
        </w:tabs>
        <w:spacing w:after="0" w:line="276" w:lineRule="auto"/>
        <w:jc w:val="both"/>
        <w:rPr>
          <w:rFonts w:ascii="Verdana" w:eastAsia="Century Gothic" w:hAnsi="Verdana" w:cs="Century Gothic"/>
          <w:lang w:val="es-ES"/>
        </w:rPr>
      </w:pPr>
    </w:p>
    <w:p w14:paraId="3FF5E3C0" w14:textId="77777777" w:rsidR="007F0535" w:rsidRPr="00593A5F" w:rsidRDefault="007F0535" w:rsidP="007F0535">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i. ¿en </w:t>
      </w:r>
      <w:proofErr w:type="gramStart"/>
      <w:r>
        <w:rPr>
          <w:rFonts w:ascii="Verdana" w:eastAsia="Century Gothic" w:hAnsi="Verdana" w:cs="Century Gothic"/>
        </w:rPr>
        <w:t>un procesos</w:t>
      </w:r>
      <w:proofErr w:type="gramEnd"/>
      <w:r>
        <w:rPr>
          <w:rFonts w:ascii="Verdana" w:eastAsia="Century Gothic" w:hAnsi="Verdana" w:cs="Century Gothic"/>
        </w:rPr>
        <w:t xml:space="preserve"> de selección abreviada con modalidad subasta inversa, la presentación de oferta económica en sobre que no corresponda, es causal de rechazo de la oferta?</w:t>
      </w:r>
    </w:p>
    <w:p w14:paraId="3FE9F23F" w14:textId="77777777" w:rsidR="007F0535" w:rsidRPr="004B140F" w:rsidRDefault="007F0535" w:rsidP="007F0535">
      <w:pPr>
        <w:spacing w:after="0" w:line="276" w:lineRule="auto"/>
        <w:jc w:val="both"/>
        <w:rPr>
          <w:rFonts w:ascii="Verdana" w:eastAsia="Calibri" w:hAnsi="Verdana" w:cs="Arial"/>
          <w:color w:val="7030A0"/>
        </w:rPr>
      </w:pPr>
    </w:p>
    <w:p w14:paraId="57B34330" w14:textId="77777777" w:rsidR="007F0535" w:rsidRPr="00593A5F" w:rsidRDefault="007F0535" w:rsidP="007F053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Respuesta:</w:t>
      </w:r>
    </w:p>
    <w:p w14:paraId="1F72F646" w14:textId="77777777" w:rsidR="007F0535" w:rsidRPr="00593A5F" w:rsidRDefault="007F0535" w:rsidP="007F053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F0535" w:rsidRPr="00FB5A88" w14:paraId="0CEBFEFF" w14:textId="77777777" w:rsidTr="00C77973">
        <w:trPr>
          <w:jc w:val="center"/>
        </w:trPr>
        <w:tc>
          <w:tcPr>
            <w:tcW w:w="8828" w:type="dxa"/>
            <w:shd w:val="clear" w:color="auto" w:fill="auto"/>
          </w:tcPr>
          <w:p w14:paraId="7A23B354" w14:textId="77777777" w:rsidR="00E14A0F" w:rsidRDefault="007F0535" w:rsidP="00E14A0F">
            <w:pPr>
              <w:spacing w:line="276" w:lineRule="auto"/>
              <w:jc w:val="both"/>
              <w:rPr>
                <w:rFonts w:ascii="Verdana" w:eastAsia="Calibri" w:hAnsi="Verdana" w:cs="Arial"/>
                <w:lang w:val="es-MX" w:eastAsia="es-MX"/>
              </w:rPr>
            </w:pPr>
            <w:bookmarkStart w:id="1" w:name="_Hlk171694685"/>
            <w:r w:rsidRPr="00FB5A88">
              <w:rPr>
                <w:rFonts w:ascii="Verdana" w:eastAsia="Times New Roman" w:hAnsi="Verdana" w:cs="Arial"/>
                <w:color w:val="000000" w:themeColor="text1"/>
                <w:lang w:val="es-ES"/>
              </w:rPr>
              <w:t>i</w:t>
            </w:r>
            <w:r w:rsidR="00E14A0F" w:rsidRPr="00FB5A88">
              <w:rPr>
                <w:rFonts w:ascii="Verdana" w:eastAsia="Times New Roman" w:hAnsi="Verdana" w:cs="Arial"/>
                <w:color w:val="000000" w:themeColor="text1"/>
              </w:rPr>
              <w:t xml:space="preserve"> </w:t>
            </w:r>
            <w:proofErr w:type="spellStart"/>
            <w:r w:rsidR="00E14A0F" w:rsidRPr="00FB5A88">
              <w:rPr>
                <w:rFonts w:ascii="Verdana" w:eastAsia="Times New Roman" w:hAnsi="Verdana" w:cs="Arial"/>
                <w:color w:val="000000" w:themeColor="text1"/>
                <w:lang w:val="es-ES"/>
              </w:rPr>
              <w:t>i</w:t>
            </w:r>
            <w:proofErr w:type="spellEnd"/>
            <w:r w:rsidR="00E14A0F" w:rsidRPr="00FB5A88">
              <w:rPr>
                <w:rFonts w:ascii="Verdana" w:eastAsia="Times New Roman" w:hAnsi="Verdana" w:cs="Arial"/>
                <w:color w:val="000000" w:themeColor="text1"/>
                <w:lang w:val="es-ES"/>
              </w:rPr>
              <w:t xml:space="preserve">. </w:t>
            </w:r>
            <w:r w:rsidR="00E14A0F" w:rsidRPr="00F217FD">
              <w:rPr>
                <w:rFonts w:ascii="Verdana" w:eastAsia="Calibri" w:hAnsi="Verdana" w:cs="Arial"/>
                <w:lang w:val="es-ES_tradnl"/>
              </w:rPr>
              <w:t>Las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w:t>
            </w:r>
            <w:r w:rsidR="00E14A0F">
              <w:rPr>
                <w:rFonts w:ascii="Verdana" w:eastAsia="Calibri" w:hAnsi="Verdana" w:cs="Arial"/>
                <w:lang w:val="es-ES_tradnl"/>
              </w:rPr>
              <w:t>n</w:t>
            </w:r>
            <w:r w:rsidR="00E14A0F" w:rsidRPr="00F217FD">
              <w:rPr>
                <w:rFonts w:ascii="Verdana" w:eastAsia="Calibri" w:hAnsi="Verdana" w:cs="Arial"/>
                <w:lang w:val="es-ES_tradnl"/>
              </w:rPr>
              <w:t xml:space="preserve">, </w:t>
            </w:r>
            <w:r w:rsidR="00E14A0F" w:rsidRPr="00F217FD">
              <w:rPr>
                <w:rFonts w:ascii="Verdana" w:eastAsia="Calibri" w:hAnsi="Verdana" w:cs="Arial"/>
                <w:lang w:val="es-MX" w:eastAsia="es-MX"/>
              </w:rPr>
              <w:t>las cuales son taxativas, descartándose que la entidad introduzca nuevas, salvo las contempladas directamente en la ley.</w:t>
            </w:r>
          </w:p>
          <w:p w14:paraId="08CE6F91" w14:textId="77777777" w:rsidR="00E14A0F" w:rsidRDefault="00E14A0F" w:rsidP="00E14A0F">
            <w:pPr>
              <w:spacing w:line="276" w:lineRule="auto"/>
              <w:jc w:val="both"/>
              <w:rPr>
                <w:rFonts w:ascii="Verdana" w:eastAsia="Calibri" w:hAnsi="Verdana" w:cs="Arial"/>
                <w:lang w:val="es-MX" w:eastAsia="es-MX"/>
              </w:rPr>
            </w:pPr>
          </w:p>
          <w:p w14:paraId="02D46B45" w14:textId="77777777" w:rsidR="00E14A0F" w:rsidRDefault="00E14A0F" w:rsidP="00E14A0F">
            <w:pPr>
              <w:spacing w:line="276" w:lineRule="auto"/>
              <w:jc w:val="both"/>
              <w:rPr>
                <w:rFonts w:ascii="Verdana" w:eastAsia="Calibri" w:hAnsi="Verdana" w:cs="Arial"/>
                <w:lang w:val="es-ES"/>
              </w:rPr>
            </w:pPr>
            <w:r w:rsidRPr="0594F8A8">
              <w:rPr>
                <w:rFonts w:ascii="Verdana" w:eastAsia="Calibri" w:hAnsi="Verdana" w:cs="Arial"/>
                <w:lang w:val="es-ES"/>
              </w:rPr>
              <w:t>Por la naturaleza propia de las causales de rechazo, su aplicación es estricta,</w:t>
            </w:r>
            <w:r>
              <w:rPr>
                <w:rFonts w:ascii="Verdana" w:eastAsia="Calibri" w:hAnsi="Verdana" w:cs="Arial"/>
                <w:lang w:val="es-ES"/>
              </w:rPr>
              <w:t xml:space="preserve"> taxativa </w:t>
            </w:r>
            <w:r w:rsidRPr="0594F8A8">
              <w:rPr>
                <w:rFonts w:ascii="Verdana" w:eastAsia="Calibri" w:hAnsi="Verdana" w:cs="Arial"/>
                <w:lang w:val="es-ES"/>
              </w:rPr>
              <w:t>y restrictiva, lo que significa que su interpretación gramatical prevalece sobre una interpretación extensiva o de otra índole, mediante la cual se pretenda ampliar su alcance.</w:t>
            </w:r>
          </w:p>
          <w:p w14:paraId="61CDCEAD" w14:textId="77777777" w:rsidR="00E14A0F" w:rsidRDefault="00E14A0F" w:rsidP="00E14A0F">
            <w:pPr>
              <w:spacing w:line="276" w:lineRule="auto"/>
              <w:jc w:val="both"/>
              <w:rPr>
                <w:rFonts w:ascii="Verdana" w:eastAsia="Calibri" w:hAnsi="Verdana" w:cs="Arial"/>
                <w:lang w:val="es-ES"/>
              </w:rPr>
            </w:pPr>
          </w:p>
          <w:p w14:paraId="38B02644" w14:textId="77777777" w:rsidR="007F0535" w:rsidRPr="007F0535" w:rsidRDefault="00E14A0F" w:rsidP="00E14A0F">
            <w:pPr>
              <w:spacing w:line="276" w:lineRule="auto"/>
              <w:jc w:val="both"/>
              <w:rPr>
                <w:rFonts w:ascii="Verdana" w:eastAsia="Calibri" w:hAnsi="Verdana" w:cs="Arial"/>
                <w:lang w:val="es-ES_tradnl"/>
              </w:rPr>
            </w:pPr>
            <w:r>
              <w:rPr>
                <w:rFonts w:ascii="Verdana" w:eastAsia="Calibri" w:hAnsi="Verdana" w:cs="Arial"/>
                <w:lang w:val="es-ES"/>
              </w:rPr>
              <w:lastRenderedPageBreak/>
              <w:t>Ahora bien, es preciso que se verifique las condiciones propias de cada proceso de selección en el que se pretenda participar, con el fin de dar cumplimiento estricto a las reglas propias de este, y no incurrir en causales de rechazo.</w:t>
            </w:r>
          </w:p>
        </w:tc>
      </w:tr>
    </w:tbl>
    <w:p w14:paraId="6BB9E253" w14:textId="77777777" w:rsidR="007F0535" w:rsidRPr="00FB5A88" w:rsidRDefault="007F0535" w:rsidP="007F0535">
      <w:pPr>
        <w:tabs>
          <w:tab w:val="left" w:pos="142"/>
          <w:tab w:val="left" w:pos="284"/>
        </w:tabs>
        <w:spacing w:after="0" w:line="276" w:lineRule="auto"/>
        <w:jc w:val="both"/>
        <w:rPr>
          <w:rFonts w:ascii="Verdana" w:eastAsia="Century Gothic" w:hAnsi="Verdana" w:cs="Century Gothic"/>
          <w:b/>
          <w:bCs/>
        </w:rPr>
      </w:pPr>
    </w:p>
    <w:bookmarkEnd w:id="1"/>
    <w:p w14:paraId="4DF64E17" w14:textId="77777777" w:rsidR="007F0535" w:rsidRPr="00FB5A88" w:rsidRDefault="007F0535" w:rsidP="007F053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B5A88">
        <w:rPr>
          <w:rFonts w:ascii="Verdana" w:eastAsia="Century Gothic" w:hAnsi="Verdana" w:cs="Century Gothic"/>
          <w:b/>
          <w:bCs/>
        </w:rPr>
        <w:t xml:space="preserve"> Razones de la respuesta:</w:t>
      </w:r>
    </w:p>
    <w:p w14:paraId="23DE523C" w14:textId="77777777" w:rsidR="007F0535" w:rsidRPr="00FB5A88" w:rsidRDefault="007F0535" w:rsidP="007F0535">
      <w:pPr>
        <w:spacing w:after="0" w:line="276" w:lineRule="auto"/>
        <w:jc w:val="both"/>
        <w:rPr>
          <w:rFonts w:ascii="Verdana" w:eastAsia="Calibri" w:hAnsi="Verdana" w:cs="Arial"/>
          <w:color w:val="7030A0"/>
          <w:lang w:val="es-ES"/>
        </w:rPr>
      </w:pPr>
    </w:p>
    <w:p w14:paraId="23916820" w14:textId="77777777" w:rsidR="007F0535" w:rsidRDefault="007F0535" w:rsidP="007F0535">
      <w:pPr>
        <w:spacing w:after="0" w:line="276" w:lineRule="auto"/>
        <w:jc w:val="both"/>
        <w:rPr>
          <w:rFonts w:ascii="Verdana" w:eastAsia="Calibri" w:hAnsi="Verdana" w:cs="Arial"/>
          <w:lang w:val="es-ES"/>
        </w:rPr>
      </w:pPr>
      <w:r w:rsidRPr="00FB5A88">
        <w:rPr>
          <w:rFonts w:ascii="Verdana" w:eastAsia="Calibri" w:hAnsi="Verdana" w:cs="Arial"/>
          <w:lang w:val="es-ES"/>
        </w:rPr>
        <w:t>Lo anterior se sustenta en las siguientes consideraciones:</w:t>
      </w:r>
    </w:p>
    <w:p w14:paraId="52E56223" w14:textId="77777777" w:rsidR="007F0535" w:rsidRDefault="007F0535" w:rsidP="007F0535">
      <w:pPr>
        <w:spacing w:after="0" w:line="276" w:lineRule="auto"/>
        <w:jc w:val="both"/>
        <w:rPr>
          <w:rFonts w:ascii="Verdana" w:eastAsia="Calibri" w:hAnsi="Verdana" w:cs="Arial"/>
          <w:color w:val="000000" w:themeColor="text1"/>
        </w:rPr>
      </w:pPr>
    </w:p>
    <w:p w14:paraId="41B918DF" w14:textId="77777777" w:rsidR="007F0535" w:rsidRPr="00F217FD" w:rsidRDefault="007F0535" w:rsidP="007F0535">
      <w:pPr>
        <w:numPr>
          <w:ilvl w:val="0"/>
          <w:numId w:val="5"/>
        </w:numPr>
        <w:snapToGrid w:val="0"/>
        <w:spacing w:after="0" w:line="276" w:lineRule="auto"/>
        <w:jc w:val="both"/>
        <w:rPr>
          <w:rFonts w:ascii="Verdana" w:eastAsia="Calibri" w:hAnsi="Verdana" w:cs="Arial"/>
          <w:kern w:val="2"/>
          <w:lang w:val="es-ES"/>
          <w14:ligatures w14:val="standardContextual"/>
        </w:rPr>
      </w:pPr>
      <w:r w:rsidRPr="00F217FD">
        <w:rPr>
          <w:rFonts w:ascii="Verdana" w:eastAsia="Calibri" w:hAnsi="Verdana" w:cs="Arial"/>
          <w:kern w:val="2"/>
          <w:lang w:val="es-ES_tradnl"/>
          <w14:ligatures w14:val="standardContextual"/>
        </w:rPr>
        <w:t>Las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contratación. Sobre el particular, el Consejo de Estado</w:t>
      </w:r>
      <w:r w:rsidRPr="00F217FD">
        <w:rPr>
          <w:rFonts w:ascii="Verdana" w:eastAsia="Calibri" w:hAnsi="Verdana" w:cs="Arial"/>
          <w:i/>
          <w:iCs/>
          <w:kern w:val="2"/>
          <w:vertAlign w:val="superscript"/>
          <w:lang w:val="es-ES_tradnl"/>
          <w14:ligatures w14:val="standardContextual"/>
        </w:rPr>
        <w:footnoteReference w:id="2"/>
      </w:r>
      <w:r w:rsidRPr="00F217FD">
        <w:rPr>
          <w:rFonts w:ascii="Verdana" w:eastAsia="Calibri" w:hAnsi="Verdana" w:cs="Arial"/>
          <w:kern w:val="2"/>
          <w:lang w:val="es-ES_tradnl"/>
          <w14:ligatures w14:val="standardContextual"/>
        </w:rPr>
        <w:t xml:space="preserve"> señala:</w:t>
      </w:r>
    </w:p>
    <w:p w14:paraId="07547A01" w14:textId="77777777" w:rsidR="007F0535" w:rsidRPr="00F217FD" w:rsidRDefault="007F0535" w:rsidP="007F0535">
      <w:pPr>
        <w:tabs>
          <w:tab w:val="left" w:pos="709"/>
        </w:tabs>
        <w:spacing w:after="0" w:line="276" w:lineRule="auto"/>
        <w:jc w:val="both"/>
        <w:rPr>
          <w:rFonts w:ascii="Verdana" w:eastAsia="Calibri" w:hAnsi="Verdana" w:cs="Arial"/>
          <w:kern w:val="2"/>
          <w:lang w:val="es-ES_tradnl"/>
          <w14:ligatures w14:val="standardContextual"/>
        </w:rPr>
      </w:pPr>
    </w:p>
    <w:p w14:paraId="274DF5BE" w14:textId="77777777" w:rsidR="007F0535" w:rsidRPr="00F217FD" w:rsidRDefault="007F0535" w:rsidP="007F0535">
      <w:pPr>
        <w:tabs>
          <w:tab w:val="left" w:pos="709"/>
        </w:tabs>
        <w:spacing w:after="0" w:line="240" w:lineRule="auto"/>
        <w:ind w:left="709" w:right="709"/>
        <w:jc w:val="both"/>
        <w:rPr>
          <w:rFonts w:ascii="Verdana" w:eastAsia="Calibri" w:hAnsi="Verdana" w:cs="Arial"/>
          <w:kern w:val="2"/>
          <w:sz w:val="21"/>
          <w:szCs w:val="21"/>
          <w:lang w:val="es-ES"/>
          <w14:ligatures w14:val="standardContextual"/>
        </w:rPr>
      </w:pPr>
      <w:r w:rsidRPr="0594F8A8">
        <w:rPr>
          <w:rFonts w:ascii="Verdana" w:eastAsia="Calibri" w:hAnsi="Verdana" w:cs="Arial"/>
          <w:kern w:val="2"/>
          <w:sz w:val="21"/>
          <w:szCs w:val="21"/>
          <w:lang w:val="es-ES"/>
          <w14:ligatures w14:val="standardContextual"/>
        </w:rPr>
        <w:t xml:space="preserve">“Quiere con esto destacar la Sala que las causales de rechazo de las propuestas pueden ser legales y por lo mismo generan el efecto del descarte o exclusión de la oferta </w:t>
      </w:r>
      <w:proofErr w:type="spellStart"/>
      <w:r w:rsidRPr="0594F8A8">
        <w:rPr>
          <w:rFonts w:ascii="Verdana" w:eastAsia="Calibri" w:hAnsi="Verdana" w:cs="Arial"/>
          <w:kern w:val="2"/>
          <w:sz w:val="21"/>
          <w:szCs w:val="21"/>
          <w:lang w:val="es-ES"/>
          <w14:ligatures w14:val="standardContextual"/>
        </w:rPr>
        <w:t>ope</w:t>
      </w:r>
      <w:proofErr w:type="spellEnd"/>
      <w:r w:rsidRPr="0594F8A8">
        <w:rPr>
          <w:rFonts w:ascii="Verdana" w:eastAsia="Calibri" w:hAnsi="Verdana" w:cs="Arial"/>
          <w:kern w:val="2"/>
          <w:sz w:val="21"/>
          <w:szCs w:val="21"/>
          <w:lang w:val="es-ES"/>
          <w14:ligatures w14:val="standardContextual"/>
        </w:rPr>
        <w:t xml:space="preserve"> </w:t>
      </w:r>
      <w:proofErr w:type="spellStart"/>
      <w:r w:rsidRPr="0594F8A8">
        <w:rPr>
          <w:rFonts w:ascii="Verdana" w:eastAsia="Calibri" w:hAnsi="Verdana" w:cs="Arial"/>
          <w:kern w:val="2"/>
          <w:sz w:val="21"/>
          <w:szCs w:val="21"/>
          <w:lang w:val="es-ES"/>
          <w14:ligatures w14:val="standardContextual"/>
        </w:rPr>
        <w:t>legis</w:t>
      </w:r>
      <w:proofErr w:type="spellEnd"/>
      <w:r w:rsidRPr="0594F8A8">
        <w:rPr>
          <w:rFonts w:ascii="Verdana" w:eastAsia="Calibri" w:hAnsi="Verdana" w:cs="Arial"/>
          <w:kern w:val="2"/>
          <w:sz w:val="21"/>
          <w:szCs w:val="21"/>
          <w:lang w:val="es-ES"/>
          <w14:ligatures w14:val="standardContextual"/>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14:paraId="5043CB0F" w14:textId="77777777" w:rsidR="007F0535" w:rsidRPr="00F217FD" w:rsidRDefault="007F0535" w:rsidP="007F0535">
      <w:pPr>
        <w:spacing w:after="0" w:line="276" w:lineRule="auto"/>
        <w:ind w:firstLine="708"/>
        <w:jc w:val="both"/>
        <w:rPr>
          <w:rFonts w:ascii="Verdana" w:eastAsia="Calibri" w:hAnsi="Verdana" w:cs="Arial"/>
          <w:kern w:val="2"/>
          <w:lang w:val="es-ES_tradnl"/>
          <w14:ligatures w14:val="standardContextual"/>
        </w:rPr>
      </w:pPr>
    </w:p>
    <w:p w14:paraId="5EF51F85" w14:textId="77777777" w:rsidR="007F0535" w:rsidRPr="00F217FD" w:rsidRDefault="007F0535" w:rsidP="007F0535">
      <w:pPr>
        <w:numPr>
          <w:ilvl w:val="0"/>
          <w:numId w:val="6"/>
        </w:numPr>
        <w:spacing w:after="0" w:line="276" w:lineRule="auto"/>
        <w:jc w:val="both"/>
        <w:rPr>
          <w:rFonts w:ascii="Verdana" w:eastAsia="Calibri" w:hAnsi="Verdana" w:cs="Arial"/>
          <w:kern w:val="2"/>
          <w:lang w:val="es-ES_tradnl"/>
          <w14:ligatures w14:val="standardContextual"/>
        </w:rPr>
      </w:pPr>
      <w:r w:rsidRPr="00F217FD">
        <w:rPr>
          <w:rFonts w:ascii="Verdana" w:eastAsia="Calibri" w:hAnsi="Verdana" w:cs="Arial"/>
          <w:kern w:val="2"/>
          <w:lang w:val="es-ES_tradnl"/>
          <w14:ligatures w14:val="standardContextual"/>
        </w:rPr>
        <w:t>De igual forma, esta Agencia ha reiterado la postura del Consejo de Estado, según la cual, por la naturaleza propia de las causales de rechazo, su aplicación es estricta y restrictiva, lo que significa que su interpretación gramatical prevalece sobre una interpretación extensiva o de otra índole, mediante la cual se pretenda ampliar su alcance. Al respecto, el Consejo de Estado</w:t>
      </w:r>
      <w:r w:rsidRPr="00F217FD">
        <w:rPr>
          <w:rFonts w:ascii="Aptos" w:eastAsia="Aptos" w:hAnsi="Aptos" w:cs="Times New Roman"/>
          <w:i/>
          <w:kern w:val="2"/>
          <w:sz w:val="24"/>
          <w:szCs w:val="24"/>
          <w:vertAlign w:val="superscript"/>
          <w:lang w:val="es-ES_tradnl"/>
          <w14:ligatures w14:val="standardContextual"/>
        </w:rPr>
        <w:footnoteReference w:id="3"/>
      </w:r>
      <w:r w:rsidRPr="00F217FD">
        <w:rPr>
          <w:rFonts w:ascii="Verdana" w:eastAsia="Calibri" w:hAnsi="Verdana" w:cs="Arial"/>
          <w:kern w:val="2"/>
          <w:lang w:val="es-ES_tradnl"/>
          <w14:ligatures w14:val="standardContextual"/>
        </w:rPr>
        <w:t xml:space="preserve"> sostuvo: </w:t>
      </w:r>
    </w:p>
    <w:p w14:paraId="07459315" w14:textId="77777777" w:rsidR="007F0535" w:rsidRPr="00F217FD" w:rsidRDefault="007F0535" w:rsidP="007F0535">
      <w:pPr>
        <w:spacing w:after="0" w:line="276" w:lineRule="auto"/>
        <w:ind w:left="709" w:right="709"/>
        <w:jc w:val="both"/>
        <w:rPr>
          <w:rFonts w:ascii="Verdana" w:eastAsia="Times New Roman" w:hAnsi="Verdana" w:cs="Arial"/>
          <w:bCs/>
          <w:iCs/>
          <w:kern w:val="2"/>
          <w:lang w:val="es-ES_tradnl" w:eastAsia="es-MX"/>
          <w14:ligatures w14:val="standardContextual"/>
        </w:rPr>
      </w:pPr>
    </w:p>
    <w:p w14:paraId="076E09AB" w14:textId="77777777" w:rsidR="007F0535" w:rsidRPr="00F217FD" w:rsidRDefault="007F0535" w:rsidP="007F0535">
      <w:pPr>
        <w:spacing w:after="0" w:line="240" w:lineRule="auto"/>
        <w:ind w:left="709" w:right="709"/>
        <w:jc w:val="both"/>
        <w:rPr>
          <w:rFonts w:ascii="Verdana" w:eastAsia="Times New Roman" w:hAnsi="Verdana" w:cs="Arial"/>
          <w:bCs/>
          <w:iCs/>
          <w:kern w:val="2"/>
          <w:sz w:val="21"/>
          <w:szCs w:val="21"/>
          <w:lang w:val="es-ES_tradnl" w:eastAsia="es-MX"/>
          <w14:ligatures w14:val="standardContextual"/>
        </w:rPr>
      </w:pPr>
      <w:r w:rsidRPr="00F217FD">
        <w:rPr>
          <w:rFonts w:ascii="Verdana" w:eastAsia="Times New Roman" w:hAnsi="Verdana" w:cs="Arial"/>
          <w:bCs/>
          <w:iCs/>
          <w:kern w:val="2"/>
          <w:sz w:val="21"/>
          <w:szCs w:val="21"/>
          <w:lang w:val="es-ES_tradnl" w:eastAsia="es-MX"/>
          <w14:ligatures w14:val="standardContextual"/>
        </w:rPr>
        <w:lastRenderedPageBreak/>
        <w:t>“En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p>
    <w:p w14:paraId="6537F28F" w14:textId="77777777" w:rsidR="007F0535" w:rsidRPr="00F217FD" w:rsidRDefault="007F0535" w:rsidP="007F0535">
      <w:pPr>
        <w:spacing w:after="0" w:line="276" w:lineRule="auto"/>
        <w:ind w:left="709" w:right="709"/>
        <w:jc w:val="both"/>
        <w:rPr>
          <w:rFonts w:ascii="Verdana" w:eastAsia="Times New Roman" w:hAnsi="Verdana" w:cs="Arial"/>
          <w:bCs/>
          <w:iCs/>
          <w:kern w:val="2"/>
          <w:lang w:val="es-ES_tradnl" w:eastAsia="es-MX"/>
          <w14:ligatures w14:val="standardContextual"/>
        </w:rPr>
      </w:pPr>
    </w:p>
    <w:p w14:paraId="4EA24BFC" w14:textId="77777777" w:rsidR="007F0535" w:rsidRDefault="007F0535" w:rsidP="007F0535">
      <w:pPr>
        <w:numPr>
          <w:ilvl w:val="0"/>
          <w:numId w:val="6"/>
        </w:numPr>
        <w:spacing w:after="0" w:line="276" w:lineRule="auto"/>
        <w:contextualSpacing/>
        <w:jc w:val="both"/>
        <w:rPr>
          <w:rFonts w:ascii="Verdana" w:eastAsia="Calibri" w:hAnsi="Verdana" w:cs="Arial"/>
          <w:kern w:val="2"/>
          <w:lang w:val="es-ES"/>
          <w14:ligatures w14:val="standardContextual"/>
        </w:rPr>
      </w:pPr>
      <w:r w:rsidRPr="0594F8A8">
        <w:rPr>
          <w:rFonts w:ascii="Verdana" w:eastAsia="Calibri" w:hAnsi="Verdana" w:cs="Arial"/>
          <w:kern w:val="2"/>
          <w:lang w:val="es-ES"/>
          <w14:ligatures w14:val="standardContextual"/>
        </w:rPr>
        <w:t>Por lo expuesto, las causales de rechazo deben estar necesariamente nominadas en la Ley o en el pliego de condiciones, y no puede realizarse, frente a su redacción, ninguna interpretación extensiva. Por esta razón si el Estatuto General de Contratación de la Administración Pública o el pliego de condiciones no establecen de manera literal una causal de rechazo, en los términos expuestos, no podrán rechazarse las propuestas.</w:t>
      </w:r>
    </w:p>
    <w:p w14:paraId="6DFB9E20" w14:textId="77777777" w:rsidR="007F0535" w:rsidRDefault="007F0535" w:rsidP="007F0535">
      <w:pPr>
        <w:spacing w:after="0" w:line="276" w:lineRule="auto"/>
        <w:ind w:left="720"/>
        <w:contextualSpacing/>
        <w:jc w:val="both"/>
        <w:rPr>
          <w:rFonts w:ascii="Verdana" w:eastAsia="Calibri" w:hAnsi="Verdana" w:cs="Arial"/>
          <w:kern w:val="2"/>
          <w:lang w:val="es-ES"/>
          <w14:ligatures w14:val="standardContextual"/>
        </w:rPr>
      </w:pPr>
    </w:p>
    <w:p w14:paraId="03B67D40" w14:textId="77777777" w:rsidR="007F0535" w:rsidRPr="007F0535" w:rsidRDefault="007F0535" w:rsidP="007F0535">
      <w:pPr>
        <w:numPr>
          <w:ilvl w:val="0"/>
          <w:numId w:val="6"/>
        </w:numPr>
        <w:spacing w:after="0" w:line="276" w:lineRule="auto"/>
        <w:contextualSpacing/>
        <w:jc w:val="both"/>
        <w:rPr>
          <w:rFonts w:ascii="Verdana" w:eastAsia="Calibri" w:hAnsi="Verdana" w:cs="Arial"/>
          <w:kern w:val="2"/>
          <w:lang w:val="es-ES_tradnl"/>
          <w14:ligatures w14:val="standardContextual"/>
        </w:rPr>
      </w:pPr>
      <w:r w:rsidRPr="00F217FD">
        <w:rPr>
          <w:rFonts w:ascii="Verdana" w:eastAsia="Calibri" w:hAnsi="Verdana" w:cs="Arial"/>
          <w:lang w:val="es-MX" w:eastAsia="es-MX"/>
        </w:rPr>
        <w:t>la Agencia Nacional de Contratación Pública – Colombia Compra Eficiente, mediante los conceptos con radicados Nos. 2201913000007117 del 25 de septiembre de 2019, 2201913000009538 del 23 de diciembre de 2019 y C- 716 del 30 de octubre de 2020, entre otros, ha señalado que las causales de rechazo de las ofertas, descartándose que la entidad introduzca nuevas, salvo las contempladas directamente en la ley.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w:t>
      </w:r>
    </w:p>
    <w:p w14:paraId="70DF9E56" w14:textId="77777777" w:rsidR="007F0535" w:rsidRDefault="007F0535" w:rsidP="007F0535">
      <w:pPr>
        <w:pStyle w:val="Prrafodelista"/>
        <w:rPr>
          <w:rFonts w:ascii="Verdana" w:eastAsia="Calibri" w:hAnsi="Verdana" w:cs="Arial"/>
          <w:kern w:val="2"/>
          <w:lang w:val="es-ES_tradnl"/>
          <w14:ligatures w14:val="standardContextual"/>
        </w:rPr>
      </w:pPr>
    </w:p>
    <w:p w14:paraId="0661CFB5" w14:textId="77777777" w:rsidR="007F0535" w:rsidRPr="00F217FD" w:rsidRDefault="007F0535" w:rsidP="007F0535">
      <w:pPr>
        <w:numPr>
          <w:ilvl w:val="0"/>
          <w:numId w:val="6"/>
        </w:numPr>
        <w:spacing w:after="0" w:line="276" w:lineRule="auto"/>
        <w:contextualSpacing/>
        <w:jc w:val="both"/>
        <w:rPr>
          <w:rFonts w:ascii="Verdana" w:eastAsia="Calibri" w:hAnsi="Verdana" w:cs="Arial"/>
          <w:kern w:val="2"/>
          <w:lang w:val="es-ES_tradnl"/>
          <w14:ligatures w14:val="standardContextual"/>
        </w:rPr>
      </w:pPr>
      <w:r w:rsidRPr="00F217FD">
        <w:rPr>
          <w:rFonts w:ascii="Verdana" w:eastAsia="Arial" w:hAnsi="Verdana" w:cs="Arial"/>
          <w:color w:val="000000"/>
          <w:kern w:val="2"/>
          <w14:ligatures w14:val="standardContextual"/>
        </w:rPr>
        <w:t xml:space="preserve">Por otra parte, es importante señalar que, uno de los principios transversales de los procedimientos de selección es el de </w:t>
      </w:r>
      <w:r w:rsidRPr="00F217FD">
        <w:rPr>
          <w:rFonts w:ascii="Verdana" w:eastAsia="Arial" w:hAnsi="Verdana" w:cs="Arial"/>
          <w:i/>
          <w:color w:val="000000"/>
          <w:kern w:val="2"/>
          <w14:ligatures w14:val="standardContextual"/>
        </w:rPr>
        <w:t>selección objetiva</w:t>
      </w:r>
      <w:r w:rsidRPr="00F217FD">
        <w:rPr>
          <w:rFonts w:ascii="Verdana" w:eastAsia="Arial" w:hAnsi="Verdana" w:cs="Arial"/>
          <w:color w:val="000000"/>
          <w:kern w:val="2"/>
          <w14:ligatures w14:val="standardContextual"/>
        </w:rPr>
        <w:t xml:space="preserve">. Se trata del postulado que exige que la escogencia de la oferta ganadora deba fundamentarse en factores objetivos, de carácter técnico, </w:t>
      </w:r>
      <w:r w:rsidRPr="00F217FD">
        <w:rPr>
          <w:rFonts w:ascii="Verdana" w:eastAsia="Arial" w:hAnsi="Verdana" w:cs="Arial"/>
          <w:color w:val="000000"/>
          <w:kern w:val="2"/>
          <w14:ligatures w14:val="standardContextual"/>
        </w:rPr>
        <w:lastRenderedPageBreak/>
        <w:t>jurídico y financiero, y no en criterios subjetivos, como el afecto, la amistad, el ánimo de ayuda, el interés personal, etc. Si bien dentro de la historia de la contratación pública en Colombia se vislumbran antecedentes normativos que consagraban dicho principio</w:t>
      </w:r>
      <w:r w:rsidRPr="00F217FD">
        <w:rPr>
          <w:rFonts w:ascii="Aptos" w:eastAsia="Aptos" w:hAnsi="Aptos" w:cs="Times New Roman"/>
          <w:kern w:val="2"/>
          <w:sz w:val="24"/>
          <w:szCs w:val="24"/>
          <w:vertAlign w:val="superscript"/>
          <w14:ligatures w14:val="standardContextual"/>
        </w:rPr>
        <w:footnoteReference w:id="4"/>
      </w:r>
      <w:r w:rsidRPr="00F217FD">
        <w:rPr>
          <w:rFonts w:ascii="Verdana" w:eastAsia="Arial" w:hAnsi="Verdana" w:cs="Arial"/>
          <w:color w:val="000000"/>
          <w:kern w:val="2"/>
          <w14:ligatures w14:val="standardContextual"/>
        </w:rPr>
        <w:t>, en la actualidad la disposición legal que lo prevé de manera más clara y contundente es el artículo 5 de la Ley 1150 de 2007, modificado por el artículo 88 de la Ley 1474 de 2011 y por el artículo 5 de la Ley 1882 de 2018.</w:t>
      </w:r>
    </w:p>
    <w:p w14:paraId="44E871BC" w14:textId="77777777" w:rsidR="007F0535" w:rsidRPr="00F217FD" w:rsidRDefault="007F0535" w:rsidP="007F0535">
      <w:pPr>
        <w:spacing w:line="278" w:lineRule="auto"/>
        <w:ind w:left="720"/>
        <w:contextualSpacing/>
        <w:rPr>
          <w:rFonts w:ascii="Verdana" w:eastAsia="Arial" w:hAnsi="Verdana" w:cs="Arial"/>
          <w:color w:val="000000"/>
          <w:kern w:val="2"/>
          <w14:ligatures w14:val="standardContextual"/>
        </w:rPr>
      </w:pPr>
    </w:p>
    <w:p w14:paraId="06A64235" w14:textId="77777777" w:rsidR="007F0535" w:rsidRPr="00F217FD" w:rsidRDefault="007F0535" w:rsidP="007F0535">
      <w:pPr>
        <w:numPr>
          <w:ilvl w:val="0"/>
          <w:numId w:val="6"/>
        </w:numPr>
        <w:spacing w:after="0" w:line="276" w:lineRule="auto"/>
        <w:contextualSpacing/>
        <w:jc w:val="both"/>
        <w:rPr>
          <w:rFonts w:ascii="Verdana" w:eastAsia="Calibri" w:hAnsi="Verdana" w:cs="Arial"/>
          <w:kern w:val="2"/>
          <w:lang w:val="es-ES_tradnl"/>
          <w14:ligatures w14:val="standardContextual"/>
        </w:rPr>
      </w:pPr>
      <w:r w:rsidRPr="00F217FD">
        <w:rPr>
          <w:rFonts w:ascii="Verdana" w:eastAsia="Arial" w:hAnsi="Verdana" w:cs="Arial"/>
          <w:color w:val="000000"/>
          <w:kern w:val="2"/>
          <w14:ligatures w14:val="standardContextual"/>
        </w:rPr>
        <w:t>Para garantizar el principio de selección objetiva, es necesario, entre otras,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w:t>
      </w:r>
    </w:p>
    <w:p w14:paraId="144A5D23" w14:textId="77777777" w:rsidR="007F0535" w:rsidRPr="00F217FD" w:rsidRDefault="007F0535" w:rsidP="007F0535">
      <w:pPr>
        <w:spacing w:after="0" w:line="276" w:lineRule="auto"/>
        <w:jc w:val="both"/>
        <w:rPr>
          <w:rFonts w:ascii="Verdana" w:eastAsia="Calibri" w:hAnsi="Verdana" w:cs="Arial"/>
          <w:kern w:val="2"/>
          <w:lang w:val="es-ES_tradnl"/>
          <w14:ligatures w14:val="standardContextual"/>
        </w:rPr>
      </w:pPr>
    </w:p>
    <w:p w14:paraId="0BC9126B" w14:textId="77777777" w:rsidR="007F0535" w:rsidRPr="00F217FD" w:rsidRDefault="007F0535" w:rsidP="007F0535">
      <w:pPr>
        <w:numPr>
          <w:ilvl w:val="0"/>
          <w:numId w:val="6"/>
        </w:numPr>
        <w:spacing w:after="0" w:line="276" w:lineRule="auto"/>
        <w:contextualSpacing/>
        <w:jc w:val="both"/>
        <w:rPr>
          <w:rFonts w:ascii="Verdana" w:eastAsia="Arial" w:hAnsi="Verdana" w:cs="Arial"/>
          <w:color w:val="000000"/>
          <w:kern w:val="2"/>
          <w14:ligatures w14:val="standardContextual"/>
        </w:rPr>
      </w:pPr>
      <w:r w:rsidRPr="00F217FD">
        <w:rPr>
          <w:rFonts w:ascii="Verdana" w:eastAsia="Arial" w:hAnsi="Verdana" w:cs="Arial"/>
          <w:color w:val="000000"/>
          <w:kern w:val="2"/>
          <w14:ligatures w14:val="standardContextual"/>
        </w:rPr>
        <w:t>La decisión de rechazar,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738610EB" w14:textId="77777777" w:rsidR="007F0535" w:rsidRPr="00F217FD" w:rsidRDefault="007F0535" w:rsidP="007F0535">
      <w:pPr>
        <w:spacing w:after="0" w:line="276" w:lineRule="auto"/>
        <w:ind w:left="720"/>
        <w:contextualSpacing/>
        <w:jc w:val="both"/>
        <w:rPr>
          <w:rFonts w:ascii="Verdana" w:eastAsia="Calibri" w:hAnsi="Verdana" w:cs="Arial"/>
          <w:kern w:val="2"/>
          <w:lang w:val="es-ES_tradnl"/>
          <w14:ligatures w14:val="standardContextual"/>
        </w:rPr>
      </w:pPr>
    </w:p>
    <w:p w14:paraId="2B9259E1" w14:textId="77777777" w:rsidR="007F0535" w:rsidRDefault="007F0535" w:rsidP="007F0535">
      <w:pPr>
        <w:numPr>
          <w:ilvl w:val="0"/>
          <w:numId w:val="6"/>
        </w:numPr>
        <w:spacing w:after="0" w:line="276" w:lineRule="auto"/>
        <w:contextualSpacing/>
        <w:jc w:val="both"/>
        <w:rPr>
          <w:rFonts w:ascii="Verdana" w:eastAsia="Calibri" w:hAnsi="Verdana" w:cs="Arial"/>
          <w:kern w:val="2"/>
          <w:lang w:val="es-ES"/>
          <w14:ligatures w14:val="standardContextual"/>
        </w:rPr>
      </w:pPr>
      <w:r>
        <w:rPr>
          <w:rFonts w:ascii="Verdana" w:eastAsia="Calibri" w:hAnsi="Verdana" w:cs="Arial"/>
          <w:kern w:val="2"/>
          <w:lang w:val="es-ES"/>
          <w14:ligatures w14:val="standardContextual"/>
        </w:rPr>
        <w:lastRenderedPageBreak/>
        <w:t xml:space="preserve">No obstante no enunciado en el presente concepto, es menester indicar que tanto </w:t>
      </w:r>
      <w:proofErr w:type="gramStart"/>
      <w:r>
        <w:rPr>
          <w:rFonts w:ascii="Verdana" w:eastAsia="Calibri" w:hAnsi="Verdana" w:cs="Arial"/>
          <w:kern w:val="2"/>
          <w:lang w:val="es-ES"/>
          <w14:ligatures w14:val="standardContextual"/>
        </w:rPr>
        <w:t>la entidad pública a través de los pliegos de condiciones deben</w:t>
      </w:r>
      <w:proofErr w:type="gramEnd"/>
      <w:r>
        <w:rPr>
          <w:rFonts w:ascii="Verdana" w:eastAsia="Calibri" w:hAnsi="Verdana" w:cs="Arial"/>
          <w:kern w:val="2"/>
          <w:lang w:val="es-ES"/>
          <w14:ligatures w14:val="standardContextual"/>
        </w:rPr>
        <w:t xml:space="preserve"> ser claras en la debida utilización de la plataforma Secop II y la modalidad de presentación de la oferta económica, como deben lo oferentes previa a la presentación de sus ofertas económicas y requisitos habilitantes validar el correcto uso de la plataforma dispuesta para tal fin.</w:t>
      </w:r>
    </w:p>
    <w:p w14:paraId="637805D2" w14:textId="77777777" w:rsidR="007F0535" w:rsidRDefault="007F0535" w:rsidP="007F0535">
      <w:pPr>
        <w:pStyle w:val="Prrafodelista"/>
        <w:rPr>
          <w:rFonts w:ascii="Verdana" w:eastAsia="Calibri" w:hAnsi="Verdana" w:cs="Arial"/>
          <w:kern w:val="2"/>
          <w14:ligatures w14:val="standardContextual"/>
        </w:rPr>
      </w:pPr>
    </w:p>
    <w:p w14:paraId="76959165" w14:textId="77777777" w:rsidR="007F0535" w:rsidRPr="00F217FD" w:rsidRDefault="007F0535" w:rsidP="007F0535">
      <w:pPr>
        <w:numPr>
          <w:ilvl w:val="0"/>
          <w:numId w:val="6"/>
        </w:numPr>
        <w:spacing w:after="0" w:line="276" w:lineRule="auto"/>
        <w:contextualSpacing/>
        <w:jc w:val="both"/>
        <w:rPr>
          <w:rFonts w:ascii="Verdana" w:eastAsia="Calibri" w:hAnsi="Verdana" w:cs="Arial"/>
          <w:kern w:val="2"/>
          <w:lang w:val="es-ES"/>
          <w14:ligatures w14:val="standardContextual"/>
        </w:rPr>
      </w:pPr>
      <w:r>
        <w:rPr>
          <w:rFonts w:ascii="Verdana" w:eastAsia="Calibri" w:hAnsi="Verdana" w:cs="Arial"/>
          <w:kern w:val="2"/>
          <w:lang w:val="es-ES"/>
          <w14:ligatures w14:val="standardContextual"/>
        </w:rPr>
        <w:t xml:space="preserve">Ahora bien, se precisa que el precio ofertado en la modalidad de subasta </w:t>
      </w:r>
      <w:proofErr w:type="gramStart"/>
      <w:r>
        <w:rPr>
          <w:rFonts w:ascii="Verdana" w:eastAsia="Calibri" w:hAnsi="Verdana" w:cs="Arial"/>
          <w:kern w:val="2"/>
          <w:lang w:val="es-ES"/>
          <w14:ligatures w14:val="standardContextual"/>
        </w:rPr>
        <w:t>inversa,</w:t>
      </w:r>
      <w:proofErr w:type="gramEnd"/>
      <w:r>
        <w:rPr>
          <w:rFonts w:ascii="Verdana" w:eastAsia="Calibri" w:hAnsi="Verdana" w:cs="Arial"/>
          <w:kern w:val="2"/>
          <w:lang w:val="es-ES"/>
          <w14:ligatures w14:val="standardContextual"/>
        </w:rPr>
        <w:t xml:space="preserve"> no constituye en </w:t>
      </w:r>
      <w:proofErr w:type="spellStart"/>
      <w:r>
        <w:rPr>
          <w:rFonts w:ascii="Verdana" w:eastAsia="Calibri" w:hAnsi="Verdana" w:cs="Arial"/>
          <w:kern w:val="2"/>
          <w:lang w:val="es-ES"/>
          <w14:ligatures w14:val="standardContextual"/>
        </w:rPr>
        <w:t>si</w:t>
      </w:r>
      <w:proofErr w:type="spellEnd"/>
      <w:r>
        <w:rPr>
          <w:rFonts w:ascii="Verdana" w:eastAsia="Calibri" w:hAnsi="Verdana" w:cs="Arial"/>
          <w:kern w:val="2"/>
          <w:lang w:val="es-ES"/>
          <w14:ligatures w14:val="standardContextual"/>
        </w:rPr>
        <w:t xml:space="preserve"> mismo el valor por el cual será adjudicado el contrato, ya que se debe cumplir el evento de subasta el cual podría variar con respecto a la oferta presentada, salvo aquellos eventos en que haya solo un oferente o que los oferentes no presenten lances durante el evento de subasta, caso en cual se determinará adjudicar al mejor precio ofrecido.</w:t>
      </w:r>
    </w:p>
    <w:p w14:paraId="463F29E8" w14:textId="77777777" w:rsidR="007F0535" w:rsidRPr="00F217FD" w:rsidRDefault="007F0535" w:rsidP="007F0535">
      <w:pPr>
        <w:spacing w:after="0" w:line="276" w:lineRule="auto"/>
        <w:ind w:left="720"/>
        <w:contextualSpacing/>
        <w:jc w:val="both"/>
        <w:rPr>
          <w:rFonts w:ascii="Verdana" w:eastAsia="Calibri" w:hAnsi="Verdana" w:cs="Arial"/>
          <w:kern w:val="2"/>
          <w:lang w:val="es-ES_tradnl"/>
          <w14:ligatures w14:val="standardContextual"/>
        </w:rPr>
      </w:pPr>
    </w:p>
    <w:p w14:paraId="3B7B4B86" w14:textId="77777777" w:rsidR="007F0535" w:rsidRPr="000E355A" w:rsidRDefault="007F0535" w:rsidP="007F0535">
      <w:pPr>
        <w:spacing w:after="0" w:line="276" w:lineRule="auto"/>
        <w:jc w:val="both"/>
        <w:rPr>
          <w:rFonts w:ascii="Verdana" w:eastAsia="Calibri" w:hAnsi="Verdana" w:cs="Arial"/>
          <w:lang w:val="es-ES_tradnl"/>
        </w:rPr>
      </w:pPr>
    </w:p>
    <w:p w14:paraId="669F1008" w14:textId="77777777" w:rsidR="007F0535" w:rsidRPr="00593A5F" w:rsidRDefault="007F0535" w:rsidP="007F053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r>
        <w:rPr>
          <w:rFonts w:ascii="Verdana" w:eastAsia="Century Gothic" w:hAnsi="Verdana" w:cs="Century Gothic"/>
          <w:b/>
          <w:bCs/>
        </w:rPr>
        <w:t xml:space="preserve"> y jurisprudenciales</w:t>
      </w:r>
      <w:r w:rsidRPr="00593A5F">
        <w:rPr>
          <w:rFonts w:ascii="Verdana" w:eastAsia="Century Gothic" w:hAnsi="Verdana" w:cs="Century Gothic"/>
          <w:b/>
          <w:bCs/>
        </w:rPr>
        <w:t>:</w:t>
      </w:r>
    </w:p>
    <w:p w14:paraId="3A0FF5F2" w14:textId="77777777" w:rsidR="007F0535" w:rsidRPr="00593A5F" w:rsidRDefault="007F0535" w:rsidP="007F0535">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F0535" w:rsidRPr="002407CE" w14:paraId="01A33B40" w14:textId="77777777" w:rsidTr="00C77973">
        <w:trPr>
          <w:trHeight w:val="870"/>
          <w:jc w:val="center"/>
        </w:trPr>
        <w:tc>
          <w:tcPr>
            <w:tcW w:w="8647" w:type="dxa"/>
          </w:tcPr>
          <w:p w14:paraId="1491B074" w14:textId="77777777" w:rsidR="007F0535" w:rsidRPr="00FB5A88" w:rsidRDefault="007F0535" w:rsidP="00C77973">
            <w:pPr>
              <w:pStyle w:val="Prrafodelista"/>
              <w:numPr>
                <w:ilvl w:val="0"/>
                <w:numId w:val="2"/>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Artículo 25.15, 30.7.8 Ley 80 De 1993</w:t>
            </w:r>
          </w:p>
          <w:p w14:paraId="5630AD66" w14:textId="77777777" w:rsidR="007F0535" w:rsidRPr="00FB5A88" w:rsidRDefault="007F0535" w:rsidP="00C77973">
            <w:pPr>
              <w:pStyle w:val="Prrafodelista"/>
              <w:rPr>
                <w:rFonts w:ascii="Verdana" w:eastAsia="Times New Roman" w:hAnsi="Verdana" w:cs="Arial"/>
                <w:color w:val="000000" w:themeColor="text1"/>
              </w:rPr>
            </w:pPr>
          </w:p>
          <w:p w14:paraId="19C28EFA" w14:textId="77777777" w:rsidR="007F0535" w:rsidRPr="00FB5A88" w:rsidRDefault="007F0535" w:rsidP="00C77973">
            <w:pPr>
              <w:pStyle w:val="Prrafodelista"/>
              <w:numPr>
                <w:ilvl w:val="0"/>
                <w:numId w:val="2"/>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Artículo 5 De La Ley 1150 De 2007</w:t>
            </w:r>
          </w:p>
          <w:p w14:paraId="61829076" w14:textId="77777777" w:rsidR="007F0535" w:rsidRPr="00FB5A88" w:rsidRDefault="007F0535" w:rsidP="00C77973">
            <w:pPr>
              <w:pStyle w:val="Prrafodelista"/>
              <w:rPr>
                <w:rFonts w:ascii="Verdana" w:eastAsia="Times New Roman" w:hAnsi="Verdana" w:cs="Arial"/>
                <w:color w:val="000000" w:themeColor="text1"/>
              </w:rPr>
            </w:pPr>
          </w:p>
          <w:p w14:paraId="7FF8A039" w14:textId="77777777" w:rsidR="007F0535" w:rsidRPr="00FB5A88" w:rsidRDefault="007F0535" w:rsidP="00C77973">
            <w:pPr>
              <w:pStyle w:val="Prrafodelista"/>
              <w:numPr>
                <w:ilvl w:val="0"/>
                <w:numId w:val="2"/>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Artículo 5 Ley 1882 De 2018</w:t>
            </w:r>
          </w:p>
          <w:p w14:paraId="2BA226A1" w14:textId="77777777" w:rsidR="007F0535" w:rsidRPr="00FB5A88" w:rsidRDefault="007F0535" w:rsidP="00C77973">
            <w:pPr>
              <w:pStyle w:val="Prrafodelista"/>
              <w:rPr>
                <w:rFonts w:ascii="Verdana" w:eastAsia="Times New Roman" w:hAnsi="Verdana" w:cs="Arial"/>
                <w:color w:val="000000" w:themeColor="text1"/>
              </w:rPr>
            </w:pPr>
          </w:p>
          <w:p w14:paraId="7D6D04D9" w14:textId="77777777" w:rsidR="007F0535" w:rsidRPr="00FB5A88" w:rsidRDefault="007F0535" w:rsidP="00C77973">
            <w:pPr>
              <w:pStyle w:val="Prrafodelista"/>
              <w:numPr>
                <w:ilvl w:val="0"/>
                <w:numId w:val="2"/>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Artículo 35 De La Ley 2069 De 2020</w:t>
            </w:r>
          </w:p>
          <w:p w14:paraId="17AD93B2" w14:textId="77777777" w:rsidR="007F0535" w:rsidRPr="00FB5A88" w:rsidRDefault="007F0535" w:rsidP="00C77973">
            <w:pPr>
              <w:pStyle w:val="Prrafodelista"/>
              <w:rPr>
                <w:rFonts w:ascii="Verdana" w:eastAsia="Times New Roman" w:hAnsi="Verdana" w:cs="Arial"/>
                <w:color w:val="000000" w:themeColor="text1"/>
              </w:rPr>
            </w:pPr>
          </w:p>
          <w:p w14:paraId="0DE4B5B7" w14:textId="77777777" w:rsidR="007F0535" w:rsidRPr="00FB5A88" w:rsidRDefault="007F0535" w:rsidP="00C77973">
            <w:pPr>
              <w:pStyle w:val="Prrafodelista"/>
              <w:rPr>
                <w:rFonts w:ascii="Verdana" w:eastAsia="Times New Roman" w:hAnsi="Verdana" w:cs="Arial"/>
                <w:color w:val="000000" w:themeColor="text1"/>
              </w:rPr>
            </w:pPr>
          </w:p>
          <w:p w14:paraId="024AE73B" w14:textId="77777777" w:rsidR="007F0535" w:rsidRPr="00FB5A88" w:rsidRDefault="007F0535" w:rsidP="00C77973">
            <w:pPr>
              <w:pStyle w:val="Prrafodelista"/>
              <w:numPr>
                <w:ilvl w:val="0"/>
                <w:numId w:val="2"/>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Consejo De Estado. Sala De Consulta Y Servicio Civil. Concepto Del 20 De Mayo De 2010. No. De Radicado: 11001-03-06-000-2010-00034-00(1992). C.P. Enrique José Arboleda Perdomo.</w:t>
            </w:r>
          </w:p>
          <w:p w14:paraId="66204FF1" w14:textId="77777777" w:rsidR="007F0535" w:rsidRPr="00FB5A88" w:rsidRDefault="007F0535" w:rsidP="00C77973">
            <w:pPr>
              <w:pStyle w:val="Prrafodelista"/>
              <w:rPr>
                <w:rFonts w:ascii="Verdana" w:eastAsia="Times New Roman" w:hAnsi="Verdana" w:cs="Arial"/>
                <w:color w:val="000000" w:themeColor="text1"/>
              </w:rPr>
            </w:pPr>
          </w:p>
          <w:p w14:paraId="62AEE03E" w14:textId="77777777" w:rsidR="007F0535" w:rsidRPr="00FB5A88" w:rsidRDefault="007F0535" w:rsidP="00C77973">
            <w:pPr>
              <w:pStyle w:val="Prrafodelista"/>
              <w:numPr>
                <w:ilvl w:val="0"/>
                <w:numId w:val="2"/>
              </w:numPr>
              <w:spacing w:after="0" w:line="240" w:lineRule="auto"/>
              <w:rPr>
                <w:rFonts w:ascii="Verdana" w:eastAsia="Times New Roman" w:hAnsi="Verdana" w:cs="Arial"/>
                <w:color w:val="000000" w:themeColor="text1"/>
              </w:rPr>
            </w:pPr>
            <w:r w:rsidRPr="00FB5A88">
              <w:rPr>
                <w:rFonts w:ascii="Verdana" w:eastAsia="Times New Roman" w:hAnsi="Verdana" w:cs="Arial"/>
                <w:color w:val="000000" w:themeColor="text1"/>
              </w:rPr>
              <w:t>Consejo De Estado. Sección Tercera. Subsección C. Sentencia Del 26 De Febrero De 2014. Expediente: 25.804. Consejero Ponente: Enrique Gil Botero.</w:t>
            </w:r>
          </w:p>
          <w:p w14:paraId="2DBF0D7D" w14:textId="77777777" w:rsidR="007F0535" w:rsidRPr="00FB5A88" w:rsidRDefault="007F0535" w:rsidP="00C77973">
            <w:pPr>
              <w:pStyle w:val="Prrafodelista"/>
              <w:rPr>
                <w:rFonts w:ascii="Verdana" w:eastAsia="Times New Roman" w:hAnsi="Verdana" w:cs="Arial"/>
                <w:color w:val="000000" w:themeColor="text1"/>
              </w:rPr>
            </w:pPr>
          </w:p>
          <w:p w14:paraId="46156F23" w14:textId="77777777" w:rsidR="007F0535" w:rsidRPr="005669A1" w:rsidRDefault="007F0535" w:rsidP="00C77973">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FB5A88">
              <w:rPr>
                <w:rFonts w:ascii="Verdana" w:eastAsia="Times New Roman" w:hAnsi="Verdana" w:cs="Arial"/>
                <w:color w:val="000000" w:themeColor="text1"/>
              </w:rPr>
              <w:t xml:space="preserve">Consejo </w:t>
            </w:r>
            <w:r>
              <w:rPr>
                <w:rFonts w:ascii="Verdana" w:eastAsia="Times New Roman" w:hAnsi="Verdana" w:cs="Arial"/>
                <w:color w:val="000000" w:themeColor="text1"/>
              </w:rPr>
              <w:t>d</w:t>
            </w:r>
            <w:r w:rsidRPr="00FB5A88">
              <w:rPr>
                <w:rFonts w:ascii="Verdana" w:eastAsia="Times New Roman" w:hAnsi="Verdana" w:cs="Arial"/>
                <w:color w:val="000000" w:themeColor="text1"/>
              </w:rPr>
              <w:t xml:space="preserve">e Estado Sala </w:t>
            </w:r>
            <w:r>
              <w:rPr>
                <w:rFonts w:ascii="Verdana" w:eastAsia="Times New Roman" w:hAnsi="Verdana" w:cs="Arial"/>
                <w:color w:val="000000" w:themeColor="text1"/>
              </w:rPr>
              <w:t>d</w:t>
            </w:r>
            <w:r w:rsidRPr="00FB5A88">
              <w:rPr>
                <w:rFonts w:ascii="Verdana" w:eastAsia="Times New Roman" w:hAnsi="Verdana" w:cs="Arial"/>
                <w:color w:val="000000" w:themeColor="text1"/>
              </w:rPr>
              <w:t xml:space="preserve">e </w:t>
            </w:r>
            <w:r>
              <w:rPr>
                <w:rFonts w:ascii="Verdana" w:eastAsia="Times New Roman" w:hAnsi="Verdana" w:cs="Arial"/>
                <w:color w:val="000000" w:themeColor="text1"/>
              </w:rPr>
              <w:t>l</w:t>
            </w:r>
            <w:r w:rsidRPr="00FB5A88">
              <w:rPr>
                <w:rFonts w:ascii="Verdana" w:eastAsia="Times New Roman" w:hAnsi="Verdana" w:cs="Arial"/>
                <w:color w:val="000000" w:themeColor="text1"/>
              </w:rPr>
              <w:t>o Contencioso Administrativo Sección Tercera – Subsección Sentencia De Fecha Dos (2) De Agosto De Dos Mil Veinticuatro (2024). Radicado N° 70.597</w:t>
            </w:r>
          </w:p>
        </w:tc>
      </w:tr>
    </w:tbl>
    <w:p w14:paraId="6B62F1B3" w14:textId="77777777" w:rsidR="007F0535" w:rsidRPr="002407CE" w:rsidRDefault="007F0535" w:rsidP="007F0535">
      <w:pPr>
        <w:widowControl w:val="0"/>
        <w:autoSpaceDE w:val="0"/>
        <w:autoSpaceDN w:val="0"/>
        <w:spacing w:after="0" w:line="276" w:lineRule="auto"/>
        <w:jc w:val="both"/>
        <w:rPr>
          <w:rFonts w:ascii="Verdana" w:hAnsi="Verdana" w:cs="Arial"/>
        </w:rPr>
      </w:pPr>
    </w:p>
    <w:p w14:paraId="30620593" w14:textId="77777777" w:rsidR="007F0535" w:rsidRPr="00593A5F" w:rsidRDefault="007F0535" w:rsidP="007F0535">
      <w:pPr>
        <w:pStyle w:val="Prrafodelista"/>
        <w:numPr>
          <w:ilvl w:val="0"/>
          <w:numId w:val="1"/>
        </w:numPr>
        <w:tabs>
          <w:tab w:val="left" w:pos="142"/>
          <w:tab w:val="left" w:pos="284"/>
        </w:tabs>
        <w:spacing w:after="0" w:line="276" w:lineRule="auto"/>
        <w:ind w:left="142" w:firstLine="142"/>
        <w:contextualSpacing w:val="0"/>
        <w:jc w:val="both"/>
        <w:rPr>
          <w:rFonts w:ascii="Verdana" w:eastAsia="Century Gothic" w:hAnsi="Verdana" w:cs="Century Gothic"/>
          <w:b/>
          <w:bCs/>
        </w:rPr>
      </w:pPr>
      <w:r>
        <w:rPr>
          <w:rFonts w:ascii="Verdana" w:eastAsia="Century Gothic" w:hAnsi="Verdana" w:cs="Century Gothic"/>
          <w:b/>
          <w:bCs/>
        </w:rPr>
        <w:lastRenderedPageBreak/>
        <w:t>Doctrina de la Agencia Nacional de Contratación Pública</w:t>
      </w:r>
      <w:r w:rsidRPr="00593A5F">
        <w:rPr>
          <w:rFonts w:ascii="Verdana" w:eastAsia="Century Gothic" w:hAnsi="Verdana" w:cs="Century Gothic"/>
          <w:b/>
          <w:bCs/>
        </w:rPr>
        <w:t>:</w:t>
      </w:r>
    </w:p>
    <w:p w14:paraId="02F2C34E" w14:textId="77777777" w:rsidR="007F0535" w:rsidRPr="00593A5F" w:rsidRDefault="007F0535" w:rsidP="007F0535">
      <w:pPr>
        <w:widowControl w:val="0"/>
        <w:autoSpaceDE w:val="0"/>
        <w:autoSpaceDN w:val="0"/>
        <w:spacing w:after="0" w:line="276" w:lineRule="auto"/>
        <w:jc w:val="both"/>
        <w:rPr>
          <w:rFonts w:ascii="Verdana" w:hAnsi="Verdana" w:cs="Arial"/>
        </w:rPr>
      </w:pPr>
    </w:p>
    <w:p w14:paraId="75EB2AB3" w14:textId="77777777" w:rsidR="007F0535" w:rsidRDefault="007F0535" w:rsidP="007F0535">
      <w:pPr>
        <w:spacing w:after="120" w:line="276" w:lineRule="auto"/>
        <w:jc w:val="both"/>
        <w:rPr>
          <w:rStyle w:val="normaltextrun"/>
          <w:rFonts w:ascii="Verdana" w:eastAsia="Calibri" w:hAnsi="Verdana" w:cs="Arial"/>
          <w:lang w:val="es-ES" w:eastAsia="es-ES"/>
        </w:rPr>
      </w:pPr>
      <w:r w:rsidRPr="00F217FD">
        <w:rPr>
          <w:rFonts w:ascii="Verdana" w:eastAsia="Calibri" w:hAnsi="Verdana" w:cs="Arial"/>
          <w:shd w:val="clear" w:color="auto" w:fill="FFFFFF"/>
          <w:lang w:val="es-ES"/>
        </w:rPr>
        <w:t xml:space="preserve">La Agencia Nacional de Contratación Pública − Colombia Compra Eficiente se pronunció sobre las causales de rechazo incorporadas en los pliegos de condiciones, en los conceptos 2201913000007117 del 25 de septiembre de 2019, 2201913000009538 del 23 de diciembre de 2019, C- 716 del 30 de octubre de 2020, C-096 del 24 de marzo de 2021, C-056 del 20 de abril de 2021, C-078 del 15 de marzo de 2022, C-321 del 17 de mayo de 2022, C-113 del 22 de marzo de 2022, C-178, C-186 del 12 de abril de 2022, C-406 del 2 de octubre de 2023, </w:t>
      </w:r>
      <w:r>
        <w:rPr>
          <w:rFonts w:ascii="Verdana" w:eastAsia="Calibri" w:hAnsi="Verdana" w:cs="Arial"/>
          <w:shd w:val="clear" w:color="auto" w:fill="FFFFFF"/>
          <w:lang w:val="es-ES"/>
        </w:rPr>
        <w:t>C-128 del 2 de agosto de 2024,</w:t>
      </w:r>
      <w:r w:rsidRPr="004A4C94">
        <w:rPr>
          <w:rStyle w:val="normaltextrun"/>
          <w:rFonts w:ascii="Verdana" w:hAnsi="Verdana" w:cs="Arial"/>
          <w:color w:val="000000" w:themeColor="text1"/>
          <w:shd w:val="clear" w:color="auto" w:fill="FFFFFF"/>
          <w:lang w:val="es-ES"/>
        </w:rPr>
        <w:t xml:space="preserve">. </w:t>
      </w:r>
      <w:r w:rsidRPr="00F938D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F938DD">
        <w:rPr>
          <w:rFonts w:ascii="Verdana" w:hAnsi="Verdana"/>
        </w:rPr>
        <w:t>, al cual se puede acceder a través del siguiente enlace:</w:t>
      </w:r>
      <w:r w:rsidRPr="00F938DD">
        <w:rPr>
          <w:rFonts w:ascii="Verdana" w:eastAsia="Calibri" w:hAnsi="Verdana" w:cs="Arial"/>
          <w:lang w:eastAsia="es-ES"/>
        </w:rPr>
        <w:t xml:space="preserve"> </w:t>
      </w:r>
      <w:hyperlink r:id="rId12" w:history="1">
        <w:r w:rsidRPr="00F938DD">
          <w:rPr>
            <w:rStyle w:val="Hipervnculo"/>
            <w:rFonts w:ascii="Verdana" w:hAnsi="Verdana" w:cs="Arial"/>
            <w:shd w:val="clear" w:color="auto" w:fill="FFFFFF"/>
            <w:lang w:val="es-ES"/>
          </w:rPr>
          <w:t>https://relatoria.colombiacompra.gov.co/busqueda/conceptos</w:t>
        </w:r>
      </w:hyperlink>
    </w:p>
    <w:p w14:paraId="680A4E5D" w14:textId="77777777" w:rsidR="007F0535" w:rsidRPr="00C70836" w:rsidRDefault="007F0535" w:rsidP="007F0535">
      <w:pPr>
        <w:spacing w:after="120" w:line="276" w:lineRule="auto"/>
        <w:jc w:val="both"/>
        <w:rPr>
          <w:rFonts w:ascii="Verdana" w:eastAsia="Calibri" w:hAnsi="Verdana" w:cs="Arial"/>
          <w:lang w:val="es-ES" w:eastAsia="es-ES"/>
        </w:rPr>
      </w:pPr>
    </w:p>
    <w:p w14:paraId="21E9694F" w14:textId="77777777" w:rsidR="007F0535" w:rsidRDefault="007F0535" w:rsidP="007F0535">
      <w:pPr>
        <w:spacing w:after="120" w:line="276" w:lineRule="auto"/>
        <w:jc w:val="both"/>
        <w:rPr>
          <w:rFonts w:ascii="Verdana" w:hAnsi="Verdana"/>
          <w:color w:val="000000"/>
          <w:bdr w:val="none" w:sz="0" w:space="0" w:color="auto" w:frame="1"/>
        </w:rPr>
      </w:pPr>
      <w:r w:rsidRPr="00CE3EBE">
        <w:rPr>
          <w:rFonts w:ascii="Verdana" w:hAnsi="Verdana"/>
          <w:color w:val="000000"/>
          <w:bdr w:val="none" w:sz="0" w:space="0" w:color="auto" w:frame="1"/>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CE3EBE">
          <w:rPr>
            <w:rStyle w:val="Hipervnculo"/>
            <w:rFonts w:ascii="Verdana" w:hAnsi="Verdana"/>
            <w:bdr w:val="none" w:sz="0" w:space="0" w:color="auto" w:frame="1"/>
          </w:rPr>
          <w:t>manual_para_el_manejo_de_acuerdos_comerciales_vf.pdf</w:t>
        </w:r>
      </w:hyperlink>
    </w:p>
    <w:p w14:paraId="6E7BEAA2" w14:textId="77777777" w:rsidR="007F0535" w:rsidRPr="007F0535" w:rsidRDefault="007F0535" w:rsidP="007F0535">
      <w:pPr>
        <w:spacing w:after="120" w:line="276" w:lineRule="auto"/>
        <w:jc w:val="both"/>
        <w:rPr>
          <w:rFonts w:ascii="Verdana" w:hAnsi="Verdana"/>
          <w:color w:val="000000"/>
          <w:bdr w:val="none" w:sz="0" w:space="0" w:color="auto" w:frame="1"/>
        </w:rPr>
      </w:pPr>
      <w:r w:rsidRPr="007F0535">
        <w:rPr>
          <w:rFonts w:ascii="Verdana" w:hAnsi="Verdana"/>
          <w:color w:val="000000"/>
          <w:bdr w:val="none" w:sz="0" w:space="0" w:color="auto" w:frame="1"/>
        </w:rPr>
        <w:t> </w:t>
      </w:r>
    </w:p>
    <w:p w14:paraId="5731FBA8" w14:textId="77777777" w:rsidR="007F0535" w:rsidRPr="00CE3EBE" w:rsidRDefault="007F0535" w:rsidP="007F0535">
      <w:pPr>
        <w:spacing w:after="120" w:line="276" w:lineRule="auto"/>
        <w:jc w:val="both"/>
        <w:rPr>
          <w:rFonts w:ascii="Verdana" w:hAnsi="Verdana"/>
          <w:color w:val="000000"/>
          <w:bdr w:val="none" w:sz="0" w:space="0" w:color="auto" w:frame="1"/>
        </w:rPr>
      </w:pPr>
      <w:r w:rsidRPr="00CE3EBE">
        <w:rPr>
          <w:rFonts w:ascii="Verdana" w:hAnsi="Verdana"/>
          <w:color w:val="000000"/>
          <w:bdr w:val="none" w:sz="0" w:space="0" w:color="auto" w:frame="1"/>
        </w:rPr>
        <w:t>También le invitamos a consultar la versión VII  de 2024 , del Boletín de Relatoría de la Subdirección de Gestión Contractual relacionado con las ASOCIACIONES PÚBLICO POPULARES , el cual se puede descargar en la página web de la Agencia: </w:t>
      </w:r>
      <w:hyperlink r:id="rId14" w:tgtFrame="_blank" w:tooltip="Dirección URL original: https://www.colombiacompra.gov.co/sala-de-prensa/boletin-digital. Haga clic o pulse si confía en este vínculo." w:history="1">
        <w:r w:rsidRPr="00CE3EBE">
          <w:rPr>
            <w:rStyle w:val="Hipervnculo"/>
            <w:rFonts w:ascii="Verdana" w:hAnsi="Verdana"/>
            <w:bdr w:val="none" w:sz="0" w:space="0" w:color="auto" w:frame="1"/>
          </w:rPr>
          <w:t>https://www.colombiacompra.gov.co/sala-de-prensa/boletin-digital</w:t>
        </w:r>
      </w:hyperlink>
      <w:r w:rsidRPr="00CE3EBE">
        <w:rPr>
          <w:rFonts w:ascii="Verdana" w:hAnsi="Verdana"/>
          <w:color w:val="000000"/>
          <w:bdr w:val="none" w:sz="0" w:space="0" w:color="auto" w:frame="1"/>
        </w:rPr>
        <w:t> </w:t>
      </w:r>
    </w:p>
    <w:p w14:paraId="19219836" w14:textId="77777777" w:rsidR="007F0535" w:rsidRPr="00F938DD" w:rsidRDefault="007F0535" w:rsidP="007F0535">
      <w:pPr>
        <w:widowControl w:val="0"/>
        <w:autoSpaceDE w:val="0"/>
        <w:autoSpaceDN w:val="0"/>
        <w:spacing w:after="0" w:line="276" w:lineRule="auto"/>
        <w:jc w:val="both"/>
        <w:rPr>
          <w:rFonts w:ascii="Verdana" w:hAnsi="Verdana"/>
        </w:rPr>
      </w:pPr>
      <w:r>
        <w:rPr>
          <w:rFonts w:ascii="Verdana" w:hAnsi="Verdana"/>
        </w:rPr>
        <w:br/>
      </w:r>
    </w:p>
    <w:p w14:paraId="3D4879B8" w14:textId="77777777" w:rsidR="007F0535" w:rsidRPr="00F938DD" w:rsidRDefault="007F0535" w:rsidP="007F0535">
      <w:pPr>
        <w:spacing w:after="0" w:line="240" w:lineRule="auto"/>
        <w:jc w:val="both"/>
        <w:rPr>
          <w:rFonts w:ascii="Verdana" w:hAnsi="Verdana"/>
        </w:rPr>
      </w:pPr>
      <w:r w:rsidRPr="00F938DD">
        <w:rPr>
          <w:rFonts w:ascii="Verdana" w:hAnsi="Verdana"/>
        </w:rPr>
        <w:t xml:space="preserve">Por último, lo invitamos a seguirnos en las redes sociales en las cuales se difunde información institucional: </w:t>
      </w:r>
    </w:p>
    <w:p w14:paraId="296FEF7D" w14:textId="77777777" w:rsidR="007F0535" w:rsidRPr="00F938DD" w:rsidRDefault="007F0535" w:rsidP="007F0535">
      <w:pPr>
        <w:spacing w:after="0" w:line="240" w:lineRule="auto"/>
        <w:jc w:val="both"/>
        <w:rPr>
          <w:rFonts w:ascii="Verdana" w:hAnsi="Verdana"/>
        </w:rPr>
      </w:pPr>
    </w:p>
    <w:p w14:paraId="5661F03B" w14:textId="77777777" w:rsidR="007F0535" w:rsidRPr="00F938DD" w:rsidRDefault="007F0535" w:rsidP="007F0535">
      <w:pPr>
        <w:spacing w:after="0" w:line="240" w:lineRule="auto"/>
        <w:jc w:val="both"/>
        <w:rPr>
          <w:rFonts w:ascii="Verdana" w:hAnsi="Verdana"/>
        </w:rPr>
      </w:pPr>
      <w:r w:rsidRPr="00F938DD">
        <w:rPr>
          <w:rFonts w:ascii="Verdana" w:hAnsi="Verdana"/>
        </w:rPr>
        <w:t xml:space="preserve">Twitter: </w:t>
      </w:r>
      <w:r w:rsidRPr="00F938DD">
        <w:rPr>
          <w:rStyle w:val="Hipervnculo"/>
          <w:rFonts w:ascii="Verdana" w:hAnsi="Verdana"/>
          <w:color w:val="4472C4" w:themeColor="accent1"/>
        </w:rPr>
        <w:t>@colombiacompra</w:t>
      </w:r>
      <w:r w:rsidRPr="00F938DD">
        <w:rPr>
          <w:rFonts w:ascii="Verdana" w:hAnsi="Verdana"/>
          <w:color w:val="4472C4" w:themeColor="accent1"/>
        </w:rPr>
        <w:t xml:space="preserve"> </w:t>
      </w:r>
    </w:p>
    <w:p w14:paraId="731B25F9" w14:textId="77777777" w:rsidR="007F0535" w:rsidRPr="00F938DD" w:rsidRDefault="007F0535" w:rsidP="007F0535">
      <w:pPr>
        <w:spacing w:after="0" w:line="240" w:lineRule="auto"/>
        <w:jc w:val="both"/>
        <w:rPr>
          <w:rFonts w:ascii="Verdana" w:hAnsi="Verdana"/>
        </w:rPr>
      </w:pPr>
      <w:r w:rsidRPr="00F938DD">
        <w:rPr>
          <w:rFonts w:ascii="Verdana" w:hAnsi="Verdana"/>
        </w:rPr>
        <w:t xml:space="preserve">Facebook: </w:t>
      </w:r>
      <w:r w:rsidRPr="00F938DD">
        <w:rPr>
          <w:rStyle w:val="Hipervnculo"/>
          <w:rFonts w:ascii="Verdana" w:hAnsi="Verdana"/>
          <w:color w:val="4472C4" w:themeColor="accent1"/>
        </w:rPr>
        <w:t>ColombiaCompraEficiente</w:t>
      </w:r>
    </w:p>
    <w:p w14:paraId="449C1D78" w14:textId="77777777" w:rsidR="007F0535" w:rsidRPr="00F938DD" w:rsidRDefault="007F0535" w:rsidP="007F0535">
      <w:pPr>
        <w:spacing w:after="0" w:line="240" w:lineRule="auto"/>
        <w:jc w:val="both"/>
        <w:rPr>
          <w:rFonts w:ascii="Verdana" w:hAnsi="Verdana"/>
        </w:rPr>
      </w:pPr>
      <w:r w:rsidRPr="00F938DD">
        <w:rPr>
          <w:rFonts w:ascii="Verdana" w:hAnsi="Verdana"/>
        </w:rPr>
        <w:t xml:space="preserve">LinkedIn: </w:t>
      </w:r>
      <w:r w:rsidRPr="00F938DD">
        <w:rPr>
          <w:rStyle w:val="Hipervnculo"/>
          <w:rFonts w:ascii="Verdana" w:hAnsi="Verdana"/>
          <w:color w:val="4472C4" w:themeColor="accent1"/>
        </w:rPr>
        <w:t>Agencia Nacional de Contratación Pública - Colombia Compra Eficiente</w:t>
      </w:r>
      <w:r w:rsidRPr="00F938DD">
        <w:rPr>
          <w:rFonts w:ascii="Verdana" w:hAnsi="Verdana"/>
          <w:color w:val="4472C4" w:themeColor="accent1"/>
        </w:rPr>
        <w:t xml:space="preserve"> </w:t>
      </w:r>
      <w:r w:rsidRPr="00F938DD">
        <w:rPr>
          <w:rFonts w:ascii="Verdana" w:hAnsi="Verdana"/>
        </w:rPr>
        <w:t xml:space="preserve">Instagram: </w:t>
      </w:r>
      <w:r w:rsidRPr="00F938DD">
        <w:rPr>
          <w:rStyle w:val="Hipervnculo"/>
          <w:rFonts w:ascii="Verdana" w:hAnsi="Verdana"/>
          <w:color w:val="4472C4" w:themeColor="accent1"/>
        </w:rPr>
        <w:t>@colombiacompraeficiente_cce</w:t>
      </w:r>
    </w:p>
    <w:p w14:paraId="7194DBDC" w14:textId="77777777" w:rsidR="007F0535" w:rsidRDefault="007F0535" w:rsidP="007F0535">
      <w:pPr>
        <w:widowControl w:val="0"/>
        <w:autoSpaceDE w:val="0"/>
        <w:autoSpaceDN w:val="0"/>
        <w:spacing w:after="0" w:line="276" w:lineRule="auto"/>
        <w:jc w:val="both"/>
        <w:rPr>
          <w:rFonts w:ascii="Verdana" w:hAnsi="Verdana" w:cs="Arial"/>
          <w:lang w:val="es-ES_tradnl"/>
        </w:rPr>
      </w:pPr>
    </w:p>
    <w:p w14:paraId="769D0D3C" w14:textId="77777777" w:rsidR="007F0535" w:rsidRPr="00AB152A" w:rsidRDefault="007F0535" w:rsidP="007F0535">
      <w:pPr>
        <w:widowControl w:val="0"/>
        <w:autoSpaceDE w:val="0"/>
        <w:autoSpaceDN w:val="0"/>
        <w:spacing w:after="0" w:line="276" w:lineRule="auto"/>
        <w:jc w:val="both"/>
        <w:rPr>
          <w:rFonts w:ascii="Verdana" w:hAnsi="Verdana" w:cs="Arial"/>
          <w:lang w:val="es-ES_tradnl"/>
        </w:rPr>
      </w:pPr>
    </w:p>
    <w:p w14:paraId="31F3F105" w14:textId="77777777" w:rsidR="007F0535" w:rsidRPr="00593A5F" w:rsidRDefault="007F0535" w:rsidP="007F0535">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54CD245A" w14:textId="77777777" w:rsidR="007F0535" w:rsidRPr="00593A5F" w:rsidRDefault="007F0535" w:rsidP="007F0535">
      <w:pPr>
        <w:widowControl w:val="0"/>
        <w:autoSpaceDE w:val="0"/>
        <w:autoSpaceDN w:val="0"/>
        <w:spacing w:after="0" w:line="276" w:lineRule="auto"/>
        <w:jc w:val="both"/>
        <w:rPr>
          <w:rFonts w:ascii="Verdana" w:hAnsi="Verdana" w:cs="Arial"/>
        </w:rPr>
      </w:pPr>
    </w:p>
    <w:p w14:paraId="653ACD62" w14:textId="77777777" w:rsidR="007F0535" w:rsidRPr="00593A5F" w:rsidRDefault="007F0535" w:rsidP="007F053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231BE67" w14:textId="77777777" w:rsidR="007F0535" w:rsidRPr="00593A5F" w:rsidRDefault="00C51AE6" w:rsidP="007F0535">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3C6E0F0B" wp14:editId="6544008C">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7F0535" w:rsidRPr="0011467B" w14:paraId="34088984" w14:textId="77777777" w:rsidTr="00C77973">
        <w:trPr>
          <w:trHeight w:val="409"/>
        </w:trPr>
        <w:tc>
          <w:tcPr>
            <w:tcW w:w="913" w:type="dxa"/>
            <w:tcBorders>
              <w:top w:val="nil"/>
              <w:left w:val="nil"/>
              <w:bottom w:val="nil"/>
              <w:right w:val="nil"/>
            </w:tcBorders>
            <w:vAlign w:val="center"/>
            <w:hideMark/>
          </w:tcPr>
          <w:p w14:paraId="3DA6583C" w14:textId="77777777" w:rsidR="007F0535" w:rsidRPr="0011467B" w:rsidRDefault="007F0535" w:rsidP="00C77973">
            <w:pPr>
              <w:spacing w:after="0"/>
              <w:jc w:val="both"/>
              <w:rPr>
                <w:rFonts w:ascii="Verdana" w:hAnsi="Verdana" w:cs="Arial"/>
                <w:sz w:val="16"/>
                <w:szCs w:val="16"/>
              </w:rPr>
            </w:pPr>
            <w:r w:rsidRPr="0011467B">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3EB4D786" w14:textId="77777777" w:rsidR="007F0535" w:rsidRPr="0011467B" w:rsidRDefault="007F0535" w:rsidP="00C77973">
            <w:pPr>
              <w:spacing w:after="0"/>
              <w:jc w:val="both"/>
              <w:rPr>
                <w:rFonts w:ascii="Verdana" w:hAnsi="Verdana" w:cs="Arial"/>
                <w:sz w:val="16"/>
                <w:szCs w:val="16"/>
              </w:rPr>
            </w:pPr>
            <w:proofErr w:type="spellStart"/>
            <w:r w:rsidRPr="0011467B">
              <w:rPr>
                <w:rFonts w:ascii="Verdana" w:hAnsi="Verdana" w:cs="Arial"/>
                <w:sz w:val="16"/>
                <w:szCs w:val="16"/>
              </w:rPr>
              <w:t>Jhonattan</w:t>
            </w:r>
            <w:proofErr w:type="spellEnd"/>
            <w:r w:rsidRPr="0011467B">
              <w:rPr>
                <w:rFonts w:ascii="Verdana" w:hAnsi="Verdana" w:cs="Arial"/>
                <w:sz w:val="16"/>
                <w:szCs w:val="16"/>
              </w:rPr>
              <w:t xml:space="preserve"> </w:t>
            </w:r>
            <w:proofErr w:type="spellStart"/>
            <w:r w:rsidRPr="0011467B">
              <w:rPr>
                <w:rFonts w:ascii="Verdana" w:hAnsi="Verdana" w:cs="Arial"/>
                <w:sz w:val="16"/>
                <w:szCs w:val="16"/>
              </w:rPr>
              <w:t>Gualdrón</w:t>
            </w:r>
            <w:proofErr w:type="spellEnd"/>
            <w:r w:rsidRPr="0011467B">
              <w:rPr>
                <w:rFonts w:ascii="Verdana" w:hAnsi="Verdana" w:cs="Arial"/>
                <w:sz w:val="16"/>
                <w:szCs w:val="16"/>
              </w:rPr>
              <w:t xml:space="preserve"> Salazar</w:t>
            </w:r>
          </w:p>
          <w:p w14:paraId="79C6BF81" w14:textId="77777777" w:rsidR="007F0535" w:rsidRPr="0011467B" w:rsidRDefault="007F0535" w:rsidP="00C77973">
            <w:pPr>
              <w:spacing w:after="0"/>
              <w:jc w:val="both"/>
              <w:rPr>
                <w:rFonts w:ascii="Verdana" w:hAnsi="Verdana" w:cs="Arial"/>
                <w:sz w:val="16"/>
                <w:szCs w:val="16"/>
              </w:rPr>
            </w:pPr>
            <w:r w:rsidRPr="0011467B">
              <w:rPr>
                <w:rFonts w:ascii="Verdana" w:hAnsi="Verdana" w:cs="Arial"/>
                <w:sz w:val="16"/>
                <w:szCs w:val="16"/>
              </w:rPr>
              <w:t>Contratista de la Subdirección de Gestión Contractual</w:t>
            </w:r>
          </w:p>
        </w:tc>
      </w:tr>
      <w:tr w:rsidR="007F0535" w:rsidRPr="0011467B" w14:paraId="76C0D69E" w14:textId="77777777" w:rsidTr="00C77973">
        <w:trPr>
          <w:trHeight w:val="409"/>
        </w:trPr>
        <w:tc>
          <w:tcPr>
            <w:tcW w:w="913" w:type="dxa"/>
            <w:tcBorders>
              <w:top w:val="nil"/>
              <w:left w:val="nil"/>
              <w:right w:val="nil"/>
            </w:tcBorders>
            <w:vAlign w:val="center"/>
          </w:tcPr>
          <w:p w14:paraId="5D6E943A" w14:textId="77777777" w:rsidR="007F0535" w:rsidRPr="0011467B" w:rsidRDefault="007F0535" w:rsidP="00C77973">
            <w:pPr>
              <w:spacing w:after="0"/>
              <w:jc w:val="both"/>
              <w:rPr>
                <w:rFonts w:ascii="Verdana" w:hAnsi="Verdana" w:cs="Arial"/>
                <w:sz w:val="16"/>
                <w:szCs w:val="16"/>
              </w:rPr>
            </w:pPr>
            <w:r w:rsidRPr="0011467B">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79E82D0B" w14:textId="77777777" w:rsidR="007F0535" w:rsidRPr="007F0535" w:rsidRDefault="007F0535" w:rsidP="00C77973">
            <w:pPr>
              <w:spacing w:after="0"/>
              <w:rPr>
                <w:rStyle w:val="normaltextrun"/>
                <w:rFonts w:ascii="Verdana" w:eastAsia="Arial" w:hAnsi="Verdana" w:cs="Arial"/>
                <w:color w:val="000000" w:themeColor="text1"/>
                <w:sz w:val="16"/>
                <w:szCs w:val="16"/>
              </w:rPr>
            </w:pPr>
            <w:r w:rsidRPr="007F0535">
              <w:rPr>
                <w:rStyle w:val="normaltextrun"/>
                <w:rFonts w:ascii="Verdana" w:eastAsia="Arial" w:hAnsi="Verdana" w:cs="Arial"/>
                <w:color w:val="000000" w:themeColor="text1"/>
                <w:sz w:val="16"/>
                <w:szCs w:val="16"/>
              </w:rPr>
              <w:t>Juan David Cárdenas</w:t>
            </w:r>
          </w:p>
          <w:p w14:paraId="429DCFB2" w14:textId="77777777" w:rsidR="007F0535" w:rsidRPr="0011467B" w:rsidRDefault="007F0535" w:rsidP="00C77973">
            <w:pPr>
              <w:spacing w:after="0"/>
              <w:jc w:val="both"/>
              <w:rPr>
                <w:rFonts w:ascii="Verdana" w:hAnsi="Verdana" w:cs="Arial"/>
                <w:sz w:val="16"/>
                <w:szCs w:val="16"/>
              </w:rPr>
            </w:pPr>
            <w:r w:rsidRPr="0011467B">
              <w:rPr>
                <w:rFonts w:ascii="Verdana" w:hAnsi="Verdana" w:cs="Arial"/>
                <w:sz w:val="16"/>
                <w:szCs w:val="16"/>
              </w:rPr>
              <w:t xml:space="preserve">Contratista de la </w:t>
            </w:r>
            <w:r w:rsidRPr="00AB11C1">
              <w:rPr>
                <w:rStyle w:val="normaltextrun"/>
                <w:rFonts w:ascii="Verdana" w:eastAsia="Arial" w:hAnsi="Verdana" w:cs="Arial"/>
                <w:color w:val="000000" w:themeColor="text1"/>
                <w:sz w:val="16"/>
                <w:szCs w:val="16"/>
              </w:rPr>
              <w:t>Subdirección de Gestión Contractual</w:t>
            </w:r>
          </w:p>
        </w:tc>
      </w:tr>
      <w:tr w:rsidR="007F0535" w:rsidRPr="0011467B" w14:paraId="3F64B1BA" w14:textId="77777777" w:rsidTr="00C77973">
        <w:trPr>
          <w:trHeight w:val="389"/>
        </w:trPr>
        <w:tc>
          <w:tcPr>
            <w:tcW w:w="913" w:type="dxa"/>
            <w:tcBorders>
              <w:top w:val="nil"/>
              <w:left w:val="nil"/>
              <w:bottom w:val="nil"/>
              <w:right w:val="nil"/>
            </w:tcBorders>
            <w:vAlign w:val="center"/>
            <w:hideMark/>
          </w:tcPr>
          <w:p w14:paraId="5456C0C6" w14:textId="77777777" w:rsidR="007F0535" w:rsidRPr="0011467B" w:rsidRDefault="007F0535" w:rsidP="00C77973">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6DD47CBF" w14:textId="77777777" w:rsidR="007F0535" w:rsidRPr="0011467B" w:rsidRDefault="007F0535" w:rsidP="00C77973">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Carolina Quintero Gacharná</w:t>
            </w:r>
          </w:p>
          <w:p w14:paraId="2B5EFE97" w14:textId="77777777" w:rsidR="007F0535" w:rsidRPr="0011467B" w:rsidRDefault="007F0535" w:rsidP="00C77973">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tbl>
    <w:p w14:paraId="36FEB5B0" w14:textId="77777777" w:rsidR="007F0535" w:rsidRPr="007709BF" w:rsidRDefault="007F0535" w:rsidP="007F0535"/>
    <w:p w14:paraId="30D7AA69" w14:textId="77777777" w:rsidR="00652834" w:rsidRDefault="00652834"/>
    <w:sectPr w:rsidR="00652834"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18F9B" w14:textId="77777777" w:rsidR="00A73562" w:rsidRDefault="00A73562" w:rsidP="007F0535">
      <w:pPr>
        <w:spacing w:after="0" w:line="240" w:lineRule="auto"/>
      </w:pPr>
      <w:r>
        <w:separator/>
      </w:r>
    </w:p>
  </w:endnote>
  <w:endnote w:type="continuationSeparator" w:id="0">
    <w:p w14:paraId="238601FE" w14:textId="77777777" w:rsidR="00A73562" w:rsidRDefault="00A73562" w:rsidP="007F0535">
      <w:pPr>
        <w:spacing w:after="0" w:line="240" w:lineRule="auto"/>
      </w:pPr>
      <w:r>
        <w:continuationSeparator/>
      </w:r>
    </w:p>
  </w:endnote>
  <w:endnote w:type="continuationNotice" w:id="1">
    <w:p w14:paraId="1560BC12" w14:textId="77777777" w:rsidR="009046F8" w:rsidRDefault="00904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C6F4" w14:textId="77777777" w:rsidR="00652834" w:rsidRDefault="00652834">
    <w:pPr>
      <w:pStyle w:val="Piedepgina"/>
    </w:pPr>
  </w:p>
  <w:p w14:paraId="0940511E" w14:textId="77777777" w:rsidR="00652834" w:rsidRPr="00174B77" w:rsidRDefault="003E3289"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055EBF4" w14:textId="77777777" w:rsidR="00652834" w:rsidRDefault="003E3289"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0AE9658" w14:textId="77777777" w:rsidR="00652834" w:rsidRPr="00E41027" w:rsidRDefault="003E3289" w:rsidP="00D520D8">
    <w:pPr>
      <w:spacing w:after="0"/>
      <w:jc w:val="both"/>
      <w:rPr>
        <w:rFonts w:ascii="Verdana" w:hAnsi="Verdana"/>
        <w:sz w:val="18"/>
        <w:szCs w:val="18"/>
      </w:rPr>
    </w:pPr>
    <w:r w:rsidRPr="00E41027">
      <w:rPr>
        <w:rFonts w:ascii="Verdana" w:hAnsi="Verdana"/>
        <w:sz w:val="18"/>
        <w:szCs w:val="18"/>
      </w:rPr>
      <w:t>Mesa de servicio: (+57) 601 7456788</w:t>
    </w:r>
  </w:p>
  <w:p w14:paraId="5A77ADEC" w14:textId="77777777" w:rsidR="00652834" w:rsidRDefault="003E3289"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CABC7" w14:textId="77777777" w:rsidR="00A73562" w:rsidRDefault="00A73562" w:rsidP="007F0535">
      <w:pPr>
        <w:spacing w:after="0" w:line="240" w:lineRule="auto"/>
      </w:pPr>
      <w:r>
        <w:separator/>
      </w:r>
    </w:p>
  </w:footnote>
  <w:footnote w:type="continuationSeparator" w:id="0">
    <w:p w14:paraId="5B08B5D1" w14:textId="77777777" w:rsidR="00A73562" w:rsidRDefault="00A73562" w:rsidP="007F0535">
      <w:pPr>
        <w:spacing w:after="0" w:line="240" w:lineRule="auto"/>
      </w:pPr>
      <w:r>
        <w:continuationSeparator/>
      </w:r>
    </w:p>
  </w:footnote>
  <w:footnote w:type="continuationNotice" w:id="1">
    <w:p w14:paraId="232E4DF5" w14:textId="77777777" w:rsidR="009046F8" w:rsidRDefault="009046F8">
      <w:pPr>
        <w:spacing w:after="0" w:line="240" w:lineRule="auto"/>
      </w:pPr>
    </w:p>
  </w:footnote>
  <w:footnote w:id="2">
    <w:p w14:paraId="1FF779B6" w14:textId="77777777" w:rsidR="007F0535" w:rsidRPr="0034663B" w:rsidRDefault="007F0535" w:rsidP="007F0535">
      <w:pPr>
        <w:pStyle w:val="Textonotapie"/>
        <w:ind w:firstLine="709"/>
        <w:jc w:val="both"/>
        <w:rPr>
          <w:rFonts w:ascii="Verdana" w:eastAsia="Times New Roman" w:hAnsi="Verdana" w:cs="Arial"/>
          <w:sz w:val="14"/>
          <w:szCs w:val="14"/>
          <w:lang w:val="es-CO" w:eastAsia="es-CO"/>
        </w:rPr>
      </w:pPr>
      <w:r w:rsidRPr="0034663B">
        <w:rPr>
          <w:rStyle w:val="Refdenotaalpie"/>
          <w:rFonts w:ascii="Verdana" w:hAnsi="Verdana" w:cs="Arial"/>
          <w:sz w:val="14"/>
          <w:szCs w:val="14"/>
        </w:rPr>
        <w:footnoteRef/>
      </w:r>
      <w:r w:rsidRPr="0034663B">
        <w:rPr>
          <w:rFonts w:ascii="Verdana" w:hAnsi="Verdana" w:cs="Arial"/>
          <w:sz w:val="14"/>
          <w:szCs w:val="14"/>
        </w:rPr>
        <w:t xml:space="preserve"> </w:t>
      </w:r>
      <w:r w:rsidRPr="0034663B">
        <w:rPr>
          <w:rFonts w:ascii="Verdana" w:eastAsia="Times New Roman" w:hAnsi="Verdana" w:cs="Arial"/>
          <w:sz w:val="14"/>
          <w:szCs w:val="14"/>
          <w:lang w:val="es-CO" w:eastAsia="es-CO"/>
        </w:rPr>
        <w:t>Consejo de Estado. Sección Tercera. Sentencia del 27 de abril de 2011. Exp. 18.293. C.P. Ruth Stella Correa Palacio.</w:t>
      </w:r>
    </w:p>
  </w:footnote>
  <w:footnote w:id="3">
    <w:p w14:paraId="1078BE7B" w14:textId="77777777" w:rsidR="007F0535" w:rsidRPr="0034663B" w:rsidRDefault="007F0535" w:rsidP="007F0535">
      <w:pPr>
        <w:pStyle w:val="Textonotapie"/>
        <w:ind w:firstLine="709"/>
        <w:jc w:val="both"/>
        <w:rPr>
          <w:rFonts w:ascii="Verdana" w:eastAsia="Times New Roman" w:hAnsi="Verdana" w:cs="Arial"/>
          <w:sz w:val="14"/>
          <w:szCs w:val="14"/>
          <w:lang w:val="es-CO" w:eastAsia="es-CO"/>
        </w:rPr>
      </w:pPr>
      <w:r w:rsidRPr="0034663B">
        <w:rPr>
          <w:rStyle w:val="Refdenotaalpie"/>
          <w:rFonts w:ascii="Verdana" w:hAnsi="Verdana" w:cs="Arial"/>
          <w:sz w:val="14"/>
          <w:szCs w:val="14"/>
        </w:rPr>
        <w:footnoteRef/>
      </w:r>
      <w:r w:rsidRPr="0034663B">
        <w:rPr>
          <w:rFonts w:ascii="Verdana" w:hAnsi="Verdana" w:cs="Arial"/>
          <w:sz w:val="14"/>
          <w:szCs w:val="14"/>
        </w:rPr>
        <w:t xml:space="preserve"> </w:t>
      </w:r>
      <w:r w:rsidRPr="0034663B">
        <w:rPr>
          <w:rFonts w:ascii="Verdana" w:eastAsia="Times New Roman" w:hAnsi="Verdana" w:cs="Arial"/>
          <w:sz w:val="14"/>
          <w:szCs w:val="14"/>
          <w:lang w:val="es-CO" w:eastAsia="es-CO"/>
        </w:rPr>
        <w:t xml:space="preserve">Consejo de Estado. Sección Tercera. Sentencia del 21 de noviembre de 2013  </w:t>
      </w:r>
      <w:r w:rsidRPr="0034663B">
        <w:rPr>
          <w:rFonts w:ascii="Verdana" w:eastAsia="Times New Roman" w:hAnsi="Verdana" w:cs="Arial"/>
          <w:sz w:val="14"/>
          <w:szCs w:val="14"/>
          <w:lang w:val="es-CO" w:eastAsia="es-CO"/>
        </w:rPr>
        <w:t>Exp. 25397. C.P. Carlos Alberto Zambrano Barrera.</w:t>
      </w:r>
    </w:p>
    <w:p w14:paraId="16DEB4AB" w14:textId="77777777" w:rsidR="007F0535" w:rsidRPr="0034663B" w:rsidRDefault="007F0535" w:rsidP="007F0535">
      <w:pPr>
        <w:pStyle w:val="Textonotapie"/>
        <w:ind w:firstLine="709"/>
        <w:jc w:val="both"/>
        <w:rPr>
          <w:rFonts w:ascii="Verdana" w:eastAsia="Calibri" w:hAnsi="Verdana" w:cs="Arial"/>
          <w:sz w:val="14"/>
          <w:szCs w:val="14"/>
          <w:lang w:val="es-CO"/>
        </w:rPr>
      </w:pPr>
    </w:p>
  </w:footnote>
  <w:footnote w:id="4">
    <w:p w14:paraId="0EF671DD" w14:textId="77777777" w:rsidR="007F0535" w:rsidRPr="0034663B" w:rsidRDefault="007F0535" w:rsidP="007F0535">
      <w:pPr>
        <w:pBdr>
          <w:top w:val="nil"/>
          <w:left w:val="nil"/>
          <w:bottom w:val="nil"/>
          <w:right w:val="nil"/>
          <w:between w:val="nil"/>
        </w:pBdr>
        <w:spacing w:after="0" w:line="240" w:lineRule="auto"/>
        <w:ind w:firstLine="709"/>
        <w:jc w:val="both"/>
        <w:rPr>
          <w:rFonts w:ascii="Verdana" w:eastAsia="Arial" w:hAnsi="Verdana" w:cs="Arial"/>
          <w:color w:val="000000"/>
          <w:sz w:val="14"/>
          <w:szCs w:val="14"/>
        </w:rPr>
      </w:pPr>
      <w:r w:rsidRPr="0034663B">
        <w:rPr>
          <w:rFonts w:ascii="Verdana" w:hAnsi="Verdana" w:cs="Arial"/>
          <w:sz w:val="14"/>
          <w:szCs w:val="14"/>
          <w:vertAlign w:val="superscript"/>
        </w:rPr>
        <w:footnoteRef/>
      </w:r>
      <w:r w:rsidRPr="0034663B">
        <w:rPr>
          <w:rFonts w:ascii="Verdana" w:eastAsia="Arial" w:hAnsi="Verdana" w:cs="Arial"/>
          <w:color w:val="000000"/>
          <w:sz w:val="14"/>
          <w:szCs w:val="14"/>
        </w:rPr>
        <w:t xml:space="preserve"> Al respecto, conviene recordar el artículo 29 de la Ley 80 de 1993, derogado por el artículo 32 de la Ley 1150 de 2007, que establecía: “La selección de contratistas será objetiva.</w:t>
      </w:r>
    </w:p>
    <w:p w14:paraId="119F85DE" w14:textId="77777777" w:rsidR="007F0535" w:rsidRPr="0034663B" w:rsidRDefault="007F0535" w:rsidP="007F0535">
      <w:pPr>
        <w:pBdr>
          <w:top w:val="nil"/>
          <w:left w:val="nil"/>
          <w:bottom w:val="nil"/>
          <w:right w:val="nil"/>
          <w:between w:val="nil"/>
        </w:pBdr>
        <w:spacing w:after="0" w:line="240" w:lineRule="auto"/>
        <w:ind w:firstLine="709"/>
        <w:jc w:val="both"/>
        <w:rPr>
          <w:rFonts w:ascii="Verdana" w:eastAsia="Arial" w:hAnsi="Verdana" w:cs="Arial"/>
          <w:color w:val="000000"/>
          <w:sz w:val="14"/>
          <w:szCs w:val="14"/>
        </w:rPr>
      </w:pPr>
      <w:r w:rsidRPr="0034663B">
        <w:rPr>
          <w:rFonts w:ascii="Verdana" w:eastAsia="Arial" w:hAnsi="Verdana" w:cs="Arial"/>
          <w:color w:val="000000"/>
          <w:sz w:val="14"/>
          <w:szCs w:val="14"/>
        </w:rPr>
        <w:t>Es objetiva la selección en la cual la escogencia se hace al ofrecimiento más favorable a la entidad y a los fines que ella busca, sin tener en consideración factores de afecto o de interés y, en general, cualquier clase de motivación subjetiva.</w:t>
      </w:r>
    </w:p>
    <w:p w14:paraId="2AF23B64" w14:textId="77777777" w:rsidR="007F0535" w:rsidRPr="0034663B" w:rsidRDefault="007F0535" w:rsidP="007F0535">
      <w:pPr>
        <w:pBdr>
          <w:top w:val="nil"/>
          <w:left w:val="nil"/>
          <w:bottom w:val="nil"/>
          <w:right w:val="nil"/>
          <w:between w:val="nil"/>
        </w:pBdr>
        <w:spacing w:after="0" w:line="240" w:lineRule="auto"/>
        <w:ind w:firstLine="709"/>
        <w:jc w:val="both"/>
        <w:rPr>
          <w:rFonts w:ascii="Verdana" w:eastAsia="Arial" w:hAnsi="Verdana" w:cs="Arial"/>
          <w:color w:val="000000"/>
          <w:sz w:val="14"/>
          <w:szCs w:val="14"/>
        </w:rPr>
      </w:pPr>
      <w:r w:rsidRPr="0034663B">
        <w:rPr>
          <w:rFonts w:ascii="Verdana" w:eastAsia="Arial" w:hAnsi="Verdana" w:cs="Arial"/>
          <w:color w:val="000000"/>
          <w:sz w:val="14"/>
          <w:szCs w:val="14"/>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68789D83" w14:textId="77777777" w:rsidR="007F0535" w:rsidRPr="0034663B" w:rsidRDefault="007F0535" w:rsidP="007F0535">
      <w:pPr>
        <w:pBdr>
          <w:top w:val="nil"/>
          <w:left w:val="nil"/>
          <w:bottom w:val="nil"/>
          <w:right w:val="nil"/>
          <w:between w:val="nil"/>
        </w:pBdr>
        <w:spacing w:after="0" w:line="240" w:lineRule="auto"/>
        <w:ind w:firstLine="709"/>
        <w:jc w:val="both"/>
        <w:rPr>
          <w:rFonts w:ascii="Verdana" w:eastAsia="Arial" w:hAnsi="Verdana" w:cs="Arial"/>
          <w:color w:val="000000"/>
          <w:sz w:val="14"/>
          <w:szCs w:val="14"/>
        </w:rPr>
      </w:pPr>
      <w:r w:rsidRPr="0034663B">
        <w:rPr>
          <w:rFonts w:ascii="Verdana" w:eastAsia="Arial" w:hAnsi="Verdana" w:cs="Arial"/>
          <w:color w:val="000000"/>
          <w:sz w:val="14"/>
          <w:szCs w:val="14"/>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41A0EE6C" w14:textId="77777777" w:rsidR="007F0535" w:rsidRPr="0034663B" w:rsidRDefault="007F0535" w:rsidP="007F0535">
      <w:pPr>
        <w:pBdr>
          <w:top w:val="nil"/>
          <w:left w:val="nil"/>
          <w:bottom w:val="nil"/>
          <w:right w:val="nil"/>
          <w:between w:val="nil"/>
        </w:pBdr>
        <w:spacing w:after="0" w:line="240" w:lineRule="auto"/>
        <w:ind w:firstLine="709"/>
        <w:jc w:val="both"/>
        <w:rPr>
          <w:rFonts w:ascii="Verdana" w:eastAsia="Arial" w:hAnsi="Verdana" w:cs="Arial"/>
          <w:color w:val="000000"/>
          <w:sz w:val="14"/>
          <w:szCs w:val="14"/>
        </w:rPr>
      </w:pPr>
      <w:r w:rsidRPr="0034663B">
        <w:rPr>
          <w:rFonts w:ascii="Verdana" w:eastAsia="Arial" w:hAnsi="Verdana" w:cs="Arial"/>
          <w:color w:val="000000"/>
          <w:sz w:val="14"/>
          <w:szCs w:val="14"/>
        </w:rPr>
        <w:t>En caso de comparación de propuestas nacionales y extranjeras, se incluirán los costos necesarios para la entrega del producto terminado en el lugar de su utilización”.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1304" w14:textId="77777777" w:rsidR="00652834" w:rsidRDefault="003E328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0053A6F0" wp14:editId="2437ED34">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10939739" wp14:editId="091D117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196D064" w14:textId="77777777" w:rsidR="00652834" w:rsidRDefault="00652834">
    <w:pPr>
      <w:pStyle w:val="Encabezado"/>
    </w:pPr>
  </w:p>
  <w:p w14:paraId="34FF1C98" w14:textId="77777777" w:rsidR="00652834" w:rsidRDefault="00652834" w:rsidP="004A305D">
    <w:pPr>
      <w:spacing w:after="0"/>
      <w:rPr>
        <w:rFonts w:ascii="Verdana" w:hAnsi="Verdana"/>
        <w:b/>
        <w:bCs/>
      </w:rPr>
    </w:pPr>
  </w:p>
  <w:p w14:paraId="6D072C0D" w14:textId="77777777" w:rsidR="00652834" w:rsidRPr="004A305D" w:rsidRDefault="00652834" w:rsidP="00B01B1A">
    <w:pPr>
      <w:spacing w:after="0" w:line="120" w:lineRule="auto"/>
      <w:rPr>
        <w:rFonts w:ascii="Century Gothic" w:eastAsia="Geo" w:hAnsi="Century Gothic" w:cs="Geo"/>
        <w:sz w:val="16"/>
        <w:szCs w:val="16"/>
        <w:lang w:eastAsia="es-CO"/>
      </w:rPr>
    </w:pPr>
  </w:p>
  <w:p w14:paraId="48A21919" w14:textId="77777777" w:rsidR="00652834" w:rsidRDefault="00652834"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39AAAE94"/>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8960B20"/>
    <w:multiLevelType w:val="hybridMultilevel"/>
    <w:tmpl w:val="929E1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7D9353E"/>
    <w:multiLevelType w:val="hybridMultilevel"/>
    <w:tmpl w:val="6DD4E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CC475F9"/>
    <w:multiLevelType w:val="multilevel"/>
    <w:tmpl w:val="5F2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84077"/>
    <w:multiLevelType w:val="hybridMultilevel"/>
    <w:tmpl w:val="AAA64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AD19C2"/>
    <w:multiLevelType w:val="hybridMultilevel"/>
    <w:tmpl w:val="CD4A1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1514563553">
    <w:abstractNumId w:val="6"/>
  </w:num>
  <w:num w:numId="3" w16cid:durableId="1362895736">
    <w:abstractNumId w:val="5"/>
  </w:num>
  <w:num w:numId="4" w16cid:durableId="891617718">
    <w:abstractNumId w:val="4"/>
  </w:num>
  <w:num w:numId="5" w16cid:durableId="1492209491">
    <w:abstractNumId w:val="1"/>
  </w:num>
  <w:num w:numId="6" w16cid:durableId="588075328">
    <w:abstractNumId w:val="2"/>
  </w:num>
  <w:num w:numId="7" w16cid:durableId="172687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35"/>
    <w:rsid w:val="002005BE"/>
    <w:rsid w:val="002870A5"/>
    <w:rsid w:val="003E3289"/>
    <w:rsid w:val="0043496D"/>
    <w:rsid w:val="00582DE3"/>
    <w:rsid w:val="005A3B7F"/>
    <w:rsid w:val="005B2116"/>
    <w:rsid w:val="006113E1"/>
    <w:rsid w:val="00652834"/>
    <w:rsid w:val="007F0535"/>
    <w:rsid w:val="009046F8"/>
    <w:rsid w:val="009C5637"/>
    <w:rsid w:val="00A73562"/>
    <w:rsid w:val="00B71C73"/>
    <w:rsid w:val="00B92F35"/>
    <w:rsid w:val="00C51AE6"/>
    <w:rsid w:val="00C6122B"/>
    <w:rsid w:val="00E14A0F"/>
    <w:rsid w:val="00F8071C"/>
    <w:rsid w:val="223DB8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7221"/>
  <w15:chartTrackingRefBased/>
  <w15:docId w15:val="{D0FAA9AC-CD64-BC41-A160-CF58828E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35"/>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05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0535"/>
    <w:rPr>
      <w:kern w:val="0"/>
      <w:sz w:val="22"/>
      <w:szCs w:val="22"/>
      <w14:ligatures w14:val="none"/>
    </w:rPr>
  </w:style>
  <w:style w:type="paragraph" w:styleId="Piedepgina">
    <w:name w:val="footer"/>
    <w:basedOn w:val="Normal"/>
    <w:link w:val="PiedepginaCar"/>
    <w:uiPriority w:val="99"/>
    <w:unhideWhenUsed/>
    <w:rsid w:val="007F05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0535"/>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F053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7F053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7F053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F0535"/>
    <w:rPr>
      <w:vertAlign w:val="superscript"/>
    </w:rPr>
  </w:style>
  <w:style w:type="character" w:customStyle="1" w:styleId="normaltextrun">
    <w:name w:val="normaltextrun"/>
    <w:basedOn w:val="Fuentedeprrafopredeter"/>
    <w:rsid w:val="007F0535"/>
  </w:style>
  <w:style w:type="table" w:styleId="Tablaconcuadrcula">
    <w:name w:val="Table Grid"/>
    <w:basedOn w:val="Tablanormal"/>
    <w:uiPriority w:val="39"/>
    <w:qFormat/>
    <w:rsid w:val="007F053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7F0535"/>
    <w:pPr>
      <w:ind w:left="720"/>
      <w:contextualSpacing/>
    </w:pPr>
    <w:rPr>
      <w:rFonts w:ascii="Geomanist Light" w:hAnsi="Geomanist Light"/>
      <w:lang w:val="es-ES"/>
    </w:rPr>
  </w:style>
  <w:style w:type="character" w:styleId="Hipervnculo">
    <w:name w:val="Hyperlink"/>
    <w:basedOn w:val="Fuentedeprrafopredeter"/>
    <w:uiPriority w:val="99"/>
    <w:unhideWhenUsed/>
    <w:rsid w:val="007F0535"/>
    <w:rPr>
      <w:color w:val="0000FF"/>
      <w:u w:val="single"/>
    </w:rPr>
  </w:style>
  <w:style w:type="paragraph" w:customStyle="1" w:styleId="Appelnotedebasde">
    <w:name w:val="Appel note de bas de..."/>
    <w:basedOn w:val="Normal"/>
    <w:link w:val="Refdenotaalpie"/>
    <w:uiPriority w:val="99"/>
    <w:rsid w:val="007F0535"/>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F0535"/>
    <w:rPr>
      <w:rFonts w:ascii="Geomanist Light" w:hAnsi="Geomanist Light"/>
      <w:kern w:val="0"/>
      <w:sz w:val="22"/>
      <w:szCs w:val="22"/>
      <w:lang w:val="es-ES"/>
      <w14:ligatures w14:val="none"/>
    </w:rPr>
  </w:style>
  <w:style w:type="paragraph" w:styleId="Textoindependiente">
    <w:name w:val="Body Text"/>
    <w:basedOn w:val="Normal"/>
    <w:link w:val="TextoindependienteCar"/>
    <w:uiPriority w:val="99"/>
    <w:semiHidden/>
    <w:unhideWhenUsed/>
    <w:rsid w:val="007F0535"/>
    <w:pPr>
      <w:spacing w:after="120"/>
    </w:pPr>
  </w:style>
  <w:style w:type="character" w:customStyle="1" w:styleId="TextoindependienteCar">
    <w:name w:val="Texto independiente Car"/>
    <w:basedOn w:val="Fuentedeprrafopredeter"/>
    <w:link w:val="Textoindependiente"/>
    <w:uiPriority w:val="99"/>
    <w:semiHidden/>
    <w:rsid w:val="007F0535"/>
    <w:rPr>
      <w:kern w:val="0"/>
      <w:sz w:val="22"/>
      <w:szCs w:val="22"/>
      <w14:ligatures w14:val="none"/>
    </w:rPr>
  </w:style>
  <w:style w:type="character" w:customStyle="1" w:styleId="eop">
    <w:name w:val="eop"/>
    <w:basedOn w:val="Fuentedeprrafopredeter"/>
    <w:rsid w:val="007F0535"/>
  </w:style>
  <w:style w:type="character" w:styleId="Mencinsinresolver">
    <w:name w:val="Unresolved Mention"/>
    <w:basedOn w:val="Fuentedeprrafopredeter"/>
    <w:uiPriority w:val="99"/>
    <w:semiHidden/>
    <w:unhideWhenUsed/>
    <w:rsid w:val="007F0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LO_FUQUENE@HOT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92B935-3356-43C1-8B24-5B31ECD24339}">
  <ds:schemaRefs>
    <ds:schemaRef ds:uri="http://schemas.microsoft.com/sharepoint/v3/contenttype/forms"/>
  </ds:schemaRefs>
</ds:datastoreItem>
</file>

<file path=customXml/itemProps2.xml><?xml version="1.0" encoding="utf-8"?>
<ds:datastoreItem xmlns:ds="http://schemas.openxmlformats.org/officeDocument/2006/customXml" ds:itemID="{96B1C2B3-9587-4392-8DB5-DAA6CB841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A3EC4-555F-4F34-8D03-72C054923705}">
  <ds:schemaRefs>
    <ds:schemaRef ds:uri="http://schemas.microsoft.com/office/2006/documentManagement/types"/>
    <ds:schemaRef ds:uri="9d85dbaf-23eb-4e57-a637-93dcacc8b1a1"/>
    <ds:schemaRef ds:uri="a6cb9e4b-f1d1-4245-83ec-6cad768d538a"/>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14358</Characters>
  <Application>Microsoft Office Word</Application>
  <DocSecurity>0</DocSecurity>
  <Lines>119</Lines>
  <Paragraphs>33</Paragraphs>
  <ScaleCrop>false</ScaleCrop>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2024-12-20T20:34:00Z</dcterms:created>
  <dcterms:modified xsi:type="dcterms:W3CDTF">2024-12-20T20:34:00Z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