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58FA90" w14:textId="77777777" w:rsidR="007F0535" w:rsidRPr="00F217FD" w:rsidRDefault="007F0535" w:rsidP="007F0535">
      <w:pPr>
        <w:spacing w:after="0"/>
        <w:jc w:val="both"/>
        <w:rPr>
          <w:rFonts w:ascii="Verdana" w:hAnsi="Verdana"/>
        </w:rPr>
      </w:pPr>
      <w:r w:rsidRPr="00F217FD">
        <w:rPr>
          <w:rFonts w:ascii="Verdana" w:eastAsia="Aptos" w:hAnsi="Verdana" w:cs="Arial"/>
          <w:b/>
          <w:color w:val="000000"/>
          <w:kern w:val="2"/>
          <w:lang w:val="es-ES_tradnl"/>
          <w14:ligatures w14:val="standardContextual"/>
        </w:rPr>
        <w:t xml:space="preserve">CAUSALES DE RECHAZO – Principio de legalidad – Configuración </w:t>
      </w:r>
    </w:p>
    <w:p w14:paraId="672A6659" w14:textId="77777777" w:rsidR="007F0535" w:rsidRPr="00F217FD" w:rsidRDefault="007F0535" w:rsidP="007F0535">
      <w:pPr>
        <w:spacing w:after="0" w:line="276" w:lineRule="auto"/>
        <w:jc w:val="both"/>
        <w:rPr>
          <w:rFonts w:ascii="Verdana" w:eastAsia="Aptos" w:hAnsi="Verdana" w:cs="Arial"/>
          <w:bCs/>
          <w:color w:val="000000"/>
          <w:kern w:val="2"/>
          <w:lang w:val="es-ES_tradnl"/>
          <w14:ligatures w14:val="standardContextual"/>
        </w:rPr>
      </w:pPr>
    </w:p>
    <w:p w14:paraId="2EC95251" w14:textId="77777777" w:rsidR="007F0535" w:rsidRPr="00B66E1B" w:rsidRDefault="007F0535" w:rsidP="007F0535">
      <w:pPr>
        <w:spacing w:after="0" w:line="240" w:lineRule="auto"/>
        <w:jc w:val="both"/>
        <w:rPr>
          <w:rFonts w:ascii="Verdana" w:eastAsia="Aptos" w:hAnsi="Verdana" w:cs="Arial"/>
          <w:bCs/>
          <w:color w:val="000000"/>
          <w:kern w:val="2"/>
          <w:sz w:val="20"/>
          <w:szCs w:val="20"/>
          <w:lang w:val="es-ES_tradnl"/>
          <w14:ligatures w14:val="standardContextual"/>
        </w:rPr>
      </w:pPr>
      <w:r w:rsidRPr="00B66E1B">
        <w:rPr>
          <w:rFonts w:ascii="Verdana" w:eastAsia="Aptos" w:hAnsi="Verdana" w:cs="Arial"/>
          <w:bCs/>
          <w:color w:val="000000"/>
          <w:kern w:val="2"/>
          <w:sz w:val="20"/>
          <w:szCs w:val="20"/>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 señala:</w:t>
      </w:r>
    </w:p>
    <w:p w14:paraId="074A65D5" w14:textId="77777777" w:rsidR="007F0535" w:rsidRPr="00B66E1B" w:rsidRDefault="007F0535" w:rsidP="007F0535">
      <w:pPr>
        <w:spacing w:after="0" w:line="240" w:lineRule="auto"/>
        <w:jc w:val="both"/>
        <w:rPr>
          <w:rFonts w:ascii="Verdana" w:eastAsia="Aptos" w:hAnsi="Verdana" w:cs="Arial"/>
          <w:bCs/>
          <w:color w:val="000000"/>
          <w:kern w:val="2"/>
          <w:sz w:val="20"/>
          <w:szCs w:val="20"/>
          <w:lang w:val="es-ES_tradnl"/>
          <w14:ligatures w14:val="standardContextual"/>
        </w:rPr>
      </w:pPr>
      <w:r>
        <w:rPr>
          <w:rFonts w:ascii="Verdana" w:eastAsia="Aptos" w:hAnsi="Verdana" w:cs="Arial"/>
          <w:bCs/>
          <w:color w:val="000000"/>
          <w:kern w:val="2"/>
          <w:sz w:val="20"/>
          <w:szCs w:val="20"/>
          <w:lang w:val="es-ES_tradnl"/>
          <w14:ligatures w14:val="standardContextual"/>
        </w:rPr>
        <w:t>[…]</w:t>
      </w:r>
    </w:p>
    <w:p w14:paraId="3FDBC13E" w14:textId="77777777" w:rsidR="007F0535" w:rsidRPr="007F0535" w:rsidRDefault="007F0535" w:rsidP="007F0535">
      <w:pPr>
        <w:spacing w:after="0" w:line="240" w:lineRule="auto"/>
        <w:jc w:val="both"/>
        <w:rPr>
          <w:rFonts w:ascii="Verdana" w:eastAsia="Aptos" w:hAnsi="Verdana" w:cs="Arial"/>
          <w:bCs/>
          <w:color w:val="000000"/>
          <w:kern w:val="2"/>
          <w:sz w:val="20"/>
          <w:szCs w:val="20"/>
          <w:lang w:val="es-ES_tradnl"/>
          <w14:ligatures w14:val="standardContextual"/>
        </w:rPr>
      </w:pPr>
      <w:r w:rsidRPr="00B66E1B">
        <w:rPr>
          <w:rFonts w:ascii="Verdana" w:eastAsia="Aptos" w:hAnsi="Verdana" w:cs="Arial"/>
          <w:bCs/>
          <w:color w:val="000000"/>
          <w:kern w:val="2"/>
          <w:sz w:val="20"/>
          <w:szCs w:val="20"/>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 sostuvo:</w:t>
      </w:r>
    </w:p>
    <w:p w14:paraId="0A37501D" w14:textId="77777777" w:rsidR="007F0535" w:rsidRDefault="007F0535" w:rsidP="007F0535">
      <w:pPr>
        <w:spacing w:after="0" w:line="240" w:lineRule="auto"/>
        <w:jc w:val="both"/>
        <w:rPr>
          <w:rFonts w:ascii="Verdana" w:hAnsi="Verdana" w:cs="Arial"/>
          <w:b/>
          <w:lang w:val="es-ES_tradnl" w:eastAsia="es-ES"/>
        </w:rPr>
      </w:pPr>
    </w:p>
    <w:p w14:paraId="5DAB6C7B" w14:textId="77777777" w:rsidR="007F0535" w:rsidRDefault="007F0535" w:rsidP="007F0535">
      <w:pPr>
        <w:spacing w:after="0" w:line="240" w:lineRule="auto"/>
        <w:jc w:val="both"/>
        <w:rPr>
          <w:rFonts w:ascii="Verdana" w:hAnsi="Verdana" w:cs="Arial"/>
          <w:b/>
          <w:lang w:val="es-ES_tradnl" w:eastAsia="es-ES"/>
        </w:rPr>
      </w:pPr>
    </w:p>
    <w:p w14:paraId="78D0F30E" w14:textId="77777777" w:rsidR="007F0535" w:rsidRDefault="007F0535" w:rsidP="007F0535">
      <w:pPr>
        <w:spacing w:after="0" w:line="240" w:lineRule="auto"/>
        <w:jc w:val="both"/>
        <w:rPr>
          <w:rFonts w:ascii="Verdana" w:hAnsi="Verdana" w:cs="Arial"/>
          <w:b/>
          <w:lang w:val="es-ES_tradnl" w:eastAsia="es-ES"/>
        </w:rPr>
      </w:pPr>
      <w:r w:rsidRPr="00D37CE7">
        <w:rPr>
          <w:rFonts w:ascii="Verdana" w:hAnsi="Verdana" w:cs="Arial"/>
          <w:b/>
          <w:lang w:val="es-ES_tradnl" w:eastAsia="es-ES"/>
        </w:rPr>
        <w:t>PRINCIPIO DE SELECCIÓN OBJETIVA – Rechazo de las ofertas – Aspectos formales</w:t>
      </w:r>
    </w:p>
    <w:p w14:paraId="02EB378F" w14:textId="77777777" w:rsidR="007F0535" w:rsidRDefault="007F0535" w:rsidP="007F0535">
      <w:pPr>
        <w:spacing w:after="0" w:line="240" w:lineRule="auto"/>
        <w:jc w:val="both"/>
        <w:rPr>
          <w:rFonts w:ascii="Verdana" w:hAnsi="Verdana" w:cs="Arial"/>
          <w:b/>
          <w:lang w:val="es-ES_tradnl" w:eastAsia="es-ES"/>
        </w:rPr>
      </w:pPr>
    </w:p>
    <w:p w14:paraId="1C05F799" w14:textId="77777777" w:rsidR="007F0535" w:rsidRDefault="007F0535" w:rsidP="007F0535">
      <w:pPr>
        <w:spacing w:after="0" w:line="240" w:lineRule="auto"/>
        <w:jc w:val="both"/>
        <w:rPr>
          <w:rFonts w:ascii="Verdana" w:hAnsi="Verdana" w:cs="Arial"/>
          <w:sz w:val="20"/>
          <w:szCs w:val="20"/>
          <w:lang w:val="es-ES" w:eastAsia="es-ES"/>
        </w:rPr>
      </w:pPr>
      <w:r w:rsidRPr="00446B85">
        <w:rPr>
          <w:rFonts w:ascii="Verdana" w:hAnsi="Verdana" w:cs="Arial"/>
          <w:sz w:val="20"/>
          <w:szCs w:val="20"/>
          <w:lang w:val="es-ES" w:eastAsia="es-ES"/>
        </w:rPr>
        <w:t>Por otra parte, es importante señalar que, uno de los principios transversales de los procedimientos de selección es el de selección objetiva. Se trata del postulado que exige que la escogencia de la oferta ganadora deba fundamentarse en factores objetivos, de carácter técnico, jurídico y financiero, y no en criterios subjetivos, como el afecto, la amistad, el ánimo de ayuda, el interés personal, etc. Si bien dentro de la historia de la contratación pública en Colombia se vislumbran antecedentes normativos que consagraban dicho principio, en la actualidad la disposición legal que lo prevé de manera más clara y contundente es el artículo 5 de la Ley 1150 de 2007, modificado por el artículo 88 de la Ley 1474 de 2011 y por el artículo 5 de la Ley 1882 de 2018.</w:t>
      </w:r>
    </w:p>
    <w:p w14:paraId="6A05A809" w14:textId="77777777" w:rsidR="007F0535" w:rsidRDefault="007F0535" w:rsidP="007F0535">
      <w:pPr>
        <w:spacing w:after="0" w:line="240" w:lineRule="auto"/>
        <w:jc w:val="both"/>
        <w:rPr>
          <w:rFonts w:ascii="Verdana" w:eastAsia="Calibri" w:hAnsi="Verdana" w:cs="Arial"/>
          <w:color w:val="000000"/>
          <w:kern w:val="2"/>
          <w:sz w:val="20"/>
          <w:szCs w:val="20"/>
          <w14:ligatures w14:val="standardContextual"/>
        </w:rPr>
      </w:pPr>
    </w:p>
    <w:p w14:paraId="5A39BBE3" w14:textId="77777777" w:rsidR="007F0535" w:rsidRDefault="007F0535" w:rsidP="007F0535">
      <w:pPr>
        <w:spacing w:after="0"/>
        <w:jc w:val="both"/>
        <w:rPr>
          <w:rFonts w:ascii="Verdana" w:eastAsia="Calibri" w:hAnsi="Verdana" w:cs="Arial"/>
          <w:color w:val="000000"/>
          <w:kern w:val="2"/>
          <w:sz w:val="20"/>
          <w:szCs w:val="20"/>
          <w14:ligatures w14:val="standardContextual"/>
        </w:rPr>
      </w:pPr>
    </w:p>
    <w:p w14:paraId="41C8F396" w14:textId="77777777" w:rsidR="007F0535" w:rsidRPr="007F0535" w:rsidRDefault="007F0535" w:rsidP="007F0535">
      <w:pPr>
        <w:spacing w:after="120" w:line="276" w:lineRule="auto"/>
        <w:jc w:val="both"/>
        <w:rPr>
          <w:rFonts w:ascii="Verdana" w:hAnsi="Verdana" w:cs="Arial"/>
          <w:color w:val="000000" w:themeColor="text1"/>
        </w:rPr>
      </w:pPr>
    </w:p>
    <w:p w14:paraId="72A3D3EC" w14:textId="77777777" w:rsidR="007F0535" w:rsidRDefault="007F0535" w:rsidP="007F0535">
      <w:pPr>
        <w:spacing w:after="0" w:line="240" w:lineRule="auto"/>
        <w:jc w:val="both"/>
        <w:rPr>
          <w:rFonts w:ascii="Verdana" w:eastAsia="Geomanist Light" w:hAnsi="Verdana" w:cs="Arial"/>
          <w:color w:val="000000" w:themeColor="text1"/>
          <w:lang w:val="es-ES"/>
        </w:rPr>
      </w:pPr>
    </w:p>
    <w:p w14:paraId="0D0B940D" w14:textId="77777777" w:rsidR="007F0535" w:rsidRDefault="007F0535" w:rsidP="007F0535">
      <w:pPr>
        <w:spacing w:after="0" w:line="240" w:lineRule="auto"/>
        <w:jc w:val="both"/>
        <w:rPr>
          <w:rFonts w:ascii="Verdana" w:eastAsia="Geomanist Light" w:hAnsi="Verdana" w:cs="Arial"/>
          <w:color w:val="000000" w:themeColor="text1"/>
          <w:lang w:val="es-ES"/>
        </w:rPr>
      </w:pPr>
    </w:p>
    <w:p w14:paraId="0E27B00A" w14:textId="77777777" w:rsidR="007F0535" w:rsidRDefault="007F0535" w:rsidP="007F0535">
      <w:pPr>
        <w:spacing w:after="0" w:line="240" w:lineRule="auto"/>
        <w:jc w:val="both"/>
        <w:rPr>
          <w:rFonts w:ascii="Verdana" w:eastAsia="Geomanist Light" w:hAnsi="Verdana" w:cs="Arial"/>
          <w:color w:val="000000" w:themeColor="text1"/>
          <w:lang w:val="es-ES"/>
        </w:rPr>
      </w:pPr>
    </w:p>
    <w:p w14:paraId="60061E4C"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4EAFD9C"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B94D5A5" w14:textId="77777777" w:rsidR="007F0535" w:rsidRDefault="007F0535" w:rsidP="007F0535">
      <w:pPr>
        <w:spacing w:after="0" w:line="240" w:lineRule="auto"/>
        <w:jc w:val="both"/>
        <w:rPr>
          <w:rFonts w:ascii="Verdana" w:eastAsia="Geomanist Light" w:hAnsi="Verdana" w:cs="Arial"/>
          <w:color w:val="000000" w:themeColor="text1"/>
          <w:lang w:val="es-ES"/>
        </w:rPr>
      </w:pPr>
    </w:p>
    <w:p w14:paraId="3DEEC669" w14:textId="77777777" w:rsidR="007F0535" w:rsidRDefault="007F0535" w:rsidP="007F0535">
      <w:pPr>
        <w:spacing w:after="0" w:line="240" w:lineRule="auto"/>
        <w:jc w:val="both"/>
        <w:rPr>
          <w:rFonts w:ascii="Verdana" w:eastAsia="Geomanist Light" w:hAnsi="Verdana" w:cs="Arial"/>
          <w:color w:val="000000" w:themeColor="text1"/>
          <w:lang w:val="es-ES"/>
        </w:rPr>
      </w:pPr>
    </w:p>
    <w:p w14:paraId="3656B9AB"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5FB0818" w14:textId="77777777" w:rsidR="007F0535" w:rsidRDefault="007F0535" w:rsidP="007F0535">
      <w:pPr>
        <w:spacing w:after="0" w:line="240" w:lineRule="auto"/>
        <w:jc w:val="both"/>
        <w:rPr>
          <w:rFonts w:ascii="Verdana" w:eastAsia="Geomanist Light" w:hAnsi="Verdana" w:cs="Arial"/>
          <w:color w:val="000000" w:themeColor="text1"/>
          <w:lang w:val="es-ES"/>
        </w:rPr>
      </w:pPr>
    </w:p>
    <w:p w14:paraId="049F31CB" w14:textId="77777777" w:rsidR="007F0535" w:rsidRDefault="007F0535" w:rsidP="007F0535">
      <w:pPr>
        <w:spacing w:after="0" w:line="240" w:lineRule="auto"/>
        <w:jc w:val="both"/>
        <w:rPr>
          <w:rFonts w:ascii="Verdana" w:eastAsia="Geomanist Light" w:hAnsi="Verdana" w:cs="Arial"/>
          <w:color w:val="000000" w:themeColor="text1"/>
          <w:lang w:val="es-ES"/>
        </w:rPr>
      </w:pPr>
    </w:p>
    <w:p w14:paraId="53128261" w14:textId="77777777" w:rsidR="007F0535" w:rsidRDefault="007F0535" w:rsidP="007F0535">
      <w:pPr>
        <w:spacing w:after="0" w:line="240" w:lineRule="auto"/>
        <w:jc w:val="both"/>
        <w:rPr>
          <w:rFonts w:ascii="Verdana" w:eastAsia="Geomanist Light" w:hAnsi="Verdana" w:cs="Arial"/>
          <w:color w:val="000000" w:themeColor="text1"/>
          <w:lang w:val="es-ES"/>
        </w:rPr>
      </w:pPr>
    </w:p>
    <w:p w14:paraId="62486C05"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101652C"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B99056E" w14:textId="77777777" w:rsidR="007F0535" w:rsidRDefault="007F0535" w:rsidP="007F0535">
      <w:pPr>
        <w:spacing w:after="0" w:line="240" w:lineRule="auto"/>
        <w:jc w:val="both"/>
        <w:rPr>
          <w:rFonts w:ascii="Verdana" w:eastAsia="Geomanist Light" w:hAnsi="Verdana" w:cs="Arial"/>
          <w:color w:val="000000" w:themeColor="text1"/>
          <w:lang w:val="es-ES"/>
        </w:rPr>
      </w:pPr>
    </w:p>
    <w:p w14:paraId="1299C43A" w14:textId="77777777" w:rsidR="007F0535" w:rsidRDefault="007F0535" w:rsidP="007F0535">
      <w:pPr>
        <w:spacing w:after="0" w:line="240" w:lineRule="auto"/>
        <w:jc w:val="both"/>
        <w:rPr>
          <w:rFonts w:ascii="Verdana" w:eastAsia="Geomanist Light" w:hAnsi="Verdana" w:cs="Arial"/>
          <w:color w:val="000000" w:themeColor="text1"/>
          <w:lang w:val="es-ES"/>
        </w:rPr>
      </w:pPr>
    </w:p>
    <w:p w14:paraId="4DDBEF00" w14:textId="77777777" w:rsidR="007F0535" w:rsidRDefault="007F0535" w:rsidP="007F0535">
      <w:pPr>
        <w:spacing w:after="0" w:line="240" w:lineRule="auto"/>
        <w:jc w:val="both"/>
        <w:rPr>
          <w:rFonts w:ascii="Verdana" w:eastAsia="Geomanist Light" w:hAnsi="Verdana" w:cs="Arial"/>
          <w:color w:val="000000" w:themeColor="text1"/>
          <w:lang w:val="es-ES"/>
        </w:rPr>
      </w:pPr>
    </w:p>
    <w:p w14:paraId="53234FB8" w14:textId="6DF05B53" w:rsidR="007F0535" w:rsidRPr="00AB152A" w:rsidRDefault="007F0535" w:rsidP="007F0535">
      <w:pPr>
        <w:spacing w:after="0" w:line="240" w:lineRule="auto"/>
        <w:jc w:val="both"/>
        <w:rPr>
          <w:rFonts w:ascii="Verdana" w:eastAsia="Geomanist Light" w:hAnsi="Verdana" w:cs="Arial"/>
          <w:color w:val="000000" w:themeColor="text1"/>
          <w:lang w:val="es-ES"/>
        </w:rPr>
      </w:pPr>
      <w:r w:rsidRPr="0015EC3E">
        <w:rPr>
          <w:rFonts w:ascii="Verdana" w:eastAsia="Geomanist Light" w:hAnsi="Verdana" w:cs="Arial"/>
          <w:color w:val="000000" w:themeColor="text1"/>
          <w:lang w:val="es-ES"/>
        </w:rPr>
        <w:lastRenderedPageBreak/>
        <w:t xml:space="preserve">Bogotá D.C., </w:t>
      </w:r>
      <w:r w:rsidR="003B0BF6">
        <w:rPr>
          <w:rFonts w:ascii="Verdana" w:eastAsia="Geomanist Light" w:hAnsi="Verdana" w:cs="Arial"/>
          <w:color w:val="000000" w:themeColor="text1"/>
          <w:lang w:val="es-ES"/>
        </w:rPr>
        <w:t>17 de Diciembre de 2024</w:t>
      </w:r>
    </w:p>
    <w:p w14:paraId="3461D779" w14:textId="77777777" w:rsidR="007F0535" w:rsidRDefault="007F0535" w:rsidP="007F0535">
      <w:pPr>
        <w:spacing w:after="0" w:line="240" w:lineRule="auto"/>
        <w:jc w:val="right"/>
        <w:rPr>
          <w:rFonts w:ascii="Verdana" w:eastAsia="Calibri" w:hAnsi="Verdana" w:cs="Arial"/>
          <w:color w:val="000000"/>
          <w:lang w:val="es-ES"/>
        </w:rPr>
      </w:pPr>
    </w:p>
    <w:p w14:paraId="3D254D50" w14:textId="77777777" w:rsidR="007F0535" w:rsidRPr="00593A5F" w:rsidRDefault="00C51AE6" w:rsidP="007F0535">
      <w:pPr>
        <w:spacing w:after="0" w:line="240" w:lineRule="auto"/>
        <w:jc w:val="both"/>
        <w:rPr>
          <w:rFonts w:ascii="Verdana" w:eastAsia="Calibri" w:hAnsi="Verdana" w:cs="Arial"/>
          <w:color w:val="000000"/>
          <w:lang w:val="es-ES"/>
        </w:rPr>
      </w:pPr>
      <w:r w:rsidRPr="00C51AE6">
        <w:rPr>
          <w:rFonts w:ascii="Verdana" w:eastAsia="Calibri" w:hAnsi="Verdana" w:cs="Arial"/>
          <w:noProof/>
          <w:color w:val="000000"/>
          <w:lang w:val="es-ES"/>
        </w:rPr>
        <w:drawing>
          <wp:anchor distT="0" distB="0" distL="114300" distR="114300" simplePos="0" relativeHeight="251658240" behindDoc="1" locked="0" layoutInCell="1" allowOverlap="1" wp14:anchorId="052CEC13" wp14:editId="781A97D4">
            <wp:simplePos x="0" y="0"/>
            <wp:positionH relativeFrom="column">
              <wp:posOffset>3427095</wp:posOffset>
            </wp:positionH>
            <wp:positionV relativeFrom="paragraph">
              <wp:posOffset>170905</wp:posOffset>
            </wp:positionV>
            <wp:extent cx="2789539" cy="775789"/>
            <wp:effectExtent l="0" t="0" r="5080" b="0"/>
            <wp:wrapNone/>
            <wp:docPr id="57563420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5634200"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89539" cy="775789"/>
                    </a:xfrm>
                    <a:prstGeom prst="rect">
                      <a:avLst/>
                    </a:prstGeom>
                  </pic:spPr>
                </pic:pic>
              </a:graphicData>
            </a:graphic>
            <wp14:sizeRelH relativeFrom="page">
              <wp14:pctWidth>0</wp14:pctWidth>
            </wp14:sizeRelH>
            <wp14:sizeRelV relativeFrom="page">
              <wp14:pctHeight>0</wp14:pctHeight>
            </wp14:sizeRelV>
          </wp:anchor>
        </w:drawing>
      </w:r>
    </w:p>
    <w:p w14:paraId="63D37C31" w14:textId="77777777" w:rsidR="007F0535" w:rsidRPr="00B96799" w:rsidRDefault="007F0535" w:rsidP="007F0535">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4377C257" w14:textId="77777777" w:rsidR="007F0535" w:rsidRDefault="007F0535" w:rsidP="223DB84E">
      <w:pPr>
        <w:spacing w:after="0" w:line="240" w:lineRule="auto"/>
        <w:rPr>
          <w:rFonts w:ascii="Verdana" w:eastAsia="Calibri" w:hAnsi="Verdana" w:cs="Arial"/>
          <w:b/>
          <w:bCs/>
          <w:lang w:val="es-ES" w:eastAsia="es-ES"/>
        </w:rPr>
      </w:pPr>
      <w:r w:rsidRPr="223DB84E">
        <w:rPr>
          <w:rFonts w:ascii="Verdana" w:eastAsia="Calibri" w:hAnsi="Verdana" w:cs="Arial"/>
          <w:b/>
          <w:bCs/>
          <w:lang w:val="es-ES" w:eastAsia="es-ES"/>
        </w:rPr>
        <w:t>Elver Danilo Fúquene Rincón</w:t>
      </w:r>
    </w:p>
    <w:p w14:paraId="473D7B0E" w14:textId="77777777" w:rsidR="007F0535" w:rsidRDefault="007607E8" w:rsidP="007F0535">
      <w:pPr>
        <w:spacing w:after="0" w:line="240" w:lineRule="auto"/>
      </w:pPr>
      <w:hyperlink r:id="rId11" w:history="1">
        <w:r w:rsidR="007F0535" w:rsidRPr="00D94C94">
          <w:rPr>
            <w:rStyle w:val="Hipervnculo"/>
          </w:rPr>
          <w:t>danilo_fuquene@hotmail.com</w:t>
        </w:r>
      </w:hyperlink>
    </w:p>
    <w:p w14:paraId="6FF924CB" w14:textId="77777777" w:rsidR="007F0535" w:rsidRDefault="007F0535" w:rsidP="007F0535">
      <w:pPr>
        <w:spacing w:after="0" w:line="240" w:lineRule="auto"/>
        <w:rPr>
          <w:rFonts w:ascii="Verdana" w:eastAsia="Calibri" w:hAnsi="Verdana" w:cs="Arial"/>
          <w:lang w:val="es-ES" w:eastAsia="es-ES"/>
        </w:rPr>
      </w:pPr>
      <w:r>
        <w:rPr>
          <w:rFonts w:ascii="Verdana" w:eastAsia="Calibri" w:hAnsi="Verdana" w:cs="Arial"/>
          <w:lang w:val="es-ES" w:eastAsia="es-ES"/>
        </w:rPr>
        <w:t>Barrancabermeja - Santander</w:t>
      </w:r>
    </w:p>
    <w:p w14:paraId="3CF2D8B6" w14:textId="77777777" w:rsidR="007F0535" w:rsidRPr="00593A5F" w:rsidRDefault="007F0535" w:rsidP="007F0535">
      <w:pPr>
        <w:spacing w:after="0" w:line="240" w:lineRule="auto"/>
        <w:rPr>
          <w:rFonts w:ascii="Verdana" w:eastAsia="Calibri" w:hAnsi="Verdana" w:cs="Arial"/>
          <w:b/>
          <w:bCs/>
          <w:color w:val="000000"/>
          <w:lang w:val="es-ES_tradnl" w:eastAsia="es-ES_tradnl"/>
        </w:rPr>
      </w:pPr>
    </w:p>
    <w:p w14:paraId="0FB78278" w14:textId="77777777" w:rsidR="007F0535" w:rsidRPr="00593A5F" w:rsidRDefault="007F0535" w:rsidP="007F0535">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F0535" w:rsidRPr="00593A5F" w14:paraId="2C88C125" w14:textId="77777777" w:rsidTr="00C77973">
        <w:trPr>
          <w:trHeight w:val="884"/>
        </w:trPr>
        <w:tc>
          <w:tcPr>
            <w:tcW w:w="2689" w:type="dxa"/>
          </w:tcPr>
          <w:p w14:paraId="1FC39945" w14:textId="77777777" w:rsidR="007F0535" w:rsidRPr="00C00976" w:rsidRDefault="007F0535" w:rsidP="00C77973">
            <w:pPr>
              <w:jc w:val="both"/>
              <w:rPr>
                <w:rFonts w:ascii="Verdana" w:eastAsia="Calibri" w:hAnsi="Verdana" w:cs="Arial"/>
                <w:b/>
                <w:bCs/>
                <w:color w:val="7030A0"/>
                <w:lang w:val="es-ES_tradnl" w:eastAsia="es-ES_tradnl"/>
              </w:rPr>
            </w:pPr>
          </w:p>
        </w:tc>
        <w:tc>
          <w:tcPr>
            <w:tcW w:w="6100" w:type="dxa"/>
          </w:tcPr>
          <w:p w14:paraId="2F79A86D" w14:textId="77777777" w:rsidR="007F0535" w:rsidRPr="00C00976" w:rsidRDefault="007F0535" w:rsidP="00C77973">
            <w:pPr>
              <w:jc w:val="both"/>
              <w:rPr>
                <w:rFonts w:ascii="Verdana" w:eastAsia="Calibri" w:hAnsi="Verdana" w:cs="Arial"/>
                <w:b/>
                <w:bCs/>
                <w:color w:val="7030A0"/>
                <w:lang w:val="es-ES" w:eastAsia="es-ES"/>
              </w:rPr>
            </w:pPr>
            <w:r w:rsidRPr="008E6AD9">
              <w:rPr>
                <w:rFonts w:ascii="Verdana" w:eastAsia="Calibri" w:hAnsi="Verdana" w:cs="Arial"/>
                <w:b/>
                <w:bCs/>
                <w:lang w:val="es-ES" w:eastAsia="es-ES"/>
              </w:rPr>
              <w:t>Concepto C</w:t>
            </w:r>
            <w:r>
              <w:rPr>
                <w:rFonts w:ascii="Verdana" w:eastAsia="Calibri" w:hAnsi="Verdana" w:cs="Arial"/>
                <w:b/>
                <w:bCs/>
                <w:lang w:val="es-ES" w:eastAsia="es-ES"/>
              </w:rPr>
              <w:t>-</w:t>
            </w:r>
            <w:r>
              <w:rPr>
                <w:rFonts w:ascii="Verdana" w:eastAsia="Calibri" w:hAnsi="Verdana"/>
                <w:b/>
                <w:bCs/>
                <w:lang w:val="es-ES" w:eastAsia="es-ES"/>
              </w:rPr>
              <w:t xml:space="preserve">953 </w:t>
            </w:r>
            <w:r w:rsidRPr="008E6AD9">
              <w:rPr>
                <w:rFonts w:ascii="Verdana" w:eastAsia="Calibri" w:hAnsi="Verdana" w:cs="Arial"/>
                <w:b/>
                <w:bCs/>
                <w:lang w:val="es-ES" w:eastAsia="es-ES"/>
              </w:rPr>
              <w:t>de 2024</w:t>
            </w:r>
          </w:p>
        </w:tc>
      </w:tr>
      <w:tr w:rsidR="007F0535" w:rsidRPr="00F73E29" w14:paraId="3234FA2A" w14:textId="77777777" w:rsidTr="00C77973">
        <w:trPr>
          <w:trHeight w:val="884"/>
        </w:trPr>
        <w:tc>
          <w:tcPr>
            <w:tcW w:w="2689" w:type="dxa"/>
          </w:tcPr>
          <w:p w14:paraId="1CCB75E4" w14:textId="77777777" w:rsidR="007F0535" w:rsidRPr="00593A5F" w:rsidRDefault="007F0535" w:rsidP="00C77973">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5F45DBA" w14:textId="77777777" w:rsidR="007F0535" w:rsidRPr="007F0535" w:rsidRDefault="007F0535" w:rsidP="00C77973">
            <w:pPr>
              <w:spacing w:line="276" w:lineRule="auto"/>
              <w:jc w:val="both"/>
              <w:rPr>
                <w:rFonts w:ascii="Verdana" w:eastAsia="Aptos" w:hAnsi="Verdana" w:cs="Arial"/>
                <w:bCs/>
                <w:color w:val="000000"/>
                <w:lang w:val="es-ES_tradnl"/>
              </w:rPr>
            </w:pPr>
            <w:r w:rsidRPr="00F217FD">
              <w:rPr>
                <w:rFonts w:ascii="Verdana" w:eastAsia="Aptos" w:hAnsi="Verdana" w:cs="Arial"/>
                <w:bCs/>
                <w:color w:val="000000"/>
                <w:lang w:val="es-ES_tradnl"/>
              </w:rPr>
              <w:t>CAUSALES DE RECHAZO – Principio de legalidad – Configuración / PRINCIPIO DE SELECCIÓN OBJETIVA – Rechazo de las ofertas – Aspectos formales</w:t>
            </w:r>
          </w:p>
        </w:tc>
      </w:tr>
      <w:tr w:rsidR="007F0535" w:rsidRPr="008E6AD9" w14:paraId="42038C0D" w14:textId="77777777" w:rsidTr="00C77973">
        <w:tc>
          <w:tcPr>
            <w:tcW w:w="2689" w:type="dxa"/>
          </w:tcPr>
          <w:p w14:paraId="1D720380" w14:textId="77777777" w:rsidR="007F0535" w:rsidRPr="008E6AD9" w:rsidRDefault="007F0535" w:rsidP="00C77973">
            <w:pPr>
              <w:jc w:val="both"/>
              <w:rPr>
                <w:rFonts w:ascii="Verdana" w:eastAsia="Calibri" w:hAnsi="Verdana" w:cs="Arial"/>
                <w:b/>
                <w:lang w:val="es-ES_tradnl" w:eastAsia="es-ES_tradnl"/>
              </w:rPr>
            </w:pPr>
            <w:r w:rsidRPr="008E6AD9">
              <w:rPr>
                <w:rFonts w:ascii="Verdana" w:eastAsia="Calibri" w:hAnsi="Verdana" w:cs="Arial"/>
                <w:b/>
                <w:lang w:val="es-ES_tradnl" w:eastAsia="es-ES_tradnl"/>
              </w:rPr>
              <w:t>Radicación:</w:t>
            </w:r>
            <w:r w:rsidRPr="008E6AD9">
              <w:rPr>
                <w:rFonts w:ascii="Verdana" w:eastAsia="Calibri" w:hAnsi="Verdana" w:cs="Arial"/>
                <w:lang w:val="es-ES_tradnl" w:eastAsia="es-ES_tradnl"/>
              </w:rPr>
              <w:t xml:space="preserve">               </w:t>
            </w:r>
          </w:p>
        </w:tc>
        <w:tc>
          <w:tcPr>
            <w:tcW w:w="6100" w:type="dxa"/>
          </w:tcPr>
          <w:p w14:paraId="46A8309B" w14:textId="77777777" w:rsidR="007F0535" w:rsidRPr="008E6AD9" w:rsidRDefault="007F0535" w:rsidP="00C77973">
            <w:pPr>
              <w:jc w:val="both"/>
              <w:rPr>
                <w:rFonts w:ascii="Verdana" w:eastAsia="Calibri" w:hAnsi="Verdana" w:cs="Arial"/>
                <w:lang w:eastAsia="es-ES_tradnl"/>
              </w:rPr>
            </w:pPr>
            <w:r w:rsidRPr="008E6AD9">
              <w:rPr>
                <w:rFonts w:ascii="Verdana" w:eastAsia="Calibri" w:hAnsi="Verdana" w:cs="Arial"/>
                <w:lang w:val="es-ES_tradnl" w:eastAsia="es-ES_tradnl"/>
              </w:rPr>
              <w:t xml:space="preserve">Respuesta a </w:t>
            </w:r>
            <w:r>
              <w:rPr>
                <w:rFonts w:ascii="Verdana" w:eastAsia="Calibri" w:hAnsi="Verdana" w:cs="Arial"/>
                <w:lang w:val="es-ES_tradnl" w:eastAsia="es-ES_tradnl"/>
              </w:rPr>
              <w:t xml:space="preserve">la </w:t>
            </w:r>
            <w:r w:rsidRPr="008E6AD9">
              <w:rPr>
                <w:rFonts w:ascii="Verdana" w:eastAsia="Calibri" w:hAnsi="Verdana" w:cs="Arial"/>
                <w:lang w:val="es-ES_tradnl" w:eastAsia="es-ES_tradnl"/>
              </w:rPr>
              <w:t xml:space="preserve">consulta con radicado No. </w:t>
            </w:r>
            <w:r w:rsidRPr="007F0535">
              <w:rPr>
                <w:rFonts w:ascii="Verdana" w:eastAsia="Calibri" w:hAnsi="Verdana" w:cs="Arial"/>
                <w:lang w:val="es-ES_tradnl" w:eastAsia="es-ES_tradnl"/>
              </w:rPr>
              <w:t>P20241128011984</w:t>
            </w:r>
            <w:r>
              <w:rPr>
                <w:rFonts w:ascii="Verdana" w:eastAsia="Calibri" w:hAnsi="Verdana" w:cs="Arial"/>
                <w:lang w:val="es-ES_tradnl" w:eastAsia="es-ES_tradnl"/>
              </w:rPr>
              <w:t xml:space="preserve">                                   </w:t>
            </w:r>
          </w:p>
        </w:tc>
      </w:tr>
    </w:tbl>
    <w:p w14:paraId="0562CB0E" w14:textId="77777777" w:rsidR="007F0535" w:rsidRPr="00593A5F" w:rsidRDefault="007F0535" w:rsidP="007F0535">
      <w:pPr>
        <w:spacing w:after="0" w:line="240" w:lineRule="auto"/>
        <w:jc w:val="both"/>
        <w:rPr>
          <w:rFonts w:ascii="Verdana" w:eastAsia="Calibri" w:hAnsi="Verdana" w:cs="Arial"/>
          <w:color w:val="000000"/>
          <w:lang w:val="es-ES_tradnl" w:eastAsia="es-ES_tradnl"/>
        </w:rPr>
      </w:pPr>
    </w:p>
    <w:p w14:paraId="34CE0A41" w14:textId="77777777" w:rsidR="007F0535" w:rsidRPr="00593A5F" w:rsidRDefault="007F0535" w:rsidP="007F0535">
      <w:pPr>
        <w:spacing w:after="0" w:line="240" w:lineRule="auto"/>
        <w:jc w:val="both"/>
        <w:rPr>
          <w:rFonts w:ascii="Verdana" w:eastAsia="Calibri" w:hAnsi="Verdana" w:cs="Arial"/>
          <w:color w:val="000000"/>
          <w:lang w:val="es-ES_tradnl" w:eastAsia="es-ES_tradnl"/>
        </w:rPr>
      </w:pPr>
    </w:p>
    <w:p w14:paraId="07560672" w14:textId="77777777" w:rsidR="007F0535" w:rsidRPr="008E6AD9" w:rsidRDefault="007F0535" w:rsidP="007F0535">
      <w:pPr>
        <w:spacing w:after="0" w:line="276" w:lineRule="auto"/>
        <w:jc w:val="both"/>
        <w:rPr>
          <w:rFonts w:ascii="Verdana" w:eastAsia="Calibri" w:hAnsi="Verdana" w:cs="Arial"/>
          <w:lang w:val="es-ES" w:eastAsia="es-ES"/>
        </w:rPr>
      </w:pPr>
      <w:r w:rsidRPr="008E6AD9">
        <w:rPr>
          <w:rFonts w:ascii="Verdana" w:eastAsia="Calibri" w:hAnsi="Verdana" w:cs="Arial"/>
          <w:lang w:val="es-ES" w:eastAsia="es-ES"/>
        </w:rPr>
        <w:t>Estimad</w:t>
      </w:r>
      <w:r>
        <w:rPr>
          <w:rFonts w:ascii="Verdana" w:eastAsia="Calibri" w:hAnsi="Verdana" w:cs="Arial"/>
          <w:lang w:val="es-ES" w:eastAsia="es-ES"/>
        </w:rPr>
        <w:t>o</w:t>
      </w:r>
      <w:r w:rsidRPr="008E6AD9">
        <w:rPr>
          <w:rFonts w:ascii="Verdana" w:eastAsia="Calibri" w:hAnsi="Verdana" w:cs="Arial"/>
          <w:lang w:val="es-ES" w:eastAsia="es-ES"/>
        </w:rPr>
        <w:t xml:space="preserve"> señor </w:t>
      </w:r>
      <w:r>
        <w:rPr>
          <w:rFonts w:ascii="Verdana" w:eastAsia="Calibri" w:hAnsi="Verdana" w:cs="Arial"/>
          <w:lang w:val="es-ES" w:eastAsia="es-ES"/>
        </w:rPr>
        <w:t>Fúquene</w:t>
      </w:r>
      <w:r w:rsidRPr="008E6AD9">
        <w:rPr>
          <w:rFonts w:ascii="Verdana" w:eastAsia="Calibri" w:hAnsi="Verdana" w:cs="Arial"/>
          <w:lang w:val="es-ES" w:eastAsia="es-ES"/>
        </w:rPr>
        <w:t xml:space="preserve">: </w:t>
      </w:r>
    </w:p>
    <w:p w14:paraId="62EBF3C5" w14:textId="77777777" w:rsidR="007F0535" w:rsidRDefault="007F0535" w:rsidP="007F0535">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15727CF" w14:textId="77777777" w:rsidR="007F0535" w:rsidRDefault="007F0535" w:rsidP="007F0535">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 xml:space="preserve">la Agencia Nacional de Contratación Pública – Colombia Compra Eficiente responde </w:t>
      </w:r>
      <w:r>
        <w:rPr>
          <w:rFonts w:ascii="Verdana" w:eastAsia="Calibri" w:hAnsi="Verdana" w:cs="Arial"/>
          <w:color w:val="000000" w:themeColor="text1"/>
          <w:lang w:val="es-ES" w:eastAsia="es-ES"/>
        </w:rPr>
        <w:t>la</w:t>
      </w:r>
      <w:r w:rsidRPr="00593A5F">
        <w:rPr>
          <w:rFonts w:ascii="Verdana" w:eastAsia="Calibri" w:hAnsi="Verdana" w:cs="Arial"/>
          <w:color w:val="000000" w:themeColor="text1"/>
          <w:lang w:val="es-ES" w:eastAsia="es-ES"/>
        </w:rPr>
        <w:t xml:space="preserve"> solicitud de</w:t>
      </w:r>
      <w:r>
        <w:rPr>
          <w:rFonts w:ascii="Verdana" w:eastAsia="Calibri" w:hAnsi="Verdana" w:cs="Arial"/>
          <w:color w:val="000000" w:themeColor="text1"/>
          <w:lang w:val="es-ES" w:eastAsia="es-ES"/>
        </w:rPr>
        <w:t xml:space="preserve"> consulta realizada </w:t>
      </w:r>
      <w:r>
        <w:rPr>
          <w:rFonts w:ascii="Verdana" w:eastAsia="Calibri" w:hAnsi="Verdana" w:cs="Arial"/>
          <w:lang w:val="es-ES" w:eastAsia="es-ES"/>
        </w:rPr>
        <w:t xml:space="preserve">el 28 de noviembre de 2024, </w:t>
      </w:r>
      <w:r w:rsidRPr="008E6AD9">
        <w:rPr>
          <w:rFonts w:ascii="Verdana" w:eastAsia="Calibri" w:hAnsi="Verdana" w:cs="Arial"/>
          <w:lang w:val="es-ES" w:eastAsia="es-ES"/>
        </w:rPr>
        <w:t xml:space="preserve">en </w:t>
      </w:r>
      <w:r>
        <w:rPr>
          <w:rFonts w:ascii="Verdana" w:eastAsia="Calibri" w:hAnsi="Verdana" w:cs="Arial"/>
          <w:lang w:val="es-ES" w:eastAsia="es-ES"/>
        </w:rPr>
        <w:t>el cual plantea las siguientes inquietudes</w:t>
      </w:r>
      <w:r w:rsidRPr="008E6AD9">
        <w:rPr>
          <w:rFonts w:ascii="Verdana" w:eastAsia="Calibri" w:hAnsi="Verdana" w:cs="Arial"/>
          <w:lang w:val="es-ES" w:eastAsia="es-ES"/>
        </w:rPr>
        <w:t xml:space="preserve">: </w:t>
      </w:r>
    </w:p>
    <w:p w14:paraId="6D98A12B" w14:textId="77777777" w:rsidR="00582DE3" w:rsidRPr="00593A5F" w:rsidRDefault="00582DE3" w:rsidP="007F0535">
      <w:pPr>
        <w:spacing w:after="0" w:line="276" w:lineRule="auto"/>
        <w:jc w:val="both"/>
        <w:rPr>
          <w:rFonts w:ascii="Verdana" w:eastAsia="Calibri" w:hAnsi="Verdana" w:cs="Arial"/>
          <w:color w:val="7030A0"/>
          <w:lang w:val="es-ES" w:eastAsia="es-ES"/>
        </w:rPr>
      </w:pPr>
    </w:p>
    <w:p w14:paraId="2946DB82" w14:textId="77777777" w:rsidR="007F0535" w:rsidRPr="00272A7B" w:rsidRDefault="007F0535" w:rsidP="007F0535">
      <w:pPr>
        <w:pStyle w:val="Prrafodelista"/>
        <w:tabs>
          <w:tab w:val="left" w:pos="142"/>
          <w:tab w:val="left" w:pos="284"/>
        </w:tabs>
        <w:spacing w:after="0" w:line="276" w:lineRule="auto"/>
        <w:ind w:left="0"/>
        <w:jc w:val="both"/>
        <w:rPr>
          <w:rFonts w:ascii="Verdana" w:eastAsia="Century Gothic" w:hAnsi="Verdana" w:cs="Century Gothic"/>
          <w:b/>
          <w:bCs/>
        </w:rPr>
      </w:pPr>
    </w:p>
    <w:p w14:paraId="7BA26D37" w14:textId="77777777" w:rsidR="007F0535" w:rsidRPr="00582DE3" w:rsidRDefault="007F0535" w:rsidP="00582DE3">
      <w:pPr>
        <w:spacing w:after="120" w:line="240" w:lineRule="auto"/>
        <w:ind w:left="709" w:right="709"/>
        <w:jc w:val="both"/>
        <w:rPr>
          <w:rFonts w:ascii="Verdana" w:eastAsia="Century Gothic" w:hAnsi="Verdana" w:cs="Century Gothic"/>
          <w:sz w:val="21"/>
          <w:szCs w:val="21"/>
          <w:lang w:val="es-ES"/>
        </w:rPr>
      </w:pPr>
      <w:bookmarkStart w:id="0" w:name="_Hlk95313578"/>
      <w:r w:rsidRPr="00582DE3">
        <w:rPr>
          <w:rFonts w:ascii="Verdana" w:eastAsia="Century Gothic" w:hAnsi="Verdana" w:cs="Century Gothic"/>
          <w:sz w:val="21"/>
          <w:szCs w:val="21"/>
          <w:lang w:val="es-ES"/>
        </w:rPr>
        <w:t>“</w:t>
      </w:r>
      <w:bookmarkEnd w:id="0"/>
      <w:r w:rsidR="00582DE3" w:rsidRPr="00582DE3">
        <w:rPr>
          <w:rFonts w:ascii="Verdana" w:hAnsi="Verdana"/>
          <w:sz w:val="21"/>
          <w:szCs w:val="21"/>
        </w:rPr>
        <w:t>¿Es causal de rechazo en un procedimiento de selección de subasta inversa electronica, cuando el proponente incluye su oferta económica en el sobre No. 1 de la plataforma Secop II</w:t>
      </w:r>
      <w:r w:rsidRPr="00582DE3">
        <w:rPr>
          <w:rFonts w:ascii="Verdana" w:hAnsi="Verdana"/>
          <w:sz w:val="21"/>
          <w:szCs w:val="21"/>
        </w:rPr>
        <w:t>?</w:t>
      </w:r>
      <w:r w:rsidRPr="00582DE3">
        <w:rPr>
          <w:rFonts w:ascii="Verdana" w:eastAsia="Century Gothic" w:hAnsi="Verdana" w:cs="Century Gothic"/>
          <w:sz w:val="21"/>
          <w:szCs w:val="21"/>
          <w:lang w:val="es-ES"/>
        </w:rPr>
        <w:t xml:space="preserve">”. </w:t>
      </w:r>
    </w:p>
    <w:p w14:paraId="5997CC1D" w14:textId="77777777" w:rsidR="007F0535" w:rsidRPr="008E6AD9" w:rsidRDefault="007F0535" w:rsidP="007F0535">
      <w:pPr>
        <w:pStyle w:val="Prrafodelista"/>
        <w:tabs>
          <w:tab w:val="left" w:pos="142"/>
          <w:tab w:val="left" w:pos="284"/>
        </w:tabs>
        <w:spacing w:line="276" w:lineRule="auto"/>
        <w:ind w:left="0"/>
        <w:jc w:val="both"/>
        <w:rPr>
          <w:rFonts w:ascii="Verdana" w:eastAsia="Century Gothic" w:hAnsi="Verdana" w:cs="Century Gothic"/>
          <w:b/>
          <w:bCs/>
        </w:rPr>
      </w:pPr>
    </w:p>
    <w:p w14:paraId="29A221DA" w14:textId="77777777" w:rsidR="007F0535" w:rsidRPr="00A652FF" w:rsidRDefault="007F0535" w:rsidP="007F0535">
      <w:pPr>
        <w:spacing w:after="120" w:line="276" w:lineRule="auto"/>
        <w:ind w:firstLine="709"/>
        <w:jc w:val="both"/>
        <w:rPr>
          <w:rFonts w:ascii="Verdana" w:eastAsia="Calibri" w:hAnsi="Verdana" w:cs="Arial"/>
          <w:color w:val="000000"/>
          <w:lang w:val="es-ES" w:eastAsia="es-ES"/>
        </w:rPr>
      </w:pPr>
      <w:r>
        <w:rPr>
          <w:rFonts w:ascii="Verdana" w:eastAsia="Calibri" w:hAnsi="Verdana" w:cs="Arial"/>
          <w:color w:val="000000"/>
          <w:lang w:val="es-ES" w:eastAsia="es-ES"/>
        </w:rPr>
        <w:t>De manera preliminar</w:t>
      </w:r>
      <w:r w:rsidRPr="00593A5F">
        <w:rPr>
          <w:rFonts w:ascii="Verdana" w:eastAsia="Calibri" w:hAnsi="Verdana" w:cs="Arial"/>
          <w:color w:val="000000"/>
          <w:lang w:val="es-ES" w:eastAsia="es-ES"/>
        </w:rPr>
        <w:t xml:space="preserve">,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w:t>
      </w:r>
      <w:r w:rsidRPr="00593A5F">
        <w:rPr>
          <w:rFonts w:ascii="Verdana" w:eastAsia="Calibri" w:hAnsi="Verdana" w:cs="Arial"/>
          <w:color w:val="000000"/>
          <w:lang w:val="es-ES" w:eastAsia="es-ES"/>
        </w:rPr>
        <w:lastRenderedPageBreak/>
        <w:t xml:space="preserve">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03EC76FE" w14:textId="77777777" w:rsidR="007F0535" w:rsidRDefault="007F0535" w:rsidP="007F0535">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w:t>
      </w:r>
      <w:r>
        <w:rPr>
          <w:rFonts w:ascii="Verdana" w:eastAsia="Calibri" w:hAnsi="Verdana" w:cs="Arial"/>
          <w:color w:val="000000"/>
          <w:lang w:val="es-ES" w:eastAsia="es-ES"/>
        </w:rPr>
        <w:t>en la solicitud</w:t>
      </w:r>
      <w:r w:rsidRPr="00593A5F">
        <w:rPr>
          <w:rFonts w:ascii="Verdana" w:eastAsia="Calibri" w:hAnsi="Verdana" w:cs="Arial"/>
          <w:color w:val="000000"/>
          <w:lang w:val="es-ES" w:eastAsia="es-ES"/>
        </w:rPr>
        <w:t>, pero haciendo unas consideraciones</w:t>
      </w:r>
      <w:r>
        <w:rPr>
          <w:rFonts w:ascii="Verdana" w:eastAsia="Calibri" w:hAnsi="Verdana" w:cs="Arial"/>
          <w:color w:val="000000"/>
          <w:lang w:val="es-ES" w:eastAsia="es-ES"/>
        </w:rPr>
        <w:t xml:space="preserve"> </w:t>
      </w:r>
      <w:r w:rsidRPr="00593A5F">
        <w:rPr>
          <w:rFonts w:ascii="Verdana" w:eastAsia="Calibri" w:hAnsi="Verdana" w:cs="Arial"/>
          <w:color w:val="000000"/>
          <w:lang w:val="es-ES" w:eastAsia="es-ES"/>
        </w:rPr>
        <w:t xml:space="preserve">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110FFD37" w14:textId="77777777" w:rsidR="007F0535" w:rsidRPr="00593A5F" w:rsidRDefault="007F0535" w:rsidP="007F0535">
      <w:pPr>
        <w:spacing w:after="0" w:line="276" w:lineRule="auto"/>
        <w:ind w:firstLine="709"/>
        <w:jc w:val="both"/>
        <w:rPr>
          <w:rFonts w:ascii="Verdana" w:eastAsia="Calibri" w:hAnsi="Verdana" w:cs="Arial"/>
          <w:color w:val="000000"/>
          <w:lang w:val="es-ES" w:eastAsia="es-ES"/>
        </w:rPr>
      </w:pPr>
    </w:p>
    <w:p w14:paraId="6445C295" w14:textId="77777777" w:rsidR="007F0535" w:rsidRPr="00593A5F" w:rsidRDefault="007F0535" w:rsidP="007F0535">
      <w:pPr>
        <w:pStyle w:val="Prrafodelista"/>
        <w:numPr>
          <w:ilvl w:val="0"/>
          <w:numId w:val="1"/>
        </w:numPr>
        <w:tabs>
          <w:tab w:val="left" w:pos="142"/>
          <w:tab w:val="left" w:pos="284"/>
        </w:tabs>
        <w:spacing w:after="0" w:line="276" w:lineRule="auto"/>
        <w:ind w:left="0" w:firstLine="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Problema planteado:</w:t>
      </w:r>
    </w:p>
    <w:p w14:paraId="6B699379" w14:textId="77777777" w:rsidR="007F0535" w:rsidRPr="00593A5F" w:rsidRDefault="007F0535" w:rsidP="007F0535">
      <w:pPr>
        <w:tabs>
          <w:tab w:val="left" w:pos="426"/>
        </w:tabs>
        <w:spacing w:after="0" w:line="276" w:lineRule="auto"/>
        <w:jc w:val="both"/>
        <w:rPr>
          <w:rFonts w:ascii="Verdana" w:eastAsia="Century Gothic" w:hAnsi="Verdana" w:cs="Century Gothic"/>
          <w:lang w:val="es-ES"/>
        </w:rPr>
      </w:pPr>
    </w:p>
    <w:p w14:paraId="3FF5E3C0" w14:textId="38EC6E32" w:rsidR="007F0535" w:rsidRPr="00593A5F" w:rsidRDefault="007F0535" w:rsidP="007F0535">
      <w:pPr>
        <w:spacing w:after="0" w:line="276" w:lineRule="auto"/>
        <w:jc w:val="both"/>
        <w:rPr>
          <w:rFonts w:ascii="Verdana" w:eastAsia="Century Gothic" w:hAnsi="Verdana" w:cs="Century Gothic"/>
        </w:rPr>
      </w:pPr>
      <w:r>
        <w:rPr>
          <w:rFonts w:ascii="Verdana" w:eastAsia="Century Gothic" w:hAnsi="Verdana" w:cs="Century Gothic"/>
        </w:rPr>
        <w:t xml:space="preserve">De acuerdo con el contenido de </w:t>
      </w:r>
      <w:r w:rsidRPr="00593A5F">
        <w:rPr>
          <w:rFonts w:ascii="Verdana" w:eastAsia="Century Gothic" w:hAnsi="Verdana" w:cs="Century Gothic"/>
        </w:rPr>
        <w:t xml:space="preserve">su solicitud, esta Agencia resolverá </w:t>
      </w:r>
      <w:r>
        <w:rPr>
          <w:rFonts w:ascii="Verdana" w:eastAsia="Century Gothic" w:hAnsi="Verdana" w:cs="Century Gothic"/>
        </w:rPr>
        <w:t>el</w:t>
      </w:r>
      <w:r w:rsidRPr="00593A5F">
        <w:rPr>
          <w:rFonts w:ascii="Verdana" w:eastAsia="Century Gothic" w:hAnsi="Verdana" w:cs="Century Gothic"/>
        </w:rPr>
        <w:t xml:space="preserve"> siguiente problema jurídico: </w:t>
      </w:r>
      <w:r>
        <w:rPr>
          <w:rFonts w:ascii="Verdana" w:eastAsia="Century Gothic" w:hAnsi="Verdana" w:cs="Century Gothic"/>
        </w:rPr>
        <w:t>i. ¿en un proceso de selección abreviada con modalidad subasta inversa, la presentación de oferta económica en sobre que no corresponda, es causal de rechazo de la oferta?</w:t>
      </w:r>
    </w:p>
    <w:p w14:paraId="3FE9F23F" w14:textId="77777777" w:rsidR="007F0535" w:rsidRPr="004B140F" w:rsidRDefault="007F0535" w:rsidP="007F0535">
      <w:pPr>
        <w:spacing w:after="0" w:line="276" w:lineRule="auto"/>
        <w:jc w:val="both"/>
        <w:rPr>
          <w:rFonts w:ascii="Verdana" w:eastAsia="Calibri" w:hAnsi="Verdana" w:cs="Arial"/>
          <w:color w:val="7030A0"/>
        </w:rPr>
      </w:pPr>
    </w:p>
    <w:p w14:paraId="57B34330" w14:textId="77777777" w:rsidR="007F0535" w:rsidRPr="00593A5F" w:rsidRDefault="007F0535" w:rsidP="007F053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Pr>
          <w:rFonts w:ascii="Verdana" w:eastAsia="Century Gothic" w:hAnsi="Verdana" w:cs="Century Gothic"/>
          <w:b/>
          <w:bCs/>
        </w:rPr>
        <w:t xml:space="preserve"> </w:t>
      </w:r>
      <w:r w:rsidRPr="00593A5F">
        <w:rPr>
          <w:rFonts w:ascii="Verdana" w:eastAsia="Century Gothic" w:hAnsi="Verdana" w:cs="Century Gothic"/>
          <w:b/>
          <w:bCs/>
        </w:rPr>
        <w:t>Respuesta:</w:t>
      </w:r>
    </w:p>
    <w:p w14:paraId="1F72F646" w14:textId="77777777" w:rsidR="007F0535" w:rsidRPr="00593A5F" w:rsidRDefault="007F0535" w:rsidP="007F0535">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F0535" w:rsidRPr="00FB5A88" w14:paraId="0CEBFEFF" w14:textId="77777777" w:rsidTr="00C77973">
        <w:trPr>
          <w:jc w:val="center"/>
        </w:trPr>
        <w:tc>
          <w:tcPr>
            <w:tcW w:w="8828" w:type="dxa"/>
            <w:shd w:val="clear" w:color="auto" w:fill="auto"/>
          </w:tcPr>
          <w:p w14:paraId="7A23B354" w14:textId="77777777" w:rsidR="00E14A0F" w:rsidRDefault="007F0535" w:rsidP="00E14A0F">
            <w:pPr>
              <w:spacing w:line="276" w:lineRule="auto"/>
              <w:jc w:val="both"/>
              <w:rPr>
                <w:rFonts w:ascii="Verdana" w:eastAsia="Calibri" w:hAnsi="Verdana" w:cs="Arial"/>
                <w:lang w:val="es-MX" w:eastAsia="es-MX"/>
              </w:rPr>
            </w:pPr>
            <w:bookmarkStart w:id="1" w:name="_Hlk171694685"/>
            <w:r w:rsidRPr="00FB5A88">
              <w:rPr>
                <w:rFonts w:ascii="Verdana" w:eastAsia="Times New Roman" w:hAnsi="Verdana" w:cs="Arial"/>
                <w:color w:val="000000" w:themeColor="text1"/>
                <w:lang w:val="es-ES"/>
              </w:rPr>
              <w:t>i</w:t>
            </w:r>
            <w:r w:rsidR="00E14A0F" w:rsidRPr="00FB5A88">
              <w:rPr>
                <w:rFonts w:ascii="Verdana" w:eastAsia="Times New Roman" w:hAnsi="Verdana" w:cs="Arial"/>
                <w:color w:val="000000" w:themeColor="text1"/>
              </w:rPr>
              <w:t xml:space="preserve"> </w:t>
            </w:r>
            <w:r w:rsidR="00E14A0F" w:rsidRPr="00FB5A88">
              <w:rPr>
                <w:rFonts w:ascii="Verdana" w:eastAsia="Times New Roman" w:hAnsi="Verdana" w:cs="Arial"/>
                <w:color w:val="000000" w:themeColor="text1"/>
                <w:lang w:val="es-ES"/>
              </w:rPr>
              <w:t xml:space="preserve">i. </w:t>
            </w:r>
            <w:r w:rsidR="00E14A0F" w:rsidRPr="00F217FD">
              <w:rPr>
                <w:rFonts w:ascii="Verdana" w:eastAsia="Calibri" w:hAnsi="Verdana" w:cs="Arial"/>
                <w:lang w:val="es-ES_tradn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w:t>
            </w:r>
            <w:r w:rsidR="00E14A0F">
              <w:rPr>
                <w:rFonts w:ascii="Verdana" w:eastAsia="Calibri" w:hAnsi="Verdana" w:cs="Arial"/>
                <w:lang w:val="es-ES_tradnl"/>
              </w:rPr>
              <w:t>n</w:t>
            </w:r>
            <w:r w:rsidR="00E14A0F" w:rsidRPr="00F217FD">
              <w:rPr>
                <w:rFonts w:ascii="Verdana" w:eastAsia="Calibri" w:hAnsi="Verdana" w:cs="Arial"/>
                <w:lang w:val="es-ES_tradnl"/>
              </w:rPr>
              <w:t xml:space="preserve">, </w:t>
            </w:r>
            <w:r w:rsidR="00E14A0F" w:rsidRPr="00F217FD">
              <w:rPr>
                <w:rFonts w:ascii="Verdana" w:eastAsia="Calibri" w:hAnsi="Verdana" w:cs="Arial"/>
                <w:lang w:val="es-MX" w:eastAsia="es-MX"/>
              </w:rPr>
              <w:t>las cuales son taxativas, descartándose que la entidad introduzca nuevas, salvo las contempladas directamente en la ley.</w:t>
            </w:r>
          </w:p>
          <w:p w14:paraId="08CE6F91" w14:textId="77777777" w:rsidR="00E14A0F" w:rsidRDefault="00E14A0F" w:rsidP="00E14A0F">
            <w:pPr>
              <w:spacing w:line="276" w:lineRule="auto"/>
              <w:jc w:val="both"/>
              <w:rPr>
                <w:rFonts w:ascii="Verdana" w:eastAsia="Calibri" w:hAnsi="Verdana" w:cs="Arial"/>
                <w:lang w:val="es-MX" w:eastAsia="es-MX"/>
              </w:rPr>
            </w:pPr>
          </w:p>
          <w:p w14:paraId="02D46B45" w14:textId="77777777" w:rsidR="00E14A0F" w:rsidRDefault="00E14A0F" w:rsidP="00E14A0F">
            <w:pPr>
              <w:spacing w:line="276" w:lineRule="auto"/>
              <w:jc w:val="both"/>
              <w:rPr>
                <w:rFonts w:ascii="Verdana" w:eastAsia="Calibri" w:hAnsi="Verdana" w:cs="Arial"/>
                <w:lang w:val="es-ES"/>
              </w:rPr>
            </w:pPr>
            <w:r w:rsidRPr="0594F8A8">
              <w:rPr>
                <w:rFonts w:ascii="Verdana" w:eastAsia="Calibri" w:hAnsi="Verdana" w:cs="Arial"/>
                <w:lang w:val="es-ES"/>
              </w:rPr>
              <w:t>Por la naturaleza propia de las causales de rechazo, su aplicación es estricta,</w:t>
            </w:r>
            <w:r>
              <w:rPr>
                <w:rFonts w:ascii="Verdana" w:eastAsia="Calibri" w:hAnsi="Verdana" w:cs="Arial"/>
                <w:lang w:val="es-ES"/>
              </w:rPr>
              <w:t xml:space="preserve"> taxativa </w:t>
            </w:r>
            <w:r w:rsidRPr="0594F8A8">
              <w:rPr>
                <w:rFonts w:ascii="Verdana" w:eastAsia="Calibri" w:hAnsi="Verdana" w:cs="Arial"/>
                <w:lang w:val="es-ES"/>
              </w:rPr>
              <w:t>y restrictiva, lo que significa que su interpretación gramatical prevalece sobre una interpretación extensiva o de otra índole, mediante la cual se pretenda ampliar su alcance.</w:t>
            </w:r>
          </w:p>
          <w:p w14:paraId="61CDCEAD" w14:textId="77777777" w:rsidR="00E14A0F" w:rsidRDefault="00E14A0F" w:rsidP="00E14A0F">
            <w:pPr>
              <w:spacing w:line="276" w:lineRule="auto"/>
              <w:jc w:val="both"/>
              <w:rPr>
                <w:rFonts w:ascii="Verdana" w:eastAsia="Calibri" w:hAnsi="Verdana" w:cs="Arial"/>
                <w:lang w:val="es-ES"/>
              </w:rPr>
            </w:pPr>
          </w:p>
          <w:p w14:paraId="38B02644" w14:textId="77777777" w:rsidR="007F0535" w:rsidRPr="007F0535" w:rsidRDefault="00E14A0F" w:rsidP="00E14A0F">
            <w:pPr>
              <w:spacing w:line="276" w:lineRule="auto"/>
              <w:jc w:val="both"/>
              <w:rPr>
                <w:rFonts w:ascii="Verdana" w:eastAsia="Calibri" w:hAnsi="Verdana" w:cs="Arial"/>
                <w:lang w:val="es-ES_tradnl"/>
              </w:rPr>
            </w:pPr>
            <w:r>
              <w:rPr>
                <w:rFonts w:ascii="Verdana" w:eastAsia="Calibri" w:hAnsi="Verdana" w:cs="Arial"/>
                <w:lang w:val="es-ES"/>
              </w:rPr>
              <w:lastRenderedPageBreak/>
              <w:t>Ahora bien, es preciso que se verifique las condiciones propias de cada proceso de selección en el que se pretenda participar, con el fin de dar cumplimiento estricto a las reglas propias de este, y no incurrir en causales de rechazo.</w:t>
            </w:r>
          </w:p>
        </w:tc>
      </w:tr>
    </w:tbl>
    <w:p w14:paraId="6BB9E253" w14:textId="77777777" w:rsidR="007F0535" w:rsidRPr="00FB5A88" w:rsidRDefault="007F0535" w:rsidP="007F0535">
      <w:pPr>
        <w:tabs>
          <w:tab w:val="left" w:pos="142"/>
          <w:tab w:val="left" w:pos="284"/>
        </w:tabs>
        <w:spacing w:after="0" w:line="276" w:lineRule="auto"/>
        <w:jc w:val="both"/>
        <w:rPr>
          <w:rFonts w:ascii="Verdana" w:eastAsia="Century Gothic" w:hAnsi="Verdana" w:cs="Century Gothic"/>
          <w:b/>
          <w:bCs/>
        </w:rPr>
      </w:pPr>
    </w:p>
    <w:bookmarkEnd w:id="1"/>
    <w:p w14:paraId="4DF64E17" w14:textId="77777777" w:rsidR="007F0535" w:rsidRPr="00FB5A88" w:rsidRDefault="007F0535" w:rsidP="007F053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FB5A88">
        <w:rPr>
          <w:rFonts w:ascii="Verdana" w:eastAsia="Century Gothic" w:hAnsi="Verdana" w:cs="Century Gothic"/>
          <w:b/>
          <w:bCs/>
        </w:rPr>
        <w:t xml:space="preserve"> Razones de la respuesta:</w:t>
      </w:r>
    </w:p>
    <w:p w14:paraId="23DE523C" w14:textId="77777777" w:rsidR="007F0535" w:rsidRPr="00FB5A88" w:rsidRDefault="007F0535" w:rsidP="007F0535">
      <w:pPr>
        <w:spacing w:after="0" w:line="276" w:lineRule="auto"/>
        <w:jc w:val="both"/>
        <w:rPr>
          <w:rFonts w:ascii="Verdana" w:eastAsia="Calibri" w:hAnsi="Verdana" w:cs="Arial"/>
          <w:color w:val="7030A0"/>
          <w:lang w:val="es-ES"/>
        </w:rPr>
      </w:pPr>
    </w:p>
    <w:p w14:paraId="23916820" w14:textId="77777777" w:rsidR="007F0535" w:rsidRDefault="007F0535" w:rsidP="007F0535">
      <w:pPr>
        <w:spacing w:after="0" w:line="276" w:lineRule="auto"/>
        <w:jc w:val="both"/>
        <w:rPr>
          <w:rFonts w:ascii="Verdana" w:eastAsia="Calibri" w:hAnsi="Verdana" w:cs="Arial"/>
          <w:lang w:val="es-ES"/>
        </w:rPr>
      </w:pPr>
      <w:r w:rsidRPr="00FB5A88">
        <w:rPr>
          <w:rFonts w:ascii="Verdana" w:eastAsia="Calibri" w:hAnsi="Verdana" w:cs="Arial"/>
          <w:lang w:val="es-ES"/>
        </w:rPr>
        <w:t>Lo anterior se sustenta en las siguientes consideraciones:</w:t>
      </w:r>
    </w:p>
    <w:p w14:paraId="52E56223" w14:textId="77777777" w:rsidR="007F0535" w:rsidRDefault="007F0535" w:rsidP="007F0535">
      <w:pPr>
        <w:spacing w:after="0" w:line="276" w:lineRule="auto"/>
        <w:jc w:val="both"/>
        <w:rPr>
          <w:rFonts w:ascii="Verdana" w:eastAsia="Calibri" w:hAnsi="Verdana" w:cs="Arial"/>
          <w:color w:val="000000" w:themeColor="text1"/>
        </w:rPr>
      </w:pPr>
    </w:p>
    <w:p w14:paraId="41B918DF" w14:textId="77777777" w:rsidR="007F0535" w:rsidRPr="00F217FD" w:rsidRDefault="007F0535" w:rsidP="007F0535">
      <w:pPr>
        <w:numPr>
          <w:ilvl w:val="0"/>
          <w:numId w:val="5"/>
        </w:numPr>
        <w:snapToGrid w:val="0"/>
        <w:spacing w:after="0" w:line="276" w:lineRule="auto"/>
        <w:jc w:val="both"/>
        <w:rPr>
          <w:rFonts w:ascii="Verdana" w:eastAsia="Calibri" w:hAnsi="Verdana" w:cs="Arial"/>
          <w:kern w:val="2"/>
          <w:lang w:val="es-ES"/>
          <w14:ligatures w14:val="standardContextual"/>
        </w:rPr>
      </w:pPr>
      <w:r w:rsidRPr="00F217FD">
        <w:rPr>
          <w:rFonts w:ascii="Verdana" w:eastAsia="Calibri" w:hAnsi="Verdana" w:cs="Arial"/>
          <w:kern w:val="2"/>
          <w:lang w:val="es-ES_tradnl"/>
          <w14:ligatures w14:val="standardContextual"/>
        </w:rPr>
        <w:t>Las causales de rechazo son las establecidas en la Ley y las fijadas por la Entidad Estatal en los pliegos de condiciones. Sin embargo, en ejercicio de dicha facultad, a las entidades no les es dable fijar causales de rechazo que soslayen o afecten la selección objetiva en la contratación. Sobre el particular, el Consejo de Estado</w:t>
      </w:r>
      <w:r w:rsidRPr="00F217FD">
        <w:rPr>
          <w:rFonts w:ascii="Verdana" w:eastAsia="Calibri" w:hAnsi="Verdana" w:cs="Arial"/>
          <w:i/>
          <w:iCs/>
          <w:kern w:val="2"/>
          <w:vertAlign w:val="superscript"/>
          <w:lang w:val="es-ES_tradnl"/>
          <w14:ligatures w14:val="standardContextual"/>
        </w:rPr>
        <w:footnoteReference w:id="2"/>
      </w:r>
      <w:r w:rsidRPr="00F217FD">
        <w:rPr>
          <w:rFonts w:ascii="Verdana" w:eastAsia="Calibri" w:hAnsi="Verdana" w:cs="Arial"/>
          <w:kern w:val="2"/>
          <w:lang w:val="es-ES_tradnl"/>
          <w14:ligatures w14:val="standardContextual"/>
        </w:rPr>
        <w:t xml:space="preserve"> señala:</w:t>
      </w:r>
    </w:p>
    <w:p w14:paraId="07547A01" w14:textId="77777777" w:rsidR="007F0535" w:rsidRPr="00F217FD" w:rsidRDefault="007F0535" w:rsidP="007F0535">
      <w:pPr>
        <w:tabs>
          <w:tab w:val="left" w:pos="709"/>
        </w:tabs>
        <w:spacing w:after="0" w:line="276" w:lineRule="auto"/>
        <w:jc w:val="both"/>
        <w:rPr>
          <w:rFonts w:ascii="Verdana" w:eastAsia="Calibri" w:hAnsi="Verdana" w:cs="Arial"/>
          <w:kern w:val="2"/>
          <w:lang w:val="es-ES_tradnl"/>
          <w14:ligatures w14:val="standardContextual"/>
        </w:rPr>
      </w:pPr>
    </w:p>
    <w:p w14:paraId="274DF5BE" w14:textId="77777777" w:rsidR="007F0535" w:rsidRPr="00F217FD" w:rsidRDefault="007F0535" w:rsidP="007F0535">
      <w:pPr>
        <w:tabs>
          <w:tab w:val="left" w:pos="709"/>
        </w:tabs>
        <w:spacing w:after="0" w:line="240" w:lineRule="auto"/>
        <w:ind w:left="709" w:right="709"/>
        <w:jc w:val="both"/>
        <w:rPr>
          <w:rFonts w:ascii="Verdana" w:eastAsia="Calibri" w:hAnsi="Verdana" w:cs="Arial"/>
          <w:kern w:val="2"/>
          <w:sz w:val="21"/>
          <w:szCs w:val="21"/>
          <w:lang w:val="es-ES"/>
          <w14:ligatures w14:val="standardContextual"/>
        </w:rPr>
      </w:pPr>
      <w:r w:rsidRPr="0594F8A8">
        <w:rPr>
          <w:rFonts w:ascii="Verdana" w:eastAsia="Calibri" w:hAnsi="Verdana" w:cs="Arial"/>
          <w:kern w:val="2"/>
          <w:sz w:val="21"/>
          <w:szCs w:val="21"/>
          <w:lang w:val="es-ES"/>
          <w14:ligatures w14:val="standardContextual"/>
        </w:rPr>
        <w:t>“Quiere con esto destacar la Sala que las causales de rechazo de las propuestas pueden ser legales y por lo mismo generan el efecto del descarte o exclusión de la oferta ope legis, sin necesidad de que se haga referencia a las mismas en el pliego de condiciones; o también pueden las causales de rechazo de las propuestas ser establecidas expresamente por la entidad en el respectivo pliego de condiciones. Lo cierto es que, sea que las causales de rechazo de la oferta emanen directamente de la ley o del pliego de condiciones, en uno y en otro caso se refieren a defectos, omisiones o circunstancias impeditivas que permiten deducir que la misma no resulta favorable para los intereses de la entidad y los fines de la contratación y que de soslayarse se comprometería el cumplimiento de los principios de transparencia, economía y responsabilidad, así como el deber de selección objetiva en la contratación.”</w:t>
      </w:r>
    </w:p>
    <w:p w14:paraId="5043CB0F" w14:textId="77777777" w:rsidR="007F0535" w:rsidRPr="00F217FD" w:rsidRDefault="007F0535" w:rsidP="007F0535">
      <w:pPr>
        <w:spacing w:after="0" w:line="276" w:lineRule="auto"/>
        <w:ind w:firstLine="708"/>
        <w:jc w:val="both"/>
        <w:rPr>
          <w:rFonts w:ascii="Verdana" w:eastAsia="Calibri" w:hAnsi="Verdana" w:cs="Arial"/>
          <w:kern w:val="2"/>
          <w:lang w:val="es-ES_tradnl"/>
          <w14:ligatures w14:val="standardContextual"/>
        </w:rPr>
      </w:pPr>
    </w:p>
    <w:p w14:paraId="5EF51F85" w14:textId="77777777" w:rsidR="007F0535" w:rsidRPr="00F217FD" w:rsidRDefault="007F0535" w:rsidP="007F0535">
      <w:pPr>
        <w:numPr>
          <w:ilvl w:val="0"/>
          <w:numId w:val="6"/>
        </w:numPr>
        <w:spacing w:after="0" w:line="276" w:lineRule="auto"/>
        <w:jc w:val="both"/>
        <w:rPr>
          <w:rFonts w:ascii="Verdana" w:eastAsia="Calibri" w:hAnsi="Verdana" w:cs="Arial"/>
          <w:kern w:val="2"/>
          <w:lang w:val="es-ES_tradnl"/>
          <w14:ligatures w14:val="standardContextual"/>
        </w:rPr>
      </w:pPr>
      <w:r w:rsidRPr="00F217FD">
        <w:rPr>
          <w:rFonts w:ascii="Verdana" w:eastAsia="Calibri" w:hAnsi="Verdana" w:cs="Arial"/>
          <w:kern w:val="2"/>
          <w:lang w:val="es-ES_tradnl"/>
          <w14:ligatures w14:val="standardContextual"/>
        </w:rPr>
        <w:t>De igual forma, esta Agencia ha reiterado la postura del Consejo de Estado, según la cual, por la naturaleza propia de las causales de rechazo, su aplicación es estricta y restrictiva, lo que significa que su interpretación gramatical prevalece sobre una interpretación extensiva o de otra índole, mediante la cual se pretenda ampliar su alcance. Al respecto, el Consejo de Estado</w:t>
      </w:r>
      <w:r w:rsidRPr="00F217FD">
        <w:rPr>
          <w:rFonts w:ascii="Aptos" w:eastAsia="Aptos" w:hAnsi="Aptos" w:cs="Times New Roman"/>
          <w:i/>
          <w:kern w:val="2"/>
          <w:sz w:val="24"/>
          <w:szCs w:val="24"/>
          <w:vertAlign w:val="superscript"/>
          <w:lang w:val="es-ES_tradnl"/>
          <w14:ligatures w14:val="standardContextual"/>
        </w:rPr>
        <w:footnoteReference w:id="3"/>
      </w:r>
      <w:r w:rsidRPr="00F217FD">
        <w:rPr>
          <w:rFonts w:ascii="Verdana" w:eastAsia="Calibri" w:hAnsi="Verdana" w:cs="Arial"/>
          <w:kern w:val="2"/>
          <w:lang w:val="es-ES_tradnl"/>
          <w14:ligatures w14:val="standardContextual"/>
        </w:rPr>
        <w:t xml:space="preserve"> sostuvo: </w:t>
      </w:r>
    </w:p>
    <w:p w14:paraId="07459315" w14:textId="77777777" w:rsidR="007F0535" w:rsidRPr="00F217FD" w:rsidRDefault="007F0535" w:rsidP="007F0535">
      <w:pPr>
        <w:spacing w:after="0" w:line="276" w:lineRule="auto"/>
        <w:ind w:left="709" w:right="709"/>
        <w:jc w:val="both"/>
        <w:rPr>
          <w:rFonts w:ascii="Verdana" w:eastAsia="Times New Roman" w:hAnsi="Verdana" w:cs="Arial"/>
          <w:bCs/>
          <w:iCs/>
          <w:kern w:val="2"/>
          <w:lang w:val="es-ES_tradnl" w:eastAsia="es-MX"/>
          <w14:ligatures w14:val="standardContextual"/>
        </w:rPr>
      </w:pPr>
    </w:p>
    <w:p w14:paraId="076E09AB" w14:textId="77777777" w:rsidR="007F0535" w:rsidRPr="00F217FD" w:rsidRDefault="007F0535" w:rsidP="007F0535">
      <w:pPr>
        <w:spacing w:after="0" w:line="240" w:lineRule="auto"/>
        <w:ind w:left="709" w:right="709"/>
        <w:jc w:val="both"/>
        <w:rPr>
          <w:rFonts w:ascii="Verdana" w:eastAsia="Times New Roman" w:hAnsi="Verdana" w:cs="Arial"/>
          <w:bCs/>
          <w:iCs/>
          <w:kern w:val="2"/>
          <w:sz w:val="21"/>
          <w:szCs w:val="21"/>
          <w:lang w:val="es-ES_tradnl" w:eastAsia="es-MX"/>
          <w14:ligatures w14:val="standardContextual"/>
        </w:rPr>
      </w:pPr>
      <w:r w:rsidRPr="00F217FD">
        <w:rPr>
          <w:rFonts w:ascii="Verdana" w:eastAsia="Times New Roman" w:hAnsi="Verdana" w:cs="Arial"/>
          <w:bCs/>
          <w:iCs/>
          <w:kern w:val="2"/>
          <w:sz w:val="21"/>
          <w:szCs w:val="21"/>
          <w:lang w:val="es-ES_tradnl" w:eastAsia="es-MX"/>
          <w14:ligatures w14:val="standardContextual"/>
        </w:rPr>
        <w:lastRenderedPageBreak/>
        <w:t>“En esta línea de pensamiento, resulta claro que el rechazo o la descalificación de ofertas no puede depender de la libre discrecionalidad de la administración, en la medida en que el oferente, por el hecho de participar en el proceso licitatorio, adquiere el derecho de participar en el procedimiento de selección y se genera para él una situación jurídica particular; en consecuencia, para rechazar o descalificar una propuesta, la entidad pública debe sujetarse a determinadas reglas consistentes en que las causales que dan lugar a ello se encuentren previamente establecidas en la ley, deriven del incumplimiento de requisitos de la propuesta o de la omisión de documentos referentes a la futura contratación que sean necesarios para la comparación de las propuestas, de conformidad con lo establecido en el numeral 15 del artículo 25 de la Ley 80 de 1993, puesto que la causa excluyente debe ser razonable, esencial y proporcionada, toda vez que no tendría justificación excluir una propuesta por una deficiencia que no tenga incidencia alguna en la contratación.”</w:t>
      </w:r>
    </w:p>
    <w:p w14:paraId="6537F28F" w14:textId="77777777" w:rsidR="007F0535" w:rsidRPr="00F217FD" w:rsidRDefault="007F0535" w:rsidP="007F0535">
      <w:pPr>
        <w:spacing w:after="0" w:line="276" w:lineRule="auto"/>
        <w:ind w:left="709" w:right="709"/>
        <w:jc w:val="both"/>
        <w:rPr>
          <w:rFonts w:ascii="Verdana" w:eastAsia="Times New Roman" w:hAnsi="Verdana" w:cs="Arial"/>
          <w:bCs/>
          <w:iCs/>
          <w:kern w:val="2"/>
          <w:lang w:val="es-ES_tradnl" w:eastAsia="es-MX"/>
          <w14:ligatures w14:val="standardContextual"/>
        </w:rPr>
      </w:pPr>
    </w:p>
    <w:p w14:paraId="4EA24BFC" w14:textId="77777777" w:rsidR="007F0535" w:rsidRDefault="007F0535" w:rsidP="007F0535">
      <w:pPr>
        <w:numPr>
          <w:ilvl w:val="0"/>
          <w:numId w:val="6"/>
        </w:numPr>
        <w:spacing w:after="0" w:line="276" w:lineRule="auto"/>
        <w:contextualSpacing/>
        <w:jc w:val="both"/>
        <w:rPr>
          <w:rFonts w:ascii="Verdana" w:eastAsia="Calibri" w:hAnsi="Verdana" w:cs="Arial"/>
          <w:kern w:val="2"/>
          <w:lang w:val="es-ES"/>
          <w14:ligatures w14:val="standardContextual"/>
        </w:rPr>
      </w:pPr>
      <w:r w:rsidRPr="0594F8A8">
        <w:rPr>
          <w:rFonts w:ascii="Verdana" w:eastAsia="Calibri" w:hAnsi="Verdana" w:cs="Arial"/>
          <w:kern w:val="2"/>
          <w:lang w:val="es-ES"/>
          <w14:ligatures w14:val="standardContextual"/>
        </w:rPr>
        <w:t>Por lo expuesto, las causales de rechazo deben estar necesariamente nominadas en la Ley o en el pliego de condiciones, y no puede realizarse, frente a su redacción, ninguna interpretación extensiva. Por esta razón si el Estatuto General de Contratación de la Administración Pública o el pliego de condiciones no establecen de manera literal una causal de rechazo, en los términos expuestos, no podrán rechazarse las propuestas.</w:t>
      </w:r>
    </w:p>
    <w:p w14:paraId="6DFB9E20" w14:textId="77777777" w:rsidR="007F0535" w:rsidRDefault="007F0535" w:rsidP="007F0535">
      <w:pPr>
        <w:spacing w:after="0" w:line="276" w:lineRule="auto"/>
        <w:ind w:left="720"/>
        <w:contextualSpacing/>
        <w:jc w:val="both"/>
        <w:rPr>
          <w:rFonts w:ascii="Verdana" w:eastAsia="Calibri" w:hAnsi="Verdana" w:cs="Arial"/>
          <w:kern w:val="2"/>
          <w:lang w:val="es-ES"/>
          <w14:ligatures w14:val="standardContextual"/>
        </w:rPr>
      </w:pPr>
    </w:p>
    <w:p w14:paraId="03B67D40" w14:textId="77777777" w:rsidR="007F0535" w:rsidRPr="007F0535" w:rsidRDefault="007F0535" w:rsidP="007F0535">
      <w:pPr>
        <w:numPr>
          <w:ilvl w:val="0"/>
          <w:numId w:val="6"/>
        </w:numPr>
        <w:spacing w:after="0" w:line="276" w:lineRule="auto"/>
        <w:contextualSpacing/>
        <w:jc w:val="both"/>
        <w:rPr>
          <w:rFonts w:ascii="Verdana" w:eastAsia="Calibri" w:hAnsi="Verdana" w:cs="Arial"/>
          <w:kern w:val="2"/>
          <w:lang w:val="es-ES_tradnl"/>
          <w14:ligatures w14:val="standardContextual"/>
        </w:rPr>
      </w:pPr>
      <w:r w:rsidRPr="00F217FD">
        <w:rPr>
          <w:rFonts w:ascii="Verdana" w:eastAsia="Calibri" w:hAnsi="Verdana" w:cs="Arial"/>
          <w:lang w:val="es-MX" w:eastAsia="es-MX"/>
        </w:rPr>
        <w:t>la Agencia Nacional de Contratación Pública – Colombia Compra Eficiente, mediante los conceptos con radicados Nos. 2201913000007117 del 25 de septiembre de 2019, 2201913000009538 del 23 de diciembre de 2019 y C- 716 del 30 de octubre de 2020, entre otros, ha señalado que las causales de rechazo de las ofertas, descartándose que la entidad introduzca nuevas, salvo las contempladas directamente en la ley. Igualmente, por la naturaleza de las causales de rechazo, su aplicación es estricta, lo que –a juicio de la Agencia Nacional de Contratación Pública– significa que su interpretación gramatical prevalece sobre una interpretación extensiva o de otra índole, mediante la cual se pretenda ampliar su alcance.</w:t>
      </w:r>
    </w:p>
    <w:p w14:paraId="70DF9E56" w14:textId="77777777" w:rsidR="007F0535" w:rsidRDefault="007F0535" w:rsidP="007F0535">
      <w:pPr>
        <w:pStyle w:val="Prrafodelista"/>
        <w:rPr>
          <w:rFonts w:ascii="Verdana" w:eastAsia="Calibri" w:hAnsi="Verdana" w:cs="Arial"/>
          <w:kern w:val="2"/>
          <w:lang w:val="es-ES_tradnl"/>
          <w14:ligatures w14:val="standardContextual"/>
        </w:rPr>
      </w:pPr>
    </w:p>
    <w:p w14:paraId="0661CFB5" w14:textId="77777777" w:rsidR="007F0535" w:rsidRPr="00F217FD" w:rsidRDefault="007F0535" w:rsidP="007F0535">
      <w:pPr>
        <w:numPr>
          <w:ilvl w:val="0"/>
          <w:numId w:val="6"/>
        </w:numPr>
        <w:spacing w:after="0" w:line="276" w:lineRule="auto"/>
        <w:contextualSpacing/>
        <w:jc w:val="both"/>
        <w:rPr>
          <w:rFonts w:ascii="Verdana" w:eastAsia="Calibri" w:hAnsi="Verdana" w:cs="Arial"/>
          <w:kern w:val="2"/>
          <w:lang w:val="es-ES_tradnl"/>
          <w14:ligatures w14:val="standardContextual"/>
        </w:rPr>
      </w:pPr>
      <w:r w:rsidRPr="00F217FD">
        <w:rPr>
          <w:rFonts w:ascii="Verdana" w:eastAsia="Arial" w:hAnsi="Verdana" w:cs="Arial"/>
          <w:color w:val="000000"/>
          <w:kern w:val="2"/>
          <w14:ligatures w14:val="standardContextual"/>
        </w:rPr>
        <w:t xml:space="preserve">Por otra parte, es importante señalar que, uno de los principios transversales de los procedimientos de selección es el de </w:t>
      </w:r>
      <w:r w:rsidRPr="00F217FD">
        <w:rPr>
          <w:rFonts w:ascii="Verdana" w:eastAsia="Arial" w:hAnsi="Verdana" w:cs="Arial"/>
          <w:i/>
          <w:color w:val="000000"/>
          <w:kern w:val="2"/>
          <w14:ligatures w14:val="standardContextual"/>
        </w:rPr>
        <w:t>selección objetiva</w:t>
      </w:r>
      <w:r w:rsidRPr="00F217FD">
        <w:rPr>
          <w:rFonts w:ascii="Verdana" w:eastAsia="Arial" w:hAnsi="Verdana" w:cs="Arial"/>
          <w:color w:val="000000"/>
          <w:kern w:val="2"/>
          <w14:ligatures w14:val="standardContextual"/>
        </w:rPr>
        <w:t xml:space="preserve">. Se trata del postulado que exige que la escogencia de la oferta ganadora deba fundamentarse en factores objetivos, de carácter técnico, </w:t>
      </w:r>
      <w:r w:rsidRPr="00F217FD">
        <w:rPr>
          <w:rFonts w:ascii="Verdana" w:eastAsia="Arial" w:hAnsi="Verdana" w:cs="Arial"/>
          <w:color w:val="000000"/>
          <w:kern w:val="2"/>
          <w14:ligatures w14:val="standardContextual"/>
        </w:rPr>
        <w:lastRenderedPageBreak/>
        <w:t>jurídico y financiero, y no en criterios subjetivos, como el afecto, la amistad, el ánimo de ayuda, el interés personal, etc. Si bien dentro de la historia de la contratación pública en Colombia se vislumbran antecedentes normativos que consagraban dicho principio</w:t>
      </w:r>
      <w:r w:rsidRPr="00F217FD">
        <w:rPr>
          <w:rFonts w:ascii="Aptos" w:eastAsia="Aptos" w:hAnsi="Aptos" w:cs="Times New Roman"/>
          <w:kern w:val="2"/>
          <w:sz w:val="24"/>
          <w:szCs w:val="24"/>
          <w:vertAlign w:val="superscript"/>
          <w14:ligatures w14:val="standardContextual"/>
        </w:rPr>
        <w:footnoteReference w:id="4"/>
      </w:r>
      <w:r w:rsidRPr="00F217FD">
        <w:rPr>
          <w:rFonts w:ascii="Verdana" w:eastAsia="Arial" w:hAnsi="Verdana" w:cs="Arial"/>
          <w:color w:val="000000"/>
          <w:kern w:val="2"/>
          <w14:ligatures w14:val="standardContextual"/>
        </w:rPr>
        <w:t>, en la actualidad la disposición legal que lo prevé de manera más clara y contundente es el artículo 5 de la Ley 1150 de 2007, modificado por el artículo 88 de la Ley 1474 de 2011 y por el artículo 5 de la Ley 1882 de 2018.</w:t>
      </w:r>
    </w:p>
    <w:p w14:paraId="44E871BC" w14:textId="77777777" w:rsidR="007F0535" w:rsidRPr="00F217FD" w:rsidRDefault="007F0535" w:rsidP="007F0535">
      <w:pPr>
        <w:spacing w:line="278" w:lineRule="auto"/>
        <w:ind w:left="720"/>
        <w:contextualSpacing/>
        <w:rPr>
          <w:rFonts w:ascii="Verdana" w:eastAsia="Arial" w:hAnsi="Verdana" w:cs="Arial"/>
          <w:color w:val="000000"/>
          <w:kern w:val="2"/>
          <w14:ligatures w14:val="standardContextual"/>
        </w:rPr>
      </w:pPr>
    </w:p>
    <w:p w14:paraId="06A64235" w14:textId="77777777" w:rsidR="007F0535" w:rsidRPr="00F217FD" w:rsidRDefault="007F0535" w:rsidP="007F0535">
      <w:pPr>
        <w:numPr>
          <w:ilvl w:val="0"/>
          <w:numId w:val="6"/>
        </w:numPr>
        <w:spacing w:after="0" w:line="276" w:lineRule="auto"/>
        <w:contextualSpacing/>
        <w:jc w:val="both"/>
        <w:rPr>
          <w:rFonts w:ascii="Verdana" w:eastAsia="Calibri" w:hAnsi="Verdana" w:cs="Arial"/>
          <w:kern w:val="2"/>
          <w:lang w:val="es-ES_tradnl"/>
          <w14:ligatures w14:val="standardContextual"/>
        </w:rPr>
      </w:pPr>
      <w:r w:rsidRPr="00F217FD">
        <w:rPr>
          <w:rFonts w:ascii="Verdana" w:eastAsia="Arial" w:hAnsi="Verdana" w:cs="Arial"/>
          <w:color w:val="000000"/>
          <w:kern w:val="2"/>
          <w14:ligatures w14:val="standardContextual"/>
        </w:rPr>
        <w:t>Para garantizar el principio de selección objetiva, es necesario, entre otras, que las entidades estatales se abstengan de rechazar las ofertas, por el incumplimiento de requisitos meramente formales, sacrificando la favorabilidad que podría representar la oferta que adolezca de estos defectos, si se permitiese su corrección. En otras palabras, es consustancial a la selección objetiva la obligación que tienen las entidades estatales de permitir la subsanación de los requisitos de participación, bajo las condiciones indicadas en la ley, antes de tomar la decisión de rechazar las propuestas que hayan omitido la observancia de los requisitos habilitantes.</w:t>
      </w:r>
    </w:p>
    <w:p w14:paraId="144A5D23" w14:textId="77777777" w:rsidR="007F0535" w:rsidRPr="00F217FD" w:rsidRDefault="007F0535" w:rsidP="007F0535">
      <w:pPr>
        <w:spacing w:after="0" w:line="276" w:lineRule="auto"/>
        <w:jc w:val="both"/>
        <w:rPr>
          <w:rFonts w:ascii="Verdana" w:eastAsia="Calibri" w:hAnsi="Verdana" w:cs="Arial"/>
          <w:kern w:val="2"/>
          <w:lang w:val="es-ES_tradnl"/>
          <w14:ligatures w14:val="standardContextual"/>
        </w:rPr>
      </w:pPr>
    </w:p>
    <w:p w14:paraId="0BC9126B" w14:textId="77777777" w:rsidR="007F0535" w:rsidRPr="00F217FD" w:rsidRDefault="007F0535" w:rsidP="007F0535">
      <w:pPr>
        <w:numPr>
          <w:ilvl w:val="0"/>
          <w:numId w:val="6"/>
        </w:numPr>
        <w:spacing w:after="0" w:line="276" w:lineRule="auto"/>
        <w:contextualSpacing/>
        <w:jc w:val="both"/>
        <w:rPr>
          <w:rFonts w:ascii="Verdana" w:eastAsia="Arial" w:hAnsi="Verdana" w:cs="Arial"/>
          <w:color w:val="000000"/>
          <w:kern w:val="2"/>
          <w14:ligatures w14:val="standardContextual"/>
        </w:rPr>
      </w:pPr>
      <w:r w:rsidRPr="00F217FD">
        <w:rPr>
          <w:rFonts w:ascii="Verdana" w:eastAsia="Arial" w:hAnsi="Verdana" w:cs="Arial"/>
          <w:color w:val="000000"/>
          <w:kern w:val="2"/>
          <w14:ligatures w14:val="standardContextual"/>
        </w:rPr>
        <w:t>La decisión de rechazar, por regla general –salvo en los casos específicos previstos en la ley, como el de la imposibilidad de subsanar la no entrega de la garantía de seriedad de la oferta o de acreditar circunstancias ocurridas con posterioridad al cierre del procedimiento de selección –art. 5, par. 1º y 3º, Ley 1150 de 2007)– solo puede tomarse si, previamente, se ha permitido que los proponentes completen o corrijan la información relacionada con los requisitos que no asignan puntaje, como mecanismo para hacer prevalecer el derecho sustancial sobre las formalidades.</w:t>
      </w:r>
    </w:p>
    <w:p w14:paraId="738610EB" w14:textId="77777777" w:rsidR="007F0535" w:rsidRPr="00F217FD" w:rsidRDefault="007F0535" w:rsidP="007F0535">
      <w:pPr>
        <w:spacing w:after="0" w:line="276" w:lineRule="auto"/>
        <w:ind w:left="720"/>
        <w:contextualSpacing/>
        <w:jc w:val="both"/>
        <w:rPr>
          <w:rFonts w:ascii="Verdana" w:eastAsia="Calibri" w:hAnsi="Verdana" w:cs="Arial"/>
          <w:kern w:val="2"/>
          <w:lang w:val="es-ES_tradnl"/>
          <w14:ligatures w14:val="standardContextual"/>
        </w:rPr>
      </w:pPr>
    </w:p>
    <w:p w14:paraId="2B9259E1" w14:textId="77777777" w:rsidR="007F0535" w:rsidRDefault="007F0535" w:rsidP="007F0535">
      <w:pPr>
        <w:numPr>
          <w:ilvl w:val="0"/>
          <w:numId w:val="6"/>
        </w:numPr>
        <w:spacing w:after="0" w:line="276" w:lineRule="auto"/>
        <w:contextualSpacing/>
        <w:jc w:val="both"/>
        <w:rPr>
          <w:rFonts w:ascii="Verdana" w:eastAsia="Calibri" w:hAnsi="Verdana" w:cs="Arial"/>
          <w:kern w:val="2"/>
          <w:lang w:val="es-ES"/>
          <w14:ligatures w14:val="standardContextual"/>
        </w:rPr>
      </w:pPr>
      <w:r>
        <w:rPr>
          <w:rFonts w:ascii="Verdana" w:eastAsia="Calibri" w:hAnsi="Verdana" w:cs="Arial"/>
          <w:kern w:val="2"/>
          <w:lang w:val="es-ES"/>
          <w14:ligatures w14:val="standardContextual"/>
        </w:rPr>
        <w:lastRenderedPageBreak/>
        <w:t>No obstante no enunciado en el presente concepto, es menester indicar que tanto la entidad pública a través de los pliegos de condiciones deben ser claras en la debida utilización de la plataforma Secop II y la modalidad de presentación de la oferta económica, como deben lo oferentes previa a la presentación de sus ofertas económicas y requisitos habilitantes validar el correcto uso de la plataforma dispuesta para tal fin.</w:t>
      </w:r>
    </w:p>
    <w:p w14:paraId="637805D2" w14:textId="77777777" w:rsidR="007F0535" w:rsidRDefault="007F0535" w:rsidP="007F0535">
      <w:pPr>
        <w:pStyle w:val="Prrafodelista"/>
        <w:rPr>
          <w:rFonts w:ascii="Verdana" w:eastAsia="Calibri" w:hAnsi="Verdana" w:cs="Arial"/>
          <w:kern w:val="2"/>
          <w14:ligatures w14:val="standardContextual"/>
        </w:rPr>
      </w:pPr>
    </w:p>
    <w:p w14:paraId="76959165" w14:textId="77777777" w:rsidR="007F0535" w:rsidRPr="00F217FD" w:rsidRDefault="007F0535" w:rsidP="007F0535">
      <w:pPr>
        <w:numPr>
          <w:ilvl w:val="0"/>
          <w:numId w:val="6"/>
        </w:numPr>
        <w:spacing w:after="0" w:line="276" w:lineRule="auto"/>
        <w:contextualSpacing/>
        <w:jc w:val="both"/>
        <w:rPr>
          <w:rFonts w:ascii="Verdana" w:eastAsia="Calibri" w:hAnsi="Verdana" w:cs="Arial"/>
          <w:kern w:val="2"/>
          <w:lang w:val="es-ES"/>
          <w14:ligatures w14:val="standardContextual"/>
        </w:rPr>
      </w:pPr>
      <w:r>
        <w:rPr>
          <w:rFonts w:ascii="Verdana" w:eastAsia="Calibri" w:hAnsi="Verdana" w:cs="Arial"/>
          <w:kern w:val="2"/>
          <w:lang w:val="es-ES"/>
          <w14:ligatures w14:val="standardContextual"/>
        </w:rPr>
        <w:t>Ahora bien, se precisa que el precio ofertado en la modalidad de subasta inversa, no constituye en si mismo el valor por el cual será adjudicado el contrato, ya que se debe cumplir el evento de subasta el cual podría variar con respecto a la oferta presentada, salvo aquellos eventos en que haya solo un oferente o que los oferentes no presenten lances durante el evento de subasta, caso en cual se determinará adjudicar al mejor precio ofrecido.</w:t>
      </w:r>
    </w:p>
    <w:p w14:paraId="463F29E8" w14:textId="77777777" w:rsidR="007F0535" w:rsidRPr="00F217FD" w:rsidRDefault="007F0535" w:rsidP="007F0535">
      <w:pPr>
        <w:spacing w:after="0" w:line="276" w:lineRule="auto"/>
        <w:ind w:left="720"/>
        <w:contextualSpacing/>
        <w:jc w:val="both"/>
        <w:rPr>
          <w:rFonts w:ascii="Verdana" w:eastAsia="Calibri" w:hAnsi="Verdana" w:cs="Arial"/>
          <w:kern w:val="2"/>
          <w:lang w:val="es-ES_tradnl"/>
          <w14:ligatures w14:val="standardContextual"/>
        </w:rPr>
      </w:pPr>
    </w:p>
    <w:p w14:paraId="3B7B4B86" w14:textId="77777777" w:rsidR="007F0535" w:rsidRPr="000E355A" w:rsidRDefault="007F0535" w:rsidP="007F0535">
      <w:pPr>
        <w:spacing w:after="0" w:line="276" w:lineRule="auto"/>
        <w:jc w:val="both"/>
        <w:rPr>
          <w:rFonts w:ascii="Verdana" w:eastAsia="Calibri" w:hAnsi="Verdana" w:cs="Arial"/>
          <w:lang w:val="es-ES_tradnl"/>
        </w:rPr>
      </w:pPr>
    </w:p>
    <w:p w14:paraId="669F1008" w14:textId="77777777" w:rsidR="007F0535" w:rsidRPr="00593A5F" w:rsidRDefault="007F0535" w:rsidP="007F0535">
      <w:pPr>
        <w:pStyle w:val="Prrafodelista"/>
        <w:numPr>
          <w:ilvl w:val="0"/>
          <w:numId w:val="1"/>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Referencias normativas</w:t>
      </w:r>
      <w:r>
        <w:rPr>
          <w:rFonts w:ascii="Verdana" w:eastAsia="Century Gothic" w:hAnsi="Verdana" w:cs="Century Gothic"/>
          <w:b/>
          <w:bCs/>
        </w:rPr>
        <w:t xml:space="preserve"> y jurisprudenciales</w:t>
      </w:r>
      <w:r w:rsidRPr="00593A5F">
        <w:rPr>
          <w:rFonts w:ascii="Verdana" w:eastAsia="Century Gothic" w:hAnsi="Verdana" w:cs="Century Gothic"/>
          <w:b/>
          <w:bCs/>
        </w:rPr>
        <w:t>:</w:t>
      </w:r>
    </w:p>
    <w:p w14:paraId="3A0FF5F2" w14:textId="77777777" w:rsidR="007F0535" w:rsidRPr="00593A5F" w:rsidRDefault="007F0535" w:rsidP="007F0535">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F0535" w:rsidRPr="002407CE" w14:paraId="01A33B40" w14:textId="77777777" w:rsidTr="00C77973">
        <w:trPr>
          <w:trHeight w:val="870"/>
          <w:jc w:val="center"/>
        </w:trPr>
        <w:tc>
          <w:tcPr>
            <w:tcW w:w="8647" w:type="dxa"/>
          </w:tcPr>
          <w:p w14:paraId="1491B074"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Artículo 25.15, 30.7.8 Ley 80 De 1993</w:t>
            </w:r>
          </w:p>
          <w:p w14:paraId="5630AD66" w14:textId="77777777" w:rsidR="007F0535" w:rsidRPr="00FB5A88" w:rsidRDefault="007F0535" w:rsidP="00C77973">
            <w:pPr>
              <w:pStyle w:val="Prrafodelista"/>
              <w:rPr>
                <w:rFonts w:ascii="Verdana" w:eastAsia="Times New Roman" w:hAnsi="Verdana" w:cs="Arial"/>
                <w:color w:val="000000" w:themeColor="text1"/>
              </w:rPr>
            </w:pPr>
          </w:p>
          <w:p w14:paraId="19C28EFA"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Artículo 5 De La Ley 1150 De 2007</w:t>
            </w:r>
          </w:p>
          <w:p w14:paraId="61829076" w14:textId="77777777" w:rsidR="007F0535" w:rsidRPr="00FB5A88" w:rsidRDefault="007F0535" w:rsidP="00C77973">
            <w:pPr>
              <w:pStyle w:val="Prrafodelista"/>
              <w:rPr>
                <w:rFonts w:ascii="Verdana" w:eastAsia="Times New Roman" w:hAnsi="Verdana" w:cs="Arial"/>
                <w:color w:val="000000" w:themeColor="text1"/>
              </w:rPr>
            </w:pPr>
          </w:p>
          <w:p w14:paraId="7FF8A039"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Artículo 5 Ley 1882 De 2018</w:t>
            </w:r>
          </w:p>
          <w:p w14:paraId="2BA226A1" w14:textId="77777777" w:rsidR="007F0535" w:rsidRPr="00FB5A88" w:rsidRDefault="007F0535" w:rsidP="00C77973">
            <w:pPr>
              <w:pStyle w:val="Prrafodelista"/>
              <w:rPr>
                <w:rFonts w:ascii="Verdana" w:eastAsia="Times New Roman" w:hAnsi="Verdana" w:cs="Arial"/>
                <w:color w:val="000000" w:themeColor="text1"/>
              </w:rPr>
            </w:pPr>
          </w:p>
          <w:p w14:paraId="7D6D04D9"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Artículo 35 De La Ley 2069 De 2020</w:t>
            </w:r>
          </w:p>
          <w:p w14:paraId="17AD93B2" w14:textId="77777777" w:rsidR="007F0535" w:rsidRPr="00FB5A88" w:rsidRDefault="007F0535" w:rsidP="00C77973">
            <w:pPr>
              <w:pStyle w:val="Prrafodelista"/>
              <w:rPr>
                <w:rFonts w:ascii="Verdana" w:eastAsia="Times New Roman" w:hAnsi="Verdana" w:cs="Arial"/>
                <w:color w:val="000000" w:themeColor="text1"/>
              </w:rPr>
            </w:pPr>
          </w:p>
          <w:p w14:paraId="0DE4B5B7" w14:textId="77777777" w:rsidR="007F0535" w:rsidRPr="00FB5A88" w:rsidRDefault="007F0535" w:rsidP="00C77973">
            <w:pPr>
              <w:pStyle w:val="Prrafodelista"/>
              <w:rPr>
                <w:rFonts w:ascii="Verdana" w:eastAsia="Times New Roman" w:hAnsi="Verdana" w:cs="Arial"/>
                <w:color w:val="000000" w:themeColor="text1"/>
              </w:rPr>
            </w:pPr>
          </w:p>
          <w:p w14:paraId="024AE73B"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Consejo De Estado. Sala De Consulta Y Servicio Civil. Concepto Del 20 De Mayo De 2010. No. De Radicado: 11001-03-06-000-2010-00034-00(1992). C.P. Enrique José Arboleda Perdomo.</w:t>
            </w:r>
          </w:p>
          <w:p w14:paraId="66204FF1" w14:textId="77777777" w:rsidR="007F0535" w:rsidRPr="00FB5A88" w:rsidRDefault="007F0535" w:rsidP="00C77973">
            <w:pPr>
              <w:pStyle w:val="Prrafodelista"/>
              <w:rPr>
                <w:rFonts w:ascii="Verdana" w:eastAsia="Times New Roman" w:hAnsi="Verdana" w:cs="Arial"/>
                <w:color w:val="000000" w:themeColor="text1"/>
              </w:rPr>
            </w:pPr>
          </w:p>
          <w:p w14:paraId="62AEE03E" w14:textId="77777777" w:rsidR="007F0535" w:rsidRPr="00FB5A88" w:rsidRDefault="007F0535" w:rsidP="00C77973">
            <w:pPr>
              <w:pStyle w:val="Prrafodelista"/>
              <w:numPr>
                <w:ilvl w:val="0"/>
                <w:numId w:val="2"/>
              </w:numPr>
              <w:spacing w:after="0" w:line="240" w:lineRule="auto"/>
              <w:rPr>
                <w:rFonts w:ascii="Verdana" w:eastAsia="Times New Roman" w:hAnsi="Verdana" w:cs="Arial"/>
                <w:color w:val="000000" w:themeColor="text1"/>
              </w:rPr>
            </w:pPr>
            <w:r w:rsidRPr="00FB5A88">
              <w:rPr>
                <w:rFonts w:ascii="Verdana" w:eastAsia="Times New Roman" w:hAnsi="Verdana" w:cs="Arial"/>
                <w:color w:val="000000" w:themeColor="text1"/>
              </w:rPr>
              <w:t>Consejo De Estado. Sección Tercera. Subsección C. Sentencia Del 26 De Febrero De 2014. Expediente: 25.804. Consejero Ponente: Enrique Gil Botero.</w:t>
            </w:r>
          </w:p>
          <w:p w14:paraId="2DBF0D7D" w14:textId="77777777" w:rsidR="007F0535" w:rsidRPr="00FB5A88" w:rsidRDefault="007F0535" w:rsidP="00C77973">
            <w:pPr>
              <w:pStyle w:val="Prrafodelista"/>
              <w:rPr>
                <w:rFonts w:ascii="Verdana" w:eastAsia="Times New Roman" w:hAnsi="Verdana" w:cs="Arial"/>
                <w:color w:val="000000" w:themeColor="text1"/>
              </w:rPr>
            </w:pPr>
          </w:p>
          <w:p w14:paraId="46156F23" w14:textId="77777777" w:rsidR="007F0535" w:rsidRPr="005669A1" w:rsidRDefault="007F0535" w:rsidP="00C77973">
            <w:pPr>
              <w:pStyle w:val="Prrafodelista"/>
              <w:widowControl w:val="0"/>
              <w:numPr>
                <w:ilvl w:val="0"/>
                <w:numId w:val="2"/>
              </w:numPr>
              <w:autoSpaceDE w:val="0"/>
              <w:autoSpaceDN w:val="0"/>
              <w:spacing w:after="120" w:line="276" w:lineRule="auto"/>
              <w:contextualSpacing w:val="0"/>
              <w:jc w:val="both"/>
              <w:rPr>
                <w:rFonts w:ascii="Verdana" w:hAnsi="Verdana" w:cs="Arial"/>
              </w:rPr>
            </w:pPr>
            <w:r w:rsidRPr="00FB5A88">
              <w:rPr>
                <w:rFonts w:ascii="Verdana" w:eastAsia="Times New Roman" w:hAnsi="Verdana" w:cs="Arial"/>
                <w:color w:val="000000" w:themeColor="text1"/>
              </w:rPr>
              <w:t xml:space="preserve">Consejo </w:t>
            </w:r>
            <w:r>
              <w:rPr>
                <w:rFonts w:ascii="Verdana" w:eastAsia="Times New Roman" w:hAnsi="Verdana" w:cs="Arial"/>
                <w:color w:val="000000" w:themeColor="text1"/>
              </w:rPr>
              <w:t>d</w:t>
            </w:r>
            <w:r w:rsidRPr="00FB5A88">
              <w:rPr>
                <w:rFonts w:ascii="Verdana" w:eastAsia="Times New Roman" w:hAnsi="Verdana" w:cs="Arial"/>
                <w:color w:val="000000" w:themeColor="text1"/>
              </w:rPr>
              <w:t xml:space="preserve">e Estado Sala </w:t>
            </w:r>
            <w:r>
              <w:rPr>
                <w:rFonts w:ascii="Verdana" w:eastAsia="Times New Roman" w:hAnsi="Verdana" w:cs="Arial"/>
                <w:color w:val="000000" w:themeColor="text1"/>
              </w:rPr>
              <w:t>d</w:t>
            </w:r>
            <w:r w:rsidRPr="00FB5A88">
              <w:rPr>
                <w:rFonts w:ascii="Verdana" w:eastAsia="Times New Roman" w:hAnsi="Verdana" w:cs="Arial"/>
                <w:color w:val="000000" w:themeColor="text1"/>
              </w:rPr>
              <w:t xml:space="preserve">e </w:t>
            </w:r>
            <w:r>
              <w:rPr>
                <w:rFonts w:ascii="Verdana" w:eastAsia="Times New Roman" w:hAnsi="Verdana" w:cs="Arial"/>
                <w:color w:val="000000" w:themeColor="text1"/>
              </w:rPr>
              <w:t>l</w:t>
            </w:r>
            <w:r w:rsidRPr="00FB5A88">
              <w:rPr>
                <w:rFonts w:ascii="Verdana" w:eastAsia="Times New Roman" w:hAnsi="Verdana" w:cs="Arial"/>
                <w:color w:val="000000" w:themeColor="text1"/>
              </w:rPr>
              <w:t>o Contencioso Administrativo Sección Tercera – Subsección Sentencia De Fecha Dos (2) De Agosto De Dos Mil Veinticuatro (2024). Radicado N° 70.597</w:t>
            </w:r>
          </w:p>
        </w:tc>
      </w:tr>
    </w:tbl>
    <w:p w14:paraId="6B62F1B3" w14:textId="77777777" w:rsidR="007F0535" w:rsidRPr="002407CE" w:rsidRDefault="007F0535" w:rsidP="007F0535">
      <w:pPr>
        <w:widowControl w:val="0"/>
        <w:autoSpaceDE w:val="0"/>
        <w:autoSpaceDN w:val="0"/>
        <w:spacing w:after="0" w:line="276" w:lineRule="auto"/>
        <w:jc w:val="both"/>
        <w:rPr>
          <w:rFonts w:ascii="Verdana" w:hAnsi="Verdana" w:cs="Arial"/>
        </w:rPr>
      </w:pPr>
    </w:p>
    <w:p w14:paraId="30620593" w14:textId="77777777" w:rsidR="007F0535" w:rsidRPr="00593A5F" w:rsidRDefault="007F0535" w:rsidP="007F0535">
      <w:pPr>
        <w:pStyle w:val="Prrafodelista"/>
        <w:numPr>
          <w:ilvl w:val="0"/>
          <w:numId w:val="1"/>
        </w:numPr>
        <w:tabs>
          <w:tab w:val="left" w:pos="142"/>
          <w:tab w:val="left" w:pos="284"/>
        </w:tabs>
        <w:spacing w:after="0" w:line="276" w:lineRule="auto"/>
        <w:ind w:left="142" w:firstLine="142"/>
        <w:contextualSpacing w:val="0"/>
        <w:jc w:val="both"/>
        <w:rPr>
          <w:rFonts w:ascii="Verdana" w:eastAsia="Century Gothic" w:hAnsi="Verdana" w:cs="Century Gothic"/>
          <w:b/>
          <w:bCs/>
        </w:rPr>
      </w:pPr>
      <w:r>
        <w:rPr>
          <w:rFonts w:ascii="Verdana" w:eastAsia="Century Gothic" w:hAnsi="Verdana" w:cs="Century Gothic"/>
          <w:b/>
          <w:bCs/>
        </w:rPr>
        <w:lastRenderedPageBreak/>
        <w:t>Doctrina de la Agencia Nacional de Contratación Pública</w:t>
      </w:r>
      <w:r w:rsidRPr="00593A5F">
        <w:rPr>
          <w:rFonts w:ascii="Verdana" w:eastAsia="Century Gothic" w:hAnsi="Verdana" w:cs="Century Gothic"/>
          <w:b/>
          <w:bCs/>
        </w:rPr>
        <w:t>:</w:t>
      </w:r>
    </w:p>
    <w:p w14:paraId="02F2C34E" w14:textId="77777777" w:rsidR="007F0535" w:rsidRPr="00593A5F" w:rsidRDefault="007F0535" w:rsidP="007F0535">
      <w:pPr>
        <w:widowControl w:val="0"/>
        <w:autoSpaceDE w:val="0"/>
        <w:autoSpaceDN w:val="0"/>
        <w:spacing w:after="0" w:line="276" w:lineRule="auto"/>
        <w:jc w:val="both"/>
        <w:rPr>
          <w:rFonts w:ascii="Verdana" w:hAnsi="Verdana" w:cs="Arial"/>
        </w:rPr>
      </w:pPr>
    </w:p>
    <w:p w14:paraId="75EB2AB3" w14:textId="77777777" w:rsidR="007F0535" w:rsidRDefault="007F0535" w:rsidP="007F0535">
      <w:pPr>
        <w:spacing w:after="120" w:line="276" w:lineRule="auto"/>
        <w:jc w:val="both"/>
        <w:rPr>
          <w:rStyle w:val="normaltextrun"/>
          <w:rFonts w:ascii="Verdana" w:eastAsia="Calibri" w:hAnsi="Verdana" w:cs="Arial"/>
          <w:lang w:val="es-ES" w:eastAsia="es-ES"/>
        </w:rPr>
      </w:pPr>
      <w:r w:rsidRPr="00F217FD">
        <w:rPr>
          <w:rFonts w:ascii="Verdana" w:eastAsia="Calibri" w:hAnsi="Verdana" w:cs="Arial"/>
          <w:shd w:val="clear" w:color="auto" w:fill="FFFFFF"/>
          <w:lang w:val="es-ES"/>
        </w:rPr>
        <w:t xml:space="preserve">La Agencia Nacional de Contratación Pública − Colombia Compra Eficiente se pronunció sobre las causales de rechazo incorporadas en los pliegos de condiciones, en los conceptos 2201913000007117 del 25 de septiembre de 2019, 2201913000009538 del 23 de diciembre de 2019, C- 716 del 30 de octubre de 2020, C-096 del 24 de marzo de 2021, C-056 del 20 de abril de 2021, C-078 del 15 de marzo de 2022, C-321 del 17 de mayo de 2022, C-113 del 22 de marzo de 2022, C-178, C-186 del 12 de abril de 2022, C-406 del 2 de octubre de 2023, </w:t>
      </w:r>
      <w:r>
        <w:rPr>
          <w:rFonts w:ascii="Verdana" w:eastAsia="Calibri" w:hAnsi="Verdana" w:cs="Arial"/>
          <w:shd w:val="clear" w:color="auto" w:fill="FFFFFF"/>
          <w:lang w:val="es-ES"/>
        </w:rPr>
        <w:t>C-128 del 2 de agosto de 2024,</w:t>
      </w:r>
      <w:r w:rsidRPr="004A4C94">
        <w:rPr>
          <w:rStyle w:val="normaltextrun"/>
          <w:rFonts w:ascii="Verdana" w:hAnsi="Verdana" w:cs="Arial"/>
          <w:color w:val="000000" w:themeColor="text1"/>
          <w:shd w:val="clear" w:color="auto" w:fill="FFFFFF"/>
          <w:lang w:val="es-ES"/>
        </w:rPr>
        <w:t xml:space="preserve">. </w:t>
      </w:r>
      <w:r w:rsidRPr="00F938DD">
        <w:rPr>
          <w:rFonts w:ascii="Verdana" w:hAnsi="Verdana" w:cs="Arial"/>
          <w:color w:val="000000" w:themeColor="text1"/>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w:t>
      </w:r>
      <w:r w:rsidRPr="00F938DD">
        <w:rPr>
          <w:rFonts w:ascii="Verdana" w:hAnsi="Verdana"/>
        </w:rPr>
        <w:t>, al cual se puede acceder a través del siguiente enlace:</w:t>
      </w:r>
      <w:r w:rsidRPr="00F938DD">
        <w:rPr>
          <w:rFonts w:ascii="Verdana" w:eastAsia="Calibri" w:hAnsi="Verdana" w:cs="Arial"/>
          <w:lang w:eastAsia="es-ES"/>
        </w:rPr>
        <w:t xml:space="preserve"> </w:t>
      </w:r>
      <w:hyperlink r:id="rId12" w:history="1">
        <w:r w:rsidRPr="00F938DD">
          <w:rPr>
            <w:rStyle w:val="Hipervnculo"/>
            <w:rFonts w:ascii="Verdana" w:hAnsi="Verdana" w:cs="Arial"/>
            <w:shd w:val="clear" w:color="auto" w:fill="FFFFFF"/>
            <w:lang w:val="es-ES"/>
          </w:rPr>
          <w:t>https://relatoria.colombiacompra.gov.co/busqueda/conceptos</w:t>
        </w:r>
      </w:hyperlink>
    </w:p>
    <w:p w14:paraId="680A4E5D" w14:textId="77777777" w:rsidR="007F0535" w:rsidRPr="00C70836" w:rsidRDefault="007F0535" w:rsidP="007F0535">
      <w:pPr>
        <w:spacing w:after="120" w:line="276" w:lineRule="auto"/>
        <w:jc w:val="both"/>
        <w:rPr>
          <w:rFonts w:ascii="Verdana" w:eastAsia="Calibri" w:hAnsi="Verdana" w:cs="Arial"/>
          <w:lang w:val="es-ES" w:eastAsia="es-ES"/>
        </w:rPr>
      </w:pPr>
    </w:p>
    <w:p w14:paraId="21E9694F" w14:textId="77777777" w:rsidR="007F0535" w:rsidRDefault="007F0535" w:rsidP="007F0535">
      <w:pPr>
        <w:spacing w:after="120" w:line="276" w:lineRule="auto"/>
        <w:jc w:val="both"/>
        <w:rPr>
          <w:rFonts w:ascii="Verdana" w:hAnsi="Verdana"/>
          <w:color w:val="000000"/>
          <w:bdr w:val="none" w:sz="0" w:space="0" w:color="auto" w:frame="1"/>
        </w:rPr>
      </w:pPr>
      <w:r w:rsidRPr="00CE3EBE">
        <w:rPr>
          <w:rFonts w:ascii="Verdana" w:hAnsi="Verdana"/>
          <w:color w:val="000000"/>
          <w:bdr w:val="none" w:sz="0" w:space="0" w:color="auto" w:frame="1"/>
        </w:rPr>
        <w:t>Le informamos que ya se encuentra disponible la actualización del Manual de Acuerdos Comerciales en Procesos de Contratación. Esta herramienta ofrece una orientación valiosa para que las entidades públicas determinen los acuerdos comerciales que deben incluir en sus procesos contractuales. Puede consultar la versión actualizada en el siguiente enlace: </w:t>
      </w:r>
      <w:hyperlink r:id="rId13" w:tgtFrame="_blank" w:tooltip="Dirección URL original: https://www.colombiacompra.gov.co/sites/cce_public/files/cce_documents/manual_para_el_manejo_de_acuerdos_comerciales_vf.pdf. Haga clic o pulse si confía en este vínculo." w:history="1">
        <w:r w:rsidRPr="00CE3EBE">
          <w:rPr>
            <w:rStyle w:val="Hipervnculo"/>
            <w:rFonts w:ascii="Verdana" w:hAnsi="Verdana"/>
            <w:bdr w:val="none" w:sz="0" w:space="0" w:color="auto" w:frame="1"/>
          </w:rPr>
          <w:t>manual_para_el_manejo_de_acuerdos_comerciales_vf.pdf</w:t>
        </w:r>
      </w:hyperlink>
    </w:p>
    <w:p w14:paraId="6E7BEAA2" w14:textId="77777777" w:rsidR="007F0535" w:rsidRPr="007F0535" w:rsidRDefault="007F0535" w:rsidP="007F0535">
      <w:pPr>
        <w:spacing w:after="120" w:line="276" w:lineRule="auto"/>
        <w:jc w:val="both"/>
        <w:rPr>
          <w:rFonts w:ascii="Verdana" w:hAnsi="Verdana"/>
          <w:color w:val="000000"/>
          <w:bdr w:val="none" w:sz="0" w:space="0" w:color="auto" w:frame="1"/>
        </w:rPr>
      </w:pPr>
      <w:r w:rsidRPr="007F0535">
        <w:rPr>
          <w:rFonts w:ascii="Verdana" w:hAnsi="Verdana"/>
          <w:color w:val="000000"/>
          <w:bdr w:val="none" w:sz="0" w:space="0" w:color="auto" w:frame="1"/>
        </w:rPr>
        <w:t> </w:t>
      </w:r>
    </w:p>
    <w:p w14:paraId="5731FBA8" w14:textId="77777777" w:rsidR="007F0535" w:rsidRPr="00CE3EBE" w:rsidRDefault="007F0535" w:rsidP="007F0535">
      <w:pPr>
        <w:spacing w:after="120" w:line="276" w:lineRule="auto"/>
        <w:jc w:val="both"/>
        <w:rPr>
          <w:rFonts w:ascii="Verdana" w:hAnsi="Verdana"/>
          <w:color w:val="000000"/>
          <w:bdr w:val="none" w:sz="0" w:space="0" w:color="auto" w:frame="1"/>
        </w:rPr>
      </w:pPr>
      <w:r w:rsidRPr="00CE3EBE">
        <w:rPr>
          <w:rFonts w:ascii="Verdana" w:hAnsi="Verdana"/>
          <w:color w:val="000000"/>
          <w:bdr w:val="none" w:sz="0" w:space="0" w:color="auto" w:frame="1"/>
        </w:rPr>
        <w:t>También le invitamos a consultar la versión VII  de 2024 , del Boletín de Relatoría de la Subdirección de Gestión Contractual relacionado con las ASOCIACIONES PÚBLICO POPULARES , el cual se puede descargar en la página web de la Agencia: </w:t>
      </w:r>
      <w:hyperlink r:id="rId14" w:tgtFrame="_blank" w:tooltip="Dirección URL original: https://www.colombiacompra.gov.co/sala-de-prensa/boletin-digital. Haga clic o pulse si confía en este vínculo." w:history="1">
        <w:r w:rsidRPr="00CE3EBE">
          <w:rPr>
            <w:rStyle w:val="Hipervnculo"/>
            <w:rFonts w:ascii="Verdana" w:hAnsi="Verdana"/>
            <w:bdr w:val="none" w:sz="0" w:space="0" w:color="auto" w:frame="1"/>
          </w:rPr>
          <w:t>https://www.colombiacompra.gov.co/sala-de-prensa/boletin-digital</w:t>
        </w:r>
      </w:hyperlink>
      <w:r w:rsidRPr="00CE3EBE">
        <w:rPr>
          <w:rFonts w:ascii="Verdana" w:hAnsi="Verdana"/>
          <w:color w:val="000000"/>
          <w:bdr w:val="none" w:sz="0" w:space="0" w:color="auto" w:frame="1"/>
        </w:rPr>
        <w:t> </w:t>
      </w:r>
    </w:p>
    <w:p w14:paraId="19219836" w14:textId="77777777" w:rsidR="007F0535" w:rsidRPr="00F938DD" w:rsidRDefault="007F0535" w:rsidP="007F0535">
      <w:pPr>
        <w:widowControl w:val="0"/>
        <w:autoSpaceDE w:val="0"/>
        <w:autoSpaceDN w:val="0"/>
        <w:spacing w:after="0" w:line="276" w:lineRule="auto"/>
        <w:jc w:val="both"/>
        <w:rPr>
          <w:rFonts w:ascii="Verdana" w:hAnsi="Verdana"/>
        </w:rPr>
      </w:pPr>
      <w:r>
        <w:rPr>
          <w:rFonts w:ascii="Verdana" w:hAnsi="Verdana"/>
        </w:rPr>
        <w:br/>
      </w:r>
    </w:p>
    <w:p w14:paraId="3D4879B8" w14:textId="77777777" w:rsidR="007F0535" w:rsidRPr="00F938DD" w:rsidRDefault="007F0535" w:rsidP="007F0535">
      <w:pPr>
        <w:spacing w:after="0" w:line="240" w:lineRule="auto"/>
        <w:jc w:val="both"/>
        <w:rPr>
          <w:rFonts w:ascii="Verdana" w:hAnsi="Verdana"/>
        </w:rPr>
      </w:pPr>
      <w:r w:rsidRPr="00F938DD">
        <w:rPr>
          <w:rFonts w:ascii="Verdana" w:hAnsi="Verdana"/>
        </w:rPr>
        <w:t xml:space="preserve">Por último, lo invitamos a seguirnos en las redes sociales en las cuales se difunde información institucional: </w:t>
      </w:r>
    </w:p>
    <w:p w14:paraId="296FEF7D" w14:textId="77777777" w:rsidR="007F0535" w:rsidRPr="00F938DD" w:rsidRDefault="007F0535" w:rsidP="007F0535">
      <w:pPr>
        <w:spacing w:after="0" w:line="240" w:lineRule="auto"/>
        <w:jc w:val="both"/>
        <w:rPr>
          <w:rFonts w:ascii="Verdana" w:hAnsi="Verdana"/>
        </w:rPr>
      </w:pPr>
    </w:p>
    <w:p w14:paraId="5661F03B" w14:textId="77777777" w:rsidR="007F0535" w:rsidRPr="00F938DD" w:rsidRDefault="007F0535" w:rsidP="007F0535">
      <w:pPr>
        <w:spacing w:after="0" w:line="240" w:lineRule="auto"/>
        <w:jc w:val="both"/>
        <w:rPr>
          <w:rFonts w:ascii="Verdana" w:hAnsi="Verdana"/>
        </w:rPr>
      </w:pPr>
      <w:r w:rsidRPr="00F938DD">
        <w:rPr>
          <w:rFonts w:ascii="Verdana" w:hAnsi="Verdana"/>
        </w:rPr>
        <w:t xml:space="preserve">Twitter: </w:t>
      </w:r>
      <w:r w:rsidRPr="00F938DD">
        <w:rPr>
          <w:rStyle w:val="Hipervnculo"/>
          <w:rFonts w:ascii="Verdana" w:hAnsi="Verdana"/>
          <w:color w:val="4472C4" w:themeColor="accent1"/>
        </w:rPr>
        <w:t>@colombiacompra</w:t>
      </w:r>
      <w:r w:rsidRPr="00F938DD">
        <w:rPr>
          <w:rFonts w:ascii="Verdana" w:hAnsi="Verdana"/>
          <w:color w:val="4472C4" w:themeColor="accent1"/>
        </w:rPr>
        <w:t xml:space="preserve"> </w:t>
      </w:r>
    </w:p>
    <w:p w14:paraId="731B25F9" w14:textId="77777777" w:rsidR="007F0535" w:rsidRPr="00F938DD" w:rsidRDefault="007F0535" w:rsidP="007F0535">
      <w:pPr>
        <w:spacing w:after="0" w:line="240" w:lineRule="auto"/>
        <w:jc w:val="both"/>
        <w:rPr>
          <w:rFonts w:ascii="Verdana" w:hAnsi="Verdana"/>
        </w:rPr>
      </w:pPr>
      <w:r w:rsidRPr="00F938DD">
        <w:rPr>
          <w:rFonts w:ascii="Verdana" w:hAnsi="Verdana"/>
        </w:rPr>
        <w:t xml:space="preserve">Facebook: </w:t>
      </w:r>
      <w:r w:rsidRPr="00F938DD">
        <w:rPr>
          <w:rStyle w:val="Hipervnculo"/>
          <w:rFonts w:ascii="Verdana" w:hAnsi="Verdana"/>
          <w:color w:val="4472C4" w:themeColor="accent1"/>
        </w:rPr>
        <w:t>ColombiaCompraEficiente</w:t>
      </w:r>
    </w:p>
    <w:p w14:paraId="449C1D78" w14:textId="77777777" w:rsidR="007F0535" w:rsidRPr="00F938DD" w:rsidRDefault="007F0535" w:rsidP="007F0535">
      <w:pPr>
        <w:spacing w:after="0" w:line="240" w:lineRule="auto"/>
        <w:jc w:val="both"/>
        <w:rPr>
          <w:rFonts w:ascii="Verdana" w:hAnsi="Verdana"/>
        </w:rPr>
      </w:pPr>
      <w:r w:rsidRPr="00F938DD">
        <w:rPr>
          <w:rFonts w:ascii="Verdana" w:hAnsi="Verdana"/>
        </w:rPr>
        <w:t xml:space="preserve">LinkedIn: </w:t>
      </w:r>
      <w:r w:rsidRPr="00F938DD">
        <w:rPr>
          <w:rStyle w:val="Hipervnculo"/>
          <w:rFonts w:ascii="Verdana" w:hAnsi="Verdana"/>
          <w:color w:val="4472C4" w:themeColor="accent1"/>
        </w:rPr>
        <w:t>Agencia Nacional de Contratación Pública - Colombia Compra Eficiente</w:t>
      </w:r>
      <w:r w:rsidRPr="00F938DD">
        <w:rPr>
          <w:rFonts w:ascii="Verdana" w:hAnsi="Verdana"/>
          <w:color w:val="4472C4" w:themeColor="accent1"/>
        </w:rPr>
        <w:t xml:space="preserve"> </w:t>
      </w:r>
      <w:r w:rsidRPr="00F938DD">
        <w:rPr>
          <w:rFonts w:ascii="Verdana" w:hAnsi="Verdana"/>
        </w:rPr>
        <w:t xml:space="preserve">Instagram: </w:t>
      </w:r>
      <w:r w:rsidRPr="00F938DD">
        <w:rPr>
          <w:rStyle w:val="Hipervnculo"/>
          <w:rFonts w:ascii="Verdana" w:hAnsi="Verdana"/>
          <w:color w:val="4472C4" w:themeColor="accent1"/>
        </w:rPr>
        <w:t>@colombiacompraeficiente_cce</w:t>
      </w:r>
    </w:p>
    <w:p w14:paraId="7194DBDC" w14:textId="77777777" w:rsidR="007F0535" w:rsidRDefault="007F0535" w:rsidP="007F0535">
      <w:pPr>
        <w:widowControl w:val="0"/>
        <w:autoSpaceDE w:val="0"/>
        <w:autoSpaceDN w:val="0"/>
        <w:spacing w:after="0" w:line="276" w:lineRule="auto"/>
        <w:jc w:val="both"/>
        <w:rPr>
          <w:rFonts w:ascii="Verdana" w:hAnsi="Verdana" w:cs="Arial"/>
          <w:lang w:val="es-ES_tradnl"/>
        </w:rPr>
      </w:pPr>
    </w:p>
    <w:p w14:paraId="769D0D3C" w14:textId="77777777" w:rsidR="007F0535" w:rsidRPr="00AB152A" w:rsidRDefault="007F0535" w:rsidP="007F0535">
      <w:pPr>
        <w:widowControl w:val="0"/>
        <w:autoSpaceDE w:val="0"/>
        <w:autoSpaceDN w:val="0"/>
        <w:spacing w:after="0" w:line="276" w:lineRule="auto"/>
        <w:jc w:val="both"/>
        <w:rPr>
          <w:rFonts w:ascii="Verdana" w:hAnsi="Verdana" w:cs="Arial"/>
          <w:lang w:val="es-ES_tradnl"/>
        </w:rPr>
      </w:pPr>
    </w:p>
    <w:p w14:paraId="31F3F105" w14:textId="77777777" w:rsidR="007F0535" w:rsidRPr="00593A5F" w:rsidRDefault="007F0535" w:rsidP="007F0535">
      <w:pPr>
        <w:widowControl w:val="0"/>
        <w:autoSpaceDE w:val="0"/>
        <w:autoSpaceDN w:val="0"/>
        <w:spacing w:after="0" w:line="276" w:lineRule="auto"/>
        <w:jc w:val="both"/>
        <w:rPr>
          <w:rFonts w:ascii="Verdana" w:hAnsi="Verdana" w:cs="Arial"/>
          <w:lang w:val="es-ES_tradnl"/>
        </w:rPr>
      </w:pPr>
      <w:r w:rsidRPr="00593A5F">
        <w:rPr>
          <w:rFonts w:ascii="Verdana" w:hAnsi="Verdana" w:cs="Arial"/>
        </w:rPr>
        <w:t xml:space="preserve">Este concepto tiene el alcance previsto en el artículo 28 del Código de Procedimiento Administrativo y de lo Contencioso Administrativo </w:t>
      </w:r>
      <w:r w:rsidRPr="00593A5F">
        <w:rPr>
          <w:rFonts w:ascii="Verdana" w:hAnsi="Verdana" w:cs="Arial"/>
          <w:lang w:val="es-ES_tradnl"/>
        </w:rPr>
        <w:t>y las expresiones aquí utilizadas con mayúscula inicial deben ser entendidas con el significado que les otorga el artículo 2.2.1.1.1.3.1. del Decreto 1082 de 2015.</w:t>
      </w:r>
    </w:p>
    <w:p w14:paraId="54CD245A" w14:textId="77777777" w:rsidR="007F0535" w:rsidRPr="00593A5F" w:rsidRDefault="007F0535" w:rsidP="007F0535">
      <w:pPr>
        <w:widowControl w:val="0"/>
        <w:autoSpaceDE w:val="0"/>
        <w:autoSpaceDN w:val="0"/>
        <w:spacing w:after="0" w:line="276" w:lineRule="auto"/>
        <w:jc w:val="both"/>
        <w:rPr>
          <w:rFonts w:ascii="Verdana" w:hAnsi="Verdana" w:cs="Arial"/>
        </w:rPr>
      </w:pPr>
    </w:p>
    <w:p w14:paraId="653ACD62" w14:textId="77777777" w:rsidR="007F0535" w:rsidRPr="00593A5F" w:rsidRDefault="007F0535" w:rsidP="007F0535">
      <w:pPr>
        <w:spacing w:after="0" w:line="240" w:lineRule="auto"/>
        <w:rPr>
          <w:rFonts w:ascii="Verdana" w:hAnsi="Verdana" w:cs="Arial"/>
          <w:lang w:eastAsia="es-CO"/>
        </w:rPr>
      </w:pPr>
      <w:r w:rsidRPr="00593A5F">
        <w:rPr>
          <w:rFonts w:ascii="Verdana" w:eastAsia="Times New Roman" w:hAnsi="Verdana" w:cs="Arial"/>
          <w:lang w:eastAsia="es-CO"/>
        </w:rPr>
        <w:t>Atentamente,</w:t>
      </w:r>
      <w:r w:rsidRPr="00593A5F">
        <w:rPr>
          <w:rFonts w:ascii="Verdana" w:hAnsi="Verdana" w:cs="Arial"/>
          <w:lang w:eastAsia="es-CO"/>
        </w:rPr>
        <w:t xml:space="preserve"> </w:t>
      </w:r>
    </w:p>
    <w:p w14:paraId="1231BE67" w14:textId="77777777" w:rsidR="007F0535" w:rsidRPr="00593A5F" w:rsidRDefault="00C51AE6" w:rsidP="007F0535">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C6E0F0B" wp14:editId="6544008C">
            <wp:extent cx="3705742" cy="1590897"/>
            <wp:effectExtent l="0" t="0" r="9525" b="9525"/>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5"/>
                    <a:stretch>
                      <a:fillRect/>
                    </a:stretch>
                  </pic:blipFill>
                  <pic:spPr>
                    <a:xfrm>
                      <a:off x="0" y="0"/>
                      <a:ext cx="3705742" cy="1590897"/>
                    </a:xfrm>
                    <a:prstGeom prst="rect">
                      <a:avLst/>
                    </a:prstGeom>
                  </pic:spPr>
                </pic:pic>
              </a:graphicData>
            </a:graphic>
          </wp:inline>
        </w:drawing>
      </w:r>
    </w:p>
    <w:tbl>
      <w:tblPr>
        <w:tblW w:w="6438"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913"/>
        <w:gridCol w:w="5525"/>
      </w:tblGrid>
      <w:tr w:rsidR="007F0535" w:rsidRPr="0011467B" w14:paraId="34088984" w14:textId="77777777" w:rsidTr="00C77973">
        <w:trPr>
          <w:trHeight w:val="409"/>
        </w:trPr>
        <w:tc>
          <w:tcPr>
            <w:tcW w:w="913" w:type="dxa"/>
            <w:tcBorders>
              <w:top w:val="nil"/>
              <w:left w:val="nil"/>
              <w:bottom w:val="nil"/>
              <w:right w:val="nil"/>
            </w:tcBorders>
            <w:vAlign w:val="center"/>
            <w:hideMark/>
          </w:tcPr>
          <w:p w14:paraId="3DA6583C"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Elaboró: </w:t>
            </w:r>
          </w:p>
        </w:tc>
        <w:tc>
          <w:tcPr>
            <w:tcW w:w="5525" w:type="dxa"/>
            <w:tcBorders>
              <w:top w:val="nil"/>
              <w:left w:val="nil"/>
              <w:bottom w:val="dotted" w:sz="6" w:space="0" w:color="7F7F7F" w:themeColor="text1" w:themeTint="80"/>
              <w:right w:val="nil"/>
            </w:tcBorders>
            <w:vAlign w:val="center"/>
            <w:hideMark/>
          </w:tcPr>
          <w:p w14:paraId="3EB4D786"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Jhonattan Gualdrón Salazar</w:t>
            </w:r>
          </w:p>
          <w:p w14:paraId="79C6BF81"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Contratista de la Subdirección de Gestión Contractual</w:t>
            </w:r>
          </w:p>
        </w:tc>
      </w:tr>
      <w:tr w:rsidR="007F0535" w:rsidRPr="0011467B" w14:paraId="76C0D69E" w14:textId="77777777" w:rsidTr="00C77973">
        <w:trPr>
          <w:trHeight w:val="409"/>
        </w:trPr>
        <w:tc>
          <w:tcPr>
            <w:tcW w:w="913" w:type="dxa"/>
            <w:tcBorders>
              <w:top w:val="nil"/>
              <w:left w:val="nil"/>
              <w:right w:val="nil"/>
            </w:tcBorders>
            <w:vAlign w:val="center"/>
          </w:tcPr>
          <w:p w14:paraId="5D6E943A"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Revisó</w:t>
            </w:r>
          </w:p>
        </w:tc>
        <w:tc>
          <w:tcPr>
            <w:tcW w:w="5525" w:type="dxa"/>
            <w:tcBorders>
              <w:top w:val="dotted" w:sz="6" w:space="0" w:color="7F7F7F" w:themeColor="text1" w:themeTint="80"/>
              <w:left w:val="nil"/>
              <w:bottom w:val="dotted" w:sz="6" w:space="0" w:color="7F7F7F" w:themeColor="text1" w:themeTint="80"/>
              <w:right w:val="nil"/>
            </w:tcBorders>
            <w:vAlign w:val="center"/>
          </w:tcPr>
          <w:p w14:paraId="79E82D0B" w14:textId="77777777" w:rsidR="007F0535" w:rsidRPr="007F0535" w:rsidRDefault="007F0535" w:rsidP="00C77973">
            <w:pPr>
              <w:spacing w:after="0"/>
              <w:rPr>
                <w:rStyle w:val="normaltextrun"/>
                <w:rFonts w:ascii="Verdana" w:eastAsia="Arial" w:hAnsi="Verdana" w:cs="Arial"/>
                <w:color w:val="000000" w:themeColor="text1"/>
                <w:sz w:val="16"/>
                <w:szCs w:val="16"/>
              </w:rPr>
            </w:pPr>
            <w:r w:rsidRPr="007F0535">
              <w:rPr>
                <w:rStyle w:val="normaltextrun"/>
                <w:rFonts w:ascii="Verdana" w:eastAsia="Arial" w:hAnsi="Verdana" w:cs="Arial"/>
                <w:color w:val="000000" w:themeColor="text1"/>
                <w:sz w:val="16"/>
                <w:szCs w:val="16"/>
              </w:rPr>
              <w:t>Juan David Cárdenas</w:t>
            </w:r>
          </w:p>
          <w:p w14:paraId="429DCFB2"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 xml:space="preserve">Contratista de la </w:t>
            </w:r>
            <w:r w:rsidRPr="00AB11C1">
              <w:rPr>
                <w:rStyle w:val="normaltextrun"/>
                <w:rFonts w:ascii="Verdana" w:eastAsia="Arial" w:hAnsi="Verdana" w:cs="Arial"/>
                <w:color w:val="000000" w:themeColor="text1"/>
                <w:sz w:val="16"/>
                <w:szCs w:val="16"/>
              </w:rPr>
              <w:t>Subdirección de Gestión Contractual</w:t>
            </w:r>
          </w:p>
        </w:tc>
      </w:tr>
      <w:tr w:rsidR="007F0535" w:rsidRPr="0011467B" w14:paraId="3F64B1BA" w14:textId="77777777" w:rsidTr="00C77973">
        <w:trPr>
          <w:trHeight w:val="389"/>
        </w:trPr>
        <w:tc>
          <w:tcPr>
            <w:tcW w:w="913" w:type="dxa"/>
            <w:tcBorders>
              <w:top w:val="nil"/>
              <w:left w:val="nil"/>
              <w:bottom w:val="nil"/>
              <w:right w:val="nil"/>
            </w:tcBorders>
            <w:vAlign w:val="center"/>
            <w:hideMark/>
          </w:tcPr>
          <w:p w14:paraId="5456C0C6"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Aprobó: </w:t>
            </w:r>
          </w:p>
        </w:tc>
        <w:tc>
          <w:tcPr>
            <w:tcW w:w="5525" w:type="dxa"/>
            <w:tcBorders>
              <w:top w:val="dotted" w:sz="6" w:space="0" w:color="7F7F7F" w:themeColor="text1" w:themeTint="80"/>
              <w:left w:val="nil"/>
              <w:bottom w:val="dotted" w:sz="6" w:space="0" w:color="7F7F7F" w:themeColor="text1" w:themeTint="80"/>
              <w:right w:val="nil"/>
            </w:tcBorders>
            <w:vAlign w:val="center"/>
            <w:hideMark/>
          </w:tcPr>
          <w:p w14:paraId="6DD47CBF" w14:textId="77777777" w:rsidR="007F0535" w:rsidRPr="0011467B" w:rsidRDefault="007F0535" w:rsidP="00C77973">
            <w:pPr>
              <w:spacing w:after="0"/>
              <w:rPr>
                <w:rFonts w:ascii="Verdana" w:eastAsia="Calibri" w:hAnsi="Verdana" w:cs="Arial"/>
                <w:sz w:val="16"/>
                <w:szCs w:val="16"/>
                <w:lang w:val="pt-BR" w:eastAsia="es-ES"/>
              </w:rPr>
            </w:pPr>
            <w:r w:rsidRPr="0011467B">
              <w:rPr>
                <w:rFonts w:ascii="Verdana" w:eastAsia="Calibri" w:hAnsi="Verdana" w:cs="Arial"/>
                <w:sz w:val="16"/>
                <w:szCs w:val="16"/>
                <w:lang w:val="pt-BR" w:eastAsia="es-ES"/>
              </w:rPr>
              <w:t>Carolina Quintero Gacharná</w:t>
            </w:r>
          </w:p>
          <w:p w14:paraId="2B5EFE97" w14:textId="77777777" w:rsidR="007F0535" w:rsidRPr="0011467B" w:rsidRDefault="007F0535" w:rsidP="00C77973">
            <w:pPr>
              <w:spacing w:after="0"/>
              <w:jc w:val="both"/>
              <w:rPr>
                <w:rFonts w:ascii="Verdana" w:hAnsi="Verdana" w:cs="Arial"/>
                <w:sz w:val="16"/>
                <w:szCs w:val="16"/>
              </w:rPr>
            </w:pPr>
            <w:r w:rsidRPr="0011467B">
              <w:rPr>
                <w:rFonts w:ascii="Verdana" w:hAnsi="Verdana" w:cs="Arial"/>
                <w:sz w:val="16"/>
                <w:szCs w:val="16"/>
              </w:rPr>
              <w:t>Subdirectora de Gestión Contractual ANCP – CCE</w:t>
            </w:r>
          </w:p>
        </w:tc>
      </w:tr>
    </w:tbl>
    <w:p w14:paraId="36FEB5B0" w14:textId="77777777" w:rsidR="007F0535" w:rsidRPr="007709BF" w:rsidRDefault="007F0535" w:rsidP="007F0535"/>
    <w:p w14:paraId="30D7AA69" w14:textId="77777777" w:rsidR="00652834" w:rsidRDefault="00652834"/>
    <w:sectPr w:rsidR="00652834"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A786B79" w14:textId="77777777" w:rsidR="007607E8" w:rsidRDefault="007607E8" w:rsidP="007F0535">
      <w:pPr>
        <w:spacing w:after="0" w:line="240" w:lineRule="auto"/>
      </w:pPr>
      <w:r>
        <w:separator/>
      </w:r>
    </w:p>
  </w:endnote>
  <w:endnote w:type="continuationSeparator" w:id="0">
    <w:p w14:paraId="4680F005" w14:textId="77777777" w:rsidR="007607E8" w:rsidRDefault="007607E8" w:rsidP="007F0535">
      <w:pPr>
        <w:spacing w:after="0" w:line="240" w:lineRule="auto"/>
      </w:pPr>
      <w:r>
        <w:continuationSeparator/>
      </w:r>
    </w:p>
  </w:endnote>
  <w:endnote w:type="continuationNotice" w:id="1">
    <w:p w14:paraId="0E0B5CCC" w14:textId="77777777" w:rsidR="007607E8" w:rsidRDefault="007607E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altName w:val="Calibri"/>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9C6F4" w14:textId="77777777" w:rsidR="00652834" w:rsidRDefault="00652834">
    <w:pPr>
      <w:pStyle w:val="Piedepgina"/>
    </w:pPr>
  </w:p>
  <w:p w14:paraId="0940511E" w14:textId="77777777" w:rsidR="00652834" w:rsidRPr="00174B77" w:rsidRDefault="003E3289"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6055EBF4" w14:textId="77777777" w:rsidR="00652834" w:rsidRDefault="003E3289"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40AE9658" w14:textId="77777777" w:rsidR="00652834" w:rsidRPr="00E41027" w:rsidRDefault="003E3289" w:rsidP="00D520D8">
    <w:pPr>
      <w:spacing w:after="0"/>
      <w:jc w:val="both"/>
      <w:rPr>
        <w:rFonts w:ascii="Verdana" w:hAnsi="Verdana"/>
        <w:sz w:val="18"/>
        <w:szCs w:val="18"/>
      </w:rPr>
    </w:pPr>
    <w:r w:rsidRPr="00E41027">
      <w:rPr>
        <w:rFonts w:ascii="Verdana" w:hAnsi="Verdana"/>
        <w:sz w:val="18"/>
        <w:szCs w:val="18"/>
      </w:rPr>
      <w:t>Mesa de servicio: (+57) 601 7456788</w:t>
    </w:r>
  </w:p>
  <w:p w14:paraId="5A77ADEC" w14:textId="77777777" w:rsidR="00652834" w:rsidRDefault="003E3289"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4A65AA" w14:textId="77777777" w:rsidR="007607E8" w:rsidRDefault="007607E8" w:rsidP="007F0535">
      <w:pPr>
        <w:spacing w:after="0" w:line="240" w:lineRule="auto"/>
      </w:pPr>
      <w:r>
        <w:separator/>
      </w:r>
    </w:p>
  </w:footnote>
  <w:footnote w:type="continuationSeparator" w:id="0">
    <w:p w14:paraId="45C7BF0A" w14:textId="77777777" w:rsidR="007607E8" w:rsidRDefault="007607E8" w:rsidP="007F0535">
      <w:pPr>
        <w:spacing w:after="0" w:line="240" w:lineRule="auto"/>
      </w:pPr>
      <w:r>
        <w:continuationSeparator/>
      </w:r>
    </w:p>
  </w:footnote>
  <w:footnote w:type="continuationNotice" w:id="1">
    <w:p w14:paraId="530743C4" w14:textId="77777777" w:rsidR="007607E8" w:rsidRDefault="007607E8">
      <w:pPr>
        <w:spacing w:after="0" w:line="240" w:lineRule="auto"/>
      </w:pPr>
    </w:p>
  </w:footnote>
  <w:footnote w:id="2">
    <w:p w14:paraId="1FF779B6" w14:textId="77777777" w:rsidR="007F0535" w:rsidRPr="0034663B" w:rsidRDefault="007F0535" w:rsidP="007F0535">
      <w:pPr>
        <w:pStyle w:val="Textonotapie"/>
        <w:ind w:firstLine="709"/>
        <w:jc w:val="both"/>
        <w:rPr>
          <w:rFonts w:ascii="Verdana" w:eastAsia="Times New Roman" w:hAnsi="Verdana" w:cs="Arial"/>
          <w:sz w:val="14"/>
          <w:szCs w:val="14"/>
          <w:lang w:val="es-CO" w:eastAsia="es-CO"/>
        </w:rPr>
      </w:pPr>
      <w:r w:rsidRPr="0034663B">
        <w:rPr>
          <w:rStyle w:val="Refdenotaalpie"/>
          <w:rFonts w:ascii="Verdana" w:hAnsi="Verdana" w:cs="Arial"/>
          <w:sz w:val="14"/>
          <w:szCs w:val="14"/>
        </w:rPr>
        <w:footnoteRef/>
      </w:r>
      <w:r w:rsidRPr="0034663B">
        <w:rPr>
          <w:rFonts w:ascii="Verdana" w:hAnsi="Verdana" w:cs="Arial"/>
          <w:sz w:val="14"/>
          <w:szCs w:val="14"/>
        </w:rPr>
        <w:t xml:space="preserve"> </w:t>
      </w:r>
      <w:r w:rsidRPr="0034663B">
        <w:rPr>
          <w:rFonts w:ascii="Verdana" w:eastAsia="Times New Roman" w:hAnsi="Verdana" w:cs="Arial"/>
          <w:sz w:val="14"/>
          <w:szCs w:val="14"/>
          <w:lang w:val="es-CO" w:eastAsia="es-CO"/>
        </w:rPr>
        <w:t>Consejo de Estado. Sección Tercera. Sentencia del 27 de abril de 2011. Exp. 18.293. C.P. Ruth Stella Correa Palacio.</w:t>
      </w:r>
    </w:p>
  </w:footnote>
  <w:footnote w:id="3">
    <w:p w14:paraId="1078BE7B" w14:textId="77777777" w:rsidR="007F0535" w:rsidRPr="0034663B" w:rsidRDefault="007F0535" w:rsidP="007F0535">
      <w:pPr>
        <w:pStyle w:val="Textonotapie"/>
        <w:ind w:firstLine="709"/>
        <w:jc w:val="both"/>
        <w:rPr>
          <w:rFonts w:ascii="Verdana" w:eastAsia="Times New Roman" w:hAnsi="Verdana" w:cs="Arial"/>
          <w:sz w:val="14"/>
          <w:szCs w:val="14"/>
          <w:lang w:val="es-CO" w:eastAsia="es-CO"/>
        </w:rPr>
      </w:pPr>
      <w:r w:rsidRPr="0034663B">
        <w:rPr>
          <w:rStyle w:val="Refdenotaalpie"/>
          <w:rFonts w:ascii="Verdana" w:hAnsi="Verdana" w:cs="Arial"/>
          <w:sz w:val="14"/>
          <w:szCs w:val="14"/>
        </w:rPr>
        <w:footnoteRef/>
      </w:r>
      <w:r w:rsidRPr="0034663B">
        <w:rPr>
          <w:rFonts w:ascii="Verdana" w:hAnsi="Verdana" w:cs="Arial"/>
          <w:sz w:val="14"/>
          <w:szCs w:val="14"/>
        </w:rPr>
        <w:t xml:space="preserve"> </w:t>
      </w:r>
      <w:r w:rsidRPr="0034663B">
        <w:rPr>
          <w:rFonts w:ascii="Verdana" w:eastAsia="Times New Roman" w:hAnsi="Verdana" w:cs="Arial"/>
          <w:sz w:val="14"/>
          <w:szCs w:val="14"/>
          <w:lang w:val="es-CO" w:eastAsia="es-CO"/>
        </w:rPr>
        <w:t>Consejo de Estado. Sección Tercera. Sentencia del 21 de noviembre de 2013  Exp. 25397. C.P. Carlos Alberto Zambrano Barrera.</w:t>
      </w:r>
    </w:p>
    <w:p w14:paraId="16DEB4AB" w14:textId="77777777" w:rsidR="007F0535" w:rsidRPr="0034663B" w:rsidRDefault="007F0535" w:rsidP="007F0535">
      <w:pPr>
        <w:pStyle w:val="Textonotapie"/>
        <w:ind w:firstLine="709"/>
        <w:jc w:val="both"/>
        <w:rPr>
          <w:rFonts w:ascii="Verdana" w:eastAsia="Calibri" w:hAnsi="Verdana" w:cs="Arial"/>
          <w:sz w:val="14"/>
          <w:szCs w:val="14"/>
          <w:lang w:val="es-CO"/>
        </w:rPr>
      </w:pPr>
    </w:p>
  </w:footnote>
  <w:footnote w:id="4">
    <w:p w14:paraId="0EF671DD" w14:textId="77777777" w:rsidR="007F0535" w:rsidRPr="0034663B" w:rsidRDefault="007F0535" w:rsidP="007F053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4663B">
        <w:rPr>
          <w:rFonts w:ascii="Verdana" w:hAnsi="Verdana" w:cs="Arial"/>
          <w:sz w:val="14"/>
          <w:szCs w:val="14"/>
          <w:vertAlign w:val="superscript"/>
        </w:rPr>
        <w:footnoteRef/>
      </w:r>
      <w:r w:rsidRPr="0034663B">
        <w:rPr>
          <w:rFonts w:ascii="Verdana" w:eastAsia="Arial" w:hAnsi="Verdana" w:cs="Arial"/>
          <w:color w:val="000000"/>
          <w:sz w:val="14"/>
          <w:szCs w:val="14"/>
        </w:rPr>
        <w:t xml:space="preserve"> Al respecto, conviene recordar el artículo 29 de la Ley 80 de 1993, derogado por el artículo 32 de la Ley 1150 de 2007, que establecía: “La selección de contratistas será objetiva.</w:t>
      </w:r>
    </w:p>
    <w:p w14:paraId="119F85DE" w14:textId="77777777" w:rsidR="007F0535" w:rsidRPr="0034663B" w:rsidRDefault="007F0535" w:rsidP="007F053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4663B">
        <w:rPr>
          <w:rFonts w:ascii="Verdana" w:eastAsia="Arial" w:hAnsi="Verdana" w:cs="Arial"/>
          <w:color w:val="000000"/>
          <w:sz w:val="14"/>
          <w:szCs w:val="14"/>
        </w:rPr>
        <w:t>Es objetiva la selección en la cual la escogencia se hace al ofrecimiento más favorable a la entidad y a los fines que ella busca, sin tener en consideración factores de afecto o de interés y, en general, cualquier clase de motivación subjetiva.</w:t>
      </w:r>
    </w:p>
    <w:p w14:paraId="2AF23B64" w14:textId="77777777" w:rsidR="007F0535" w:rsidRPr="0034663B" w:rsidRDefault="007F0535" w:rsidP="007F053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4663B">
        <w:rPr>
          <w:rFonts w:ascii="Verdana" w:eastAsia="Arial" w:hAnsi="Verdana" w:cs="Arial"/>
          <w:color w:val="000000"/>
          <w:sz w:val="14"/>
          <w:szCs w:val="14"/>
        </w:rPr>
        <w:t>Ofrecimiento más favorable es aquel que, teniendo en cuenta los factores de escogencia, tales como cumplimiento, experiencia, organización, equipos, plazo, precio y la ponderación precisa, detallada y concreta de los mismos, contenida en los pliegos de condiciones o términos de referencia o en el análisis previo a la suscripción del contrato, si se trata de contratación directa, resulta ser el más ventajoso para la entidad, sin que la favorabilidad la constituyan factores diferentes a los contenidos en dichos documentos, sólo alguno de ellos, el más bajo precio o el plazo ofrecido. El menor plazo que se ofrezca inferior al solicitado en los pliegos, no será objeto de evaluación”.</w:t>
      </w:r>
    </w:p>
    <w:p w14:paraId="68789D83" w14:textId="77777777" w:rsidR="007F0535" w:rsidRPr="0034663B" w:rsidRDefault="007F0535" w:rsidP="007F053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4663B">
        <w:rPr>
          <w:rFonts w:ascii="Verdana" w:eastAsia="Arial" w:hAnsi="Verdana" w:cs="Arial"/>
          <w:color w:val="000000"/>
          <w:sz w:val="14"/>
          <w:szCs w:val="14"/>
        </w:rPr>
        <w:t>El administrador efectuará las comparaciones del caso mediante el cotejo de los diferentes ofrecimientos recibidos, la consulta de precios o condiciones del mercado y los estudios y deducciones de la entidad o de los organismos consultores o asesores designados para ello.</w:t>
      </w:r>
    </w:p>
    <w:p w14:paraId="41A0EE6C" w14:textId="77777777" w:rsidR="007F0535" w:rsidRPr="0034663B" w:rsidRDefault="007F0535" w:rsidP="007F0535">
      <w:pPr>
        <w:pBdr>
          <w:top w:val="nil"/>
          <w:left w:val="nil"/>
          <w:bottom w:val="nil"/>
          <w:right w:val="nil"/>
          <w:between w:val="nil"/>
        </w:pBdr>
        <w:spacing w:after="0" w:line="240" w:lineRule="auto"/>
        <w:ind w:firstLine="709"/>
        <w:jc w:val="both"/>
        <w:rPr>
          <w:rFonts w:ascii="Verdana" w:eastAsia="Arial" w:hAnsi="Verdana" w:cs="Arial"/>
          <w:color w:val="000000"/>
          <w:sz w:val="14"/>
          <w:szCs w:val="14"/>
        </w:rPr>
      </w:pPr>
      <w:r w:rsidRPr="0034663B">
        <w:rPr>
          <w:rFonts w:ascii="Verdana" w:eastAsia="Arial" w:hAnsi="Verdana" w:cs="Arial"/>
          <w:color w:val="000000"/>
          <w:sz w:val="14"/>
          <w:szCs w:val="14"/>
        </w:rPr>
        <w:t>En caso de comparación de propuestas nacionales y extranjeras, se incluirán los costos necesarios para la entrega del producto terminado en el lugar de su utilización”.</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91304" w14:textId="77777777" w:rsidR="00652834" w:rsidRDefault="003E3289">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0053A6F0" wp14:editId="2437ED34">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58240" behindDoc="0" locked="0" layoutInCell="1" allowOverlap="1" wp14:anchorId="10939739" wp14:editId="091D1178">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7196D064" w14:textId="77777777" w:rsidR="00652834" w:rsidRDefault="00652834">
    <w:pPr>
      <w:pStyle w:val="Encabezado"/>
    </w:pPr>
  </w:p>
  <w:p w14:paraId="34FF1C98" w14:textId="77777777" w:rsidR="00652834" w:rsidRDefault="00652834" w:rsidP="004A305D">
    <w:pPr>
      <w:spacing w:after="0"/>
      <w:rPr>
        <w:rFonts w:ascii="Verdana" w:hAnsi="Verdana"/>
        <w:b/>
        <w:bCs/>
      </w:rPr>
    </w:pPr>
  </w:p>
  <w:p w14:paraId="6D072C0D" w14:textId="77777777" w:rsidR="00652834" w:rsidRPr="004A305D" w:rsidRDefault="00652834" w:rsidP="00B01B1A">
    <w:pPr>
      <w:spacing w:after="0" w:line="120" w:lineRule="auto"/>
      <w:rPr>
        <w:rFonts w:ascii="Century Gothic" w:eastAsia="Geo" w:hAnsi="Century Gothic" w:cs="Geo"/>
        <w:sz w:val="16"/>
        <w:szCs w:val="16"/>
        <w:lang w:eastAsia="es-CO"/>
      </w:rPr>
    </w:pPr>
  </w:p>
  <w:p w14:paraId="48A21919" w14:textId="77777777" w:rsidR="00652834" w:rsidRDefault="00652834"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39AAAE94"/>
    <w:lvl w:ilvl="0">
      <w:start w:val="1"/>
      <w:numFmt w:val="decimal"/>
      <w:lvlText w:val="%1."/>
      <w:lvlJc w:val="left"/>
      <w:pPr>
        <w:ind w:left="1068" w:hanging="360"/>
      </w:pPr>
      <w:rPr>
        <w:b/>
        <w:color w:val="000000" w:themeColor="text1"/>
      </w:rPr>
    </w:lvl>
    <w:lvl w:ilvl="1">
      <w:start w:val="2"/>
      <w:numFmt w:val="decimal"/>
      <w:isLgl/>
      <w:lvlText w:val="%1.%2"/>
      <w:lvlJc w:val="left"/>
      <w:pPr>
        <w:ind w:left="708" w:hanging="360"/>
      </w:pPr>
    </w:lvl>
    <w:lvl w:ilvl="2">
      <w:start w:val="1"/>
      <w:numFmt w:val="decimal"/>
      <w:isLgl/>
      <w:lvlText w:val="%1.%2.%3"/>
      <w:lvlJc w:val="left"/>
      <w:pPr>
        <w:ind w:left="1428" w:hanging="720"/>
      </w:pPr>
    </w:lvl>
    <w:lvl w:ilvl="3">
      <w:start w:val="1"/>
      <w:numFmt w:val="decimal"/>
      <w:isLgl/>
      <w:lvlText w:val="%1.%2.%3.%4"/>
      <w:lvlJc w:val="left"/>
      <w:pPr>
        <w:ind w:left="1428" w:hanging="720"/>
      </w:pPr>
    </w:lvl>
    <w:lvl w:ilvl="4">
      <w:start w:val="1"/>
      <w:numFmt w:val="decimal"/>
      <w:isLgl/>
      <w:lvlText w:val="%1.%2.%3.%4.%5"/>
      <w:lvlJc w:val="left"/>
      <w:pPr>
        <w:ind w:left="1788" w:hanging="1080"/>
      </w:pPr>
    </w:lvl>
    <w:lvl w:ilvl="5">
      <w:start w:val="1"/>
      <w:numFmt w:val="decimal"/>
      <w:isLgl/>
      <w:lvlText w:val="%1.%2.%3.%4.%5.%6"/>
      <w:lvlJc w:val="left"/>
      <w:pPr>
        <w:ind w:left="1788" w:hanging="1080"/>
      </w:pPr>
    </w:lvl>
    <w:lvl w:ilvl="6">
      <w:start w:val="1"/>
      <w:numFmt w:val="decimal"/>
      <w:isLgl/>
      <w:lvlText w:val="%1.%2.%3.%4.%5.%6.%7"/>
      <w:lvlJc w:val="left"/>
      <w:pPr>
        <w:ind w:left="2148" w:hanging="1440"/>
      </w:pPr>
    </w:lvl>
    <w:lvl w:ilvl="7">
      <w:start w:val="1"/>
      <w:numFmt w:val="decimal"/>
      <w:isLgl/>
      <w:lvlText w:val="%1.%2.%3.%4.%5.%6.%7.%8"/>
      <w:lvlJc w:val="left"/>
      <w:pPr>
        <w:ind w:left="2148" w:hanging="1440"/>
      </w:pPr>
    </w:lvl>
    <w:lvl w:ilvl="8">
      <w:start w:val="1"/>
      <w:numFmt w:val="decimal"/>
      <w:isLgl/>
      <w:lvlText w:val="%1.%2.%3.%4.%5.%6.%7.%8.%9"/>
      <w:lvlJc w:val="left"/>
      <w:pPr>
        <w:ind w:left="2508" w:hanging="1800"/>
      </w:pPr>
    </w:lvl>
  </w:abstractNum>
  <w:abstractNum w:abstractNumId="1"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38960B20"/>
    <w:multiLevelType w:val="hybridMultilevel"/>
    <w:tmpl w:val="929E1BA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67D9353E"/>
    <w:multiLevelType w:val="hybridMultilevel"/>
    <w:tmpl w:val="6DD4E6D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6CC475F9"/>
    <w:multiLevelType w:val="multilevel"/>
    <w:tmpl w:val="5F2A36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5284077"/>
    <w:multiLevelType w:val="hybridMultilevel"/>
    <w:tmpl w:val="AAA641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EAD19C2"/>
    <w:multiLevelType w:val="hybridMultilevel"/>
    <w:tmpl w:val="CD4A154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6"/>
  </w:num>
  <w:num w:numId="3">
    <w:abstractNumId w:val="5"/>
  </w:num>
  <w:num w:numId="4">
    <w:abstractNumId w:val="4"/>
  </w:num>
  <w:num w:numId="5">
    <w:abstractNumId w:val="1"/>
  </w:num>
  <w:num w:numId="6">
    <w:abstractNumId w:val="2"/>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08"/>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0535"/>
    <w:rsid w:val="002005BE"/>
    <w:rsid w:val="002870A5"/>
    <w:rsid w:val="003B0BF6"/>
    <w:rsid w:val="003E3289"/>
    <w:rsid w:val="0043496D"/>
    <w:rsid w:val="00582DE3"/>
    <w:rsid w:val="005A3B7F"/>
    <w:rsid w:val="005B2116"/>
    <w:rsid w:val="006113E1"/>
    <w:rsid w:val="00652834"/>
    <w:rsid w:val="007607E8"/>
    <w:rsid w:val="007F0535"/>
    <w:rsid w:val="009046F8"/>
    <w:rsid w:val="009C5637"/>
    <w:rsid w:val="00A73562"/>
    <w:rsid w:val="00B71C73"/>
    <w:rsid w:val="00B92F35"/>
    <w:rsid w:val="00C51AE6"/>
    <w:rsid w:val="00C6122B"/>
    <w:rsid w:val="00E14A0F"/>
    <w:rsid w:val="00F8071C"/>
    <w:rsid w:val="223DB84E"/>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D07221"/>
  <w15:chartTrackingRefBased/>
  <w15:docId w15:val="{D0FAA9AC-CD64-BC41-A160-CF58828EED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0535"/>
    <w:pPr>
      <w:spacing w:after="160" w:line="259" w:lineRule="auto"/>
    </w:pPr>
    <w:rPr>
      <w:kern w:val="0"/>
      <w:sz w:val="22"/>
      <w:szCs w:val="22"/>
      <w14:ligatures w14:val="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F0535"/>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7F0535"/>
    <w:rPr>
      <w:kern w:val="0"/>
      <w:sz w:val="22"/>
      <w:szCs w:val="22"/>
      <w14:ligatures w14:val="none"/>
    </w:rPr>
  </w:style>
  <w:style w:type="paragraph" w:styleId="Piedepgina">
    <w:name w:val="footer"/>
    <w:basedOn w:val="Normal"/>
    <w:link w:val="PiedepginaCar"/>
    <w:uiPriority w:val="99"/>
    <w:unhideWhenUsed/>
    <w:rsid w:val="007F0535"/>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7F0535"/>
    <w:rPr>
      <w:kern w:val="0"/>
      <w:sz w:val="22"/>
      <w:szCs w:val="22"/>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F0535"/>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7F0535"/>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7F0535"/>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7F0535"/>
    <w:rPr>
      <w:vertAlign w:val="superscript"/>
    </w:rPr>
  </w:style>
  <w:style w:type="character" w:customStyle="1" w:styleId="normaltextrun">
    <w:name w:val="normaltextrun"/>
    <w:basedOn w:val="Fuentedeprrafopredeter"/>
    <w:rsid w:val="007F0535"/>
  </w:style>
  <w:style w:type="table" w:styleId="Tablaconcuadrcula">
    <w:name w:val="Table Grid"/>
    <w:basedOn w:val="Tablanormal"/>
    <w:uiPriority w:val="39"/>
    <w:qFormat/>
    <w:rsid w:val="007F0535"/>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
    <w:basedOn w:val="Normal"/>
    <w:link w:val="PrrafodelistaCar"/>
    <w:uiPriority w:val="34"/>
    <w:qFormat/>
    <w:rsid w:val="007F0535"/>
    <w:pPr>
      <w:ind w:left="720"/>
      <w:contextualSpacing/>
    </w:pPr>
    <w:rPr>
      <w:rFonts w:ascii="Geomanist Light" w:hAnsi="Geomanist Light"/>
      <w:lang w:val="es-ES"/>
    </w:rPr>
  </w:style>
  <w:style w:type="character" w:styleId="Hipervnculo">
    <w:name w:val="Hyperlink"/>
    <w:basedOn w:val="Fuentedeprrafopredeter"/>
    <w:uiPriority w:val="99"/>
    <w:unhideWhenUsed/>
    <w:rsid w:val="007F0535"/>
    <w:rPr>
      <w:color w:val="0000FF"/>
      <w:u w:val="single"/>
    </w:rPr>
  </w:style>
  <w:style w:type="paragraph" w:customStyle="1" w:styleId="Appelnotedebasde">
    <w:name w:val="Appel note de bas de..."/>
    <w:basedOn w:val="Normal"/>
    <w:link w:val="Refdenotaalpie"/>
    <w:uiPriority w:val="99"/>
    <w:rsid w:val="007F0535"/>
    <w:pPr>
      <w:spacing w:line="240" w:lineRule="exact"/>
    </w:pPr>
    <w:rPr>
      <w:kern w:val="2"/>
      <w:sz w:val="24"/>
      <w:szCs w:val="24"/>
      <w:vertAlign w:val="superscript"/>
      <w14:ligatures w14:val="standardContextua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F0535"/>
    <w:rPr>
      <w:rFonts w:ascii="Geomanist Light" w:hAnsi="Geomanist Light"/>
      <w:kern w:val="0"/>
      <w:sz w:val="22"/>
      <w:szCs w:val="22"/>
      <w:lang w:val="es-ES"/>
      <w14:ligatures w14:val="none"/>
    </w:rPr>
  </w:style>
  <w:style w:type="paragraph" w:styleId="Textoindependiente">
    <w:name w:val="Body Text"/>
    <w:basedOn w:val="Normal"/>
    <w:link w:val="TextoindependienteCar"/>
    <w:uiPriority w:val="99"/>
    <w:semiHidden/>
    <w:unhideWhenUsed/>
    <w:rsid w:val="007F0535"/>
    <w:pPr>
      <w:spacing w:after="120"/>
    </w:pPr>
  </w:style>
  <w:style w:type="character" w:customStyle="1" w:styleId="TextoindependienteCar">
    <w:name w:val="Texto independiente Car"/>
    <w:basedOn w:val="Fuentedeprrafopredeter"/>
    <w:link w:val="Textoindependiente"/>
    <w:uiPriority w:val="99"/>
    <w:semiHidden/>
    <w:rsid w:val="007F0535"/>
    <w:rPr>
      <w:kern w:val="0"/>
      <w:sz w:val="22"/>
      <w:szCs w:val="22"/>
      <w14:ligatures w14:val="none"/>
    </w:rPr>
  </w:style>
  <w:style w:type="character" w:customStyle="1" w:styleId="eop">
    <w:name w:val="eop"/>
    <w:basedOn w:val="Fuentedeprrafopredeter"/>
    <w:rsid w:val="007F0535"/>
  </w:style>
  <w:style w:type="character" w:styleId="Mencinsinresolver">
    <w:name w:val="Unresolved Mention"/>
    <w:basedOn w:val="Fuentedeprrafopredeter"/>
    <w:uiPriority w:val="99"/>
    <w:semiHidden/>
    <w:unhideWhenUsed/>
    <w:rsid w:val="007F053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sites%2Fcce_public%2Ffiles%2Fcce_documents%2Fmanual_para_el_manejo_de_acuerdos_comerciales_vf.pdf&amp;data=05%7C02%7Cximena.rios%40colombiacompra.gov.co%7C6192b0470d324981a09708dd0a6c28db%7C7b09041e245149d08cb179d5e3d8c1be%7C0%7C0%7C638678181873662657%7CUnknown%7CTWFpbGZsb3d8eyJFbXB0eU1hcGkiOnRydWUsIlYiOiIwLjAuMDAwMCIsIlAiOiJXaW4zMiIsIkFOIjoiTWFpbCIsIldUIjoyfQ%3D%3D%7C0%7C%7C%7C&amp;sdata=tXt%2FvLKMV%2Fuf0BVO%2BSS%2BLWK6HcsvZXW8UPhbU9l72hk%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DANILO_FUQUENE@HOTMAIL.COM" TargetMode="External"/><Relationship Id="rId5" Type="http://schemas.openxmlformats.org/officeDocument/2006/relationships/styles" Target="styles.xml"/><Relationship Id="rId15" Type="http://schemas.openxmlformats.org/officeDocument/2006/relationships/image" Target="media/image2.png"/><Relationship Id="rId10" Type="http://schemas.openxmlformats.org/officeDocument/2006/relationships/image" Target="media/image1.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sala-de-prensa%2Fboletin-digital&amp;data=05%7C02%7Cximena.rios%40colombiacompra.gov.co%7C6192b0470d324981a09708dd0a6c28db%7C7b09041e245149d08cb179d5e3d8c1be%7C0%7C0%7C638678181873731554%7CUnknown%7CTWFpbGZsb3d8eyJFbXB0eU1hcGkiOnRydWUsIlYiOiIwLjAuMDAwMCIsIlAiOiJXaW4zMiIsIkFOIjoiTWFpbCIsIldUIjoyfQ%3D%3D%7C0%7C%7C%7C&amp;sdata=fMPgdsOWhADZlqGGOVDCexWpmOT6zzL6qchUFiD6Nd8%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84A3EC4-555F-4F34-8D03-72C054923705}">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96B1C2B3-9587-4392-8DB5-DAA6CB841B6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292B935-3356-43C1-8B24-5B31ECD2433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2608</Words>
  <Characters>14344</Characters>
  <Application>Microsoft Office Word</Application>
  <DocSecurity>0</DocSecurity>
  <Lines>119</Lines>
  <Paragraphs>33</Paragraphs>
  <ScaleCrop>false</ScaleCrop>
  <Company/>
  <LinksUpToDate>false</LinksUpToDate>
  <CharactersWithSpaces>16919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Jhonattan Gualdron Salazar</dc:creator>
  <cp:keywords/>
  <dc:description/>
  <cp:lastModifiedBy>Catalina del Pilar Lisa Cubides Estupinan</cp:lastModifiedBy>
  <cp:revision>4</cp:revision>
  <dcterms:created xsi:type="dcterms:W3CDTF">2024-12-20T20:34:00Z</dcterms:created>
  <dcterms:modified xsi:type="dcterms:W3CDTF">2025-10-09T02:34:00Z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