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E6DD9" w14:textId="77777777" w:rsidR="00A42684" w:rsidRDefault="00A42684" w:rsidP="00350E51">
      <w:pPr>
        <w:spacing w:after="0"/>
        <w:jc w:val="both"/>
        <w:rPr>
          <w:rFonts w:ascii="Verdana" w:hAnsi="Verdana"/>
        </w:rPr>
      </w:pPr>
      <w:bookmarkStart w:id="0" w:name="_Hlk143780582"/>
    </w:p>
    <w:p w14:paraId="70900897" w14:textId="77777777" w:rsidR="00A42684" w:rsidRPr="006E44FE" w:rsidRDefault="00A42684" w:rsidP="00350E51">
      <w:pPr>
        <w:jc w:val="both"/>
        <w:rPr>
          <w:rFonts w:ascii="Verdana" w:eastAsia="Geomanist Light" w:hAnsi="Verdana" w:cs="Arial"/>
          <w:b/>
          <w:bCs/>
          <w:color w:val="000000" w:themeColor="text1"/>
        </w:rPr>
      </w:pPr>
      <w:r w:rsidRPr="006E44FE">
        <w:rPr>
          <w:rFonts w:ascii="Verdana" w:eastAsia="Geomanist Light" w:hAnsi="Verdana" w:cs="Arial"/>
          <w:b/>
          <w:bCs/>
          <w:color w:val="000000" w:themeColor="text1"/>
          <w:lang w:val="es-ES"/>
        </w:rPr>
        <w:t>DECRETO 092 DE 2017 – Artículo 355 – Constitución Política – Convenios de asociación – Artículo 96 – Ley 489 de 1998 </w:t>
      </w:r>
      <w:r w:rsidRPr="006E44FE">
        <w:rPr>
          <w:rFonts w:ascii="Verdana" w:eastAsia="Geomanist Light" w:hAnsi="Verdana" w:cs="Arial"/>
          <w:b/>
          <w:bCs/>
          <w:color w:val="000000" w:themeColor="text1"/>
        </w:rPr>
        <w:t> </w:t>
      </w:r>
    </w:p>
    <w:p w14:paraId="60A67859" w14:textId="77777777" w:rsidR="00A42684" w:rsidRPr="006E44FE" w:rsidRDefault="00A42684" w:rsidP="00350E51">
      <w:pPr>
        <w:jc w:val="both"/>
        <w:rPr>
          <w:rFonts w:ascii="Verdana" w:eastAsia="Geomanist Light" w:hAnsi="Verdana" w:cs="Arial"/>
          <w:color w:val="000000" w:themeColor="text1"/>
        </w:rPr>
      </w:pPr>
      <w:r w:rsidRPr="006E44FE">
        <w:rPr>
          <w:rFonts w:ascii="Verdana" w:eastAsia="Geomanist Light" w:hAnsi="Verdana" w:cs="Arial"/>
          <w:color w:val="000000" w:themeColor="text1"/>
          <w:lang w:val="es-ES"/>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 </w:t>
      </w:r>
      <w:r w:rsidRPr="006E44FE">
        <w:rPr>
          <w:rFonts w:ascii="Verdana" w:eastAsia="Geomanist Light" w:hAnsi="Verdana" w:cs="Arial"/>
          <w:color w:val="000000" w:themeColor="text1"/>
        </w:rPr>
        <w:t> </w:t>
      </w:r>
    </w:p>
    <w:p w14:paraId="6D63D2F5" w14:textId="77777777" w:rsidR="00A42684" w:rsidRPr="006E44FE" w:rsidRDefault="00A42684" w:rsidP="00350E51">
      <w:pPr>
        <w:jc w:val="both"/>
        <w:rPr>
          <w:rFonts w:ascii="Verdana" w:eastAsia="Geomanist Light" w:hAnsi="Verdana" w:cs="Arial"/>
          <w:b/>
          <w:bCs/>
          <w:color w:val="000000" w:themeColor="text1"/>
        </w:rPr>
      </w:pPr>
      <w:r w:rsidRPr="006E44FE">
        <w:rPr>
          <w:rFonts w:ascii="Verdana" w:eastAsia="Geomanist Light" w:hAnsi="Verdana" w:cs="Arial"/>
          <w:b/>
          <w:bCs/>
          <w:color w:val="000000" w:themeColor="text1"/>
          <w:lang w:val="es-ES"/>
        </w:rPr>
        <w:t> </w:t>
      </w:r>
      <w:r w:rsidRPr="006E44FE">
        <w:rPr>
          <w:rFonts w:ascii="Verdana" w:eastAsia="Geomanist Light" w:hAnsi="Verdana" w:cs="Arial"/>
          <w:b/>
          <w:bCs/>
          <w:color w:val="000000" w:themeColor="text1"/>
        </w:rPr>
        <w:t> </w:t>
      </w:r>
    </w:p>
    <w:p w14:paraId="29A0FF09" w14:textId="77777777" w:rsidR="00A42684" w:rsidRPr="006E44FE" w:rsidRDefault="00A42684" w:rsidP="00350E51">
      <w:pPr>
        <w:jc w:val="both"/>
        <w:rPr>
          <w:rFonts w:ascii="Verdana" w:eastAsia="Geomanist Light" w:hAnsi="Verdana" w:cs="Arial"/>
          <w:b/>
          <w:bCs/>
          <w:color w:val="000000" w:themeColor="text1"/>
        </w:rPr>
      </w:pPr>
      <w:r w:rsidRPr="006E44FE">
        <w:rPr>
          <w:rFonts w:ascii="Verdana" w:eastAsia="Geomanist Light" w:hAnsi="Verdana" w:cs="Arial"/>
          <w:b/>
          <w:bCs/>
          <w:color w:val="000000" w:themeColor="text1"/>
          <w:lang w:val="es-ES"/>
        </w:rPr>
        <w:t>CONVENIOS DE ASOCIACIÓN – Concepto – Artículo 5 – Decreto 092 de 2017  </w:t>
      </w:r>
      <w:r w:rsidRPr="006E44FE">
        <w:rPr>
          <w:rFonts w:ascii="Verdana" w:eastAsia="Geomanist Light" w:hAnsi="Verdana" w:cs="Arial"/>
          <w:b/>
          <w:bCs/>
          <w:color w:val="000000" w:themeColor="text1"/>
        </w:rPr>
        <w:t> </w:t>
      </w:r>
    </w:p>
    <w:p w14:paraId="2064C3D4" w14:textId="77777777" w:rsidR="00A42684" w:rsidRPr="006E44FE" w:rsidRDefault="00A42684" w:rsidP="00350E51">
      <w:pPr>
        <w:jc w:val="both"/>
        <w:rPr>
          <w:rFonts w:ascii="Verdana" w:eastAsia="Geomanist Light" w:hAnsi="Verdana" w:cs="Arial"/>
          <w:color w:val="000000" w:themeColor="text1"/>
        </w:rPr>
      </w:pPr>
      <w:r w:rsidRPr="006E44FE">
        <w:rPr>
          <w:rFonts w:ascii="Verdana" w:eastAsia="Geomanist Light" w:hAnsi="Verdana" w:cs="Arial"/>
          <w:color w:val="000000" w:themeColor="text1"/>
          <w:lang w:val="es-ES"/>
        </w:rPr>
        <w:t>Tales convenios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w:t>
      </w:r>
      <w:r w:rsidRPr="006E44FE">
        <w:rPr>
          <w:rFonts w:ascii="Verdana" w:eastAsia="Geomanist Light" w:hAnsi="Verdana" w:cs="Arial"/>
          <w:color w:val="000000" w:themeColor="text1"/>
        </w:rPr>
        <w:t> </w:t>
      </w:r>
    </w:p>
    <w:p w14:paraId="54B96166" w14:textId="77777777" w:rsidR="00A42684" w:rsidRPr="006E44FE" w:rsidRDefault="00A42684" w:rsidP="00350E51">
      <w:pPr>
        <w:jc w:val="both"/>
        <w:rPr>
          <w:rFonts w:ascii="Verdana" w:eastAsia="Geomanist Light" w:hAnsi="Verdana" w:cs="Arial"/>
          <w:color w:val="000000" w:themeColor="text1"/>
        </w:rPr>
      </w:pPr>
      <w:r w:rsidRPr="006E44FE">
        <w:rPr>
          <w:rFonts w:ascii="Verdana" w:eastAsia="Geomanist Light" w:hAnsi="Verdana" w:cs="Arial"/>
          <w:color w:val="000000" w:themeColor="text1"/>
          <w:lang w:val="es-ES"/>
        </w:rPr>
        <w:t>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Además, es importante resaltar que el convenio de asociación no es conmutativo y, por tanto, la entidad estatal no instruye al contratista para desarrollar los programas o actividades previstas, sino que se asocia con él para el cumplimiento de objetivos comunes. </w:t>
      </w:r>
      <w:r w:rsidRPr="006E44FE">
        <w:rPr>
          <w:rFonts w:ascii="Verdana" w:eastAsia="Geomanist Light" w:hAnsi="Verdana" w:cs="Arial"/>
          <w:color w:val="000000" w:themeColor="text1"/>
        </w:rPr>
        <w:t> </w:t>
      </w:r>
    </w:p>
    <w:p w14:paraId="66DA6789" w14:textId="77777777" w:rsidR="00A42684" w:rsidRPr="006E44FE" w:rsidRDefault="00A42684" w:rsidP="00350E51">
      <w:pPr>
        <w:jc w:val="both"/>
        <w:rPr>
          <w:rFonts w:ascii="Verdana" w:eastAsia="Geomanist Light" w:hAnsi="Verdana" w:cs="Arial"/>
          <w:b/>
          <w:bCs/>
          <w:color w:val="000000" w:themeColor="text1"/>
        </w:rPr>
      </w:pPr>
      <w:r w:rsidRPr="006E44FE">
        <w:rPr>
          <w:rFonts w:ascii="Verdana" w:eastAsia="Geomanist Light" w:hAnsi="Verdana" w:cs="Arial"/>
          <w:b/>
          <w:bCs/>
          <w:color w:val="000000" w:themeColor="text1"/>
        </w:rPr>
        <w:t> </w:t>
      </w:r>
    </w:p>
    <w:p w14:paraId="63C2D8AC" w14:textId="77777777" w:rsidR="00A42684" w:rsidRPr="006E44FE" w:rsidRDefault="00A42684" w:rsidP="00350E51">
      <w:pPr>
        <w:jc w:val="both"/>
        <w:rPr>
          <w:rFonts w:ascii="Verdana" w:eastAsia="Geomanist Light" w:hAnsi="Verdana" w:cs="Arial"/>
          <w:b/>
          <w:bCs/>
          <w:color w:val="000000" w:themeColor="text1"/>
        </w:rPr>
      </w:pPr>
      <w:r w:rsidRPr="006E44FE">
        <w:rPr>
          <w:rFonts w:ascii="Verdana" w:eastAsia="Geomanist Light" w:hAnsi="Verdana" w:cs="Arial"/>
          <w:b/>
          <w:bCs/>
          <w:color w:val="000000" w:themeColor="text1"/>
          <w:lang w:val="es-ES"/>
        </w:rPr>
        <w:t>ESAL – Decreto 092 de 2017 – Criterios – Aplicación </w:t>
      </w:r>
      <w:r w:rsidRPr="006E44FE">
        <w:rPr>
          <w:rFonts w:ascii="Verdana" w:eastAsia="Geomanist Light" w:hAnsi="Verdana" w:cs="Arial"/>
          <w:b/>
          <w:bCs/>
          <w:color w:val="000000" w:themeColor="text1"/>
        </w:rPr>
        <w:t> </w:t>
      </w:r>
    </w:p>
    <w:p w14:paraId="13208701" w14:textId="44FF1986" w:rsidR="00A42684" w:rsidRDefault="00A42684" w:rsidP="00350E51">
      <w:pPr>
        <w:spacing w:after="0"/>
        <w:jc w:val="both"/>
        <w:rPr>
          <w:rFonts w:ascii="Verdana" w:hAnsi="Verdana"/>
        </w:rPr>
      </w:pPr>
      <w:r w:rsidRPr="006E44FE">
        <w:rPr>
          <w:rFonts w:ascii="Verdana" w:eastAsia="Geomanist Light" w:hAnsi="Verdana" w:cs="Arial"/>
          <w:color w:val="000000" w:themeColor="text1"/>
          <w:lang w:val="es-ES"/>
        </w:rPr>
        <w:t xml:space="preserve">No todas las actividades que las entidades estatales deben desarrollar para alcanzar sus objetivos misionales deben ejecutarse a través de la celebración de </w:t>
      </w:r>
      <w:r w:rsidRPr="006E44FE">
        <w:rPr>
          <w:rFonts w:ascii="Verdana" w:eastAsia="Geomanist Light" w:hAnsi="Verdana" w:cs="Arial"/>
          <w:color w:val="000000" w:themeColor="text1"/>
          <w:lang w:val="es-ES"/>
        </w:rPr>
        <w:lastRenderedPageBreak/>
        <w:t>contratos de colaboración o convenios de asociación. Debe tenerse en cuenta que lo que determina la aplicación del Decreto 92 de 2017 no es únicamente el carácter de las ESAL sino el objeto del contrato o convenio que la entidad pretende adelantar. Por tanto, el hecho de que se trate de una entidad sin ánimo de lucro no implica que necesariamente</w:t>
      </w:r>
    </w:p>
    <w:p w14:paraId="17A1E506" w14:textId="77777777" w:rsidR="00A42684" w:rsidRDefault="00A42684" w:rsidP="00350E51">
      <w:pPr>
        <w:spacing w:after="0"/>
        <w:jc w:val="both"/>
        <w:rPr>
          <w:rFonts w:ascii="Verdana" w:hAnsi="Verdana"/>
        </w:rPr>
      </w:pPr>
    </w:p>
    <w:p w14:paraId="31CBD882" w14:textId="77777777" w:rsidR="00A42684" w:rsidRDefault="00A42684" w:rsidP="00E245AB">
      <w:pPr>
        <w:spacing w:after="0"/>
        <w:rPr>
          <w:rFonts w:ascii="Verdana" w:hAnsi="Verdana"/>
        </w:rPr>
      </w:pPr>
    </w:p>
    <w:p w14:paraId="007567EC" w14:textId="77777777" w:rsidR="00A42684" w:rsidRDefault="00A42684" w:rsidP="00E245AB">
      <w:pPr>
        <w:spacing w:after="0"/>
        <w:rPr>
          <w:rFonts w:ascii="Verdana" w:hAnsi="Verdana"/>
        </w:rPr>
      </w:pPr>
    </w:p>
    <w:p w14:paraId="0146E9EA" w14:textId="77777777" w:rsidR="00A42684" w:rsidRDefault="00A42684" w:rsidP="00E245AB">
      <w:pPr>
        <w:spacing w:after="0"/>
        <w:rPr>
          <w:rFonts w:ascii="Verdana" w:hAnsi="Verdana"/>
        </w:rPr>
      </w:pPr>
    </w:p>
    <w:p w14:paraId="4350A6A6" w14:textId="77777777" w:rsidR="00A42684" w:rsidRDefault="00A42684" w:rsidP="00E245AB">
      <w:pPr>
        <w:spacing w:after="0"/>
        <w:rPr>
          <w:rFonts w:ascii="Verdana" w:hAnsi="Verdana"/>
        </w:rPr>
      </w:pPr>
    </w:p>
    <w:p w14:paraId="4F7CEE09" w14:textId="77777777" w:rsidR="00A42684" w:rsidRDefault="00A42684" w:rsidP="00E245AB">
      <w:pPr>
        <w:spacing w:after="0"/>
        <w:rPr>
          <w:rFonts w:ascii="Verdana" w:hAnsi="Verdana"/>
        </w:rPr>
      </w:pPr>
    </w:p>
    <w:p w14:paraId="43E5AE55" w14:textId="77777777" w:rsidR="00A42684" w:rsidRDefault="00A42684" w:rsidP="00E245AB">
      <w:pPr>
        <w:spacing w:after="0"/>
        <w:rPr>
          <w:rFonts w:ascii="Verdana" w:hAnsi="Verdana"/>
        </w:rPr>
      </w:pPr>
    </w:p>
    <w:p w14:paraId="7252A2B6" w14:textId="77777777" w:rsidR="00A42684" w:rsidRDefault="00A42684" w:rsidP="00E245AB">
      <w:pPr>
        <w:spacing w:after="0"/>
        <w:rPr>
          <w:rFonts w:ascii="Verdana" w:hAnsi="Verdana"/>
        </w:rPr>
      </w:pPr>
    </w:p>
    <w:p w14:paraId="1488A7C0" w14:textId="77777777" w:rsidR="00A42684" w:rsidRDefault="00A42684" w:rsidP="00E245AB">
      <w:pPr>
        <w:spacing w:after="0"/>
        <w:rPr>
          <w:rFonts w:ascii="Verdana" w:hAnsi="Verdana"/>
        </w:rPr>
      </w:pPr>
    </w:p>
    <w:p w14:paraId="3DCF29F0" w14:textId="77777777" w:rsidR="00A42684" w:rsidRDefault="00A42684" w:rsidP="00E245AB">
      <w:pPr>
        <w:spacing w:after="0"/>
        <w:rPr>
          <w:rFonts w:ascii="Verdana" w:hAnsi="Verdana"/>
        </w:rPr>
      </w:pPr>
    </w:p>
    <w:p w14:paraId="4CC444CE" w14:textId="77777777" w:rsidR="00A42684" w:rsidRDefault="00A42684" w:rsidP="00E245AB">
      <w:pPr>
        <w:spacing w:after="0"/>
        <w:rPr>
          <w:rFonts w:ascii="Verdana" w:hAnsi="Verdana"/>
        </w:rPr>
      </w:pPr>
    </w:p>
    <w:p w14:paraId="62C7F670" w14:textId="77777777" w:rsidR="00A42684" w:rsidRDefault="00A42684" w:rsidP="00E245AB">
      <w:pPr>
        <w:spacing w:after="0"/>
        <w:rPr>
          <w:rFonts w:ascii="Verdana" w:hAnsi="Verdana"/>
        </w:rPr>
      </w:pPr>
    </w:p>
    <w:p w14:paraId="14A8EB8E" w14:textId="77777777" w:rsidR="00A42684" w:rsidRDefault="00A42684" w:rsidP="00E245AB">
      <w:pPr>
        <w:spacing w:after="0"/>
        <w:rPr>
          <w:rFonts w:ascii="Verdana" w:hAnsi="Verdana"/>
        </w:rPr>
      </w:pPr>
    </w:p>
    <w:p w14:paraId="44E88810" w14:textId="77777777" w:rsidR="00A42684" w:rsidRDefault="00A42684" w:rsidP="00E245AB">
      <w:pPr>
        <w:spacing w:after="0"/>
        <w:rPr>
          <w:rFonts w:ascii="Verdana" w:hAnsi="Verdana"/>
        </w:rPr>
      </w:pPr>
    </w:p>
    <w:p w14:paraId="70E7F024" w14:textId="77777777" w:rsidR="00A42684" w:rsidRDefault="00A42684" w:rsidP="00E245AB">
      <w:pPr>
        <w:spacing w:after="0"/>
        <w:rPr>
          <w:rFonts w:ascii="Verdana" w:hAnsi="Verdana"/>
        </w:rPr>
      </w:pPr>
    </w:p>
    <w:p w14:paraId="1BE4F5F1" w14:textId="77777777" w:rsidR="00A42684" w:rsidRDefault="00A42684" w:rsidP="00E245AB">
      <w:pPr>
        <w:spacing w:after="0"/>
        <w:rPr>
          <w:rFonts w:ascii="Verdana" w:hAnsi="Verdana"/>
        </w:rPr>
      </w:pPr>
    </w:p>
    <w:p w14:paraId="75F0C2A7" w14:textId="77777777" w:rsidR="00A42684" w:rsidRDefault="00A42684" w:rsidP="00E245AB">
      <w:pPr>
        <w:spacing w:after="0"/>
        <w:rPr>
          <w:rFonts w:ascii="Verdana" w:hAnsi="Verdana"/>
        </w:rPr>
      </w:pPr>
    </w:p>
    <w:p w14:paraId="30844675" w14:textId="77777777" w:rsidR="00A42684" w:rsidRDefault="00A42684" w:rsidP="00E245AB">
      <w:pPr>
        <w:spacing w:after="0"/>
        <w:rPr>
          <w:rFonts w:ascii="Verdana" w:hAnsi="Verdana"/>
        </w:rPr>
      </w:pPr>
    </w:p>
    <w:p w14:paraId="6F69C676" w14:textId="77777777" w:rsidR="00A42684" w:rsidRDefault="00A42684" w:rsidP="00E245AB">
      <w:pPr>
        <w:spacing w:after="0"/>
        <w:rPr>
          <w:rFonts w:ascii="Verdana" w:hAnsi="Verdana"/>
        </w:rPr>
      </w:pPr>
    </w:p>
    <w:p w14:paraId="4A4A9CAC" w14:textId="77777777" w:rsidR="00A42684" w:rsidRDefault="00A42684" w:rsidP="00E245AB">
      <w:pPr>
        <w:spacing w:after="0"/>
        <w:rPr>
          <w:rFonts w:ascii="Verdana" w:hAnsi="Verdana"/>
        </w:rPr>
      </w:pPr>
    </w:p>
    <w:p w14:paraId="0400628A" w14:textId="77777777" w:rsidR="00A42684" w:rsidRDefault="00A42684" w:rsidP="00E245AB">
      <w:pPr>
        <w:spacing w:after="0"/>
        <w:rPr>
          <w:rFonts w:ascii="Verdana" w:hAnsi="Verdana"/>
        </w:rPr>
      </w:pPr>
    </w:p>
    <w:p w14:paraId="772BAC00" w14:textId="77777777" w:rsidR="00A42684" w:rsidRDefault="00A42684" w:rsidP="00E245AB">
      <w:pPr>
        <w:spacing w:after="0"/>
        <w:rPr>
          <w:rFonts w:ascii="Verdana" w:hAnsi="Verdana"/>
        </w:rPr>
      </w:pPr>
    </w:p>
    <w:p w14:paraId="0197B742" w14:textId="77777777" w:rsidR="00A42684" w:rsidRDefault="00A42684" w:rsidP="00E245AB">
      <w:pPr>
        <w:spacing w:after="0"/>
        <w:rPr>
          <w:rFonts w:ascii="Verdana" w:hAnsi="Verdana"/>
        </w:rPr>
      </w:pPr>
    </w:p>
    <w:p w14:paraId="171967C6" w14:textId="77777777" w:rsidR="00A42684" w:rsidRDefault="00A42684" w:rsidP="00E245AB">
      <w:pPr>
        <w:spacing w:after="0"/>
        <w:rPr>
          <w:rFonts w:ascii="Verdana" w:hAnsi="Verdana"/>
        </w:rPr>
      </w:pPr>
    </w:p>
    <w:p w14:paraId="03CF5468" w14:textId="77777777" w:rsidR="00A42684" w:rsidRDefault="00A42684" w:rsidP="00E245AB">
      <w:pPr>
        <w:spacing w:after="0"/>
        <w:rPr>
          <w:rFonts w:ascii="Verdana" w:hAnsi="Verdana"/>
        </w:rPr>
      </w:pPr>
    </w:p>
    <w:p w14:paraId="6059A1A8" w14:textId="77777777" w:rsidR="00A42684" w:rsidRDefault="00A42684" w:rsidP="00E245AB">
      <w:pPr>
        <w:spacing w:after="0"/>
        <w:rPr>
          <w:rFonts w:ascii="Verdana" w:hAnsi="Verdana"/>
        </w:rPr>
      </w:pPr>
    </w:p>
    <w:p w14:paraId="1299C016" w14:textId="77777777" w:rsidR="00A42684" w:rsidRDefault="00A42684" w:rsidP="00E245AB">
      <w:pPr>
        <w:spacing w:after="0"/>
        <w:rPr>
          <w:rFonts w:ascii="Verdana" w:hAnsi="Verdana"/>
        </w:rPr>
      </w:pPr>
    </w:p>
    <w:p w14:paraId="2DFB07DC" w14:textId="77777777" w:rsidR="00A42684" w:rsidRDefault="00A42684" w:rsidP="00E245AB">
      <w:pPr>
        <w:spacing w:after="0"/>
        <w:rPr>
          <w:rFonts w:ascii="Verdana" w:hAnsi="Verdana"/>
        </w:rPr>
      </w:pPr>
    </w:p>
    <w:p w14:paraId="6F21161F" w14:textId="77777777" w:rsidR="00A42684" w:rsidRDefault="00A42684" w:rsidP="00E245AB">
      <w:pPr>
        <w:spacing w:after="0"/>
        <w:rPr>
          <w:rFonts w:ascii="Verdana" w:hAnsi="Verdana"/>
        </w:rPr>
      </w:pPr>
    </w:p>
    <w:p w14:paraId="25525405" w14:textId="77777777" w:rsidR="00A42684" w:rsidRDefault="00A42684" w:rsidP="00E245AB">
      <w:pPr>
        <w:spacing w:after="0"/>
        <w:rPr>
          <w:rFonts w:ascii="Verdana" w:hAnsi="Verdana"/>
        </w:rPr>
      </w:pPr>
    </w:p>
    <w:p w14:paraId="31C2D241" w14:textId="77777777" w:rsidR="00A42684" w:rsidRDefault="00A42684" w:rsidP="00E245AB">
      <w:pPr>
        <w:spacing w:after="0"/>
        <w:rPr>
          <w:rFonts w:ascii="Verdana" w:hAnsi="Verdana"/>
        </w:rPr>
      </w:pPr>
    </w:p>
    <w:p w14:paraId="5DE3FD2B" w14:textId="77777777" w:rsidR="00A42684" w:rsidRDefault="00A42684" w:rsidP="00E245AB">
      <w:pPr>
        <w:spacing w:after="0"/>
        <w:rPr>
          <w:rFonts w:ascii="Verdana" w:hAnsi="Verdana"/>
        </w:rPr>
      </w:pPr>
    </w:p>
    <w:p w14:paraId="1FD8CD52" w14:textId="77777777" w:rsidR="00A42684" w:rsidRDefault="00A42684" w:rsidP="00E245AB">
      <w:pPr>
        <w:spacing w:after="0"/>
        <w:rPr>
          <w:rFonts w:ascii="Verdana" w:hAnsi="Verdana"/>
        </w:rPr>
      </w:pPr>
    </w:p>
    <w:p w14:paraId="2CFA387D" w14:textId="77777777" w:rsidR="00A42684" w:rsidRDefault="00A42684" w:rsidP="00E245AB">
      <w:pPr>
        <w:spacing w:after="0"/>
        <w:rPr>
          <w:rFonts w:ascii="Verdana" w:hAnsi="Verdana"/>
        </w:rPr>
      </w:pPr>
    </w:p>
    <w:p w14:paraId="01923768" w14:textId="77777777" w:rsidR="00A42684" w:rsidRDefault="00A42684" w:rsidP="00E245AB">
      <w:pPr>
        <w:spacing w:after="0"/>
        <w:rPr>
          <w:rFonts w:ascii="Verdana" w:hAnsi="Verdana"/>
        </w:rPr>
      </w:pPr>
    </w:p>
    <w:p w14:paraId="17DC114A" w14:textId="77777777" w:rsidR="00A42684" w:rsidRDefault="00A42684" w:rsidP="00E245AB">
      <w:pPr>
        <w:spacing w:after="0"/>
        <w:rPr>
          <w:rFonts w:ascii="Verdana" w:hAnsi="Verdana"/>
        </w:rPr>
      </w:pPr>
    </w:p>
    <w:p w14:paraId="3FE2184B" w14:textId="16E98690" w:rsidR="00E245AB" w:rsidRPr="0044528D" w:rsidRDefault="00E245AB" w:rsidP="00E245AB">
      <w:pPr>
        <w:spacing w:after="0"/>
        <w:rPr>
          <w:rFonts w:ascii="Verdana" w:hAnsi="Verdana"/>
        </w:rPr>
      </w:pPr>
      <w:r w:rsidRPr="0044528D">
        <w:rPr>
          <w:rFonts w:ascii="Verdana" w:hAnsi="Verdana"/>
        </w:rPr>
        <w:t xml:space="preserve">Bogotá D.C., </w:t>
      </w:r>
      <w:r w:rsidR="00891928" w:rsidRPr="0044528D">
        <w:rPr>
          <w:rFonts w:ascii="Verdana" w:hAnsi="Verdana"/>
        </w:rPr>
        <w:t xml:space="preserve">[Día] </w:t>
      </w:r>
      <w:r w:rsidR="001511A0" w:rsidRPr="001511A0">
        <w:rPr>
          <w:rFonts w:ascii="Verdana" w:hAnsi="Verdana"/>
        </w:rPr>
        <w:t>[</w:t>
      </w:r>
      <w:proofErr w:type="spellStart"/>
      <w:r w:rsidR="001511A0" w:rsidRPr="001511A0">
        <w:rPr>
          <w:rFonts w:ascii="Verdana" w:hAnsi="Verdana"/>
        </w:rPr>
        <w:t>Mes.NombreCapitalizado</w:t>
      </w:r>
      <w:proofErr w:type="spellEnd"/>
      <w:r w:rsidR="001511A0" w:rsidRPr="001511A0">
        <w:rPr>
          <w:rFonts w:ascii="Verdana" w:hAnsi="Verdana"/>
        </w:rPr>
        <w:t xml:space="preserve">] </w:t>
      </w:r>
      <w:r w:rsidR="00891928" w:rsidRPr="0044528D">
        <w:rPr>
          <w:rFonts w:ascii="Verdana" w:hAnsi="Verdana"/>
        </w:rPr>
        <w:t>[Año]</w:t>
      </w:r>
      <w:r w:rsidR="00891928" w:rsidRPr="0044528D">
        <w:rPr>
          <w:rFonts w:ascii="Verdana" w:hAnsi="Verdana"/>
        </w:rPr>
        <w:tab/>
      </w:r>
    </w:p>
    <w:p w14:paraId="50CC8088" w14:textId="07C6B33C" w:rsidR="00457F70" w:rsidRPr="0044528D" w:rsidRDefault="00457F70" w:rsidP="00457F70">
      <w:pPr>
        <w:spacing w:after="0"/>
        <w:rPr>
          <w:rFonts w:ascii="Verdana" w:hAnsi="Verdana"/>
        </w:rPr>
      </w:pPr>
    </w:p>
    <w:p w14:paraId="506BD219" w14:textId="2BA2AA4E" w:rsidR="00457F70" w:rsidRPr="0044528D" w:rsidRDefault="002174EF" w:rsidP="00457F70">
      <w:pPr>
        <w:spacing w:after="0"/>
        <w:rPr>
          <w:rFonts w:ascii="Verdana" w:hAnsi="Verdana"/>
        </w:rPr>
      </w:pPr>
      <w:r w:rsidRPr="002174EF">
        <w:rPr>
          <w:rFonts w:ascii="Verdana" w:eastAsia="Calibri" w:hAnsi="Verdana" w:cs="Arial"/>
          <w:b/>
          <w:lang w:val="es-ES_tradnl" w:eastAsia="es-ES_tradnl"/>
        </w:rPr>
        <w:drawing>
          <wp:anchor distT="0" distB="0" distL="114300" distR="114300" simplePos="0" relativeHeight="251658240" behindDoc="1" locked="0" layoutInCell="1" allowOverlap="1" wp14:anchorId="59FBB7E6" wp14:editId="14F6B432">
            <wp:simplePos x="0" y="0"/>
            <wp:positionH relativeFrom="column">
              <wp:posOffset>3630295</wp:posOffset>
            </wp:positionH>
            <wp:positionV relativeFrom="paragraph">
              <wp:posOffset>180975</wp:posOffset>
            </wp:positionV>
            <wp:extent cx="2518488" cy="781050"/>
            <wp:effectExtent l="0" t="0" r="0" b="0"/>
            <wp:wrapNone/>
            <wp:docPr id="18174676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467652" name=""/>
                    <pic:cNvPicPr/>
                  </pic:nvPicPr>
                  <pic:blipFill>
                    <a:blip r:embed="rId10">
                      <a:extLst>
                        <a:ext uri="{28A0092B-C50C-407E-A947-70E740481C1C}">
                          <a14:useLocalDpi xmlns:a14="http://schemas.microsoft.com/office/drawing/2010/main" val="0"/>
                        </a:ext>
                      </a:extLst>
                    </a:blip>
                    <a:stretch>
                      <a:fillRect/>
                    </a:stretch>
                  </pic:blipFill>
                  <pic:spPr>
                    <a:xfrm>
                      <a:off x="0" y="0"/>
                      <a:ext cx="2518488" cy="781050"/>
                    </a:xfrm>
                    <a:prstGeom prst="rect">
                      <a:avLst/>
                    </a:prstGeom>
                  </pic:spPr>
                </pic:pic>
              </a:graphicData>
            </a:graphic>
            <wp14:sizeRelH relativeFrom="page">
              <wp14:pctWidth>0</wp14:pctWidth>
            </wp14:sizeRelH>
            <wp14:sizeRelV relativeFrom="page">
              <wp14:pctHeight>0</wp14:pctHeight>
            </wp14:sizeRelV>
          </wp:anchor>
        </w:drawing>
      </w:r>
    </w:p>
    <w:p w14:paraId="5367EA1D" w14:textId="1ECFF97B" w:rsidR="00457F70" w:rsidRPr="003A6115" w:rsidRDefault="00457F70" w:rsidP="00457F70">
      <w:pPr>
        <w:spacing w:after="0"/>
        <w:jc w:val="both"/>
        <w:rPr>
          <w:rFonts w:ascii="Verdana" w:eastAsia="Calibri" w:hAnsi="Verdana" w:cs="Arial"/>
          <w:lang w:val="es-ES" w:eastAsia="es-ES"/>
        </w:rPr>
      </w:pPr>
      <w:r w:rsidRPr="003A6115">
        <w:rPr>
          <w:rFonts w:ascii="Verdana" w:eastAsia="Calibri" w:hAnsi="Verdana" w:cs="Arial"/>
          <w:lang w:val="es-ES" w:eastAsia="es-ES"/>
        </w:rPr>
        <w:t>Señor</w:t>
      </w:r>
    </w:p>
    <w:p w14:paraId="548D3CFD" w14:textId="1BFC2478" w:rsidR="00457F70" w:rsidRDefault="00457F70" w:rsidP="00457F70">
      <w:pPr>
        <w:spacing w:after="0"/>
        <w:jc w:val="both"/>
        <w:rPr>
          <w:rFonts w:ascii="Verdana" w:eastAsia="Calibri" w:hAnsi="Verdana" w:cs="Arial"/>
          <w:b/>
          <w:lang w:val="es-ES_tradnl" w:eastAsia="es-ES_tradnl"/>
        </w:rPr>
      </w:pPr>
      <w:r w:rsidRPr="00EC0788">
        <w:rPr>
          <w:rFonts w:ascii="Verdana" w:eastAsia="Calibri" w:hAnsi="Verdana" w:cs="Arial"/>
          <w:b/>
          <w:lang w:val="es-ES_tradnl" w:eastAsia="es-ES_tradnl"/>
        </w:rPr>
        <w:t>Fernando José Gutiérrez Ibáñez</w:t>
      </w:r>
      <w:r w:rsidR="002174EF" w:rsidRPr="002174EF">
        <w:rPr>
          <w:noProof/>
        </w:rPr>
        <w:t xml:space="preserve"> </w:t>
      </w:r>
    </w:p>
    <w:p w14:paraId="4969A9AD" w14:textId="77777777" w:rsidR="00457F70" w:rsidRPr="00E64432" w:rsidRDefault="00457F70" w:rsidP="00457F70">
      <w:pPr>
        <w:spacing w:after="0"/>
        <w:jc w:val="both"/>
        <w:rPr>
          <w:rFonts w:ascii="Verdana" w:hAnsi="Verdana"/>
        </w:rPr>
      </w:pPr>
      <w:hyperlink r:id="rId11" w:history="1">
        <w:r w:rsidRPr="00E64432">
          <w:rPr>
            <w:rStyle w:val="Hipervnculo"/>
            <w:rFonts w:ascii="Verdana" w:hAnsi="Verdana"/>
          </w:rPr>
          <w:t>fernandog213@hotmail.com</w:t>
        </w:r>
      </w:hyperlink>
    </w:p>
    <w:p w14:paraId="759F1DAC" w14:textId="77777777" w:rsidR="00457F70" w:rsidRPr="003A6115" w:rsidRDefault="00457F70" w:rsidP="00457F70">
      <w:pPr>
        <w:spacing w:after="0"/>
        <w:jc w:val="both"/>
        <w:rPr>
          <w:rFonts w:ascii="Verdana" w:eastAsia="Calibri" w:hAnsi="Verdana" w:cs="Arial"/>
          <w:b/>
          <w:bCs/>
          <w:lang w:val="es-ES" w:eastAsia="es-ES"/>
        </w:rPr>
      </w:pPr>
      <w:r>
        <w:rPr>
          <w:rFonts w:ascii="Verdana" w:eastAsia="Calibri" w:hAnsi="Verdana" w:cs="Arial"/>
          <w:lang w:val="es-ES" w:eastAsia="es-ES"/>
        </w:rPr>
        <w:t>Valledupar, Cesar.</w:t>
      </w:r>
    </w:p>
    <w:p w14:paraId="744248CA" w14:textId="77777777" w:rsidR="00457F70" w:rsidRPr="003A6115" w:rsidRDefault="00457F70" w:rsidP="00457F70">
      <w:pPr>
        <w:jc w:val="both"/>
        <w:rPr>
          <w:rFonts w:ascii="Verdana" w:eastAsia="Calibri" w:hAnsi="Verdana" w:cs="Arial"/>
          <w:b/>
          <w:bCs/>
          <w:color w:val="000000"/>
          <w:lang w:val="es-ES_tradnl" w:eastAsia="es-ES_tradnl"/>
        </w:rPr>
      </w:pPr>
    </w:p>
    <w:p w14:paraId="2DEF7095" w14:textId="77777777" w:rsidR="00457F70" w:rsidRPr="003A6115" w:rsidRDefault="00457F70" w:rsidP="00457F70">
      <w:pPr>
        <w:jc w:val="both"/>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457F70" w:rsidRPr="003A6115" w14:paraId="164C8189" w14:textId="77777777" w:rsidTr="00D17B55">
        <w:trPr>
          <w:trHeight w:val="884"/>
        </w:trPr>
        <w:tc>
          <w:tcPr>
            <w:tcW w:w="2689" w:type="dxa"/>
          </w:tcPr>
          <w:p w14:paraId="55BEE011" w14:textId="77777777" w:rsidR="00457F70" w:rsidRPr="003A6115" w:rsidRDefault="00457F70" w:rsidP="00D17B55">
            <w:pPr>
              <w:jc w:val="both"/>
              <w:rPr>
                <w:rFonts w:ascii="Verdana" w:eastAsia="Calibri" w:hAnsi="Verdana" w:cs="Arial"/>
                <w:b/>
                <w:bCs/>
                <w:color w:val="7030A0"/>
                <w:lang w:val="es-ES_tradnl" w:eastAsia="es-ES_tradnl"/>
              </w:rPr>
            </w:pPr>
          </w:p>
        </w:tc>
        <w:tc>
          <w:tcPr>
            <w:tcW w:w="6100" w:type="dxa"/>
          </w:tcPr>
          <w:p w14:paraId="16A6C126" w14:textId="77777777" w:rsidR="00457F70" w:rsidRPr="003A6115" w:rsidRDefault="00457F70" w:rsidP="00D17B55">
            <w:pPr>
              <w:jc w:val="both"/>
              <w:rPr>
                <w:rFonts w:ascii="Verdana" w:eastAsia="Calibri" w:hAnsi="Verdana" w:cs="Arial"/>
                <w:b/>
                <w:bCs/>
                <w:color w:val="7030A0"/>
                <w:lang w:val="es-ES" w:eastAsia="es-ES"/>
              </w:rPr>
            </w:pPr>
            <w:r w:rsidRPr="003A6115">
              <w:rPr>
                <w:rFonts w:ascii="Verdana" w:eastAsia="Calibri" w:hAnsi="Verdana" w:cs="Arial"/>
                <w:b/>
                <w:bCs/>
                <w:lang w:val="es-ES" w:eastAsia="es-ES"/>
              </w:rPr>
              <w:t xml:space="preserve">Concepto C- </w:t>
            </w:r>
            <w:r>
              <w:rPr>
                <w:rFonts w:ascii="Verdana" w:eastAsia="Calibri" w:hAnsi="Verdana" w:cs="Arial"/>
                <w:b/>
                <w:bCs/>
                <w:lang w:val="es-ES" w:eastAsia="es-ES"/>
              </w:rPr>
              <w:t>954</w:t>
            </w:r>
            <w:r w:rsidRPr="003A6115">
              <w:rPr>
                <w:rFonts w:ascii="Verdana" w:eastAsia="Calibri" w:hAnsi="Verdana" w:cs="Arial"/>
                <w:b/>
                <w:bCs/>
                <w:color w:val="7030A0"/>
                <w:lang w:val="es-ES" w:eastAsia="es-ES"/>
              </w:rPr>
              <w:t xml:space="preserve"> </w:t>
            </w:r>
            <w:r w:rsidRPr="003A6115">
              <w:rPr>
                <w:rFonts w:ascii="Verdana" w:eastAsia="Calibri" w:hAnsi="Verdana" w:cs="Arial"/>
                <w:b/>
                <w:bCs/>
                <w:lang w:val="es-ES" w:eastAsia="es-ES"/>
              </w:rPr>
              <w:t>de</w:t>
            </w:r>
            <w:r w:rsidRPr="003A6115">
              <w:rPr>
                <w:rFonts w:ascii="Verdana" w:eastAsia="Calibri" w:hAnsi="Verdana" w:cs="Arial"/>
                <w:b/>
                <w:bCs/>
                <w:color w:val="7030A0"/>
                <w:lang w:val="es-ES" w:eastAsia="es-ES"/>
              </w:rPr>
              <w:t xml:space="preserve"> </w:t>
            </w:r>
            <w:r w:rsidRPr="00E64432">
              <w:rPr>
                <w:rFonts w:ascii="Verdana" w:eastAsia="Calibri" w:hAnsi="Verdana" w:cs="Arial"/>
                <w:b/>
                <w:bCs/>
                <w:color w:val="000000" w:themeColor="text1"/>
                <w:lang w:val="es-ES" w:eastAsia="es-ES"/>
              </w:rPr>
              <w:t>2024</w:t>
            </w:r>
          </w:p>
        </w:tc>
      </w:tr>
      <w:tr w:rsidR="00457F70" w:rsidRPr="003A6115" w14:paraId="43BEBFBB" w14:textId="77777777" w:rsidTr="00D17B55">
        <w:trPr>
          <w:trHeight w:val="884"/>
        </w:trPr>
        <w:tc>
          <w:tcPr>
            <w:tcW w:w="2689" w:type="dxa"/>
          </w:tcPr>
          <w:p w14:paraId="10121720" w14:textId="77777777" w:rsidR="00457F70" w:rsidRPr="003A6115" w:rsidRDefault="00457F70" w:rsidP="00D17B55">
            <w:pPr>
              <w:jc w:val="both"/>
              <w:rPr>
                <w:rFonts w:ascii="Verdana" w:eastAsia="Calibri" w:hAnsi="Verdana" w:cs="Arial"/>
                <w:color w:val="000000"/>
                <w:lang w:val="es-ES_tradnl" w:eastAsia="es-ES_tradnl"/>
              </w:rPr>
            </w:pPr>
            <w:r w:rsidRPr="003A6115">
              <w:rPr>
                <w:rFonts w:ascii="Verdana" w:eastAsia="Calibri" w:hAnsi="Verdana" w:cs="Arial"/>
                <w:b/>
                <w:color w:val="000000"/>
                <w:lang w:val="es-ES_tradnl" w:eastAsia="es-ES_tradnl"/>
              </w:rPr>
              <w:t>Temas:</w:t>
            </w:r>
            <w:r w:rsidRPr="003A6115">
              <w:rPr>
                <w:rFonts w:ascii="Verdana" w:eastAsia="Calibri" w:hAnsi="Verdana" w:cs="Arial"/>
                <w:color w:val="000000"/>
                <w:lang w:val="es-ES_tradnl" w:eastAsia="es-ES_tradnl"/>
              </w:rPr>
              <w:t xml:space="preserve">                   </w:t>
            </w:r>
          </w:p>
        </w:tc>
        <w:tc>
          <w:tcPr>
            <w:tcW w:w="6100" w:type="dxa"/>
          </w:tcPr>
          <w:p w14:paraId="2BD0E4FB" w14:textId="69C8970B" w:rsidR="00457F70" w:rsidRPr="00665A6A" w:rsidRDefault="00457F70" w:rsidP="00D17B55">
            <w:pPr>
              <w:spacing w:line="276" w:lineRule="auto"/>
              <w:jc w:val="both"/>
              <w:rPr>
                <w:rFonts w:ascii="Verdana" w:eastAsia="Calibri" w:hAnsi="Verdana" w:cs="Arial"/>
                <w:color w:val="000000" w:themeColor="text1"/>
                <w:lang w:eastAsia="es-ES"/>
              </w:rPr>
            </w:pPr>
            <w:r w:rsidRPr="00665A6A">
              <w:rPr>
                <w:rFonts w:ascii="Verdana" w:eastAsia="Calibri" w:hAnsi="Verdana" w:cs="Arial"/>
                <w:color w:val="000000" w:themeColor="text1"/>
                <w:lang w:eastAsia="es-ES"/>
              </w:rPr>
              <w:t xml:space="preserve">CONVENIOS DE ASOCIACIÓN – Objeto – Alcance – </w:t>
            </w:r>
            <w:r w:rsidR="00921CAE" w:rsidRPr="00665A6A">
              <w:rPr>
                <w:rFonts w:ascii="Verdana" w:eastAsia="Calibri" w:hAnsi="Verdana" w:cs="Arial"/>
                <w:color w:val="000000" w:themeColor="text1"/>
                <w:lang w:eastAsia="es-ES"/>
              </w:rPr>
              <w:t>Aportes –</w:t>
            </w:r>
            <w:r w:rsidRPr="00665A6A">
              <w:rPr>
                <w:rFonts w:ascii="Verdana" w:eastAsia="Calibri" w:hAnsi="Verdana" w:cs="Arial"/>
                <w:color w:val="000000" w:themeColor="text1"/>
                <w:lang w:eastAsia="es-ES"/>
              </w:rPr>
              <w:t xml:space="preserve"> Aporte económico de la ESAL – Treinta por ciento </w:t>
            </w:r>
          </w:p>
          <w:p w14:paraId="07ED39CB" w14:textId="77777777" w:rsidR="00457F70" w:rsidRPr="00665A6A" w:rsidRDefault="00457F70" w:rsidP="00D17B55">
            <w:pPr>
              <w:spacing w:line="276" w:lineRule="auto"/>
              <w:jc w:val="both"/>
              <w:rPr>
                <w:rFonts w:ascii="Verdana" w:eastAsia="Calibri" w:hAnsi="Verdana" w:cs="Arial"/>
                <w:color w:val="000000" w:themeColor="text1"/>
                <w:lang w:eastAsia="es-ES"/>
              </w:rPr>
            </w:pPr>
          </w:p>
          <w:p w14:paraId="32CED499" w14:textId="77777777" w:rsidR="00457F70" w:rsidRPr="003A6115" w:rsidRDefault="00457F70" w:rsidP="00D17B55">
            <w:pPr>
              <w:spacing w:line="276" w:lineRule="auto"/>
              <w:jc w:val="both"/>
              <w:rPr>
                <w:rFonts w:ascii="Verdana" w:eastAsia="Calibri" w:hAnsi="Verdana" w:cs="Arial"/>
                <w:color w:val="000000" w:themeColor="text1"/>
                <w:lang w:val="es-ES" w:eastAsia="es-ES"/>
              </w:rPr>
            </w:pPr>
          </w:p>
        </w:tc>
      </w:tr>
      <w:tr w:rsidR="00457F70" w:rsidRPr="003A6115" w14:paraId="6C6D984E" w14:textId="77777777" w:rsidTr="00D17B55">
        <w:tc>
          <w:tcPr>
            <w:tcW w:w="2689" w:type="dxa"/>
          </w:tcPr>
          <w:p w14:paraId="07CE5416" w14:textId="77777777" w:rsidR="00457F70" w:rsidRPr="003A6115" w:rsidRDefault="00457F70" w:rsidP="00D17B55">
            <w:pPr>
              <w:jc w:val="both"/>
              <w:rPr>
                <w:rFonts w:ascii="Verdana" w:eastAsia="Calibri" w:hAnsi="Verdana" w:cs="Arial"/>
                <w:b/>
                <w:color w:val="7030A0"/>
                <w:lang w:val="es-ES_tradnl" w:eastAsia="es-ES_tradnl"/>
              </w:rPr>
            </w:pPr>
            <w:r w:rsidRPr="00E64432">
              <w:rPr>
                <w:rFonts w:ascii="Verdana" w:eastAsia="Calibri" w:hAnsi="Verdana" w:cs="Arial"/>
                <w:b/>
                <w:color w:val="000000" w:themeColor="text1"/>
                <w:lang w:val="es-ES_tradnl" w:eastAsia="es-ES_tradnl"/>
              </w:rPr>
              <w:t>Radicación:</w:t>
            </w:r>
            <w:r w:rsidRPr="00E64432">
              <w:rPr>
                <w:rFonts w:ascii="Verdana" w:eastAsia="Calibri" w:hAnsi="Verdana" w:cs="Arial"/>
                <w:color w:val="000000" w:themeColor="text1"/>
                <w:lang w:val="es-ES_tradnl" w:eastAsia="es-ES_tradnl"/>
              </w:rPr>
              <w:t xml:space="preserve">               </w:t>
            </w:r>
          </w:p>
        </w:tc>
        <w:tc>
          <w:tcPr>
            <w:tcW w:w="6100" w:type="dxa"/>
          </w:tcPr>
          <w:p w14:paraId="117C79BB" w14:textId="77777777" w:rsidR="00457F70" w:rsidRPr="003A6115" w:rsidRDefault="00457F70" w:rsidP="00D17B55">
            <w:pPr>
              <w:jc w:val="both"/>
              <w:rPr>
                <w:rFonts w:ascii="Verdana" w:eastAsia="Calibri" w:hAnsi="Verdana" w:cs="Arial"/>
                <w:color w:val="000000" w:themeColor="text1"/>
                <w:lang w:val="es-ES_tradnl" w:eastAsia="es-ES_tradnl"/>
              </w:rPr>
            </w:pPr>
            <w:r w:rsidRPr="003A6115">
              <w:rPr>
                <w:rFonts w:ascii="Verdana" w:eastAsia="Calibri" w:hAnsi="Verdana" w:cs="Arial"/>
                <w:color w:val="000000" w:themeColor="text1"/>
                <w:lang w:val="es-ES_tradnl" w:eastAsia="es-ES_tradnl"/>
              </w:rPr>
              <w:t xml:space="preserve">Respuesta a consulta con radicado No. </w:t>
            </w:r>
          </w:p>
          <w:p w14:paraId="6F56B513" w14:textId="77777777" w:rsidR="00457F70" w:rsidRPr="003A6115" w:rsidRDefault="00457F70" w:rsidP="00D17B55">
            <w:pPr>
              <w:jc w:val="both"/>
              <w:rPr>
                <w:rFonts w:ascii="Verdana" w:eastAsia="Calibri" w:hAnsi="Verdana" w:cs="Arial"/>
                <w:color w:val="000000" w:themeColor="text1"/>
                <w:lang w:val="es-ES_tradnl" w:eastAsia="es-ES_tradnl"/>
              </w:rPr>
            </w:pPr>
            <w:r w:rsidRPr="00B75FE5">
              <w:rPr>
                <w:rFonts w:ascii="Verdana" w:eastAsia="Calibri" w:hAnsi="Verdana" w:cs="Arial"/>
                <w:color w:val="000000" w:themeColor="text1"/>
                <w:lang w:val="es-ES_tradnl" w:eastAsia="es-ES_tradnl"/>
              </w:rPr>
              <w:t>P20241129012036</w:t>
            </w:r>
            <w:r>
              <w:rPr>
                <w:rFonts w:ascii="Verdana" w:eastAsia="Calibri" w:hAnsi="Verdana" w:cs="Arial"/>
                <w:color w:val="000000" w:themeColor="text1"/>
                <w:lang w:val="es-ES_tradnl" w:eastAsia="es-ES_tradnl"/>
              </w:rPr>
              <w:t>.</w:t>
            </w:r>
          </w:p>
        </w:tc>
      </w:tr>
    </w:tbl>
    <w:p w14:paraId="4378D2A9" w14:textId="77777777" w:rsidR="00457F70" w:rsidRPr="003A6115" w:rsidRDefault="00457F70" w:rsidP="00457F70">
      <w:pPr>
        <w:jc w:val="both"/>
        <w:rPr>
          <w:rFonts w:ascii="Verdana" w:eastAsia="Calibri" w:hAnsi="Verdana" w:cs="Arial"/>
          <w:color w:val="000000"/>
          <w:lang w:val="es-ES_tradnl" w:eastAsia="es-ES_tradnl"/>
        </w:rPr>
      </w:pPr>
    </w:p>
    <w:p w14:paraId="0D366DA5" w14:textId="77777777" w:rsidR="00457F70" w:rsidRPr="003A6115" w:rsidRDefault="00457F70" w:rsidP="00457F70">
      <w:pPr>
        <w:jc w:val="both"/>
        <w:rPr>
          <w:rFonts w:ascii="Verdana" w:eastAsia="Calibri" w:hAnsi="Verdana" w:cs="Arial"/>
          <w:color w:val="000000"/>
          <w:lang w:val="es-ES_tradnl" w:eastAsia="es-ES_tradnl"/>
        </w:rPr>
      </w:pPr>
    </w:p>
    <w:p w14:paraId="7C191B05" w14:textId="77777777" w:rsidR="00457F70" w:rsidRPr="003A6115" w:rsidRDefault="00457F70" w:rsidP="00457F70">
      <w:pPr>
        <w:spacing w:line="276" w:lineRule="auto"/>
        <w:jc w:val="both"/>
        <w:rPr>
          <w:rFonts w:ascii="Verdana" w:eastAsia="Calibri" w:hAnsi="Verdana" w:cs="Arial"/>
          <w:color w:val="000000" w:themeColor="text1"/>
          <w:lang w:val="es-ES" w:eastAsia="es-ES"/>
        </w:rPr>
      </w:pPr>
      <w:r w:rsidRPr="003A6115">
        <w:rPr>
          <w:rFonts w:ascii="Verdana" w:eastAsia="Calibri" w:hAnsi="Verdana" w:cs="Arial"/>
          <w:color w:val="000000" w:themeColor="text1"/>
          <w:lang w:val="es-ES" w:eastAsia="es-ES"/>
        </w:rPr>
        <w:t>Estimad</w:t>
      </w:r>
      <w:r>
        <w:rPr>
          <w:rFonts w:ascii="Verdana" w:eastAsia="Calibri" w:hAnsi="Verdana" w:cs="Arial"/>
          <w:color w:val="000000" w:themeColor="text1"/>
          <w:lang w:val="es-ES" w:eastAsia="es-ES"/>
        </w:rPr>
        <w:t>o</w:t>
      </w:r>
      <w:r w:rsidRPr="003A6115">
        <w:rPr>
          <w:rFonts w:ascii="Verdana" w:eastAsia="Calibri" w:hAnsi="Verdana" w:cs="Arial"/>
          <w:color w:val="000000" w:themeColor="text1"/>
          <w:lang w:val="es-ES" w:eastAsia="es-ES"/>
        </w:rPr>
        <w:t xml:space="preserve"> señor</w:t>
      </w:r>
      <w:r>
        <w:rPr>
          <w:rFonts w:ascii="Verdana" w:eastAsia="Calibri" w:hAnsi="Verdana" w:cs="Arial"/>
          <w:color w:val="000000" w:themeColor="text1"/>
          <w:lang w:val="es-ES" w:eastAsia="es-ES"/>
        </w:rPr>
        <w:t xml:space="preserve"> Gutiérrez</w:t>
      </w:r>
      <w:r w:rsidRPr="003A6115">
        <w:rPr>
          <w:rFonts w:ascii="Verdana" w:eastAsia="Calibri" w:hAnsi="Verdana" w:cs="Arial"/>
          <w:color w:val="000000" w:themeColor="text1"/>
          <w:lang w:val="es-ES" w:eastAsia="es-ES"/>
        </w:rPr>
        <w:t xml:space="preserve">: </w:t>
      </w:r>
      <w:r w:rsidRPr="003A6115">
        <w:rPr>
          <w:rFonts w:ascii="Verdana" w:eastAsia="Calibri" w:hAnsi="Verdana" w:cs="Arial"/>
          <w:color w:val="000000" w:themeColor="text1"/>
          <w:lang w:val="es-ES" w:eastAsia="es-ES"/>
        </w:rPr>
        <w:tab/>
      </w:r>
    </w:p>
    <w:p w14:paraId="6A2E84FA" w14:textId="77777777" w:rsidR="00457F70" w:rsidRPr="005735BC" w:rsidRDefault="00457F70" w:rsidP="00457F70">
      <w:pPr>
        <w:spacing w:line="276" w:lineRule="auto"/>
        <w:jc w:val="both"/>
        <w:rPr>
          <w:rFonts w:ascii="Verdana" w:eastAsia="Calibri" w:hAnsi="Verdana" w:cs="Arial"/>
          <w:color w:val="000000" w:themeColor="text1"/>
          <w:lang w:val="es-ES" w:eastAsia="es-ES"/>
        </w:rPr>
      </w:pPr>
      <w:r w:rsidRPr="003A6115">
        <w:rPr>
          <w:rFonts w:ascii="Verdana" w:eastAsia="Calibri" w:hAnsi="Verdana" w:cs="Arial"/>
          <w:color w:val="000000" w:themeColor="text1"/>
          <w:lang w:val="es-ES" w:eastAsia="es-ES"/>
        </w:rPr>
        <w:t>En ejercicio de la competencia otorgada por los artículos 3, numeral 5º, y 11, numeral 8º, del Decreto Ley 4170 de 2011,</w:t>
      </w:r>
      <w:r w:rsidRPr="003A6115">
        <w:rPr>
          <w:rFonts w:ascii="Verdana" w:eastAsia="Arial MT" w:hAnsi="Verdana" w:cs="Arial MT"/>
          <w:lang w:val="es-ES" w:eastAsia="es-ES"/>
        </w:rPr>
        <w:t xml:space="preserve"> </w:t>
      </w:r>
      <w:r w:rsidRPr="003A6115">
        <w:rPr>
          <w:rFonts w:ascii="Verdana" w:hAnsi="Verdana" w:cs="Arial"/>
        </w:rPr>
        <w:t xml:space="preserve">así como lo establecido en el artículo 4 de la Resolución 1707 de 2018 expedida por esta Entidad, </w:t>
      </w:r>
      <w:r w:rsidRPr="003A6115">
        <w:rPr>
          <w:rFonts w:ascii="Verdana" w:eastAsia="Calibri" w:hAnsi="Verdana" w:cs="Arial"/>
          <w:color w:val="000000" w:themeColor="text1"/>
          <w:lang w:val="es-ES" w:eastAsia="es-ES"/>
        </w:rPr>
        <w:t xml:space="preserve">la Agencia Nacional de Contratación Pública – Colombia Compra Eficiente– responde su solicitud de consulta de fecha </w:t>
      </w:r>
      <w:r>
        <w:rPr>
          <w:rFonts w:ascii="Verdana" w:eastAsia="Calibri" w:hAnsi="Verdana" w:cs="Arial"/>
          <w:color w:val="000000" w:themeColor="text1"/>
          <w:lang w:val="es-ES" w:eastAsia="es-ES"/>
        </w:rPr>
        <w:t>29</w:t>
      </w:r>
      <w:r w:rsidRPr="003A6115">
        <w:rPr>
          <w:rFonts w:ascii="Verdana" w:eastAsia="Calibri" w:hAnsi="Verdana" w:cs="Arial"/>
          <w:color w:val="000000" w:themeColor="text1"/>
          <w:lang w:val="es-ES" w:eastAsia="es-ES"/>
        </w:rPr>
        <w:t xml:space="preserve"> de </w:t>
      </w:r>
      <w:r>
        <w:rPr>
          <w:rFonts w:ascii="Verdana" w:eastAsia="Calibri" w:hAnsi="Verdana" w:cs="Arial"/>
          <w:color w:val="000000" w:themeColor="text1"/>
          <w:lang w:val="es-ES" w:eastAsia="es-ES"/>
        </w:rPr>
        <w:t>noviembre</w:t>
      </w:r>
      <w:r w:rsidRPr="003A6115">
        <w:rPr>
          <w:rFonts w:ascii="Verdana" w:eastAsia="Calibri" w:hAnsi="Verdana" w:cs="Arial"/>
          <w:color w:val="000000" w:themeColor="text1"/>
          <w:lang w:val="es-ES" w:eastAsia="es-ES"/>
        </w:rPr>
        <w:t xml:space="preserve"> de 2024, en la cual manifiesta lo siguiente: </w:t>
      </w:r>
    </w:p>
    <w:p w14:paraId="28DBFB53" w14:textId="0A400029" w:rsidR="00457F70" w:rsidRPr="00457F70" w:rsidRDefault="00457F70" w:rsidP="00457F70">
      <w:pPr>
        <w:ind w:left="709" w:right="709"/>
        <w:jc w:val="both"/>
        <w:rPr>
          <w:rFonts w:ascii="Verdana" w:eastAsia="Century Gothic" w:hAnsi="Verdana" w:cs="Century Gothic"/>
          <w:color w:val="7030A0"/>
          <w:sz w:val="20"/>
          <w:szCs w:val="20"/>
          <w:lang w:val="es-MX"/>
        </w:rPr>
      </w:pPr>
      <w:bookmarkStart w:id="1" w:name="_Hlk95313578"/>
      <w:r w:rsidRPr="008833DF">
        <w:rPr>
          <w:rFonts w:ascii="Verdana" w:eastAsia="Century Gothic" w:hAnsi="Verdana" w:cs="Century Gothic"/>
          <w:color w:val="000000" w:themeColor="text1"/>
          <w:sz w:val="20"/>
          <w:szCs w:val="20"/>
          <w:lang w:val="es-ES"/>
        </w:rPr>
        <w:t>“</w:t>
      </w:r>
      <w:bookmarkEnd w:id="1"/>
      <w:r>
        <w:rPr>
          <w:rFonts w:ascii="Verdana" w:eastAsia="Century Gothic" w:hAnsi="Verdana" w:cs="Century Gothic"/>
          <w:color w:val="000000" w:themeColor="text1"/>
          <w:sz w:val="20"/>
          <w:szCs w:val="20"/>
          <w:lang w:val="es-MX"/>
        </w:rPr>
        <w:t>E</w:t>
      </w:r>
      <w:r w:rsidRPr="00243454">
        <w:rPr>
          <w:rFonts w:ascii="Verdana" w:eastAsia="Century Gothic" w:hAnsi="Verdana" w:cs="Century Gothic"/>
          <w:color w:val="000000" w:themeColor="text1"/>
          <w:sz w:val="20"/>
          <w:szCs w:val="20"/>
          <w:lang w:val="es-MX"/>
        </w:rPr>
        <w:t xml:space="preserve">n los procesos competitivos descritos en el decreto 092 de 2017 es obligatorio exigir aporte hasta el 30% o se pueden realizar sin aporte? </w:t>
      </w:r>
      <w:r>
        <w:rPr>
          <w:rFonts w:ascii="Verdana" w:eastAsia="Century Gothic" w:hAnsi="Verdana" w:cs="Century Gothic"/>
          <w:color w:val="000000" w:themeColor="text1"/>
          <w:sz w:val="20"/>
          <w:szCs w:val="20"/>
          <w:lang w:val="es-MX"/>
        </w:rPr>
        <w:t>(Sic)</w:t>
      </w:r>
    </w:p>
    <w:p w14:paraId="1A455D6C" w14:textId="77777777" w:rsidR="00457F70" w:rsidRPr="005735BC" w:rsidRDefault="00457F70" w:rsidP="00457F70">
      <w:pPr>
        <w:spacing w:after="120" w:line="276" w:lineRule="auto"/>
        <w:jc w:val="both"/>
        <w:rPr>
          <w:rFonts w:ascii="Verdana" w:eastAsia="Calibri" w:hAnsi="Verdana" w:cs="Arial"/>
          <w:color w:val="000000"/>
          <w:lang w:val="es-ES_tradnl" w:eastAsia="es-ES_tradnl"/>
        </w:rPr>
      </w:pPr>
      <w:r w:rsidRPr="003A6115">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w:t>
      </w:r>
      <w:r w:rsidRPr="003A6115">
        <w:rPr>
          <w:rFonts w:ascii="Verdana" w:eastAsia="Calibri" w:hAnsi="Verdana" w:cs="Arial"/>
          <w:color w:val="000000"/>
          <w:lang w:val="es-ES" w:eastAsia="es-ES"/>
        </w:rPr>
        <w:lastRenderedPageBreak/>
        <w:t xml:space="preserve">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3A6115">
        <w:rPr>
          <w:rFonts w:ascii="Verdana" w:eastAsia="Calibri" w:hAnsi="Verdana" w:cs="Arial"/>
          <w:color w:val="000000"/>
          <w:lang w:val="es-ES_tradnl" w:eastAsia="es-ES_tradnl"/>
        </w:rPr>
        <w:tab/>
      </w:r>
    </w:p>
    <w:p w14:paraId="721DA989" w14:textId="6C2CF027" w:rsidR="00457F70" w:rsidRPr="003A6115" w:rsidRDefault="00457F70" w:rsidP="00457F70">
      <w:pPr>
        <w:spacing w:line="276" w:lineRule="auto"/>
        <w:jc w:val="both"/>
        <w:rPr>
          <w:rFonts w:ascii="Verdana" w:eastAsia="Calibri" w:hAnsi="Verdana" w:cs="Arial"/>
          <w:color w:val="000000"/>
          <w:lang w:val="es-ES" w:eastAsia="es-ES"/>
        </w:rPr>
      </w:pPr>
      <w:r w:rsidRPr="003A6115">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w:t>
      </w:r>
      <w:r w:rsidR="0026606B">
        <w:rPr>
          <w:rFonts w:ascii="Verdana" w:eastAsia="Calibri" w:hAnsi="Verdana" w:cs="Arial"/>
          <w:color w:val="000000" w:themeColor="text1"/>
          <w:lang w:val="es-ES" w:eastAsia="es-ES"/>
        </w:rPr>
        <w:t xml:space="preserve"> </w:t>
      </w:r>
      <w:proofErr w:type="gramStart"/>
      <w:r w:rsidR="0026606B">
        <w:rPr>
          <w:rFonts w:ascii="Verdana" w:eastAsia="Calibri" w:hAnsi="Verdana" w:cs="Arial"/>
          <w:color w:val="000000" w:themeColor="text1"/>
          <w:lang w:val="es-ES" w:eastAsia="es-ES"/>
        </w:rPr>
        <w:t xml:space="preserve">el </w:t>
      </w:r>
      <w:r w:rsidRPr="003A6115">
        <w:rPr>
          <w:rFonts w:ascii="Verdana" w:eastAsia="Calibri" w:hAnsi="Verdana" w:cs="Arial"/>
          <w:color w:val="000000" w:themeColor="text1"/>
          <w:lang w:val="es-ES" w:eastAsia="es-ES"/>
        </w:rPr>
        <w:t xml:space="preserve"> </w:t>
      </w:r>
      <w:r w:rsidRPr="003A6115">
        <w:rPr>
          <w:rFonts w:ascii="Verdana" w:eastAsia="Calibri" w:hAnsi="Verdana" w:cs="Arial"/>
          <w:color w:val="000000"/>
          <w:lang w:val="es-ES" w:eastAsia="es-ES"/>
        </w:rPr>
        <w:t>problem</w:t>
      </w:r>
      <w:r>
        <w:rPr>
          <w:rFonts w:ascii="Verdana" w:eastAsia="Calibri" w:hAnsi="Verdana" w:cs="Arial"/>
          <w:color w:val="000000"/>
          <w:lang w:val="es-ES" w:eastAsia="es-ES"/>
        </w:rPr>
        <w:t>a</w:t>
      </w:r>
      <w:proofErr w:type="gramEnd"/>
      <w:r w:rsidRPr="003A6115">
        <w:rPr>
          <w:rFonts w:ascii="Verdana" w:eastAsia="Calibri" w:hAnsi="Verdana" w:cs="Arial"/>
          <w:color w:val="7030A0"/>
          <w:lang w:val="es-ES" w:eastAsia="es-ES"/>
        </w:rPr>
        <w:t xml:space="preserve"> </w:t>
      </w:r>
      <w:r w:rsidRPr="003A6115">
        <w:rPr>
          <w:rFonts w:ascii="Verdana" w:eastAsia="Calibri" w:hAnsi="Verdana" w:cs="Arial"/>
          <w:color w:val="000000"/>
          <w:lang w:val="es-ES" w:eastAsia="es-ES"/>
        </w:rPr>
        <w:t>jurídico</w:t>
      </w:r>
      <w:r w:rsidRPr="003A6115">
        <w:rPr>
          <w:rFonts w:ascii="Verdana" w:eastAsia="Calibri" w:hAnsi="Verdana" w:cs="Arial"/>
          <w:color w:val="7030A0"/>
          <w:lang w:val="es-ES" w:eastAsia="es-ES"/>
        </w:rPr>
        <w:t xml:space="preserve"> </w:t>
      </w:r>
      <w:r w:rsidRPr="003A6115">
        <w:rPr>
          <w:rFonts w:ascii="Verdana" w:eastAsia="Calibri" w:hAnsi="Verdana" w:cs="Arial"/>
          <w:color w:val="000000"/>
          <w:lang w:val="es-ES" w:eastAsia="es-ES"/>
        </w:rPr>
        <w:t xml:space="preserve">de su consulta. </w:t>
      </w:r>
    </w:p>
    <w:p w14:paraId="76FDDA89" w14:textId="77777777" w:rsidR="00457F70" w:rsidRPr="00593A5F" w:rsidRDefault="00457F70" w:rsidP="00457F70">
      <w:pPr>
        <w:spacing w:line="276" w:lineRule="auto"/>
        <w:ind w:firstLine="709"/>
        <w:jc w:val="both"/>
        <w:rPr>
          <w:rFonts w:ascii="Verdana" w:eastAsia="Calibri" w:hAnsi="Verdana" w:cs="Arial"/>
          <w:color w:val="000000"/>
          <w:lang w:val="es-ES" w:eastAsia="es-ES"/>
        </w:rPr>
      </w:pPr>
    </w:p>
    <w:p w14:paraId="03B5BE06" w14:textId="77777777" w:rsidR="00457F70" w:rsidRDefault="00457F70" w:rsidP="00457F70">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6E479038" w14:textId="77777777" w:rsidR="00457F70" w:rsidRPr="005735BC" w:rsidRDefault="00457F70" w:rsidP="00457F70">
      <w:pPr>
        <w:pStyle w:val="Prrafodelista"/>
        <w:tabs>
          <w:tab w:val="left" w:pos="142"/>
          <w:tab w:val="left" w:pos="284"/>
        </w:tabs>
        <w:spacing w:after="0" w:line="276" w:lineRule="auto"/>
        <w:ind w:left="0"/>
        <w:jc w:val="both"/>
        <w:rPr>
          <w:rFonts w:ascii="Verdana" w:eastAsia="Century Gothic" w:hAnsi="Verdana" w:cs="Century Gothic"/>
          <w:b/>
          <w:bCs/>
        </w:rPr>
      </w:pPr>
    </w:p>
    <w:p w14:paraId="4A749C58" w14:textId="77777777" w:rsidR="00457F70" w:rsidRPr="00243454" w:rsidRDefault="00457F70" w:rsidP="00457F70">
      <w:pPr>
        <w:spacing w:line="276" w:lineRule="auto"/>
        <w:jc w:val="both"/>
        <w:rPr>
          <w:rFonts w:ascii="Verdana" w:eastAsia="Century Gothic" w:hAnsi="Verdana" w:cs="Century Gothic"/>
        </w:rPr>
      </w:pPr>
      <w:r w:rsidRPr="003A6115">
        <w:rPr>
          <w:rFonts w:ascii="Verdana" w:eastAsia="Century Gothic" w:hAnsi="Verdana" w:cs="Century Gothic"/>
        </w:rPr>
        <w:t xml:space="preserve">De acuerdo con el contenido de su solicitud, esta Agencia resolverá </w:t>
      </w:r>
      <w:r>
        <w:rPr>
          <w:rFonts w:ascii="Verdana" w:eastAsia="Century Gothic" w:hAnsi="Verdana" w:cs="Century Gothic"/>
        </w:rPr>
        <w:t>el siguiente</w:t>
      </w:r>
      <w:r w:rsidRPr="003A6115">
        <w:rPr>
          <w:rFonts w:ascii="Verdana" w:eastAsia="Century Gothic" w:hAnsi="Verdana" w:cs="Century Gothic"/>
        </w:rPr>
        <w:t xml:space="preserve"> problema jurídico: </w:t>
      </w:r>
      <w:r w:rsidRPr="00243454">
        <w:rPr>
          <w:rFonts w:ascii="Verdana" w:eastAsia="Century Gothic" w:hAnsi="Verdana" w:cs="Century Gothic"/>
        </w:rPr>
        <w:t>¿Cuándo un proceso de contratación en el que se encuentre involucrada una ESAL no está́ sujeto a competencia? </w:t>
      </w:r>
    </w:p>
    <w:p w14:paraId="769EBA4D" w14:textId="77777777" w:rsidR="00457F70" w:rsidRPr="00593A5F" w:rsidRDefault="00457F70" w:rsidP="00457F70">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425E101D" w14:textId="77777777" w:rsidR="00457F70" w:rsidRPr="00DB3E87" w:rsidRDefault="00457F70" w:rsidP="00457F70">
      <w:pPr>
        <w:spacing w:after="0"/>
        <w:jc w:val="both"/>
        <w:rPr>
          <w:rFonts w:ascii="Verdana" w:eastAsia="Times New Roman" w:hAnsi="Verdana" w:cs="Times New Roman"/>
          <w:highlight w:val="cyan"/>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457F70" w:rsidRPr="00DB3E87" w14:paraId="5C109882" w14:textId="77777777" w:rsidTr="00D17B55">
        <w:trPr>
          <w:trHeight w:val="799"/>
        </w:trPr>
        <w:tc>
          <w:tcPr>
            <w:tcW w:w="8828" w:type="dxa"/>
          </w:tcPr>
          <w:p w14:paraId="7C15FBBD" w14:textId="651AC6F9" w:rsidR="00526A5A" w:rsidRDefault="008E40FA" w:rsidP="00D17B55">
            <w:pPr>
              <w:spacing w:line="276" w:lineRule="auto"/>
              <w:jc w:val="both"/>
              <w:rPr>
                <w:rFonts w:ascii="Verdana" w:eastAsia="Times New Roman" w:hAnsi="Verdana" w:cs="Arial"/>
                <w:color w:val="000000" w:themeColor="text1"/>
              </w:rPr>
            </w:pPr>
            <w:r>
              <w:rPr>
                <w:rFonts w:ascii="Verdana" w:eastAsia="Times New Roman" w:hAnsi="Verdana" w:cs="Arial"/>
                <w:color w:val="000000" w:themeColor="text1"/>
              </w:rPr>
              <w:t>Frente al interrogante planteado, d</w:t>
            </w:r>
            <w:r w:rsidR="00457F70" w:rsidRPr="00243454">
              <w:rPr>
                <w:rFonts w:ascii="Verdana" w:eastAsia="Times New Roman" w:hAnsi="Verdana" w:cs="Arial"/>
                <w:color w:val="000000" w:themeColor="text1"/>
              </w:rPr>
              <w:t>e acuerdo con el artículo 5 del Decreto 092 de 2017, el proceso para la escogencia de la ESAL, por regla general, debe estar sujeto a competencia, salvo en aquellos casos en los que una ESAL manifieste su compromiso de aportar recursos en dinero por un valor igual o superior al treinta por ciento (30%) del valor total del convenio, siempre y cuando no existan otras ESAL que ofrezcan aportes en monto igual o superior a dicho porcentaje, pues en este evento también se tendría que realizar un proceso competitivo.</w:t>
            </w:r>
          </w:p>
          <w:p w14:paraId="2D9CF0FE" w14:textId="158DCD9F" w:rsidR="00457F70" w:rsidRPr="00243454" w:rsidRDefault="00457F70" w:rsidP="00D17B55">
            <w:pPr>
              <w:spacing w:line="276" w:lineRule="auto"/>
              <w:jc w:val="both"/>
              <w:rPr>
                <w:rFonts w:ascii="Verdana" w:eastAsia="Times New Roman" w:hAnsi="Verdana" w:cs="Arial"/>
                <w:color w:val="000000" w:themeColor="text1"/>
              </w:rPr>
            </w:pPr>
            <w:r w:rsidRPr="00243454">
              <w:rPr>
                <w:rFonts w:ascii="Verdana" w:eastAsia="Times New Roman" w:hAnsi="Verdana" w:cs="Arial"/>
                <w:color w:val="000000" w:themeColor="text1"/>
              </w:rPr>
              <w:t> </w:t>
            </w:r>
          </w:p>
          <w:p w14:paraId="78D60C8C" w14:textId="77777777" w:rsidR="00457F70" w:rsidRPr="00243454" w:rsidRDefault="00457F70" w:rsidP="00D17B55">
            <w:pPr>
              <w:spacing w:line="276" w:lineRule="auto"/>
              <w:jc w:val="both"/>
              <w:rPr>
                <w:rFonts w:ascii="Verdana" w:eastAsia="Times New Roman" w:hAnsi="Verdana" w:cs="Arial"/>
                <w:color w:val="000000" w:themeColor="text1"/>
              </w:rPr>
            </w:pPr>
            <w:r w:rsidRPr="00243454">
              <w:rPr>
                <w:rFonts w:ascii="Verdana" w:eastAsia="Times New Roman" w:hAnsi="Verdana" w:cs="Arial"/>
                <w:color w:val="000000" w:themeColor="text1"/>
              </w:rPr>
              <w:t xml:space="preserve">Es menester advertir que, el artículo antes citado no prohíbe la celebración de convenios en que la ESAL aporte menos del treinta por ciento (30%) o cuando aporten recursos en especie. En efecto, solo indica que en esos casos la </w:t>
            </w:r>
            <w:r w:rsidRPr="00243454">
              <w:rPr>
                <w:rFonts w:ascii="Verdana" w:eastAsia="Times New Roman" w:hAnsi="Verdana" w:cs="Arial"/>
                <w:color w:val="000000" w:themeColor="text1"/>
              </w:rPr>
              <w:lastRenderedPageBreak/>
              <w:t>Entidad Estatal debe acudir al proceso competitivo para seleccionar a la ESAL con la cual celebrará el respectivo convenio. </w:t>
            </w:r>
          </w:p>
          <w:p w14:paraId="46AC539D" w14:textId="77777777" w:rsidR="00457F70" w:rsidRPr="00DB3E87" w:rsidRDefault="00457F70" w:rsidP="00D17B55">
            <w:pPr>
              <w:spacing w:line="276" w:lineRule="auto"/>
              <w:jc w:val="both"/>
              <w:rPr>
                <w:rFonts w:ascii="Verdana" w:eastAsia="Times New Roman" w:hAnsi="Verdana" w:cs="Arial"/>
                <w:color w:val="000000" w:themeColor="text1"/>
              </w:rPr>
            </w:pPr>
          </w:p>
        </w:tc>
      </w:tr>
    </w:tbl>
    <w:p w14:paraId="03B79157" w14:textId="77777777" w:rsidR="00457F70" w:rsidRPr="00DB3E87" w:rsidRDefault="00457F70" w:rsidP="00457F70">
      <w:pPr>
        <w:tabs>
          <w:tab w:val="left" w:pos="142"/>
          <w:tab w:val="left" w:pos="284"/>
        </w:tabs>
        <w:spacing w:after="0" w:line="276" w:lineRule="auto"/>
        <w:jc w:val="both"/>
        <w:rPr>
          <w:rFonts w:ascii="Verdana" w:eastAsia="Century Gothic" w:hAnsi="Verdana" w:cs="Century Gothic"/>
          <w:b/>
          <w:bCs/>
        </w:rPr>
      </w:pPr>
    </w:p>
    <w:p w14:paraId="344F6F7A" w14:textId="77777777" w:rsidR="00457F70" w:rsidRDefault="00457F70" w:rsidP="00457F70">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Razones de la Respuesta</w:t>
      </w:r>
      <w:r w:rsidRPr="00593A5F">
        <w:rPr>
          <w:rFonts w:ascii="Verdana" w:eastAsia="Century Gothic" w:hAnsi="Verdana" w:cs="Century Gothic"/>
          <w:b/>
          <w:bCs/>
        </w:rPr>
        <w:t>:</w:t>
      </w:r>
    </w:p>
    <w:p w14:paraId="66746FFD" w14:textId="77777777" w:rsidR="00457F70" w:rsidRPr="003C24F2" w:rsidRDefault="00457F70" w:rsidP="00457F70">
      <w:pPr>
        <w:tabs>
          <w:tab w:val="left" w:pos="142"/>
          <w:tab w:val="left" w:pos="284"/>
        </w:tabs>
        <w:spacing w:after="0" w:line="276" w:lineRule="auto"/>
        <w:jc w:val="both"/>
        <w:rPr>
          <w:rFonts w:ascii="Verdana" w:eastAsia="Century Gothic" w:hAnsi="Verdana" w:cs="Century Gothic"/>
          <w:b/>
          <w:bCs/>
        </w:rPr>
      </w:pPr>
    </w:p>
    <w:p w14:paraId="1BF9207E" w14:textId="77777777" w:rsidR="00457F70" w:rsidRDefault="00457F70" w:rsidP="00457F70">
      <w:pPr>
        <w:numPr>
          <w:ilvl w:val="0"/>
          <w:numId w:val="18"/>
        </w:numPr>
        <w:spacing w:after="0" w:line="276" w:lineRule="auto"/>
        <w:jc w:val="both"/>
        <w:rPr>
          <w:rFonts w:ascii="Verdana" w:eastAsia="Times New Roman" w:hAnsi="Verdana" w:cs="Arial"/>
          <w:color w:val="000000" w:themeColor="text1"/>
          <w:lang w:val="es-ES"/>
        </w:rPr>
      </w:pPr>
      <w:r w:rsidRPr="00A9079D">
        <w:rPr>
          <w:rFonts w:ascii="Verdana" w:eastAsia="Times New Roman" w:hAnsi="Verdana" w:cs="Arial"/>
          <w:lang w:val="es-ES" w:eastAsia="es-ES_tradnl"/>
        </w:rPr>
        <w:t>Para resolver la pregunta</w:t>
      </w:r>
      <w:r>
        <w:rPr>
          <w:rFonts w:ascii="Verdana" w:eastAsia="Times New Roman" w:hAnsi="Verdana" w:cs="Arial"/>
          <w:lang w:val="es-ES" w:eastAsia="es-ES_tradnl"/>
        </w:rPr>
        <w:t xml:space="preserve"> </w:t>
      </w:r>
      <w:r w:rsidRPr="00A9079D">
        <w:rPr>
          <w:rFonts w:ascii="Verdana" w:eastAsia="Times New Roman" w:hAnsi="Verdana" w:cs="Arial"/>
          <w:lang w:val="es-ES" w:eastAsia="es-ES_tradnl"/>
        </w:rPr>
        <w:t>planteada en su consulta, es importante empezar por señalar que, la Constitución Política de 1991 establece tres (3) regímenes de contratación</w:t>
      </w:r>
      <w:r w:rsidRPr="00A9079D">
        <w:rPr>
          <w:rFonts w:ascii="Verdana" w:eastAsia="Times New Roman" w:hAnsi="Verdana" w:cs="Arial"/>
          <w:color w:val="000000" w:themeColor="text1"/>
          <w:lang w:val="es-ES"/>
        </w:rPr>
        <w:t xml:space="preserve">. El </w:t>
      </w:r>
      <w:r w:rsidRPr="00A9079D">
        <w:rPr>
          <w:rFonts w:ascii="Verdana" w:eastAsia="Times New Roman" w:hAnsi="Verdana" w:cs="Arial"/>
          <w:i/>
          <w:color w:val="000000" w:themeColor="text1"/>
          <w:lang w:val="es-ES"/>
        </w:rPr>
        <w:t>primero</w:t>
      </w:r>
      <w:r w:rsidRPr="00A9079D">
        <w:rPr>
          <w:rFonts w:ascii="Verdana" w:eastAsia="Times New Roman" w:hAnsi="Verdana" w:cs="Arial"/>
          <w:color w:val="000000" w:themeColor="text1"/>
          <w:lang w:val="es-ES"/>
        </w:rPr>
        <w:t xml:space="preserve"> se fundamenta en la competencia prevista en el inciso final del artículo 150 superior, por el cual se faculta al Congreso de la República para expedir un EGCAP. El </w:t>
      </w:r>
      <w:r w:rsidRPr="00A9079D">
        <w:rPr>
          <w:rFonts w:ascii="Verdana" w:eastAsia="Times New Roman" w:hAnsi="Verdana" w:cs="Arial"/>
          <w:i/>
          <w:color w:val="000000" w:themeColor="text1"/>
          <w:lang w:val="es-ES"/>
        </w:rPr>
        <w:t>segundo</w:t>
      </w:r>
      <w:r w:rsidRPr="00A9079D">
        <w:rPr>
          <w:rFonts w:ascii="Verdana" w:eastAsia="Times New Roman" w:hAnsi="Verdana" w:cs="Arial"/>
          <w:color w:val="000000" w:themeColor="text1"/>
          <w:lang w:val="es-ES"/>
        </w:rPr>
        <w:t xml:space="preserve"> se relaciona con la posibilidad de crear regímenes especiales, caso en el cual la Constitución los exceptúa directamente, como sucede con las universidades públicas y el Banco de la República –artículos 69 y 371–, o permite que la ley defina el régimen jurídico de determinados órganos del Estado, como en el caso de las entidades descentralizadas por servicios –artículo 210– y las empresas de servicios públicos domiciliarios –artículo 365–. </w:t>
      </w:r>
      <w:r w:rsidRPr="00A9079D">
        <w:rPr>
          <w:rFonts w:ascii="Verdana" w:eastAsia="Times New Roman" w:hAnsi="Verdana" w:cs="Arial"/>
          <w:i/>
          <w:color w:val="000000" w:themeColor="text1"/>
          <w:lang w:val="es-ES"/>
        </w:rPr>
        <w:t>Finalmente</w:t>
      </w:r>
      <w:r w:rsidRPr="00A9079D">
        <w:rPr>
          <w:rFonts w:ascii="Verdana" w:eastAsia="Times New Roman" w:hAnsi="Verdana" w:cs="Arial"/>
          <w:color w:val="000000" w:themeColor="text1"/>
          <w:lang w:val="es-ES"/>
        </w:rPr>
        <w:t xml:space="preserve">, el citado artículo 355 establece el régimen de los contratos con las Entidades sin Ánimo de Lucro – en adelante ESAL –, el cual –además de extenderse a los </w:t>
      </w:r>
      <w:r w:rsidRPr="00A9079D">
        <w:rPr>
          <w:rFonts w:ascii="Verdana" w:eastAsia="Times New Roman" w:hAnsi="Verdana" w:cs="Arial"/>
          <w:i/>
          <w:iCs/>
          <w:color w:val="000000" w:themeColor="text1"/>
          <w:lang w:val="es-ES"/>
        </w:rPr>
        <w:t>convenios de asociación</w:t>
      </w:r>
      <w:r w:rsidRPr="00A9079D">
        <w:rPr>
          <w:rFonts w:ascii="Verdana" w:eastAsia="Times New Roman" w:hAnsi="Verdana" w:cs="Arial"/>
          <w:color w:val="000000" w:themeColor="text1"/>
          <w:lang w:val="es-ES"/>
        </w:rPr>
        <w:t xml:space="preserve"> en virtud de lo dispuesto en el artículo 96 de la Ley 489 de 1998– se desarrolló a través del Decreto 092 de 2017. Teniendo en cuenta el objeto de su consulta, a continuación, se hará una breve explicación sobre los contratos y convenios regidos por el Decreto 092 de 2017.</w:t>
      </w:r>
    </w:p>
    <w:p w14:paraId="3F60449C" w14:textId="77777777" w:rsidR="00457F70" w:rsidRPr="00A9079D" w:rsidRDefault="00457F70" w:rsidP="00457F70">
      <w:pPr>
        <w:spacing w:after="0" w:line="276" w:lineRule="auto"/>
        <w:ind w:left="360"/>
        <w:jc w:val="both"/>
        <w:rPr>
          <w:rFonts w:ascii="Verdana" w:eastAsia="Times New Roman" w:hAnsi="Verdana" w:cs="Arial"/>
          <w:color w:val="000000" w:themeColor="text1"/>
          <w:lang w:val="es-ES"/>
        </w:rPr>
      </w:pPr>
    </w:p>
    <w:p w14:paraId="6B34EF68" w14:textId="77777777" w:rsidR="00457F70" w:rsidRDefault="00457F70" w:rsidP="00457F70">
      <w:pPr>
        <w:numPr>
          <w:ilvl w:val="0"/>
          <w:numId w:val="18"/>
        </w:numPr>
        <w:spacing w:after="0" w:line="276" w:lineRule="auto"/>
        <w:jc w:val="both"/>
        <w:rPr>
          <w:rFonts w:ascii="Verdana" w:eastAsia="Times New Roman" w:hAnsi="Verdana" w:cs="Arial"/>
          <w:lang w:val="es-ES" w:eastAsia="es-ES_tradnl"/>
        </w:rPr>
      </w:pPr>
      <w:r>
        <w:rPr>
          <w:rFonts w:ascii="Verdana" w:eastAsia="Times New Roman" w:hAnsi="Verdana" w:cs="Arial"/>
          <w:lang w:val="es-ES" w:eastAsia="es-ES_tradnl"/>
        </w:rPr>
        <w:t xml:space="preserve">Es </w:t>
      </w:r>
      <w:r w:rsidRPr="00A9079D">
        <w:rPr>
          <w:rFonts w:ascii="Verdana" w:eastAsia="Times New Roman" w:hAnsi="Verdana" w:cs="Arial"/>
          <w:lang w:val="es-ES" w:eastAsia="es-ES_tradnl"/>
        </w:rPr>
        <w:t>menester indicar que, el artículo 5 del Decreto 092 de 2017 establece que, el proceso para la escogencia de la ESAL, por regla general, debe estar sujeto a competencia, salvo en aquellos casos en los que una ESAL manifieste su compromiso de aportar recursos en dinero por un valor igual o superior al treinta por ciento (30%) del valor total del convenio, siempre y cuando no existan otras ESAL que ofrezcan aportes en monto igual o superior a dicho porcentaje, pues en este evento también se tendría que realizar un proceso competitivo.</w:t>
      </w:r>
    </w:p>
    <w:p w14:paraId="68D167B5" w14:textId="77777777" w:rsidR="00457F70" w:rsidRPr="00A9079D" w:rsidRDefault="00457F70" w:rsidP="00457F70">
      <w:pPr>
        <w:spacing w:after="0" w:line="276" w:lineRule="auto"/>
        <w:ind w:left="360"/>
        <w:jc w:val="both"/>
        <w:rPr>
          <w:rFonts w:ascii="Verdana" w:eastAsia="Times New Roman" w:hAnsi="Verdana" w:cs="Arial"/>
          <w:lang w:val="es-ES" w:eastAsia="es-ES_tradnl"/>
        </w:rPr>
      </w:pPr>
    </w:p>
    <w:p w14:paraId="44847F91" w14:textId="77777777" w:rsidR="00457F70" w:rsidRDefault="00457F70" w:rsidP="00457F70">
      <w:pPr>
        <w:numPr>
          <w:ilvl w:val="0"/>
          <w:numId w:val="18"/>
        </w:numPr>
        <w:spacing w:after="0" w:line="276" w:lineRule="auto"/>
        <w:jc w:val="both"/>
        <w:rPr>
          <w:rFonts w:ascii="Verdana" w:eastAsia="Times New Roman" w:hAnsi="Verdana" w:cs="Arial"/>
          <w:lang w:val="es-ES" w:eastAsia="es-ES_tradnl"/>
        </w:rPr>
      </w:pPr>
      <w:r w:rsidRPr="00A9079D">
        <w:rPr>
          <w:rFonts w:ascii="Verdana" w:eastAsia="Times New Roman" w:hAnsi="Verdana" w:cs="Arial"/>
          <w:lang w:val="es-ES" w:eastAsia="es-ES_tradnl"/>
        </w:rPr>
        <w:t xml:space="preserve">Tal como lo indicó esta Agencia en la “Guía para la contratación con entidades privadas sin ánimo de lucro y de reconocida idoneidad”, el artículo 5 del Decreto 092 de 2017 “[...] busca reconocer el esfuerzo de la ESAL para conseguir recursos propios o de cooperación para el desarrollo conjunto de </w:t>
      </w:r>
      <w:r w:rsidRPr="00A9079D">
        <w:rPr>
          <w:rFonts w:ascii="Verdana" w:eastAsia="Times New Roman" w:hAnsi="Verdana" w:cs="Arial"/>
          <w:lang w:val="es-ES" w:eastAsia="es-ES_tradnl"/>
        </w:rPr>
        <w:lastRenderedPageBreak/>
        <w:t xml:space="preserve">actividades de las Entidades Estatales en el marco del artículo 96 de la Ley 489 de 1998 y eximirla de competencia cuando aporta 30% o más de los recursos requeridos”. </w:t>
      </w:r>
    </w:p>
    <w:p w14:paraId="2A1EBE56" w14:textId="77777777" w:rsidR="00457F70" w:rsidRPr="00A9079D" w:rsidRDefault="00457F70" w:rsidP="00457F70">
      <w:pPr>
        <w:spacing w:after="0" w:line="276" w:lineRule="auto"/>
        <w:jc w:val="both"/>
        <w:rPr>
          <w:rFonts w:ascii="Verdana" w:eastAsia="Times New Roman" w:hAnsi="Verdana" w:cs="Arial"/>
          <w:lang w:val="es-ES" w:eastAsia="es-ES_tradnl"/>
        </w:rPr>
      </w:pPr>
    </w:p>
    <w:p w14:paraId="7878A8DA" w14:textId="77777777" w:rsidR="00457F70" w:rsidRDefault="00457F70" w:rsidP="00457F70">
      <w:pPr>
        <w:numPr>
          <w:ilvl w:val="0"/>
          <w:numId w:val="18"/>
        </w:numPr>
        <w:spacing w:after="0" w:line="276" w:lineRule="auto"/>
        <w:jc w:val="both"/>
        <w:rPr>
          <w:rFonts w:ascii="Verdana" w:eastAsia="Times New Roman" w:hAnsi="Verdana" w:cs="Arial"/>
          <w:lang w:val="es-ES" w:eastAsia="es-ES_tradnl"/>
        </w:rPr>
      </w:pPr>
      <w:r w:rsidRPr="00A9079D">
        <w:rPr>
          <w:rFonts w:ascii="Verdana" w:eastAsia="Times New Roman" w:hAnsi="Verdana" w:cs="Arial"/>
          <w:lang w:val="es-ES" w:eastAsia="es-ES_tradnl"/>
        </w:rPr>
        <w:t xml:space="preserve">Ahora bien, es importante resaltar que, según el mismo artículo 5, si hay más de una ESAL que ofrezca su compromiso de recursos en dinero para el desarrollo conjunto de actividades relacionadas con los cometidos y funciones asignadas por ley a una Entidad Estatal, en una proporción no inferior al treinta por ciento (30%) del valor total del convenio, esta última debe seleccionar de forma objetiva a tal entidad y justificar los criterios para tal selección. En este evento, la Entidad Estatal debe diseñar herramientas que permitan una comparación objetiva de las ESAL para seleccionar objetivamente a aquella que tenga las mejores condiciones para alcanzar el resultado esperado con el proyecto de cooperación. </w:t>
      </w:r>
    </w:p>
    <w:p w14:paraId="47F2BB91" w14:textId="77777777" w:rsidR="00457F70" w:rsidRPr="00A9079D" w:rsidRDefault="00457F70" w:rsidP="00457F70">
      <w:pPr>
        <w:spacing w:after="0" w:line="276" w:lineRule="auto"/>
        <w:jc w:val="both"/>
        <w:rPr>
          <w:rFonts w:ascii="Verdana" w:eastAsia="Times New Roman" w:hAnsi="Verdana" w:cs="Arial"/>
          <w:lang w:val="es-ES" w:eastAsia="es-ES_tradnl"/>
        </w:rPr>
      </w:pPr>
    </w:p>
    <w:p w14:paraId="461273A1" w14:textId="77777777" w:rsidR="00457F70" w:rsidRDefault="00457F70" w:rsidP="00457F70">
      <w:pPr>
        <w:numPr>
          <w:ilvl w:val="0"/>
          <w:numId w:val="18"/>
        </w:numPr>
        <w:spacing w:after="0" w:line="276" w:lineRule="auto"/>
        <w:jc w:val="both"/>
        <w:rPr>
          <w:rFonts w:ascii="Verdana" w:eastAsia="Times New Roman" w:hAnsi="Verdana" w:cs="Arial"/>
          <w:lang w:val="es-ES" w:eastAsia="es-ES_tradnl"/>
        </w:rPr>
      </w:pPr>
      <w:r w:rsidRPr="00A9079D">
        <w:rPr>
          <w:rFonts w:ascii="Verdana" w:eastAsia="Times New Roman" w:hAnsi="Verdana" w:cs="Arial"/>
          <w:lang w:val="es-ES" w:eastAsia="es-ES_tradnl"/>
        </w:rPr>
        <w:t xml:space="preserve">La noción “seleccionar de forma objetiva”, contenida en la disposición sub examine no puede ser entendida como una remisión total a las Leyes 80 de 1993 y 1150 de 2007 respecto a los criterios habilitantes de las modalidades de selección o de adjudicación. A lo que se refiere la norma es a que la Entidad Estatal debe diseñar herramientas propias a la contratación con Entidades Privadas Sin Ánimo de Lucro y de Reconocida Idoneidad que permitan una comparación objetiva de las ESAL y con ello puedan seleccionar objetivamente a aquella que tenga las mejores condiciones para alcanzar el resultado esperado,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092 de 2017. </w:t>
      </w:r>
    </w:p>
    <w:p w14:paraId="4CEACC0B" w14:textId="77777777" w:rsidR="00457F70" w:rsidRPr="00A9079D" w:rsidRDefault="00457F70" w:rsidP="00457F70">
      <w:pPr>
        <w:spacing w:after="0" w:line="276" w:lineRule="auto"/>
        <w:ind w:left="360"/>
        <w:jc w:val="both"/>
        <w:rPr>
          <w:rFonts w:ascii="Verdana" w:eastAsia="Times New Roman" w:hAnsi="Verdana" w:cs="Arial"/>
          <w:lang w:val="es-ES" w:eastAsia="es-ES_tradnl"/>
        </w:rPr>
      </w:pPr>
    </w:p>
    <w:p w14:paraId="66A292B1" w14:textId="77777777" w:rsidR="00457F70" w:rsidRDefault="00457F70" w:rsidP="00457F70">
      <w:pPr>
        <w:numPr>
          <w:ilvl w:val="0"/>
          <w:numId w:val="18"/>
        </w:numPr>
        <w:spacing w:after="0" w:line="276" w:lineRule="auto"/>
        <w:jc w:val="both"/>
        <w:rPr>
          <w:rFonts w:ascii="Verdana" w:eastAsia="Times New Roman" w:hAnsi="Verdana" w:cs="Arial"/>
          <w:lang w:val="es-ES" w:eastAsia="es-ES_tradnl"/>
        </w:rPr>
      </w:pPr>
      <w:r w:rsidRPr="00CE735E">
        <w:rPr>
          <w:rFonts w:ascii="Verdana" w:eastAsia="Times New Roman" w:hAnsi="Verdana" w:cs="Arial"/>
          <w:lang w:val="es-ES" w:eastAsia="es-ES_tradnl"/>
        </w:rPr>
        <w:t>En ese sentido,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la pluralidad de interesados y la comparación objetiva de ofertas.</w:t>
      </w:r>
    </w:p>
    <w:p w14:paraId="05E28232" w14:textId="77777777" w:rsidR="00457F70" w:rsidRPr="00CE735E" w:rsidRDefault="00457F70" w:rsidP="00457F70">
      <w:pPr>
        <w:spacing w:after="0" w:line="276" w:lineRule="auto"/>
        <w:jc w:val="both"/>
        <w:rPr>
          <w:rFonts w:ascii="Verdana" w:eastAsia="Times New Roman" w:hAnsi="Verdana" w:cs="Arial"/>
          <w:lang w:val="es-ES" w:eastAsia="es-ES_tradnl"/>
        </w:rPr>
      </w:pPr>
      <w:r w:rsidRPr="00CE735E">
        <w:rPr>
          <w:rFonts w:ascii="Verdana" w:eastAsia="Times New Roman" w:hAnsi="Verdana" w:cs="Arial"/>
          <w:lang w:val="es-ES" w:eastAsia="es-ES_tradnl"/>
        </w:rPr>
        <w:t xml:space="preserve"> </w:t>
      </w:r>
    </w:p>
    <w:p w14:paraId="5DA96F3C" w14:textId="77777777" w:rsidR="00457F70" w:rsidRDefault="00457F70" w:rsidP="00457F70">
      <w:pPr>
        <w:numPr>
          <w:ilvl w:val="0"/>
          <w:numId w:val="18"/>
        </w:numPr>
        <w:spacing w:after="0" w:line="276" w:lineRule="auto"/>
        <w:jc w:val="both"/>
        <w:rPr>
          <w:rFonts w:ascii="Verdana" w:eastAsia="Times New Roman" w:hAnsi="Verdana" w:cs="Arial"/>
          <w:lang w:val="es-ES" w:eastAsia="es-ES_tradnl"/>
        </w:rPr>
      </w:pPr>
      <w:r w:rsidRPr="00CE735E">
        <w:rPr>
          <w:rFonts w:ascii="Verdana" w:eastAsia="Times New Roman" w:hAnsi="Verdana" w:cs="Arial"/>
          <w:lang w:val="es-ES" w:eastAsia="es-ES_tradnl"/>
        </w:rPr>
        <w:lastRenderedPageBreak/>
        <w:t xml:space="preserve">En este punto, es menester advertir que, el artículo 5 de del Decreto 092 de 2017 no prohíbe la celebración de convenios en que la ESAL aporte menos del treinta por ciento (30%) o cuando aporten recursos en especie. En efecto, solo indica que en esos casos la Entidad Estatal debe acudir al proceso competitivo para seleccionar a la ESAL con la cual celebrará el respectivo convenio. </w:t>
      </w:r>
    </w:p>
    <w:p w14:paraId="24E1FF65" w14:textId="77777777" w:rsidR="00457F70" w:rsidRPr="00CE735E" w:rsidRDefault="00457F70" w:rsidP="00457F70">
      <w:pPr>
        <w:spacing w:after="0" w:line="276" w:lineRule="auto"/>
        <w:jc w:val="both"/>
        <w:rPr>
          <w:rFonts w:ascii="Verdana" w:eastAsia="Times New Roman" w:hAnsi="Verdana" w:cs="Arial"/>
          <w:lang w:val="es-ES" w:eastAsia="es-ES_tradnl"/>
        </w:rPr>
      </w:pPr>
    </w:p>
    <w:p w14:paraId="0D0F7F8A" w14:textId="77777777" w:rsidR="00457F70" w:rsidRDefault="00457F70" w:rsidP="00457F70">
      <w:pPr>
        <w:numPr>
          <w:ilvl w:val="0"/>
          <w:numId w:val="18"/>
        </w:numPr>
        <w:spacing w:after="0" w:line="276" w:lineRule="auto"/>
        <w:jc w:val="both"/>
        <w:rPr>
          <w:rFonts w:ascii="Verdana" w:eastAsia="Times New Roman" w:hAnsi="Verdana" w:cs="Arial"/>
          <w:lang w:val="es-ES" w:eastAsia="es-ES_tradnl"/>
        </w:rPr>
      </w:pPr>
      <w:r>
        <w:rPr>
          <w:rFonts w:ascii="Verdana" w:eastAsia="Times New Roman" w:hAnsi="Verdana" w:cs="Arial"/>
          <w:lang w:val="es-ES" w:eastAsia="es-ES_tradnl"/>
        </w:rPr>
        <w:t>L</w:t>
      </w:r>
      <w:r w:rsidRPr="00CE735E">
        <w:rPr>
          <w:rFonts w:ascii="Verdana" w:eastAsia="Times New Roman" w:hAnsi="Verdana" w:cs="Arial"/>
          <w:lang w:val="es-ES" w:eastAsia="es-ES_tradnl"/>
        </w:rPr>
        <w:t xml:space="preserve">a Agencia Nacional de Contratación Pública – Colombia Compra Eficiente ha considerado que, “el treinta por ciento (30%) señalado en el artículo 5 del Decreto 092 de 2017 que debe aportar la ESAL a efectos de poder celebrar el convenio sin acudir a un proceso competitivo, debe calcularse respecto del monto total de los recursos en dinero requeridos para la ejecución proyecto, el cual corresponderá́ al valor por el que se celebrará el convenio de asociación”. </w:t>
      </w:r>
      <w:r w:rsidRPr="00CE735E">
        <w:rPr>
          <w:rFonts w:eastAsia="Times New Roman" w:cs="Arial"/>
          <w:vertAlign w:val="superscript"/>
          <w:lang w:val="es-ES" w:eastAsia="es-ES_tradnl"/>
        </w:rPr>
        <w:footnoteReference w:id="2"/>
      </w:r>
    </w:p>
    <w:p w14:paraId="269C8D4D" w14:textId="77777777" w:rsidR="00457F70" w:rsidRPr="00CE735E" w:rsidRDefault="00457F70" w:rsidP="00457F70">
      <w:pPr>
        <w:spacing w:after="0" w:line="276" w:lineRule="auto"/>
        <w:jc w:val="both"/>
        <w:rPr>
          <w:rFonts w:ascii="Verdana" w:eastAsia="Times New Roman" w:hAnsi="Verdana" w:cs="Arial"/>
          <w:lang w:val="es-ES" w:eastAsia="es-ES_tradnl"/>
        </w:rPr>
      </w:pPr>
    </w:p>
    <w:p w14:paraId="5EE59757" w14:textId="77777777" w:rsidR="00457F70" w:rsidRDefault="00457F70" w:rsidP="00457F70">
      <w:pPr>
        <w:numPr>
          <w:ilvl w:val="0"/>
          <w:numId w:val="18"/>
        </w:numPr>
        <w:spacing w:after="0" w:line="276" w:lineRule="auto"/>
        <w:jc w:val="both"/>
        <w:rPr>
          <w:rFonts w:ascii="Verdana" w:eastAsia="Times New Roman" w:hAnsi="Verdana" w:cs="Arial"/>
          <w:lang w:val="es-ES" w:eastAsia="es-ES_tradnl"/>
        </w:rPr>
      </w:pPr>
      <w:r w:rsidRPr="00CE735E">
        <w:rPr>
          <w:rFonts w:ascii="Verdana" w:eastAsia="Times New Roman" w:hAnsi="Verdana" w:cs="Arial"/>
          <w:lang w:val="es-ES" w:eastAsia="es-ES_tradnl"/>
        </w:rPr>
        <w:t xml:space="preserve">En ese sentido, “si, por ejemplo, para desarrollar un proyecto conjunto con una ESAL se requiere un total de $100.000.000, para poder celebrar el convenio de asociación sin proceso competitivo, la Entidad Estatal </w:t>
      </w:r>
      <w:proofErr w:type="spellStart"/>
      <w:r w:rsidRPr="00CE735E">
        <w:rPr>
          <w:rFonts w:ascii="Verdana" w:eastAsia="Times New Roman" w:hAnsi="Verdana" w:cs="Arial"/>
          <w:lang w:val="es-ES" w:eastAsia="es-ES_tradnl"/>
        </w:rPr>
        <w:t>debera</w:t>
      </w:r>
      <w:proofErr w:type="spellEnd"/>
      <w:r w:rsidRPr="00CE735E">
        <w:rPr>
          <w:rFonts w:ascii="Verdana" w:eastAsia="Times New Roman" w:hAnsi="Verdana" w:cs="Arial"/>
          <w:lang w:val="es-ES" w:eastAsia="es-ES_tradnl"/>
        </w:rPr>
        <w:t xml:space="preserve">́ asociarse con una ESAL dispuesta a aportar por lo menos una suma de $30.000.000, equivalente al treinta por ciento (30%) del que sería el valor del eventual convenio. De esta manera, los eventuales aportes en especie no podrán tenerse en cuenta para calcular el referido porcentaje, el cual debe ser en dinero”. </w:t>
      </w:r>
      <w:r w:rsidRPr="00CE735E">
        <w:rPr>
          <w:rFonts w:eastAsia="Times New Roman" w:cs="Arial"/>
          <w:vertAlign w:val="superscript"/>
          <w:lang w:val="es-ES" w:eastAsia="es-ES_tradnl"/>
        </w:rPr>
        <w:footnoteReference w:id="3"/>
      </w:r>
    </w:p>
    <w:p w14:paraId="28EBD2AD" w14:textId="77777777" w:rsidR="00457F70" w:rsidRPr="00CE735E" w:rsidRDefault="00457F70" w:rsidP="00457F70">
      <w:pPr>
        <w:spacing w:after="0" w:line="276" w:lineRule="auto"/>
        <w:jc w:val="both"/>
        <w:rPr>
          <w:rFonts w:ascii="Verdana" w:eastAsia="Times New Roman" w:hAnsi="Verdana" w:cs="Arial"/>
          <w:lang w:val="es-ES" w:eastAsia="es-ES_tradnl"/>
        </w:rPr>
      </w:pPr>
    </w:p>
    <w:p w14:paraId="79FE0A2A" w14:textId="77777777" w:rsidR="00457F70" w:rsidRDefault="00457F70" w:rsidP="00457F70">
      <w:pPr>
        <w:numPr>
          <w:ilvl w:val="0"/>
          <w:numId w:val="18"/>
        </w:numPr>
        <w:spacing w:after="0" w:line="276" w:lineRule="auto"/>
        <w:jc w:val="both"/>
        <w:rPr>
          <w:rFonts w:ascii="Verdana" w:eastAsia="Times New Roman" w:hAnsi="Verdana" w:cs="Arial"/>
          <w:lang w:val="es-ES" w:eastAsia="es-ES_tradnl"/>
        </w:rPr>
      </w:pPr>
      <w:r w:rsidRPr="005A3340">
        <w:rPr>
          <w:rFonts w:ascii="Verdana" w:eastAsia="Times New Roman" w:hAnsi="Verdana" w:cs="Arial"/>
          <w:lang w:val="es-ES" w:eastAsia="es-ES_tradnl"/>
        </w:rPr>
        <w:t xml:space="preserve">En ese contexto, cuando el aporte de la ESAL al convenio de asociación, que se realizará con una Entidad Estatal bajo los términos del artículo 5 del Decreto 092 de 2017, no sea en dinero sino en especie, esto es, con bienes tangibles e intangibles distintos al dinero o que no sean equivalentes a este, en los términos indicados en el párrafo anterior, no se aplicará la regla que determina que si el aporte de recursos en dinero es igual o superior a un treinta por ciento (30%) del valor del convenio, este se podrá́ celebrar de forma directa, por lo que </w:t>
      </w:r>
      <w:proofErr w:type="spellStart"/>
      <w:r w:rsidRPr="005A3340">
        <w:rPr>
          <w:rFonts w:ascii="Verdana" w:eastAsia="Times New Roman" w:hAnsi="Verdana" w:cs="Arial"/>
          <w:lang w:val="es-ES" w:eastAsia="es-ES_tradnl"/>
        </w:rPr>
        <w:t>debera</w:t>
      </w:r>
      <w:proofErr w:type="spellEnd"/>
      <w:r w:rsidRPr="005A3340">
        <w:rPr>
          <w:rFonts w:ascii="Verdana" w:eastAsia="Times New Roman" w:hAnsi="Verdana" w:cs="Arial"/>
          <w:lang w:val="es-ES" w:eastAsia="es-ES_tradnl"/>
        </w:rPr>
        <w:t xml:space="preserve">́ adelantarse un proceso competitivo. </w:t>
      </w:r>
    </w:p>
    <w:p w14:paraId="21D8ECDD" w14:textId="77777777" w:rsidR="00457F70" w:rsidRPr="005A3340" w:rsidRDefault="00457F70" w:rsidP="00457F70">
      <w:pPr>
        <w:spacing w:after="0" w:line="276" w:lineRule="auto"/>
        <w:jc w:val="both"/>
        <w:rPr>
          <w:rFonts w:ascii="Verdana" w:eastAsia="Times New Roman" w:hAnsi="Verdana" w:cs="Arial"/>
          <w:lang w:val="es-ES" w:eastAsia="es-ES_tradnl"/>
        </w:rPr>
      </w:pPr>
    </w:p>
    <w:p w14:paraId="2FB2EBF0" w14:textId="47BDEAD5" w:rsidR="001F5BB1" w:rsidRDefault="00457F70" w:rsidP="00457F70">
      <w:pPr>
        <w:numPr>
          <w:ilvl w:val="0"/>
          <w:numId w:val="18"/>
        </w:numPr>
        <w:spacing w:after="0" w:line="276" w:lineRule="auto"/>
        <w:jc w:val="both"/>
        <w:rPr>
          <w:rFonts w:ascii="Verdana" w:eastAsia="Times New Roman" w:hAnsi="Verdana" w:cs="Arial"/>
          <w:lang w:val="es-ES" w:eastAsia="es-ES_tradnl"/>
        </w:rPr>
      </w:pPr>
      <w:r w:rsidRPr="005A3340">
        <w:rPr>
          <w:rFonts w:ascii="Verdana" w:eastAsia="Times New Roman" w:hAnsi="Verdana" w:cs="Arial"/>
          <w:lang w:val="es-ES" w:eastAsia="es-ES_tradnl"/>
        </w:rPr>
        <w:lastRenderedPageBreak/>
        <w:t>No obstante, debe insistirse que esto no significa que no puedan hacerse aportes en especie, sino que como mínimo debe realizarse un aporte en dinero del treinta por ciento (30%) del valor del convenio de asociación para que pueda aplicar la selección directa de la ESAL, siempre que no haya otra ESAL que realice el mismo ofrecimiento</w:t>
      </w:r>
      <w:r w:rsidRPr="001F5BB1">
        <w:rPr>
          <w:rFonts w:eastAsia="Times New Roman" w:cs="Arial"/>
          <w:vertAlign w:val="superscript"/>
          <w:lang w:val="es-ES" w:eastAsia="es-ES_tradnl"/>
        </w:rPr>
        <w:footnoteReference w:id="4"/>
      </w:r>
      <w:r w:rsidR="001F5BB1">
        <w:rPr>
          <w:rFonts w:ascii="Verdana" w:eastAsia="Times New Roman" w:hAnsi="Verdana" w:cs="Arial"/>
          <w:lang w:val="es-ES" w:eastAsia="es-ES_tradnl"/>
        </w:rPr>
        <w:t>.</w:t>
      </w:r>
    </w:p>
    <w:p w14:paraId="7E122FB9" w14:textId="77777777" w:rsidR="001F5BB1" w:rsidRDefault="001F5BB1" w:rsidP="001F5BB1">
      <w:pPr>
        <w:pStyle w:val="Prrafodelista"/>
        <w:rPr>
          <w:rFonts w:ascii="Verdana" w:eastAsia="Times New Roman" w:hAnsi="Verdana" w:cs="Arial"/>
          <w:lang w:eastAsia="es-ES_tradnl"/>
        </w:rPr>
      </w:pPr>
    </w:p>
    <w:p w14:paraId="1A039AA7" w14:textId="6C91C802" w:rsidR="00457F70" w:rsidRPr="005A3340" w:rsidRDefault="00457F70" w:rsidP="00457F70">
      <w:pPr>
        <w:numPr>
          <w:ilvl w:val="0"/>
          <w:numId w:val="18"/>
        </w:numPr>
        <w:spacing w:after="0" w:line="276" w:lineRule="auto"/>
        <w:jc w:val="both"/>
        <w:rPr>
          <w:rFonts w:ascii="Verdana" w:eastAsia="Times New Roman" w:hAnsi="Verdana" w:cs="Arial"/>
          <w:lang w:val="es-ES" w:eastAsia="es-ES_tradnl"/>
        </w:rPr>
      </w:pPr>
      <w:r w:rsidRPr="005A3340">
        <w:rPr>
          <w:rFonts w:ascii="Verdana" w:eastAsia="Times New Roman" w:hAnsi="Verdana" w:cs="Arial"/>
          <w:lang w:val="es-ES" w:eastAsia="es-ES_tradnl"/>
        </w:rPr>
        <w:t xml:space="preserve">En conclusión, la ESAL debe aportar un treinta por ciento (30%) total del convenio en dinero para que no proceda el proceso competitivo, el cual podrá́ tener origen en recursos propios o en recursos de cooperación internacional cuya destinación permita la ejecución y el logro de los objetivos comunes del convenio celebrado con la Entidad Estatal asociada, sin perjuicio de que haya otros aportes en especie que se pacten para la ejecución de las actividades y finalidades de este. </w:t>
      </w:r>
    </w:p>
    <w:p w14:paraId="1750AD45" w14:textId="77777777" w:rsidR="00457F70" w:rsidRPr="00774FDD" w:rsidRDefault="00457F70" w:rsidP="00457F70">
      <w:pPr>
        <w:pStyle w:val="Prrafodelista"/>
        <w:tabs>
          <w:tab w:val="left" w:pos="142"/>
          <w:tab w:val="left" w:pos="284"/>
        </w:tabs>
        <w:spacing w:line="276" w:lineRule="auto"/>
        <w:jc w:val="both"/>
        <w:rPr>
          <w:rFonts w:ascii="Verdana" w:eastAsia="Century Gothic" w:hAnsi="Verdana" w:cs="Century Gothic"/>
        </w:rPr>
      </w:pPr>
    </w:p>
    <w:p w14:paraId="0D13F72D" w14:textId="77777777" w:rsidR="00457F70" w:rsidRPr="005735BC" w:rsidRDefault="00457F70" w:rsidP="00457F70">
      <w:pPr>
        <w:pStyle w:val="Prrafodelista"/>
        <w:numPr>
          <w:ilvl w:val="0"/>
          <w:numId w:val="16"/>
        </w:numPr>
        <w:tabs>
          <w:tab w:val="left" w:pos="142"/>
          <w:tab w:val="left" w:pos="284"/>
        </w:tabs>
        <w:spacing w:line="276" w:lineRule="auto"/>
        <w:ind w:left="567"/>
        <w:jc w:val="both"/>
        <w:rPr>
          <w:rFonts w:ascii="Verdana" w:eastAsia="Century Gothic" w:hAnsi="Verdana" w:cs="Century Gothic"/>
          <w:b/>
          <w:bCs/>
        </w:rPr>
      </w:pPr>
      <w:r w:rsidRPr="00E64432">
        <w:rPr>
          <w:rFonts w:ascii="Verdana" w:eastAsia="Century Gothic" w:hAnsi="Verdana" w:cs="Century Gothic"/>
          <w:b/>
          <w:bCs/>
        </w:rPr>
        <w:t>Referencias normativas, jurisprudenciales y otras fuentes:</w:t>
      </w: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457F70" w:rsidRPr="00593A5F" w14:paraId="6A54B6A9" w14:textId="77777777" w:rsidTr="00D17B55">
        <w:trPr>
          <w:trHeight w:val="870"/>
        </w:trPr>
        <w:tc>
          <w:tcPr>
            <w:tcW w:w="8647" w:type="dxa"/>
          </w:tcPr>
          <w:p w14:paraId="51FE3B49" w14:textId="77777777" w:rsidR="00457F70" w:rsidRPr="001C30DA" w:rsidRDefault="00457F70" w:rsidP="00457F70">
            <w:pPr>
              <w:pStyle w:val="Prrafodelista"/>
              <w:numPr>
                <w:ilvl w:val="0"/>
                <w:numId w:val="17"/>
              </w:numPr>
              <w:spacing w:after="120"/>
              <w:rPr>
                <w:rFonts w:ascii="Verdana" w:eastAsia="Century Gothic" w:hAnsi="Verdana" w:cs="Century Gothic"/>
              </w:rPr>
            </w:pPr>
            <w:r w:rsidRPr="001C30DA">
              <w:rPr>
                <w:rFonts w:ascii="Verdana" w:eastAsia="Century Gothic" w:hAnsi="Verdana" w:cs="Century Gothic"/>
              </w:rPr>
              <w:t>Ley 1150 de 2007.</w:t>
            </w:r>
          </w:p>
          <w:p w14:paraId="2135335E" w14:textId="77777777" w:rsidR="00457F70" w:rsidRPr="001C30DA" w:rsidRDefault="00457F70" w:rsidP="00457F70">
            <w:pPr>
              <w:pStyle w:val="Prrafodelista"/>
              <w:numPr>
                <w:ilvl w:val="0"/>
                <w:numId w:val="17"/>
              </w:numPr>
              <w:spacing w:after="120"/>
              <w:rPr>
                <w:rFonts w:ascii="Verdana" w:eastAsia="Century Gothic" w:hAnsi="Verdana" w:cs="Century Gothic"/>
              </w:rPr>
            </w:pPr>
            <w:r w:rsidRPr="001C30DA">
              <w:rPr>
                <w:rFonts w:ascii="Verdana" w:eastAsia="Century Gothic" w:hAnsi="Verdana" w:cs="Century Gothic"/>
              </w:rPr>
              <w:t>Ley 80 de 1993, Artículos 11 y 12.</w:t>
            </w:r>
          </w:p>
          <w:p w14:paraId="11005A71" w14:textId="77777777" w:rsidR="00457F70" w:rsidRPr="001C30DA" w:rsidRDefault="00457F70" w:rsidP="00457F70">
            <w:pPr>
              <w:pStyle w:val="Prrafodelista"/>
              <w:numPr>
                <w:ilvl w:val="0"/>
                <w:numId w:val="17"/>
              </w:numPr>
              <w:spacing w:after="120"/>
              <w:rPr>
                <w:rFonts w:ascii="Verdana" w:eastAsia="Century Gothic" w:hAnsi="Verdana" w:cs="Century Gothic"/>
              </w:rPr>
            </w:pPr>
            <w:r w:rsidRPr="001C30DA">
              <w:rPr>
                <w:rFonts w:ascii="Verdana" w:eastAsia="Century Gothic" w:hAnsi="Verdana" w:cs="Century Gothic"/>
              </w:rPr>
              <w:t>Constitución Política, Artículo 355.</w:t>
            </w:r>
          </w:p>
          <w:p w14:paraId="559A6ADB" w14:textId="77777777" w:rsidR="00457F70" w:rsidRPr="001C30DA" w:rsidRDefault="00457F70" w:rsidP="00457F70">
            <w:pPr>
              <w:pStyle w:val="Prrafodelista"/>
              <w:numPr>
                <w:ilvl w:val="0"/>
                <w:numId w:val="17"/>
              </w:numPr>
              <w:spacing w:after="120"/>
              <w:rPr>
                <w:rFonts w:ascii="Verdana" w:eastAsia="Century Gothic" w:hAnsi="Verdana" w:cs="Century Gothic"/>
              </w:rPr>
            </w:pPr>
            <w:r w:rsidRPr="001C30DA">
              <w:rPr>
                <w:rFonts w:ascii="Verdana" w:eastAsia="Century Gothic" w:hAnsi="Verdana" w:cs="Century Gothic"/>
              </w:rPr>
              <w:t>Ley 489 de 1998, Artículo 96.</w:t>
            </w:r>
          </w:p>
          <w:p w14:paraId="20022A2E" w14:textId="77777777" w:rsidR="00457F70" w:rsidRPr="001C30DA" w:rsidRDefault="00457F70" w:rsidP="00457F70">
            <w:pPr>
              <w:pStyle w:val="Prrafodelista"/>
              <w:numPr>
                <w:ilvl w:val="0"/>
                <w:numId w:val="17"/>
              </w:numPr>
              <w:spacing w:after="120"/>
              <w:rPr>
                <w:rFonts w:ascii="Verdana" w:eastAsia="Century Gothic" w:hAnsi="Verdana" w:cs="Century Gothic"/>
              </w:rPr>
            </w:pPr>
            <w:r w:rsidRPr="001C30DA">
              <w:rPr>
                <w:rFonts w:ascii="Verdana" w:eastAsia="Century Gothic" w:hAnsi="Verdana" w:cs="Century Gothic"/>
              </w:rPr>
              <w:t>Decreto 092 de 2017, Artículos 2, 5, 6, 7 y 8.</w:t>
            </w:r>
          </w:p>
          <w:p w14:paraId="0E18D94A" w14:textId="77777777" w:rsidR="00457F70" w:rsidRPr="007E5030" w:rsidRDefault="00457F70" w:rsidP="00457F70">
            <w:pPr>
              <w:pStyle w:val="Prrafodelista"/>
              <w:widowControl w:val="0"/>
              <w:numPr>
                <w:ilvl w:val="0"/>
                <w:numId w:val="17"/>
              </w:numPr>
              <w:autoSpaceDE w:val="0"/>
              <w:autoSpaceDN w:val="0"/>
              <w:spacing w:after="120" w:line="276" w:lineRule="auto"/>
              <w:rPr>
                <w:rFonts w:ascii="Verdana" w:eastAsia="Century Gothic" w:hAnsi="Verdana" w:cs="Century Gothic"/>
              </w:rPr>
            </w:pPr>
            <w:r w:rsidRPr="001C30DA">
              <w:rPr>
                <w:rFonts w:ascii="Verdana" w:eastAsia="Century Gothic" w:hAnsi="Verdana" w:cs="Century Gothic"/>
                <w:bCs/>
                <w:lang w:val="es-ES_tradnl"/>
              </w:rPr>
              <w:t xml:space="preserve">Guía para la contratación con entidades privadas sin ánimo de lucro y de reconocida idoneidad. Disponible en: </w:t>
            </w:r>
            <w:hyperlink r:id="rId12" w:history="1">
              <w:r w:rsidRPr="001C30DA">
                <w:rPr>
                  <w:rStyle w:val="Hipervnculo"/>
                  <w:rFonts w:ascii="Verdana" w:eastAsia="Century Gothic" w:hAnsi="Verdana" w:cs="Century Gothic"/>
                  <w:bCs/>
                  <w:lang w:val="es-ES_tradnl"/>
                </w:rPr>
                <w:t>https://www.colombiacompra.gov.co/sites/cce_public/files/cce_documents/cce_guia_esal.pdf</w:t>
              </w:r>
            </w:hyperlink>
            <w:r w:rsidRPr="001C30DA">
              <w:rPr>
                <w:rFonts w:ascii="Verdana" w:eastAsia="Century Gothic" w:hAnsi="Verdana" w:cs="Century Gothic"/>
                <w:bCs/>
                <w:lang w:val="es-ES_tradnl"/>
              </w:rPr>
              <w:t xml:space="preserve"> </w:t>
            </w:r>
            <w:r w:rsidRPr="001C30DA">
              <w:rPr>
                <w:rFonts w:ascii="Verdana" w:eastAsia="Century Gothic" w:hAnsi="Verdana" w:cs="Century Gothic"/>
              </w:rPr>
              <w:t xml:space="preserve"> </w:t>
            </w:r>
          </w:p>
        </w:tc>
      </w:tr>
    </w:tbl>
    <w:p w14:paraId="4EF055DF" w14:textId="77777777" w:rsidR="00457F70" w:rsidRPr="00593A5F" w:rsidRDefault="00457F70" w:rsidP="00457F70">
      <w:pPr>
        <w:widowControl w:val="0"/>
        <w:autoSpaceDE w:val="0"/>
        <w:autoSpaceDN w:val="0"/>
        <w:spacing w:line="276" w:lineRule="auto"/>
        <w:jc w:val="both"/>
        <w:rPr>
          <w:rFonts w:ascii="Verdana" w:hAnsi="Verdana" w:cs="Arial"/>
        </w:rPr>
      </w:pPr>
    </w:p>
    <w:p w14:paraId="751B3C1A" w14:textId="77777777" w:rsidR="00457F70" w:rsidRDefault="00457F70" w:rsidP="00457F70">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30DDA775" w14:textId="77777777" w:rsidR="00457F70" w:rsidRPr="005735BC" w:rsidRDefault="00457F70" w:rsidP="00457F70">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426E10A4" w14:textId="77777777" w:rsidR="00457F70" w:rsidRDefault="00457F70" w:rsidP="00457F70">
      <w:pPr>
        <w:jc w:val="both"/>
        <w:rPr>
          <w:rFonts w:ascii="Verdana" w:hAnsi="Verdana" w:cs="Arial"/>
          <w:color w:val="000000" w:themeColor="text1"/>
          <w:shd w:val="clear" w:color="auto" w:fill="FFFFFF"/>
        </w:rPr>
      </w:pPr>
      <w:r w:rsidRPr="0022204E">
        <w:rPr>
          <w:rFonts w:ascii="Verdana" w:hAnsi="Verdana" w:cs="Arial"/>
          <w:color w:val="000000" w:themeColor="text1"/>
          <w:shd w:val="clear" w:color="auto" w:fill="FFFFFF"/>
          <w:lang w:val="es-ES"/>
        </w:rPr>
        <w:t xml:space="preserve">Sobre </w:t>
      </w:r>
      <w:r w:rsidRPr="0022204E">
        <w:rPr>
          <w:rFonts w:ascii="Verdana" w:hAnsi="Verdana" w:cs="Arial"/>
          <w:bCs/>
          <w:color w:val="000000" w:themeColor="text1"/>
          <w:shd w:val="clear" w:color="auto" w:fill="FFFFFF"/>
          <w:lang w:val="es-ES_tradnl"/>
        </w:rPr>
        <w:t xml:space="preserve">la contratación con entidades privadas sin ánimo de lucro y de reconocida idoneidad -ESAL- regulada por el Decreto 092 de 2017, </w:t>
      </w:r>
      <w:r w:rsidRPr="0022204E">
        <w:rPr>
          <w:rFonts w:ascii="Verdana" w:hAnsi="Verdana" w:cs="Arial"/>
          <w:color w:val="000000" w:themeColor="text1"/>
          <w:shd w:val="clear" w:color="auto" w:fill="FFFFFF"/>
          <w:lang w:val="es-ES"/>
        </w:rPr>
        <w:t xml:space="preserve">esta Subdirección se pronunció en los conceptos </w:t>
      </w:r>
      <w:r w:rsidRPr="0022204E">
        <w:rPr>
          <w:rFonts w:ascii="Verdana" w:hAnsi="Verdana" w:cs="Arial"/>
          <w:color w:val="000000" w:themeColor="text1"/>
          <w:shd w:val="clear" w:color="auto" w:fill="FFFFFF"/>
        </w:rPr>
        <w:t xml:space="preserve">Nos. C-624 del 28 de septiembre de 2022, C-771 del 30 de diciembre de 2022, C-853 del 9 de diciembre de 2022, C-844 del 28 de diciembre del 2022, C-026 de 16 de marzo de 2023, C-037 de 05 de abril de 2023, C-203 de 21 de junio de 2023 C-003 del 02 de febrero de 2024, C-045 del 24 de abril de 2024, C-080 del 07 de mayo del 2024, C-071 del 28 de mayo del 2024, C-096 del 28 de junio del 2024, C-073 del 22 de julio del 2024, C-356 </w:t>
      </w:r>
      <w:r w:rsidRPr="0022204E">
        <w:rPr>
          <w:rFonts w:ascii="Verdana" w:hAnsi="Verdana" w:cs="Arial"/>
          <w:color w:val="000000" w:themeColor="text1"/>
          <w:shd w:val="clear" w:color="auto" w:fill="FFFFFF"/>
        </w:rPr>
        <w:lastRenderedPageBreak/>
        <w:t>del 22 de julio del 2024, C-262 del 29 de julio del 2024, C-192 del 31 de julio del 2024, C-210 del 05 de agosto del 2024, C-240 del 12 de agosto del 2024, C-496 del 29 de agosto del 2024, C-416 del 06 de septiembre del 2024, C-450 del 17 de septiembre del 2024, C-476 del 20 de septiembre del 2024, C-509 del 04 de octubre del 2024</w:t>
      </w:r>
      <w:r>
        <w:rPr>
          <w:rFonts w:ascii="Verdana" w:hAnsi="Verdana" w:cs="Arial"/>
          <w:color w:val="000000" w:themeColor="text1"/>
          <w:shd w:val="clear" w:color="auto" w:fill="FFFFFF"/>
        </w:rPr>
        <w:t xml:space="preserve">, </w:t>
      </w:r>
      <w:r w:rsidRPr="0022204E">
        <w:rPr>
          <w:rFonts w:ascii="Verdana" w:hAnsi="Verdana" w:cs="Arial"/>
          <w:color w:val="000000" w:themeColor="text1"/>
          <w:shd w:val="clear" w:color="auto" w:fill="FFFFFF"/>
        </w:rPr>
        <w:t>C-590 del 18 de octubre del 2024</w:t>
      </w:r>
      <w:r>
        <w:rPr>
          <w:rFonts w:ascii="Verdana" w:hAnsi="Verdana" w:cs="Arial"/>
          <w:color w:val="000000" w:themeColor="text1"/>
          <w:shd w:val="clear" w:color="auto" w:fill="FFFFFF"/>
        </w:rPr>
        <w:t xml:space="preserve"> y C-718 de 2024</w:t>
      </w:r>
      <w:r w:rsidRPr="0022204E">
        <w:rPr>
          <w:rFonts w:ascii="Verdana" w:hAnsi="Verdana" w:cs="Arial"/>
          <w:color w:val="000000" w:themeColor="text1"/>
          <w:shd w:val="clear" w:color="auto" w:fill="FFFFFF"/>
        </w:rPr>
        <w:t xml:space="preserve">. </w:t>
      </w:r>
    </w:p>
    <w:p w14:paraId="138134F4" w14:textId="77777777" w:rsidR="00457F70" w:rsidRDefault="00457F70" w:rsidP="00457F70">
      <w:pPr>
        <w:widowControl w:val="0"/>
        <w:autoSpaceDE w:val="0"/>
        <w:autoSpaceDN w:val="0"/>
        <w:spacing w:after="0" w:line="276" w:lineRule="auto"/>
        <w:jc w:val="both"/>
        <w:rPr>
          <w:rFonts w:ascii="Verdana" w:hAnsi="Verdana" w:cs="Arial"/>
          <w:color w:val="000000" w:themeColor="text1"/>
          <w:shd w:val="clear" w:color="auto" w:fill="FFFFFF"/>
          <w:lang w:val="es-ES_tradnl"/>
        </w:rPr>
      </w:pPr>
      <w:r w:rsidRPr="00A8619D">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3" w:tgtFrame="_blank" w:tooltip="Dirección URL original: https://relatoria.colombiacompra.gov.co/. Haga clic o pulse si confía en este vínculo." w:history="1">
        <w:r w:rsidRPr="00A8619D">
          <w:rPr>
            <w:rStyle w:val="Hipervnculo"/>
            <w:rFonts w:ascii="Verdana" w:hAnsi="Verdana" w:cs="Arial"/>
            <w:shd w:val="clear" w:color="auto" w:fill="FFFFFF"/>
          </w:rPr>
          <w:t>https://relatoria.colombiacompra.gov.co/</w:t>
        </w:r>
      </w:hyperlink>
      <w:r w:rsidRPr="00A8619D">
        <w:rPr>
          <w:rFonts w:ascii="Verdana" w:hAnsi="Verdana" w:cs="Arial"/>
          <w:color w:val="000000" w:themeColor="text1"/>
          <w:shd w:val="clear" w:color="auto" w:fill="FFFFFF"/>
        </w:rPr>
        <w:t> . Te invitamos también a revisar la tercera edición del  Boletín de Relatoría de 2024 en el cual podrás consultar en detalle el marco normativo de documentos tipo: </w:t>
      </w:r>
      <w:hyperlink r:id="rId14" w:tgtFrame="_blank" w:tooltip="Dirección URL original: https://www.colombiacompra.gov.co/sites/cce_public/files/files_2020/boletin_de_realtoria_iii.pdf. Haga clic o pulse si confía en este vínculo." w:history="1">
        <w:r w:rsidRPr="00A8619D">
          <w:rPr>
            <w:rStyle w:val="Hipervnculo"/>
            <w:rFonts w:ascii="Verdana" w:hAnsi="Verdana" w:cs="Arial"/>
            <w:shd w:val="clear" w:color="auto" w:fill="FFFFFF"/>
          </w:rPr>
          <w:t>https://www.colombiacompra.gov.co/sites/cce_public/files/files_2020/boletin_de_realtoria_iii.pdf</w:t>
        </w:r>
      </w:hyperlink>
      <w:r w:rsidRPr="00A8619D">
        <w:rPr>
          <w:rFonts w:ascii="Verdana" w:hAnsi="Verdana" w:cs="Arial"/>
          <w:color w:val="000000" w:themeColor="text1"/>
          <w:shd w:val="clear" w:color="auto" w:fill="FFFFFF"/>
        </w:rPr>
        <w:t> ".</w:t>
      </w:r>
    </w:p>
    <w:p w14:paraId="5ED93228" w14:textId="77777777" w:rsidR="00457F70" w:rsidRDefault="00457F70" w:rsidP="00457F70">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4D66073D" w14:textId="77777777" w:rsidR="00457F70" w:rsidRPr="00DF24BE" w:rsidRDefault="00457F70" w:rsidP="00457F70">
      <w:pPr>
        <w:spacing w:after="120" w:line="276" w:lineRule="auto"/>
        <w:jc w:val="both"/>
        <w:rPr>
          <w:rFonts w:ascii="Verdana" w:hAnsi="Verdana"/>
        </w:rPr>
      </w:pPr>
      <w:r w:rsidRPr="00DF24BE">
        <w:rPr>
          <w:rFonts w:ascii="Verdana" w:hAnsi="Verdana"/>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5" w:tgtFrame="_blank" w:tooltip="Dirección URL original: https://www.colombiacompra.gov.co/sites/cce_public/files/cce_documents/manual_para_el_manejo_de_acuerdos_comerciales_vf.pdf. Haga clic o pulse si confía en este vínculo." w:history="1">
        <w:r w:rsidRPr="00DF24BE">
          <w:rPr>
            <w:rStyle w:val="Hipervnculo"/>
            <w:rFonts w:ascii="Verdana" w:hAnsi="Verdana"/>
          </w:rPr>
          <w:t>manual_para_el_manejo_de_acuerdos_comerciales_vf.pdf</w:t>
        </w:r>
      </w:hyperlink>
    </w:p>
    <w:p w14:paraId="5E309FC7" w14:textId="77777777" w:rsidR="00457F70" w:rsidRPr="00DF24BE" w:rsidRDefault="00457F70" w:rsidP="00457F70">
      <w:pPr>
        <w:spacing w:after="120" w:line="276" w:lineRule="auto"/>
        <w:jc w:val="both"/>
        <w:rPr>
          <w:rFonts w:ascii="Verdana" w:hAnsi="Verdana"/>
        </w:rPr>
      </w:pPr>
      <w:r w:rsidRPr="00DF24BE">
        <w:rPr>
          <w:rFonts w:ascii="Verdana" w:hAnsi="Verdana"/>
        </w:rPr>
        <w:t>De otra parte, te contamos que ya publicamos el borrador de la nueva Guía para Incentivar la Participación de Mujeres en el Sistema de Compras y Contratación Pública. Conoce el documento y realiza tus comentarios hasta el 2 de diciembre de 2024</w:t>
      </w:r>
      <w:r w:rsidRPr="00DF24BE">
        <w:rPr>
          <w:rFonts w:ascii="Verdana" w:hAnsi="Verdana"/>
          <w:b/>
          <w:bCs/>
        </w:rPr>
        <w:t> </w:t>
      </w:r>
      <w:r w:rsidRPr="00DF24BE">
        <w:rPr>
          <w:rFonts w:ascii="Verdana" w:hAnsi="Verdana"/>
        </w:rPr>
        <w:t>a través de estos enlaces:</w:t>
      </w:r>
    </w:p>
    <w:p w14:paraId="0A6E6F5C" w14:textId="77777777" w:rsidR="00457F70" w:rsidRPr="00DF24BE" w:rsidRDefault="00457F70" w:rsidP="00457F70">
      <w:pPr>
        <w:numPr>
          <w:ilvl w:val="0"/>
          <w:numId w:val="19"/>
        </w:numPr>
        <w:spacing w:after="120" w:line="276" w:lineRule="auto"/>
        <w:jc w:val="both"/>
        <w:rPr>
          <w:rFonts w:ascii="Verdana" w:hAnsi="Verdana"/>
        </w:rPr>
      </w:pPr>
      <w:r w:rsidRPr="00DF24BE">
        <w:rPr>
          <w:rFonts w:ascii="Verdana" w:hAnsi="Verdana"/>
        </w:rPr>
        <w:t>Enlace página ANCP-CCE: </w:t>
      </w:r>
      <w:hyperlink r:id="rId16" w:tgtFrame="_blank" w:tooltip="Dirección URL original: https://www.colombiacompra.gov.co/content/convocatorias. Haga clic o pulse si confía en este vínculo." w:history="1">
        <w:r w:rsidRPr="00DF24BE">
          <w:rPr>
            <w:rStyle w:val="Hipervnculo"/>
            <w:rFonts w:ascii="Verdana" w:hAnsi="Verdana"/>
          </w:rPr>
          <w:t>https://www.colombiacompra.gov.co/content/convocatorias</w:t>
        </w:r>
      </w:hyperlink>
    </w:p>
    <w:p w14:paraId="49B2DCA3" w14:textId="77777777" w:rsidR="00457F70" w:rsidRPr="00A64AED" w:rsidRDefault="00457F70" w:rsidP="00457F70">
      <w:pPr>
        <w:numPr>
          <w:ilvl w:val="0"/>
          <w:numId w:val="19"/>
        </w:numPr>
        <w:spacing w:after="120" w:line="276" w:lineRule="auto"/>
        <w:jc w:val="both"/>
        <w:rPr>
          <w:rFonts w:ascii="Verdana" w:hAnsi="Verdana"/>
          <w:lang w:val="en-US"/>
        </w:rPr>
      </w:pPr>
      <w:r w:rsidRPr="00A64AED">
        <w:rPr>
          <w:rFonts w:ascii="Verdana" w:hAnsi="Verdana"/>
          <w:lang w:val="en-US"/>
        </w:rPr>
        <w:t>Enlace SUCOP:  </w:t>
      </w:r>
      <w:hyperlink r:id="rId17" w:tgtFrame="_blank" w:tooltip="Dirección URL original: https://www.sucop.gov.co/entidades/colombiacompra/Normativa?IDNorma=19201. Haga clic o pulse si confía en este vínculo." w:history="1">
        <w:r w:rsidRPr="00A64AED">
          <w:rPr>
            <w:rStyle w:val="Hipervnculo"/>
            <w:rFonts w:ascii="Verdana" w:hAnsi="Verdana"/>
            <w:lang w:val="en-US"/>
          </w:rPr>
          <w:t>https://www.sucop.gov.co/entidades/colombiacompra/Normativa?IDNorma=19201</w:t>
        </w:r>
      </w:hyperlink>
    </w:p>
    <w:p w14:paraId="6DC7263D" w14:textId="77777777" w:rsidR="00457F70" w:rsidRPr="00A64AED" w:rsidRDefault="00457F70" w:rsidP="00457F70">
      <w:pPr>
        <w:spacing w:after="120" w:line="276" w:lineRule="auto"/>
        <w:jc w:val="both"/>
        <w:rPr>
          <w:rFonts w:ascii="Verdana" w:hAnsi="Verdana"/>
          <w:lang w:val="en-US"/>
        </w:rPr>
      </w:pPr>
      <w:r w:rsidRPr="00A64AED">
        <w:rPr>
          <w:rFonts w:ascii="Verdana" w:hAnsi="Verdana"/>
          <w:lang w:val="en-US"/>
        </w:rPr>
        <w:t> </w:t>
      </w:r>
    </w:p>
    <w:p w14:paraId="0C12E7E0" w14:textId="77777777" w:rsidR="00457F70" w:rsidRPr="00DF24BE" w:rsidRDefault="00457F70" w:rsidP="00457F70">
      <w:pPr>
        <w:spacing w:after="120" w:line="276" w:lineRule="auto"/>
        <w:jc w:val="both"/>
        <w:rPr>
          <w:rFonts w:ascii="Verdana" w:hAnsi="Verdana"/>
        </w:rPr>
      </w:pPr>
      <w:r w:rsidRPr="00DF24BE">
        <w:rPr>
          <w:rFonts w:ascii="Verdana" w:hAnsi="Verdana"/>
        </w:rPr>
        <w:t>También le invitamos a consultar la versión VII  de 2024 , del Boletín de Relatoría de la Subdirección de Gestión Contractual relacionado con las ASOCIACIONES PÚBLICO POPULARES , el cual se puede descargar en la página web de la Agencia: </w:t>
      </w:r>
      <w:hyperlink r:id="rId18" w:tgtFrame="_blank" w:tooltip="Dirección URL original: https://www.colombiacompra.gov.co/sala-de-prensa/boletin-digital. Haga clic o pulse si confía en este vínculo." w:history="1">
        <w:r w:rsidRPr="00DF24BE">
          <w:rPr>
            <w:rStyle w:val="Hipervnculo"/>
            <w:rFonts w:ascii="Verdana" w:hAnsi="Verdana"/>
          </w:rPr>
          <w:t>https://www.colombiacompra.gov.co/sala-de-prensa/boletin-digital</w:t>
        </w:r>
      </w:hyperlink>
      <w:r w:rsidRPr="00DF24BE">
        <w:rPr>
          <w:rFonts w:ascii="Verdana" w:hAnsi="Verdana"/>
        </w:rPr>
        <w:t> ".</w:t>
      </w:r>
    </w:p>
    <w:p w14:paraId="4C563DA3" w14:textId="77777777" w:rsidR="00457F70" w:rsidRPr="0011467B" w:rsidRDefault="00457F70" w:rsidP="00457F70">
      <w:pPr>
        <w:pStyle w:val="Textonotapie"/>
        <w:jc w:val="both"/>
        <w:rPr>
          <w:rFonts w:ascii="Verdana" w:hAnsi="Verdana" w:cs="Arial"/>
          <w:sz w:val="22"/>
          <w:szCs w:val="22"/>
          <w:lang w:val="es-ES"/>
        </w:rPr>
      </w:pPr>
    </w:p>
    <w:p w14:paraId="23877813" w14:textId="77777777" w:rsidR="00457F70" w:rsidRPr="0011467B" w:rsidRDefault="00457F70" w:rsidP="00457F70">
      <w:pPr>
        <w:spacing w:after="0" w:line="240" w:lineRule="auto"/>
        <w:jc w:val="both"/>
        <w:rPr>
          <w:rFonts w:ascii="Verdana" w:hAnsi="Verdana"/>
        </w:rPr>
      </w:pPr>
      <w:r w:rsidRPr="0011467B">
        <w:rPr>
          <w:rFonts w:ascii="Verdana" w:hAnsi="Verdana"/>
        </w:rPr>
        <w:t xml:space="preserve">Por último, lo invitamos a seguirnos en las redes sociales en las cuales se difunde información institucional: </w:t>
      </w:r>
    </w:p>
    <w:p w14:paraId="1F162CEC" w14:textId="77777777" w:rsidR="00457F70" w:rsidRPr="0011467B" w:rsidRDefault="00457F70" w:rsidP="00457F70">
      <w:pPr>
        <w:spacing w:after="0" w:line="240" w:lineRule="auto"/>
        <w:jc w:val="both"/>
        <w:rPr>
          <w:rFonts w:ascii="Verdana" w:hAnsi="Verdana"/>
        </w:rPr>
      </w:pPr>
    </w:p>
    <w:p w14:paraId="30C6202B" w14:textId="77777777" w:rsidR="00457F70" w:rsidRPr="0011467B" w:rsidRDefault="00457F70" w:rsidP="00457F70">
      <w:pPr>
        <w:spacing w:after="0" w:line="240" w:lineRule="auto"/>
        <w:jc w:val="both"/>
        <w:rPr>
          <w:rFonts w:ascii="Verdana" w:hAnsi="Verdana"/>
        </w:rPr>
      </w:pPr>
      <w:r w:rsidRPr="0011467B">
        <w:rPr>
          <w:rFonts w:ascii="Verdana" w:hAnsi="Verdana"/>
        </w:rPr>
        <w:t xml:space="preserve">Twitter: </w:t>
      </w:r>
      <w:r w:rsidRPr="0011467B">
        <w:rPr>
          <w:rStyle w:val="Hipervnculo"/>
          <w:rFonts w:ascii="Verdana" w:hAnsi="Verdana"/>
          <w:color w:val="4472C4" w:themeColor="accent1"/>
        </w:rPr>
        <w:t>@colombiacompra</w:t>
      </w:r>
      <w:r w:rsidRPr="0011467B">
        <w:rPr>
          <w:rFonts w:ascii="Verdana" w:hAnsi="Verdana"/>
          <w:color w:val="4472C4" w:themeColor="accent1"/>
        </w:rPr>
        <w:t xml:space="preserve"> </w:t>
      </w:r>
    </w:p>
    <w:p w14:paraId="3BCCE192" w14:textId="77777777" w:rsidR="00457F70" w:rsidRPr="0011467B" w:rsidRDefault="00457F70" w:rsidP="00457F70">
      <w:pPr>
        <w:spacing w:after="0" w:line="240" w:lineRule="auto"/>
        <w:jc w:val="both"/>
        <w:rPr>
          <w:rFonts w:ascii="Verdana" w:hAnsi="Verdana"/>
        </w:rPr>
      </w:pPr>
      <w:r w:rsidRPr="0011467B">
        <w:rPr>
          <w:rFonts w:ascii="Verdana" w:hAnsi="Verdana"/>
        </w:rPr>
        <w:t xml:space="preserve">Facebook: </w:t>
      </w:r>
      <w:proofErr w:type="spellStart"/>
      <w:r w:rsidRPr="0011467B">
        <w:rPr>
          <w:rStyle w:val="Hipervnculo"/>
          <w:rFonts w:ascii="Verdana" w:hAnsi="Verdana"/>
          <w:color w:val="4472C4" w:themeColor="accent1"/>
        </w:rPr>
        <w:t>ColombiaCompraEficiente</w:t>
      </w:r>
      <w:proofErr w:type="spellEnd"/>
    </w:p>
    <w:p w14:paraId="3DF6709C" w14:textId="77777777" w:rsidR="00457F70" w:rsidRPr="0011467B" w:rsidRDefault="00457F70" w:rsidP="00457F70">
      <w:pPr>
        <w:spacing w:after="0" w:line="240" w:lineRule="auto"/>
        <w:jc w:val="both"/>
        <w:rPr>
          <w:rFonts w:ascii="Verdana" w:hAnsi="Verdana"/>
        </w:rPr>
      </w:pPr>
      <w:r w:rsidRPr="0011467B">
        <w:rPr>
          <w:rFonts w:ascii="Verdana" w:hAnsi="Verdana"/>
        </w:rPr>
        <w:t xml:space="preserve">LinkedIn: </w:t>
      </w:r>
      <w:r w:rsidRPr="0011467B">
        <w:rPr>
          <w:rStyle w:val="Hipervnculo"/>
          <w:rFonts w:ascii="Verdana" w:hAnsi="Verdana"/>
          <w:color w:val="4472C4" w:themeColor="accent1"/>
        </w:rPr>
        <w:t>Agencia Nacional de Contratación Pública - Colombia Compra Eficiente</w:t>
      </w:r>
      <w:r w:rsidRPr="0011467B">
        <w:rPr>
          <w:rFonts w:ascii="Verdana" w:hAnsi="Verdana"/>
          <w:color w:val="4472C4" w:themeColor="accent1"/>
        </w:rPr>
        <w:t xml:space="preserve"> </w:t>
      </w:r>
      <w:r w:rsidRPr="0011467B">
        <w:rPr>
          <w:rFonts w:ascii="Verdana" w:hAnsi="Verdana"/>
        </w:rPr>
        <w:t xml:space="preserve">Instagram: </w:t>
      </w:r>
      <w:r w:rsidRPr="0011467B">
        <w:rPr>
          <w:rStyle w:val="Hipervnculo"/>
          <w:rFonts w:ascii="Verdana" w:hAnsi="Verdana"/>
          <w:color w:val="4472C4" w:themeColor="accent1"/>
        </w:rPr>
        <w:t>@colombiacompraeficiente_cce</w:t>
      </w:r>
    </w:p>
    <w:p w14:paraId="324AF0F5" w14:textId="77777777" w:rsidR="00457F70" w:rsidRPr="0011467B" w:rsidRDefault="00457F70" w:rsidP="00457F70">
      <w:pPr>
        <w:spacing w:after="120" w:line="276" w:lineRule="auto"/>
        <w:jc w:val="both"/>
        <w:rPr>
          <w:rFonts w:ascii="Verdana" w:hAnsi="Verdana" w:cs="Arial"/>
          <w:lang w:val="es-ES"/>
        </w:rPr>
      </w:pPr>
    </w:p>
    <w:p w14:paraId="000AAA25" w14:textId="77777777" w:rsidR="00457F70" w:rsidRPr="0011467B" w:rsidRDefault="00457F70" w:rsidP="00457F70">
      <w:pPr>
        <w:spacing w:after="120" w:line="276" w:lineRule="auto"/>
        <w:jc w:val="both"/>
        <w:rPr>
          <w:rFonts w:ascii="Verdana" w:hAnsi="Verdana" w:cs="Arial"/>
          <w:color w:val="000000" w:themeColor="text1"/>
          <w:lang w:val="es-ES_tradnl"/>
        </w:rPr>
      </w:pPr>
      <w:r w:rsidRPr="0011467B">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342DF754" w14:textId="77777777" w:rsidR="00457F70" w:rsidRPr="0011467B" w:rsidRDefault="00457F70" w:rsidP="00457F70">
      <w:pPr>
        <w:spacing w:after="120" w:line="276" w:lineRule="auto"/>
        <w:jc w:val="both"/>
        <w:rPr>
          <w:rFonts w:ascii="Verdana" w:eastAsia="Times New Roman" w:hAnsi="Verdana" w:cs="Arial"/>
          <w:i/>
          <w:lang w:val="es-ES" w:eastAsia="es-ES"/>
        </w:rPr>
      </w:pPr>
    </w:p>
    <w:p w14:paraId="62761999" w14:textId="77777777" w:rsidR="00457F70" w:rsidRPr="0011467B" w:rsidRDefault="00457F70" w:rsidP="00457F70">
      <w:pPr>
        <w:spacing w:after="0" w:line="240" w:lineRule="auto"/>
        <w:rPr>
          <w:rFonts w:ascii="Verdana" w:eastAsia="Times New Roman" w:hAnsi="Verdana" w:cs="Arial"/>
          <w:lang w:eastAsia="es-CO"/>
        </w:rPr>
      </w:pPr>
      <w:r w:rsidRPr="0011467B">
        <w:rPr>
          <w:rFonts w:ascii="Verdana" w:eastAsia="Times New Roman" w:hAnsi="Verdana" w:cs="Arial"/>
          <w:lang w:eastAsia="es-CO"/>
        </w:rPr>
        <w:t>Atentamente,</w:t>
      </w:r>
    </w:p>
    <w:p w14:paraId="67C0E004" w14:textId="77777777" w:rsidR="00457F70" w:rsidRPr="0011467B" w:rsidRDefault="00457F70" w:rsidP="00457F70">
      <w:pPr>
        <w:spacing w:after="0" w:line="276" w:lineRule="auto"/>
        <w:jc w:val="center"/>
        <w:rPr>
          <w:rFonts w:ascii="Verdana" w:eastAsia="Times New Roman" w:hAnsi="Verdana" w:cs="Arial"/>
          <w:color w:val="000000"/>
          <w:lang w:val="es-ES_tradnl" w:eastAsia="es-CO"/>
        </w:rPr>
      </w:pPr>
    </w:p>
    <w:p w14:paraId="6D5EE6B2" w14:textId="5509791E" w:rsidR="00457F70" w:rsidRPr="0011467B" w:rsidRDefault="00921CAE" w:rsidP="00457F70">
      <w:pPr>
        <w:spacing w:after="0" w:line="276" w:lineRule="auto"/>
        <w:jc w:val="center"/>
        <w:rPr>
          <w:rFonts w:ascii="Verdana" w:eastAsia="Times New Roman" w:hAnsi="Verdana" w:cs="Arial"/>
          <w:color w:val="000000"/>
          <w:lang w:val="es-ES_tradnl" w:eastAsia="es-CO"/>
        </w:rPr>
      </w:pPr>
      <w:bookmarkStart w:id="2" w:name="_Hlk184289275"/>
      <w:r w:rsidRPr="004D5C25">
        <w:rPr>
          <w:rFonts w:ascii="Century Gothic" w:hAnsi="Century Gothic"/>
          <w:noProof/>
        </w:rPr>
        <w:drawing>
          <wp:inline distT="0" distB="0" distL="0" distR="0" wp14:anchorId="46412862" wp14:editId="4CB70EE4">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9"/>
                    <a:stretch>
                      <a:fillRect/>
                    </a:stretch>
                  </pic:blipFill>
                  <pic:spPr>
                    <a:xfrm>
                      <a:off x="0" y="0"/>
                      <a:ext cx="3705742" cy="1590897"/>
                    </a:xfrm>
                    <a:prstGeom prst="rect">
                      <a:avLst/>
                    </a:prstGeom>
                  </pic:spPr>
                </pic:pic>
              </a:graphicData>
            </a:graphic>
          </wp:inline>
        </w:drawing>
      </w:r>
    </w:p>
    <w:p w14:paraId="6CC5346C" w14:textId="77777777" w:rsidR="00457F70" w:rsidRPr="0011467B" w:rsidRDefault="00457F70" w:rsidP="00457F70">
      <w:pPr>
        <w:spacing w:after="0" w:line="276" w:lineRule="auto"/>
        <w:jc w:val="center"/>
        <w:rPr>
          <w:rFonts w:ascii="Verdana" w:eastAsia="Times New Roman" w:hAnsi="Verdana" w:cs="Arial"/>
          <w:color w:val="000000"/>
          <w:sz w:val="18"/>
          <w:szCs w:val="18"/>
          <w:lang w:val="es-ES" w:eastAsia="es-CO"/>
        </w:rPr>
      </w:pPr>
    </w:p>
    <w:tbl>
      <w:tblPr>
        <w:tblW w:w="64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3"/>
        <w:gridCol w:w="5525"/>
      </w:tblGrid>
      <w:tr w:rsidR="00457F70" w:rsidRPr="008F3D03" w14:paraId="1A53104D" w14:textId="77777777" w:rsidTr="00D17B55">
        <w:trPr>
          <w:trHeight w:val="409"/>
        </w:trPr>
        <w:tc>
          <w:tcPr>
            <w:tcW w:w="913" w:type="dxa"/>
            <w:tcBorders>
              <w:top w:val="nil"/>
              <w:left w:val="nil"/>
              <w:bottom w:val="nil"/>
              <w:right w:val="nil"/>
            </w:tcBorders>
            <w:vAlign w:val="center"/>
            <w:hideMark/>
          </w:tcPr>
          <w:p w14:paraId="6478F384" w14:textId="77777777" w:rsidR="00457F70" w:rsidRPr="008F3D03" w:rsidRDefault="00457F70" w:rsidP="00D17B55">
            <w:pPr>
              <w:pStyle w:val="Sinespaciado"/>
              <w:rPr>
                <w:rFonts w:ascii="Verdana" w:hAnsi="Verdana"/>
                <w:sz w:val="16"/>
                <w:szCs w:val="16"/>
              </w:rPr>
            </w:pPr>
            <w:r w:rsidRPr="008F3D03">
              <w:rPr>
                <w:rFonts w:ascii="Verdana" w:hAnsi="Verdana"/>
                <w:sz w:val="16"/>
                <w:szCs w:val="16"/>
              </w:rPr>
              <w:t>Elaboró: </w:t>
            </w:r>
          </w:p>
        </w:tc>
        <w:tc>
          <w:tcPr>
            <w:tcW w:w="5525" w:type="dxa"/>
            <w:tcBorders>
              <w:top w:val="nil"/>
              <w:left w:val="nil"/>
              <w:bottom w:val="dotted" w:sz="6" w:space="0" w:color="7F7F7F" w:themeColor="text1" w:themeTint="80"/>
              <w:right w:val="nil"/>
            </w:tcBorders>
            <w:vAlign w:val="center"/>
            <w:hideMark/>
          </w:tcPr>
          <w:p w14:paraId="0F22F888" w14:textId="77777777" w:rsidR="00457F70" w:rsidRPr="008F3D03" w:rsidRDefault="00457F70" w:rsidP="00D17B55">
            <w:pPr>
              <w:pStyle w:val="Sinespaciado"/>
              <w:rPr>
                <w:rFonts w:ascii="Verdana" w:hAnsi="Verdana"/>
                <w:sz w:val="16"/>
                <w:szCs w:val="16"/>
              </w:rPr>
            </w:pPr>
            <w:r w:rsidRPr="008F3D03">
              <w:rPr>
                <w:rFonts w:ascii="Verdana" w:hAnsi="Verdana"/>
                <w:sz w:val="16"/>
                <w:szCs w:val="16"/>
              </w:rPr>
              <w:t>Keila Margarita Reyes Cassiani</w:t>
            </w:r>
          </w:p>
          <w:p w14:paraId="4BA52A42" w14:textId="77777777" w:rsidR="00457F70" w:rsidRPr="008F3D03" w:rsidRDefault="00457F70" w:rsidP="00D17B55">
            <w:pPr>
              <w:pStyle w:val="Sinespaciado"/>
              <w:rPr>
                <w:rFonts w:ascii="Verdana" w:hAnsi="Verdana"/>
                <w:sz w:val="16"/>
                <w:szCs w:val="16"/>
              </w:rPr>
            </w:pPr>
            <w:r w:rsidRPr="008F3D03">
              <w:rPr>
                <w:rFonts w:ascii="Verdana" w:hAnsi="Verdana"/>
                <w:sz w:val="16"/>
                <w:szCs w:val="16"/>
              </w:rPr>
              <w:t>Contratista de la Subdirección de Gestión Contractual</w:t>
            </w:r>
          </w:p>
        </w:tc>
      </w:tr>
      <w:tr w:rsidR="00457F70" w:rsidRPr="008F3D03" w14:paraId="2FE03474" w14:textId="77777777" w:rsidTr="00D17B55">
        <w:trPr>
          <w:trHeight w:val="409"/>
        </w:trPr>
        <w:tc>
          <w:tcPr>
            <w:tcW w:w="913" w:type="dxa"/>
            <w:tcBorders>
              <w:top w:val="nil"/>
              <w:left w:val="nil"/>
              <w:right w:val="nil"/>
            </w:tcBorders>
            <w:vAlign w:val="center"/>
          </w:tcPr>
          <w:p w14:paraId="7FA52A24" w14:textId="77777777" w:rsidR="00457F70" w:rsidRPr="008F3D03" w:rsidRDefault="00457F70" w:rsidP="00D17B55">
            <w:pPr>
              <w:pStyle w:val="Sinespaciado"/>
              <w:rPr>
                <w:rFonts w:ascii="Verdana" w:hAnsi="Verdana"/>
                <w:sz w:val="16"/>
                <w:szCs w:val="16"/>
              </w:rPr>
            </w:pPr>
            <w:r w:rsidRPr="008F3D03">
              <w:rPr>
                <w:rFonts w:ascii="Verdana" w:hAnsi="Verdana"/>
                <w:sz w:val="16"/>
                <w:szCs w:val="16"/>
              </w:rPr>
              <w:t>Revisó</w:t>
            </w:r>
          </w:p>
        </w:tc>
        <w:tc>
          <w:tcPr>
            <w:tcW w:w="5525" w:type="dxa"/>
            <w:tcBorders>
              <w:top w:val="dotted" w:sz="6" w:space="0" w:color="7F7F7F" w:themeColor="text1" w:themeTint="80"/>
              <w:left w:val="nil"/>
              <w:bottom w:val="dotted" w:sz="6" w:space="0" w:color="7F7F7F" w:themeColor="text1" w:themeTint="80"/>
              <w:right w:val="nil"/>
            </w:tcBorders>
            <w:vAlign w:val="center"/>
          </w:tcPr>
          <w:p w14:paraId="7E4EB4EA" w14:textId="77777777" w:rsidR="00457F70" w:rsidRPr="00B23D30" w:rsidRDefault="00457F70" w:rsidP="00D17B55">
            <w:pPr>
              <w:pStyle w:val="paragraph"/>
              <w:spacing w:before="0" w:beforeAutospacing="0" w:after="0" w:afterAutospacing="0"/>
              <w:contextualSpacing/>
              <w:textAlignment w:val="baseline"/>
              <w:rPr>
                <w:rFonts w:ascii="Verdana" w:hAnsi="Verdana" w:cs="Segoe UI"/>
                <w:color w:val="000000" w:themeColor="text1"/>
                <w:sz w:val="16"/>
                <w:szCs w:val="16"/>
              </w:rPr>
            </w:pPr>
            <w:r>
              <w:rPr>
                <w:rFonts w:ascii="Verdana" w:hAnsi="Verdana" w:cs="Segoe UI"/>
                <w:sz w:val="16"/>
                <w:szCs w:val="16"/>
              </w:rPr>
              <w:t xml:space="preserve">Cielo Victoria González </w:t>
            </w:r>
            <w:r w:rsidRPr="00B23D30">
              <w:rPr>
                <w:rFonts w:ascii="Verdana" w:hAnsi="Verdana" w:cs="Segoe UI"/>
                <w:sz w:val="16"/>
                <w:szCs w:val="16"/>
              </w:rPr>
              <w:t xml:space="preserve"> </w:t>
            </w:r>
          </w:p>
          <w:p w14:paraId="2C7F6F5E" w14:textId="77777777" w:rsidR="00457F70" w:rsidRPr="008F3D03" w:rsidRDefault="00457F70" w:rsidP="00D17B55">
            <w:pPr>
              <w:pStyle w:val="Sinespaciado"/>
              <w:rPr>
                <w:rFonts w:ascii="Verdana" w:hAnsi="Verdana"/>
                <w:sz w:val="16"/>
                <w:szCs w:val="16"/>
              </w:rPr>
            </w:pPr>
            <w:r w:rsidRPr="008F3D03">
              <w:rPr>
                <w:rStyle w:val="normaltextrun"/>
                <w:rFonts w:ascii="Verdana" w:eastAsia="Arial" w:hAnsi="Verdana" w:cs="Arial"/>
                <w:color w:val="000000" w:themeColor="text1"/>
                <w:sz w:val="16"/>
                <w:szCs w:val="16"/>
              </w:rPr>
              <w:t>C</w:t>
            </w:r>
            <w:r w:rsidRPr="008F3D03">
              <w:rPr>
                <w:rStyle w:val="normaltextrun"/>
                <w:rFonts w:ascii="Verdana" w:eastAsia="Arial" w:hAnsi="Verdana"/>
                <w:color w:val="000000" w:themeColor="text1"/>
                <w:sz w:val="16"/>
                <w:szCs w:val="16"/>
              </w:rPr>
              <w:t xml:space="preserve">ontratista </w:t>
            </w:r>
            <w:r w:rsidRPr="008F3D03">
              <w:rPr>
                <w:rStyle w:val="normaltextrun"/>
                <w:rFonts w:ascii="Verdana" w:eastAsia="Arial" w:hAnsi="Verdana" w:cs="Arial"/>
                <w:color w:val="000000" w:themeColor="text1"/>
                <w:sz w:val="16"/>
                <w:szCs w:val="16"/>
              </w:rPr>
              <w:t>de la Subdirección de Gestión Contractual</w:t>
            </w:r>
          </w:p>
        </w:tc>
      </w:tr>
      <w:tr w:rsidR="00457F70" w:rsidRPr="008F3D03" w14:paraId="019B94AB" w14:textId="77777777" w:rsidTr="00D17B55">
        <w:trPr>
          <w:trHeight w:val="389"/>
        </w:trPr>
        <w:tc>
          <w:tcPr>
            <w:tcW w:w="913" w:type="dxa"/>
            <w:tcBorders>
              <w:top w:val="nil"/>
              <w:left w:val="nil"/>
              <w:bottom w:val="nil"/>
              <w:right w:val="nil"/>
            </w:tcBorders>
            <w:vAlign w:val="center"/>
            <w:hideMark/>
          </w:tcPr>
          <w:p w14:paraId="47490EAC" w14:textId="77777777" w:rsidR="00457F70" w:rsidRPr="008F3D03" w:rsidRDefault="00457F70" w:rsidP="00D17B55">
            <w:pPr>
              <w:pStyle w:val="Sinespaciado"/>
              <w:rPr>
                <w:rFonts w:ascii="Verdana" w:hAnsi="Verdana"/>
                <w:sz w:val="16"/>
                <w:szCs w:val="16"/>
              </w:rPr>
            </w:pPr>
            <w:r w:rsidRPr="008F3D03">
              <w:rPr>
                <w:rFonts w:ascii="Verdana" w:hAnsi="Verdana"/>
                <w:sz w:val="16"/>
                <w:szCs w:val="16"/>
              </w:rPr>
              <w:t>Aprobó: </w:t>
            </w:r>
          </w:p>
        </w:tc>
        <w:tc>
          <w:tcPr>
            <w:tcW w:w="5525" w:type="dxa"/>
            <w:tcBorders>
              <w:top w:val="dotted" w:sz="6" w:space="0" w:color="7F7F7F" w:themeColor="text1" w:themeTint="80"/>
              <w:left w:val="nil"/>
              <w:bottom w:val="dotted" w:sz="6" w:space="0" w:color="7F7F7F" w:themeColor="text1" w:themeTint="80"/>
              <w:right w:val="nil"/>
            </w:tcBorders>
            <w:vAlign w:val="center"/>
            <w:hideMark/>
          </w:tcPr>
          <w:p w14:paraId="58C4AFBB" w14:textId="77777777" w:rsidR="00457F70" w:rsidRPr="008F3D03" w:rsidRDefault="00457F70" w:rsidP="00D17B55">
            <w:pPr>
              <w:pStyle w:val="Sinespaciado"/>
              <w:rPr>
                <w:rFonts w:ascii="Verdana" w:eastAsia="Calibri" w:hAnsi="Verdana"/>
                <w:sz w:val="16"/>
                <w:szCs w:val="16"/>
                <w:lang w:val="pt-BR" w:eastAsia="es-ES"/>
              </w:rPr>
            </w:pPr>
            <w:r w:rsidRPr="008F3D03">
              <w:rPr>
                <w:rFonts w:ascii="Verdana" w:eastAsia="Calibri" w:hAnsi="Verdana"/>
                <w:sz w:val="16"/>
                <w:szCs w:val="16"/>
                <w:lang w:val="pt-BR" w:eastAsia="es-ES"/>
              </w:rPr>
              <w:t xml:space="preserve">Carolina Quintero </w:t>
            </w:r>
            <w:proofErr w:type="spellStart"/>
            <w:r w:rsidRPr="008F3D03">
              <w:rPr>
                <w:rFonts w:ascii="Verdana" w:eastAsia="Calibri" w:hAnsi="Verdana"/>
                <w:sz w:val="16"/>
                <w:szCs w:val="16"/>
                <w:lang w:val="pt-BR" w:eastAsia="es-ES"/>
              </w:rPr>
              <w:t>Gacharná</w:t>
            </w:r>
            <w:proofErr w:type="spellEnd"/>
          </w:p>
          <w:p w14:paraId="0C966B35" w14:textId="77777777" w:rsidR="00457F70" w:rsidRPr="008F3D03" w:rsidRDefault="00457F70" w:rsidP="00D17B55">
            <w:pPr>
              <w:pStyle w:val="Sinespaciado"/>
              <w:rPr>
                <w:rFonts w:ascii="Verdana" w:hAnsi="Verdana"/>
                <w:sz w:val="16"/>
                <w:szCs w:val="16"/>
              </w:rPr>
            </w:pPr>
            <w:r w:rsidRPr="008F3D03">
              <w:rPr>
                <w:rFonts w:ascii="Verdana" w:hAnsi="Verdana"/>
                <w:sz w:val="16"/>
                <w:szCs w:val="16"/>
              </w:rPr>
              <w:t>Subdirectora de Gestión Contractual ANCP – CCE</w:t>
            </w:r>
          </w:p>
        </w:tc>
      </w:tr>
      <w:bookmarkEnd w:id="2"/>
    </w:tbl>
    <w:p w14:paraId="48A31161" w14:textId="77777777" w:rsidR="00457F70" w:rsidRDefault="00457F70" w:rsidP="00457F70">
      <w:pPr>
        <w:spacing w:after="0" w:line="240" w:lineRule="auto"/>
        <w:textAlignment w:val="baseline"/>
        <w:rPr>
          <w:rFonts w:ascii="Verdana" w:eastAsia="Times New Roman" w:hAnsi="Verdana" w:cs="Segoe UI"/>
          <w:sz w:val="18"/>
          <w:szCs w:val="18"/>
          <w:lang w:eastAsia="es-CO"/>
        </w:rPr>
      </w:pPr>
    </w:p>
    <w:p w14:paraId="32DE84FD" w14:textId="77777777" w:rsidR="00457F70" w:rsidRDefault="00457F70" w:rsidP="00457F70">
      <w:pPr>
        <w:spacing w:after="0" w:line="240" w:lineRule="auto"/>
        <w:textAlignment w:val="baseline"/>
        <w:rPr>
          <w:rFonts w:ascii="Verdana" w:eastAsia="Times New Roman" w:hAnsi="Verdana" w:cs="Segoe UI"/>
          <w:sz w:val="18"/>
          <w:szCs w:val="18"/>
          <w:lang w:eastAsia="es-CO"/>
        </w:rPr>
      </w:pPr>
    </w:p>
    <w:p w14:paraId="1DA0BF8B" w14:textId="77777777" w:rsidR="00457F70" w:rsidRDefault="00457F70" w:rsidP="00457F70">
      <w:pPr>
        <w:spacing w:after="0" w:line="240" w:lineRule="auto"/>
        <w:textAlignment w:val="baseline"/>
        <w:rPr>
          <w:rFonts w:ascii="Verdana" w:eastAsia="Times New Roman" w:hAnsi="Verdana" w:cs="Segoe UI"/>
          <w:sz w:val="18"/>
          <w:szCs w:val="18"/>
          <w:lang w:eastAsia="es-CO"/>
        </w:rPr>
      </w:pPr>
    </w:p>
    <w:p w14:paraId="3AE104F9" w14:textId="77777777" w:rsidR="00457F70" w:rsidRDefault="00457F70" w:rsidP="00457F70">
      <w:pPr>
        <w:spacing w:after="0" w:line="240" w:lineRule="auto"/>
        <w:textAlignment w:val="baseline"/>
        <w:rPr>
          <w:rFonts w:ascii="Verdana" w:eastAsia="Times New Roman" w:hAnsi="Verdana" w:cs="Segoe UI"/>
          <w:sz w:val="18"/>
          <w:szCs w:val="18"/>
          <w:lang w:eastAsia="es-CO"/>
        </w:rPr>
      </w:pPr>
    </w:p>
    <w:p w14:paraId="65889740" w14:textId="77777777" w:rsidR="00457F70" w:rsidRDefault="00457F70" w:rsidP="00457F70">
      <w:pPr>
        <w:spacing w:after="0" w:line="240" w:lineRule="auto"/>
        <w:textAlignment w:val="baseline"/>
        <w:rPr>
          <w:rFonts w:ascii="Verdana" w:eastAsia="Times New Roman" w:hAnsi="Verdana" w:cs="Segoe UI"/>
          <w:sz w:val="18"/>
          <w:szCs w:val="18"/>
          <w:lang w:eastAsia="es-CO"/>
        </w:rPr>
      </w:pPr>
    </w:p>
    <w:p w14:paraId="441F6770" w14:textId="77777777" w:rsidR="00457F70" w:rsidRDefault="00457F70" w:rsidP="00457F70">
      <w:pPr>
        <w:spacing w:after="0" w:line="240" w:lineRule="auto"/>
        <w:textAlignment w:val="baseline"/>
        <w:rPr>
          <w:rFonts w:ascii="Verdana" w:eastAsia="Times New Roman" w:hAnsi="Verdana" w:cs="Segoe UI"/>
          <w:sz w:val="18"/>
          <w:szCs w:val="18"/>
          <w:lang w:eastAsia="es-CO"/>
        </w:rPr>
      </w:pPr>
    </w:p>
    <w:p w14:paraId="03D010D4" w14:textId="77777777" w:rsidR="00457F70" w:rsidRDefault="00457F70" w:rsidP="00457F70">
      <w:pPr>
        <w:spacing w:after="0" w:line="240" w:lineRule="auto"/>
        <w:textAlignment w:val="baseline"/>
        <w:rPr>
          <w:rFonts w:ascii="Verdana" w:eastAsia="Times New Roman" w:hAnsi="Verdana" w:cs="Segoe UI"/>
          <w:sz w:val="18"/>
          <w:szCs w:val="18"/>
          <w:lang w:eastAsia="es-CO"/>
        </w:rPr>
      </w:pPr>
    </w:p>
    <w:p w14:paraId="60224006" w14:textId="77777777" w:rsidR="00457F70" w:rsidRDefault="00457F70" w:rsidP="00457F70">
      <w:pPr>
        <w:spacing w:after="0" w:line="240" w:lineRule="auto"/>
        <w:textAlignment w:val="baseline"/>
        <w:rPr>
          <w:rFonts w:ascii="Verdana" w:eastAsia="Times New Roman" w:hAnsi="Verdana" w:cs="Segoe UI"/>
          <w:sz w:val="18"/>
          <w:szCs w:val="18"/>
          <w:lang w:eastAsia="es-CO"/>
        </w:rPr>
      </w:pPr>
    </w:p>
    <w:p w14:paraId="1CFF0A10" w14:textId="77777777" w:rsidR="00457F70" w:rsidRDefault="00457F70" w:rsidP="00457F70">
      <w:pPr>
        <w:spacing w:after="0" w:line="240" w:lineRule="auto"/>
        <w:textAlignment w:val="baseline"/>
        <w:rPr>
          <w:rFonts w:ascii="Verdana" w:eastAsia="Times New Roman" w:hAnsi="Verdana" w:cs="Segoe UI"/>
          <w:sz w:val="18"/>
          <w:szCs w:val="18"/>
          <w:lang w:eastAsia="es-CO"/>
        </w:rPr>
      </w:pPr>
    </w:p>
    <w:bookmarkEnd w:id="0"/>
    <w:p w14:paraId="0465BA6D" w14:textId="2E4E1997" w:rsidR="00E245AB" w:rsidRPr="008F5714" w:rsidRDefault="00E245AB" w:rsidP="008F5714">
      <w:pPr>
        <w:spacing w:after="0" w:line="240" w:lineRule="auto"/>
        <w:jc w:val="both"/>
        <w:textAlignment w:val="baseline"/>
        <w:rPr>
          <w:rFonts w:ascii="Verdana" w:eastAsia="Times New Roman" w:hAnsi="Verdana" w:cs="Segoe UI"/>
          <w:sz w:val="18"/>
          <w:szCs w:val="18"/>
          <w:lang w:eastAsia="es-CO"/>
        </w:rPr>
      </w:pPr>
    </w:p>
    <w:sectPr w:rsidR="00E245AB" w:rsidRPr="008F5714" w:rsidSect="007C0C0F">
      <w:headerReference w:type="default" r:id="rId20"/>
      <w:footerReference w:type="default" r:id="rId2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574A4" w14:textId="77777777" w:rsidR="00CD1194" w:rsidRDefault="00CD1194" w:rsidP="004A1847">
      <w:pPr>
        <w:spacing w:after="0" w:line="240" w:lineRule="auto"/>
      </w:pPr>
      <w:r>
        <w:separator/>
      </w:r>
    </w:p>
  </w:endnote>
  <w:endnote w:type="continuationSeparator" w:id="0">
    <w:p w14:paraId="12F49953" w14:textId="77777777" w:rsidR="00CD1194" w:rsidRDefault="00CD1194" w:rsidP="004A1847">
      <w:pPr>
        <w:spacing w:after="0" w:line="240" w:lineRule="auto"/>
      </w:pPr>
      <w:r>
        <w:continuationSeparator/>
      </w:r>
    </w:p>
  </w:endnote>
  <w:endnote w:type="continuationNotice" w:id="1">
    <w:p w14:paraId="4AD33D2C" w14:textId="77777777" w:rsidR="00CD1194" w:rsidRDefault="00CD11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C579E" w14:textId="77777777" w:rsidR="00CD1194" w:rsidRDefault="00CD1194" w:rsidP="004A1847">
      <w:pPr>
        <w:spacing w:after="0" w:line="240" w:lineRule="auto"/>
      </w:pPr>
      <w:r>
        <w:separator/>
      </w:r>
    </w:p>
  </w:footnote>
  <w:footnote w:type="continuationSeparator" w:id="0">
    <w:p w14:paraId="2C6F88BD" w14:textId="77777777" w:rsidR="00CD1194" w:rsidRDefault="00CD1194" w:rsidP="004A1847">
      <w:pPr>
        <w:spacing w:after="0" w:line="240" w:lineRule="auto"/>
      </w:pPr>
      <w:r>
        <w:continuationSeparator/>
      </w:r>
    </w:p>
  </w:footnote>
  <w:footnote w:type="continuationNotice" w:id="1">
    <w:p w14:paraId="444CB593" w14:textId="77777777" w:rsidR="00CD1194" w:rsidRDefault="00CD1194">
      <w:pPr>
        <w:spacing w:after="0" w:line="240" w:lineRule="auto"/>
      </w:pPr>
    </w:p>
  </w:footnote>
  <w:footnote w:id="2">
    <w:p w14:paraId="1FBD16FB" w14:textId="77777777" w:rsidR="00457F70" w:rsidRPr="00B00EEC" w:rsidRDefault="00457F70" w:rsidP="00457F70">
      <w:pPr>
        <w:pStyle w:val="Textonotapie"/>
        <w:rPr>
          <w:rFonts w:ascii="Verdana" w:hAnsi="Verdana"/>
          <w:sz w:val="18"/>
          <w:szCs w:val="18"/>
          <w:lang w:val="es-CO"/>
        </w:rPr>
      </w:pPr>
      <w:r w:rsidRPr="00B00EEC">
        <w:rPr>
          <w:rStyle w:val="Refdenotaalpie"/>
          <w:rFonts w:ascii="Verdana" w:hAnsi="Verdana"/>
          <w:sz w:val="18"/>
          <w:szCs w:val="18"/>
        </w:rPr>
        <w:footnoteRef/>
      </w:r>
      <w:r w:rsidRPr="00B00EEC">
        <w:rPr>
          <w:rFonts w:ascii="Verdana" w:hAnsi="Verdana"/>
          <w:sz w:val="18"/>
          <w:szCs w:val="18"/>
        </w:rPr>
        <w:t xml:space="preserve"> </w:t>
      </w:r>
      <w:r w:rsidRPr="00B00EEC">
        <w:rPr>
          <w:rFonts w:ascii="Verdana" w:hAnsi="Verdana"/>
          <w:sz w:val="18"/>
          <w:szCs w:val="18"/>
          <w:lang w:val="es-CO"/>
        </w:rPr>
        <w:t>Agencia Nacional de Contratación Pública – Colombia Compra Eficiente. Concepto C-560 del 7 de septiembre de 2022.</w:t>
      </w:r>
    </w:p>
  </w:footnote>
  <w:footnote w:id="3">
    <w:p w14:paraId="34274FB6" w14:textId="77777777" w:rsidR="00457F70" w:rsidRPr="00B00EEC" w:rsidRDefault="00457F70" w:rsidP="00457F70">
      <w:pPr>
        <w:pStyle w:val="Textonotapie"/>
        <w:rPr>
          <w:rFonts w:ascii="Verdana" w:hAnsi="Verdana"/>
          <w:sz w:val="18"/>
          <w:szCs w:val="18"/>
          <w:lang w:val="es-ES"/>
        </w:rPr>
      </w:pPr>
      <w:r w:rsidRPr="00B00EEC">
        <w:rPr>
          <w:rStyle w:val="Refdenotaalpie"/>
          <w:rFonts w:ascii="Verdana" w:hAnsi="Verdana"/>
          <w:sz w:val="18"/>
          <w:szCs w:val="18"/>
        </w:rPr>
        <w:footnoteRef/>
      </w:r>
      <w:r w:rsidRPr="00B00EEC">
        <w:rPr>
          <w:rFonts w:ascii="Verdana" w:hAnsi="Verdana"/>
          <w:sz w:val="18"/>
          <w:szCs w:val="18"/>
        </w:rPr>
        <w:t xml:space="preserve"> Ibidem.</w:t>
      </w:r>
    </w:p>
  </w:footnote>
  <w:footnote w:id="4">
    <w:p w14:paraId="6329B941" w14:textId="77777777" w:rsidR="00457F70" w:rsidRPr="00665A6A" w:rsidRDefault="00457F70" w:rsidP="00457F70">
      <w:pPr>
        <w:pStyle w:val="Textonotapie"/>
        <w:rPr>
          <w:lang w:val="es-ES"/>
        </w:rPr>
      </w:pPr>
      <w:r w:rsidRPr="00B00EEC">
        <w:rPr>
          <w:rStyle w:val="Refdenotaalpie"/>
          <w:rFonts w:ascii="Verdana" w:hAnsi="Verdana"/>
          <w:sz w:val="18"/>
          <w:szCs w:val="18"/>
        </w:rPr>
        <w:footnoteRef/>
      </w:r>
      <w:r w:rsidRPr="00B00EEC">
        <w:rPr>
          <w:rFonts w:ascii="Verdana" w:hAnsi="Verdana"/>
          <w:sz w:val="18"/>
          <w:szCs w:val="18"/>
        </w:rPr>
        <w:t xml:space="preserve"> </w:t>
      </w:r>
      <w:r w:rsidRPr="00B00EEC">
        <w:rPr>
          <w:rFonts w:ascii="Verdana" w:hAnsi="Verdana"/>
          <w:sz w:val="18"/>
          <w:szCs w:val="18"/>
          <w:lang w:val="es-ES"/>
        </w:rPr>
        <w:t>Ibidem</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35pt;height:11.3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520020"/>
    <w:multiLevelType w:val="hybridMultilevel"/>
    <w:tmpl w:val="FFFFFFFF"/>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5716355"/>
    <w:multiLevelType w:val="multilevel"/>
    <w:tmpl w:val="1EAA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4"/>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4"/>
  </w:num>
  <w:num w:numId="6" w16cid:durableId="316692925">
    <w:abstractNumId w:val="15"/>
  </w:num>
  <w:num w:numId="7" w16cid:durableId="1946422806">
    <w:abstractNumId w:val="7"/>
  </w:num>
  <w:num w:numId="8" w16cid:durableId="152644682">
    <w:abstractNumId w:val="14"/>
  </w:num>
  <w:num w:numId="9" w16cid:durableId="1317221377">
    <w:abstractNumId w:val="9"/>
  </w:num>
  <w:num w:numId="10" w16cid:durableId="1471245386">
    <w:abstractNumId w:val="13"/>
  </w:num>
  <w:num w:numId="11" w16cid:durableId="289172385">
    <w:abstractNumId w:val="10"/>
  </w:num>
  <w:num w:numId="12" w16cid:durableId="1470781324">
    <w:abstractNumId w:val="1"/>
  </w:num>
  <w:num w:numId="13" w16cid:durableId="1512908409">
    <w:abstractNumId w:val="5"/>
  </w:num>
  <w:num w:numId="14" w16cid:durableId="895897244">
    <w:abstractNumId w:val="16"/>
  </w:num>
  <w:num w:numId="15" w16cid:durableId="390349800">
    <w:abstractNumId w:val="12"/>
  </w:num>
  <w:num w:numId="16" w16cid:durableId="1309475225">
    <w:abstractNumId w:val="0"/>
  </w:num>
  <w:num w:numId="17" w16cid:durableId="1920406821">
    <w:abstractNumId w:val="11"/>
  </w:num>
  <w:num w:numId="18" w16cid:durableId="1202746405">
    <w:abstractNumId w:val="2"/>
  </w:num>
  <w:num w:numId="19" w16cid:durableId="712460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71CEE"/>
    <w:rsid w:val="00082362"/>
    <w:rsid w:val="000A683E"/>
    <w:rsid w:val="000B19B9"/>
    <w:rsid w:val="000D0334"/>
    <w:rsid w:val="000F6486"/>
    <w:rsid w:val="001213FA"/>
    <w:rsid w:val="00125105"/>
    <w:rsid w:val="00127233"/>
    <w:rsid w:val="001511A0"/>
    <w:rsid w:val="001E4177"/>
    <w:rsid w:val="001F5BB1"/>
    <w:rsid w:val="001F7DC6"/>
    <w:rsid w:val="002039F2"/>
    <w:rsid w:val="002174EF"/>
    <w:rsid w:val="002421BB"/>
    <w:rsid w:val="0025796E"/>
    <w:rsid w:val="0026606B"/>
    <w:rsid w:val="002707A2"/>
    <w:rsid w:val="002951A0"/>
    <w:rsid w:val="002962BC"/>
    <w:rsid w:val="00297B56"/>
    <w:rsid w:val="002A093D"/>
    <w:rsid w:val="002A0DD0"/>
    <w:rsid w:val="002A49AC"/>
    <w:rsid w:val="002A64FD"/>
    <w:rsid w:val="002C7A84"/>
    <w:rsid w:val="002E4FD9"/>
    <w:rsid w:val="00322A85"/>
    <w:rsid w:val="00324168"/>
    <w:rsid w:val="003448F4"/>
    <w:rsid w:val="00350E51"/>
    <w:rsid w:val="00374F5E"/>
    <w:rsid w:val="00377E3E"/>
    <w:rsid w:val="003A779E"/>
    <w:rsid w:val="003D0F4D"/>
    <w:rsid w:val="003D5B0D"/>
    <w:rsid w:val="003E0499"/>
    <w:rsid w:val="003F3941"/>
    <w:rsid w:val="00406575"/>
    <w:rsid w:val="00414C74"/>
    <w:rsid w:val="0042722E"/>
    <w:rsid w:val="0044528D"/>
    <w:rsid w:val="00457F70"/>
    <w:rsid w:val="004A1847"/>
    <w:rsid w:val="004A305D"/>
    <w:rsid w:val="004F21C4"/>
    <w:rsid w:val="004F685F"/>
    <w:rsid w:val="00526A5A"/>
    <w:rsid w:val="005566E8"/>
    <w:rsid w:val="00574867"/>
    <w:rsid w:val="00591460"/>
    <w:rsid w:val="005A5FB1"/>
    <w:rsid w:val="005B3816"/>
    <w:rsid w:val="005C3777"/>
    <w:rsid w:val="005C5CDC"/>
    <w:rsid w:val="005D476C"/>
    <w:rsid w:val="00612BD4"/>
    <w:rsid w:val="006219F8"/>
    <w:rsid w:val="00665D70"/>
    <w:rsid w:val="006900D9"/>
    <w:rsid w:val="00706C16"/>
    <w:rsid w:val="00756841"/>
    <w:rsid w:val="007649AB"/>
    <w:rsid w:val="00771D0C"/>
    <w:rsid w:val="007833AC"/>
    <w:rsid w:val="007B268C"/>
    <w:rsid w:val="007B7171"/>
    <w:rsid w:val="007C0C0F"/>
    <w:rsid w:val="007C3DC2"/>
    <w:rsid w:val="007E5497"/>
    <w:rsid w:val="00806F5F"/>
    <w:rsid w:val="00820278"/>
    <w:rsid w:val="00867F95"/>
    <w:rsid w:val="008843B6"/>
    <w:rsid w:val="00891928"/>
    <w:rsid w:val="008A446D"/>
    <w:rsid w:val="008D180B"/>
    <w:rsid w:val="008E40FA"/>
    <w:rsid w:val="008E692A"/>
    <w:rsid w:val="008F0EA7"/>
    <w:rsid w:val="008F5714"/>
    <w:rsid w:val="0090536A"/>
    <w:rsid w:val="00921CAE"/>
    <w:rsid w:val="00923EEF"/>
    <w:rsid w:val="009419F9"/>
    <w:rsid w:val="009567F1"/>
    <w:rsid w:val="0095685E"/>
    <w:rsid w:val="00961B09"/>
    <w:rsid w:val="00965334"/>
    <w:rsid w:val="0097093E"/>
    <w:rsid w:val="00976381"/>
    <w:rsid w:val="00986AC5"/>
    <w:rsid w:val="009A0DFA"/>
    <w:rsid w:val="009B2D26"/>
    <w:rsid w:val="009C71FA"/>
    <w:rsid w:val="009C72E7"/>
    <w:rsid w:val="009D3058"/>
    <w:rsid w:val="009E0790"/>
    <w:rsid w:val="009F3A13"/>
    <w:rsid w:val="00A122D3"/>
    <w:rsid w:val="00A17F13"/>
    <w:rsid w:val="00A20739"/>
    <w:rsid w:val="00A33C78"/>
    <w:rsid w:val="00A42684"/>
    <w:rsid w:val="00A91749"/>
    <w:rsid w:val="00AB0ADB"/>
    <w:rsid w:val="00AF7497"/>
    <w:rsid w:val="00B01B1A"/>
    <w:rsid w:val="00B32C55"/>
    <w:rsid w:val="00B66319"/>
    <w:rsid w:val="00B72CD3"/>
    <w:rsid w:val="00B72FFF"/>
    <w:rsid w:val="00BC3D36"/>
    <w:rsid w:val="00BD7F72"/>
    <w:rsid w:val="00C04FB3"/>
    <w:rsid w:val="00C330EB"/>
    <w:rsid w:val="00C41061"/>
    <w:rsid w:val="00C754BE"/>
    <w:rsid w:val="00C76B1C"/>
    <w:rsid w:val="00C979B5"/>
    <w:rsid w:val="00CB6357"/>
    <w:rsid w:val="00CC1B26"/>
    <w:rsid w:val="00CD1194"/>
    <w:rsid w:val="00CE5D49"/>
    <w:rsid w:val="00D423A2"/>
    <w:rsid w:val="00D520D8"/>
    <w:rsid w:val="00D63AC2"/>
    <w:rsid w:val="00D7383B"/>
    <w:rsid w:val="00D870DE"/>
    <w:rsid w:val="00DA231B"/>
    <w:rsid w:val="00DC39FC"/>
    <w:rsid w:val="00DF5254"/>
    <w:rsid w:val="00E16408"/>
    <w:rsid w:val="00E20894"/>
    <w:rsid w:val="00E245AB"/>
    <w:rsid w:val="00E2764C"/>
    <w:rsid w:val="00E27F2E"/>
    <w:rsid w:val="00E50AFE"/>
    <w:rsid w:val="00E75C92"/>
    <w:rsid w:val="00E771DC"/>
    <w:rsid w:val="00E8772A"/>
    <w:rsid w:val="00E90F6B"/>
    <w:rsid w:val="00E92C27"/>
    <w:rsid w:val="00EA0E3D"/>
    <w:rsid w:val="00EC38A7"/>
    <w:rsid w:val="00ED7384"/>
    <w:rsid w:val="00EE1AA8"/>
    <w:rsid w:val="00F31EDC"/>
    <w:rsid w:val="00F462B3"/>
    <w:rsid w:val="00F5664F"/>
    <w:rsid w:val="00F57319"/>
    <w:rsid w:val="00F666C4"/>
    <w:rsid w:val="00F76AFC"/>
    <w:rsid w:val="00F808C3"/>
    <w:rsid w:val="00FA47C0"/>
    <w:rsid w:val="00FB2647"/>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457F70"/>
    <w:rPr>
      <w:rFonts w:ascii="Geomanist Light" w:hAnsi="Geomanist Light"/>
      <w:lang w:val="es-ES"/>
    </w:rPr>
  </w:style>
  <w:style w:type="paragraph" w:styleId="Sinespaciado">
    <w:name w:val="No Spacing"/>
    <w:uiPriority w:val="1"/>
    <w:qFormat/>
    <w:rsid w:val="00457F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relatoria.colombiacompra.gov.co%2F&amp;data=05%7C02%7Cchristian.orjuela%40colombiacompra.gov.co%7C5aad36a736844ec87b2108dcc1fa4639%7C7b09041e245149d08cb179d5e3d8c1be%7C0%7C0%7C638598527916602220%7CUnknown%7CTWFpbGZsb3d8eyJWIjoiMC4wLjAwMDAiLCJQIjoiV2luMzIiLCJBTiI6Ik1haWwiLCJXVCI6Mn0%3D%7C0%7C%7C%7C&amp;sdata=cssoUixS%2FLJ%2FPxxu6YKzw%2BCyaZXzEtuMM2P%2FcEstCfY%3D&amp;reserved=0" TargetMode="External"/><Relationship Id="rId18" Type="http://schemas.openxmlformats.org/officeDocument/2006/relationships/hyperlink" Target="https://nam02.safelinks.protection.outlook.com/?url=https%3A%2F%2Fwww.colombiacompra.gov.co%2Fsala-de-prensa%2Fboletin-digital&amp;data=05%7C02%7Ckeila.reyes%40colombiacompra.gov.co%7C6192b0470d324981a09708dd0a6c28db%7C7b09041e245149d08cb179d5e3d8c1be%7C0%7C0%7C638678181871307332%7CUnknown%7CTWFpbGZsb3d8eyJFbXB0eU1hcGkiOnRydWUsIlYiOiIwLjAuMDAwMCIsIlAiOiJXaW4zMiIsIkFOIjoiTWFpbCIsIldUIjoyfQ%3D%3D%7C0%7C%7C%7C&amp;sdata=WIq7Y7%2FhRTMV3XtpxpNpzvRPXDAR8GNNXZuJxORfqA0%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colombiacompra.gov.co/sites/cce_public/files/cce_documents/cce_guia_esal.pdf" TargetMode="External"/><Relationship Id="rId17" Type="http://schemas.openxmlformats.org/officeDocument/2006/relationships/hyperlink" Target="https://nam02.safelinks.protection.outlook.com/?url=https%3A%2F%2Fwww.sucop.gov.co%2Fentidades%2Fcolombiacompra%2FNormativa%3FIDNorma%3D19201&amp;data=05%7C02%7Ckeila.reyes%40colombiacompra.gov.co%7C6192b0470d324981a09708dd0a6c28db%7C7b09041e245149d08cb179d5e3d8c1be%7C0%7C0%7C638678181871293316%7CUnknown%7CTWFpbGZsb3d8eyJFbXB0eU1hcGkiOnRydWUsIlYiOiIwLjAuMDAwMCIsIlAiOiJXaW4zMiIsIkFOIjoiTWFpbCIsIldUIjoyfQ%3D%3D%7C0%7C%7C%7C&amp;sdata=qkmIAHuBiyaRPKsa1Uj68umOpOQFs%2B%2BdCG%2BRsrOg4sk%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content%2Fconvocatorias&amp;data=05%7C02%7Ckeila.reyes%40colombiacompra.gov.co%7C6192b0470d324981a09708dd0a6c28db%7C7b09041e245149d08cb179d5e3d8c1be%7C0%7C0%7C638678181871275312%7CUnknown%7CTWFpbGZsb3d8eyJFbXB0eU1hcGkiOnRydWUsIlYiOiIwLjAuMDAwMCIsIlAiOiJXaW4zMiIsIkFOIjoiTWFpbCIsIldUIjoyfQ%3D%3D%7C0%7C%7C%7C&amp;sdata=K675DpBjIiWAG331bxUb2sO9idj9aqjXBw8PqEp43OU%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ernandog213@hot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ites%2Fcce_public%2Ffiles%2Fcce_documents%2Fmanual_para_el_manejo_de_acuerdos_comerciales_vf.pdf&amp;data=05%7C02%7Ckeila.reyes%40colombiacompra.gov.co%7C6192b0470d324981a09708dd0a6c28db%7C7b09041e245149d08cb179d5e3d8c1be%7C0%7C0%7C638678181871239903%7CUnknown%7CTWFpbGZsb3d8eyJFbXB0eU1hcGkiOnRydWUsIlYiOiIwLjAuMDAwMCIsIlAiOiJXaW4zMiIsIkFOIjoiTWFpbCIsIldUIjoyfQ%3D%3D%7C0%7C%7C%7C&amp;sdata=OZAFZHsDgUWgUWCoeHvaJXplid2U6p5XrzdNR3c8jno%3D&amp;reserved=0"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sites%2Fcce_public%2Ffiles%2Ffiles_2020%2Fboletin_de_realtoria_iii.pdf&amp;data=05%7C02%7Cchristian.orjuela%40colombiacompra.gov.co%7C5aad36a736844ec87b2108dcc1fa4639%7C7b09041e245149d08cb179d5e3d8c1be%7C0%7C0%7C638598527916617214%7CUnknown%7CTWFpbGZsb3d8eyJWIjoiMC4wLjAwMDAiLCJQIjoiV2luMzIiLCJBTiI6Ik1haWwiLCJXVCI6Mn0%3D%7C0%7C%7C%7C&amp;sdata=AVPd%2FrvNpqdM%2BuVy%2B26fHExOTCkR31VGEzbwu2z7dHw%3D&amp;reserved=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D310F775-3CF4-4FFD-8C4C-C1046151C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3304</Words>
  <Characters>18172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Keila Margarita Reyes Cassiani</cp:lastModifiedBy>
  <cp:revision>6</cp:revision>
  <cp:lastPrinted>2023-01-10T21:18:00Z</cp:lastPrinted>
  <dcterms:created xsi:type="dcterms:W3CDTF">2024-12-09T12:57:00Z</dcterms:created>
  <dcterms:modified xsi:type="dcterms:W3CDTF">2024-12-24T18:02:00Z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