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A67B" w14:textId="77777777" w:rsidR="00FF2F27" w:rsidRPr="00FF0864" w:rsidRDefault="00FF2F27" w:rsidP="00FF2F27">
      <w:pPr>
        <w:pStyle w:val="Sinespaciado"/>
        <w:jc w:val="both"/>
        <w:rPr>
          <w:rFonts w:ascii="Verdana" w:hAnsi="Verdana" w:cs="Arial"/>
          <w:b/>
          <w:bCs/>
          <w:sz w:val="22"/>
        </w:rPr>
      </w:pPr>
      <w:bookmarkStart w:id="0" w:name="_Hlk143780582"/>
      <w:r w:rsidRPr="00FF0864">
        <w:rPr>
          <w:rFonts w:ascii="Verdana" w:hAnsi="Verdana" w:cs="Arial"/>
          <w:b/>
          <w:bCs/>
          <w:sz w:val="22"/>
        </w:rPr>
        <w:t>INHABILIDADES – Definición – Finalidad – Limitación capacidad contractual</w:t>
      </w:r>
    </w:p>
    <w:p w14:paraId="35F8A270" w14:textId="77777777" w:rsidR="00FF2F27" w:rsidRPr="00FF0864" w:rsidRDefault="00FF2F27" w:rsidP="00FF2F27">
      <w:pPr>
        <w:pStyle w:val="Sinespaciado"/>
        <w:jc w:val="both"/>
        <w:rPr>
          <w:rFonts w:ascii="Verdana" w:hAnsi="Verdana" w:cs="Arial"/>
          <w:sz w:val="20"/>
          <w:szCs w:val="20"/>
        </w:rPr>
      </w:pPr>
    </w:p>
    <w:p w14:paraId="1E7C6FCB" w14:textId="77777777" w:rsidR="00FF2F27" w:rsidRPr="00FF0864" w:rsidRDefault="00FF2F27" w:rsidP="00FF2F27">
      <w:pPr>
        <w:pStyle w:val="Sinespaciado"/>
        <w:spacing w:after="120"/>
        <w:jc w:val="both"/>
        <w:rPr>
          <w:rFonts w:ascii="Verdana" w:hAnsi="Verdana" w:cs="Arial"/>
          <w:sz w:val="20"/>
          <w:szCs w:val="20"/>
        </w:rPr>
      </w:pPr>
      <w:r w:rsidRPr="00FF0864">
        <w:rPr>
          <w:rFonts w:ascii="Verdana" w:hAnsi="Verdana" w:cs="Arial"/>
          <w:sz w:val="20"/>
          <w:szCs w:val="20"/>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26D96EB4" w14:textId="6A287311" w:rsidR="00FF2F27" w:rsidRPr="00FF0864" w:rsidRDefault="00FF2F27" w:rsidP="00FF2F27">
      <w:pPr>
        <w:pStyle w:val="Sinespaciado"/>
        <w:spacing w:before="120"/>
        <w:jc w:val="both"/>
        <w:rPr>
          <w:rFonts w:ascii="Verdana" w:hAnsi="Verdana" w:cs="Arial"/>
          <w:sz w:val="22"/>
        </w:rPr>
      </w:pPr>
      <w:r w:rsidRPr="00FF0864">
        <w:rPr>
          <w:rFonts w:ascii="Verdana" w:hAnsi="Verdana" w:cs="Arial"/>
          <w:sz w:val="20"/>
          <w:szCs w:val="20"/>
        </w:rPr>
        <w:t xml:space="preserve">El régimen de inhabilidades para contratar con el Estado es un conjunto de restricciones establecidas por el constituyente o por el legislador que afectan directamente la capacidad de las personas para establecer unas relaciones contractuales con el Estado, que pueden resultar de condenas, sanciones o situaciones previamente establecidas por el ordenamiento jurídico. En esta medida, la Corte Constitucional explica que </w:t>
      </w:r>
      <w:r w:rsidR="00FF0864" w:rsidRPr="00FF0864">
        <w:rPr>
          <w:rFonts w:ascii="Verdana" w:hAnsi="Verdana" w:cs="Arial"/>
          <w:sz w:val="20"/>
          <w:szCs w:val="20"/>
        </w:rPr>
        <w:t>“</w:t>
      </w:r>
      <w:r w:rsidRPr="00FF0864">
        <w:rPr>
          <w:rFonts w:ascii="Verdana" w:hAnsi="Verdana" w:cs="Arial"/>
          <w:sz w:val="20"/>
          <w:szCs w:val="20"/>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00FF0864" w:rsidRPr="00FF0864">
        <w:rPr>
          <w:rFonts w:ascii="Verdana" w:hAnsi="Verdana" w:cs="Arial"/>
          <w:sz w:val="20"/>
          <w:szCs w:val="20"/>
        </w:rPr>
        <w:t>”</w:t>
      </w:r>
      <w:r w:rsidRPr="00FF0864">
        <w:rPr>
          <w:rFonts w:ascii="Verdana" w:hAnsi="Verdana" w:cs="Arial"/>
          <w:sz w:val="20"/>
          <w:szCs w:val="20"/>
        </w:rPr>
        <w:t>.</w:t>
      </w:r>
      <w:r w:rsidRPr="00FF0864">
        <w:rPr>
          <w:rFonts w:ascii="Verdana" w:hAnsi="Verdana" w:cs="Arial"/>
          <w:sz w:val="22"/>
        </w:rPr>
        <w:t xml:space="preserve"> </w:t>
      </w:r>
    </w:p>
    <w:p w14:paraId="7E78AC74" w14:textId="77777777" w:rsidR="00FF2F27" w:rsidRPr="00FF0864" w:rsidRDefault="00FF2F27" w:rsidP="00FF2F27">
      <w:pPr>
        <w:pStyle w:val="Sinespaciado"/>
        <w:jc w:val="both"/>
        <w:rPr>
          <w:rFonts w:ascii="Verdana" w:hAnsi="Verdana" w:cs="Arial"/>
          <w:sz w:val="20"/>
          <w:szCs w:val="20"/>
        </w:rPr>
      </w:pPr>
    </w:p>
    <w:p w14:paraId="767CDFC3" w14:textId="77777777" w:rsidR="00FF2F27" w:rsidRPr="00FF0864" w:rsidRDefault="00FF2F27" w:rsidP="00FF2F27">
      <w:pPr>
        <w:tabs>
          <w:tab w:val="left" w:pos="426"/>
        </w:tabs>
        <w:jc w:val="both"/>
        <w:rPr>
          <w:rFonts w:ascii="Verdana" w:eastAsia="Calibri" w:hAnsi="Verdana" w:cs="Arial"/>
          <w:b/>
          <w:lang w:val="es-ES_tradnl"/>
        </w:rPr>
      </w:pPr>
      <w:r w:rsidRPr="00FF0864">
        <w:rPr>
          <w:rFonts w:ascii="Verdana" w:eastAsia="Calibri" w:hAnsi="Verdana" w:cs="Arial"/>
          <w:b/>
          <w:lang w:val="es-ES_tradnl"/>
        </w:rPr>
        <w:t>CONTRATACIÓN ESTATAL – Capacidad – Validez contratos – Régimen de contratación – Inscripción – Limitación de la capacidad</w:t>
      </w:r>
    </w:p>
    <w:p w14:paraId="2FA14556" w14:textId="77777777" w:rsidR="00FF2F27" w:rsidRPr="00FF0864" w:rsidRDefault="00FF2F27" w:rsidP="00FF2F27">
      <w:pPr>
        <w:jc w:val="both"/>
        <w:rPr>
          <w:rFonts w:ascii="Verdana" w:eastAsia="Calibri" w:hAnsi="Verdana" w:cs="Arial"/>
          <w:sz w:val="20"/>
          <w:szCs w:val="20"/>
          <w:lang w:val="es-ES_tradnl"/>
        </w:rPr>
      </w:pPr>
    </w:p>
    <w:p w14:paraId="58EDB3B5" w14:textId="77777777" w:rsidR="00FF2F27" w:rsidRPr="00FF0864" w:rsidRDefault="00FF2F27" w:rsidP="00FF2F27">
      <w:pPr>
        <w:spacing w:after="120"/>
        <w:jc w:val="both"/>
        <w:rPr>
          <w:rFonts w:ascii="Verdana" w:eastAsia="Calibri" w:hAnsi="Verdana" w:cs="Arial"/>
          <w:sz w:val="20"/>
          <w:szCs w:val="20"/>
          <w:lang w:val="es-ES_tradnl"/>
        </w:rPr>
      </w:pPr>
      <w:r w:rsidRPr="00FF0864">
        <w:rPr>
          <w:rFonts w:ascii="Verdana" w:eastAsia="Calibri" w:hAnsi="Verdana" w:cs="Arial"/>
          <w:sz w:val="20"/>
          <w:szCs w:val="20"/>
          <w:lang w:val="es-ES_tradnl"/>
        </w:rPr>
        <w:t xml:space="preserve">En la contratación estatal, la </w:t>
      </w:r>
      <w:r w:rsidRPr="00FF0864">
        <w:rPr>
          <w:rFonts w:ascii="Verdana" w:eastAsia="Calibri" w:hAnsi="Verdana" w:cs="Arial"/>
          <w:i/>
          <w:iCs/>
          <w:sz w:val="20"/>
          <w:szCs w:val="20"/>
          <w:lang w:val="es-ES_tradnl"/>
        </w:rPr>
        <w:t>capacidad</w:t>
      </w:r>
      <w:r w:rsidRPr="00FF0864">
        <w:rPr>
          <w:rFonts w:ascii="Verdana" w:eastAsia="Calibri" w:hAnsi="Verdana" w:cs="Arial"/>
          <w:sz w:val="20"/>
          <w:szCs w:val="20"/>
          <w:lang w:val="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normas que imponen restricciones para los sujetos que, eventualmente, pretendan participar en los procedimientos de selección o celebrar contratos con las entidades estatales.</w:t>
      </w:r>
    </w:p>
    <w:p w14:paraId="3213FAD3" w14:textId="77777777" w:rsidR="00FF2F27" w:rsidRPr="00FF0864" w:rsidRDefault="00FF2F27" w:rsidP="00FF2F27">
      <w:pPr>
        <w:spacing w:before="120"/>
        <w:jc w:val="both"/>
        <w:rPr>
          <w:rFonts w:ascii="Verdana" w:eastAsia="Calibri" w:hAnsi="Verdana" w:cs="Arial"/>
          <w:sz w:val="20"/>
          <w:szCs w:val="20"/>
          <w:lang w:val="es-ES_tradnl"/>
        </w:rPr>
      </w:pPr>
      <w:r w:rsidRPr="00FF0864">
        <w:rPr>
          <w:rFonts w:ascii="Verdana" w:eastAsia="Calibri" w:hAnsi="Verdana" w:cs="Arial"/>
          <w:sz w:val="20"/>
          <w:szCs w:val="20"/>
          <w:lang w:val="es-ES_tradnl"/>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p>
    <w:p w14:paraId="438A42D9" w14:textId="77777777" w:rsidR="00FF2F27" w:rsidRPr="00FF0864" w:rsidRDefault="00FF2F27" w:rsidP="00FF2F27">
      <w:pPr>
        <w:jc w:val="both"/>
        <w:rPr>
          <w:rFonts w:ascii="Verdana" w:eastAsia="Calibri" w:hAnsi="Verdana" w:cs="Arial"/>
          <w:sz w:val="20"/>
          <w:szCs w:val="20"/>
          <w:lang w:val="es-ES_tradnl"/>
        </w:rPr>
      </w:pPr>
    </w:p>
    <w:p w14:paraId="2A3362A3" w14:textId="77777777" w:rsidR="00FF2F27" w:rsidRPr="00FF0864" w:rsidRDefault="00FF2F27" w:rsidP="00FF2F27">
      <w:pPr>
        <w:jc w:val="both"/>
        <w:rPr>
          <w:rFonts w:ascii="Verdana" w:eastAsia="Calibri" w:hAnsi="Verdana" w:cs="Arial"/>
          <w:b/>
          <w:bCs/>
          <w:lang w:val="es-ES_tradnl"/>
        </w:rPr>
      </w:pPr>
      <w:r w:rsidRPr="00FF0864">
        <w:rPr>
          <w:rFonts w:ascii="Verdana" w:eastAsia="Calibri" w:hAnsi="Verdana" w:cs="Arial"/>
          <w:b/>
          <w:bCs/>
          <w:lang w:val="es-ES_tradnl"/>
        </w:rPr>
        <w:t>INHABILIDADES – Taxatividad – Principio de legalidad – Interpretación restrictiva</w:t>
      </w:r>
    </w:p>
    <w:p w14:paraId="105BDEF6" w14:textId="77777777" w:rsidR="00FF2F27" w:rsidRPr="00FF0864" w:rsidRDefault="00FF2F27" w:rsidP="00FF2F27">
      <w:pPr>
        <w:jc w:val="both"/>
        <w:rPr>
          <w:rFonts w:ascii="Verdana" w:eastAsia="Calibri" w:hAnsi="Verdana" w:cs="Arial"/>
          <w:sz w:val="20"/>
          <w:szCs w:val="20"/>
          <w:lang w:val="es-ES_tradnl"/>
        </w:rPr>
      </w:pPr>
    </w:p>
    <w:p w14:paraId="2F852B61" w14:textId="77777777" w:rsidR="00FF2F27" w:rsidRPr="00FF0864" w:rsidRDefault="00FF2F27" w:rsidP="00FF2F27">
      <w:pPr>
        <w:jc w:val="both"/>
        <w:rPr>
          <w:rFonts w:ascii="Verdana" w:eastAsia="Calibri" w:hAnsi="Verdana" w:cs="Arial"/>
          <w:sz w:val="20"/>
          <w:szCs w:val="20"/>
          <w:lang w:val="es-ES_tradnl"/>
        </w:rPr>
      </w:pPr>
      <w:r w:rsidRPr="00FF0864">
        <w:rPr>
          <w:rFonts w:ascii="Verdana" w:eastAsia="Calibri" w:hAnsi="Verdana" w:cs="Arial"/>
          <w:sz w:val="20"/>
          <w:szCs w:val="20"/>
          <w:lang w:val="es-ES_tradnl"/>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FF0864">
        <w:rPr>
          <w:rFonts w:ascii="Verdana" w:eastAsia="Calibri" w:hAnsi="Verdana" w:cs="Arial"/>
          <w:i/>
          <w:iCs/>
          <w:sz w:val="20"/>
          <w:szCs w:val="20"/>
          <w:lang w:val="es-ES_tradnl"/>
        </w:rPr>
        <w:t>restrictiva</w:t>
      </w:r>
      <w:r w:rsidRPr="00FF0864">
        <w:rPr>
          <w:rFonts w:ascii="Verdana" w:eastAsia="Calibri" w:hAnsi="Verdana" w:cs="Arial"/>
          <w:sz w:val="20"/>
          <w:szCs w:val="20"/>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7D2C3355" w14:textId="67B9A722" w:rsidR="0050012F" w:rsidRPr="00FF0864" w:rsidRDefault="0050012F" w:rsidP="0060538B">
      <w:pPr>
        <w:jc w:val="both"/>
        <w:rPr>
          <w:rFonts w:ascii="Verdana" w:eastAsia="Times New Roman" w:hAnsi="Verdana" w:cs="Arial"/>
          <w:i/>
          <w:iCs/>
          <w:color w:val="333333"/>
          <w:lang w:val="es-MX" w:eastAsia="es-CO"/>
        </w:rPr>
      </w:pPr>
      <w:r w:rsidRPr="00FF0864">
        <w:rPr>
          <w:rFonts w:ascii="Verdana" w:eastAsia="Times New Roman" w:hAnsi="Verdana" w:cs="Arial"/>
          <w:i/>
          <w:iCs/>
          <w:color w:val="333333"/>
          <w:lang w:val="es-MX" w:eastAsia="es-CO"/>
        </w:rPr>
        <w:br w:type="page"/>
      </w:r>
    </w:p>
    <w:p w14:paraId="5D34D269" w14:textId="77777777" w:rsidR="00C04209" w:rsidRPr="00FF0864" w:rsidRDefault="00C04209" w:rsidP="00C04209">
      <w:pPr>
        <w:spacing w:after="0" w:line="240" w:lineRule="auto"/>
        <w:contextualSpacing/>
        <w:jc w:val="both"/>
        <w:rPr>
          <w:rFonts w:ascii="Verdana" w:eastAsia="Times New Roman" w:hAnsi="Verdana" w:cs="Arial"/>
          <w:i/>
          <w:iCs/>
          <w:color w:val="333333"/>
          <w:lang w:val="es-MX" w:eastAsia="es-CO"/>
        </w:rPr>
      </w:pPr>
    </w:p>
    <w:p w14:paraId="131A973B" w14:textId="56937114" w:rsidR="00AB64A5" w:rsidRPr="00FF0864" w:rsidRDefault="00AB64A5" w:rsidP="00CD258B">
      <w:pPr>
        <w:rPr>
          <w:rFonts w:ascii="Verdana" w:eastAsia="Calibri" w:hAnsi="Verdana" w:cs="Arial"/>
          <w:bCs/>
          <w:sz w:val="20"/>
          <w:szCs w:val="20"/>
          <w:lang w:val="es-ES_tradnl"/>
        </w:rPr>
      </w:pPr>
      <w:r w:rsidRPr="00FF0864">
        <w:rPr>
          <w:rFonts w:ascii="Verdana" w:hAnsi="Verdana"/>
        </w:rPr>
        <w:t>Bogo</w:t>
      </w:r>
      <w:r w:rsidR="00FC3EC1" w:rsidRPr="00FF0864">
        <w:rPr>
          <w:rFonts w:ascii="Verdana" w:hAnsi="Verdana"/>
        </w:rPr>
        <w:t>t</w:t>
      </w:r>
      <w:r w:rsidRPr="00FF0864">
        <w:rPr>
          <w:rFonts w:ascii="Verdana" w:hAnsi="Verdana"/>
        </w:rPr>
        <w:t>á D.C., [Día] [Mes.NombreCapitalizado] [Año]</w:t>
      </w:r>
      <w:r w:rsidRPr="00FF0864">
        <w:rPr>
          <w:rFonts w:ascii="Verdana" w:hAnsi="Verdana"/>
        </w:rPr>
        <w:tab/>
      </w:r>
    </w:p>
    <w:p w14:paraId="6F8CA54C" w14:textId="77777777" w:rsidR="00AB64A5" w:rsidRPr="00FF0864" w:rsidRDefault="00AB64A5" w:rsidP="00AB64A5">
      <w:pPr>
        <w:spacing w:after="0"/>
        <w:rPr>
          <w:rFonts w:ascii="Verdana" w:hAnsi="Verdana"/>
        </w:rPr>
      </w:pPr>
    </w:p>
    <w:p w14:paraId="01AE3B0A" w14:textId="257F5842" w:rsidR="00AB64A5" w:rsidRPr="00FF0864" w:rsidRDefault="00AB64A5" w:rsidP="00AB64A5">
      <w:pPr>
        <w:spacing w:after="0" w:line="240" w:lineRule="auto"/>
        <w:jc w:val="both"/>
        <w:rPr>
          <w:rFonts w:ascii="Verdana" w:eastAsia="Calibri" w:hAnsi="Verdana" w:cs="Arial"/>
          <w:lang w:eastAsia="es-ES"/>
        </w:rPr>
      </w:pPr>
      <w:bookmarkStart w:id="1" w:name="_Hlk185330021"/>
      <w:r w:rsidRPr="00FF0864">
        <w:rPr>
          <w:rFonts w:ascii="Verdana" w:eastAsia="Calibri" w:hAnsi="Verdana" w:cs="Arial"/>
          <w:lang w:eastAsia="es-ES"/>
        </w:rPr>
        <w:t>Señor</w:t>
      </w:r>
    </w:p>
    <w:p w14:paraId="64BD8512" w14:textId="77777777" w:rsidR="00976885" w:rsidRDefault="00976885" w:rsidP="00FC3EC1">
      <w:pPr>
        <w:spacing w:after="0" w:line="240" w:lineRule="auto"/>
        <w:rPr>
          <w:rFonts w:ascii="Verdana" w:hAnsi="Verdana"/>
          <w:b/>
          <w:bCs/>
        </w:rPr>
      </w:pPr>
      <w:r w:rsidRPr="00976885">
        <w:rPr>
          <w:rFonts w:ascii="Verdana" w:hAnsi="Verdana"/>
          <w:b/>
          <w:bCs/>
        </w:rPr>
        <w:t>IVO GERARDO ALARCON VILLALBA</w:t>
      </w:r>
    </w:p>
    <w:p w14:paraId="641DAA5B" w14:textId="25CB0BE3" w:rsidR="00976885" w:rsidRDefault="00976885" w:rsidP="00FC3EC1">
      <w:pPr>
        <w:spacing w:after="0" w:line="240" w:lineRule="auto"/>
        <w:rPr>
          <w:rFonts w:ascii="Verdana" w:eastAsia="Calibri" w:hAnsi="Verdana" w:cs="Arial"/>
          <w:u w:val="single"/>
          <w:lang w:eastAsia="es-ES"/>
        </w:rPr>
      </w:pPr>
      <w:hyperlink r:id="rId8" w:history="1">
        <w:r w:rsidRPr="00AC7428">
          <w:rPr>
            <w:rStyle w:val="Hipervnculo"/>
            <w:rFonts w:ascii="Verdana" w:eastAsia="Calibri" w:hAnsi="Verdana" w:cs="Arial"/>
            <w:lang w:eastAsia="es-ES"/>
          </w:rPr>
          <w:t>alarconivo@yahoo.com</w:t>
        </w:r>
      </w:hyperlink>
    </w:p>
    <w:p w14:paraId="38021ECE" w14:textId="7C690625" w:rsidR="00AB64A5" w:rsidRPr="00FF0864" w:rsidRDefault="00AB64A5" w:rsidP="00FC3EC1">
      <w:pPr>
        <w:spacing w:after="0" w:line="240" w:lineRule="auto"/>
        <w:rPr>
          <w:rFonts w:ascii="Verdana" w:eastAsia="Calibri" w:hAnsi="Verdana" w:cs="Arial"/>
          <w:lang w:eastAsia="es-ES"/>
        </w:rPr>
      </w:pPr>
      <w:r w:rsidRPr="00FF0864">
        <w:rPr>
          <w:rFonts w:ascii="Verdana" w:eastAsia="Calibri" w:hAnsi="Verdana" w:cs="Arial"/>
          <w:lang w:eastAsia="es-ES"/>
        </w:rPr>
        <w:t>Bogotá D.C.</w:t>
      </w:r>
    </w:p>
    <w:p w14:paraId="44649E13" w14:textId="77777777" w:rsidR="00AB64A5" w:rsidRDefault="00AB64A5" w:rsidP="00AB64A5">
      <w:pPr>
        <w:spacing w:after="0" w:line="240" w:lineRule="auto"/>
        <w:rPr>
          <w:rFonts w:ascii="Verdana" w:eastAsia="Calibri" w:hAnsi="Verdana" w:cs="Arial"/>
          <w:b/>
          <w:bCs/>
          <w:color w:val="000000"/>
          <w:lang w:val="es-ES_tradnl" w:eastAsia="es-ES_tradnl"/>
        </w:rPr>
      </w:pPr>
    </w:p>
    <w:p w14:paraId="577DC936" w14:textId="3D7B44FC" w:rsidR="00A8651E" w:rsidRPr="00FF0864" w:rsidRDefault="00A8651E" w:rsidP="00A8651E">
      <w:pPr>
        <w:spacing w:after="0" w:line="240" w:lineRule="auto"/>
        <w:jc w:val="right"/>
        <w:rPr>
          <w:rFonts w:ascii="Verdana" w:eastAsia="Calibri" w:hAnsi="Verdana" w:cs="Arial"/>
          <w:b/>
          <w:bCs/>
          <w:color w:val="000000"/>
          <w:lang w:val="es-ES_tradnl" w:eastAsia="es-ES_tradnl"/>
        </w:rPr>
      </w:pPr>
      <w:r w:rsidRPr="00A8651E">
        <w:rPr>
          <w:rFonts w:ascii="Verdana" w:eastAsia="Calibri" w:hAnsi="Verdana" w:cs="Arial"/>
          <w:b/>
          <w:bCs/>
          <w:color w:val="000000"/>
          <w:lang w:val="es-ES_tradnl" w:eastAsia="es-ES_tradnl"/>
        </w:rPr>
        <w:drawing>
          <wp:inline distT="0" distB="0" distL="0" distR="0" wp14:anchorId="3D1247F2" wp14:editId="3DBDA088">
            <wp:extent cx="3795089" cy="1089754"/>
            <wp:effectExtent l="0" t="0" r="0" b="0"/>
            <wp:docPr id="204181553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15537" name="Imagen 1" descr="Texto&#10;&#10;Descripción generada automáticamente"/>
                    <pic:cNvPicPr/>
                  </pic:nvPicPr>
                  <pic:blipFill>
                    <a:blip r:embed="rId9"/>
                    <a:stretch>
                      <a:fillRect/>
                    </a:stretch>
                  </pic:blipFill>
                  <pic:spPr>
                    <a:xfrm>
                      <a:off x="0" y="0"/>
                      <a:ext cx="3795089" cy="1089754"/>
                    </a:xfrm>
                    <a:prstGeom prst="rect">
                      <a:avLst/>
                    </a:prstGeom>
                  </pic:spPr>
                </pic:pic>
              </a:graphicData>
            </a:graphic>
          </wp:inline>
        </w:drawing>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946"/>
      </w:tblGrid>
      <w:tr w:rsidR="00AB64A5" w:rsidRPr="00FF0864" w14:paraId="124FFB5C" w14:textId="77777777" w:rsidTr="007B0B27">
        <w:trPr>
          <w:trHeight w:val="884"/>
        </w:trPr>
        <w:tc>
          <w:tcPr>
            <w:tcW w:w="2268" w:type="dxa"/>
          </w:tcPr>
          <w:p w14:paraId="6311258D" w14:textId="77777777" w:rsidR="00AB64A5" w:rsidRPr="00FF0864" w:rsidRDefault="00AB64A5" w:rsidP="007B0B27">
            <w:pPr>
              <w:jc w:val="both"/>
              <w:rPr>
                <w:rFonts w:ascii="Verdana" w:eastAsia="Calibri" w:hAnsi="Verdana" w:cs="Arial"/>
                <w:b/>
                <w:bCs/>
                <w:color w:val="7030A0"/>
                <w:lang w:val="es-ES_tradnl" w:eastAsia="es-ES_tradnl"/>
              </w:rPr>
            </w:pPr>
          </w:p>
        </w:tc>
        <w:tc>
          <w:tcPr>
            <w:tcW w:w="6946" w:type="dxa"/>
          </w:tcPr>
          <w:p w14:paraId="23DA8C95" w14:textId="1361910F" w:rsidR="00AB64A5" w:rsidRPr="00FF0864" w:rsidRDefault="00AB64A5" w:rsidP="007B0B27">
            <w:pPr>
              <w:jc w:val="both"/>
              <w:rPr>
                <w:rFonts w:ascii="Verdana" w:eastAsia="Calibri" w:hAnsi="Verdana" w:cs="Arial"/>
                <w:b/>
                <w:bCs/>
                <w:color w:val="7030A0"/>
                <w:lang w:val="es-ES" w:eastAsia="es-ES"/>
              </w:rPr>
            </w:pPr>
            <w:r w:rsidRPr="00FF0864">
              <w:rPr>
                <w:rFonts w:ascii="Verdana" w:eastAsia="Calibri" w:hAnsi="Verdana" w:cs="Arial"/>
                <w:b/>
                <w:bCs/>
                <w:lang w:val="es-ES" w:eastAsia="es-ES"/>
              </w:rPr>
              <w:t>Concepto C-</w:t>
            </w:r>
            <w:r w:rsidR="00277AAC">
              <w:rPr>
                <w:rFonts w:ascii="Verdana" w:eastAsia="Calibri" w:hAnsi="Verdana" w:cs="Arial"/>
                <w:b/>
                <w:bCs/>
                <w:lang w:val="es-ES" w:eastAsia="es-ES"/>
              </w:rPr>
              <w:t>958</w:t>
            </w:r>
            <w:r w:rsidR="00BE2B78" w:rsidRPr="00FF0864">
              <w:rPr>
                <w:rFonts w:ascii="Verdana" w:eastAsia="Calibri" w:hAnsi="Verdana" w:cs="Arial"/>
                <w:b/>
                <w:bCs/>
                <w:lang w:val="es-ES" w:eastAsia="es-ES"/>
              </w:rPr>
              <w:t xml:space="preserve"> </w:t>
            </w:r>
            <w:r w:rsidRPr="00FF0864">
              <w:rPr>
                <w:rFonts w:ascii="Verdana" w:eastAsia="Calibri" w:hAnsi="Verdana" w:cs="Arial"/>
                <w:b/>
                <w:bCs/>
                <w:lang w:val="es-ES" w:eastAsia="es-ES"/>
              </w:rPr>
              <w:t>de 2024</w:t>
            </w:r>
          </w:p>
        </w:tc>
      </w:tr>
      <w:tr w:rsidR="0050012F" w:rsidRPr="00FF0864" w14:paraId="317258D8" w14:textId="77777777" w:rsidTr="007B0B27">
        <w:trPr>
          <w:trHeight w:val="884"/>
        </w:trPr>
        <w:tc>
          <w:tcPr>
            <w:tcW w:w="2268" w:type="dxa"/>
          </w:tcPr>
          <w:p w14:paraId="216AB9FC" w14:textId="77777777" w:rsidR="0050012F" w:rsidRPr="00FF0864" w:rsidRDefault="0050012F" w:rsidP="0050012F">
            <w:pPr>
              <w:jc w:val="both"/>
              <w:rPr>
                <w:rFonts w:ascii="Verdana" w:eastAsia="Calibri" w:hAnsi="Verdana" w:cs="Arial"/>
                <w:b/>
                <w:bCs/>
                <w:lang w:val="es-ES_tradnl" w:eastAsia="es-ES_tradnl"/>
              </w:rPr>
            </w:pPr>
            <w:r w:rsidRPr="00FF0864">
              <w:rPr>
                <w:rFonts w:ascii="Verdana" w:eastAsia="Calibri" w:hAnsi="Verdana" w:cs="Arial"/>
                <w:b/>
                <w:bCs/>
                <w:lang w:val="es-ES_tradnl" w:eastAsia="es-ES_tradnl"/>
              </w:rPr>
              <w:t xml:space="preserve">Temas:                   </w:t>
            </w:r>
          </w:p>
        </w:tc>
        <w:tc>
          <w:tcPr>
            <w:tcW w:w="6946" w:type="dxa"/>
          </w:tcPr>
          <w:p w14:paraId="7D22D41A" w14:textId="77777777" w:rsidR="00A96BF0" w:rsidRPr="00FF0864" w:rsidRDefault="00A96BF0" w:rsidP="00A96BF0">
            <w:pPr>
              <w:jc w:val="both"/>
              <w:rPr>
                <w:rFonts w:ascii="Verdana" w:eastAsia="Calibri" w:hAnsi="Verdana" w:cs="Arial"/>
                <w:lang w:val="es-ES_tradnl" w:eastAsia="es-ES_tradnl"/>
              </w:rPr>
            </w:pPr>
            <w:r w:rsidRPr="00FF0864">
              <w:rPr>
                <w:rFonts w:ascii="Verdana" w:eastAsia="Calibri" w:hAnsi="Verdana" w:cs="Arial"/>
                <w:lang w:val="es-ES_tradnl" w:eastAsia="es-ES_tradnl"/>
              </w:rPr>
              <w:t>INHABILIDADES – Definición – Finalidad – Limitación capacidad contractual / CONTRATACIÓN ESTATAL – Capacidad – Validez contratos – Régimen de contratación – Inscripción – Limitación de la capacidad / INHABILIDADES – Taxatividad – Principio de legalidad – Interpretación restrictiva</w:t>
            </w:r>
          </w:p>
          <w:p w14:paraId="07A9E108" w14:textId="3C2FF69C" w:rsidR="00A96BF0" w:rsidRPr="00FF0864" w:rsidRDefault="00A96BF0" w:rsidP="00A96BF0">
            <w:pPr>
              <w:tabs>
                <w:tab w:val="left" w:pos="426"/>
              </w:tabs>
              <w:jc w:val="both"/>
              <w:rPr>
                <w:rFonts w:ascii="Verdana" w:eastAsia="Calibri" w:hAnsi="Verdana" w:cs="Arial"/>
                <w:b/>
                <w:lang w:val="es-ES_tradnl"/>
              </w:rPr>
            </w:pPr>
          </w:p>
          <w:p w14:paraId="362B2D37" w14:textId="77777777" w:rsidR="0050012F" w:rsidRPr="00FF0864" w:rsidRDefault="0050012F" w:rsidP="0050012F">
            <w:pPr>
              <w:spacing w:line="276" w:lineRule="auto"/>
              <w:jc w:val="both"/>
              <w:rPr>
                <w:rFonts w:ascii="Verdana" w:eastAsia="Calibri" w:hAnsi="Verdana" w:cs="Arial"/>
                <w:lang w:eastAsia="es-ES_tradnl"/>
              </w:rPr>
            </w:pPr>
          </w:p>
        </w:tc>
      </w:tr>
      <w:tr w:rsidR="0050012F" w:rsidRPr="00FF0864" w14:paraId="6B3F3ED0" w14:textId="77777777" w:rsidTr="007B0B27">
        <w:tc>
          <w:tcPr>
            <w:tcW w:w="2268" w:type="dxa"/>
          </w:tcPr>
          <w:p w14:paraId="0AC72359" w14:textId="77777777" w:rsidR="0050012F" w:rsidRPr="00FF0864" w:rsidRDefault="0050012F" w:rsidP="0050012F">
            <w:pPr>
              <w:jc w:val="both"/>
              <w:rPr>
                <w:rFonts w:ascii="Verdana" w:eastAsia="Calibri" w:hAnsi="Verdana" w:cs="Arial"/>
                <w:b/>
                <w:lang w:val="es-ES_tradnl" w:eastAsia="es-ES_tradnl"/>
              </w:rPr>
            </w:pPr>
            <w:r w:rsidRPr="00FF0864">
              <w:rPr>
                <w:rFonts w:ascii="Verdana" w:eastAsia="Calibri" w:hAnsi="Verdana" w:cs="Arial"/>
                <w:b/>
                <w:lang w:val="es-ES_tradnl" w:eastAsia="es-ES_tradnl"/>
              </w:rPr>
              <w:t>Radicación:</w:t>
            </w:r>
            <w:r w:rsidRPr="00FF0864">
              <w:rPr>
                <w:rFonts w:ascii="Verdana" w:eastAsia="Calibri" w:hAnsi="Verdana" w:cs="Arial"/>
                <w:lang w:val="es-ES_tradnl" w:eastAsia="es-ES_tradnl"/>
              </w:rPr>
              <w:t xml:space="preserve">               </w:t>
            </w:r>
          </w:p>
        </w:tc>
        <w:tc>
          <w:tcPr>
            <w:tcW w:w="6946" w:type="dxa"/>
          </w:tcPr>
          <w:p w14:paraId="14A3CEBF" w14:textId="1EBE7494" w:rsidR="0050012F" w:rsidRPr="00FF0864" w:rsidRDefault="0050012F" w:rsidP="008F69BB">
            <w:pPr>
              <w:rPr>
                <w:rFonts w:ascii="Verdana" w:eastAsia="Calibri" w:hAnsi="Verdana" w:cs="Arial"/>
                <w:lang w:val="es-ES_tradnl" w:eastAsia="es-ES_tradnl"/>
              </w:rPr>
            </w:pPr>
            <w:r w:rsidRPr="00FF0864">
              <w:rPr>
                <w:rFonts w:ascii="Verdana" w:eastAsia="Calibri" w:hAnsi="Verdana" w:cs="Arial"/>
                <w:lang w:val="es-ES_tradnl" w:eastAsia="es-ES_tradnl"/>
              </w:rPr>
              <w:t xml:space="preserve">Respuesta a consulta con radicado No. </w:t>
            </w:r>
            <w:r w:rsidR="00976885" w:rsidRPr="00976885">
              <w:rPr>
                <w:rFonts w:ascii="Verdana" w:eastAsia="Times New Roman" w:hAnsi="Verdana" w:cs="Calibri"/>
                <w:color w:val="000000"/>
                <w:lang w:val="es-419" w:eastAsia="es-419"/>
              </w:rPr>
              <w:t>P2024</w:t>
            </w:r>
            <w:r w:rsidR="008F69BB">
              <w:rPr>
                <w:rFonts w:ascii="Verdana" w:eastAsia="Times New Roman" w:hAnsi="Verdana" w:cs="Calibri"/>
                <w:color w:val="000000"/>
                <w:lang w:val="es-419" w:eastAsia="es-419"/>
              </w:rPr>
              <w:t>1202012085</w:t>
            </w:r>
          </w:p>
        </w:tc>
      </w:tr>
    </w:tbl>
    <w:p w14:paraId="7459B210" w14:textId="77777777" w:rsidR="00AB64A5" w:rsidRPr="00FF0864" w:rsidRDefault="00AB64A5" w:rsidP="00AB64A5">
      <w:pPr>
        <w:spacing w:after="0" w:line="240" w:lineRule="auto"/>
        <w:jc w:val="both"/>
        <w:rPr>
          <w:rFonts w:ascii="Verdana" w:eastAsia="Calibri" w:hAnsi="Verdana" w:cs="Arial"/>
          <w:color w:val="000000"/>
          <w:lang w:val="es-ES_tradnl" w:eastAsia="es-ES_tradnl"/>
        </w:rPr>
      </w:pPr>
    </w:p>
    <w:p w14:paraId="3010FD6F" w14:textId="77777777" w:rsidR="00AB64A5" w:rsidRPr="00FF0864" w:rsidRDefault="00AB64A5" w:rsidP="00AB64A5">
      <w:pPr>
        <w:spacing w:after="0" w:line="240" w:lineRule="auto"/>
        <w:jc w:val="both"/>
        <w:rPr>
          <w:rFonts w:ascii="Verdana" w:eastAsia="Calibri" w:hAnsi="Verdana" w:cs="Arial"/>
          <w:color w:val="000000"/>
          <w:lang w:val="es-ES_tradnl" w:eastAsia="es-ES_tradnl"/>
        </w:rPr>
      </w:pPr>
    </w:p>
    <w:p w14:paraId="16D75B47" w14:textId="57039683" w:rsidR="00AB64A5" w:rsidRPr="00FF0864" w:rsidRDefault="00AB64A5" w:rsidP="00AB64A5">
      <w:pPr>
        <w:spacing w:after="0" w:line="276" w:lineRule="auto"/>
        <w:jc w:val="both"/>
        <w:rPr>
          <w:rFonts w:ascii="Verdana" w:eastAsia="Calibri" w:hAnsi="Verdana" w:cs="Arial"/>
          <w:lang w:val="es-ES" w:eastAsia="es-ES"/>
        </w:rPr>
      </w:pPr>
      <w:r w:rsidRPr="00FF0864">
        <w:rPr>
          <w:rFonts w:ascii="Verdana" w:eastAsia="Calibri" w:hAnsi="Verdana" w:cs="Arial"/>
          <w:lang w:val="es-ES" w:eastAsia="es-ES"/>
        </w:rPr>
        <w:t>Estimad</w:t>
      </w:r>
      <w:r w:rsidR="0050012F" w:rsidRPr="00FF0864">
        <w:rPr>
          <w:rFonts w:ascii="Verdana" w:eastAsia="Calibri" w:hAnsi="Verdana" w:cs="Arial"/>
          <w:lang w:val="es-ES" w:eastAsia="es-ES"/>
        </w:rPr>
        <w:t xml:space="preserve">o señor </w:t>
      </w:r>
      <w:r w:rsidR="00976885">
        <w:rPr>
          <w:rFonts w:ascii="Verdana" w:eastAsia="Calibri" w:hAnsi="Verdana" w:cs="Arial"/>
          <w:lang w:val="es-ES" w:eastAsia="es-ES"/>
        </w:rPr>
        <w:t>Alarcón</w:t>
      </w:r>
      <w:r w:rsidR="00A96BF0" w:rsidRPr="00FF0864">
        <w:rPr>
          <w:rFonts w:ascii="Verdana" w:eastAsia="Calibri" w:hAnsi="Verdana" w:cs="Arial"/>
          <w:lang w:val="es-ES" w:eastAsia="es-ES"/>
        </w:rPr>
        <w:t>:</w:t>
      </w:r>
      <w:r w:rsidRPr="00FF0864">
        <w:rPr>
          <w:rFonts w:ascii="Verdana" w:eastAsia="Calibri" w:hAnsi="Verdana" w:cs="Arial"/>
          <w:lang w:val="es-ES" w:eastAsia="es-ES"/>
        </w:rPr>
        <w:t xml:space="preserve"> </w:t>
      </w:r>
    </w:p>
    <w:p w14:paraId="5ED55F00" w14:textId="77777777" w:rsidR="00AB64A5" w:rsidRPr="00FF0864" w:rsidRDefault="00AB64A5" w:rsidP="00AB64A5">
      <w:pPr>
        <w:tabs>
          <w:tab w:val="left" w:pos="3768"/>
        </w:tabs>
        <w:spacing w:after="0" w:line="276" w:lineRule="auto"/>
        <w:jc w:val="both"/>
        <w:rPr>
          <w:rFonts w:ascii="Verdana" w:eastAsia="Calibri" w:hAnsi="Verdana" w:cs="Arial"/>
          <w:color w:val="000000" w:themeColor="text1"/>
          <w:lang w:val="es-ES" w:eastAsia="es-ES"/>
        </w:rPr>
      </w:pPr>
      <w:r w:rsidRPr="00FF0864">
        <w:rPr>
          <w:rFonts w:ascii="Verdana" w:eastAsia="Calibri" w:hAnsi="Verdana" w:cs="Arial"/>
          <w:color w:val="000000" w:themeColor="text1"/>
          <w:lang w:val="es-ES" w:eastAsia="es-ES"/>
        </w:rPr>
        <w:tab/>
      </w:r>
    </w:p>
    <w:p w14:paraId="3AAA6349" w14:textId="1B46DA6C" w:rsidR="00AB64A5" w:rsidRPr="00FF0864" w:rsidRDefault="00AB64A5" w:rsidP="00AB64A5">
      <w:pPr>
        <w:spacing w:after="0" w:line="276" w:lineRule="auto"/>
        <w:jc w:val="both"/>
        <w:rPr>
          <w:rFonts w:ascii="Verdana" w:eastAsia="Calibri" w:hAnsi="Verdana" w:cs="Arial"/>
          <w:lang w:val="es-ES" w:eastAsia="es-ES"/>
        </w:rPr>
      </w:pPr>
      <w:r w:rsidRPr="00FF0864">
        <w:rPr>
          <w:rFonts w:ascii="Verdana" w:eastAsia="Calibri" w:hAnsi="Verdana" w:cs="Arial"/>
          <w:lang w:val="es-ES" w:eastAsia="es-ES"/>
        </w:rPr>
        <w:t>En ejercicio de la competencia otorgada por los artículos 3, numeral 5º, y 11, numeral 8º, del Decreto Ley 4170 de 2011,</w:t>
      </w:r>
      <w:r w:rsidRPr="00FF0864">
        <w:rPr>
          <w:rFonts w:ascii="Verdana" w:eastAsia="Arial MT" w:hAnsi="Verdana" w:cs="Arial MT"/>
          <w:lang w:val="es-ES" w:eastAsia="es-ES"/>
        </w:rPr>
        <w:t xml:space="preserve"> </w:t>
      </w:r>
      <w:r w:rsidRPr="00FF0864">
        <w:rPr>
          <w:rFonts w:ascii="Verdana" w:hAnsi="Verdana" w:cs="Arial"/>
        </w:rPr>
        <w:t xml:space="preserve">así como lo establecido en el artículo 4 de la Resolución 1707 de 2018 expedida por esta Entidad, </w:t>
      </w:r>
      <w:r w:rsidRPr="00FF0864">
        <w:rPr>
          <w:rFonts w:ascii="Verdana" w:eastAsia="Calibri" w:hAnsi="Verdana" w:cs="Arial"/>
          <w:lang w:val="es-ES" w:eastAsia="es-ES"/>
        </w:rPr>
        <w:t xml:space="preserve">la Agencia Nacional de Contratación Pública – Colombia Compra Eficiente– responde su solicitud radicada en esta entidad el </w:t>
      </w:r>
      <w:r w:rsidR="00BE2B78" w:rsidRPr="00FF0864">
        <w:rPr>
          <w:rFonts w:ascii="Verdana" w:eastAsia="Calibri" w:hAnsi="Verdana" w:cs="Arial"/>
          <w:lang w:val="es-ES" w:eastAsia="es-ES"/>
        </w:rPr>
        <w:t>2</w:t>
      </w:r>
      <w:r w:rsidRPr="00FF0864">
        <w:rPr>
          <w:rFonts w:ascii="Verdana" w:eastAsia="Calibri" w:hAnsi="Verdana" w:cs="Arial"/>
          <w:lang w:val="es-ES" w:eastAsia="es-ES"/>
        </w:rPr>
        <w:t xml:space="preserve"> de </w:t>
      </w:r>
      <w:r w:rsidR="00976885">
        <w:rPr>
          <w:rFonts w:ascii="Verdana" w:eastAsia="Calibri" w:hAnsi="Verdana" w:cs="Arial"/>
          <w:lang w:val="es-ES" w:eastAsia="es-ES"/>
        </w:rPr>
        <w:t>diciem</w:t>
      </w:r>
      <w:r w:rsidR="00BE2B78" w:rsidRPr="00FF0864">
        <w:rPr>
          <w:rFonts w:ascii="Verdana" w:eastAsia="Calibri" w:hAnsi="Verdana" w:cs="Arial"/>
          <w:lang w:val="es-ES" w:eastAsia="es-ES"/>
        </w:rPr>
        <w:t>b</w:t>
      </w:r>
      <w:r w:rsidR="00A97F09" w:rsidRPr="00FF0864">
        <w:rPr>
          <w:rFonts w:ascii="Verdana" w:eastAsia="Calibri" w:hAnsi="Verdana" w:cs="Arial"/>
          <w:lang w:val="es-ES" w:eastAsia="es-ES"/>
        </w:rPr>
        <w:t>re</w:t>
      </w:r>
      <w:r w:rsidRPr="00FF0864">
        <w:rPr>
          <w:rFonts w:ascii="Verdana" w:eastAsia="Calibri" w:hAnsi="Verdana" w:cs="Arial"/>
          <w:lang w:val="es-ES" w:eastAsia="es-ES"/>
        </w:rPr>
        <w:t xml:space="preserve"> de 2024, en la cual manifiesta lo siguiente: </w:t>
      </w:r>
    </w:p>
    <w:p w14:paraId="35AFAAA8" w14:textId="77777777" w:rsidR="00AB64A5" w:rsidRPr="00FF0864" w:rsidRDefault="00AB64A5" w:rsidP="00AB64A5">
      <w:pPr>
        <w:spacing w:after="0" w:line="240" w:lineRule="auto"/>
        <w:ind w:left="709" w:right="709"/>
        <w:jc w:val="both"/>
        <w:rPr>
          <w:rFonts w:ascii="Verdana" w:hAnsi="Verdana" w:cs="Arial"/>
          <w:shd w:val="clear" w:color="auto" w:fill="FFFFFF"/>
        </w:rPr>
      </w:pPr>
      <w:bookmarkStart w:id="2" w:name="_Hlk95313578"/>
    </w:p>
    <w:bookmarkEnd w:id="2"/>
    <w:p w14:paraId="7B519A8F" w14:textId="77777777" w:rsidR="00976885" w:rsidRPr="00976885" w:rsidRDefault="00FC3EC1" w:rsidP="00976885">
      <w:pPr>
        <w:spacing w:after="0" w:line="276" w:lineRule="auto"/>
        <w:ind w:left="709" w:right="758"/>
        <w:jc w:val="both"/>
        <w:rPr>
          <w:rFonts w:ascii="Verdana" w:eastAsia="Calibri" w:hAnsi="Verdana" w:cs="Arial"/>
          <w:sz w:val="21"/>
          <w:szCs w:val="21"/>
          <w:lang w:eastAsia="es-ES"/>
        </w:rPr>
      </w:pPr>
      <w:r w:rsidRPr="00FF0864">
        <w:rPr>
          <w:rFonts w:ascii="Verdana" w:eastAsia="Calibri" w:hAnsi="Verdana" w:cs="Arial"/>
          <w:sz w:val="21"/>
          <w:szCs w:val="21"/>
          <w:lang w:val="es-ES" w:eastAsia="es-ES"/>
        </w:rPr>
        <w:t>“</w:t>
      </w:r>
      <w:r w:rsidR="00976885" w:rsidRPr="00976885">
        <w:rPr>
          <w:rFonts w:ascii="Verdana" w:eastAsia="Calibri" w:hAnsi="Verdana" w:cs="Arial"/>
          <w:sz w:val="21"/>
          <w:szCs w:val="21"/>
          <w:lang w:eastAsia="es-ES"/>
        </w:rPr>
        <w:t xml:space="preserve">Respetados señores, con el propósito de tener más claridad respecto de la posible inhabilidad o incompatibilidad que pueda existir entre la </w:t>
      </w:r>
      <w:r w:rsidR="00976885" w:rsidRPr="00976885">
        <w:rPr>
          <w:rFonts w:ascii="Verdana" w:eastAsia="Calibri" w:hAnsi="Verdana" w:cs="Arial"/>
          <w:sz w:val="21"/>
          <w:szCs w:val="21"/>
          <w:lang w:eastAsia="es-ES"/>
        </w:rPr>
        <w:lastRenderedPageBreak/>
        <w:t>empresa oficial prestadora de servicios públicos y la entidad territorial (municipio) al participar en un proceso de licitación pública y quedar contratista. Es decir que como comúnmente tienen relación contractual mediante la modalidad de contratación directa en convenios interadministrativos, la empresa desea participar en las licitaciones sobre otros tipos de contrato que solo puede adelantar la entidad territorial mediante licitación.</w:t>
      </w:r>
    </w:p>
    <w:p w14:paraId="04A364CD" w14:textId="77777777" w:rsidR="00976885" w:rsidRPr="00976885" w:rsidRDefault="00976885" w:rsidP="00976885">
      <w:pPr>
        <w:spacing w:after="0" w:line="276" w:lineRule="auto"/>
        <w:ind w:left="709" w:right="758"/>
        <w:jc w:val="both"/>
        <w:rPr>
          <w:rFonts w:ascii="Verdana" w:eastAsia="Calibri" w:hAnsi="Verdana" w:cs="Arial"/>
          <w:sz w:val="21"/>
          <w:szCs w:val="21"/>
          <w:lang w:eastAsia="es-ES"/>
        </w:rPr>
      </w:pPr>
    </w:p>
    <w:p w14:paraId="0B5EC1E6" w14:textId="77777777" w:rsidR="00976885" w:rsidRPr="00976885" w:rsidRDefault="00976885" w:rsidP="00976885">
      <w:pPr>
        <w:spacing w:after="0" w:line="276" w:lineRule="auto"/>
        <w:ind w:left="709" w:right="758"/>
        <w:jc w:val="both"/>
        <w:rPr>
          <w:rFonts w:ascii="Verdana" w:eastAsia="Calibri" w:hAnsi="Verdana" w:cs="Arial"/>
          <w:sz w:val="21"/>
          <w:szCs w:val="21"/>
          <w:lang w:eastAsia="es-ES"/>
        </w:rPr>
      </w:pPr>
      <w:r w:rsidRPr="00976885">
        <w:rPr>
          <w:rFonts w:ascii="Verdana" w:eastAsia="Calibri" w:hAnsi="Verdana" w:cs="Arial"/>
          <w:sz w:val="21"/>
          <w:szCs w:val="21"/>
          <w:lang w:eastAsia="es-ES"/>
        </w:rPr>
        <w:t>COSULTA:</w:t>
      </w:r>
    </w:p>
    <w:p w14:paraId="4D415B96" w14:textId="77777777" w:rsidR="00976885" w:rsidRPr="00976885" w:rsidRDefault="00976885" w:rsidP="00976885">
      <w:pPr>
        <w:spacing w:after="0" w:line="276" w:lineRule="auto"/>
        <w:ind w:left="709" w:right="758"/>
        <w:jc w:val="both"/>
        <w:rPr>
          <w:rFonts w:ascii="Verdana" w:eastAsia="Calibri" w:hAnsi="Verdana" w:cs="Arial"/>
          <w:sz w:val="21"/>
          <w:szCs w:val="21"/>
          <w:lang w:eastAsia="es-ES"/>
        </w:rPr>
      </w:pPr>
    </w:p>
    <w:p w14:paraId="5F636AD3" w14:textId="77777777" w:rsidR="00976885" w:rsidRPr="00976885" w:rsidRDefault="00976885" w:rsidP="00976885">
      <w:pPr>
        <w:spacing w:after="0" w:line="276" w:lineRule="auto"/>
        <w:ind w:left="709" w:right="758"/>
        <w:jc w:val="both"/>
        <w:rPr>
          <w:rFonts w:ascii="Verdana" w:eastAsia="Calibri" w:hAnsi="Verdana" w:cs="Arial"/>
          <w:sz w:val="21"/>
          <w:szCs w:val="21"/>
          <w:lang w:eastAsia="es-ES"/>
        </w:rPr>
      </w:pPr>
      <w:r w:rsidRPr="00976885">
        <w:rPr>
          <w:rFonts w:ascii="Verdana" w:eastAsia="Calibri" w:hAnsi="Verdana" w:cs="Arial"/>
          <w:sz w:val="21"/>
          <w:szCs w:val="21"/>
          <w:lang w:eastAsia="es-ES"/>
        </w:rPr>
        <w:t>1. ¿Pueden las empresas oficiales de servicios públicos participar en convocatorias de contratación del ente territorial (municipio) que es su único accionista, es decir su propietario?.</w:t>
      </w:r>
    </w:p>
    <w:p w14:paraId="0405F89F" w14:textId="77777777" w:rsidR="00976885" w:rsidRPr="00976885" w:rsidRDefault="00976885" w:rsidP="00976885">
      <w:pPr>
        <w:spacing w:after="0" w:line="276" w:lineRule="auto"/>
        <w:ind w:left="709" w:right="758"/>
        <w:jc w:val="both"/>
        <w:rPr>
          <w:rFonts w:ascii="Verdana" w:eastAsia="Calibri" w:hAnsi="Verdana" w:cs="Arial"/>
          <w:sz w:val="21"/>
          <w:szCs w:val="21"/>
          <w:lang w:eastAsia="es-ES"/>
        </w:rPr>
      </w:pPr>
    </w:p>
    <w:p w14:paraId="741FA8AD" w14:textId="77777777" w:rsidR="00976885" w:rsidRPr="00976885" w:rsidRDefault="00976885" w:rsidP="00976885">
      <w:pPr>
        <w:spacing w:after="0" w:line="276" w:lineRule="auto"/>
        <w:ind w:left="709" w:right="758"/>
        <w:jc w:val="both"/>
        <w:rPr>
          <w:rFonts w:ascii="Verdana" w:eastAsia="Calibri" w:hAnsi="Verdana" w:cs="Arial"/>
          <w:sz w:val="21"/>
          <w:szCs w:val="21"/>
          <w:lang w:eastAsia="es-ES"/>
        </w:rPr>
      </w:pPr>
      <w:r w:rsidRPr="00976885">
        <w:rPr>
          <w:rFonts w:ascii="Verdana" w:eastAsia="Calibri" w:hAnsi="Verdana" w:cs="Arial"/>
          <w:sz w:val="21"/>
          <w:szCs w:val="21"/>
          <w:lang w:eastAsia="es-ES"/>
        </w:rPr>
        <w:t>2. ¿En qué casos no podría participar o contratar directamente la empresa oficial de servicios públicos con la entidad territorial a la que pertenece?</w:t>
      </w:r>
    </w:p>
    <w:p w14:paraId="7D96E889" w14:textId="77777777" w:rsidR="00976885" w:rsidRPr="00976885" w:rsidRDefault="00976885" w:rsidP="00976885">
      <w:pPr>
        <w:spacing w:after="0" w:line="276" w:lineRule="auto"/>
        <w:ind w:left="709" w:right="758"/>
        <w:jc w:val="both"/>
        <w:rPr>
          <w:rFonts w:ascii="Verdana" w:eastAsia="Calibri" w:hAnsi="Verdana" w:cs="Arial"/>
          <w:sz w:val="21"/>
          <w:szCs w:val="21"/>
          <w:lang w:eastAsia="es-ES"/>
        </w:rPr>
      </w:pPr>
    </w:p>
    <w:p w14:paraId="4E543B6E" w14:textId="12FB51C4" w:rsidR="00AB64A5" w:rsidRPr="00976885" w:rsidRDefault="00976885" w:rsidP="00976885">
      <w:pPr>
        <w:spacing w:after="0" w:line="276" w:lineRule="auto"/>
        <w:ind w:left="709" w:right="758"/>
        <w:jc w:val="both"/>
        <w:rPr>
          <w:rFonts w:ascii="Verdana" w:eastAsia="Calibri" w:hAnsi="Verdana" w:cs="Arial"/>
          <w:sz w:val="21"/>
          <w:szCs w:val="21"/>
          <w:lang w:eastAsia="es-ES"/>
        </w:rPr>
      </w:pPr>
      <w:r w:rsidRPr="00976885">
        <w:rPr>
          <w:rFonts w:ascii="Verdana" w:eastAsia="Calibri" w:hAnsi="Verdana" w:cs="Arial"/>
          <w:sz w:val="21"/>
          <w:szCs w:val="21"/>
          <w:lang w:eastAsia="es-ES"/>
        </w:rPr>
        <w:t>3. ¿Cuáles serían las modalidades de contratación de la entidad territorial (municipio), en la que la empresa oficial de servicios públicos, propiedad de la misma entidad territorial, pueda contratar o participar en convocatorias?</w:t>
      </w:r>
      <w:r w:rsidR="00FF0864" w:rsidRPr="00FF0864">
        <w:rPr>
          <w:rFonts w:ascii="Verdana" w:eastAsia="Calibri" w:hAnsi="Verdana" w:cs="Arial"/>
          <w:sz w:val="21"/>
          <w:szCs w:val="21"/>
          <w:lang w:val="es-ES" w:eastAsia="es-ES"/>
        </w:rPr>
        <w:t xml:space="preserve"> </w:t>
      </w:r>
      <w:r w:rsidR="00FC3EC1" w:rsidRPr="00FF0864">
        <w:rPr>
          <w:rFonts w:ascii="Verdana" w:eastAsia="Calibri" w:hAnsi="Verdana" w:cs="Arial"/>
          <w:sz w:val="21"/>
          <w:szCs w:val="21"/>
          <w:lang w:val="es-ES" w:eastAsia="es-ES"/>
        </w:rPr>
        <w:t>[sic]</w:t>
      </w:r>
      <w:r w:rsidR="00A96BF0" w:rsidRPr="00FF0864">
        <w:rPr>
          <w:rFonts w:ascii="Verdana" w:eastAsia="Calibri" w:hAnsi="Verdana" w:cs="Arial"/>
          <w:sz w:val="21"/>
          <w:szCs w:val="21"/>
          <w:lang w:val="es-ES" w:eastAsia="es-ES"/>
        </w:rPr>
        <w:t>”</w:t>
      </w:r>
    </w:p>
    <w:p w14:paraId="59ACC790" w14:textId="77777777" w:rsidR="00FC3EC1" w:rsidRPr="00FF0864" w:rsidRDefault="00FC3EC1" w:rsidP="00FC3EC1">
      <w:pPr>
        <w:spacing w:after="0" w:line="276" w:lineRule="auto"/>
        <w:ind w:left="709" w:right="758"/>
        <w:jc w:val="both"/>
        <w:rPr>
          <w:rFonts w:ascii="Verdana" w:eastAsia="Century Gothic" w:hAnsi="Verdana" w:cs="Century Gothic"/>
          <w:i/>
          <w:iCs/>
        </w:rPr>
      </w:pPr>
    </w:p>
    <w:p w14:paraId="1078C241" w14:textId="77777777" w:rsidR="00AB64A5" w:rsidRPr="00FF0864" w:rsidRDefault="00AB64A5" w:rsidP="00AB64A5">
      <w:pPr>
        <w:spacing w:after="120" w:line="276" w:lineRule="auto"/>
        <w:ind w:firstLine="709"/>
        <w:jc w:val="both"/>
        <w:rPr>
          <w:rFonts w:ascii="Verdana" w:eastAsia="Calibri" w:hAnsi="Verdana" w:cs="Arial"/>
          <w:color w:val="000000"/>
          <w:lang w:val="es-ES_tradnl" w:eastAsia="es-ES_tradnl"/>
        </w:rPr>
      </w:pPr>
      <w:r w:rsidRPr="00FF0864">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F0864">
        <w:rPr>
          <w:rFonts w:ascii="Verdana" w:eastAsia="Calibri" w:hAnsi="Verdana" w:cs="Arial"/>
          <w:color w:val="000000"/>
          <w:lang w:val="es-ES_tradnl" w:eastAsia="es-ES_tradnl"/>
        </w:rPr>
        <w:tab/>
      </w:r>
    </w:p>
    <w:p w14:paraId="03C1028C" w14:textId="77777777" w:rsidR="00AB64A5" w:rsidRPr="00FF0864" w:rsidRDefault="00AB64A5" w:rsidP="00AB64A5">
      <w:pPr>
        <w:spacing w:after="0" w:line="276" w:lineRule="auto"/>
        <w:ind w:firstLine="709"/>
        <w:jc w:val="both"/>
        <w:rPr>
          <w:rFonts w:ascii="Verdana" w:eastAsia="Calibri" w:hAnsi="Verdana" w:cs="Arial"/>
          <w:color w:val="000000"/>
          <w:lang w:val="es-ES" w:eastAsia="es-ES"/>
        </w:rPr>
      </w:pPr>
      <w:r w:rsidRPr="00FF0864">
        <w:rPr>
          <w:rFonts w:ascii="Verdana" w:eastAsia="Calibri" w:hAnsi="Verdana" w:cs="Arial"/>
          <w:color w:val="000000"/>
          <w:lang w:val="es-ES" w:eastAsia="es-ES"/>
        </w:rPr>
        <w:lastRenderedPageBreak/>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FF0864">
        <w:rPr>
          <w:rFonts w:ascii="Verdana" w:eastAsia="Calibri" w:hAnsi="Verdana" w:cs="Arial"/>
          <w:color w:val="7030A0"/>
          <w:lang w:val="es-ES" w:eastAsia="es-ES"/>
        </w:rPr>
        <w:t xml:space="preserve"> </w:t>
      </w:r>
      <w:r w:rsidRPr="00FF0864">
        <w:rPr>
          <w:rFonts w:ascii="Verdana" w:eastAsia="Calibri" w:hAnsi="Verdana" w:cs="Arial"/>
          <w:color w:val="000000"/>
          <w:lang w:val="es-ES" w:eastAsia="es-ES"/>
        </w:rPr>
        <w:t>jurídico</w:t>
      </w:r>
      <w:r w:rsidRPr="00FF0864">
        <w:rPr>
          <w:rFonts w:ascii="Verdana" w:eastAsia="Calibri" w:hAnsi="Verdana" w:cs="Arial"/>
          <w:color w:val="7030A0"/>
          <w:lang w:val="es-ES" w:eastAsia="es-ES"/>
        </w:rPr>
        <w:t xml:space="preserve"> </w:t>
      </w:r>
      <w:r w:rsidRPr="00FF0864">
        <w:rPr>
          <w:rFonts w:ascii="Verdana" w:eastAsia="Calibri" w:hAnsi="Verdana" w:cs="Arial"/>
          <w:color w:val="000000"/>
          <w:lang w:val="es-ES" w:eastAsia="es-ES"/>
        </w:rPr>
        <w:t xml:space="preserve">de su consulta. </w:t>
      </w:r>
    </w:p>
    <w:p w14:paraId="1E8B5A8D" w14:textId="77777777" w:rsidR="00AB64A5" w:rsidRPr="00FF0864" w:rsidRDefault="00AB64A5" w:rsidP="00AB64A5">
      <w:pPr>
        <w:spacing w:after="0" w:line="276" w:lineRule="auto"/>
        <w:ind w:firstLine="709"/>
        <w:jc w:val="both"/>
        <w:rPr>
          <w:rFonts w:ascii="Verdana" w:eastAsia="Calibri" w:hAnsi="Verdana" w:cs="Arial"/>
          <w:color w:val="000000"/>
          <w:lang w:val="es-ES" w:eastAsia="es-ES"/>
        </w:rPr>
      </w:pPr>
    </w:p>
    <w:p w14:paraId="631D94B5" w14:textId="77777777" w:rsidR="00AB64A5" w:rsidRPr="00FF0864" w:rsidRDefault="00AB64A5" w:rsidP="00AB64A5">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FF0864">
        <w:rPr>
          <w:rFonts w:ascii="Verdana" w:eastAsia="Century Gothic" w:hAnsi="Verdana" w:cs="Century Gothic"/>
          <w:b/>
          <w:bCs/>
        </w:rPr>
        <w:t>Problema planteado:</w:t>
      </w:r>
    </w:p>
    <w:p w14:paraId="00DEDA85" w14:textId="77777777" w:rsidR="00AB64A5" w:rsidRPr="00FF0864" w:rsidRDefault="00AB64A5" w:rsidP="00AB64A5">
      <w:pPr>
        <w:tabs>
          <w:tab w:val="left" w:pos="426"/>
        </w:tabs>
        <w:spacing w:after="0" w:line="276" w:lineRule="auto"/>
        <w:jc w:val="both"/>
        <w:rPr>
          <w:rFonts w:ascii="Verdana" w:eastAsia="Century Gothic" w:hAnsi="Verdana" w:cs="Century Gothic"/>
          <w:lang w:val="es-ES"/>
        </w:rPr>
      </w:pPr>
    </w:p>
    <w:p w14:paraId="6C677CB7" w14:textId="6D757026" w:rsidR="00FC3EC1" w:rsidRPr="00FF0864" w:rsidRDefault="00AB64A5" w:rsidP="00553F39">
      <w:pPr>
        <w:spacing w:after="0" w:line="276" w:lineRule="auto"/>
        <w:ind w:right="49"/>
        <w:jc w:val="both"/>
        <w:rPr>
          <w:rFonts w:ascii="Verdana" w:eastAsia="Calibri" w:hAnsi="Verdana" w:cs="Arial"/>
          <w:lang w:val="es-ES" w:eastAsia="es-ES"/>
        </w:rPr>
      </w:pPr>
      <w:r w:rsidRPr="00FF0864">
        <w:rPr>
          <w:rFonts w:ascii="Verdana" w:eastAsia="Century Gothic" w:hAnsi="Verdana" w:cs="Century Gothic"/>
        </w:rPr>
        <w:t>De acuerdo con el contenido de su solicitud, esta Agencia resolverá el siguiente problema jurídic</w:t>
      </w:r>
      <w:r w:rsidR="0060538B" w:rsidRPr="00FF0864">
        <w:rPr>
          <w:rFonts w:ascii="Verdana" w:eastAsia="Century Gothic" w:hAnsi="Verdana" w:cs="Century Gothic"/>
        </w:rPr>
        <w:t>o</w:t>
      </w:r>
      <w:r w:rsidR="0060538B" w:rsidRPr="00FF0864">
        <w:rPr>
          <w:rFonts w:ascii="Verdana" w:eastAsia="Calibri" w:hAnsi="Verdana" w:cs="Times New Roman"/>
        </w:rPr>
        <w:t>: ¿</w:t>
      </w:r>
      <w:r w:rsidR="00942844" w:rsidRPr="00FF0864">
        <w:rPr>
          <w:rFonts w:ascii="Verdana" w:eastAsia="Calibri" w:hAnsi="Verdana" w:cs="Times New Roman"/>
        </w:rPr>
        <w:t>Puede una persona con inhabilidades e incompatibilidades suscribir un contrato de prestación de servicios con una entidad estatal</w:t>
      </w:r>
      <w:r w:rsidR="0060538B" w:rsidRPr="00FF0864">
        <w:rPr>
          <w:rFonts w:ascii="Verdana" w:eastAsia="Calibri" w:hAnsi="Verdana" w:cs="Times New Roman"/>
        </w:rPr>
        <w:t>?</w:t>
      </w:r>
    </w:p>
    <w:p w14:paraId="510EDFE3" w14:textId="77777777" w:rsidR="00CD258B" w:rsidRPr="00FF0864" w:rsidRDefault="00CD258B" w:rsidP="00CD258B">
      <w:pPr>
        <w:spacing w:after="0" w:line="276" w:lineRule="auto"/>
        <w:jc w:val="both"/>
        <w:rPr>
          <w:rFonts w:ascii="Verdana" w:eastAsia="Century Gothic" w:hAnsi="Verdana" w:cs="Century Gothic"/>
          <w:lang w:val="es-ES"/>
        </w:rPr>
      </w:pPr>
    </w:p>
    <w:p w14:paraId="7105E377" w14:textId="77777777" w:rsidR="00AB64A5" w:rsidRPr="00FF0864"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F0864">
        <w:rPr>
          <w:rFonts w:ascii="Verdana" w:eastAsia="Century Gothic" w:hAnsi="Verdana" w:cs="Century Gothic"/>
          <w:b/>
          <w:bCs/>
        </w:rPr>
        <w:t>Respuesta:</w:t>
      </w:r>
    </w:p>
    <w:p w14:paraId="09F450DC" w14:textId="77777777" w:rsidR="00AB64A5" w:rsidRPr="00FF0864" w:rsidRDefault="00AB64A5" w:rsidP="00AB64A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B64A5" w:rsidRPr="00FF0864" w14:paraId="7E3B28CD" w14:textId="77777777" w:rsidTr="007B0B27">
        <w:tc>
          <w:tcPr>
            <w:tcW w:w="8828" w:type="dxa"/>
            <w:shd w:val="clear" w:color="auto" w:fill="auto"/>
          </w:tcPr>
          <w:p w14:paraId="7BA37662" w14:textId="77777777" w:rsidR="00277AAC" w:rsidRDefault="00277AAC" w:rsidP="00277AAC">
            <w:pPr>
              <w:spacing w:line="276" w:lineRule="auto"/>
              <w:jc w:val="both"/>
              <w:rPr>
                <w:rFonts w:ascii="Verdana" w:hAnsi="Verdana" w:cs="Arial"/>
                <w:color w:val="000000"/>
              </w:rPr>
            </w:pPr>
            <w:r>
              <w:rPr>
                <w:rFonts w:ascii="Verdana" w:hAnsi="Verdana" w:cs="Arial"/>
                <w:color w:val="000000"/>
              </w:rPr>
              <w:t>E</w:t>
            </w:r>
            <w:r w:rsidRPr="00233FFC">
              <w:rPr>
                <w:rFonts w:ascii="Verdana" w:hAnsi="Verdana" w:cs="Arial"/>
                <w:color w:val="000000"/>
              </w:rPr>
              <w:t xml:space="preserve">l literal j) del numeral 1 del artículo 8 </w:t>
            </w:r>
            <w:r>
              <w:rPr>
                <w:rFonts w:ascii="Verdana" w:hAnsi="Verdana" w:cs="Arial"/>
                <w:color w:val="000000"/>
              </w:rPr>
              <w:t>de la Ley 80 de 1993</w:t>
            </w:r>
            <w:r w:rsidRPr="00233FFC">
              <w:rPr>
                <w:rFonts w:ascii="Verdana" w:hAnsi="Verdana" w:cs="Arial"/>
                <w:color w:val="000000"/>
              </w:rPr>
              <w:t xml:space="preserve"> establece </w:t>
            </w:r>
            <w:r>
              <w:rPr>
                <w:rFonts w:ascii="Verdana" w:hAnsi="Verdana" w:cs="Arial"/>
                <w:color w:val="000000"/>
              </w:rPr>
              <w:t>una inhabilidad que, en principio, afecta la capacidad jurídica tanto de personas naturales como de personas jurídicas, pero que, por virtud de los incisos 3 y 5 de la norma en cita, sus efectos se extienden a las sociedades de las que hagan parte dichas personas inhabilitadas solo en la medida en que detenten las calidades, no solo de representantes legales, sino de todas aquellas que señala la norma. En ese orden, resulta pertinente enlistar los sujetos a quienes aplica la inhabilidad contemplada en el literal j):</w:t>
            </w:r>
          </w:p>
          <w:p w14:paraId="490183EA" w14:textId="77777777" w:rsidR="00277AAC" w:rsidRDefault="00277AAC" w:rsidP="00277AAC">
            <w:pPr>
              <w:spacing w:line="276" w:lineRule="auto"/>
              <w:jc w:val="both"/>
              <w:rPr>
                <w:rFonts w:ascii="Verdana" w:hAnsi="Verdana" w:cs="Arial"/>
                <w:color w:val="000000"/>
              </w:rPr>
            </w:pPr>
          </w:p>
          <w:p w14:paraId="5A2E7AA7" w14:textId="77777777" w:rsidR="00277AAC" w:rsidRDefault="00277AAC" w:rsidP="00277AAC">
            <w:pPr>
              <w:spacing w:line="276" w:lineRule="auto"/>
              <w:jc w:val="both"/>
              <w:rPr>
                <w:rFonts w:ascii="Verdana" w:hAnsi="Verdana" w:cs="Arial"/>
                <w:color w:val="000000"/>
              </w:rPr>
            </w:pPr>
            <w:r>
              <w:rPr>
                <w:rFonts w:ascii="Verdana" w:hAnsi="Verdana" w:cs="Arial"/>
                <w:color w:val="000000"/>
              </w:rPr>
              <w:t>Para</w:t>
            </w:r>
            <w:r w:rsidRPr="007B17A8">
              <w:rPr>
                <w:rFonts w:ascii="Verdana" w:hAnsi="Verdana" w:cs="Arial"/>
                <w:color w:val="000000"/>
              </w:rPr>
              <w:t xml:space="preserve"> las </w:t>
            </w:r>
            <w:r w:rsidRPr="00E70B45">
              <w:rPr>
                <w:rFonts w:ascii="Verdana" w:hAnsi="Verdana" w:cs="Arial"/>
                <w:b/>
                <w:bCs/>
                <w:color w:val="000000"/>
                <w:u w:val="single"/>
              </w:rPr>
              <w:t>personas naturales</w:t>
            </w:r>
            <w:r w:rsidRPr="00154B35">
              <w:rPr>
                <w:rFonts w:ascii="Verdana" w:hAnsi="Verdana" w:cs="Arial"/>
                <w:color w:val="000000"/>
              </w:rPr>
              <w:t xml:space="preserve"> cuando:</w:t>
            </w:r>
          </w:p>
          <w:p w14:paraId="44243FEB" w14:textId="77777777" w:rsidR="00277AAC" w:rsidRPr="007B17A8" w:rsidRDefault="00277AAC" w:rsidP="00277AAC">
            <w:pPr>
              <w:spacing w:line="276" w:lineRule="auto"/>
              <w:jc w:val="both"/>
              <w:rPr>
                <w:rFonts w:ascii="Verdana" w:hAnsi="Verdana" w:cs="Arial"/>
                <w:color w:val="000000"/>
              </w:rPr>
            </w:pPr>
          </w:p>
          <w:p w14:paraId="3DB4FFC0" w14:textId="77777777" w:rsidR="00277AAC" w:rsidRPr="002420E3" w:rsidRDefault="00277AAC" w:rsidP="00277AAC">
            <w:pPr>
              <w:pStyle w:val="Prrafodelista"/>
              <w:numPr>
                <w:ilvl w:val="0"/>
                <w:numId w:val="33"/>
              </w:numPr>
              <w:spacing w:line="276" w:lineRule="auto"/>
              <w:jc w:val="both"/>
              <w:rPr>
                <w:rFonts w:ascii="Verdana" w:hAnsi="Verdana" w:cs="Arial"/>
                <w:color w:val="000000"/>
              </w:rPr>
            </w:pPr>
            <w:r>
              <w:rPr>
                <w:rFonts w:ascii="Verdana" w:hAnsi="Verdana" w:cs="Arial"/>
                <w:color w:val="000000"/>
              </w:rPr>
              <w:t xml:space="preserve">Aquellas hayan sido </w:t>
            </w:r>
            <w:r w:rsidRPr="002420E3">
              <w:rPr>
                <w:rFonts w:ascii="Verdana" w:hAnsi="Verdana" w:cs="Arial"/>
                <w:color w:val="000000"/>
              </w:rPr>
              <w:t>declaradas responsables judicialmente por la comisión de delitos contra la Administración pública</w:t>
            </w:r>
          </w:p>
          <w:p w14:paraId="63C4395F" w14:textId="77777777" w:rsidR="00277AAC" w:rsidRPr="00261077" w:rsidRDefault="00277AAC" w:rsidP="00277AAC">
            <w:pPr>
              <w:pStyle w:val="Prrafodelista"/>
              <w:numPr>
                <w:ilvl w:val="0"/>
                <w:numId w:val="33"/>
              </w:numPr>
              <w:spacing w:line="276" w:lineRule="auto"/>
              <w:jc w:val="both"/>
              <w:rPr>
                <w:rFonts w:ascii="Verdana" w:hAnsi="Verdana" w:cs="Arial"/>
                <w:color w:val="000000"/>
              </w:rPr>
            </w:pPr>
            <w:r>
              <w:rPr>
                <w:rFonts w:ascii="Verdana" w:hAnsi="Verdana" w:cs="Arial"/>
                <w:color w:val="000000"/>
              </w:rPr>
              <w:t xml:space="preserve">Aquellas hayan sido </w:t>
            </w:r>
            <w:r w:rsidRPr="002420E3">
              <w:rPr>
                <w:rFonts w:ascii="Verdana" w:hAnsi="Verdana" w:cs="Arial"/>
                <w:color w:val="000000"/>
              </w:rPr>
              <w:t>declaradas responsables judicialmente por la comisión de</w:t>
            </w:r>
            <w:r w:rsidRPr="00261077">
              <w:rPr>
                <w:rFonts w:ascii="Arial" w:hAnsi="Arial" w:cs="Arial"/>
                <w:color w:val="000000"/>
                <w:sz w:val="21"/>
                <w:szCs w:val="21"/>
              </w:rPr>
              <w:t xml:space="preserve"> </w:t>
            </w:r>
            <w:r w:rsidRPr="00261077">
              <w:rPr>
                <w:rFonts w:ascii="Verdana" w:hAnsi="Verdana" w:cs="Arial"/>
                <w:color w:val="000000"/>
              </w:rPr>
              <w:t>cualquiera de los delitos o faltas contempladas por la Ley 1474 de 2011 y sus normas modificatorias</w:t>
            </w:r>
          </w:p>
          <w:p w14:paraId="79D9DC6E" w14:textId="77777777" w:rsidR="00277AAC" w:rsidRPr="00190D22" w:rsidRDefault="00277AAC" w:rsidP="00277AAC">
            <w:pPr>
              <w:pStyle w:val="Prrafodelista"/>
              <w:numPr>
                <w:ilvl w:val="0"/>
                <w:numId w:val="33"/>
              </w:numPr>
              <w:spacing w:line="276" w:lineRule="auto"/>
              <w:jc w:val="both"/>
              <w:rPr>
                <w:rFonts w:ascii="Verdana" w:hAnsi="Verdana" w:cs="Arial"/>
                <w:color w:val="000000"/>
              </w:rPr>
            </w:pPr>
            <w:r>
              <w:rPr>
                <w:rFonts w:ascii="Verdana" w:hAnsi="Verdana" w:cs="Arial"/>
                <w:color w:val="000000"/>
              </w:rPr>
              <w:t xml:space="preserve">Aquellas hayan sido </w:t>
            </w:r>
            <w:r w:rsidRPr="002420E3">
              <w:rPr>
                <w:rFonts w:ascii="Verdana" w:hAnsi="Verdana" w:cs="Arial"/>
                <w:color w:val="000000"/>
              </w:rPr>
              <w:t>declaradas responsables judicialmente por la comisión de</w:t>
            </w:r>
            <w:r>
              <w:rPr>
                <w:rFonts w:ascii="Verdana" w:hAnsi="Verdana" w:cs="Arial"/>
                <w:color w:val="000000"/>
              </w:rPr>
              <w:t xml:space="preserve"> </w:t>
            </w:r>
            <w:r w:rsidRPr="00190D22">
              <w:rPr>
                <w:rFonts w:ascii="Verdana" w:hAnsi="Verdana" w:cs="Arial"/>
                <w:color w:val="000000"/>
              </w:rPr>
              <w:t>cualquiera de las conductas delictivas contempladas por las convenciones o tratados de lucha contra la corrupción suscritos y ratificados por Colombia</w:t>
            </w:r>
          </w:p>
          <w:p w14:paraId="35EA6FE2" w14:textId="77777777" w:rsidR="00277AAC" w:rsidRDefault="00277AAC" w:rsidP="00277AAC">
            <w:pPr>
              <w:spacing w:line="276" w:lineRule="auto"/>
              <w:jc w:val="both"/>
              <w:rPr>
                <w:rFonts w:ascii="Verdana" w:hAnsi="Verdana" w:cs="Arial"/>
                <w:color w:val="000000"/>
              </w:rPr>
            </w:pPr>
          </w:p>
          <w:p w14:paraId="7DD2F7C1" w14:textId="77777777" w:rsidR="00277AAC" w:rsidRDefault="00277AAC" w:rsidP="00277AAC">
            <w:pPr>
              <w:spacing w:line="276" w:lineRule="auto"/>
              <w:jc w:val="both"/>
              <w:rPr>
                <w:rFonts w:ascii="Verdana" w:hAnsi="Verdana" w:cs="Arial"/>
                <w:color w:val="000000"/>
              </w:rPr>
            </w:pPr>
            <w:r>
              <w:rPr>
                <w:rFonts w:ascii="Verdana" w:hAnsi="Verdana" w:cs="Arial"/>
                <w:color w:val="000000"/>
              </w:rPr>
              <w:lastRenderedPageBreak/>
              <w:t>Para</w:t>
            </w:r>
            <w:r w:rsidRPr="007B17A8">
              <w:rPr>
                <w:rFonts w:ascii="Verdana" w:hAnsi="Verdana" w:cs="Arial"/>
                <w:color w:val="000000"/>
              </w:rPr>
              <w:t xml:space="preserve"> las </w:t>
            </w:r>
            <w:r w:rsidRPr="00E70B45">
              <w:rPr>
                <w:rFonts w:ascii="Verdana" w:hAnsi="Verdana" w:cs="Arial"/>
                <w:b/>
                <w:bCs/>
                <w:color w:val="000000"/>
                <w:u w:val="single"/>
              </w:rPr>
              <w:t>personas jurídicas</w:t>
            </w:r>
            <w:r w:rsidRPr="00154B35">
              <w:rPr>
                <w:rFonts w:ascii="Verdana" w:hAnsi="Verdana" w:cs="Arial"/>
                <w:color w:val="000000"/>
              </w:rPr>
              <w:t xml:space="preserve"> cuando:</w:t>
            </w:r>
          </w:p>
          <w:p w14:paraId="2177B255" w14:textId="77777777" w:rsidR="00277AAC" w:rsidRDefault="00277AAC" w:rsidP="00277AAC">
            <w:pPr>
              <w:spacing w:line="276" w:lineRule="auto"/>
              <w:jc w:val="both"/>
              <w:rPr>
                <w:rFonts w:ascii="Verdana" w:hAnsi="Verdana" w:cs="Arial"/>
                <w:color w:val="000000"/>
              </w:rPr>
            </w:pPr>
          </w:p>
          <w:p w14:paraId="08012D3E" w14:textId="77777777" w:rsidR="00277AAC" w:rsidRPr="00BA690F" w:rsidRDefault="00277AAC" w:rsidP="00277AAC">
            <w:pPr>
              <w:pStyle w:val="Prrafodelista"/>
              <w:numPr>
                <w:ilvl w:val="0"/>
                <w:numId w:val="34"/>
              </w:numPr>
              <w:spacing w:line="276" w:lineRule="auto"/>
              <w:jc w:val="both"/>
              <w:rPr>
                <w:rFonts w:ascii="Verdana" w:hAnsi="Verdana" w:cs="Arial"/>
                <w:color w:val="000000"/>
              </w:rPr>
            </w:pPr>
            <w:r>
              <w:rPr>
                <w:rFonts w:ascii="Verdana" w:hAnsi="Verdana" w:cs="Arial"/>
                <w:color w:val="000000"/>
              </w:rPr>
              <w:t xml:space="preserve">Aquellas </w:t>
            </w:r>
            <w:r w:rsidRPr="00B762F7">
              <w:rPr>
                <w:rFonts w:ascii="Verdana" w:hAnsi="Verdana" w:cs="Arial"/>
                <w:color w:val="000000"/>
              </w:rPr>
              <w:t>hayan sido declaradas responsables administrativamente por la conducta de soborno transnacional</w:t>
            </w:r>
          </w:p>
          <w:p w14:paraId="30314624" w14:textId="77777777" w:rsidR="00277AAC" w:rsidRPr="0058149C" w:rsidRDefault="00277AAC" w:rsidP="00277AAC">
            <w:pPr>
              <w:pStyle w:val="Prrafodelista"/>
              <w:numPr>
                <w:ilvl w:val="0"/>
                <w:numId w:val="34"/>
              </w:numPr>
              <w:spacing w:line="276" w:lineRule="auto"/>
              <w:jc w:val="both"/>
              <w:rPr>
                <w:rFonts w:ascii="Verdana" w:hAnsi="Verdana" w:cs="Arial"/>
                <w:color w:val="000000"/>
              </w:rPr>
            </w:pPr>
            <w:r>
              <w:rPr>
                <w:rFonts w:ascii="Verdana" w:hAnsi="Verdana" w:cs="Arial"/>
                <w:color w:val="000000"/>
              </w:rPr>
              <w:t xml:space="preserve">Se les </w:t>
            </w:r>
            <w:r w:rsidRPr="00F22252">
              <w:rPr>
                <w:rFonts w:ascii="Verdana" w:hAnsi="Verdana" w:cs="Arial"/>
                <w:color w:val="000000"/>
              </w:rPr>
              <w:t>haya ordenado la suspensión de la perso</w:t>
            </w:r>
            <w:r w:rsidRPr="00F22252">
              <w:rPr>
                <w:rFonts w:ascii="Verdana" w:hAnsi="Verdana" w:cs="Arial"/>
                <w:color w:val="000000"/>
              </w:rPr>
              <w:softHyphen/>
              <w:t>nería jurídica en los términos de ley</w:t>
            </w:r>
          </w:p>
          <w:p w14:paraId="6D5CA9C5" w14:textId="77777777" w:rsidR="00277AAC" w:rsidRPr="003F2B10" w:rsidRDefault="00277AAC" w:rsidP="00277AAC">
            <w:pPr>
              <w:pStyle w:val="Prrafodelista"/>
              <w:numPr>
                <w:ilvl w:val="0"/>
                <w:numId w:val="34"/>
              </w:numPr>
              <w:spacing w:line="276" w:lineRule="auto"/>
              <w:jc w:val="both"/>
              <w:rPr>
                <w:rFonts w:ascii="Verdana" w:hAnsi="Verdana" w:cs="Arial"/>
                <w:color w:val="000000"/>
              </w:rPr>
            </w:pPr>
            <w:r>
              <w:rPr>
                <w:rFonts w:ascii="Verdana" w:hAnsi="Verdana" w:cs="Arial"/>
                <w:color w:val="000000"/>
              </w:rPr>
              <w:t xml:space="preserve">Sus </w:t>
            </w:r>
            <w:r w:rsidRPr="00424AF2">
              <w:rPr>
                <w:rFonts w:ascii="Verdana" w:hAnsi="Verdana" w:cs="Arial"/>
                <w:color w:val="000000"/>
              </w:rPr>
              <w:t>representantes legales, ad</w:t>
            </w:r>
            <w:r w:rsidRPr="00424AF2">
              <w:rPr>
                <w:rFonts w:ascii="Verdana" w:hAnsi="Verdana" w:cs="Arial"/>
                <w:color w:val="000000"/>
              </w:rPr>
              <w:softHyphen/>
              <w:t xml:space="preserve">ministradores de hecho o de derecho, miembros de junta directiva o </w:t>
            </w:r>
            <w:r w:rsidRPr="00FA11AD">
              <w:rPr>
                <w:rFonts w:ascii="Verdana" w:hAnsi="Verdana" w:cs="Arial"/>
                <w:color w:val="000000"/>
                <w:u w:val="single"/>
              </w:rPr>
              <w:t>sus socios controlantes, sus matrices, subordinadas</w:t>
            </w:r>
            <w:r w:rsidRPr="00424AF2">
              <w:rPr>
                <w:rFonts w:ascii="Verdana" w:hAnsi="Verdana" w:cs="Arial"/>
                <w:color w:val="000000"/>
              </w:rPr>
              <w:t xml:space="preserve"> y/o las sucursales de sociedades extranjeras, hayan sido beneficiados con la aplicación de un principio de oportunidad por cualquier delito contra la Administración pública o el patrimonio del Estado</w:t>
            </w:r>
          </w:p>
          <w:p w14:paraId="16E9CA7A" w14:textId="77777777" w:rsidR="00277AAC" w:rsidRDefault="00277AAC" w:rsidP="00277AAC">
            <w:pPr>
              <w:spacing w:line="276" w:lineRule="auto"/>
              <w:jc w:val="both"/>
              <w:rPr>
                <w:rFonts w:ascii="Verdana" w:hAnsi="Verdana" w:cs="Arial"/>
                <w:color w:val="000000"/>
              </w:rPr>
            </w:pPr>
          </w:p>
          <w:p w14:paraId="220970FB" w14:textId="77777777" w:rsidR="00277AAC" w:rsidRDefault="00277AAC" w:rsidP="00277AAC">
            <w:pPr>
              <w:spacing w:line="276" w:lineRule="auto"/>
              <w:jc w:val="both"/>
              <w:rPr>
                <w:rFonts w:ascii="Verdana" w:hAnsi="Verdana" w:cs="Arial"/>
                <w:color w:val="000000"/>
              </w:rPr>
            </w:pPr>
            <w:r>
              <w:rPr>
                <w:rFonts w:ascii="Verdana" w:hAnsi="Verdana" w:cs="Arial"/>
                <w:color w:val="000000"/>
              </w:rPr>
              <w:t xml:space="preserve">Visto lo anterior, es posible afirmar que para el caso de para las </w:t>
            </w:r>
            <w:r w:rsidRPr="00E70B45">
              <w:rPr>
                <w:rFonts w:ascii="Verdana" w:hAnsi="Verdana" w:cs="Arial"/>
                <w:b/>
                <w:bCs/>
                <w:color w:val="000000"/>
              </w:rPr>
              <w:t>personas naturales</w:t>
            </w:r>
            <w:r>
              <w:rPr>
                <w:rFonts w:ascii="Verdana" w:hAnsi="Verdana" w:cs="Arial"/>
                <w:b/>
                <w:bCs/>
                <w:color w:val="000000"/>
              </w:rPr>
              <w:t xml:space="preserve"> y jurídicas</w:t>
            </w:r>
            <w:r>
              <w:rPr>
                <w:rFonts w:ascii="Verdana" w:hAnsi="Verdana" w:cs="Arial"/>
                <w:color w:val="000000"/>
              </w:rPr>
              <w:t xml:space="preserve">, </w:t>
            </w:r>
            <w:r w:rsidRPr="00CF61A9">
              <w:rPr>
                <w:rFonts w:ascii="Verdana" w:hAnsi="Verdana" w:cs="Arial"/>
                <w:color w:val="000000"/>
                <w:u w:val="single"/>
              </w:rPr>
              <w:t>sus efectos se extienden a las sociedades de las que hagan parte dichas personas</w:t>
            </w:r>
            <w:r w:rsidRPr="00582259">
              <w:rPr>
                <w:rFonts w:ascii="Verdana" w:hAnsi="Verdana" w:cs="Arial"/>
                <w:color w:val="000000"/>
              </w:rPr>
              <w:t xml:space="preserve"> en </w:t>
            </w:r>
            <w:r>
              <w:rPr>
                <w:rFonts w:ascii="Verdana" w:hAnsi="Verdana" w:cs="Arial"/>
                <w:color w:val="000000"/>
              </w:rPr>
              <w:t>las siguientes calidades:</w:t>
            </w:r>
          </w:p>
          <w:p w14:paraId="5F400BAC" w14:textId="77777777" w:rsidR="00277AAC" w:rsidRDefault="00277AAC" w:rsidP="00277AAC">
            <w:pPr>
              <w:spacing w:line="276" w:lineRule="auto"/>
              <w:jc w:val="both"/>
              <w:rPr>
                <w:rFonts w:ascii="Verdana" w:hAnsi="Verdana" w:cs="Arial"/>
                <w:color w:val="000000"/>
              </w:rPr>
            </w:pPr>
          </w:p>
          <w:p w14:paraId="370CB20E" w14:textId="77777777" w:rsidR="00277AAC" w:rsidRDefault="00277AAC" w:rsidP="00277AAC">
            <w:pPr>
              <w:pStyle w:val="Prrafodelista"/>
              <w:numPr>
                <w:ilvl w:val="0"/>
                <w:numId w:val="35"/>
              </w:numPr>
              <w:spacing w:line="276" w:lineRule="auto"/>
              <w:jc w:val="both"/>
              <w:rPr>
                <w:rFonts w:ascii="Verdana" w:hAnsi="Verdana" w:cs="Arial"/>
                <w:color w:val="000000"/>
              </w:rPr>
            </w:pPr>
            <w:r w:rsidRPr="00034E0E">
              <w:rPr>
                <w:rFonts w:ascii="Verdana" w:hAnsi="Verdana" w:cs="Arial"/>
                <w:color w:val="000000"/>
              </w:rPr>
              <w:t xml:space="preserve">administradores, </w:t>
            </w:r>
          </w:p>
          <w:p w14:paraId="7D17A47D" w14:textId="77777777" w:rsidR="00277AAC" w:rsidRDefault="00277AAC" w:rsidP="00277AAC">
            <w:pPr>
              <w:pStyle w:val="Prrafodelista"/>
              <w:numPr>
                <w:ilvl w:val="0"/>
                <w:numId w:val="35"/>
              </w:numPr>
              <w:spacing w:line="276" w:lineRule="auto"/>
              <w:jc w:val="both"/>
              <w:rPr>
                <w:rFonts w:ascii="Verdana" w:hAnsi="Verdana" w:cs="Arial"/>
                <w:color w:val="000000"/>
              </w:rPr>
            </w:pPr>
            <w:r w:rsidRPr="00034E0E">
              <w:rPr>
                <w:rFonts w:ascii="Verdana" w:hAnsi="Verdana" w:cs="Arial"/>
                <w:color w:val="000000"/>
              </w:rPr>
              <w:t>represen</w:t>
            </w:r>
            <w:r w:rsidRPr="00034E0E">
              <w:rPr>
                <w:rFonts w:ascii="Verdana" w:hAnsi="Verdana" w:cs="Arial"/>
                <w:color w:val="000000"/>
              </w:rPr>
              <w:softHyphen/>
              <w:t xml:space="preserve">tantes legales, </w:t>
            </w:r>
          </w:p>
          <w:p w14:paraId="0F0E54B6" w14:textId="77777777" w:rsidR="00277AAC" w:rsidRDefault="00277AAC" w:rsidP="00277AAC">
            <w:pPr>
              <w:pStyle w:val="Prrafodelista"/>
              <w:numPr>
                <w:ilvl w:val="0"/>
                <w:numId w:val="35"/>
              </w:numPr>
              <w:spacing w:line="276" w:lineRule="auto"/>
              <w:jc w:val="both"/>
              <w:rPr>
                <w:rFonts w:ascii="Verdana" w:hAnsi="Verdana" w:cs="Arial"/>
                <w:color w:val="000000"/>
              </w:rPr>
            </w:pPr>
            <w:r w:rsidRPr="00034E0E">
              <w:rPr>
                <w:rFonts w:ascii="Verdana" w:hAnsi="Verdana" w:cs="Arial"/>
                <w:color w:val="000000"/>
              </w:rPr>
              <w:t xml:space="preserve">miembros de junta directiva </w:t>
            </w:r>
          </w:p>
          <w:p w14:paraId="33D482FD" w14:textId="77777777" w:rsidR="00277AAC" w:rsidRDefault="00277AAC" w:rsidP="00277AAC">
            <w:pPr>
              <w:pStyle w:val="Prrafodelista"/>
              <w:numPr>
                <w:ilvl w:val="0"/>
                <w:numId w:val="35"/>
              </w:numPr>
              <w:spacing w:line="276" w:lineRule="auto"/>
              <w:jc w:val="both"/>
              <w:rPr>
                <w:rFonts w:ascii="Verdana" w:hAnsi="Verdana" w:cs="Arial"/>
                <w:color w:val="000000"/>
              </w:rPr>
            </w:pPr>
            <w:r w:rsidRPr="00693AC4">
              <w:rPr>
                <w:rFonts w:ascii="Verdana" w:hAnsi="Verdana" w:cs="Arial"/>
                <w:color w:val="000000"/>
                <w:u w:val="single"/>
              </w:rPr>
              <w:t>socios controlantes</w:t>
            </w:r>
            <w:r w:rsidRPr="00122B2A">
              <w:rPr>
                <w:rFonts w:ascii="Verdana" w:hAnsi="Verdana" w:cs="Arial"/>
                <w:color w:val="000000"/>
                <w:u w:val="single"/>
              </w:rPr>
              <w:t xml:space="preserve">, </w:t>
            </w:r>
            <w:r w:rsidRPr="00E731A1">
              <w:rPr>
                <w:rFonts w:ascii="Verdana" w:hAnsi="Verdana" w:cs="Arial"/>
                <w:color w:val="000000"/>
              </w:rPr>
              <w:t xml:space="preserve">a sus matrices, a sus subordinadas, a los grupos empresariales a los que estas pertenezcan cuando la conducta delictiva haya sido parte de una política del grupo y a las sucursales de sociedades extranjeras, </w:t>
            </w:r>
            <w:r w:rsidRPr="00E773BA">
              <w:rPr>
                <w:rFonts w:ascii="Verdana" w:hAnsi="Verdana" w:cs="Arial"/>
                <w:color w:val="000000"/>
                <w:u w:val="single"/>
              </w:rPr>
              <w:t xml:space="preserve">con excepción de las sociedades anónimas abiertas. </w:t>
            </w:r>
          </w:p>
          <w:p w14:paraId="7AB1F893" w14:textId="77777777" w:rsidR="00277AAC" w:rsidRDefault="00277AAC" w:rsidP="00277AAC">
            <w:pPr>
              <w:spacing w:line="276" w:lineRule="auto"/>
              <w:jc w:val="both"/>
              <w:rPr>
                <w:rFonts w:ascii="Verdana" w:hAnsi="Verdana" w:cs="Arial"/>
                <w:color w:val="000000"/>
              </w:rPr>
            </w:pPr>
          </w:p>
          <w:p w14:paraId="189A2959" w14:textId="77777777" w:rsidR="00277AAC" w:rsidRDefault="00277AAC" w:rsidP="00277AAC">
            <w:pPr>
              <w:spacing w:line="276" w:lineRule="auto"/>
              <w:jc w:val="both"/>
              <w:rPr>
                <w:rFonts w:ascii="Verdana" w:hAnsi="Verdana" w:cs="Arial"/>
                <w:color w:val="000000"/>
              </w:rPr>
            </w:pPr>
            <w:r>
              <w:rPr>
                <w:rFonts w:ascii="Verdana" w:hAnsi="Verdana" w:cs="Arial"/>
                <w:color w:val="000000"/>
              </w:rPr>
              <w:t xml:space="preserve">En conclusión, en el evento en que un socio controlante, persona natural, de la sociedad interesada en participar en una convocatoria pública de selección de contratistas o que pretenda suscribir contratos con el Estado, sea objeto de alguna de las inhabilidades enlistadas, dicha inhabilidad extiende sus efectos a la sociedad, </w:t>
            </w:r>
            <w:r w:rsidRPr="00E70B45">
              <w:rPr>
                <w:rFonts w:ascii="Verdana" w:hAnsi="Verdana" w:cs="Arial"/>
                <w:color w:val="000000"/>
              </w:rPr>
              <w:t>con ex</w:t>
            </w:r>
            <w:r w:rsidRPr="00E70B45">
              <w:rPr>
                <w:rFonts w:ascii="Verdana" w:hAnsi="Verdana" w:cs="Arial"/>
                <w:color w:val="000000"/>
              </w:rPr>
              <w:softHyphen/>
              <w:t>cepción de las sociedades anónimas abiertas.</w:t>
            </w:r>
          </w:p>
          <w:p w14:paraId="6D30FE3E" w14:textId="77777777" w:rsidR="00277AAC" w:rsidRDefault="00277AAC" w:rsidP="00277AAC">
            <w:pPr>
              <w:spacing w:line="276" w:lineRule="auto"/>
              <w:jc w:val="both"/>
              <w:rPr>
                <w:rFonts w:ascii="Verdana" w:hAnsi="Verdana" w:cs="Arial"/>
                <w:color w:val="000000"/>
              </w:rPr>
            </w:pPr>
          </w:p>
          <w:p w14:paraId="0B96723C" w14:textId="77777777" w:rsidR="00277AAC" w:rsidRDefault="00277AAC" w:rsidP="00277AAC">
            <w:pPr>
              <w:spacing w:line="276" w:lineRule="auto"/>
              <w:jc w:val="both"/>
              <w:rPr>
                <w:rFonts w:ascii="Verdana" w:hAnsi="Verdana" w:cs="Arial"/>
                <w:color w:val="000000"/>
              </w:rPr>
            </w:pPr>
            <w:r>
              <w:rPr>
                <w:rFonts w:ascii="Verdana" w:hAnsi="Verdana" w:cs="Arial"/>
                <w:color w:val="000000"/>
              </w:rPr>
              <w:t xml:space="preserve">Por otra parte, si un socio controlante (que en este caso se trataría de un socio persona jurídica) de la sociedad interesada en participar en una convocatoria pública de selección de contratistas o que pretenda suscribir contratos con el </w:t>
            </w:r>
            <w:r>
              <w:rPr>
                <w:rFonts w:ascii="Verdana" w:hAnsi="Verdana" w:cs="Arial"/>
                <w:color w:val="000000"/>
              </w:rPr>
              <w:lastRenderedPageBreak/>
              <w:t xml:space="preserve">Estado, es objeto de alguna de las inhabilidades enlistadas, dicha inhabilidad extiende sus efectos a la sociedad de forma permanente, </w:t>
            </w:r>
            <w:r w:rsidRPr="00E70B45">
              <w:rPr>
                <w:rFonts w:ascii="Verdana" w:hAnsi="Verdana" w:cs="Arial"/>
                <w:color w:val="000000"/>
              </w:rPr>
              <w:t>con ex</w:t>
            </w:r>
            <w:r w:rsidRPr="00E70B45">
              <w:rPr>
                <w:rFonts w:ascii="Verdana" w:hAnsi="Verdana" w:cs="Arial"/>
                <w:color w:val="000000"/>
              </w:rPr>
              <w:softHyphen/>
              <w:t>cepción de las sociedades anónimas abiertas.</w:t>
            </w:r>
          </w:p>
          <w:p w14:paraId="25A915E1" w14:textId="77777777" w:rsidR="00277AAC" w:rsidRDefault="00277AAC" w:rsidP="00277AAC">
            <w:pPr>
              <w:spacing w:line="276" w:lineRule="auto"/>
              <w:jc w:val="both"/>
              <w:rPr>
                <w:rFonts w:ascii="Verdana" w:hAnsi="Verdana" w:cs="Arial"/>
                <w:color w:val="000000"/>
              </w:rPr>
            </w:pPr>
          </w:p>
          <w:p w14:paraId="62B92769" w14:textId="77777777" w:rsidR="00277AAC" w:rsidRDefault="00277AAC" w:rsidP="00277AAC">
            <w:pPr>
              <w:spacing w:line="276" w:lineRule="auto"/>
              <w:jc w:val="both"/>
              <w:rPr>
                <w:rFonts w:ascii="Verdana" w:hAnsi="Verdana" w:cs="Arial"/>
                <w:color w:val="000000"/>
              </w:rPr>
            </w:pPr>
            <w:r>
              <w:rPr>
                <w:rFonts w:ascii="Verdana" w:hAnsi="Verdana" w:cs="Arial"/>
                <w:color w:val="000000"/>
              </w:rPr>
              <w:t>No obstante, se advierte que</w:t>
            </w:r>
            <w:r w:rsidRPr="007878A9">
              <w:rPr>
                <w:rFonts w:ascii="Verdana" w:hAnsi="Verdana" w:cs="Arial"/>
                <w:color w:val="000000"/>
              </w:rPr>
              <w:t xml:space="preserve"> el régimen de inhabilidades corresponde a un conjunto de restricciones que afectan la capacidad para contratar con el Estado</w:t>
            </w:r>
            <w:r>
              <w:rPr>
                <w:rFonts w:ascii="Verdana" w:hAnsi="Verdana" w:cs="Arial"/>
                <w:color w:val="000000"/>
              </w:rPr>
              <w:t xml:space="preserve">. En ese sentido, dichas causales están sometidas </w:t>
            </w:r>
            <w:r w:rsidRPr="00644B07">
              <w:rPr>
                <w:rFonts w:ascii="Verdana" w:hAnsi="Verdana" w:cs="Arial"/>
                <w:color w:val="000000"/>
              </w:rPr>
              <w:t>a</w:t>
            </w:r>
            <w:r>
              <w:rPr>
                <w:rFonts w:ascii="Verdana" w:hAnsi="Verdana" w:cs="Arial"/>
                <w:color w:val="000000"/>
              </w:rPr>
              <w:t xml:space="preserve"> una</w:t>
            </w:r>
            <w:r w:rsidRPr="00644B07">
              <w:rPr>
                <w:rFonts w:ascii="Verdana" w:hAnsi="Verdana" w:cs="Arial"/>
                <w:color w:val="000000"/>
              </w:rPr>
              <w:t xml:space="preserve"> interpretación y aplicación restrictiva, </w:t>
            </w:r>
            <w:r>
              <w:rPr>
                <w:rFonts w:ascii="Verdana" w:hAnsi="Verdana" w:cs="Arial"/>
                <w:color w:val="000000"/>
              </w:rPr>
              <w:t>por lo que cada entidad contratante deberá</w:t>
            </w:r>
            <w:r w:rsidRPr="00644B07">
              <w:rPr>
                <w:rFonts w:ascii="Verdana" w:hAnsi="Verdana" w:cs="Arial"/>
                <w:color w:val="000000"/>
              </w:rPr>
              <w:t xml:space="preserve"> analizar en </w:t>
            </w:r>
            <w:r>
              <w:rPr>
                <w:rFonts w:ascii="Verdana" w:hAnsi="Verdana" w:cs="Arial"/>
                <w:color w:val="000000"/>
              </w:rPr>
              <w:t>cada</w:t>
            </w:r>
            <w:r w:rsidRPr="00644B07">
              <w:rPr>
                <w:rFonts w:ascii="Verdana" w:hAnsi="Verdana" w:cs="Arial"/>
                <w:color w:val="000000"/>
              </w:rPr>
              <w:t xml:space="preserve"> caso concreto si efectivamente la respectiva persona se encuentra incursa en el supuesto de hecho que da lugar a la configuración de la inhabilidad o incompatibilidad, en virtud de la que opera la restricción a la capacidad para contratar.</w:t>
            </w:r>
          </w:p>
          <w:p w14:paraId="7429DCB4" w14:textId="77777777" w:rsidR="00277AAC" w:rsidRDefault="00277AAC" w:rsidP="00277AAC">
            <w:pPr>
              <w:spacing w:line="276" w:lineRule="auto"/>
              <w:jc w:val="both"/>
              <w:rPr>
                <w:rFonts w:ascii="Verdana" w:hAnsi="Verdana" w:cs="Arial"/>
                <w:color w:val="000000"/>
              </w:rPr>
            </w:pPr>
          </w:p>
          <w:p w14:paraId="4108809F" w14:textId="0504E55F" w:rsidR="009A2511" w:rsidRPr="00FF0864" w:rsidRDefault="00277AAC" w:rsidP="00277AAC">
            <w:pPr>
              <w:widowControl w:val="0"/>
              <w:tabs>
                <w:tab w:val="left" w:pos="2143"/>
              </w:tabs>
              <w:autoSpaceDE w:val="0"/>
              <w:autoSpaceDN w:val="0"/>
              <w:spacing w:after="120" w:line="276" w:lineRule="auto"/>
              <w:jc w:val="both"/>
              <w:rPr>
                <w:rFonts w:ascii="Verdana" w:eastAsia="Calibri" w:hAnsi="Verdana" w:cs="Arial"/>
                <w:u w:val="single"/>
              </w:rPr>
            </w:pPr>
            <w:r>
              <w:rPr>
                <w:rFonts w:ascii="Verdana" w:hAnsi="Verdana" w:cs="Arial"/>
                <w:color w:val="000000"/>
              </w:rPr>
              <w:t>Por último, se itera que esta</w:t>
            </w:r>
            <w:r w:rsidRPr="00293035">
              <w:rPr>
                <w:rFonts w:ascii="Verdana" w:hAnsi="Verdana" w:cs="Arial"/>
                <w:color w:val="000000"/>
              </w:rPr>
              <w:t xml:space="preserve"> Agencia no tiene competencia para resolver problemas jurídicos específicos que no surjan de la aplicación de alguna norma contractual, o para resolver casos concretos.</w:t>
            </w:r>
            <w:r>
              <w:rPr>
                <w:rFonts w:ascii="Verdana" w:hAnsi="Verdana" w:cs="Arial"/>
                <w:color w:val="000000"/>
              </w:rPr>
              <w:t xml:space="preserve"> </w:t>
            </w:r>
            <w:r w:rsidRPr="00C30FF7">
              <w:rPr>
                <w:rFonts w:ascii="Verdana" w:hAnsi="Verdana" w:cs="Arial"/>
                <w:color w:val="000000"/>
              </w:rPr>
              <w:t xml:space="preserve">Por lo anterior, el presente concepto se limitará a responder </w:t>
            </w:r>
            <w:r>
              <w:rPr>
                <w:rFonts w:ascii="Verdana" w:hAnsi="Verdana" w:cs="Arial"/>
                <w:color w:val="000000"/>
              </w:rPr>
              <w:t>el interrogante</w:t>
            </w:r>
            <w:r w:rsidRPr="00C30FF7">
              <w:rPr>
                <w:rFonts w:ascii="Verdana" w:hAnsi="Verdana" w:cs="Arial"/>
                <w:color w:val="000000"/>
              </w:rPr>
              <w:t>, haciendo un análisis de las normas que resultan relevantes para su solicitud, con el alcance establecido en el artículo 28 del Código de Procedimiento Administrativo y de lo Contencioso Administrativo.</w:t>
            </w:r>
          </w:p>
        </w:tc>
      </w:tr>
    </w:tbl>
    <w:p w14:paraId="25FD70A0" w14:textId="77777777" w:rsidR="00C04209" w:rsidRPr="00FF0864" w:rsidRDefault="00C04209" w:rsidP="00C04209">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94193F0" w14:textId="1CFCB6CC" w:rsidR="00AB64A5" w:rsidRPr="00FF0864"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F0864">
        <w:rPr>
          <w:rFonts w:ascii="Verdana" w:eastAsia="Century Gothic" w:hAnsi="Verdana" w:cs="Century Gothic"/>
          <w:b/>
          <w:bCs/>
        </w:rPr>
        <w:t>Razones de la respuesta:</w:t>
      </w:r>
    </w:p>
    <w:p w14:paraId="03D52260" w14:textId="77777777" w:rsidR="00AB64A5" w:rsidRPr="00FF0864" w:rsidRDefault="00AB64A5" w:rsidP="00AB64A5">
      <w:pPr>
        <w:spacing w:after="0" w:line="276" w:lineRule="auto"/>
        <w:jc w:val="both"/>
        <w:rPr>
          <w:rFonts w:ascii="Verdana" w:eastAsia="Calibri" w:hAnsi="Verdana" w:cs="Arial"/>
          <w:color w:val="7030A0"/>
          <w:lang w:val="es-ES"/>
        </w:rPr>
      </w:pPr>
    </w:p>
    <w:p w14:paraId="22947B98" w14:textId="77777777" w:rsidR="00AB64A5" w:rsidRPr="00FF0864" w:rsidRDefault="00AB64A5" w:rsidP="00AB64A5">
      <w:pPr>
        <w:spacing w:after="0" w:line="276" w:lineRule="auto"/>
        <w:jc w:val="both"/>
        <w:rPr>
          <w:rFonts w:ascii="Verdana" w:eastAsia="Calibri" w:hAnsi="Verdana" w:cs="Arial"/>
          <w:lang w:val="es-ES"/>
        </w:rPr>
      </w:pPr>
      <w:r w:rsidRPr="00FF0864">
        <w:rPr>
          <w:rFonts w:ascii="Verdana" w:eastAsia="Calibri" w:hAnsi="Verdana" w:cs="Arial"/>
          <w:lang w:val="es-ES"/>
        </w:rPr>
        <w:t xml:space="preserve">Lo anterior se sustenta en las siguientes consideraciones: </w:t>
      </w:r>
    </w:p>
    <w:p w14:paraId="1B0B6DAD" w14:textId="77777777" w:rsidR="000E2148" w:rsidRPr="00FF0864" w:rsidRDefault="000E2148" w:rsidP="00AB64A5">
      <w:pPr>
        <w:spacing w:after="0" w:line="276" w:lineRule="auto"/>
        <w:jc w:val="both"/>
        <w:rPr>
          <w:rFonts w:ascii="Verdana" w:eastAsia="Calibri" w:hAnsi="Verdana" w:cs="Arial"/>
          <w:lang w:val="es-ES"/>
        </w:rPr>
      </w:pPr>
    </w:p>
    <w:p w14:paraId="78F0B116" w14:textId="2DAB083F" w:rsidR="00FF2F27" w:rsidRPr="00FF0864" w:rsidRDefault="00FF2F27" w:rsidP="00942844">
      <w:pPr>
        <w:pStyle w:val="Sinespaciado"/>
        <w:numPr>
          <w:ilvl w:val="0"/>
          <w:numId w:val="32"/>
        </w:numPr>
        <w:spacing w:after="120" w:line="276" w:lineRule="auto"/>
        <w:jc w:val="both"/>
        <w:rPr>
          <w:rFonts w:ascii="Verdana" w:hAnsi="Verdana" w:cs="Arial"/>
          <w:sz w:val="22"/>
        </w:rPr>
      </w:pPr>
      <w:r w:rsidRPr="00FF0864">
        <w:rPr>
          <w:rFonts w:ascii="Verdana" w:hAnsi="Verdana" w:cs="Arial"/>
          <w:sz w:val="22"/>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44C6900E" w14:textId="77777777" w:rsidR="00FF2F27" w:rsidRPr="00FF0864" w:rsidRDefault="00FF2F27" w:rsidP="00FF2F27">
      <w:pPr>
        <w:pStyle w:val="Sinespaciado"/>
        <w:numPr>
          <w:ilvl w:val="0"/>
          <w:numId w:val="32"/>
        </w:numPr>
        <w:spacing w:before="120" w:line="276" w:lineRule="auto"/>
        <w:jc w:val="both"/>
        <w:rPr>
          <w:rFonts w:ascii="Verdana" w:hAnsi="Verdana" w:cs="Arial"/>
          <w:sz w:val="22"/>
        </w:rPr>
      </w:pPr>
      <w:r w:rsidRPr="00FF0864">
        <w:rPr>
          <w:rFonts w:ascii="Verdana" w:hAnsi="Verdana" w:cs="Arial"/>
          <w:sz w:val="22"/>
        </w:rPr>
        <w:t xml:space="preserve">La consagración limitaciones que afectan la capacidad jurídica para contratar desarrolla los principios de la función administrativa </w:t>
      </w:r>
      <w:r w:rsidRPr="00FF0864">
        <w:rPr>
          <w:rFonts w:ascii="Verdana" w:hAnsi="Verdana" w:cs="Arial"/>
          <w:sz w:val="22"/>
        </w:rPr>
        <w:lastRenderedPageBreak/>
        <w:t xml:space="preserve">consagrados en el artículo 209 de la Constitución Política, con especial énfasis el de moralidad. Así lo entiende el Consejo de Estado: </w:t>
      </w:r>
    </w:p>
    <w:p w14:paraId="109134B1" w14:textId="77777777" w:rsidR="00FF2F27" w:rsidRPr="00FF0864" w:rsidRDefault="00FF2F27" w:rsidP="00FF2F27">
      <w:pPr>
        <w:pStyle w:val="Sinespaciado"/>
        <w:spacing w:line="276" w:lineRule="auto"/>
        <w:jc w:val="both"/>
        <w:rPr>
          <w:rFonts w:ascii="Verdana" w:hAnsi="Verdana" w:cs="Arial"/>
          <w:sz w:val="22"/>
        </w:rPr>
      </w:pPr>
    </w:p>
    <w:p w14:paraId="2D9F2858" w14:textId="6AB9C998" w:rsidR="00FF2F27" w:rsidRPr="00FF0864" w:rsidRDefault="00FF2F27" w:rsidP="00FF2F27">
      <w:pPr>
        <w:pStyle w:val="NormalWeb"/>
        <w:shd w:val="clear" w:color="auto" w:fill="FFFFFF"/>
        <w:spacing w:before="0" w:beforeAutospacing="0" w:after="120" w:afterAutospacing="0"/>
        <w:ind w:left="720" w:right="709"/>
        <w:jc w:val="both"/>
        <w:rPr>
          <w:rFonts w:ascii="Verdana" w:eastAsiaTheme="minorHAnsi" w:hAnsi="Verdana" w:cs="Arial"/>
          <w:sz w:val="21"/>
          <w:szCs w:val="21"/>
          <w:lang w:val="es-ES" w:eastAsia="en-US"/>
        </w:rPr>
      </w:pPr>
      <w:r w:rsidRPr="00FF0864">
        <w:rPr>
          <w:rFonts w:ascii="Verdana" w:eastAsiaTheme="minorHAnsi" w:hAnsi="Verdana"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4DDB7ABB" w14:textId="422EAA85" w:rsidR="00FF2F27" w:rsidRPr="00FF0864" w:rsidRDefault="00FF2F27" w:rsidP="00FF2F27">
      <w:pPr>
        <w:pStyle w:val="NormalWeb"/>
        <w:shd w:val="clear" w:color="auto" w:fill="FFFFFF"/>
        <w:spacing w:before="0" w:beforeAutospacing="0" w:after="0" w:afterAutospacing="0"/>
        <w:ind w:left="720" w:right="709"/>
        <w:jc w:val="both"/>
        <w:rPr>
          <w:rFonts w:ascii="Verdana" w:eastAsiaTheme="minorHAnsi" w:hAnsi="Verdana" w:cs="Arial"/>
          <w:sz w:val="21"/>
          <w:szCs w:val="21"/>
          <w:lang w:val="es-ES" w:eastAsia="en-US"/>
        </w:rPr>
      </w:pPr>
      <w:r w:rsidRPr="00FF0864">
        <w:rPr>
          <w:rFonts w:ascii="Verdana" w:eastAsiaTheme="minorHAnsi" w:hAnsi="Verdana"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FF0864">
        <w:rPr>
          <w:rStyle w:val="Refdenotaalpie"/>
          <w:rFonts w:ascii="Verdana" w:eastAsiaTheme="minorHAnsi" w:hAnsi="Verdana" w:cs="Arial"/>
          <w:sz w:val="21"/>
          <w:szCs w:val="21"/>
          <w:lang w:val="es-ES" w:eastAsia="en-US"/>
        </w:rPr>
        <w:footnoteReference w:id="1"/>
      </w:r>
      <w:r w:rsidRPr="00FF0864">
        <w:rPr>
          <w:rFonts w:ascii="Verdana" w:eastAsiaTheme="minorHAnsi" w:hAnsi="Verdana" w:cs="Arial"/>
          <w:sz w:val="21"/>
          <w:szCs w:val="21"/>
          <w:lang w:val="es-ES" w:eastAsia="en-US"/>
        </w:rPr>
        <w:t xml:space="preserve">.” </w:t>
      </w:r>
    </w:p>
    <w:p w14:paraId="78002BB3" w14:textId="77777777" w:rsidR="00FF2F27" w:rsidRPr="00FF0864" w:rsidRDefault="00FF2F27" w:rsidP="00FF2F27">
      <w:pPr>
        <w:pStyle w:val="Sinespaciado"/>
        <w:spacing w:line="276" w:lineRule="auto"/>
        <w:jc w:val="both"/>
        <w:rPr>
          <w:rFonts w:ascii="Verdana" w:hAnsi="Verdana" w:cs="Arial"/>
          <w:sz w:val="22"/>
        </w:rPr>
      </w:pPr>
    </w:p>
    <w:p w14:paraId="39997514" w14:textId="77777777" w:rsidR="00FF2F27" w:rsidRPr="00FF0864" w:rsidRDefault="00FF2F27" w:rsidP="00FF2F27">
      <w:pPr>
        <w:pStyle w:val="Sinespaciado"/>
        <w:numPr>
          <w:ilvl w:val="0"/>
          <w:numId w:val="32"/>
        </w:numPr>
        <w:spacing w:line="276" w:lineRule="auto"/>
        <w:jc w:val="both"/>
        <w:rPr>
          <w:rFonts w:ascii="Verdana" w:hAnsi="Verdana" w:cs="Arial"/>
          <w:sz w:val="22"/>
        </w:rPr>
      </w:pPr>
      <w:r w:rsidRPr="00FF0864">
        <w:rPr>
          <w:rFonts w:ascii="Verdana" w:hAnsi="Verdana" w:cs="Arial"/>
          <w:sz w:val="22"/>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4F2D4E44" w14:textId="77777777" w:rsidR="00FF2F27" w:rsidRPr="00FF0864" w:rsidRDefault="00FF2F27" w:rsidP="00FF2F27">
      <w:pPr>
        <w:rPr>
          <w:rFonts w:ascii="Verdana" w:eastAsia="Times New Roman" w:hAnsi="Verdana" w:cs="Arial"/>
          <w:shd w:val="clear" w:color="auto" w:fill="FFFFFF"/>
          <w:lang w:eastAsia="es-ES_tradnl"/>
        </w:rPr>
      </w:pPr>
    </w:p>
    <w:p w14:paraId="182063EB" w14:textId="18AFC99D" w:rsidR="00FF2F27" w:rsidRPr="00FF0864" w:rsidRDefault="00FF2F27" w:rsidP="00FF2F27">
      <w:pPr>
        <w:pStyle w:val="Prrafodelista"/>
        <w:spacing w:after="120"/>
        <w:ind w:right="709"/>
        <w:jc w:val="both"/>
        <w:rPr>
          <w:rFonts w:ascii="Verdana" w:hAnsi="Verdana" w:cs="Arial"/>
          <w:sz w:val="21"/>
          <w:szCs w:val="21"/>
        </w:rPr>
      </w:pPr>
      <w:r w:rsidRPr="00FF0864">
        <w:rPr>
          <w:rFonts w:ascii="Verdana" w:hAnsi="Verdana" w:cs="Arial"/>
          <w:sz w:val="21"/>
          <w:szCs w:val="21"/>
        </w:rPr>
        <w:lastRenderedPageBreak/>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79FE82DC" w14:textId="77777777" w:rsidR="00FF2F27" w:rsidRPr="00FF0864" w:rsidRDefault="00FF2F27" w:rsidP="00FF2F27">
      <w:pPr>
        <w:pStyle w:val="Prrafodelista"/>
        <w:spacing w:after="120"/>
        <w:ind w:right="709"/>
        <w:jc w:val="both"/>
        <w:rPr>
          <w:rFonts w:ascii="Verdana" w:hAnsi="Verdana" w:cs="Arial"/>
          <w:sz w:val="21"/>
          <w:szCs w:val="21"/>
        </w:rPr>
      </w:pPr>
    </w:p>
    <w:p w14:paraId="2DA5E05A" w14:textId="28ECEEDE" w:rsidR="00FF2F27" w:rsidRPr="00FF0864" w:rsidRDefault="00FF2F27" w:rsidP="00FF2F27">
      <w:pPr>
        <w:pStyle w:val="Prrafodelista"/>
        <w:ind w:right="709"/>
        <w:jc w:val="both"/>
        <w:rPr>
          <w:rFonts w:ascii="Verdana" w:hAnsi="Verdana" w:cs="Arial"/>
          <w:sz w:val="21"/>
          <w:szCs w:val="21"/>
        </w:rPr>
      </w:pPr>
      <w:r w:rsidRPr="00FF0864">
        <w:rPr>
          <w:rFonts w:ascii="Verdana" w:hAnsi="Verdana"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FF0864">
        <w:rPr>
          <w:rStyle w:val="Refdenotaalpie"/>
          <w:rFonts w:ascii="Verdana" w:hAnsi="Verdana" w:cs="Arial"/>
          <w:sz w:val="21"/>
          <w:szCs w:val="21"/>
        </w:rPr>
        <w:footnoteReference w:id="2"/>
      </w:r>
      <w:r w:rsidRPr="00FF0864">
        <w:rPr>
          <w:rFonts w:ascii="Verdana" w:hAnsi="Verdana" w:cs="Arial"/>
          <w:sz w:val="21"/>
          <w:szCs w:val="21"/>
        </w:rPr>
        <w:t>.”</w:t>
      </w:r>
    </w:p>
    <w:p w14:paraId="2BF1BCCB" w14:textId="77777777" w:rsidR="00942844" w:rsidRPr="00FF0864" w:rsidRDefault="00942844" w:rsidP="00942844">
      <w:pPr>
        <w:pStyle w:val="Prrafodelista"/>
        <w:spacing w:after="120" w:line="276" w:lineRule="auto"/>
        <w:jc w:val="both"/>
        <w:rPr>
          <w:rFonts w:ascii="Verdana" w:hAnsi="Verdana" w:cs="Arial"/>
        </w:rPr>
      </w:pPr>
    </w:p>
    <w:p w14:paraId="7E1BF1F0" w14:textId="018D7C99" w:rsidR="00FF2F27" w:rsidRPr="00FF0864" w:rsidRDefault="00FF2F27" w:rsidP="00FF2F27">
      <w:pPr>
        <w:pStyle w:val="Prrafodelista"/>
        <w:numPr>
          <w:ilvl w:val="0"/>
          <w:numId w:val="32"/>
        </w:numPr>
        <w:spacing w:after="120" w:line="276" w:lineRule="auto"/>
        <w:jc w:val="both"/>
        <w:rPr>
          <w:rFonts w:ascii="Verdana" w:hAnsi="Verdana" w:cs="Arial"/>
        </w:rPr>
      </w:pPr>
      <w:r w:rsidRPr="00FF0864">
        <w:rPr>
          <w:rFonts w:ascii="Verdana" w:hAnsi="Verdana" w:cs="Arial"/>
        </w:rPr>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FF0864">
        <w:rPr>
          <w:rStyle w:val="Refdenotaalpie"/>
          <w:rFonts w:ascii="Verdana" w:hAnsi="Verdana" w:cs="Arial"/>
        </w:rPr>
        <w:footnoteReference w:id="3"/>
      </w:r>
      <w:r w:rsidRPr="00FF0864">
        <w:rPr>
          <w:rFonts w:ascii="Verdana" w:hAnsi="Verdana" w:cs="Arial"/>
        </w:rPr>
        <w:t xml:space="preserve">. </w:t>
      </w:r>
    </w:p>
    <w:p w14:paraId="111D7A21" w14:textId="77777777" w:rsidR="00FF2F27" w:rsidRPr="00FF0864" w:rsidRDefault="00FF2F27" w:rsidP="00FF2F27">
      <w:pPr>
        <w:pStyle w:val="Prrafodelista"/>
        <w:numPr>
          <w:ilvl w:val="0"/>
          <w:numId w:val="32"/>
        </w:numPr>
        <w:spacing w:before="120" w:after="120" w:line="276" w:lineRule="auto"/>
        <w:jc w:val="both"/>
        <w:rPr>
          <w:rFonts w:ascii="Verdana" w:hAnsi="Verdana" w:cs="Arial"/>
        </w:rPr>
      </w:pPr>
      <w:r w:rsidRPr="00FF0864">
        <w:rPr>
          <w:rFonts w:ascii="Verdana" w:hAnsi="Verdana" w:cs="Arial"/>
        </w:rPr>
        <w:lastRenderedPageBreak/>
        <w:t>A manera de ejemplo, en materia contractual, los literales c), d) y j) del numeral 1 del artículo 8 de la Ley 80 de 1993</w:t>
      </w:r>
      <w:r w:rsidRPr="00FF0864">
        <w:rPr>
          <w:rFonts w:ascii="Verdana" w:hAnsi="Verdana"/>
          <w:vertAlign w:val="superscript"/>
        </w:rPr>
        <w:footnoteReference w:id="4"/>
      </w:r>
      <w:r w:rsidRPr="00FF0864">
        <w:rPr>
          <w:rFonts w:ascii="Verdana" w:hAnsi="Verdana" w:cs="Arial"/>
        </w:rPr>
        <w:t xml:space="preserve">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12B6FF32" w14:textId="507F7E37" w:rsidR="00FF2F27" w:rsidRPr="00FF0864" w:rsidRDefault="00FF2F27" w:rsidP="00FF2F27">
      <w:pPr>
        <w:pStyle w:val="Prrafodelista"/>
        <w:numPr>
          <w:ilvl w:val="0"/>
          <w:numId w:val="32"/>
        </w:numPr>
        <w:spacing w:before="120" w:line="276" w:lineRule="auto"/>
        <w:jc w:val="both"/>
        <w:rPr>
          <w:rFonts w:ascii="Verdana" w:hAnsi="Verdana" w:cs="Arial"/>
        </w:rPr>
      </w:pPr>
      <w:bookmarkStart w:id="3" w:name="_Hlk40976328"/>
      <w:r w:rsidRPr="00FF0864">
        <w:rPr>
          <w:rFonts w:ascii="Verdana" w:hAnsi="Verdana"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3"/>
    </w:p>
    <w:p w14:paraId="1168D624" w14:textId="77777777" w:rsidR="00FF2F27" w:rsidRPr="00FF0864" w:rsidRDefault="00FF2F27" w:rsidP="00FF2F27">
      <w:pPr>
        <w:pStyle w:val="Prrafodelista"/>
        <w:numPr>
          <w:ilvl w:val="0"/>
          <w:numId w:val="32"/>
        </w:numPr>
        <w:spacing w:line="276" w:lineRule="auto"/>
        <w:jc w:val="both"/>
        <w:rPr>
          <w:rFonts w:ascii="Verdana" w:eastAsia="Calibri" w:hAnsi="Verdana" w:cs="Arial"/>
          <w:lang w:val="es-ES_tradnl"/>
        </w:rPr>
      </w:pPr>
      <w:r w:rsidRPr="00FF0864">
        <w:rPr>
          <w:rFonts w:ascii="Verdana" w:eastAsia="Calibri" w:hAnsi="Verdana" w:cs="Arial"/>
          <w:lang w:val="es-ES_tradnl"/>
        </w:rPr>
        <w:t xml:space="preserve">En la contratación estatal, la </w:t>
      </w:r>
      <w:r w:rsidRPr="00FF0864">
        <w:rPr>
          <w:rFonts w:ascii="Verdana" w:eastAsia="Calibri" w:hAnsi="Verdana" w:cs="Arial"/>
          <w:i/>
          <w:iCs/>
          <w:lang w:val="es-ES_tradnl"/>
        </w:rPr>
        <w:t>capacidad</w:t>
      </w:r>
      <w:r w:rsidRPr="00FF0864">
        <w:rPr>
          <w:rFonts w:ascii="Verdana" w:eastAsia="Calibri" w:hAnsi="Verdana" w:cs="Arial"/>
          <w:lang w:val="es-ES_tradnl"/>
        </w:rPr>
        <w:t xml:space="preserve"> también es un requisito de validez de los contratos, tanto en el régimen de las entidades sujetas al Estatuto General de Contratación de la Administración Pública</w:t>
      </w:r>
      <w:r w:rsidRPr="00FF0864">
        <w:rPr>
          <w:rFonts w:ascii="Verdana" w:hAnsi="Verdana"/>
          <w:vertAlign w:val="superscript"/>
          <w:lang w:val="es-ES_tradnl"/>
        </w:rPr>
        <w:footnoteReference w:id="5"/>
      </w:r>
      <w:r w:rsidRPr="00FF0864">
        <w:rPr>
          <w:rFonts w:ascii="Verdana" w:eastAsia="Calibri" w:hAnsi="Verdana" w:cs="Arial"/>
          <w:lang w:val="es-ES_tradnl"/>
        </w:rPr>
        <w:t xml:space="preserve"> como en el de las entidades exceptuadas de aquel</w:t>
      </w:r>
      <w:r w:rsidRPr="00FF0864">
        <w:rPr>
          <w:rFonts w:ascii="Verdana" w:hAnsi="Verdana"/>
          <w:vertAlign w:val="superscript"/>
          <w:lang w:val="es-ES_tradnl"/>
        </w:rPr>
        <w:footnoteReference w:id="6"/>
      </w:r>
      <w:r w:rsidRPr="00FF0864">
        <w:rPr>
          <w:rFonts w:ascii="Verdana" w:eastAsia="Calibri" w:hAnsi="Verdana" w:cs="Arial"/>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FF0864">
        <w:rPr>
          <w:rFonts w:ascii="Verdana" w:hAnsi="Verdana"/>
          <w:vertAlign w:val="superscript"/>
          <w:lang w:val="es-ES_tradnl"/>
        </w:rPr>
        <w:footnoteReference w:id="7"/>
      </w:r>
      <w:r w:rsidRPr="00FF0864">
        <w:rPr>
          <w:rFonts w:ascii="Verdana" w:eastAsia="Calibri" w:hAnsi="Verdana" w:cs="Arial"/>
          <w:lang w:val="es-ES_tradnl"/>
        </w:rPr>
        <w:t>–, se destaca el régimen de inhabilidades e incompatibilidades como un conjunto de normas que imponen restricciones para los sujetos que, eventualmente, pretendan participar en los procedimientos de selección o celebrar contratos con las entidades estatales</w:t>
      </w:r>
      <w:r w:rsidRPr="00FF0864">
        <w:rPr>
          <w:rFonts w:ascii="Verdana" w:hAnsi="Verdana"/>
          <w:vertAlign w:val="superscript"/>
          <w:lang w:val="es-ES_tradnl"/>
        </w:rPr>
        <w:footnoteReference w:id="8"/>
      </w:r>
      <w:r w:rsidRPr="00FF0864">
        <w:rPr>
          <w:rFonts w:ascii="Verdana" w:eastAsia="Calibri" w:hAnsi="Verdana" w:cs="Arial"/>
          <w:lang w:val="es-ES_tradnl"/>
        </w:rPr>
        <w:t>.</w:t>
      </w:r>
    </w:p>
    <w:p w14:paraId="7DEBE6A9" w14:textId="5726EBEF" w:rsidR="00FF2F27" w:rsidRPr="00FF0864" w:rsidRDefault="00FF2F27" w:rsidP="00FF2F27">
      <w:pPr>
        <w:pStyle w:val="Prrafodelista"/>
        <w:numPr>
          <w:ilvl w:val="0"/>
          <w:numId w:val="32"/>
        </w:numPr>
        <w:spacing w:before="120" w:after="120" w:line="276" w:lineRule="auto"/>
        <w:jc w:val="both"/>
        <w:rPr>
          <w:rFonts w:ascii="Verdana" w:eastAsia="Calibri" w:hAnsi="Verdana" w:cs="Arial"/>
          <w:lang w:val="es-ES_tradnl"/>
        </w:rPr>
      </w:pPr>
      <w:r w:rsidRPr="00FF0864">
        <w:rPr>
          <w:rFonts w:ascii="Verdana" w:eastAsia="Calibri" w:hAnsi="Verdana" w:cs="Arial"/>
          <w:lang w:val="es-ES_tradnl"/>
        </w:rPr>
        <w:lastRenderedPageBreak/>
        <w:t>Las inhabilidades son prohibiciones para concurrir a los procedimientos de selección y para contratar con el Estado, que se derivan: i) de la existencia de comportamientos reprochables o de sanciones anteriormente impuestas</w:t>
      </w:r>
      <w:r w:rsidRPr="00FF0864">
        <w:rPr>
          <w:rFonts w:ascii="Verdana" w:hAnsi="Verdana"/>
          <w:vertAlign w:val="superscript"/>
          <w:lang w:val="es-ES_tradnl"/>
        </w:rPr>
        <w:footnoteReference w:id="9"/>
      </w:r>
      <w:r w:rsidRPr="00FF0864">
        <w:rPr>
          <w:rFonts w:ascii="Verdana" w:eastAsia="Calibri" w:hAnsi="Verdana" w:cs="Arial"/>
          <w:lang w:val="es-ES_tradnl"/>
        </w:rPr>
        <w:t>, ii) de vínculos personales relativos al parentesco o al estado civil</w:t>
      </w:r>
      <w:r w:rsidRPr="00FF0864">
        <w:rPr>
          <w:rFonts w:ascii="Verdana" w:hAnsi="Verdana"/>
          <w:vertAlign w:val="superscript"/>
          <w:lang w:val="es-ES_tradnl"/>
        </w:rPr>
        <w:footnoteReference w:id="10"/>
      </w:r>
      <w:r w:rsidRPr="00FF0864">
        <w:rPr>
          <w:rFonts w:ascii="Verdana" w:eastAsia="Calibri" w:hAnsi="Verdana" w:cs="Arial"/>
          <w:lang w:val="es-ES_tradnl"/>
        </w:rPr>
        <w:t xml:space="preserve"> o iii) de una actividad u oficio que se desempeñó en el pasado</w:t>
      </w:r>
      <w:r w:rsidRPr="00FF0864">
        <w:rPr>
          <w:rFonts w:ascii="Verdana" w:hAnsi="Verdana"/>
          <w:vertAlign w:val="superscript"/>
          <w:lang w:val="es-ES_tradnl"/>
        </w:rPr>
        <w:footnoteReference w:id="11"/>
      </w:r>
      <w:r w:rsidRPr="00FF0864">
        <w:rPr>
          <w:rFonts w:ascii="Verdana" w:eastAsia="Calibri" w:hAnsi="Verdana" w:cs="Arial"/>
          <w:lang w:val="es-ES_tradnl"/>
        </w:rPr>
        <w:t>.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r w:rsidRPr="00FF0864">
        <w:rPr>
          <w:rStyle w:val="Refdenotaalpie"/>
          <w:rFonts w:ascii="Verdana" w:eastAsia="Calibri" w:hAnsi="Verdana" w:cs="Arial"/>
          <w:lang w:val="es-ES_tradnl"/>
        </w:rPr>
        <w:footnoteReference w:id="12"/>
      </w:r>
      <w:r w:rsidRPr="00FF0864">
        <w:rPr>
          <w:rFonts w:ascii="Verdana" w:eastAsia="Calibri" w:hAnsi="Verdana" w:cs="Arial"/>
          <w:lang w:val="es-ES_tradnl"/>
        </w:rPr>
        <w:t>.</w:t>
      </w:r>
    </w:p>
    <w:p w14:paraId="3522F927" w14:textId="77777777" w:rsidR="00FF0864" w:rsidRPr="00FF0864" w:rsidRDefault="00FF0864" w:rsidP="00FF0864">
      <w:pPr>
        <w:pStyle w:val="Prrafodelista"/>
        <w:spacing w:before="120" w:after="120" w:line="276" w:lineRule="auto"/>
        <w:jc w:val="both"/>
        <w:rPr>
          <w:rFonts w:ascii="Verdana" w:eastAsia="Calibri" w:hAnsi="Verdana" w:cs="Arial"/>
          <w:lang w:val="es-ES_tradnl"/>
        </w:rPr>
      </w:pPr>
    </w:p>
    <w:p w14:paraId="5DFCDB74" w14:textId="33046824" w:rsidR="00FF2F27" w:rsidRPr="00FF0864" w:rsidRDefault="00FF2F27" w:rsidP="00FF2F27">
      <w:pPr>
        <w:pStyle w:val="Prrafodelista"/>
        <w:numPr>
          <w:ilvl w:val="0"/>
          <w:numId w:val="32"/>
        </w:numPr>
        <w:spacing w:before="120" w:after="120" w:line="276" w:lineRule="auto"/>
        <w:jc w:val="both"/>
        <w:rPr>
          <w:rFonts w:ascii="Verdana" w:eastAsia="Calibri" w:hAnsi="Verdana" w:cs="Arial"/>
          <w:lang w:val="es-ES_tradnl"/>
        </w:rPr>
      </w:pPr>
      <w:r w:rsidRPr="00FF0864">
        <w:rPr>
          <w:rFonts w:ascii="Verdana" w:eastAsia="Calibri" w:hAnsi="Verdana" w:cs="Arial"/>
          <w:lang w:val="es-ES_tradnl"/>
        </w:rPr>
        <w:t xml:space="preserve">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r w:rsidR="00FF0864" w:rsidRPr="00FF0864">
        <w:rPr>
          <w:rFonts w:ascii="Verdana" w:eastAsia="Calibri" w:hAnsi="Verdana" w:cs="Arial"/>
          <w:lang w:val="es-ES_tradnl"/>
        </w:rPr>
        <w:t>“</w:t>
      </w:r>
      <w:r w:rsidRPr="00FF0864">
        <w:rPr>
          <w:rFonts w:ascii="Verdana" w:eastAsia="Calibri" w:hAnsi="Verdana" w:cs="Arial"/>
          <w:lang w:val="es-ES_tradnl"/>
        </w:rPr>
        <w:t>neopunitiva</w:t>
      </w:r>
      <w:r w:rsidR="00FF0864" w:rsidRPr="00FF0864">
        <w:rPr>
          <w:rFonts w:ascii="Verdana" w:eastAsia="Calibri" w:hAnsi="Verdana" w:cs="Arial"/>
          <w:lang w:val="es-ES_tradnl"/>
        </w:rPr>
        <w:t>”</w:t>
      </w:r>
      <w:r w:rsidRPr="00FF0864">
        <w:rPr>
          <w:rFonts w:ascii="Verdana" w:hAnsi="Verdana"/>
          <w:vertAlign w:val="superscript"/>
          <w:lang w:val="es-ES_tradnl"/>
        </w:rPr>
        <w:footnoteReference w:id="13"/>
      </w:r>
      <w:r w:rsidRPr="00FF0864">
        <w:rPr>
          <w:rFonts w:ascii="Verdana" w:eastAsia="Calibri" w:hAnsi="Verdana" w:cs="Arial"/>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87BC6EF" w14:textId="77777777" w:rsidR="00FF2F27" w:rsidRPr="00FF0864" w:rsidRDefault="00FF2F27" w:rsidP="00FF2F27">
      <w:pPr>
        <w:pStyle w:val="Prrafodelista"/>
        <w:numPr>
          <w:ilvl w:val="0"/>
          <w:numId w:val="32"/>
        </w:numPr>
        <w:spacing w:before="120" w:after="120" w:line="276" w:lineRule="auto"/>
        <w:jc w:val="both"/>
        <w:rPr>
          <w:rFonts w:ascii="Verdana" w:eastAsia="Calibri" w:hAnsi="Verdana" w:cs="Arial"/>
          <w:lang w:val="es-ES_tradnl"/>
        </w:rPr>
      </w:pPr>
      <w:r w:rsidRPr="00FF0864">
        <w:rPr>
          <w:rFonts w:ascii="Verdana" w:eastAsia="Calibri" w:hAnsi="Verdana"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FF0864">
        <w:rPr>
          <w:rFonts w:ascii="Verdana" w:eastAsia="Calibri" w:hAnsi="Verdana" w:cs="Arial"/>
          <w:i/>
          <w:iCs/>
          <w:lang w:val="es-ES_tradnl"/>
        </w:rPr>
        <w:t>restrictiva</w:t>
      </w:r>
      <w:r w:rsidRPr="00FF0864">
        <w:rPr>
          <w:rFonts w:ascii="Verdana" w:hAnsi="Verdana"/>
          <w:vertAlign w:val="superscript"/>
          <w:lang w:val="es-ES_tradnl"/>
        </w:rPr>
        <w:footnoteReference w:id="14"/>
      </w:r>
      <w:r w:rsidRPr="00FF0864">
        <w:rPr>
          <w:rFonts w:ascii="Verdana" w:eastAsia="Calibri" w:hAnsi="Verdana" w:cs="Arial"/>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w:t>
      </w:r>
      <w:r w:rsidRPr="00FF0864">
        <w:rPr>
          <w:rFonts w:ascii="Verdana" w:eastAsia="Calibri" w:hAnsi="Verdana" w:cs="Arial"/>
          <w:lang w:val="es-ES_tradnl"/>
        </w:rPr>
        <w:lastRenderedPageBreak/>
        <w:t xml:space="preserve">igualdad, el debido proceso, la seguridad jurídica, la libre concurrencia y el ejercicio de la profesión u oficio. Tal ha sido la postura al interior de la jurisprudencia, tanto de la Corte Constitucional como de la Sección Tercera del Consejo de Estado. </w:t>
      </w:r>
    </w:p>
    <w:p w14:paraId="66401137" w14:textId="77777777" w:rsidR="00FF2F27" w:rsidRPr="00FF0864" w:rsidRDefault="00FF2F27" w:rsidP="00FF2F27">
      <w:pPr>
        <w:pStyle w:val="Prrafodelista"/>
        <w:spacing w:before="120" w:after="120" w:line="276" w:lineRule="auto"/>
        <w:jc w:val="both"/>
        <w:rPr>
          <w:rFonts w:ascii="Verdana" w:eastAsia="Calibri" w:hAnsi="Verdana" w:cs="Arial"/>
          <w:lang w:val="es-ES_tradnl"/>
        </w:rPr>
      </w:pPr>
    </w:p>
    <w:p w14:paraId="5AC15790" w14:textId="77777777" w:rsidR="00FF2F27" w:rsidRPr="00FF0864" w:rsidRDefault="00FF2F27" w:rsidP="00FF2F27">
      <w:pPr>
        <w:pStyle w:val="Prrafodelista"/>
        <w:numPr>
          <w:ilvl w:val="0"/>
          <w:numId w:val="32"/>
        </w:numPr>
        <w:spacing w:line="276" w:lineRule="auto"/>
        <w:jc w:val="both"/>
        <w:rPr>
          <w:rFonts w:ascii="Verdana" w:eastAsia="Calibri" w:hAnsi="Verdana" w:cs="Arial"/>
          <w:lang w:val="es-ES_tradnl"/>
        </w:rPr>
      </w:pPr>
      <w:r w:rsidRPr="00FF0864">
        <w:rPr>
          <w:rFonts w:ascii="Verdana" w:eastAsia="Arial" w:hAnsi="Verdana" w:cs="Arial"/>
          <w:color w:val="000000"/>
          <w:lang w:val="es-ES_tradnl"/>
        </w:rPr>
        <w:t xml:space="preserve">Como se aprecia, el principio </w:t>
      </w:r>
      <w:r w:rsidRPr="00FF0864">
        <w:rPr>
          <w:rFonts w:ascii="Verdana" w:eastAsia="Arial" w:hAnsi="Verdana" w:cs="Arial"/>
          <w:i/>
          <w:iCs/>
          <w:color w:val="000000"/>
          <w:lang w:val="es-ES_tradnl"/>
        </w:rPr>
        <w:t>pro libertate</w:t>
      </w:r>
      <w:r w:rsidRPr="00FF0864">
        <w:rPr>
          <w:rFonts w:ascii="Verdana" w:eastAsia="Arial" w:hAnsi="Verdana"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FF0864">
        <w:rPr>
          <w:rFonts w:ascii="Verdana" w:hAnsi="Verdana"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r w:rsidRPr="00FF0864">
        <w:rPr>
          <w:rStyle w:val="Refdenotaalpie"/>
          <w:rFonts w:ascii="Verdana" w:hAnsi="Verdana" w:cs="Arial"/>
          <w:color w:val="000000" w:themeColor="text1"/>
        </w:rPr>
        <w:footnoteReference w:id="15"/>
      </w:r>
      <w:r w:rsidRPr="00FF0864">
        <w:rPr>
          <w:rFonts w:ascii="Verdana" w:hAnsi="Verdana" w:cs="Arial"/>
          <w:color w:val="000000" w:themeColor="text1"/>
        </w:rPr>
        <w:t>.</w:t>
      </w:r>
    </w:p>
    <w:p w14:paraId="46490674" w14:textId="30148A73" w:rsidR="00FF2F27" w:rsidRPr="00FF0864" w:rsidRDefault="00FF2F27" w:rsidP="00FF2F27">
      <w:pPr>
        <w:pStyle w:val="CEDAContenido"/>
        <w:numPr>
          <w:ilvl w:val="0"/>
          <w:numId w:val="32"/>
        </w:numPr>
        <w:rPr>
          <w:rFonts w:ascii="Verdana" w:hAnsi="Verdana" w:cs="Arial"/>
          <w:b/>
          <w:bCs/>
        </w:rPr>
      </w:pPr>
      <w:r w:rsidRPr="00FF0864">
        <w:rPr>
          <w:rFonts w:ascii="Verdana" w:hAnsi="Verdana" w:cs="Arial"/>
          <w:shd w:val="clear" w:color="auto" w:fill="FFFFFF"/>
          <w:lang w:val="es-MX"/>
        </w:rPr>
        <w:t xml:space="preserve">En este sentido, retomando una idea esbozada con anterioridad, la doctrina y la jurisprudencia son pacíficas en considerar que la creación de inhabilidades e incompatibilidades es un asunto con reserva de ley, en tanto, </w:t>
      </w:r>
      <w:r w:rsidR="00FF0864" w:rsidRPr="00FF0864">
        <w:rPr>
          <w:rFonts w:ascii="Verdana" w:hAnsi="Verdana" w:cs="Arial"/>
          <w:shd w:val="clear" w:color="auto" w:fill="FFFFFF"/>
          <w:lang w:val="es-MX"/>
        </w:rPr>
        <w:t>“</w:t>
      </w:r>
      <w:r w:rsidRPr="00FF0864">
        <w:rPr>
          <w:rFonts w:ascii="Verdana" w:hAnsi="Verdana" w:cs="Arial"/>
          <w:shd w:val="clear" w:color="auto" w:fill="FFFFFF"/>
        </w:rPr>
        <w:t>[…] su previsión y desarrollo es materia exclusiva del legislador (reserva de ley), quien en virtud del principio democrático debe definir y tipificar expresamente sus causas, vigencia, naturaleza y efectos</w:t>
      </w:r>
      <w:r w:rsidR="00FF0864" w:rsidRPr="00FF0864">
        <w:rPr>
          <w:rFonts w:ascii="Verdana" w:hAnsi="Verdana" w:cs="Arial"/>
          <w:shd w:val="clear" w:color="auto" w:fill="FFFFFF"/>
          <w:lang w:val="es-MX"/>
        </w:rPr>
        <w:t>”</w:t>
      </w:r>
      <w:r w:rsidRPr="00FF0864">
        <w:rPr>
          <w:rStyle w:val="Refdenotaalpie"/>
          <w:rFonts w:ascii="Verdana" w:hAnsi="Verdana" w:cs="Arial"/>
          <w:shd w:val="clear" w:color="auto" w:fill="FFFFFF"/>
          <w:lang w:val="es-MX"/>
        </w:rPr>
        <w:footnoteReference w:id="16"/>
      </w:r>
      <w:r w:rsidRPr="00FF0864">
        <w:rPr>
          <w:rFonts w:ascii="Verdana" w:hAnsi="Verdana" w:cs="Arial"/>
          <w:shd w:val="clear" w:color="auto" w:fill="FFFFFF"/>
          <w:lang w:val="es-MX"/>
        </w:rPr>
        <w:t xml:space="preserve">. En similar sentido, la Sala de Consulta y Servicio Civil del Consejo de Estado expresó </w:t>
      </w:r>
      <w:r w:rsidRPr="00FF0864">
        <w:rPr>
          <w:rFonts w:ascii="Verdana" w:hAnsi="Verdana" w:cs="Arial"/>
          <w:color w:val="000000"/>
          <w:shd w:val="clear" w:color="auto" w:fill="FFFFFF"/>
        </w:rPr>
        <w:t xml:space="preserve">que </w:t>
      </w:r>
      <w:r w:rsidR="00FF0864" w:rsidRPr="00FF0864">
        <w:rPr>
          <w:rFonts w:ascii="Verdana" w:hAnsi="Verdana" w:cs="Arial"/>
          <w:color w:val="000000"/>
          <w:shd w:val="clear" w:color="auto" w:fill="FFFFFF"/>
        </w:rPr>
        <w:t>“</w:t>
      </w:r>
      <w:r w:rsidRPr="00FF0864">
        <w:rPr>
          <w:rFonts w:ascii="Verdana" w:hAnsi="Verdana" w:cs="Arial"/>
          <w:color w:val="000000"/>
          <w:shd w:val="clear" w:color="auto" w:fill="FFFFFF"/>
        </w:rPr>
        <w:t xml:space="preserve">[…] las causales de inhabilidad e incompatibilidad deben estar expresa y taxativamente establecidas en la Constitución o en la ley </w:t>
      </w:r>
      <w:r w:rsidRPr="00FF0864">
        <w:rPr>
          <w:rFonts w:ascii="Verdana" w:hAnsi="Verdana" w:cs="Arial"/>
          <w:color w:val="000000"/>
          <w:shd w:val="clear" w:color="auto" w:fill="FFFFFF"/>
        </w:rPr>
        <w:lastRenderedPageBreak/>
        <w:t>y son de aplicación e interpretación restrictivas […]</w:t>
      </w:r>
      <w:r w:rsidR="00FF0864" w:rsidRPr="00FF0864">
        <w:rPr>
          <w:rFonts w:ascii="Verdana" w:hAnsi="Verdana" w:cs="Arial"/>
          <w:color w:val="000000"/>
          <w:shd w:val="clear" w:color="auto" w:fill="FFFFFF"/>
        </w:rPr>
        <w:t>”</w:t>
      </w:r>
      <w:r w:rsidRPr="00FF0864">
        <w:rPr>
          <w:rStyle w:val="Refdenotaalpie"/>
          <w:rFonts w:ascii="Verdana" w:hAnsi="Verdana" w:cs="Arial"/>
          <w:color w:val="000000"/>
          <w:shd w:val="clear" w:color="auto" w:fill="FFFFFF"/>
        </w:rPr>
        <w:footnoteReference w:id="17"/>
      </w:r>
      <w:r w:rsidRPr="00FF0864">
        <w:rPr>
          <w:rFonts w:ascii="Verdana" w:hAnsi="Verdana" w:cs="Arial"/>
          <w:color w:val="000000"/>
          <w:shd w:val="clear" w:color="auto" w:fill="FFFFFF"/>
        </w:rPr>
        <w:t>. En este sentido, como se observa, existe consenso, incluso como lo ha expresado esta Agencia en ocasiones anteriores, que la creación de inhabilidades o incompatibilidades está reservada al constituyente o al legislador.</w:t>
      </w:r>
    </w:p>
    <w:p w14:paraId="00DE3BCA" w14:textId="4A806D99" w:rsidR="00FF2F27" w:rsidRPr="00FF0864" w:rsidRDefault="00FF2F27" w:rsidP="00FF2F27">
      <w:pPr>
        <w:pStyle w:val="Prrafodelista"/>
        <w:numPr>
          <w:ilvl w:val="0"/>
          <w:numId w:val="32"/>
        </w:numPr>
        <w:spacing w:after="120" w:line="276" w:lineRule="auto"/>
        <w:jc w:val="both"/>
        <w:rPr>
          <w:rFonts w:ascii="Verdana" w:eastAsia="Calibri" w:hAnsi="Verdana" w:cs="Arial"/>
          <w:lang w:val="es-ES_tradnl"/>
        </w:rPr>
      </w:pPr>
      <w:r w:rsidRPr="00FF0864">
        <w:rPr>
          <w:rFonts w:ascii="Verdana" w:eastAsia="Calibri" w:hAnsi="Verdana" w:cs="Arial"/>
          <w:lang w:val="es-ES_tradnl"/>
        </w:rPr>
        <w:t xml:space="preserve">El literal g) del numeral 1 del artículo 8 de la Ley 80 de 1993 determina que son inhábiles para participar en procesos de contratación o suscribir contratos con entidades estatales </w:t>
      </w:r>
      <w:r w:rsidR="00FF0864" w:rsidRPr="00FF0864">
        <w:rPr>
          <w:rFonts w:ascii="Verdana" w:eastAsia="Calibri" w:hAnsi="Verdana" w:cs="Arial"/>
          <w:lang w:val="es-ES_tradnl"/>
        </w:rPr>
        <w:t>“</w:t>
      </w:r>
      <w:r w:rsidRPr="00FF0864">
        <w:rPr>
          <w:rFonts w:ascii="Verdana" w:eastAsia="Calibri" w:hAnsi="Verdana" w:cs="Arial"/>
          <w:lang w:val="es-ES_tradnl"/>
        </w:rPr>
        <w:t>Quienes sean cónyuges o compañeros permanentes y quienes se encuentren dentro del segundo grado de consanguinidad o segundo de afinidad con cualquier otra persona que formalmente haya presentado propuesta para una misma licitación</w:t>
      </w:r>
      <w:r w:rsidR="00FF0864" w:rsidRPr="00FF0864">
        <w:rPr>
          <w:rFonts w:ascii="Verdana" w:eastAsia="Calibri" w:hAnsi="Verdana" w:cs="Arial"/>
          <w:lang w:val="es-ES_tradnl"/>
        </w:rPr>
        <w:t>”</w:t>
      </w:r>
      <w:r w:rsidRPr="00FF0864">
        <w:rPr>
          <w:rFonts w:ascii="Verdana" w:eastAsia="Calibri" w:hAnsi="Verdana" w:cs="Arial"/>
          <w:lang w:val="es-ES_tradnl"/>
        </w:rPr>
        <w:t>.</w:t>
      </w:r>
    </w:p>
    <w:p w14:paraId="7119135E" w14:textId="77777777" w:rsidR="00FF2F27" w:rsidRPr="00FF0864" w:rsidRDefault="00FF2F27" w:rsidP="00FF2F27">
      <w:pPr>
        <w:pStyle w:val="Prrafodelista"/>
        <w:numPr>
          <w:ilvl w:val="0"/>
          <w:numId w:val="32"/>
        </w:numPr>
        <w:spacing w:before="120" w:after="120" w:line="276" w:lineRule="auto"/>
        <w:jc w:val="both"/>
        <w:rPr>
          <w:rFonts w:ascii="Verdana" w:eastAsia="Calibri" w:hAnsi="Verdana" w:cs="Arial"/>
          <w:lang w:val="es-ES_tradnl"/>
        </w:rPr>
      </w:pPr>
      <w:r w:rsidRPr="00FF0864">
        <w:rPr>
          <w:rFonts w:ascii="Verdana" w:eastAsia="Calibri" w:hAnsi="Verdana" w:cs="Arial"/>
          <w:lang w:val="es-ES"/>
        </w:rPr>
        <w:t>La citada inhabilidad tiene fundamento en las relaciones familiares o de parentesco, tales como los cónyuges o compañeros permanentes, así como aquellas personas respecto de las que se predican relaciones de consanguinidad o afinidad hasta el segundo grado. Esa circunstancia implica que esa causal de inhabilidad se instituyó, única y exclusivamente, con el propósito de limitar la capacidad en la participación en procesos de contratación de las denominadas personas naturales</w:t>
      </w:r>
      <w:r w:rsidRPr="00FF0864">
        <w:rPr>
          <w:rStyle w:val="Refdenotaalpie"/>
          <w:rFonts w:ascii="Verdana" w:eastAsia="Calibri" w:hAnsi="Verdana" w:cs="Arial"/>
          <w:lang w:val="es-ES"/>
        </w:rPr>
        <w:footnoteReference w:id="18"/>
      </w:r>
      <w:r w:rsidRPr="00FF0864">
        <w:rPr>
          <w:rFonts w:ascii="Verdana" w:eastAsia="Calibri" w:hAnsi="Verdana" w:cs="Arial"/>
          <w:lang w:val="es-ES"/>
        </w:rPr>
        <w:t>, esto es, sujetos de derechos y obligaciones de la especie humana unidos entre si ya sea por vínculos naturales o jurídicos</w:t>
      </w:r>
      <w:r w:rsidRPr="00FF0864">
        <w:rPr>
          <w:rStyle w:val="Refdenotaalpie"/>
          <w:rFonts w:ascii="Verdana" w:eastAsia="Calibri" w:hAnsi="Verdana" w:cs="Arial"/>
          <w:lang w:val="es-ES"/>
        </w:rPr>
        <w:footnoteReference w:id="19"/>
      </w:r>
      <w:r w:rsidRPr="00FF0864">
        <w:rPr>
          <w:rFonts w:ascii="Verdana" w:eastAsia="Calibri" w:hAnsi="Verdana" w:cs="Arial"/>
          <w:lang w:val="es-ES"/>
        </w:rPr>
        <w:t>.</w:t>
      </w:r>
    </w:p>
    <w:p w14:paraId="187A0B8A" w14:textId="3537C530" w:rsidR="00FF2F27" w:rsidRPr="00FF0864" w:rsidRDefault="00FF2F27" w:rsidP="00FF2F27">
      <w:pPr>
        <w:pStyle w:val="Prrafodelista"/>
        <w:numPr>
          <w:ilvl w:val="0"/>
          <w:numId w:val="32"/>
        </w:numPr>
        <w:spacing w:after="120" w:line="276" w:lineRule="auto"/>
        <w:jc w:val="both"/>
        <w:rPr>
          <w:rFonts w:ascii="Verdana" w:eastAsia="Calibri" w:hAnsi="Verdana" w:cs="Arial"/>
          <w:lang w:val="es-ES_tradnl"/>
        </w:rPr>
      </w:pPr>
      <w:r w:rsidRPr="00FF0864">
        <w:rPr>
          <w:rFonts w:ascii="Verdana" w:eastAsia="Calibri" w:hAnsi="Verdana" w:cs="Arial"/>
          <w:lang w:val="es-ES_tradnl"/>
        </w:rPr>
        <w:t xml:space="preserve">En ese sentido, para acreditar que los proponentes no se encuentran incursos en inhabilidades, es válido que las entidades estatales estales, al adelantar procesos de selección, exijan a los proponentes, declaraciones en las que, bajo la gravedad de juramento, manifiesten no estar incursos en causales de inhabilidad o incompatibilidad. Ello ciertamente corresponde una forma viable para demostrar el hecho al que se refiere, al ser el juramento un medio de prueba válido a luz de las normas </w:t>
      </w:r>
      <w:r w:rsidRPr="00FF0864">
        <w:rPr>
          <w:rFonts w:ascii="Verdana" w:eastAsia="Calibri" w:hAnsi="Verdana" w:cs="Arial"/>
          <w:lang w:val="es-ES_tradnl"/>
        </w:rPr>
        <w:lastRenderedPageBreak/>
        <w:t>procesales</w:t>
      </w:r>
      <w:r w:rsidRPr="00FF0864">
        <w:rPr>
          <w:rStyle w:val="Refdenotaalpie"/>
          <w:rFonts w:ascii="Verdana" w:eastAsia="Calibri" w:hAnsi="Verdana" w:cs="Arial"/>
          <w:lang w:val="es-ES_tradnl"/>
        </w:rPr>
        <w:footnoteReference w:id="20"/>
      </w:r>
      <w:r w:rsidRPr="00FF0864">
        <w:rPr>
          <w:rFonts w:ascii="Verdana" w:eastAsia="Calibri" w:hAnsi="Verdana" w:cs="Arial"/>
          <w:lang w:val="es-ES_tradnl"/>
        </w:rPr>
        <w:t xml:space="preserve">. La negación en la que consiste tal declaración, siempre que sea formulada de forma indefinida o general, respecto del régimen de inhabilidades e incompatibilidades, o aludiendo específicamente al literal g) del numeral 1 del artículo 8 de la Ley 80 de 1993, cobija el supuesto de hecho al que se refiere dicha norma. En ese sentido, el proponente mediante tal declaración acredita no estar incurso en la inhabilidad bajo estudio. </w:t>
      </w:r>
    </w:p>
    <w:p w14:paraId="1D196854" w14:textId="113E44E5" w:rsidR="00FF2F27" w:rsidRPr="00FF0864" w:rsidRDefault="00FF2F27" w:rsidP="00FF2F27">
      <w:pPr>
        <w:pStyle w:val="Prrafodelista"/>
        <w:numPr>
          <w:ilvl w:val="0"/>
          <w:numId w:val="32"/>
        </w:numPr>
        <w:spacing w:after="120" w:line="276" w:lineRule="auto"/>
        <w:jc w:val="both"/>
        <w:rPr>
          <w:rFonts w:ascii="Verdana" w:eastAsia="Calibri" w:hAnsi="Verdana" w:cs="Arial"/>
          <w:lang w:val="es-ES_tradnl"/>
        </w:rPr>
      </w:pPr>
      <w:r w:rsidRPr="00FF0864">
        <w:rPr>
          <w:rFonts w:ascii="Verdana" w:eastAsia="Calibri" w:hAnsi="Verdana" w:cs="Arial"/>
          <w:lang w:val="es-ES_tradnl"/>
        </w:rPr>
        <w:t xml:space="preserve">No obstante, tal declaración no exime a la entidad estatal del deber de ejercer la potestad verificadora que le compete, respecto de la acreditación de la capacidad jurídica, en lo atinente a la inhabilidad del literal g) del numeral 1 del artículo 8 </w:t>
      </w:r>
      <w:r w:rsidRPr="00FF0864">
        <w:rPr>
          <w:rFonts w:ascii="Verdana" w:eastAsia="Calibri" w:hAnsi="Verdana" w:cs="Arial"/>
          <w:i/>
          <w:iCs/>
          <w:lang w:val="es-ES_tradnl"/>
        </w:rPr>
        <w:t xml:space="preserve">Ibídem, </w:t>
      </w:r>
      <w:r w:rsidRPr="00FF0864">
        <w:rPr>
          <w:rFonts w:ascii="Verdana" w:eastAsia="Calibri" w:hAnsi="Verdana" w:cs="Arial"/>
          <w:lang w:val="es-ES_tradnl"/>
        </w:rPr>
        <w:t xml:space="preserve">cuando en el marco de la evaluación de las propuestas, se tienen dudas en relación con la configuración de dicha inhabilidad. En ese sentido, en primer lugar, si en el marco de la evaluación de ofertas, antes de la publicación del respectivo informe, la entidad estatal tiene conocimiento de circunstancias que le indiquen la eventual configuración de la respectiva inhabilidad, tiene la posibilidad de solicitar a los proponentes el esclarecimiento de dicha circunstancia, exigiendo las explicaciones y aclaraciones que sean procedentes. </w:t>
      </w:r>
    </w:p>
    <w:p w14:paraId="72C42505" w14:textId="77777777" w:rsidR="00FF2F27" w:rsidRPr="00FF0864" w:rsidRDefault="00FF2F27" w:rsidP="00FF2F27">
      <w:pPr>
        <w:pStyle w:val="Prrafodelista"/>
        <w:numPr>
          <w:ilvl w:val="0"/>
          <w:numId w:val="32"/>
        </w:numPr>
        <w:spacing w:after="120" w:line="276" w:lineRule="auto"/>
        <w:jc w:val="both"/>
        <w:rPr>
          <w:rFonts w:ascii="Verdana" w:eastAsia="Calibri" w:hAnsi="Verdana" w:cs="Arial"/>
          <w:lang w:val="es-ES_tradnl"/>
        </w:rPr>
      </w:pPr>
      <w:r w:rsidRPr="00FF0864">
        <w:rPr>
          <w:rFonts w:ascii="Verdana" w:eastAsia="Calibri" w:hAnsi="Verdana" w:cs="Arial"/>
          <w:lang w:val="es-ES_tradnl"/>
        </w:rPr>
        <w:t xml:space="preserve">En ese sentido, al ser capacidad jurídica un requisito habilitante, ante la ausencia de claridad en su acreditación, procede la aplicación de la regla de subsanabilidad prevista en el parágrafo 1 del artículo 5 de la Ley 1150 de 2007. Conforme a esta, hasta el término de traslado del informe de </w:t>
      </w:r>
      <w:r w:rsidRPr="00FF0864">
        <w:rPr>
          <w:rFonts w:ascii="Verdana" w:eastAsia="Calibri" w:hAnsi="Verdana" w:cs="Arial"/>
          <w:lang w:val="es-ES_tradnl"/>
        </w:rPr>
        <w:lastRenderedPageBreak/>
        <w:t xml:space="preserve">evaluación, la entidad estatal tiene la posibilidad de solicitar a los proponentes los medios de prueba necesarios para verificar la configuración o no de las circunstancias y condiciones sancionadas con la inhabilidad, que confirmen o desvirtúen la negación indefinida hecha bajo la gravedad de juramento relativa a no estar incurso en inhabilidades e incompatibilidades.    </w:t>
      </w:r>
    </w:p>
    <w:p w14:paraId="69CD2E18" w14:textId="77777777" w:rsidR="00FF2F27" w:rsidRPr="00FF0864" w:rsidRDefault="00FF2F27" w:rsidP="00FF2F27">
      <w:pPr>
        <w:pStyle w:val="Prrafodelista"/>
        <w:numPr>
          <w:ilvl w:val="0"/>
          <w:numId w:val="32"/>
        </w:numPr>
        <w:spacing w:line="276" w:lineRule="auto"/>
        <w:jc w:val="both"/>
        <w:rPr>
          <w:rFonts w:ascii="Verdana" w:eastAsia="Calibri" w:hAnsi="Verdana" w:cs="Arial"/>
          <w:lang w:val="es-ES_tradnl"/>
        </w:rPr>
      </w:pPr>
      <w:r w:rsidRPr="00FF0864">
        <w:rPr>
          <w:rFonts w:ascii="Verdana" w:eastAsia="Calibri" w:hAnsi="Verdana" w:cs="Arial"/>
          <w:lang w:val="es-ES_tradnl"/>
        </w:rPr>
        <w:t xml:space="preserve">Sin perjuicio de lo anterior, también es posible que la configuración de la inhabilidad se evidencie en un estado más avanzado del proceso de selección, lo cual tampoco obsta para que la entidad estatal ejerza su potestad verificadora y descalifique la oferta del proponente afectado por la inhabilidad. Ello puede suceder si, por ejemplo, en el marco de las observaciones al informe de evaluación algún proponente pone de presente la configuración de la inhabilidad, suministrando información o documentación que así lo indique. En este caso, la entidad también debe proceder a verificar la configuración de la inhabilidad, ya que de ser esta real, la propuesta a la que se refiere debe ser descalificada por inhábil. </w:t>
      </w:r>
    </w:p>
    <w:p w14:paraId="0AC1AE60" w14:textId="77777777" w:rsidR="009F5FB8" w:rsidRPr="00FF0864" w:rsidRDefault="009F5FB8" w:rsidP="009F5FB8">
      <w:pPr>
        <w:spacing w:after="0" w:line="276" w:lineRule="auto"/>
        <w:jc w:val="both"/>
        <w:rPr>
          <w:rFonts w:ascii="Verdana" w:eastAsia="Calibri" w:hAnsi="Verdana" w:cs="Arial"/>
        </w:rPr>
      </w:pPr>
    </w:p>
    <w:p w14:paraId="51691684" w14:textId="77777777" w:rsidR="00AB64A5" w:rsidRPr="00FF0864"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F0864">
        <w:rPr>
          <w:rFonts w:ascii="Verdana" w:eastAsia="Century Gothic" w:hAnsi="Verdana" w:cs="Century Gothic"/>
          <w:b/>
          <w:bCs/>
        </w:rPr>
        <w:t>Referencias normativas, jurisprudenciales y otras fuentes:</w:t>
      </w:r>
    </w:p>
    <w:p w14:paraId="4791A111" w14:textId="77777777" w:rsidR="00AB64A5" w:rsidRPr="00FF0864" w:rsidRDefault="00AB64A5" w:rsidP="00AB64A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B64A5" w:rsidRPr="00FF0864" w14:paraId="713E4602" w14:textId="77777777" w:rsidTr="007B0B27">
        <w:trPr>
          <w:trHeight w:val="870"/>
        </w:trPr>
        <w:tc>
          <w:tcPr>
            <w:tcW w:w="8647" w:type="dxa"/>
          </w:tcPr>
          <w:p w14:paraId="15771CC9" w14:textId="77777777" w:rsidR="00FF2F27" w:rsidRPr="00FF0864" w:rsidRDefault="00FF2F27" w:rsidP="00FF2F27">
            <w:pPr>
              <w:widowControl w:val="0"/>
              <w:numPr>
                <w:ilvl w:val="0"/>
                <w:numId w:val="2"/>
              </w:numPr>
              <w:autoSpaceDE w:val="0"/>
              <w:autoSpaceDN w:val="0"/>
              <w:spacing w:line="276" w:lineRule="auto"/>
              <w:contextualSpacing/>
              <w:jc w:val="both"/>
              <w:rPr>
                <w:rFonts w:ascii="Verdana" w:hAnsi="Verdana" w:cs="Arial"/>
                <w:lang w:val="es-ES"/>
              </w:rPr>
            </w:pPr>
            <w:r w:rsidRPr="00FF0864">
              <w:rPr>
                <w:rFonts w:ascii="Verdana" w:hAnsi="Verdana" w:cs="Arial"/>
                <w:lang w:val="es-ES"/>
              </w:rPr>
              <w:t>Constitución Política, artículo 150.</w:t>
            </w:r>
          </w:p>
          <w:p w14:paraId="159813C7" w14:textId="77777777" w:rsidR="00FF2F27" w:rsidRPr="00FF0864" w:rsidRDefault="00FF2F27" w:rsidP="00FF2F27">
            <w:pPr>
              <w:widowControl w:val="0"/>
              <w:numPr>
                <w:ilvl w:val="0"/>
                <w:numId w:val="2"/>
              </w:numPr>
              <w:autoSpaceDE w:val="0"/>
              <w:autoSpaceDN w:val="0"/>
              <w:spacing w:line="276" w:lineRule="auto"/>
              <w:contextualSpacing/>
              <w:jc w:val="both"/>
              <w:rPr>
                <w:rFonts w:ascii="Verdana" w:hAnsi="Verdana" w:cs="Arial"/>
                <w:lang w:val="es-ES"/>
              </w:rPr>
            </w:pPr>
            <w:r w:rsidRPr="00FF0864">
              <w:rPr>
                <w:rFonts w:ascii="Verdana" w:hAnsi="Verdana" w:cs="Arial"/>
                <w:lang w:val="es-ES"/>
              </w:rPr>
              <w:t>Ley 80 de 1993, artículo 8.</w:t>
            </w:r>
          </w:p>
          <w:p w14:paraId="063B7B15" w14:textId="77777777" w:rsidR="00FF2F27" w:rsidRPr="00FF0864" w:rsidRDefault="00FF2F27" w:rsidP="00FF2F27">
            <w:pPr>
              <w:widowControl w:val="0"/>
              <w:numPr>
                <w:ilvl w:val="0"/>
                <w:numId w:val="2"/>
              </w:numPr>
              <w:autoSpaceDE w:val="0"/>
              <w:autoSpaceDN w:val="0"/>
              <w:spacing w:line="276" w:lineRule="auto"/>
              <w:contextualSpacing/>
              <w:jc w:val="both"/>
              <w:rPr>
                <w:rFonts w:ascii="Verdana" w:hAnsi="Verdana" w:cs="Arial"/>
                <w:lang w:val="es-ES"/>
              </w:rPr>
            </w:pPr>
            <w:r w:rsidRPr="00FF0864">
              <w:rPr>
                <w:rFonts w:ascii="Verdana" w:hAnsi="Verdana" w:cs="Arial"/>
                <w:color w:val="000000"/>
                <w:bdr w:val="none" w:sz="0" w:space="0" w:color="auto" w:frame="1"/>
                <w:lang w:val="es-ES"/>
              </w:rPr>
              <w:t>Ley 1952 de 2019, artículo 56.</w:t>
            </w:r>
          </w:p>
          <w:p w14:paraId="32ED9A8A" w14:textId="77777777" w:rsidR="00FF2F27" w:rsidRPr="00FF086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FF0864">
              <w:rPr>
                <w:rFonts w:ascii="Verdana" w:hAnsi="Verdana" w:cs="Arial"/>
                <w:lang w:val="es-ES"/>
              </w:rPr>
              <w:t>Corte Constitucional. Sentencia T-1039 de 2006. Magistrado Ponente: Humberto Sierra Porto.</w:t>
            </w:r>
          </w:p>
          <w:p w14:paraId="604E65AA" w14:textId="77777777" w:rsidR="00FF2F27" w:rsidRPr="00FF086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FF0864">
              <w:rPr>
                <w:rFonts w:ascii="Verdana" w:hAnsi="Verdana" w:cs="Arial"/>
                <w:lang w:val="es-ES"/>
              </w:rPr>
              <w:t>Consejo de Estado. Sala de Consulta y Servicio Civil. Concepto del 30 de abril de 2015. Expediente: 2251. Consejero Ponente: Álvaro Namén Vargas.</w:t>
            </w:r>
          </w:p>
          <w:p w14:paraId="3A9F1A2D" w14:textId="77777777" w:rsidR="00FF2F27" w:rsidRPr="00FF086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FF0864">
              <w:rPr>
                <w:rFonts w:ascii="Verdana" w:hAnsi="Verdana" w:cs="Arial"/>
                <w:lang w:val="es-ES"/>
              </w:rPr>
              <w:t>Consejo de Estado. Sección Tercera. Subsección A. Sentencia del 24 de junio de 2015. Exp. 40.635. Consejero Ponente: Hernán Andrade Rincón (E).</w:t>
            </w:r>
          </w:p>
          <w:p w14:paraId="04BC0E03" w14:textId="77777777" w:rsidR="00FF2F27" w:rsidRPr="00FF086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FF0864">
              <w:rPr>
                <w:rFonts w:ascii="Verdana" w:hAnsi="Verdana" w:cs="Arial"/>
                <w:lang w:val="es-ES"/>
              </w:rPr>
              <w:t>Consejo de Estado. Sección Tercera. Subsección C. Sentencia del 22 de mayo de 2013. Exp. 24.057. Consejera Ponente: Olga Melida Valle De La Hoz.</w:t>
            </w:r>
          </w:p>
          <w:p w14:paraId="3D723E84" w14:textId="77777777" w:rsidR="00FF2F27" w:rsidRPr="00FF086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FF0864">
              <w:rPr>
                <w:rFonts w:ascii="Verdana" w:hAnsi="Verdana" w:cs="Arial"/>
                <w:lang w:val="es-ES"/>
              </w:rPr>
              <w:t xml:space="preserve">Corte Constitucional, sentencia C- 373 de 2002, Magistrado ponente </w:t>
            </w:r>
            <w:r w:rsidRPr="00FF0864">
              <w:rPr>
                <w:rFonts w:ascii="Verdana" w:hAnsi="Verdana" w:cs="Arial"/>
                <w:lang w:val="es-ES"/>
              </w:rPr>
              <w:lastRenderedPageBreak/>
              <w:t>Jaime Córdoba Triviño.</w:t>
            </w:r>
          </w:p>
          <w:p w14:paraId="62D514FC" w14:textId="77777777" w:rsidR="00FF2F27" w:rsidRPr="00FF086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FF0864">
              <w:rPr>
                <w:rFonts w:ascii="Verdana" w:hAnsi="Verdana" w:cs="Arial"/>
                <w:lang w:val="es-ES"/>
              </w:rPr>
              <w:t>Corte Constitucional, sentencia C-325 de 2009, Magistrado ponente Gabriel Eduardo Mendoza Martelo.</w:t>
            </w:r>
          </w:p>
          <w:p w14:paraId="0C45EA68" w14:textId="2392E8E1" w:rsidR="00C04209" w:rsidRPr="00FF0864" w:rsidRDefault="00FF2F27" w:rsidP="00FF2F27">
            <w:pPr>
              <w:pStyle w:val="Prrafodelista"/>
              <w:numPr>
                <w:ilvl w:val="0"/>
                <w:numId w:val="2"/>
              </w:numPr>
              <w:spacing w:line="276" w:lineRule="auto"/>
              <w:ind w:right="709"/>
              <w:jc w:val="both"/>
              <w:rPr>
                <w:rFonts w:ascii="Verdana" w:hAnsi="Verdana" w:cs="Arial"/>
              </w:rPr>
            </w:pPr>
            <w:r w:rsidRPr="00FF0864">
              <w:rPr>
                <w:rFonts w:ascii="Verdana" w:hAnsi="Verdana" w:cs="Arial"/>
                <w:lang w:val="es-ES"/>
              </w:rPr>
              <w:t>Consejo de Estado, Sentencia 00111 del 13 de junio de 2019, Sala de lo Contencioso Administrativo, Sección Quinta 00111 del 13 de junio de 2019, consejera ponente Rocío Araújo Oñate.</w:t>
            </w:r>
          </w:p>
        </w:tc>
      </w:tr>
    </w:tbl>
    <w:p w14:paraId="7D10BDB3" w14:textId="77777777" w:rsidR="00AB64A5" w:rsidRPr="00FF0864" w:rsidRDefault="00AB64A5" w:rsidP="00AB64A5">
      <w:pPr>
        <w:widowControl w:val="0"/>
        <w:autoSpaceDE w:val="0"/>
        <w:autoSpaceDN w:val="0"/>
        <w:spacing w:after="0" w:line="276" w:lineRule="auto"/>
        <w:jc w:val="both"/>
        <w:rPr>
          <w:rFonts w:ascii="Verdana" w:hAnsi="Verdana" w:cs="Arial"/>
        </w:rPr>
      </w:pPr>
    </w:p>
    <w:p w14:paraId="064A695A" w14:textId="77777777" w:rsidR="00AB64A5" w:rsidRPr="00FF0864"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F0864">
        <w:rPr>
          <w:rFonts w:ascii="Verdana" w:eastAsia="Century Gothic" w:hAnsi="Verdana" w:cs="Century Gothic"/>
          <w:b/>
          <w:bCs/>
        </w:rPr>
        <w:t>Doctrina de la Agencia Nacional de Contratación Pública:</w:t>
      </w:r>
    </w:p>
    <w:p w14:paraId="6FB855C5" w14:textId="77777777" w:rsidR="00AB64A5" w:rsidRPr="00FF0864" w:rsidRDefault="00AB64A5" w:rsidP="00AB64A5">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24CCAA68" w14:textId="7B259810" w:rsidR="00F67849" w:rsidRPr="00FF0864" w:rsidRDefault="00F67849" w:rsidP="00F67849">
      <w:pPr>
        <w:widowControl w:val="0"/>
        <w:autoSpaceDE w:val="0"/>
        <w:autoSpaceDN w:val="0"/>
        <w:spacing w:after="0" w:line="276" w:lineRule="auto"/>
        <w:jc w:val="both"/>
        <w:rPr>
          <w:rStyle w:val="normaltextrun"/>
          <w:rFonts w:ascii="Verdana" w:hAnsi="Verdana" w:cs="Arial"/>
          <w:color w:val="156082" w:themeColor="accent1"/>
          <w:shd w:val="clear" w:color="auto" w:fill="FFFFFF"/>
          <w:lang w:val="es-ES"/>
        </w:rPr>
      </w:pPr>
      <w:r w:rsidRPr="00FF0864">
        <w:rPr>
          <w:rStyle w:val="normaltextrun"/>
          <w:rFonts w:ascii="Verdana" w:hAnsi="Verdana" w:cs="Arial"/>
          <w:shd w:val="clear" w:color="auto" w:fill="FFFFFF"/>
          <w:lang w:val="es-ES"/>
        </w:rPr>
        <w:t>Sobre las actividades relacionadas con ciencia, tecnología e innovación y los contratos</w:t>
      </w:r>
      <w:r w:rsidR="00FF2F27" w:rsidRPr="00FF0864">
        <w:rPr>
          <w:rStyle w:val="normaltextrun"/>
          <w:rFonts w:ascii="Verdana" w:hAnsi="Verdana" w:cs="Arial"/>
          <w:shd w:val="clear" w:color="auto" w:fill="FFFFFF"/>
          <w:lang w:val="es-ES"/>
        </w:rPr>
        <w:t xml:space="preserve"> </w:t>
      </w:r>
      <w:r w:rsidR="00FF2F27" w:rsidRPr="00FF0864">
        <w:rPr>
          <w:rFonts w:ascii="Verdana" w:eastAsia="Calibri" w:hAnsi="Verdana" w:cs="Arial"/>
        </w:rPr>
        <w:t>con radicados No.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C−402 del 26 de junio de 2020, C−365 del 30 de junio de 2020, C−386 del 24 de julio de 2020, C-585 del 14 de septiembre de 2020, C–592 del 14 de septiembre de 2020, C−551 de 24 de septiembre de 2020, C−709 del 7 de diciembre de 2020, C–721 de 14 de diciembre de 2020, C–004 del 12 de febrero de 2021, C–815 del 18 de febrero de 2021, C–047 del 8 de marzo de 2021, C–113 del 30 de marzo de 2021, C–122 del 30 de marzo de 2021, C–178 del 28 de abril de 2021, entre otros</w:t>
      </w:r>
      <w:r w:rsidRPr="00FF0864">
        <w:rPr>
          <w:rStyle w:val="normaltextrun"/>
          <w:rFonts w:ascii="Verdana" w:hAnsi="Verdana" w:cs="Arial"/>
          <w:shd w:val="clear" w:color="auto" w:fill="FFFFFF"/>
          <w:lang w:val="es-ES"/>
        </w:rPr>
        <w:t>. Es</w:t>
      </w:r>
      <w:r w:rsidRPr="00FF0864">
        <w:rPr>
          <w:rFonts w:ascii="Verdana" w:hAnsi="Verdana"/>
        </w:rPr>
        <w:t>tos y otros conceptos se encuentran disponibles para consulta en el Sistema de relatoría de la Agencia, al cual se puede acceder a través del siguiente enlace:</w:t>
      </w:r>
      <w:r w:rsidRPr="00FF0864">
        <w:rPr>
          <w:rStyle w:val="normaltextrun"/>
          <w:rFonts w:ascii="Verdana" w:hAnsi="Verdana" w:cs="Arial"/>
          <w:shd w:val="clear" w:color="auto" w:fill="FFFFFF"/>
          <w:lang w:val="es-ES"/>
        </w:rPr>
        <w:t xml:space="preserve"> </w:t>
      </w:r>
      <w:hyperlink r:id="rId10" w:history="1">
        <w:r w:rsidRPr="00FF0864">
          <w:rPr>
            <w:rStyle w:val="Hipervnculo"/>
            <w:rFonts w:ascii="Verdana" w:hAnsi="Verdana" w:cs="Arial"/>
            <w:color w:val="156082" w:themeColor="accent1"/>
            <w:shd w:val="clear" w:color="auto" w:fill="FFFFFF"/>
            <w:lang w:val="es-ES"/>
          </w:rPr>
          <w:t>https://relatoria.colombiacompra.gov.co/busqueda/conceptos</w:t>
        </w:r>
      </w:hyperlink>
      <w:r w:rsidRPr="00FF0864">
        <w:rPr>
          <w:rStyle w:val="normaltextrun"/>
          <w:rFonts w:ascii="Verdana" w:hAnsi="Verdana" w:cs="Arial"/>
          <w:color w:val="156082" w:themeColor="accent1"/>
          <w:shd w:val="clear" w:color="auto" w:fill="FFFFFF"/>
          <w:lang w:val="es-ES"/>
        </w:rPr>
        <w:t xml:space="preserve">. </w:t>
      </w:r>
    </w:p>
    <w:p w14:paraId="5F8E3F20" w14:textId="77777777" w:rsidR="0050012F" w:rsidRPr="00FF0864" w:rsidRDefault="0050012F" w:rsidP="00AB64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FEF4589" w14:textId="77777777" w:rsidR="00F67849" w:rsidRPr="00FF0864" w:rsidRDefault="00F67849" w:rsidP="00F67849">
      <w:pPr>
        <w:widowControl w:val="0"/>
        <w:autoSpaceDE w:val="0"/>
        <w:autoSpaceDN w:val="0"/>
        <w:spacing w:after="0" w:line="276" w:lineRule="auto"/>
        <w:jc w:val="both"/>
        <w:rPr>
          <w:rFonts w:ascii="Verdana" w:eastAsia="Calibri" w:hAnsi="Verdana" w:cs="Arial"/>
          <w:shd w:val="clear" w:color="auto" w:fill="FFFFFF"/>
          <w:lang w:val="es-ES"/>
        </w:rPr>
      </w:pPr>
      <w:r w:rsidRPr="00FF0864">
        <w:rPr>
          <w:rFonts w:ascii="Verdana" w:hAnsi="Verdana" w:cs="Arial"/>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1" w:tgtFrame="_blank" w:tooltip="Dirección URL original: https://www.colombiacompra.gov.co/sala-de-prensa/boletin-digital. Haga clic o pulse si confía en este vínculo." w:history="1">
        <w:r w:rsidRPr="00FF0864">
          <w:rPr>
            <w:rStyle w:val="Hipervnculo"/>
            <w:rFonts w:ascii="Verdana" w:hAnsi="Verdana" w:cs="Arial"/>
            <w:shd w:val="clear" w:color="auto" w:fill="FFFFFF"/>
          </w:rPr>
          <w:t>https://www.colombiacompra.gov.co/sala-de-prensa/boletin-digital</w:t>
        </w:r>
      </w:hyperlink>
      <w:r w:rsidRPr="00FF0864">
        <w:rPr>
          <w:rFonts w:ascii="Verdana" w:hAnsi="Verdana" w:cs="Arial"/>
          <w:shd w:val="clear" w:color="auto" w:fill="FFFFFF"/>
        </w:rPr>
        <w:t>    </w:t>
      </w:r>
    </w:p>
    <w:p w14:paraId="494B802C" w14:textId="77777777" w:rsidR="00F67849" w:rsidRPr="00FF0864" w:rsidRDefault="00F67849" w:rsidP="00F67849">
      <w:pPr>
        <w:spacing w:after="0" w:line="240" w:lineRule="auto"/>
        <w:jc w:val="both"/>
        <w:rPr>
          <w:rFonts w:ascii="Verdana" w:eastAsia="Calibri" w:hAnsi="Verdana" w:cs="Times New Roman"/>
        </w:rPr>
      </w:pPr>
      <w:r w:rsidRPr="00FF0864">
        <w:rPr>
          <w:rFonts w:ascii="Verdana" w:eastAsia="Calibri" w:hAnsi="Verdana" w:cs="Times New Roman"/>
        </w:rPr>
        <w:t xml:space="preserve">Por último, los invitamos a seguirnos en las redes sociales, en las cuales se difunde información institucional: </w:t>
      </w:r>
    </w:p>
    <w:p w14:paraId="7080E4EF" w14:textId="77777777" w:rsidR="00F67849" w:rsidRPr="00FF0864" w:rsidRDefault="00F67849" w:rsidP="00F67849">
      <w:pPr>
        <w:spacing w:after="0" w:line="240" w:lineRule="auto"/>
        <w:jc w:val="both"/>
        <w:rPr>
          <w:rFonts w:ascii="Verdana" w:eastAsia="Calibri" w:hAnsi="Verdana" w:cs="Times New Roman"/>
        </w:rPr>
      </w:pPr>
    </w:p>
    <w:p w14:paraId="1BDB9392" w14:textId="77777777" w:rsidR="00F67849" w:rsidRPr="00FF0864" w:rsidRDefault="00F67849" w:rsidP="00F67849">
      <w:pPr>
        <w:spacing w:after="0" w:line="240" w:lineRule="auto"/>
        <w:jc w:val="both"/>
        <w:rPr>
          <w:rFonts w:ascii="Verdana" w:eastAsia="Calibri" w:hAnsi="Verdana" w:cs="Times New Roman"/>
        </w:rPr>
      </w:pPr>
      <w:r w:rsidRPr="00FF0864">
        <w:rPr>
          <w:rFonts w:ascii="Verdana" w:eastAsia="Calibri" w:hAnsi="Verdana" w:cs="Times New Roman"/>
        </w:rPr>
        <w:t xml:space="preserve">Twitter: </w:t>
      </w:r>
      <w:r w:rsidRPr="00FF0864">
        <w:rPr>
          <w:rFonts w:ascii="Verdana" w:eastAsia="Calibri" w:hAnsi="Verdana" w:cs="Times New Roman"/>
          <w:u w:val="single"/>
        </w:rPr>
        <w:t>@colombiacompra</w:t>
      </w:r>
      <w:r w:rsidRPr="00FF0864">
        <w:rPr>
          <w:rFonts w:ascii="Verdana" w:eastAsia="Calibri" w:hAnsi="Verdana" w:cs="Times New Roman"/>
        </w:rPr>
        <w:t xml:space="preserve"> </w:t>
      </w:r>
    </w:p>
    <w:p w14:paraId="51B90D7F" w14:textId="77777777" w:rsidR="00F67849" w:rsidRPr="00FF0864" w:rsidRDefault="00F67849" w:rsidP="00F67849">
      <w:pPr>
        <w:spacing w:after="0" w:line="240" w:lineRule="auto"/>
        <w:jc w:val="both"/>
        <w:rPr>
          <w:rFonts w:ascii="Verdana" w:eastAsia="Calibri" w:hAnsi="Verdana" w:cs="Times New Roman"/>
        </w:rPr>
      </w:pPr>
      <w:r w:rsidRPr="00FF0864">
        <w:rPr>
          <w:rFonts w:ascii="Verdana" w:eastAsia="Calibri" w:hAnsi="Verdana" w:cs="Times New Roman"/>
        </w:rPr>
        <w:t xml:space="preserve">Facebook: </w:t>
      </w:r>
      <w:r w:rsidRPr="00FF0864">
        <w:rPr>
          <w:rFonts w:ascii="Verdana" w:eastAsia="Calibri" w:hAnsi="Verdana" w:cs="Times New Roman"/>
          <w:u w:val="single"/>
        </w:rPr>
        <w:t>ColombiaCompraEficiente</w:t>
      </w:r>
    </w:p>
    <w:p w14:paraId="4347A996" w14:textId="77777777" w:rsidR="00F67849" w:rsidRPr="00FF0864" w:rsidRDefault="00F67849" w:rsidP="00F67849">
      <w:pPr>
        <w:spacing w:after="0" w:line="240" w:lineRule="auto"/>
        <w:jc w:val="both"/>
        <w:rPr>
          <w:rFonts w:ascii="Verdana" w:eastAsia="Calibri" w:hAnsi="Verdana" w:cs="Times New Roman"/>
        </w:rPr>
      </w:pPr>
      <w:r w:rsidRPr="00FF0864">
        <w:rPr>
          <w:rFonts w:ascii="Verdana" w:eastAsia="Calibri" w:hAnsi="Verdana" w:cs="Times New Roman"/>
        </w:rPr>
        <w:t xml:space="preserve">LinkedIn: </w:t>
      </w:r>
      <w:r w:rsidRPr="00FF0864">
        <w:rPr>
          <w:rFonts w:ascii="Verdana" w:eastAsia="Calibri" w:hAnsi="Verdana" w:cs="Times New Roman"/>
          <w:u w:val="single"/>
        </w:rPr>
        <w:t>Agencia Nacional de Contratación Pública - Colombia Compra Eficiente</w:t>
      </w:r>
      <w:r w:rsidRPr="00FF0864">
        <w:rPr>
          <w:rFonts w:ascii="Verdana" w:eastAsia="Calibri" w:hAnsi="Verdana" w:cs="Times New Roman"/>
        </w:rPr>
        <w:t xml:space="preserve"> Instagram: </w:t>
      </w:r>
      <w:r w:rsidRPr="00FF0864">
        <w:rPr>
          <w:rFonts w:ascii="Verdana" w:eastAsia="Calibri" w:hAnsi="Verdana" w:cs="Times New Roman"/>
          <w:u w:val="single"/>
        </w:rPr>
        <w:t>@colombiacompraeficiente_cce</w:t>
      </w:r>
    </w:p>
    <w:p w14:paraId="2F41C146" w14:textId="77777777" w:rsidR="00F67849" w:rsidRPr="00FF0864" w:rsidRDefault="00F67849" w:rsidP="00F67849">
      <w:pPr>
        <w:widowControl w:val="0"/>
        <w:autoSpaceDE w:val="0"/>
        <w:autoSpaceDN w:val="0"/>
        <w:spacing w:after="0" w:line="276" w:lineRule="auto"/>
        <w:jc w:val="both"/>
        <w:rPr>
          <w:rFonts w:ascii="Verdana" w:eastAsia="Calibri" w:hAnsi="Verdana" w:cs="Arial"/>
        </w:rPr>
      </w:pPr>
    </w:p>
    <w:p w14:paraId="08A075D9" w14:textId="77777777" w:rsidR="00F67849" w:rsidRPr="00FF0864" w:rsidRDefault="00F67849" w:rsidP="00F67849">
      <w:pPr>
        <w:widowControl w:val="0"/>
        <w:autoSpaceDE w:val="0"/>
        <w:autoSpaceDN w:val="0"/>
        <w:spacing w:after="0" w:line="276" w:lineRule="auto"/>
        <w:jc w:val="both"/>
        <w:rPr>
          <w:rFonts w:ascii="Verdana" w:eastAsia="Calibri" w:hAnsi="Verdana" w:cs="Arial"/>
          <w:lang w:val="es-ES_tradnl"/>
        </w:rPr>
      </w:pPr>
      <w:r w:rsidRPr="00FF0864">
        <w:rPr>
          <w:rFonts w:ascii="Verdana" w:eastAsia="Calibri" w:hAnsi="Verdana" w:cs="Arial"/>
        </w:rPr>
        <w:t xml:space="preserve">Este concepto tiene el alcance previsto en el artículo 28 del Código de Procedimiento Administrativo y de lo Contencioso Administrativo </w:t>
      </w:r>
      <w:r w:rsidRPr="00FF0864">
        <w:rPr>
          <w:rFonts w:ascii="Verdana" w:eastAsia="Calibri" w:hAnsi="Verdana" w:cs="Arial"/>
          <w:lang w:val="es-ES_tradnl"/>
        </w:rPr>
        <w:t>y las expresiones aquí utilizadas con mayúscula inicial deben ser entendidas con el significado que les otorga el artículo 2.2.1.1.1.3.1. del Decreto 1082 de 2015.</w:t>
      </w:r>
    </w:p>
    <w:p w14:paraId="20464B9D" w14:textId="77777777" w:rsidR="00AB64A5" w:rsidRPr="00FF0864" w:rsidRDefault="00AB64A5" w:rsidP="00AB64A5">
      <w:pPr>
        <w:widowControl w:val="0"/>
        <w:autoSpaceDE w:val="0"/>
        <w:autoSpaceDN w:val="0"/>
        <w:spacing w:after="0" w:line="276" w:lineRule="auto"/>
        <w:jc w:val="both"/>
        <w:rPr>
          <w:rFonts w:ascii="Verdana" w:hAnsi="Verdana" w:cs="Arial"/>
          <w:lang w:val="es-ES_tradnl"/>
        </w:rPr>
      </w:pPr>
    </w:p>
    <w:p w14:paraId="43CF8739" w14:textId="77777777" w:rsidR="00AB64A5" w:rsidRPr="00FF0864" w:rsidRDefault="00AB64A5" w:rsidP="00AB64A5">
      <w:pPr>
        <w:spacing w:after="0" w:line="240" w:lineRule="auto"/>
        <w:rPr>
          <w:rFonts w:ascii="Verdana" w:hAnsi="Verdana" w:cs="Arial"/>
          <w:lang w:eastAsia="es-CO"/>
        </w:rPr>
      </w:pPr>
      <w:r w:rsidRPr="00FF0864">
        <w:rPr>
          <w:rFonts w:ascii="Verdana" w:eastAsia="Times New Roman" w:hAnsi="Verdana" w:cs="Arial"/>
          <w:lang w:eastAsia="es-CO"/>
        </w:rPr>
        <w:t>Atentamente,</w:t>
      </w:r>
      <w:r w:rsidRPr="00FF0864">
        <w:rPr>
          <w:rFonts w:ascii="Verdana" w:hAnsi="Verdana" w:cs="Arial"/>
          <w:lang w:eastAsia="es-CO"/>
        </w:rPr>
        <w:t xml:space="preserve"> </w:t>
      </w:r>
    </w:p>
    <w:p w14:paraId="0B837099" w14:textId="527A327A" w:rsidR="00AB64A5" w:rsidRPr="00FF0864" w:rsidRDefault="00A8651E" w:rsidP="00AB64A5">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34EF5D65" wp14:editId="5DDEB4D2">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2"/>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B64A5" w:rsidRPr="00FF0864" w14:paraId="1CCF7B2A" w14:textId="77777777" w:rsidTr="005A5AFA">
        <w:trPr>
          <w:trHeight w:val="315"/>
        </w:trPr>
        <w:tc>
          <w:tcPr>
            <w:tcW w:w="893" w:type="dxa"/>
            <w:vAlign w:val="center"/>
            <w:hideMark/>
          </w:tcPr>
          <w:p w14:paraId="4C835DB8" w14:textId="77777777" w:rsidR="00AB64A5" w:rsidRPr="00FF0864" w:rsidRDefault="00AB64A5" w:rsidP="007B0B27">
            <w:pPr>
              <w:contextualSpacing/>
              <w:rPr>
                <w:rFonts w:ascii="Verdana" w:hAnsi="Verdana" w:cs="Arial"/>
                <w:sz w:val="16"/>
                <w:szCs w:val="16"/>
                <w:lang w:val="es-ES" w:eastAsia="es-ES"/>
              </w:rPr>
            </w:pPr>
            <w:r w:rsidRPr="00FF0864">
              <w:rPr>
                <w:rFonts w:ascii="Verdana" w:hAnsi="Verdana" w:cs="Arial"/>
                <w:sz w:val="16"/>
                <w:szCs w:val="16"/>
                <w:lang w:val="es-ES" w:eastAsia="es-ES"/>
              </w:rPr>
              <w:t>Elaboró:</w:t>
            </w:r>
          </w:p>
        </w:tc>
        <w:tc>
          <w:tcPr>
            <w:tcW w:w="5628" w:type="dxa"/>
            <w:tcBorders>
              <w:top w:val="nil"/>
              <w:left w:val="nil"/>
              <w:right w:val="nil"/>
            </w:tcBorders>
            <w:vAlign w:val="center"/>
            <w:hideMark/>
          </w:tcPr>
          <w:p w14:paraId="66AF4843" w14:textId="392B394D" w:rsidR="00AB64A5" w:rsidRPr="00FF0864" w:rsidRDefault="00DB1051" w:rsidP="007B0B27">
            <w:pPr>
              <w:contextualSpacing/>
              <w:rPr>
                <w:rStyle w:val="normaltextrun"/>
                <w:rFonts w:ascii="Verdana" w:hAnsi="Verdana"/>
                <w:sz w:val="16"/>
                <w:szCs w:val="16"/>
              </w:rPr>
            </w:pPr>
            <w:r>
              <w:rPr>
                <w:rStyle w:val="normaltextrun"/>
                <w:rFonts w:ascii="Verdana" w:hAnsi="Verdana"/>
                <w:sz w:val="16"/>
                <w:szCs w:val="16"/>
              </w:rPr>
              <w:t xml:space="preserve">Diana </w:t>
            </w:r>
            <w:r w:rsidR="005A5AFA" w:rsidRPr="00FF0864">
              <w:rPr>
                <w:rStyle w:val="normaltextrun"/>
                <w:rFonts w:ascii="Verdana" w:hAnsi="Verdana"/>
                <w:sz w:val="16"/>
                <w:szCs w:val="16"/>
              </w:rPr>
              <w:t xml:space="preserve">Carolina Blanco Rodriguez </w:t>
            </w:r>
          </w:p>
          <w:p w14:paraId="05D16EFD" w14:textId="77777777" w:rsidR="00AB64A5" w:rsidRPr="00FF0864" w:rsidRDefault="00AB64A5" w:rsidP="007B0B27">
            <w:pPr>
              <w:contextualSpacing/>
              <w:rPr>
                <w:rStyle w:val="normaltextrun"/>
                <w:rFonts w:ascii="Verdana" w:hAnsi="Verdana"/>
                <w:sz w:val="16"/>
                <w:szCs w:val="16"/>
              </w:rPr>
            </w:pPr>
            <w:r w:rsidRPr="00FF0864">
              <w:rPr>
                <w:rStyle w:val="normaltextrun"/>
                <w:rFonts w:ascii="Verdana" w:hAnsi="Verdana"/>
                <w:sz w:val="16"/>
                <w:szCs w:val="16"/>
              </w:rPr>
              <w:t>Contratista de la Subdirección de Gestión Contractual</w:t>
            </w:r>
          </w:p>
          <w:p w14:paraId="6D742C2C" w14:textId="33389542" w:rsidR="009F5FB8" w:rsidRPr="00FF0864" w:rsidRDefault="009F5FB8" w:rsidP="007B0B27">
            <w:pPr>
              <w:contextualSpacing/>
              <w:rPr>
                <w:rStyle w:val="normaltextrun"/>
                <w:rFonts w:ascii="Verdana" w:hAnsi="Verdana"/>
              </w:rPr>
            </w:pPr>
          </w:p>
        </w:tc>
      </w:tr>
      <w:tr w:rsidR="00AB64A5" w:rsidRPr="00FF0864" w14:paraId="25DEECD8" w14:textId="77777777" w:rsidTr="005A5AFA">
        <w:trPr>
          <w:trHeight w:val="330"/>
        </w:trPr>
        <w:tc>
          <w:tcPr>
            <w:tcW w:w="893" w:type="dxa"/>
            <w:vAlign w:val="center"/>
            <w:hideMark/>
          </w:tcPr>
          <w:p w14:paraId="5EB4B261" w14:textId="77777777" w:rsidR="00AB64A5" w:rsidRPr="00FF0864" w:rsidRDefault="00AB64A5" w:rsidP="007B0B27">
            <w:pPr>
              <w:contextualSpacing/>
              <w:rPr>
                <w:rFonts w:ascii="Verdana" w:hAnsi="Verdana" w:cs="Arial"/>
                <w:sz w:val="16"/>
                <w:szCs w:val="16"/>
                <w:lang w:val="es-ES" w:eastAsia="es-ES"/>
              </w:rPr>
            </w:pPr>
            <w:r w:rsidRPr="00FF0864">
              <w:rPr>
                <w:rFonts w:ascii="Verdana" w:hAnsi="Verdana" w:cs="Arial"/>
                <w:sz w:val="16"/>
                <w:szCs w:val="16"/>
                <w:lang w:val="es-ES" w:eastAsia="es-ES"/>
              </w:rPr>
              <w:t>Revisó:</w:t>
            </w:r>
          </w:p>
        </w:tc>
        <w:tc>
          <w:tcPr>
            <w:tcW w:w="5628" w:type="dxa"/>
            <w:vAlign w:val="center"/>
            <w:hideMark/>
          </w:tcPr>
          <w:p w14:paraId="0FDC8FEE" w14:textId="2F7E85C7" w:rsidR="00FF2F27" w:rsidRPr="00FF0864" w:rsidRDefault="00E07453" w:rsidP="00553F39">
            <w:pPr>
              <w:pStyle w:val="paragraph"/>
              <w:spacing w:before="0" w:beforeAutospacing="0" w:after="0" w:afterAutospacing="0"/>
              <w:contextualSpacing/>
              <w:textAlignment w:val="baseline"/>
              <w:rPr>
                <w:rStyle w:val="normaltextrun"/>
                <w:rFonts w:ascii="Verdana" w:eastAsiaTheme="minorHAnsi" w:hAnsi="Verdana" w:cstheme="minorBidi"/>
                <w:sz w:val="16"/>
                <w:szCs w:val="16"/>
                <w:lang w:eastAsia="en-US"/>
              </w:rPr>
            </w:pPr>
            <w:r w:rsidRPr="00FF0864">
              <w:rPr>
                <w:rStyle w:val="normaltextrun"/>
                <w:rFonts w:ascii="Verdana" w:eastAsiaTheme="minorHAnsi" w:hAnsi="Verdana" w:cstheme="minorBidi"/>
                <w:sz w:val="16"/>
                <w:szCs w:val="16"/>
                <w:lang w:eastAsia="en-US"/>
              </w:rPr>
              <w:t>Adriana López</w:t>
            </w:r>
          </w:p>
          <w:p w14:paraId="164666B5" w14:textId="4A42131E" w:rsidR="00AB64A5" w:rsidRPr="00FF0864" w:rsidRDefault="00553F39" w:rsidP="00553F39">
            <w:pPr>
              <w:pStyle w:val="paragraph"/>
              <w:spacing w:before="0" w:beforeAutospacing="0" w:after="0" w:afterAutospacing="0"/>
              <w:contextualSpacing/>
              <w:textAlignment w:val="baseline"/>
              <w:rPr>
                <w:rStyle w:val="normaltextrun"/>
                <w:rFonts w:ascii="Verdana" w:eastAsiaTheme="minorHAnsi" w:hAnsi="Verdana" w:cstheme="minorBidi"/>
                <w:sz w:val="16"/>
                <w:szCs w:val="16"/>
                <w:lang w:eastAsia="en-US"/>
              </w:rPr>
            </w:pPr>
            <w:r w:rsidRPr="00FF0864">
              <w:rPr>
                <w:rStyle w:val="normaltextrun"/>
                <w:rFonts w:ascii="Verdana" w:eastAsiaTheme="minorHAnsi" w:hAnsi="Verdana" w:cstheme="minorBidi"/>
                <w:sz w:val="16"/>
                <w:szCs w:val="16"/>
                <w:lang w:eastAsia="en-US"/>
              </w:rPr>
              <w:t>Contratista de la Subdirección de Gestión Contractual</w:t>
            </w:r>
          </w:p>
        </w:tc>
      </w:tr>
      <w:tr w:rsidR="00AB64A5" w:rsidRPr="00FF0864" w14:paraId="082B5310" w14:textId="77777777" w:rsidTr="005A5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893" w:type="dxa"/>
            <w:tcBorders>
              <w:top w:val="nil"/>
              <w:left w:val="nil"/>
              <w:bottom w:val="nil"/>
              <w:right w:val="nil"/>
            </w:tcBorders>
            <w:vAlign w:val="center"/>
          </w:tcPr>
          <w:p w14:paraId="7430F20F" w14:textId="77777777" w:rsidR="00AB64A5" w:rsidRPr="00FF0864" w:rsidRDefault="00AB64A5" w:rsidP="007B0B27">
            <w:pPr>
              <w:contextualSpacing/>
              <w:rPr>
                <w:rFonts w:ascii="Verdana" w:hAnsi="Verdana" w:cs="Arial"/>
                <w:sz w:val="16"/>
                <w:szCs w:val="16"/>
                <w:lang w:val="es-ES" w:eastAsia="es-ES"/>
              </w:rPr>
            </w:pPr>
            <w:r w:rsidRPr="00FF0864">
              <w:rPr>
                <w:rFonts w:ascii="Verdana" w:hAnsi="Verdana" w:cs="Arial"/>
                <w:sz w:val="16"/>
                <w:szCs w:val="16"/>
                <w:lang w:val="es-ES" w:eastAsia="es-ES"/>
              </w:rPr>
              <w:t>Aprobó:</w:t>
            </w:r>
          </w:p>
        </w:tc>
        <w:tc>
          <w:tcPr>
            <w:tcW w:w="5628" w:type="dxa"/>
            <w:tcBorders>
              <w:top w:val="nil"/>
              <w:left w:val="nil"/>
              <w:bottom w:val="nil"/>
              <w:right w:val="nil"/>
            </w:tcBorders>
            <w:vAlign w:val="center"/>
          </w:tcPr>
          <w:p w14:paraId="14C31041" w14:textId="77777777" w:rsidR="00AB64A5" w:rsidRPr="00FF0864" w:rsidRDefault="00AB64A5" w:rsidP="007B0B27">
            <w:pPr>
              <w:contextualSpacing/>
              <w:rPr>
                <w:rFonts w:ascii="Verdana" w:eastAsia="Calibri" w:hAnsi="Verdana" w:cs="Arial"/>
                <w:sz w:val="16"/>
                <w:szCs w:val="16"/>
                <w:lang w:val="pt-BR" w:eastAsia="es-ES"/>
              </w:rPr>
            </w:pPr>
            <w:r w:rsidRPr="00FF0864">
              <w:rPr>
                <w:rFonts w:ascii="Verdana" w:eastAsia="Calibri" w:hAnsi="Verdana" w:cs="Arial"/>
                <w:sz w:val="16"/>
                <w:szCs w:val="16"/>
                <w:lang w:val="pt-BR" w:eastAsia="es-ES"/>
              </w:rPr>
              <w:t>Carolina Quintero Gacharná</w:t>
            </w:r>
          </w:p>
          <w:p w14:paraId="1A53492F" w14:textId="77777777" w:rsidR="00AB64A5" w:rsidRPr="00FF0864" w:rsidRDefault="00AB64A5" w:rsidP="007B0B27">
            <w:pPr>
              <w:contextualSpacing/>
              <w:rPr>
                <w:rFonts w:ascii="Verdana" w:eastAsia="Calibri" w:hAnsi="Verdana" w:cs="Arial"/>
                <w:sz w:val="16"/>
                <w:szCs w:val="16"/>
                <w:lang w:val="pt-BR" w:eastAsia="es-ES"/>
              </w:rPr>
            </w:pPr>
            <w:r w:rsidRPr="00FF0864">
              <w:rPr>
                <w:rFonts w:ascii="Verdana" w:eastAsia="Calibri" w:hAnsi="Verdana" w:cs="Arial"/>
                <w:sz w:val="16"/>
                <w:szCs w:val="16"/>
                <w:lang w:eastAsia="es-ES"/>
              </w:rPr>
              <w:t>Subdirectora</w:t>
            </w:r>
            <w:r w:rsidRPr="00FF0864">
              <w:rPr>
                <w:rFonts w:ascii="Verdana" w:eastAsia="Calibri" w:hAnsi="Verdana" w:cs="Arial"/>
                <w:sz w:val="16"/>
                <w:szCs w:val="16"/>
                <w:lang w:val="pt-BR" w:eastAsia="es-ES"/>
              </w:rPr>
              <w:t xml:space="preserve"> de Gestión Contractual ANCP – CCE</w:t>
            </w:r>
          </w:p>
        </w:tc>
      </w:tr>
    </w:tbl>
    <w:p w14:paraId="011E4F21" w14:textId="77777777" w:rsidR="00AB64A5" w:rsidRPr="00FF0864" w:rsidRDefault="00AB64A5" w:rsidP="00AB64A5">
      <w:pPr>
        <w:spacing w:after="0" w:line="240" w:lineRule="auto"/>
        <w:rPr>
          <w:rFonts w:ascii="Verdana" w:eastAsia="Times New Roman" w:hAnsi="Verdana" w:cs="Arial"/>
          <w:lang w:eastAsia="es-ES"/>
        </w:rPr>
      </w:pPr>
    </w:p>
    <w:p w14:paraId="02CE4EF4" w14:textId="77777777" w:rsidR="00AB64A5" w:rsidRPr="00FF0864" w:rsidRDefault="00AB64A5" w:rsidP="00AB64A5">
      <w:pPr>
        <w:rPr>
          <w:rFonts w:ascii="Verdana" w:hAnsi="Verdana"/>
        </w:rPr>
      </w:pPr>
    </w:p>
    <w:p w14:paraId="7644495A" w14:textId="77777777" w:rsidR="00AB64A5" w:rsidRPr="00FF0864" w:rsidRDefault="00AB64A5" w:rsidP="00AB64A5">
      <w:pPr>
        <w:spacing w:after="0"/>
        <w:rPr>
          <w:rFonts w:ascii="Verdana" w:hAnsi="Verdana"/>
        </w:rPr>
      </w:pPr>
      <w:r w:rsidRPr="00FF0864">
        <w:rPr>
          <w:rFonts w:ascii="Verdana" w:hAnsi="Verdana"/>
        </w:rPr>
        <w:tab/>
      </w:r>
    </w:p>
    <w:p w14:paraId="34BF06D8" w14:textId="77777777" w:rsidR="00AB64A5" w:rsidRPr="00FF0864" w:rsidRDefault="00AB64A5" w:rsidP="00AB64A5">
      <w:pPr>
        <w:spacing w:after="0"/>
        <w:rPr>
          <w:rFonts w:ascii="Verdana" w:hAnsi="Verdana"/>
        </w:rPr>
      </w:pPr>
    </w:p>
    <w:p w14:paraId="1F766B8E" w14:textId="77777777" w:rsidR="00AB64A5" w:rsidRPr="00FF0864" w:rsidRDefault="00AB64A5" w:rsidP="00AB64A5">
      <w:pPr>
        <w:spacing w:after="0"/>
        <w:rPr>
          <w:rFonts w:ascii="Verdana" w:hAnsi="Verdana"/>
        </w:rPr>
      </w:pPr>
    </w:p>
    <w:bookmarkEnd w:id="0"/>
    <w:p w14:paraId="1D08ED52" w14:textId="77777777" w:rsidR="00AB64A5" w:rsidRPr="00FF0864" w:rsidRDefault="00AB64A5" w:rsidP="00AB64A5">
      <w:pPr>
        <w:spacing w:after="0"/>
        <w:rPr>
          <w:rFonts w:ascii="Verdana" w:hAnsi="Verdana"/>
        </w:rPr>
      </w:pPr>
    </w:p>
    <w:bookmarkEnd w:id="1"/>
    <w:p w14:paraId="5CDCF197" w14:textId="77777777" w:rsidR="009C4900" w:rsidRPr="00FF0864" w:rsidRDefault="009C4900">
      <w:pPr>
        <w:rPr>
          <w:rFonts w:ascii="Verdana" w:hAnsi="Verdana"/>
        </w:rPr>
      </w:pPr>
    </w:p>
    <w:sectPr w:rsidR="009C4900" w:rsidRPr="00FF0864" w:rsidSect="00AB64A5">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00F34" w14:textId="77777777" w:rsidR="00983BE8" w:rsidRDefault="00983BE8" w:rsidP="00AB64A5">
      <w:pPr>
        <w:spacing w:after="0" w:line="240" w:lineRule="auto"/>
      </w:pPr>
      <w:r>
        <w:separator/>
      </w:r>
    </w:p>
  </w:endnote>
  <w:endnote w:type="continuationSeparator" w:id="0">
    <w:p w14:paraId="4E15ED01" w14:textId="77777777" w:rsidR="00983BE8" w:rsidRDefault="00983BE8" w:rsidP="00A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4757" w14:textId="77777777" w:rsidR="00900AD7" w:rsidRDefault="00900AD7">
    <w:pPr>
      <w:pStyle w:val="Piedepgina"/>
    </w:pPr>
  </w:p>
  <w:p w14:paraId="36A1BDCE" w14:textId="77777777" w:rsidR="00900AD7" w:rsidRPr="00174B77" w:rsidRDefault="0000000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5FB6292" w14:textId="77777777" w:rsidR="00900AD7" w:rsidRDefault="0000000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80179F8" w14:textId="77777777" w:rsidR="00900AD7" w:rsidRPr="00E41027" w:rsidRDefault="00000000" w:rsidP="00D520D8">
    <w:pPr>
      <w:spacing w:after="0"/>
      <w:jc w:val="both"/>
      <w:rPr>
        <w:rFonts w:ascii="Verdana" w:hAnsi="Verdana"/>
        <w:sz w:val="18"/>
        <w:szCs w:val="18"/>
      </w:rPr>
    </w:pPr>
    <w:r w:rsidRPr="00E41027">
      <w:rPr>
        <w:rFonts w:ascii="Verdana" w:hAnsi="Verdana"/>
        <w:sz w:val="18"/>
        <w:szCs w:val="18"/>
      </w:rPr>
      <w:t>Mesa de servicio: (+57) 601 7456788</w:t>
    </w:r>
  </w:p>
  <w:p w14:paraId="7BB0ED8A" w14:textId="77777777" w:rsidR="00900AD7" w:rsidRDefault="0000000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11336CC5" w14:textId="77777777" w:rsidR="006D24E7" w:rsidRDefault="006D24E7"/>
  <w:p w14:paraId="5A29B81E" w14:textId="77777777" w:rsidR="006D24E7" w:rsidRDefault="006D2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D643F" w14:textId="77777777" w:rsidR="00983BE8" w:rsidRDefault="00983BE8" w:rsidP="00AB64A5">
      <w:pPr>
        <w:spacing w:after="0" w:line="240" w:lineRule="auto"/>
      </w:pPr>
      <w:r>
        <w:separator/>
      </w:r>
    </w:p>
  </w:footnote>
  <w:footnote w:type="continuationSeparator" w:id="0">
    <w:p w14:paraId="1E816E74" w14:textId="77777777" w:rsidR="00983BE8" w:rsidRDefault="00983BE8" w:rsidP="00AB64A5">
      <w:pPr>
        <w:spacing w:after="0" w:line="240" w:lineRule="auto"/>
      </w:pPr>
      <w:r>
        <w:continuationSeparator/>
      </w:r>
    </w:p>
  </w:footnote>
  <w:footnote w:id="1">
    <w:p w14:paraId="57F9E0F0" w14:textId="77777777" w:rsidR="00FF2F27" w:rsidRPr="00CA3725" w:rsidRDefault="00FF2F27" w:rsidP="00FF2F27">
      <w:pPr>
        <w:pStyle w:val="Textonotapie"/>
        <w:ind w:firstLine="708"/>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CONSEJO DE ESTADO. Sección Tercera. Subsección A. Sentencia del 13 de noviembre de 2013. Rad. 25.646. C.P. Mauricio Fajardo Gómez.  </w:t>
      </w:r>
    </w:p>
    <w:p w14:paraId="28374722" w14:textId="77777777" w:rsidR="00FF2F27" w:rsidRPr="00CA3725" w:rsidRDefault="00FF2F27" w:rsidP="00FF2F27">
      <w:pPr>
        <w:pStyle w:val="Textonotapie"/>
        <w:ind w:firstLine="708"/>
        <w:jc w:val="both"/>
        <w:rPr>
          <w:rFonts w:ascii="Arial" w:hAnsi="Arial" w:cs="Arial"/>
          <w:sz w:val="19"/>
          <w:szCs w:val="19"/>
        </w:rPr>
      </w:pPr>
    </w:p>
  </w:footnote>
  <w:footnote w:id="2">
    <w:p w14:paraId="6BB0A510" w14:textId="77777777" w:rsidR="00FF2F27" w:rsidRPr="00CA3725" w:rsidRDefault="00FF2F27" w:rsidP="00FF2F27">
      <w:pPr>
        <w:pStyle w:val="Textonotapie"/>
        <w:ind w:firstLine="708"/>
        <w:jc w:val="both"/>
        <w:rPr>
          <w:rFonts w:ascii="Arial" w:hAnsi="Arial" w:cs="Arial"/>
          <w:sz w:val="19"/>
          <w:szCs w:val="19"/>
        </w:rPr>
      </w:pPr>
      <w:r w:rsidRPr="00CA3725">
        <w:rPr>
          <w:rFonts w:ascii="Arial" w:hAnsi="Arial" w:cs="Arial"/>
          <w:sz w:val="19"/>
          <w:szCs w:val="19"/>
          <w:vertAlign w:val="superscript"/>
        </w:rPr>
        <w:footnoteRef/>
      </w:r>
      <w:r w:rsidRPr="00CA3725">
        <w:rPr>
          <w:rFonts w:ascii="Arial" w:hAnsi="Arial" w:cs="Arial"/>
          <w:sz w:val="19"/>
          <w:szCs w:val="19"/>
        </w:rPr>
        <w:t xml:space="preserve"> CORTE CONSTITUCIONAL. Sentencia C-415 de 1994. M.P. Eduardo Cifuentes Muñoz. </w:t>
      </w:r>
    </w:p>
    <w:p w14:paraId="72B93C1D" w14:textId="77777777" w:rsidR="00FF2F27" w:rsidRPr="00CA3725" w:rsidRDefault="00FF2F27" w:rsidP="00FF2F27">
      <w:pPr>
        <w:pStyle w:val="Textonotapie"/>
        <w:ind w:firstLine="708"/>
        <w:jc w:val="both"/>
        <w:rPr>
          <w:rFonts w:ascii="Arial" w:hAnsi="Arial" w:cs="Arial"/>
          <w:sz w:val="19"/>
          <w:szCs w:val="19"/>
        </w:rPr>
      </w:pPr>
    </w:p>
  </w:footnote>
  <w:footnote w:id="3">
    <w:p w14:paraId="281175C2" w14:textId="77777777" w:rsidR="00FF2F27" w:rsidRPr="00CA3725" w:rsidRDefault="00FF2F27" w:rsidP="00FF2F27">
      <w:pPr>
        <w:pStyle w:val="Textonotapie"/>
        <w:ind w:firstLine="708"/>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CORTE CONSTITUCIONAL. Sentencia C-780 de 2001. M.P. Jaime Córdoba Triviño. </w:t>
      </w:r>
    </w:p>
    <w:p w14:paraId="40DF5963" w14:textId="77777777" w:rsidR="00FF2F27" w:rsidRPr="00CA3725" w:rsidRDefault="00FF2F27" w:rsidP="00FF2F27">
      <w:pPr>
        <w:pStyle w:val="Textonotapie"/>
        <w:ind w:firstLine="708"/>
        <w:jc w:val="both"/>
        <w:rPr>
          <w:rFonts w:ascii="Arial" w:hAnsi="Arial" w:cs="Arial"/>
          <w:sz w:val="19"/>
          <w:szCs w:val="19"/>
        </w:rPr>
      </w:pPr>
    </w:p>
  </w:footnote>
  <w:footnote w:id="4">
    <w:p w14:paraId="33C6711A" w14:textId="061F3687" w:rsidR="00FF2F27" w:rsidRPr="00CA3725" w:rsidRDefault="00FF2F27" w:rsidP="00FF0864">
      <w:pPr>
        <w:pStyle w:val="NormalWeb"/>
        <w:spacing w:before="0" w:beforeAutospacing="0" w:after="0" w:afterAutospacing="0"/>
        <w:ind w:firstLine="708"/>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w:t>
      </w:r>
      <w:r w:rsidR="00FF0864">
        <w:rPr>
          <w:rFonts w:ascii="Arial" w:hAnsi="Arial" w:cs="Arial"/>
          <w:sz w:val="19"/>
          <w:szCs w:val="19"/>
        </w:rPr>
        <w:t xml:space="preserve">Artículo 8 </w:t>
      </w:r>
      <w:r w:rsidRPr="00CA3725">
        <w:rPr>
          <w:rFonts w:ascii="Arial" w:eastAsiaTheme="minorHAnsi" w:hAnsi="Arial" w:cs="Arial"/>
          <w:sz w:val="19"/>
          <w:szCs w:val="19"/>
          <w:lang w:val="es-ES" w:eastAsia="en-US"/>
        </w:rPr>
        <w:t>Ley 80 de 1993</w:t>
      </w:r>
      <w:r w:rsidR="00FF0864">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 xml:space="preserve"> </w:t>
      </w:r>
      <w:r w:rsidRPr="00CA3725">
        <w:rPr>
          <w:rFonts w:ascii="Arial" w:eastAsiaTheme="minorHAnsi" w:hAnsi="Arial" w:cs="Arial"/>
          <w:sz w:val="19"/>
          <w:szCs w:val="19"/>
          <w:lang w:val="es-ES" w:eastAsia="en-US"/>
        </w:rPr>
        <w:tab/>
        <w:t>  </w:t>
      </w:r>
    </w:p>
  </w:footnote>
  <w:footnote w:id="5">
    <w:p w14:paraId="650A8F72" w14:textId="01B907A0" w:rsidR="00FF2F27" w:rsidRPr="00CA3725" w:rsidRDefault="00FF2F27" w:rsidP="00FF0864">
      <w:pPr>
        <w:pStyle w:val="Textonotapie"/>
        <w:ind w:firstLine="709"/>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w:t>
      </w:r>
      <w:r w:rsidR="00FF0864">
        <w:rPr>
          <w:rFonts w:ascii="Arial" w:hAnsi="Arial" w:cs="Arial"/>
          <w:sz w:val="19"/>
          <w:szCs w:val="19"/>
        </w:rPr>
        <w:t xml:space="preserve">Artículo 6 de la </w:t>
      </w:r>
      <w:r w:rsidRPr="00CA3725">
        <w:rPr>
          <w:rFonts w:ascii="Arial" w:hAnsi="Arial" w:cs="Arial"/>
          <w:sz w:val="19"/>
          <w:szCs w:val="19"/>
        </w:rPr>
        <w:t>Ley 80 de 1993</w:t>
      </w:r>
      <w:r w:rsidR="00FF0864">
        <w:rPr>
          <w:rFonts w:ascii="Arial" w:hAnsi="Arial" w:cs="Arial"/>
          <w:sz w:val="19"/>
          <w:szCs w:val="19"/>
        </w:rPr>
        <w:t>.</w:t>
      </w:r>
    </w:p>
    <w:p w14:paraId="612DFEB9" w14:textId="77777777" w:rsidR="00FF2F27" w:rsidRPr="00CA3725" w:rsidRDefault="00FF2F27" w:rsidP="00FF2F27">
      <w:pPr>
        <w:pStyle w:val="Textonotapie"/>
        <w:ind w:firstLine="709"/>
        <w:jc w:val="both"/>
        <w:rPr>
          <w:rFonts w:ascii="Arial" w:hAnsi="Arial" w:cs="Arial"/>
          <w:sz w:val="19"/>
          <w:szCs w:val="19"/>
        </w:rPr>
      </w:pPr>
    </w:p>
  </w:footnote>
  <w:footnote w:id="6">
    <w:p w14:paraId="47F777A1" w14:textId="680306C0" w:rsidR="00FF2F27" w:rsidRPr="00CA3725" w:rsidRDefault="00FF2F27" w:rsidP="00FF0864">
      <w:pPr>
        <w:pStyle w:val="Textonotapie"/>
        <w:ind w:firstLine="709"/>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w:t>
      </w:r>
      <w:r w:rsidR="00FF0864" w:rsidRPr="00CA3725">
        <w:rPr>
          <w:rFonts w:ascii="Arial" w:hAnsi="Arial" w:cs="Arial"/>
          <w:sz w:val="19"/>
          <w:szCs w:val="19"/>
        </w:rPr>
        <w:t>Artículo 1502</w:t>
      </w:r>
      <w:r w:rsidR="00FF0864">
        <w:rPr>
          <w:rFonts w:ascii="Arial" w:hAnsi="Arial" w:cs="Arial"/>
          <w:sz w:val="19"/>
          <w:szCs w:val="19"/>
        </w:rPr>
        <w:t xml:space="preserve"> del </w:t>
      </w:r>
      <w:r w:rsidRPr="00CA3725">
        <w:rPr>
          <w:rFonts w:ascii="Arial" w:hAnsi="Arial" w:cs="Arial"/>
          <w:sz w:val="19"/>
          <w:szCs w:val="19"/>
        </w:rPr>
        <w:t>Código Civil.</w:t>
      </w:r>
    </w:p>
  </w:footnote>
  <w:footnote w:id="7">
    <w:p w14:paraId="7131F943" w14:textId="77777777" w:rsidR="00FF2F27" w:rsidRPr="00CA3725" w:rsidRDefault="00FF2F27" w:rsidP="00FF2F27">
      <w:pPr>
        <w:pStyle w:val="Textonotapie"/>
        <w:ind w:firstLine="709"/>
        <w:jc w:val="both"/>
        <w:rPr>
          <w:rFonts w:ascii="Arial" w:hAnsi="Arial" w:cs="Arial"/>
          <w:sz w:val="19"/>
          <w:szCs w:val="19"/>
        </w:rPr>
      </w:pPr>
    </w:p>
  </w:footnote>
  <w:footnote w:id="8">
    <w:p w14:paraId="253478E0" w14:textId="2F609463" w:rsidR="00FF2F27" w:rsidRPr="00CA3725" w:rsidRDefault="00FF2F27" w:rsidP="00FF2F27">
      <w:pPr>
        <w:pStyle w:val="Textonotapie"/>
        <w:ind w:firstLine="709"/>
        <w:jc w:val="both"/>
        <w:rPr>
          <w:rFonts w:ascii="Arial" w:hAnsi="Arial" w:cs="Arial"/>
          <w:sz w:val="19"/>
          <w:szCs w:val="19"/>
          <w:lang w:val="es-E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hAnsi="Arial" w:cs="Arial"/>
          <w:sz w:val="19"/>
          <w:szCs w:val="19"/>
          <w:lang w:val="es-ES"/>
        </w:rPr>
        <w:t xml:space="preserve">En tal sentido, José Luis Benavides comenta que </w:t>
      </w:r>
      <w:r w:rsidR="00FF0864">
        <w:rPr>
          <w:rFonts w:ascii="Arial" w:hAnsi="Arial" w:cs="Arial"/>
          <w:sz w:val="19"/>
          <w:szCs w:val="19"/>
          <w:lang w:val="es-ES"/>
        </w:rPr>
        <w:t>“</w:t>
      </w:r>
      <w:r w:rsidRPr="00CA3725">
        <w:rPr>
          <w:rFonts w:ascii="Arial" w:hAnsi="Arial" w:cs="Arial"/>
          <w:sz w:val="19"/>
          <w:szCs w:val="19"/>
          <w:lang w:val="es-ES"/>
        </w:rPr>
        <w:t xml:space="preserve">Aunque la mayoría de las reglas limitativas de la responsabilidad contractual se aplican a la administración, existen también algunas restricciones importantes a la capacidad de los contratistas: </w:t>
      </w:r>
      <w:r w:rsidRPr="00CA3725">
        <w:rPr>
          <w:rFonts w:ascii="Arial" w:hAnsi="Arial" w:cs="Arial"/>
          <w:i/>
          <w:iCs/>
          <w:sz w:val="19"/>
          <w:szCs w:val="19"/>
          <w:lang w:val="es-ES"/>
        </w:rPr>
        <w:t>el régimen de inhabilidades e incompatibilidades</w:t>
      </w:r>
      <w:r w:rsidRPr="00CA3725">
        <w:rPr>
          <w:rFonts w:ascii="Arial" w:hAnsi="Arial" w:cs="Arial"/>
          <w:sz w:val="19"/>
          <w:szCs w:val="19"/>
          <w:lang w:val="es-ES"/>
        </w:rPr>
        <w:t xml:space="preserve"> (1) y la obligación de ciertos proponentes de inscribirse en el </w:t>
      </w:r>
      <w:r w:rsidRPr="00CA3725">
        <w:rPr>
          <w:rFonts w:ascii="Arial" w:hAnsi="Arial" w:cs="Arial"/>
          <w:i/>
          <w:iCs/>
          <w:sz w:val="19"/>
          <w:szCs w:val="19"/>
          <w:lang w:val="es-ES"/>
        </w:rPr>
        <w:t>registro único</w:t>
      </w:r>
      <w:r w:rsidRPr="00CA3725">
        <w:rPr>
          <w:rFonts w:ascii="Arial" w:hAnsi="Arial" w:cs="Arial"/>
          <w:sz w:val="19"/>
          <w:szCs w:val="19"/>
          <w:lang w:val="es-ES"/>
        </w:rPr>
        <w:t xml:space="preserve"> (2)</w:t>
      </w:r>
      <w:r w:rsidR="00FF0864">
        <w:rPr>
          <w:rFonts w:ascii="Arial" w:hAnsi="Arial" w:cs="Arial"/>
          <w:sz w:val="19"/>
          <w:szCs w:val="19"/>
          <w:lang w:val="es-ES"/>
        </w:rPr>
        <w:t>”</w:t>
      </w:r>
      <w:r w:rsidRPr="00CA3725">
        <w:rPr>
          <w:rFonts w:ascii="Arial" w:hAnsi="Arial" w:cs="Arial"/>
          <w:sz w:val="19"/>
          <w:szCs w:val="19"/>
          <w:lang w:val="es-ES"/>
        </w:rPr>
        <w:t xml:space="preserve"> (BENAVIDES, José Luis. El contrato estatal. Entre el Derecho público y el Derecho privado. 2ª ed. Bogotá: Universidad Externado de Colombia, 2004. p. 278). </w:t>
      </w:r>
    </w:p>
    <w:p w14:paraId="690DF4D3" w14:textId="77777777" w:rsidR="00FF2F27" w:rsidRPr="00CA3725" w:rsidRDefault="00FF2F27" w:rsidP="00FF2F27">
      <w:pPr>
        <w:pStyle w:val="Textonotapie"/>
        <w:ind w:firstLine="709"/>
        <w:jc w:val="both"/>
        <w:rPr>
          <w:rFonts w:ascii="Arial" w:hAnsi="Arial" w:cs="Arial"/>
          <w:sz w:val="19"/>
          <w:szCs w:val="19"/>
          <w:lang w:val="es-ES"/>
        </w:rPr>
      </w:pPr>
    </w:p>
  </w:footnote>
  <w:footnote w:id="9">
    <w:p w14:paraId="6E6E430C" w14:textId="77777777" w:rsidR="00FF2F27" w:rsidRPr="00CA3725" w:rsidRDefault="00FF2F27" w:rsidP="00FF2F27">
      <w:pPr>
        <w:ind w:firstLine="709"/>
        <w:jc w:val="both"/>
        <w:rPr>
          <w:rFonts w:ascii="Arial" w:hAnsi="Arial" w:cs="Arial"/>
          <w:sz w:val="19"/>
          <w:szCs w:val="19"/>
          <w:lang w:val="es-ES"/>
        </w:rPr>
      </w:pPr>
    </w:p>
  </w:footnote>
  <w:footnote w:id="10">
    <w:p w14:paraId="39CE88C1" w14:textId="77777777" w:rsidR="00FF2F27" w:rsidRPr="00CA3725" w:rsidRDefault="00FF2F27" w:rsidP="00FF2F27">
      <w:pPr>
        <w:pStyle w:val="Textonotapie"/>
        <w:ind w:firstLine="709"/>
        <w:jc w:val="both"/>
        <w:rPr>
          <w:rFonts w:ascii="Arial" w:hAnsi="Arial" w:cs="Arial"/>
          <w:sz w:val="19"/>
          <w:szCs w:val="19"/>
        </w:rPr>
      </w:pPr>
    </w:p>
  </w:footnote>
  <w:footnote w:id="11">
    <w:p w14:paraId="436124E3" w14:textId="4D1930DA" w:rsidR="00FF2F27" w:rsidRPr="00AD1BAE" w:rsidRDefault="00FF2F27" w:rsidP="00FF2F27">
      <w:pPr>
        <w:pStyle w:val="Textonotapie"/>
        <w:ind w:firstLine="709"/>
        <w:jc w:val="both"/>
        <w:rPr>
          <w:rFonts w:ascii="Arial" w:hAnsi="Arial" w:cs="Arial"/>
          <w:sz w:val="19"/>
          <w:szCs w:val="19"/>
          <w:lang w:val="es-E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hAnsi="Arial" w:cs="Arial"/>
          <w:sz w:val="19"/>
          <w:szCs w:val="19"/>
          <w:lang w:val="es-ES"/>
        </w:rPr>
        <w:t xml:space="preserve">Verbigracia, entre otras, las que se indican a continuación: </w:t>
      </w:r>
      <w:r w:rsidR="00FF0864">
        <w:rPr>
          <w:rFonts w:ascii="Arial" w:hAnsi="Arial" w:cs="Arial"/>
          <w:sz w:val="19"/>
          <w:szCs w:val="19"/>
          <w:lang w:val="es-ES"/>
        </w:rPr>
        <w:t>“</w:t>
      </w:r>
      <w:r w:rsidRPr="00CA3725">
        <w:rPr>
          <w:rFonts w:ascii="Arial" w:hAnsi="Arial" w:cs="Arial"/>
          <w:sz w:val="19"/>
          <w:szCs w:val="19"/>
          <w:lang w:val="es-ES"/>
        </w:rPr>
        <w:t>Las personas naturales o jurídicas que hayan financiado campañas políticas a la Presidencia de la República, a las gobernaciones, a las alcaldías o al Congreso de la República, con aportes superiores al dos por ciento (2.0%) de las sumas máximas a invertir</w:t>
      </w:r>
      <w:r w:rsidRPr="00AD1BAE">
        <w:rPr>
          <w:rFonts w:ascii="Arial" w:hAnsi="Arial" w:cs="Arial"/>
          <w:sz w:val="19"/>
          <w:szCs w:val="19"/>
          <w:lang w:val="es-ES"/>
        </w:rPr>
        <w:t xml:space="preserve"> por los candidatos en las campañas electorales en cada circunscripción electoral, quienes no podrán celebrar contratos con las entidades públicas, incluso descentralizadas, del respectivo nivel administrativo para el cual fue elegido el candidato […]</w:t>
      </w:r>
      <w:r w:rsidR="00FF0864">
        <w:rPr>
          <w:rFonts w:ascii="Arial" w:hAnsi="Arial" w:cs="Arial"/>
          <w:sz w:val="19"/>
          <w:szCs w:val="19"/>
          <w:lang w:val="es-ES"/>
        </w:rPr>
        <w:t>”</w:t>
      </w:r>
      <w:r w:rsidRPr="00AD1BAE">
        <w:rPr>
          <w:rFonts w:ascii="Arial" w:hAnsi="Arial" w:cs="Arial"/>
          <w:sz w:val="19"/>
          <w:szCs w:val="19"/>
          <w:lang w:val="es-ES"/>
        </w:rPr>
        <w:t xml:space="preserve"> (art. 8, num. 1º, lit. k), Ley 80/93, modificado por el art. 33, Ley 1778/16); </w:t>
      </w:r>
      <w:r w:rsidR="00FF0864">
        <w:rPr>
          <w:rFonts w:ascii="Arial" w:hAnsi="Arial" w:cs="Arial"/>
          <w:sz w:val="19"/>
          <w:szCs w:val="19"/>
          <w:lang w:val="es-ES"/>
        </w:rPr>
        <w:t>“</w:t>
      </w:r>
      <w:r w:rsidRPr="00AD1BAE">
        <w:rPr>
          <w:rFonts w:ascii="Arial" w:hAnsi="Arial" w:cs="Arial"/>
          <w:sz w:val="19"/>
          <w:szCs w:val="19"/>
          <w:lang w:val="es-ES"/>
        </w:rPr>
        <w:t>Quienes fueron miembros de la junta o consejo directivo o servidores públicos de la entidad contratante</w:t>
      </w:r>
      <w:r w:rsidR="00FF0864">
        <w:rPr>
          <w:rFonts w:ascii="Arial" w:hAnsi="Arial" w:cs="Arial"/>
          <w:sz w:val="19"/>
          <w:szCs w:val="19"/>
          <w:lang w:val="es-ES"/>
        </w:rPr>
        <w:t>”</w:t>
      </w:r>
      <w:r w:rsidRPr="00AD1BAE">
        <w:rPr>
          <w:rFonts w:ascii="Arial" w:hAnsi="Arial" w:cs="Arial"/>
          <w:sz w:val="19"/>
          <w:szCs w:val="19"/>
          <w:lang w:val="es-ES"/>
        </w:rPr>
        <w:t xml:space="preserve"> (art. 8, num. 2º, lit. a), Ley 80/93); </w:t>
      </w:r>
      <w:r w:rsidR="00FF0864">
        <w:rPr>
          <w:rFonts w:ascii="Arial" w:hAnsi="Arial" w:cs="Arial"/>
          <w:sz w:val="19"/>
          <w:szCs w:val="19"/>
          <w:lang w:val="es-ES"/>
        </w:rPr>
        <w:t>“</w:t>
      </w:r>
      <w:r w:rsidRPr="00AD1BAE">
        <w:rPr>
          <w:rFonts w:ascii="Arial" w:hAnsi="Arial" w:cs="Arial"/>
          <w:sz w:val="19"/>
          <w:szCs w:val="19"/>
          <w:lang w:val="es-ES"/>
        </w:rPr>
        <w:t>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r w:rsidR="00FF0864">
        <w:rPr>
          <w:rFonts w:ascii="Arial" w:hAnsi="Arial" w:cs="Arial"/>
          <w:sz w:val="19"/>
          <w:szCs w:val="19"/>
          <w:lang w:val="es-ES"/>
        </w:rPr>
        <w:t>”</w:t>
      </w:r>
      <w:r w:rsidRPr="00AD1BAE">
        <w:rPr>
          <w:rFonts w:ascii="Arial" w:hAnsi="Arial" w:cs="Arial"/>
          <w:sz w:val="19"/>
          <w:szCs w:val="19"/>
          <w:lang w:val="es-ES"/>
        </w:rPr>
        <w:t xml:space="preserve"> (art. 8, num. 2º, lit. f), Ley 80/93, adicionado por el art. 4º, Ley 1474/2011). </w:t>
      </w:r>
    </w:p>
    <w:p w14:paraId="00D0EAF7" w14:textId="77777777" w:rsidR="00FF2F27" w:rsidRPr="00AD1BAE" w:rsidRDefault="00FF2F27" w:rsidP="00FF2F27">
      <w:pPr>
        <w:pStyle w:val="Textonotapie"/>
        <w:ind w:firstLine="709"/>
        <w:jc w:val="both"/>
        <w:rPr>
          <w:rFonts w:ascii="Arial" w:hAnsi="Arial" w:cs="Arial"/>
          <w:sz w:val="19"/>
          <w:szCs w:val="19"/>
        </w:rPr>
      </w:pPr>
      <w:r w:rsidRPr="00AD1BAE">
        <w:rPr>
          <w:rFonts w:ascii="Arial" w:hAnsi="Arial" w:cs="Arial"/>
          <w:sz w:val="19"/>
          <w:szCs w:val="19"/>
          <w:lang w:val="es-ES"/>
        </w:rPr>
        <w:t xml:space="preserve">  </w:t>
      </w:r>
    </w:p>
  </w:footnote>
  <w:footnote w:id="12">
    <w:p w14:paraId="32A23EB8" w14:textId="00231204" w:rsidR="00FF2F27" w:rsidRPr="00E13471" w:rsidRDefault="00FF2F27" w:rsidP="00FF2F27">
      <w:pPr>
        <w:pStyle w:val="Textonotapie"/>
        <w:ind w:firstLine="708"/>
        <w:jc w:val="both"/>
        <w:rPr>
          <w:rFonts w:ascii="Arial" w:hAnsi="Arial" w:cs="Arial"/>
          <w:sz w:val="19"/>
          <w:szCs w:val="19"/>
        </w:rPr>
      </w:pPr>
      <w:r w:rsidRPr="00E13471">
        <w:rPr>
          <w:rStyle w:val="Refdenotaalpie"/>
          <w:rFonts w:ascii="Arial" w:hAnsi="Arial" w:cs="Arial"/>
          <w:sz w:val="19"/>
          <w:szCs w:val="19"/>
        </w:rPr>
        <w:footnoteRef/>
      </w:r>
      <w:r w:rsidRPr="00E13471">
        <w:rPr>
          <w:rFonts w:ascii="Arial" w:hAnsi="Arial" w:cs="Arial"/>
          <w:sz w:val="19"/>
          <w:szCs w:val="19"/>
        </w:rPr>
        <w:t xml:space="preserve"> En esta línea Dávila Vinueza Expresa: </w:t>
      </w:r>
      <w:r w:rsidR="00FF0864">
        <w:rPr>
          <w:rFonts w:ascii="Arial" w:hAnsi="Arial" w:cs="Arial"/>
          <w:sz w:val="19"/>
          <w:szCs w:val="19"/>
        </w:rPr>
        <w:t>“</w:t>
      </w:r>
      <w:r w:rsidRPr="00E13471">
        <w:rPr>
          <w:rFonts w:ascii="Arial" w:hAnsi="Arial" w:cs="Arial"/>
          <w:sz w:val="19"/>
          <w:szCs w:val="19"/>
        </w:rPr>
        <w:t>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w:t>
      </w:r>
      <w:r w:rsidRPr="00AD1BAE">
        <w:rPr>
          <w:rFonts w:ascii="Arial" w:hAnsi="Arial" w:cs="Arial"/>
          <w:sz w:val="19"/>
          <w:szCs w:val="19"/>
        </w:rPr>
        <w:t xml:space="preserve"> (DÁVILA VINUEZA, Luis Guillermo. Régimen jurídico de la contratación estatal. 3ª ed. Bogotá: Legis, 2016. p. 148).</w:t>
      </w:r>
    </w:p>
    <w:p w14:paraId="154CDC6F" w14:textId="77777777" w:rsidR="00FF2F27" w:rsidRPr="00E13471" w:rsidRDefault="00FF2F27" w:rsidP="00FF2F27">
      <w:pPr>
        <w:pStyle w:val="Textonotapie"/>
        <w:ind w:firstLine="708"/>
        <w:jc w:val="both"/>
        <w:rPr>
          <w:rFonts w:ascii="Arial" w:hAnsi="Arial" w:cs="Arial"/>
          <w:sz w:val="19"/>
          <w:szCs w:val="19"/>
          <w:lang w:val="es-CO"/>
        </w:rPr>
      </w:pPr>
    </w:p>
  </w:footnote>
  <w:footnote w:id="13">
    <w:p w14:paraId="40B13BA8" w14:textId="77777777" w:rsidR="00FF2F27" w:rsidRPr="00AD1BAE" w:rsidRDefault="00FF2F27" w:rsidP="00FF2F27">
      <w:pPr>
        <w:pStyle w:val="Textonotapie"/>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6A4A71BF" w14:textId="77777777" w:rsidR="00FF2F27" w:rsidRPr="00AD1BAE" w:rsidRDefault="00FF2F27" w:rsidP="00FF2F27">
      <w:pPr>
        <w:pStyle w:val="Textonotapie"/>
        <w:ind w:firstLine="709"/>
        <w:jc w:val="both"/>
        <w:rPr>
          <w:rFonts w:ascii="Arial" w:hAnsi="Arial" w:cs="Arial"/>
          <w:sz w:val="19"/>
          <w:szCs w:val="19"/>
          <w:lang w:val="es-ES"/>
        </w:rPr>
      </w:pPr>
    </w:p>
  </w:footnote>
  <w:footnote w:id="14">
    <w:p w14:paraId="44FAA4CC" w14:textId="77777777" w:rsidR="00FF2F27" w:rsidRPr="00AD1BAE" w:rsidRDefault="00FF2F27" w:rsidP="00FF2F27">
      <w:pPr>
        <w:pStyle w:val="Textonotapie"/>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Ibídem. p. 69.</w:t>
      </w:r>
    </w:p>
    <w:p w14:paraId="5E90FBFA" w14:textId="77777777" w:rsidR="00FF2F27" w:rsidRPr="00AD1BAE" w:rsidRDefault="00FF2F27" w:rsidP="00FF2F27">
      <w:pPr>
        <w:pStyle w:val="Textonotapie"/>
        <w:ind w:firstLine="709"/>
        <w:jc w:val="both"/>
        <w:rPr>
          <w:rFonts w:ascii="Arial" w:hAnsi="Arial" w:cs="Arial"/>
          <w:sz w:val="19"/>
          <w:szCs w:val="19"/>
          <w:lang w:val="es-ES"/>
        </w:rPr>
      </w:pPr>
    </w:p>
  </w:footnote>
  <w:footnote w:id="15">
    <w:p w14:paraId="17134122" w14:textId="77777777" w:rsidR="00FF2F27" w:rsidRPr="00E13471" w:rsidRDefault="00FF2F27" w:rsidP="00FF2F27">
      <w:pPr>
        <w:pStyle w:val="Textonotapie"/>
        <w:ind w:firstLine="708"/>
        <w:jc w:val="both"/>
        <w:rPr>
          <w:rFonts w:ascii="Arial" w:hAnsi="Arial" w:cs="Arial"/>
          <w:sz w:val="19"/>
          <w:szCs w:val="19"/>
        </w:rPr>
      </w:pPr>
      <w:r w:rsidRPr="00E13471">
        <w:rPr>
          <w:rStyle w:val="Refdenotaalpie"/>
          <w:rFonts w:ascii="Arial" w:hAnsi="Arial" w:cs="Arial"/>
          <w:sz w:val="19"/>
          <w:szCs w:val="19"/>
        </w:rPr>
        <w:footnoteRef/>
      </w:r>
      <w:r w:rsidRPr="00E13471">
        <w:rPr>
          <w:rFonts w:ascii="Arial" w:hAnsi="Arial" w:cs="Arial"/>
          <w:sz w:val="19"/>
          <w:szCs w:val="19"/>
        </w:rPr>
        <w:t xml:space="preserve"> Corte Constitucional. Sentencia C-415 de 1994. M.P. Eduardo Cifuentes Muñoz.</w:t>
      </w:r>
    </w:p>
    <w:p w14:paraId="58B6812E" w14:textId="77777777" w:rsidR="00FF2F27" w:rsidRPr="00E13471" w:rsidRDefault="00FF2F27" w:rsidP="00FF2F27">
      <w:pPr>
        <w:pStyle w:val="Textonotapie"/>
        <w:ind w:firstLine="708"/>
        <w:jc w:val="both"/>
        <w:rPr>
          <w:rFonts w:ascii="Arial" w:hAnsi="Arial" w:cs="Arial"/>
          <w:sz w:val="19"/>
          <w:szCs w:val="19"/>
          <w:lang w:val="es-CO"/>
        </w:rPr>
      </w:pPr>
    </w:p>
  </w:footnote>
  <w:footnote w:id="16">
    <w:p w14:paraId="6C8694A7" w14:textId="5795E952" w:rsidR="00FF2F27" w:rsidRPr="00AD1BAE" w:rsidRDefault="00FF2F27" w:rsidP="00FF2F27">
      <w:pPr>
        <w:pStyle w:val="Textonotapie"/>
        <w:ind w:firstLine="709"/>
        <w:jc w:val="both"/>
        <w:rPr>
          <w:rFonts w:ascii="Arial" w:hAnsi="Arial" w:cs="Arial"/>
          <w:color w:val="000000" w:themeColor="text1"/>
          <w:sz w:val="19"/>
          <w:szCs w:val="19"/>
        </w:rPr>
      </w:pPr>
      <w:r w:rsidRPr="00AD1BAE">
        <w:rPr>
          <w:rStyle w:val="Refdenotaalpie"/>
          <w:rFonts w:ascii="Arial" w:hAnsi="Arial" w:cs="Arial"/>
          <w:color w:val="000000" w:themeColor="text1"/>
          <w:sz w:val="19"/>
          <w:szCs w:val="19"/>
        </w:rPr>
        <w:footnoteRef/>
      </w:r>
      <w:r w:rsidRPr="00AD1BAE">
        <w:rPr>
          <w:rFonts w:ascii="Arial" w:hAnsi="Arial" w:cs="Arial"/>
          <w:color w:val="000000" w:themeColor="text1"/>
          <w:sz w:val="19"/>
          <w:szCs w:val="19"/>
        </w:rPr>
        <w:t xml:space="preserve"> CONSEJO DE ESTADO. Sala de lo contencioso administrativo. Sentencia del 12 de diciembre de 2014. Exp. 26496. C.P. Ramiro Pazos Guerrero. En similar sentido, la doctrina expresa que: </w:t>
      </w:r>
      <w:r w:rsidR="00FF0864">
        <w:rPr>
          <w:rFonts w:ascii="Arial" w:hAnsi="Arial" w:cs="Arial"/>
          <w:color w:val="000000" w:themeColor="text1"/>
          <w:sz w:val="19"/>
          <w:szCs w:val="19"/>
        </w:rPr>
        <w:t>“</w:t>
      </w:r>
      <w:r w:rsidRPr="00AD1BAE">
        <w:rPr>
          <w:rFonts w:ascii="Arial" w:hAnsi="Arial" w:cs="Arial"/>
          <w:color w:val="000000" w:themeColor="text1"/>
          <w:sz w:val="19"/>
          <w:szCs w:val="19"/>
        </w:rPr>
        <w:t>[…]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p w14:paraId="0201CDCC" w14:textId="77777777" w:rsidR="00FF2F27" w:rsidRPr="00AD1BAE" w:rsidRDefault="00FF2F27" w:rsidP="00FF2F27">
      <w:pPr>
        <w:pStyle w:val="Textonotapie"/>
        <w:ind w:firstLine="709"/>
        <w:jc w:val="both"/>
        <w:rPr>
          <w:rFonts w:ascii="Arial" w:hAnsi="Arial" w:cs="Arial"/>
          <w:color w:val="000000" w:themeColor="text1"/>
          <w:sz w:val="19"/>
          <w:szCs w:val="19"/>
        </w:rPr>
      </w:pPr>
    </w:p>
  </w:footnote>
  <w:footnote w:id="17">
    <w:p w14:paraId="1A40B9CB" w14:textId="77777777" w:rsidR="00FF2F27" w:rsidRDefault="00FF2F27" w:rsidP="00FF2F27">
      <w:pPr>
        <w:ind w:firstLine="709"/>
        <w:jc w:val="both"/>
        <w:rPr>
          <w:rFonts w:ascii="Arial" w:hAnsi="Arial" w:cs="Arial"/>
          <w:color w:val="000000" w:themeColor="text1"/>
          <w:sz w:val="19"/>
          <w:szCs w:val="19"/>
        </w:rPr>
      </w:pPr>
      <w:r w:rsidRPr="00AD1BAE">
        <w:rPr>
          <w:rStyle w:val="Refdenotaalpie"/>
          <w:rFonts w:ascii="Arial" w:hAnsi="Arial" w:cs="Arial"/>
          <w:color w:val="000000" w:themeColor="text1"/>
          <w:sz w:val="19"/>
          <w:szCs w:val="19"/>
        </w:rPr>
        <w:footnoteRef/>
      </w:r>
      <w:r w:rsidRPr="00AD1BAE">
        <w:rPr>
          <w:rFonts w:ascii="Arial" w:hAnsi="Arial" w:cs="Arial"/>
          <w:color w:val="000000" w:themeColor="text1"/>
          <w:sz w:val="19"/>
          <w:szCs w:val="19"/>
        </w:rPr>
        <w:t xml:space="preserve"> CONSEJO DE ESTADO. Sala de Consulta y Servicio Civil. Concepto del 29 de abril de 1998. Rad. 1097. C.P. Augusto Trejos Jaramillo. </w:t>
      </w:r>
    </w:p>
    <w:p w14:paraId="40245A72" w14:textId="77777777" w:rsidR="00FF2F27" w:rsidRPr="00AD1BAE" w:rsidRDefault="00FF2F27" w:rsidP="00FF2F27">
      <w:pPr>
        <w:ind w:firstLine="709"/>
        <w:jc w:val="both"/>
        <w:rPr>
          <w:rFonts w:ascii="Arial" w:hAnsi="Arial" w:cs="Arial"/>
          <w:color w:val="000000" w:themeColor="text1"/>
          <w:sz w:val="19"/>
          <w:szCs w:val="19"/>
        </w:rPr>
      </w:pPr>
    </w:p>
  </w:footnote>
  <w:footnote w:id="18">
    <w:p w14:paraId="4DAE8CA6" w14:textId="3BC01FB4" w:rsidR="00FF2F27" w:rsidRPr="00AD1BAE" w:rsidRDefault="00FF2F27" w:rsidP="00FF2F27">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Código Civil: </w:t>
      </w:r>
      <w:r w:rsidR="00FF0864">
        <w:rPr>
          <w:rFonts w:ascii="Arial" w:hAnsi="Arial" w:cs="Arial"/>
          <w:sz w:val="19"/>
          <w:szCs w:val="19"/>
        </w:rPr>
        <w:t>“</w:t>
      </w:r>
      <w:r w:rsidRPr="00AD1BAE">
        <w:rPr>
          <w:rFonts w:ascii="Arial" w:hAnsi="Arial" w:cs="Arial"/>
          <w:sz w:val="19"/>
          <w:szCs w:val="19"/>
        </w:rPr>
        <w:t>Artículo 33. Palabras relacionadas con las personas. La palabra persona en su sentido general se aplica(rá) a la especie humana, sin distinción de sexo</w:t>
      </w:r>
      <w:r w:rsidR="00FF0864">
        <w:rPr>
          <w:rFonts w:ascii="Arial" w:hAnsi="Arial" w:cs="Arial"/>
          <w:sz w:val="19"/>
          <w:szCs w:val="19"/>
        </w:rPr>
        <w:t>”</w:t>
      </w:r>
      <w:r w:rsidRPr="00AD1BAE">
        <w:rPr>
          <w:rFonts w:ascii="Arial" w:hAnsi="Arial" w:cs="Arial"/>
          <w:sz w:val="19"/>
          <w:szCs w:val="19"/>
        </w:rPr>
        <w:t>.</w:t>
      </w:r>
    </w:p>
    <w:p w14:paraId="3C568FDA" w14:textId="77777777" w:rsidR="00FF2F27" w:rsidRPr="00AD1BAE" w:rsidRDefault="00FF2F27" w:rsidP="00FF2F27">
      <w:pPr>
        <w:pStyle w:val="Textonotapie"/>
        <w:ind w:firstLine="709"/>
        <w:jc w:val="both"/>
        <w:rPr>
          <w:rFonts w:ascii="Arial" w:hAnsi="Arial" w:cs="Arial"/>
          <w:sz w:val="19"/>
          <w:szCs w:val="19"/>
          <w:lang w:val="es-CO"/>
        </w:rPr>
      </w:pPr>
    </w:p>
  </w:footnote>
  <w:footnote w:id="19">
    <w:p w14:paraId="5FD965FA" w14:textId="416A2053" w:rsidR="00FF2F27" w:rsidRPr="00AD1BAE" w:rsidRDefault="00FF2F27" w:rsidP="00FF2F27">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Constitución Política de Colombia: </w:t>
      </w:r>
      <w:r w:rsidR="00FF0864">
        <w:rPr>
          <w:rFonts w:ascii="Arial" w:hAnsi="Arial" w:cs="Arial"/>
          <w:sz w:val="19"/>
          <w:szCs w:val="19"/>
        </w:rPr>
        <w:t>“</w:t>
      </w:r>
      <w:r w:rsidRPr="00AD1BAE">
        <w:rPr>
          <w:rFonts w:ascii="Arial" w:hAnsi="Arial" w:cs="Arial"/>
          <w:sz w:val="19"/>
          <w:szCs w:val="19"/>
        </w:rPr>
        <w:t>Artículo 42. La familia es el núcleo fundamental de la sociedad. Se constituye por vínculos naturales o jurídicos, por la decisión libre de un hombre y una mujer de contraer matrimonio o por la voluntad responsable de conformarla</w:t>
      </w:r>
      <w:r w:rsidR="00FF0864">
        <w:rPr>
          <w:rFonts w:ascii="Arial" w:hAnsi="Arial" w:cs="Arial"/>
          <w:sz w:val="19"/>
          <w:szCs w:val="19"/>
        </w:rPr>
        <w:t>”</w:t>
      </w:r>
      <w:r w:rsidRPr="00AD1BAE">
        <w:rPr>
          <w:rFonts w:ascii="Arial" w:hAnsi="Arial" w:cs="Arial"/>
          <w:sz w:val="19"/>
          <w:szCs w:val="19"/>
        </w:rPr>
        <w:t>.</w:t>
      </w:r>
    </w:p>
    <w:p w14:paraId="322A021C" w14:textId="77777777" w:rsidR="00FF2F27" w:rsidRPr="00AD1BAE" w:rsidRDefault="00FF2F27" w:rsidP="00FF2F27">
      <w:pPr>
        <w:pStyle w:val="Textonotapie"/>
        <w:ind w:firstLine="709"/>
        <w:jc w:val="both"/>
        <w:rPr>
          <w:rFonts w:ascii="Arial" w:hAnsi="Arial" w:cs="Arial"/>
          <w:sz w:val="19"/>
          <w:szCs w:val="19"/>
          <w:lang w:val="es-CO"/>
        </w:rPr>
      </w:pPr>
    </w:p>
  </w:footnote>
  <w:footnote w:id="20">
    <w:p w14:paraId="06FF331E" w14:textId="3181E6DF" w:rsidR="00FF2F27" w:rsidRDefault="00FF2F27" w:rsidP="00FF2F27">
      <w:pPr>
        <w:pStyle w:val="NormalWeb"/>
        <w:spacing w:before="0" w:beforeAutospacing="0" w:after="0" w:afterAutospacing="0"/>
        <w:ind w:firstLine="708"/>
        <w:jc w:val="both"/>
        <w:rPr>
          <w:rFonts w:ascii="Arial" w:hAnsi="Arial" w:cs="Arial"/>
          <w:color w:val="000000"/>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En el marco del procedimiento administrativo general, previsto en los artículos 34 y ss. del Código de Procedimiento Administrativo y de lo Contencioso Administrativo, el artículo 40 de dicha norma señala que: </w:t>
      </w:r>
      <w:r w:rsidR="00FF0864">
        <w:rPr>
          <w:rFonts w:ascii="Arial" w:hAnsi="Arial" w:cs="Arial"/>
          <w:sz w:val="19"/>
          <w:szCs w:val="19"/>
        </w:rPr>
        <w:t>“</w:t>
      </w:r>
      <w:r w:rsidRPr="00AD1BAE">
        <w:rPr>
          <w:rFonts w:ascii="Arial" w:hAnsi="Arial" w:cs="Arial"/>
          <w:color w:val="000000"/>
          <w:sz w:val="19"/>
          <w:szCs w:val="19"/>
        </w:rPr>
        <w:t>Serán admisibles todos los medios de prueba señalados en el Código de Procedimiento Civil</w:t>
      </w:r>
      <w:r w:rsidR="00FF0864">
        <w:rPr>
          <w:rFonts w:ascii="Arial" w:hAnsi="Arial" w:cs="Arial"/>
          <w:sz w:val="19"/>
          <w:szCs w:val="19"/>
        </w:rPr>
        <w:t>”</w:t>
      </w:r>
      <w:r w:rsidRPr="00AD1BAE">
        <w:rPr>
          <w:rFonts w:ascii="Arial" w:hAnsi="Arial" w:cs="Arial"/>
          <w:color w:val="000000"/>
          <w:sz w:val="19"/>
          <w:szCs w:val="19"/>
        </w:rPr>
        <w:t xml:space="preserve">. Al respecto, la Ley 1564 de 2012, que subrogó el Código de Procedimiento Civil adoptando el Código General del Proceso, señala en su artículo 165 que: </w:t>
      </w:r>
      <w:r w:rsidR="00FF0864">
        <w:rPr>
          <w:rFonts w:ascii="Arial" w:hAnsi="Arial" w:cs="Arial"/>
          <w:sz w:val="19"/>
          <w:szCs w:val="19"/>
        </w:rPr>
        <w:t>“</w:t>
      </w:r>
      <w:r w:rsidRPr="00AD1BAE">
        <w:rPr>
          <w:rFonts w:ascii="Arial" w:hAnsi="Arial" w:cs="Arial"/>
          <w:color w:val="000000"/>
          <w:sz w:val="19"/>
          <w:szCs w:val="19"/>
        </w:rPr>
        <w:t>Son medios de prueba la declaración de parte, la confesión, el juramento, el testimonio de terceros, el dictamen pericial, la inspección judicial, los documentos, los indicios, los informes y cualesquiera otros medios que sean útiles para la formación del convencimiento del juez. El juez practicará las pruebas no previstas en este código de acuerdo con las disposiciones que regulen medios semejantes o según su prudente juicio, preservando los principios y garantías constitucionales</w:t>
      </w:r>
      <w:r w:rsidR="00FF0864">
        <w:rPr>
          <w:rFonts w:ascii="Arial" w:hAnsi="Arial" w:cs="Arial"/>
          <w:sz w:val="19"/>
          <w:szCs w:val="19"/>
        </w:rPr>
        <w:t>”</w:t>
      </w:r>
      <w:r w:rsidRPr="00AD1BAE">
        <w:rPr>
          <w:rFonts w:ascii="Arial" w:hAnsi="Arial" w:cs="Arial"/>
          <w:color w:val="000000"/>
          <w:sz w:val="19"/>
          <w:szCs w:val="19"/>
        </w:rPr>
        <w:t>.</w:t>
      </w:r>
      <w:r>
        <w:rPr>
          <w:rFonts w:ascii="Arial" w:hAnsi="Arial" w:cs="Arial"/>
          <w:color w:val="000000"/>
          <w:sz w:val="19"/>
          <w:szCs w:val="19"/>
        </w:rPr>
        <w:t xml:space="preserve"> </w:t>
      </w:r>
    </w:p>
    <w:p w14:paraId="0758CD16" w14:textId="36EE7D3E" w:rsidR="00FF2F27" w:rsidRPr="00B27C64" w:rsidRDefault="00FF2F27" w:rsidP="00FF2F27">
      <w:pPr>
        <w:pStyle w:val="NormalWeb"/>
        <w:spacing w:before="0" w:beforeAutospacing="0" w:after="0" w:afterAutospacing="0"/>
        <w:ind w:firstLine="708"/>
        <w:jc w:val="both"/>
        <w:rPr>
          <w:rFonts w:ascii="Arial" w:hAnsi="Arial" w:cs="Arial"/>
          <w:sz w:val="19"/>
          <w:szCs w:val="19"/>
        </w:rPr>
      </w:pPr>
      <w:r w:rsidRPr="00B27C64">
        <w:rPr>
          <w:rFonts w:ascii="Arial" w:hAnsi="Arial" w:cs="Arial"/>
          <w:color w:val="000000"/>
          <w:sz w:val="19"/>
          <w:szCs w:val="19"/>
        </w:rPr>
        <w:t xml:space="preserve">Es posible acudir a las disposiciones anteriores </w:t>
      </w:r>
      <w:r w:rsidRPr="00EF5E01">
        <w:rPr>
          <w:rFonts w:ascii="Arial" w:hAnsi="Arial" w:cs="Arial"/>
          <w:color w:val="000000"/>
          <w:sz w:val="19"/>
          <w:szCs w:val="19"/>
        </w:rPr>
        <w:t xml:space="preserve">en relación con los procedimientos administrativos de selección, en virtud de la remisión que realiza el artículo 77 de la Ley 80 de 1993: </w:t>
      </w:r>
      <w:r w:rsidR="00FF0864">
        <w:rPr>
          <w:rFonts w:ascii="Arial" w:hAnsi="Arial" w:cs="Arial"/>
          <w:color w:val="000000"/>
          <w:sz w:val="19"/>
          <w:szCs w:val="19"/>
        </w:rPr>
        <w:t>“</w:t>
      </w:r>
      <w:r w:rsidRPr="00E13471">
        <w:rPr>
          <w:rStyle w:val="Textoennegrita"/>
          <w:rFonts w:ascii="Arial" w:hAnsi="Arial" w:cs="Arial"/>
          <w:color w:val="000000"/>
          <w:sz w:val="19"/>
          <w:szCs w:val="19"/>
        </w:rPr>
        <w:t>Artículo 77. De la normatividad aplicable en las actuaciones administrativas.</w:t>
      </w:r>
      <w:r w:rsidRPr="00E13471">
        <w:rPr>
          <w:rFonts w:ascii="Arial" w:hAnsi="Arial" w:cs="Arial"/>
          <w:color w:val="000000"/>
          <w:sz w:val="19"/>
          <w:szCs w:val="19"/>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w:t>
      </w:r>
      <w:r w:rsidR="00FF0864">
        <w:rPr>
          <w:rFonts w:ascii="Arial" w:hAnsi="Arial" w:cs="Arial"/>
          <w:color w:val="000000"/>
          <w:sz w:val="19"/>
          <w:szCs w:val="19"/>
        </w:rPr>
        <w:t>”</w:t>
      </w:r>
      <w:r w:rsidRPr="00E13471">
        <w:rPr>
          <w:rFonts w:ascii="Arial" w:hAnsi="Arial" w:cs="Arial"/>
          <w:color w:val="000000"/>
          <w:sz w:val="19"/>
          <w:szCs w:val="19"/>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A15B" w14:textId="77777777" w:rsidR="00900AD7"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712944D" wp14:editId="6ECFF13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A64A683" wp14:editId="4254D4F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125E49F" w14:textId="77777777" w:rsidR="00900AD7" w:rsidRDefault="00900AD7">
    <w:pPr>
      <w:pStyle w:val="Encabezado"/>
    </w:pPr>
  </w:p>
  <w:p w14:paraId="75C062F4" w14:textId="77777777" w:rsidR="00900AD7" w:rsidRDefault="00900AD7" w:rsidP="004A305D">
    <w:pPr>
      <w:spacing w:after="0"/>
      <w:rPr>
        <w:rFonts w:ascii="Verdana" w:hAnsi="Verdana"/>
        <w:b/>
        <w:bCs/>
      </w:rPr>
    </w:pPr>
  </w:p>
  <w:p w14:paraId="70A11782" w14:textId="77777777" w:rsidR="00900AD7" w:rsidRPr="004A305D" w:rsidRDefault="00900AD7" w:rsidP="00B01B1A">
    <w:pPr>
      <w:spacing w:after="0" w:line="120" w:lineRule="auto"/>
      <w:rPr>
        <w:rFonts w:ascii="Century Gothic" w:eastAsia="Geo" w:hAnsi="Century Gothic" w:cs="Geo"/>
        <w:sz w:val="16"/>
        <w:szCs w:val="16"/>
        <w:lang w:eastAsia="es-CO"/>
      </w:rPr>
    </w:pPr>
  </w:p>
  <w:p w14:paraId="6F0FD394" w14:textId="77777777" w:rsidR="00900AD7" w:rsidRDefault="00900AD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7695E"/>
    <w:multiLevelType w:val="hybridMultilevel"/>
    <w:tmpl w:val="C88A0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2CD015C"/>
    <w:multiLevelType w:val="hybridMultilevel"/>
    <w:tmpl w:val="CA6C1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7E4E75"/>
    <w:multiLevelType w:val="hybridMultilevel"/>
    <w:tmpl w:val="3DF0A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2C5AB7"/>
    <w:multiLevelType w:val="hybridMultilevel"/>
    <w:tmpl w:val="FA1E0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CE120B"/>
    <w:multiLevelType w:val="hybridMultilevel"/>
    <w:tmpl w:val="CFF81CA4"/>
    <w:lvl w:ilvl="0" w:tplc="3B7C8F10">
      <w:start w:val="1"/>
      <w:numFmt w:val="upperLetter"/>
      <w:lvlText w:val="%1."/>
      <w:lvlJc w:val="left"/>
      <w:pPr>
        <w:ind w:left="720" w:hanging="360"/>
      </w:pPr>
      <w:rPr>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2A66549"/>
    <w:multiLevelType w:val="hybridMultilevel"/>
    <w:tmpl w:val="E5F20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8962D6"/>
    <w:multiLevelType w:val="hybridMultilevel"/>
    <w:tmpl w:val="0E7C0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9D254B"/>
    <w:multiLevelType w:val="hybridMultilevel"/>
    <w:tmpl w:val="BFAA7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2EC4D2B"/>
    <w:multiLevelType w:val="hybridMultilevel"/>
    <w:tmpl w:val="79E49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917235"/>
    <w:multiLevelType w:val="hybridMultilevel"/>
    <w:tmpl w:val="77BCC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A57582E"/>
    <w:multiLevelType w:val="hybridMultilevel"/>
    <w:tmpl w:val="DFAC826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3D120DD9"/>
    <w:multiLevelType w:val="hybridMultilevel"/>
    <w:tmpl w:val="165AC5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4103438C"/>
    <w:multiLevelType w:val="hybridMultilevel"/>
    <w:tmpl w:val="21042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5062BA"/>
    <w:multiLevelType w:val="hybridMultilevel"/>
    <w:tmpl w:val="A85AF8A2"/>
    <w:lvl w:ilvl="0" w:tplc="0096BF10">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5534388E">
      <w:numFmt w:val="bullet"/>
      <w:lvlText w:val="•"/>
      <w:lvlJc w:val="left"/>
      <w:pPr>
        <w:ind w:left="1628" w:hanging="357"/>
      </w:pPr>
      <w:rPr>
        <w:rFonts w:hint="default"/>
        <w:lang w:val="es-ES" w:eastAsia="en-US" w:bidi="ar-SA"/>
      </w:rPr>
    </w:lvl>
    <w:lvl w:ilvl="2" w:tplc="0D9422CE">
      <w:numFmt w:val="bullet"/>
      <w:lvlText w:val="•"/>
      <w:lvlJc w:val="left"/>
      <w:pPr>
        <w:ind w:left="2436" w:hanging="357"/>
      </w:pPr>
      <w:rPr>
        <w:rFonts w:hint="default"/>
        <w:lang w:val="es-ES" w:eastAsia="en-US" w:bidi="ar-SA"/>
      </w:rPr>
    </w:lvl>
    <w:lvl w:ilvl="3" w:tplc="C212D4A8">
      <w:numFmt w:val="bullet"/>
      <w:lvlText w:val="•"/>
      <w:lvlJc w:val="left"/>
      <w:pPr>
        <w:ind w:left="3245" w:hanging="357"/>
      </w:pPr>
      <w:rPr>
        <w:rFonts w:hint="default"/>
        <w:lang w:val="es-ES" w:eastAsia="en-US" w:bidi="ar-SA"/>
      </w:rPr>
    </w:lvl>
    <w:lvl w:ilvl="4" w:tplc="A8DC92BE">
      <w:numFmt w:val="bullet"/>
      <w:lvlText w:val="•"/>
      <w:lvlJc w:val="left"/>
      <w:pPr>
        <w:ind w:left="4053" w:hanging="357"/>
      </w:pPr>
      <w:rPr>
        <w:rFonts w:hint="default"/>
        <w:lang w:val="es-ES" w:eastAsia="en-US" w:bidi="ar-SA"/>
      </w:rPr>
    </w:lvl>
    <w:lvl w:ilvl="5" w:tplc="E76A738A">
      <w:numFmt w:val="bullet"/>
      <w:lvlText w:val="•"/>
      <w:lvlJc w:val="left"/>
      <w:pPr>
        <w:ind w:left="4862" w:hanging="357"/>
      </w:pPr>
      <w:rPr>
        <w:rFonts w:hint="default"/>
        <w:lang w:val="es-ES" w:eastAsia="en-US" w:bidi="ar-SA"/>
      </w:rPr>
    </w:lvl>
    <w:lvl w:ilvl="6" w:tplc="071C3D08">
      <w:numFmt w:val="bullet"/>
      <w:lvlText w:val="•"/>
      <w:lvlJc w:val="left"/>
      <w:pPr>
        <w:ind w:left="5670" w:hanging="357"/>
      </w:pPr>
      <w:rPr>
        <w:rFonts w:hint="default"/>
        <w:lang w:val="es-ES" w:eastAsia="en-US" w:bidi="ar-SA"/>
      </w:rPr>
    </w:lvl>
    <w:lvl w:ilvl="7" w:tplc="B8426594">
      <w:numFmt w:val="bullet"/>
      <w:lvlText w:val="•"/>
      <w:lvlJc w:val="left"/>
      <w:pPr>
        <w:ind w:left="6478" w:hanging="357"/>
      </w:pPr>
      <w:rPr>
        <w:rFonts w:hint="default"/>
        <w:lang w:val="es-ES" w:eastAsia="en-US" w:bidi="ar-SA"/>
      </w:rPr>
    </w:lvl>
    <w:lvl w:ilvl="8" w:tplc="3E68AD10">
      <w:numFmt w:val="bullet"/>
      <w:lvlText w:val="•"/>
      <w:lvlJc w:val="left"/>
      <w:pPr>
        <w:ind w:left="7287" w:hanging="357"/>
      </w:pPr>
      <w:rPr>
        <w:rFonts w:hint="default"/>
        <w:lang w:val="es-ES" w:eastAsia="en-US" w:bidi="ar-SA"/>
      </w:rPr>
    </w:lvl>
  </w:abstractNum>
  <w:abstractNum w:abstractNumId="20" w15:restartNumberingAfterBreak="0">
    <w:nsid w:val="416E6210"/>
    <w:multiLevelType w:val="hybridMultilevel"/>
    <w:tmpl w:val="A8A42AFA"/>
    <w:lvl w:ilvl="0" w:tplc="4EB250B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433B6DF3"/>
    <w:multiLevelType w:val="hybridMultilevel"/>
    <w:tmpl w:val="9E023FA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2" w15:restartNumberingAfterBreak="0">
    <w:nsid w:val="436A69A8"/>
    <w:multiLevelType w:val="hybridMultilevel"/>
    <w:tmpl w:val="5FD87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82E5D0B"/>
    <w:multiLevelType w:val="hybridMultilevel"/>
    <w:tmpl w:val="69CE7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A3F27CD"/>
    <w:multiLevelType w:val="hybridMultilevel"/>
    <w:tmpl w:val="0032F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6D0E2E"/>
    <w:multiLevelType w:val="hybridMultilevel"/>
    <w:tmpl w:val="5C242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9081512"/>
    <w:multiLevelType w:val="hybridMultilevel"/>
    <w:tmpl w:val="BFF23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0267CD"/>
    <w:multiLevelType w:val="hybridMultilevel"/>
    <w:tmpl w:val="AB8CC6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07922B4"/>
    <w:multiLevelType w:val="hybridMultilevel"/>
    <w:tmpl w:val="FC8046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0E13D05"/>
    <w:multiLevelType w:val="hybridMultilevel"/>
    <w:tmpl w:val="BE042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5B30FB"/>
    <w:multiLevelType w:val="hybridMultilevel"/>
    <w:tmpl w:val="8B20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7010639">
    <w:abstractNumId w:val="0"/>
  </w:num>
  <w:num w:numId="2" w16cid:durableId="271860312">
    <w:abstractNumId w:val="31"/>
  </w:num>
  <w:num w:numId="3" w16cid:durableId="1595672007">
    <w:abstractNumId w:val="24"/>
  </w:num>
  <w:num w:numId="4" w16cid:durableId="1944533281">
    <w:abstractNumId w:val="12"/>
  </w:num>
  <w:num w:numId="5" w16cid:durableId="2081175712">
    <w:abstractNumId w:val="6"/>
  </w:num>
  <w:num w:numId="6" w16cid:durableId="1584220838">
    <w:abstractNumId w:val="1"/>
  </w:num>
  <w:num w:numId="7" w16cid:durableId="1890258578">
    <w:abstractNumId w:val="20"/>
  </w:num>
  <w:num w:numId="8" w16cid:durableId="1250309436">
    <w:abstractNumId w:val="33"/>
  </w:num>
  <w:num w:numId="9" w16cid:durableId="170149205">
    <w:abstractNumId w:val="4"/>
  </w:num>
  <w:num w:numId="10" w16cid:durableId="121771703">
    <w:abstractNumId w:val="19"/>
  </w:num>
  <w:num w:numId="11" w16cid:durableId="679089576">
    <w:abstractNumId w:val="15"/>
  </w:num>
  <w:num w:numId="12" w16cid:durableId="1597637299">
    <w:abstractNumId w:val="16"/>
  </w:num>
  <w:num w:numId="13" w16cid:durableId="1197356270">
    <w:abstractNumId w:val="21"/>
  </w:num>
  <w:num w:numId="14" w16cid:durableId="1422145251">
    <w:abstractNumId w:val="32"/>
  </w:num>
  <w:num w:numId="15" w16cid:durableId="868641893">
    <w:abstractNumId w:val="28"/>
  </w:num>
  <w:num w:numId="16" w16cid:durableId="202593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209491">
    <w:abstractNumId w:val="11"/>
  </w:num>
  <w:num w:numId="18" w16cid:durableId="1933977330">
    <w:abstractNumId w:val="7"/>
  </w:num>
  <w:num w:numId="19" w16cid:durableId="597564065">
    <w:abstractNumId w:val="18"/>
  </w:num>
  <w:num w:numId="20" w16cid:durableId="1058745687">
    <w:abstractNumId w:val="10"/>
  </w:num>
  <w:num w:numId="21" w16cid:durableId="1228223862">
    <w:abstractNumId w:val="9"/>
  </w:num>
  <w:num w:numId="22" w16cid:durableId="606429298">
    <w:abstractNumId w:val="22"/>
  </w:num>
  <w:num w:numId="23" w16cid:durableId="19822139">
    <w:abstractNumId w:val="2"/>
  </w:num>
  <w:num w:numId="24" w16cid:durableId="66534376">
    <w:abstractNumId w:val="30"/>
  </w:num>
  <w:num w:numId="25" w16cid:durableId="1721511704">
    <w:abstractNumId w:val="26"/>
  </w:num>
  <w:num w:numId="26" w16cid:durableId="1912307450">
    <w:abstractNumId w:val="5"/>
  </w:num>
  <w:num w:numId="27" w16cid:durableId="1147167869">
    <w:abstractNumId w:val="27"/>
  </w:num>
  <w:num w:numId="28" w16cid:durableId="295986491">
    <w:abstractNumId w:val="25"/>
  </w:num>
  <w:num w:numId="29" w16cid:durableId="114105932">
    <w:abstractNumId w:val="29"/>
  </w:num>
  <w:num w:numId="30" w16cid:durableId="1953243012">
    <w:abstractNumId w:val="17"/>
  </w:num>
  <w:num w:numId="31" w16cid:durableId="1516311792">
    <w:abstractNumId w:val="3"/>
  </w:num>
  <w:num w:numId="32" w16cid:durableId="293101471">
    <w:abstractNumId w:val="13"/>
  </w:num>
  <w:num w:numId="33" w16cid:durableId="803348058">
    <w:abstractNumId w:val="8"/>
  </w:num>
  <w:num w:numId="34" w16cid:durableId="585380331">
    <w:abstractNumId w:val="14"/>
  </w:num>
  <w:num w:numId="35" w16cid:durableId="18459769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A5"/>
    <w:rsid w:val="0007723D"/>
    <w:rsid w:val="00092DB6"/>
    <w:rsid w:val="000E0D00"/>
    <w:rsid w:val="000E2148"/>
    <w:rsid w:val="000E561E"/>
    <w:rsid w:val="000E7508"/>
    <w:rsid w:val="001472E6"/>
    <w:rsid w:val="001729A3"/>
    <w:rsid w:val="001D6080"/>
    <w:rsid w:val="001F7599"/>
    <w:rsid w:val="00207A26"/>
    <w:rsid w:val="00277AAC"/>
    <w:rsid w:val="002A7290"/>
    <w:rsid w:val="002A7BF3"/>
    <w:rsid w:val="002D2553"/>
    <w:rsid w:val="00312E96"/>
    <w:rsid w:val="0050012F"/>
    <w:rsid w:val="00553F39"/>
    <w:rsid w:val="00555176"/>
    <w:rsid w:val="00573EBC"/>
    <w:rsid w:val="00580642"/>
    <w:rsid w:val="0059678C"/>
    <w:rsid w:val="005A5AFA"/>
    <w:rsid w:val="0060538B"/>
    <w:rsid w:val="00620BE1"/>
    <w:rsid w:val="006649D6"/>
    <w:rsid w:val="006D24E7"/>
    <w:rsid w:val="006D51B2"/>
    <w:rsid w:val="006F77A6"/>
    <w:rsid w:val="00763F15"/>
    <w:rsid w:val="007D5FE7"/>
    <w:rsid w:val="007E0D51"/>
    <w:rsid w:val="00893CDE"/>
    <w:rsid w:val="008F69BB"/>
    <w:rsid w:val="00900AD7"/>
    <w:rsid w:val="0090156A"/>
    <w:rsid w:val="009356F9"/>
    <w:rsid w:val="00942844"/>
    <w:rsid w:val="00976885"/>
    <w:rsid w:val="00983BE8"/>
    <w:rsid w:val="009A2511"/>
    <w:rsid w:val="009C4900"/>
    <w:rsid w:val="009F5FB8"/>
    <w:rsid w:val="00A26C76"/>
    <w:rsid w:val="00A33752"/>
    <w:rsid w:val="00A62278"/>
    <w:rsid w:val="00A8651E"/>
    <w:rsid w:val="00A96BF0"/>
    <w:rsid w:val="00A97EC1"/>
    <w:rsid w:val="00A97F09"/>
    <w:rsid w:val="00AB4464"/>
    <w:rsid w:val="00AB64A5"/>
    <w:rsid w:val="00AC79D3"/>
    <w:rsid w:val="00B37201"/>
    <w:rsid w:val="00BE2B78"/>
    <w:rsid w:val="00C00C41"/>
    <w:rsid w:val="00C01E35"/>
    <w:rsid w:val="00C04209"/>
    <w:rsid w:val="00C15AAE"/>
    <w:rsid w:val="00C83DBB"/>
    <w:rsid w:val="00CC1D5B"/>
    <w:rsid w:val="00CD258B"/>
    <w:rsid w:val="00D245EF"/>
    <w:rsid w:val="00D40943"/>
    <w:rsid w:val="00DB1051"/>
    <w:rsid w:val="00E07453"/>
    <w:rsid w:val="00E100F3"/>
    <w:rsid w:val="00E51C9B"/>
    <w:rsid w:val="00E5732A"/>
    <w:rsid w:val="00E61733"/>
    <w:rsid w:val="00F02EBB"/>
    <w:rsid w:val="00F14BCA"/>
    <w:rsid w:val="00F67849"/>
    <w:rsid w:val="00FB6216"/>
    <w:rsid w:val="00FC3EC1"/>
    <w:rsid w:val="00FE6C59"/>
    <w:rsid w:val="00FF0864"/>
    <w:rsid w:val="00FF2F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A03"/>
  <w15:chartTrackingRefBased/>
  <w15:docId w15:val="{D42B937D-F978-4636-9336-C4420024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A5"/>
    <w:rPr>
      <w:kern w:val="0"/>
      <w14:ligatures w14:val="none"/>
    </w:rPr>
  </w:style>
  <w:style w:type="paragraph" w:styleId="Ttulo1">
    <w:name w:val="heading 1"/>
    <w:basedOn w:val="Normal"/>
    <w:next w:val="Normal"/>
    <w:link w:val="Ttulo1Car"/>
    <w:uiPriority w:val="9"/>
    <w:qFormat/>
    <w:rsid w:val="00AB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64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64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64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64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64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64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64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4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64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64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64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64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64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64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64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64A5"/>
    <w:rPr>
      <w:rFonts w:eastAsiaTheme="majorEastAsia" w:cstheme="majorBidi"/>
      <w:color w:val="272727" w:themeColor="text1" w:themeTint="D8"/>
    </w:rPr>
  </w:style>
  <w:style w:type="paragraph" w:styleId="Ttulo">
    <w:name w:val="Title"/>
    <w:basedOn w:val="Normal"/>
    <w:next w:val="Normal"/>
    <w:link w:val="TtuloCar"/>
    <w:uiPriority w:val="10"/>
    <w:qFormat/>
    <w:rsid w:val="00AB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4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64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64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64A5"/>
    <w:pPr>
      <w:spacing w:before="160"/>
      <w:jc w:val="center"/>
    </w:pPr>
    <w:rPr>
      <w:i/>
      <w:iCs/>
      <w:color w:val="404040" w:themeColor="text1" w:themeTint="BF"/>
    </w:rPr>
  </w:style>
  <w:style w:type="character" w:customStyle="1" w:styleId="CitaCar">
    <w:name w:val="Cita Car"/>
    <w:basedOn w:val="Fuentedeprrafopredeter"/>
    <w:link w:val="Cita"/>
    <w:uiPriority w:val="29"/>
    <w:rsid w:val="00AB64A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AB64A5"/>
    <w:pPr>
      <w:ind w:left="720"/>
      <w:contextualSpacing/>
    </w:pPr>
  </w:style>
  <w:style w:type="character" w:styleId="nfasisintenso">
    <w:name w:val="Intense Emphasis"/>
    <w:basedOn w:val="Fuentedeprrafopredeter"/>
    <w:uiPriority w:val="21"/>
    <w:qFormat/>
    <w:rsid w:val="00AB64A5"/>
    <w:rPr>
      <w:i/>
      <w:iCs/>
      <w:color w:val="0F4761" w:themeColor="accent1" w:themeShade="BF"/>
    </w:rPr>
  </w:style>
  <w:style w:type="paragraph" w:styleId="Citadestacada">
    <w:name w:val="Intense Quote"/>
    <w:basedOn w:val="Normal"/>
    <w:next w:val="Normal"/>
    <w:link w:val="CitadestacadaCar"/>
    <w:uiPriority w:val="30"/>
    <w:qFormat/>
    <w:rsid w:val="00AB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64A5"/>
    <w:rPr>
      <w:i/>
      <w:iCs/>
      <w:color w:val="0F4761" w:themeColor="accent1" w:themeShade="BF"/>
    </w:rPr>
  </w:style>
  <w:style w:type="character" w:styleId="Referenciaintensa">
    <w:name w:val="Intense Reference"/>
    <w:basedOn w:val="Fuentedeprrafopredeter"/>
    <w:uiPriority w:val="32"/>
    <w:qFormat/>
    <w:rsid w:val="00AB64A5"/>
    <w:rPr>
      <w:b/>
      <w:bCs/>
      <w:smallCaps/>
      <w:color w:val="0F4761" w:themeColor="accent1" w:themeShade="BF"/>
      <w:spacing w:val="5"/>
    </w:rPr>
  </w:style>
  <w:style w:type="paragraph" w:styleId="Encabezado">
    <w:name w:val="header"/>
    <w:basedOn w:val="Normal"/>
    <w:link w:val="EncabezadoCar"/>
    <w:uiPriority w:val="99"/>
    <w:unhideWhenUsed/>
    <w:rsid w:val="00AB64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4A5"/>
    <w:rPr>
      <w:kern w:val="0"/>
      <w14:ligatures w14:val="none"/>
    </w:rPr>
  </w:style>
  <w:style w:type="paragraph" w:styleId="Piedepgina">
    <w:name w:val="footer"/>
    <w:basedOn w:val="Normal"/>
    <w:link w:val="PiedepginaCar"/>
    <w:uiPriority w:val="99"/>
    <w:unhideWhenUsed/>
    <w:rsid w:val="00AB64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4A5"/>
    <w:rPr>
      <w:kern w:val="0"/>
      <w14:ligatures w14:val="none"/>
    </w:rPr>
  </w:style>
  <w:style w:type="character" w:customStyle="1" w:styleId="normaltextrun">
    <w:name w:val="normaltextrun"/>
    <w:basedOn w:val="Fuentedeprrafopredeter"/>
    <w:rsid w:val="00AB64A5"/>
  </w:style>
  <w:style w:type="table" w:styleId="Tablaconcuadrcula">
    <w:name w:val="Table Grid"/>
    <w:basedOn w:val="Tablanormal"/>
    <w:uiPriority w:val="39"/>
    <w:qFormat/>
    <w:rsid w:val="00AB64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4A5"/>
    <w:rPr>
      <w:color w:val="0000FF"/>
      <w:u w:val="single"/>
    </w:rPr>
  </w:style>
  <w:style w:type="paragraph" w:customStyle="1" w:styleId="paragraph">
    <w:name w:val="paragraph"/>
    <w:basedOn w:val="Normal"/>
    <w:rsid w:val="00AB64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64A5"/>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0BE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0BE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20BE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0BE1"/>
    <w:rPr>
      <w:vertAlign w:val="superscript"/>
    </w:rPr>
  </w:style>
  <w:style w:type="paragraph" w:customStyle="1" w:styleId="Appelnotedebasde">
    <w:name w:val="Appel note de bas de..."/>
    <w:basedOn w:val="Normal"/>
    <w:link w:val="Refdenotaalpie"/>
    <w:uiPriority w:val="99"/>
    <w:rsid w:val="00620BE1"/>
    <w:pPr>
      <w:spacing w:line="240" w:lineRule="exact"/>
    </w:pPr>
    <w:rPr>
      <w:kern w:val="2"/>
      <w:vertAlign w:val="superscript"/>
      <w14:ligatures w14:val="standardContextual"/>
    </w:rPr>
  </w:style>
  <w:style w:type="paragraph" w:styleId="Textoindependiente">
    <w:name w:val="Body Text"/>
    <w:basedOn w:val="Normal"/>
    <w:link w:val="TextoindependienteCar"/>
    <w:uiPriority w:val="1"/>
    <w:qFormat/>
    <w:rsid w:val="005A5AFA"/>
    <w:pPr>
      <w:widowControl w:val="0"/>
      <w:autoSpaceDE w:val="0"/>
      <w:autoSpaceDN w:val="0"/>
      <w:spacing w:after="0" w:line="240" w:lineRule="auto"/>
      <w:ind w:left="100"/>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A5AFA"/>
    <w:rPr>
      <w:rFonts w:ascii="Verdana" w:eastAsia="Verdana" w:hAnsi="Verdana" w:cs="Verdana"/>
      <w:kern w:val="0"/>
      <w:lang w:val="es-ES"/>
      <w14:ligatures w14:val="none"/>
    </w:rPr>
  </w:style>
  <w:style w:type="paragraph" w:customStyle="1" w:styleId="InviasNormal">
    <w:name w:val="Invias Normal"/>
    <w:basedOn w:val="Normal"/>
    <w:link w:val="InviasNormalCar"/>
    <w:qFormat/>
    <w:rsid w:val="00763F15"/>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763F15"/>
    <w:rPr>
      <w:rFonts w:ascii="Arial Narrow" w:eastAsia="Times New Roman" w:hAnsi="Arial Narrow" w:cs="Times New Roman"/>
      <w:kern w:val="0"/>
      <w:sz w:val="24"/>
      <w:szCs w:val="24"/>
      <w:lang w:val="x-none" w:eastAsia="es-ES"/>
      <w14:ligatures w14:val="none"/>
    </w:rPr>
  </w:style>
  <w:style w:type="character" w:customStyle="1" w:styleId="Hipervnculo1">
    <w:name w:val="Hipervínculo1"/>
    <w:basedOn w:val="Fuentedeprrafopredeter"/>
    <w:uiPriority w:val="99"/>
    <w:unhideWhenUsed/>
    <w:rsid w:val="000E561E"/>
    <w:rPr>
      <w:color w:val="467886"/>
      <w:u w:val="single"/>
    </w:rPr>
  </w:style>
  <w:style w:type="character" w:styleId="Mencinsinresolver">
    <w:name w:val="Unresolved Mention"/>
    <w:basedOn w:val="Fuentedeprrafopredeter"/>
    <w:uiPriority w:val="99"/>
    <w:semiHidden/>
    <w:unhideWhenUsed/>
    <w:rsid w:val="009F5FB8"/>
    <w:rPr>
      <w:color w:val="605E5C"/>
      <w:shd w:val="clear" w:color="auto" w:fill="E1DFDD"/>
    </w:rPr>
  </w:style>
  <w:style w:type="paragraph" w:styleId="NormalWeb">
    <w:name w:val="Normal (Web)"/>
    <w:basedOn w:val="Normal"/>
    <w:link w:val="NormalWebCar"/>
    <w:uiPriority w:val="99"/>
    <w:unhideWhenUsed/>
    <w:rsid w:val="006649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locked/>
    <w:rsid w:val="006649D6"/>
    <w:rPr>
      <w:rFonts w:ascii="Times New Roman" w:eastAsia="Times New Roman" w:hAnsi="Times New Roman" w:cs="Times New Roman"/>
      <w:kern w:val="0"/>
      <w:sz w:val="24"/>
      <w:szCs w:val="24"/>
      <w:lang w:eastAsia="es-CO"/>
      <w14:ligatures w14:val="none"/>
    </w:rPr>
  </w:style>
  <w:style w:type="character" w:customStyle="1" w:styleId="eop">
    <w:name w:val="eop"/>
    <w:basedOn w:val="Fuentedeprrafopredeter"/>
    <w:rsid w:val="00C04209"/>
  </w:style>
  <w:style w:type="character" w:styleId="Hipervnculovisitado">
    <w:name w:val="FollowedHyperlink"/>
    <w:basedOn w:val="Fuentedeprrafopredeter"/>
    <w:uiPriority w:val="99"/>
    <w:semiHidden/>
    <w:unhideWhenUsed/>
    <w:rsid w:val="00A97F09"/>
    <w:rPr>
      <w:color w:val="96607D" w:themeColor="followedHyperlink"/>
      <w:u w:val="single"/>
    </w:rPr>
  </w:style>
  <w:style w:type="character" w:styleId="Textoennegrita">
    <w:name w:val="Strong"/>
    <w:basedOn w:val="Fuentedeprrafopredeter"/>
    <w:uiPriority w:val="22"/>
    <w:qFormat/>
    <w:rsid w:val="00580642"/>
    <w:rPr>
      <w:b/>
      <w:bCs/>
    </w:rPr>
  </w:style>
  <w:style w:type="paragraph" w:styleId="Sinespaciado">
    <w:name w:val="No Spacing"/>
    <w:aliases w:val="No Indent"/>
    <w:uiPriority w:val="3"/>
    <w:qFormat/>
    <w:rsid w:val="00FF2F27"/>
    <w:pPr>
      <w:spacing w:after="0" w:line="240" w:lineRule="auto"/>
    </w:pPr>
    <w:rPr>
      <w:kern w:val="0"/>
      <w:sz w:val="24"/>
      <w:lang w:val="es-MX"/>
      <w14:ligatures w14:val="none"/>
    </w:rPr>
  </w:style>
  <w:style w:type="paragraph" w:customStyle="1" w:styleId="margender0punto5">
    <w:name w:val="margen_der_0punto5"/>
    <w:basedOn w:val="Normal"/>
    <w:rsid w:val="00FF2F2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ra14pt">
    <w:name w:val="letra14pt"/>
    <w:basedOn w:val="Fuentedeprrafopredeter"/>
    <w:rsid w:val="00FF2F27"/>
  </w:style>
  <w:style w:type="paragraph" w:customStyle="1" w:styleId="CEDAContenido">
    <w:name w:val="CEDA Contenido"/>
    <w:basedOn w:val="Normal"/>
    <w:link w:val="CEDAContenidoCar"/>
    <w:qFormat/>
    <w:rsid w:val="00FF2F27"/>
    <w:pPr>
      <w:spacing w:before="120" w:after="0" w:line="276" w:lineRule="auto"/>
      <w:jc w:val="both"/>
    </w:pPr>
    <w:rPr>
      <w:rFonts w:ascii="Bookman Old Style" w:eastAsiaTheme="minorEastAsia" w:hAnsi="Bookman Old Style"/>
    </w:rPr>
  </w:style>
  <w:style w:type="character" w:customStyle="1" w:styleId="CEDAContenidoCar">
    <w:name w:val="CEDA Contenido Car"/>
    <w:basedOn w:val="Fuentedeprrafopredeter"/>
    <w:link w:val="CEDAContenido"/>
    <w:rsid w:val="00FF2F27"/>
    <w:rPr>
      <w:rFonts w:ascii="Bookman Old Style" w:eastAsiaTheme="minorEastAsia" w:hAnsi="Bookman Old Styl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25707">
      <w:bodyDiv w:val="1"/>
      <w:marLeft w:val="0"/>
      <w:marRight w:val="0"/>
      <w:marTop w:val="0"/>
      <w:marBottom w:val="0"/>
      <w:divBdr>
        <w:top w:val="none" w:sz="0" w:space="0" w:color="auto"/>
        <w:left w:val="none" w:sz="0" w:space="0" w:color="auto"/>
        <w:bottom w:val="none" w:sz="0" w:space="0" w:color="auto"/>
        <w:right w:val="none" w:sz="0" w:space="0" w:color="auto"/>
      </w:divBdr>
    </w:div>
    <w:div w:id="323707733">
      <w:bodyDiv w:val="1"/>
      <w:marLeft w:val="0"/>
      <w:marRight w:val="0"/>
      <w:marTop w:val="0"/>
      <w:marBottom w:val="0"/>
      <w:divBdr>
        <w:top w:val="none" w:sz="0" w:space="0" w:color="auto"/>
        <w:left w:val="none" w:sz="0" w:space="0" w:color="auto"/>
        <w:bottom w:val="none" w:sz="0" w:space="0" w:color="auto"/>
        <w:right w:val="none" w:sz="0" w:space="0" w:color="auto"/>
      </w:divBdr>
      <w:divsChild>
        <w:div w:id="531768647">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129936428">
          <w:marLeft w:val="0"/>
          <w:marRight w:val="0"/>
          <w:marTop w:val="0"/>
          <w:marBottom w:val="0"/>
          <w:divBdr>
            <w:top w:val="none" w:sz="0" w:space="0" w:color="auto"/>
            <w:left w:val="none" w:sz="0" w:space="0" w:color="auto"/>
            <w:bottom w:val="none" w:sz="0" w:space="0" w:color="auto"/>
            <w:right w:val="none" w:sz="0" w:space="0" w:color="auto"/>
          </w:divBdr>
        </w:div>
        <w:div w:id="656766947">
          <w:marLeft w:val="0"/>
          <w:marRight w:val="0"/>
          <w:marTop w:val="0"/>
          <w:marBottom w:val="0"/>
          <w:divBdr>
            <w:top w:val="none" w:sz="0" w:space="0" w:color="auto"/>
            <w:left w:val="none" w:sz="0" w:space="0" w:color="auto"/>
            <w:bottom w:val="none" w:sz="0" w:space="0" w:color="auto"/>
            <w:right w:val="none" w:sz="0" w:space="0" w:color="auto"/>
          </w:divBdr>
        </w:div>
        <w:div w:id="2083287178">
          <w:marLeft w:val="0"/>
          <w:marRight w:val="0"/>
          <w:marTop w:val="0"/>
          <w:marBottom w:val="0"/>
          <w:divBdr>
            <w:top w:val="none" w:sz="0" w:space="0" w:color="auto"/>
            <w:left w:val="none" w:sz="0" w:space="0" w:color="auto"/>
            <w:bottom w:val="none" w:sz="0" w:space="0" w:color="auto"/>
            <w:right w:val="none" w:sz="0" w:space="0" w:color="auto"/>
          </w:divBdr>
        </w:div>
        <w:div w:id="423310063">
          <w:marLeft w:val="0"/>
          <w:marRight w:val="0"/>
          <w:marTop w:val="0"/>
          <w:marBottom w:val="0"/>
          <w:divBdr>
            <w:top w:val="none" w:sz="0" w:space="0" w:color="auto"/>
            <w:left w:val="none" w:sz="0" w:space="0" w:color="auto"/>
            <w:bottom w:val="none" w:sz="0" w:space="0" w:color="auto"/>
            <w:right w:val="none" w:sz="0" w:space="0" w:color="auto"/>
          </w:divBdr>
        </w:div>
        <w:div w:id="104930437">
          <w:marLeft w:val="0"/>
          <w:marRight w:val="0"/>
          <w:marTop w:val="0"/>
          <w:marBottom w:val="0"/>
          <w:divBdr>
            <w:top w:val="none" w:sz="0" w:space="0" w:color="auto"/>
            <w:left w:val="none" w:sz="0" w:space="0" w:color="auto"/>
            <w:bottom w:val="none" w:sz="0" w:space="0" w:color="auto"/>
            <w:right w:val="none" w:sz="0" w:space="0" w:color="auto"/>
          </w:divBdr>
        </w:div>
        <w:div w:id="901674926">
          <w:marLeft w:val="0"/>
          <w:marRight w:val="0"/>
          <w:marTop w:val="0"/>
          <w:marBottom w:val="0"/>
          <w:divBdr>
            <w:top w:val="none" w:sz="0" w:space="0" w:color="auto"/>
            <w:left w:val="none" w:sz="0" w:space="0" w:color="auto"/>
            <w:bottom w:val="none" w:sz="0" w:space="0" w:color="auto"/>
            <w:right w:val="none" w:sz="0" w:space="0" w:color="auto"/>
          </w:divBdr>
        </w:div>
        <w:div w:id="1917399935">
          <w:marLeft w:val="0"/>
          <w:marRight w:val="0"/>
          <w:marTop w:val="0"/>
          <w:marBottom w:val="0"/>
          <w:divBdr>
            <w:top w:val="none" w:sz="0" w:space="0" w:color="auto"/>
            <w:left w:val="none" w:sz="0" w:space="0" w:color="auto"/>
            <w:bottom w:val="none" w:sz="0" w:space="0" w:color="auto"/>
            <w:right w:val="none" w:sz="0" w:space="0" w:color="auto"/>
          </w:divBdr>
        </w:div>
      </w:divsChild>
    </w:div>
    <w:div w:id="357775680">
      <w:bodyDiv w:val="1"/>
      <w:marLeft w:val="0"/>
      <w:marRight w:val="0"/>
      <w:marTop w:val="0"/>
      <w:marBottom w:val="0"/>
      <w:divBdr>
        <w:top w:val="none" w:sz="0" w:space="0" w:color="auto"/>
        <w:left w:val="none" w:sz="0" w:space="0" w:color="auto"/>
        <w:bottom w:val="none" w:sz="0" w:space="0" w:color="auto"/>
        <w:right w:val="none" w:sz="0" w:space="0" w:color="auto"/>
      </w:divBdr>
    </w:div>
    <w:div w:id="382797754">
      <w:bodyDiv w:val="1"/>
      <w:marLeft w:val="0"/>
      <w:marRight w:val="0"/>
      <w:marTop w:val="0"/>
      <w:marBottom w:val="0"/>
      <w:divBdr>
        <w:top w:val="none" w:sz="0" w:space="0" w:color="auto"/>
        <w:left w:val="none" w:sz="0" w:space="0" w:color="auto"/>
        <w:bottom w:val="none" w:sz="0" w:space="0" w:color="auto"/>
        <w:right w:val="none" w:sz="0" w:space="0" w:color="auto"/>
      </w:divBdr>
    </w:div>
    <w:div w:id="632364788">
      <w:bodyDiv w:val="1"/>
      <w:marLeft w:val="0"/>
      <w:marRight w:val="0"/>
      <w:marTop w:val="0"/>
      <w:marBottom w:val="0"/>
      <w:divBdr>
        <w:top w:val="none" w:sz="0" w:space="0" w:color="auto"/>
        <w:left w:val="none" w:sz="0" w:space="0" w:color="auto"/>
        <w:bottom w:val="none" w:sz="0" w:space="0" w:color="auto"/>
        <w:right w:val="none" w:sz="0" w:space="0" w:color="auto"/>
      </w:divBdr>
      <w:divsChild>
        <w:div w:id="444466489">
          <w:marLeft w:val="0"/>
          <w:marRight w:val="0"/>
          <w:marTop w:val="0"/>
          <w:marBottom w:val="0"/>
          <w:divBdr>
            <w:top w:val="none" w:sz="0" w:space="0" w:color="auto"/>
            <w:left w:val="none" w:sz="0" w:space="0" w:color="auto"/>
            <w:bottom w:val="none" w:sz="0" w:space="0" w:color="auto"/>
            <w:right w:val="none" w:sz="0" w:space="0" w:color="auto"/>
          </w:divBdr>
        </w:div>
        <w:div w:id="1513564501">
          <w:marLeft w:val="0"/>
          <w:marRight w:val="0"/>
          <w:marTop w:val="0"/>
          <w:marBottom w:val="0"/>
          <w:divBdr>
            <w:top w:val="none" w:sz="0" w:space="0" w:color="auto"/>
            <w:left w:val="none" w:sz="0" w:space="0" w:color="auto"/>
            <w:bottom w:val="none" w:sz="0" w:space="0" w:color="auto"/>
            <w:right w:val="none" w:sz="0" w:space="0" w:color="auto"/>
          </w:divBdr>
        </w:div>
        <w:div w:id="682703789">
          <w:marLeft w:val="0"/>
          <w:marRight w:val="0"/>
          <w:marTop w:val="0"/>
          <w:marBottom w:val="0"/>
          <w:divBdr>
            <w:top w:val="none" w:sz="0" w:space="0" w:color="auto"/>
            <w:left w:val="none" w:sz="0" w:space="0" w:color="auto"/>
            <w:bottom w:val="none" w:sz="0" w:space="0" w:color="auto"/>
            <w:right w:val="none" w:sz="0" w:space="0" w:color="auto"/>
          </w:divBdr>
        </w:div>
        <w:div w:id="37246108">
          <w:marLeft w:val="0"/>
          <w:marRight w:val="0"/>
          <w:marTop w:val="0"/>
          <w:marBottom w:val="0"/>
          <w:divBdr>
            <w:top w:val="none" w:sz="0" w:space="0" w:color="auto"/>
            <w:left w:val="none" w:sz="0" w:space="0" w:color="auto"/>
            <w:bottom w:val="none" w:sz="0" w:space="0" w:color="auto"/>
            <w:right w:val="none" w:sz="0" w:space="0" w:color="auto"/>
          </w:divBdr>
        </w:div>
        <w:div w:id="207038564">
          <w:marLeft w:val="0"/>
          <w:marRight w:val="0"/>
          <w:marTop w:val="0"/>
          <w:marBottom w:val="0"/>
          <w:divBdr>
            <w:top w:val="none" w:sz="0" w:space="0" w:color="auto"/>
            <w:left w:val="none" w:sz="0" w:space="0" w:color="auto"/>
            <w:bottom w:val="none" w:sz="0" w:space="0" w:color="auto"/>
            <w:right w:val="none" w:sz="0" w:space="0" w:color="auto"/>
          </w:divBdr>
        </w:div>
        <w:div w:id="253056531">
          <w:marLeft w:val="0"/>
          <w:marRight w:val="0"/>
          <w:marTop w:val="0"/>
          <w:marBottom w:val="0"/>
          <w:divBdr>
            <w:top w:val="none" w:sz="0" w:space="0" w:color="auto"/>
            <w:left w:val="none" w:sz="0" w:space="0" w:color="auto"/>
            <w:bottom w:val="none" w:sz="0" w:space="0" w:color="auto"/>
            <w:right w:val="none" w:sz="0" w:space="0" w:color="auto"/>
          </w:divBdr>
        </w:div>
        <w:div w:id="1106996563">
          <w:marLeft w:val="0"/>
          <w:marRight w:val="0"/>
          <w:marTop w:val="0"/>
          <w:marBottom w:val="0"/>
          <w:divBdr>
            <w:top w:val="none" w:sz="0" w:space="0" w:color="auto"/>
            <w:left w:val="none" w:sz="0" w:space="0" w:color="auto"/>
            <w:bottom w:val="none" w:sz="0" w:space="0" w:color="auto"/>
            <w:right w:val="none" w:sz="0" w:space="0" w:color="auto"/>
          </w:divBdr>
        </w:div>
        <w:div w:id="620385647">
          <w:marLeft w:val="0"/>
          <w:marRight w:val="0"/>
          <w:marTop w:val="0"/>
          <w:marBottom w:val="0"/>
          <w:divBdr>
            <w:top w:val="none" w:sz="0" w:space="0" w:color="auto"/>
            <w:left w:val="none" w:sz="0" w:space="0" w:color="auto"/>
            <w:bottom w:val="none" w:sz="0" w:space="0" w:color="auto"/>
            <w:right w:val="none" w:sz="0" w:space="0" w:color="auto"/>
          </w:divBdr>
        </w:div>
        <w:div w:id="333385293">
          <w:marLeft w:val="0"/>
          <w:marRight w:val="0"/>
          <w:marTop w:val="0"/>
          <w:marBottom w:val="0"/>
          <w:divBdr>
            <w:top w:val="none" w:sz="0" w:space="0" w:color="auto"/>
            <w:left w:val="none" w:sz="0" w:space="0" w:color="auto"/>
            <w:bottom w:val="none" w:sz="0" w:space="0" w:color="auto"/>
            <w:right w:val="none" w:sz="0" w:space="0" w:color="auto"/>
          </w:divBdr>
        </w:div>
      </w:divsChild>
    </w:div>
    <w:div w:id="1379554591">
      <w:bodyDiv w:val="1"/>
      <w:marLeft w:val="0"/>
      <w:marRight w:val="0"/>
      <w:marTop w:val="0"/>
      <w:marBottom w:val="0"/>
      <w:divBdr>
        <w:top w:val="none" w:sz="0" w:space="0" w:color="auto"/>
        <w:left w:val="none" w:sz="0" w:space="0" w:color="auto"/>
        <w:bottom w:val="none" w:sz="0" w:space="0" w:color="auto"/>
        <w:right w:val="none" w:sz="0" w:space="0" w:color="auto"/>
      </w:divBdr>
    </w:div>
    <w:div w:id="1521746956">
      <w:bodyDiv w:val="1"/>
      <w:marLeft w:val="0"/>
      <w:marRight w:val="0"/>
      <w:marTop w:val="0"/>
      <w:marBottom w:val="0"/>
      <w:divBdr>
        <w:top w:val="none" w:sz="0" w:space="0" w:color="auto"/>
        <w:left w:val="none" w:sz="0" w:space="0" w:color="auto"/>
        <w:bottom w:val="none" w:sz="0" w:space="0" w:color="auto"/>
        <w:right w:val="none" w:sz="0" w:space="0" w:color="auto"/>
      </w:divBdr>
    </w:div>
    <w:div w:id="1637952632">
      <w:bodyDiv w:val="1"/>
      <w:marLeft w:val="0"/>
      <w:marRight w:val="0"/>
      <w:marTop w:val="0"/>
      <w:marBottom w:val="0"/>
      <w:divBdr>
        <w:top w:val="none" w:sz="0" w:space="0" w:color="auto"/>
        <w:left w:val="none" w:sz="0" w:space="0" w:color="auto"/>
        <w:bottom w:val="none" w:sz="0" w:space="0" w:color="auto"/>
        <w:right w:val="none" w:sz="0" w:space="0" w:color="auto"/>
      </w:divBdr>
      <w:divsChild>
        <w:div w:id="973944218">
          <w:marLeft w:val="0"/>
          <w:marRight w:val="0"/>
          <w:marTop w:val="0"/>
          <w:marBottom w:val="0"/>
          <w:divBdr>
            <w:top w:val="none" w:sz="0" w:space="0" w:color="auto"/>
            <w:left w:val="none" w:sz="0" w:space="0" w:color="auto"/>
            <w:bottom w:val="none" w:sz="0" w:space="0" w:color="auto"/>
            <w:right w:val="none" w:sz="0" w:space="0" w:color="auto"/>
          </w:divBdr>
        </w:div>
        <w:div w:id="2117015247">
          <w:marLeft w:val="0"/>
          <w:marRight w:val="0"/>
          <w:marTop w:val="0"/>
          <w:marBottom w:val="0"/>
          <w:divBdr>
            <w:top w:val="none" w:sz="0" w:space="0" w:color="auto"/>
            <w:left w:val="none" w:sz="0" w:space="0" w:color="auto"/>
            <w:bottom w:val="none" w:sz="0" w:space="0" w:color="auto"/>
            <w:right w:val="none" w:sz="0" w:space="0" w:color="auto"/>
          </w:divBdr>
        </w:div>
        <w:div w:id="187373072">
          <w:marLeft w:val="0"/>
          <w:marRight w:val="0"/>
          <w:marTop w:val="0"/>
          <w:marBottom w:val="0"/>
          <w:divBdr>
            <w:top w:val="none" w:sz="0" w:space="0" w:color="auto"/>
            <w:left w:val="none" w:sz="0" w:space="0" w:color="auto"/>
            <w:bottom w:val="none" w:sz="0" w:space="0" w:color="auto"/>
            <w:right w:val="none" w:sz="0" w:space="0" w:color="auto"/>
          </w:divBdr>
        </w:div>
        <w:div w:id="2052728050">
          <w:marLeft w:val="0"/>
          <w:marRight w:val="0"/>
          <w:marTop w:val="0"/>
          <w:marBottom w:val="0"/>
          <w:divBdr>
            <w:top w:val="none" w:sz="0" w:space="0" w:color="auto"/>
            <w:left w:val="none" w:sz="0" w:space="0" w:color="auto"/>
            <w:bottom w:val="none" w:sz="0" w:space="0" w:color="auto"/>
            <w:right w:val="none" w:sz="0" w:space="0" w:color="auto"/>
          </w:divBdr>
        </w:div>
        <w:div w:id="1590239435">
          <w:marLeft w:val="0"/>
          <w:marRight w:val="0"/>
          <w:marTop w:val="0"/>
          <w:marBottom w:val="0"/>
          <w:divBdr>
            <w:top w:val="none" w:sz="0" w:space="0" w:color="auto"/>
            <w:left w:val="none" w:sz="0" w:space="0" w:color="auto"/>
            <w:bottom w:val="none" w:sz="0" w:space="0" w:color="auto"/>
            <w:right w:val="none" w:sz="0" w:space="0" w:color="auto"/>
          </w:divBdr>
        </w:div>
        <w:div w:id="453207755">
          <w:marLeft w:val="0"/>
          <w:marRight w:val="0"/>
          <w:marTop w:val="0"/>
          <w:marBottom w:val="0"/>
          <w:divBdr>
            <w:top w:val="none" w:sz="0" w:space="0" w:color="auto"/>
            <w:left w:val="none" w:sz="0" w:space="0" w:color="auto"/>
            <w:bottom w:val="none" w:sz="0" w:space="0" w:color="auto"/>
            <w:right w:val="none" w:sz="0" w:space="0" w:color="auto"/>
          </w:divBdr>
        </w:div>
        <w:div w:id="835656993">
          <w:marLeft w:val="0"/>
          <w:marRight w:val="0"/>
          <w:marTop w:val="0"/>
          <w:marBottom w:val="0"/>
          <w:divBdr>
            <w:top w:val="none" w:sz="0" w:space="0" w:color="auto"/>
            <w:left w:val="none" w:sz="0" w:space="0" w:color="auto"/>
            <w:bottom w:val="none" w:sz="0" w:space="0" w:color="auto"/>
            <w:right w:val="none" w:sz="0" w:space="0" w:color="auto"/>
          </w:divBdr>
        </w:div>
        <w:div w:id="42562427">
          <w:marLeft w:val="0"/>
          <w:marRight w:val="0"/>
          <w:marTop w:val="0"/>
          <w:marBottom w:val="0"/>
          <w:divBdr>
            <w:top w:val="none" w:sz="0" w:space="0" w:color="auto"/>
            <w:left w:val="none" w:sz="0" w:space="0" w:color="auto"/>
            <w:bottom w:val="none" w:sz="0" w:space="0" w:color="auto"/>
            <w:right w:val="none" w:sz="0" w:space="0" w:color="auto"/>
          </w:divBdr>
        </w:div>
        <w:div w:id="1507594584">
          <w:marLeft w:val="0"/>
          <w:marRight w:val="0"/>
          <w:marTop w:val="0"/>
          <w:marBottom w:val="0"/>
          <w:divBdr>
            <w:top w:val="none" w:sz="0" w:space="0" w:color="auto"/>
            <w:left w:val="none" w:sz="0" w:space="0" w:color="auto"/>
            <w:bottom w:val="none" w:sz="0" w:space="0" w:color="auto"/>
            <w:right w:val="none" w:sz="0" w:space="0" w:color="auto"/>
          </w:divBdr>
        </w:div>
      </w:divsChild>
    </w:div>
    <w:div w:id="1997294544">
      <w:bodyDiv w:val="1"/>
      <w:marLeft w:val="0"/>
      <w:marRight w:val="0"/>
      <w:marTop w:val="0"/>
      <w:marBottom w:val="0"/>
      <w:divBdr>
        <w:top w:val="none" w:sz="0" w:space="0" w:color="auto"/>
        <w:left w:val="none" w:sz="0" w:space="0" w:color="auto"/>
        <w:bottom w:val="none" w:sz="0" w:space="0" w:color="auto"/>
        <w:right w:val="none" w:sz="0" w:space="0" w:color="auto"/>
      </w:divBdr>
      <w:divsChild>
        <w:div w:id="1424373160">
          <w:marLeft w:val="0"/>
          <w:marRight w:val="0"/>
          <w:marTop w:val="0"/>
          <w:marBottom w:val="0"/>
          <w:divBdr>
            <w:top w:val="none" w:sz="0" w:space="0" w:color="auto"/>
            <w:left w:val="none" w:sz="0" w:space="0" w:color="auto"/>
            <w:bottom w:val="none" w:sz="0" w:space="0" w:color="auto"/>
            <w:right w:val="none" w:sz="0" w:space="0" w:color="auto"/>
          </w:divBdr>
        </w:div>
        <w:div w:id="1999575538">
          <w:marLeft w:val="0"/>
          <w:marRight w:val="0"/>
          <w:marTop w:val="0"/>
          <w:marBottom w:val="0"/>
          <w:divBdr>
            <w:top w:val="none" w:sz="0" w:space="0" w:color="auto"/>
            <w:left w:val="none" w:sz="0" w:space="0" w:color="auto"/>
            <w:bottom w:val="none" w:sz="0" w:space="0" w:color="auto"/>
            <w:right w:val="none" w:sz="0" w:space="0" w:color="auto"/>
          </w:divBdr>
        </w:div>
        <w:div w:id="2069068690">
          <w:marLeft w:val="0"/>
          <w:marRight w:val="0"/>
          <w:marTop w:val="0"/>
          <w:marBottom w:val="0"/>
          <w:divBdr>
            <w:top w:val="none" w:sz="0" w:space="0" w:color="auto"/>
            <w:left w:val="none" w:sz="0" w:space="0" w:color="auto"/>
            <w:bottom w:val="none" w:sz="0" w:space="0" w:color="auto"/>
            <w:right w:val="none" w:sz="0" w:space="0" w:color="auto"/>
          </w:divBdr>
        </w:div>
        <w:div w:id="817376858">
          <w:marLeft w:val="0"/>
          <w:marRight w:val="0"/>
          <w:marTop w:val="0"/>
          <w:marBottom w:val="0"/>
          <w:divBdr>
            <w:top w:val="none" w:sz="0" w:space="0" w:color="auto"/>
            <w:left w:val="none" w:sz="0" w:space="0" w:color="auto"/>
            <w:bottom w:val="none" w:sz="0" w:space="0" w:color="auto"/>
            <w:right w:val="none" w:sz="0" w:space="0" w:color="auto"/>
          </w:divBdr>
        </w:div>
        <w:div w:id="1119954715">
          <w:marLeft w:val="0"/>
          <w:marRight w:val="0"/>
          <w:marTop w:val="0"/>
          <w:marBottom w:val="0"/>
          <w:divBdr>
            <w:top w:val="none" w:sz="0" w:space="0" w:color="auto"/>
            <w:left w:val="none" w:sz="0" w:space="0" w:color="auto"/>
            <w:bottom w:val="none" w:sz="0" w:space="0" w:color="auto"/>
            <w:right w:val="none" w:sz="0" w:space="0" w:color="auto"/>
          </w:divBdr>
        </w:div>
        <w:div w:id="1361515051">
          <w:marLeft w:val="0"/>
          <w:marRight w:val="0"/>
          <w:marTop w:val="0"/>
          <w:marBottom w:val="0"/>
          <w:divBdr>
            <w:top w:val="none" w:sz="0" w:space="0" w:color="auto"/>
            <w:left w:val="none" w:sz="0" w:space="0" w:color="auto"/>
            <w:bottom w:val="none" w:sz="0" w:space="0" w:color="auto"/>
            <w:right w:val="none" w:sz="0" w:space="0" w:color="auto"/>
          </w:divBdr>
        </w:div>
        <w:div w:id="152381710">
          <w:marLeft w:val="0"/>
          <w:marRight w:val="0"/>
          <w:marTop w:val="0"/>
          <w:marBottom w:val="0"/>
          <w:divBdr>
            <w:top w:val="none" w:sz="0" w:space="0" w:color="auto"/>
            <w:left w:val="none" w:sz="0" w:space="0" w:color="auto"/>
            <w:bottom w:val="none" w:sz="0" w:space="0" w:color="auto"/>
            <w:right w:val="none" w:sz="0" w:space="0" w:color="auto"/>
          </w:divBdr>
        </w:div>
        <w:div w:id="25301616">
          <w:marLeft w:val="0"/>
          <w:marRight w:val="0"/>
          <w:marTop w:val="0"/>
          <w:marBottom w:val="0"/>
          <w:divBdr>
            <w:top w:val="none" w:sz="0" w:space="0" w:color="auto"/>
            <w:left w:val="none" w:sz="0" w:space="0" w:color="auto"/>
            <w:bottom w:val="none" w:sz="0" w:space="0" w:color="auto"/>
            <w:right w:val="none" w:sz="0" w:space="0" w:color="auto"/>
          </w:divBdr>
        </w:div>
        <w:div w:id="1925725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rconivo@yahoo.com"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s%3A%2F%2Fwww.colombiacompra.gov.co%2Fsala-de-prensa%2Fboletin-digital&amp;data=05%7C02%7Cmartha.romero%40colombiacompra.gov.co%7C315ed31c447042b59dd908dd07f079f5%7C7b09041e245149d08cb179d5e3d8c1be%7C0%7C0%7C638675451604900896%7CUnknown%7CTWFpbGZsb3d8eyJFbXB0eU1hcGkiOnRydWUsIlYiOiIwLjAuMDAwMCIsIlAiOiJXaW4zMiIsIkFOIjoiTWFpbCIsIldUIjoyfQ%3D%3D%7C0%7C%7C%7C&amp;sdata=4OynsIcDoUi0wn09UzrJ8oeVVfEtQqotlfuOBHDZvw8%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latoria.colombiacompra.gov.co/busqueda/concepto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6B3F15-43C4-4604-9965-2F3E4D1CBDC5}">
  <ds:schemaRefs>
    <ds:schemaRef ds:uri="http://schemas.openxmlformats.org/officeDocument/2006/bibliography"/>
  </ds:schemaRefs>
</ds:datastoreItem>
</file>

<file path=customXml/itemProps2.xml><?xml version="1.0" encoding="utf-8"?>
<ds:datastoreItem xmlns:ds="http://schemas.openxmlformats.org/officeDocument/2006/customXml" ds:itemID="{5C5468CF-1D6C-45A1-ABBF-80E429630054}"/>
</file>

<file path=customXml/itemProps3.xml><?xml version="1.0" encoding="utf-8"?>
<ds:datastoreItem xmlns:ds="http://schemas.openxmlformats.org/officeDocument/2006/customXml" ds:itemID="{B7F493C2-0357-4E1C-86F6-8A1D025101AD}"/>
</file>

<file path=customXml/itemProps4.xml><?xml version="1.0" encoding="utf-8"?>
<ds:datastoreItem xmlns:ds="http://schemas.openxmlformats.org/officeDocument/2006/customXml" ds:itemID="{CDA16C9C-5E26-4986-A314-6EC23967E2C4}"/>
</file>

<file path=docProps/app.xml><?xml version="1.0" encoding="utf-8"?>
<Properties xmlns="http://schemas.openxmlformats.org/officeDocument/2006/extended-properties" xmlns:vt="http://schemas.openxmlformats.org/officeDocument/2006/docPropsVTypes">
  <Template>Normal.dotm</Template>
  <TotalTime>2</TotalTime>
  <Pages>18</Pages>
  <Words>4878</Words>
  <Characters>26834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Camilo Orjuela Galeano</dc:creator>
  <cp:keywords/>
  <dc:description/>
  <cp:lastModifiedBy>Diana Carolina Blanco Rodriguez</cp:lastModifiedBy>
  <cp:revision>3</cp:revision>
  <dcterms:created xsi:type="dcterms:W3CDTF">2024-12-17T17:20:00Z</dcterms:created>
  <dcterms:modified xsi:type="dcterms:W3CDTF">2024-12-20T00:03:00Z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