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BEF5" w14:textId="77777777" w:rsidR="00BA0A7A" w:rsidRPr="00BA0A7A" w:rsidRDefault="00BA0A7A" w:rsidP="00BA0A7A">
      <w:pPr>
        <w:spacing w:line="276" w:lineRule="auto"/>
        <w:jc w:val="both"/>
        <w:rPr>
          <w:rFonts w:ascii="Verdana" w:eastAsia="Calibri" w:hAnsi="Verdana" w:cs="Arial"/>
          <w:b/>
          <w:lang w:val="es-ES" w:eastAsia="es-ES"/>
        </w:rPr>
      </w:pPr>
      <w:r w:rsidRPr="00BA0A7A">
        <w:rPr>
          <w:rFonts w:ascii="Verdana" w:eastAsia="Calibri" w:hAnsi="Verdana" w:cs="Arial"/>
          <w:b/>
          <w:lang w:val="es-ES" w:eastAsia="es-ES"/>
        </w:rPr>
        <w:t xml:space="preserve">ENTIDADES EXCEPTUADAS – Fundamento normativo </w:t>
      </w:r>
    </w:p>
    <w:p w14:paraId="6D5BAEC0" w14:textId="77777777" w:rsidR="00BA0A7A" w:rsidRPr="00BA0A7A" w:rsidRDefault="00BA0A7A" w:rsidP="00BA0A7A">
      <w:pPr>
        <w:pStyle w:val="NormalWeb"/>
        <w:tabs>
          <w:tab w:val="left" w:pos="426"/>
        </w:tabs>
        <w:spacing w:before="0" w:beforeAutospacing="0" w:after="0" w:afterAutospacing="0" w:line="276" w:lineRule="auto"/>
        <w:jc w:val="both"/>
        <w:rPr>
          <w:rFonts w:ascii="Verdana" w:hAnsi="Verdana"/>
          <w:sz w:val="20"/>
          <w:szCs w:val="22"/>
        </w:rPr>
      </w:pPr>
      <w:r w:rsidRPr="00BA0A7A">
        <w:rPr>
          <w:rFonts w:ascii="Verdana" w:hAnsi="Verdana"/>
          <w:sz w:val="20"/>
          <w:szCs w:val="22"/>
        </w:rPr>
        <w:t>En virtud de lo señalado, el artículo 13 de la Ley 1150 de 2007 positivizó el precepto según el cual las entidades estatales que por disposición legal cuenten con un régimen contractual excepcional al del EGCAP, aplicarán en desarrollo de su actividad contractual, acorde con su régimen legal especial, los principios de la función administrativa y de la gestión fiscal de que tratan los artículos 209 y 267 de la Constitución Política, y estarán sometidas al régimen de inhabilidades e incompatibilidades previsto legalmente para la contratación estatal.</w:t>
      </w:r>
    </w:p>
    <w:p w14:paraId="0B7DAC6C" w14:textId="77777777" w:rsidR="00BA0A7A" w:rsidRDefault="00BA0A7A" w:rsidP="00BA0A7A">
      <w:pPr>
        <w:spacing w:line="276" w:lineRule="auto"/>
        <w:jc w:val="both"/>
        <w:rPr>
          <w:rFonts w:ascii="Verdana" w:eastAsia="Calibri" w:hAnsi="Verdana" w:cs="Arial"/>
          <w:lang w:val="es-ES" w:eastAsia="es-ES"/>
        </w:rPr>
      </w:pPr>
    </w:p>
    <w:p w14:paraId="2C5F5971" w14:textId="714BFEDF" w:rsidR="00BA0A7A" w:rsidRPr="00BA0A7A" w:rsidRDefault="00BA0A7A" w:rsidP="00BA0A7A">
      <w:pPr>
        <w:spacing w:line="276" w:lineRule="auto"/>
        <w:jc w:val="both"/>
        <w:rPr>
          <w:rFonts w:ascii="Verdana" w:eastAsia="Calibri" w:hAnsi="Verdana" w:cs="Arial"/>
          <w:b/>
          <w:lang w:val="es-ES" w:eastAsia="es-ES"/>
        </w:rPr>
      </w:pPr>
      <w:r w:rsidRPr="00BA0A7A">
        <w:rPr>
          <w:rFonts w:ascii="Verdana" w:eastAsia="Calibri" w:hAnsi="Verdana" w:cs="Arial"/>
          <w:b/>
          <w:lang w:val="es-ES" w:eastAsia="es-ES"/>
        </w:rPr>
        <w:t xml:space="preserve">MANUALES DE CONTRATACIÓN – Alcance – Límites – Obligatoriedad </w:t>
      </w:r>
    </w:p>
    <w:p w14:paraId="7F4053AA" w14:textId="2E391B71" w:rsidR="00BA0A7A" w:rsidRPr="00BA0A7A" w:rsidRDefault="00BA0A7A" w:rsidP="00BA0A7A">
      <w:pPr>
        <w:spacing w:line="276" w:lineRule="auto"/>
        <w:jc w:val="both"/>
        <w:rPr>
          <w:rFonts w:ascii="Verdana" w:eastAsia="Calibri" w:hAnsi="Verdana" w:cs="Arial"/>
          <w:sz w:val="20"/>
        </w:rPr>
      </w:pPr>
      <w:r w:rsidRPr="00BA0A7A">
        <w:rPr>
          <w:rFonts w:ascii="Verdana" w:hAnsi="Verdana"/>
          <w:color w:val="2D2D2D"/>
          <w:sz w:val="20"/>
        </w:rPr>
        <w:t>Teniendo claridad respecto a la posibilidad que determinadas entidades de derecho público, puedan establecer en sus manuales de contratación-como excepción al EGCAP,  procesos de selección con particularidades y determinadas tipologías contractuales propias de sus actividades, se encuentra la  naturaleza</w:t>
      </w:r>
      <w:r w:rsidRPr="00BA0A7A">
        <w:rPr>
          <w:rFonts w:ascii="Verdana" w:hAnsi="Verdana"/>
          <w:color w:val="2D2D2D"/>
          <w:sz w:val="20"/>
        </w:rPr>
        <w:t>. (…)</w:t>
      </w:r>
    </w:p>
    <w:p w14:paraId="5992D78F" w14:textId="77777777" w:rsidR="00BA0A7A" w:rsidRPr="00BA0A7A" w:rsidRDefault="00BA0A7A" w:rsidP="00BA0A7A">
      <w:pPr>
        <w:spacing w:line="276" w:lineRule="auto"/>
        <w:jc w:val="both"/>
        <w:rPr>
          <w:rFonts w:ascii="Verdana" w:eastAsia="Calibri" w:hAnsi="Verdana" w:cs="Arial"/>
          <w:b/>
          <w:lang w:val="es-ES" w:eastAsia="es-ES"/>
        </w:rPr>
      </w:pPr>
      <w:r w:rsidRPr="00BA0A7A">
        <w:rPr>
          <w:rFonts w:ascii="Verdana" w:eastAsia="Calibri" w:hAnsi="Verdana" w:cs="Arial"/>
          <w:b/>
          <w:lang w:val="es-ES" w:eastAsia="es-ES"/>
        </w:rPr>
        <w:t xml:space="preserve">ENTIDADES EXCEPTUADAS – Modalidades de selección </w:t>
      </w:r>
    </w:p>
    <w:p w14:paraId="36D20727" w14:textId="59BB55ED" w:rsidR="00BA0A7A" w:rsidRPr="00BA0A7A" w:rsidRDefault="00BA0A7A" w:rsidP="00BA0A7A">
      <w:pPr>
        <w:spacing w:line="276" w:lineRule="auto"/>
        <w:jc w:val="both"/>
        <w:rPr>
          <w:rFonts w:ascii="Verdana" w:eastAsia="Calibri" w:hAnsi="Verdana" w:cs="Arial"/>
          <w:sz w:val="20"/>
          <w:lang w:val="es-ES" w:eastAsia="es-ES"/>
        </w:rPr>
      </w:pPr>
      <w:r w:rsidRPr="00BA0A7A">
        <w:rPr>
          <w:rFonts w:ascii="Verdana" w:eastAsia="Calibri" w:hAnsi="Verdana" w:cs="Arial"/>
          <w:color w:val="000000" w:themeColor="text1"/>
          <w:sz w:val="20"/>
          <w:lang w:val="es-ES"/>
        </w:rPr>
        <w:t xml:space="preserve">En todo caso, es importante mencionar que, </w:t>
      </w:r>
      <w:r w:rsidRPr="00BA0A7A">
        <w:rPr>
          <w:rFonts w:ascii="Verdana" w:hAnsi="Verdana" w:cs="Arial"/>
          <w:bCs/>
          <w:sz w:val="20"/>
        </w:rPr>
        <w:t xml:space="preserve">las </w:t>
      </w:r>
      <w:r w:rsidRPr="00BA0A7A">
        <w:rPr>
          <w:rFonts w:ascii="Verdana" w:hAnsi="Verdana" w:cs="Arial"/>
          <w:bCs/>
          <w:i/>
          <w:iCs/>
          <w:sz w:val="20"/>
        </w:rPr>
        <w:t xml:space="preserve">entidades del régimen exceptuado </w:t>
      </w:r>
      <w:r w:rsidRPr="00BA0A7A">
        <w:rPr>
          <w:rFonts w:ascii="Verdana" w:hAnsi="Verdana" w:cs="Arial"/>
          <w:bCs/>
          <w:sz w:val="20"/>
        </w:rPr>
        <w:t xml:space="preserve">–a diferencia de aquellas </w:t>
      </w:r>
      <w:r w:rsidRPr="00BA0A7A">
        <w:rPr>
          <w:rFonts w:ascii="Verdana" w:hAnsi="Verdana" w:cs="Arial"/>
          <w:bCs/>
          <w:i/>
          <w:iCs/>
          <w:sz w:val="20"/>
        </w:rPr>
        <w:t>entidades sometidas a la Ley 80 de 1993</w:t>
      </w:r>
      <w:r w:rsidRPr="00BA0A7A">
        <w:rPr>
          <w:rFonts w:ascii="Verdana" w:hAnsi="Verdana" w:cs="Arial"/>
          <w:bCs/>
          <w:sz w:val="20"/>
        </w:rPr>
        <w:t>– son autónomas para determinar en sus manuales las modalidades de selección de oferentes aplicables para la contratación de los bienes y servicios que requieren.</w:t>
      </w:r>
    </w:p>
    <w:p w14:paraId="47FD3909" w14:textId="02DC5A11" w:rsidR="00BA0A7A" w:rsidRPr="00BA0A7A" w:rsidRDefault="00BA0A7A" w:rsidP="00BA0A7A">
      <w:pPr>
        <w:spacing w:line="276" w:lineRule="auto"/>
        <w:jc w:val="both"/>
        <w:rPr>
          <w:rFonts w:ascii="Verdana" w:eastAsia="Calibri" w:hAnsi="Verdana" w:cs="Arial"/>
          <w:b/>
          <w:lang w:val="es-ES_tradnl"/>
        </w:rPr>
      </w:pPr>
      <w:r w:rsidRPr="00BA0A7A">
        <w:rPr>
          <w:rFonts w:ascii="Verdana" w:eastAsia="Calibri" w:hAnsi="Verdana" w:cs="Arial"/>
          <w:b/>
          <w:lang w:val="es-ES" w:eastAsia="es-ES"/>
        </w:rPr>
        <w:t>ENTIDADES EXCEPTUADAS – Mecanismos de Agregación de demanda – Concurrencia de modalidades</w:t>
      </w:r>
      <w:r w:rsidRPr="00BA0A7A">
        <w:rPr>
          <w:rFonts w:ascii="Verdana" w:eastAsia="Calibri" w:hAnsi="Verdana" w:cs="Arial"/>
          <w:b/>
        </w:rPr>
        <w:t xml:space="preserve"> </w:t>
      </w:r>
    </w:p>
    <w:p w14:paraId="4A739BE4" w14:textId="77777777" w:rsidR="00BA0A7A" w:rsidRPr="00283203" w:rsidRDefault="00BA0A7A" w:rsidP="00BA0A7A">
      <w:pPr>
        <w:pStyle w:val="Prrafodelista"/>
        <w:tabs>
          <w:tab w:val="left" w:pos="426"/>
        </w:tabs>
        <w:spacing w:after="0" w:line="276" w:lineRule="auto"/>
        <w:ind w:left="0"/>
        <w:jc w:val="both"/>
        <w:rPr>
          <w:rFonts w:ascii="Verdana" w:eastAsia="Century Gothic" w:hAnsi="Verdana" w:cs="Century Gothic"/>
          <w:bCs/>
        </w:rPr>
      </w:pPr>
      <w:r w:rsidRPr="00BA0A7A">
        <w:rPr>
          <w:rFonts w:ascii="Verdana" w:eastAsia="Century Gothic" w:hAnsi="Verdana" w:cs="Century Gothic"/>
          <w:bCs/>
          <w:sz w:val="20"/>
        </w:rPr>
        <w:t xml:space="preserve">Sin embargo, en casos de concurrencia con otras modalidades de selección, esta posibilidad deberá ser esclarecida por la respectiva Entidad Estatal de conformidad con las reglas previstas en el respectivo manual, </w:t>
      </w:r>
      <w:r w:rsidRPr="00BA0A7A">
        <w:rPr>
          <w:rFonts w:ascii="Verdana" w:hAnsi="Verdana" w:cs="Arial"/>
          <w:bCs/>
          <w:sz w:val="20"/>
        </w:rPr>
        <w:t>el cual, en tanto acto administrativo se presume legal y tiene carácter ejecutorio, por lo que su contenido es de obligatorio cumplimiento para la entidad que lo expide mientras no haya sido anulado o suspendido provisionalmente por la jurisdicción contenciosa administrativa</w:t>
      </w:r>
      <w:r w:rsidRPr="00283203">
        <w:rPr>
          <w:rFonts w:ascii="Verdana" w:hAnsi="Verdana" w:cs="Arial"/>
          <w:bCs/>
        </w:rPr>
        <w:t>.</w:t>
      </w:r>
      <w:r w:rsidRPr="00283203">
        <w:rPr>
          <w:rFonts w:ascii="Verdana" w:eastAsia="Century Gothic" w:hAnsi="Verdana" w:cs="Century Gothic"/>
          <w:bCs/>
        </w:rPr>
        <w:t xml:space="preserve"> </w:t>
      </w:r>
    </w:p>
    <w:p w14:paraId="5DD82480" w14:textId="77777777" w:rsidR="00BA0A7A" w:rsidRDefault="00BA0A7A">
      <w:pPr>
        <w:rPr>
          <w:rFonts w:ascii="Verdana" w:eastAsia="Calibri" w:hAnsi="Verdana" w:cs="Times New Roman"/>
        </w:rPr>
      </w:pPr>
      <w:r>
        <w:rPr>
          <w:rFonts w:ascii="Verdana" w:eastAsia="Calibri" w:hAnsi="Verdana" w:cs="Times New Roman"/>
        </w:rPr>
        <w:br w:type="page"/>
      </w:r>
    </w:p>
    <w:p w14:paraId="63D6B627" w14:textId="6720BB33" w:rsidR="00050945" w:rsidRPr="00885EA6" w:rsidRDefault="00050945" w:rsidP="00050945">
      <w:pPr>
        <w:spacing w:after="0"/>
        <w:jc w:val="both"/>
        <w:rPr>
          <w:rFonts w:ascii="Verdana" w:hAnsi="Verdana"/>
          <w:lang w:val="es-MX"/>
        </w:rPr>
      </w:pPr>
      <w:r w:rsidRPr="00885EA6">
        <w:rPr>
          <w:rFonts w:ascii="Verdana" w:eastAsia="Calibri" w:hAnsi="Verdana" w:cs="Times New Roman"/>
        </w:rPr>
        <w:lastRenderedPageBreak/>
        <w:t xml:space="preserve">Bogotá D.C., </w:t>
      </w:r>
      <w:r w:rsidR="00BA6CB4">
        <w:rPr>
          <w:rFonts w:ascii="Verdana" w:eastAsia="Calibri" w:hAnsi="Verdana" w:cs="Times New Roman"/>
        </w:rPr>
        <w:t>17 Diciembre 2024</w:t>
      </w:r>
    </w:p>
    <w:p w14:paraId="3F16F313" w14:textId="19133EAF" w:rsidR="00050945" w:rsidRPr="00885EA6" w:rsidRDefault="00BA6CB4" w:rsidP="00BA6CB4">
      <w:pPr>
        <w:spacing w:after="0"/>
        <w:jc w:val="right"/>
        <w:rPr>
          <w:rFonts w:ascii="Verdana" w:hAnsi="Verdana"/>
          <w:lang w:val="es-MX"/>
        </w:rPr>
      </w:pPr>
      <w:r w:rsidRPr="00BA6CB4">
        <w:rPr>
          <w:rFonts w:ascii="Verdana" w:hAnsi="Verdana"/>
          <w:lang w:val="es-MX"/>
        </w:rPr>
        <w:drawing>
          <wp:inline distT="0" distB="0" distL="0" distR="0" wp14:anchorId="12589106" wp14:editId="0BE03B25">
            <wp:extent cx="2697060" cy="75186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7253" cy="754707"/>
                    </a:xfrm>
                    <a:prstGeom prst="rect">
                      <a:avLst/>
                    </a:prstGeom>
                  </pic:spPr>
                </pic:pic>
              </a:graphicData>
            </a:graphic>
          </wp:inline>
        </w:drawing>
      </w:r>
    </w:p>
    <w:p w14:paraId="6E77F1DF" w14:textId="29C83CC1" w:rsidR="00050945" w:rsidRPr="00885EA6" w:rsidRDefault="00050945" w:rsidP="00050945">
      <w:pPr>
        <w:spacing w:after="0"/>
        <w:jc w:val="both"/>
        <w:rPr>
          <w:rFonts w:ascii="Verdana" w:hAnsi="Verdana"/>
          <w:lang w:val="es-MX"/>
        </w:rPr>
      </w:pPr>
      <w:r w:rsidRPr="00885EA6">
        <w:rPr>
          <w:rFonts w:ascii="Verdana" w:hAnsi="Verdana"/>
          <w:lang w:val="es-MX"/>
        </w:rPr>
        <w:t>Señora</w:t>
      </w:r>
    </w:p>
    <w:p w14:paraId="0A86ED47" w14:textId="67583F15" w:rsidR="00050945" w:rsidRPr="00885EA6" w:rsidRDefault="00050945" w:rsidP="00050945">
      <w:pPr>
        <w:spacing w:after="0"/>
        <w:jc w:val="both"/>
        <w:rPr>
          <w:rFonts w:ascii="Verdana" w:hAnsi="Verdana"/>
        </w:rPr>
      </w:pPr>
      <w:r w:rsidRPr="00885EA6">
        <w:rPr>
          <w:rFonts w:ascii="Verdana" w:hAnsi="Verdana"/>
          <w:b/>
        </w:rPr>
        <w:t>Francy Paola Castro Bueno</w:t>
      </w:r>
      <w:r w:rsidRPr="00885EA6">
        <w:rPr>
          <w:rFonts w:ascii="Verdana" w:hAnsi="Verdana"/>
          <w:b/>
        </w:rPr>
        <w:tab/>
      </w:r>
      <w:r w:rsidRPr="00885EA6">
        <w:rPr>
          <w:rFonts w:ascii="Verdana" w:hAnsi="Verdana"/>
          <w:bCs/>
        </w:rPr>
        <w:br/>
      </w:r>
      <w:hyperlink r:id="rId12" w:history="1">
        <w:r w:rsidRPr="00885EA6">
          <w:rPr>
            <w:rStyle w:val="Hipervnculo"/>
            <w:rFonts w:ascii="Verdana" w:hAnsi="Verdana"/>
          </w:rPr>
          <w:t>francykbu@gmail.com</w:t>
        </w:r>
      </w:hyperlink>
    </w:p>
    <w:p w14:paraId="75497A9B" w14:textId="7FA571DE" w:rsidR="00050945" w:rsidRPr="00885EA6" w:rsidRDefault="00050945" w:rsidP="00050945">
      <w:pPr>
        <w:spacing w:after="0"/>
        <w:jc w:val="both"/>
        <w:rPr>
          <w:rFonts w:ascii="Verdana" w:hAnsi="Verdana"/>
        </w:rPr>
      </w:pPr>
      <w:r w:rsidRPr="00885EA6">
        <w:rPr>
          <w:rFonts w:ascii="Verdana" w:hAnsi="Verdana"/>
        </w:rPr>
        <w:t>Bogotá D.C</w:t>
      </w:r>
    </w:p>
    <w:p w14:paraId="1EF186E5" w14:textId="77777777" w:rsidR="00050945" w:rsidRPr="00885EA6" w:rsidRDefault="00050945" w:rsidP="00050945">
      <w:pPr>
        <w:spacing w:after="0"/>
        <w:jc w:val="both"/>
        <w:rPr>
          <w:rFonts w:ascii="Verdana" w:hAnsi="Verdana"/>
        </w:rPr>
      </w:pPr>
    </w:p>
    <w:p w14:paraId="32D0B8F6" w14:textId="091D1956" w:rsidR="00050945" w:rsidRPr="00885EA6" w:rsidRDefault="00050945" w:rsidP="00050945">
      <w:pPr>
        <w:spacing w:after="0" w:line="240" w:lineRule="auto"/>
        <w:ind w:left="2694"/>
        <w:jc w:val="both"/>
        <w:rPr>
          <w:rFonts w:ascii="Verdana" w:eastAsia="Calibri" w:hAnsi="Verdana" w:cs="Arial"/>
          <w:b/>
          <w:bCs/>
          <w:lang w:val="es-ES" w:eastAsia="es-ES"/>
        </w:rPr>
      </w:pPr>
      <w:r w:rsidRPr="00885EA6">
        <w:rPr>
          <w:rFonts w:ascii="Verdana" w:eastAsia="Calibri" w:hAnsi="Verdana" w:cs="Arial"/>
          <w:b/>
          <w:bCs/>
          <w:lang w:val="es-ES" w:eastAsia="es-ES"/>
        </w:rPr>
        <w:t>Concepto C–863 de 2024</w:t>
      </w:r>
    </w:p>
    <w:p w14:paraId="0C5490EF" w14:textId="77777777" w:rsidR="00050945" w:rsidRPr="00885EA6" w:rsidRDefault="00050945" w:rsidP="00050945">
      <w:pPr>
        <w:spacing w:after="0" w:line="240" w:lineRule="auto"/>
        <w:jc w:val="both"/>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5"/>
        <w:gridCol w:w="6241"/>
        <w:gridCol w:w="6237"/>
      </w:tblGrid>
      <w:tr w:rsidR="00050945" w:rsidRPr="00885EA6" w14:paraId="2D057812" w14:textId="77777777" w:rsidTr="00F80CB2">
        <w:trPr>
          <w:trHeight w:val="884"/>
        </w:trPr>
        <w:tc>
          <w:tcPr>
            <w:tcW w:w="2685" w:type="dxa"/>
            <w:hideMark/>
          </w:tcPr>
          <w:p w14:paraId="2348D2F4" w14:textId="77777777" w:rsidR="00050945" w:rsidRPr="00520EAF" w:rsidRDefault="00050945" w:rsidP="00F80CB2">
            <w:pPr>
              <w:jc w:val="both"/>
              <w:rPr>
                <w:rFonts w:ascii="Verdana" w:eastAsia="Calibri" w:hAnsi="Verdana" w:cs="Arial"/>
                <w:b/>
                <w:bCs/>
                <w:szCs w:val="24"/>
                <w:lang w:val="es-ES_tradnl" w:eastAsia="es-ES_tradnl"/>
              </w:rPr>
            </w:pPr>
            <w:r w:rsidRPr="00520EAF">
              <w:rPr>
                <w:rFonts w:ascii="Verdana" w:eastAsia="Calibri" w:hAnsi="Verdana" w:cs="Arial"/>
                <w:b/>
                <w:bCs/>
                <w:szCs w:val="24"/>
                <w:lang w:val="es-ES_tradnl" w:eastAsia="es-ES_tradnl"/>
              </w:rPr>
              <w:t xml:space="preserve">Temas:                   </w:t>
            </w:r>
          </w:p>
        </w:tc>
        <w:tc>
          <w:tcPr>
            <w:tcW w:w="6241" w:type="dxa"/>
            <w:hideMark/>
          </w:tcPr>
          <w:p w14:paraId="3BD1A1F9" w14:textId="01F2F5D9" w:rsidR="00050945" w:rsidRPr="00520EAF" w:rsidRDefault="007F2C5F" w:rsidP="00F80CB2">
            <w:pPr>
              <w:spacing w:line="276" w:lineRule="auto"/>
              <w:jc w:val="both"/>
              <w:rPr>
                <w:rFonts w:ascii="Verdana" w:eastAsia="Calibri" w:hAnsi="Verdana" w:cs="Arial"/>
                <w:lang w:val="es-ES_tradnl"/>
              </w:rPr>
            </w:pPr>
            <w:r>
              <w:rPr>
                <w:rFonts w:ascii="Verdana" w:eastAsia="Calibri" w:hAnsi="Verdana" w:cs="Arial"/>
                <w:lang w:val="es-ES" w:eastAsia="es-ES"/>
              </w:rPr>
              <w:t xml:space="preserve">ENTIDADES EXCEPTUADAS – Fundamento normativo / MANUALES DE CONTRATACIÓN – Alcance – Límites – Obligatoriedad </w:t>
            </w:r>
            <w:r>
              <w:rPr>
                <w:rFonts w:ascii="Verdana" w:eastAsia="Calibri" w:hAnsi="Verdana" w:cs="Arial"/>
              </w:rPr>
              <w:t xml:space="preserve">/ </w:t>
            </w:r>
            <w:r>
              <w:rPr>
                <w:rFonts w:ascii="Verdana" w:eastAsia="Calibri" w:hAnsi="Verdana" w:cs="Arial"/>
                <w:lang w:val="es-ES" w:eastAsia="es-ES"/>
              </w:rPr>
              <w:t>ENTIDADES EXCEPTUADAS – Modalid</w:t>
            </w:r>
            <w:r w:rsidR="000E5314">
              <w:rPr>
                <w:rFonts w:ascii="Verdana" w:eastAsia="Calibri" w:hAnsi="Verdana" w:cs="Arial"/>
                <w:lang w:val="es-ES" w:eastAsia="es-ES"/>
              </w:rPr>
              <w:t>ades de selección / ENTIDADES EXCEPTUADAS – Mecanismos de Agregación de demanda</w:t>
            </w:r>
            <w:r w:rsidR="00876BFC">
              <w:rPr>
                <w:rFonts w:ascii="Verdana" w:eastAsia="Calibri" w:hAnsi="Verdana" w:cs="Arial"/>
                <w:lang w:val="es-ES" w:eastAsia="es-ES"/>
              </w:rPr>
              <w:t xml:space="preserve"> – Concurrencia de modalidades</w:t>
            </w:r>
            <w:r w:rsidR="00520EAF">
              <w:rPr>
                <w:rFonts w:ascii="Verdana" w:eastAsia="Calibri" w:hAnsi="Verdana" w:cs="Arial"/>
              </w:rPr>
              <w:t xml:space="preserve"> </w:t>
            </w:r>
          </w:p>
          <w:p w14:paraId="743FA44C" w14:textId="77777777" w:rsidR="00050945" w:rsidRPr="00520EAF" w:rsidRDefault="00050945" w:rsidP="00F80CB2">
            <w:pPr>
              <w:spacing w:line="276" w:lineRule="auto"/>
              <w:jc w:val="both"/>
              <w:rPr>
                <w:rFonts w:ascii="Verdana" w:hAnsi="Verdana"/>
              </w:rPr>
            </w:pPr>
          </w:p>
        </w:tc>
        <w:tc>
          <w:tcPr>
            <w:tcW w:w="6237" w:type="dxa"/>
          </w:tcPr>
          <w:p w14:paraId="488EE574" w14:textId="53624F74" w:rsidR="00050945" w:rsidRPr="00885EA6" w:rsidRDefault="00050945" w:rsidP="00F80CB2">
            <w:pPr>
              <w:jc w:val="both"/>
              <w:rPr>
                <w:rFonts w:ascii="Verdana" w:hAnsi="Verdana" w:cs="Arial"/>
                <w:lang w:val="es-ES"/>
              </w:rPr>
            </w:pPr>
          </w:p>
        </w:tc>
      </w:tr>
      <w:tr w:rsidR="00050945" w:rsidRPr="00885EA6" w14:paraId="0A77C73B" w14:textId="77777777" w:rsidTr="00F80CB2">
        <w:tc>
          <w:tcPr>
            <w:tcW w:w="2685" w:type="dxa"/>
            <w:hideMark/>
          </w:tcPr>
          <w:p w14:paraId="45DC17B7" w14:textId="77777777" w:rsidR="00050945" w:rsidRPr="00885EA6" w:rsidRDefault="00050945" w:rsidP="00F80CB2">
            <w:pPr>
              <w:spacing w:before="120"/>
              <w:jc w:val="both"/>
              <w:rPr>
                <w:rFonts w:ascii="Verdana" w:eastAsia="Calibri" w:hAnsi="Verdana" w:cs="Arial"/>
                <w:b/>
                <w:bCs/>
                <w:szCs w:val="24"/>
                <w:lang w:val="es-ES_tradnl" w:eastAsia="es-ES_tradnl"/>
              </w:rPr>
            </w:pPr>
            <w:r w:rsidRPr="00885EA6">
              <w:rPr>
                <w:rFonts w:ascii="Verdana" w:eastAsia="Calibri" w:hAnsi="Verdana" w:cs="Arial"/>
                <w:b/>
                <w:bCs/>
                <w:szCs w:val="24"/>
                <w:lang w:val="es-ES_tradnl" w:eastAsia="es-ES_tradnl"/>
              </w:rPr>
              <w:t xml:space="preserve">Radicación:               </w:t>
            </w:r>
          </w:p>
        </w:tc>
        <w:tc>
          <w:tcPr>
            <w:tcW w:w="6241" w:type="dxa"/>
            <w:hideMark/>
          </w:tcPr>
          <w:p w14:paraId="2786A4C5" w14:textId="45DBC8D4" w:rsidR="00050945" w:rsidRPr="00885EA6" w:rsidRDefault="00050945" w:rsidP="00F80CB2">
            <w:pPr>
              <w:spacing w:before="120" w:line="276" w:lineRule="auto"/>
              <w:jc w:val="both"/>
              <w:rPr>
                <w:rFonts w:ascii="Verdana" w:eastAsia="Calibri" w:hAnsi="Verdana" w:cs="Arial"/>
                <w:szCs w:val="24"/>
                <w:lang w:val="es-ES_tradnl" w:eastAsia="es-ES_tradnl"/>
              </w:rPr>
            </w:pPr>
            <w:r w:rsidRPr="00885EA6">
              <w:rPr>
                <w:rFonts w:ascii="Verdana" w:eastAsia="Calibri" w:hAnsi="Verdana" w:cs="Arial"/>
                <w:szCs w:val="24"/>
                <w:lang w:val="es-ES_tradnl" w:eastAsia="es-ES_tradnl"/>
              </w:rPr>
              <w:t>Respuesta a consulta con radicado No. P20241114011435</w:t>
            </w:r>
          </w:p>
        </w:tc>
        <w:tc>
          <w:tcPr>
            <w:tcW w:w="6237" w:type="dxa"/>
          </w:tcPr>
          <w:p w14:paraId="736BD282" w14:textId="77777777" w:rsidR="00050945" w:rsidRPr="00885EA6" w:rsidRDefault="00050945" w:rsidP="00F80CB2">
            <w:pPr>
              <w:spacing w:before="120"/>
              <w:jc w:val="both"/>
              <w:rPr>
                <w:rFonts w:ascii="Verdana" w:eastAsia="Calibri" w:hAnsi="Verdana" w:cs="Arial"/>
                <w:szCs w:val="24"/>
                <w:lang w:val="es-ES_tradnl" w:eastAsia="es-ES_tradnl"/>
              </w:rPr>
            </w:pPr>
          </w:p>
        </w:tc>
      </w:tr>
    </w:tbl>
    <w:p w14:paraId="3022DB9B" w14:textId="77777777" w:rsidR="00050945" w:rsidRPr="00885EA6" w:rsidRDefault="00050945" w:rsidP="00050945">
      <w:pPr>
        <w:spacing w:after="0" w:line="240" w:lineRule="auto"/>
        <w:jc w:val="both"/>
        <w:rPr>
          <w:rFonts w:ascii="Verdana" w:eastAsia="Calibri" w:hAnsi="Verdana" w:cs="Arial"/>
          <w:szCs w:val="24"/>
          <w:lang w:val="es-ES_tradnl" w:eastAsia="es-ES_tradnl"/>
        </w:rPr>
      </w:pPr>
    </w:p>
    <w:p w14:paraId="444F937D" w14:textId="45894C7B" w:rsidR="00050945" w:rsidRPr="00885EA6" w:rsidRDefault="00050945" w:rsidP="00050945">
      <w:pPr>
        <w:spacing w:after="0" w:line="240" w:lineRule="auto"/>
        <w:jc w:val="both"/>
        <w:rPr>
          <w:rFonts w:ascii="Verdana" w:eastAsia="Calibri" w:hAnsi="Verdana" w:cs="Arial"/>
          <w:lang w:val="es-ES" w:eastAsia="es-ES"/>
        </w:rPr>
      </w:pPr>
      <w:r w:rsidRPr="00885EA6">
        <w:rPr>
          <w:rFonts w:ascii="Verdana" w:eastAsia="Calibri" w:hAnsi="Verdana" w:cs="Arial"/>
          <w:lang w:val="es-ES" w:eastAsia="es-ES"/>
        </w:rPr>
        <w:t xml:space="preserve">Estimada Francy Paola: </w:t>
      </w:r>
    </w:p>
    <w:p w14:paraId="3BD9F582" w14:textId="77777777" w:rsidR="00050945" w:rsidRPr="00885EA6" w:rsidRDefault="00050945" w:rsidP="00050945">
      <w:pPr>
        <w:spacing w:after="0" w:line="240" w:lineRule="auto"/>
        <w:jc w:val="both"/>
        <w:rPr>
          <w:rFonts w:ascii="Verdana" w:eastAsia="Calibri" w:hAnsi="Verdana" w:cs="Arial"/>
          <w:lang w:val="es-ES" w:eastAsia="es-ES"/>
        </w:rPr>
      </w:pPr>
    </w:p>
    <w:p w14:paraId="33AC4090" w14:textId="6263FBE1" w:rsidR="00050945" w:rsidRPr="00885EA6" w:rsidRDefault="00050945" w:rsidP="00050945">
      <w:pPr>
        <w:spacing w:after="120" w:line="276" w:lineRule="auto"/>
        <w:jc w:val="both"/>
        <w:rPr>
          <w:rFonts w:ascii="Verdana" w:eastAsia="Calibri" w:hAnsi="Verdana" w:cs="Arial"/>
          <w:lang w:val="es-ES" w:eastAsia="es-ES"/>
        </w:rPr>
      </w:pPr>
      <w:r w:rsidRPr="00885EA6">
        <w:rPr>
          <w:rFonts w:ascii="Verdana" w:eastAsia="Calibri" w:hAnsi="Verdana" w:cs="Arial"/>
          <w:lang w:val="es-ES" w:eastAsia="es-ES"/>
        </w:rPr>
        <w:t>En ejercicio de la competencia otorgada por los artículos 3, numeral 5º, y 11, numeral 8º, del Decreto Ley 4170 de 2011,</w:t>
      </w:r>
      <w:r w:rsidRPr="00885EA6">
        <w:rPr>
          <w:rFonts w:ascii="Verdana" w:eastAsia="Arial MT" w:hAnsi="Verdana" w:cs="Arial MT"/>
          <w:lang w:val="es-ES" w:eastAsia="es-ES"/>
        </w:rPr>
        <w:t xml:space="preserve"> </w:t>
      </w:r>
      <w:r w:rsidRPr="00885EA6">
        <w:rPr>
          <w:rFonts w:ascii="Verdana" w:eastAsia="Calibri" w:hAnsi="Verdana" w:cs="Arial"/>
          <w:lang w:val="es-ES" w:eastAsia="es-ES"/>
        </w:rPr>
        <w:t>la Agencia Nacional de Contratación Pública – Colombia Compra Eficiente– responde la solicitud de consulta del 14 de noviembre de 2024. En la cual manifiesta lo siguiente:</w:t>
      </w:r>
    </w:p>
    <w:p w14:paraId="7235A0F6" w14:textId="77777777" w:rsidR="00050945" w:rsidRPr="00885EA6" w:rsidRDefault="00050945" w:rsidP="00050945">
      <w:pPr>
        <w:spacing w:after="0" w:line="240" w:lineRule="auto"/>
        <w:ind w:left="709" w:right="709"/>
        <w:jc w:val="both"/>
        <w:rPr>
          <w:rFonts w:ascii="Verdana" w:eastAsia="Calibri" w:hAnsi="Verdana" w:cs="Arial"/>
          <w:sz w:val="20"/>
          <w:szCs w:val="20"/>
          <w:lang w:val="es-ES" w:eastAsia="es-ES"/>
        </w:rPr>
      </w:pPr>
    </w:p>
    <w:p w14:paraId="16B20C9C" w14:textId="043C2E90" w:rsidR="00050945" w:rsidRPr="00885EA6" w:rsidRDefault="00050945" w:rsidP="00050945">
      <w:pPr>
        <w:spacing w:after="0" w:line="240" w:lineRule="auto"/>
        <w:ind w:left="709" w:right="709"/>
        <w:jc w:val="both"/>
        <w:rPr>
          <w:rFonts w:ascii="Verdana" w:eastAsia="Calibri" w:hAnsi="Verdana" w:cs="Arial"/>
          <w:sz w:val="20"/>
          <w:szCs w:val="20"/>
          <w:lang w:val="es-ES" w:eastAsia="es-ES"/>
        </w:rPr>
      </w:pPr>
      <w:r w:rsidRPr="00885EA6">
        <w:rPr>
          <w:rFonts w:ascii="Verdana" w:eastAsia="Calibri" w:hAnsi="Verdana" w:cs="Arial"/>
          <w:sz w:val="20"/>
          <w:szCs w:val="20"/>
          <w:lang w:val="es-ES" w:eastAsia="es-ES"/>
        </w:rPr>
        <w:t xml:space="preserve"> “(…) Fiduprevisora S.A. es una sociedad de economía mixta del sector descentralizado del orden nacional, sometida al régimen de Empresa Industrial y Comercial del Estado, cuenta con su propio manual de contratación (ML-GAD-01-003) donde establece, entre otros, su propio procedimiento de selección de mínima cuantía, así: "adquisición de bienes y/o servicios cuya cuantía sea inferior o igual a los 20 SMLMV. (...) se requerirá realizar una comparación entre mínimo 3 ofertas o cotizaciones, debiendo seleccionar la mejor, según el precio ofrecido". La mínima cuantía citada no corresponde a la establecida en el EGCAP. </w:t>
      </w:r>
      <w:bookmarkStart w:id="0" w:name="_Hlk184903488"/>
      <w:r w:rsidRPr="00885EA6">
        <w:rPr>
          <w:rFonts w:ascii="Verdana" w:eastAsia="Calibri" w:hAnsi="Verdana" w:cs="Arial"/>
          <w:sz w:val="20"/>
          <w:szCs w:val="20"/>
          <w:lang w:val="es-ES" w:eastAsia="es-ES"/>
        </w:rPr>
        <w:t xml:space="preserve">En caso de presentarse concurrencia entre la selección abreviada por acuerdo marco de precios y mínima cuantía, ¿le es dable a Fiduprevisora, en virtud de la </w:t>
      </w:r>
      <w:r w:rsidRPr="00885EA6">
        <w:rPr>
          <w:rFonts w:ascii="Verdana" w:eastAsia="Calibri" w:hAnsi="Verdana" w:cs="Arial"/>
          <w:sz w:val="20"/>
          <w:szCs w:val="20"/>
          <w:lang w:val="es-ES" w:eastAsia="es-ES"/>
        </w:rPr>
        <w:lastRenderedPageBreak/>
        <w:t>expedición de la Ley 2069 de 2020, aplicar la Mínima Cuantía establecida en su propio manual de contratación</w:t>
      </w:r>
      <w:bookmarkEnd w:id="0"/>
      <w:r w:rsidRPr="00885EA6">
        <w:rPr>
          <w:rFonts w:ascii="Verdana" w:eastAsia="Calibri" w:hAnsi="Verdana" w:cs="Arial"/>
          <w:sz w:val="20"/>
          <w:szCs w:val="20"/>
          <w:lang w:val="es-ES" w:eastAsia="es-ES"/>
        </w:rPr>
        <w:t>? (…)</w:t>
      </w:r>
      <w:r w:rsidR="00D25DFD">
        <w:rPr>
          <w:rFonts w:ascii="Verdana" w:eastAsia="Calibri" w:hAnsi="Verdana" w:cs="Arial"/>
          <w:sz w:val="20"/>
          <w:szCs w:val="20"/>
          <w:lang w:val="es-ES" w:eastAsia="es-ES"/>
        </w:rPr>
        <w:t xml:space="preserve">”. </w:t>
      </w:r>
    </w:p>
    <w:p w14:paraId="479A6A27" w14:textId="77777777" w:rsidR="00050945" w:rsidRPr="00885EA6" w:rsidRDefault="00050945" w:rsidP="00050945">
      <w:pPr>
        <w:spacing w:after="0" w:line="240" w:lineRule="auto"/>
        <w:ind w:left="709" w:right="709"/>
        <w:jc w:val="both"/>
        <w:rPr>
          <w:rFonts w:ascii="Verdana" w:eastAsia="Calibri" w:hAnsi="Verdana" w:cs="Arial"/>
          <w:sz w:val="20"/>
          <w:szCs w:val="20"/>
          <w:lang w:val="es-ES" w:eastAsia="es-ES"/>
        </w:rPr>
      </w:pPr>
    </w:p>
    <w:p w14:paraId="09E73DD4" w14:textId="77777777" w:rsidR="00050945" w:rsidRPr="00885EA6" w:rsidRDefault="00050945" w:rsidP="00050945">
      <w:pPr>
        <w:spacing w:after="120" w:line="276" w:lineRule="auto"/>
        <w:jc w:val="both"/>
        <w:rPr>
          <w:rFonts w:ascii="Verdana" w:eastAsia="Calibri" w:hAnsi="Verdana" w:cs="Arial"/>
          <w:lang w:val="es-ES" w:eastAsia="es-ES"/>
        </w:rPr>
      </w:pPr>
      <w:r w:rsidRPr="00885EA6">
        <w:rPr>
          <w:rFonts w:ascii="Verdana" w:eastAsia="Calibri" w:hAnsi="Verdana" w:cs="Arial"/>
          <w:lang w:val="es-ES_tradnl" w:eastAsia="es-ES_tradnl"/>
        </w:rPr>
        <w:tab/>
      </w:r>
      <w:r w:rsidRPr="00885EA6">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a determinar grados de responsabilidad por las actuaciones de los diferentes participes del sistema de compra pública.</w:t>
      </w:r>
    </w:p>
    <w:p w14:paraId="073B9176" w14:textId="77777777" w:rsidR="00050945" w:rsidRPr="00885EA6" w:rsidRDefault="00050945" w:rsidP="00050945">
      <w:pPr>
        <w:spacing w:after="0" w:line="276" w:lineRule="auto"/>
        <w:jc w:val="both"/>
        <w:rPr>
          <w:rFonts w:ascii="Verdana" w:eastAsia="Calibri" w:hAnsi="Verdana" w:cs="Arial"/>
          <w:lang w:val="es-ES" w:eastAsia="es-ES"/>
        </w:rPr>
      </w:pPr>
      <w:r w:rsidRPr="00885EA6">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13480C20" w14:textId="77777777" w:rsidR="00050945" w:rsidRPr="00885EA6" w:rsidRDefault="00050945" w:rsidP="00050945">
      <w:pPr>
        <w:spacing w:after="0" w:line="276" w:lineRule="auto"/>
        <w:jc w:val="both"/>
        <w:rPr>
          <w:rFonts w:ascii="Verdana" w:eastAsia="Calibri" w:hAnsi="Verdana" w:cs="Arial"/>
          <w:lang w:val="es-ES" w:eastAsia="es-ES"/>
        </w:rPr>
      </w:pPr>
    </w:p>
    <w:p w14:paraId="4E05DA33" w14:textId="77777777" w:rsidR="00050945" w:rsidRPr="00885EA6" w:rsidRDefault="00050945" w:rsidP="0005094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5EA6">
        <w:rPr>
          <w:rFonts w:ascii="Verdana" w:eastAsia="Century Gothic" w:hAnsi="Verdana" w:cs="Century Gothic"/>
          <w:b/>
          <w:bCs/>
        </w:rPr>
        <w:t>Problema planteado:</w:t>
      </w:r>
    </w:p>
    <w:p w14:paraId="5190C7AB" w14:textId="77777777" w:rsidR="00050945" w:rsidRPr="00885EA6" w:rsidRDefault="00050945" w:rsidP="00050945">
      <w:pPr>
        <w:spacing w:after="0" w:line="240" w:lineRule="auto"/>
        <w:jc w:val="both"/>
        <w:rPr>
          <w:rFonts w:ascii="Verdana" w:eastAsia="Century Gothic" w:hAnsi="Verdana" w:cs="Century Gothic"/>
        </w:rPr>
      </w:pPr>
    </w:p>
    <w:p w14:paraId="3A48CF9A" w14:textId="62D2795D" w:rsidR="00050945" w:rsidRPr="00283203" w:rsidRDefault="00050945" w:rsidP="00050945">
      <w:pPr>
        <w:spacing w:after="0" w:line="276" w:lineRule="auto"/>
        <w:jc w:val="both"/>
        <w:rPr>
          <w:rFonts w:ascii="Verdana" w:hAnsi="Verdana"/>
        </w:rPr>
      </w:pPr>
      <w:r w:rsidRPr="00885EA6">
        <w:rPr>
          <w:rFonts w:ascii="Verdana" w:eastAsia="Century Gothic" w:hAnsi="Verdana" w:cs="Century Gothic"/>
        </w:rPr>
        <w:t xml:space="preserve">De acuerdo con el contenido de sus </w:t>
      </w:r>
      <w:r w:rsidRPr="00283203">
        <w:rPr>
          <w:rFonts w:ascii="Verdana" w:eastAsia="Century Gothic" w:hAnsi="Verdana" w:cs="Century Gothic"/>
        </w:rPr>
        <w:t xml:space="preserve">solicitudes y que versan sobre la modalidad de licitación pública, esta Agencia resolverá </w:t>
      </w:r>
      <w:r w:rsidR="00716C75" w:rsidRPr="00283203">
        <w:rPr>
          <w:rFonts w:ascii="Verdana" w:eastAsia="Century Gothic" w:hAnsi="Verdana" w:cs="Century Gothic"/>
        </w:rPr>
        <w:t xml:space="preserve">el siguiente problema </w:t>
      </w:r>
      <w:r w:rsidR="00E25689" w:rsidRPr="00283203">
        <w:rPr>
          <w:rFonts w:ascii="Verdana" w:eastAsia="Century Gothic" w:hAnsi="Verdana" w:cs="Century Gothic"/>
        </w:rPr>
        <w:t>jurídico</w:t>
      </w:r>
      <w:r w:rsidR="00585E25" w:rsidRPr="00283203">
        <w:rPr>
          <w:rFonts w:ascii="Verdana" w:eastAsia="Century Gothic" w:hAnsi="Verdana" w:cs="Century Gothic"/>
        </w:rPr>
        <w:t xml:space="preserve"> </w:t>
      </w:r>
      <w:r w:rsidR="003A5C26" w:rsidRPr="00283203">
        <w:rPr>
          <w:rFonts w:ascii="Verdana" w:eastAsia="Century Gothic" w:hAnsi="Verdana" w:cs="Century Gothic"/>
        </w:rPr>
        <w:t>¿</w:t>
      </w:r>
      <w:r w:rsidR="001F334F" w:rsidRPr="00283203">
        <w:rPr>
          <w:rFonts w:ascii="Verdana" w:eastAsia="Century Gothic" w:hAnsi="Verdana" w:cs="Century Gothic"/>
        </w:rPr>
        <w:t xml:space="preserve">las </w:t>
      </w:r>
      <w:r w:rsidR="00876BFC" w:rsidRPr="00283203">
        <w:rPr>
          <w:rFonts w:ascii="Verdana" w:eastAsia="Century Gothic" w:hAnsi="Verdana" w:cs="Century Gothic"/>
        </w:rPr>
        <w:t>Entidades</w:t>
      </w:r>
      <w:r w:rsidR="001F334F" w:rsidRPr="00283203">
        <w:rPr>
          <w:rFonts w:ascii="Verdana" w:eastAsia="Century Gothic" w:hAnsi="Verdana" w:cs="Century Gothic"/>
        </w:rPr>
        <w:t xml:space="preserve"> con un régimen exceptuado al E</w:t>
      </w:r>
      <w:r w:rsidR="00D25DFD" w:rsidRPr="00283203">
        <w:rPr>
          <w:rFonts w:ascii="Verdana" w:eastAsia="Century Gothic" w:hAnsi="Verdana" w:cs="Century Gothic"/>
        </w:rPr>
        <w:t xml:space="preserve">statuto </w:t>
      </w:r>
      <w:r w:rsidR="001F334F" w:rsidRPr="00283203">
        <w:rPr>
          <w:rFonts w:ascii="Verdana" w:eastAsia="Century Gothic" w:hAnsi="Verdana" w:cs="Century Gothic"/>
        </w:rPr>
        <w:t>G</w:t>
      </w:r>
      <w:r w:rsidR="00D25DFD" w:rsidRPr="00283203">
        <w:rPr>
          <w:rFonts w:ascii="Verdana" w:eastAsia="Century Gothic" w:hAnsi="Verdana" w:cs="Century Gothic"/>
        </w:rPr>
        <w:t xml:space="preserve">eneral de </w:t>
      </w:r>
      <w:r w:rsidR="001F334F" w:rsidRPr="00283203">
        <w:rPr>
          <w:rFonts w:ascii="Verdana" w:eastAsia="Century Gothic" w:hAnsi="Verdana" w:cs="Century Gothic"/>
        </w:rPr>
        <w:t>C</w:t>
      </w:r>
      <w:r w:rsidR="00D25DFD" w:rsidRPr="00283203">
        <w:rPr>
          <w:rFonts w:ascii="Verdana" w:eastAsia="Century Gothic" w:hAnsi="Verdana" w:cs="Century Gothic"/>
        </w:rPr>
        <w:t xml:space="preserve">ontratación de la </w:t>
      </w:r>
      <w:r w:rsidR="001F334F" w:rsidRPr="00283203">
        <w:rPr>
          <w:rFonts w:ascii="Verdana" w:eastAsia="Century Gothic" w:hAnsi="Verdana" w:cs="Century Gothic"/>
        </w:rPr>
        <w:t>A</w:t>
      </w:r>
      <w:r w:rsidR="00D25DFD" w:rsidRPr="00283203">
        <w:rPr>
          <w:rFonts w:ascii="Verdana" w:eastAsia="Century Gothic" w:hAnsi="Verdana" w:cs="Century Gothic"/>
        </w:rPr>
        <w:t xml:space="preserve">dministración </w:t>
      </w:r>
      <w:r w:rsidR="001F334F" w:rsidRPr="00283203">
        <w:rPr>
          <w:rFonts w:ascii="Verdana" w:eastAsia="Century Gothic" w:hAnsi="Verdana" w:cs="Century Gothic"/>
        </w:rPr>
        <w:t>P</w:t>
      </w:r>
      <w:r w:rsidR="00D25DFD" w:rsidRPr="00283203">
        <w:rPr>
          <w:rFonts w:ascii="Verdana" w:eastAsia="Century Gothic" w:hAnsi="Verdana" w:cs="Century Gothic"/>
        </w:rPr>
        <w:t>ública</w:t>
      </w:r>
      <w:r w:rsidR="001F334F" w:rsidRPr="00283203">
        <w:rPr>
          <w:rFonts w:ascii="Verdana" w:eastAsia="Century Gothic" w:hAnsi="Verdana" w:cs="Century Gothic"/>
        </w:rPr>
        <w:t xml:space="preserve"> pueden acudir a los </w:t>
      </w:r>
      <w:r w:rsidR="000E5314" w:rsidRPr="00283203">
        <w:rPr>
          <w:rFonts w:ascii="Verdana" w:eastAsia="Century Gothic" w:hAnsi="Verdana" w:cs="Century Gothic"/>
        </w:rPr>
        <w:t>Mecanismos de Agregación de Demanda</w:t>
      </w:r>
      <w:r w:rsidR="001F334F" w:rsidRPr="00283203">
        <w:rPr>
          <w:rFonts w:ascii="Verdana" w:eastAsia="Century Gothic" w:hAnsi="Verdana" w:cs="Century Gothic"/>
        </w:rPr>
        <w:t xml:space="preserve"> administrados por la Agencia</w:t>
      </w:r>
      <w:r w:rsidR="000E5314" w:rsidRPr="00283203">
        <w:rPr>
          <w:rFonts w:ascii="Verdana" w:eastAsia="Century Gothic" w:hAnsi="Verdana" w:cs="Century Gothic"/>
        </w:rPr>
        <w:t xml:space="preserve"> en casos en concurrencia con otras modalidades de selección previstas en sus manuales de contratación</w:t>
      </w:r>
      <w:r w:rsidR="00585E25" w:rsidRPr="00283203">
        <w:rPr>
          <w:rFonts w:ascii="Verdana" w:eastAsia="Century Gothic" w:hAnsi="Verdana" w:cs="Century Gothic"/>
        </w:rPr>
        <w:t>?</w:t>
      </w:r>
    </w:p>
    <w:p w14:paraId="165110AD" w14:textId="77777777" w:rsidR="00050945" w:rsidRPr="00283203" w:rsidRDefault="00050945" w:rsidP="00050945">
      <w:pPr>
        <w:spacing w:after="0" w:line="276" w:lineRule="auto"/>
        <w:jc w:val="both"/>
        <w:rPr>
          <w:rFonts w:ascii="Verdana" w:eastAsia="Century Gothic" w:hAnsi="Verdana" w:cs="Century Gothic"/>
        </w:rPr>
      </w:pPr>
    </w:p>
    <w:p w14:paraId="08B74FC1" w14:textId="2CFBAB45" w:rsidR="003A5C26" w:rsidRPr="00283203" w:rsidRDefault="00050945" w:rsidP="003A5C26">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Respuesta:</w:t>
      </w:r>
    </w:p>
    <w:p w14:paraId="4DE64351" w14:textId="59D1B194" w:rsidR="003A5C26" w:rsidRPr="00283203" w:rsidRDefault="003A5C26" w:rsidP="003A5C26">
      <w:pPr>
        <w:pStyle w:val="Prrafodelista"/>
        <w:tabs>
          <w:tab w:val="left" w:pos="142"/>
          <w:tab w:val="left" w:pos="284"/>
        </w:tabs>
        <w:spacing w:after="0" w:line="276" w:lineRule="auto"/>
        <w:ind w:left="0"/>
        <w:jc w:val="both"/>
        <w:rPr>
          <w:rFonts w:ascii="Verdana" w:eastAsia="Century Gothic" w:hAnsi="Verdana" w:cs="Century Gothic"/>
          <w:b/>
          <w:bCs/>
        </w:rPr>
      </w:pPr>
    </w:p>
    <w:p w14:paraId="69649BD6" w14:textId="26926EC8" w:rsidR="00716C75" w:rsidRPr="00283203" w:rsidRDefault="00716C75" w:rsidP="00716C75">
      <w:pPr>
        <w:pStyle w:val="Prrafodelista"/>
        <w:tabs>
          <w:tab w:val="left" w:pos="426"/>
        </w:tabs>
        <w:spacing w:after="0" w:line="276" w:lineRule="auto"/>
        <w:ind w:left="0"/>
        <w:jc w:val="both"/>
        <w:rPr>
          <w:rFonts w:ascii="Verdana" w:eastAsia="Century Gothic" w:hAnsi="Verdana" w:cs="Century Gothic"/>
          <w:bCs/>
        </w:rPr>
      </w:pPr>
      <w:r w:rsidRPr="00283203">
        <w:rPr>
          <w:rFonts w:ascii="Verdana" w:eastAsia="Century Gothic" w:hAnsi="Verdana" w:cs="Century Gothic"/>
          <w:bCs/>
        </w:rPr>
        <w:t xml:space="preserve">Respecto al </w:t>
      </w:r>
      <w:r w:rsidRPr="00283203">
        <w:rPr>
          <w:rFonts w:ascii="Verdana" w:eastAsia="Century Gothic" w:hAnsi="Verdana" w:cs="Century Gothic"/>
          <w:bCs/>
          <w:i/>
        </w:rPr>
        <w:t>interrogante</w:t>
      </w:r>
      <w:r w:rsidRPr="00283203">
        <w:rPr>
          <w:rFonts w:ascii="Verdana" w:eastAsia="Century Gothic" w:hAnsi="Verdana" w:cs="Century Gothic"/>
          <w:bCs/>
        </w:rPr>
        <w:t xml:space="preserve">, se aclara que las </w:t>
      </w:r>
      <w:r w:rsidR="000E5314" w:rsidRPr="00283203">
        <w:rPr>
          <w:rFonts w:ascii="Verdana" w:eastAsia="Century Gothic" w:hAnsi="Verdana" w:cs="Century Gothic"/>
          <w:bCs/>
        </w:rPr>
        <w:t>Entidades Estatales</w:t>
      </w:r>
      <w:r w:rsidRPr="00283203">
        <w:rPr>
          <w:rFonts w:ascii="Verdana" w:eastAsia="Century Gothic" w:hAnsi="Verdana" w:cs="Century Gothic"/>
          <w:bCs/>
        </w:rPr>
        <w:t xml:space="preserve"> que cuenten con un régimen especial-exceptuado al EGCAP-pueden acudir a los </w:t>
      </w:r>
      <w:r w:rsidR="000E5314" w:rsidRPr="00283203">
        <w:rPr>
          <w:rFonts w:ascii="Verdana" w:eastAsia="Century Gothic" w:hAnsi="Verdana" w:cs="Century Gothic"/>
          <w:bCs/>
        </w:rPr>
        <w:t>Mecanismos de Agregación de Demanda</w:t>
      </w:r>
      <w:r w:rsidRPr="00283203">
        <w:rPr>
          <w:rFonts w:ascii="Verdana" w:eastAsia="Century Gothic" w:hAnsi="Verdana" w:cs="Century Gothic"/>
          <w:bCs/>
        </w:rPr>
        <w:t xml:space="preserve"> administrados por la Agencia, siempre y cuando el </w:t>
      </w:r>
      <w:r w:rsidR="000E5314" w:rsidRPr="00283203">
        <w:rPr>
          <w:rFonts w:ascii="Verdana" w:eastAsia="Century Gothic" w:hAnsi="Verdana" w:cs="Century Gothic"/>
          <w:bCs/>
        </w:rPr>
        <w:t>m</w:t>
      </w:r>
      <w:r w:rsidRPr="00283203">
        <w:rPr>
          <w:rFonts w:ascii="Verdana" w:eastAsia="Century Gothic" w:hAnsi="Verdana" w:cs="Century Gothic"/>
          <w:bCs/>
        </w:rPr>
        <w:t xml:space="preserve">anual de </w:t>
      </w:r>
      <w:r w:rsidR="000E5314" w:rsidRPr="00283203">
        <w:rPr>
          <w:rFonts w:ascii="Verdana" w:eastAsia="Century Gothic" w:hAnsi="Verdana" w:cs="Century Gothic"/>
          <w:bCs/>
        </w:rPr>
        <w:t>c</w:t>
      </w:r>
      <w:r w:rsidRPr="00283203">
        <w:rPr>
          <w:rFonts w:ascii="Verdana" w:eastAsia="Century Gothic" w:hAnsi="Verdana" w:cs="Century Gothic"/>
          <w:bCs/>
        </w:rPr>
        <w:t xml:space="preserve">ontratación de dicha entidad, establezcan la posibilidad de acudir a </w:t>
      </w:r>
      <w:r w:rsidR="00DA4268" w:rsidRPr="00283203">
        <w:rPr>
          <w:rFonts w:ascii="Verdana" w:eastAsia="Century Gothic" w:hAnsi="Verdana" w:cs="Century Gothic"/>
          <w:bCs/>
        </w:rPr>
        <w:lastRenderedPageBreak/>
        <w:t xml:space="preserve">dichos mecanismos. Sin embargo, en casos de concurrencia con otras modalidades </w:t>
      </w:r>
      <w:r w:rsidR="007A00E8" w:rsidRPr="00283203">
        <w:rPr>
          <w:rFonts w:ascii="Verdana" w:eastAsia="Century Gothic" w:hAnsi="Verdana" w:cs="Century Gothic"/>
          <w:bCs/>
        </w:rPr>
        <w:t>de selección</w:t>
      </w:r>
      <w:r w:rsidR="008123E4" w:rsidRPr="00283203">
        <w:rPr>
          <w:rFonts w:ascii="Verdana" w:eastAsia="Century Gothic" w:hAnsi="Verdana" w:cs="Century Gothic"/>
          <w:bCs/>
        </w:rPr>
        <w:t>, esta posibilidad</w:t>
      </w:r>
      <w:r w:rsidR="007A00E8" w:rsidRPr="00283203">
        <w:rPr>
          <w:rFonts w:ascii="Verdana" w:eastAsia="Century Gothic" w:hAnsi="Verdana" w:cs="Century Gothic"/>
          <w:bCs/>
        </w:rPr>
        <w:t xml:space="preserve"> deberá ser esclarecida por la respectiva Entidad Estatal </w:t>
      </w:r>
      <w:r w:rsidR="004C187A" w:rsidRPr="00283203">
        <w:rPr>
          <w:rFonts w:ascii="Verdana" w:eastAsia="Century Gothic" w:hAnsi="Verdana" w:cs="Century Gothic"/>
          <w:bCs/>
        </w:rPr>
        <w:t>de conformidad con las reglas previstas en el</w:t>
      </w:r>
      <w:r w:rsidR="008123E4" w:rsidRPr="00283203">
        <w:rPr>
          <w:rFonts w:ascii="Verdana" w:eastAsia="Century Gothic" w:hAnsi="Verdana" w:cs="Century Gothic"/>
          <w:bCs/>
        </w:rPr>
        <w:t xml:space="preserve"> respectivo</w:t>
      </w:r>
      <w:r w:rsidR="004C187A" w:rsidRPr="00283203">
        <w:rPr>
          <w:rFonts w:ascii="Verdana" w:eastAsia="Century Gothic" w:hAnsi="Verdana" w:cs="Century Gothic"/>
          <w:bCs/>
        </w:rPr>
        <w:t xml:space="preserve"> </w:t>
      </w:r>
      <w:r w:rsidR="008123E4" w:rsidRPr="00283203">
        <w:rPr>
          <w:rFonts w:ascii="Verdana" w:eastAsia="Century Gothic" w:hAnsi="Verdana" w:cs="Century Gothic"/>
          <w:bCs/>
        </w:rPr>
        <w:t xml:space="preserve">manual, </w:t>
      </w:r>
      <w:r w:rsidR="00876BFC" w:rsidRPr="00283203">
        <w:rPr>
          <w:rFonts w:ascii="Verdana" w:hAnsi="Verdana" w:cs="Arial"/>
          <w:bCs/>
        </w:rPr>
        <w:t xml:space="preserve">el cual, en tanto </w:t>
      </w:r>
      <w:r w:rsidR="008123E4" w:rsidRPr="00283203">
        <w:rPr>
          <w:rFonts w:ascii="Verdana" w:hAnsi="Verdana" w:cs="Arial"/>
          <w:bCs/>
        </w:rPr>
        <w:t xml:space="preserve">acto administrativo se presume legal y tiene carácter ejecutorio, </w:t>
      </w:r>
      <w:r w:rsidR="00876BFC" w:rsidRPr="00283203">
        <w:rPr>
          <w:rFonts w:ascii="Verdana" w:hAnsi="Verdana" w:cs="Arial"/>
          <w:bCs/>
        </w:rPr>
        <w:t xml:space="preserve">por lo que </w:t>
      </w:r>
      <w:r w:rsidR="008123E4" w:rsidRPr="00283203">
        <w:rPr>
          <w:rFonts w:ascii="Verdana" w:hAnsi="Verdana" w:cs="Arial"/>
          <w:bCs/>
        </w:rPr>
        <w:t>su contenido es de obligatorio cumplimiento para la</w:t>
      </w:r>
      <w:r w:rsidR="00876BFC" w:rsidRPr="00283203">
        <w:rPr>
          <w:rFonts w:ascii="Verdana" w:hAnsi="Verdana" w:cs="Arial"/>
          <w:bCs/>
        </w:rPr>
        <w:t xml:space="preserve"> </w:t>
      </w:r>
      <w:r w:rsidR="008123E4" w:rsidRPr="00283203">
        <w:rPr>
          <w:rFonts w:ascii="Verdana" w:hAnsi="Verdana" w:cs="Arial"/>
          <w:bCs/>
        </w:rPr>
        <w:t>entidad que l</w:t>
      </w:r>
      <w:r w:rsidR="00876BFC" w:rsidRPr="00283203">
        <w:rPr>
          <w:rFonts w:ascii="Verdana" w:hAnsi="Verdana" w:cs="Arial"/>
          <w:bCs/>
        </w:rPr>
        <w:t>o</w:t>
      </w:r>
      <w:r w:rsidR="008123E4" w:rsidRPr="00283203">
        <w:rPr>
          <w:rFonts w:ascii="Verdana" w:hAnsi="Verdana" w:cs="Arial"/>
          <w:bCs/>
        </w:rPr>
        <w:t xml:space="preserve"> expide mientra</w:t>
      </w:r>
      <w:r w:rsidR="00876BFC" w:rsidRPr="00283203">
        <w:rPr>
          <w:rFonts w:ascii="Verdana" w:hAnsi="Verdana" w:cs="Arial"/>
          <w:bCs/>
        </w:rPr>
        <w:t>s</w:t>
      </w:r>
      <w:r w:rsidR="008123E4" w:rsidRPr="00283203">
        <w:rPr>
          <w:rFonts w:ascii="Verdana" w:hAnsi="Verdana" w:cs="Arial"/>
          <w:bCs/>
        </w:rPr>
        <w:t xml:space="preserve"> no haya sido anulado o suspendido provisionalmente por la jurisdicción contenciosa administrativa</w:t>
      </w:r>
      <w:r w:rsidR="00876BFC" w:rsidRPr="00283203">
        <w:rPr>
          <w:rFonts w:ascii="Verdana" w:hAnsi="Verdana" w:cs="Arial"/>
          <w:bCs/>
        </w:rPr>
        <w:t>.</w:t>
      </w:r>
      <w:r w:rsidRPr="00283203">
        <w:rPr>
          <w:rFonts w:ascii="Verdana" w:eastAsia="Century Gothic" w:hAnsi="Verdana" w:cs="Century Gothic"/>
          <w:bCs/>
        </w:rPr>
        <w:t xml:space="preserve"> </w:t>
      </w:r>
    </w:p>
    <w:p w14:paraId="47A44346" w14:textId="77777777" w:rsidR="00716C75" w:rsidRPr="00283203" w:rsidRDefault="00716C75" w:rsidP="00050945">
      <w:pPr>
        <w:pStyle w:val="Prrafodelista"/>
        <w:tabs>
          <w:tab w:val="left" w:pos="142"/>
          <w:tab w:val="left" w:pos="284"/>
        </w:tabs>
        <w:spacing w:after="0" w:line="276" w:lineRule="auto"/>
        <w:ind w:left="0"/>
        <w:jc w:val="both"/>
        <w:rPr>
          <w:rFonts w:ascii="Verdana" w:eastAsia="Century Gothic" w:hAnsi="Verdana" w:cs="Century Gothic"/>
          <w:b/>
          <w:bCs/>
        </w:rPr>
      </w:pPr>
    </w:p>
    <w:p w14:paraId="4040C7F5" w14:textId="77777777" w:rsidR="00050945" w:rsidRPr="00283203" w:rsidRDefault="00050945" w:rsidP="0005094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3203">
        <w:rPr>
          <w:rFonts w:ascii="Verdana" w:eastAsia="Century Gothic" w:hAnsi="Verdana" w:cs="Century Gothic"/>
          <w:b/>
          <w:bCs/>
        </w:rPr>
        <w:t>Razones de la respuesta:</w:t>
      </w:r>
    </w:p>
    <w:p w14:paraId="1043E031" w14:textId="77777777" w:rsidR="00050945" w:rsidRPr="00283203" w:rsidRDefault="00050945" w:rsidP="00050945">
      <w:pPr>
        <w:pStyle w:val="Prrafodelista"/>
        <w:tabs>
          <w:tab w:val="left" w:pos="142"/>
          <w:tab w:val="left" w:pos="284"/>
        </w:tabs>
        <w:spacing w:after="0" w:line="276" w:lineRule="auto"/>
        <w:ind w:left="0"/>
        <w:jc w:val="both"/>
        <w:rPr>
          <w:rFonts w:ascii="Verdana" w:eastAsia="Century Gothic" w:hAnsi="Verdana" w:cs="Century Gothic"/>
          <w:b/>
          <w:bCs/>
        </w:rPr>
      </w:pPr>
    </w:p>
    <w:p w14:paraId="16FC77A4" w14:textId="77777777" w:rsidR="00050945" w:rsidRPr="00283203" w:rsidRDefault="00050945" w:rsidP="00050945">
      <w:pPr>
        <w:spacing w:after="0" w:line="276" w:lineRule="auto"/>
        <w:jc w:val="both"/>
        <w:rPr>
          <w:rFonts w:ascii="Verdana" w:eastAsia="Calibri" w:hAnsi="Verdana" w:cs="Arial"/>
          <w:lang w:val="es-ES"/>
        </w:rPr>
      </w:pPr>
      <w:r w:rsidRPr="00283203">
        <w:rPr>
          <w:rFonts w:ascii="Verdana" w:eastAsia="Calibri" w:hAnsi="Verdana" w:cs="Arial"/>
          <w:lang w:val="es-ES"/>
        </w:rPr>
        <w:t xml:space="preserve">Lo anterior se sustenta en las siguientes consideraciones: </w:t>
      </w:r>
    </w:p>
    <w:p w14:paraId="1B7D7F0C" w14:textId="77777777" w:rsidR="00CB15DF" w:rsidRPr="00283203" w:rsidRDefault="00CB15DF" w:rsidP="00B15858">
      <w:pPr>
        <w:pStyle w:val="Textoindependiente"/>
        <w:spacing w:before="1" w:line="276" w:lineRule="auto"/>
        <w:ind w:right="106"/>
        <w:jc w:val="both"/>
        <w:rPr>
          <w:rFonts w:ascii="Verdana" w:eastAsia="Calibri" w:hAnsi="Verdana"/>
        </w:rPr>
      </w:pPr>
    </w:p>
    <w:p w14:paraId="36208E86" w14:textId="319E2851" w:rsidR="00B15858" w:rsidRPr="00283203" w:rsidRDefault="00B15858" w:rsidP="00B15858">
      <w:pPr>
        <w:pStyle w:val="Textoindependiente"/>
        <w:spacing w:before="1" w:line="276" w:lineRule="auto"/>
        <w:ind w:right="106"/>
        <w:jc w:val="both"/>
        <w:rPr>
          <w:rFonts w:ascii="Verdana" w:eastAsia="Calibri" w:hAnsi="Verdana"/>
        </w:rPr>
      </w:pPr>
      <w:r w:rsidRPr="00283203">
        <w:rPr>
          <w:rFonts w:ascii="Verdana" w:eastAsia="Calibri" w:hAnsi="Verdana"/>
        </w:rPr>
        <w:t>El Estatuto General de Contratación de la Administración Pública</w:t>
      </w:r>
      <w:r w:rsidR="00680D50" w:rsidRPr="00283203">
        <w:rPr>
          <w:rFonts w:ascii="Verdana" w:eastAsia="Calibri" w:hAnsi="Verdana"/>
        </w:rPr>
        <w:t>-EGCAP-</w:t>
      </w:r>
      <w:r w:rsidRPr="00283203">
        <w:rPr>
          <w:rFonts w:ascii="Verdana" w:eastAsia="Calibri" w:hAnsi="Verdana"/>
        </w:rPr>
        <w:t xml:space="preserve"> es la norma de derecho público que rige l</w:t>
      </w:r>
      <w:r w:rsidR="00463F43" w:rsidRPr="00283203">
        <w:rPr>
          <w:rFonts w:ascii="Verdana" w:eastAsia="Calibri" w:hAnsi="Verdana"/>
        </w:rPr>
        <w:t>a etapa</w:t>
      </w:r>
      <w:r w:rsidR="00680D50" w:rsidRPr="00283203">
        <w:rPr>
          <w:rFonts w:ascii="Verdana" w:eastAsia="Calibri" w:hAnsi="Verdana"/>
        </w:rPr>
        <w:t xml:space="preserve"> </w:t>
      </w:r>
      <w:r w:rsidRPr="00283203">
        <w:rPr>
          <w:rFonts w:ascii="Verdana" w:eastAsia="Calibri" w:hAnsi="Verdana"/>
        </w:rPr>
        <w:t>precontractual, contractual y postcontractual de los negocios jurídicos celebrados por las entidades estatales, expedido al amparo del inciso final del artículo 150 de la Constitución Política, y hoy contenido en la Ley 80 de 1993, la Ley 1150 de 2007 y demás normas legales y reglamentarias pertinentes.</w:t>
      </w:r>
    </w:p>
    <w:p w14:paraId="1A088712" w14:textId="77777777" w:rsidR="00B15858" w:rsidRPr="00283203" w:rsidRDefault="00B15858" w:rsidP="00B15858">
      <w:pPr>
        <w:pStyle w:val="NormalWeb"/>
        <w:tabs>
          <w:tab w:val="left" w:pos="284"/>
        </w:tabs>
        <w:spacing w:before="0" w:beforeAutospacing="0" w:after="0" w:afterAutospacing="0"/>
        <w:jc w:val="both"/>
        <w:rPr>
          <w:rFonts w:ascii="Verdana" w:eastAsia="Calibri" w:hAnsi="Verdana" w:cs="Arial"/>
          <w:sz w:val="22"/>
          <w:szCs w:val="22"/>
          <w:lang w:val="es-ES" w:eastAsia="en-US"/>
        </w:rPr>
      </w:pPr>
    </w:p>
    <w:p w14:paraId="54326F97" w14:textId="54B06667" w:rsidR="00B15858" w:rsidRDefault="00680D50" w:rsidP="00680D50">
      <w:pPr>
        <w:pStyle w:val="NormalWeb"/>
        <w:tabs>
          <w:tab w:val="left" w:pos="284"/>
        </w:tabs>
        <w:spacing w:before="0" w:beforeAutospacing="0" w:after="0" w:afterAutospacing="0" w:line="276" w:lineRule="auto"/>
        <w:ind w:firstLine="426"/>
        <w:jc w:val="both"/>
        <w:rPr>
          <w:rFonts w:ascii="Verdana" w:eastAsia="Calibri" w:hAnsi="Verdana" w:cs="Arial"/>
          <w:sz w:val="22"/>
          <w:szCs w:val="22"/>
          <w:lang w:val="es-ES" w:eastAsia="en-US"/>
        </w:rPr>
      </w:pPr>
      <w:r w:rsidRPr="00283203">
        <w:rPr>
          <w:rFonts w:ascii="Verdana" w:eastAsia="Calibri" w:hAnsi="Verdana" w:cs="Arial"/>
          <w:sz w:val="22"/>
          <w:szCs w:val="22"/>
          <w:lang w:val="es-ES" w:eastAsia="en-US"/>
        </w:rPr>
        <w:t xml:space="preserve">De lo anterior se ha definido al </w:t>
      </w:r>
      <w:r w:rsidR="00B15858" w:rsidRPr="00283203">
        <w:rPr>
          <w:rFonts w:ascii="Verdana" w:eastAsia="Calibri" w:hAnsi="Verdana" w:cs="Arial"/>
          <w:sz w:val="22"/>
          <w:szCs w:val="22"/>
          <w:lang w:val="es-ES" w:eastAsia="en-US"/>
        </w:rPr>
        <w:t>contrato estatal genéricamente como todo acto jurídico generador de obligaciones</w:t>
      </w:r>
      <w:r w:rsidR="00B15858" w:rsidRPr="00283203">
        <w:rPr>
          <w:rStyle w:val="Refdenotaalpie"/>
          <w:rFonts w:ascii="Verdana" w:eastAsia="Calibri" w:hAnsi="Verdana" w:cs="Arial"/>
          <w:sz w:val="22"/>
          <w:szCs w:val="22"/>
          <w:lang w:val="es-ES" w:eastAsia="en-US"/>
        </w:rPr>
        <w:footnoteReference w:id="2"/>
      </w:r>
      <w:r w:rsidR="00B15858" w:rsidRPr="00283203">
        <w:rPr>
          <w:rFonts w:ascii="Verdana" w:eastAsia="Calibri" w:hAnsi="Verdana" w:cs="Arial"/>
          <w:sz w:val="22"/>
          <w:szCs w:val="22"/>
          <w:lang w:val="es-ES" w:eastAsia="en-US"/>
        </w:rPr>
        <w:t xml:space="preserve"> celebrado por una de las entidades estatales descritas en el artículo 2° de la Ley 80</w:t>
      </w:r>
      <w:r w:rsidR="00B15858" w:rsidRPr="002C272B">
        <w:rPr>
          <w:rFonts w:ascii="Verdana" w:eastAsia="Calibri" w:hAnsi="Verdana" w:cs="Arial"/>
          <w:sz w:val="22"/>
          <w:szCs w:val="22"/>
          <w:lang w:val="es-ES" w:eastAsia="en-US"/>
        </w:rPr>
        <w:t xml:space="preserve"> de 1993, cuya actividad contractual se sujeta, íntegramente, al ámbito de cobertura de a los principios, deberes, derechos, procedimientos y reglas consagrados en el Estatuto General de la Contratación Estatal.</w:t>
      </w:r>
    </w:p>
    <w:p w14:paraId="37F19FFF" w14:textId="387FBE1C" w:rsidR="00680D50" w:rsidRDefault="00680D50" w:rsidP="00B15858">
      <w:pPr>
        <w:pStyle w:val="NormalWeb"/>
        <w:tabs>
          <w:tab w:val="left" w:pos="284"/>
        </w:tabs>
        <w:spacing w:before="0" w:beforeAutospacing="0" w:after="0" w:afterAutospacing="0"/>
        <w:ind w:firstLine="426"/>
        <w:jc w:val="both"/>
        <w:rPr>
          <w:rFonts w:ascii="Verdana" w:eastAsia="Calibri" w:hAnsi="Verdana" w:cs="Arial"/>
          <w:sz w:val="22"/>
          <w:szCs w:val="22"/>
          <w:lang w:val="es-ES" w:eastAsia="en-US"/>
        </w:rPr>
      </w:pPr>
    </w:p>
    <w:p w14:paraId="2DEFDA95" w14:textId="77777777" w:rsidR="00B15858" w:rsidRPr="002C272B" w:rsidRDefault="00B15858" w:rsidP="00B15858">
      <w:pPr>
        <w:pStyle w:val="Textoindependiente"/>
        <w:spacing w:before="101" w:line="276" w:lineRule="auto"/>
        <w:ind w:right="109" w:firstLine="426"/>
        <w:jc w:val="both"/>
        <w:rPr>
          <w:rFonts w:ascii="Verdana" w:hAnsi="Verdana"/>
        </w:rPr>
      </w:pPr>
      <w:r w:rsidRPr="002C272B">
        <w:rPr>
          <w:rFonts w:ascii="Verdana" w:hAnsi="Verdana"/>
        </w:rPr>
        <w:t>Si bien el artículo 2 de la Ley 80 de 1993,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ciertas entidades queden excluidas de su aplicación, para que en su lugar, contraten al amparo de normas de derecho</w:t>
      </w:r>
      <w:r w:rsidRPr="002C272B">
        <w:rPr>
          <w:rFonts w:ascii="Verdana" w:hAnsi="Verdana"/>
          <w:spacing w:val="-37"/>
        </w:rPr>
        <w:t xml:space="preserve"> </w:t>
      </w:r>
      <w:r w:rsidRPr="002C272B">
        <w:rPr>
          <w:rFonts w:ascii="Verdana" w:hAnsi="Verdana"/>
        </w:rPr>
        <w:t xml:space="preserve">privado, código civil o código del comercio. </w:t>
      </w:r>
    </w:p>
    <w:p w14:paraId="7B169CD3" w14:textId="77777777" w:rsidR="00B15858" w:rsidRPr="002C272B" w:rsidRDefault="00B15858" w:rsidP="00680D50">
      <w:pPr>
        <w:pStyle w:val="Textoindependiente"/>
        <w:spacing w:before="101" w:line="276" w:lineRule="auto"/>
        <w:ind w:right="109" w:firstLine="426"/>
        <w:jc w:val="both"/>
        <w:rPr>
          <w:rFonts w:ascii="Verdana" w:hAnsi="Verdana"/>
        </w:rPr>
      </w:pPr>
      <w:r w:rsidRPr="002C272B">
        <w:rPr>
          <w:rFonts w:ascii="Verdana" w:hAnsi="Verdana"/>
        </w:rPr>
        <w:t>Ejemplos de estas excepciones al régimen general de contratación estatal creadas por la ley, son los siguientes, sin ser los únicos:</w:t>
      </w:r>
    </w:p>
    <w:p w14:paraId="2D8B32F4" w14:textId="77777777" w:rsidR="00B15858" w:rsidRPr="002C272B" w:rsidRDefault="00B15858" w:rsidP="00B15858">
      <w:pPr>
        <w:pStyle w:val="Textoindependiente"/>
        <w:spacing w:line="276" w:lineRule="auto"/>
        <w:ind w:right="114"/>
        <w:jc w:val="both"/>
        <w:rPr>
          <w:rFonts w:ascii="Verdana" w:hAnsi="Verdana"/>
        </w:rPr>
      </w:pPr>
    </w:p>
    <w:p w14:paraId="502E8E7C" w14:textId="77777777" w:rsidR="00B15858" w:rsidRPr="002C272B" w:rsidRDefault="00B15858" w:rsidP="00B15858">
      <w:pPr>
        <w:pStyle w:val="Prrafodelista"/>
        <w:widowControl w:val="0"/>
        <w:numPr>
          <w:ilvl w:val="0"/>
          <w:numId w:val="23"/>
        </w:numPr>
        <w:tabs>
          <w:tab w:val="left" w:pos="363"/>
        </w:tabs>
        <w:autoSpaceDE w:val="0"/>
        <w:autoSpaceDN w:val="0"/>
        <w:spacing w:after="0" w:line="276" w:lineRule="auto"/>
        <w:ind w:right="49"/>
        <w:contextualSpacing w:val="0"/>
        <w:jc w:val="both"/>
        <w:rPr>
          <w:rFonts w:ascii="Verdana" w:eastAsia="Arial" w:hAnsi="Verdana" w:cs="Arial"/>
        </w:rPr>
      </w:pPr>
      <w:r w:rsidRPr="002C272B">
        <w:rPr>
          <w:rFonts w:ascii="Verdana" w:eastAsia="Arial" w:hAnsi="Verdana" w:cs="Arial"/>
        </w:rPr>
        <w:t>Las empresas de servicios públicos domiciliarios en virtud del artículo 31 de la Ley 142 de 1994, modificado por el artículo 3 de la Ley 689 de 2001.</w:t>
      </w:r>
    </w:p>
    <w:p w14:paraId="251D0EB4" w14:textId="77777777" w:rsidR="00B15858" w:rsidRPr="002C272B" w:rsidRDefault="00B15858" w:rsidP="00B15858">
      <w:pPr>
        <w:pStyle w:val="Prrafodelista"/>
        <w:widowControl w:val="0"/>
        <w:numPr>
          <w:ilvl w:val="0"/>
          <w:numId w:val="23"/>
        </w:numPr>
        <w:tabs>
          <w:tab w:val="left" w:pos="363"/>
        </w:tabs>
        <w:autoSpaceDE w:val="0"/>
        <w:autoSpaceDN w:val="0"/>
        <w:spacing w:before="1" w:after="0" w:line="240" w:lineRule="auto"/>
        <w:ind w:right="49"/>
        <w:contextualSpacing w:val="0"/>
        <w:jc w:val="both"/>
        <w:rPr>
          <w:rFonts w:ascii="Verdana" w:eastAsia="Arial" w:hAnsi="Verdana" w:cs="Arial"/>
        </w:rPr>
      </w:pPr>
      <w:r w:rsidRPr="002C272B">
        <w:rPr>
          <w:rFonts w:ascii="Verdana" w:eastAsia="Arial" w:hAnsi="Verdana" w:cs="Arial"/>
        </w:rPr>
        <w:t>Las empresas sociales del Estado, por obra del artículo 195 de la Ley 100 de 1993.</w:t>
      </w:r>
    </w:p>
    <w:p w14:paraId="66C9D931" w14:textId="5FAFBCE0" w:rsidR="00B15858" w:rsidRDefault="00B15858" w:rsidP="00B15858">
      <w:pPr>
        <w:pStyle w:val="Prrafodelista"/>
        <w:widowControl w:val="0"/>
        <w:numPr>
          <w:ilvl w:val="0"/>
          <w:numId w:val="23"/>
        </w:numPr>
        <w:tabs>
          <w:tab w:val="left" w:pos="363"/>
        </w:tabs>
        <w:autoSpaceDE w:val="0"/>
        <w:autoSpaceDN w:val="0"/>
        <w:spacing w:before="37" w:after="0" w:line="276" w:lineRule="auto"/>
        <w:ind w:right="49"/>
        <w:contextualSpacing w:val="0"/>
        <w:jc w:val="both"/>
        <w:rPr>
          <w:rFonts w:ascii="Verdana" w:eastAsia="Arial" w:hAnsi="Verdana" w:cs="Arial"/>
        </w:rPr>
      </w:pPr>
      <w:r w:rsidRPr="002C272B">
        <w:rPr>
          <w:rFonts w:ascii="Verdana" w:eastAsia="Arial" w:hAnsi="Verdana" w:cs="Arial"/>
        </w:rPr>
        <w:t>Las empresas industriales y comerciales del Estado y las sociedades de economía mixta con participación mayoritaria del Estado que desarrollen actividades comerciales en competencia con el sector privado o público, según el artículo 14 de la Ley 1150 de 2007, modificado por el artículo 93 de la Ley 1474 de 2011.</w:t>
      </w:r>
    </w:p>
    <w:p w14:paraId="689E29C7" w14:textId="77777777" w:rsidR="00B15858" w:rsidRPr="002C272B" w:rsidRDefault="00B15858" w:rsidP="00B15858">
      <w:pPr>
        <w:pStyle w:val="Textoindependiente"/>
        <w:spacing w:before="5"/>
        <w:rPr>
          <w:rFonts w:ascii="Verdana" w:hAnsi="Verdana"/>
          <w:sz w:val="28"/>
        </w:rPr>
      </w:pPr>
    </w:p>
    <w:p w14:paraId="16B5B699" w14:textId="5206DCA1" w:rsidR="00B15858" w:rsidRPr="002C272B" w:rsidRDefault="00B15858" w:rsidP="00B15858">
      <w:pPr>
        <w:pStyle w:val="Textoindependiente"/>
        <w:spacing w:line="276" w:lineRule="auto"/>
        <w:ind w:right="104" w:firstLine="488"/>
        <w:jc w:val="both"/>
        <w:rPr>
          <w:rFonts w:ascii="Verdana" w:hAnsi="Verdana"/>
        </w:rPr>
      </w:pPr>
      <w:r w:rsidRPr="002C272B">
        <w:rPr>
          <w:rFonts w:ascii="Verdana" w:hAnsi="Verdana"/>
        </w:rPr>
        <w:t xml:space="preserve">Las entidades exceptuadas de la aplicación del régimen general de la contratación estatal previsto en la Ley 80 de 1993 y sus modificaciones, por autorización de la ley, acuden al régimen jurídico del derecho privado para disciplinar sus contratos. De todas maneras, la exclusión de que gozan las entidades de régimen especial previsto en el </w:t>
      </w:r>
      <w:r w:rsidR="00680D50">
        <w:rPr>
          <w:rFonts w:ascii="Verdana" w:eastAsia="Calibri" w:hAnsi="Verdana"/>
        </w:rPr>
        <w:t>EGCAP</w:t>
      </w:r>
      <w:r w:rsidR="00680D50" w:rsidRPr="002C272B">
        <w:rPr>
          <w:rFonts w:ascii="Verdana" w:hAnsi="Verdana"/>
        </w:rPr>
        <w:t xml:space="preserve"> </w:t>
      </w:r>
      <w:r w:rsidRPr="002C272B">
        <w:rPr>
          <w:rFonts w:ascii="Verdana" w:hAnsi="Verdana"/>
        </w:rPr>
        <w:t>no ha sido absoluta, toda vez que, por lo general, tanto en la composición de la entidad como en desarrollo de su objeto, tienen relación con la administración de recursos públicos. Además, de tiempo atrás en el ordenamiento jurídico se reconoció que las entidades exceptuadas del EGCAP debían respetar los principios de la función administrativa</w:t>
      </w:r>
      <w:r w:rsidRPr="002C272B">
        <w:rPr>
          <w:rStyle w:val="Refdenotaalpie"/>
          <w:rFonts w:ascii="Verdana" w:hAnsi="Verdana"/>
        </w:rPr>
        <w:footnoteReference w:id="3"/>
      </w:r>
      <w:r w:rsidRPr="002C272B">
        <w:rPr>
          <w:rFonts w:ascii="Verdana" w:hAnsi="Verdana"/>
        </w:rPr>
        <w:t>, tesis que luego acogió el legislador con la expedición de la Ley 1150 de 2007. Sobre el particular, el Consejo de Estado ha sostenido lo siguiente:</w:t>
      </w:r>
    </w:p>
    <w:p w14:paraId="542AD65C" w14:textId="77777777" w:rsidR="00B15858" w:rsidRPr="002C272B" w:rsidRDefault="00B15858" w:rsidP="00B15858">
      <w:pPr>
        <w:pStyle w:val="Textoindependiente"/>
        <w:spacing w:before="101"/>
        <w:ind w:left="567" w:right="900"/>
        <w:jc w:val="both"/>
        <w:rPr>
          <w:rFonts w:ascii="Verdana" w:hAnsi="Verdana"/>
        </w:rPr>
      </w:pPr>
      <w:r w:rsidRPr="002C272B">
        <w:rPr>
          <w:rFonts w:ascii="Verdana" w:hAnsi="Verdana"/>
        </w:rPr>
        <w:t>“</w:t>
      </w:r>
      <w:r w:rsidRPr="002C272B">
        <w:rPr>
          <w:rFonts w:ascii="Verdana" w:hAnsi="Verdana"/>
          <w:sz w:val="20"/>
          <w:szCs w:val="20"/>
        </w:rPr>
        <w:t xml:space="preserve">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w:t>
      </w:r>
      <w:r w:rsidRPr="002C272B">
        <w:rPr>
          <w:rFonts w:ascii="Verdana" w:hAnsi="Verdana"/>
          <w:sz w:val="20"/>
          <w:szCs w:val="20"/>
        </w:rPr>
        <w:lastRenderedPageBreak/>
        <w:t>ejecución y liquidación del contrato y éstos principios –se reitera- se deben aplicar y respetar aun cuando el contrato se rija por el derecho</w:t>
      </w:r>
      <w:r w:rsidRPr="002C272B">
        <w:rPr>
          <w:rFonts w:ascii="Verdana" w:hAnsi="Verdana"/>
          <w:spacing w:val="-25"/>
          <w:sz w:val="20"/>
          <w:szCs w:val="20"/>
        </w:rPr>
        <w:t xml:space="preserve"> </w:t>
      </w:r>
      <w:r w:rsidRPr="002C272B">
        <w:rPr>
          <w:rFonts w:ascii="Verdana" w:hAnsi="Verdana"/>
          <w:sz w:val="20"/>
          <w:szCs w:val="20"/>
        </w:rPr>
        <w:t>privado</w:t>
      </w:r>
      <w:r w:rsidRPr="002C272B">
        <w:rPr>
          <w:rFonts w:ascii="Verdana" w:hAnsi="Verdana"/>
        </w:rPr>
        <w:t>.”</w:t>
      </w:r>
      <w:r w:rsidRPr="002C272B">
        <w:rPr>
          <w:rStyle w:val="Refdenotaalpie"/>
          <w:rFonts w:ascii="Verdana" w:hAnsi="Verdana"/>
        </w:rPr>
        <w:footnoteReference w:id="4"/>
      </w:r>
    </w:p>
    <w:p w14:paraId="0A6E6BE8" w14:textId="77777777" w:rsidR="00B15858" w:rsidRPr="002C272B" w:rsidRDefault="00B15858" w:rsidP="00B15858">
      <w:pPr>
        <w:pStyle w:val="NormalWeb"/>
        <w:tabs>
          <w:tab w:val="left" w:pos="284"/>
        </w:tabs>
        <w:spacing w:before="0" w:beforeAutospacing="0" w:after="0" w:afterAutospacing="0"/>
        <w:ind w:firstLine="426"/>
        <w:jc w:val="both"/>
        <w:rPr>
          <w:rFonts w:ascii="Verdana" w:eastAsia="Calibri" w:hAnsi="Verdana" w:cs="Arial"/>
          <w:sz w:val="20"/>
          <w:szCs w:val="20"/>
          <w:lang w:val="es-ES" w:eastAsia="en-US"/>
        </w:rPr>
      </w:pPr>
    </w:p>
    <w:p w14:paraId="492E46A6" w14:textId="77777777" w:rsidR="00B15858" w:rsidRPr="002C272B" w:rsidRDefault="00B15858" w:rsidP="00B15858">
      <w:pPr>
        <w:pStyle w:val="NormalWeb"/>
        <w:tabs>
          <w:tab w:val="left" w:pos="426"/>
        </w:tabs>
        <w:spacing w:before="0" w:beforeAutospacing="0" w:after="0" w:afterAutospacing="0" w:line="276" w:lineRule="auto"/>
        <w:ind w:firstLine="567"/>
        <w:jc w:val="both"/>
        <w:rPr>
          <w:rFonts w:ascii="Verdana" w:hAnsi="Verdana"/>
          <w:sz w:val="22"/>
          <w:szCs w:val="22"/>
        </w:rPr>
      </w:pPr>
      <w:r w:rsidRPr="002C272B">
        <w:rPr>
          <w:rFonts w:ascii="Verdana" w:hAnsi="Verdana"/>
          <w:sz w:val="22"/>
          <w:szCs w:val="22"/>
        </w:rPr>
        <w:t>En virtud de lo señalado, el artículo 13 de la Ley 1150 de 2007 positivizó el precepto según el cual las entidades estatales que por disposición legal cuenten con un régimen contractual excepcional al del EGCAP, aplicarán en desarrollo de su actividad contractual, acorde con su régimen legal especial, los principios de la función administrativa y de la gestión fiscal de que tratan los artículos 209 y 267 de la Constitución Política, y estarán sometidas al régimen de inhabilidades e incompatibilidades previsto legalmente para la contratación estatal.</w:t>
      </w:r>
    </w:p>
    <w:p w14:paraId="0F591DF5" w14:textId="77777777" w:rsidR="00B15858" w:rsidRPr="002C272B" w:rsidRDefault="00B15858" w:rsidP="00B15858">
      <w:pPr>
        <w:pStyle w:val="NormalWeb"/>
        <w:tabs>
          <w:tab w:val="left" w:pos="284"/>
        </w:tabs>
        <w:spacing w:before="0" w:beforeAutospacing="0" w:after="0" w:afterAutospacing="0"/>
        <w:jc w:val="both"/>
        <w:rPr>
          <w:rFonts w:ascii="Verdana" w:hAnsi="Verdana"/>
        </w:rPr>
      </w:pPr>
    </w:p>
    <w:p w14:paraId="68DEF6B3" w14:textId="77777777" w:rsidR="00B15858" w:rsidRPr="002C272B" w:rsidRDefault="00B15858" w:rsidP="00B15858">
      <w:pPr>
        <w:pStyle w:val="Textoindependiente"/>
        <w:spacing w:line="276" w:lineRule="auto"/>
        <w:ind w:right="110" w:firstLine="567"/>
        <w:jc w:val="both"/>
        <w:rPr>
          <w:rFonts w:ascii="Verdana" w:eastAsia="Times New Roman" w:hAnsi="Verdana" w:cs="Times New Roman"/>
          <w:lang w:val="es-CO" w:eastAsia="es-CO"/>
        </w:rPr>
      </w:pPr>
      <w:r w:rsidRPr="002C272B">
        <w:rPr>
          <w:rFonts w:ascii="Verdana" w:eastAsia="Times New Roman" w:hAnsi="Verdana" w:cs="Times New Roman"/>
          <w:lang w:val="es-CO" w:eastAsia="es-CO"/>
        </w:rPr>
        <w:t xml:space="preserve">En razón a lo anterior, las entidades excluidas de la Ley 80 de 1993 tienen régimen contractual que vincula dos ordenamientos: el privado que es preponderante y el público que es el supletorio, pero no menos importante, porque irradia aspectos esenciales de la actividad contractual de estas entidades. </w:t>
      </w:r>
    </w:p>
    <w:p w14:paraId="4CAB21CB" w14:textId="77777777" w:rsidR="00B15858" w:rsidRPr="002C272B" w:rsidRDefault="00B15858" w:rsidP="00B15858">
      <w:pPr>
        <w:pStyle w:val="Textoindependiente"/>
        <w:spacing w:line="276" w:lineRule="auto"/>
        <w:ind w:right="110" w:firstLine="708"/>
        <w:jc w:val="both"/>
        <w:rPr>
          <w:rFonts w:ascii="Verdana" w:eastAsia="Times New Roman" w:hAnsi="Verdana" w:cs="Times New Roman"/>
          <w:lang w:val="es-CO" w:eastAsia="es-CO"/>
        </w:rPr>
      </w:pPr>
    </w:p>
    <w:p w14:paraId="5C3C50BF" w14:textId="0D135AEE" w:rsidR="00B15858" w:rsidRPr="002C272B" w:rsidRDefault="00B15858" w:rsidP="00B15858">
      <w:pPr>
        <w:pStyle w:val="Textoindependiente"/>
        <w:spacing w:line="276" w:lineRule="auto"/>
        <w:ind w:right="110" w:firstLine="567"/>
        <w:jc w:val="both"/>
        <w:rPr>
          <w:rFonts w:ascii="Verdana" w:eastAsia="Times New Roman" w:hAnsi="Verdana" w:cs="Times New Roman"/>
          <w:lang w:val="es-CO" w:eastAsia="es-CO"/>
        </w:rPr>
      </w:pPr>
      <w:r w:rsidRPr="002C272B">
        <w:rPr>
          <w:rFonts w:ascii="Verdana" w:eastAsia="Times New Roman" w:hAnsi="Verdana" w:cs="Times New Roman"/>
          <w:lang w:val="es-CO" w:eastAsia="es-CO"/>
        </w:rPr>
        <w:t xml:space="preserve">La jurisprudencia del Consejo de Estado se ha pronunciado sobre la combinación de ordenamientos que confluyen en el régimen contractual de las entidades excluidas del </w:t>
      </w:r>
      <w:r w:rsidR="00680D50">
        <w:rPr>
          <w:rFonts w:ascii="Verdana" w:eastAsia="Calibri" w:hAnsi="Verdana"/>
        </w:rPr>
        <w:t>EGCAP</w:t>
      </w:r>
      <w:r w:rsidR="00680D50" w:rsidRPr="002C272B">
        <w:rPr>
          <w:rFonts w:ascii="Verdana" w:eastAsia="Times New Roman" w:hAnsi="Verdana" w:cs="Times New Roman"/>
          <w:lang w:val="es-CO" w:eastAsia="es-CO"/>
        </w:rPr>
        <w:t xml:space="preserve"> </w:t>
      </w:r>
      <w:r w:rsidRPr="002C272B">
        <w:rPr>
          <w:rFonts w:ascii="Verdana" w:eastAsia="Times New Roman" w:hAnsi="Verdana" w:cs="Times New Roman"/>
          <w:lang w:val="es-CO" w:eastAsia="es-CO"/>
        </w:rPr>
        <w:t>y ha considerado que el régimen sustantivo del contrato-derecho privado-no desvanece el sometimiento de la Administración al principio de legalidad y al respeto por los derechos fundamentales. Así, por ejemplo, en la actividad precontractual 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 Pública.</w:t>
      </w:r>
      <w:r w:rsidRPr="002C272B">
        <w:rPr>
          <w:rStyle w:val="Refdenotaalpie"/>
          <w:rFonts w:ascii="Verdana" w:eastAsia="Times New Roman" w:hAnsi="Verdana" w:cs="Times New Roman"/>
          <w:lang w:val="es-CO" w:eastAsia="es-CO"/>
        </w:rPr>
        <w:footnoteReference w:id="5"/>
      </w:r>
    </w:p>
    <w:p w14:paraId="10F28DBA" w14:textId="77777777" w:rsidR="00B15858" w:rsidRPr="002C272B" w:rsidRDefault="00B15858" w:rsidP="00B15858">
      <w:pPr>
        <w:pStyle w:val="NormalWeb"/>
        <w:tabs>
          <w:tab w:val="left" w:pos="284"/>
          <w:tab w:val="left" w:pos="426"/>
        </w:tabs>
        <w:spacing w:before="0" w:beforeAutospacing="0" w:after="0" w:afterAutospacing="0"/>
        <w:jc w:val="both"/>
        <w:rPr>
          <w:rFonts w:ascii="Verdana" w:hAnsi="Verdana"/>
          <w:sz w:val="22"/>
          <w:szCs w:val="22"/>
        </w:rPr>
      </w:pPr>
      <w:r w:rsidRPr="002C272B">
        <w:rPr>
          <w:rFonts w:ascii="Verdana" w:hAnsi="Verdana"/>
          <w:sz w:val="22"/>
          <w:szCs w:val="22"/>
        </w:rPr>
        <w:tab/>
      </w:r>
    </w:p>
    <w:p w14:paraId="4433BFFC" w14:textId="503E34EA" w:rsidR="00B15858" w:rsidRPr="009C39A6" w:rsidRDefault="00B15858" w:rsidP="009C39A6">
      <w:pPr>
        <w:widowControl w:val="0"/>
        <w:autoSpaceDE w:val="0"/>
        <w:autoSpaceDN w:val="0"/>
        <w:spacing w:line="276" w:lineRule="auto"/>
        <w:ind w:firstLine="708"/>
        <w:jc w:val="both"/>
        <w:rPr>
          <w:rFonts w:ascii="Verdana" w:hAnsi="Verdana"/>
          <w:color w:val="2D2D2D"/>
        </w:rPr>
      </w:pPr>
      <w:r w:rsidRPr="009C39A6">
        <w:rPr>
          <w:rFonts w:ascii="Verdana" w:hAnsi="Verdana"/>
          <w:color w:val="2D2D2D"/>
        </w:rPr>
        <w:t xml:space="preserve">De lo anterior se colige, entonces, que en la actualidad los contratos celebrados por las entidades de régimen especial en cumplimiento de su objeto, </w:t>
      </w:r>
      <w:r w:rsidRPr="009C39A6">
        <w:rPr>
          <w:rFonts w:ascii="Verdana" w:hAnsi="Verdana"/>
          <w:color w:val="2D2D2D"/>
        </w:rPr>
        <w:lastRenderedPageBreak/>
        <w:t>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 aplicable.</w:t>
      </w:r>
    </w:p>
    <w:p w14:paraId="56BF7961" w14:textId="3101C7FE" w:rsidR="009C39A6" w:rsidRDefault="00ED4C66" w:rsidP="009C39A6">
      <w:pPr>
        <w:widowControl w:val="0"/>
        <w:autoSpaceDE w:val="0"/>
        <w:autoSpaceDN w:val="0"/>
        <w:spacing w:line="276" w:lineRule="auto"/>
        <w:ind w:firstLine="708"/>
        <w:jc w:val="both"/>
        <w:rPr>
          <w:rFonts w:ascii="Verdana" w:hAnsi="Verdana"/>
          <w:color w:val="2D2D2D"/>
        </w:rPr>
      </w:pPr>
      <w:r>
        <w:rPr>
          <w:rFonts w:ascii="Verdana" w:hAnsi="Verdana"/>
          <w:color w:val="2D2D2D"/>
        </w:rPr>
        <w:t xml:space="preserve">Teniendo claridad respecto a la posibilidad que determinadas entidades de derecho </w:t>
      </w:r>
      <w:r w:rsidR="009C39A6">
        <w:rPr>
          <w:rFonts w:ascii="Verdana" w:hAnsi="Verdana"/>
          <w:color w:val="2D2D2D"/>
        </w:rPr>
        <w:t>público</w:t>
      </w:r>
      <w:r>
        <w:rPr>
          <w:rFonts w:ascii="Verdana" w:hAnsi="Verdana"/>
          <w:color w:val="2D2D2D"/>
        </w:rPr>
        <w:t xml:space="preserve">, puedan </w:t>
      </w:r>
      <w:r w:rsidR="009C39A6">
        <w:rPr>
          <w:rFonts w:ascii="Verdana" w:hAnsi="Verdana"/>
          <w:color w:val="2D2D2D"/>
        </w:rPr>
        <w:t xml:space="preserve">establecer en sus manuales de contratación-como excepción al EGCAP, </w:t>
      </w:r>
      <w:r w:rsidR="00680D50">
        <w:rPr>
          <w:rFonts w:ascii="Verdana" w:hAnsi="Verdana"/>
          <w:color w:val="2D2D2D"/>
        </w:rPr>
        <w:t xml:space="preserve"> procesos de selección con particularidades y determinadas tipologías contractuales propias de sus actividades, </w:t>
      </w:r>
      <w:r w:rsidR="00463F43">
        <w:rPr>
          <w:rFonts w:ascii="Verdana" w:hAnsi="Verdana"/>
          <w:color w:val="2D2D2D"/>
        </w:rPr>
        <w:t xml:space="preserve">se encuentra la </w:t>
      </w:r>
      <w:r w:rsidR="009C39A6">
        <w:rPr>
          <w:rFonts w:ascii="Verdana" w:hAnsi="Verdana"/>
          <w:color w:val="2D2D2D"/>
        </w:rPr>
        <w:t xml:space="preserve"> naturaleza jurídica de </w:t>
      </w:r>
      <w:r w:rsidR="009C39A6" w:rsidRPr="00571A09">
        <w:rPr>
          <w:rFonts w:ascii="Verdana" w:hAnsi="Verdana"/>
          <w:color w:val="2D2D2D"/>
        </w:rPr>
        <w:t>derecho público denominada la Sociedad Fiduciaria La Previsora S.A.</w:t>
      </w:r>
      <w:r w:rsidR="009C39A6">
        <w:rPr>
          <w:rFonts w:ascii="Verdana" w:hAnsi="Verdana"/>
          <w:color w:val="2D2D2D"/>
        </w:rPr>
        <w:t xml:space="preserve">, la cual es </w:t>
      </w:r>
      <w:r w:rsidR="009C39A6" w:rsidRPr="00571A09">
        <w:rPr>
          <w:rFonts w:ascii="Verdana" w:hAnsi="Verdana"/>
          <w:color w:val="2D2D2D"/>
        </w:rPr>
        <w:t xml:space="preserve">una Sociedad de Economía Mixta, del orden nacional, vinculada al Ministerio de Hacienda y Crédito Público, con personería jurídica y autonomía administrativa, perteneciente al sector descentralizado, por lo que de conformidad a lo establecido en el artículo 14 de la Ley 1150 de 2007 modificado por el artículo 93 de la Ley 1474 de 2011, al ser persona </w:t>
      </w:r>
      <w:r w:rsidR="009C39A6">
        <w:rPr>
          <w:rFonts w:ascii="Verdana" w:hAnsi="Verdana"/>
          <w:color w:val="2D2D2D"/>
        </w:rPr>
        <w:t>jurídica</w:t>
      </w:r>
      <w:r w:rsidR="009C39A6" w:rsidRPr="00571A09">
        <w:rPr>
          <w:rFonts w:ascii="Verdana" w:hAnsi="Verdana"/>
          <w:color w:val="2D2D2D"/>
        </w:rPr>
        <w:t xml:space="preserve"> que desarrolla actividades comerciales en competencia con el sector privado y/o público, nacional o internacional o en mercados regulados, se </w:t>
      </w:r>
      <w:r w:rsidR="009C39A6">
        <w:rPr>
          <w:rFonts w:ascii="Verdana" w:hAnsi="Verdana"/>
          <w:color w:val="2D2D2D"/>
        </w:rPr>
        <w:t>rige</w:t>
      </w:r>
      <w:r w:rsidR="009C39A6" w:rsidRPr="00571A09">
        <w:rPr>
          <w:rFonts w:ascii="Verdana" w:hAnsi="Verdana"/>
          <w:color w:val="2D2D2D"/>
        </w:rPr>
        <w:t xml:space="preserve"> por las disposiciones legales y reglamentarias aplicables a sus actividad económica y se encuentra exceptuada de la aplicación de las disposición del </w:t>
      </w:r>
      <w:r w:rsidR="009C39A6">
        <w:rPr>
          <w:rFonts w:ascii="Verdana" w:hAnsi="Verdana"/>
          <w:color w:val="2D2D2D"/>
        </w:rPr>
        <w:t>EGCAP</w:t>
      </w:r>
      <w:r w:rsidR="00463F43">
        <w:rPr>
          <w:rFonts w:ascii="Verdana" w:hAnsi="Verdana"/>
          <w:color w:val="2D2D2D"/>
        </w:rPr>
        <w:t>, y sus procesos de contratación para la adquisición de bienes y servicios se encuentra sometida al manual de contratación</w:t>
      </w:r>
      <w:r w:rsidR="00CB15DF">
        <w:rPr>
          <w:rFonts w:ascii="Verdana" w:hAnsi="Verdana"/>
          <w:color w:val="2D2D2D"/>
        </w:rPr>
        <w:t xml:space="preserve">, de lo cual es preciso advertir que pueden llegar a compartir denominaciones respecto a las modalidades de selección que se encuentran en el EGCAP, pero no tendrían aplicación las reglas establecidas en el EGCAP, a menos en que se establezca en el manual de contratación la remisión puntual </w:t>
      </w:r>
      <w:r w:rsidR="0058028B">
        <w:rPr>
          <w:rFonts w:ascii="Verdana" w:hAnsi="Verdana"/>
          <w:color w:val="2D2D2D"/>
        </w:rPr>
        <w:t>al</w:t>
      </w:r>
      <w:r w:rsidR="00CB15DF">
        <w:rPr>
          <w:rFonts w:ascii="Verdana" w:hAnsi="Verdana"/>
          <w:color w:val="2D2D2D"/>
        </w:rPr>
        <w:t xml:space="preserve"> EGCAP. </w:t>
      </w:r>
    </w:p>
    <w:p w14:paraId="63D67F4A" w14:textId="702E2D23" w:rsidR="006D3A21" w:rsidRDefault="0096067B" w:rsidP="00AC744C">
      <w:pPr>
        <w:spacing w:after="120" w:line="276" w:lineRule="auto"/>
        <w:ind w:firstLine="708"/>
        <w:jc w:val="both"/>
        <w:rPr>
          <w:rFonts w:ascii="Verdana" w:eastAsia="Calibri" w:hAnsi="Verdana" w:cs="Arial"/>
          <w:bCs/>
          <w:color w:val="000000" w:themeColor="text1"/>
        </w:rPr>
      </w:pPr>
      <w:r>
        <w:rPr>
          <w:rFonts w:ascii="Verdana" w:hAnsi="Verdana"/>
          <w:color w:val="2D2D2D"/>
        </w:rPr>
        <w:t xml:space="preserve">De otra parte es necesario indicar que, </w:t>
      </w:r>
      <w:r w:rsidR="00AC744C" w:rsidRPr="00185EE9">
        <w:rPr>
          <w:rFonts w:ascii="Verdana" w:eastAsia="Calibri" w:hAnsi="Verdana" w:cs="Arial"/>
          <w:bCs/>
          <w:color w:val="000000" w:themeColor="text1"/>
        </w:rPr>
        <w:t>según</w:t>
      </w:r>
      <w:r w:rsidR="00AC744C">
        <w:rPr>
          <w:rFonts w:ascii="Verdana" w:eastAsia="Calibri" w:hAnsi="Verdana" w:cs="Arial"/>
          <w:bCs/>
          <w:color w:val="000000" w:themeColor="text1"/>
        </w:rPr>
        <w:t xml:space="preserve"> </w:t>
      </w:r>
      <w:r w:rsidR="00AC744C" w:rsidRPr="00185EE9">
        <w:rPr>
          <w:rFonts w:ascii="Verdana" w:eastAsia="Calibri" w:hAnsi="Verdana" w:cs="Arial"/>
          <w:bCs/>
          <w:color w:val="000000" w:themeColor="text1"/>
        </w:rPr>
        <w:t xml:space="preserve">el inciso segundo del literal a) del artículo 2, numeral 2 de la Ley 1150 de 2007 </w:t>
      </w:r>
      <w:r w:rsidR="00AC744C">
        <w:rPr>
          <w:rFonts w:ascii="Verdana" w:eastAsia="Calibri" w:hAnsi="Verdana" w:cs="Arial"/>
          <w:bCs/>
          <w:color w:val="000000" w:themeColor="text1"/>
        </w:rPr>
        <w:t>dispuso</w:t>
      </w:r>
      <w:r w:rsidR="00AC744C" w:rsidRPr="00185EE9">
        <w:rPr>
          <w:rFonts w:ascii="Verdana" w:eastAsia="Calibri" w:hAnsi="Verdana" w:cs="Arial"/>
          <w:bCs/>
          <w:color w:val="000000" w:themeColor="text1"/>
        </w:rPr>
        <w:t xml:space="preserve"> que “</w:t>
      </w:r>
      <w:r w:rsidR="00AC744C" w:rsidRPr="00185EE9">
        <w:rPr>
          <w:rFonts w:ascii="Verdana" w:eastAsia="Calibri" w:hAnsi="Verdana" w:cs="Arial"/>
          <w:bCs/>
          <w:i/>
          <w:iCs/>
          <w:color w:val="000000" w:themeColor="text1"/>
        </w:rPr>
        <w:t>Para la adquisición de estos bienes y servicios las entidades deberán</w:t>
      </w:r>
      <w:r w:rsidR="00AC744C">
        <w:rPr>
          <w:rFonts w:ascii="Verdana" w:eastAsia="Calibri" w:hAnsi="Verdana" w:cs="Arial"/>
          <w:bCs/>
          <w:i/>
          <w:iCs/>
          <w:color w:val="000000" w:themeColor="text1"/>
        </w:rPr>
        <w:t>”</w:t>
      </w:r>
      <w:r w:rsidR="00AC744C" w:rsidRPr="00185EE9">
        <w:rPr>
          <w:rFonts w:ascii="Verdana" w:eastAsia="Calibri" w:hAnsi="Verdana" w:cs="Arial"/>
          <w:bCs/>
          <w:color w:val="000000" w:themeColor="text1"/>
        </w:rPr>
        <w:t xml:space="preserve">, siempre que el reglamento así lo señale, </w:t>
      </w:r>
      <w:r w:rsidR="00AC744C" w:rsidRPr="00185EE9">
        <w:rPr>
          <w:rFonts w:ascii="Verdana" w:eastAsia="Calibri" w:hAnsi="Verdana" w:cs="Arial"/>
          <w:bCs/>
          <w:i/>
          <w:iCs/>
          <w:color w:val="000000" w:themeColor="text1"/>
        </w:rPr>
        <w:t>hacer uso</w:t>
      </w:r>
      <w:r w:rsidR="00AC744C" w:rsidRPr="00185EE9">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00AC744C" w:rsidRPr="00185EE9">
        <w:rPr>
          <w:rFonts w:ascii="Verdana" w:eastAsia="Calibri" w:hAnsi="Verdana" w:cs="Arial"/>
          <w:bCs/>
          <w:i/>
          <w:iCs/>
          <w:color w:val="000000" w:themeColor="text1"/>
        </w:rPr>
        <w:t>de procedimientos de adquisición en bolsas de productos</w:t>
      </w:r>
      <w:r w:rsidR="00AC744C" w:rsidRPr="00185EE9">
        <w:rPr>
          <w:rFonts w:ascii="Verdana" w:eastAsia="Calibri" w:hAnsi="Verdana" w:cs="Arial"/>
          <w:bCs/>
          <w:color w:val="000000" w:themeColor="text1"/>
        </w:rPr>
        <w:t xml:space="preserve">” (Énfasis fuera de texto). </w:t>
      </w:r>
    </w:p>
    <w:p w14:paraId="4CB80AF6" w14:textId="2575B246" w:rsidR="00045FCE" w:rsidRDefault="00DE1B3C" w:rsidP="00DE1B3C">
      <w:pPr>
        <w:spacing w:after="0" w:line="276" w:lineRule="auto"/>
        <w:ind w:firstLine="708"/>
        <w:jc w:val="both"/>
        <w:rPr>
          <w:rFonts w:ascii="Verdana" w:eastAsia="Calibri" w:hAnsi="Verdana" w:cs="Arial"/>
          <w:lang w:eastAsia="es-ES"/>
        </w:rPr>
      </w:pPr>
      <w:r>
        <w:rPr>
          <w:rFonts w:ascii="Verdana" w:eastAsia="Calibri" w:hAnsi="Verdana" w:cs="Arial"/>
          <w:lang w:eastAsia="es-ES"/>
        </w:rPr>
        <w:t xml:space="preserve">Como se evidencia el artículo dispone de los tres mecanismos por medios de los cuales las entidades pueden acudir a la adquisición de bienes y servicios </w:t>
      </w:r>
      <w:r>
        <w:rPr>
          <w:rFonts w:ascii="Verdana" w:eastAsia="Calibri" w:hAnsi="Verdana" w:cs="Arial"/>
          <w:lang w:eastAsia="es-ES"/>
        </w:rPr>
        <w:lastRenderedPageBreak/>
        <w:t>de características técnicas uniformes y de común utilización</w:t>
      </w:r>
      <w:r w:rsidR="00045FCE">
        <w:rPr>
          <w:rFonts w:ascii="Verdana" w:eastAsia="Calibri" w:hAnsi="Verdana" w:cs="Arial"/>
          <w:lang w:eastAsia="es-ES"/>
        </w:rPr>
        <w:t>, la subasta inversa</w:t>
      </w:r>
      <w:r w:rsidR="00045FCE">
        <w:rPr>
          <w:rStyle w:val="Refdenotaalpie"/>
          <w:rFonts w:ascii="Verdana" w:eastAsia="Calibri" w:hAnsi="Verdana" w:cs="Arial"/>
          <w:lang w:eastAsia="es-ES"/>
        </w:rPr>
        <w:footnoteReference w:id="6"/>
      </w:r>
      <w:r w:rsidR="00045FCE">
        <w:rPr>
          <w:rFonts w:ascii="Verdana" w:eastAsia="Calibri" w:hAnsi="Verdana" w:cs="Arial"/>
          <w:lang w:eastAsia="es-ES"/>
        </w:rPr>
        <w:t>, Acuerdos Marco de Precios</w:t>
      </w:r>
      <w:r w:rsidR="00045FCE">
        <w:rPr>
          <w:rStyle w:val="Refdenotaalpie"/>
          <w:rFonts w:ascii="Verdana" w:eastAsia="Calibri" w:hAnsi="Verdana" w:cs="Arial"/>
          <w:lang w:eastAsia="es-ES"/>
        </w:rPr>
        <w:footnoteReference w:id="7"/>
      </w:r>
      <w:r w:rsidR="00045FCE">
        <w:rPr>
          <w:rFonts w:ascii="Verdana" w:eastAsia="Calibri" w:hAnsi="Verdana" w:cs="Arial"/>
          <w:lang w:eastAsia="es-ES"/>
        </w:rPr>
        <w:t xml:space="preserve"> y bolsa de productos</w:t>
      </w:r>
      <w:r w:rsidR="00045FCE">
        <w:rPr>
          <w:rStyle w:val="Refdenotaalpie"/>
          <w:rFonts w:ascii="Verdana" w:eastAsia="Calibri" w:hAnsi="Verdana" w:cs="Arial"/>
          <w:lang w:eastAsia="es-ES"/>
        </w:rPr>
        <w:footnoteReference w:id="8"/>
      </w:r>
      <w:r w:rsidR="00045FCE">
        <w:rPr>
          <w:rFonts w:ascii="Verdana" w:eastAsia="Calibri" w:hAnsi="Verdana" w:cs="Arial"/>
          <w:lang w:eastAsia="es-ES"/>
        </w:rPr>
        <w:t>.</w:t>
      </w:r>
      <w:r w:rsidR="0096067B">
        <w:rPr>
          <w:rFonts w:ascii="Verdana" w:eastAsia="Calibri" w:hAnsi="Verdana" w:cs="Arial"/>
          <w:lang w:eastAsia="es-ES"/>
        </w:rPr>
        <w:t xml:space="preserve">  </w:t>
      </w:r>
      <w:r w:rsidR="00045FCE">
        <w:rPr>
          <w:rFonts w:ascii="Verdana" w:eastAsia="Calibri" w:hAnsi="Verdana" w:cs="Arial"/>
          <w:lang w:eastAsia="es-ES"/>
        </w:rPr>
        <w:t xml:space="preserve">De manera particular y en relación con la temática planteada en la consulta, se hace acude a lo señalado en el Decreto reglamentario frente al Acuerdo Marco de Precios, en el artículo 2.2.1.2.1.2.7 en los siguientes términos: </w:t>
      </w:r>
    </w:p>
    <w:p w14:paraId="26B1E311" w14:textId="1160C7AA" w:rsidR="00045FCE" w:rsidRDefault="00045FCE" w:rsidP="00DE1B3C">
      <w:pPr>
        <w:spacing w:after="0" w:line="276" w:lineRule="auto"/>
        <w:ind w:firstLine="708"/>
        <w:jc w:val="both"/>
        <w:rPr>
          <w:rFonts w:ascii="Verdana" w:eastAsia="Calibri" w:hAnsi="Verdana" w:cs="Arial"/>
          <w:lang w:eastAsia="es-ES"/>
        </w:rPr>
      </w:pPr>
    </w:p>
    <w:p w14:paraId="1B134347" w14:textId="03920A1D" w:rsidR="00045FCE" w:rsidRPr="00045FCE" w:rsidRDefault="00E50046" w:rsidP="00045FCE">
      <w:pPr>
        <w:spacing w:after="0" w:line="240" w:lineRule="auto"/>
        <w:ind w:left="709" w:right="900" w:hanging="1"/>
        <w:jc w:val="both"/>
        <w:rPr>
          <w:rFonts w:ascii="Verdana" w:eastAsia="Calibri" w:hAnsi="Verdana" w:cs="Arial"/>
          <w:sz w:val="20"/>
          <w:lang w:eastAsia="es-ES"/>
        </w:rPr>
      </w:pPr>
      <w:r>
        <w:rPr>
          <w:rFonts w:ascii="Verdana" w:hAnsi="Verdana" w:cs="Arial"/>
          <w:color w:val="000000"/>
          <w:sz w:val="20"/>
          <w:szCs w:val="21"/>
        </w:rPr>
        <w:t>“</w:t>
      </w:r>
      <w:r w:rsidR="00045FCE">
        <w:rPr>
          <w:rFonts w:ascii="Verdana" w:hAnsi="Verdana" w:cs="Arial"/>
          <w:color w:val="000000"/>
          <w:sz w:val="20"/>
          <w:szCs w:val="21"/>
        </w:rPr>
        <w:t>(…)</w:t>
      </w:r>
      <w:r w:rsidR="0096067B">
        <w:rPr>
          <w:rFonts w:ascii="Verdana" w:hAnsi="Verdana" w:cs="Arial"/>
          <w:i/>
          <w:color w:val="000000"/>
          <w:sz w:val="20"/>
          <w:szCs w:val="21"/>
        </w:rPr>
        <w:t xml:space="preserve"> </w:t>
      </w:r>
      <w:r w:rsidR="00045FCE" w:rsidRPr="00045FCE">
        <w:rPr>
          <w:rFonts w:ascii="Verdana" w:hAnsi="Verdana" w:cs="Arial"/>
          <w:i/>
          <w:color w:val="000000"/>
          <w:sz w:val="20"/>
          <w:szCs w:val="21"/>
        </w:rPr>
        <w:t>Las entidades estatales sometidas al Estatuto General de Contratación de la administración pública están obligadas a adquirir Bienes y Servicios Uniformes y No Uniformes de Común Utilización, a través de los Acuerdos Marco de Precios previamente justificados, diseñados, organizados y celebrados por la Agencia Nacional de Contratación Pública -Colombia Compra Eficiente-.</w:t>
      </w:r>
      <w:r w:rsidR="00045FCE" w:rsidRPr="00045FCE">
        <w:rPr>
          <w:rFonts w:ascii="Verdana" w:hAnsi="Verdana" w:cs="Arial"/>
          <w:i/>
          <w:color w:val="000000"/>
          <w:sz w:val="20"/>
          <w:szCs w:val="21"/>
        </w:rPr>
        <w:tab/>
      </w:r>
      <w:r w:rsidR="00045FCE" w:rsidRPr="00045FCE">
        <w:rPr>
          <w:rFonts w:ascii="Verdana" w:hAnsi="Verdana" w:cs="Arial"/>
          <w:i/>
          <w:color w:val="000000"/>
          <w:sz w:val="20"/>
          <w:szCs w:val="21"/>
        </w:rPr>
        <w:br/>
      </w:r>
      <w:r w:rsidR="00045FCE" w:rsidRPr="00045FCE">
        <w:rPr>
          <w:rFonts w:ascii="Verdana" w:hAnsi="Verdana" w:cs="Arial"/>
          <w:i/>
          <w:color w:val="000000"/>
          <w:sz w:val="20"/>
          <w:szCs w:val="21"/>
        </w:rPr>
        <w:br/>
        <w:t>La implementación de nuevos Acuerdos Marco de Precios organizados y celebrados por la Agencia Nacional de Contratación Pública -Colombia Compra Eficiente- de uso obligatorio por parte de las entidades territoriales estará precedida de un estudio de agregación de demanda, en el que se tendrá en cuenta las particularidades propias de los mercados regionales, la necesidad de promover el desarrollo empresarial en las entidades territoriales a través de las Mipymes y evitar en lo posible, la concentración de proveedores en ciertas ciudades del país, salvo que exista la respectiva justificación técnica, económica y/o jurídica.</w:t>
      </w:r>
      <w:r w:rsidR="00045FCE">
        <w:rPr>
          <w:rFonts w:ascii="Verdana" w:hAnsi="Verdana" w:cs="Arial"/>
          <w:i/>
          <w:color w:val="000000"/>
          <w:sz w:val="20"/>
          <w:szCs w:val="21"/>
        </w:rPr>
        <w:tab/>
      </w:r>
      <w:r w:rsidR="00045FCE" w:rsidRPr="00045FCE">
        <w:rPr>
          <w:rFonts w:ascii="Verdana" w:hAnsi="Verdana" w:cs="Arial"/>
          <w:i/>
          <w:color w:val="000000"/>
          <w:sz w:val="20"/>
          <w:szCs w:val="21"/>
        </w:rPr>
        <w:br/>
      </w:r>
      <w:r w:rsidR="00045FCE" w:rsidRPr="00045FCE">
        <w:rPr>
          <w:rFonts w:ascii="Verdana" w:hAnsi="Verdana" w:cs="Arial"/>
          <w:i/>
          <w:color w:val="000000"/>
          <w:sz w:val="20"/>
          <w:szCs w:val="21"/>
        </w:rPr>
        <w:br/>
      </w:r>
      <w:r w:rsidR="00045FCE" w:rsidRPr="00045FCE">
        <w:rPr>
          <w:rStyle w:val="Textoennegrita"/>
          <w:rFonts w:ascii="Verdana" w:hAnsi="Verdana" w:cs="Arial"/>
          <w:i/>
          <w:color w:val="000000"/>
          <w:sz w:val="20"/>
          <w:szCs w:val="21"/>
        </w:rPr>
        <w:t>Parágrafo 1°.</w:t>
      </w:r>
      <w:r w:rsidR="00045FCE" w:rsidRPr="00045FCE">
        <w:rPr>
          <w:rFonts w:ascii="Verdana" w:hAnsi="Verdana" w:cs="Arial"/>
          <w:i/>
          <w:color w:val="000000"/>
          <w:sz w:val="20"/>
          <w:szCs w:val="21"/>
        </w:rPr>
        <w:t> Para los fines contemplados en el presente artículo, el uso obligatorio de los Acuerdos Marco de Precios organizados y celebrados por la Agencia Nacional de Contratación Pública -Colombia Compra Eficiente</w:t>
      </w:r>
      <w:r w:rsidR="00045FCE">
        <w:rPr>
          <w:rFonts w:ascii="Verdana" w:hAnsi="Verdana" w:cs="Arial"/>
          <w:i/>
          <w:color w:val="000000"/>
          <w:sz w:val="20"/>
          <w:szCs w:val="21"/>
        </w:rPr>
        <w:t xml:space="preserve"> </w:t>
      </w:r>
      <w:r w:rsidR="00045FCE" w:rsidRPr="00045FCE">
        <w:rPr>
          <w:rFonts w:ascii="Verdana" w:hAnsi="Verdana" w:cs="Arial"/>
          <w:i/>
          <w:color w:val="000000"/>
          <w:sz w:val="20"/>
          <w:szCs w:val="21"/>
        </w:rPr>
        <w:t>por parte de las entidades estatales sometidas al Estatuto General de Contratación de la Administración Pública se hará de manera gradual, teniendo en cuenta las siguientes condiciones:</w:t>
      </w:r>
      <w:r w:rsidR="00045FCE" w:rsidRPr="00045FCE">
        <w:rPr>
          <w:rFonts w:ascii="Verdana" w:hAnsi="Verdana" w:cs="Arial"/>
          <w:i/>
          <w:color w:val="000000"/>
          <w:sz w:val="20"/>
          <w:szCs w:val="21"/>
        </w:rPr>
        <w:br/>
      </w:r>
      <w:r w:rsidR="00045FCE" w:rsidRPr="00045FCE">
        <w:rPr>
          <w:rFonts w:ascii="Verdana" w:hAnsi="Verdana" w:cs="Arial"/>
          <w:i/>
          <w:color w:val="000000"/>
          <w:sz w:val="20"/>
          <w:szCs w:val="21"/>
        </w:rPr>
        <w:br/>
        <w:t>1. La Agencia Nacional de Contratación Pública -Colombia Compra Eficiente</w:t>
      </w:r>
      <w:r w:rsidR="00045FCE">
        <w:rPr>
          <w:rFonts w:ascii="Verdana" w:hAnsi="Verdana" w:cs="Arial"/>
          <w:i/>
          <w:color w:val="000000"/>
          <w:sz w:val="20"/>
          <w:szCs w:val="21"/>
        </w:rPr>
        <w:t xml:space="preserve"> </w:t>
      </w:r>
      <w:r w:rsidR="00045FCE" w:rsidRPr="00045FCE">
        <w:rPr>
          <w:rFonts w:ascii="Verdana" w:hAnsi="Verdana" w:cs="Arial"/>
          <w:i/>
          <w:color w:val="000000"/>
          <w:sz w:val="20"/>
          <w:szCs w:val="21"/>
        </w:rPr>
        <w:t>como Administradora del Sistema Electrónico para la Contratación Pública (Secop) permitirá el ingreso a la Tienda Virtual del Estado Colombiano (TVEC), de acuerdo con las condiciones técnicas de la plataforma y la asignación de nuevos usuarios</w:t>
      </w:r>
      <w:r w:rsidR="00045FCE" w:rsidRPr="00045FCE">
        <w:rPr>
          <w:rFonts w:ascii="Verdana" w:hAnsi="Verdana" w:cs="Arial"/>
          <w:color w:val="000000"/>
          <w:sz w:val="20"/>
          <w:szCs w:val="21"/>
        </w:rPr>
        <w:t>.</w:t>
      </w:r>
      <w:r w:rsidR="00045FCE">
        <w:rPr>
          <w:rFonts w:ascii="Verdana" w:hAnsi="Verdana" w:cs="Arial"/>
          <w:color w:val="000000"/>
          <w:sz w:val="20"/>
          <w:szCs w:val="21"/>
        </w:rPr>
        <w:t xml:space="preserve"> </w:t>
      </w:r>
      <w:r w:rsidR="00045FCE" w:rsidRPr="00045FCE">
        <w:rPr>
          <w:rFonts w:ascii="Verdana" w:eastAsia="Calibri" w:hAnsi="Verdana" w:cs="Arial"/>
          <w:sz w:val="20"/>
          <w:lang w:eastAsia="es-ES"/>
        </w:rPr>
        <w:t>(…)</w:t>
      </w:r>
      <w:r>
        <w:rPr>
          <w:rFonts w:ascii="Verdana" w:eastAsia="Calibri" w:hAnsi="Verdana" w:cs="Arial"/>
          <w:sz w:val="20"/>
          <w:lang w:eastAsia="es-ES"/>
        </w:rPr>
        <w:t>”</w:t>
      </w:r>
    </w:p>
    <w:p w14:paraId="209CB5B3" w14:textId="4338455F" w:rsidR="00AC744C" w:rsidRDefault="00AC744C" w:rsidP="00AC744C">
      <w:pPr>
        <w:spacing w:after="120" w:line="276" w:lineRule="auto"/>
        <w:ind w:firstLine="708"/>
        <w:jc w:val="both"/>
        <w:rPr>
          <w:rFonts w:ascii="Verdana" w:hAnsi="Verdana" w:cs="Arial"/>
          <w:color w:val="000000" w:themeColor="text1"/>
          <w:lang w:val="es-ES"/>
        </w:rPr>
      </w:pPr>
    </w:p>
    <w:p w14:paraId="60CA38CF" w14:textId="68991F7A" w:rsidR="00045FCE" w:rsidRDefault="00045FCE" w:rsidP="00AC744C">
      <w:pPr>
        <w:spacing w:after="120" w:line="276" w:lineRule="auto"/>
        <w:ind w:firstLine="708"/>
        <w:jc w:val="both"/>
        <w:rPr>
          <w:rFonts w:ascii="Verdana" w:hAnsi="Verdana" w:cs="Arial"/>
          <w:color w:val="000000" w:themeColor="text1"/>
          <w:lang w:val="es-ES"/>
        </w:rPr>
      </w:pPr>
      <w:r>
        <w:rPr>
          <w:rFonts w:ascii="Verdana" w:hAnsi="Verdana" w:cs="Arial"/>
          <w:color w:val="000000" w:themeColor="text1"/>
          <w:lang w:val="es-ES"/>
        </w:rPr>
        <w:lastRenderedPageBreak/>
        <w:t xml:space="preserve">Como se puede apreciar el reglamento estableció la obligatoriedad para las entidades sometidas al EGCAP </w:t>
      </w:r>
      <w:r w:rsidR="001B3470">
        <w:rPr>
          <w:rFonts w:ascii="Verdana" w:hAnsi="Verdana" w:cs="Arial"/>
          <w:color w:val="000000" w:themeColor="text1"/>
          <w:lang w:val="es-ES"/>
        </w:rPr>
        <w:t xml:space="preserve">de manera gradual, </w:t>
      </w:r>
      <w:r>
        <w:rPr>
          <w:rFonts w:ascii="Verdana" w:hAnsi="Verdana" w:cs="Arial"/>
          <w:color w:val="000000" w:themeColor="text1"/>
          <w:lang w:val="es-ES"/>
        </w:rPr>
        <w:t xml:space="preserve">de acudir al mecanismo que se encuentra administrado por esta Agencia para la adquisición de bienes y servicios </w:t>
      </w:r>
      <w:r w:rsidR="001B3470">
        <w:rPr>
          <w:rFonts w:ascii="Verdana" w:hAnsi="Verdana" w:cs="Arial"/>
          <w:color w:val="000000" w:themeColor="text1"/>
          <w:lang w:val="es-ES"/>
        </w:rPr>
        <w:t>que se encuentren en los respectivos Acuerdos Marco de Precios</w:t>
      </w:r>
      <w:r w:rsidR="00520EAF">
        <w:rPr>
          <w:rFonts w:ascii="Verdana" w:hAnsi="Verdana" w:cs="Arial"/>
          <w:color w:val="000000" w:themeColor="text1"/>
          <w:lang w:val="es-ES"/>
        </w:rPr>
        <w:t xml:space="preserve">, de lo cual se puede evidenciar que no se hace referencia a las entidades con régimen especial de contratación de acudir al mecanismo. </w:t>
      </w:r>
    </w:p>
    <w:p w14:paraId="7BC354CD" w14:textId="3F49DA34" w:rsidR="00AC744C" w:rsidRDefault="00520EAF" w:rsidP="00AC744C">
      <w:pPr>
        <w:spacing w:after="120" w:line="276" w:lineRule="auto"/>
        <w:ind w:firstLine="708"/>
        <w:jc w:val="both"/>
        <w:rPr>
          <w:rFonts w:ascii="Verdana" w:hAnsi="Verdana" w:cs="Arial"/>
          <w:color w:val="000000" w:themeColor="text1"/>
          <w:lang w:val="es-ES"/>
        </w:rPr>
      </w:pPr>
      <w:r>
        <w:rPr>
          <w:rFonts w:ascii="Verdana" w:hAnsi="Verdana" w:cs="Arial"/>
          <w:color w:val="000000" w:themeColor="text1"/>
          <w:lang w:val="es-ES"/>
        </w:rPr>
        <w:t>Pues bien, en relación con lo establecido en el artículo citado del Decreto Reglamentario, se</w:t>
      </w:r>
      <w:r w:rsidR="00AC744C">
        <w:rPr>
          <w:rFonts w:ascii="Verdana" w:hAnsi="Verdana" w:cs="Arial"/>
          <w:color w:val="000000" w:themeColor="text1"/>
          <w:lang w:val="es-ES"/>
        </w:rPr>
        <w:t xml:space="preserve"> debe acudir a lo señalado por parte de la Agencia en el documento denominado, “</w:t>
      </w:r>
      <w:r w:rsidR="00AC744C">
        <w:rPr>
          <w:rFonts w:ascii="Verdana" w:hAnsi="Verdana" w:cs="Arial"/>
          <w:i/>
          <w:color w:val="000000" w:themeColor="text1"/>
          <w:lang w:val="es-ES"/>
        </w:rPr>
        <w:t>Términos y condiciones de uso de la tienda virtual del Estado Colombiano”</w:t>
      </w:r>
      <w:r w:rsidR="00AC744C">
        <w:rPr>
          <w:rStyle w:val="Refdenotaalpie"/>
          <w:rFonts w:ascii="Verdana" w:hAnsi="Verdana" w:cs="Arial"/>
          <w:i/>
          <w:color w:val="000000" w:themeColor="text1"/>
          <w:lang w:val="es-ES"/>
        </w:rPr>
        <w:footnoteReference w:id="9"/>
      </w:r>
      <w:r w:rsidR="00AC744C">
        <w:rPr>
          <w:rFonts w:ascii="Verdana" w:hAnsi="Verdana" w:cs="Arial"/>
          <w:color w:val="000000" w:themeColor="text1"/>
          <w:lang w:val="es-ES"/>
        </w:rPr>
        <w:t xml:space="preserve">, en el cual se hace referencia en diferentes apartados para que las entidades con régimen especial (exceptuado) acuda a los catálogos de la Tienda Virtual del Estado Colombiano-TVEC- de la siguiente manera: </w:t>
      </w:r>
    </w:p>
    <w:p w14:paraId="6AC6190C" w14:textId="1DB3D2A9" w:rsidR="005924A1" w:rsidRPr="005662AE" w:rsidRDefault="00E50046" w:rsidP="00AC744C">
      <w:pPr>
        <w:spacing w:after="120" w:line="276" w:lineRule="auto"/>
        <w:ind w:firstLine="567"/>
        <w:jc w:val="both"/>
        <w:rPr>
          <w:rFonts w:ascii="Verdana" w:hAnsi="Verdana" w:cs="Arial"/>
          <w:color w:val="000000" w:themeColor="text1"/>
          <w:sz w:val="20"/>
          <w:lang w:val="es-ES"/>
        </w:rPr>
      </w:pPr>
      <w:r>
        <w:rPr>
          <w:rFonts w:ascii="Verdana" w:hAnsi="Verdana" w:cs="Arial"/>
          <w:color w:val="000000" w:themeColor="text1"/>
          <w:lang w:val="es-ES"/>
        </w:rPr>
        <w:t>“</w:t>
      </w:r>
      <w:r w:rsidR="00AC744C">
        <w:rPr>
          <w:rFonts w:ascii="Verdana" w:hAnsi="Verdana" w:cs="Arial"/>
          <w:color w:val="000000" w:themeColor="text1"/>
          <w:lang w:val="es-ES"/>
        </w:rPr>
        <w:t>(…)</w:t>
      </w:r>
      <w:r>
        <w:rPr>
          <w:rFonts w:ascii="Verdana" w:hAnsi="Verdana" w:cs="Arial"/>
          <w:color w:val="000000" w:themeColor="text1"/>
          <w:lang w:val="es-ES"/>
        </w:rPr>
        <w:t xml:space="preserve"> </w:t>
      </w:r>
      <w:r w:rsidR="005924A1" w:rsidRPr="005662AE">
        <w:rPr>
          <w:rFonts w:ascii="Verdana" w:hAnsi="Verdana" w:cs="Arial"/>
          <w:color w:val="000000" w:themeColor="text1"/>
          <w:sz w:val="20"/>
          <w:lang w:val="es-ES"/>
        </w:rPr>
        <w:t>XI. INSTRUMENTO DE AGREGACIÓN DE DEMANDA DE MIPYME EN LA TVEC</w:t>
      </w:r>
    </w:p>
    <w:p w14:paraId="3E555482" w14:textId="77777777" w:rsidR="005662AE" w:rsidRDefault="005662AE" w:rsidP="005662AE">
      <w:pPr>
        <w:spacing w:after="120" w:line="276" w:lineRule="auto"/>
        <w:ind w:firstLine="567"/>
        <w:jc w:val="both"/>
        <w:rPr>
          <w:rFonts w:ascii="Verdana" w:hAnsi="Verdana" w:cs="Arial"/>
          <w:color w:val="000000" w:themeColor="text1"/>
          <w:lang w:val="es-ES"/>
        </w:rPr>
      </w:pPr>
      <w:r>
        <w:rPr>
          <w:rFonts w:ascii="Verdana" w:hAnsi="Verdana" w:cs="Arial"/>
          <w:color w:val="000000" w:themeColor="text1"/>
          <w:lang w:val="es-ES"/>
        </w:rPr>
        <w:t>(…)</w:t>
      </w:r>
    </w:p>
    <w:p w14:paraId="7E732122" w14:textId="1CDAD1BF" w:rsidR="00AC744C" w:rsidRDefault="00AC744C" w:rsidP="00AC744C">
      <w:pPr>
        <w:spacing w:after="120" w:line="276" w:lineRule="auto"/>
        <w:ind w:left="567" w:right="900"/>
        <w:jc w:val="both"/>
        <w:rPr>
          <w:rFonts w:ascii="Verdana" w:hAnsi="Verdana" w:cs="Arial"/>
          <w:color w:val="000000" w:themeColor="text1"/>
          <w:sz w:val="20"/>
          <w:lang w:val="es-ES"/>
        </w:rPr>
      </w:pPr>
      <w:r w:rsidRPr="00AC744C">
        <w:rPr>
          <w:rFonts w:ascii="Verdana" w:hAnsi="Verdana" w:cs="Arial"/>
          <w:color w:val="000000" w:themeColor="text1"/>
          <w:sz w:val="20"/>
          <w:lang w:val="es-ES"/>
        </w:rPr>
        <w:t xml:space="preserve">Las Entidades Compradoras con régimen especial de contratación podrán realizar compras en los catálogos de la Tienda Virtual del Estado Colombiano, de acuerdo con lo que establezca su Manual de Contratación.   </w:t>
      </w:r>
    </w:p>
    <w:p w14:paraId="5D52951E" w14:textId="03B43987" w:rsidR="00AC744C" w:rsidRDefault="00AC744C" w:rsidP="00AC744C">
      <w:pPr>
        <w:spacing w:after="120" w:line="276" w:lineRule="auto"/>
        <w:ind w:left="567" w:right="900"/>
        <w:jc w:val="both"/>
        <w:rPr>
          <w:rFonts w:ascii="Verdana" w:hAnsi="Verdana" w:cs="Arial"/>
          <w:color w:val="000000" w:themeColor="text1"/>
          <w:sz w:val="20"/>
          <w:lang w:val="es-ES"/>
        </w:rPr>
      </w:pPr>
      <w:r>
        <w:rPr>
          <w:rFonts w:ascii="Verdana" w:hAnsi="Verdana" w:cs="Arial"/>
          <w:color w:val="000000" w:themeColor="text1"/>
          <w:sz w:val="20"/>
          <w:lang w:val="es-ES"/>
        </w:rPr>
        <w:t>(…)</w:t>
      </w:r>
    </w:p>
    <w:p w14:paraId="06199329" w14:textId="16113DBA" w:rsidR="006D3A21" w:rsidRPr="00885EA6" w:rsidRDefault="005662AE" w:rsidP="005662AE">
      <w:pPr>
        <w:widowControl w:val="0"/>
        <w:autoSpaceDE w:val="0"/>
        <w:autoSpaceDN w:val="0"/>
        <w:spacing w:after="120" w:line="276" w:lineRule="auto"/>
        <w:ind w:firstLine="567"/>
        <w:jc w:val="both"/>
        <w:rPr>
          <w:rFonts w:ascii="Verdana" w:hAnsi="Verdana" w:cs="Arial"/>
          <w:color w:val="000000" w:themeColor="text1"/>
          <w:lang w:val="es-ES"/>
        </w:rPr>
      </w:pPr>
      <w:r w:rsidRPr="005662AE">
        <w:rPr>
          <w:rFonts w:ascii="Verdana" w:hAnsi="Verdana" w:cs="Arial"/>
          <w:color w:val="000000" w:themeColor="text1"/>
          <w:lang w:val="es-ES"/>
        </w:rPr>
        <w:t>B. Proceso de Compra en los catálogos de MiPyme</w:t>
      </w:r>
    </w:p>
    <w:p w14:paraId="0C5CA0D8" w14:textId="77777777" w:rsidR="005662AE" w:rsidRPr="00AC744C" w:rsidRDefault="005662AE" w:rsidP="005662AE">
      <w:pPr>
        <w:spacing w:after="120" w:line="276" w:lineRule="auto"/>
        <w:ind w:left="567" w:right="900"/>
        <w:jc w:val="both"/>
        <w:rPr>
          <w:rFonts w:ascii="Verdana" w:hAnsi="Verdana" w:cs="Arial"/>
          <w:color w:val="000000" w:themeColor="text1"/>
          <w:sz w:val="20"/>
          <w:lang w:val="es-ES"/>
        </w:rPr>
      </w:pPr>
      <w:r>
        <w:rPr>
          <w:rFonts w:ascii="Verdana" w:hAnsi="Verdana" w:cs="Arial"/>
          <w:color w:val="000000" w:themeColor="text1"/>
          <w:sz w:val="20"/>
          <w:lang w:val="es-ES"/>
        </w:rPr>
        <w:t>(…)</w:t>
      </w:r>
    </w:p>
    <w:p w14:paraId="35AFF46D" w14:textId="1AC33CEF" w:rsidR="005662AE" w:rsidRPr="00AC744C" w:rsidRDefault="005662AE" w:rsidP="00283203">
      <w:pPr>
        <w:widowControl w:val="0"/>
        <w:autoSpaceDE w:val="0"/>
        <w:autoSpaceDN w:val="0"/>
        <w:spacing w:after="120" w:line="276" w:lineRule="auto"/>
        <w:ind w:left="567" w:right="758"/>
        <w:jc w:val="both"/>
        <w:rPr>
          <w:rFonts w:ascii="Verdana" w:hAnsi="Verdana" w:cs="Arial"/>
          <w:color w:val="000000" w:themeColor="text1"/>
          <w:sz w:val="20"/>
          <w:lang w:val="es-ES"/>
        </w:rPr>
      </w:pPr>
      <w:r w:rsidRPr="005662AE">
        <w:rPr>
          <w:rFonts w:ascii="Verdana" w:hAnsi="Verdana" w:cs="Arial"/>
          <w:color w:val="000000" w:themeColor="text1"/>
          <w:sz w:val="20"/>
          <w:lang w:val="es-ES"/>
        </w:rPr>
        <w:t>g) El valor máximo de las transacciones realizadas en la TVEC entre Entidades Compradoras y la MiPyme debe ser hasta la mínima cuantía de la respectiva Entidad Compradora. Para las Entidades Compradoras de régimen especial el valor máximo será el que haya definido en su manual de contratación.</w:t>
      </w:r>
      <w:r>
        <w:rPr>
          <w:rFonts w:ascii="Verdana" w:hAnsi="Verdana" w:cs="Arial"/>
          <w:color w:val="000000" w:themeColor="text1"/>
          <w:sz w:val="20"/>
          <w:lang w:val="es-ES"/>
        </w:rPr>
        <w:t>(…)</w:t>
      </w:r>
      <w:r w:rsidR="00E50046">
        <w:rPr>
          <w:rFonts w:ascii="Verdana" w:hAnsi="Verdana" w:cs="Arial"/>
          <w:color w:val="000000" w:themeColor="text1"/>
          <w:sz w:val="20"/>
          <w:lang w:val="es-ES"/>
        </w:rPr>
        <w:t>”</w:t>
      </w:r>
    </w:p>
    <w:p w14:paraId="4A67702B" w14:textId="4F05644E" w:rsidR="005662AE" w:rsidRPr="00885EA6" w:rsidRDefault="005662AE" w:rsidP="00283203">
      <w:pPr>
        <w:spacing w:after="120" w:line="276" w:lineRule="auto"/>
        <w:ind w:firstLine="567"/>
        <w:jc w:val="both"/>
        <w:rPr>
          <w:rFonts w:ascii="Verdana" w:eastAsia="Calibri" w:hAnsi="Verdana" w:cs="Arial"/>
          <w:lang w:val="es-ES"/>
        </w:rPr>
      </w:pPr>
      <w:r>
        <w:rPr>
          <w:rFonts w:ascii="Verdana" w:eastAsia="Calibri" w:hAnsi="Verdana" w:cs="Arial"/>
          <w:lang w:val="es-ES"/>
        </w:rPr>
        <w:t xml:space="preserve">Como se evidencia en el documento expedido por parte de la Agencia, las entidades que cuentan con un régimen especial de </w:t>
      </w:r>
      <w:r w:rsidR="00E50046">
        <w:rPr>
          <w:rFonts w:ascii="Verdana" w:eastAsia="Calibri" w:hAnsi="Verdana" w:cs="Arial"/>
          <w:lang w:val="es-ES"/>
        </w:rPr>
        <w:t>contratación</w:t>
      </w:r>
      <w:r>
        <w:rPr>
          <w:rFonts w:ascii="Verdana" w:eastAsia="Calibri" w:hAnsi="Verdana" w:cs="Arial"/>
          <w:lang w:val="es-ES"/>
        </w:rPr>
        <w:t xml:space="preserve"> podrán acudir a los Acuerdos Marco de Precios para realizar la adquisición o suministro de bienes o servicios de características técnicas uniformes, de acuerdo a lo establecido en el respectivo Manual de Contratación de cada entidad</w:t>
      </w:r>
      <w:r w:rsidR="00673C94">
        <w:rPr>
          <w:rFonts w:ascii="Verdana" w:eastAsia="Calibri" w:hAnsi="Verdana" w:cs="Arial"/>
          <w:lang w:val="es-ES"/>
        </w:rPr>
        <w:t>, por lo que será en cumplimiento de esas condiciones como se determina la obligatoriedad o no de acudir a mecanis</w:t>
      </w:r>
      <w:r w:rsidR="00520EAF">
        <w:rPr>
          <w:rFonts w:ascii="Verdana" w:eastAsia="Calibri" w:hAnsi="Verdana" w:cs="Arial"/>
          <w:lang w:val="es-ES"/>
        </w:rPr>
        <w:t xml:space="preserve">mo. </w:t>
      </w:r>
    </w:p>
    <w:p w14:paraId="708B3949" w14:textId="7D8DC59A" w:rsidR="0096067B" w:rsidRDefault="0096067B" w:rsidP="0096067B">
      <w:pPr>
        <w:spacing w:before="120" w:line="276" w:lineRule="auto"/>
        <w:ind w:firstLine="709"/>
        <w:jc w:val="both"/>
        <w:rPr>
          <w:rFonts w:ascii="Verdana" w:hAnsi="Verdana" w:cs="Arial"/>
          <w:bCs/>
        </w:rPr>
      </w:pPr>
      <w:r>
        <w:rPr>
          <w:rFonts w:ascii="Verdana" w:eastAsia="Calibri" w:hAnsi="Verdana" w:cs="Arial"/>
          <w:color w:val="000000" w:themeColor="text1"/>
          <w:lang w:val="es-ES"/>
        </w:rPr>
        <w:lastRenderedPageBreak/>
        <w:t xml:space="preserve">En todo caso, es importante mencionar que, </w:t>
      </w:r>
      <w:r w:rsidRPr="00FB2E1F">
        <w:rPr>
          <w:rFonts w:ascii="Verdana" w:hAnsi="Verdana" w:cs="Arial"/>
          <w:bCs/>
        </w:rPr>
        <w:t xml:space="preserve">las </w:t>
      </w:r>
      <w:r w:rsidRPr="00FB2E1F">
        <w:rPr>
          <w:rFonts w:ascii="Verdana" w:hAnsi="Verdana" w:cs="Arial"/>
          <w:bCs/>
          <w:i/>
          <w:iCs/>
        </w:rPr>
        <w:t>entidades del régimen exceptuado</w:t>
      </w:r>
      <w:r>
        <w:rPr>
          <w:rFonts w:ascii="Verdana" w:hAnsi="Verdana" w:cs="Arial"/>
          <w:bCs/>
          <w:i/>
          <w:iCs/>
        </w:rPr>
        <w:t xml:space="preserve"> </w:t>
      </w:r>
      <w:r>
        <w:rPr>
          <w:rFonts w:ascii="Verdana" w:hAnsi="Verdana" w:cs="Arial"/>
          <w:bCs/>
        </w:rPr>
        <w:t>–a diferencia de aquel</w:t>
      </w:r>
      <w:r w:rsidRPr="00FB2E1F">
        <w:rPr>
          <w:rFonts w:ascii="Verdana" w:hAnsi="Verdana" w:cs="Arial"/>
          <w:bCs/>
        </w:rPr>
        <w:t xml:space="preserve">las </w:t>
      </w:r>
      <w:r w:rsidRPr="00FB2E1F">
        <w:rPr>
          <w:rFonts w:ascii="Verdana" w:hAnsi="Verdana" w:cs="Arial"/>
          <w:bCs/>
          <w:i/>
          <w:iCs/>
        </w:rPr>
        <w:t>entidades sometidas a la Ley 80 de 1993</w:t>
      </w:r>
      <w:r>
        <w:rPr>
          <w:rFonts w:ascii="Verdana" w:hAnsi="Verdana" w:cs="Arial"/>
          <w:bCs/>
        </w:rPr>
        <w:t xml:space="preserve">– son autónomas para determinar en sus manuales las modalidades de selección de oferentes aplicables para la contratación de los bienes y servicios que requieren. Asimismo, éstos definen </w:t>
      </w:r>
      <w:r w:rsidR="00A232C2">
        <w:rPr>
          <w:rFonts w:ascii="Verdana" w:hAnsi="Verdana" w:cs="Arial"/>
          <w:bCs/>
        </w:rPr>
        <w:t>las reglas a partir de las cuales se deben discernir los eventuales concurrencias entre las modalidades de selección que contemplan</w:t>
      </w:r>
      <w:r>
        <w:rPr>
          <w:rFonts w:ascii="Verdana" w:hAnsi="Verdana" w:cs="Arial"/>
          <w:bCs/>
        </w:rPr>
        <w:t xml:space="preserve">. Dado que estos actos administrativos se presumen legales y tienen carácter ejecutorio, su contenido es de obligatorio cumplimiento para las entidades que los expiden mientras no hayan sido anulados o suspendidos provisionalmente por la jurisdicción contenciosa administrativa –arts. 88 y 89 del CPACA–.  </w:t>
      </w:r>
    </w:p>
    <w:p w14:paraId="736B26B4" w14:textId="67FC5BA0" w:rsidR="00E558EC" w:rsidRDefault="00E558EC" w:rsidP="00F91B33">
      <w:pPr>
        <w:spacing w:before="120" w:line="276" w:lineRule="auto"/>
        <w:jc w:val="both"/>
        <w:rPr>
          <w:rFonts w:ascii="Verdana" w:hAnsi="Verdana" w:cs="Arial"/>
          <w:bCs/>
        </w:rPr>
      </w:pPr>
      <w:r>
        <w:rPr>
          <w:rFonts w:ascii="Verdana" w:hAnsi="Verdana" w:cs="Arial"/>
          <w:bCs/>
        </w:rPr>
        <w:t xml:space="preserve">Con todo, </w:t>
      </w:r>
      <w:r w:rsidRPr="00C35305">
        <w:rPr>
          <w:rFonts w:ascii="Verdana" w:hAnsi="Verdana" w:cs="Arial"/>
          <w:color w:val="000000" w:themeColor="text1"/>
        </w:rPr>
        <w:t>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determinar la modalidad de selección aplicable a la contratación que pretende adelantar </w:t>
      </w:r>
      <w:r w:rsidR="00003302">
        <w:rPr>
          <w:rFonts w:ascii="Verdana" w:hAnsi="Verdana" w:cs="Arial"/>
          <w:color w:val="000000" w:themeColor="text1"/>
        </w:rPr>
        <w:t>una entidad en p</w:t>
      </w:r>
      <w:r w:rsidR="00F91B33">
        <w:rPr>
          <w:rFonts w:ascii="Verdana" w:hAnsi="Verdana" w:cs="Arial"/>
          <w:color w:val="000000" w:themeColor="text1"/>
        </w:rPr>
        <w:t>racticar</w:t>
      </w:r>
      <w:r w:rsidR="00003302">
        <w:rPr>
          <w:rFonts w:ascii="Verdana" w:hAnsi="Verdana" w:cs="Arial"/>
          <w:color w:val="000000" w:themeColor="text1"/>
        </w:rPr>
        <w:t xml:space="preserve">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w:t>
      </w:r>
      <w:r>
        <w:rPr>
          <w:rFonts w:ascii="Verdana" w:hAnsi="Verdana" w:cs="Arial"/>
          <w:color w:val="000000" w:themeColor="text1"/>
        </w:rPr>
        <w:t xml:space="preserve"> </w:t>
      </w:r>
      <w:r w:rsidRPr="00C35305">
        <w:rPr>
          <w:rFonts w:ascii="Verdana" w:hAnsi="Verdana" w:cs="Arial"/>
          <w:color w:val="000000" w:themeColor="text1"/>
        </w:rPr>
        <w:t xml:space="preserve">Por lo anterior, previo concepto de </w:t>
      </w:r>
      <w:r>
        <w:rPr>
          <w:rFonts w:ascii="Verdana" w:hAnsi="Verdana" w:cs="Arial"/>
          <w:color w:val="000000" w:themeColor="text1"/>
        </w:rPr>
        <w:t xml:space="preserve">los funcionarios </w:t>
      </w:r>
      <w:r w:rsidR="00BA0A7A">
        <w:rPr>
          <w:rFonts w:ascii="Verdana" w:hAnsi="Verdana" w:cs="Arial"/>
          <w:color w:val="000000" w:themeColor="text1"/>
        </w:rPr>
        <w:t>de la</w:t>
      </w:r>
      <w:r w:rsidR="00003302">
        <w:rPr>
          <w:rFonts w:ascii="Verdana" w:hAnsi="Verdana" w:cs="Arial"/>
          <w:color w:val="000000" w:themeColor="text1"/>
        </w:rPr>
        <w:t xml:space="preserve"> entidad</w:t>
      </w:r>
      <w:r w:rsidRPr="00C35305">
        <w:rPr>
          <w:rFonts w:ascii="Verdana" w:hAnsi="Verdana" w:cs="Arial"/>
          <w:color w:val="000000" w:themeColor="text1"/>
        </w:rPr>
        <w:t>, la solución de situaciones particulares corresponde a los interesados</w:t>
      </w:r>
      <w:r>
        <w:rPr>
          <w:rFonts w:ascii="Verdana" w:hAnsi="Verdana" w:cs="Arial"/>
          <w:color w:val="000000" w:themeColor="text1"/>
        </w:rPr>
        <w:t xml:space="preserve"> </w:t>
      </w:r>
      <w:r w:rsidRPr="00C35305">
        <w:rPr>
          <w:rFonts w:ascii="Verdana" w:hAnsi="Verdana" w:cs="Arial"/>
          <w:color w:val="000000" w:themeColor="text1"/>
        </w:rPr>
        <w:t>adoptar la decisión correspondiente.</w:t>
      </w:r>
    </w:p>
    <w:p w14:paraId="508A1466" w14:textId="77777777" w:rsidR="003A5C26" w:rsidRPr="00885EA6" w:rsidRDefault="003A5C26" w:rsidP="00050945">
      <w:pPr>
        <w:spacing w:after="0" w:line="276" w:lineRule="auto"/>
        <w:jc w:val="both"/>
        <w:rPr>
          <w:rFonts w:ascii="Verdana" w:eastAsia="Calibri" w:hAnsi="Verdana" w:cs="Arial"/>
          <w:lang w:val="es-ES"/>
        </w:rPr>
      </w:pPr>
    </w:p>
    <w:p w14:paraId="30D6DE43" w14:textId="77777777" w:rsidR="00050945" w:rsidRPr="00885EA6" w:rsidRDefault="00050945" w:rsidP="00050945">
      <w:pPr>
        <w:numPr>
          <w:ilvl w:val="0"/>
          <w:numId w:val="17"/>
        </w:numPr>
        <w:tabs>
          <w:tab w:val="left" w:pos="142"/>
          <w:tab w:val="left" w:pos="284"/>
        </w:tabs>
        <w:spacing w:after="0" w:line="276" w:lineRule="auto"/>
        <w:ind w:left="0" w:firstLine="0"/>
        <w:jc w:val="both"/>
        <w:rPr>
          <w:rFonts w:ascii="Verdana" w:eastAsia="Century Gothic" w:hAnsi="Verdana" w:cs="Century Gothic"/>
          <w:b/>
          <w:bCs/>
          <w:lang w:val="es-ES"/>
        </w:rPr>
      </w:pPr>
      <w:r w:rsidRPr="00885EA6">
        <w:rPr>
          <w:rFonts w:ascii="Verdana" w:eastAsia="Century Gothic" w:hAnsi="Verdana" w:cs="Century Gothic"/>
          <w:b/>
          <w:bCs/>
          <w:lang w:val="es-ES"/>
        </w:rPr>
        <w:t>Referencias normativas, jurisprudenciales y otras fuentes:</w:t>
      </w:r>
    </w:p>
    <w:p w14:paraId="758070C0" w14:textId="77777777" w:rsidR="00050945" w:rsidRPr="00283203" w:rsidRDefault="00050945" w:rsidP="00050945">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283203">
        <w:rPr>
          <w:rFonts w:ascii="Verdana" w:hAnsi="Verdana" w:cs="Arial"/>
        </w:rPr>
        <w:t xml:space="preserve">Ley 80 de 1993, artículo 24, artículo 25, artículo 30. Disponible en: </w:t>
      </w:r>
      <w:hyperlink r:id="rId13" w:history="1">
        <w:r w:rsidRPr="00283203">
          <w:rPr>
            <w:rStyle w:val="Hipervnculo"/>
            <w:rFonts w:ascii="Verdana" w:hAnsi="Verdana" w:cs="Arial"/>
          </w:rPr>
          <w:t>https://relatoria.colombiacompra.gov.co/normativa/ley-80-de-1993/</w:t>
        </w:r>
      </w:hyperlink>
    </w:p>
    <w:p w14:paraId="5B72688A" w14:textId="77777777" w:rsidR="00050945" w:rsidRPr="00283203" w:rsidRDefault="00050945" w:rsidP="00050945">
      <w:pPr>
        <w:pStyle w:val="Prrafodelista"/>
        <w:widowControl w:val="0"/>
        <w:numPr>
          <w:ilvl w:val="0"/>
          <w:numId w:val="18"/>
        </w:numPr>
        <w:autoSpaceDE w:val="0"/>
        <w:autoSpaceDN w:val="0"/>
        <w:spacing w:after="120" w:line="276" w:lineRule="auto"/>
        <w:contextualSpacing w:val="0"/>
        <w:jc w:val="both"/>
        <w:rPr>
          <w:rStyle w:val="Hipervnculo"/>
          <w:rFonts w:ascii="Verdana" w:hAnsi="Verdana" w:cs="Arial"/>
          <w:color w:val="auto"/>
          <w:u w:val="none"/>
        </w:rPr>
      </w:pPr>
      <w:r w:rsidRPr="00283203">
        <w:rPr>
          <w:rFonts w:ascii="Verdana" w:hAnsi="Verdana" w:cs="Arial"/>
        </w:rPr>
        <w:t xml:space="preserve">Ley 1150 de 2007, artículo 5. Disponible en: </w:t>
      </w:r>
      <w:hyperlink r:id="rId14" w:history="1">
        <w:r w:rsidRPr="00283203">
          <w:rPr>
            <w:rStyle w:val="Hipervnculo"/>
            <w:rFonts w:ascii="Verdana" w:hAnsi="Verdana" w:cs="Arial"/>
          </w:rPr>
          <w:t>https://relatoria.colombiacompra.gov.co/normativa/ley-1150-de-2007/</w:t>
        </w:r>
      </w:hyperlink>
    </w:p>
    <w:p w14:paraId="4F215A76" w14:textId="77777777" w:rsidR="00050945" w:rsidRPr="00283203" w:rsidRDefault="00050945" w:rsidP="00050945">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83203">
        <w:rPr>
          <w:rFonts w:ascii="Verdana" w:hAnsi="Verdana" w:cs="Arial"/>
        </w:rPr>
        <w:t xml:space="preserve">Ley 1882 de 2018, artículo 1, artículo 5. Disponible en: </w:t>
      </w:r>
      <w:hyperlink r:id="rId15" w:history="1">
        <w:r w:rsidRPr="00283203">
          <w:rPr>
            <w:rStyle w:val="Hipervnculo"/>
            <w:rFonts w:ascii="Verdana" w:hAnsi="Verdana" w:cs="Arial"/>
          </w:rPr>
          <w:t>https://relatoria.colombiacompra.gov.co/normativa/ley-1882-de-2018/</w:t>
        </w:r>
      </w:hyperlink>
    </w:p>
    <w:p w14:paraId="4D984306" w14:textId="77777777" w:rsidR="00050945" w:rsidRPr="00283203" w:rsidRDefault="00050945" w:rsidP="00050945">
      <w:pPr>
        <w:pStyle w:val="Prrafodelista"/>
        <w:widowControl w:val="0"/>
        <w:numPr>
          <w:ilvl w:val="0"/>
          <w:numId w:val="18"/>
        </w:numPr>
        <w:autoSpaceDE w:val="0"/>
        <w:autoSpaceDN w:val="0"/>
        <w:spacing w:after="120" w:line="276" w:lineRule="auto"/>
        <w:contextualSpacing w:val="0"/>
        <w:jc w:val="both"/>
        <w:rPr>
          <w:rFonts w:ascii="Verdana" w:hAnsi="Verdana" w:cs="Arial"/>
        </w:rPr>
      </w:pPr>
      <w:r w:rsidRPr="00283203">
        <w:rPr>
          <w:rFonts w:ascii="Verdana" w:hAnsi="Verdana" w:cs="Arial"/>
        </w:rPr>
        <w:t xml:space="preserve">Decreto 1082 de 2015, artículo </w:t>
      </w:r>
      <w:r w:rsidRPr="00283203">
        <w:rPr>
          <w:rFonts w:ascii="Verdana" w:hAnsi="Verdana"/>
        </w:rPr>
        <w:t xml:space="preserve">2.2.1.1.2.1.1, artículo </w:t>
      </w:r>
      <w:r w:rsidRPr="00283203">
        <w:rPr>
          <w:rFonts w:ascii="Verdana" w:hAnsi="Verdana" w:cs="Arial"/>
          <w:color w:val="000000" w:themeColor="text1"/>
        </w:rPr>
        <w:t xml:space="preserve">2.2.1.1.2.1.3 </w:t>
      </w:r>
      <w:r w:rsidRPr="00283203">
        <w:rPr>
          <w:rFonts w:ascii="Verdana" w:eastAsia="Calibri" w:hAnsi="Verdana" w:cs="Arial"/>
          <w:lang w:val="es-CO"/>
        </w:rPr>
        <w:t>artículo 2.2.1.2.1.1.2</w:t>
      </w:r>
      <w:r w:rsidRPr="00283203">
        <w:rPr>
          <w:rFonts w:ascii="Verdana" w:hAnsi="Verdana" w:cs="Arial"/>
          <w:color w:val="000000" w:themeColor="text1"/>
        </w:rPr>
        <w:t xml:space="preserve">. </w:t>
      </w:r>
      <w:r w:rsidRPr="00283203">
        <w:rPr>
          <w:rFonts w:ascii="Verdana" w:hAnsi="Verdana"/>
        </w:rPr>
        <w:t xml:space="preserve"> </w:t>
      </w:r>
      <w:r w:rsidRPr="00283203">
        <w:rPr>
          <w:rFonts w:ascii="Verdana" w:hAnsi="Verdana" w:cs="Arial"/>
        </w:rPr>
        <w:t>Disponible en:</w:t>
      </w:r>
      <w:r w:rsidRPr="00283203">
        <w:rPr>
          <w:rFonts w:ascii="Verdana" w:hAnsi="Verdana" w:cs="Arial"/>
        </w:rPr>
        <w:tab/>
        <w:t xml:space="preserve"> </w:t>
      </w:r>
      <w:hyperlink r:id="rId16" w:history="1">
        <w:r w:rsidRPr="00283203">
          <w:rPr>
            <w:rStyle w:val="Hipervnculo"/>
            <w:rFonts w:ascii="Verdana" w:hAnsi="Verdana" w:cs="Arial"/>
          </w:rPr>
          <w:t>https://relatoria.colombiacompra.gov.co/normativa/decreto-1082-de-2015/</w:t>
        </w:r>
      </w:hyperlink>
    </w:p>
    <w:p w14:paraId="65501512" w14:textId="77777777" w:rsidR="00050945" w:rsidRPr="00885EA6" w:rsidRDefault="00050945" w:rsidP="0005094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85EA6">
        <w:rPr>
          <w:rFonts w:ascii="Verdana" w:eastAsia="Century Gothic" w:hAnsi="Verdana" w:cs="Century Gothic"/>
          <w:b/>
          <w:bCs/>
        </w:rPr>
        <w:t>Doctrina de la Agencia Nacional de Contratación Pública:</w:t>
      </w:r>
    </w:p>
    <w:p w14:paraId="4C452FDA" w14:textId="77777777" w:rsidR="00050945" w:rsidRPr="00885EA6" w:rsidRDefault="00050945" w:rsidP="00050945">
      <w:pPr>
        <w:widowControl w:val="0"/>
        <w:autoSpaceDE w:val="0"/>
        <w:autoSpaceDN w:val="0"/>
        <w:spacing w:after="0" w:line="276" w:lineRule="auto"/>
        <w:jc w:val="both"/>
        <w:rPr>
          <w:rFonts w:ascii="Verdana" w:eastAsia="Calibri" w:hAnsi="Verdana" w:cs="Arial"/>
          <w:lang w:val="es-ES" w:eastAsia="es-ES"/>
        </w:rPr>
      </w:pPr>
    </w:p>
    <w:p w14:paraId="14D6D3B9" w14:textId="29406E5B" w:rsidR="00050945" w:rsidRPr="00885EA6" w:rsidRDefault="00050945" w:rsidP="00050945">
      <w:pPr>
        <w:widowControl w:val="0"/>
        <w:autoSpaceDE w:val="0"/>
        <w:autoSpaceDN w:val="0"/>
        <w:spacing w:after="0" w:line="276" w:lineRule="auto"/>
        <w:jc w:val="both"/>
        <w:rPr>
          <w:rFonts w:ascii="Verdana" w:hAnsi="Verdana"/>
        </w:rPr>
      </w:pPr>
      <w:r w:rsidRPr="00283203">
        <w:rPr>
          <w:rStyle w:val="normaltextrun"/>
          <w:rFonts w:ascii="Verdana" w:hAnsi="Verdana" w:cs="Arial"/>
          <w:shd w:val="clear" w:color="auto" w:fill="FFFFFF"/>
          <w:lang w:val="es-ES"/>
        </w:rPr>
        <w:t xml:space="preserve">Sobre </w:t>
      </w:r>
      <w:r w:rsidR="006F6F2E" w:rsidRPr="006F6F2E">
        <w:rPr>
          <w:rFonts w:ascii="Verdana" w:eastAsia="Calibri" w:hAnsi="Verdana" w:cs="Arial"/>
          <w:color w:val="000000" w:themeColor="text1"/>
          <w:lang w:val="es-ES"/>
        </w:rPr>
        <w:t>el régimen de las entidades exceptuadas de la aplicación del Estatuto General de Contratación de la Administración Pública</w:t>
      </w:r>
      <w:r w:rsidR="006F6F2E">
        <w:rPr>
          <w:rFonts w:ascii="Verdana" w:eastAsia="Calibri" w:hAnsi="Verdana" w:cs="Arial"/>
          <w:color w:val="000000" w:themeColor="text1"/>
          <w:lang w:val="es-ES"/>
        </w:rPr>
        <w:t xml:space="preserve"> se ha pronunciado en</w:t>
      </w:r>
      <w:r w:rsidR="006F6F2E" w:rsidRPr="006F6F2E">
        <w:rPr>
          <w:rFonts w:ascii="Verdana" w:eastAsia="Calibri" w:hAnsi="Verdana" w:cs="Arial"/>
          <w:color w:val="000000" w:themeColor="text1"/>
          <w:lang w:val="es-ES"/>
        </w:rPr>
        <w:t xml:space="preserve"> los conceptos con radicado: C-147 del 17 de marzo de 2020, C-157 del 17 de marzo de 2020, C-191 del 16 de marzo de 2020 y C-168 del 31 de marzo de 2020, C-</w:t>
      </w:r>
      <w:r w:rsidR="006F6F2E" w:rsidRPr="006F6F2E">
        <w:rPr>
          <w:rFonts w:ascii="Verdana" w:eastAsia="Calibri" w:hAnsi="Verdana" w:cs="Arial"/>
          <w:color w:val="000000" w:themeColor="text1"/>
          <w:lang w:val="es-ES"/>
        </w:rPr>
        <w:lastRenderedPageBreak/>
        <w:t>158 del 3 de abril de 2020</w:t>
      </w:r>
      <w:r w:rsidR="0044458A">
        <w:rPr>
          <w:rFonts w:ascii="Verdana" w:eastAsia="Calibri" w:hAnsi="Verdana" w:cs="Arial"/>
          <w:color w:val="000000" w:themeColor="text1"/>
          <w:lang w:val="es-ES"/>
        </w:rPr>
        <w:t>,</w:t>
      </w:r>
      <w:r w:rsidR="006F6F2E" w:rsidRPr="006F6F2E">
        <w:rPr>
          <w:rFonts w:ascii="Verdana" w:eastAsia="Calibri" w:hAnsi="Verdana" w:cs="Arial"/>
          <w:color w:val="000000" w:themeColor="text1"/>
          <w:lang w:val="es-ES"/>
        </w:rPr>
        <w:t xml:space="preserve"> C-717 del 21 de enero de 2022</w:t>
      </w:r>
      <w:r w:rsidR="006F6F2E">
        <w:rPr>
          <w:rFonts w:ascii="Verdana" w:eastAsia="Calibri" w:hAnsi="Verdana" w:cs="Arial"/>
          <w:color w:val="000000" w:themeColor="text1"/>
          <w:lang w:val="es-ES"/>
        </w:rPr>
        <w:t xml:space="preserve">, </w:t>
      </w:r>
      <w:r w:rsidR="0044458A">
        <w:rPr>
          <w:rFonts w:ascii="Verdana" w:eastAsia="Calibri" w:hAnsi="Verdana" w:cs="Arial"/>
          <w:color w:val="000000" w:themeColor="text1"/>
          <w:lang w:val="es-ES"/>
        </w:rPr>
        <w:t>C-</w:t>
      </w:r>
      <w:r w:rsidR="00EA0C36">
        <w:rPr>
          <w:rFonts w:ascii="Verdana" w:eastAsia="Calibri" w:hAnsi="Verdana" w:cs="Arial"/>
          <w:color w:val="000000" w:themeColor="text1"/>
          <w:lang w:val="es-ES"/>
        </w:rPr>
        <w:t xml:space="preserve">004 del </w:t>
      </w:r>
      <w:r w:rsidR="000F7E32">
        <w:rPr>
          <w:rFonts w:ascii="Verdana" w:eastAsia="Calibri" w:hAnsi="Verdana" w:cs="Arial"/>
          <w:color w:val="000000" w:themeColor="text1"/>
          <w:lang w:val="es-ES"/>
        </w:rPr>
        <w:t xml:space="preserve">22 de </w:t>
      </w:r>
      <w:r w:rsidR="00C71C7F">
        <w:rPr>
          <w:rFonts w:ascii="Verdana" w:eastAsia="Calibri" w:hAnsi="Verdana" w:cs="Arial"/>
          <w:color w:val="000000" w:themeColor="text1"/>
          <w:lang w:val="es-ES"/>
        </w:rPr>
        <w:t>enero de 2024</w:t>
      </w:r>
      <w:r w:rsidR="00A51003">
        <w:rPr>
          <w:rFonts w:ascii="Verdana" w:eastAsia="Calibri" w:hAnsi="Verdana" w:cs="Arial"/>
          <w:color w:val="000000" w:themeColor="text1"/>
          <w:lang w:val="es-ES"/>
        </w:rPr>
        <w:t xml:space="preserve"> y</w:t>
      </w:r>
      <w:r w:rsidR="00C71C7F">
        <w:rPr>
          <w:rFonts w:ascii="Verdana" w:eastAsia="Calibri" w:hAnsi="Verdana" w:cs="Arial"/>
          <w:color w:val="000000" w:themeColor="text1"/>
          <w:lang w:val="es-ES"/>
        </w:rPr>
        <w:t xml:space="preserve"> </w:t>
      </w:r>
      <w:r w:rsidR="00D03C52">
        <w:rPr>
          <w:rFonts w:ascii="Verdana" w:eastAsia="Calibri" w:hAnsi="Verdana" w:cs="Arial"/>
          <w:color w:val="000000" w:themeColor="text1"/>
          <w:lang w:val="es-ES"/>
        </w:rPr>
        <w:t>C-</w:t>
      </w:r>
      <w:r w:rsidR="00090D1A">
        <w:rPr>
          <w:rFonts w:ascii="Verdana" w:eastAsia="Calibri" w:hAnsi="Verdana" w:cs="Arial"/>
          <w:color w:val="000000" w:themeColor="text1"/>
          <w:lang w:val="es-ES"/>
        </w:rPr>
        <w:t xml:space="preserve">459 del </w:t>
      </w:r>
      <w:r w:rsidR="00A51003">
        <w:rPr>
          <w:rFonts w:ascii="Verdana" w:eastAsia="Calibri" w:hAnsi="Verdana" w:cs="Arial"/>
          <w:color w:val="000000" w:themeColor="text1"/>
          <w:lang w:val="es-ES"/>
        </w:rPr>
        <w:t xml:space="preserve">18 de septiembre de 2024. </w:t>
      </w:r>
      <w:r w:rsidRPr="00885EA6">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885EA6">
        <w:rPr>
          <w:rFonts w:ascii="Verdana" w:hAnsi="Verdana"/>
        </w:rPr>
        <w:t>, accede a través del siguiente enlace:</w:t>
      </w:r>
    </w:p>
    <w:p w14:paraId="10850BD2" w14:textId="77777777" w:rsidR="00050945" w:rsidRPr="00885EA6" w:rsidRDefault="00947469" w:rsidP="00050945">
      <w:pPr>
        <w:widowControl w:val="0"/>
        <w:autoSpaceDE w:val="0"/>
        <w:autoSpaceDN w:val="0"/>
        <w:spacing w:after="0" w:line="276" w:lineRule="auto"/>
        <w:jc w:val="both"/>
        <w:rPr>
          <w:rStyle w:val="normaltextrun"/>
          <w:rFonts w:ascii="Verdana" w:hAnsi="Verdana"/>
        </w:rPr>
      </w:pPr>
      <w:hyperlink r:id="rId17" w:history="1">
        <w:r w:rsidR="00050945" w:rsidRPr="00885EA6">
          <w:rPr>
            <w:rStyle w:val="Hipervnculo"/>
            <w:rFonts w:ascii="Verdana" w:hAnsi="Verdana" w:cs="Arial"/>
            <w:shd w:val="clear" w:color="auto" w:fill="FFFFFF"/>
            <w:lang w:val="es-ES"/>
          </w:rPr>
          <w:t>https://relatoria.colombiacompra.gov.co/busqueda/conceptos</w:t>
        </w:r>
      </w:hyperlink>
      <w:r w:rsidR="00050945" w:rsidRPr="00885EA6">
        <w:rPr>
          <w:rStyle w:val="normaltextrun"/>
          <w:rFonts w:ascii="Verdana" w:hAnsi="Verdana" w:cs="Arial"/>
          <w:shd w:val="clear" w:color="auto" w:fill="FFFFFF"/>
        </w:rPr>
        <w:t xml:space="preserve">. </w:t>
      </w:r>
    </w:p>
    <w:p w14:paraId="2BB56F95" w14:textId="77777777" w:rsidR="00050945" w:rsidRPr="00283203" w:rsidRDefault="00050945" w:rsidP="00050945">
      <w:pPr>
        <w:spacing w:after="0" w:line="254" w:lineRule="auto"/>
        <w:rPr>
          <w:rFonts w:ascii="Verdana" w:eastAsia="Calibri" w:hAnsi="Verdana" w:cs="Times New Roman"/>
        </w:rPr>
      </w:pPr>
      <w:r w:rsidRPr="00283203">
        <w:rPr>
          <w:rFonts w:ascii="Verdana" w:eastAsia="Calibri" w:hAnsi="Verdana" w:cs="Times New Roman"/>
        </w:rPr>
        <w:t> </w:t>
      </w:r>
    </w:p>
    <w:p w14:paraId="6A867A4C" w14:textId="568DDC80" w:rsidR="00050945" w:rsidRPr="00885EA6" w:rsidRDefault="00050945" w:rsidP="00050945">
      <w:pPr>
        <w:spacing w:after="0" w:line="254" w:lineRule="auto"/>
        <w:jc w:val="both"/>
        <w:rPr>
          <w:rFonts w:ascii="Verdana" w:eastAsia="Calibri" w:hAnsi="Verdana" w:cs="Times New Roman"/>
        </w:rPr>
      </w:pPr>
      <w:r w:rsidRPr="00885EA6">
        <w:rPr>
          <w:rFonts w:ascii="Verdana" w:eastAsia="Calibri" w:hAnsi="Verdana" w:cs="Times New Roman"/>
        </w:rPr>
        <w:t>También le invitamos a consultar la</w:t>
      </w:r>
      <w:r w:rsidR="000C59FC">
        <w:rPr>
          <w:rFonts w:ascii="Verdana" w:eastAsia="Calibri" w:hAnsi="Verdana" w:cs="Times New Roman"/>
        </w:rPr>
        <w:t>s</w:t>
      </w:r>
      <w:r w:rsidRPr="00885EA6">
        <w:rPr>
          <w:rFonts w:ascii="Verdana" w:eastAsia="Calibri" w:hAnsi="Verdana" w:cs="Times New Roman"/>
        </w:rPr>
        <w:t xml:space="preserve"> versi</w:t>
      </w:r>
      <w:r w:rsidR="000C59FC">
        <w:rPr>
          <w:rFonts w:ascii="Verdana" w:eastAsia="Calibri" w:hAnsi="Verdana" w:cs="Times New Roman"/>
        </w:rPr>
        <w:t>o</w:t>
      </w:r>
      <w:r w:rsidRPr="00885EA6">
        <w:rPr>
          <w:rFonts w:ascii="Verdana" w:eastAsia="Calibri" w:hAnsi="Verdana" w:cs="Times New Roman"/>
        </w:rPr>
        <w:t>n</w:t>
      </w:r>
      <w:r w:rsidR="000C59FC">
        <w:rPr>
          <w:rFonts w:ascii="Verdana" w:eastAsia="Calibri" w:hAnsi="Verdana" w:cs="Times New Roman"/>
        </w:rPr>
        <w:t>es</w:t>
      </w:r>
      <w:r w:rsidRPr="00885EA6">
        <w:rPr>
          <w:rFonts w:ascii="Verdana" w:eastAsia="Calibri" w:hAnsi="Verdana" w:cs="Times New Roman"/>
        </w:rPr>
        <w:t xml:space="preserve"> VII</w:t>
      </w:r>
      <w:r w:rsidR="000C59FC">
        <w:rPr>
          <w:rFonts w:ascii="Verdana" w:eastAsia="Calibri" w:hAnsi="Verdana" w:cs="Times New Roman"/>
        </w:rPr>
        <w:t xml:space="preserve"> y</w:t>
      </w:r>
      <w:r w:rsidRPr="00885EA6">
        <w:rPr>
          <w:rFonts w:ascii="Verdana" w:eastAsia="Calibri" w:hAnsi="Verdana" w:cs="Times New Roman"/>
        </w:rPr>
        <w:t xml:space="preserve"> VII  de 2024 del Boletín de Relatoría de la Subdirección de Gestión Contractual, </w:t>
      </w:r>
      <w:r w:rsidR="000C59FC">
        <w:rPr>
          <w:rFonts w:ascii="Verdana" w:eastAsia="Calibri" w:hAnsi="Verdana" w:cs="Times New Roman"/>
        </w:rPr>
        <w:t>las  cuales</w:t>
      </w:r>
      <w:r w:rsidRPr="00885EA6">
        <w:rPr>
          <w:rFonts w:ascii="Verdana" w:eastAsia="Calibri" w:hAnsi="Verdana" w:cs="Times New Roman"/>
        </w:rPr>
        <w:t xml:space="preserve"> se puede</w:t>
      </w:r>
      <w:r w:rsidR="000C59FC">
        <w:rPr>
          <w:rFonts w:ascii="Verdana" w:eastAsia="Calibri" w:hAnsi="Verdana" w:cs="Times New Roman"/>
        </w:rPr>
        <w:t>n</w:t>
      </w:r>
      <w:r w:rsidRPr="00885EA6">
        <w:rPr>
          <w:rFonts w:ascii="Verdana" w:eastAsia="Calibri" w:hAnsi="Verdana" w:cs="Times New Roman"/>
        </w:rPr>
        <w:t xml:space="preserve"> descargar en la página web de la Agencia</w:t>
      </w:r>
      <w:r w:rsidR="000C59FC">
        <w:rPr>
          <w:rFonts w:ascii="Verdana" w:eastAsia="Calibri" w:hAnsi="Verdana" w:cs="Times New Roman"/>
        </w:rPr>
        <w:t xml:space="preserve"> a través del siguiente enlace</w:t>
      </w:r>
      <w:r w:rsidRPr="00885EA6">
        <w:rPr>
          <w:rFonts w:ascii="Verdana" w:eastAsia="Calibri" w:hAnsi="Verdana" w:cs="Times New Roman"/>
        </w:rPr>
        <w:t>: </w:t>
      </w:r>
      <w:hyperlink r:id="rId18" w:tgtFrame="_blank" w:tooltip="Dirección URL original: https://www.colombiacompra.gov.co/sala-de-prensa/boletin-digital. Haga clic o pulse si confía en este vínculo." w:history="1">
        <w:r w:rsidRPr="00885EA6">
          <w:rPr>
            <w:rStyle w:val="Hipervnculo"/>
            <w:rFonts w:ascii="Verdana" w:eastAsia="Calibri" w:hAnsi="Verdana" w:cs="Times New Roman"/>
          </w:rPr>
          <w:t>https://www.colombiacompra.gov.co/sala-de-prensa/boletin-digital</w:t>
        </w:r>
      </w:hyperlink>
      <w:r w:rsidRPr="00885EA6">
        <w:rPr>
          <w:rFonts w:ascii="Verdana" w:eastAsia="Calibri" w:hAnsi="Verdana" w:cs="Times New Roman"/>
        </w:rPr>
        <w:t> ".</w:t>
      </w:r>
    </w:p>
    <w:p w14:paraId="440EA747" w14:textId="77777777" w:rsidR="00050945" w:rsidRPr="00885EA6" w:rsidRDefault="00050945" w:rsidP="00050945">
      <w:pPr>
        <w:spacing w:after="0" w:line="254" w:lineRule="auto"/>
        <w:rPr>
          <w:rFonts w:ascii="Verdana" w:eastAsia="Calibri" w:hAnsi="Verdana" w:cs="Times New Roman"/>
        </w:rPr>
      </w:pPr>
    </w:p>
    <w:p w14:paraId="01341754" w14:textId="77777777" w:rsidR="00050945" w:rsidRPr="00885EA6" w:rsidRDefault="00050945" w:rsidP="00050945">
      <w:pPr>
        <w:spacing w:after="0" w:line="254" w:lineRule="auto"/>
        <w:rPr>
          <w:rFonts w:ascii="Verdana" w:eastAsia="Calibri" w:hAnsi="Verdana" w:cs="Times New Roman"/>
        </w:rPr>
      </w:pPr>
      <w:r w:rsidRPr="00885EA6">
        <w:rPr>
          <w:rFonts w:ascii="Verdana" w:eastAsia="Calibri" w:hAnsi="Verdana" w:cs="Times New Roman"/>
        </w:rPr>
        <w:t xml:space="preserve">Por último, lo invitamos a seguirnos en las redes sociales en las cuales se difunde información institucional: </w:t>
      </w:r>
    </w:p>
    <w:p w14:paraId="466F9E66" w14:textId="77777777" w:rsidR="00050945" w:rsidRPr="00885EA6" w:rsidRDefault="00050945" w:rsidP="00050945">
      <w:pPr>
        <w:spacing w:after="0" w:line="254" w:lineRule="auto"/>
        <w:rPr>
          <w:rFonts w:ascii="Verdana" w:eastAsia="Calibri" w:hAnsi="Verdana" w:cs="Times New Roman"/>
        </w:rPr>
      </w:pPr>
    </w:p>
    <w:p w14:paraId="431C8154" w14:textId="77777777" w:rsidR="00050945" w:rsidRPr="00885EA6" w:rsidRDefault="00050945" w:rsidP="00050945">
      <w:pPr>
        <w:spacing w:after="0" w:line="254" w:lineRule="auto"/>
        <w:rPr>
          <w:rFonts w:ascii="Verdana" w:eastAsia="Calibri" w:hAnsi="Verdana" w:cs="Times New Roman"/>
        </w:rPr>
      </w:pPr>
      <w:r w:rsidRPr="00885EA6">
        <w:rPr>
          <w:rFonts w:ascii="Verdana" w:eastAsia="Calibri" w:hAnsi="Verdana" w:cs="Times New Roman"/>
        </w:rPr>
        <w:t xml:space="preserve">Twitter: </w:t>
      </w:r>
      <w:r w:rsidRPr="00885EA6">
        <w:rPr>
          <w:rFonts w:ascii="Verdana" w:eastAsia="Calibri" w:hAnsi="Verdana" w:cs="Times New Roman"/>
          <w:u w:val="single"/>
        </w:rPr>
        <w:t>@colombiacompra</w:t>
      </w:r>
      <w:r w:rsidRPr="00885EA6">
        <w:rPr>
          <w:rFonts w:ascii="Verdana" w:eastAsia="Calibri" w:hAnsi="Verdana" w:cs="Times New Roman"/>
        </w:rPr>
        <w:t xml:space="preserve"> </w:t>
      </w:r>
    </w:p>
    <w:p w14:paraId="379A4364" w14:textId="77777777" w:rsidR="00050945" w:rsidRPr="00885EA6" w:rsidRDefault="00050945" w:rsidP="00050945">
      <w:pPr>
        <w:spacing w:after="0" w:line="254" w:lineRule="auto"/>
        <w:rPr>
          <w:rFonts w:ascii="Verdana" w:eastAsia="Calibri" w:hAnsi="Verdana" w:cs="Times New Roman"/>
        </w:rPr>
      </w:pPr>
      <w:r w:rsidRPr="00885EA6">
        <w:rPr>
          <w:rFonts w:ascii="Verdana" w:eastAsia="Calibri" w:hAnsi="Verdana" w:cs="Times New Roman"/>
        </w:rPr>
        <w:t xml:space="preserve">Facebook: </w:t>
      </w:r>
      <w:r w:rsidRPr="00885EA6">
        <w:rPr>
          <w:rFonts w:ascii="Verdana" w:eastAsia="Calibri" w:hAnsi="Verdana" w:cs="Times New Roman"/>
          <w:u w:val="single"/>
        </w:rPr>
        <w:t>ColombiaCompraEficiente</w:t>
      </w:r>
    </w:p>
    <w:p w14:paraId="34181EEF" w14:textId="77777777" w:rsidR="00050945" w:rsidRPr="00885EA6" w:rsidRDefault="00050945" w:rsidP="00050945">
      <w:pPr>
        <w:spacing w:after="0" w:line="254" w:lineRule="auto"/>
        <w:rPr>
          <w:rFonts w:ascii="Verdana" w:eastAsia="Calibri" w:hAnsi="Verdana" w:cs="Times New Roman"/>
          <w:u w:val="single"/>
        </w:rPr>
      </w:pPr>
      <w:r w:rsidRPr="00885EA6">
        <w:rPr>
          <w:rFonts w:ascii="Verdana" w:eastAsia="Calibri" w:hAnsi="Verdana" w:cs="Times New Roman"/>
        </w:rPr>
        <w:t xml:space="preserve">LinkedIn: </w:t>
      </w:r>
      <w:r w:rsidRPr="00885EA6">
        <w:rPr>
          <w:rFonts w:ascii="Verdana" w:eastAsia="Calibri" w:hAnsi="Verdana" w:cs="Times New Roman"/>
          <w:u w:val="single"/>
        </w:rPr>
        <w:t>Agencia Nacional de Contratación Pública - Colombia Compra Eficiente</w:t>
      </w:r>
      <w:r w:rsidRPr="00885EA6">
        <w:rPr>
          <w:rFonts w:ascii="Verdana" w:eastAsia="Calibri" w:hAnsi="Verdana" w:cs="Times New Roman"/>
        </w:rPr>
        <w:t xml:space="preserve"> Instagram: </w:t>
      </w:r>
      <w:r w:rsidRPr="00885EA6">
        <w:rPr>
          <w:rFonts w:ascii="Verdana" w:eastAsia="Calibri" w:hAnsi="Verdana" w:cs="Times New Roman"/>
          <w:u w:val="single"/>
        </w:rPr>
        <w:t>@colombiacompraeficiente_cce</w:t>
      </w:r>
    </w:p>
    <w:p w14:paraId="1C6774DE" w14:textId="77777777" w:rsidR="00050945" w:rsidRPr="00885EA6" w:rsidRDefault="00050945" w:rsidP="00050945">
      <w:pPr>
        <w:spacing w:after="0" w:line="254" w:lineRule="auto"/>
        <w:rPr>
          <w:rFonts w:ascii="Verdana" w:eastAsia="Calibri" w:hAnsi="Verdana" w:cs="Times New Roman"/>
          <w:b/>
          <w:bCs/>
        </w:rPr>
      </w:pPr>
    </w:p>
    <w:p w14:paraId="47FB2B69" w14:textId="77777777" w:rsidR="00050945" w:rsidRPr="00885EA6" w:rsidRDefault="00050945" w:rsidP="00050945">
      <w:pPr>
        <w:spacing w:after="0" w:line="254" w:lineRule="auto"/>
        <w:jc w:val="both"/>
        <w:rPr>
          <w:rFonts w:ascii="Verdana" w:eastAsia="Calibri" w:hAnsi="Verdana" w:cs="Times New Roman"/>
          <w:lang w:val="es-ES_tradnl"/>
        </w:rPr>
      </w:pPr>
      <w:r w:rsidRPr="00885EA6">
        <w:rPr>
          <w:rFonts w:ascii="Verdana" w:eastAsia="Calibri" w:hAnsi="Verdana" w:cs="Times New Roman"/>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09BD2EEB" w14:textId="77777777" w:rsidR="00050945" w:rsidRPr="00885EA6" w:rsidRDefault="00050945" w:rsidP="00050945">
      <w:pPr>
        <w:spacing w:after="0" w:line="240" w:lineRule="auto"/>
        <w:jc w:val="both"/>
        <w:rPr>
          <w:rFonts w:ascii="Verdana" w:eastAsia="Calibri" w:hAnsi="Verdana"/>
        </w:rPr>
      </w:pPr>
    </w:p>
    <w:p w14:paraId="39BDA3B2" w14:textId="77777777" w:rsidR="00050945" w:rsidRPr="00885EA6" w:rsidRDefault="00050945" w:rsidP="00050945">
      <w:pPr>
        <w:spacing w:after="0" w:line="240" w:lineRule="auto"/>
        <w:jc w:val="both"/>
        <w:rPr>
          <w:rFonts w:ascii="Verdana" w:eastAsia="Times New Roman" w:hAnsi="Verdana" w:cs="Arial"/>
          <w:lang w:eastAsia="es-CO"/>
        </w:rPr>
      </w:pPr>
      <w:r w:rsidRPr="00885EA6">
        <w:rPr>
          <w:rFonts w:ascii="Verdana" w:eastAsia="Times New Roman" w:hAnsi="Verdana" w:cs="Arial"/>
          <w:lang w:eastAsia="es-CO"/>
        </w:rPr>
        <w:t>Atentamente,</w:t>
      </w:r>
    </w:p>
    <w:p w14:paraId="3B3DB197" w14:textId="77777777" w:rsidR="00050945" w:rsidRPr="00885EA6" w:rsidRDefault="00050945" w:rsidP="00050945">
      <w:pPr>
        <w:spacing w:after="0" w:line="240" w:lineRule="auto"/>
        <w:jc w:val="both"/>
        <w:rPr>
          <w:rFonts w:ascii="Verdana" w:eastAsia="Times New Roman" w:hAnsi="Verdana" w:cs="Arial"/>
          <w:lang w:eastAsia="es-CO"/>
        </w:rPr>
      </w:pPr>
    </w:p>
    <w:p w14:paraId="48D2C419" w14:textId="77777777" w:rsidR="00050945" w:rsidRPr="00885EA6" w:rsidRDefault="00050945" w:rsidP="00050945">
      <w:pPr>
        <w:spacing w:after="0" w:line="240" w:lineRule="auto"/>
        <w:jc w:val="both"/>
        <w:rPr>
          <w:rFonts w:ascii="Verdana" w:eastAsia="Times New Roman" w:hAnsi="Verdana" w:cs="Arial"/>
          <w:lang w:eastAsia="es-CO"/>
        </w:rPr>
      </w:pPr>
    </w:p>
    <w:p w14:paraId="58B9CF8B" w14:textId="21DECA6C" w:rsidR="00050945" w:rsidRPr="00885EA6" w:rsidRDefault="00684945" w:rsidP="00050945">
      <w:pPr>
        <w:spacing w:after="0" w:line="240" w:lineRule="auto"/>
        <w:jc w:val="center"/>
        <w:rPr>
          <w:rFonts w:ascii="Verdana" w:eastAsia="Times New Roman" w:hAnsi="Verdana" w:cs="Arial"/>
          <w:lang w:eastAsia="es-CO"/>
        </w:rPr>
      </w:pPr>
      <w:r w:rsidRPr="002C3AD6">
        <w:rPr>
          <w:rFonts w:ascii="Century Gothic" w:hAnsi="Century Gothic"/>
          <w:noProof/>
        </w:rPr>
        <w:drawing>
          <wp:inline distT="0" distB="0" distL="0" distR="0" wp14:anchorId="7B085497" wp14:editId="09A23060">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9"/>
                    <a:stretch>
                      <a:fillRect/>
                    </a:stretch>
                  </pic:blipFill>
                  <pic:spPr>
                    <a:xfrm>
                      <a:off x="0" y="0"/>
                      <a:ext cx="3772426" cy="1400370"/>
                    </a:xfrm>
                    <a:prstGeom prst="rect">
                      <a:avLst/>
                    </a:prstGeom>
                  </pic:spPr>
                </pic:pic>
              </a:graphicData>
            </a:graphic>
          </wp:inline>
        </w:drawing>
      </w:r>
      <w:bookmarkStart w:id="1" w:name="_GoBack"/>
      <w:bookmarkEnd w:id="1"/>
    </w:p>
    <w:p w14:paraId="6B5BE6E1" w14:textId="77777777" w:rsidR="00050945" w:rsidRPr="00885EA6" w:rsidRDefault="00050945" w:rsidP="00050945">
      <w:pPr>
        <w:spacing w:after="0" w:line="240" w:lineRule="auto"/>
        <w:jc w:val="both"/>
        <w:rPr>
          <w:rFonts w:ascii="Verdana" w:hAnsi="Verdana"/>
          <w:noProof/>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50945" w:rsidRPr="00885EA6" w14:paraId="0E3F2138" w14:textId="77777777" w:rsidTr="00F80CB2">
        <w:trPr>
          <w:trHeight w:val="409"/>
        </w:trPr>
        <w:tc>
          <w:tcPr>
            <w:tcW w:w="817" w:type="dxa"/>
            <w:tcBorders>
              <w:top w:val="nil"/>
              <w:left w:val="nil"/>
              <w:bottom w:val="nil"/>
              <w:right w:val="nil"/>
            </w:tcBorders>
            <w:vAlign w:val="center"/>
            <w:hideMark/>
          </w:tcPr>
          <w:p w14:paraId="3FB52858" w14:textId="77777777" w:rsidR="00050945" w:rsidRPr="00283203" w:rsidRDefault="00050945" w:rsidP="00F80CB2">
            <w:pPr>
              <w:spacing w:after="0" w:line="240" w:lineRule="auto"/>
              <w:jc w:val="both"/>
              <w:rPr>
                <w:rFonts w:ascii="Verdana" w:hAnsi="Verdana" w:cs="Arial"/>
                <w:sz w:val="16"/>
                <w:szCs w:val="16"/>
              </w:rPr>
            </w:pPr>
            <w:r w:rsidRPr="0028320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3D9934F" w14:textId="77777777" w:rsidR="00050945" w:rsidRPr="00283203" w:rsidRDefault="00050945" w:rsidP="00F80CB2">
            <w:pPr>
              <w:spacing w:after="0" w:line="240" w:lineRule="auto"/>
              <w:jc w:val="both"/>
              <w:rPr>
                <w:rFonts w:ascii="Verdana" w:hAnsi="Verdana" w:cs="Arial"/>
                <w:sz w:val="16"/>
                <w:szCs w:val="16"/>
              </w:rPr>
            </w:pPr>
            <w:r w:rsidRPr="00283203">
              <w:rPr>
                <w:rFonts w:ascii="Verdana" w:hAnsi="Verdana" w:cs="Arial"/>
                <w:sz w:val="16"/>
                <w:szCs w:val="16"/>
              </w:rPr>
              <w:t>Gustavo Hinestroza Martínez</w:t>
            </w:r>
          </w:p>
          <w:p w14:paraId="6CF50148" w14:textId="77777777" w:rsidR="00050945" w:rsidRPr="00283203" w:rsidRDefault="00050945" w:rsidP="00F80CB2">
            <w:pPr>
              <w:spacing w:after="0" w:line="240" w:lineRule="auto"/>
              <w:jc w:val="both"/>
              <w:rPr>
                <w:rFonts w:ascii="Verdana" w:hAnsi="Verdana" w:cs="Arial"/>
                <w:sz w:val="16"/>
                <w:szCs w:val="16"/>
              </w:rPr>
            </w:pPr>
            <w:r w:rsidRPr="00283203">
              <w:rPr>
                <w:rFonts w:ascii="Verdana" w:hAnsi="Verdana" w:cs="Arial"/>
                <w:sz w:val="16"/>
                <w:szCs w:val="16"/>
              </w:rPr>
              <w:t>Contratista de la Subdirección de Gestión Contractual</w:t>
            </w:r>
          </w:p>
        </w:tc>
      </w:tr>
      <w:tr w:rsidR="00050945" w:rsidRPr="00885EA6" w14:paraId="4800C8D4" w14:textId="77777777" w:rsidTr="00F80CB2">
        <w:trPr>
          <w:trHeight w:val="409"/>
        </w:trPr>
        <w:tc>
          <w:tcPr>
            <w:tcW w:w="817" w:type="dxa"/>
            <w:tcBorders>
              <w:top w:val="nil"/>
              <w:left w:val="nil"/>
              <w:bottom w:val="nil"/>
              <w:right w:val="nil"/>
            </w:tcBorders>
            <w:vAlign w:val="center"/>
            <w:hideMark/>
          </w:tcPr>
          <w:p w14:paraId="26EA10C6" w14:textId="77777777" w:rsidR="00050945" w:rsidRPr="00283203" w:rsidRDefault="00050945" w:rsidP="00F80CB2">
            <w:pPr>
              <w:spacing w:after="0"/>
              <w:jc w:val="both"/>
              <w:rPr>
                <w:rFonts w:ascii="Verdana" w:hAnsi="Verdana" w:cs="Arial"/>
                <w:sz w:val="16"/>
                <w:szCs w:val="16"/>
              </w:rPr>
            </w:pPr>
            <w:r w:rsidRPr="00283203">
              <w:rPr>
                <w:rFonts w:ascii="Verdana" w:hAnsi="Verdana" w:cs="Arial"/>
                <w:sz w:val="16"/>
                <w:szCs w:val="16"/>
              </w:rPr>
              <w:lastRenderedPageBreak/>
              <w:t>Revisó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C0D451E" w14:textId="30C34F12" w:rsidR="0082446E" w:rsidRPr="00283203" w:rsidRDefault="0082446E" w:rsidP="0082446E">
            <w:pPr>
              <w:spacing w:after="0" w:line="240" w:lineRule="auto"/>
              <w:jc w:val="both"/>
              <w:rPr>
                <w:rFonts w:ascii="Verdana" w:hAnsi="Verdana" w:cs="Arial"/>
                <w:sz w:val="16"/>
                <w:szCs w:val="16"/>
              </w:rPr>
            </w:pPr>
            <w:r w:rsidRPr="00283203">
              <w:rPr>
                <w:rFonts w:ascii="Verdana" w:hAnsi="Verdana" w:cs="Arial"/>
                <w:sz w:val="16"/>
                <w:szCs w:val="16"/>
              </w:rPr>
              <w:t>Alejandro</w:t>
            </w:r>
            <w:r>
              <w:rPr>
                <w:rFonts w:ascii="Verdana" w:hAnsi="Verdana" w:cs="Arial"/>
                <w:sz w:val="16"/>
                <w:szCs w:val="16"/>
              </w:rPr>
              <w:t xml:space="preserve"> </w:t>
            </w:r>
            <w:r w:rsidR="00CD3161">
              <w:rPr>
                <w:rFonts w:ascii="Verdana" w:hAnsi="Verdana" w:cs="Arial"/>
                <w:sz w:val="16"/>
                <w:szCs w:val="16"/>
              </w:rPr>
              <w:t>Raúl</w:t>
            </w:r>
            <w:r w:rsidRPr="00283203">
              <w:rPr>
                <w:rFonts w:ascii="Verdana" w:hAnsi="Verdana" w:cs="Arial"/>
                <w:sz w:val="16"/>
                <w:szCs w:val="16"/>
              </w:rPr>
              <w:t xml:space="preserve"> Sarmiento Cantillo </w:t>
            </w:r>
          </w:p>
          <w:p w14:paraId="14D199AA" w14:textId="2F966FE8" w:rsidR="00050945" w:rsidRPr="00283203" w:rsidRDefault="0082446E" w:rsidP="0082446E">
            <w:pPr>
              <w:spacing w:after="0" w:line="240" w:lineRule="auto"/>
              <w:jc w:val="both"/>
              <w:rPr>
                <w:rFonts w:ascii="Verdana" w:hAnsi="Verdana" w:cs="Arial"/>
                <w:sz w:val="16"/>
                <w:szCs w:val="16"/>
              </w:rPr>
            </w:pPr>
            <w:r w:rsidRPr="00283203">
              <w:rPr>
                <w:rFonts w:ascii="Verdana" w:hAnsi="Verdana" w:cs="Arial"/>
                <w:sz w:val="16"/>
                <w:szCs w:val="16"/>
              </w:rPr>
              <w:t>Gestor</w:t>
            </w:r>
            <w:r>
              <w:rPr>
                <w:rFonts w:ascii="Verdana" w:hAnsi="Verdana" w:cs="Arial"/>
                <w:sz w:val="16"/>
                <w:szCs w:val="16"/>
              </w:rPr>
              <w:t xml:space="preserve"> </w:t>
            </w:r>
            <w:r w:rsidRPr="00283203">
              <w:rPr>
                <w:rFonts w:ascii="Verdana" w:hAnsi="Verdana" w:cs="Arial"/>
                <w:sz w:val="16"/>
                <w:szCs w:val="16"/>
              </w:rPr>
              <w:t>T1</w:t>
            </w:r>
            <w:r w:rsidR="00CD3161">
              <w:rPr>
                <w:rFonts w:ascii="Verdana" w:hAnsi="Verdana" w:cs="Arial"/>
                <w:sz w:val="16"/>
                <w:szCs w:val="16"/>
              </w:rPr>
              <w:t>-</w:t>
            </w:r>
            <w:r w:rsidRPr="00283203">
              <w:rPr>
                <w:rFonts w:ascii="Verdana" w:hAnsi="Verdana" w:cs="Arial"/>
                <w:sz w:val="16"/>
                <w:szCs w:val="16"/>
              </w:rPr>
              <w:t>15 Subdirección de Gestión Contractual</w:t>
            </w:r>
          </w:p>
        </w:tc>
      </w:tr>
      <w:tr w:rsidR="00050945" w:rsidRPr="00885EA6" w14:paraId="03E30E28" w14:textId="77777777" w:rsidTr="00F80CB2">
        <w:trPr>
          <w:trHeight w:val="389"/>
        </w:trPr>
        <w:tc>
          <w:tcPr>
            <w:tcW w:w="817" w:type="dxa"/>
            <w:tcBorders>
              <w:top w:val="nil"/>
              <w:left w:val="nil"/>
              <w:bottom w:val="nil"/>
              <w:right w:val="nil"/>
            </w:tcBorders>
            <w:vAlign w:val="center"/>
            <w:hideMark/>
          </w:tcPr>
          <w:p w14:paraId="61253E16" w14:textId="77777777" w:rsidR="00050945" w:rsidRPr="00283203" w:rsidRDefault="00050945" w:rsidP="00F80CB2">
            <w:pPr>
              <w:spacing w:after="0" w:line="240" w:lineRule="auto"/>
              <w:jc w:val="both"/>
              <w:rPr>
                <w:rFonts w:ascii="Verdana" w:hAnsi="Verdana" w:cs="Arial"/>
                <w:sz w:val="16"/>
                <w:szCs w:val="16"/>
              </w:rPr>
            </w:pPr>
            <w:r w:rsidRPr="0028320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CCBC05C" w14:textId="77777777" w:rsidR="00050945" w:rsidRPr="00283203" w:rsidRDefault="00050945" w:rsidP="00F80CB2">
            <w:pPr>
              <w:spacing w:after="0"/>
              <w:jc w:val="both"/>
              <w:rPr>
                <w:rFonts w:ascii="Verdana" w:hAnsi="Verdana" w:cs="Arial"/>
                <w:sz w:val="16"/>
                <w:szCs w:val="16"/>
              </w:rPr>
            </w:pPr>
            <w:r w:rsidRPr="00283203">
              <w:rPr>
                <w:rFonts w:ascii="Verdana" w:hAnsi="Verdana" w:cs="Arial"/>
                <w:sz w:val="16"/>
                <w:szCs w:val="16"/>
              </w:rPr>
              <w:t>Carolina Quintero Gacharná</w:t>
            </w:r>
          </w:p>
          <w:p w14:paraId="5F9F789D" w14:textId="77777777" w:rsidR="00050945" w:rsidRPr="00283203" w:rsidRDefault="00050945" w:rsidP="00F80CB2">
            <w:pPr>
              <w:spacing w:after="0" w:line="240" w:lineRule="auto"/>
              <w:jc w:val="both"/>
              <w:rPr>
                <w:rFonts w:ascii="Verdana" w:hAnsi="Verdana" w:cs="Arial"/>
                <w:sz w:val="16"/>
                <w:szCs w:val="16"/>
              </w:rPr>
            </w:pPr>
            <w:r w:rsidRPr="00283203">
              <w:rPr>
                <w:rFonts w:ascii="Verdana" w:hAnsi="Verdana" w:cs="Arial"/>
                <w:sz w:val="16"/>
                <w:szCs w:val="16"/>
              </w:rPr>
              <w:t>Subdirectora de Gestión Contractual ANCP – CCE</w:t>
            </w:r>
          </w:p>
        </w:tc>
      </w:tr>
    </w:tbl>
    <w:p w14:paraId="38A2D652" w14:textId="77777777" w:rsidR="00050945" w:rsidRPr="00885EA6" w:rsidRDefault="00050945" w:rsidP="00BA0A7A">
      <w:pPr>
        <w:spacing w:after="0" w:line="240" w:lineRule="auto"/>
        <w:jc w:val="both"/>
        <w:textAlignment w:val="baseline"/>
        <w:rPr>
          <w:rFonts w:ascii="Verdana" w:eastAsia="Times New Roman" w:hAnsi="Verdana" w:cs="Segoe UI"/>
          <w:sz w:val="16"/>
          <w:szCs w:val="16"/>
          <w:lang w:eastAsia="es-CO"/>
        </w:rPr>
      </w:pPr>
    </w:p>
    <w:sectPr w:rsidR="00050945" w:rsidRPr="00885EA6"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3507D" w14:textId="77777777" w:rsidR="00947469" w:rsidRDefault="00947469" w:rsidP="004A1847">
      <w:pPr>
        <w:spacing w:after="0" w:line="240" w:lineRule="auto"/>
      </w:pPr>
      <w:r>
        <w:separator/>
      </w:r>
    </w:p>
  </w:endnote>
  <w:endnote w:type="continuationSeparator" w:id="0">
    <w:p w14:paraId="5CEDCBF4" w14:textId="77777777" w:rsidR="00947469" w:rsidRDefault="00947469" w:rsidP="004A1847">
      <w:pPr>
        <w:spacing w:after="0" w:line="240" w:lineRule="auto"/>
      </w:pPr>
      <w:r>
        <w:continuationSeparator/>
      </w:r>
    </w:p>
  </w:endnote>
  <w:endnote w:type="continuationNotice" w:id="1">
    <w:p w14:paraId="4E9B4BC0" w14:textId="77777777" w:rsidR="00947469" w:rsidRDefault="00947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F80CB2" w:rsidRDefault="00F80CB2">
    <w:pPr>
      <w:pStyle w:val="Piedepgina"/>
    </w:pPr>
  </w:p>
  <w:p w14:paraId="594D6D9F" w14:textId="77777777" w:rsidR="00F80CB2" w:rsidRPr="00174B77" w:rsidRDefault="00F80CB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F80CB2" w:rsidRDefault="00F80CB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F80CB2" w:rsidRPr="00E41027" w:rsidRDefault="00F80CB2"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F80CB2" w:rsidRDefault="00F80CB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FBC62" w14:textId="77777777" w:rsidR="00947469" w:rsidRDefault="00947469" w:rsidP="004A1847">
      <w:pPr>
        <w:spacing w:after="0" w:line="240" w:lineRule="auto"/>
      </w:pPr>
      <w:r>
        <w:separator/>
      </w:r>
    </w:p>
  </w:footnote>
  <w:footnote w:type="continuationSeparator" w:id="0">
    <w:p w14:paraId="1DE1A450" w14:textId="77777777" w:rsidR="00947469" w:rsidRDefault="00947469" w:rsidP="004A1847">
      <w:pPr>
        <w:spacing w:after="0" w:line="240" w:lineRule="auto"/>
      </w:pPr>
      <w:r>
        <w:continuationSeparator/>
      </w:r>
    </w:p>
  </w:footnote>
  <w:footnote w:type="continuationNotice" w:id="1">
    <w:p w14:paraId="06406AC1" w14:textId="77777777" w:rsidR="00947469" w:rsidRDefault="00947469">
      <w:pPr>
        <w:spacing w:after="0" w:line="240" w:lineRule="auto"/>
      </w:pPr>
    </w:p>
  </w:footnote>
  <w:footnote w:id="2">
    <w:p w14:paraId="1058EEDB" w14:textId="77777777" w:rsidR="00F80CB2" w:rsidRPr="00BB7D26" w:rsidRDefault="00F80CB2" w:rsidP="00B15858">
      <w:pPr>
        <w:pStyle w:val="Textonotapie"/>
        <w:ind w:firstLine="708"/>
        <w:rPr>
          <w:rFonts w:ascii="Verdana" w:hAnsi="Verdana"/>
          <w:sz w:val="16"/>
          <w:szCs w:val="16"/>
        </w:rPr>
      </w:pPr>
      <w:r w:rsidRPr="00BB7D26">
        <w:rPr>
          <w:rStyle w:val="Refdenotaalpie"/>
          <w:rFonts w:ascii="Verdana" w:hAnsi="Verdana"/>
          <w:sz w:val="16"/>
          <w:szCs w:val="16"/>
        </w:rPr>
        <w:footnoteRef/>
      </w:r>
      <w:r w:rsidRPr="00BB7D26">
        <w:rPr>
          <w:rFonts w:ascii="Verdana" w:hAnsi="Verdana"/>
          <w:sz w:val="16"/>
          <w:szCs w:val="16"/>
        </w:rPr>
        <w:t xml:space="preserve"> Artículo 32 de la Ley 80 de 1993.</w:t>
      </w:r>
    </w:p>
  </w:footnote>
  <w:footnote w:id="3">
    <w:p w14:paraId="3ED005E6" w14:textId="77777777" w:rsidR="00F80CB2" w:rsidRPr="00BB7D26" w:rsidRDefault="00F80CB2" w:rsidP="00B15858">
      <w:pPr>
        <w:spacing w:before="87"/>
        <w:ind w:left="220" w:firstLine="488"/>
        <w:rPr>
          <w:rFonts w:ascii="Verdana" w:hAnsi="Verdana"/>
          <w:sz w:val="16"/>
          <w:szCs w:val="16"/>
        </w:rPr>
      </w:pPr>
      <w:r w:rsidRPr="00BB7D26">
        <w:rPr>
          <w:rStyle w:val="Refdenotaalpie"/>
          <w:rFonts w:ascii="Verdana" w:hAnsi="Verdana"/>
          <w:sz w:val="16"/>
          <w:szCs w:val="16"/>
        </w:rPr>
        <w:footnoteRef/>
      </w:r>
      <w:r w:rsidRPr="00BB7D26">
        <w:rPr>
          <w:rFonts w:ascii="Verdana" w:hAnsi="Verdana"/>
          <w:sz w:val="16"/>
          <w:szCs w:val="16"/>
        </w:rPr>
        <w:t xml:space="preserve"> Definición legal que hoy puede encontrarse en el artículo 3 del CPACA.</w:t>
      </w:r>
    </w:p>
    <w:p w14:paraId="4D7F2730" w14:textId="77777777" w:rsidR="00F80CB2" w:rsidRPr="00BB7D26" w:rsidRDefault="00F80CB2" w:rsidP="00B15858">
      <w:pPr>
        <w:pStyle w:val="Textonotapie"/>
        <w:rPr>
          <w:rFonts w:ascii="Verdana" w:hAnsi="Verdana"/>
          <w:sz w:val="16"/>
          <w:szCs w:val="16"/>
        </w:rPr>
      </w:pPr>
    </w:p>
  </w:footnote>
  <w:footnote w:id="4">
    <w:p w14:paraId="220F4617" w14:textId="77777777" w:rsidR="00F80CB2" w:rsidRPr="00BB7D26" w:rsidRDefault="00F80CB2" w:rsidP="00B15858">
      <w:pPr>
        <w:spacing w:before="1" w:line="254" w:lineRule="auto"/>
        <w:ind w:right="174" w:firstLine="708"/>
        <w:rPr>
          <w:rFonts w:ascii="Verdana" w:hAnsi="Verdana"/>
          <w:sz w:val="16"/>
          <w:szCs w:val="16"/>
        </w:rPr>
      </w:pPr>
      <w:r w:rsidRPr="00BB7D26">
        <w:rPr>
          <w:rStyle w:val="Refdenotaalpie"/>
          <w:rFonts w:ascii="Verdana" w:hAnsi="Verdana"/>
          <w:sz w:val="16"/>
          <w:szCs w:val="16"/>
        </w:rPr>
        <w:footnoteRef/>
      </w:r>
      <w:r w:rsidRPr="00BB7D26">
        <w:rPr>
          <w:rFonts w:ascii="Verdana" w:hAnsi="Verdana"/>
          <w:sz w:val="16"/>
          <w:szCs w:val="16"/>
        </w:rPr>
        <w:t>Consejo de Estado, Sección Tercera, sentencia de 27 de febrero de 2013, C.P: Mauricio Fajardo Gómez, rad. No.</w:t>
      </w:r>
      <w:r w:rsidRPr="00BB7D26">
        <w:rPr>
          <w:rFonts w:ascii="Verdana" w:hAnsi="Verdana"/>
          <w:spacing w:val="-2"/>
          <w:sz w:val="16"/>
          <w:szCs w:val="16"/>
        </w:rPr>
        <w:t xml:space="preserve"> </w:t>
      </w:r>
      <w:r w:rsidRPr="00BB7D26">
        <w:rPr>
          <w:rFonts w:ascii="Verdana" w:hAnsi="Verdana"/>
          <w:sz w:val="16"/>
          <w:szCs w:val="16"/>
        </w:rPr>
        <w:t>2000-01561-01(25.590).</w:t>
      </w:r>
    </w:p>
  </w:footnote>
  <w:footnote w:id="5">
    <w:p w14:paraId="3F00982D" w14:textId="77777777" w:rsidR="00F80CB2" w:rsidRPr="00BB7D26" w:rsidRDefault="00F80CB2" w:rsidP="00B15858">
      <w:pPr>
        <w:spacing w:before="89" w:line="247" w:lineRule="auto"/>
        <w:ind w:left="220" w:right="111" w:firstLine="488"/>
        <w:jc w:val="both"/>
        <w:rPr>
          <w:rFonts w:ascii="Verdana" w:hAnsi="Verdana"/>
          <w:sz w:val="16"/>
          <w:szCs w:val="16"/>
        </w:rPr>
      </w:pPr>
      <w:r w:rsidRPr="00BB7D26">
        <w:rPr>
          <w:rStyle w:val="Refdenotaalpie"/>
          <w:rFonts w:ascii="Verdana" w:hAnsi="Verdana"/>
          <w:sz w:val="16"/>
          <w:szCs w:val="16"/>
        </w:rPr>
        <w:footnoteRef/>
      </w:r>
      <w:r w:rsidRPr="00BB7D26">
        <w:rPr>
          <w:rFonts w:ascii="Verdana" w:hAnsi="Verdana"/>
          <w:sz w:val="16"/>
          <w:szCs w:val="16"/>
        </w:rPr>
        <w:t xml:space="preserve"> Al respecto ver: Consejo de Estado, Sección 3ª, sentencia de 6 de julio de 2017, M.P. Marta Nubia Velázquez Rico, rad. 51920; sentencia de 13 de abril de 2011, M.P. Jaime Orlando Santofimio Gamboa, rad. 37.423.</w:t>
      </w:r>
    </w:p>
    <w:p w14:paraId="14DADC8E" w14:textId="77777777" w:rsidR="00F80CB2" w:rsidRPr="00BB7D26" w:rsidRDefault="00F80CB2" w:rsidP="00B15858">
      <w:pPr>
        <w:pStyle w:val="Textonotapie"/>
        <w:rPr>
          <w:rFonts w:ascii="Verdana" w:hAnsi="Verdana"/>
          <w:sz w:val="16"/>
          <w:szCs w:val="16"/>
        </w:rPr>
      </w:pPr>
    </w:p>
  </w:footnote>
  <w:footnote w:id="6">
    <w:p w14:paraId="6C9FB4BD" w14:textId="3A5FBA02" w:rsidR="00F80CB2" w:rsidRPr="00045FCE" w:rsidRDefault="00F80CB2" w:rsidP="00045FCE">
      <w:pPr>
        <w:pStyle w:val="Textonotapie"/>
        <w:ind w:firstLine="220"/>
        <w:rPr>
          <w:lang w:val="es-ES"/>
        </w:rPr>
      </w:pPr>
      <w:r>
        <w:rPr>
          <w:rStyle w:val="Refdenotaalpie"/>
        </w:rPr>
        <w:footnoteRef/>
      </w:r>
      <w:r>
        <w:t xml:space="preserve"> Decreto 1082 de 2015, </w:t>
      </w:r>
      <w:r w:rsidRPr="00045FCE">
        <w:t>Artículo 2.2.1.2.1.2.2.</w:t>
      </w:r>
      <w:r>
        <w:t xml:space="preserve"> ss. </w:t>
      </w:r>
    </w:p>
  </w:footnote>
  <w:footnote w:id="7">
    <w:p w14:paraId="0ADDE220" w14:textId="77777777" w:rsidR="00F80CB2" w:rsidRDefault="00F80CB2" w:rsidP="00045FCE">
      <w:pPr>
        <w:pStyle w:val="Textonotapie"/>
        <w:ind w:firstLine="220"/>
      </w:pPr>
    </w:p>
    <w:p w14:paraId="3BEB4F28" w14:textId="10FC82E4" w:rsidR="00F80CB2" w:rsidRPr="00045FCE" w:rsidRDefault="00F80CB2" w:rsidP="00045FCE">
      <w:pPr>
        <w:pStyle w:val="Textonotapie"/>
        <w:ind w:firstLine="220"/>
        <w:rPr>
          <w:lang w:val="es-ES"/>
        </w:rPr>
      </w:pPr>
      <w:r>
        <w:rPr>
          <w:rStyle w:val="Refdenotaalpie"/>
        </w:rPr>
        <w:footnoteRef/>
      </w:r>
      <w:r>
        <w:t xml:space="preserve"> Decreto 1082 de 2015. Artículo </w:t>
      </w:r>
      <w:r w:rsidRPr="00045FCE">
        <w:t>2.2.1.2.1.2.7.</w:t>
      </w:r>
      <w:r>
        <w:t xml:space="preserve"> ss. </w:t>
      </w:r>
    </w:p>
  </w:footnote>
  <w:footnote w:id="8">
    <w:p w14:paraId="1FFB7110" w14:textId="77777777" w:rsidR="00F80CB2" w:rsidRDefault="00F80CB2">
      <w:pPr>
        <w:pStyle w:val="Textonotapie"/>
      </w:pPr>
    </w:p>
    <w:p w14:paraId="2A8D1C9E" w14:textId="57E1CFA5" w:rsidR="00F80CB2" w:rsidRPr="00045FCE" w:rsidRDefault="00F80CB2" w:rsidP="00045FCE">
      <w:pPr>
        <w:pStyle w:val="Textonotapie"/>
        <w:ind w:firstLine="220"/>
        <w:rPr>
          <w:lang w:val="es-ES"/>
        </w:rPr>
      </w:pPr>
      <w:r>
        <w:rPr>
          <w:rStyle w:val="Refdenotaalpie"/>
        </w:rPr>
        <w:footnoteRef/>
      </w:r>
      <w:r>
        <w:t xml:space="preserve"> Decreto 1082 de 2015. Artículo </w:t>
      </w:r>
      <w:r w:rsidRPr="00045FCE">
        <w:t>2.2.1.2.1.2.11</w:t>
      </w:r>
      <w:r>
        <w:t xml:space="preserve"> </w:t>
      </w:r>
    </w:p>
  </w:footnote>
  <w:footnote w:id="9">
    <w:p w14:paraId="4BE4E765" w14:textId="058DCE42" w:rsidR="00F80CB2" w:rsidRPr="00AC744C" w:rsidRDefault="00F80CB2" w:rsidP="00AC744C">
      <w:pPr>
        <w:pStyle w:val="Textonotapie"/>
        <w:ind w:firstLine="708"/>
        <w:rPr>
          <w:lang w:val="es-ES"/>
        </w:rPr>
      </w:pPr>
      <w:r>
        <w:rPr>
          <w:rStyle w:val="Refdenotaalpie"/>
        </w:rPr>
        <w:footnoteRef/>
      </w:r>
      <w:r>
        <w:t xml:space="preserve"> </w:t>
      </w:r>
      <w:r w:rsidRPr="00AC744C">
        <w:rPr>
          <w:rFonts w:ascii="Verdana" w:hAnsi="Verdana"/>
          <w:sz w:val="16"/>
          <w:szCs w:val="16"/>
        </w:rPr>
        <w:t>https://colombiacompra.gov.co/sites/cce_public/files/cce_tienda_virtual/cce-gad-idi-01_terminos_y_codiciones_de_uso_de_la_tvec_v3_13-07-2023.pdf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F80CB2" w:rsidRDefault="00F80CB2">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F80CB2" w:rsidRDefault="00F80CB2">
    <w:pPr>
      <w:pStyle w:val="Encabezado"/>
    </w:pPr>
  </w:p>
  <w:p w14:paraId="3079FC11" w14:textId="77777777" w:rsidR="00F80CB2" w:rsidRDefault="00F80CB2" w:rsidP="004A305D">
    <w:pPr>
      <w:spacing w:after="0"/>
      <w:rPr>
        <w:rFonts w:ascii="Verdana" w:hAnsi="Verdana"/>
        <w:b/>
        <w:bCs/>
      </w:rPr>
    </w:pPr>
  </w:p>
  <w:p w14:paraId="7FE1230C" w14:textId="77E53D9F" w:rsidR="00F80CB2" w:rsidRPr="00DC39FC" w:rsidRDefault="00F80CB2" w:rsidP="004A305D">
    <w:pPr>
      <w:spacing w:after="0"/>
      <w:rPr>
        <w:rFonts w:ascii="Verdana" w:hAnsi="Verdana"/>
        <w:b/>
        <w:bCs/>
      </w:rPr>
    </w:pPr>
    <w:r w:rsidRPr="00DC39FC">
      <w:rPr>
        <w:rFonts w:ascii="Verdana" w:hAnsi="Verdana"/>
        <w:b/>
        <w:bCs/>
      </w:rPr>
      <w:t>FORMATO PQRSD</w:t>
    </w:r>
  </w:p>
  <w:p w14:paraId="5E18350A" w14:textId="705F7B76" w:rsidR="00F80CB2" w:rsidRPr="004A305D" w:rsidRDefault="00F80CB2" w:rsidP="00B01B1A">
    <w:pPr>
      <w:spacing w:after="0" w:line="120" w:lineRule="auto"/>
      <w:rPr>
        <w:rFonts w:ascii="Century Gothic" w:eastAsia="Geo" w:hAnsi="Century Gothic" w:cs="Geo"/>
        <w:sz w:val="16"/>
        <w:szCs w:val="16"/>
        <w:lang w:eastAsia="es-CO"/>
      </w:rPr>
    </w:pPr>
  </w:p>
  <w:p w14:paraId="1FD1C243" w14:textId="6D74A3CF" w:rsidR="00F80CB2" w:rsidRDefault="00F80CB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B00B5"/>
    <w:multiLevelType w:val="hybridMultilevel"/>
    <w:tmpl w:val="1E7A9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79719B"/>
    <w:multiLevelType w:val="hybridMultilevel"/>
    <w:tmpl w:val="39246A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FF6398A"/>
    <w:multiLevelType w:val="multilevel"/>
    <w:tmpl w:val="1EF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14C50"/>
    <w:multiLevelType w:val="hybridMultilevel"/>
    <w:tmpl w:val="C6F66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8C0F7F"/>
    <w:multiLevelType w:val="hybridMultilevel"/>
    <w:tmpl w:val="5156E3DA"/>
    <w:lvl w:ilvl="0" w:tplc="240A0001">
      <w:start w:val="1"/>
      <w:numFmt w:val="bullet"/>
      <w:lvlText w:val=""/>
      <w:lvlJc w:val="left"/>
      <w:pPr>
        <w:ind w:left="1446" w:hanging="360"/>
      </w:pPr>
      <w:rPr>
        <w:rFonts w:ascii="Symbol" w:hAnsi="Symbol" w:hint="default"/>
      </w:rPr>
    </w:lvl>
    <w:lvl w:ilvl="1" w:tplc="240A0003" w:tentative="1">
      <w:start w:val="1"/>
      <w:numFmt w:val="bullet"/>
      <w:lvlText w:val="o"/>
      <w:lvlJc w:val="left"/>
      <w:pPr>
        <w:ind w:left="2166" w:hanging="360"/>
      </w:pPr>
      <w:rPr>
        <w:rFonts w:ascii="Courier New" w:hAnsi="Courier New" w:cs="Courier New" w:hint="default"/>
      </w:rPr>
    </w:lvl>
    <w:lvl w:ilvl="2" w:tplc="240A0005" w:tentative="1">
      <w:start w:val="1"/>
      <w:numFmt w:val="bullet"/>
      <w:lvlText w:val=""/>
      <w:lvlJc w:val="left"/>
      <w:pPr>
        <w:ind w:left="2886" w:hanging="360"/>
      </w:pPr>
      <w:rPr>
        <w:rFonts w:ascii="Wingdings" w:hAnsi="Wingdings" w:hint="default"/>
      </w:rPr>
    </w:lvl>
    <w:lvl w:ilvl="3" w:tplc="240A0001" w:tentative="1">
      <w:start w:val="1"/>
      <w:numFmt w:val="bullet"/>
      <w:lvlText w:val=""/>
      <w:lvlJc w:val="left"/>
      <w:pPr>
        <w:ind w:left="3606" w:hanging="360"/>
      </w:pPr>
      <w:rPr>
        <w:rFonts w:ascii="Symbol" w:hAnsi="Symbol" w:hint="default"/>
      </w:rPr>
    </w:lvl>
    <w:lvl w:ilvl="4" w:tplc="240A0003" w:tentative="1">
      <w:start w:val="1"/>
      <w:numFmt w:val="bullet"/>
      <w:lvlText w:val="o"/>
      <w:lvlJc w:val="left"/>
      <w:pPr>
        <w:ind w:left="4326" w:hanging="360"/>
      </w:pPr>
      <w:rPr>
        <w:rFonts w:ascii="Courier New" w:hAnsi="Courier New" w:cs="Courier New" w:hint="default"/>
      </w:rPr>
    </w:lvl>
    <w:lvl w:ilvl="5" w:tplc="240A0005" w:tentative="1">
      <w:start w:val="1"/>
      <w:numFmt w:val="bullet"/>
      <w:lvlText w:val=""/>
      <w:lvlJc w:val="left"/>
      <w:pPr>
        <w:ind w:left="5046" w:hanging="360"/>
      </w:pPr>
      <w:rPr>
        <w:rFonts w:ascii="Wingdings" w:hAnsi="Wingdings" w:hint="default"/>
      </w:rPr>
    </w:lvl>
    <w:lvl w:ilvl="6" w:tplc="240A0001" w:tentative="1">
      <w:start w:val="1"/>
      <w:numFmt w:val="bullet"/>
      <w:lvlText w:val=""/>
      <w:lvlJc w:val="left"/>
      <w:pPr>
        <w:ind w:left="5766" w:hanging="360"/>
      </w:pPr>
      <w:rPr>
        <w:rFonts w:ascii="Symbol" w:hAnsi="Symbol" w:hint="default"/>
      </w:rPr>
    </w:lvl>
    <w:lvl w:ilvl="7" w:tplc="240A0003" w:tentative="1">
      <w:start w:val="1"/>
      <w:numFmt w:val="bullet"/>
      <w:lvlText w:val="o"/>
      <w:lvlJc w:val="left"/>
      <w:pPr>
        <w:ind w:left="6486" w:hanging="360"/>
      </w:pPr>
      <w:rPr>
        <w:rFonts w:ascii="Courier New" w:hAnsi="Courier New" w:cs="Courier New" w:hint="default"/>
      </w:rPr>
    </w:lvl>
    <w:lvl w:ilvl="8" w:tplc="240A0005" w:tentative="1">
      <w:start w:val="1"/>
      <w:numFmt w:val="bullet"/>
      <w:lvlText w:val=""/>
      <w:lvlJc w:val="left"/>
      <w:pPr>
        <w:ind w:left="7206"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9D55BAF"/>
    <w:multiLevelType w:val="hybridMultilevel"/>
    <w:tmpl w:val="03D41E02"/>
    <w:lvl w:ilvl="0" w:tplc="7A4AF5AE">
      <w:numFmt w:val="bullet"/>
      <w:lvlText w:val="-"/>
      <w:lvlJc w:val="left"/>
      <w:pPr>
        <w:ind w:left="363" w:hanging="143"/>
      </w:pPr>
      <w:rPr>
        <w:rFonts w:ascii="Arial" w:eastAsia="Arial" w:hAnsi="Arial" w:cs="Arial" w:hint="default"/>
        <w:color w:val="4E4D4D"/>
        <w:w w:val="100"/>
        <w:sz w:val="22"/>
        <w:szCs w:val="22"/>
        <w:lang w:val="es-ES" w:eastAsia="en-US" w:bidi="ar-SA"/>
      </w:rPr>
    </w:lvl>
    <w:lvl w:ilvl="1" w:tplc="A2C0492E">
      <w:numFmt w:val="bullet"/>
      <w:lvlText w:val="•"/>
      <w:lvlJc w:val="left"/>
      <w:pPr>
        <w:ind w:left="1250" w:hanging="143"/>
      </w:pPr>
      <w:rPr>
        <w:rFonts w:hint="default"/>
        <w:lang w:val="es-ES" w:eastAsia="en-US" w:bidi="ar-SA"/>
      </w:rPr>
    </w:lvl>
    <w:lvl w:ilvl="2" w:tplc="CFDE184E">
      <w:numFmt w:val="bullet"/>
      <w:lvlText w:val="•"/>
      <w:lvlJc w:val="left"/>
      <w:pPr>
        <w:ind w:left="2140" w:hanging="143"/>
      </w:pPr>
      <w:rPr>
        <w:rFonts w:hint="default"/>
        <w:lang w:val="es-ES" w:eastAsia="en-US" w:bidi="ar-SA"/>
      </w:rPr>
    </w:lvl>
    <w:lvl w:ilvl="3" w:tplc="B120A284">
      <w:numFmt w:val="bullet"/>
      <w:lvlText w:val="•"/>
      <w:lvlJc w:val="left"/>
      <w:pPr>
        <w:ind w:left="3030" w:hanging="143"/>
      </w:pPr>
      <w:rPr>
        <w:rFonts w:hint="default"/>
        <w:lang w:val="es-ES" w:eastAsia="en-US" w:bidi="ar-SA"/>
      </w:rPr>
    </w:lvl>
    <w:lvl w:ilvl="4" w:tplc="4CD2A566">
      <w:numFmt w:val="bullet"/>
      <w:lvlText w:val="•"/>
      <w:lvlJc w:val="left"/>
      <w:pPr>
        <w:ind w:left="3920" w:hanging="143"/>
      </w:pPr>
      <w:rPr>
        <w:rFonts w:hint="default"/>
        <w:lang w:val="es-ES" w:eastAsia="en-US" w:bidi="ar-SA"/>
      </w:rPr>
    </w:lvl>
    <w:lvl w:ilvl="5" w:tplc="BA26CCAA">
      <w:numFmt w:val="bullet"/>
      <w:lvlText w:val="•"/>
      <w:lvlJc w:val="left"/>
      <w:pPr>
        <w:ind w:left="4810" w:hanging="143"/>
      </w:pPr>
      <w:rPr>
        <w:rFonts w:hint="default"/>
        <w:lang w:val="es-ES" w:eastAsia="en-US" w:bidi="ar-SA"/>
      </w:rPr>
    </w:lvl>
    <w:lvl w:ilvl="6" w:tplc="5026518C">
      <w:numFmt w:val="bullet"/>
      <w:lvlText w:val="•"/>
      <w:lvlJc w:val="left"/>
      <w:pPr>
        <w:ind w:left="5700" w:hanging="143"/>
      </w:pPr>
      <w:rPr>
        <w:rFonts w:hint="default"/>
        <w:lang w:val="es-ES" w:eastAsia="en-US" w:bidi="ar-SA"/>
      </w:rPr>
    </w:lvl>
    <w:lvl w:ilvl="7" w:tplc="E644749C">
      <w:numFmt w:val="bullet"/>
      <w:lvlText w:val="•"/>
      <w:lvlJc w:val="left"/>
      <w:pPr>
        <w:ind w:left="6590" w:hanging="143"/>
      </w:pPr>
      <w:rPr>
        <w:rFonts w:hint="default"/>
        <w:lang w:val="es-ES" w:eastAsia="en-US" w:bidi="ar-SA"/>
      </w:rPr>
    </w:lvl>
    <w:lvl w:ilvl="8" w:tplc="097E9916">
      <w:numFmt w:val="bullet"/>
      <w:lvlText w:val="•"/>
      <w:lvlJc w:val="left"/>
      <w:pPr>
        <w:ind w:left="7480" w:hanging="143"/>
      </w:pPr>
      <w:rPr>
        <w:rFonts w:hint="default"/>
        <w:lang w:val="es-ES" w:eastAsia="en-US" w:bidi="ar-SA"/>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CC6F5F"/>
    <w:multiLevelType w:val="hybridMultilevel"/>
    <w:tmpl w:val="EC1A4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8"/>
  </w:num>
  <w:num w:numId="8">
    <w:abstractNumId w:val="17"/>
  </w:num>
  <w:num w:numId="9">
    <w:abstractNumId w:val="10"/>
  </w:num>
  <w:num w:numId="10">
    <w:abstractNumId w:val="16"/>
  </w:num>
  <w:num w:numId="11">
    <w:abstractNumId w:val="11"/>
  </w:num>
  <w:num w:numId="12">
    <w:abstractNumId w:val="1"/>
  </w:num>
  <w:num w:numId="13">
    <w:abstractNumId w:val="3"/>
  </w:num>
  <w:num w:numId="14">
    <w:abstractNumId w:val="19"/>
  </w:num>
  <w:num w:numId="15">
    <w:abstractNumId w:val="14"/>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6"/>
  </w:num>
  <w:num w:numId="20">
    <w:abstractNumId w:val="5"/>
  </w:num>
  <w:num w:numId="21">
    <w:abstractNumId w:val="13"/>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302"/>
    <w:rsid w:val="00016F78"/>
    <w:rsid w:val="00045FCE"/>
    <w:rsid w:val="00046945"/>
    <w:rsid w:val="00050945"/>
    <w:rsid w:val="00061B2A"/>
    <w:rsid w:val="00082362"/>
    <w:rsid w:val="0008672E"/>
    <w:rsid w:val="00090D1A"/>
    <w:rsid w:val="000A683E"/>
    <w:rsid w:val="000B19B9"/>
    <w:rsid w:val="000C59FC"/>
    <w:rsid w:val="000C5D05"/>
    <w:rsid w:val="000D0334"/>
    <w:rsid w:val="000E5314"/>
    <w:rsid w:val="000F6486"/>
    <w:rsid w:val="000F7E32"/>
    <w:rsid w:val="00115359"/>
    <w:rsid w:val="00125105"/>
    <w:rsid w:val="00127233"/>
    <w:rsid w:val="00135CBD"/>
    <w:rsid w:val="001511A0"/>
    <w:rsid w:val="001B3470"/>
    <w:rsid w:val="001E4177"/>
    <w:rsid w:val="001F334F"/>
    <w:rsid w:val="001F7DC6"/>
    <w:rsid w:val="002421BB"/>
    <w:rsid w:val="0025796E"/>
    <w:rsid w:val="002707A2"/>
    <w:rsid w:val="00283203"/>
    <w:rsid w:val="002951A0"/>
    <w:rsid w:val="002962BC"/>
    <w:rsid w:val="002A093D"/>
    <w:rsid w:val="002A0DD0"/>
    <w:rsid w:val="002A49AC"/>
    <w:rsid w:val="002A64FD"/>
    <w:rsid w:val="002C7A84"/>
    <w:rsid w:val="002E4FD9"/>
    <w:rsid w:val="002F341C"/>
    <w:rsid w:val="00322A85"/>
    <w:rsid w:val="00324168"/>
    <w:rsid w:val="003448F4"/>
    <w:rsid w:val="00374F5E"/>
    <w:rsid w:val="00377E3E"/>
    <w:rsid w:val="003902ED"/>
    <w:rsid w:val="003A5C26"/>
    <w:rsid w:val="003A779E"/>
    <w:rsid w:val="003C248B"/>
    <w:rsid w:val="003D0F4D"/>
    <w:rsid w:val="003D29A2"/>
    <w:rsid w:val="003D5B0D"/>
    <w:rsid w:val="003E0499"/>
    <w:rsid w:val="003F3941"/>
    <w:rsid w:val="00406575"/>
    <w:rsid w:val="00414C74"/>
    <w:rsid w:val="00415801"/>
    <w:rsid w:val="0042722E"/>
    <w:rsid w:val="00432A7F"/>
    <w:rsid w:val="0044458A"/>
    <w:rsid w:val="0044528D"/>
    <w:rsid w:val="00463F43"/>
    <w:rsid w:val="004A1847"/>
    <w:rsid w:val="004A305D"/>
    <w:rsid w:val="004C187A"/>
    <w:rsid w:val="004C1D94"/>
    <w:rsid w:val="004F21C4"/>
    <w:rsid w:val="004F685F"/>
    <w:rsid w:val="00520EAF"/>
    <w:rsid w:val="005566E8"/>
    <w:rsid w:val="005662AE"/>
    <w:rsid w:val="00571A09"/>
    <w:rsid w:val="00574867"/>
    <w:rsid w:val="0058028B"/>
    <w:rsid w:val="00585E25"/>
    <w:rsid w:val="00591460"/>
    <w:rsid w:val="005924A1"/>
    <w:rsid w:val="005B3816"/>
    <w:rsid w:val="005C3777"/>
    <w:rsid w:val="005C5CDC"/>
    <w:rsid w:val="005D476C"/>
    <w:rsid w:val="006216FC"/>
    <w:rsid w:val="006219F8"/>
    <w:rsid w:val="00625CBC"/>
    <w:rsid w:val="00665D70"/>
    <w:rsid w:val="00673C94"/>
    <w:rsid w:val="00680D50"/>
    <w:rsid w:val="00684945"/>
    <w:rsid w:val="006900D9"/>
    <w:rsid w:val="006D3A21"/>
    <w:rsid w:val="006F6F2E"/>
    <w:rsid w:val="00706C16"/>
    <w:rsid w:val="007105AB"/>
    <w:rsid w:val="007141CD"/>
    <w:rsid w:val="00716C75"/>
    <w:rsid w:val="00756841"/>
    <w:rsid w:val="007649AB"/>
    <w:rsid w:val="00771D0C"/>
    <w:rsid w:val="007833AC"/>
    <w:rsid w:val="007A00E8"/>
    <w:rsid w:val="007B268C"/>
    <w:rsid w:val="007B7171"/>
    <w:rsid w:val="007C0C0F"/>
    <w:rsid w:val="007C3DC2"/>
    <w:rsid w:val="007E5497"/>
    <w:rsid w:val="007F2C5F"/>
    <w:rsid w:val="00806F5F"/>
    <w:rsid w:val="008123E4"/>
    <w:rsid w:val="00820278"/>
    <w:rsid w:val="0082446E"/>
    <w:rsid w:val="00867F95"/>
    <w:rsid w:val="00876BFC"/>
    <w:rsid w:val="008843B6"/>
    <w:rsid w:val="00885EA6"/>
    <w:rsid w:val="00891928"/>
    <w:rsid w:val="008A446D"/>
    <w:rsid w:val="008D180B"/>
    <w:rsid w:val="008F0EA7"/>
    <w:rsid w:val="00911C8E"/>
    <w:rsid w:val="0092152C"/>
    <w:rsid w:val="00923EEF"/>
    <w:rsid w:val="009419F9"/>
    <w:rsid w:val="00947469"/>
    <w:rsid w:val="00956766"/>
    <w:rsid w:val="0095685E"/>
    <w:rsid w:val="0096067B"/>
    <w:rsid w:val="00961B09"/>
    <w:rsid w:val="00965334"/>
    <w:rsid w:val="0097093E"/>
    <w:rsid w:val="00986AC5"/>
    <w:rsid w:val="009A0DFA"/>
    <w:rsid w:val="009B2D26"/>
    <w:rsid w:val="009C39A6"/>
    <w:rsid w:val="009C5D5E"/>
    <w:rsid w:val="009C71FA"/>
    <w:rsid w:val="009C72E7"/>
    <w:rsid w:val="009D3058"/>
    <w:rsid w:val="009F3A13"/>
    <w:rsid w:val="00A122D3"/>
    <w:rsid w:val="00A17F13"/>
    <w:rsid w:val="00A20739"/>
    <w:rsid w:val="00A232C2"/>
    <w:rsid w:val="00A33C78"/>
    <w:rsid w:val="00A51003"/>
    <w:rsid w:val="00AB0ADB"/>
    <w:rsid w:val="00AC33DE"/>
    <w:rsid w:val="00AC744C"/>
    <w:rsid w:val="00AC78BA"/>
    <w:rsid w:val="00AE4DEA"/>
    <w:rsid w:val="00B01B1A"/>
    <w:rsid w:val="00B15858"/>
    <w:rsid w:val="00B212E8"/>
    <w:rsid w:val="00B66319"/>
    <w:rsid w:val="00B72CD3"/>
    <w:rsid w:val="00B72FFF"/>
    <w:rsid w:val="00BA0A7A"/>
    <w:rsid w:val="00BA1F94"/>
    <w:rsid w:val="00BA6CB4"/>
    <w:rsid w:val="00BB7D26"/>
    <w:rsid w:val="00BC3D36"/>
    <w:rsid w:val="00BD7F72"/>
    <w:rsid w:val="00C04FB3"/>
    <w:rsid w:val="00C330EB"/>
    <w:rsid w:val="00C41061"/>
    <w:rsid w:val="00C71C7F"/>
    <w:rsid w:val="00C754BE"/>
    <w:rsid w:val="00C76B1C"/>
    <w:rsid w:val="00CB15DF"/>
    <w:rsid w:val="00CB6357"/>
    <w:rsid w:val="00CC1B26"/>
    <w:rsid w:val="00CD3161"/>
    <w:rsid w:val="00D03C52"/>
    <w:rsid w:val="00D25DFD"/>
    <w:rsid w:val="00D423A2"/>
    <w:rsid w:val="00D520D8"/>
    <w:rsid w:val="00D63AC2"/>
    <w:rsid w:val="00D6403B"/>
    <w:rsid w:val="00D7383B"/>
    <w:rsid w:val="00D87D91"/>
    <w:rsid w:val="00DA231B"/>
    <w:rsid w:val="00DA4268"/>
    <w:rsid w:val="00DC39FC"/>
    <w:rsid w:val="00DE1B3C"/>
    <w:rsid w:val="00DF5254"/>
    <w:rsid w:val="00E16408"/>
    <w:rsid w:val="00E20894"/>
    <w:rsid w:val="00E245AB"/>
    <w:rsid w:val="00E25689"/>
    <w:rsid w:val="00E2764C"/>
    <w:rsid w:val="00E27F2E"/>
    <w:rsid w:val="00E50046"/>
    <w:rsid w:val="00E50AFE"/>
    <w:rsid w:val="00E558EC"/>
    <w:rsid w:val="00E75C92"/>
    <w:rsid w:val="00E771DC"/>
    <w:rsid w:val="00E8772A"/>
    <w:rsid w:val="00E90F6B"/>
    <w:rsid w:val="00E92C27"/>
    <w:rsid w:val="00EA0C36"/>
    <w:rsid w:val="00EA0E3D"/>
    <w:rsid w:val="00EB19AC"/>
    <w:rsid w:val="00EC2908"/>
    <w:rsid w:val="00EC38A7"/>
    <w:rsid w:val="00EC5138"/>
    <w:rsid w:val="00EC61F4"/>
    <w:rsid w:val="00ED4C66"/>
    <w:rsid w:val="00ED7384"/>
    <w:rsid w:val="00EE1AA8"/>
    <w:rsid w:val="00EF1BAD"/>
    <w:rsid w:val="00F31EDC"/>
    <w:rsid w:val="00F462B3"/>
    <w:rsid w:val="00F5664F"/>
    <w:rsid w:val="00F666C4"/>
    <w:rsid w:val="00F76AFC"/>
    <w:rsid w:val="00F80CB2"/>
    <w:rsid w:val="00F91B33"/>
    <w:rsid w:val="00FA47C0"/>
    <w:rsid w:val="00FB4DE8"/>
    <w:rsid w:val="00FB5DD1"/>
    <w:rsid w:val="00FC2B5D"/>
    <w:rsid w:val="00FC36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5094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50945"/>
    <w:rPr>
      <w:rFonts w:ascii="Geomanist Light" w:hAnsi="Geomanist Light"/>
      <w:lang w:val="es-ES"/>
    </w:rPr>
  </w:style>
  <w:style w:type="paragraph" w:styleId="Textoindependiente">
    <w:name w:val="Body Text"/>
    <w:basedOn w:val="Normal"/>
    <w:link w:val="TextoindependienteCar"/>
    <w:uiPriority w:val="1"/>
    <w:qFormat/>
    <w:rsid w:val="00050945"/>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050945"/>
    <w:rPr>
      <w:rFonts w:ascii="Arial" w:eastAsia="Arial" w:hAnsi="Arial" w:cs="Arial"/>
      <w:lang w:val="es-ES"/>
    </w:rPr>
  </w:style>
  <w:style w:type="character" w:styleId="Refdecomentario">
    <w:name w:val="annotation reference"/>
    <w:basedOn w:val="Fuentedeprrafopredeter"/>
    <w:uiPriority w:val="99"/>
    <w:semiHidden/>
    <w:unhideWhenUsed/>
    <w:rsid w:val="00050945"/>
    <w:rPr>
      <w:sz w:val="16"/>
      <w:szCs w:val="16"/>
    </w:rPr>
  </w:style>
  <w:style w:type="paragraph" w:styleId="Textocomentario">
    <w:name w:val="annotation text"/>
    <w:basedOn w:val="Normal"/>
    <w:link w:val="TextocomentarioCar"/>
    <w:uiPriority w:val="99"/>
    <w:unhideWhenUsed/>
    <w:rsid w:val="00050945"/>
    <w:pPr>
      <w:spacing w:line="240" w:lineRule="auto"/>
    </w:pPr>
    <w:rPr>
      <w:sz w:val="20"/>
      <w:szCs w:val="20"/>
    </w:rPr>
  </w:style>
  <w:style w:type="character" w:customStyle="1" w:styleId="TextocomentarioCar">
    <w:name w:val="Texto comentario Car"/>
    <w:basedOn w:val="Fuentedeprrafopredeter"/>
    <w:link w:val="Textocomentario"/>
    <w:uiPriority w:val="99"/>
    <w:rsid w:val="00050945"/>
    <w:rPr>
      <w:sz w:val="20"/>
      <w:szCs w:val="20"/>
    </w:rPr>
  </w:style>
  <w:style w:type="paragraph" w:styleId="Textodeglobo">
    <w:name w:val="Balloon Text"/>
    <w:basedOn w:val="Normal"/>
    <w:link w:val="TextodegloboCar"/>
    <w:uiPriority w:val="99"/>
    <w:semiHidden/>
    <w:unhideWhenUsed/>
    <w:rsid w:val="000509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945"/>
    <w:rPr>
      <w:rFonts w:ascii="Segoe UI" w:hAnsi="Segoe UI" w:cs="Segoe UI"/>
      <w:sz w:val="18"/>
      <w:szCs w:val="18"/>
    </w:rPr>
  </w:style>
  <w:style w:type="character" w:customStyle="1" w:styleId="NormalWebCar">
    <w:name w:val="Normal (Web) Car"/>
    <w:link w:val="NormalWeb"/>
    <w:uiPriority w:val="99"/>
    <w:rsid w:val="002F341C"/>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45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03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299">
          <w:marLeft w:val="0"/>
          <w:marRight w:val="0"/>
          <w:marTop w:val="0"/>
          <w:marBottom w:val="0"/>
          <w:divBdr>
            <w:top w:val="none" w:sz="0" w:space="0" w:color="auto"/>
            <w:left w:val="none" w:sz="0" w:space="0" w:color="auto"/>
            <w:bottom w:val="none" w:sz="0" w:space="0" w:color="auto"/>
            <w:right w:val="none" w:sz="0" w:space="0" w:color="auto"/>
          </w:divBdr>
        </w:div>
        <w:div w:id="1205824276">
          <w:marLeft w:val="60"/>
          <w:marRight w:val="60"/>
          <w:marTop w:val="0"/>
          <w:marBottom w:val="0"/>
          <w:divBdr>
            <w:top w:val="none" w:sz="0" w:space="0" w:color="auto"/>
            <w:left w:val="none" w:sz="0" w:space="0" w:color="auto"/>
            <w:bottom w:val="none" w:sz="0" w:space="0" w:color="auto"/>
            <w:right w:val="none" w:sz="0" w:space="0" w:color="auto"/>
          </w:divBdr>
        </w:div>
        <w:div w:id="196697609">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07816521">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684239325">
      <w:bodyDiv w:val="1"/>
      <w:marLeft w:val="0"/>
      <w:marRight w:val="0"/>
      <w:marTop w:val="0"/>
      <w:marBottom w:val="0"/>
      <w:divBdr>
        <w:top w:val="none" w:sz="0" w:space="0" w:color="auto"/>
        <w:left w:val="none" w:sz="0" w:space="0" w:color="auto"/>
        <w:bottom w:val="none" w:sz="0" w:space="0" w:color="auto"/>
        <w:right w:val="none" w:sz="0" w:space="0" w:color="auto"/>
      </w:divBdr>
      <w:divsChild>
        <w:div w:id="1822237301">
          <w:marLeft w:val="0"/>
          <w:marRight w:val="0"/>
          <w:marTop w:val="0"/>
          <w:marBottom w:val="0"/>
          <w:divBdr>
            <w:top w:val="none" w:sz="0" w:space="0" w:color="auto"/>
            <w:left w:val="none" w:sz="0" w:space="0" w:color="auto"/>
            <w:bottom w:val="none" w:sz="0" w:space="0" w:color="auto"/>
            <w:right w:val="none" w:sz="0" w:space="0" w:color="auto"/>
          </w:divBdr>
        </w:div>
        <w:div w:id="1954897707">
          <w:marLeft w:val="60"/>
          <w:marRight w:val="60"/>
          <w:marTop w:val="0"/>
          <w:marBottom w:val="0"/>
          <w:divBdr>
            <w:top w:val="none" w:sz="0" w:space="0" w:color="auto"/>
            <w:left w:val="none" w:sz="0" w:space="0" w:color="auto"/>
            <w:bottom w:val="none" w:sz="0" w:space="0" w:color="auto"/>
            <w:right w:val="none" w:sz="0" w:space="0" w:color="auto"/>
          </w:divBdr>
        </w:div>
        <w:div w:id="326907854">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nam02.safelinks.protection.outlook.com/?url=https%3A%2F%2Fwww.colombiacompra.gov.co%2Fsala-de-prensa%2Fboletin-digital&amp;data=05%7C02%7Cgustavo.hinestroza%40colombiacompra.gov.co%7C6192b0470d324981a09708dd0a6c28db%7C7b09041e245149d08cb179d5e3d8c1be%7C0%7C0%7C638678181875718117%7CUnknown%7CTWFpbGZsb3d8eyJFbXB0eU1hcGkiOnRydWUsIlYiOiIwLjAuMDAwMCIsIlAiOiJXaW4zMiIsIkFOIjoiTWFpbCIsIldUIjoyfQ%3D%3D%7C0%7C%7C%7C&amp;sdata=NQf8sHVLeX1EMijPzi4sFFNtM8H6xwFFBG8sdRHH78U%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rancykbu@g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relatoria.colombiacompra.gov.co/normativa/decreto-1082-de-20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relatoria.colombiacompra.gov.co/normativa/ley-1882-de-201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8BE4-5CD4-4DD2-99BC-545F3FEA4DC7}"/>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25C37F73-11B9-4E92-BA3C-2D1F971C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3679</Words>
  <Characters>20237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5</cp:revision>
  <cp:lastPrinted>2023-01-10T21:18:00Z</cp:lastPrinted>
  <dcterms:created xsi:type="dcterms:W3CDTF">2024-12-17T19:42:00Z</dcterms:created>
  <dcterms:modified xsi:type="dcterms:W3CDTF">2024-12-17T19:52:00Z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