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9284" w14:textId="77777777" w:rsidR="003D46C1" w:rsidRDefault="003D46C1" w:rsidP="00EC2D8E">
      <w:pPr>
        <w:spacing w:after="0" w:line="240" w:lineRule="auto"/>
        <w:rPr>
          <w:rFonts w:ascii="Verdana" w:eastAsia="Geomanist Light" w:hAnsi="Verdana" w:cs="Arial"/>
          <w:color w:val="000000" w:themeColor="text1"/>
          <w:lang w:val="es-MX"/>
        </w:rPr>
      </w:pPr>
    </w:p>
    <w:p w14:paraId="3479427F" w14:textId="77777777" w:rsidR="003D46C1" w:rsidRDefault="003D46C1" w:rsidP="00EC2D8E">
      <w:pPr>
        <w:spacing w:after="0" w:line="240" w:lineRule="auto"/>
        <w:rPr>
          <w:rFonts w:ascii="Verdana" w:eastAsia="Geomanist Light" w:hAnsi="Verdana" w:cs="Arial"/>
          <w:color w:val="000000" w:themeColor="text1"/>
          <w:lang w:val="es-MX"/>
        </w:rPr>
      </w:pPr>
    </w:p>
    <w:p w14:paraId="65E07217" w14:textId="77777777" w:rsidR="003D46C1" w:rsidRDefault="003D46C1" w:rsidP="003D46C1">
      <w:pPr>
        <w:spacing w:after="0" w:line="240" w:lineRule="auto"/>
        <w:rPr>
          <w:rFonts w:ascii="Verdana" w:eastAsia="Geomanist Light" w:hAnsi="Verdana" w:cs="Arial"/>
          <w:b/>
          <w:bCs/>
          <w:color w:val="000000" w:themeColor="text1"/>
        </w:rPr>
      </w:pPr>
    </w:p>
    <w:p w14:paraId="5E7F9048" w14:textId="21331576" w:rsidR="003D46C1" w:rsidRPr="003D46C1" w:rsidRDefault="003D46C1" w:rsidP="003D46C1">
      <w:pPr>
        <w:spacing w:after="0" w:line="240" w:lineRule="auto"/>
        <w:jc w:val="both"/>
        <w:rPr>
          <w:rFonts w:ascii="Verdana" w:eastAsia="Geomanist Light" w:hAnsi="Verdana" w:cs="Arial"/>
          <w:b/>
          <w:bCs/>
          <w:color w:val="000000" w:themeColor="text1"/>
        </w:rPr>
      </w:pPr>
      <w:r w:rsidRPr="003D46C1">
        <w:rPr>
          <w:rFonts w:ascii="Verdana" w:eastAsia="Geomanist Light" w:hAnsi="Verdana" w:cs="Arial"/>
          <w:b/>
          <w:bCs/>
          <w:color w:val="000000" w:themeColor="text1"/>
        </w:rPr>
        <w:t xml:space="preserve">REQUISITOS HABILITANTES </w:t>
      </w:r>
      <w:r w:rsidRPr="003D46C1">
        <w:rPr>
          <w:rFonts w:ascii="Verdana" w:eastAsia="Geomanist Light" w:hAnsi="Verdana" w:cs="Arial"/>
          <w:b/>
          <w:bCs/>
          <w:color w:val="000000" w:themeColor="text1"/>
        </w:rPr>
        <w:t xml:space="preserve">– </w:t>
      </w:r>
      <w:r w:rsidRPr="003D46C1">
        <w:rPr>
          <w:rFonts w:ascii="Verdana" w:eastAsia="Arial" w:hAnsi="Verdana" w:cs="Arial"/>
          <w:b/>
          <w:bCs/>
          <w:color w:val="000000" w:themeColor="text1"/>
          <w:lang w:val="es-ES"/>
        </w:rPr>
        <w:t>Ley</w:t>
      </w:r>
      <w:r w:rsidRPr="003D46C1">
        <w:rPr>
          <w:rFonts w:ascii="Verdana" w:eastAsia="Calibri" w:hAnsi="Verdana" w:cs="Arial"/>
          <w:b/>
          <w:bCs/>
          <w:color w:val="000000" w:themeColor="text1"/>
          <w:lang w:val="es-ES"/>
        </w:rPr>
        <w:t xml:space="preserve"> 1150 de 2007 </w:t>
      </w:r>
      <w:r w:rsidRPr="003D46C1">
        <w:rPr>
          <w:rFonts w:ascii="Verdana" w:eastAsia="Arial" w:hAnsi="Verdana" w:cs="Arial"/>
          <w:b/>
          <w:bCs/>
          <w:color w:val="000000" w:themeColor="text1"/>
          <w:lang w:val="es-ES"/>
        </w:rPr>
        <w:t xml:space="preserve">– Noción </w:t>
      </w:r>
    </w:p>
    <w:p w14:paraId="1F2C19FB" w14:textId="77777777" w:rsidR="003D46C1" w:rsidRPr="003D46C1" w:rsidRDefault="003D46C1" w:rsidP="003D46C1">
      <w:pPr>
        <w:spacing w:after="0" w:line="240" w:lineRule="auto"/>
        <w:jc w:val="both"/>
        <w:rPr>
          <w:rFonts w:ascii="Verdana" w:eastAsia="Geomanist Light" w:hAnsi="Verdana" w:cs="Arial"/>
          <w:color w:val="000000" w:themeColor="text1"/>
        </w:rPr>
      </w:pPr>
    </w:p>
    <w:p w14:paraId="5ECF04C7" w14:textId="77777777" w:rsidR="003D46C1" w:rsidRPr="003D46C1" w:rsidRDefault="003D46C1" w:rsidP="003D46C1">
      <w:pPr>
        <w:spacing w:after="0" w:line="240" w:lineRule="auto"/>
        <w:jc w:val="both"/>
        <w:rPr>
          <w:rFonts w:ascii="Verdana" w:eastAsia="Geomanist Light" w:hAnsi="Verdana" w:cs="Arial"/>
          <w:color w:val="000000" w:themeColor="text1"/>
          <w:sz w:val="20"/>
          <w:szCs w:val="20"/>
        </w:rPr>
      </w:pPr>
      <w:r w:rsidRPr="003D46C1">
        <w:rPr>
          <w:rFonts w:ascii="Verdana" w:eastAsia="Geomanist Light" w:hAnsi="Verdana" w:cs="Arial"/>
          <w:color w:val="000000" w:themeColor="text1"/>
          <w:sz w:val="20"/>
          <w:szCs w:val="20"/>
        </w:rPr>
        <w:t>(…)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285554E8" w14:textId="77777777" w:rsidR="003D46C1" w:rsidRDefault="003D46C1" w:rsidP="00EC2D8E">
      <w:pPr>
        <w:spacing w:after="0" w:line="240" w:lineRule="auto"/>
        <w:rPr>
          <w:rFonts w:ascii="Verdana" w:eastAsia="Geomanist Light" w:hAnsi="Verdana" w:cs="Arial"/>
          <w:color w:val="000000" w:themeColor="text1"/>
        </w:rPr>
      </w:pPr>
    </w:p>
    <w:p w14:paraId="6F0EE1CE" w14:textId="77777777" w:rsidR="003D46C1" w:rsidRDefault="003D46C1" w:rsidP="00EC2D8E">
      <w:pPr>
        <w:spacing w:after="0" w:line="240" w:lineRule="auto"/>
        <w:rPr>
          <w:rFonts w:ascii="Verdana" w:eastAsia="Geomanist Light" w:hAnsi="Verdana" w:cs="Arial"/>
          <w:color w:val="000000" w:themeColor="text1"/>
        </w:rPr>
      </w:pPr>
    </w:p>
    <w:p w14:paraId="055AB6ED" w14:textId="32F4A63E" w:rsidR="003D46C1" w:rsidRPr="003D46C1" w:rsidRDefault="003D46C1" w:rsidP="003D46C1">
      <w:pPr>
        <w:jc w:val="both"/>
        <w:rPr>
          <w:rFonts w:ascii="Verdana" w:eastAsia="Calibri" w:hAnsi="Verdana" w:cs="Arial"/>
          <w:b/>
          <w:bCs/>
          <w:color w:val="000000" w:themeColor="text1"/>
          <w:lang w:val="es-ES_tradnl"/>
        </w:rPr>
      </w:pPr>
      <w:r w:rsidRPr="003D46C1">
        <w:rPr>
          <w:rFonts w:ascii="Verdana" w:eastAsia="Arial" w:hAnsi="Verdana" w:cs="Arial"/>
          <w:b/>
          <w:bCs/>
          <w:color w:val="000000" w:themeColor="text1"/>
          <w:lang w:val="es-ES"/>
        </w:rPr>
        <w:t>EXPERIENCIA</w:t>
      </w:r>
      <w:r w:rsidRPr="003D46C1">
        <w:rPr>
          <w:rFonts w:ascii="Verdana" w:eastAsia="Arial" w:hAnsi="Verdana" w:cs="Arial"/>
          <w:b/>
          <w:bCs/>
          <w:color w:val="000000" w:themeColor="text1"/>
          <w:lang w:val="es-ES"/>
        </w:rPr>
        <w:t xml:space="preserve"> – </w:t>
      </w:r>
      <w:r w:rsidRPr="003D46C1">
        <w:rPr>
          <w:rFonts w:ascii="Verdana" w:eastAsia="Arial" w:hAnsi="Verdana" w:cs="Arial"/>
          <w:b/>
          <w:bCs/>
          <w:color w:val="000000" w:themeColor="text1"/>
          <w:lang w:val="es-ES"/>
        </w:rPr>
        <w:t xml:space="preserve">Forma de acreditación – Objeto idéntico </w:t>
      </w:r>
    </w:p>
    <w:p w14:paraId="461821D3" w14:textId="77777777" w:rsidR="003D46C1" w:rsidRDefault="003D46C1" w:rsidP="00EC2D8E">
      <w:pPr>
        <w:spacing w:after="0" w:line="240" w:lineRule="auto"/>
        <w:rPr>
          <w:rFonts w:ascii="Verdana" w:eastAsia="Geomanist Light" w:hAnsi="Verdana" w:cs="Arial"/>
          <w:color w:val="000000" w:themeColor="text1"/>
        </w:rPr>
      </w:pPr>
    </w:p>
    <w:p w14:paraId="465C6DDF" w14:textId="16B11901" w:rsidR="003D46C1" w:rsidRPr="003D46C1" w:rsidRDefault="003D46C1" w:rsidP="003D46C1">
      <w:pPr>
        <w:spacing w:after="0" w:line="240" w:lineRule="auto"/>
        <w:jc w:val="both"/>
        <w:rPr>
          <w:rFonts w:ascii="Verdana" w:eastAsia="Geomanist Light" w:hAnsi="Verdana" w:cs="Arial"/>
          <w:color w:val="000000" w:themeColor="text1"/>
          <w:sz w:val="20"/>
          <w:szCs w:val="20"/>
        </w:rPr>
      </w:pPr>
      <w:r w:rsidRPr="003D46C1">
        <w:rPr>
          <w:rFonts w:ascii="Verdana" w:eastAsia="Geomanist Light" w:hAnsi="Verdana" w:cs="Arial"/>
          <w:color w:val="000000" w:themeColor="text1"/>
          <w:sz w:val="20"/>
          <w:szCs w:val="20"/>
        </w:rPr>
        <w:t>Dentro de los principales requisitos habilitantes que se utilizan en los Procesos de Contratación se destaca la experiencia, la cual debe ser entendida como el conocimiento del proponente derivado de su participación previa en actividades iguales o similares a las previstas en el objeto del contrato con contratantes públicos, privados, nacionales o extranjeros. La experiencia puede ser adquirida directamente de manera singularizada o en asocio con otras personas, como es el caso de los proponentes plurales, cuya experiencia no deja de ser personal, sino que, por tratarse de esquemas asociativos, se evalúa de forma proporcional a la participación de los miembros en los respectivos consorcios y/o uniones temporales.</w:t>
      </w:r>
    </w:p>
    <w:p w14:paraId="0DA3CA63" w14:textId="77777777" w:rsidR="003D46C1" w:rsidRPr="003D46C1" w:rsidRDefault="003D46C1" w:rsidP="003D46C1">
      <w:pPr>
        <w:spacing w:after="0" w:line="240" w:lineRule="auto"/>
        <w:jc w:val="both"/>
        <w:rPr>
          <w:rFonts w:ascii="Verdana" w:eastAsia="Geomanist Light" w:hAnsi="Verdana" w:cs="Arial"/>
          <w:color w:val="000000" w:themeColor="text1"/>
          <w:sz w:val="20"/>
          <w:szCs w:val="20"/>
        </w:rPr>
      </w:pPr>
    </w:p>
    <w:p w14:paraId="585E7E93" w14:textId="77777777" w:rsidR="003D46C1" w:rsidRPr="003D46C1" w:rsidRDefault="003D46C1" w:rsidP="003D46C1">
      <w:pPr>
        <w:spacing w:after="0" w:line="240" w:lineRule="auto"/>
        <w:jc w:val="both"/>
        <w:rPr>
          <w:rFonts w:ascii="Verdana" w:eastAsia="Geomanist Light" w:hAnsi="Verdana" w:cs="Arial"/>
          <w:color w:val="000000" w:themeColor="text1"/>
          <w:sz w:val="20"/>
          <w:szCs w:val="20"/>
        </w:rPr>
      </w:pPr>
      <w:r w:rsidRPr="003D46C1">
        <w:rPr>
          <w:rFonts w:ascii="Verdana" w:eastAsia="Geomanist Light" w:hAnsi="Verdana" w:cs="Arial"/>
          <w:color w:val="000000" w:themeColor="text1"/>
          <w:sz w:val="20"/>
          <w:szCs w:val="20"/>
        </w:rPr>
        <w:t xml:space="preserve">En el marco de la contratación pública, la experiencia del proponente se reviste de particular importancia, en la medida en que garantiza, en cierto grado, que no habrá improvisación ni mayores costos por errores o dificultades originadas en realizar una actividad por primera vez. Las Entidades Estatales contratantes, como responsables de la estructuración de los Procesos de Contratación, son autónomas para establecer los requisitos habilitantes de experiencia, de acuerdo con el estudio realizado en marco del análisis del sector, </w:t>
      </w:r>
    </w:p>
    <w:p w14:paraId="4E3BC637" w14:textId="77777777" w:rsidR="003D46C1" w:rsidRPr="003D46C1" w:rsidRDefault="003D46C1" w:rsidP="003D46C1">
      <w:pPr>
        <w:spacing w:after="0" w:line="240" w:lineRule="auto"/>
        <w:jc w:val="both"/>
        <w:rPr>
          <w:rFonts w:ascii="Verdana" w:eastAsia="Geomanist Light" w:hAnsi="Verdana" w:cs="Arial"/>
          <w:color w:val="000000" w:themeColor="text1"/>
          <w:sz w:val="20"/>
          <w:szCs w:val="20"/>
        </w:rPr>
      </w:pPr>
    </w:p>
    <w:p w14:paraId="7837E7B1" w14:textId="1D34EB94" w:rsidR="003D46C1" w:rsidRPr="003D46C1" w:rsidRDefault="003D46C1" w:rsidP="003D46C1">
      <w:pPr>
        <w:spacing w:after="0" w:line="240" w:lineRule="auto"/>
        <w:jc w:val="both"/>
        <w:rPr>
          <w:rFonts w:ascii="Verdana" w:eastAsia="Geomanist Light" w:hAnsi="Verdana" w:cs="Arial"/>
          <w:color w:val="000000" w:themeColor="text1"/>
          <w:sz w:val="20"/>
          <w:szCs w:val="20"/>
        </w:rPr>
      </w:pPr>
      <w:r w:rsidRPr="003D46C1">
        <w:rPr>
          <w:rFonts w:ascii="Verdana" w:eastAsia="Geomanist Light" w:hAnsi="Verdana" w:cs="Arial"/>
          <w:color w:val="000000" w:themeColor="text1"/>
          <w:sz w:val="20"/>
          <w:szCs w:val="20"/>
        </w:rPr>
        <w:t>La experiencia requerida en un Proceso de Contratación debe ser adecuada y proporcional a la naturaleza del contrato, su valor, complejidad y riesgo. La experiencia es adecuada cuando es afín al tipo de actividades incluidas dentro</w:t>
      </w:r>
      <w:r w:rsidRPr="003D46C1">
        <w:rPr>
          <w:rFonts w:ascii="Verdana" w:eastAsia="Geomanist Light" w:hAnsi="Verdana" w:cs="Arial"/>
          <w:color w:val="000000" w:themeColor="text1"/>
          <w:sz w:val="20"/>
          <w:szCs w:val="20"/>
        </w:rPr>
        <w:t xml:space="preserve"> </w:t>
      </w:r>
      <w:r w:rsidRPr="003D46C1">
        <w:rPr>
          <w:rFonts w:ascii="Verdana" w:eastAsia="Geomanist Light" w:hAnsi="Verdana" w:cs="Arial"/>
          <w:color w:val="000000" w:themeColor="text1"/>
          <w:sz w:val="20"/>
          <w:szCs w:val="20"/>
        </w:rPr>
        <w:t>del objeto del contrato a celebrar. Por ejemplo, si es para prestar un servicio de aseo general, el proponente debe tener experiencia en tal servicio, sin que sea relevante el lugar en el cual lo haya ejecutado o quién fue el contratante.</w:t>
      </w:r>
      <w:r w:rsidRPr="003D46C1">
        <w:rPr>
          <w:rFonts w:ascii="Verdana" w:eastAsia="Geomanist Light" w:hAnsi="Verdana" w:cs="Arial"/>
          <w:color w:val="000000" w:themeColor="text1"/>
          <w:sz w:val="20"/>
          <w:szCs w:val="20"/>
        </w:rPr>
        <w:t xml:space="preserve"> </w:t>
      </w:r>
    </w:p>
    <w:p w14:paraId="61E91B89" w14:textId="77777777" w:rsidR="003D46C1" w:rsidRDefault="003D46C1" w:rsidP="00EC2D8E">
      <w:pPr>
        <w:spacing w:after="0" w:line="240" w:lineRule="auto"/>
        <w:rPr>
          <w:rFonts w:ascii="Verdana" w:eastAsia="Geomanist Light" w:hAnsi="Verdana" w:cs="Arial"/>
          <w:color w:val="000000" w:themeColor="text1"/>
          <w:lang w:val="es-MX"/>
        </w:rPr>
      </w:pPr>
    </w:p>
    <w:p w14:paraId="0D346D95" w14:textId="77777777" w:rsidR="003D46C1" w:rsidRDefault="003D46C1" w:rsidP="00EC2D8E">
      <w:pPr>
        <w:spacing w:after="0" w:line="240" w:lineRule="auto"/>
        <w:rPr>
          <w:rFonts w:ascii="Verdana" w:eastAsia="Geomanist Light" w:hAnsi="Verdana" w:cs="Arial"/>
          <w:color w:val="000000" w:themeColor="text1"/>
          <w:lang w:val="es-MX"/>
        </w:rPr>
      </w:pPr>
    </w:p>
    <w:p w14:paraId="1075E161" w14:textId="77777777" w:rsidR="003D46C1" w:rsidRDefault="003D46C1" w:rsidP="00EC2D8E">
      <w:pPr>
        <w:spacing w:after="0" w:line="240" w:lineRule="auto"/>
        <w:rPr>
          <w:rFonts w:ascii="Verdana" w:eastAsia="Geomanist Light" w:hAnsi="Verdana" w:cs="Arial"/>
          <w:color w:val="000000" w:themeColor="text1"/>
          <w:lang w:val="es-MX"/>
        </w:rPr>
      </w:pPr>
    </w:p>
    <w:p w14:paraId="52A82741" w14:textId="77777777" w:rsidR="003D46C1" w:rsidRDefault="003D46C1" w:rsidP="00EC2D8E">
      <w:pPr>
        <w:spacing w:after="0" w:line="240" w:lineRule="auto"/>
        <w:rPr>
          <w:rFonts w:ascii="Verdana" w:eastAsia="Geomanist Light" w:hAnsi="Verdana" w:cs="Arial"/>
          <w:color w:val="000000" w:themeColor="text1"/>
          <w:lang w:val="es-MX"/>
        </w:rPr>
      </w:pPr>
    </w:p>
    <w:p w14:paraId="7129E6D4" w14:textId="77777777" w:rsidR="003D46C1" w:rsidRDefault="003D46C1" w:rsidP="00EC2D8E">
      <w:pPr>
        <w:spacing w:after="0" w:line="240" w:lineRule="auto"/>
        <w:rPr>
          <w:rFonts w:ascii="Verdana" w:eastAsia="Geomanist Light" w:hAnsi="Verdana" w:cs="Arial"/>
          <w:color w:val="000000" w:themeColor="text1"/>
          <w:lang w:val="es-MX"/>
        </w:rPr>
      </w:pPr>
    </w:p>
    <w:p w14:paraId="7D9E92E3" w14:textId="77777777" w:rsidR="003D46C1" w:rsidRDefault="003D46C1" w:rsidP="00EC2D8E">
      <w:pPr>
        <w:spacing w:after="0" w:line="240" w:lineRule="auto"/>
        <w:rPr>
          <w:rFonts w:ascii="Verdana" w:eastAsia="Geomanist Light" w:hAnsi="Verdana" w:cs="Arial"/>
          <w:color w:val="000000" w:themeColor="text1"/>
          <w:lang w:val="es-MX"/>
        </w:rPr>
      </w:pPr>
    </w:p>
    <w:p w14:paraId="4714F31B" w14:textId="2B63E0EE" w:rsidR="00EC2D8E" w:rsidRPr="00115E3D" w:rsidRDefault="00EC2D8E" w:rsidP="00EC2D8E">
      <w:pPr>
        <w:spacing w:after="0" w:line="240" w:lineRule="auto"/>
        <w:rPr>
          <w:rFonts w:ascii="Verdana" w:eastAsia="Geomanist Light" w:hAnsi="Verdana" w:cs="Arial"/>
          <w:color w:val="000000" w:themeColor="text1"/>
          <w:lang w:val="es-MX"/>
        </w:rPr>
      </w:pPr>
      <w:r w:rsidRPr="00115E3D">
        <w:rPr>
          <w:rFonts w:ascii="Verdana" w:eastAsia="Geomanist Light" w:hAnsi="Verdana" w:cs="Arial"/>
          <w:color w:val="000000" w:themeColor="text1"/>
          <w:lang w:val="es-MX"/>
        </w:rPr>
        <w:t>Bogotá D.C., [Día] de [Mes.NombreCapitalizado] de [Año]</w:t>
      </w:r>
    </w:p>
    <w:p w14:paraId="09BF3B6A" w14:textId="76950FF3" w:rsidR="00EC2D8E" w:rsidRDefault="003D46C1" w:rsidP="00EC2D8E">
      <w:pPr>
        <w:spacing w:after="0" w:line="240" w:lineRule="auto"/>
        <w:jc w:val="both"/>
        <w:rPr>
          <w:rFonts w:ascii="Verdana" w:eastAsia="Calibri" w:hAnsi="Verdana" w:cs="Arial"/>
          <w:color w:val="000000" w:themeColor="text1"/>
          <w:lang w:val="es-ES"/>
        </w:rPr>
      </w:pPr>
      <w:r w:rsidRPr="003D46C1">
        <w:rPr>
          <w:rFonts w:ascii="Verdana" w:eastAsia="Calibri" w:hAnsi="Verdana" w:cs="Arial"/>
          <w:color w:val="000000" w:themeColor="text1"/>
          <w:lang w:val="es-ES"/>
        </w:rPr>
        <w:drawing>
          <wp:anchor distT="0" distB="0" distL="114300" distR="114300" simplePos="0" relativeHeight="251658240" behindDoc="1" locked="0" layoutInCell="1" allowOverlap="1" wp14:anchorId="6EA5A9BB" wp14:editId="25A5A63F">
            <wp:simplePos x="0" y="0"/>
            <wp:positionH relativeFrom="column">
              <wp:posOffset>2235702</wp:posOffset>
            </wp:positionH>
            <wp:positionV relativeFrom="paragraph">
              <wp:posOffset>144989</wp:posOffset>
            </wp:positionV>
            <wp:extent cx="3381375" cy="1009650"/>
            <wp:effectExtent l="0" t="0" r="9525" b="0"/>
            <wp:wrapTight wrapText="bothSides">
              <wp:wrapPolygon edited="0">
                <wp:start x="0" y="0"/>
                <wp:lineTo x="0" y="21192"/>
                <wp:lineTo x="21539" y="21192"/>
                <wp:lineTo x="21539" y="0"/>
                <wp:lineTo x="0" y="0"/>
              </wp:wrapPolygon>
            </wp:wrapTight>
            <wp:docPr id="17586964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96478"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81375" cy="1009650"/>
                    </a:xfrm>
                    <a:prstGeom prst="rect">
                      <a:avLst/>
                    </a:prstGeom>
                  </pic:spPr>
                </pic:pic>
              </a:graphicData>
            </a:graphic>
          </wp:anchor>
        </w:drawing>
      </w:r>
    </w:p>
    <w:p w14:paraId="32D0261D" w14:textId="763DDF9D" w:rsidR="0096664C" w:rsidRDefault="0096664C" w:rsidP="00EC2D8E">
      <w:pPr>
        <w:spacing w:after="0" w:line="240" w:lineRule="auto"/>
        <w:jc w:val="both"/>
        <w:rPr>
          <w:rFonts w:ascii="Verdana" w:eastAsia="Calibri" w:hAnsi="Verdana" w:cs="Arial"/>
          <w:color w:val="000000" w:themeColor="text1"/>
          <w:lang w:val="es-ES"/>
        </w:rPr>
      </w:pPr>
    </w:p>
    <w:p w14:paraId="05FD499B" w14:textId="13140254" w:rsidR="003D46C1" w:rsidRDefault="003D46C1" w:rsidP="00EC2D8E">
      <w:pPr>
        <w:spacing w:after="0" w:line="240" w:lineRule="auto"/>
        <w:jc w:val="both"/>
        <w:rPr>
          <w:rFonts w:ascii="Verdana" w:eastAsia="Calibri" w:hAnsi="Verdana" w:cs="Arial"/>
          <w:color w:val="000000" w:themeColor="text1"/>
          <w:lang w:val="es-ES"/>
        </w:rPr>
      </w:pPr>
    </w:p>
    <w:p w14:paraId="77E6E6A5" w14:textId="38BAEFFA" w:rsidR="003D46C1" w:rsidRDefault="003D46C1" w:rsidP="00EC2D8E">
      <w:pPr>
        <w:spacing w:after="0" w:line="240" w:lineRule="auto"/>
        <w:jc w:val="both"/>
        <w:rPr>
          <w:rFonts w:ascii="Verdana" w:eastAsia="Calibri" w:hAnsi="Verdana" w:cs="Arial"/>
          <w:color w:val="000000" w:themeColor="text1"/>
          <w:lang w:val="es-ES"/>
        </w:rPr>
      </w:pPr>
    </w:p>
    <w:p w14:paraId="43AD10F4" w14:textId="77777777" w:rsidR="003D46C1" w:rsidRDefault="003D46C1" w:rsidP="00EC2D8E">
      <w:pPr>
        <w:spacing w:after="0" w:line="240" w:lineRule="auto"/>
        <w:jc w:val="both"/>
        <w:rPr>
          <w:rFonts w:ascii="Verdana" w:eastAsia="Calibri" w:hAnsi="Verdana" w:cs="Arial"/>
          <w:color w:val="000000" w:themeColor="text1"/>
          <w:lang w:val="es-ES"/>
        </w:rPr>
      </w:pPr>
    </w:p>
    <w:p w14:paraId="2BD63775" w14:textId="77777777" w:rsidR="003D46C1" w:rsidRDefault="003D46C1" w:rsidP="00EC2D8E">
      <w:pPr>
        <w:spacing w:after="0" w:line="240" w:lineRule="auto"/>
        <w:jc w:val="both"/>
        <w:rPr>
          <w:rFonts w:ascii="Verdana" w:eastAsia="Calibri" w:hAnsi="Verdana" w:cs="Arial"/>
          <w:color w:val="000000" w:themeColor="text1"/>
          <w:lang w:val="es-ES"/>
        </w:rPr>
      </w:pPr>
    </w:p>
    <w:p w14:paraId="1070A22E" w14:textId="77777777" w:rsidR="003D46C1" w:rsidRDefault="003D46C1" w:rsidP="00EC2D8E">
      <w:pPr>
        <w:spacing w:after="0" w:line="240" w:lineRule="auto"/>
        <w:jc w:val="both"/>
        <w:rPr>
          <w:rFonts w:ascii="Verdana" w:eastAsia="Calibri" w:hAnsi="Verdana" w:cs="Arial"/>
          <w:color w:val="000000" w:themeColor="text1"/>
          <w:lang w:val="es-ES"/>
        </w:rPr>
      </w:pPr>
    </w:p>
    <w:p w14:paraId="4AE4C96A" w14:textId="77777777" w:rsidR="003D46C1" w:rsidRPr="00115E3D" w:rsidRDefault="003D46C1" w:rsidP="00EC2D8E">
      <w:pPr>
        <w:spacing w:after="0" w:line="240" w:lineRule="auto"/>
        <w:jc w:val="both"/>
        <w:rPr>
          <w:rFonts w:ascii="Verdana" w:eastAsia="Calibri" w:hAnsi="Verdana" w:cs="Arial"/>
          <w:color w:val="000000" w:themeColor="text1"/>
          <w:lang w:val="es-ES"/>
        </w:rPr>
      </w:pPr>
    </w:p>
    <w:p w14:paraId="005682CB" w14:textId="77777777" w:rsidR="00EC2D8E" w:rsidRPr="00115E3D" w:rsidRDefault="00EC2D8E" w:rsidP="00EC2D8E">
      <w:pPr>
        <w:spacing w:after="0" w:line="240"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Señor</w:t>
      </w:r>
    </w:p>
    <w:p w14:paraId="11E447EB" w14:textId="77777777" w:rsidR="00EC2D8E" w:rsidRPr="00992A6F" w:rsidRDefault="00EC2D8E" w:rsidP="00EC2D8E">
      <w:pPr>
        <w:spacing w:after="0" w:line="240" w:lineRule="auto"/>
        <w:rPr>
          <w:rFonts w:ascii="Verdana" w:eastAsia="Calibri" w:hAnsi="Verdana" w:cs="Arial"/>
          <w:b/>
          <w:color w:val="000000" w:themeColor="text1"/>
          <w:lang w:eastAsia="es-ES_tradnl"/>
        </w:rPr>
      </w:pPr>
      <w:r w:rsidRPr="00992A6F">
        <w:rPr>
          <w:rFonts w:ascii="Verdana" w:eastAsia="Calibri" w:hAnsi="Verdana" w:cs="Arial"/>
          <w:b/>
          <w:color w:val="000000" w:themeColor="text1"/>
          <w:lang w:val="es-ES_tradnl" w:eastAsia="es-ES_tradnl"/>
        </w:rPr>
        <w:t>Iván Darío</w:t>
      </w:r>
      <w:r>
        <w:rPr>
          <w:rFonts w:ascii="Verdana" w:eastAsia="Calibri" w:hAnsi="Verdana" w:cs="Arial"/>
          <w:b/>
          <w:color w:val="000000" w:themeColor="text1"/>
          <w:lang w:val="es-ES_tradnl" w:eastAsia="es-ES_tradnl"/>
        </w:rPr>
        <w:t xml:space="preserve"> </w:t>
      </w:r>
      <w:r w:rsidRPr="00992A6F">
        <w:rPr>
          <w:rFonts w:ascii="Verdana" w:eastAsia="Calibri" w:hAnsi="Verdana" w:cs="Arial"/>
          <w:b/>
          <w:color w:val="000000" w:themeColor="text1"/>
          <w:lang w:val="es-ES_tradnl" w:eastAsia="es-ES_tradnl"/>
        </w:rPr>
        <w:t>Gutiérrez</w:t>
      </w:r>
      <w:r w:rsidRPr="00992A6F">
        <w:rPr>
          <w:rFonts w:ascii="Verdana" w:eastAsia="Calibri" w:hAnsi="Verdana" w:cs="Arial"/>
          <w:b/>
          <w:color w:val="000000" w:themeColor="text1"/>
          <w:lang w:eastAsia="es-ES_tradnl"/>
        </w:rPr>
        <w:t xml:space="preserve"> Cardozo</w:t>
      </w:r>
    </w:p>
    <w:p w14:paraId="7DA7AF40" w14:textId="77777777" w:rsidR="00EC2D8E" w:rsidRPr="001D6AA0" w:rsidRDefault="00EC2D8E" w:rsidP="00EC2D8E">
      <w:pPr>
        <w:spacing w:after="0" w:line="240" w:lineRule="auto"/>
        <w:rPr>
          <w:rFonts w:ascii="Verdana" w:eastAsia="Calibri" w:hAnsi="Verdana" w:cs="Arial"/>
          <w:color w:val="000000" w:themeColor="text1"/>
          <w:u w:val="single"/>
          <w:lang w:eastAsia="es-ES"/>
        </w:rPr>
      </w:pPr>
      <w:hyperlink r:id="rId11" w:history="1">
        <w:r w:rsidRPr="001D6AA0">
          <w:rPr>
            <w:rStyle w:val="Hipervnculo"/>
            <w:rFonts w:ascii="Verdana" w:eastAsia="Calibri" w:hAnsi="Verdana" w:cs="Arial"/>
            <w:lang w:eastAsia="es-ES"/>
          </w:rPr>
          <w:t>ivandariog@hotmail.com</w:t>
        </w:r>
      </w:hyperlink>
    </w:p>
    <w:p w14:paraId="24FB3141" w14:textId="77777777" w:rsidR="00EC2D8E" w:rsidRPr="00992A6F" w:rsidRDefault="00EC2D8E" w:rsidP="00EC2D8E">
      <w:pPr>
        <w:spacing w:after="0" w:line="240" w:lineRule="auto"/>
        <w:rPr>
          <w:rFonts w:ascii="Verdana" w:eastAsia="Calibri" w:hAnsi="Verdana" w:cs="Arial"/>
          <w:b/>
          <w:bCs/>
          <w:color w:val="000000" w:themeColor="text1"/>
          <w:lang w:val="en-US" w:eastAsia="es-ES"/>
        </w:rPr>
      </w:pPr>
      <w:r w:rsidRPr="00992A6F">
        <w:rPr>
          <w:rFonts w:ascii="Verdana" w:eastAsia="Calibri" w:hAnsi="Verdana" w:cs="Arial"/>
          <w:color w:val="000000" w:themeColor="text1"/>
          <w:lang w:val="en-US" w:eastAsia="es-ES"/>
        </w:rPr>
        <w:t>Neiva, H</w:t>
      </w:r>
      <w:r>
        <w:rPr>
          <w:rFonts w:ascii="Verdana" w:eastAsia="Calibri" w:hAnsi="Verdana" w:cs="Arial"/>
          <w:color w:val="000000" w:themeColor="text1"/>
          <w:lang w:val="en-US" w:eastAsia="es-ES"/>
        </w:rPr>
        <w:t>uila</w:t>
      </w:r>
    </w:p>
    <w:p w14:paraId="539D522B" w14:textId="77777777" w:rsidR="00EC2D8E" w:rsidRPr="00992A6F" w:rsidRDefault="00EC2D8E" w:rsidP="00EC2D8E">
      <w:pPr>
        <w:spacing w:after="0" w:line="240" w:lineRule="auto"/>
        <w:rPr>
          <w:rFonts w:ascii="Verdana" w:eastAsia="Calibri" w:hAnsi="Verdana" w:cs="Arial"/>
          <w:b/>
          <w:bCs/>
          <w:color w:val="000000" w:themeColor="text1"/>
          <w:lang w:val="en-US" w:eastAsia="es-ES_tradnl"/>
        </w:rPr>
      </w:pPr>
    </w:p>
    <w:p w14:paraId="5566275E" w14:textId="77777777" w:rsidR="00EC2D8E" w:rsidRPr="00992A6F" w:rsidRDefault="00EC2D8E" w:rsidP="00EC2D8E">
      <w:pPr>
        <w:spacing w:after="0" w:line="240" w:lineRule="auto"/>
        <w:rPr>
          <w:rFonts w:ascii="Verdana" w:eastAsia="Calibri" w:hAnsi="Verdana" w:cs="Arial"/>
          <w:b/>
          <w:bCs/>
          <w:color w:val="000000" w:themeColor="text1"/>
          <w:lang w:val="en-US"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C2D8E" w:rsidRPr="00115E3D" w14:paraId="0E70B75F" w14:textId="77777777" w:rsidTr="00EF5085">
        <w:trPr>
          <w:trHeight w:val="884"/>
        </w:trPr>
        <w:tc>
          <w:tcPr>
            <w:tcW w:w="2689" w:type="dxa"/>
          </w:tcPr>
          <w:p w14:paraId="4B0122A1" w14:textId="77777777" w:rsidR="00EC2D8E" w:rsidRPr="00992A6F" w:rsidRDefault="00EC2D8E" w:rsidP="00EF5085">
            <w:pPr>
              <w:jc w:val="both"/>
              <w:rPr>
                <w:rFonts w:ascii="Verdana" w:eastAsia="Calibri" w:hAnsi="Verdana" w:cs="Arial"/>
                <w:b/>
                <w:bCs/>
                <w:color w:val="000000" w:themeColor="text1"/>
                <w:lang w:val="en-US" w:eastAsia="es-ES_tradnl"/>
              </w:rPr>
            </w:pPr>
          </w:p>
        </w:tc>
        <w:tc>
          <w:tcPr>
            <w:tcW w:w="6100" w:type="dxa"/>
          </w:tcPr>
          <w:p w14:paraId="059A6065" w14:textId="77777777" w:rsidR="00EC2D8E" w:rsidRPr="00115E3D" w:rsidRDefault="00EC2D8E" w:rsidP="00EF5085">
            <w:pPr>
              <w:jc w:val="both"/>
              <w:rPr>
                <w:rFonts w:ascii="Verdana" w:eastAsia="Calibri" w:hAnsi="Verdana" w:cs="Arial"/>
                <w:b/>
                <w:bCs/>
                <w:color w:val="000000" w:themeColor="text1"/>
                <w:lang w:val="es-ES" w:eastAsia="es-ES"/>
              </w:rPr>
            </w:pPr>
            <w:r w:rsidRPr="00115E3D">
              <w:rPr>
                <w:rFonts w:ascii="Verdana" w:eastAsia="Calibri" w:hAnsi="Verdana" w:cs="Arial"/>
                <w:b/>
                <w:bCs/>
                <w:color w:val="000000" w:themeColor="text1"/>
                <w:lang w:val="es-ES" w:eastAsia="es-ES"/>
              </w:rPr>
              <w:t xml:space="preserve">Concepto C- </w:t>
            </w:r>
            <w:r>
              <w:rPr>
                <w:rFonts w:ascii="Verdana" w:eastAsia="Calibri" w:hAnsi="Verdana" w:cs="Arial"/>
                <w:b/>
                <w:bCs/>
                <w:color w:val="000000" w:themeColor="text1"/>
                <w:lang w:val="es-ES" w:eastAsia="es-ES"/>
              </w:rPr>
              <w:t>1002</w:t>
            </w:r>
            <w:r w:rsidRPr="00115E3D">
              <w:rPr>
                <w:rFonts w:ascii="Verdana" w:eastAsia="Calibri" w:hAnsi="Verdana" w:cs="Arial"/>
                <w:b/>
                <w:bCs/>
                <w:color w:val="000000" w:themeColor="text1"/>
                <w:lang w:val="es-ES" w:eastAsia="es-ES"/>
              </w:rPr>
              <w:t xml:space="preserve"> de 2024</w:t>
            </w:r>
          </w:p>
        </w:tc>
      </w:tr>
      <w:tr w:rsidR="00EC2D8E" w:rsidRPr="00115E3D" w14:paraId="1091CAB6" w14:textId="77777777" w:rsidTr="00EF5085">
        <w:trPr>
          <w:trHeight w:val="884"/>
        </w:trPr>
        <w:tc>
          <w:tcPr>
            <w:tcW w:w="2689" w:type="dxa"/>
          </w:tcPr>
          <w:p w14:paraId="15375F3A" w14:textId="77777777" w:rsidR="00EC2D8E" w:rsidRPr="00115E3D" w:rsidRDefault="00EC2D8E" w:rsidP="00EF5085">
            <w:pPr>
              <w:jc w:val="both"/>
              <w:rPr>
                <w:rFonts w:ascii="Verdana" w:eastAsia="Calibri" w:hAnsi="Verdana" w:cs="Arial"/>
                <w:color w:val="000000" w:themeColor="text1"/>
                <w:lang w:val="es-ES_tradnl" w:eastAsia="es-ES_tradnl"/>
              </w:rPr>
            </w:pPr>
            <w:r w:rsidRPr="00115E3D">
              <w:rPr>
                <w:rFonts w:ascii="Verdana" w:eastAsia="Calibri" w:hAnsi="Verdana" w:cs="Arial"/>
                <w:b/>
                <w:color w:val="000000" w:themeColor="text1"/>
                <w:lang w:val="es-ES_tradnl" w:eastAsia="es-ES_tradnl"/>
              </w:rPr>
              <w:t>Temas:</w:t>
            </w:r>
            <w:r w:rsidRPr="00115E3D">
              <w:rPr>
                <w:rFonts w:ascii="Verdana" w:eastAsia="Calibri" w:hAnsi="Verdana" w:cs="Arial"/>
                <w:color w:val="000000" w:themeColor="text1"/>
                <w:lang w:val="es-ES_tradnl" w:eastAsia="es-ES_tradnl"/>
              </w:rPr>
              <w:t xml:space="preserve">                   </w:t>
            </w:r>
          </w:p>
        </w:tc>
        <w:tc>
          <w:tcPr>
            <w:tcW w:w="6100" w:type="dxa"/>
          </w:tcPr>
          <w:p w14:paraId="20E41A55" w14:textId="77777777" w:rsidR="00A96178" w:rsidRDefault="00EC2D8E" w:rsidP="00EF5085">
            <w:pPr>
              <w:jc w:val="both"/>
              <w:rPr>
                <w:rFonts w:ascii="Verdana" w:eastAsia="Calibri" w:hAnsi="Verdana" w:cs="Arial"/>
                <w:color w:val="000000" w:themeColor="text1"/>
                <w:lang w:val="es-ES"/>
              </w:rPr>
            </w:pPr>
            <w:r w:rsidRPr="003F3E19">
              <w:rPr>
                <w:rFonts w:ascii="Verdana" w:eastAsia="Calibri" w:hAnsi="Verdana" w:cs="Arial"/>
                <w:color w:val="000000" w:themeColor="text1"/>
                <w:lang w:val="es-ES"/>
              </w:rPr>
              <w:t xml:space="preserve">REQUISITOS HABILITANTES </w:t>
            </w:r>
          </w:p>
          <w:p w14:paraId="084CF1E4" w14:textId="79D5F9FB" w:rsidR="00EC2D8E" w:rsidRPr="003F3E19" w:rsidRDefault="00EC2D8E" w:rsidP="00EF5085">
            <w:pPr>
              <w:jc w:val="both"/>
              <w:rPr>
                <w:rFonts w:ascii="Verdana" w:eastAsia="Calibri" w:hAnsi="Verdana" w:cs="Arial"/>
                <w:color w:val="000000" w:themeColor="text1"/>
                <w:lang w:val="es-ES_tradnl"/>
              </w:rPr>
            </w:pPr>
            <w:r w:rsidRPr="003F3E19">
              <w:rPr>
                <w:rFonts w:ascii="Verdana" w:eastAsia="Arial" w:hAnsi="Verdana" w:cs="Arial"/>
                <w:color w:val="000000" w:themeColor="text1"/>
                <w:lang w:val="es-ES"/>
              </w:rPr>
              <w:t xml:space="preserve">– </w:t>
            </w:r>
            <w:r w:rsidRPr="003F3E19">
              <w:rPr>
                <w:rFonts w:ascii="Verdana" w:eastAsia="Calibri" w:hAnsi="Verdana" w:cs="Arial"/>
                <w:color w:val="000000" w:themeColor="text1"/>
                <w:lang w:val="es-ES"/>
              </w:rPr>
              <w:t>Ley 1150 de 2007</w:t>
            </w:r>
            <w:r w:rsidR="008F7A37">
              <w:rPr>
                <w:rFonts w:ascii="Verdana" w:eastAsia="Calibri" w:hAnsi="Verdana" w:cs="Arial"/>
                <w:color w:val="000000" w:themeColor="text1"/>
                <w:lang w:val="es-ES"/>
              </w:rPr>
              <w:t xml:space="preserve"> </w:t>
            </w:r>
            <w:r w:rsidR="00836653" w:rsidRPr="003F3E19">
              <w:rPr>
                <w:rFonts w:ascii="Verdana" w:eastAsia="Arial" w:hAnsi="Verdana" w:cs="Arial"/>
                <w:color w:val="000000" w:themeColor="text1"/>
                <w:lang w:val="es-ES"/>
              </w:rPr>
              <w:t>–</w:t>
            </w:r>
            <w:r w:rsidR="00836653">
              <w:rPr>
                <w:rFonts w:ascii="Verdana" w:eastAsia="Arial" w:hAnsi="Verdana" w:cs="Arial"/>
                <w:color w:val="000000" w:themeColor="text1"/>
                <w:lang w:val="es-ES"/>
              </w:rPr>
              <w:t xml:space="preserve"> Noción </w:t>
            </w:r>
            <w:r w:rsidRPr="003F3E19">
              <w:rPr>
                <w:rFonts w:ascii="Verdana" w:eastAsia="Arial" w:hAnsi="Verdana" w:cs="Arial"/>
                <w:color w:val="000000" w:themeColor="text1"/>
                <w:lang w:val="es-ES"/>
              </w:rPr>
              <w:t>/ EXPERIENCIA – Forma de acreditación</w:t>
            </w:r>
            <w:r w:rsidR="00B563C9" w:rsidRPr="003F3E19">
              <w:rPr>
                <w:rFonts w:ascii="Verdana" w:eastAsia="Arial" w:hAnsi="Verdana" w:cs="Arial"/>
                <w:color w:val="000000" w:themeColor="text1"/>
                <w:lang w:val="es-ES"/>
              </w:rPr>
              <w:t xml:space="preserve"> –</w:t>
            </w:r>
            <w:r w:rsidR="00B563C9">
              <w:rPr>
                <w:rFonts w:ascii="Verdana" w:eastAsia="Arial" w:hAnsi="Verdana" w:cs="Arial"/>
                <w:color w:val="000000" w:themeColor="text1"/>
                <w:lang w:val="es-ES"/>
              </w:rPr>
              <w:t xml:space="preserve"> Objeto idéntico </w:t>
            </w:r>
          </w:p>
          <w:p w14:paraId="0AE865B0" w14:textId="77777777" w:rsidR="00EC2D8E" w:rsidRPr="00F5612A" w:rsidRDefault="00EC2D8E" w:rsidP="00EF5085">
            <w:pPr>
              <w:spacing w:line="276" w:lineRule="auto"/>
              <w:jc w:val="both"/>
              <w:rPr>
                <w:rFonts w:ascii="Verdana" w:eastAsia="Calibri" w:hAnsi="Verdana" w:cs="Arial"/>
                <w:color w:val="000000" w:themeColor="text1"/>
                <w:lang w:val="es-ES_tradnl" w:eastAsia="es-ES"/>
              </w:rPr>
            </w:pPr>
          </w:p>
        </w:tc>
      </w:tr>
      <w:tr w:rsidR="00EC2D8E" w:rsidRPr="00115E3D" w14:paraId="2C62FA3C" w14:textId="77777777" w:rsidTr="00EF5085">
        <w:tc>
          <w:tcPr>
            <w:tcW w:w="2689" w:type="dxa"/>
          </w:tcPr>
          <w:p w14:paraId="441A5D51" w14:textId="77777777" w:rsidR="00EC2D8E" w:rsidRPr="00115E3D" w:rsidRDefault="00EC2D8E" w:rsidP="00EF5085">
            <w:pPr>
              <w:jc w:val="both"/>
              <w:rPr>
                <w:rFonts w:ascii="Verdana" w:eastAsia="Calibri" w:hAnsi="Verdana" w:cs="Arial"/>
                <w:b/>
                <w:color w:val="000000" w:themeColor="text1"/>
                <w:lang w:val="es-ES_tradnl" w:eastAsia="es-ES_tradnl"/>
              </w:rPr>
            </w:pPr>
            <w:r w:rsidRPr="00115E3D">
              <w:rPr>
                <w:rFonts w:ascii="Verdana" w:eastAsia="Calibri" w:hAnsi="Verdana" w:cs="Arial"/>
                <w:b/>
                <w:color w:val="000000" w:themeColor="text1"/>
                <w:lang w:val="es-ES_tradnl" w:eastAsia="es-ES_tradnl"/>
              </w:rPr>
              <w:t>Radicación:</w:t>
            </w:r>
            <w:r w:rsidRPr="00115E3D">
              <w:rPr>
                <w:rFonts w:ascii="Verdana" w:eastAsia="Calibri" w:hAnsi="Verdana" w:cs="Arial"/>
                <w:color w:val="000000" w:themeColor="text1"/>
                <w:lang w:val="es-ES_tradnl" w:eastAsia="es-ES_tradnl"/>
              </w:rPr>
              <w:t xml:space="preserve">               </w:t>
            </w:r>
          </w:p>
        </w:tc>
        <w:tc>
          <w:tcPr>
            <w:tcW w:w="6100" w:type="dxa"/>
          </w:tcPr>
          <w:p w14:paraId="427AC4EB" w14:textId="77777777" w:rsidR="00EC2D8E" w:rsidRPr="00115E3D" w:rsidRDefault="00EC2D8E" w:rsidP="00EF5085">
            <w:pPr>
              <w:jc w:val="both"/>
              <w:rPr>
                <w:rFonts w:ascii="Verdana" w:eastAsia="Calibri" w:hAnsi="Verdana" w:cs="Arial"/>
                <w:color w:val="000000" w:themeColor="text1"/>
                <w:lang w:val="es-ES_tradnl" w:eastAsia="es-ES_tradnl"/>
              </w:rPr>
            </w:pPr>
            <w:r w:rsidRPr="00115E3D">
              <w:rPr>
                <w:rFonts w:ascii="Verdana" w:eastAsia="Calibri" w:hAnsi="Verdana" w:cs="Arial"/>
                <w:color w:val="000000" w:themeColor="text1"/>
                <w:lang w:val="es-ES_tradnl" w:eastAsia="es-ES_tradnl"/>
              </w:rPr>
              <w:t xml:space="preserve">Respuesta a consulta con radicado No. </w:t>
            </w:r>
          </w:p>
          <w:p w14:paraId="7AE132B3" w14:textId="77777777" w:rsidR="00EC2D8E" w:rsidRPr="00992A6F" w:rsidRDefault="00EC2D8E" w:rsidP="00EF5085">
            <w:pPr>
              <w:jc w:val="both"/>
              <w:rPr>
                <w:rFonts w:ascii="Verdana" w:hAnsi="Verdana" w:cs="Calibri"/>
              </w:rPr>
            </w:pPr>
            <w:r>
              <w:rPr>
                <w:rFonts w:ascii="Verdana" w:hAnsi="Verdana" w:cs="Calibri"/>
              </w:rPr>
              <w:t>P20241216012573</w:t>
            </w:r>
          </w:p>
        </w:tc>
      </w:tr>
    </w:tbl>
    <w:p w14:paraId="6C26975A" w14:textId="77777777" w:rsidR="00EC2D8E" w:rsidRPr="00115E3D" w:rsidRDefault="00EC2D8E" w:rsidP="00EC2D8E">
      <w:pPr>
        <w:spacing w:after="0" w:line="240" w:lineRule="auto"/>
        <w:jc w:val="both"/>
        <w:rPr>
          <w:rFonts w:ascii="Verdana" w:eastAsia="Calibri" w:hAnsi="Verdana" w:cs="Arial"/>
          <w:color w:val="000000" w:themeColor="text1"/>
          <w:lang w:val="es-ES_tradnl" w:eastAsia="es-ES_tradnl"/>
        </w:rPr>
      </w:pPr>
    </w:p>
    <w:p w14:paraId="1F894372" w14:textId="77777777" w:rsidR="00EC2D8E" w:rsidRPr="00115E3D" w:rsidRDefault="00EC2D8E" w:rsidP="00EC2D8E">
      <w:pPr>
        <w:spacing w:after="0" w:line="240" w:lineRule="auto"/>
        <w:jc w:val="both"/>
        <w:rPr>
          <w:rFonts w:ascii="Verdana" w:eastAsia="Calibri" w:hAnsi="Verdana" w:cs="Arial"/>
          <w:color w:val="000000" w:themeColor="text1"/>
          <w:lang w:val="es-ES_tradnl" w:eastAsia="es-ES_tradnl"/>
        </w:rPr>
      </w:pPr>
    </w:p>
    <w:p w14:paraId="6FED27AE" w14:textId="77777777" w:rsidR="00EC2D8E" w:rsidRPr="00115E3D" w:rsidRDefault="00EC2D8E" w:rsidP="00EC2D8E">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Estimado señor </w:t>
      </w:r>
      <w:r>
        <w:rPr>
          <w:rFonts w:ascii="Verdana" w:eastAsia="Calibri" w:hAnsi="Verdana" w:cs="Arial"/>
          <w:color w:val="000000" w:themeColor="text1"/>
          <w:lang w:val="es-ES" w:eastAsia="es-ES"/>
        </w:rPr>
        <w:t>Gutiérrez</w:t>
      </w:r>
      <w:r w:rsidRPr="00115E3D">
        <w:rPr>
          <w:rFonts w:ascii="Verdana" w:eastAsia="Calibri" w:hAnsi="Verdana" w:cs="Arial"/>
          <w:color w:val="000000" w:themeColor="text1"/>
          <w:lang w:val="es-ES" w:eastAsia="es-ES"/>
        </w:rPr>
        <w:t xml:space="preserve">: </w:t>
      </w:r>
    </w:p>
    <w:p w14:paraId="7818320C" w14:textId="77777777" w:rsidR="00EC2D8E" w:rsidRPr="00115E3D" w:rsidRDefault="00EC2D8E" w:rsidP="00EC2D8E">
      <w:pPr>
        <w:tabs>
          <w:tab w:val="left" w:pos="3768"/>
        </w:tabs>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ab/>
      </w:r>
    </w:p>
    <w:p w14:paraId="5344EFAB" w14:textId="77777777" w:rsidR="00EC2D8E" w:rsidRPr="00115E3D" w:rsidRDefault="00EC2D8E" w:rsidP="00EC2D8E">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16</w:t>
      </w:r>
      <w:r w:rsidRPr="00115E3D">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 xml:space="preserve">diciembre </w:t>
      </w:r>
      <w:r w:rsidRPr="00115E3D">
        <w:rPr>
          <w:rFonts w:ascii="Verdana" w:eastAsia="Calibri" w:hAnsi="Verdana" w:cs="Arial"/>
          <w:color w:val="000000" w:themeColor="text1"/>
          <w:lang w:val="es-ES" w:eastAsia="es-ES"/>
        </w:rPr>
        <w:t>de 20</w:t>
      </w:r>
      <w:r>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p>
    <w:p w14:paraId="16AB4FF6" w14:textId="77777777" w:rsidR="00EC2D8E" w:rsidRPr="00115E3D" w:rsidRDefault="00EC2D8E" w:rsidP="00EC2D8E">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452745DE" w14:textId="77777777" w:rsidR="00EC2D8E" w:rsidRPr="00992A6F" w:rsidRDefault="00EC2D8E" w:rsidP="00EC2D8E">
      <w:pPr>
        <w:spacing w:after="0" w:line="240" w:lineRule="auto"/>
        <w:ind w:left="709" w:right="709"/>
        <w:jc w:val="both"/>
        <w:rPr>
          <w:rFonts w:ascii="Verdana" w:eastAsia="Century Gothic" w:hAnsi="Verdana" w:cs="Century Gothic"/>
          <w:i/>
          <w:iCs/>
          <w:color w:val="000000" w:themeColor="text1"/>
          <w:sz w:val="20"/>
          <w:szCs w:val="20"/>
        </w:rPr>
      </w:pPr>
      <w:bookmarkStart w:id="0" w:name="_Hlk95313578"/>
      <w:r w:rsidRPr="00F5612A">
        <w:rPr>
          <w:rFonts w:ascii="Verdana" w:eastAsia="Century Gothic" w:hAnsi="Verdana" w:cs="Century Gothic"/>
          <w:i/>
          <w:iCs/>
          <w:color w:val="000000" w:themeColor="text1"/>
          <w:sz w:val="20"/>
          <w:szCs w:val="20"/>
          <w:lang w:val="es-ES"/>
        </w:rPr>
        <w:t>“</w:t>
      </w:r>
      <w:bookmarkEnd w:id="0"/>
      <w:r w:rsidRPr="00F5612A">
        <w:rPr>
          <w:rFonts w:ascii="Verdana" w:eastAsia="Century Gothic" w:hAnsi="Verdana" w:cs="Century Gothic"/>
          <w:i/>
          <w:iCs/>
          <w:color w:val="000000" w:themeColor="text1"/>
          <w:sz w:val="20"/>
          <w:szCs w:val="20"/>
        </w:rPr>
        <w:t xml:space="preserve">¿puede una entidad estatal en la experiencia especifica habilitante del proceso de seleccion, exigir que los contratos aportados como experiencia espeficica tengan una descripcion exacta o identica de actividades como la mencionada en el pliego de condiciones? para llegar a un monto igual del presupuesto oficial. ¿ en razon a la pregunta anterior, si la descripcion del objeto no es identica y el comite evaluador acepta la experiencia especifica, debera cuantificar solo aquellas actividades que tengan relacion </w:t>
      </w:r>
      <w:r w:rsidRPr="00F5612A">
        <w:rPr>
          <w:rFonts w:ascii="Verdana" w:eastAsia="Century Gothic" w:hAnsi="Verdana" w:cs="Century Gothic"/>
          <w:i/>
          <w:iCs/>
          <w:color w:val="000000" w:themeColor="text1"/>
          <w:sz w:val="20"/>
          <w:szCs w:val="20"/>
        </w:rPr>
        <w:lastRenderedPageBreak/>
        <w:t>con el objeto contractual o activiadades del contrato para llegar al requerimiento de la entidad?.”(SIC)</w:t>
      </w:r>
    </w:p>
    <w:p w14:paraId="0EB023A7" w14:textId="77777777" w:rsidR="00EC2D8E" w:rsidRPr="00992A6F" w:rsidRDefault="00EC2D8E" w:rsidP="00EC2D8E">
      <w:pPr>
        <w:spacing w:after="0" w:line="240" w:lineRule="auto"/>
        <w:ind w:left="709" w:right="709"/>
        <w:jc w:val="both"/>
        <w:rPr>
          <w:rFonts w:ascii="Verdana" w:eastAsia="Century Gothic" w:hAnsi="Verdana" w:cs="Century Gothic"/>
          <w:color w:val="000000" w:themeColor="text1"/>
          <w:sz w:val="20"/>
          <w:szCs w:val="20"/>
          <w:lang w:val="es-ES"/>
        </w:rPr>
      </w:pPr>
    </w:p>
    <w:p w14:paraId="16547485" w14:textId="77777777" w:rsidR="00EC2D8E" w:rsidRPr="00115E3D" w:rsidRDefault="00EC2D8E" w:rsidP="00EC2D8E">
      <w:pPr>
        <w:spacing w:after="120" w:line="276" w:lineRule="auto"/>
        <w:ind w:firstLine="709"/>
        <w:jc w:val="both"/>
        <w:rPr>
          <w:rFonts w:ascii="Verdana" w:eastAsia="Calibri" w:hAnsi="Verdana" w:cs="Arial"/>
          <w:color w:val="000000" w:themeColor="text1"/>
          <w:szCs w:val="24"/>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szCs w:val="24"/>
          <w:lang w:val="es-ES_tradnl" w:eastAsia="es-ES_tradnl"/>
        </w:rPr>
        <w:tab/>
      </w:r>
    </w:p>
    <w:p w14:paraId="4106C44B" w14:textId="77777777" w:rsidR="00EC2D8E" w:rsidRPr="00115E3D" w:rsidRDefault="00EC2D8E" w:rsidP="00EC2D8E">
      <w:pPr>
        <w:spacing w:after="0"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3BA55101" w14:textId="77777777" w:rsidR="00EC2D8E" w:rsidRPr="00115E3D" w:rsidRDefault="00EC2D8E" w:rsidP="00EC2D8E">
      <w:pPr>
        <w:spacing w:after="0" w:line="276" w:lineRule="auto"/>
        <w:ind w:firstLine="709"/>
        <w:jc w:val="both"/>
        <w:rPr>
          <w:rFonts w:ascii="Verdana" w:eastAsia="Calibri" w:hAnsi="Verdana" w:cs="Arial"/>
          <w:color w:val="000000" w:themeColor="text1"/>
          <w:lang w:val="es-ES" w:eastAsia="es-ES"/>
        </w:rPr>
      </w:pPr>
    </w:p>
    <w:p w14:paraId="50217272" w14:textId="77777777" w:rsidR="00EC2D8E" w:rsidRPr="00115E3D" w:rsidRDefault="00EC2D8E" w:rsidP="00EC2D8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Problema planteado:</w:t>
      </w:r>
    </w:p>
    <w:p w14:paraId="2E306C83" w14:textId="77777777" w:rsidR="00EC2D8E" w:rsidRPr="00115E3D" w:rsidRDefault="00EC2D8E" w:rsidP="00EC2D8E">
      <w:pPr>
        <w:tabs>
          <w:tab w:val="left" w:pos="426"/>
        </w:tabs>
        <w:spacing w:after="0" w:line="276" w:lineRule="auto"/>
        <w:jc w:val="both"/>
        <w:rPr>
          <w:rFonts w:ascii="Verdana" w:eastAsia="Century Gothic" w:hAnsi="Verdana" w:cs="Century Gothic"/>
          <w:color w:val="000000" w:themeColor="text1"/>
          <w:lang w:val="es-ES"/>
        </w:rPr>
      </w:pPr>
    </w:p>
    <w:p w14:paraId="12BFA30D" w14:textId="77777777" w:rsidR="00EC2D8E" w:rsidRPr="00A842D2" w:rsidRDefault="00EC2D8E" w:rsidP="00EC2D8E">
      <w:pPr>
        <w:spacing w:after="0" w:line="276" w:lineRule="auto"/>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 xml:space="preserve">De acuerdo con el contenido de su solicitud, esta Agencia resolverá el siguiente problema jurídico: </w:t>
      </w:r>
      <w:r w:rsidRPr="00A842D2">
        <w:rPr>
          <w:rFonts w:ascii="Verdana" w:eastAsia="Century Gothic" w:hAnsi="Verdana" w:cs="Century Gothic"/>
          <w:color w:val="000000" w:themeColor="text1"/>
        </w:rPr>
        <w:t>¿</w:t>
      </w:r>
      <w:r w:rsidRPr="00A842D2">
        <w:rPr>
          <w:rFonts w:ascii="Verdana" w:hAnsi="Verdana"/>
        </w:rPr>
        <w:t>Puede</w:t>
      </w:r>
      <w:r w:rsidRPr="00A842D2">
        <w:rPr>
          <w:rFonts w:ascii="Verdana" w:eastAsia="Century Gothic" w:hAnsi="Verdana" w:cs="Century Gothic"/>
          <w:color w:val="000000" w:themeColor="text1"/>
        </w:rPr>
        <w:t xml:space="preserve"> una entidad estatal exigir que los contratos aportados como experiencia específica tengan una descripción exacta de actividades</w:t>
      </w:r>
      <w:r>
        <w:rPr>
          <w:rFonts w:ascii="Verdana" w:eastAsia="Century Gothic" w:hAnsi="Verdana" w:cs="Century Gothic"/>
          <w:color w:val="000000" w:themeColor="text1"/>
        </w:rPr>
        <w:t xml:space="preserve"> que se van a desarrollar?</w:t>
      </w:r>
      <w:r w:rsidRPr="00A842D2">
        <w:rPr>
          <w:rFonts w:ascii="Verdana" w:eastAsia="Century Gothic" w:hAnsi="Verdana" w:cs="Century Gothic"/>
          <w:color w:val="000000" w:themeColor="text1"/>
        </w:rPr>
        <w:t xml:space="preserve"> </w:t>
      </w:r>
    </w:p>
    <w:p w14:paraId="6F0945FA" w14:textId="77777777" w:rsidR="00EC2D8E" w:rsidRPr="003446D0" w:rsidRDefault="00EC2D8E" w:rsidP="00EC2D8E">
      <w:pPr>
        <w:spacing w:after="0" w:line="276" w:lineRule="auto"/>
        <w:jc w:val="both"/>
        <w:rPr>
          <w:rFonts w:ascii="Verdana" w:eastAsia="Calibri" w:hAnsi="Verdana" w:cs="Arial"/>
          <w:color w:val="000000" w:themeColor="text1"/>
        </w:rPr>
      </w:pPr>
    </w:p>
    <w:p w14:paraId="51CE8998" w14:textId="77777777" w:rsidR="00EC2D8E" w:rsidRPr="00115E3D" w:rsidRDefault="00EC2D8E" w:rsidP="00EC2D8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Respuesta:</w:t>
      </w:r>
    </w:p>
    <w:p w14:paraId="7B817D22" w14:textId="77777777" w:rsidR="00EC2D8E" w:rsidRPr="00115E3D" w:rsidRDefault="00EC2D8E" w:rsidP="00EC2D8E">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EC2D8E" w:rsidRPr="00115E3D" w14:paraId="6128F415" w14:textId="77777777" w:rsidTr="00EF5085">
        <w:tc>
          <w:tcPr>
            <w:tcW w:w="9067" w:type="dxa"/>
            <w:shd w:val="clear" w:color="auto" w:fill="auto"/>
          </w:tcPr>
          <w:p w14:paraId="31AA774A" w14:textId="58DDD436" w:rsidR="00EC2D8E" w:rsidRDefault="00EC2D8E" w:rsidP="00423302">
            <w:pPr>
              <w:spacing w:line="276" w:lineRule="auto"/>
              <w:jc w:val="both"/>
              <w:rPr>
                <w:rFonts w:ascii="Verdana" w:hAnsi="Verdana" w:cs="Arial"/>
                <w:lang w:eastAsia="es-MX"/>
              </w:rPr>
            </w:pPr>
            <w:r w:rsidRPr="00F30C0D">
              <w:rPr>
                <w:rFonts w:ascii="Verdana" w:hAnsi="Verdana" w:cs="Arial"/>
                <w:lang w:eastAsia="es-MX"/>
              </w:rPr>
              <w:t xml:space="preserve">De acuerdo con el Manual </w:t>
            </w:r>
            <w:r w:rsidR="00423302">
              <w:rPr>
                <w:rFonts w:ascii="Verdana" w:hAnsi="Verdana" w:cs="Arial"/>
                <w:lang w:eastAsia="es-MX"/>
              </w:rPr>
              <w:t>p</w:t>
            </w:r>
            <w:r w:rsidRPr="00F30C0D">
              <w:rPr>
                <w:rFonts w:ascii="Verdana" w:hAnsi="Verdana" w:cs="Arial"/>
                <w:lang w:eastAsia="es-MX"/>
              </w:rPr>
              <w:t xml:space="preserve">ara </w:t>
            </w:r>
            <w:r w:rsidR="00423302">
              <w:rPr>
                <w:rFonts w:ascii="Verdana" w:hAnsi="Verdana" w:cs="Arial"/>
                <w:lang w:eastAsia="es-MX"/>
              </w:rPr>
              <w:t>d</w:t>
            </w:r>
            <w:r w:rsidRPr="00F30C0D">
              <w:rPr>
                <w:rFonts w:ascii="Verdana" w:hAnsi="Verdana" w:cs="Arial"/>
                <w:lang w:eastAsia="es-MX"/>
              </w:rPr>
              <w:t xml:space="preserve">eterminar </w:t>
            </w:r>
            <w:r w:rsidR="00423302">
              <w:rPr>
                <w:rFonts w:ascii="Verdana" w:hAnsi="Verdana" w:cs="Arial"/>
                <w:lang w:eastAsia="es-MX"/>
              </w:rPr>
              <w:t>y</w:t>
            </w:r>
            <w:r w:rsidRPr="00F30C0D">
              <w:rPr>
                <w:rFonts w:ascii="Verdana" w:hAnsi="Verdana" w:cs="Arial"/>
                <w:lang w:eastAsia="es-MX"/>
              </w:rPr>
              <w:t xml:space="preserve"> </w:t>
            </w:r>
            <w:r w:rsidR="00423302">
              <w:rPr>
                <w:rFonts w:ascii="Verdana" w:hAnsi="Verdana" w:cs="Arial"/>
                <w:lang w:eastAsia="es-MX"/>
              </w:rPr>
              <w:t>v</w:t>
            </w:r>
            <w:r w:rsidRPr="00F30C0D">
              <w:rPr>
                <w:rFonts w:ascii="Verdana" w:hAnsi="Verdana" w:cs="Arial"/>
                <w:lang w:eastAsia="es-MX"/>
              </w:rPr>
              <w:t xml:space="preserve">erificar </w:t>
            </w:r>
            <w:r w:rsidR="00423302">
              <w:rPr>
                <w:rFonts w:ascii="Verdana" w:hAnsi="Verdana" w:cs="Arial"/>
                <w:lang w:eastAsia="es-MX"/>
              </w:rPr>
              <w:t>l</w:t>
            </w:r>
            <w:r w:rsidRPr="00F30C0D">
              <w:rPr>
                <w:rFonts w:ascii="Verdana" w:hAnsi="Verdana" w:cs="Arial"/>
                <w:lang w:eastAsia="es-MX"/>
              </w:rPr>
              <w:t xml:space="preserve">os Requisitos Habilitantes </w:t>
            </w:r>
            <w:r w:rsidR="00AC60EA">
              <w:rPr>
                <w:rFonts w:ascii="Verdana" w:hAnsi="Verdana" w:cs="Arial"/>
                <w:lang w:eastAsia="es-MX"/>
              </w:rPr>
              <w:t>e</w:t>
            </w:r>
            <w:r w:rsidRPr="00F30C0D">
              <w:rPr>
                <w:rFonts w:ascii="Verdana" w:hAnsi="Verdana" w:cs="Arial"/>
                <w:lang w:eastAsia="es-MX"/>
              </w:rPr>
              <w:t xml:space="preserve">n </w:t>
            </w:r>
            <w:r w:rsidR="00AC60EA">
              <w:rPr>
                <w:rFonts w:ascii="Verdana" w:hAnsi="Verdana" w:cs="Arial"/>
                <w:lang w:eastAsia="es-MX"/>
              </w:rPr>
              <w:t>l</w:t>
            </w:r>
            <w:r w:rsidRPr="00F30C0D">
              <w:rPr>
                <w:rFonts w:ascii="Verdana" w:hAnsi="Verdana" w:cs="Arial"/>
                <w:lang w:eastAsia="es-MX"/>
              </w:rPr>
              <w:t xml:space="preserve">os Procesos </w:t>
            </w:r>
            <w:r w:rsidR="00AC60EA">
              <w:rPr>
                <w:rFonts w:ascii="Verdana" w:hAnsi="Verdana" w:cs="Arial"/>
                <w:lang w:eastAsia="es-MX"/>
              </w:rPr>
              <w:t>d</w:t>
            </w:r>
            <w:r w:rsidRPr="00F30C0D">
              <w:rPr>
                <w:rFonts w:ascii="Verdana" w:hAnsi="Verdana" w:cs="Arial"/>
                <w:lang w:eastAsia="es-MX"/>
              </w:rPr>
              <w:t xml:space="preserve">e Contratación de Colombia Compra Eficiente, la experiencia específica debe estar relacionada con el objeto del contrato, pero no debe interpretarse de manera restrictiva ni exigir coincidencias literales que limiten la participación de oferentes idóneos. En caso de que la descripción del objeto no sea idéntica, y el comité evaluador acepte la experiencia específica, deberá cuantificar solo aquellas actividades que tengan relación con el objeto </w:t>
            </w:r>
            <w:r w:rsidRPr="00F30C0D">
              <w:rPr>
                <w:rFonts w:ascii="Verdana" w:hAnsi="Verdana" w:cs="Arial"/>
                <w:lang w:eastAsia="es-MX"/>
              </w:rPr>
              <w:lastRenderedPageBreak/>
              <w:t>contractual y sean pertinentes para cumplir con el requerimiento de la entidad, evitando incluir actividades ajenas que distorsionen la evaluación.</w:t>
            </w:r>
          </w:p>
          <w:p w14:paraId="73AF281F" w14:textId="77777777" w:rsidR="00EC2D8E" w:rsidRDefault="00EC2D8E" w:rsidP="00EF5085">
            <w:pPr>
              <w:spacing w:line="276" w:lineRule="auto"/>
              <w:ind w:firstLine="709"/>
              <w:jc w:val="both"/>
              <w:rPr>
                <w:rFonts w:ascii="Verdana" w:hAnsi="Verdana" w:cs="Arial"/>
                <w:lang w:eastAsia="es-MX"/>
              </w:rPr>
            </w:pPr>
          </w:p>
          <w:p w14:paraId="21A33017" w14:textId="77777777" w:rsidR="00EC2D8E" w:rsidRDefault="00EC2D8E" w:rsidP="00EF5085">
            <w:pPr>
              <w:spacing w:line="276" w:lineRule="auto"/>
              <w:ind w:firstLine="709"/>
              <w:contextualSpacing/>
              <w:jc w:val="both"/>
              <w:rPr>
                <w:rFonts w:ascii="Verdana" w:hAnsi="Verdana" w:cs="Arial"/>
                <w:lang w:eastAsia="es-MX"/>
              </w:rPr>
            </w:pPr>
            <w:r w:rsidRPr="00692091">
              <w:rPr>
                <w:rFonts w:ascii="Verdana" w:hAnsi="Verdana" w:cs="Arial"/>
                <w:lang w:eastAsia="es-MX"/>
              </w:rPr>
              <w:t>El manual y la normativa destacan que los requisitos habilitantes deben ser proporciona</w:t>
            </w:r>
            <w:r>
              <w:rPr>
                <w:rFonts w:ascii="Verdana" w:hAnsi="Verdana" w:cs="Arial"/>
                <w:lang w:eastAsia="es-MX"/>
              </w:rPr>
              <w:t>les</w:t>
            </w:r>
            <w:r w:rsidRPr="00692091">
              <w:rPr>
                <w:rFonts w:ascii="Verdana" w:hAnsi="Verdana" w:cs="Arial"/>
                <w:lang w:eastAsia="es-MX"/>
              </w:rPr>
              <w:t xml:space="preserve"> y adecuados a la naturaleza del contrato, el presupuesto, los riesgos y la complejidad del objeto contractual, entre otros factores. La experiencia específica solicitada debe estar vinculada al objeto del contrato y a los requisitos mínimos necesarios para garantizar la capacidad del proponente de cumplir con el objeto contractual, pero no debe ser tan estricta como para restringir injustamente la participación de oferentes calificados.</w:t>
            </w:r>
          </w:p>
          <w:p w14:paraId="0C789B87" w14:textId="77777777" w:rsidR="00EC2D8E" w:rsidRDefault="00EC2D8E" w:rsidP="00EF5085">
            <w:pPr>
              <w:spacing w:line="276" w:lineRule="auto"/>
              <w:contextualSpacing/>
              <w:jc w:val="both"/>
              <w:rPr>
                <w:rFonts w:ascii="Verdana" w:hAnsi="Verdana" w:cs="Arial"/>
                <w:lang w:eastAsia="es-MX"/>
              </w:rPr>
            </w:pPr>
          </w:p>
          <w:p w14:paraId="09F3543A" w14:textId="77777777" w:rsidR="00EC2D8E" w:rsidRDefault="00EC2D8E" w:rsidP="00EF5085">
            <w:pPr>
              <w:spacing w:line="276" w:lineRule="auto"/>
              <w:ind w:firstLine="709"/>
              <w:contextualSpacing/>
              <w:jc w:val="both"/>
              <w:rPr>
                <w:rFonts w:ascii="Verdana" w:hAnsi="Verdana" w:cs="Arial"/>
                <w:lang w:eastAsia="es-MX"/>
              </w:rPr>
            </w:pPr>
            <w:r w:rsidRPr="00692091">
              <w:rPr>
                <w:rFonts w:ascii="Verdana" w:hAnsi="Verdana" w:cs="Arial"/>
                <w:lang w:eastAsia="es-MX"/>
              </w:rPr>
              <w:t>En este sentido, la entidad puede especificar características generales de la experiencia requerida, pero no debe exigir una coincidencia exacta con la descripción del pliego. La experiencia puede ser válida siempre y cuando cumpla con los criterios sustantivos de idoneidad, sin necesidad de coincidir palabra por palabra con la descripción que aparece en el pliego.</w:t>
            </w:r>
            <w:r>
              <w:rPr>
                <w:rFonts w:ascii="Verdana" w:hAnsi="Verdana" w:cs="Arial"/>
                <w:lang w:eastAsia="es-MX"/>
              </w:rPr>
              <w:t xml:space="preserve"> </w:t>
            </w:r>
            <w:r w:rsidRPr="00692091">
              <w:rPr>
                <w:rFonts w:ascii="Verdana" w:hAnsi="Verdana" w:cs="Arial"/>
                <w:lang w:eastAsia="es-MX"/>
              </w:rPr>
              <w:t>Por tanto, una descripción exacta podría considerarse como una limitación arbitraria, contraria a los principios de libre concurrencia y competencia establecidos en la Ley 80 de 1993 y la Ley 1150 de 2007.</w:t>
            </w:r>
          </w:p>
          <w:p w14:paraId="56F2E1CD" w14:textId="77777777" w:rsidR="00EC2D8E" w:rsidRDefault="00EC2D8E" w:rsidP="00EF5085">
            <w:pPr>
              <w:spacing w:line="276" w:lineRule="auto"/>
              <w:ind w:firstLine="709"/>
              <w:contextualSpacing/>
              <w:jc w:val="both"/>
              <w:rPr>
                <w:rFonts w:ascii="Verdana" w:hAnsi="Verdana" w:cs="Arial"/>
                <w:lang w:eastAsia="es-MX"/>
              </w:rPr>
            </w:pPr>
          </w:p>
          <w:p w14:paraId="67EF44A2" w14:textId="0A62B6B9" w:rsidR="00EC2D8E" w:rsidRPr="00E4687C" w:rsidRDefault="00EC2D8E" w:rsidP="00066D14">
            <w:pPr>
              <w:spacing w:line="276" w:lineRule="auto"/>
              <w:ind w:firstLine="709"/>
              <w:contextualSpacing/>
              <w:jc w:val="both"/>
              <w:rPr>
                <w:rFonts w:ascii="Verdana" w:eastAsia="Calibri" w:hAnsi="Verdana" w:cs="Arial"/>
                <w:color w:val="000000" w:themeColor="text1"/>
              </w:rPr>
            </w:pPr>
            <w:r>
              <w:rPr>
                <w:rFonts w:ascii="Verdana" w:hAnsi="Verdana" w:cs="Arial"/>
                <w:lang w:eastAsia="es-MX"/>
              </w:rPr>
              <w:t xml:space="preserve">Finalmente, </w:t>
            </w:r>
            <w:r w:rsidRPr="00383B24">
              <w:rPr>
                <w:rFonts w:ascii="Verdana" w:hAnsi="Verdana" w:cs="Arial"/>
                <w:lang w:eastAsia="es-MX"/>
              </w:rPr>
              <w:t xml:space="preserve">se recuerda que las entidades estatales gozan de total autonomía para fijar las condiciones habilitantes, en especial </w:t>
            </w:r>
            <w:r w:rsidR="00066D14">
              <w:rPr>
                <w:rFonts w:ascii="Verdana" w:hAnsi="Verdana" w:cs="Arial"/>
                <w:lang w:eastAsia="es-MX"/>
              </w:rPr>
              <w:t>lo</w:t>
            </w:r>
            <w:r w:rsidRPr="00383B24">
              <w:rPr>
                <w:rFonts w:ascii="Verdana" w:hAnsi="Verdana" w:cs="Arial"/>
                <w:lang w:eastAsia="es-MX"/>
              </w:rPr>
              <w:t xml:space="preserve"> relacionado con la </w:t>
            </w:r>
            <w:r w:rsidR="00A71890">
              <w:rPr>
                <w:rFonts w:ascii="Verdana" w:hAnsi="Verdana" w:cs="Arial"/>
                <w:lang w:eastAsia="es-MX"/>
              </w:rPr>
              <w:t>experiencia</w:t>
            </w:r>
            <w:r w:rsidRPr="00383B24">
              <w:rPr>
                <w:rFonts w:ascii="Verdana" w:hAnsi="Verdana" w:cs="Arial"/>
                <w:lang w:eastAsia="es-MX"/>
              </w:rPr>
              <w:t>, cuidando en todo caso que no se limiten los principios de libre competencia y de concurrencia.</w:t>
            </w:r>
          </w:p>
        </w:tc>
      </w:tr>
    </w:tbl>
    <w:p w14:paraId="7B28C5C8" w14:textId="77777777" w:rsidR="00EC2D8E" w:rsidRPr="00115E3D" w:rsidRDefault="00EC2D8E" w:rsidP="00EC2D8E">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66388908" w14:textId="77777777" w:rsidR="00EC2D8E" w:rsidRPr="00115E3D" w:rsidRDefault="00EC2D8E" w:rsidP="00EC2D8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Razones de la respuesta:</w:t>
      </w:r>
    </w:p>
    <w:p w14:paraId="21EDF005" w14:textId="77777777" w:rsidR="00EC2D8E" w:rsidRPr="00115E3D" w:rsidRDefault="00EC2D8E" w:rsidP="00EC2D8E">
      <w:pPr>
        <w:spacing w:after="0" w:line="276" w:lineRule="auto"/>
        <w:jc w:val="both"/>
        <w:rPr>
          <w:rFonts w:ascii="Verdana" w:eastAsia="Calibri" w:hAnsi="Verdana" w:cs="Arial"/>
          <w:color w:val="000000" w:themeColor="text1"/>
          <w:lang w:val="es-ES"/>
        </w:rPr>
      </w:pPr>
    </w:p>
    <w:p w14:paraId="401DA9D0" w14:textId="77777777" w:rsidR="00EC2D8E" w:rsidRPr="00115E3D" w:rsidRDefault="00EC2D8E" w:rsidP="00EC2D8E">
      <w:pPr>
        <w:spacing w:after="0"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t xml:space="preserve">Lo anterior se sustenta en las siguientes consideraciones: </w:t>
      </w:r>
    </w:p>
    <w:p w14:paraId="4D085AAB" w14:textId="77777777" w:rsidR="00EC2D8E" w:rsidRDefault="00EC2D8E" w:rsidP="00EC2D8E">
      <w:pPr>
        <w:spacing w:after="0" w:line="276" w:lineRule="auto"/>
        <w:jc w:val="both"/>
        <w:rPr>
          <w:rFonts w:ascii="Verdana" w:eastAsia="Calibri" w:hAnsi="Verdana" w:cs="Arial"/>
          <w:color w:val="000000" w:themeColor="text1"/>
          <w:lang w:val="es-ES"/>
        </w:rPr>
      </w:pPr>
    </w:p>
    <w:p w14:paraId="548B1E3F" w14:textId="77777777" w:rsidR="00EC2D8E" w:rsidRPr="00E53CF9" w:rsidRDefault="00EC2D8E" w:rsidP="00EC2D8E">
      <w:pPr>
        <w:spacing w:after="120" w:line="276" w:lineRule="auto"/>
        <w:jc w:val="both"/>
        <w:rPr>
          <w:rFonts w:ascii="Verdana" w:eastAsia="Calibri" w:hAnsi="Verdana" w:cs="Arial"/>
          <w:color w:val="000000"/>
          <w:lang w:val="es-ES_tradnl"/>
        </w:rPr>
      </w:pPr>
      <w:bookmarkStart w:id="1" w:name="_Hlk173924733"/>
      <w:r w:rsidRPr="00E53CF9">
        <w:rPr>
          <w:rFonts w:ascii="Verdana" w:eastAsia="Calibri" w:hAnsi="Verdana" w:cs="Arial"/>
          <w:color w:val="000000"/>
          <w:lang w:val="es-ES_tradnl"/>
        </w:rPr>
        <w:t xml:space="preserve">Los </w:t>
      </w:r>
      <w:r w:rsidRPr="00E53CF9">
        <w:rPr>
          <w:rFonts w:ascii="Verdana" w:eastAsia="Calibri" w:hAnsi="Verdana" w:cs="Arial"/>
          <w:i/>
          <w:iCs/>
          <w:color w:val="000000"/>
          <w:lang w:val="es-ES_tradnl"/>
        </w:rPr>
        <w:t>requisitos habilitantes</w:t>
      </w:r>
      <w:r w:rsidRPr="00E53CF9">
        <w:rPr>
          <w:rFonts w:ascii="Verdana" w:eastAsia="Calibri" w:hAnsi="Verdana" w:cs="Arial"/>
          <w:color w:val="000000"/>
          <w:lang w:val="es-ES_tradnl"/>
        </w:rPr>
        <w:t xml:space="preserve">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w:t>
      </w:r>
      <w:r w:rsidRPr="00E53CF9">
        <w:rPr>
          <w:rFonts w:ascii="Verdana" w:eastAsia="Calibri" w:hAnsi="Verdana" w:cs="Arial"/>
          <w:i/>
          <w:iCs/>
          <w:color w:val="000000"/>
          <w:lang w:val="es-ES_tradnl"/>
        </w:rPr>
        <w:t>criterios de evaluación</w:t>
      </w:r>
      <w:r w:rsidRPr="00E53CF9">
        <w:rPr>
          <w:rFonts w:ascii="Verdana" w:eastAsia="Calibri" w:hAnsi="Verdana" w:cs="Arial"/>
          <w:color w:val="000000"/>
          <w:lang w:val="es-ES_tradnl"/>
        </w:rPr>
        <w:t xml:space="preserve"> –también conocidos como </w:t>
      </w:r>
      <w:r w:rsidRPr="00E53CF9">
        <w:rPr>
          <w:rFonts w:ascii="Verdana" w:eastAsia="Calibri" w:hAnsi="Verdana" w:cs="Arial"/>
          <w:i/>
          <w:iCs/>
          <w:color w:val="000000"/>
          <w:lang w:val="es-ES_tradnl"/>
        </w:rPr>
        <w:t>criterios de calificación</w:t>
      </w:r>
      <w:r w:rsidRPr="00E53CF9">
        <w:rPr>
          <w:rFonts w:ascii="Verdana" w:eastAsia="Calibri" w:hAnsi="Verdana" w:cs="Arial"/>
          <w:color w:val="000000"/>
          <w:lang w:val="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781445B4" w14:textId="77777777" w:rsidR="00EC2D8E" w:rsidRPr="00E53CF9" w:rsidRDefault="00EC2D8E" w:rsidP="00EC2D8E">
      <w:pPr>
        <w:spacing w:after="120" w:line="276" w:lineRule="auto"/>
        <w:ind w:firstLine="708"/>
        <w:jc w:val="both"/>
        <w:rPr>
          <w:rFonts w:ascii="Verdana" w:eastAsia="Calibri" w:hAnsi="Verdana" w:cs="Arial"/>
          <w:color w:val="000000"/>
          <w:lang w:val="es-ES"/>
        </w:rPr>
      </w:pPr>
      <w:r w:rsidRPr="2E407A91">
        <w:rPr>
          <w:rFonts w:ascii="Verdana" w:eastAsia="Calibri" w:hAnsi="Verdana" w:cs="Arial"/>
          <w:color w:val="000000" w:themeColor="text1"/>
          <w:lang w:val="es-ES"/>
        </w:rPr>
        <w:lastRenderedPageBreak/>
        <w:t>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3CC2FD08" w14:textId="77777777" w:rsidR="00EC2D8E" w:rsidRPr="00E53CF9" w:rsidRDefault="00EC2D8E" w:rsidP="00EC2D8E">
      <w:pPr>
        <w:spacing w:before="120" w:line="276" w:lineRule="auto"/>
        <w:ind w:firstLine="709"/>
        <w:jc w:val="both"/>
        <w:rPr>
          <w:rFonts w:ascii="Verdana" w:eastAsia="Calibri" w:hAnsi="Verdana" w:cs="Arial"/>
          <w:color w:val="000000"/>
          <w:lang w:val="es-ES"/>
        </w:rPr>
      </w:pPr>
      <w:r w:rsidRPr="2E407A91">
        <w:rPr>
          <w:rFonts w:ascii="Verdana" w:eastAsia="Calibri" w:hAnsi="Verdana" w:cs="Arial"/>
          <w:color w:val="000000" w:themeColor="text1"/>
          <w:lang w:val="es-ES"/>
        </w:rPr>
        <w:t xml:space="preserve">El mencionado artículo dispone que se considera </w:t>
      </w:r>
      <w:r w:rsidRPr="2E407A91">
        <w:rPr>
          <w:rFonts w:ascii="Verdana" w:eastAsia="Calibri" w:hAnsi="Verdana" w:cs="Arial"/>
          <w:i/>
          <w:color w:val="000000" w:themeColor="text1"/>
          <w:lang w:val="es-ES"/>
        </w:rPr>
        <w:t>“</w:t>
      </w:r>
      <w:r w:rsidRPr="2E407A91">
        <w:rPr>
          <w:rFonts w:ascii="Verdana" w:eastAsia="Calibri" w:hAnsi="Verdana" w:cs="Arial"/>
          <w:color w:val="000000" w:themeColor="text1"/>
          <w:lang w:val="es-ES"/>
        </w:rPr>
        <w:t>objetiva la selección en la cual la escogencia se haga al ofrecimiento más favorable a la entidad y a los fines que ella busca, sin tener en consideración factores de afecto o de interés y, en general, cualquier clase de motivación subjetiva</w:t>
      </w:r>
      <w:r w:rsidRPr="2E407A91">
        <w:rPr>
          <w:rFonts w:ascii="Verdana" w:eastAsia="Calibri" w:hAnsi="Verdana" w:cs="Arial"/>
          <w:i/>
          <w:color w:val="000000" w:themeColor="text1"/>
          <w:lang w:val="es-ES"/>
        </w:rPr>
        <w:t>”</w:t>
      </w:r>
      <w:r w:rsidRPr="2E407A91">
        <w:rPr>
          <w:rFonts w:ascii="Verdana" w:eastAsia="Calibri" w:hAnsi="Verdana" w:cs="Arial"/>
          <w:color w:val="000000" w:themeColor="text1"/>
          <w:lang w:val="es-ES"/>
        </w:rPr>
        <w:t xml:space="preserve">. De este modo, los factores de escogencia y calificación que establezcan las entidades en los pliegos de condiciones o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w:t>
      </w:r>
      <w:r w:rsidRPr="2E407A91">
        <w:rPr>
          <w:rFonts w:ascii="Verdana" w:eastAsia="Calibri" w:hAnsi="Verdana" w:cs="Arial"/>
          <w:i/>
          <w:color w:val="000000" w:themeColor="text1"/>
          <w:lang w:val="es-ES"/>
        </w:rPr>
        <w:t>entre otros</w:t>
      </w:r>
      <w:r w:rsidRPr="2E407A91">
        <w:rPr>
          <w:rFonts w:ascii="Verdana" w:eastAsia="Calibri" w:hAnsi="Verdana" w:cs="Arial"/>
          <w:color w:val="000000" w:themeColor="text1"/>
          <w:lang w:val="es-ES"/>
        </w:rPr>
        <w:t xml:space="preserve">, los siguientes: i) la capacidad jurídica; ii) la experiencia; iii) la capacidad financiera y iv) la capacidad de organización. En efecto, la normativa citada dispone: </w:t>
      </w:r>
    </w:p>
    <w:p w14:paraId="1F71F273" w14:textId="77777777" w:rsidR="00EC2D8E" w:rsidRPr="00E53CF9" w:rsidRDefault="00EC2D8E" w:rsidP="00EC2D8E">
      <w:pPr>
        <w:ind w:left="709" w:right="709"/>
        <w:jc w:val="both"/>
        <w:rPr>
          <w:rFonts w:ascii="Verdana" w:eastAsia="Calibri" w:hAnsi="Verdana" w:cs="Arial"/>
          <w:color w:val="000000"/>
          <w:sz w:val="21"/>
          <w:szCs w:val="21"/>
          <w:lang w:val="es-ES_tradnl"/>
        </w:rPr>
      </w:pPr>
      <w:r w:rsidRPr="00E53CF9">
        <w:rPr>
          <w:rFonts w:ascii="Verdana" w:eastAsia="Calibri" w:hAnsi="Verdana" w:cs="Arial"/>
          <w:color w:val="000000"/>
          <w:sz w:val="21"/>
          <w:szCs w:val="21"/>
          <w:lang w:val="es-ES_tradnl"/>
        </w:rPr>
        <w:t xml:space="preserve">“Artículo 5. De la Selección Objetiva. </w:t>
      </w:r>
    </w:p>
    <w:p w14:paraId="716EF7BF" w14:textId="77777777" w:rsidR="00EC2D8E" w:rsidRPr="00E53CF9" w:rsidRDefault="00EC2D8E" w:rsidP="00EC2D8E">
      <w:pPr>
        <w:spacing w:after="120"/>
        <w:ind w:left="709" w:right="709"/>
        <w:jc w:val="both"/>
        <w:rPr>
          <w:rFonts w:ascii="Verdana" w:eastAsia="Calibri" w:hAnsi="Verdana" w:cs="Arial"/>
          <w:color w:val="000000"/>
          <w:sz w:val="21"/>
          <w:szCs w:val="21"/>
          <w:lang w:val="es-ES_tradnl"/>
        </w:rPr>
      </w:pPr>
      <w:r w:rsidRPr="00E53CF9">
        <w:rPr>
          <w:rFonts w:ascii="Verdana" w:eastAsia="Calibri" w:hAnsi="Verdana" w:cs="Arial"/>
          <w:color w:val="000000"/>
          <w:sz w:val="21"/>
          <w:szCs w:val="21"/>
          <w:lang w:val="es-ES_tradnl"/>
        </w:rPr>
        <w:t>[…]</w:t>
      </w:r>
    </w:p>
    <w:p w14:paraId="49234FA6" w14:textId="77777777" w:rsidR="00EC2D8E" w:rsidRPr="00E53CF9" w:rsidRDefault="00EC2D8E" w:rsidP="00EC2D8E">
      <w:pPr>
        <w:spacing w:after="120"/>
        <w:ind w:left="709" w:right="709"/>
        <w:jc w:val="both"/>
        <w:rPr>
          <w:rFonts w:ascii="Verdana" w:eastAsia="Calibri" w:hAnsi="Verdana" w:cs="Arial"/>
          <w:color w:val="000000"/>
          <w:sz w:val="21"/>
          <w:szCs w:val="21"/>
          <w:lang w:val="es-ES"/>
        </w:rPr>
      </w:pPr>
      <w:r w:rsidRPr="2E407A91">
        <w:rPr>
          <w:rFonts w:ascii="Verdana" w:eastAsia="Calibri" w:hAnsi="Verdana" w:cs="Arial"/>
          <w:color w:val="000000" w:themeColor="text1"/>
          <w:sz w:val="21"/>
          <w:szCs w:val="21"/>
          <w:lang w:val="es-ES"/>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6AB3777B" w14:textId="77777777" w:rsidR="00EC2D8E" w:rsidRPr="00E53CF9" w:rsidRDefault="00EC2D8E" w:rsidP="00EC2D8E">
      <w:pPr>
        <w:spacing w:line="276" w:lineRule="auto"/>
        <w:ind w:firstLine="708"/>
        <w:jc w:val="both"/>
        <w:rPr>
          <w:rFonts w:ascii="Verdana" w:eastAsia="Calibri" w:hAnsi="Verdana" w:cs="Arial"/>
          <w:color w:val="000000"/>
          <w:lang w:val="es-ES_tradnl"/>
        </w:rPr>
      </w:pPr>
      <w:r w:rsidRPr="00E53CF9">
        <w:rPr>
          <w:rFonts w:ascii="Verdana" w:eastAsia="Calibri" w:hAnsi="Verdana" w:cs="Arial"/>
          <w:color w:val="000000"/>
          <w:lang w:val="es-ES_tradnl"/>
        </w:rPr>
        <w:t xml:space="preserve">Conforme lo ha sostenido esta Agencia en distintos conceptos, los requisitos habilitantes establecidos en el artículo 5, numeral 1, de la Ley 1150 de 2007 son de carácter enunciativos y no taxativos. Esta interpretación legal </w:t>
      </w:r>
      <w:r w:rsidRPr="00E53CF9">
        <w:rPr>
          <w:rFonts w:ascii="Verdana" w:eastAsia="Calibri" w:hAnsi="Verdana" w:cs="Arial"/>
          <w:color w:val="000000"/>
          <w:lang w:val="es-ES_tradnl"/>
        </w:rPr>
        <w:lastRenderedPageBreak/>
        <w:t>se resume en los siguientes argumentos: Esta norma no contiene una expresión como “únicamente” o “solo”,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w:t>
      </w:r>
      <w:r w:rsidRPr="00E53CF9">
        <w:rPr>
          <w:rFonts w:ascii="Verdana" w:eastAsia="Calibri" w:hAnsi="Verdana" w:cs="Arial"/>
          <w:color w:val="000000"/>
          <w:vertAlign w:val="superscript"/>
          <w:lang w:val="es-ES_tradnl"/>
        </w:rPr>
        <w:footnoteReference w:id="2"/>
      </w:r>
      <w:r w:rsidRPr="00E53CF9">
        <w:rPr>
          <w:rFonts w:ascii="Verdana" w:eastAsia="Calibri" w:hAnsi="Verdana" w:cs="Arial"/>
          <w:color w:val="000000"/>
          <w:lang w:val="es-ES_tradnl"/>
        </w:rPr>
        <w:t>.</w:t>
      </w:r>
    </w:p>
    <w:p w14:paraId="01FBA445" w14:textId="77777777" w:rsidR="00EC2D8E" w:rsidRPr="00E53CF9" w:rsidRDefault="00EC2D8E" w:rsidP="00EC2D8E">
      <w:pPr>
        <w:spacing w:line="276" w:lineRule="auto"/>
        <w:ind w:firstLine="708"/>
        <w:jc w:val="both"/>
        <w:rPr>
          <w:rFonts w:ascii="Verdana" w:eastAsia="Calibri" w:hAnsi="Verdana" w:cs="Arial"/>
          <w:color w:val="000000"/>
          <w:lang w:val="es-ES_tradnl"/>
        </w:rPr>
      </w:pPr>
      <w:r w:rsidRPr="00E53CF9">
        <w:rPr>
          <w:rFonts w:ascii="Verdana" w:eastAsia="Calibri" w:hAnsi="Verdana" w:cs="Arial"/>
          <w:color w:val="000000"/>
          <w:lang w:val="es-ES_tradnl"/>
        </w:rPr>
        <w:t>Además, la intención del legislador, de la cual dan cuenta los antecedentes legislativos de la norma sub examine</w:t>
      </w:r>
      <w:r w:rsidRPr="00E53CF9">
        <w:rPr>
          <w:rFonts w:ascii="Verdana" w:eastAsia="Calibri" w:hAnsi="Verdana" w:cs="Arial"/>
          <w:color w:val="000000"/>
          <w:vertAlign w:val="superscript"/>
          <w:lang w:val="es-ES_tradnl"/>
        </w:rPr>
        <w:footnoteReference w:id="3"/>
      </w:r>
      <w:r w:rsidRPr="00E53CF9">
        <w:rPr>
          <w:rFonts w:ascii="Verdana" w:eastAsia="Calibri" w:hAnsi="Verdana" w:cs="Arial"/>
          <w:color w:val="000000"/>
          <w:lang w:val="es-ES_tradnl"/>
        </w:rPr>
        <w:t>, también justifica la interpretación propuesta por esta Agencia, ya que fue hasta el cuarto debate legislativo en donde se incluyó parágrafo 2 del mismo artículo 5 de la Ley 1150 de 2007</w:t>
      </w:r>
      <w:r w:rsidRPr="00E53CF9">
        <w:rPr>
          <w:rFonts w:ascii="Verdana" w:eastAsia="Calibri" w:hAnsi="Verdana" w:cs="Arial"/>
          <w:color w:val="000000"/>
          <w:vertAlign w:val="superscript"/>
          <w:lang w:val="es-ES_tradnl"/>
        </w:rPr>
        <w:footnoteReference w:id="4"/>
      </w:r>
      <w:r w:rsidRPr="00E53CF9">
        <w:rPr>
          <w:rFonts w:ascii="Verdana" w:eastAsia="Calibri" w:hAnsi="Verdana" w:cs="Arial"/>
          <w:color w:val="000000"/>
          <w:lang w:val="es-ES_tradnl"/>
        </w:rPr>
        <w:t>, lo que deja ver la necesidad que tenía el Congreso de aclarar que unos documentos no podrían ser tenidos como requisitos habilitantes, lo que asimismo evidencia el reconocimiento tácito de la existencia de otros requisitos habilitantes, distintos a los cuatro que establece el artículo 5, numeral 1, de la Ley 1150 de 2007</w:t>
      </w:r>
      <w:r w:rsidRPr="00E53CF9">
        <w:rPr>
          <w:rFonts w:ascii="Verdana" w:eastAsia="Calibri" w:hAnsi="Verdana" w:cs="Arial"/>
          <w:color w:val="000000"/>
          <w:vertAlign w:val="superscript"/>
          <w:lang w:val="es-ES_tradnl"/>
        </w:rPr>
        <w:footnoteReference w:id="5"/>
      </w:r>
      <w:r w:rsidRPr="00E53CF9">
        <w:rPr>
          <w:rFonts w:ascii="Verdana" w:eastAsia="Calibri" w:hAnsi="Verdana" w:cs="Arial"/>
          <w:color w:val="000000"/>
          <w:lang w:val="es-ES_tradnl"/>
        </w:rPr>
        <w:t xml:space="preserve">. </w:t>
      </w:r>
    </w:p>
    <w:p w14:paraId="2DD9A4D6" w14:textId="77777777" w:rsidR="00EC2D8E" w:rsidRPr="00E53CF9" w:rsidRDefault="00EC2D8E" w:rsidP="00EC2D8E">
      <w:pPr>
        <w:spacing w:line="276" w:lineRule="auto"/>
        <w:ind w:firstLine="708"/>
        <w:jc w:val="both"/>
        <w:rPr>
          <w:rFonts w:ascii="Verdana" w:eastAsia="Calibri" w:hAnsi="Verdana" w:cs="Arial"/>
          <w:color w:val="000000"/>
          <w:lang w:val="es-ES_tradnl"/>
        </w:rPr>
      </w:pPr>
      <w:r w:rsidRPr="00E53CF9">
        <w:rPr>
          <w:rFonts w:ascii="Verdana" w:eastAsia="Calibri" w:hAnsi="Verdana" w:cs="Arial"/>
          <w:color w:val="000000"/>
          <w:lang w:val="es-ES_tradnl"/>
        </w:rPr>
        <w:t xml:space="preserve">Por último, en el “Manual para determinar y verificar los requisitos habilitantes en los Procesos de Contratación” expedido por esta Agencia, en el cual se determinaron los parámetros para establecer, acreditar y subsanar los requisitos habilitantes estudiados en los párrafos precedentes, se indica que su propósito consiste en “establecer unas condiciones mínimas para los proponentes de tal manera que la Entidad Estatal sólo evalúe las ofertas de aquellos que están en condiciones de cumplir con el objeto del Proceso de Contratación”. En otras palabras, al tratarse de condiciones mínimas, significa que las entidades podrían establecer otras, según su autonomía de la voluntad, </w:t>
      </w:r>
      <w:r w:rsidRPr="00E53CF9">
        <w:rPr>
          <w:rFonts w:ascii="Verdana" w:eastAsia="Calibri" w:hAnsi="Verdana" w:cs="Arial"/>
          <w:color w:val="000000"/>
          <w:lang w:val="es-ES_tradnl"/>
        </w:rPr>
        <w:lastRenderedPageBreak/>
        <w:t>y teniendo en cuenta el objeto del contrato, los riesgos detectados en los estudios previos, el presupuesto oficial, entre otros factores.</w:t>
      </w:r>
    </w:p>
    <w:p w14:paraId="1195814F" w14:textId="77777777" w:rsidR="00EC2D8E" w:rsidRPr="00E53CF9" w:rsidRDefault="00EC2D8E" w:rsidP="00EC2D8E">
      <w:pPr>
        <w:widowControl w:val="0"/>
        <w:autoSpaceDE w:val="0"/>
        <w:autoSpaceDN w:val="0"/>
        <w:spacing w:line="276" w:lineRule="auto"/>
        <w:ind w:firstLine="709"/>
        <w:jc w:val="both"/>
        <w:rPr>
          <w:rFonts w:ascii="Verdana" w:eastAsia="Calibri" w:hAnsi="Verdana" w:cs="Arial"/>
          <w:color w:val="000000"/>
        </w:rPr>
      </w:pPr>
      <w:r w:rsidRPr="00E53CF9">
        <w:rPr>
          <w:rFonts w:ascii="Verdana" w:eastAsia="Calibri" w:hAnsi="Verdana" w:cs="Arial"/>
          <w:color w:val="000000"/>
        </w:rPr>
        <w:t xml:space="preserve">En consecuencia, corresponde a las entidades estatales, durante la etapa de planeación del contrato estatal, estudiar y determinar los requisitos habilitantes que establecerán en los pliegos de condiciones, los cuales deben fijarse de forma adecuada y proporcional. Esto último, según se deriva de la lectura del artículo 2.2.1.1.1.6.2 del Decreto 1082 de 2015, debe hacerse de acuerdo </w:t>
      </w:r>
      <w:bookmarkStart w:id="2" w:name="_Hlk182863897"/>
      <w:r w:rsidRPr="00E53CF9">
        <w:rPr>
          <w:rFonts w:ascii="Verdana" w:eastAsia="Calibri" w:hAnsi="Verdana" w:cs="Arial"/>
          <w:color w:val="000000"/>
        </w:rPr>
        <w:t>con la naturaleza, el valor del contrato, la forma de pago, los riesgos asociados al contrato, el plazo y la complejidad de ejecución del objeto</w:t>
      </w:r>
      <w:r w:rsidRPr="00E53CF9">
        <w:rPr>
          <w:rFonts w:ascii="Verdana" w:eastAsia="Calibri" w:hAnsi="Verdana" w:cs="Arial"/>
          <w:color w:val="000000"/>
          <w:vertAlign w:val="superscript"/>
        </w:rPr>
        <w:footnoteReference w:id="6"/>
      </w:r>
      <w:r w:rsidRPr="00E53CF9">
        <w:rPr>
          <w:rFonts w:ascii="Verdana" w:eastAsia="Calibri" w:hAnsi="Verdana" w:cs="Arial"/>
          <w:color w:val="000000"/>
        </w:rPr>
        <w:t>.</w:t>
      </w:r>
      <w:bookmarkEnd w:id="2"/>
    </w:p>
    <w:p w14:paraId="2F8E7CD5" w14:textId="77777777" w:rsidR="00EC2D8E" w:rsidRPr="00E53CF9" w:rsidRDefault="00EC2D8E" w:rsidP="00EC2D8E">
      <w:pPr>
        <w:widowControl w:val="0"/>
        <w:autoSpaceDE w:val="0"/>
        <w:autoSpaceDN w:val="0"/>
        <w:spacing w:line="276" w:lineRule="auto"/>
        <w:ind w:firstLine="709"/>
        <w:jc w:val="both"/>
        <w:rPr>
          <w:rFonts w:ascii="Verdana" w:eastAsia="Calibri" w:hAnsi="Verdana" w:cs="Arial"/>
          <w:color w:val="000000"/>
        </w:rPr>
      </w:pPr>
      <w:r w:rsidRPr="00E53CF9">
        <w:rPr>
          <w:rFonts w:ascii="Verdana" w:eastAsia="Calibri" w:hAnsi="Verdana" w:cs="Arial"/>
          <w:color w:val="000000"/>
        </w:rPr>
        <w:t xml:space="preserve">De esta manera,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 el artículo 5, parágrafo 2, de la Ley 1150 de 2007, relacionado con la prohibición de exigir certificaciones de sistemas de gestión de calidad como requisito habilitante. </w:t>
      </w:r>
    </w:p>
    <w:p w14:paraId="0857B5A6" w14:textId="77777777" w:rsidR="00EC2D8E" w:rsidRPr="00E53CF9" w:rsidRDefault="00EC2D8E" w:rsidP="00EC2D8E">
      <w:pPr>
        <w:widowControl w:val="0"/>
        <w:autoSpaceDE w:val="0"/>
        <w:autoSpaceDN w:val="0"/>
        <w:spacing w:line="276" w:lineRule="auto"/>
        <w:ind w:firstLine="709"/>
        <w:jc w:val="both"/>
        <w:rPr>
          <w:rFonts w:ascii="Verdana" w:eastAsia="Calibri" w:hAnsi="Verdana" w:cs="Arial"/>
          <w:color w:val="000000"/>
        </w:rPr>
      </w:pPr>
      <w:r w:rsidRPr="00E53CF9">
        <w:rPr>
          <w:rFonts w:ascii="Verdana" w:eastAsia="Calibri" w:hAnsi="Verdana" w:cs="Arial"/>
          <w:color w:val="000000"/>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27E0529C" w14:textId="77777777" w:rsidR="00EC2D8E" w:rsidRPr="00E53CF9" w:rsidRDefault="00EC2D8E" w:rsidP="00EC2D8E">
      <w:pPr>
        <w:widowControl w:val="0"/>
        <w:autoSpaceDE w:val="0"/>
        <w:autoSpaceDN w:val="0"/>
        <w:spacing w:line="276" w:lineRule="auto"/>
        <w:ind w:firstLine="709"/>
        <w:jc w:val="both"/>
        <w:rPr>
          <w:rFonts w:ascii="Verdana" w:eastAsia="Calibri" w:hAnsi="Verdana" w:cs="Arial"/>
          <w:color w:val="000000"/>
        </w:rPr>
      </w:pPr>
      <w:r w:rsidRPr="00E53CF9">
        <w:rPr>
          <w:rFonts w:ascii="Verdana" w:eastAsia="Calibri" w:hAnsi="Verdana" w:cs="Arial"/>
          <w:color w:val="000000"/>
        </w:rPr>
        <w:t xml:space="preserve">En este sentido, el principio de autonomía de la voluntad, reconocido en los artículos 13, 32 y 40 de la Ley 80 de 1993 para las entidades sometidas a esta, y en el artículo 1602 del Código Civil, para las exceptuadas de aquella, actúa entonces como el fundamento normativo que otorga a las entidades estatales competencia para que puedan solicitar requisitos habilitantes adicionales o diferentes a los establecidos en el numeral 1º del artículo 5 de la Ley 1150 de 2007. En realidad, lo que este numeral establece es una limitación a la discrecionalidad administrativa para la estipulación de los requisitos de participación, bajo la óptica de que, si se incluyen los que aquel prevé, por regla general, no otorgan puntaje; pero tal enunciado no ha de interpretarse en el sentido de que las entidades solo pueden exigir, única y exclusivamente, dichos </w:t>
      </w:r>
      <w:r w:rsidRPr="00E53CF9">
        <w:rPr>
          <w:rFonts w:ascii="Verdana" w:eastAsia="Calibri" w:hAnsi="Verdana" w:cs="Arial"/>
          <w:color w:val="000000"/>
        </w:rPr>
        <w:lastRenderedPageBreak/>
        <w:t xml:space="preserve">requisitos habilitantes. </w:t>
      </w:r>
    </w:p>
    <w:p w14:paraId="63CDF214" w14:textId="77777777" w:rsidR="00EC2D8E" w:rsidRPr="00E53CF9" w:rsidRDefault="00EC2D8E" w:rsidP="00EC2D8E">
      <w:pPr>
        <w:widowControl w:val="0"/>
        <w:autoSpaceDE w:val="0"/>
        <w:autoSpaceDN w:val="0"/>
        <w:spacing w:line="276" w:lineRule="auto"/>
        <w:ind w:firstLine="709"/>
        <w:jc w:val="both"/>
        <w:rPr>
          <w:rFonts w:ascii="Verdana" w:eastAsia="Calibri" w:hAnsi="Verdana" w:cs="Arial"/>
          <w:color w:val="000000"/>
        </w:rPr>
      </w:pPr>
      <w:r w:rsidRPr="00E53CF9">
        <w:rPr>
          <w:rFonts w:ascii="Verdana" w:eastAsia="Calibri" w:hAnsi="Verdana" w:cs="Arial"/>
          <w:color w:val="000000"/>
        </w:rPr>
        <w:t>Esto en la medida que, además de los argumentos que ya se han planteado,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6ECCC713" w14:textId="77777777" w:rsidR="00EC2D8E" w:rsidRPr="00E53CF9" w:rsidRDefault="00EC2D8E" w:rsidP="00EC2D8E">
      <w:pPr>
        <w:widowControl w:val="0"/>
        <w:autoSpaceDE w:val="0"/>
        <w:autoSpaceDN w:val="0"/>
        <w:spacing w:line="276" w:lineRule="auto"/>
        <w:ind w:firstLine="709"/>
        <w:jc w:val="both"/>
        <w:rPr>
          <w:rFonts w:ascii="Verdana" w:eastAsia="Calibri" w:hAnsi="Verdana" w:cs="Arial"/>
          <w:color w:val="000000"/>
        </w:rPr>
      </w:pPr>
      <w:r w:rsidRPr="00E53CF9">
        <w:rPr>
          <w:rFonts w:ascii="Verdana" w:eastAsia="Calibri" w:hAnsi="Verdana" w:cs="Arial"/>
          <w:color w:val="000000"/>
        </w:rPr>
        <w:t>Considerando la discrecionalidad para establecer requisitos habilitantes,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Dado lo anterior, para efectos de configurar requisitos habilitantes la Entidad Estatal tiene la carga de justificar en los estudios previos y análisis del sector del proceso de selección su procedencia, de conformidad con el artículo 2.2.1.1.1.6.2 del Decreto 1082 de 2015.</w:t>
      </w:r>
    </w:p>
    <w:p w14:paraId="40FE0DA0" w14:textId="0940E85E" w:rsidR="00EC2D8E" w:rsidRDefault="00EC2D8E" w:rsidP="00EC2D8E">
      <w:pPr>
        <w:widowControl w:val="0"/>
        <w:autoSpaceDE w:val="0"/>
        <w:autoSpaceDN w:val="0"/>
        <w:spacing w:line="276" w:lineRule="auto"/>
        <w:ind w:firstLine="709"/>
        <w:jc w:val="both"/>
        <w:rPr>
          <w:rFonts w:ascii="Verdana" w:eastAsia="Calibri" w:hAnsi="Verdana" w:cs="Arial"/>
          <w:color w:val="000000"/>
        </w:rPr>
      </w:pPr>
      <w:r w:rsidRPr="00E53CF9">
        <w:rPr>
          <w:rFonts w:ascii="Verdana" w:eastAsia="Calibri" w:hAnsi="Verdana" w:cs="Arial"/>
          <w:color w:val="000000"/>
        </w:rPr>
        <w:t>Así las cosas</w:t>
      </w:r>
      <w:r w:rsidR="00337757">
        <w:rPr>
          <w:rFonts w:ascii="Verdana" w:eastAsia="Calibri" w:hAnsi="Verdana" w:cs="Arial"/>
          <w:color w:val="000000"/>
        </w:rPr>
        <w:t>,</w:t>
      </w:r>
      <w:r w:rsidRPr="00E53CF9">
        <w:rPr>
          <w:rFonts w:ascii="Verdana" w:eastAsia="Calibri" w:hAnsi="Verdana" w:cs="Arial"/>
          <w:color w:val="000000"/>
        </w:rPr>
        <w:t xml:space="preserv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Estatal en cada proceso contractual, debidamente justificados y de acuerdo con los parámetros fijados en el Decreto 1082 de 2015; y que una vez establecidos los requisitos habilitantes, quienes presenten ofertas deben acreditar que cumplen con ellos, so pena de que sus propuestas sean rechazadas. Esto sin perjuicio de la posibilidad de subsanarlas, cuando a ello haya lugar.</w:t>
      </w:r>
    </w:p>
    <w:p w14:paraId="3AAA9DBF" w14:textId="49466591" w:rsidR="00EC2D8E" w:rsidRDefault="00337757" w:rsidP="00D06B5A">
      <w:pPr>
        <w:widowControl w:val="0"/>
        <w:autoSpaceDE w:val="0"/>
        <w:autoSpaceDN w:val="0"/>
        <w:spacing w:line="276" w:lineRule="auto"/>
        <w:ind w:firstLine="709"/>
        <w:jc w:val="both"/>
        <w:rPr>
          <w:rFonts w:ascii="Verdana" w:eastAsia="Calibri" w:hAnsi="Verdana" w:cs="Arial"/>
          <w:color w:val="000000"/>
        </w:rPr>
      </w:pPr>
      <w:r>
        <w:rPr>
          <w:rFonts w:ascii="Verdana" w:eastAsia="Calibri" w:hAnsi="Verdana" w:cs="Arial"/>
          <w:color w:val="000000"/>
        </w:rPr>
        <w:t xml:space="preserve">Finalmente, </w:t>
      </w:r>
      <w:r w:rsidR="00C118B9">
        <w:rPr>
          <w:rFonts w:ascii="Verdana" w:eastAsia="Calibri" w:hAnsi="Verdana" w:cs="Arial"/>
          <w:color w:val="000000"/>
        </w:rPr>
        <w:t>l</w:t>
      </w:r>
      <w:r w:rsidR="00C118B9" w:rsidRPr="00C118B9">
        <w:rPr>
          <w:rFonts w:ascii="Verdana" w:eastAsia="Calibri" w:hAnsi="Verdana" w:cs="Arial"/>
          <w:color w:val="000000"/>
        </w:rPr>
        <w:t xml:space="preserve">a experiencia, según el Manual para determinar y verificar los requisitos habilitantes en los procesos de contratación de Colombia Compra Eficiente, es el conocimiento adquirido por el proponente a partir de su participación en actividades iguales o similares al objeto del contrato, ya sea de manera individual o en asocio. En la contratación pública, este requisito es fundamental para garantizar la correcta ejecución del contrato, minimizando riesgos de improvisación y sobrecostos. Las entidades contratantes tienen autonomía para definir los requisitos de experiencia, pero deben hacerlo </w:t>
      </w:r>
      <w:r w:rsidR="00C118B9" w:rsidRPr="00C118B9">
        <w:rPr>
          <w:rFonts w:ascii="Verdana" w:eastAsia="Calibri" w:hAnsi="Verdana" w:cs="Arial"/>
          <w:color w:val="000000"/>
        </w:rPr>
        <w:lastRenderedPageBreak/>
        <w:t>conforme a los principios de selección objetiva y libre competencia. Según el artículo 2.2.1.1.1.6.2. del Decreto 1082 de 2015, estos deben fundamentarse en el estudio del sector, la identificación de riesgos, el análisis del mercado y la evaluación de precios. La experiencia exigida debe ser adecuada y proporcional: adecuada cuando tiene relación con las actividades del contrato, y proporcional cuando se ajusta a su valor, alcance, complejidad y riesgo. No es válido exigir experiencia idéntica, ya que esto restringe injustificadamente la participación y limita la concurrencia. Por ello, es esencial permitir la acreditación de experiencia en actividades similares, asegurando así una mayor pluralidad de oferentes y promoviendo la competencia efectiva en los procesos de contratación pública.</w:t>
      </w:r>
      <w:bookmarkEnd w:id="1"/>
    </w:p>
    <w:p w14:paraId="3E727557" w14:textId="77777777" w:rsidR="00EC2D8E" w:rsidRPr="00115E3D" w:rsidRDefault="00EC2D8E" w:rsidP="00EC2D8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Referencias normativas, jurisprudenciales y otras fuentes:</w:t>
      </w:r>
    </w:p>
    <w:p w14:paraId="480C52FC" w14:textId="77777777" w:rsidR="00EC2D8E" w:rsidRPr="00115E3D" w:rsidRDefault="00EC2D8E" w:rsidP="00EC2D8E">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C2D8E" w:rsidRPr="00115E3D" w14:paraId="5DB828CA" w14:textId="77777777" w:rsidTr="00EF5085">
        <w:trPr>
          <w:trHeight w:val="870"/>
        </w:trPr>
        <w:tc>
          <w:tcPr>
            <w:tcW w:w="8647" w:type="dxa"/>
          </w:tcPr>
          <w:p w14:paraId="1BD87939" w14:textId="77777777" w:rsidR="00EC2D8E" w:rsidRPr="00614500" w:rsidRDefault="00EC2D8E" w:rsidP="00EC2D8E">
            <w:pPr>
              <w:widowControl w:val="0"/>
              <w:numPr>
                <w:ilvl w:val="0"/>
                <w:numId w:val="17"/>
              </w:numPr>
              <w:autoSpaceDE w:val="0"/>
              <w:autoSpaceDN w:val="0"/>
              <w:spacing w:after="120" w:line="276" w:lineRule="auto"/>
              <w:jc w:val="both"/>
              <w:rPr>
                <w:rFonts w:ascii="Verdana" w:hAnsi="Verdana" w:cs="Arial"/>
              </w:rPr>
            </w:pPr>
            <w:r w:rsidRPr="00614500">
              <w:rPr>
                <w:rFonts w:ascii="Verdana" w:hAnsi="Verdana" w:cs="Arial"/>
              </w:rPr>
              <w:t>Ley 1150 de 2007</w:t>
            </w:r>
            <w:r>
              <w:rPr>
                <w:rFonts w:ascii="Verdana" w:hAnsi="Verdana" w:cs="Arial"/>
              </w:rPr>
              <w:t xml:space="preserve">. </w:t>
            </w:r>
            <w:r w:rsidRPr="00873AA6">
              <w:rPr>
                <w:rFonts w:ascii="Verdana" w:hAnsi="Verdana"/>
              </w:rPr>
              <w:t>Artículo</w:t>
            </w:r>
            <w:r>
              <w:rPr>
                <w:rFonts w:ascii="Verdana" w:hAnsi="Verdana"/>
              </w:rPr>
              <w:t>s 5 y</w:t>
            </w:r>
            <w:r w:rsidRPr="00873AA6">
              <w:rPr>
                <w:rFonts w:ascii="Verdana" w:hAnsi="Verdana"/>
              </w:rPr>
              <w:t xml:space="preserve"> 6</w:t>
            </w:r>
            <w:r>
              <w:rPr>
                <w:rFonts w:ascii="Verdana" w:hAnsi="Verdana"/>
              </w:rPr>
              <w:t xml:space="preserve">. </w:t>
            </w:r>
            <w:r w:rsidRPr="00873AA6">
              <w:rPr>
                <w:rFonts w:ascii="Verdana" w:hAnsi="Verdana"/>
              </w:rPr>
              <w:t xml:space="preserve"> </w:t>
            </w:r>
            <w:r w:rsidRPr="00614500">
              <w:rPr>
                <w:rFonts w:ascii="Verdana" w:hAnsi="Verdana" w:cs="Arial"/>
              </w:rPr>
              <w:t xml:space="preserve"> Disponible en : </w:t>
            </w:r>
            <w:hyperlink r:id="rId12" w:history="1">
              <w:r w:rsidRPr="00614500">
                <w:rPr>
                  <w:rFonts w:ascii="Verdana" w:hAnsi="Verdana" w:cs="Arial"/>
                  <w:color w:val="0070C0"/>
                  <w:u w:val="single"/>
                </w:rPr>
                <w:t>https://relatoria.colombiacompra.gov.co/normativa/ley-1150-de-2007/</w:t>
              </w:r>
            </w:hyperlink>
          </w:p>
          <w:p w14:paraId="5AAF33DB" w14:textId="77777777" w:rsidR="00EC2D8E" w:rsidRPr="00614500" w:rsidRDefault="00EC2D8E" w:rsidP="00EC2D8E">
            <w:pPr>
              <w:widowControl w:val="0"/>
              <w:numPr>
                <w:ilvl w:val="0"/>
                <w:numId w:val="17"/>
              </w:numPr>
              <w:autoSpaceDE w:val="0"/>
              <w:autoSpaceDN w:val="0"/>
              <w:spacing w:after="120" w:line="276" w:lineRule="auto"/>
              <w:jc w:val="both"/>
              <w:rPr>
                <w:rFonts w:ascii="Verdana" w:hAnsi="Verdana" w:cs="Arial"/>
              </w:rPr>
            </w:pPr>
            <w:r w:rsidRPr="00614500">
              <w:rPr>
                <w:rFonts w:ascii="Verdana" w:eastAsia="Arial" w:hAnsi="Verdana" w:cs="Arial"/>
                <w:lang w:val="es-ES"/>
              </w:rPr>
              <w:t>Decreto 1082 de 2015</w:t>
            </w:r>
            <w:r>
              <w:rPr>
                <w:rFonts w:ascii="Verdana" w:eastAsia="Arial" w:hAnsi="Verdana" w:cs="Arial"/>
                <w:lang w:val="es-ES"/>
              </w:rPr>
              <w:t xml:space="preserve">. </w:t>
            </w:r>
            <w:r w:rsidRPr="002B2A4F">
              <w:rPr>
                <w:rFonts w:ascii="Verdana" w:hAnsi="Verdana" w:cs="Arial"/>
                <w:lang w:val="es-ES"/>
              </w:rPr>
              <w:t xml:space="preserve"> </w:t>
            </w:r>
            <w:r>
              <w:rPr>
                <w:rFonts w:ascii="Verdana" w:hAnsi="Verdana" w:cs="Arial"/>
                <w:lang w:val="es-ES"/>
              </w:rPr>
              <w:t>A</w:t>
            </w:r>
            <w:r w:rsidRPr="002B2A4F">
              <w:rPr>
                <w:rFonts w:ascii="Verdana" w:hAnsi="Verdana" w:cs="Arial"/>
                <w:lang w:val="es-ES"/>
              </w:rPr>
              <w:t>rtículo 2.2.1.1.1.6.2</w:t>
            </w:r>
            <w:r>
              <w:rPr>
                <w:rFonts w:ascii="Verdana" w:hAnsi="Verdana" w:cs="Arial"/>
                <w:lang w:val="es-ES"/>
              </w:rPr>
              <w:t>.</w:t>
            </w:r>
            <w:r w:rsidRPr="00614500">
              <w:rPr>
                <w:rFonts w:ascii="Verdana" w:eastAsia="Arial" w:hAnsi="Verdana" w:cs="Arial"/>
                <w:lang w:val="es-ES"/>
              </w:rPr>
              <w:t xml:space="preserve"> Disponible en :</w:t>
            </w:r>
            <w:r w:rsidRPr="00614500">
              <w:rPr>
                <w:rFonts w:ascii="Verdana" w:hAnsi="Verdana"/>
              </w:rPr>
              <w:t xml:space="preserve"> </w:t>
            </w:r>
            <w:hyperlink r:id="rId13" w:history="1">
              <w:r w:rsidRPr="00614500">
                <w:rPr>
                  <w:rFonts w:ascii="Verdana" w:eastAsia="Arial" w:hAnsi="Verdana" w:cs="Arial"/>
                  <w:color w:val="0070C0"/>
                  <w:u w:val="single"/>
                  <w:lang w:val="es-ES"/>
                </w:rPr>
                <w:t>https://relatoria.colombiacompra.gov.co/normativa/decreto-1082-de-2015/</w:t>
              </w:r>
            </w:hyperlink>
          </w:p>
          <w:p w14:paraId="0E654296" w14:textId="77777777" w:rsidR="00EC2D8E" w:rsidRPr="00115E3D" w:rsidRDefault="00EC2D8E" w:rsidP="00EC2D8E">
            <w:pPr>
              <w:pStyle w:val="Prrafodelista"/>
              <w:widowControl w:val="0"/>
              <w:numPr>
                <w:ilvl w:val="0"/>
                <w:numId w:val="17"/>
              </w:numPr>
              <w:autoSpaceDE w:val="0"/>
              <w:autoSpaceDN w:val="0"/>
              <w:spacing w:after="120" w:line="276" w:lineRule="auto"/>
              <w:jc w:val="both"/>
              <w:rPr>
                <w:rFonts w:ascii="Verdana" w:hAnsi="Verdana" w:cs="Arial"/>
                <w:color w:val="000000" w:themeColor="text1"/>
              </w:rPr>
            </w:pPr>
            <w:r w:rsidRPr="00614500">
              <w:rPr>
                <w:rFonts w:ascii="Verdana" w:eastAsia="Calibri" w:hAnsi="Verdana" w:cs="Arial"/>
              </w:rPr>
              <w:t>Manual para determinar y verificar requisitos habilitantes en los procesos de contratación</w:t>
            </w:r>
            <w:r w:rsidRPr="00614500">
              <w:rPr>
                <w:rFonts w:ascii="Verdana" w:eastAsia="Times New Roman" w:hAnsi="Verdana" w:cs="Arial"/>
                <w:lang w:val="es-ES_tradnl" w:eastAsia="es-ES"/>
              </w:rPr>
              <w:t xml:space="preserve"> Pública–Colombia Compra Eficiente–. Disponible en: </w:t>
            </w:r>
            <w:hyperlink r:id="rId14" w:history="1">
              <w:r w:rsidRPr="00614500">
                <w:rPr>
                  <w:rFonts w:ascii="Verdana" w:hAnsi="Verdana"/>
                  <w:color w:val="0070C0"/>
                  <w:u w:val="single"/>
                </w:rPr>
                <w:t>https://colombiacompra.gov.co/sites/cce_public/files/cce_documents/cce-eicp-ma-04._manual_requisitos_habilitantes_v3_29-09-2023.pdf</w:t>
              </w:r>
            </w:hyperlink>
          </w:p>
        </w:tc>
      </w:tr>
    </w:tbl>
    <w:p w14:paraId="7D01C557" w14:textId="77777777" w:rsidR="00EC2D8E" w:rsidRPr="00115E3D" w:rsidRDefault="00EC2D8E" w:rsidP="00EC2D8E">
      <w:pPr>
        <w:widowControl w:val="0"/>
        <w:autoSpaceDE w:val="0"/>
        <w:autoSpaceDN w:val="0"/>
        <w:spacing w:after="0" w:line="276" w:lineRule="auto"/>
        <w:jc w:val="both"/>
        <w:rPr>
          <w:rFonts w:ascii="Verdana" w:hAnsi="Verdana" w:cs="Arial"/>
          <w:color w:val="000000" w:themeColor="text1"/>
        </w:rPr>
      </w:pPr>
    </w:p>
    <w:p w14:paraId="47FC9364" w14:textId="77777777" w:rsidR="00EC2D8E" w:rsidRPr="00115E3D" w:rsidRDefault="00EC2D8E" w:rsidP="00EC2D8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Doctrina de la Agencia Nacional de Contratación Pública:</w:t>
      </w:r>
    </w:p>
    <w:p w14:paraId="3FAF35AD" w14:textId="77777777" w:rsidR="00EC2D8E" w:rsidRPr="00115E3D" w:rsidRDefault="00EC2D8E" w:rsidP="00EC2D8E">
      <w:pPr>
        <w:widowControl w:val="0"/>
        <w:autoSpaceDE w:val="0"/>
        <w:autoSpaceDN w:val="0"/>
        <w:spacing w:after="0" w:line="276" w:lineRule="auto"/>
        <w:jc w:val="both"/>
        <w:rPr>
          <w:rFonts w:ascii="Verdana" w:hAnsi="Verdana" w:cs="Arial"/>
          <w:color w:val="000000" w:themeColor="text1"/>
        </w:rPr>
      </w:pPr>
    </w:p>
    <w:p w14:paraId="1D27F592" w14:textId="469AE7A1" w:rsidR="00EC2D8E" w:rsidRDefault="00EC2D8E" w:rsidP="008D28F2">
      <w:pPr>
        <w:spacing w:line="276" w:lineRule="auto"/>
        <w:jc w:val="both"/>
      </w:pPr>
      <w:r w:rsidRPr="00614500">
        <w:rPr>
          <w:rFonts w:ascii="Verdana" w:hAnsi="Verdana" w:cs="Arial"/>
          <w:lang w:val="es-ES"/>
        </w:rPr>
        <w:t>Sobre la experiencia como requisito habilitante en la contratación pública,  se pronunció  esta Subdirección en los Conceptos</w:t>
      </w:r>
      <w:r>
        <w:rPr>
          <w:rFonts w:ascii="Verdana" w:hAnsi="Verdana" w:cs="Arial"/>
          <w:lang w:val="es-ES"/>
        </w:rPr>
        <w:t xml:space="preserve"> C-204 del 29 de julio de 2024, C-223 del 29 de julio de 2024,C- 277 del 16 de julio, C-246 del 16 de julio de 2024, C-278 de 31 de julio de 2024 ,</w:t>
      </w:r>
      <w:r w:rsidRPr="000B7D33">
        <w:rPr>
          <w:rFonts w:ascii="Verdana" w:eastAsia="Aptos" w:hAnsi="Verdana" w:cs="Segoe UI"/>
          <w:kern w:val="2"/>
          <w14:ligatures w14:val="standardContextual"/>
        </w:rPr>
        <w:t>C-088</w:t>
      </w:r>
      <w:r>
        <w:rPr>
          <w:rFonts w:ascii="Verdana" w:eastAsia="Aptos" w:hAnsi="Verdana" w:cs="Segoe UI"/>
          <w:kern w:val="2"/>
          <w14:ligatures w14:val="standardContextual"/>
        </w:rPr>
        <w:t xml:space="preserve"> del 13 de julio</w:t>
      </w:r>
      <w:r w:rsidRPr="000B7D33">
        <w:rPr>
          <w:rFonts w:ascii="Verdana" w:eastAsia="Aptos" w:hAnsi="Verdana" w:cs="Segoe UI"/>
          <w:kern w:val="2"/>
          <w14:ligatures w14:val="standardContextual"/>
        </w:rPr>
        <w:t xml:space="preserve"> de 2024 </w:t>
      </w:r>
      <w:r>
        <w:rPr>
          <w:rFonts w:ascii="Verdana" w:hAnsi="Verdana" w:cs="Arial"/>
          <w:lang w:val="es-ES"/>
        </w:rPr>
        <w:t xml:space="preserve"> del 2024, C-120 de 11 del junio de 2024, C-139 de 31 mayo del  2024, C-032 de abril de 2024, C- 450 del 3 de noviembre de 2023, C-167 del 5 de junio de 2023,</w:t>
      </w:r>
      <w:r w:rsidRPr="00614500">
        <w:rPr>
          <w:rFonts w:ascii="Verdana" w:hAnsi="Verdana" w:cs="Arial"/>
          <w:lang w:val="es-ES"/>
        </w:rPr>
        <w:t xml:space="preserve"> </w:t>
      </w:r>
      <w:r>
        <w:rPr>
          <w:rFonts w:ascii="Verdana" w:hAnsi="Verdana" w:cs="Arial"/>
          <w:lang w:val="es-ES"/>
        </w:rPr>
        <w:t>C- 124 del 12 de mayo de 2023, C-779 del 16 de noviembre de 2022, C 447 del  19 de julio  de 2022</w:t>
      </w:r>
      <w:r w:rsidRPr="00FA25B8">
        <w:rPr>
          <w:rFonts w:ascii="Verdana" w:eastAsia="Aptos" w:hAnsi="Verdana" w:cs="Segoe UI"/>
          <w:kern w:val="2"/>
          <w14:ligatures w14:val="standardContextual"/>
        </w:rPr>
        <w:t xml:space="preserve">, C-415 del 10 de agosto de 2021, C 429 del 17 de agosto de 2021, C 539 del 27 de septiembre de 2021, C-034 del 2 de marzo de 2022, C-144 del </w:t>
      </w:r>
      <w:r w:rsidRPr="00FA25B8">
        <w:rPr>
          <w:rFonts w:ascii="Verdana" w:eastAsia="Aptos" w:hAnsi="Verdana" w:cs="Segoe UI"/>
          <w:kern w:val="2"/>
          <w14:ligatures w14:val="standardContextual"/>
        </w:rPr>
        <w:lastRenderedPageBreak/>
        <w:t>28 de marzo de 2022, C-239 del 26 de abril de 2022, C</w:t>
      </w:r>
      <w:r>
        <w:rPr>
          <w:rFonts w:ascii="Verdana" w:eastAsia="Aptos" w:hAnsi="Verdana" w:cs="Segoe UI"/>
          <w:kern w:val="2"/>
          <w14:ligatures w14:val="standardContextual"/>
        </w:rPr>
        <w:t>-</w:t>
      </w:r>
      <w:r w:rsidRPr="00FA25B8">
        <w:rPr>
          <w:rFonts w:ascii="Verdana" w:eastAsia="Aptos" w:hAnsi="Verdana" w:cs="Segoe UI"/>
          <w:kern w:val="2"/>
          <w14:ligatures w14:val="standardContextual"/>
        </w:rPr>
        <w:t>324 del 20 mayo de 2022, C-456 del 15 de julio de 2022</w:t>
      </w:r>
      <w:r>
        <w:rPr>
          <w:rFonts w:ascii="Verdana" w:hAnsi="Verdana" w:cs="Arial"/>
          <w:lang w:val="es-ES"/>
        </w:rPr>
        <w:t xml:space="preserve"> y C-732 del 12 de noviembre de 2024.</w:t>
      </w:r>
      <w:r w:rsidR="008D28F2">
        <w:rPr>
          <w:rFonts w:ascii="Verdana" w:hAnsi="Verdana" w:cs="Arial"/>
          <w:lang w:val="es-ES"/>
        </w:rPr>
        <w:t xml:space="preserve"> </w:t>
      </w:r>
      <w:r w:rsidRPr="00614500">
        <w:rPr>
          <w:rFonts w:ascii="Verdana" w:hAnsi="Verdana" w:cs="Arial"/>
          <w:shd w:val="clear" w:color="auto" w:fill="FFFFFF"/>
          <w:lang w:val="es-ES"/>
        </w:rPr>
        <w:t>Es</w:t>
      </w:r>
      <w:r w:rsidRPr="00614500">
        <w:rPr>
          <w:rFonts w:ascii="Verdana" w:hAnsi="Verdana"/>
        </w:rPr>
        <w:t>tos y otros conceptos se encuentran disponibles para consulta en el Sistema de relatoría de la Agencia, al cual se puede acceder a través del siguiente enlace:</w:t>
      </w:r>
      <w:r w:rsidRPr="00614500">
        <w:rPr>
          <w:rFonts w:ascii="Verdana" w:hAnsi="Verdana" w:cs="Arial"/>
          <w:shd w:val="clear" w:color="auto" w:fill="FFFFFF"/>
          <w:lang w:val="es-ES"/>
        </w:rPr>
        <w:t xml:space="preserve"> </w:t>
      </w:r>
      <w:hyperlink r:id="rId15" w:history="1">
        <w:r w:rsidRPr="00614500">
          <w:rPr>
            <w:rFonts w:ascii="Verdana" w:hAnsi="Verdana" w:cs="Arial"/>
            <w:color w:val="0563C1" w:themeColor="hyperlink"/>
            <w:u w:val="single"/>
            <w:shd w:val="clear" w:color="auto" w:fill="FFFFFF"/>
            <w:lang w:val="es-ES"/>
          </w:rPr>
          <w:t>https://relatoria.colombiacompra.gov.co/busqueda/conceptos</w:t>
        </w:r>
      </w:hyperlink>
    </w:p>
    <w:p w14:paraId="3F5C2FC2" w14:textId="77777777" w:rsidR="004E798E" w:rsidRDefault="004E798E" w:rsidP="004E798E">
      <w:pPr>
        <w:spacing w:after="0" w:line="240" w:lineRule="auto"/>
        <w:jc w:val="both"/>
        <w:rPr>
          <w:rFonts w:ascii="Verdana" w:hAnsi="Verdana"/>
          <w:color w:val="000000" w:themeColor="text1"/>
        </w:rPr>
      </w:pPr>
      <w:r w:rsidRPr="004E798E">
        <w:rPr>
          <w:rFonts w:ascii="Verdana" w:hAnsi="Verdana"/>
          <w:color w:val="000000" w:themeColor="text1"/>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32E35DC2" w14:textId="77777777" w:rsidR="009B04CB" w:rsidRPr="004E798E" w:rsidRDefault="009B04CB" w:rsidP="004E798E">
      <w:pPr>
        <w:spacing w:after="0" w:line="240" w:lineRule="auto"/>
        <w:jc w:val="both"/>
        <w:rPr>
          <w:rFonts w:ascii="Verdana" w:hAnsi="Verdana"/>
          <w:color w:val="000000" w:themeColor="text1"/>
        </w:rPr>
      </w:pPr>
    </w:p>
    <w:p w14:paraId="4EA10E87" w14:textId="77777777" w:rsidR="004E798E" w:rsidRPr="004E798E" w:rsidRDefault="004E798E" w:rsidP="004E798E">
      <w:pPr>
        <w:numPr>
          <w:ilvl w:val="0"/>
          <w:numId w:val="18"/>
        </w:numPr>
        <w:spacing w:after="0" w:line="240" w:lineRule="auto"/>
        <w:jc w:val="both"/>
        <w:rPr>
          <w:rFonts w:ascii="Verdana" w:hAnsi="Verdana"/>
          <w:color w:val="000000" w:themeColor="text1"/>
        </w:rPr>
      </w:pPr>
      <w:r w:rsidRPr="004E798E">
        <w:rPr>
          <w:rFonts w:ascii="Verdana" w:hAnsi="Verdana"/>
          <w:b/>
          <w:bCs/>
          <w:color w:val="000000" w:themeColor="text1"/>
        </w:rPr>
        <w:t>Documentos tipo para los procesos de selección de interventoría de obra pública de infraestructura de transporte – versión 3: </w:t>
      </w:r>
      <w:hyperlink r:id="rId16" w:tgtFrame="_blank" w:tooltip="Dirección URL original: https://www.colombiacompra.gov.co/content/03-documentos-tipo-para-los-procesos-de-seleccion-de-interventoria-de-obra-publica-de. Haga clic o pulse si confía en este vínculo." w:history="1">
        <w:r w:rsidRPr="004E798E">
          <w:rPr>
            <w:rStyle w:val="Hipervnculo"/>
            <w:rFonts w:ascii="Verdana" w:hAnsi="Verdana"/>
          </w:rPr>
          <w:t>03. Documentos tipo para los procesos de selección de interventoría de obra pública de infraestructura de transporte – versión 3 | Colombia Compra Eficiente | Agencia Nacional de Contratación Pública</w:t>
        </w:r>
      </w:hyperlink>
    </w:p>
    <w:p w14:paraId="13B71DD9" w14:textId="77777777" w:rsidR="004E798E" w:rsidRDefault="004E798E" w:rsidP="004E798E">
      <w:pPr>
        <w:numPr>
          <w:ilvl w:val="0"/>
          <w:numId w:val="18"/>
        </w:numPr>
        <w:spacing w:after="0" w:line="240" w:lineRule="auto"/>
        <w:jc w:val="both"/>
        <w:rPr>
          <w:rFonts w:ascii="Verdana" w:hAnsi="Verdana"/>
          <w:color w:val="000000" w:themeColor="text1"/>
        </w:rPr>
      </w:pPr>
      <w:r w:rsidRPr="004E798E">
        <w:rPr>
          <w:rFonts w:ascii="Verdana" w:hAnsi="Verdana"/>
          <w:b/>
          <w:bCs/>
          <w:color w:val="000000" w:themeColor="text1"/>
        </w:rPr>
        <w:t>Documentos tipo para los procesos de selección de consultoría de obra pública de infraestructura de transporte – versión 2:</w:t>
      </w:r>
      <w:r w:rsidRPr="004E798E">
        <w:rPr>
          <w:rFonts w:ascii="Verdana" w:hAnsi="Verdana"/>
          <w:color w:val="000000" w:themeColor="text1"/>
        </w:rPr>
        <w:t> </w:t>
      </w:r>
      <w:hyperlink r:id="rId17" w:tgtFrame="_blank" w:tooltip="Dirección URL original: https://www.colombiacompra.gov.co/content/02-documentos-tipo-para-los-procesos-de-seleccion-de-consultoria-de-obra-publica-de. Haga clic o pulse si confía en este vínculo." w:history="1">
        <w:r w:rsidRPr="004E798E">
          <w:rPr>
            <w:rStyle w:val="Hipervnculo"/>
            <w:rFonts w:ascii="Verdana" w:hAnsi="Verdana"/>
          </w:rPr>
          <w:t>02. Documentos tipo para los procesos de selección de consultoría de obra pública de infraestructura de transporte – versión 2. | Colombia Compra Eficiente | Agencia Nacional de Contratación Pública</w:t>
        </w:r>
      </w:hyperlink>
    </w:p>
    <w:p w14:paraId="65BC73C5" w14:textId="77777777" w:rsidR="009B04CB" w:rsidRPr="004E798E" w:rsidRDefault="009B04CB" w:rsidP="009B04CB">
      <w:pPr>
        <w:spacing w:after="0" w:line="240" w:lineRule="auto"/>
        <w:ind w:left="720"/>
        <w:jc w:val="both"/>
        <w:rPr>
          <w:rFonts w:ascii="Verdana" w:hAnsi="Verdana"/>
          <w:color w:val="000000" w:themeColor="text1"/>
        </w:rPr>
      </w:pPr>
    </w:p>
    <w:p w14:paraId="7300C846" w14:textId="77777777" w:rsidR="004E798E" w:rsidRPr="004E798E" w:rsidRDefault="004E798E" w:rsidP="004E798E">
      <w:pPr>
        <w:spacing w:after="0" w:line="240" w:lineRule="auto"/>
        <w:jc w:val="both"/>
        <w:rPr>
          <w:rFonts w:ascii="Verdana" w:hAnsi="Verdana"/>
          <w:color w:val="000000" w:themeColor="text1"/>
        </w:rPr>
      </w:pPr>
      <w:r w:rsidRPr="004E798E">
        <w:rPr>
          <w:rFonts w:ascii="Verdana" w:hAnsi="Verdana"/>
          <w:color w:val="000000" w:themeColor="text1"/>
        </w:rPr>
        <w:t>También, te contamos que ya publicamos </w:t>
      </w:r>
      <w:r w:rsidRPr="004E798E">
        <w:rPr>
          <w:rFonts w:ascii="Verdana" w:hAnsi="Verdana"/>
          <w:b/>
          <w:bCs/>
          <w:color w:val="000000" w:themeColor="text1"/>
        </w:rPr>
        <w:t>la nueva Guía de Contratación Pública Sostenible y Socialmente Responsable</w:t>
      </w:r>
      <w:r w:rsidRPr="004E798E">
        <w:rPr>
          <w:rFonts w:ascii="Verdana" w:hAnsi="Verdana"/>
          <w:color w:val="000000" w:themeColor="text1"/>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8" w:tgtFrame="_blank" w:tooltip="Dirección URL original: https://www.colombiacompra.gov.co/manuales-guias-y-pliegos-tipo/manuales-y-guias/guia-de-contratacion-publica-sostenible-y-socialmente. Haga clic o pulse si confía en este vínculo." w:history="1">
        <w:r w:rsidRPr="004E798E">
          <w:rPr>
            <w:rStyle w:val="Hipervnculo"/>
            <w:rFonts w:ascii="Verdana" w:hAnsi="Verdana"/>
          </w:rPr>
          <w:t>Guía de Contratación Pública Sostenible y Socialmente Responsable | Colombia Compra Eficiente | Agencia Nacional de Contratación Pública</w:t>
        </w:r>
      </w:hyperlink>
    </w:p>
    <w:p w14:paraId="443F2D45" w14:textId="77777777" w:rsidR="004E798E" w:rsidRDefault="004E798E" w:rsidP="00EC2D8E">
      <w:pPr>
        <w:spacing w:after="0" w:line="240" w:lineRule="auto"/>
        <w:jc w:val="both"/>
        <w:rPr>
          <w:rFonts w:ascii="Verdana" w:hAnsi="Verdana"/>
          <w:color w:val="000000" w:themeColor="text1"/>
          <w:lang w:val="es-ES"/>
        </w:rPr>
      </w:pPr>
    </w:p>
    <w:p w14:paraId="2104B12A" w14:textId="1C3BFBFF" w:rsidR="00EC2D8E" w:rsidRPr="00115E3D" w:rsidRDefault="00EC2D8E" w:rsidP="00EC2D8E">
      <w:pPr>
        <w:spacing w:after="0" w:line="240" w:lineRule="auto"/>
        <w:jc w:val="both"/>
        <w:rPr>
          <w:rFonts w:ascii="Verdana" w:hAnsi="Verdana"/>
          <w:color w:val="000000" w:themeColor="text1"/>
        </w:rPr>
      </w:pPr>
      <w:r>
        <w:rPr>
          <w:rFonts w:ascii="Verdana" w:hAnsi="Verdana"/>
          <w:color w:val="000000" w:themeColor="text1"/>
          <w:lang w:val="es-ES"/>
        </w:rPr>
        <w:t>L</w:t>
      </w:r>
      <w:r w:rsidRPr="00115E3D">
        <w:rPr>
          <w:rFonts w:ascii="Verdana" w:hAnsi="Verdana"/>
          <w:color w:val="000000" w:themeColor="text1"/>
        </w:rPr>
        <w:t xml:space="preserve">o invitamos a seguirnos en las redes sociales en las cuales se difunde información institucional: </w:t>
      </w:r>
    </w:p>
    <w:p w14:paraId="4C0D6AE7" w14:textId="77777777" w:rsidR="00EC2D8E" w:rsidRPr="00115E3D" w:rsidRDefault="00EC2D8E" w:rsidP="00EC2D8E">
      <w:pPr>
        <w:spacing w:after="0" w:line="240" w:lineRule="auto"/>
        <w:jc w:val="both"/>
        <w:rPr>
          <w:rFonts w:ascii="Verdana" w:hAnsi="Verdana"/>
          <w:color w:val="000000" w:themeColor="text1"/>
        </w:rPr>
      </w:pPr>
    </w:p>
    <w:p w14:paraId="39CB072B" w14:textId="77777777" w:rsidR="00EC2D8E" w:rsidRPr="00115E3D" w:rsidRDefault="00EC2D8E" w:rsidP="00EC2D8E">
      <w:pPr>
        <w:spacing w:after="0" w:line="240" w:lineRule="auto"/>
        <w:jc w:val="both"/>
        <w:rPr>
          <w:rFonts w:ascii="Verdana" w:hAnsi="Verdana"/>
          <w:color w:val="000000" w:themeColor="text1"/>
        </w:rPr>
      </w:pPr>
      <w:r w:rsidRPr="00115E3D">
        <w:rPr>
          <w:rFonts w:ascii="Verdana" w:hAnsi="Verdana"/>
          <w:color w:val="000000" w:themeColor="text1"/>
        </w:rPr>
        <w:t xml:space="preserve">Twitter: </w:t>
      </w:r>
      <w:r w:rsidRPr="00115E3D">
        <w:rPr>
          <w:rStyle w:val="Hipervnculo"/>
          <w:rFonts w:ascii="Verdana" w:hAnsi="Verdana"/>
          <w:color w:val="000000" w:themeColor="text1"/>
        </w:rPr>
        <w:t>@colombiacompra</w:t>
      </w:r>
      <w:r w:rsidRPr="00115E3D">
        <w:rPr>
          <w:rFonts w:ascii="Verdana" w:hAnsi="Verdana"/>
          <w:color w:val="000000" w:themeColor="text1"/>
        </w:rPr>
        <w:t xml:space="preserve"> </w:t>
      </w:r>
    </w:p>
    <w:p w14:paraId="3CDEE200" w14:textId="77777777" w:rsidR="00EC2D8E" w:rsidRPr="00115E3D" w:rsidRDefault="00EC2D8E" w:rsidP="00EC2D8E">
      <w:pPr>
        <w:spacing w:after="0" w:line="240" w:lineRule="auto"/>
        <w:jc w:val="both"/>
        <w:rPr>
          <w:rFonts w:ascii="Verdana" w:hAnsi="Verdana"/>
          <w:color w:val="000000" w:themeColor="text1"/>
        </w:rPr>
      </w:pPr>
      <w:r w:rsidRPr="00115E3D">
        <w:rPr>
          <w:rFonts w:ascii="Verdana" w:hAnsi="Verdana"/>
          <w:color w:val="000000" w:themeColor="text1"/>
        </w:rPr>
        <w:t xml:space="preserve">Facebook: </w:t>
      </w:r>
      <w:r w:rsidRPr="00115E3D">
        <w:rPr>
          <w:rStyle w:val="Hipervnculo"/>
          <w:rFonts w:ascii="Verdana" w:hAnsi="Verdana"/>
          <w:color w:val="000000" w:themeColor="text1"/>
        </w:rPr>
        <w:t>ColombiaCompraEficiente</w:t>
      </w:r>
    </w:p>
    <w:p w14:paraId="4D90EA9F" w14:textId="77777777" w:rsidR="00EC2D8E" w:rsidRPr="00115E3D" w:rsidRDefault="00EC2D8E" w:rsidP="00EC2D8E">
      <w:pPr>
        <w:spacing w:after="0" w:line="240" w:lineRule="auto"/>
        <w:jc w:val="both"/>
        <w:rPr>
          <w:rFonts w:ascii="Verdana" w:hAnsi="Verdana"/>
          <w:color w:val="000000" w:themeColor="text1"/>
        </w:rPr>
      </w:pPr>
      <w:r w:rsidRPr="00115E3D">
        <w:rPr>
          <w:rFonts w:ascii="Verdana" w:hAnsi="Verdana"/>
          <w:color w:val="000000" w:themeColor="text1"/>
        </w:rPr>
        <w:t xml:space="preserve">LinkedIn: </w:t>
      </w:r>
      <w:r w:rsidRPr="00115E3D">
        <w:rPr>
          <w:rStyle w:val="Hipervnculo"/>
          <w:rFonts w:ascii="Verdana" w:hAnsi="Verdana"/>
          <w:color w:val="000000" w:themeColor="text1"/>
        </w:rPr>
        <w:t>Agencia Nacional de Contratación Pública - Colombia Compra Eficiente</w:t>
      </w:r>
      <w:r w:rsidRPr="00115E3D">
        <w:rPr>
          <w:rFonts w:ascii="Verdana" w:hAnsi="Verdana"/>
          <w:color w:val="000000" w:themeColor="text1"/>
        </w:rPr>
        <w:t xml:space="preserve"> Instagram: </w:t>
      </w:r>
      <w:r w:rsidRPr="00115E3D">
        <w:rPr>
          <w:rStyle w:val="Hipervnculo"/>
          <w:rFonts w:ascii="Verdana" w:hAnsi="Verdana"/>
          <w:color w:val="000000" w:themeColor="text1"/>
        </w:rPr>
        <w:t>@colombiacompraeficiente_cce</w:t>
      </w:r>
    </w:p>
    <w:p w14:paraId="4B85C0AF" w14:textId="77777777" w:rsidR="00EC2D8E" w:rsidRPr="00115E3D" w:rsidRDefault="00EC2D8E" w:rsidP="00EC2D8E">
      <w:pPr>
        <w:widowControl w:val="0"/>
        <w:autoSpaceDE w:val="0"/>
        <w:autoSpaceDN w:val="0"/>
        <w:spacing w:after="0" w:line="276" w:lineRule="auto"/>
        <w:jc w:val="both"/>
        <w:rPr>
          <w:rFonts w:ascii="Verdana" w:hAnsi="Verdana" w:cs="Arial"/>
          <w:color w:val="000000" w:themeColor="text1"/>
        </w:rPr>
      </w:pPr>
    </w:p>
    <w:p w14:paraId="653DDB21" w14:textId="77777777" w:rsidR="00EC2D8E" w:rsidRPr="00115E3D" w:rsidRDefault="00EC2D8E" w:rsidP="00EC2D8E">
      <w:pPr>
        <w:widowControl w:val="0"/>
        <w:autoSpaceDE w:val="0"/>
        <w:autoSpaceDN w:val="0"/>
        <w:spacing w:after="0" w:line="276" w:lineRule="auto"/>
        <w:jc w:val="both"/>
        <w:rPr>
          <w:rFonts w:ascii="Verdana" w:hAnsi="Verdana" w:cs="Arial"/>
          <w:color w:val="000000" w:themeColor="text1"/>
          <w:lang w:val="es-ES_tradnl"/>
        </w:rPr>
      </w:pPr>
      <w:r w:rsidRPr="00115E3D">
        <w:rPr>
          <w:rFonts w:ascii="Verdana" w:hAnsi="Verdana" w:cs="Arial"/>
          <w:color w:val="000000" w:themeColor="text1"/>
        </w:rPr>
        <w:t xml:space="preserve">Este concepto tiene el alcance previsto en el artículo 28 del Código de Procedimiento Administrativo y de lo Contencioso Administrativo </w:t>
      </w:r>
      <w:r w:rsidRPr="00115E3D">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110C6DDD" w14:textId="692B890C" w:rsidR="00EC2D8E" w:rsidRPr="00115E3D" w:rsidRDefault="00EC2D8E" w:rsidP="00EC2D8E">
      <w:pPr>
        <w:widowControl w:val="0"/>
        <w:autoSpaceDE w:val="0"/>
        <w:autoSpaceDN w:val="0"/>
        <w:spacing w:after="0" w:line="276" w:lineRule="auto"/>
        <w:jc w:val="both"/>
        <w:rPr>
          <w:rFonts w:ascii="Verdana" w:hAnsi="Verdana" w:cs="Arial"/>
          <w:color w:val="000000" w:themeColor="text1"/>
        </w:rPr>
      </w:pPr>
    </w:p>
    <w:p w14:paraId="24DF67D7" w14:textId="77777777" w:rsidR="00EC2D8E" w:rsidRPr="00115E3D" w:rsidRDefault="00EC2D8E" w:rsidP="00EC2D8E">
      <w:pPr>
        <w:spacing w:after="0" w:line="240" w:lineRule="auto"/>
        <w:rPr>
          <w:rFonts w:ascii="Verdana" w:hAnsi="Verdana" w:cs="Arial"/>
          <w:color w:val="000000" w:themeColor="text1"/>
          <w:lang w:eastAsia="es-CO"/>
        </w:rPr>
      </w:pPr>
      <w:r w:rsidRPr="00115E3D">
        <w:rPr>
          <w:rFonts w:ascii="Verdana" w:eastAsia="Times New Roman" w:hAnsi="Verdana" w:cs="Arial"/>
          <w:color w:val="000000" w:themeColor="text1"/>
          <w:lang w:eastAsia="es-CO"/>
        </w:rPr>
        <w:t>Atentamente,</w:t>
      </w:r>
      <w:r w:rsidRPr="00115E3D">
        <w:rPr>
          <w:rFonts w:ascii="Verdana" w:hAnsi="Verdana" w:cs="Arial"/>
          <w:color w:val="000000" w:themeColor="text1"/>
          <w:lang w:eastAsia="es-CO"/>
        </w:rPr>
        <w:t xml:space="preserve"> </w:t>
      </w:r>
    </w:p>
    <w:p w14:paraId="299F718F" w14:textId="59C955EC" w:rsidR="00EC2D8E" w:rsidRPr="00115E3D" w:rsidRDefault="00025D3F" w:rsidP="00EC2D8E">
      <w:pPr>
        <w:spacing w:line="276" w:lineRule="auto"/>
        <w:jc w:val="center"/>
        <w:rPr>
          <w:rFonts w:ascii="Verdana" w:hAnsi="Verdana" w:cs="Arial"/>
          <w:color w:val="000000" w:themeColor="text1"/>
          <w:lang w:val="es-ES_tradnl" w:eastAsia="es-CO"/>
        </w:rPr>
      </w:pPr>
      <w:r>
        <w:rPr>
          <w:noProof/>
        </w:rPr>
        <w:drawing>
          <wp:inline distT="0" distB="0" distL="0" distR="0" wp14:anchorId="1BF23007" wp14:editId="35294899">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9"/>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C2D8E" w:rsidRPr="00115E3D" w14:paraId="1E8ECE2F" w14:textId="77777777" w:rsidTr="00EF5085">
        <w:trPr>
          <w:trHeight w:val="315"/>
        </w:trPr>
        <w:tc>
          <w:tcPr>
            <w:tcW w:w="893" w:type="dxa"/>
            <w:vAlign w:val="center"/>
            <w:hideMark/>
          </w:tcPr>
          <w:p w14:paraId="64D4353E" w14:textId="77777777" w:rsidR="00EC2D8E" w:rsidRPr="00115E3D" w:rsidRDefault="00EC2D8E" w:rsidP="00EF5085">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C0B7180" w14:textId="77777777" w:rsidR="00EC2D8E" w:rsidRPr="00115E3D" w:rsidRDefault="00EC2D8E" w:rsidP="00EF5085">
            <w:pPr>
              <w:contextualSpacing/>
              <w:rPr>
                <w:rFonts w:ascii="Verdana" w:eastAsia="Arial" w:hAnsi="Verdana" w:cs="Arial"/>
                <w:color w:val="000000" w:themeColor="text1"/>
                <w:sz w:val="16"/>
                <w:szCs w:val="16"/>
              </w:rPr>
            </w:pPr>
            <w:r>
              <w:rPr>
                <w:rFonts w:ascii="Verdana" w:eastAsia="Arial" w:hAnsi="Verdana" w:cs="Arial"/>
                <w:color w:val="000000" w:themeColor="text1"/>
                <w:sz w:val="16"/>
                <w:szCs w:val="16"/>
              </w:rPr>
              <w:t xml:space="preserve">Andreina Cerpa Muñoz </w:t>
            </w:r>
          </w:p>
          <w:p w14:paraId="1E0E1D82" w14:textId="77777777" w:rsidR="00EC2D8E" w:rsidRPr="00115E3D" w:rsidRDefault="00EC2D8E" w:rsidP="00EF5085">
            <w:pPr>
              <w:contextualSpacing/>
              <w:rPr>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Analista T2-02</w:t>
            </w:r>
            <w:r w:rsidRPr="00115E3D">
              <w:rPr>
                <w:rStyle w:val="normaltextrun"/>
                <w:rFonts w:ascii="Verdana" w:eastAsia="Arial" w:hAnsi="Verdana" w:cs="Arial"/>
                <w:color w:val="000000" w:themeColor="text1"/>
                <w:sz w:val="16"/>
                <w:szCs w:val="16"/>
              </w:rPr>
              <w:t xml:space="preserve"> de la Subdirección de Gestión Contractual</w:t>
            </w:r>
          </w:p>
        </w:tc>
      </w:tr>
      <w:tr w:rsidR="00EC2D8E" w:rsidRPr="00115E3D" w14:paraId="73BE1759" w14:textId="77777777" w:rsidTr="00EF5085">
        <w:trPr>
          <w:trHeight w:val="330"/>
        </w:trPr>
        <w:tc>
          <w:tcPr>
            <w:tcW w:w="893" w:type="dxa"/>
            <w:vAlign w:val="center"/>
            <w:hideMark/>
          </w:tcPr>
          <w:p w14:paraId="67889F43" w14:textId="77777777" w:rsidR="00EC2D8E" w:rsidRPr="00115E3D" w:rsidRDefault="00EC2D8E" w:rsidP="00EF5085">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F52C466" w14:textId="77777777" w:rsidR="00EC2D8E" w:rsidRPr="00580396" w:rsidRDefault="00EC2D8E" w:rsidP="00EF5085">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Fonts w:ascii="Verdana" w:hAnsi="Verdana" w:cs="Segoe UI"/>
                <w:color w:val="000000" w:themeColor="text1"/>
                <w:sz w:val="16"/>
                <w:szCs w:val="16"/>
              </w:rPr>
              <w:t>X</w:t>
            </w:r>
            <w:r w:rsidRPr="00580396">
              <w:rPr>
                <w:rFonts w:ascii="Verdana" w:hAnsi="Verdana" w:cs="Segoe UI"/>
                <w:sz w:val="16"/>
                <w:szCs w:val="16"/>
              </w:rPr>
              <w:t xml:space="preserve">imena Ríos López </w:t>
            </w:r>
          </w:p>
          <w:p w14:paraId="25456EF3" w14:textId="77777777" w:rsidR="00EC2D8E" w:rsidRPr="00115E3D" w:rsidRDefault="00EC2D8E" w:rsidP="00EF5085">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Style w:val="normaltextrun"/>
                <w:rFonts w:ascii="Verdana" w:hAnsi="Verdana" w:cs="Arial"/>
                <w:color w:val="000000" w:themeColor="text1"/>
                <w:sz w:val="16"/>
                <w:szCs w:val="16"/>
                <w:lang w:val="es-ES"/>
              </w:rPr>
              <w:t>Gestor T1-11 de la Subdirección de Gestión Contractual</w:t>
            </w:r>
            <w:r w:rsidRPr="00115E3D">
              <w:rPr>
                <w:rStyle w:val="eop"/>
                <w:rFonts w:ascii="Verdana" w:hAnsi="Verdana" w:cs="Arial"/>
                <w:color w:val="000000" w:themeColor="text1"/>
                <w:sz w:val="16"/>
                <w:szCs w:val="16"/>
              </w:rPr>
              <w:t> </w:t>
            </w:r>
          </w:p>
        </w:tc>
      </w:tr>
      <w:tr w:rsidR="00EC2D8E" w:rsidRPr="00115E3D" w14:paraId="23CA4BC2" w14:textId="77777777" w:rsidTr="00EF5085">
        <w:trPr>
          <w:trHeight w:val="300"/>
        </w:trPr>
        <w:tc>
          <w:tcPr>
            <w:tcW w:w="893" w:type="dxa"/>
            <w:vAlign w:val="center"/>
          </w:tcPr>
          <w:p w14:paraId="5E929E93" w14:textId="77777777" w:rsidR="00EC2D8E" w:rsidRPr="00115E3D" w:rsidRDefault="00EC2D8E" w:rsidP="00EF5085">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9DA6750" w14:textId="77777777" w:rsidR="00EC2D8E" w:rsidRPr="00115E3D" w:rsidRDefault="00EC2D8E" w:rsidP="00EF5085">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val="pt-BR" w:eastAsia="es-ES"/>
              </w:rPr>
              <w:t>Carolina Quintero Gacharná</w:t>
            </w:r>
          </w:p>
          <w:p w14:paraId="0ABA2FD9" w14:textId="77777777" w:rsidR="00EC2D8E" w:rsidRPr="00115E3D" w:rsidRDefault="00EC2D8E" w:rsidP="00EF5085">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eastAsia="es-ES"/>
              </w:rPr>
              <w:t>Subdirectora</w:t>
            </w:r>
            <w:r w:rsidRPr="00115E3D">
              <w:rPr>
                <w:rFonts w:ascii="Verdana" w:eastAsia="Calibri" w:hAnsi="Verdana" w:cs="Arial"/>
                <w:color w:val="000000" w:themeColor="text1"/>
                <w:sz w:val="16"/>
                <w:szCs w:val="16"/>
                <w:lang w:val="pt-BR" w:eastAsia="es-ES"/>
              </w:rPr>
              <w:t xml:space="preserve"> de Gestión Contractual ANCP – CCE</w:t>
            </w:r>
          </w:p>
        </w:tc>
      </w:tr>
    </w:tbl>
    <w:p w14:paraId="1C5C4C5A" w14:textId="444AC5F4" w:rsidR="00D06B5A" w:rsidRPr="00D06B5A" w:rsidRDefault="00D06B5A" w:rsidP="00EC2D8E">
      <w:pPr>
        <w:rPr>
          <w:rFonts w:ascii="Verdana" w:eastAsia="Times New Roman" w:hAnsi="Verdana" w:cs="Arial"/>
          <w:color w:val="000000" w:themeColor="text1"/>
          <w:sz w:val="24"/>
          <w:szCs w:val="24"/>
          <w:lang w:eastAsia="es-ES"/>
        </w:rPr>
      </w:pPr>
    </w:p>
    <w:p w14:paraId="5DED9F68" w14:textId="77777777" w:rsidR="00EC2D8E" w:rsidRDefault="00EC2D8E" w:rsidP="00EC2D8E"/>
    <w:p w14:paraId="3900974D" w14:textId="77777777" w:rsidR="003D5B0D" w:rsidRPr="006D2583" w:rsidRDefault="003D5B0D" w:rsidP="006D2583"/>
    <w:sectPr w:rsidR="003D5B0D" w:rsidRPr="006D2583"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3DF17" w14:textId="77777777" w:rsidR="00D52571" w:rsidRDefault="00D52571" w:rsidP="004A1847">
      <w:pPr>
        <w:spacing w:after="0" w:line="240" w:lineRule="auto"/>
      </w:pPr>
      <w:r>
        <w:separator/>
      </w:r>
    </w:p>
  </w:endnote>
  <w:endnote w:type="continuationSeparator" w:id="0">
    <w:p w14:paraId="35EC8455" w14:textId="77777777" w:rsidR="00D52571" w:rsidRDefault="00D52571" w:rsidP="004A1847">
      <w:pPr>
        <w:spacing w:after="0" w:line="240" w:lineRule="auto"/>
      </w:pPr>
      <w:r>
        <w:continuationSeparator/>
      </w:r>
    </w:p>
  </w:endnote>
  <w:endnote w:type="continuationNotice" w:id="1">
    <w:p w14:paraId="2EC8B310" w14:textId="77777777" w:rsidR="00D52571" w:rsidRDefault="00D52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Geomanist"/>
    <w:panose1 w:val="00000000000000000000"/>
    <w:charset w:val="00"/>
    <w:family w:val="modern"/>
    <w:notTrueType/>
    <w:pitch w:val="variable"/>
    <w:sig w:usb0="A000002F" w:usb1="1000004A" w:usb2="00000000" w:usb3="00000000" w:csb0="00000193" w:csb1="00000000"/>
  </w:font>
  <w:font w:name="Verdana">
    <w:altName w:val="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99D22" w14:textId="77777777" w:rsidR="00D52571" w:rsidRDefault="00D52571" w:rsidP="004A1847">
      <w:pPr>
        <w:spacing w:after="0" w:line="240" w:lineRule="auto"/>
      </w:pPr>
      <w:r>
        <w:separator/>
      </w:r>
    </w:p>
  </w:footnote>
  <w:footnote w:type="continuationSeparator" w:id="0">
    <w:p w14:paraId="5E30CC67" w14:textId="77777777" w:rsidR="00D52571" w:rsidRDefault="00D52571" w:rsidP="004A1847">
      <w:pPr>
        <w:spacing w:after="0" w:line="240" w:lineRule="auto"/>
      </w:pPr>
      <w:r>
        <w:continuationSeparator/>
      </w:r>
    </w:p>
  </w:footnote>
  <w:footnote w:type="continuationNotice" w:id="1">
    <w:p w14:paraId="5A2D17F6" w14:textId="77777777" w:rsidR="00D52571" w:rsidRDefault="00D52571">
      <w:pPr>
        <w:spacing w:after="0" w:line="240" w:lineRule="auto"/>
      </w:pPr>
    </w:p>
  </w:footnote>
  <w:footnote w:id="2">
    <w:p w14:paraId="35EA3351" w14:textId="77777777" w:rsidR="00EC2D8E" w:rsidRPr="000D63F4" w:rsidRDefault="00EC2D8E" w:rsidP="00D34F5D">
      <w:pPr>
        <w:pStyle w:val="Textonotapie"/>
        <w:ind w:firstLine="708"/>
        <w:jc w:val="both"/>
        <w:rPr>
          <w:rFonts w:ascii="Verdana" w:hAnsi="Verdana"/>
          <w:sz w:val="10"/>
          <w:szCs w:val="10"/>
          <w:lang w:val="es-CO"/>
        </w:rPr>
      </w:pPr>
      <w:r w:rsidRPr="000D63F4">
        <w:rPr>
          <w:rStyle w:val="Refdenotaalpie"/>
          <w:rFonts w:ascii="Verdana" w:hAnsi="Verdana"/>
          <w:sz w:val="10"/>
          <w:szCs w:val="10"/>
        </w:rPr>
        <w:footnoteRef/>
      </w:r>
      <w:r w:rsidRPr="000D63F4">
        <w:rPr>
          <w:rFonts w:ascii="Verdana" w:hAnsi="Verdana"/>
          <w:sz w:val="10"/>
          <w:szCs w:val="10"/>
        </w:rPr>
        <w:t xml:space="preserve"> </w:t>
      </w:r>
      <w:r w:rsidRPr="000D63F4">
        <w:rPr>
          <w:rFonts w:ascii="Verdana" w:hAnsi="Verdana"/>
          <w:sz w:val="10"/>
          <w:szCs w:val="10"/>
          <w:lang w:val="es-ES"/>
        </w:rPr>
        <w:t>“</w:t>
      </w:r>
      <w:r w:rsidRPr="000D63F4">
        <w:rPr>
          <w:rFonts w:ascii="Verdana" w:hAnsi="Verdana"/>
          <w:sz w:val="10"/>
          <w:szCs w:val="10"/>
          <w:lang w:val="es-CO"/>
        </w:rPr>
        <w:t>Para poder participar en los procesos de selección de los contratos de obra, la capacidad residual del proponente o K de contratación deberá ser igual o superior al que la entidad haya establecido para el efecto en los pliegos de condiciones</w:t>
      </w:r>
    </w:p>
    <w:p w14:paraId="60881EA1" w14:textId="635F1F15" w:rsidR="00035BD4" w:rsidRDefault="00EC2D8E" w:rsidP="00035BD4">
      <w:pPr>
        <w:pStyle w:val="Textonotapie"/>
        <w:jc w:val="both"/>
        <w:rPr>
          <w:rFonts w:ascii="Verdana" w:hAnsi="Verdana"/>
          <w:sz w:val="10"/>
          <w:szCs w:val="10"/>
          <w:lang w:val="es-CO"/>
        </w:rPr>
      </w:pPr>
      <w:r w:rsidRPr="000D63F4">
        <w:rPr>
          <w:rFonts w:ascii="Verdana" w:hAnsi="Verdana"/>
          <w:sz w:val="10"/>
          <w:szCs w:val="10"/>
          <w:lang w:val="es-CO"/>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3154DC04" w14:textId="77777777" w:rsidR="00EC2D8E" w:rsidRDefault="00EC2D8E" w:rsidP="00EC2D8E">
      <w:pPr>
        <w:pStyle w:val="Textonotapie"/>
        <w:jc w:val="both"/>
        <w:rPr>
          <w:rFonts w:ascii="Verdana" w:hAnsi="Verdana"/>
          <w:sz w:val="10"/>
          <w:szCs w:val="10"/>
          <w:lang w:val="es-CO"/>
        </w:rPr>
      </w:pPr>
    </w:p>
  </w:footnote>
  <w:footnote w:id="3">
    <w:p w14:paraId="7316ACCD" w14:textId="77777777" w:rsidR="00EC2D8E" w:rsidRPr="000D63F4" w:rsidRDefault="00EC2D8E" w:rsidP="00035BD4">
      <w:pPr>
        <w:spacing w:after="0" w:line="240" w:lineRule="auto"/>
        <w:ind w:firstLine="567"/>
        <w:jc w:val="both"/>
        <w:rPr>
          <w:rFonts w:ascii="Verdana" w:hAnsi="Verdana"/>
          <w:sz w:val="10"/>
          <w:szCs w:val="10"/>
          <w:lang w:val="es-MX"/>
        </w:rPr>
      </w:pPr>
      <w:r w:rsidRPr="000D63F4">
        <w:rPr>
          <w:rStyle w:val="Refdenotaalpie"/>
          <w:rFonts w:ascii="Verdana" w:hAnsi="Verdana"/>
          <w:sz w:val="10"/>
          <w:szCs w:val="10"/>
        </w:rPr>
        <w:footnoteRef/>
      </w:r>
      <w:r w:rsidRPr="000D63F4">
        <w:rPr>
          <w:rFonts w:ascii="Verdana" w:hAnsi="Verdana"/>
          <w:sz w:val="10"/>
          <w:szCs w:val="10"/>
        </w:rPr>
        <w:t xml:space="preserve"> </w:t>
      </w:r>
      <w:r w:rsidRPr="000D63F4">
        <w:rPr>
          <w:rFonts w:ascii="Verdana" w:hAnsi="Verdana"/>
          <w:sz w:val="10"/>
          <w:szCs w:val="10"/>
          <w:lang w:val="es-MX"/>
        </w:rPr>
        <w:t xml:space="preserve">Gaceta 096 de 2007. Pág. 9. Allí se lee: “Parágrafo 2°. Nuevo. Se adiciona un parágrafo nuevo para establecer de manera concreta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 (Cursivas propias). </w:t>
      </w:r>
    </w:p>
  </w:footnote>
  <w:footnote w:id="4">
    <w:p w14:paraId="47F0362C" w14:textId="77777777" w:rsidR="00EC2D8E" w:rsidRDefault="00EC2D8E" w:rsidP="00035BD4">
      <w:pPr>
        <w:pStyle w:val="Textonotapie"/>
        <w:ind w:firstLine="567"/>
        <w:jc w:val="both"/>
        <w:rPr>
          <w:rFonts w:ascii="Verdana" w:hAnsi="Verdana"/>
          <w:sz w:val="10"/>
          <w:szCs w:val="10"/>
        </w:rPr>
      </w:pPr>
      <w:r w:rsidRPr="000D63F4">
        <w:rPr>
          <w:rStyle w:val="Refdenotaalpie"/>
          <w:rFonts w:ascii="Verdana" w:hAnsi="Verdana"/>
          <w:sz w:val="10"/>
          <w:szCs w:val="10"/>
        </w:rPr>
        <w:footnoteRef/>
      </w:r>
      <w:r w:rsidRPr="000D63F4">
        <w:rPr>
          <w:rFonts w:ascii="Verdana" w:hAnsi="Verdana"/>
          <w:sz w:val="10"/>
          <w:szCs w:val="10"/>
        </w:rPr>
        <w:t xml:space="preserve"> Según este parágrafo</w:t>
      </w:r>
      <w:r w:rsidRPr="000D63F4">
        <w:rPr>
          <w:rFonts w:ascii="Verdana" w:hAnsi="Verdana" w:cs="Arial"/>
          <w:color w:val="000000"/>
          <w:sz w:val="10"/>
          <w:szCs w:val="10"/>
          <w:lang w:val="es-ES_tradnl"/>
        </w:rPr>
        <w:t xml:space="preserve"> </w:t>
      </w:r>
      <w:r w:rsidRPr="000D63F4">
        <w:rPr>
          <w:rFonts w:ascii="Verdana" w:hAnsi="Verdana"/>
          <w:sz w:val="10"/>
          <w:szCs w:val="10"/>
          <w:lang w:val="es-ES_tradnl"/>
        </w:rPr>
        <w:t>las certificaciones de sistemas de gestión de calidad no serán objeto de calificación, ni podrán establecerse como documento habilitante para participar en licitaciones o concursos.</w:t>
      </w:r>
      <w:r w:rsidRPr="000D63F4">
        <w:rPr>
          <w:rFonts w:ascii="Verdana" w:hAnsi="Verdana"/>
          <w:sz w:val="10"/>
          <w:szCs w:val="10"/>
        </w:rPr>
        <w:t xml:space="preserve"> </w:t>
      </w:r>
    </w:p>
    <w:p w14:paraId="1147BB5A" w14:textId="77777777" w:rsidR="00EC2D8E" w:rsidRPr="000D63F4" w:rsidRDefault="00EC2D8E" w:rsidP="00EC2D8E">
      <w:pPr>
        <w:pStyle w:val="Textonotapie"/>
        <w:ind w:firstLine="567"/>
        <w:jc w:val="both"/>
        <w:rPr>
          <w:rFonts w:ascii="Verdana" w:hAnsi="Verdana"/>
          <w:sz w:val="10"/>
          <w:szCs w:val="10"/>
          <w:lang w:val="es-CO"/>
        </w:rPr>
      </w:pPr>
    </w:p>
  </w:footnote>
  <w:footnote w:id="5">
    <w:p w14:paraId="655B2002" w14:textId="77777777" w:rsidR="00EC2D8E" w:rsidRPr="000D63F4" w:rsidRDefault="00EC2D8E" w:rsidP="00EC2D8E">
      <w:pPr>
        <w:pStyle w:val="Textonotapie"/>
        <w:ind w:firstLine="567"/>
        <w:jc w:val="both"/>
        <w:rPr>
          <w:rFonts w:ascii="Verdana" w:hAnsi="Verdana"/>
          <w:sz w:val="10"/>
          <w:szCs w:val="10"/>
        </w:rPr>
      </w:pPr>
      <w:r w:rsidRPr="000D63F4">
        <w:rPr>
          <w:rStyle w:val="Refdenotaalpie"/>
          <w:rFonts w:ascii="Verdana" w:hAnsi="Verdana"/>
          <w:sz w:val="10"/>
          <w:szCs w:val="10"/>
        </w:rPr>
        <w:footnoteRef/>
      </w:r>
      <w:r w:rsidRPr="000D63F4">
        <w:rPr>
          <w:rFonts w:ascii="Verdana" w:hAnsi="Verdana"/>
          <w:sz w:val="10"/>
          <w:szCs w:val="10"/>
        </w:rPr>
        <w:t xml:space="preserve"> Artículo 2.2.1.1.1.5.3. Requisitos habilitantes contenidos en el RUP. Las cámaras de comercio, con base en la información a la que hace referencia el artículo anterior, deben verificar y certificar los siguientes requisitos habilitantes:</w:t>
      </w:r>
    </w:p>
    <w:p w14:paraId="73E7C763" w14:textId="77777777" w:rsidR="00EC2D8E" w:rsidRPr="000D63F4" w:rsidRDefault="00EC2D8E" w:rsidP="00EC2D8E">
      <w:pPr>
        <w:pStyle w:val="Textonotapie"/>
        <w:ind w:firstLine="567"/>
        <w:jc w:val="both"/>
        <w:rPr>
          <w:rFonts w:ascii="Verdana" w:hAnsi="Verdana"/>
          <w:sz w:val="10"/>
          <w:szCs w:val="10"/>
        </w:rPr>
      </w:pPr>
      <w:r w:rsidRPr="000D63F4">
        <w:rPr>
          <w:rFonts w:ascii="Verdana" w:hAnsi="Verdana"/>
          <w:sz w:val="10"/>
          <w:szCs w:val="10"/>
        </w:rPr>
        <w:t>1. Experiencia – Los contratos celebrados por el interesado para cada uno de los bienes, obras y servicios que ofrecerá a las Entidades Estatales, identificados con el Clasificador de Bienes y Servicios en el tercer nivel y su valor expresado en smmlv.</w:t>
      </w:r>
    </w:p>
    <w:p w14:paraId="1DD918ED" w14:textId="77777777" w:rsidR="00EC2D8E" w:rsidRPr="000D63F4" w:rsidRDefault="00EC2D8E" w:rsidP="00EC2D8E">
      <w:pPr>
        <w:pStyle w:val="Textonotapie"/>
        <w:jc w:val="both"/>
        <w:rPr>
          <w:rFonts w:ascii="Verdana" w:hAnsi="Verdana"/>
          <w:sz w:val="10"/>
          <w:szCs w:val="10"/>
        </w:rPr>
      </w:pPr>
      <w:r w:rsidRPr="000D63F4">
        <w:rPr>
          <w:rFonts w:ascii="Verdana" w:hAnsi="Verdana"/>
          <w:sz w:val="10"/>
          <w:szCs w:val="10"/>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p>
    <w:p w14:paraId="2C9E0E98" w14:textId="77777777" w:rsidR="00EC2D8E" w:rsidRPr="000D63F4" w:rsidRDefault="00EC2D8E" w:rsidP="00EC2D8E">
      <w:pPr>
        <w:pStyle w:val="Textonotapie"/>
        <w:ind w:firstLine="709"/>
        <w:jc w:val="both"/>
        <w:rPr>
          <w:rFonts w:ascii="Verdana" w:hAnsi="Verdana"/>
          <w:sz w:val="10"/>
          <w:szCs w:val="10"/>
        </w:rPr>
      </w:pPr>
      <w:r w:rsidRPr="000D63F4">
        <w:rPr>
          <w:rFonts w:ascii="Verdana" w:hAnsi="Verdana"/>
          <w:sz w:val="10"/>
          <w:szCs w:val="10"/>
        </w:rPr>
        <w:t>2. Capacidad Jurídica – La capacidad jurídica del proponente para prestar los bienes, obras, o servicios que ofrecerá a las Entidades Estatales y la capacidad del representante legal de las personas jurídicas para celebrar contratos y si requiere, autorizaciones para el efecto con ocasión de los límites a la capacidad del representante legal del interesado en relación con el monto y el tipo de las obligaciones que puede adquirir a nombre del interesado.</w:t>
      </w:r>
    </w:p>
    <w:p w14:paraId="46A2B688" w14:textId="77777777" w:rsidR="00EC2D8E" w:rsidRPr="000D63F4" w:rsidRDefault="00EC2D8E" w:rsidP="00EC2D8E">
      <w:pPr>
        <w:pStyle w:val="Textonotapie"/>
        <w:ind w:firstLine="567"/>
        <w:jc w:val="both"/>
        <w:rPr>
          <w:rFonts w:ascii="Verdana" w:hAnsi="Verdana"/>
          <w:sz w:val="10"/>
          <w:szCs w:val="10"/>
        </w:rPr>
      </w:pPr>
      <w:r w:rsidRPr="000D63F4">
        <w:rPr>
          <w:rFonts w:ascii="Verdana" w:hAnsi="Verdana"/>
          <w:sz w:val="10"/>
          <w:szCs w:val="10"/>
        </w:rPr>
        <w:t>3. Capacidad Financiera – los siguientes indicadores miden la fortaleza financiera del interesado:</w:t>
      </w:r>
    </w:p>
    <w:p w14:paraId="6B416D06" w14:textId="77777777" w:rsidR="00EC2D8E" w:rsidRPr="000D63F4" w:rsidRDefault="00EC2D8E" w:rsidP="00EC2D8E">
      <w:pPr>
        <w:pStyle w:val="Textonotapie"/>
        <w:ind w:firstLine="567"/>
        <w:jc w:val="both"/>
        <w:rPr>
          <w:rFonts w:ascii="Verdana" w:hAnsi="Verdana"/>
          <w:sz w:val="10"/>
          <w:szCs w:val="10"/>
        </w:rPr>
      </w:pPr>
      <w:r w:rsidRPr="000D63F4">
        <w:rPr>
          <w:rFonts w:ascii="Verdana" w:hAnsi="Verdana"/>
          <w:sz w:val="10"/>
          <w:szCs w:val="10"/>
        </w:rPr>
        <w:t>3.1. Índice de liquidez: activo corriente dividido por el pasivo corriente.</w:t>
      </w:r>
    </w:p>
    <w:p w14:paraId="4800756B" w14:textId="77777777" w:rsidR="00EC2D8E" w:rsidRPr="000D63F4" w:rsidRDefault="00EC2D8E" w:rsidP="00EC2D8E">
      <w:pPr>
        <w:pStyle w:val="Textonotapie"/>
        <w:ind w:firstLine="567"/>
        <w:jc w:val="both"/>
        <w:rPr>
          <w:rFonts w:ascii="Verdana" w:hAnsi="Verdana"/>
          <w:sz w:val="10"/>
          <w:szCs w:val="10"/>
        </w:rPr>
      </w:pPr>
      <w:r w:rsidRPr="000D63F4">
        <w:rPr>
          <w:rFonts w:ascii="Verdana" w:hAnsi="Verdana"/>
          <w:sz w:val="10"/>
          <w:szCs w:val="10"/>
        </w:rPr>
        <w:t>3.2. Índice de endeudamiento: pasivo total dividido por el activo total.</w:t>
      </w:r>
    </w:p>
    <w:p w14:paraId="54A5559F" w14:textId="77777777" w:rsidR="00EC2D8E" w:rsidRPr="000D63F4" w:rsidRDefault="00EC2D8E" w:rsidP="00EC2D8E">
      <w:pPr>
        <w:pStyle w:val="Textonotapie"/>
        <w:ind w:firstLine="567"/>
        <w:jc w:val="both"/>
        <w:rPr>
          <w:rFonts w:ascii="Verdana" w:hAnsi="Verdana"/>
          <w:sz w:val="10"/>
          <w:szCs w:val="10"/>
        </w:rPr>
      </w:pPr>
      <w:r w:rsidRPr="000D63F4">
        <w:rPr>
          <w:rFonts w:ascii="Verdana" w:hAnsi="Verdana"/>
          <w:sz w:val="10"/>
          <w:szCs w:val="10"/>
        </w:rPr>
        <w:t>3.3. Razón de cobertura de intereses: utilidad operacional dividida por los gastos de intereses.</w:t>
      </w:r>
    </w:p>
    <w:p w14:paraId="65D2A71A" w14:textId="77777777" w:rsidR="00EC2D8E" w:rsidRPr="000D63F4" w:rsidRDefault="00EC2D8E" w:rsidP="00EC2D8E">
      <w:pPr>
        <w:pStyle w:val="Textonotapie"/>
        <w:ind w:firstLine="567"/>
        <w:jc w:val="both"/>
        <w:rPr>
          <w:rFonts w:ascii="Verdana" w:hAnsi="Verdana"/>
          <w:sz w:val="10"/>
          <w:szCs w:val="10"/>
        </w:rPr>
      </w:pPr>
      <w:r w:rsidRPr="000D63F4">
        <w:rPr>
          <w:rFonts w:ascii="Verdana" w:hAnsi="Verdana"/>
          <w:sz w:val="10"/>
          <w:szCs w:val="10"/>
        </w:rPr>
        <w:t>4. Capacidad Organizacional – los siguientes indicadores miden el rendimiento de las inversiones y la eficiencia en el uso de activos del interesado:</w:t>
      </w:r>
    </w:p>
    <w:p w14:paraId="5D617153" w14:textId="77777777" w:rsidR="00EC2D8E" w:rsidRPr="000D63F4" w:rsidRDefault="00EC2D8E" w:rsidP="00EC2D8E">
      <w:pPr>
        <w:pStyle w:val="Textonotapie"/>
        <w:ind w:firstLine="567"/>
        <w:jc w:val="both"/>
        <w:rPr>
          <w:rFonts w:ascii="Verdana" w:hAnsi="Verdana"/>
          <w:sz w:val="10"/>
          <w:szCs w:val="10"/>
        </w:rPr>
      </w:pPr>
      <w:r w:rsidRPr="000D63F4">
        <w:rPr>
          <w:rFonts w:ascii="Verdana" w:hAnsi="Verdana"/>
          <w:sz w:val="10"/>
          <w:szCs w:val="10"/>
        </w:rPr>
        <w:t>4.1. Rentabilidad del patrimonio: utilidad operacional dividida por el patrimonio.</w:t>
      </w:r>
    </w:p>
    <w:p w14:paraId="7E457808" w14:textId="77777777" w:rsidR="00EC2D8E" w:rsidRPr="000D63F4" w:rsidRDefault="00EC2D8E" w:rsidP="00EC2D8E">
      <w:pPr>
        <w:pStyle w:val="Textonotapie"/>
        <w:ind w:firstLine="567"/>
        <w:jc w:val="both"/>
        <w:rPr>
          <w:rFonts w:ascii="Verdana" w:hAnsi="Verdana"/>
          <w:sz w:val="10"/>
          <w:szCs w:val="10"/>
          <w:lang w:val="es-CO"/>
        </w:rPr>
      </w:pPr>
      <w:r w:rsidRPr="000D63F4">
        <w:rPr>
          <w:rFonts w:ascii="Verdana" w:hAnsi="Verdana"/>
          <w:sz w:val="10"/>
          <w:szCs w:val="10"/>
        </w:rPr>
        <w:t>4.2. Rentabilidad del activo: utilidad operacional dividida por el activo total”.</w:t>
      </w:r>
    </w:p>
  </w:footnote>
  <w:footnote w:id="6">
    <w:p w14:paraId="4A1AC6EA" w14:textId="77777777" w:rsidR="00EC2D8E" w:rsidRPr="000D63F4" w:rsidRDefault="00EC2D8E" w:rsidP="00EC2D8E">
      <w:pPr>
        <w:pStyle w:val="Textonotapie"/>
        <w:ind w:firstLine="567"/>
        <w:jc w:val="both"/>
        <w:rPr>
          <w:rFonts w:ascii="Verdana" w:hAnsi="Verdana"/>
          <w:sz w:val="10"/>
          <w:szCs w:val="10"/>
          <w:lang w:val="es-CO"/>
        </w:rPr>
      </w:pPr>
      <w:r w:rsidRPr="000D63F4">
        <w:rPr>
          <w:rStyle w:val="Refdenotaalpie"/>
          <w:rFonts w:ascii="Verdana" w:hAnsi="Verdana"/>
          <w:sz w:val="10"/>
          <w:szCs w:val="10"/>
        </w:rPr>
        <w:footnoteRef/>
      </w:r>
      <w:r w:rsidRPr="000D63F4">
        <w:rPr>
          <w:rFonts w:ascii="Verdana" w:hAnsi="Verdana"/>
          <w:sz w:val="10"/>
          <w:szCs w:val="10"/>
        </w:rPr>
        <w:t xml:space="preserve">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1" type="#_x0000_t75" style="width:11.1pt;height:11.1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87C73"/>
    <w:multiLevelType w:val="multilevel"/>
    <w:tmpl w:val="579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1527063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25D3F"/>
    <w:rsid w:val="00035BD4"/>
    <w:rsid w:val="00046945"/>
    <w:rsid w:val="00061B2A"/>
    <w:rsid w:val="00066D14"/>
    <w:rsid w:val="00082362"/>
    <w:rsid w:val="00082805"/>
    <w:rsid w:val="000A683E"/>
    <w:rsid w:val="000B19B9"/>
    <w:rsid w:val="000C20FE"/>
    <w:rsid w:val="000D0334"/>
    <w:rsid w:val="000D63F4"/>
    <w:rsid w:val="000F6486"/>
    <w:rsid w:val="00125105"/>
    <w:rsid w:val="00127233"/>
    <w:rsid w:val="001511A0"/>
    <w:rsid w:val="00175E40"/>
    <w:rsid w:val="00185245"/>
    <w:rsid w:val="001E224C"/>
    <w:rsid w:val="001E4177"/>
    <w:rsid w:val="001F3F26"/>
    <w:rsid w:val="001F7DC6"/>
    <w:rsid w:val="00201B20"/>
    <w:rsid w:val="00220FB0"/>
    <w:rsid w:val="002421BB"/>
    <w:rsid w:val="0025796E"/>
    <w:rsid w:val="002707A2"/>
    <w:rsid w:val="002951A0"/>
    <w:rsid w:val="002962BC"/>
    <w:rsid w:val="002A093D"/>
    <w:rsid w:val="002A0DD0"/>
    <w:rsid w:val="002A49AC"/>
    <w:rsid w:val="002A64FD"/>
    <w:rsid w:val="002B2D53"/>
    <w:rsid w:val="002C7A84"/>
    <w:rsid w:val="002E4FD9"/>
    <w:rsid w:val="002F5104"/>
    <w:rsid w:val="00322A85"/>
    <w:rsid w:val="00324168"/>
    <w:rsid w:val="00337757"/>
    <w:rsid w:val="003448F4"/>
    <w:rsid w:val="00357E71"/>
    <w:rsid w:val="00374F5E"/>
    <w:rsid w:val="00377E3E"/>
    <w:rsid w:val="0038409F"/>
    <w:rsid w:val="00392DD4"/>
    <w:rsid w:val="003A779E"/>
    <w:rsid w:val="003D0F4D"/>
    <w:rsid w:val="003D46C1"/>
    <w:rsid w:val="003D5B0D"/>
    <w:rsid w:val="003E0499"/>
    <w:rsid w:val="003F3941"/>
    <w:rsid w:val="00406575"/>
    <w:rsid w:val="00414C74"/>
    <w:rsid w:val="00423302"/>
    <w:rsid w:val="0042722E"/>
    <w:rsid w:val="0044528D"/>
    <w:rsid w:val="004A1847"/>
    <w:rsid w:val="004A305D"/>
    <w:rsid w:val="004D6ABB"/>
    <w:rsid w:val="004E727D"/>
    <w:rsid w:val="004E798E"/>
    <w:rsid w:val="004F21C4"/>
    <w:rsid w:val="004F685F"/>
    <w:rsid w:val="00517A4A"/>
    <w:rsid w:val="005566E8"/>
    <w:rsid w:val="00574867"/>
    <w:rsid w:val="00591460"/>
    <w:rsid w:val="005B3816"/>
    <w:rsid w:val="005C3777"/>
    <w:rsid w:val="005C5CDC"/>
    <w:rsid w:val="005D476C"/>
    <w:rsid w:val="00611899"/>
    <w:rsid w:val="006219F8"/>
    <w:rsid w:val="00665D70"/>
    <w:rsid w:val="006900D9"/>
    <w:rsid w:val="006B2A63"/>
    <w:rsid w:val="006C27E0"/>
    <w:rsid w:val="006D2583"/>
    <w:rsid w:val="006E03FC"/>
    <w:rsid w:val="00706C16"/>
    <w:rsid w:val="00711E5E"/>
    <w:rsid w:val="007205E7"/>
    <w:rsid w:val="00756841"/>
    <w:rsid w:val="00760F00"/>
    <w:rsid w:val="007649AB"/>
    <w:rsid w:val="00771D0C"/>
    <w:rsid w:val="007833AC"/>
    <w:rsid w:val="007B268C"/>
    <w:rsid w:val="007B7171"/>
    <w:rsid w:val="007C0C0F"/>
    <w:rsid w:val="007C3DC2"/>
    <w:rsid w:val="007E5497"/>
    <w:rsid w:val="00806F5F"/>
    <w:rsid w:val="00820278"/>
    <w:rsid w:val="00836653"/>
    <w:rsid w:val="00867F95"/>
    <w:rsid w:val="008843B6"/>
    <w:rsid w:val="00891928"/>
    <w:rsid w:val="008A446D"/>
    <w:rsid w:val="008D180B"/>
    <w:rsid w:val="008D28F2"/>
    <w:rsid w:val="008F0EA7"/>
    <w:rsid w:val="008F7A37"/>
    <w:rsid w:val="00923EEF"/>
    <w:rsid w:val="009419F9"/>
    <w:rsid w:val="0095685E"/>
    <w:rsid w:val="00961B09"/>
    <w:rsid w:val="00965334"/>
    <w:rsid w:val="0096664C"/>
    <w:rsid w:val="0097093E"/>
    <w:rsid w:val="00986AC5"/>
    <w:rsid w:val="009971E2"/>
    <w:rsid w:val="009A0DFA"/>
    <w:rsid w:val="009B04CB"/>
    <w:rsid w:val="009B2D26"/>
    <w:rsid w:val="009C71FA"/>
    <w:rsid w:val="009C72E7"/>
    <w:rsid w:val="009D3058"/>
    <w:rsid w:val="009F3A13"/>
    <w:rsid w:val="009F7F07"/>
    <w:rsid w:val="00A122D3"/>
    <w:rsid w:val="00A17F13"/>
    <w:rsid w:val="00A20739"/>
    <w:rsid w:val="00A33C78"/>
    <w:rsid w:val="00A3655F"/>
    <w:rsid w:val="00A71890"/>
    <w:rsid w:val="00A85E65"/>
    <w:rsid w:val="00A96178"/>
    <w:rsid w:val="00AB0ADB"/>
    <w:rsid w:val="00AC55E1"/>
    <w:rsid w:val="00AC60EA"/>
    <w:rsid w:val="00B01B1A"/>
    <w:rsid w:val="00B25665"/>
    <w:rsid w:val="00B563C9"/>
    <w:rsid w:val="00B66319"/>
    <w:rsid w:val="00B72CD3"/>
    <w:rsid w:val="00B72FFF"/>
    <w:rsid w:val="00B97A35"/>
    <w:rsid w:val="00BC3598"/>
    <w:rsid w:val="00BC3D36"/>
    <w:rsid w:val="00BD7F72"/>
    <w:rsid w:val="00C01E37"/>
    <w:rsid w:val="00C04FB3"/>
    <w:rsid w:val="00C078F4"/>
    <w:rsid w:val="00C118B9"/>
    <w:rsid w:val="00C330EB"/>
    <w:rsid w:val="00C41061"/>
    <w:rsid w:val="00C754BE"/>
    <w:rsid w:val="00C76B1C"/>
    <w:rsid w:val="00CB6357"/>
    <w:rsid w:val="00CB7395"/>
    <w:rsid w:val="00CC1B26"/>
    <w:rsid w:val="00CC7844"/>
    <w:rsid w:val="00CD79D0"/>
    <w:rsid w:val="00D06B5A"/>
    <w:rsid w:val="00D32D08"/>
    <w:rsid w:val="00D34F5D"/>
    <w:rsid w:val="00D423A2"/>
    <w:rsid w:val="00D44EDA"/>
    <w:rsid w:val="00D451A2"/>
    <w:rsid w:val="00D520D8"/>
    <w:rsid w:val="00D52571"/>
    <w:rsid w:val="00D63AC2"/>
    <w:rsid w:val="00D7383B"/>
    <w:rsid w:val="00D87547"/>
    <w:rsid w:val="00DA231B"/>
    <w:rsid w:val="00DC39FC"/>
    <w:rsid w:val="00DC68B8"/>
    <w:rsid w:val="00DD2514"/>
    <w:rsid w:val="00DE0C00"/>
    <w:rsid w:val="00DF5254"/>
    <w:rsid w:val="00DF69B6"/>
    <w:rsid w:val="00E1063B"/>
    <w:rsid w:val="00E16408"/>
    <w:rsid w:val="00E20894"/>
    <w:rsid w:val="00E245AB"/>
    <w:rsid w:val="00E2764C"/>
    <w:rsid w:val="00E27F2E"/>
    <w:rsid w:val="00E50AFE"/>
    <w:rsid w:val="00E56548"/>
    <w:rsid w:val="00E75C92"/>
    <w:rsid w:val="00E771DC"/>
    <w:rsid w:val="00E8772A"/>
    <w:rsid w:val="00E90F6B"/>
    <w:rsid w:val="00E92C27"/>
    <w:rsid w:val="00EA0E3D"/>
    <w:rsid w:val="00EC2D8E"/>
    <w:rsid w:val="00EC38A7"/>
    <w:rsid w:val="00ED7384"/>
    <w:rsid w:val="00EE1AA8"/>
    <w:rsid w:val="00F31EDC"/>
    <w:rsid w:val="00F462B3"/>
    <w:rsid w:val="00F5664F"/>
    <w:rsid w:val="00F666C4"/>
    <w:rsid w:val="00F76AFC"/>
    <w:rsid w:val="00FA47C0"/>
    <w:rsid w:val="00FB5DD1"/>
    <w:rsid w:val="00FC2B5D"/>
    <w:rsid w:val="00FC5752"/>
    <w:rsid w:val="00FF1449"/>
    <w:rsid w:val="2E407A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6C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C2D8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C2D8E"/>
    <w:rPr>
      <w:rFonts w:ascii="Geomanist Light" w:hAnsi="Geomanist Light"/>
      <w:lang w:val="es-ES"/>
    </w:rPr>
  </w:style>
  <w:style w:type="character" w:styleId="Refdecomentario">
    <w:name w:val="annotation reference"/>
    <w:basedOn w:val="Fuentedeprrafopredeter"/>
    <w:uiPriority w:val="99"/>
    <w:semiHidden/>
    <w:unhideWhenUsed/>
    <w:rsid w:val="00CD79D0"/>
    <w:rPr>
      <w:sz w:val="16"/>
      <w:szCs w:val="16"/>
    </w:rPr>
  </w:style>
  <w:style w:type="paragraph" w:styleId="Textocomentario">
    <w:name w:val="annotation text"/>
    <w:basedOn w:val="Normal"/>
    <w:link w:val="TextocomentarioCar"/>
    <w:uiPriority w:val="99"/>
    <w:unhideWhenUsed/>
    <w:rsid w:val="00CD79D0"/>
    <w:pPr>
      <w:spacing w:line="240" w:lineRule="auto"/>
    </w:pPr>
    <w:rPr>
      <w:sz w:val="20"/>
      <w:szCs w:val="20"/>
    </w:rPr>
  </w:style>
  <w:style w:type="character" w:customStyle="1" w:styleId="TextocomentarioCar">
    <w:name w:val="Texto comentario Car"/>
    <w:basedOn w:val="Fuentedeprrafopredeter"/>
    <w:link w:val="Textocomentario"/>
    <w:uiPriority w:val="99"/>
    <w:rsid w:val="00CD79D0"/>
    <w:rPr>
      <w:sz w:val="20"/>
      <w:szCs w:val="20"/>
    </w:rPr>
  </w:style>
  <w:style w:type="paragraph" w:styleId="Asuntodelcomentario">
    <w:name w:val="annotation subject"/>
    <w:basedOn w:val="Textocomentario"/>
    <w:next w:val="Textocomentario"/>
    <w:link w:val="AsuntodelcomentarioCar"/>
    <w:uiPriority w:val="99"/>
    <w:semiHidden/>
    <w:unhideWhenUsed/>
    <w:rsid w:val="00CD79D0"/>
    <w:rPr>
      <w:b/>
      <w:bCs/>
    </w:rPr>
  </w:style>
  <w:style w:type="character" w:customStyle="1" w:styleId="AsuntodelcomentarioCar">
    <w:name w:val="Asunto del comentario Car"/>
    <w:basedOn w:val="TextocomentarioCar"/>
    <w:link w:val="Asuntodelcomentario"/>
    <w:uiPriority w:val="99"/>
    <w:semiHidden/>
    <w:rsid w:val="00CD79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92135">
      <w:bodyDiv w:val="1"/>
      <w:marLeft w:val="0"/>
      <w:marRight w:val="0"/>
      <w:marTop w:val="0"/>
      <w:marBottom w:val="0"/>
      <w:divBdr>
        <w:top w:val="none" w:sz="0" w:space="0" w:color="auto"/>
        <w:left w:val="none" w:sz="0" w:space="0" w:color="auto"/>
        <w:bottom w:val="none" w:sz="0" w:space="0" w:color="auto"/>
        <w:right w:val="none" w:sz="0" w:space="0" w:color="auto"/>
      </w:divBdr>
      <w:divsChild>
        <w:div w:id="146636325">
          <w:marLeft w:val="0"/>
          <w:marRight w:val="0"/>
          <w:marTop w:val="0"/>
          <w:marBottom w:val="160"/>
          <w:divBdr>
            <w:top w:val="none" w:sz="0" w:space="0" w:color="auto"/>
            <w:left w:val="none" w:sz="0" w:space="0" w:color="auto"/>
            <w:bottom w:val="none" w:sz="0" w:space="0" w:color="auto"/>
            <w:right w:val="none" w:sz="0" w:space="0" w:color="auto"/>
          </w:divBdr>
        </w:div>
        <w:div w:id="303630586">
          <w:marLeft w:val="0"/>
          <w:marRight w:val="0"/>
          <w:marTop w:val="0"/>
          <w:marBottom w:val="0"/>
          <w:divBdr>
            <w:top w:val="none" w:sz="0" w:space="0" w:color="auto"/>
            <w:left w:val="none" w:sz="0" w:space="0" w:color="auto"/>
            <w:bottom w:val="none" w:sz="0" w:space="0" w:color="auto"/>
            <w:right w:val="none" w:sz="0" w:space="0" w:color="auto"/>
          </w:divBdr>
        </w:div>
        <w:div w:id="1755661637">
          <w:marLeft w:val="0"/>
          <w:marRight w:val="0"/>
          <w:marTop w:val="0"/>
          <w:marBottom w:val="0"/>
          <w:divBdr>
            <w:top w:val="none" w:sz="0" w:space="0" w:color="auto"/>
            <w:left w:val="none" w:sz="0" w:space="0" w:color="auto"/>
            <w:bottom w:val="none" w:sz="0" w:space="0" w:color="auto"/>
            <w:right w:val="none" w:sz="0" w:space="0" w:color="auto"/>
          </w:divBdr>
        </w:div>
      </w:divsChild>
    </w:div>
    <w:div w:id="616184329">
      <w:bodyDiv w:val="1"/>
      <w:marLeft w:val="0"/>
      <w:marRight w:val="0"/>
      <w:marTop w:val="0"/>
      <w:marBottom w:val="0"/>
      <w:divBdr>
        <w:top w:val="none" w:sz="0" w:space="0" w:color="auto"/>
        <w:left w:val="none" w:sz="0" w:space="0" w:color="auto"/>
        <w:bottom w:val="none" w:sz="0" w:space="0" w:color="auto"/>
        <w:right w:val="none" w:sz="0" w:space="0" w:color="auto"/>
      </w:divBdr>
      <w:divsChild>
        <w:div w:id="1118718107">
          <w:marLeft w:val="0"/>
          <w:marRight w:val="0"/>
          <w:marTop w:val="0"/>
          <w:marBottom w:val="160"/>
          <w:divBdr>
            <w:top w:val="none" w:sz="0" w:space="0" w:color="auto"/>
            <w:left w:val="none" w:sz="0" w:space="0" w:color="auto"/>
            <w:bottom w:val="none" w:sz="0" w:space="0" w:color="auto"/>
            <w:right w:val="none" w:sz="0" w:space="0" w:color="auto"/>
          </w:divBdr>
        </w:div>
        <w:div w:id="1915510121">
          <w:marLeft w:val="0"/>
          <w:marRight w:val="0"/>
          <w:marTop w:val="0"/>
          <w:marBottom w:val="0"/>
          <w:divBdr>
            <w:top w:val="none" w:sz="0" w:space="0" w:color="auto"/>
            <w:left w:val="none" w:sz="0" w:space="0" w:color="auto"/>
            <w:bottom w:val="none" w:sz="0" w:space="0" w:color="auto"/>
            <w:right w:val="none" w:sz="0" w:space="0" w:color="auto"/>
          </w:divBdr>
        </w:div>
        <w:div w:id="2061442563">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32262890">
      <w:bodyDiv w:val="1"/>
      <w:marLeft w:val="0"/>
      <w:marRight w:val="0"/>
      <w:marTop w:val="0"/>
      <w:marBottom w:val="0"/>
      <w:divBdr>
        <w:top w:val="none" w:sz="0" w:space="0" w:color="auto"/>
        <w:left w:val="none" w:sz="0" w:space="0" w:color="auto"/>
        <w:bottom w:val="none" w:sz="0" w:space="0" w:color="auto"/>
        <w:right w:val="none" w:sz="0" w:space="0" w:color="auto"/>
      </w:divBdr>
    </w:div>
    <w:div w:id="1126237934">
      <w:bodyDiv w:val="1"/>
      <w:marLeft w:val="0"/>
      <w:marRight w:val="0"/>
      <w:marTop w:val="0"/>
      <w:marBottom w:val="0"/>
      <w:divBdr>
        <w:top w:val="none" w:sz="0" w:space="0" w:color="auto"/>
        <w:left w:val="none" w:sz="0" w:space="0" w:color="auto"/>
        <w:bottom w:val="none" w:sz="0" w:space="0" w:color="auto"/>
        <w:right w:val="none" w:sz="0" w:space="0" w:color="auto"/>
      </w:divBdr>
      <w:divsChild>
        <w:div w:id="462692888">
          <w:marLeft w:val="0"/>
          <w:marRight w:val="0"/>
          <w:marTop w:val="0"/>
          <w:marBottom w:val="160"/>
          <w:divBdr>
            <w:top w:val="none" w:sz="0" w:space="0" w:color="auto"/>
            <w:left w:val="none" w:sz="0" w:space="0" w:color="auto"/>
            <w:bottom w:val="none" w:sz="0" w:space="0" w:color="auto"/>
            <w:right w:val="none" w:sz="0" w:space="0" w:color="auto"/>
          </w:divBdr>
        </w:div>
        <w:div w:id="1146630259">
          <w:marLeft w:val="0"/>
          <w:marRight w:val="0"/>
          <w:marTop w:val="0"/>
          <w:marBottom w:val="0"/>
          <w:divBdr>
            <w:top w:val="none" w:sz="0" w:space="0" w:color="auto"/>
            <w:left w:val="none" w:sz="0" w:space="0" w:color="auto"/>
            <w:bottom w:val="none" w:sz="0" w:space="0" w:color="auto"/>
            <w:right w:val="none" w:sz="0" w:space="0" w:color="auto"/>
          </w:divBdr>
        </w:div>
        <w:div w:id="1251036798">
          <w:marLeft w:val="0"/>
          <w:marRight w:val="0"/>
          <w:marTop w:val="0"/>
          <w:marBottom w:val="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26139182">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32415176">
      <w:bodyDiv w:val="1"/>
      <w:marLeft w:val="0"/>
      <w:marRight w:val="0"/>
      <w:marTop w:val="0"/>
      <w:marBottom w:val="0"/>
      <w:divBdr>
        <w:top w:val="none" w:sz="0" w:space="0" w:color="auto"/>
        <w:left w:val="none" w:sz="0" w:space="0" w:color="auto"/>
        <w:bottom w:val="none" w:sz="0" w:space="0" w:color="auto"/>
        <w:right w:val="none" w:sz="0" w:space="0" w:color="auto"/>
      </w:divBdr>
      <w:divsChild>
        <w:div w:id="85856164">
          <w:marLeft w:val="0"/>
          <w:marRight w:val="0"/>
          <w:marTop w:val="0"/>
          <w:marBottom w:val="0"/>
          <w:divBdr>
            <w:top w:val="none" w:sz="0" w:space="0" w:color="auto"/>
            <w:left w:val="none" w:sz="0" w:space="0" w:color="auto"/>
            <w:bottom w:val="none" w:sz="0" w:space="0" w:color="auto"/>
            <w:right w:val="none" w:sz="0" w:space="0" w:color="auto"/>
          </w:divBdr>
        </w:div>
        <w:div w:id="304285365">
          <w:marLeft w:val="0"/>
          <w:marRight w:val="0"/>
          <w:marTop w:val="0"/>
          <w:marBottom w:val="0"/>
          <w:divBdr>
            <w:top w:val="none" w:sz="0" w:space="0" w:color="auto"/>
            <w:left w:val="none" w:sz="0" w:space="0" w:color="auto"/>
            <w:bottom w:val="none" w:sz="0" w:space="0" w:color="auto"/>
            <w:right w:val="none" w:sz="0" w:space="0" w:color="auto"/>
          </w:divBdr>
        </w:div>
        <w:div w:id="1084494140">
          <w:marLeft w:val="0"/>
          <w:marRight w:val="0"/>
          <w:marTop w:val="0"/>
          <w:marBottom w:val="160"/>
          <w:divBdr>
            <w:top w:val="none" w:sz="0" w:space="0" w:color="auto"/>
            <w:left w:val="none" w:sz="0" w:space="0" w:color="auto"/>
            <w:bottom w:val="none" w:sz="0" w:space="0" w:color="auto"/>
            <w:right w:val="none" w:sz="0" w:space="0" w:color="auto"/>
          </w:divBdr>
        </w:div>
      </w:divsChild>
    </w:div>
    <w:div w:id="1439374186">
      <w:bodyDiv w:val="1"/>
      <w:marLeft w:val="0"/>
      <w:marRight w:val="0"/>
      <w:marTop w:val="0"/>
      <w:marBottom w:val="0"/>
      <w:divBdr>
        <w:top w:val="none" w:sz="0" w:space="0" w:color="auto"/>
        <w:left w:val="none" w:sz="0" w:space="0" w:color="auto"/>
        <w:bottom w:val="none" w:sz="0" w:space="0" w:color="auto"/>
        <w:right w:val="none" w:sz="0" w:space="0" w:color="auto"/>
      </w:divBdr>
      <w:divsChild>
        <w:div w:id="269625068">
          <w:marLeft w:val="0"/>
          <w:marRight w:val="0"/>
          <w:marTop w:val="0"/>
          <w:marBottom w:val="0"/>
          <w:divBdr>
            <w:top w:val="none" w:sz="0" w:space="0" w:color="auto"/>
            <w:left w:val="none" w:sz="0" w:space="0" w:color="auto"/>
            <w:bottom w:val="none" w:sz="0" w:space="0" w:color="auto"/>
            <w:right w:val="none" w:sz="0" w:space="0" w:color="auto"/>
          </w:divBdr>
        </w:div>
        <w:div w:id="315257336">
          <w:marLeft w:val="0"/>
          <w:marRight w:val="0"/>
          <w:marTop w:val="0"/>
          <w:marBottom w:val="160"/>
          <w:divBdr>
            <w:top w:val="none" w:sz="0" w:space="0" w:color="auto"/>
            <w:left w:val="none" w:sz="0" w:space="0" w:color="auto"/>
            <w:bottom w:val="none" w:sz="0" w:space="0" w:color="auto"/>
            <w:right w:val="none" w:sz="0" w:space="0" w:color="auto"/>
          </w:divBdr>
        </w:div>
        <w:div w:id="834958229">
          <w:marLeft w:val="0"/>
          <w:marRight w:val="0"/>
          <w:marTop w:val="0"/>
          <w:marBottom w:val="0"/>
          <w:divBdr>
            <w:top w:val="none" w:sz="0" w:space="0" w:color="auto"/>
            <w:left w:val="none" w:sz="0" w:space="0" w:color="auto"/>
            <w:bottom w:val="none" w:sz="0" w:space="0" w:color="auto"/>
            <w:right w:val="none" w:sz="0" w:space="0" w:color="auto"/>
          </w:divBdr>
        </w:div>
      </w:divsChild>
    </w:div>
    <w:div w:id="1745181814">
      <w:bodyDiv w:val="1"/>
      <w:marLeft w:val="0"/>
      <w:marRight w:val="0"/>
      <w:marTop w:val="0"/>
      <w:marBottom w:val="0"/>
      <w:divBdr>
        <w:top w:val="none" w:sz="0" w:space="0" w:color="auto"/>
        <w:left w:val="none" w:sz="0" w:space="0" w:color="auto"/>
        <w:bottom w:val="none" w:sz="0" w:space="0" w:color="auto"/>
        <w:right w:val="none" w:sz="0" w:space="0" w:color="auto"/>
      </w:divBdr>
      <w:divsChild>
        <w:div w:id="74478501">
          <w:marLeft w:val="0"/>
          <w:marRight w:val="0"/>
          <w:marTop w:val="0"/>
          <w:marBottom w:val="160"/>
          <w:divBdr>
            <w:top w:val="none" w:sz="0" w:space="0" w:color="auto"/>
            <w:left w:val="none" w:sz="0" w:space="0" w:color="auto"/>
            <w:bottom w:val="none" w:sz="0" w:space="0" w:color="auto"/>
            <w:right w:val="none" w:sz="0" w:space="0" w:color="auto"/>
          </w:divBdr>
        </w:div>
        <w:div w:id="474761878">
          <w:marLeft w:val="0"/>
          <w:marRight w:val="0"/>
          <w:marTop w:val="0"/>
          <w:marBottom w:val="0"/>
          <w:divBdr>
            <w:top w:val="none" w:sz="0" w:space="0" w:color="auto"/>
            <w:left w:val="none" w:sz="0" w:space="0" w:color="auto"/>
            <w:bottom w:val="none" w:sz="0" w:space="0" w:color="auto"/>
            <w:right w:val="none" w:sz="0" w:space="0" w:color="auto"/>
          </w:divBdr>
        </w:div>
        <w:div w:id="794712932">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decreto-1082-de-2015/" TargetMode="External"/><Relationship Id="rId18" Type="http://schemas.openxmlformats.org/officeDocument/2006/relationships/hyperlink" Target="https://nam02.safelinks.protection.outlook.com/?url=https%3A%2F%2Fwww.colombiacompra.gov.co%2Fmanuales-guias-y-pliegos-tipo%2Fmanuales-y-guias%2Fguia-de-contratacion-publica-sostenible-y-socialmente&amp;data=05%7C02%7Cximena.rios%40colombiacompra.gov.co%7Cb18b651bca3a4eb8eab008dd269b400d%7C7b09041e245149d08cb179d5e3d8c1be%7C0%7C0%7C638709170415983506%7CUnknown%7CTWFpbGZsb3d8eyJFbXB0eU1hcGkiOnRydWUsIlYiOiIwLjAuMDAwMCIsIlAiOiJXaW4zMiIsIkFOIjoiTWFpbCIsIldUIjoyfQ%3D%3D%7C0%7C%7C%7C&amp;sdata=ZkYtrHLF1bazAWxOaabSxGDAKfkMszgd6IHkLr4Zmac%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latoria.colombiacompra.gov.co/normativa/ley-1150-de-2007/" TargetMode="External"/><Relationship Id="rId17" Type="http://schemas.openxmlformats.org/officeDocument/2006/relationships/hyperlink" Target="https://nam02.safelinks.protection.outlook.com/?url=https%3A%2F%2Fwww.colombiacompra.gov.co%2Fcontent%2F02-documentos-tipo-para-los-procesos-de-seleccion-de-consultoria-de-obra-publica-de&amp;data=05%7C02%7Cximena.rios%40colombiacompra.gov.co%7Cb18b651bca3a4eb8eab008dd269b400d%7C7b09041e245149d08cb179d5e3d8c1be%7C0%7C0%7C638709170415968117%7CUnknown%7CTWFpbGZsb3d8eyJFbXB0eU1hcGkiOnRydWUsIlYiOiIwLjAuMDAwMCIsIlAiOiJXaW4zMiIsIkFOIjoiTWFpbCIsIldUIjoyfQ%3D%3D%7C0%7C%7C%7C&amp;sdata=Gvl%2Bp%2FTQ3k%2FE2H%2BHJic7EseWWuocXUihRhj9K%2BVHea8%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03-documentos-tipo-para-los-procesos-de-seleccion-de-interventoria-de-obra-publica-de&amp;data=05%7C02%7Cximena.rios%40colombiacompra.gov.co%7Cb18b651bca3a4eb8eab008dd269b400d%7C7b09041e245149d08cb179d5e3d8c1be%7C0%7C0%7C638709170415946237%7CUnknown%7CTWFpbGZsb3d8eyJFbXB0eU1hcGkiOnRydWUsIlYiOiIwLjAuMDAwMCIsIlAiOiJXaW4zMiIsIkFOIjoiTWFpbCIsIldUIjoyfQ%3D%3D%7C0%7C%7C%7C&amp;sdata=1GvI7Yx0JQEIwIykRXFLZSiX4GHDOPkOEMS66ET3er0%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vandariog@hotmail.com" TargetMode="Externa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lombiacompra.gov.co/sites/cce_public/files/cce_documents/cce-eicp-ma-04._manual_requisitos_habilitantes_v3_29-09-2023.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E28F426E-F199-46F0-843B-5B17022DE2CA}"/>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b531b13d-89bf-4629-be1e-22fdf3dd34d4"/>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3910</Words>
  <Characters>21511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25371</CharactersWithSpaces>
  <SharedDoc>false</SharedDoc>
  <HLinks>
    <vt:vector size="48" baseType="variant">
      <vt:variant>
        <vt:i4>7995502</vt:i4>
      </vt:variant>
      <vt:variant>
        <vt:i4>21</vt:i4>
      </vt:variant>
      <vt:variant>
        <vt:i4>0</vt:i4>
      </vt:variant>
      <vt:variant>
        <vt:i4>5</vt:i4>
      </vt:variant>
      <vt:variant>
        <vt:lpwstr>https://nam02.safelinks.protection.outlook.com/?url=https%3A%2F%2Fwww.colombiacompra.gov.co%2Fmanuales-guias-y-pliegos-tipo%2Fmanuales-y-guias%2Fguia-de-contratacion-publica-sostenible-y-socialmente&amp;data=05%7C02%7Cximena.rios%40colombiacompra.gov.co%7Cb18b651bca3a4eb8eab008dd269b400d%7C7b09041e245149d08cb179d5e3d8c1be%7C0%7C0%7C638709170415983506%7CUnknown%7CTWFpbGZsb3d8eyJFbXB0eU1hcGkiOnRydWUsIlYiOiIwLjAuMDAwMCIsIlAiOiJXaW4zMiIsIkFOIjoiTWFpbCIsIldUIjoyfQ%3D%3D%7C0%7C%7C%7C&amp;sdata=ZkYtrHLF1bazAWxOaabSxGDAKfkMszgd6IHkLr4Zmac%3D&amp;reserved=0</vt:lpwstr>
      </vt:variant>
      <vt:variant>
        <vt:lpwstr/>
      </vt:variant>
      <vt:variant>
        <vt:i4>2621548</vt:i4>
      </vt:variant>
      <vt:variant>
        <vt:i4>18</vt:i4>
      </vt:variant>
      <vt:variant>
        <vt:i4>0</vt:i4>
      </vt:variant>
      <vt:variant>
        <vt:i4>5</vt:i4>
      </vt:variant>
      <vt:variant>
        <vt:lpwstr>https://nam02.safelinks.protection.outlook.com/?url=https%3A%2F%2Fwww.colombiacompra.gov.co%2Fcontent%2F02-documentos-tipo-para-los-procesos-de-seleccion-de-consultoria-de-obra-publica-de&amp;data=05%7C02%7Cximena.rios%40colombiacompra.gov.co%7Cb18b651bca3a4eb8eab008dd269b400d%7C7b09041e245149d08cb179d5e3d8c1be%7C0%7C0%7C638709170415968117%7CUnknown%7CTWFpbGZsb3d8eyJFbXB0eU1hcGkiOnRydWUsIlYiOiIwLjAuMDAwMCIsIlAiOiJXaW4zMiIsIkFOIjoiTWFpbCIsIldUIjoyfQ%3D%3D%7C0%7C%7C%7C&amp;sdata=Gvl%2Bp%2FTQ3k%2FE2H%2BHJic7EseWWuocXUihRhj9K%2BVHea8%3D&amp;reserved=0</vt:lpwstr>
      </vt:variant>
      <vt:variant>
        <vt:lpwstr/>
      </vt:variant>
      <vt:variant>
        <vt:i4>7274606</vt:i4>
      </vt:variant>
      <vt:variant>
        <vt:i4>15</vt:i4>
      </vt:variant>
      <vt:variant>
        <vt:i4>0</vt:i4>
      </vt:variant>
      <vt:variant>
        <vt:i4>5</vt:i4>
      </vt:variant>
      <vt:variant>
        <vt:lpwstr>https://nam02.safelinks.protection.outlook.com/?url=https%3A%2F%2Fwww.colombiacompra.gov.co%2Fcontent%2F03-documentos-tipo-para-los-procesos-de-seleccion-de-interventoria-de-obra-publica-de&amp;data=05%7C02%7Cximena.rios%40colombiacompra.gov.co%7Cb18b651bca3a4eb8eab008dd269b400d%7C7b09041e245149d08cb179d5e3d8c1be%7C0%7C0%7C638709170415946237%7CUnknown%7CTWFpbGZsb3d8eyJFbXB0eU1hcGkiOnRydWUsIlYiOiIwLjAuMDAwMCIsIlAiOiJXaW4zMiIsIkFOIjoiTWFpbCIsIldUIjoyfQ%3D%3D%7C0%7C%7C%7C&amp;sdata=1GvI7Yx0JQEIwIykRXFLZSiX4GHDOPkOEMS66ET3er0%3D&amp;reserved=0</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5111908</vt:i4>
      </vt:variant>
      <vt:variant>
        <vt:i4>9</vt:i4>
      </vt:variant>
      <vt:variant>
        <vt:i4>0</vt:i4>
      </vt:variant>
      <vt:variant>
        <vt:i4>5</vt:i4>
      </vt:variant>
      <vt:variant>
        <vt:lpwstr>https://colombiacompra.gov.co/sites/cce_public/files/cce_documents/cce-eicp-ma-04._manual_requisitos_habilitantes_v3_29-09-2023.pdf</vt:lpwstr>
      </vt:variant>
      <vt:variant>
        <vt:lpwstr/>
      </vt:variant>
      <vt:variant>
        <vt:i4>3276916</vt:i4>
      </vt:variant>
      <vt:variant>
        <vt:i4>6</vt:i4>
      </vt:variant>
      <vt:variant>
        <vt:i4>0</vt:i4>
      </vt:variant>
      <vt:variant>
        <vt:i4>5</vt:i4>
      </vt:variant>
      <vt:variant>
        <vt:lpwstr>https://relatoria.colombiacompra.gov.co/normativa/decreto-1082-de-2015/</vt:lpwstr>
      </vt:variant>
      <vt:variant>
        <vt:lpwstr/>
      </vt:variant>
      <vt:variant>
        <vt:i4>3473504</vt:i4>
      </vt:variant>
      <vt:variant>
        <vt:i4>3</vt:i4>
      </vt:variant>
      <vt:variant>
        <vt:i4>0</vt:i4>
      </vt:variant>
      <vt:variant>
        <vt:i4>5</vt:i4>
      </vt:variant>
      <vt:variant>
        <vt:lpwstr>https://relatoria.colombiacompra.gov.co/normativa/ley-1150-de-2007/</vt:lpwstr>
      </vt:variant>
      <vt:variant>
        <vt:lpwstr/>
      </vt:variant>
      <vt:variant>
        <vt:i4>7929935</vt:i4>
      </vt:variant>
      <vt:variant>
        <vt:i4>0</vt:i4>
      </vt:variant>
      <vt:variant>
        <vt:i4>0</vt:i4>
      </vt:variant>
      <vt:variant>
        <vt:i4>5</vt:i4>
      </vt:variant>
      <vt:variant>
        <vt:lpwstr>mailto:ivandariog@hotmail.com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4</cp:revision>
  <cp:lastPrinted>2023-01-10T21:18:00Z</cp:lastPrinted>
  <dcterms:created xsi:type="dcterms:W3CDTF">2025-01-30T19:25:00Z</dcterms:created>
  <dcterms:modified xsi:type="dcterms:W3CDTF">2025-01-31T13:51:00Z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