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EA4F" w14:textId="77777777" w:rsidR="00AA1ED1" w:rsidRDefault="00AA1ED1" w:rsidP="00E245AB">
      <w:pPr>
        <w:spacing w:after="0"/>
        <w:rPr>
          <w:rFonts w:ascii="Verdana" w:hAnsi="Verdana"/>
        </w:rPr>
      </w:pPr>
      <w:bookmarkStart w:id="0" w:name="_Hlk143780582"/>
    </w:p>
    <w:p w14:paraId="2CF4C21F" w14:textId="77777777" w:rsidR="00AA1ED1" w:rsidRDefault="00AA1ED1" w:rsidP="00E245AB">
      <w:pPr>
        <w:spacing w:after="0"/>
        <w:rPr>
          <w:rFonts w:ascii="Verdana" w:hAnsi="Verdana"/>
        </w:rPr>
      </w:pPr>
    </w:p>
    <w:p w14:paraId="2B8FDEF5" w14:textId="6B90B2CF" w:rsidR="00B640FF" w:rsidRPr="00B640FF" w:rsidRDefault="00B640FF" w:rsidP="00B640FF">
      <w:pPr>
        <w:snapToGrid w:val="0"/>
        <w:spacing w:after="0" w:line="276" w:lineRule="auto"/>
        <w:jc w:val="both"/>
        <w:rPr>
          <w:rFonts w:ascii="Verdana" w:eastAsia="Calibri" w:hAnsi="Verdana" w:cs="Arial"/>
          <w:b/>
          <w:bCs/>
          <w:lang w:val="es-ES_tradnl" w:eastAsia="es-ES_tradnl"/>
        </w:rPr>
      </w:pPr>
      <w:r w:rsidRPr="00B640FF">
        <w:rPr>
          <w:rFonts w:ascii="Verdana" w:eastAsia="Calibri" w:hAnsi="Verdana" w:cs="Arial"/>
          <w:b/>
          <w:bCs/>
          <w:kern w:val="2"/>
          <w14:ligatures w14:val="standardContextual"/>
        </w:rPr>
        <w:t xml:space="preserve">CONTRATO DE CONSULTORIA </w:t>
      </w:r>
      <w:r w:rsidRPr="00B640FF">
        <w:rPr>
          <w:rFonts w:ascii="Verdana" w:eastAsia="Calibri" w:hAnsi="Verdana" w:cs="Arial"/>
          <w:b/>
          <w:bCs/>
          <w:lang w:val="es-ES_tradnl" w:eastAsia="es-ES_tradnl"/>
        </w:rPr>
        <w:t>–</w:t>
      </w:r>
      <w:r w:rsidRPr="00B640FF">
        <w:rPr>
          <w:rFonts w:ascii="Verdana" w:eastAsia="Calibri" w:hAnsi="Verdana" w:cs="Arial"/>
          <w:b/>
          <w:bCs/>
          <w:lang w:val="es-ES_tradnl" w:eastAsia="es-ES_tradnl"/>
        </w:rPr>
        <w:t xml:space="preserve"> Definición- Características</w:t>
      </w:r>
    </w:p>
    <w:p w14:paraId="15AB44C4" w14:textId="77777777" w:rsidR="00B640FF" w:rsidRPr="00B640FF" w:rsidRDefault="00B640FF" w:rsidP="00B640FF">
      <w:pPr>
        <w:snapToGrid w:val="0"/>
        <w:spacing w:after="0" w:line="276" w:lineRule="auto"/>
        <w:jc w:val="both"/>
        <w:rPr>
          <w:rFonts w:ascii="Verdana" w:eastAsia="Calibri" w:hAnsi="Verdana" w:cs="Arial"/>
          <w:kern w:val="2"/>
          <w14:ligatures w14:val="standardContextual"/>
        </w:rPr>
      </w:pPr>
    </w:p>
    <w:p w14:paraId="7CB337BB" w14:textId="49DC82B9" w:rsidR="00B640FF" w:rsidRDefault="00B640FF" w:rsidP="00B640FF">
      <w:pPr>
        <w:snapToGrid w:val="0"/>
        <w:spacing w:after="0" w:line="276" w:lineRule="auto"/>
        <w:jc w:val="both"/>
        <w:rPr>
          <w:rFonts w:ascii="Verdana" w:eastAsia="Calibri" w:hAnsi="Verdana" w:cs="Arial"/>
          <w:kern w:val="2"/>
          <w:sz w:val="20"/>
          <w:szCs w:val="20"/>
          <w14:ligatures w14:val="standardContextual"/>
        </w:rPr>
      </w:pPr>
      <w:r w:rsidRPr="00B640FF">
        <w:rPr>
          <w:rFonts w:ascii="Verdana" w:eastAsia="Calibri" w:hAnsi="Verdana" w:cs="Arial"/>
          <w:kern w:val="2"/>
          <w:sz w:val="20"/>
          <w:szCs w:val="20"/>
          <w14:ligatures w14:val="standardContextual"/>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F2EB210" w14:textId="77777777" w:rsidR="00B640FF" w:rsidRDefault="00B640FF" w:rsidP="00B640FF">
      <w:pPr>
        <w:snapToGrid w:val="0"/>
        <w:spacing w:after="0" w:line="276" w:lineRule="auto"/>
        <w:jc w:val="both"/>
        <w:rPr>
          <w:rFonts w:ascii="Verdana" w:eastAsia="Calibri" w:hAnsi="Verdana" w:cs="Arial"/>
          <w:kern w:val="2"/>
          <w:sz w:val="20"/>
          <w:szCs w:val="20"/>
          <w14:ligatures w14:val="standardContextual"/>
        </w:rPr>
      </w:pPr>
    </w:p>
    <w:p w14:paraId="48E65D57" w14:textId="2416FCDE" w:rsidR="00B640FF" w:rsidRPr="008728C7" w:rsidRDefault="008728C7" w:rsidP="00B640FF">
      <w:pPr>
        <w:snapToGrid w:val="0"/>
        <w:spacing w:after="0" w:line="276" w:lineRule="auto"/>
        <w:jc w:val="both"/>
        <w:rPr>
          <w:rFonts w:ascii="Verdana" w:eastAsia="Calibri" w:hAnsi="Verdana" w:cs="Arial"/>
          <w:b/>
          <w:bCs/>
          <w:kern w:val="2"/>
          <w:sz w:val="20"/>
          <w:szCs w:val="20"/>
          <w14:ligatures w14:val="standardContextual"/>
        </w:rPr>
      </w:pPr>
      <w:r w:rsidRPr="008728C7">
        <w:rPr>
          <w:rFonts w:ascii="Verdana" w:eastAsia="Calibri" w:hAnsi="Verdana" w:cs="Arial"/>
          <w:b/>
          <w:bCs/>
          <w:kern w:val="2"/>
          <w:sz w:val="20"/>
          <w:szCs w:val="20"/>
          <w14:ligatures w14:val="standardContextual"/>
        </w:rPr>
        <w:t xml:space="preserve">REQUISITOS PONDERABLES </w:t>
      </w:r>
      <w:r w:rsidRPr="008728C7">
        <w:rPr>
          <w:rFonts w:ascii="Verdana" w:eastAsia="Calibri" w:hAnsi="Verdana" w:cs="Arial"/>
          <w:b/>
          <w:bCs/>
          <w:lang w:val="es-ES_tradnl" w:eastAsia="es-ES_tradnl"/>
        </w:rPr>
        <w:t>–</w:t>
      </w:r>
      <w:r w:rsidRPr="008728C7">
        <w:rPr>
          <w:rFonts w:ascii="Verdana" w:eastAsia="Calibri" w:hAnsi="Verdana" w:cs="Arial"/>
          <w:b/>
          <w:bCs/>
          <w:lang w:val="es-ES_tradnl" w:eastAsia="es-ES_tradnl"/>
        </w:rPr>
        <w:t xml:space="preserve">Definición </w:t>
      </w:r>
    </w:p>
    <w:p w14:paraId="1B5EAC5B" w14:textId="77777777" w:rsidR="008728C7" w:rsidRDefault="008728C7" w:rsidP="00B640FF">
      <w:pPr>
        <w:snapToGrid w:val="0"/>
        <w:spacing w:after="0" w:line="276" w:lineRule="auto"/>
        <w:jc w:val="both"/>
        <w:rPr>
          <w:rFonts w:ascii="Verdana" w:eastAsia="Calibri" w:hAnsi="Verdana" w:cs="Arial"/>
          <w:kern w:val="2"/>
          <w:sz w:val="20"/>
          <w:szCs w:val="20"/>
          <w14:ligatures w14:val="standardContextual"/>
        </w:rPr>
      </w:pPr>
    </w:p>
    <w:p w14:paraId="11DECDEB" w14:textId="42BF3ABF" w:rsidR="008728C7" w:rsidRPr="008728C7" w:rsidRDefault="008728C7" w:rsidP="00B640FF">
      <w:pPr>
        <w:snapToGrid w:val="0"/>
        <w:spacing w:after="0" w:line="276" w:lineRule="auto"/>
        <w:jc w:val="both"/>
        <w:rPr>
          <w:rFonts w:ascii="Verdana" w:eastAsia="Calibri" w:hAnsi="Verdana" w:cs="Arial"/>
          <w:kern w:val="2"/>
          <w:sz w:val="20"/>
          <w:szCs w:val="20"/>
          <w14:ligatures w14:val="standardContextual"/>
        </w:rPr>
      </w:pPr>
      <w:r w:rsidRPr="008728C7">
        <w:rPr>
          <w:rFonts w:ascii="Verdana" w:hAnsi="Verdana" w:cs="Arial"/>
          <w:sz w:val="20"/>
          <w:szCs w:val="20"/>
        </w:rPr>
        <w:t>L</w:t>
      </w:r>
      <w:r w:rsidRPr="008728C7">
        <w:rPr>
          <w:rFonts w:ascii="Verdana" w:hAnsi="Verdana" w:cs="Arial"/>
          <w:sz w:val="20"/>
          <w:szCs w:val="20"/>
        </w:rPr>
        <w:t>os factores ponderables en un proceso de selección de concurso de méritos –esto es, los que determinan la escogencia entre los proponentes habilitados–, son la experiencia del interesado y su equipo de trabajo, así como la formación académica.</w:t>
      </w:r>
    </w:p>
    <w:p w14:paraId="00CD3FEA" w14:textId="77777777" w:rsidR="00B640FF" w:rsidRPr="008728C7" w:rsidRDefault="00B640FF" w:rsidP="00B640FF">
      <w:pPr>
        <w:snapToGrid w:val="0"/>
        <w:spacing w:after="0" w:line="276" w:lineRule="auto"/>
        <w:jc w:val="both"/>
        <w:rPr>
          <w:rFonts w:ascii="Verdana" w:eastAsia="Calibri" w:hAnsi="Verdana" w:cs="Arial"/>
          <w:kern w:val="2"/>
          <w:sz w:val="20"/>
          <w:szCs w:val="20"/>
          <w14:ligatures w14:val="standardContextual"/>
        </w:rPr>
      </w:pPr>
    </w:p>
    <w:p w14:paraId="3AE7E0FB" w14:textId="77777777" w:rsidR="00B640FF" w:rsidRPr="008728C7" w:rsidRDefault="00B640FF" w:rsidP="00B640FF">
      <w:pPr>
        <w:snapToGrid w:val="0"/>
        <w:spacing w:after="0" w:line="276" w:lineRule="auto"/>
        <w:jc w:val="both"/>
        <w:rPr>
          <w:rFonts w:ascii="Verdana" w:eastAsia="Calibri" w:hAnsi="Verdana" w:cs="Arial"/>
          <w:kern w:val="2"/>
          <w:sz w:val="20"/>
          <w:szCs w:val="20"/>
          <w14:ligatures w14:val="standardContextual"/>
        </w:rPr>
      </w:pPr>
    </w:p>
    <w:p w14:paraId="0E84745B" w14:textId="77777777" w:rsidR="00AA1ED1" w:rsidRDefault="00AA1ED1" w:rsidP="00E245AB">
      <w:pPr>
        <w:spacing w:after="0"/>
        <w:rPr>
          <w:rFonts w:ascii="Verdana" w:hAnsi="Verdana"/>
        </w:rPr>
      </w:pPr>
    </w:p>
    <w:p w14:paraId="181F6B2F" w14:textId="77777777" w:rsidR="00AA1ED1" w:rsidRDefault="00AA1ED1" w:rsidP="00E245AB">
      <w:pPr>
        <w:spacing w:after="0"/>
        <w:rPr>
          <w:rFonts w:ascii="Verdana" w:hAnsi="Verdana"/>
        </w:rPr>
      </w:pPr>
    </w:p>
    <w:p w14:paraId="5B9E48AE" w14:textId="77777777" w:rsidR="00AA1ED1" w:rsidRDefault="00AA1ED1" w:rsidP="00E245AB">
      <w:pPr>
        <w:spacing w:after="0"/>
        <w:rPr>
          <w:rFonts w:ascii="Verdana" w:hAnsi="Verdana"/>
        </w:rPr>
      </w:pPr>
    </w:p>
    <w:p w14:paraId="446487A6" w14:textId="77777777" w:rsidR="00AA1ED1" w:rsidRDefault="00AA1ED1" w:rsidP="00E245AB">
      <w:pPr>
        <w:spacing w:after="0"/>
        <w:rPr>
          <w:rFonts w:ascii="Verdana" w:hAnsi="Verdana"/>
        </w:rPr>
      </w:pPr>
    </w:p>
    <w:p w14:paraId="3699DB7E" w14:textId="77777777" w:rsidR="00AA1ED1" w:rsidRDefault="00AA1ED1" w:rsidP="00E245AB">
      <w:pPr>
        <w:spacing w:after="0"/>
        <w:rPr>
          <w:rFonts w:ascii="Verdana" w:hAnsi="Verdana"/>
        </w:rPr>
      </w:pPr>
    </w:p>
    <w:p w14:paraId="03261A86" w14:textId="77777777" w:rsidR="00AA1ED1" w:rsidRDefault="00AA1ED1" w:rsidP="00E245AB">
      <w:pPr>
        <w:spacing w:after="0"/>
        <w:rPr>
          <w:rFonts w:ascii="Verdana" w:hAnsi="Verdana"/>
        </w:rPr>
      </w:pPr>
    </w:p>
    <w:p w14:paraId="562946CA" w14:textId="77777777" w:rsidR="00AA1ED1" w:rsidRDefault="00AA1ED1" w:rsidP="00E245AB">
      <w:pPr>
        <w:spacing w:after="0"/>
        <w:rPr>
          <w:rFonts w:ascii="Verdana" w:hAnsi="Verdana"/>
        </w:rPr>
      </w:pPr>
    </w:p>
    <w:p w14:paraId="385E81AA" w14:textId="77777777" w:rsidR="00AA1ED1" w:rsidRDefault="00AA1ED1" w:rsidP="00E245AB">
      <w:pPr>
        <w:spacing w:after="0"/>
        <w:rPr>
          <w:rFonts w:ascii="Verdana" w:hAnsi="Verdana"/>
        </w:rPr>
      </w:pPr>
    </w:p>
    <w:p w14:paraId="6FEEC273" w14:textId="77777777" w:rsidR="00AA1ED1" w:rsidRDefault="00AA1ED1" w:rsidP="00E245AB">
      <w:pPr>
        <w:spacing w:after="0"/>
        <w:rPr>
          <w:rFonts w:ascii="Verdana" w:hAnsi="Verdana"/>
        </w:rPr>
      </w:pPr>
    </w:p>
    <w:p w14:paraId="53E8BAA9" w14:textId="77777777" w:rsidR="00AA1ED1" w:rsidRDefault="00AA1ED1" w:rsidP="00E245AB">
      <w:pPr>
        <w:spacing w:after="0"/>
        <w:rPr>
          <w:rFonts w:ascii="Verdana" w:hAnsi="Verdana"/>
        </w:rPr>
      </w:pPr>
    </w:p>
    <w:p w14:paraId="1ED02E64" w14:textId="77777777" w:rsidR="00AA1ED1" w:rsidRDefault="00AA1ED1" w:rsidP="00E245AB">
      <w:pPr>
        <w:spacing w:after="0"/>
        <w:rPr>
          <w:rFonts w:ascii="Verdana" w:hAnsi="Verdana"/>
        </w:rPr>
      </w:pPr>
    </w:p>
    <w:p w14:paraId="45B84058" w14:textId="77777777" w:rsidR="00AA1ED1" w:rsidRDefault="00AA1ED1" w:rsidP="00E245AB">
      <w:pPr>
        <w:spacing w:after="0"/>
        <w:rPr>
          <w:rFonts w:ascii="Verdana" w:hAnsi="Verdana"/>
        </w:rPr>
      </w:pPr>
    </w:p>
    <w:p w14:paraId="5600FA73" w14:textId="77777777" w:rsidR="00AA1ED1" w:rsidRDefault="00AA1ED1" w:rsidP="00E245AB">
      <w:pPr>
        <w:spacing w:after="0"/>
        <w:rPr>
          <w:rFonts w:ascii="Verdana" w:hAnsi="Verdana"/>
        </w:rPr>
      </w:pPr>
    </w:p>
    <w:p w14:paraId="3069D6E0" w14:textId="77777777" w:rsidR="00AA1ED1" w:rsidRDefault="00AA1ED1" w:rsidP="00E245AB">
      <w:pPr>
        <w:spacing w:after="0"/>
        <w:rPr>
          <w:rFonts w:ascii="Verdana" w:hAnsi="Verdana"/>
        </w:rPr>
      </w:pPr>
    </w:p>
    <w:p w14:paraId="2CC30D7C" w14:textId="77777777" w:rsidR="00AA1ED1" w:rsidRDefault="00AA1ED1" w:rsidP="00E245AB">
      <w:pPr>
        <w:spacing w:after="0"/>
        <w:rPr>
          <w:rFonts w:ascii="Verdana" w:hAnsi="Verdana"/>
        </w:rPr>
      </w:pPr>
    </w:p>
    <w:p w14:paraId="7672DABD" w14:textId="77777777" w:rsidR="00AA1ED1" w:rsidRDefault="00AA1ED1" w:rsidP="00E245AB">
      <w:pPr>
        <w:spacing w:after="0"/>
        <w:rPr>
          <w:rFonts w:ascii="Verdana" w:hAnsi="Verdana"/>
        </w:rPr>
      </w:pPr>
    </w:p>
    <w:p w14:paraId="0DF752F7" w14:textId="77777777" w:rsidR="00AA1ED1" w:rsidRDefault="00AA1ED1" w:rsidP="00E245AB">
      <w:pPr>
        <w:spacing w:after="0"/>
        <w:rPr>
          <w:rFonts w:ascii="Verdana" w:hAnsi="Verdana"/>
        </w:rPr>
      </w:pPr>
    </w:p>
    <w:p w14:paraId="19F94093" w14:textId="77777777" w:rsidR="00AA1ED1" w:rsidRDefault="00AA1ED1" w:rsidP="00E245AB">
      <w:pPr>
        <w:spacing w:after="0"/>
        <w:rPr>
          <w:rFonts w:ascii="Verdana" w:hAnsi="Verdana"/>
        </w:rPr>
      </w:pPr>
    </w:p>
    <w:p w14:paraId="4A60989F" w14:textId="77777777" w:rsidR="00AA1ED1" w:rsidRDefault="00AA1ED1" w:rsidP="00E245AB">
      <w:pPr>
        <w:spacing w:after="0"/>
        <w:rPr>
          <w:rFonts w:ascii="Verdana" w:hAnsi="Verdana"/>
        </w:rPr>
      </w:pPr>
    </w:p>
    <w:p w14:paraId="07BB308B" w14:textId="77777777" w:rsidR="00AA1ED1" w:rsidRDefault="00AA1ED1" w:rsidP="00E245AB">
      <w:pPr>
        <w:spacing w:after="0"/>
        <w:rPr>
          <w:rFonts w:ascii="Verdana" w:hAnsi="Verdana"/>
        </w:rPr>
      </w:pPr>
    </w:p>
    <w:p w14:paraId="047CA103" w14:textId="77777777" w:rsidR="00AA1ED1" w:rsidRDefault="00AA1ED1" w:rsidP="00E245AB">
      <w:pPr>
        <w:spacing w:after="0"/>
        <w:rPr>
          <w:rFonts w:ascii="Verdana" w:hAnsi="Verdana"/>
        </w:rPr>
      </w:pPr>
    </w:p>
    <w:p w14:paraId="0B7B3562" w14:textId="77777777" w:rsidR="00AA1ED1" w:rsidRDefault="00AA1ED1" w:rsidP="00E245AB">
      <w:pPr>
        <w:spacing w:after="0"/>
        <w:rPr>
          <w:rFonts w:ascii="Verdana" w:hAnsi="Verdana"/>
        </w:rPr>
      </w:pPr>
    </w:p>
    <w:p w14:paraId="0BCB8B56" w14:textId="77777777" w:rsidR="00AA1ED1" w:rsidRDefault="00AA1ED1" w:rsidP="00E245AB">
      <w:pPr>
        <w:spacing w:after="0"/>
        <w:rPr>
          <w:rFonts w:ascii="Verdana" w:hAnsi="Verdana"/>
        </w:rPr>
      </w:pPr>
    </w:p>
    <w:p w14:paraId="7B891823" w14:textId="77777777" w:rsidR="00AA1ED1" w:rsidRDefault="00AA1ED1" w:rsidP="00E245AB">
      <w:pPr>
        <w:spacing w:after="0"/>
        <w:rPr>
          <w:rFonts w:ascii="Verdana" w:hAnsi="Verdana"/>
        </w:rPr>
      </w:pPr>
    </w:p>
    <w:p w14:paraId="40414B12" w14:textId="77777777" w:rsidR="00AA1ED1" w:rsidRDefault="00AA1ED1" w:rsidP="00E245AB">
      <w:pPr>
        <w:spacing w:after="0"/>
        <w:rPr>
          <w:rFonts w:ascii="Verdana" w:hAnsi="Verdana"/>
        </w:rPr>
      </w:pPr>
    </w:p>
    <w:p w14:paraId="5B5CF7B6" w14:textId="77777777" w:rsidR="00AA1ED1" w:rsidRDefault="00AA1ED1" w:rsidP="00E245AB">
      <w:pPr>
        <w:spacing w:after="0"/>
        <w:rPr>
          <w:rFonts w:ascii="Verdana" w:hAnsi="Verdana"/>
        </w:rPr>
      </w:pPr>
    </w:p>
    <w:p w14:paraId="15A64FF2" w14:textId="77777777" w:rsidR="00AA1ED1" w:rsidRDefault="00AA1ED1" w:rsidP="00E245AB">
      <w:pPr>
        <w:spacing w:after="0"/>
        <w:rPr>
          <w:rFonts w:ascii="Verdana" w:hAnsi="Verdana"/>
        </w:rPr>
      </w:pPr>
    </w:p>
    <w:p w14:paraId="79E0EB36" w14:textId="77777777" w:rsidR="00AA1ED1" w:rsidRDefault="00AA1ED1" w:rsidP="00E245AB">
      <w:pPr>
        <w:spacing w:after="0"/>
        <w:rPr>
          <w:rFonts w:ascii="Verdana" w:hAnsi="Verdana"/>
        </w:rPr>
      </w:pPr>
    </w:p>
    <w:p w14:paraId="276B4735" w14:textId="77777777" w:rsidR="00AA1ED1" w:rsidRDefault="00AA1ED1" w:rsidP="00E245AB">
      <w:pPr>
        <w:spacing w:after="0"/>
        <w:rPr>
          <w:rFonts w:ascii="Verdana" w:hAnsi="Verdana"/>
        </w:rPr>
      </w:pPr>
    </w:p>
    <w:p w14:paraId="2518A2E8" w14:textId="77777777" w:rsidR="00AA1ED1" w:rsidRDefault="00AA1ED1" w:rsidP="00E245AB">
      <w:pPr>
        <w:spacing w:after="0"/>
        <w:rPr>
          <w:rFonts w:ascii="Verdana" w:hAnsi="Verdana"/>
        </w:rPr>
      </w:pPr>
    </w:p>
    <w:p w14:paraId="3511B081" w14:textId="77777777" w:rsidR="00AA1ED1" w:rsidRDefault="00AA1ED1" w:rsidP="00E245AB">
      <w:pPr>
        <w:spacing w:after="0"/>
        <w:rPr>
          <w:rFonts w:ascii="Verdana" w:hAnsi="Verdana"/>
        </w:rPr>
      </w:pPr>
    </w:p>
    <w:p w14:paraId="4357F567" w14:textId="77777777" w:rsidR="00AA1ED1" w:rsidRDefault="00AA1ED1" w:rsidP="00E245AB">
      <w:pPr>
        <w:spacing w:after="0"/>
        <w:rPr>
          <w:rFonts w:ascii="Verdana" w:hAnsi="Verdana"/>
        </w:rPr>
      </w:pPr>
    </w:p>
    <w:p w14:paraId="43238324" w14:textId="77777777" w:rsidR="00AA1ED1" w:rsidRDefault="00AA1ED1" w:rsidP="00E245AB">
      <w:pPr>
        <w:spacing w:after="0"/>
        <w:rPr>
          <w:rFonts w:ascii="Verdana" w:hAnsi="Verdana"/>
        </w:rPr>
      </w:pPr>
    </w:p>
    <w:p w14:paraId="52B71D5E" w14:textId="77777777" w:rsidR="00AA1ED1" w:rsidRDefault="00AA1ED1" w:rsidP="00E245AB">
      <w:pPr>
        <w:spacing w:after="0"/>
        <w:rPr>
          <w:rFonts w:ascii="Verdana" w:hAnsi="Verdana"/>
        </w:rPr>
      </w:pPr>
    </w:p>
    <w:p w14:paraId="3B4AB510" w14:textId="77777777" w:rsidR="00AA1ED1" w:rsidRDefault="00AA1ED1" w:rsidP="00E245AB">
      <w:pPr>
        <w:spacing w:after="0"/>
        <w:rPr>
          <w:rFonts w:ascii="Verdana" w:hAnsi="Verdana"/>
        </w:rPr>
      </w:pPr>
    </w:p>
    <w:p w14:paraId="713C3064" w14:textId="77777777" w:rsidR="00AA1ED1" w:rsidRDefault="00AA1ED1" w:rsidP="00E245AB">
      <w:pPr>
        <w:spacing w:after="0"/>
        <w:rPr>
          <w:rFonts w:ascii="Verdana" w:hAnsi="Verdana"/>
        </w:rPr>
      </w:pPr>
    </w:p>
    <w:p w14:paraId="43377139" w14:textId="77777777" w:rsidR="00AA1ED1" w:rsidRDefault="00AA1ED1" w:rsidP="00E245AB">
      <w:pPr>
        <w:spacing w:after="0"/>
        <w:rPr>
          <w:rFonts w:ascii="Verdana" w:hAnsi="Verdana"/>
        </w:rPr>
      </w:pPr>
    </w:p>
    <w:p w14:paraId="221000E8" w14:textId="77777777" w:rsidR="00AA1ED1" w:rsidRDefault="00AA1ED1" w:rsidP="00E245AB">
      <w:pPr>
        <w:spacing w:after="0"/>
        <w:rPr>
          <w:rFonts w:ascii="Verdana" w:hAnsi="Verdana"/>
        </w:rPr>
      </w:pPr>
    </w:p>
    <w:p w14:paraId="1645F7C8" w14:textId="77777777" w:rsidR="00AA1ED1" w:rsidRDefault="00AA1ED1" w:rsidP="00E245AB">
      <w:pPr>
        <w:spacing w:after="0"/>
        <w:rPr>
          <w:rFonts w:ascii="Verdana" w:hAnsi="Verdana"/>
        </w:rPr>
      </w:pPr>
    </w:p>
    <w:p w14:paraId="3B9DFDF3" w14:textId="77777777" w:rsidR="00AA1ED1" w:rsidRDefault="00AA1ED1" w:rsidP="00E245AB">
      <w:pPr>
        <w:spacing w:after="0"/>
        <w:rPr>
          <w:rFonts w:ascii="Verdana" w:hAnsi="Verdana"/>
        </w:rPr>
      </w:pPr>
    </w:p>
    <w:p w14:paraId="7E713145" w14:textId="77777777" w:rsidR="00AA1ED1" w:rsidRDefault="00AA1ED1" w:rsidP="00E245AB">
      <w:pPr>
        <w:spacing w:after="0"/>
        <w:rPr>
          <w:rFonts w:ascii="Verdana" w:hAnsi="Verdana"/>
        </w:rPr>
      </w:pPr>
    </w:p>
    <w:p w14:paraId="50575F16" w14:textId="77777777" w:rsidR="00AA1ED1" w:rsidRDefault="00AA1ED1" w:rsidP="00E245AB">
      <w:pPr>
        <w:spacing w:after="0"/>
        <w:rPr>
          <w:rFonts w:ascii="Verdana" w:hAnsi="Verdana"/>
        </w:rPr>
      </w:pPr>
    </w:p>
    <w:p w14:paraId="3FE2184B" w14:textId="20AEA2D8"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p w14:paraId="26429917" w14:textId="77777777" w:rsidR="009B644F" w:rsidRDefault="009B644F" w:rsidP="009B644F">
      <w:pPr>
        <w:spacing w:after="0"/>
        <w:rPr>
          <w:rFonts w:ascii="Verdana" w:hAnsi="Verdana"/>
        </w:rPr>
      </w:pPr>
    </w:p>
    <w:p w14:paraId="63F7CED6" w14:textId="77777777" w:rsidR="009B644F" w:rsidRPr="00560511" w:rsidRDefault="009B644F" w:rsidP="009B644F">
      <w:pPr>
        <w:spacing w:after="0" w:line="240" w:lineRule="auto"/>
        <w:jc w:val="both"/>
        <w:rPr>
          <w:rFonts w:ascii="Verdana" w:eastAsia="Calibri" w:hAnsi="Verdana" w:cs="Arial"/>
          <w:lang w:eastAsia="es-ES"/>
        </w:rPr>
      </w:pPr>
      <w:r w:rsidRPr="00560511">
        <w:rPr>
          <w:rFonts w:ascii="Verdana" w:eastAsia="Calibri" w:hAnsi="Verdana" w:cs="Arial"/>
          <w:lang w:eastAsia="es-ES"/>
        </w:rPr>
        <w:t>Señor</w:t>
      </w:r>
      <w:r>
        <w:rPr>
          <w:rFonts w:ascii="Verdana" w:eastAsia="Calibri" w:hAnsi="Verdana" w:cs="Arial"/>
          <w:lang w:eastAsia="es-ES"/>
        </w:rPr>
        <w:t>a</w:t>
      </w:r>
    </w:p>
    <w:p w14:paraId="34C6CC86" w14:textId="77777777" w:rsidR="009B644F" w:rsidRDefault="009B644F" w:rsidP="009B644F">
      <w:pPr>
        <w:spacing w:after="0" w:line="240" w:lineRule="auto"/>
        <w:rPr>
          <w:rFonts w:ascii="Verdana" w:eastAsia="Calibri" w:hAnsi="Verdana" w:cs="Arial"/>
          <w:b/>
          <w:bCs/>
          <w:lang w:eastAsia="es-ES_tradnl"/>
        </w:rPr>
      </w:pPr>
      <w:r>
        <w:rPr>
          <w:rFonts w:ascii="Verdana" w:eastAsia="Calibri" w:hAnsi="Verdana" w:cs="Arial"/>
          <w:b/>
          <w:bCs/>
          <w:lang w:eastAsia="es-ES_tradnl"/>
        </w:rPr>
        <w:t>VALERIA ALEJANDRA POVEDA GUTIERREZ</w:t>
      </w:r>
    </w:p>
    <w:p w14:paraId="49A0EFEB" w14:textId="77777777" w:rsidR="009B644F" w:rsidRPr="00C36081" w:rsidRDefault="009B644F" w:rsidP="009B644F">
      <w:pPr>
        <w:spacing w:after="0" w:line="240" w:lineRule="auto"/>
        <w:rPr>
          <w:rFonts w:ascii="Verdana" w:hAnsi="Verdana"/>
        </w:rPr>
      </w:pPr>
      <w:r w:rsidRPr="00C36081">
        <w:rPr>
          <w:rFonts w:ascii="Verdana" w:hAnsi="Verdana"/>
        </w:rPr>
        <w:t>valeria.poveda1@gmail.com</w:t>
      </w:r>
    </w:p>
    <w:p w14:paraId="3E20EFE6" w14:textId="77777777" w:rsidR="009B644F" w:rsidRPr="00B96799" w:rsidRDefault="009B644F" w:rsidP="009B644F">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10A0291E" w14:textId="77777777" w:rsidR="009B644F" w:rsidRPr="00593A5F" w:rsidRDefault="009B644F" w:rsidP="009B644F">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9B644F" w:rsidRPr="00593A5F" w14:paraId="50C39659" w14:textId="77777777" w:rsidTr="00F945CE">
        <w:trPr>
          <w:trHeight w:val="884"/>
        </w:trPr>
        <w:tc>
          <w:tcPr>
            <w:tcW w:w="2410" w:type="dxa"/>
          </w:tcPr>
          <w:p w14:paraId="6B562037" w14:textId="77777777" w:rsidR="009B644F" w:rsidRPr="00E5644F" w:rsidRDefault="009B644F" w:rsidP="00F945CE">
            <w:pPr>
              <w:jc w:val="both"/>
              <w:rPr>
                <w:rFonts w:ascii="Verdana" w:eastAsia="Calibri" w:hAnsi="Verdana" w:cs="Arial"/>
                <w:b/>
                <w:bCs/>
                <w:color w:val="7030A0"/>
                <w:lang w:val="es-ES_tradnl" w:eastAsia="es-ES_tradnl"/>
              </w:rPr>
            </w:pPr>
          </w:p>
        </w:tc>
        <w:tc>
          <w:tcPr>
            <w:tcW w:w="6804" w:type="dxa"/>
            <w:gridSpan w:val="2"/>
          </w:tcPr>
          <w:p w14:paraId="621EC049" w14:textId="77777777" w:rsidR="009B644F" w:rsidRPr="00E5644F" w:rsidRDefault="009B644F" w:rsidP="00F945CE">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625 </w:t>
            </w:r>
            <w:r w:rsidRPr="00E5644F">
              <w:rPr>
                <w:rFonts w:ascii="Verdana" w:eastAsia="Calibri" w:hAnsi="Verdana" w:cs="Arial"/>
                <w:b/>
                <w:bCs/>
                <w:lang w:val="es-ES" w:eastAsia="es-ES"/>
              </w:rPr>
              <w:t>de 2024</w:t>
            </w:r>
          </w:p>
        </w:tc>
      </w:tr>
      <w:tr w:rsidR="009B644F" w:rsidRPr="00593A5F" w14:paraId="7AACC2B7" w14:textId="77777777" w:rsidTr="00F945CE">
        <w:trPr>
          <w:trHeight w:val="884"/>
        </w:trPr>
        <w:tc>
          <w:tcPr>
            <w:tcW w:w="2410" w:type="dxa"/>
          </w:tcPr>
          <w:p w14:paraId="7A6BA866" w14:textId="77777777" w:rsidR="009B644F" w:rsidRPr="00593A5F" w:rsidRDefault="009B644F" w:rsidP="00F945CE">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0F28499E" w14:textId="77777777" w:rsidR="009B644F" w:rsidRDefault="009B644F" w:rsidP="00F945CE">
            <w:pPr>
              <w:jc w:val="both"/>
              <w:rPr>
                <w:rFonts w:ascii="Verdana" w:eastAsia="Calibri" w:hAnsi="Verdana" w:cs="Arial"/>
                <w:lang w:val="es-ES_tradnl" w:eastAsia="es-ES_tradnl"/>
              </w:rPr>
            </w:pPr>
            <w:r w:rsidRPr="00847DDA">
              <w:rPr>
                <w:rFonts w:ascii="Verdana" w:eastAsia="Calibri" w:hAnsi="Verdana" w:cs="Arial"/>
                <w:lang w:val="es-ES_tradnl" w:eastAsia="es-ES_tradnl"/>
              </w:rPr>
              <w:t xml:space="preserve">PRINCIPIO DE SELECCIÓN OBJETIVA – Noción – Normativa – Requisitos habilitantes – Requisitos ponderables / REQUISITOS PONDERABLES – Asignación de puntaje / DEBER DE SELECCIÓN OBJETIVA </w:t>
            </w:r>
            <w:r w:rsidRPr="00847DDA">
              <w:rPr>
                <w:rFonts w:ascii="Verdana" w:eastAsia="Calibri" w:hAnsi="Verdana" w:cs="Arial"/>
                <w:bCs/>
                <w:lang w:val="es-ES_tradnl" w:eastAsia="es-ES"/>
              </w:rPr>
              <w:t>CONTRATO DE CONSULTORÍA – Concepto – Características / CONTRATO DE CONSULTORÍA -concepto– Modalidades de selección – Concurso de méritos</w:t>
            </w:r>
            <w:r>
              <w:rPr>
                <w:rFonts w:ascii="Verdana" w:eastAsia="Calibri" w:hAnsi="Verdana" w:cs="Arial"/>
                <w:bCs/>
                <w:lang w:val="es-ES_tradnl" w:eastAsia="es-ES"/>
              </w:rPr>
              <w:t>.</w:t>
            </w:r>
            <w:r w:rsidRPr="002A6D44">
              <w:rPr>
                <w:rFonts w:ascii="Verdana" w:eastAsia="Calibri" w:hAnsi="Verdana" w:cs="Arial"/>
                <w:lang w:val="es-ES_tradnl" w:eastAsia="es-ES_tradnl"/>
              </w:rPr>
              <w:t xml:space="preserve"> </w:t>
            </w:r>
          </w:p>
          <w:p w14:paraId="179CEFEB" w14:textId="77777777" w:rsidR="009B644F" w:rsidRPr="00E6165F" w:rsidRDefault="009B644F" w:rsidP="00F945CE">
            <w:pPr>
              <w:spacing w:line="276" w:lineRule="auto"/>
              <w:jc w:val="both"/>
              <w:rPr>
                <w:rFonts w:ascii="Verdana" w:eastAsia="Calibri" w:hAnsi="Verdana" w:cs="Arial"/>
                <w:lang w:val="es-ES" w:eastAsia="es-ES"/>
              </w:rPr>
            </w:pPr>
          </w:p>
        </w:tc>
      </w:tr>
      <w:tr w:rsidR="009B644F" w:rsidRPr="00593A5F" w14:paraId="2C1CB5E4" w14:textId="77777777" w:rsidTr="00F945CE">
        <w:tc>
          <w:tcPr>
            <w:tcW w:w="2410" w:type="dxa"/>
          </w:tcPr>
          <w:p w14:paraId="50B6D719" w14:textId="77777777" w:rsidR="009B644F" w:rsidRPr="006730E9" w:rsidRDefault="009B644F" w:rsidP="00F945CE">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1166B439" w14:textId="77777777" w:rsidR="009B644F" w:rsidRPr="006730E9" w:rsidRDefault="009B644F" w:rsidP="00F945CE">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C36081">
              <w:rPr>
                <w:rFonts w:ascii="Verdana" w:eastAsia="Calibri" w:hAnsi="Verdana" w:cs="Arial"/>
                <w:lang w:val="es-ES_tradnl" w:eastAsia="es-ES_tradnl"/>
              </w:rPr>
              <w:t>P20240917009490</w:t>
            </w:r>
          </w:p>
        </w:tc>
      </w:tr>
      <w:tr w:rsidR="009B644F" w:rsidRPr="00DB23D2" w14:paraId="52746005" w14:textId="77777777" w:rsidTr="00F945CE">
        <w:trPr>
          <w:gridAfter w:val="1"/>
          <w:wAfter w:w="336" w:type="dxa"/>
          <w:trHeight w:val="233"/>
        </w:trPr>
        <w:tc>
          <w:tcPr>
            <w:tcW w:w="8878" w:type="dxa"/>
            <w:gridSpan w:val="2"/>
          </w:tcPr>
          <w:p w14:paraId="647AB4BB" w14:textId="77777777" w:rsidR="009B644F" w:rsidRPr="00DB23D2" w:rsidRDefault="009B644F" w:rsidP="00F945CE">
            <w:pPr>
              <w:spacing w:after="120" w:line="276" w:lineRule="auto"/>
              <w:jc w:val="both"/>
              <w:rPr>
                <w:rFonts w:ascii="Verdana" w:eastAsia="Calibri" w:hAnsi="Verdana" w:cs="Arial"/>
                <w:lang w:val="es-ES_tradnl" w:eastAsia="es-ES"/>
              </w:rPr>
            </w:pPr>
          </w:p>
        </w:tc>
      </w:tr>
    </w:tbl>
    <w:p w14:paraId="559483D8" w14:textId="77777777" w:rsidR="009B644F" w:rsidRPr="006730E9" w:rsidRDefault="009B644F" w:rsidP="009B644F">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a </w:t>
      </w:r>
      <w:r w:rsidRPr="006730E9">
        <w:rPr>
          <w:rFonts w:ascii="Verdana" w:eastAsia="Calibri" w:hAnsi="Verdana" w:cs="Arial"/>
          <w:lang w:val="es-ES" w:eastAsia="es-ES"/>
        </w:rPr>
        <w:t>señor</w:t>
      </w:r>
      <w:r>
        <w:rPr>
          <w:rFonts w:ascii="Verdana" w:eastAsia="Calibri" w:hAnsi="Verdana" w:cs="Arial"/>
          <w:lang w:val="es-ES" w:eastAsia="es-ES"/>
        </w:rPr>
        <w:t>a</w:t>
      </w:r>
      <w:r w:rsidRPr="006730E9">
        <w:rPr>
          <w:rFonts w:ascii="Verdana" w:eastAsia="Calibri" w:hAnsi="Verdana" w:cs="Arial"/>
          <w:lang w:val="es-ES" w:eastAsia="es-ES"/>
        </w:rPr>
        <w:t xml:space="preserve"> </w:t>
      </w:r>
      <w:r>
        <w:rPr>
          <w:rFonts w:ascii="Verdana" w:eastAsia="Calibri" w:hAnsi="Verdana" w:cs="Arial"/>
          <w:lang w:val="es-ES" w:eastAsia="es-ES"/>
        </w:rPr>
        <w:t>Poveda;</w:t>
      </w:r>
      <w:r w:rsidRPr="006730E9">
        <w:rPr>
          <w:rFonts w:ascii="Verdana" w:eastAsia="Calibri" w:hAnsi="Verdana" w:cs="Arial"/>
          <w:lang w:val="es-ES" w:eastAsia="es-ES"/>
        </w:rPr>
        <w:t xml:space="preserve"> </w:t>
      </w:r>
    </w:p>
    <w:p w14:paraId="3D92E21E" w14:textId="77777777" w:rsidR="009B644F" w:rsidRDefault="009B644F" w:rsidP="009B64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F95AE9" w14:textId="77777777" w:rsidR="009B644F" w:rsidRPr="006730E9" w:rsidRDefault="009B644F" w:rsidP="009B644F">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w:t>
      </w:r>
      <w:r w:rsidRPr="006730E9">
        <w:rPr>
          <w:rFonts w:ascii="Verdana" w:hAnsi="Verdana" w:cs="Arial"/>
        </w:rPr>
        <w:lastRenderedPageBreak/>
        <w:t xml:space="preserve">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17</w:t>
      </w:r>
      <w:r w:rsidRPr="00E5644F">
        <w:rPr>
          <w:rFonts w:ascii="Verdana" w:eastAsia="Calibri" w:hAnsi="Verdana" w:cs="Arial"/>
          <w:lang w:val="es-ES" w:eastAsia="es-ES"/>
        </w:rPr>
        <w:t xml:space="preserve"> de </w:t>
      </w:r>
      <w:r>
        <w:rPr>
          <w:rFonts w:ascii="Verdana" w:eastAsia="Calibri" w:hAnsi="Verdana" w:cs="Arial"/>
          <w:lang w:val="es-ES" w:eastAsia="es-ES"/>
        </w:rPr>
        <w:t>septiembre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67217775" w14:textId="77777777" w:rsidR="009B644F" w:rsidRPr="00326382" w:rsidRDefault="009B644F" w:rsidP="009B644F">
      <w:pPr>
        <w:spacing w:after="0" w:line="240" w:lineRule="auto"/>
        <w:ind w:left="709" w:right="709"/>
        <w:jc w:val="both"/>
        <w:rPr>
          <w:rFonts w:ascii="Verdana" w:hAnsi="Verdana" w:cs="Arial"/>
          <w:sz w:val="20"/>
          <w:szCs w:val="20"/>
          <w:shd w:val="clear" w:color="auto" w:fill="FFFFFF"/>
        </w:rPr>
      </w:pPr>
      <w:bookmarkStart w:id="1" w:name="_Hlk95313578"/>
    </w:p>
    <w:bookmarkEnd w:id="1"/>
    <w:p w14:paraId="09F0A30B" w14:textId="77777777" w:rsidR="009B644F" w:rsidRPr="00C36081" w:rsidRDefault="009B644F" w:rsidP="009B644F">
      <w:pPr>
        <w:pStyle w:val="Prrafodelista"/>
        <w:tabs>
          <w:tab w:val="left" w:pos="142"/>
          <w:tab w:val="left" w:pos="284"/>
        </w:tabs>
        <w:ind w:left="425" w:right="1185"/>
        <w:jc w:val="both"/>
        <w:rPr>
          <w:rFonts w:ascii="Verdana" w:eastAsia="Century Gothic" w:hAnsi="Verdana" w:cs="Century Gothic"/>
          <w:i/>
          <w:iCs/>
        </w:rPr>
      </w:pPr>
      <w:r w:rsidRPr="00263A88">
        <w:rPr>
          <w:rFonts w:ascii="Verdana" w:eastAsia="Century Gothic" w:hAnsi="Verdana" w:cs="Century Gothic"/>
          <w:i/>
          <w:iCs/>
          <w:lang w:val="es-CO"/>
        </w:rPr>
        <w:t>(…)</w:t>
      </w:r>
      <w:r>
        <w:rPr>
          <w:rFonts w:ascii="Verdana" w:eastAsia="Century Gothic" w:hAnsi="Verdana" w:cs="Century Gothic"/>
          <w:i/>
          <w:iCs/>
          <w:lang w:val="es-CO"/>
        </w:rPr>
        <w:t xml:space="preserve"> </w:t>
      </w:r>
      <w:r w:rsidRPr="00C36081">
        <w:rPr>
          <w:rFonts w:ascii="Verdana" w:eastAsia="Century Gothic" w:hAnsi="Verdana" w:cs="Century Gothic"/>
          <w:i/>
          <w:iCs/>
        </w:rPr>
        <w:t>Conforme a lo establecido para los procesos de selección que se adelanten bajo la</w:t>
      </w:r>
      <w:r>
        <w:rPr>
          <w:rFonts w:ascii="Verdana" w:eastAsia="Century Gothic" w:hAnsi="Verdana" w:cs="Century Gothic"/>
          <w:i/>
          <w:iCs/>
        </w:rPr>
        <w:t xml:space="preserve"> </w:t>
      </w:r>
      <w:r w:rsidRPr="00C36081">
        <w:rPr>
          <w:rFonts w:ascii="Verdana" w:eastAsia="Century Gothic" w:hAnsi="Verdana" w:cs="Century Gothic"/>
          <w:i/>
          <w:iCs/>
        </w:rPr>
        <w:t>modalidad de concurso de méritos para la escogencia de consultores,</w:t>
      </w:r>
      <w:r>
        <w:rPr>
          <w:rFonts w:ascii="Verdana" w:eastAsia="Century Gothic" w:hAnsi="Verdana" w:cs="Century Gothic"/>
          <w:i/>
          <w:iCs/>
        </w:rPr>
        <w:t xml:space="preserve"> </w:t>
      </w:r>
      <w:r w:rsidRPr="00C36081">
        <w:rPr>
          <w:rFonts w:ascii="Verdana" w:eastAsia="Century Gothic" w:hAnsi="Verdana" w:cs="Century Gothic"/>
          <w:i/>
          <w:iCs/>
        </w:rPr>
        <w:t>particularmente en lo que tiene que ver con la determinación de los requisitos de</w:t>
      </w:r>
      <w:r>
        <w:rPr>
          <w:rFonts w:ascii="Verdana" w:eastAsia="Century Gothic" w:hAnsi="Verdana" w:cs="Century Gothic"/>
          <w:i/>
          <w:iCs/>
        </w:rPr>
        <w:t xml:space="preserve"> </w:t>
      </w:r>
      <w:r w:rsidRPr="00C36081">
        <w:rPr>
          <w:rFonts w:ascii="Verdana" w:eastAsia="Century Gothic" w:hAnsi="Verdana" w:cs="Century Gothic"/>
          <w:i/>
          <w:iCs/>
        </w:rPr>
        <w:t>evaluación que otorgan puntaje, ¿Qué criterios deben tenerse en cuenta para</w:t>
      </w:r>
      <w:r>
        <w:rPr>
          <w:rFonts w:ascii="Verdana" w:eastAsia="Century Gothic" w:hAnsi="Verdana" w:cs="Century Gothic"/>
          <w:i/>
          <w:iCs/>
        </w:rPr>
        <w:t xml:space="preserve"> </w:t>
      </w:r>
      <w:r w:rsidRPr="00C36081">
        <w:rPr>
          <w:rFonts w:ascii="Verdana" w:eastAsia="Century Gothic" w:hAnsi="Verdana" w:cs="Century Gothic"/>
          <w:i/>
          <w:iCs/>
        </w:rPr>
        <w:t>evaluar lo que se denomina como propuesta metodológica, como requisito</w:t>
      </w:r>
      <w:r>
        <w:rPr>
          <w:rFonts w:ascii="Verdana" w:eastAsia="Century Gothic" w:hAnsi="Verdana" w:cs="Century Gothic"/>
          <w:i/>
          <w:iCs/>
        </w:rPr>
        <w:t xml:space="preserve"> </w:t>
      </w:r>
      <w:r w:rsidRPr="00C36081">
        <w:rPr>
          <w:rFonts w:ascii="Verdana" w:eastAsia="Century Gothic" w:hAnsi="Verdana" w:cs="Century Gothic"/>
          <w:i/>
          <w:iCs/>
        </w:rPr>
        <w:t>puntuable?, ¿Cuáles son los parámetros que deben establecerse para dicha</w:t>
      </w:r>
      <w:r>
        <w:rPr>
          <w:rFonts w:ascii="Verdana" w:eastAsia="Century Gothic" w:hAnsi="Verdana" w:cs="Century Gothic"/>
          <w:i/>
          <w:iCs/>
        </w:rPr>
        <w:t xml:space="preserve"> </w:t>
      </w:r>
      <w:r w:rsidRPr="00C36081">
        <w:rPr>
          <w:rFonts w:ascii="Verdana" w:eastAsia="Century Gothic" w:hAnsi="Verdana" w:cs="Century Gothic"/>
          <w:i/>
          <w:iCs/>
        </w:rPr>
        <w:t>evaluación?</w:t>
      </w:r>
    </w:p>
    <w:p w14:paraId="6FAB80CF" w14:textId="77777777" w:rsidR="009B644F" w:rsidRDefault="009B644F" w:rsidP="009B644F">
      <w:pPr>
        <w:pStyle w:val="Prrafodelista"/>
        <w:tabs>
          <w:tab w:val="left" w:pos="142"/>
          <w:tab w:val="left" w:pos="284"/>
        </w:tabs>
        <w:ind w:left="425" w:right="1185"/>
        <w:jc w:val="both"/>
        <w:rPr>
          <w:rFonts w:ascii="Verdana" w:eastAsia="Century Gothic" w:hAnsi="Verdana" w:cs="Century Gothic"/>
          <w:i/>
          <w:iCs/>
        </w:rPr>
      </w:pPr>
    </w:p>
    <w:p w14:paraId="21797EA9" w14:textId="77777777" w:rsidR="009B644F" w:rsidRDefault="009B644F" w:rsidP="009B644F">
      <w:pPr>
        <w:pStyle w:val="Prrafodelista"/>
        <w:tabs>
          <w:tab w:val="left" w:pos="142"/>
          <w:tab w:val="left" w:pos="284"/>
        </w:tabs>
        <w:ind w:left="425" w:right="1185"/>
        <w:jc w:val="both"/>
        <w:rPr>
          <w:rFonts w:ascii="Verdana" w:eastAsia="Century Gothic" w:hAnsi="Verdana" w:cs="Century Gothic"/>
          <w:i/>
          <w:iCs/>
          <w:lang w:val="es-CO"/>
        </w:rPr>
      </w:pPr>
      <w:r w:rsidRPr="00C36081">
        <w:rPr>
          <w:rFonts w:ascii="Verdana" w:eastAsia="Century Gothic" w:hAnsi="Verdana" w:cs="Century Gothic"/>
          <w:i/>
          <w:iCs/>
        </w:rPr>
        <w:t>Lo anterior conforme lo establecido en la Le</w:t>
      </w:r>
      <w:r>
        <w:rPr>
          <w:rFonts w:ascii="Verdana" w:eastAsia="Century Gothic" w:hAnsi="Verdana" w:cs="Century Gothic"/>
          <w:i/>
          <w:iCs/>
        </w:rPr>
        <w:t>y</w:t>
      </w:r>
      <w:r w:rsidRPr="00C36081">
        <w:rPr>
          <w:rFonts w:ascii="Verdana" w:eastAsia="Century Gothic" w:hAnsi="Verdana" w:cs="Century Gothic"/>
          <w:i/>
          <w:iCs/>
        </w:rPr>
        <w:t xml:space="preserve"> 1150, articulo 5, numeral 4 que indica:“ En los procesos para la selección de consultores se hará uso de factores de</w:t>
      </w:r>
      <w:r>
        <w:rPr>
          <w:rFonts w:ascii="Verdana" w:eastAsia="Century Gothic" w:hAnsi="Verdana" w:cs="Century Gothic"/>
          <w:i/>
          <w:iCs/>
        </w:rPr>
        <w:t xml:space="preserve"> </w:t>
      </w:r>
      <w:r w:rsidRPr="00C36081">
        <w:rPr>
          <w:rFonts w:ascii="Verdana" w:eastAsia="Century Gothic" w:hAnsi="Verdana" w:cs="Century Gothic"/>
          <w:i/>
          <w:iCs/>
        </w:rPr>
        <w:t>calificación destinados a valorar los aspectos técnicos de la oferta o proyecto. De</w:t>
      </w:r>
      <w:r>
        <w:rPr>
          <w:rFonts w:ascii="Verdana" w:eastAsia="Century Gothic" w:hAnsi="Verdana" w:cs="Century Gothic"/>
          <w:i/>
          <w:iCs/>
        </w:rPr>
        <w:t xml:space="preserve"> </w:t>
      </w:r>
      <w:r w:rsidRPr="00C36081">
        <w:rPr>
          <w:rFonts w:ascii="Verdana" w:eastAsia="Century Gothic" w:hAnsi="Verdana" w:cs="Century Gothic"/>
          <w:i/>
          <w:iCs/>
        </w:rPr>
        <w:t>conformidad con las condiciones que señale el reglamento, se podrán utilizar</w:t>
      </w:r>
      <w:r>
        <w:rPr>
          <w:rFonts w:ascii="Verdana" w:eastAsia="Century Gothic" w:hAnsi="Verdana" w:cs="Century Gothic"/>
          <w:i/>
          <w:iCs/>
        </w:rPr>
        <w:t xml:space="preserve"> </w:t>
      </w:r>
      <w:r w:rsidRPr="00C36081">
        <w:rPr>
          <w:rFonts w:ascii="Verdana" w:eastAsia="Century Gothic" w:hAnsi="Verdana" w:cs="Century Gothic"/>
          <w:i/>
          <w:iCs/>
        </w:rPr>
        <w:t>criterios de experiencia específica del oferente y del equipo de trabajo, en el campo</w:t>
      </w:r>
      <w:r>
        <w:rPr>
          <w:rFonts w:ascii="Verdana" w:eastAsia="Century Gothic" w:hAnsi="Verdana" w:cs="Century Gothic"/>
          <w:i/>
          <w:iCs/>
        </w:rPr>
        <w:t xml:space="preserve"> </w:t>
      </w:r>
      <w:r w:rsidRPr="00C36081">
        <w:rPr>
          <w:rFonts w:ascii="Verdana" w:eastAsia="Century Gothic" w:hAnsi="Verdana" w:cs="Century Gothic"/>
          <w:i/>
          <w:iCs/>
          <w:lang w:val="es-CO"/>
        </w:rPr>
        <w:t xml:space="preserve">de que se trate”. </w:t>
      </w:r>
      <w:r w:rsidRPr="00263A88">
        <w:rPr>
          <w:rFonts w:ascii="Verdana" w:eastAsia="Century Gothic" w:hAnsi="Verdana" w:cs="Century Gothic"/>
          <w:i/>
          <w:iCs/>
          <w:lang w:val="es-CO"/>
        </w:rPr>
        <w:t>(…)</w:t>
      </w:r>
    </w:p>
    <w:p w14:paraId="4CFCDDCE" w14:textId="77777777" w:rsidR="009B644F" w:rsidRDefault="009B644F" w:rsidP="009B644F">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1BD5FB75" w14:textId="77777777" w:rsidR="009B644F" w:rsidRPr="00593A5F" w:rsidRDefault="009B644F" w:rsidP="009B644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B1C8640" w14:textId="77777777" w:rsidR="009B644F" w:rsidRPr="00593A5F" w:rsidRDefault="009B644F" w:rsidP="009B644F">
      <w:pPr>
        <w:tabs>
          <w:tab w:val="left" w:pos="426"/>
        </w:tabs>
        <w:spacing w:after="0" w:line="276" w:lineRule="auto"/>
        <w:jc w:val="both"/>
        <w:rPr>
          <w:rFonts w:ascii="Verdana" w:eastAsia="Century Gothic" w:hAnsi="Verdana" w:cs="Century Gothic"/>
          <w:lang w:val="es-ES"/>
        </w:rPr>
      </w:pPr>
    </w:p>
    <w:p w14:paraId="105741C9" w14:textId="77777777" w:rsidR="009B644F" w:rsidRPr="00727DDD" w:rsidRDefault="009B644F" w:rsidP="009B644F">
      <w:pPr>
        <w:pStyle w:val="Prrafodelista"/>
        <w:ind w:left="0" w:right="49"/>
        <w:jc w:val="both"/>
        <w:rPr>
          <w:rFonts w:ascii="Verdana" w:eastAsia="Century Gothic" w:hAnsi="Verdana" w:cs="Century Gothic"/>
          <w:i/>
          <w:iCs/>
        </w:rPr>
      </w:pPr>
      <w:r w:rsidRPr="005A7AF3">
        <w:rPr>
          <w:rFonts w:ascii="Verdana" w:eastAsia="Century Gothic" w:hAnsi="Verdana" w:cs="Century Gothic"/>
          <w:i/>
          <w:iCs/>
        </w:rPr>
        <w:t xml:space="preserve">De acuerdo con el contenido de su solicitud, esta Agencia resolverá </w:t>
      </w:r>
      <w:r>
        <w:rPr>
          <w:rFonts w:ascii="Verdana" w:eastAsia="Century Gothic" w:hAnsi="Verdana" w:cs="Century Gothic"/>
          <w:i/>
          <w:iCs/>
        </w:rPr>
        <w:t xml:space="preserve">el </w:t>
      </w:r>
      <w:r w:rsidRPr="005A7AF3">
        <w:rPr>
          <w:rFonts w:ascii="Verdana" w:eastAsia="Century Gothic" w:hAnsi="Verdana" w:cs="Century Gothic"/>
          <w:i/>
          <w:iCs/>
        </w:rPr>
        <w:t>siguiente problema jurídico:</w:t>
      </w:r>
      <w:r>
        <w:rPr>
          <w:rFonts w:ascii="Verdana" w:eastAsia="Century Gothic" w:hAnsi="Verdana" w:cs="Century Gothic"/>
          <w:i/>
          <w:iCs/>
        </w:rPr>
        <w:t xml:space="preserve"> ¿Cuáles criterios de evaluación se deben tener en cuenta en los procesos de selección de concurso de meritos en el marco de lo previsto</w:t>
      </w:r>
      <w:r w:rsidRPr="00DD23CA">
        <w:rPr>
          <w:rFonts w:ascii="Verdana" w:eastAsia="Century Gothic" w:hAnsi="Verdana" w:cs="Century Gothic"/>
          <w:i/>
          <w:iCs/>
        </w:rPr>
        <w:t xml:space="preserve"> en el numeral 4 del artículo 5 de la Ley 1150 de 2007?</w:t>
      </w:r>
    </w:p>
    <w:p w14:paraId="7E836B4C" w14:textId="77777777" w:rsidR="009B644F" w:rsidRPr="001B53B7" w:rsidRDefault="009B644F" w:rsidP="009B644F">
      <w:pPr>
        <w:pStyle w:val="Prrafodelista"/>
        <w:spacing w:after="0" w:line="276" w:lineRule="auto"/>
        <w:ind w:left="426" w:right="1041"/>
        <w:jc w:val="both"/>
        <w:rPr>
          <w:rFonts w:ascii="Verdana" w:eastAsia="Calibri" w:hAnsi="Verdana" w:cs="Arial"/>
          <w:color w:val="7030A0"/>
        </w:rPr>
      </w:pPr>
    </w:p>
    <w:p w14:paraId="12B8340E" w14:textId="77777777" w:rsidR="009B644F" w:rsidRPr="00593A5F" w:rsidRDefault="009B644F" w:rsidP="009B64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FB1B0DD" w14:textId="77777777" w:rsidR="009B644F" w:rsidRPr="00593A5F" w:rsidRDefault="009B644F" w:rsidP="009B644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B644F" w:rsidRPr="00593A5F" w14:paraId="5BE0B82D" w14:textId="77777777" w:rsidTr="00F945CE">
        <w:tc>
          <w:tcPr>
            <w:tcW w:w="8828" w:type="dxa"/>
            <w:shd w:val="clear" w:color="auto" w:fill="auto"/>
          </w:tcPr>
          <w:p w14:paraId="0DE1C5B0" w14:textId="77440EE1" w:rsidR="002E0FE2" w:rsidRPr="00C526CB" w:rsidRDefault="00783D07" w:rsidP="002E0FE2">
            <w:pPr>
              <w:spacing w:after="120" w:line="276" w:lineRule="auto"/>
              <w:jc w:val="both"/>
              <w:rPr>
                <w:rFonts w:ascii="Verdana" w:eastAsia="Calibri" w:hAnsi="Verdana" w:cs="Arial"/>
                <w:i/>
                <w:iCs/>
                <w:kern w:val="2"/>
                <w:lang w:val="es-ES"/>
                <w14:ligatures w14:val="standardContextual"/>
              </w:rPr>
            </w:pPr>
            <w:commentRangeStart w:id="2"/>
            <w:r>
              <w:rPr>
                <w:rFonts w:ascii="Verdana" w:eastAsia="Calibri" w:hAnsi="Verdana" w:cs="Arial"/>
                <w:kern w:val="2"/>
                <w:lang w:val="es-ES"/>
                <w14:ligatures w14:val="standardContextual"/>
              </w:rPr>
              <w:t xml:space="preserve">A fin de dar respuesta al interrogante planteado, es menester señalar que, el </w:t>
            </w:r>
            <w:r w:rsidRPr="00E33232">
              <w:rPr>
                <w:rFonts w:ascii="Verdana" w:eastAsia="Calibri" w:hAnsi="Verdana" w:cs="Arial"/>
                <w:kern w:val="2"/>
                <w:lang w:val="es-ES"/>
                <w14:ligatures w14:val="standardContextual"/>
              </w:rPr>
              <w:t xml:space="preserve"> concurso de méritos es </w:t>
            </w:r>
            <w:r>
              <w:rPr>
                <w:rFonts w:ascii="Verdana" w:eastAsia="Calibri" w:hAnsi="Verdana" w:cs="Arial"/>
                <w:kern w:val="2"/>
                <w:lang w:val="es-ES"/>
                <w14:ligatures w14:val="standardContextual"/>
              </w:rPr>
              <w:t>el</w:t>
            </w:r>
            <w:r w:rsidRPr="00E33232">
              <w:rPr>
                <w:rFonts w:ascii="Verdana" w:eastAsia="Calibri" w:hAnsi="Verdana" w:cs="Arial"/>
                <w:kern w:val="2"/>
                <w:lang w:val="es-ES"/>
                <w14:ligatures w14:val="standardContextual"/>
              </w:rPr>
              <w:t xml:space="preserve"> procedimiento de selección que deben realizar las entidades estatales para escoge</w:t>
            </w:r>
            <w:r w:rsidR="002E0FE2">
              <w:rPr>
                <w:rFonts w:ascii="Verdana" w:eastAsia="Calibri" w:hAnsi="Verdana" w:cs="Arial"/>
                <w:kern w:val="2"/>
                <w:lang w:val="es-ES"/>
                <w14:ligatures w14:val="standardContextual"/>
              </w:rPr>
              <w:t xml:space="preserve">ncia de </w:t>
            </w:r>
            <w:r w:rsidRPr="00E33232">
              <w:rPr>
                <w:rFonts w:ascii="Verdana" w:eastAsia="Calibri" w:hAnsi="Verdana" w:cs="Arial"/>
                <w:kern w:val="2"/>
                <w:lang w:val="es-ES"/>
                <w14:ligatures w14:val="standardContextual"/>
              </w:rPr>
              <w:t xml:space="preserve"> </w:t>
            </w:r>
            <w:r w:rsidR="002E0FE2">
              <w:rPr>
                <w:rFonts w:ascii="Verdana" w:eastAsia="Calibri" w:hAnsi="Verdana" w:cs="Arial"/>
                <w:kern w:val="2"/>
                <w:lang w:val="es-ES"/>
                <w14:ligatures w14:val="standardContextual"/>
              </w:rPr>
              <w:t xml:space="preserve">los contratos de consultoría, los cuales  consisten en aquellos que celebran las entidades </w:t>
            </w:r>
            <w:r w:rsidR="002E0FE2" w:rsidRPr="00C526CB">
              <w:rPr>
                <w:rFonts w:ascii="Verdana" w:eastAsia="Calibri" w:hAnsi="Verdana" w:cs="Arial"/>
                <w:i/>
                <w:iCs/>
                <w:kern w:val="2"/>
                <w:lang w:val="es-ES"/>
                <w14:ligatures w14:val="standardContextual"/>
              </w:rPr>
              <w:t xml:space="preserve">“ (…) </w:t>
            </w:r>
            <w:r w:rsidR="002E0FE2" w:rsidRPr="00C526CB">
              <w:rPr>
                <w:rFonts w:ascii="Verdana" w:eastAsia="Calibri" w:hAnsi="Verdana" w:cs="Arial"/>
                <w:i/>
                <w:iCs/>
                <w:kern w:val="2"/>
                <w14:ligatures w14:val="standardContextual"/>
              </w:rPr>
              <w:t xml:space="preserve">referidos a los estudios necesarios para la ejecución de proyectos de inversión, estudios de diagnóstico, prefactibilidad o factibilidad para programas o proyectos específicos, así como a las asesorías técnicas de coordinación, control y supervisión. </w:t>
            </w:r>
          </w:p>
          <w:p w14:paraId="45D5F05B" w14:textId="7146E415" w:rsidR="00783D07" w:rsidRPr="00C526CB" w:rsidRDefault="002E0FE2" w:rsidP="00F945CE">
            <w:pPr>
              <w:spacing w:after="120" w:line="276" w:lineRule="auto"/>
              <w:jc w:val="both"/>
              <w:rPr>
                <w:rFonts w:ascii="Verdana" w:eastAsia="Calibri" w:hAnsi="Verdana" w:cs="Arial"/>
                <w:kern w:val="2"/>
                <w14:ligatures w14:val="standardContextual"/>
              </w:rPr>
            </w:pPr>
            <w:r w:rsidRPr="00C526CB">
              <w:rPr>
                <w:rFonts w:ascii="Verdana" w:eastAsia="Calibri" w:hAnsi="Verdana" w:cs="Arial"/>
                <w:i/>
                <w:iCs/>
                <w:kern w:val="2"/>
                <w14:ligatures w14:val="standardContextual"/>
              </w:rPr>
              <w:lastRenderedPageBreak/>
              <w:t>Son también contratos de consultoría los que tienen por objeto la interventoría, asesoría, gerencia de obra o de proyectos, dirección, programación y la ejecución de diseños, planos, anteproyectos y proyectos (…)”</w:t>
            </w:r>
            <w:r>
              <w:rPr>
                <w:rFonts w:ascii="Verdana" w:eastAsia="Calibri" w:hAnsi="Verdana" w:cs="Arial"/>
                <w:kern w:val="2"/>
                <w14:ligatures w14:val="standardContextual"/>
              </w:rPr>
              <w:t xml:space="preserve"> tal y como </w:t>
            </w:r>
            <w:r w:rsidR="00783D07" w:rsidRPr="00E33232">
              <w:rPr>
                <w:rFonts w:ascii="Verdana" w:eastAsia="Calibri" w:hAnsi="Verdana" w:cs="Arial"/>
                <w:kern w:val="2"/>
                <w:lang w:val="es-ES"/>
                <w14:ligatures w14:val="standardContextual"/>
              </w:rPr>
              <w:t xml:space="preserve">lo dispuesto en el </w:t>
            </w:r>
            <w:r w:rsidR="00783D07">
              <w:rPr>
                <w:rFonts w:ascii="Verdana" w:eastAsia="Calibri" w:hAnsi="Verdana" w:cs="Arial"/>
                <w:kern w:val="2"/>
                <w:lang w:val="es-ES"/>
                <w14:ligatures w14:val="standardContextual"/>
              </w:rPr>
              <w:t xml:space="preserve">numeral 2 del </w:t>
            </w:r>
            <w:r w:rsidR="00783D07" w:rsidRPr="00E33232">
              <w:rPr>
                <w:rFonts w:ascii="Verdana" w:eastAsia="Calibri" w:hAnsi="Verdana" w:cs="Arial"/>
                <w:kern w:val="2"/>
                <w:lang w:val="es-ES"/>
                <w14:ligatures w14:val="standardContextual"/>
              </w:rPr>
              <w:t>artículo 32, de la Ley 80 de 1993</w:t>
            </w:r>
            <w:r w:rsidR="00783D07">
              <w:rPr>
                <w:rFonts w:ascii="Verdana" w:eastAsia="Calibri" w:hAnsi="Verdana" w:cs="Arial"/>
                <w:kern w:val="2"/>
                <w:lang w:val="es-ES"/>
                <w14:ligatures w14:val="standardContextual"/>
              </w:rPr>
              <w:t>.</w:t>
            </w:r>
          </w:p>
          <w:p w14:paraId="1EDAD578" w14:textId="7B795FDD" w:rsidR="009B644F" w:rsidRPr="00831CDD" w:rsidRDefault="00783D07" w:rsidP="00F945CE">
            <w:pPr>
              <w:spacing w:after="120" w:line="276" w:lineRule="auto"/>
              <w:jc w:val="both"/>
              <w:rPr>
                <w:rFonts w:ascii="Verdana" w:hAnsi="Verdana" w:cs="Arial"/>
                <w:bCs/>
                <w:color w:val="000000" w:themeColor="text1"/>
              </w:rPr>
            </w:pPr>
            <w:r>
              <w:rPr>
                <w:rFonts w:ascii="Verdana" w:hAnsi="Verdana" w:cs="Arial"/>
                <w:bCs/>
                <w:color w:val="000000" w:themeColor="text1"/>
                <w:lang w:val="es-ES_tradnl"/>
              </w:rPr>
              <w:t xml:space="preserve">Ahora bien, </w:t>
            </w:r>
            <w:r w:rsidR="009B644F">
              <w:rPr>
                <w:rFonts w:ascii="Verdana" w:hAnsi="Verdana" w:cs="Arial"/>
                <w:bCs/>
                <w:color w:val="000000" w:themeColor="text1"/>
                <w:lang w:val="es-ES_tradnl"/>
              </w:rPr>
              <w:t>es pertinente indicar que</w:t>
            </w:r>
            <w:r w:rsidR="001A6A84">
              <w:rPr>
                <w:rFonts w:ascii="Verdana" w:hAnsi="Verdana" w:cs="Arial"/>
                <w:bCs/>
                <w:color w:val="000000" w:themeColor="text1"/>
                <w:lang w:val="es-ES_tradnl"/>
              </w:rPr>
              <w:t xml:space="preserve">, </w:t>
            </w:r>
            <w:r w:rsidR="009B644F" w:rsidRPr="00831CDD">
              <w:rPr>
                <w:rFonts w:ascii="Verdana" w:hAnsi="Verdana" w:cs="Arial"/>
                <w:bCs/>
                <w:color w:val="000000" w:themeColor="text1"/>
                <w:lang w:val="es-ES_tradnl"/>
              </w:rPr>
              <w:t xml:space="preserve">en desarrollo del principio de selección objetiva </w:t>
            </w:r>
            <w:r w:rsidR="009B644F" w:rsidRPr="00831CDD">
              <w:rPr>
                <w:rFonts w:ascii="Verdana" w:hAnsi="Verdana" w:cs="Arial"/>
                <w:bCs/>
                <w:color w:val="000000" w:themeColor="text1"/>
              </w:rPr>
              <w:t xml:space="preserve">la entidad estatal es autónoma de señalar </w:t>
            </w:r>
            <w:r w:rsidR="001A6A84">
              <w:rPr>
                <w:rFonts w:ascii="Verdana" w:hAnsi="Verdana" w:cs="Arial"/>
                <w:bCs/>
                <w:color w:val="000000" w:themeColor="text1"/>
              </w:rPr>
              <w:t xml:space="preserve">dentro de su pliego de condiciones </w:t>
            </w:r>
            <w:r w:rsidR="009B644F" w:rsidRPr="00831CDD">
              <w:rPr>
                <w:rFonts w:ascii="Verdana" w:hAnsi="Verdana" w:cs="Arial"/>
                <w:bCs/>
                <w:color w:val="000000" w:themeColor="text1"/>
              </w:rPr>
              <w:t>los criterios de evaluación</w:t>
            </w:r>
            <w:r w:rsidR="001A6A84">
              <w:rPr>
                <w:rFonts w:ascii="Verdana" w:hAnsi="Verdana" w:cs="Arial"/>
                <w:bCs/>
                <w:color w:val="000000" w:themeColor="text1"/>
              </w:rPr>
              <w:t xml:space="preserve"> del proceso de contratación</w:t>
            </w:r>
            <w:r w:rsidR="009B644F" w:rsidRPr="00831CDD">
              <w:rPr>
                <w:rFonts w:ascii="Verdana" w:hAnsi="Verdana" w:cs="Arial"/>
                <w:bCs/>
                <w:color w:val="000000" w:themeColor="text1"/>
              </w:rPr>
              <w:t xml:space="preserve">, </w:t>
            </w:r>
            <w:r w:rsidR="001A6A84" w:rsidRPr="00831CDD">
              <w:rPr>
                <w:rFonts w:ascii="Verdana" w:hAnsi="Verdana" w:cs="Arial"/>
                <w:bCs/>
                <w:color w:val="000000" w:themeColor="text1"/>
              </w:rPr>
              <w:t>así</w:t>
            </w:r>
            <w:r w:rsidR="009B644F" w:rsidRPr="00831CDD">
              <w:rPr>
                <w:rFonts w:ascii="Verdana" w:hAnsi="Verdana" w:cs="Arial"/>
                <w:bCs/>
                <w:color w:val="000000" w:themeColor="text1"/>
              </w:rPr>
              <w:t xml:space="preserve"> como los factores de escogencia y calificación </w:t>
            </w:r>
            <w:proofErr w:type="gramStart"/>
            <w:r w:rsidR="001A6A84">
              <w:rPr>
                <w:rFonts w:ascii="Verdana" w:hAnsi="Verdana" w:cs="Arial"/>
                <w:bCs/>
                <w:color w:val="000000" w:themeColor="text1"/>
              </w:rPr>
              <w:t>del mismo</w:t>
            </w:r>
            <w:proofErr w:type="gramEnd"/>
            <w:r w:rsidR="001A6A84">
              <w:rPr>
                <w:rFonts w:ascii="Verdana" w:hAnsi="Verdana" w:cs="Arial"/>
                <w:bCs/>
                <w:color w:val="000000" w:themeColor="text1"/>
              </w:rPr>
              <w:t xml:space="preserve">, </w:t>
            </w:r>
            <w:r w:rsidR="009B644F" w:rsidRPr="00831CDD">
              <w:rPr>
                <w:rFonts w:ascii="Verdana" w:hAnsi="Verdana" w:cs="Arial"/>
                <w:bCs/>
                <w:color w:val="000000" w:themeColor="text1"/>
              </w:rPr>
              <w:t>de acuerdo con lo previsto en el numeral 4 del artículo 5 de la Ley 1150 de 2007 definidos en el artículo 2.2.1.2.1.3.1 y subsiguientes del Decreto 1082 de 2015.</w:t>
            </w:r>
          </w:p>
          <w:p w14:paraId="6E5CF565" w14:textId="3FE01FE2" w:rsidR="00E03793" w:rsidRDefault="002E0FE2" w:rsidP="00F945CE">
            <w:pPr>
              <w:spacing w:after="120" w:line="276" w:lineRule="auto"/>
              <w:jc w:val="both"/>
              <w:rPr>
                <w:rFonts w:ascii="Verdana" w:hAnsi="Verdana" w:cs="Arial"/>
                <w:bCs/>
                <w:color w:val="000000" w:themeColor="text1"/>
              </w:rPr>
            </w:pPr>
            <w:r>
              <w:rPr>
                <w:rFonts w:ascii="Verdana" w:hAnsi="Verdana" w:cs="Arial"/>
                <w:bCs/>
                <w:color w:val="000000" w:themeColor="text1"/>
              </w:rPr>
              <w:t>En ese sentido</w:t>
            </w:r>
            <w:r w:rsidR="000603F8">
              <w:rPr>
                <w:rFonts w:ascii="Verdana" w:hAnsi="Verdana" w:cs="Arial"/>
                <w:bCs/>
                <w:color w:val="000000" w:themeColor="text1"/>
              </w:rPr>
              <w:t xml:space="preserve">, </w:t>
            </w:r>
            <w:r w:rsidR="009B644F">
              <w:rPr>
                <w:rFonts w:ascii="Verdana" w:hAnsi="Verdana" w:cs="Arial"/>
                <w:bCs/>
                <w:color w:val="000000" w:themeColor="text1"/>
              </w:rPr>
              <w:t>en el marco de</w:t>
            </w:r>
            <w:r w:rsidR="009B644F" w:rsidRPr="00831CDD">
              <w:rPr>
                <w:rFonts w:ascii="Verdana" w:hAnsi="Verdana" w:cs="Arial"/>
                <w:bCs/>
                <w:color w:val="000000" w:themeColor="text1"/>
              </w:rPr>
              <w:t xml:space="preserve"> lo previsto en el numeral 1 del artículo 2.2.1.2.1.3.2.del Decreto 1082 de 2015</w:t>
            </w:r>
            <w:r w:rsidR="00E03793">
              <w:rPr>
                <w:rFonts w:ascii="Verdana" w:hAnsi="Verdana" w:cs="Arial"/>
                <w:bCs/>
                <w:color w:val="000000" w:themeColor="text1"/>
              </w:rPr>
              <w:t xml:space="preserve"> se señalan los criterios de evaluación que debe tener en cuenta la entidad contratante, asi: </w:t>
            </w:r>
          </w:p>
          <w:p w14:paraId="31CFD6B4" w14:textId="77777777" w:rsidR="00E03793" w:rsidRDefault="009B644F" w:rsidP="00F945CE">
            <w:pPr>
              <w:spacing w:after="120" w:line="276" w:lineRule="auto"/>
              <w:jc w:val="both"/>
              <w:rPr>
                <w:rFonts w:ascii="Verdana" w:hAnsi="Verdana" w:cs="Arial"/>
                <w:bCs/>
                <w:i/>
                <w:iCs/>
                <w:color w:val="000000" w:themeColor="text1"/>
              </w:rPr>
            </w:pPr>
            <w:r w:rsidRPr="00831CDD">
              <w:rPr>
                <w:rFonts w:ascii="Verdana" w:hAnsi="Verdana" w:cs="Arial"/>
                <w:bCs/>
                <w:color w:val="000000" w:themeColor="text1"/>
              </w:rPr>
              <w:t xml:space="preserve">  </w:t>
            </w:r>
            <w:r w:rsidRPr="00831CDD">
              <w:rPr>
                <w:rFonts w:ascii="Verdana" w:hAnsi="Verdana" w:cs="Arial"/>
                <w:bCs/>
                <w:i/>
                <w:iCs/>
                <w:color w:val="000000" w:themeColor="text1"/>
              </w:rPr>
              <w:t>“La Entidad Estatal en los pliegos de condiciones debe indicar la forma como calificará (evaluará), entre otros, los siguientes criterios: a) la experiencia del interesado y del equipo de trabajo y b) la formación académica del equipo de trabajo”.</w:t>
            </w:r>
            <w:r w:rsidR="002E0FE2">
              <w:rPr>
                <w:rFonts w:ascii="Verdana" w:hAnsi="Verdana" w:cs="Arial"/>
                <w:bCs/>
                <w:i/>
                <w:iCs/>
                <w:color w:val="000000" w:themeColor="text1"/>
              </w:rPr>
              <w:t xml:space="preserve"> </w:t>
            </w:r>
          </w:p>
          <w:p w14:paraId="4C3C2580" w14:textId="5CE4E632" w:rsidR="009B644F" w:rsidRDefault="00E03793" w:rsidP="00F945CE">
            <w:pPr>
              <w:spacing w:after="120" w:line="276" w:lineRule="auto"/>
              <w:jc w:val="both"/>
              <w:rPr>
                <w:rFonts w:ascii="Verdana" w:hAnsi="Verdana" w:cs="Arial"/>
                <w:bCs/>
                <w:color w:val="000000" w:themeColor="text1"/>
              </w:rPr>
            </w:pPr>
            <w:r>
              <w:rPr>
                <w:rFonts w:ascii="Verdana" w:hAnsi="Verdana" w:cs="Arial"/>
                <w:bCs/>
                <w:color w:val="000000" w:themeColor="text1"/>
              </w:rPr>
              <w:t>Conforme a lo anterior</w:t>
            </w:r>
            <w:r w:rsidR="002E0FE2">
              <w:rPr>
                <w:rFonts w:ascii="Verdana" w:hAnsi="Verdana" w:cs="Arial"/>
                <w:bCs/>
                <w:color w:val="000000" w:themeColor="text1"/>
              </w:rPr>
              <w:t>, los criterios son los señalados por la norma ibidem</w:t>
            </w:r>
            <w:r>
              <w:rPr>
                <w:rFonts w:ascii="Verdana" w:hAnsi="Verdana" w:cs="Arial"/>
                <w:bCs/>
                <w:color w:val="000000" w:themeColor="text1"/>
              </w:rPr>
              <w:t xml:space="preserve"> de manera literal</w:t>
            </w:r>
            <w:r w:rsidR="002E0FE2">
              <w:rPr>
                <w:rFonts w:ascii="Verdana" w:hAnsi="Verdana" w:cs="Arial"/>
                <w:bCs/>
                <w:color w:val="000000" w:themeColor="text1"/>
              </w:rPr>
              <w:t xml:space="preserve"> y la Entidad contratante deberá exigirlos conforme al principio de selección objetiva dando aplicación de forma aut</w:t>
            </w:r>
            <w:r>
              <w:rPr>
                <w:rFonts w:ascii="Verdana" w:hAnsi="Verdana" w:cs="Arial"/>
                <w:bCs/>
                <w:color w:val="000000" w:themeColor="text1"/>
              </w:rPr>
              <w:t>ó</w:t>
            </w:r>
            <w:r w:rsidR="002E0FE2">
              <w:rPr>
                <w:rFonts w:ascii="Verdana" w:hAnsi="Verdana" w:cs="Arial"/>
                <w:bCs/>
                <w:color w:val="000000" w:themeColor="text1"/>
              </w:rPr>
              <w:t>noma a las reglas de escogencia señaladas en el artículo citado</w:t>
            </w:r>
            <w:r w:rsidR="00A81F1E">
              <w:rPr>
                <w:rFonts w:ascii="Verdana" w:hAnsi="Verdana" w:cs="Arial"/>
                <w:bCs/>
                <w:color w:val="000000" w:themeColor="text1"/>
              </w:rPr>
              <w:t xml:space="preserve"> y estableciendo reglas de puntuación de los mismos de forma autónoma en el pliego de condiciones.</w:t>
            </w:r>
          </w:p>
          <w:p w14:paraId="10DCE541" w14:textId="79CCD3DD" w:rsidR="00A81F1E" w:rsidRPr="00C526CB" w:rsidRDefault="00E03793" w:rsidP="00F945CE">
            <w:pPr>
              <w:spacing w:after="120" w:line="276" w:lineRule="auto"/>
              <w:jc w:val="both"/>
              <w:rPr>
                <w:rFonts w:ascii="Verdana" w:hAnsi="Verdana" w:cs="Arial"/>
                <w:bCs/>
                <w:color w:val="000000" w:themeColor="text1"/>
              </w:rPr>
            </w:pPr>
            <w:r>
              <w:rPr>
                <w:rFonts w:ascii="Verdana" w:hAnsi="Verdana" w:cs="Arial"/>
                <w:bCs/>
                <w:color w:val="000000" w:themeColor="text1"/>
              </w:rPr>
              <w:t>E</w:t>
            </w:r>
            <w:r w:rsidR="00A81F1E" w:rsidRPr="00F31DD9">
              <w:rPr>
                <w:rFonts w:ascii="Verdana" w:hAnsi="Verdana" w:cs="Arial"/>
                <w:bCs/>
                <w:color w:val="000000" w:themeColor="text1"/>
              </w:rPr>
              <w:t>n el momento de la elaboración de los pliegos de condiciones se debe señalar cómo se calificarán estos factores</w:t>
            </w:r>
            <w:r>
              <w:rPr>
                <w:rFonts w:ascii="Verdana" w:hAnsi="Verdana" w:cs="Arial"/>
                <w:bCs/>
                <w:color w:val="000000" w:themeColor="text1"/>
              </w:rPr>
              <w:t>.</w:t>
            </w:r>
            <w:r w:rsidR="00A81F1E">
              <w:rPr>
                <w:rFonts w:ascii="Verdana" w:hAnsi="Verdana" w:cs="Arial"/>
                <w:bCs/>
                <w:color w:val="000000" w:themeColor="text1"/>
              </w:rPr>
              <w:t xml:space="preserve"> </w:t>
            </w:r>
            <w:r>
              <w:rPr>
                <w:rFonts w:ascii="Verdana" w:hAnsi="Verdana" w:cs="Arial"/>
                <w:bCs/>
                <w:color w:val="000000" w:themeColor="text1"/>
              </w:rPr>
              <w:t>P</w:t>
            </w:r>
            <w:r w:rsidR="00A81F1E">
              <w:rPr>
                <w:rFonts w:ascii="Verdana" w:hAnsi="Verdana" w:cs="Arial"/>
                <w:bCs/>
                <w:color w:val="000000" w:themeColor="text1"/>
              </w:rPr>
              <w:t>or</w:t>
            </w:r>
            <w:r>
              <w:rPr>
                <w:rFonts w:ascii="Verdana" w:hAnsi="Verdana" w:cs="Arial"/>
                <w:bCs/>
                <w:color w:val="000000" w:themeColor="text1"/>
              </w:rPr>
              <w:t xml:space="preserve"> tal razón</w:t>
            </w:r>
            <w:r w:rsidR="00A81F1E">
              <w:rPr>
                <w:rFonts w:ascii="Verdana" w:hAnsi="Verdana" w:cs="Arial"/>
                <w:bCs/>
                <w:color w:val="000000" w:themeColor="text1"/>
              </w:rPr>
              <w:t xml:space="preserve"> l</w:t>
            </w:r>
            <w:r>
              <w:rPr>
                <w:rFonts w:ascii="Verdana" w:hAnsi="Verdana" w:cs="Arial"/>
                <w:bCs/>
                <w:color w:val="000000" w:themeColor="text1"/>
              </w:rPr>
              <w:t>e</w:t>
            </w:r>
            <w:r w:rsidR="00A81F1E">
              <w:rPr>
                <w:rFonts w:ascii="Verdana" w:hAnsi="Verdana" w:cs="Arial"/>
                <w:bCs/>
                <w:color w:val="000000" w:themeColor="text1"/>
              </w:rPr>
              <w:t xml:space="preserve"> </w:t>
            </w:r>
            <w:r w:rsidR="00A81F1E" w:rsidRPr="00831CDD">
              <w:rPr>
                <w:rFonts w:ascii="Verdana" w:eastAsia="Calibri" w:hAnsi="Verdana" w:cs="Arial"/>
                <w:lang w:val="es-ES"/>
              </w:rPr>
              <w:t xml:space="preserve">corresponde a cada entidad pública, en ejercicio de su competencia y previa valoración de los elementos fácticos y jurídicos, así como de las disposiciones legales mencionadas, determinar los requisitos que debe acreditar el proponente y los factores de calificación del proceso de selección. </w:t>
            </w:r>
          </w:p>
          <w:p w14:paraId="12F2C1BD" w14:textId="77777777" w:rsidR="009B644F" w:rsidRDefault="009B644F" w:rsidP="00F945CE">
            <w:pPr>
              <w:spacing w:after="120" w:line="276" w:lineRule="auto"/>
              <w:jc w:val="both"/>
              <w:rPr>
                <w:rFonts w:ascii="Verdana" w:hAnsi="Verdana" w:cs="Arial"/>
              </w:rPr>
            </w:pPr>
            <w:r>
              <w:rPr>
                <w:rFonts w:ascii="Verdana" w:hAnsi="Verdana"/>
                <w:lang w:val="es-MX"/>
              </w:rPr>
              <w:t>Asi las cosas,</w:t>
            </w:r>
            <w:r w:rsidRPr="00831CDD">
              <w:rPr>
                <w:rFonts w:ascii="Verdana" w:hAnsi="Verdana"/>
                <w:lang w:val="es-MX"/>
              </w:rPr>
              <w:t xml:space="preserve"> el contrato de consultoría </w:t>
            </w:r>
            <w:r w:rsidRPr="00831CDD">
              <w:rPr>
                <w:rFonts w:ascii="Verdana" w:hAnsi="Verdana" w:cs="Arial"/>
              </w:rPr>
              <w:t xml:space="preserve">tiene como proposito el desarrollo de actividades que implican el despliegue de actividades de carácter eminentemente intelectivo, dirigidas, específicamente, al cumplimiento de los cometidos expresamente definidos por el numeral 2° del artículo 32 de la Ley 80 de 1993; esto es, para la realización de estudios necesarios para la ejecución de proyectos de inversión, estudios de diagnóstico, prefactibilidad o </w:t>
            </w:r>
            <w:r w:rsidRPr="00831CDD">
              <w:rPr>
                <w:rFonts w:ascii="Verdana" w:hAnsi="Verdana" w:cs="Arial"/>
              </w:rPr>
              <w:lastRenderedPageBreak/>
              <w:t>factibilidad para programas o proyectos específicos, así como a las asesorías técnicas de coordinación, control o supervisión.</w:t>
            </w:r>
          </w:p>
          <w:p w14:paraId="05FF35F2" w14:textId="274913ED" w:rsidR="009B644F" w:rsidRPr="00831CDD" w:rsidRDefault="009B644F" w:rsidP="00F945CE">
            <w:pPr>
              <w:tabs>
                <w:tab w:val="left" w:pos="426"/>
                <w:tab w:val="left" w:pos="709"/>
              </w:tabs>
              <w:spacing w:after="120" w:line="276" w:lineRule="auto"/>
              <w:jc w:val="both"/>
              <w:rPr>
                <w:rFonts w:ascii="Verdana" w:hAnsi="Verdana"/>
                <w:lang w:val="es-MX"/>
              </w:rPr>
            </w:pPr>
            <w:r w:rsidRPr="00831CDD">
              <w:rPr>
                <w:rFonts w:ascii="Verdana" w:hAnsi="Verdana" w:cs="Arial"/>
                <w:bCs/>
                <w:color w:val="000000" w:themeColor="text1"/>
              </w:rPr>
              <w:t xml:space="preserve">Es de precisar que la </w:t>
            </w:r>
            <w:r w:rsidR="00E03793">
              <w:rPr>
                <w:rFonts w:ascii="Verdana" w:hAnsi="Verdana" w:cs="Arial"/>
                <w:bCs/>
                <w:color w:val="000000" w:themeColor="text1"/>
              </w:rPr>
              <w:t>L</w:t>
            </w:r>
            <w:r w:rsidRPr="00831CDD">
              <w:rPr>
                <w:rFonts w:ascii="Verdana" w:hAnsi="Verdana" w:cs="Arial"/>
                <w:bCs/>
                <w:color w:val="000000" w:themeColor="text1"/>
              </w:rPr>
              <w:t xml:space="preserve">ey </w:t>
            </w:r>
            <w:r w:rsidR="00E03793">
              <w:rPr>
                <w:rFonts w:ascii="Verdana" w:hAnsi="Verdana" w:cs="Arial"/>
                <w:bCs/>
                <w:color w:val="000000" w:themeColor="text1"/>
              </w:rPr>
              <w:t xml:space="preserve">y norma reglamentaria </w:t>
            </w:r>
            <w:r w:rsidRPr="00831CDD">
              <w:rPr>
                <w:rFonts w:ascii="Verdana" w:hAnsi="Verdana"/>
                <w:lang w:val="es-MX"/>
              </w:rPr>
              <w:t>regula</w:t>
            </w:r>
            <w:r w:rsidR="00E03793">
              <w:rPr>
                <w:rFonts w:ascii="Verdana" w:hAnsi="Verdana"/>
                <w:lang w:val="es-MX"/>
              </w:rPr>
              <w:t>n</w:t>
            </w:r>
            <w:r w:rsidRPr="00831CDD">
              <w:rPr>
                <w:rFonts w:ascii="Verdana" w:hAnsi="Verdana"/>
                <w:lang w:val="es-MX"/>
              </w:rPr>
              <w:t xml:space="preserve"> las distintas modalidades del concurso de m</w:t>
            </w:r>
            <w:r w:rsidRPr="00831CDD">
              <w:rPr>
                <w:rFonts w:ascii="Verdana" w:hAnsi="Verdana" w:hint="eastAsia"/>
                <w:lang w:val="es-MX"/>
              </w:rPr>
              <w:t>é</w:t>
            </w:r>
            <w:r w:rsidRPr="00831CDD">
              <w:rPr>
                <w:rFonts w:ascii="Verdana" w:hAnsi="Verdana"/>
                <w:lang w:val="es-MX"/>
              </w:rPr>
              <w:t>ritos: i) concurso de m</w:t>
            </w:r>
            <w:r w:rsidRPr="00831CDD">
              <w:rPr>
                <w:rFonts w:ascii="Verdana" w:hAnsi="Verdana" w:hint="eastAsia"/>
                <w:lang w:val="es-MX"/>
              </w:rPr>
              <w:t>é</w:t>
            </w:r>
            <w:r w:rsidRPr="00831CDD">
              <w:rPr>
                <w:rFonts w:ascii="Verdana" w:hAnsi="Verdana"/>
                <w:lang w:val="es-MX"/>
              </w:rPr>
              <w:t>ritos abierto o sin precalificaci</w:t>
            </w:r>
            <w:r w:rsidRPr="00831CDD">
              <w:rPr>
                <w:rFonts w:ascii="Verdana" w:hAnsi="Verdana" w:hint="eastAsia"/>
                <w:lang w:val="es-MX"/>
              </w:rPr>
              <w:t>ó</w:t>
            </w:r>
            <w:r w:rsidRPr="00831CDD">
              <w:rPr>
                <w:rFonts w:ascii="Verdana" w:hAnsi="Verdana"/>
                <w:lang w:val="es-MX"/>
              </w:rPr>
              <w:t>n, ii) concurso de m</w:t>
            </w:r>
            <w:r w:rsidRPr="00831CDD">
              <w:rPr>
                <w:rFonts w:ascii="Verdana" w:hAnsi="Verdana" w:hint="eastAsia"/>
                <w:lang w:val="es-MX"/>
              </w:rPr>
              <w:t>é</w:t>
            </w:r>
            <w:r w:rsidRPr="00831CDD">
              <w:rPr>
                <w:rFonts w:ascii="Verdana" w:hAnsi="Verdana"/>
                <w:lang w:val="es-MX"/>
              </w:rPr>
              <w:t>ritos cerrado o con precalificaci</w:t>
            </w:r>
            <w:r w:rsidRPr="00831CDD">
              <w:rPr>
                <w:rFonts w:ascii="Verdana" w:hAnsi="Verdana" w:hint="eastAsia"/>
                <w:lang w:val="es-MX"/>
              </w:rPr>
              <w:t>ó</w:t>
            </w:r>
            <w:r w:rsidRPr="00831CDD">
              <w:rPr>
                <w:rFonts w:ascii="Verdana" w:hAnsi="Verdana"/>
                <w:lang w:val="es-MX"/>
              </w:rPr>
              <w:t>n y iii) concurso de m</w:t>
            </w:r>
            <w:r w:rsidRPr="00831CDD">
              <w:rPr>
                <w:rFonts w:ascii="Verdana" w:hAnsi="Verdana" w:hint="eastAsia"/>
                <w:lang w:val="es-MX"/>
              </w:rPr>
              <w:t>é</w:t>
            </w:r>
            <w:r w:rsidRPr="00831CDD">
              <w:rPr>
                <w:rFonts w:ascii="Verdana" w:hAnsi="Verdana"/>
                <w:lang w:val="es-MX"/>
              </w:rPr>
              <w:t xml:space="preserve">ritos </w:t>
            </w:r>
            <w:r w:rsidRPr="00831CDD">
              <w:rPr>
                <w:rFonts w:ascii="Verdana" w:hAnsi="Verdana" w:hint="eastAsia"/>
                <w:lang w:val="es-MX"/>
              </w:rPr>
              <w:t>“</w:t>
            </w:r>
            <w:r w:rsidRPr="00831CDD">
              <w:rPr>
                <w:rFonts w:ascii="Verdana" w:hAnsi="Verdana"/>
                <w:lang w:val="es-MX"/>
              </w:rPr>
              <w:t>para la selecci</w:t>
            </w:r>
            <w:r w:rsidRPr="00831CDD">
              <w:rPr>
                <w:rFonts w:ascii="Verdana" w:hAnsi="Verdana" w:hint="eastAsia"/>
                <w:lang w:val="es-MX"/>
              </w:rPr>
              <w:t>ó</w:t>
            </w:r>
            <w:r w:rsidRPr="00831CDD">
              <w:rPr>
                <w:rFonts w:ascii="Verdana" w:hAnsi="Verdana"/>
                <w:lang w:val="es-MX"/>
              </w:rPr>
              <w:t>n de consultores de dise</w:t>
            </w:r>
            <w:r w:rsidRPr="00831CDD">
              <w:rPr>
                <w:rFonts w:ascii="Verdana" w:hAnsi="Verdana" w:hint="eastAsia"/>
                <w:lang w:val="es-MX"/>
              </w:rPr>
              <w:t>ñ</w:t>
            </w:r>
            <w:r w:rsidRPr="00831CDD">
              <w:rPr>
                <w:rFonts w:ascii="Verdana" w:hAnsi="Verdana"/>
                <w:lang w:val="es-MX"/>
              </w:rPr>
              <w:t>o, planos, anteproyectos y proyectos arquitect</w:t>
            </w:r>
            <w:r w:rsidRPr="00831CDD">
              <w:rPr>
                <w:rFonts w:ascii="Verdana" w:hAnsi="Verdana" w:hint="eastAsia"/>
                <w:lang w:val="es-MX"/>
              </w:rPr>
              <w:t>ó</w:t>
            </w:r>
            <w:r w:rsidRPr="00831CDD">
              <w:rPr>
                <w:rFonts w:ascii="Verdana" w:hAnsi="Verdana"/>
                <w:lang w:val="es-MX"/>
              </w:rPr>
              <w:t>nicos. El primero est</w:t>
            </w:r>
            <w:r w:rsidRPr="00831CDD">
              <w:rPr>
                <w:rFonts w:ascii="Verdana" w:hAnsi="Verdana" w:hint="eastAsia"/>
                <w:lang w:val="es-MX"/>
              </w:rPr>
              <w:t>á</w:t>
            </w:r>
            <w:r w:rsidRPr="00831CDD">
              <w:rPr>
                <w:rFonts w:ascii="Verdana" w:hAnsi="Verdana"/>
                <w:lang w:val="es-MX"/>
              </w:rPr>
              <w:t xml:space="preserve"> regulado en los art</w:t>
            </w:r>
            <w:r w:rsidRPr="00831CDD">
              <w:rPr>
                <w:rFonts w:ascii="Verdana" w:hAnsi="Verdana" w:hint="eastAsia"/>
                <w:lang w:val="es-MX"/>
              </w:rPr>
              <w:t>í</w:t>
            </w:r>
            <w:r w:rsidRPr="00831CDD">
              <w:rPr>
                <w:rFonts w:ascii="Verdana" w:hAnsi="Verdana"/>
                <w:lang w:val="es-MX"/>
              </w:rPr>
              <w:t>culos 2.2.1.2.1.3.1. y 2.2.1.2.1.3.2.</w:t>
            </w:r>
            <w:r w:rsidR="00E03793">
              <w:rPr>
                <w:rFonts w:ascii="Verdana" w:hAnsi="Verdana"/>
                <w:lang w:val="es-MX"/>
              </w:rPr>
              <w:t xml:space="preserve"> </w:t>
            </w:r>
            <w:r w:rsidRPr="00831CDD">
              <w:rPr>
                <w:rFonts w:ascii="Verdana" w:hAnsi="Verdana"/>
                <w:lang w:val="es-MX"/>
              </w:rPr>
              <w:t>El segundo, adem</w:t>
            </w:r>
            <w:r w:rsidRPr="00831CDD">
              <w:rPr>
                <w:rFonts w:ascii="Verdana" w:hAnsi="Verdana" w:hint="eastAsia"/>
                <w:lang w:val="es-MX"/>
              </w:rPr>
              <w:t>á</w:t>
            </w:r>
            <w:r w:rsidRPr="00831CDD">
              <w:rPr>
                <w:rFonts w:ascii="Verdana" w:hAnsi="Verdana"/>
                <w:lang w:val="es-MX"/>
              </w:rPr>
              <w:t>s de los dos art</w:t>
            </w:r>
            <w:r w:rsidRPr="00831CDD">
              <w:rPr>
                <w:rFonts w:ascii="Verdana" w:hAnsi="Verdana" w:hint="eastAsia"/>
                <w:lang w:val="es-MX"/>
              </w:rPr>
              <w:t>í</w:t>
            </w:r>
            <w:r w:rsidRPr="00831CDD">
              <w:rPr>
                <w:rFonts w:ascii="Verdana" w:hAnsi="Verdana"/>
                <w:lang w:val="es-MX"/>
              </w:rPr>
              <w:t>culos anteriores, lo regulan los art</w:t>
            </w:r>
            <w:r w:rsidRPr="00831CDD">
              <w:rPr>
                <w:rFonts w:ascii="Verdana" w:hAnsi="Verdana" w:hint="eastAsia"/>
                <w:lang w:val="es-MX"/>
              </w:rPr>
              <w:t>í</w:t>
            </w:r>
            <w:r w:rsidRPr="00831CDD">
              <w:rPr>
                <w:rFonts w:ascii="Verdana" w:hAnsi="Verdana"/>
                <w:lang w:val="es-MX"/>
              </w:rPr>
              <w:t>culos 2.2.1.2.1.3.3. a 2.2.1.2.1.3.7. El tercero lo regulan los art</w:t>
            </w:r>
            <w:r w:rsidRPr="00831CDD">
              <w:rPr>
                <w:rFonts w:ascii="Verdana" w:hAnsi="Verdana" w:hint="eastAsia"/>
                <w:lang w:val="es-MX"/>
              </w:rPr>
              <w:t>í</w:t>
            </w:r>
            <w:r w:rsidRPr="00831CDD">
              <w:rPr>
                <w:rFonts w:ascii="Verdana" w:hAnsi="Verdana"/>
                <w:lang w:val="es-MX"/>
              </w:rPr>
              <w:t>culos 2.2.1.2.1.3.8. a 2.2.1.2.1.3.25. del mencionado Decreto 1082 de 2015</w:t>
            </w:r>
            <w:r w:rsidRPr="00831CDD">
              <w:rPr>
                <w:vertAlign w:val="superscript"/>
                <w:lang w:val="es-MX"/>
              </w:rPr>
              <w:footnoteReference w:id="1"/>
            </w:r>
            <w:r w:rsidRPr="00831CDD">
              <w:rPr>
                <w:rFonts w:ascii="Verdana" w:hAnsi="Verdana"/>
                <w:lang w:val="es-MX"/>
              </w:rPr>
              <w:t>.</w:t>
            </w:r>
          </w:p>
          <w:p w14:paraId="2AC546ED" w14:textId="77777777" w:rsidR="009B644F" w:rsidRPr="00831CDD" w:rsidRDefault="009B644F" w:rsidP="00F945CE">
            <w:pPr>
              <w:tabs>
                <w:tab w:val="left" w:pos="426"/>
                <w:tab w:val="left" w:pos="709"/>
              </w:tabs>
              <w:spacing w:after="120" w:line="276" w:lineRule="auto"/>
              <w:jc w:val="both"/>
              <w:rPr>
                <w:rFonts w:ascii="Verdana" w:hAnsi="Verdana"/>
                <w:lang w:val="es-MX"/>
              </w:rPr>
            </w:pPr>
            <w:r w:rsidRPr="00831CDD">
              <w:rPr>
                <w:rFonts w:ascii="Verdana" w:hAnsi="Verdana"/>
                <w:lang w:val="es-MX"/>
              </w:rPr>
              <w:t>De igual manera, de acuerdo con el artículo 2.2.1.1.2.2.3</w:t>
            </w:r>
            <w:r w:rsidRPr="00831CDD">
              <w:rPr>
                <w:rFonts w:ascii="Verdana" w:hAnsi="Verdana"/>
                <w:i/>
                <w:iCs/>
                <w:lang w:val="es-MX"/>
              </w:rPr>
              <w:t xml:space="preserve">. </w:t>
            </w:r>
            <w:r w:rsidRPr="00831CDD">
              <w:rPr>
                <w:rFonts w:ascii="Verdana" w:hAnsi="Verdana"/>
                <w:lang w:val="es-MX"/>
              </w:rPr>
              <w:t xml:space="preserve">del Decreto 1082 de 2015, la entidad estatal puede </w:t>
            </w:r>
            <w:r w:rsidRPr="00831CDD">
              <w:rPr>
                <w:rFonts w:ascii="Verdana" w:hAnsi="Verdana"/>
              </w:rPr>
              <w:t xml:space="preserve">designar un comité evaluador para evaluar las ofertas y las manifestaciones de interés para cada Proceso de Contratación por licitación, selección abreviada y </w:t>
            </w:r>
            <w:r w:rsidRPr="00831CDD">
              <w:rPr>
                <w:rFonts w:ascii="Verdana" w:hAnsi="Verdana"/>
                <w:b/>
                <w:bCs/>
              </w:rPr>
              <w:t>concurso de méritos</w:t>
            </w:r>
            <w:r w:rsidRPr="00831CDD">
              <w:rPr>
                <w:rFonts w:ascii="Verdana" w:hAnsi="Verdana"/>
                <w:lang w:val="es-MX"/>
              </w:rPr>
              <w:t>,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231640A7" w14:textId="2CCC9CB5" w:rsidR="00B812CE" w:rsidRDefault="00B812CE" w:rsidP="00F945CE">
            <w:pPr>
              <w:spacing w:after="120" w:line="276" w:lineRule="auto"/>
              <w:jc w:val="both"/>
              <w:rPr>
                <w:rFonts w:ascii="Verdana" w:eastAsia="Calibri" w:hAnsi="Verdana" w:cs="Arial"/>
                <w:lang w:val="es-ES"/>
              </w:rPr>
            </w:pPr>
            <w:r>
              <w:rPr>
                <w:rFonts w:ascii="Verdana" w:eastAsia="Calibri" w:hAnsi="Verdana" w:cs="Arial"/>
                <w:lang w:val="es-ES"/>
              </w:rPr>
              <w:t xml:space="preserve">En cuanto a </w:t>
            </w:r>
            <w:r w:rsidR="009B644F" w:rsidRPr="00831CDD">
              <w:rPr>
                <w:rFonts w:ascii="Verdana" w:eastAsia="Calibri" w:hAnsi="Verdana" w:cs="Arial"/>
                <w:lang w:val="es-ES"/>
              </w:rPr>
              <w:t>la asignación de puntaje es un mecanismo mediante el cual las entidades ponderan los factores de calificación técnicos, de calidad y precio, etc.</w:t>
            </w:r>
            <w:r w:rsidR="009B644F" w:rsidRPr="00831CDD">
              <w:rPr>
                <w:rFonts w:ascii="Arial" w:eastAsia="Calibri" w:hAnsi="Arial" w:cs="Arial"/>
                <w:lang w:val="es-ES"/>
              </w:rPr>
              <w:t>ꟷ</w:t>
            </w:r>
            <w:r w:rsidR="009B644F" w:rsidRPr="00831CDD">
              <w:rPr>
                <w:rFonts w:ascii="Verdana" w:eastAsia="Calibri" w:hAnsi="Verdana" w:cs="Arial"/>
                <w:lang w:val="es-ES"/>
              </w:rPr>
              <w:t xml:space="preserve"> en un determinado proceso de selección, como se desprende del literal a) del numeral 2 del artículo 5 de la Ley 1150 de 2007, en el que, expresamente, se alude al puntaje. Es necesario destacar que las reglas para establecer la oferta más favorable conforme </w:t>
            </w:r>
            <w:r>
              <w:rPr>
                <w:rFonts w:ascii="Verdana" w:eastAsia="Calibri" w:hAnsi="Verdana" w:cs="Arial"/>
                <w:lang w:val="es-ES"/>
              </w:rPr>
              <w:t>a la norma citada</w:t>
            </w:r>
            <w:r w:rsidR="009B644F" w:rsidRPr="00831CDD">
              <w:rPr>
                <w:rFonts w:ascii="Verdana" w:eastAsia="Calibri" w:hAnsi="Verdana" w:cs="Arial"/>
                <w:lang w:val="es-ES"/>
              </w:rPr>
              <w:t xml:space="preserve"> se encuentran reglamentadas en el artículo 2.2.1.1.2.2.2 del Decreto 1082 de 2015. </w:t>
            </w:r>
          </w:p>
          <w:p w14:paraId="6D3ECCE9" w14:textId="5D329F96" w:rsidR="009B644F" w:rsidRPr="00831CDD" w:rsidRDefault="009B644F" w:rsidP="00F945CE">
            <w:pPr>
              <w:spacing w:after="120" w:line="276" w:lineRule="auto"/>
              <w:jc w:val="both"/>
              <w:rPr>
                <w:rFonts w:ascii="Verdana" w:eastAsia="Calibri" w:hAnsi="Verdana" w:cs="Arial"/>
                <w:lang w:val="es-ES"/>
              </w:rPr>
            </w:pPr>
            <w:r w:rsidRPr="00831CDD">
              <w:rPr>
                <w:rFonts w:ascii="Verdana" w:eastAsia="Calibri" w:hAnsi="Verdana" w:cs="Arial"/>
                <w:lang w:val="es-ES"/>
              </w:rPr>
              <w:t>E</w:t>
            </w:r>
            <w:r w:rsidR="00B812CE">
              <w:rPr>
                <w:rFonts w:ascii="Verdana" w:eastAsia="Calibri" w:hAnsi="Verdana" w:cs="Arial"/>
                <w:lang w:val="es-ES"/>
              </w:rPr>
              <w:t>n ese orden de ideas, el</w:t>
            </w:r>
            <w:r w:rsidRPr="00831CDD">
              <w:rPr>
                <w:rFonts w:ascii="Verdana" w:eastAsia="Calibri" w:hAnsi="Verdana" w:cs="Arial"/>
                <w:lang w:val="es-ES"/>
              </w:rPr>
              <w:t xml:space="preserve"> artículo</w:t>
            </w:r>
            <w:r w:rsidR="00B812CE">
              <w:rPr>
                <w:rFonts w:ascii="Verdana" w:eastAsia="Calibri" w:hAnsi="Verdana" w:cs="Arial"/>
                <w:lang w:val="es-ES"/>
              </w:rPr>
              <w:t xml:space="preserve"> </w:t>
            </w:r>
            <w:r w:rsidR="00B812CE" w:rsidRPr="00831CDD">
              <w:rPr>
                <w:rFonts w:ascii="Verdana" w:eastAsia="Calibri" w:hAnsi="Verdana" w:cs="Arial"/>
                <w:lang w:val="es-ES"/>
              </w:rPr>
              <w:t>2.2.1.1.2.2.2</w:t>
            </w:r>
            <w:r w:rsidR="00B812CE">
              <w:rPr>
                <w:rFonts w:ascii="Verdana" w:eastAsia="Calibri" w:hAnsi="Verdana" w:cs="Arial"/>
                <w:lang w:val="es-ES"/>
              </w:rPr>
              <w:t xml:space="preserve"> ibidem</w:t>
            </w:r>
            <w:r w:rsidRPr="00831CDD">
              <w:rPr>
                <w:rFonts w:ascii="Verdana" w:eastAsia="Calibri" w:hAnsi="Verdana" w:cs="Arial"/>
                <w:lang w:val="es-ES"/>
              </w:rPr>
              <w:t xml:space="preserve">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w:t>
            </w:r>
            <w:r w:rsidRPr="00831CDD">
              <w:rPr>
                <w:rFonts w:ascii="Verdana" w:eastAsia="Calibri" w:hAnsi="Verdana" w:cs="Arial"/>
                <w:lang w:val="es-ES"/>
              </w:rPr>
              <w:lastRenderedPageBreak/>
              <w:t xml:space="preserve">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w:t>
            </w:r>
          </w:p>
          <w:p w14:paraId="1D47E62E" w14:textId="77777777" w:rsidR="009B644F" w:rsidRPr="00831CDD" w:rsidRDefault="009B644F" w:rsidP="00F945CE">
            <w:pPr>
              <w:spacing w:after="120" w:line="276" w:lineRule="auto"/>
              <w:jc w:val="both"/>
              <w:rPr>
                <w:rFonts w:ascii="Verdana" w:eastAsia="Calibri" w:hAnsi="Verdana" w:cs="Arial"/>
                <w:lang w:val="es-ES"/>
              </w:rPr>
            </w:pPr>
            <w:r w:rsidRPr="00831CDD">
              <w:rPr>
                <w:rFonts w:ascii="Verdana" w:eastAsia="Calibri" w:hAnsi="Verdana" w:cs="Arial"/>
                <w:lang w:val="es-ES"/>
              </w:rPr>
              <w:t>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6A563CF6" w14:textId="77777777" w:rsidR="009B644F" w:rsidRPr="00831CDD" w:rsidRDefault="009B644F" w:rsidP="00F945CE">
            <w:pPr>
              <w:spacing w:after="120" w:line="276" w:lineRule="auto"/>
              <w:jc w:val="both"/>
              <w:rPr>
                <w:rFonts w:ascii="Verdana" w:eastAsia="Calibri" w:hAnsi="Verdana" w:cs="Arial"/>
                <w:lang w:val="es-ES"/>
              </w:rPr>
            </w:pPr>
            <w:r w:rsidRPr="00831CDD">
              <w:rPr>
                <w:rFonts w:ascii="Verdana" w:eastAsia="Calibri" w:hAnsi="Verdana" w:cs="Arial"/>
                <w:lang w:val="es-ES"/>
              </w:rPr>
              <w:t>De igual forma, es importante aclarar que los criterios de ponderación se establecen en las modalidades donde se evalúan la calidad y el precio, es decir, en la licitación pública, la selección abreviada de menor cuantía y el concurso de méritos. Estos criterios no son aplicables a las modalidades de mínima cuantía ni al proceso de selección mediante subasta, donde se prioriza el menor valor.</w:t>
            </w:r>
          </w:p>
          <w:p w14:paraId="096DA9CC" w14:textId="77777777" w:rsidR="009B644F" w:rsidRPr="00831CDD" w:rsidRDefault="009B644F" w:rsidP="00F945CE">
            <w:pPr>
              <w:spacing w:after="120" w:line="276" w:lineRule="auto"/>
              <w:jc w:val="both"/>
              <w:rPr>
                <w:rFonts w:ascii="Verdana" w:eastAsia="Calibri" w:hAnsi="Verdana" w:cs="Arial"/>
                <w:lang w:val="es-ES"/>
              </w:rPr>
            </w:pPr>
            <w:r w:rsidRPr="00831CDD">
              <w:rPr>
                <w:rFonts w:ascii="Verdana" w:eastAsia="Calibri" w:hAnsi="Verdana" w:cs="Arial"/>
                <w:lang w:val="es-ES"/>
              </w:rPr>
              <w:t>Aunado a lo anterior, de acuerdo con lo establecido en el artículo 2.2.1.1.1.6.1 del Decreto 1082 de 2015, las entidades deben realizar, durante la etapa de planeación, el análisis necesario para conocer el sector relativo al objeto del proceso de contratación desde las perspectivas legal, comercial, financiera, organizacional, técnica y de análisis de riesgo. La entidad estatal debe dejar constancia de este análisis en los documentos del proceso. En este sentido, una vez que la entidad determine los criterios de ponderación para seleccionar la oferta más favorable, teniendo en cuenta la calidad y el precio, deberá soportar dicho análisis y justificación en los documentos del proceso.</w:t>
            </w:r>
          </w:p>
          <w:p w14:paraId="4F17B753" w14:textId="12D7F9E3" w:rsidR="009B644F" w:rsidRPr="00831CDD" w:rsidRDefault="00B812CE" w:rsidP="00F945CE">
            <w:pPr>
              <w:spacing w:after="120" w:line="276" w:lineRule="auto"/>
              <w:jc w:val="both"/>
              <w:rPr>
                <w:rFonts w:ascii="Verdana" w:hAnsi="Verdana" w:cs="Arial"/>
                <w:bCs/>
                <w:color w:val="000000" w:themeColor="text1"/>
              </w:rPr>
            </w:pPr>
            <w:r>
              <w:rPr>
                <w:rFonts w:ascii="Verdana" w:hAnsi="Verdana" w:cs="Arial"/>
                <w:bCs/>
                <w:color w:val="000000" w:themeColor="text1"/>
              </w:rPr>
              <w:t>Finalmente</w:t>
            </w:r>
            <w:r w:rsidR="009B644F" w:rsidRPr="00F31DD9">
              <w:rPr>
                <w:rFonts w:ascii="Verdana" w:hAnsi="Verdana" w:cs="Arial"/>
                <w:bCs/>
                <w:color w:val="000000" w:themeColor="text1"/>
              </w:rPr>
              <w:t>, los factores ponderables en un proceso de selección de concurso de méritos, esto es, los que determinan la escogencia entre los proponentes habilitados, son la experiencia del interesado y su equipo de trabajo, así como la formación académica. De acuerdo con esta normativa, en el momento de la elaboración de los pliegos de condiciones se debe señalar cómo se calificarán estos factores</w:t>
            </w:r>
            <w:r w:rsidR="009B644F">
              <w:rPr>
                <w:rFonts w:ascii="Verdana" w:hAnsi="Verdana" w:cs="Arial"/>
                <w:bCs/>
                <w:color w:val="000000" w:themeColor="text1"/>
              </w:rPr>
              <w:t xml:space="preserve"> por lo que</w:t>
            </w:r>
            <w:r w:rsidR="009B644F" w:rsidRPr="00831CDD">
              <w:rPr>
                <w:rFonts w:ascii="Verdana" w:eastAsia="Calibri" w:hAnsi="Verdana" w:cs="Arial"/>
                <w:lang w:val="es-ES"/>
              </w:rPr>
              <w:t xml:space="preserve"> corresponde a cada entidad pública, en ejercicio de su competencia y previa valoración de los elementos fácticos y jurídicos, así como de las disposiciones legales mencionadas, determinar los requisitos que debe acreditar el proponente y los factores de calificación del proceso de </w:t>
            </w:r>
            <w:r w:rsidR="009B644F" w:rsidRPr="00831CDD">
              <w:rPr>
                <w:rFonts w:ascii="Verdana" w:eastAsia="Calibri" w:hAnsi="Verdana" w:cs="Arial"/>
                <w:lang w:val="es-ES"/>
              </w:rPr>
              <w:lastRenderedPageBreak/>
              <w:t>selección. De esta manera, se establecerá la aptitud para participar en el procedimiento de contratación.</w:t>
            </w:r>
            <w:commentRangeEnd w:id="2"/>
            <w:r w:rsidR="002E0FE2">
              <w:rPr>
                <w:rStyle w:val="Refdecomentario"/>
              </w:rPr>
              <w:commentReference w:id="2"/>
            </w:r>
          </w:p>
        </w:tc>
      </w:tr>
      <w:tr w:rsidR="009B644F" w:rsidRPr="00593A5F" w14:paraId="31380300" w14:textId="77777777" w:rsidTr="00F945CE">
        <w:tc>
          <w:tcPr>
            <w:tcW w:w="8828" w:type="dxa"/>
            <w:shd w:val="clear" w:color="auto" w:fill="auto"/>
          </w:tcPr>
          <w:p w14:paraId="57068C0F" w14:textId="77777777" w:rsidR="009B644F" w:rsidRPr="002973E9" w:rsidRDefault="009B644F" w:rsidP="00F945CE">
            <w:pPr>
              <w:spacing w:line="276" w:lineRule="auto"/>
              <w:jc w:val="both"/>
              <w:rPr>
                <w:rFonts w:ascii="Verdana" w:eastAsia="Calibri" w:hAnsi="Verdana" w:cs="Arial"/>
                <w:lang w:val="es-ES"/>
              </w:rPr>
            </w:pPr>
          </w:p>
        </w:tc>
      </w:tr>
    </w:tbl>
    <w:p w14:paraId="4CD7F1E3" w14:textId="77777777" w:rsidR="009B644F" w:rsidRDefault="009B644F" w:rsidP="009B644F">
      <w:pPr>
        <w:tabs>
          <w:tab w:val="left" w:pos="142"/>
          <w:tab w:val="left" w:pos="284"/>
        </w:tabs>
        <w:spacing w:after="0" w:line="276" w:lineRule="auto"/>
        <w:jc w:val="both"/>
        <w:rPr>
          <w:rFonts w:ascii="Verdana" w:eastAsia="Century Gothic" w:hAnsi="Verdana" w:cs="Century Gothic"/>
          <w:b/>
          <w:bCs/>
          <w:lang w:val="es-ES"/>
        </w:rPr>
      </w:pPr>
    </w:p>
    <w:p w14:paraId="136777F8" w14:textId="77777777" w:rsidR="009B644F" w:rsidRPr="00593A5F" w:rsidRDefault="009B644F" w:rsidP="009B64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3722B28" w14:textId="77777777" w:rsidR="009B644F" w:rsidRPr="00593A5F" w:rsidRDefault="009B644F" w:rsidP="009B644F">
      <w:pPr>
        <w:spacing w:after="0" w:line="276" w:lineRule="auto"/>
        <w:jc w:val="both"/>
        <w:rPr>
          <w:rFonts w:ascii="Verdana" w:eastAsia="Calibri" w:hAnsi="Verdana" w:cs="Arial"/>
          <w:color w:val="7030A0"/>
          <w:lang w:val="es-ES"/>
        </w:rPr>
      </w:pPr>
    </w:p>
    <w:p w14:paraId="4DEE4AA3" w14:textId="77777777" w:rsidR="009B644F" w:rsidRPr="00542ED3" w:rsidRDefault="009B644F" w:rsidP="009B644F">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49B23664" w14:textId="77777777" w:rsidR="009B644F" w:rsidRPr="00542ED3" w:rsidRDefault="009B644F" w:rsidP="009B644F">
      <w:pPr>
        <w:spacing w:after="0" w:line="276" w:lineRule="auto"/>
        <w:jc w:val="both"/>
        <w:rPr>
          <w:rFonts w:ascii="Verdana" w:eastAsia="Calibri" w:hAnsi="Verdana" w:cs="Arial"/>
          <w:lang w:val="es-ES"/>
        </w:rPr>
      </w:pPr>
    </w:p>
    <w:p w14:paraId="54DD78BD" w14:textId="77777777" w:rsidR="009B644F" w:rsidRDefault="009B644F" w:rsidP="009B644F">
      <w:pPr>
        <w:pStyle w:val="Prrafodelista"/>
        <w:numPr>
          <w:ilvl w:val="0"/>
          <w:numId w:val="18"/>
        </w:numPr>
        <w:spacing w:line="276" w:lineRule="auto"/>
        <w:ind w:right="49"/>
        <w:jc w:val="both"/>
        <w:rPr>
          <w:rFonts w:ascii="Verdana" w:hAnsi="Verdana" w:cs="Arial"/>
          <w:bCs/>
          <w:color w:val="000000" w:themeColor="text1"/>
          <w:lang w:val="es-ES_tradnl"/>
        </w:rPr>
      </w:pPr>
      <w:r w:rsidRPr="002A6D44">
        <w:rPr>
          <w:rFonts w:ascii="Verdana" w:hAnsi="Verdana" w:cs="Arial"/>
          <w:bCs/>
          <w:color w:val="000000" w:themeColor="text1"/>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4F6DBF67" w14:textId="77777777" w:rsidR="009B644F" w:rsidRPr="002A6D44" w:rsidRDefault="009B644F" w:rsidP="009B644F">
      <w:pPr>
        <w:pStyle w:val="Prrafodelista"/>
        <w:spacing w:line="276" w:lineRule="auto"/>
        <w:ind w:right="49"/>
        <w:jc w:val="both"/>
        <w:rPr>
          <w:rFonts w:ascii="Verdana" w:hAnsi="Verdana" w:cs="Arial"/>
          <w:bCs/>
          <w:color w:val="000000" w:themeColor="text1"/>
          <w:lang w:val="es-ES_tradnl"/>
        </w:rPr>
      </w:pPr>
    </w:p>
    <w:p w14:paraId="4054BCF7" w14:textId="77777777" w:rsidR="009B644F" w:rsidRDefault="009B644F" w:rsidP="009B644F">
      <w:pPr>
        <w:pStyle w:val="Prrafodelista"/>
        <w:numPr>
          <w:ilvl w:val="0"/>
          <w:numId w:val="18"/>
        </w:numPr>
        <w:spacing w:before="120" w:line="276" w:lineRule="auto"/>
        <w:ind w:right="51"/>
        <w:jc w:val="both"/>
        <w:rPr>
          <w:rFonts w:ascii="Verdana" w:hAnsi="Verdana" w:cs="Arial"/>
          <w:bCs/>
          <w:color w:val="000000" w:themeColor="text1"/>
        </w:rPr>
      </w:pPr>
      <w:r w:rsidRPr="002A6D44">
        <w:rPr>
          <w:rFonts w:ascii="Verdana" w:hAnsi="Verdana" w:cs="Arial"/>
          <w:bCs/>
          <w:color w:val="000000" w:themeColor="text1"/>
        </w:rPr>
        <w:t>Si bien dentro de la historia de la contratación pública en Colombia, se vislumbran antecedentes normativos que consagraban dicho principio</w:t>
      </w:r>
      <w:r w:rsidRPr="002A6D44">
        <w:rPr>
          <w:vertAlign w:val="superscript"/>
        </w:rPr>
        <w:footnoteReference w:id="2"/>
      </w:r>
      <w:r w:rsidRPr="002A6D44">
        <w:rPr>
          <w:rFonts w:ascii="Verdana" w:hAnsi="Verdana" w:cs="Arial"/>
          <w:bCs/>
          <w:color w:val="000000" w:themeColor="text1"/>
        </w:rPr>
        <w:t xml:space="preserve">, en la actualidad la disposición legal que lo prevé de manera más clara y contundente es el artículo 5 de la Ley 1150 de 2007, modificado por el artículo 88 de la Ley 1474 de 2011. 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w:t>
      </w:r>
      <w:r w:rsidRPr="002A6D44">
        <w:rPr>
          <w:rFonts w:ascii="Verdana" w:hAnsi="Verdana" w:cs="Arial"/>
          <w:bCs/>
          <w:color w:val="000000" w:themeColor="text1"/>
        </w:rPr>
        <w:lastRenderedPageBreak/>
        <w:t xml:space="preserve">todo caso, para que la selección sea objetiva, deben estar señalados en el pliego de condiciones o documento equivalente. </w:t>
      </w:r>
    </w:p>
    <w:p w14:paraId="6515DC72" w14:textId="6F27D968" w:rsidR="005B6854" w:rsidRPr="00C526CB" w:rsidRDefault="005B6854" w:rsidP="005B6854">
      <w:pPr>
        <w:numPr>
          <w:ilvl w:val="0"/>
          <w:numId w:val="18"/>
        </w:numPr>
        <w:snapToGrid w:val="0"/>
        <w:spacing w:after="0" w:line="276" w:lineRule="auto"/>
        <w:jc w:val="both"/>
        <w:rPr>
          <w:rFonts w:ascii="Verdana" w:eastAsia="Calibri" w:hAnsi="Verdana" w:cs="Arial"/>
          <w:i/>
          <w:iCs/>
          <w:kern w:val="2"/>
          <w14:ligatures w14:val="standardContextual"/>
        </w:rPr>
      </w:pPr>
      <w:r w:rsidRPr="00F6199C">
        <w:rPr>
          <w:rFonts w:ascii="Verdana" w:eastAsia="Calibri" w:hAnsi="Verdana" w:cs="Arial"/>
          <w:kern w:val="2"/>
          <w:lang w:val="es-ES"/>
          <w14:ligatures w14:val="standardContextual"/>
        </w:rPr>
        <w:t xml:space="preserve">El numeral 2 del artículo 32 de la Ley 80 de 1993 establece el contrato de consultoría y señala que </w:t>
      </w:r>
      <w:bookmarkStart w:id="3" w:name="32.2"/>
      <w:bookmarkEnd w:id="3"/>
      <w:r w:rsidRPr="00F6199C">
        <w:rPr>
          <w:rFonts w:ascii="Verdana" w:eastAsia="Calibri" w:hAnsi="Verdana" w:cs="Arial"/>
          <w:kern w:val="2"/>
          <w:lang w:val="es-ES"/>
          <w14:ligatures w14:val="standardContextual"/>
        </w:rPr>
        <w:t xml:space="preserve"> </w:t>
      </w:r>
      <w:r w:rsidRPr="00C526CB">
        <w:rPr>
          <w:rFonts w:ascii="Verdana" w:eastAsia="Calibri" w:hAnsi="Verdana" w:cs="Arial"/>
          <w:i/>
          <w:iCs/>
          <w:kern w:val="2"/>
          <w:lang w:val="es-ES"/>
          <w14:ligatures w14:val="standardContextual"/>
        </w:rPr>
        <w:t>“</w:t>
      </w:r>
      <w:r w:rsidRPr="00C526CB">
        <w:rPr>
          <w:rFonts w:ascii="Verdana" w:eastAsia="Calibri" w:hAnsi="Verdana" w:cs="Arial"/>
          <w:i/>
          <w:iCs/>
          <w:kern w:val="2"/>
          <w14:ligatures w14:val="standardContextual"/>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394F25C" w14:textId="77777777" w:rsidR="00A336E5" w:rsidRPr="00F6199C" w:rsidRDefault="005B6854" w:rsidP="00A336E5">
      <w:pPr>
        <w:snapToGrid w:val="0"/>
        <w:spacing w:after="0" w:line="276" w:lineRule="auto"/>
        <w:ind w:left="720"/>
        <w:jc w:val="both"/>
        <w:rPr>
          <w:rFonts w:ascii="Verdana" w:eastAsia="Calibri" w:hAnsi="Verdana" w:cs="Arial"/>
          <w:i/>
          <w:iCs/>
          <w:kern w:val="2"/>
          <w14:ligatures w14:val="standardContextual"/>
        </w:rPr>
      </w:pPr>
      <w:r w:rsidRPr="00C526CB">
        <w:rPr>
          <w:rFonts w:ascii="Verdana" w:eastAsia="Calibri" w:hAnsi="Verdana" w:cs="Arial"/>
          <w:i/>
          <w:iCs/>
          <w:kern w:val="2"/>
          <w14:ligatures w14:val="standardContextual"/>
        </w:rPr>
        <w:t>Son también contratos de consultoría los que tienen por objeto la interventoría, asesoría, gerencia de obra o de proyectos, dirección, programación y la ejecución de diseños, planos, anteproyectos y proyectos. (…)”</w:t>
      </w:r>
    </w:p>
    <w:p w14:paraId="73BA6D5F" w14:textId="77777777" w:rsidR="00246B6E" w:rsidRPr="00F6199C" w:rsidRDefault="00246B6E" w:rsidP="00246B6E">
      <w:pPr>
        <w:snapToGrid w:val="0"/>
        <w:spacing w:after="0" w:line="276" w:lineRule="auto"/>
        <w:jc w:val="both"/>
        <w:rPr>
          <w:rFonts w:ascii="Verdana" w:eastAsia="Calibri" w:hAnsi="Verdana" w:cs="Arial"/>
          <w:i/>
          <w:iCs/>
          <w:kern w:val="2"/>
          <w14:ligatures w14:val="standardContextual"/>
        </w:rPr>
      </w:pPr>
    </w:p>
    <w:p w14:paraId="7035D031" w14:textId="5EC3AFD2" w:rsidR="00246B6E" w:rsidRPr="00F6199C" w:rsidRDefault="00246B6E" w:rsidP="00C526CB">
      <w:pPr>
        <w:pStyle w:val="Prrafodelista"/>
        <w:numPr>
          <w:ilvl w:val="0"/>
          <w:numId w:val="20"/>
        </w:numPr>
        <w:snapToGrid w:val="0"/>
        <w:spacing w:after="0" w:line="276" w:lineRule="auto"/>
        <w:jc w:val="both"/>
        <w:rPr>
          <w:rFonts w:ascii="Verdana" w:eastAsia="Calibri" w:hAnsi="Verdana" w:cs="Arial"/>
          <w:kern w:val="2"/>
          <w:lang w:val="es-CO"/>
          <w14:ligatures w14:val="standardContextual"/>
        </w:rPr>
      </w:pPr>
      <w:r w:rsidRPr="00F6199C">
        <w:rPr>
          <w:rFonts w:ascii="Verdana" w:eastAsia="Calibri" w:hAnsi="Verdana" w:cs="Arial"/>
          <w:kern w:val="2"/>
          <w14:ligatures w14:val="standardContextual"/>
        </w:rPr>
        <w:t xml:space="preserve">Que en concordancia con lo anterior, el numeral 3 del artículo 2 de la Ley </w:t>
      </w:r>
      <w:proofErr w:type="gramStart"/>
      <w:r w:rsidRPr="00F6199C">
        <w:rPr>
          <w:rFonts w:ascii="Verdana" w:eastAsia="Calibri" w:hAnsi="Verdana" w:cs="Arial"/>
          <w:kern w:val="2"/>
          <w14:ligatures w14:val="standardContextual"/>
        </w:rPr>
        <w:t>1150  de</w:t>
      </w:r>
      <w:proofErr w:type="gramEnd"/>
      <w:r w:rsidRPr="00F6199C">
        <w:rPr>
          <w:rFonts w:ascii="Verdana" w:eastAsia="Calibri" w:hAnsi="Verdana" w:cs="Arial"/>
          <w:kern w:val="2"/>
          <w14:ligatures w14:val="standardContextual"/>
        </w:rPr>
        <w:t xml:space="preserve"> 2007 consagra  el concurso de mérito como “ </w:t>
      </w:r>
      <w:r w:rsidRPr="00F6199C">
        <w:rPr>
          <w:rFonts w:ascii="Verdana" w:eastAsia="Calibri" w:hAnsi="Verdana" w:cs="Arial"/>
          <w:kern w:val="2"/>
          <w:lang w:val="es-CO"/>
          <w14:ligatures w14:val="standardContextual"/>
        </w:rPr>
        <w:t>la modalidad prevista para la selección de consultores o proyectos, en la que se podrán utilizar sistemas de concurso abierto o de precalificación. (…)”</w:t>
      </w:r>
    </w:p>
    <w:p w14:paraId="5B9D2C58" w14:textId="7306B7F0" w:rsidR="00A336E5" w:rsidRPr="00C526CB" w:rsidRDefault="005B6854" w:rsidP="00C526CB">
      <w:pPr>
        <w:pStyle w:val="Prrafodelista"/>
        <w:numPr>
          <w:ilvl w:val="0"/>
          <w:numId w:val="20"/>
        </w:numPr>
        <w:snapToGrid w:val="0"/>
        <w:spacing w:after="0" w:line="276" w:lineRule="auto"/>
        <w:jc w:val="both"/>
        <w:rPr>
          <w:rFonts w:ascii="Verdana" w:eastAsia="Calibri" w:hAnsi="Verdana" w:cs="Arial"/>
          <w:i/>
          <w:iCs/>
          <w:kern w:val="2"/>
          <w14:ligatures w14:val="standardContextual"/>
        </w:rPr>
      </w:pPr>
      <w:r w:rsidRPr="00C526CB">
        <w:rPr>
          <w:rFonts w:ascii="Verdana" w:eastAsia="Calibri" w:hAnsi="Verdana" w:cs="Arial"/>
          <w:kern w:val="2"/>
          <w14:ligatures w14:val="standardContextual"/>
        </w:rPr>
        <w:t xml:space="preserve">Que </w:t>
      </w:r>
      <w:r w:rsidR="00246B6E" w:rsidRPr="00C526CB">
        <w:rPr>
          <w:rFonts w:ascii="Verdana" w:eastAsia="Calibri" w:hAnsi="Verdana" w:cs="Arial"/>
          <w:kern w:val="2"/>
          <w14:ligatures w14:val="standardContextual"/>
        </w:rPr>
        <w:t>asi mismo</w:t>
      </w:r>
      <w:r w:rsidRPr="00C526CB">
        <w:rPr>
          <w:rFonts w:ascii="Verdana" w:eastAsia="Calibri" w:hAnsi="Verdana" w:cs="Arial"/>
          <w:kern w:val="2"/>
          <w14:ligatures w14:val="standardContextual"/>
        </w:rPr>
        <w:t xml:space="preserve">, el numeral 4 de la Ley 1150 de 2007 señaló que </w:t>
      </w:r>
      <w:r w:rsidRPr="00C526CB">
        <w:rPr>
          <w:rFonts w:ascii="Verdana" w:eastAsia="Calibri" w:hAnsi="Verdana" w:cs="Arial"/>
          <w:i/>
          <w:iCs/>
          <w:kern w:val="2"/>
          <w14:ligatures w14:val="standardContextual"/>
        </w:rPr>
        <w:t>“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En ningún caso se podrá incluir el precio, como factor de escogencia para la selección de consultores.(…)”</w:t>
      </w:r>
    </w:p>
    <w:p w14:paraId="3A10C450" w14:textId="34393C74" w:rsidR="009B644F" w:rsidRPr="00C526CB" w:rsidRDefault="00A336E5" w:rsidP="00C526CB">
      <w:pPr>
        <w:pStyle w:val="Prrafodelista"/>
        <w:jc w:val="both"/>
        <w:rPr>
          <w:rFonts w:ascii="Verdana" w:hAnsi="Verdana"/>
          <w:lang w:val="es-ES_tradnl"/>
        </w:rPr>
      </w:pPr>
      <w:r w:rsidRPr="00C526CB">
        <w:rPr>
          <w:rFonts w:ascii="Verdana" w:eastAsia="Calibri" w:hAnsi="Verdana" w:cs="Arial"/>
          <w:kern w:val="2"/>
          <w14:ligatures w14:val="standardContextual"/>
        </w:rPr>
        <w:t>A su vez, el artículo 2.2.1.2.1.3.1 estableció como regla para la escogencia de consultores  y proyectos de arquitectura el concurso de mérito.</w:t>
      </w:r>
      <w:bookmarkStart w:id="4" w:name="2.2.1.2.1.3.1"/>
      <w:bookmarkEnd w:id="4"/>
    </w:p>
    <w:p w14:paraId="4AB83A18" w14:textId="2429976F" w:rsidR="00966BD2" w:rsidRPr="00C526CB" w:rsidRDefault="00966BD2" w:rsidP="00966BD2">
      <w:pPr>
        <w:pStyle w:val="Prrafodelista"/>
        <w:keepNext/>
        <w:numPr>
          <w:ilvl w:val="0"/>
          <w:numId w:val="18"/>
        </w:numPr>
        <w:spacing w:after="120" w:line="276" w:lineRule="auto"/>
        <w:jc w:val="both"/>
        <w:outlineLvl w:val="0"/>
        <w:rPr>
          <w:rFonts w:ascii="Verdana" w:hAnsi="Verdana" w:cs="Arial"/>
        </w:rPr>
      </w:pPr>
      <w:r w:rsidRPr="00C526CB">
        <w:rPr>
          <w:rFonts w:ascii="Verdana" w:hAnsi="Verdana" w:cs="Arial"/>
        </w:rPr>
        <w:t xml:space="preserve">El procedimiento de selección de concurso de méritos, aplicable para la escogencia de consultores está reglamentado, como se explicó, por el artículo 2.2.1.2.1.3.2. del Decreto 1082 de 2015, modificado por el Decreto 399 de 2021. </w:t>
      </w:r>
      <w:r w:rsidR="00326E25">
        <w:rPr>
          <w:rFonts w:ascii="Verdana" w:hAnsi="Verdana" w:cs="Arial"/>
        </w:rPr>
        <w:t xml:space="preserve"> Al respecto, e</w:t>
      </w:r>
      <w:r w:rsidRPr="00C526CB">
        <w:rPr>
          <w:rFonts w:ascii="Verdana" w:hAnsi="Verdana" w:cs="Arial"/>
        </w:rPr>
        <w:t>l numeral 1</w:t>
      </w:r>
      <w:r w:rsidR="00326E25">
        <w:rPr>
          <w:rFonts w:ascii="Verdana" w:hAnsi="Verdana" w:cs="Arial"/>
        </w:rPr>
        <w:t>.1</w:t>
      </w:r>
      <w:r w:rsidRPr="00C526CB">
        <w:rPr>
          <w:rFonts w:ascii="Verdana" w:hAnsi="Verdana" w:cs="Arial"/>
        </w:rPr>
        <w:t xml:space="preserve"> de dicha norma dispone: </w:t>
      </w:r>
      <w:r w:rsidR="00D65373">
        <w:rPr>
          <w:rFonts w:ascii="Verdana" w:hAnsi="Verdana" w:cs="Arial"/>
        </w:rPr>
        <w:t>“</w:t>
      </w:r>
      <w:r w:rsidRPr="00C526CB">
        <w:rPr>
          <w:rFonts w:ascii="Verdana" w:hAnsi="Verdana" w:cs="Arial"/>
        </w:rPr>
        <w:t xml:space="preserve">La Entidad Estatal en los pliegos de condiciones debe indicar la forma como calificará, entre otros, los siguientes criterios: </w:t>
      </w:r>
      <w:r w:rsidRPr="00C526CB">
        <w:rPr>
          <w:rFonts w:ascii="Verdana" w:hAnsi="Verdana" w:cs="Arial"/>
          <w:i/>
          <w:iCs/>
        </w:rPr>
        <w:t xml:space="preserve">a) la experiencia del interesado y del equipo de trabajo y b) la formación académica del equipo de trabajo”, </w:t>
      </w:r>
      <w:r w:rsidRPr="00C526CB">
        <w:rPr>
          <w:rFonts w:ascii="Verdana" w:hAnsi="Verdana" w:cs="Arial"/>
        </w:rPr>
        <w:t>excluyendo el precio como factor de escogencia.</w:t>
      </w:r>
    </w:p>
    <w:p w14:paraId="409D6ED4" w14:textId="51EEA18B" w:rsidR="00966BD2" w:rsidRPr="00C526CB" w:rsidRDefault="00966BD2" w:rsidP="00966BD2">
      <w:pPr>
        <w:pStyle w:val="Prrafodelista"/>
        <w:keepNext/>
        <w:numPr>
          <w:ilvl w:val="0"/>
          <w:numId w:val="18"/>
        </w:numPr>
        <w:spacing w:after="120" w:line="276" w:lineRule="auto"/>
        <w:jc w:val="both"/>
        <w:outlineLvl w:val="0"/>
        <w:rPr>
          <w:rFonts w:ascii="Verdana" w:hAnsi="Verdana" w:cs="Arial"/>
        </w:rPr>
      </w:pPr>
      <w:r w:rsidRPr="00C526CB">
        <w:rPr>
          <w:rFonts w:ascii="Verdana" w:hAnsi="Verdana" w:cs="Arial"/>
        </w:rPr>
        <w:t xml:space="preserve">Conforme a esto, los factores ponderables en un proceso de selección de concurso de méritos –esto es, los que determinan la escogencia entre los </w:t>
      </w:r>
      <w:r w:rsidRPr="00C526CB">
        <w:rPr>
          <w:rFonts w:ascii="Verdana" w:hAnsi="Verdana" w:cs="Arial"/>
        </w:rPr>
        <w:lastRenderedPageBreak/>
        <w:t xml:space="preserve">proponentes habilitados–, son la experiencia del interesado y su equipo de trabajo, así como la formación académica. De acuerdo con esta normativa, en el momento de la elaboración de los pliegos de condiciones se debe señalar cómo se calificarán estos factores. </w:t>
      </w:r>
    </w:p>
    <w:p w14:paraId="4B6A43E4" w14:textId="55E3CFA7" w:rsidR="00966BD2" w:rsidRDefault="00246B6E" w:rsidP="00966BD2">
      <w:pPr>
        <w:snapToGrid w:val="0"/>
        <w:spacing w:after="0" w:line="276" w:lineRule="auto"/>
        <w:ind w:left="720"/>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Ahora bien</w:t>
      </w:r>
      <w:r w:rsidR="009B644F" w:rsidRPr="00CA0AC1">
        <w:rPr>
          <w:rFonts w:ascii="Verdana" w:eastAsia="Calibri" w:hAnsi="Verdana" w:cs="Arial"/>
          <w:kern w:val="2"/>
          <w:lang w:val="es-ES_tradnl"/>
          <w14:ligatures w14:val="standardContextual"/>
        </w:rPr>
        <w:t>, es importante destacar que en esta modalidad existen tres procedimientos para seleccionar el contratista: el concurso de arquitectura, el concurso de méritos abierto y el concurso de méritos con precalificación</w:t>
      </w:r>
      <w:r w:rsidR="00D65373">
        <w:rPr>
          <w:rFonts w:ascii="Verdana" w:eastAsia="Calibri" w:hAnsi="Verdana" w:cs="Arial"/>
          <w:kern w:val="2"/>
          <w:lang w:val="es-ES_tradnl"/>
          <w14:ligatures w14:val="standardContextual"/>
        </w:rPr>
        <w:t xml:space="preserve">: </w:t>
      </w:r>
      <w:r w:rsidR="009B644F" w:rsidRPr="00CA0AC1">
        <w:rPr>
          <w:rFonts w:ascii="Verdana" w:eastAsia="Calibri" w:hAnsi="Verdana" w:cs="Arial"/>
          <w:kern w:val="2"/>
          <w:lang w:val="es-ES_tradnl"/>
          <w14:ligatures w14:val="standardContextual"/>
        </w:rPr>
        <w:t xml:space="preserve"> </w:t>
      </w:r>
    </w:p>
    <w:p w14:paraId="1787D8B5" w14:textId="05EB8CE6" w:rsidR="00966BD2" w:rsidRDefault="00966BD2" w:rsidP="00966BD2">
      <w:pPr>
        <w:pStyle w:val="Prrafodelista"/>
        <w:numPr>
          <w:ilvl w:val="0"/>
          <w:numId w:val="21"/>
        </w:numPr>
        <w:snapToGrid w:val="0"/>
        <w:spacing w:after="0" w:line="276" w:lineRule="auto"/>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 xml:space="preserve">Concurso de arquitectura: </w:t>
      </w:r>
      <w:bookmarkStart w:id="5" w:name="2.2.1.2.1.3.8"/>
      <w:bookmarkEnd w:id="5"/>
      <w:r w:rsidRPr="00966BD2">
        <w:rPr>
          <w:rFonts w:ascii="Verdana" w:eastAsia="Calibri" w:hAnsi="Verdana" w:cs="Arial"/>
          <w:kern w:val="2"/>
          <w:lang w:val="es-CO"/>
          <w14:ligatures w14:val="standardContextual"/>
        </w:rPr>
        <w:t>El concurso de arquitectura es el procedimiento mediante el cual la Entidad Estatal, previa invitación pública y en igualdad de oportunidades, selecciona un consultor entre los proponentes interesados en elaborar diseños, planos, anteproyectos y proyectos arquitectónicos.</w:t>
      </w:r>
      <w:r>
        <w:rPr>
          <w:rStyle w:val="Refdenotaalpie"/>
          <w:rFonts w:ascii="Verdana" w:eastAsia="Calibri" w:hAnsi="Verdana" w:cs="Arial"/>
          <w:kern w:val="2"/>
          <w:lang w:val="es-ES_tradnl"/>
          <w14:ligatures w14:val="standardContextual"/>
        </w:rPr>
        <w:footnoteReference w:id="3"/>
      </w:r>
    </w:p>
    <w:p w14:paraId="10AA2130" w14:textId="3FBA3AEA" w:rsidR="00966BD2" w:rsidRPr="00F6199C" w:rsidRDefault="00966BD2" w:rsidP="00966BD2">
      <w:pPr>
        <w:pStyle w:val="Prrafodelista"/>
        <w:numPr>
          <w:ilvl w:val="0"/>
          <w:numId w:val="21"/>
        </w:numPr>
        <w:snapToGrid w:val="0"/>
        <w:spacing w:after="0" w:line="276" w:lineRule="auto"/>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 xml:space="preserve">Concurso de mérito abierto: Es aquel contenido en las reglas del artículo </w:t>
      </w:r>
      <w:bookmarkStart w:id="6" w:name="2.2.1.2.1.3.2"/>
      <w:bookmarkEnd w:id="6"/>
      <w:r w:rsidR="00F6199C" w:rsidRPr="00C526CB">
        <w:rPr>
          <w:rFonts w:ascii="Verdana" w:eastAsia="Calibri" w:hAnsi="Verdana" w:cs="Arial"/>
          <w:kern w:val="2"/>
          <w:lang w:val="es-CO"/>
          <w14:ligatures w14:val="standardContextual"/>
        </w:rPr>
        <w:t>2.2.1.2.1.3.2 del Decreto 1082 de 2015.</w:t>
      </w:r>
    </w:p>
    <w:p w14:paraId="3048061B" w14:textId="758FACBC" w:rsidR="009B644F" w:rsidRPr="00C526CB" w:rsidRDefault="00966BD2" w:rsidP="00C526CB">
      <w:pPr>
        <w:pStyle w:val="Prrafodelista"/>
        <w:numPr>
          <w:ilvl w:val="0"/>
          <w:numId w:val="21"/>
        </w:numPr>
        <w:snapToGrid w:val="0"/>
        <w:spacing w:after="0" w:line="276" w:lineRule="auto"/>
        <w:jc w:val="both"/>
        <w:rPr>
          <w:rFonts w:ascii="Verdana" w:eastAsia="Calibri" w:hAnsi="Verdana" w:cs="Arial"/>
          <w:kern w:val="2"/>
          <w:lang w:val="es-ES_tradnl"/>
          <w14:ligatures w14:val="standardContextual"/>
        </w:rPr>
      </w:pPr>
      <w:r>
        <w:rPr>
          <w:rFonts w:ascii="Verdana" w:eastAsia="Calibri" w:hAnsi="Verdana" w:cs="Arial"/>
          <w:kern w:val="2"/>
          <w:lang w:val="es-ES_tradnl"/>
          <w14:ligatures w14:val="standardContextual"/>
        </w:rPr>
        <w:t xml:space="preserve">Concurso de mérito con precalificación: </w:t>
      </w:r>
      <w:r w:rsidR="009B644F" w:rsidRPr="00C526CB">
        <w:rPr>
          <w:rFonts w:ascii="Verdana" w:eastAsia="Calibri" w:hAnsi="Verdana" w:cs="Arial"/>
          <w:kern w:val="2"/>
          <w:lang w:val="es-ES_tradnl"/>
          <w14:ligatures w14:val="standardContextual"/>
        </w:rPr>
        <w:t>En el último caso, a consideración de la Entidad Estatal, esto es, cuando por la complejidad de la consultoría se considerare pertinente, se establece una lista de precalificados mediante convocatoria pública en el que solo podrán presentar propuestas las personas que cumplan con las condiciones de precalificación y/o las favorecidas con el sorteo en el evento en el que el número de interesados que cumplan con las condiciones de precalificación supere al número máximo establecido para conformar la lista</w:t>
      </w:r>
      <w:r w:rsidR="009B644F" w:rsidRPr="00CA0AC1">
        <w:rPr>
          <w:rFonts w:eastAsia="Aptos" w:cs="Times New Roman"/>
          <w:vertAlign w:val="superscript"/>
        </w:rPr>
        <w:footnoteReference w:id="4"/>
      </w:r>
      <w:r w:rsidR="009B644F" w:rsidRPr="00C526CB">
        <w:rPr>
          <w:rFonts w:ascii="Verdana" w:eastAsia="Calibri" w:hAnsi="Verdana" w:cs="Arial"/>
          <w:kern w:val="2"/>
          <w:lang w:val="es-ES_tradnl"/>
          <w14:ligatures w14:val="standardContextual"/>
        </w:rPr>
        <w:t>.</w:t>
      </w:r>
    </w:p>
    <w:p w14:paraId="561F19DE" w14:textId="77777777" w:rsidR="009B644F" w:rsidRPr="00CA0AC1" w:rsidRDefault="009B644F" w:rsidP="009B644F">
      <w:pPr>
        <w:snapToGrid w:val="0"/>
        <w:spacing w:after="0" w:line="276" w:lineRule="auto"/>
        <w:jc w:val="both"/>
        <w:rPr>
          <w:rFonts w:ascii="Verdana" w:eastAsia="Calibri" w:hAnsi="Verdana" w:cs="Arial"/>
          <w:kern w:val="2"/>
          <w:lang w:val="es-ES_tradnl"/>
          <w14:ligatures w14:val="standardContextual"/>
        </w:rPr>
      </w:pPr>
    </w:p>
    <w:p w14:paraId="61B6CD25" w14:textId="2E408D2C" w:rsidR="00F6199C" w:rsidRDefault="009B644F" w:rsidP="009B644F">
      <w:pPr>
        <w:numPr>
          <w:ilvl w:val="0"/>
          <w:numId w:val="18"/>
        </w:numPr>
        <w:snapToGrid w:val="0"/>
        <w:spacing w:after="0" w:line="276" w:lineRule="auto"/>
        <w:jc w:val="both"/>
        <w:rPr>
          <w:rFonts w:ascii="Verdana" w:eastAsia="Calibri" w:hAnsi="Verdana" w:cs="Arial"/>
          <w:kern w:val="2"/>
          <w:lang w:val="es-ES_tradnl"/>
          <w14:ligatures w14:val="standardContextual"/>
        </w:rPr>
      </w:pPr>
      <w:r w:rsidRPr="00CA0AC1">
        <w:rPr>
          <w:rFonts w:ascii="Verdana" w:eastAsia="Calibri" w:hAnsi="Verdana" w:cs="Arial"/>
          <w:kern w:val="2"/>
          <w:lang w:val="es-ES_tradnl"/>
          <w14:ligatures w14:val="standardContextual"/>
        </w:rPr>
        <w:t xml:space="preserve">Dado a la especialidad de los contratos que se adelantan bajo esta modalidad de selección, que como ya se mencionó tienen la característica de estar relacionados con el intelecto, el saber académico o altos niveles </w:t>
      </w:r>
      <w:r w:rsidRPr="00CA0AC1">
        <w:rPr>
          <w:rFonts w:ascii="Verdana" w:eastAsia="Calibri" w:hAnsi="Verdana" w:cs="Arial"/>
          <w:kern w:val="2"/>
          <w:lang w:val="es-ES_tradnl"/>
          <w14:ligatures w14:val="standardContextual"/>
        </w:rPr>
        <w:lastRenderedPageBreak/>
        <w:t>de conocimiento</w:t>
      </w:r>
      <w:r w:rsidRPr="00CA0AC1">
        <w:rPr>
          <w:rFonts w:ascii="Verdana" w:eastAsia="Aptos" w:hAnsi="Verdana" w:cs="Times New Roman"/>
          <w:kern w:val="2"/>
          <w:vertAlign w:val="superscript"/>
          <w:lang w:val="es-ES_tradnl"/>
          <w14:ligatures w14:val="standardContextual"/>
        </w:rPr>
        <w:footnoteReference w:id="5"/>
      </w:r>
      <w:r w:rsidRPr="00CA0AC1">
        <w:rPr>
          <w:rFonts w:ascii="Verdana" w:eastAsia="Calibri" w:hAnsi="Verdana" w:cs="Arial"/>
          <w:kern w:val="2"/>
          <w:lang w:val="es-ES_tradnl"/>
          <w14:ligatures w14:val="standardContextual"/>
        </w:rPr>
        <w:t>, las entidades fijan en los pliegos de condiciones factores puntuables técnicos, y califican la experiencia específica del proponente y de su equipo de trabajo, o incluso utilizan un sistema de concurso abierto por medio de jurados calificados y organismos asesores.</w:t>
      </w:r>
    </w:p>
    <w:p w14:paraId="7D74A6C6" w14:textId="77777777" w:rsidR="00D65373" w:rsidRDefault="00D65373" w:rsidP="009B644F">
      <w:pPr>
        <w:numPr>
          <w:ilvl w:val="0"/>
          <w:numId w:val="18"/>
        </w:numPr>
        <w:snapToGrid w:val="0"/>
        <w:spacing w:after="0" w:line="276" w:lineRule="auto"/>
        <w:jc w:val="both"/>
        <w:rPr>
          <w:rFonts w:ascii="Verdana" w:eastAsia="Calibri" w:hAnsi="Verdana" w:cs="Arial"/>
          <w:kern w:val="2"/>
          <w:lang w:val="es-ES_tradnl"/>
          <w14:ligatures w14:val="standardContextual"/>
        </w:rPr>
      </w:pPr>
    </w:p>
    <w:p w14:paraId="02302E3F" w14:textId="3120C98C" w:rsidR="009B644F" w:rsidRPr="00CA0AC1" w:rsidRDefault="009B644F" w:rsidP="009B644F">
      <w:pPr>
        <w:numPr>
          <w:ilvl w:val="0"/>
          <w:numId w:val="18"/>
        </w:numPr>
        <w:snapToGrid w:val="0"/>
        <w:spacing w:after="0" w:line="276" w:lineRule="auto"/>
        <w:jc w:val="both"/>
        <w:rPr>
          <w:rFonts w:ascii="Verdana" w:eastAsia="Calibri" w:hAnsi="Verdana" w:cs="Arial"/>
          <w:kern w:val="2"/>
          <w:lang w:val="es-ES_tradnl"/>
          <w14:ligatures w14:val="standardContextual"/>
        </w:rPr>
      </w:pPr>
      <w:r w:rsidRPr="00CA0AC1">
        <w:rPr>
          <w:rFonts w:ascii="Verdana" w:eastAsia="Calibri" w:hAnsi="Verdana" w:cs="Arial"/>
          <w:kern w:val="2"/>
          <w:lang w:val="es-ES_tradnl"/>
          <w14:ligatures w14:val="standardContextual"/>
        </w:rPr>
        <w:t>Sobre el tema, el Consejo de Estado, ha indicado que los procedimientos de selección bajo la modalidad de concurso de méritos deben destacar las cualidades técnico-subjetivas de los proponentes, las cuales servirán de mérito para su selección, de la siguiente forma:</w:t>
      </w:r>
    </w:p>
    <w:p w14:paraId="0D6ADD23" w14:textId="77777777" w:rsidR="009B644F" w:rsidRPr="00CA0AC1" w:rsidRDefault="009B644F" w:rsidP="009B644F">
      <w:pPr>
        <w:snapToGrid w:val="0"/>
        <w:spacing w:after="0" w:line="276" w:lineRule="auto"/>
        <w:ind w:left="720"/>
        <w:jc w:val="both"/>
        <w:rPr>
          <w:rFonts w:ascii="Verdana" w:eastAsia="Calibri" w:hAnsi="Verdana" w:cs="Arial"/>
          <w:kern w:val="2"/>
          <w:lang w:val="es-ES_tradnl"/>
          <w14:ligatures w14:val="standardContextual"/>
        </w:rPr>
      </w:pPr>
    </w:p>
    <w:p w14:paraId="57B24EAC" w14:textId="77777777" w:rsidR="009B644F" w:rsidRPr="00CA0AC1" w:rsidRDefault="009B644F" w:rsidP="009B644F">
      <w:pPr>
        <w:snapToGrid w:val="0"/>
        <w:spacing w:after="0" w:line="240" w:lineRule="auto"/>
        <w:ind w:left="720" w:right="709"/>
        <w:jc w:val="both"/>
        <w:rPr>
          <w:rFonts w:ascii="Verdana" w:eastAsia="Aptos" w:hAnsi="Verdana" w:cs="Arial"/>
          <w:kern w:val="2"/>
          <w:sz w:val="21"/>
          <w:szCs w:val="21"/>
          <w:lang w:val="es-ES"/>
          <w14:ligatures w14:val="standardContextual"/>
        </w:rPr>
      </w:pPr>
      <w:r w:rsidRPr="43E22B1A">
        <w:rPr>
          <w:rFonts w:ascii="Verdana" w:eastAsia="Aptos" w:hAnsi="Verdana" w:cs="Arial"/>
          <w:kern w:val="2"/>
          <w:sz w:val="21"/>
          <w:szCs w:val="21"/>
          <w:lang w:val="es-ES"/>
          <w14:ligatures w14:val="standardContextual"/>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aplicación primordial </w:t>
      </w:r>
      <w:bookmarkStart w:id="7" w:name="_Hlk133216965"/>
      <w:r w:rsidRPr="43E22B1A">
        <w:rPr>
          <w:rFonts w:ascii="Verdana" w:eastAsia="Aptos" w:hAnsi="Verdana" w:cs="Arial"/>
          <w:kern w:val="2"/>
          <w:sz w:val="21"/>
          <w:szCs w:val="21"/>
          <w:lang w:val="es-ES"/>
          <w14:ligatures w14:val="standardContextual"/>
        </w:rPr>
        <w:t xml:space="preserve">sea a los contratos </w:t>
      </w:r>
      <w:proofErr w:type="spellStart"/>
      <w:r w:rsidRPr="43E22B1A">
        <w:rPr>
          <w:rFonts w:ascii="Verdana" w:eastAsia="Aptos" w:hAnsi="Verdana" w:cs="Arial"/>
          <w:kern w:val="2"/>
          <w:sz w:val="21"/>
          <w:szCs w:val="21"/>
          <w:lang w:val="es-ES"/>
          <w14:ligatures w14:val="standardContextual"/>
        </w:rPr>
        <w:t>intuitu</w:t>
      </w:r>
      <w:proofErr w:type="spellEnd"/>
      <w:r w:rsidRPr="43E22B1A">
        <w:rPr>
          <w:rFonts w:ascii="Verdana" w:eastAsia="Aptos" w:hAnsi="Verdana" w:cs="Arial"/>
          <w:kern w:val="2"/>
          <w:sz w:val="21"/>
          <w:szCs w:val="21"/>
          <w:lang w:val="es-ES"/>
          <w14:ligatures w14:val="standardContextual"/>
        </w:rPr>
        <w:t xml:space="preserve"> </w:t>
      </w:r>
      <w:proofErr w:type="spellStart"/>
      <w:r w:rsidRPr="43E22B1A">
        <w:rPr>
          <w:rFonts w:ascii="Verdana" w:eastAsia="Aptos" w:hAnsi="Verdana" w:cs="Arial"/>
          <w:kern w:val="2"/>
          <w:sz w:val="21"/>
          <w:szCs w:val="21"/>
          <w:lang w:val="es-ES"/>
          <w14:ligatures w14:val="standardContextual"/>
        </w:rPr>
        <w:t>personae</w:t>
      </w:r>
      <w:proofErr w:type="spellEnd"/>
      <w:r w:rsidRPr="43E22B1A">
        <w:rPr>
          <w:rFonts w:ascii="Verdana" w:eastAsia="Aptos" w:hAnsi="Verdana" w:cs="Arial"/>
          <w:kern w:val="2"/>
          <w:sz w:val="21"/>
          <w:szCs w:val="21"/>
          <w:lang w:val="es-ES"/>
          <w14:ligatures w14:val="standardContextual"/>
        </w:rPr>
        <w:t xml:space="preserve"> en que las cualidades técnico-subjetivas sirven de mérito para la selección</w:t>
      </w:r>
      <w:bookmarkEnd w:id="7"/>
      <w:r w:rsidRPr="43E22B1A">
        <w:rPr>
          <w:rFonts w:ascii="Verdana" w:eastAsia="Aptos" w:hAnsi="Verdana" w:cs="Arial"/>
          <w:kern w:val="2"/>
          <w:sz w:val="21"/>
          <w:szCs w:val="21"/>
          <w:lang w:val="es-ES"/>
          <w14:ligatures w14:val="standardContextual"/>
        </w:rPr>
        <w:t>.</w:t>
      </w:r>
    </w:p>
    <w:p w14:paraId="6E810DD9" w14:textId="77777777" w:rsidR="009B644F" w:rsidRPr="00CA0AC1" w:rsidRDefault="009B644F" w:rsidP="009B644F">
      <w:pPr>
        <w:snapToGrid w:val="0"/>
        <w:spacing w:after="0" w:line="240" w:lineRule="auto"/>
        <w:ind w:left="720" w:right="709"/>
        <w:jc w:val="both"/>
        <w:rPr>
          <w:rFonts w:ascii="Verdana" w:eastAsia="Aptos" w:hAnsi="Verdana" w:cs="Arial"/>
          <w:kern w:val="2"/>
          <w:sz w:val="21"/>
          <w:szCs w:val="21"/>
          <w:lang w:val="es-ES_tradnl"/>
          <w14:ligatures w14:val="standardContextual"/>
        </w:rPr>
      </w:pPr>
    </w:p>
    <w:p w14:paraId="67FD3737" w14:textId="77777777" w:rsidR="009B644F" w:rsidRPr="00CA0AC1" w:rsidRDefault="009B644F" w:rsidP="009B644F">
      <w:pPr>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CA0AC1">
        <w:rPr>
          <w:rFonts w:ascii="Verdana" w:eastAsia="Aptos" w:hAnsi="Verdana" w:cs="Arial"/>
          <w:kern w:val="2"/>
          <w:sz w:val="21"/>
          <w:szCs w:val="21"/>
          <w:lang w:val="es-ES_tradnl"/>
          <w14:ligatures w14:val="standardContextual"/>
        </w:rPr>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CA0AC1">
        <w:rPr>
          <w:rFonts w:ascii="Verdana" w:eastAsia="Aptos" w:hAnsi="Verdana" w:cs="Arial"/>
          <w:kern w:val="2"/>
          <w:sz w:val="21"/>
          <w:szCs w:val="21"/>
          <w:vertAlign w:val="superscript"/>
          <w:lang w:val="es-ES_tradnl"/>
          <w14:ligatures w14:val="standardContextual"/>
        </w:rPr>
        <w:footnoteReference w:id="6"/>
      </w:r>
    </w:p>
    <w:p w14:paraId="783C1CB5" w14:textId="77777777" w:rsidR="009B644F" w:rsidRPr="00CA0AC1" w:rsidRDefault="009B644F" w:rsidP="009B644F">
      <w:pPr>
        <w:snapToGrid w:val="0"/>
        <w:spacing w:after="0" w:line="276" w:lineRule="auto"/>
        <w:ind w:left="720" w:right="709"/>
        <w:jc w:val="both"/>
        <w:rPr>
          <w:rFonts w:ascii="Verdana" w:eastAsia="Aptos" w:hAnsi="Verdana" w:cs="Arial"/>
          <w:kern w:val="2"/>
          <w:lang w:val="es-ES_tradnl"/>
          <w14:ligatures w14:val="standardContextual"/>
        </w:rPr>
      </w:pPr>
    </w:p>
    <w:p w14:paraId="352642E4" w14:textId="51E0DEF1" w:rsidR="009B644F" w:rsidRDefault="009B644F" w:rsidP="009B644F">
      <w:pPr>
        <w:numPr>
          <w:ilvl w:val="0"/>
          <w:numId w:val="18"/>
        </w:numPr>
        <w:snapToGrid w:val="0"/>
        <w:spacing w:after="0" w:line="276" w:lineRule="auto"/>
        <w:jc w:val="both"/>
        <w:rPr>
          <w:rFonts w:ascii="Verdana" w:eastAsia="Calibri" w:hAnsi="Verdana" w:cs="Arial"/>
          <w:kern w:val="2"/>
          <w:lang w:val="es-ES"/>
          <w14:ligatures w14:val="standardContextual"/>
        </w:rPr>
      </w:pPr>
      <w:r w:rsidRPr="43E22B1A">
        <w:rPr>
          <w:rFonts w:ascii="Verdana" w:eastAsia="Calibri" w:hAnsi="Verdana" w:cs="Arial"/>
          <w:kern w:val="2"/>
          <w:lang w:val="es-ES"/>
          <w14:ligatures w14:val="standardContextual"/>
        </w:rPr>
        <w:lastRenderedPageBreak/>
        <w:t xml:space="preserve">Por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 Asimismo, es importante precisar que esta es la modalidad de selección que estableció la </w:t>
      </w:r>
      <w:r w:rsidR="00246B6E">
        <w:rPr>
          <w:rFonts w:ascii="Verdana" w:eastAsia="Calibri" w:hAnsi="Verdana" w:cs="Arial"/>
          <w:kern w:val="2"/>
          <w:lang w:val="es-ES"/>
          <w14:ligatures w14:val="standardContextual"/>
        </w:rPr>
        <w:t>L</w:t>
      </w:r>
      <w:r w:rsidRPr="43E22B1A">
        <w:rPr>
          <w:rFonts w:ascii="Verdana" w:eastAsia="Calibri" w:hAnsi="Verdana" w:cs="Arial"/>
          <w:kern w:val="2"/>
          <w:lang w:val="es-ES"/>
          <w14:ligatures w14:val="standardContextual"/>
        </w:rPr>
        <w:t xml:space="preserve">ey para contratar las consultorías.  </w:t>
      </w:r>
    </w:p>
    <w:p w14:paraId="17E0F77A" w14:textId="77777777" w:rsidR="009B644F" w:rsidRDefault="009B644F" w:rsidP="009B644F">
      <w:pPr>
        <w:snapToGrid w:val="0"/>
        <w:spacing w:after="0" w:line="276" w:lineRule="auto"/>
        <w:ind w:left="720"/>
        <w:jc w:val="both"/>
        <w:rPr>
          <w:rFonts w:ascii="Verdana" w:eastAsia="Calibri" w:hAnsi="Verdana" w:cs="Arial"/>
          <w:kern w:val="2"/>
          <w:lang w:val="es-ES"/>
          <w14:ligatures w14:val="standardContextual"/>
        </w:rPr>
      </w:pPr>
    </w:p>
    <w:p w14:paraId="2C82C436" w14:textId="77777777" w:rsidR="009B644F" w:rsidRDefault="009B644F" w:rsidP="009B644F">
      <w:pPr>
        <w:pStyle w:val="Prrafodelista"/>
        <w:numPr>
          <w:ilvl w:val="0"/>
          <w:numId w:val="18"/>
        </w:numPr>
        <w:snapToGrid w:val="0"/>
        <w:spacing w:after="0" w:line="276" w:lineRule="auto"/>
        <w:jc w:val="both"/>
        <w:rPr>
          <w:rFonts w:ascii="Verdana" w:eastAsia="Calibri" w:hAnsi="Verdana" w:cs="Arial"/>
          <w:kern w:val="2"/>
          <w14:ligatures w14:val="standardContextual"/>
        </w:rPr>
      </w:pPr>
      <w:r w:rsidRPr="002376C2">
        <w:rPr>
          <w:rFonts w:ascii="Verdana" w:eastAsia="Calibri" w:hAnsi="Verdana" w:cs="Arial"/>
          <w:kern w:val="2"/>
          <w14:ligatures w14:val="standardContextual"/>
        </w:rPr>
        <w:t>Asi las cosas, lo que define al contrato de consultoría es el desarrollo de actividades que implican el despliegue de actividades de carácter eminentemente intelectivo, dirigidas, específicamente, al cumplimiento de los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w:t>
      </w:r>
    </w:p>
    <w:p w14:paraId="2FAE0AA2" w14:textId="77777777" w:rsidR="009B644F" w:rsidRPr="009D4BB6" w:rsidRDefault="009B644F" w:rsidP="009B644F">
      <w:pPr>
        <w:pStyle w:val="Prrafodelista"/>
        <w:rPr>
          <w:rFonts w:ascii="Verdana" w:hAnsi="Verdana"/>
          <w:lang w:val="es-MX"/>
        </w:rPr>
      </w:pPr>
    </w:p>
    <w:p w14:paraId="61E07759" w14:textId="32E695C4" w:rsidR="00F6199C" w:rsidRPr="00C526CB" w:rsidRDefault="009B644F" w:rsidP="00F6199C">
      <w:pPr>
        <w:pStyle w:val="Prrafodelista"/>
        <w:numPr>
          <w:ilvl w:val="0"/>
          <w:numId w:val="18"/>
        </w:numPr>
        <w:snapToGrid w:val="0"/>
        <w:spacing w:after="0" w:line="276" w:lineRule="auto"/>
        <w:jc w:val="both"/>
        <w:rPr>
          <w:rFonts w:ascii="Verdana" w:eastAsia="Calibri" w:hAnsi="Verdana" w:cs="Arial"/>
          <w:kern w:val="2"/>
          <w14:ligatures w14:val="standardContextual"/>
        </w:rPr>
      </w:pPr>
      <w:r w:rsidRPr="00246B6E">
        <w:rPr>
          <w:rFonts w:ascii="Verdana" w:hAnsi="Verdana"/>
          <w:lang w:val="es-MX"/>
        </w:rPr>
        <w:t>Ahora bien, en relación con los criterios de evaluación para la selección de consultores en el marco de un proceso de concurso de méritos, el artículo 2.2.1.1.2.2.3</w:t>
      </w:r>
      <w:r w:rsidRPr="00246B6E">
        <w:rPr>
          <w:rFonts w:ascii="Verdana" w:hAnsi="Verdana"/>
          <w:i/>
          <w:iCs/>
          <w:lang w:val="es-MX"/>
        </w:rPr>
        <w:t xml:space="preserve">. </w:t>
      </w:r>
      <w:r w:rsidRPr="00246B6E">
        <w:rPr>
          <w:rFonts w:ascii="Verdana" w:hAnsi="Verdana"/>
          <w:lang w:val="es-MX"/>
        </w:rPr>
        <w:t xml:space="preserve">del Decreto 1082 de 2015, establece que la entidad estatal puede </w:t>
      </w:r>
      <w:r w:rsidRPr="00246B6E">
        <w:rPr>
          <w:rFonts w:ascii="Verdana" w:hAnsi="Verdana"/>
        </w:rPr>
        <w:t xml:space="preserve">designar un comité evaluador para analizar las ofertas y las manifestaciones de interés para cada Proceso de Contratación por licitación, selección abreviada y </w:t>
      </w:r>
      <w:r w:rsidRPr="00246B6E">
        <w:rPr>
          <w:rFonts w:ascii="Verdana" w:hAnsi="Verdana"/>
          <w:b/>
          <w:bCs/>
        </w:rPr>
        <w:t>concurso de méritos</w:t>
      </w:r>
      <w:r w:rsidRPr="00246B6E">
        <w:rPr>
          <w:rFonts w:ascii="Verdana" w:hAnsi="Verdana"/>
          <w:lang w:val="es-MX"/>
        </w:rPr>
        <w:t xml:space="preserve">, ciñéndose exclusivamente a las reglas contenidas en los pliegos de condiciones. </w:t>
      </w:r>
    </w:p>
    <w:p w14:paraId="58A993F1" w14:textId="77777777" w:rsidR="00F6199C" w:rsidRPr="00C526CB" w:rsidRDefault="00F6199C" w:rsidP="00F6199C">
      <w:pPr>
        <w:pStyle w:val="Prrafodelista"/>
        <w:numPr>
          <w:ilvl w:val="0"/>
          <w:numId w:val="18"/>
        </w:numPr>
        <w:snapToGrid w:val="0"/>
        <w:spacing w:after="0" w:line="276" w:lineRule="auto"/>
        <w:jc w:val="both"/>
        <w:rPr>
          <w:rFonts w:ascii="Verdana" w:eastAsia="Calibri" w:hAnsi="Verdana" w:cs="Arial"/>
          <w:kern w:val="2"/>
          <w14:ligatures w14:val="standardContextual"/>
        </w:rPr>
      </w:pPr>
      <w:r w:rsidRPr="00C526CB">
        <w:rPr>
          <w:rFonts w:ascii="Verdana" w:eastAsia="Times New Roman" w:hAnsi="Verdana" w:cs="Arial"/>
          <w:color w:val="000000" w:themeColor="text1"/>
          <w:szCs w:val="24"/>
          <w:lang w:eastAsia="es-ES_tradnl"/>
        </w:rPr>
        <w:t xml:space="preserve">Es necesario tener en cuenta que, </w:t>
      </w:r>
      <w:r w:rsidR="00966BD2" w:rsidRPr="00C526CB">
        <w:rPr>
          <w:rFonts w:ascii="Verdana" w:eastAsia="Times New Roman" w:hAnsi="Verdana" w:cs="Arial"/>
          <w:color w:val="000000" w:themeColor="text1"/>
          <w:szCs w:val="24"/>
          <w:lang w:val="es-ES_tradnl" w:eastAsia="es-ES_tradnl"/>
        </w:rPr>
        <w:t xml:space="preserve">en el concurso de méritos no se tiene en cuenta el precio como factor de evaluación, a diferencia del proceso de licitación pública y de las demás modalidades de selección de contratistas estatales. </w:t>
      </w:r>
      <w:r w:rsidR="00966BD2" w:rsidRPr="00C526CB">
        <w:rPr>
          <w:rFonts w:ascii="Verdana" w:hAnsi="Verdana" w:cs="Arial"/>
          <w:color w:val="000000" w:themeColor="text1"/>
          <w:lang w:val="es-ES_tradnl"/>
        </w:rPr>
        <w:t xml:space="preserve">Por tanto, de conformidad con el inciso final del </w:t>
      </w:r>
      <w:r w:rsidRPr="00C526CB">
        <w:rPr>
          <w:rFonts w:ascii="Verdana" w:hAnsi="Verdana" w:cs="Arial"/>
          <w:color w:val="000000" w:themeColor="text1"/>
          <w:lang w:val="es-ES_tradnl"/>
        </w:rPr>
        <w:t xml:space="preserve">numeral 4 del </w:t>
      </w:r>
      <w:r w:rsidR="00966BD2" w:rsidRPr="00C526CB">
        <w:rPr>
          <w:rFonts w:ascii="Verdana" w:hAnsi="Verdana" w:cs="Arial"/>
          <w:color w:val="000000" w:themeColor="text1"/>
          <w:lang w:val="es-ES_tradnl"/>
        </w:rPr>
        <w:t>artículo 5</w:t>
      </w:r>
      <w:r w:rsidRPr="00C526CB">
        <w:rPr>
          <w:rFonts w:ascii="Verdana" w:hAnsi="Verdana" w:cs="Arial"/>
          <w:color w:val="000000" w:themeColor="text1"/>
          <w:lang w:val="es-ES_tradnl"/>
        </w:rPr>
        <w:t xml:space="preserve">. </w:t>
      </w:r>
      <w:r w:rsidR="00966BD2" w:rsidRPr="00C526CB">
        <w:rPr>
          <w:rFonts w:ascii="Verdana" w:hAnsi="Verdana" w:cs="Arial"/>
          <w:color w:val="000000" w:themeColor="text1"/>
          <w:lang w:val="es-ES_tradnl"/>
        </w:rPr>
        <w:t>de la Ley 1150 de 2007, la oferta económica no tiene injerencia en la escogencia del ofrecimiento más favorable. A partir de estas precisiones de orden normativo las entidades estatales podrán, en ejercicio de su discrecionalidad administrativa, establecer en los pliegos de condiciones métodos de asignación de puntaje, sin tener en cuenta el precio.</w:t>
      </w:r>
    </w:p>
    <w:p w14:paraId="65C5AEF8" w14:textId="77777777" w:rsidR="00F6199C" w:rsidRPr="00C526CB" w:rsidRDefault="00966BD2" w:rsidP="00F6199C">
      <w:pPr>
        <w:pStyle w:val="Prrafodelista"/>
        <w:numPr>
          <w:ilvl w:val="0"/>
          <w:numId w:val="18"/>
        </w:numPr>
        <w:snapToGrid w:val="0"/>
        <w:spacing w:after="0" w:line="276" w:lineRule="auto"/>
        <w:jc w:val="both"/>
        <w:rPr>
          <w:rFonts w:ascii="Verdana" w:eastAsia="Calibri" w:hAnsi="Verdana" w:cs="Arial"/>
          <w:kern w:val="2"/>
          <w14:ligatures w14:val="standardContextual"/>
        </w:rPr>
      </w:pPr>
      <w:r w:rsidRPr="00C526CB">
        <w:rPr>
          <w:rFonts w:ascii="Verdana" w:hAnsi="Verdana" w:cs="Arial"/>
          <w:color w:val="000000" w:themeColor="text1"/>
          <w:lang w:val="es-ES_tradnl"/>
        </w:rPr>
        <w:t xml:space="preserve">En este sentido, es posible aplicar, entre otros métodos, el aleatorio, que si bien está regulado para los procesos de licitación pública en el inciso 3°, parágrafo 3° del artículo 30 de la Ley 80 de 1993 modificado por el </w:t>
      </w:r>
      <w:r w:rsidRPr="00C526CB">
        <w:rPr>
          <w:rFonts w:ascii="Verdana" w:hAnsi="Verdana" w:cs="Arial"/>
          <w:color w:val="000000" w:themeColor="text1"/>
          <w:lang w:val="es-ES_tradnl"/>
        </w:rPr>
        <w:lastRenderedPageBreak/>
        <w:t>artículo 1 de la Ley 1882 de 2018</w:t>
      </w:r>
      <w:r w:rsidRPr="00C526CB">
        <w:rPr>
          <w:rStyle w:val="Refdenotaalpie"/>
          <w:rFonts w:ascii="Verdana" w:hAnsi="Verdana" w:cs="Arial"/>
          <w:color w:val="000000" w:themeColor="text1"/>
          <w:lang w:val="es-ES_tradnl"/>
        </w:rPr>
        <w:footnoteReference w:id="7"/>
      </w:r>
      <w:r w:rsidRPr="00C526CB">
        <w:rPr>
          <w:rFonts w:ascii="Verdana" w:hAnsi="Verdana" w:cs="Arial"/>
          <w:color w:val="000000" w:themeColor="text1"/>
          <w:lang w:val="es-ES_tradnl"/>
        </w:rPr>
        <w:t>, eso no significa que no pueda aplicarse a otras modalidades, como el concurso de méritos.</w:t>
      </w:r>
      <w:r w:rsidRPr="00C526CB">
        <w:rPr>
          <w:rFonts w:ascii="Verdana" w:eastAsia="Times New Roman" w:hAnsi="Verdana" w:cs="Arial"/>
          <w:color w:val="000000" w:themeColor="text1"/>
          <w:lang w:val="es-MX" w:eastAsia="es-ES_tradnl"/>
        </w:rPr>
        <w:t xml:space="preserve"> </w:t>
      </w:r>
    </w:p>
    <w:p w14:paraId="649EB982" w14:textId="3F060A4B" w:rsidR="00966BD2" w:rsidRPr="00C526CB" w:rsidRDefault="00966BD2" w:rsidP="00C526CB">
      <w:pPr>
        <w:pStyle w:val="Prrafodelista"/>
        <w:numPr>
          <w:ilvl w:val="0"/>
          <w:numId w:val="18"/>
        </w:numPr>
        <w:snapToGrid w:val="0"/>
        <w:spacing w:after="0" w:line="276" w:lineRule="auto"/>
        <w:jc w:val="both"/>
        <w:rPr>
          <w:rFonts w:ascii="Verdana" w:eastAsia="Calibri" w:hAnsi="Verdana" w:cs="Arial"/>
          <w:kern w:val="2"/>
          <w14:ligatures w14:val="standardContextual"/>
        </w:rPr>
      </w:pPr>
      <w:r w:rsidRPr="00C526CB">
        <w:rPr>
          <w:rFonts w:ascii="Verdana" w:eastAsia="Calibri" w:hAnsi="Verdana" w:cs="Arial"/>
          <w:color w:val="000000"/>
          <w:lang w:val="es-ES_tradnl" w:eastAsia="es-ES_tradnl"/>
        </w:rPr>
        <w:t>En efecto, entidades estatales en su discrecionalidad administrativa podrán regular dentro del pliego de condiciones métodos aritméticos, como el aleatorio, pero garantizando que el precio no se constituya en un factor de ponderación o de puntuación y asegurando la protección del principio de selección objetiva. En esta línea, la competencia del comité de contratación y, en último término, del ordenador del gasto o el delegado en contratación de cada entidad está condicionada a la proporcionalidad de las decisiones que se toman dentro de los pliegos de condiciones en aras de garantizar la pluralidad de oferentes y la selección objetiva</w:t>
      </w:r>
      <w:r w:rsidRPr="00C526CB">
        <w:rPr>
          <w:rFonts w:ascii="Verdana" w:eastAsia="Times New Roman" w:hAnsi="Verdana"/>
          <w:vertAlign w:val="superscript"/>
          <w:lang w:eastAsia="es-ES_tradnl"/>
        </w:rPr>
        <w:footnoteReference w:id="8"/>
      </w:r>
      <w:r w:rsidRPr="00C526CB">
        <w:rPr>
          <w:rFonts w:ascii="Verdana" w:eastAsia="Times New Roman" w:hAnsi="Verdana" w:cs="Arial"/>
          <w:lang w:eastAsia="es-ES_tradnl"/>
        </w:rPr>
        <w:t xml:space="preserve">, como puede ocurrir con la regulación del método aleatorio. </w:t>
      </w:r>
    </w:p>
    <w:p w14:paraId="5C0A41E1" w14:textId="0F942196" w:rsidR="009B644F" w:rsidRPr="00F6199C" w:rsidRDefault="00966BD2" w:rsidP="00C526CB">
      <w:pPr>
        <w:pStyle w:val="Prrafodelista"/>
        <w:numPr>
          <w:ilvl w:val="0"/>
          <w:numId w:val="18"/>
        </w:numPr>
        <w:snapToGrid w:val="0"/>
        <w:spacing w:after="0" w:line="276" w:lineRule="auto"/>
        <w:jc w:val="both"/>
        <w:rPr>
          <w:rFonts w:ascii="Verdana" w:eastAsia="Calibri" w:hAnsi="Verdana" w:cs="Arial"/>
        </w:rPr>
      </w:pPr>
      <w:r w:rsidRPr="00C526CB">
        <w:rPr>
          <w:rFonts w:ascii="Verdana" w:hAnsi="Verdana" w:cs="Arial"/>
          <w:color w:val="000000" w:themeColor="text1"/>
        </w:rPr>
        <w:lastRenderedPageBreak/>
        <w:t xml:space="preserve">Esté método se trata de un mecanismo que busca garantizar la transparencia y selección objetiva en los procesos de contratación pública, procurando evitar requisitos o factores de evaluación de carácter subjetivo. Al respecto, la doctrina expresa: </w:t>
      </w:r>
      <w:r w:rsidRPr="00C526CB">
        <w:rPr>
          <w:rFonts w:ascii="Verdana" w:hAnsi="Verdana" w:cs="Arial"/>
        </w:rPr>
        <w:t>«</w:t>
      </w:r>
      <w:r w:rsidRPr="00C526CB">
        <w:rPr>
          <w:rFonts w:ascii="Verdana" w:hAnsi="Verdana" w:cs="Arial"/>
          <w:color w:val="000000" w:themeColor="text1"/>
        </w:rPr>
        <w:t>Sin duda se trata de una mecánica que se fundamenta en la transparencia y que tiene un gran componente aleatorio, por lo que no faltar</w:t>
      </w:r>
      <w:r w:rsidR="00D65373">
        <w:rPr>
          <w:rFonts w:ascii="Verdana" w:hAnsi="Verdana" w:cs="Arial"/>
          <w:color w:val="000000" w:themeColor="text1"/>
        </w:rPr>
        <w:t>á</w:t>
      </w:r>
      <w:r w:rsidRPr="00C526CB">
        <w:rPr>
          <w:rFonts w:ascii="Verdana" w:hAnsi="Verdana" w:cs="Arial"/>
          <w:color w:val="000000" w:themeColor="text1"/>
        </w:rPr>
        <w:t>n las voces que la consideren muy conveniente</w:t>
      </w:r>
      <w:r w:rsidRPr="00C526CB">
        <w:rPr>
          <w:rFonts w:ascii="Verdana" w:hAnsi="Verdana" w:cs="Arial"/>
          <w:i/>
          <w:iCs/>
        </w:rPr>
        <w:t>»</w:t>
      </w:r>
      <w:r w:rsidRPr="00C526CB">
        <w:rPr>
          <w:rStyle w:val="Refdenotaalpie"/>
          <w:rFonts w:ascii="Verdana" w:hAnsi="Verdana" w:cs="Arial"/>
        </w:rPr>
        <w:footnoteReference w:id="9"/>
      </w:r>
      <w:r w:rsidRPr="00C526CB">
        <w:rPr>
          <w:rFonts w:ascii="Verdana" w:hAnsi="Verdana" w:cs="Arial"/>
          <w:color w:val="000000" w:themeColor="text1"/>
        </w:rPr>
        <w:t xml:space="preserve">. </w:t>
      </w:r>
    </w:p>
    <w:p w14:paraId="108E364C" w14:textId="7F598EB4" w:rsidR="009B644F" w:rsidRDefault="009B644F" w:rsidP="009B644F">
      <w:pPr>
        <w:pStyle w:val="Prrafodelista"/>
        <w:spacing w:before="120" w:line="276" w:lineRule="auto"/>
        <w:ind w:right="51"/>
        <w:jc w:val="both"/>
        <w:rPr>
          <w:rFonts w:ascii="Verdana" w:eastAsia="Calibri" w:hAnsi="Verdana" w:cs="Arial"/>
        </w:rPr>
      </w:pPr>
    </w:p>
    <w:p w14:paraId="47484D03" w14:textId="1793EED1" w:rsidR="009B644F" w:rsidRDefault="00D65373" w:rsidP="009B644F">
      <w:pPr>
        <w:pStyle w:val="Prrafodelista"/>
        <w:spacing w:before="120" w:line="276" w:lineRule="auto"/>
        <w:ind w:right="51"/>
        <w:jc w:val="both"/>
        <w:rPr>
          <w:rFonts w:ascii="Verdana" w:hAnsi="Verdana" w:cs="Arial"/>
          <w:bCs/>
          <w:color w:val="000000" w:themeColor="text1"/>
        </w:rPr>
      </w:pPr>
      <w:r w:rsidRPr="00831CDD">
        <w:rPr>
          <w:rFonts w:ascii="Verdana" w:hAnsi="Verdana" w:cs="Arial"/>
          <w:bCs/>
          <w:color w:val="000000" w:themeColor="text1"/>
        </w:rPr>
        <w:t>Así</w:t>
      </w:r>
      <w:r w:rsidR="009B644F" w:rsidRPr="00831CDD">
        <w:rPr>
          <w:rFonts w:ascii="Verdana" w:hAnsi="Verdana" w:cs="Arial"/>
          <w:bCs/>
          <w:color w:val="000000" w:themeColor="text1"/>
        </w:rPr>
        <w:t xml:space="preserve"> las cosas</w:t>
      </w:r>
      <w:r w:rsidR="009B644F" w:rsidRPr="00F31DD9">
        <w:rPr>
          <w:rFonts w:ascii="Verdana" w:hAnsi="Verdana" w:cs="Arial"/>
          <w:bCs/>
          <w:color w:val="000000" w:themeColor="text1"/>
        </w:rPr>
        <w:t>, los factores ponderables en un proceso de selección de concurso de méritos, esto es, los que determinan la escogencia entre los proponentes habilitados, son la experiencia del interesado y su equipo de trabajo, así como la formación académica. De acuerdo con esta normativa, en el momento de la elaboración de los pliegos de condiciones se debe señalar cómo se calificarán estos factores</w:t>
      </w:r>
      <w:r w:rsidR="009B644F">
        <w:rPr>
          <w:rFonts w:ascii="Verdana" w:hAnsi="Verdana" w:cs="Arial"/>
          <w:bCs/>
          <w:color w:val="000000" w:themeColor="text1"/>
        </w:rPr>
        <w:t>.</w:t>
      </w:r>
    </w:p>
    <w:p w14:paraId="3BBF4BEC" w14:textId="77777777" w:rsidR="009B644F" w:rsidRPr="00831CDD" w:rsidRDefault="009B644F" w:rsidP="009B644F">
      <w:pPr>
        <w:pStyle w:val="Prrafodelista"/>
        <w:spacing w:line="276" w:lineRule="auto"/>
        <w:ind w:right="49"/>
        <w:jc w:val="both"/>
        <w:rPr>
          <w:rFonts w:ascii="Verdana" w:eastAsia="Times New Roman" w:hAnsi="Verdana" w:cs="Arial"/>
        </w:rPr>
      </w:pPr>
    </w:p>
    <w:p w14:paraId="34D082CA" w14:textId="77777777" w:rsidR="009B644F" w:rsidRPr="009063E3" w:rsidRDefault="009B644F" w:rsidP="009B644F">
      <w:pPr>
        <w:pStyle w:val="Prrafodelista"/>
        <w:numPr>
          <w:ilvl w:val="0"/>
          <w:numId w:val="18"/>
        </w:numPr>
        <w:spacing w:line="276" w:lineRule="auto"/>
        <w:ind w:right="49"/>
        <w:jc w:val="both"/>
        <w:rPr>
          <w:rFonts w:ascii="Verdana" w:eastAsia="Times New Roman" w:hAnsi="Verdana" w:cs="Arial"/>
        </w:rPr>
      </w:pPr>
      <w:r>
        <w:rPr>
          <w:rFonts w:ascii="Verdana" w:eastAsia="Calibri" w:hAnsi="Verdana" w:cs="Arial"/>
        </w:rPr>
        <w:t>De esta manera</w:t>
      </w:r>
      <w:r w:rsidRPr="009063E3">
        <w:rPr>
          <w:rFonts w:ascii="Verdana" w:eastAsia="Calibri" w:hAnsi="Verdana" w:cs="Arial"/>
        </w:rPr>
        <w:t>, corresponde a cada entidad pública, en ejercicio de su competencia y previa valoración de los elementos fácticos y jurídicos, así como de las disposiciones legales mencionadas, determinar los requisitos que debe acreditar el proponente y los factores de calificación del proceso de selección. De esta manera, se establecerá la aptitud para participar en el procedimiento de contratación.</w:t>
      </w:r>
    </w:p>
    <w:p w14:paraId="3E3641FF" w14:textId="77777777" w:rsidR="009B644F" w:rsidRPr="00593A5F" w:rsidRDefault="009B644F" w:rsidP="009B644F">
      <w:pPr>
        <w:spacing w:after="120" w:line="276" w:lineRule="auto"/>
        <w:ind w:firstLine="142"/>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28E9978" w14:textId="77777777" w:rsidR="009B644F" w:rsidRPr="00593A5F" w:rsidRDefault="009B644F" w:rsidP="009B644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B644F" w:rsidRPr="00593A5F" w14:paraId="621562AE" w14:textId="77777777" w:rsidTr="00F945CE">
        <w:trPr>
          <w:trHeight w:val="870"/>
        </w:trPr>
        <w:tc>
          <w:tcPr>
            <w:tcW w:w="8647" w:type="dxa"/>
          </w:tcPr>
          <w:p w14:paraId="73A27585" w14:textId="77777777" w:rsidR="009B644F" w:rsidRDefault="009B644F" w:rsidP="00F945CE">
            <w:pPr>
              <w:pStyle w:val="Prrafodelista"/>
              <w:jc w:val="both"/>
              <w:rPr>
                <w:rFonts w:ascii="Verdana" w:hAnsi="Verdana" w:cs="Arial"/>
              </w:rPr>
            </w:pPr>
          </w:p>
          <w:p w14:paraId="3A8362DB" w14:textId="77777777" w:rsidR="009B644F" w:rsidRPr="00CA0AC1" w:rsidRDefault="009B644F" w:rsidP="009B644F">
            <w:pPr>
              <w:widowControl w:val="0"/>
              <w:numPr>
                <w:ilvl w:val="0"/>
                <w:numId w:val="17"/>
              </w:numPr>
              <w:autoSpaceDE w:val="0"/>
              <w:autoSpaceDN w:val="0"/>
              <w:spacing w:after="120" w:line="276" w:lineRule="auto"/>
              <w:jc w:val="both"/>
              <w:rPr>
                <w:rFonts w:ascii="Verdana" w:eastAsia="Calibri" w:hAnsi="Verdana" w:cs="Arial"/>
                <w:lang w:val="es-ES_tradnl"/>
              </w:rPr>
            </w:pPr>
            <w:r w:rsidRPr="00CA0AC1">
              <w:rPr>
                <w:rFonts w:ascii="Verdana" w:eastAsia="Calibri" w:hAnsi="Verdana" w:cs="Arial"/>
                <w:lang w:val="es-ES_tradnl"/>
              </w:rPr>
              <w:t>Ley 80 de 1993, artículo 32.</w:t>
            </w:r>
          </w:p>
          <w:p w14:paraId="5D7448FE" w14:textId="77777777" w:rsidR="009B644F" w:rsidRPr="00542ED3" w:rsidRDefault="009B644F" w:rsidP="009B644F">
            <w:pPr>
              <w:pStyle w:val="Prrafodelista"/>
              <w:numPr>
                <w:ilvl w:val="0"/>
                <w:numId w:val="17"/>
              </w:numPr>
              <w:spacing w:after="120" w:line="276" w:lineRule="auto"/>
              <w:ind w:right="709"/>
              <w:jc w:val="both"/>
              <w:rPr>
                <w:rFonts w:ascii="Verdana" w:hAnsi="Verdana" w:cs="Arial"/>
                <w:noProof/>
                <w:lang w:val="es-ES_tradnl"/>
              </w:rPr>
            </w:pPr>
            <w:r w:rsidRPr="00542ED3">
              <w:rPr>
                <w:rFonts w:ascii="Verdana" w:hAnsi="Verdana" w:cs="Arial"/>
                <w:noProof/>
                <w:lang w:val="es-ES_tradnl"/>
              </w:rPr>
              <w:t xml:space="preserve">Artículo 5 de la Ley 1150 de 2007, </w:t>
            </w:r>
            <w:bookmarkStart w:id="8" w:name="_Hlk176762543"/>
            <w:r w:rsidRPr="00542ED3">
              <w:rPr>
                <w:rFonts w:ascii="Verdana" w:hAnsi="Verdana" w:cs="Arial"/>
                <w:noProof/>
                <w:lang w:val="es-ES_tradnl"/>
              </w:rPr>
              <w:t>modificado por la Ley 1882 de 2018, parágrafos 1, 3 y 4</w:t>
            </w:r>
            <w:bookmarkEnd w:id="8"/>
            <w:r w:rsidRPr="00542ED3">
              <w:rPr>
                <w:rFonts w:ascii="Verdana" w:hAnsi="Verdana" w:cs="Arial"/>
                <w:noProof/>
                <w:lang w:val="es-ES_tradnl"/>
              </w:rPr>
              <w:t xml:space="preserve">. Disponible en: </w:t>
            </w:r>
            <w:hyperlink r:id="rId15" w:history="1">
              <w:r w:rsidRPr="00542ED3">
                <w:rPr>
                  <w:rStyle w:val="Hipervnculo"/>
                  <w:rFonts w:ascii="Verdana" w:hAnsi="Verdana" w:cs="Arial"/>
                  <w:noProof/>
                  <w:lang w:val="es-ES_tradnl"/>
                </w:rPr>
                <w:t>https://relatoria.colombiacompra.gov.co/normativa/ley-1882-de-2018/</w:t>
              </w:r>
            </w:hyperlink>
            <w:r w:rsidRPr="00542ED3">
              <w:rPr>
                <w:rFonts w:ascii="Verdana" w:hAnsi="Verdana" w:cs="Arial"/>
                <w:noProof/>
                <w:lang w:val="es-ES_tradnl"/>
              </w:rPr>
              <w:t xml:space="preserve"> </w:t>
            </w:r>
          </w:p>
          <w:p w14:paraId="51212585" w14:textId="77777777" w:rsidR="009B644F" w:rsidRPr="009063E3" w:rsidRDefault="009B644F" w:rsidP="009B644F">
            <w:pPr>
              <w:pStyle w:val="Prrafodelista"/>
              <w:numPr>
                <w:ilvl w:val="0"/>
                <w:numId w:val="17"/>
              </w:numPr>
              <w:jc w:val="both"/>
              <w:rPr>
                <w:rStyle w:val="Hipervnculo"/>
                <w:rFonts w:ascii="Verdana" w:hAnsi="Verdana" w:cs="Arial"/>
                <w:color w:val="auto"/>
                <w:u w:val="none"/>
              </w:rPr>
            </w:pPr>
            <w:r w:rsidRPr="00542ED3">
              <w:rPr>
                <w:rFonts w:ascii="Verdana" w:eastAsia="Times New Roman" w:hAnsi="Verdana" w:cs="Arial"/>
                <w:lang w:val="es-ES_tradnl" w:eastAsia="es-ES_tradnl"/>
              </w:rPr>
              <w:t xml:space="preserve">Artículo 2.2.1.2.1.5.2 y </w:t>
            </w:r>
            <w:r w:rsidRPr="00542ED3">
              <w:rPr>
                <w:rFonts w:ascii="Verdana" w:eastAsia="Calibri" w:hAnsi="Verdana" w:cs="Arial"/>
              </w:rPr>
              <w:t xml:space="preserve">2.2.1.1.1.6.2 </w:t>
            </w:r>
            <w:r w:rsidRPr="00542ED3">
              <w:rPr>
                <w:rFonts w:ascii="Verdana" w:eastAsia="Times New Roman" w:hAnsi="Verdana" w:cs="Arial"/>
                <w:lang w:val="es-ES_tradnl" w:eastAsia="es-ES_tradnl"/>
              </w:rPr>
              <w:t xml:space="preserve">del Decreto 1082 de 2015 modificado por el artículo 2 Decreto 1860 de 2021. </w:t>
            </w:r>
            <w:r w:rsidRPr="00542ED3">
              <w:rPr>
                <w:rFonts w:ascii="Verdana" w:hAnsi="Verdana" w:cs="Arial"/>
                <w:noProof/>
                <w:lang w:val="es-ES_tradnl"/>
              </w:rPr>
              <w:t xml:space="preserve">Disponible en: </w:t>
            </w:r>
            <w:r w:rsidRPr="00542ED3">
              <w:rPr>
                <w:rFonts w:ascii="Verdana" w:eastAsia="Times New Roman" w:hAnsi="Verdana" w:cs="Arial"/>
                <w:lang w:val="es-ES_tradnl" w:eastAsia="es-ES_tradnl"/>
              </w:rPr>
              <w:t xml:space="preserve"> </w:t>
            </w:r>
            <w:hyperlink r:id="rId16" w:history="1">
              <w:r w:rsidRPr="00542ED3">
                <w:rPr>
                  <w:rStyle w:val="Hipervnculo"/>
                  <w:rFonts w:ascii="Verdana" w:eastAsia="Times New Roman" w:hAnsi="Verdana" w:cs="Arial"/>
                  <w:lang w:val="es-ES_tradnl" w:eastAsia="es-ES_tradnl"/>
                </w:rPr>
                <w:t>https://relatoria.colombiacompra.gov.co/normativa/decreto-  1860-de-2021/</w:t>
              </w:r>
            </w:hyperlink>
          </w:p>
          <w:p w14:paraId="190B5054" w14:textId="77777777" w:rsidR="009B644F" w:rsidRPr="000D446F" w:rsidRDefault="009B644F" w:rsidP="00C526CB">
            <w:pPr>
              <w:widowControl w:val="0"/>
              <w:numPr>
                <w:ilvl w:val="0"/>
                <w:numId w:val="17"/>
              </w:numPr>
              <w:autoSpaceDE w:val="0"/>
              <w:autoSpaceDN w:val="0"/>
              <w:spacing w:after="120" w:line="276" w:lineRule="auto"/>
              <w:jc w:val="both"/>
              <w:rPr>
                <w:rFonts w:ascii="Verdana" w:hAnsi="Verdana" w:cs="Arial"/>
              </w:rPr>
            </w:pPr>
          </w:p>
        </w:tc>
      </w:tr>
    </w:tbl>
    <w:p w14:paraId="6977A7F1" w14:textId="77777777" w:rsidR="009B644F" w:rsidRPr="00593A5F" w:rsidRDefault="009B644F" w:rsidP="009B644F">
      <w:pPr>
        <w:widowControl w:val="0"/>
        <w:autoSpaceDE w:val="0"/>
        <w:autoSpaceDN w:val="0"/>
        <w:spacing w:after="0" w:line="276" w:lineRule="auto"/>
        <w:jc w:val="both"/>
        <w:rPr>
          <w:rFonts w:ascii="Verdana" w:hAnsi="Verdana" w:cs="Arial"/>
        </w:rPr>
      </w:pPr>
    </w:p>
    <w:p w14:paraId="2E72B69F" w14:textId="77777777" w:rsidR="009B644F" w:rsidRPr="00593A5F" w:rsidRDefault="009B644F" w:rsidP="009B64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1D4C516" w14:textId="77777777" w:rsidR="009B644F" w:rsidRDefault="009B644F" w:rsidP="009B644F">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5A998FDE" w14:textId="77777777" w:rsidR="009B644F" w:rsidRDefault="009B644F" w:rsidP="009B644F">
      <w:pPr>
        <w:widowControl w:val="0"/>
        <w:autoSpaceDE w:val="0"/>
        <w:autoSpaceDN w:val="0"/>
        <w:spacing w:after="0" w:line="276" w:lineRule="auto"/>
        <w:jc w:val="both"/>
        <w:rPr>
          <w:rFonts w:ascii="Verdana" w:eastAsia="Calibri" w:hAnsi="Verdana" w:cs="Arial"/>
          <w:lang w:eastAsia="es-ES"/>
        </w:rPr>
      </w:pPr>
      <w:r w:rsidRPr="00503C19">
        <w:rPr>
          <w:rStyle w:val="normaltextrun"/>
          <w:rFonts w:ascii="Verdana" w:hAnsi="Verdana" w:cs="Arial"/>
          <w:shd w:val="clear" w:color="auto" w:fill="FFFFFF"/>
          <w:lang w:val="es-ES"/>
        </w:rPr>
        <w:t>Esta Subdirección se ha pronunciado s</w:t>
      </w:r>
      <w:r w:rsidRPr="00503C19">
        <w:rPr>
          <w:rFonts w:ascii="Verdana" w:eastAsia="Aptos" w:hAnsi="Verdana" w:cs="Arial"/>
          <w:shd w:val="clear" w:color="auto" w:fill="FFFFFF"/>
        </w:rPr>
        <w:t xml:space="preserve">obre los requisitos habilitantes en los procesos de contratación pública, en los Conceptos </w:t>
      </w:r>
      <w:r w:rsidRPr="00503C19">
        <w:rPr>
          <w:rFonts w:ascii="Verdana" w:eastAsia="Calibri" w:hAnsi="Verdana" w:cs="Arial"/>
          <w:lang w:val="es-ES_tradnl" w:eastAsia="es-MX"/>
        </w:rPr>
        <w:t xml:space="preserve">C-120 del 3 de marzo de 2020, C-204 del 31 de marzo de 2020, C-099 del 6 de abril de 2020, C-195 del 13 de abril de 2020, C-013 del 17 de abril de 2020, C-330 del 27 de mayo de 2020, C-396 de 16 de julio de 2020, C-142 del 30 de marzo de 2022, C-337 del 18 de agosto de 2023, </w:t>
      </w:r>
      <w:r w:rsidRPr="00503C19">
        <w:rPr>
          <w:rFonts w:ascii="Verdana" w:eastAsia="Aptos" w:hAnsi="Verdana" w:cs="Arial"/>
          <w:shd w:val="clear" w:color="auto" w:fill="FFFFFF"/>
        </w:rPr>
        <w:t>C-246 del 16 de julio de 2024, C-277 del 16 de julio de 2024, C-193 del 19 de julio de 2024, C-178 del 29 de julio de 2024, C-204 del 29 de julio de 2024, C-278 del 31 de julio de 2024, C-201 del 02 de agosto de 2024, C-349 del 15 de agosto de 2024, C-291 del 20 de agosto de 2024</w:t>
      </w:r>
      <w:r w:rsidRPr="00503C19">
        <w:rPr>
          <w:rFonts w:ascii="Verdana" w:eastAsia="Calibri" w:hAnsi="Verdana" w:cs="Arial"/>
          <w:lang w:eastAsia="es-ES"/>
        </w:rPr>
        <w:t xml:space="preserve"> y C-370 del 03 de septiembre de 2024.</w:t>
      </w:r>
    </w:p>
    <w:p w14:paraId="50311E4D" w14:textId="77777777" w:rsidR="009B644F" w:rsidRDefault="009B644F" w:rsidP="009B644F">
      <w:pPr>
        <w:widowControl w:val="0"/>
        <w:autoSpaceDE w:val="0"/>
        <w:autoSpaceDN w:val="0"/>
        <w:spacing w:after="0" w:line="276" w:lineRule="auto"/>
        <w:jc w:val="both"/>
        <w:rPr>
          <w:rFonts w:ascii="Verdana" w:eastAsia="Calibri" w:hAnsi="Verdana" w:cs="Arial"/>
          <w:lang w:eastAsia="es-ES"/>
        </w:rPr>
      </w:pPr>
    </w:p>
    <w:p w14:paraId="07645AF9" w14:textId="77777777" w:rsidR="009B644F" w:rsidRDefault="009B644F" w:rsidP="009B644F">
      <w:pPr>
        <w:widowControl w:val="0"/>
        <w:autoSpaceDE w:val="0"/>
        <w:autoSpaceDN w:val="0"/>
        <w:spacing w:after="0" w:line="276" w:lineRule="auto"/>
        <w:jc w:val="both"/>
        <w:rPr>
          <w:rFonts w:ascii="Verdana" w:eastAsia="Calibri" w:hAnsi="Verdana" w:cs="Arial"/>
          <w:lang w:eastAsia="es-ES"/>
        </w:rPr>
      </w:pPr>
      <w:r w:rsidRPr="00CA0AC1">
        <w:rPr>
          <w:rFonts w:ascii="Verdana" w:eastAsia="Calibri" w:hAnsi="Verdana" w:cs="Arial"/>
          <w:shd w:val="clear" w:color="auto" w:fill="FFFFFF"/>
          <w:lang w:val="es-ES_tradnl"/>
        </w:rPr>
        <w:t>También, esta Agencia se</w:t>
      </w:r>
      <w:r w:rsidRPr="00CA0AC1">
        <w:rPr>
          <w:rFonts w:ascii="Aptos" w:eastAsia="Aptos" w:hAnsi="Aptos" w:cs="Times New Roman"/>
          <w:kern w:val="2"/>
          <w:sz w:val="24"/>
          <w:szCs w:val="24"/>
          <w:lang w:val="es-ES_tradnl"/>
          <w14:ligatures w14:val="standardContextual"/>
        </w:rPr>
        <w:t xml:space="preserve"> </w:t>
      </w:r>
      <w:r w:rsidRPr="00CA0AC1">
        <w:rPr>
          <w:rFonts w:ascii="Verdana" w:eastAsia="Calibri" w:hAnsi="Verdana" w:cs="Arial"/>
          <w:shd w:val="clear" w:color="auto" w:fill="FFFFFF"/>
          <w:lang w:val="es-ES_tradnl"/>
        </w:rPr>
        <w:t>pronunció sobre la modalidad de selección de concurso de méritos, en los conceptos C-124 del 25 de marzo de 2020, C-227 del 7 de abril de 2020, C-406 y C-477 del 13 de julio de 2020, C-612 del 2 de octubre de 2020, C-702 del 11 de diciembre de 2020, C-761 del 5 de enero de 2021, C- 297 del 17 de junio de 2021, C-339 del 14 de junio de 2021, C-367 del 26 de julio de 2021 y C-408 del 13 de agosto de 2021, C- 707 del 17 de enero de 2022, C-739 del 2 de febrero de 2022, C-043 del 1 de marzo de 2022, C- 052 del 3 de marzo de 2022, C-165 del 6 de abril de 2022, C-629 del 26 de septiembre de 2022, C-965 de 17 de enero de 2023</w:t>
      </w:r>
      <w:r>
        <w:rPr>
          <w:rFonts w:ascii="Verdana" w:eastAsia="Calibri" w:hAnsi="Verdana" w:cs="Arial"/>
          <w:shd w:val="clear" w:color="auto" w:fill="FFFFFF"/>
          <w:lang w:val="es-ES_tradnl"/>
        </w:rPr>
        <w:t xml:space="preserve">, </w:t>
      </w:r>
      <w:r w:rsidRPr="00CA0AC1">
        <w:rPr>
          <w:rFonts w:ascii="Verdana" w:eastAsia="Calibri" w:hAnsi="Verdana" w:cs="Arial"/>
          <w:shd w:val="clear" w:color="auto" w:fill="FFFFFF"/>
          <w:lang w:val="es-ES_tradnl"/>
        </w:rPr>
        <w:t>C-070 del 24 de abril de 2023</w:t>
      </w:r>
      <w:r>
        <w:rPr>
          <w:rFonts w:ascii="Verdana" w:eastAsia="Calibri" w:hAnsi="Verdana" w:cs="Arial"/>
          <w:shd w:val="clear" w:color="auto" w:fill="FFFFFF"/>
          <w:lang w:val="es-ES_tradnl"/>
        </w:rPr>
        <w:t xml:space="preserve"> y C-229 del 09 de agosto de 2024.</w:t>
      </w:r>
    </w:p>
    <w:p w14:paraId="3002C49F" w14:textId="77777777" w:rsidR="009B644F" w:rsidRDefault="009B644F" w:rsidP="009B644F">
      <w:pPr>
        <w:widowControl w:val="0"/>
        <w:autoSpaceDE w:val="0"/>
        <w:autoSpaceDN w:val="0"/>
        <w:spacing w:after="0" w:line="276" w:lineRule="auto"/>
        <w:jc w:val="both"/>
        <w:rPr>
          <w:rFonts w:ascii="Verdana" w:eastAsia="Calibri" w:hAnsi="Verdana" w:cs="Arial"/>
          <w:lang w:eastAsia="es-ES"/>
        </w:rPr>
      </w:pPr>
    </w:p>
    <w:p w14:paraId="753DCA25" w14:textId="77777777" w:rsidR="009B644F" w:rsidRDefault="009B644F" w:rsidP="009B644F">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xml:space="preserve"> . Te invitamos también a revisar la tercera edición del  Boletín de Relatoría de 2024 </w:t>
      </w:r>
      <w:r w:rsidRPr="00A8619D">
        <w:rPr>
          <w:rFonts w:ascii="Verdana" w:hAnsi="Verdana" w:cs="Arial"/>
          <w:color w:val="000000" w:themeColor="text1"/>
          <w:shd w:val="clear" w:color="auto" w:fill="FFFFFF"/>
        </w:rPr>
        <w:lastRenderedPageBreak/>
        <w:t>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5E80EB18" w14:textId="77777777" w:rsidR="009B644F" w:rsidRDefault="009B644F" w:rsidP="009B644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2C7E917" w14:textId="77777777" w:rsidR="009B644F" w:rsidRDefault="009B644F" w:rsidP="009B644F">
      <w:pPr>
        <w:widowControl w:val="0"/>
        <w:autoSpaceDE w:val="0"/>
        <w:autoSpaceDN w:val="0"/>
        <w:spacing w:after="0" w:line="276" w:lineRule="auto"/>
        <w:jc w:val="both"/>
      </w:pPr>
      <w:r w:rsidRPr="00985B04">
        <w:rPr>
          <w:rStyle w:val="normaltextrun"/>
          <w:rFonts w:ascii="Verdana" w:hAnsi="Verdana" w:cs="Arial"/>
          <w:color w:val="000000" w:themeColor="text1"/>
          <w:shd w:val="clear" w:color="auto" w:fill="FFFFFF"/>
          <w:lang w:val="es-ES"/>
        </w:rPr>
        <w:t>También le invitamos a consultar la</w:t>
      </w:r>
      <w:r>
        <w:rPr>
          <w:rStyle w:val="normaltextrun"/>
          <w:rFonts w:ascii="Verdana" w:hAnsi="Verdana" w:cs="Arial"/>
          <w:color w:val="000000" w:themeColor="text1"/>
          <w:shd w:val="clear" w:color="auto" w:fill="FFFFFF"/>
          <w:lang w:val="es-ES"/>
        </w:rPr>
        <w:t xml:space="preserve"> </w:t>
      </w:r>
      <w:r w:rsidRPr="00985B04">
        <w:rPr>
          <w:rStyle w:val="normaltextrun"/>
          <w:rFonts w:ascii="Verdana" w:hAnsi="Verdana" w:cs="Arial"/>
          <w:color w:val="000000" w:themeColor="text1"/>
          <w:shd w:val="clear" w:color="auto" w:fill="FFFFFF"/>
          <w:lang w:val="es-ES"/>
        </w:rPr>
        <w:t xml:space="preserve">versión </w:t>
      </w:r>
      <w:r>
        <w:rPr>
          <w:rStyle w:val="normaltextrun"/>
          <w:rFonts w:ascii="Verdana" w:hAnsi="Verdana" w:cs="Arial"/>
          <w:color w:val="000000" w:themeColor="text1"/>
          <w:shd w:val="clear" w:color="auto" w:fill="FFFFFF"/>
          <w:lang w:val="es-ES"/>
        </w:rPr>
        <w:t>IV</w:t>
      </w:r>
      <w:r w:rsidRPr="00985B04">
        <w:rPr>
          <w:rStyle w:val="normaltextrun"/>
          <w:rFonts w:ascii="Verdana" w:hAnsi="Verdana" w:cs="Arial"/>
          <w:color w:val="000000" w:themeColor="text1"/>
          <w:shd w:val="clear" w:color="auto" w:fill="FFFFFF"/>
          <w:lang w:val="es-ES"/>
        </w:rPr>
        <w:t xml:space="preserve">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9" w:history="1">
        <w:r w:rsidRPr="008E0FA3">
          <w:rPr>
            <w:rStyle w:val="Hipervnculo"/>
            <w:rFonts w:ascii="Verdana" w:hAnsi="Verdana"/>
          </w:rPr>
          <w:t>https://www.colombiacompra.gov.co/sala-de-prensa/boletin-digital/boletin-de-relatoria-2024-vi-modalidad-de-seleccion-de-seleccion-de</w:t>
        </w:r>
      </w:hyperlink>
      <w:r>
        <w:rPr>
          <w:rFonts w:ascii="Verdana" w:hAnsi="Verdana"/>
        </w:rPr>
        <w:t xml:space="preserve"> </w:t>
      </w:r>
      <w:r>
        <w:t xml:space="preserve">  </w:t>
      </w:r>
    </w:p>
    <w:p w14:paraId="1A45C404" w14:textId="77777777" w:rsidR="009B644F" w:rsidRDefault="009B644F" w:rsidP="009B644F">
      <w:pPr>
        <w:widowControl w:val="0"/>
        <w:autoSpaceDE w:val="0"/>
        <w:autoSpaceDN w:val="0"/>
        <w:spacing w:after="0" w:line="276" w:lineRule="auto"/>
        <w:jc w:val="both"/>
        <w:rPr>
          <w:rFonts w:ascii="Verdana" w:hAnsi="Verdana"/>
        </w:rPr>
      </w:pPr>
    </w:p>
    <w:p w14:paraId="017D8AD3" w14:textId="77777777" w:rsidR="009B644F" w:rsidRPr="003E2460" w:rsidRDefault="009B644F" w:rsidP="009B644F">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8436B10" w14:textId="77777777" w:rsidR="009B644F" w:rsidRPr="003E2460" w:rsidRDefault="009B644F" w:rsidP="009B644F">
      <w:pPr>
        <w:spacing w:after="0" w:line="240" w:lineRule="auto"/>
        <w:jc w:val="both"/>
        <w:rPr>
          <w:rFonts w:ascii="Verdana" w:hAnsi="Verdana"/>
        </w:rPr>
      </w:pPr>
    </w:p>
    <w:p w14:paraId="5D6F174F" w14:textId="77777777" w:rsidR="009B644F" w:rsidRPr="003E2460" w:rsidRDefault="009B644F" w:rsidP="009B644F">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9DE167B" w14:textId="77777777" w:rsidR="009B644F" w:rsidRPr="003E2460" w:rsidRDefault="009B644F" w:rsidP="009B644F">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8112BED" w14:textId="77777777" w:rsidR="009B644F" w:rsidRPr="003E2460" w:rsidRDefault="009B644F" w:rsidP="009B644F">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5CEE243" w14:textId="77777777" w:rsidR="009B644F" w:rsidRPr="00593A5F" w:rsidRDefault="009B644F" w:rsidP="009B644F">
      <w:pPr>
        <w:widowControl w:val="0"/>
        <w:autoSpaceDE w:val="0"/>
        <w:autoSpaceDN w:val="0"/>
        <w:spacing w:after="0" w:line="276" w:lineRule="auto"/>
        <w:jc w:val="both"/>
        <w:rPr>
          <w:rFonts w:ascii="Verdana" w:hAnsi="Verdana" w:cs="Arial"/>
        </w:rPr>
      </w:pPr>
    </w:p>
    <w:p w14:paraId="5CCB02E6" w14:textId="77777777" w:rsidR="009B644F" w:rsidRPr="00593A5F" w:rsidRDefault="009B644F" w:rsidP="009B644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33B143C" w14:textId="77777777" w:rsidR="009B644F" w:rsidRPr="00593A5F" w:rsidRDefault="009B644F" w:rsidP="009B644F">
      <w:pPr>
        <w:widowControl w:val="0"/>
        <w:autoSpaceDE w:val="0"/>
        <w:autoSpaceDN w:val="0"/>
        <w:spacing w:after="0" w:line="276" w:lineRule="auto"/>
        <w:jc w:val="both"/>
        <w:rPr>
          <w:rFonts w:ascii="Verdana" w:hAnsi="Verdana" w:cs="Arial"/>
        </w:rPr>
      </w:pPr>
    </w:p>
    <w:p w14:paraId="3C84241A" w14:textId="77777777" w:rsidR="009B644F" w:rsidRPr="00593A5F" w:rsidRDefault="009B644F" w:rsidP="009B644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469DF46" w14:textId="77777777" w:rsidR="009B644F" w:rsidRPr="00593A5F" w:rsidRDefault="009B644F" w:rsidP="009B644F">
      <w:pPr>
        <w:spacing w:line="276" w:lineRule="auto"/>
        <w:jc w:val="center"/>
        <w:rPr>
          <w:rFonts w:ascii="Verdana" w:hAnsi="Verdana" w:cs="Arial"/>
          <w:color w:val="000000"/>
          <w:lang w:val="es-ES_tradnl" w:eastAsia="es-CO"/>
        </w:rPr>
      </w:pPr>
      <w:r w:rsidRPr="00AC023F">
        <w:rPr>
          <w:rFonts w:ascii="Verdana" w:hAnsi="Verdana"/>
          <w:noProof/>
        </w:rPr>
        <w:drawing>
          <wp:inline distT="0" distB="0" distL="0" distR="0" wp14:anchorId="15256D89" wp14:editId="57E7E601">
            <wp:extent cx="3381375" cy="1333500"/>
            <wp:effectExtent l="0" t="0" r="9525" b="0"/>
            <wp:docPr id="280232186"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20"/>
                    <a:srcRect l="7068" t="24758" b="7281"/>
                    <a:stretch/>
                  </pic:blipFill>
                  <pic:spPr bwMode="auto">
                    <a:xfrm>
                      <a:off x="0" y="0"/>
                      <a:ext cx="3381847" cy="133368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B644F" w:rsidRPr="00593A5F" w14:paraId="08E2C757" w14:textId="77777777" w:rsidTr="00F945CE">
        <w:trPr>
          <w:trHeight w:val="315"/>
        </w:trPr>
        <w:tc>
          <w:tcPr>
            <w:tcW w:w="893" w:type="dxa"/>
            <w:vAlign w:val="center"/>
            <w:hideMark/>
          </w:tcPr>
          <w:p w14:paraId="5CA7547F" w14:textId="77777777" w:rsidR="009B644F" w:rsidRPr="003751C7" w:rsidRDefault="009B644F" w:rsidP="00F945CE">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A6184B3" w14:textId="77777777" w:rsidR="009B644F" w:rsidRPr="00BE4B85" w:rsidRDefault="009B644F" w:rsidP="00F945CE">
            <w:pPr>
              <w:contextualSpacing/>
              <w:rPr>
                <w:rFonts w:ascii="Verdana" w:eastAsia="Arial" w:hAnsi="Verdana" w:cs="Arial"/>
                <w:color w:val="7030A0"/>
                <w:sz w:val="16"/>
                <w:szCs w:val="16"/>
              </w:rPr>
            </w:pPr>
            <w:r w:rsidRPr="00BE4B85">
              <w:rPr>
                <w:rStyle w:val="normaltextrun"/>
                <w:rFonts w:ascii="Verdana" w:hAnsi="Verdana"/>
                <w:sz w:val="16"/>
                <w:szCs w:val="16"/>
              </w:rPr>
              <w:t>Christian Camilo Orjuela Galeano</w:t>
            </w:r>
          </w:p>
          <w:p w14:paraId="2A2C8478" w14:textId="77777777" w:rsidR="009B644F" w:rsidRPr="00BE4B85" w:rsidRDefault="009B644F" w:rsidP="00F945CE">
            <w:pPr>
              <w:contextualSpacing/>
              <w:rPr>
                <w:rFonts w:ascii="Verdana" w:eastAsia="Arial" w:hAnsi="Verdana" w:cs="Arial"/>
                <w:sz w:val="16"/>
                <w:szCs w:val="16"/>
              </w:rPr>
            </w:pPr>
            <w:r w:rsidRPr="00BE4B85">
              <w:rPr>
                <w:rStyle w:val="normaltextrun"/>
                <w:rFonts w:ascii="Verdana" w:eastAsia="Arial" w:hAnsi="Verdana" w:cs="Arial"/>
                <w:sz w:val="16"/>
                <w:szCs w:val="16"/>
              </w:rPr>
              <w:t>Contratista de la Subdirección de Gestión Contractual</w:t>
            </w:r>
          </w:p>
        </w:tc>
      </w:tr>
      <w:tr w:rsidR="009B644F" w:rsidRPr="00593A5F" w14:paraId="3451BCDC" w14:textId="77777777" w:rsidTr="00F945CE">
        <w:trPr>
          <w:trHeight w:val="330"/>
        </w:trPr>
        <w:tc>
          <w:tcPr>
            <w:tcW w:w="893" w:type="dxa"/>
            <w:vAlign w:val="center"/>
            <w:hideMark/>
          </w:tcPr>
          <w:p w14:paraId="7F05FC9D" w14:textId="77777777" w:rsidR="009B644F" w:rsidRPr="003751C7" w:rsidRDefault="009B644F" w:rsidP="00F945CE">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3B91317" w14:textId="77777777" w:rsidR="009B644F" w:rsidRPr="0031103E" w:rsidRDefault="009B644F" w:rsidP="00F945CE">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Cielo Victoria González</w:t>
            </w:r>
          </w:p>
          <w:p w14:paraId="0E1E1D2B" w14:textId="77777777" w:rsidR="009B644F" w:rsidRPr="00BE4B85" w:rsidRDefault="009B644F" w:rsidP="00F945CE">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eastAsia="Arial" w:hAnsi="Verdana" w:cs="Arial"/>
                <w:sz w:val="16"/>
                <w:szCs w:val="16"/>
              </w:rPr>
              <w:t>Contratista de la Subdirección de Gestión Contractual</w:t>
            </w:r>
          </w:p>
        </w:tc>
      </w:tr>
      <w:tr w:rsidR="009B644F" w:rsidRPr="00593A5F" w14:paraId="75753BDF" w14:textId="77777777" w:rsidTr="00F945CE">
        <w:trPr>
          <w:trHeight w:val="300"/>
        </w:trPr>
        <w:tc>
          <w:tcPr>
            <w:tcW w:w="893" w:type="dxa"/>
            <w:vAlign w:val="center"/>
          </w:tcPr>
          <w:p w14:paraId="3EC70D47" w14:textId="77777777" w:rsidR="009B644F" w:rsidRPr="003751C7" w:rsidRDefault="009B644F" w:rsidP="00F945CE">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5552FF6" w14:textId="77777777" w:rsidR="009B644F" w:rsidRPr="00BE4B85" w:rsidRDefault="009B644F" w:rsidP="00F945CE">
            <w:pPr>
              <w:contextualSpacing/>
              <w:rPr>
                <w:rFonts w:ascii="Verdana" w:eastAsia="Calibri" w:hAnsi="Verdana" w:cs="Arial"/>
                <w:sz w:val="16"/>
                <w:szCs w:val="16"/>
                <w:lang w:val="pt-BR" w:eastAsia="es-ES"/>
              </w:rPr>
            </w:pPr>
            <w:r w:rsidRPr="00BE4B85">
              <w:rPr>
                <w:rFonts w:ascii="Verdana" w:eastAsia="Calibri" w:hAnsi="Verdana" w:cs="Arial"/>
                <w:sz w:val="16"/>
                <w:szCs w:val="16"/>
                <w:lang w:val="pt-BR" w:eastAsia="es-ES"/>
              </w:rPr>
              <w:t xml:space="preserve">Carolina Quintero </w:t>
            </w:r>
            <w:proofErr w:type="spellStart"/>
            <w:r w:rsidRPr="00BE4B85">
              <w:rPr>
                <w:rFonts w:ascii="Verdana" w:eastAsia="Calibri" w:hAnsi="Verdana" w:cs="Arial"/>
                <w:sz w:val="16"/>
                <w:szCs w:val="16"/>
                <w:lang w:val="pt-BR" w:eastAsia="es-ES"/>
              </w:rPr>
              <w:t>Gacharná</w:t>
            </w:r>
            <w:proofErr w:type="spellEnd"/>
          </w:p>
          <w:p w14:paraId="601DE208" w14:textId="77777777" w:rsidR="009B644F" w:rsidRPr="00BE4B85" w:rsidRDefault="009B644F" w:rsidP="00F945CE">
            <w:pPr>
              <w:contextualSpacing/>
              <w:rPr>
                <w:rFonts w:ascii="Verdana" w:eastAsia="Calibri" w:hAnsi="Verdana" w:cs="Arial"/>
                <w:sz w:val="16"/>
                <w:szCs w:val="16"/>
                <w:lang w:val="pt-BR" w:eastAsia="es-ES"/>
              </w:rPr>
            </w:pPr>
            <w:r w:rsidRPr="00BE4B85">
              <w:rPr>
                <w:rFonts w:ascii="Verdana" w:eastAsia="Calibri" w:hAnsi="Verdana" w:cs="Arial"/>
                <w:sz w:val="16"/>
                <w:szCs w:val="16"/>
                <w:lang w:eastAsia="es-ES"/>
              </w:rPr>
              <w:t>Subdirectora</w:t>
            </w:r>
            <w:r w:rsidRPr="00BE4B85">
              <w:rPr>
                <w:rFonts w:ascii="Verdana" w:eastAsia="Calibri" w:hAnsi="Verdana" w:cs="Arial"/>
                <w:sz w:val="16"/>
                <w:szCs w:val="16"/>
                <w:lang w:val="pt-BR" w:eastAsia="es-ES"/>
              </w:rPr>
              <w:t xml:space="preserve"> de Gestión Contractual ANCP – CCE</w:t>
            </w:r>
          </w:p>
        </w:tc>
      </w:tr>
    </w:tbl>
    <w:p w14:paraId="2D86DA97" w14:textId="77777777" w:rsidR="009B644F" w:rsidRPr="00593A5F" w:rsidRDefault="009B644F" w:rsidP="009B644F">
      <w:pPr>
        <w:spacing w:after="0" w:line="240" w:lineRule="auto"/>
        <w:rPr>
          <w:rFonts w:ascii="Verdana" w:eastAsia="Times New Roman" w:hAnsi="Verdana" w:cs="Arial"/>
          <w:sz w:val="24"/>
          <w:szCs w:val="24"/>
          <w:lang w:eastAsia="es-ES"/>
        </w:rPr>
      </w:pPr>
    </w:p>
    <w:p w14:paraId="297CA102" w14:textId="77777777" w:rsidR="009B644F" w:rsidRPr="00871B59" w:rsidRDefault="009B644F" w:rsidP="009B644F"/>
    <w:p w14:paraId="2D398E83" w14:textId="77777777" w:rsidR="009B644F" w:rsidRPr="00A65B93" w:rsidRDefault="009B644F" w:rsidP="009B644F">
      <w:pPr>
        <w:spacing w:after="0"/>
        <w:rPr>
          <w:rFonts w:ascii="Verdana" w:hAnsi="Verdana"/>
          <w:lang w:val="es-ES"/>
        </w:rPr>
      </w:pPr>
    </w:p>
    <w:p w14:paraId="141D07B1" w14:textId="77777777" w:rsidR="009B644F" w:rsidRPr="00C86D1D" w:rsidRDefault="009B644F" w:rsidP="009B644F"/>
    <w:p w14:paraId="38BCCB72" w14:textId="77777777" w:rsidR="009B644F" w:rsidRPr="0044528D" w:rsidRDefault="009B644F" w:rsidP="009B644F">
      <w:pPr>
        <w:spacing w:after="0"/>
        <w:rPr>
          <w:rFonts w:ascii="Verdana" w:hAnsi="Verdana"/>
        </w:rPr>
      </w:pPr>
      <w:r w:rsidRPr="0044528D">
        <w:rPr>
          <w:rFonts w:ascii="Verdana" w:hAnsi="Verdana"/>
        </w:rPr>
        <w:tab/>
      </w:r>
    </w:p>
    <w:p w14:paraId="3DD5AC75" w14:textId="77777777" w:rsidR="009B644F" w:rsidRPr="0044528D" w:rsidRDefault="009B644F" w:rsidP="009B644F">
      <w:pPr>
        <w:spacing w:after="0"/>
        <w:rPr>
          <w:rFonts w:ascii="Verdana" w:hAnsi="Verdana"/>
        </w:rPr>
      </w:pPr>
    </w:p>
    <w:p w14:paraId="4945C864" w14:textId="77777777" w:rsidR="009B644F" w:rsidRPr="0044528D" w:rsidRDefault="009B644F" w:rsidP="009B644F">
      <w:pPr>
        <w:spacing w:after="0"/>
        <w:rPr>
          <w:rFonts w:ascii="Verdana" w:hAnsi="Verdana"/>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paulina diaz paternina" w:date="2024-10-24T14:52:00Z" w:initials="pd">
    <w:p w14:paraId="295D755C" w14:textId="77777777" w:rsidR="002E0FE2" w:rsidRDefault="002E0FE2" w:rsidP="002E0FE2">
      <w:r>
        <w:rPr>
          <w:rStyle w:val="Refdecomentario"/>
        </w:rPr>
        <w:annotationRef/>
      </w:r>
      <w:r>
        <w:rPr>
          <w:color w:val="000000"/>
          <w:sz w:val="20"/>
          <w:szCs w:val="20"/>
        </w:rPr>
        <w:t xml:space="preserve">Se sugiere suprimir esta idea de la respuesta y desarrollarla en las razones. Debido a que la pregunta es cerrada y la norma contempla la respuesta de forma expresa. </w:t>
      </w:r>
      <w:r>
        <w:rPr>
          <w:i/>
          <w:iCs/>
          <w:color w:val="000000"/>
          <w:sz w:val="20"/>
          <w:szCs w:val="20"/>
        </w:rPr>
        <w:t>¿Cuáles criterios de evaluación se deben tener en cuenta en los procesos de selección de concurso de meritos en el marco de lo previsto en el numeral 4 del artículo 5 de la Ley 1150 de 2007?</w:t>
      </w:r>
    </w:p>
    <w:p w14:paraId="016C1D4C" w14:textId="77777777" w:rsidR="002E0FE2" w:rsidRDefault="002E0FE2" w:rsidP="002E0FE2">
      <w:r>
        <w:rPr>
          <w:color w:val="000000"/>
          <w:sz w:val="20"/>
          <w:szCs w:val="20"/>
        </w:rPr>
        <w:t xml:space="preserve">  </w:t>
      </w:r>
      <w:r>
        <w:rPr>
          <w:i/>
          <w:iCs/>
          <w:color w:val="000000"/>
          <w:sz w:val="20"/>
          <w:szCs w:val="20"/>
        </w:rPr>
        <w:t>“La Entidad Estatal en los pliegos de condiciones debe indicar la forma como calificará (evaluará), entre otros, los siguientes criterios: a) la experiencia del interesado y del equipo de trabajo y b) la formación académica del equipo de trabajo”.</w:t>
      </w:r>
    </w:p>
    <w:p w14:paraId="2088F406" w14:textId="77777777" w:rsidR="002E0FE2" w:rsidRDefault="002E0FE2" w:rsidP="002E0FE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8F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654906" w16cex:dateUtc="2024-10-24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8F406" w16cid:durableId="51654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C65D" w14:textId="77777777" w:rsidR="0058404A" w:rsidRDefault="0058404A" w:rsidP="004A1847">
      <w:pPr>
        <w:spacing w:after="0" w:line="240" w:lineRule="auto"/>
      </w:pPr>
      <w:r>
        <w:separator/>
      </w:r>
    </w:p>
  </w:endnote>
  <w:endnote w:type="continuationSeparator" w:id="0">
    <w:p w14:paraId="6A5F49D8" w14:textId="77777777" w:rsidR="0058404A" w:rsidRDefault="0058404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A5B9" w14:textId="77777777" w:rsidR="0058404A" w:rsidRDefault="0058404A" w:rsidP="004A1847">
      <w:pPr>
        <w:spacing w:after="0" w:line="240" w:lineRule="auto"/>
      </w:pPr>
      <w:r>
        <w:separator/>
      </w:r>
    </w:p>
  </w:footnote>
  <w:footnote w:type="continuationSeparator" w:id="0">
    <w:p w14:paraId="0314A9B8" w14:textId="77777777" w:rsidR="0058404A" w:rsidRDefault="0058404A" w:rsidP="004A1847">
      <w:pPr>
        <w:spacing w:after="0" w:line="240" w:lineRule="auto"/>
      </w:pPr>
      <w:r>
        <w:continuationSeparator/>
      </w:r>
    </w:p>
  </w:footnote>
  <w:footnote w:id="1">
    <w:p w14:paraId="766F87E8" w14:textId="77777777" w:rsidR="009B644F" w:rsidRPr="004A1FBE" w:rsidRDefault="009B644F" w:rsidP="009B644F">
      <w:pPr>
        <w:pStyle w:val="Textonotapie"/>
        <w:jc w:val="both"/>
        <w:rPr>
          <w:rFonts w:ascii="Verdana" w:hAnsi="Verdana" w:cs="Arial"/>
          <w:sz w:val="16"/>
          <w:szCs w:val="16"/>
          <w:lang w:val="es-ES"/>
        </w:rPr>
      </w:pPr>
      <w:r w:rsidRPr="004A1FBE">
        <w:rPr>
          <w:rStyle w:val="Refdenotaalpie"/>
          <w:rFonts w:ascii="Verdana" w:hAnsi="Verdana" w:cs="Arial"/>
          <w:sz w:val="16"/>
          <w:szCs w:val="16"/>
        </w:rPr>
        <w:footnoteRef/>
      </w:r>
      <w:r w:rsidRPr="004A1FBE">
        <w:rPr>
          <w:rFonts w:ascii="Verdana" w:hAnsi="Verdana" w:cs="Arial"/>
          <w:sz w:val="16"/>
          <w:szCs w:val="16"/>
        </w:rPr>
        <w:t xml:space="preserve"> </w:t>
      </w:r>
      <w:r w:rsidRPr="004A1FBE">
        <w:rPr>
          <w:rFonts w:ascii="Verdana" w:hAnsi="Verdana" w:cs="Arial"/>
          <w:sz w:val="16"/>
          <w:szCs w:val="16"/>
          <w:lang w:val="es-CO"/>
        </w:rPr>
        <w:t>La Sección Tercera del Consejo de Estado, en autos del 25 de julio de 2018 y del 20 de febrero de 2019,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Posteriormente, el artículo 2 del Decreto 399 de 2021 reformó la reglamentación del concurso de méritos, para adecuarla a los pronunciamientos del Consejo de Estado que habían suspendido provisionalmente algunos numerales del artículo 2.2.1.2.1.3.2. del Decreto 1082 de 2015.</w:t>
      </w:r>
    </w:p>
  </w:footnote>
  <w:footnote w:id="2">
    <w:p w14:paraId="2FBDBD6D" w14:textId="77777777" w:rsidR="009B644F" w:rsidRPr="004A1FBE" w:rsidRDefault="009B644F" w:rsidP="009B644F">
      <w:pPr>
        <w:pBdr>
          <w:top w:val="nil"/>
          <w:left w:val="nil"/>
          <w:bottom w:val="nil"/>
          <w:right w:val="nil"/>
          <w:between w:val="nil"/>
        </w:pBdr>
        <w:spacing w:after="0" w:line="240" w:lineRule="auto"/>
        <w:jc w:val="both"/>
        <w:rPr>
          <w:rFonts w:ascii="Verdana" w:eastAsia="Arial" w:hAnsi="Verdana" w:cs="Arial"/>
          <w:color w:val="000000"/>
          <w:sz w:val="16"/>
          <w:szCs w:val="16"/>
        </w:rPr>
      </w:pPr>
      <w:r w:rsidRPr="004A1FBE">
        <w:rPr>
          <w:rFonts w:ascii="Verdana" w:hAnsi="Verdana" w:cs="Arial"/>
          <w:sz w:val="16"/>
          <w:szCs w:val="16"/>
          <w:vertAlign w:val="superscript"/>
        </w:rPr>
        <w:footnoteRef/>
      </w:r>
      <w:r w:rsidRPr="004A1FBE">
        <w:rPr>
          <w:rFonts w:ascii="Verdana" w:eastAsia="Arial" w:hAnsi="Verdana" w:cs="Arial"/>
          <w:color w:val="000000"/>
          <w:sz w:val="16"/>
          <w:szCs w:val="16"/>
        </w:rPr>
        <w:t xml:space="preserve"> Al respecto, conviene recordar el artículo 29 de la Ley 80 de 1993, derogado por el artículo 32 de la Ley 1150 de 2007, que establecía: “La selección de contratistas será objetiva.</w:t>
      </w:r>
    </w:p>
    <w:p w14:paraId="1D18D90A" w14:textId="77777777" w:rsidR="009B644F" w:rsidRPr="004A1FBE" w:rsidRDefault="009B644F" w:rsidP="009B644F">
      <w:pPr>
        <w:pBdr>
          <w:top w:val="nil"/>
          <w:left w:val="nil"/>
          <w:bottom w:val="nil"/>
          <w:right w:val="nil"/>
          <w:between w:val="nil"/>
        </w:pBdr>
        <w:spacing w:after="0" w:line="240" w:lineRule="auto"/>
        <w:contextualSpacing/>
        <w:jc w:val="both"/>
        <w:rPr>
          <w:rFonts w:ascii="Verdana" w:eastAsia="Arial" w:hAnsi="Verdana" w:cs="Arial"/>
          <w:color w:val="000000"/>
          <w:sz w:val="16"/>
          <w:szCs w:val="16"/>
        </w:rPr>
      </w:pPr>
      <w:r w:rsidRPr="004A1FBE">
        <w:rPr>
          <w:rFonts w:ascii="Verdana" w:eastAsia="Arial" w:hAnsi="Verdana" w:cs="Arial"/>
          <w:color w:val="000000"/>
          <w:sz w:val="16"/>
          <w:szCs w:val="16"/>
        </w:rPr>
        <w:t>Es objetiva la selección en la cual la escogencia se hace al ofrecimiento más favorable a la entidad y a los fines que ella busca, sin tener en consideración factores de afecto o de interés y, en general, cualquier clase de motivación subjetiva.</w:t>
      </w:r>
    </w:p>
    <w:p w14:paraId="5D4B1153" w14:textId="77777777" w:rsidR="009B644F" w:rsidRPr="004A1FBE" w:rsidRDefault="009B644F" w:rsidP="009B644F">
      <w:pPr>
        <w:pBdr>
          <w:top w:val="nil"/>
          <w:left w:val="nil"/>
          <w:bottom w:val="nil"/>
          <w:right w:val="nil"/>
          <w:between w:val="nil"/>
        </w:pBdr>
        <w:spacing w:after="0" w:line="240" w:lineRule="auto"/>
        <w:contextualSpacing/>
        <w:jc w:val="both"/>
        <w:rPr>
          <w:rFonts w:ascii="Verdana" w:eastAsia="Arial" w:hAnsi="Verdana" w:cs="Arial"/>
          <w:color w:val="000000"/>
          <w:sz w:val="16"/>
          <w:szCs w:val="16"/>
        </w:rPr>
      </w:pPr>
      <w:r w:rsidRPr="004A1FBE">
        <w:rPr>
          <w:rFonts w:ascii="Verdana" w:eastAsia="Arial" w:hAnsi="Verdana" w:cs="Arial"/>
          <w:color w:val="000000"/>
          <w:sz w:val="16"/>
          <w:szCs w:val="16"/>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23E47BF0" w14:textId="77777777" w:rsidR="009B644F" w:rsidRPr="004A1FBE" w:rsidRDefault="009B644F" w:rsidP="009B644F">
      <w:pPr>
        <w:pBdr>
          <w:top w:val="nil"/>
          <w:left w:val="nil"/>
          <w:bottom w:val="nil"/>
          <w:right w:val="nil"/>
          <w:between w:val="nil"/>
        </w:pBdr>
        <w:spacing w:after="0" w:line="240" w:lineRule="auto"/>
        <w:contextualSpacing/>
        <w:jc w:val="both"/>
        <w:rPr>
          <w:rFonts w:ascii="Verdana" w:eastAsia="Arial" w:hAnsi="Verdana" w:cs="Arial"/>
          <w:color w:val="000000"/>
          <w:sz w:val="16"/>
          <w:szCs w:val="16"/>
        </w:rPr>
      </w:pPr>
      <w:r w:rsidRPr="004A1FBE">
        <w:rPr>
          <w:rFonts w:ascii="Verdana" w:eastAsia="Arial" w:hAnsi="Verdana" w:cs="Arial"/>
          <w:color w:val="000000"/>
          <w:sz w:val="16"/>
          <w:szCs w:val="16"/>
        </w:rPr>
        <w:t>“ 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F73776A" w14:textId="77777777" w:rsidR="009B644F" w:rsidRPr="004A1FBE" w:rsidRDefault="009B644F" w:rsidP="009B644F">
      <w:pPr>
        <w:pBdr>
          <w:top w:val="nil"/>
          <w:left w:val="nil"/>
          <w:bottom w:val="nil"/>
          <w:right w:val="nil"/>
          <w:between w:val="nil"/>
        </w:pBdr>
        <w:spacing w:after="0" w:line="240" w:lineRule="auto"/>
        <w:contextualSpacing/>
        <w:jc w:val="both"/>
        <w:rPr>
          <w:rFonts w:ascii="Verdana" w:eastAsia="Arial" w:hAnsi="Verdana" w:cs="Arial"/>
          <w:color w:val="000000"/>
          <w:sz w:val="16"/>
          <w:szCs w:val="16"/>
        </w:rPr>
      </w:pPr>
      <w:r w:rsidRPr="004A1FBE">
        <w:rPr>
          <w:rFonts w:ascii="Verdana" w:eastAsia="Arial" w:hAnsi="Verdana" w:cs="Arial"/>
          <w:color w:val="000000"/>
          <w:sz w:val="16"/>
          <w:szCs w:val="16"/>
        </w:rPr>
        <w:t>“ En caso de comparación de propuestas nacionales y extranjeras, se incluirán los costos necesarios para la entrega del producto terminado en el lugar de su utilización”.</w:t>
      </w:r>
    </w:p>
  </w:footnote>
  <w:footnote w:id="3">
    <w:p w14:paraId="38891651" w14:textId="0044E5EC" w:rsidR="00966BD2" w:rsidRPr="00C526CB" w:rsidRDefault="00966BD2">
      <w:pPr>
        <w:pStyle w:val="Textonotapie"/>
        <w:rPr>
          <w:lang w:val="es-ES"/>
        </w:rPr>
      </w:pPr>
      <w:r>
        <w:rPr>
          <w:rStyle w:val="Refdenotaalpie"/>
        </w:rPr>
        <w:footnoteRef/>
      </w:r>
      <w:r>
        <w:t xml:space="preserve"> </w:t>
      </w:r>
      <w:r w:rsidRPr="00966BD2">
        <w:rPr>
          <w:rFonts w:ascii="Verdana" w:eastAsia="Calibri" w:hAnsi="Verdana" w:cs="Arial"/>
          <w:b/>
          <w:bCs/>
          <w:kern w:val="2"/>
          <w:lang w:val="es-CO"/>
          <w14:ligatures w14:val="standardContextual"/>
        </w:rPr>
        <w:t>ARTÍCULO 2.2.1.2.1.3.8.</w:t>
      </w:r>
      <w:r w:rsidRPr="00966BD2">
        <w:rPr>
          <w:rFonts w:ascii="Verdana" w:eastAsia="Calibri" w:hAnsi="Verdana" w:cs="Arial"/>
          <w:b/>
          <w:bCs/>
          <w:i/>
          <w:iCs/>
          <w:kern w:val="2"/>
          <w:lang w:val="es-CO"/>
          <w14:ligatures w14:val="standardContextual"/>
        </w:rPr>
        <w:t> </w:t>
      </w:r>
      <w:r>
        <w:rPr>
          <w:rFonts w:ascii="Verdana" w:eastAsia="Calibri" w:hAnsi="Verdana" w:cs="Arial"/>
          <w:b/>
          <w:bCs/>
          <w:i/>
          <w:iCs/>
          <w:kern w:val="2"/>
          <w:lang w:val="es-CO"/>
          <w14:ligatures w14:val="standardContextual"/>
        </w:rPr>
        <w:t>Decreto 1082 de 2015.</w:t>
      </w:r>
    </w:p>
  </w:footnote>
  <w:footnote w:id="4">
    <w:p w14:paraId="3DF12C6B" w14:textId="77777777" w:rsidR="009B644F" w:rsidRPr="004A1FBE" w:rsidRDefault="009B644F" w:rsidP="009B644F">
      <w:pPr>
        <w:pStyle w:val="Textonotapie"/>
        <w:jc w:val="both"/>
        <w:rPr>
          <w:rFonts w:ascii="Verdana" w:hAnsi="Verdana" w:cs="Arial"/>
          <w:sz w:val="16"/>
          <w:szCs w:val="16"/>
        </w:rPr>
      </w:pPr>
      <w:r w:rsidRPr="004A1FBE">
        <w:rPr>
          <w:rStyle w:val="Refdenotaalpie"/>
          <w:rFonts w:ascii="Verdana" w:hAnsi="Verdana" w:cs="Arial"/>
          <w:sz w:val="16"/>
          <w:szCs w:val="16"/>
        </w:rPr>
        <w:footnoteRef/>
      </w:r>
      <w:r w:rsidRPr="004A1FBE">
        <w:rPr>
          <w:rFonts w:ascii="Verdana" w:hAnsi="Verdana" w:cs="Arial"/>
          <w:sz w:val="16"/>
          <w:szCs w:val="16"/>
        </w:rPr>
        <w:t xml:space="preserve"> Ley 1150 de 2007: “Artículo 2. De las modalidades de selección. </w:t>
      </w:r>
    </w:p>
    <w:p w14:paraId="6841E5FA" w14:textId="77777777" w:rsidR="009B644F" w:rsidRPr="004A1FBE" w:rsidRDefault="009B644F" w:rsidP="009B644F">
      <w:pPr>
        <w:pStyle w:val="Textonotapie"/>
        <w:jc w:val="both"/>
        <w:rPr>
          <w:rFonts w:ascii="Verdana" w:hAnsi="Verdana" w:cs="Arial"/>
          <w:sz w:val="16"/>
          <w:szCs w:val="16"/>
        </w:rPr>
      </w:pPr>
      <w:r w:rsidRPr="004A1FBE">
        <w:rPr>
          <w:rFonts w:ascii="Verdana" w:hAnsi="Verdana" w:cs="Arial"/>
          <w:sz w:val="16"/>
          <w:szCs w:val="16"/>
        </w:rPr>
        <w:t>[...]</w:t>
      </w:r>
    </w:p>
    <w:p w14:paraId="4320913F" w14:textId="77777777" w:rsidR="009B644F" w:rsidRPr="004A1FBE" w:rsidRDefault="009B644F" w:rsidP="009B644F">
      <w:pPr>
        <w:pStyle w:val="Textonotapie"/>
        <w:jc w:val="both"/>
        <w:rPr>
          <w:rFonts w:ascii="Verdana" w:hAnsi="Verdana" w:cs="Arial"/>
          <w:sz w:val="16"/>
          <w:szCs w:val="16"/>
        </w:rPr>
      </w:pPr>
      <w:r w:rsidRPr="004A1FBE">
        <w:rPr>
          <w:rFonts w:ascii="Verdana" w:hAnsi="Verdana" w:cs="Arial"/>
          <w:sz w:val="16"/>
          <w:szCs w:val="16"/>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5370E72A" w14:textId="77777777" w:rsidR="009B644F" w:rsidRPr="004A1FBE" w:rsidRDefault="009B644F" w:rsidP="009B644F">
      <w:pPr>
        <w:pStyle w:val="Textonotapie"/>
        <w:jc w:val="both"/>
        <w:rPr>
          <w:rFonts w:ascii="Verdana" w:hAnsi="Verdana" w:cs="Arial"/>
          <w:sz w:val="16"/>
          <w:szCs w:val="16"/>
        </w:rPr>
      </w:pPr>
      <w:r w:rsidRPr="004A1FBE">
        <w:rPr>
          <w:rFonts w:ascii="Verdana" w:hAnsi="Verdana" w:cs="Arial"/>
          <w:sz w:val="16"/>
          <w:szCs w:val="16"/>
        </w:rPr>
        <w:t>De conformidad con las condiciones que señale el reglamento, en desarrollo de estos procesos de selección, las propuestas técnicas o de proyectos podrán ser presentadas en forma anónima ante un jurado plural, impar deliberante y calificado”.</w:t>
      </w:r>
    </w:p>
    <w:p w14:paraId="2D6128D3" w14:textId="77777777" w:rsidR="009B644F" w:rsidRPr="004A1FBE" w:rsidRDefault="009B644F" w:rsidP="009B644F">
      <w:pPr>
        <w:pStyle w:val="Textonotapie"/>
        <w:jc w:val="both"/>
        <w:rPr>
          <w:rFonts w:ascii="Verdana" w:hAnsi="Verdana" w:cs="Arial"/>
          <w:sz w:val="16"/>
          <w:szCs w:val="16"/>
        </w:rPr>
      </w:pPr>
    </w:p>
  </w:footnote>
  <w:footnote w:id="5">
    <w:p w14:paraId="0367F615" w14:textId="77777777" w:rsidR="009B644F" w:rsidRPr="004A1FBE" w:rsidRDefault="009B644F" w:rsidP="009B644F">
      <w:pPr>
        <w:pStyle w:val="Textonotapie"/>
        <w:jc w:val="both"/>
        <w:rPr>
          <w:rFonts w:ascii="Verdana" w:hAnsi="Verdana" w:cs="Arial"/>
          <w:sz w:val="16"/>
          <w:szCs w:val="16"/>
        </w:rPr>
      </w:pPr>
      <w:r w:rsidRPr="004A1FBE">
        <w:rPr>
          <w:rStyle w:val="Refdenotaalpie"/>
          <w:rFonts w:ascii="Verdana" w:hAnsi="Verdana" w:cs="Arial"/>
          <w:sz w:val="16"/>
          <w:szCs w:val="16"/>
        </w:rPr>
        <w:footnoteRef/>
      </w:r>
      <w:r w:rsidRPr="004A1FBE">
        <w:rPr>
          <w:rFonts w:ascii="Verdana" w:hAnsi="Verdana" w:cs="Arial"/>
          <w:sz w:val="16"/>
          <w:szCs w:val="16"/>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4658256C" w14:textId="77777777" w:rsidR="009B644F" w:rsidRPr="004A1FBE" w:rsidRDefault="009B644F" w:rsidP="009B644F">
      <w:pPr>
        <w:pStyle w:val="Textonotapie"/>
        <w:ind w:firstLine="708"/>
        <w:jc w:val="both"/>
        <w:rPr>
          <w:rFonts w:ascii="Verdana" w:hAnsi="Verdana" w:cs="Arial"/>
          <w:sz w:val="16"/>
          <w:szCs w:val="16"/>
        </w:rPr>
      </w:pPr>
    </w:p>
  </w:footnote>
  <w:footnote w:id="6">
    <w:p w14:paraId="3EA07700" w14:textId="77777777" w:rsidR="009B644F" w:rsidRPr="004A1FBE" w:rsidRDefault="009B644F" w:rsidP="009B644F">
      <w:pPr>
        <w:pStyle w:val="Textonotapie"/>
        <w:jc w:val="both"/>
        <w:rPr>
          <w:rFonts w:ascii="Verdana" w:hAnsi="Verdana" w:cs="Arial"/>
          <w:sz w:val="16"/>
          <w:szCs w:val="16"/>
        </w:rPr>
      </w:pPr>
      <w:r w:rsidRPr="004A1FBE">
        <w:rPr>
          <w:rStyle w:val="Refdenotaalpie"/>
          <w:rFonts w:ascii="Verdana" w:hAnsi="Verdana" w:cs="Arial"/>
          <w:sz w:val="16"/>
          <w:szCs w:val="16"/>
        </w:rPr>
        <w:footnoteRef/>
      </w:r>
      <w:r w:rsidRPr="004A1FBE">
        <w:rPr>
          <w:rFonts w:ascii="Verdana" w:hAnsi="Verdana" w:cs="Arial"/>
          <w:sz w:val="16"/>
          <w:szCs w:val="16"/>
        </w:rPr>
        <w:t xml:space="preserve"> Consejo de Estado. Sección Tercera. Sentencia del 15 de junio de 2000. Exp. 10.963. C. P. Ricardo Hoyos Duque.</w:t>
      </w:r>
    </w:p>
    <w:p w14:paraId="2D0221E1" w14:textId="77777777" w:rsidR="009B644F" w:rsidRPr="004A1FBE" w:rsidRDefault="009B644F" w:rsidP="009B644F">
      <w:pPr>
        <w:pStyle w:val="Textonotapie"/>
        <w:ind w:firstLine="708"/>
        <w:jc w:val="both"/>
        <w:rPr>
          <w:rFonts w:ascii="Verdana" w:hAnsi="Verdana" w:cs="Arial"/>
          <w:sz w:val="16"/>
          <w:szCs w:val="16"/>
        </w:rPr>
      </w:pPr>
    </w:p>
  </w:footnote>
  <w:footnote w:id="7">
    <w:p w14:paraId="7BB9DC26" w14:textId="77777777" w:rsidR="00966BD2" w:rsidRPr="00734D2D" w:rsidRDefault="00966BD2" w:rsidP="00966BD2">
      <w:pPr>
        <w:pStyle w:val="NormalWeb"/>
        <w:spacing w:after="0"/>
        <w:ind w:firstLine="708"/>
        <w:jc w:val="both"/>
        <w:rPr>
          <w:rFonts w:ascii="Arial" w:hAnsi="Arial" w:cs="Arial"/>
          <w:sz w:val="19"/>
          <w:szCs w:val="19"/>
        </w:rPr>
      </w:pPr>
      <w:r w:rsidRPr="00734D2D">
        <w:rPr>
          <w:rStyle w:val="Refdenotaalpie"/>
          <w:rFonts w:ascii="Arial" w:hAnsi="Arial" w:cs="Arial"/>
          <w:sz w:val="19"/>
          <w:szCs w:val="19"/>
        </w:rPr>
        <w:footnoteRef/>
      </w:r>
      <w:r w:rsidRPr="00734D2D">
        <w:rPr>
          <w:rFonts w:ascii="Arial" w:hAnsi="Arial" w:cs="Arial"/>
          <w:sz w:val="19"/>
          <w:szCs w:val="19"/>
        </w:rPr>
        <w:t xml:space="preserve"> </w:t>
      </w:r>
      <w:r w:rsidRPr="00734D2D">
        <w:rPr>
          <w:rFonts w:ascii="Arial" w:hAnsi="Arial" w:cs="Arial"/>
          <w:sz w:val="19"/>
          <w:szCs w:val="19"/>
          <w:lang w:val="es-ES"/>
        </w:rPr>
        <w:t>«</w:t>
      </w:r>
      <w:r w:rsidRPr="00734D2D">
        <w:rPr>
          <w:rFonts w:ascii="Arial" w:hAnsi="Arial" w:cs="Arial"/>
          <w:bCs/>
          <w:sz w:val="19"/>
          <w:szCs w:val="19"/>
        </w:rPr>
        <w:t>PARÁGRAFO 3o.</w:t>
      </w:r>
      <w:r w:rsidRPr="00734D2D">
        <w:rPr>
          <w:rFonts w:ascii="Arial" w:hAnsi="Arial" w:cs="Arial"/>
          <w:sz w:val="19"/>
          <w:szCs w:val="19"/>
        </w:rPr>
        <w:t> &lt;Parágrafo adicionado por el artículo </w:t>
      </w:r>
      <w:hyperlink r:id="rId1" w:anchor="1" w:history="1">
        <w:r w:rsidRPr="00734D2D">
          <w:rPr>
            <w:rFonts w:ascii="Arial" w:hAnsi="Arial" w:cs="Arial"/>
            <w:sz w:val="19"/>
            <w:szCs w:val="19"/>
            <w:u w:val="single"/>
          </w:rPr>
          <w:t>1</w:t>
        </w:r>
      </w:hyperlink>
      <w:r w:rsidRPr="00734D2D">
        <w:rPr>
          <w:rFonts w:ascii="Arial" w:hAnsi="Arial" w:cs="Arial"/>
          <w:sz w:val="19"/>
          <w:szCs w:val="19"/>
        </w:rPr>
        <w:t> de la Ley 1882 de 2018. El nuevo texto es el siguiente:&gt;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243FAB0C" w14:textId="77777777" w:rsidR="00966BD2" w:rsidRPr="002449A8" w:rsidRDefault="00966BD2" w:rsidP="00966BD2">
      <w:pPr>
        <w:spacing w:after="0" w:line="240" w:lineRule="auto"/>
        <w:ind w:firstLine="708"/>
        <w:jc w:val="both"/>
        <w:rPr>
          <w:rFonts w:ascii="Arial" w:eastAsia="Times New Roman" w:hAnsi="Arial" w:cs="Arial"/>
          <w:sz w:val="19"/>
          <w:szCs w:val="19"/>
        </w:rPr>
      </w:pPr>
      <w:r w:rsidRPr="00734D2D">
        <w:rPr>
          <w:rFonts w:ascii="Arial" w:hAnsi="Arial" w:cs="Arial"/>
          <w:sz w:val="19"/>
          <w:szCs w:val="19"/>
          <w:lang w:val="es-ES"/>
        </w:rPr>
        <w:t xml:space="preserve">» </w:t>
      </w:r>
      <w:r w:rsidRPr="002449A8">
        <w:rPr>
          <w:rFonts w:ascii="Arial" w:eastAsia="Times New Roman"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3991ADF9" w14:textId="77777777" w:rsidR="00966BD2" w:rsidRPr="002449A8" w:rsidRDefault="00966BD2" w:rsidP="00966BD2">
      <w:pPr>
        <w:spacing w:after="0" w:line="240" w:lineRule="auto"/>
        <w:ind w:firstLine="708"/>
        <w:jc w:val="both"/>
        <w:rPr>
          <w:rFonts w:ascii="Arial" w:eastAsia="Times New Roman" w:hAnsi="Arial" w:cs="Arial"/>
          <w:sz w:val="19"/>
          <w:szCs w:val="19"/>
        </w:rPr>
      </w:pPr>
      <w:r w:rsidRPr="00734D2D">
        <w:rPr>
          <w:rFonts w:ascii="Arial" w:hAnsi="Arial" w:cs="Arial"/>
          <w:sz w:val="19"/>
          <w:szCs w:val="19"/>
          <w:lang w:val="es-ES"/>
        </w:rPr>
        <w:t xml:space="preserve">» </w:t>
      </w:r>
      <w:r w:rsidRPr="002449A8">
        <w:rPr>
          <w:rFonts w:ascii="Arial" w:eastAsia="Times New Roman" w:hAnsi="Arial" w:cs="Arial"/>
          <w:sz w:val="19"/>
          <w:szCs w:val="19"/>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734D2D">
        <w:rPr>
          <w:rFonts w:ascii="Arial" w:hAnsi="Arial" w:cs="Arial"/>
          <w:sz w:val="19"/>
          <w:szCs w:val="19"/>
          <w:lang w:val="es-ES"/>
        </w:rPr>
        <w:t>»</w:t>
      </w:r>
      <w:r w:rsidRPr="002449A8">
        <w:rPr>
          <w:rFonts w:ascii="Arial" w:eastAsia="Times New Roman" w:hAnsi="Arial" w:cs="Arial"/>
          <w:sz w:val="19"/>
          <w:szCs w:val="19"/>
        </w:rPr>
        <w:t>.</w:t>
      </w:r>
    </w:p>
    <w:p w14:paraId="24CBEF4B" w14:textId="77777777" w:rsidR="00966BD2" w:rsidRPr="002449A8" w:rsidRDefault="00966BD2" w:rsidP="00966BD2">
      <w:pPr>
        <w:pStyle w:val="Textonotapie"/>
      </w:pPr>
    </w:p>
  </w:footnote>
  <w:footnote w:id="8">
    <w:p w14:paraId="3EA7CED0" w14:textId="77777777" w:rsidR="00966BD2" w:rsidRPr="007A15CA" w:rsidRDefault="00966BD2" w:rsidP="00966BD2">
      <w:pPr>
        <w:pStyle w:val="Textonotapie"/>
        <w:spacing w:after="60"/>
        <w:ind w:firstLine="709"/>
        <w:jc w:val="both"/>
        <w:rPr>
          <w:rFonts w:ascii="Arial" w:hAnsi="Arial" w:cs="Arial"/>
          <w:sz w:val="19"/>
          <w:szCs w:val="19"/>
        </w:rPr>
      </w:pPr>
      <w:r w:rsidRPr="007A15CA">
        <w:rPr>
          <w:rStyle w:val="Refdenotaalpie"/>
          <w:rFonts w:ascii="Arial" w:hAnsi="Arial" w:cs="Arial"/>
          <w:sz w:val="19"/>
          <w:szCs w:val="19"/>
        </w:rPr>
        <w:footnoteRef/>
      </w:r>
      <w:r w:rsidRPr="007A15CA">
        <w:rPr>
          <w:rFonts w:ascii="Arial" w:hAnsi="Arial" w:cs="Arial"/>
          <w:sz w:val="19"/>
          <w:szCs w:val="19"/>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46B5CEBD" w14:textId="77777777" w:rsidR="00966BD2" w:rsidRDefault="00966BD2" w:rsidP="00966BD2">
      <w:pPr>
        <w:pStyle w:val="Textonotapie"/>
        <w:ind w:firstLine="708"/>
        <w:jc w:val="both"/>
        <w:rPr>
          <w:rFonts w:ascii="Arial" w:hAnsi="Arial" w:cs="Arial"/>
          <w:sz w:val="19"/>
          <w:szCs w:val="19"/>
        </w:rPr>
      </w:pPr>
      <w:r w:rsidRPr="00D44302">
        <w:rPr>
          <w:rFonts w:ascii="Arial" w:hAnsi="Arial" w:cs="Arial"/>
          <w:sz w:val="19"/>
          <w:szCs w:val="19"/>
        </w:rPr>
        <w:t xml:space="preserve">»Y,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Vol I. Bogota: Universidad Externado de Colombia, 2008. pp. 13-14.  </w:t>
      </w:r>
    </w:p>
    <w:p w14:paraId="47C905F2" w14:textId="77777777" w:rsidR="00966BD2" w:rsidRPr="00D44302" w:rsidRDefault="00966BD2" w:rsidP="00966BD2">
      <w:pPr>
        <w:pStyle w:val="Textonotapie"/>
        <w:ind w:firstLine="708"/>
        <w:jc w:val="both"/>
        <w:rPr>
          <w:rFonts w:ascii="Arial" w:hAnsi="Arial" w:cs="Arial"/>
          <w:sz w:val="19"/>
          <w:szCs w:val="19"/>
        </w:rPr>
      </w:pPr>
    </w:p>
  </w:footnote>
  <w:footnote w:id="9">
    <w:p w14:paraId="05F5F43A" w14:textId="77777777" w:rsidR="00966BD2" w:rsidRPr="00D44302" w:rsidRDefault="00966BD2" w:rsidP="00966BD2">
      <w:pPr>
        <w:pStyle w:val="Textonotapie"/>
        <w:ind w:firstLine="708"/>
        <w:jc w:val="both"/>
        <w:rPr>
          <w:lang w:val="es-CO"/>
        </w:rPr>
      </w:pPr>
      <w:r w:rsidRPr="00D44302">
        <w:rPr>
          <w:rStyle w:val="Refdenotaalpie"/>
          <w:rFonts w:ascii="Arial" w:hAnsi="Arial" w:cs="Arial"/>
          <w:sz w:val="19"/>
          <w:szCs w:val="19"/>
        </w:rPr>
        <w:footnoteRef/>
      </w:r>
      <w:r w:rsidRPr="00D44302">
        <w:rPr>
          <w:rFonts w:ascii="Arial" w:hAnsi="Arial" w:cs="Arial"/>
          <w:sz w:val="19"/>
          <w:szCs w:val="19"/>
        </w:rPr>
        <w:t xml:space="preserve"> DÁVILA VINUEZA, </w:t>
      </w:r>
      <w:r>
        <w:rPr>
          <w:rFonts w:ascii="Arial" w:hAnsi="Arial" w:cs="Arial"/>
          <w:sz w:val="19"/>
          <w:szCs w:val="19"/>
        </w:rPr>
        <w:t xml:space="preserve">Luis </w:t>
      </w:r>
      <w:proofErr w:type="spellStart"/>
      <w:r w:rsidRPr="00D44302">
        <w:rPr>
          <w:rFonts w:ascii="Arial" w:hAnsi="Arial" w:cs="Arial"/>
          <w:sz w:val="19"/>
          <w:szCs w:val="19"/>
        </w:rPr>
        <w:t>Guillemo</w:t>
      </w:r>
      <w:proofErr w:type="spellEnd"/>
      <w:r w:rsidRPr="00D44302">
        <w:rPr>
          <w:rFonts w:ascii="Arial" w:hAnsi="Arial" w:cs="Arial"/>
          <w:sz w:val="19"/>
          <w:szCs w:val="19"/>
        </w:rPr>
        <w:t>. Régimen jurídico de la contratación estatal. Bogotá: Legis, 2016. p.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F507B1"/>
    <w:multiLevelType w:val="hybridMultilevel"/>
    <w:tmpl w:val="7474DF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0E51D9"/>
    <w:multiLevelType w:val="hybridMultilevel"/>
    <w:tmpl w:val="9646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96467"/>
    <w:multiLevelType w:val="hybridMultilevel"/>
    <w:tmpl w:val="39DE7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3F27CD"/>
    <w:multiLevelType w:val="hybridMultilevel"/>
    <w:tmpl w:val="1AB87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7973465">
    <w:abstractNumId w:val="9"/>
  </w:num>
  <w:num w:numId="2" w16cid:durableId="933972006">
    <w:abstractNumId w:val="2"/>
  </w:num>
  <w:num w:numId="3" w16cid:durableId="973631999">
    <w:abstractNumId w:val="7"/>
  </w:num>
  <w:num w:numId="4" w16cid:durableId="640962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760136">
    <w:abstractNumId w:val="2"/>
  </w:num>
  <w:num w:numId="6" w16cid:durableId="496001214">
    <w:abstractNumId w:val="16"/>
  </w:num>
  <w:num w:numId="7" w16cid:durableId="426967281">
    <w:abstractNumId w:val="8"/>
  </w:num>
  <w:num w:numId="8" w16cid:durableId="217253661">
    <w:abstractNumId w:val="15"/>
  </w:num>
  <w:num w:numId="9" w16cid:durableId="798230970">
    <w:abstractNumId w:val="10"/>
  </w:num>
  <w:num w:numId="10" w16cid:durableId="1317227060">
    <w:abstractNumId w:val="14"/>
  </w:num>
  <w:num w:numId="11" w16cid:durableId="2030641119">
    <w:abstractNumId w:val="11"/>
  </w:num>
  <w:num w:numId="12" w16cid:durableId="420562752">
    <w:abstractNumId w:val="1"/>
  </w:num>
  <w:num w:numId="13" w16cid:durableId="352809640">
    <w:abstractNumId w:val="5"/>
  </w:num>
  <w:num w:numId="14" w16cid:durableId="907763445">
    <w:abstractNumId w:val="17"/>
  </w:num>
  <w:num w:numId="15" w16cid:durableId="723135945">
    <w:abstractNumId w:val="13"/>
  </w:num>
  <w:num w:numId="16" w16cid:durableId="1765495495">
    <w:abstractNumId w:val="0"/>
  </w:num>
  <w:num w:numId="17" w16cid:durableId="1381200465">
    <w:abstractNumId w:val="18"/>
  </w:num>
  <w:num w:numId="18" w16cid:durableId="2102486877">
    <w:abstractNumId w:val="12"/>
  </w:num>
  <w:num w:numId="19" w16cid:durableId="1376613915">
    <w:abstractNumId w:val="4"/>
  </w:num>
  <w:num w:numId="20" w16cid:durableId="1193763291">
    <w:abstractNumId w:val="6"/>
  </w:num>
  <w:num w:numId="21" w16cid:durableId="20755460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na diaz paternina">
    <w15:presenceInfo w15:providerId="Windows Live" w15:userId="062cb9eeb56fa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03F8"/>
    <w:rsid w:val="00061B2A"/>
    <w:rsid w:val="0006410A"/>
    <w:rsid w:val="00082362"/>
    <w:rsid w:val="000A683E"/>
    <w:rsid w:val="000B19B9"/>
    <w:rsid w:val="000D0334"/>
    <w:rsid w:val="000F6486"/>
    <w:rsid w:val="00125105"/>
    <w:rsid w:val="00127233"/>
    <w:rsid w:val="00161DCE"/>
    <w:rsid w:val="001A6A84"/>
    <w:rsid w:val="001E4177"/>
    <w:rsid w:val="001F7DC6"/>
    <w:rsid w:val="00231B98"/>
    <w:rsid w:val="002421BB"/>
    <w:rsid w:val="00246B6E"/>
    <w:rsid w:val="0025796E"/>
    <w:rsid w:val="002707A2"/>
    <w:rsid w:val="002951A0"/>
    <w:rsid w:val="002962BC"/>
    <w:rsid w:val="002A093D"/>
    <w:rsid w:val="002A0DD0"/>
    <w:rsid w:val="002A49AC"/>
    <w:rsid w:val="002A64FD"/>
    <w:rsid w:val="002C7A84"/>
    <w:rsid w:val="002E0FE2"/>
    <w:rsid w:val="002E4FD9"/>
    <w:rsid w:val="00322A85"/>
    <w:rsid w:val="00324168"/>
    <w:rsid w:val="00326E25"/>
    <w:rsid w:val="003448F4"/>
    <w:rsid w:val="00374F5E"/>
    <w:rsid w:val="00377E3E"/>
    <w:rsid w:val="003A26D1"/>
    <w:rsid w:val="003A779E"/>
    <w:rsid w:val="003D0F4D"/>
    <w:rsid w:val="003D5B0D"/>
    <w:rsid w:val="003E0499"/>
    <w:rsid w:val="003F3941"/>
    <w:rsid w:val="00406575"/>
    <w:rsid w:val="00411C2F"/>
    <w:rsid w:val="0042722E"/>
    <w:rsid w:val="0044452E"/>
    <w:rsid w:val="0044528D"/>
    <w:rsid w:val="004A1847"/>
    <w:rsid w:val="004A305D"/>
    <w:rsid w:val="004F21C4"/>
    <w:rsid w:val="004F685F"/>
    <w:rsid w:val="005566E8"/>
    <w:rsid w:val="00574867"/>
    <w:rsid w:val="0058404A"/>
    <w:rsid w:val="00591460"/>
    <w:rsid w:val="00592628"/>
    <w:rsid w:val="005B6854"/>
    <w:rsid w:val="005C3777"/>
    <w:rsid w:val="005C5CDC"/>
    <w:rsid w:val="005D476C"/>
    <w:rsid w:val="005E53A5"/>
    <w:rsid w:val="00610812"/>
    <w:rsid w:val="006219F8"/>
    <w:rsid w:val="00650FF7"/>
    <w:rsid w:val="00665D70"/>
    <w:rsid w:val="00671DAC"/>
    <w:rsid w:val="006769FE"/>
    <w:rsid w:val="006900D9"/>
    <w:rsid w:val="006D12F8"/>
    <w:rsid w:val="00706C16"/>
    <w:rsid w:val="007530E9"/>
    <w:rsid w:val="00756841"/>
    <w:rsid w:val="007649AB"/>
    <w:rsid w:val="00771D0C"/>
    <w:rsid w:val="007833AC"/>
    <w:rsid w:val="00783D07"/>
    <w:rsid w:val="007B268C"/>
    <w:rsid w:val="007B7171"/>
    <w:rsid w:val="007C0C0F"/>
    <w:rsid w:val="007C3DC2"/>
    <w:rsid w:val="007D46F1"/>
    <w:rsid w:val="007E5497"/>
    <w:rsid w:val="00806F5F"/>
    <w:rsid w:val="00820278"/>
    <w:rsid w:val="00830A9A"/>
    <w:rsid w:val="008728C7"/>
    <w:rsid w:val="008843B6"/>
    <w:rsid w:val="00891928"/>
    <w:rsid w:val="008A446D"/>
    <w:rsid w:val="008A488C"/>
    <w:rsid w:val="008D180B"/>
    <w:rsid w:val="008F0EA7"/>
    <w:rsid w:val="00923EEF"/>
    <w:rsid w:val="009419F9"/>
    <w:rsid w:val="0095685E"/>
    <w:rsid w:val="00961B09"/>
    <w:rsid w:val="00965334"/>
    <w:rsid w:val="00966BD2"/>
    <w:rsid w:val="0097093E"/>
    <w:rsid w:val="009A0DFA"/>
    <w:rsid w:val="009B2D26"/>
    <w:rsid w:val="009B644F"/>
    <w:rsid w:val="009C71FA"/>
    <w:rsid w:val="009C72E7"/>
    <w:rsid w:val="009D3058"/>
    <w:rsid w:val="009F3A13"/>
    <w:rsid w:val="00A122D3"/>
    <w:rsid w:val="00A17F13"/>
    <w:rsid w:val="00A20739"/>
    <w:rsid w:val="00A336E5"/>
    <w:rsid w:val="00A33C78"/>
    <w:rsid w:val="00A81F1E"/>
    <w:rsid w:val="00AA1ED1"/>
    <w:rsid w:val="00AB0ADB"/>
    <w:rsid w:val="00B01B1A"/>
    <w:rsid w:val="00B640FF"/>
    <w:rsid w:val="00B7274A"/>
    <w:rsid w:val="00B72CD3"/>
    <w:rsid w:val="00B72FFF"/>
    <w:rsid w:val="00B812CE"/>
    <w:rsid w:val="00B81533"/>
    <w:rsid w:val="00BC3D36"/>
    <w:rsid w:val="00BD7F72"/>
    <w:rsid w:val="00BF2C22"/>
    <w:rsid w:val="00C04FB3"/>
    <w:rsid w:val="00C330EB"/>
    <w:rsid w:val="00C526CB"/>
    <w:rsid w:val="00C754BE"/>
    <w:rsid w:val="00C76B1C"/>
    <w:rsid w:val="00CB6357"/>
    <w:rsid w:val="00CC1B26"/>
    <w:rsid w:val="00D423A2"/>
    <w:rsid w:val="00D520D8"/>
    <w:rsid w:val="00D63AC2"/>
    <w:rsid w:val="00D65373"/>
    <w:rsid w:val="00D7383B"/>
    <w:rsid w:val="00D90228"/>
    <w:rsid w:val="00DA231B"/>
    <w:rsid w:val="00DA23A0"/>
    <w:rsid w:val="00DC39FC"/>
    <w:rsid w:val="00DF5254"/>
    <w:rsid w:val="00E03793"/>
    <w:rsid w:val="00E16408"/>
    <w:rsid w:val="00E20894"/>
    <w:rsid w:val="00E245AB"/>
    <w:rsid w:val="00E2764C"/>
    <w:rsid w:val="00E27F2E"/>
    <w:rsid w:val="00E413EA"/>
    <w:rsid w:val="00E50AFE"/>
    <w:rsid w:val="00E64E72"/>
    <w:rsid w:val="00E74524"/>
    <w:rsid w:val="00E75C92"/>
    <w:rsid w:val="00E771DC"/>
    <w:rsid w:val="00E8772A"/>
    <w:rsid w:val="00E90F6B"/>
    <w:rsid w:val="00E92C27"/>
    <w:rsid w:val="00EA0E3D"/>
    <w:rsid w:val="00EC38A7"/>
    <w:rsid w:val="00EE1AA8"/>
    <w:rsid w:val="00EF55AB"/>
    <w:rsid w:val="00F31EDC"/>
    <w:rsid w:val="00F462B3"/>
    <w:rsid w:val="00F5664F"/>
    <w:rsid w:val="00F6199C"/>
    <w:rsid w:val="00F666C4"/>
    <w:rsid w:val="00F76AFC"/>
    <w:rsid w:val="00FA47C0"/>
    <w:rsid w:val="00FB3B9A"/>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B644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B644F"/>
    <w:rPr>
      <w:rFonts w:ascii="Geomanist Light" w:hAnsi="Geomanist Light"/>
      <w:lang w:val="es-ES"/>
    </w:rPr>
  </w:style>
  <w:style w:type="character" w:styleId="Refdecomentario">
    <w:name w:val="annotation reference"/>
    <w:basedOn w:val="Fuentedeprrafopredeter"/>
    <w:uiPriority w:val="99"/>
    <w:semiHidden/>
    <w:unhideWhenUsed/>
    <w:rsid w:val="00783D07"/>
    <w:rPr>
      <w:sz w:val="16"/>
      <w:szCs w:val="16"/>
    </w:rPr>
  </w:style>
  <w:style w:type="paragraph" w:styleId="Textocomentario">
    <w:name w:val="annotation text"/>
    <w:basedOn w:val="Normal"/>
    <w:link w:val="TextocomentarioCar"/>
    <w:uiPriority w:val="99"/>
    <w:semiHidden/>
    <w:unhideWhenUsed/>
    <w:rsid w:val="00783D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3D07"/>
    <w:rPr>
      <w:sz w:val="20"/>
      <w:szCs w:val="20"/>
    </w:rPr>
  </w:style>
  <w:style w:type="paragraph" w:styleId="Asuntodelcomentario">
    <w:name w:val="annotation subject"/>
    <w:basedOn w:val="Textocomentario"/>
    <w:next w:val="Textocomentario"/>
    <w:link w:val="AsuntodelcomentarioCar"/>
    <w:uiPriority w:val="99"/>
    <w:semiHidden/>
    <w:unhideWhenUsed/>
    <w:rsid w:val="00783D07"/>
    <w:rPr>
      <w:b/>
      <w:bCs/>
    </w:rPr>
  </w:style>
  <w:style w:type="character" w:customStyle="1" w:styleId="AsuntodelcomentarioCar">
    <w:name w:val="Asunto del comentario Car"/>
    <w:basedOn w:val="TextocomentarioCar"/>
    <w:link w:val="Asuntodelcomentario"/>
    <w:uiPriority w:val="99"/>
    <w:semiHidden/>
    <w:rsid w:val="00783D07"/>
    <w:rPr>
      <w:b/>
      <w:bCs/>
      <w:sz w:val="20"/>
      <w:szCs w:val="20"/>
    </w:rPr>
  </w:style>
  <w:style w:type="paragraph" w:styleId="Textodeglobo">
    <w:name w:val="Balloon Text"/>
    <w:basedOn w:val="Normal"/>
    <w:link w:val="TextodegloboCar"/>
    <w:uiPriority w:val="99"/>
    <w:semiHidden/>
    <w:unhideWhenUsed/>
    <w:rsid w:val="00E0379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37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8279">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2379772">
      <w:bodyDiv w:val="1"/>
      <w:marLeft w:val="0"/>
      <w:marRight w:val="0"/>
      <w:marTop w:val="0"/>
      <w:marBottom w:val="0"/>
      <w:divBdr>
        <w:top w:val="none" w:sz="0" w:space="0" w:color="auto"/>
        <w:left w:val="none" w:sz="0" w:space="0" w:color="auto"/>
        <w:bottom w:val="none" w:sz="0" w:space="0" w:color="auto"/>
        <w:right w:val="none" w:sz="0" w:space="0" w:color="auto"/>
      </w:divBdr>
    </w:div>
    <w:div w:id="291789456">
      <w:bodyDiv w:val="1"/>
      <w:marLeft w:val="0"/>
      <w:marRight w:val="0"/>
      <w:marTop w:val="0"/>
      <w:marBottom w:val="0"/>
      <w:divBdr>
        <w:top w:val="none" w:sz="0" w:space="0" w:color="auto"/>
        <w:left w:val="none" w:sz="0" w:space="0" w:color="auto"/>
        <w:bottom w:val="none" w:sz="0" w:space="0" w:color="auto"/>
        <w:right w:val="none" w:sz="0" w:space="0" w:color="auto"/>
      </w:divBdr>
    </w:div>
    <w:div w:id="352074893">
      <w:bodyDiv w:val="1"/>
      <w:marLeft w:val="0"/>
      <w:marRight w:val="0"/>
      <w:marTop w:val="0"/>
      <w:marBottom w:val="0"/>
      <w:divBdr>
        <w:top w:val="none" w:sz="0" w:space="0" w:color="auto"/>
        <w:left w:val="none" w:sz="0" w:space="0" w:color="auto"/>
        <w:bottom w:val="none" w:sz="0" w:space="0" w:color="auto"/>
        <w:right w:val="none" w:sz="0" w:space="0" w:color="auto"/>
      </w:divBdr>
    </w:div>
    <w:div w:id="52109316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1365134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90195792">
      <w:bodyDiv w:val="1"/>
      <w:marLeft w:val="0"/>
      <w:marRight w:val="0"/>
      <w:marTop w:val="0"/>
      <w:marBottom w:val="0"/>
      <w:divBdr>
        <w:top w:val="none" w:sz="0" w:space="0" w:color="auto"/>
        <w:left w:val="none" w:sz="0" w:space="0" w:color="auto"/>
        <w:bottom w:val="none" w:sz="0" w:space="0" w:color="auto"/>
        <w:right w:val="none" w:sz="0" w:space="0" w:color="auto"/>
      </w:divBdr>
    </w:div>
    <w:div w:id="105770255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8942198">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1413439">
      <w:bodyDiv w:val="1"/>
      <w:marLeft w:val="0"/>
      <w:marRight w:val="0"/>
      <w:marTop w:val="0"/>
      <w:marBottom w:val="0"/>
      <w:divBdr>
        <w:top w:val="none" w:sz="0" w:space="0" w:color="auto"/>
        <w:left w:val="none" w:sz="0" w:space="0" w:color="auto"/>
        <w:bottom w:val="none" w:sz="0" w:space="0" w:color="auto"/>
        <w:right w:val="none" w:sz="0" w:space="0" w:color="auto"/>
      </w:divBdr>
    </w:div>
    <w:div w:id="146599888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6925704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decreto-%20%201860-de-202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relatoria.colombiacompra.gov.co/normativa/ley-1882-de-2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ombiacompra.gov.co/sala-de-prensa/boletin-digital/boletin-de-relatoria-2024-vi-modalidad-de-seleccion-de-seleccion-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882_201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9586-0631-4A91-A594-684F9B74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7F87C56B-BBC2-2C49-B83C-54E81636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4286</Words>
  <Characters>23574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8</cp:revision>
  <cp:lastPrinted>2023-01-10T21:18:00Z</cp:lastPrinted>
  <dcterms:created xsi:type="dcterms:W3CDTF">2024-10-28T15:47:00Z</dcterms:created>
  <dcterms:modified xsi:type="dcterms:W3CDTF">2025-01-08T19:56:00Z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