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EE8FB" w14:textId="77777777" w:rsidR="009E0AC7" w:rsidRDefault="009E0AC7" w:rsidP="009E0AC7">
      <w:pPr>
        <w:spacing w:after="0" w:line="240" w:lineRule="auto"/>
        <w:rPr>
          <w:rFonts w:ascii="Verdana" w:eastAsia="Geomanist Light" w:hAnsi="Verdana" w:cs="Arial"/>
          <w:color w:val="000000" w:themeColor="text1"/>
          <w:lang w:val="es-MX"/>
        </w:rPr>
      </w:pPr>
    </w:p>
    <w:p w14:paraId="1577F2FF" w14:textId="77777777" w:rsidR="00B14A8C" w:rsidRDefault="00B14A8C" w:rsidP="009E0AC7">
      <w:pPr>
        <w:spacing w:after="0" w:line="240" w:lineRule="auto"/>
        <w:rPr>
          <w:rFonts w:ascii="Verdana" w:eastAsia="Geomanist Light" w:hAnsi="Verdana" w:cs="Arial"/>
          <w:color w:val="000000" w:themeColor="text1"/>
          <w:lang w:val="es-MX"/>
        </w:rPr>
      </w:pPr>
    </w:p>
    <w:p w14:paraId="025CABA0" w14:textId="77777777" w:rsidR="00B14A8C" w:rsidRPr="00B14A8C" w:rsidRDefault="00B14A8C" w:rsidP="009E0AC7">
      <w:pPr>
        <w:spacing w:after="0" w:line="240" w:lineRule="auto"/>
        <w:rPr>
          <w:rFonts w:ascii="Verdana" w:eastAsia="Geomanist Light" w:hAnsi="Verdana" w:cs="Arial"/>
          <w:b/>
          <w:bCs/>
          <w:color w:val="000000" w:themeColor="text1"/>
          <w:lang w:val="es-MX"/>
        </w:rPr>
      </w:pPr>
    </w:p>
    <w:p w14:paraId="423A4C39" w14:textId="77777777" w:rsidR="00B14A8C" w:rsidRPr="00B14A8C" w:rsidRDefault="00B14A8C" w:rsidP="009E0AC7">
      <w:pPr>
        <w:spacing w:after="0" w:line="240" w:lineRule="auto"/>
        <w:rPr>
          <w:rFonts w:ascii="Verdana" w:eastAsia="Geomanist Light" w:hAnsi="Verdana" w:cs="Arial"/>
          <w:b/>
          <w:bCs/>
          <w:color w:val="000000" w:themeColor="text1"/>
          <w:lang w:val="es-MX"/>
        </w:rPr>
      </w:pPr>
    </w:p>
    <w:p w14:paraId="2728542D" w14:textId="4F4F09CA" w:rsidR="00A94250" w:rsidRDefault="00B14A8C" w:rsidP="00A94250">
      <w:pPr>
        <w:spacing w:after="0" w:line="240" w:lineRule="auto"/>
        <w:rPr>
          <w:rFonts w:ascii="Verdana" w:eastAsia="Geomanist Light" w:hAnsi="Verdana" w:cs="Arial"/>
          <w:b/>
          <w:bCs/>
          <w:color w:val="000000" w:themeColor="text1"/>
        </w:rPr>
      </w:pPr>
      <w:r w:rsidRPr="00B14A8C">
        <w:rPr>
          <w:rFonts w:ascii="Verdana" w:eastAsia="Calibri" w:hAnsi="Verdana" w:cs="Arial"/>
          <w:b/>
          <w:bCs/>
          <w:lang w:val="es-ES" w:eastAsia="es-ES"/>
        </w:rPr>
        <w:t>REQUISITOS HABILITANTES–</w:t>
      </w:r>
      <w:r w:rsidR="00A94250" w:rsidRPr="00B14A8C">
        <w:rPr>
          <w:rFonts w:ascii="Verdana" w:eastAsia="Calibri" w:hAnsi="Verdana" w:cs="Arial"/>
          <w:b/>
          <w:bCs/>
          <w:lang w:val="es-ES" w:eastAsia="es-ES"/>
        </w:rPr>
        <w:t xml:space="preserve">Definición </w:t>
      </w:r>
      <w:r w:rsidR="00A94250" w:rsidRPr="00A94250">
        <w:rPr>
          <w:rFonts w:ascii="Verdana" w:eastAsia="Geomanist Light" w:hAnsi="Verdana" w:cs="Arial"/>
          <w:b/>
          <w:bCs/>
          <w:color w:val="000000" w:themeColor="text1"/>
        </w:rPr>
        <w:t>– Noción</w:t>
      </w:r>
    </w:p>
    <w:p w14:paraId="51680EE6" w14:textId="77777777" w:rsidR="00A94250" w:rsidRPr="00A94250" w:rsidRDefault="00A94250" w:rsidP="00A94250">
      <w:pPr>
        <w:spacing w:after="0" w:line="240" w:lineRule="auto"/>
        <w:rPr>
          <w:rFonts w:ascii="Verdana" w:eastAsia="Calibri" w:hAnsi="Verdana" w:cs="Arial"/>
          <w:b/>
          <w:bCs/>
          <w:lang w:val="es-ES" w:eastAsia="es-ES"/>
        </w:rPr>
      </w:pPr>
    </w:p>
    <w:p w14:paraId="51321A76" w14:textId="77777777" w:rsidR="00A94250" w:rsidRPr="00A94250" w:rsidRDefault="00A94250" w:rsidP="00A94250">
      <w:pPr>
        <w:spacing w:after="0" w:line="240" w:lineRule="auto"/>
        <w:jc w:val="both"/>
        <w:rPr>
          <w:rFonts w:ascii="Verdana" w:eastAsia="Geomanist Light" w:hAnsi="Verdana" w:cs="Arial"/>
          <w:color w:val="000000" w:themeColor="text1"/>
        </w:rPr>
      </w:pPr>
      <w:r w:rsidRPr="00A94250">
        <w:rPr>
          <w:rFonts w:ascii="Verdana" w:eastAsia="Geomanist Light" w:hAnsi="Verdana" w:cs="Arial"/>
          <w:color w:val="000000" w:themeColor="text1"/>
        </w:rPr>
        <w:t>Los requisitos habilitantes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Se diferencian de los </w:t>
      </w:r>
      <w:r w:rsidRPr="00A94250">
        <w:rPr>
          <w:rFonts w:ascii="Verdana" w:eastAsia="Geomanist Light" w:hAnsi="Verdana" w:cs="Arial"/>
          <w:i/>
          <w:iCs/>
          <w:color w:val="000000" w:themeColor="text1"/>
        </w:rPr>
        <w:t>criterios de evaluación</w:t>
      </w:r>
      <w:r w:rsidRPr="00A94250">
        <w:rPr>
          <w:rFonts w:ascii="Verdana" w:eastAsia="Geomanist Light" w:hAnsi="Verdana" w:cs="Arial"/>
          <w:color w:val="000000" w:themeColor="text1"/>
        </w:rPr>
        <w:t> –también conocidos como </w:t>
      </w:r>
      <w:r w:rsidRPr="00A94250">
        <w:rPr>
          <w:rFonts w:ascii="Verdana" w:eastAsia="Geomanist Light" w:hAnsi="Verdana" w:cs="Arial"/>
          <w:i/>
          <w:iCs/>
          <w:color w:val="000000" w:themeColor="text1"/>
        </w:rPr>
        <w:t>criterios de calificación</w:t>
      </w:r>
      <w:r w:rsidRPr="00A94250">
        <w:rPr>
          <w:rFonts w:ascii="Verdana" w:eastAsia="Geomanist Light" w:hAnsi="Verdana" w:cs="Arial"/>
          <w:color w:val="000000" w:themeColor="text1"/>
        </w:rPr>
        <w:t>– en que estos son los factores definidos por la Entidad Estatal para la asignación de puntaje en el momento de la comparación de las ofertas, y que, a partir de su ponderación, permiten establecer el orden de elegibilidad y, por ende, la propuesta ganadora.</w:t>
      </w:r>
    </w:p>
    <w:p w14:paraId="0A2E1216" w14:textId="77777777" w:rsidR="00A94250" w:rsidRPr="00A94250" w:rsidRDefault="00A94250" w:rsidP="00A94250">
      <w:pPr>
        <w:spacing w:after="0" w:line="240" w:lineRule="auto"/>
        <w:jc w:val="both"/>
        <w:rPr>
          <w:rFonts w:ascii="Verdana" w:eastAsia="Geomanist Light" w:hAnsi="Verdana" w:cs="Arial"/>
          <w:color w:val="000000" w:themeColor="text1"/>
        </w:rPr>
      </w:pPr>
      <w:r w:rsidRPr="00A94250">
        <w:rPr>
          <w:rFonts w:ascii="Verdana" w:eastAsia="Geomanist Light" w:hAnsi="Verdana" w:cs="Arial"/>
          <w:color w:val="000000" w:themeColor="text1"/>
        </w:rPr>
        <w:t>A partir de lo dicho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048F7BCE" w14:textId="77777777" w:rsidR="00A94250" w:rsidRPr="00A94250" w:rsidRDefault="00A94250" w:rsidP="00A94250">
      <w:pPr>
        <w:spacing w:after="0" w:line="240" w:lineRule="auto"/>
        <w:jc w:val="both"/>
        <w:rPr>
          <w:rFonts w:ascii="Verdana" w:eastAsia="Geomanist Light" w:hAnsi="Verdana" w:cs="Arial"/>
          <w:b/>
          <w:bCs/>
          <w:color w:val="000000" w:themeColor="text1"/>
        </w:rPr>
      </w:pPr>
    </w:p>
    <w:p w14:paraId="2739377F" w14:textId="77777777" w:rsidR="00B14A8C" w:rsidRDefault="00B14A8C" w:rsidP="009E0AC7">
      <w:pPr>
        <w:spacing w:after="0" w:line="240" w:lineRule="auto"/>
        <w:rPr>
          <w:rFonts w:ascii="Verdana" w:eastAsia="Geomanist Light" w:hAnsi="Verdana" w:cs="Arial"/>
          <w:b/>
          <w:bCs/>
          <w:color w:val="000000" w:themeColor="text1"/>
          <w:lang w:val="es-MX"/>
        </w:rPr>
      </w:pPr>
    </w:p>
    <w:p w14:paraId="43A9BACD" w14:textId="77777777" w:rsidR="00AD3BED" w:rsidRPr="00B14A8C" w:rsidRDefault="00AD3BED" w:rsidP="009E0AC7">
      <w:pPr>
        <w:spacing w:after="0" w:line="240" w:lineRule="auto"/>
        <w:rPr>
          <w:rFonts w:ascii="Verdana" w:eastAsia="Geomanist Light" w:hAnsi="Verdana" w:cs="Arial"/>
          <w:b/>
          <w:bCs/>
          <w:color w:val="000000" w:themeColor="text1"/>
          <w:lang w:val="es-MX"/>
        </w:rPr>
      </w:pPr>
    </w:p>
    <w:p w14:paraId="549C4519" w14:textId="345AF115" w:rsidR="00AD3BED" w:rsidRDefault="00AD3BED" w:rsidP="009E0AC7">
      <w:pPr>
        <w:spacing w:after="0" w:line="240" w:lineRule="auto"/>
        <w:rPr>
          <w:rFonts w:ascii="Verdana" w:eastAsia="Geomanist Light" w:hAnsi="Verdana" w:cs="Arial"/>
          <w:color w:val="000000" w:themeColor="text1"/>
          <w:lang w:val="es-MX"/>
        </w:rPr>
      </w:pPr>
      <w:r w:rsidRPr="00AD3BED">
        <w:rPr>
          <w:rFonts w:ascii="Verdana" w:eastAsia="Geomanist Light" w:hAnsi="Verdana" w:cs="Arial"/>
          <w:b/>
          <w:bCs/>
          <w:color w:val="000000" w:themeColor="text1"/>
          <w:lang w:val="es-MX"/>
        </w:rPr>
        <w:t xml:space="preserve">MINIMA CUANTIA </w:t>
      </w:r>
      <w:r w:rsidRPr="00AD3BED">
        <w:rPr>
          <w:rFonts w:ascii="Verdana" w:eastAsia="Calibri" w:hAnsi="Verdana" w:cs="Arial"/>
          <w:b/>
          <w:bCs/>
          <w:lang w:val="es-ES" w:eastAsia="es-ES"/>
        </w:rPr>
        <w:t>–</w:t>
      </w:r>
      <w:r w:rsidRPr="00B14A8C">
        <w:rPr>
          <w:rFonts w:ascii="Verdana" w:eastAsia="Calibri" w:hAnsi="Verdana" w:cs="Arial"/>
          <w:b/>
          <w:bCs/>
          <w:lang w:val="es-ES" w:eastAsia="es-ES"/>
        </w:rPr>
        <w:t>Definición</w:t>
      </w:r>
      <w:r w:rsidRPr="00AD3BED">
        <w:rPr>
          <w:rFonts w:ascii="Verdana" w:eastAsia="Calibri" w:hAnsi="Verdana" w:cs="Arial"/>
          <w:b/>
          <w:bCs/>
          <w:lang w:val="es-ES" w:eastAsia="es-ES"/>
        </w:rPr>
        <w:t>–</w:t>
      </w:r>
      <w:r>
        <w:rPr>
          <w:rFonts w:ascii="Verdana" w:eastAsia="Calibri" w:hAnsi="Verdana" w:cs="Arial"/>
          <w:b/>
          <w:bCs/>
          <w:lang w:val="es-ES" w:eastAsia="es-ES"/>
        </w:rPr>
        <w:t xml:space="preserve">Aplicación </w:t>
      </w:r>
    </w:p>
    <w:p w14:paraId="2DF20559" w14:textId="77777777" w:rsidR="00AD3BED" w:rsidRDefault="00AD3BED" w:rsidP="009E0AC7">
      <w:pPr>
        <w:spacing w:after="0" w:line="240" w:lineRule="auto"/>
        <w:rPr>
          <w:rFonts w:ascii="Verdana" w:eastAsia="Geomanist Light" w:hAnsi="Verdana" w:cs="Arial"/>
          <w:color w:val="000000" w:themeColor="text1"/>
          <w:lang w:val="es-MX"/>
        </w:rPr>
      </w:pPr>
    </w:p>
    <w:p w14:paraId="7DCC0C0E" w14:textId="3E5FE4D7" w:rsidR="00AD3BED" w:rsidRPr="00AD3BED" w:rsidRDefault="00AD3BED" w:rsidP="00AD3BED">
      <w:pPr>
        <w:spacing w:after="120" w:line="276" w:lineRule="auto"/>
        <w:jc w:val="both"/>
        <w:rPr>
          <w:rFonts w:ascii="Verdana" w:eastAsia="Calibri" w:hAnsi="Verdana" w:cs="Arial"/>
          <w:lang w:eastAsia="es-MX"/>
        </w:rPr>
      </w:pPr>
      <w:r>
        <w:rPr>
          <w:rFonts w:ascii="Verdana" w:eastAsia="Geomanist Light" w:hAnsi="Verdana" w:cs="Arial"/>
          <w:color w:val="000000" w:themeColor="text1"/>
          <w:lang w:val="es-MX"/>
        </w:rPr>
        <w:t>La</w:t>
      </w:r>
      <w:r w:rsidRPr="00AD3BED">
        <w:rPr>
          <w:rFonts w:ascii="Verdana" w:eastAsia="Calibri" w:hAnsi="Verdana" w:cs="Arial"/>
          <w:lang w:eastAsia="es-MX"/>
        </w:rPr>
        <w:t xml:space="preserve"> </w:t>
      </w:r>
      <w:r w:rsidR="00A94250" w:rsidRPr="00AD3BED">
        <w:rPr>
          <w:rFonts w:ascii="Verdana" w:eastAsia="Calibri" w:hAnsi="Verdana" w:cs="Arial"/>
          <w:lang w:eastAsia="es-MX"/>
        </w:rPr>
        <w:t>mínima</w:t>
      </w:r>
      <w:r w:rsidRPr="00AD3BED">
        <w:rPr>
          <w:rFonts w:ascii="Verdana" w:eastAsia="Calibri" w:hAnsi="Verdana" w:cs="Arial"/>
          <w:lang w:eastAsia="es-MX"/>
        </w:rPr>
        <w:t xml:space="preserve"> </w:t>
      </w:r>
      <w:r w:rsidR="00A94250" w:rsidRPr="00AD3BED">
        <w:rPr>
          <w:rFonts w:ascii="Verdana" w:eastAsia="Calibri" w:hAnsi="Verdana" w:cs="Arial"/>
          <w:lang w:eastAsia="es-MX"/>
        </w:rPr>
        <w:t>cuantía</w:t>
      </w:r>
      <w:r w:rsidRPr="00AD3BED">
        <w:rPr>
          <w:rFonts w:ascii="Verdana" w:eastAsia="Calibri" w:hAnsi="Verdana" w:cs="Arial"/>
          <w:lang w:eastAsia="es-MX"/>
        </w:rPr>
        <w:t xml:space="preserve"> es una modalidad de </w:t>
      </w:r>
      <w:r w:rsidR="00A94250" w:rsidRPr="00AD3BED">
        <w:rPr>
          <w:rFonts w:ascii="Verdana" w:eastAsia="Calibri" w:hAnsi="Verdana" w:cs="Arial"/>
          <w:lang w:eastAsia="es-MX"/>
        </w:rPr>
        <w:t>selección</w:t>
      </w:r>
      <w:r w:rsidRPr="00AD3BED">
        <w:rPr>
          <w:rFonts w:ascii="Verdana" w:eastAsia="Calibri" w:hAnsi="Verdana" w:cs="Arial"/>
          <w:lang w:eastAsia="es-MX"/>
        </w:rPr>
        <w:t xml:space="preserve"> en función de la cual la Entidad Estatal realiza una convocatoria con el fin de recibir bienes, obras o servicios cuyo valor no excede el diez por ciento (10%) de la menor cuantía. Esta </w:t>
      </w:r>
      <w:r w:rsidR="00A94250" w:rsidRPr="00AD3BED">
        <w:rPr>
          <w:rFonts w:ascii="Verdana" w:eastAsia="Calibri" w:hAnsi="Verdana" w:cs="Arial"/>
          <w:lang w:eastAsia="es-MX"/>
        </w:rPr>
        <w:t>tipología</w:t>
      </w:r>
      <w:r w:rsidRPr="00AD3BED">
        <w:rPr>
          <w:rFonts w:ascii="Verdana" w:eastAsia="Calibri" w:hAnsi="Verdana" w:cs="Arial"/>
          <w:lang w:eastAsia="es-MX"/>
        </w:rPr>
        <w:t xml:space="preserve"> contractual tiene fundamento en el </w:t>
      </w:r>
      <w:r w:rsidR="00A94250" w:rsidRPr="00AD3BED">
        <w:rPr>
          <w:rFonts w:ascii="Verdana" w:eastAsia="Calibri" w:hAnsi="Verdana" w:cs="Arial"/>
          <w:lang w:eastAsia="es-MX"/>
        </w:rPr>
        <w:t>artículo</w:t>
      </w:r>
      <w:r w:rsidRPr="00AD3BED">
        <w:rPr>
          <w:rFonts w:ascii="Verdana" w:eastAsia="Calibri" w:hAnsi="Verdana" w:cs="Arial"/>
          <w:lang w:eastAsia="es-MX"/>
        </w:rPr>
        <w:t xml:space="preserve"> 94 de la Ley 1474 de 2011 –que adicionó el numeral 5 al </w:t>
      </w:r>
      <w:r w:rsidR="00A94250" w:rsidRPr="00AD3BED">
        <w:rPr>
          <w:rFonts w:ascii="Verdana" w:eastAsia="Calibri" w:hAnsi="Verdana" w:cs="Arial"/>
          <w:lang w:eastAsia="es-MX"/>
        </w:rPr>
        <w:t>artículo</w:t>
      </w:r>
      <w:r w:rsidRPr="00AD3BED">
        <w:rPr>
          <w:rFonts w:ascii="Verdana" w:eastAsia="Calibri" w:hAnsi="Verdana" w:cs="Arial"/>
          <w:lang w:eastAsia="es-MX"/>
        </w:rPr>
        <w:t xml:space="preserve"> 2 de la Ley 1150 de 20072–, estableciendo que el factor determinante para adelantar tal procedimiento es la </w:t>
      </w:r>
      <w:r w:rsidR="00A94250" w:rsidRPr="00AD3BED">
        <w:rPr>
          <w:rFonts w:ascii="Verdana" w:eastAsia="Calibri" w:hAnsi="Verdana" w:cs="Arial"/>
          <w:lang w:eastAsia="es-MX"/>
        </w:rPr>
        <w:t>cuantía</w:t>
      </w:r>
      <w:r w:rsidRPr="00AD3BED">
        <w:rPr>
          <w:rFonts w:ascii="Verdana" w:eastAsia="Calibri" w:hAnsi="Verdana" w:cs="Arial"/>
          <w:lang w:eastAsia="es-MX"/>
        </w:rPr>
        <w:t>, calculada como presupuesto oficial a partir del estudio del sector, indistintamente de su objeto.</w:t>
      </w:r>
    </w:p>
    <w:p w14:paraId="43B1549F" w14:textId="77777777" w:rsidR="00AD3BED" w:rsidRPr="00AD3BED" w:rsidRDefault="00AD3BED" w:rsidP="009E0AC7">
      <w:pPr>
        <w:spacing w:after="0" w:line="240" w:lineRule="auto"/>
        <w:rPr>
          <w:rFonts w:ascii="Verdana" w:eastAsia="Geomanist Light" w:hAnsi="Verdana" w:cs="Arial"/>
          <w:color w:val="000000" w:themeColor="text1"/>
          <w:lang w:val="es-ES"/>
        </w:rPr>
      </w:pPr>
    </w:p>
    <w:p w14:paraId="26F08C48" w14:textId="77777777" w:rsidR="00B14A8C" w:rsidRDefault="00B14A8C" w:rsidP="009E0AC7">
      <w:pPr>
        <w:spacing w:after="0" w:line="240" w:lineRule="auto"/>
        <w:rPr>
          <w:rFonts w:ascii="Verdana" w:eastAsia="Geomanist Light" w:hAnsi="Verdana" w:cs="Arial"/>
          <w:color w:val="000000" w:themeColor="text1"/>
          <w:lang w:val="es-MX"/>
        </w:rPr>
      </w:pPr>
    </w:p>
    <w:p w14:paraId="119FDD8C" w14:textId="77777777" w:rsidR="00B14A8C" w:rsidRDefault="00B14A8C" w:rsidP="009E0AC7">
      <w:pPr>
        <w:spacing w:after="0" w:line="240" w:lineRule="auto"/>
        <w:rPr>
          <w:rFonts w:ascii="Verdana" w:eastAsia="Geomanist Light" w:hAnsi="Verdana" w:cs="Arial"/>
          <w:color w:val="000000" w:themeColor="text1"/>
          <w:lang w:val="es-MX"/>
        </w:rPr>
      </w:pPr>
    </w:p>
    <w:p w14:paraId="36A0A6DD" w14:textId="77777777" w:rsidR="00B14A8C" w:rsidRDefault="00B14A8C" w:rsidP="009E0AC7">
      <w:pPr>
        <w:spacing w:after="0" w:line="240" w:lineRule="auto"/>
        <w:rPr>
          <w:rFonts w:ascii="Verdana" w:eastAsia="Geomanist Light" w:hAnsi="Verdana" w:cs="Arial"/>
          <w:color w:val="000000" w:themeColor="text1"/>
          <w:lang w:val="es-MX"/>
        </w:rPr>
      </w:pPr>
    </w:p>
    <w:p w14:paraId="49F3A432" w14:textId="77777777" w:rsidR="00B14A8C" w:rsidRDefault="00B14A8C" w:rsidP="009E0AC7">
      <w:pPr>
        <w:spacing w:after="0" w:line="240" w:lineRule="auto"/>
        <w:rPr>
          <w:rFonts w:ascii="Verdana" w:eastAsia="Geomanist Light" w:hAnsi="Verdana" w:cs="Arial"/>
          <w:color w:val="000000" w:themeColor="text1"/>
          <w:lang w:val="es-MX"/>
        </w:rPr>
      </w:pPr>
    </w:p>
    <w:p w14:paraId="409EEE08" w14:textId="77777777" w:rsidR="00B14A8C" w:rsidRDefault="00B14A8C" w:rsidP="009E0AC7">
      <w:pPr>
        <w:spacing w:after="0" w:line="240" w:lineRule="auto"/>
        <w:rPr>
          <w:rFonts w:ascii="Verdana" w:eastAsia="Geomanist Light" w:hAnsi="Verdana" w:cs="Arial"/>
          <w:color w:val="000000" w:themeColor="text1"/>
          <w:lang w:val="es-MX"/>
        </w:rPr>
      </w:pPr>
    </w:p>
    <w:p w14:paraId="2720A6DE" w14:textId="77777777" w:rsidR="00B14A8C" w:rsidRDefault="00B14A8C" w:rsidP="009E0AC7">
      <w:pPr>
        <w:spacing w:after="0" w:line="240" w:lineRule="auto"/>
        <w:rPr>
          <w:rFonts w:ascii="Verdana" w:eastAsia="Geomanist Light" w:hAnsi="Verdana" w:cs="Arial"/>
          <w:color w:val="000000" w:themeColor="text1"/>
          <w:lang w:val="es-MX"/>
        </w:rPr>
      </w:pPr>
    </w:p>
    <w:p w14:paraId="632CC6BD" w14:textId="77777777" w:rsidR="009E0AC7" w:rsidRDefault="009E0AC7" w:rsidP="009E0AC7">
      <w:pPr>
        <w:spacing w:after="0" w:line="240" w:lineRule="auto"/>
        <w:rPr>
          <w:rFonts w:ascii="Verdana" w:eastAsia="Geomanist Light" w:hAnsi="Verdana" w:cs="Arial"/>
          <w:color w:val="000000" w:themeColor="text1"/>
          <w:lang w:val="es-MX"/>
        </w:rPr>
      </w:pPr>
    </w:p>
    <w:p w14:paraId="47D12D88" w14:textId="77777777" w:rsidR="009E0AC7" w:rsidRDefault="009E0AC7" w:rsidP="009E0AC7">
      <w:pPr>
        <w:spacing w:after="0" w:line="240" w:lineRule="auto"/>
        <w:rPr>
          <w:rFonts w:ascii="Verdana" w:eastAsia="Geomanist Light" w:hAnsi="Verdana" w:cs="Arial"/>
          <w:color w:val="000000" w:themeColor="text1"/>
          <w:lang w:val="es-MX"/>
        </w:rPr>
      </w:pPr>
    </w:p>
    <w:p w14:paraId="3ECC9153" w14:textId="77777777" w:rsidR="009E0AC7" w:rsidRPr="00593A5F" w:rsidRDefault="009E0AC7" w:rsidP="009E0AC7">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t>Bogotá D.C., </w:t>
      </w:r>
      <w:r w:rsidRPr="00593A5F">
        <w:rPr>
          <w:rFonts w:ascii="Verdana" w:eastAsia="Geomanist Light" w:hAnsi="Verdana" w:cs="Arial"/>
          <w:color w:val="201F1E"/>
          <w:lang w:val="es-MX"/>
        </w:rPr>
        <w:t>[Día] de [Mes.NombreCapitalizado] de [Año]</w:t>
      </w:r>
    </w:p>
    <w:p w14:paraId="48EFEB9A" w14:textId="77777777" w:rsidR="009E0AC7" w:rsidRPr="00593A5F" w:rsidRDefault="009E0AC7" w:rsidP="009E0AC7">
      <w:pPr>
        <w:spacing w:after="0" w:line="240" w:lineRule="auto"/>
        <w:jc w:val="both"/>
        <w:rPr>
          <w:rFonts w:ascii="Verdana" w:eastAsia="Calibri" w:hAnsi="Verdana" w:cs="Arial"/>
          <w:color w:val="000000"/>
          <w:lang w:val="es-ES"/>
        </w:rPr>
      </w:pPr>
    </w:p>
    <w:p w14:paraId="372E539B" w14:textId="28F5C27B" w:rsidR="009E0AC7" w:rsidRPr="007F16EA" w:rsidRDefault="009E0AC7" w:rsidP="009E0AC7">
      <w:pPr>
        <w:spacing w:after="0" w:line="240" w:lineRule="auto"/>
        <w:jc w:val="both"/>
        <w:rPr>
          <w:rFonts w:ascii="Verdana" w:eastAsia="Calibri" w:hAnsi="Verdana" w:cs="Arial"/>
          <w:lang w:val="en-US" w:eastAsia="es-ES"/>
        </w:rPr>
      </w:pPr>
      <w:r w:rsidRPr="007F16EA">
        <w:rPr>
          <w:rFonts w:ascii="Verdana" w:eastAsia="Calibri" w:hAnsi="Verdana" w:cs="Arial"/>
          <w:lang w:val="en-US" w:eastAsia="es-ES"/>
        </w:rPr>
        <w:t>Señor</w:t>
      </w:r>
    </w:p>
    <w:p w14:paraId="074A20ED" w14:textId="77777777" w:rsidR="009E0AC7" w:rsidRPr="007F16EA" w:rsidRDefault="009E0AC7" w:rsidP="009E0AC7">
      <w:pPr>
        <w:spacing w:after="0" w:line="240" w:lineRule="auto"/>
        <w:rPr>
          <w:rFonts w:ascii="Verdana" w:eastAsia="Calibri" w:hAnsi="Verdana" w:cs="Arial"/>
          <w:b/>
          <w:lang w:val="en-US" w:eastAsia="es-ES_tradnl"/>
        </w:rPr>
      </w:pPr>
      <w:r w:rsidRPr="007F16EA">
        <w:rPr>
          <w:rFonts w:ascii="Verdana" w:eastAsia="Calibri" w:hAnsi="Verdana" w:cs="Arial"/>
          <w:b/>
          <w:lang w:val="en-US" w:eastAsia="es-ES_tradnl"/>
        </w:rPr>
        <w:t>Edward Andres Triana Rodriguez</w:t>
      </w:r>
    </w:p>
    <w:p w14:paraId="41DDDFBE" w14:textId="77777777" w:rsidR="009E0AC7" w:rsidRDefault="009E0AC7" w:rsidP="009E0AC7">
      <w:pPr>
        <w:spacing w:after="0" w:line="240" w:lineRule="auto"/>
        <w:rPr>
          <w:rFonts w:ascii="Verdana" w:eastAsia="Calibri" w:hAnsi="Verdana" w:cs="Arial"/>
          <w:bCs/>
          <w:lang w:val="en-US" w:eastAsia="es-ES_tradnl"/>
        </w:rPr>
      </w:pPr>
      <w:r w:rsidRPr="00B557EB">
        <w:rPr>
          <w:rFonts w:ascii="Verdana" w:eastAsia="Calibri" w:hAnsi="Verdana" w:cs="Arial"/>
          <w:bCs/>
          <w:lang w:val="en-US" w:eastAsia="es-ES_tradnl"/>
        </w:rPr>
        <w:t xml:space="preserve">andreslds1989@hotmail.com </w:t>
      </w:r>
    </w:p>
    <w:p w14:paraId="77DD45F9" w14:textId="77777777" w:rsidR="009E0AC7" w:rsidRPr="00B557EB" w:rsidRDefault="009E0AC7" w:rsidP="009E0AC7">
      <w:pPr>
        <w:spacing w:after="0" w:line="240" w:lineRule="auto"/>
        <w:rPr>
          <w:rFonts w:ascii="Verdana" w:eastAsia="Calibri" w:hAnsi="Verdana" w:cs="Arial"/>
          <w:bCs/>
          <w:lang w:val="en-US" w:eastAsia="es-ES_tradnl"/>
        </w:rPr>
      </w:pPr>
      <w:r>
        <w:rPr>
          <w:rFonts w:ascii="Verdana" w:eastAsia="Calibri" w:hAnsi="Verdana" w:cs="Arial"/>
          <w:bCs/>
          <w:lang w:val="en-US" w:eastAsia="es-ES_tradnl"/>
        </w:rPr>
        <w:t>Tolima, Ibague</w:t>
      </w:r>
    </w:p>
    <w:p w14:paraId="7ED26C5F" w14:textId="77777777" w:rsidR="009E0AC7" w:rsidRPr="00D44FCA" w:rsidRDefault="009E0AC7" w:rsidP="009E0AC7">
      <w:pPr>
        <w:spacing w:after="0" w:line="240" w:lineRule="auto"/>
        <w:rPr>
          <w:rFonts w:ascii="Verdana" w:eastAsia="Calibri" w:hAnsi="Verdana" w:cs="Arial"/>
          <w:b/>
          <w:bCs/>
          <w:lang w:val="es-ES_tradnl" w:eastAsia="es-ES_tradnl"/>
        </w:rPr>
      </w:pPr>
    </w:p>
    <w:p w14:paraId="69946FB8" w14:textId="77777777" w:rsidR="009E0AC7" w:rsidRPr="00D44FCA" w:rsidRDefault="009E0AC7" w:rsidP="009E0AC7">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E0AC7" w:rsidRPr="00D44FCA" w14:paraId="59B860E2" w14:textId="77777777" w:rsidTr="00E520E8">
        <w:trPr>
          <w:trHeight w:val="884"/>
        </w:trPr>
        <w:tc>
          <w:tcPr>
            <w:tcW w:w="2689" w:type="dxa"/>
          </w:tcPr>
          <w:p w14:paraId="7E8EE5BE" w14:textId="77777777" w:rsidR="009E0AC7" w:rsidRPr="00D44FCA" w:rsidRDefault="009E0AC7" w:rsidP="00E520E8">
            <w:pPr>
              <w:jc w:val="both"/>
              <w:rPr>
                <w:rFonts w:ascii="Verdana" w:eastAsia="Calibri" w:hAnsi="Verdana" w:cs="Arial"/>
                <w:b/>
                <w:bCs/>
                <w:lang w:val="es-ES_tradnl" w:eastAsia="es-ES_tradnl"/>
              </w:rPr>
            </w:pPr>
          </w:p>
        </w:tc>
        <w:tc>
          <w:tcPr>
            <w:tcW w:w="6100" w:type="dxa"/>
          </w:tcPr>
          <w:p w14:paraId="4B10AC8C" w14:textId="77777777" w:rsidR="009E0AC7" w:rsidRPr="00D44FCA" w:rsidRDefault="009E0AC7" w:rsidP="00E520E8">
            <w:pPr>
              <w:jc w:val="both"/>
              <w:rPr>
                <w:rFonts w:ascii="Verdana" w:eastAsia="Calibri" w:hAnsi="Verdana" w:cs="Arial"/>
                <w:b/>
                <w:bCs/>
                <w:lang w:val="es-ES" w:eastAsia="es-ES"/>
              </w:rPr>
            </w:pPr>
            <w:r w:rsidRPr="00D44FCA">
              <w:rPr>
                <w:rFonts w:ascii="Verdana" w:eastAsia="Calibri" w:hAnsi="Verdana" w:cs="Arial"/>
                <w:b/>
                <w:bCs/>
                <w:lang w:val="es-ES" w:eastAsia="es-ES"/>
              </w:rPr>
              <w:t>Concepto C- 739 de 2024</w:t>
            </w:r>
          </w:p>
        </w:tc>
      </w:tr>
      <w:tr w:rsidR="009E0AC7" w:rsidRPr="00593A5F" w14:paraId="57DBED89" w14:textId="77777777" w:rsidTr="00E520E8">
        <w:trPr>
          <w:trHeight w:val="884"/>
        </w:trPr>
        <w:tc>
          <w:tcPr>
            <w:tcW w:w="2689" w:type="dxa"/>
          </w:tcPr>
          <w:p w14:paraId="116998C5" w14:textId="77777777" w:rsidR="009E0AC7" w:rsidRPr="00593A5F" w:rsidRDefault="009E0AC7" w:rsidP="00E520E8">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1B1668CD" w14:textId="77777777" w:rsidR="009E0AC7" w:rsidRPr="00B557EB" w:rsidRDefault="009E0AC7" w:rsidP="00E520E8">
            <w:pPr>
              <w:spacing w:line="276" w:lineRule="auto"/>
              <w:jc w:val="both"/>
              <w:rPr>
                <w:rFonts w:ascii="Verdana" w:eastAsia="Calibri" w:hAnsi="Verdana" w:cs="Arial"/>
                <w:lang w:val="es-ES" w:eastAsia="es-ES"/>
              </w:rPr>
            </w:pPr>
            <w:r w:rsidRPr="00B557EB">
              <w:rPr>
                <w:rFonts w:ascii="Verdana" w:eastAsia="Calibri" w:hAnsi="Verdana" w:cs="Arial"/>
                <w:lang w:val="es-ES" w:eastAsia="es-ES"/>
              </w:rPr>
              <w:t xml:space="preserve">REQUISITOS HABILITANTES – Concepto / REQUISITOS HABILITANTES – Carácter enunciativo – Artículo 5 de la Ley 1150 de 2007 / </w:t>
            </w:r>
            <w:r w:rsidRPr="00B557EB">
              <w:rPr>
                <w:rFonts w:ascii="Verdana" w:eastAsia="Times New Roman" w:hAnsi="Verdana" w:cs="Arial"/>
                <w:lang w:val="es-ES_tradnl" w:eastAsia="es-MX"/>
              </w:rPr>
              <w:t>Decreto 1082 de 2015, Art 2.2.1.1.1.6.2</w:t>
            </w:r>
          </w:p>
          <w:p w14:paraId="45BF52E5" w14:textId="77777777" w:rsidR="009E0AC7" w:rsidRPr="00B557EB" w:rsidRDefault="009E0AC7" w:rsidP="00E520E8">
            <w:pPr>
              <w:spacing w:line="276" w:lineRule="auto"/>
              <w:jc w:val="both"/>
              <w:rPr>
                <w:rFonts w:ascii="Verdana" w:eastAsia="Calibri" w:hAnsi="Verdana" w:cs="Arial"/>
                <w:lang w:val="es-ES" w:eastAsia="es-ES"/>
              </w:rPr>
            </w:pPr>
          </w:p>
        </w:tc>
      </w:tr>
      <w:tr w:rsidR="009E0AC7" w:rsidRPr="00D44FCA" w14:paraId="076D8AD8" w14:textId="77777777" w:rsidTr="00E520E8">
        <w:tc>
          <w:tcPr>
            <w:tcW w:w="2689" w:type="dxa"/>
          </w:tcPr>
          <w:p w14:paraId="2B349283" w14:textId="77777777" w:rsidR="009E0AC7" w:rsidRPr="00D44FCA" w:rsidRDefault="009E0AC7" w:rsidP="00E520E8">
            <w:pPr>
              <w:jc w:val="both"/>
              <w:rPr>
                <w:rFonts w:ascii="Verdana" w:eastAsia="Calibri" w:hAnsi="Verdana" w:cs="Arial"/>
                <w:b/>
                <w:lang w:val="es-ES_tradnl" w:eastAsia="es-ES_tradnl"/>
              </w:rPr>
            </w:pPr>
            <w:r w:rsidRPr="00D44FCA">
              <w:rPr>
                <w:rFonts w:ascii="Verdana" w:eastAsia="Calibri" w:hAnsi="Verdana" w:cs="Arial"/>
                <w:b/>
                <w:lang w:val="es-ES_tradnl" w:eastAsia="es-ES_tradnl"/>
              </w:rPr>
              <w:t>Radicación:</w:t>
            </w:r>
            <w:r w:rsidRPr="00D44FCA">
              <w:rPr>
                <w:rFonts w:ascii="Verdana" w:eastAsia="Calibri" w:hAnsi="Verdana" w:cs="Arial"/>
                <w:lang w:val="es-ES_tradnl" w:eastAsia="es-ES_tradnl"/>
              </w:rPr>
              <w:t xml:space="preserve">               </w:t>
            </w:r>
          </w:p>
        </w:tc>
        <w:tc>
          <w:tcPr>
            <w:tcW w:w="6100" w:type="dxa"/>
          </w:tcPr>
          <w:p w14:paraId="1AE57B17" w14:textId="77777777" w:rsidR="009E0AC7" w:rsidRPr="00D44FCA" w:rsidRDefault="009E0AC7" w:rsidP="00E520E8">
            <w:pPr>
              <w:jc w:val="both"/>
              <w:rPr>
                <w:rFonts w:ascii="Verdana" w:eastAsia="Calibri" w:hAnsi="Verdana" w:cs="Arial"/>
                <w:lang w:val="es-ES_tradnl" w:eastAsia="es-ES_tradnl"/>
              </w:rPr>
            </w:pPr>
            <w:r w:rsidRPr="00D44FCA">
              <w:rPr>
                <w:rFonts w:ascii="Verdana" w:eastAsia="Calibri" w:hAnsi="Verdana" w:cs="Arial"/>
                <w:lang w:val="es-ES_tradnl" w:eastAsia="es-ES_tradnl"/>
              </w:rPr>
              <w:t xml:space="preserve">Respuesta a consulta con radicado No. </w:t>
            </w:r>
          </w:p>
          <w:p w14:paraId="70AFF07A" w14:textId="77777777" w:rsidR="009E0AC7" w:rsidRPr="00D44FCA" w:rsidRDefault="009E0AC7" w:rsidP="00E520E8">
            <w:pPr>
              <w:jc w:val="both"/>
              <w:rPr>
                <w:rFonts w:ascii="Verdana" w:hAnsi="Verdana" w:cs="Calibri"/>
              </w:rPr>
            </w:pPr>
            <w:r w:rsidRPr="00D44FCA">
              <w:rPr>
                <w:rFonts w:ascii="Verdana" w:hAnsi="Verdana" w:cs="Calibri"/>
              </w:rPr>
              <w:t>P20241016010470</w:t>
            </w:r>
          </w:p>
          <w:p w14:paraId="28A97155" w14:textId="77777777" w:rsidR="009E0AC7" w:rsidRPr="00D44FCA" w:rsidRDefault="009E0AC7" w:rsidP="00E520E8">
            <w:pPr>
              <w:jc w:val="both"/>
              <w:rPr>
                <w:rFonts w:ascii="Verdana" w:eastAsia="Calibri" w:hAnsi="Verdana" w:cs="Arial"/>
                <w:lang w:val="es-ES_tradnl" w:eastAsia="es-ES_tradnl"/>
              </w:rPr>
            </w:pPr>
          </w:p>
        </w:tc>
      </w:tr>
    </w:tbl>
    <w:p w14:paraId="10744674" w14:textId="77777777" w:rsidR="009E0AC7" w:rsidRPr="00593A5F" w:rsidRDefault="009E0AC7" w:rsidP="009E0AC7">
      <w:pPr>
        <w:spacing w:after="0" w:line="240" w:lineRule="auto"/>
        <w:jc w:val="both"/>
        <w:rPr>
          <w:rFonts w:ascii="Verdana" w:eastAsia="Calibri" w:hAnsi="Verdana" w:cs="Arial"/>
          <w:color w:val="000000"/>
          <w:lang w:val="es-ES_tradnl" w:eastAsia="es-ES_tradnl"/>
        </w:rPr>
      </w:pPr>
    </w:p>
    <w:p w14:paraId="57BF9CA4" w14:textId="77777777" w:rsidR="009E0AC7" w:rsidRPr="009D7C79" w:rsidRDefault="009E0AC7" w:rsidP="009E0AC7">
      <w:pPr>
        <w:spacing w:after="0" w:line="240" w:lineRule="auto"/>
        <w:jc w:val="both"/>
        <w:rPr>
          <w:rFonts w:ascii="Verdana" w:eastAsia="Calibri" w:hAnsi="Verdana" w:cs="Arial"/>
          <w:lang w:val="es-ES_tradnl" w:eastAsia="es-ES_tradnl"/>
        </w:rPr>
      </w:pPr>
    </w:p>
    <w:p w14:paraId="6CE92ADF" w14:textId="77777777" w:rsidR="009E0AC7" w:rsidRPr="009D7C79" w:rsidRDefault="009E0AC7" w:rsidP="009E0AC7">
      <w:pPr>
        <w:spacing w:after="0" w:line="276" w:lineRule="auto"/>
        <w:jc w:val="both"/>
        <w:rPr>
          <w:rFonts w:ascii="Verdana" w:eastAsia="Calibri" w:hAnsi="Verdana" w:cs="Arial"/>
          <w:lang w:val="es-ES" w:eastAsia="es-ES"/>
        </w:rPr>
      </w:pPr>
      <w:r w:rsidRPr="009D7C79">
        <w:rPr>
          <w:rFonts w:ascii="Verdana" w:eastAsia="Calibri" w:hAnsi="Verdana" w:cs="Arial"/>
          <w:lang w:val="es-ES" w:eastAsia="es-ES"/>
        </w:rPr>
        <w:t xml:space="preserve">Estimado señor Triana: </w:t>
      </w:r>
    </w:p>
    <w:p w14:paraId="481EB169" w14:textId="77777777" w:rsidR="009E0AC7" w:rsidRDefault="009E0AC7" w:rsidP="009E0AC7">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5C88E17C" w14:textId="77777777" w:rsidR="009E0AC7" w:rsidRPr="00D44FCA" w:rsidRDefault="009E0AC7" w:rsidP="009E0AC7">
      <w:pPr>
        <w:spacing w:after="0" w:line="276" w:lineRule="auto"/>
        <w:jc w:val="both"/>
        <w:rPr>
          <w:rFonts w:ascii="Verdana" w:eastAsia="Calibri" w:hAnsi="Verdana" w:cs="Arial"/>
          <w:lang w:val="es-ES" w:eastAsia="es-ES"/>
        </w:rPr>
      </w:pPr>
      <w:r w:rsidRPr="00D44FCA">
        <w:rPr>
          <w:rFonts w:ascii="Verdana" w:eastAsia="Calibri" w:hAnsi="Verdana" w:cs="Arial"/>
          <w:lang w:val="es-ES" w:eastAsia="es-ES"/>
        </w:rPr>
        <w:t>En ejercicio de la competencia otorgada por los artículos 3, numeral 5º, y 11, numeral 8º, del Decreto Ley 4170 de 2011,</w:t>
      </w:r>
      <w:r w:rsidRPr="00D44FCA">
        <w:rPr>
          <w:rFonts w:ascii="Verdana" w:eastAsia="Arial MT" w:hAnsi="Verdana" w:cs="Arial MT"/>
          <w:lang w:val="es-ES" w:eastAsia="es-ES"/>
        </w:rPr>
        <w:t xml:space="preserve"> </w:t>
      </w:r>
      <w:r w:rsidRPr="00D44FCA">
        <w:rPr>
          <w:rFonts w:ascii="Verdana" w:hAnsi="Verdana" w:cs="Arial"/>
        </w:rPr>
        <w:t xml:space="preserve">así como lo establecido en el artículo 4 de la Resolución 1707 de 2018 expedida por esta Entidad, </w:t>
      </w:r>
      <w:r w:rsidRPr="00D44FCA">
        <w:rPr>
          <w:rFonts w:ascii="Verdana" w:eastAsia="Calibri" w:hAnsi="Verdana" w:cs="Arial"/>
          <w:lang w:val="es-ES" w:eastAsia="es-ES"/>
        </w:rPr>
        <w:t xml:space="preserve">la Agencia Nacional de Contratación Pública – Colombia Compra Eficiente– responde su solicitud de consulta de fecha 16 de noviembre de 2024, en la cual manifiesta lo siguiente: </w:t>
      </w:r>
    </w:p>
    <w:p w14:paraId="0A3F31CF" w14:textId="77777777" w:rsidR="009E0AC7" w:rsidRPr="00B557EB" w:rsidRDefault="009E0AC7" w:rsidP="009E0AC7">
      <w:pPr>
        <w:pStyle w:val="Prrafodelista"/>
        <w:tabs>
          <w:tab w:val="left" w:pos="142"/>
          <w:tab w:val="left" w:pos="284"/>
        </w:tabs>
        <w:spacing w:line="276" w:lineRule="auto"/>
        <w:ind w:left="0"/>
        <w:jc w:val="both"/>
        <w:rPr>
          <w:rFonts w:ascii="Verdana" w:eastAsia="Century Gothic" w:hAnsi="Verdana" w:cs="Century Gothic"/>
          <w:b/>
          <w:bCs/>
        </w:rPr>
      </w:pPr>
    </w:p>
    <w:p w14:paraId="35668AEC" w14:textId="77777777" w:rsidR="009E0AC7" w:rsidRPr="00B557EB" w:rsidRDefault="009E0AC7" w:rsidP="009E0AC7">
      <w:pPr>
        <w:spacing w:after="0" w:line="240" w:lineRule="auto"/>
        <w:ind w:left="709" w:right="709"/>
        <w:jc w:val="both"/>
        <w:rPr>
          <w:rFonts w:ascii="Verdana" w:hAnsi="Verdana" w:cs="Arial"/>
          <w:i/>
          <w:iCs/>
          <w:shd w:val="clear" w:color="auto" w:fill="FFFFFF"/>
          <w:lang w:val="es-ES"/>
        </w:rPr>
      </w:pPr>
      <w:bookmarkStart w:id="0" w:name="_Hlk95313578"/>
      <w:r w:rsidRPr="00B557EB">
        <w:rPr>
          <w:rFonts w:ascii="Verdana" w:eastAsia="Century Gothic" w:hAnsi="Verdana" w:cs="Century Gothic"/>
          <w:i/>
          <w:iCs/>
          <w:lang w:val="es-ES"/>
        </w:rPr>
        <w:t>“</w:t>
      </w:r>
      <w:r w:rsidRPr="00B557EB">
        <w:rPr>
          <w:rStyle w:val="normaltextrun"/>
          <w:rFonts w:ascii="Verdana" w:hAnsi="Verdana" w:cs="Arial"/>
          <w:i/>
          <w:iCs/>
          <w:shd w:val="clear" w:color="auto" w:fill="FFFFFF"/>
          <w:lang w:val="es-ES"/>
        </w:rPr>
        <w:t>¿Se puede prescindir la exigencia de la experiencia como requisito habilitante en los procesos de mínima cuantía</w:t>
      </w:r>
      <w:bookmarkEnd w:id="0"/>
      <w:r w:rsidRPr="00B557EB">
        <w:rPr>
          <w:rStyle w:val="normaltextrun"/>
          <w:rFonts w:ascii="Verdana" w:hAnsi="Verdana" w:cs="Arial"/>
          <w:i/>
          <w:iCs/>
          <w:shd w:val="clear" w:color="auto" w:fill="FFFFFF"/>
          <w:lang w:val="es-ES"/>
        </w:rPr>
        <w:t>?”</w:t>
      </w:r>
      <w:r w:rsidRPr="00B557EB">
        <w:rPr>
          <w:rFonts w:ascii="Verdana" w:eastAsia="Century Gothic" w:hAnsi="Verdana" w:cs="Century Gothic"/>
          <w:i/>
          <w:iCs/>
          <w:lang w:val="es-ES"/>
        </w:rPr>
        <w:t>.</w:t>
      </w:r>
    </w:p>
    <w:p w14:paraId="39EC4678" w14:textId="77777777" w:rsidR="009E0AC7" w:rsidRPr="00593A5F" w:rsidRDefault="009E0AC7" w:rsidP="009E0AC7">
      <w:pPr>
        <w:pStyle w:val="Prrafodelista"/>
        <w:tabs>
          <w:tab w:val="left" w:pos="142"/>
          <w:tab w:val="left" w:pos="284"/>
        </w:tabs>
        <w:spacing w:line="276" w:lineRule="auto"/>
        <w:ind w:left="0"/>
        <w:jc w:val="both"/>
        <w:rPr>
          <w:rFonts w:ascii="Verdana" w:eastAsia="Century Gothic" w:hAnsi="Verdana" w:cs="Century Gothic"/>
          <w:b/>
          <w:bCs/>
        </w:rPr>
      </w:pPr>
    </w:p>
    <w:p w14:paraId="38582F0E" w14:textId="77777777" w:rsidR="009E0AC7" w:rsidRDefault="009E0AC7" w:rsidP="009E0AC7">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593A5F">
        <w:rPr>
          <w:rFonts w:ascii="Verdana" w:eastAsia="Calibri" w:hAnsi="Verdana" w:cs="Arial"/>
          <w:color w:val="000000"/>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2A11EE2D" w14:textId="77777777" w:rsidR="009E0AC7" w:rsidRDefault="009E0AC7" w:rsidP="009E0AC7">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 xml:space="preserve">el </w:t>
      </w:r>
      <w:r w:rsidRPr="00247BDE">
        <w:rPr>
          <w:rFonts w:ascii="Verdana" w:eastAsia="Calibri" w:hAnsi="Verdana" w:cs="Arial"/>
          <w:color w:val="7030A0"/>
          <w:lang w:val="es-ES" w:eastAsia="es-ES"/>
        </w:rPr>
        <w:t xml:space="preserve">(los)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(s)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(s)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0CEAEFC5" w14:textId="77777777" w:rsidR="009E0AC7" w:rsidRPr="00593A5F" w:rsidRDefault="009E0AC7" w:rsidP="009E0AC7">
      <w:pPr>
        <w:spacing w:after="0" w:line="276" w:lineRule="auto"/>
        <w:ind w:firstLine="709"/>
        <w:jc w:val="both"/>
        <w:rPr>
          <w:rFonts w:ascii="Verdana" w:eastAsia="Calibri" w:hAnsi="Verdana" w:cs="Arial"/>
          <w:color w:val="000000"/>
          <w:lang w:val="es-ES" w:eastAsia="es-ES"/>
        </w:rPr>
      </w:pPr>
    </w:p>
    <w:p w14:paraId="2BFD0D9E" w14:textId="77777777" w:rsidR="009E0AC7" w:rsidRPr="00593A5F" w:rsidRDefault="009E0AC7" w:rsidP="009E0AC7">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260030F4" w14:textId="77777777" w:rsidR="009E0AC7" w:rsidRPr="00593A5F" w:rsidRDefault="009E0AC7" w:rsidP="009E0AC7">
      <w:pPr>
        <w:tabs>
          <w:tab w:val="left" w:pos="426"/>
        </w:tabs>
        <w:spacing w:after="0" w:line="276" w:lineRule="auto"/>
        <w:jc w:val="both"/>
        <w:rPr>
          <w:rFonts w:ascii="Verdana" w:eastAsia="Century Gothic" w:hAnsi="Verdana" w:cs="Century Gothic"/>
          <w:lang w:val="es-ES"/>
        </w:rPr>
      </w:pPr>
    </w:p>
    <w:p w14:paraId="7062D036" w14:textId="5B807635" w:rsidR="009E0AC7" w:rsidRPr="00827FD4" w:rsidRDefault="009E0AC7" w:rsidP="009E0AC7">
      <w:pPr>
        <w:spacing w:after="0" w:line="276" w:lineRule="auto"/>
        <w:jc w:val="both"/>
        <w:rPr>
          <w:rFonts w:ascii="Verdana" w:eastAsia="Century Gothic" w:hAnsi="Verdana" w:cs="Century Gothic"/>
        </w:rPr>
      </w:pPr>
      <w:r w:rsidRPr="00827FD4">
        <w:rPr>
          <w:rFonts w:ascii="Verdana" w:eastAsia="Century Gothic" w:hAnsi="Verdana" w:cs="Century Gothic"/>
        </w:rPr>
        <w:t xml:space="preserve">De acuerdo con el contenido de su solicitud, esta Agencia resolverá </w:t>
      </w:r>
      <w:r w:rsidR="008856C7" w:rsidRPr="00827FD4">
        <w:rPr>
          <w:rFonts w:ascii="Verdana" w:eastAsia="Century Gothic" w:hAnsi="Verdana" w:cs="Century Gothic"/>
        </w:rPr>
        <w:t>el siguiente</w:t>
      </w:r>
      <w:r w:rsidRPr="00827FD4">
        <w:rPr>
          <w:rFonts w:ascii="Verdana" w:eastAsia="Century Gothic" w:hAnsi="Verdana" w:cs="Century Gothic"/>
        </w:rPr>
        <w:t xml:space="preserve"> problemas jurídico</w:t>
      </w:r>
      <w:r>
        <w:rPr>
          <w:rFonts w:ascii="Verdana" w:eastAsia="Century Gothic" w:hAnsi="Verdana" w:cs="Century Gothic"/>
        </w:rPr>
        <w:t xml:space="preserve"> </w:t>
      </w:r>
      <w:r w:rsidRPr="00827FD4">
        <w:rPr>
          <w:rFonts w:ascii="Verdana" w:eastAsia="Century Gothic" w:hAnsi="Verdana" w:cs="Century Gothic"/>
        </w:rPr>
        <w:t>: ¿</w:t>
      </w:r>
      <w:r w:rsidRPr="00827FD4">
        <w:rPr>
          <w:rFonts w:ascii="Verdana" w:eastAsia="Times New Roman" w:hAnsi="Verdana" w:cs="Times New Roman"/>
          <w:sz w:val="24"/>
          <w:szCs w:val="24"/>
          <w:lang w:eastAsia="es-CO"/>
        </w:rPr>
        <w:t>Las</w:t>
      </w:r>
      <w:r w:rsidRPr="00827FD4">
        <w:rPr>
          <w:rFonts w:ascii="Verdana" w:eastAsia="Century Gothic" w:hAnsi="Verdana" w:cs="Century Gothic"/>
        </w:rPr>
        <w:t xml:space="preserve"> Entidades Estatales  están obligadas a establecer requisito</w:t>
      </w:r>
      <w:r w:rsidR="007F16EA">
        <w:rPr>
          <w:rFonts w:ascii="Verdana" w:eastAsia="Century Gothic" w:hAnsi="Verdana" w:cs="Century Gothic"/>
        </w:rPr>
        <w:t>s</w:t>
      </w:r>
      <w:r w:rsidRPr="00827FD4">
        <w:rPr>
          <w:rFonts w:ascii="Verdana" w:eastAsia="Century Gothic" w:hAnsi="Verdana" w:cs="Century Gothic"/>
        </w:rPr>
        <w:t xml:space="preserve"> habilitante</w:t>
      </w:r>
      <w:r w:rsidR="007F16EA">
        <w:rPr>
          <w:rFonts w:ascii="Verdana" w:eastAsia="Century Gothic" w:hAnsi="Verdana" w:cs="Century Gothic"/>
        </w:rPr>
        <w:t>s</w:t>
      </w:r>
      <w:r w:rsidRPr="00827FD4">
        <w:rPr>
          <w:rFonts w:ascii="Verdana" w:eastAsia="Century Gothic" w:hAnsi="Verdana" w:cs="Century Gothic"/>
        </w:rPr>
        <w:t xml:space="preserve"> de experiencia en los Procesos de Contratación de mínima cuantía</w:t>
      </w:r>
      <w:r w:rsidR="007F16EA">
        <w:rPr>
          <w:rFonts w:ascii="Verdana" w:eastAsia="Century Gothic" w:hAnsi="Verdana" w:cs="Century Gothic"/>
        </w:rPr>
        <w:t xml:space="preserve">? </w:t>
      </w:r>
    </w:p>
    <w:p w14:paraId="19DAA413" w14:textId="77777777" w:rsidR="009E0AC7" w:rsidRPr="00593A5F" w:rsidRDefault="009E0AC7" w:rsidP="009E0AC7">
      <w:pPr>
        <w:spacing w:after="0" w:line="276" w:lineRule="auto"/>
        <w:jc w:val="both"/>
        <w:rPr>
          <w:rFonts w:ascii="Verdana" w:eastAsia="Century Gothic" w:hAnsi="Verdana" w:cs="Century Gothic"/>
        </w:rPr>
      </w:pPr>
    </w:p>
    <w:p w14:paraId="73D53B80" w14:textId="77777777" w:rsidR="009E0AC7" w:rsidRPr="00593A5F" w:rsidRDefault="009E0AC7" w:rsidP="009E0AC7">
      <w:pPr>
        <w:spacing w:after="0" w:line="276" w:lineRule="auto"/>
        <w:jc w:val="both"/>
        <w:rPr>
          <w:rFonts w:ascii="Verdana" w:eastAsia="Calibri" w:hAnsi="Verdana" w:cs="Arial"/>
          <w:color w:val="7030A0"/>
          <w:lang w:val="es-ES"/>
        </w:rPr>
      </w:pPr>
    </w:p>
    <w:p w14:paraId="56588C18" w14:textId="77777777" w:rsidR="009E0AC7" w:rsidRPr="00593A5F" w:rsidRDefault="009E0AC7" w:rsidP="009E0AC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E035275" w14:textId="77777777" w:rsidR="009E0AC7" w:rsidRPr="00593A5F" w:rsidRDefault="009E0AC7" w:rsidP="009E0AC7">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E0AC7" w:rsidRPr="00593A5F" w14:paraId="4FAEC522" w14:textId="77777777" w:rsidTr="00E520E8">
        <w:tc>
          <w:tcPr>
            <w:tcW w:w="8828" w:type="dxa"/>
            <w:shd w:val="clear" w:color="auto" w:fill="auto"/>
          </w:tcPr>
          <w:p w14:paraId="0AD68C6B" w14:textId="3FE8F8D5" w:rsidR="00CF41CA" w:rsidRDefault="007F16EA" w:rsidP="00CF41CA">
            <w:pPr>
              <w:spacing w:line="276" w:lineRule="auto"/>
              <w:jc w:val="both"/>
              <w:rPr>
                <w:rFonts w:ascii="Verdana" w:eastAsia="Calibri" w:hAnsi="Verdana" w:cs="Arial"/>
              </w:rPr>
            </w:pPr>
            <w:r>
              <w:rPr>
                <w:rFonts w:ascii="Verdana" w:eastAsia="Calibri" w:hAnsi="Verdana" w:cs="Arial"/>
              </w:rPr>
              <w:t>Frente al interrogante planteado, cuando las Entidades Estatales adelanten procesos de mínima cuantía,</w:t>
            </w:r>
            <w:r w:rsidR="009E0AC7" w:rsidRPr="00BC72AA">
              <w:rPr>
                <w:rFonts w:ascii="Verdana" w:eastAsia="Calibri" w:hAnsi="Verdana" w:cs="Arial"/>
              </w:rPr>
              <w:t xml:space="preserve"> es importante tener en cuenta que en los Procesos de Contratación de mínima cuantía la Entidad Estatal no debe solicitar certificado de RUP. La Entidad Estatal debe verificar directamente la capacidad jurídica, la experiencia y la capacidad financiera</w:t>
            </w:r>
            <w:r w:rsidR="00CF41CA">
              <w:rPr>
                <w:rFonts w:ascii="Verdana" w:eastAsia="Calibri" w:hAnsi="Verdana" w:cs="Arial"/>
              </w:rPr>
              <w:t xml:space="preserve">, teniendo en cuenta: a) las </w:t>
            </w:r>
            <w:r w:rsidR="00CF41CA" w:rsidRPr="00BC72AA">
              <w:rPr>
                <w:rFonts w:ascii="Verdana" w:eastAsia="Calibri" w:hAnsi="Verdana" w:cs="Arial"/>
              </w:rPr>
              <w:t xml:space="preserve">consecuencia del Riesgo del Proceso </w:t>
            </w:r>
            <w:r w:rsidR="00CF41CA">
              <w:rPr>
                <w:rFonts w:ascii="Verdana" w:eastAsia="Calibri" w:hAnsi="Verdana" w:cs="Arial"/>
              </w:rPr>
              <w:t>a contratar;</w:t>
            </w:r>
            <w:r w:rsidR="00CF41CA" w:rsidRPr="00BC72AA">
              <w:rPr>
                <w:rFonts w:ascii="Verdana" w:eastAsia="Calibri" w:hAnsi="Verdana" w:cs="Arial"/>
              </w:rPr>
              <w:t xml:space="preserve"> </w:t>
            </w:r>
            <w:r w:rsidR="00CF41CA">
              <w:rPr>
                <w:rFonts w:ascii="Verdana" w:eastAsia="Calibri" w:hAnsi="Verdana" w:cs="Arial"/>
              </w:rPr>
              <w:t>b)</w:t>
            </w:r>
            <w:r w:rsidR="00CF41CA" w:rsidRPr="00BC72AA">
              <w:rPr>
                <w:rFonts w:ascii="Verdana" w:eastAsia="Calibri" w:hAnsi="Verdana" w:cs="Arial"/>
              </w:rPr>
              <w:t xml:space="preserve"> las características del sector</w:t>
            </w:r>
            <w:r w:rsidR="00CF41CA">
              <w:rPr>
                <w:rFonts w:ascii="Verdana" w:eastAsia="Calibri" w:hAnsi="Verdana" w:cs="Arial"/>
              </w:rPr>
              <w:t>; c)</w:t>
            </w:r>
            <w:r w:rsidR="00CF41CA" w:rsidRPr="00BC72AA">
              <w:rPr>
                <w:rFonts w:ascii="Verdana" w:eastAsia="Calibri" w:hAnsi="Verdana" w:cs="Arial"/>
              </w:rPr>
              <w:t xml:space="preserve"> </w:t>
            </w:r>
            <w:r w:rsidR="00CF41CA">
              <w:rPr>
                <w:rFonts w:ascii="Verdana" w:eastAsia="Calibri" w:hAnsi="Verdana" w:cs="Arial"/>
              </w:rPr>
              <w:t>el</w:t>
            </w:r>
            <w:r w:rsidR="00CF41CA" w:rsidRPr="00BC72AA">
              <w:rPr>
                <w:rFonts w:ascii="Verdana" w:eastAsia="Calibri" w:hAnsi="Verdana" w:cs="Arial"/>
              </w:rPr>
              <w:t xml:space="preserve"> objeto del contrato,</w:t>
            </w:r>
            <w:r w:rsidR="00CF41CA">
              <w:rPr>
                <w:rFonts w:ascii="Verdana" w:eastAsia="Calibri" w:hAnsi="Verdana" w:cs="Arial"/>
              </w:rPr>
              <w:t xml:space="preserve"> d)</w:t>
            </w:r>
            <w:r w:rsidR="00CF41CA" w:rsidRPr="00BC72AA">
              <w:rPr>
                <w:rFonts w:ascii="Verdana" w:eastAsia="Calibri" w:hAnsi="Verdana" w:cs="Arial"/>
              </w:rPr>
              <w:t xml:space="preserve"> y la experiencia del oferente en las actividades objeto del Proceso de Contratación.</w:t>
            </w:r>
          </w:p>
          <w:p w14:paraId="007F0EE6" w14:textId="63D5A109" w:rsidR="009E0AC7" w:rsidRPr="00BC72AA" w:rsidRDefault="009E0AC7" w:rsidP="00E520E8">
            <w:pPr>
              <w:spacing w:line="276" w:lineRule="auto"/>
              <w:jc w:val="both"/>
              <w:rPr>
                <w:rFonts w:ascii="Verdana" w:eastAsia="Calibri" w:hAnsi="Verdana" w:cs="Arial"/>
              </w:rPr>
            </w:pPr>
          </w:p>
          <w:p w14:paraId="56E7BF20" w14:textId="77777777" w:rsidR="00703E0E" w:rsidRDefault="00703E0E" w:rsidP="00703E0E">
            <w:pPr>
              <w:spacing w:line="276" w:lineRule="auto"/>
              <w:jc w:val="both"/>
              <w:rPr>
                <w:rFonts w:ascii="Verdana" w:eastAsia="Calibri" w:hAnsi="Verdana" w:cs="Arial"/>
                <w:lang w:val="es-ES"/>
              </w:rPr>
            </w:pPr>
            <w:r>
              <w:rPr>
                <w:rFonts w:ascii="Verdana" w:eastAsia="Calibri" w:hAnsi="Verdana" w:cs="Arial"/>
              </w:rPr>
              <w:t xml:space="preserve">De tal manera que, en la experiencia establecida como requisito habilitante podrán evaluar dicho requisito estableciendo en el pliego de condiciones </w:t>
            </w:r>
            <w:r w:rsidRPr="00BC72AA">
              <w:rPr>
                <w:rFonts w:ascii="Verdana" w:eastAsia="Calibri" w:hAnsi="Verdana" w:cs="Arial"/>
              </w:rPr>
              <w:t xml:space="preserve"> </w:t>
            </w:r>
            <w:r w:rsidRPr="00BC72AA">
              <w:rPr>
                <w:rFonts w:ascii="Verdana" w:eastAsia="Calibri" w:hAnsi="Verdana" w:cs="Arial"/>
              </w:rPr>
              <w:lastRenderedPageBreak/>
              <w:t>copias de contratos o certificados expedidos por terceros que hayan recibido del oferente los bienes, obras o servicios objeto del Proceso de Contratación.</w:t>
            </w:r>
          </w:p>
          <w:p w14:paraId="139C10B6" w14:textId="77777777" w:rsidR="00703E0E" w:rsidRPr="00BC72AA" w:rsidRDefault="00703E0E" w:rsidP="00703E0E">
            <w:pPr>
              <w:spacing w:line="276" w:lineRule="auto"/>
              <w:jc w:val="both"/>
              <w:rPr>
                <w:rFonts w:ascii="Verdana" w:eastAsia="Calibri" w:hAnsi="Verdana" w:cs="Arial"/>
                <w:lang w:val="es-ES"/>
              </w:rPr>
            </w:pPr>
          </w:p>
          <w:p w14:paraId="256B5078" w14:textId="1C7752E5" w:rsidR="009E0AC7" w:rsidRPr="00BC72AA" w:rsidRDefault="00703E0E" w:rsidP="00703E0E">
            <w:pPr>
              <w:spacing w:line="276" w:lineRule="auto"/>
              <w:jc w:val="both"/>
              <w:rPr>
                <w:rFonts w:ascii="Verdana" w:eastAsia="Calibri" w:hAnsi="Verdana" w:cs="Arial"/>
                <w:lang w:val="es-ES"/>
              </w:rPr>
            </w:pPr>
            <w:r w:rsidRPr="00BC72AA">
              <w:rPr>
                <w:rFonts w:ascii="Verdana" w:eastAsia="Calibri" w:hAnsi="Verdana" w:cs="Arial"/>
                <w:lang w:val="es-ES"/>
              </w:rPr>
              <w:t xml:space="preserve">Por lo tanto, las </w:t>
            </w:r>
            <w:r w:rsidRPr="00BC72AA">
              <w:rPr>
                <w:rFonts w:ascii="Verdana" w:eastAsia="Calibri" w:hAnsi="Verdana" w:cs="Arial"/>
              </w:rPr>
              <w:t xml:space="preserve">entidades estatales </w:t>
            </w:r>
            <w:r>
              <w:rPr>
                <w:rFonts w:ascii="Verdana" w:eastAsia="Calibri" w:hAnsi="Verdana" w:cs="Arial"/>
              </w:rPr>
              <w:t>sí establecen</w:t>
            </w:r>
            <w:r w:rsidRPr="00BC72AA">
              <w:rPr>
                <w:rFonts w:ascii="Verdana" w:eastAsia="Calibri" w:hAnsi="Verdana" w:cs="Arial"/>
              </w:rPr>
              <w:t xml:space="preserve"> requisito</w:t>
            </w:r>
            <w:r>
              <w:rPr>
                <w:rFonts w:ascii="Verdana" w:eastAsia="Calibri" w:hAnsi="Verdana" w:cs="Arial"/>
              </w:rPr>
              <w:t>s</w:t>
            </w:r>
            <w:r w:rsidRPr="00BC72AA">
              <w:rPr>
                <w:rFonts w:ascii="Verdana" w:eastAsia="Calibri" w:hAnsi="Verdana" w:cs="Arial"/>
              </w:rPr>
              <w:t xml:space="preserve"> habilitante</w:t>
            </w:r>
            <w:r>
              <w:rPr>
                <w:rFonts w:ascii="Verdana" w:eastAsia="Calibri" w:hAnsi="Verdana" w:cs="Arial"/>
              </w:rPr>
              <w:t>s</w:t>
            </w:r>
            <w:r w:rsidRPr="00BC72AA">
              <w:rPr>
                <w:rFonts w:ascii="Verdana" w:eastAsia="Calibri" w:hAnsi="Verdana" w:cs="Arial"/>
              </w:rPr>
              <w:t xml:space="preserve"> de experiencia en los Procesos de Contratación de mínima cuantía</w:t>
            </w:r>
            <w:r>
              <w:rPr>
                <w:rFonts w:ascii="Verdana" w:eastAsia="Calibri" w:hAnsi="Verdana" w:cs="Arial"/>
              </w:rPr>
              <w:t>, contrario sensu, lo que la norma restringe en la experiencia como requisito habilitante es la exigencia de aportar RUP</w:t>
            </w:r>
            <w:r w:rsidR="00915A39">
              <w:rPr>
                <w:rStyle w:val="Refdenotaalpie"/>
                <w:rFonts w:ascii="Verdana" w:eastAsia="Calibri" w:hAnsi="Verdana" w:cs="Arial"/>
              </w:rPr>
              <w:footnoteReference w:id="2"/>
            </w:r>
            <w:r w:rsidRPr="00BC72AA">
              <w:rPr>
                <w:rFonts w:ascii="Verdana" w:eastAsia="Calibri" w:hAnsi="Verdana" w:cs="Arial"/>
              </w:rPr>
              <w:t>. Si la Entidad Estatal decide establece</w:t>
            </w:r>
            <w:r>
              <w:rPr>
                <w:rFonts w:ascii="Verdana" w:eastAsia="Calibri" w:hAnsi="Verdana" w:cs="Arial"/>
              </w:rPr>
              <w:t xml:space="preserve">r la exigencia este documento,  estaría contradiciendo las disposiciones normativas en materia de contratación. </w:t>
            </w:r>
            <w:r w:rsidRPr="00BC72AA">
              <w:rPr>
                <w:rFonts w:ascii="Verdana" w:eastAsia="Calibri" w:hAnsi="Verdana" w:cs="Arial"/>
              </w:rPr>
              <w:t xml:space="preserve"> </w:t>
            </w:r>
          </w:p>
          <w:p w14:paraId="20FAC6F1" w14:textId="42F5D5FB" w:rsidR="009E0AC7" w:rsidRPr="00593A5F" w:rsidRDefault="009E0AC7" w:rsidP="00E520E8">
            <w:pPr>
              <w:spacing w:line="276" w:lineRule="auto"/>
              <w:jc w:val="both"/>
              <w:rPr>
                <w:rFonts w:ascii="Verdana" w:eastAsia="Calibri" w:hAnsi="Verdana" w:cs="Arial"/>
                <w:color w:val="7030A0"/>
                <w:lang w:val="es-ES"/>
              </w:rPr>
            </w:pPr>
          </w:p>
        </w:tc>
      </w:tr>
    </w:tbl>
    <w:p w14:paraId="7ECD86AC" w14:textId="77777777" w:rsidR="009E0AC7" w:rsidRDefault="009E0AC7" w:rsidP="009E0AC7">
      <w:pPr>
        <w:tabs>
          <w:tab w:val="left" w:pos="142"/>
          <w:tab w:val="left" w:pos="284"/>
        </w:tabs>
        <w:spacing w:after="0" w:line="276" w:lineRule="auto"/>
        <w:jc w:val="both"/>
        <w:rPr>
          <w:rFonts w:ascii="Verdana" w:eastAsia="Century Gothic" w:hAnsi="Verdana" w:cs="Century Gothic"/>
          <w:b/>
          <w:bCs/>
          <w:lang w:val="es-ES"/>
        </w:rPr>
      </w:pPr>
    </w:p>
    <w:p w14:paraId="2DB46A6C" w14:textId="77777777" w:rsidR="009E0AC7" w:rsidRDefault="009E0AC7" w:rsidP="009E0AC7">
      <w:pPr>
        <w:tabs>
          <w:tab w:val="left" w:pos="142"/>
          <w:tab w:val="left" w:pos="284"/>
        </w:tabs>
        <w:spacing w:after="0" w:line="276" w:lineRule="auto"/>
        <w:jc w:val="both"/>
        <w:rPr>
          <w:rFonts w:ascii="Verdana" w:eastAsia="Century Gothic" w:hAnsi="Verdana" w:cs="Century Gothic"/>
          <w:b/>
          <w:bCs/>
          <w:lang w:val="es-ES"/>
        </w:rPr>
      </w:pPr>
    </w:p>
    <w:p w14:paraId="7D638779" w14:textId="77777777" w:rsidR="009E0AC7" w:rsidRDefault="009E0AC7" w:rsidP="009E0AC7">
      <w:pPr>
        <w:tabs>
          <w:tab w:val="left" w:pos="142"/>
          <w:tab w:val="left" w:pos="284"/>
        </w:tabs>
        <w:spacing w:after="0" w:line="276" w:lineRule="auto"/>
        <w:jc w:val="both"/>
        <w:rPr>
          <w:rFonts w:ascii="Verdana" w:eastAsia="Century Gothic" w:hAnsi="Verdana" w:cs="Century Gothic"/>
          <w:b/>
          <w:bCs/>
          <w:lang w:val="es-ES"/>
        </w:rPr>
      </w:pPr>
    </w:p>
    <w:p w14:paraId="6E512FC8" w14:textId="77777777" w:rsidR="009E0AC7" w:rsidRPr="00593A5F" w:rsidRDefault="009E0AC7" w:rsidP="009E0AC7">
      <w:pPr>
        <w:tabs>
          <w:tab w:val="left" w:pos="142"/>
          <w:tab w:val="left" w:pos="284"/>
        </w:tabs>
        <w:spacing w:after="0" w:line="276" w:lineRule="auto"/>
        <w:jc w:val="both"/>
        <w:rPr>
          <w:rFonts w:ascii="Verdana" w:eastAsia="Century Gothic" w:hAnsi="Verdana" w:cs="Century Gothic"/>
          <w:b/>
          <w:bCs/>
          <w:lang w:val="es-ES"/>
        </w:rPr>
      </w:pPr>
    </w:p>
    <w:p w14:paraId="3BA2EB31" w14:textId="77777777" w:rsidR="009E0AC7" w:rsidRPr="00593A5F" w:rsidRDefault="009E0AC7" w:rsidP="009E0AC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7425810D" w14:textId="77777777" w:rsidR="009E0AC7" w:rsidRPr="00593A5F" w:rsidRDefault="009E0AC7" w:rsidP="009E0AC7">
      <w:pPr>
        <w:spacing w:after="0" w:line="276" w:lineRule="auto"/>
        <w:jc w:val="both"/>
        <w:rPr>
          <w:rFonts w:ascii="Verdana" w:eastAsia="Calibri" w:hAnsi="Verdana" w:cs="Arial"/>
          <w:color w:val="7030A0"/>
          <w:lang w:val="es-ES"/>
        </w:rPr>
      </w:pPr>
    </w:p>
    <w:p w14:paraId="5DD4D026" w14:textId="77777777" w:rsidR="009E0AC7" w:rsidRPr="00E81F84" w:rsidRDefault="009E0AC7" w:rsidP="009E0AC7">
      <w:pPr>
        <w:spacing w:after="0" w:line="276" w:lineRule="auto"/>
        <w:jc w:val="both"/>
        <w:rPr>
          <w:rFonts w:ascii="Verdana" w:eastAsia="Calibri" w:hAnsi="Verdana" w:cs="Arial"/>
          <w:lang w:val="es-ES"/>
        </w:rPr>
      </w:pPr>
      <w:r w:rsidRPr="00E81F84">
        <w:rPr>
          <w:rFonts w:ascii="Verdana" w:eastAsia="Calibri" w:hAnsi="Verdana" w:cs="Arial"/>
          <w:lang w:val="es-ES"/>
        </w:rPr>
        <w:t xml:space="preserve">Lo anterior se sustenta en las siguientes consideraciones: </w:t>
      </w:r>
    </w:p>
    <w:p w14:paraId="48422888" w14:textId="77777777" w:rsidR="009E0AC7" w:rsidRPr="00E81F84" w:rsidRDefault="009E0AC7" w:rsidP="009E0AC7">
      <w:pPr>
        <w:spacing w:after="0" w:line="276" w:lineRule="auto"/>
        <w:jc w:val="both"/>
        <w:rPr>
          <w:rFonts w:ascii="Verdana" w:eastAsia="Calibri" w:hAnsi="Verdana" w:cs="Arial"/>
          <w:lang w:val="es-ES"/>
        </w:rPr>
      </w:pPr>
    </w:p>
    <w:p w14:paraId="2D19C45F" w14:textId="77777777" w:rsidR="009E0AC7" w:rsidRPr="00E81F84" w:rsidRDefault="009E0AC7" w:rsidP="009E0AC7">
      <w:pPr>
        <w:spacing w:after="0" w:line="276" w:lineRule="auto"/>
        <w:jc w:val="both"/>
        <w:rPr>
          <w:rFonts w:ascii="Verdana" w:eastAsia="Calibri" w:hAnsi="Verdana" w:cs="Arial"/>
          <w:lang w:val="es-ES"/>
        </w:rPr>
      </w:pPr>
    </w:p>
    <w:p w14:paraId="366050F1" w14:textId="77777777" w:rsidR="00D47091" w:rsidRPr="00E81F84" w:rsidRDefault="00D47091" w:rsidP="00D47091">
      <w:pPr>
        <w:pStyle w:val="Prrafodelista"/>
        <w:numPr>
          <w:ilvl w:val="0"/>
          <w:numId w:val="17"/>
        </w:numPr>
        <w:spacing w:after="120" w:line="276" w:lineRule="auto"/>
        <w:jc w:val="both"/>
        <w:rPr>
          <w:rFonts w:ascii="Verdana" w:eastAsia="Calibri" w:hAnsi="Verdana" w:cs="Arial"/>
          <w:lang w:eastAsia="es-MX"/>
        </w:rPr>
      </w:pPr>
      <w:bookmarkStart w:id="1" w:name="_Hlk99546562"/>
      <w:r w:rsidRPr="00E81F84">
        <w:rPr>
          <w:rFonts w:ascii="Verdana" w:eastAsia="Calibri" w:hAnsi="Verdana" w:cs="Arial"/>
          <w:lang w:eastAsia="es-MX"/>
        </w:rPr>
        <w:t xml:space="preserve">Frente al objeto materia de su pregunta, </w:t>
      </w:r>
      <w:r w:rsidRPr="00E81F84">
        <w:rPr>
          <w:rFonts w:ascii="Verdana" w:eastAsia="Calibri" w:hAnsi="Verdana" w:cs="Arial"/>
          <w:lang w:val="es-CO" w:eastAsia="es-MX"/>
        </w:rPr>
        <w:t xml:space="preserve">la mínima cuantía es una modalidad de selección en función de la cual la Entidad Estatal realiza una convocatoria con el fin de recibir bienes, obras o servicios cuyo valor no excede el diez por ciento (10%) de la menor cuantía. Esta tipología contractual tiene fundamento en el artículo 94 de la Ley 1474 de 2011 –que adicionó el numeral 5 al artículo 2 de la Ley 1150 de 20072–, estableciendo que el factor determinante para adelantar tal procedimiento </w:t>
      </w:r>
      <w:r w:rsidRPr="00E81F84">
        <w:rPr>
          <w:rFonts w:ascii="Verdana" w:eastAsia="Calibri" w:hAnsi="Verdana" w:cs="Arial"/>
          <w:lang w:eastAsia="es-MX"/>
        </w:rPr>
        <w:lastRenderedPageBreak/>
        <w:t>es la cuantía, calculada como presupuesto oficial a partir del estudio del sector, indistintamente de su objeto.</w:t>
      </w:r>
      <w:r w:rsidRPr="00E81F84">
        <w:rPr>
          <w:rStyle w:val="Refdenotaalpie"/>
          <w:rFonts w:ascii="Verdana" w:eastAsia="Calibri" w:hAnsi="Verdana" w:cs="Arial"/>
          <w:lang w:eastAsia="es-MX"/>
        </w:rPr>
        <w:footnoteReference w:id="3"/>
      </w:r>
    </w:p>
    <w:p w14:paraId="280E0C7D" w14:textId="77777777" w:rsidR="00D47091" w:rsidRPr="00E81F84" w:rsidRDefault="00D47091" w:rsidP="00D47091">
      <w:pPr>
        <w:pStyle w:val="NormalWeb"/>
        <w:numPr>
          <w:ilvl w:val="0"/>
          <w:numId w:val="17"/>
        </w:numPr>
        <w:jc w:val="both"/>
        <w:rPr>
          <w:rFonts w:ascii="Verdana" w:hAnsi="Verdana"/>
          <w:color w:val="000000" w:themeColor="text1"/>
        </w:rPr>
      </w:pPr>
      <w:r w:rsidRPr="00E81F84">
        <w:rPr>
          <w:rFonts w:ascii="Verdana" w:hAnsi="Verdana"/>
          <w:color w:val="000000" w:themeColor="text1"/>
          <w:sz w:val="22"/>
          <w:szCs w:val="22"/>
        </w:rPr>
        <w:t>En otras palabras, la mínima cuantía es un procedimiento de selección “especial”,</w:t>
      </w:r>
      <w:r w:rsidRPr="00E81F84">
        <w:rPr>
          <w:rStyle w:val="Refdenotaalpie"/>
          <w:rFonts w:ascii="Verdana" w:hAnsi="Verdana"/>
          <w:color w:val="000000" w:themeColor="text1"/>
          <w:sz w:val="22"/>
          <w:szCs w:val="22"/>
        </w:rPr>
        <w:footnoteReference w:id="4"/>
      </w:r>
      <w:r w:rsidRPr="00E81F84">
        <w:rPr>
          <w:rFonts w:ascii="Verdana" w:hAnsi="Verdana"/>
          <w:color w:val="000000" w:themeColor="text1"/>
          <w:sz w:val="22"/>
          <w:szCs w:val="22"/>
        </w:rPr>
        <w:t xml:space="preserve"> porque deriva en una excepción a la regla general constituida por la licitación pública. Ciertamente, si bien ambas modalidades implican un llamado general a presentar ofertas, por parte de la Entidad Estatal interesada en contratar, la mínima cuantía es distinta a la licitación, cuando menos, en relación con su conducencia y su procedimiento: lo primero, debido a que solo procede por razón de una cuantía específica</w:t>
      </w:r>
      <w:r w:rsidRPr="00E81F84">
        <w:rPr>
          <w:rFonts w:ascii="Verdana" w:hAnsi="Verdana"/>
          <w:color w:val="000000" w:themeColor="text1"/>
          <w:position w:val="10"/>
          <w:sz w:val="14"/>
          <w:szCs w:val="14"/>
        </w:rPr>
        <w:t xml:space="preserve"> </w:t>
      </w:r>
      <w:r w:rsidRPr="00E81F84">
        <w:rPr>
          <w:rFonts w:ascii="Verdana" w:hAnsi="Verdana"/>
          <w:color w:val="000000" w:themeColor="text1"/>
          <w:sz w:val="22"/>
          <w:szCs w:val="22"/>
        </w:rPr>
        <w:t xml:space="preserve">y lo segundo, porque sus requisitos, etapas y términos son especiales. </w:t>
      </w:r>
    </w:p>
    <w:p w14:paraId="4DC0A0D7" w14:textId="77777777" w:rsidR="00D92678" w:rsidRPr="00E81F84" w:rsidRDefault="00D92678" w:rsidP="00D92678">
      <w:pPr>
        <w:pStyle w:val="NormalWeb"/>
        <w:numPr>
          <w:ilvl w:val="0"/>
          <w:numId w:val="17"/>
        </w:numPr>
        <w:jc w:val="both"/>
        <w:rPr>
          <w:rFonts w:ascii="Verdana" w:hAnsi="Verdana"/>
          <w:color w:val="000000" w:themeColor="text1"/>
          <w:sz w:val="22"/>
          <w:szCs w:val="22"/>
        </w:rPr>
      </w:pPr>
      <w:r w:rsidRPr="00E81F84">
        <w:rPr>
          <w:rFonts w:ascii="Verdana" w:hAnsi="Verdana"/>
          <w:color w:val="000000" w:themeColor="text1"/>
          <w:sz w:val="22"/>
          <w:szCs w:val="22"/>
        </w:rPr>
        <w:t xml:space="preserve">Dado que esta modalidad de selección está diseñada para obras, bienes y servicios de cuantías pequeñas frente al presupuesto de cada Entidad Estatal, la Ley 1150 de 2007 y el Decreto 1082 de 2015 han previsto las reglas frente a su procedimiento: </w:t>
      </w:r>
    </w:p>
    <w:p w14:paraId="71E723DB" w14:textId="77777777" w:rsidR="00D92678" w:rsidRPr="00E520E8" w:rsidRDefault="00D92678" w:rsidP="00D92678">
      <w:pPr>
        <w:pStyle w:val="NormalWeb"/>
        <w:ind w:left="1418"/>
        <w:jc w:val="both"/>
        <w:rPr>
          <w:rFonts w:ascii="Verdana" w:hAnsi="Verdana"/>
          <w:color w:val="000000" w:themeColor="text1"/>
          <w:sz w:val="20"/>
          <w:szCs w:val="20"/>
        </w:rPr>
      </w:pPr>
      <w:r w:rsidRPr="00E520E8">
        <w:rPr>
          <w:rFonts w:ascii="Verdana" w:hAnsi="Verdana"/>
          <w:color w:val="000000" w:themeColor="text1"/>
          <w:sz w:val="20"/>
          <w:szCs w:val="20"/>
        </w:rPr>
        <w:t>“</w:t>
      </w:r>
      <w:bookmarkStart w:id="2" w:name="2.2.1.2.1.5.2.1"/>
      <w:bookmarkEnd w:id="2"/>
      <w:r w:rsidRPr="00E520E8">
        <w:rPr>
          <w:rFonts w:ascii="Verdana" w:hAnsi="Verdana"/>
          <w:color w:val="000000" w:themeColor="text1"/>
          <w:sz w:val="20"/>
          <w:szCs w:val="20"/>
        </w:rPr>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el cumplimiento de las condiciones técnicas exigidas, incluyendo las obligaciones de las partes del futuro contrato.</w:t>
      </w:r>
    </w:p>
    <w:p w14:paraId="4B577AE6" w14:textId="77777777" w:rsidR="00D92678" w:rsidRPr="00E520E8" w:rsidRDefault="00D92678" w:rsidP="00D92678">
      <w:pPr>
        <w:pStyle w:val="NormalWeb"/>
        <w:ind w:left="1418"/>
        <w:jc w:val="both"/>
        <w:rPr>
          <w:rFonts w:ascii="Verdana" w:hAnsi="Verdana"/>
          <w:color w:val="000000" w:themeColor="text1"/>
          <w:sz w:val="20"/>
          <w:szCs w:val="20"/>
        </w:rPr>
      </w:pPr>
      <w:r w:rsidRPr="00E520E8">
        <w:rPr>
          <w:rFonts w:ascii="Verdana" w:hAnsi="Verdana"/>
          <w:color w:val="000000" w:themeColor="text1"/>
          <w:sz w:val="20"/>
          <w:szCs w:val="20"/>
        </w:rPr>
        <w:t>2. La Entidad Estatal podrá exigir una capacidad financiera mínima cuando no hace el pago contra entrega a satisfacción de los bienes, obras o servicios. Si la Entidad Estatal exige capacidad financiera debe indicar cómo hará la verificación correspondiente en la invitación.</w:t>
      </w:r>
    </w:p>
    <w:p w14:paraId="7612AA95" w14:textId="77777777" w:rsidR="00D92678" w:rsidRPr="00E520E8" w:rsidRDefault="00D92678" w:rsidP="00D92678">
      <w:pPr>
        <w:pStyle w:val="NormalWeb"/>
        <w:ind w:left="1418"/>
        <w:jc w:val="both"/>
        <w:rPr>
          <w:rFonts w:ascii="Verdana" w:hAnsi="Verdana"/>
          <w:color w:val="000000" w:themeColor="text1"/>
          <w:sz w:val="20"/>
          <w:szCs w:val="20"/>
        </w:rPr>
      </w:pPr>
      <w:r w:rsidRPr="00E520E8">
        <w:rPr>
          <w:rFonts w:ascii="Verdana" w:hAnsi="Verdana"/>
          <w:color w:val="000000" w:themeColor="text1"/>
          <w:sz w:val="20"/>
          <w:szCs w:val="20"/>
        </w:rPr>
        <w:t>3. La invitación se publicará por un término no inferior a un (1) día hábil para que los interesados se informen de su contenido y formulen observaciones o comentarios, los cuales serán contestados por la Entidad Estatal antes del inicio del plazo para presentar ofertas. De conformidad con el parágrafo del presente artículo, dentro del mismo término para formular observaciones se podrán presentar las solicitudes para limitar la convocatoria a Mipyme colombianas.</w:t>
      </w:r>
    </w:p>
    <w:p w14:paraId="45271EF3" w14:textId="77777777" w:rsidR="00D92678" w:rsidRPr="00E520E8" w:rsidRDefault="00D92678" w:rsidP="00D92678">
      <w:pPr>
        <w:pStyle w:val="NormalWeb"/>
        <w:ind w:left="1418"/>
        <w:jc w:val="both"/>
        <w:rPr>
          <w:rFonts w:ascii="Verdana" w:hAnsi="Verdana"/>
          <w:color w:val="000000" w:themeColor="text1"/>
          <w:sz w:val="20"/>
          <w:szCs w:val="20"/>
        </w:rPr>
      </w:pPr>
      <w:r w:rsidRPr="00E520E8">
        <w:rPr>
          <w:rFonts w:ascii="Verdana" w:hAnsi="Verdana"/>
          <w:color w:val="000000" w:themeColor="text1"/>
          <w:sz w:val="20"/>
          <w:szCs w:val="20"/>
        </w:rPr>
        <w:t xml:space="preserve">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w:t>
      </w:r>
      <w:r w:rsidRPr="00E520E8">
        <w:rPr>
          <w:rFonts w:ascii="Verdana" w:hAnsi="Verdana"/>
          <w:color w:val="000000" w:themeColor="text1"/>
          <w:sz w:val="20"/>
          <w:szCs w:val="20"/>
        </w:rPr>
        <w:lastRenderedPageBreak/>
        <w:t>trata el numeral anterior. ii)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iii) El momento en que publicará un aviso en el SECOP precisando si el proceso efectivamente se limitó a Mipyme o si podrá participar cualquier otro interesado. iv) Finalmente, se dispondrá un término adicional dentro del cual los proponentes podrán presentar sus ofertas, el cual será de mínimo un (1) día hábil luego de publicado el aviso en que se informe si el proceso se limita o no a Mipyme.</w:t>
      </w:r>
    </w:p>
    <w:p w14:paraId="08DB1DD5" w14:textId="77777777" w:rsidR="00D92678" w:rsidRPr="00E520E8" w:rsidRDefault="00D92678" w:rsidP="00D92678">
      <w:pPr>
        <w:pStyle w:val="NormalWeb"/>
        <w:ind w:left="1418"/>
        <w:jc w:val="both"/>
        <w:rPr>
          <w:rFonts w:ascii="Verdana" w:hAnsi="Verdana"/>
          <w:color w:val="000000" w:themeColor="text1"/>
          <w:sz w:val="20"/>
          <w:szCs w:val="20"/>
        </w:rPr>
      </w:pPr>
      <w:r w:rsidRPr="00E520E8">
        <w:rPr>
          <w:rFonts w:ascii="Verdana" w:hAnsi="Verdana"/>
          <w:color w:val="000000" w:themeColor="text1"/>
          <w:sz w:val="20"/>
          <w:szCs w:val="20"/>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w:t>
      </w:r>
      <w:r w:rsidRPr="00E520E8">
        <w:rPr>
          <w:rStyle w:val="apple-converted-space"/>
          <w:rFonts w:ascii="Verdana" w:hAnsi="Verdana"/>
          <w:color w:val="000000" w:themeColor="text1"/>
          <w:sz w:val="20"/>
          <w:szCs w:val="20"/>
        </w:rPr>
        <w:t> </w:t>
      </w:r>
      <w:hyperlink r:id="rId11" w:anchor="5" w:history="1">
        <w:r w:rsidRPr="00E520E8">
          <w:rPr>
            <w:rStyle w:val="Hipervnculo"/>
            <w:rFonts w:ascii="Verdana" w:hAnsi="Verdana"/>
            <w:color w:val="000000" w:themeColor="text1"/>
            <w:sz w:val="20"/>
            <w:szCs w:val="20"/>
          </w:rPr>
          <w:t>5</w:t>
        </w:r>
        <w:r w:rsidRPr="00E520E8">
          <w:rPr>
            <w:rStyle w:val="apple-converted-space"/>
            <w:rFonts w:ascii="Verdana" w:hAnsi="Verdana"/>
            <w:color w:val="000000" w:themeColor="text1"/>
            <w:sz w:val="20"/>
            <w:szCs w:val="20"/>
          </w:rPr>
          <w:t> </w:t>
        </w:r>
      </w:hyperlink>
      <w:r w:rsidRPr="00E520E8">
        <w:rPr>
          <w:rFonts w:ascii="Verdana" w:hAnsi="Verdana"/>
          <w:color w:val="000000" w:themeColor="text1"/>
          <w:sz w:val="20"/>
          <w:szCs w:val="20"/>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p>
    <w:p w14:paraId="591427C7" w14:textId="77777777" w:rsidR="00D92678" w:rsidRPr="00E520E8" w:rsidRDefault="00D92678" w:rsidP="00D92678">
      <w:pPr>
        <w:pStyle w:val="NormalWeb"/>
        <w:ind w:left="1418"/>
        <w:jc w:val="both"/>
        <w:rPr>
          <w:rFonts w:ascii="Verdana" w:hAnsi="Verdana"/>
          <w:color w:val="000000" w:themeColor="text1"/>
          <w:sz w:val="20"/>
          <w:szCs w:val="20"/>
        </w:rPr>
      </w:pPr>
      <w:r w:rsidRPr="00E520E8">
        <w:rPr>
          <w:rFonts w:ascii="Verdana" w:hAnsi="Verdana"/>
          <w:color w:val="000000" w:themeColor="text1"/>
          <w:sz w:val="20"/>
          <w:szCs w:val="20"/>
        </w:rPr>
        <w:t>6. La Entidad Estatal debe publicar el informe de evaluación durante mínimo un (1) día hábil, para que durante este término los oferentes presenten las observaciones que deberán ser respondidas por la Entidad Estatal antes de realizar la aceptación de la oferta seleccionada.</w:t>
      </w:r>
    </w:p>
    <w:p w14:paraId="7546EE5B" w14:textId="77777777" w:rsidR="00D92678" w:rsidRPr="00E520E8" w:rsidRDefault="00D92678" w:rsidP="00D92678">
      <w:pPr>
        <w:pStyle w:val="NormalWeb"/>
        <w:ind w:left="1418"/>
        <w:jc w:val="both"/>
        <w:rPr>
          <w:rFonts w:ascii="Verdana" w:hAnsi="Verdana"/>
          <w:color w:val="000000" w:themeColor="text1"/>
          <w:sz w:val="20"/>
          <w:szCs w:val="20"/>
        </w:rPr>
      </w:pPr>
      <w:r w:rsidRPr="00E520E8">
        <w:rPr>
          <w:rFonts w:ascii="Verdana" w:hAnsi="Verdana"/>
          <w:color w:val="000000" w:themeColor="text1"/>
          <w:sz w:val="20"/>
          <w:szCs w:val="20"/>
        </w:rPr>
        <w:t>7. La Entidad Estatal debe aceptar la oferta de menor precio, siempre que cumpla con las condiciones establecidas en la invitación a participar en procesos de mínima cuantía. En la aceptación de la oferta, la Entidad Estatal debe informar al contratista el nombre del supervisor o interventor del contrato.</w:t>
      </w:r>
    </w:p>
    <w:p w14:paraId="3D331CEF" w14:textId="77777777" w:rsidR="00D92678" w:rsidRPr="00E520E8" w:rsidRDefault="00D92678" w:rsidP="00D92678">
      <w:pPr>
        <w:pStyle w:val="NormalWeb"/>
        <w:ind w:left="1418"/>
        <w:jc w:val="both"/>
        <w:rPr>
          <w:rFonts w:ascii="Verdana" w:hAnsi="Verdana"/>
          <w:color w:val="000000" w:themeColor="text1"/>
          <w:sz w:val="20"/>
          <w:szCs w:val="20"/>
        </w:rPr>
      </w:pPr>
      <w:r w:rsidRPr="00E520E8">
        <w:rPr>
          <w:rFonts w:ascii="Verdana" w:hAnsi="Verdana"/>
          <w:color w:val="000000" w:themeColor="text1"/>
          <w:sz w:val="20"/>
          <w:szCs w:val="20"/>
        </w:rPr>
        <w:t>8. En caso de empate, la Entidad Estatal aplicará los criterios de que trata el artículo</w:t>
      </w:r>
      <w:r w:rsidRPr="00E520E8">
        <w:rPr>
          <w:rStyle w:val="apple-converted-space"/>
          <w:rFonts w:ascii="Verdana" w:hAnsi="Verdana"/>
          <w:color w:val="000000" w:themeColor="text1"/>
          <w:sz w:val="20"/>
          <w:szCs w:val="20"/>
        </w:rPr>
        <w:t> </w:t>
      </w:r>
      <w:hyperlink r:id="rId12" w:anchor="35" w:history="1">
        <w:r w:rsidRPr="00E520E8">
          <w:rPr>
            <w:rStyle w:val="Hipervnculo"/>
            <w:rFonts w:ascii="Verdana" w:hAnsi="Verdana"/>
            <w:color w:val="000000" w:themeColor="text1"/>
            <w:sz w:val="20"/>
            <w:szCs w:val="20"/>
          </w:rPr>
          <w:t>35</w:t>
        </w:r>
        <w:r w:rsidRPr="00E520E8">
          <w:rPr>
            <w:rStyle w:val="apple-converted-space"/>
            <w:rFonts w:ascii="Verdana" w:hAnsi="Verdana"/>
            <w:color w:val="000000" w:themeColor="text1"/>
            <w:sz w:val="20"/>
            <w:szCs w:val="20"/>
          </w:rPr>
          <w:t> </w:t>
        </w:r>
      </w:hyperlink>
      <w:r w:rsidRPr="00E520E8">
        <w:rPr>
          <w:rFonts w:ascii="Verdana" w:hAnsi="Verdana"/>
          <w:color w:val="000000" w:themeColor="text1"/>
          <w:sz w:val="20"/>
          <w:szCs w:val="20"/>
        </w:rPr>
        <w:t>de la Ley 2069 de 2020, conforme a los medíos de acreditación del artículo 2.2.1.2.4.2.17. del presente Decreto o las normas que los modifiquen, adicionen o sustituyan.</w:t>
      </w:r>
    </w:p>
    <w:p w14:paraId="6CE9CAAC" w14:textId="77777777" w:rsidR="00D92678" w:rsidRPr="00E520E8" w:rsidRDefault="00D92678" w:rsidP="00D92678">
      <w:pPr>
        <w:pStyle w:val="NormalWeb"/>
        <w:ind w:left="1418"/>
        <w:jc w:val="both"/>
        <w:rPr>
          <w:rFonts w:ascii="Verdana" w:hAnsi="Verdana"/>
          <w:color w:val="000000" w:themeColor="text1"/>
          <w:sz w:val="20"/>
          <w:szCs w:val="20"/>
        </w:rPr>
      </w:pPr>
      <w:r w:rsidRPr="00E520E8">
        <w:rPr>
          <w:rFonts w:ascii="Verdana" w:hAnsi="Verdana"/>
          <w:color w:val="000000" w:themeColor="text1"/>
          <w:sz w:val="20"/>
          <w:szCs w:val="20"/>
        </w:rPr>
        <w:t>9. La oferta y su aceptación constituyen el contrato estatal.</w:t>
      </w:r>
      <w:r w:rsidRPr="00E520E8">
        <w:rPr>
          <w:rStyle w:val="Refdenotaalpie"/>
          <w:rFonts w:ascii="Verdana" w:hAnsi="Verdana"/>
          <w:color w:val="000000" w:themeColor="text1"/>
          <w:sz w:val="20"/>
          <w:szCs w:val="20"/>
        </w:rPr>
        <w:footnoteReference w:id="5"/>
      </w:r>
    </w:p>
    <w:p w14:paraId="60111E1F" w14:textId="77777777" w:rsidR="00D92678" w:rsidRPr="00E81F84" w:rsidRDefault="00D92678" w:rsidP="00D92678">
      <w:pPr>
        <w:pStyle w:val="NormalWeb"/>
        <w:numPr>
          <w:ilvl w:val="0"/>
          <w:numId w:val="17"/>
        </w:numPr>
        <w:jc w:val="both"/>
        <w:rPr>
          <w:rFonts w:ascii="Verdana" w:hAnsi="Verdana"/>
          <w:color w:val="000000" w:themeColor="text1"/>
          <w:sz w:val="22"/>
          <w:szCs w:val="22"/>
        </w:rPr>
      </w:pPr>
      <w:r w:rsidRPr="00E81F84">
        <w:rPr>
          <w:rFonts w:ascii="Verdana" w:hAnsi="Verdana"/>
          <w:color w:val="000000" w:themeColor="text1"/>
          <w:sz w:val="22"/>
          <w:szCs w:val="22"/>
        </w:rPr>
        <w:lastRenderedPageBreak/>
        <w:t xml:space="preserve">Como se puede observar en el numeral 7 del artículo </w:t>
      </w:r>
      <w:r w:rsidRPr="00E520E8">
        <w:rPr>
          <w:rStyle w:val="Textoennegrita"/>
          <w:rFonts w:ascii="Verdana" w:hAnsi="Verdana"/>
          <w:b w:val="0"/>
          <w:bCs w:val="0"/>
          <w:color w:val="000000" w:themeColor="text1"/>
          <w:sz w:val="22"/>
          <w:szCs w:val="22"/>
        </w:rPr>
        <w:t>2.2.1.2.1.5.2 del Decreto 1082 de 2015</w:t>
      </w:r>
      <w:r w:rsidRPr="00E81F84">
        <w:rPr>
          <w:rFonts w:ascii="Verdana" w:hAnsi="Verdana"/>
          <w:color w:val="000000" w:themeColor="text1"/>
          <w:sz w:val="22"/>
          <w:szCs w:val="22"/>
        </w:rPr>
        <w:t xml:space="preserve">, el precio es el factor de selección del proponente. Es decir, la Entidad Estatal debe adjudicar el Proceso de Contratación al oferente que cumpla con todas las condiciones exigidas por la Entidad Estatal en los Documentos del Proceso (estudios previos e invitación a participar), y que ofrezca el menor valor. En ese sentido, no hay lugar a puntajes para evaluar las ofertas sobre las características del objeto a contratar, su calidad o condiciones. </w:t>
      </w:r>
    </w:p>
    <w:p w14:paraId="0BBD6BFF" w14:textId="77777777" w:rsidR="00D92678" w:rsidRPr="00E81F84" w:rsidRDefault="00D92678" w:rsidP="00D92678">
      <w:pPr>
        <w:pStyle w:val="NormalWeb"/>
        <w:numPr>
          <w:ilvl w:val="0"/>
          <w:numId w:val="17"/>
        </w:numPr>
        <w:jc w:val="both"/>
        <w:rPr>
          <w:rFonts w:ascii="Verdana" w:hAnsi="Verdana"/>
          <w:color w:val="000000" w:themeColor="text1"/>
          <w:sz w:val="22"/>
          <w:szCs w:val="22"/>
        </w:rPr>
      </w:pPr>
      <w:r w:rsidRPr="00E81F84">
        <w:rPr>
          <w:rFonts w:ascii="Verdana" w:hAnsi="Verdana"/>
          <w:color w:val="000000" w:themeColor="text1"/>
          <w:sz w:val="22"/>
          <w:szCs w:val="22"/>
        </w:rPr>
        <w:t xml:space="preserve">De tal manera que, la Entidad Estatal debe revisar las ofertas económicas y verificar que la de menor precio cumple con las condiciones de la invitación. Si esta no cumple con las condiciones de la invitación, la Entidad Estatal debe verificar el cumplimento de los requisitos de la invitación de la oferta con el segundo mejor precio, y así sucesivamente. </w:t>
      </w:r>
      <w:r w:rsidRPr="00E81F84">
        <w:rPr>
          <w:rStyle w:val="Refdenotaalpie"/>
          <w:rFonts w:ascii="Verdana" w:hAnsi="Verdana"/>
          <w:color w:val="000000" w:themeColor="text1"/>
          <w:sz w:val="22"/>
          <w:szCs w:val="22"/>
        </w:rPr>
        <w:footnoteReference w:id="6"/>
      </w:r>
    </w:p>
    <w:p w14:paraId="7CE4DC37" w14:textId="77777777" w:rsidR="00D92678" w:rsidRPr="00E81F84" w:rsidRDefault="00D92678" w:rsidP="00D92678">
      <w:pPr>
        <w:pStyle w:val="Prrafodelista"/>
        <w:numPr>
          <w:ilvl w:val="0"/>
          <w:numId w:val="17"/>
        </w:numPr>
        <w:spacing w:after="0" w:line="276" w:lineRule="auto"/>
        <w:contextualSpacing w:val="0"/>
        <w:jc w:val="both"/>
        <w:rPr>
          <w:rFonts w:ascii="Verdana" w:eastAsia="Arial" w:hAnsi="Verdana" w:cs="Arial"/>
          <w:color w:val="000000" w:themeColor="text1"/>
        </w:rPr>
      </w:pPr>
      <w:r w:rsidRPr="00E81F84">
        <w:rPr>
          <w:rFonts w:ascii="Verdana" w:eastAsia="Calibri" w:hAnsi="Verdana" w:cs="Arial"/>
          <w:color w:val="000000" w:themeColor="text1"/>
        </w:rPr>
        <w:t>Ahora bien, el</w:t>
      </w:r>
      <w:r w:rsidRPr="00E81F84">
        <w:rPr>
          <w:rFonts w:ascii="Verdana" w:eastAsia="Arial" w:hAnsi="Verdana" w:cs="Arial"/>
          <w:color w:val="000000" w:themeColor="text1"/>
        </w:rPr>
        <w:t xml:space="preserve"> artículo 5 de la Ley 1150 de 2007</w:t>
      </w:r>
      <w:r w:rsidRPr="00E81F84">
        <w:rPr>
          <w:rFonts w:ascii="Verdana" w:eastAsia="Calibri" w:hAnsi="Verdana"/>
          <w:color w:val="000000" w:themeColor="text1"/>
          <w:vertAlign w:val="superscript"/>
        </w:rPr>
        <w:footnoteReference w:id="7"/>
      </w:r>
      <w:r w:rsidRPr="00E81F84">
        <w:rPr>
          <w:rFonts w:ascii="Verdana" w:eastAsia="Arial" w:hAnsi="Verdana" w:cs="Arial"/>
          <w:color w:val="000000" w:themeColor="text1"/>
        </w:rPr>
        <w:t xml:space="preserve"> dispone que la capacidad jurídica y las condiciones de experiencia, capacidad financiera y organización de los proponentes serán objeto de verificación por parte de las Entidades Estatales como requisitos habilitantes para participar en los procesos de selección. </w:t>
      </w:r>
    </w:p>
    <w:p w14:paraId="72E12E3A" w14:textId="77777777" w:rsidR="00D92678" w:rsidRPr="00E81F84" w:rsidRDefault="00D92678" w:rsidP="00D92678">
      <w:pPr>
        <w:pStyle w:val="Prrafodelista"/>
        <w:spacing w:after="0" w:line="276" w:lineRule="auto"/>
        <w:ind w:left="360"/>
        <w:contextualSpacing w:val="0"/>
        <w:jc w:val="both"/>
        <w:rPr>
          <w:rFonts w:ascii="Verdana" w:eastAsia="Arial" w:hAnsi="Verdana" w:cs="Arial"/>
          <w:color w:val="000000" w:themeColor="text1"/>
        </w:rPr>
      </w:pPr>
    </w:p>
    <w:p w14:paraId="43B757D6" w14:textId="77777777" w:rsidR="00D92678" w:rsidRPr="00E81F84" w:rsidRDefault="00D92678" w:rsidP="00D92678">
      <w:pPr>
        <w:pStyle w:val="Prrafodelista"/>
        <w:numPr>
          <w:ilvl w:val="0"/>
          <w:numId w:val="17"/>
        </w:numPr>
        <w:spacing w:after="0" w:line="276" w:lineRule="auto"/>
        <w:contextualSpacing w:val="0"/>
        <w:jc w:val="both"/>
        <w:rPr>
          <w:rFonts w:ascii="Verdana" w:eastAsia="Arial" w:hAnsi="Verdana" w:cs="Arial"/>
          <w:color w:val="000000" w:themeColor="text1"/>
        </w:rPr>
      </w:pPr>
      <w:r w:rsidRPr="00E81F84">
        <w:rPr>
          <w:rFonts w:ascii="Verdana" w:eastAsia="Arial" w:hAnsi="Verdana" w:cs="Arial"/>
          <w:color w:val="000000" w:themeColor="text1"/>
          <w:lang w:val="es-CO"/>
        </w:rPr>
        <w:t>Frente a la  experiencia como requisito habilitante, es aquella que se deriva de los contratos que el proponente ha celebrado y ejecutado con diferentes contratantes, sin importar la naturaleza de estos, se verifica con el Registro Único de Proponentes – RUP</w:t>
      </w:r>
      <w:r w:rsidRPr="00E81F84">
        <w:rPr>
          <w:rStyle w:val="Refdenotaalpie"/>
          <w:rFonts w:ascii="Verdana" w:eastAsia="Arial" w:hAnsi="Verdana" w:cs="Arial"/>
          <w:color w:val="000000" w:themeColor="text1"/>
          <w:lang w:val="es-CO"/>
        </w:rPr>
        <w:footnoteReference w:id="8"/>
      </w:r>
      <w:r w:rsidRPr="00E81F84">
        <w:rPr>
          <w:rFonts w:ascii="Verdana" w:eastAsia="Arial" w:hAnsi="Verdana" w:cs="Arial"/>
          <w:color w:val="000000" w:themeColor="text1"/>
          <w:lang w:val="es-CO"/>
        </w:rPr>
        <w:t xml:space="preserve">, cuando este certificado sea exigible de acuerdo con la Ley, </w:t>
      </w:r>
      <w:r w:rsidRPr="00E81F84">
        <w:rPr>
          <w:rFonts w:ascii="Verdana" w:hAnsi="Verdana" w:cs="Arial"/>
          <w:color w:val="000000" w:themeColor="text1"/>
          <w:sz w:val="20"/>
          <w:szCs w:val="20"/>
        </w:rPr>
        <w:t xml:space="preserve">no obstante, el RUP no es exigible en todos los procesos de selección. </w:t>
      </w:r>
    </w:p>
    <w:p w14:paraId="6BB194D1" w14:textId="77777777" w:rsidR="00D92678" w:rsidRPr="00E81F84" w:rsidRDefault="00D92678" w:rsidP="00D92678">
      <w:pPr>
        <w:pStyle w:val="Prrafodelista"/>
        <w:rPr>
          <w:rFonts w:ascii="Verdana" w:hAnsi="Verdana" w:cs="Arial"/>
          <w:color w:val="000000" w:themeColor="text1"/>
          <w:sz w:val="20"/>
          <w:szCs w:val="20"/>
        </w:rPr>
      </w:pPr>
    </w:p>
    <w:p w14:paraId="16A6FB3B" w14:textId="77777777" w:rsidR="00D92678" w:rsidRPr="00E81F84" w:rsidRDefault="00D92678" w:rsidP="00D92678">
      <w:pPr>
        <w:pStyle w:val="Prrafodelista"/>
        <w:numPr>
          <w:ilvl w:val="0"/>
          <w:numId w:val="17"/>
        </w:numPr>
        <w:spacing w:after="0" w:line="276" w:lineRule="auto"/>
        <w:contextualSpacing w:val="0"/>
        <w:jc w:val="both"/>
        <w:rPr>
          <w:rFonts w:ascii="Verdana" w:eastAsia="Arial" w:hAnsi="Verdana" w:cs="Arial"/>
          <w:color w:val="000000" w:themeColor="text1"/>
        </w:rPr>
      </w:pPr>
      <w:r w:rsidRPr="00E81F84">
        <w:rPr>
          <w:rFonts w:ascii="Verdana" w:hAnsi="Verdana" w:cs="Arial"/>
          <w:color w:val="000000" w:themeColor="text1"/>
        </w:rPr>
        <w:t>Téngase presente que de forma taxativa inciso segundo del artículo 6 de la Ley 1150 de 2007 de la norma señala los casos en los que no se requerirá el</w:t>
      </w:r>
      <w:r w:rsidRPr="00E81F84">
        <w:rPr>
          <w:rFonts w:ascii="Verdana" w:hAnsi="Verdana" w:cs="Arial"/>
          <w:color w:val="000000" w:themeColor="text1"/>
          <w:spacing w:val="1"/>
        </w:rPr>
        <w:t xml:space="preserve"> </w:t>
      </w:r>
      <w:r w:rsidRPr="00E81F84">
        <w:rPr>
          <w:rFonts w:ascii="Verdana" w:hAnsi="Verdana" w:cs="Arial"/>
          <w:color w:val="000000" w:themeColor="text1"/>
        </w:rPr>
        <w:t>RUP:</w:t>
      </w:r>
      <w:r w:rsidRPr="00E81F84">
        <w:rPr>
          <w:rFonts w:ascii="Verdana" w:hAnsi="Verdana" w:cs="Arial"/>
          <w:color w:val="000000" w:themeColor="text1"/>
          <w:spacing w:val="1"/>
        </w:rPr>
        <w:t xml:space="preserve"> </w:t>
      </w:r>
      <w:r w:rsidRPr="00E81F84">
        <w:rPr>
          <w:rFonts w:ascii="Verdana" w:hAnsi="Verdana" w:cs="Arial"/>
          <w:i/>
          <w:iCs/>
          <w:color w:val="000000" w:themeColor="text1"/>
        </w:rPr>
        <w:t>“[…]</w:t>
      </w:r>
      <w:r w:rsidRPr="00E81F84">
        <w:rPr>
          <w:rFonts w:ascii="Verdana" w:hAnsi="Verdana" w:cs="Arial"/>
          <w:i/>
          <w:iCs/>
          <w:color w:val="000000" w:themeColor="text1"/>
          <w:spacing w:val="1"/>
        </w:rPr>
        <w:t xml:space="preserve"> </w:t>
      </w:r>
      <w:r w:rsidRPr="00E81F84">
        <w:rPr>
          <w:rFonts w:ascii="Verdana" w:hAnsi="Verdana" w:cs="Arial"/>
          <w:i/>
          <w:iCs/>
          <w:color w:val="000000" w:themeColor="text1"/>
        </w:rPr>
        <w:t>casos</w:t>
      </w:r>
      <w:r w:rsidRPr="00E81F84">
        <w:rPr>
          <w:rFonts w:ascii="Verdana" w:hAnsi="Verdana" w:cs="Arial"/>
          <w:i/>
          <w:iCs/>
          <w:color w:val="000000" w:themeColor="text1"/>
          <w:spacing w:val="1"/>
        </w:rPr>
        <w:t xml:space="preserve"> </w:t>
      </w:r>
      <w:r w:rsidRPr="00E81F84">
        <w:rPr>
          <w:rFonts w:ascii="Verdana" w:hAnsi="Verdana" w:cs="Arial"/>
          <w:i/>
          <w:iCs/>
          <w:color w:val="000000" w:themeColor="text1"/>
        </w:rPr>
        <w:t>de</w:t>
      </w:r>
      <w:r w:rsidRPr="00E81F84">
        <w:rPr>
          <w:rFonts w:ascii="Verdana" w:hAnsi="Verdana" w:cs="Arial"/>
          <w:i/>
          <w:iCs/>
          <w:color w:val="000000" w:themeColor="text1"/>
          <w:spacing w:val="1"/>
        </w:rPr>
        <w:t xml:space="preserve"> </w:t>
      </w:r>
      <w:r w:rsidRPr="00E81F84">
        <w:rPr>
          <w:rFonts w:ascii="Verdana" w:hAnsi="Verdana" w:cs="Arial"/>
          <w:i/>
          <w:iCs/>
          <w:color w:val="000000" w:themeColor="text1"/>
        </w:rPr>
        <w:t>contratación</w:t>
      </w:r>
      <w:r w:rsidRPr="00E81F84">
        <w:rPr>
          <w:rFonts w:ascii="Verdana" w:hAnsi="Verdana" w:cs="Arial"/>
          <w:i/>
          <w:iCs/>
          <w:color w:val="000000" w:themeColor="text1"/>
          <w:spacing w:val="1"/>
        </w:rPr>
        <w:t xml:space="preserve"> </w:t>
      </w:r>
      <w:r w:rsidRPr="00E81F84">
        <w:rPr>
          <w:rFonts w:ascii="Verdana" w:hAnsi="Verdana" w:cs="Arial"/>
          <w:i/>
          <w:iCs/>
          <w:color w:val="000000" w:themeColor="text1"/>
        </w:rPr>
        <w:t>directa;</w:t>
      </w:r>
      <w:r w:rsidRPr="00E81F84">
        <w:rPr>
          <w:rFonts w:ascii="Verdana" w:hAnsi="Verdana" w:cs="Arial"/>
          <w:i/>
          <w:iCs/>
          <w:color w:val="000000" w:themeColor="text1"/>
          <w:spacing w:val="1"/>
        </w:rPr>
        <w:t xml:space="preserve"> </w:t>
      </w:r>
      <w:r w:rsidRPr="00E81F84">
        <w:rPr>
          <w:rFonts w:ascii="Verdana" w:hAnsi="Verdana" w:cs="Arial"/>
          <w:i/>
          <w:iCs/>
          <w:color w:val="000000" w:themeColor="text1"/>
        </w:rPr>
        <w:t>contratos</w:t>
      </w:r>
      <w:r w:rsidRPr="00E81F84">
        <w:rPr>
          <w:rFonts w:ascii="Verdana" w:hAnsi="Verdana" w:cs="Arial"/>
          <w:i/>
          <w:iCs/>
          <w:color w:val="000000" w:themeColor="text1"/>
          <w:spacing w:val="1"/>
        </w:rPr>
        <w:t xml:space="preserve"> </w:t>
      </w:r>
      <w:r w:rsidRPr="00E81F84">
        <w:rPr>
          <w:rFonts w:ascii="Verdana" w:hAnsi="Verdana" w:cs="Arial"/>
          <w:i/>
          <w:iCs/>
          <w:color w:val="000000" w:themeColor="text1"/>
        </w:rPr>
        <w:t>para</w:t>
      </w:r>
      <w:r w:rsidRPr="00E81F84">
        <w:rPr>
          <w:rFonts w:ascii="Verdana" w:hAnsi="Verdana" w:cs="Arial"/>
          <w:i/>
          <w:iCs/>
          <w:color w:val="000000" w:themeColor="text1"/>
          <w:spacing w:val="1"/>
        </w:rPr>
        <w:t xml:space="preserve"> </w:t>
      </w:r>
      <w:r w:rsidRPr="00E81F84">
        <w:rPr>
          <w:rFonts w:ascii="Verdana" w:hAnsi="Verdana" w:cs="Arial"/>
          <w:i/>
          <w:iCs/>
          <w:color w:val="000000" w:themeColor="text1"/>
        </w:rPr>
        <w:t>la</w:t>
      </w:r>
      <w:r w:rsidRPr="00E81F84">
        <w:rPr>
          <w:rFonts w:ascii="Verdana" w:hAnsi="Verdana" w:cs="Arial"/>
          <w:i/>
          <w:iCs/>
          <w:color w:val="000000" w:themeColor="text1"/>
          <w:spacing w:val="1"/>
        </w:rPr>
        <w:t xml:space="preserve"> </w:t>
      </w:r>
      <w:r w:rsidRPr="00E81F84">
        <w:rPr>
          <w:rFonts w:ascii="Verdana" w:hAnsi="Verdana" w:cs="Arial"/>
          <w:i/>
          <w:iCs/>
          <w:color w:val="000000" w:themeColor="text1"/>
        </w:rPr>
        <w:t xml:space="preserve">prestación de servicios de salud; </w:t>
      </w:r>
      <w:r w:rsidRPr="00E81F84">
        <w:rPr>
          <w:rFonts w:ascii="Verdana" w:hAnsi="Verdana" w:cs="Arial"/>
          <w:i/>
          <w:iCs/>
          <w:color w:val="000000" w:themeColor="text1"/>
          <w:u w:val="single"/>
        </w:rPr>
        <w:t>contratos de mínima cuantía;</w:t>
      </w:r>
      <w:r w:rsidRPr="00E81F84">
        <w:rPr>
          <w:rFonts w:ascii="Verdana" w:hAnsi="Verdana" w:cs="Arial"/>
          <w:i/>
          <w:iCs/>
          <w:color w:val="000000" w:themeColor="text1"/>
        </w:rPr>
        <w:t xml:space="preserve"> enajenación de bienes del</w:t>
      </w:r>
      <w:r w:rsidRPr="00E81F84">
        <w:rPr>
          <w:rFonts w:ascii="Verdana" w:hAnsi="Verdana" w:cs="Arial"/>
          <w:i/>
          <w:iCs/>
          <w:color w:val="000000" w:themeColor="text1"/>
          <w:spacing w:val="1"/>
        </w:rPr>
        <w:t xml:space="preserve"> </w:t>
      </w:r>
      <w:r w:rsidRPr="00E81F84">
        <w:rPr>
          <w:rFonts w:ascii="Verdana" w:hAnsi="Verdana" w:cs="Arial"/>
          <w:i/>
          <w:iCs/>
          <w:color w:val="000000" w:themeColor="text1"/>
        </w:rPr>
        <w:t>Estado; contratos que tengan por objeto la adquisición de productos de origen o destinación</w:t>
      </w:r>
      <w:r w:rsidRPr="00E81F84">
        <w:rPr>
          <w:rFonts w:ascii="Verdana" w:hAnsi="Verdana" w:cs="Arial"/>
          <w:i/>
          <w:iCs/>
          <w:color w:val="000000" w:themeColor="text1"/>
          <w:spacing w:val="1"/>
        </w:rPr>
        <w:t xml:space="preserve"> </w:t>
      </w:r>
      <w:r w:rsidRPr="00E81F84">
        <w:rPr>
          <w:rFonts w:ascii="Verdana" w:hAnsi="Verdana" w:cs="Arial"/>
          <w:i/>
          <w:iCs/>
          <w:color w:val="000000" w:themeColor="text1"/>
        </w:rPr>
        <w:t>agropecuaria que se ofrezcan en bolsas de productos legalmente constituidas; los actos y</w:t>
      </w:r>
      <w:r w:rsidRPr="00E81F84">
        <w:rPr>
          <w:rFonts w:ascii="Verdana" w:hAnsi="Verdana" w:cs="Arial"/>
          <w:i/>
          <w:iCs/>
          <w:color w:val="000000" w:themeColor="text1"/>
          <w:spacing w:val="1"/>
        </w:rPr>
        <w:t xml:space="preserve"> </w:t>
      </w:r>
      <w:r w:rsidRPr="00E81F84">
        <w:rPr>
          <w:rFonts w:ascii="Verdana" w:hAnsi="Verdana" w:cs="Arial"/>
          <w:i/>
          <w:iCs/>
          <w:color w:val="000000" w:themeColor="text1"/>
        </w:rPr>
        <w:lastRenderedPageBreak/>
        <w:t>contratos que tengan por objeto directo las actividades comerciales e industriales propias de</w:t>
      </w:r>
      <w:r w:rsidRPr="00E81F84">
        <w:rPr>
          <w:rFonts w:ascii="Verdana" w:hAnsi="Verdana" w:cs="Arial"/>
          <w:i/>
          <w:iCs/>
          <w:color w:val="000000" w:themeColor="text1"/>
          <w:spacing w:val="-59"/>
        </w:rPr>
        <w:t xml:space="preserve"> </w:t>
      </w:r>
      <w:r w:rsidRPr="00E81F84">
        <w:rPr>
          <w:rFonts w:ascii="Verdana" w:hAnsi="Verdana" w:cs="Arial"/>
          <w:i/>
          <w:iCs/>
          <w:color w:val="000000" w:themeColor="text1"/>
        </w:rPr>
        <w:t>las</w:t>
      </w:r>
      <w:r w:rsidRPr="00E81F84">
        <w:rPr>
          <w:rFonts w:ascii="Verdana" w:hAnsi="Verdana" w:cs="Arial"/>
          <w:i/>
          <w:iCs/>
          <w:color w:val="000000" w:themeColor="text1"/>
          <w:spacing w:val="-6"/>
        </w:rPr>
        <w:t xml:space="preserve"> </w:t>
      </w:r>
      <w:r w:rsidRPr="00E81F84">
        <w:rPr>
          <w:rFonts w:ascii="Verdana" w:hAnsi="Verdana" w:cs="Arial"/>
          <w:i/>
          <w:iCs/>
          <w:color w:val="000000" w:themeColor="text1"/>
        </w:rPr>
        <w:t>empresas</w:t>
      </w:r>
      <w:r w:rsidRPr="00E81F84">
        <w:rPr>
          <w:rFonts w:ascii="Verdana" w:hAnsi="Verdana" w:cs="Arial"/>
          <w:i/>
          <w:iCs/>
          <w:color w:val="000000" w:themeColor="text1"/>
          <w:spacing w:val="-6"/>
        </w:rPr>
        <w:t xml:space="preserve"> </w:t>
      </w:r>
      <w:r w:rsidRPr="00E81F84">
        <w:rPr>
          <w:rFonts w:ascii="Verdana" w:hAnsi="Verdana" w:cs="Arial"/>
          <w:i/>
          <w:iCs/>
          <w:color w:val="000000" w:themeColor="text1"/>
        </w:rPr>
        <w:t>industriales</w:t>
      </w:r>
      <w:r w:rsidRPr="00E81F84">
        <w:rPr>
          <w:rFonts w:ascii="Verdana" w:hAnsi="Verdana" w:cs="Arial"/>
          <w:i/>
          <w:iCs/>
          <w:color w:val="000000" w:themeColor="text1"/>
          <w:spacing w:val="-6"/>
        </w:rPr>
        <w:t xml:space="preserve"> </w:t>
      </w:r>
      <w:r w:rsidRPr="00E81F84">
        <w:rPr>
          <w:rFonts w:ascii="Verdana" w:hAnsi="Verdana" w:cs="Arial"/>
          <w:i/>
          <w:iCs/>
          <w:color w:val="000000" w:themeColor="text1"/>
        </w:rPr>
        <w:t>y</w:t>
      </w:r>
      <w:r w:rsidRPr="00E81F84">
        <w:rPr>
          <w:rFonts w:ascii="Verdana" w:hAnsi="Verdana" w:cs="Arial"/>
          <w:i/>
          <w:iCs/>
          <w:color w:val="000000" w:themeColor="text1"/>
          <w:spacing w:val="-5"/>
        </w:rPr>
        <w:t xml:space="preserve"> </w:t>
      </w:r>
      <w:r w:rsidRPr="00E81F84">
        <w:rPr>
          <w:rFonts w:ascii="Verdana" w:hAnsi="Verdana" w:cs="Arial"/>
          <w:i/>
          <w:iCs/>
          <w:color w:val="000000" w:themeColor="text1"/>
        </w:rPr>
        <w:t>comerciales</w:t>
      </w:r>
      <w:r w:rsidRPr="00E81F84">
        <w:rPr>
          <w:rFonts w:ascii="Verdana" w:hAnsi="Verdana" w:cs="Arial"/>
          <w:i/>
          <w:iCs/>
          <w:color w:val="000000" w:themeColor="text1"/>
          <w:spacing w:val="-6"/>
        </w:rPr>
        <w:t xml:space="preserve"> </w:t>
      </w:r>
      <w:r w:rsidRPr="00E81F84">
        <w:rPr>
          <w:rFonts w:ascii="Verdana" w:hAnsi="Verdana" w:cs="Arial"/>
          <w:i/>
          <w:iCs/>
          <w:color w:val="000000" w:themeColor="text1"/>
        </w:rPr>
        <w:t>del</w:t>
      </w:r>
      <w:r w:rsidRPr="00E81F84">
        <w:rPr>
          <w:rFonts w:ascii="Verdana" w:hAnsi="Verdana" w:cs="Arial"/>
          <w:i/>
          <w:iCs/>
          <w:color w:val="000000" w:themeColor="text1"/>
          <w:spacing w:val="-6"/>
        </w:rPr>
        <w:t xml:space="preserve"> </w:t>
      </w:r>
      <w:r w:rsidRPr="00E81F84">
        <w:rPr>
          <w:rFonts w:ascii="Verdana" w:hAnsi="Verdana" w:cs="Arial"/>
          <w:i/>
          <w:iCs/>
          <w:color w:val="000000" w:themeColor="text1"/>
        </w:rPr>
        <w:t>Estado</w:t>
      </w:r>
      <w:r w:rsidRPr="00E81F84">
        <w:rPr>
          <w:rFonts w:ascii="Verdana" w:hAnsi="Verdana" w:cs="Arial"/>
          <w:i/>
          <w:iCs/>
          <w:color w:val="000000" w:themeColor="text1"/>
          <w:spacing w:val="-4"/>
        </w:rPr>
        <w:t xml:space="preserve"> </w:t>
      </w:r>
      <w:r w:rsidRPr="00E81F84">
        <w:rPr>
          <w:rFonts w:ascii="Verdana" w:hAnsi="Verdana" w:cs="Arial"/>
          <w:i/>
          <w:iCs/>
          <w:color w:val="000000" w:themeColor="text1"/>
        </w:rPr>
        <w:t>y</w:t>
      </w:r>
      <w:r w:rsidRPr="00E81F84">
        <w:rPr>
          <w:rFonts w:ascii="Verdana" w:hAnsi="Verdana" w:cs="Arial"/>
          <w:i/>
          <w:iCs/>
          <w:color w:val="000000" w:themeColor="text1"/>
          <w:spacing w:val="-6"/>
        </w:rPr>
        <w:t xml:space="preserve"> </w:t>
      </w:r>
      <w:r w:rsidRPr="00E81F84">
        <w:rPr>
          <w:rFonts w:ascii="Verdana" w:hAnsi="Verdana" w:cs="Arial"/>
          <w:i/>
          <w:iCs/>
          <w:color w:val="000000" w:themeColor="text1"/>
        </w:rPr>
        <w:t>las</w:t>
      </w:r>
      <w:r w:rsidRPr="00E81F84">
        <w:rPr>
          <w:rFonts w:ascii="Verdana" w:hAnsi="Verdana" w:cs="Arial"/>
          <w:i/>
          <w:iCs/>
          <w:color w:val="000000" w:themeColor="text1"/>
          <w:spacing w:val="-6"/>
        </w:rPr>
        <w:t xml:space="preserve"> </w:t>
      </w:r>
      <w:r w:rsidRPr="00E81F84">
        <w:rPr>
          <w:rFonts w:ascii="Verdana" w:hAnsi="Verdana" w:cs="Arial"/>
          <w:i/>
          <w:iCs/>
          <w:color w:val="000000" w:themeColor="text1"/>
        </w:rPr>
        <w:t>sociedades</w:t>
      </w:r>
      <w:r w:rsidRPr="00E81F84">
        <w:rPr>
          <w:rFonts w:ascii="Verdana" w:hAnsi="Verdana" w:cs="Arial"/>
          <w:i/>
          <w:iCs/>
          <w:color w:val="000000" w:themeColor="text1"/>
          <w:spacing w:val="-6"/>
        </w:rPr>
        <w:t xml:space="preserve"> </w:t>
      </w:r>
      <w:r w:rsidRPr="00E81F84">
        <w:rPr>
          <w:rFonts w:ascii="Verdana" w:hAnsi="Verdana" w:cs="Arial"/>
          <w:i/>
          <w:iCs/>
          <w:color w:val="000000" w:themeColor="text1"/>
        </w:rPr>
        <w:t>de</w:t>
      </w:r>
      <w:r w:rsidRPr="00E81F84">
        <w:rPr>
          <w:rFonts w:ascii="Verdana" w:hAnsi="Verdana" w:cs="Arial"/>
          <w:i/>
          <w:iCs/>
          <w:color w:val="000000" w:themeColor="text1"/>
          <w:spacing w:val="-5"/>
        </w:rPr>
        <w:t xml:space="preserve"> </w:t>
      </w:r>
      <w:r w:rsidRPr="00E81F84">
        <w:rPr>
          <w:rFonts w:ascii="Verdana" w:hAnsi="Verdana" w:cs="Arial"/>
          <w:i/>
          <w:iCs/>
          <w:color w:val="000000" w:themeColor="text1"/>
        </w:rPr>
        <w:t>economía</w:t>
      </w:r>
      <w:r w:rsidRPr="00E81F84">
        <w:rPr>
          <w:rFonts w:ascii="Verdana" w:hAnsi="Verdana" w:cs="Arial"/>
          <w:i/>
          <w:iCs/>
          <w:color w:val="000000" w:themeColor="text1"/>
          <w:spacing w:val="-6"/>
        </w:rPr>
        <w:t xml:space="preserve"> </w:t>
      </w:r>
      <w:r w:rsidRPr="00E81F84">
        <w:rPr>
          <w:rFonts w:ascii="Verdana" w:hAnsi="Verdana" w:cs="Arial"/>
          <w:i/>
          <w:iCs/>
          <w:color w:val="000000" w:themeColor="text1"/>
        </w:rPr>
        <w:t>mixta</w:t>
      </w:r>
      <w:r w:rsidRPr="00E81F84">
        <w:rPr>
          <w:rFonts w:ascii="Verdana" w:hAnsi="Verdana" w:cs="Arial"/>
          <w:i/>
          <w:iCs/>
          <w:color w:val="000000" w:themeColor="text1"/>
          <w:spacing w:val="-6"/>
        </w:rPr>
        <w:t xml:space="preserve"> </w:t>
      </w:r>
      <w:r w:rsidRPr="00E81F84">
        <w:rPr>
          <w:rFonts w:ascii="Verdana" w:hAnsi="Verdana" w:cs="Arial"/>
          <w:i/>
          <w:iCs/>
          <w:color w:val="000000" w:themeColor="text1"/>
        </w:rPr>
        <w:t>y</w:t>
      </w:r>
      <w:r w:rsidRPr="00E81F84">
        <w:rPr>
          <w:rFonts w:ascii="Verdana" w:hAnsi="Verdana" w:cs="Arial"/>
          <w:i/>
          <w:iCs/>
          <w:color w:val="000000" w:themeColor="text1"/>
          <w:spacing w:val="-5"/>
        </w:rPr>
        <w:t xml:space="preserve"> </w:t>
      </w:r>
      <w:r w:rsidRPr="00E81F84">
        <w:rPr>
          <w:rFonts w:ascii="Verdana" w:hAnsi="Verdana" w:cs="Arial"/>
          <w:i/>
          <w:iCs/>
          <w:color w:val="000000" w:themeColor="text1"/>
        </w:rPr>
        <w:t xml:space="preserve">los </w:t>
      </w:r>
      <w:r w:rsidRPr="00E81F84">
        <w:rPr>
          <w:rFonts w:ascii="Verdana" w:hAnsi="Verdana" w:cs="Arial"/>
          <w:i/>
          <w:iCs/>
          <w:color w:val="000000" w:themeColor="text1"/>
          <w:spacing w:val="-1"/>
        </w:rPr>
        <w:t>contratos de concesión de cualquier</w:t>
      </w:r>
      <w:r w:rsidRPr="00E81F84">
        <w:rPr>
          <w:rFonts w:ascii="Verdana" w:hAnsi="Verdana" w:cs="Arial"/>
          <w:i/>
          <w:iCs/>
          <w:color w:val="000000" w:themeColor="text1"/>
          <w:spacing w:val="-19"/>
        </w:rPr>
        <w:t xml:space="preserve"> </w:t>
      </w:r>
      <w:r w:rsidRPr="00E81F84">
        <w:rPr>
          <w:rFonts w:ascii="Verdana" w:hAnsi="Verdana" w:cs="Arial"/>
          <w:i/>
          <w:iCs/>
          <w:color w:val="000000" w:themeColor="text1"/>
        </w:rPr>
        <w:t>índole”</w:t>
      </w:r>
    </w:p>
    <w:p w14:paraId="1F00D017" w14:textId="77777777" w:rsidR="00D92678" w:rsidRPr="00E81F84" w:rsidRDefault="00D92678" w:rsidP="00D92678">
      <w:pPr>
        <w:jc w:val="both"/>
        <w:rPr>
          <w:rFonts w:ascii="Verdana" w:hAnsi="Verdana" w:cs="Arial"/>
          <w:color w:val="000000" w:themeColor="text1"/>
        </w:rPr>
      </w:pPr>
    </w:p>
    <w:p w14:paraId="7D3BCB08" w14:textId="77777777" w:rsidR="00D92678" w:rsidRPr="00E81F84" w:rsidRDefault="00D92678" w:rsidP="00D92678">
      <w:pPr>
        <w:pStyle w:val="Prrafodelista"/>
        <w:numPr>
          <w:ilvl w:val="0"/>
          <w:numId w:val="17"/>
        </w:numPr>
        <w:jc w:val="both"/>
        <w:rPr>
          <w:rFonts w:ascii="Verdana" w:hAnsi="Verdana"/>
          <w:color w:val="000000" w:themeColor="text1"/>
        </w:rPr>
      </w:pPr>
      <w:r w:rsidRPr="00E81F84">
        <w:rPr>
          <w:rFonts w:ascii="Verdana" w:hAnsi="Verdana"/>
          <w:color w:val="000000" w:themeColor="text1"/>
        </w:rPr>
        <w:t xml:space="preserve">De tal manera que, las Entidades Estatales no están obligadas a establecer un requisito habilitante de experiencia en los Procesos de Contratación de mínima cuantía. Si la Entidad Estatal decide establecer un requisito habilitante de experiencia, este debe ser una consecuencia del Riesgo del Proceso de Contratación, de las características del sector y del objeto del contrato, y debe referirse a la experiencia del oferente en las actividades objeto del Proceso de Contratación. </w:t>
      </w:r>
      <w:r w:rsidRPr="00E81F84">
        <w:rPr>
          <w:rStyle w:val="Refdenotaalpie"/>
          <w:rFonts w:ascii="Verdana" w:hAnsi="Verdana"/>
          <w:color w:val="000000" w:themeColor="text1"/>
        </w:rPr>
        <w:footnoteReference w:id="9"/>
      </w:r>
    </w:p>
    <w:p w14:paraId="79E8F973" w14:textId="77777777" w:rsidR="00D92678" w:rsidRPr="00E81F84" w:rsidRDefault="00D92678" w:rsidP="00D92678">
      <w:pPr>
        <w:pStyle w:val="Prrafodelista"/>
        <w:numPr>
          <w:ilvl w:val="0"/>
          <w:numId w:val="17"/>
        </w:numPr>
        <w:jc w:val="both"/>
        <w:rPr>
          <w:rFonts w:ascii="Verdana" w:hAnsi="Verdana"/>
          <w:color w:val="000000" w:themeColor="text1"/>
        </w:rPr>
      </w:pPr>
      <w:r w:rsidRPr="00E81F84">
        <w:rPr>
          <w:rFonts w:ascii="Verdana" w:hAnsi="Verdana"/>
          <w:color w:val="000000" w:themeColor="text1"/>
        </w:rPr>
        <w:t xml:space="preserve">En ese orden de ideas, si la Entidad Estatal establece requisitos habilitantes de experiencia, debe solicitar copias de contratos o certificados expedidos por terceros que hayan recibido del oferente los bienes, obras o servicios objeto del Proceso de Contratación, debido a que como ya se indicó no en la norma ibidem, no se requerirá por parte de las Entidades Estatales RUP para validar experiencia., en caso de ser solicitada. </w:t>
      </w:r>
      <w:r w:rsidRPr="00E81F84">
        <w:rPr>
          <w:rStyle w:val="Refdenotaalpie"/>
          <w:rFonts w:ascii="Verdana" w:hAnsi="Verdana"/>
          <w:color w:val="000000" w:themeColor="text1"/>
        </w:rPr>
        <w:footnoteReference w:id="10"/>
      </w:r>
    </w:p>
    <w:bookmarkEnd w:id="1"/>
    <w:p w14:paraId="57416945" w14:textId="77777777" w:rsidR="009E0AC7" w:rsidRPr="00E81F84" w:rsidRDefault="009E0AC7" w:rsidP="009E0AC7">
      <w:pPr>
        <w:spacing w:after="0" w:line="276" w:lineRule="auto"/>
        <w:jc w:val="both"/>
        <w:rPr>
          <w:rFonts w:ascii="Verdana" w:eastAsia="Calibri" w:hAnsi="Verdana" w:cs="Arial"/>
          <w:color w:val="000000" w:themeColor="text1"/>
          <w:lang w:val="es-ES"/>
        </w:rPr>
      </w:pPr>
    </w:p>
    <w:p w14:paraId="037056A9" w14:textId="77777777" w:rsidR="009E0AC7" w:rsidRPr="00E81F84" w:rsidRDefault="009E0AC7" w:rsidP="009E0AC7">
      <w:pPr>
        <w:spacing w:after="0" w:line="276" w:lineRule="auto"/>
        <w:jc w:val="both"/>
        <w:rPr>
          <w:rFonts w:ascii="Verdana" w:eastAsia="Calibri" w:hAnsi="Verdana" w:cs="Arial"/>
          <w:color w:val="000000" w:themeColor="text1"/>
          <w:lang w:val="es-ES"/>
        </w:rPr>
      </w:pPr>
    </w:p>
    <w:p w14:paraId="07B935AA" w14:textId="77777777" w:rsidR="009E0AC7" w:rsidRPr="00E81F84" w:rsidRDefault="009E0AC7" w:rsidP="009E0AC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E81F84">
        <w:rPr>
          <w:rFonts w:ascii="Verdana" w:eastAsia="Century Gothic" w:hAnsi="Verdana" w:cs="Century Gothic"/>
          <w:b/>
          <w:bCs/>
          <w:color w:val="000000" w:themeColor="text1"/>
        </w:rPr>
        <w:t>Referencias normativas, jurisprudenciales y otras fuentes:</w:t>
      </w:r>
    </w:p>
    <w:p w14:paraId="674C6AEF" w14:textId="77777777" w:rsidR="009E0AC7" w:rsidRPr="00E81F84" w:rsidRDefault="009E0AC7" w:rsidP="009E0AC7">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E0AC7" w:rsidRPr="00E81F84" w14:paraId="458CFC8F" w14:textId="77777777" w:rsidTr="00E520E8">
        <w:trPr>
          <w:trHeight w:val="870"/>
        </w:trPr>
        <w:tc>
          <w:tcPr>
            <w:tcW w:w="8647" w:type="dxa"/>
          </w:tcPr>
          <w:p w14:paraId="79AF4B28" w14:textId="77777777" w:rsidR="009E0AC7" w:rsidRPr="00E81F84" w:rsidRDefault="009E0AC7" w:rsidP="009E0AC7">
            <w:pPr>
              <w:pStyle w:val="Prrafodelista"/>
              <w:widowControl w:val="0"/>
              <w:numPr>
                <w:ilvl w:val="0"/>
                <w:numId w:val="18"/>
              </w:numPr>
              <w:autoSpaceDE w:val="0"/>
              <w:autoSpaceDN w:val="0"/>
              <w:spacing w:after="120" w:line="276" w:lineRule="auto"/>
              <w:contextualSpacing w:val="0"/>
              <w:jc w:val="both"/>
              <w:rPr>
                <w:rFonts w:ascii="Verdana" w:hAnsi="Verdana" w:cs="Arial"/>
                <w:color w:val="000000" w:themeColor="text1"/>
                <w:lang w:val="es-CO"/>
              </w:rPr>
            </w:pPr>
            <w:r w:rsidRPr="00E81F84">
              <w:rPr>
                <w:rFonts w:ascii="Verdana" w:eastAsia="Times New Roman" w:hAnsi="Verdana" w:cs="Arial"/>
                <w:color w:val="000000" w:themeColor="text1"/>
                <w:lang w:val="es-ES_tradnl" w:eastAsia="es-MX"/>
              </w:rPr>
              <w:t>artículo 6º, parágrafo 1, de la Ley 1150 de 2007</w:t>
            </w:r>
          </w:p>
          <w:p w14:paraId="54E332CB" w14:textId="77777777" w:rsidR="009E0AC7" w:rsidRPr="00E81F84" w:rsidRDefault="009E0AC7" w:rsidP="009E0AC7">
            <w:pPr>
              <w:pStyle w:val="Prrafodelista"/>
              <w:widowControl w:val="0"/>
              <w:numPr>
                <w:ilvl w:val="0"/>
                <w:numId w:val="18"/>
              </w:numPr>
              <w:autoSpaceDE w:val="0"/>
              <w:autoSpaceDN w:val="0"/>
              <w:spacing w:after="120" w:line="276" w:lineRule="auto"/>
              <w:contextualSpacing w:val="0"/>
              <w:jc w:val="both"/>
              <w:rPr>
                <w:rFonts w:ascii="Verdana" w:hAnsi="Verdana" w:cs="Arial"/>
                <w:color w:val="000000" w:themeColor="text1"/>
                <w:lang w:val="es-CO"/>
              </w:rPr>
            </w:pPr>
            <w:r w:rsidRPr="00E81F84">
              <w:rPr>
                <w:rFonts w:ascii="Verdana" w:eastAsia="Times New Roman" w:hAnsi="Verdana" w:cs="Arial"/>
                <w:color w:val="000000" w:themeColor="text1"/>
                <w:lang w:val="es-ES_tradnl" w:eastAsia="es-MX"/>
              </w:rPr>
              <w:t>numeral 1 del artículo 5 de la Ley 1150 de 2007</w:t>
            </w:r>
          </w:p>
          <w:p w14:paraId="2B2079ED" w14:textId="77777777" w:rsidR="009E0AC7" w:rsidRPr="00E81F84" w:rsidRDefault="009E0AC7" w:rsidP="009E0AC7">
            <w:pPr>
              <w:pStyle w:val="Prrafodelista"/>
              <w:widowControl w:val="0"/>
              <w:numPr>
                <w:ilvl w:val="0"/>
                <w:numId w:val="18"/>
              </w:numPr>
              <w:autoSpaceDE w:val="0"/>
              <w:autoSpaceDN w:val="0"/>
              <w:spacing w:after="120" w:line="276" w:lineRule="auto"/>
              <w:jc w:val="both"/>
              <w:rPr>
                <w:rFonts w:ascii="Verdana" w:hAnsi="Verdana" w:cs="Arial"/>
                <w:color w:val="000000" w:themeColor="text1"/>
              </w:rPr>
            </w:pPr>
            <w:hyperlink r:id="rId13" w:tgtFrame="_blank" w:tooltip="Dirección URL original: https://www.colombiacompra.gov.co/sites/cce_public/files/cce_tienda_virtual/cce_manual_minima_cuantia.pdf. Haga clic o pulse si confía en este vínculo." w:history="1">
              <w:r w:rsidRPr="00E81F84">
                <w:rPr>
                  <w:rStyle w:val="Hipervnculo"/>
                  <w:rFonts w:ascii="Verdana" w:hAnsi="Verdana" w:cs="Arial"/>
                  <w:color w:val="000000" w:themeColor="text1"/>
                </w:rPr>
                <w:t>https://www.colombiacompra.gov.co/sites/cce_public/files/cce_tienda_virtual/cce_manual_minima_cuantia.pdf</w:t>
              </w:r>
            </w:hyperlink>
          </w:p>
          <w:p w14:paraId="17F24D52" w14:textId="77777777" w:rsidR="009E0AC7" w:rsidRPr="00E81F84" w:rsidRDefault="009E0AC7" w:rsidP="009E0AC7">
            <w:pPr>
              <w:pStyle w:val="Prrafodelista"/>
              <w:widowControl w:val="0"/>
              <w:numPr>
                <w:ilvl w:val="0"/>
                <w:numId w:val="18"/>
              </w:numPr>
              <w:autoSpaceDE w:val="0"/>
              <w:autoSpaceDN w:val="0"/>
              <w:spacing w:after="120" w:line="276" w:lineRule="auto"/>
              <w:jc w:val="both"/>
              <w:rPr>
                <w:rFonts w:ascii="Verdana" w:hAnsi="Verdana" w:cs="Arial"/>
                <w:color w:val="000000" w:themeColor="text1"/>
              </w:rPr>
            </w:pPr>
            <w:r w:rsidRPr="00E81F84">
              <w:rPr>
                <w:rFonts w:ascii="Verdana" w:eastAsia="Times New Roman" w:hAnsi="Verdana" w:cs="Arial"/>
                <w:color w:val="000000" w:themeColor="text1"/>
                <w:lang w:val="es-ES_tradnl" w:eastAsia="es-MX"/>
              </w:rPr>
              <w:t>decreto 1082 de 2015, Art 2.2.1.1.1.6.2</w:t>
            </w:r>
          </w:p>
        </w:tc>
      </w:tr>
    </w:tbl>
    <w:p w14:paraId="4CC1D583" w14:textId="77777777" w:rsidR="009E0AC7" w:rsidRPr="00E81F84" w:rsidRDefault="009E0AC7" w:rsidP="009E0AC7">
      <w:pPr>
        <w:widowControl w:val="0"/>
        <w:autoSpaceDE w:val="0"/>
        <w:autoSpaceDN w:val="0"/>
        <w:spacing w:after="0" w:line="276" w:lineRule="auto"/>
        <w:jc w:val="both"/>
        <w:rPr>
          <w:rFonts w:ascii="Verdana" w:hAnsi="Verdana" w:cs="Arial"/>
          <w:color w:val="000000" w:themeColor="text1"/>
        </w:rPr>
      </w:pPr>
    </w:p>
    <w:p w14:paraId="4328DB15" w14:textId="77777777" w:rsidR="009E0AC7" w:rsidRPr="00E81F84" w:rsidRDefault="009E0AC7" w:rsidP="009E0AC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E81F84">
        <w:rPr>
          <w:rFonts w:ascii="Verdana" w:eastAsia="Century Gothic" w:hAnsi="Verdana" w:cs="Century Gothic"/>
          <w:b/>
          <w:bCs/>
          <w:color w:val="000000" w:themeColor="text1"/>
        </w:rPr>
        <w:t>Doctrina de la Agencia Nacional de Contratación Pública:</w:t>
      </w:r>
    </w:p>
    <w:p w14:paraId="11697BF7" w14:textId="77777777" w:rsidR="009E0AC7" w:rsidRPr="00E81F84" w:rsidRDefault="009E0AC7" w:rsidP="009E0AC7">
      <w:pPr>
        <w:widowControl w:val="0"/>
        <w:autoSpaceDE w:val="0"/>
        <w:autoSpaceDN w:val="0"/>
        <w:spacing w:after="0" w:line="276" w:lineRule="auto"/>
        <w:jc w:val="both"/>
        <w:rPr>
          <w:rFonts w:ascii="Verdana" w:hAnsi="Verdana" w:cs="Arial"/>
          <w:color w:val="000000" w:themeColor="text1"/>
        </w:rPr>
      </w:pPr>
    </w:p>
    <w:p w14:paraId="16C56336" w14:textId="77777777" w:rsidR="009E0AC7" w:rsidRPr="00E81F84" w:rsidRDefault="009E0AC7" w:rsidP="009E0AC7">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E81F84">
        <w:rPr>
          <w:rStyle w:val="normaltextrun"/>
          <w:rFonts w:ascii="Verdana" w:hAnsi="Verdana" w:cs="Arial"/>
          <w:color w:val="000000" w:themeColor="text1"/>
          <w:shd w:val="clear" w:color="auto" w:fill="FFFFFF"/>
          <w:lang w:val="es-ES"/>
        </w:rPr>
        <w:t xml:space="preserve">Sobre la naturaleza de los requisitos habilitantes y el carácter enunciativo de los mencionados en el artículo 5-1 de la Ley 1150 de 2007 se pronunció esta </w:t>
      </w:r>
      <w:r w:rsidRPr="00E81F84">
        <w:rPr>
          <w:rStyle w:val="normaltextrun"/>
          <w:rFonts w:ascii="Verdana" w:hAnsi="Verdana" w:cs="Arial"/>
          <w:color w:val="000000" w:themeColor="text1"/>
          <w:shd w:val="clear" w:color="auto" w:fill="FFFFFF"/>
          <w:lang w:val="es-ES"/>
        </w:rPr>
        <w:lastRenderedPageBreak/>
        <w:t>Subdirección en los conceptos</w:t>
      </w:r>
      <w:r w:rsidRPr="00E81F84">
        <w:rPr>
          <w:rStyle w:val="normaltextrun"/>
          <w:rFonts w:ascii="Verdana" w:hAnsi="Verdana" w:cs="Calibri"/>
          <w:color w:val="000000" w:themeColor="text1"/>
          <w:shd w:val="clear" w:color="auto" w:fill="FFFFFF"/>
        </w:rPr>
        <w:t xml:space="preserve"> </w:t>
      </w:r>
      <w:r w:rsidRPr="00E81F84">
        <w:rPr>
          <w:rStyle w:val="normaltextrun"/>
          <w:rFonts w:ascii="Verdana" w:hAnsi="Verdana" w:cs="Arial"/>
          <w:color w:val="000000" w:themeColor="text1"/>
          <w:shd w:val="clear" w:color="auto" w:fill="FFFFFF"/>
          <w:lang w:val="es-ES"/>
        </w:rPr>
        <w:t>C-120 del 3 de marzo de 2020, C-204 del 31 de marzo de 2020, C-099 del 6 de abril de 2020, C-195 del 13 de abril de 2020, C-013 del 17 de abril de 2020, C-330 del 27 de mayo de 2020, C-396 de 16 de julio de 2020 y C-142 del 30 de marzo de 2022.  Es</w:t>
      </w:r>
      <w:r w:rsidRPr="00E81F84">
        <w:rPr>
          <w:rFonts w:ascii="Verdana" w:hAnsi="Verdana"/>
          <w:color w:val="000000" w:themeColor="text1"/>
        </w:rPr>
        <w:t>tos y otros conceptos se encuentran disponibles para consulta en el Sistema de relatoría de la Agencia, al cual se puede acceder a través del siguiente enlace:</w:t>
      </w:r>
      <w:r w:rsidRPr="00E81F84">
        <w:rPr>
          <w:rStyle w:val="normaltextrun"/>
          <w:rFonts w:ascii="Verdana" w:hAnsi="Verdana" w:cs="Arial"/>
          <w:color w:val="000000" w:themeColor="text1"/>
          <w:shd w:val="clear" w:color="auto" w:fill="FFFFFF"/>
          <w:lang w:val="es-ES"/>
        </w:rPr>
        <w:t xml:space="preserve"> </w:t>
      </w:r>
      <w:hyperlink r:id="rId14" w:history="1">
        <w:r w:rsidRPr="00E81F84">
          <w:rPr>
            <w:rStyle w:val="Hipervnculo"/>
            <w:rFonts w:ascii="Verdana" w:hAnsi="Verdana" w:cs="Arial"/>
            <w:color w:val="000000" w:themeColor="text1"/>
            <w:shd w:val="clear" w:color="auto" w:fill="FFFFFF"/>
            <w:lang w:val="es-ES"/>
          </w:rPr>
          <w:t>https://relatoria.colombiacompra.gov.co/busqueda/conceptos</w:t>
        </w:r>
      </w:hyperlink>
      <w:r w:rsidRPr="00E81F84">
        <w:rPr>
          <w:rStyle w:val="normaltextrun"/>
          <w:rFonts w:ascii="Verdana" w:hAnsi="Verdana" w:cs="Arial"/>
          <w:color w:val="000000" w:themeColor="text1"/>
          <w:shd w:val="clear" w:color="auto" w:fill="FFFFFF"/>
          <w:lang w:val="es-ES"/>
        </w:rPr>
        <w:t xml:space="preserve">. </w:t>
      </w:r>
    </w:p>
    <w:p w14:paraId="2D7BD61A" w14:textId="77777777" w:rsidR="009E0AC7" w:rsidRPr="00E81F84" w:rsidRDefault="009E0AC7" w:rsidP="009E0AC7">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02D161DD" w14:textId="77777777" w:rsidR="009E0AC7" w:rsidRPr="00E81F84" w:rsidRDefault="009E0AC7" w:rsidP="009E0AC7">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E81F84">
        <w:rPr>
          <w:rStyle w:val="normaltextrun"/>
          <w:rFonts w:ascii="Verdana" w:hAnsi="Verdana" w:cs="Arial"/>
          <w:color w:val="000000" w:themeColor="text1"/>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5" w:history="1">
        <w:r w:rsidRPr="00E81F84">
          <w:rPr>
            <w:rStyle w:val="Hipervnculo"/>
            <w:rFonts w:ascii="Verdana" w:hAnsi="Verdana" w:cs="Arial"/>
            <w:color w:val="000000" w:themeColor="text1"/>
            <w:shd w:val="clear" w:color="auto" w:fill="FFFFFF"/>
            <w:lang w:val="es-ES"/>
          </w:rPr>
          <w:t>https://www.colombiacompra.gov.co/sala-de-prensa/boletin-digital</w:t>
        </w:r>
      </w:hyperlink>
      <w:r w:rsidRPr="00E81F84">
        <w:rPr>
          <w:rStyle w:val="normaltextrun"/>
          <w:rFonts w:ascii="Verdana" w:hAnsi="Verdana" w:cs="Arial"/>
          <w:color w:val="000000" w:themeColor="text1"/>
          <w:shd w:val="clear" w:color="auto" w:fill="FFFFFF"/>
          <w:lang w:val="es-ES"/>
        </w:rPr>
        <w:t xml:space="preserve">      </w:t>
      </w:r>
    </w:p>
    <w:p w14:paraId="35A41A87" w14:textId="77777777" w:rsidR="009E0AC7" w:rsidRPr="00E81F84" w:rsidRDefault="009E0AC7" w:rsidP="009E0AC7">
      <w:pPr>
        <w:spacing w:after="0" w:line="240" w:lineRule="auto"/>
        <w:jc w:val="both"/>
        <w:rPr>
          <w:rFonts w:ascii="Verdana" w:hAnsi="Verdana"/>
          <w:color w:val="000000" w:themeColor="text1"/>
        </w:rPr>
      </w:pPr>
      <w:r w:rsidRPr="00E81F84">
        <w:rPr>
          <w:rFonts w:ascii="Verdana" w:hAnsi="Verdana"/>
          <w:color w:val="000000" w:themeColor="text1"/>
        </w:rPr>
        <w:t xml:space="preserve">Por último, lo invitamos a seguirnos en las redes sociales en las cuales se difunde información institucional: </w:t>
      </w:r>
    </w:p>
    <w:p w14:paraId="739A6C35" w14:textId="77777777" w:rsidR="009E0AC7" w:rsidRPr="00E81F84" w:rsidRDefault="009E0AC7" w:rsidP="009E0AC7">
      <w:pPr>
        <w:spacing w:after="0" w:line="240" w:lineRule="auto"/>
        <w:jc w:val="both"/>
        <w:rPr>
          <w:rFonts w:ascii="Verdana" w:hAnsi="Verdana"/>
          <w:color w:val="000000" w:themeColor="text1"/>
        </w:rPr>
      </w:pPr>
    </w:p>
    <w:p w14:paraId="063622D2" w14:textId="77777777" w:rsidR="009E0AC7" w:rsidRPr="00E81F84" w:rsidRDefault="009E0AC7" w:rsidP="009E0AC7">
      <w:pPr>
        <w:spacing w:after="0" w:line="240" w:lineRule="auto"/>
        <w:jc w:val="both"/>
        <w:rPr>
          <w:rFonts w:ascii="Verdana" w:hAnsi="Verdana"/>
          <w:color w:val="000000" w:themeColor="text1"/>
        </w:rPr>
      </w:pPr>
      <w:r w:rsidRPr="00E81F84">
        <w:rPr>
          <w:rFonts w:ascii="Verdana" w:hAnsi="Verdana"/>
          <w:color w:val="000000" w:themeColor="text1"/>
        </w:rPr>
        <w:t xml:space="preserve">Twitter: </w:t>
      </w:r>
      <w:r w:rsidRPr="00E81F84">
        <w:rPr>
          <w:rStyle w:val="Hipervnculo"/>
          <w:rFonts w:ascii="Verdana" w:hAnsi="Verdana"/>
          <w:color w:val="000000" w:themeColor="text1"/>
        </w:rPr>
        <w:t>@colombiacompra</w:t>
      </w:r>
      <w:r w:rsidRPr="00E81F84">
        <w:rPr>
          <w:rFonts w:ascii="Verdana" w:hAnsi="Verdana"/>
          <w:color w:val="000000" w:themeColor="text1"/>
        </w:rPr>
        <w:t xml:space="preserve"> </w:t>
      </w:r>
    </w:p>
    <w:p w14:paraId="65E2859D" w14:textId="77777777" w:rsidR="009E0AC7" w:rsidRPr="00E81F84" w:rsidRDefault="009E0AC7" w:rsidP="009E0AC7">
      <w:pPr>
        <w:spacing w:after="0" w:line="240" w:lineRule="auto"/>
        <w:jc w:val="both"/>
        <w:rPr>
          <w:rFonts w:ascii="Verdana" w:hAnsi="Verdana"/>
          <w:color w:val="000000" w:themeColor="text1"/>
        </w:rPr>
      </w:pPr>
      <w:r w:rsidRPr="00E81F84">
        <w:rPr>
          <w:rFonts w:ascii="Verdana" w:hAnsi="Verdana"/>
          <w:color w:val="000000" w:themeColor="text1"/>
        </w:rPr>
        <w:t xml:space="preserve">Facebook: </w:t>
      </w:r>
      <w:r w:rsidRPr="00E81F84">
        <w:rPr>
          <w:rStyle w:val="Hipervnculo"/>
          <w:rFonts w:ascii="Verdana" w:hAnsi="Verdana"/>
          <w:color w:val="000000" w:themeColor="text1"/>
        </w:rPr>
        <w:t>ColombiaCompraEficiente</w:t>
      </w:r>
    </w:p>
    <w:p w14:paraId="3E2CC222" w14:textId="77777777" w:rsidR="009E0AC7" w:rsidRPr="00E81F84" w:rsidRDefault="009E0AC7" w:rsidP="009E0AC7">
      <w:pPr>
        <w:spacing w:after="0" w:line="240" w:lineRule="auto"/>
        <w:jc w:val="both"/>
        <w:rPr>
          <w:rFonts w:ascii="Verdana" w:hAnsi="Verdana"/>
          <w:color w:val="000000" w:themeColor="text1"/>
        </w:rPr>
      </w:pPr>
      <w:r w:rsidRPr="00E81F84">
        <w:rPr>
          <w:rFonts w:ascii="Verdana" w:hAnsi="Verdana"/>
          <w:color w:val="000000" w:themeColor="text1"/>
        </w:rPr>
        <w:t xml:space="preserve">LinkedIn: </w:t>
      </w:r>
      <w:r w:rsidRPr="00E81F84">
        <w:rPr>
          <w:rStyle w:val="Hipervnculo"/>
          <w:rFonts w:ascii="Verdana" w:hAnsi="Verdana"/>
          <w:color w:val="000000" w:themeColor="text1"/>
        </w:rPr>
        <w:t>Agencia Nacional de Contratación Pública - Colombia Compra Eficiente</w:t>
      </w:r>
      <w:r w:rsidRPr="00E81F84">
        <w:rPr>
          <w:rFonts w:ascii="Verdana" w:hAnsi="Verdana"/>
          <w:color w:val="000000" w:themeColor="text1"/>
        </w:rPr>
        <w:t xml:space="preserve"> Instagram: </w:t>
      </w:r>
      <w:r w:rsidRPr="00E81F84">
        <w:rPr>
          <w:rStyle w:val="Hipervnculo"/>
          <w:rFonts w:ascii="Verdana" w:hAnsi="Verdana"/>
          <w:color w:val="000000" w:themeColor="text1"/>
        </w:rPr>
        <w:t>@colombiacompraeficiente_cce</w:t>
      </w:r>
    </w:p>
    <w:p w14:paraId="562073FB" w14:textId="77777777" w:rsidR="009E0AC7" w:rsidRPr="00E81F84" w:rsidRDefault="009E0AC7" w:rsidP="009E0AC7">
      <w:pPr>
        <w:widowControl w:val="0"/>
        <w:autoSpaceDE w:val="0"/>
        <w:autoSpaceDN w:val="0"/>
        <w:spacing w:after="0" w:line="276" w:lineRule="auto"/>
        <w:jc w:val="both"/>
        <w:rPr>
          <w:rFonts w:ascii="Verdana" w:hAnsi="Verdana" w:cs="Arial"/>
          <w:color w:val="000000" w:themeColor="text1"/>
        </w:rPr>
      </w:pPr>
    </w:p>
    <w:p w14:paraId="360E5806" w14:textId="77777777" w:rsidR="009E0AC7" w:rsidRPr="00E81F84" w:rsidRDefault="009E0AC7" w:rsidP="009E0AC7">
      <w:pPr>
        <w:widowControl w:val="0"/>
        <w:autoSpaceDE w:val="0"/>
        <w:autoSpaceDN w:val="0"/>
        <w:spacing w:after="0" w:line="276" w:lineRule="auto"/>
        <w:jc w:val="both"/>
        <w:rPr>
          <w:rFonts w:ascii="Verdana" w:hAnsi="Verdana" w:cs="Arial"/>
          <w:color w:val="000000" w:themeColor="text1"/>
          <w:lang w:val="es-ES_tradnl"/>
        </w:rPr>
      </w:pPr>
      <w:r w:rsidRPr="00E81F84">
        <w:rPr>
          <w:rFonts w:ascii="Verdana" w:hAnsi="Verdana" w:cs="Arial"/>
          <w:color w:val="000000" w:themeColor="text1"/>
        </w:rPr>
        <w:t xml:space="preserve">Este concepto tiene el alcance previsto en el artículo 28 del Código de Procedimiento Administrativo y de lo Contencioso Administrativo </w:t>
      </w:r>
      <w:r w:rsidRPr="00E81F84">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14:paraId="5F53B0F9" w14:textId="77777777" w:rsidR="009E0AC7" w:rsidRPr="00E81F84" w:rsidRDefault="009E0AC7" w:rsidP="009E0AC7">
      <w:pPr>
        <w:widowControl w:val="0"/>
        <w:autoSpaceDE w:val="0"/>
        <w:autoSpaceDN w:val="0"/>
        <w:spacing w:after="0" w:line="276" w:lineRule="auto"/>
        <w:jc w:val="both"/>
        <w:rPr>
          <w:rFonts w:ascii="Verdana" w:hAnsi="Verdana" w:cs="Arial"/>
          <w:color w:val="000000" w:themeColor="text1"/>
        </w:rPr>
      </w:pPr>
    </w:p>
    <w:p w14:paraId="28B935A6" w14:textId="77777777" w:rsidR="009E0AC7" w:rsidRPr="00E81F84" w:rsidRDefault="009E0AC7" w:rsidP="009E0AC7">
      <w:pPr>
        <w:spacing w:after="0" w:line="240" w:lineRule="auto"/>
        <w:rPr>
          <w:rFonts w:ascii="Verdana" w:hAnsi="Verdana" w:cs="Arial"/>
          <w:color w:val="000000" w:themeColor="text1"/>
          <w:lang w:eastAsia="es-CO"/>
        </w:rPr>
      </w:pPr>
      <w:r w:rsidRPr="00E81F84">
        <w:rPr>
          <w:rFonts w:ascii="Verdana" w:eastAsia="Times New Roman" w:hAnsi="Verdana" w:cs="Arial"/>
          <w:color w:val="000000" w:themeColor="text1"/>
          <w:lang w:eastAsia="es-CO"/>
        </w:rPr>
        <w:t>Atentamente,</w:t>
      </w:r>
      <w:r w:rsidRPr="00E81F84">
        <w:rPr>
          <w:rFonts w:ascii="Verdana" w:hAnsi="Verdana" w:cs="Arial"/>
          <w:color w:val="000000" w:themeColor="text1"/>
          <w:lang w:eastAsia="es-CO"/>
        </w:rPr>
        <w:t xml:space="preserve"> </w:t>
      </w:r>
    </w:p>
    <w:p w14:paraId="644BD813" w14:textId="77777777" w:rsidR="009E0AC7" w:rsidRPr="00E81F84" w:rsidRDefault="009E0AC7" w:rsidP="009E0AC7">
      <w:pPr>
        <w:spacing w:line="276" w:lineRule="auto"/>
        <w:jc w:val="center"/>
        <w:rPr>
          <w:rFonts w:ascii="Verdana" w:hAnsi="Verdana" w:cs="Arial"/>
          <w:color w:val="000000" w:themeColor="text1"/>
          <w:lang w:val="es-ES_tradnl" w:eastAsia="es-CO"/>
        </w:rPr>
      </w:pPr>
    </w:p>
    <w:p w14:paraId="4CAD48A3" w14:textId="77777777" w:rsidR="009E0AC7" w:rsidRPr="00E81F84" w:rsidRDefault="009E0AC7" w:rsidP="009E0AC7">
      <w:pPr>
        <w:rPr>
          <w:color w:val="000000" w:themeColor="text1"/>
        </w:rPr>
      </w:pPr>
    </w:p>
    <w:p w14:paraId="2EC87918" w14:textId="77777777" w:rsidR="009E0AC7" w:rsidRPr="00221C91" w:rsidRDefault="009E0AC7" w:rsidP="009E0AC7">
      <w:pPr>
        <w:spacing w:line="276" w:lineRule="auto"/>
        <w:jc w:val="center"/>
        <w:rPr>
          <w:rFonts w:ascii="Verdana" w:hAnsi="Verdana" w:cs="Arial"/>
          <w:color w:val="000000"/>
          <w:lang w:val="es-ES_tradnl" w:eastAsia="es-CO"/>
        </w:rPr>
      </w:pPr>
      <w:r w:rsidRPr="009E0AC7">
        <w:rPr>
          <w:rFonts w:ascii="Verdana" w:hAnsi="Verdana"/>
          <w:noProof/>
          <w:sz w:val="26"/>
          <w:szCs w:val="26"/>
        </w:rPr>
        <w:drawing>
          <wp:inline distT="0" distB="0" distL="0" distR="0" wp14:anchorId="2F45A4E1" wp14:editId="1DD320DC">
            <wp:extent cx="2441575" cy="962875"/>
            <wp:effectExtent l="0" t="0" r="0" b="8890"/>
            <wp:docPr id="494079904"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32186" name="Imagen 1" descr="Imagen que contiene Diagrama&#10;&#10;Descripción generada automáticamente"/>
                    <pic:cNvPicPr/>
                  </pic:nvPicPr>
                  <pic:blipFill rotWithShape="1">
                    <a:blip r:embed="rId16"/>
                    <a:srcRect l="7068" t="24758" b="7281"/>
                    <a:stretch/>
                  </pic:blipFill>
                  <pic:spPr bwMode="auto">
                    <a:xfrm>
                      <a:off x="0" y="0"/>
                      <a:ext cx="2456057" cy="968586"/>
                    </a:xfrm>
                    <a:prstGeom prst="rect">
                      <a:avLst/>
                    </a:prstGeom>
                    <a:ln>
                      <a:noFill/>
                    </a:ln>
                    <a:extLst>
                      <a:ext uri="{53640926-AAD7-44D8-BBD7-CCE9431645EC}">
                        <a14:shadowObscured xmlns:a14="http://schemas.microsoft.com/office/drawing/2010/main"/>
                      </a:ext>
                    </a:extLst>
                  </pic:spPr>
                </pic:pic>
              </a:graphicData>
            </a:graphic>
          </wp:inline>
        </w:drawing>
      </w: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9E0AC7" w:rsidRPr="00B557EB" w14:paraId="27965693" w14:textId="77777777" w:rsidTr="00E520E8">
        <w:trPr>
          <w:trHeight w:val="45"/>
        </w:trPr>
        <w:tc>
          <w:tcPr>
            <w:tcW w:w="810" w:type="dxa"/>
            <w:tcBorders>
              <w:top w:val="nil"/>
              <w:left w:val="nil"/>
              <w:bottom w:val="nil"/>
              <w:right w:val="nil"/>
            </w:tcBorders>
            <w:shd w:val="clear" w:color="auto" w:fill="auto"/>
            <w:vAlign w:val="center"/>
            <w:hideMark/>
          </w:tcPr>
          <w:p w14:paraId="5BDA6C6D" w14:textId="77777777" w:rsidR="009E0AC7" w:rsidRPr="00B557EB" w:rsidRDefault="009E0AC7" w:rsidP="00E520E8">
            <w:pPr>
              <w:spacing w:after="0" w:line="240" w:lineRule="auto"/>
              <w:textAlignment w:val="baseline"/>
              <w:rPr>
                <w:rFonts w:ascii="Verdana" w:eastAsia="Times New Roman" w:hAnsi="Verdana" w:cs="Arial"/>
                <w:sz w:val="14"/>
                <w:szCs w:val="14"/>
                <w:lang w:val="es-MX" w:eastAsia="es-CO"/>
              </w:rPr>
            </w:pPr>
            <w:r w:rsidRPr="00B557EB">
              <w:rPr>
                <w:rFonts w:ascii="Verdana" w:eastAsia="Times New Roman" w:hAnsi="Verdana" w:cs="Arial"/>
                <w:sz w:val="14"/>
                <w:szCs w:val="14"/>
                <w:lang w:val="es-MX" w:eastAsia="es-CO"/>
              </w:rPr>
              <w:t>Elaboró: </w:t>
            </w:r>
          </w:p>
        </w:tc>
        <w:tc>
          <w:tcPr>
            <w:tcW w:w="4410" w:type="dxa"/>
            <w:tcBorders>
              <w:top w:val="dotted" w:sz="6" w:space="0" w:color="7F7F7F"/>
              <w:left w:val="nil"/>
              <w:bottom w:val="dotted" w:sz="6" w:space="0" w:color="7F7F7F"/>
              <w:right w:val="nil"/>
            </w:tcBorders>
            <w:shd w:val="clear" w:color="auto" w:fill="auto"/>
            <w:vAlign w:val="center"/>
            <w:hideMark/>
          </w:tcPr>
          <w:p w14:paraId="657E8237" w14:textId="77777777" w:rsidR="009E0AC7" w:rsidRPr="00B557EB" w:rsidRDefault="009E0AC7" w:rsidP="00E520E8">
            <w:pPr>
              <w:spacing w:after="0" w:line="240" w:lineRule="auto"/>
              <w:textAlignment w:val="baseline"/>
              <w:rPr>
                <w:rFonts w:ascii="Verdana" w:eastAsia="Times New Roman" w:hAnsi="Verdana" w:cs="Arial"/>
                <w:sz w:val="14"/>
                <w:szCs w:val="14"/>
                <w:lang w:val="es-MX" w:eastAsia="es-CO"/>
              </w:rPr>
            </w:pPr>
            <w:r w:rsidRPr="00B557EB">
              <w:rPr>
                <w:rFonts w:ascii="Verdana" w:eastAsia="Times New Roman" w:hAnsi="Verdana" w:cs="Arial"/>
                <w:sz w:val="14"/>
                <w:szCs w:val="14"/>
                <w:lang w:val="es-MX" w:eastAsia="es-CO"/>
              </w:rPr>
              <w:t>Oscar David Morelo Pedrozo</w:t>
            </w:r>
          </w:p>
          <w:p w14:paraId="4156520B" w14:textId="77777777" w:rsidR="009E0AC7" w:rsidRPr="00B557EB" w:rsidRDefault="009E0AC7" w:rsidP="00E520E8">
            <w:pPr>
              <w:spacing w:after="0" w:line="240" w:lineRule="auto"/>
              <w:textAlignment w:val="baseline"/>
              <w:rPr>
                <w:rFonts w:ascii="Verdana" w:eastAsia="Times New Roman" w:hAnsi="Verdana" w:cs="Arial"/>
                <w:sz w:val="14"/>
                <w:szCs w:val="14"/>
                <w:lang w:val="es-MX" w:eastAsia="es-CO"/>
              </w:rPr>
            </w:pPr>
            <w:r w:rsidRPr="00B557EB">
              <w:rPr>
                <w:rFonts w:ascii="Verdana" w:eastAsia="Times New Roman" w:hAnsi="Verdana" w:cs="Arial"/>
                <w:sz w:val="14"/>
                <w:szCs w:val="14"/>
                <w:lang w:val="es-MX" w:eastAsia="es-CO"/>
              </w:rPr>
              <w:t>Analista T2 –02 de la Subdirección de Gestión Contractual</w:t>
            </w:r>
          </w:p>
        </w:tc>
      </w:tr>
      <w:tr w:rsidR="009E0AC7" w:rsidRPr="00B557EB" w14:paraId="064AB524" w14:textId="77777777" w:rsidTr="00E520E8">
        <w:trPr>
          <w:trHeight w:val="65"/>
        </w:trPr>
        <w:tc>
          <w:tcPr>
            <w:tcW w:w="810" w:type="dxa"/>
            <w:tcBorders>
              <w:top w:val="nil"/>
              <w:left w:val="nil"/>
              <w:bottom w:val="nil"/>
              <w:right w:val="nil"/>
            </w:tcBorders>
            <w:shd w:val="clear" w:color="auto" w:fill="auto"/>
            <w:vAlign w:val="center"/>
            <w:hideMark/>
          </w:tcPr>
          <w:p w14:paraId="4D84126E" w14:textId="77777777" w:rsidR="009E0AC7" w:rsidRPr="00B557EB" w:rsidRDefault="009E0AC7" w:rsidP="00E520E8">
            <w:pPr>
              <w:spacing w:after="0" w:line="240" w:lineRule="auto"/>
              <w:textAlignment w:val="baseline"/>
              <w:rPr>
                <w:rFonts w:ascii="Verdana" w:eastAsia="Times New Roman" w:hAnsi="Verdana" w:cs="Arial"/>
                <w:sz w:val="14"/>
                <w:szCs w:val="14"/>
                <w:lang w:val="es-MX" w:eastAsia="es-CO"/>
              </w:rPr>
            </w:pPr>
            <w:r w:rsidRPr="00B557EB">
              <w:rPr>
                <w:rFonts w:ascii="Verdana" w:eastAsia="Times New Roman" w:hAnsi="Verdana" w:cs="Arial"/>
                <w:sz w:val="14"/>
                <w:szCs w:val="14"/>
                <w:lang w:val="es-MX" w:eastAsia="es-CO"/>
              </w:rPr>
              <w:t>Revisó: </w:t>
            </w:r>
          </w:p>
        </w:tc>
        <w:tc>
          <w:tcPr>
            <w:tcW w:w="4410" w:type="dxa"/>
            <w:tcBorders>
              <w:top w:val="dotted" w:sz="6" w:space="0" w:color="7F7F7F"/>
              <w:left w:val="nil"/>
              <w:bottom w:val="dotted" w:sz="6" w:space="0" w:color="7F7F7F"/>
              <w:right w:val="nil"/>
            </w:tcBorders>
            <w:shd w:val="clear" w:color="auto" w:fill="auto"/>
            <w:vAlign w:val="center"/>
            <w:hideMark/>
          </w:tcPr>
          <w:p w14:paraId="5EC3D54F" w14:textId="77777777" w:rsidR="009E0AC7" w:rsidRPr="00B557EB" w:rsidRDefault="009E0AC7" w:rsidP="00E520E8">
            <w:pPr>
              <w:spacing w:after="0" w:line="240" w:lineRule="auto"/>
              <w:textAlignment w:val="baseline"/>
              <w:rPr>
                <w:rFonts w:ascii="Verdana" w:eastAsia="Times New Roman" w:hAnsi="Verdana" w:cs="Arial"/>
                <w:sz w:val="14"/>
                <w:szCs w:val="14"/>
                <w:lang w:eastAsia="es-CO"/>
              </w:rPr>
            </w:pPr>
            <w:r w:rsidRPr="00B557EB">
              <w:rPr>
                <w:rFonts w:ascii="Verdana" w:eastAsia="Times New Roman" w:hAnsi="Verdana" w:cs="Arial"/>
                <w:sz w:val="14"/>
                <w:szCs w:val="14"/>
                <w:lang w:eastAsia="es-CO"/>
              </w:rPr>
              <w:t>Cielo Victoria Gonzalez Meza</w:t>
            </w:r>
          </w:p>
          <w:p w14:paraId="19DB1F41" w14:textId="77777777" w:rsidR="009E0AC7" w:rsidRPr="00B557EB" w:rsidRDefault="009E0AC7" w:rsidP="00E520E8">
            <w:pPr>
              <w:spacing w:after="0" w:line="240" w:lineRule="auto"/>
              <w:textAlignment w:val="baseline"/>
              <w:rPr>
                <w:rFonts w:ascii="Verdana" w:eastAsia="Times New Roman" w:hAnsi="Verdana" w:cs="Arial"/>
                <w:sz w:val="14"/>
                <w:szCs w:val="14"/>
                <w:lang w:val="es-MX" w:eastAsia="es-CO"/>
              </w:rPr>
            </w:pPr>
            <w:r w:rsidRPr="00B557EB">
              <w:rPr>
                <w:rFonts w:ascii="Verdana" w:eastAsia="Times New Roman" w:hAnsi="Verdana" w:cs="Arial"/>
                <w:sz w:val="14"/>
                <w:szCs w:val="14"/>
                <w:lang w:val="es-MX" w:eastAsia="es-CO"/>
              </w:rPr>
              <w:t>Contratista de la Subdirección de la de Gestión Contractual</w:t>
            </w:r>
          </w:p>
        </w:tc>
      </w:tr>
      <w:tr w:rsidR="009E0AC7" w:rsidRPr="00B557EB" w14:paraId="64F53D83" w14:textId="77777777" w:rsidTr="00E520E8">
        <w:trPr>
          <w:trHeight w:val="65"/>
        </w:trPr>
        <w:tc>
          <w:tcPr>
            <w:tcW w:w="810" w:type="dxa"/>
            <w:tcBorders>
              <w:top w:val="nil"/>
              <w:left w:val="nil"/>
              <w:bottom w:val="nil"/>
              <w:right w:val="nil"/>
            </w:tcBorders>
            <w:shd w:val="clear" w:color="auto" w:fill="auto"/>
            <w:vAlign w:val="center"/>
            <w:hideMark/>
          </w:tcPr>
          <w:p w14:paraId="7B13E637" w14:textId="77777777" w:rsidR="009E0AC7" w:rsidRPr="00B557EB" w:rsidRDefault="009E0AC7" w:rsidP="00E520E8">
            <w:pPr>
              <w:autoSpaceDE w:val="0"/>
              <w:autoSpaceDN w:val="0"/>
              <w:adjustRightInd w:val="0"/>
              <w:spacing w:after="0" w:line="240" w:lineRule="auto"/>
              <w:jc w:val="both"/>
              <w:rPr>
                <w:rFonts w:ascii="Verdana" w:eastAsia="Calibri" w:hAnsi="Verdana" w:cs="Arial"/>
                <w:sz w:val="14"/>
                <w:szCs w:val="14"/>
              </w:rPr>
            </w:pPr>
            <w:r w:rsidRPr="00B557EB">
              <w:rPr>
                <w:rFonts w:ascii="Verdana" w:eastAsia="Calibri" w:hAnsi="Verdana" w:cs="Arial"/>
                <w:sz w:val="14"/>
                <w:szCs w:val="14"/>
              </w:rPr>
              <w:t>Aprobó: </w:t>
            </w:r>
          </w:p>
        </w:tc>
        <w:tc>
          <w:tcPr>
            <w:tcW w:w="4410"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4573B867" w14:textId="77777777" w:rsidR="009E0AC7" w:rsidRPr="00B557EB" w:rsidRDefault="009E0AC7" w:rsidP="00E520E8">
            <w:pPr>
              <w:autoSpaceDE w:val="0"/>
              <w:autoSpaceDN w:val="0"/>
              <w:adjustRightInd w:val="0"/>
              <w:spacing w:after="0" w:line="240" w:lineRule="auto"/>
              <w:jc w:val="both"/>
              <w:rPr>
                <w:rFonts w:ascii="Verdana" w:eastAsia="Calibri" w:hAnsi="Verdana" w:cs="Arial"/>
                <w:sz w:val="14"/>
                <w:szCs w:val="14"/>
              </w:rPr>
            </w:pPr>
            <w:r w:rsidRPr="00B557EB">
              <w:rPr>
                <w:rFonts w:ascii="Verdana" w:eastAsia="Calibri" w:hAnsi="Verdana" w:cs="Arial"/>
                <w:sz w:val="14"/>
                <w:szCs w:val="14"/>
              </w:rPr>
              <w:t>Carolina Quintero Gacharná</w:t>
            </w:r>
          </w:p>
          <w:p w14:paraId="03761AF8" w14:textId="77777777" w:rsidR="009E0AC7" w:rsidRPr="00B557EB" w:rsidRDefault="009E0AC7" w:rsidP="00E520E8">
            <w:pPr>
              <w:autoSpaceDE w:val="0"/>
              <w:autoSpaceDN w:val="0"/>
              <w:adjustRightInd w:val="0"/>
              <w:spacing w:after="0" w:line="240" w:lineRule="auto"/>
              <w:jc w:val="both"/>
              <w:rPr>
                <w:rFonts w:ascii="Verdana" w:eastAsia="Calibri" w:hAnsi="Verdana" w:cs="Arial"/>
                <w:sz w:val="14"/>
                <w:szCs w:val="14"/>
              </w:rPr>
            </w:pPr>
            <w:r w:rsidRPr="00B557EB">
              <w:rPr>
                <w:rFonts w:ascii="Verdana" w:eastAsia="Calibri" w:hAnsi="Verdana" w:cs="Arial"/>
                <w:sz w:val="14"/>
                <w:szCs w:val="14"/>
              </w:rPr>
              <w:t>Subdirectora de Gestión Contractual ANCP-CCE</w:t>
            </w:r>
          </w:p>
        </w:tc>
      </w:tr>
    </w:tbl>
    <w:p w14:paraId="01577B33" w14:textId="77777777" w:rsidR="009E0AC7" w:rsidRPr="0044528D" w:rsidRDefault="009E0AC7" w:rsidP="00665D70">
      <w:pPr>
        <w:spacing w:after="0"/>
        <w:jc w:val="both"/>
        <w:rPr>
          <w:rFonts w:ascii="Verdana" w:hAnsi="Verdana"/>
        </w:rPr>
      </w:pPr>
    </w:p>
    <w:sectPr w:rsidR="009E0AC7"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69E0F" w14:textId="77777777" w:rsidR="00E32C14" w:rsidRDefault="00E32C14" w:rsidP="004A1847">
      <w:pPr>
        <w:spacing w:after="0" w:line="240" w:lineRule="auto"/>
      </w:pPr>
      <w:r>
        <w:separator/>
      </w:r>
    </w:p>
  </w:endnote>
  <w:endnote w:type="continuationSeparator" w:id="0">
    <w:p w14:paraId="59D12DC0" w14:textId="77777777" w:rsidR="00E32C14" w:rsidRDefault="00E32C14" w:rsidP="004A1847">
      <w:pPr>
        <w:spacing w:after="0" w:line="240" w:lineRule="auto"/>
      </w:pPr>
      <w:r>
        <w:continuationSeparator/>
      </w:r>
    </w:p>
  </w:endnote>
  <w:endnote w:type="continuationNotice" w:id="1">
    <w:p w14:paraId="32003499" w14:textId="77777777" w:rsidR="00E32C14" w:rsidRDefault="00E32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EAAC0" w14:textId="77777777" w:rsidR="00E32C14" w:rsidRDefault="00E32C14" w:rsidP="004A1847">
      <w:pPr>
        <w:spacing w:after="0" w:line="240" w:lineRule="auto"/>
      </w:pPr>
      <w:r>
        <w:separator/>
      </w:r>
    </w:p>
  </w:footnote>
  <w:footnote w:type="continuationSeparator" w:id="0">
    <w:p w14:paraId="6D5C7250" w14:textId="77777777" w:rsidR="00E32C14" w:rsidRDefault="00E32C14" w:rsidP="004A1847">
      <w:pPr>
        <w:spacing w:after="0" w:line="240" w:lineRule="auto"/>
      </w:pPr>
      <w:r>
        <w:continuationSeparator/>
      </w:r>
    </w:p>
  </w:footnote>
  <w:footnote w:type="continuationNotice" w:id="1">
    <w:p w14:paraId="53D1B4F3" w14:textId="77777777" w:rsidR="00E32C14" w:rsidRDefault="00E32C14">
      <w:pPr>
        <w:spacing w:after="0" w:line="240" w:lineRule="auto"/>
      </w:pPr>
    </w:p>
  </w:footnote>
  <w:footnote w:id="2">
    <w:p w14:paraId="10B11FAD" w14:textId="48AFF2C8" w:rsidR="00E51C7E" w:rsidRPr="006359F7" w:rsidRDefault="00915A39" w:rsidP="006359F7">
      <w:pPr>
        <w:pStyle w:val="Textonotapie"/>
        <w:jc w:val="both"/>
        <w:rPr>
          <w:rFonts w:ascii="Verdana" w:hAnsi="Verdana" w:cs="Arial"/>
          <w:sz w:val="16"/>
          <w:szCs w:val="16"/>
          <w:lang w:val="es-CO"/>
        </w:rPr>
      </w:pPr>
      <w:r w:rsidRPr="006359F7">
        <w:rPr>
          <w:rStyle w:val="Refdenotaalpie"/>
          <w:sz w:val="16"/>
          <w:szCs w:val="16"/>
        </w:rPr>
        <w:footnoteRef/>
      </w:r>
      <w:r w:rsidRPr="006359F7">
        <w:rPr>
          <w:sz w:val="16"/>
          <w:szCs w:val="16"/>
        </w:rPr>
        <w:t xml:space="preserve"> </w:t>
      </w:r>
      <w:r w:rsidR="001938FD">
        <w:rPr>
          <w:rFonts w:ascii="Verdana" w:hAnsi="Verdana" w:cs="Arial"/>
          <w:sz w:val="16"/>
          <w:szCs w:val="16"/>
        </w:rPr>
        <w:t xml:space="preserve">Articulo </w:t>
      </w:r>
      <w:r w:rsidRPr="006359F7">
        <w:rPr>
          <w:rFonts w:ascii="Verdana" w:hAnsi="Verdana" w:cs="Arial"/>
          <w:sz w:val="16"/>
          <w:szCs w:val="16"/>
        </w:rPr>
        <w:t>6 de la Ley 1150 de 2007</w:t>
      </w:r>
      <w:r w:rsidR="00E51C7E" w:rsidRPr="006359F7">
        <w:rPr>
          <w:rFonts w:ascii="Verdana" w:hAnsi="Verdana" w:cs="Arial"/>
          <w:sz w:val="16"/>
          <w:szCs w:val="16"/>
        </w:rPr>
        <w:t xml:space="preserve"> “</w:t>
      </w:r>
      <w:r w:rsidR="00E51C7E" w:rsidRPr="006359F7">
        <w:rPr>
          <w:rFonts w:ascii="Verdana" w:hAnsi="Verdana" w:cs="Arial"/>
          <w:sz w:val="16"/>
          <w:szCs w:val="16"/>
          <w:lang w:val="es-CO"/>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1631D1F" w14:textId="77777777" w:rsidR="00E51C7E" w:rsidRPr="006359F7" w:rsidRDefault="00E51C7E" w:rsidP="006359F7">
      <w:pPr>
        <w:pStyle w:val="Textonotapie"/>
        <w:jc w:val="both"/>
        <w:rPr>
          <w:rFonts w:ascii="Verdana" w:hAnsi="Verdana" w:cs="Arial"/>
          <w:sz w:val="16"/>
          <w:szCs w:val="16"/>
          <w:lang w:val="es-CO"/>
        </w:rPr>
      </w:pPr>
    </w:p>
    <w:p w14:paraId="7618F47B" w14:textId="527E313B" w:rsidR="00E51C7E" w:rsidRPr="006359F7" w:rsidRDefault="00E51C7E" w:rsidP="006359F7">
      <w:pPr>
        <w:pStyle w:val="Textonotapie"/>
        <w:jc w:val="both"/>
        <w:rPr>
          <w:rFonts w:ascii="Verdana" w:hAnsi="Verdana" w:cs="Arial"/>
          <w:sz w:val="16"/>
          <w:szCs w:val="16"/>
          <w:lang w:val="es-CO"/>
        </w:rPr>
      </w:pPr>
      <w:r w:rsidRPr="006359F7">
        <w:rPr>
          <w:rFonts w:ascii="Verdana" w:hAnsi="Verdana" w:cs="Arial"/>
          <w:b/>
          <w:sz w:val="16"/>
          <w:szCs w:val="16"/>
          <w:lang w:val="es-CO"/>
        </w:rPr>
        <w:t>No se requerirá de este registro,</w:t>
      </w:r>
      <w:r w:rsidRPr="006359F7">
        <w:rPr>
          <w:rFonts w:ascii="Verdana" w:hAnsi="Verdana" w:cs="Arial"/>
          <w:sz w:val="16"/>
          <w:szCs w:val="16"/>
          <w:lang w:val="es-CO"/>
        </w:rPr>
        <w:t xml:space="preserve"> ni de clasificación, en los casos de contratación directa; contratos para la prestación de servicios de salud; </w:t>
      </w:r>
      <w:r w:rsidRPr="006359F7">
        <w:rPr>
          <w:rFonts w:ascii="Verdana" w:hAnsi="Verdana" w:cs="Arial"/>
          <w:b/>
          <w:sz w:val="16"/>
          <w:szCs w:val="16"/>
          <w:lang w:val="es-CO"/>
        </w:rPr>
        <w:t>contratos de mínima cuantía;</w:t>
      </w:r>
      <w:r w:rsidRPr="006359F7">
        <w:rPr>
          <w:rFonts w:ascii="Verdana" w:hAnsi="Verdana" w:cs="Arial"/>
          <w:sz w:val="16"/>
          <w:szCs w:val="16"/>
          <w:lang w:val="es-CO"/>
        </w:rPr>
        <w:t xml:space="preserve">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001938FD">
        <w:rPr>
          <w:rFonts w:ascii="Verdana" w:hAnsi="Verdana" w:cs="Arial"/>
          <w:sz w:val="16"/>
          <w:szCs w:val="16"/>
          <w:lang w:val="es-CO"/>
        </w:rPr>
        <w:t xml:space="preserve"> (…)”</w:t>
      </w:r>
    </w:p>
    <w:p w14:paraId="28B3E359" w14:textId="3667FB36" w:rsidR="00915A39" w:rsidRPr="006359F7" w:rsidRDefault="00915A39">
      <w:pPr>
        <w:pStyle w:val="Textonotapie"/>
        <w:rPr>
          <w:lang w:val="es-ES"/>
        </w:rPr>
      </w:pPr>
    </w:p>
  </w:footnote>
  <w:footnote w:id="3">
    <w:p w14:paraId="3E01D035" w14:textId="77777777" w:rsidR="00D47091" w:rsidRPr="002E68ED" w:rsidRDefault="00D47091" w:rsidP="00D47091">
      <w:pPr>
        <w:pStyle w:val="Textonotapie"/>
        <w:rPr>
          <w:lang w:val="es-CO"/>
        </w:rPr>
      </w:pPr>
      <w:r>
        <w:rPr>
          <w:rStyle w:val="Refdenotaalpie"/>
        </w:rPr>
        <w:footnoteRef/>
      </w:r>
      <w:r>
        <w:t xml:space="preserve"> </w:t>
      </w:r>
      <w:r w:rsidRPr="002E68ED">
        <w:rPr>
          <w:lang w:val="es-CO"/>
        </w:rPr>
        <w:t xml:space="preserve">Artículo 2.2.1.2.1.5.2. del Decreto 1082 de 2015. </w:t>
      </w:r>
    </w:p>
    <w:p w14:paraId="669D4EF4" w14:textId="77777777" w:rsidR="00D47091" w:rsidRPr="0076744F" w:rsidRDefault="00D47091" w:rsidP="00D47091">
      <w:pPr>
        <w:pStyle w:val="Textonotapie"/>
        <w:rPr>
          <w:lang w:val="es-CO"/>
        </w:rPr>
      </w:pPr>
    </w:p>
  </w:footnote>
  <w:footnote w:id="4">
    <w:p w14:paraId="3BEACE58" w14:textId="77777777" w:rsidR="00D47091" w:rsidRPr="005156D5" w:rsidRDefault="00D47091" w:rsidP="00D47091">
      <w:pPr>
        <w:pStyle w:val="Textonotapie"/>
        <w:rPr>
          <w:lang w:val="es-CO"/>
        </w:rPr>
      </w:pPr>
      <w:r>
        <w:rPr>
          <w:rStyle w:val="Refdenotaalpie"/>
        </w:rPr>
        <w:footnoteRef/>
      </w:r>
      <w:r>
        <w:t xml:space="preserve"> </w:t>
      </w:r>
      <w:r w:rsidRPr="005156D5">
        <w:rPr>
          <w:lang w:val="es-CO"/>
        </w:rPr>
        <w:t xml:space="preserve">DÁVILA VINUEZA, Luis Guillermo. </w:t>
      </w:r>
      <w:r w:rsidRPr="005156D5">
        <w:rPr>
          <w:i/>
          <w:iCs/>
          <w:lang w:val="es-CO"/>
        </w:rPr>
        <w:t>“Régimen jurídico de la contratación estatal”</w:t>
      </w:r>
      <w:r w:rsidRPr="005156D5">
        <w:rPr>
          <w:lang w:val="es-CO"/>
        </w:rPr>
        <w:t xml:space="preserve">. 3a ed. Bogotá: Legis, 2016. p. 463. </w:t>
      </w:r>
    </w:p>
    <w:p w14:paraId="39FAC86E" w14:textId="77777777" w:rsidR="00D47091" w:rsidRPr="0076744F" w:rsidRDefault="00D47091" w:rsidP="00D47091">
      <w:pPr>
        <w:pStyle w:val="Textonotapie"/>
        <w:rPr>
          <w:lang w:val="es-ES"/>
        </w:rPr>
      </w:pPr>
    </w:p>
  </w:footnote>
  <w:footnote w:id="5">
    <w:p w14:paraId="79B6A13E" w14:textId="77777777" w:rsidR="00D92678" w:rsidRPr="00E520E8" w:rsidRDefault="00D92678" w:rsidP="00D92678">
      <w:pPr>
        <w:pStyle w:val="Textonotapie"/>
        <w:rPr>
          <w:rFonts w:ascii="Verdana" w:hAnsi="Verdana"/>
          <w:b/>
          <w:bCs/>
          <w:color w:val="000000" w:themeColor="text1"/>
          <w:sz w:val="16"/>
          <w:szCs w:val="16"/>
          <w:lang w:val="es-ES"/>
        </w:rPr>
      </w:pPr>
      <w:r w:rsidRPr="00E520E8">
        <w:rPr>
          <w:rStyle w:val="Refdenotaalpie"/>
          <w:rFonts w:ascii="Verdana" w:hAnsi="Verdana"/>
          <w:b/>
          <w:bCs/>
          <w:color w:val="000000" w:themeColor="text1"/>
          <w:sz w:val="16"/>
          <w:szCs w:val="16"/>
        </w:rPr>
        <w:footnoteRef/>
      </w:r>
      <w:r w:rsidRPr="00E520E8">
        <w:rPr>
          <w:rFonts w:ascii="Verdana" w:hAnsi="Verdana"/>
          <w:b/>
          <w:bCs/>
          <w:color w:val="000000" w:themeColor="text1"/>
          <w:sz w:val="16"/>
          <w:szCs w:val="16"/>
        </w:rPr>
        <w:t xml:space="preserve"> </w:t>
      </w:r>
      <w:r w:rsidRPr="00E520E8">
        <w:rPr>
          <w:rStyle w:val="Textoennegrita"/>
          <w:rFonts w:ascii="Verdana" w:hAnsi="Verdana"/>
          <w:b w:val="0"/>
          <w:bCs w:val="0"/>
          <w:color w:val="000000" w:themeColor="text1"/>
          <w:sz w:val="16"/>
          <w:szCs w:val="16"/>
        </w:rPr>
        <w:t>Artículo 2.2.1.2.1.5.2 del Decreto 1082 de 2015</w:t>
      </w:r>
    </w:p>
  </w:footnote>
  <w:footnote w:id="6">
    <w:p w14:paraId="6E54BA16" w14:textId="77777777" w:rsidR="00D92678" w:rsidRPr="00E520E8" w:rsidRDefault="00D92678" w:rsidP="00D92678">
      <w:pPr>
        <w:pStyle w:val="Textonotapie"/>
        <w:rPr>
          <w:rFonts w:ascii="Verdana" w:hAnsi="Verdana"/>
          <w:color w:val="000000" w:themeColor="text1"/>
          <w:sz w:val="16"/>
          <w:szCs w:val="16"/>
          <w:lang w:val="es-CO"/>
        </w:rPr>
      </w:pPr>
      <w:r w:rsidRPr="00E520E8">
        <w:rPr>
          <w:rStyle w:val="Refdenotaalpie"/>
          <w:rFonts w:ascii="Verdana" w:hAnsi="Verdana"/>
          <w:color w:val="000000" w:themeColor="text1"/>
          <w:sz w:val="16"/>
          <w:szCs w:val="16"/>
        </w:rPr>
        <w:footnoteRef/>
      </w:r>
      <w:r w:rsidRPr="00E520E8">
        <w:rPr>
          <w:rFonts w:ascii="Verdana" w:hAnsi="Verdana"/>
          <w:color w:val="000000" w:themeColor="text1"/>
          <w:sz w:val="16"/>
          <w:szCs w:val="16"/>
        </w:rPr>
        <w:t xml:space="preserve"> </w:t>
      </w:r>
      <w:r w:rsidRPr="00E520E8">
        <w:rPr>
          <w:rFonts w:ascii="Verdana" w:hAnsi="Verdana"/>
          <w:color w:val="000000" w:themeColor="text1"/>
          <w:sz w:val="16"/>
          <w:szCs w:val="16"/>
          <w:lang w:val="es-CO"/>
        </w:rPr>
        <w:t xml:space="preserve">Manual de la Modalidad de Selección de Mínima Cuantía </w:t>
      </w:r>
    </w:p>
    <w:p w14:paraId="4373D3DB" w14:textId="77777777" w:rsidR="00D92678" w:rsidRPr="0076744F" w:rsidRDefault="00D92678" w:rsidP="00D92678">
      <w:pPr>
        <w:pStyle w:val="Textonotapie"/>
        <w:rPr>
          <w:lang w:val="es-CO"/>
        </w:rPr>
      </w:pPr>
    </w:p>
  </w:footnote>
  <w:footnote w:id="7">
    <w:p w14:paraId="4D9347C2" w14:textId="77777777" w:rsidR="00D92678" w:rsidRPr="002B1D08" w:rsidRDefault="00D92678" w:rsidP="00D92678">
      <w:pPr>
        <w:spacing w:after="0" w:line="240" w:lineRule="auto"/>
        <w:contextualSpacing/>
        <w:jc w:val="both"/>
        <w:rPr>
          <w:rFonts w:ascii="Verdana" w:hAnsi="Verdana"/>
          <w:sz w:val="16"/>
          <w:szCs w:val="16"/>
        </w:rPr>
      </w:pPr>
    </w:p>
  </w:footnote>
  <w:footnote w:id="8">
    <w:p w14:paraId="2634B718" w14:textId="77777777" w:rsidR="00D92678" w:rsidRPr="002B1D08" w:rsidRDefault="00D92678" w:rsidP="00D92678">
      <w:pPr>
        <w:pStyle w:val="Textonotapie"/>
        <w:ind w:firstLine="708"/>
        <w:contextualSpacing/>
        <w:jc w:val="both"/>
        <w:rPr>
          <w:rFonts w:ascii="Verdana" w:hAnsi="Verdana"/>
          <w:sz w:val="16"/>
          <w:szCs w:val="16"/>
          <w:lang w:val="es-ES"/>
        </w:rPr>
      </w:pPr>
      <w:r w:rsidRPr="002B1D08">
        <w:rPr>
          <w:rStyle w:val="Refdenotaalpie"/>
          <w:rFonts w:ascii="Verdana" w:hAnsi="Verdana"/>
          <w:sz w:val="16"/>
          <w:szCs w:val="16"/>
        </w:rPr>
        <w:footnoteRef/>
      </w:r>
      <w:r w:rsidRPr="002B1D08">
        <w:rPr>
          <w:rFonts w:ascii="Verdana" w:hAnsi="Verdana"/>
          <w:sz w:val="16"/>
          <w:szCs w:val="16"/>
        </w:rPr>
        <w:t xml:space="preserve"> </w:t>
      </w:r>
      <w:r w:rsidRPr="002B1D08">
        <w:rPr>
          <w:rFonts w:ascii="Verdana" w:hAnsi="Verdana"/>
          <w:sz w:val="16"/>
          <w:szCs w:val="16"/>
          <w:lang w:val="es-CO"/>
        </w:rPr>
        <w:t>Decreto 1082 de 2015: “Artículo 2.2.1.1.1.5.3. Requisitos habilitantes contenidos en el RUP. Las cámaras de comercio, con base en la información a la que hace referencia el artículo anterior, deben verificar y certificar los siguientes requisitos habilitantes: “1. Experiencia – Los contratos celebrados por el interesado para cada uno de los bienes, obras y servicios que ofrecerá a las Entidades Estatales, identificados con el Clasificador de Bienes y Servicios en el tercer nivel y su valor expresado en SMMLV. [...]”.</w:t>
      </w:r>
    </w:p>
  </w:footnote>
  <w:footnote w:id="9">
    <w:p w14:paraId="4F60D07C" w14:textId="77777777" w:rsidR="00D92678" w:rsidRPr="00E25472" w:rsidRDefault="00D92678" w:rsidP="00D92678">
      <w:pPr>
        <w:pStyle w:val="Textonotapie"/>
        <w:rPr>
          <w:lang w:val="es-CO"/>
        </w:rPr>
      </w:pPr>
      <w:r>
        <w:rPr>
          <w:rStyle w:val="Refdenotaalpie"/>
        </w:rPr>
        <w:footnoteRef/>
      </w:r>
      <w:r>
        <w:t xml:space="preserve"> </w:t>
      </w:r>
      <w:r>
        <w:rPr>
          <w:lang w:val="es-ES"/>
        </w:rPr>
        <w:t xml:space="preserve">Pag 9 </w:t>
      </w:r>
      <w:r w:rsidRPr="00E25472">
        <w:rPr>
          <w:lang w:val="es-CO"/>
        </w:rPr>
        <w:t xml:space="preserve">Manual de la Modalidad de Selección de Mínima Cuantía </w:t>
      </w:r>
      <w:r>
        <w:rPr>
          <w:lang w:val="es-CO"/>
        </w:rPr>
        <w:t xml:space="preserve"> expedido por ANCP-CCE</w:t>
      </w:r>
    </w:p>
    <w:p w14:paraId="502B0ACD" w14:textId="77777777" w:rsidR="00D92678" w:rsidRPr="0076744F" w:rsidRDefault="00D92678" w:rsidP="00D92678">
      <w:pPr>
        <w:pStyle w:val="Textonotapie"/>
        <w:rPr>
          <w:lang w:val="es-ES"/>
        </w:rPr>
      </w:pPr>
    </w:p>
  </w:footnote>
  <w:footnote w:id="10">
    <w:p w14:paraId="1E4A2794" w14:textId="77777777" w:rsidR="00D92678" w:rsidRPr="0076744F" w:rsidRDefault="00D92678" w:rsidP="00D92678">
      <w:pPr>
        <w:pStyle w:val="Textonotapie"/>
        <w:rPr>
          <w:lang w:val="es-ES"/>
        </w:rPr>
      </w:pPr>
      <w:r>
        <w:rPr>
          <w:rStyle w:val="Refdenotaalpie"/>
        </w:rPr>
        <w:footnoteRef/>
      </w:r>
      <w:r>
        <w:t xml:space="preserve"> </w:t>
      </w:r>
      <w:r>
        <w:rPr>
          <w:lang w:val="es-ES"/>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0596A2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73F7"/>
    <w:rsid w:val="0003599F"/>
    <w:rsid w:val="0004622E"/>
    <w:rsid w:val="00061B2A"/>
    <w:rsid w:val="00082362"/>
    <w:rsid w:val="00082373"/>
    <w:rsid w:val="000A683E"/>
    <w:rsid w:val="000B19B9"/>
    <w:rsid w:val="000C42CF"/>
    <w:rsid w:val="000D0334"/>
    <w:rsid w:val="000F6486"/>
    <w:rsid w:val="00125105"/>
    <w:rsid w:val="00127233"/>
    <w:rsid w:val="00170979"/>
    <w:rsid w:val="001938FD"/>
    <w:rsid w:val="001A7681"/>
    <w:rsid w:val="001E4177"/>
    <w:rsid w:val="001F7DC6"/>
    <w:rsid w:val="002234D9"/>
    <w:rsid w:val="002421BB"/>
    <w:rsid w:val="0025796E"/>
    <w:rsid w:val="002707A2"/>
    <w:rsid w:val="002951A0"/>
    <w:rsid w:val="002962BC"/>
    <w:rsid w:val="002A093D"/>
    <w:rsid w:val="002A0DD0"/>
    <w:rsid w:val="002A49AC"/>
    <w:rsid w:val="002A64FD"/>
    <w:rsid w:val="002C1F0D"/>
    <w:rsid w:val="002C7A84"/>
    <w:rsid w:val="002E4FD9"/>
    <w:rsid w:val="00321AB4"/>
    <w:rsid w:val="00322A85"/>
    <w:rsid w:val="00324168"/>
    <w:rsid w:val="003448F4"/>
    <w:rsid w:val="00374F5E"/>
    <w:rsid w:val="00377E3E"/>
    <w:rsid w:val="003A115C"/>
    <w:rsid w:val="003A26D1"/>
    <w:rsid w:val="003A779E"/>
    <w:rsid w:val="003D0F4D"/>
    <w:rsid w:val="003D5B0D"/>
    <w:rsid w:val="003D5C7B"/>
    <w:rsid w:val="003E0499"/>
    <w:rsid w:val="003F3941"/>
    <w:rsid w:val="00406575"/>
    <w:rsid w:val="0042722E"/>
    <w:rsid w:val="0044528D"/>
    <w:rsid w:val="004A0096"/>
    <w:rsid w:val="004A1847"/>
    <w:rsid w:val="004A305D"/>
    <w:rsid w:val="004B7D3C"/>
    <w:rsid w:val="004C6EC5"/>
    <w:rsid w:val="004D5030"/>
    <w:rsid w:val="004F21C4"/>
    <w:rsid w:val="004F685F"/>
    <w:rsid w:val="005566E8"/>
    <w:rsid w:val="00574867"/>
    <w:rsid w:val="00591460"/>
    <w:rsid w:val="00592628"/>
    <w:rsid w:val="005A2F5D"/>
    <w:rsid w:val="005C3777"/>
    <w:rsid w:val="005C3C30"/>
    <w:rsid w:val="005C5CDC"/>
    <w:rsid w:val="005D476C"/>
    <w:rsid w:val="005F56AC"/>
    <w:rsid w:val="00610812"/>
    <w:rsid w:val="006219F8"/>
    <w:rsid w:val="006359F7"/>
    <w:rsid w:val="00650FF7"/>
    <w:rsid w:val="00665D70"/>
    <w:rsid w:val="00671DAC"/>
    <w:rsid w:val="00680F67"/>
    <w:rsid w:val="006900D9"/>
    <w:rsid w:val="006A220F"/>
    <w:rsid w:val="006D12F8"/>
    <w:rsid w:val="006E4B01"/>
    <w:rsid w:val="00703E0E"/>
    <w:rsid w:val="00706C16"/>
    <w:rsid w:val="007125BB"/>
    <w:rsid w:val="00735090"/>
    <w:rsid w:val="00756841"/>
    <w:rsid w:val="00756A07"/>
    <w:rsid w:val="007649AB"/>
    <w:rsid w:val="00771D0C"/>
    <w:rsid w:val="007833AC"/>
    <w:rsid w:val="00791621"/>
    <w:rsid w:val="007B268C"/>
    <w:rsid w:val="007B7171"/>
    <w:rsid w:val="007C0C0F"/>
    <w:rsid w:val="007C3DC2"/>
    <w:rsid w:val="007E5497"/>
    <w:rsid w:val="007E7D25"/>
    <w:rsid w:val="007F16EA"/>
    <w:rsid w:val="00806259"/>
    <w:rsid w:val="00806F5F"/>
    <w:rsid w:val="00820278"/>
    <w:rsid w:val="008843B6"/>
    <w:rsid w:val="008856C7"/>
    <w:rsid w:val="00891928"/>
    <w:rsid w:val="00892DEF"/>
    <w:rsid w:val="008A1C3F"/>
    <w:rsid w:val="008A446D"/>
    <w:rsid w:val="008D180B"/>
    <w:rsid w:val="008F0EA7"/>
    <w:rsid w:val="008F546D"/>
    <w:rsid w:val="00915A39"/>
    <w:rsid w:val="00923EEF"/>
    <w:rsid w:val="009419F9"/>
    <w:rsid w:val="0095685E"/>
    <w:rsid w:val="00961B09"/>
    <w:rsid w:val="00965334"/>
    <w:rsid w:val="009708A4"/>
    <w:rsid w:val="0097093E"/>
    <w:rsid w:val="00974722"/>
    <w:rsid w:val="00985427"/>
    <w:rsid w:val="009A0DFA"/>
    <w:rsid w:val="009B2D26"/>
    <w:rsid w:val="009C71FA"/>
    <w:rsid w:val="009C72E7"/>
    <w:rsid w:val="009D254F"/>
    <w:rsid w:val="009D3058"/>
    <w:rsid w:val="009E0AC7"/>
    <w:rsid w:val="009F3A13"/>
    <w:rsid w:val="00A122D3"/>
    <w:rsid w:val="00A17F13"/>
    <w:rsid w:val="00A20739"/>
    <w:rsid w:val="00A2443A"/>
    <w:rsid w:val="00A33C78"/>
    <w:rsid w:val="00A94250"/>
    <w:rsid w:val="00AB0ADB"/>
    <w:rsid w:val="00AD3BED"/>
    <w:rsid w:val="00AF6A5D"/>
    <w:rsid w:val="00B01B1A"/>
    <w:rsid w:val="00B14A8C"/>
    <w:rsid w:val="00B72CD3"/>
    <w:rsid w:val="00B72FFF"/>
    <w:rsid w:val="00BB1A7A"/>
    <w:rsid w:val="00BB7A21"/>
    <w:rsid w:val="00BC3D36"/>
    <w:rsid w:val="00BD34E7"/>
    <w:rsid w:val="00BD7F72"/>
    <w:rsid w:val="00C04FB3"/>
    <w:rsid w:val="00C330EB"/>
    <w:rsid w:val="00C754BE"/>
    <w:rsid w:val="00C76B1C"/>
    <w:rsid w:val="00C851E0"/>
    <w:rsid w:val="00CB6357"/>
    <w:rsid w:val="00CC1B26"/>
    <w:rsid w:val="00CF41CA"/>
    <w:rsid w:val="00D100FF"/>
    <w:rsid w:val="00D423A2"/>
    <w:rsid w:val="00D438FA"/>
    <w:rsid w:val="00D47091"/>
    <w:rsid w:val="00D520D8"/>
    <w:rsid w:val="00D63AC2"/>
    <w:rsid w:val="00D7383B"/>
    <w:rsid w:val="00D92678"/>
    <w:rsid w:val="00D93150"/>
    <w:rsid w:val="00DA231B"/>
    <w:rsid w:val="00DA23A0"/>
    <w:rsid w:val="00DC39FC"/>
    <w:rsid w:val="00DE5481"/>
    <w:rsid w:val="00DF1D9A"/>
    <w:rsid w:val="00DF5254"/>
    <w:rsid w:val="00E16408"/>
    <w:rsid w:val="00E16E7A"/>
    <w:rsid w:val="00E20894"/>
    <w:rsid w:val="00E245AB"/>
    <w:rsid w:val="00E2764C"/>
    <w:rsid w:val="00E27F2E"/>
    <w:rsid w:val="00E32C14"/>
    <w:rsid w:val="00E413EA"/>
    <w:rsid w:val="00E50AFE"/>
    <w:rsid w:val="00E51C7E"/>
    <w:rsid w:val="00E520E8"/>
    <w:rsid w:val="00E72473"/>
    <w:rsid w:val="00E75C92"/>
    <w:rsid w:val="00E771DC"/>
    <w:rsid w:val="00E81F84"/>
    <w:rsid w:val="00E8772A"/>
    <w:rsid w:val="00E90F6B"/>
    <w:rsid w:val="00E92C27"/>
    <w:rsid w:val="00EA0E3D"/>
    <w:rsid w:val="00EC38A7"/>
    <w:rsid w:val="00EE1AA8"/>
    <w:rsid w:val="00EE7DAC"/>
    <w:rsid w:val="00F31EDC"/>
    <w:rsid w:val="00F462B3"/>
    <w:rsid w:val="00F5664F"/>
    <w:rsid w:val="00F666C4"/>
    <w:rsid w:val="00F76AFC"/>
    <w:rsid w:val="00FA3D1D"/>
    <w:rsid w:val="00FA47C0"/>
    <w:rsid w:val="00FA6314"/>
    <w:rsid w:val="00FB5DD1"/>
    <w:rsid w:val="00FC180D"/>
    <w:rsid w:val="00FC1FFE"/>
    <w:rsid w:val="00FC2B5D"/>
    <w:rsid w:val="00FD619F"/>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D4429C0C-968A-46CA-941D-314C7E7D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E0AC7"/>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E0AC7"/>
    <w:rPr>
      <w:rFonts w:ascii="Geomanist Light" w:hAnsi="Geomanist Light"/>
      <w:lang w:val="es-ES"/>
    </w:rPr>
  </w:style>
  <w:style w:type="character" w:customStyle="1" w:styleId="NormalWebCar">
    <w:name w:val="Normal (Web) Car"/>
    <w:link w:val="NormalWeb"/>
    <w:uiPriority w:val="99"/>
    <w:locked/>
    <w:rsid w:val="009E0AC7"/>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703E0E"/>
    <w:rPr>
      <w:sz w:val="16"/>
      <w:szCs w:val="16"/>
    </w:rPr>
  </w:style>
  <w:style w:type="paragraph" w:styleId="Textocomentario">
    <w:name w:val="annotation text"/>
    <w:basedOn w:val="Normal"/>
    <w:link w:val="TextocomentarioCar"/>
    <w:uiPriority w:val="99"/>
    <w:semiHidden/>
    <w:unhideWhenUsed/>
    <w:rsid w:val="00703E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3E0E"/>
    <w:rPr>
      <w:sz w:val="20"/>
      <w:szCs w:val="20"/>
    </w:rPr>
  </w:style>
  <w:style w:type="character" w:styleId="Textoennegrita">
    <w:name w:val="Strong"/>
    <w:basedOn w:val="Fuentedeprrafopredeter"/>
    <w:uiPriority w:val="22"/>
    <w:qFormat/>
    <w:rsid w:val="00D92678"/>
    <w:rPr>
      <w:b/>
      <w:bCs/>
    </w:rPr>
  </w:style>
  <w:style w:type="character" w:customStyle="1" w:styleId="apple-converted-space">
    <w:name w:val="apple-converted-space"/>
    <w:basedOn w:val="Fuentedeprrafopredeter"/>
    <w:rsid w:val="00D92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25935126">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34450609">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05890278">
      <w:bodyDiv w:val="1"/>
      <w:marLeft w:val="0"/>
      <w:marRight w:val="0"/>
      <w:marTop w:val="0"/>
      <w:marBottom w:val="0"/>
      <w:divBdr>
        <w:top w:val="none" w:sz="0" w:space="0" w:color="auto"/>
        <w:left w:val="none" w:sz="0" w:space="0" w:color="auto"/>
        <w:bottom w:val="none" w:sz="0" w:space="0" w:color="auto"/>
        <w:right w:val="none" w:sz="0" w:space="0" w:color="auto"/>
      </w:divBdr>
    </w:div>
    <w:div w:id="2049604131">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olombiacompra.gov.co%2Fsites%2Fcce_public%2Ffiles%2Fcce_tienda_virtual%2Fcce_manual_minima_cuantia.pdf&amp;data=05%7C02%7Coscar.morelo%40colombiacompra.gov.co%7Cf195c6a917d64baebc6608dd0360ec94%7C7b09041e245149d08cb179d5e3d8c1be%7C0%7C0%7C638670437016423024%7CUnknown%7CTWFpbGZsb3d8eyJFbXB0eU1hcGkiOnRydWUsIlYiOiIwLjAuMDAwMCIsIlAiOiJXaW4zMiIsIkFOIjoiTWFpbCIsIldUIjoyfQ%3D%3D%7C0%7C%7C%7C&amp;sdata=LGhTu8ECEpf8PE5KiIxp5nyy%2FSLrDxB46sWiDe09k%2BQ%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16096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25678" TargetMode="External"/><Relationship Id="rId5" Type="http://schemas.openxmlformats.org/officeDocument/2006/relationships/numbering" Target="numbering.xml"/><Relationship Id="rId15" Type="http://schemas.openxmlformats.org/officeDocument/2006/relationships/hyperlink" Target="https://www.colombiacompra.gov.co/sala-de-prensa/boletin-digit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9F82CE82-EEC1-4E66-A4CD-C1AA474D2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7C395-8E26-394D-A603-D6EEF1C97B6B}">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ae15d26-076e-464e-81a7-6f76a0fb3917"/>
    <ds:schemaRef ds:uri="http://purl.org/dc/dcmitype/"/>
    <ds:schemaRef ds:uri="http://purl.org/dc/terms/"/>
    <ds:schemaRef ds:uri="36c82cfe-0eda-494d-b392-a9281b89aaf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2774</Words>
  <Characters>15260</Characters>
  <Application>Microsoft Office Word</Application>
  <DocSecurity>0</DocSecurity>
  <Lines>127</Lines>
  <Paragraphs>35</Paragraphs>
  <ScaleCrop>false</ScaleCrop>
  <Company/>
  <LinksUpToDate>false</LinksUpToDate>
  <CharactersWithSpaces>17999</CharactersWithSpaces>
  <SharedDoc>false</SharedDoc>
  <HLinks>
    <vt:vector size="30" baseType="variant">
      <vt:variant>
        <vt:i4>5439494</vt:i4>
      </vt:variant>
      <vt:variant>
        <vt:i4>12</vt:i4>
      </vt:variant>
      <vt:variant>
        <vt:i4>0</vt:i4>
      </vt:variant>
      <vt:variant>
        <vt:i4>5</vt:i4>
      </vt:variant>
      <vt:variant>
        <vt:lpwstr>https://www.colombiacompra.gov.co/sala-de-prensa/boletin-digital</vt:lpwstr>
      </vt:variant>
      <vt:variant>
        <vt:lpwstr/>
      </vt:variant>
      <vt:variant>
        <vt:i4>7471218</vt:i4>
      </vt:variant>
      <vt:variant>
        <vt:i4>9</vt:i4>
      </vt:variant>
      <vt:variant>
        <vt:i4>0</vt:i4>
      </vt:variant>
      <vt:variant>
        <vt:i4>5</vt:i4>
      </vt:variant>
      <vt:variant>
        <vt:lpwstr>https://relatoria.colombiacompra.gov.co/busqueda/conceptos</vt:lpwstr>
      </vt:variant>
      <vt:variant>
        <vt:lpwstr/>
      </vt:variant>
      <vt:variant>
        <vt:i4>8126515</vt:i4>
      </vt:variant>
      <vt:variant>
        <vt:i4>6</vt:i4>
      </vt:variant>
      <vt:variant>
        <vt:i4>0</vt:i4>
      </vt:variant>
      <vt:variant>
        <vt:i4>5</vt:i4>
      </vt:variant>
      <vt:variant>
        <vt:lpwstr>https://nam02.safelinks.protection.outlook.com/?url=https%3A%2F%2Fwww.colombiacompra.gov.co%2Fsites%2Fcce_public%2Ffiles%2Fcce_tienda_virtual%2Fcce_manual_minima_cuantia.pdf&amp;data=05%7C02%7Coscar.morelo%40colombiacompra.gov.co%7Cf195c6a917d64baebc6608dd0360ec94%7C7b09041e245149d08cb179d5e3d8c1be%7C0%7C0%7C638670437016423024%7CUnknown%7CTWFpbGZsb3d8eyJFbXB0eU1hcGkiOnRydWUsIlYiOiIwLjAuMDAwMCIsIlAiOiJXaW4zMiIsIkFOIjoiTWFpbCIsIldUIjoyfQ%3D%3D%7C0%7C%7C%7C&amp;sdata=LGhTu8ECEpf8PE5KiIxp5nyy%2FSLrDxB46sWiDe09k%2BQ%3D&amp;reserved=0</vt:lpwstr>
      </vt:variant>
      <vt:variant>
        <vt:lpwstr/>
      </vt:variant>
      <vt:variant>
        <vt:i4>2687009</vt:i4>
      </vt:variant>
      <vt:variant>
        <vt:i4>3</vt:i4>
      </vt:variant>
      <vt:variant>
        <vt:i4>0</vt:i4>
      </vt:variant>
      <vt:variant>
        <vt:i4>5</vt:i4>
      </vt:variant>
      <vt:variant>
        <vt:lpwstr>https://www.funcionpublica.gov.co/eva/gestornormativo/norma.php?i=160966</vt:lpwstr>
      </vt:variant>
      <vt:variant>
        <vt:lpwstr>35</vt:lpwstr>
      </vt:variant>
      <vt:variant>
        <vt:i4>2555924</vt:i4>
      </vt:variant>
      <vt:variant>
        <vt:i4>0</vt:i4>
      </vt:variant>
      <vt:variant>
        <vt:i4>0</vt:i4>
      </vt:variant>
      <vt:variant>
        <vt:i4>5</vt:i4>
      </vt:variant>
      <vt:variant>
        <vt:lpwstr>https://www.funcionpublica.gov.co/eva/gestornormativo/norma.php?i=25678</vt:lpwstr>
      </vt:variant>
      <vt:variant>
        <vt:lpwstr>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cp:revision>
  <cp:lastPrinted>2023-01-11T00:18:00Z</cp:lastPrinted>
  <dcterms:created xsi:type="dcterms:W3CDTF">2025-01-22T20:03:00Z</dcterms:created>
  <dcterms:modified xsi:type="dcterms:W3CDTF">2025-01-22T20:03:00Z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