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D08A" w14:textId="77777777" w:rsidR="009A17D3" w:rsidRPr="00052718" w:rsidRDefault="009A17D3" w:rsidP="009A17D3">
      <w:pPr>
        <w:spacing w:before="120" w:after="120" w:line="276" w:lineRule="auto"/>
        <w:jc w:val="both"/>
        <w:rPr>
          <w:rFonts w:ascii="Verdana" w:eastAsia="Calibri" w:hAnsi="Verdana"/>
          <w:b/>
        </w:rPr>
      </w:pPr>
      <w:r w:rsidRPr="00052718">
        <w:rPr>
          <w:rFonts w:ascii="Verdana" w:eastAsia="Calibri" w:hAnsi="Verdana"/>
          <w:b/>
          <w:lang w:eastAsia="es-ES_tradnl"/>
        </w:rPr>
        <w:t>COLOMBIA COMPRA EFICIENTE – Competencia Consultiva – Contratación Estatal – Normas Generales – Alcance – No vinculante</w:t>
      </w:r>
    </w:p>
    <w:p w14:paraId="6D4DF61A" w14:textId="77777777" w:rsidR="009A17D3" w:rsidRPr="00052718" w:rsidRDefault="009A17D3" w:rsidP="009A17D3">
      <w:pPr>
        <w:spacing w:after="0" w:line="240" w:lineRule="auto"/>
        <w:jc w:val="both"/>
        <w:rPr>
          <w:rFonts w:ascii="Verdana" w:eastAsia="Times New Roman" w:hAnsi="Verdana"/>
          <w:sz w:val="20"/>
          <w:szCs w:val="20"/>
          <w:lang w:eastAsia="es-ES_tradnl"/>
        </w:rPr>
      </w:pPr>
    </w:p>
    <w:p w14:paraId="62E74538" w14:textId="77777777" w:rsidR="009A17D3" w:rsidRDefault="009A17D3" w:rsidP="009A17D3">
      <w:pPr>
        <w:spacing w:after="0" w:line="240" w:lineRule="auto"/>
        <w:jc w:val="both"/>
        <w:rPr>
          <w:rFonts w:ascii="Verdana" w:eastAsia="Times New Roman" w:hAnsi="Verdana"/>
          <w:sz w:val="20"/>
          <w:szCs w:val="20"/>
          <w:lang w:eastAsia="es-ES_tradnl"/>
        </w:rPr>
      </w:pPr>
      <w:r w:rsidRPr="00052718">
        <w:rPr>
          <w:rFonts w:ascii="Verdana" w:eastAsia="Times New Roman" w:hAnsi="Verdana"/>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5D576642" w14:textId="77777777" w:rsidR="009A17D3" w:rsidRPr="00052718" w:rsidRDefault="009A17D3" w:rsidP="009A17D3">
      <w:pPr>
        <w:spacing w:after="0" w:line="240" w:lineRule="auto"/>
        <w:jc w:val="both"/>
        <w:rPr>
          <w:rFonts w:ascii="Verdana" w:eastAsia="Times New Roman" w:hAnsi="Verdana"/>
          <w:sz w:val="20"/>
          <w:szCs w:val="20"/>
          <w:lang w:eastAsia="es-ES_tradnl"/>
        </w:rPr>
      </w:pPr>
    </w:p>
    <w:p w14:paraId="7CFAE7E9" w14:textId="77777777" w:rsidR="009A17D3" w:rsidRPr="00052718" w:rsidRDefault="009A17D3" w:rsidP="009A17D3">
      <w:pPr>
        <w:spacing w:after="0" w:line="240" w:lineRule="auto"/>
        <w:jc w:val="both"/>
        <w:rPr>
          <w:rFonts w:ascii="Verdana" w:eastAsia="Times New Roman" w:hAnsi="Verdana"/>
          <w:sz w:val="20"/>
          <w:szCs w:val="20"/>
          <w:lang w:eastAsia="es-ES_tradnl"/>
        </w:rPr>
      </w:pPr>
      <w:r w:rsidRPr="00052718">
        <w:rPr>
          <w:rFonts w:ascii="Verdana" w:eastAsia="Times New Roman" w:hAnsi="Verdana"/>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409FD21A" w14:textId="77777777" w:rsidR="009A17D3" w:rsidRPr="00052718" w:rsidRDefault="009A17D3" w:rsidP="009A17D3">
      <w:pPr>
        <w:spacing w:after="0" w:line="240" w:lineRule="auto"/>
        <w:jc w:val="both"/>
        <w:rPr>
          <w:rFonts w:ascii="Verdana" w:eastAsia="Geomanist Light" w:hAnsi="Verdana" w:cs="Arial"/>
          <w:color w:val="000000" w:themeColor="text1"/>
        </w:rPr>
      </w:pPr>
    </w:p>
    <w:p w14:paraId="4E4BFE0B" w14:textId="77777777" w:rsidR="009A17D3" w:rsidRPr="00B760B9" w:rsidRDefault="009A17D3" w:rsidP="009A17D3">
      <w:pPr>
        <w:spacing w:after="0" w:line="276" w:lineRule="auto"/>
        <w:jc w:val="both"/>
        <w:rPr>
          <w:rFonts w:ascii="Verdana" w:eastAsia="Calibri" w:hAnsi="Verdana" w:cs="Arial"/>
          <w:b/>
          <w:bCs/>
        </w:rPr>
      </w:pPr>
      <w:r w:rsidRPr="00AE5A2A">
        <w:rPr>
          <w:rFonts w:ascii="Verdana" w:eastAsia="Calibri" w:hAnsi="Verdana" w:cs="Arial"/>
          <w:b/>
          <w:bCs/>
          <w:lang w:val="es-ES" w:eastAsia="es-ES"/>
        </w:rPr>
        <w:t xml:space="preserve">ESALES – Artículo 3 – Decreto 092 – Reconocida idoneidad – Acreditación </w:t>
      </w:r>
    </w:p>
    <w:p w14:paraId="545DDA97" w14:textId="77777777" w:rsidR="009A17D3" w:rsidRPr="00B760B9" w:rsidRDefault="009A17D3" w:rsidP="009A17D3">
      <w:pPr>
        <w:spacing w:after="0" w:line="240" w:lineRule="auto"/>
        <w:rPr>
          <w:rFonts w:ascii="Verdana" w:eastAsia="Geomanist Light" w:hAnsi="Verdana" w:cs="Arial"/>
          <w:b/>
          <w:bCs/>
          <w:lang w:val="es-ES"/>
        </w:rPr>
      </w:pPr>
    </w:p>
    <w:p w14:paraId="2F97B098" w14:textId="77777777" w:rsidR="009A17D3" w:rsidRPr="00B760B9" w:rsidRDefault="009A17D3" w:rsidP="009A17D3">
      <w:pPr>
        <w:spacing w:after="0" w:line="240" w:lineRule="auto"/>
        <w:jc w:val="both"/>
        <w:rPr>
          <w:rFonts w:ascii="Verdana" w:eastAsia="Calibri" w:hAnsi="Verdana" w:cs="Arial"/>
          <w:sz w:val="20"/>
          <w:szCs w:val="20"/>
          <w:lang w:val="es-ES"/>
        </w:rPr>
      </w:pPr>
      <w:r w:rsidRPr="00B760B9">
        <w:rPr>
          <w:rFonts w:ascii="Verdana" w:eastAsia="Calibri" w:hAnsi="Verdana" w:cs="Arial"/>
          <w:sz w:val="20"/>
          <w:szCs w:val="20"/>
          <w:lang w:val="es-ES"/>
        </w:rPr>
        <w:t xml:space="preserve">“Artículo 3°. Reconocida idoneidad. La entidad sin ánimo de lucro es de reconocida idoneidad cuando es adecuada y apropiada para desarrollar las actividades que son objeto del Proceso de Contratación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 </w:t>
      </w:r>
    </w:p>
    <w:p w14:paraId="695E739C" w14:textId="77777777" w:rsidR="009A17D3" w:rsidRPr="00B760B9" w:rsidRDefault="009A17D3" w:rsidP="009A17D3">
      <w:pPr>
        <w:spacing w:after="0" w:line="240" w:lineRule="auto"/>
        <w:jc w:val="both"/>
        <w:rPr>
          <w:rFonts w:ascii="Verdana" w:eastAsia="Calibri" w:hAnsi="Verdana" w:cs="Arial"/>
          <w:sz w:val="20"/>
          <w:szCs w:val="20"/>
          <w:lang w:val="es-ES"/>
        </w:rPr>
      </w:pPr>
      <w:r w:rsidRPr="00B760B9">
        <w:rPr>
          <w:rFonts w:ascii="Verdana" w:eastAsia="Calibri" w:hAnsi="Verdana" w:cs="Arial"/>
          <w:sz w:val="20"/>
          <w:szCs w:val="20"/>
          <w:lang w:val="es-ES"/>
        </w:rPr>
        <w:t>La Entidad Estatal debe definir en los Documentos del Proceso las características que debe acreditar la entidad sin ánimo de lucro. […]”</w:t>
      </w:r>
    </w:p>
    <w:p w14:paraId="678610F2" w14:textId="77777777" w:rsidR="009A17D3" w:rsidRPr="00B760B9" w:rsidRDefault="009A17D3" w:rsidP="009A17D3">
      <w:pPr>
        <w:spacing w:after="0" w:line="240" w:lineRule="auto"/>
        <w:jc w:val="both"/>
        <w:rPr>
          <w:rFonts w:ascii="Verdana" w:eastAsia="Calibri" w:hAnsi="Verdana" w:cs="Arial"/>
          <w:sz w:val="20"/>
          <w:szCs w:val="20"/>
          <w:lang w:val="es-ES"/>
        </w:rPr>
      </w:pPr>
    </w:p>
    <w:p w14:paraId="1D44F59F" w14:textId="77777777" w:rsidR="009A17D3" w:rsidRPr="00B760B9" w:rsidRDefault="009A17D3" w:rsidP="009A17D3">
      <w:pPr>
        <w:spacing w:after="0" w:line="240" w:lineRule="auto"/>
        <w:jc w:val="both"/>
        <w:rPr>
          <w:rFonts w:ascii="Verdana" w:eastAsia="Geomanist Light" w:hAnsi="Verdana" w:cs="Arial"/>
          <w:lang w:val="es-MX"/>
        </w:rPr>
      </w:pPr>
      <w:r w:rsidRPr="00B760B9">
        <w:rPr>
          <w:rFonts w:ascii="Verdana" w:eastAsia="Calibri" w:hAnsi="Verdana" w:cs="Arial"/>
          <w:sz w:val="20"/>
          <w:szCs w:val="20"/>
          <w:lang w:val="es-ES"/>
        </w:rPr>
        <w:t>Conforme a lo anterior, la norma establece los requisitos para que una ESAL pueda acreditar su idoneidad los cuales se citan a continuación: i) que su objeto guarde estrecha relación con el objeto a contratar, y, ii) que esta tenga experiencia previa con el mismo, esto en términos de eficiencia, eficacia, economía y manejo del riesgo.</w:t>
      </w:r>
    </w:p>
    <w:p w14:paraId="798FA934" w14:textId="77777777" w:rsidR="009A17D3" w:rsidRDefault="009A17D3" w:rsidP="009A17D3">
      <w:pPr>
        <w:spacing w:after="0" w:line="240" w:lineRule="auto"/>
        <w:rPr>
          <w:rFonts w:ascii="Verdana" w:eastAsia="Geomanist Light" w:hAnsi="Verdana" w:cs="Arial"/>
          <w:color w:val="000000" w:themeColor="text1"/>
          <w:lang w:val="es-MX"/>
        </w:rPr>
      </w:pPr>
    </w:p>
    <w:p w14:paraId="175B24EE" w14:textId="77777777" w:rsidR="009A17D3" w:rsidRDefault="009A17D3" w:rsidP="009A17D3">
      <w:pPr>
        <w:spacing w:after="0" w:line="240" w:lineRule="auto"/>
        <w:rPr>
          <w:rFonts w:ascii="Verdana" w:eastAsia="Calibri" w:hAnsi="Verdana" w:cs="Arial"/>
          <w:b/>
          <w:bCs/>
          <w:color w:val="7030A0"/>
          <w:lang w:val="es-ES" w:eastAsia="es-ES"/>
        </w:rPr>
      </w:pPr>
    </w:p>
    <w:p w14:paraId="1EA48DD0" w14:textId="77777777" w:rsidR="009A17D3" w:rsidRDefault="009A17D3" w:rsidP="009A17D3">
      <w:pPr>
        <w:spacing w:after="0" w:line="240" w:lineRule="auto"/>
        <w:rPr>
          <w:rFonts w:ascii="Verdana" w:eastAsia="Calibri" w:hAnsi="Verdana" w:cs="Arial"/>
          <w:b/>
          <w:bCs/>
          <w:color w:val="7030A0"/>
          <w:lang w:val="es-ES" w:eastAsia="es-ES"/>
        </w:rPr>
      </w:pPr>
    </w:p>
    <w:p w14:paraId="29E125C0" w14:textId="77777777" w:rsidR="009A17D3" w:rsidRDefault="009A17D3" w:rsidP="009A17D3">
      <w:pPr>
        <w:spacing w:after="0" w:line="240" w:lineRule="auto"/>
        <w:rPr>
          <w:rFonts w:ascii="Verdana" w:eastAsia="Calibri" w:hAnsi="Verdana" w:cs="Arial"/>
          <w:b/>
          <w:bCs/>
          <w:color w:val="7030A0"/>
          <w:lang w:val="es-ES" w:eastAsia="es-ES"/>
        </w:rPr>
      </w:pPr>
    </w:p>
    <w:p w14:paraId="44051AB6" w14:textId="77777777" w:rsidR="009A17D3" w:rsidRDefault="009A17D3" w:rsidP="000D6C5B">
      <w:pPr>
        <w:spacing w:after="0" w:line="240" w:lineRule="auto"/>
        <w:rPr>
          <w:rFonts w:ascii="Verdana" w:eastAsia="Geomanist Light" w:hAnsi="Verdana" w:cs="Arial"/>
          <w:color w:val="000000" w:themeColor="text1"/>
          <w:lang w:val="es-MX"/>
        </w:rPr>
      </w:pPr>
    </w:p>
    <w:p w14:paraId="30C328FC" w14:textId="77777777" w:rsidR="009A17D3" w:rsidRDefault="009A17D3" w:rsidP="000D6C5B">
      <w:pPr>
        <w:spacing w:after="0" w:line="240" w:lineRule="auto"/>
        <w:rPr>
          <w:rFonts w:ascii="Verdana" w:eastAsia="Geomanist Light" w:hAnsi="Verdana" w:cs="Arial"/>
          <w:color w:val="000000" w:themeColor="text1"/>
          <w:lang w:val="es-MX"/>
        </w:rPr>
      </w:pPr>
    </w:p>
    <w:p w14:paraId="31142C3D" w14:textId="77777777" w:rsidR="009A17D3" w:rsidRDefault="009A17D3" w:rsidP="000D6C5B">
      <w:pPr>
        <w:spacing w:after="0" w:line="240" w:lineRule="auto"/>
        <w:rPr>
          <w:rFonts w:ascii="Verdana" w:eastAsia="Geomanist Light" w:hAnsi="Verdana" w:cs="Arial"/>
          <w:color w:val="000000" w:themeColor="text1"/>
          <w:lang w:val="es-MX"/>
        </w:rPr>
      </w:pPr>
    </w:p>
    <w:p w14:paraId="76334DA1" w14:textId="77777777" w:rsidR="009A17D3" w:rsidRDefault="009A17D3" w:rsidP="000D6C5B">
      <w:pPr>
        <w:spacing w:after="0" w:line="240" w:lineRule="auto"/>
        <w:rPr>
          <w:rFonts w:ascii="Verdana" w:eastAsia="Geomanist Light" w:hAnsi="Verdana" w:cs="Arial"/>
          <w:color w:val="000000" w:themeColor="text1"/>
          <w:lang w:val="es-MX"/>
        </w:rPr>
      </w:pPr>
    </w:p>
    <w:p w14:paraId="000DD01E" w14:textId="77777777" w:rsidR="009A17D3" w:rsidRDefault="009A17D3" w:rsidP="000D6C5B">
      <w:pPr>
        <w:spacing w:after="0" w:line="240" w:lineRule="auto"/>
        <w:rPr>
          <w:rFonts w:ascii="Verdana" w:eastAsia="Geomanist Light" w:hAnsi="Verdana" w:cs="Arial"/>
          <w:color w:val="000000" w:themeColor="text1"/>
          <w:lang w:val="es-MX"/>
        </w:rPr>
      </w:pPr>
    </w:p>
    <w:p w14:paraId="201E2BFB" w14:textId="12DE952E" w:rsidR="000D6C5B" w:rsidRPr="00593A5F" w:rsidRDefault="0016192B" w:rsidP="000D6C5B">
      <w:pPr>
        <w:spacing w:after="0" w:line="240" w:lineRule="auto"/>
        <w:rPr>
          <w:rFonts w:ascii="Verdana" w:eastAsia="Geomanist Light" w:hAnsi="Verdana" w:cs="Arial"/>
          <w:color w:val="201F1E"/>
          <w:lang w:val="es-MX"/>
        </w:rPr>
      </w:pPr>
      <w:r w:rsidRPr="0016192B">
        <w:rPr>
          <w:rFonts w:ascii="Verdana" w:eastAsia="Calibri" w:hAnsi="Verdana" w:cs="Arial"/>
          <w:noProof/>
          <w:lang w:val="es-ES" w:eastAsia="es-ES"/>
        </w:rPr>
        <w:lastRenderedPageBreak/>
        <w:drawing>
          <wp:anchor distT="0" distB="0" distL="114300" distR="114300" simplePos="0" relativeHeight="251658240" behindDoc="0" locked="0" layoutInCell="1" allowOverlap="1" wp14:anchorId="2DDFE1A1" wp14:editId="5D9D1244">
            <wp:simplePos x="0" y="0"/>
            <wp:positionH relativeFrom="column">
              <wp:posOffset>2653665</wp:posOffset>
            </wp:positionH>
            <wp:positionV relativeFrom="paragraph">
              <wp:posOffset>8890</wp:posOffset>
            </wp:positionV>
            <wp:extent cx="3314700" cy="962025"/>
            <wp:effectExtent l="0" t="0" r="0" b="9525"/>
            <wp:wrapNone/>
            <wp:docPr id="214448602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86028"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14700" cy="962025"/>
                    </a:xfrm>
                    <a:prstGeom prst="rect">
                      <a:avLst/>
                    </a:prstGeom>
                  </pic:spPr>
                </pic:pic>
              </a:graphicData>
            </a:graphic>
          </wp:anchor>
        </w:drawing>
      </w:r>
      <w:r w:rsidR="000D6C5B" w:rsidRPr="00593A5F">
        <w:rPr>
          <w:rFonts w:ascii="Verdana" w:eastAsia="Geomanist Light" w:hAnsi="Verdana" w:cs="Arial"/>
          <w:color w:val="000000" w:themeColor="text1"/>
          <w:lang w:val="es-MX"/>
        </w:rPr>
        <w:t>Bogotá D.C., </w:t>
      </w:r>
      <w:r w:rsidR="00F96C03">
        <w:rPr>
          <w:rFonts w:ascii="Verdana" w:eastAsia="Geomanist Light" w:hAnsi="Verdana" w:cs="Arial"/>
          <w:color w:val="201F1E"/>
          <w:lang w:val="es-MX"/>
        </w:rPr>
        <w:t>2 de diciembre de 2024</w:t>
      </w:r>
    </w:p>
    <w:p w14:paraId="408A04E7" w14:textId="0657F0AA" w:rsidR="000D6C5B" w:rsidRPr="00593A5F" w:rsidRDefault="000D6C5B" w:rsidP="000D6C5B">
      <w:pPr>
        <w:spacing w:after="0" w:line="240" w:lineRule="auto"/>
        <w:jc w:val="both"/>
        <w:rPr>
          <w:rFonts w:ascii="Verdana" w:eastAsia="Calibri" w:hAnsi="Verdana" w:cs="Arial"/>
          <w:color w:val="000000"/>
          <w:lang w:val="es-ES"/>
        </w:rPr>
      </w:pPr>
    </w:p>
    <w:p w14:paraId="09EAE368" w14:textId="797A399C" w:rsidR="000D6C5B" w:rsidRPr="00B96799" w:rsidRDefault="000D6C5B" w:rsidP="000D6C5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sidR="0016192B" w:rsidRPr="0016192B">
        <w:rPr>
          <w:noProof/>
        </w:rPr>
        <w:t xml:space="preserve"> </w:t>
      </w:r>
    </w:p>
    <w:p w14:paraId="1322C189" w14:textId="77777777" w:rsidR="000D6C5B" w:rsidRPr="00B96799" w:rsidRDefault="000D6C5B" w:rsidP="000D6C5B">
      <w:pPr>
        <w:spacing w:after="0" w:line="240" w:lineRule="auto"/>
        <w:rPr>
          <w:rFonts w:ascii="Verdana" w:eastAsia="Calibri" w:hAnsi="Verdana" w:cs="Arial"/>
          <w:b/>
          <w:lang w:val="es-ES_tradnl" w:eastAsia="es-ES_tradnl"/>
        </w:rPr>
      </w:pPr>
      <w:r w:rsidRPr="00E672A1">
        <w:rPr>
          <w:rFonts w:ascii="Verdana" w:eastAsia="Calibri" w:hAnsi="Verdana" w:cs="Arial"/>
          <w:b/>
          <w:lang w:val="es-ES_tradnl" w:eastAsia="es-ES_tradnl"/>
        </w:rPr>
        <w:t>Marco Andrés Coronado Bustos</w:t>
      </w:r>
    </w:p>
    <w:p w14:paraId="37675373" w14:textId="77777777" w:rsidR="000D6C5B" w:rsidRPr="000D6C5B" w:rsidRDefault="000D6C5B" w:rsidP="000D6C5B">
      <w:pPr>
        <w:spacing w:after="0" w:line="240" w:lineRule="auto"/>
        <w:rPr>
          <w:rFonts w:ascii="Verdana" w:eastAsia="Calibri" w:hAnsi="Verdana" w:cs="Arial"/>
          <w:color w:val="4472C4" w:themeColor="accent1"/>
          <w:u w:val="single"/>
          <w:lang w:val="es-ES" w:eastAsia="es-ES"/>
        </w:rPr>
      </w:pPr>
      <w:hyperlink r:id="rId11" w:history="1">
        <w:r w:rsidRPr="000D6C5B">
          <w:rPr>
            <w:rStyle w:val="Hipervnculo"/>
            <w:rFonts w:ascii="Verdana" w:eastAsia="Calibri" w:hAnsi="Verdana" w:cs="Arial"/>
            <w:color w:val="4472C4" w:themeColor="accent1"/>
            <w:lang w:val="es-ES" w:eastAsia="es-ES"/>
          </w:rPr>
          <w:t>marcoandrescoronado@gmail.com</w:t>
        </w:r>
      </w:hyperlink>
    </w:p>
    <w:p w14:paraId="11F942D7" w14:textId="77777777" w:rsidR="000D6C5B" w:rsidRPr="00B96799" w:rsidRDefault="000D6C5B" w:rsidP="000D6C5B">
      <w:pPr>
        <w:spacing w:after="0" w:line="240" w:lineRule="auto"/>
        <w:rPr>
          <w:rFonts w:ascii="Verdana" w:eastAsia="Calibri" w:hAnsi="Verdana" w:cs="Arial"/>
          <w:b/>
          <w:bCs/>
          <w:lang w:val="es-ES" w:eastAsia="es-ES"/>
        </w:rPr>
      </w:pPr>
      <w:r>
        <w:rPr>
          <w:rFonts w:ascii="Verdana" w:eastAsia="Calibri" w:hAnsi="Verdana" w:cs="Arial"/>
          <w:lang w:val="es-ES" w:eastAsia="es-ES"/>
        </w:rPr>
        <w:t>Puerto Berrío</w:t>
      </w:r>
      <w:r w:rsidRPr="00B96799">
        <w:rPr>
          <w:rFonts w:ascii="Verdana" w:eastAsia="Calibri" w:hAnsi="Verdana" w:cs="Arial"/>
          <w:lang w:val="es-ES" w:eastAsia="es-ES"/>
        </w:rPr>
        <w:t xml:space="preserve">, </w:t>
      </w:r>
      <w:r>
        <w:rPr>
          <w:rFonts w:ascii="Verdana" w:eastAsia="Calibri" w:hAnsi="Verdana" w:cs="Arial"/>
          <w:lang w:val="es-ES" w:eastAsia="es-ES"/>
        </w:rPr>
        <w:t>Antioquia</w:t>
      </w:r>
    </w:p>
    <w:p w14:paraId="2285E057" w14:textId="77777777" w:rsidR="000D6C5B" w:rsidRPr="00593A5F" w:rsidRDefault="000D6C5B" w:rsidP="000D6C5B">
      <w:pPr>
        <w:spacing w:after="0" w:line="240" w:lineRule="auto"/>
        <w:rPr>
          <w:rFonts w:ascii="Verdana" w:eastAsia="Calibri" w:hAnsi="Verdana" w:cs="Arial"/>
          <w:b/>
          <w:bCs/>
          <w:color w:val="000000"/>
          <w:lang w:val="es-ES_tradnl" w:eastAsia="es-ES_tradnl"/>
        </w:rPr>
      </w:pPr>
    </w:p>
    <w:p w14:paraId="04FC1FDC" w14:textId="77777777" w:rsidR="000D6C5B" w:rsidRPr="00593A5F" w:rsidRDefault="000D6C5B" w:rsidP="000D6C5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D6C5B" w:rsidRPr="00DF3C8E" w14:paraId="5428CC83" w14:textId="77777777" w:rsidTr="00890BB8">
        <w:trPr>
          <w:trHeight w:val="884"/>
        </w:trPr>
        <w:tc>
          <w:tcPr>
            <w:tcW w:w="2689" w:type="dxa"/>
          </w:tcPr>
          <w:p w14:paraId="575EDB84" w14:textId="77777777" w:rsidR="000D6C5B" w:rsidRPr="00DF3C8E" w:rsidRDefault="000D6C5B" w:rsidP="00890BB8">
            <w:pPr>
              <w:jc w:val="both"/>
              <w:rPr>
                <w:rFonts w:ascii="Verdana" w:eastAsia="Calibri" w:hAnsi="Verdana" w:cs="Arial"/>
                <w:b/>
                <w:bCs/>
                <w:lang w:val="es-ES_tradnl" w:eastAsia="es-ES_tradnl"/>
              </w:rPr>
            </w:pPr>
          </w:p>
        </w:tc>
        <w:tc>
          <w:tcPr>
            <w:tcW w:w="6100" w:type="dxa"/>
          </w:tcPr>
          <w:p w14:paraId="6D183150" w14:textId="77777777" w:rsidR="000D6C5B" w:rsidRPr="00DF3C8E" w:rsidRDefault="000D6C5B" w:rsidP="00890BB8">
            <w:pPr>
              <w:jc w:val="both"/>
              <w:rPr>
                <w:rFonts w:ascii="Verdana" w:eastAsia="Calibri" w:hAnsi="Verdana" w:cs="Arial"/>
                <w:b/>
                <w:bCs/>
                <w:lang w:val="es-ES" w:eastAsia="es-ES"/>
              </w:rPr>
            </w:pPr>
            <w:r w:rsidRPr="00DF3C8E">
              <w:rPr>
                <w:rFonts w:ascii="Verdana" w:eastAsia="Calibri" w:hAnsi="Verdana" w:cs="Arial"/>
                <w:b/>
                <w:bCs/>
                <w:lang w:val="es-ES" w:eastAsia="es-ES"/>
              </w:rPr>
              <w:t>Concepto C-767 de 2024</w:t>
            </w:r>
          </w:p>
        </w:tc>
      </w:tr>
      <w:tr w:rsidR="000D6C5B" w:rsidRPr="00DF3C8E" w14:paraId="53A8597C" w14:textId="77777777" w:rsidTr="00890BB8">
        <w:trPr>
          <w:trHeight w:val="884"/>
        </w:trPr>
        <w:tc>
          <w:tcPr>
            <w:tcW w:w="2689" w:type="dxa"/>
          </w:tcPr>
          <w:p w14:paraId="3C3AA092" w14:textId="77777777" w:rsidR="000D6C5B" w:rsidRPr="00DF3C8E" w:rsidRDefault="000D6C5B" w:rsidP="00890BB8">
            <w:pPr>
              <w:jc w:val="both"/>
              <w:rPr>
                <w:rFonts w:ascii="Verdana" w:eastAsia="Calibri" w:hAnsi="Verdana" w:cs="Arial"/>
                <w:lang w:val="es-ES_tradnl" w:eastAsia="es-ES_tradnl"/>
              </w:rPr>
            </w:pPr>
            <w:r w:rsidRPr="00DF3C8E">
              <w:rPr>
                <w:rFonts w:ascii="Verdana" w:eastAsia="Calibri" w:hAnsi="Verdana" w:cs="Arial"/>
                <w:b/>
                <w:lang w:val="es-ES_tradnl" w:eastAsia="es-ES_tradnl"/>
              </w:rPr>
              <w:t>Temas:</w:t>
            </w:r>
            <w:r w:rsidRPr="00DF3C8E">
              <w:rPr>
                <w:rFonts w:ascii="Verdana" w:eastAsia="Calibri" w:hAnsi="Verdana" w:cs="Arial"/>
                <w:lang w:val="es-ES_tradnl" w:eastAsia="es-ES_tradnl"/>
              </w:rPr>
              <w:t xml:space="preserve">                   </w:t>
            </w:r>
          </w:p>
        </w:tc>
        <w:tc>
          <w:tcPr>
            <w:tcW w:w="6100" w:type="dxa"/>
          </w:tcPr>
          <w:p w14:paraId="302ED8DB" w14:textId="77777777" w:rsidR="000D6C5B" w:rsidRPr="00DF3C8E" w:rsidRDefault="000D6C5B" w:rsidP="00890BB8">
            <w:pPr>
              <w:spacing w:line="276" w:lineRule="auto"/>
              <w:jc w:val="both"/>
              <w:rPr>
                <w:rFonts w:ascii="Verdana" w:eastAsia="Calibri" w:hAnsi="Verdana" w:cs="Arial"/>
                <w:lang w:val="es-ES" w:eastAsia="es-ES"/>
              </w:rPr>
            </w:pPr>
            <w:r w:rsidRPr="00DF3C8E">
              <w:rPr>
                <w:rFonts w:ascii="Verdana" w:eastAsia="Calibri" w:hAnsi="Verdana" w:cs="Arial"/>
                <w:lang w:val="es-ES" w:eastAsia="es-ES"/>
              </w:rPr>
              <w:t xml:space="preserve">COLOMBIA COMPRA EFICIENTE – Competencia Consultiva – Contratación Estatal – Normas Generales / ESALES – Artículo 3 – Decreto 092 – Reconocida idoneidad – Acreditación </w:t>
            </w:r>
          </w:p>
          <w:p w14:paraId="10421EE8" w14:textId="77777777" w:rsidR="000D6C5B" w:rsidRPr="00DF3C8E" w:rsidRDefault="000D6C5B" w:rsidP="00890BB8">
            <w:pPr>
              <w:spacing w:line="276" w:lineRule="auto"/>
              <w:jc w:val="both"/>
              <w:rPr>
                <w:rFonts w:ascii="Verdana" w:eastAsia="Calibri" w:hAnsi="Verdana" w:cs="Arial"/>
                <w:lang w:val="es-ES" w:eastAsia="es-ES"/>
              </w:rPr>
            </w:pPr>
          </w:p>
        </w:tc>
      </w:tr>
      <w:tr w:rsidR="000D6C5B" w:rsidRPr="00DF3C8E" w14:paraId="249EC4D5" w14:textId="77777777" w:rsidTr="00890BB8">
        <w:tc>
          <w:tcPr>
            <w:tcW w:w="2689" w:type="dxa"/>
          </w:tcPr>
          <w:p w14:paraId="7C7DD484" w14:textId="77777777" w:rsidR="000D6C5B" w:rsidRPr="00DF3C8E" w:rsidRDefault="000D6C5B" w:rsidP="00890BB8">
            <w:pPr>
              <w:jc w:val="both"/>
              <w:rPr>
                <w:rFonts w:ascii="Verdana" w:eastAsia="Calibri" w:hAnsi="Verdana" w:cs="Arial"/>
                <w:b/>
                <w:lang w:val="es-ES_tradnl" w:eastAsia="es-ES_tradnl"/>
              </w:rPr>
            </w:pPr>
            <w:r w:rsidRPr="00DF3C8E">
              <w:rPr>
                <w:rFonts w:ascii="Verdana" w:eastAsia="Calibri" w:hAnsi="Verdana" w:cs="Arial"/>
                <w:b/>
                <w:lang w:val="es-ES_tradnl" w:eastAsia="es-ES_tradnl"/>
              </w:rPr>
              <w:t>Radicación:</w:t>
            </w:r>
            <w:r w:rsidRPr="00DF3C8E">
              <w:rPr>
                <w:rFonts w:ascii="Verdana" w:eastAsia="Calibri" w:hAnsi="Verdana" w:cs="Arial"/>
                <w:lang w:val="es-ES_tradnl" w:eastAsia="es-ES_tradnl"/>
              </w:rPr>
              <w:t xml:space="preserve">               </w:t>
            </w:r>
          </w:p>
        </w:tc>
        <w:tc>
          <w:tcPr>
            <w:tcW w:w="6100" w:type="dxa"/>
          </w:tcPr>
          <w:p w14:paraId="024ED06E" w14:textId="77777777" w:rsidR="000D6C5B" w:rsidRPr="00DF3C8E" w:rsidRDefault="000D6C5B" w:rsidP="00890BB8">
            <w:pPr>
              <w:jc w:val="both"/>
              <w:rPr>
                <w:rFonts w:ascii="Verdana" w:eastAsia="Calibri" w:hAnsi="Verdana" w:cs="Arial"/>
                <w:lang w:val="es-ES_tradnl" w:eastAsia="es-ES_tradnl"/>
              </w:rPr>
            </w:pPr>
            <w:r w:rsidRPr="00DF3C8E">
              <w:rPr>
                <w:rFonts w:ascii="Verdana" w:eastAsia="Calibri" w:hAnsi="Verdana" w:cs="Arial"/>
                <w:lang w:val="es-ES_tradnl" w:eastAsia="es-ES_tradnl"/>
              </w:rPr>
              <w:t>Respuesta a consulta con radicado No. P20241022010723</w:t>
            </w:r>
          </w:p>
        </w:tc>
      </w:tr>
    </w:tbl>
    <w:p w14:paraId="79F1F40C" w14:textId="77777777" w:rsidR="000D6C5B" w:rsidRPr="00DF3C8E" w:rsidRDefault="000D6C5B" w:rsidP="000D6C5B">
      <w:pPr>
        <w:spacing w:after="0" w:line="240" w:lineRule="auto"/>
        <w:jc w:val="both"/>
        <w:rPr>
          <w:rFonts w:ascii="Verdana" w:eastAsia="Calibri" w:hAnsi="Verdana" w:cs="Arial"/>
          <w:lang w:val="es-ES_tradnl" w:eastAsia="es-ES_tradnl"/>
        </w:rPr>
      </w:pPr>
    </w:p>
    <w:p w14:paraId="522C6AF1" w14:textId="77777777" w:rsidR="000D6C5B" w:rsidRPr="00DF3C8E" w:rsidRDefault="000D6C5B" w:rsidP="000D6C5B">
      <w:pPr>
        <w:spacing w:after="0" w:line="240" w:lineRule="auto"/>
        <w:jc w:val="both"/>
        <w:rPr>
          <w:rFonts w:ascii="Verdana" w:eastAsia="Calibri" w:hAnsi="Verdana" w:cs="Arial"/>
          <w:lang w:val="es-ES_tradnl" w:eastAsia="es-ES_tradnl"/>
        </w:rPr>
      </w:pPr>
    </w:p>
    <w:p w14:paraId="0D0F7FB0" w14:textId="77777777" w:rsidR="000D6C5B" w:rsidRPr="00DF3C8E" w:rsidRDefault="000D6C5B" w:rsidP="000D6C5B">
      <w:pPr>
        <w:spacing w:after="0" w:line="276" w:lineRule="auto"/>
        <w:jc w:val="both"/>
        <w:rPr>
          <w:rFonts w:ascii="Verdana" w:eastAsia="Calibri" w:hAnsi="Verdana" w:cs="Arial"/>
          <w:lang w:val="es-ES" w:eastAsia="es-ES"/>
        </w:rPr>
      </w:pPr>
      <w:r w:rsidRPr="00DF3C8E">
        <w:rPr>
          <w:rFonts w:ascii="Verdana" w:eastAsia="Calibri" w:hAnsi="Verdana" w:cs="Arial"/>
          <w:lang w:val="es-ES" w:eastAsia="es-ES"/>
        </w:rPr>
        <w:t xml:space="preserve">Estimado señor Coronado: </w:t>
      </w:r>
    </w:p>
    <w:p w14:paraId="26A23823" w14:textId="77777777" w:rsidR="000D6C5B" w:rsidRPr="00DF3C8E" w:rsidRDefault="000D6C5B" w:rsidP="000D6C5B">
      <w:pPr>
        <w:tabs>
          <w:tab w:val="left" w:pos="3768"/>
        </w:tabs>
        <w:spacing w:after="0" w:line="276" w:lineRule="auto"/>
        <w:jc w:val="both"/>
        <w:rPr>
          <w:rFonts w:ascii="Verdana" w:eastAsia="Calibri" w:hAnsi="Verdana" w:cs="Arial"/>
          <w:lang w:val="es-ES" w:eastAsia="es-ES"/>
        </w:rPr>
      </w:pPr>
      <w:r w:rsidRPr="00DF3C8E">
        <w:rPr>
          <w:rFonts w:ascii="Verdana" w:eastAsia="Calibri" w:hAnsi="Verdana" w:cs="Arial"/>
          <w:lang w:val="es-ES" w:eastAsia="es-ES"/>
        </w:rPr>
        <w:tab/>
      </w:r>
    </w:p>
    <w:p w14:paraId="38506F35" w14:textId="77777777" w:rsidR="000D6C5B" w:rsidRPr="00DF3C8E" w:rsidRDefault="000D6C5B" w:rsidP="000D6C5B">
      <w:pPr>
        <w:spacing w:after="0" w:line="276" w:lineRule="auto"/>
        <w:jc w:val="both"/>
        <w:rPr>
          <w:rFonts w:ascii="Verdana" w:eastAsia="Calibri" w:hAnsi="Verdana" w:cs="Arial"/>
          <w:lang w:val="es-ES" w:eastAsia="es-ES"/>
        </w:rPr>
      </w:pPr>
      <w:r w:rsidRPr="00DF3C8E">
        <w:rPr>
          <w:rFonts w:ascii="Verdana" w:eastAsia="Calibri" w:hAnsi="Verdana" w:cs="Arial"/>
          <w:lang w:val="es-ES" w:eastAsia="es-ES"/>
        </w:rPr>
        <w:t>En ejercicio de la competencia otorgada por los artículos 3, numeral 5º, y 11, numeral 8º, del Decreto Ley 4170 de 2011,</w:t>
      </w:r>
      <w:r w:rsidRPr="00DF3C8E">
        <w:rPr>
          <w:rFonts w:ascii="Verdana" w:eastAsia="Arial MT" w:hAnsi="Verdana" w:cs="Arial MT"/>
          <w:lang w:val="es-ES" w:eastAsia="es-ES"/>
        </w:rPr>
        <w:t xml:space="preserve"> </w:t>
      </w:r>
      <w:r w:rsidRPr="00DF3C8E">
        <w:rPr>
          <w:rFonts w:ascii="Verdana" w:hAnsi="Verdana" w:cs="Arial"/>
        </w:rPr>
        <w:t xml:space="preserve">así como lo establecido en el artículo 4 de la Resolución 1707 de 2018 expedida por esta Entidad, </w:t>
      </w:r>
      <w:r w:rsidRPr="00DF3C8E">
        <w:rPr>
          <w:rFonts w:ascii="Verdana" w:eastAsia="Calibri" w:hAnsi="Verdana" w:cs="Arial"/>
          <w:lang w:val="es-ES" w:eastAsia="es-ES"/>
        </w:rPr>
        <w:t xml:space="preserve">la Agencia Nacional de Contratación Pública – Colombia Compra Eficiente– responde su solicitud de consulta de fecha 22 de octubre de 2024, en la cual manifiesta lo siguiente: </w:t>
      </w:r>
    </w:p>
    <w:p w14:paraId="00C70B97" w14:textId="77777777" w:rsidR="000D6C5B" w:rsidRPr="00272A7B" w:rsidRDefault="000D6C5B" w:rsidP="000D6C5B">
      <w:pPr>
        <w:pStyle w:val="Prrafodelista"/>
        <w:tabs>
          <w:tab w:val="left" w:pos="142"/>
          <w:tab w:val="left" w:pos="284"/>
        </w:tabs>
        <w:spacing w:line="276" w:lineRule="auto"/>
        <w:ind w:left="0"/>
        <w:jc w:val="both"/>
        <w:rPr>
          <w:rFonts w:ascii="Verdana" w:eastAsia="Century Gothic" w:hAnsi="Verdana" w:cs="Century Gothic"/>
          <w:b/>
          <w:bCs/>
        </w:rPr>
      </w:pPr>
    </w:p>
    <w:p w14:paraId="6F145055" w14:textId="77777777" w:rsidR="000D6C5B" w:rsidRPr="00272BC8" w:rsidRDefault="000D6C5B" w:rsidP="000D6C5B">
      <w:pPr>
        <w:spacing w:after="0" w:line="240" w:lineRule="auto"/>
        <w:ind w:left="709" w:right="709"/>
        <w:jc w:val="both"/>
        <w:rPr>
          <w:rFonts w:ascii="Verdana" w:eastAsia="Century Gothic" w:hAnsi="Verdana" w:cs="Century Gothic"/>
          <w:sz w:val="20"/>
          <w:szCs w:val="20"/>
          <w:lang w:val="es-ES"/>
        </w:rPr>
      </w:pPr>
      <w:bookmarkStart w:id="0" w:name="_Hlk95313578"/>
      <w:r w:rsidRPr="00272BC8">
        <w:rPr>
          <w:rFonts w:ascii="Verdana" w:eastAsia="Century Gothic" w:hAnsi="Verdana" w:cs="Century Gothic"/>
          <w:sz w:val="20"/>
          <w:szCs w:val="20"/>
          <w:lang w:val="es-ES"/>
        </w:rPr>
        <w:t>“[…]</w:t>
      </w:r>
    </w:p>
    <w:p w14:paraId="795ABAB9" w14:textId="77777777" w:rsidR="000D6C5B" w:rsidRPr="00272BC8" w:rsidRDefault="000D6C5B" w:rsidP="000D6C5B">
      <w:pPr>
        <w:pStyle w:val="Prrafodelista"/>
        <w:numPr>
          <w:ilvl w:val="0"/>
          <w:numId w:val="20"/>
        </w:numPr>
        <w:spacing w:after="0" w:line="240" w:lineRule="auto"/>
        <w:ind w:right="709"/>
        <w:jc w:val="both"/>
        <w:rPr>
          <w:rFonts w:ascii="Verdana" w:eastAsia="Century Gothic" w:hAnsi="Verdana" w:cs="Century Gothic"/>
          <w:i/>
          <w:iCs/>
          <w:sz w:val="20"/>
          <w:szCs w:val="20"/>
        </w:rPr>
      </w:pPr>
      <w:r w:rsidRPr="00272BC8">
        <w:rPr>
          <w:rFonts w:ascii="Verdana" w:eastAsia="Century Gothic" w:hAnsi="Verdana" w:cs="Century Gothic"/>
          <w:sz w:val="20"/>
          <w:szCs w:val="20"/>
        </w:rPr>
        <w:t xml:space="preserve">Revisando la respuesta al derecho de petición (Anexo 1) dada por ustedes con el número de </w:t>
      </w:r>
      <w:r w:rsidRPr="00272BC8">
        <w:rPr>
          <w:rFonts w:ascii="Verdana" w:eastAsia="Century Gothic" w:hAnsi="Verdana" w:cs="Century Gothic"/>
          <w:b/>
          <w:bCs/>
          <w:sz w:val="20"/>
          <w:szCs w:val="20"/>
        </w:rPr>
        <w:t>Radicado P20241016010510</w:t>
      </w:r>
      <w:r w:rsidRPr="00272BC8">
        <w:rPr>
          <w:rFonts w:ascii="Verdana" w:eastAsia="Century Gothic" w:hAnsi="Verdana" w:cs="Century Gothic"/>
          <w:sz w:val="20"/>
          <w:szCs w:val="20"/>
        </w:rPr>
        <w:t xml:space="preserve">, me informan de manera textual que: </w:t>
      </w:r>
      <w:r w:rsidRPr="00272BC8">
        <w:rPr>
          <w:rFonts w:ascii="Verdana" w:eastAsia="Century Gothic" w:hAnsi="Verdana" w:cs="Century Gothic"/>
          <w:i/>
          <w:iCs/>
          <w:sz w:val="20"/>
          <w:szCs w:val="20"/>
        </w:rPr>
        <w:t>“no podemos responder su solicitud, pues no se refiere al alcance de alguna norma general que rija la contratación de las entidades públicas sino a la resolución de una situación particular y concreta. En efecto, usted no está solicitando que se absuelvan dudas sobre la interpretación y aplicación de normas de carácter general en materia de contratación pública”.</w:t>
      </w:r>
    </w:p>
    <w:p w14:paraId="28BA3B87" w14:textId="77777777" w:rsidR="000D6C5B" w:rsidRPr="00272BC8" w:rsidRDefault="000D6C5B" w:rsidP="000D6C5B">
      <w:pPr>
        <w:pStyle w:val="Prrafodelista"/>
        <w:spacing w:after="0" w:line="240" w:lineRule="auto"/>
        <w:ind w:left="1069" w:right="709"/>
        <w:jc w:val="both"/>
        <w:rPr>
          <w:rFonts w:ascii="Verdana" w:eastAsia="Century Gothic" w:hAnsi="Verdana" w:cs="Century Gothic"/>
          <w:sz w:val="20"/>
          <w:szCs w:val="20"/>
        </w:rPr>
      </w:pPr>
      <w:r w:rsidRPr="00272BC8">
        <w:rPr>
          <w:rFonts w:ascii="Verdana" w:eastAsia="Century Gothic" w:hAnsi="Verdana" w:cs="Century Gothic"/>
          <w:sz w:val="20"/>
          <w:szCs w:val="20"/>
        </w:rPr>
        <w:t xml:space="preserve">Dicha respuesta fue dada por ustedes para el caso en que se consultaba si el </w:t>
      </w:r>
      <w:r w:rsidRPr="00272BC8">
        <w:rPr>
          <w:rFonts w:ascii="Verdana" w:eastAsia="Century Gothic" w:hAnsi="Verdana" w:cs="Century Gothic"/>
          <w:b/>
          <w:bCs/>
          <w:sz w:val="20"/>
          <w:szCs w:val="20"/>
        </w:rPr>
        <w:t>“Certificado de Cumplimiento Normativo”</w:t>
      </w:r>
      <w:r w:rsidRPr="00272BC8">
        <w:rPr>
          <w:rFonts w:ascii="Verdana" w:eastAsia="Century Gothic" w:hAnsi="Verdana" w:cs="Century Gothic"/>
          <w:sz w:val="20"/>
          <w:szCs w:val="20"/>
        </w:rPr>
        <w:t xml:space="preserve"> que genera la </w:t>
      </w:r>
      <w:r w:rsidRPr="00272BC8">
        <w:rPr>
          <w:rFonts w:ascii="Verdana" w:eastAsia="Century Gothic" w:hAnsi="Verdana" w:cs="Century Gothic"/>
          <w:b/>
          <w:bCs/>
          <w:sz w:val="20"/>
          <w:szCs w:val="20"/>
        </w:rPr>
        <w:t>Gobernación de Antioquia</w:t>
      </w:r>
      <w:r w:rsidRPr="00272BC8">
        <w:rPr>
          <w:rFonts w:ascii="Verdana" w:eastAsia="Century Gothic" w:hAnsi="Verdana" w:cs="Century Gothic"/>
          <w:sz w:val="20"/>
          <w:szCs w:val="20"/>
        </w:rPr>
        <w:t xml:space="preserve"> cumple con los requisitos para certificar la </w:t>
      </w:r>
      <w:r w:rsidRPr="00272BC8">
        <w:rPr>
          <w:rFonts w:ascii="Verdana" w:eastAsia="Century Gothic" w:hAnsi="Verdana" w:cs="Century Gothic"/>
          <w:b/>
          <w:bCs/>
          <w:sz w:val="20"/>
          <w:szCs w:val="20"/>
        </w:rPr>
        <w:t xml:space="preserve">“RECONOCIDA IDONEIDAD” </w:t>
      </w:r>
      <w:r w:rsidRPr="00272BC8">
        <w:rPr>
          <w:rFonts w:ascii="Verdana" w:eastAsia="Century Gothic" w:hAnsi="Verdana" w:cs="Century Gothic"/>
          <w:sz w:val="20"/>
          <w:szCs w:val="20"/>
        </w:rPr>
        <w:t xml:space="preserve">de una ESAL, y se le </w:t>
      </w:r>
      <w:r w:rsidRPr="00272BC8">
        <w:rPr>
          <w:rFonts w:ascii="Verdana" w:eastAsia="Century Gothic" w:hAnsi="Verdana" w:cs="Century Gothic"/>
          <w:sz w:val="20"/>
          <w:szCs w:val="20"/>
        </w:rPr>
        <w:lastRenderedPageBreak/>
        <w:t xml:space="preserve">adjuntó los requisitos y el enlace en el derecho de petición con </w:t>
      </w:r>
      <w:r w:rsidRPr="00272BC8">
        <w:rPr>
          <w:rFonts w:ascii="Verdana" w:eastAsia="Century Gothic" w:hAnsi="Verdana" w:cs="Century Gothic"/>
          <w:b/>
          <w:bCs/>
          <w:sz w:val="20"/>
          <w:szCs w:val="20"/>
        </w:rPr>
        <w:t>Radicado P20241016010510</w:t>
      </w:r>
      <w:r w:rsidRPr="00272BC8">
        <w:rPr>
          <w:rFonts w:ascii="Verdana" w:eastAsia="Century Gothic" w:hAnsi="Verdana" w:cs="Century Gothic"/>
          <w:sz w:val="20"/>
          <w:szCs w:val="20"/>
        </w:rPr>
        <w:t xml:space="preserve"> (Anexo 2).</w:t>
      </w:r>
    </w:p>
    <w:p w14:paraId="0B8A6850" w14:textId="77777777" w:rsidR="000D6C5B" w:rsidRPr="00272BC8" w:rsidRDefault="000D6C5B" w:rsidP="000D6C5B">
      <w:pPr>
        <w:pStyle w:val="Prrafodelista"/>
        <w:spacing w:after="0" w:line="240" w:lineRule="auto"/>
        <w:ind w:left="1069" w:right="709"/>
        <w:jc w:val="both"/>
        <w:rPr>
          <w:rFonts w:ascii="Verdana" w:eastAsia="Century Gothic" w:hAnsi="Verdana" w:cs="Century Gothic"/>
          <w:sz w:val="20"/>
          <w:szCs w:val="20"/>
        </w:rPr>
      </w:pPr>
      <w:r w:rsidRPr="00272BC8">
        <w:rPr>
          <w:rFonts w:ascii="Verdana" w:eastAsia="Century Gothic" w:hAnsi="Verdana" w:cs="Century Gothic"/>
          <w:sz w:val="20"/>
          <w:szCs w:val="20"/>
        </w:rPr>
        <w:t xml:space="preserve">Dicho esto, la solicitud de la aclaración respecto a la </w:t>
      </w:r>
      <w:r w:rsidRPr="00272BC8">
        <w:rPr>
          <w:rFonts w:ascii="Verdana" w:eastAsia="Century Gothic" w:hAnsi="Verdana" w:cs="Century Gothic"/>
          <w:b/>
          <w:bCs/>
          <w:sz w:val="20"/>
          <w:szCs w:val="20"/>
        </w:rPr>
        <w:t>“Reconocida Idoneidad”</w:t>
      </w:r>
      <w:r w:rsidRPr="00272BC8">
        <w:rPr>
          <w:rFonts w:ascii="Verdana" w:eastAsia="Century Gothic" w:hAnsi="Verdana" w:cs="Century Gothic"/>
          <w:sz w:val="20"/>
          <w:szCs w:val="20"/>
        </w:rPr>
        <w:t xml:space="preserve"> de las </w:t>
      </w:r>
      <w:r w:rsidRPr="00272BC8">
        <w:rPr>
          <w:rFonts w:ascii="Verdana" w:eastAsia="Century Gothic" w:hAnsi="Verdana" w:cs="Century Gothic"/>
          <w:b/>
          <w:bCs/>
          <w:sz w:val="20"/>
          <w:szCs w:val="20"/>
        </w:rPr>
        <w:t>ESAL</w:t>
      </w:r>
      <w:r w:rsidRPr="00272BC8">
        <w:rPr>
          <w:rFonts w:ascii="Verdana" w:eastAsia="Century Gothic" w:hAnsi="Verdana" w:cs="Century Gothic"/>
          <w:sz w:val="20"/>
          <w:szCs w:val="20"/>
        </w:rPr>
        <w:t xml:space="preserve"> sí tiene que ver con la aplicación de las normas de carácter general de la contratación pública, ya que, ustedes como entidad pública, establecieron los parámetros en </w:t>
      </w:r>
      <w:r w:rsidRPr="00272BC8">
        <w:rPr>
          <w:rFonts w:ascii="Verdana" w:eastAsia="Century Gothic" w:hAnsi="Verdana" w:cs="Century Gothic"/>
          <w:b/>
          <w:bCs/>
          <w:sz w:val="20"/>
          <w:szCs w:val="20"/>
        </w:rPr>
        <w:t>la “Guía para la contratación con entidades privadas sin ánimo de lucro y de reconocida idoneidad”</w:t>
      </w:r>
      <w:r w:rsidRPr="00272BC8">
        <w:rPr>
          <w:rFonts w:ascii="Verdana" w:eastAsia="Century Gothic" w:hAnsi="Verdana" w:cs="Century Gothic"/>
          <w:sz w:val="20"/>
          <w:szCs w:val="20"/>
        </w:rPr>
        <w:t xml:space="preserve">, dispuesto por el </w:t>
      </w:r>
      <w:r w:rsidRPr="00272BC8">
        <w:rPr>
          <w:rFonts w:ascii="Verdana" w:eastAsia="Century Gothic" w:hAnsi="Verdana" w:cs="Century Gothic"/>
          <w:b/>
          <w:bCs/>
          <w:sz w:val="20"/>
          <w:szCs w:val="20"/>
        </w:rPr>
        <w:t>Decreto 092 de 2017</w:t>
      </w:r>
      <w:r w:rsidRPr="00272BC8">
        <w:rPr>
          <w:rFonts w:ascii="Verdana" w:eastAsia="Century Gothic" w:hAnsi="Verdana" w:cs="Century Gothic"/>
          <w:sz w:val="20"/>
          <w:szCs w:val="20"/>
        </w:rPr>
        <w:t xml:space="preserve">; además, este requisito sí es solicitado para contratar para las ESAL, como se puede corroborar en los </w:t>
      </w:r>
      <w:r w:rsidRPr="00272BC8">
        <w:rPr>
          <w:rFonts w:ascii="Verdana" w:eastAsia="Century Gothic" w:hAnsi="Verdana" w:cs="Century Gothic"/>
          <w:b/>
          <w:bCs/>
          <w:sz w:val="20"/>
          <w:szCs w:val="20"/>
        </w:rPr>
        <w:t>“Requisitos habilitantes”</w:t>
      </w:r>
      <w:r w:rsidRPr="00272BC8">
        <w:rPr>
          <w:rFonts w:ascii="Verdana" w:eastAsia="Century Gothic" w:hAnsi="Verdana" w:cs="Century Gothic"/>
          <w:sz w:val="20"/>
          <w:szCs w:val="20"/>
        </w:rPr>
        <w:t xml:space="preserve"> en el proceso de contratación </w:t>
      </w:r>
      <w:r w:rsidRPr="00272BC8">
        <w:rPr>
          <w:rFonts w:ascii="Verdana" w:eastAsia="Century Gothic" w:hAnsi="Verdana" w:cs="Century Gothic"/>
          <w:b/>
          <w:bCs/>
          <w:sz w:val="20"/>
          <w:szCs w:val="20"/>
        </w:rPr>
        <w:t>PBR-24-PCS-005</w:t>
      </w:r>
      <w:r w:rsidRPr="00272BC8">
        <w:rPr>
          <w:rFonts w:ascii="Verdana" w:eastAsia="Century Gothic" w:hAnsi="Verdana" w:cs="Century Gothic"/>
          <w:sz w:val="20"/>
          <w:szCs w:val="20"/>
        </w:rPr>
        <w:t xml:space="preserve">, por tal motivo, dirigí esta inquietud hacia su entidad que considero que son la entidad idónea para aclarar si dicho documento de </w:t>
      </w:r>
      <w:r w:rsidRPr="00272BC8">
        <w:rPr>
          <w:rFonts w:ascii="Verdana" w:eastAsia="Century Gothic" w:hAnsi="Verdana" w:cs="Century Gothic"/>
          <w:b/>
          <w:bCs/>
          <w:sz w:val="20"/>
          <w:szCs w:val="20"/>
        </w:rPr>
        <w:t>“Cumplimiento Normativo”</w:t>
      </w:r>
      <w:r w:rsidRPr="00272BC8">
        <w:rPr>
          <w:rFonts w:ascii="Verdana" w:eastAsia="Century Gothic" w:hAnsi="Verdana" w:cs="Century Gothic"/>
          <w:sz w:val="20"/>
          <w:szCs w:val="20"/>
        </w:rPr>
        <w:t xml:space="preserve"> sí cumple con los requisitos de Colombia Compra Eficiente para certificar la </w:t>
      </w:r>
      <w:r w:rsidRPr="00272BC8">
        <w:rPr>
          <w:rFonts w:ascii="Verdana" w:eastAsia="Century Gothic" w:hAnsi="Verdana" w:cs="Century Gothic"/>
          <w:b/>
          <w:bCs/>
          <w:sz w:val="20"/>
          <w:szCs w:val="20"/>
        </w:rPr>
        <w:t>“Reconocida Idoneidad”</w:t>
      </w:r>
      <w:r w:rsidRPr="00272BC8">
        <w:rPr>
          <w:rFonts w:ascii="Verdana" w:eastAsia="Century Gothic" w:hAnsi="Verdana" w:cs="Century Gothic"/>
          <w:sz w:val="20"/>
          <w:szCs w:val="20"/>
        </w:rPr>
        <w:t xml:space="preserve"> de una </w:t>
      </w:r>
      <w:r w:rsidRPr="00272BC8">
        <w:rPr>
          <w:rFonts w:ascii="Verdana" w:eastAsia="Century Gothic" w:hAnsi="Verdana" w:cs="Century Gothic"/>
          <w:b/>
          <w:bCs/>
          <w:sz w:val="20"/>
          <w:szCs w:val="20"/>
        </w:rPr>
        <w:t>ESAL</w:t>
      </w:r>
      <w:r w:rsidRPr="00272BC8">
        <w:rPr>
          <w:rFonts w:ascii="Verdana" w:eastAsia="Century Gothic" w:hAnsi="Verdana" w:cs="Century Gothic"/>
          <w:sz w:val="20"/>
          <w:szCs w:val="20"/>
        </w:rPr>
        <w:t>.</w:t>
      </w:r>
    </w:p>
    <w:p w14:paraId="57D0765D" w14:textId="77777777" w:rsidR="000D6C5B" w:rsidRDefault="000D6C5B" w:rsidP="000D6C5B">
      <w:pPr>
        <w:spacing w:after="0" w:line="240" w:lineRule="auto"/>
        <w:ind w:left="709" w:right="709"/>
        <w:jc w:val="both"/>
        <w:rPr>
          <w:rFonts w:ascii="Verdana" w:eastAsia="Century Gothic" w:hAnsi="Verdana" w:cs="Century Gothic"/>
          <w:color w:val="7030A0"/>
          <w:sz w:val="20"/>
          <w:szCs w:val="20"/>
          <w:lang w:val="es-ES"/>
        </w:rPr>
      </w:pPr>
    </w:p>
    <w:p w14:paraId="7359BB8D" w14:textId="77777777" w:rsidR="000D6C5B" w:rsidRDefault="000D6C5B" w:rsidP="000D6C5B">
      <w:pPr>
        <w:pStyle w:val="Prrafodelista"/>
        <w:numPr>
          <w:ilvl w:val="0"/>
          <w:numId w:val="20"/>
        </w:numPr>
        <w:spacing w:after="0" w:line="240" w:lineRule="auto"/>
        <w:ind w:right="709"/>
        <w:jc w:val="both"/>
        <w:rPr>
          <w:rFonts w:ascii="Verdana" w:eastAsia="Calibri" w:hAnsi="Verdana" w:cs="Arial"/>
          <w:sz w:val="20"/>
          <w:szCs w:val="20"/>
        </w:rPr>
      </w:pPr>
      <w:r w:rsidRPr="00BE561E">
        <w:rPr>
          <w:rFonts w:ascii="Verdana" w:eastAsia="Calibri" w:hAnsi="Verdana" w:cs="Arial"/>
          <w:sz w:val="20"/>
          <w:szCs w:val="20"/>
        </w:rPr>
        <w:t xml:space="preserve">Por lo anteriormente expuesto, vuelvo y realizo la misma pregunta que se envió en el primer derecho de petición anterior con radicado </w:t>
      </w:r>
      <w:r w:rsidRPr="00272BC8">
        <w:rPr>
          <w:rFonts w:ascii="Verdana" w:eastAsia="Calibri" w:hAnsi="Verdana" w:cs="Arial"/>
          <w:b/>
          <w:bCs/>
          <w:sz w:val="20"/>
          <w:szCs w:val="20"/>
        </w:rPr>
        <w:t>P20241016010510</w:t>
      </w:r>
      <w:r w:rsidRPr="00BE561E">
        <w:rPr>
          <w:rFonts w:ascii="Verdana" w:eastAsia="Calibri" w:hAnsi="Verdana" w:cs="Arial"/>
          <w:sz w:val="20"/>
          <w:szCs w:val="20"/>
        </w:rPr>
        <w:t xml:space="preserve"> (Anexo 2) a continuación:</w:t>
      </w:r>
    </w:p>
    <w:p w14:paraId="547D1465" w14:textId="77777777" w:rsidR="000D6C5B" w:rsidRDefault="000D6C5B" w:rsidP="000D6C5B">
      <w:pPr>
        <w:pStyle w:val="Prrafodelista"/>
        <w:spacing w:after="0" w:line="240" w:lineRule="auto"/>
        <w:ind w:left="1069" w:right="709"/>
        <w:jc w:val="both"/>
        <w:rPr>
          <w:rFonts w:ascii="Verdana" w:eastAsia="Calibri" w:hAnsi="Verdana" w:cs="Arial"/>
          <w:sz w:val="20"/>
          <w:szCs w:val="20"/>
        </w:rPr>
      </w:pPr>
      <w:r w:rsidRPr="007D4C83">
        <w:rPr>
          <w:rFonts w:ascii="Verdana" w:eastAsia="Calibri" w:hAnsi="Verdana" w:cs="Arial"/>
          <w:sz w:val="20"/>
          <w:szCs w:val="20"/>
        </w:rPr>
        <w:t xml:space="preserve">La Gobernación de Antioquia, en su página web, solicita una información para expedir un documento llamado </w:t>
      </w:r>
      <w:r w:rsidRPr="002751DC">
        <w:rPr>
          <w:rFonts w:ascii="Verdana" w:eastAsia="Calibri" w:hAnsi="Verdana" w:cs="Arial"/>
          <w:b/>
          <w:bCs/>
          <w:sz w:val="20"/>
          <w:szCs w:val="20"/>
        </w:rPr>
        <w:t>“Certificado de Cumplimiento Normativo”</w:t>
      </w:r>
      <w:r w:rsidRPr="007D4C83">
        <w:rPr>
          <w:rFonts w:ascii="Verdana" w:eastAsia="Calibri" w:hAnsi="Verdana" w:cs="Arial"/>
          <w:sz w:val="20"/>
          <w:szCs w:val="20"/>
        </w:rPr>
        <w:t xml:space="preserve">, en la dirección: </w:t>
      </w:r>
      <w:hyperlink r:id="rId12" w:history="1">
        <w:r w:rsidRPr="000D6C5B">
          <w:rPr>
            <w:rStyle w:val="Hipervnculo"/>
            <w:rFonts w:ascii="Verdana" w:eastAsia="Calibri" w:hAnsi="Verdana" w:cs="Arial"/>
            <w:color w:val="4472C4" w:themeColor="accent1"/>
            <w:sz w:val="20"/>
            <w:szCs w:val="20"/>
          </w:rPr>
          <w:t>https://visorsuit.funcionpublica.gov.co/auth/visor?fi=39364</w:t>
        </w:r>
      </w:hyperlink>
      <w:r w:rsidRPr="007D4C83">
        <w:rPr>
          <w:rFonts w:ascii="Verdana" w:eastAsia="Calibri" w:hAnsi="Verdana" w:cs="Arial"/>
          <w:sz w:val="20"/>
          <w:szCs w:val="20"/>
        </w:rPr>
        <w:t>. En dicho enlace, pide la siguiente información para expedir el documento en mención:</w:t>
      </w:r>
    </w:p>
    <w:p w14:paraId="5D84506A" w14:textId="77777777" w:rsidR="000D6C5B" w:rsidRPr="0015587C" w:rsidRDefault="000D6C5B" w:rsidP="000D6C5B">
      <w:pPr>
        <w:pStyle w:val="Prrafodelista"/>
        <w:numPr>
          <w:ilvl w:val="0"/>
          <w:numId w:val="19"/>
        </w:numPr>
        <w:spacing w:after="0" w:line="240" w:lineRule="auto"/>
        <w:ind w:right="709"/>
        <w:jc w:val="both"/>
        <w:rPr>
          <w:rFonts w:ascii="Verdana" w:eastAsia="Calibri" w:hAnsi="Verdana" w:cs="Arial"/>
          <w:sz w:val="20"/>
          <w:szCs w:val="20"/>
        </w:rPr>
      </w:pPr>
      <w:r w:rsidRPr="0015587C">
        <w:rPr>
          <w:rFonts w:ascii="Verdana" w:eastAsia="Calibri" w:hAnsi="Verdana" w:cs="Arial"/>
          <w:sz w:val="20"/>
          <w:szCs w:val="20"/>
        </w:rPr>
        <w:t>Estados financieros bajo normas NIIF</w:t>
      </w:r>
    </w:p>
    <w:p w14:paraId="380DD7A9" w14:textId="77777777" w:rsidR="000D6C5B" w:rsidRPr="0015587C"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Certificado de vigencia de inscripción y de antecedentes disciplinarios del contador público que preparó los estados financieros y del revisor fiscal</w:t>
      </w:r>
    </w:p>
    <w:p w14:paraId="0617507B" w14:textId="77777777" w:rsidR="000D6C5B" w:rsidRPr="0015587C"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Estatutos</w:t>
      </w:r>
    </w:p>
    <w:p w14:paraId="4777293E" w14:textId="77777777" w:rsidR="000D6C5B" w:rsidRPr="0015587C"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Certificado de existencia y representación legal</w:t>
      </w:r>
    </w:p>
    <w:p w14:paraId="41760FF5" w14:textId="77777777" w:rsidR="000D6C5B" w:rsidRPr="0015587C"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Proyecto de Presupuesto del año en curso</w:t>
      </w:r>
    </w:p>
    <w:p w14:paraId="694EFB13" w14:textId="77777777" w:rsidR="000D6C5B" w:rsidRPr="0015587C"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Estado de situación de Apertura ASFA</w:t>
      </w:r>
    </w:p>
    <w:p w14:paraId="1602F646" w14:textId="77777777" w:rsidR="000D6C5B" w:rsidRDefault="000D6C5B" w:rsidP="000D6C5B">
      <w:pPr>
        <w:pStyle w:val="Prrafodelista"/>
        <w:numPr>
          <w:ilvl w:val="0"/>
          <w:numId w:val="19"/>
        </w:numPr>
        <w:spacing w:after="0" w:line="240" w:lineRule="auto"/>
        <w:ind w:left="1069" w:right="709"/>
        <w:jc w:val="both"/>
        <w:rPr>
          <w:rFonts w:ascii="Verdana" w:eastAsia="Calibri" w:hAnsi="Verdana" w:cs="Arial"/>
          <w:sz w:val="20"/>
          <w:szCs w:val="20"/>
        </w:rPr>
      </w:pPr>
      <w:r w:rsidRPr="0015587C">
        <w:rPr>
          <w:rFonts w:ascii="Verdana" w:eastAsia="Calibri" w:hAnsi="Verdana" w:cs="Arial"/>
          <w:sz w:val="20"/>
          <w:szCs w:val="20"/>
        </w:rPr>
        <w:t>Notas o revelaciones a los estados financieros</w:t>
      </w:r>
    </w:p>
    <w:p w14:paraId="0AAEA443" w14:textId="77777777" w:rsidR="000D6C5B" w:rsidRPr="0090296B" w:rsidRDefault="000D6C5B" w:rsidP="000D6C5B">
      <w:pPr>
        <w:pStyle w:val="Prrafodelista"/>
        <w:spacing w:after="0" w:line="240" w:lineRule="auto"/>
        <w:ind w:left="1069" w:right="709"/>
        <w:jc w:val="both"/>
        <w:rPr>
          <w:rFonts w:ascii="Verdana" w:eastAsia="Calibri" w:hAnsi="Verdana" w:cs="Arial"/>
          <w:sz w:val="20"/>
          <w:szCs w:val="20"/>
        </w:rPr>
      </w:pPr>
      <w:r w:rsidRPr="0090296B">
        <w:rPr>
          <w:rFonts w:ascii="Verdana" w:eastAsia="Calibri" w:hAnsi="Verdana" w:cs="Arial"/>
          <w:sz w:val="20"/>
          <w:szCs w:val="20"/>
        </w:rPr>
        <w:t xml:space="preserve">Según la información que la Gobernación de Antioquia solicita, y que se puede corroborar en la dirección web que fue adjunta, ¿el </w:t>
      </w:r>
      <w:r w:rsidRPr="0090296B">
        <w:rPr>
          <w:rFonts w:ascii="Verdana" w:eastAsia="Calibri" w:hAnsi="Verdana" w:cs="Arial"/>
          <w:b/>
          <w:bCs/>
          <w:sz w:val="20"/>
          <w:szCs w:val="20"/>
        </w:rPr>
        <w:t>“Certificado de Cumplimiento Normativo”</w:t>
      </w:r>
      <w:r w:rsidRPr="0090296B">
        <w:rPr>
          <w:rFonts w:ascii="Verdana" w:eastAsia="Calibri" w:hAnsi="Verdana" w:cs="Arial"/>
          <w:sz w:val="20"/>
          <w:szCs w:val="20"/>
        </w:rPr>
        <w:t xml:space="preserve"> que emite la Gobernación de Antioquia es el indicado para certificar la </w:t>
      </w:r>
      <w:r w:rsidRPr="0090296B">
        <w:rPr>
          <w:rFonts w:ascii="Verdana" w:eastAsia="Calibri" w:hAnsi="Verdana" w:cs="Arial"/>
          <w:b/>
          <w:bCs/>
          <w:sz w:val="20"/>
          <w:szCs w:val="20"/>
        </w:rPr>
        <w:t>“Reconocida Idoneidad”</w:t>
      </w:r>
      <w:r w:rsidRPr="0090296B">
        <w:rPr>
          <w:rFonts w:ascii="Verdana" w:eastAsia="Calibri" w:hAnsi="Verdana" w:cs="Arial"/>
          <w:sz w:val="20"/>
          <w:szCs w:val="20"/>
        </w:rPr>
        <w:t xml:space="preserve"> de una ESAL?</w:t>
      </w:r>
    </w:p>
    <w:p w14:paraId="68E06718" w14:textId="77777777" w:rsidR="000D6C5B" w:rsidRDefault="000D6C5B" w:rsidP="000D6C5B">
      <w:pPr>
        <w:spacing w:after="0" w:line="240" w:lineRule="auto"/>
        <w:ind w:left="709" w:right="709"/>
        <w:jc w:val="both"/>
        <w:rPr>
          <w:rStyle w:val="normaltextrun"/>
          <w:rFonts w:ascii="Verdana" w:hAnsi="Verdana" w:cs="Arial"/>
          <w:sz w:val="20"/>
          <w:szCs w:val="20"/>
          <w:shd w:val="clear" w:color="auto" w:fill="FFFFFF"/>
          <w:lang w:val="es-ES"/>
        </w:rPr>
      </w:pPr>
      <w:r w:rsidRPr="00876956">
        <w:rPr>
          <w:rStyle w:val="normaltextrun"/>
          <w:rFonts w:ascii="Verdana" w:hAnsi="Verdana" w:cs="Arial"/>
          <w:sz w:val="20"/>
          <w:szCs w:val="20"/>
          <w:shd w:val="clear" w:color="auto" w:fill="FFFFFF"/>
          <w:lang w:val="es-ES"/>
        </w:rPr>
        <w:t>[…]</w:t>
      </w:r>
    </w:p>
    <w:p w14:paraId="03DFEBE0" w14:textId="77777777" w:rsidR="000D6C5B" w:rsidRPr="00876956" w:rsidRDefault="000D6C5B" w:rsidP="000D6C5B">
      <w:pPr>
        <w:spacing w:after="0" w:line="240" w:lineRule="auto"/>
        <w:ind w:left="709" w:right="709"/>
        <w:jc w:val="both"/>
        <w:rPr>
          <w:rFonts w:ascii="Verdana" w:eastAsia="Century Gothic" w:hAnsi="Verdana" w:cs="Century Gothic"/>
          <w:sz w:val="20"/>
          <w:szCs w:val="20"/>
          <w:lang w:val="es-ES"/>
        </w:rPr>
      </w:pPr>
      <w:r w:rsidRPr="002F0B51">
        <w:rPr>
          <w:rFonts w:ascii="Verdana" w:eastAsia="Century Gothic" w:hAnsi="Verdana" w:cs="Century Gothic"/>
          <w:sz w:val="20"/>
          <w:szCs w:val="20"/>
          <w:lang w:val="es-ES"/>
        </w:rPr>
        <w:t xml:space="preserve">Notificaciones mediante correo electrónico a: </w:t>
      </w:r>
      <w:hyperlink r:id="rId13" w:history="1">
        <w:r w:rsidRPr="000D6C5B">
          <w:rPr>
            <w:rStyle w:val="Hipervnculo"/>
            <w:rFonts w:ascii="Verdana" w:eastAsia="Century Gothic" w:hAnsi="Verdana" w:cs="Century Gothic"/>
            <w:color w:val="4472C4" w:themeColor="accent1"/>
            <w:sz w:val="20"/>
            <w:szCs w:val="20"/>
            <w:lang w:val="es-ES"/>
          </w:rPr>
          <w:t>marcoandrescoronado@gmail.com</w:t>
        </w:r>
      </w:hyperlink>
      <w:r>
        <w:rPr>
          <w:rFonts w:ascii="Verdana" w:eastAsia="Century Gothic" w:hAnsi="Verdana" w:cs="Century Gothic"/>
          <w:sz w:val="20"/>
          <w:szCs w:val="20"/>
          <w:lang w:val="es-ES"/>
        </w:rPr>
        <w:t xml:space="preserve"> </w:t>
      </w:r>
      <w:r w:rsidRPr="002F0B51">
        <w:rPr>
          <w:rFonts w:ascii="Verdana" w:eastAsia="Century Gothic" w:hAnsi="Verdana" w:cs="Century Gothic"/>
          <w:sz w:val="20"/>
          <w:szCs w:val="20"/>
          <w:lang w:val="es-ES"/>
        </w:rPr>
        <w:t xml:space="preserve">con copia a </w:t>
      </w:r>
      <w:hyperlink r:id="rId14" w:history="1">
        <w:r w:rsidRPr="000D6C5B">
          <w:rPr>
            <w:rStyle w:val="Hipervnculo"/>
            <w:rFonts w:ascii="Verdana" w:eastAsia="Century Gothic" w:hAnsi="Verdana" w:cs="Century Gothic"/>
            <w:color w:val="4472C4" w:themeColor="accent1"/>
            <w:sz w:val="20"/>
            <w:szCs w:val="20"/>
            <w:lang w:val="es-ES"/>
          </w:rPr>
          <w:t>marco900612@hotmail.com</w:t>
        </w:r>
      </w:hyperlink>
      <w:r w:rsidRPr="00876956">
        <w:rPr>
          <w:rFonts w:ascii="Verdana" w:eastAsia="Century Gothic" w:hAnsi="Verdana" w:cs="Century Gothic"/>
          <w:sz w:val="20"/>
          <w:szCs w:val="20"/>
          <w:lang w:val="es-ES"/>
        </w:rPr>
        <w:t>”</w:t>
      </w:r>
      <w:bookmarkEnd w:id="0"/>
      <w:r w:rsidRPr="00876956">
        <w:rPr>
          <w:rFonts w:ascii="Verdana" w:eastAsia="Century Gothic" w:hAnsi="Verdana" w:cs="Century Gothic"/>
          <w:sz w:val="20"/>
          <w:szCs w:val="20"/>
          <w:lang w:val="es-ES"/>
        </w:rPr>
        <w:t xml:space="preserve"> (SIC).</w:t>
      </w:r>
    </w:p>
    <w:p w14:paraId="40688FEC" w14:textId="77777777" w:rsidR="000D6C5B" w:rsidRPr="00593A5F" w:rsidRDefault="000D6C5B" w:rsidP="000D6C5B">
      <w:pPr>
        <w:pStyle w:val="Prrafodelista"/>
        <w:tabs>
          <w:tab w:val="left" w:pos="142"/>
          <w:tab w:val="left" w:pos="284"/>
        </w:tabs>
        <w:spacing w:line="276" w:lineRule="auto"/>
        <w:ind w:left="0"/>
        <w:jc w:val="both"/>
        <w:rPr>
          <w:rFonts w:ascii="Verdana" w:eastAsia="Century Gothic" w:hAnsi="Verdana" w:cs="Century Gothic"/>
          <w:b/>
          <w:bCs/>
        </w:rPr>
      </w:pPr>
    </w:p>
    <w:p w14:paraId="06661646" w14:textId="77777777" w:rsidR="000D6C5B" w:rsidRDefault="000D6C5B" w:rsidP="000D6C5B">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93A5F">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5711E20" w14:textId="77777777" w:rsidR="000D6C5B" w:rsidRDefault="000D6C5B" w:rsidP="000D6C5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F9D68EC" w14:textId="77777777" w:rsidR="000D6C5B" w:rsidRPr="00593A5F" w:rsidRDefault="000D6C5B" w:rsidP="000D6C5B">
      <w:pPr>
        <w:spacing w:after="0" w:line="276" w:lineRule="auto"/>
        <w:ind w:firstLine="709"/>
        <w:jc w:val="both"/>
        <w:rPr>
          <w:rFonts w:ascii="Verdana" w:eastAsia="Calibri" w:hAnsi="Verdana" w:cs="Arial"/>
          <w:color w:val="000000"/>
          <w:lang w:val="es-ES" w:eastAsia="es-ES"/>
        </w:rPr>
      </w:pPr>
    </w:p>
    <w:p w14:paraId="44CF0186" w14:textId="77777777" w:rsidR="000D6C5B" w:rsidRPr="00593A5F" w:rsidRDefault="000D6C5B" w:rsidP="000D6C5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547A38B6" w14:textId="77777777" w:rsidR="000D6C5B" w:rsidRPr="00593A5F" w:rsidRDefault="000D6C5B" w:rsidP="000D6C5B">
      <w:pPr>
        <w:tabs>
          <w:tab w:val="left" w:pos="426"/>
        </w:tabs>
        <w:spacing w:after="0" w:line="276" w:lineRule="auto"/>
        <w:jc w:val="both"/>
        <w:rPr>
          <w:rFonts w:ascii="Verdana" w:eastAsia="Century Gothic" w:hAnsi="Verdana" w:cs="Century Gothic"/>
          <w:lang w:val="es-ES"/>
        </w:rPr>
      </w:pPr>
    </w:p>
    <w:p w14:paraId="6FDE7F72" w14:textId="77777777" w:rsidR="000D6C5B" w:rsidRPr="00593A5F" w:rsidRDefault="000D6C5B" w:rsidP="000D6C5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w:t>
      </w:r>
      <w:r>
        <w:rPr>
          <w:rFonts w:ascii="Verdana" w:eastAsia="Century Gothic" w:hAnsi="Verdana" w:cs="Century Gothic"/>
        </w:rPr>
        <w:t>e</w:t>
      </w:r>
      <w:r w:rsidRPr="00D33D9D">
        <w:rPr>
          <w:rFonts w:ascii="Verdana" w:eastAsia="Century Gothic" w:hAnsi="Verdana" w:cs="Century Gothic"/>
        </w:rPr>
        <w:t>n efecto, usted no está solicitando que se absuelvan dudas sobre la interpretación y aplicación de normas de carácter general en materia de contratación pública</w:t>
      </w:r>
      <w:r>
        <w:rPr>
          <w:rFonts w:ascii="Verdana" w:eastAsia="Century Gothic" w:hAnsi="Verdana" w:cs="Century Gothic"/>
        </w:rPr>
        <w:t>, por el contrario, solicita validación frente al “Certificado de cumplimiento normativo” como documento idóneo para certificar la reconocida idoneidad de la ESAL, hecho que desborda nuestra competencia. Por lo tanto,</w:t>
      </w:r>
      <w:r w:rsidRPr="00D33D9D">
        <w:rPr>
          <w:rFonts w:ascii="Verdana" w:eastAsia="Century Gothic" w:hAnsi="Verdana" w:cs="Century Gothic"/>
        </w:rPr>
        <w:t xml:space="preserve"> </w:t>
      </w:r>
      <w:r w:rsidRPr="00593A5F">
        <w:rPr>
          <w:rFonts w:ascii="Verdana" w:eastAsia="Century Gothic" w:hAnsi="Verdana" w:cs="Century Gothic"/>
        </w:rPr>
        <w:t xml:space="preserve">esta Agencia resolverá el siguiente problema jurídico: </w:t>
      </w:r>
      <w:r w:rsidRPr="00B257AC">
        <w:rPr>
          <w:rFonts w:ascii="Verdana" w:eastAsia="Century Gothic" w:hAnsi="Verdana" w:cs="Century Gothic"/>
        </w:rPr>
        <w:t xml:space="preserve">¿Cómo puede una entidad sin ánimo de lucro –en adelante ESAL– </w:t>
      </w:r>
      <w:r>
        <w:rPr>
          <w:rFonts w:ascii="Verdana" w:eastAsia="Century Gothic" w:hAnsi="Verdana" w:cs="Century Gothic"/>
        </w:rPr>
        <w:t>acreditar su</w:t>
      </w:r>
      <w:r w:rsidRPr="00B257AC">
        <w:rPr>
          <w:rFonts w:ascii="Verdana" w:eastAsia="Century Gothic" w:hAnsi="Verdana" w:cs="Century Gothic"/>
        </w:rPr>
        <w:t xml:space="preserve"> idoneidad? </w:t>
      </w:r>
    </w:p>
    <w:p w14:paraId="45CC36BE" w14:textId="77777777" w:rsidR="000D6C5B" w:rsidRPr="00593A5F" w:rsidRDefault="000D6C5B" w:rsidP="000D6C5B">
      <w:pPr>
        <w:spacing w:after="0" w:line="276" w:lineRule="auto"/>
        <w:jc w:val="both"/>
        <w:rPr>
          <w:rFonts w:ascii="Verdana" w:eastAsia="Calibri" w:hAnsi="Verdana" w:cs="Arial"/>
          <w:color w:val="7030A0"/>
          <w:lang w:val="es-ES"/>
        </w:rPr>
      </w:pPr>
    </w:p>
    <w:p w14:paraId="465CFA74" w14:textId="77777777" w:rsidR="000D6C5B" w:rsidRPr="00593A5F" w:rsidRDefault="000D6C5B" w:rsidP="000D6C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8010F66" w14:textId="77777777" w:rsidR="000D6C5B" w:rsidRPr="00593A5F" w:rsidRDefault="000D6C5B" w:rsidP="000D6C5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D6C5B" w:rsidRPr="00593A5F" w14:paraId="5B1781CD" w14:textId="77777777" w:rsidTr="00890BB8">
        <w:tc>
          <w:tcPr>
            <w:tcW w:w="8828" w:type="dxa"/>
            <w:shd w:val="clear" w:color="auto" w:fill="auto"/>
          </w:tcPr>
          <w:p w14:paraId="5BB8C566" w14:textId="77777777" w:rsidR="000D6C5B" w:rsidRPr="00A22280" w:rsidRDefault="000D6C5B" w:rsidP="00890BB8">
            <w:pPr>
              <w:spacing w:before="120" w:after="100" w:afterAutospacing="1" w:line="276" w:lineRule="auto"/>
              <w:jc w:val="both"/>
              <w:rPr>
                <w:rFonts w:ascii="Verdana" w:eastAsia="Calibri" w:hAnsi="Verdana" w:cs="Arial"/>
                <w:lang w:val="es-ES"/>
              </w:rPr>
            </w:pPr>
            <w:r w:rsidRPr="00A22280">
              <w:rPr>
                <w:rFonts w:ascii="Verdana" w:eastAsia="Calibri" w:hAnsi="Verdana" w:cs="Arial"/>
                <w:lang w:val="es-ES"/>
              </w:rPr>
              <w:t>Primordialmente, es importante aclarar que, teniendo</w:t>
            </w:r>
            <w:r w:rsidRPr="00A22280">
              <w:t xml:space="preserve"> </w:t>
            </w:r>
            <w:r w:rsidRPr="00A22280">
              <w:rPr>
                <w:rFonts w:ascii="Verdana" w:eastAsia="Calibri" w:hAnsi="Verdana" w:cs="Arial"/>
                <w:lang w:val="es-ES"/>
              </w:rPr>
              <w:t xml:space="preserve">en cuenta que esta entidad solo tiene competencia para responder solicitudes sobre la aplicación de normas de carácter general en materia de compras y contratación pública, </w:t>
            </w:r>
            <w:r w:rsidRPr="00A22280">
              <w:rPr>
                <w:rFonts w:ascii="Verdana" w:eastAsia="Calibri" w:hAnsi="Verdana" w:cs="Arial"/>
                <w:u w:val="single"/>
                <w:lang w:val="es-ES"/>
              </w:rPr>
              <w:t>NO es la idónea</w:t>
            </w:r>
            <w:r w:rsidRPr="00A22280">
              <w:rPr>
                <w:rFonts w:ascii="Verdana" w:eastAsia="Calibri" w:hAnsi="Verdana" w:cs="Arial"/>
                <w:lang w:val="es-ES"/>
              </w:rPr>
              <w:t xml:space="preserve"> para aclarar si el documento especificado en su consulta cumple con los requisitos establecidos en la norma, ya que </w:t>
            </w:r>
            <w:r w:rsidRPr="00A22280">
              <w:rPr>
                <w:rFonts w:ascii="Verdana" w:eastAsia="Calibri" w:hAnsi="Verdana" w:cs="Arial"/>
                <w:u w:val="single"/>
                <w:lang w:val="es-ES"/>
              </w:rPr>
              <w:t>no está dentro de nuestra competencia el actuar como una instancia de validación</w:t>
            </w:r>
            <w:r w:rsidRPr="00A22280">
              <w:rPr>
                <w:rFonts w:ascii="Verdana" w:eastAsia="Calibri" w:hAnsi="Verdana" w:cs="Arial"/>
                <w:lang w:val="es-ES"/>
              </w:rPr>
              <w:t xml:space="preserve"> de las </w:t>
            </w:r>
            <w:r w:rsidRPr="00A22280">
              <w:rPr>
                <w:rFonts w:ascii="Verdana" w:eastAsia="Calibri" w:hAnsi="Verdana" w:cs="Arial"/>
                <w:lang w:val="es-ES"/>
              </w:rPr>
              <w:lastRenderedPageBreak/>
              <w:t>actuaciones de las entidades sujetas a la Ley 80 de 1993 o de los demás participantes de la contratación pública.</w:t>
            </w:r>
          </w:p>
          <w:p w14:paraId="5A79B1F2" w14:textId="77777777" w:rsidR="000D6C5B" w:rsidRPr="00A22280" w:rsidRDefault="000D6C5B" w:rsidP="00890BB8">
            <w:pPr>
              <w:spacing w:before="120" w:after="100" w:afterAutospacing="1" w:line="276" w:lineRule="auto"/>
              <w:jc w:val="both"/>
              <w:rPr>
                <w:rFonts w:ascii="Verdana" w:eastAsia="Calibri" w:hAnsi="Verdana" w:cs="Arial"/>
                <w:lang w:val="es-ES"/>
              </w:rPr>
            </w:pPr>
            <w:r w:rsidRPr="00A22280">
              <w:rPr>
                <w:rFonts w:ascii="Verdana" w:eastAsia="Calibri" w:hAnsi="Verdana" w:cs="Arial"/>
                <w:lang w:val="es-ES"/>
              </w:rPr>
              <w:t xml:space="preserve">Ahora bien, el artículo 3 del decreto 092 de 2017 establece los </w:t>
            </w:r>
            <w:r w:rsidRPr="00A22280">
              <w:rPr>
                <w:rFonts w:ascii="Verdana" w:eastAsia="Calibri" w:hAnsi="Verdana" w:cs="Arial"/>
                <w:u w:val="single"/>
                <w:lang w:val="es-ES"/>
              </w:rPr>
              <w:t>requisitos para que una ESAL pueda acreditar su idoneidad</w:t>
            </w:r>
            <w:r w:rsidRPr="00A22280">
              <w:rPr>
                <w:rFonts w:ascii="Verdana" w:eastAsia="Calibri" w:hAnsi="Verdana" w:cs="Arial"/>
                <w:lang w:val="es-ES"/>
              </w:rPr>
              <w:t xml:space="preserve"> los cuales se resumen en i) que su objeto guarde estrecha relación con el objeto a contratar, y, ii) que esta tenga experiencia previa con el mismo, esto en términos de eficiencia, eficacia, economía y manejo del riesgo. Por ende, sí es necesario acreditar la idoneidad para la suscripción de un convenio o contrato con una ESAL en el marco del Decreto citado, la cual se extiende tanto al proceso competitivo de selección como la posibilidad de no acudir a este. En todo caso, teniendo en cuenta que la norma específica de la materia no contempla un modelo estandarizado que permita definir un único formato de certificación de idoneidad, este </w:t>
            </w:r>
            <w:r w:rsidRPr="00A22280">
              <w:rPr>
                <w:rFonts w:ascii="Verdana" w:eastAsia="Calibri" w:hAnsi="Verdana" w:cs="Arial"/>
                <w:u w:val="single"/>
                <w:lang w:val="es-ES"/>
              </w:rPr>
              <w:t>deberá ser fijado en los documentos precontractuales del proceso de selección</w:t>
            </w:r>
            <w:r w:rsidRPr="00A22280">
              <w:rPr>
                <w:rFonts w:ascii="Verdana" w:eastAsia="Calibri" w:hAnsi="Verdana" w:cs="Arial"/>
                <w:lang w:val="es-ES"/>
              </w:rPr>
              <w:t xml:space="preserve">, ya sea competitivo o no, que cada entidad establezca en virtud de la autonomía de la gozan para la estructuración de este tipo convenios y/o contratos. </w:t>
            </w:r>
          </w:p>
          <w:p w14:paraId="09AC6D3B" w14:textId="77777777" w:rsidR="000D6C5B" w:rsidRPr="00A22280" w:rsidRDefault="000D6C5B" w:rsidP="00890BB8">
            <w:pPr>
              <w:spacing w:before="120" w:after="100" w:afterAutospacing="1" w:line="276" w:lineRule="auto"/>
              <w:jc w:val="both"/>
              <w:rPr>
                <w:rFonts w:ascii="Verdana" w:eastAsia="Calibri" w:hAnsi="Verdana" w:cs="Arial"/>
                <w:lang w:val="es-ES"/>
              </w:rPr>
            </w:pPr>
            <w:r w:rsidRPr="00A22280">
              <w:rPr>
                <w:rFonts w:ascii="Verdana" w:eastAsia="Calibri" w:hAnsi="Verdana" w:cs="Arial"/>
                <w:lang w:val="es-ES"/>
              </w:rPr>
              <w:t>Seguidamente, en relación con lo anterior, en la Guía para la contratación con entidades sin ánimo de lucro y de reconocida idoneidad, expedida por esta Agencia, se establece que las Entidades Estatales deben tener en cuenta los atributos de la ESAL para hacer una valoración sobre su reconocida idoneidad. Para el efecto debe considerar los siguientes criterios como: a) Correspondencia del objeto de la entidad privada sin ánimo de lucro y el programa o actividad prevista en el plan de desarrollo, b) capacidad del personal, c) experiencia, d) estructura organizacional, e) indicadores de eficiencia de la organización y f) reputación y fijarlos fundamentando su relación con el objeto del Proceso de Contratación, su complejidad y la cantidad de recursos comprometidos por la Entidad Estatal.</w:t>
            </w:r>
          </w:p>
          <w:p w14:paraId="36E71B85" w14:textId="77777777" w:rsidR="000D6C5B" w:rsidRPr="00A22280" w:rsidRDefault="000D6C5B" w:rsidP="00890BB8">
            <w:pPr>
              <w:spacing w:before="120" w:after="100" w:afterAutospacing="1" w:line="276" w:lineRule="auto"/>
              <w:jc w:val="both"/>
              <w:rPr>
                <w:rFonts w:ascii="Verdana" w:eastAsia="Calibri" w:hAnsi="Verdana" w:cs="Arial"/>
                <w:lang w:val="es-ES"/>
              </w:rPr>
            </w:pPr>
            <w:r w:rsidRPr="00A22280">
              <w:rPr>
                <w:rFonts w:ascii="Verdana" w:eastAsia="Calibri" w:hAnsi="Verdana" w:cs="Arial"/>
                <w:lang w:val="es-ES"/>
              </w:rPr>
              <w:t xml:space="preserve">Finalmente, frente a la </w:t>
            </w:r>
            <w:r w:rsidRPr="00A22280">
              <w:rPr>
                <w:rFonts w:ascii="Verdana" w:eastAsia="Calibri" w:hAnsi="Verdana" w:cs="Arial"/>
                <w:u w:val="single"/>
                <w:lang w:val="es-ES"/>
              </w:rPr>
              <w:t>solicitud de notificación con copia a un segundo correo electrónico</w:t>
            </w:r>
            <w:r w:rsidRPr="00A22280">
              <w:rPr>
                <w:rFonts w:ascii="Verdana" w:eastAsia="Calibri" w:hAnsi="Verdana" w:cs="Arial"/>
                <w:lang w:val="es-ES"/>
              </w:rPr>
              <w:t xml:space="preserve">, y en aras de salvaguardar y satisfacer el derecho fundamental de petición, nos servimos de informarle que el sistema de gestión de PQRSD de esta agencia realiza las notificaciones al correo proporcionado por el peticionario al momento de realizar la radicación de la consulta, por lo que no nos es posible atender a sus requerimientos particulares frente a una doble notificación. </w:t>
            </w:r>
          </w:p>
        </w:tc>
      </w:tr>
    </w:tbl>
    <w:p w14:paraId="2FDB7010" w14:textId="77777777" w:rsidR="000D6C5B" w:rsidRPr="00593A5F" w:rsidRDefault="000D6C5B" w:rsidP="000D6C5B">
      <w:pPr>
        <w:tabs>
          <w:tab w:val="left" w:pos="142"/>
          <w:tab w:val="left" w:pos="284"/>
        </w:tabs>
        <w:spacing w:after="0" w:line="276" w:lineRule="auto"/>
        <w:jc w:val="both"/>
        <w:rPr>
          <w:rFonts w:ascii="Verdana" w:eastAsia="Century Gothic" w:hAnsi="Verdana" w:cs="Century Gothic"/>
          <w:b/>
          <w:bCs/>
          <w:lang w:val="es-ES"/>
        </w:rPr>
      </w:pPr>
    </w:p>
    <w:p w14:paraId="1066E072" w14:textId="77777777" w:rsidR="000D6C5B" w:rsidRPr="00593A5F" w:rsidRDefault="000D6C5B" w:rsidP="000D6C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Razones de la respuesta:</w:t>
      </w:r>
    </w:p>
    <w:p w14:paraId="55BD2598" w14:textId="77777777" w:rsidR="000D6C5B" w:rsidRPr="00593A5F" w:rsidRDefault="000D6C5B" w:rsidP="000D6C5B">
      <w:pPr>
        <w:spacing w:after="0" w:line="276" w:lineRule="auto"/>
        <w:jc w:val="both"/>
        <w:rPr>
          <w:rFonts w:ascii="Verdana" w:eastAsia="Calibri" w:hAnsi="Verdana" w:cs="Arial"/>
          <w:color w:val="7030A0"/>
          <w:lang w:val="es-ES"/>
        </w:rPr>
      </w:pPr>
    </w:p>
    <w:p w14:paraId="54580A30" w14:textId="77777777" w:rsidR="000D6C5B" w:rsidRPr="00B96799" w:rsidRDefault="000D6C5B" w:rsidP="000D6C5B">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508BC8B3" w14:textId="77777777" w:rsidR="000D6C5B" w:rsidRPr="00795769" w:rsidRDefault="000D6C5B" w:rsidP="000D6C5B">
      <w:pPr>
        <w:spacing w:after="0" w:line="276" w:lineRule="auto"/>
        <w:jc w:val="both"/>
        <w:rPr>
          <w:rFonts w:ascii="Verdana" w:eastAsia="Times New Roman" w:hAnsi="Verdana" w:cs="Arial"/>
          <w:color w:val="7030A0"/>
          <w:lang w:val="es-ES" w:eastAsia="es-ES"/>
        </w:rPr>
      </w:pPr>
    </w:p>
    <w:p w14:paraId="1D9F5F22" w14:textId="77777777" w:rsidR="000D6C5B" w:rsidRPr="00522493" w:rsidRDefault="000D6C5B" w:rsidP="000D6C5B">
      <w:pPr>
        <w:pStyle w:val="Prrafodelista"/>
        <w:numPr>
          <w:ilvl w:val="0"/>
          <w:numId w:val="17"/>
        </w:numPr>
        <w:spacing w:after="0" w:line="276" w:lineRule="auto"/>
        <w:jc w:val="both"/>
        <w:rPr>
          <w:rFonts w:ascii="Verdana" w:eastAsia="Times New Roman" w:hAnsi="Verdana" w:cs="Arial"/>
          <w:color w:val="7030A0"/>
          <w:lang w:eastAsia="es-ES"/>
        </w:rPr>
      </w:pPr>
      <w:r w:rsidRPr="00795769">
        <w:rPr>
          <w:rFonts w:ascii="Verdana" w:eastAsia="Calibri" w:hAnsi="Verdana" w:cs="Arial"/>
        </w:rPr>
        <w:t xml:space="preserve">En relación con lo solicitado, el marco </w:t>
      </w:r>
      <w:r w:rsidRPr="00CF04FF">
        <w:rPr>
          <w:rFonts w:ascii="Verdana" w:eastAsia="Calibri" w:hAnsi="Verdana" w:cs="Arial"/>
        </w:rPr>
        <w:t>jurídico que ampara su consulta es el artículo 355 de la Constitución en concordancia con los artículos 2, 4 5,6,7 y 8 del Decreto 092 del 2017.</w:t>
      </w:r>
    </w:p>
    <w:p w14:paraId="0611689B" w14:textId="77777777" w:rsidR="000D6C5B" w:rsidRPr="00522493" w:rsidRDefault="000D6C5B" w:rsidP="000D6C5B">
      <w:pPr>
        <w:pStyle w:val="Prrafodelista"/>
        <w:rPr>
          <w:rFonts w:ascii="Verdana" w:eastAsia="Times New Roman" w:hAnsi="Verdana" w:cs="Arial"/>
          <w:color w:val="7030A0"/>
          <w:lang w:eastAsia="es-ES"/>
        </w:rPr>
      </w:pPr>
    </w:p>
    <w:p w14:paraId="64E6C033" w14:textId="77777777" w:rsidR="000D6C5B" w:rsidRPr="00133A61" w:rsidRDefault="000D6C5B" w:rsidP="000D6C5B">
      <w:pPr>
        <w:pStyle w:val="Prrafodelista"/>
        <w:numPr>
          <w:ilvl w:val="0"/>
          <w:numId w:val="17"/>
        </w:numPr>
        <w:spacing w:after="0" w:line="276" w:lineRule="auto"/>
        <w:jc w:val="both"/>
        <w:rPr>
          <w:rFonts w:ascii="Verdana" w:hAnsi="Verdana"/>
        </w:rPr>
      </w:pPr>
      <w:r>
        <w:rPr>
          <w:rFonts w:ascii="Verdana" w:eastAsia="Calibri" w:hAnsi="Verdana" w:cs="Arial"/>
        </w:rPr>
        <w:t>A</w:t>
      </w:r>
      <w:r w:rsidRPr="00133A61">
        <w:rPr>
          <w:rFonts w:ascii="Verdana" w:eastAsia="Calibri" w:hAnsi="Verdana" w:cs="Arial"/>
        </w:rPr>
        <w:t>l</w:t>
      </w:r>
      <w:r>
        <w:rPr>
          <w:rFonts w:ascii="Verdana" w:eastAsia="Calibri" w:hAnsi="Verdana" w:cs="Arial"/>
        </w:rPr>
        <w:t xml:space="preserve"> respecto, el</w:t>
      </w:r>
      <w:r w:rsidRPr="00133A61">
        <w:rPr>
          <w:rFonts w:ascii="Verdana" w:eastAsia="Calibri" w:hAnsi="Verdana" w:cs="Arial"/>
        </w:rPr>
        <w:t xml:space="preserve"> artículo 3 </w:t>
      </w:r>
      <w:r>
        <w:rPr>
          <w:rFonts w:ascii="Verdana" w:eastAsia="Calibri" w:hAnsi="Verdana" w:cs="Arial"/>
        </w:rPr>
        <w:t>ibídem</w:t>
      </w:r>
      <w:r w:rsidRPr="00133A61">
        <w:rPr>
          <w:rFonts w:ascii="Verdana" w:eastAsia="Calibri" w:hAnsi="Verdana" w:cs="Arial"/>
        </w:rPr>
        <w:t xml:space="preserve"> establece: </w:t>
      </w:r>
    </w:p>
    <w:p w14:paraId="03683FB8" w14:textId="77777777" w:rsidR="000D6C5B" w:rsidRPr="00CF04FF" w:rsidRDefault="000D6C5B" w:rsidP="000D6C5B">
      <w:pPr>
        <w:pStyle w:val="Prrafodelista"/>
        <w:rPr>
          <w:rFonts w:ascii="Verdana" w:eastAsia="Calibri" w:hAnsi="Verdana" w:cs="Arial"/>
        </w:rPr>
      </w:pPr>
    </w:p>
    <w:p w14:paraId="51612B7E" w14:textId="77777777" w:rsidR="000D6C5B" w:rsidRPr="00CF04FF" w:rsidRDefault="000D6C5B" w:rsidP="000D6C5B">
      <w:pPr>
        <w:pStyle w:val="Prrafodelista"/>
        <w:spacing w:after="0" w:line="240" w:lineRule="auto"/>
        <w:ind w:left="1491" w:right="357"/>
        <w:jc w:val="both"/>
        <w:rPr>
          <w:rFonts w:ascii="Verdana" w:hAnsi="Verdana"/>
          <w:sz w:val="20"/>
          <w:szCs w:val="20"/>
          <w:lang w:val="es-CO"/>
        </w:rPr>
      </w:pPr>
      <w:r w:rsidRPr="00CF04FF">
        <w:rPr>
          <w:rFonts w:ascii="Verdana" w:hAnsi="Verdana"/>
          <w:sz w:val="20"/>
          <w:szCs w:val="20"/>
        </w:rPr>
        <w:t>“</w:t>
      </w:r>
      <w:r w:rsidRPr="00CF04FF">
        <w:rPr>
          <w:rFonts w:ascii="Verdana" w:hAnsi="Verdana"/>
          <w:b/>
          <w:bCs/>
          <w:sz w:val="20"/>
          <w:szCs w:val="20"/>
          <w:lang w:val="es-CO"/>
        </w:rPr>
        <w:t>Artículo 3°. Reconocida idoneidad.</w:t>
      </w:r>
      <w:r w:rsidRPr="00CF04FF">
        <w:rPr>
          <w:rFonts w:ascii="Verdana" w:hAnsi="Verdana"/>
          <w:sz w:val="20"/>
          <w:szCs w:val="20"/>
          <w:lang w:val="es-CO"/>
        </w:rPr>
        <w:t xml:space="preserve"> La entidad sin ánimo de lucro es de reconocida idoneidad cuando es adecuada y apropiada para desarrollar las actividades que son objeto del Proceso de Contratación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 </w:t>
      </w:r>
    </w:p>
    <w:p w14:paraId="17CE5CB7" w14:textId="77777777" w:rsidR="000D6C5B" w:rsidRPr="00CF04FF" w:rsidRDefault="000D6C5B" w:rsidP="000D6C5B">
      <w:pPr>
        <w:pStyle w:val="Prrafodelista"/>
        <w:spacing w:after="0" w:line="240" w:lineRule="auto"/>
        <w:ind w:left="1491" w:right="357"/>
        <w:jc w:val="both"/>
        <w:rPr>
          <w:rFonts w:ascii="Verdana" w:hAnsi="Verdana"/>
          <w:sz w:val="20"/>
          <w:szCs w:val="20"/>
          <w:lang w:val="es-CO"/>
        </w:rPr>
      </w:pPr>
      <w:r w:rsidRPr="00CF04FF">
        <w:rPr>
          <w:rFonts w:ascii="Verdana" w:hAnsi="Verdana"/>
          <w:sz w:val="20"/>
          <w:szCs w:val="20"/>
          <w:lang w:val="es-CO"/>
        </w:rPr>
        <w:t>La Entidad Estatal debe definir en los Documentos del Proceso las características que debe acreditar la entidad sin ánimo de lucro.</w:t>
      </w:r>
      <w:r w:rsidRPr="00CF04FF">
        <w:rPr>
          <w:rFonts w:ascii="Verdana" w:hAnsi="Verdana"/>
          <w:sz w:val="20"/>
          <w:szCs w:val="20"/>
        </w:rPr>
        <w:t xml:space="preserve"> […]”</w:t>
      </w:r>
    </w:p>
    <w:p w14:paraId="62C78716" w14:textId="77777777" w:rsidR="000D6C5B" w:rsidRPr="00133A61" w:rsidRDefault="000D6C5B" w:rsidP="000D6C5B">
      <w:pPr>
        <w:pStyle w:val="Prrafodelista"/>
        <w:spacing w:after="0" w:line="276" w:lineRule="auto"/>
        <w:jc w:val="both"/>
        <w:rPr>
          <w:rFonts w:ascii="Verdana" w:eastAsia="Calibri" w:hAnsi="Verdana" w:cs="Arial"/>
        </w:rPr>
      </w:pPr>
    </w:p>
    <w:p w14:paraId="1B963016" w14:textId="77777777" w:rsidR="000D6C5B" w:rsidRPr="00133A61" w:rsidRDefault="000D6C5B" w:rsidP="000D6C5B">
      <w:pPr>
        <w:pStyle w:val="Prrafodelista"/>
        <w:numPr>
          <w:ilvl w:val="0"/>
          <w:numId w:val="17"/>
        </w:numPr>
        <w:spacing w:after="0" w:line="276" w:lineRule="auto"/>
        <w:jc w:val="both"/>
        <w:rPr>
          <w:rFonts w:ascii="Verdana" w:eastAsia="Calibri" w:hAnsi="Verdana" w:cs="Arial"/>
        </w:rPr>
      </w:pPr>
      <w:r w:rsidRPr="00133A61">
        <w:rPr>
          <w:rFonts w:ascii="Verdana" w:eastAsia="Calibri" w:hAnsi="Verdana" w:cs="Arial"/>
        </w:rPr>
        <w:t>Conforme a lo anterior, la norma establece los requisitos para que una ESAL pueda acreditar su idoneidad los cuales se citan a continuación: i) que su objeto guarde estrecha relación con el objeto a contratar, y, ii) que esta tenga experiencia previa con el mismo, esto en términos de eficiencia, eficacia, economía y manejo del riesgo.</w:t>
      </w:r>
    </w:p>
    <w:p w14:paraId="6BBF6E57" w14:textId="77777777" w:rsidR="000D6C5B" w:rsidRPr="00133A61" w:rsidRDefault="000D6C5B" w:rsidP="000D6C5B">
      <w:pPr>
        <w:pStyle w:val="Prrafodelista"/>
        <w:spacing w:after="0" w:line="276" w:lineRule="auto"/>
        <w:jc w:val="both"/>
        <w:rPr>
          <w:rFonts w:ascii="Verdana" w:hAnsi="Verdana"/>
        </w:rPr>
      </w:pPr>
    </w:p>
    <w:p w14:paraId="29F90235" w14:textId="77777777" w:rsidR="000D6C5B" w:rsidRDefault="000D6C5B" w:rsidP="000D6C5B">
      <w:pPr>
        <w:pStyle w:val="Prrafodelista"/>
        <w:numPr>
          <w:ilvl w:val="0"/>
          <w:numId w:val="17"/>
        </w:numPr>
        <w:jc w:val="both"/>
        <w:rPr>
          <w:rFonts w:ascii="Verdana" w:eastAsia="Calibri" w:hAnsi="Verdana" w:cs="Arial"/>
        </w:rPr>
      </w:pPr>
      <w:r w:rsidRPr="00133A61">
        <w:rPr>
          <w:rFonts w:ascii="Verdana" w:eastAsia="Calibri" w:hAnsi="Verdana" w:cs="Arial"/>
        </w:rPr>
        <w:t xml:space="preserve">En ese orden de ideas, si es necesario acreditar la idoneidad para la suscripción del convenio con una ESAL en el marco del Decreto 092 de 2017, la cual se extiende tanto al proceso competitivo de selección como la posibilidad de no acudir a este. En todo caso, las condiciones de tiempo, modo y lugar que deban contener estas certificaciones y/o documentos acreditativos serán fijados en los documentos precontractuales que adelante la entidad.  </w:t>
      </w:r>
    </w:p>
    <w:p w14:paraId="50D675CF" w14:textId="77777777" w:rsidR="000D6C5B" w:rsidRPr="00133A61" w:rsidRDefault="000D6C5B" w:rsidP="000D6C5B">
      <w:pPr>
        <w:pStyle w:val="Prrafodelista"/>
        <w:rPr>
          <w:rFonts w:ascii="Verdana" w:eastAsia="Calibri" w:hAnsi="Verdana" w:cs="Arial"/>
        </w:rPr>
      </w:pPr>
    </w:p>
    <w:p w14:paraId="4E7255C6" w14:textId="77777777" w:rsidR="000D6C5B" w:rsidRDefault="000D6C5B" w:rsidP="000D6C5B">
      <w:pPr>
        <w:pStyle w:val="Prrafodelista"/>
        <w:numPr>
          <w:ilvl w:val="0"/>
          <w:numId w:val="17"/>
        </w:numPr>
        <w:jc w:val="both"/>
        <w:rPr>
          <w:rFonts w:ascii="Verdana" w:eastAsia="Calibri" w:hAnsi="Verdana" w:cs="Arial"/>
        </w:rPr>
      </w:pPr>
      <w:r w:rsidRPr="00133A61">
        <w:rPr>
          <w:rFonts w:ascii="Verdana" w:eastAsia="Calibri" w:hAnsi="Verdana" w:cs="Arial"/>
        </w:rPr>
        <w:t xml:space="preserve"> Ahora bien, la norma específica de la materia no contempla un modelo estandarizado que permita definir un único formato de certificación de idoneidad, por lo cual se fijará en los documentos del proceso competitivo de selección que cada entidad establezca en virtud de la autonomía de la gozan para la estructuración de este tipo convenios. En caso de que no se </w:t>
      </w:r>
      <w:r w:rsidRPr="00133A61">
        <w:rPr>
          <w:rFonts w:ascii="Verdana" w:eastAsia="Calibri" w:hAnsi="Verdana" w:cs="Arial"/>
        </w:rPr>
        <w:lastRenderedPageBreak/>
        <w:t>adelante el proceso competitivo, de igual manera la entidad deberá indicar las exigencias que permitan validar la idoneidad de la ESAL</w:t>
      </w:r>
    </w:p>
    <w:p w14:paraId="13516306" w14:textId="77777777" w:rsidR="000D6C5B" w:rsidRPr="00133A61" w:rsidRDefault="000D6C5B" w:rsidP="000D6C5B">
      <w:pPr>
        <w:pStyle w:val="Prrafodelista"/>
        <w:rPr>
          <w:rFonts w:ascii="Verdana" w:eastAsia="Calibri" w:hAnsi="Verdana" w:cs="Arial"/>
        </w:rPr>
      </w:pPr>
    </w:p>
    <w:p w14:paraId="3450ABB5" w14:textId="77777777" w:rsidR="000D6C5B" w:rsidRPr="00133A61" w:rsidRDefault="000D6C5B" w:rsidP="000D6C5B">
      <w:pPr>
        <w:pStyle w:val="Prrafodelista"/>
        <w:numPr>
          <w:ilvl w:val="0"/>
          <w:numId w:val="17"/>
        </w:numPr>
        <w:spacing w:after="0" w:line="276" w:lineRule="auto"/>
        <w:jc w:val="both"/>
        <w:rPr>
          <w:rFonts w:ascii="Verdana" w:eastAsia="Times New Roman" w:hAnsi="Verdana" w:cs="Arial"/>
          <w:lang w:eastAsia="es-ES"/>
        </w:rPr>
      </w:pPr>
      <w:r w:rsidRPr="00133A61">
        <w:rPr>
          <w:rFonts w:ascii="Verdana" w:eastAsia="Calibri" w:hAnsi="Verdana" w:cs="Arial"/>
        </w:rPr>
        <w:t xml:space="preserve">Al respecto, el artículo 3 del Decreto 092 de 2017 establece que una </w:t>
      </w:r>
      <w:r w:rsidRPr="00133A61">
        <w:rPr>
          <w:rFonts w:ascii="Verdana" w:eastAsia="Calibri" w:hAnsi="Verdana" w:cs="Arial"/>
          <w:i/>
          <w:iCs/>
        </w:rPr>
        <w:t>“entidad sin ánimo de lucro es de reconocida idoneidad cuando es adecuada y apropiada para desarrollar las actividades que son objeto del Proceso de Contratación y cuenta con experiencia en el objeto a contratar”.</w:t>
      </w:r>
    </w:p>
    <w:p w14:paraId="15D80005" w14:textId="77777777" w:rsidR="000D6C5B" w:rsidRPr="00133A61" w:rsidRDefault="000D6C5B" w:rsidP="000D6C5B">
      <w:pPr>
        <w:pStyle w:val="Prrafodelista"/>
        <w:jc w:val="both"/>
        <w:rPr>
          <w:rFonts w:ascii="Verdana" w:eastAsia="Calibri" w:hAnsi="Verdana" w:cs="Arial"/>
        </w:rPr>
      </w:pPr>
      <w:bookmarkStart w:id="1" w:name="_Hlk38819155"/>
    </w:p>
    <w:p w14:paraId="1A857B50" w14:textId="77777777" w:rsidR="000D6C5B" w:rsidRPr="00133A61" w:rsidRDefault="000D6C5B" w:rsidP="000D6C5B">
      <w:pPr>
        <w:pStyle w:val="Prrafodelista"/>
        <w:numPr>
          <w:ilvl w:val="0"/>
          <w:numId w:val="17"/>
        </w:numPr>
        <w:jc w:val="both"/>
        <w:rPr>
          <w:rFonts w:ascii="Verdana" w:hAnsi="Verdana"/>
        </w:rPr>
      </w:pPr>
      <w:r w:rsidRPr="00133A61">
        <w:rPr>
          <w:rFonts w:ascii="Verdana" w:hAnsi="Verdana"/>
        </w:rPr>
        <w:t>Finalmente, en la Guía para la contratación con entidades sin ánimo de lucro y de reconocida idoneidad, expedida por esta Agencia, se establece que las Entidades Estatales deben tener en cuenta los atributos de la ESAL para hacer una valoración sobre su reconocida idoneidad. Para el efecto debe considerar los siguientes criterios como: a) Correspondencia del objeto de la entidad privada sin ánimo de lucro y el programa o actividad prevista en el plan de desarrollo, b) capacidad del personal, c) experiencia, d) estructura organizacional, e) indicadores de eficiencia de la organización y f) reputación y fijarlos fundamentando su relación con el objeto del Proceso de Contratación, su complejidad y la cantidad de recursos comprometidos por la Entidad Estatal.</w:t>
      </w:r>
      <w:bookmarkEnd w:id="1"/>
    </w:p>
    <w:p w14:paraId="0DD86815" w14:textId="77777777" w:rsidR="000D6C5B" w:rsidRPr="0035635F" w:rsidRDefault="000D6C5B" w:rsidP="000D6C5B">
      <w:pPr>
        <w:pStyle w:val="Prrafodelista"/>
        <w:spacing w:after="0" w:line="276" w:lineRule="auto"/>
        <w:jc w:val="both"/>
        <w:rPr>
          <w:rFonts w:ascii="Verdana" w:eastAsia="Times New Roman" w:hAnsi="Verdana" w:cs="Arial"/>
          <w:color w:val="7030A0"/>
          <w:lang w:eastAsia="es-ES"/>
        </w:rPr>
      </w:pPr>
    </w:p>
    <w:p w14:paraId="421DB410" w14:textId="77777777" w:rsidR="000D6C5B" w:rsidRPr="00F15897" w:rsidRDefault="000D6C5B" w:rsidP="000D6C5B">
      <w:pPr>
        <w:pStyle w:val="Prrafodelista"/>
        <w:numPr>
          <w:ilvl w:val="0"/>
          <w:numId w:val="17"/>
        </w:numPr>
        <w:spacing w:after="0" w:line="276" w:lineRule="auto"/>
        <w:jc w:val="both"/>
        <w:rPr>
          <w:rFonts w:ascii="Verdana" w:eastAsia="Calibri" w:hAnsi="Verdana" w:cs="Arial"/>
        </w:rPr>
      </w:pPr>
      <w:r w:rsidRPr="00F15897">
        <w:rPr>
          <w:rFonts w:ascii="Verdana" w:eastAsia="Calibri" w:hAnsi="Verdana" w:cs="Arial"/>
        </w:rPr>
        <w:t>Sin perjuicio de lo anterior, es menester reiterar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089199C4" w14:textId="77777777" w:rsidR="000D6C5B" w:rsidRPr="00F15897" w:rsidRDefault="000D6C5B" w:rsidP="000D6C5B">
      <w:pPr>
        <w:pStyle w:val="Prrafodelista"/>
        <w:spacing w:after="0" w:line="276" w:lineRule="auto"/>
        <w:jc w:val="both"/>
        <w:rPr>
          <w:rFonts w:ascii="Verdana" w:eastAsia="Calibri" w:hAnsi="Verdana" w:cs="Arial"/>
        </w:rPr>
      </w:pPr>
    </w:p>
    <w:p w14:paraId="54C4A069" w14:textId="77777777" w:rsidR="000D6C5B" w:rsidRPr="00F15897" w:rsidRDefault="000D6C5B" w:rsidP="000D6C5B">
      <w:pPr>
        <w:pStyle w:val="Prrafodelista"/>
        <w:numPr>
          <w:ilvl w:val="0"/>
          <w:numId w:val="17"/>
        </w:numPr>
        <w:spacing w:after="0" w:line="276" w:lineRule="auto"/>
        <w:jc w:val="both"/>
        <w:rPr>
          <w:rFonts w:ascii="Verdana" w:eastAsia="Calibri" w:hAnsi="Verdana" w:cs="Arial"/>
        </w:rPr>
      </w:pPr>
      <w:r w:rsidRPr="00F15897">
        <w:rPr>
          <w:rFonts w:ascii="Verdana" w:eastAsia="Calibri" w:hAnsi="Verdana" w:cs="Aria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w:t>
      </w:r>
      <w:r w:rsidRPr="00F15897">
        <w:rPr>
          <w:rFonts w:ascii="Verdana" w:eastAsia="Calibri" w:hAnsi="Verdana" w:cs="Arial"/>
        </w:rPr>
        <w:lastRenderedPageBreak/>
        <w:t>procedimiento de selección y, en caso de conflicto, a las autoridades judiciales, fiscales y disciplinarias, según corresponda.</w:t>
      </w:r>
    </w:p>
    <w:p w14:paraId="164ABC6E" w14:textId="77777777" w:rsidR="000D6C5B" w:rsidRPr="00CC322F" w:rsidRDefault="000D6C5B" w:rsidP="000D6C5B">
      <w:pPr>
        <w:pStyle w:val="Prrafodelista"/>
        <w:rPr>
          <w:rFonts w:ascii="Verdana" w:eastAsia="Times New Roman" w:hAnsi="Verdana" w:cs="Arial"/>
          <w:lang w:eastAsia="es-ES"/>
        </w:rPr>
      </w:pPr>
    </w:p>
    <w:p w14:paraId="4C2B8B19" w14:textId="77777777" w:rsidR="000D6C5B" w:rsidRPr="00CC322F" w:rsidRDefault="000D6C5B" w:rsidP="000D6C5B">
      <w:pPr>
        <w:pStyle w:val="Prrafodelista"/>
        <w:numPr>
          <w:ilvl w:val="0"/>
          <w:numId w:val="17"/>
        </w:numPr>
        <w:spacing w:after="0" w:line="276" w:lineRule="auto"/>
        <w:jc w:val="both"/>
        <w:rPr>
          <w:rFonts w:ascii="Verdana" w:eastAsia="Calibri" w:hAnsi="Verdana" w:cs="Arial"/>
        </w:rPr>
      </w:pPr>
      <w:r w:rsidRPr="00CC322F">
        <w:rPr>
          <w:rFonts w:ascii="Verdana" w:eastAsia="Calibri" w:hAnsi="Verdana" w:cs="Arial"/>
        </w:rPr>
        <w:t xml:space="preserve">Con base en lo anterior es posible concluir que, primero, </w:t>
      </w:r>
      <w:r w:rsidRPr="00CC322F">
        <w:rPr>
          <w:rFonts w:ascii="Verdana" w:eastAsia="Calibri" w:hAnsi="Verdana" w:cs="Arial"/>
          <w:u w:val="single"/>
        </w:rPr>
        <w:t>esta agencia no tiene competencia para actuar como instancia de validación</w:t>
      </w:r>
      <w:r w:rsidRPr="00CC322F">
        <w:rPr>
          <w:rFonts w:ascii="Verdana" w:eastAsia="Calibri" w:hAnsi="Verdana" w:cs="Arial"/>
        </w:rPr>
        <w:t xml:space="preserve"> por lo que no es posible definir lo requerido en la consulta frente a determinar si es idóneo o no el certificado mencionado para acreditar la idoneidad de la ESAL; y segundo, el artículo 3 del decreto 092 de 2017 establece los requisitos </w:t>
      </w:r>
      <w:r w:rsidRPr="00CC322F">
        <w:rPr>
          <w:rFonts w:ascii="Verdana" w:eastAsia="Calibri" w:hAnsi="Verdana" w:cs="Arial"/>
          <w:u w:val="single"/>
        </w:rPr>
        <w:t>para que una ESAL pueda acreditar su idoneidad</w:t>
      </w:r>
      <w:r w:rsidRPr="00CC322F">
        <w:rPr>
          <w:rFonts w:ascii="Verdana" w:eastAsia="Calibri" w:hAnsi="Verdana" w:cs="Arial"/>
        </w:rPr>
        <w:t xml:space="preserve"> los cuales se resumen en i) </w:t>
      </w:r>
      <w:r w:rsidRPr="00CC322F">
        <w:rPr>
          <w:rFonts w:ascii="Verdana" w:eastAsia="Calibri" w:hAnsi="Verdana" w:cs="Arial"/>
          <w:u w:val="single"/>
        </w:rPr>
        <w:t>que su objeto guarde estrecha relación con el objeto a contratar</w:t>
      </w:r>
      <w:r w:rsidRPr="00CC322F">
        <w:rPr>
          <w:rFonts w:ascii="Verdana" w:eastAsia="Calibri" w:hAnsi="Verdana" w:cs="Arial"/>
        </w:rPr>
        <w:t xml:space="preserve">, y, ii) </w:t>
      </w:r>
      <w:r w:rsidRPr="00CC322F">
        <w:rPr>
          <w:rFonts w:ascii="Verdana" w:eastAsia="Calibri" w:hAnsi="Verdana" w:cs="Arial"/>
          <w:u w:val="single"/>
        </w:rPr>
        <w:t>que esta tenga experiencia previa con el mismo</w:t>
      </w:r>
      <w:r w:rsidRPr="00CC322F">
        <w:rPr>
          <w:rFonts w:ascii="Verdana" w:eastAsia="Calibri" w:hAnsi="Verdana" w:cs="Arial"/>
        </w:rPr>
        <w:t>, esto en términos de eficiencia, eficacia, economía y manejo del riesgo. En todo caso, la forma de acreditar la idoneidad deberá ser fijada en los documentos precontractuales del proceso de selección, ya sea competitivo o no, que cada entidad establezca en virtud de la autonomía de la gozan para la estructuración de este tipo convenios y/o contratos.</w:t>
      </w:r>
    </w:p>
    <w:p w14:paraId="3D840E55" w14:textId="77777777" w:rsidR="000D6C5B" w:rsidRPr="001839E1" w:rsidRDefault="000D6C5B" w:rsidP="000D6C5B">
      <w:pPr>
        <w:pStyle w:val="Prrafodelista"/>
        <w:rPr>
          <w:rFonts w:ascii="Verdana" w:eastAsia="Times New Roman" w:hAnsi="Verdana" w:cs="Arial"/>
          <w:color w:val="7030A0"/>
          <w:lang w:eastAsia="es-ES"/>
        </w:rPr>
      </w:pPr>
    </w:p>
    <w:p w14:paraId="0E269AF7" w14:textId="77777777" w:rsidR="000D6C5B" w:rsidRPr="00593A5F" w:rsidRDefault="000D6C5B" w:rsidP="000D6C5B">
      <w:pPr>
        <w:widowControl w:val="0"/>
        <w:autoSpaceDE w:val="0"/>
        <w:autoSpaceDN w:val="0"/>
        <w:spacing w:after="0" w:line="276" w:lineRule="auto"/>
        <w:jc w:val="both"/>
        <w:rPr>
          <w:rFonts w:ascii="Verdana" w:hAnsi="Verdana" w:cs="Arial"/>
        </w:rPr>
      </w:pPr>
    </w:p>
    <w:p w14:paraId="7A139F2A" w14:textId="77777777" w:rsidR="000D6C5B" w:rsidRPr="00593A5F" w:rsidRDefault="000D6C5B" w:rsidP="000D6C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DCDF941" w14:textId="77777777" w:rsidR="000D6C5B" w:rsidRPr="00593A5F" w:rsidRDefault="000D6C5B" w:rsidP="000D6C5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D6C5B" w:rsidRPr="00593A5F" w14:paraId="3C0FE60F" w14:textId="77777777" w:rsidTr="00890BB8">
        <w:trPr>
          <w:trHeight w:val="870"/>
        </w:trPr>
        <w:tc>
          <w:tcPr>
            <w:tcW w:w="8647" w:type="dxa"/>
          </w:tcPr>
          <w:p w14:paraId="41E01B23" w14:textId="77777777" w:rsidR="000D6C5B" w:rsidRPr="00CF04FF" w:rsidRDefault="000D6C5B" w:rsidP="000D6C5B">
            <w:pPr>
              <w:pStyle w:val="Prrafodelista"/>
              <w:numPr>
                <w:ilvl w:val="0"/>
                <w:numId w:val="18"/>
              </w:numPr>
              <w:spacing w:line="276" w:lineRule="auto"/>
              <w:contextualSpacing w:val="0"/>
              <w:jc w:val="both"/>
              <w:rPr>
                <w:rFonts w:ascii="Verdana" w:hAnsi="Verdana" w:cs="Arial"/>
                <w:color w:val="000000" w:themeColor="text1"/>
              </w:rPr>
            </w:pPr>
            <w:r w:rsidRPr="00CF04FF">
              <w:rPr>
                <w:rFonts w:ascii="Verdana" w:hAnsi="Verdana" w:cs="Arial"/>
                <w:color w:val="000000" w:themeColor="text1"/>
              </w:rPr>
              <w:t>Decreto 092 de 2017: Artículo 3.</w:t>
            </w:r>
          </w:p>
          <w:p w14:paraId="4D7DF677" w14:textId="77777777" w:rsidR="000D6C5B" w:rsidRPr="00CF04FF" w:rsidRDefault="000D6C5B" w:rsidP="000D6C5B">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CF04FF">
              <w:rPr>
                <w:rFonts w:ascii="Verdana" w:hAnsi="Verdana" w:cs="Arial"/>
              </w:rPr>
              <w:t xml:space="preserve">Guía para la contratación con entidades privadas sin ánimo de lucro y de reconocida idoneidad. Disponible en: </w:t>
            </w:r>
            <w:hyperlink r:id="rId15" w:history="1">
              <w:r w:rsidRPr="00CF04FF">
                <w:rPr>
                  <w:rStyle w:val="Hipervnculo"/>
                  <w:rFonts w:ascii="Verdana" w:hAnsi="Verdana" w:cs="Arial"/>
                  <w:color w:val="4472C4" w:themeColor="accent1"/>
                </w:rPr>
                <w:t>https://www.colombiacompra.gov.co/sites/cce_public/files/cce_documents/cce_guia_esal.pdf</w:t>
              </w:r>
            </w:hyperlink>
            <w:r w:rsidRPr="00CF04FF">
              <w:rPr>
                <w:rFonts w:ascii="Verdana" w:hAnsi="Verdana" w:cs="Arial"/>
                <w:color w:val="4472C4" w:themeColor="accent1"/>
              </w:rPr>
              <w:t xml:space="preserve"> </w:t>
            </w:r>
          </w:p>
          <w:p w14:paraId="74650A85" w14:textId="77777777" w:rsidR="000D6C5B" w:rsidRPr="00340039" w:rsidRDefault="000D6C5B" w:rsidP="000D6C5B">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42113">
              <w:rPr>
                <w:rFonts w:ascii="Verdana" w:hAnsi="Verdana" w:cs="Arial"/>
              </w:rPr>
              <w:t xml:space="preserve">Jurisprudencia del Consejo de Estado. Disponible en: </w:t>
            </w:r>
            <w:hyperlink r:id="rId16" w:history="1">
              <w:r w:rsidRPr="000D6C5B">
                <w:rPr>
                  <w:rStyle w:val="Hipervnculo"/>
                  <w:rFonts w:ascii="Verdana" w:hAnsi="Verdana" w:cs="Arial"/>
                  <w:color w:val="4472C4" w:themeColor="accent1"/>
                </w:rPr>
                <w:t>https://relatoria.colombiacompra.gov.co/providencias-consejo-de-estado/</w:t>
              </w:r>
            </w:hyperlink>
            <w:r w:rsidRPr="000D6C5B">
              <w:rPr>
                <w:rFonts w:ascii="Verdana" w:hAnsi="Verdana" w:cs="Arial"/>
                <w:color w:val="4472C4" w:themeColor="accent1"/>
              </w:rPr>
              <w:t xml:space="preserve"> </w:t>
            </w:r>
          </w:p>
          <w:p w14:paraId="6351819B" w14:textId="77777777" w:rsidR="000D6C5B" w:rsidRPr="00F17428" w:rsidRDefault="000D6C5B" w:rsidP="000D6C5B">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42113">
              <w:rPr>
                <w:rFonts w:ascii="Verdana" w:hAnsi="Verdana" w:cs="Arial"/>
              </w:rPr>
              <w:t>Guías y manuales expedidos por la ANCP-CCE. Disponible en:</w:t>
            </w:r>
            <w:r w:rsidRPr="00242113">
              <w:t xml:space="preserve"> </w:t>
            </w:r>
            <w:hyperlink r:id="rId17" w:history="1">
              <w:r w:rsidRPr="000D6C5B">
                <w:rPr>
                  <w:rStyle w:val="Hipervnculo"/>
                  <w:rFonts w:ascii="Verdana" w:hAnsi="Verdana" w:cs="Arial"/>
                  <w:color w:val="4472C4" w:themeColor="accent1"/>
                </w:rPr>
                <w:t>https://www.colombiacompra.gov.co/manuales-guias-y-pliegos-tipo/manuales-y-guias</w:t>
              </w:r>
            </w:hyperlink>
            <w:r w:rsidRPr="000D6C5B">
              <w:rPr>
                <w:rFonts w:ascii="Verdana" w:hAnsi="Verdana" w:cs="Arial"/>
                <w:color w:val="4472C4" w:themeColor="accent1"/>
              </w:rPr>
              <w:t xml:space="preserve"> </w:t>
            </w:r>
          </w:p>
          <w:p w14:paraId="48E609B9" w14:textId="77777777" w:rsidR="000D6C5B" w:rsidRPr="00AC742F" w:rsidRDefault="000D6C5B" w:rsidP="00890BB8">
            <w:pPr>
              <w:widowControl w:val="0"/>
              <w:autoSpaceDE w:val="0"/>
              <w:autoSpaceDN w:val="0"/>
              <w:spacing w:after="120" w:line="276" w:lineRule="auto"/>
              <w:ind w:left="360"/>
              <w:jc w:val="both"/>
              <w:rPr>
                <w:rFonts w:ascii="Verdana" w:hAnsi="Verdana" w:cs="Arial"/>
              </w:rPr>
            </w:pPr>
          </w:p>
        </w:tc>
      </w:tr>
    </w:tbl>
    <w:p w14:paraId="48F99DD9" w14:textId="77777777" w:rsidR="000D6C5B" w:rsidRPr="00593A5F" w:rsidRDefault="000D6C5B" w:rsidP="000D6C5B">
      <w:pPr>
        <w:widowControl w:val="0"/>
        <w:autoSpaceDE w:val="0"/>
        <w:autoSpaceDN w:val="0"/>
        <w:spacing w:after="0" w:line="276" w:lineRule="auto"/>
        <w:jc w:val="both"/>
        <w:rPr>
          <w:rFonts w:ascii="Verdana" w:hAnsi="Verdana" w:cs="Arial"/>
        </w:rPr>
      </w:pPr>
    </w:p>
    <w:p w14:paraId="2B2963DA" w14:textId="77777777" w:rsidR="000D6C5B" w:rsidRPr="00593A5F" w:rsidRDefault="000D6C5B" w:rsidP="000D6C5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DE869C0" w14:textId="77777777" w:rsidR="000D6C5B" w:rsidRPr="00593A5F" w:rsidRDefault="000D6C5B" w:rsidP="000D6C5B">
      <w:pPr>
        <w:widowControl w:val="0"/>
        <w:autoSpaceDE w:val="0"/>
        <w:autoSpaceDN w:val="0"/>
        <w:spacing w:after="0" w:line="276" w:lineRule="auto"/>
        <w:jc w:val="both"/>
        <w:rPr>
          <w:rFonts w:ascii="Verdana" w:hAnsi="Verdana" w:cs="Arial"/>
        </w:rPr>
      </w:pPr>
    </w:p>
    <w:p w14:paraId="082DD680" w14:textId="77777777" w:rsidR="000D6C5B" w:rsidRPr="004D6172" w:rsidRDefault="000D6C5B" w:rsidP="000D6C5B">
      <w:pPr>
        <w:widowControl w:val="0"/>
        <w:autoSpaceDE w:val="0"/>
        <w:autoSpaceDN w:val="0"/>
        <w:spacing w:after="0" w:line="276" w:lineRule="auto"/>
        <w:jc w:val="both"/>
        <w:rPr>
          <w:rStyle w:val="normaltextrun"/>
          <w:rFonts w:ascii="Verdana" w:eastAsia="Calibri" w:hAnsi="Verdana" w:cs="Arial"/>
          <w:color w:val="000000" w:themeColor="text1"/>
          <w:lang w:val="es-ES" w:eastAsia="es-ES"/>
        </w:rPr>
      </w:pPr>
      <w:r w:rsidRPr="00CF04FF">
        <w:rPr>
          <w:rStyle w:val="normaltextrun"/>
          <w:rFonts w:ascii="Verdana" w:hAnsi="Verdana" w:cs="Arial"/>
          <w:shd w:val="clear" w:color="auto" w:fill="FFFFFF"/>
          <w:lang w:val="es-ES"/>
        </w:rPr>
        <w:lastRenderedPageBreak/>
        <w:t xml:space="preserve">Sobre </w:t>
      </w:r>
      <w:r w:rsidRPr="00CF04FF">
        <w:rPr>
          <w:rFonts w:ascii="Verdana" w:eastAsia="Calibri" w:hAnsi="Verdana" w:cs="Arial"/>
          <w:lang w:val="es-ES" w:eastAsia="es-ES"/>
        </w:rPr>
        <w:t xml:space="preserve">el régimen de los contratos de colaboración y convenios de asociación regulados en el artículo 355 de la Constitución y en el Decreto 092 de 2017, entre otros, </w:t>
      </w:r>
      <w:r w:rsidRPr="00CF04FF">
        <w:rPr>
          <w:rStyle w:val="normaltextrun"/>
          <w:rFonts w:ascii="Verdana" w:hAnsi="Verdana" w:cs="Arial"/>
          <w:shd w:val="clear" w:color="auto" w:fill="FFFFFF"/>
          <w:lang w:val="es-ES"/>
        </w:rPr>
        <w:t xml:space="preserve">se pronunció esta Subdirección </w:t>
      </w:r>
      <w:r w:rsidRPr="00CF04FF">
        <w:rPr>
          <w:rFonts w:ascii="Verdana" w:eastAsia="Calibri" w:hAnsi="Verdana" w:cs="Arial"/>
          <w:lang w:val="es-ES" w:eastAsia="es-ES"/>
        </w:rPr>
        <w:t xml:space="preserve">en los conceptos con radicado 4201912000008310 del 26 de diciembre de 2019, 4201912000007899 del 27 de diciembre de 2019, 4201912000007901 del 27 </w:t>
      </w:r>
      <w:r w:rsidRPr="00CF04FF">
        <w:rPr>
          <w:rFonts w:ascii="Verdana" w:eastAsia="Calibri" w:hAnsi="Verdana" w:cs="Arial"/>
          <w:color w:val="000000" w:themeColor="text1"/>
          <w:lang w:val="es-ES" w:eastAsia="es-ES"/>
        </w:rPr>
        <w:t>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2022,C-274 del 05 de mayo de 2022, C-058 del 6 de mayo de 2024, C-061 del 9 de mayo de 2024, C-141 del 29 de julio de 2024, C-108 del 6 de agosto de 2024</w:t>
      </w:r>
      <w:r>
        <w:rPr>
          <w:rFonts w:ascii="Verdana" w:eastAsia="Calibri" w:hAnsi="Verdana" w:cs="Arial"/>
          <w:color w:val="000000" w:themeColor="text1"/>
          <w:lang w:val="es-ES" w:eastAsia="es-ES"/>
        </w:rPr>
        <w:t xml:space="preserve">, C-653 del </w:t>
      </w:r>
      <w:r w:rsidRPr="004D6172">
        <w:rPr>
          <w:rFonts w:ascii="Verdana" w:eastAsia="Calibri" w:hAnsi="Verdana" w:cs="Arial"/>
          <w:color w:val="000000" w:themeColor="text1"/>
          <w:lang w:val="es-ES" w:eastAsia="es-ES"/>
        </w:rPr>
        <w:t>7 de noviembre de 2024</w:t>
      </w:r>
      <w:r w:rsidRPr="00CF04FF">
        <w:rPr>
          <w:rFonts w:ascii="Verdana" w:eastAsia="Calibri" w:hAnsi="Verdana" w:cs="Arial"/>
          <w:color w:val="000000" w:themeColor="text1"/>
          <w:lang w:val="es-ES" w:eastAsia="es-ES"/>
        </w:rPr>
        <w:t xml:space="preserve"> y C-658 del 7 de noviembre de 2024, entre otros</w:t>
      </w:r>
      <w:r w:rsidRPr="00B7729C">
        <w:rPr>
          <w:rStyle w:val="normaltextrun"/>
          <w:rFonts w:ascii="Verdana" w:hAnsi="Verdana" w:cs="Arial"/>
          <w:shd w:val="clear" w:color="auto" w:fill="FFFFFF"/>
          <w:lang w:val="es-ES"/>
        </w:rPr>
        <w:t xml:space="preserve">. En particular, en los conceptos </w:t>
      </w:r>
      <w:r w:rsidRPr="00B7729C">
        <w:rPr>
          <w:rFonts w:ascii="Verdana" w:eastAsia="Calibri" w:hAnsi="Verdana" w:cs="Arial"/>
          <w:lang w:val="es-ES" w:eastAsia="es-ES"/>
        </w:rPr>
        <w:t xml:space="preserve">C-653 del 7 de noviembre de 2024 y C-658 del 7 de noviembre de 2024 </w:t>
      </w:r>
      <w:r w:rsidRPr="00B7729C">
        <w:rPr>
          <w:rStyle w:val="normaltextrun"/>
          <w:rFonts w:ascii="Verdana" w:hAnsi="Verdana" w:cs="Arial"/>
          <w:shd w:val="clear" w:color="auto" w:fill="FFFFFF"/>
          <w:lang w:val="es-ES"/>
        </w:rPr>
        <w:t>se estudió la acreditación de la reconocida idoneidad de una ESAL para participar en procesos de selección contractual. Es</w:t>
      </w:r>
      <w:r w:rsidRPr="00B7729C">
        <w:rPr>
          <w:rFonts w:ascii="Verdana" w:hAnsi="Verdana"/>
        </w:rPr>
        <w:t xml:space="preserve">tos </w:t>
      </w:r>
      <w:r w:rsidRPr="00A1554D">
        <w:rPr>
          <w:rFonts w:ascii="Verdana" w:hAnsi="Verdana"/>
        </w:rPr>
        <w:t xml:space="preserve">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8" w:history="1">
        <w:r w:rsidRPr="000D6C5B">
          <w:rPr>
            <w:rStyle w:val="Hipervnculo"/>
            <w:rFonts w:ascii="Verdana" w:hAnsi="Verdana" w:cs="Arial"/>
            <w:color w:val="4472C4" w:themeColor="accent1"/>
            <w:shd w:val="clear" w:color="auto" w:fill="FFFFFF"/>
            <w:lang w:val="es-ES"/>
          </w:rPr>
          <w:t>https://relatoria.colombiacompra.gov.co/busqueda/conceptos</w:t>
        </w:r>
      </w:hyperlink>
      <w:r w:rsidRPr="000D6C5B">
        <w:rPr>
          <w:rStyle w:val="normaltextrun"/>
          <w:rFonts w:ascii="Verdana" w:hAnsi="Verdana" w:cs="Arial"/>
          <w:color w:val="4472C4" w:themeColor="accent1"/>
          <w:shd w:val="clear" w:color="auto" w:fill="FFFFFF"/>
          <w:lang w:val="es-ES"/>
        </w:rPr>
        <w:t xml:space="preserve">. </w:t>
      </w:r>
    </w:p>
    <w:p w14:paraId="618AA7C4" w14:textId="77777777" w:rsidR="000D6C5B" w:rsidRDefault="000D6C5B" w:rsidP="000D6C5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F52FE0B" w14:textId="77777777" w:rsidR="000D6C5B" w:rsidRDefault="000D6C5B" w:rsidP="000D6C5B">
      <w:pPr>
        <w:widowControl w:val="0"/>
        <w:autoSpaceDE w:val="0"/>
        <w:autoSpaceDN w:val="0"/>
        <w:spacing w:after="0" w:line="276" w:lineRule="auto"/>
        <w:jc w:val="both"/>
        <w:rPr>
          <w:rFonts w:ascii="Verdana" w:hAnsi="Verdana" w:cs="Arial"/>
          <w:color w:val="4472C4" w:themeColor="accent1"/>
          <w:shd w:val="clear" w:color="auto" w:fill="FFFFFF"/>
        </w:rPr>
      </w:pPr>
      <w:r w:rsidRPr="008F2A19">
        <w:rPr>
          <w:rFonts w:ascii="Verdana" w:hAnsi="Verdana" w:cs="Arial"/>
          <w:color w:val="000000" w:themeColor="text1"/>
          <w:shd w:val="clear" w:color="auto" w:fill="FFFFFF"/>
        </w:rPr>
        <w:t>También le invitamos a consultar la versi</w:t>
      </w:r>
      <w:r>
        <w:rPr>
          <w:rFonts w:ascii="Verdana" w:hAnsi="Verdana" w:cs="Arial"/>
          <w:color w:val="000000" w:themeColor="text1"/>
          <w:shd w:val="clear" w:color="auto" w:fill="FFFFFF"/>
        </w:rPr>
        <w:t>ón</w:t>
      </w:r>
      <w:r w:rsidRPr="008F2A19">
        <w:rPr>
          <w:rFonts w:ascii="Verdana" w:hAnsi="Verdana" w:cs="Arial"/>
          <w:color w:val="000000" w:themeColor="text1"/>
          <w:shd w:val="clear" w:color="auto" w:fill="FFFFFF"/>
        </w:rPr>
        <w:t xml:space="preserve"> VI</w:t>
      </w:r>
      <w:r>
        <w:rPr>
          <w:rFonts w:ascii="Verdana" w:hAnsi="Verdana" w:cs="Arial"/>
          <w:color w:val="000000" w:themeColor="text1"/>
          <w:shd w:val="clear" w:color="auto" w:fill="FFFFFF"/>
        </w:rPr>
        <w:t>I</w:t>
      </w:r>
      <w:r w:rsidRPr="008F2A19">
        <w:rPr>
          <w:rFonts w:ascii="Verdana" w:hAnsi="Verdana" w:cs="Arial"/>
          <w:color w:val="000000" w:themeColor="text1"/>
          <w:shd w:val="clear" w:color="auto" w:fill="FFFFFF"/>
        </w:rPr>
        <w:t xml:space="preserve"> de 2024 del Boletín de Relatoría de la Subdirección de Gestión Contractual </w:t>
      </w:r>
      <w:r>
        <w:rPr>
          <w:rFonts w:ascii="Verdana" w:hAnsi="Verdana" w:cs="Arial"/>
          <w:color w:val="000000" w:themeColor="text1"/>
          <w:shd w:val="clear" w:color="auto" w:fill="FFFFFF"/>
        </w:rPr>
        <w:t>en el que</w:t>
      </w:r>
      <w:r w:rsidRPr="008F2A19">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se</w:t>
      </w:r>
      <w:r w:rsidRPr="008F2A19">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explican las Asociaciones Público Populares reglamentadas por el Decreto 874 de 2024</w:t>
      </w:r>
      <w:r w:rsidRPr="008F2A19">
        <w:rPr>
          <w:rFonts w:ascii="Verdana" w:hAnsi="Verdana" w:cs="Arial"/>
          <w:color w:val="000000" w:themeColor="text1"/>
          <w:shd w:val="clear" w:color="auto" w:fill="FFFFFF"/>
        </w:rPr>
        <w:t xml:space="preserve">, </w:t>
      </w:r>
      <w:r>
        <w:rPr>
          <w:rFonts w:ascii="Verdana" w:hAnsi="Verdana" w:cs="Arial"/>
          <w:color w:val="000000" w:themeColor="text1"/>
          <w:shd w:val="clear" w:color="auto" w:fill="FFFFFF"/>
        </w:rPr>
        <w:t>el</w:t>
      </w:r>
      <w:r w:rsidRPr="008F2A19">
        <w:rPr>
          <w:rFonts w:ascii="Verdana" w:hAnsi="Verdana" w:cs="Arial"/>
          <w:color w:val="000000" w:themeColor="text1"/>
          <w:shd w:val="clear" w:color="auto" w:fill="FFFFFF"/>
        </w:rPr>
        <w:t xml:space="preserve"> cual se puede descargar en la página web de la Agencia</w:t>
      </w:r>
      <w:r>
        <w:rPr>
          <w:rFonts w:ascii="Verdana" w:hAnsi="Verdana" w:cs="Arial"/>
          <w:color w:val="000000" w:themeColor="text1"/>
          <w:shd w:val="clear" w:color="auto" w:fill="FFFFFF"/>
        </w:rPr>
        <w:t>, a través del siguiente enlace</w:t>
      </w:r>
      <w:r w:rsidRPr="008F2A19">
        <w:rPr>
          <w:rFonts w:ascii="Verdana" w:hAnsi="Verdana" w:cs="Arial"/>
          <w:color w:val="000000" w:themeColor="text1"/>
          <w:shd w:val="clear" w:color="auto" w:fill="FFFFFF"/>
        </w:rPr>
        <w:t>: </w:t>
      </w:r>
      <w:hyperlink r:id="rId19" w:tgtFrame="_blank" w:tooltip="Dirección URL original: https://www.colombiacompra.gov.co/sala-de-prensa/boletin-digital. Haga clic o pulse si confía en este vínculo." w:history="1">
        <w:r w:rsidRPr="008F2A19">
          <w:rPr>
            <w:rStyle w:val="Hipervnculo"/>
            <w:rFonts w:ascii="Verdana" w:hAnsi="Verdana" w:cs="Arial"/>
            <w:color w:val="4472C4" w:themeColor="accent1"/>
            <w:shd w:val="clear" w:color="auto" w:fill="FFFFFF"/>
          </w:rPr>
          <w:t>https://www.colombiacompra.gov.co/sala-de-prensa/boletin-digital</w:t>
        </w:r>
      </w:hyperlink>
      <w:r w:rsidRPr="008F2A19">
        <w:rPr>
          <w:rFonts w:ascii="Verdana" w:hAnsi="Verdana" w:cs="Arial"/>
          <w:color w:val="4472C4" w:themeColor="accent1"/>
          <w:shd w:val="clear" w:color="auto" w:fill="FFFFFF"/>
        </w:rPr>
        <w:t> </w:t>
      </w:r>
    </w:p>
    <w:p w14:paraId="4DE8BECB" w14:textId="77777777" w:rsidR="000D6C5B" w:rsidRDefault="000D6C5B" w:rsidP="000D6C5B">
      <w:pPr>
        <w:spacing w:after="0" w:line="240" w:lineRule="auto"/>
        <w:jc w:val="both"/>
        <w:rPr>
          <w:rFonts w:ascii="Verdana" w:hAnsi="Verdana"/>
        </w:rPr>
      </w:pPr>
    </w:p>
    <w:p w14:paraId="74EC4091" w14:textId="77777777" w:rsidR="000D6C5B" w:rsidRPr="003E2460" w:rsidRDefault="000D6C5B" w:rsidP="000D6C5B">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675FE2D" w14:textId="77777777" w:rsidR="000D6C5B" w:rsidRPr="003E2460" w:rsidRDefault="000D6C5B" w:rsidP="000D6C5B">
      <w:pPr>
        <w:spacing w:after="0" w:line="240" w:lineRule="auto"/>
        <w:jc w:val="both"/>
        <w:rPr>
          <w:rFonts w:ascii="Verdana" w:hAnsi="Verdana"/>
        </w:rPr>
      </w:pPr>
    </w:p>
    <w:p w14:paraId="17A4D5CC" w14:textId="77777777" w:rsidR="000D6C5B" w:rsidRPr="003E2460" w:rsidRDefault="000D6C5B" w:rsidP="000D6C5B">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9AAB798" w14:textId="77777777" w:rsidR="000D6C5B" w:rsidRPr="003E2460" w:rsidRDefault="000D6C5B" w:rsidP="000D6C5B">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15521CCF" w14:textId="77777777" w:rsidR="000D6C5B" w:rsidRPr="003E2460" w:rsidRDefault="000D6C5B" w:rsidP="000D6C5B">
      <w:pPr>
        <w:spacing w:after="0" w:line="240" w:lineRule="auto"/>
        <w:jc w:val="both"/>
        <w:rPr>
          <w:rFonts w:ascii="Verdana" w:hAnsi="Verdana"/>
        </w:rPr>
      </w:pPr>
      <w:r w:rsidRPr="003E2460">
        <w:rPr>
          <w:rFonts w:ascii="Verdana" w:hAnsi="Verdana"/>
        </w:rPr>
        <w:lastRenderedPageBreak/>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A27FBD5" w14:textId="77777777" w:rsidR="000D6C5B" w:rsidRPr="00593A5F" w:rsidRDefault="000D6C5B" w:rsidP="000D6C5B">
      <w:pPr>
        <w:widowControl w:val="0"/>
        <w:autoSpaceDE w:val="0"/>
        <w:autoSpaceDN w:val="0"/>
        <w:spacing w:after="0" w:line="276" w:lineRule="auto"/>
        <w:jc w:val="both"/>
        <w:rPr>
          <w:rFonts w:ascii="Verdana" w:hAnsi="Verdana" w:cs="Arial"/>
        </w:rPr>
      </w:pPr>
    </w:p>
    <w:p w14:paraId="3AF4CA8F" w14:textId="77777777" w:rsidR="000D6C5B" w:rsidRPr="00593A5F" w:rsidRDefault="000D6C5B" w:rsidP="000D6C5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C0BA1EB" w14:textId="77777777" w:rsidR="000D6C5B" w:rsidRPr="00593A5F" w:rsidRDefault="000D6C5B" w:rsidP="000D6C5B">
      <w:pPr>
        <w:widowControl w:val="0"/>
        <w:autoSpaceDE w:val="0"/>
        <w:autoSpaceDN w:val="0"/>
        <w:spacing w:after="0" w:line="276" w:lineRule="auto"/>
        <w:jc w:val="both"/>
        <w:rPr>
          <w:rFonts w:ascii="Verdana" w:hAnsi="Verdana" w:cs="Arial"/>
        </w:rPr>
      </w:pPr>
    </w:p>
    <w:p w14:paraId="454FA9A2" w14:textId="77777777" w:rsidR="000D6C5B" w:rsidRPr="00593A5F" w:rsidRDefault="000D6C5B" w:rsidP="000D6C5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C2B8FF5" w14:textId="7B7EF499" w:rsidR="000D6C5B" w:rsidRPr="00593A5F" w:rsidRDefault="000A601E" w:rsidP="000D6C5B">
      <w:pPr>
        <w:spacing w:line="276" w:lineRule="auto"/>
        <w:jc w:val="center"/>
        <w:rPr>
          <w:rFonts w:ascii="Verdana" w:hAnsi="Verdana" w:cs="Arial"/>
          <w:color w:val="000000"/>
          <w:lang w:val="es-ES_tradnl" w:eastAsia="es-CO"/>
        </w:rPr>
      </w:pPr>
      <w:r>
        <w:rPr>
          <w:noProof/>
        </w:rPr>
        <w:drawing>
          <wp:inline distT="0" distB="0" distL="0" distR="0" wp14:anchorId="785AE331" wp14:editId="44904FE2">
            <wp:extent cx="3771429" cy="1400000"/>
            <wp:effectExtent l="0" t="0" r="635" b="0"/>
            <wp:docPr id="151328815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88159" name="Imagen 1" descr="Texto&#10;&#10;Descripción generada automáticamente"/>
                    <pic:cNvPicPr/>
                  </pic:nvPicPr>
                  <pic:blipFill>
                    <a:blip r:embed="rId20"/>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D6C5B" w:rsidRPr="007A7335" w14:paraId="5559ECC1" w14:textId="77777777" w:rsidTr="00890BB8">
        <w:trPr>
          <w:trHeight w:val="315"/>
        </w:trPr>
        <w:tc>
          <w:tcPr>
            <w:tcW w:w="893" w:type="dxa"/>
            <w:vAlign w:val="center"/>
            <w:hideMark/>
          </w:tcPr>
          <w:p w14:paraId="4E3E7741" w14:textId="77777777" w:rsidR="000D6C5B" w:rsidRPr="007A7335" w:rsidRDefault="000D6C5B" w:rsidP="00890BB8">
            <w:pPr>
              <w:contextualSpacing/>
              <w:rPr>
                <w:rFonts w:ascii="Verdana" w:hAnsi="Verdana" w:cs="Arial"/>
                <w:sz w:val="16"/>
                <w:szCs w:val="16"/>
                <w:lang w:val="es-ES" w:eastAsia="es-ES"/>
              </w:rPr>
            </w:pPr>
            <w:r w:rsidRPr="007A733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D71DCDE" w14:textId="77777777" w:rsidR="000D6C5B" w:rsidRPr="007A7335" w:rsidRDefault="000D6C5B" w:rsidP="00890BB8">
            <w:pPr>
              <w:contextualSpacing/>
              <w:rPr>
                <w:rStyle w:val="normaltextrun"/>
                <w:rFonts w:ascii="Verdana" w:hAnsi="Verdana"/>
                <w:sz w:val="16"/>
                <w:szCs w:val="16"/>
              </w:rPr>
            </w:pPr>
            <w:r w:rsidRPr="007A7335">
              <w:rPr>
                <w:rStyle w:val="normaltextrun"/>
                <w:rFonts w:ascii="Verdana" w:hAnsi="Verdana"/>
                <w:sz w:val="16"/>
                <w:szCs w:val="16"/>
              </w:rPr>
              <w:t>Santiago Alberto Herrera Morillo</w:t>
            </w:r>
          </w:p>
          <w:p w14:paraId="24330BD7" w14:textId="77777777" w:rsidR="000D6C5B" w:rsidRPr="007A7335" w:rsidRDefault="000D6C5B" w:rsidP="00890BB8">
            <w:pPr>
              <w:contextualSpacing/>
              <w:rPr>
                <w:rFonts w:ascii="Verdana" w:eastAsia="Arial" w:hAnsi="Verdana" w:cs="Arial"/>
                <w:sz w:val="16"/>
                <w:szCs w:val="16"/>
              </w:rPr>
            </w:pPr>
            <w:r w:rsidRPr="007A7335">
              <w:rPr>
                <w:rStyle w:val="normaltextrun"/>
                <w:rFonts w:ascii="Verdana" w:hAnsi="Verdana"/>
                <w:sz w:val="16"/>
                <w:szCs w:val="16"/>
              </w:rPr>
              <w:t xml:space="preserve">Analista T2-02 </w:t>
            </w:r>
            <w:r w:rsidRPr="007A7335">
              <w:rPr>
                <w:rStyle w:val="normaltextrun"/>
                <w:rFonts w:ascii="Verdana" w:eastAsia="Arial" w:hAnsi="Verdana" w:cs="Arial"/>
                <w:sz w:val="16"/>
                <w:szCs w:val="16"/>
              </w:rPr>
              <w:t>de la Subdirección de Gestión Contractual</w:t>
            </w:r>
          </w:p>
        </w:tc>
      </w:tr>
      <w:tr w:rsidR="000D6C5B" w:rsidRPr="007A7335" w14:paraId="517CEAC9" w14:textId="77777777" w:rsidTr="00890BB8">
        <w:trPr>
          <w:trHeight w:val="330"/>
        </w:trPr>
        <w:tc>
          <w:tcPr>
            <w:tcW w:w="893" w:type="dxa"/>
            <w:vAlign w:val="center"/>
            <w:hideMark/>
          </w:tcPr>
          <w:p w14:paraId="75DC840C" w14:textId="77777777" w:rsidR="000D6C5B" w:rsidRPr="007A7335" w:rsidRDefault="000D6C5B" w:rsidP="00890BB8">
            <w:pPr>
              <w:contextualSpacing/>
              <w:rPr>
                <w:rFonts w:ascii="Verdana" w:hAnsi="Verdana" w:cs="Arial"/>
                <w:sz w:val="16"/>
                <w:szCs w:val="16"/>
                <w:lang w:val="es-ES" w:eastAsia="es-ES"/>
              </w:rPr>
            </w:pPr>
            <w:r w:rsidRPr="007A733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7C2BBB1" w14:textId="77777777" w:rsidR="000D6C5B" w:rsidRPr="007A7335" w:rsidRDefault="000D6C5B" w:rsidP="00890BB8">
            <w:pPr>
              <w:pStyle w:val="paragraph"/>
              <w:spacing w:before="0" w:beforeAutospacing="0" w:after="0" w:afterAutospacing="0"/>
              <w:contextualSpacing/>
              <w:textAlignment w:val="baseline"/>
              <w:rPr>
                <w:rStyle w:val="normaltextrun"/>
                <w:rFonts w:ascii="Verdana" w:hAnsi="Verdana" w:cs="Arial"/>
                <w:sz w:val="16"/>
                <w:szCs w:val="16"/>
                <w:lang w:val="es-ES"/>
              </w:rPr>
            </w:pPr>
            <w:r w:rsidRPr="007A7335">
              <w:rPr>
                <w:rStyle w:val="normaltextrun"/>
                <w:rFonts w:ascii="Verdana" w:hAnsi="Verdana" w:cs="Arial"/>
                <w:sz w:val="16"/>
                <w:szCs w:val="16"/>
                <w:lang w:val="es-ES"/>
              </w:rPr>
              <w:t>Cielo Victoria González Meza</w:t>
            </w:r>
          </w:p>
          <w:p w14:paraId="74A74E8A" w14:textId="77777777" w:rsidR="000D6C5B" w:rsidRPr="007A7335" w:rsidRDefault="000D6C5B" w:rsidP="00890BB8">
            <w:pPr>
              <w:pStyle w:val="paragraph"/>
              <w:spacing w:before="0" w:beforeAutospacing="0" w:after="0" w:afterAutospacing="0"/>
              <w:contextualSpacing/>
              <w:textAlignment w:val="baseline"/>
              <w:rPr>
                <w:rFonts w:ascii="Verdana" w:hAnsi="Verdana" w:cs="Segoe UI"/>
                <w:sz w:val="16"/>
                <w:szCs w:val="16"/>
              </w:rPr>
            </w:pPr>
            <w:r w:rsidRPr="007A7335">
              <w:rPr>
                <w:rStyle w:val="normaltextrun"/>
                <w:rFonts w:ascii="Verdana" w:hAnsi="Verdana" w:cs="Arial"/>
                <w:sz w:val="16"/>
                <w:szCs w:val="16"/>
                <w:lang w:val="es-ES"/>
              </w:rPr>
              <w:t>Contratista de la Subdirección de Gestión Contractual</w:t>
            </w:r>
            <w:r w:rsidRPr="007A7335">
              <w:rPr>
                <w:rStyle w:val="eop"/>
                <w:rFonts w:ascii="Verdana" w:hAnsi="Verdana" w:cs="Arial"/>
                <w:sz w:val="16"/>
                <w:szCs w:val="16"/>
              </w:rPr>
              <w:t> </w:t>
            </w:r>
          </w:p>
        </w:tc>
      </w:tr>
      <w:tr w:rsidR="000D6C5B" w:rsidRPr="007A7335" w14:paraId="6C3D327C" w14:textId="77777777" w:rsidTr="00890BB8">
        <w:trPr>
          <w:trHeight w:val="300"/>
        </w:trPr>
        <w:tc>
          <w:tcPr>
            <w:tcW w:w="893" w:type="dxa"/>
            <w:vAlign w:val="center"/>
          </w:tcPr>
          <w:p w14:paraId="4047F52A" w14:textId="77777777" w:rsidR="000D6C5B" w:rsidRPr="007A7335" w:rsidRDefault="000D6C5B" w:rsidP="00890BB8">
            <w:pPr>
              <w:contextualSpacing/>
              <w:rPr>
                <w:rFonts w:ascii="Verdana" w:hAnsi="Verdana" w:cs="Arial"/>
                <w:sz w:val="16"/>
                <w:szCs w:val="16"/>
                <w:lang w:val="es-ES" w:eastAsia="es-ES"/>
              </w:rPr>
            </w:pPr>
            <w:r w:rsidRPr="007A733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395256D" w14:textId="77777777" w:rsidR="000D6C5B" w:rsidRPr="007A7335" w:rsidRDefault="000D6C5B" w:rsidP="00890BB8">
            <w:pPr>
              <w:contextualSpacing/>
              <w:rPr>
                <w:rFonts w:ascii="Verdana" w:eastAsia="Calibri" w:hAnsi="Verdana" w:cs="Arial"/>
                <w:sz w:val="16"/>
                <w:szCs w:val="16"/>
                <w:lang w:val="pt-BR" w:eastAsia="es-ES"/>
              </w:rPr>
            </w:pPr>
            <w:r w:rsidRPr="007A7335">
              <w:rPr>
                <w:rFonts w:ascii="Verdana" w:eastAsia="Calibri" w:hAnsi="Verdana" w:cs="Arial"/>
                <w:sz w:val="16"/>
                <w:szCs w:val="16"/>
                <w:lang w:val="pt-BR" w:eastAsia="es-ES"/>
              </w:rPr>
              <w:t>Carolina Quintero Gacharná</w:t>
            </w:r>
          </w:p>
          <w:p w14:paraId="2BC97FEB" w14:textId="77777777" w:rsidR="000D6C5B" w:rsidRPr="007A7335" w:rsidRDefault="000D6C5B" w:rsidP="00890BB8">
            <w:pPr>
              <w:contextualSpacing/>
              <w:rPr>
                <w:rFonts w:ascii="Verdana" w:eastAsia="Calibri" w:hAnsi="Verdana" w:cs="Arial"/>
                <w:sz w:val="16"/>
                <w:szCs w:val="16"/>
                <w:lang w:val="pt-BR" w:eastAsia="es-ES"/>
              </w:rPr>
            </w:pPr>
            <w:r w:rsidRPr="007A7335">
              <w:rPr>
                <w:rFonts w:ascii="Verdana" w:eastAsia="Calibri" w:hAnsi="Verdana" w:cs="Arial"/>
                <w:sz w:val="16"/>
                <w:szCs w:val="16"/>
                <w:lang w:eastAsia="es-ES"/>
              </w:rPr>
              <w:t>Subdirectora</w:t>
            </w:r>
            <w:r w:rsidRPr="007A7335">
              <w:rPr>
                <w:rFonts w:ascii="Verdana" w:eastAsia="Calibri" w:hAnsi="Verdana" w:cs="Arial"/>
                <w:sz w:val="16"/>
                <w:szCs w:val="16"/>
                <w:lang w:val="pt-BR" w:eastAsia="es-ES"/>
              </w:rPr>
              <w:t xml:space="preserve"> de Gestión Contractual ANCP – CCE</w:t>
            </w:r>
          </w:p>
        </w:tc>
      </w:tr>
    </w:tbl>
    <w:p w14:paraId="02C6B045" w14:textId="77777777" w:rsidR="000D6C5B" w:rsidRPr="007A7335" w:rsidRDefault="000D6C5B" w:rsidP="000D6C5B">
      <w:pPr>
        <w:spacing w:after="0" w:line="240" w:lineRule="auto"/>
        <w:rPr>
          <w:rFonts w:ascii="Verdana" w:eastAsia="Times New Roman" w:hAnsi="Verdana" w:cs="Arial"/>
          <w:sz w:val="24"/>
          <w:szCs w:val="24"/>
          <w:lang w:eastAsia="es-ES"/>
        </w:rPr>
      </w:pPr>
    </w:p>
    <w:p w14:paraId="1B64E5DD" w14:textId="77777777" w:rsidR="000D6C5B" w:rsidRPr="00871B59" w:rsidRDefault="000D6C5B" w:rsidP="000D6C5B"/>
    <w:p w14:paraId="3900974D" w14:textId="77777777" w:rsidR="003D5B0D" w:rsidRPr="000D6C5B" w:rsidRDefault="003D5B0D" w:rsidP="000D6C5B"/>
    <w:sectPr w:rsidR="003D5B0D" w:rsidRPr="000D6C5B"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D5BE" w14:textId="77777777" w:rsidR="001D0D46" w:rsidRDefault="001D0D46" w:rsidP="004A1847">
      <w:pPr>
        <w:spacing w:after="0" w:line="240" w:lineRule="auto"/>
      </w:pPr>
      <w:r>
        <w:separator/>
      </w:r>
    </w:p>
  </w:endnote>
  <w:endnote w:type="continuationSeparator" w:id="0">
    <w:p w14:paraId="26E94079" w14:textId="77777777" w:rsidR="001D0D46" w:rsidRDefault="001D0D4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728A" w14:textId="77777777" w:rsidR="001D0D46" w:rsidRDefault="001D0D46" w:rsidP="004A1847">
      <w:pPr>
        <w:spacing w:after="0" w:line="240" w:lineRule="auto"/>
      </w:pPr>
      <w:r>
        <w:separator/>
      </w:r>
    </w:p>
  </w:footnote>
  <w:footnote w:type="continuationSeparator" w:id="0">
    <w:p w14:paraId="0B285E43" w14:textId="77777777" w:rsidR="001D0D46" w:rsidRDefault="001D0D46"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F5FEB4E2"/>
    <w:lvl w:ilvl="0" w:tplc="B41AC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1C22A7"/>
    <w:multiLevelType w:val="hybridMultilevel"/>
    <w:tmpl w:val="39E09F70"/>
    <w:lvl w:ilvl="0" w:tplc="77DC999A">
      <w:start w:val="1"/>
      <w:numFmt w:val="decimal"/>
      <w:lvlText w:val="%1."/>
      <w:lvlJc w:val="left"/>
      <w:pPr>
        <w:ind w:left="1069" w:hanging="360"/>
      </w:pPr>
      <w:rPr>
        <w:rFonts w:hint="default"/>
        <w:i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797421AB"/>
    <w:multiLevelType w:val="hybridMultilevel"/>
    <w:tmpl w:val="90323972"/>
    <w:lvl w:ilvl="0" w:tplc="240A0001">
      <w:start w:val="1"/>
      <w:numFmt w:val="bullet"/>
      <w:lvlText w:val=""/>
      <w:lvlJc w:val="left"/>
      <w:pPr>
        <w:ind w:left="1079" w:hanging="360"/>
      </w:pPr>
      <w:rPr>
        <w:rFonts w:ascii="Symbol" w:hAnsi="Symbol" w:hint="default"/>
      </w:rPr>
    </w:lvl>
    <w:lvl w:ilvl="1" w:tplc="240A0003" w:tentative="1">
      <w:start w:val="1"/>
      <w:numFmt w:val="bullet"/>
      <w:lvlText w:val="o"/>
      <w:lvlJc w:val="left"/>
      <w:pPr>
        <w:ind w:left="1799" w:hanging="360"/>
      </w:pPr>
      <w:rPr>
        <w:rFonts w:ascii="Courier New" w:hAnsi="Courier New" w:cs="Courier New" w:hint="default"/>
      </w:rPr>
    </w:lvl>
    <w:lvl w:ilvl="2" w:tplc="240A0005" w:tentative="1">
      <w:start w:val="1"/>
      <w:numFmt w:val="bullet"/>
      <w:lvlText w:val=""/>
      <w:lvlJc w:val="left"/>
      <w:pPr>
        <w:ind w:left="2519" w:hanging="360"/>
      </w:pPr>
      <w:rPr>
        <w:rFonts w:ascii="Wingdings" w:hAnsi="Wingdings" w:hint="default"/>
      </w:rPr>
    </w:lvl>
    <w:lvl w:ilvl="3" w:tplc="240A0001" w:tentative="1">
      <w:start w:val="1"/>
      <w:numFmt w:val="bullet"/>
      <w:lvlText w:val=""/>
      <w:lvlJc w:val="left"/>
      <w:pPr>
        <w:ind w:left="3239" w:hanging="360"/>
      </w:pPr>
      <w:rPr>
        <w:rFonts w:ascii="Symbol" w:hAnsi="Symbol" w:hint="default"/>
      </w:rPr>
    </w:lvl>
    <w:lvl w:ilvl="4" w:tplc="240A0003" w:tentative="1">
      <w:start w:val="1"/>
      <w:numFmt w:val="bullet"/>
      <w:lvlText w:val="o"/>
      <w:lvlJc w:val="left"/>
      <w:pPr>
        <w:ind w:left="3959" w:hanging="360"/>
      </w:pPr>
      <w:rPr>
        <w:rFonts w:ascii="Courier New" w:hAnsi="Courier New" w:cs="Courier New" w:hint="default"/>
      </w:rPr>
    </w:lvl>
    <w:lvl w:ilvl="5" w:tplc="240A0005" w:tentative="1">
      <w:start w:val="1"/>
      <w:numFmt w:val="bullet"/>
      <w:lvlText w:val=""/>
      <w:lvlJc w:val="left"/>
      <w:pPr>
        <w:ind w:left="4679" w:hanging="360"/>
      </w:pPr>
      <w:rPr>
        <w:rFonts w:ascii="Wingdings" w:hAnsi="Wingdings" w:hint="default"/>
      </w:rPr>
    </w:lvl>
    <w:lvl w:ilvl="6" w:tplc="240A0001" w:tentative="1">
      <w:start w:val="1"/>
      <w:numFmt w:val="bullet"/>
      <w:lvlText w:val=""/>
      <w:lvlJc w:val="left"/>
      <w:pPr>
        <w:ind w:left="5399" w:hanging="360"/>
      </w:pPr>
      <w:rPr>
        <w:rFonts w:ascii="Symbol" w:hAnsi="Symbol" w:hint="default"/>
      </w:rPr>
    </w:lvl>
    <w:lvl w:ilvl="7" w:tplc="240A0003" w:tentative="1">
      <w:start w:val="1"/>
      <w:numFmt w:val="bullet"/>
      <w:lvlText w:val="o"/>
      <w:lvlJc w:val="left"/>
      <w:pPr>
        <w:ind w:left="6119" w:hanging="360"/>
      </w:pPr>
      <w:rPr>
        <w:rFonts w:ascii="Courier New" w:hAnsi="Courier New" w:cs="Courier New" w:hint="default"/>
      </w:rPr>
    </w:lvl>
    <w:lvl w:ilvl="8" w:tplc="240A0005" w:tentative="1">
      <w:start w:val="1"/>
      <w:numFmt w:val="bullet"/>
      <w:lvlText w:val=""/>
      <w:lvlJc w:val="left"/>
      <w:pPr>
        <w:ind w:left="6839"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 w:numId="19" w16cid:durableId="923029285">
    <w:abstractNumId w:val="17"/>
  </w:num>
  <w:num w:numId="20" w16cid:durableId="1097673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01E"/>
    <w:rsid w:val="000A683E"/>
    <w:rsid w:val="000B19B9"/>
    <w:rsid w:val="000D0334"/>
    <w:rsid w:val="000D6C5B"/>
    <w:rsid w:val="000F6486"/>
    <w:rsid w:val="00125105"/>
    <w:rsid w:val="00127233"/>
    <w:rsid w:val="001511A0"/>
    <w:rsid w:val="00157CF5"/>
    <w:rsid w:val="0016192B"/>
    <w:rsid w:val="00180DA4"/>
    <w:rsid w:val="001D0D46"/>
    <w:rsid w:val="001E1F1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8577A"/>
    <w:rsid w:val="003A779E"/>
    <w:rsid w:val="003D0F4D"/>
    <w:rsid w:val="003D5B0D"/>
    <w:rsid w:val="003E0499"/>
    <w:rsid w:val="003F084D"/>
    <w:rsid w:val="003F3941"/>
    <w:rsid w:val="00406575"/>
    <w:rsid w:val="00414C74"/>
    <w:rsid w:val="0042722E"/>
    <w:rsid w:val="0044528D"/>
    <w:rsid w:val="004A1847"/>
    <w:rsid w:val="004A305D"/>
    <w:rsid w:val="004F21C4"/>
    <w:rsid w:val="004F685F"/>
    <w:rsid w:val="005566E8"/>
    <w:rsid w:val="00574867"/>
    <w:rsid w:val="00591460"/>
    <w:rsid w:val="005B3816"/>
    <w:rsid w:val="005C3777"/>
    <w:rsid w:val="005C5CDC"/>
    <w:rsid w:val="005D476C"/>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91B7C"/>
    <w:rsid w:val="00992C54"/>
    <w:rsid w:val="009A0DFA"/>
    <w:rsid w:val="009A17D3"/>
    <w:rsid w:val="009B2D26"/>
    <w:rsid w:val="009C118F"/>
    <w:rsid w:val="009C71FA"/>
    <w:rsid w:val="009C72E7"/>
    <w:rsid w:val="009D3058"/>
    <w:rsid w:val="009F3A13"/>
    <w:rsid w:val="00A0054E"/>
    <w:rsid w:val="00A122D3"/>
    <w:rsid w:val="00A17F13"/>
    <w:rsid w:val="00A20739"/>
    <w:rsid w:val="00A33C78"/>
    <w:rsid w:val="00A864E9"/>
    <w:rsid w:val="00AB0ADB"/>
    <w:rsid w:val="00B01B1A"/>
    <w:rsid w:val="00B66319"/>
    <w:rsid w:val="00B72CD3"/>
    <w:rsid w:val="00B72FFF"/>
    <w:rsid w:val="00BC3D36"/>
    <w:rsid w:val="00BD7F72"/>
    <w:rsid w:val="00C04FB3"/>
    <w:rsid w:val="00C2793F"/>
    <w:rsid w:val="00C330EB"/>
    <w:rsid w:val="00C41061"/>
    <w:rsid w:val="00C754BE"/>
    <w:rsid w:val="00C76B1C"/>
    <w:rsid w:val="00CB6357"/>
    <w:rsid w:val="00CC1B26"/>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96C03"/>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D6C5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oandrescoronado@gmail.com"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visorsuit.funcionpublica.gov.co/auth/visor?fi=39364"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oandrescoronado@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lombiacompra.gov.co/sites/cce_public/files/cce_documents/cce_guia_esal.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o900612@hotmai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01699C8-10FB-4783-96F4-6E30CA89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3270</Words>
  <Characters>17986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9</cp:revision>
  <cp:lastPrinted>2023-01-10T21:18:00Z</cp:lastPrinted>
  <dcterms:created xsi:type="dcterms:W3CDTF">2024-12-02T20:41:00Z</dcterms:created>
  <dcterms:modified xsi:type="dcterms:W3CDTF">2024-12-26T00:29:00Z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