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E2770" w14:textId="77777777" w:rsidR="00655054" w:rsidRPr="00831166" w:rsidRDefault="00655054" w:rsidP="00655054">
      <w:pPr>
        <w:spacing w:after="0" w:line="240" w:lineRule="auto"/>
        <w:jc w:val="both"/>
        <w:rPr>
          <w:rFonts w:ascii="Verdana" w:eastAsia="Times New Roman" w:hAnsi="Verdana" w:cs="Arial"/>
          <w:b/>
          <w:bCs/>
          <w:lang w:eastAsia="es-ES_tradnl"/>
        </w:rPr>
      </w:pPr>
      <w:bookmarkStart w:id="0" w:name="_Hlk143780582"/>
      <w:r w:rsidRPr="00831166">
        <w:rPr>
          <w:rFonts w:ascii="Verdana" w:eastAsia="Times New Roman" w:hAnsi="Verdana" w:cs="Arial"/>
          <w:b/>
          <w:bCs/>
          <w:lang w:eastAsia="es-ES_tradnl"/>
        </w:rPr>
        <w:t xml:space="preserve">DOCUMENTOS TIPO – Fundamento normativo – Obligatoriedad – Ámbito de aplicación – Entidades sometidas  </w:t>
      </w:r>
    </w:p>
    <w:p w14:paraId="151BF17F" w14:textId="77777777" w:rsidR="00655054" w:rsidRPr="00710507" w:rsidRDefault="00655054" w:rsidP="00655054">
      <w:pPr>
        <w:spacing w:after="0" w:line="240" w:lineRule="auto"/>
        <w:jc w:val="both"/>
        <w:rPr>
          <w:rFonts w:ascii="Verdana" w:eastAsia="Times New Roman" w:hAnsi="Verdana" w:cs="Arial"/>
          <w:b/>
          <w:bCs/>
          <w:sz w:val="20"/>
          <w:szCs w:val="20"/>
          <w:lang w:eastAsia="es-ES_tradnl"/>
        </w:rPr>
      </w:pPr>
    </w:p>
    <w:p w14:paraId="6C0C47B6" w14:textId="77777777" w:rsidR="00655054" w:rsidRPr="00710507" w:rsidRDefault="00655054" w:rsidP="00655054">
      <w:pPr>
        <w:spacing w:after="0" w:line="240" w:lineRule="auto"/>
        <w:jc w:val="both"/>
        <w:rPr>
          <w:rFonts w:ascii="Verdana" w:eastAsia="Calibri" w:hAnsi="Verdana" w:cs="Arial"/>
          <w:sz w:val="20"/>
          <w:szCs w:val="20"/>
          <w:lang w:val="es-ES_tradnl" w:eastAsia="es-ES"/>
        </w:rPr>
      </w:pPr>
      <w:r w:rsidRPr="00710507">
        <w:rPr>
          <w:rFonts w:ascii="Verdana" w:eastAsia="Calibri" w:hAnsi="Verdana" w:cs="Arial"/>
          <w:sz w:val="20"/>
          <w:szCs w:val="20"/>
          <w:lang w:val="es-ES_tradnl" w:eastAsia="es-ES"/>
        </w:rPr>
        <w:t xml:space="preserve">[…] la Ley 2022 de 2020 […] modificó el contenido del parágrafo 7 del artículo 2 de la Ley 1150 de 2007, que había sido adicionado por la Ley 1882 de 2018. Con esta modificación, si bien se mantuvo el mandato de aplicación obligatoria de los Documentos Tipo por parte de las entidades sometidas al </w:t>
      </w:r>
      <w:r w:rsidRPr="00710507">
        <w:rPr>
          <w:rFonts w:ascii="Verdana" w:eastAsia="Calibri" w:hAnsi="Verdana" w:cs="Arial"/>
          <w:bCs/>
          <w:sz w:val="20"/>
          <w:szCs w:val="20"/>
          <w:lang w:val="es-ES_tradnl" w:eastAsia="es-ES_tradnl"/>
        </w:rPr>
        <w:t>EGCAP</w:t>
      </w:r>
      <w:r w:rsidRPr="00710507">
        <w:rPr>
          <w:rFonts w:ascii="Verdana" w:eastAsia="Calibri" w:hAnsi="Verdana" w:cs="Arial"/>
          <w:sz w:val="20"/>
          <w:szCs w:val="20"/>
          <w:lang w:val="es-ES_tradnl" w:eastAsia="es-ES"/>
        </w:rPr>
        <w:t xml:space="preserve">, se atribuyó a la </w:t>
      </w:r>
      <w:r w:rsidRPr="00710507">
        <w:rPr>
          <w:rFonts w:ascii="Verdana" w:eastAsia="Calibri" w:hAnsi="Verdana" w:cs="Arial"/>
          <w:sz w:val="20"/>
          <w:szCs w:val="20"/>
          <w:lang w:val="es-ES_tradnl" w:eastAsia="es-ES_tradnl"/>
        </w:rPr>
        <w:t xml:space="preserve">Agencia Nacional de Contratación Pública – Colombia Compra Eficiente la competencia para su expedición. </w:t>
      </w:r>
      <w:r w:rsidRPr="00710507">
        <w:rPr>
          <w:rFonts w:ascii="Verdana" w:eastAsia="Calibri" w:hAnsi="Verdana" w:cs="Arial"/>
          <w:sz w:val="20"/>
          <w:szCs w:val="20"/>
          <w:lang w:val="es-ES_tradnl" w:eastAsia="es-ES"/>
        </w:rPr>
        <w:t xml:space="preserve">En este marco, con la finalidad de realizar un desarrollo armónico y ajustado de la ley que le otorga la mencionada competencia, esta Agencia expidió la Resolución 160 del 15 de septiembre de 2020, </w:t>
      </w:r>
      <w:r w:rsidRPr="00710507">
        <w:rPr>
          <w:rFonts w:ascii="Verdana" w:eastAsia="Calibri" w:hAnsi="Verdana" w:cs="Arial"/>
          <w:i/>
          <w:iCs/>
          <w:sz w:val="20"/>
          <w:szCs w:val="20"/>
          <w:lang w:val="es-ES_tradnl" w:eastAsia="es-ES"/>
        </w:rPr>
        <w:t>“Por la cual se adopta el procedimiento para implementar los documentos tipo y se define el sistema para su revisión”.</w:t>
      </w:r>
    </w:p>
    <w:p w14:paraId="2E280243" w14:textId="77777777" w:rsidR="00655054" w:rsidRPr="00710507" w:rsidRDefault="00655054" w:rsidP="00655054">
      <w:pPr>
        <w:spacing w:after="0" w:line="240" w:lineRule="auto"/>
        <w:jc w:val="both"/>
        <w:rPr>
          <w:rFonts w:ascii="Verdana" w:eastAsia="Calibri" w:hAnsi="Verdana" w:cs="Arial"/>
          <w:sz w:val="20"/>
          <w:szCs w:val="20"/>
          <w:lang w:val="es-ES_tradnl" w:eastAsia="es-ES"/>
        </w:rPr>
      </w:pPr>
    </w:p>
    <w:p w14:paraId="4FEB829B" w14:textId="77777777" w:rsidR="00655054" w:rsidRPr="00710507" w:rsidRDefault="00655054" w:rsidP="00655054">
      <w:pPr>
        <w:spacing w:after="0" w:line="240" w:lineRule="auto"/>
        <w:jc w:val="both"/>
        <w:rPr>
          <w:rFonts w:ascii="Verdana" w:eastAsia="Calibri" w:hAnsi="Verdana" w:cs="Arial"/>
          <w:sz w:val="20"/>
          <w:szCs w:val="20"/>
        </w:rPr>
      </w:pPr>
      <w:r w:rsidRPr="00710507">
        <w:rPr>
          <w:rFonts w:ascii="Verdana" w:eastAsia="Calibri" w:hAnsi="Verdana" w:cs="Arial"/>
          <w:sz w:val="20"/>
          <w:szCs w:val="20"/>
          <w:lang w:eastAsia="es-ES_tradnl"/>
        </w:rPr>
        <w:t xml:space="preserve">De acuerdo con lo expuesto, </w:t>
      </w:r>
      <w:r w:rsidRPr="00710507">
        <w:rPr>
          <w:rFonts w:ascii="Verdana" w:eastAsia="Calibri" w:hAnsi="Verdana" w:cs="Arial"/>
          <w:sz w:val="20"/>
          <w:szCs w:val="20"/>
          <w:bdr w:val="none" w:sz="0" w:space="0" w:color="auto" w:frame="1"/>
          <w:lang w:eastAsia="es-ES_tradnl"/>
        </w:rPr>
        <w:t xml:space="preserve">los Documentos Tipo adoptados son obligatorios para las Entidades Estatales regidas por el </w:t>
      </w:r>
      <w:r w:rsidRPr="00710507">
        <w:rPr>
          <w:rFonts w:ascii="Verdana" w:eastAsia="Calibri" w:hAnsi="Verdana" w:cs="Arial"/>
          <w:bCs/>
          <w:sz w:val="20"/>
          <w:szCs w:val="20"/>
          <w:lang w:val="es-ES_tradnl" w:eastAsia="es-ES_tradnl"/>
        </w:rPr>
        <w:t>EGCAP</w:t>
      </w:r>
      <w:r w:rsidRPr="00710507">
        <w:rPr>
          <w:rFonts w:ascii="Verdana" w:eastAsia="Calibri" w:hAnsi="Verdana" w:cs="Arial"/>
          <w:sz w:val="20"/>
          <w:szCs w:val="20"/>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710507">
        <w:rPr>
          <w:rFonts w:ascii="Verdana" w:eastAsia="Calibri" w:hAnsi="Verdana" w:cs="Arial"/>
          <w:sz w:val="20"/>
          <w:szCs w:val="20"/>
        </w:rPr>
        <w:t>Esta obligatoriedad implica, a su vez, que las Entidades Estatales tengan que adelantar los Procesos de Contratación bajo las condiciones establecidas en los Documentos Tipo que rijan para el objeto a contratar y el procedimiento de selección aplicables, sin que puedan variarse los requisitos fijados en ellos.</w:t>
      </w:r>
    </w:p>
    <w:p w14:paraId="18FE4BFA" w14:textId="77777777" w:rsidR="00655054" w:rsidRPr="00710507" w:rsidRDefault="00655054" w:rsidP="00655054">
      <w:pPr>
        <w:spacing w:after="0" w:line="240" w:lineRule="auto"/>
        <w:jc w:val="both"/>
        <w:rPr>
          <w:rFonts w:ascii="Verdana" w:eastAsia="Times New Roman" w:hAnsi="Verdana" w:cs="Arial"/>
          <w:noProof/>
          <w:sz w:val="20"/>
          <w:szCs w:val="20"/>
          <w:lang w:val="es-ES_tradnl" w:eastAsia="es-ES_tradnl"/>
        </w:rPr>
      </w:pPr>
    </w:p>
    <w:p w14:paraId="6EB57D39" w14:textId="77777777" w:rsidR="00655054" w:rsidRPr="00831166" w:rsidRDefault="00655054" w:rsidP="00655054">
      <w:pPr>
        <w:spacing w:after="0" w:line="240" w:lineRule="auto"/>
        <w:jc w:val="both"/>
        <w:rPr>
          <w:rFonts w:ascii="Verdana" w:eastAsia="Calibri" w:hAnsi="Verdana" w:cs="Arial"/>
          <w:b/>
          <w:lang w:val="es-ES_tradnl" w:eastAsia="es-ES_tradnl"/>
        </w:rPr>
      </w:pPr>
      <w:r w:rsidRPr="00831166">
        <w:rPr>
          <w:rFonts w:ascii="Verdana" w:eastAsia="Calibri" w:hAnsi="Verdana" w:cs="Arial"/>
          <w:b/>
          <w:lang w:val="es-ES_tradnl" w:eastAsia="es-ES_tradnl"/>
        </w:rPr>
        <w:t xml:space="preserve">LEY 2195 DE 2022 – Artículo 56 – Ámbito de aplicación </w:t>
      </w:r>
    </w:p>
    <w:p w14:paraId="4391F7E1" w14:textId="77777777" w:rsidR="00655054" w:rsidRPr="00710507" w:rsidRDefault="00655054" w:rsidP="00655054">
      <w:pPr>
        <w:spacing w:after="0" w:line="240" w:lineRule="auto"/>
        <w:jc w:val="both"/>
        <w:rPr>
          <w:rFonts w:ascii="Verdana" w:eastAsia="Calibri" w:hAnsi="Verdana" w:cs="Arial"/>
          <w:bCs/>
          <w:sz w:val="20"/>
          <w:szCs w:val="20"/>
          <w:lang w:val="es-ES_tradnl" w:eastAsia="es-ES_tradnl"/>
        </w:rPr>
      </w:pPr>
    </w:p>
    <w:p w14:paraId="51DF5C76" w14:textId="77777777" w:rsidR="00655054" w:rsidRPr="00710507" w:rsidRDefault="00655054" w:rsidP="00655054">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bCs/>
          <w:sz w:val="20"/>
          <w:szCs w:val="20"/>
          <w:lang w:val="es-ES_tradnl" w:eastAsia="es-ES_tradnl"/>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00EB0006" w14:textId="77777777" w:rsidR="00655054" w:rsidRPr="00710507" w:rsidRDefault="00655054" w:rsidP="00655054">
      <w:pPr>
        <w:spacing w:after="0" w:line="240" w:lineRule="auto"/>
        <w:jc w:val="both"/>
        <w:rPr>
          <w:rFonts w:ascii="Verdana" w:eastAsia="Times New Roman" w:hAnsi="Verdana" w:cs="Arial"/>
          <w:sz w:val="20"/>
          <w:szCs w:val="20"/>
          <w:lang w:val="es-ES_tradnl" w:eastAsia="es-ES_tradnl"/>
        </w:rPr>
      </w:pPr>
    </w:p>
    <w:p w14:paraId="526CA1E6" w14:textId="77777777" w:rsidR="00655054" w:rsidRPr="00710507" w:rsidRDefault="00655054" w:rsidP="00655054">
      <w:pPr>
        <w:spacing w:after="0" w:line="240" w:lineRule="auto"/>
        <w:jc w:val="both"/>
        <w:rPr>
          <w:rFonts w:ascii="Verdana" w:eastAsia="Calibri" w:hAnsi="Verdana" w:cs="Arial"/>
          <w:sz w:val="20"/>
          <w:szCs w:val="20"/>
          <w:lang w:val="es-ES_tradnl" w:eastAsia="es-ES_tradnl"/>
        </w:rPr>
      </w:pPr>
      <w:r w:rsidRPr="00710507">
        <w:rPr>
          <w:rFonts w:ascii="Verdana" w:eastAsia="Times New Roman" w:hAnsi="Verdana" w:cs="Arial"/>
          <w:sz w:val="20"/>
          <w:szCs w:val="20"/>
          <w:lang w:val="es-ES_tradnl" w:eastAsia="es-ES_tradnl"/>
        </w:rPr>
        <w:t>[…]</w:t>
      </w:r>
    </w:p>
    <w:p w14:paraId="2C8BC57B" w14:textId="77777777" w:rsidR="00655054" w:rsidRPr="00710507" w:rsidRDefault="00655054" w:rsidP="00655054">
      <w:pPr>
        <w:spacing w:after="0" w:line="240" w:lineRule="auto"/>
        <w:jc w:val="both"/>
        <w:rPr>
          <w:rFonts w:ascii="Verdana" w:eastAsia="Calibri" w:hAnsi="Verdana" w:cs="Arial"/>
          <w:sz w:val="20"/>
          <w:szCs w:val="20"/>
          <w:lang w:val="es-ES_tradnl" w:eastAsia="es-ES_tradnl"/>
        </w:rPr>
      </w:pPr>
    </w:p>
    <w:p w14:paraId="0923C539" w14:textId="77777777" w:rsidR="00655054" w:rsidRPr="00710507" w:rsidRDefault="00655054" w:rsidP="00655054">
      <w:pPr>
        <w:spacing w:after="0" w:line="240" w:lineRule="auto"/>
        <w:jc w:val="both"/>
        <w:rPr>
          <w:rFonts w:ascii="Verdana" w:eastAsia="Calibri" w:hAnsi="Verdana" w:cs="Arial"/>
          <w:sz w:val="20"/>
          <w:szCs w:val="20"/>
          <w:lang w:val="es-ES_tradnl" w:eastAsia="es-ES_tradnl"/>
        </w:rPr>
      </w:pPr>
      <w:r w:rsidRPr="00710507">
        <w:rPr>
          <w:rFonts w:ascii="Verdana" w:eastAsia="Calibri" w:hAnsi="Verdana" w:cs="Arial"/>
          <w:sz w:val="20"/>
          <w:szCs w:val="20"/>
          <w:lang w:val="es-ES_tradnl" w:eastAsia="es-ES_tradnl"/>
        </w:rPr>
        <w:t>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w:t>
      </w:r>
      <w:r w:rsidRPr="00710507">
        <w:rPr>
          <w:rFonts w:ascii="Verdana" w:eastAsia="Times New Roman" w:hAnsi="Verdana" w:cs="Arial"/>
          <w:sz w:val="20"/>
          <w:szCs w:val="20"/>
          <w:lang w:val="es-ES_tradnl" w:eastAsia="es-ES_tradnl"/>
        </w:rPr>
        <w:t xml:space="preserve"> […].</w:t>
      </w:r>
    </w:p>
    <w:p w14:paraId="3C51BE66" w14:textId="77777777" w:rsidR="00655054" w:rsidRPr="00710507" w:rsidRDefault="00655054" w:rsidP="00655054">
      <w:pPr>
        <w:spacing w:after="0" w:line="240" w:lineRule="auto"/>
        <w:jc w:val="both"/>
        <w:rPr>
          <w:rFonts w:ascii="Verdana" w:eastAsia="Calibri" w:hAnsi="Verdana" w:cs="Arial"/>
          <w:b/>
          <w:sz w:val="20"/>
          <w:szCs w:val="20"/>
          <w:lang w:val="es-ES_tradnl" w:eastAsia="es-ES_tradnl"/>
        </w:rPr>
      </w:pPr>
    </w:p>
    <w:p w14:paraId="27022CB8" w14:textId="77777777" w:rsidR="00655054" w:rsidRPr="00831166" w:rsidRDefault="00655054" w:rsidP="00655054">
      <w:pPr>
        <w:spacing w:after="0" w:line="240" w:lineRule="auto"/>
        <w:jc w:val="both"/>
        <w:rPr>
          <w:rFonts w:ascii="Verdana" w:eastAsia="Calibri" w:hAnsi="Verdana" w:cs="Arial"/>
          <w:b/>
          <w:lang w:val="es-ES_tradnl" w:eastAsia="es-ES_tradnl"/>
        </w:rPr>
      </w:pPr>
      <w:r w:rsidRPr="00831166">
        <w:rPr>
          <w:rFonts w:ascii="Verdana" w:eastAsia="Calibri" w:hAnsi="Verdana" w:cs="Arial"/>
          <w:b/>
          <w:lang w:val="es-ES_tradnl" w:eastAsia="es-ES_tradnl"/>
        </w:rPr>
        <w:t xml:space="preserve">LEY 2195 DE 2022 – Artículo 56 – Finalidad </w:t>
      </w:r>
    </w:p>
    <w:p w14:paraId="197A4445" w14:textId="77777777" w:rsidR="00655054" w:rsidRPr="00710507" w:rsidRDefault="00655054" w:rsidP="00655054">
      <w:pPr>
        <w:spacing w:after="0" w:line="240" w:lineRule="auto"/>
        <w:jc w:val="both"/>
        <w:rPr>
          <w:rFonts w:ascii="Verdana" w:eastAsia="Times New Roman" w:hAnsi="Verdana" w:cs="Arial"/>
          <w:sz w:val="20"/>
          <w:szCs w:val="20"/>
          <w:lang w:val="es-ES_tradnl" w:eastAsia="es-ES_tradnl"/>
        </w:rPr>
      </w:pPr>
    </w:p>
    <w:p w14:paraId="0299D21A" w14:textId="77777777" w:rsidR="00655054" w:rsidRPr="00710507" w:rsidRDefault="00655054" w:rsidP="00655054">
      <w:pPr>
        <w:spacing w:after="0" w:line="240" w:lineRule="auto"/>
        <w:jc w:val="both"/>
        <w:rPr>
          <w:rFonts w:ascii="Verdana" w:eastAsia="Times New Roman" w:hAnsi="Verdana" w:cs="Arial"/>
          <w:sz w:val="20"/>
          <w:szCs w:val="20"/>
          <w:lang w:eastAsia="es-ES_tradnl"/>
        </w:rPr>
      </w:pPr>
      <w:r w:rsidRPr="00710507">
        <w:rPr>
          <w:rFonts w:ascii="Verdana" w:eastAsia="Times New Roman" w:hAnsi="Verdana" w:cs="Arial"/>
          <w:sz w:val="20"/>
          <w:szCs w:val="20"/>
          <w:lang w:val="es-ES_tradnl" w:eastAsia="es-ES_tradnl"/>
        </w:rPr>
        <w:t xml:space="preserve">[…] </w:t>
      </w:r>
      <w:r w:rsidRPr="00710507">
        <w:rPr>
          <w:rFonts w:ascii="Verdana" w:eastAsia="Calibri" w:hAnsi="Verdana" w:cs="Arial"/>
          <w:sz w:val="20"/>
          <w:szCs w:val="20"/>
          <w:lang w:val="es-ES_tradnl" w:eastAsia="es-ES_tradnl"/>
        </w:rPr>
        <w:t xml:space="preserve">la adición del articulado en mención tiene como fin </w:t>
      </w:r>
      <w:r w:rsidRPr="00710507">
        <w:rPr>
          <w:rFonts w:ascii="Verdana" w:eastAsia="Times New Roman" w:hAnsi="Verdana" w:cs="Arial"/>
          <w:sz w:val="20"/>
          <w:szCs w:val="20"/>
          <w:lang w:eastAsia="es-ES_tradnl"/>
        </w:rPr>
        <w:t xml:space="preserve">“Extender la </w:t>
      </w:r>
      <w:r w:rsidRPr="00710507">
        <w:rPr>
          <w:rFonts w:ascii="Verdana" w:eastAsia="Times New Roman" w:hAnsi="Verdana" w:cs="Arial"/>
          <w:i/>
          <w:sz w:val="20"/>
          <w:szCs w:val="20"/>
          <w:lang w:eastAsia="es-ES_tradnl"/>
        </w:rPr>
        <w:t>obligatoriedad de la aplicación del régimen de contratación estatal y pliegos tipo, cuando se celebran convenios interadministrativos</w:t>
      </w:r>
      <w:r w:rsidRPr="00710507">
        <w:rPr>
          <w:rFonts w:ascii="Verdana" w:eastAsia="Times New Roman" w:hAnsi="Verdana" w:cs="Arial"/>
          <w:sz w:val="20"/>
          <w:szCs w:val="20"/>
          <w:lang w:eastAsia="es-ES_tradnl"/>
        </w:rPr>
        <w:t xml:space="preserve"> con una entidad que tiene régimen de contratación privada </w:t>
      </w:r>
      <w:r w:rsidRPr="00710507">
        <w:rPr>
          <w:rFonts w:ascii="Verdana" w:eastAsia="Times New Roman" w:hAnsi="Verdana" w:cs="Arial"/>
          <w:i/>
          <w:sz w:val="20"/>
          <w:szCs w:val="20"/>
          <w:lang w:eastAsia="es-ES_tradnl"/>
        </w:rPr>
        <w:t xml:space="preserve">con el fin de evitar la contratación directa con recursos del estado y proveer de </w:t>
      </w:r>
      <w:r w:rsidRPr="00710507">
        <w:rPr>
          <w:rFonts w:ascii="Verdana" w:eastAsia="Times New Roman" w:hAnsi="Verdana" w:cs="Arial"/>
          <w:i/>
          <w:sz w:val="20"/>
          <w:szCs w:val="20"/>
          <w:lang w:eastAsia="es-ES_tradnl"/>
        </w:rPr>
        <w:lastRenderedPageBreak/>
        <w:t>mayores garantías al proceso</w:t>
      </w:r>
      <w:r w:rsidRPr="00710507">
        <w:rPr>
          <w:rFonts w:ascii="Verdana" w:eastAsia="Times New Roman" w:hAnsi="Verdana" w:cs="Arial"/>
          <w:sz w:val="20"/>
          <w:szCs w:val="20"/>
          <w:lang w:eastAsia="es-ES_tradnl"/>
        </w:rPr>
        <w:t>” (énfasis fuera de texto).En ese orden de ideas, es claro que la incorporación de este articulado por parte del legislador tiene como fin principal que las entidades sometidas al EGCAP, obligadas a aplicar pliego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621DEA6A" w14:textId="77777777" w:rsidR="00655054" w:rsidRPr="00710507" w:rsidRDefault="00655054" w:rsidP="00655054">
      <w:pPr>
        <w:tabs>
          <w:tab w:val="left" w:pos="0"/>
        </w:tabs>
        <w:spacing w:after="0" w:line="240" w:lineRule="auto"/>
        <w:jc w:val="both"/>
        <w:rPr>
          <w:rFonts w:ascii="Verdana" w:eastAsia="Calibri" w:hAnsi="Verdana" w:cs="Arial"/>
          <w:bCs/>
          <w:sz w:val="20"/>
          <w:szCs w:val="20"/>
          <w:lang w:val="es-ES_tradnl" w:eastAsia="es-ES_tradnl"/>
        </w:rPr>
      </w:pPr>
    </w:p>
    <w:p w14:paraId="30B6BC7A" w14:textId="77777777" w:rsidR="00655054" w:rsidRPr="00710507" w:rsidRDefault="00655054" w:rsidP="00655054">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bCs/>
          <w:sz w:val="20"/>
          <w:szCs w:val="20"/>
          <w:lang w:val="es-ES_tradnl" w:eastAsia="es-ES_tradnl"/>
        </w:rPr>
        <w:t xml:space="preserve">Sin embargo, para segunda ponencia del Senado se propuso eliminar el artículo en mención con motivo a la inconveniencia que podría generar en su aplicación, aceptándose su eliminación. No obstante, para Plenaria de Senado se propuso un nuevo artículo para su trámite ante la Cámara de Representantes </w:t>
      </w:r>
      <w:r w:rsidRPr="00710507">
        <w:rPr>
          <w:rFonts w:ascii="Verdana" w:eastAsia="Times New Roman" w:hAnsi="Verdana" w:cs="Arial"/>
          <w:sz w:val="20"/>
          <w:szCs w:val="20"/>
          <w:lang w:val="es-ES_tradnl" w:eastAsia="es-ES_tradnl"/>
        </w:rPr>
        <w:t xml:space="preserve">[…] </w:t>
      </w:r>
      <w:r w:rsidRPr="00710507">
        <w:rPr>
          <w:rFonts w:ascii="Verdana" w:eastAsia="Calibri" w:hAnsi="Verdana" w:cs="Arial"/>
          <w:sz w:val="20"/>
          <w:szCs w:val="20"/>
          <w:lang w:val="es-ES_tradnl" w:eastAsia="es-ES_tradnl"/>
        </w:rPr>
        <w:t>La mencionada disposición pasó el debate en Cámara de Representantes con algunos ajustes en la redacción del artículo, pero manteniendo su fin principal, y esto es, que los Documentos Tipo deban ser aplicados en general por todas las entidades sometidas al EGCAP, independientemente de la celebración de contratos o convenios interadministrativos o de cualquier otra índole, con entidades estatales exceptuadas o con régimen especial de contratación, patrimonios autónomos o particulares. Consecuentemente, fue aprobada su redacción en conciliación del texto en ambas cámaras prescribiendo la redacción de la norma hoy día vigente.</w:t>
      </w:r>
    </w:p>
    <w:p w14:paraId="6D69683D" w14:textId="77777777" w:rsidR="00655054" w:rsidRPr="00710507" w:rsidRDefault="00655054" w:rsidP="00655054">
      <w:pPr>
        <w:spacing w:after="0" w:line="240" w:lineRule="auto"/>
        <w:jc w:val="both"/>
        <w:rPr>
          <w:rFonts w:ascii="Verdana" w:eastAsia="Calibri" w:hAnsi="Verdana" w:cs="Arial"/>
          <w:b/>
          <w:sz w:val="20"/>
          <w:szCs w:val="20"/>
          <w:lang w:val="es-ES_tradnl" w:eastAsia="es-ES_tradnl"/>
        </w:rPr>
      </w:pPr>
    </w:p>
    <w:p w14:paraId="7FD0D6C8" w14:textId="77777777" w:rsidR="00655054" w:rsidRPr="00831166" w:rsidRDefault="00655054" w:rsidP="00655054">
      <w:pPr>
        <w:spacing w:after="0" w:line="240" w:lineRule="auto"/>
        <w:jc w:val="both"/>
        <w:rPr>
          <w:rFonts w:ascii="Verdana" w:eastAsia="Calibri" w:hAnsi="Verdana" w:cs="Arial"/>
          <w:b/>
          <w:lang w:val="es-ES_tradnl" w:eastAsia="es-ES_tradnl"/>
        </w:rPr>
      </w:pPr>
      <w:r w:rsidRPr="00831166">
        <w:rPr>
          <w:rFonts w:ascii="Verdana" w:eastAsia="Calibri" w:hAnsi="Verdana" w:cs="Arial"/>
          <w:b/>
          <w:lang w:val="es-ES_tradnl" w:eastAsia="es-ES_tradnl"/>
        </w:rPr>
        <w:t xml:space="preserve">LEY 2195 DE 2022 – Artículo 56 – Incisos 1 y 2 – Interpretación conjunta </w:t>
      </w:r>
    </w:p>
    <w:p w14:paraId="09CCA2C8" w14:textId="77777777" w:rsidR="00655054" w:rsidRPr="00710507" w:rsidRDefault="00655054" w:rsidP="00655054">
      <w:pPr>
        <w:tabs>
          <w:tab w:val="left" w:pos="0"/>
        </w:tabs>
        <w:spacing w:after="0" w:line="240" w:lineRule="auto"/>
        <w:jc w:val="both"/>
        <w:rPr>
          <w:rFonts w:ascii="Verdana" w:eastAsia="Calibri" w:hAnsi="Verdana" w:cs="Arial"/>
          <w:bCs/>
          <w:sz w:val="20"/>
          <w:szCs w:val="20"/>
          <w:lang w:val="es-ES_tradnl" w:eastAsia="es-ES_tradnl"/>
        </w:rPr>
      </w:pPr>
    </w:p>
    <w:p w14:paraId="0A8D8A55" w14:textId="77777777" w:rsidR="00655054" w:rsidRPr="00710507" w:rsidRDefault="00655054" w:rsidP="00655054">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bCs/>
          <w:sz w:val="20"/>
          <w:szCs w:val="20"/>
          <w:lang w:val="es-ES_tradnl" w:eastAsia="es-ES_tradnl"/>
        </w:rPr>
        <w:t>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w:t>
      </w:r>
    </w:p>
    <w:p w14:paraId="730090C7" w14:textId="77777777" w:rsidR="00655054" w:rsidRPr="00710507" w:rsidRDefault="00655054" w:rsidP="00655054">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bCs/>
          <w:sz w:val="20"/>
          <w:szCs w:val="20"/>
          <w:lang w:val="es-ES_tradnl" w:eastAsia="es-ES_tradnl"/>
        </w:rPr>
        <w:t xml:space="preserve"> </w:t>
      </w:r>
    </w:p>
    <w:p w14:paraId="77BF2171" w14:textId="77777777" w:rsidR="00655054" w:rsidRPr="00710507" w:rsidRDefault="00655054" w:rsidP="00655054">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de la Ley por contexto, conforme al criterio interpretativo del artículo 30 del Código Civil, “Los pasajes oscuros de una ley pueden ser ilustrados por medio de otras leyes, particularmente si versan sobre el mismo asunto” y de una interpretación sobre la extensión de una Ley, consagrada en el artículo 31 del Código Civil, “Lo favorable u odioso de una disposición no se tomará en cuenta para ampliar o restringir su interpretación. La extensión que deba darse a toda ley se determinará por su genuino sentido, y según las reglas de interpretación precedentes”, </w:t>
      </w:r>
      <w:r w:rsidRPr="00710507">
        <w:rPr>
          <w:rFonts w:ascii="Verdana" w:eastAsia="Calibri" w:hAnsi="Verdana" w:cs="Arial"/>
          <w:bCs/>
          <w:sz w:val="20"/>
          <w:szCs w:val="20"/>
          <w:lang w:val="es-ES_tradnl" w:eastAsia="es-ES_tradnl"/>
        </w:rPr>
        <w:t>desde esta perspectiva, no pudiera</w:t>
      </w:r>
      <w:r w:rsidRPr="00710507">
        <w:rPr>
          <w:rFonts w:ascii="Verdana" w:eastAsia="Calibri" w:hAnsi="Verdana" w:cs="Arial"/>
          <w:sz w:val="20"/>
          <w:szCs w:val="20"/>
          <w:lang w:val="es-ES_tradnl" w:eastAsia="es-ES_tradnl"/>
        </w:rPr>
        <w:t xml:space="preserve"> pensarse entonces que se extiende la aplicación a particulares y a entidades con régimen de contratación especial la obligatoriedad de </w:t>
      </w:r>
      <w:r w:rsidRPr="00710507">
        <w:rPr>
          <w:rFonts w:ascii="Verdana" w:eastAsia="Calibri" w:hAnsi="Verdana" w:cs="Arial"/>
          <w:sz w:val="20"/>
          <w:szCs w:val="20"/>
          <w:lang w:val="es-ES_tradnl" w:eastAsia="es-ES_tradnl"/>
        </w:rPr>
        <w:lastRenderedPageBreak/>
        <w:t>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710507">
        <w:rPr>
          <w:rFonts w:ascii="Verdana" w:eastAsia="Calibri" w:hAnsi="Verdana" w:cs="Arial"/>
          <w:bCs/>
          <w:sz w:val="20"/>
          <w:szCs w:val="20"/>
          <w:lang w:val="es-ES_tradnl" w:eastAsia="es-ES_tradnl"/>
        </w:rPr>
        <w:t xml:space="preserve"> </w:t>
      </w:r>
      <w:r w:rsidRPr="00710507">
        <w:rPr>
          <w:rFonts w:ascii="Verdana" w:eastAsia="Calibri" w:hAnsi="Verdana" w:cs="Arial"/>
          <w:sz w:val="20"/>
          <w:szCs w:val="20"/>
          <w:lang w:val="es-ES_tradnl" w:eastAsia="es-ES_tradnl"/>
        </w:rPr>
        <w:t xml:space="preserve">la obligatoriedad de utilizar documentos pliego tipo </w:t>
      </w:r>
      <w:r w:rsidRPr="00710507">
        <w:rPr>
          <w:rFonts w:ascii="Verdana" w:eastAsia="Calibri" w:hAnsi="Verdana" w:cs="Arial"/>
          <w:bCs/>
          <w:sz w:val="20"/>
          <w:szCs w:val="20"/>
          <w:lang w:val="es-ES_tradnl" w:eastAsia="es-ES_tradnl"/>
        </w:rPr>
        <w:t xml:space="preserve">se extiende </w:t>
      </w:r>
      <w:r w:rsidRPr="00710507">
        <w:rPr>
          <w:rFonts w:ascii="Verdana" w:eastAsia="Calibri" w:hAnsi="Verdana" w:cs="Arial"/>
          <w:sz w:val="20"/>
          <w:szCs w:val="20"/>
          <w:lang w:val="es-ES_tradnl" w:eastAsia="es-ES_tradnl"/>
        </w:rPr>
        <w:t xml:space="preserve">en los convenios o contratos interadministrativos o de cualquier otra índole, </w:t>
      </w:r>
      <w:r w:rsidRPr="00710507">
        <w:rPr>
          <w:rFonts w:ascii="Verdana" w:eastAsia="Calibri" w:hAnsi="Verdana" w:cs="Arial"/>
          <w:bCs/>
          <w:sz w:val="20"/>
          <w:szCs w:val="20"/>
          <w:lang w:val="es-ES_tradnl" w:eastAsia="es-ES_tradnl"/>
        </w:rPr>
        <w:t xml:space="preserve">y </w:t>
      </w:r>
      <w:r w:rsidRPr="00710507">
        <w:rPr>
          <w:rFonts w:ascii="Verdana" w:eastAsia="Calibri" w:hAnsi="Verdana" w:cs="Arial"/>
          <w:sz w:val="20"/>
          <w:szCs w:val="20"/>
          <w:lang w:val="es-ES_tradnl" w:eastAsia="es-ES_tradnl"/>
        </w:rPr>
        <w:t>a las diferentes modalidades de selección de los Procesos de Contratación adelantados por entidades sometidas al EGCAP</w:t>
      </w:r>
      <w:r w:rsidRPr="00710507">
        <w:rPr>
          <w:rFonts w:ascii="Verdana" w:eastAsia="Calibri" w:hAnsi="Verdana" w:cs="Arial"/>
          <w:bCs/>
          <w:sz w:val="20"/>
          <w:szCs w:val="20"/>
          <w:lang w:val="es-ES_tradnl" w:eastAsia="es-ES_tradnl"/>
        </w:rPr>
        <w:t>.</w:t>
      </w:r>
    </w:p>
    <w:p w14:paraId="7A72F5B1" w14:textId="77777777" w:rsidR="00655054" w:rsidRPr="00710507" w:rsidRDefault="00655054" w:rsidP="00655054">
      <w:pPr>
        <w:tabs>
          <w:tab w:val="left" w:pos="0"/>
        </w:tabs>
        <w:spacing w:after="0" w:line="240" w:lineRule="auto"/>
        <w:jc w:val="both"/>
        <w:rPr>
          <w:rFonts w:ascii="Verdana" w:eastAsia="Times New Roman" w:hAnsi="Verdana" w:cs="Arial"/>
          <w:sz w:val="20"/>
          <w:szCs w:val="20"/>
          <w:lang w:val="es-ES_tradnl" w:eastAsia="es-ES_tradnl"/>
        </w:rPr>
      </w:pPr>
    </w:p>
    <w:p w14:paraId="27487B11" w14:textId="77777777" w:rsidR="00655054" w:rsidRPr="00710507" w:rsidRDefault="00655054" w:rsidP="00655054">
      <w:pPr>
        <w:tabs>
          <w:tab w:val="left" w:pos="0"/>
        </w:tabs>
        <w:spacing w:after="0" w:line="240" w:lineRule="auto"/>
        <w:jc w:val="both"/>
        <w:rPr>
          <w:rFonts w:ascii="Verdana" w:eastAsia="Times New Roman" w:hAnsi="Verdana" w:cs="Arial"/>
          <w:sz w:val="20"/>
          <w:szCs w:val="20"/>
          <w:lang w:val="es-ES_tradnl" w:eastAsia="es-ES_tradnl"/>
        </w:rPr>
      </w:pPr>
      <w:r w:rsidRPr="00710507">
        <w:rPr>
          <w:rFonts w:ascii="Verdana" w:eastAsia="Times New Roman" w:hAnsi="Verdana" w:cs="Arial"/>
          <w:sz w:val="20"/>
          <w:szCs w:val="20"/>
          <w:lang w:val="es-ES_tradnl" w:eastAsia="es-ES_tradnl"/>
        </w:rPr>
        <w:t>[…]</w:t>
      </w:r>
    </w:p>
    <w:p w14:paraId="22A60715" w14:textId="77777777" w:rsidR="00655054" w:rsidRPr="00710507" w:rsidRDefault="00655054" w:rsidP="00655054">
      <w:pPr>
        <w:tabs>
          <w:tab w:val="left" w:pos="0"/>
        </w:tabs>
        <w:spacing w:after="0" w:line="240" w:lineRule="auto"/>
        <w:jc w:val="both"/>
        <w:rPr>
          <w:rFonts w:ascii="Verdana" w:eastAsia="Times New Roman" w:hAnsi="Verdana" w:cs="Arial"/>
          <w:sz w:val="20"/>
          <w:szCs w:val="20"/>
          <w:lang w:val="es-ES_tradnl" w:eastAsia="es-ES_tradnl"/>
        </w:rPr>
      </w:pPr>
    </w:p>
    <w:p w14:paraId="566A642E" w14:textId="77777777" w:rsidR="00655054" w:rsidRPr="00710507" w:rsidRDefault="00655054" w:rsidP="00655054">
      <w:pPr>
        <w:tabs>
          <w:tab w:val="left" w:pos="0"/>
        </w:tabs>
        <w:spacing w:after="0" w:line="240" w:lineRule="auto"/>
        <w:jc w:val="both"/>
        <w:rPr>
          <w:rFonts w:ascii="Verdana" w:eastAsia="Times New Roman" w:hAnsi="Verdana" w:cs="Arial"/>
          <w:sz w:val="20"/>
          <w:szCs w:val="20"/>
          <w:lang w:eastAsia="es-ES_tradnl"/>
        </w:rPr>
      </w:pPr>
      <w:r w:rsidRPr="00710507">
        <w:rPr>
          <w:rFonts w:ascii="Verdana" w:eastAsia="Calibri" w:hAnsi="Verdana" w:cs="Arial"/>
          <w:bCs/>
          <w:sz w:val="20"/>
          <w:szCs w:val="20"/>
          <w:lang w:val="es-ES_tradnl" w:eastAsia="es-ES_tradnl"/>
        </w:rPr>
        <w:t xml:space="preserve">El segundo inciso de la norma bajo estudio usa la expresión </w:t>
      </w:r>
      <w:r w:rsidRPr="00710507">
        <w:rPr>
          <w:rFonts w:ascii="Verdana" w:eastAsia="Calibri" w:hAnsi="Verdana" w:cs="Arial"/>
          <w:sz w:val="20"/>
          <w:szCs w:val="20"/>
          <w:lang w:val="es-ES_tradnl" w:eastAsia="es-ES_tradnl"/>
        </w:rPr>
        <w:t>“</w:t>
      </w:r>
      <w:r w:rsidRPr="00710507">
        <w:rPr>
          <w:rFonts w:ascii="Verdana" w:eastAsia="Times New Roman" w:hAnsi="Verdana" w:cs="Arial"/>
          <w:sz w:val="20"/>
          <w:szCs w:val="20"/>
          <w:lang w:eastAsia="es-ES_tradnl"/>
        </w:rPr>
        <w:t xml:space="preserve">los procedimientos de selección y </w:t>
      </w:r>
      <w:r w:rsidRPr="00710507">
        <w:rPr>
          <w:rFonts w:ascii="Verdana" w:eastAsia="Times New Roman" w:hAnsi="Verdana" w:cs="Arial"/>
          <w:i/>
          <w:iCs/>
          <w:sz w:val="20"/>
          <w:szCs w:val="20"/>
          <w:lang w:eastAsia="es-ES_tradnl"/>
        </w:rPr>
        <w:t>contratos que realicen en desarrollo de los anteriores negocios jurídicos</w:t>
      </w:r>
      <w:r w:rsidRPr="00710507">
        <w:rPr>
          <w:rFonts w:ascii="Verdana" w:eastAsia="Calibri" w:hAnsi="Verdana" w:cs="Arial"/>
          <w:sz w:val="20"/>
          <w:szCs w:val="20"/>
          <w:lang w:val="es-ES_tradnl" w:eastAsia="es-ES_tradnl"/>
        </w:rPr>
        <w:t>”</w:t>
      </w:r>
      <w:r w:rsidRPr="00710507">
        <w:rPr>
          <w:rFonts w:ascii="Verdana" w:eastAsia="Times New Roman" w:hAnsi="Verdana" w:cs="Arial"/>
          <w:sz w:val="20"/>
          <w:szCs w:val="20"/>
          <w:lang w:eastAsia="es-ES_tradnl"/>
        </w:rPr>
        <w:t xml:space="preserve"> se pudiera entender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 en un objeto del que se desprende el suministro de un bien, obra o servicio cobijada por un documento tipo.  En ese sentido, la norma parte de la base de que para </w:t>
      </w:r>
      <w:r w:rsidRPr="00710507">
        <w:rPr>
          <w:rFonts w:ascii="Verdana" w:eastAsia="Times New Roman" w:hAnsi="Verdana" w:cs="Arial"/>
          <w:i/>
          <w:iCs/>
          <w:sz w:val="20"/>
          <w:szCs w:val="20"/>
          <w:lang w:eastAsia="es-ES_tradnl"/>
        </w:rPr>
        <w:t>desarrollar</w:t>
      </w:r>
      <w:r w:rsidRPr="00710507">
        <w:rPr>
          <w:rFonts w:ascii="Verdana" w:eastAsia="Times New Roman" w:hAnsi="Verdana" w:cs="Arial"/>
          <w:sz w:val="20"/>
          <w:szCs w:val="20"/>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4A92115A" w14:textId="77777777" w:rsidR="00655054" w:rsidRPr="00710507" w:rsidRDefault="00655054" w:rsidP="00655054">
      <w:pPr>
        <w:tabs>
          <w:tab w:val="left" w:pos="0"/>
        </w:tabs>
        <w:spacing w:after="0" w:line="240" w:lineRule="auto"/>
        <w:jc w:val="both"/>
        <w:rPr>
          <w:rFonts w:ascii="Verdana" w:eastAsia="Times New Roman" w:hAnsi="Verdana" w:cs="Arial"/>
          <w:sz w:val="20"/>
          <w:szCs w:val="20"/>
          <w:lang w:eastAsia="es-ES_tradnl"/>
        </w:rPr>
      </w:pPr>
    </w:p>
    <w:p w14:paraId="60B07EF6" w14:textId="77777777" w:rsidR="00655054" w:rsidRPr="00710507" w:rsidRDefault="00655054" w:rsidP="00655054">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bCs/>
          <w:sz w:val="20"/>
          <w:szCs w:val="20"/>
          <w:lang w:val="es-ES_tradnl" w:eastAsia="es-ES_tradnl"/>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p>
    <w:p w14:paraId="6E039854" w14:textId="77777777" w:rsidR="00655054" w:rsidRPr="00710507" w:rsidRDefault="00655054" w:rsidP="00655054">
      <w:pPr>
        <w:tabs>
          <w:tab w:val="left" w:pos="0"/>
        </w:tabs>
        <w:spacing w:after="0" w:line="240" w:lineRule="auto"/>
        <w:jc w:val="both"/>
        <w:rPr>
          <w:rFonts w:ascii="Verdana" w:eastAsia="Calibri" w:hAnsi="Verdana" w:cs="Arial"/>
          <w:bCs/>
          <w:sz w:val="20"/>
          <w:szCs w:val="20"/>
          <w:lang w:val="es-ES_tradnl" w:eastAsia="es-ES_tradnl"/>
        </w:rPr>
      </w:pPr>
    </w:p>
    <w:p w14:paraId="1AF7BD1D" w14:textId="77777777" w:rsidR="00655054" w:rsidRPr="004A6B8F" w:rsidRDefault="00655054" w:rsidP="00655054">
      <w:pPr>
        <w:spacing w:after="0" w:line="240" w:lineRule="auto"/>
        <w:jc w:val="both"/>
        <w:rPr>
          <w:rFonts w:ascii="Verdana" w:eastAsia="Calibri" w:hAnsi="Verdana" w:cs="Arial"/>
          <w:b/>
          <w:lang w:val="es-ES_tradnl" w:eastAsia="es-ES_tradnl"/>
        </w:rPr>
      </w:pPr>
      <w:r w:rsidRPr="004A6B8F">
        <w:rPr>
          <w:rFonts w:ascii="Verdana" w:eastAsia="Calibri" w:hAnsi="Verdana" w:cs="Arial"/>
          <w:b/>
          <w:lang w:val="es-ES_tradnl" w:eastAsia="es-ES_tradnl"/>
        </w:rPr>
        <w:t>LEY 2195 DE 2022 – Artículo 56 – Aplicación del estatuto general de contratación de la administración pública</w:t>
      </w:r>
    </w:p>
    <w:p w14:paraId="2D1EB8E9" w14:textId="77777777" w:rsidR="00655054" w:rsidRPr="00710507" w:rsidRDefault="00655054" w:rsidP="00655054">
      <w:pPr>
        <w:tabs>
          <w:tab w:val="left" w:pos="0"/>
        </w:tabs>
        <w:spacing w:after="0" w:line="240" w:lineRule="auto"/>
        <w:jc w:val="both"/>
        <w:rPr>
          <w:rFonts w:ascii="Verdana" w:eastAsia="Calibri" w:hAnsi="Verdana" w:cs="Arial"/>
          <w:bCs/>
          <w:sz w:val="20"/>
          <w:szCs w:val="20"/>
          <w:lang w:val="es-ES_tradnl" w:eastAsia="es-ES_tradnl"/>
        </w:rPr>
      </w:pPr>
    </w:p>
    <w:p w14:paraId="0EA87F0A" w14:textId="77777777" w:rsidR="00655054" w:rsidRPr="00710507" w:rsidRDefault="00655054" w:rsidP="00655054">
      <w:pPr>
        <w:tabs>
          <w:tab w:val="left" w:pos="0"/>
        </w:tabs>
        <w:spacing w:after="0" w:line="240" w:lineRule="auto"/>
        <w:jc w:val="both"/>
        <w:rPr>
          <w:rFonts w:ascii="Verdana" w:eastAsia="Calibri" w:hAnsi="Verdana" w:cs="Arial"/>
          <w:sz w:val="20"/>
          <w:szCs w:val="20"/>
          <w:lang w:val="es-ES_tradnl" w:eastAsia="es-ES_tradnl"/>
        </w:rPr>
      </w:pPr>
      <w:r w:rsidRPr="00710507">
        <w:rPr>
          <w:rFonts w:ascii="Verdana" w:eastAsia="Calibri" w:hAnsi="Verdana" w:cs="Arial"/>
          <w:bCs/>
          <w:sz w:val="20"/>
          <w:szCs w:val="20"/>
          <w:lang w:val="es-ES_tradnl" w:eastAsia="es-ES_tradnl"/>
        </w:rPr>
        <w:t xml:space="preserve">Por tanto, el hecho de que la norma esté dirigida a las entidades sometidas al EGCAP, , 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14:paraId="711E658B" w14:textId="77777777" w:rsidR="00655054" w:rsidRPr="00710507" w:rsidRDefault="00655054" w:rsidP="00655054">
      <w:pPr>
        <w:spacing w:after="0" w:line="240" w:lineRule="auto"/>
        <w:jc w:val="both"/>
        <w:rPr>
          <w:rFonts w:ascii="Verdana" w:eastAsia="Calibri" w:hAnsi="Verdana" w:cs="Arial"/>
          <w:b/>
          <w:sz w:val="20"/>
          <w:szCs w:val="20"/>
          <w:lang w:val="es-ES_tradnl" w:eastAsia="es-ES_tradnl"/>
        </w:rPr>
      </w:pPr>
    </w:p>
    <w:p w14:paraId="362A6734" w14:textId="77777777" w:rsidR="00655054" w:rsidRPr="004A6B8F" w:rsidRDefault="00655054" w:rsidP="00655054">
      <w:pPr>
        <w:spacing w:after="0" w:line="240" w:lineRule="auto"/>
        <w:jc w:val="both"/>
        <w:rPr>
          <w:rFonts w:ascii="Verdana" w:eastAsia="Calibri" w:hAnsi="Verdana" w:cs="Arial"/>
          <w:b/>
          <w:lang w:val="es-ES_tradnl" w:eastAsia="es-ES_tradnl"/>
        </w:rPr>
      </w:pPr>
      <w:r w:rsidRPr="004A6B8F">
        <w:rPr>
          <w:rFonts w:ascii="Verdana" w:eastAsia="Calibri" w:hAnsi="Verdana" w:cs="Arial"/>
          <w:b/>
          <w:lang w:val="es-ES_tradnl" w:eastAsia="es-ES_tradnl"/>
        </w:rPr>
        <w:t>LEY 2195 DE 2022 – Artículo 56 – Parágrafo – Excepciones – Giro ordinario – Aplicación restrictiva</w:t>
      </w:r>
    </w:p>
    <w:p w14:paraId="13C60A56" w14:textId="77777777" w:rsidR="00655054" w:rsidRPr="00710507" w:rsidRDefault="00655054" w:rsidP="00655054">
      <w:pPr>
        <w:tabs>
          <w:tab w:val="left" w:pos="0"/>
        </w:tabs>
        <w:spacing w:after="0" w:line="240" w:lineRule="auto"/>
        <w:jc w:val="both"/>
        <w:rPr>
          <w:rFonts w:ascii="Verdana" w:eastAsia="Times New Roman" w:hAnsi="Verdana" w:cs="Arial"/>
          <w:sz w:val="20"/>
          <w:szCs w:val="20"/>
          <w:lang w:eastAsia="es-ES_tradnl"/>
        </w:rPr>
      </w:pPr>
    </w:p>
    <w:p w14:paraId="2F8753EB" w14:textId="77777777" w:rsidR="00655054" w:rsidRPr="00710507" w:rsidRDefault="00655054" w:rsidP="00655054">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Times New Roman" w:hAnsi="Verdana" w:cs="Arial"/>
          <w:sz w:val="20"/>
          <w:szCs w:val="20"/>
          <w:lang w:eastAsia="es-ES_tradnl"/>
        </w:rPr>
        <w:t>De otra parte,</w:t>
      </w:r>
      <w:r w:rsidRPr="00710507">
        <w:rPr>
          <w:rFonts w:ascii="Verdana" w:eastAsia="Calibri" w:hAnsi="Verdana" w:cs="Arial"/>
          <w:bCs/>
          <w:sz w:val="20"/>
          <w:szCs w:val="20"/>
          <w:lang w:val="es-ES_tradnl" w:eastAsia="es-ES_tradnl"/>
        </w:rPr>
        <w:t xml:space="preserve"> es necesario precisar el alcance del parágrafo del artículo 56 de la Ley 2195 de 2022 y lo dispuesto en los dos primeros incisos del mencionado artículo, del cual se excluye, a cierto tipo de entidades, en lo relacionado con la contratación de su </w:t>
      </w:r>
      <w:r w:rsidRPr="00710507">
        <w:rPr>
          <w:rFonts w:ascii="Verdana" w:eastAsia="Calibri" w:hAnsi="Verdana" w:cs="Arial"/>
          <w:bCs/>
          <w:i/>
          <w:iCs/>
          <w:sz w:val="20"/>
          <w:szCs w:val="20"/>
          <w:lang w:val="es-ES_tradnl" w:eastAsia="es-ES_tradnl"/>
        </w:rPr>
        <w:t>giro ordinario</w:t>
      </w:r>
      <w:r w:rsidRPr="00710507">
        <w:rPr>
          <w:rFonts w:ascii="Verdana" w:eastAsia="Calibri" w:hAnsi="Verdana" w:cs="Arial"/>
          <w:bCs/>
          <w:sz w:val="20"/>
          <w:szCs w:val="20"/>
          <w:lang w:val="es-ES_tradnl" w:eastAsia="es-ES_tradnl"/>
        </w:rPr>
        <w:t xml:space="preserve">. Conforme se desprende del texto del referido parágrafo, se exceptúa de </w:t>
      </w:r>
      <w:r w:rsidRPr="00710507">
        <w:rPr>
          <w:rFonts w:ascii="Verdana" w:eastAsia="Calibri" w:hAnsi="Verdana" w:cs="Arial"/>
          <w:bCs/>
          <w:sz w:val="20"/>
          <w:szCs w:val="20"/>
          <w:lang w:val="es-ES_tradnl" w:eastAsia="es-ES_tradnl"/>
        </w:rPr>
        <w:lastRenderedPageBreak/>
        <w:t xml:space="preserve">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710507">
        <w:rPr>
          <w:rFonts w:ascii="Verdana" w:eastAsia="Calibri" w:hAnsi="Verdana" w:cs="Arial"/>
          <w:bCs/>
          <w:i/>
          <w:iCs/>
          <w:sz w:val="20"/>
          <w:szCs w:val="20"/>
          <w:lang w:val="es-ES_tradnl" w:eastAsia="es-ES_tradnl"/>
        </w:rPr>
        <w:t>giro ordinario.</w:t>
      </w:r>
      <w:r w:rsidRPr="00710507">
        <w:rPr>
          <w:rFonts w:ascii="Verdana" w:eastAsia="Calibri" w:hAnsi="Verdana" w:cs="Arial"/>
          <w:bCs/>
          <w:sz w:val="20"/>
          <w:szCs w:val="20"/>
          <w:lang w:val="es-ES_tradnl" w:eastAsia="es-ES_tradnl"/>
        </w:rPr>
        <w:t xml:space="preserve"> Esto significa que, en la contratación asociada a su </w:t>
      </w:r>
      <w:r w:rsidRPr="00710507">
        <w:rPr>
          <w:rFonts w:ascii="Verdana" w:eastAsia="Calibri" w:hAnsi="Verdana" w:cs="Arial"/>
          <w:bCs/>
          <w:i/>
          <w:iCs/>
          <w:sz w:val="20"/>
          <w:szCs w:val="20"/>
          <w:lang w:val="es-ES_tradnl" w:eastAsia="es-ES_tradnl"/>
        </w:rPr>
        <w:t xml:space="preserve">giro ordinario, </w:t>
      </w:r>
      <w:r w:rsidRPr="00710507">
        <w:rPr>
          <w:rFonts w:ascii="Verdana" w:eastAsia="Calibri" w:hAnsi="Verdana" w:cs="Arial"/>
          <w:bCs/>
          <w:sz w:val="20"/>
          <w:szCs w:val="20"/>
          <w:lang w:val="es-ES_tradnl" w:eastAsia="es-ES_tradnl"/>
        </w:rPr>
        <w:t>estos tipos de entidades no tendrían que aplicar, de manera obligatoria, los documentos tipo, ni tampoco el EGCAP.</w:t>
      </w:r>
      <w:r w:rsidRPr="00710507">
        <w:rPr>
          <w:rFonts w:ascii="Verdana" w:eastAsia="Times New Roman" w:hAnsi="Verdana" w:cs="Arial"/>
          <w:sz w:val="20"/>
          <w:szCs w:val="20"/>
          <w:lang w:eastAsia="es-ES_tradnl"/>
        </w:rPr>
        <w:t xml:space="preserve"> es decir, si entidades estatales exceptuadas pretenden ser adjudicatarias de estos contratos, no deben someterse a un proceso de selección en el que se apliquen documentos tipo expedidos por esta Agencia. </w:t>
      </w:r>
      <w:r w:rsidRPr="00710507">
        <w:rPr>
          <w:rFonts w:ascii="Verdana" w:eastAsia="Calibri" w:hAnsi="Verdana" w:cs="Arial"/>
          <w:bCs/>
          <w:sz w:val="20"/>
          <w:szCs w:val="20"/>
          <w:lang w:val="es-ES_tradnl" w:eastAsia="es-ES_tradnl"/>
        </w:rPr>
        <w:t xml:space="preserve">En este caso la norma se limita a fomentar la implementación de documentos tipo a modo de buena práctica contractual, en los casos en los que se estime conveniente. </w:t>
      </w:r>
    </w:p>
    <w:p w14:paraId="75AB2D91" w14:textId="77777777" w:rsidR="00655054" w:rsidRPr="00710507" w:rsidRDefault="00655054" w:rsidP="00655054">
      <w:pPr>
        <w:spacing w:after="0" w:line="240" w:lineRule="auto"/>
        <w:jc w:val="both"/>
        <w:rPr>
          <w:rFonts w:ascii="Verdana" w:eastAsia="Calibri" w:hAnsi="Verdana" w:cs="Arial"/>
          <w:bCs/>
          <w:sz w:val="20"/>
          <w:szCs w:val="20"/>
          <w:lang w:val="es-ES_tradnl" w:eastAsia="es-ES_tradnl"/>
        </w:rPr>
      </w:pPr>
    </w:p>
    <w:p w14:paraId="430013A7" w14:textId="77777777" w:rsidR="00655054" w:rsidRPr="00710507" w:rsidRDefault="00655054" w:rsidP="00655054">
      <w:pPr>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bCs/>
          <w:sz w:val="20"/>
          <w:szCs w:val="20"/>
          <w:lang w:val="es-ES_tradnl" w:eastAsia="es-ES_tradnl"/>
        </w:rPr>
        <w:t>[…]</w:t>
      </w:r>
    </w:p>
    <w:p w14:paraId="74FED0CC" w14:textId="77777777" w:rsidR="00655054" w:rsidRPr="00710507" w:rsidRDefault="00655054" w:rsidP="00655054">
      <w:pPr>
        <w:spacing w:after="0" w:line="240" w:lineRule="auto"/>
        <w:jc w:val="both"/>
        <w:rPr>
          <w:rFonts w:ascii="Verdana" w:eastAsia="Calibri" w:hAnsi="Verdana" w:cs="Arial"/>
          <w:bCs/>
          <w:sz w:val="20"/>
          <w:szCs w:val="20"/>
          <w:lang w:val="es-ES_tradnl" w:eastAsia="es-ES_tradnl"/>
        </w:rPr>
      </w:pPr>
    </w:p>
    <w:p w14:paraId="6E9D07DC" w14:textId="77777777" w:rsidR="00655054" w:rsidRPr="00710507" w:rsidRDefault="00655054" w:rsidP="00655054">
      <w:pPr>
        <w:spacing w:after="0" w:line="240" w:lineRule="auto"/>
        <w:jc w:val="both"/>
        <w:rPr>
          <w:rFonts w:ascii="Verdana" w:eastAsia="Calibri" w:hAnsi="Verdana" w:cs="Arial"/>
          <w:bCs/>
          <w:color w:val="000000"/>
          <w:sz w:val="20"/>
          <w:szCs w:val="20"/>
          <w:lang w:val="es-ES_tradnl"/>
        </w:rPr>
      </w:pPr>
      <w:r w:rsidRPr="00710507">
        <w:rPr>
          <w:rFonts w:ascii="Verdana" w:eastAsia="Calibri" w:hAnsi="Verdana" w:cs="Arial"/>
          <w:color w:val="000000"/>
          <w:sz w:val="20"/>
          <w:szCs w:val="20"/>
          <w:lang w:val="es-ES_tradnl"/>
        </w:rPr>
        <w:t xml:space="preserve">De acuerdo con este criterio interpretativo y comoquiera que la norma determina las excepciones en consideración a la naturaleza jurídica de los sujetos que menciona, sin hacer distinción alguna respecto de su régimen contractual, es posible concluir que la excepción predicable de las </w:t>
      </w:r>
      <w:r w:rsidRPr="00710507">
        <w:rPr>
          <w:rFonts w:ascii="Verdana" w:eastAsia="Calibri" w:hAnsi="Verdana" w:cs="Arial"/>
          <w:sz w:val="20"/>
          <w:szCs w:val="20"/>
          <w:lang w:val="es-ES_tradnl" w:eastAsia="es-ES_tradnl"/>
        </w:rPr>
        <w:t>instituciones de educación superior públicas, las empresas sociales del Estado, las sociedades de economía mixta y las empresas industriales y comerciales del Estado</w:t>
      </w:r>
      <w:r w:rsidRPr="00710507">
        <w:rPr>
          <w:rFonts w:ascii="Verdana" w:eastAsia="Calibri" w:hAnsi="Verdana" w:cs="Arial"/>
          <w:color w:val="000000"/>
          <w:sz w:val="20"/>
          <w:szCs w:val="20"/>
          <w:lang w:val="es-ES_tradnl"/>
        </w:rPr>
        <w:t xml:space="preserve"> no resulta extensible a entidades que no cuenten con dicha naturaleza, como sucede con las Sociedades Públicas. </w:t>
      </w:r>
    </w:p>
    <w:p w14:paraId="1943768A" w14:textId="77777777" w:rsidR="00655054" w:rsidRDefault="00655054" w:rsidP="00655054">
      <w:pPr>
        <w:rPr>
          <w:rFonts w:ascii="Verdana" w:hAnsi="Verdana"/>
        </w:rPr>
      </w:pPr>
      <w:r>
        <w:rPr>
          <w:rFonts w:ascii="Verdana" w:hAnsi="Verdana"/>
        </w:rPr>
        <w:br w:type="page"/>
      </w:r>
    </w:p>
    <w:p w14:paraId="1A52833E" w14:textId="3F7388DB" w:rsidR="00655054" w:rsidRDefault="00655054" w:rsidP="005F4DFB">
      <w:pPr>
        <w:spacing w:after="0" w:line="240" w:lineRule="auto"/>
        <w:rPr>
          <w:rFonts w:ascii="Verdana" w:hAnsi="Verdana"/>
        </w:rPr>
      </w:pPr>
      <w:r w:rsidRPr="00F95ECD">
        <w:rPr>
          <w:rFonts w:ascii="Verdana" w:hAnsi="Verdana"/>
        </w:rPr>
        <w:lastRenderedPageBreak/>
        <w:t xml:space="preserve">Bogotá D.C., </w:t>
      </w:r>
      <w:r w:rsidR="00FD25CB">
        <w:rPr>
          <w:rFonts w:ascii="Verdana" w:hAnsi="Verdana"/>
        </w:rPr>
        <w:t>13 de diciembre de 2024.</w:t>
      </w:r>
    </w:p>
    <w:p w14:paraId="58BFAFE1" w14:textId="6B2051D4" w:rsidR="00FD25CB" w:rsidRDefault="0043132D" w:rsidP="0043132D">
      <w:pPr>
        <w:spacing w:after="0" w:line="240" w:lineRule="auto"/>
        <w:jc w:val="right"/>
        <w:rPr>
          <w:rFonts w:ascii="Verdana" w:hAnsi="Verdana"/>
        </w:rPr>
      </w:pPr>
      <w:r w:rsidRPr="0043132D">
        <w:rPr>
          <w:rFonts w:ascii="Verdana" w:hAnsi="Verdana"/>
        </w:rPr>
        <w:drawing>
          <wp:inline distT="0" distB="0" distL="0" distR="0" wp14:anchorId="51F01FDC" wp14:editId="3DE1461F">
            <wp:extent cx="2875058" cy="872635"/>
            <wp:effectExtent l="0" t="0" r="1905" b="3810"/>
            <wp:docPr id="15954703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70392" name=""/>
                    <pic:cNvPicPr/>
                  </pic:nvPicPr>
                  <pic:blipFill>
                    <a:blip r:embed="rId7"/>
                    <a:stretch>
                      <a:fillRect/>
                    </a:stretch>
                  </pic:blipFill>
                  <pic:spPr>
                    <a:xfrm>
                      <a:off x="0" y="0"/>
                      <a:ext cx="2879081" cy="873856"/>
                    </a:xfrm>
                    <a:prstGeom prst="rect">
                      <a:avLst/>
                    </a:prstGeom>
                  </pic:spPr>
                </pic:pic>
              </a:graphicData>
            </a:graphic>
          </wp:inline>
        </w:drawing>
      </w:r>
    </w:p>
    <w:bookmarkEnd w:id="0"/>
    <w:p w14:paraId="6A81930C" w14:textId="77777777" w:rsidR="00655054" w:rsidRPr="00172312" w:rsidRDefault="00655054" w:rsidP="005F4DFB">
      <w:pPr>
        <w:spacing w:after="0" w:line="240" w:lineRule="auto"/>
        <w:rPr>
          <w:rFonts w:ascii="Verdana" w:hAnsi="Verdana"/>
        </w:rPr>
      </w:pPr>
      <w:r w:rsidRPr="00F95ECD">
        <w:rPr>
          <w:rFonts w:ascii="Verdana" w:eastAsia="Calibri" w:hAnsi="Verdana" w:cs="Arial"/>
          <w:lang w:val="es-ES" w:eastAsia="es-ES"/>
        </w:rPr>
        <w:t>Señor</w:t>
      </w:r>
    </w:p>
    <w:p w14:paraId="1EB38E3A" w14:textId="77777777" w:rsidR="00655054" w:rsidRPr="00655054" w:rsidRDefault="00655054" w:rsidP="005F4DFB">
      <w:pPr>
        <w:spacing w:after="0" w:line="240" w:lineRule="auto"/>
        <w:rPr>
          <w:rFonts w:ascii="Verdana" w:eastAsia="Calibri" w:hAnsi="Verdana" w:cs="Arial"/>
          <w:b/>
          <w:lang w:eastAsia="es-ES_tradnl"/>
        </w:rPr>
      </w:pPr>
      <w:r w:rsidRPr="00655054">
        <w:rPr>
          <w:rFonts w:ascii="Verdana" w:eastAsia="Calibri" w:hAnsi="Verdana" w:cs="Arial"/>
          <w:b/>
          <w:bCs/>
          <w:lang w:eastAsia="es-ES_tradnl"/>
        </w:rPr>
        <w:t>Luis Mogollón Behaine </w:t>
      </w:r>
    </w:p>
    <w:p w14:paraId="186CC8B8" w14:textId="77777777" w:rsidR="00655054" w:rsidRPr="00F95ECD" w:rsidRDefault="00655054" w:rsidP="005F4DFB">
      <w:pPr>
        <w:spacing w:after="0" w:line="240" w:lineRule="auto"/>
        <w:rPr>
          <w:rFonts w:ascii="Verdana" w:eastAsia="Calibri" w:hAnsi="Verdana" w:cs="Arial"/>
          <w:b/>
          <w:bCs/>
          <w:lang w:val="es-ES" w:eastAsia="es-ES"/>
        </w:rPr>
      </w:pPr>
      <w:r w:rsidRPr="00F95ECD">
        <w:rPr>
          <w:rFonts w:ascii="Verdana" w:eastAsia="Calibri" w:hAnsi="Verdana" w:cs="Arial"/>
          <w:lang w:val="es-ES" w:eastAsia="es-ES"/>
        </w:rPr>
        <w:t xml:space="preserve">Bogotá D.C. </w:t>
      </w:r>
    </w:p>
    <w:p w14:paraId="2ABC141B" w14:textId="77777777" w:rsidR="00655054" w:rsidRPr="00F95ECD" w:rsidRDefault="00655054" w:rsidP="005F4DFB">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55054" w:rsidRPr="00F95ECD" w14:paraId="12D222AF" w14:textId="77777777" w:rsidTr="008D5BE3">
        <w:trPr>
          <w:trHeight w:val="229"/>
        </w:trPr>
        <w:tc>
          <w:tcPr>
            <w:tcW w:w="2689" w:type="dxa"/>
          </w:tcPr>
          <w:p w14:paraId="0C5C1A71" w14:textId="77777777" w:rsidR="00655054" w:rsidRPr="00F95ECD" w:rsidRDefault="00655054" w:rsidP="005F4DFB">
            <w:pPr>
              <w:spacing w:line="240" w:lineRule="auto"/>
              <w:jc w:val="both"/>
              <w:rPr>
                <w:rFonts w:ascii="Verdana" w:eastAsia="Calibri" w:hAnsi="Verdana" w:cs="Arial"/>
                <w:b/>
                <w:bCs/>
                <w:lang w:val="es-ES_tradnl" w:eastAsia="es-ES_tradnl"/>
              </w:rPr>
            </w:pPr>
          </w:p>
        </w:tc>
        <w:tc>
          <w:tcPr>
            <w:tcW w:w="6100" w:type="dxa"/>
          </w:tcPr>
          <w:p w14:paraId="446F113B" w14:textId="5ABCFEF2" w:rsidR="00655054" w:rsidRPr="00F95ECD" w:rsidRDefault="00655054" w:rsidP="005F4DFB">
            <w:pPr>
              <w:spacing w:line="240" w:lineRule="auto"/>
              <w:jc w:val="both"/>
              <w:rPr>
                <w:rFonts w:ascii="Verdana" w:eastAsia="Calibri" w:hAnsi="Verdana" w:cs="Arial"/>
                <w:b/>
                <w:bCs/>
                <w:lang w:val="es-ES" w:eastAsia="es-ES"/>
              </w:rPr>
            </w:pPr>
            <w:r w:rsidRPr="00F95ECD">
              <w:rPr>
                <w:rFonts w:ascii="Verdana" w:eastAsia="Calibri" w:hAnsi="Verdana" w:cs="Arial"/>
                <w:b/>
                <w:bCs/>
                <w:lang w:val="es-ES" w:eastAsia="es-ES"/>
              </w:rPr>
              <w:t>Concepto C-</w:t>
            </w:r>
            <w:r>
              <w:rPr>
                <w:rFonts w:ascii="Verdana" w:eastAsia="Calibri" w:hAnsi="Verdana" w:cs="Arial"/>
                <w:b/>
                <w:bCs/>
                <w:lang w:val="es-ES" w:eastAsia="es-ES"/>
              </w:rPr>
              <w:t>802</w:t>
            </w:r>
            <w:r w:rsidRPr="00F95ECD">
              <w:rPr>
                <w:rFonts w:ascii="Verdana" w:eastAsia="Calibri" w:hAnsi="Verdana" w:cs="Arial"/>
                <w:b/>
                <w:bCs/>
                <w:lang w:val="es-ES" w:eastAsia="es-ES"/>
              </w:rPr>
              <w:t xml:space="preserve"> de 2024</w:t>
            </w:r>
          </w:p>
          <w:p w14:paraId="73F4D667" w14:textId="77777777" w:rsidR="00655054" w:rsidRPr="00F95ECD" w:rsidRDefault="00655054" w:rsidP="005F4DFB">
            <w:pPr>
              <w:spacing w:line="240" w:lineRule="auto"/>
              <w:jc w:val="both"/>
              <w:rPr>
                <w:rFonts w:ascii="Verdana" w:eastAsia="Calibri" w:hAnsi="Verdana" w:cs="Arial"/>
                <w:b/>
                <w:bCs/>
                <w:lang w:val="es-ES" w:eastAsia="es-ES"/>
              </w:rPr>
            </w:pPr>
          </w:p>
        </w:tc>
      </w:tr>
      <w:tr w:rsidR="00655054" w:rsidRPr="00F95ECD" w14:paraId="353802D6" w14:textId="77777777" w:rsidTr="008D5BE3">
        <w:trPr>
          <w:trHeight w:val="884"/>
        </w:trPr>
        <w:tc>
          <w:tcPr>
            <w:tcW w:w="2689" w:type="dxa"/>
          </w:tcPr>
          <w:p w14:paraId="22895164" w14:textId="77777777" w:rsidR="00655054" w:rsidRPr="00F95ECD" w:rsidRDefault="00655054" w:rsidP="005F4DFB">
            <w:pPr>
              <w:spacing w:line="240" w:lineRule="auto"/>
              <w:jc w:val="both"/>
              <w:rPr>
                <w:rFonts w:ascii="Verdana" w:eastAsia="Calibri" w:hAnsi="Verdana" w:cs="Arial"/>
                <w:lang w:val="es-ES_tradnl" w:eastAsia="es-ES_tradnl"/>
              </w:rPr>
            </w:pPr>
            <w:r w:rsidRPr="00F95ECD">
              <w:rPr>
                <w:rFonts w:ascii="Verdana" w:eastAsia="Calibri" w:hAnsi="Verdana" w:cs="Arial"/>
                <w:b/>
                <w:lang w:val="es-ES_tradnl" w:eastAsia="es-ES_tradnl"/>
              </w:rPr>
              <w:t>Temas:</w:t>
            </w:r>
            <w:r w:rsidRPr="00F95ECD">
              <w:rPr>
                <w:rFonts w:ascii="Verdana" w:eastAsia="Calibri" w:hAnsi="Verdana" w:cs="Arial"/>
                <w:lang w:val="es-ES_tradnl" w:eastAsia="es-ES_tradnl"/>
              </w:rPr>
              <w:t xml:space="preserve">                   </w:t>
            </w:r>
          </w:p>
        </w:tc>
        <w:tc>
          <w:tcPr>
            <w:tcW w:w="6100" w:type="dxa"/>
          </w:tcPr>
          <w:p w14:paraId="09043D8D" w14:textId="77777777" w:rsidR="00655054" w:rsidRPr="00F95ECD" w:rsidRDefault="00655054" w:rsidP="005F4DFB">
            <w:pPr>
              <w:spacing w:line="240"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DOCUMENTOS TIPO – Fundamento normativo – Obligatoriedad – Ámbito de aplicación – Entidades sometidas / LEY 2195 DE 2022 – Artículo 56 – Ámbito de aplicación / LEY 2195 DE 2022 – Artículo 56 – Finalidad / LEY 2195 DE 2022 – Artículo 56 – Incisos 1 y 2 – Interpretación conjunta / LEY 2195 DE 2022 – Artículo 56 – Aplicación del Estatuto General de Contratación de la Administración Pública / LEY 2195 DE 2022 – Artículo 56 – Parágrafo – Excepciones – Giro ordinario – Aplicación restrictiva</w:t>
            </w:r>
          </w:p>
          <w:p w14:paraId="02BA03FF" w14:textId="77777777" w:rsidR="00655054" w:rsidRPr="00F95ECD" w:rsidRDefault="00655054" w:rsidP="005F4DFB">
            <w:pPr>
              <w:spacing w:line="240" w:lineRule="auto"/>
              <w:jc w:val="both"/>
              <w:rPr>
                <w:rFonts w:ascii="Verdana" w:eastAsia="Calibri" w:hAnsi="Verdana" w:cs="Arial"/>
                <w:lang w:val="es-ES" w:eastAsia="es-ES"/>
              </w:rPr>
            </w:pPr>
          </w:p>
        </w:tc>
      </w:tr>
      <w:tr w:rsidR="00655054" w:rsidRPr="00F95ECD" w14:paraId="37589621" w14:textId="77777777" w:rsidTr="008D5BE3">
        <w:tc>
          <w:tcPr>
            <w:tcW w:w="2689" w:type="dxa"/>
          </w:tcPr>
          <w:p w14:paraId="40D1A43C" w14:textId="77777777" w:rsidR="00655054" w:rsidRPr="00F95ECD" w:rsidRDefault="00655054" w:rsidP="005F4DFB">
            <w:pPr>
              <w:spacing w:line="240" w:lineRule="auto"/>
              <w:jc w:val="both"/>
              <w:rPr>
                <w:rFonts w:ascii="Verdana" w:eastAsia="Calibri" w:hAnsi="Verdana" w:cs="Arial"/>
                <w:b/>
                <w:lang w:val="es-ES_tradnl" w:eastAsia="es-ES_tradnl"/>
              </w:rPr>
            </w:pPr>
            <w:r w:rsidRPr="00F95ECD">
              <w:rPr>
                <w:rFonts w:ascii="Verdana" w:eastAsia="Calibri" w:hAnsi="Verdana" w:cs="Arial"/>
                <w:b/>
                <w:lang w:val="es-ES_tradnl" w:eastAsia="es-ES_tradnl"/>
              </w:rPr>
              <w:t>Radicación:</w:t>
            </w:r>
            <w:r w:rsidRPr="00F95ECD">
              <w:rPr>
                <w:rFonts w:ascii="Verdana" w:eastAsia="Calibri" w:hAnsi="Verdana" w:cs="Arial"/>
                <w:lang w:val="es-ES_tradnl" w:eastAsia="es-ES_tradnl"/>
              </w:rPr>
              <w:t xml:space="preserve">               </w:t>
            </w:r>
          </w:p>
        </w:tc>
        <w:tc>
          <w:tcPr>
            <w:tcW w:w="6100" w:type="dxa"/>
          </w:tcPr>
          <w:p w14:paraId="45967022" w14:textId="25BA553E" w:rsidR="00655054" w:rsidRPr="00F95ECD" w:rsidRDefault="00655054" w:rsidP="00F07CD4">
            <w:pPr>
              <w:spacing w:line="240" w:lineRule="auto"/>
              <w:ind w:left="708" w:hanging="708"/>
              <w:jc w:val="both"/>
              <w:rPr>
                <w:rFonts w:ascii="Verdana" w:eastAsia="Calibri" w:hAnsi="Verdana" w:cs="Arial"/>
                <w:lang w:val="es-ES_tradnl" w:eastAsia="es-ES_tradnl"/>
              </w:rPr>
            </w:pPr>
            <w:r w:rsidRPr="00F95ECD">
              <w:rPr>
                <w:rFonts w:ascii="Verdana" w:eastAsia="Calibri" w:hAnsi="Verdana" w:cs="Arial"/>
                <w:lang w:val="es-ES_tradnl" w:eastAsia="es-ES_tradnl"/>
              </w:rPr>
              <w:t>Respuesta a consulta con radicado No.</w:t>
            </w:r>
            <w:r w:rsidR="00371B6C">
              <w:rPr>
                <w:rFonts w:ascii="Verdana" w:eastAsia="Calibri" w:hAnsi="Verdana" w:cs="Arial"/>
                <w:lang w:val="es-ES_tradnl" w:eastAsia="es-ES_tradnl"/>
              </w:rPr>
              <w:t xml:space="preserve"> </w:t>
            </w:r>
            <w:r w:rsidR="00F07CD4" w:rsidRPr="00655054">
              <w:rPr>
                <w:rFonts w:ascii="Verdana" w:eastAsia="Calibri" w:hAnsi="Verdana" w:cs="Arial"/>
                <w:lang w:val="es-ES_tradnl" w:eastAsia="es-ES_tradnl"/>
              </w:rPr>
              <w:t>P20241030011031</w:t>
            </w:r>
          </w:p>
        </w:tc>
      </w:tr>
    </w:tbl>
    <w:p w14:paraId="5C84384B" w14:textId="77777777" w:rsidR="00655054" w:rsidRPr="00F95ECD" w:rsidRDefault="00655054" w:rsidP="005F4DFB">
      <w:pPr>
        <w:spacing w:after="0" w:line="240" w:lineRule="auto"/>
        <w:jc w:val="both"/>
        <w:rPr>
          <w:rFonts w:ascii="Verdana" w:eastAsia="Calibri" w:hAnsi="Verdana" w:cs="Arial"/>
          <w:lang w:val="es-ES_tradnl" w:eastAsia="es-ES_tradnl"/>
        </w:rPr>
      </w:pPr>
    </w:p>
    <w:p w14:paraId="577079F3" w14:textId="77777777" w:rsidR="00655054" w:rsidRPr="00F95ECD" w:rsidRDefault="00655054" w:rsidP="005F4DFB">
      <w:pPr>
        <w:spacing w:after="0" w:line="240" w:lineRule="auto"/>
        <w:jc w:val="both"/>
        <w:rPr>
          <w:rFonts w:ascii="Verdana" w:eastAsia="Calibri" w:hAnsi="Verdana" w:cs="Arial"/>
          <w:lang w:val="es-ES_tradnl" w:eastAsia="es-ES_tradnl"/>
        </w:rPr>
      </w:pPr>
    </w:p>
    <w:p w14:paraId="11033DEA" w14:textId="5AB2B0BA" w:rsidR="00655054" w:rsidRPr="00655054" w:rsidRDefault="00655054" w:rsidP="005F4DFB">
      <w:pPr>
        <w:spacing w:after="0" w:line="276" w:lineRule="auto"/>
        <w:jc w:val="both"/>
        <w:rPr>
          <w:rFonts w:ascii="Verdana" w:eastAsia="Calibri" w:hAnsi="Verdana" w:cs="Arial"/>
          <w:lang w:val="es-ES" w:eastAsia="es-ES"/>
        </w:rPr>
      </w:pPr>
      <w:r w:rsidRPr="00F95ECD">
        <w:rPr>
          <w:rFonts w:ascii="Verdana" w:eastAsia="Calibri" w:hAnsi="Verdana" w:cs="Arial"/>
          <w:lang w:val="es-ES" w:eastAsia="es-ES"/>
        </w:rPr>
        <w:t xml:space="preserve">Estimado señor </w:t>
      </w:r>
      <w:r w:rsidRPr="00655054">
        <w:rPr>
          <w:rFonts w:ascii="Verdana" w:eastAsia="Calibri" w:hAnsi="Verdana" w:cs="Arial"/>
          <w:lang w:eastAsia="es-ES_tradnl"/>
        </w:rPr>
        <w:t>Mogollón Behaine</w:t>
      </w:r>
      <w:r w:rsidRPr="00655054">
        <w:rPr>
          <w:rFonts w:ascii="Verdana" w:eastAsia="Calibri" w:hAnsi="Verdana" w:cs="Arial"/>
          <w:lang w:val="es-ES" w:eastAsia="es-ES"/>
        </w:rPr>
        <w:t xml:space="preserve">: </w:t>
      </w:r>
    </w:p>
    <w:p w14:paraId="446AFD4B" w14:textId="77777777" w:rsidR="00655054" w:rsidRPr="00F95ECD" w:rsidRDefault="00655054" w:rsidP="005F4DFB">
      <w:pPr>
        <w:tabs>
          <w:tab w:val="left" w:pos="3768"/>
        </w:tabs>
        <w:spacing w:after="0" w:line="276" w:lineRule="auto"/>
        <w:jc w:val="both"/>
        <w:rPr>
          <w:rFonts w:ascii="Verdana" w:eastAsia="Calibri" w:hAnsi="Verdana" w:cs="Arial"/>
          <w:lang w:val="es-ES" w:eastAsia="es-ES"/>
        </w:rPr>
      </w:pPr>
      <w:r w:rsidRPr="00F95ECD">
        <w:rPr>
          <w:rFonts w:ascii="Verdana" w:eastAsia="Calibri" w:hAnsi="Verdana" w:cs="Arial"/>
          <w:lang w:val="es-ES" w:eastAsia="es-ES"/>
        </w:rPr>
        <w:tab/>
      </w:r>
    </w:p>
    <w:p w14:paraId="5784046E" w14:textId="36C0A7F1" w:rsidR="00655054" w:rsidRPr="00F95ECD" w:rsidRDefault="00655054" w:rsidP="005F4DFB">
      <w:pPr>
        <w:spacing w:after="0" w:line="276" w:lineRule="auto"/>
        <w:jc w:val="both"/>
        <w:rPr>
          <w:rFonts w:ascii="Verdana" w:eastAsia="Calibri" w:hAnsi="Verdana" w:cs="Arial"/>
          <w:lang w:val="es-ES" w:eastAsia="es-ES"/>
        </w:rPr>
      </w:pPr>
      <w:r w:rsidRPr="00F95ECD">
        <w:rPr>
          <w:rFonts w:ascii="Verdana" w:eastAsia="Calibri" w:hAnsi="Verdana" w:cs="Arial"/>
          <w:lang w:val="es-ES" w:eastAsia="es-ES"/>
        </w:rPr>
        <w:t>En ejercicio de la competencia otorgada por los artículos 3, numeral 5º, y 11, numeral 8º, del Decreto Ley 4170 de 2011,</w:t>
      </w:r>
      <w:r w:rsidRPr="00F95ECD">
        <w:rPr>
          <w:rFonts w:ascii="Verdana" w:eastAsia="Arial MT" w:hAnsi="Verdana" w:cs="Arial MT"/>
          <w:lang w:val="es-ES" w:eastAsia="es-ES"/>
        </w:rPr>
        <w:t xml:space="preserve"> </w:t>
      </w:r>
      <w:r w:rsidRPr="00F95ECD">
        <w:rPr>
          <w:rFonts w:ascii="Verdana" w:hAnsi="Verdana" w:cs="Arial"/>
        </w:rPr>
        <w:t xml:space="preserve">así como lo establecido en el artículo 4 de la Resolución 1707 de 2018 expedida por esta Entidad, </w:t>
      </w:r>
      <w:r w:rsidRPr="00F95ECD">
        <w:rPr>
          <w:rFonts w:ascii="Verdana" w:eastAsia="Calibri" w:hAnsi="Verdana" w:cs="Arial"/>
          <w:lang w:val="es-ES" w:eastAsia="es-ES"/>
        </w:rPr>
        <w:t>la Agencia Nacional de Contratación Pública – Colombia Compra Eficiente– responde su solicitud de consulta,</w:t>
      </w:r>
      <w:r>
        <w:rPr>
          <w:rFonts w:ascii="Verdana" w:eastAsia="Calibri" w:hAnsi="Verdana" w:cs="Arial"/>
          <w:lang w:val="es-ES" w:eastAsia="es-ES"/>
        </w:rPr>
        <w:t xml:space="preserve"> remitida por la Superintendencia de Salud, el 30 de octubre de 2024,</w:t>
      </w:r>
      <w:r w:rsidRPr="00F95ECD">
        <w:rPr>
          <w:rFonts w:ascii="Verdana" w:eastAsia="Calibri" w:hAnsi="Verdana" w:cs="Arial"/>
          <w:lang w:val="es-ES" w:eastAsia="es-ES"/>
        </w:rPr>
        <w:t xml:space="preserve"> en la cual manifiesta lo siguiente: </w:t>
      </w:r>
    </w:p>
    <w:p w14:paraId="7EAAD629" w14:textId="77777777" w:rsidR="00655054" w:rsidRPr="00F95ECD" w:rsidRDefault="00655054" w:rsidP="005F4DFB">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733C371F" w14:textId="7A3B63A5" w:rsidR="00655054" w:rsidRDefault="00655054" w:rsidP="00655054">
      <w:pPr>
        <w:spacing w:after="0" w:line="240" w:lineRule="auto"/>
        <w:ind w:left="709" w:right="709"/>
        <w:jc w:val="both"/>
        <w:rPr>
          <w:rFonts w:ascii="Verdana" w:eastAsia="Century Gothic" w:hAnsi="Verdana" w:cs="Century Gothic"/>
          <w:sz w:val="20"/>
          <w:szCs w:val="20"/>
          <w:lang w:val="es-ES"/>
        </w:rPr>
      </w:pPr>
      <w:bookmarkStart w:id="1" w:name="_Hlk95313578"/>
      <w:r w:rsidRPr="00F95ECD">
        <w:rPr>
          <w:rFonts w:ascii="Verdana" w:eastAsia="Century Gothic" w:hAnsi="Verdana" w:cs="Century Gothic"/>
          <w:sz w:val="20"/>
          <w:szCs w:val="20"/>
          <w:lang w:val="es-ES"/>
        </w:rPr>
        <w:t>“</w:t>
      </w:r>
      <w:r w:rsidRPr="00655054">
        <w:rPr>
          <w:rFonts w:ascii="Verdana" w:hAnsi="Verdana" w:cs="Arial"/>
          <w:sz w:val="20"/>
          <w:szCs w:val="20"/>
          <w:shd w:val="clear" w:color="auto" w:fill="FFFFFF"/>
        </w:rPr>
        <w:t xml:space="preserve">¿Una Empresa Social del Estado para celebrar contratos de obra de adecuación o mantenimiento de su estructura física o para construcción de infraestructura nueva necesaria y conexa con la prestación de los servicios de salud debe hacer uso, sí o no, de los pliegos tipo o estas actividades son consideradas dentro del giro ordinario de la entidad, lo </w:t>
      </w:r>
      <w:r w:rsidRPr="00655054">
        <w:rPr>
          <w:rFonts w:ascii="Verdana" w:hAnsi="Verdana" w:cs="Arial"/>
          <w:sz w:val="20"/>
          <w:szCs w:val="20"/>
          <w:shd w:val="clear" w:color="auto" w:fill="FFFFFF"/>
        </w:rPr>
        <w:lastRenderedPageBreak/>
        <w:t>cual, excluiría el uso de tales pliegos?</w:t>
      </w:r>
      <w:r w:rsidR="008B337A" w:rsidRPr="008B337A">
        <w:rPr>
          <w:noProof/>
          <w14:ligatures w14:val="standardContextual"/>
        </w:rPr>
        <w:t xml:space="preserve"> </w:t>
      </w:r>
      <w:r w:rsidR="008B337A">
        <w:rPr>
          <w:noProof/>
          <w14:ligatures w14:val="standardContextual"/>
        </w:rPr>
        <w:drawing>
          <wp:inline distT="0" distB="0" distL="0" distR="0" wp14:anchorId="04B67915" wp14:editId="674FC4BD">
            <wp:extent cx="3088005" cy="1146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8"/>
                    <a:stretch>
                      <a:fillRect/>
                    </a:stretch>
                  </pic:blipFill>
                  <pic:spPr>
                    <a:xfrm>
                      <a:off x="0" y="0"/>
                      <a:ext cx="3088005" cy="1146175"/>
                    </a:xfrm>
                    <a:prstGeom prst="rect">
                      <a:avLst/>
                    </a:prstGeom>
                  </pic:spPr>
                </pic:pic>
              </a:graphicData>
            </a:graphic>
          </wp:inline>
        </w:drawing>
      </w:r>
      <w:r w:rsidRPr="00F95ECD">
        <w:rPr>
          <w:rFonts w:ascii="Verdana" w:eastAsia="Century Gothic" w:hAnsi="Verdana" w:cs="Century Gothic"/>
          <w:sz w:val="20"/>
          <w:szCs w:val="20"/>
          <w:lang w:val="es-ES"/>
        </w:rPr>
        <w:t>”</w:t>
      </w:r>
      <w:bookmarkEnd w:id="1"/>
      <w:r w:rsidRPr="00F95ECD">
        <w:rPr>
          <w:rFonts w:ascii="Verdana" w:eastAsia="Century Gothic" w:hAnsi="Verdana" w:cs="Century Gothic"/>
          <w:sz w:val="20"/>
          <w:szCs w:val="20"/>
          <w:lang w:val="es-ES"/>
        </w:rPr>
        <w:t>.</w:t>
      </w:r>
    </w:p>
    <w:p w14:paraId="360198F1" w14:textId="77777777" w:rsidR="00655054" w:rsidRPr="00655054" w:rsidRDefault="00655054" w:rsidP="005F4DFB">
      <w:pPr>
        <w:spacing w:after="0" w:line="276" w:lineRule="auto"/>
        <w:ind w:left="709" w:right="709"/>
        <w:jc w:val="both"/>
        <w:rPr>
          <w:rFonts w:ascii="Verdana" w:hAnsi="Verdana" w:cs="Arial"/>
          <w:sz w:val="20"/>
          <w:szCs w:val="20"/>
          <w:shd w:val="clear" w:color="auto" w:fill="FFFFFF"/>
        </w:rPr>
      </w:pPr>
    </w:p>
    <w:p w14:paraId="681BA15C" w14:textId="4FE1B15C" w:rsidR="00655054" w:rsidRPr="00F95ECD" w:rsidRDefault="00655054" w:rsidP="00655054">
      <w:pPr>
        <w:spacing w:after="120" w:line="276" w:lineRule="auto"/>
        <w:jc w:val="both"/>
        <w:rPr>
          <w:rFonts w:ascii="Verdana" w:eastAsia="Calibri" w:hAnsi="Verdana" w:cs="Arial"/>
          <w:color w:val="000000"/>
          <w:lang w:val="es-ES_tradnl" w:eastAsia="es-ES_tradnl"/>
        </w:rPr>
      </w:pPr>
      <w:r w:rsidRPr="00F95ECD">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w:t>
      </w:r>
      <w:r w:rsidR="005F4DFB">
        <w:rPr>
          <w:rFonts w:ascii="Verdana" w:eastAsia="Calibri" w:hAnsi="Verdana" w:cs="Arial"/>
          <w:color w:val="000000"/>
          <w:lang w:val="es-ES" w:eastAsia="es-ES"/>
        </w:rPr>
        <w:t xml:space="preserve">la Agencia Nacional de Contratación Pública – </w:t>
      </w:r>
      <w:r w:rsidRPr="00F95ECD">
        <w:rPr>
          <w:rFonts w:ascii="Verdana" w:eastAsia="Calibri" w:hAnsi="Verdana" w:cs="Arial"/>
          <w:color w:val="000000"/>
          <w:lang w:val="es-ES" w:eastAsia="es-ES"/>
        </w:rPr>
        <w:t>Colombia</w:t>
      </w:r>
      <w:r w:rsidR="005F4DFB">
        <w:rPr>
          <w:rFonts w:ascii="Verdana" w:eastAsia="Calibri" w:hAnsi="Verdana" w:cs="Arial"/>
          <w:color w:val="000000"/>
          <w:lang w:val="es-ES" w:eastAsia="es-ES"/>
        </w:rPr>
        <w:t xml:space="preserve"> </w:t>
      </w:r>
      <w:r w:rsidRPr="00F95ECD">
        <w:rPr>
          <w:rFonts w:ascii="Verdana" w:eastAsia="Calibri" w:hAnsi="Verdana" w:cs="Arial"/>
          <w:color w:val="000000"/>
          <w:lang w:val="es-ES" w:eastAsia="es-ES"/>
        </w:rPr>
        <w:t xml:space="preserve">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95ECD">
        <w:rPr>
          <w:rFonts w:ascii="Verdana" w:eastAsia="Calibri" w:hAnsi="Verdana" w:cs="Arial"/>
          <w:color w:val="000000"/>
          <w:lang w:val="es-ES_tradnl" w:eastAsia="es-ES_tradnl"/>
        </w:rPr>
        <w:tab/>
      </w:r>
    </w:p>
    <w:p w14:paraId="070A456E" w14:textId="31217728" w:rsidR="00655054" w:rsidRPr="00F95ECD" w:rsidRDefault="00655054" w:rsidP="00655054">
      <w:pPr>
        <w:spacing w:after="0" w:line="276" w:lineRule="auto"/>
        <w:ind w:firstLine="709"/>
        <w:jc w:val="both"/>
        <w:rPr>
          <w:rFonts w:ascii="Verdana" w:eastAsia="Calibri" w:hAnsi="Verdana" w:cs="Arial"/>
          <w:lang w:val="es-ES" w:eastAsia="es-ES"/>
        </w:rPr>
      </w:pPr>
      <w:r w:rsidRPr="00F95ECD">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w:t>
      </w:r>
      <w:r w:rsidR="00B077F7">
        <w:rPr>
          <w:rFonts w:ascii="Verdana" w:eastAsia="Calibri" w:hAnsi="Verdana" w:cs="Arial"/>
          <w:lang w:val="es-ES" w:eastAsia="es-ES"/>
        </w:rPr>
        <w:t>señalando algu</w:t>
      </w:r>
      <w:r w:rsidRPr="00F95ECD">
        <w:rPr>
          <w:rFonts w:ascii="Verdana" w:eastAsia="Calibri" w:hAnsi="Verdana" w:cs="Arial"/>
          <w:lang w:val="es-ES" w:eastAsia="es-ES"/>
        </w:rPr>
        <w:t xml:space="preserve">nas consideraciones sobre las normas generales relacionadas con los problemas jurídicos de su consulta. </w:t>
      </w:r>
    </w:p>
    <w:p w14:paraId="30163BDE" w14:textId="77777777" w:rsidR="00655054" w:rsidRPr="00F95ECD" w:rsidRDefault="00655054" w:rsidP="00655054">
      <w:pPr>
        <w:spacing w:after="0" w:line="276" w:lineRule="auto"/>
        <w:ind w:firstLine="709"/>
        <w:jc w:val="both"/>
        <w:rPr>
          <w:rFonts w:ascii="Verdana" w:eastAsia="Calibri" w:hAnsi="Verdana" w:cs="Arial"/>
          <w:lang w:val="es-ES" w:eastAsia="es-ES"/>
        </w:rPr>
      </w:pPr>
    </w:p>
    <w:p w14:paraId="6003823F" w14:textId="77777777" w:rsidR="00655054" w:rsidRPr="00663F37" w:rsidRDefault="00655054" w:rsidP="00655054">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63F37">
        <w:rPr>
          <w:rFonts w:ascii="Verdana" w:eastAsia="Century Gothic" w:hAnsi="Verdana" w:cs="Century Gothic"/>
          <w:b/>
          <w:bCs/>
        </w:rPr>
        <w:t>Problema planteado:</w:t>
      </w:r>
    </w:p>
    <w:p w14:paraId="01A8997C" w14:textId="77777777" w:rsidR="00655054" w:rsidRPr="00663F37" w:rsidRDefault="00655054" w:rsidP="00655054">
      <w:pPr>
        <w:tabs>
          <w:tab w:val="left" w:pos="426"/>
        </w:tabs>
        <w:spacing w:after="0" w:line="276" w:lineRule="auto"/>
        <w:jc w:val="both"/>
        <w:rPr>
          <w:rFonts w:ascii="Verdana" w:eastAsia="Century Gothic" w:hAnsi="Verdana" w:cs="Century Gothic"/>
          <w:lang w:val="es-ES"/>
        </w:rPr>
      </w:pPr>
    </w:p>
    <w:p w14:paraId="3C14E16B" w14:textId="77777777" w:rsidR="00655054" w:rsidRPr="00F95ECD" w:rsidRDefault="00655054" w:rsidP="00655054">
      <w:pPr>
        <w:spacing w:after="0" w:line="276" w:lineRule="auto"/>
        <w:jc w:val="both"/>
        <w:rPr>
          <w:rFonts w:ascii="Verdana" w:eastAsia="Calibri" w:hAnsi="Verdana" w:cs="Arial"/>
          <w:bCs/>
          <w:lang w:val="es-ES_tradnl" w:eastAsia="es-ES_tradnl"/>
        </w:rPr>
      </w:pPr>
      <w:r w:rsidRPr="00663F37">
        <w:rPr>
          <w:rFonts w:ascii="Verdana" w:eastAsia="Century Gothic" w:hAnsi="Verdana" w:cs="Century Gothic"/>
        </w:rPr>
        <w:t xml:space="preserve">De acuerdo con el contenido de su solicitud, esta Agencia resolverá los siguientes problemas jurídicos: </w:t>
      </w:r>
      <w:r w:rsidRPr="00663F37">
        <w:rPr>
          <w:rFonts w:ascii="Verdana" w:eastAsia="Calibri" w:hAnsi="Verdana" w:cs="Arial"/>
          <w:bCs/>
          <w:lang w:val="es-ES_tradnl" w:eastAsia="es-ES_tradnl"/>
        </w:rPr>
        <w:t xml:space="preserve">i) ¿Las entidades exceptuadas del Estatuto General de Contratación de la Administración Pública – en adelante EGCAP – están obligadas a aplicar los Documentos Tipo expedidos por la Agencia Nacional de Contratación Pública – Colombia Compra Eficiente en sus Procesos de Contratación?; ii) ¿Cuál es el alcance del artículo 56 de la Ley 2195 de 2022 en relación con la aplicación de los Documentos Tipo expedidos por la Agencia Nacional de Contratación </w:t>
      </w:r>
      <w:r w:rsidRPr="00663F37">
        <w:rPr>
          <w:rFonts w:ascii="Verdana" w:eastAsia="Calibri" w:hAnsi="Verdana" w:cs="Arial"/>
          <w:bCs/>
          <w:lang w:val="es-ES_tradnl" w:eastAsia="es-ES_tradnl"/>
        </w:rPr>
        <w:lastRenderedPageBreak/>
        <w:t>Pública – Colombia Compra Eficiente? y; iii) ¿Cuál es el alcance del término “giro ordinario” contenido en el artículo 56 de la Ley 2195 de 2022?.</w:t>
      </w:r>
      <w:r w:rsidRPr="00F95ECD">
        <w:rPr>
          <w:rFonts w:ascii="Verdana" w:eastAsia="Calibri" w:hAnsi="Verdana" w:cs="Arial"/>
          <w:bCs/>
          <w:lang w:val="es-ES_tradnl" w:eastAsia="es-ES_tradnl"/>
        </w:rPr>
        <w:t xml:space="preserve"> </w:t>
      </w:r>
    </w:p>
    <w:p w14:paraId="0818A8A2" w14:textId="77777777" w:rsidR="00655054" w:rsidRPr="00F95ECD" w:rsidRDefault="00655054" w:rsidP="00655054">
      <w:pPr>
        <w:spacing w:after="0" w:line="276" w:lineRule="auto"/>
        <w:jc w:val="both"/>
        <w:rPr>
          <w:rFonts w:ascii="Verdana" w:eastAsia="Calibri" w:hAnsi="Verdana" w:cs="Arial"/>
          <w:color w:val="7030A0"/>
          <w:lang w:val="es-ES"/>
        </w:rPr>
      </w:pPr>
    </w:p>
    <w:p w14:paraId="3509F6DD" w14:textId="77777777" w:rsidR="00655054" w:rsidRPr="00F95ECD" w:rsidRDefault="00655054" w:rsidP="00655054">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95ECD">
        <w:rPr>
          <w:rFonts w:ascii="Verdana" w:eastAsia="Century Gothic" w:hAnsi="Verdana" w:cs="Century Gothic"/>
          <w:b/>
          <w:bCs/>
        </w:rPr>
        <w:t>Respuesta:</w:t>
      </w:r>
    </w:p>
    <w:p w14:paraId="5A5055F9" w14:textId="77777777" w:rsidR="00655054" w:rsidRPr="00F95ECD" w:rsidRDefault="00655054" w:rsidP="00655054">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55054" w:rsidRPr="00F95ECD" w14:paraId="5BFC287F" w14:textId="77777777" w:rsidTr="008D5BE3">
        <w:tc>
          <w:tcPr>
            <w:tcW w:w="8828" w:type="dxa"/>
            <w:shd w:val="clear" w:color="auto" w:fill="auto"/>
          </w:tcPr>
          <w:p w14:paraId="56FF1B8E" w14:textId="77777777" w:rsidR="00655054" w:rsidRPr="00F95ECD" w:rsidRDefault="00655054" w:rsidP="00655054">
            <w:pPr>
              <w:pStyle w:val="Prrafodelista"/>
              <w:numPr>
                <w:ilvl w:val="0"/>
                <w:numId w:val="3"/>
              </w:numPr>
              <w:spacing w:line="276" w:lineRule="auto"/>
              <w:jc w:val="both"/>
              <w:rPr>
                <w:rFonts w:ascii="Verdana" w:hAnsi="Verdana" w:cs="Arial"/>
              </w:rPr>
            </w:pPr>
            <w:r w:rsidRPr="00F95ECD">
              <w:rPr>
                <w:rFonts w:ascii="Verdana" w:eastAsia="Calibri" w:hAnsi="Verdana" w:cs="Arial"/>
                <w:lang w:val="es-ES_tradnl" w:eastAsia="es-ES"/>
              </w:rPr>
              <w:t xml:space="preserve">En principio, de acuerdo con el artículo 1° de la Ley 2022 de 2020, que modificó el contenido del parágrafo 7 del artículo 2 de la Ley 1150 de 2007, que había sido adicionado por la Ley 1882 de 2018, </w:t>
            </w:r>
            <w:r w:rsidRPr="00F95ECD">
              <w:rPr>
                <w:rFonts w:ascii="Verdana" w:eastAsia="Calibri" w:hAnsi="Verdana" w:cs="Arial"/>
                <w:bdr w:val="none" w:sz="0" w:space="0" w:color="auto" w:frame="1"/>
                <w:lang w:eastAsia="es-ES_tradnl"/>
              </w:rPr>
              <w:t xml:space="preserve">los Documentos Tipo son obligatorios para las Entidades Estatales regidas por el </w:t>
            </w:r>
            <w:r w:rsidRPr="00F95ECD">
              <w:rPr>
                <w:rFonts w:ascii="Verdana" w:eastAsia="Calibri" w:hAnsi="Verdana" w:cs="Arial"/>
                <w:bCs/>
                <w:lang w:val="es-ES_tradnl" w:eastAsia="es-ES_tradnl"/>
              </w:rPr>
              <w:t>EGCAP</w:t>
            </w:r>
            <w:r w:rsidRPr="00F95ECD">
              <w:rPr>
                <w:rFonts w:ascii="Verdana" w:eastAsia="Calibri" w:hAnsi="Verdana" w:cs="Arial"/>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F95ECD">
              <w:rPr>
                <w:rFonts w:ascii="Verdana" w:eastAsia="Calibri" w:hAnsi="Verdana" w:cs="Arial"/>
                <w:bCs/>
                <w:lang w:val="es-ES_tradnl" w:eastAsia="es-ES_tradnl"/>
              </w:rPr>
              <w:t xml:space="preserve">En ese sentido, el contenido normativo de la Ley 2022 de 2020, y en su momento también de la Ley 1882 de 2018, excluyen del ámbito de aplicación de los Documentos Tipo la contratación de Entidades Estatales de régimen exceptuado – como son las Empresas Sociales del Estado, a las cuales hace referencia en su consulta –, por lo general, sujetas al derecho privado. </w:t>
            </w:r>
          </w:p>
          <w:p w14:paraId="13D0F838" w14:textId="77777777" w:rsidR="00655054" w:rsidRPr="00F95ECD" w:rsidRDefault="00655054" w:rsidP="008D5BE3">
            <w:pPr>
              <w:pStyle w:val="Prrafodelista"/>
              <w:spacing w:line="276" w:lineRule="auto"/>
              <w:jc w:val="both"/>
              <w:rPr>
                <w:rFonts w:ascii="Verdana" w:hAnsi="Verdana" w:cs="Arial"/>
              </w:rPr>
            </w:pPr>
          </w:p>
          <w:p w14:paraId="52CF49D2" w14:textId="77777777" w:rsidR="00655054" w:rsidRPr="00F95ECD" w:rsidRDefault="00655054" w:rsidP="00655054">
            <w:pPr>
              <w:pStyle w:val="Prrafodelista"/>
              <w:numPr>
                <w:ilvl w:val="0"/>
                <w:numId w:val="3"/>
              </w:numPr>
              <w:spacing w:line="276" w:lineRule="auto"/>
              <w:jc w:val="both"/>
              <w:rPr>
                <w:rFonts w:ascii="Verdana" w:hAnsi="Verdana" w:cs="Arial"/>
              </w:rPr>
            </w:pPr>
            <w:r w:rsidRPr="00F95ECD">
              <w:rPr>
                <w:rFonts w:ascii="Verdana" w:eastAsia="Calibri" w:hAnsi="Verdana" w:cs="Arial"/>
                <w:bCs/>
                <w:lang w:val="es-ES_tradnl" w:eastAsia="es-ES_tradnl"/>
              </w:rPr>
              <w:t xml:space="preserve">El primer y principal mandato del artículo 56 de la Ley 2195 de 2022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754FD015" w14:textId="77777777" w:rsidR="00655054" w:rsidRPr="00F95ECD" w:rsidRDefault="00655054" w:rsidP="008D5BE3">
            <w:pPr>
              <w:pStyle w:val="Prrafodelista"/>
              <w:rPr>
                <w:rFonts w:ascii="Verdana" w:eastAsia="Calibri" w:hAnsi="Verdana" w:cs="Arial"/>
                <w:lang w:val="es-ES_tradnl" w:eastAsia="es-ES_tradnl"/>
              </w:rPr>
            </w:pPr>
          </w:p>
          <w:p w14:paraId="11EEAAD2" w14:textId="77777777" w:rsidR="00655054" w:rsidRPr="00F95ECD" w:rsidRDefault="00655054" w:rsidP="008D5BE3">
            <w:pPr>
              <w:pStyle w:val="Prrafodelista"/>
              <w:spacing w:line="276" w:lineRule="auto"/>
              <w:jc w:val="both"/>
              <w:rPr>
                <w:rFonts w:ascii="Verdana" w:eastAsia="Calibri" w:hAnsi="Verdana" w:cs="Arial"/>
                <w:lang w:val="es-ES_tradnl" w:eastAsia="es-ES_tradnl"/>
              </w:rPr>
            </w:pPr>
            <w:r w:rsidRPr="00F95ECD">
              <w:rPr>
                <w:rFonts w:ascii="Verdana" w:eastAsia="Calibri" w:hAnsi="Verdana" w:cs="Arial"/>
                <w:lang w:val="es-ES_tradnl" w:eastAsia="es-ES_tradnl"/>
              </w:rPr>
              <w:t xml:space="preserve">De acuerdo con lo anterior, el artículo ibidem,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w:t>
            </w:r>
          </w:p>
          <w:p w14:paraId="0C1BF111" w14:textId="77777777" w:rsidR="00655054" w:rsidRPr="00F95ECD" w:rsidRDefault="00655054" w:rsidP="008D5BE3">
            <w:pPr>
              <w:pStyle w:val="Prrafodelista"/>
              <w:spacing w:line="276" w:lineRule="auto"/>
              <w:jc w:val="both"/>
              <w:rPr>
                <w:rFonts w:ascii="Verdana" w:eastAsia="Calibri" w:hAnsi="Verdana" w:cs="Arial"/>
                <w:lang w:val="es-ES_tradnl" w:eastAsia="es-ES_tradnl"/>
              </w:rPr>
            </w:pPr>
          </w:p>
          <w:p w14:paraId="26FBC430" w14:textId="77777777" w:rsidR="00655054" w:rsidRPr="00F95ECD" w:rsidRDefault="00655054" w:rsidP="008D5BE3">
            <w:pPr>
              <w:pStyle w:val="Prrafodelista"/>
              <w:spacing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lastRenderedPageBreak/>
              <w:t>Desde esta perspectiva, no pudiera</w:t>
            </w:r>
            <w:r w:rsidRPr="00F95ECD">
              <w:rPr>
                <w:rFonts w:ascii="Verdana" w:eastAsia="Calibri" w:hAnsi="Verdana"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de manera literal que la regla de aplicación obligatoria de los Documentos Tipo en los Procesos de Contratación adelantados por las Entidades Estatales regidas por el EGCAP, es decir,</w:t>
            </w:r>
            <w:r w:rsidRPr="00F95ECD">
              <w:rPr>
                <w:rFonts w:ascii="Verdana" w:eastAsia="Calibri" w:hAnsi="Verdana" w:cs="Arial"/>
                <w:bCs/>
                <w:lang w:val="es-ES_tradnl" w:eastAsia="es-ES_tradnl"/>
              </w:rPr>
              <w:t xml:space="preserve"> </w:t>
            </w:r>
            <w:r w:rsidRPr="00F95ECD">
              <w:rPr>
                <w:rFonts w:ascii="Verdana" w:eastAsia="Calibri" w:hAnsi="Verdana" w:cs="Arial"/>
                <w:lang w:val="es-ES_tradnl" w:eastAsia="es-ES_tradnl"/>
              </w:rPr>
              <w:t xml:space="preserve">la obligatoriedad de utilizar Documentos Tipo </w:t>
            </w:r>
            <w:r w:rsidRPr="00F95ECD">
              <w:rPr>
                <w:rFonts w:ascii="Verdana" w:eastAsia="Calibri" w:hAnsi="Verdana" w:cs="Arial"/>
                <w:bCs/>
                <w:lang w:val="es-ES_tradnl" w:eastAsia="es-ES_tradnl"/>
              </w:rPr>
              <w:t xml:space="preserve">se extiende </w:t>
            </w:r>
            <w:r w:rsidRPr="00F95ECD">
              <w:rPr>
                <w:rFonts w:ascii="Verdana" w:eastAsia="Calibri" w:hAnsi="Verdana" w:cs="Arial"/>
                <w:lang w:val="es-ES_tradnl" w:eastAsia="es-ES_tradnl"/>
              </w:rPr>
              <w:t xml:space="preserve">en los convenios o contratos interadministrativos o de cualquier otra índole, </w:t>
            </w:r>
            <w:r w:rsidRPr="00F95ECD">
              <w:rPr>
                <w:rFonts w:ascii="Verdana" w:eastAsia="Calibri" w:hAnsi="Verdana" w:cs="Arial"/>
                <w:bCs/>
                <w:lang w:val="es-ES_tradnl" w:eastAsia="es-ES_tradnl"/>
              </w:rPr>
              <w:t xml:space="preserve">y </w:t>
            </w:r>
            <w:r w:rsidRPr="00F95ECD">
              <w:rPr>
                <w:rFonts w:ascii="Verdana" w:eastAsia="Calibri" w:hAnsi="Verdana" w:cs="Arial"/>
                <w:lang w:val="es-ES_tradnl" w:eastAsia="es-ES_tradnl"/>
              </w:rPr>
              <w:t>a las diferentes modalidades de selección de los Procesos de Contratación adelantados por entidades sometidas al EGCAP</w:t>
            </w:r>
            <w:r w:rsidRPr="00F95ECD">
              <w:rPr>
                <w:rFonts w:ascii="Verdana" w:eastAsia="Calibri" w:hAnsi="Verdana" w:cs="Arial"/>
                <w:bCs/>
                <w:lang w:val="es-ES_tradnl" w:eastAsia="es-ES_tradnl"/>
              </w:rPr>
              <w:t>.</w:t>
            </w:r>
          </w:p>
          <w:p w14:paraId="23A222F5" w14:textId="77777777" w:rsidR="00655054" w:rsidRPr="00F95ECD" w:rsidRDefault="00655054" w:rsidP="008D5BE3">
            <w:pPr>
              <w:pStyle w:val="Prrafodelista"/>
              <w:spacing w:line="276" w:lineRule="auto"/>
              <w:jc w:val="both"/>
              <w:rPr>
                <w:rFonts w:ascii="Verdana" w:eastAsia="Calibri" w:hAnsi="Verdana" w:cs="Arial"/>
                <w:bCs/>
                <w:lang w:val="es-ES_tradnl" w:eastAsia="es-ES_tradnl"/>
              </w:rPr>
            </w:pPr>
          </w:p>
          <w:p w14:paraId="1E23C95A" w14:textId="77777777" w:rsidR="00655054" w:rsidRPr="00F95ECD" w:rsidRDefault="00655054" w:rsidP="008D5BE3">
            <w:pPr>
              <w:pStyle w:val="Prrafodelista"/>
              <w:spacing w:line="276" w:lineRule="auto"/>
              <w:jc w:val="both"/>
              <w:rPr>
                <w:rFonts w:ascii="Verdana" w:hAnsi="Verdana" w:cs="Arial"/>
              </w:rPr>
            </w:pPr>
            <w:r>
              <w:rPr>
                <w:rFonts w:ascii="Verdana" w:eastAsia="Calibri" w:hAnsi="Verdana" w:cs="Arial"/>
                <w:lang w:val="es-ES_tradnl" w:eastAsia="es-ES_tradnl"/>
              </w:rPr>
              <w:t>Así las cosas</w:t>
            </w:r>
            <w:r w:rsidRPr="00F95ECD">
              <w:rPr>
                <w:rFonts w:ascii="Verdana" w:eastAsia="Calibri" w:hAnsi="Verdana" w:cs="Arial"/>
                <w:lang w:val="es-ES_tradnl" w:eastAsia="es-ES_tradnl"/>
              </w:rPr>
              <w:t>,</w:t>
            </w:r>
            <w:r w:rsidRPr="00F95ECD">
              <w:rPr>
                <w:rFonts w:ascii="Verdana" w:eastAsia="Calibri" w:hAnsi="Verdana" w:cs="Arial"/>
                <w:bCs/>
                <w:lang w:val="es-ES_tradnl" w:eastAsia="es-ES_tradnl"/>
              </w:rPr>
              <w:t xml:space="preserve"> con la entrada en vigencia del artículo 56 de la Ley 2195 de 2022, la aplicación de Documentos Pliego Tipo resulta obligatoria cuando la Entidad Estatal opta por celebrar convenios o contratos interadministrativos, o de cualquier otra índole, sin que por ello implique que las entidades de regímenes especiales de contratación, patrimonios autónomos o personas naturales o jurídicas de derecho privado se las haya habilitado legalmente para que apliquen Documentos Pliego Tipo en su contratación privada, por cuanto, la norma parte de la premisa fundamental de que la aplicación de estos solo es procedente para entidades cuyo régimen contractual corresponde al EGCAP. Esto en la medida en que, el parágrafo 7 del artículo 2 de la Ley 1150 de 2007, modificado por la Ley 2022 de 2020, solo se refiere a la obligación de aplicar los Documentos Tipo en los Procesos de Contratación que adelanten las entidades sometidas al EGCAP.</w:t>
            </w:r>
            <w:r w:rsidRPr="00F95ECD">
              <w:rPr>
                <w:rFonts w:ascii="Verdana" w:eastAsia="Calibri" w:hAnsi="Verdana" w:cs="Arial"/>
                <w:bCs/>
                <w:strike/>
                <w:lang w:val="es-ES_tradnl" w:eastAsia="es-ES_tradnl"/>
              </w:rPr>
              <w:t xml:space="preserve"> </w:t>
            </w:r>
          </w:p>
          <w:p w14:paraId="5DF04BF3" w14:textId="77777777" w:rsidR="00655054" w:rsidRPr="00F95ECD" w:rsidRDefault="00655054" w:rsidP="008D5BE3">
            <w:pPr>
              <w:spacing w:line="276" w:lineRule="auto"/>
              <w:jc w:val="both"/>
              <w:rPr>
                <w:rFonts w:ascii="Verdana" w:eastAsia="Calibri" w:hAnsi="Verdana" w:cs="Arial"/>
                <w:bCs/>
                <w:lang w:val="es-ES_tradnl" w:eastAsia="es-ES_tradnl"/>
              </w:rPr>
            </w:pPr>
          </w:p>
          <w:p w14:paraId="669E8357" w14:textId="77777777" w:rsidR="00655054" w:rsidRPr="00F95ECD" w:rsidRDefault="00655054" w:rsidP="00655054">
            <w:pPr>
              <w:pStyle w:val="Prrafodelista"/>
              <w:numPr>
                <w:ilvl w:val="0"/>
                <w:numId w:val="3"/>
              </w:numPr>
              <w:spacing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 xml:space="preserve">Conforme se desprende del parágrafo del artículo 56 de la Ley 2195 de 2022, se exceptúa de lo señalado en los dos primeros incisos a: i) las instituciones de educación superior públicas, ii) las empresas sociales del Estado – a la cuales se refiere en u consulta –, iii) las sociedades de economía mixta y iv) las empresas industriales y comerciales del Estado, únicamente, en la contratación relacionada con el </w:t>
            </w:r>
            <w:r w:rsidRPr="00282DFC">
              <w:rPr>
                <w:rFonts w:ascii="Verdana" w:eastAsia="Calibri" w:hAnsi="Verdana" w:cs="Arial"/>
                <w:bCs/>
                <w:i/>
                <w:iCs/>
                <w:lang w:val="es-ES_tradnl" w:eastAsia="es-ES_tradnl"/>
              </w:rPr>
              <w:t>giro ordinario</w:t>
            </w:r>
            <w:r w:rsidRPr="00F95ECD">
              <w:rPr>
                <w:rFonts w:ascii="Verdana" w:eastAsia="Calibri" w:hAnsi="Verdana" w:cs="Arial"/>
                <w:bCs/>
                <w:lang w:val="es-ES_tradnl" w:eastAsia="es-ES_tradnl"/>
              </w:rPr>
              <w:t xml:space="preserve">. Esto significa que, en la contratación asociada a su giro ordinario, estos tipos de entidades no tendrían que aplicar, de manera obligatoria, los Documentos Tipo, ni tampoco el EGCAP. Es decir, si Entidades Estatales exceptuadas pretenden ser adjudicatarias de estos contratos, no deben someterse a un proceso de selección en el que se apliquen Documentos </w:t>
            </w:r>
            <w:r w:rsidRPr="00F95ECD">
              <w:rPr>
                <w:rFonts w:ascii="Verdana" w:eastAsia="Calibri" w:hAnsi="Verdana" w:cs="Arial"/>
                <w:bCs/>
                <w:lang w:val="es-ES_tradnl" w:eastAsia="es-ES_tradnl"/>
              </w:rPr>
              <w:lastRenderedPageBreak/>
              <w:t>Tipo expedidos por esta Agencia. En atención a una de sus consultas, debe decirse que, en este caso, la norma se limita a fomentar la implementación de Documentos Tipo a modo de buena práctica contractual, en los casos en los que se estime conveniente.</w:t>
            </w:r>
          </w:p>
          <w:p w14:paraId="6A21872E" w14:textId="77777777" w:rsidR="00655054" w:rsidRPr="00F95ECD" w:rsidRDefault="00655054" w:rsidP="008D5BE3">
            <w:pPr>
              <w:pStyle w:val="Prrafodelista"/>
              <w:spacing w:line="276" w:lineRule="auto"/>
              <w:jc w:val="both"/>
              <w:rPr>
                <w:rFonts w:ascii="Verdana" w:eastAsia="Calibri" w:hAnsi="Verdana" w:cs="Arial"/>
                <w:bCs/>
                <w:lang w:val="es-ES_tradnl" w:eastAsia="es-ES_tradnl"/>
              </w:rPr>
            </w:pPr>
          </w:p>
          <w:p w14:paraId="234BE31A" w14:textId="77777777" w:rsidR="00655054" w:rsidRPr="00F95ECD" w:rsidRDefault="00655054" w:rsidP="008D5BE3">
            <w:pPr>
              <w:pStyle w:val="Prrafodelista"/>
              <w:spacing w:line="276" w:lineRule="auto"/>
              <w:jc w:val="both"/>
              <w:rPr>
                <w:rFonts w:ascii="Verdana" w:hAnsi="Verdana"/>
                <w:vertAlign w:val="superscript"/>
                <w:lang w:eastAsia="es-ES"/>
              </w:rPr>
            </w:pPr>
            <w:r w:rsidRPr="00F95ECD">
              <w:rPr>
                <w:rFonts w:ascii="Verdana" w:eastAsia="Calibri" w:hAnsi="Verdana" w:cs="Arial"/>
                <w:bCs/>
                <w:lang w:val="es-ES_tradnl" w:eastAsia="es-ES_tradnl"/>
              </w:rPr>
              <w:t>E</w:t>
            </w:r>
            <w:r w:rsidRPr="00F95ECD">
              <w:rPr>
                <w:rFonts w:ascii="Verdana" w:eastAsia="Calibri" w:hAnsi="Verdana" w:cs="Arial"/>
                <w:lang w:eastAsia="es-ES"/>
              </w:rPr>
              <w:t xml:space="preserve">l </w:t>
            </w:r>
            <w:r w:rsidRPr="00F95ECD">
              <w:rPr>
                <w:rFonts w:ascii="Verdana" w:eastAsia="Calibri" w:hAnsi="Verdana" w:cs="Arial"/>
                <w:i/>
                <w:lang w:eastAsia="es-ES"/>
              </w:rPr>
              <w:t xml:space="preserve">giro ordinario </w:t>
            </w:r>
            <w:r w:rsidRPr="00F95ECD">
              <w:rPr>
                <w:rFonts w:ascii="Verdana" w:eastAsia="Calibri" w:hAnsi="Verdana" w:cs="Arial"/>
                <w:lang w:eastAsia="es-ES"/>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F95ECD">
              <w:rPr>
                <w:rFonts w:ascii="Verdana" w:eastAsia="Times New Roman" w:hAnsi="Verdana" w:cs="Arial"/>
                <w:lang w:eastAsia="es-ES"/>
              </w:rPr>
              <w:t>S]e</w:t>
            </w:r>
            <w:r w:rsidRPr="00F95ECD">
              <w:rPr>
                <w:rFonts w:ascii="Verdana" w:eastAsia="Calibri" w:hAnsi="Verdana" w:cs="Arial"/>
                <w:lang w:eastAsia="es-ES"/>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Pr>
                <w:rFonts w:ascii="Verdana" w:eastAsia="Calibri" w:hAnsi="Verdana" w:cs="Arial"/>
                <w:lang w:eastAsia="es-ES"/>
              </w:rPr>
              <w:t>.</w:t>
            </w:r>
          </w:p>
          <w:p w14:paraId="31542BCC" w14:textId="77777777" w:rsidR="00655054" w:rsidRPr="00F95ECD" w:rsidRDefault="00655054" w:rsidP="008D5BE3">
            <w:pPr>
              <w:pStyle w:val="Prrafodelista"/>
              <w:spacing w:line="276" w:lineRule="auto"/>
              <w:jc w:val="both"/>
              <w:rPr>
                <w:rFonts w:ascii="Verdana" w:hAnsi="Verdana"/>
                <w:vertAlign w:val="superscript"/>
                <w:lang w:eastAsia="es-ES"/>
              </w:rPr>
            </w:pPr>
          </w:p>
          <w:p w14:paraId="0520F24D" w14:textId="77777777" w:rsidR="00655054" w:rsidRPr="00F95ECD" w:rsidRDefault="00655054" w:rsidP="008D5BE3">
            <w:pPr>
              <w:pStyle w:val="Prrafodelista"/>
              <w:spacing w:line="276" w:lineRule="auto"/>
              <w:jc w:val="both"/>
              <w:rPr>
                <w:rFonts w:ascii="Verdana" w:eastAsia="Calibri" w:hAnsi="Verdana" w:cs="Arial"/>
                <w:bCs/>
                <w:lang w:val="es-ES_tradnl" w:eastAsia="es-ES_tradnl"/>
              </w:rPr>
            </w:pPr>
            <w:r w:rsidRPr="00F95ECD">
              <w:rPr>
                <w:rFonts w:ascii="Verdana" w:eastAsia="Calibri" w:hAnsi="Verdana" w:cs="Arial"/>
                <w:lang w:eastAsia="es-ES"/>
              </w:rPr>
              <w:t xml:space="preserve">En relación con la aplicación de lo dispuesto en el parágrafo del artículo 56 de la Ley 2195 de 2022, conviene aclarar que, a juicio de esta Agencia, la expresión </w:t>
            </w:r>
            <w:r w:rsidRPr="00F95ECD">
              <w:rPr>
                <w:rFonts w:ascii="Verdana" w:eastAsia="Calibri" w:hAnsi="Verdana" w:cs="Arial"/>
                <w:i/>
                <w:lang w:eastAsia="es-ES"/>
              </w:rPr>
              <w:t xml:space="preserve">giro ordinario </w:t>
            </w:r>
            <w:r w:rsidRPr="00F95ECD">
              <w:rPr>
                <w:rFonts w:ascii="Verdana" w:eastAsia="Calibri" w:hAnsi="Verdana" w:cs="Arial"/>
                <w:lang w:eastAsia="es-ES"/>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00F95ECD">
              <w:rPr>
                <w:rFonts w:ascii="Verdana" w:eastAsia="Calibri" w:hAnsi="Verdana" w:cs="Arial"/>
                <w:i/>
                <w:lang w:eastAsia="es-ES"/>
              </w:rPr>
              <w:t>giro ordinario</w:t>
            </w:r>
            <w:r w:rsidRPr="00F95ECD">
              <w:rPr>
                <w:rFonts w:ascii="Verdana" w:eastAsia="Calibri" w:hAnsi="Verdana" w:cs="Arial"/>
                <w:lang w:eastAsia="es-ES"/>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F95ECD">
              <w:rPr>
                <w:rFonts w:ascii="Verdana" w:eastAsia="Calibri" w:hAnsi="Verdana" w:cs="Arial"/>
                <w:i/>
                <w:lang w:eastAsia="es-ES"/>
              </w:rPr>
              <w:t>ejusdem</w:t>
            </w:r>
            <w:r w:rsidRPr="00F95ECD">
              <w:rPr>
                <w:rFonts w:ascii="Verdana" w:eastAsia="Calibri" w:hAnsi="Verdana" w:cs="Arial"/>
                <w:lang w:eastAsia="es-ES"/>
              </w:rPr>
              <w:t xml:space="preserve"> se limita a enunciar algunos tipos de Entidades Estatales, las cuales no solo difieren en su naturaleza jurídica, sino también en las actividades que realizan. </w:t>
            </w:r>
          </w:p>
        </w:tc>
      </w:tr>
    </w:tbl>
    <w:p w14:paraId="73AA76A3" w14:textId="77777777" w:rsidR="00655054" w:rsidRPr="00F95ECD" w:rsidRDefault="00655054" w:rsidP="00655054">
      <w:pPr>
        <w:tabs>
          <w:tab w:val="left" w:pos="142"/>
          <w:tab w:val="left" w:pos="284"/>
        </w:tabs>
        <w:spacing w:after="0" w:line="276" w:lineRule="auto"/>
        <w:jc w:val="both"/>
        <w:rPr>
          <w:rFonts w:ascii="Verdana" w:eastAsia="Century Gothic" w:hAnsi="Verdana" w:cs="Century Gothic"/>
          <w:b/>
          <w:bCs/>
          <w:lang w:val="es-ES"/>
        </w:rPr>
      </w:pPr>
    </w:p>
    <w:p w14:paraId="6D9637A2" w14:textId="77777777" w:rsidR="00655054" w:rsidRPr="00F95ECD" w:rsidRDefault="00655054" w:rsidP="00655054">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95ECD">
        <w:rPr>
          <w:rFonts w:ascii="Verdana" w:eastAsia="Century Gothic" w:hAnsi="Verdana" w:cs="Century Gothic"/>
          <w:b/>
          <w:bCs/>
        </w:rPr>
        <w:t>Razones de la respuesta:</w:t>
      </w:r>
    </w:p>
    <w:p w14:paraId="36E13BC3" w14:textId="77777777" w:rsidR="00655054" w:rsidRPr="00F95ECD" w:rsidRDefault="00655054" w:rsidP="00655054">
      <w:pPr>
        <w:spacing w:after="0" w:line="276" w:lineRule="auto"/>
        <w:jc w:val="both"/>
        <w:rPr>
          <w:rFonts w:ascii="Verdana" w:eastAsia="Calibri" w:hAnsi="Verdana" w:cs="Arial"/>
          <w:color w:val="7030A0"/>
          <w:lang w:val="es-ES"/>
        </w:rPr>
      </w:pPr>
    </w:p>
    <w:p w14:paraId="79BE6FB1" w14:textId="77777777" w:rsidR="00655054" w:rsidRPr="00F95ECD" w:rsidRDefault="00655054" w:rsidP="00655054">
      <w:pPr>
        <w:spacing w:after="0" w:line="276" w:lineRule="auto"/>
        <w:jc w:val="both"/>
        <w:rPr>
          <w:rFonts w:ascii="Verdana" w:eastAsia="Calibri" w:hAnsi="Verdana" w:cs="Arial"/>
          <w:lang w:val="es-ES"/>
        </w:rPr>
      </w:pPr>
      <w:r w:rsidRPr="00F95ECD">
        <w:rPr>
          <w:rFonts w:ascii="Verdana" w:eastAsia="Calibri" w:hAnsi="Verdana" w:cs="Arial"/>
          <w:lang w:val="es-ES"/>
        </w:rPr>
        <w:t xml:space="preserve">Lo anterior se sustenta en las siguientes consideraciones: </w:t>
      </w:r>
    </w:p>
    <w:p w14:paraId="19CFE0EC" w14:textId="77777777" w:rsidR="00655054" w:rsidRPr="00F95ECD" w:rsidRDefault="00655054" w:rsidP="00655054">
      <w:pPr>
        <w:widowControl w:val="0"/>
        <w:autoSpaceDE w:val="0"/>
        <w:autoSpaceDN w:val="0"/>
        <w:spacing w:after="0" w:line="276" w:lineRule="auto"/>
        <w:jc w:val="both"/>
        <w:rPr>
          <w:rFonts w:ascii="Verdana" w:hAnsi="Verdana" w:cs="Arial"/>
          <w:lang w:val="es-ES"/>
        </w:rPr>
      </w:pPr>
    </w:p>
    <w:p w14:paraId="56F48EE1" w14:textId="77777777" w:rsidR="00655054" w:rsidRPr="00F95ECD" w:rsidRDefault="00655054" w:rsidP="00655054">
      <w:pPr>
        <w:spacing w:after="120" w:line="276" w:lineRule="auto"/>
        <w:jc w:val="both"/>
        <w:rPr>
          <w:rFonts w:ascii="Verdana" w:eastAsia="Calibri" w:hAnsi="Verdana" w:cs="Arial"/>
          <w:lang w:val="es-ES" w:eastAsia="es-ES"/>
        </w:rPr>
      </w:pPr>
      <w:r w:rsidRPr="00F95ECD">
        <w:rPr>
          <w:rFonts w:ascii="Verdana" w:eastAsia="Calibri" w:hAnsi="Verdana" w:cs="Arial"/>
          <w:lang w:val="es-ES" w:eastAsia="es-ES"/>
        </w:rPr>
        <w:t xml:space="preserve">La adopción de los Documentos Tipo obligatorios en el ordenamiento jurídico colombiano se incluyó por primera vez en el parágrafo 3 del artículo 2 de la Ley </w:t>
      </w:r>
      <w:r w:rsidRPr="00F95ECD">
        <w:rPr>
          <w:rFonts w:ascii="Verdana" w:eastAsia="Calibri" w:hAnsi="Verdana" w:cs="Arial"/>
          <w:lang w:val="es-ES" w:eastAsia="es-ES"/>
        </w:rPr>
        <w:lastRenderedPageBreak/>
        <w:t>1150 de 2007</w:t>
      </w:r>
      <w:r w:rsidRPr="00F95ECD">
        <w:rPr>
          <w:rFonts w:ascii="Verdana" w:eastAsia="Calibri" w:hAnsi="Verdana" w:cs="Arial"/>
          <w:vertAlign w:val="superscript"/>
          <w:lang w:val="es-ES" w:eastAsia="es-ES"/>
        </w:rPr>
        <w:footnoteReference w:id="1"/>
      </w:r>
      <w:r w:rsidRPr="00F95ECD">
        <w:rPr>
          <w:rFonts w:ascii="Verdana" w:eastAsia="Calibri" w:hAnsi="Verdana" w:cs="Arial"/>
          <w:lang w:val="es-ES" w:eastAsia="es-ES"/>
        </w:rPr>
        <w:t xml:space="preserve">. Esta disposición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7F1A4313" w14:textId="77777777" w:rsidR="00655054" w:rsidRPr="00F95ECD" w:rsidRDefault="00655054" w:rsidP="00655054">
      <w:pPr>
        <w:spacing w:after="120" w:line="276" w:lineRule="auto"/>
        <w:ind w:firstLine="709"/>
        <w:jc w:val="both"/>
        <w:rPr>
          <w:rFonts w:ascii="Verdana" w:eastAsia="Calibri" w:hAnsi="Verdana" w:cs="Arial"/>
          <w:lang w:val="es-ES_tradnl" w:eastAsia="es-ES_tradnl"/>
        </w:rPr>
      </w:pPr>
      <w:r w:rsidRPr="00F95ECD">
        <w:rPr>
          <w:rFonts w:ascii="Verdana" w:eastAsia="Calibri" w:hAnsi="Verdana" w:cs="Arial"/>
          <w:lang w:val="es-ES_tradnl" w:eastAsia="es-ES_tradnl"/>
        </w:rPr>
        <w:t xml:space="preserve">Debido a lo anterior, el artículo 4 de la Ley 1882 de 2018 se convierte en el antecedente más relevante respecto a los Documentos Tipo. A partir de esta norma, se definió un mandato de obligatoria observancia por parte de todas las entidades sometidas al </w:t>
      </w:r>
      <w:r w:rsidRPr="00F95ECD">
        <w:rPr>
          <w:rFonts w:ascii="Verdana" w:eastAsia="Calibri" w:hAnsi="Verdana" w:cs="Arial"/>
          <w:bCs/>
          <w:lang w:val="es-ES_tradnl" w:eastAsia="es-ES_tradnl"/>
        </w:rPr>
        <w:t xml:space="preserve">EGCAP en </w:t>
      </w:r>
      <w:r w:rsidRPr="00F95ECD">
        <w:rPr>
          <w:rFonts w:ascii="Verdana" w:eastAsia="Calibri" w:hAnsi="Verdana" w:cs="Arial"/>
          <w:lang w:val="es-ES_tradnl" w:eastAsia="es-ES_tradnl"/>
        </w:rPr>
        <w:t>la aplicación de los Documentos Tipo adoptados por el Gobierno Nacional para la contratación de obra pública y su respectiva interventoría, así como la interventoría para consultoría de estudios y diseños para obras públicas y consultoría en ingeniería para obras, los cuales debían ser utilizados en los procesos de selección que adelantaran</w:t>
      </w:r>
      <w:r w:rsidRPr="00F95ECD">
        <w:rPr>
          <w:rFonts w:ascii="Verdana" w:eastAsia="Calibri" w:hAnsi="Verdana" w:cs="Arial"/>
          <w:vertAlign w:val="superscript"/>
          <w:lang w:val="es-ES_tradnl" w:eastAsia="es-ES_tradnl"/>
        </w:rPr>
        <w:footnoteReference w:id="2"/>
      </w:r>
      <w:r w:rsidRPr="00F95ECD">
        <w:rPr>
          <w:rFonts w:ascii="Verdana" w:eastAsia="Calibri" w:hAnsi="Verdana" w:cs="Arial"/>
          <w:lang w:val="es-ES_tradnl" w:eastAsia="es-ES_tradnl"/>
        </w:rPr>
        <w:t>.</w:t>
      </w:r>
    </w:p>
    <w:p w14:paraId="2D8C1AFA" w14:textId="77777777" w:rsidR="00655054" w:rsidRPr="00F95ECD" w:rsidRDefault="00655054" w:rsidP="00655054">
      <w:pPr>
        <w:spacing w:after="120" w:line="276" w:lineRule="auto"/>
        <w:jc w:val="both"/>
        <w:rPr>
          <w:rFonts w:ascii="Verdana" w:eastAsia="Calibri" w:hAnsi="Verdana" w:cs="Arial"/>
          <w:lang w:val="es-ES" w:eastAsia="es-ES"/>
        </w:rPr>
      </w:pPr>
      <w:r w:rsidRPr="00F95ECD">
        <w:rPr>
          <w:rFonts w:ascii="Verdana" w:eastAsia="Calibri" w:hAnsi="Verdana" w:cs="Arial"/>
          <w:lang w:val="es-ES_tradnl" w:eastAsia="es-ES_tradnl"/>
        </w:rPr>
        <w:tab/>
      </w:r>
      <w:r w:rsidRPr="00F95ECD">
        <w:rPr>
          <w:rFonts w:ascii="Verdana" w:eastAsia="Calibri" w:hAnsi="Verdana" w:cs="Arial"/>
          <w:lang w:val="es-ES" w:eastAsia="es-ES"/>
        </w:rPr>
        <w:t>Así 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w:t>
      </w:r>
    </w:p>
    <w:p w14:paraId="72F3B206" w14:textId="77777777" w:rsidR="00655054" w:rsidRPr="00F95ECD" w:rsidRDefault="00655054" w:rsidP="00655054">
      <w:pPr>
        <w:spacing w:after="120" w:line="276" w:lineRule="auto"/>
        <w:jc w:val="both"/>
        <w:rPr>
          <w:rFonts w:ascii="Verdana" w:eastAsia="Calibri" w:hAnsi="Verdana" w:cs="Arial"/>
          <w:lang w:val="es-ES" w:eastAsia="es-ES"/>
        </w:rPr>
      </w:pPr>
      <w:r w:rsidRPr="00F95ECD">
        <w:rPr>
          <w:rFonts w:ascii="Verdana" w:eastAsia="Calibri" w:hAnsi="Verdana" w:cs="Arial"/>
          <w:lang w:val="es-ES_tradnl" w:eastAsia="es-ES_tradnl"/>
        </w:rPr>
        <w:tab/>
      </w:r>
      <w:bookmarkStart w:id="2" w:name="_Hlk113022874"/>
      <w:r w:rsidRPr="00F95ECD">
        <w:rPr>
          <w:rFonts w:ascii="Verdana" w:eastAsia="Calibri" w:hAnsi="Verdana" w:cs="Arial"/>
          <w:lang w:val="es-ES" w:eastAsia="es-ES"/>
        </w:rPr>
        <w:t xml:space="preserve">De la norma descrita se concluía lo siguiente: i) la adopción de los Documentos Tipo estaba en cabeza del Gobierno Nacional; ii) estos debían </w:t>
      </w:r>
      <w:r w:rsidRPr="00F95ECD">
        <w:rPr>
          <w:rFonts w:ascii="Verdana" w:eastAsia="Calibri" w:hAnsi="Verdana" w:cs="Arial"/>
          <w:lang w:val="es-ES" w:eastAsia="es-ES"/>
        </w:rPr>
        <w:lastRenderedPageBreak/>
        <w:t>relacionarse con procesos de obras públicas, interventoría para las obras públicas, interventoría para consultoría de estudios y diseños y, finalmente, consultoría en ingeniería para obras; iii) eran de obligatorio cumplimiento por parte de todas las entidades sometidas al EGCAP;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w:t>
      </w:r>
    </w:p>
    <w:bookmarkEnd w:id="2"/>
    <w:p w14:paraId="0A017BC8" w14:textId="77777777" w:rsidR="00655054" w:rsidRPr="00F95ECD" w:rsidRDefault="00655054" w:rsidP="00655054">
      <w:pPr>
        <w:spacing w:after="120" w:line="276" w:lineRule="auto"/>
        <w:jc w:val="both"/>
        <w:rPr>
          <w:rFonts w:ascii="Verdana" w:eastAsia="Calibri" w:hAnsi="Verdana" w:cs="Arial"/>
          <w:lang w:val="es-ES" w:eastAsia="es-ES"/>
        </w:rPr>
      </w:pPr>
      <w:r w:rsidRPr="2BE55130">
        <w:rPr>
          <w:rFonts w:ascii="Verdana" w:eastAsia="Calibri" w:hAnsi="Verdana" w:cs="Arial"/>
          <w:lang w:val="es-ES" w:eastAsia="es-ES"/>
        </w:rPr>
        <w:t xml:space="preserve">Esta norma fue estudiada por la Corte Constitucional en la sentencia C-119 de 2020. Al respecto, el Alto Tribunal indicó que la adopción de los Documentos Tipo no afectaba la autonomía de las entidades territoriales. Esto en cuanto que, la estandarización se predicaba únicamente de los requisitos habilitantes </w:t>
      </w:r>
      <w:bookmarkStart w:id="3" w:name="_Hlk48665985"/>
      <w:r w:rsidRPr="2BE55130">
        <w:rPr>
          <w:rFonts w:ascii="Verdana" w:eastAsia="Calibri" w:hAnsi="Verdana" w:cs="Arial"/>
          <w:lang w:val="es-ES" w:eastAsia="es-ES"/>
        </w:rPr>
        <w:t>y los criterios de escogencia, elementos propios del procedimiento de selección del contratista, materia en la que existe reserva de ley y que no se encuentra atribuida a la regulación de las entidades territoriales</w:t>
      </w:r>
      <w:bookmarkEnd w:id="3"/>
      <w:r w:rsidRPr="2BE55130">
        <w:rPr>
          <w:rFonts w:ascii="Verdana" w:eastAsia="Calibri" w:hAnsi="Verdana" w:cs="Arial"/>
          <w:lang w:val="es-ES" w:eastAsia="es-ES"/>
        </w:rPr>
        <w:t>. De igual manera, se establece que esta autonomía se garantiza con la identificación autónoma de sus necesidades y la configuración de los elementos del contrato</w:t>
      </w:r>
      <w:r w:rsidRPr="2BE55130">
        <w:rPr>
          <w:rFonts w:ascii="Verdana" w:eastAsia="Calibri" w:hAnsi="Verdana" w:cs="Arial"/>
          <w:vertAlign w:val="superscript"/>
          <w:lang w:val="es-ES" w:eastAsia="es-ES"/>
        </w:rPr>
        <w:footnoteReference w:id="3"/>
      </w:r>
      <w:r w:rsidRPr="2BE55130">
        <w:rPr>
          <w:rFonts w:ascii="Verdana" w:eastAsia="Calibri" w:hAnsi="Verdana" w:cs="Arial"/>
          <w:lang w:val="es-ES" w:eastAsia="es-ES"/>
        </w:rPr>
        <w:t>.</w:t>
      </w:r>
      <w:r w:rsidRPr="00F95ECD">
        <w:rPr>
          <w:rFonts w:ascii="Verdana" w:eastAsia="Calibri" w:hAnsi="Verdana" w:cs="Arial"/>
          <w:lang w:val="es-ES_tradnl" w:eastAsia="es-ES_tradnl"/>
        </w:rPr>
        <w:tab/>
      </w:r>
    </w:p>
    <w:p w14:paraId="75F654D6" w14:textId="77777777" w:rsidR="00655054" w:rsidRPr="00F95ECD" w:rsidRDefault="00655054" w:rsidP="00655054">
      <w:pPr>
        <w:spacing w:after="120" w:line="276" w:lineRule="auto"/>
        <w:jc w:val="both"/>
        <w:rPr>
          <w:rFonts w:ascii="Verdana" w:eastAsia="Calibri" w:hAnsi="Verdana" w:cs="Arial"/>
          <w:lang w:val="es-ES_tradnl" w:eastAsia="es-ES_tradnl"/>
        </w:rPr>
      </w:pPr>
      <w:r w:rsidRPr="00F95ECD">
        <w:rPr>
          <w:rFonts w:ascii="Verdana" w:eastAsia="Calibri" w:hAnsi="Verdana" w:cs="Arial"/>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cuestiones en los que el legislador tiene amplia libertad de configuración legislativa y, por tanto, puede atribuir dicha regulación al Gobierno Nacional. Ahora bien, la referida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62183E4" w14:textId="77777777" w:rsidR="00655054" w:rsidRPr="00F95ECD" w:rsidRDefault="00655054" w:rsidP="00655054">
      <w:pPr>
        <w:spacing w:after="120" w:line="276" w:lineRule="auto"/>
        <w:ind w:firstLine="709"/>
        <w:jc w:val="both"/>
        <w:rPr>
          <w:rFonts w:ascii="Verdana" w:eastAsia="Calibri" w:hAnsi="Verdana" w:cs="Arial"/>
          <w:lang w:val="es-ES_tradnl" w:eastAsia="es-ES"/>
        </w:rPr>
      </w:pPr>
      <w:bookmarkStart w:id="4" w:name="_Hlk113022941"/>
      <w:r w:rsidRPr="00F95ECD">
        <w:rPr>
          <w:rFonts w:ascii="Verdana" w:eastAsia="Calibri" w:hAnsi="Verdana" w:cs="Arial"/>
          <w:lang w:val="es-ES_tradnl" w:eastAsia="es-ES"/>
        </w:rPr>
        <w:lastRenderedPageBreak/>
        <w:t xml:space="preserve">Posteriormente, se expidió la </w:t>
      </w:r>
      <w:bookmarkStart w:id="5" w:name="_Hlk176876754"/>
      <w:r w:rsidRPr="00F95ECD">
        <w:rPr>
          <w:rFonts w:ascii="Verdana" w:eastAsia="Calibri" w:hAnsi="Verdana" w:cs="Arial"/>
          <w:lang w:val="es-ES_tradnl" w:eastAsia="es-ES"/>
        </w:rPr>
        <w:t>Ley 2022 de 2020, norma que modificó el contenido del parágrafo 7 del artículo 2 de la Ley 1150 de 2007, que había sido adicionado por la Ley 1882 de 2018</w:t>
      </w:r>
      <w:bookmarkEnd w:id="5"/>
      <w:r w:rsidRPr="00F95ECD">
        <w:rPr>
          <w:rFonts w:ascii="Verdana" w:eastAsia="Calibri" w:hAnsi="Verdana" w:cs="Arial"/>
          <w:vertAlign w:val="superscript"/>
          <w:lang w:val="es-ES_tradnl" w:eastAsia="es-ES"/>
        </w:rPr>
        <w:footnoteReference w:id="4"/>
      </w:r>
      <w:r w:rsidRPr="00F95ECD">
        <w:rPr>
          <w:rFonts w:ascii="Verdana" w:eastAsia="Calibri" w:hAnsi="Verdana" w:cs="Arial"/>
          <w:lang w:val="es-ES_tradnl" w:eastAsia="es-ES"/>
        </w:rPr>
        <w:t xml:space="preserve">. Con esta modificación, si bien se mantuvo el mandato de aplicación obligatoria de los Documentos Tipo por parte de las entidades sometidas al </w:t>
      </w:r>
      <w:r w:rsidRPr="00F95ECD">
        <w:rPr>
          <w:rFonts w:ascii="Verdana" w:eastAsia="Calibri" w:hAnsi="Verdana" w:cs="Arial"/>
          <w:bCs/>
          <w:lang w:val="es-ES_tradnl" w:eastAsia="es-ES_tradnl"/>
        </w:rPr>
        <w:t>EGCAP</w:t>
      </w:r>
      <w:r w:rsidRPr="00F95ECD">
        <w:rPr>
          <w:rFonts w:ascii="Verdana" w:eastAsia="Calibri" w:hAnsi="Verdana" w:cs="Arial"/>
          <w:lang w:val="es-ES_tradnl" w:eastAsia="es-ES"/>
        </w:rPr>
        <w:t xml:space="preserve">, se atribuyó a la </w:t>
      </w:r>
      <w:r w:rsidRPr="00F95ECD">
        <w:rPr>
          <w:rFonts w:ascii="Verdana" w:eastAsia="Calibri" w:hAnsi="Verdana" w:cs="Arial"/>
          <w:lang w:val="es-ES_tradnl" w:eastAsia="es-ES_tradnl"/>
        </w:rPr>
        <w:t xml:space="preserve">Agencia Nacional de Contratación Pública – Colombia Compra Eficiente la competencia para su expedición. </w:t>
      </w:r>
      <w:r w:rsidRPr="00F95ECD">
        <w:rPr>
          <w:rFonts w:ascii="Verdana" w:eastAsia="Calibri" w:hAnsi="Verdana" w:cs="Arial"/>
          <w:lang w:val="es-ES_tradnl" w:eastAsia="es-ES"/>
        </w:rPr>
        <w:t xml:space="preserve">En este marco, con la finalidad de realizar un desarrollo armónico y ajustado de la ley que le otorga la mencionada competencia, esta Agencia expidió la Resolución 160 del 15 de septiembre de 2020, </w:t>
      </w:r>
      <w:r w:rsidRPr="00F95ECD">
        <w:rPr>
          <w:rFonts w:ascii="Verdana" w:eastAsia="Calibri" w:hAnsi="Verdana" w:cs="Arial"/>
          <w:i/>
          <w:iCs/>
          <w:lang w:val="es-ES_tradnl" w:eastAsia="es-ES"/>
        </w:rPr>
        <w:t>“Por la cual se adopta el procedimiento para implementar los documentos tipo y se define el sistema para su revisión”.</w:t>
      </w:r>
      <w:r w:rsidRPr="00F95ECD">
        <w:rPr>
          <w:rFonts w:ascii="Verdana" w:eastAsia="Calibri" w:hAnsi="Verdana" w:cs="Arial"/>
          <w:lang w:val="es-ES_tradnl" w:eastAsia="es-ES"/>
        </w:rPr>
        <w:t xml:space="preserve"> </w:t>
      </w:r>
    </w:p>
    <w:p w14:paraId="4ECD75E7" w14:textId="77777777" w:rsidR="00655054" w:rsidRPr="00F95ECD" w:rsidRDefault="00655054" w:rsidP="00655054">
      <w:pPr>
        <w:spacing w:after="120" w:line="276" w:lineRule="auto"/>
        <w:ind w:firstLine="709"/>
        <w:jc w:val="both"/>
        <w:rPr>
          <w:rFonts w:ascii="Verdana" w:hAnsi="Verdana" w:cs="Arial"/>
          <w:lang w:val="es-ES"/>
        </w:rPr>
      </w:pPr>
      <w:r w:rsidRPr="00F95ECD">
        <w:rPr>
          <w:rFonts w:ascii="Verdana" w:hAnsi="Verdana" w:cs="Arial"/>
          <w:lang w:val="es-ES"/>
        </w:rPr>
        <w:t xml:space="preserve">Con sustento en esta competencia, esta Agencia ha expedido diversos grupos de Documentos Tipo aplicables principalmente a la contratación de obras públicas de infraestructura de transporte, agua potable, saneamiento básico y social, pero también para interventoría y consultoría de estudios de ingeniería y para la celebración de convenios solidarios con Juntas de Acción Comunal. De conformidad con las modalidades de selección establecidas en el artículo 2 de la Ley 1150 de 2007, estos Documentos Tipo se han expedido para las modalidades de selección de licitación pública, selección abreviada de menor cuantía, mínima cuantía y concurso de méritos. </w:t>
      </w:r>
    </w:p>
    <w:p w14:paraId="3B3101F9" w14:textId="77777777" w:rsidR="00655054" w:rsidRPr="00F95ECD" w:rsidRDefault="00655054" w:rsidP="00655054">
      <w:pPr>
        <w:spacing w:after="120" w:line="276" w:lineRule="auto"/>
        <w:ind w:firstLine="709"/>
        <w:jc w:val="both"/>
        <w:rPr>
          <w:rFonts w:ascii="Verdana" w:hAnsi="Verdana" w:cs="Arial"/>
          <w:lang w:val="es-ES"/>
        </w:rPr>
      </w:pPr>
      <w:r w:rsidRPr="00F95ECD">
        <w:rPr>
          <w:rFonts w:ascii="Verdana" w:hAnsi="Verdana" w:cs="Arial"/>
          <w:lang w:val="es-ES"/>
        </w:rPr>
        <w:t xml:space="preserve">Así mismo, la Agencia también ha expedido Documentos Tipo para la modalidad de selección de contratación directa, reglamentada en la Subsección </w:t>
      </w:r>
      <w:r w:rsidRPr="00F95ECD">
        <w:rPr>
          <w:rFonts w:ascii="Verdana" w:hAnsi="Verdana" w:cs="Arial"/>
          <w:lang w:val="es-ES"/>
        </w:rPr>
        <w:lastRenderedPageBreak/>
        <w:t xml:space="preserve">4 de la Sección 1 del Capítulo 2 del Decreto 1082 de 2015, concretamente, los expedidos mediante la Resolución 269 de 2020, “Por la cual se adopta el documento tipo para los procesos de gestión catastral con enfoque multipropósito que se celebren a través de contratos interadministrativos” y la </w:t>
      </w:r>
      <w:r w:rsidRPr="00F95ECD">
        <w:rPr>
          <w:rFonts w:ascii="Verdana" w:hAnsi="Verdana" w:cs="Arial"/>
          <w:shd w:val="clear" w:color="auto" w:fill="FFFFFF"/>
        </w:rPr>
        <w:t>Resolución 358 del 30 de junio de 2023 “Por la cual se adopta el documento tipo para la contratación directa de convenios solidarios para la ejecución de obras hasta la menor cuantía con organismos de acción comunal”.</w:t>
      </w:r>
    </w:p>
    <w:p w14:paraId="62258C3D" w14:textId="77777777" w:rsidR="00655054" w:rsidRPr="00F95ECD" w:rsidRDefault="00655054" w:rsidP="00655054">
      <w:pPr>
        <w:spacing w:after="120" w:line="276" w:lineRule="auto"/>
        <w:ind w:firstLine="708"/>
        <w:jc w:val="both"/>
        <w:rPr>
          <w:rFonts w:ascii="Verdana" w:eastAsia="Calibri" w:hAnsi="Verdana" w:cs="Arial"/>
        </w:rPr>
      </w:pPr>
      <w:r w:rsidRPr="00F95ECD">
        <w:rPr>
          <w:rFonts w:ascii="Verdana" w:eastAsia="Calibri" w:hAnsi="Verdana" w:cs="Arial"/>
          <w:lang w:eastAsia="es-ES_tradnl"/>
        </w:rPr>
        <w:t xml:space="preserve">De acuerdo con lo expuesto, </w:t>
      </w:r>
      <w:bookmarkStart w:id="6" w:name="_Hlk176876717"/>
      <w:bookmarkStart w:id="7" w:name="_Hlk144073402"/>
      <w:r w:rsidRPr="00F95ECD">
        <w:rPr>
          <w:rFonts w:ascii="Verdana" w:eastAsia="Calibri" w:hAnsi="Verdana" w:cs="Arial"/>
          <w:bdr w:val="none" w:sz="0" w:space="0" w:color="auto" w:frame="1"/>
          <w:lang w:eastAsia="es-ES_tradnl"/>
        </w:rPr>
        <w:t xml:space="preserve">los Documentos Tipo adoptados son obligatorios para las Entidades Estatales regidas por el </w:t>
      </w:r>
      <w:r w:rsidRPr="00F95ECD">
        <w:rPr>
          <w:rFonts w:ascii="Verdana" w:eastAsia="Calibri" w:hAnsi="Verdana" w:cs="Arial"/>
          <w:bCs/>
          <w:lang w:val="es-ES_tradnl" w:eastAsia="es-ES_tradnl"/>
        </w:rPr>
        <w:t>EGCAP</w:t>
      </w:r>
      <w:r w:rsidRPr="00F95ECD">
        <w:rPr>
          <w:rFonts w:ascii="Verdana" w:eastAsia="Calibri" w:hAnsi="Verdana" w:cs="Arial"/>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w:t>
      </w:r>
      <w:bookmarkEnd w:id="6"/>
      <w:r w:rsidRPr="00F95ECD">
        <w:rPr>
          <w:rFonts w:ascii="Verdana" w:eastAsia="Calibri" w:hAnsi="Verdana" w:cs="Arial"/>
          <w:bdr w:val="none" w:sz="0" w:space="0" w:color="auto" w:frame="1"/>
          <w:vertAlign w:val="superscript"/>
          <w:lang w:eastAsia="es-ES_tradnl"/>
        </w:rPr>
        <w:footnoteReference w:id="5"/>
      </w:r>
      <w:r w:rsidRPr="00F95ECD">
        <w:rPr>
          <w:rFonts w:ascii="Verdana" w:eastAsia="Calibri" w:hAnsi="Verdana" w:cs="Arial"/>
          <w:bdr w:val="none" w:sz="0" w:space="0" w:color="auto" w:frame="1"/>
          <w:lang w:eastAsia="es-ES_tradnl"/>
        </w:rPr>
        <w:t xml:space="preserve">. </w:t>
      </w:r>
      <w:bookmarkStart w:id="8" w:name="_Hlk104104496"/>
      <w:bookmarkEnd w:id="4"/>
      <w:bookmarkEnd w:id="7"/>
      <w:r w:rsidRPr="00F95ECD">
        <w:rPr>
          <w:rFonts w:ascii="Verdana" w:eastAsia="Calibri" w:hAnsi="Verdana" w:cs="Arial"/>
        </w:rPr>
        <w:t xml:space="preserve">Esta obligatoriedad implica, a su vez, que las Entidades Estatales tengan que adelantar los Procesos de Contratación bajo las condiciones establecidas en los Documentos Tipo que rijan para el objeto a contratar y el procedimiento de selección aplicables, sin que puedan variarse los requisitos fijados en ellos. Lo anterior, por cuanto los Documentos Tipo se caracterizan por ser inalterables, es decir, que las Entidades Públicas carecen de la facultad de modificarlos, con excepción de aquellos aspectos que pueden diligenciar, que son las descripciones que están incluidas entre corchetes y resaltadas en gris en cada uno de los Documentos Tipo. </w:t>
      </w:r>
    </w:p>
    <w:bookmarkEnd w:id="8"/>
    <w:p w14:paraId="5581F7BF" w14:textId="77777777" w:rsidR="00655054" w:rsidRPr="00F95ECD" w:rsidRDefault="00655054" w:rsidP="00655054">
      <w:pPr>
        <w:spacing w:after="120" w:line="276" w:lineRule="auto"/>
        <w:ind w:firstLine="709"/>
        <w:jc w:val="both"/>
        <w:rPr>
          <w:rFonts w:ascii="Verdana" w:eastAsia="Calibri" w:hAnsi="Verdana" w:cs="Arial"/>
          <w:lang w:val="es-ES"/>
        </w:rPr>
      </w:pPr>
      <w:r w:rsidRPr="00F95ECD">
        <w:rPr>
          <w:rFonts w:ascii="Verdana" w:eastAsia="Calibri" w:hAnsi="Verdana" w:cs="Arial"/>
          <w:shd w:val="clear" w:color="auto" w:fill="FFFFFF"/>
          <w:lang w:val="es-ES"/>
        </w:rPr>
        <w:t xml:space="preserve">En ese orden, </w:t>
      </w:r>
      <w:r w:rsidRPr="00F95ECD">
        <w:rPr>
          <w:rFonts w:ascii="Verdana" w:eastAsia="Calibri" w:hAnsi="Verdana" w:cs="Arial"/>
          <w:lang w:val="es-ES"/>
        </w:rPr>
        <w:t xml:space="preserve">las Entidades Estatales regidas por el EGCAP, de conformidad con el parágrafo 7 del artículo 2 de la Ley 1150 de 2007, adicionado por la Ley 1882 de 2018 y modificado por la Ley 2022 de 2020, se encuentran obligadas a aplicar los Documentos Tipo implementados por esta Agencia para adelantar los Procesos de Contratación que se encuentren cobijados por los Documentos Tipo expedidos. Sin embargo, si el objeto contractual no se relaciona con actividades u objetos contractuales descritos en los Documentos Tipo que han sido expedidos por Colombia Compra Eficiente, o estos no aplican a la modalidad de escogencia aplicable, no será obligatorio aplicar los Pliegos Tipo. </w:t>
      </w:r>
    </w:p>
    <w:p w14:paraId="760A3054" w14:textId="77777777" w:rsidR="00655054" w:rsidRPr="00F95ECD" w:rsidRDefault="00655054" w:rsidP="00655054">
      <w:pPr>
        <w:spacing w:after="120" w:line="276" w:lineRule="auto"/>
        <w:ind w:firstLine="709"/>
        <w:jc w:val="both"/>
        <w:rPr>
          <w:rFonts w:ascii="Verdana" w:eastAsia="Calibri" w:hAnsi="Verdana" w:cs="Arial"/>
          <w:lang w:val="es-ES_tradnl"/>
        </w:rPr>
      </w:pPr>
      <w:r w:rsidRPr="00F95ECD">
        <w:rPr>
          <w:rFonts w:ascii="Verdana" w:eastAsia="Calibri" w:hAnsi="Verdana" w:cs="Arial"/>
          <w:lang w:val="es-ES"/>
        </w:rPr>
        <w:t xml:space="preserve">Además del objeto y la modalidad de escogencia aplicable, para delimitar de forma más precisa el ámbito de aplicación de cada uno de los Documentos Tipo será necesario analizar la matriz de experiencia asociada a cada uno de ellos, pues estos aplicarán a los proyectos y/o actividades específicas </w:t>
      </w:r>
      <w:r w:rsidRPr="00F95ECD">
        <w:rPr>
          <w:rFonts w:ascii="Verdana" w:eastAsia="Calibri" w:hAnsi="Verdana" w:cs="Arial"/>
          <w:lang w:val="es-ES"/>
        </w:rPr>
        <w:lastRenderedPageBreak/>
        <w:t>contempladas en cada una de dichas matrices de experiencia. En este sentido, la matriz de experiencia de cada uno de los Documentos Tipo, además de estandarizar este importante requisito en los procedimientos de selección, delimita o precisa el ámbito de aplicación de estos, por lo que aplicarán a las actividades establecidas en cada una de estas matrices</w:t>
      </w:r>
      <w:r w:rsidRPr="00F95ECD">
        <w:rPr>
          <w:rStyle w:val="Refdenotaalpie"/>
          <w:rFonts w:ascii="Verdana" w:eastAsia="Calibri" w:hAnsi="Verdana" w:cs="Arial"/>
          <w:lang w:val="es-ES"/>
        </w:rPr>
        <w:footnoteReference w:id="6"/>
      </w:r>
      <w:r w:rsidRPr="00F95ECD">
        <w:rPr>
          <w:rFonts w:ascii="Verdana" w:eastAsia="Calibri" w:hAnsi="Verdana" w:cs="Arial"/>
          <w:lang w:val="es-ES"/>
        </w:rPr>
        <w:t>.</w:t>
      </w:r>
    </w:p>
    <w:p w14:paraId="7FECED77" w14:textId="77777777" w:rsidR="00655054" w:rsidRPr="00F95ECD" w:rsidRDefault="00655054" w:rsidP="00655054">
      <w:pPr>
        <w:spacing w:after="120" w:line="276" w:lineRule="auto"/>
        <w:jc w:val="both"/>
        <w:rPr>
          <w:rFonts w:ascii="Verdana" w:hAnsi="Verdana" w:cs="Arial"/>
          <w:lang w:val="es-ES"/>
        </w:rPr>
      </w:pPr>
      <w:r w:rsidRPr="00F95ECD">
        <w:rPr>
          <w:rFonts w:ascii="Verdana" w:hAnsi="Verdana" w:cs="Arial"/>
          <w:lang w:val="es-ES"/>
        </w:rPr>
        <w:tab/>
      </w:r>
      <w:bookmarkStart w:id="9" w:name="_Hlk104104535"/>
      <w:r w:rsidRPr="00F95ECD">
        <w:rPr>
          <w:rFonts w:ascii="Verdana" w:hAnsi="Verdana" w:cs="Arial"/>
          <w:lang w:val="es-ES"/>
        </w:rPr>
        <w:t xml:space="preserve">En conclusión, la definición de si a un Proceso de Contratación le aplican los Documentos Tipo radicará en si el contrato a ejecutar se enmarca dentro de las actividades establecidas en la matriz de experiencia del Documento Tipo, de modo que las Entidades Estatales sometidas al EGCAP deberán aplicar los Documentos Tipo en dichos supuestos. En todo caso, independientemente de la correspondencia entre el objeto a contratar y alguna de las actividades tipificadas en las matrices de experiencia, la aplicación del Documento Tipo solo será forzosa, si además el correspondiente Documento Tipo ha sido expedido para la modalidad de escogencia en la que se debe adelantar el proceso de selección. </w:t>
      </w:r>
      <w:bookmarkEnd w:id="9"/>
    </w:p>
    <w:p w14:paraId="3F5EDE40" w14:textId="77777777" w:rsidR="00655054" w:rsidRPr="00F95ECD" w:rsidRDefault="00655054" w:rsidP="00655054">
      <w:pPr>
        <w:spacing w:after="120" w:line="276" w:lineRule="auto"/>
        <w:ind w:firstLine="708"/>
        <w:jc w:val="both"/>
        <w:rPr>
          <w:rFonts w:ascii="Verdana" w:hAnsi="Verdana" w:cs="Arial"/>
          <w:lang w:val="es-ES"/>
        </w:rPr>
      </w:pPr>
      <w:r w:rsidRPr="00F95ECD">
        <w:rPr>
          <w:rFonts w:ascii="Verdana" w:eastAsia="Calibri" w:hAnsi="Verdana" w:cs="Arial"/>
          <w:bCs/>
          <w:lang w:val="es-ES_tradnl" w:eastAsia="es-ES_tradnl"/>
        </w:rPr>
        <w:t xml:space="preserve">Conforme se explicó en los párrafos anteriores, </w:t>
      </w:r>
      <w:bookmarkStart w:id="10" w:name="_Hlk176861190"/>
      <w:r w:rsidRPr="00F95ECD">
        <w:rPr>
          <w:rFonts w:ascii="Verdana" w:eastAsia="Calibri" w:hAnsi="Verdana" w:cs="Arial"/>
          <w:bCs/>
          <w:lang w:val="es-ES_tradnl" w:eastAsia="es-ES_tradnl"/>
        </w:rPr>
        <w:t xml:space="preserve">en virtud de la Ley 2022 de 2020, los Documentos Tipo expedidos por la Agencia Nacional de Contratación Pública – Colombia Compra Eficiente son de aplicación obligatoria para las Entidades Estatales sometidas al EGCAP. </w:t>
      </w:r>
      <w:bookmarkStart w:id="11" w:name="_Hlk176877108"/>
      <w:r w:rsidRPr="00F95ECD">
        <w:rPr>
          <w:rFonts w:ascii="Verdana" w:eastAsia="Calibri" w:hAnsi="Verdana" w:cs="Arial"/>
          <w:bCs/>
          <w:lang w:val="es-ES_tradnl" w:eastAsia="es-ES_tradnl"/>
        </w:rPr>
        <w:t xml:space="preserve">En ese sentido, el contenido normativo de la Ley 2022 de 2020, y en su momento también de la Ley 1882 de 2018, excluyen del ámbito de aplicación de los Documentos Tipo la contratación de Entidades Estatales de régimen exceptuado – como son las Empresas Sociales del Estado, a las cuales hace referencia en su consulta –, por lo general, sujetas al derecho privado. </w:t>
      </w:r>
    </w:p>
    <w:bookmarkEnd w:id="10"/>
    <w:bookmarkEnd w:id="11"/>
    <w:p w14:paraId="35810602" w14:textId="77777777" w:rsidR="00655054" w:rsidRPr="00F95ECD" w:rsidRDefault="00655054" w:rsidP="00655054">
      <w:pPr>
        <w:tabs>
          <w:tab w:val="left" w:pos="0"/>
        </w:tabs>
        <w:spacing w:after="120" w:line="276" w:lineRule="auto"/>
        <w:jc w:val="both"/>
        <w:rPr>
          <w:rFonts w:ascii="Verdana" w:eastAsia="Calibri" w:hAnsi="Verdana" w:cs="Arial"/>
          <w:lang w:val="es-ES_tradnl" w:eastAsia="es-ES_tradnl"/>
        </w:rPr>
      </w:pPr>
      <w:r w:rsidRPr="00F95ECD">
        <w:rPr>
          <w:rFonts w:ascii="Verdana" w:eastAsia="Calibri" w:hAnsi="Verdana" w:cs="Arial"/>
          <w:b/>
          <w:lang w:val="es-ES_tradnl" w:eastAsia="es-ES_tradnl"/>
        </w:rPr>
        <w:tab/>
      </w:r>
      <w:bookmarkStart w:id="12" w:name="_Hlk113023000"/>
      <w:r w:rsidRPr="00F95ECD">
        <w:rPr>
          <w:rFonts w:ascii="Verdana" w:eastAsia="Calibri" w:hAnsi="Verdana" w:cs="Arial"/>
          <w:bCs/>
          <w:lang w:val="es-ES_tradnl" w:eastAsia="es-ES_tradnl"/>
        </w:rPr>
        <w:t xml:space="preserve">Posteriormente, </w:t>
      </w:r>
      <w:bookmarkStart w:id="13" w:name="_Hlk176861261"/>
      <w:r w:rsidRPr="00F95ECD">
        <w:rPr>
          <w:rFonts w:ascii="Verdana" w:eastAsia="Calibri" w:hAnsi="Verdana" w:cs="Arial"/>
          <w:bCs/>
          <w:lang w:val="es-ES_tradnl" w:eastAsia="es-ES_tradnl"/>
        </w:rPr>
        <w:t xml:space="preserve">se expidió la Ley 2195 de 2022, </w:t>
      </w:r>
      <w:r w:rsidRPr="00F95ECD">
        <w:rPr>
          <w:rFonts w:ascii="Verdana" w:eastAsia="Calibri" w:hAnsi="Verdana" w:cs="Arial"/>
          <w:bCs/>
          <w:i/>
          <w:iCs/>
          <w:lang w:val="es-ES_tradnl" w:eastAsia="es-ES_tradnl"/>
        </w:rPr>
        <w:t>“Por medio de la cual se adoptan medidas en materia de transparencia, prevención y lucha contra la corrupción y se dictan otras disposiciones”</w:t>
      </w:r>
      <w:r w:rsidRPr="00F95ECD">
        <w:rPr>
          <w:rFonts w:ascii="Verdana" w:eastAsia="Calibri" w:hAnsi="Verdana" w:cs="Arial"/>
          <w:bCs/>
          <w:lang w:val="es-ES_tradnl" w:eastAsia="es-ES_tradnl"/>
        </w:rPr>
        <w:t xml:space="preserve">. Según su artículo 1, este cuerpo normativo </w:t>
      </w:r>
      <w:r w:rsidRPr="00F95ECD">
        <w:rPr>
          <w:rFonts w:ascii="Verdana" w:eastAsia="Calibri" w:hAnsi="Verdana" w:cs="Arial"/>
          <w:lang w:val="es-ES_tradnl" w:eastAsia="es-ES_tradnl"/>
        </w:rPr>
        <w:t>“</w:t>
      </w:r>
      <w:r w:rsidRPr="00F95ECD">
        <w:rPr>
          <w:rFonts w:ascii="Verdana" w:eastAsia="Times New Roman" w:hAnsi="Verdana" w:cs="Arial"/>
          <w:lang w:val="es-ES_tradnl" w:eastAsia="es-ES_tradnl"/>
        </w:rPr>
        <w:t xml:space="preserve">[…] </w:t>
      </w:r>
      <w:r w:rsidRPr="00F95ECD">
        <w:rPr>
          <w:rFonts w:ascii="Verdana" w:eastAsia="Calibri" w:hAnsi="Verdana"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w:t>
      </w:r>
    </w:p>
    <w:p w14:paraId="31D03C84" w14:textId="77777777" w:rsidR="00655054" w:rsidRPr="00F95ECD" w:rsidRDefault="00655054" w:rsidP="00655054">
      <w:pPr>
        <w:tabs>
          <w:tab w:val="left" w:pos="0"/>
        </w:tabs>
        <w:spacing w:after="0" w:line="276" w:lineRule="auto"/>
        <w:jc w:val="both"/>
        <w:rPr>
          <w:rFonts w:ascii="Verdana" w:eastAsia="Calibri" w:hAnsi="Verdana" w:cs="Arial"/>
          <w:bCs/>
          <w:lang w:val="es-ES_tradnl" w:eastAsia="es-ES_tradnl"/>
        </w:rPr>
      </w:pPr>
      <w:r w:rsidRPr="00F95ECD">
        <w:rPr>
          <w:rFonts w:ascii="Verdana" w:eastAsia="Calibri" w:hAnsi="Verdana" w:cs="Arial"/>
          <w:lang w:val="es-ES_tradnl" w:eastAsia="es-ES_tradnl"/>
        </w:rPr>
        <w:lastRenderedPageBreak/>
        <w:tab/>
        <w:t>Dentro del capítulo VIII de la Ley en mención, que lleva por título “</w:t>
      </w:r>
      <w:r w:rsidRPr="00F95ECD">
        <w:rPr>
          <w:rFonts w:ascii="Verdana" w:eastAsia="Calibri" w:hAnsi="Verdana" w:cs="Arial"/>
          <w:i/>
          <w:iCs/>
          <w:lang w:val="es-ES_tradnl" w:eastAsia="es-ES_tradnl"/>
        </w:rPr>
        <w:t>Disposiciones en materia contractual para la moralización y la transparencia</w:t>
      </w:r>
      <w:r w:rsidRPr="00F95ECD">
        <w:rPr>
          <w:rFonts w:ascii="Verdana" w:eastAsia="Calibri" w:hAnsi="Verdana" w:cs="Arial"/>
          <w:lang w:val="es-ES_tradnl" w:eastAsia="es-ES_tradnl"/>
        </w:rPr>
        <w:t xml:space="preserve">”, se </w:t>
      </w:r>
      <w:r w:rsidRPr="00F95ECD">
        <w:rPr>
          <w:rFonts w:ascii="Verdana" w:eastAsia="Calibri" w:hAnsi="Verdana" w:cs="Arial"/>
          <w:bCs/>
          <w:lang w:val="es-ES_tradnl" w:eastAsia="es-ES_tradnl"/>
        </w:rPr>
        <w:t xml:space="preserve">destaca el artículo 56, norma sobre la que versa la presente consulta. </w:t>
      </w:r>
      <w:bookmarkEnd w:id="13"/>
      <w:r w:rsidRPr="00F95ECD">
        <w:rPr>
          <w:rFonts w:ascii="Verdana" w:eastAsia="Calibri" w:hAnsi="Verdana" w:cs="Arial"/>
          <w:bCs/>
          <w:lang w:val="es-ES_tradnl" w:eastAsia="es-ES_tradnl"/>
        </w:rPr>
        <w:t xml:space="preserve">Dicha disposición, </w:t>
      </w:r>
      <w:bookmarkEnd w:id="12"/>
      <w:r w:rsidRPr="00F95ECD">
        <w:rPr>
          <w:rFonts w:ascii="Verdana" w:eastAsia="Calibri" w:hAnsi="Verdana" w:cs="Arial"/>
          <w:lang w:val="es-ES_tradnl" w:eastAsia="es-ES_tradnl"/>
        </w:rPr>
        <w:t>aprobada tras la conciliación de los textos aprobados en ambas cámaras</w:t>
      </w:r>
      <w:r w:rsidRPr="00F95ECD">
        <w:rPr>
          <w:rFonts w:ascii="Verdana" w:eastAsia="Times New Roman" w:hAnsi="Verdana" w:cs="Arial"/>
          <w:vertAlign w:val="superscript"/>
          <w:lang w:val="es-ES_tradnl" w:eastAsia="es-ES_tradnl"/>
        </w:rPr>
        <w:footnoteReference w:id="7"/>
      </w:r>
      <w:r w:rsidRPr="00F95ECD">
        <w:rPr>
          <w:rFonts w:ascii="Verdana" w:eastAsia="Calibri" w:hAnsi="Verdana" w:cs="Arial"/>
          <w:lang w:val="es-ES_tradnl" w:eastAsia="es-ES_tradnl"/>
        </w:rPr>
        <w:t xml:space="preserve">, reza lo siguiente: </w:t>
      </w:r>
      <w:r w:rsidRPr="00F95ECD">
        <w:rPr>
          <w:rFonts w:ascii="Verdana" w:eastAsia="Calibri" w:hAnsi="Verdana" w:cs="Arial"/>
          <w:bCs/>
          <w:lang w:val="es-ES_tradnl" w:eastAsia="es-ES_tradnl"/>
        </w:rPr>
        <w:t xml:space="preserve"> </w:t>
      </w:r>
    </w:p>
    <w:p w14:paraId="1CAE59DD" w14:textId="77777777" w:rsidR="00655054" w:rsidRPr="00F95ECD" w:rsidRDefault="00655054" w:rsidP="00655054">
      <w:pPr>
        <w:tabs>
          <w:tab w:val="left" w:pos="0"/>
        </w:tabs>
        <w:spacing w:after="0" w:line="276" w:lineRule="auto"/>
        <w:jc w:val="both"/>
        <w:rPr>
          <w:rFonts w:ascii="Verdana" w:eastAsia="Calibri" w:hAnsi="Verdana" w:cs="Arial"/>
          <w:bCs/>
          <w:lang w:val="es-ES_tradnl" w:eastAsia="es-ES_tradnl"/>
        </w:rPr>
      </w:pPr>
    </w:p>
    <w:p w14:paraId="67BA38D1" w14:textId="77777777" w:rsidR="00655054" w:rsidRPr="00F95ECD" w:rsidRDefault="00655054" w:rsidP="00655054">
      <w:pPr>
        <w:tabs>
          <w:tab w:val="left" w:pos="0"/>
        </w:tabs>
        <w:spacing w:after="0" w:line="240" w:lineRule="auto"/>
        <w:ind w:left="709" w:right="709"/>
        <w:contextualSpacing/>
        <w:jc w:val="both"/>
        <w:rPr>
          <w:rFonts w:ascii="Verdana" w:eastAsia="Times New Roman" w:hAnsi="Verdana" w:cs="Arial"/>
          <w:sz w:val="20"/>
          <w:szCs w:val="20"/>
          <w:lang w:val="es-ES_tradnl" w:eastAsia="es-ES_tradnl"/>
        </w:rPr>
      </w:pPr>
      <w:r>
        <w:rPr>
          <w:rFonts w:ascii="Verdana" w:eastAsia="Times New Roman" w:hAnsi="Verdana" w:cs="Arial"/>
          <w:sz w:val="20"/>
          <w:szCs w:val="20"/>
          <w:lang w:val="es-ES_tradnl" w:eastAsia="es-ES_tradnl"/>
        </w:rPr>
        <w:t>“</w:t>
      </w:r>
      <w:r w:rsidRPr="00F95ECD">
        <w:rPr>
          <w:rFonts w:ascii="Verdana" w:eastAsia="Times New Roman" w:hAnsi="Verdana" w:cs="Arial"/>
          <w:sz w:val="20"/>
          <w:szCs w:val="20"/>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6E229957" w14:textId="77777777" w:rsidR="00655054" w:rsidRPr="00F95ECD" w:rsidRDefault="00655054" w:rsidP="00655054">
      <w:pPr>
        <w:tabs>
          <w:tab w:val="left" w:pos="0"/>
        </w:tabs>
        <w:spacing w:after="0" w:line="240" w:lineRule="auto"/>
        <w:ind w:left="709" w:right="709"/>
        <w:contextualSpacing/>
        <w:jc w:val="both"/>
        <w:rPr>
          <w:rFonts w:ascii="Verdana" w:eastAsia="Times New Roman" w:hAnsi="Verdana" w:cs="Arial"/>
          <w:sz w:val="20"/>
          <w:szCs w:val="20"/>
          <w:lang w:val="es-ES_tradnl" w:eastAsia="es-ES_tradnl"/>
        </w:rPr>
      </w:pPr>
    </w:p>
    <w:p w14:paraId="4061A2A1" w14:textId="77777777" w:rsidR="00655054" w:rsidRPr="00F95ECD" w:rsidRDefault="00655054" w:rsidP="00655054">
      <w:pPr>
        <w:tabs>
          <w:tab w:val="left" w:pos="0"/>
        </w:tabs>
        <w:spacing w:after="0" w:line="240" w:lineRule="auto"/>
        <w:ind w:left="709" w:right="709"/>
        <w:contextualSpacing/>
        <w:jc w:val="both"/>
        <w:rPr>
          <w:rFonts w:ascii="Verdana" w:eastAsia="Times New Roman" w:hAnsi="Verdana" w:cs="Arial"/>
          <w:sz w:val="20"/>
          <w:szCs w:val="20"/>
          <w:lang w:val="es-ES_tradnl" w:eastAsia="es-ES_tradnl"/>
        </w:rPr>
      </w:pPr>
      <w:r w:rsidRPr="00F95ECD">
        <w:rPr>
          <w:rFonts w:ascii="Verdana" w:eastAsia="Times New Roman" w:hAnsi="Verdana" w:cs="Arial"/>
          <w:sz w:val="20"/>
          <w:szCs w:val="20"/>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7CA8D66C" w14:textId="77777777" w:rsidR="00655054" w:rsidRPr="00F95ECD" w:rsidRDefault="00655054" w:rsidP="00655054">
      <w:pPr>
        <w:tabs>
          <w:tab w:val="left" w:pos="0"/>
        </w:tabs>
        <w:spacing w:after="0" w:line="240" w:lineRule="auto"/>
        <w:ind w:left="709" w:right="709"/>
        <w:contextualSpacing/>
        <w:jc w:val="both"/>
        <w:rPr>
          <w:rFonts w:ascii="Verdana" w:eastAsia="Times New Roman" w:hAnsi="Verdana" w:cs="Arial"/>
          <w:sz w:val="20"/>
          <w:szCs w:val="20"/>
          <w:lang w:val="es-ES_tradnl" w:eastAsia="es-ES_tradnl"/>
        </w:rPr>
      </w:pPr>
    </w:p>
    <w:p w14:paraId="7436E890" w14:textId="77777777" w:rsidR="00655054" w:rsidRPr="00F95ECD" w:rsidRDefault="00655054" w:rsidP="00655054">
      <w:pPr>
        <w:spacing w:after="0" w:line="240" w:lineRule="auto"/>
        <w:ind w:left="709" w:right="709"/>
        <w:contextualSpacing/>
        <w:jc w:val="both"/>
        <w:rPr>
          <w:rFonts w:ascii="Verdana" w:eastAsia="Calibri" w:hAnsi="Verdana" w:cs="Arial"/>
          <w:sz w:val="20"/>
          <w:szCs w:val="20"/>
          <w:lang w:val="es-ES" w:eastAsia="es-ES"/>
        </w:rPr>
      </w:pPr>
      <w:r w:rsidRPr="00F95ECD">
        <w:rPr>
          <w:rFonts w:ascii="Verdana" w:eastAsia="Times New Roman" w:hAnsi="Verdana" w:cs="Arial"/>
          <w:sz w:val="20"/>
          <w:szCs w:val="20"/>
          <w:lang w:val="es-ES" w:eastAsia="es-ES"/>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r>
        <w:rPr>
          <w:rFonts w:ascii="Verdana" w:eastAsia="Times New Roman" w:hAnsi="Verdana" w:cs="Arial"/>
          <w:sz w:val="20"/>
          <w:szCs w:val="20"/>
          <w:lang w:val="es-ES" w:eastAsia="es-ES"/>
        </w:rPr>
        <w:t>”</w:t>
      </w:r>
      <w:r w:rsidRPr="00F95ECD">
        <w:rPr>
          <w:rFonts w:ascii="Verdana" w:eastAsia="Times New Roman" w:hAnsi="Verdana" w:cs="Arial"/>
          <w:sz w:val="20"/>
          <w:szCs w:val="20"/>
          <w:lang w:val="es-ES" w:eastAsia="es-ES"/>
        </w:rPr>
        <w:t>.</w:t>
      </w:r>
    </w:p>
    <w:p w14:paraId="7984DBEA" w14:textId="77777777" w:rsidR="00655054" w:rsidRPr="00F95ECD" w:rsidRDefault="00655054" w:rsidP="00655054">
      <w:pPr>
        <w:tabs>
          <w:tab w:val="left" w:pos="0"/>
        </w:tabs>
        <w:spacing w:after="0" w:line="276" w:lineRule="auto"/>
        <w:jc w:val="both"/>
        <w:rPr>
          <w:rFonts w:ascii="Verdana" w:eastAsia="Calibri" w:hAnsi="Verdana" w:cs="Arial"/>
          <w:bCs/>
          <w:lang w:val="es-ES_tradnl" w:eastAsia="es-ES_tradnl"/>
        </w:rPr>
      </w:pPr>
    </w:p>
    <w:p w14:paraId="78F586BB" w14:textId="77777777" w:rsidR="00655054" w:rsidRPr="00F95ECD" w:rsidRDefault="00655054" w:rsidP="00655054">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2BE55130">
        <w:rPr>
          <w:rFonts w:ascii="Verdana" w:eastAsia="Calibri" w:hAnsi="Verdana" w:cs="Arial"/>
          <w:lang w:val="es-ES" w:eastAsia="es-ES"/>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7E3EB555" w14:textId="77777777" w:rsidR="00655054" w:rsidRPr="00F95ECD" w:rsidRDefault="00655054" w:rsidP="00655054">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lastRenderedPageBreak/>
        <w:tab/>
        <w:t xml:space="preserve">Como se desprende de la frase inicial de la norma citada, es claro que </w:t>
      </w:r>
      <w:bookmarkStart w:id="14" w:name="_Hlk176877617"/>
      <w:r w:rsidRPr="00F95ECD">
        <w:rPr>
          <w:rFonts w:ascii="Verdana" w:eastAsia="Calibri" w:hAnsi="Verdana" w:cs="Arial"/>
          <w:bCs/>
          <w:lang w:val="es-ES_tradnl" w:eastAsia="es-ES_tradnl"/>
        </w:rPr>
        <w:t xml:space="preserve">el primer y principal mandato de la norma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bookmarkEnd w:id="14"/>
    <w:p w14:paraId="46BF7264" w14:textId="77777777" w:rsidR="00655054" w:rsidRPr="00F95ECD" w:rsidRDefault="00655054" w:rsidP="00655054">
      <w:pPr>
        <w:tabs>
          <w:tab w:val="left" w:pos="0"/>
        </w:tabs>
        <w:spacing w:after="120" w:line="276" w:lineRule="auto"/>
        <w:jc w:val="both"/>
        <w:rPr>
          <w:rFonts w:ascii="Verdana" w:eastAsia="Calibri" w:hAnsi="Verdana" w:cs="Arial"/>
          <w:lang w:val="es-ES_tradnl" w:eastAsia="es-ES_tradnl"/>
        </w:rPr>
      </w:pPr>
      <w:r w:rsidRPr="00F95ECD">
        <w:rPr>
          <w:rFonts w:ascii="Verdana" w:eastAsia="Calibri" w:hAnsi="Verdana" w:cs="Arial"/>
          <w:bCs/>
          <w:lang w:val="es-ES_tradnl" w:eastAsia="es-ES_tradnl"/>
        </w:rPr>
        <w:tab/>
      </w:r>
      <w:bookmarkStart w:id="15" w:name="_Hlk176877694"/>
      <w:r w:rsidRPr="00F95ECD">
        <w:rPr>
          <w:rFonts w:ascii="Verdana" w:eastAsia="Calibri" w:hAnsi="Verdana" w:cs="Arial"/>
          <w:lang w:val="es-ES_tradnl" w:eastAsia="es-ES_tradnl"/>
        </w:rPr>
        <w:t>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w:t>
      </w:r>
      <w:bookmarkEnd w:id="15"/>
      <w:r w:rsidRPr="00F95ECD">
        <w:rPr>
          <w:rFonts w:ascii="Verdana" w:eastAsia="Calibri" w:hAnsi="Verdana" w:cs="Arial"/>
          <w:lang w:val="es-ES_tradnl" w:eastAsia="es-ES_tradnl"/>
        </w:rPr>
        <w:t xml:space="preserve">.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de una ley consagrada en el artículo 31 </w:t>
      </w:r>
      <w:r w:rsidRPr="00F95ECD">
        <w:rPr>
          <w:rFonts w:ascii="Verdana" w:eastAsia="Calibri" w:hAnsi="Verdana" w:cs="Arial"/>
          <w:i/>
          <w:iCs/>
          <w:lang w:val="es-ES_tradnl" w:eastAsia="es-ES_tradnl"/>
        </w:rPr>
        <w:t>ibidem</w:t>
      </w:r>
      <w:r w:rsidRPr="00F95ECD">
        <w:rPr>
          <w:rFonts w:ascii="Verdana" w:eastAsia="Calibri" w:hAnsi="Verdana" w:cs="Arial"/>
          <w:lang w:val="es-ES_tradnl" w:eastAsia="es-ES_tradnl"/>
        </w:rPr>
        <w:t xml:space="preserve">, conforme al cual “Lo favorable u odioso de una disposición no se tomará en cuenta para ampliar o restringir su interpretación. La extensión que deba darse a toda ley se determinará por su genuino sentido, y según las reglas de interpretación precedentes”. </w:t>
      </w:r>
    </w:p>
    <w:p w14:paraId="3994518D" w14:textId="77777777" w:rsidR="00655054" w:rsidRPr="00F95ECD" w:rsidRDefault="00655054" w:rsidP="00655054">
      <w:pPr>
        <w:tabs>
          <w:tab w:val="left" w:pos="0"/>
        </w:tabs>
        <w:spacing w:after="120" w:line="276" w:lineRule="auto"/>
        <w:jc w:val="both"/>
        <w:rPr>
          <w:rFonts w:ascii="Verdana" w:eastAsia="Calibri" w:hAnsi="Verdana" w:cs="Arial"/>
          <w:lang w:val="es-ES_tradnl" w:eastAsia="es-ES_tradnl"/>
        </w:rPr>
      </w:pPr>
      <w:r w:rsidRPr="00F95ECD">
        <w:rPr>
          <w:rFonts w:ascii="Verdana" w:eastAsia="Calibri" w:hAnsi="Verdana" w:cs="Arial"/>
          <w:lang w:val="es-ES_tradnl" w:eastAsia="es-ES_tradnl"/>
        </w:rPr>
        <w:tab/>
      </w:r>
      <w:bookmarkStart w:id="16" w:name="_Hlk176877798"/>
      <w:bookmarkStart w:id="17" w:name="_Hlk144075290"/>
      <w:r w:rsidRPr="00F95ECD">
        <w:rPr>
          <w:rFonts w:ascii="Verdana" w:eastAsia="Calibri" w:hAnsi="Verdana" w:cs="Arial"/>
          <w:bCs/>
          <w:lang w:val="es-ES_tradnl" w:eastAsia="es-ES_tradnl"/>
        </w:rPr>
        <w:t>Desde esta perspectiva, no pudiera</w:t>
      </w:r>
      <w:r w:rsidRPr="00F95ECD">
        <w:rPr>
          <w:rFonts w:ascii="Verdana" w:eastAsia="Calibri" w:hAnsi="Verdana"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de manera literal que la regla de aplicación obligatoria de los Documentos Tipo en los Procesos de Contratación adelantados por las Entidades Estatales regidas por el EGCAP, es decir,</w:t>
      </w:r>
      <w:r w:rsidRPr="00F95ECD">
        <w:rPr>
          <w:rFonts w:ascii="Verdana" w:eastAsia="Calibri" w:hAnsi="Verdana" w:cs="Arial"/>
          <w:bCs/>
          <w:lang w:val="es-ES_tradnl" w:eastAsia="es-ES_tradnl"/>
        </w:rPr>
        <w:t xml:space="preserve"> </w:t>
      </w:r>
      <w:r w:rsidRPr="00F95ECD">
        <w:rPr>
          <w:rFonts w:ascii="Verdana" w:eastAsia="Calibri" w:hAnsi="Verdana" w:cs="Arial"/>
          <w:lang w:val="es-ES_tradnl" w:eastAsia="es-ES_tradnl"/>
        </w:rPr>
        <w:t xml:space="preserve">la obligatoriedad de utilizar Documentos Tipo </w:t>
      </w:r>
      <w:r w:rsidRPr="00F95ECD">
        <w:rPr>
          <w:rFonts w:ascii="Verdana" w:eastAsia="Calibri" w:hAnsi="Verdana" w:cs="Arial"/>
          <w:bCs/>
          <w:lang w:val="es-ES_tradnl" w:eastAsia="es-ES_tradnl"/>
        </w:rPr>
        <w:t xml:space="preserve">se extiende </w:t>
      </w:r>
      <w:r w:rsidRPr="00F95ECD">
        <w:rPr>
          <w:rFonts w:ascii="Verdana" w:eastAsia="Calibri" w:hAnsi="Verdana" w:cs="Arial"/>
          <w:lang w:val="es-ES_tradnl" w:eastAsia="es-ES_tradnl"/>
        </w:rPr>
        <w:t xml:space="preserve">en los convenios o contratos interadministrativos o de cualquier otra índole, </w:t>
      </w:r>
      <w:r w:rsidRPr="00F95ECD">
        <w:rPr>
          <w:rFonts w:ascii="Verdana" w:eastAsia="Calibri" w:hAnsi="Verdana" w:cs="Arial"/>
          <w:bCs/>
          <w:lang w:val="es-ES_tradnl" w:eastAsia="es-ES_tradnl"/>
        </w:rPr>
        <w:t xml:space="preserve">y </w:t>
      </w:r>
      <w:r w:rsidRPr="00F95ECD">
        <w:rPr>
          <w:rFonts w:ascii="Verdana" w:eastAsia="Calibri" w:hAnsi="Verdana" w:cs="Arial"/>
          <w:lang w:val="es-ES_tradnl" w:eastAsia="es-ES_tradnl"/>
        </w:rPr>
        <w:t>a las diferentes modalidades de selección de los Procesos de Contratación adelantados por entidades sometidas al EGCAP</w:t>
      </w:r>
      <w:r w:rsidRPr="00F95ECD">
        <w:rPr>
          <w:rFonts w:ascii="Verdana" w:eastAsia="Calibri" w:hAnsi="Verdana" w:cs="Arial"/>
          <w:bCs/>
          <w:lang w:val="es-ES_tradnl" w:eastAsia="es-ES_tradnl"/>
        </w:rPr>
        <w:t>.</w:t>
      </w:r>
    </w:p>
    <w:bookmarkEnd w:id="16"/>
    <w:p w14:paraId="0A09654B" w14:textId="77777777" w:rsidR="00655054" w:rsidRPr="00F95ECD" w:rsidRDefault="00655054" w:rsidP="00655054">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00F95ECD">
        <w:rPr>
          <w:rFonts w:ascii="Verdana" w:eastAsia="Calibri" w:hAnsi="Verdana" w:cs="Arial"/>
          <w:lang w:val="es-ES" w:eastAsia="es-ES"/>
        </w:rPr>
        <w:t xml:space="preserve">Antes de la expedición del artículo 56 de la Ley 2022 de 2020, ya se había establecido el mandato de aplicación obligatoria de los Documentos Tipo para las Entidades Estatales sometidas al EGCAP, atribuyendo a esta Agencia la competencia para expedirlos. Esta norma imperativa debía observarse siempre </w:t>
      </w:r>
      <w:r w:rsidRPr="00F95ECD">
        <w:rPr>
          <w:rFonts w:ascii="Verdana" w:eastAsia="Calibri" w:hAnsi="Verdana" w:cs="Arial"/>
          <w:lang w:val="es-ES" w:eastAsia="es-ES"/>
        </w:rPr>
        <w:lastRenderedPageBreak/>
        <w:t>y cuando el objeto a contratar esté cobijado por algún Documento Tipo vigente. No obstante, si la Entidad Estatal optaba bajo la modalidad de selección de contratación directa, celebrar convenios o contratos interadministrativos, o de cualquier otra índole, con entidades con regímenes especiales o de derecho privado era un asunto que escapaba del ámbito de aplicación de lo establecido por la Ley 2022 de 2020, incluso tratándose de obras o servicios para cuya contratación le fuese aplicable los Documentos Tipo vigentes.</w:t>
      </w:r>
    </w:p>
    <w:bookmarkEnd w:id="17"/>
    <w:p w14:paraId="257FA445" w14:textId="77777777" w:rsidR="00655054" w:rsidRPr="00F95ECD" w:rsidRDefault="00655054" w:rsidP="00655054">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ab/>
      </w:r>
      <w:bookmarkStart w:id="18" w:name="_Hlk176861444"/>
      <w:bookmarkStart w:id="19" w:name="_Hlk144075366"/>
      <w:r w:rsidRPr="00F95ECD">
        <w:rPr>
          <w:rFonts w:ascii="Verdana" w:eastAsia="Calibri" w:hAnsi="Verdana" w:cs="Arial"/>
          <w:lang w:val="es-ES_tradnl" w:eastAsia="es-ES_tradnl"/>
        </w:rPr>
        <w:t>Ahora,</w:t>
      </w:r>
      <w:r w:rsidRPr="00F95ECD">
        <w:rPr>
          <w:rFonts w:ascii="Verdana" w:eastAsia="Calibri" w:hAnsi="Verdana" w:cs="Arial"/>
          <w:bCs/>
          <w:lang w:val="es-ES_tradnl" w:eastAsia="es-ES_tradnl"/>
        </w:rPr>
        <w:t xml:space="preserve"> con la entrada en vigencia del artículo 56 de la Ley 2195 de 2022, la aplicación de Documentos Pliego Tipo resulta obligatoria cuando la Entidad Estatal opta por celebrar convenios o contratos interadministrativos, o de cualquier otra índole, sin que por ello implique que las entidades de regímenes especiales de contratación, patrimonios autónomos o personas naturales o jurídicas de derecho privado se las haya habilitado legalmente para que apliquen Documentos Pliego Tipo en su contratación privada, por cuanto, la norma parte de la premisa fundamental de que la aplicación de estos solo es procedente para entidades cuyo régimen contractual corresponde al EGCAP. Esto en la medida en que, </w:t>
      </w:r>
      <w:bookmarkStart w:id="20" w:name="_Hlk109963698"/>
      <w:r w:rsidRPr="00F95ECD">
        <w:rPr>
          <w:rFonts w:ascii="Verdana" w:eastAsia="Calibri" w:hAnsi="Verdana" w:cs="Arial"/>
          <w:bCs/>
          <w:lang w:val="es-ES_tradnl" w:eastAsia="es-ES_tradnl"/>
        </w:rPr>
        <w:t>el parágrafo 7 del artículo 2 de la Ley 1150 de 2007, modificado por la Ley 2022 de 2020, solo se refiere a la obligación de aplicar los Documentos Tipo en los Procesos de Contratación que adelanten las entidades sometidas al EGCAP.</w:t>
      </w:r>
      <w:r w:rsidRPr="00F95ECD">
        <w:rPr>
          <w:rFonts w:ascii="Verdana" w:eastAsia="Calibri" w:hAnsi="Verdana" w:cs="Arial"/>
          <w:bCs/>
          <w:strike/>
          <w:lang w:val="es-ES_tradnl" w:eastAsia="es-ES_tradnl"/>
        </w:rPr>
        <w:t xml:space="preserve"> </w:t>
      </w:r>
      <w:bookmarkEnd w:id="18"/>
      <w:bookmarkEnd w:id="20"/>
    </w:p>
    <w:p w14:paraId="2CCDC37C" w14:textId="77777777" w:rsidR="00655054" w:rsidRPr="00F95ECD" w:rsidRDefault="00655054" w:rsidP="00655054">
      <w:pPr>
        <w:spacing w:after="120" w:line="276" w:lineRule="auto"/>
        <w:ind w:firstLine="708"/>
        <w:jc w:val="both"/>
        <w:rPr>
          <w:rFonts w:ascii="Verdana" w:eastAsia="Calibri" w:hAnsi="Verdana" w:cs="Arial"/>
          <w:lang w:val="es-ES" w:eastAsia="es-ES"/>
        </w:rPr>
      </w:pPr>
      <w:bookmarkStart w:id="21" w:name="_Hlk144075437"/>
      <w:bookmarkEnd w:id="19"/>
      <w:r w:rsidRPr="00F95ECD">
        <w:rPr>
          <w:rFonts w:ascii="Verdana" w:eastAsia="Times New Roman" w:hAnsi="Verdana" w:cs="Arial"/>
          <w:lang w:eastAsia="es-ES_tradnl"/>
        </w:rPr>
        <w:t xml:space="preserve">Esta Agencia ha considerado, como se explicó </w:t>
      </w:r>
      <w:r w:rsidRPr="00F95ECD">
        <w:rPr>
          <w:rFonts w:ascii="Verdana" w:eastAsia="Times New Roman" w:hAnsi="Verdana" w:cs="Arial"/>
          <w:i/>
          <w:iCs/>
          <w:lang w:eastAsia="es-ES_tradnl"/>
        </w:rPr>
        <w:t>ut supra</w:t>
      </w:r>
      <w:r w:rsidRPr="00F95ECD">
        <w:rPr>
          <w:rFonts w:ascii="Verdana" w:eastAsia="Times New Roman" w:hAnsi="Verdana" w:cs="Arial"/>
          <w:lang w:eastAsia="es-ES_tradnl"/>
        </w:rPr>
        <w:t xml:space="preserve">, que </w:t>
      </w:r>
      <w:r w:rsidRPr="00F95ECD">
        <w:rPr>
          <w:rFonts w:ascii="Verdana" w:eastAsia="Calibri" w:hAnsi="Verdana" w:cs="Arial"/>
          <w:lang w:val="es-ES" w:eastAsia="es-ES"/>
        </w:rPr>
        <w:t>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w:t>
      </w:r>
      <w:r w:rsidRPr="00F95ECD">
        <w:rPr>
          <w:rFonts w:ascii="Verdana" w:eastAsia="Calibri" w:hAnsi="Verdana" w:cs="Arial"/>
          <w:vertAlign w:val="superscript"/>
          <w:lang w:val="es-ES" w:eastAsia="es-ES"/>
        </w:rPr>
        <w:footnoteReference w:id="8"/>
      </w:r>
      <w:r w:rsidRPr="00F95ECD">
        <w:rPr>
          <w:rFonts w:ascii="Verdana" w:eastAsia="Calibri" w:hAnsi="Verdana" w:cs="Arial"/>
          <w:lang w:val="es-ES" w:eastAsia="es-ES"/>
        </w:rPr>
        <w:t xml:space="preserve">, ahora deberán tenerse en cuenta </w:t>
      </w:r>
      <w:r w:rsidRPr="00F95ECD">
        <w:rPr>
          <w:rFonts w:ascii="Verdana" w:eastAsia="Calibri" w:hAnsi="Verdana" w:cs="Arial"/>
          <w:lang w:val="es-ES" w:eastAsia="es-ES"/>
        </w:rPr>
        <w:lastRenderedPageBreak/>
        <w:t xml:space="preserve">las siguientes reglas: </w:t>
      </w:r>
      <w:bookmarkStart w:id="23" w:name="_Hlk176862658"/>
      <w:r w:rsidRPr="00F95ECD">
        <w:rPr>
          <w:rFonts w:ascii="Verdana" w:eastAsia="Calibri" w:hAnsi="Verdana" w:cs="Arial"/>
          <w:lang w:val="es-ES" w:eastAsia="es-ES"/>
        </w:rPr>
        <w:t xml:space="preserve">i) </w:t>
      </w:r>
      <w:r w:rsidRPr="00F95ECD">
        <w:rPr>
          <w:rFonts w:ascii="Verdana" w:eastAsia="Calibri" w:hAnsi="Verdana" w:cs="Arial"/>
          <w:i/>
          <w:lang w:val="es-ES" w:eastAsia="es-ES"/>
        </w:rPr>
        <w:t>en el caso de los convenios interadministrativos o de cualquier otra índole:</w:t>
      </w:r>
      <w:r w:rsidRPr="00F95ECD">
        <w:rPr>
          <w:rFonts w:ascii="Verdana" w:eastAsia="Calibri" w:hAnsi="Verdana"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EGCAP; y, ii) </w:t>
      </w:r>
      <w:r w:rsidRPr="00F95ECD">
        <w:rPr>
          <w:rFonts w:ascii="Verdana" w:eastAsia="Calibri" w:hAnsi="Verdana" w:cs="Arial"/>
          <w:i/>
          <w:lang w:val="es-ES" w:eastAsia="es-ES"/>
        </w:rPr>
        <w:t>en el caso de los contratos interadministrativos</w:t>
      </w:r>
      <w:r w:rsidRPr="00F95ECD">
        <w:rPr>
          <w:rFonts w:ascii="Verdana" w:eastAsia="Calibri" w:hAnsi="Verdana" w:cs="Arial"/>
          <w:lang w:val="es-ES" w:eastAsia="es-ES"/>
        </w:rPr>
        <w:t xml:space="preserve"> </w:t>
      </w:r>
      <w:r w:rsidRPr="00F95ECD">
        <w:rPr>
          <w:rFonts w:ascii="Verdana" w:eastAsia="Calibri" w:hAnsi="Verdana" w:cs="Arial"/>
          <w:i/>
          <w:lang w:val="es-ES" w:eastAsia="es-ES"/>
        </w:rPr>
        <w:t>o de cualquier otra índole</w:t>
      </w:r>
      <w:r w:rsidRPr="00F95ECD">
        <w:rPr>
          <w:rFonts w:ascii="Verdana" w:eastAsia="Calibri" w:hAnsi="Verdana" w:cs="Arial"/>
          <w:lang w:val="es-ES" w:eastAsia="es-ES"/>
        </w:rPr>
        <w:t xml:space="preserve">: </w:t>
      </w:r>
      <w:r w:rsidRPr="00F95ECD">
        <w:rPr>
          <w:rFonts w:ascii="Verdana" w:eastAsia="Times New Roman" w:hAnsi="Verdana" w:cs="Arial"/>
          <w:lang w:eastAsia="es-ES"/>
        </w:rPr>
        <w:t xml:space="preserve">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a cargo de la </w:t>
      </w:r>
      <w:r w:rsidRPr="00F95ECD">
        <w:rPr>
          <w:rFonts w:ascii="Verdana" w:eastAsia="Calibri" w:hAnsi="Verdana" w:cs="Arial"/>
          <w:lang w:val="es-ES" w:eastAsia="es-ES"/>
        </w:rPr>
        <w:t>entidad sometida al EGCAP.</w:t>
      </w:r>
    </w:p>
    <w:bookmarkEnd w:id="21"/>
    <w:bookmarkEnd w:id="23"/>
    <w:p w14:paraId="6CD12C68" w14:textId="77777777" w:rsidR="00655054" w:rsidRPr="00F95ECD" w:rsidRDefault="00655054" w:rsidP="00655054">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ab/>
        <w:t xml:space="preserve"> </w:t>
      </w:r>
      <w:bookmarkStart w:id="24" w:name="_Hlk113023365"/>
      <w:r w:rsidRPr="00F95ECD">
        <w:rPr>
          <w:rFonts w:ascii="Verdana" w:eastAsia="Calibri" w:hAnsi="Verdana" w:cs="Arial"/>
          <w:bCs/>
          <w:lang w:val="es-ES_tradnl" w:eastAsia="es-ES_tradnl"/>
        </w:rPr>
        <w:t xml:space="preserve">El segundo inciso de la norma bajo estudio usa la expresión </w:t>
      </w:r>
      <w:r w:rsidRPr="00F95ECD">
        <w:rPr>
          <w:rFonts w:ascii="Verdana" w:eastAsia="Calibri" w:hAnsi="Verdana" w:cs="Arial"/>
          <w:lang w:val="es-ES_tradnl" w:eastAsia="es-ES_tradnl"/>
        </w:rPr>
        <w:t>“</w:t>
      </w:r>
      <w:r w:rsidRPr="00F95ECD">
        <w:rPr>
          <w:rFonts w:ascii="Verdana" w:eastAsia="Times New Roman" w:hAnsi="Verdana" w:cs="Arial"/>
          <w:lang w:eastAsia="es-ES_tradnl"/>
        </w:rPr>
        <w:t xml:space="preserve">los procedimientos de selección y </w:t>
      </w:r>
      <w:r w:rsidRPr="00F95ECD">
        <w:rPr>
          <w:rFonts w:ascii="Verdana" w:eastAsia="Times New Roman" w:hAnsi="Verdana" w:cs="Arial"/>
          <w:i/>
          <w:iCs/>
          <w:lang w:eastAsia="es-ES_tradnl"/>
        </w:rPr>
        <w:t>contratos que realicen en desarrollo de los anteriores negocios jurídicos</w:t>
      </w:r>
      <w:r w:rsidRPr="00F95ECD">
        <w:rPr>
          <w:rFonts w:ascii="Verdana" w:eastAsia="Calibri" w:hAnsi="Verdana" w:cs="Arial"/>
          <w:lang w:val="es-ES_tradnl" w:eastAsia="es-ES_tradnl"/>
        </w:rPr>
        <w:t>”</w:t>
      </w:r>
      <w:r w:rsidRPr="00F95ECD">
        <w:rPr>
          <w:rFonts w:ascii="Verdana" w:eastAsia="Times New Roman" w:hAnsi="Verdana" w:cs="Arial"/>
          <w:lang w:eastAsia="es-ES_tradnl"/>
        </w:rPr>
        <w:t xml:space="preserve">. Pudiera entenderse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en un objeto del que se desprende el suministro de un bien, obra o servicio cobijada por un Documento Tipo.  En ese sentido, la norma parte de la base de que para </w:t>
      </w:r>
      <w:r w:rsidRPr="00F95ECD">
        <w:rPr>
          <w:rFonts w:ascii="Verdana" w:eastAsia="Times New Roman" w:hAnsi="Verdana" w:cs="Arial"/>
          <w:i/>
          <w:iCs/>
          <w:lang w:eastAsia="es-ES_tradnl"/>
        </w:rPr>
        <w:t>desarrollar</w:t>
      </w:r>
      <w:r w:rsidRPr="00F95ECD">
        <w:rPr>
          <w:rFonts w:ascii="Verdana" w:eastAsia="Times New Roman" w:hAnsi="Verdana" w:cs="Arial"/>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2FA1931C" w14:textId="77777777" w:rsidR="00655054" w:rsidRPr="00F95ECD" w:rsidRDefault="00655054" w:rsidP="00655054">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00F95ECD">
        <w:rPr>
          <w:rFonts w:ascii="Verdana" w:eastAsia="Calibri" w:hAnsi="Verdana" w:cs="Arial"/>
          <w:lang w:val="es-ES" w:eastAsia="es-ES"/>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bookmarkStart w:id="25" w:name="_Hlk113023433"/>
      <w:bookmarkEnd w:id="24"/>
      <w:r w:rsidRPr="00F95ECD">
        <w:rPr>
          <w:rFonts w:ascii="Verdana" w:eastAsia="Calibri" w:hAnsi="Verdana" w:cs="Arial"/>
          <w:lang w:val="es-ES" w:eastAsia="es-ES"/>
        </w:rPr>
        <w:t xml:space="preserve">. De esto se desprende que el propósito del legislador con la expedición de la norma objeto de análisis,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25"/>
    </w:p>
    <w:p w14:paraId="6495606D" w14:textId="77777777" w:rsidR="00655054" w:rsidRPr="00F95ECD" w:rsidRDefault="00655054" w:rsidP="00655054">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lastRenderedPageBreak/>
        <w:tab/>
      </w:r>
      <w:r w:rsidRPr="00F95ECD">
        <w:rPr>
          <w:rFonts w:ascii="Verdana" w:eastAsia="Calibri" w:hAnsi="Verdana" w:cs="Arial"/>
          <w:lang w:val="es-ES" w:eastAsia="es-ES"/>
        </w:rPr>
        <w:t xml:space="preserve">Por tanto, el hecho de que la norma esté dirigida a las entidades sometidas al EGCAP, no tiene otro fin más que el de indicar que la obligación de emplear los Documentos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Tipo en virtud de lo regulado en el parágrafo 7 del artículo 2 de la Ley 1150 de 2007, modificado por la Ley 2022 de 2020. </w:t>
      </w:r>
      <w:bookmarkStart w:id="26" w:name="_Hlk109963871"/>
    </w:p>
    <w:p w14:paraId="51A12BD5" w14:textId="77777777" w:rsidR="00655054" w:rsidRPr="00F95ECD" w:rsidRDefault="00655054" w:rsidP="00655054">
      <w:pPr>
        <w:spacing w:after="120" w:line="276" w:lineRule="auto"/>
        <w:ind w:firstLine="709"/>
        <w:jc w:val="both"/>
        <w:rPr>
          <w:rFonts w:ascii="Verdana" w:eastAsia="Calibri" w:hAnsi="Verdana" w:cs="Arial"/>
          <w:lang w:val="es-ES" w:eastAsia="es-ES"/>
        </w:rPr>
      </w:pPr>
      <w:r w:rsidRPr="00F95ECD">
        <w:rPr>
          <w:rFonts w:ascii="Verdana" w:eastAsia="Calibri" w:hAnsi="Verdana" w:cs="Arial"/>
          <w:lang w:val="es-ES" w:eastAsia="es-ES"/>
        </w:rPr>
        <w:t>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eventos en los que se imponía el derecho privado.</w:t>
      </w:r>
    </w:p>
    <w:p w14:paraId="2F1B7C59" w14:textId="77777777" w:rsidR="00655054" w:rsidRPr="00F95ECD" w:rsidRDefault="00655054" w:rsidP="00655054">
      <w:pPr>
        <w:spacing w:after="120" w:line="276" w:lineRule="auto"/>
        <w:ind w:firstLine="709"/>
        <w:jc w:val="both"/>
        <w:rPr>
          <w:rFonts w:ascii="Verdana" w:eastAsia="Calibri" w:hAnsi="Verdana" w:cs="Arial"/>
          <w:lang w:val="es-ES" w:eastAsia="es-ES"/>
        </w:rPr>
      </w:pPr>
      <w:r w:rsidRPr="00F95ECD">
        <w:rPr>
          <w:rFonts w:ascii="Verdana" w:eastAsia="Calibri" w:hAnsi="Verdana" w:cs="Arial"/>
          <w:lang w:val="es-ES" w:eastAsia="es-ES"/>
        </w:rPr>
        <w:t xml:space="preserve"> En ese sentido, en este último evento el tercer inciso del literal c) del artículo 2, numeral 4 de la Ley 1150 de 2007 daba pie a la aplicación de normas de derecho privado, lo que evidencia una supuesta o aparente tensión entre este y el artículo 56 de la Ley 2195 de 2022, en lo que se refiere al régimen aplicable en estas situaciones, comoquiera que, en estos eventos, al tenor de criterios interpretativos aplicados a lo dispuesto en esta última norma, se entendía que debía aplicarse el EGCAP y los Documentos Tipo. </w:t>
      </w:r>
    </w:p>
    <w:p w14:paraId="4C7E205F" w14:textId="77777777" w:rsidR="00655054" w:rsidRPr="00F95ECD" w:rsidRDefault="00655054" w:rsidP="00655054">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00F95ECD">
        <w:rPr>
          <w:rFonts w:ascii="Verdana" w:eastAsia="Calibri" w:hAnsi="Verdana" w:cs="Arial"/>
          <w:lang w:val="es-ES" w:eastAsia="es-ES"/>
        </w:rPr>
        <w:t>Lo anterior suponía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establecían diferentes consecuencias jurídicas, ya que mientras que la primera norma dispone la aplicación del derecho privado, la última impone la aplicación de Documentos Tipo y del EGCAP. Esta aparente contradicción, como se expuso en el numeral anterior, debe ser resuelta en favor del artículo 56 de la Ley 2195 de 2022.</w:t>
      </w:r>
    </w:p>
    <w:p w14:paraId="1DACC5A3" w14:textId="77777777" w:rsidR="00655054" w:rsidRPr="00F95ECD" w:rsidRDefault="00655054" w:rsidP="00655054">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lastRenderedPageBreak/>
        <w:tab/>
        <w:t xml:space="preserve">En efecto, tratándose de disposiciones de igual jerarquía normativa –ambas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w:t>
      </w:r>
    </w:p>
    <w:p w14:paraId="0826D1FD" w14:textId="77777777" w:rsidR="00655054" w:rsidRPr="00F95ECD" w:rsidRDefault="00655054" w:rsidP="00655054">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00F95ECD">
        <w:rPr>
          <w:rFonts w:ascii="Verdana" w:eastAsia="Calibri" w:hAnsi="Verdana" w:cs="Arial"/>
          <w:lang w:val="es-ES" w:eastAsia="es-ES"/>
        </w:rPr>
        <w:t xml:space="preserve">En tales términos, de lo analizado hasta aquí es posible concluir que </w:t>
      </w:r>
      <w:bookmarkStart w:id="27" w:name="_Hlk176878401"/>
      <w:r w:rsidRPr="00F95ECD">
        <w:rPr>
          <w:rFonts w:ascii="Verdana" w:eastAsia="Calibri" w:hAnsi="Verdana" w:cs="Arial"/>
          <w:lang w:val="es-ES" w:eastAsia="es-ES"/>
        </w:rPr>
        <w:t xml:space="preserve">el efecto principal de la norma bajo estudio es la ampliación de los Documentos Tipo, al hacerlos obligatorios frente a unos sujetos que, en principio, de acuerdo con la Ley 2022 de 2020 y el literal c) del numeral 4 del artículo 2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bookmarkEnd w:id="27"/>
    <w:p w14:paraId="54528D3B" w14:textId="77777777" w:rsidR="00655054" w:rsidRPr="00F95ECD" w:rsidRDefault="00655054" w:rsidP="00655054">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ab/>
      </w:r>
      <w:bookmarkStart w:id="28" w:name="_Hlk176871390"/>
      <w:r w:rsidRPr="00F95ECD">
        <w:rPr>
          <w:rFonts w:ascii="Verdana" w:eastAsia="Calibri" w:hAnsi="Verdana" w:cs="Arial"/>
          <w:bCs/>
          <w:lang w:val="es-ES_tradnl" w:eastAsia="es-ES_tradnl"/>
        </w:rPr>
        <w:t xml:space="preserve">Conforme a lo explicado, </w:t>
      </w:r>
      <w:bookmarkStart w:id="29" w:name="_Hlk113023497"/>
      <w:r w:rsidRPr="00F95ECD">
        <w:rPr>
          <w:rFonts w:ascii="Verdana" w:eastAsia="Calibri" w:hAnsi="Verdana" w:cs="Arial"/>
          <w:bCs/>
          <w:lang w:val="es-ES_tradnl" w:eastAsia="es-ES_tradnl"/>
        </w:rPr>
        <w:t xml:space="preserve">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 en los casos en los que el objeto contractual que se pretende contratar esté sometido a algún Documento Tipo, esto </w:t>
      </w:r>
      <w:r w:rsidRPr="00F95ECD">
        <w:rPr>
          <w:rFonts w:ascii="Verdana" w:eastAsia="Times New Roman" w:hAnsi="Verdana" w:cs="Arial"/>
          <w:lang w:eastAsia="es-ES_tradnl"/>
        </w:rPr>
        <w:t xml:space="preserve">implica que si las Entidades Estatales exceptuadas pretenden ser adjudicatarias de estos contratos, deben someterse a un proceso de selección en el que se apliquen Documentos Tipo expedidos por esta Agencia a cargo de la </w:t>
      </w:r>
      <w:r w:rsidRPr="00F95ECD">
        <w:rPr>
          <w:rFonts w:ascii="Verdana" w:eastAsia="Calibri" w:hAnsi="Verdana" w:cs="Arial"/>
          <w:bCs/>
          <w:lang w:val="es-ES_tradnl" w:eastAsia="es-ES_tradnl"/>
        </w:rPr>
        <w:t>entidad sometida al EGCAP.</w:t>
      </w:r>
    </w:p>
    <w:bookmarkEnd w:id="28"/>
    <w:bookmarkEnd w:id="29"/>
    <w:p w14:paraId="7E0104B8" w14:textId="77777777" w:rsidR="00655054" w:rsidRPr="00F95ECD" w:rsidRDefault="00655054" w:rsidP="00655054">
      <w:pPr>
        <w:tabs>
          <w:tab w:val="left" w:pos="0"/>
        </w:tabs>
        <w:spacing w:after="120" w:line="276" w:lineRule="auto"/>
        <w:jc w:val="both"/>
        <w:rPr>
          <w:rFonts w:ascii="Verdana" w:eastAsia="Times New Roman" w:hAnsi="Verdana" w:cs="Arial"/>
          <w:lang w:eastAsia="es-ES_tradnl"/>
        </w:rPr>
      </w:pPr>
      <w:r w:rsidRPr="00F95ECD">
        <w:rPr>
          <w:rFonts w:ascii="Verdana" w:eastAsia="Times New Roman" w:hAnsi="Verdana" w:cs="Arial"/>
          <w:lang w:eastAsia="es-ES_tradnl"/>
        </w:rPr>
        <w:tab/>
      </w:r>
      <w:bookmarkStart w:id="30" w:name="_Hlk176871552"/>
      <w:bookmarkEnd w:id="26"/>
      <w:r w:rsidRPr="00F95ECD">
        <w:rPr>
          <w:rFonts w:ascii="Verdana" w:eastAsia="Times New Roman" w:hAnsi="Verdana" w:cs="Arial"/>
          <w:lang w:eastAsia="es-ES_tradnl"/>
        </w:rPr>
        <w:t>De otra parte,</w:t>
      </w:r>
      <w:bookmarkStart w:id="31" w:name="_Hlk113023556"/>
      <w:r w:rsidRPr="00F95ECD">
        <w:rPr>
          <w:rFonts w:ascii="Verdana" w:eastAsia="Times New Roman" w:hAnsi="Verdana" w:cs="Arial"/>
          <w:lang w:eastAsia="es-ES_tradnl"/>
        </w:rPr>
        <w:t xml:space="preserve"> </w:t>
      </w:r>
      <w:r w:rsidRPr="00F95ECD">
        <w:rPr>
          <w:rFonts w:ascii="Verdana" w:eastAsia="Calibri" w:hAnsi="Verdana" w:cs="Arial"/>
          <w:bCs/>
          <w:lang w:val="es-ES_tradnl" w:eastAsia="es-ES_tradnl"/>
        </w:rPr>
        <w:t xml:space="preserve">es necesario precisar el alcance del parágrafo del artículo 56 de la Ley 2195 de 2022 y lo dispuesto en los dos primeros incisos del mencionado artículo, del cual se excluye, a cierto tipo de entidades, en lo relacionado con la contratación de su </w:t>
      </w:r>
      <w:r w:rsidRPr="00F95ECD">
        <w:rPr>
          <w:rFonts w:ascii="Verdana" w:eastAsia="Calibri" w:hAnsi="Verdana" w:cs="Arial"/>
          <w:bCs/>
          <w:i/>
          <w:iCs/>
          <w:lang w:val="es-ES_tradnl" w:eastAsia="es-ES_tradnl"/>
        </w:rPr>
        <w:t>giro ordinario</w:t>
      </w:r>
      <w:r w:rsidRPr="00F95ECD">
        <w:rPr>
          <w:rFonts w:ascii="Verdana" w:eastAsia="Calibri" w:hAnsi="Verdana" w:cs="Arial"/>
          <w:bCs/>
          <w:lang w:val="es-ES_tradnl" w:eastAsia="es-ES_tradnl"/>
        </w:rPr>
        <w:t xml:space="preserve">. </w:t>
      </w:r>
      <w:bookmarkStart w:id="32" w:name="_Hlk176878666"/>
      <w:r w:rsidRPr="00F95ECD">
        <w:rPr>
          <w:rFonts w:ascii="Verdana" w:eastAsia="Calibri" w:hAnsi="Verdana" w:cs="Arial"/>
          <w:bCs/>
          <w:lang w:val="es-ES_tradnl" w:eastAsia="es-ES_tradnl"/>
        </w:rPr>
        <w:t xml:space="preserve">Conforme se desprende del </w:t>
      </w:r>
      <w:r w:rsidRPr="00F95ECD">
        <w:rPr>
          <w:rFonts w:ascii="Verdana" w:eastAsia="Calibri" w:hAnsi="Verdana" w:cs="Arial"/>
          <w:bCs/>
          <w:lang w:val="es-ES_tradnl" w:eastAsia="es-ES_tradnl"/>
        </w:rPr>
        <w:lastRenderedPageBreak/>
        <w:t xml:space="preserve">texto del referido parágrafo, se exceptúa de lo señalado en los dos primeros incisos a: i) las instituciones de educación superior públicas, ii) las </w:t>
      </w:r>
      <w:r w:rsidRPr="00F95ECD">
        <w:rPr>
          <w:rFonts w:ascii="Verdana" w:eastAsia="Calibri" w:hAnsi="Verdana" w:cs="Arial"/>
          <w:bCs/>
          <w:i/>
          <w:iCs/>
          <w:lang w:val="es-ES_tradnl" w:eastAsia="es-ES_tradnl"/>
        </w:rPr>
        <w:t>empresas sociales del Estado</w:t>
      </w:r>
      <w:r w:rsidRPr="00F95ECD">
        <w:rPr>
          <w:rFonts w:ascii="Verdana" w:eastAsia="Calibri" w:hAnsi="Verdana" w:cs="Arial"/>
          <w:bCs/>
          <w:lang w:val="es-ES_tradnl" w:eastAsia="es-ES_tradnl"/>
        </w:rPr>
        <w:t xml:space="preserve"> – a la cuales se refiere en u consulta –, iii) las sociedades de economía mixta y iv) las empresas industriales y comerciales del Estado, únicamente, en la contratación relacionada con el </w:t>
      </w:r>
      <w:r w:rsidRPr="00F95ECD">
        <w:rPr>
          <w:rFonts w:ascii="Verdana" w:eastAsia="Calibri" w:hAnsi="Verdana" w:cs="Arial"/>
          <w:bCs/>
          <w:i/>
          <w:iCs/>
          <w:lang w:val="es-ES_tradnl" w:eastAsia="es-ES_tradnl"/>
        </w:rPr>
        <w:t>giro ordinario.</w:t>
      </w:r>
      <w:r w:rsidRPr="00F95ECD">
        <w:rPr>
          <w:rFonts w:ascii="Verdana" w:eastAsia="Calibri" w:hAnsi="Verdana" w:cs="Arial"/>
          <w:bCs/>
          <w:lang w:val="es-ES_tradnl" w:eastAsia="es-ES_tradnl"/>
        </w:rPr>
        <w:t xml:space="preserve"> Esto significa que, en la contratación asociada a su </w:t>
      </w:r>
      <w:r w:rsidRPr="00F95ECD">
        <w:rPr>
          <w:rFonts w:ascii="Verdana" w:eastAsia="Calibri" w:hAnsi="Verdana" w:cs="Arial"/>
          <w:bCs/>
          <w:i/>
          <w:iCs/>
          <w:lang w:val="es-ES_tradnl" w:eastAsia="es-ES_tradnl"/>
        </w:rPr>
        <w:t xml:space="preserve">giro ordinario, </w:t>
      </w:r>
      <w:r w:rsidRPr="00F95ECD">
        <w:rPr>
          <w:rFonts w:ascii="Verdana" w:eastAsia="Calibri" w:hAnsi="Verdana" w:cs="Arial"/>
          <w:bCs/>
          <w:lang w:val="es-ES_tradnl" w:eastAsia="es-ES_tradnl"/>
        </w:rPr>
        <w:t>estos tipos de entidades no tendrían que aplicar, de manera obligatoria, los Documentos Tipo, ni tampoco el EGCAP.</w:t>
      </w:r>
      <w:r w:rsidRPr="00F95ECD">
        <w:rPr>
          <w:rFonts w:ascii="Verdana" w:eastAsia="Times New Roman" w:hAnsi="Verdana" w:cs="Arial"/>
          <w:lang w:eastAsia="es-ES_tradnl"/>
        </w:rPr>
        <w:t xml:space="preserve"> </w:t>
      </w:r>
      <w:bookmarkStart w:id="33" w:name="_Hlk176871622"/>
      <w:r w:rsidRPr="00F95ECD">
        <w:rPr>
          <w:rFonts w:ascii="Verdana" w:eastAsia="Times New Roman" w:hAnsi="Verdana" w:cs="Arial"/>
          <w:lang w:eastAsia="es-ES_tradnl"/>
        </w:rPr>
        <w:t xml:space="preserve">Es decir, si Entidades Estatales exceptuadas pretenden ser adjudicatarias de estos contratos, no deben someterse a un proceso de selección en el que se apliquen Documentos Tipo expedidos por esta Agencia. </w:t>
      </w:r>
      <w:r w:rsidRPr="00F95ECD">
        <w:rPr>
          <w:rFonts w:ascii="Verdana" w:eastAsia="Calibri" w:hAnsi="Verdana" w:cs="Arial"/>
          <w:bCs/>
          <w:lang w:val="es-ES_tradnl" w:eastAsia="es-ES_tradnl"/>
        </w:rPr>
        <w:t>En atención a una de sus consultas, debe decirse que, en este caso, la norma se limita a fomentar la implementación de Documentos Tipo a modo de buena práctica contractual, en los casos en los que se estime conveniente.</w:t>
      </w:r>
      <w:bookmarkEnd w:id="33"/>
    </w:p>
    <w:bookmarkEnd w:id="30"/>
    <w:bookmarkEnd w:id="31"/>
    <w:bookmarkEnd w:id="32"/>
    <w:p w14:paraId="081F0374" w14:textId="77777777" w:rsidR="00655054" w:rsidRPr="00F95ECD" w:rsidRDefault="00655054" w:rsidP="00655054">
      <w:pPr>
        <w:tabs>
          <w:tab w:val="left" w:pos="0"/>
        </w:tabs>
        <w:spacing w:after="120" w:line="276" w:lineRule="auto"/>
        <w:jc w:val="both"/>
        <w:rPr>
          <w:rFonts w:ascii="Verdana" w:eastAsia="Arial" w:hAnsi="Verdana" w:cs="Arial"/>
          <w:lang w:val="es-ES_tradnl" w:eastAsia="es-ES_tradnl"/>
        </w:rPr>
      </w:pPr>
      <w:r w:rsidRPr="00F95ECD">
        <w:rPr>
          <w:rFonts w:ascii="Verdana" w:eastAsia="Calibri" w:hAnsi="Verdana" w:cs="Arial"/>
          <w:bCs/>
          <w:lang w:val="es-ES_tradnl" w:eastAsia="es-ES_tradnl"/>
        </w:rPr>
        <w:tab/>
        <w:t xml:space="preserve">Respecto al tercer problema jurídico planteado en el presente concepto, es importante tener en cuenta que cuando la norma se refiere a la contratación del </w:t>
      </w:r>
      <w:r w:rsidRPr="00F95ECD">
        <w:rPr>
          <w:rFonts w:ascii="Verdana" w:eastAsia="Calibri" w:hAnsi="Verdana" w:cs="Arial"/>
          <w:bCs/>
          <w:i/>
          <w:iCs/>
          <w:lang w:val="es-ES_tradnl" w:eastAsia="es-ES_tradnl"/>
        </w:rPr>
        <w:t>giro ordinario</w:t>
      </w:r>
      <w:r w:rsidRPr="00F95ECD">
        <w:rPr>
          <w:rFonts w:ascii="Verdana" w:eastAsia="Calibri" w:hAnsi="Verdana" w:cs="Arial"/>
          <w:bCs/>
          <w:lang w:val="es-ES_tradnl" w:eastAsia="es-ES_tradnl"/>
        </w:rPr>
        <w:t>, emplea un concepto jurídico indeterminado</w:t>
      </w:r>
      <w:r w:rsidRPr="00F95ECD">
        <w:rPr>
          <w:rFonts w:ascii="Verdana" w:eastAsia="Calibri" w:hAnsi="Verdana" w:cs="Arial"/>
          <w:vertAlign w:val="superscript"/>
          <w:lang w:eastAsia="es-ES_tradnl"/>
        </w:rPr>
        <w:footnoteReference w:id="9"/>
      </w:r>
      <w:r w:rsidRPr="00F95ECD">
        <w:rPr>
          <w:rFonts w:ascii="Verdana" w:eastAsia="Calibri" w:hAnsi="Verdana" w:cs="Arial"/>
          <w:bCs/>
          <w:lang w:val="es-ES_tradnl" w:eastAsia="es-ES_tradnl"/>
        </w:rPr>
        <w:t xml:space="preserve">. </w:t>
      </w:r>
      <w:r w:rsidRPr="00F95ECD">
        <w:rPr>
          <w:rFonts w:ascii="Verdana" w:eastAsia="Arial" w:hAnsi="Verdana" w:cs="Arial"/>
          <w:lang w:val="es-ES_tradnl" w:eastAsia="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w:t>
      </w:r>
      <w:r w:rsidRPr="00F95ECD">
        <w:rPr>
          <w:rFonts w:ascii="Verdana" w:eastAsia="Arial" w:hAnsi="Verdana" w:cs="Arial"/>
          <w:i/>
          <w:iCs/>
          <w:lang w:val="es-ES_tradnl" w:eastAsia="es-ES_tradnl"/>
        </w:rPr>
        <w:t>giro ordinario</w:t>
      </w:r>
      <w:r w:rsidRPr="00F95ECD">
        <w:rPr>
          <w:rFonts w:ascii="Verdana" w:eastAsia="Arial" w:hAnsi="Verdana" w:cs="Arial"/>
          <w:lang w:val="es-ES_tradnl" w:eastAsia="es-ES_tradnl"/>
        </w:rPr>
        <w:t xml:space="preserve"> de sus negocios. </w:t>
      </w:r>
    </w:p>
    <w:p w14:paraId="28D42F51" w14:textId="77777777" w:rsidR="00655054" w:rsidRPr="00F95ECD" w:rsidRDefault="00655054" w:rsidP="00655054">
      <w:pPr>
        <w:tabs>
          <w:tab w:val="left" w:pos="0"/>
        </w:tabs>
        <w:spacing w:after="120" w:line="276" w:lineRule="auto"/>
        <w:ind w:firstLine="709"/>
        <w:jc w:val="both"/>
        <w:rPr>
          <w:rFonts w:ascii="Verdana" w:eastAsia="Calibri" w:hAnsi="Verdana" w:cs="Arial"/>
          <w:bCs/>
          <w:lang w:val="es-ES_tradnl" w:eastAsia="es-ES_tradnl"/>
        </w:rPr>
      </w:pPr>
      <w:r w:rsidRPr="00F95ECD">
        <w:rPr>
          <w:rFonts w:ascii="Verdana" w:eastAsia="Arial" w:hAnsi="Verdana" w:cs="Arial"/>
          <w:lang w:val="es-ES_tradnl" w:eastAsia="es-ES_tradnl"/>
        </w:rPr>
        <w:t>La Corte Constitucional</w:t>
      </w:r>
      <w:r w:rsidRPr="00F95ECD">
        <w:rPr>
          <w:rFonts w:ascii="Verdana" w:eastAsia="Arial" w:hAnsi="Verdana" w:cs="Arial"/>
          <w:vertAlign w:val="superscript"/>
          <w:lang w:eastAsia="es-ES_tradnl"/>
        </w:rPr>
        <w:footnoteReference w:id="10"/>
      </w:r>
      <w:r w:rsidRPr="00F95ECD">
        <w:rPr>
          <w:rFonts w:ascii="Verdana" w:eastAsia="Arial" w:hAnsi="Verdana" w:cs="Arial"/>
          <w:lang w:val="es-ES_tradnl" w:eastAsia="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Pr="00F95ECD">
        <w:rPr>
          <w:rFonts w:ascii="Verdana" w:eastAsia="Calibri" w:hAnsi="Verdana" w:cs="Arial"/>
          <w:bCs/>
          <w:lang w:val="es-ES_tradnl" w:eastAsia="es-ES_tradnl"/>
        </w:rPr>
        <w:t xml:space="preserve"> </w:t>
      </w:r>
    </w:p>
    <w:p w14:paraId="6F27F669" w14:textId="77777777" w:rsidR="00655054" w:rsidRPr="00F95ECD" w:rsidRDefault="00655054" w:rsidP="00655054">
      <w:pPr>
        <w:tabs>
          <w:tab w:val="left" w:pos="0"/>
        </w:tabs>
        <w:spacing w:after="0" w:line="276" w:lineRule="auto"/>
        <w:ind w:firstLine="709"/>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w:t>
      </w:r>
      <w:r w:rsidRPr="00F95ECD">
        <w:rPr>
          <w:rFonts w:ascii="Verdana" w:eastAsia="Calibri" w:hAnsi="Verdana" w:cs="Arial"/>
          <w:bCs/>
          <w:lang w:val="es-ES_tradnl" w:eastAsia="es-ES_tradnl"/>
        </w:rPr>
        <w:lastRenderedPageBreak/>
        <w:t xml:space="preserve">expresión </w:t>
      </w:r>
      <w:r w:rsidRPr="00F95ECD">
        <w:rPr>
          <w:rFonts w:ascii="Verdana" w:eastAsia="Calibri" w:hAnsi="Verdana" w:cs="Arial"/>
          <w:bCs/>
          <w:i/>
          <w:iCs/>
          <w:lang w:val="es-ES_tradnl" w:eastAsia="es-ES_tradnl"/>
        </w:rPr>
        <w:t xml:space="preserve">giro ordinario </w:t>
      </w:r>
      <w:r w:rsidRPr="00F95ECD">
        <w:rPr>
          <w:rFonts w:ascii="Verdana" w:eastAsia="Calibri" w:hAnsi="Verdana" w:cs="Arial"/>
          <w:bCs/>
          <w:lang w:val="es-ES_tradnl" w:eastAsia="es-ES_tradnl"/>
        </w:rPr>
        <w:t>incluida en la redacción original del parágrafo 1° del artículo 32 de la Ley 80 de 1993</w:t>
      </w:r>
      <w:r w:rsidRPr="00F95ECD">
        <w:rPr>
          <w:rFonts w:ascii="Verdana" w:eastAsia="Calibri" w:hAnsi="Verdana" w:cs="Arial"/>
          <w:vertAlign w:val="superscript"/>
          <w:lang w:eastAsia="es-ES_tradnl"/>
        </w:rPr>
        <w:footnoteReference w:id="11"/>
      </w:r>
      <w:r w:rsidRPr="00F95ECD">
        <w:rPr>
          <w:rFonts w:ascii="Verdana" w:eastAsia="Calibri" w:hAnsi="Verdana" w:cs="Arial"/>
          <w:bCs/>
          <w:lang w:val="es-ES_tradnl" w:eastAsia="es-ES_tradnl"/>
        </w:rPr>
        <w:t xml:space="preserve">, la Sección Tercera manifestó lo siguiente: </w:t>
      </w:r>
    </w:p>
    <w:p w14:paraId="6B251EFD" w14:textId="77777777" w:rsidR="00655054" w:rsidRPr="00F95ECD" w:rsidRDefault="00655054" w:rsidP="00655054">
      <w:pPr>
        <w:tabs>
          <w:tab w:val="left" w:pos="0"/>
        </w:tabs>
        <w:spacing w:after="0" w:line="276" w:lineRule="auto"/>
        <w:jc w:val="both"/>
        <w:rPr>
          <w:rFonts w:ascii="Verdana" w:eastAsia="Calibri" w:hAnsi="Verdana" w:cs="Arial"/>
          <w:bCs/>
          <w:lang w:val="es-ES_tradnl" w:eastAsia="es-ES_tradnl"/>
        </w:rPr>
      </w:pPr>
    </w:p>
    <w:p w14:paraId="0A22D210" w14:textId="77777777" w:rsidR="00655054" w:rsidRPr="00F95ECD" w:rsidRDefault="00655054" w:rsidP="00655054">
      <w:pPr>
        <w:spacing w:after="0" w:line="240" w:lineRule="auto"/>
        <w:ind w:left="709" w:right="709"/>
        <w:jc w:val="both"/>
        <w:rPr>
          <w:rFonts w:ascii="Verdana" w:eastAsia="Times New Roman" w:hAnsi="Verdana" w:cs="Arial"/>
          <w:sz w:val="20"/>
          <w:szCs w:val="20"/>
          <w:lang w:val="es-ES_tradnl" w:eastAsia="es-CO"/>
        </w:rPr>
      </w:pPr>
      <w:r w:rsidRPr="00F95ECD">
        <w:rPr>
          <w:rFonts w:ascii="Verdana" w:eastAsia="Times New Roman" w:hAnsi="Verdana" w:cs="Arial"/>
          <w:sz w:val="20"/>
          <w:szCs w:val="20"/>
          <w:lang w:val="es-ES_tradnl" w:eastAsia="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F95ECD">
        <w:rPr>
          <w:rFonts w:ascii="Verdana" w:eastAsia="Times New Roman" w:hAnsi="Verdana" w:cs="Arial"/>
          <w:sz w:val="20"/>
          <w:szCs w:val="20"/>
          <w:vertAlign w:val="superscript"/>
          <w:lang w:eastAsia="es-ES_tradnl"/>
        </w:rPr>
        <w:footnoteReference w:id="12"/>
      </w:r>
      <w:r w:rsidRPr="00F95ECD">
        <w:rPr>
          <w:rFonts w:ascii="Verdana" w:eastAsia="Times New Roman" w:hAnsi="Verdana" w:cs="Arial"/>
          <w:sz w:val="20"/>
          <w:szCs w:val="20"/>
          <w:lang w:val="es-ES_tradnl" w:eastAsia="es-ES_tradnl"/>
        </w:rPr>
        <w:t>.</w:t>
      </w:r>
    </w:p>
    <w:p w14:paraId="74E176EB" w14:textId="77777777" w:rsidR="00655054" w:rsidRPr="00F95ECD" w:rsidRDefault="00655054" w:rsidP="00655054">
      <w:pPr>
        <w:tabs>
          <w:tab w:val="left" w:pos="0"/>
        </w:tabs>
        <w:spacing w:after="0" w:line="276" w:lineRule="auto"/>
        <w:jc w:val="both"/>
        <w:rPr>
          <w:rFonts w:ascii="Verdana" w:eastAsia="Calibri" w:hAnsi="Verdana" w:cs="Arial"/>
          <w:bCs/>
          <w:i/>
          <w:iCs/>
          <w:lang w:val="es-ES_tradnl" w:eastAsia="es-ES_tradnl"/>
        </w:rPr>
      </w:pPr>
    </w:p>
    <w:p w14:paraId="089BFDAD" w14:textId="77777777" w:rsidR="00655054" w:rsidRPr="00F95ECD" w:rsidRDefault="00655054" w:rsidP="00655054">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ab/>
        <w:t xml:space="preserve">En el mismo sentido se pronunció recientemente el Alto Tribunal de lo Contencioso Administrativo, reiterando las anteriores consideraciones, al expresar que el concepto de </w:t>
      </w:r>
      <w:r w:rsidRPr="00F95ECD">
        <w:rPr>
          <w:rFonts w:ascii="Verdana" w:eastAsia="Calibri" w:hAnsi="Verdana" w:cs="Arial"/>
          <w:i/>
          <w:lang w:val="es-ES_tradnl" w:eastAsia="es-ES_tradnl"/>
        </w:rPr>
        <w:t xml:space="preserve">“giro ordinario de los negocios” </w:t>
      </w:r>
      <w:r w:rsidRPr="00F95ECD">
        <w:rPr>
          <w:rFonts w:ascii="Verdana" w:eastAsia="Calibri" w:hAnsi="Verdana" w:cs="Arial"/>
          <w:bCs/>
          <w:lang w:val="es-ES_tradnl" w:eastAsia="es-ES_tradnl"/>
        </w:rPr>
        <w:t>se refiere a aquellas actividades compatibles con el objeto social, funciones previstas en la ley, o en las normas de creación y en sus estatutos internos de las personas</w:t>
      </w:r>
      <w:r w:rsidRPr="00F95ECD">
        <w:rPr>
          <w:rFonts w:ascii="Verdana" w:eastAsia="Calibri" w:hAnsi="Verdana" w:cs="Arial"/>
          <w:vertAlign w:val="superscript"/>
          <w:lang w:eastAsia="es-ES_tradnl"/>
        </w:rPr>
        <w:footnoteReference w:id="13"/>
      </w:r>
      <w:r w:rsidRPr="00F95ECD">
        <w:rPr>
          <w:rFonts w:ascii="Verdana" w:eastAsia="Calibri" w:hAnsi="Verdana" w:cs="Arial"/>
          <w:bCs/>
          <w:lang w:val="es-ES_tradnl" w:eastAsia="es-ES_tradnl"/>
        </w:rPr>
        <w:t xml:space="preserve"> y la doctrina societaria</w:t>
      </w:r>
      <w:r w:rsidRPr="00F95ECD">
        <w:rPr>
          <w:rFonts w:ascii="Verdana" w:eastAsia="Calibri" w:hAnsi="Verdana" w:cs="Arial"/>
          <w:bCs/>
          <w:vertAlign w:val="superscript"/>
          <w:lang w:val="es-ES_tradnl" w:eastAsia="es-ES_tradnl"/>
        </w:rPr>
        <w:footnoteReference w:id="14"/>
      </w:r>
      <w:r w:rsidRPr="00F95ECD">
        <w:rPr>
          <w:rFonts w:ascii="Verdana" w:eastAsia="Calibri" w:hAnsi="Verdana" w:cs="Arial"/>
          <w:bCs/>
          <w:lang w:val="es-ES_tradnl" w:eastAsia="es-ES_tradnl"/>
        </w:rPr>
        <w:t xml:space="preserve">. </w:t>
      </w:r>
    </w:p>
    <w:p w14:paraId="635F8354" w14:textId="77777777" w:rsidR="00655054" w:rsidRPr="00F95ECD" w:rsidRDefault="00655054" w:rsidP="00655054">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00F95ECD">
        <w:rPr>
          <w:rFonts w:ascii="Verdana" w:eastAsia="Calibri" w:hAnsi="Verdana" w:cs="Arial"/>
          <w:lang w:val="es-ES" w:eastAsia="es-ES"/>
        </w:rPr>
        <w:t xml:space="preserve">Conforme con lo expresado, </w:t>
      </w:r>
      <w:bookmarkStart w:id="34" w:name="_Hlk176878725"/>
      <w:r w:rsidRPr="00F95ECD">
        <w:rPr>
          <w:rFonts w:ascii="Verdana" w:eastAsia="Calibri" w:hAnsi="Verdana" w:cs="Arial"/>
          <w:lang w:val="es-ES" w:eastAsia="es-ES"/>
        </w:rPr>
        <w:t xml:space="preserve">el </w:t>
      </w:r>
      <w:r w:rsidRPr="00F95ECD">
        <w:rPr>
          <w:rFonts w:ascii="Verdana" w:eastAsia="Calibri" w:hAnsi="Verdana" w:cs="Arial"/>
          <w:i/>
          <w:lang w:val="es-ES" w:eastAsia="es-ES"/>
        </w:rPr>
        <w:t xml:space="preserve">giro ordinario </w:t>
      </w:r>
      <w:r w:rsidRPr="00F95ECD">
        <w:rPr>
          <w:rFonts w:ascii="Verdana" w:eastAsia="Calibri" w:hAnsi="Verdana" w:cs="Arial"/>
          <w:lang w:val="es-ES" w:eastAsia="es-ES"/>
        </w:rPr>
        <w:t xml:space="preserve">involucra los asuntos que integran el desarrollo del objeto social de una sociedad comercial, una empresa </w:t>
      </w:r>
      <w:r w:rsidRPr="00F95ECD">
        <w:rPr>
          <w:rFonts w:ascii="Verdana" w:eastAsia="Calibri" w:hAnsi="Verdana" w:cs="Arial"/>
          <w:lang w:val="es-ES" w:eastAsia="es-ES"/>
        </w:rPr>
        <w:lastRenderedPageBreak/>
        <w:t>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F95ECD">
        <w:rPr>
          <w:rFonts w:ascii="Verdana" w:eastAsia="Times New Roman" w:hAnsi="Verdana" w:cs="Arial"/>
          <w:lang w:val="es-ES" w:eastAsia="es-ES"/>
        </w:rPr>
        <w:t>S]e</w:t>
      </w:r>
      <w:r w:rsidRPr="00F95ECD">
        <w:rPr>
          <w:rFonts w:ascii="Verdana" w:eastAsia="Calibri" w:hAnsi="Verdana" w:cs="Arial"/>
          <w:lang w:val="es-ES" w:eastAsia="es-ES"/>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F95ECD">
        <w:rPr>
          <w:rFonts w:ascii="Verdana" w:eastAsia="Calibri" w:hAnsi="Verdana" w:cs="Arial"/>
          <w:vertAlign w:val="superscript"/>
          <w:lang w:eastAsia="es-ES"/>
        </w:rPr>
        <w:footnoteReference w:id="15"/>
      </w:r>
    </w:p>
    <w:p w14:paraId="623E112B" w14:textId="77777777" w:rsidR="00655054" w:rsidRPr="00F95ECD" w:rsidRDefault="00655054" w:rsidP="00655054">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bookmarkStart w:id="35" w:name="_Hlk176871941"/>
      <w:bookmarkStart w:id="36" w:name="_Hlk109966084"/>
      <w:bookmarkStart w:id="37" w:name="_Hlk95322109"/>
      <w:r w:rsidRPr="00F95ECD">
        <w:rPr>
          <w:rFonts w:ascii="Verdana" w:eastAsia="Calibri" w:hAnsi="Verdana" w:cs="Arial"/>
          <w:lang w:val="es-ES" w:eastAsia="es-ES"/>
        </w:rPr>
        <w:t xml:space="preserve">En relación con la aplicación de lo dispuesto en el parágrafo del artículo 56 de la Ley 2195 de 2022, conviene aclarar que, a juicio de esta Agencia, la expresión </w:t>
      </w:r>
      <w:r w:rsidRPr="00F95ECD">
        <w:rPr>
          <w:rFonts w:ascii="Verdana" w:eastAsia="Calibri" w:hAnsi="Verdana" w:cs="Arial"/>
          <w:i/>
          <w:lang w:val="es-ES" w:eastAsia="es-ES"/>
        </w:rPr>
        <w:t xml:space="preserve">giro ordinario </w:t>
      </w:r>
      <w:r w:rsidRPr="00F95ECD">
        <w:rPr>
          <w:rFonts w:ascii="Verdana" w:eastAsia="Calibri" w:hAnsi="Verdana" w:cs="Arial"/>
          <w:lang w:val="es-ES" w:eastAsia="es-ES"/>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00F95ECD">
        <w:rPr>
          <w:rFonts w:ascii="Verdana" w:eastAsia="Calibri" w:hAnsi="Verdana" w:cs="Arial"/>
          <w:i/>
          <w:lang w:val="es-ES" w:eastAsia="es-ES"/>
        </w:rPr>
        <w:t>giro ordinario</w:t>
      </w:r>
      <w:r w:rsidRPr="00F95ECD">
        <w:rPr>
          <w:rFonts w:ascii="Verdana" w:eastAsia="Calibri" w:hAnsi="Verdana" w:cs="Arial"/>
          <w:lang w:val="es-ES" w:eastAsia="es-ES"/>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F95ECD">
        <w:rPr>
          <w:rFonts w:ascii="Verdana" w:eastAsia="Calibri" w:hAnsi="Verdana" w:cs="Arial"/>
          <w:i/>
          <w:lang w:val="es-ES" w:eastAsia="es-ES"/>
        </w:rPr>
        <w:t>ejusdem</w:t>
      </w:r>
      <w:r w:rsidRPr="00F95ECD">
        <w:rPr>
          <w:rFonts w:ascii="Verdana" w:eastAsia="Calibri" w:hAnsi="Verdana" w:cs="Arial"/>
          <w:lang w:val="es-ES" w:eastAsia="es-ES"/>
        </w:rPr>
        <w:t xml:space="preserve"> se limita a enunciar algunos tipos de Entidades Estatales, las cuales no solo difieren en su naturaleza jurídica, sino también en las actividades que realizan. </w:t>
      </w:r>
      <w:bookmarkEnd w:id="35"/>
    </w:p>
    <w:p w14:paraId="02258ECB" w14:textId="77777777" w:rsidR="00655054" w:rsidRPr="00F95ECD" w:rsidRDefault="00655054" w:rsidP="00655054">
      <w:pPr>
        <w:spacing w:after="120" w:line="276" w:lineRule="auto"/>
        <w:ind w:firstLine="709"/>
        <w:jc w:val="both"/>
        <w:rPr>
          <w:rFonts w:ascii="Verdana" w:eastAsia="Calibri" w:hAnsi="Verdana" w:cs="Arial"/>
          <w:lang w:val="es-ES" w:eastAsia="es-ES"/>
        </w:rPr>
      </w:pPr>
      <w:bookmarkStart w:id="38" w:name="_Hlk176871967"/>
      <w:bookmarkEnd w:id="34"/>
      <w:bookmarkEnd w:id="36"/>
      <w:r w:rsidRPr="00F95ECD">
        <w:rPr>
          <w:rFonts w:ascii="Verdana" w:eastAsia="Calibri" w:hAnsi="Verdana" w:cs="Arial"/>
          <w:lang w:val="es-ES" w:eastAsia="es-ES"/>
        </w:rPr>
        <w:t xml:space="preserve">Esto impide que la Agencia Nacional de Contratación Pública – Colombia Compra Eficiente,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F95ECD">
        <w:rPr>
          <w:rFonts w:ascii="Verdana" w:eastAsia="Calibri" w:hAnsi="Verdana" w:cs="Arial"/>
          <w:i/>
          <w:lang w:val="es-ES" w:eastAsia="es-ES"/>
        </w:rPr>
        <w:t>giro ordinario</w:t>
      </w:r>
      <w:r w:rsidRPr="00F95ECD">
        <w:rPr>
          <w:rFonts w:ascii="Verdana" w:eastAsia="Calibri" w:hAnsi="Verdana" w:cs="Arial"/>
          <w:lang w:val="es-ES" w:eastAsia="es-ES"/>
        </w:rPr>
        <w:t xml:space="preserve"> debe hacerse en el caso concreto, empleando un criterio de interpretación restrictiva. Ello en la medida en que el parágrafo del artículo 56 consagra una excepción a una regla general. </w:t>
      </w:r>
    </w:p>
    <w:bookmarkEnd w:id="37"/>
    <w:bookmarkEnd w:id="38"/>
    <w:p w14:paraId="75E3B1FF" w14:textId="77777777" w:rsidR="00655054" w:rsidRPr="00F95ECD" w:rsidRDefault="00655054" w:rsidP="00655054">
      <w:pPr>
        <w:tabs>
          <w:tab w:val="left" w:pos="0"/>
        </w:tabs>
        <w:spacing w:after="120" w:line="276" w:lineRule="auto"/>
        <w:jc w:val="both"/>
        <w:rPr>
          <w:rFonts w:ascii="Verdana" w:eastAsia="Calibri" w:hAnsi="Verdana" w:cs="Arial"/>
          <w:lang w:val="es-ES_tradnl" w:eastAsia="es-ES_tradnl"/>
        </w:rPr>
      </w:pPr>
      <w:r w:rsidRPr="00F95ECD">
        <w:rPr>
          <w:rFonts w:ascii="Verdana" w:eastAsia="Calibri" w:hAnsi="Verdana" w:cs="Arial"/>
          <w:bCs/>
          <w:lang w:val="es-ES_tradnl" w:eastAsia="es-ES_tradnl"/>
        </w:rPr>
        <w:tab/>
      </w:r>
      <w:r w:rsidRPr="00F95ECD">
        <w:rPr>
          <w:rFonts w:ascii="Verdana" w:eastAsia="Calibri" w:hAnsi="Verdana" w:cs="Arial"/>
          <w:lang w:val="es-ES_tradnl" w:eastAsia="es-ES_tradnl"/>
        </w:rPr>
        <w:t xml:space="preserve">Esta interpretación, a juicio de la Agencia, se desprende de la literalidad del texto de la norma en comento, además, está en armonía con la voluntad del </w:t>
      </w:r>
      <w:r w:rsidRPr="00F95ECD">
        <w:rPr>
          <w:rFonts w:ascii="Verdana" w:eastAsia="Calibri" w:hAnsi="Verdana" w:cs="Arial"/>
          <w:lang w:val="es-ES_tradnl" w:eastAsia="es-ES_tradnl"/>
        </w:rPr>
        <w:lastRenderedPageBreak/>
        <w:t>órgano legislativo. Al respecto se estima que, si bien es cierto que entre los propósitos del artículo es la aplicación de Pliegos Tipo en convenios o contratos interadministrativos o de cualquier otra índole–a través de las cuales se podría estar eludiendo la aplicación de Documentos Tipo</w:t>
      </w:r>
      <w:r w:rsidRPr="00F95ECD">
        <w:rPr>
          <w:rFonts w:ascii="Verdana" w:eastAsia="Calibri" w:hAnsi="Verdana" w:cs="Arial"/>
          <w:vertAlign w:val="superscript"/>
          <w:lang w:eastAsia="es-ES_tradnl"/>
        </w:rPr>
        <w:footnoteReference w:id="16"/>
      </w:r>
      <w:r w:rsidRPr="00F95ECD">
        <w:rPr>
          <w:rFonts w:ascii="Verdana" w:eastAsia="Calibri" w:hAnsi="Verdana" w:cs="Arial"/>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F95ECD">
        <w:rPr>
          <w:rFonts w:ascii="Verdana" w:eastAsia="Calibri" w:hAnsi="Verdana" w:cs="Arial"/>
          <w:vertAlign w:val="superscript"/>
          <w:lang w:eastAsia="es-ES_tradnl"/>
        </w:rPr>
        <w:footnoteReference w:id="17"/>
      </w:r>
      <w:r w:rsidRPr="00F95ECD">
        <w:rPr>
          <w:rFonts w:ascii="Verdana" w:eastAsia="Calibri" w:hAnsi="Verdana" w:cs="Arial"/>
          <w:lang w:val="es-ES_tradnl" w:eastAsia="es-ES_tradnl"/>
        </w:rPr>
        <w:t xml:space="preserve">. </w:t>
      </w:r>
    </w:p>
    <w:p w14:paraId="3B3082F1" w14:textId="77777777" w:rsidR="00655054" w:rsidRPr="00F95ECD" w:rsidRDefault="00655054" w:rsidP="00655054">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lang w:val="es-ES_tradnl" w:eastAsia="es-ES_tradnl"/>
        </w:rPr>
        <w:tab/>
        <w:t xml:space="preserve">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A esto se suma el hecho de que el parágrafo bajo estudio es una norma restrictiva, por lo que, en virtud de dicho carácter, amerita una interpretación apegada a lo que literalmente se desprende del texto. Lo anterior en virtud del criterio de interpretación sobre la extensión de una Ley contemplada en el artículo 31 del Código civil, según la cual: “Lo favorable u </w:t>
      </w:r>
      <w:r w:rsidRPr="00F95ECD">
        <w:rPr>
          <w:rFonts w:ascii="Verdana" w:eastAsia="Calibri" w:hAnsi="Verdana" w:cs="Arial"/>
          <w:lang w:val="es-ES_tradnl" w:eastAsia="es-ES_tradnl"/>
        </w:rPr>
        <w:lastRenderedPageBreak/>
        <w:t>odioso de una disposición no se tomará en cuenta para ampliar o restringir su interpretación (…)”. En ese mismo sentido, el Consejo de Estado, indicó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F95ECD">
        <w:rPr>
          <w:rFonts w:ascii="Verdana" w:eastAsia="Calibri" w:hAnsi="Verdana" w:cs="Arial"/>
          <w:vertAlign w:val="superscript"/>
          <w:lang w:eastAsia="es-ES_tradnl"/>
        </w:rPr>
        <w:footnoteReference w:id="18"/>
      </w:r>
      <w:r w:rsidRPr="00F95ECD">
        <w:rPr>
          <w:rFonts w:ascii="Verdana" w:eastAsia="Calibri" w:hAnsi="Verdana" w:cs="Arial"/>
          <w:lang w:val="es-ES_tradnl" w:eastAsia="es-ES_tradnl"/>
        </w:rPr>
        <w:t>.</w:t>
      </w:r>
    </w:p>
    <w:p w14:paraId="4F1C3955" w14:textId="77777777" w:rsidR="00655054" w:rsidRPr="00F95ECD" w:rsidRDefault="00655054" w:rsidP="00655054">
      <w:pPr>
        <w:spacing w:after="120" w:line="276" w:lineRule="auto"/>
        <w:ind w:firstLine="709"/>
        <w:jc w:val="both"/>
        <w:rPr>
          <w:rFonts w:ascii="Verdana" w:eastAsia="Calibri" w:hAnsi="Verdana" w:cs="Arial"/>
          <w:lang w:val="es-ES" w:eastAsia="es-ES"/>
        </w:rPr>
      </w:pPr>
      <w:r w:rsidRPr="00F95ECD">
        <w:rPr>
          <w:rFonts w:ascii="Verdana" w:eastAsia="Calibri" w:hAnsi="Verdana" w:cs="Arial"/>
          <w:lang w:val="es-ES" w:eastAsia="es-ES"/>
        </w:rPr>
        <w:t xml:space="preserve">A criterio de esta Agencia, lo dispuesto en el parágrafo del artículo 56 de la Ley 2195 de 2022 es una manifestación de la voluntad del Legislador de relevar de la aplicación obligatoria de Pliegos Tipo en convenios o contratos interadministrativos, o de cualquier otra índole, con instituciones de educación superior públicas, las empresas sociales del Estado, las sociedades de economía mixta y las empresas industriales y comerciales del Estado, únicamente en lo que tiene que ver con su </w:t>
      </w:r>
      <w:r w:rsidRPr="00F95ECD">
        <w:rPr>
          <w:rFonts w:ascii="Verdana" w:eastAsia="Calibri" w:hAnsi="Verdana" w:cs="Arial"/>
          <w:i/>
          <w:lang w:val="es-ES" w:eastAsia="es-ES"/>
        </w:rPr>
        <w:t>giro ordinario</w:t>
      </w:r>
      <w:r w:rsidRPr="00F95ECD">
        <w:rPr>
          <w:rFonts w:ascii="Verdana" w:eastAsia="Calibri" w:hAnsi="Verdana" w:cs="Arial"/>
          <w:lang w:val="es-ES" w:eastAsia="es-ES"/>
        </w:rPr>
        <w:t xml:space="preserve">. Esto significa que, cuando Entidad Estatal sometida al EGCAP pretenda celebrar un contrato o convenio para la adquisición de bienes, obras o servicios con alguno de los tipos de entidades mencionadas en el parágrafo de la norma, que se enmarque dentro del </w:t>
      </w:r>
      <w:r w:rsidRPr="00F95ECD">
        <w:rPr>
          <w:rFonts w:ascii="Verdana" w:eastAsia="Calibri" w:hAnsi="Verdana" w:cs="Arial"/>
          <w:i/>
          <w:lang w:val="es-ES" w:eastAsia="es-ES"/>
        </w:rPr>
        <w:t>giro ordinario</w:t>
      </w:r>
      <w:r w:rsidRPr="00F95ECD">
        <w:rPr>
          <w:rFonts w:ascii="Verdana" w:eastAsia="Calibri" w:hAnsi="Verdana" w:cs="Arial"/>
          <w:lang w:val="es-ES" w:eastAsia="es-ES"/>
        </w:rPr>
        <w:t xml:space="preserve"> de la entidad exceptuada, eventualmente, el respectivo contrato podrá sujetarse a normas de derecho privado –de cumplirse los presupuestos del inciso tercero del literal c) del artículo 2-4 de la Ley 1150 de 2007–, sin importar si el objeto se encuentra cobijado por Documentos Tipo, los cuales tampoco resultaran de aplicación forzosa en ese caso.</w:t>
      </w:r>
    </w:p>
    <w:p w14:paraId="08D04D4C" w14:textId="77777777" w:rsidR="00655054" w:rsidRPr="00F95ECD" w:rsidRDefault="00655054" w:rsidP="00655054">
      <w:pPr>
        <w:tabs>
          <w:tab w:val="left" w:pos="0"/>
        </w:tabs>
        <w:spacing w:after="0" w:line="276" w:lineRule="auto"/>
        <w:ind w:firstLine="709"/>
        <w:jc w:val="both"/>
        <w:rPr>
          <w:rFonts w:ascii="Verdana" w:eastAsia="Calibri" w:hAnsi="Verdana" w:cs="Arial"/>
          <w:bCs/>
          <w:lang w:val="es-ES_tradnl" w:eastAsia="es-ES_tradnl"/>
        </w:rPr>
      </w:pPr>
      <w:r w:rsidRPr="00F95ECD">
        <w:rPr>
          <w:rFonts w:ascii="Verdana" w:eastAsia="Calibri" w:hAnsi="Verdana" w:cs="Arial"/>
          <w:lang w:val="es-ES_tradnl" w:eastAsia="es-ES_tradnl"/>
        </w:rPr>
        <w:t>En conclusión, no deberá entonces, en estos casos, la entidad sometida al EGCAP  reservarse la obligación de llevar a cabo la selección de los Procesos de Contratación y celebrar los respectivos contratos para adquirir aquellas de obras o servicios para cuya contratación le fuese aplicable los Documentos Tipo vigentes, que deban contratarse en el marco de un convenio interadministrativo, y tampoco es necesario que</w:t>
      </w:r>
      <w:r w:rsidRPr="00F95ECD">
        <w:rPr>
          <w:rFonts w:ascii="Verdana" w:eastAsia="Times New Roman" w:hAnsi="Verdana" w:cs="Arial"/>
          <w:lang w:eastAsia="es-ES_tradnl"/>
        </w:rPr>
        <w:t xml:space="preserve"> </w:t>
      </w:r>
      <w:r w:rsidRPr="00F95ECD">
        <w:rPr>
          <w:rFonts w:ascii="Verdana" w:eastAsia="Calibri" w:hAnsi="Verdana" w:cs="Arial"/>
          <w:lang w:val="es-ES_tradnl" w:eastAsia="es-ES_tradnl"/>
        </w:rPr>
        <w:t xml:space="preserve">las instituciones de educación superior públicas, las empresas sociales del Estado, las sociedades de economía mixta y las empresas industriales y comerciales del Estado, que </w:t>
      </w:r>
      <w:r w:rsidRPr="00F95ECD">
        <w:rPr>
          <w:rFonts w:ascii="Verdana" w:eastAsia="Times New Roman" w:hAnsi="Verdana" w:cs="Arial"/>
          <w:lang w:eastAsia="es-ES_tradnl"/>
        </w:rPr>
        <w:t xml:space="preserve">pretenden ser adjudicatarias de contratos que versen </w:t>
      </w:r>
      <w:r w:rsidRPr="00F95ECD">
        <w:rPr>
          <w:rFonts w:ascii="Verdana" w:eastAsia="Calibri" w:hAnsi="Verdana" w:cs="Arial"/>
          <w:lang w:val="es-ES_tradnl" w:eastAsia="es-ES_tradnl"/>
        </w:rPr>
        <w:t xml:space="preserve">únicamente, en la contratación relacionada con su </w:t>
      </w:r>
      <w:r w:rsidRPr="00F95ECD">
        <w:rPr>
          <w:rFonts w:ascii="Verdana" w:eastAsia="Calibri" w:hAnsi="Verdana" w:cs="Arial"/>
          <w:i/>
          <w:lang w:val="es-ES_tradnl" w:eastAsia="es-ES_tradnl"/>
        </w:rPr>
        <w:t>giro ordinario</w:t>
      </w:r>
      <w:r w:rsidRPr="00F95ECD">
        <w:rPr>
          <w:rFonts w:ascii="Verdana" w:eastAsia="Times New Roman" w:hAnsi="Verdana" w:cs="Arial"/>
          <w:lang w:eastAsia="es-ES_tradnl"/>
        </w:rPr>
        <w:t xml:space="preserve">, se sometan a un proceso de selección en el que se apliquen Documentos Tipo expedidos por esta Agencia a cargo de la </w:t>
      </w:r>
      <w:r w:rsidRPr="00F95ECD">
        <w:rPr>
          <w:rFonts w:ascii="Verdana" w:eastAsia="Calibri" w:hAnsi="Verdana" w:cs="Arial"/>
          <w:lang w:val="es-ES_tradnl" w:eastAsia="es-ES_tradnl"/>
        </w:rPr>
        <w:t xml:space="preserve">entidad sometida al EGCAP. Por el contrario, si el objeto contractual se encuentra por fuera del </w:t>
      </w:r>
      <w:r w:rsidRPr="00F95ECD">
        <w:rPr>
          <w:rFonts w:ascii="Verdana" w:eastAsia="Calibri" w:hAnsi="Verdana" w:cs="Arial"/>
          <w:i/>
          <w:iCs/>
          <w:lang w:val="es-ES_tradnl" w:eastAsia="es-ES_tradnl"/>
        </w:rPr>
        <w:t>giro ordinario</w:t>
      </w:r>
      <w:r w:rsidRPr="00F95ECD">
        <w:rPr>
          <w:rFonts w:ascii="Verdana" w:eastAsia="Calibri" w:hAnsi="Verdana" w:cs="Arial"/>
          <w:lang w:val="es-ES_tradnl" w:eastAsia="es-ES_tradnl"/>
        </w:rPr>
        <w:t xml:space="preserve"> de la entidad ejecutora, y el objeto se encuentra dentro del ámbito de aplicación de algún Documento Tipo, la aplicación del mismo en conjunto con el </w:t>
      </w:r>
      <w:r w:rsidRPr="00F95ECD">
        <w:rPr>
          <w:rFonts w:ascii="Verdana" w:eastAsia="Calibri" w:hAnsi="Verdana" w:cs="Arial"/>
          <w:lang w:val="es-ES_tradnl" w:eastAsia="es-ES_tradnl"/>
        </w:rPr>
        <w:lastRenderedPageBreak/>
        <w:t>EGCAP resulta de obligatoria observancia, al no quedar dicho supuesto cobijado por el parágrafo.</w:t>
      </w:r>
      <w:r w:rsidRPr="00F95ECD">
        <w:rPr>
          <w:rFonts w:ascii="Verdana" w:eastAsia="Calibri" w:hAnsi="Verdana" w:cs="Arial"/>
          <w:bCs/>
          <w:lang w:val="es-ES_tradnl" w:eastAsia="es-ES_tradnl"/>
        </w:rPr>
        <w:t xml:space="preserve"> </w:t>
      </w:r>
    </w:p>
    <w:p w14:paraId="3A3200CD" w14:textId="77777777" w:rsidR="00655054" w:rsidRPr="00F95ECD" w:rsidRDefault="00655054" w:rsidP="00655054">
      <w:pPr>
        <w:spacing w:before="120" w:after="0" w:line="276" w:lineRule="auto"/>
        <w:ind w:firstLine="709"/>
        <w:jc w:val="both"/>
        <w:rPr>
          <w:rFonts w:ascii="Verdana" w:eastAsia="Calibri" w:hAnsi="Verdana" w:cs="Arial"/>
          <w:bCs/>
          <w:color w:val="000000" w:themeColor="text1"/>
          <w:lang w:val="es-ES_tradnl"/>
        </w:rPr>
      </w:pPr>
      <w:r w:rsidRPr="00F95ECD">
        <w:rPr>
          <w:rFonts w:ascii="Verdana" w:eastAsia="Calibri" w:hAnsi="Verdana" w:cs="Arial"/>
          <w:bCs/>
          <w:color w:val="000000" w:themeColor="text1"/>
          <w:lang w:val="es-ES_tradnl"/>
        </w:rPr>
        <w:t xml:space="preserve">En este orden de ideas, las excepciones consagradas en el parágrafo del artículo 56 de la Ley 2195 de 2022 solo se aplican a los órganos del Estado cuya naturaleza jurídica coincida con la de las entidades allí indicadas de manera </w:t>
      </w:r>
      <w:r w:rsidRPr="00F95ECD">
        <w:rPr>
          <w:rFonts w:ascii="Verdana" w:eastAsia="Calibri" w:hAnsi="Verdana" w:cs="Arial"/>
          <w:bCs/>
          <w:i/>
          <w:iCs/>
          <w:color w:val="000000" w:themeColor="text1"/>
          <w:lang w:val="es-ES_tradnl"/>
        </w:rPr>
        <w:t>taxativa</w:t>
      </w:r>
      <w:r w:rsidRPr="00F95ECD">
        <w:rPr>
          <w:rFonts w:ascii="Verdana" w:eastAsia="Calibri" w:hAnsi="Verdana" w:cs="Arial"/>
          <w:bCs/>
          <w:color w:val="000000" w:themeColor="text1"/>
          <w:lang w:val="es-ES_tradnl"/>
        </w:rPr>
        <w:t>, esto es, a “</w:t>
      </w:r>
      <w:r w:rsidRPr="00F95ECD">
        <w:rPr>
          <w:rFonts w:ascii="Verdana" w:hAnsi="Verdana" w:cs="Arial"/>
          <w:color w:val="000000" w:themeColor="text1"/>
        </w:rPr>
        <w:t xml:space="preserve">[…] </w:t>
      </w:r>
      <w:r w:rsidRPr="00F95ECD">
        <w:rPr>
          <w:rFonts w:ascii="Verdana" w:eastAsia="Calibri" w:hAnsi="Verdana" w:cs="Arial"/>
          <w:bCs/>
          <w:color w:val="000000" w:themeColor="text1"/>
          <w:lang w:val="es-ES_tradnl"/>
        </w:rPr>
        <w:t xml:space="preserve">las Instituciones de Educación Superior públicas, las empresas sociales del Estado, las sociedades de economía mixta y las empresas industriales y comerciales del Estado, únicamente en cuanto a la contratación de su giro ordinario”. Por consiguiente, cada Entidad Estatal deberá analizar su naturaleza jurídica y hacer una interpretación restrictiva de este parágrafo, pues las excepciones deben leerse de manera acorde con dicho parámetro hermenéutico. </w:t>
      </w:r>
    </w:p>
    <w:p w14:paraId="2B55880C" w14:textId="77777777" w:rsidR="00655054" w:rsidRPr="00F95ECD" w:rsidRDefault="00655054" w:rsidP="00655054">
      <w:pPr>
        <w:widowControl w:val="0"/>
        <w:autoSpaceDE w:val="0"/>
        <w:autoSpaceDN w:val="0"/>
        <w:spacing w:after="0" w:line="276" w:lineRule="auto"/>
        <w:jc w:val="both"/>
        <w:rPr>
          <w:rFonts w:ascii="Verdana" w:hAnsi="Verdana" w:cs="Arial"/>
          <w:lang w:val="es-ES"/>
        </w:rPr>
      </w:pPr>
    </w:p>
    <w:p w14:paraId="0B510A75" w14:textId="77777777" w:rsidR="00655054" w:rsidRPr="00F95ECD" w:rsidRDefault="00655054" w:rsidP="00655054">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95ECD">
        <w:rPr>
          <w:rFonts w:ascii="Verdana" w:eastAsia="Century Gothic" w:hAnsi="Verdana" w:cs="Century Gothic"/>
          <w:b/>
          <w:bCs/>
        </w:rPr>
        <w:t>Referencias normativas, jurisprudenciales y otras fuentes:</w:t>
      </w:r>
    </w:p>
    <w:p w14:paraId="3F0AD2AA" w14:textId="77777777" w:rsidR="00655054" w:rsidRPr="00F95ECD" w:rsidRDefault="00655054" w:rsidP="00655054">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55054" w:rsidRPr="00F95ECD" w14:paraId="56AD5AE2" w14:textId="77777777" w:rsidTr="008D5BE3">
        <w:trPr>
          <w:trHeight w:val="440"/>
        </w:trPr>
        <w:tc>
          <w:tcPr>
            <w:tcW w:w="8647" w:type="dxa"/>
          </w:tcPr>
          <w:p w14:paraId="1D40AB63" w14:textId="77777777" w:rsidR="00655054" w:rsidRPr="00F95ECD" w:rsidRDefault="00655054" w:rsidP="00655054">
            <w:pPr>
              <w:pStyle w:val="Prrafodelista"/>
              <w:widowControl w:val="0"/>
              <w:numPr>
                <w:ilvl w:val="0"/>
                <w:numId w:val="2"/>
              </w:numPr>
              <w:autoSpaceDE w:val="0"/>
              <w:autoSpaceDN w:val="0"/>
              <w:spacing w:line="276" w:lineRule="auto"/>
              <w:ind w:left="714" w:hanging="357"/>
              <w:contextualSpacing w:val="0"/>
              <w:jc w:val="both"/>
              <w:rPr>
                <w:rFonts w:ascii="Verdana" w:hAnsi="Verdana" w:cs="Arial"/>
              </w:rPr>
            </w:pPr>
            <w:r w:rsidRPr="00F95ECD">
              <w:rPr>
                <w:rFonts w:ascii="Verdana" w:hAnsi="Verdana" w:cs="Arial"/>
              </w:rPr>
              <w:t xml:space="preserve">Ley 2022 de 2020, artículo 1. </w:t>
            </w:r>
          </w:p>
          <w:p w14:paraId="54FBB075" w14:textId="77777777" w:rsidR="00655054" w:rsidRPr="00F95ECD" w:rsidRDefault="00655054" w:rsidP="00655054">
            <w:pPr>
              <w:pStyle w:val="Prrafodelista"/>
              <w:widowControl w:val="0"/>
              <w:numPr>
                <w:ilvl w:val="0"/>
                <w:numId w:val="2"/>
              </w:numPr>
              <w:autoSpaceDE w:val="0"/>
              <w:autoSpaceDN w:val="0"/>
              <w:spacing w:line="276" w:lineRule="auto"/>
              <w:ind w:left="714" w:hanging="357"/>
              <w:contextualSpacing w:val="0"/>
              <w:jc w:val="both"/>
              <w:rPr>
                <w:rFonts w:ascii="Verdana" w:hAnsi="Verdana" w:cs="Arial"/>
              </w:rPr>
            </w:pPr>
            <w:r w:rsidRPr="00F95ECD">
              <w:rPr>
                <w:rFonts w:ascii="Verdana" w:hAnsi="Verdana" w:cs="Arial"/>
              </w:rPr>
              <w:t>Ley 2195 de 2022: Artículo 56.</w:t>
            </w:r>
          </w:p>
        </w:tc>
      </w:tr>
    </w:tbl>
    <w:p w14:paraId="53847CE6" w14:textId="77777777" w:rsidR="00655054" w:rsidRPr="00F95ECD" w:rsidRDefault="00655054" w:rsidP="00655054">
      <w:pPr>
        <w:widowControl w:val="0"/>
        <w:autoSpaceDE w:val="0"/>
        <w:autoSpaceDN w:val="0"/>
        <w:spacing w:after="0" w:line="276" w:lineRule="auto"/>
        <w:jc w:val="both"/>
        <w:rPr>
          <w:rFonts w:ascii="Verdana" w:hAnsi="Verdana" w:cs="Arial"/>
        </w:rPr>
      </w:pPr>
    </w:p>
    <w:p w14:paraId="1CB85381" w14:textId="77777777" w:rsidR="00655054" w:rsidRPr="00F95ECD" w:rsidRDefault="00655054" w:rsidP="00655054">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95ECD">
        <w:rPr>
          <w:rFonts w:ascii="Verdana" w:eastAsia="Century Gothic" w:hAnsi="Verdana" w:cs="Century Gothic"/>
          <w:b/>
          <w:bCs/>
        </w:rPr>
        <w:t>Doctrina de la Agencia Nacional de Contratación Pública:</w:t>
      </w:r>
    </w:p>
    <w:p w14:paraId="66684E6F" w14:textId="77777777" w:rsidR="00655054" w:rsidRPr="00F95ECD" w:rsidRDefault="00655054" w:rsidP="00655054">
      <w:pPr>
        <w:widowControl w:val="0"/>
        <w:autoSpaceDE w:val="0"/>
        <w:autoSpaceDN w:val="0"/>
        <w:spacing w:after="0" w:line="276" w:lineRule="auto"/>
        <w:jc w:val="both"/>
        <w:rPr>
          <w:rFonts w:ascii="Verdana" w:hAnsi="Verdana" w:cs="Arial"/>
        </w:rPr>
      </w:pPr>
    </w:p>
    <w:p w14:paraId="4A95D89B" w14:textId="6700F572" w:rsidR="00655054" w:rsidRPr="00F95ECD" w:rsidRDefault="00655054" w:rsidP="00655054">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F95ECD">
        <w:rPr>
          <w:rFonts w:ascii="Verdana" w:eastAsia="Calibri" w:hAnsi="Verdana" w:cs="Arial"/>
          <w:lang w:val="es-ES" w:eastAsia="es-ES_tradnl"/>
        </w:rPr>
        <w:t xml:space="preserve">La Agencia Nacional de Contratación Pública – Colombia Compra Eficiente </w:t>
      </w:r>
      <w:r w:rsidRPr="00F95ECD">
        <w:rPr>
          <w:rFonts w:ascii="Verdana" w:eastAsia="Times New Roman" w:hAnsi="Verdana" w:cs="Arial"/>
          <w:lang w:val="es-ES_tradnl" w:eastAsia="es-ES_tradnl"/>
        </w:rPr>
        <w:t xml:space="preserve">se ha pronunciado sobre </w:t>
      </w:r>
      <w:r w:rsidRPr="00F95ECD">
        <w:rPr>
          <w:rFonts w:ascii="Verdana" w:eastAsia="Times New Roman" w:hAnsi="Verdana" w:cs="Arial"/>
          <w:lang w:eastAsia="es-ES_tradnl"/>
        </w:rPr>
        <w:t>el alcance del artículo 56 de la Ley 2195 de 2022, específicamente, a partir del concepto C-066 del 28 de enero de 2022, cuya tesis se desarrolló y complementó los conceptos C-320 del 20 de mayo de 2022, C-333 del 24 de mayo de 2022, C-404 del 26 de mayo de 2023, C-382 del 27 de mayo de 2022, C-388 del 15 de junio de 2022, C-423 del 5 de julio de 2022, C-435 del 6 de julio de 2023, C-453 del 15 de julio de 2022, C-494 del 26 de julio de 2022, C-483 del 5 de agosto de 2022, C-496 del 3 de agosto de 2022, C-556 del 3 de agosto de 2022, C-532 del 22 de agosto de 2022, C-341 del 27 de mayo de 2022, C-382 del 27 de mayo de 2022, C-449 del 25 de julio de 2022, C-453 del 14 de julio de 2022,  C-488 del 29 de julio de 2022, C-494 del 28 de julio de 2022 y C-501 del 29 de julio de 2022. El mismo tema ha sido estudiado por esta Subdirección en los conceptos C-486 del 2 de septiembre de 2022, C-671 del 19 de octubre de 2022, C-576 del 25 de octubre de 2022, C-042 del 29 de marzo de 2023, C-056 del 26 de abril de 2023, C-099 del 28 de junio de 2024</w:t>
      </w:r>
      <w:r w:rsidR="00663F37">
        <w:rPr>
          <w:rFonts w:ascii="Verdana" w:eastAsia="Times New Roman" w:hAnsi="Verdana" w:cs="Arial"/>
          <w:lang w:eastAsia="es-ES_tradnl"/>
        </w:rPr>
        <w:t xml:space="preserve"> y C-</w:t>
      </w:r>
      <w:r w:rsidR="00292380">
        <w:rPr>
          <w:rFonts w:ascii="Verdana" w:eastAsia="Times New Roman" w:hAnsi="Verdana" w:cs="Arial"/>
          <w:lang w:eastAsia="es-ES_tradnl"/>
        </w:rPr>
        <w:t xml:space="preserve">936 del </w:t>
      </w:r>
      <w:r w:rsidR="006216A5">
        <w:rPr>
          <w:rFonts w:ascii="Verdana" w:eastAsia="Times New Roman" w:hAnsi="Verdana" w:cs="Arial"/>
          <w:lang w:eastAsia="es-ES_tradnl"/>
        </w:rPr>
        <w:t>10 de septiembre de 2024</w:t>
      </w:r>
      <w:r w:rsidRPr="00F95ECD">
        <w:rPr>
          <w:rStyle w:val="normaltextrun"/>
          <w:rFonts w:ascii="Verdana" w:hAnsi="Verdana" w:cs="Arial"/>
          <w:color w:val="7030A0"/>
          <w:shd w:val="clear" w:color="auto" w:fill="FFFFFF"/>
          <w:lang w:val="es-ES"/>
        </w:rPr>
        <w:t xml:space="preserve">. </w:t>
      </w:r>
      <w:r w:rsidRPr="00F95ECD">
        <w:rPr>
          <w:rStyle w:val="normaltextrun"/>
          <w:rFonts w:ascii="Verdana" w:hAnsi="Verdana" w:cs="Arial"/>
          <w:shd w:val="clear" w:color="auto" w:fill="FFFFFF"/>
          <w:lang w:val="es-ES"/>
        </w:rPr>
        <w:t>Es</w:t>
      </w:r>
      <w:r w:rsidRPr="00F95ECD">
        <w:rPr>
          <w:rFonts w:ascii="Verdana" w:hAnsi="Verdana"/>
        </w:rPr>
        <w:t>tos y otros conceptos se encuentran disponibles para consulta en el Sistema de relatoría de la Agencia, al cual se puede acceder a través del siguiente enlace:</w:t>
      </w:r>
      <w:r w:rsidRPr="00F95ECD">
        <w:rPr>
          <w:rStyle w:val="normaltextrun"/>
          <w:rFonts w:ascii="Verdana" w:hAnsi="Verdana" w:cs="Arial"/>
          <w:shd w:val="clear" w:color="auto" w:fill="FFFFFF"/>
          <w:lang w:val="es-ES"/>
        </w:rPr>
        <w:t xml:space="preserve"> </w:t>
      </w:r>
      <w:hyperlink r:id="rId9" w:history="1">
        <w:r w:rsidRPr="00F95ECD">
          <w:rPr>
            <w:rStyle w:val="Hipervnculo"/>
            <w:rFonts w:ascii="Verdana" w:hAnsi="Verdana" w:cs="Arial"/>
            <w:shd w:val="clear" w:color="auto" w:fill="FFFFFF"/>
            <w:lang w:val="es-ES"/>
          </w:rPr>
          <w:t>https://relatoria.colombiacompra.gov.co/busqueda/conceptos</w:t>
        </w:r>
      </w:hyperlink>
      <w:r w:rsidRPr="00F95ECD">
        <w:rPr>
          <w:rStyle w:val="normaltextrun"/>
          <w:rFonts w:ascii="Verdana" w:hAnsi="Verdana" w:cs="Arial"/>
          <w:color w:val="FF0000"/>
          <w:shd w:val="clear" w:color="auto" w:fill="FFFFFF"/>
          <w:lang w:val="es-ES"/>
        </w:rPr>
        <w:t xml:space="preserve">. </w:t>
      </w:r>
    </w:p>
    <w:p w14:paraId="71A39BCE" w14:textId="77777777" w:rsidR="00655054" w:rsidRPr="00F95ECD" w:rsidRDefault="00655054" w:rsidP="00655054">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2C9D2473" w14:textId="77777777" w:rsidR="00655054" w:rsidRPr="00F95ECD" w:rsidRDefault="00655054" w:rsidP="00655054">
      <w:pPr>
        <w:widowControl w:val="0"/>
        <w:autoSpaceDE w:val="0"/>
        <w:autoSpaceDN w:val="0"/>
        <w:spacing w:after="0" w:line="276" w:lineRule="auto"/>
        <w:jc w:val="both"/>
        <w:rPr>
          <w:rFonts w:ascii="Verdana" w:hAnsi="Verdana" w:cs="Arial"/>
          <w:lang w:val="es-ES_tradnl"/>
        </w:rPr>
      </w:pPr>
      <w:r w:rsidRPr="00F95ECD">
        <w:rPr>
          <w:rFonts w:ascii="Verdana" w:hAnsi="Verdana" w:cs="Arial"/>
        </w:rPr>
        <w:t xml:space="preserve">Este concepto tiene el alcance previsto en el artículo 28 del Código de Procedimiento Administrativo y de lo Contencioso Administrativo </w:t>
      </w:r>
      <w:r w:rsidRPr="00F95ECD">
        <w:rPr>
          <w:rFonts w:ascii="Verdana" w:hAnsi="Verdana" w:cs="Arial"/>
          <w:lang w:val="es-ES_tradnl"/>
        </w:rPr>
        <w:t>y las expresiones aquí utilizadas con mayúscula inicial deben ser entendidas con el significado que les otorga el artículo 2.2.1.1.1.3.1. del Decreto 1082 de 2015.</w:t>
      </w:r>
    </w:p>
    <w:p w14:paraId="238C17EF" w14:textId="77777777" w:rsidR="00655054" w:rsidRPr="00F95ECD" w:rsidRDefault="00655054" w:rsidP="00655054">
      <w:pPr>
        <w:widowControl w:val="0"/>
        <w:autoSpaceDE w:val="0"/>
        <w:autoSpaceDN w:val="0"/>
        <w:spacing w:after="0" w:line="276" w:lineRule="auto"/>
        <w:jc w:val="both"/>
        <w:rPr>
          <w:rFonts w:ascii="Verdana" w:hAnsi="Verdana" w:cs="Arial"/>
        </w:rPr>
      </w:pPr>
    </w:p>
    <w:p w14:paraId="507F0297" w14:textId="77777777" w:rsidR="00655054" w:rsidRDefault="00655054" w:rsidP="00655054">
      <w:pPr>
        <w:spacing w:after="0" w:line="240" w:lineRule="auto"/>
        <w:rPr>
          <w:rFonts w:ascii="Verdana" w:hAnsi="Verdana" w:cs="Arial"/>
          <w:lang w:eastAsia="es-CO"/>
        </w:rPr>
      </w:pPr>
      <w:r w:rsidRPr="00F95ECD">
        <w:rPr>
          <w:rFonts w:ascii="Verdana" w:eastAsia="Times New Roman" w:hAnsi="Verdana" w:cs="Arial"/>
          <w:lang w:eastAsia="es-CO"/>
        </w:rPr>
        <w:t>Atentamente,</w:t>
      </w:r>
      <w:r w:rsidRPr="00F95ECD">
        <w:rPr>
          <w:rFonts w:ascii="Verdana" w:hAnsi="Verdana" w:cs="Arial"/>
          <w:lang w:eastAsia="es-CO"/>
        </w:rPr>
        <w:t xml:space="preserve"> </w:t>
      </w:r>
    </w:p>
    <w:p w14:paraId="4B60B48D" w14:textId="3E92CDF8" w:rsidR="008B337A" w:rsidRPr="00F95ECD" w:rsidRDefault="008B337A" w:rsidP="008B337A">
      <w:pPr>
        <w:spacing w:after="0" w:line="240" w:lineRule="auto"/>
        <w:jc w:val="center"/>
        <w:rPr>
          <w:rFonts w:ascii="Verdana" w:hAnsi="Verdana" w:cs="Arial"/>
          <w:lang w:eastAsia="es-CO"/>
        </w:rPr>
      </w:pPr>
      <w:r>
        <w:rPr>
          <w:noProof/>
          <w14:ligatures w14:val="standardContextual"/>
        </w:rPr>
        <w:drawing>
          <wp:inline distT="0" distB="0" distL="0" distR="0" wp14:anchorId="20F485C7" wp14:editId="5FBCDF3C">
            <wp:extent cx="3088005" cy="1146175"/>
            <wp:effectExtent l="0" t="0" r="0" b="0"/>
            <wp:docPr id="42626686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8"/>
                    <a:stretch>
                      <a:fillRect/>
                    </a:stretch>
                  </pic:blipFill>
                  <pic:spPr>
                    <a:xfrm>
                      <a:off x="0" y="0"/>
                      <a:ext cx="3088005" cy="1146175"/>
                    </a:xfrm>
                    <a:prstGeom prst="rect">
                      <a:avLst/>
                    </a:prstGeom>
                  </pic:spPr>
                </pic:pic>
              </a:graphicData>
            </a:graphic>
          </wp:inline>
        </w:drawing>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6564"/>
      </w:tblGrid>
      <w:tr w:rsidR="00655054" w:rsidRPr="00F95ECD" w14:paraId="1648543A" w14:textId="77777777" w:rsidTr="008D5BE3">
        <w:trPr>
          <w:trHeight w:val="315"/>
        </w:trPr>
        <w:tc>
          <w:tcPr>
            <w:tcW w:w="893" w:type="dxa"/>
            <w:vAlign w:val="center"/>
            <w:hideMark/>
          </w:tcPr>
          <w:p w14:paraId="334D8BD6" w14:textId="77777777" w:rsidR="00655054" w:rsidRPr="00F95ECD" w:rsidRDefault="00655054" w:rsidP="008D5BE3">
            <w:pPr>
              <w:contextualSpacing/>
              <w:rPr>
                <w:rFonts w:ascii="Verdana" w:hAnsi="Verdana" w:cs="Arial"/>
                <w:sz w:val="16"/>
                <w:szCs w:val="16"/>
                <w:lang w:val="es-ES" w:eastAsia="es-ES"/>
              </w:rPr>
            </w:pPr>
            <w:r w:rsidRPr="00F95ECD">
              <w:rPr>
                <w:rFonts w:ascii="Verdana" w:hAnsi="Verdana" w:cs="Arial"/>
                <w:sz w:val="16"/>
                <w:szCs w:val="16"/>
                <w:lang w:val="es-ES" w:eastAsia="es-ES"/>
              </w:rPr>
              <w:t>Elaboró:</w:t>
            </w:r>
          </w:p>
        </w:tc>
        <w:tc>
          <w:tcPr>
            <w:tcW w:w="6564" w:type="dxa"/>
            <w:tcBorders>
              <w:top w:val="nil"/>
              <w:left w:val="nil"/>
              <w:bottom w:val="dotted" w:sz="4" w:space="0" w:color="7F7F7F" w:themeColor="text1" w:themeTint="80"/>
              <w:right w:val="nil"/>
            </w:tcBorders>
            <w:vAlign w:val="center"/>
            <w:hideMark/>
          </w:tcPr>
          <w:p w14:paraId="40FA4F9B" w14:textId="77777777" w:rsidR="00655054" w:rsidRPr="00F95ECD" w:rsidRDefault="00655054" w:rsidP="008D5BE3">
            <w:pPr>
              <w:contextualSpacing/>
              <w:rPr>
                <w:rFonts w:ascii="Verdana" w:eastAsia="Arial" w:hAnsi="Verdana" w:cs="Arial"/>
                <w:sz w:val="16"/>
                <w:szCs w:val="16"/>
              </w:rPr>
            </w:pPr>
            <w:r w:rsidRPr="00F95ECD">
              <w:rPr>
                <w:rStyle w:val="normaltextrun"/>
                <w:rFonts w:ascii="Verdana" w:eastAsia="Arial" w:hAnsi="Verdana" w:cs="Arial"/>
                <w:sz w:val="16"/>
                <w:szCs w:val="16"/>
              </w:rPr>
              <w:t>Diana Lucia Saavedra Castañeda</w:t>
            </w:r>
          </w:p>
          <w:p w14:paraId="5DCCD65B" w14:textId="77777777" w:rsidR="00655054" w:rsidRPr="00F95ECD" w:rsidRDefault="00655054" w:rsidP="008D5BE3">
            <w:pPr>
              <w:contextualSpacing/>
              <w:rPr>
                <w:rFonts w:ascii="Verdana" w:eastAsia="Arial" w:hAnsi="Verdana" w:cs="Arial"/>
                <w:sz w:val="16"/>
                <w:szCs w:val="16"/>
              </w:rPr>
            </w:pPr>
            <w:r w:rsidRPr="00F95ECD">
              <w:rPr>
                <w:rStyle w:val="normaltextrun"/>
                <w:rFonts w:ascii="Verdana" w:eastAsia="Arial" w:hAnsi="Verdana" w:cs="Arial"/>
                <w:sz w:val="16"/>
                <w:szCs w:val="16"/>
              </w:rPr>
              <w:t>Contratista de la Subdirección de Gestión Contractual</w:t>
            </w:r>
          </w:p>
        </w:tc>
      </w:tr>
      <w:tr w:rsidR="00655054" w:rsidRPr="00F95ECD" w14:paraId="011E2911" w14:textId="77777777" w:rsidTr="008D5BE3">
        <w:trPr>
          <w:trHeight w:val="330"/>
        </w:trPr>
        <w:tc>
          <w:tcPr>
            <w:tcW w:w="893" w:type="dxa"/>
            <w:vAlign w:val="center"/>
            <w:hideMark/>
          </w:tcPr>
          <w:p w14:paraId="6FD3EF83" w14:textId="77777777" w:rsidR="00655054" w:rsidRPr="00F95ECD" w:rsidRDefault="00655054" w:rsidP="008D5BE3">
            <w:pPr>
              <w:contextualSpacing/>
              <w:rPr>
                <w:rFonts w:ascii="Verdana" w:hAnsi="Verdana" w:cs="Arial"/>
                <w:sz w:val="16"/>
                <w:szCs w:val="16"/>
                <w:lang w:val="es-ES" w:eastAsia="es-ES"/>
              </w:rPr>
            </w:pPr>
            <w:r w:rsidRPr="00F95ECD">
              <w:rPr>
                <w:rFonts w:ascii="Verdana" w:hAnsi="Verdana" w:cs="Arial"/>
                <w:sz w:val="16"/>
                <w:szCs w:val="16"/>
                <w:lang w:val="es-ES" w:eastAsia="es-ES"/>
              </w:rPr>
              <w:t>Revisó:</w:t>
            </w:r>
          </w:p>
        </w:tc>
        <w:tc>
          <w:tcPr>
            <w:tcW w:w="6564" w:type="dxa"/>
            <w:tcBorders>
              <w:top w:val="dotted" w:sz="4" w:space="0" w:color="7F7F7F" w:themeColor="text1" w:themeTint="80"/>
              <w:left w:val="nil"/>
              <w:bottom w:val="dotted" w:sz="4" w:space="0" w:color="7F7F7F" w:themeColor="text1" w:themeTint="80"/>
              <w:right w:val="nil"/>
            </w:tcBorders>
            <w:vAlign w:val="center"/>
            <w:hideMark/>
          </w:tcPr>
          <w:p w14:paraId="30986881" w14:textId="77777777" w:rsidR="00655054" w:rsidRPr="00F95ECD" w:rsidRDefault="00655054" w:rsidP="008D5BE3">
            <w:pPr>
              <w:pStyle w:val="paragraph"/>
              <w:spacing w:before="0" w:beforeAutospacing="0" w:after="0" w:afterAutospacing="0"/>
              <w:contextualSpacing/>
              <w:textAlignment w:val="baseline"/>
              <w:rPr>
                <w:rFonts w:ascii="Verdana" w:hAnsi="Verdana" w:cs="Segoe UI"/>
                <w:sz w:val="16"/>
                <w:szCs w:val="16"/>
              </w:rPr>
            </w:pPr>
            <w:r w:rsidRPr="00F95ECD">
              <w:rPr>
                <w:rStyle w:val="normaltextrun"/>
                <w:rFonts w:ascii="Verdana" w:hAnsi="Verdana" w:cs="Arial"/>
                <w:sz w:val="16"/>
                <w:szCs w:val="16"/>
                <w:lang w:val="es-ES"/>
              </w:rPr>
              <w:t>Alejandro Raúl Sarmiento Cantillo</w:t>
            </w:r>
          </w:p>
          <w:p w14:paraId="61EDF6B3" w14:textId="77777777" w:rsidR="00655054" w:rsidRPr="00F95ECD" w:rsidRDefault="00655054" w:rsidP="008D5BE3">
            <w:pPr>
              <w:pStyle w:val="paragraph"/>
              <w:spacing w:before="0" w:beforeAutospacing="0" w:after="0" w:afterAutospacing="0"/>
              <w:contextualSpacing/>
              <w:textAlignment w:val="baseline"/>
              <w:rPr>
                <w:rFonts w:ascii="Verdana" w:hAnsi="Verdana" w:cs="Segoe UI"/>
                <w:sz w:val="16"/>
                <w:szCs w:val="16"/>
              </w:rPr>
            </w:pPr>
            <w:r w:rsidRPr="00F95ECD">
              <w:rPr>
                <w:rStyle w:val="normaltextrun"/>
                <w:rFonts w:ascii="Verdana" w:hAnsi="Verdana" w:cs="Arial"/>
                <w:color w:val="000000"/>
                <w:sz w:val="16"/>
                <w:szCs w:val="16"/>
                <w:lang w:val="es-ES"/>
              </w:rPr>
              <w:t xml:space="preserve">Gestor T1-15 </w:t>
            </w:r>
            <w:r w:rsidRPr="00F95ECD">
              <w:rPr>
                <w:rStyle w:val="normaltextrun"/>
                <w:rFonts w:ascii="Verdana" w:hAnsi="Verdana" w:cs="Arial"/>
                <w:sz w:val="16"/>
                <w:szCs w:val="16"/>
                <w:lang w:val="es-ES"/>
              </w:rPr>
              <w:t>de la Subdirección de Gestión Contractual</w:t>
            </w:r>
            <w:r w:rsidRPr="00F95ECD">
              <w:rPr>
                <w:rStyle w:val="eop"/>
                <w:rFonts w:ascii="Verdana" w:hAnsi="Verdana" w:cs="Arial"/>
                <w:sz w:val="16"/>
                <w:szCs w:val="16"/>
              </w:rPr>
              <w:t> </w:t>
            </w:r>
          </w:p>
        </w:tc>
      </w:tr>
      <w:tr w:rsidR="00655054" w:rsidRPr="00F95ECD" w14:paraId="2BE835CE" w14:textId="77777777" w:rsidTr="008D5BE3">
        <w:trPr>
          <w:trHeight w:val="300"/>
        </w:trPr>
        <w:tc>
          <w:tcPr>
            <w:tcW w:w="893" w:type="dxa"/>
            <w:vAlign w:val="center"/>
          </w:tcPr>
          <w:p w14:paraId="7D1A2433" w14:textId="77777777" w:rsidR="00655054" w:rsidRPr="00F95ECD" w:rsidRDefault="00655054" w:rsidP="008D5BE3">
            <w:pPr>
              <w:contextualSpacing/>
              <w:rPr>
                <w:rFonts w:ascii="Verdana" w:hAnsi="Verdana" w:cs="Arial"/>
                <w:sz w:val="16"/>
                <w:szCs w:val="16"/>
                <w:lang w:val="es-ES" w:eastAsia="es-ES"/>
              </w:rPr>
            </w:pPr>
            <w:r w:rsidRPr="00F95ECD">
              <w:rPr>
                <w:rFonts w:ascii="Verdana" w:hAnsi="Verdana" w:cs="Arial"/>
                <w:sz w:val="16"/>
                <w:szCs w:val="16"/>
                <w:lang w:val="es-ES" w:eastAsia="es-ES"/>
              </w:rPr>
              <w:t>Aprobó:</w:t>
            </w:r>
          </w:p>
        </w:tc>
        <w:tc>
          <w:tcPr>
            <w:tcW w:w="6564" w:type="dxa"/>
            <w:tcBorders>
              <w:top w:val="dotted" w:sz="4" w:space="0" w:color="7F7F7F" w:themeColor="text1" w:themeTint="80"/>
              <w:left w:val="nil"/>
              <w:bottom w:val="dotted" w:sz="4" w:space="0" w:color="7F7F7F" w:themeColor="text1" w:themeTint="80"/>
              <w:right w:val="nil"/>
            </w:tcBorders>
            <w:vAlign w:val="center"/>
          </w:tcPr>
          <w:p w14:paraId="6EEBAD1D" w14:textId="77777777" w:rsidR="00655054" w:rsidRPr="00F95ECD" w:rsidRDefault="00655054" w:rsidP="008D5BE3">
            <w:pPr>
              <w:contextualSpacing/>
              <w:rPr>
                <w:rFonts w:ascii="Verdana" w:eastAsia="Calibri" w:hAnsi="Verdana" w:cs="Arial"/>
                <w:sz w:val="16"/>
                <w:szCs w:val="16"/>
                <w:lang w:val="pt-BR" w:eastAsia="es-ES"/>
              </w:rPr>
            </w:pPr>
            <w:r w:rsidRPr="00F95ECD">
              <w:rPr>
                <w:rFonts w:ascii="Verdana" w:eastAsia="Calibri" w:hAnsi="Verdana" w:cs="Arial"/>
                <w:sz w:val="16"/>
                <w:szCs w:val="16"/>
                <w:lang w:val="pt-BR" w:eastAsia="es-ES"/>
              </w:rPr>
              <w:t>Carolina Quintero Gacharná</w:t>
            </w:r>
          </w:p>
          <w:p w14:paraId="625D2F30" w14:textId="77777777" w:rsidR="00655054" w:rsidRPr="00F95ECD" w:rsidRDefault="00655054" w:rsidP="008D5BE3">
            <w:pPr>
              <w:contextualSpacing/>
              <w:rPr>
                <w:rFonts w:ascii="Verdana" w:eastAsia="Calibri" w:hAnsi="Verdana" w:cs="Arial"/>
                <w:sz w:val="16"/>
                <w:szCs w:val="16"/>
                <w:lang w:val="pt-BR" w:eastAsia="es-ES"/>
              </w:rPr>
            </w:pPr>
            <w:r w:rsidRPr="00F95ECD">
              <w:rPr>
                <w:rFonts w:ascii="Verdana" w:eastAsia="Calibri" w:hAnsi="Verdana" w:cs="Arial"/>
                <w:sz w:val="16"/>
                <w:szCs w:val="16"/>
                <w:lang w:eastAsia="es-ES"/>
              </w:rPr>
              <w:t>Subdirectora</w:t>
            </w:r>
            <w:r w:rsidRPr="00F95ECD">
              <w:rPr>
                <w:rFonts w:ascii="Verdana" w:eastAsia="Calibri" w:hAnsi="Verdana" w:cs="Arial"/>
                <w:sz w:val="16"/>
                <w:szCs w:val="16"/>
                <w:lang w:val="pt-BR" w:eastAsia="es-ES"/>
              </w:rPr>
              <w:t xml:space="preserve"> de Gestión Contractual ANCP – CCE</w:t>
            </w:r>
          </w:p>
        </w:tc>
      </w:tr>
    </w:tbl>
    <w:p w14:paraId="0664F2DC" w14:textId="77777777" w:rsidR="00655054" w:rsidRPr="00F95ECD" w:rsidRDefault="00655054" w:rsidP="00655054">
      <w:pPr>
        <w:rPr>
          <w:rFonts w:ascii="Verdana" w:hAnsi="Verdana" w:cs="Arial"/>
          <w:lang w:eastAsia="es-ES"/>
        </w:rPr>
      </w:pPr>
    </w:p>
    <w:p w14:paraId="69C59F49" w14:textId="77777777" w:rsidR="00655054" w:rsidRPr="00F95ECD" w:rsidRDefault="00655054" w:rsidP="00655054">
      <w:pPr>
        <w:spacing w:after="0" w:line="240" w:lineRule="auto"/>
        <w:jc w:val="both"/>
        <w:textAlignment w:val="baseline"/>
        <w:rPr>
          <w:rFonts w:ascii="Verdana" w:eastAsia="Times New Roman" w:hAnsi="Verdana" w:cs="Segoe UI"/>
          <w:sz w:val="18"/>
          <w:szCs w:val="18"/>
          <w:lang w:eastAsia="es-CO"/>
        </w:rPr>
      </w:pPr>
    </w:p>
    <w:p w14:paraId="7F5768CD" w14:textId="77777777" w:rsidR="00655054" w:rsidRDefault="00655054"/>
    <w:sectPr w:rsidR="00655054" w:rsidSect="00655054">
      <w:headerReference w:type="default" r:id="rId10"/>
      <w:footerReference w:type="default" r:id="rId1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A9516" w14:textId="77777777" w:rsidR="00AA6029" w:rsidRDefault="00AA6029" w:rsidP="00655054">
      <w:pPr>
        <w:spacing w:after="0" w:line="240" w:lineRule="auto"/>
      </w:pPr>
      <w:r>
        <w:separator/>
      </w:r>
    </w:p>
  </w:endnote>
  <w:endnote w:type="continuationSeparator" w:id="0">
    <w:p w14:paraId="106193AA" w14:textId="77777777" w:rsidR="00AA6029" w:rsidRDefault="00AA6029" w:rsidP="0065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mbria"/>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63CF0" w14:textId="77777777" w:rsidR="0073721C" w:rsidRDefault="0073721C">
    <w:pPr>
      <w:pStyle w:val="Piedepgina"/>
    </w:pPr>
  </w:p>
  <w:p w14:paraId="42ACBD05" w14:textId="77777777" w:rsidR="0073721C" w:rsidRPr="00174B77" w:rsidRDefault="008B337A"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7DC5024" w14:textId="77777777" w:rsidR="0073721C" w:rsidRDefault="008B337A"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59FB616C" w14:textId="77777777" w:rsidR="0073721C" w:rsidRPr="00E41027" w:rsidRDefault="008B337A" w:rsidP="00D520D8">
    <w:pPr>
      <w:spacing w:after="0"/>
      <w:jc w:val="both"/>
      <w:rPr>
        <w:rFonts w:ascii="Verdana" w:hAnsi="Verdana"/>
        <w:sz w:val="18"/>
        <w:szCs w:val="18"/>
      </w:rPr>
    </w:pPr>
    <w:r w:rsidRPr="00E41027">
      <w:rPr>
        <w:rFonts w:ascii="Verdana" w:hAnsi="Verdana"/>
        <w:sz w:val="18"/>
        <w:szCs w:val="18"/>
      </w:rPr>
      <w:t>Mesa de servicio: (+57) 601 7456788</w:t>
    </w:r>
  </w:p>
  <w:p w14:paraId="1BD55F40" w14:textId="77777777" w:rsidR="0073721C" w:rsidRDefault="008B337A"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F378B" w14:textId="77777777" w:rsidR="00AA6029" w:rsidRDefault="00AA6029" w:rsidP="00655054">
      <w:pPr>
        <w:spacing w:after="0" w:line="240" w:lineRule="auto"/>
      </w:pPr>
      <w:r>
        <w:separator/>
      </w:r>
    </w:p>
  </w:footnote>
  <w:footnote w:type="continuationSeparator" w:id="0">
    <w:p w14:paraId="0028B46A" w14:textId="77777777" w:rsidR="00AA6029" w:rsidRDefault="00AA6029" w:rsidP="00655054">
      <w:pPr>
        <w:spacing w:after="0" w:line="240" w:lineRule="auto"/>
      </w:pPr>
      <w:r>
        <w:continuationSeparator/>
      </w:r>
    </w:p>
  </w:footnote>
  <w:footnote w:id="1">
    <w:p w14:paraId="290CAC16"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66329398"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w:t>
      </w:r>
      <w:r w:rsidRPr="00023055">
        <w:rPr>
          <w:rFonts w:ascii="Verdana" w:hAnsi="Verdana" w:cs="Arial"/>
          <w:color w:val="000000" w:themeColor="text1"/>
          <w:sz w:val="16"/>
          <w:szCs w:val="16"/>
          <w:lang w:val="es-CO"/>
        </w:rPr>
        <w:t xml:space="preserve">Ley 1882 de 2018: “Artículo 4. </w:t>
      </w:r>
      <w:r w:rsidRPr="00023055">
        <w:rPr>
          <w:rFonts w:ascii="Verdana" w:hAnsi="Verdana" w:cs="Arial"/>
          <w:color w:val="000000" w:themeColor="text1"/>
          <w:sz w:val="16"/>
          <w:szCs w:val="16"/>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D5512A0" w14:textId="77777777" w:rsidR="00655054" w:rsidRPr="00023055" w:rsidRDefault="00655054" w:rsidP="00655054">
      <w:pPr>
        <w:pStyle w:val="Textonotapie"/>
        <w:ind w:firstLine="709"/>
        <w:contextualSpacing/>
        <w:jc w:val="both"/>
        <w:rPr>
          <w:rFonts w:ascii="Verdana" w:hAnsi="Verdana" w:cs="Arial"/>
          <w:color w:val="000000" w:themeColor="text1"/>
          <w:sz w:val="16"/>
          <w:szCs w:val="16"/>
          <w:lang w:val="es-CO"/>
        </w:rPr>
      </w:pPr>
      <w:r w:rsidRPr="00023055">
        <w:rPr>
          <w:rFonts w:ascii="Verdana" w:hAnsi="Verdana" w:cs="Arial"/>
          <w:color w:val="000000" w:themeColor="text1"/>
          <w:sz w:val="16"/>
          <w:szCs w:val="16"/>
          <w:lang w:val="es-CO"/>
        </w:rPr>
        <w:t>La facultad de adoptar documentos tipo la tendrá el Gobierno nacional, cuando lo considere necesario, en relación con otros contratos o procesos de selección.</w:t>
      </w:r>
    </w:p>
    <w:p w14:paraId="03B846E4" w14:textId="77777777" w:rsidR="00655054" w:rsidRPr="00023055" w:rsidRDefault="00655054" w:rsidP="00655054">
      <w:pPr>
        <w:pStyle w:val="Textonotapie"/>
        <w:ind w:firstLine="709"/>
        <w:contextualSpacing/>
        <w:jc w:val="both"/>
        <w:rPr>
          <w:rFonts w:ascii="Verdana" w:hAnsi="Verdana" w:cs="Arial"/>
          <w:color w:val="000000" w:themeColor="text1"/>
          <w:sz w:val="16"/>
          <w:szCs w:val="16"/>
          <w:lang w:val="es-CO"/>
        </w:rPr>
      </w:pPr>
      <w:r w:rsidRPr="00023055">
        <w:rPr>
          <w:rFonts w:ascii="Verdana" w:hAnsi="Verdana" w:cs="Arial"/>
          <w:color w:val="000000" w:themeColor="text1"/>
          <w:sz w:val="16"/>
          <w:szCs w:val="16"/>
          <w:lang w:val="es-CO"/>
        </w:rPr>
        <w:t>Los pliegos tipo se adoptarán por categorías de acuerdo con la cuantía de la contratación, según la reglamentación que expida el Gobierno nacional”.</w:t>
      </w:r>
    </w:p>
  </w:footnote>
  <w:footnote w:id="3">
    <w:p w14:paraId="4F84463C"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CORTE CONSTITUCIONAL, sentencia C-119 de 2020. M.P. Alejandro Linares Cantillo. En dicha oportunidad se indicó que: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4">
    <w:p w14:paraId="2087487C" w14:textId="77777777" w:rsidR="00655054" w:rsidRPr="00023055" w:rsidRDefault="00655054" w:rsidP="00655054">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Style w:val="Refdenotaalpie"/>
          <w:rFonts w:ascii="Verdana" w:eastAsiaTheme="majorEastAsia" w:hAnsi="Verdana" w:cs="Arial"/>
          <w:color w:val="000000" w:themeColor="text1"/>
          <w:sz w:val="16"/>
          <w:szCs w:val="16"/>
        </w:rPr>
        <w:footnoteRef/>
      </w:r>
      <w:r w:rsidRPr="00023055">
        <w:rPr>
          <w:rFonts w:ascii="Verdana" w:hAnsi="Verdana" w:cs="Arial"/>
          <w:color w:val="000000" w:themeColor="text1"/>
          <w:sz w:val="16"/>
          <w:szCs w:val="16"/>
        </w:rPr>
        <w:t xml:space="preserve"> Ley 2022 de 2020: “</w:t>
      </w:r>
      <w:r w:rsidRPr="00023055">
        <w:rPr>
          <w:rStyle w:val="Textoennegrita"/>
          <w:rFonts w:ascii="Verdana" w:hAnsi="Verdana" w:cs="Arial"/>
          <w:color w:val="000000" w:themeColor="text1"/>
          <w:sz w:val="16"/>
          <w:szCs w:val="16"/>
        </w:rPr>
        <w:t xml:space="preserve">Artículo 1º. </w:t>
      </w:r>
      <w:r w:rsidRPr="00023055">
        <w:rPr>
          <w:rFonts w:ascii="Verdana" w:hAnsi="Verdana" w:cs="Arial"/>
          <w:color w:val="000000" w:themeColor="text1"/>
          <w:sz w:val="16"/>
          <w:szCs w:val="16"/>
        </w:rPr>
        <w:t>Modifíquese el artículo 4º de la Ley 1882 de 2018, el cual quedará así:</w:t>
      </w:r>
    </w:p>
    <w:p w14:paraId="00F48AFA" w14:textId="77777777" w:rsidR="00655054" w:rsidRPr="00023055" w:rsidRDefault="00655054" w:rsidP="00655054">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Style w:val="Textoennegrita"/>
          <w:rFonts w:ascii="Verdana" w:hAnsi="Verdana" w:cs="Arial"/>
          <w:color w:val="000000" w:themeColor="text1"/>
          <w:sz w:val="16"/>
          <w:szCs w:val="16"/>
        </w:rPr>
        <w:t xml:space="preserve">“Artículo 4º. </w:t>
      </w:r>
      <w:r w:rsidRPr="00023055">
        <w:rPr>
          <w:rFonts w:ascii="Verdana" w:hAnsi="Verdana" w:cs="Arial"/>
          <w:color w:val="000000" w:themeColor="text1"/>
          <w:sz w:val="16"/>
          <w:szCs w:val="16"/>
        </w:rPr>
        <w:t>Adiciónese el siguiente parágrafo al artículo 2º de la Ley 1150 de 2007.</w:t>
      </w:r>
    </w:p>
    <w:p w14:paraId="408448B3" w14:textId="77777777" w:rsidR="00655054" w:rsidRPr="00023055" w:rsidRDefault="00655054" w:rsidP="00655054">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Style w:val="Textoennegrita"/>
          <w:rFonts w:ascii="Verdana" w:hAnsi="Verdana" w:cs="Arial"/>
          <w:color w:val="000000" w:themeColor="text1"/>
          <w:sz w:val="16"/>
          <w:szCs w:val="16"/>
        </w:rPr>
        <w:t xml:space="preserve">Parágrafo 7º. </w:t>
      </w:r>
      <w:r w:rsidRPr="00023055">
        <w:rPr>
          <w:rFonts w:ascii="Verdana" w:hAnsi="Verdana" w:cs="Arial"/>
          <w:color w:val="000000" w:themeColor="text1"/>
          <w:sz w:val="16"/>
          <w:szCs w:val="16"/>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DE5D77E" w14:textId="77777777" w:rsidR="00655054" w:rsidRPr="00023055" w:rsidRDefault="00655054" w:rsidP="00655054">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588C142" w14:textId="77777777" w:rsidR="00655054" w:rsidRPr="00023055" w:rsidRDefault="00655054" w:rsidP="00655054">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A6ADB91" w14:textId="77777777" w:rsidR="00655054" w:rsidRPr="00023055" w:rsidRDefault="00655054" w:rsidP="00655054">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076144F" w14:textId="77777777" w:rsidR="00655054" w:rsidRPr="00023055" w:rsidRDefault="00655054" w:rsidP="00655054">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4CF5CAE1" w14:textId="77777777" w:rsidR="00655054" w:rsidRPr="00023055" w:rsidRDefault="00655054" w:rsidP="00655054">
      <w:pPr>
        <w:pStyle w:val="Textonotapie"/>
        <w:ind w:firstLine="708"/>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Los Documentos Tipo expedidos por la Agencia Nacional de Contratación Pública – Colombia Compra Eficiente pueden ser consultados en el siguiente enlace: </w:t>
      </w:r>
      <w:hyperlink r:id="rId1" w:history="1">
        <w:r w:rsidRPr="00023055">
          <w:rPr>
            <w:rStyle w:val="Hipervnculo"/>
            <w:rFonts w:ascii="Verdana" w:hAnsi="Verdana" w:cs="Arial"/>
            <w:color w:val="000000" w:themeColor="text1"/>
            <w:sz w:val="16"/>
            <w:szCs w:val="16"/>
          </w:rPr>
          <w:t>https://www.colombiacompra.gov.co/documentos-tipo/documentos-tipo</w:t>
        </w:r>
      </w:hyperlink>
      <w:r w:rsidRPr="00023055">
        <w:rPr>
          <w:rFonts w:ascii="Verdana" w:hAnsi="Verdana" w:cs="Arial"/>
          <w:color w:val="000000" w:themeColor="text1"/>
          <w:sz w:val="16"/>
          <w:szCs w:val="16"/>
        </w:rPr>
        <w:t xml:space="preserve"> </w:t>
      </w:r>
    </w:p>
  </w:footnote>
  <w:footnote w:id="6">
    <w:p w14:paraId="0C74EBB7" w14:textId="77777777" w:rsidR="00655054" w:rsidRPr="00023055" w:rsidRDefault="00655054" w:rsidP="00655054">
      <w:pPr>
        <w:pStyle w:val="Textonotapie"/>
        <w:ind w:firstLine="708"/>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En este sentido, a modo de ejemplo, en el «documento base» del documento tipo de licitación se establece lo siguiente: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footnote>
  <w:footnote w:id="7">
    <w:p w14:paraId="7C837F7A" w14:textId="77777777" w:rsidR="00655054" w:rsidRPr="00023055" w:rsidRDefault="00655054" w:rsidP="00655054">
      <w:pPr>
        <w:pStyle w:val="Textonotapie"/>
        <w:ind w:firstLine="708"/>
        <w:contextualSpacing/>
        <w:jc w:val="both"/>
        <w:rPr>
          <w:rFonts w:ascii="Verdana" w:hAnsi="Verdana" w:cs="Arial"/>
          <w:color w:val="000000" w:themeColor="text1"/>
          <w:sz w:val="16"/>
          <w:szCs w:val="16"/>
          <w:lang w:val="es-CO"/>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CONGRESO DE LA REPÚBLICA., Gacetas</w:t>
      </w:r>
      <w:r w:rsidRPr="00023055">
        <w:rPr>
          <w:rFonts w:ascii="Verdana" w:hAnsi="Verdana" w:cs="Arial"/>
          <w:color w:val="000000" w:themeColor="text1"/>
          <w:sz w:val="16"/>
          <w:szCs w:val="16"/>
          <w:lang w:val="es-CO"/>
        </w:rPr>
        <w:t xml:space="preserve"> legislativas No. 1860 y 1861 de 2021, de Cámara de Representantes y Senado, respectivamente.</w:t>
      </w:r>
    </w:p>
  </w:footnote>
  <w:footnote w:id="8">
    <w:p w14:paraId="5BBE6DC5" w14:textId="77777777" w:rsidR="00655054" w:rsidRPr="00023055" w:rsidRDefault="00655054" w:rsidP="00655054">
      <w:pPr>
        <w:pStyle w:val="Textonotapie"/>
        <w:ind w:firstLine="708"/>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w:t>
      </w:r>
      <w:bookmarkStart w:id="22" w:name="2"/>
      <w:r w:rsidRPr="00023055">
        <w:rPr>
          <w:rFonts w:ascii="Verdana" w:hAnsi="Verdana" w:cs="Arial"/>
          <w:color w:val="000000" w:themeColor="text1"/>
          <w:sz w:val="16"/>
          <w:szCs w:val="16"/>
        </w:rPr>
        <w:t>“Artículo 2o. De las modalidades de selección.</w:t>
      </w:r>
      <w:bookmarkEnd w:id="22"/>
      <w:r w:rsidRPr="00023055">
        <w:rPr>
          <w:rFonts w:ascii="Verdana" w:hAnsi="Verdana" w:cs="Arial"/>
          <w:color w:val="000000" w:themeColor="text1"/>
          <w:sz w:val="16"/>
          <w:szCs w:val="16"/>
        </w:rPr>
        <w:t> La escogencia del contratista se efectuará con arreglo a las modalidades de selección de licitación pública, selección abreviada, concurso de méritos y contratación directa, con base en las siguientes reglas:</w:t>
      </w:r>
    </w:p>
    <w:p w14:paraId="3386018C" w14:textId="77777777" w:rsidR="00655054" w:rsidRPr="00023055" w:rsidRDefault="00655054" w:rsidP="00655054">
      <w:pPr>
        <w:pStyle w:val="Textonotapie"/>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w:t>
      </w:r>
    </w:p>
    <w:p w14:paraId="36F62FAD" w14:textId="77777777" w:rsidR="00655054" w:rsidRPr="00023055" w:rsidRDefault="00655054" w:rsidP="00655054">
      <w:pPr>
        <w:pStyle w:val="Textonotapie"/>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“4. </w:t>
      </w:r>
      <w:r w:rsidRPr="00023055">
        <w:rPr>
          <w:rStyle w:val="baj"/>
          <w:rFonts w:ascii="Verdana" w:hAnsi="Verdana" w:cs="Arial"/>
          <w:color w:val="000000" w:themeColor="text1"/>
          <w:sz w:val="16"/>
          <w:szCs w:val="16"/>
        </w:rPr>
        <w:t>Contratación directa. </w:t>
      </w:r>
      <w:r w:rsidRPr="00023055">
        <w:rPr>
          <w:rFonts w:ascii="Verdana" w:hAnsi="Verdana" w:cs="Arial"/>
          <w:color w:val="000000" w:themeColor="text1"/>
          <w:sz w:val="16"/>
          <w:szCs w:val="16"/>
        </w:rPr>
        <w:t>La modalidad de selección de contratación directa solamente procederá en los siguientes casos:</w:t>
      </w:r>
    </w:p>
    <w:p w14:paraId="1D8FD532" w14:textId="77777777" w:rsidR="00655054" w:rsidRPr="00023055" w:rsidRDefault="00655054" w:rsidP="00655054">
      <w:pPr>
        <w:pStyle w:val="Textonotapie"/>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w:t>
      </w:r>
    </w:p>
    <w:p w14:paraId="31F28E5F" w14:textId="77777777" w:rsidR="00655054" w:rsidRPr="00023055" w:rsidRDefault="00655054" w:rsidP="00655054">
      <w:pPr>
        <w:pStyle w:val="Textonotapie"/>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“C. […]</w:t>
      </w:r>
    </w:p>
    <w:p w14:paraId="414C969F" w14:textId="77777777" w:rsidR="00655054" w:rsidRPr="00023055" w:rsidRDefault="00655054" w:rsidP="00655054">
      <w:pPr>
        <w:pStyle w:val="Textonotapie"/>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“Inciso 2o. modificado por el artículo 95 de la Ley 1474 de 2011–</w:t>
      </w:r>
      <w:r w:rsidRPr="00023055" w:rsidDel="002C5C6D">
        <w:rPr>
          <w:rFonts w:ascii="Verdana" w:hAnsi="Verdana" w:cs="Arial"/>
          <w:color w:val="000000" w:themeColor="text1"/>
          <w:sz w:val="16"/>
          <w:szCs w:val="16"/>
        </w:rPr>
        <w:t xml:space="preserve"> </w:t>
      </w:r>
      <w:r w:rsidRPr="00023055">
        <w:rPr>
          <w:rFonts w:ascii="Verdana" w:hAnsi="Verdana" w:cs="Arial"/>
          <w:color w:val="000000" w:themeColor="text1"/>
          <w:sz w:val="16"/>
          <w:szCs w:val="16"/>
        </w:rPr>
        <w:t xml:space="preserve"> 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9">
    <w:p w14:paraId="323B2FDF" w14:textId="77777777" w:rsidR="00655054" w:rsidRPr="00023055" w:rsidRDefault="00655054" w:rsidP="00655054">
      <w:pPr>
        <w:pStyle w:val="Textonotapie"/>
        <w:ind w:firstLine="709"/>
        <w:contextualSpacing/>
        <w:jc w:val="both"/>
        <w:rPr>
          <w:rFonts w:ascii="Verdana" w:hAnsi="Verdana" w:cs="Arial"/>
          <w:color w:val="000000" w:themeColor="text1"/>
          <w:sz w:val="16"/>
          <w:szCs w:val="16"/>
          <w:lang w:val="es-ES"/>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w:t>
      </w:r>
      <w:r w:rsidRPr="00023055">
        <w:rPr>
          <w:rFonts w:ascii="Verdana" w:hAnsi="Verdana" w:cs="Arial"/>
          <w:color w:val="000000" w:themeColor="text1"/>
          <w:sz w:val="16"/>
          <w:szCs w:val="16"/>
          <w:lang w:val="es-ES"/>
        </w:rPr>
        <w:t>Según García de Enterría: “Estos conceptos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10">
    <w:p w14:paraId="23A85D3F"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CORTE CONSTITUCIONAL, Sentencia C-382 de 2019, M.P. Alejandro Linares Cantillo.</w:t>
      </w:r>
    </w:p>
  </w:footnote>
  <w:footnote w:id="11">
    <w:p w14:paraId="0D0E0E8F"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La redacción original del parágrafo primero del artículo 32 de la Ley 80 de 1993, incluía la expresión giro ordinario,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 [Énfasis fuera de texto].</w:t>
      </w:r>
    </w:p>
  </w:footnote>
  <w:footnote w:id="12">
    <w:p w14:paraId="6F51412A"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CONSEJO DE ESTADO. Sección Tercera. Subsección B. Sentencia del 12 de octubre de 2011. Exp. No. 20070. C.P. Danilo Rojas Betancourt.</w:t>
      </w:r>
    </w:p>
  </w:footnote>
  <w:footnote w:id="13">
    <w:p w14:paraId="1B3DD176" w14:textId="77777777" w:rsidR="00655054" w:rsidRPr="00023055" w:rsidRDefault="00655054" w:rsidP="00655054">
      <w:pPr>
        <w:tabs>
          <w:tab w:val="left" w:pos="0"/>
        </w:tabs>
        <w:spacing w:after="0" w:line="240" w:lineRule="auto"/>
        <w:contextualSpacing/>
        <w:jc w:val="both"/>
        <w:rPr>
          <w:rFonts w:ascii="Verdana" w:eastAsia="Calibri" w:hAnsi="Verdana" w:cs="Arial"/>
          <w:color w:val="000000" w:themeColor="text1"/>
          <w:sz w:val="16"/>
          <w:szCs w:val="16"/>
          <w:lang w:val="es-ES_tradnl" w:eastAsia="es-ES_tradnl"/>
        </w:rPr>
      </w:pPr>
      <w:r w:rsidRPr="00023055">
        <w:rPr>
          <w:rFonts w:ascii="Verdana" w:hAnsi="Verdana" w:cs="Arial"/>
          <w:color w:val="000000" w:themeColor="text1"/>
          <w:sz w:val="16"/>
          <w:szCs w:val="16"/>
        </w:rPr>
        <w:tab/>
      </w: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CONSEJO DE ESTADO. Sección Tercera. Subsección A. Sentencia del 3 de marzo de 2021. Exp. No. 51373. C.P. José Roberto Sáchica Méndez. </w:t>
      </w:r>
      <w:r w:rsidRPr="00023055">
        <w:rPr>
          <w:rFonts w:ascii="Verdana" w:eastAsia="Calibri" w:hAnsi="Verdana" w:cs="Arial"/>
          <w:color w:val="000000" w:themeColor="text1"/>
          <w:sz w:val="16"/>
          <w:szCs w:val="16"/>
          <w:lang w:val="es-ES_tradnl" w:eastAsia="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footnote>
  <w:footnote w:id="14">
    <w:p w14:paraId="2D99503E" w14:textId="77777777" w:rsidR="00655054" w:rsidRPr="00023055" w:rsidRDefault="00655054" w:rsidP="00655054">
      <w:pPr>
        <w:pStyle w:val="Textonotapie"/>
        <w:ind w:firstLine="708"/>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la Superintendencia de Sociedades, citando doctrina autorizada en la materia, ha señalado: “Si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footnote>
  <w:footnote w:id="15">
    <w:p w14:paraId="6DA83316"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68BCC7A7"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16">
    <w:p w14:paraId="2D444AD4"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p>
    <w:p w14:paraId="2FF775D7"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p>
  </w:footnote>
  <w:footnote w:id="17">
    <w:p w14:paraId="4370963E"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Al respecto ha señalado la CORTE CONSTITUCIONAL: “En relación con el ámbito de configuración del legislador en materia contractual la jurisprudencia constitucional ha señalado los siguientes criterios:</w:t>
      </w:r>
    </w:p>
    <w:p w14:paraId="514099E5"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365CCA12"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0C0F340"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 xml:space="preserve">(iii)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 </w:t>
      </w:r>
    </w:p>
    <w:p w14:paraId="2540A882"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p>
  </w:footnote>
  <w:footnote w:id="18">
    <w:p w14:paraId="3C8D36ED" w14:textId="77777777" w:rsidR="00655054" w:rsidRPr="00023055" w:rsidRDefault="00655054" w:rsidP="00655054">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CONSEJO DE ESTADO. Sección Tercera. Subsección A. Sentencia del 24 de junio de 2015. Exp. 40.635. Consejero Ponente: Hernán Andrade Rincón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08AD" w14:textId="77777777" w:rsidR="0073721C" w:rsidRDefault="008B337A">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89C940F" wp14:editId="79E8B619">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6F9ED531" wp14:editId="3B65993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136A1E0" w14:textId="77777777" w:rsidR="0073721C" w:rsidRDefault="0073721C">
    <w:pPr>
      <w:pStyle w:val="Encabezado"/>
    </w:pPr>
  </w:p>
  <w:p w14:paraId="67ECDDB9" w14:textId="77777777" w:rsidR="0073721C" w:rsidRDefault="0073721C" w:rsidP="004A305D">
    <w:pPr>
      <w:spacing w:after="0"/>
      <w:rPr>
        <w:rFonts w:ascii="Verdana" w:hAnsi="Verdana"/>
        <w:b/>
        <w:bCs/>
      </w:rPr>
    </w:pPr>
  </w:p>
  <w:p w14:paraId="0502E9C3" w14:textId="77777777" w:rsidR="0073721C" w:rsidRPr="004A305D" w:rsidRDefault="0073721C" w:rsidP="00B01B1A">
    <w:pPr>
      <w:spacing w:after="0" w:line="120" w:lineRule="auto"/>
      <w:rPr>
        <w:rFonts w:ascii="Century Gothic" w:eastAsia="Geo" w:hAnsi="Century Gothic" w:cs="Geo"/>
        <w:sz w:val="16"/>
        <w:szCs w:val="16"/>
        <w:lang w:eastAsia="es-CO"/>
      </w:rPr>
    </w:pPr>
  </w:p>
  <w:p w14:paraId="5BCE925D" w14:textId="77777777" w:rsidR="0073721C" w:rsidRDefault="0073721C"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7F3A51E8"/>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2D205993"/>
    <w:multiLevelType w:val="hybridMultilevel"/>
    <w:tmpl w:val="0DD06800"/>
    <w:lvl w:ilvl="0" w:tplc="2E329C62">
      <w:start w:val="1"/>
      <w:numFmt w:val="upperRoman"/>
      <w:lvlText w:val="%1)"/>
      <w:lvlJc w:val="left"/>
      <w:pPr>
        <w:ind w:left="720" w:hanging="720"/>
      </w:pPr>
      <w:rPr>
        <w:rFonts w:eastAsia="Calibri"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330140246">
    <w:abstractNumId w:val="0"/>
  </w:num>
  <w:num w:numId="2" w16cid:durableId="679089576">
    <w:abstractNumId w:val="2"/>
  </w:num>
  <w:num w:numId="3" w16cid:durableId="2026784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54"/>
    <w:rsid w:val="00292380"/>
    <w:rsid w:val="00371B6C"/>
    <w:rsid w:val="0043132D"/>
    <w:rsid w:val="004A0F5D"/>
    <w:rsid w:val="005F4DFB"/>
    <w:rsid w:val="006216A5"/>
    <w:rsid w:val="00655054"/>
    <w:rsid w:val="00663F37"/>
    <w:rsid w:val="0073721C"/>
    <w:rsid w:val="008014C3"/>
    <w:rsid w:val="008B337A"/>
    <w:rsid w:val="00AA6029"/>
    <w:rsid w:val="00B077F7"/>
    <w:rsid w:val="00E91080"/>
    <w:rsid w:val="00F07CD4"/>
    <w:rsid w:val="00FD25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47A38F"/>
  <w15:chartTrackingRefBased/>
  <w15:docId w15:val="{36167D06-4A19-491A-A058-48C2C6BD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54"/>
    <w:pPr>
      <w:spacing w:line="259" w:lineRule="auto"/>
    </w:pPr>
    <w:rPr>
      <w:kern w:val="0"/>
      <w:sz w:val="22"/>
      <w:szCs w:val="22"/>
      <w14:ligatures w14:val="none"/>
    </w:rPr>
  </w:style>
  <w:style w:type="paragraph" w:styleId="Ttulo1">
    <w:name w:val="heading 1"/>
    <w:basedOn w:val="Normal"/>
    <w:next w:val="Normal"/>
    <w:link w:val="Ttulo1Car"/>
    <w:uiPriority w:val="9"/>
    <w:qFormat/>
    <w:rsid w:val="00655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55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550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550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550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550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50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50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50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50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550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550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550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550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550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50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50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5054"/>
    <w:rPr>
      <w:rFonts w:eastAsiaTheme="majorEastAsia" w:cstheme="majorBidi"/>
      <w:color w:val="272727" w:themeColor="text1" w:themeTint="D8"/>
    </w:rPr>
  </w:style>
  <w:style w:type="paragraph" w:styleId="Ttulo">
    <w:name w:val="Title"/>
    <w:basedOn w:val="Normal"/>
    <w:next w:val="Normal"/>
    <w:link w:val="TtuloCar"/>
    <w:uiPriority w:val="10"/>
    <w:qFormat/>
    <w:rsid w:val="00655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50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50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50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5054"/>
    <w:pPr>
      <w:spacing w:before="160"/>
      <w:jc w:val="center"/>
    </w:pPr>
    <w:rPr>
      <w:i/>
      <w:iCs/>
      <w:color w:val="404040" w:themeColor="text1" w:themeTint="BF"/>
    </w:rPr>
  </w:style>
  <w:style w:type="character" w:customStyle="1" w:styleId="CitaCar">
    <w:name w:val="Cita Car"/>
    <w:basedOn w:val="Fuentedeprrafopredeter"/>
    <w:link w:val="Cita"/>
    <w:uiPriority w:val="29"/>
    <w:rsid w:val="00655054"/>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655054"/>
    <w:pPr>
      <w:ind w:left="720"/>
      <w:contextualSpacing/>
    </w:pPr>
  </w:style>
  <w:style w:type="character" w:styleId="nfasisintenso">
    <w:name w:val="Intense Emphasis"/>
    <w:basedOn w:val="Fuentedeprrafopredeter"/>
    <w:uiPriority w:val="21"/>
    <w:qFormat/>
    <w:rsid w:val="00655054"/>
    <w:rPr>
      <w:i/>
      <w:iCs/>
      <w:color w:val="0F4761" w:themeColor="accent1" w:themeShade="BF"/>
    </w:rPr>
  </w:style>
  <w:style w:type="paragraph" w:styleId="Citadestacada">
    <w:name w:val="Intense Quote"/>
    <w:basedOn w:val="Normal"/>
    <w:next w:val="Normal"/>
    <w:link w:val="CitadestacadaCar"/>
    <w:uiPriority w:val="30"/>
    <w:qFormat/>
    <w:rsid w:val="00655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55054"/>
    <w:rPr>
      <w:i/>
      <w:iCs/>
      <w:color w:val="0F4761" w:themeColor="accent1" w:themeShade="BF"/>
    </w:rPr>
  </w:style>
  <w:style w:type="character" w:styleId="Referenciaintensa">
    <w:name w:val="Intense Reference"/>
    <w:basedOn w:val="Fuentedeprrafopredeter"/>
    <w:uiPriority w:val="32"/>
    <w:qFormat/>
    <w:rsid w:val="00655054"/>
    <w:rPr>
      <w:b/>
      <w:bCs/>
      <w:smallCaps/>
      <w:color w:val="0F4761" w:themeColor="accent1" w:themeShade="BF"/>
      <w:spacing w:val="5"/>
    </w:rPr>
  </w:style>
  <w:style w:type="paragraph" w:styleId="Encabezado">
    <w:name w:val="header"/>
    <w:basedOn w:val="Normal"/>
    <w:link w:val="EncabezadoCar"/>
    <w:uiPriority w:val="99"/>
    <w:unhideWhenUsed/>
    <w:rsid w:val="006550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5054"/>
    <w:rPr>
      <w:kern w:val="0"/>
      <w:sz w:val="22"/>
      <w:szCs w:val="22"/>
      <w14:ligatures w14:val="none"/>
    </w:rPr>
  </w:style>
  <w:style w:type="paragraph" w:styleId="Piedepgina">
    <w:name w:val="footer"/>
    <w:basedOn w:val="Normal"/>
    <w:link w:val="PiedepginaCar"/>
    <w:uiPriority w:val="99"/>
    <w:unhideWhenUsed/>
    <w:rsid w:val="006550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054"/>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550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55054"/>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55054"/>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55054"/>
    <w:rPr>
      <w:vertAlign w:val="superscript"/>
    </w:rPr>
  </w:style>
  <w:style w:type="character" w:customStyle="1" w:styleId="normaltextrun">
    <w:name w:val="normaltextrun"/>
    <w:basedOn w:val="Fuentedeprrafopredeter"/>
    <w:rsid w:val="00655054"/>
  </w:style>
  <w:style w:type="table" w:styleId="Tablaconcuadrcula">
    <w:name w:val="Table Grid"/>
    <w:basedOn w:val="Tablanormal"/>
    <w:uiPriority w:val="39"/>
    <w:qFormat/>
    <w:rsid w:val="0065505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55054"/>
    <w:rPr>
      <w:color w:val="0000FF"/>
      <w:u w:val="single"/>
    </w:rPr>
  </w:style>
  <w:style w:type="paragraph" w:customStyle="1" w:styleId="paragraph">
    <w:name w:val="paragraph"/>
    <w:basedOn w:val="Normal"/>
    <w:rsid w:val="006550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655054"/>
  </w:style>
  <w:style w:type="paragraph" w:styleId="NormalWeb">
    <w:name w:val="Normal (Web)"/>
    <w:basedOn w:val="Normal"/>
    <w:link w:val="NormalWebCar"/>
    <w:uiPriority w:val="99"/>
    <w:unhideWhenUsed/>
    <w:rsid w:val="006550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655054"/>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55054"/>
  </w:style>
  <w:style w:type="character" w:styleId="Textoennegrita">
    <w:name w:val="Strong"/>
    <w:basedOn w:val="Fuentedeprrafopredeter"/>
    <w:uiPriority w:val="22"/>
    <w:qFormat/>
    <w:rsid w:val="00655054"/>
    <w:rPr>
      <w:b/>
      <w:bCs/>
    </w:rPr>
  </w:style>
  <w:style w:type="character" w:customStyle="1" w:styleId="NormalWebCar">
    <w:name w:val="Normal (Web) Car"/>
    <w:link w:val="NormalWeb"/>
    <w:uiPriority w:val="99"/>
    <w:rsid w:val="00655054"/>
    <w:rPr>
      <w:rFonts w:ascii="Times New Roman" w:eastAsia="Times New Roman" w:hAnsi="Times New Roman" w:cs="Times New Roman"/>
      <w:kern w:val="0"/>
      <w:lang w:eastAsia="es-CO"/>
      <w14:ligatures w14:val="none"/>
    </w:rPr>
  </w:style>
  <w:style w:type="character" w:customStyle="1" w:styleId="baj">
    <w:name w:val="b_aj"/>
    <w:basedOn w:val="Fuentedeprrafopredeter"/>
    <w:rsid w:val="00655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942186">
      <w:bodyDiv w:val="1"/>
      <w:marLeft w:val="0"/>
      <w:marRight w:val="0"/>
      <w:marTop w:val="0"/>
      <w:marBottom w:val="0"/>
      <w:divBdr>
        <w:top w:val="none" w:sz="0" w:space="0" w:color="auto"/>
        <w:left w:val="none" w:sz="0" w:space="0" w:color="auto"/>
        <w:bottom w:val="none" w:sz="0" w:space="0" w:color="auto"/>
        <w:right w:val="none" w:sz="0" w:space="0" w:color="auto"/>
      </w:divBdr>
    </w:div>
    <w:div w:id="874077230">
      <w:bodyDiv w:val="1"/>
      <w:marLeft w:val="0"/>
      <w:marRight w:val="0"/>
      <w:marTop w:val="0"/>
      <w:marBottom w:val="0"/>
      <w:divBdr>
        <w:top w:val="none" w:sz="0" w:space="0" w:color="auto"/>
        <w:left w:val="none" w:sz="0" w:space="0" w:color="auto"/>
        <w:bottom w:val="none" w:sz="0" w:space="0" w:color="auto"/>
        <w:right w:val="none" w:sz="0" w:space="0" w:color="auto"/>
      </w:divBdr>
    </w:div>
    <w:div w:id="1486971915">
      <w:bodyDiv w:val="1"/>
      <w:marLeft w:val="0"/>
      <w:marRight w:val="0"/>
      <w:marTop w:val="0"/>
      <w:marBottom w:val="0"/>
      <w:divBdr>
        <w:top w:val="none" w:sz="0" w:space="0" w:color="auto"/>
        <w:left w:val="none" w:sz="0" w:space="0" w:color="auto"/>
        <w:bottom w:val="none" w:sz="0" w:space="0" w:color="auto"/>
        <w:right w:val="none" w:sz="0" w:space="0" w:color="auto"/>
      </w:divBdr>
    </w:div>
    <w:div w:id="18531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latoria.colombiacompra.gov.co/busqueda/conceptos"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03DF59-0EAF-4EA3-BFC5-E2D394795BE9}"/>
</file>

<file path=customXml/itemProps2.xml><?xml version="1.0" encoding="utf-8"?>
<ds:datastoreItem xmlns:ds="http://schemas.openxmlformats.org/officeDocument/2006/customXml" ds:itemID="{07D9FB29-E43F-4872-9538-71D1BC0F61F7}"/>
</file>

<file path=customXml/itemProps3.xml><?xml version="1.0" encoding="utf-8"?>
<ds:datastoreItem xmlns:ds="http://schemas.openxmlformats.org/officeDocument/2006/customXml" ds:itemID="{835A367C-5E9A-4A90-BDD2-342CEF6D20EE}"/>
</file>

<file path=docProps/app.xml><?xml version="1.0" encoding="utf-8"?>
<Properties xmlns="http://schemas.openxmlformats.org/officeDocument/2006/extended-properties" xmlns:vt="http://schemas.openxmlformats.org/officeDocument/2006/docPropsVTypes">
  <Template>Normal</Template>
  <TotalTime>4</TotalTime>
  <Pages>27</Pages>
  <Words>9242</Words>
  <Characters>50836</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5</cp:revision>
  <dcterms:created xsi:type="dcterms:W3CDTF">2024-12-19T14:03:00Z</dcterms:created>
  <dcterms:modified xsi:type="dcterms:W3CDTF">2024-12-19T14:06:00Z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