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A6DD" w14:textId="4FF45801" w:rsidR="00265E5D" w:rsidRPr="00265E5D" w:rsidRDefault="00265E5D" w:rsidP="00265E5D">
      <w:pPr>
        <w:spacing w:after="0"/>
        <w:jc w:val="both"/>
        <w:rPr>
          <w:rFonts w:ascii="Verdana" w:hAnsi="Verdana"/>
        </w:rPr>
      </w:pPr>
      <w:bookmarkStart w:id="0" w:name="_Hlk143780582"/>
      <w:r w:rsidRPr="00265E5D">
        <w:rPr>
          <w:rFonts w:ascii="Verdana" w:eastAsia="Calibri" w:hAnsi="Verdana" w:cs="Arial"/>
          <w:b/>
          <w:bCs/>
          <w:lang w:val="es-ES_tradnl" w:eastAsia="es-ES"/>
        </w:rPr>
        <w:t>CONCURSO DE MÉRITOS – Generalidades</w:t>
      </w:r>
    </w:p>
    <w:p w14:paraId="337955EF" w14:textId="77777777" w:rsidR="00265E5D" w:rsidRPr="00265E5D" w:rsidRDefault="00265E5D" w:rsidP="00265E5D">
      <w:pPr>
        <w:spacing w:after="0" w:line="276" w:lineRule="auto"/>
        <w:jc w:val="both"/>
        <w:rPr>
          <w:rFonts w:ascii="Verdana" w:eastAsia="Calibri" w:hAnsi="Verdana" w:cs="Arial"/>
          <w:b/>
          <w:bCs/>
          <w:lang w:val="es-ES_tradnl" w:eastAsia="es-ES"/>
        </w:rPr>
      </w:pPr>
    </w:p>
    <w:p w14:paraId="1EBB82EE" w14:textId="60E68B7C" w:rsidR="00265E5D" w:rsidRDefault="000471C0" w:rsidP="000471C0">
      <w:pPr>
        <w:spacing w:after="0" w:line="240" w:lineRule="auto"/>
        <w:jc w:val="both"/>
        <w:rPr>
          <w:rFonts w:ascii="Verdana" w:eastAsia="Calibri" w:hAnsi="Verdana" w:cs="Arial"/>
          <w:sz w:val="20"/>
          <w:szCs w:val="20"/>
          <w:lang w:val="es-ES"/>
        </w:rPr>
      </w:pPr>
      <w:r w:rsidRPr="000471C0">
        <w:rPr>
          <w:rFonts w:ascii="Verdana" w:eastAsia="Calibri" w:hAnsi="Verdana" w:cs="Arial"/>
          <w:sz w:val="20"/>
          <w:szCs w:val="20"/>
          <w:lang w:val="es-ES"/>
        </w:rPr>
        <w:t>La Ley 1150 de 2007 trajo consigo la incorporación de un procedimiento de selección especial para determinados contratos, denominado concurso de méritos.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w:t>
      </w:r>
    </w:p>
    <w:p w14:paraId="47E952BB" w14:textId="77777777" w:rsidR="000471C0" w:rsidRPr="000471C0" w:rsidRDefault="000471C0" w:rsidP="000471C0">
      <w:pPr>
        <w:spacing w:after="0" w:line="240" w:lineRule="auto"/>
        <w:jc w:val="both"/>
        <w:rPr>
          <w:rFonts w:ascii="Verdana" w:eastAsia="Calibri" w:hAnsi="Verdana" w:cs="Arial"/>
          <w:lang w:val="es-ES_tradnl"/>
        </w:rPr>
      </w:pPr>
    </w:p>
    <w:p w14:paraId="1A9AB503" w14:textId="77777777" w:rsidR="00265E5D" w:rsidRPr="00265E5D" w:rsidRDefault="00265E5D" w:rsidP="00265E5D">
      <w:pPr>
        <w:spacing w:after="0" w:line="276" w:lineRule="auto"/>
        <w:jc w:val="both"/>
        <w:rPr>
          <w:rFonts w:ascii="Verdana" w:eastAsia="Geomanist Light" w:hAnsi="Verdana" w:cs="Arial"/>
          <w:b/>
          <w:bCs/>
          <w:lang w:val="es-ES_tradnl"/>
        </w:rPr>
      </w:pPr>
      <w:r w:rsidRPr="00265E5D">
        <w:rPr>
          <w:rFonts w:ascii="Verdana" w:eastAsia="Calibri" w:hAnsi="Verdana" w:cs="Arial"/>
          <w:b/>
          <w:bCs/>
          <w:lang w:val="es-ES_tradnl"/>
        </w:rPr>
        <w:t xml:space="preserve">LEY 2069 DE 2020 – Artículo 35 – Criterios de desempate – Decreto 1860 de 2021 – Aplicación – Documentos Tipo </w:t>
      </w:r>
    </w:p>
    <w:p w14:paraId="3C1EF1AE" w14:textId="77777777" w:rsidR="00265E5D" w:rsidRPr="00265E5D" w:rsidRDefault="00265E5D" w:rsidP="00265E5D">
      <w:pPr>
        <w:spacing w:after="0" w:line="276" w:lineRule="auto"/>
        <w:jc w:val="both"/>
        <w:rPr>
          <w:rFonts w:ascii="Verdana" w:eastAsia="Geomanist Light" w:hAnsi="Verdana" w:cs="Arial"/>
          <w:lang w:val="es-ES_tradnl"/>
        </w:rPr>
      </w:pPr>
    </w:p>
    <w:p w14:paraId="0A2A85E4" w14:textId="3EEDFD80" w:rsidR="00265E5D" w:rsidRPr="00A5139B" w:rsidRDefault="00A5139B" w:rsidP="00A5139B">
      <w:pPr>
        <w:spacing w:after="0" w:line="240" w:lineRule="auto"/>
        <w:contextualSpacing/>
        <w:jc w:val="both"/>
        <w:rPr>
          <w:rFonts w:ascii="Verdana" w:eastAsia="Calibri" w:hAnsi="Verdana" w:cs="Arial"/>
          <w:sz w:val="20"/>
          <w:szCs w:val="20"/>
        </w:rPr>
      </w:pPr>
      <w:r w:rsidRPr="00A5139B">
        <w:rPr>
          <w:rFonts w:ascii="Verdana" w:eastAsia="Calibri" w:hAnsi="Verdana" w:cs="Arial"/>
          <w:sz w:val="20"/>
          <w:szCs w:val="20"/>
        </w:rPr>
        <w:t xml:space="preserve">En efecto, el artículo 35 de la Ley 2069 de 2020 establece los factores de desempate aplicables “[…] </w:t>
      </w:r>
      <w:r w:rsidRPr="00A5139B">
        <w:rPr>
          <w:rFonts w:ascii="Verdana" w:eastAsia="Calibri" w:hAnsi="Verdana" w:cs="Arial"/>
          <w:i/>
          <w:iCs/>
          <w:sz w:val="20"/>
          <w:szCs w:val="20"/>
        </w:rPr>
        <w:t>en los Procesos de Contratación realizados con cargo a recursos públicos, los Procesos de Contratación realizados por las Entidades Estatales indistintamente de su régimen de contratación,</w:t>
      </w:r>
      <w:r w:rsidRPr="00A5139B">
        <w:rPr>
          <w:rFonts w:ascii="Verdana" w:eastAsia="Calibri" w:hAnsi="Verdana" w:cs="Arial"/>
          <w:sz w:val="20"/>
          <w:szCs w:val="20"/>
        </w:rPr>
        <w:t xml:space="preserve"> así como los celebrados por los Procesos de Contratación de los patrimonios autónomos constituidos por Entidades Estatales […]” (énfasis fuera de texto). Conforme indica el texto de esta norma, reglamentada por el artículo 2.2.1.2.4.2.17 del Decreto 1082 de 2015, adicionado por el Decreto 1860 de 2021, estos factores de desempate no solo son aplicables a la contratación de las entidades regidas por el EGCAP, sino también a los procesos de selección de las entidades exceptuadas,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se desarrollen bajo los supuestos indicados.</w:t>
      </w:r>
    </w:p>
    <w:p w14:paraId="1C5F41F7" w14:textId="77777777" w:rsidR="00265E5D" w:rsidRPr="00A5139B" w:rsidRDefault="00265E5D" w:rsidP="00A5139B">
      <w:pPr>
        <w:spacing w:after="0" w:line="240" w:lineRule="auto"/>
        <w:jc w:val="both"/>
        <w:rPr>
          <w:rFonts w:ascii="Verdana" w:eastAsia="Calibri" w:hAnsi="Verdana" w:cs="Arial"/>
          <w:sz w:val="20"/>
          <w:szCs w:val="20"/>
        </w:rPr>
      </w:pPr>
      <w:r w:rsidRPr="00A5139B">
        <w:rPr>
          <w:rFonts w:ascii="Verdana" w:eastAsia="Calibri" w:hAnsi="Verdana" w:cs="Arial"/>
          <w:sz w:val="20"/>
          <w:szCs w:val="20"/>
        </w:rPr>
        <w:t>[…]</w:t>
      </w:r>
    </w:p>
    <w:p w14:paraId="53A15328" w14:textId="77777777" w:rsidR="00A5139B" w:rsidRPr="00A5139B" w:rsidRDefault="00A5139B" w:rsidP="00A5139B">
      <w:pPr>
        <w:widowControl w:val="0"/>
        <w:autoSpaceDE w:val="0"/>
        <w:autoSpaceDN w:val="0"/>
        <w:spacing w:after="0" w:line="240" w:lineRule="auto"/>
        <w:contextualSpacing/>
        <w:jc w:val="both"/>
        <w:rPr>
          <w:rFonts w:ascii="Verdana" w:eastAsia="Arial" w:hAnsi="Verdana" w:cs="Arial"/>
          <w:sz w:val="20"/>
          <w:szCs w:val="20"/>
          <w:lang w:val="es-ES"/>
        </w:rPr>
      </w:pPr>
      <w:r w:rsidRPr="00A5139B">
        <w:rPr>
          <w:rFonts w:ascii="Verdana" w:eastAsia="Arial" w:hAnsi="Verdana" w:cs="Arial"/>
          <w:sz w:val="20"/>
          <w:szCs w:val="20"/>
          <w:lang w:val="es-ES"/>
        </w:rPr>
        <w:t xml:space="preserve">Además, es importante señalar que, en caso de empate en el puntaje total de dos o más ofertas, deberán aplicarse las reglas de desempate contenidas en el numeral 4.8 “CRITERIOS DE DESEMPATE” del Documento Base. Estas reglas se aplicarán de acuerdo con lo establecido en cada uno de los numerales, de forma sucesiva y excluyente, para seleccionar al Proponente favorecido. </w:t>
      </w:r>
    </w:p>
    <w:p w14:paraId="6F000822" w14:textId="77777777" w:rsidR="00A5139B" w:rsidRPr="00A5139B" w:rsidRDefault="00A5139B" w:rsidP="00A5139B">
      <w:pPr>
        <w:spacing w:line="240" w:lineRule="auto"/>
        <w:ind w:left="720"/>
        <w:contextualSpacing/>
        <w:rPr>
          <w:rFonts w:ascii="Verdana" w:eastAsia="Arial" w:hAnsi="Verdana" w:cs="Arial"/>
          <w:sz w:val="20"/>
          <w:szCs w:val="20"/>
          <w:lang w:val="es-ES"/>
        </w:rPr>
      </w:pPr>
    </w:p>
    <w:p w14:paraId="6F45020D" w14:textId="77777777" w:rsidR="00A5139B" w:rsidRPr="00A5139B" w:rsidRDefault="00A5139B" w:rsidP="00A5139B">
      <w:pPr>
        <w:widowControl w:val="0"/>
        <w:autoSpaceDE w:val="0"/>
        <w:autoSpaceDN w:val="0"/>
        <w:spacing w:after="0" w:line="240" w:lineRule="auto"/>
        <w:contextualSpacing/>
        <w:jc w:val="both"/>
        <w:rPr>
          <w:rFonts w:ascii="Verdana" w:eastAsia="Arial" w:hAnsi="Verdana" w:cs="Arial"/>
          <w:sz w:val="20"/>
          <w:szCs w:val="20"/>
          <w:lang w:val="es-ES"/>
        </w:rPr>
      </w:pPr>
      <w:r w:rsidRPr="00A5139B">
        <w:rPr>
          <w:rFonts w:ascii="Verdana" w:eastAsia="Arial" w:hAnsi="Verdana" w:cs="Arial"/>
          <w:sz w:val="20"/>
          <w:szCs w:val="20"/>
          <w:lang w:val="es-ES"/>
        </w:rPr>
        <w:t xml:space="preserve">De esta manera, los criterios de desempate establecidos en los documentos tipo expedidos por esta Agencia, aplican cuando, una vez evaluadas las ofertas, se presenta empate en el puntaje total de dos o más ofertas. Por lo demás, estos criterios se encuentran acordes con lo establecido en la Ley 2069 de 2020 y el Decreto 1860 de 2021. </w:t>
      </w:r>
    </w:p>
    <w:p w14:paraId="6943CA55" w14:textId="77777777" w:rsidR="00265E5D" w:rsidRPr="00265E5D" w:rsidRDefault="00265E5D" w:rsidP="00265E5D">
      <w:pPr>
        <w:spacing w:after="0" w:line="276" w:lineRule="auto"/>
        <w:jc w:val="both"/>
        <w:rPr>
          <w:rFonts w:ascii="Verdana" w:eastAsia="Geomanist Light" w:hAnsi="Verdana" w:cs="Arial"/>
          <w:lang w:val="es-ES_tradnl"/>
        </w:rPr>
      </w:pPr>
    </w:p>
    <w:p w14:paraId="68B5FBCA" w14:textId="77777777" w:rsidR="00265E5D" w:rsidRDefault="00265E5D" w:rsidP="00265E5D">
      <w:pPr>
        <w:spacing w:after="0" w:line="276" w:lineRule="auto"/>
        <w:jc w:val="both"/>
        <w:rPr>
          <w:rFonts w:ascii="Verdana" w:eastAsia="Geomanist Light" w:hAnsi="Verdana" w:cs="Arial"/>
          <w:lang w:val="es-ES_tradnl"/>
        </w:rPr>
      </w:pPr>
    </w:p>
    <w:p w14:paraId="2041FB9C" w14:textId="77777777" w:rsidR="00A5139B" w:rsidRPr="00265E5D" w:rsidRDefault="00A5139B" w:rsidP="00265E5D">
      <w:pPr>
        <w:spacing w:after="0" w:line="276" w:lineRule="auto"/>
        <w:jc w:val="both"/>
        <w:rPr>
          <w:rFonts w:ascii="Verdana" w:eastAsia="Geomanist Light" w:hAnsi="Verdana" w:cs="Arial"/>
          <w:lang w:val="es-ES_tradnl"/>
        </w:rPr>
      </w:pPr>
    </w:p>
    <w:p w14:paraId="28895737" w14:textId="77777777" w:rsidR="00265E5D" w:rsidRPr="00265E5D" w:rsidRDefault="00265E5D" w:rsidP="00265E5D">
      <w:pPr>
        <w:spacing w:after="0" w:line="240" w:lineRule="auto"/>
        <w:rPr>
          <w:rFonts w:ascii="Verdana" w:eastAsia="Geomanist Light" w:hAnsi="Verdana" w:cs="Arial"/>
          <w:lang w:val="es-ES_tradnl"/>
        </w:rPr>
      </w:pPr>
    </w:p>
    <w:p w14:paraId="37E3A2DC" w14:textId="77777777" w:rsidR="00265E5D" w:rsidRPr="00265E5D" w:rsidRDefault="00265E5D" w:rsidP="00265E5D">
      <w:pPr>
        <w:spacing w:after="0" w:line="240" w:lineRule="auto"/>
        <w:rPr>
          <w:rFonts w:ascii="Verdana" w:eastAsia="Geomanist Light" w:hAnsi="Verdana" w:cs="Arial"/>
          <w:lang w:val="es-ES_tradnl"/>
        </w:rPr>
      </w:pPr>
    </w:p>
    <w:p w14:paraId="32EBAF82" w14:textId="77777777" w:rsidR="00265E5D" w:rsidRPr="00265E5D" w:rsidRDefault="00265E5D" w:rsidP="00265E5D">
      <w:pPr>
        <w:spacing w:after="0" w:line="240" w:lineRule="auto"/>
        <w:rPr>
          <w:rFonts w:ascii="Verdana" w:eastAsia="Calibri" w:hAnsi="Verdana" w:cs="Times New Roman"/>
          <w:lang w:val="es-ES_tradnl"/>
        </w:rPr>
      </w:pPr>
    </w:p>
    <w:p w14:paraId="16B8E30C" w14:textId="77777777" w:rsidR="00265E5D" w:rsidRPr="00265E5D" w:rsidRDefault="00265E5D" w:rsidP="00265E5D">
      <w:pPr>
        <w:spacing w:after="0" w:line="240" w:lineRule="auto"/>
        <w:rPr>
          <w:rFonts w:ascii="Verdana" w:eastAsia="Calibri" w:hAnsi="Verdana" w:cs="Times New Roman"/>
          <w:lang w:val="es-ES_tradnl"/>
        </w:rPr>
      </w:pPr>
    </w:p>
    <w:p w14:paraId="4D98988C" w14:textId="016D8AD7" w:rsidR="00265E5D" w:rsidRDefault="00265E5D" w:rsidP="00265E5D">
      <w:pPr>
        <w:spacing w:after="0" w:line="240" w:lineRule="auto"/>
        <w:jc w:val="both"/>
        <w:rPr>
          <w:rFonts w:ascii="Verdana" w:hAnsi="Verdana"/>
        </w:rPr>
      </w:pPr>
      <w:r w:rsidRPr="0044528D">
        <w:rPr>
          <w:rFonts w:ascii="Verdana" w:hAnsi="Verdana"/>
        </w:rPr>
        <w:t>Bogotá D.C.</w:t>
      </w:r>
    </w:p>
    <w:p w14:paraId="19849B71" w14:textId="77777777" w:rsidR="002E5274" w:rsidRPr="00265E5D" w:rsidRDefault="002E5274" w:rsidP="00265E5D">
      <w:pPr>
        <w:spacing w:after="0" w:line="240" w:lineRule="auto"/>
        <w:jc w:val="both"/>
        <w:rPr>
          <w:rFonts w:ascii="Verdana" w:eastAsia="Calibri" w:hAnsi="Verdana" w:cs="Arial"/>
          <w:lang w:val="es-ES_tradnl" w:eastAsia="es-ES"/>
        </w:rPr>
      </w:pPr>
    </w:p>
    <w:p w14:paraId="72210E58" w14:textId="5C96A16D" w:rsidR="00265E5D" w:rsidRDefault="00B450D3" w:rsidP="00B450D3">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19BBBBBA" wp14:editId="0E9C4B7E">
            <wp:extent cx="3144644" cy="943393"/>
            <wp:effectExtent l="0" t="0" r="5080" b="0"/>
            <wp:docPr id="4173150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15009" name="Imagen 417315009"/>
                    <pic:cNvPicPr/>
                  </pic:nvPicPr>
                  <pic:blipFill>
                    <a:blip r:embed="rId10">
                      <a:extLst>
                        <a:ext uri="{28A0092B-C50C-407E-A947-70E740481C1C}">
                          <a14:useLocalDpi xmlns:a14="http://schemas.microsoft.com/office/drawing/2010/main" val="0"/>
                        </a:ext>
                      </a:extLst>
                    </a:blip>
                    <a:stretch>
                      <a:fillRect/>
                    </a:stretch>
                  </pic:blipFill>
                  <pic:spPr>
                    <a:xfrm>
                      <a:off x="0" y="0"/>
                      <a:ext cx="3160024" cy="948007"/>
                    </a:xfrm>
                    <a:prstGeom prst="rect">
                      <a:avLst/>
                    </a:prstGeom>
                  </pic:spPr>
                </pic:pic>
              </a:graphicData>
            </a:graphic>
          </wp:inline>
        </w:drawing>
      </w:r>
    </w:p>
    <w:p w14:paraId="04BAE8AC" w14:textId="77777777" w:rsidR="00265E5D" w:rsidRPr="00265E5D" w:rsidRDefault="00265E5D" w:rsidP="00265E5D">
      <w:pPr>
        <w:spacing w:after="0" w:line="240" w:lineRule="auto"/>
        <w:jc w:val="both"/>
        <w:rPr>
          <w:rFonts w:ascii="Verdana" w:eastAsia="Calibri" w:hAnsi="Verdana" w:cs="Arial"/>
          <w:lang w:val="es-ES_tradnl" w:eastAsia="es-ES"/>
        </w:rPr>
      </w:pPr>
    </w:p>
    <w:p w14:paraId="79303DDA" w14:textId="77777777" w:rsidR="00265E5D" w:rsidRPr="00265E5D" w:rsidRDefault="00265E5D" w:rsidP="00265E5D">
      <w:pPr>
        <w:spacing w:after="0" w:line="240" w:lineRule="auto"/>
        <w:jc w:val="both"/>
        <w:rPr>
          <w:rFonts w:ascii="Verdana" w:eastAsia="Calibri" w:hAnsi="Verdana" w:cs="Arial"/>
          <w:lang w:val="es-ES_tradnl" w:eastAsia="es-ES"/>
        </w:rPr>
      </w:pPr>
      <w:r w:rsidRPr="00265E5D">
        <w:rPr>
          <w:rFonts w:ascii="Verdana" w:eastAsia="Calibri" w:hAnsi="Verdana" w:cs="Arial"/>
          <w:lang w:val="es-ES_tradnl" w:eastAsia="es-ES"/>
        </w:rPr>
        <w:t>Señor</w:t>
      </w:r>
    </w:p>
    <w:p w14:paraId="4AC1C603" w14:textId="77777777" w:rsidR="00265E5D" w:rsidRPr="00265E5D" w:rsidRDefault="00265E5D" w:rsidP="00265E5D">
      <w:pPr>
        <w:spacing w:after="0" w:line="240" w:lineRule="auto"/>
        <w:jc w:val="both"/>
        <w:rPr>
          <w:rFonts w:ascii="Verdana" w:eastAsia="Calibri" w:hAnsi="Verdana" w:cs="Arial"/>
          <w:b/>
          <w:bCs/>
          <w:lang w:val="es-ES" w:eastAsia="es-ES"/>
        </w:rPr>
      </w:pPr>
      <w:proofErr w:type="spellStart"/>
      <w:r w:rsidRPr="00265E5D">
        <w:rPr>
          <w:rFonts w:ascii="Verdana" w:eastAsia="Calibri" w:hAnsi="Verdana" w:cs="Arial"/>
          <w:b/>
          <w:bCs/>
          <w:lang w:val="es-ES" w:eastAsia="es-ES"/>
        </w:rPr>
        <w:t>Denny</w:t>
      </w:r>
      <w:proofErr w:type="spellEnd"/>
      <w:r w:rsidRPr="00265E5D">
        <w:rPr>
          <w:rFonts w:ascii="Verdana" w:eastAsia="Calibri" w:hAnsi="Verdana" w:cs="Arial"/>
          <w:b/>
          <w:bCs/>
          <w:lang w:val="es-ES" w:eastAsia="es-ES"/>
        </w:rPr>
        <w:t xml:space="preserve"> Jane Bernal Rincón</w:t>
      </w:r>
    </w:p>
    <w:p w14:paraId="06D637A3" w14:textId="77777777" w:rsidR="00265E5D" w:rsidRPr="00265E5D" w:rsidRDefault="00265E5D" w:rsidP="00265E5D">
      <w:pPr>
        <w:spacing w:after="0" w:line="240" w:lineRule="auto"/>
        <w:rPr>
          <w:rFonts w:ascii="Verdana" w:eastAsia="Calibri" w:hAnsi="Verdana" w:cs="Arial"/>
          <w:lang w:val="es-ES_tradnl" w:eastAsia="es-ES"/>
        </w:rPr>
      </w:pPr>
      <w:r w:rsidRPr="00265E5D">
        <w:rPr>
          <w:rFonts w:ascii="Verdana" w:eastAsia="Calibri" w:hAnsi="Verdana" w:cs="Arial"/>
          <w:lang w:val="es-ES_tradnl" w:eastAsia="es-ES"/>
        </w:rPr>
        <w:t>Bogotá, D.C.</w:t>
      </w:r>
    </w:p>
    <w:p w14:paraId="632113D2" w14:textId="77777777" w:rsidR="00265E5D" w:rsidRPr="00265E5D" w:rsidRDefault="00265E5D" w:rsidP="00265E5D">
      <w:pPr>
        <w:spacing w:after="0" w:line="240" w:lineRule="auto"/>
        <w:rPr>
          <w:rFonts w:ascii="Verdana" w:eastAsia="Calibri" w:hAnsi="Verdana" w:cs="Arial"/>
          <w:b/>
          <w:bCs/>
          <w:lang w:val="es-ES_tradnl" w:eastAsia="es-ES_tradnl"/>
        </w:rPr>
      </w:pPr>
    </w:p>
    <w:p w14:paraId="0702548E" w14:textId="77777777" w:rsidR="00265E5D" w:rsidRPr="00265E5D" w:rsidRDefault="00265E5D" w:rsidP="00265E5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65E5D" w:rsidRPr="00265E5D" w14:paraId="0F27CB89" w14:textId="77777777" w:rsidTr="0007438A">
        <w:trPr>
          <w:trHeight w:val="884"/>
        </w:trPr>
        <w:tc>
          <w:tcPr>
            <w:tcW w:w="2689" w:type="dxa"/>
          </w:tcPr>
          <w:p w14:paraId="7F728953" w14:textId="77777777" w:rsidR="00265E5D" w:rsidRPr="00265E5D" w:rsidRDefault="00265E5D" w:rsidP="00265E5D">
            <w:pPr>
              <w:jc w:val="both"/>
              <w:rPr>
                <w:rFonts w:ascii="Verdana" w:eastAsia="Calibri" w:hAnsi="Verdana" w:cs="Arial"/>
                <w:b/>
                <w:bCs/>
                <w:lang w:val="es-ES_tradnl" w:eastAsia="es-ES_tradnl"/>
              </w:rPr>
            </w:pPr>
          </w:p>
        </w:tc>
        <w:tc>
          <w:tcPr>
            <w:tcW w:w="6100" w:type="dxa"/>
          </w:tcPr>
          <w:p w14:paraId="680B28C4" w14:textId="77777777" w:rsidR="00265E5D" w:rsidRPr="00265E5D" w:rsidRDefault="00265E5D" w:rsidP="00265E5D">
            <w:pPr>
              <w:jc w:val="both"/>
              <w:rPr>
                <w:rFonts w:ascii="Verdana" w:eastAsia="Calibri" w:hAnsi="Verdana" w:cs="Arial"/>
                <w:b/>
                <w:bCs/>
                <w:lang w:val="es-ES_tradnl" w:eastAsia="es-ES"/>
              </w:rPr>
            </w:pPr>
            <w:r w:rsidRPr="00265E5D">
              <w:rPr>
                <w:rFonts w:ascii="Verdana" w:eastAsia="Calibri" w:hAnsi="Verdana" w:cs="Arial"/>
                <w:b/>
                <w:bCs/>
                <w:lang w:val="es-ES_tradnl" w:eastAsia="es-ES"/>
              </w:rPr>
              <w:t>Concepto C – 831 de 2024</w:t>
            </w:r>
          </w:p>
        </w:tc>
      </w:tr>
      <w:tr w:rsidR="00265E5D" w:rsidRPr="00265E5D" w14:paraId="4D4A1D56" w14:textId="77777777" w:rsidTr="0007438A">
        <w:trPr>
          <w:trHeight w:val="884"/>
        </w:trPr>
        <w:tc>
          <w:tcPr>
            <w:tcW w:w="2689" w:type="dxa"/>
          </w:tcPr>
          <w:p w14:paraId="04B80291" w14:textId="77777777" w:rsidR="00265E5D" w:rsidRPr="00265E5D" w:rsidRDefault="00265E5D" w:rsidP="00265E5D">
            <w:pPr>
              <w:jc w:val="both"/>
              <w:rPr>
                <w:rFonts w:ascii="Verdana" w:eastAsia="Calibri" w:hAnsi="Verdana" w:cs="Arial"/>
                <w:lang w:val="es-ES_tradnl" w:eastAsia="es-ES_tradnl"/>
              </w:rPr>
            </w:pPr>
            <w:r w:rsidRPr="00265E5D">
              <w:rPr>
                <w:rFonts w:ascii="Verdana" w:eastAsia="Calibri" w:hAnsi="Verdana" w:cs="Arial"/>
                <w:b/>
                <w:lang w:val="es-ES_tradnl" w:eastAsia="es-ES_tradnl"/>
              </w:rPr>
              <w:t>Temas:</w:t>
            </w:r>
            <w:r w:rsidRPr="00265E5D">
              <w:rPr>
                <w:rFonts w:ascii="Verdana" w:eastAsia="Calibri" w:hAnsi="Verdana" w:cs="Arial"/>
                <w:lang w:val="es-ES_tradnl" w:eastAsia="es-ES_tradnl"/>
              </w:rPr>
              <w:t xml:space="preserve">                   </w:t>
            </w:r>
          </w:p>
        </w:tc>
        <w:tc>
          <w:tcPr>
            <w:tcW w:w="6100" w:type="dxa"/>
          </w:tcPr>
          <w:p w14:paraId="22472635" w14:textId="77777777" w:rsidR="00265E5D" w:rsidRPr="00265E5D" w:rsidRDefault="00265E5D" w:rsidP="00265E5D">
            <w:pPr>
              <w:spacing w:line="276" w:lineRule="auto"/>
              <w:jc w:val="both"/>
              <w:rPr>
                <w:rFonts w:ascii="Verdana" w:eastAsia="Geomanist Light" w:hAnsi="Verdana" w:cs="Arial"/>
                <w:lang w:val="es-ES_tradnl"/>
              </w:rPr>
            </w:pPr>
            <w:r w:rsidRPr="00265E5D">
              <w:rPr>
                <w:rFonts w:ascii="Verdana" w:eastAsia="Calibri" w:hAnsi="Verdana" w:cs="Arial"/>
                <w:lang w:val="es-ES_tradnl" w:eastAsia="es-ES"/>
              </w:rPr>
              <w:t xml:space="preserve">CONCURSO DE MÉRITOS – Generalidades / </w:t>
            </w:r>
            <w:r w:rsidRPr="00265E5D">
              <w:rPr>
                <w:rFonts w:ascii="Verdana" w:eastAsia="Calibri" w:hAnsi="Verdana" w:cs="Arial"/>
                <w:lang w:val="es-ES_tradnl"/>
              </w:rPr>
              <w:t xml:space="preserve">LEY 2069 DE 2020 – Artículo 35 – Criterios de desempate – Decreto 1860 de 2021 – Aplicación – Documentos Tipo </w:t>
            </w:r>
          </w:p>
          <w:p w14:paraId="1E917534" w14:textId="77777777" w:rsidR="00265E5D" w:rsidRPr="00265E5D" w:rsidRDefault="00265E5D" w:rsidP="00265E5D">
            <w:pPr>
              <w:spacing w:line="276" w:lineRule="auto"/>
              <w:jc w:val="both"/>
              <w:rPr>
                <w:rFonts w:ascii="Verdana" w:eastAsia="Calibri" w:hAnsi="Verdana" w:cs="Arial"/>
                <w:highlight w:val="yellow"/>
                <w:lang w:val="es-ES_tradnl" w:eastAsia="es-ES"/>
              </w:rPr>
            </w:pPr>
          </w:p>
        </w:tc>
      </w:tr>
      <w:tr w:rsidR="00265E5D" w:rsidRPr="00265E5D" w14:paraId="31D7F98B" w14:textId="77777777" w:rsidTr="0007438A">
        <w:tc>
          <w:tcPr>
            <w:tcW w:w="2689" w:type="dxa"/>
          </w:tcPr>
          <w:p w14:paraId="2F545717" w14:textId="77777777" w:rsidR="00265E5D" w:rsidRPr="00265E5D" w:rsidRDefault="00265E5D" w:rsidP="00265E5D">
            <w:pPr>
              <w:jc w:val="both"/>
              <w:rPr>
                <w:rFonts w:ascii="Verdana" w:eastAsia="Calibri" w:hAnsi="Verdana" w:cs="Arial"/>
                <w:b/>
                <w:lang w:val="es-ES_tradnl" w:eastAsia="es-ES_tradnl"/>
              </w:rPr>
            </w:pPr>
            <w:r w:rsidRPr="00265E5D">
              <w:rPr>
                <w:rFonts w:ascii="Verdana" w:eastAsia="Calibri" w:hAnsi="Verdana" w:cs="Arial"/>
                <w:b/>
                <w:lang w:val="es-ES_tradnl" w:eastAsia="es-ES_tradnl"/>
              </w:rPr>
              <w:t>Radicación:</w:t>
            </w:r>
            <w:r w:rsidRPr="00265E5D">
              <w:rPr>
                <w:rFonts w:ascii="Verdana" w:eastAsia="Calibri" w:hAnsi="Verdana" w:cs="Arial"/>
                <w:lang w:val="es-ES_tradnl" w:eastAsia="es-ES_tradnl"/>
              </w:rPr>
              <w:t xml:space="preserve">               </w:t>
            </w:r>
          </w:p>
        </w:tc>
        <w:tc>
          <w:tcPr>
            <w:tcW w:w="6100" w:type="dxa"/>
          </w:tcPr>
          <w:p w14:paraId="519DE7F1" w14:textId="77777777" w:rsidR="00265E5D" w:rsidRPr="00265E5D" w:rsidRDefault="00265E5D" w:rsidP="00265E5D">
            <w:pPr>
              <w:jc w:val="both"/>
              <w:rPr>
                <w:rFonts w:ascii="Verdana" w:eastAsia="Calibri" w:hAnsi="Verdana" w:cs="Arial"/>
                <w:lang w:val="es-ES_tradnl" w:eastAsia="es-ES_tradnl"/>
              </w:rPr>
            </w:pPr>
            <w:r w:rsidRPr="00265E5D">
              <w:rPr>
                <w:rFonts w:ascii="Verdana" w:eastAsia="Calibri" w:hAnsi="Verdana" w:cs="Arial"/>
                <w:lang w:val="es-ES_tradnl" w:eastAsia="es-ES_tradnl"/>
              </w:rPr>
              <w:t>Respuesta a consulta con radicado No. P20241107011241</w:t>
            </w:r>
          </w:p>
        </w:tc>
      </w:tr>
    </w:tbl>
    <w:p w14:paraId="458D200A" w14:textId="77777777" w:rsidR="00265E5D" w:rsidRPr="00265E5D" w:rsidRDefault="00265E5D" w:rsidP="00265E5D">
      <w:pPr>
        <w:spacing w:after="0" w:line="240" w:lineRule="auto"/>
        <w:jc w:val="both"/>
        <w:rPr>
          <w:rFonts w:ascii="Verdana" w:eastAsia="Calibri" w:hAnsi="Verdana" w:cs="Arial"/>
          <w:lang w:val="es-ES_tradnl" w:eastAsia="es-ES_tradnl"/>
        </w:rPr>
      </w:pPr>
    </w:p>
    <w:p w14:paraId="5212F19B" w14:textId="77777777" w:rsidR="00265E5D" w:rsidRPr="00265E5D" w:rsidRDefault="00265E5D" w:rsidP="00265E5D">
      <w:pPr>
        <w:spacing w:after="0" w:line="240" w:lineRule="auto"/>
        <w:jc w:val="both"/>
        <w:rPr>
          <w:rFonts w:ascii="Verdana" w:eastAsia="Calibri" w:hAnsi="Verdana" w:cs="Arial"/>
          <w:lang w:val="es-ES_tradnl" w:eastAsia="es-ES_tradnl"/>
        </w:rPr>
      </w:pPr>
    </w:p>
    <w:p w14:paraId="3BCB9635" w14:textId="77777777" w:rsidR="00265E5D" w:rsidRPr="00265E5D" w:rsidRDefault="00265E5D" w:rsidP="00265E5D">
      <w:pPr>
        <w:spacing w:after="0" w:line="276" w:lineRule="auto"/>
        <w:jc w:val="both"/>
        <w:rPr>
          <w:rFonts w:ascii="Verdana" w:eastAsia="Calibri" w:hAnsi="Verdana" w:cs="Arial"/>
          <w:lang w:val="es-ES" w:eastAsia="es-ES"/>
        </w:rPr>
      </w:pPr>
      <w:r w:rsidRPr="00265E5D">
        <w:rPr>
          <w:rFonts w:ascii="Verdana" w:eastAsia="Calibri" w:hAnsi="Verdana" w:cs="Arial"/>
          <w:lang w:val="es-ES" w:eastAsia="es-ES"/>
        </w:rPr>
        <w:t xml:space="preserve">Estimado señor Bernal Rincón: </w:t>
      </w:r>
    </w:p>
    <w:p w14:paraId="0C4E535D" w14:textId="77777777" w:rsidR="00265E5D" w:rsidRPr="00265E5D" w:rsidRDefault="00265E5D" w:rsidP="00265E5D">
      <w:pPr>
        <w:tabs>
          <w:tab w:val="left" w:pos="3768"/>
        </w:tabs>
        <w:spacing w:after="0" w:line="276" w:lineRule="auto"/>
        <w:jc w:val="both"/>
        <w:rPr>
          <w:rFonts w:ascii="Verdana" w:eastAsia="Calibri" w:hAnsi="Verdana" w:cs="Arial"/>
          <w:lang w:val="es-ES_tradnl" w:eastAsia="es-ES"/>
        </w:rPr>
      </w:pPr>
      <w:r w:rsidRPr="00265E5D">
        <w:rPr>
          <w:rFonts w:ascii="Verdana" w:eastAsia="Calibri" w:hAnsi="Verdana" w:cs="Arial"/>
          <w:lang w:val="es-ES_tradnl" w:eastAsia="es-ES"/>
        </w:rPr>
        <w:tab/>
      </w:r>
    </w:p>
    <w:p w14:paraId="33E0BDAD" w14:textId="77777777" w:rsidR="00265E5D" w:rsidRPr="00265E5D" w:rsidRDefault="00265E5D" w:rsidP="00265E5D">
      <w:pPr>
        <w:snapToGrid w:val="0"/>
        <w:spacing w:after="0" w:line="276" w:lineRule="auto"/>
        <w:jc w:val="both"/>
        <w:rPr>
          <w:rFonts w:ascii="Verdana" w:eastAsia="Calibri" w:hAnsi="Verdana" w:cs="Arial"/>
          <w:lang w:val="es-ES_tradnl" w:eastAsia="es-ES"/>
        </w:rPr>
      </w:pPr>
      <w:r w:rsidRPr="00265E5D">
        <w:rPr>
          <w:rFonts w:ascii="Verdana" w:eastAsia="Calibri" w:hAnsi="Verdana" w:cs="Arial"/>
          <w:lang w:val="es-ES_tradnl" w:eastAsia="es-ES"/>
        </w:rPr>
        <w:t>En ejercicio de la competencia otorgada por los artículos 3, numeral 5º, y 11, numeral 8º, del Decreto Ley 4170 de 2011,</w:t>
      </w:r>
      <w:r w:rsidRPr="00265E5D">
        <w:rPr>
          <w:rFonts w:ascii="Verdana" w:eastAsia="Arial MT" w:hAnsi="Verdana" w:cs="Arial MT"/>
          <w:lang w:val="es-ES_tradnl" w:eastAsia="es-ES"/>
        </w:rPr>
        <w:t xml:space="preserve"> </w:t>
      </w:r>
      <w:r w:rsidRPr="00265E5D">
        <w:rPr>
          <w:rFonts w:ascii="Verdana" w:eastAsia="Calibri" w:hAnsi="Verdana" w:cs="Arial"/>
          <w:lang w:val="es-ES_tradnl"/>
        </w:rPr>
        <w:t xml:space="preserve">así como lo establecido en el artículo 4 de la Resolución 1707 de 2018 expedida por esta Entidad, </w:t>
      </w:r>
      <w:r w:rsidRPr="00265E5D">
        <w:rPr>
          <w:rFonts w:ascii="Verdana" w:eastAsia="Calibri" w:hAnsi="Verdana" w:cs="Arial"/>
          <w:lang w:val="es-ES_tradnl" w:eastAsia="es-ES"/>
        </w:rPr>
        <w:t>la Agencia Nacional de Contratación Pública – Colombia Compra Eficiente– responde su solicitud de consulta de fecha 7 de noviembre de 2024, en la que manifiesta lo siguiente:</w:t>
      </w:r>
    </w:p>
    <w:p w14:paraId="4FD953BD" w14:textId="77777777" w:rsidR="00265E5D" w:rsidRPr="00265E5D" w:rsidRDefault="00265E5D" w:rsidP="00265E5D">
      <w:pPr>
        <w:snapToGrid w:val="0"/>
        <w:spacing w:after="0" w:line="276" w:lineRule="auto"/>
        <w:jc w:val="both"/>
        <w:rPr>
          <w:rFonts w:ascii="Verdana" w:eastAsia="Calibri" w:hAnsi="Verdana" w:cs="Arial"/>
          <w:lang w:val="es-ES_tradnl" w:eastAsia="es-ES"/>
        </w:rPr>
      </w:pPr>
    </w:p>
    <w:p w14:paraId="5F6E54D9" w14:textId="77777777" w:rsidR="00265E5D" w:rsidRPr="00265E5D" w:rsidRDefault="00265E5D" w:rsidP="00265E5D">
      <w:pPr>
        <w:snapToGrid w:val="0"/>
        <w:spacing w:after="0" w:line="240" w:lineRule="auto"/>
        <w:ind w:left="709" w:right="709"/>
        <w:jc w:val="both"/>
        <w:rPr>
          <w:rFonts w:ascii="Verdana" w:eastAsia="Calibri" w:hAnsi="Verdana" w:cs="Arial"/>
          <w:sz w:val="21"/>
          <w:szCs w:val="21"/>
          <w:lang w:val="es-ES" w:eastAsia="es-ES"/>
        </w:rPr>
      </w:pPr>
      <w:r w:rsidRPr="00265E5D">
        <w:rPr>
          <w:rFonts w:ascii="Verdana" w:eastAsia="Calibri" w:hAnsi="Verdana" w:cs="Arial"/>
          <w:sz w:val="21"/>
          <w:szCs w:val="21"/>
          <w:lang w:val="es-ES" w:eastAsia="es-ES"/>
        </w:rPr>
        <w:t xml:space="preserve">“1. Que como ente rector de la contratación pública emita concepto acerca de si con la aplicación de los criterios establecidos a través de las Resoluciones 326 del año 2022 y 798 de 2023, la primera mediante la cual se adoptaron pliegos tipos para la celebración de ese contrato exclusivamente referidos a la interventoría de obras públicas de infraestructura de transporte y la segunda interventoría de obras públicas de infraestructura social; que agrupa los sectores de </w:t>
      </w:r>
      <w:r w:rsidRPr="00265E5D">
        <w:rPr>
          <w:rFonts w:ascii="Verdana" w:eastAsia="Calibri" w:hAnsi="Verdana" w:cs="Arial"/>
          <w:sz w:val="21"/>
          <w:szCs w:val="21"/>
          <w:lang w:val="es-ES" w:eastAsia="es-ES"/>
        </w:rPr>
        <w:lastRenderedPageBreak/>
        <w:t>educación, salud, cultura, recreación y deporte, que de manera indiscriminada viene aplicando numerosas entidades del estado para la selección de interventores en asuntos distintos de los regulados en los actos administrativos mencionados, se incurre o no en una violación a las previsiones de la ley 2069 de 2020</w:t>
      </w:r>
    </w:p>
    <w:p w14:paraId="26B9E4D9" w14:textId="77777777" w:rsidR="00265E5D" w:rsidRPr="00265E5D" w:rsidRDefault="00265E5D" w:rsidP="00265E5D">
      <w:pPr>
        <w:snapToGrid w:val="0"/>
        <w:spacing w:after="0" w:line="240" w:lineRule="auto"/>
        <w:ind w:left="709" w:right="709"/>
        <w:jc w:val="both"/>
        <w:rPr>
          <w:rFonts w:ascii="Verdana" w:eastAsia="Calibri" w:hAnsi="Verdana" w:cs="Arial"/>
          <w:sz w:val="21"/>
          <w:szCs w:val="21"/>
          <w:lang w:val="es-ES" w:eastAsia="es-ES"/>
        </w:rPr>
      </w:pPr>
    </w:p>
    <w:p w14:paraId="448D0E68" w14:textId="77777777" w:rsidR="00265E5D" w:rsidRPr="00265E5D" w:rsidRDefault="00265E5D" w:rsidP="00265E5D">
      <w:pPr>
        <w:snapToGrid w:val="0"/>
        <w:spacing w:after="0" w:line="240" w:lineRule="auto"/>
        <w:ind w:left="709" w:right="709"/>
        <w:jc w:val="both"/>
        <w:rPr>
          <w:rFonts w:ascii="Verdana" w:eastAsia="Calibri" w:hAnsi="Verdana" w:cs="Arial"/>
          <w:sz w:val="21"/>
          <w:szCs w:val="21"/>
          <w:lang w:val="es-ES" w:eastAsia="es-ES"/>
        </w:rPr>
      </w:pPr>
      <w:r w:rsidRPr="00265E5D">
        <w:rPr>
          <w:rFonts w:ascii="Verdana" w:eastAsia="Calibri" w:hAnsi="Verdana" w:cs="Arial"/>
          <w:sz w:val="21"/>
          <w:szCs w:val="21"/>
          <w:lang w:val="es-ES" w:eastAsia="es-ES"/>
        </w:rPr>
        <w:t>2. Concretamente, se pretende que COLOMBIA COMPRA EFICIENTE siente su posición acerca de si acudir al empleo de fórmulas matemáticas para valorar la experiencia de los proponentes termina por desconocer la esencia del concurso de méritos según lo previsto en los artículos 29 y 30 de la ley 80 de 1993, los artículos 2 al 11 de la ley 1150 de 2007, y las disposiciones del Decreto 1860 de 2021 que reglamenta los artículos 30 a 35 de la ley 2069 de 2020.</w:t>
      </w:r>
    </w:p>
    <w:p w14:paraId="726E80BF" w14:textId="77777777" w:rsidR="00265E5D" w:rsidRPr="00265E5D" w:rsidRDefault="00265E5D" w:rsidP="00265E5D">
      <w:pPr>
        <w:snapToGrid w:val="0"/>
        <w:spacing w:after="0" w:line="240" w:lineRule="auto"/>
        <w:ind w:left="709" w:right="709"/>
        <w:jc w:val="both"/>
        <w:rPr>
          <w:rFonts w:ascii="Verdana" w:eastAsia="Calibri" w:hAnsi="Verdana" w:cs="Arial"/>
          <w:sz w:val="21"/>
          <w:szCs w:val="21"/>
          <w:lang w:val="es-ES" w:eastAsia="es-ES"/>
        </w:rPr>
      </w:pPr>
    </w:p>
    <w:p w14:paraId="144E1ED8" w14:textId="77777777" w:rsidR="00265E5D" w:rsidRPr="00265E5D" w:rsidRDefault="00265E5D" w:rsidP="00265E5D">
      <w:pPr>
        <w:snapToGrid w:val="0"/>
        <w:spacing w:after="0" w:line="240" w:lineRule="auto"/>
        <w:ind w:left="709" w:right="709"/>
        <w:jc w:val="both"/>
        <w:rPr>
          <w:rFonts w:ascii="Verdana" w:eastAsia="Calibri" w:hAnsi="Verdana" w:cs="Arial"/>
          <w:sz w:val="21"/>
          <w:szCs w:val="21"/>
          <w:lang w:val="es-ES" w:eastAsia="es-ES"/>
        </w:rPr>
      </w:pPr>
      <w:r w:rsidRPr="00265E5D">
        <w:rPr>
          <w:rFonts w:ascii="Verdana" w:eastAsia="Calibri" w:hAnsi="Verdana" w:cs="Arial"/>
          <w:sz w:val="21"/>
          <w:szCs w:val="21"/>
          <w:lang w:val="es-ES" w:eastAsia="es-ES"/>
        </w:rPr>
        <w:t xml:space="preserve">3. Si esa valoración de la experiencia del proponente con sujeción a una </w:t>
      </w:r>
      <w:proofErr w:type="spellStart"/>
      <w:r w:rsidRPr="00265E5D">
        <w:rPr>
          <w:rFonts w:ascii="Verdana" w:eastAsia="Calibri" w:hAnsi="Verdana" w:cs="Arial"/>
          <w:sz w:val="21"/>
          <w:szCs w:val="21"/>
          <w:lang w:val="es-ES" w:eastAsia="es-ES"/>
        </w:rPr>
        <w:t>formula</w:t>
      </w:r>
      <w:proofErr w:type="spellEnd"/>
      <w:r w:rsidRPr="00265E5D">
        <w:rPr>
          <w:rFonts w:ascii="Verdana" w:eastAsia="Calibri" w:hAnsi="Verdana" w:cs="Arial"/>
          <w:sz w:val="21"/>
          <w:szCs w:val="21"/>
          <w:lang w:val="es-ES" w:eastAsia="es-ES"/>
        </w:rPr>
        <w:t xml:space="preserve"> que se escoge de manera aleatoria según el valor de la TRM para la fecha de cierre del proceso de selección, impide en la práctica la ocurrencia de situaciones de empate entre 2 o más proponentes y con ello hace ineficaces los criterios de desempate, que en beneficio de las mujeres cabeza de hogar, de los adultos mayores no beneficiarios de pensión, de la población indígena, afrodescendiente, del pueblo </w:t>
      </w:r>
      <w:proofErr w:type="spellStart"/>
      <w:r w:rsidRPr="00265E5D">
        <w:rPr>
          <w:rFonts w:ascii="Verdana" w:eastAsia="Calibri" w:hAnsi="Verdana" w:cs="Arial"/>
          <w:sz w:val="21"/>
          <w:szCs w:val="21"/>
          <w:lang w:val="es-ES" w:eastAsia="es-ES"/>
        </w:rPr>
        <w:t>Rrom</w:t>
      </w:r>
      <w:proofErr w:type="spellEnd"/>
      <w:r w:rsidRPr="00265E5D">
        <w:rPr>
          <w:rFonts w:ascii="Verdana" w:eastAsia="Calibri" w:hAnsi="Verdana" w:cs="Arial"/>
          <w:sz w:val="21"/>
          <w:szCs w:val="21"/>
          <w:lang w:val="es-ES" w:eastAsia="es-ES"/>
        </w:rPr>
        <w:t>, de los reinsertados en procesos derivados de los acuerdo de paz y otros instrumentos de solución del conflicto armado en Colombia, entre otros. Disposiciones que tiene origen en una ley de obligatoria observancia y que encuentra su justificación en establecer instrumentos de discriminación positiva en favor de sectores especiales de la población que merecen esa especial protección por parte del estado en su actividad contractual.” [SIC]</w:t>
      </w:r>
    </w:p>
    <w:p w14:paraId="1401F6E6" w14:textId="77777777" w:rsidR="00265E5D" w:rsidRPr="00265E5D" w:rsidRDefault="00265E5D" w:rsidP="00265E5D">
      <w:pPr>
        <w:snapToGrid w:val="0"/>
        <w:spacing w:after="0" w:line="276" w:lineRule="auto"/>
        <w:jc w:val="both"/>
        <w:rPr>
          <w:rFonts w:ascii="Verdana" w:eastAsia="Calibri" w:hAnsi="Verdana" w:cs="Arial"/>
          <w:lang w:val="es-ES_tradnl" w:eastAsia="es-ES"/>
        </w:rPr>
      </w:pPr>
    </w:p>
    <w:p w14:paraId="2A699266" w14:textId="77777777" w:rsidR="00265E5D" w:rsidRPr="00265E5D" w:rsidRDefault="00265E5D" w:rsidP="00265E5D">
      <w:pPr>
        <w:spacing w:after="120" w:line="276" w:lineRule="auto"/>
        <w:ind w:firstLine="709"/>
        <w:jc w:val="both"/>
        <w:rPr>
          <w:rFonts w:ascii="Verdana" w:eastAsia="Calibri" w:hAnsi="Verdana" w:cs="Arial"/>
          <w:lang w:val="es-ES" w:eastAsia="es-ES"/>
        </w:rPr>
      </w:pPr>
      <w:r w:rsidRPr="00265E5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65E5D">
        <w:rPr>
          <w:rFonts w:ascii="Calibri" w:eastAsia="Calibri" w:hAnsi="Calibri" w:cs="Times New Roman"/>
        </w:rPr>
        <w:tab/>
      </w:r>
    </w:p>
    <w:p w14:paraId="2F22196A" w14:textId="77777777" w:rsidR="00265E5D" w:rsidRPr="00265E5D" w:rsidRDefault="00265E5D" w:rsidP="00265E5D">
      <w:pPr>
        <w:snapToGrid w:val="0"/>
        <w:spacing w:after="0" w:line="276" w:lineRule="auto"/>
        <w:ind w:firstLine="709"/>
        <w:jc w:val="both"/>
        <w:rPr>
          <w:rFonts w:ascii="Verdana" w:eastAsia="Calibri" w:hAnsi="Verdana" w:cs="Arial"/>
          <w:lang w:val="es-ES_tradnl" w:eastAsia="es-ES"/>
        </w:rPr>
      </w:pPr>
      <w:r w:rsidRPr="00265E5D">
        <w:rPr>
          <w:rFonts w:ascii="Verdana" w:eastAsia="Calibri" w:hAnsi="Verdana" w:cs="Arial"/>
          <w:lang w:val="es-ES_tradnl" w:eastAsia="es-ES"/>
        </w:rPr>
        <w:lastRenderedPageBreak/>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A35C07D" w14:textId="77777777" w:rsidR="00265E5D" w:rsidRPr="00265E5D" w:rsidRDefault="00265E5D" w:rsidP="00265E5D">
      <w:pPr>
        <w:snapToGrid w:val="0"/>
        <w:spacing w:after="0" w:line="276" w:lineRule="auto"/>
        <w:ind w:firstLine="709"/>
        <w:jc w:val="both"/>
        <w:rPr>
          <w:rFonts w:ascii="Verdana" w:eastAsia="Calibri" w:hAnsi="Verdana" w:cs="Arial"/>
          <w:lang w:val="es-ES_tradnl" w:eastAsia="es-ES"/>
        </w:rPr>
      </w:pPr>
    </w:p>
    <w:p w14:paraId="0B26521B" w14:textId="77777777" w:rsidR="00265E5D" w:rsidRPr="00265E5D" w:rsidRDefault="00265E5D" w:rsidP="00265E5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65E5D">
        <w:rPr>
          <w:rFonts w:ascii="Verdana" w:eastAsia="Century Gothic" w:hAnsi="Verdana" w:cs="Century Gothic"/>
          <w:b/>
          <w:bCs/>
          <w:lang w:val="es-ES_tradnl"/>
        </w:rPr>
        <w:t>Problema planteado:</w:t>
      </w:r>
    </w:p>
    <w:p w14:paraId="58288F5A" w14:textId="77777777" w:rsidR="00265E5D" w:rsidRPr="00265E5D" w:rsidRDefault="00265E5D" w:rsidP="00265E5D">
      <w:pPr>
        <w:tabs>
          <w:tab w:val="left" w:pos="426"/>
        </w:tabs>
        <w:snapToGrid w:val="0"/>
        <w:spacing w:after="0" w:line="276" w:lineRule="auto"/>
        <w:jc w:val="both"/>
        <w:rPr>
          <w:rFonts w:ascii="Verdana" w:eastAsia="Century Gothic" w:hAnsi="Verdana" w:cs="Century Gothic"/>
          <w:lang w:val="es-ES_tradnl"/>
        </w:rPr>
      </w:pPr>
    </w:p>
    <w:p w14:paraId="27105CB8" w14:textId="3593ECC0" w:rsidR="00265E5D" w:rsidRPr="00265E5D" w:rsidRDefault="00265E5D" w:rsidP="00265E5D">
      <w:pPr>
        <w:snapToGrid w:val="0"/>
        <w:spacing w:after="0" w:line="276" w:lineRule="auto"/>
        <w:jc w:val="both"/>
        <w:rPr>
          <w:rFonts w:ascii="Verdana" w:eastAsia="Aptos" w:hAnsi="Verdana" w:cs="Times New Roman"/>
          <w:kern w:val="2"/>
          <w14:ligatures w14:val="standardContextual"/>
        </w:rPr>
      </w:pPr>
      <w:r w:rsidRPr="7AC88EBF">
        <w:rPr>
          <w:rFonts w:ascii="Verdana" w:eastAsia="Century Gothic" w:hAnsi="Verdana" w:cs="Century Gothic"/>
          <w:lang w:val="es-ES"/>
        </w:rPr>
        <w:t xml:space="preserve">De acuerdo con el contenido de su solicitud, esta Agencia resolverá el siguiente problema jurídico: </w:t>
      </w:r>
      <w:r w:rsidRPr="7AC88EBF">
        <w:rPr>
          <w:rFonts w:ascii="Verdana" w:eastAsia="Verdana" w:hAnsi="Verdana" w:cs="Verdana"/>
          <w:lang w:val="es-ES"/>
        </w:rPr>
        <w:t>¿</w:t>
      </w:r>
      <w:r w:rsidR="0AF428CC" w:rsidRPr="7AC88EBF">
        <w:rPr>
          <w:rFonts w:ascii="Verdana" w:eastAsia="Verdana" w:hAnsi="Verdana" w:cs="Verdana"/>
          <w:lang w:val="es-ES"/>
        </w:rPr>
        <w:t>Los</w:t>
      </w:r>
      <w:r w:rsidRPr="7AC88EBF">
        <w:rPr>
          <w:rFonts w:ascii="Verdana" w:eastAsia="Verdana" w:hAnsi="Verdana" w:cs="Verdana"/>
          <w:lang w:val="es-ES"/>
        </w:rPr>
        <w:t xml:space="preserve"> documentos tipo, particularmente los de concurso de méritos, </w:t>
      </w:r>
      <w:r w:rsidR="0AF428CC" w:rsidRPr="7AC88EBF">
        <w:rPr>
          <w:rFonts w:ascii="Verdana" w:eastAsia="Verdana" w:hAnsi="Verdana" w:cs="Verdana"/>
          <w:lang w:val="es-ES"/>
        </w:rPr>
        <w:t>se encuentran alineados con</w:t>
      </w:r>
      <w:r w:rsidRPr="7AC88EBF">
        <w:rPr>
          <w:rFonts w:ascii="Verdana" w:eastAsia="Verdana" w:hAnsi="Verdana" w:cs="Verdana"/>
          <w:lang w:val="es-ES"/>
        </w:rPr>
        <w:t xml:space="preserve"> lo dispuesto en la Ley 2069 de 2020 y el Decreto 1860 de 2021?</w:t>
      </w:r>
    </w:p>
    <w:p w14:paraId="39C1BD56" w14:textId="77777777" w:rsidR="00265E5D" w:rsidRPr="00265E5D" w:rsidRDefault="00265E5D" w:rsidP="00265E5D">
      <w:pPr>
        <w:snapToGrid w:val="0"/>
        <w:spacing w:after="0" w:line="276" w:lineRule="auto"/>
        <w:jc w:val="both"/>
        <w:rPr>
          <w:rFonts w:ascii="Verdana" w:eastAsia="Calibri" w:hAnsi="Verdana" w:cs="Arial"/>
          <w:lang w:val="es-ES_tradnl"/>
        </w:rPr>
      </w:pPr>
    </w:p>
    <w:p w14:paraId="58895273" w14:textId="77777777" w:rsidR="00265E5D" w:rsidRPr="00265E5D" w:rsidRDefault="00265E5D" w:rsidP="00265E5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65E5D">
        <w:rPr>
          <w:rFonts w:ascii="Verdana" w:eastAsia="Century Gothic" w:hAnsi="Verdana" w:cs="Century Gothic"/>
          <w:b/>
          <w:bCs/>
          <w:lang w:val="es-ES_tradnl"/>
        </w:rPr>
        <w:t>Respuesta:</w:t>
      </w:r>
    </w:p>
    <w:p w14:paraId="272CE730" w14:textId="77777777" w:rsidR="00265E5D" w:rsidRPr="00265E5D" w:rsidRDefault="00265E5D" w:rsidP="00265E5D">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65E5D" w:rsidRPr="00265E5D" w14:paraId="1B19B876" w14:textId="77777777" w:rsidTr="0007438A">
        <w:tc>
          <w:tcPr>
            <w:tcW w:w="8828" w:type="dxa"/>
            <w:shd w:val="clear" w:color="auto" w:fill="auto"/>
          </w:tcPr>
          <w:p w14:paraId="00ADD503" w14:textId="77777777" w:rsidR="00265E5D" w:rsidRPr="00265E5D" w:rsidRDefault="00265E5D" w:rsidP="00265E5D">
            <w:pPr>
              <w:spacing w:line="276" w:lineRule="auto"/>
              <w:jc w:val="both"/>
              <w:rPr>
                <w:rFonts w:ascii="Verdana" w:eastAsia="Calibri" w:hAnsi="Verdana" w:cs="Arial"/>
              </w:rPr>
            </w:pPr>
            <w:r w:rsidRPr="00265E5D">
              <w:rPr>
                <w:rFonts w:ascii="Verdana" w:eastAsia="Calibri" w:hAnsi="Verdana" w:cs="Arial"/>
                <w:lang w:val="es-ES_tradnl"/>
              </w:rPr>
              <w:t xml:space="preserve">Mediante </w:t>
            </w:r>
            <w:r w:rsidRPr="00265E5D">
              <w:rPr>
                <w:rFonts w:ascii="Verdana" w:eastAsia="Calibri" w:hAnsi="Verdana" w:cs="Arial"/>
              </w:rPr>
              <w:t>la Resolución 798 del 29 de diciembre de 2023, esta Agencia adoptó los documentos tipo para los procesos de concurso de méritos para contratar la interventoría de obras públicas de infraestructura social, que agrupa los sectores de educación, salud, y cultura, recreación y deporte.</w:t>
            </w:r>
          </w:p>
          <w:p w14:paraId="27D18CE3" w14:textId="77777777" w:rsidR="00265E5D" w:rsidRPr="00265E5D" w:rsidRDefault="00265E5D" w:rsidP="00265E5D">
            <w:pPr>
              <w:spacing w:line="276" w:lineRule="auto"/>
              <w:ind w:left="720"/>
              <w:contextualSpacing/>
              <w:jc w:val="both"/>
              <w:rPr>
                <w:rFonts w:ascii="Verdana" w:eastAsia="Calibri" w:hAnsi="Verdana" w:cs="Arial"/>
              </w:rPr>
            </w:pPr>
          </w:p>
          <w:p w14:paraId="2D16AE2B" w14:textId="77777777" w:rsidR="00265E5D" w:rsidRPr="00265E5D" w:rsidRDefault="00265E5D" w:rsidP="00265E5D">
            <w:pPr>
              <w:widowControl w:val="0"/>
              <w:autoSpaceDE w:val="0"/>
              <w:autoSpaceDN w:val="0"/>
              <w:spacing w:line="276" w:lineRule="auto"/>
              <w:jc w:val="both"/>
              <w:rPr>
                <w:rFonts w:ascii="Verdana" w:eastAsia="Arial" w:hAnsi="Verdana" w:cs="Arial"/>
                <w:lang w:val="es-ES"/>
              </w:rPr>
            </w:pPr>
            <w:r w:rsidRPr="00265E5D">
              <w:rPr>
                <w:rFonts w:ascii="Verdana" w:eastAsia="Arial" w:hAnsi="Verdana" w:cs="Arial"/>
                <w:lang w:val="es-ES"/>
              </w:rPr>
              <w:t xml:space="preserve">Al respecto, es importante señalar que, en caso de empate en el puntaje total de dos o más ofertas, deberán aplicarse las reglas de desempate contenidas en el numeral 4.8 “CRITERIOS DE DESEMPATE” del Documento Base de los referidos documentos tipo. Estas reglas se aplicarán de acuerdo con lo establecido en cada uno de los numerales, de forma sucesiva y excluyente, para seleccionar al Proponente favorecido. </w:t>
            </w:r>
          </w:p>
          <w:p w14:paraId="5A247475" w14:textId="77777777" w:rsidR="00265E5D" w:rsidRPr="00265E5D" w:rsidRDefault="00265E5D" w:rsidP="00265E5D">
            <w:pPr>
              <w:ind w:left="720"/>
              <w:contextualSpacing/>
              <w:rPr>
                <w:rFonts w:ascii="Verdana" w:eastAsia="Arial" w:hAnsi="Verdana" w:cs="Arial"/>
                <w:lang w:val="es-ES"/>
              </w:rPr>
            </w:pPr>
          </w:p>
          <w:p w14:paraId="4394A3FA" w14:textId="77777777" w:rsidR="00265E5D" w:rsidRPr="00265E5D" w:rsidRDefault="00265E5D" w:rsidP="00265E5D">
            <w:pPr>
              <w:widowControl w:val="0"/>
              <w:autoSpaceDE w:val="0"/>
              <w:autoSpaceDN w:val="0"/>
              <w:spacing w:line="276" w:lineRule="auto"/>
              <w:jc w:val="both"/>
              <w:rPr>
                <w:rFonts w:ascii="Verdana" w:eastAsia="Arial" w:hAnsi="Verdana" w:cs="Arial"/>
                <w:lang w:val="es-ES"/>
              </w:rPr>
            </w:pPr>
            <w:r w:rsidRPr="00265E5D">
              <w:rPr>
                <w:rFonts w:ascii="Verdana" w:eastAsia="Arial" w:hAnsi="Verdana" w:cs="Arial"/>
                <w:lang w:val="es-ES"/>
              </w:rPr>
              <w:t xml:space="preserve">De esta manera, los criterios de desempate establecidos en los documentos tipo expedidos por esta Agencia, aplican cuando, una vez evaluadas las ofertas, se presenta empate en el puntaje total de dos o más ofertas. Por lo demás, estos criterios se encuentran acordes con lo establecido en la Ley 2069 de 2020 y el Decreto 1860 de 2021. </w:t>
            </w:r>
          </w:p>
          <w:p w14:paraId="38638C88" w14:textId="77777777" w:rsidR="00265E5D" w:rsidRPr="00265E5D" w:rsidRDefault="00265E5D" w:rsidP="00265E5D">
            <w:pPr>
              <w:ind w:left="720"/>
              <w:contextualSpacing/>
              <w:rPr>
                <w:rFonts w:ascii="Verdana" w:eastAsia="Arial" w:hAnsi="Verdana" w:cs="Arial"/>
                <w:lang w:val="es-ES"/>
              </w:rPr>
            </w:pPr>
          </w:p>
          <w:p w14:paraId="5E1307A9" w14:textId="77777777" w:rsidR="00265E5D" w:rsidRPr="00265E5D" w:rsidRDefault="00265E5D" w:rsidP="00265E5D">
            <w:pPr>
              <w:widowControl w:val="0"/>
              <w:autoSpaceDE w:val="0"/>
              <w:autoSpaceDN w:val="0"/>
              <w:spacing w:line="276" w:lineRule="auto"/>
              <w:jc w:val="both"/>
              <w:rPr>
                <w:rFonts w:ascii="Verdana" w:eastAsia="Arial" w:hAnsi="Verdana" w:cs="Arial"/>
                <w:lang w:val="es-ES"/>
              </w:rPr>
            </w:pPr>
            <w:r w:rsidRPr="00265E5D">
              <w:rPr>
                <w:rFonts w:ascii="Verdana" w:eastAsia="Arial" w:hAnsi="Verdana" w:cs="Arial"/>
                <w:lang w:val="es-ES"/>
              </w:rPr>
              <w:t xml:space="preserve">Finalmente, es necesario advertir que, los documentos tipo para la contratación directa de convenios solidarios para la ejecución de obras hasta la menor cuantía con organismos de acción comunal –adoptados mediante la Resolución 358 del 30 de junio de 2023– no contemplan criterios de </w:t>
            </w:r>
            <w:r w:rsidRPr="00265E5D">
              <w:rPr>
                <w:rFonts w:ascii="Verdana" w:eastAsia="Arial" w:hAnsi="Verdana" w:cs="Arial"/>
                <w:lang w:val="es-ES"/>
              </w:rPr>
              <w:lastRenderedPageBreak/>
              <w:t xml:space="preserve">desempate conforme al artículo 35 de la Ley 2069 de 2020, toda vez que la modalidad de selección, en estos casos, es la contratación directa. </w:t>
            </w:r>
          </w:p>
        </w:tc>
      </w:tr>
    </w:tbl>
    <w:p w14:paraId="44C64715" w14:textId="77777777" w:rsidR="00265E5D" w:rsidRPr="00265E5D" w:rsidRDefault="00265E5D" w:rsidP="00265E5D">
      <w:pPr>
        <w:tabs>
          <w:tab w:val="left" w:pos="142"/>
          <w:tab w:val="left" w:pos="284"/>
        </w:tabs>
        <w:snapToGrid w:val="0"/>
        <w:spacing w:after="0" w:line="276" w:lineRule="auto"/>
        <w:jc w:val="both"/>
        <w:rPr>
          <w:rFonts w:ascii="Verdana" w:eastAsia="Century Gothic" w:hAnsi="Verdana" w:cs="Century Gothic"/>
          <w:b/>
          <w:bCs/>
          <w:lang w:val="es-ES_tradnl"/>
        </w:rPr>
      </w:pPr>
    </w:p>
    <w:p w14:paraId="05A1BDA9" w14:textId="77777777" w:rsidR="00265E5D" w:rsidRPr="00265E5D" w:rsidRDefault="00265E5D" w:rsidP="00265E5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65E5D">
        <w:rPr>
          <w:rFonts w:ascii="Verdana" w:eastAsia="Century Gothic" w:hAnsi="Verdana" w:cs="Century Gothic"/>
          <w:b/>
          <w:bCs/>
          <w:lang w:val="es-ES_tradnl"/>
        </w:rPr>
        <w:t>Razones de la respuesta:</w:t>
      </w:r>
    </w:p>
    <w:p w14:paraId="28F5A562" w14:textId="77777777" w:rsidR="00265E5D" w:rsidRPr="00265E5D" w:rsidRDefault="00265E5D" w:rsidP="00265E5D">
      <w:pPr>
        <w:snapToGrid w:val="0"/>
        <w:spacing w:after="0" w:line="276" w:lineRule="auto"/>
        <w:jc w:val="both"/>
        <w:rPr>
          <w:rFonts w:ascii="Verdana" w:eastAsia="Calibri" w:hAnsi="Verdana" w:cs="Arial"/>
          <w:lang w:val="es-ES_tradnl"/>
        </w:rPr>
      </w:pPr>
    </w:p>
    <w:p w14:paraId="72D661C9" w14:textId="77777777" w:rsidR="00265E5D" w:rsidRPr="00265E5D" w:rsidRDefault="00265E5D" w:rsidP="00265E5D">
      <w:pPr>
        <w:snapToGrid w:val="0"/>
        <w:spacing w:after="0" w:line="276" w:lineRule="auto"/>
        <w:jc w:val="both"/>
        <w:rPr>
          <w:rFonts w:ascii="Verdana" w:eastAsia="Calibri" w:hAnsi="Verdana" w:cs="Arial"/>
          <w:lang w:val="es-ES_tradnl"/>
        </w:rPr>
      </w:pPr>
      <w:r w:rsidRPr="00265E5D">
        <w:rPr>
          <w:rFonts w:ascii="Verdana" w:eastAsia="Calibri" w:hAnsi="Verdana" w:cs="Arial"/>
          <w:lang w:val="es-ES_tradnl"/>
        </w:rPr>
        <w:t xml:space="preserve">Lo anterior se sustenta en las siguientes consideraciones: </w:t>
      </w:r>
    </w:p>
    <w:p w14:paraId="25725D46" w14:textId="77777777" w:rsidR="00265E5D" w:rsidRPr="00265E5D" w:rsidRDefault="00265E5D" w:rsidP="00265E5D">
      <w:pPr>
        <w:snapToGrid w:val="0"/>
        <w:spacing w:after="0" w:line="276" w:lineRule="auto"/>
        <w:jc w:val="both"/>
        <w:rPr>
          <w:rFonts w:ascii="Verdana" w:eastAsia="Calibri" w:hAnsi="Verdana" w:cs="Arial"/>
          <w:lang w:val="es-ES_tradnl"/>
        </w:rPr>
      </w:pPr>
    </w:p>
    <w:p w14:paraId="2F7106A5" w14:textId="77777777" w:rsidR="00265E5D" w:rsidRPr="00265E5D" w:rsidRDefault="00265E5D" w:rsidP="00265E5D">
      <w:pPr>
        <w:numPr>
          <w:ilvl w:val="0"/>
          <w:numId w:val="18"/>
        </w:numPr>
        <w:spacing w:after="0" w:line="276" w:lineRule="auto"/>
        <w:contextualSpacing/>
        <w:jc w:val="both"/>
        <w:rPr>
          <w:rFonts w:ascii="Verdana" w:eastAsia="Calibri" w:hAnsi="Verdana" w:cs="Arial"/>
        </w:rPr>
      </w:pPr>
      <w:r w:rsidRPr="00265E5D">
        <w:rPr>
          <w:rFonts w:ascii="Verdana" w:eastAsia="Calibri" w:hAnsi="Verdana" w:cs="Arial"/>
        </w:rPr>
        <w:t>La Ley 1150 de 2007 trajo consigo la incorporación de un procedimiento de selección especial para determinados contratos, denominado concurso de méritos</w:t>
      </w:r>
      <w:r w:rsidRPr="00265E5D">
        <w:rPr>
          <w:rFonts w:ascii="Aptos" w:eastAsia="Aptos" w:hAnsi="Aptos" w:cs="Times New Roman"/>
          <w:kern w:val="2"/>
          <w:sz w:val="24"/>
          <w:szCs w:val="24"/>
          <w:vertAlign w:val="superscript"/>
          <w14:ligatures w14:val="standardContextual"/>
        </w:rPr>
        <w:footnoteReference w:id="2"/>
      </w:r>
      <w:r w:rsidRPr="00265E5D">
        <w:rPr>
          <w:rFonts w:ascii="Verdana" w:eastAsia="Calibri" w:hAnsi="Verdana" w:cs="Arial"/>
        </w:rPr>
        <w:t xml:space="preserve">.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 </w:t>
      </w:r>
    </w:p>
    <w:p w14:paraId="1E18B4F8" w14:textId="77777777" w:rsidR="00265E5D" w:rsidRPr="00265E5D" w:rsidRDefault="00265E5D" w:rsidP="00265E5D">
      <w:pPr>
        <w:spacing w:after="0" w:line="276" w:lineRule="auto"/>
        <w:ind w:left="720"/>
        <w:contextualSpacing/>
        <w:jc w:val="both"/>
        <w:rPr>
          <w:rFonts w:ascii="Verdana" w:eastAsia="Calibri" w:hAnsi="Verdana" w:cs="Arial"/>
        </w:rPr>
      </w:pPr>
    </w:p>
    <w:p w14:paraId="34E35D72" w14:textId="77777777" w:rsidR="00265E5D" w:rsidRPr="00265E5D" w:rsidRDefault="00265E5D" w:rsidP="00265E5D">
      <w:pPr>
        <w:numPr>
          <w:ilvl w:val="0"/>
          <w:numId w:val="18"/>
        </w:numPr>
        <w:spacing w:after="0" w:line="276" w:lineRule="auto"/>
        <w:contextualSpacing/>
        <w:jc w:val="both"/>
        <w:rPr>
          <w:rFonts w:ascii="Verdana" w:eastAsia="Calibri" w:hAnsi="Verdana" w:cs="Arial"/>
        </w:rPr>
      </w:pPr>
      <w:r w:rsidRPr="00265E5D">
        <w:rPr>
          <w:rFonts w:ascii="Verdana" w:eastAsia="Calibri" w:hAnsi="Verdana" w:cs="Arial"/>
        </w:rPr>
        <w:t>La Entidad Estatal en el marco de esta modalidad de selección hace uso de factores de calificación que privilegian aspectos técnicos de la propuesta, experiencia y formación del proponente, excluyendo el precio como factor de escogencia. De igual forma, es importante destacar que en esta modalidad existen tres procedimientos para seleccionar el contratista, a saber: el concurso de arquitectura, el concurso de méritos abierto y el concurso de méritos con precalificación. En el último caso, a consideración de la Entidad Estatal, esto es, cuando por la complejidad de la consultoría se considerare pertinente, se establece una lista de precalificados mediante convocatoria pública en el que solo podrán presentar propuestas las personas que cumplan con las condiciones de precalificación y/o las favorecidas con el sorteo en el evento en el que el número de interesados que cumplan con las condiciones de precalificación supere al número máximo establecido para conformar la lista</w:t>
      </w:r>
      <w:r w:rsidRPr="00265E5D">
        <w:rPr>
          <w:rFonts w:ascii="Aptos" w:eastAsia="Aptos" w:hAnsi="Aptos" w:cs="Times New Roman"/>
          <w:kern w:val="2"/>
          <w:sz w:val="24"/>
          <w:szCs w:val="24"/>
          <w:vertAlign w:val="superscript"/>
          <w14:ligatures w14:val="standardContextual"/>
        </w:rPr>
        <w:footnoteReference w:id="3"/>
      </w:r>
      <w:r w:rsidRPr="00265E5D">
        <w:rPr>
          <w:rFonts w:ascii="Verdana" w:eastAsia="Calibri" w:hAnsi="Verdana" w:cs="Arial"/>
        </w:rPr>
        <w:t>.</w:t>
      </w:r>
    </w:p>
    <w:p w14:paraId="11849F9B" w14:textId="77777777" w:rsidR="00265E5D" w:rsidRPr="00265E5D" w:rsidRDefault="00265E5D" w:rsidP="00265E5D">
      <w:pPr>
        <w:spacing w:line="278" w:lineRule="auto"/>
        <w:ind w:left="720"/>
        <w:contextualSpacing/>
        <w:rPr>
          <w:rFonts w:ascii="Verdana" w:eastAsia="Calibri" w:hAnsi="Verdana" w:cs="Arial"/>
        </w:rPr>
      </w:pPr>
    </w:p>
    <w:p w14:paraId="27EBB1D6" w14:textId="77777777" w:rsidR="00265E5D" w:rsidRPr="00265E5D" w:rsidRDefault="00265E5D" w:rsidP="00265E5D">
      <w:pPr>
        <w:numPr>
          <w:ilvl w:val="0"/>
          <w:numId w:val="18"/>
        </w:numPr>
        <w:spacing w:after="0" w:line="276" w:lineRule="auto"/>
        <w:contextualSpacing/>
        <w:jc w:val="both"/>
        <w:rPr>
          <w:rFonts w:ascii="Verdana" w:eastAsia="Calibri" w:hAnsi="Verdana" w:cs="Arial"/>
        </w:rPr>
      </w:pPr>
      <w:r w:rsidRPr="00265E5D">
        <w:rPr>
          <w:rFonts w:ascii="Verdana" w:eastAsia="Calibri" w:hAnsi="Verdana" w:cs="Arial"/>
        </w:rPr>
        <w:t>Dado a la especialidad de los contratos que se adelantan bajo esta modalidad de selección, que tienen la característica de estar relacionados con el intelecto, el saber académico o altos niveles de conocimiento</w:t>
      </w:r>
      <w:r w:rsidRPr="00265E5D">
        <w:rPr>
          <w:rFonts w:ascii="Aptos" w:eastAsia="Aptos" w:hAnsi="Aptos" w:cs="Times New Roman"/>
          <w:kern w:val="2"/>
          <w:sz w:val="24"/>
          <w:szCs w:val="24"/>
          <w:vertAlign w:val="superscript"/>
          <w14:ligatures w14:val="standardContextual"/>
        </w:rPr>
        <w:footnoteReference w:id="4"/>
      </w:r>
      <w:r w:rsidRPr="00265E5D">
        <w:rPr>
          <w:rFonts w:ascii="Verdana" w:eastAsia="Calibri" w:hAnsi="Verdana" w:cs="Arial"/>
        </w:rPr>
        <w:t>, las entidades fijan en los pliegos de condiciones factores puntuables técnicos, y califican la experiencia específica del proponente y de su equipo de trabajo, o incluso utilizan un sistema de concurso abierto por medio de jurados calificados y organismos asesores. Sobre el tema, el Consejo de Estado ha indicado que los procedimientos de selección bajo la modalidad de concurso de méritos deben destacar las cualidades técnico-subjetivas de los proponentes, las cuales servirán de mérito para su selección, de la siguiente forma:</w:t>
      </w:r>
    </w:p>
    <w:p w14:paraId="18121EE2" w14:textId="77777777" w:rsidR="00265E5D" w:rsidRPr="00265E5D" w:rsidRDefault="00265E5D" w:rsidP="00265E5D">
      <w:pPr>
        <w:spacing w:after="0" w:line="276" w:lineRule="auto"/>
        <w:jc w:val="both"/>
        <w:rPr>
          <w:rFonts w:ascii="Verdana" w:eastAsia="Calibri" w:hAnsi="Verdana" w:cs="Arial"/>
        </w:rPr>
      </w:pPr>
    </w:p>
    <w:p w14:paraId="0A378A2A" w14:textId="77777777" w:rsidR="00265E5D" w:rsidRPr="00265E5D" w:rsidRDefault="00265E5D" w:rsidP="00265E5D">
      <w:pPr>
        <w:spacing w:after="0" w:line="240" w:lineRule="auto"/>
        <w:ind w:left="709" w:right="709"/>
        <w:jc w:val="both"/>
        <w:rPr>
          <w:rFonts w:ascii="Verdana" w:eastAsia="Calibri" w:hAnsi="Verdana" w:cs="Arial"/>
          <w:sz w:val="21"/>
          <w:szCs w:val="21"/>
        </w:rPr>
      </w:pPr>
      <w:r w:rsidRPr="00265E5D">
        <w:rPr>
          <w:rFonts w:ascii="Verdana" w:eastAsia="Calibri" w:hAnsi="Verdana" w:cs="Arial"/>
          <w:sz w:val="21"/>
          <w:szCs w:val="21"/>
        </w:rPr>
        <w:t xml:space="preserve">“En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aplicación primordial </w:t>
      </w:r>
      <w:bookmarkStart w:id="1" w:name="_Hlk133216965"/>
      <w:r w:rsidRPr="00265E5D">
        <w:rPr>
          <w:rFonts w:ascii="Verdana" w:eastAsia="Calibri" w:hAnsi="Verdana" w:cs="Arial"/>
          <w:sz w:val="21"/>
          <w:szCs w:val="21"/>
        </w:rPr>
        <w:t xml:space="preserve">sea a los contratos </w:t>
      </w:r>
      <w:proofErr w:type="spellStart"/>
      <w:r w:rsidRPr="00265E5D">
        <w:rPr>
          <w:rFonts w:ascii="Verdana" w:eastAsia="Calibri" w:hAnsi="Verdana" w:cs="Arial"/>
          <w:sz w:val="21"/>
          <w:szCs w:val="21"/>
        </w:rPr>
        <w:t>intuitu</w:t>
      </w:r>
      <w:proofErr w:type="spellEnd"/>
      <w:r w:rsidRPr="00265E5D">
        <w:rPr>
          <w:rFonts w:ascii="Verdana" w:eastAsia="Calibri" w:hAnsi="Verdana" w:cs="Arial"/>
          <w:sz w:val="21"/>
          <w:szCs w:val="21"/>
        </w:rPr>
        <w:t xml:space="preserve"> </w:t>
      </w:r>
      <w:proofErr w:type="spellStart"/>
      <w:r w:rsidRPr="00265E5D">
        <w:rPr>
          <w:rFonts w:ascii="Verdana" w:eastAsia="Calibri" w:hAnsi="Verdana" w:cs="Arial"/>
          <w:sz w:val="21"/>
          <w:szCs w:val="21"/>
        </w:rPr>
        <w:t>personae</w:t>
      </w:r>
      <w:proofErr w:type="spellEnd"/>
      <w:r w:rsidRPr="00265E5D">
        <w:rPr>
          <w:rFonts w:ascii="Verdana" w:eastAsia="Calibri" w:hAnsi="Verdana" w:cs="Arial"/>
          <w:sz w:val="21"/>
          <w:szCs w:val="21"/>
        </w:rPr>
        <w:t xml:space="preserve"> en que las cualidades técnico-subjetivas sirven de mérito para la selección</w:t>
      </w:r>
      <w:bookmarkEnd w:id="1"/>
      <w:r w:rsidRPr="00265E5D">
        <w:rPr>
          <w:rFonts w:ascii="Verdana" w:eastAsia="Calibri" w:hAnsi="Verdana" w:cs="Arial"/>
          <w:sz w:val="21"/>
          <w:szCs w:val="21"/>
        </w:rPr>
        <w:t>.</w:t>
      </w:r>
    </w:p>
    <w:p w14:paraId="0FBC1A5E" w14:textId="77777777" w:rsidR="00265E5D" w:rsidRPr="00265E5D" w:rsidRDefault="00265E5D" w:rsidP="00265E5D">
      <w:pPr>
        <w:spacing w:after="0" w:line="240" w:lineRule="auto"/>
        <w:ind w:left="709" w:right="709"/>
        <w:jc w:val="both"/>
        <w:rPr>
          <w:rFonts w:ascii="Verdana" w:eastAsia="Calibri" w:hAnsi="Verdana" w:cs="Arial"/>
          <w:sz w:val="21"/>
          <w:szCs w:val="21"/>
        </w:rPr>
      </w:pPr>
    </w:p>
    <w:p w14:paraId="3E4C48F6" w14:textId="77777777" w:rsidR="00265E5D" w:rsidRPr="00265E5D" w:rsidRDefault="00265E5D" w:rsidP="00265E5D">
      <w:pPr>
        <w:spacing w:after="0" w:line="240" w:lineRule="auto"/>
        <w:ind w:left="708" w:right="709"/>
        <w:jc w:val="both"/>
        <w:rPr>
          <w:rFonts w:ascii="Verdana" w:eastAsia="Calibri" w:hAnsi="Verdana" w:cs="Arial"/>
          <w:sz w:val="21"/>
          <w:szCs w:val="21"/>
        </w:rPr>
      </w:pPr>
      <w:r w:rsidRPr="00265E5D">
        <w:rPr>
          <w:rFonts w:ascii="Verdana" w:eastAsia="Calibri" w:hAnsi="Verdana" w:cs="Arial"/>
          <w:sz w:val="21"/>
          <w:szCs w:val="21"/>
        </w:rPr>
        <w:lastRenderedPageBreak/>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265E5D">
        <w:rPr>
          <w:rFonts w:ascii="Verdana" w:eastAsia="Calibri" w:hAnsi="Verdana" w:cs="Arial"/>
          <w:sz w:val="21"/>
          <w:szCs w:val="21"/>
          <w:vertAlign w:val="superscript"/>
        </w:rPr>
        <w:footnoteReference w:id="5"/>
      </w:r>
    </w:p>
    <w:p w14:paraId="0F97E3C8" w14:textId="77777777" w:rsidR="00265E5D" w:rsidRPr="00265E5D" w:rsidRDefault="00265E5D" w:rsidP="00265E5D">
      <w:pPr>
        <w:spacing w:after="0" w:line="240" w:lineRule="auto"/>
        <w:ind w:left="708" w:right="709"/>
        <w:jc w:val="both"/>
        <w:rPr>
          <w:rFonts w:ascii="Verdana" w:eastAsia="Calibri" w:hAnsi="Verdana" w:cs="Arial"/>
          <w:sz w:val="21"/>
          <w:szCs w:val="21"/>
        </w:rPr>
      </w:pPr>
    </w:p>
    <w:p w14:paraId="510A1E09"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 xml:space="preserve">Por lo tanto, el concurso de méritos, para efectos de la contratación pública, es una modalidad de selección del oferente que desarrollará el objeto contractual que la ley definió como causal de esta modalidad, lo cual está relacionado, principalmente, con conocimientos especializados. </w:t>
      </w:r>
    </w:p>
    <w:p w14:paraId="0C2F29D2" w14:textId="77777777" w:rsidR="00265E5D" w:rsidRPr="00265E5D" w:rsidRDefault="00265E5D" w:rsidP="00265E5D">
      <w:pPr>
        <w:spacing w:after="0" w:line="276" w:lineRule="auto"/>
        <w:ind w:left="720"/>
        <w:contextualSpacing/>
        <w:jc w:val="both"/>
        <w:rPr>
          <w:rFonts w:ascii="Verdana" w:eastAsia="Calibri" w:hAnsi="Verdana" w:cs="Arial"/>
        </w:rPr>
      </w:pPr>
    </w:p>
    <w:p w14:paraId="08641C02"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Por otra parte, es importante señalar que, el artículo 35 de la Ley 2069 de 2020 modificó la regulación de los factores de desempate en la contratación estatal. Esta Ley fue reglamentada por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p>
    <w:p w14:paraId="03932D7B" w14:textId="77777777" w:rsidR="00265E5D" w:rsidRPr="00265E5D" w:rsidRDefault="00265E5D" w:rsidP="00265E5D">
      <w:pPr>
        <w:spacing w:line="278" w:lineRule="auto"/>
        <w:ind w:left="720"/>
        <w:contextualSpacing/>
        <w:rPr>
          <w:rFonts w:ascii="Verdana" w:eastAsia="Calibri" w:hAnsi="Verdana" w:cs="Arial"/>
        </w:rPr>
      </w:pPr>
    </w:p>
    <w:p w14:paraId="4044765D"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 xml:space="preserve">En efecto, el artículo 35 de la Ley 2069 de 2020 establece los factores de desempate aplicables “[…] </w:t>
      </w:r>
      <w:r w:rsidRPr="00265E5D">
        <w:rPr>
          <w:rFonts w:ascii="Verdana" w:eastAsia="Calibri" w:hAnsi="Verdana" w:cs="Arial"/>
          <w:i/>
          <w:iCs/>
        </w:rPr>
        <w:t>en los Procesos de Contratación realizados con cargo a recursos públicos, los Procesos de Contratación realizados por las Entidades Estatales indistintamente de su régimen de contratación,</w:t>
      </w:r>
      <w:r w:rsidRPr="00265E5D">
        <w:rPr>
          <w:rFonts w:ascii="Verdana" w:eastAsia="Calibri" w:hAnsi="Verdana" w:cs="Arial"/>
        </w:rPr>
        <w:t xml:space="preserve"> así como los celebrados por los Procesos de Contratación de los patrimonios autónomos constituidos por Entidades Estatales […]” (énfasis fuera de texto). Conforme indica el texto de esta norma, reglamentada por el artículo 2.2.1.2.4.2.17 del Decreto 1082 de 2015, adicionado por el Decreto 1860 de 2021, estos factores de desempate no solo son aplicables a la contratación de las entidades regidas por el EGCAP, sino también a </w:t>
      </w:r>
      <w:r w:rsidRPr="00265E5D">
        <w:rPr>
          <w:rFonts w:ascii="Verdana" w:eastAsia="Calibri" w:hAnsi="Verdana" w:cs="Arial"/>
        </w:rPr>
        <w:lastRenderedPageBreak/>
        <w:t>los procesos de selección de las entidades exceptuadas,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se desarrollen bajo los supuestos indicados.</w:t>
      </w:r>
    </w:p>
    <w:p w14:paraId="1D7DADD8" w14:textId="77777777" w:rsidR="00265E5D" w:rsidRPr="00265E5D" w:rsidRDefault="00265E5D" w:rsidP="00265E5D">
      <w:pPr>
        <w:spacing w:after="0" w:line="276" w:lineRule="auto"/>
        <w:ind w:left="720"/>
        <w:contextualSpacing/>
        <w:jc w:val="both"/>
        <w:rPr>
          <w:rFonts w:ascii="Verdana" w:eastAsia="Calibri" w:hAnsi="Verdana" w:cs="Arial"/>
        </w:rPr>
      </w:pPr>
    </w:p>
    <w:p w14:paraId="79830C0F"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En ese sentido, la Agencia ha estimado que la aplicación del artículo 35 de la Ley 2069 de 2020 es transversal a las distintas modalidades de contratación y los diferentes actores del sistema de compras públicas, quienes –indistintamente del régimen de contractual y el proceso de selección– deben aplicar los criterios de desempate de esta norma.</w:t>
      </w:r>
    </w:p>
    <w:p w14:paraId="33729E6D" w14:textId="77777777" w:rsidR="00265E5D" w:rsidRPr="00265E5D" w:rsidRDefault="00265E5D" w:rsidP="00265E5D">
      <w:pPr>
        <w:spacing w:line="278" w:lineRule="auto"/>
        <w:ind w:left="720"/>
        <w:contextualSpacing/>
        <w:rPr>
          <w:rFonts w:ascii="Verdana" w:eastAsia="Calibri" w:hAnsi="Verdana" w:cs="Arial"/>
        </w:rPr>
      </w:pPr>
    </w:p>
    <w:p w14:paraId="4F34828E"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Teniendo en cuenta el objeto de su consulta, es importante resaltar que, mediante la Resolución 798 del 29 de diciembre de 2023, esta Agencia adoptó los documentos tipo para los procesos de concurso de méritos para contratar la interventoría de obras públicas de infraestructura social, que agrupa los sectores de educación, salud, y cultura, recreación y deporte.</w:t>
      </w:r>
    </w:p>
    <w:p w14:paraId="2C815BF3" w14:textId="77777777" w:rsidR="00265E5D" w:rsidRPr="00265E5D" w:rsidRDefault="00265E5D" w:rsidP="00265E5D">
      <w:pPr>
        <w:spacing w:line="278" w:lineRule="auto"/>
        <w:ind w:left="720"/>
        <w:contextualSpacing/>
        <w:rPr>
          <w:rFonts w:ascii="Verdana" w:eastAsia="Calibri" w:hAnsi="Verdana" w:cs="Arial"/>
        </w:rPr>
      </w:pPr>
    </w:p>
    <w:p w14:paraId="79B1555C"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De conformidad con el numeral 4.1 “FORMA DE VERIFICACIÓN Y ASIGNACIÓN DE PUNTAJE POR LA EXPERIENCIA DEL PROPONENTE” del Documento Base de los referidos documentos tipo, para la asignación de puntaje, la Entidad tomará el promedio de los contratos válidos aportados de cada propuesta hábil expresados en SMMLV registrados en el Registro Único de Proponentes (RUP) o en alguno de los documentos válidos señalados en el numeral 10.1.5, que acredite su experiencia relacionada en el RUP.</w:t>
      </w:r>
    </w:p>
    <w:p w14:paraId="2324B3B1" w14:textId="77777777" w:rsidR="00265E5D" w:rsidRPr="00265E5D" w:rsidRDefault="00265E5D" w:rsidP="00265E5D">
      <w:pPr>
        <w:spacing w:line="278" w:lineRule="auto"/>
        <w:ind w:left="720"/>
        <w:contextualSpacing/>
        <w:rPr>
          <w:rFonts w:ascii="Verdana" w:eastAsia="Calibri" w:hAnsi="Verdana" w:cs="Arial"/>
        </w:rPr>
      </w:pPr>
    </w:p>
    <w:p w14:paraId="520E5E26"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t>Posteriormente, se seleccionará un método aleatorio en función de la Tasa Representativa del Mercado (TRM) certificada por la Superintendencia Financiera de Colombia. La TRM que la Entidad utilizará para determinar el método de ponderación será la que rija el segundo día hábil después del cierre del proceso. Esto es, la que la Superintendencia publique en horas de la tarde del día hábil siguiente a la fecha efectiva del cierre del Proceso de Contratación.</w:t>
      </w:r>
    </w:p>
    <w:p w14:paraId="0C3EB146" w14:textId="77777777" w:rsidR="00265E5D" w:rsidRPr="00265E5D" w:rsidRDefault="00265E5D" w:rsidP="00265E5D">
      <w:pPr>
        <w:spacing w:line="278" w:lineRule="auto"/>
        <w:ind w:left="720"/>
        <w:contextualSpacing/>
        <w:rPr>
          <w:rFonts w:ascii="Verdana" w:eastAsia="Calibri" w:hAnsi="Verdana" w:cs="Arial"/>
        </w:rPr>
      </w:pPr>
    </w:p>
    <w:p w14:paraId="5C237942" w14:textId="77777777" w:rsidR="00265E5D" w:rsidRPr="00265E5D" w:rsidRDefault="00265E5D" w:rsidP="00265E5D">
      <w:pPr>
        <w:numPr>
          <w:ilvl w:val="0"/>
          <w:numId w:val="19"/>
        </w:numPr>
        <w:spacing w:after="0" w:line="276" w:lineRule="auto"/>
        <w:contextualSpacing/>
        <w:jc w:val="both"/>
        <w:rPr>
          <w:rFonts w:ascii="Verdana" w:eastAsia="Calibri" w:hAnsi="Verdana" w:cs="Arial"/>
        </w:rPr>
      </w:pPr>
      <w:r w:rsidRPr="00265E5D">
        <w:rPr>
          <w:rFonts w:ascii="Verdana" w:eastAsia="Calibri" w:hAnsi="Verdana" w:cs="Arial"/>
        </w:rPr>
        <w:lastRenderedPageBreak/>
        <w:t>El método de ponderación se determinará de acuerdo con los rangos del siguiente cuadro, en función de la parte decimal –centavos– de la TRM:</w:t>
      </w:r>
    </w:p>
    <w:p w14:paraId="57EFC6F8" w14:textId="77777777" w:rsidR="00265E5D" w:rsidRPr="00265E5D" w:rsidRDefault="00265E5D" w:rsidP="00265E5D">
      <w:pPr>
        <w:spacing w:line="278" w:lineRule="auto"/>
        <w:ind w:left="720"/>
        <w:contextualSpacing/>
        <w:jc w:val="both"/>
        <w:rPr>
          <w:rFonts w:ascii="Arial" w:eastAsia="Arial" w:hAnsi="Arial" w:cs="Arial"/>
          <w:kern w:val="2"/>
          <w:sz w:val="20"/>
          <w:szCs w:val="20"/>
          <w:lang w:eastAsia="es-ES"/>
          <w14:ligatures w14:val="standardContextual"/>
        </w:rPr>
      </w:pPr>
    </w:p>
    <w:tbl>
      <w:tblPr>
        <w:tblW w:w="0" w:type="auto"/>
        <w:jc w:val="center"/>
        <w:tblLayout w:type="fixed"/>
        <w:tblLook w:val="00A0" w:firstRow="1" w:lastRow="0" w:firstColumn="1" w:lastColumn="0" w:noHBand="0" w:noVBand="0"/>
      </w:tblPr>
      <w:tblGrid>
        <w:gridCol w:w="1620"/>
        <w:gridCol w:w="1110"/>
        <w:gridCol w:w="3270"/>
      </w:tblGrid>
      <w:tr w:rsidR="00265E5D" w:rsidRPr="00265E5D" w14:paraId="2D99B097" w14:textId="77777777" w:rsidTr="00265E5D">
        <w:trPr>
          <w:trHeight w:val="15"/>
          <w:jc w:val="center"/>
        </w:trPr>
        <w:tc>
          <w:tcPr>
            <w:tcW w:w="1620" w:type="dxa"/>
            <w:tcBorders>
              <w:top w:val="double" w:sz="4" w:space="0" w:color="auto"/>
              <w:left w:val="double" w:sz="4" w:space="0" w:color="auto"/>
              <w:bottom w:val="single" w:sz="8" w:space="0" w:color="auto"/>
              <w:right w:val="single" w:sz="8" w:space="0" w:color="auto"/>
            </w:tcBorders>
            <w:shd w:val="clear" w:color="auto" w:fill="262626"/>
            <w:vAlign w:val="center"/>
          </w:tcPr>
          <w:p w14:paraId="24B10AD0" w14:textId="77777777" w:rsidR="00265E5D" w:rsidRPr="00265E5D" w:rsidRDefault="00265E5D" w:rsidP="00265E5D">
            <w:pPr>
              <w:spacing w:line="278" w:lineRule="auto"/>
              <w:jc w:val="center"/>
              <w:rPr>
                <w:rFonts w:ascii="Arial" w:eastAsia="Arial" w:hAnsi="Arial" w:cs="Arial"/>
                <w:b/>
                <w:bCs/>
                <w:kern w:val="2"/>
                <w:sz w:val="20"/>
                <w:szCs w:val="20"/>
                <w:lang w:val="es"/>
                <w14:ligatures w14:val="standardContextual"/>
              </w:rPr>
            </w:pPr>
            <w:r w:rsidRPr="00265E5D">
              <w:rPr>
                <w:rFonts w:ascii="Arial" w:eastAsia="Arial" w:hAnsi="Arial" w:cs="Arial"/>
                <w:b/>
                <w:bCs/>
                <w:kern w:val="2"/>
                <w:sz w:val="20"/>
                <w:szCs w:val="20"/>
                <w:lang w:val="es"/>
                <w14:ligatures w14:val="standardContextual"/>
              </w:rPr>
              <w:t>Rango (inclusive)</w:t>
            </w:r>
          </w:p>
        </w:tc>
        <w:tc>
          <w:tcPr>
            <w:tcW w:w="1110" w:type="dxa"/>
            <w:tcBorders>
              <w:top w:val="double" w:sz="4" w:space="0" w:color="auto"/>
              <w:left w:val="single" w:sz="8" w:space="0" w:color="auto"/>
              <w:bottom w:val="single" w:sz="8" w:space="0" w:color="auto"/>
              <w:right w:val="single" w:sz="8" w:space="0" w:color="auto"/>
            </w:tcBorders>
            <w:shd w:val="clear" w:color="auto" w:fill="262626"/>
            <w:vAlign w:val="center"/>
          </w:tcPr>
          <w:p w14:paraId="36F88490" w14:textId="77777777" w:rsidR="00265E5D" w:rsidRPr="00265E5D" w:rsidRDefault="00265E5D" w:rsidP="00265E5D">
            <w:pPr>
              <w:spacing w:line="278" w:lineRule="auto"/>
              <w:jc w:val="center"/>
              <w:rPr>
                <w:rFonts w:ascii="Arial" w:eastAsia="Arial" w:hAnsi="Arial" w:cs="Arial"/>
                <w:b/>
                <w:bCs/>
                <w:kern w:val="2"/>
                <w:sz w:val="20"/>
                <w:szCs w:val="20"/>
                <w:lang w:val="es"/>
                <w14:ligatures w14:val="standardContextual"/>
              </w:rPr>
            </w:pPr>
            <w:r w:rsidRPr="00265E5D">
              <w:rPr>
                <w:rFonts w:ascii="Arial" w:eastAsia="Arial" w:hAnsi="Arial" w:cs="Arial"/>
                <w:b/>
                <w:bCs/>
                <w:kern w:val="2"/>
                <w:sz w:val="20"/>
                <w:szCs w:val="20"/>
                <w:lang w:val="es"/>
                <w14:ligatures w14:val="standardContextual"/>
              </w:rPr>
              <w:t>Número</w:t>
            </w:r>
          </w:p>
        </w:tc>
        <w:tc>
          <w:tcPr>
            <w:tcW w:w="3270" w:type="dxa"/>
            <w:tcBorders>
              <w:top w:val="double" w:sz="4" w:space="0" w:color="auto"/>
              <w:left w:val="single" w:sz="8" w:space="0" w:color="auto"/>
              <w:bottom w:val="single" w:sz="8" w:space="0" w:color="auto"/>
              <w:right w:val="double" w:sz="4" w:space="0" w:color="auto"/>
            </w:tcBorders>
            <w:shd w:val="clear" w:color="auto" w:fill="262626"/>
            <w:vAlign w:val="center"/>
          </w:tcPr>
          <w:p w14:paraId="77024839" w14:textId="77777777" w:rsidR="00265E5D" w:rsidRPr="00265E5D" w:rsidRDefault="00265E5D" w:rsidP="00265E5D">
            <w:pPr>
              <w:spacing w:line="278" w:lineRule="auto"/>
              <w:jc w:val="center"/>
              <w:rPr>
                <w:rFonts w:ascii="Arial" w:eastAsia="Arial" w:hAnsi="Arial" w:cs="Arial"/>
                <w:b/>
                <w:bCs/>
                <w:kern w:val="2"/>
                <w:sz w:val="20"/>
                <w:szCs w:val="20"/>
                <w:lang w:val="es"/>
                <w14:ligatures w14:val="standardContextual"/>
              </w:rPr>
            </w:pPr>
            <w:r w:rsidRPr="00265E5D">
              <w:rPr>
                <w:rFonts w:ascii="Arial" w:eastAsia="Arial" w:hAnsi="Arial" w:cs="Arial"/>
                <w:b/>
                <w:bCs/>
                <w:kern w:val="2"/>
                <w:sz w:val="20"/>
                <w:szCs w:val="20"/>
                <w:lang w:val="es"/>
                <w14:ligatures w14:val="standardContextual"/>
              </w:rPr>
              <w:t>Método</w:t>
            </w:r>
          </w:p>
        </w:tc>
      </w:tr>
      <w:tr w:rsidR="00265E5D" w:rsidRPr="00265E5D" w14:paraId="0DF6C93A" w14:textId="77777777" w:rsidTr="0007438A">
        <w:trPr>
          <w:trHeight w:val="15"/>
          <w:jc w:val="center"/>
        </w:trPr>
        <w:tc>
          <w:tcPr>
            <w:tcW w:w="1620" w:type="dxa"/>
            <w:tcBorders>
              <w:top w:val="single" w:sz="8" w:space="0" w:color="auto"/>
              <w:left w:val="double" w:sz="4" w:space="0" w:color="auto"/>
              <w:bottom w:val="single" w:sz="8" w:space="0" w:color="auto"/>
              <w:right w:val="single" w:sz="8" w:space="0" w:color="auto"/>
            </w:tcBorders>
            <w:vAlign w:val="center"/>
          </w:tcPr>
          <w:p w14:paraId="7C184A52" w14:textId="77777777" w:rsidR="00265E5D" w:rsidRPr="00265E5D" w:rsidRDefault="00265E5D" w:rsidP="00265E5D">
            <w:pPr>
              <w:spacing w:line="278" w:lineRule="auto"/>
              <w:jc w:val="center"/>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De 0.00 a 0.33</w:t>
            </w:r>
          </w:p>
        </w:tc>
        <w:tc>
          <w:tcPr>
            <w:tcW w:w="1110" w:type="dxa"/>
            <w:tcBorders>
              <w:top w:val="single" w:sz="8" w:space="0" w:color="auto"/>
              <w:left w:val="single" w:sz="8" w:space="0" w:color="auto"/>
              <w:bottom w:val="single" w:sz="8" w:space="0" w:color="auto"/>
              <w:right w:val="single" w:sz="8" w:space="0" w:color="auto"/>
            </w:tcBorders>
            <w:vAlign w:val="center"/>
          </w:tcPr>
          <w:p w14:paraId="4AE83834" w14:textId="77777777" w:rsidR="00265E5D" w:rsidRPr="00265E5D" w:rsidRDefault="00265E5D" w:rsidP="00265E5D">
            <w:pPr>
              <w:spacing w:line="278" w:lineRule="auto"/>
              <w:jc w:val="center"/>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1</w:t>
            </w:r>
          </w:p>
        </w:tc>
        <w:tc>
          <w:tcPr>
            <w:tcW w:w="3270" w:type="dxa"/>
            <w:tcBorders>
              <w:top w:val="single" w:sz="8" w:space="0" w:color="auto"/>
              <w:left w:val="single" w:sz="8" w:space="0" w:color="auto"/>
              <w:bottom w:val="single" w:sz="8" w:space="0" w:color="auto"/>
              <w:right w:val="double" w:sz="4" w:space="0" w:color="auto"/>
            </w:tcBorders>
            <w:vAlign w:val="center"/>
          </w:tcPr>
          <w:p w14:paraId="49C10C04" w14:textId="77777777" w:rsidR="00265E5D" w:rsidRPr="00265E5D" w:rsidRDefault="00265E5D" w:rsidP="00265E5D">
            <w:pPr>
              <w:spacing w:line="278" w:lineRule="auto"/>
              <w:jc w:val="both"/>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Mediana con valor absoluto</w:t>
            </w:r>
          </w:p>
        </w:tc>
      </w:tr>
      <w:tr w:rsidR="00265E5D" w:rsidRPr="00265E5D" w14:paraId="5236930A" w14:textId="77777777" w:rsidTr="0007438A">
        <w:trPr>
          <w:trHeight w:val="30"/>
          <w:jc w:val="center"/>
        </w:trPr>
        <w:tc>
          <w:tcPr>
            <w:tcW w:w="1620" w:type="dxa"/>
            <w:tcBorders>
              <w:top w:val="single" w:sz="8" w:space="0" w:color="auto"/>
              <w:left w:val="double" w:sz="4" w:space="0" w:color="auto"/>
              <w:bottom w:val="single" w:sz="8" w:space="0" w:color="auto"/>
              <w:right w:val="single" w:sz="8" w:space="0" w:color="auto"/>
            </w:tcBorders>
            <w:vAlign w:val="center"/>
          </w:tcPr>
          <w:p w14:paraId="4F926C65" w14:textId="77777777" w:rsidR="00265E5D" w:rsidRPr="00265E5D" w:rsidRDefault="00265E5D" w:rsidP="00265E5D">
            <w:pPr>
              <w:spacing w:line="278" w:lineRule="auto"/>
              <w:jc w:val="center"/>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De 0.34 a 0.66</w:t>
            </w:r>
          </w:p>
        </w:tc>
        <w:tc>
          <w:tcPr>
            <w:tcW w:w="1110" w:type="dxa"/>
            <w:tcBorders>
              <w:top w:val="single" w:sz="8" w:space="0" w:color="auto"/>
              <w:left w:val="single" w:sz="8" w:space="0" w:color="auto"/>
              <w:bottom w:val="single" w:sz="8" w:space="0" w:color="auto"/>
              <w:right w:val="single" w:sz="8" w:space="0" w:color="auto"/>
            </w:tcBorders>
            <w:vAlign w:val="center"/>
          </w:tcPr>
          <w:p w14:paraId="3F552C9E" w14:textId="77777777" w:rsidR="00265E5D" w:rsidRPr="00265E5D" w:rsidRDefault="00265E5D" w:rsidP="00265E5D">
            <w:pPr>
              <w:spacing w:line="278" w:lineRule="auto"/>
              <w:jc w:val="center"/>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2</w:t>
            </w:r>
          </w:p>
        </w:tc>
        <w:tc>
          <w:tcPr>
            <w:tcW w:w="3270" w:type="dxa"/>
            <w:tcBorders>
              <w:top w:val="single" w:sz="8" w:space="0" w:color="auto"/>
              <w:left w:val="single" w:sz="8" w:space="0" w:color="auto"/>
              <w:bottom w:val="single" w:sz="8" w:space="0" w:color="auto"/>
              <w:right w:val="double" w:sz="4" w:space="0" w:color="auto"/>
            </w:tcBorders>
            <w:vAlign w:val="center"/>
          </w:tcPr>
          <w:p w14:paraId="419D7FA4" w14:textId="77777777" w:rsidR="00265E5D" w:rsidRPr="00265E5D" w:rsidRDefault="00265E5D" w:rsidP="00265E5D">
            <w:pPr>
              <w:spacing w:line="278" w:lineRule="auto"/>
              <w:jc w:val="both"/>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Media geométrica</w:t>
            </w:r>
          </w:p>
        </w:tc>
      </w:tr>
      <w:tr w:rsidR="00265E5D" w:rsidRPr="00265E5D" w14:paraId="65D8B4F7" w14:textId="77777777" w:rsidTr="0007438A">
        <w:trPr>
          <w:trHeight w:val="15"/>
          <w:jc w:val="center"/>
        </w:trPr>
        <w:tc>
          <w:tcPr>
            <w:tcW w:w="1620" w:type="dxa"/>
            <w:tcBorders>
              <w:top w:val="single" w:sz="8" w:space="0" w:color="auto"/>
              <w:left w:val="double" w:sz="4" w:space="0" w:color="auto"/>
              <w:bottom w:val="double" w:sz="4" w:space="0" w:color="auto"/>
              <w:right w:val="single" w:sz="8" w:space="0" w:color="auto"/>
            </w:tcBorders>
            <w:vAlign w:val="center"/>
          </w:tcPr>
          <w:p w14:paraId="12B3C605" w14:textId="77777777" w:rsidR="00265E5D" w:rsidRPr="00265E5D" w:rsidRDefault="00265E5D" w:rsidP="00265E5D">
            <w:pPr>
              <w:spacing w:line="278" w:lineRule="auto"/>
              <w:jc w:val="center"/>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De 0.67 a 0.99</w:t>
            </w:r>
          </w:p>
        </w:tc>
        <w:tc>
          <w:tcPr>
            <w:tcW w:w="1110" w:type="dxa"/>
            <w:tcBorders>
              <w:top w:val="single" w:sz="8" w:space="0" w:color="auto"/>
              <w:left w:val="single" w:sz="8" w:space="0" w:color="auto"/>
              <w:bottom w:val="double" w:sz="4" w:space="0" w:color="auto"/>
              <w:right w:val="single" w:sz="8" w:space="0" w:color="auto"/>
            </w:tcBorders>
            <w:vAlign w:val="center"/>
          </w:tcPr>
          <w:p w14:paraId="15C06A10" w14:textId="77777777" w:rsidR="00265E5D" w:rsidRPr="00265E5D" w:rsidRDefault="00265E5D" w:rsidP="00265E5D">
            <w:pPr>
              <w:spacing w:line="278" w:lineRule="auto"/>
              <w:jc w:val="center"/>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3</w:t>
            </w:r>
          </w:p>
        </w:tc>
        <w:tc>
          <w:tcPr>
            <w:tcW w:w="3270" w:type="dxa"/>
            <w:tcBorders>
              <w:top w:val="single" w:sz="8" w:space="0" w:color="auto"/>
              <w:left w:val="single" w:sz="8" w:space="0" w:color="auto"/>
              <w:bottom w:val="double" w:sz="4" w:space="0" w:color="auto"/>
              <w:right w:val="double" w:sz="4" w:space="0" w:color="auto"/>
            </w:tcBorders>
            <w:vAlign w:val="center"/>
          </w:tcPr>
          <w:p w14:paraId="11B19CCA" w14:textId="77777777" w:rsidR="00265E5D" w:rsidRPr="00265E5D" w:rsidRDefault="00265E5D" w:rsidP="00265E5D">
            <w:pPr>
              <w:spacing w:line="278" w:lineRule="auto"/>
              <w:jc w:val="both"/>
              <w:rPr>
                <w:rFonts w:ascii="Arial" w:eastAsia="Arial" w:hAnsi="Arial" w:cs="Arial"/>
                <w:kern w:val="2"/>
                <w:sz w:val="20"/>
                <w:szCs w:val="20"/>
                <w:lang w:val="es"/>
                <w14:ligatures w14:val="standardContextual"/>
              </w:rPr>
            </w:pPr>
            <w:r w:rsidRPr="00265E5D">
              <w:rPr>
                <w:rFonts w:ascii="Arial" w:eastAsia="Arial" w:hAnsi="Arial" w:cs="Arial"/>
                <w:kern w:val="2"/>
                <w:sz w:val="20"/>
                <w:szCs w:val="20"/>
                <w:lang w:val="es"/>
                <w14:ligatures w14:val="standardContextual"/>
              </w:rPr>
              <w:t>Media aritmética alta</w:t>
            </w:r>
          </w:p>
        </w:tc>
      </w:tr>
    </w:tbl>
    <w:p w14:paraId="45A361CA" w14:textId="77777777" w:rsidR="00265E5D" w:rsidRPr="00265E5D" w:rsidRDefault="00265E5D" w:rsidP="00265E5D">
      <w:pPr>
        <w:spacing w:line="276" w:lineRule="auto"/>
        <w:jc w:val="both"/>
        <w:rPr>
          <w:rFonts w:ascii="Arial" w:eastAsia="Calibri" w:hAnsi="Arial" w:cs="Arial"/>
        </w:rPr>
      </w:pPr>
    </w:p>
    <w:p w14:paraId="27EB581A" w14:textId="77777777" w:rsidR="00265E5D" w:rsidRPr="00265E5D" w:rsidRDefault="00265E5D" w:rsidP="00265E5D">
      <w:pPr>
        <w:widowControl w:val="0"/>
        <w:numPr>
          <w:ilvl w:val="0"/>
          <w:numId w:val="20"/>
        </w:numPr>
        <w:autoSpaceDE w:val="0"/>
        <w:autoSpaceDN w:val="0"/>
        <w:spacing w:after="0" w:line="276" w:lineRule="auto"/>
        <w:contextualSpacing/>
        <w:jc w:val="both"/>
        <w:rPr>
          <w:rFonts w:ascii="Verdana" w:eastAsia="Arial" w:hAnsi="Verdana" w:cs="Arial"/>
          <w:lang w:val="es-ES"/>
        </w:rPr>
      </w:pPr>
      <w:r w:rsidRPr="00265E5D">
        <w:rPr>
          <w:rFonts w:ascii="Verdana" w:eastAsia="Arial" w:hAnsi="Verdana" w:cs="Arial"/>
          <w:lang w:val="es-ES"/>
        </w:rPr>
        <w:t xml:space="preserve">Asimismo, el Documento Base establece, entre otras cosas, que la Entidad asignará hasta cinco (5) puntos al Proponente por experiencia específica adicional –numeral 4.2.1– y formación académica adicional –numeral 4.2.2–. </w:t>
      </w:r>
    </w:p>
    <w:p w14:paraId="0A9FAF7F" w14:textId="77777777" w:rsidR="00265E5D" w:rsidRPr="00265E5D" w:rsidRDefault="00265E5D" w:rsidP="00265E5D">
      <w:pPr>
        <w:widowControl w:val="0"/>
        <w:autoSpaceDE w:val="0"/>
        <w:autoSpaceDN w:val="0"/>
        <w:spacing w:after="0" w:line="276" w:lineRule="auto"/>
        <w:ind w:left="720"/>
        <w:contextualSpacing/>
        <w:jc w:val="both"/>
        <w:rPr>
          <w:rFonts w:ascii="Verdana" w:eastAsia="Arial" w:hAnsi="Verdana" w:cs="Arial"/>
          <w:lang w:val="es-ES"/>
        </w:rPr>
      </w:pPr>
    </w:p>
    <w:p w14:paraId="2B1C4AA5" w14:textId="77777777" w:rsidR="00265E5D" w:rsidRPr="00265E5D" w:rsidRDefault="00265E5D" w:rsidP="00265E5D">
      <w:pPr>
        <w:widowControl w:val="0"/>
        <w:numPr>
          <w:ilvl w:val="0"/>
          <w:numId w:val="20"/>
        </w:numPr>
        <w:autoSpaceDE w:val="0"/>
        <w:autoSpaceDN w:val="0"/>
        <w:spacing w:after="0" w:line="276" w:lineRule="auto"/>
        <w:contextualSpacing/>
        <w:jc w:val="both"/>
        <w:rPr>
          <w:rFonts w:ascii="Verdana" w:eastAsia="Arial" w:hAnsi="Verdana" w:cs="Arial"/>
          <w:lang w:val="es-ES"/>
        </w:rPr>
      </w:pPr>
      <w:r w:rsidRPr="00265E5D">
        <w:rPr>
          <w:rFonts w:ascii="Verdana" w:eastAsia="Arial" w:hAnsi="Verdana" w:cs="Arial"/>
          <w:lang w:val="es-ES"/>
        </w:rPr>
        <w:t xml:space="preserve">Además, es importante señalar que, en caso de empate en el puntaje total de dos o más ofertas, deberán aplicarse las reglas de desempate contenidas en el numeral 4.8 “CRITERIOS DE DESEMPATE” del Documento Base. Estas reglas se aplicarán de acuerdo con lo establecido en cada uno de los numerales, de forma sucesiva y excluyente, para seleccionar al Proponente favorecido. </w:t>
      </w:r>
    </w:p>
    <w:p w14:paraId="7768558F" w14:textId="77777777" w:rsidR="00265E5D" w:rsidRPr="00265E5D" w:rsidRDefault="00265E5D" w:rsidP="00265E5D">
      <w:pPr>
        <w:spacing w:line="278" w:lineRule="auto"/>
        <w:ind w:left="720"/>
        <w:contextualSpacing/>
        <w:rPr>
          <w:rFonts w:ascii="Verdana" w:eastAsia="Arial" w:hAnsi="Verdana" w:cs="Arial"/>
          <w:lang w:val="es-ES"/>
        </w:rPr>
      </w:pPr>
    </w:p>
    <w:p w14:paraId="78A742EF" w14:textId="77777777" w:rsidR="00265E5D" w:rsidRPr="00265E5D" w:rsidRDefault="00265E5D" w:rsidP="00265E5D">
      <w:pPr>
        <w:widowControl w:val="0"/>
        <w:numPr>
          <w:ilvl w:val="0"/>
          <w:numId w:val="20"/>
        </w:numPr>
        <w:autoSpaceDE w:val="0"/>
        <w:autoSpaceDN w:val="0"/>
        <w:spacing w:after="0" w:line="276" w:lineRule="auto"/>
        <w:contextualSpacing/>
        <w:jc w:val="both"/>
        <w:rPr>
          <w:rFonts w:ascii="Verdana" w:eastAsia="Arial" w:hAnsi="Verdana" w:cs="Arial"/>
          <w:lang w:val="es-ES"/>
        </w:rPr>
      </w:pPr>
      <w:r w:rsidRPr="00265E5D">
        <w:rPr>
          <w:rFonts w:ascii="Verdana" w:eastAsia="Arial" w:hAnsi="Verdana" w:cs="Arial"/>
          <w:lang w:val="es-ES"/>
        </w:rPr>
        <w:t xml:space="preserve">De esta manera, los criterios de desempate establecidos en los documentos tipo expedidos por esta Agencia, aplican cuando, una vez evaluadas las ofertas, se presenta empate en el puntaje total de dos o más ofertas. Por lo demás, estos criterios se encuentran acordes con lo establecido en la Ley 2069 de 2020 y el Decreto 1860 de 2021. </w:t>
      </w:r>
    </w:p>
    <w:p w14:paraId="43BFD1EC" w14:textId="77777777" w:rsidR="00265E5D" w:rsidRPr="00265E5D" w:rsidRDefault="00265E5D" w:rsidP="00265E5D">
      <w:pPr>
        <w:spacing w:line="278" w:lineRule="auto"/>
        <w:ind w:left="720"/>
        <w:contextualSpacing/>
        <w:rPr>
          <w:rFonts w:ascii="Verdana" w:eastAsia="Arial" w:hAnsi="Verdana" w:cs="Arial"/>
          <w:lang w:val="es-ES"/>
        </w:rPr>
      </w:pPr>
    </w:p>
    <w:p w14:paraId="30E51165" w14:textId="77777777" w:rsidR="00265E5D" w:rsidRPr="00265E5D" w:rsidRDefault="00265E5D" w:rsidP="00265E5D">
      <w:pPr>
        <w:widowControl w:val="0"/>
        <w:numPr>
          <w:ilvl w:val="0"/>
          <w:numId w:val="20"/>
        </w:numPr>
        <w:autoSpaceDE w:val="0"/>
        <w:autoSpaceDN w:val="0"/>
        <w:spacing w:after="0" w:line="276" w:lineRule="auto"/>
        <w:contextualSpacing/>
        <w:jc w:val="both"/>
        <w:rPr>
          <w:rFonts w:ascii="Verdana" w:eastAsia="Arial" w:hAnsi="Verdana" w:cs="Arial"/>
          <w:lang w:val="es-ES"/>
        </w:rPr>
      </w:pPr>
      <w:r w:rsidRPr="00265E5D">
        <w:rPr>
          <w:rFonts w:ascii="Verdana" w:eastAsia="Arial" w:hAnsi="Verdana" w:cs="Arial"/>
          <w:lang w:val="es-ES"/>
        </w:rPr>
        <w:t xml:space="preserve">Finalmente, es necesario advertir que, los documentos tipo para la contratación directa de convenios solidarios para la ejecución de obras hasta la menor cuantía con organismos de acción comunal –adoptados mediante la Resolución 358 del 30 de junio de 2023– no contemplan criterios de desempate conforme al artículo 35 de la Ley 2069 de 2020, toda vez que la modalidad de selección, en estos casos, es la contratación directa. </w:t>
      </w:r>
    </w:p>
    <w:p w14:paraId="5ED90E2E" w14:textId="77777777" w:rsidR="00265E5D" w:rsidRPr="00265E5D" w:rsidRDefault="00265E5D" w:rsidP="00265E5D">
      <w:pPr>
        <w:widowControl w:val="0"/>
        <w:autoSpaceDE w:val="0"/>
        <w:autoSpaceDN w:val="0"/>
        <w:spacing w:after="0" w:line="240" w:lineRule="auto"/>
        <w:ind w:right="709"/>
        <w:jc w:val="both"/>
        <w:rPr>
          <w:rFonts w:ascii="Verdana" w:eastAsia="Arial" w:hAnsi="Verdana" w:cs="Arial"/>
          <w:lang w:val="es-ES"/>
        </w:rPr>
      </w:pPr>
    </w:p>
    <w:p w14:paraId="4801E748" w14:textId="77777777" w:rsidR="00265E5D" w:rsidRPr="00265E5D" w:rsidRDefault="00265E5D" w:rsidP="00265E5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265E5D">
        <w:rPr>
          <w:rFonts w:ascii="Verdana" w:eastAsia="Century Gothic" w:hAnsi="Verdana" w:cs="Century Gothic"/>
          <w:b/>
          <w:bCs/>
          <w:lang w:val="es-ES_tradnl"/>
        </w:rPr>
        <w:lastRenderedPageBreak/>
        <w:t>Referencias normativas, jurisprudenciales y otras fuentes:</w:t>
      </w:r>
    </w:p>
    <w:p w14:paraId="0C129691" w14:textId="77777777" w:rsidR="00265E5D" w:rsidRPr="00265E5D" w:rsidRDefault="00265E5D" w:rsidP="00265E5D">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265E5D" w:rsidRPr="00265E5D" w14:paraId="0545D290" w14:textId="77777777" w:rsidTr="0007438A">
        <w:trPr>
          <w:trHeight w:val="870"/>
        </w:trPr>
        <w:tc>
          <w:tcPr>
            <w:tcW w:w="8647" w:type="dxa"/>
          </w:tcPr>
          <w:p w14:paraId="4026F13F" w14:textId="77777777" w:rsidR="00265E5D" w:rsidRPr="00265E5D" w:rsidRDefault="00265E5D" w:rsidP="00265E5D">
            <w:pPr>
              <w:widowControl w:val="0"/>
              <w:numPr>
                <w:ilvl w:val="0"/>
                <w:numId w:val="17"/>
              </w:numPr>
              <w:autoSpaceDE w:val="0"/>
              <w:autoSpaceDN w:val="0"/>
              <w:spacing w:after="120" w:line="276" w:lineRule="auto"/>
              <w:ind w:left="714" w:hanging="357"/>
              <w:jc w:val="both"/>
              <w:rPr>
                <w:rFonts w:ascii="Verdana" w:eastAsia="Calibri" w:hAnsi="Verdana" w:cs="Arial"/>
                <w:lang w:val="es-ES_tradnl"/>
              </w:rPr>
            </w:pPr>
            <w:r w:rsidRPr="00265E5D">
              <w:rPr>
                <w:rFonts w:ascii="Verdana" w:eastAsia="Calibri" w:hAnsi="Verdana" w:cs="Arial"/>
              </w:rPr>
              <w:t>Ley 1150 de 2007, artículo 2.5.</w:t>
            </w:r>
          </w:p>
          <w:p w14:paraId="3101DD0C" w14:textId="77777777" w:rsidR="00265E5D" w:rsidRPr="00265E5D" w:rsidRDefault="00265E5D" w:rsidP="00265E5D">
            <w:pPr>
              <w:widowControl w:val="0"/>
              <w:numPr>
                <w:ilvl w:val="0"/>
                <w:numId w:val="17"/>
              </w:numPr>
              <w:autoSpaceDE w:val="0"/>
              <w:autoSpaceDN w:val="0"/>
              <w:spacing w:after="120" w:line="276" w:lineRule="auto"/>
              <w:ind w:left="714" w:hanging="357"/>
              <w:jc w:val="both"/>
              <w:rPr>
                <w:rFonts w:ascii="Verdana" w:eastAsia="Calibri" w:hAnsi="Verdana" w:cs="Arial"/>
                <w:lang w:val="es-ES_tradnl"/>
              </w:rPr>
            </w:pPr>
            <w:r w:rsidRPr="00265E5D">
              <w:rPr>
                <w:rFonts w:ascii="Verdana" w:eastAsia="Calibri" w:hAnsi="Verdana" w:cs="Arial"/>
                <w:lang w:val="es-ES_tradnl"/>
              </w:rPr>
              <w:t xml:space="preserve">Ley 80 de 1993, artículo 32. </w:t>
            </w:r>
          </w:p>
          <w:p w14:paraId="2F89E310" w14:textId="77777777" w:rsidR="00265E5D" w:rsidRPr="00265E5D" w:rsidRDefault="00265E5D" w:rsidP="00265E5D">
            <w:pPr>
              <w:widowControl w:val="0"/>
              <w:numPr>
                <w:ilvl w:val="0"/>
                <w:numId w:val="17"/>
              </w:numPr>
              <w:autoSpaceDE w:val="0"/>
              <w:autoSpaceDN w:val="0"/>
              <w:spacing w:after="120" w:line="276" w:lineRule="auto"/>
              <w:ind w:left="714" w:hanging="357"/>
              <w:jc w:val="both"/>
              <w:rPr>
                <w:rFonts w:ascii="Verdana" w:eastAsia="Calibri" w:hAnsi="Verdana" w:cs="Arial"/>
                <w:lang w:val="es-ES_tradnl"/>
              </w:rPr>
            </w:pPr>
            <w:r w:rsidRPr="00265E5D">
              <w:rPr>
                <w:rFonts w:ascii="Verdana" w:eastAsia="Calibri" w:hAnsi="Verdana" w:cs="Arial"/>
                <w:lang w:val="es-ES_tradnl"/>
              </w:rPr>
              <w:t>Ley 2069 de 2020, artículo 35.</w:t>
            </w:r>
          </w:p>
          <w:p w14:paraId="57D89E26" w14:textId="77777777" w:rsidR="00265E5D" w:rsidRPr="00265E5D" w:rsidRDefault="00265E5D" w:rsidP="00265E5D">
            <w:pPr>
              <w:widowControl w:val="0"/>
              <w:numPr>
                <w:ilvl w:val="0"/>
                <w:numId w:val="17"/>
              </w:numPr>
              <w:autoSpaceDE w:val="0"/>
              <w:autoSpaceDN w:val="0"/>
              <w:spacing w:after="120" w:line="276" w:lineRule="auto"/>
              <w:ind w:left="714" w:hanging="357"/>
              <w:jc w:val="both"/>
              <w:rPr>
                <w:rFonts w:ascii="Verdana" w:eastAsia="Calibri" w:hAnsi="Verdana" w:cs="Arial"/>
                <w:lang w:val="es-ES_tradnl"/>
              </w:rPr>
            </w:pPr>
            <w:r w:rsidRPr="00265E5D">
              <w:rPr>
                <w:rFonts w:ascii="Verdana" w:eastAsia="Calibri" w:hAnsi="Verdana" w:cs="Arial"/>
                <w:lang w:val="es-ES_tradnl"/>
              </w:rPr>
              <w:t xml:space="preserve">Decreto 1860 de 2021, artículo </w:t>
            </w:r>
            <w:r w:rsidRPr="00265E5D">
              <w:rPr>
                <w:rFonts w:ascii="Verdana" w:eastAsia="Calibri" w:hAnsi="Verdana" w:cs="Arial"/>
              </w:rPr>
              <w:t>2.2.1.2.4.2.17.</w:t>
            </w:r>
          </w:p>
          <w:p w14:paraId="2C3800A2" w14:textId="77777777" w:rsidR="00265E5D" w:rsidRPr="00265E5D" w:rsidRDefault="00265E5D" w:rsidP="00265E5D">
            <w:pPr>
              <w:widowControl w:val="0"/>
              <w:numPr>
                <w:ilvl w:val="0"/>
                <w:numId w:val="17"/>
              </w:numPr>
              <w:autoSpaceDE w:val="0"/>
              <w:autoSpaceDN w:val="0"/>
              <w:spacing w:after="120" w:line="276" w:lineRule="auto"/>
              <w:ind w:left="714" w:hanging="357"/>
              <w:jc w:val="both"/>
              <w:rPr>
                <w:rFonts w:ascii="Verdana" w:eastAsia="Calibri" w:hAnsi="Verdana" w:cs="Arial"/>
                <w:lang w:val="es-ES_tradnl"/>
              </w:rPr>
            </w:pPr>
            <w:r w:rsidRPr="00265E5D">
              <w:rPr>
                <w:rFonts w:ascii="Verdana" w:eastAsia="Calibri" w:hAnsi="Verdana" w:cs="Arial"/>
              </w:rPr>
              <w:t xml:space="preserve">Documentos tipo para los procesos de concurso de méritos para contratar la interventoría de obras públicas de infraestructura social, que agrupa los sectores de educación, salud, y cultura, recreación y deporte. Disponibles en: </w:t>
            </w:r>
            <w:hyperlink r:id="rId11" w:history="1">
              <w:r w:rsidRPr="00265E5D">
                <w:rPr>
                  <w:rFonts w:ascii="Verdana" w:eastAsia="Calibri" w:hAnsi="Verdana" w:cs="Arial"/>
                  <w:color w:val="0000FF"/>
                  <w:u w:val="single"/>
                </w:rPr>
                <w:t>https://www.colombiacompra.gov.co/content/07-documento-tipo-de-concurso-de-meritos-para-contratar-la-interventoria-de-obras-publicas</w:t>
              </w:r>
            </w:hyperlink>
            <w:r w:rsidRPr="00265E5D">
              <w:rPr>
                <w:rFonts w:ascii="Verdana" w:eastAsia="Calibri" w:hAnsi="Verdana" w:cs="Arial"/>
              </w:rPr>
              <w:t xml:space="preserve">. </w:t>
            </w:r>
          </w:p>
          <w:p w14:paraId="7B7CFEBF" w14:textId="77777777" w:rsidR="00265E5D" w:rsidRPr="00265E5D" w:rsidRDefault="00265E5D" w:rsidP="00265E5D">
            <w:pPr>
              <w:widowControl w:val="0"/>
              <w:numPr>
                <w:ilvl w:val="0"/>
                <w:numId w:val="17"/>
              </w:numPr>
              <w:autoSpaceDE w:val="0"/>
              <w:autoSpaceDN w:val="0"/>
              <w:spacing w:after="120" w:line="276" w:lineRule="auto"/>
              <w:ind w:left="714" w:hanging="357"/>
              <w:jc w:val="both"/>
              <w:rPr>
                <w:rFonts w:ascii="Verdana" w:eastAsia="Calibri" w:hAnsi="Verdana" w:cs="Arial"/>
                <w:lang w:val="es-ES_tradnl"/>
              </w:rPr>
            </w:pPr>
            <w:r w:rsidRPr="00265E5D">
              <w:rPr>
                <w:rFonts w:ascii="Verdana" w:eastAsia="Calibri" w:hAnsi="Verdana" w:cs="Arial"/>
              </w:rPr>
              <w:t xml:space="preserve">Documentos tipo para la contratación directa de convenios solidarios para la ejecución de obras hasta la menor cuantía con organismos de acción comunal. Disponibles en: </w:t>
            </w:r>
            <w:hyperlink r:id="rId12" w:history="1">
              <w:r w:rsidRPr="00265E5D">
                <w:rPr>
                  <w:rFonts w:ascii="Verdana" w:eastAsia="Calibri" w:hAnsi="Verdana" w:cs="Arial"/>
                  <w:color w:val="0000FF"/>
                  <w:u w:val="single"/>
                </w:rPr>
                <w:t>https://www.colombiacompra.gov.co/content/documento-tipo-para-la-contratacion-directa-de-convenios-solidarios-para-la-ejecucion-de</w:t>
              </w:r>
            </w:hyperlink>
            <w:r w:rsidRPr="00265E5D">
              <w:rPr>
                <w:rFonts w:ascii="Verdana" w:eastAsia="Calibri" w:hAnsi="Verdana" w:cs="Arial"/>
              </w:rPr>
              <w:t xml:space="preserve">. </w:t>
            </w:r>
          </w:p>
        </w:tc>
      </w:tr>
    </w:tbl>
    <w:p w14:paraId="62AB8473" w14:textId="77777777" w:rsidR="00265E5D" w:rsidRPr="00265E5D" w:rsidRDefault="00265E5D" w:rsidP="00265E5D">
      <w:pPr>
        <w:widowControl w:val="0"/>
        <w:autoSpaceDE w:val="0"/>
        <w:autoSpaceDN w:val="0"/>
        <w:snapToGrid w:val="0"/>
        <w:spacing w:after="0" w:line="276" w:lineRule="auto"/>
        <w:jc w:val="both"/>
        <w:rPr>
          <w:rFonts w:ascii="Verdana" w:eastAsia="Calibri" w:hAnsi="Verdana" w:cs="Arial"/>
          <w:lang w:val="es-ES_tradnl"/>
        </w:rPr>
      </w:pPr>
    </w:p>
    <w:p w14:paraId="69051B13" w14:textId="77777777" w:rsidR="00265E5D" w:rsidRPr="00265E5D" w:rsidRDefault="00265E5D" w:rsidP="00265E5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65E5D">
        <w:rPr>
          <w:rFonts w:ascii="Verdana" w:eastAsia="Century Gothic" w:hAnsi="Verdana" w:cs="Century Gothic"/>
          <w:b/>
          <w:bCs/>
          <w:lang w:val="es-ES_tradnl"/>
        </w:rPr>
        <w:t>Doctrina de la Agencia Nacional de Contratación Pública:</w:t>
      </w:r>
    </w:p>
    <w:p w14:paraId="03EC85F1" w14:textId="77777777" w:rsidR="00265E5D" w:rsidRPr="00265E5D" w:rsidRDefault="00265E5D" w:rsidP="00265E5D">
      <w:pPr>
        <w:widowControl w:val="0"/>
        <w:autoSpaceDE w:val="0"/>
        <w:autoSpaceDN w:val="0"/>
        <w:snapToGrid w:val="0"/>
        <w:spacing w:after="0" w:line="276" w:lineRule="auto"/>
        <w:jc w:val="both"/>
        <w:rPr>
          <w:rFonts w:ascii="Verdana" w:eastAsia="Calibri" w:hAnsi="Verdana" w:cs="Arial"/>
          <w:lang w:val="es-ES_tradnl"/>
        </w:rPr>
      </w:pPr>
    </w:p>
    <w:p w14:paraId="23DB2074" w14:textId="77777777" w:rsidR="00265E5D" w:rsidRPr="00265E5D" w:rsidRDefault="00265E5D" w:rsidP="00265E5D">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265E5D">
        <w:rPr>
          <w:rFonts w:ascii="Verdana" w:eastAsia="Calibri" w:hAnsi="Verdana" w:cs="Arial"/>
          <w:kern w:val="2"/>
          <w:shd w:val="clear" w:color="auto" w:fill="FFFFFF"/>
          <w:lang w:val="es-ES"/>
          <w14:ligatures w14:val="standardContextual"/>
        </w:rPr>
        <w:t>La Agencia Nacional de Contratación Pública – Colombia Compra Eficiente</w:t>
      </w:r>
      <w:r w:rsidRPr="00265E5D">
        <w:rPr>
          <w:rFonts w:ascii="Aptos" w:eastAsia="Aptos" w:hAnsi="Aptos" w:cs="Times New Roman"/>
          <w:kern w:val="2"/>
          <w:lang w:val="es-ES_tradnl"/>
          <w14:ligatures w14:val="standardContextual"/>
        </w:rPr>
        <w:t xml:space="preserve"> </w:t>
      </w:r>
      <w:r w:rsidRPr="00265E5D">
        <w:rPr>
          <w:rFonts w:ascii="Verdana" w:eastAsia="Calibri" w:hAnsi="Verdana" w:cs="Arial"/>
          <w:kern w:val="2"/>
          <w:shd w:val="clear" w:color="auto" w:fill="FFFFFF"/>
          <w:lang w:val="es-ES"/>
          <w14:ligatures w14:val="standardContextual"/>
        </w:rPr>
        <w:t>se pronunció sobre</w:t>
      </w:r>
      <w:r w:rsidRPr="00265E5D">
        <w:rPr>
          <w:rFonts w:ascii="Aptos" w:eastAsia="Aptos" w:hAnsi="Aptos" w:cs="Times New Roman"/>
          <w:kern w:val="2"/>
          <w:sz w:val="24"/>
          <w:szCs w:val="24"/>
          <w14:ligatures w14:val="standardContextual"/>
        </w:rPr>
        <w:t xml:space="preserve"> </w:t>
      </w:r>
      <w:r w:rsidRPr="00265E5D">
        <w:rPr>
          <w:rFonts w:ascii="Verdana" w:eastAsia="Calibri" w:hAnsi="Verdana" w:cs="Arial"/>
          <w:kern w:val="2"/>
          <w:shd w:val="clear" w:color="auto" w:fill="FFFFFF"/>
          <w:lang w:val="es-ES"/>
          <w14:ligatures w14:val="standardContextual"/>
        </w:rPr>
        <w:t xml:space="preserve">sobre los factores de desempate en los procedimientos de contratación estatal, en los conceptos C-285 del 4 de mayo de 2020, C-481 del 27 de julio de 2020, C-514 y C-535 del 26 de agosto de 2020, C-556 del 31 de agosto de 2020, entre otros.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w:t>
      </w:r>
      <w:r w:rsidRPr="00265E5D">
        <w:rPr>
          <w:rFonts w:ascii="Verdana" w:eastAsia="Calibri" w:hAnsi="Verdana" w:cs="Arial"/>
          <w:kern w:val="2"/>
          <w:shd w:val="clear" w:color="auto" w:fill="FFFFFF"/>
          <w:lang w:val="es-ES"/>
          <w14:ligatures w14:val="standardContextual"/>
        </w:rPr>
        <w:lastRenderedPageBreak/>
        <w:t>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 C-689 del 5 de enero de 2022, C-741 del 1 de febrero de 2022, C-750 del 4 de febrero de 2022, C-322 del 20 de mayo de 2022, C-468 del 22 de julio de 2022, C-414 del 10 de octubre de 2023, C-070 del 28 de mayo de 2024 y C-103 del 12 de junio de 2024</w:t>
      </w:r>
      <w:r w:rsidRPr="00265E5D">
        <w:rPr>
          <w:rFonts w:ascii="Verdana" w:eastAsia="Calibri" w:hAnsi="Verdana" w:cs="Arial"/>
          <w:shd w:val="clear" w:color="auto" w:fill="FFFFFF"/>
          <w:lang w:val="es-ES_tradnl"/>
        </w:rPr>
        <w:t xml:space="preserve">. </w:t>
      </w:r>
      <w:r w:rsidRPr="00265E5D">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2878DAEF" w14:textId="77777777" w:rsidR="00265E5D" w:rsidRPr="00265E5D" w:rsidRDefault="00265E5D" w:rsidP="00265E5D">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3F73BFAB" w14:textId="77777777" w:rsidR="00265E5D" w:rsidRPr="00265E5D" w:rsidRDefault="00265E5D" w:rsidP="00265E5D">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265E5D">
        <w:rPr>
          <w:rFonts w:ascii="Verdana" w:eastAsia="Calibri" w:hAnsi="Verdana" w:cs="Arial"/>
          <w:kern w:val="2"/>
          <w:shd w:val="clear" w:color="auto" w:fill="FFFFFF"/>
          <w14:ligatures w14:val="standardContextual"/>
        </w:rPr>
        <w:t>La</w:t>
      </w:r>
      <w:r w:rsidRPr="00265E5D">
        <w:rPr>
          <w:rFonts w:ascii="Verdana" w:eastAsia="Calibri" w:hAnsi="Verdana" w:cs="Arial"/>
          <w:b/>
          <w:bCs/>
          <w:kern w:val="2"/>
          <w:shd w:val="clear" w:color="auto" w:fill="FFFFFF"/>
          <w14:ligatures w14:val="standardContextual"/>
        </w:rPr>
        <w:t xml:space="preserve"> Agencia Nacional de Contratación Pública - Colombia Compra Eficiente</w:t>
      </w:r>
      <w:r w:rsidRPr="00265E5D">
        <w:rPr>
          <w:rFonts w:ascii="Verdana" w:eastAsia="Calibri" w:hAnsi="Verdana" w:cs="Arial"/>
          <w:kern w:val="2"/>
          <w:shd w:val="clear" w:color="auto" w:fill="FFFFFF"/>
          <w14:ligatures w14:val="standardContextual"/>
        </w:rPr>
        <w:t> recomienda a todas las entidades públicas, independientemente de su naturaleza, que gestionan recursos públicos, la aplicación de los </w:t>
      </w:r>
      <w:r w:rsidRPr="00265E5D">
        <w:rPr>
          <w:rFonts w:ascii="Verdana" w:eastAsia="Calibri" w:hAnsi="Verdana" w:cs="Arial"/>
          <w:b/>
          <w:bCs/>
          <w:kern w:val="2"/>
          <w:shd w:val="clear" w:color="auto" w:fill="FFFFFF"/>
          <w14:ligatures w14:val="standardContextual"/>
        </w:rPr>
        <w:t>Documentos Tipo</w:t>
      </w:r>
      <w:r w:rsidRPr="00265E5D">
        <w:rPr>
          <w:rFonts w:ascii="Verdana" w:eastAsia="Calibri" w:hAnsi="Verdana" w:cs="Arial"/>
          <w:kern w:val="2"/>
          <w:shd w:val="clear" w:color="auto" w:fill="FFFFFF"/>
          <w14:ligatures w14:val="standardContextual"/>
        </w:rPr>
        <w:t>. Esta recomendación es válida tanto para su uso obligatorio, cuando así lo establezca la normatividad vigente, como para su implementación como una buena práctica. El objetivo es garantizar la </w:t>
      </w:r>
      <w:r w:rsidRPr="00265E5D">
        <w:rPr>
          <w:rFonts w:ascii="Verdana" w:eastAsia="Calibri" w:hAnsi="Verdana" w:cs="Arial"/>
          <w:b/>
          <w:bCs/>
          <w:kern w:val="2"/>
          <w:shd w:val="clear" w:color="auto" w:fill="FFFFFF"/>
          <w14:ligatures w14:val="standardContextual"/>
        </w:rPr>
        <w:t>transparencia</w:t>
      </w:r>
      <w:r w:rsidRPr="00265E5D">
        <w:rPr>
          <w:rFonts w:ascii="Verdana" w:eastAsia="Calibri" w:hAnsi="Verdana" w:cs="Arial"/>
          <w:kern w:val="2"/>
          <w:shd w:val="clear" w:color="auto" w:fill="FFFFFF"/>
          <w14:ligatures w14:val="standardContextual"/>
        </w:rPr>
        <w:t> y promover un proceso de </w:t>
      </w:r>
      <w:r w:rsidRPr="00265E5D">
        <w:rPr>
          <w:rFonts w:ascii="Verdana" w:eastAsia="Calibri" w:hAnsi="Verdana" w:cs="Arial"/>
          <w:b/>
          <w:bCs/>
          <w:kern w:val="2"/>
          <w:shd w:val="clear" w:color="auto" w:fill="FFFFFF"/>
          <w14:ligatures w14:val="standardContextual"/>
        </w:rPr>
        <w:t>selección objetiva</w:t>
      </w:r>
      <w:r w:rsidRPr="00265E5D">
        <w:rPr>
          <w:rFonts w:ascii="Verdana" w:eastAsia="Calibri" w:hAnsi="Verdana" w:cs="Arial"/>
          <w:kern w:val="2"/>
          <w:shd w:val="clear" w:color="auto" w:fill="FFFFFF"/>
          <w14:ligatures w14:val="standardContextual"/>
        </w:rPr>
        <w:t> en la contratación pública, contribuyendo así a mejorar la eficiencia, la competencia y la confianza en el manejo de los recursos del Estado.</w:t>
      </w:r>
    </w:p>
    <w:p w14:paraId="568CC97A" w14:textId="77777777" w:rsidR="00265E5D" w:rsidRPr="00265E5D" w:rsidRDefault="00265E5D" w:rsidP="00265E5D">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721A3CA9" w14:textId="77777777" w:rsidR="00265E5D" w:rsidRPr="00265E5D" w:rsidRDefault="00265E5D" w:rsidP="00265E5D">
      <w:pPr>
        <w:widowControl w:val="0"/>
        <w:autoSpaceDE w:val="0"/>
        <w:autoSpaceDN w:val="0"/>
        <w:spacing w:after="0" w:line="276" w:lineRule="auto"/>
        <w:jc w:val="both"/>
        <w:rPr>
          <w:rFonts w:ascii="Verdana" w:eastAsia="Calibri" w:hAnsi="Verdana" w:cs="Arial"/>
          <w:shd w:val="clear" w:color="auto" w:fill="FFFFFF"/>
          <w:lang w:val="es-ES_tradnl"/>
        </w:rPr>
      </w:pPr>
      <w:r w:rsidRPr="00265E5D">
        <w:rPr>
          <w:rFonts w:ascii="Verdana" w:eastAsia="Calibri"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Original URL: https://www.colombiacompra.gov.co/sites/cce_public/files/cce_documents/manual_para_el_manejo_de_acuerdos_comerciales_vf.pdf. Click or tap if you trust this link." w:history="1">
        <w:r w:rsidRPr="00265E5D">
          <w:rPr>
            <w:rFonts w:ascii="Verdana" w:eastAsia="Calibri" w:hAnsi="Verdana" w:cs="Arial"/>
            <w:color w:val="0000FF"/>
            <w:u w:val="single"/>
            <w:shd w:val="clear" w:color="auto" w:fill="FFFFFF"/>
          </w:rPr>
          <w:t>manual_para_el_manejo_de_acuerdos_comerciales_vf.pdf</w:t>
        </w:r>
      </w:hyperlink>
      <w:r w:rsidRPr="00265E5D">
        <w:rPr>
          <w:rFonts w:ascii="Verdana" w:eastAsia="Calibri" w:hAnsi="Verdana" w:cs="Arial"/>
          <w:shd w:val="clear" w:color="auto" w:fill="FFFFFF"/>
          <w:lang w:val="es-ES_tradnl"/>
        </w:rPr>
        <w:t>.</w:t>
      </w:r>
    </w:p>
    <w:p w14:paraId="73961C72" w14:textId="77777777" w:rsidR="00265E5D" w:rsidRPr="00265E5D" w:rsidRDefault="00265E5D" w:rsidP="00265E5D">
      <w:pPr>
        <w:widowControl w:val="0"/>
        <w:autoSpaceDE w:val="0"/>
        <w:autoSpaceDN w:val="0"/>
        <w:spacing w:after="0" w:line="276" w:lineRule="auto"/>
        <w:jc w:val="both"/>
        <w:rPr>
          <w:rFonts w:ascii="Verdana" w:eastAsia="Calibri" w:hAnsi="Verdana" w:cs="Arial"/>
          <w:shd w:val="clear" w:color="auto" w:fill="FFFFFF"/>
        </w:rPr>
      </w:pPr>
      <w:r w:rsidRPr="00265E5D">
        <w:rPr>
          <w:rFonts w:ascii="Verdana" w:eastAsia="Calibri" w:hAnsi="Verdana" w:cs="Arial"/>
          <w:shd w:val="clear" w:color="auto" w:fill="FFFFFF"/>
        </w:rPr>
        <w:t> </w:t>
      </w:r>
    </w:p>
    <w:p w14:paraId="60CE47C2" w14:textId="77777777" w:rsidR="00265E5D" w:rsidRPr="00265E5D" w:rsidRDefault="00265E5D" w:rsidP="00265E5D">
      <w:pPr>
        <w:widowControl w:val="0"/>
        <w:autoSpaceDE w:val="0"/>
        <w:autoSpaceDN w:val="0"/>
        <w:spacing w:after="0" w:line="276" w:lineRule="auto"/>
        <w:jc w:val="both"/>
        <w:rPr>
          <w:rFonts w:ascii="Verdana" w:eastAsia="Calibri" w:hAnsi="Verdana" w:cs="Arial"/>
          <w:shd w:val="clear" w:color="auto" w:fill="FFFFFF"/>
        </w:rPr>
      </w:pPr>
      <w:r w:rsidRPr="00265E5D">
        <w:rPr>
          <w:rFonts w:ascii="Verdana" w:eastAsia="Calibri" w:hAnsi="Verdana" w:cs="Arial"/>
          <w:shd w:val="clear" w:color="auto" w:fill="FFFFFF"/>
        </w:rPr>
        <w:t>También, lo invitamos a consultar la versión VII  de 2024 del Boletín de Relatoría de la Subdirección de Gestión Contractual, relacionado con las ASOCIACIONES PÚBLICO POPULARES, el cual se puede descargar en la página web de la Agencia: </w:t>
      </w:r>
      <w:hyperlink r:id="rId14" w:tgtFrame="_blank" w:tooltip="Original URL: https://www.colombiacompra.gov.co/sala-de-prensa/boletin-digital. Click or tap if you trust this link." w:history="1">
        <w:r w:rsidRPr="00265E5D">
          <w:rPr>
            <w:rFonts w:ascii="Verdana" w:eastAsia="Calibri" w:hAnsi="Verdana" w:cs="Arial"/>
            <w:color w:val="0000FF"/>
            <w:u w:val="single"/>
            <w:shd w:val="clear" w:color="auto" w:fill="FFFFFF"/>
          </w:rPr>
          <w:t>https://www.colombiacompra.gov.co/sala-de-prensa/boletin-digital</w:t>
        </w:r>
      </w:hyperlink>
      <w:r w:rsidRPr="00265E5D">
        <w:rPr>
          <w:rFonts w:ascii="Verdana" w:eastAsia="Calibri" w:hAnsi="Verdana" w:cs="Arial"/>
          <w:shd w:val="clear" w:color="auto" w:fill="FFFFFF"/>
        </w:rPr>
        <w:t>.</w:t>
      </w:r>
    </w:p>
    <w:p w14:paraId="64A3D18A" w14:textId="77777777" w:rsidR="00265E5D" w:rsidRPr="00265E5D" w:rsidRDefault="00265E5D" w:rsidP="00265E5D">
      <w:pPr>
        <w:widowControl w:val="0"/>
        <w:autoSpaceDE w:val="0"/>
        <w:autoSpaceDN w:val="0"/>
        <w:spacing w:after="0" w:line="276" w:lineRule="auto"/>
        <w:jc w:val="both"/>
        <w:rPr>
          <w:rFonts w:ascii="Verdana" w:eastAsia="Calibri" w:hAnsi="Verdana" w:cs="Arial"/>
          <w:shd w:val="clear" w:color="auto" w:fill="FFFFFF"/>
          <w:lang w:val="es-ES_tradnl"/>
        </w:rPr>
      </w:pPr>
    </w:p>
    <w:p w14:paraId="7BAA82D5" w14:textId="77777777" w:rsidR="00265E5D" w:rsidRPr="00265E5D" w:rsidRDefault="00265E5D" w:rsidP="00265E5D">
      <w:pPr>
        <w:spacing w:after="0" w:line="240" w:lineRule="auto"/>
        <w:jc w:val="both"/>
        <w:rPr>
          <w:rFonts w:ascii="Verdana" w:eastAsia="Calibri" w:hAnsi="Verdana" w:cs="Times New Roman"/>
          <w:lang w:val="es-ES_tradnl"/>
        </w:rPr>
      </w:pPr>
      <w:r w:rsidRPr="00265E5D">
        <w:rPr>
          <w:rFonts w:ascii="Verdana" w:eastAsia="Calibri" w:hAnsi="Verdana" w:cs="Times New Roman"/>
          <w:lang w:val="es-ES_tradnl"/>
        </w:rPr>
        <w:t xml:space="preserve">Por último, los invitamos a seguirnos en las redes sociales, en las cuales se difunde información institucional: </w:t>
      </w:r>
    </w:p>
    <w:p w14:paraId="576A0E34" w14:textId="77777777" w:rsidR="00265E5D" w:rsidRPr="00265E5D" w:rsidRDefault="00265E5D" w:rsidP="00265E5D">
      <w:pPr>
        <w:spacing w:after="0" w:line="240" w:lineRule="auto"/>
        <w:jc w:val="both"/>
        <w:rPr>
          <w:rFonts w:ascii="Verdana" w:eastAsia="Calibri" w:hAnsi="Verdana" w:cs="Times New Roman"/>
          <w:lang w:val="es-ES_tradnl"/>
        </w:rPr>
      </w:pPr>
    </w:p>
    <w:p w14:paraId="1AAFBF3A" w14:textId="77777777" w:rsidR="00265E5D" w:rsidRPr="00265E5D" w:rsidRDefault="00265E5D" w:rsidP="00265E5D">
      <w:pPr>
        <w:spacing w:after="0" w:line="240" w:lineRule="auto"/>
        <w:jc w:val="both"/>
        <w:rPr>
          <w:rFonts w:ascii="Verdana" w:eastAsia="Calibri" w:hAnsi="Verdana" w:cs="Times New Roman"/>
          <w:lang w:val="es-ES_tradnl"/>
        </w:rPr>
      </w:pPr>
      <w:r w:rsidRPr="00265E5D">
        <w:rPr>
          <w:rFonts w:ascii="Verdana" w:eastAsia="Calibri" w:hAnsi="Verdana" w:cs="Times New Roman"/>
          <w:lang w:val="es-ES_tradnl"/>
        </w:rPr>
        <w:t xml:space="preserve">Twitter: </w:t>
      </w:r>
      <w:r w:rsidRPr="00265E5D">
        <w:rPr>
          <w:rFonts w:ascii="Verdana" w:eastAsia="Calibri" w:hAnsi="Verdana" w:cs="Times New Roman"/>
          <w:u w:val="single"/>
          <w:lang w:val="es-ES_tradnl"/>
        </w:rPr>
        <w:t>@colombiacompra</w:t>
      </w:r>
      <w:r w:rsidRPr="00265E5D">
        <w:rPr>
          <w:rFonts w:ascii="Verdana" w:eastAsia="Calibri" w:hAnsi="Verdana" w:cs="Times New Roman"/>
          <w:lang w:val="es-ES_tradnl"/>
        </w:rPr>
        <w:t xml:space="preserve"> </w:t>
      </w:r>
    </w:p>
    <w:p w14:paraId="6347E1D8" w14:textId="77777777" w:rsidR="00265E5D" w:rsidRPr="00265E5D" w:rsidRDefault="00265E5D" w:rsidP="00265E5D">
      <w:pPr>
        <w:spacing w:after="0" w:line="240" w:lineRule="auto"/>
        <w:jc w:val="both"/>
        <w:rPr>
          <w:rFonts w:ascii="Verdana" w:eastAsia="Calibri" w:hAnsi="Verdana" w:cs="Times New Roman"/>
          <w:lang w:val="es-ES"/>
        </w:rPr>
      </w:pPr>
      <w:r w:rsidRPr="00265E5D">
        <w:rPr>
          <w:rFonts w:ascii="Verdana" w:eastAsia="Calibri" w:hAnsi="Verdana" w:cs="Times New Roman"/>
          <w:lang w:val="es-ES"/>
        </w:rPr>
        <w:t xml:space="preserve">Facebook: </w:t>
      </w:r>
      <w:proofErr w:type="spellStart"/>
      <w:r w:rsidRPr="00265E5D">
        <w:rPr>
          <w:rFonts w:ascii="Verdana" w:eastAsia="Calibri" w:hAnsi="Verdana" w:cs="Times New Roman"/>
          <w:u w:val="single"/>
          <w:lang w:val="es-ES"/>
        </w:rPr>
        <w:t>ColombiaCompraEficiente</w:t>
      </w:r>
      <w:proofErr w:type="spellEnd"/>
    </w:p>
    <w:p w14:paraId="57B00A23" w14:textId="77777777" w:rsidR="00265E5D" w:rsidRPr="00265E5D" w:rsidRDefault="00265E5D" w:rsidP="00265E5D">
      <w:pPr>
        <w:spacing w:after="0" w:line="240" w:lineRule="auto"/>
        <w:jc w:val="both"/>
        <w:rPr>
          <w:rFonts w:ascii="Verdana" w:eastAsia="Calibri" w:hAnsi="Verdana" w:cs="Times New Roman"/>
          <w:lang w:val="es-ES_tradnl"/>
        </w:rPr>
      </w:pPr>
      <w:r w:rsidRPr="00265E5D">
        <w:rPr>
          <w:rFonts w:ascii="Verdana" w:eastAsia="Calibri" w:hAnsi="Verdana" w:cs="Times New Roman"/>
          <w:lang w:val="es-ES_tradnl"/>
        </w:rPr>
        <w:t xml:space="preserve">LinkedIn: </w:t>
      </w:r>
      <w:r w:rsidRPr="00265E5D">
        <w:rPr>
          <w:rFonts w:ascii="Verdana" w:eastAsia="Calibri" w:hAnsi="Verdana" w:cs="Times New Roman"/>
          <w:u w:val="single"/>
          <w:lang w:val="es-ES_tradnl"/>
        </w:rPr>
        <w:t>Agencia Nacional de Contratación Pública - Colombia Compra Eficiente</w:t>
      </w:r>
      <w:r w:rsidRPr="00265E5D">
        <w:rPr>
          <w:rFonts w:ascii="Verdana" w:eastAsia="Calibri" w:hAnsi="Verdana" w:cs="Times New Roman"/>
          <w:lang w:val="es-ES_tradnl"/>
        </w:rPr>
        <w:t xml:space="preserve"> Instagram: </w:t>
      </w:r>
      <w:r w:rsidRPr="00265E5D">
        <w:rPr>
          <w:rFonts w:ascii="Verdana" w:eastAsia="Calibri" w:hAnsi="Verdana" w:cs="Times New Roman"/>
          <w:u w:val="single"/>
          <w:lang w:val="es-ES_tradnl"/>
        </w:rPr>
        <w:t>@colombiacompraeficiente_cce</w:t>
      </w:r>
    </w:p>
    <w:p w14:paraId="1781C56C" w14:textId="77777777" w:rsidR="00265E5D" w:rsidRPr="00265E5D" w:rsidRDefault="00265E5D" w:rsidP="00265E5D">
      <w:pPr>
        <w:widowControl w:val="0"/>
        <w:autoSpaceDE w:val="0"/>
        <w:autoSpaceDN w:val="0"/>
        <w:spacing w:after="0" w:line="276" w:lineRule="auto"/>
        <w:jc w:val="both"/>
        <w:rPr>
          <w:rFonts w:ascii="Verdana" w:eastAsia="Calibri" w:hAnsi="Verdana" w:cs="Arial"/>
          <w:lang w:val="es-ES_tradnl"/>
        </w:rPr>
      </w:pPr>
    </w:p>
    <w:p w14:paraId="687F7881" w14:textId="77777777" w:rsidR="00265E5D" w:rsidRPr="00265E5D" w:rsidRDefault="00265E5D" w:rsidP="00265E5D">
      <w:pPr>
        <w:widowControl w:val="0"/>
        <w:autoSpaceDE w:val="0"/>
        <w:autoSpaceDN w:val="0"/>
        <w:spacing w:after="0" w:line="276" w:lineRule="auto"/>
        <w:jc w:val="both"/>
        <w:rPr>
          <w:rFonts w:ascii="Verdana" w:eastAsia="Calibri" w:hAnsi="Verdana" w:cs="Arial"/>
          <w:lang w:val="es-ES_tradnl"/>
        </w:rPr>
      </w:pPr>
      <w:r w:rsidRPr="00265E5D">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D3ED682" w14:textId="77777777" w:rsidR="00265E5D" w:rsidRPr="00265E5D" w:rsidRDefault="00265E5D" w:rsidP="00265E5D">
      <w:pPr>
        <w:widowControl w:val="0"/>
        <w:autoSpaceDE w:val="0"/>
        <w:autoSpaceDN w:val="0"/>
        <w:spacing w:after="0" w:line="276" w:lineRule="auto"/>
        <w:jc w:val="both"/>
        <w:rPr>
          <w:rFonts w:ascii="Verdana" w:eastAsia="Calibri" w:hAnsi="Verdana" w:cs="Arial"/>
          <w:lang w:val="es-ES_tradnl"/>
        </w:rPr>
      </w:pPr>
    </w:p>
    <w:p w14:paraId="6EB83DC6" w14:textId="77777777" w:rsidR="00265E5D" w:rsidRPr="00265E5D" w:rsidRDefault="00265E5D" w:rsidP="00265E5D">
      <w:pPr>
        <w:spacing w:after="0" w:line="240" w:lineRule="auto"/>
        <w:rPr>
          <w:rFonts w:ascii="Verdana" w:eastAsia="Calibri" w:hAnsi="Verdana" w:cs="Arial"/>
          <w:lang w:val="es-ES_tradnl" w:eastAsia="es-CO"/>
        </w:rPr>
      </w:pPr>
      <w:r w:rsidRPr="00265E5D">
        <w:rPr>
          <w:rFonts w:ascii="Verdana" w:eastAsia="Times New Roman" w:hAnsi="Verdana" w:cs="Arial"/>
          <w:lang w:val="es-ES_tradnl" w:eastAsia="es-CO"/>
        </w:rPr>
        <w:t>Atentamente,</w:t>
      </w:r>
      <w:r w:rsidRPr="00265E5D">
        <w:rPr>
          <w:rFonts w:ascii="Verdana" w:eastAsia="Calibri" w:hAnsi="Verdana" w:cs="Arial"/>
          <w:lang w:val="es-ES_tradnl" w:eastAsia="es-CO"/>
        </w:rPr>
        <w:t xml:space="preserve"> </w:t>
      </w:r>
    </w:p>
    <w:p w14:paraId="2D26BB35" w14:textId="3C4597E5" w:rsidR="00265E5D" w:rsidRPr="00265E5D" w:rsidRDefault="00643395" w:rsidP="00265E5D">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54E10FC5" wp14:editId="5926E1C4">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65E5D" w:rsidRPr="00265E5D" w14:paraId="5A5AA738" w14:textId="77777777" w:rsidTr="0007438A">
        <w:trPr>
          <w:trHeight w:val="315"/>
        </w:trPr>
        <w:tc>
          <w:tcPr>
            <w:tcW w:w="893" w:type="dxa"/>
            <w:vAlign w:val="center"/>
            <w:hideMark/>
          </w:tcPr>
          <w:p w14:paraId="41E8B7D8" w14:textId="77777777" w:rsidR="00265E5D" w:rsidRPr="00265E5D" w:rsidRDefault="00265E5D" w:rsidP="00265E5D">
            <w:pPr>
              <w:rPr>
                <w:rFonts w:ascii="Verdana" w:eastAsia="Calibri" w:hAnsi="Verdana" w:cs="Arial"/>
                <w:sz w:val="16"/>
                <w:szCs w:val="16"/>
                <w:lang w:val="es-ES_tradnl" w:eastAsia="es-ES"/>
              </w:rPr>
            </w:pPr>
            <w:r w:rsidRPr="00265E5D">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17E1C046" w14:textId="77777777" w:rsidR="00265E5D" w:rsidRPr="00265E5D" w:rsidRDefault="00265E5D" w:rsidP="00265E5D">
            <w:pPr>
              <w:rPr>
                <w:rFonts w:ascii="Verdana" w:eastAsia="Arial" w:hAnsi="Verdana" w:cs="Arial"/>
                <w:sz w:val="16"/>
                <w:szCs w:val="16"/>
                <w:lang w:val="es-ES"/>
              </w:rPr>
            </w:pPr>
            <w:r w:rsidRPr="00265E5D">
              <w:rPr>
                <w:rFonts w:ascii="Verdana" w:eastAsia="Arial" w:hAnsi="Verdana" w:cs="Arial"/>
                <w:sz w:val="16"/>
                <w:szCs w:val="16"/>
                <w:lang w:val="es-ES"/>
              </w:rPr>
              <w:t>Kevin Arlid Herrera Santa</w:t>
            </w:r>
          </w:p>
          <w:p w14:paraId="4A99F8FF" w14:textId="77777777" w:rsidR="00265E5D" w:rsidRPr="00265E5D" w:rsidRDefault="00265E5D" w:rsidP="00265E5D">
            <w:pPr>
              <w:rPr>
                <w:rFonts w:ascii="Verdana" w:eastAsia="Arial" w:hAnsi="Verdana" w:cs="Arial"/>
                <w:sz w:val="16"/>
                <w:szCs w:val="16"/>
                <w:lang w:val="es-ES_tradnl"/>
              </w:rPr>
            </w:pPr>
            <w:r w:rsidRPr="00265E5D">
              <w:rPr>
                <w:rFonts w:ascii="Verdana" w:eastAsia="Arial" w:hAnsi="Verdana" w:cs="Arial"/>
                <w:sz w:val="16"/>
                <w:szCs w:val="16"/>
                <w:lang w:val="es-ES_tradnl"/>
              </w:rPr>
              <w:t>Contratista de la Subdirección de Gestión Contractual</w:t>
            </w:r>
          </w:p>
          <w:p w14:paraId="0FF237FD" w14:textId="77777777" w:rsidR="00265E5D" w:rsidRPr="00265E5D" w:rsidRDefault="00265E5D" w:rsidP="00265E5D">
            <w:pPr>
              <w:rPr>
                <w:rFonts w:ascii="Verdana" w:eastAsia="Arial" w:hAnsi="Verdana" w:cs="Arial"/>
                <w:sz w:val="16"/>
                <w:szCs w:val="16"/>
                <w:lang w:val="es-ES_tradnl"/>
              </w:rPr>
            </w:pPr>
          </w:p>
        </w:tc>
      </w:tr>
      <w:tr w:rsidR="00265E5D" w:rsidRPr="00265E5D" w14:paraId="7DE11F94" w14:textId="77777777" w:rsidTr="0007438A">
        <w:trPr>
          <w:trHeight w:val="330"/>
        </w:trPr>
        <w:tc>
          <w:tcPr>
            <w:tcW w:w="893" w:type="dxa"/>
            <w:vAlign w:val="center"/>
            <w:hideMark/>
          </w:tcPr>
          <w:p w14:paraId="62CE0607" w14:textId="77777777" w:rsidR="00265E5D" w:rsidRPr="00265E5D" w:rsidRDefault="00265E5D" w:rsidP="00265E5D">
            <w:pPr>
              <w:rPr>
                <w:rFonts w:ascii="Verdana" w:eastAsia="Calibri" w:hAnsi="Verdana" w:cs="Arial"/>
                <w:sz w:val="16"/>
                <w:szCs w:val="16"/>
                <w:lang w:val="es-ES_tradnl" w:eastAsia="es-ES"/>
              </w:rPr>
            </w:pPr>
            <w:r w:rsidRPr="00265E5D">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14CA2FF5" w14:textId="77777777" w:rsidR="00265E5D" w:rsidRPr="00265E5D" w:rsidRDefault="00265E5D" w:rsidP="00265E5D">
            <w:pPr>
              <w:textAlignment w:val="baseline"/>
              <w:rPr>
                <w:rFonts w:ascii="Verdana" w:eastAsia="Times New Roman" w:hAnsi="Verdana" w:cs="Segoe UI"/>
                <w:sz w:val="16"/>
                <w:szCs w:val="16"/>
                <w:lang w:val="es-ES_tradnl" w:eastAsia="es-ES_tradnl"/>
              </w:rPr>
            </w:pPr>
            <w:r w:rsidRPr="00265E5D">
              <w:rPr>
                <w:rFonts w:ascii="Verdana" w:eastAsia="Times New Roman" w:hAnsi="Verdana" w:cs="Segoe UI"/>
                <w:sz w:val="16"/>
                <w:szCs w:val="16"/>
                <w:lang w:val="es-ES_tradnl" w:eastAsia="es-ES_tradnl"/>
              </w:rPr>
              <w:t>Martha Alicia Romero Vargas</w:t>
            </w:r>
          </w:p>
          <w:p w14:paraId="2B9E95AF" w14:textId="77777777" w:rsidR="00265E5D" w:rsidRPr="00265E5D" w:rsidRDefault="00265E5D" w:rsidP="00265E5D">
            <w:pPr>
              <w:textAlignment w:val="baseline"/>
              <w:rPr>
                <w:rFonts w:ascii="Verdana" w:eastAsia="Times New Roman" w:hAnsi="Verdana" w:cs="Segoe UI"/>
                <w:sz w:val="16"/>
                <w:szCs w:val="16"/>
                <w:lang w:val="es-ES_tradnl" w:eastAsia="es-ES_tradnl"/>
              </w:rPr>
            </w:pPr>
            <w:r w:rsidRPr="00265E5D">
              <w:rPr>
                <w:rFonts w:ascii="Verdana" w:eastAsia="Times New Roman" w:hAnsi="Verdana" w:cs="Arial"/>
                <w:sz w:val="16"/>
                <w:szCs w:val="16"/>
                <w:lang w:val="es-ES_tradnl" w:eastAsia="es-ES_tradnl"/>
              </w:rPr>
              <w:t>Gestor T1-15 de la Subdirección de Gestión Contractual </w:t>
            </w:r>
          </w:p>
        </w:tc>
      </w:tr>
      <w:tr w:rsidR="00265E5D" w:rsidRPr="00265E5D" w14:paraId="00DCDEA9" w14:textId="77777777" w:rsidTr="0007438A">
        <w:trPr>
          <w:trHeight w:val="352"/>
        </w:trPr>
        <w:tc>
          <w:tcPr>
            <w:tcW w:w="893" w:type="dxa"/>
            <w:vAlign w:val="center"/>
          </w:tcPr>
          <w:p w14:paraId="40857C22" w14:textId="77777777" w:rsidR="00265E5D" w:rsidRPr="00265E5D" w:rsidRDefault="00265E5D" w:rsidP="00265E5D">
            <w:pPr>
              <w:rPr>
                <w:rFonts w:ascii="Verdana" w:eastAsia="Calibri" w:hAnsi="Verdana" w:cs="Arial"/>
                <w:sz w:val="16"/>
                <w:szCs w:val="16"/>
                <w:lang w:val="es-ES_tradnl" w:eastAsia="es-ES"/>
              </w:rPr>
            </w:pPr>
            <w:r w:rsidRPr="00265E5D">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5BF7F87F" w14:textId="77777777" w:rsidR="00265E5D" w:rsidRPr="00265E5D" w:rsidRDefault="00265E5D" w:rsidP="00265E5D">
            <w:pPr>
              <w:rPr>
                <w:rFonts w:ascii="Verdana" w:eastAsia="Calibri" w:hAnsi="Verdana" w:cs="Arial"/>
                <w:sz w:val="16"/>
                <w:szCs w:val="16"/>
                <w:lang w:val="es-ES" w:eastAsia="es-ES"/>
              </w:rPr>
            </w:pPr>
            <w:r w:rsidRPr="00265E5D">
              <w:rPr>
                <w:rFonts w:ascii="Verdana" w:eastAsia="Calibri" w:hAnsi="Verdana" w:cs="Arial"/>
                <w:sz w:val="16"/>
                <w:szCs w:val="16"/>
                <w:lang w:val="es-ES" w:eastAsia="es-ES"/>
              </w:rPr>
              <w:t>Carolina Quintero Gacharná</w:t>
            </w:r>
          </w:p>
          <w:p w14:paraId="5304F94D" w14:textId="77777777" w:rsidR="00265E5D" w:rsidRPr="00265E5D" w:rsidRDefault="00265E5D" w:rsidP="00265E5D">
            <w:pPr>
              <w:rPr>
                <w:rFonts w:ascii="Verdana" w:eastAsia="Calibri" w:hAnsi="Verdana" w:cs="Arial"/>
                <w:sz w:val="16"/>
                <w:szCs w:val="16"/>
                <w:lang w:val="es-ES_tradnl" w:eastAsia="es-ES"/>
              </w:rPr>
            </w:pPr>
            <w:r w:rsidRPr="00265E5D">
              <w:rPr>
                <w:rFonts w:ascii="Verdana" w:eastAsia="Calibri" w:hAnsi="Verdana" w:cs="Arial"/>
                <w:sz w:val="16"/>
                <w:szCs w:val="16"/>
                <w:lang w:val="es-ES_tradnl" w:eastAsia="es-ES"/>
              </w:rPr>
              <w:t>Subdirectora de Gestión Contractual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6AD8" w14:textId="77777777" w:rsidR="005372E5" w:rsidRDefault="005372E5" w:rsidP="004A1847">
      <w:pPr>
        <w:spacing w:after="0" w:line="240" w:lineRule="auto"/>
      </w:pPr>
      <w:r>
        <w:separator/>
      </w:r>
    </w:p>
  </w:endnote>
  <w:endnote w:type="continuationSeparator" w:id="0">
    <w:p w14:paraId="52E98B20" w14:textId="77777777" w:rsidR="005372E5" w:rsidRDefault="005372E5" w:rsidP="004A1847">
      <w:pPr>
        <w:spacing w:after="0" w:line="240" w:lineRule="auto"/>
      </w:pPr>
      <w:r>
        <w:continuationSeparator/>
      </w:r>
    </w:p>
  </w:endnote>
  <w:endnote w:type="continuationNotice" w:id="1">
    <w:p w14:paraId="4BCE7AB3" w14:textId="77777777" w:rsidR="005372E5" w:rsidRDefault="00537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3DDB" w14:textId="77777777" w:rsidR="005372E5" w:rsidRDefault="005372E5" w:rsidP="004A1847">
      <w:pPr>
        <w:spacing w:after="0" w:line="240" w:lineRule="auto"/>
      </w:pPr>
      <w:r>
        <w:separator/>
      </w:r>
    </w:p>
  </w:footnote>
  <w:footnote w:type="continuationSeparator" w:id="0">
    <w:p w14:paraId="7986E8B3" w14:textId="77777777" w:rsidR="005372E5" w:rsidRDefault="005372E5" w:rsidP="004A1847">
      <w:pPr>
        <w:spacing w:after="0" w:line="240" w:lineRule="auto"/>
      </w:pPr>
      <w:r>
        <w:continuationSeparator/>
      </w:r>
    </w:p>
  </w:footnote>
  <w:footnote w:type="continuationNotice" w:id="1">
    <w:p w14:paraId="7AD1DDAE" w14:textId="77777777" w:rsidR="005372E5" w:rsidRDefault="005372E5">
      <w:pPr>
        <w:spacing w:after="0" w:line="240" w:lineRule="auto"/>
      </w:pPr>
    </w:p>
  </w:footnote>
  <w:footnote w:id="2">
    <w:p w14:paraId="34CBBE6C" w14:textId="77777777" w:rsidR="00265E5D" w:rsidRPr="005B00C4" w:rsidRDefault="00265E5D" w:rsidP="00265E5D">
      <w:pPr>
        <w:pStyle w:val="Textonotapie"/>
        <w:ind w:firstLine="709"/>
        <w:jc w:val="both"/>
        <w:rPr>
          <w:rFonts w:ascii="Verdana" w:hAnsi="Verdana" w:cs="Arial"/>
          <w:sz w:val="18"/>
          <w:szCs w:val="18"/>
        </w:rPr>
      </w:pPr>
      <w:r w:rsidRPr="005B00C4">
        <w:rPr>
          <w:rStyle w:val="Refdenotaalpie"/>
          <w:rFonts w:ascii="Verdana" w:hAnsi="Verdana" w:cs="Arial"/>
          <w:sz w:val="18"/>
          <w:szCs w:val="18"/>
        </w:rPr>
        <w:footnoteRef/>
      </w:r>
      <w:r w:rsidRPr="005B00C4">
        <w:rPr>
          <w:rFonts w:ascii="Verdana" w:hAnsi="Verdana" w:cs="Arial"/>
          <w:sz w:val="18"/>
          <w:szCs w:val="18"/>
        </w:rPr>
        <w:t xml:space="preserve"> Decreto 1082 de 2015: “Artículo 2.2.1.2.1.3.1. Procedencia del concurso de méritos. Las Entidades Estatales deben seleccionar sus contratistas a través del concurso de méritos para la prestación de servicios de consultoría de que trata el numeral 2 del artículo 32 de la Ley 80 de 1993</w:t>
      </w:r>
      <w:r w:rsidRPr="005B00C4">
        <w:rPr>
          <w:rFonts w:ascii="Arial" w:hAnsi="Arial" w:cs="Arial"/>
          <w:sz w:val="18"/>
          <w:szCs w:val="18"/>
        </w:rPr>
        <w:t>​</w:t>
      </w:r>
      <w:r w:rsidRPr="005B00C4">
        <w:rPr>
          <w:rFonts w:ascii="Verdana" w:hAnsi="Verdana" w:cs="Arial"/>
          <w:sz w:val="18"/>
          <w:szCs w:val="18"/>
        </w:rPr>
        <w:t xml:space="preserve"> y para los proyectos de arquitectura.</w:t>
      </w:r>
    </w:p>
    <w:p w14:paraId="07550CAE" w14:textId="77777777" w:rsidR="00265E5D" w:rsidRPr="005B00C4" w:rsidRDefault="00265E5D" w:rsidP="00265E5D">
      <w:pPr>
        <w:pStyle w:val="Textonotapie"/>
        <w:ind w:firstLine="709"/>
        <w:jc w:val="both"/>
        <w:rPr>
          <w:rFonts w:ascii="Verdana" w:hAnsi="Verdana" w:cs="Arial"/>
          <w:sz w:val="18"/>
          <w:szCs w:val="18"/>
        </w:rPr>
      </w:pPr>
      <w:r w:rsidRPr="005B00C4">
        <w:rPr>
          <w:rFonts w:ascii="Verdana" w:hAnsi="Verdana" w:cs="Arial"/>
          <w:sz w:val="18"/>
          <w:szCs w:val="18"/>
        </w:rPr>
        <w:t>El procedimiento para la selección de proyectos de arquitectura es el establecido en los artículos 2.2.1.2.1.3.8 al 2.2.1.2.1.3.25 del presente decreto”.</w:t>
      </w:r>
    </w:p>
  </w:footnote>
  <w:footnote w:id="3">
    <w:p w14:paraId="64D421B6" w14:textId="77777777" w:rsidR="00265E5D" w:rsidRPr="005B00C4" w:rsidRDefault="00265E5D" w:rsidP="00265E5D">
      <w:pPr>
        <w:pStyle w:val="Textonotapie"/>
        <w:ind w:firstLine="709"/>
        <w:jc w:val="both"/>
        <w:rPr>
          <w:rFonts w:ascii="Verdana" w:hAnsi="Verdana" w:cs="Arial"/>
          <w:sz w:val="18"/>
          <w:szCs w:val="18"/>
        </w:rPr>
      </w:pPr>
      <w:r w:rsidRPr="005B00C4">
        <w:rPr>
          <w:rStyle w:val="Refdenotaalpie"/>
          <w:rFonts w:ascii="Verdana" w:hAnsi="Verdana" w:cs="Arial"/>
          <w:sz w:val="18"/>
          <w:szCs w:val="18"/>
        </w:rPr>
        <w:footnoteRef/>
      </w:r>
      <w:r w:rsidRPr="005B00C4">
        <w:rPr>
          <w:rFonts w:ascii="Verdana" w:hAnsi="Verdana" w:cs="Arial"/>
          <w:sz w:val="18"/>
          <w:szCs w:val="18"/>
        </w:rPr>
        <w:t xml:space="preserve"> Ley 1150 de 2007: “Artículo 2. De las modalidades de selección. </w:t>
      </w:r>
    </w:p>
    <w:p w14:paraId="391E2D4B" w14:textId="77777777" w:rsidR="00265E5D" w:rsidRPr="005B00C4" w:rsidRDefault="00265E5D" w:rsidP="00265E5D">
      <w:pPr>
        <w:pStyle w:val="Textonotapie"/>
        <w:ind w:firstLine="709"/>
        <w:jc w:val="both"/>
        <w:rPr>
          <w:rFonts w:ascii="Verdana" w:hAnsi="Verdana" w:cs="Arial"/>
          <w:sz w:val="18"/>
          <w:szCs w:val="18"/>
        </w:rPr>
      </w:pPr>
      <w:r w:rsidRPr="005B00C4">
        <w:rPr>
          <w:rFonts w:ascii="Verdana" w:hAnsi="Verdana" w:cs="Arial"/>
          <w:sz w:val="18"/>
          <w:szCs w:val="18"/>
        </w:rPr>
        <w:t>[...]</w:t>
      </w:r>
    </w:p>
    <w:p w14:paraId="55BC587B" w14:textId="77777777" w:rsidR="00265E5D" w:rsidRPr="005B00C4" w:rsidRDefault="00265E5D" w:rsidP="00265E5D">
      <w:pPr>
        <w:pStyle w:val="Textonotapie"/>
        <w:ind w:firstLine="709"/>
        <w:jc w:val="both"/>
        <w:rPr>
          <w:rFonts w:ascii="Verdana" w:hAnsi="Verdana" w:cs="Arial"/>
          <w:sz w:val="18"/>
          <w:szCs w:val="18"/>
        </w:rPr>
      </w:pPr>
      <w:r w:rsidRPr="005B00C4">
        <w:rPr>
          <w:rFonts w:ascii="Verdana" w:hAnsi="Verdana" w:cs="Arial"/>
          <w:sz w:val="18"/>
          <w:szCs w:val="18"/>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359B5667" w14:textId="77777777" w:rsidR="00265E5D" w:rsidRPr="005B00C4" w:rsidRDefault="00265E5D" w:rsidP="00265E5D">
      <w:pPr>
        <w:pStyle w:val="Textonotapie"/>
        <w:ind w:firstLine="709"/>
        <w:jc w:val="both"/>
        <w:rPr>
          <w:rFonts w:ascii="Verdana" w:hAnsi="Verdana" w:cs="Arial"/>
          <w:sz w:val="18"/>
          <w:szCs w:val="18"/>
        </w:rPr>
      </w:pPr>
      <w:r w:rsidRPr="005B00C4">
        <w:rPr>
          <w:rFonts w:ascii="Verdana" w:hAnsi="Verdana" w:cs="Arial"/>
          <w:sz w:val="18"/>
          <w:szCs w:val="18"/>
        </w:rPr>
        <w:t>De conformidad con las condiciones que señale el reglamento, en desarrollo de estos procesos de selección, las propuestas técnicas o de proyectos podrán ser presentadas en forma anónima ante un jurado plural, impar deliberante y calificado”.</w:t>
      </w:r>
    </w:p>
    <w:p w14:paraId="234E8097" w14:textId="77777777" w:rsidR="00265E5D" w:rsidRPr="005B00C4" w:rsidRDefault="00265E5D" w:rsidP="00265E5D">
      <w:pPr>
        <w:pStyle w:val="Textonotapie"/>
        <w:ind w:firstLine="709"/>
        <w:jc w:val="both"/>
        <w:rPr>
          <w:rFonts w:ascii="Verdana" w:hAnsi="Verdana" w:cs="Arial"/>
          <w:sz w:val="18"/>
          <w:szCs w:val="18"/>
        </w:rPr>
      </w:pPr>
    </w:p>
  </w:footnote>
  <w:footnote w:id="4">
    <w:p w14:paraId="15A7EC29" w14:textId="77777777" w:rsidR="00265E5D" w:rsidRPr="005B00C4" w:rsidRDefault="00265E5D" w:rsidP="00265E5D">
      <w:pPr>
        <w:pStyle w:val="Textonotapie"/>
        <w:ind w:firstLine="709"/>
        <w:jc w:val="both"/>
        <w:rPr>
          <w:rFonts w:ascii="Verdana" w:hAnsi="Verdana" w:cs="Arial"/>
          <w:sz w:val="18"/>
          <w:szCs w:val="18"/>
        </w:rPr>
      </w:pPr>
      <w:r w:rsidRPr="005B00C4">
        <w:rPr>
          <w:rStyle w:val="Refdenotaalpie"/>
          <w:rFonts w:ascii="Verdana" w:hAnsi="Verdana" w:cs="Arial"/>
          <w:sz w:val="18"/>
          <w:szCs w:val="18"/>
        </w:rPr>
        <w:footnoteRef/>
      </w:r>
      <w:r w:rsidRPr="005B00C4">
        <w:rPr>
          <w:rFonts w:ascii="Verdana" w:hAnsi="Verdana" w:cs="Arial"/>
          <w:sz w:val="18"/>
          <w:szCs w:val="18"/>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661BA96C" w14:textId="77777777" w:rsidR="00265E5D" w:rsidRPr="005B00C4" w:rsidRDefault="00265E5D" w:rsidP="00265E5D">
      <w:pPr>
        <w:pStyle w:val="Textonotapie"/>
        <w:ind w:firstLine="709"/>
        <w:jc w:val="both"/>
        <w:rPr>
          <w:rFonts w:ascii="Verdana" w:hAnsi="Verdana" w:cs="Arial"/>
          <w:sz w:val="18"/>
          <w:szCs w:val="18"/>
        </w:rPr>
      </w:pPr>
    </w:p>
  </w:footnote>
  <w:footnote w:id="5">
    <w:p w14:paraId="4E3F8DD8" w14:textId="77777777" w:rsidR="00265E5D" w:rsidRPr="005B00C4" w:rsidRDefault="00265E5D" w:rsidP="00265E5D">
      <w:pPr>
        <w:pStyle w:val="Textonotapie"/>
        <w:ind w:firstLine="709"/>
        <w:jc w:val="both"/>
        <w:rPr>
          <w:rFonts w:ascii="Verdana" w:hAnsi="Verdana" w:cs="Arial"/>
          <w:sz w:val="18"/>
          <w:szCs w:val="18"/>
        </w:rPr>
      </w:pPr>
      <w:r w:rsidRPr="005B00C4">
        <w:rPr>
          <w:rStyle w:val="Refdenotaalpie"/>
          <w:rFonts w:ascii="Verdana" w:hAnsi="Verdana" w:cs="Arial"/>
          <w:sz w:val="18"/>
          <w:szCs w:val="18"/>
        </w:rPr>
        <w:footnoteRef/>
      </w:r>
      <w:r w:rsidRPr="005B00C4">
        <w:rPr>
          <w:rFonts w:ascii="Verdana" w:hAnsi="Verdana" w:cs="Arial"/>
          <w:sz w:val="18"/>
          <w:szCs w:val="18"/>
        </w:rPr>
        <w:t xml:space="preserve"> Consejo de Estado. Sección Tercera. Sentencia del 15 de junio de 2000. Exp. 10.963. C. P. Ricardo Hoyos Duque.</w:t>
      </w:r>
    </w:p>
    <w:p w14:paraId="773169BD" w14:textId="77777777" w:rsidR="00265E5D" w:rsidRPr="005B00C4" w:rsidRDefault="00265E5D" w:rsidP="00265E5D">
      <w:pPr>
        <w:pStyle w:val="Textonotapie"/>
        <w:ind w:firstLine="709"/>
        <w:jc w:val="both"/>
        <w:rPr>
          <w:rFonts w:ascii="Verdana" w:hAnsi="Verdana"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E3D744E"/>
    <w:multiLevelType w:val="hybridMultilevel"/>
    <w:tmpl w:val="4A727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320FB"/>
    <w:multiLevelType w:val="hybridMultilevel"/>
    <w:tmpl w:val="DD5ED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E44A77"/>
    <w:multiLevelType w:val="hybridMultilevel"/>
    <w:tmpl w:val="9AA2A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6F63B99"/>
    <w:multiLevelType w:val="hybridMultilevel"/>
    <w:tmpl w:val="70F84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341274352">
    <w:abstractNumId w:val="0"/>
  </w:num>
  <w:num w:numId="17" w16cid:durableId="1607736252">
    <w:abstractNumId w:val="9"/>
  </w:num>
  <w:num w:numId="18" w16cid:durableId="147871331">
    <w:abstractNumId w:val="13"/>
  </w:num>
  <w:num w:numId="19" w16cid:durableId="2019428388">
    <w:abstractNumId w:val="3"/>
  </w:num>
  <w:num w:numId="20" w16cid:durableId="911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471C0"/>
    <w:rsid w:val="00061B2A"/>
    <w:rsid w:val="00082362"/>
    <w:rsid w:val="000907D0"/>
    <w:rsid w:val="000A683E"/>
    <w:rsid w:val="000B19B9"/>
    <w:rsid w:val="000D0334"/>
    <w:rsid w:val="000F6486"/>
    <w:rsid w:val="00125105"/>
    <w:rsid w:val="00127233"/>
    <w:rsid w:val="001511A0"/>
    <w:rsid w:val="00154210"/>
    <w:rsid w:val="001B5754"/>
    <w:rsid w:val="001E19DB"/>
    <w:rsid w:val="001E4177"/>
    <w:rsid w:val="001F7DC6"/>
    <w:rsid w:val="002421BB"/>
    <w:rsid w:val="00246072"/>
    <w:rsid w:val="0025796E"/>
    <w:rsid w:val="00265E5D"/>
    <w:rsid w:val="002707A2"/>
    <w:rsid w:val="00275CCF"/>
    <w:rsid w:val="002951A0"/>
    <w:rsid w:val="00295A28"/>
    <w:rsid w:val="002962BC"/>
    <w:rsid w:val="002A093D"/>
    <w:rsid w:val="002A0DD0"/>
    <w:rsid w:val="002A49AC"/>
    <w:rsid w:val="002A64FD"/>
    <w:rsid w:val="002C7A84"/>
    <w:rsid w:val="002E4FD9"/>
    <w:rsid w:val="002E5274"/>
    <w:rsid w:val="0030402A"/>
    <w:rsid w:val="003206DC"/>
    <w:rsid w:val="00322A85"/>
    <w:rsid w:val="00324168"/>
    <w:rsid w:val="003448F4"/>
    <w:rsid w:val="00374F5E"/>
    <w:rsid w:val="00377E3E"/>
    <w:rsid w:val="003A779E"/>
    <w:rsid w:val="003D0F4D"/>
    <w:rsid w:val="003D5B0D"/>
    <w:rsid w:val="003E0499"/>
    <w:rsid w:val="003F3941"/>
    <w:rsid w:val="00406575"/>
    <w:rsid w:val="00410E47"/>
    <w:rsid w:val="00414C74"/>
    <w:rsid w:val="0042722E"/>
    <w:rsid w:val="0044528D"/>
    <w:rsid w:val="0049161F"/>
    <w:rsid w:val="004A1847"/>
    <w:rsid w:val="004A305D"/>
    <w:rsid w:val="004C011B"/>
    <w:rsid w:val="004F21C4"/>
    <w:rsid w:val="004F685F"/>
    <w:rsid w:val="00535570"/>
    <w:rsid w:val="005372E5"/>
    <w:rsid w:val="005566E8"/>
    <w:rsid w:val="00574867"/>
    <w:rsid w:val="00591460"/>
    <w:rsid w:val="005B3816"/>
    <w:rsid w:val="005C3777"/>
    <w:rsid w:val="005C5CDC"/>
    <w:rsid w:val="005D476C"/>
    <w:rsid w:val="005F166E"/>
    <w:rsid w:val="005F53CE"/>
    <w:rsid w:val="006219F8"/>
    <w:rsid w:val="00627AE0"/>
    <w:rsid w:val="00637C94"/>
    <w:rsid w:val="00643395"/>
    <w:rsid w:val="00665D70"/>
    <w:rsid w:val="006900D9"/>
    <w:rsid w:val="006F78CA"/>
    <w:rsid w:val="00706C16"/>
    <w:rsid w:val="00725AB2"/>
    <w:rsid w:val="00756841"/>
    <w:rsid w:val="007649AB"/>
    <w:rsid w:val="00771D0C"/>
    <w:rsid w:val="007833AC"/>
    <w:rsid w:val="007B268C"/>
    <w:rsid w:val="007B7171"/>
    <w:rsid w:val="007C0C0F"/>
    <w:rsid w:val="007C3DC2"/>
    <w:rsid w:val="007E5497"/>
    <w:rsid w:val="00806F5F"/>
    <w:rsid w:val="00813226"/>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34BE6"/>
    <w:rsid w:val="00A5139B"/>
    <w:rsid w:val="00AB0ADB"/>
    <w:rsid w:val="00B01B1A"/>
    <w:rsid w:val="00B41EA3"/>
    <w:rsid w:val="00B450D3"/>
    <w:rsid w:val="00B66319"/>
    <w:rsid w:val="00B72CD3"/>
    <w:rsid w:val="00B72FFF"/>
    <w:rsid w:val="00BB3288"/>
    <w:rsid w:val="00BC3D36"/>
    <w:rsid w:val="00BD7F72"/>
    <w:rsid w:val="00C04FB3"/>
    <w:rsid w:val="00C330EB"/>
    <w:rsid w:val="00C41061"/>
    <w:rsid w:val="00C754BE"/>
    <w:rsid w:val="00C76B1C"/>
    <w:rsid w:val="00CB6357"/>
    <w:rsid w:val="00CC1B26"/>
    <w:rsid w:val="00D052FF"/>
    <w:rsid w:val="00D423A2"/>
    <w:rsid w:val="00D51AF3"/>
    <w:rsid w:val="00D520D8"/>
    <w:rsid w:val="00D63AC2"/>
    <w:rsid w:val="00D7383B"/>
    <w:rsid w:val="00DA231B"/>
    <w:rsid w:val="00DC1216"/>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C3FA9"/>
    <w:rsid w:val="00ED7384"/>
    <w:rsid w:val="00EE1AA8"/>
    <w:rsid w:val="00F00F0C"/>
    <w:rsid w:val="00F31EDC"/>
    <w:rsid w:val="00F462B3"/>
    <w:rsid w:val="00F5664F"/>
    <w:rsid w:val="00F666C4"/>
    <w:rsid w:val="00F76AFC"/>
    <w:rsid w:val="00FA47C0"/>
    <w:rsid w:val="00FB5DD1"/>
    <w:rsid w:val="00FC2B5D"/>
    <w:rsid w:val="00FF1449"/>
    <w:rsid w:val="0AF428CC"/>
    <w:rsid w:val="236E2E12"/>
    <w:rsid w:val="4025D609"/>
    <w:rsid w:val="7AC88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65E5D"/>
    <w:pPr>
      <w:spacing w:line="240" w:lineRule="exact"/>
    </w:pPr>
    <w:rPr>
      <w:vertAlign w:val="superscript"/>
    </w:rPr>
  </w:style>
  <w:style w:type="character" w:styleId="Refdecomentario">
    <w:name w:val="annotation reference"/>
    <w:basedOn w:val="Fuentedeprrafopredeter"/>
    <w:uiPriority w:val="99"/>
    <w:semiHidden/>
    <w:unhideWhenUsed/>
    <w:rsid w:val="00265E5D"/>
    <w:rPr>
      <w:sz w:val="16"/>
      <w:szCs w:val="16"/>
    </w:rPr>
  </w:style>
  <w:style w:type="paragraph" w:styleId="Textocomentario">
    <w:name w:val="annotation text"/>
    <w:basedOn w:val="Normal"/>
    <w:link w:val="TextocomentarioCar"/>
    <w:uiPriority w:val="99"/>
    <w:unhideWhenUsed/>
    <w:rsid w:val="00265E5D"/>
    <w:pPr>
      <w:spacing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265E5D"/>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documento-tipo-para-la-contratacion-directa-de-convenios-solidarios-para-la-ejecucio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7-documento-tipo-de-concurso-de-meritos-para-contratar-la-interventoria-de-obras-publica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www.w3.org/XML/1998/namespace"/>
    <ds:schemaRef ds:uri="http://purl.org/dc/dcmitype/"/>
    <ds:schemaRef ds:uri="a6cb9e4b-f1d1-4245-83ec-6cad768d538a"/>
    <ds:schemaRef ds:uri="http://schemas.openxmlformats.org/package/2006/metadata/core-properties"/>
    <ds:schemaRef ds:uri="http://purl.org/dc/elements/1.1/"/>
    <ds:schemaRef ds:uri="http://schemas.microsoft.com/office/infopath/2007/PartnerControls"/>
    <ds:schemaRef ds:uri="9d85dbaf-23eb-4e57-a637-93dcacc8b1a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278AD4D-31A0-474A-B4FF-D8353BADC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3685</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2025-01-08T19:39:00Z</dcterms:created>
  <dcterms:modified xsi:type="dcterms:W3CDTF">2025-01-08T19:39:00Z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