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D27B" w14:textId="77777777" w:rsidR="003675AB" w:rsidRPr="00EB0513" w:rsidRDefault="003675AB" w:rsidP="003675AB">
      <w:pPr>
        <w:spacing w:after="0" w:line="276" w:lineRule="auto"/>
        <w:jc w:val="both"/>
        <w:rPr>
          <w:rFonts w:ascii="Century Gothic" w:eastAsia="Calibri" w:hAnsi="Century Gothic" w:cs="Arial"/>
          <w:b/>
          <w:bCs/>
          <w:color w:val="000000" w:themeColor="text1"/>
          <w:lang w:val="es-ES" w:eastAsia="es-ES"/>
        </w:rPr>
      </w:pPr>
      <w:r w:rsidRPr="00EB0513">
        <w:rPr>
          <w:rFonts w:ascii="Century Gothic" w:eastAsia="Calibri" w:hAnsi="Century Gothic" w:cs="Arial"/>
          <w:b/>
          <w:bCs/>
          <w:color w:val="000000" w:themeColor="text1"/>
          <w:lang w:val="es-ES" w:eastAsia="es-ES"/>
        </w:rPr>
        <w:t>REQUISITOS HABILITANTES – Capacidad financiera – Autonomía</w:t>
      </w:r>
    </w:p>
    <w:p w14:paraId="77F8B164" w14:textId="77777777" w:rsidR="003675AB" w:rsidRPr="00EB0513" w:rsidRDefault="003675AB" w:rsidP="003675AB">
      <w:pPr>
        <w:spacing w:after="0" w:line="276" w:lineRule="auto"/>
        <w:jc w:val="both"/>
        <w:rPr>
          <w:rFonts w:ascii="Century Gothic" w:eastAsia="Calibri" w:hAnsi="Century Gothic" w:cs="Arial"/>
          <w:color w:val="000000" w:themeColor="text1"/>
          <w:lang w:val="es-ES" w:eastAsia="es-ES"/>
        </w:rPr>
      </w:pPr>
    </w:p>
    <w:p w14:paraId="1ABA3B26" w14:textId="77777777" w:rsidR="003675AB" w:rsidRPr="00EB0513" w:rsidRDefault="003675AB" w:rsidP="003675AB">
      <w:pPr>
        <w:spacing w:after="0" w:line="240" w:lineRule="auto"/>
        <w:jc w:val="both"/>
        <w:rPr>
          <w:rFonts w:ascii="Century Gothic" w:eastAsia="Calibri" w:hAnsi="Century Gothic" w:cs="Arial"/>
          <w:color w:val="000000" w:themeColor="text1"/>
          <w:lang w:val="es-ES" w:eastAsia="es-ES"/>
        </w:rPr>
      </w:pPr>
      <w:r w:rsidRPr="00EB0513">
        <w:rPr>
          <w:rFonts w:ascii="Century Gothic" w:eastAsia="Calibri" w:hAnsi="Century Gothic" w:cs="Arial"/>
          <w:color w:val="000000" w:themeColor="text1"/>
          <w:lang w:val="es-ES" w:eastAsia="es-ES"/>
        </w:rPr>
        <w:t>Los requisitos habilitantes se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w:t>
      </w:r>
    </w:p>
    <w:p w14:paraId="28BE3FE0" w14:textId="77777777" w:rsidR="003675AB" w:rsidRPr="00EB0513" w:rsidRDefault="003675AB" w:rsidP="003675AB">
      <w:pPr>
        <w:spacing w:after="0" w:line="240" w:lineRule="auto"/>
        <w:jc w:val="both"/>
        <w:rPr>
          <w:rFonts w:ascii="Century Gothic" w:eastAsia="Calibri" w:hAnsi="Century Gothic" w:cs="Arial"/>
          <w:color w:val="000000" w:themeColor="text1"/>
          <w:lang w:val="es-ES" w:eastAsia="es-ES"/>
        </w:rPr>
      </w:pPr>
    </w:p>
    <w:p w14:paraId="757BD0FB" w14:textId="77777777" w:rsidR="003675AB" w:rsidRPr="00EB0513" w:rsidRDefault="003675AB" w:rsidP="003675AB">
      <w:pPr>
        <w:spacing w:after="0" w:line="240" w:lineRule="auto"/>
        <w:jc w:val="both"/>
        <w:rPr>
          <w:rFonts w:ascii="Century Gothic" w:eastAsia="Calibri" w:hAnsi="Century Gothic" w:cs="Arial"/>
          <w:color w:val="000000" w:themeColor="text1"/>
          <w:lang w:val="es-ES" w:eastAsia="es-ES"/>
        </w:rPr>
      </w:pPr>
      <w:r w:rsidRPr="00EB0513">
        <w:rPr>
          <w:rFonts w:ascii="Century Gothic" w:eastAsia="Calibri" w:hAnsi="Century Gothic" w:cs="Arial"/>
          <w:color w:val="000000" w:themeColor="text1"/>
          <w:lang w:val="es-ES" w:eastAsia="es-ES"/>
        </w:rPr>
        <w:t>[…]</w:t>
      </w:r>
    </w:p>
    <w:p w14:paraId="51602988" w14:textId="77777777" w:rsidR="003675AB" w:rsidRPr="00EB0513" w:rsidRDefault="003675AB" w:rsidP="003675AB">
      <w:pPr>
        <w:spacing w:after="0" w:line="240" w:lineRule="auto"/>
        <w:jc w:val="both"/>
        <w:rPr>
          <w:rFonts w:ascii="Century Gothic" w:eastAsia="Calibri" w:hAnsi="Century Gothic" w:cs="Arial"/>
          <w:color w:val="000000" w:themeColor="text1"/>
          <w:lang w:val="es-ES" w:eastAsia="es-ES"/>
        </w:rPr>
      </w:pPr>
    </w:p>
    <w:p w14:paraId="2A0D2585" w14:textId="77777777" w:rsidR="003675AB" w:rsidRPr="00EB0513" w:rsidRDefault="003675AB" w:rsidP="003675AB">
      <w:pPr>
        <w:spacing w:after="0" w:line="240" w:lineRule="auto"/>
        <w:jc w:val="both"/>
        <w:rPr>
          <w:rFonts w:ascii="Century Gothic" w:eastAsia="Calibri" w:hAnsi="Century Gothic" w:cs="Arial"/>
          <w:color w:val="000000" w:themeColor="text1"/>
          <w:lang w:val="es-ES" w:eastAsia="es-ES"/>
        </w:rPr>
      </w:pPr>
      <w:r w:rsidRPr="00EB0513">
        <w:rPr>
          <w:rFonts w:ascii="Century Gothic" w:eastAsia="Calibri" w:hAnsi="Century Gothic" w:cs="Arial"/>
          <w:color w:val="000000" w:themeColor="text1"/>
          <w:lang w:val="es-ES" w:eastAsia="es-ES"/>
        </w:rPr>
        <w:t xml:space="preserve">Ahora bien, dentro de los requisitos habilitantes se destaca la capacidad financiera, la cual se deriva del comportamiento contable de la empresa, su liquidez y endeudamiento, para determinar que sus recursos y solidez financiera le permita cumplir los compromisos que adquiera. Como explica esta Agencia en el Manual para determinar y verificar los requisitos habilitantes en los procesos de contratación: </w:t>
      </w:r>
      <w:r w:rsidRPr="00EB0513">
        <w:rPr>
          <w:rFonts w:ascii="Century Gothic" w:eastAsia="Calibri" w:hAnsi="Century Gothic" w:cs="Arial"/>
          <w:i/>
          <w:iCs/>
          <w:color w:val="000000" w:themeColor="text1"/>
          <w:lang w:val="es-ES" w:eastAsia="es-ES"/>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EB0513">
        <w:rPr>
          <w:rFonts w:ascii="Century Gothic" w:eastAsia="Calibri" w:hAnsi="Century Gothic" w:cs="Arial"/>
          <w:color w:val="000000" w:themeColor="text1"/>
          <w:lang w:val="es-ES" w:eastAsia="es-ES"/>
        </w:rPr>
        <w:t>”. La Entidad Estatal, como responsable de la estructuración de su procedimiento de selección, es autónoma para determinar la capacidad financiera necesaria de acuerdo con el objeto contractual que se pretende satisfacer, no obstante, en atención a lo dispuesto en el artículo 2.2.1.1.1.6.2 del Decreto 1082 de 2015, debe ser establecida con sustento en el estudio del sector y sus componentes como la identificación de riesgos, el mercado y precio del bien, obra o servicio a contratar.</w:t>
      </w:r>
    </w:p>
    <w:p w14:paraId="55652E5D" w14:textId="77777777" w:rsidR="003675AB" w:rsidRPr="00F91A42" w:rsidRDefault="003675AB" w:rsidP="003675AB">
      <w:pPr>
        <w:spacing w:after="0" w:line="240" w:lineRule="auto"/>
        <w:jc w:val="both"/>
        <w:rPr>
          <w:rFonts w:ascii="Arial" w:eastAsia="Calibri" w:hAnsi="Arial" w:cs="Arial"/>
          <w:lang w:val="es-MX"/>
        </w:rPr>
      </w:pPr>
    </w:p>
    <w:p w14:paraId="2A9FF7FE" w14:textId="77777777" w:rsidR="00FB05D1" w:rsidRPr="00874839" w:rsidRDefault="00FB05D1">
      <w:pPr>
        <w:rPr>
          <w:rFonts w:ascii="Century Gothic" w:eastAsia="Calibri" w:hAnsi="Century Gothic" w:cs="Arial"/>
          <w:color w:val="000000" w:themeColor="text1"/>
          <w:lang w:val="es-ES" w:eastAsia="es-ES"/>
        </w:rPr>
      </w:pPr>
      <w:r w:rsidRPr="00874839">
        <w:rPr>
          <w:rFonts w:ascii="Century Gothic" w:eastAsia="Calibri" w:hAnsi="Century Gothic" w:cs="Arial"/>
          <w:color w:val="000000" w:themeColor="text1"/>
          <w:lang w:val="es-ES" w:eastAsia="es-ES"/>
        </w:rPr>
        <w:br w:type="page"/>
      </w:r>
    </w:p>
    <w:p w14:paraId="6700D6DA" w14:textId="5A091CBA" w:rsidR="00871B59" w:rsidRPr="00F919E7" w:rsidRDefault="00871B59" w:rsidP="00871B59">
      <w:pPr>
        <w:spacing w:after="0" w:line="240" w:lineRule="auto"/>
        <w:rPr>
          <w:rFonts w:ascii="Century Gothic" w:eastAsia="Geomanist Light" w:hAnsi="Century Gothic" w:cs="Arial"/>
          <w:color w:val="201F1E"/>
          <w:lang w:val="es-MX"/>
        </w:rPr>
      </w:pPr>
      <w:r w:rsidRPr="00F919E7">
        <w:rPr>
          <w:rFonts w:ascii="Century Gothic" w:eastAsia="Geomanist Light" w:hAnsi="Century Gothic" w:cs="Arial"/>
          <w:color w:val="000000" w:themeColor="text1"/>
          <w:lang w:val="es-MX"/>
        </w:rPr>
        <w:lastRenderedPageBreak/>
        <w:t>Bogotá D.C., </w:t>
      </w:r>
      <w:r w:rsidRPr="00F919E7">
        <w:rPr>
          <w:rFonts w:ascii="Century Gothic" w:eastAsia="Geomanist Light" w:hAnsi="Century Gothic" w:cs="Arial"/>
          <w:color w:val="201F1E"/>
          <w:lang w:val="es-MX"/>
        </w:rPr>
        <w:t>[Día] de [</w:t>
      </w:r>
      <w:proofErr w:type="spellStart"/>
      <w:r w:rsidRPr="00F919E7">
        <w:rPr>
          <w:rFonts w:ascii="Century Gothic" w:eastAsia="Geomanist Light" w:hAnsi="Century Gothic" w:cs="Arial"/>
          <w:color w:val="201F1E"/>
          <w:lang w:val="es-MX"/>
        </w:rPr>
        <w:t>Mes.NombreCapitalizado</w:t>
      </w:r>
      <w:proofErr w:type="spellEnd"/>
      <w:r w:rsidRPr="00F919E7">
        <w:rPr>
          <w:rFonts w:ascii="Century Gothic" w:eastAsia="Geomanist Light" w:hAnsi="Century Gothic" w:cs="Arial"/>
          <w:color w:val="201F1E"/>
          <w:lang w:val="es-MX"/>
        </w:rPr>
        <w:t>] de [Año]</w:t>
      </w:r>
    </w:p>
    <w:p w14:paraId="263F56BE" w14:textId="77777777" w:rsidR="00871B59" w:rsidRPr="00F919E7" w:rsidRDefault="00871B59" w:rsidP="00871B59">
      <w:pPr>
        <w:spacing w:after="0" w:line="240" w:lineRule="auto"/>
        <w:jc w:val="both"/>
        <w:rPr>
          <w:rFonts w:ascii="Century Gothic" w:eastAsia="Calibri" w:hAnsi="Century Gothic" w:cs="Arial"/>
          <w:color w:val="000000"/>
          <w:lang w:val="es-ES"/>
        </w:rPr>
      </w:pPr>
    </w:p>
    <w:p w14:paraId="66EF7FED" w14:textId="4F1E307D" w:rsidR="00871B59" w:rsidRPr="00FB05D1" w:rsidRDefault="00871B59" w:rsidP="00871B59">
      <w:pPr>
        <w:spacing w:after="0" w:line="240" w:lineRule="auto"/>
        <w:jc w:val="both"/>
        <w:rPr>
          <w:rFonts w:ascii="Century Gothic" w:eastAsia="Calibri" w:hAnsi="Century Gothic" w:cs="Arial"/>
          <w:bCs/>
          <w:lang w:val="en-US" w:eastAsia="es-ES_tradnl"/>
        </w:rPr>
      </w:pPr>
      <w:proofErr w:type="spellStart"/>
      <w:r w:rsidRPr="00FB05D1">
        <w:rPr>
          <w:rFonts w:ascii="Century Gothic" w:eastAsia="Calibri" w:hAnsi="Century Gothic" w:cs="Arial"/>
          <w:bCs/>
          <w:lang w:val="en-US" w:eastAsia="es-ES_tradnl"/>
        </w:rPr>
        <w:t>Señor</w:t>
      </w:r>
      <w:proofErr w:type="spellEnd"/>
    </w:p>
    <w:p w14:paraId="42968F0B" w14:textId="27D7BCF1" w:rsidR="00FB05D1" w:rsidRPr="00521013" w:rsidRDefault="0048384B" w:rsidP="00521013">
      <w:pPr>
        <w:spacing w:after="0" w:line="240" w:lineRule="auto"/>
        <w:rPr>
          <w:rFonts w:ascii="Century Gothic" w:eastAsia="Calibri" w:hAnsi="Century Gothic" w:cs="Arial"/>
          <w:bCs/>
          <w:u w:val="single"/>
          <w:lang w:val="en-US" w:eastAsia="es-ES_tradnl"/>
        </w:rPr>
      </w:pPr>
      <w:r w:rsidRPr="00785B3E">
        <w:rPr>
          <w:rFonts w:ascii="Century Gothic" w:eastAsia="Calibri" w:hAnsi="Century Gothic" w:cs="Arial"/>
          <w:b/>
          <w:lang w:val="en-US" w:eastAsia="es-ES_tradnl"/>
        </w:rPr>
        <w:t>William Alexander Gonzalez Gallego</w:t>
      </w:r>
      <w:r w:rsidRPr="00785B3E">
        <w:rPr>
          <w:rFonts w:ascii="Century Gothic" w:eastAsia="Calibri" w:hAnsi="Century Gothic" w:cs="Arial"/>
          <w:b/>
          <w:lang w:val="en-US" w:eastAsia="es-ES_tradnl"/>
        </w:rPr>
        <w:cr/>
      </w:r>
      <w:r w:rsidR="00521013" w:rsidRPr="00521013">
        <w:rPr>
          <w:rFonts w:ascii="Century Gothic" w:eastAsia="Calibri" w:hAnsi="Century Gothic" w:cs="Arial"/>
          <w:bCs/>
          <w:u w:val="single"/>
          <w:lang w:val="en-US" w:eastAsia="es-ES_tradnl"/>
        </w:rPr>
        <w:t>wagonzalez@hotmail.com</w:t>
      </w:r>
    </w:p>
    <w:p w14:paraId="5ACFEA17" w14:textId="6DBBDC4B" w:rsidR="00871B59" w:rsidRPr="00F919E7" w:rsidRDefault="003675AB" w:rsidP="00871B59">
      <w:pPr>
        <w:spacing w:after="0" w:line="240" w:lineRule="auto"/>
        <w:rPr>
          <w:rFonts w:ascii="Century Gothic" w:eastAsia="Calibri" w:hAnsi="Century Gothic" w:cs="Arial"/>
          <w:bCs/>
          <w:lang w:val="es-MX" w:eastAsia="es-ES_tradnl"/>
        </w:rPr>
      </w:pPr>
      <w:r>
        <w:rPr>
          <w:rFonts w:ascii="Century Gothic" w:eastAsia="Calibri" w:hAnsi="Century Gothic" w:cs="Arial"/>
          <w:bCs/>
          <w:lang w:val="es-MX" w:eastAsia="es-ES_tradnl"/>
        </w:rPr>
        <w:t xml:space="preserve">Bogotá D.C. </w:t>
      </w:r>
    </w:p>
    <w:p w14:paraId="75545CBA" w14:textId="6CC7128C" w:rsidR="00871B59" w:rsidRPr="00F919E7" w:rsidRDefault="00E16F8B" w:rsidP="00E16F8B">
      <w:pPr>
        <w:spacing w:after="0" w:line="240" w:lineRule="auto"/>
        <w:jc w:val="right"/>
        <w:rPr>
          <w:rFonts w:ascii="Century Gothic" w:eastAsia="Calibri" w:hAnsi="Century Gothic" w:cs="Arial"/>
          <w:b/>
          <w:bCs/>
          <w:color w:val="000000"/>
          <w:lang w:val="es-ES_tradnl" w:eastAsia="es-ES_tradnl"/>
        </w:rPr>
      </w:pPr>
      <w:r w:rsidRPr="00E16F8B">
        <w:rPr>
          <w:rFonts w:ascii="Century Gothic" w:eastAsia="Calibri" w:hAnsi="Century Gothic" w:cs="Arial"/>
          <w:b/>
          <w:bCs/>
          <w:color w:val="000000"/>
          <w:lang w:val="es-ES_tradnl" w:eastAsia="es-ES_tradnl"/>
        </w:rPr>
        <w:drawing>
          <wp:inline distT="0" distB="0" distL="0" distR="0" wp14:anchorId="2C1F71A8" wp14:editId="4D5809FB">
            <wp:extent cx="2453853" cy="739204"/>
            <wp:effectExtent l="0" t="0" r="3810" b="3810"/>
            <wp:docPr id="9157726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72669" name=""/>
                    <pic:cNvPicPr/>
                  </pic:nvPicPr>
                  <pic:blipFill>
                    <a:blip r:embed="rId11"/>
                    <a:stretch>
                      <a:fillRect/>
                    </a:stretch>
                  </pic:blipFill>
                  <pic:spPr>
                    <a:xfrm>
                      <a:off x="0" y="0"/>
                      <a:ext cx="2453853" cy="739204"/>
                    </a:xfrm>
                    <a:prstGeom prst="rect">
                      <a:avLst/>
                    </a:prstGeom>
                  </pic:spPr>
                </pic:pic>
              </a:graphicData>
            </a:graphic>
          </wp:inline>
        </w:drawing>
      </w:r>
    </w:p>
    <w:p w14:paraId="40764CBF" w14:textId="66B5C52F" w:rsidR="00871B59" w:rsidRPr="00F919E7" w:rsidRDefault="00871B59" w:rsidP="006A33DA">
      <w:pPr>
        <w:spacing w:after="0" w:line="240" w:lineRule="auto"/>
        <w:jc w:val="center"/>
        <w:rPr>
          <w:rFonts w:ascii="Century Gothic" w:eastAsia="Calibri" w:hAnsi="Century Gothic" w:cs="Arial"/>
          <w:b/>
          <w:bCs/>
          <w:color w:val="000000"/>
          <w:lang w:val="es-ES_tradnl" w:eastAsia="es-ES_tradnl"/>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42"/>
      </w:tblGrid>
      <w:tr w:rsidR="00871B59" w:rsidRPr="00F919E7" w14:paraId="6AC1791A" w14:textId="77777777" w:rsidTr="005A1C97">
        <w:trPr>
          <w:trHeight w:val="884"/>
        </w:trPr>
        <w:tc>
          <w:tcPr>
            <w:tcW w:w="2689" w:type="dxa"/>
          </w:tcPr>
          <w:p w14:paraId="156B1AEC" w14:textId="77777777" w:rsidR="00871B59" w:rsidRPr="00F919E7" w:rsidRDefault="00871B59" w:rsidP="002607A7">
            <w:pPr>
              <w:jc w:val="both"/>
              <w:rPr>
                <w:rFonts w:ascii="Century Gothic" w:eastAsia="Calibri" w:hAnsi="Century Gothic" w:cs="Arial"/>
                <w:b/>
                <w:bCs/>
                <w:color w:val="7030A0"/>
                <w:lang w:val="es-ES_tradnl" w:eastAsia="es-ES_tradnl"/>
              </w:rPr>
            </w:pPr>
          </w:p>
        </w:tc>
        <w:tc>
          <w:tcPr>
            <w:tcW w:w="6242" w:type="dxa"/>
          </w:tcPr>
          <w:p w14:paraId="48F499EA" w14:textId="089AFEA8" w:rsidR="00871B59" w:rsidRPr="003675AB" w:rsidRDefault="00871B59" w:rsidP="002607A7">
            <w:pPr>
              <w:jc w:val="both"/>
              <w:rPr>
                <w:rFonts w:ascii="Century Gothic" w:eastAsia="Calibri" w:hAnsi="Century Gothic" w:cs="Arial"/>
                <w:b/>
                <w:lang w:val="es-MX" w:eastAsia="es-ES_tradnl"/>
              </w:rPr>
            </w:pPr>
            <w:r w:rsidRPr="003675AB">
              <w:rPr>
                <w:rFonts w:ascii="Century Gothic" w:eastAsia="Calibri" w:hAnsi="Century Gothic" w:cs="Arial"/>
                <w:b/>
                <w:lang w:val="es-MX" w:eastAsia="es-ES_tradnl"/>
              </w:rPr>
              <w:t xml:space="preserve">Concepto C- </w:t>
            </w:r>
            <w:r w:rsidR="00521013">
              <w:rPr>
                <w:rFonts w:ascii="Century Gothic" w:eastAsia="Calibri" w:hAnsi="Century Gothic" w:cs="Arial"/>
                <w:b/>
                <w:lang w:val="es-MX" w:eastAsia="es-ES_tradnl"/>
              </w:rPr>
              <w:t>865</w:t>
            </w:r>
            <w:r w:rsidRPr="003675AB">
              <w:rPr>
                <w:rFonts w:ascii="Century Gothic" w:eastAsia="Calibri" w:hAnsi="Century Gothic" w:cs="Arial"/>
                <w:b/>
                <w:lang w:val="es-MX" w:eastAsia="es-ES_tradnl"/>
              </w:rPr>
              <w:t xml:space="preserve"> de 2024</w:t>
            </w:r>
          </w:p>
        </w:tc>
      </w:tr>
      <w:tr w:rsidR="00916160" w:rsidRPr="00F919E7" w14:paraId="0DD246A7" w14:textId="77777777" w:rsidTr="005A1C97">
        <w:trPr>
          <w:trHeight w:val="884"/>
        </w:trPr>
        <w:tc>
          <w:tcPr>
            <w:tcW w:w="2689" w:type="dxa"/>
          </w:tcPr>
          <w:p w14:paraId="1B4FC525" w14:textId="77777777" w:rsidR="00916160" w:rsidRPr="00F919E7" w:rsidRDefault="00916160" w:rsidP="00916160">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Temas:                   </w:t>
            </w:r>
          </w:p>
        </w:tc>
        <w:tc>
          <w:tcPr>
            <w:tcW w:w="6242" w:type="dxa"/>
          </w:tcPr>
          <w:p w14:paraId="02FAA359" w14:textId="2201A32F" w:rsidR="00685FFD" w:rsidRPr="003675AB" w:rsidRDefault="003675AB" w:rsidP="00916160">
            <w:pPr>
              <w:spacing w:line="276" w:lineRule="auto"/>
              <w:jc w:val="both"/>
              <w:rPr>
                <w:rFonts w:ascii="Century Gothic" w:eastAsia="Calibri" w:hAnsi="Century Gothic" w:cs="Arial"/>
                <w:bCs/>
                <w:lang w:val="es-MX" w:eastAsia="es-ES_tradnl"/>
              </w:rPr>
            </w:pPr>
            <w:r w:rsidRPr="003675AB">
              <w:rPr>
                <w:rFonts w:ascii="Century Gothic" w:eastAsia="Calibri" w:hAnsi="Century Gothic" w:cs="Arial"/>
                <w:bCs/>
                <w:lang w:val="es-MX" w:eastAsia="es-ES_tradnl"/>
              </w:rPr>
              <w:t xml:space="preserve">REQUISITOS HABILITANTES – Capacidad financiera – Autonomía / CAPACIDAD FINANCIERA – Acreditación </w:t>
            </w:r>
            <w:r w:rsidR="00FB05D1" w:rsidRPr="003675AB">
              <w:rPr>
                <w:rFonts w:ascii="Century Gothic" w:eastAsia="Calibri" w:hAnsi="Century Gothic" w:cs="Arial"/>
                <w:bCs/>
                <w:lang w:val="es-MX" w:eastAsia="es-ES_tradnl"/>
              </w:rPr>
              <w:t>–</w:t>
            </w:r>
          </w:p>
          <w:p w14:paraId="7ADD1096" w14:textId="0C00EDC0" w:rsidR="00FB05D1" w:rsidRPr="00F919E7" w:rsidRDefault="00FB05D1" w:rsidP="00916160">
            <w:pPr>
              <w:spacing w:line="276" w:lineRule="auto"/>
              <w:jc w:val="both"/>
              <w:rPr>
                <w:rFonts w:ascii="Century Gothic" w:eastAsia="Calibri" w:hAnsi="Century Gothic" w:cs="Arial"/>
                <w:bCs/>
                <w:lang w:val="es-MX" w:eastAsia="es-ES_tradnl"/>
              </w:rPr>
            </w:pPr>
          </w:p>
        </w:tc>
      </w:tr>
      <w:tr w:rsidR="00916160" w:rsidRPr="00F919E7" w14:paraId="0A874006" w14:textId="77777777" w:rsidTr="005A1C97">
        <w:tc>
          <w:tcPr>
            <w:tcW w:w="2689" w:type="dxa"/>
          </w:tcPr>
          <w:p w14:paraId="56ED2765" w14:textId="77777777" w:rsidR="00916160" w:rsidRPr="00F919E7" w:rsidRDefault="00916160" w:rsidP="00916160">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Radicación:               </w:t>
            </w:r>
          </w:p>
        </w:tc>
        <w:tc>
          <w:tcPr>
            <w:tcW w:w="6242" w:type="dxa"/>
          </w:tcPr>
          <w:p w14:paraId="630D2668" w14:textId="2E238015" w:rsidR="00916160" w:rsidRPr="00F919E7" w:rsidRDefault="00916160" w:rsidP="00521013">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Respuesta a consulta con radicado No. </w:t>
            </w:r>
            <w:r w:rsidR="00521013" w:rsidRPr="00521013">
              <w:rPr>
                <w:rFonts w:ascii="Century Gothic" w:eastAsia="Calibri" w:hAnsi="Century Gothic" w:cs="Arial"/>
                <w:bCs/>
                <w:lang w:eastAsia="es-ES_tradnl"/>
              </w:rPr>
              <w:t>P20241115011504</w:t>
            </w:r>
          </w:p>
        </w:tc>
      </w:tr>
    </w:tbl>
    <w:p w14:paraId="01AFCA4D" w14:textId="77777777" w:rsidR="00871B59" w:rsidRPr="00F919E7" w:rsidRDefault="00871B59" w:rsidP="00871B59">
      <w:pPr>
        <w:spacing w:after="0" w:line="240" w:lineRule="auto"/>
        <w:jc w:val="both"/>
        <w:rPr>
          <w:rFonts w:ascii="Century Gothic" w:eastAsia="Calibri" w:hAnsi="Century Gothic" w:cs="Arial"/>
          <w:color w:val="000000"/>
          <w:lang w:val="es-ES_tradnl" w:eastAsia="es-ES_tradnl"/>
        </w:rPr>
      </w:pPr>
    </w:p>
    <w:p w14:paraId="4FF08E37" w14:textId="77777777" w:rsidR="00871B59" w:rsidRPr="00F919E7" w:rsidRDefault="00871B59" w:rsidP="00871B59">
      <w:pPr>
        <w:spacing w:after="0" w:line="240" w:lineRule="auto"/>
        <w:jc w:val="both"/>
        <w:rPr>
          <w:rFonts w:ascii="Century Gothic" w:eastAsia="Calibri" w:hAnsi="Century Gothic" w:cs="Arial"/>
          <w:color w:val="000000"/>
          <w:lang w:val="es-ES_tradnl" w:eastAsia="es-ES_tradnl"/>
        </w:rPr>
      </w:pPr>
    </w:p>
    <w:p w14:paraId="5A8CAE32" w14:textId="725C215D" w:rsidR="00871B59" w:rsidRPr="00E43EBA" w:rsidRDefault="00871B59" w:rsidP="00871B59">
      <w:pPr>
        <w:spacing w:after="0" w:line="276" w:lineRule="auto"/>
        <w:jc w:val="both"/>
        <w:rPr>
          <w:rFonts w:ascii="Century Gothic" w:eastAsia="Calibri" w:hAnsi="Century Gothic" w:cs="Arial"/>
          <w:bCs/>
          <w:lang w:val="es-MX" w:eastAsia="es-ES_tradnl"/>
        </w:rPr>
      </w:pPr>
      <w:r w:rsidRPr="00E43EBA">
        <w:rPr>
          <w:rFonts w:ascii="Century Gothic" w:eastAsia="Calibri" w:hAnsi="Century Gothic" w:cs="Arial"/>
          <w:bCs/>
          <w:lang w:val="es-MX" w:eastAsia="es-ES_tradnl"/>
        </w:rPr>
        <w:t>Estimad</w:t>
      </w:r>
      <w:r w:rsidR="00521013">
        <w:rPr>
          <w:rFonts w:ascii="Century Gothic" w:eastAsia="Calibri" w:hAnsi="Century Gothic" w:cs="Arial"/>
          <w:bCs/>
          <w:lang w:val="es-MX" w:eastAsia="es-ES_tradnl"/>
        </w:rPr>
        <w:t>o</w:t>
      </w:r>
      <w:r w:rsidR="00916160">
        <w:rPr>
          <w:rFonts w:ascii="Century Gothic" w:eastAsia="Calibri" w:hAnsi="Century Gothic" w:cs="Arial"/>
          <w:bCs/>
          <w:lang w:val="es-MX" w:eastAsia="es-ES_tradnl"/>
        </w:rPr>
        <w:t xml:space="preserve"> </w:t>
      </w:r>
      <w:r w:rsidRPr="00E43EBA">
        <w:rPr>
          <w:rFonts w:ascii="Century Gothic" w:eastAsia="Calibri" w:hAnsi="Century Gothic" w:cs="Arial"/>
          <w:bCs/>
          <w:lang w:val="es-MX" w:eastAsia="es-ES_tradnl"/>
        </w:rPr>
        <w:t>señor</w:t>
      </w:r>
      <w:r w:rsidR="00BF755C" w:rsidRPr="00E43EBA">
        <w:rPr>
          <w:rFonts w:ascii="Century Gothic" w:eastAsia="Calibri" w:hAnsi="Century Gothic" w:cs="Arial"/>
          <w:bCs/>
          <w:lang w:val="es-MX" w:eastAsia="es-ES_tradnl"/>
        </w:rPr>
        <w:t xml:space="preserve"> </w:t>
      </w:r>
      <w:r w:rsidR="00521013">
        <w:rPr>
          <w:rFonts w:ascii="Century Gothic" w:eastAsia="Calibri" w:hAnsi="Century Gothic" w:cs="Arial"/>
          <w:bCs/>
          <w:lang w:val="es-MX" w:eastAsia="es-ES_tradnl"/>
        </w:rPr>
        <w:t>González</w:t>
      </w:r>
      <w:r w:rsidRPr="00E43EBA">
        <w:rPr>
          <w:rFonts w:ascii="Century Gothic" w:eastAsia="Calibri" w:hAnsi="Century Gothic" w:cs="Arial"/>
          <w:bCs/>
          <w:lang w:val="es-MX" w:eastAsia="es-ES_tradnl"/>
        </w:rPr>
        <w:t xml:space="preserve">: </w:t>
      </w:r>
    </w:p>
    <w:p w14:paraId="62039951" w14:textId="77777777" w:rsidR="00871B59" w:rsidRPr="00E43EBA" w:rsidRDefault="00871B59" w:rsidP="00871B59">
      <w:pPr>
        <w:tabs>
          <w:tab w:val="left" w:pos="3768"/>
        </w:tabs>
        <w:spacing w:after="0" w:line="276" w:lineRule="auto"/>
        <w:jc w:val="both"/>
        <w:rPr>
          <w:rFonts w:ascii="Century Gothic" w:eastAsia="Calibri" w:hAnsi="Century Gothic" w:cs="Arial"/>
          <w:color w:val="000000" w:themeColor="text1"/>
          <w:lang w:val="es-ES" w:eastAsia="es-ES"/>
        </w:rPr>
      </w:pPr>
      <w:r w:rsidRPr="00E43EBA">
        <w:rPr>
          <w:rFonts w:ascii="Century Gothic" w:eastAsia="Calibri" w:hAnsi="Century Gothic" w:cs="Arial"/>
          <w:color w:val="000000" w:themeColor="text1"/>
          <w:lang w:val="es-ES" w:eastAsia="es-ES"/>
        </w:rPr>
        <w:tab/>
      </w:r>
    </w:p>
    <w:p w14:paraId="3F1D9A82" w14:textId="54BCB933" w:rsidR="00871B59" w:rsidRPr="00E43EBA" w:rsidRDefault="00871B59" w:rsidP="00871B59">
      <w:pPr>
        <w:spacing w:after="0" w:line="276" w:lineRule="auto"/>
        <w:jc w:val="both"/>
        <w:rPr>
          <w:rFonts w:ascii="Century Gothic" w:eastAsia="Calibri" w:hAnsi="Century Gothic" w:cs="Arial"/>
          <w:lang w:val="es-ES" w:eastAsia="es-ES"/>
        </w:rPr>
      </w:pPr>
      <w:r w:rsidRPr="00E43EBA">
        <w:rPr>
          <w:rFonts w:ascii="Century Gothic" w:eastAsia="Calibri" w:hAnsi="Century Gothic" w:cs="Arial"/>
          <w:color w:val="000000" w:themeColor="text1"/>
          <w:lang w:val="es-ES" w:eastAsia="es-ES"/>
        </w:rPr>
        <w:t>En ejercicio de la competencia otorgada por los artículos 3, numeral 5º, y 11, numeral 8º, del Decreto Ley 4170 de 2011,</w:t>
      </w:r>
      <w:r w:rsidRPr="00E43EBA">
        <w:rPr>
          <w:rFonts w:ascii="Century Gothic" w:eastAsia="Arial MT" w:hAnsi="Century Gothic" w:cs="Arial MT"/>
          <w:lang w:val="es-ES" w:eastAsia="es-ES"/>
        </w:rPr>
        <w:t xml:space="preserve"> </w:t>
      </w:r>
      <w:r w:rsidRPr="00E43EBA">
        <w:rPr>
          <w:rFonts w:ascii="Century Gothic" w:hAnsi="Century Gothic" w:cs="Arial"/>
        </w:rPr>
        <w:t xml:space="preserve">así como lo establecido en el artículo 4 de la Resolución 1707 de 2018 expedida por esta Entidad, </w:t>
      </w:r>
      <w:r w:rsidRPr="00E43EBA">
        <w:rPr>
          <w:rFonts w:ascii="Century Gothic" w:eastAsia="Calibri" w:hAnsi="Century Gothic" w:cs="Arial"/>
          <w:lang w:val="es-ES" w:eastAsia="es-ES"/>
        </w:rPr>
        <w:t xml:space="preserve">la Agencia Nacional de Contratación Pública – Colombia Compra Eficiente– responde su solicitud de consulta de fecha </w:t>
      </w:r>
      <w:r w:rsidR="005A1C97">
        <w:rPr>
          <w:rFonts w:ascii="Century Gothic" w:eastAsia="Calibri" w:hAnsi="Century Gothic" w:cs="Arial"/>
          <w:lang w:val="es-ES" w:eastAsia="es-ES"/>
        </w:rPr>
        <w:t>1</w:t>
      </w:r>
      <w:r w:rsidR="00521013">
        <w:rPr>
          <w:rFonts w:ascii="Century Gothic" w:eastAsia="Calibri" w:hAnsi="Century Gothic" w:cs="Arial"/>
          <w:lang w:val="es-ES" w:eastAsia="es-ES"/>
        </w:rPr>
        <w:t>5</w:t>
      </w:r>
      <w:r w:rsidR="00BF755C" w:rsidRPr="00E43EBA">
        <w:rPr>
          <w:rFonts w:ascii="Century Gothic" w:eastAsia="Calibri" w:hAnsi="Century Gothic" w:cs="Arial"/>
          <w:lang w:val="es-ES" w:eastAsia="es-ES"/>
        </w:rPr>
        <w:t xml:space="preserve"> </w:t>
      </w:r>
      <w:r w:rsidRPr="00E43EBA">
        <w:rPr>
          <w:rFonts w:ascii="Century Gothic" w:eastAsia="Calibri" w:hAnsi="Century Gothic" w:cs="Arial"/>
          <w:lang w:val="es-ES" w:eastAsia="es-ES"/>
        </w:rPr>
        <w:t xml:space="preserve">de </w:t>
      </w:r>
      <w:r w:rsidR="00521013">
        <w:rPr>
          <w:rFonts w:ascii="Century Gothic" w:eastAsia="Calibri" w:hAnsi="Century Gothic" w:cs="Arial"/>
          <w:lang w:val="es-ES" w:eastAsia="es-ES"/>
        </w:rPr>
        <w:t>noviembre</w:t>
      </w:r>
      <w:r w:rsidRPr="00E43EBA">
        <w:rPr>
          <w:rFonts w:ascii="Century Gothic" w:eastAsia="Calibri" w:hAnsi="Century Gothic" w:cs="Arial"/>
          <w:lang w:val="es-ES" w:eastAsia="es-ES"/>
        </w:rPr>
        <w:t xml:space="preserve"> de 20</w:t>
      </w:r>
      <w:r w:rsidR="00BF755C" w:rsidRPr="00E43EBA">
        <w:rPr>
          <w:rFonts w:ascii="Century Gothic" w:eastAsia="Calibri" w:hAnsi="Century Gothic" w:cs="Arial"/>
          <w:lang w:val="es-ES" w:eastAsia="es-ES"/>
        </w:rPr>
        <w:t>24</w:t>
      </w:r>
      <w:r w:rsidRPr="00E43EBA">
        <w:rPr>
          <w:rFonts w:ascii="Century Gothic" w:eastAsia="Calibri" w:hAnsi="Century Gothic" w:cs="Arial"/>
          <w:lang w:val="es-ES" w:eastAsia="es-ES"/>
        </w:rPr>
        <w:t xml:space="preserve">, en la cual manifiesta lo siguiente: </w:t>
      </w:r>
    </w:p>
    <w:p w14:paraId="6DBD3E26" w14:textId="77777777" w:rsidR="00871B59" w:rsidRPr="00A83E50"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sz w:val="20"/>
          <w:szCs w:val="20"/>
          <w:lang w:val="es-ES"/>
        </w:rPr>
      </w:pPr>
    </w:p>
    <w:p w14:paraId="1006183E" w14:textId="15E1E5EE" w:rsidR="00871B59" w:rsidRPr="00521013" w:rsidRDefault="00871B59" w:rsidP="00521013">
      <w:pPr>
        <w:ind w:left="709" w:right="616"/>
        <w:jc w:val="both"/>
        <w:rPr>
          <w:rFonts w:ascii="Century Gothic" w:eastAsia="Century Gothic" w:hAnsi="Century Gothic" w:cs="Century Gothic"/>
          <w:sz w:val="20"/>
          <w:szCs w:val="20"/>
          <w:lang w:val="es-ES"/>
        </w:rPr>
      </w:pPr>
      <w:bookmarkStart w:id="0" w:name="_Hlk95313578"/>
      <w:r w:rsidRPr="00A83E50">
        <w:rPr>
          <w:rFonts w:ascii="Century Gothic" w:eastAsia="Century Gothic" w:hAnsi="Century Gothic" w:cs="Century Gothic"/>
          <w:sz w:val="20"/>
          <w:szCs w:val="20"/>
          <w:lang w:val="es-ES"/>
        </w:rPr>
        <w:t>“</w:t>
      </w:r>
      <w:bookmarkEnd w:id="0"/>
      <w:r w:rsidR="00521013" w:rsidRPr="00521013">
        <w:rPr>
          <w:rFonts w:ascii="Century Gothic" w:eastAsia="Century Gothic" w:hAnsi="Century Gothic" w:cs="Century Gothic"/>
          <w:sz w:val="20"/>
          <w:szCs w:val="20"/>
          <w:lang w:val="es-ES"/>
        </w:rPr>
        <w:t>Solicito amablemente me den un concepto sobre la condición que señala el pliego</w:t>
      </w:r>
      <w:r w:rsidR="00521013">
        <w:rPr>
          <w:rFonts w:ascii="Century Gothic" w:eastAsia="Century Gothic" w:hAnsi="Century Gothic" w:cs="Century Gothic"/>
          <w:sz w:val="20"/>
          <w:szCs w:val="20"/>
          <w:lang w:val="es-ES"/>
        </w:rPr>
        <w:t xml:space="preserve"> </w:t>
      </w:r>
      <w:r w:rsidR="00521013" w:rsidRPr="00521013">
        <w:rPr>
          <w:rFonts w:ascii="Century Gothic" w:eastAsia="Century Gothic" w:hAnsi="Century Gothic" w:cs="Century Gothic"/>
          <w:sz w:val="20"/>
          <w:szCs w:val="20"/>
          <w:lang w:val="es-ES"/>
        </w:rPr>
        <w:t>tipo en lo relativo a la vigencia de los antecedentes disciplinarios que exige el pliego,</w:t>
      </w:r>
      <w:r w:rsidR="00521013">
        <w:rPr>
          <w:rFonts w:ascii="Century Gothic" w:eastAsia="Century Gothic" w:hAnsi="Century Gothic" w:cs="Century Gothic"/>
          <w:sz w:val="20"/>
          <w:szCs w:val="20"/>
          <w:lang w:val="es-ES"/>
        </w:rPr>
        <w:t xml:space="preserve"> </w:t>
      </w:r>
      <w:r w:rsidR="00521013" w:rsidRPr="00521013">
        <w:rPr>
          <w:rFonts w:ascii="Century Gothic" w:eastAsia="Century Gothic" w:hAnsi="Century Gothic" w:cs="Century Gothic"/>
          <w:sz w:val="20"/>
          <w:szCs w:val="20"/>
          <w:lang w:val="es-ES"/>
        </w:rPr>
        <w:t>dado que puede ocurrir que el profesional que los elaboro y suscribió ya no haga</w:t>
      </w:r>
      <w:r w:rsidR="00521013">
        <w:rPr>
          <w:rFonts w:ascii="Century Gothic" w:eastAsia="Century Gothic" w:hAnsi="Century Gothic" w:cs="Century Gothic"/>
          <w:sz w:val="20"/>
          <w:szCs w:val="20"/>
          <w:lang w:val="es-ES"/>
        </w:rPr>
        <w:t xml:space="preserve"> </w:t>
      </w:r>
      <w:r w:rsidR="00521013" w:rsidRPr="00521013">
        <w:rPr>
          <w:rFonts w:ascii="Century Gothic" w:eastAsia="Century Gothic" w:hAnsi="Century Gothic" w:cs="Century Gothic"/>
          <w:sz w:val="20"/>
          <w:szCs w:val="20"/>
          <w:lang w:val="es-ES"/>
        </w:rPr>
        <w:t>parte del talento humano de la empresa que se encuentre participando en un</w:t>
      </w:r>
      <w:r w:rsidR="00521013">
        <w:rPr>
          <w:rFonts w:ascii="Century Gothic" w:eastAsia="Century Gothic" w:hAnsi="Century Gothic" w:cs="Century Gothic"/>
          <w:sz w:val="20"/>
          <w:szCs w:val="20"/>
          <w:lang w:val="es-ES"/>
        </w:rPr>
        <w:t xml:space="preserve"> </w:t>
      </w:r>
      <w:r w:rsidR="00521013" w:rsidRPr="00521013">
        <w:rPr>
          <w:rFonts w:ascii="Century Gothic" w:eastAsia="Century Gothic" w:hAnsi="Century Gothic" w:cs="Century Gothic"/>
          <w:sz w:val="20"/>
          <w:szCs w:val="20"/>
          <w:lang w:val="es-ES"/>
        </w:rPr>
        <w:t>proceso, por consiguiente, al no estar vinculado dicho profesional a la empresa, es</w:t>
      </w:r>
      <w:r w:rsidR="00521013">
        <w:rPr>
          <w:rFonts w:ascii="Century Gothic" w:eastAsia="Century Gothic" w:hAnsi="Century Gothic" w:cs="Century Gothic"/>
          <w:sz w:val="20"/>
          <w:szCs w:val="20"/>
          <w:lang w:val="es-ES"/>
        </w:rPr>
        <w:t xml:space="preserve"> </w:t>
      </w:r>
      <w:r w:rsidR="00521013" w:rsidRPr="00521013">
        <w:rPr>
          <w:rFonts w:ascii="Century Gothic" w:eastAsia="Century Gothic" w:hAnsi="Century Gothic" w:cs="Century Gothic"/>
          <w:sz w:val="20"/>
          <w:szCs w:val="20"/>
          <w:lang w:val="es-ES"/>
        </w:rPr>
        <w:t>complejo que el mismo entregue los antecedentes vigentes al momento del cierre</w:t>
      </w:r>
      <w:r w:rsidR="00521013">
        <w:rPr>
          <w:rFonts w:ascii="Century Gothic" w:eastAsia="Century Gothic" w:hAnsi="Century Gothic" w:cs="Century Gothic"/>
          <w:sz w:val="20"/>
          <w:szCs w:val="20"/>
          <w:lang w:val="es-ES"/>
        </w:rPr>
        <w:t xml:space="preserve"> </w:t>
      </w:r>
      <w:r w:rsidR="00521013" w:rsidRPr="00521013">
        <w:rPr>
          <w:rFonts w:ascii="Century Gothic" w:eastAsia="Century Gothic" w:hAnsi="Century Gothic" w:cs="Century Gothic"/>
          <w:sz w:val="20"/>
          <w:szCs w:val="20"/>
          <w:lang w:val="es-ES"/>
        </w:rPr>
        <w:t>del proceso, sabiendo, que los antecedentes que dicho profesional entrego a la</w:t>
      </w:r>
      <w:r w:rsidR="00521013">
        <w:rPr>
          <w:rFonts w:ascii="Century Gothic" w:eastAsia="Century Gothic" w:hAnsi="Century Gothic" w:cs="Century Gothic"/>
          <w:sz w:val="20"/>
          <w:szCs w:val="20"/>
          <w:lang w:val="es-ES"/>
        </w:rPr>
        <w:t xml:space="preserve"> </w:t>
      </w:r>
      <w:r w:rsidR="00521013" w:rsidRPr="00521013">
        <w:rPr>
          <w:rFonts w:ascii="Century Gothic" w:eastAsia="Century Gothic" w:hAnsi="Century Gothic" w:cs="Century Gothic"/>
          <w:sz w:val="20"/>
          <w:szCs w:val="20"/>
          <w:lang w:val="es-ES"/>
        </w:rPr>
        <w:t xml:space="preserve">empresa, son aquellos </w:t>
      </w:r>
      <w:r w:rsidR="00521013" w:rsidRPr="00521013">
        <w:rPr>
          <w:rFonts w:ascii="Century Gothic" w:eastAsia="Century Gothic" w:hAnsi="Century Gothic" w:cs="Century Gothic"/>
          <w:sz w:val="20"/>
          <w:szCs w:val="20"/>
          <w:lang w:val="es-ES"/>
        </w:rPr>
        <w:lastRenderedPageBreak/>
        <w:t>que al momento de la suscripción de los estados de situación</w:t>
      </w:r>
      <w:r w:rsidR="00521013">
        <w:rPr>
          <w:rFonts w:ascii="Century Gothic" w:eastAsia="Century Gothic" w:hAnsi="Century Gothic" w:cs="Century Gothic"/>
          <w:sz w:val="20"/>
          <w:szCs w:val="20"/>
          <w:lang w:val="es-ES"/>
        </w:rPr>
        <w:t xml:space="preserve"> </w:t>
      </w:r>
      <w:r w:rsidR="00521013" w:rsidRPr="00521013">
        <w:rPr>
          <w:rFonts w:ascii="Century Gothic" w:eastAsia="Century Gothic" w:hAnsi="Century Gothic" w:cs="Century Gothic"/>
          <w:sz w:val="20"/>
          <w:szCs w:val="20"/>
          <w:lang w:val="es-ES"/>
        </w:rPr>
        <w:t>financiera se encontraban vigentes, por lo tanto, solicito muy amablemente, aclarar,</w:t>
      </w:r>
      <w:r w:rsidR="00521013">
        <w:rPr>
          <w:rFonts w:ascii="Century Gothic" w:eastAsia="Century Gothic" w:hAnsi="Century Gothic" w:cs="Century Gothic"/>
          <w:sz w:val="20"/>
          <w:szCs w:val="20"/>
          <w:lang w:val="es-ES"/>
        </w:rPr>
        <w:t xml:space="preserve"> </w:t>
      </w:r>
      <w:r w:rsidR="00521013" w:rsidRPr="00521013">
        <w:rPr>
          <w:rFonts w:ascii="Century Gothic" w:eastAsia="Century Gothic" w:hAnsi="Century Gothic" w:cs="Century Gothic"/>
          <w:sz w:val="20"/>
          <w:szCs w:val="20"/>
          <w:lang w:val="es-ES"/>
        </w:rPr>
        <w:t>si la vigencia de los antecedentes, son los antecedentes de los profesional que</w:t>
      </w:r>
      <w:r w:rsidR="00521013">
        <w:rPr>
          <w:rFonts w:ascii="Century Gothic" w:eastAsia="Century Gothic" w:hAnsi="Century Gothic" w:cs="Century Gothic"/>
          <w:sz w:val="20"/>
          <w:szCs w:val="20"/>
          <w:lang w:val="es-ES"/>
        </w:rPr>
        <w:t xml:space="preserve"> </w:t>
      </w:r>
      <w:r w:rsidR="00521013" w:rsidRPr="00521013">
        <w:rPr>
          <w:rFonts w:ascii="Century Gothic" w:eastAsia="Century Gothic" w:hAnsi="Century Gothic" w:cs="Century Gothic"/>
          <w:sz w:val="20"/>
          <w:szCs w:val="20"/>
          <w:lang w:val="es-ES"/>
        </w:rPr>
        <w:t>suscribió los estados de situación financiera o son los antecedentes del profesional</w:t>
      </w:r>
      <w:r w:rsidR="00521013">
        <w:rPr>
          <w:rFonts w:ascii="Century Gothic" w:eastAsia="Century Gothic" w:hAnsi="Century Gothic" w:cs="Century Gothic"/>
          <w:sz w:val="20"/>
          <w:szCs w:val="20"/>
          <w:lang w:val="es-ES"/>
        </w:rPr>
        <w:t xml:space="preserve"> </w:t>
      </w:r>
      <w:r w:rsidR="00521013" w:rsidRPr="00521013">
        <w:rPr>
          <w:rFonts w:ascii="Century Gothic" w:eastAsia="Century Gothic" w:hAnsi="Century Gothic" w:cs="Century Gothic"/>
          <w:sz w:val="20"/>
          <w:szCs w:val="20"/>
          <w:lang w:val="es-ES"/>
        </w:rPr>
        <w:t>que se encuentra certificando el certificado de Saldo de Contratos en Ejecución(SCE)?</w:t>
      </w:r>
      <w:r w:rsidR="003675AB" w:rsidRPr="003675AB">
        <w:rPr>
          <w:rFonts w:ascii="Century Gothic" w:eastAsia="Century Gothic" w:hAnsi="Century Gothic" w:cs="Century Gothic"/>
          <w:sz w:val="20"/>
          <w:szCs w:val="20"/>
        </w:rPr>
        <w:t>:</w:t>
      </w:r>
      <w:r w:rsidR="003675AB">
        <w:rPr>
          <w:rFonts w:ascii="Century Gothic" w:eastAsia="Century Gothic" w:hAnsi="Century Gothic" w:cs="Century Gothic"/>
          <w:sz w:val="20"/>
          <w:szCs w:val="20"/>
        </w:rPr>
        <w:t>”</w:t>
      </w:r>
      <w:r w:rsidR="00E051A5">
        <w:rPr>
          <w:rFonts w:ascii="Century Gothic" w:eastAsia="Century Gothic" w:hAnsi="Century Gothic" w:cs="Century Gothic"/>
          <w:sz w:val="20"/>
          <w:szCs w:val="20"/>
          <w:lang w:val="es-ES"/>
        </w:rPr>
        <w:t xml:space="preserve"> </w:t>
      </w:r>
      <w:r w:rsidR="006E1D19" w:rsidRPr="00A83E50">
        <w:rPr>
          <w:rFonts w:ascii="Century Gothic" w:eastAsia="Century Gothic" w:hAnsi="Century Gothic" w:cs="Century Gothic"/>
          <w:sz w:val="20"/>
          <w:szCs w:val="20"/>
          <w:lang w:val="es-ES"/>
        </w:rPr>
        <w:t>[sic]</w:t>
      </w:r>
    </w:p>
    <w:p w14:paraId="54DCAD4E" w14:textId="77777777" w:rsidR="00871B59" w:rsidRPr="00E43EBA"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lang w:val="es-ES"/>
        </w:rPr>
      </w:pPr>
    </w:p>
    <w:p w14:paraId="30F17EAD" w14:textId="77777777" w:rsidR="00871B59" w:rsidRPr="00E43EBA" w:rsidRDefault="00871B59" w:rsidP="00871B59">
      <w:pPr>
        <w:spacing w:after="120" w:line="276" w:lineRule="auto"/>
        <w:ind w:firstLine="709"/>
        <w:jc w:val="both"/>
        <w:rPr>
          <w:rFonts w:ascii="Century Gothic" w:eastAsia="Calibri" w:hAnsi="Century Gothic" w:cs="Arial"/>
          <w:color w:val="000000"/>
          <w:lang w:val="es-ES_tradnl" w:eastAsia="es-ES_tradnl"/>
        </w:rPr>
      </w:pPr>
      <w:r w:rsidRPr="00E43EBA">
        <w:rPr>
          <w:rFonts w:ascii="Century Gothic" w:eastAsia="Calibri" w:hAnsi="Century Gothic"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43EBA">
        <w:rPr>
          <w:rFonts w:ascii="Century Gothic" w:eastAsia="Calibri" w:hAnsi="Century Gothic" w:cs="Arial"/>
          <w:color w:val="000000"/>
          <w:lang w:val="es-ES_tradnl" w:eastAsia="es-ES_tradnl"/>
        </w:rPr>
        <w:tab/>
      </w:r>
    </w:p>
    <w:p w14:paraId="3B95778F" w14:textId="33E11D52" w:rsidR="00871B59" w:rsidRPr="00E43EBA" w:rsidRDefault="00871B59" w:rsidP="00871B59">
      <w:pPr>
        <w:spacing w:after="0" w:line="276" w:lineRule="auto"/>
        <w:ind w:firstLine="709"/>
        <w:jc w:val="both"/>
        <w:rPr>
          <w:rFonts w:ascii="Century Gothic" w:eastAsia="Calibri" w:hAnsi="Century Gothic" w:cs="Arial"/>
          <w:color w:val="000000"/>
          <w:lang w:val="es-ES" w:eastAsia="es-ES"/>
        </w:rPr>
      </w:pPr>
      <w:r w:rsidRPr="00E43EBA">
        <w:rPr>
          <w:rFonts w:ascii="Century Gothic" w:eastAsia="Calibri" w:hAnsi="Century Gothic"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problema</w:t>
      </w:r>
      <w:r w:rsidR="00BF755C"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jurídico</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 xml:space="preserve">de su consulta. </w:t>
      </w:r>
    </w:p>
    <w:p w14:paraId="70187214" w14:textId="77777777" w:rsidR="00871B59" w:rsidRDefault="00871B59" w:rsidP="00871B59">
      <w:pPr>
        <w:spacing w:after="0" w:line="276" w:lineRule="auto"/>
        <w:ind w:firstLine="709"/>
        <w:jc w:val="both"/>
        <w:rPr>
          <w:rFonts w:ascii="Century Gothic" w:eastAsia="Calibri" w:hAnsi="Century Gothic" w:cs="Arial"/>
          <w:color w:val="000000"/>
          <w:lang w:val="es-ES" w:eastAsia="es-ES"/>
        </w:rPr>
      </w:pPr>
    </w:p>
    <w:p w14:paraId="6DBDE788" w14:textId="77777777" w:rsidR="00685FFD" w:rsidRPr="00E43EBA" w:rsidRDefault="00685FFD" w:rsidP="00871B59">
      <w:pPr>
        <w:spacing w:after="0" w:line="276" w:lineRule="auto"/>
        <w:ind w:firstLine="709"/>
        <w:jc w:val="both"/>
        <w:rPr>
          <w:rFonts w:ascii="Century Gothic" w:eastAsia="Calibri" w:hAnsi="Century Gothic" w:cs="Arial"/>
          <w:color w:val="000000"/>
          <w:lang w:val="es-ES" w:eastAsia="es-ES"/>
        </w:rPr>
      </w:pPr>
    </w:p>
    <w:p w14:paraId="74DD4DE4" w14:textId="77777777" w:rsidR="00871B59" w:rsidRPr="00E43EBA" w:rsidRDefault="00871B59" w:rsidP="00871B59">
      <w:pPr>
        <w:pStyle w:val="Prrafodelista"/>
        <w:numPr>
          <w:ilvl w:val="0"/>
          <w:numId w:val="4"/>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Problema planteado:</w:t>
      </w:r>
    </w:p>
    <w:p w14:paraId="212D4FF9" w14:textId="77777777" w:rsidR="00685FFD" w:rsidRPr="00E43EBA" w:rsidRDefault="00685FFD" w:rsidP="00871B59">
      <w:pPr>
        <w:tabs>
          <w:tab w:val="left" w:pos="426"/>
        </w:tabs>
        <w:spacing w:after="0" w:line="276" w:lineRule="auto"/>
        <w:jc w:val="both"/>
        <w:rPr>
          <w:rFonts w:ascii="Century Gothic" w:eastAsia="Century Gothic" w:hAnsi="Century Gothic" w:cs="Century Gothic"/>
          <w:lang w:val="es-ES"/>
        </w:rPr>
      </w:pPr>
    </w:p>
    <w:p w14:paraId="57640A16" w14:textId="734D49B6" w:rsidR="00871B59" w:rsidRPr="00CA53D6" w:rsidRDefault="00871B59" w:rsidP="00CA53D6">
      <w:pPr>
        <w:pStyle w:val="Textoindependiente"/>
        <w:spacing w:before="1" w:line="276" w:lineRule="auto"/>
        <w:ind w:right="306"/>
        <w:jc w:val="both"/>
      </w:pPr>
      <w:r w:rsidRPr="00E43EBA">
        <w:rPr>
          <w:rFonts w:ascii="Century Gothic" w:eastAsia="Century Gothic" w:hAnsi="Century Gothic" w:cs="Century Gothic"/>
        </w:rPr>
        <w:t xml:space="preserve">De acuerdo con el contenido de su solicitud, esta Agencia resolverá </w:t>
      </w:r>
      <w:r w:rsidR="00916160">
        <w:rPr>
          <w:rFonts w:ascii="Century Gothic" w:eastAsia="Century Gothic" w:hAnsi="Century Gothic" w:cs="Century Gothic"/>
        </w:rPr>
        <w:t>los</w:t>
      </w:r>
      <w:r w:rsidRPr="00E43EBA">
        <w:rPr>
          <w:rFonts w:ascii="Century Gothic" w:eastAsia="Century Gothic" w:hAnsi="Century Gothic" w:cs="Century Gothic"/>
        </w:rPr>
        <w:t xml:space="preserve"> siguiente</w:t>
      </w:r>
      <w:r w:rsidR="00916160">
        <w:rPr>
          <w:rFonts w:ascii="Century Gothic" w:eastAsia="Century Gothic" w:hAnsi="Century Gothic" w:cs="Century Gothic"/>
        </w:rPr>
        <w:t>s</w:t>
      </w:r>
      <w:r w:rsidR="00BF755C" w:rsidRPr="00E43EBA">
        <w:rPr>
          <w:rFonts w:ascii="Century Gothic" w:eastAsia="Century Gothic" w:hAnsi="Century Gothic" w:cs="Century Gothic"/>
        </w:rPr>
        <w:t xml:space="preserve"> </w:t>
      </w:r>
      <w:r w:rsidRPr="00E43EBA">
        <w:rPr>
          <w:rFonts w:ascii="Century Gothic" w:eastAsia="Century Gothic" w:hAnsi="Century Gothic" w:cs="Century Gothic"/>
        </w:rPr>
        <w:t>problema</w:t>
      </w:r>
      <w:r w:rsidR="00916160">
        <w:rPr>
          <w:rFonts w:ascii="Century Gothic" w:eastAsia="Century Gothic" w:hAnsi="Century Gothic" w:cs="Century Gothic"/>
        </w:rPr>
        <w:t>s</w:t>
      </w:r>
      <w:r w:rsidRPr="00E43EBA">
        <w:rPr>
          <w:rFonts w:ascii="Century Gothic" w:eastAsia="Century Gothic" w:hAnsi="Century Gothic" w:cs="Century Gothic"/>
        </w:rPr>
        <w:t xml:space="preserve"> jurídico: </w:t>
      </w:r>
      <w:r w:rsidR="00916160" w:rsidRPr="00916160">
        <w:rPr>
          <w:rFonts w:ascii="Century Gothic" w:eastAsia="Century Gothic" w:hAnsi="Century Gothic" w:cs="Century Gothic"/>
        </w:rPr>
        <w:t>¿</w:t>
      </w:r>
      <w:r w:rsidR="003675AB" w:rsidRPr="003675AB">
        <w:rPr>
          <w:rFonts w:ascii="Century Gothic" w:eastAsia="Century Gothic" w:hAnsi="Century Gothic" w:cs="Century Gothic"/>
        </w:rPr>
        <w:t xml:space="preserve">Cómo </w:t>
      </w:r>
      <w:r w:rsidR="00CA53D6">
        <w:rPr>
          <w:rFonts w:ascii="Century Gothic" w:eastAsia="Century Gothic" w:hAnsi="Century Gothic" w:cs="Century Gothic"/>
        </w:rPr>
        <w:t>se acredita</w:t>
      </w:r>
      <w:r w:rsidR="003675AB" w:rsidRPr="003675AB">
        <w:rPr>
          <w:rFonts w:ascii="Century Gothic" w:eastAsia="Century Gothic" w:hAnsi="Century Gothic" w:cs="Century Gothic"/>
        </w:rPr>
        <w:t xml:space="preserve"> </w:t>
      </w:r>
      <w:r w:rsidR="003675AB">
        <w:rPr>
          <w:rFonts w:ascii="Century Gothic" w:eastAsia="Century Gothic" w:hAnsi="Century Gothic" w:cs="Century Gothic"/>
        </w:rPr>
        <w:t xml:space="preserve">la capacidad financiera como </w:t>
      </w:r>
      <w:r w:rsidR="003675AB" w:rsidRPr="003675AB">
        <w:rPr>
          <w:rFonts w:ascii="Century Gothic" w:eastAsia="Century Gothic" w:hAnsi="Century Gothic" w:cs="Century Gothic"/>
        </w:rPr>
        <w:t>requisito habilitante</w:t>
      </w:r>
      <w:r w:rsidR="003675AB">
        <w:rPr>
          <w:rFonts w:ascii="Century Gothic" w:eastAsia="Century Gothic" w:hAnsi="Century Gothic" w:cs="Century Gothic"/>
        </w:rPr>
        <w:t xml:space="preserve"> en un Proceso de Contratación</w:t>
      </w:r>
      <w:r w:rsidR="003675AB" w:rsidRPr="003675AB">
        <w:rPr>
          <w:rFonts w:ascii="Century Gothic" w:eastAsia="Century Gothic" w:hAnsi="Century Gothic" w:cs="Century Gothic"/>
        </w:rPr>
        <w:t>?</w:t>
      </w:r>
      <w:r w:rsidR="00FB05D1" w:rsidRPr="00FB05D1">
        <w:rPr>
          <w:rFonts w:ascii="Century Gothic" w:eastAsia="Century Gothic" w:hAnsi="Century Gothic" w:cs="Century Gothic"/>
        </w:rPr>
        <w:t xml:space="preserve"> </w:t>
      </w:r>
      <w:r w:rsidR="00BF755C" w:rsidRPr="00E43EBA">
        <w:rPr>
          <w:rFonts w:ascii="Century Gothic" w:eastAsia="Century Gothic" w:hAnsi="Century Gothic" w:cs="Century Gothic"/>
        </w:rPr>
        <w:t xml:space="preserve"> </w:t>
      </w:r>
    </w:p>
    <w:p w14:paraId="5C57421A" w14:textId="77777777" w:rsidR="00685FFD" w:rsidRPr="00FE33B4" w:rsidRDefault="00685FFD" w:rsidP="00871B59">
      <w:pPr>
        <w:spacing w:after="0" w:line="276" w:lineRule="auto"/>
        <w:jc w:val="both"/>
        <w:rPr>
          <w:rFonts w:ascii="Century Gothic" w:eastAsia="Century Gothic" w:hAnsi="Century Gothic" w:cs="Century Gothic"/>
        </w:rPr>
      </w:pPr>
    </w:p>
    <w:p w14:paraId="33E3D3F8"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Respuesta:</w:t>
      </w:r>
    </w:p>
    <w:p w14:paraId="4647B31A" w14:textId="77777777" w:rsidR="00871B59" w:rsidRPr="00E43EBA"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E43EBA" w14:paraId="14984B9D" w14:textId="77777777" w:rsidTr="002607A7">
        <w:tc>
          <w:tcPr>
            <w:tcW w:w="8828" w:type="dxa"/>
            <w:shd w:val="clear" w:color="auto" w:fill="auto"/>
          </w:tcPr>
          <w:p w14:paraId="20F23DB3" w14:textId="318A5E1C" w:rsidR="003722F2" w:rsidRPr="003722F2" w:rsidRDefault="003722F2" w:rsidP="003722F2">
            <w:pPr>
              <w:spacing w:before="120" w:after="120" w:line="276" w:lineRule="auto"/>
              <w:jc w:val="both"/>
              <w:rPr>
                <w:rFonts w:ascii="Century Gothic" w:eastAsia="Calibri" w:hAnsi="Century Gothic" w:cs="Arial"/>
                <w:lang w:eastAsia="es-MX"/>
              </w:rPr>
            </w:pPr>
            <w:r>
              <w:rPr>
                <w:rFonts w:ascii="Century Gothic" w:eastAsia="Calibri" w:hAnsi="Century Gothic" w:cs="Arial"/>
                <w:lang w:eastAsia="es-MX"/>
              </w:rPr>
              <w:t>E</w:t>
            </w:r>
            <w:r w:rsidRPr="003722F2">
              <w:rPr>
                <w:rFonts w:ascii="Century Gothic" w:eastAsia="Calibri" w:hAnsi="Century Gothic" w:cs="Arial"/>
                <w:lang w:eastAsia="es-MX"/>
              </w:rPr>
              <w:t>s pertinente señalar que para establecer los requisitos habilitantes, correspondiente a la capacidad financiera dentro de un proceso de selección sometido al Estatuto General de Contratación de la Administración Pública</w:t>
            </w:r>
            <w:r w:rsidR="0048384B">
              <w:rPr>
                <w:rFonts w:ascii="Century Gothic" w:eastAsia="Calibri" w:hAnsi="Century Gothic" w:cs="Arial"/>
                <w:lang w:eastAsia="es-MX"/>
              </w:rPr>
              <w:t xml:space="preserve"> </w:t>
            </w:r>
            <w:r w:rsidRPr="003722F2">
              <w:rPr>
                <w:rFonts w:ascii="Century Gothic" w:eastAsia="Calibri" w:hAnsi="Century Gothic" w:cs="Arial"/>
                <w:lang w:eastAsia="es-MX"/>
              </w:rPr>
              <w:t>-</w:t>
            </w:r>
            <w:r w:rsidR="0048384B">
              <w:rPr>
                <w:rFonts w:ascii="Century Gothic" w:eastAsia="Calibri" w:hAnsi="Century Gothic" w:cs="Arial"/>
                <w:lang w:eastAsia="es-MX"/>
              </w:rPr>
              <w:t xml:space="preserve"> </w:t>
            </w:r>
            <w:r w:rsidRPr="003722F2">
              <w:rPr>
                <w:rFonts w:ascii="Century Gothic" w:eastAsia="Calibri" w:hAnsi="Century Gothic" w:cs="Arial"/>
                <w:lang w:eastAsia="es-MX"/>
              </w:rPr>
              <w:t>EGCAP, cada entidad al momento de estructurar el proceso de selección, es la responsable de definir los indicadores, de forma proporcional a la naturaleza y al valor del contrato, por lo que para ello deberá observarse los resultados del análisis del Sector y lo estructurado en los estudios previos para el respectivo Proceso de Contratación.  </w:t>
            </w:r>
          </w:p>
          <w:p w14:paraId="75D09D38" w14:textId="62DFD022" w:rsidR="003722F2" w:rsidRDefault="003722F2" w:rsidP="0048384B">
            <w:pPr>
              <w:spacing w:before="120" w:after="120" w:line="276" w:lineRule="auto"/>
              <w:jc w:val="both"/>
              <w:rPr>
                <w:rFonts w:ascii="Century Gothic" w:eastAsia="Calibri" w:hAnsi="Century Gothic" w:cs="Arial"/>
                <w:lang w:eastAsia="es-MX"/>
              </w:rPr>
            </w:pPr>
            <w:r w:rsidRPr="003722F2">
              <w:rPr>
                <w:rFonts w:ascii="Century Gothic" w:eastAsia="Calibri" w:hAnsi="Century Gothic" w:cs="Arial"/>
                <w:lang w:eastAsia="es-MX"/>
              </w:rPr>
              <w:t>En ese sentido, la entidad estatal deberá fijar las condiciones de los indicadores financieros con los que cuentan los posibles proponentes tanto en el estudio previo como en los documentos precontractuales, y evaluarlos en el momento oportuno conforme a lo estipulado en la normativa vigente. En consecuencia, son indicadores de la capacidad financiera los señalados en el artículo 2.2.1.1.1.5.3.</w:t>
            </w:r>
            <w:r w:rsidRPr="003722F2">
              <w:rPr>
                <w:rFonts w:ascii="Century Gothic" w:eastAsia="Calibri" w:hAnsi="Century Gothic" w:cs="Arial"/>
                <w:vertAlign w:val="superscript"/>
                <w:lang w:eastAsia="es-MX"/>
              </w:rPr>
              <w:t>1</w:t>
            </w:r>
            <w:r w:rsidRPr="003722F2">
              <w:rPr>
                <w:rFonts w:ascii="Century Gothic" w:eastAsia="Calibri" w:hAnsi="Century Gothic" w:cs="Arial"/>
                <w:lang w:eastAsia="es-MX"/>
              </w:rPr>
              <w:t xml:space="preserve"> del Decreto 1082 de 2015, los cuales permitirán escoger la oferta más favorable en cuanto al musculo financiero que requiere la entidad por parte del proveedor. </w:t>
            </w:r>
          </w:p>
          <w:p w14:paraId="2883061B" w14:textId="6FC05CE5" w:rsidR="003722F2" w:rsidRPr="003722F2" w:rsidRDefault="003722F2" w:rsidP="0048384B">
            <w:pPr>
              <w:spacing w:before="120" w:after="120" w:line="276" w:lineRule="auto"/>
              <w:jc w:val="both"/>
              <w:rPr>
                <w:rFonts w:ascii="Century Gothic" w:eastAsia="Calibri" w:hAnsi="Century Gothic" w:cs="Arial"/>
                <w:lang w:eastAsia="es-MX"/>
              </w:rPr>
            </w:pPr>
            <w:r w:rsidRPr="003722F2">
              <w:rPr>
                <w:rFonts w:ascii="Century Gothic" w:eastAsia="Calibri" w:hAnsi="Century Gothic" w:cs="Arial"/>
                <w:lang w:eastAsia="es-MX"/>
              </w:rPr>
              <w:t xml:space="preserve">En todo caso, </w:t>
            </w:r>
            <w:r w:rsidRPr="003722F2">
              <w:rPr>
                <w:rFonts w:ascii="Century Gothic" w:eastAsia="Calibri" w:hAnsi="Century Gothic" w:cs="Arial"/>
                <w:lang w:val="es-ES" w:eastAsia="es-MX"/>
              </w:rPr>
              <w:t xml:space="preserve">para evaluar la capacidad financiera, la entidad contratante, deberá </w:t>
            </w:r>
            <w:r w:rsidRPr="003722F2">
              <w:rPr>
                <w:rFonts w:ascii="Century Gothic" w:eastAsia="Calibri" w:hAnsi="Century Gothic" w:cs="Arial"/>
                <w:lang w:eastAsia="es-MX"/>
              </w:rPr>
              <w:t>verificar los requisitos requeridos en el pliego de condiciones, conforme a lo señalado el artículo 5 de la Ley 1150 de 2007 y el artículo 2.2.1.1.1.5.3 del Decreto 1082 de 2015. Es decir, a través del R</w:t>
            </w:r>
            <w:r w:rsidR="0048384B">
              <w:rPr>
                <w:rFonts w:ascii="Century Gothic" w:eastAsia="Calibri" w:hAnsi="Century Gothic" w:cs="Arial"/>
                <w:lang w:eastAsia="es-MX"/>
              </w:rPr>
              <w:t xml:space="preserve">egistro Único de </w:t>
            </w:r>
            <w:r w:rsidRPr="003722F2">
              <w:rPr>
                <w:rFonts w:ascii="Century Gothic" w:eastAsia="Calibri" w:hAnsi="Century Gothic" w:cs="Arial"/>
                <w:lang w:eastAsia="es-MX"/>
              </w:rPr>
              <w:t>P</w:t>
            </w:r>
            <w:r w:rsidR="0048384B">
              <w:rPr>
                <w:rFonts w:ascii="Century Gothic" w:eastAsia="Calibri" w:hAnsi="Century Gothic" w:cs="Arial"/>
                <w:lang w:eastAsia="es-MX"/>
              </w:rPr>
              <w:t>roponentes (RUP)</w:t>
            </w:r>
            <w:r w:rsidRPr="003722F2">
              <w:rPr>
                <w:rFonts w:ascii="Century Gothic" w:eastAsia="Calibri" w:hAnsi="Century Gothic" w:cs="Arial"/>
                <w:lang w:eastAsia="es-MX"/>
              </w:rPr>
              <w:t xml:space="preserve"> con los estados financieros del proponente, </w:t>
            </w:r>
            <w:r w:rsidRPr="003722F2">
              <w:rPr>
                <w:rFonts w:ascii="Century Gothic" w:eastAsia="Calibri" w:hAnsi="Century Gothic" w:cs="Arial"/>
                <w:b/>
                <w:bCs/>
                <w:lang w:eastAsia="es-MX"/>
              </w:rPr>
              <w:t>suscritos por el representante legal y el revisor fiscal, cuando aplique</w:t>
            </w:r>
            <w:r w:rsidRPr="003722F2">
              <w:rPr>
                <w:rFonts w:ascii="Century Gothic" w:eastAsia="Calibri" w:hAnsi="Century Gothic" w:cs="Arial"/>
                <w:lang w:eastAsia="es-MX"/>
              </w:rPr>
              <w:t>, de este modo, lo que se verifica con el registro es que el proponente tenga los indicadores financieros solicitados por la Entidad, que le permitan satisfacer la necesidad que se contratará una vez desarrollado el procedimiento de selección.  </w:t>
            </w:r>
          </w:p>
          <w:p w14:paraId="2B5F10B7" w14:textId="79110695" w:rsidR="0048384B" w:rsidRDefault="0048384B" w:rsidP="0048384B">
            <w:pPr>
              <w:spacing w:before="120" w:after="120" w:line="276" w:lineRule="auto"/>
              <w:jc w:val="both"/>
              <w:rPr>
                <w:rFonts w:ascii="Century Gothic" w:eastAsia="Calibri" w:hAnsi="Century Gothic" w:cs="Arial"/>
                <w:lang w:eastAsia="es-MX"/>
              </w:rPr>
            </w:pPr>
            <w:r>
              <w:rPr>
                <w:rFonts w:ascii="Century Gothic" w:eastAsia="Calibri" w:hAnsi="Century Gothic" w:cs="Arial"/>
                <w:lang w:eastAsia="es-MX"/>
              </w:rPr>
              <w:t>E</w:t>
            </w:r>
            <w:r w:rsidRPr="0048384B">
              <w:rPr>
                <w:rFonts w:ascii="Century Gothic" w:eastAsia="Calibri" w:hAnsi="Century Gothic" w:cs="Arial"/>
                <w:lang w:eastAsia="es-MX"/>
              </w:rPr>
              <w:t>n caso de que el proceso de contratación no requiera del Registro Único de Proponentes (RUP), los requisitos de capacidad financiera serán evaluados de acuerdo con la documentación que la entidad contratante disponga en el pliego de condiciones.</w:t>
            </w:r>
          </w:p>
          <w:p w14:paraId="063E3C1D" w14:textId="35C2082C" w:rsidR="003675AB" w:rsidRPr="003675AB" w:rsidRDefault="0048384B" w:rsidP="0048384B">
            <w:pPr>
              <w:spacing w:before="120" w:after="120" w:line="276" w:lineRule="auto"/>
              <w:jc w:val="both"/>
              <w:rPr>
                <w:rFonts w:ascii="Century Gothic" w:eastAsia="Calibri" w:hAnsi="Century Gothic" w:cs="Arial"/>
                <w:lang w:eastAsia="es-MX"/>
              </w:rPr>
            </w:pPr>
            <w:r>
              <w:rPr>
                <w:rFonts w:ascii="Century Gothic" w:eastAsia="Calibri" w:hAnsi="Century Gothic" w:cs="Arial"/>
                <w:lang w:eastAsia="es-MX"/>
              </w:rPr>
              <w:lastRenderedPageBreak/>
              <w:t>Por último, es necesario recordar que e</w:t>
            </w:r>
            <w:r w:rsidR="003675AB" w:rsidRPr="003675AB">
              <w:rPr>
                <w:rFonts w:ascii="Century Gothic" w:eastAsia="Calibri" w:hAnsi="Century Gothic" w:cs="Arial"/>
                <w:lang w:eastAsia="es-MX"/>
              </w:rPr>
              <w:t>sta Agencia puso a disposición de los interesados el “</w:t>
            </w:r>
            <w:r w:rsidR="003675AB" w:rsidRPr="003675AB">
              <w:rPr>
                <w:rFonts w:ascii="Century Gothic" w:eastAsia="Calibri" w:hAnsi="Century Gothic" w:cs="Arial"/>
                <w:i/>
                <w:iCs/>
                <w:lang w:eastAsia="es-MX"/>
              </w:rPr>
              <w:t>Manual para determinar y verificar los requisitos habilitantes en los procesos de contratación</w:t>
            </w:r>
            <w:r w:rsidR="003675AB" w:rsidRPr="003675AB">
              <w:rPr>
                <w:rFonts w:ascii="Century Gothic" w:eastAsia="Calibri" w:hAnsi="Century Gothic" w:cs="Arial"/>
                <w:lang w:eastAsia="es-MX"/>
              </w:rPr>
              <w:t>”</w:t>
            </w:r>
            <w:r w:rsidR="003675AB" w:rsidRPr="003675AB">
              <w:rPr>
                <w:rFonts w:ascii="Century Gothic" w:eastAsia="Calibri" w:hAnsi="Century Gothic" w:cs="Arial"/>
                <w:lang w:eastAsia="es-MX"/>
              </w:rPr>
              <w:footnoteReference w:id="2"/>
            </w:r>
            <w:r w:rsidR="003675AB" w:rsidRPr="003675AB">
              <w:rPr>
                <w:rFonts w:ascii="Century Gothic" w:eastAsia="Calibri" w:hAnsi="Century Gothic" w:cs="Arial"/>
                <w:lang w:eastAsia="es-MX"/>
              </w:rPr>
              <w:t>. En dicho Manual se plantean definiciones para cada requisito habilitante y se indican lineamientos orientadores que la Entidad Estatal puede considerar para establecerlos, pero en todo caso es ella quien los define, de forma proporcional a la naturaleza y al valor del contrato, por lo que para ello deberán observarse los resultados de los Estudios del Sector que se hayan realizado para el respectivo Proceso de Contratación.</w:t>
            </w:r>
          </w:p>
          <w:p w14:paraId="47AEB666" w14:textId="315ADF88" w:rsidR="003675AB" w:rsidRPr="003675AB" w:rsidRDefault="003675AB" w:rsidP="003675AB">
            <w:pPr>
              <w:spacing w:after="120" w:line="276" w:lineRule="auto"/>
              <w:jc w:val="both"/>
              <w:rPr>
                <w:rFonts w:ascii="Century Gothic" w:eastAsia="Calibri" w:hAnsi="Century Gothic" w:cs="Arial"/>
                <w:lang w:val="es-ES_tradnl" w:eastAsia="es-MX"/>
              </w:rPr>
            </w:pPr>
          </w:p>
        </w:tc>
      </w:tr>
    </w:tbl>
    <w:p w14:paraId="3199705F" w14:textId="77777777" w:rsidR="00871B59" w:rsidRPr="00E43EBA"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p w14:paraId="6678B80A"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Razones de la respuesta:</w:t>
      </w:r>
    </w:p>
    <w:p w14:paraId="40393512" w14:textId="77777777" w:rsidR="00871B59" w:rsidRPr="00E43EBA" w:rsidRDefault="00871B59" w:rsidP="00871B59">
      <w:pPr>
        <w:spacing w:after="0" w:line="276" w:lineRule="auto"/>
        <w:jc w:val="both"/>
        <w:rPr>
          <w:rFonts w:ascii="Century Gothic" w:eastAsia="Calibri" w:hAnsi="Century Gothic" w:cs="Arial"/>
          <w:color w:val="7030A0"/>
          <w:lang w:val="es-ES"/>
        </w:rPr>
      </w:pPr>
    </w:p>
    <w:p w14:paraId="6DB5BA6B" w14:textId="77777777" w:rsidR="00871B59" w:rsidRPr="00E43EBA" w:rsidRDefault="00871B59" w:rsidP="00871B59">
      <w:pPr>
        <w:spacing w:after="0" w:line="276" w:lineRule="auto"/>
        <w:jc w:val="both"/>
        <w:rPr>
          <w:rFonts w:ascii="Century Gothic" w:eastAsia="Calibri" w:hAnsi="Century Gothic" w:cs="Arial"/>
          <w:lang w:val="es-ES"/>
        </w:rPr>
      </w:pPr>
      <w:r w:rsidRPr="00E43EBA">
        <w:rPr>
          <w:rFonts w:ascii="Century Gothic" w:eastAsia="Calibri" w:hAnsi="Century Gothic" w:cs="Arial"/>
          <w:lang w:val="es-ES"/>
        </w:rPr>
        <w:t xml:space="preserve">Lo anterior se sustenta en las siguientes consideraciones: </w:t>
      </w:r>
    </w:p>
    <w:p w14:paraId="6FBD94A1" w14:textId="77777777" w:rsidR="00871B59" w:rsidRPr="009E35E3" w:rsidRDefault="00871B59" w:rsidP="00871B59">
      <w:pPr>
        <w:spacing w:after="0" w:line="276" w:lineRule="auto"/>
        <w:jc w:val="both"/>
        <w:rPr>
          <w:rFonts w:ascii="Century Gothic" w:eastAsia="Calibri" w:hAnsi="Century Gothic" w:cs="Arial"/>
          <w:lang w:val="es-ES"/>
        </w:rPr>
      </w:pPr>
    </w:p>
    <w:p w14:paraId="7AA7DC5A" w14:textId="77777777" w:rsidR="003675AB" w:rsidRPr="003675AB" w:rsidRDefault="003675AB" w:rsidP="003675AB">
      <w:pPr>
        <w:pStyle w:val="Prrafodelista"/>
        <w:numPr>
          <w:ilvl w:val="0"/>
          <w:numId w:val="19"/>
        </w:numPr>
        <w:spacing w:after="120" w:line="276" w:lineRule="auto"/>
        <w:jc w:val="both"/>
        <w:rPr>
          <w:rFonts w:ascii="Century Gothic" w:eastAsia="Calibri" w:hAnsi="Century Gothic" w:cs="Arial"/>
          <w:color w:val="000000" w:themeColor="text1"/>
          <w:lang w:val="es-ES_tradnl" w:eastAsia="es-ES_tradnl"/>
        </w:rPr>
      </w:pPr>
      <w:r w:rsidRPr="003675AB">
        <w:rPr>
          <w:rFonts w:ascii="Century Gothic" w:eastAsia="Calibri" w:hAnsi="Century Gothic" w:cs="Arial"/>
          <w:color w:val="000000" w:themeColor="text1"/>
          <w:lang w:val="es-ES_tradnl" w:eastAsia="es-ES_tradnl"/>
        </w:rPr>
        <w:t xml:space="preserve">Los </w:t>
      </w:r>
      <w:r w:rsidRPr="003675AB">
        <w:rPr>
          <w:rFonts w:ascii="Century Gothic" w:eastAsia="Calibri" w:hAnsi="Century Gothic" w:cs="Arial"/>
          <w:i/>
          <w:iCs/>
          <w:color w:val="000000" w:themeColor="text1"/>
          <w:lang w:val="es-ES_tradnl" w:eastAsia="es-ES_tradnl"/>
        </w:rPr>
        <w:t>requisitos habilitantes</w:t>
      </w:r>
      <w:r w:rsidRPr="003675AB">
        <w:rPr>
          <w:rFonts w:ascii="Century Gothic" w:eastAsia="Calibri" w:hAnsi="Century Gothic" w:cs="Arial"/>
          <w:color w:val="000000" w:themeColor="text1"/>
          <w:lang w:val="es-ES_tradnl" w:eastAsia="es-ES_tradnl"/>
        </w:rPr>
        <w:t xml:space="preserve"> se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 Se diferencian de los </w:t>
      </w:r>
      <w:r w:rsidRPr="003675AB">
        <w:rPr>
          <w:rFonts w:ascii="Century Gothic" w:eastAsia="Calibri" w:hAnsi="Century Gothic" w:cs="Arial"/>
          <w:i/>
          <w:iCs/>
          <w:color w:val="000000" w:themeColor="text1"/>
          <w:lang w:val="es-ES_tradnl" w:eastAsia="es-ES_tradnl"/>
        </w:rPr>
        <w:t>criterios de evaluación</w:t>
      </w:r>
      <w:r w:rsidRPr="003675AB">
        <w:rPr>
          <w:rFonts w:ascii="Century Gothic" w:eastAsia="Calibri" w:hAnsi="Century Gothic" w:cs="Arial"/>
          <w:color w:val="000000" w:themeColor="text1"/>
          <w:lang w:val="es-ES_tradnl" w:eastAsia="es-ES_tradnl"/>
        </w:rPr>
        <w:t xml:space="preserve"> –también conocidos como </w:t>
      </w:r>
      <w:r w:rsidRPr="003675AB">
        <w:rPr>
          <w:rFonts w:ascii="Century Gothic" w:eastAsia="Calibri" w:hAnsi="Century Gothic" w:cs="Arial"/>
          <w:i/>
          <w:iCs/>
          <w:color w:val="000000" w:themeColor="text1"/>
          <w:lang w:val="es-ES_tradnl" w:eastAsia="es-ES_tradnl"/>
        </w:rPr>
        <w:t>criterios de calificación</w:t>
      </w:r>
      <w:r w:rsidRPr="003675AB">
        <w:rPr>
          <w:rFonts w:ascii="Century Gothic" w:eastAsia="Calibri" w:hAnsi="Century Gothic" w:cs="Arial"/>
          <w:color w:val="000000" w:themeColor="text1"/>
          <w:lang w:val="es-ES_tradnl" w:eastAsia="es-ES_tradn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14BD580B" w14:textId="77777777" w:rsidR="003675AB" w:rsidRPr="003675AB" w:rsidRDefault="003675AB" w:rsidP="330CE3FD">
      <w:pPr>
        <w:pStyle w:val="Prrafodelista"/>
        <w:numPr>
          <w:ilvl w:val="0"/>
          <w:numId w:val="19"/>
        </w:numPr>
        <w:spacing w:after="120" w:line="276" w:lineRule="auto"/>
        <w:jc w:val="both"/>
        <w:rPr>
          <w:rFonts w:ascii="Century Gothic" w:eastAsia="Calibri" w:hAnsi="Century Gothic" w:cs="Arial"/>
          <w:color w:val="000000" w:themeColor="text1"/>
          <w:lang w:val="es-ES" w:eastAsia="es-ES"/>
        </w:rPr>
      </w:pPr>
      <w:r w:rsidRPr="330CE3FD">
        <w:rPr>
          <w:rFonts w:ascii="Century Gothic" w:eastAsia="Calibri" w:hAnsi="Century Gothic" w:cs="Arial"/>
          <w:color w:val="000000" w:themeColor="text1"/>
          <w:lang w:val="es-ES" w:eastAsia="es-ES"/>
        </w:rPr>
        <w:t xml:space="preserve">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w:t>
      </w:r>
      <w:r w:rsidRPr="330CE3FD">
        <w:rPr>
          <w:rFonts w:ascii="Century Gothic" w:eastAsia="Calibri" w:hAnsi="Century Gothic" w:cs="Arial"/>
          <w:color w:val="000000" w:themeColor="text1"/>
          <w:lang w:val="es-ES" w:eastAsia="es-ES"/>
        </w:rPr>
        <w:lastRenderedPageBreak/>
        <w:t>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3EE74E7A" w14:textId="77777777" w:rsidR="003675AB" w:rsidRPr="003675AB" w:rsidRDefault="003675AB" w:rsidP="330CE3FD">
      <w:pPr>
        <w:pStyle w:val="Prrafodelista"/>
        <w:numPr>
          <w:ilvl w:val="0"/>
          <w:numId w:val="19"/>
        </w:numPr>
        <w:spacing w:after="0" w:line="276" w:lineRule="auto"/>
        <w:jc w:val="both"/>
        <w:rPr>
          <w:rFonts w:ascii="Century Gothic" w:eastAsia="Calibri" w:hAnsi="Century Gothic" w:cs="Arial"/>
          <w:color w:val="000000" w:themeColor="text1"/>
          <w:lang w:val="es-ES" w:eastAsia="es-ES"/>
        </w:rPr>
      </w:pPr>
      <w:r w:rsidRPr="330CE3FD">
        <w:rPr>
          <w:rFonts w:ascii="Century Gothic" w:eastAsia="Calibri" w:hAnsi="Century Gothic" w:cs="Arial"/>
          <w:color w:val="000000" w:themeColor="text1"/>
          <w:lang w:val="es-ES" w:eastAsia="es-ES"/>
        </w:rPr>
        <w:t xml:space="preserve">El mencionado artículo dispone que se considera </w:t>
      </w:r>
      <w:r w:rsidRPr="330CE3FD">
        <w:rPr>
          <w:rFonts w:ascii="Century Gothic" w:eastAsia="Calibri" w:hAnsi="Century Gothic" w:cs="Arial"/>
          <w:i/>
          <w:iCs/>
          <w:color w:val="000000" w:themeColor="text1"/>
          <w:lang w:val="es-ES" w:eastAsia="es-ES"/>
        </w:rPr>
        <w:t>“objetiva la selección en la cual la escogencia se haga al ofrecimiento más favorable a la entidad y a los fines que ella busca, sin tener en consideración factores de afecto o de interés y, en general, cualquier clase de motivación subjetiva”.</w:t>
      </w:r>
      <w:r w:rsidRPr="330CE3FD">
        <w:rPr>
          <w:rFonts w:ascii="Century Gothic" w:eastAsia="Calibri" w:hAnsi="Century Gothic" w:cs="Arial"/>
          <w:color w:val="000000" w:themeColor="text1"/>
          <w:lang w:val="es-ES" w:eastAsia="es-ES"/>
        </w:rPr>
        <w:t xml:space="preserve"> En ese contexto, los factores de escogencia y calificación que establezcan las entidades en los pliegos de condiciones o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w:t>
      </w:r>
      <w:r w:rsidRPr="330CE3FD">
        <w:rPr>
          <w:rFonts w:ascii="Century Gothic" w:eastAsia="Calibri" w:hAnsi="Century Gothic" w:cs="Arial"/>
          <w:i/>
          <w:iCs/>
          <w:color w:val="000000" w:themeColor="text1"/>
          <w:lang w:val="es-ES" w:eastAsia="es-ES"/>
        </w:rPr>
        <w:t>entre otros</w:t>
      </w:r>
      <w:r w:rsidRPr="330CE3FD">
        <w:rPr>
          <w:rFonts w:ascii="Century Gothic" w:eastAsia="Calibri" w:hAnsi="Century Gothic" w:cs="Arial"/>
          <w:color w:val="000000" w:themeColor="text1"/>
          <w:lang w:val="es-ES" w:eastAsia="es-ES"/>
        </w:rPr>
        <w:t xml:space="preserve">, los siguientes: i) la capacidad jurídica; </w:t>
      </w:r>
      <w:proofErr w:type="spellStart"/>
      <w:r w:rsidRPr="330CE3FD">
        <w:rPr>
          <w:rFonts w:ascii="Century Gothic" w:eastAsia="Calibri" w:hAnsi="Century Gothic" w:cs="Arial"/>
          <w:color w:val="000000" w:themeColor="text1"/>
          <w:lang w:val="es-ES" w:eastAsia="es-ES"/>
        </w:rPr>
        <w:t>ii</w:t>
      </w:r>
      <w:proofErr w:type="spellEnd"/>
      <w:r w:rsidRPr="330CE3FD">
        <w:rPr>
          <w:rFonts w:ascii="Century Gothic" w:eastAsia="Calibri" w:hAnsi="Century Gothic" w:cs="Arial"/>
          <w:color w:val="000000" w:themeColor="text1"/>
          <w:lang w:val="es-ES" w:eastAsia="es-ES"/>
        </w:rPr>
        <w:t xml:space="preserve">) la experiencia; </w:t>
      </w:r>
      <w:proofErr w:type="spellStart"/>
      <w:r w:rsidRPr="330CE3FD">
        <w:rPr>
          <w:rFonts w:ascii="Century Gothic" w:eastAsia="Calibri" w:hAnsi="Century Gothic" w:cs="Arial"/>
          <w:color w:val="000000" w:themeColor="text1"/>
          <w:lang w:val="es-ES" w:eastAsia="es-ES"/>
        </w:rPr>
        <w:t>iii</w:t>
      </w:r>
      <w:proofErr w:type="spellEnd"/>
      <w:r w:rsidRPr="330CE3FD">
        <w:rPr>
          <w:rFonts w:ascii="Century Gothic" w:eastAsia="Calibri" w:hAnsi="Century Gothic" w:cs="Arial"/>
          <w:color w:val="000000" w:themeColor="text1"/>
          <w:lang w:val="es-ES" w:eastAsia="es-ES"/>
        </w:rPr>
        <w:t xml:space="preserve">) la capacidad financiera y </w:t>
      </w:r>
      <w:proofErr w:type="spellStart"/>
      <w:r w:rsidRPr="330CE3FD">
        <w:rPr>
          <w:rFonts w:ascii="Century Gothic" w:eastAsia="Calibri" w:hAnsi="Century Gothic" w:cs="Arial"/>
          <w:color w:val="000000" w:themeColor="text1"/>
          <w:lang w:val="es-ES" w:eastAsia="es-ES"/>
        </w:rPr>
        <w:t>iv</w:t>
      </w:r>
      <w:proofErr w:type="spellEnd"/>
      <w:r w:rsidRPr="330CE3FD">
        <w:rPr>
          <w:rFonts w:ascii="Century Gothic" w:eastAsia="Calibri" w:hAnsi="Century Gothic" w:cs="Arial"/>
          <w:color w:val="000000" w:themeColor="text1"/>
          <w:lang w:val="es-ES" w:eastAsia="es-ES"/>
        </w:rPr>
        <w:t>) la capacidad de organización. En efecto, la normativa citada prescribe lo siguiente:</w:t>
      </w:r>
    </w:p>
    <w:p w14:paraId="4ABA65CD" w14:textId="77777777" w:rsidR="003675AB" w:rsidRPr="003675AB" w:rsidRDefault="003675AB" w:rsidP="003675AB">
      <w:pPr>
        <w:spacing w:after="0" w:line="276" w:lineRule="auto"/>
        <w:ind w:firstLine="709"/>
        <w:jc w:val="both"/>
        <w:rPr>
          <w:rFonts w:ascii="Century Gothic" w:eastAsia="Calibri" w:hAnsi="Century Gothic" w:cs="Arial"/>
          <w:color w:val="000000" w:themeColor="text1"/>
          <w:lang w:val="es-ES_tradnl" w:eastAsia="es-ES_tradnl"/>
        </w:rPr>
      </w:pPr>
      <w:r w:rsidRPr="003675AB">
        <w:rPr>
          <w:rFonts w:ascii="Century Gothic" w:eastAsia="Calibri" w:hAnsi="Century Gothic" w:cs="Arial"/>
          <w:color w:val="000000" w:themeColor="text1"/>
          <w:lang w:val="es-ES_tradnl" w:eastAsia="es-ES_tradnl"/>
        </w:rPr>
        <w:t xml:space="preserve"> </w:t>
      </w:r>
    </w:p>
    <w:p w14:paraId="6BE04E40" w14:textId="77777777" w:rsidR="003675AB" w:rsidRPr="006B76D4" w:rsidRDefault="003675AB" w:rsidP="003675AB">
      <w:pPr>
        <w:spacing w:after="0" w:line="240" w:lineRule="auto"/>
        <w:ind w:left="1134" w:right="709"/>
        <w:jc w:val="both"/>
        <w:rPr>
          <w:rFonts w:ascii="Century Gothic" w:eastAsia="Calibri" w:hAnsi="Century Gothic" w:cs="Arial"/>
          <w:color w:val="000000" w:themeColor="text1"/>
          <w:sz w:val="20"/>
          <w:szCs w:val="20"/>
          <w:lang w:val="es-ES_tradnl" w:eastAsia="es-ES_tradnl"/>
        </w:rPr>
      </w:pPr>
      <w:r w:rsidRPr="006B76D4">
        <w:rPr>
          <w:rFonts w:ascii="Century Gothic" w:eastAsia="Calibri" w:hAnsi="Century Gothic" w:cs="Arial"/>
          <w:i/>
          <w:iCs/>
          <w:color w:val="000000" w:themeColor="text1"/>
          <w:sz w:val="20"/>
          <w:szCs w:val="20"/>
          <w:lang w:val="es-ES_tradnl" w:eastAsia="es-ES_tradnl"/>
        </w:rPr>
        <w:t>“</w:t>
      </w:r>
      <w:r w:rsidRPr="006B76D4">
        <w:rPr>
          <w:rFonts w:ascii="Century Gothic" w:eastAsia="Calibri" w:hAnsi="Century Gothic" w:cs="Arial"/>
          <w:color w:val="000000" w:themeColor="text1"/>
          <w:sz w:val="20"/>
          <w:szCs w:val="20"/>
          <w:lang w:val="es-ES_tradnl" w:eastAsia="es-ES_tradnl"/>
        </w:rPr>
        <w:t xml:space="preserve">Artículo 5. De la Selección Objetiva. </w:t>
      </w:r>
    </w:p>
    <w:p w14:paraId="1726D2DB" w14:textId="77777777" w:rsidR="003675AB" w:rsidRPr="006B76D4" w:rsidRDefault="003675AB" w:rsidP="003675AB">
      <w:pPr>
        <w:spacing w:after="0" w:line="240" w:lineRule="auto"/>
        <w:ind w:left="1134" w:right="709"/>
        <w:jc w:val="both"/>
        <w:rPr>
          <w:rFonts w:ascii="Century Gothic" w:eastAsia="Calibri" w:hAnsi="Century Gothic" w:cs="Arial"/>
          <w:color w:val="000000" w:themeColor="text1"/>
          <w:sz w:val="20"/>
          <w:szCs w:val="20"/>
          <w:lang w:val="es-ES_tradnl" w:eastAsia="es-ES_tradnl"/>
        </w:rPr>
      </w:pPr>
      <w:r w:rsidRPr="006B76D4">
        <w:rPr>
          <w:rFonts w:ascii="Century Gothic" w:eastAsia="Calibri" w:hAnsi="Century Gothic" w:cs="Arial"/>
          <w:color w:val="000000" w:themeColor="text1"/>
          <w:sz w:val="20"/>
          <w:szCs w:val="20"/>
          <w:lang w:val="es-ES_tradnl" w:eastAsia="es-ES_tradnl"/>
        </w:rPr>
        <w:t>[…]</w:t>
      </w:r>
    </w:p>
    <w:p w14:paraId="4773DAB9" w14:textId="2867710C" w:rsidR="003675AB" w:rsidRPr="006B76D4" w:rsidRDefault="003675AB" w:rsidP="330CE3FD">
      <w:pPr>
        <w:pStyle w:val="Prrafodelista"/>
        <w:numPr>
          <w:ilvl w:val="0"/>
          <w:numId w:val="22"/>
        </w:numPr>
        <w:spacing w:after="0" w:line="240" w:lineRule="auto"/>
        <w:ind w:right="709"/>
        <w:jc w:val="both"/>
        <w:rPr>
          <w:rFonts w:ascii="Century Gothic" w:eastAsia="Calibri" w:hAnsi="Century Gothic" w:cs="Arial"/>
          <w:color w:val="000000" w:themeColor="text1"/>
          <w:sz w:val="20"/>
          <w:szCs w:val="20"/>
          <w:lang w:val="es-ES"/>
        </w:rPr>
      </w:pPr>
      <w:r w:rsidRPr="330CE3FD">
        <w:rPr>
          <w:rFonts w:ascii="Century Gothic" w:eastAsia="Calibri" w:hAnsi="Century Gothic" w:cs="Arial"/>
          <w:color w:val="000000" w:themeColor="text1"/>
          <w:sz w:val="20"/>
          <w:szCs w:val="20"/>
          <w:lang w:val="es-ES"/>
        </w:rPr>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51A0FF1A" w14:textId="77777777" w:rsidR="006B76D4" w:rsidRPr="006B76D4" w:rsidRDefault="006B76D4" w:rsidP="006B76D4">
      <w:pPr>
        <w:pStyle w:val="Prrafodelista"/>
        <w:spacing w:after="0" w:line="240" w:lineRule="auto"/>
        <w:ind w:left="1494" w:right="709"/>
        <w:jc w:val="both"/>
        <w:rPr>
          <w:rFonts w:ascii="Century Gothic" w:eastAsia="Calibri" w:hAnsi="Century Gothic" w:cs="Arial"/>
          <w:color w:val="000000" w:themeColor="text1"/>
          <w:sz w:val="20"/>
          <w:szCs w:val="20"/>
          <w:lang w:val="es-ES_tradnl"/>
        </w:rPr>
      </w:pPr>
    </w:p>
    <w:p w14:paraId="473B46E2" w14:textId="6D202DB9" w:rsidR="003675AB" w:rsidRPr="003675AB" w:rsidRDefault="003675AB" w:rsidP="003675AB">
      <w:pPr>
        <w:pStyle w:val="Prrafodelista"/>
        <w:numPr>
          <w:ilvl w:val="0"/>
          <w:numId w:val="21"/>
        </w:numPr>
        <w:spacing w:after="120" w:line="276" w:lineRule="auto"/>
        <w:jc w:val="both"/>
        <w:rPr>
          <w:rFonts w:ascii="Century Gothic" w:eastAsia="Calibri" w:hAnsi="Century Gothic" w:cs="Arial"/>
          <w:lang w:val="es-MX"/>
        </w:rPr>
      </w:pPr>
      <w:r w:rsidRPr="003675AB">
        <w:rPr>
          <w:rFonts w:ascii="Century Gothic" w:eastAsia="Calibri" w:hAnsi="Century Gothic" w:cs="Arial"/>
          <w:lang w:val="es-MX"/>
        </w:rPr>
        <w:t xml:space="preserve">Una vez fijados los requisitos habilitantes por la Entidad Estatal, quienes presenten ofertas deben acreditar que cumplen con los mismos, pues, en el evento contrario, las propuestas deberán ser rechazadas. El ente encargado de verificar el cumplimiento por parte de los proponentes sobre los requisitos </w:t>
      </w:r>
      <w:r w:rsidRPr="003675AB">
        <w:rPr>
          <w:rFonts w:ascii="Century Gothic" w:eastAsia="Calibri" w:hAnsi="Century Gothic" w:cs="Arial"/>
          <w:lang w:val="es-MX"/>
        </w:rPr>
        <w:lastRenderedPageBreak/>
        <w:t>que haya considerado la entidad como habilitantes será la Cámara de Comercio, esto en la medida en que, mediante el Registro Único de Proponentes –RUP</w:t>
      </w:r>
      <w:r w:rsidRPr="003675AB">
        <w:rPr>
          <w:rFonts w:ascii="Century Gothic" w:hAnsi="Century Gothic"/>
          <w:color w:val="000000" w:themeColor="text1"/>
          <w:vertAlign w:val="superscript"/>
          <w:lang w:val="es-ES_tradnl" w:eastAsia="es-ES_tradnl"/>
        </w:rPr>
        <w:footnoteReference w:id="3"/>
      </w:r>
      <w:r w:rsidRPr="003675AB">
        <w:rPr>
          <w:rFonts w:ascii="Century Gothic" w:eastAsia="Calibri" w:hAnsi="Century Gothic" w:cs="Arial"/>
          <w:lang w:val="es-MX"/>
        </w:rPr>
        <w:t xml:space="preserve">–, se pondrá de presente toda la información relacionada con la experiencia, capacidad jurídica, capacidad financiera y organizacional, así como la clasificación del proponente. </w:t>
      </w:r>
    </w:p>
    <w:p w14:paraId="23D008E3" w14:textId="77777777" w:rsidR="003675AB" w:rsidRPr="003675AB" w:rsidRDefault="003675AB" w:rsidP="003675AB">
      <w:pPr>
        <w:pStyle w:val="Prrafodelista"/>
        <w:numPr>
          <w:ilvl w:val="0"/>
          <w:numId w:val="21"/>
        </w:numPr>
        <w:spacing w:after="120" w:line="276" w:lineRule="auto"/>
        <w:jc w:val="both"/>
        <w:rPr>
          <w:rFonts w:ascii="Century Gothic" w:eastAsia="Calibri" w:hAnsi="Century Gothic" w:cs="Arial"/>
          <w:lang w:val="es-MX"/>
        </w:rPr>
      </w:pPr>
      <w:r w:rsidRPr="003675AB">
        <w:rPr>
          <w:rFonts w:ascii="Century Gothic" w:eastAsia="Calibri" w:hAnsi="Century Gothic" w:cs="Arial"/>
          <w:lang w:val="es-MX"/>
        </w:rPr>
        <w:t xml:space="preserve">El artículo 6 de la Ley 1150 de 2007, que regula los sujetos que deben inscribirse en el RUP, señaló que deben hacerlo las personas naturales o jurídicas, nacionales o extranjeras que tengan domicilio o sucursal en el país. Estas personas tienen la obligación de registrarse en el RUP, en dos casos: a) cuando pretendan celebrar contratos estatales y b) si el procedimiento de contratación es de aquellos en los cuales no se exceptúa el RUP, de acuerdo con el inciso segundo del artículo 6 de la Ley 1150 de 2007 –contratación directa, contratos para la prestación de servicios de salud, contratos de mínima cuantía, entre otros puestos de presente por la norma–. De esto se desprende que las personas extranjeras sin domicilio o sucursal en Colombia que pretendan celebrar contratos con el Estado colombiano no están obligadas a inscribirse en el RUP, puesto que, tratándose de proponentes extranjeros la norma únicamente señala como obligados a quienes tengan domicilio o sucursal en el país. En consecuencia, este tipo de proponentes extranjeros deberán acreditar la experiencia y los demás requisitos habilitantes exigidos en los procesos de selección de contratación pública en los que participen mediante la presentación de los documentos que cumplan con los requisitos de validez dispuestos por la ley y el pliego de </w:t>
      </w:r>
      <w:r w:rsidRPr="003675AB">
        <w:rPr>
          <w:rFonts w:ascii="Century Gothic" w:eastAsia="Calibri" w:hAnsi="Century Gothic" w:cs="Arial"/>
          <w:lang w:val="es-MX"/>
        </w:rPr>
        <w:lastRenderedPageBreak/>
        <w:t>condiciones que haya determinado previamente la Entidad Estatal, para que sirvan de prueba, y la Entidad Estatal deberá realizar una verificación directa del cumplimiento de los requisitos habilitantes.</w:t>
      </w:r>
    </w:p>
    <w:p w14:paraId="55D0319C" w14:textId="36778FAF" w:rsidR="003675AB" w:rsidRPr="003675AB" w:rsidRDefault="003675AB" w:rsidP="003675AB">
      <w:pPr>
        <w:pStyle w:val="Prrafodelista"/>
        <w:numPr>
          <w:ilvl w:val="0"/>
          <w:numId w:val="21"/>
        </w:numPr>
        <w:spacing w:after="120" w:line="276" w:lineRule="auto"/>
        <w:jc w:val="both"/>
        <w:rPr>
          <w:rFonts w:ascii="Century Gothic" w:eastAsia="Calibri" w:hAnsi="Century Gothic" w:cs="Arial"/>
          <w:lang w:val="es-MX"/>
        </w:rPr>
      </w:pPr>
      <w:r w:rsidRPr="003675AB">
        <w:rPr>
          <w:rFonts w:ascii="Century Gothic" w:eastAsia="Calibri" w:hAnsi="Century Gothic" w:cs="Arial"/>
          <w:color w:val="000000"/>
          <w:lang w:val="es-MX" w:eastAsia="es-ES_tradnl"/>
        </w:rPr>
        <w:t xml:space="preserve">Ahora bien, dentro de los requisitos habilitantes se destaca la capacidad financiera, la cual </w:t>
      </w:r>
      <w:r w:rsidRPr="003675AB">
        <w:rPr>
          <w:rFonts w:ascii="Century Gothic" w:eastAsia="Calibri" w:hAnsi="Century Gothic" w:cs="Arial"/>
          <w:lang w:val="es-MX"/>
        </w:rPr>
        <w:t xml:space="preserve">se deriva del comportamiento contable de la empresa, su liquidez y endeudamiento, para determinar que sus recursos y solidez financiera le permita cumplir los compromisos que adquiera. Como explica esta Agencia en el </w:t>
      </w:r>
      <w:r w:rsidRPr="003675AB">
        <w:rPr>
          <w:rFonts w:ascii="Century Gothic" w:eastAsia="Calibri" w:hAnsi="Century Gothic" w:cs="Arial"/>
          <w:i/>
          <w:iCs/>
          <w:lang w:val="es-MX"/>
        </w:rPr>
        <w:t>Manual para determinar y verificar los requisitos habilitantes en los procesos de contratación</w:t>
      </w:r>
      <w:r w:rsidRPr="003675AB">
        <w:rPr>
          <w:rFonts w:ascii="Century Gothic" w:eastAsia="Calibri" w:hAnsi="Century Gothic" w:cs="Arial"/>
          <w:lang w:val="es-MX"/>
        </w:rPr>
        <w:t xml:space="preserve">: </w:t>
      </w:r>
      <w:r w:rsidRPr="003675AB">
        <w:rPr>
          <w:rFonts w:ascii="Century Gothic" w:eastAsia="Calibri" w:hAnsi="Century Gothic" w:cs="Arial"/>
          <w:i/>
          <w:iCs/>
          <w:lang w:val="es-MX"/>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3675AB">
        <w:rPr>
          <w:rFonts w:ascii="Century Gothic" w:hAnsi="Century Gothic"/>
          <w:i/>
          <w:iCs/>
          <w:color w:val="000000"/>
          <w:vertAlign w:val="superscript"/>
          <w:lang w:val="es-ES_tradnl" w:eastAsia="es-ES_tradnl"/>
        </w:rPr>
        <w:footnoteReference w:id="4"/>
      </w:r>
      <w:r w:rsidRPr="003675AB">
        <w:rPr>
          <w:rFonts w:ascii="Century Gothic" w:eastAsia="Calibri" w:hAnsi="Century Gothic" w:cs="Arial"/>
          <w:i/>
          <w:iCs/>
          <w:color w:val="000000"/>
          <w:lang w:val="es-ES_tradnl" w:eastAsia="es-ES_tradnl"/>
        </w:rPr>
        <w:t>.</w:t>
      </w:r>
      <w:r w:rsidRPr="003675AB">
        <w:rPr>
          <w:rFonts w:ascii="Century Gothic" w:eastAsia="Calibri" w:hAnsi="Century Gothic" w:cs="Arial"/>
          <w:color w:val="000000"/>
          <w:lang w:val="es-MX" w:eastAsia="es-ES_tradnl"/>
        </w:rPr>
        <w:t xml:space="preserve"> La Entidad Estatal, como responsable de la estructuración de su procedimiento de selección, es autónoma para determinar la capacidad financiera necesaria de acuerdo con el objeto contractual que se pretende satisfacer, no obstante, en atención a lo dispuesto en el artículo 2.2.1.1.1.6.2 del Decreto 1082 de 2015, debe ser establecida con sustento en el estudio del sector</w:t>
      </w:r>
      <w:r w:rsidRPr="003675AB">
        <w:rPr>
          <w:rFonts w:ascii="Century Gothic" w:hAnsi="Century Gothic"/>
          <w:color w:val="000000"/>
          <w:vertAlign w:val="superscript"/>
          <w:lang w:val="es-MX" w:eastAsia="es-ES_tradnl"/>
        </w:rPr>
        <w:footnoteReference w:id="5"/>
      </w:r>
      <w:r w:rsidRPr="003675AB">
        <w:rPr>
          <w:rFonts w:ascii="Century Gothic" w:eastAsia="Calibri" w:hAnsi="Century Gothic" w:cs="Arial"/>
          <w:color w:val="000000"/>
          <w:lang w:val="es-MX" w:eastAsia="es-ES_tradnl"/>
        </w:rPr>
        <w:t xml:space="preserve"> y sus componentes como la identificación de riesgos, el mercado y precio del bien, obra o servicio a contratar</w:t>
      </w:r>
      <w:r w:rsidRPr="003675AB">
        <w:rPr>
          <w:rFonts w:ascii="Century Gothic" w:hAnsi="Century Gothic"/>
          <w:color w:val="000000"/>
          <w:vertAlign w:val="superscript"/>
          <w:lang w:val="es-MX" w:eastAsia="es-ES_tradnl"/>
        </w:rPr>
        <w:footnoteReference w:id="6"/>
      </w:r>
      <w:r w:rsidRPr="003675AB">
        <w:rPr>
          <w:rFonts w:ascii="Century Gothic" w:eastAsia="Calibri" w:hAnsi="Century Gothic" w:cs="Arial"/>
          <w:color w:val="000000"/>
          <w:lang w:val="es-MX" w:eastAsia="es-ES_tradnl"/>
        </w:rPr>
        <w:t>.</w:t>
      </w:r>
    </w:p>
    <w:p w14:paraId="2F0C01BE" w14:textId="77777777" w:rsidR="003675AB" w:rsidRPr="003675AB" w:rsidRDefault="003675AB" w:rsidP="003675AB">
      <w:pPr>
        <w:pStyle w:val="Prrafodelista"/>
        <w:numPr>
          <w:ilvl w:val="0"/>
          <w:numId w:val="21"/>
        </w:numPr>
        <w:spacing w:before="120" w:after="120" w:line="276" w:lineRule="auto"/>
        <w:jc w:val="both"/>
        <w:rPr>
          <w:rFonts w:ascii="Century Gothic" w:eastAsia="Calibri" w:hAnsi="Century Gothic" w:cs="Arial"/>
          <w:color w:val="000000"/>
          <w:lang w:val="es-ES_tradnl" w:eastAsia="es-ES_tradnl"/>
        </w:rPr>
      </w:pPr>
      <w:r w:rsidRPr="003675AB">
        <w:rPr>
          <w:rFonts w:ascii="Century Gothic" w:eastAsia="Calibri" w:hAnsi="Century Gothic" w:cs="Arial"/>
          <w:color w:val="000000"/>
          <w:lang w:val="es-ES_tradnl" w:eastAsia="es-ES_tradnl"/>
        </w:rPr>
        <w:t xml:space="preserve">De conformidad con lo dispuesto en los artículos 5, numeral 1 de la Ley 1150 de 2007 y 2.2.1.1.1.5.3 del Decreto 1082 de 2015, por regla general, la acreditación del requisito habilitante de capacidad financiera se realiza a través del RUP. En atención a esto, para los tramites de inscripción, </w:t>
      </w:r>
      <w:r w:rsidRPr="003675AB">
        <w:rPr>
          <w:rFonts w:ascii="Century Gothic" w:eastAsia="Calibri" w:hAnsi="Century Gothic" w:cs="Arial"/>
          <w:color w:val="000000"/>
          <w:lang w:val="es-ES_tradnl" w:eastAsia="es-ES_tradnl"/>
        </w:rPr>
        <w:lastRenderedPageBreak/>
        <w:t xml:space="preserve">renovación y actualización el numeral 2.3 del artículo 2.2.1.1.1.5.2 del Decreto 1082 de 2015 exige la presentación de los </w:t>
      </w:r>
      <w:r w:rsidRPr="003675AB">
        <w:rPr>
          <w:rFonts w:ascii="Century Gothic" w:eastAsia="Calibri" w:hAnsi="Century Gothic" w:cs="Arial"/>
          <w:i/>
          <w:iCs/>
          <w:color w:val="000000"/>
          <w:lang w:val="es-ES_tradnl" w:eastAsia="es-ES_tradnl"/>
        </w:rPr>
        <w:t>“</w:t>
      </w:r>
      <w:r w:rsidRPr="003675AB">
        <w:rPr>
          <w:rFonts w:ascii="Century Gothic" w:hAnsi="Century Gothic" w:cs="Arial"/>
          <w:i/>
          <w:iCs/>
          <w:color w:val="000000"/>
        </w:rPr>
        <w:t>Estados financieros de la sociedad y los estados financieros consolidados del grupo empresarial, cuando la norma aplicable lo exige, auditados con sus notas […]”</w:t>
      </w:r>
      <w:r w:rsidRPr="003675AB">
        <w:rPr>
          <w:rFonts w:ascii="Century Gothic" w:eastAsia="Calibri" w:hAnsi="Century Gothic" w:cs="Arial"/>
          <w:color w:val="000000"/>
          <w:lang w:val="es-ES_tradnl" w:eastAsia="es-ES_tradnl"/>
        </w:rPr>
        <w:t>, además de unos anexos dirigidos a servir de medio de verificación de la salud financiera de los proponentes</w:t>
      </w:r>
      <w:r w:rsidRPr="003675AB">
        <w:rPr>
          <w:rStyle w:val="Refdenotaalpie"/>
          <w:rFonts w:ascii="Century Gothic" w:eastAsia="Calibri" w:hAnsi="Century Gothic" w:cs="Arial"/>
          <w:color w:val="000000"/>
          <w:lang w:val="es-ES_tradnl" w:eastAsia="es-ES_tradnl"/>
        </w:rPr>
        <w:footnoteReference w:id="7"/>
      </w:r>
      <w:r w:rsidRPr="003675AB">
        <w:rPr>
          <w:rFonts w:ascii="Century Gothic" w:eastAsia="Calibri" w:hAnsi="Century Gothic" w:cs="Arial"/>
          <w:color w:val="000000"/>
          <w:lang w:val="es-ES_tradnl" w:eastAsia="es-ES_tradnl"/>
        </w:rPr>
        <w:t xml:space="preserve">.  De este modo, lo que se verifica con el registro es que el proponente cumpla con los indicadores financieros solicitados por la entidad para medir la capacidad financiera requerida para el procedimiento de selección. </w:t>
      </w:r>
    </w:p>
    <w:p w14:paraId="7AABA837" w14:textId="77777777" w:rsidR="003675AB" w:rsidRPr="003675AB" w:rsidRDefault="003675AB" w:rsidP="330CE3FD">
      <w:pPr>
        <w:pStyle w:val="Prrafodelista"/>
        <w:numPr>
          <w:ilvl w:val="0"/>
          <w:numId w:val="21"/>
        </w:numPr>
        <w:spacing w:before="120" w:after="120" w:line="276" w:lineRule="auto"/>
        <w:jc w:val="both"/>
        <w:rPr>
          <w:rFonts w:ascii="Century Gothic" w:eastAsia="Calibri" w:hAnsi="Century Gothic" w:cs="Arial"/>
          <w:color w:val="000000"/>
          <w:lang w:val="es-ES" w:eastAsia="es-ES"/>
        </w:rPr>
      </w:pPr>
      <w:r w:rsidRPr="330CE3FD">
        <w:rPr>
          <w:rFonts w:ascii="Century Gothic" w:eastAsia="Calibri" w:hAnsi="Century Gothic" w:cs="Arial"/>
          <w:color w:val="000000"/>
          <w:lang w:val="es-ES" w:eastAsia="es-ES"/>
        </w:rPr>
        <w:t xml:space="preserve">Según el artículo 2.2.1.1.1.5.3. del Decreto 1082 de 2015, el RUP contempla como indicadores de capacidad financiera los siguientes: i) el </w:t>
      </w:r>
      <w:r w:rsidRPr="330CE3FD">
        <w:rPr>
          <w:rFonts w:ascii="Century Gothic" w:eastAsia="Calibri" w:hAnsi="Century Gothic" w:cs="Arial"/>
          <w:i/>
          <w:iCs/>
          <w:color w:val="000000"/>
          <w:lang w:val="es-ES" w:eastAsia="es-ES"/>
        </w:rPr>
        <w:t>índice de liquidez</w:t>
      </w:r>
      <w:r w:rsidRPr="330CE3FD">
        <w:rPr>
          <w:rFonts w:ascii="Century Gothic" w:eastAsia="Calibri" w:hAnsi="Century Gothic" w:cs="Arial"/>
          <w:color w:val="000000"/>
          <w:lang w:val="es-ES" w:eastAsia="es-ES"/>
        </w:rPr>
        <w:t xml:space="preserve">, que corresponde a la división entre el activo corriente y el pasivo corriente, y que determina la capacidad que tiene el proponente para cumplir con sus obligaciones de corto plazo; </w:t>
      </w:r>
      <w:proofErr w:type="spellStart"/>
      <w:r w:rsidRPr="330CE3FD">
        <w:rPr>
          <w:rFonts w:ascii="Century Gothic" w:eastAsia="Calibri" w:hAnsi="Century Gothic" w:cs="Arial"/>
          <w:color w:val="000000"/>
          <w:lang w:val="es-ES" w:eastAsia="es-ES"/>
        </w:rPr>
        <w:t>ii</w:t>
      </w:r>
      <w:proofErr w:type="spellEnd"/>
      <w:r w:rsidRPr="330CE3FD">
        <w:rPr>
          <w:rFonts w:ascii="Century Gothic" w:eastAsia="Calibri" w:hAnsi="Century Gothic" w:cs="Arial"/>
          <w:color w:val="000000"/>
          <w:lang w:val="es-ES" w:eastAsia="es-ES"/>
        </w:rPr>
        <w:t xml:space="preserve">) el </w:t>
      </w:r>
      <w:r w:rsidRPr="330CE3FD">
        <w:rPr>
          <w:rFonts w:ascii="Century Gothic" w:eastAsia="Calibri" w:hAnsi="Century Gothic" w:cs="Arial"/>
          <w:i/>
          <w:iCs/>
          <w:color w:val="000000"/>
          <w:lang w:val="es-ES" w:eastAsia="es-ES"/>
        </w:rPr>
        <w:t>índice de endeudamiento</w:t>
      </w:r>
      <w:r w:rsidRPr="330CE3FD">
        <w:rPr>
          <w:rFonts w:ascii="Century Gothic" w:eastAsia="Calibri" w:hAnsi="Century Gothic" w:cs="Arial"/>
          <w:color w:val="000000"/>
          <w:lang w:val="es-ES" w:eastAsia="es-ES"/>
        </w:rPr>
        <w:t xml:space="preserve">, que se calcula dividiendo el pasivo total por el activo total, el cual determina el grado de endeudamiento en la estructura de financiación del proponente; y </w:t>
      </w:r>
      <w:proofErr w:type="spellStart"/>
      <w:r w:rsidRPr="330CE3FD">
        <w:rPr>
          <w:rFonts w:ascii="Century Gothic" w:eastAsia="Calibri" w:hAnsi="Century Gothic" w:cs="Arial"/>
          <w:color w:val="000000"/>
          <w:lang w:val="es-ES" w:eastAsia="es-ES"/>
        </w:rPr>
        <w:t>iii</w:t>
      </w:r>
      <w:proofErr w:type="spellEnd"/>
      <w:r w:rsidRPr="330CE3FD">
        <w:rPr>
          <w:rFonts w:ascii="Century Gothic" w:eastAsia="Calibri" w:hAnsi="Century Gothic" w:cs="Arial"/>
          <w:color w:val="000000"/>
          <w:lang w:val="es-ES" w:eastAsia="es-ES"/>
        </w:rPr>
        <w:t xml:space="preserve">) la </w:t>
      </w:r>
      <w:r w:rsidRPr="330CE3FD">
        <w:rPr>
          <w:rFonts w:ascii="Century Gothic" w:eastAsia="Calibri" w:hAnsi="Century Gothic" w:cs="Arial"/>
          <w:i/>
          <w:iCs/>
          <w:color w:val="000000"/>
          <w:lang w:val="es-ES" w:eastAsia="es-ES"/>
        </w:rPr>
        <w:t>razón de cobertura de intereses</w:t>
      </w:r>
      <w:r w:rsidRPr="330CE3FD">
        <w:rPr>
          <w:rFonts w:ascii="Century Gothic" w:eastAsia="Calibri" w:hAnsi="Century Gothic" w:cs="Arial"/>
          <w:color w:val="000000"/>
          <w:lang w:val="es-ES" w:eastAsia="es-ES"/>
        </w:rPr>
        <w:t xml:space="preserve">, que es igual a la utilidad operacional, sobre los gastos de intereses, y que refleja la capacidad del proponente para cumplir con sus obligaciones financieras. Adicionalmente, la Agencia Nacional de Contratación Pública – Colombia Compra Eficiente recomienda valorar otro tipo de indicadores como el </w:t>
      </w:r>
      <w:r w:rsidRPr="330CE3FD">
        <w:rPr>
          <w:rFonts w:ascii="Century Gothic" w:eastAsia="Calibri" w:hAnsi="Century Gothic" w:cs="Arial"/>
          <w:i/>
          <w:iCs/>
          <w:color w:val="000000"/>
          <w:lang w:val="es-ES" w:eastAsia="es-ES"/>
        </w:rPr>
        <w:t>capital de trabajo</w:t>
      </w:r>
      <w:r w:rsidRPr="330CE3FD">
        <w:rPr>
          <w:rFonts w:ascii="Century Gothic" w:eastAsia="Calibri" w:hAnsi="Century Gothic" w:cs="Arial"/>
          <w:color w:val="000000"/>
          <w:lang w:val="es-ES" w:eastAsia="es-ES"/>
        </w:rPr>
        <w:t xml:space="preserve">, la </w:t>
      </w:r>
      <w:r w:rsidRPr="330CE3FD">
        <w:rPr>
          <w:rFonts w:ascii="Century Gothic" w:eastAsia="Calibri" w:hAnsi="Century Gothic" w:cs="Arial"/>
          <w:i/>
          <w:iCs/>
          <w:color w:val="000000"/>
          <w:lang w:val="es-ES" w:eastAsia="es-ES"/>
        </w:rPr>
        <w:lastRenderedPageBreak/>
        <w:t>razón de efectivo</w:t>
      </w:r>
      <w:r w:rsidRPr="330CE3FD">
        <w:rPr>
          <w:rFonts w:ascii="Century Gothic" w:eastAsia="Calibri" w:hAnsi="Century Gothic" w:cs="Arial"/>
          <w:color w:val="000000"/>
          <w:lang w:val="es-ES" w:eastAsia="es-ES"/>
        </w:rPr>
        <w:t xml:space="preserve">, la denominada </w:t>
      </w:r>
      <w:r w:rsidRPr="330CE3FD">
        <w:rPr>
          <w:rFonts w:ascii="Century Gothic" w:eastAsia="Calibri" w:hAnsi="Century Gothic" w:cs="Arial"/>
          <w:i/>
          <w:iCs/>
          <w:color w:val="000000"/>
          <w:lang w:val="es-ES" w:eastAsia="es-ES"/>
        </w:rPr>
        <w:t>prueba ácida</w:t>
      </w:r>
      <w:r w:rsidRPr="330CE3FD">
        <w:rPr>
          <w:rFonts w:ascii="Century Gothic" w:hAnsi="Century Gothic"/>
          <w:vertAlign w:val="superscript"/>
          <w:lang w:val="es-ES" w:eastAsia="es-ES"/>
        </w:rPr>
        <w:footnoteReference w:id="8"/>
      </w:r>
      <w:r w:rsidRPr="330CE3FD">
        <w:rPr>
          <w:rFonts w:ascii="Century Gothic" w:eastAsia="Calibri" w:hAnsi="Century Gothic" w:cs="Arial"/>
          <w:color w:val="000000"/>
          <w:lang w:val="es-ES" w:eastAsia="es-ES"/>
        </w:rPr>
        <w:t xml:space="preserve">, la </w:t>
      </w:r>
      <w:r w:rsidRPr="330CE3FD">
        <w:rPr>
          <w:rFonts w:ascii="Century Gothic" w:eastAsia="Calibri" w:hAnsi="Century Gothic" w:cs="Arial"/>
          <w:i/>
          <w:iCs/>
          <w:color w:val="000000"/>
          <w:lang w:val="es-ES" w:eastAsia="es-ES"/>
        </w:rPr>
        <w:t xml:space="preserve">concentración de endeudamiento a corto </w:t>
      </w:r>
      <w:r w:rsidRPr="330CE3FD">
        <w:rPr>
          <w:rFonts w:ascii="Century Gothic" w:eastAsia="Calibri" w:hAnsi="Century Gothic" w:cs="Arial"/>
          <w:color w:val="000000"/>
          <w:lang w:val="es-ES" w:eastAsia="es-ES"/>
        </w:rPr>
        <w:t>y</w:t>
      </w:r>
      <w:r w:rsidRPr="330CE3FD">
        <w:rPr>
          <w:rFonts w:ascii="Century Gothic" w:eastAsia="Calibri" w:hAnsi="Century Gothic" w:cs="Arial"/>
          <w:i/>
          <w:iCs/>
          <w:color w:val="000000"/>
          <w:lang w:val="es-ES" w:eastAsia="es-ES"/>
        </w:rPr>
        <w:t xml:space="preserve"> a largo plazo</w:t>
      </w:r>
      <w:r w:rsidRPr="330CE3FD">
        <w:rPr>
          <w:rFonts w:ascii="Century Gothic" w:eastAsia="Calibri" w:hAnsi="Century Gothic" w:cs="Arial"/>
          <w:color w:val="000000"/>
          <w:lang w:val="es-ES" w:eastAsia="es-ES"/>
        </w:rPr>
        <w:t xml:space="preserve"> y el </w:t>
      </w:r>
      <w:r w:rsidRPr="330CE3FD">
        <w:rPr>
          <w:rFonts w:ascii="Century Gothic" w:eastAsia="Calibri" w:hAnsi="Century Gothic" w:cs="Arial"/>
          <w:i/>
          <w:iCs/>
          <w:color w:val="000000"/>
          <w:lang w:val="es-ES" w:eastAsia="es-ES"/>
        </w:rPr>
        <w:t>patrimonio</w:t>
      </w:r>
      <w:r w:rsidRPr="330CE3FD">
        <w:rPr>
          <w:rFonts w:ascii="Century Gothic" w:hAnsi="Century Gothic"/>
          <w:i/>
          <w:iCs/>
          <w:vertAlign w:val="superscript"/>
          <w:lang w:val="es-ES" w:eastAsia="es-ES"/>
        </w:rPr>
        <w:footnoteReference w:id="9"/>
      </w:r>
      <w:r w:rsidRPr="330CE3FD">
        <w:rPr>
          <w:rFonts w:ascii="Century Gothic" w:eastAsia="Calibri" w:hAnsi="Century Gothic" w:cs="Arial"/>
          <w:color w:val="000000"/>
          <w:lang w:val="es-ES" w:eastAsia="es-ES"/>
        </w:rPr>
        <w:t>.</w:t>
      </w:r>
    </w:p>
    <w:p w14:paraId="26615026" w14:textId="77777777" w:rsidR="003675AB" w:rsidRPr="003675AB" w:rsidRDefault="003675AB" w:rsidP="003675AB">
      <w:pPr>
        <w:pStyle w:val="Prrafodelista"/>
        <w:numPr>
          <w:ilvl w:val="0"/>
          <w:numId w:val="21"/>
        </w:numPr>
        <w:spacing w:before="120" w:after="120" w:line="276" w:lineRule="auto"/>
        <w:jc w:val="both"/>
        <w:rPr>
          <w:rFonts w:ascii="Century Gothic" w:eastAsia="Calibri" w:hAnsi="Century Gothic" w:cs="Arial"/>
          <w:color w:val="000000" w:themeColor="text1"/>
          <w:lang w:val="es-ES_tradnl" w:eastAsia="es-ES_tradnl"/>
        </w:rPr>
      </w:pPr>
      <w:r w:rsidRPr="003675AB">
        <w:rPr>
          <w:rFonts w:ascii="Century Gothic" w:eastAsia="Calibri" w:hAnsi="Century Gothic" w:cs="Arial"/>
          <w:color w:val="000000" w:themeColor="text1"/>
          <w:lang w:val="es-ES_tradnl" w:eastAsia="es-ES_tradnl"/>
        </w:rPr>
        <w:t>De igual forma, es importante tener en cuenta que el numeral 3 del artículo 2.2.1.1.1.5.3. del Decreto 1082 de 2015 se refiere a los aspectos de la capacidad financiera que deben verificar las cámaras de comercio al momento de la inscripción, renovación o actualización del Registro Único de Proponentes. Sin embargo, no dispone expresamente que el índice de liquidez, el índice de endeudamiento y la razón de cobertura de intereses sean aspectos que deban validarse obligatoriamente en cada proceso de selección. Una cosa son los requisitos de capacidad financiera que debe certificar el registro y otra, muy diferente, los aspectos de este requisito habilitante que la entidad verifica en cada procedimiento contractual. Mientras los primeros están regulados en el artículo 2.2.1.1.1.5.3. del Decreto 1082 de 2015, los segundos debe establecerlos la entidad contratante en el pliego de condiciones o la invitación, según corresponda.</w:t>
      </w:r>
    </w:p>
    <w:p w14:paraId="6416A5D5" w14:textId="77777777" w:rsidR="00543572" w:rsidRDefault="00543572" w:rsidP="00543572">
      <w:pPr>
        <w:pStyle w:val="Prrafodelista"/>
        <w:tabs>
          <w:tab w:val="left" w:pos="142"/>
          <w:tab w:val="left" w:pos="284"/>
        </w:tabs>
        <w:spacing w:after="0" w:line="276" w:lineRule="auto"/>
        <w:ind w:left="0"/>
        <w:contextualSpacing w:val="0"/>
        <w:jc w:val="both"/>
        <w:rPr>
          <w:rFonts w:ascii="Century Gothic" w:eastAsia="Century Gothic" w:hAnsi="Century Gothic" w:cs="Century Gothic"/>
          <w:b/>
          <w:bCs/>
          <w:lang w:val="es-ES"/>
        </w:rPr>
      </w:pPr>
    </w:p>
    <w:p w14:paraId="53133908" w14:textId="7DBA031F"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Referencias normativas, jurisprudenciales y otras fuentes:</w:t>
      </w:r>
    </w:p>
    <w:p w14:paraId="237FD993"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E43EBA" w14:paraId="150F7C2A" w14:textId="77777777" w:rsidTr="002607A7">
        <w:trPr>
          <w:trHeight w:val="870"/>
        </w:trPr>
        <w:tc>
          <w:tcPr>
            <w:tcW w:w="8647" w:type="dxa"/>
          </w:tcPr>
          <w:p w14:paraId="0D5F2A9A" w14:textId="4989183B" w:rsidR="00E43EBA" w:rsidRDefault="00E43EBA"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Ley 1150 de 2007</w:t>
            </w:r>
          </w:p>
          <w:p w14:paraId="056656D9" w14:textId="67A6FDBB" w:rsidR="00685FFD" w:rsidRDefault="00685FFD"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685FFD">
              <w:rPr>
                <w:rFonts w:ascii="Century Gothic" w:eastAsia="Calibri" w:hAnsi="Century Gothic" w:cs="Arial"/>
                <w:color w:val="000000"/>
                <w:lang w:val="es-ES"/>
              </w:rPr>
              <w:t xml:space="preserve">Artículo </w:t>
            </w:r>
            <w:r w:rsidR="00543572" w:rsidRPr="006B76D4">
              <w:rPr>
                <w:rFonts w:ascii="Century Gothic" w:eastAsia="Calibri" w:hAnsi="Century Gothic" w:cs="Arial"/>
                <w:color w:val="000000"/>
                <w:lang w:val="es-ES"/>
              </w:rPr>
              <w:t xml:space="preserve">2.2.1.2.1.4.8 </w:t>
            </w:r>
            <w:r w:rsidRPr="00685FFD">
              <w:rPr>
                <w:rFonts w:ascii="Century Gothic" w:eastAsia="Calibri" w:hAnsi="Century Gothic" w:cs="Arial"/>
                <w:color w:val="000000"/>
                <w:lang w:val="es-ES"/>
              </w:rPr>
              <w:t>del Decreto Único Reglamentario 1082 de 2015</w:t>
            </w:r>
          </w:p>
          <w:p w14:paraId="190A1CF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Jurisprudencia del Consejo de Estado. Disponible en: </w:t>
            </w:r>
            <w:hyperlink r:id="rId12" w:history="1">
              <w:r w:rsidRPr="00E43EBA">
                <w:rPr>
                  <w:rFonts w:ascii="Century Gothic" w:eastAsia="Calibri" w:hAnsi="Century Gothic"/>
                  <w:color w:val="000000"/>
                  <w:lang w:val="es-ES"/>
                </w:rPr>
                <w:t>https://relatoria.colombiacompra.gov.co/providencias-consejo-de-estado/</w:t>
              </w:r>
            </w:hyperlink>
            <w:r w:rsidRPr="00E43EBA">
              <w:rPr>
                <w:rFonts w:ascii="Century Gothic" w:eastAsia="Calibri" w:hAnsi="Century Gothic" w:cs="Arial"/>
                <w:color w:val="000000"/>
                <w:lang w:val="es-ES"/>
              </w:rPr>
              <w:t xml:space="preserve"> </w:t>
            </w:r>
          </w:p>
          <w:p w14:paraId="6ACEA7FD" w14:textId="51A9926E" w:rsidR="00871B59" w:rsidRPr="0048384B" w:rsidRDefault="00871B59" w:rsidP="0048384B">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Guías y manuales expedidos por la ANCP-CCE. Disponible en: </w:t>
            </w:r>
            <w:hyperlink r:id="rId13" w:history="1">
              <w:r w:rsidRPr="00E43EBA">
                <w:rPr>
                  <w:rFonts w:ascii="Century Gothic" w:eastAsia="Calibri" w:hAnsi="Century Gothic"/>
                  <w:color w:val="000000"/>
                  <w:lang w:val="es-ES"/>
                </w:rPr>
                <w:t>https://www.colombiacompra.gov.co/manuales-guias-y-pliegos-tipo/manuales-y-guias</w:t>
              </w:r>
            </w:hyperlink>
            <w:r w:rsidRPr="00E43EBA">
              <w:rPr>
                <w:rFonts w:ascii="Century Gothic" w:eastAsia="Calibri" w:hAnsi="Century Gothic" w:cs="Arial"/>
                <w:color w:val="000000"/>
                <w:lang w:val="es-ES"/>
              </w:rPr>
              <w:t xml:space="preserve"> </w:t>
            </w:r>
          </w:p>
        </w:tc>
      </w:tr>
    </w:tbl>
    <w:p w14:paraId="0E1B166D" w14:textId="77777777" w:rsidR="00871B59" w:rsidRDefault="00871B59" w:rsidP="00871B59">
      <w:pPr>
        <w:widowControl w:val="0"/>
        <w:autoSpaceDE w:val="0"/>
        <w:autoSpaceDN w:val="0"/>
        <w:spacing w:after="0" w:line="276" w:lineRule="auto"/>
        <w:jc w:val="both"/>
        <w:rPr>
          <w:rFonts w:ascii="Century Gothic" w:hAnsi="Century Gothic" w:cs="Arial"/>
        </w:rPr>
      </w:pPr>
    </w:p>
    <w:p w14:paraId="7D95ADC8" w14:textId="77777777" w:rsidR="00685FFD" w:rsidRPr="00E43EBA" w:rsidRDefault="00685FFD" w:rsidP="00871B59">
      <w:pPr>
        <w:widowControl w:val="0"/>
        <w:autoSpaceDE w:val="0"/>
        <w:autoSpaceDN w:val="0"/>
        <w:spacing w:after="0" w:line="276" w:lineRule="auto"/>
        <w:jc w:val="both"/>
        <w:rPr>
          <w:rFonts w:ascii="Century Gothic" w:hAnsi="Century Gothic" w:cs="Arial"/>
        </w:rPr>
      </w:pPr>
    </w:p>
    <w:p w14:paraId="40380BCB"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Doctrina de la Agencia Nacional de Contratación Pública:</w:t>
      </w:r>
    </w:p>
    <w:p w14:paraId="0A6FE44F" w14:textId="77777777" w:rsidR="00685FFD" w:rsidRPr="00543572" w:rsidRDefault="00685FFD" w:rsidP="00871B59">
      <w:pPr>
        <w:widowControl w:val="0"/>
        <w:autoSpaceDE w:val="0"/>
        <w:autoSpaceDN w:val="0"/>
        <w:spacing w:after="0" w:line="276" w:lineRule="auto"/>
        <w:jc w:val="both"/>
        <w:rPr>
          <w:rFonts w:ascii="Century Gothic" w:hAnsi="Century Gothic"/>
        </w:rPr>
      </w:pPr>
    </w:p>
    <w:p w14:paraId="653CF3BE" w14:textId="1487958D" w:rsidR="00871B59" w:rsidRDefault="007A7364" w:rsidP="00785B3E">
      <w:pPr>
        <w:widowControl w:val="0"/>
        <w:autoSpaceDE w:val="0"/>
        <w:autoSpaceDN w:val="0"/>
        <w:spacing w:after="0" w:line="276" w:lineRule="auto"/>
        <w:jc w:val="both"/>
        <w:rPr>
          <w:rFonts w:ascii="Century Gothic" w:hAnsi="Century Gothic"/>
        </w:rPr>
      </w:pPr>
      <w:r w:rsidRPr="00543572">
        <w:rPr>
          <w:rFonts w:ascii="Century Gothic" w:hAnsi="Century Gothic"/>
        </w:rPr>
        <w:t>La Agencia Nacional de Contratación Pública – Colombia Compra Eficiente, en lo</w:t>
      </w:r>
      <w:r w:rsidR="00600948" w:rsidRPr="00543572">
        <w:rPr>
          <w:rFonts w:ascii="Century Gothic" w:hAnsi="Century Gothic"/>
        </w:rPr>
        <w:t>s</w:t>
      </w:r>
      <w:r w:rsidR="00E43EBA" w:rsidRPr="00543572">
        <w:rPr>
          <w:rFonts w:ascii="Century Gothic" w:hAnsi="Century Gothic"/>
        </w:rPr>
        <w:t xml:space="preserve"> </w:t>
      </w:r>
      <w:r w:rsidR="006B76D4" w:rsidRPr="006B76D4">
        <w:rPr>
          <w:rFonts w:ascii="Century Gothic" w:hAnsi="Century Gothic"/>
        </w:rPr>
        <w:t>conceptos No. 4201912000006798 del 24 de octubre de 2019, C-002 del 12 de febrero de 2020, C-089 del 4 de marzo de 2020, C-099 del 06 de abril de 2020, C-166 del 14 de abril de 2020, C-233 del 16 de abril de 2020, C-326 del 9 de junio de 2020, C-140 del 9 de abril de 2021. Respecto de la reciente reglamentación establecida en los Decretos 399 y 579 de 2021 se pronunció en los Conceptos C-288 de 17 de junio de 2021, C-353 del 19 de julio de 2021, C-366 del 26 de julio de 2021 y C-372 del 28 de julio de 2021, C-406 del 8 de agosto de 2021, C-407 del 25 de agosto de 2021, C-439 de 5 de julio de 2022, C-673 del 19 de octubre de 2023</w:t>
      </w:r>
      <w:r w:rsidR="006B76D4">
        <w:rPr>
          <w:rFonts w:ascii="Century Gothic" w:hAnsi="Century Gothic"/>
        </w:rPr>
        <w:t xml:space="preserve"> y </w:t>
      </w:r>
      <w:r w:rsidR="006B76D4" w:rsidRPr="006B76D4">
        <w:rPr>
          <w:rFonts w:ascii="Century Gothic" w:hAnsi="Century Gothic"/>
        </w:rPr>
        <w:t>C-831 del 28 de noviembre de 2023</w:t>
      </w:r>
      <w:r w:rsidR="00685FFD" w:rsidRPr="00543572">
        <w:rPr>
          <w:rFonts w:ascii="Century Gothic" w:hAnsi="Century Gothic"/>
        </w:rPr>
        <w:t>, entre otros</w:t>
      </w:r>
      <w:r w:rsidRPr="00543572">
        <w:rPr>
          <w:rFonts w:ascii="Century Gothic" w:hAnsi="Century Gothic"/>
        </w:rPr>
        <w:t>.</w:t>
      </w:r>
      <w:r w:rsidR="00685FFD" w:rsidRPr="00543572">
        <w:rPr>
          <w:rFonts w:ascii="Century Gothic" w:hAnsi="Century Gothic"/>
        </w:rPr>
        <w:t xml:space="preserve"> </w:t>
      </w:r>
      <w:r w:rsidR="00286161" w:rsidRPr="00286161">
        <w:rPr>
          <w:rFonts w:ascii="Century Gothic" w:hAnsi="Century Gothic"/>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00286161" w:rsidRPr="00286161">
          <w:rPr>
            <w:rStyle w:val="Hipervnculo"/>
            <w:rFonts w:ascii="Century Gothic" w:hAnsi="Century Gothic"/>
          </w:rPr>
          <w:t>https://relatoria.colombiacompra.gov.co/</w:t>
        </w:r>
      </w:hyperlink>
      <w:r w:rsidR="00286161" w:rsidRPr="00286161">
        <w:rPr>
          <w:rFonts w:ascii="Century Gothic" w:hAnsi="Century Gothic"/>
        </w:rPr>
        <w:t> .</w:t>
      </w:r>
    </w:p>
    <w:p w14:paraId="5E7E4446" w14:textId="77777777" w:rsidR="00785B3E" w:rsidRDefault="00785B3E" w:rsidP="00785B3E">
      <w:pPr>
        <w:widowControl w:val="0"/>
        <w:autoSpaceDE w:val="0"/>
        <w:autoSpaceDN w:val="0"/>
        <w:spacing w:after="0" w:line="276" w:lineRule="auto"/>
        <w:jc w:val="both"/>
        <w:rPr>
          <w:rFonts w:ascii="Century Gothic" w:hAnsi="Century Gothic"/>
        </w:rPr>
      </w:pPr>
    </w:p>
    <w:p w14:paraId="13765254" w14:textId="77777777" w:rsidR="00785B3E" w:rsidRPr="00785B3E" w:rsidRDefault="00785B3E" w:rsidP="00785B3E">
      <w:pPr>
        <w:widowControl w:val="0"/>
        <w:autoSpaceDE w:val="0"/>
        <w:autoSpaceDN w:val="0"/>
        <w:spacing w:after="0" w:line="276" w:lineRule="auto"/>
        <w:jc w:val="both"/>
        <w:rPr>
          <w:rFonts w:ascii="Century Gothic" w:hAnsi="Century Gothic"/>
        </w:rPr>
      </w:pPr>
    </w:p>
    <w:p w14:paraId="7B88AB3F" w14:textId="6F85AB51" w:rsidR="00785B3E" w:rsidRPr="00785B3E" w:rsidRDefault="00785B3E" w:rsidP="00785B3E">
      <w:pPr>
        <w:widowControl w:val="0"/>
        <w:autoSpaceDE w:val="0"/>
        <w:autoSpaceDN w:val="0"/>
        <w:spacing w:after="0" w:line="276" w:lineRule="auto"/>
        <w:jc w:val="both"/>
        <w:rPr>
          <w:rFonts w:ascii="Century Gothic" w:hAnsi="Century Gothic" w:cs="Arial"/>
          <w:shd w:val="clear" w:color="auto" w:fill="FFFFFF"/>
        </w:rPr>
      </w:pPr>
      <w:r w:rsidRPr="00785B3E">
        <w:rPr>
          <w:rFonts w:ascii="Century Gothic" w:hAnsi="Century Gothic" w:cs="Arial"/>
          <w:shd w:val="clear" w:color="auto" w:fill="FFFFFF"/>
        </w:rPr>
        <w:t>Nos complace informarle que ya están disponibles las nuevas versiones de los Documentos Tipo para Infraestructura de Transporte, es importante recordar que estos documentos son de obligatoria observancia para TODAS las entidades sometidas al EGCAP y entidades de régimen especial, con las excepciones de ley:</w:t>
      </w:r>
    </w:p>
    <w:p w14:paraId="1A1CEFC0" w14:textId="77777777" w:rsidR="00785B3E" w:rsidRPr="00785B3E" w:rsidRDefault="00785B3E" w:rsidP="00785B3E">
      <w:pPr>
        <w:widowControl w:val="0"/>
        <w:autoSpaceDE w:val="0"/>
        <w:autoSpaceDN w:val="0"/>
        <w:spacing w:after="0" w:line="276" w:lineRule="auto"/>
        <w:jc w:val="both"/>
        <w:rPr>
          <w:rFonts w:ascii="Century Gothic" w:hAnsi="Century Gothic" w:cs="Arial"/>
          <w:shd w:val="clear" w:color="auto" w:fill="FFFFFF"/>
        </w:rPr>
      </w:pPr>
    </w:p>
    <w:p w14:paraId="451E8A18" w14:textId="77777777" w:rsidR="00785B3E" w:rsidRPr="00785B3E" w:rsidRDefault="00785B3E" w:rsidP="00785B3E">
      <w:pPr>
        <w:widowControl w:val="0"/>
        <w:numPr>
          <w:ilvl w:val="0"/>
          <w:numId w:val="23"/>
        </w:numPr>
        <w:autoSpaceDE w:val="0"/>
        <w:autoSpaceDN w:val="0"/>
        <w:spacing w:after="0" w:line="276" w:lineRule="auto"/>
        <w:jc w:val="both"/>
        <w:rPr>
          <w:rFonts w:ascii="Century Gothic" w:hAnsi="Century Gothic" w:cs="Arial"/>
          <w:shd w:val="clear" w:color="auto" w:fill="FFFFFF"/>
        </w:rPr>
      </w:pPr>
      <w:r w:rsidRPr="00785B3E">
        <w:rPr>
          <w:rFonts w:ascii="Century Gothic" w:hAnsi="Century Gothic" w:cs="Arial"/>
          <w:b/>
          <w:bCs/>
          <w:shd w:val="clear" w:color="auto" w:fill="FFFFFF"/>
        </w:rPr>
        <w:t>Documentos tipo para los procesos de selección de interventoría de obra pública de infraestructura de transporte – versión 3: </w:t>
      </w:r>
      <w:hyperlink r:id="rId15" w:tgtFrame="_blank" w:tooltip="Dirección URL original: https://www.colombiacompra.gov.co/content/03-documentos-tipo-para-los-procesos-de-seleccion-de-interventoria-de-obra-publica-de. Haga clic o pulse si confía en este vínculo." w:history="1">
        <w:r w:rsidRPr="00785B3E">
          <w:rPr>
            <w:rStyle w:val="Hipervnculo"/>
            <w:rFonts w:ascii="Century Gothic" w:hAnsi="Century Gothic" w:cs="Arial"/>
            <w:color w:val="auto"/>
            <w:shd w:val="clear" w:color="auto" w:fill="FFFFFF"/>
          </w:rPr>
          <w:t>03. Documentos tipo para los procesos de selección de interventoría de obra pública de infraestructura de transporte – versión 3 | Colombia Compra Eficiente | Agencia Nacional de Contratación Pública</w:t>
        </w:r>
      </w:hyperlink>
    </w:p>
    <w:p w14:paraId="3FA49E73" w14:textId="77777777" w:rsidR="00785B3E" w:rsidRPr="00785B3E" w:rsidRDefault="00785B3E" w:rsidP="00785B3E">
      <w:pPr>
        <w:widowControl w:val="0"/>
        <w:numPr>
          <w:ilvl w:val="0"/>
          <w:numId w:val="23"/>
        </w:numPr>
        <w:autoSpaceDE w:val="0"/>
        <w:autoSpaceDN w:val="0"/>
        <w:spacing w:after="0" w:line="276" w:lineRule="auto"/>
        <w:jc w:val="both"/>
        <w:rPr>
          <w:rFonts w:ascii="Century Gothic" w:hAnsi="Century Gothic" w:cs="Arial"/>
          <w:shd w:val="clear" w:color="auto" w:fill="FFFFFF"/>
        </w:rPr>
      </w:pPr>
      <w:r w:rsidRPr="00785B3E">
        <w:rPr>
          <w:rFonts w:ascii="Century Gothic" w:hAnsi="Century Gothic" w:cs="Arial"/>
          <w:b/>
          <w:bCs/>
          <w:shd w:val="clear" w:color="auto" w:fill="FFFFFF"/>
        </w:rPr>
        <w:t>Documentos tipo para los procesos de selección de consultoría de obra pública de infraestructura de transporte – versión 2:</w:t>
      </w:r>
      <w:r w:rsidRPr="00785B3E">
        <w:rPr>
          <w:rFonts w:ascii="Century Gothic" w:hAnsi="Century Gothic" w:cs="Arial"/>
          <w:shd w:val="clear" w:color="auto" w:fill="FFFFFF"/>
        </w:rPr>
        <w:t> </w:t>
      </w:r>
      <w:hyperlink r:id="rId16" w:tgtFrame="_blank" w:tooltip="Dirección URL original: https://www.colombiacompra.gov.co/content/02-documentos-tipo-para-los-procesos-de-seleccion-de-consultoria-de-obra-publica-de. Haga clic o pulse si confía en este vínculo." w:history="1">
        <w:r w:rsidRPr="00785B3E">
          <w:rPr>
            <w:rStyle w:val="Hipervnculo"/>
            <w:rFonts w:ascii="Century Gothic" w:hAnsi="Century Gothic" w:cs="Arial"/>
            <w:color w:val="auto"/>
            <w:shd w:val="clear" w:color="auto" w:fill="FFFFFF"/>
          </w:rPr>
          <w:t xml:space="preserve">02. Documentos tipo para los procesos de selección de consultoría de obra pública de </w:t>
        </w:r>
        <w:r w:rsidRPr="00785B3E">
          <w:rPr>
            <w:rStyle w:val="Hipervnculo"/>
            <w:rFonts w:ascii="Century Gothic" w:hAnsi="Century Gothic" w:cs="Arial"/>
            <w:color w:val="auto"/>
            <w:shd w:val="clear" w:color="auto" w:fill="FFFFFF"/>
          </w:rPr>
          <w:lastRenderedPageBreak/>
          <w:t>infraestructura de transporte – versión 2. | Colombia Compra Eficiente | Agencia Nacional de Contratación Pública</w:t>
        </w:r>
      </w:hyperlink>
    </w:p>
    <w:p w14:paraId="01DED559" w14:textId="77777777" w:rsidR="00785B3E" w:rsidRPr="00785B3E" w:rsidRDefault="00785B3E" w:rsidP="00785B3E">
      <w:pPr>
        <w:widowControl w:val="0"/>
        <w:autoSpaceDE w:val="0"/>
        <w:autoSpaceDN w:val="0"/>
        <w:spacing w:after="0" w:line="276" w:lineRule="auto"/>
        <w:ind w:left="720"/>
        <w:jc w:val="both"/>
        <w:rPr>
          <w:rFonts w:ascii="Century Gothic" w:hAnsi="Century Gothic" w:cs="Arial"/>
          <w:shd w:val="clear" w:color="auto" w:fill="FFFFFF"/>
        </w:rPr>
      </w:pPr>
    </w:p>
    <w:p w14:paraId="295F728D" w14:textId="1CFCA3DC" w:rsidR="00785B3E" w:rsidRPr="00785B3E" w:rsidRDefault="00785B3E" w:rsidP="00785B3E">
      <w:pPr>
        <w:widowControl w:val="0"/>
        <w:autoSpaceDE w:val="0"/>
        <w:autoSpaceDN w:val="0"/>
        <w:spacing w:after="0" w:line="276" w:lineRule="auto"/>
        <w:jc w:val="both"/>
        <w:rPr>
          <w:rFonts w:ascii="Century Gothic" w:hAnsi="Century Gothic" w:cs="Arial"/>
          <w:shd w:val="clear" w:color="auto" w:fill="FFFFFF"/>
        </w:rPr>
      </w:pPr>
      <w:r w:rsidRPr="00785B3E">
        <w:rPr>
          <w:rFonts w:ascii="Century Gothic" w:hAnsi="Century Gothic" w:cs="Arial"/>
          <w:shd w:val="clear" w:color="auto" w:fill="FFFFFF"/>
        </w:rPr>
        <w:t>De igual manera, ya se publicó </w:t>
      </w:r>
      <w:r w:rsidRPr="00785B3E">
        <w:rPr>
          <w:rFonts w:ascii="Century Gothic" w:hAnsi="Century Gothic" w:cs="Arial"/>
          <w:b/>
          <w:bCs/>
          <w:shd w:val="clear" w:color="auto" w:fill="FFFFFF"/>
        </w:rPr>
        <w:t>la nueva Guía de Contratación Pública Sostenible y Socialmente Responsable</w:t>
      </w:r>
      <w:r w:rsidRPr="00785B3E">
        <w:rPr>
          <w:rFonts w:ascii="Century Gothic" w:hAnsi="Century Gothic" w:cs="Arial"/>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7" w:tgtFrame="_blank" w:tooltip="Dirección URL original: https://www.colombiacompra.gov.co/manuales-guias-y-pliegos-tipo/manuales-y-guias/guia-de-contratacion-publica-sostenible-y-socialmente. Haga clic o pulse si confía en este vínculo." w:history="1">
        <w:r w:rsidRPr="00785B3E">
          <w:rPr>
            <w:rStyle w:val="Hipervnculo"/>
            <w:rFonts w:ascii="Century Gothic" w:hAnsi="Century Gothic" w:cs="Arial"/>
            <w:color w:val="auto"/>
            <w:shd w:val="clear" w:color="auto" w:fill="FFFFFF"/>
          </w:rPr>
          <w:t>Guía de Contratación Pública Sostenible y Socialmente Responsable | Colombia Compra Eficiente | Agencia Nacional de Contratación Pública</w:t>
        </w:r>
      </w:hyperlink>
    </w:p>
    <w:p w14:paraId="083DBFB2" w14:textId="77777777" w:rsidR="00785B3E" w:rsidRPr="00785B3E" w:rsidRDefault="00785B3E" w:rsidP="00785B3E">
      <w:pPr>
        <w:widowControl w:val="0"/>
        <w:autoSpaceDE w:val="0"/>
        <w:autoSpaceDN w:val="0"/>
        <w:spacing w:after="0" w:line="276" w:lineRule="auto"/>
        <w:jc w:val="both"/>
        <w:rPr>
          <w:rStyle w:val="normaltextrun"/>
          <w:rFonts w:ascii="Century Gothic" w:hAnsi="Century Gothic" w:cs="Arial"/>
          <w:color w:val="FF0000"/>
          <w:shd w:val="clear" w:color="auto" w:fill="FFFFFF"/>
        </w:rPr>
      </w:pPr>
    </w:p>
    <w:p w14:paraId="1570ED43" w14:textId="1EF4EB65" w:rsidR="008815E5" w:rsidRPr="00E43EBA" w:rsidRDefault="008815E5" w:rsidP="003A5B4D">
      <w:pPr>
        <w:widowControl w:val="0"/>
        <w:autoSpaceDE w:val="0"/>
        <w:autoSpaceDN w:val="0"/>
        <w:spacing w:after="0" w:line="276" w:lineRule="auto"/>
        <w:jc w:val="both"/>
        <w:rPr>
          <w:rFonts w:ascii="Century Gothic" w:hAnsi="Century Gothic"/>
        </w:rPr>
      </w:pPr>
      <w:r w:rsidRPr="00E43EBA">
        <w:rPr>
          <w:rFonts w:ascii="Century Gothic" w:hAnsi="Century Gothic"/>
        </w:rPr>
        <w:t xml:space="preserve">Por último, </w:t>
      </w:r>
      <w:r w:rsidR="00286161">
        <w:rPr>
          <w:rFonts w:ascii="Century Gothic" w:hAnsi="Century Gothic"/>
        </w:rPr>
        <w:t>te</w:t>
      </w:r>
      <w:r w:rsidRPr="00E43EBA">
        <w:rPr>
          <w:rFonts w:ascii="Century Gothic" w:hAnsi="Century Gothic"/>
        </w:rPr>
        <w:t xml:space="preserve"> invitamos a seguirnos en las redes sociales en las cuales se difunde información institucional: </w:t>
      </w:r>
    </w:p>
    <w:p w14:paraId="284AF384" w14:textId="77777777" w:rsidR="008815E5" w:rsidRPr="00E43EBA" w:rsidRDefault="008815E5" w:rsidP="008815E5">
      <w:pPr>
        <w:spacing w:after="0" w:line="240" w:lineRule="auto"/>
        <w:jc w:val="both"/>
        <w:rPr>
          <w:rFonts w:ascii="Century Gothic" w:hAnsi="Century Gothic"/>
        </w:rPr>
      </w:pPr>
    </w:p>
    <w:p w14:paraId="5E6CD010"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Twitter: </w:t>
      </w:r>
      <w:r w:rsidRPr="00E43EBA">
        <w:rPr>
          <w:rStyle w:val="Hipervnculo"/>
          <w:rFonts w:ascii="Century Gothic" w:hAnsi="Century Gothic"/>
          <w:color w:val="4472C4" w:themeColor="accent1"/>
        </w:rPr>
        <w:t>@colombiacompra</w:t>
      </w:r>
      <w:r w:rsidRPr="00E43EBA">
        <w:rPr>
          <w:rFonts w:ascii="Century Gothic" w:hAnsi="Century Gothic"/>
          <w:color w:val="4472C4" w:themeColor="accent1"/>
        </w:rPr>
        <w:t xml:space="preserve"> </w:t>
      </w:r>
    </w:p>
    <w:p w14:paraId="0F76F019"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Facebook: </w:t>
      </w:r>
      <w:proofErr w:type="spellStart"/>
      <w:r w:rsidRPr="00E43EBA">
        <w:rPr>
          <w:rStyle w:val="Hipervnculo"/>
          <w:rFonts w:ascii="Century Gothic" w:hAnsi="Century Gothic"/>
          <w:color w:val="4472C4" w:themeColor="accent1"/>
        </w:rPr>
        <w:t>ColombiaCompraEficiente</w:t>
      </w:r>
      <w:proofErr w:type="spellEnd"/>
    </w:p>
    <w:p w14:paraId="60E5B357"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LinkedIn: </w:t>
      </w:r>
      <w:r w:rsidRPr="00E43EBA">
        <w:rPr>
          <w:rStyle w:val="Hipervnculo"/>
          <w:rFonts w:ascii="Century Gothic" w:hAnsi="Century Gothic"/>
          <w:color w:val="4472C4" w:themeColor="accent1"/>
        </w:rPr>
        <w:t>Agencia Nacional de Contratación Pública - Colombia Compra Eficiente</w:t>
      </w:r>
      <w:r w:rsidRPr="00E43EBA">
        <w:rPr>
          <w:rFonts w:ascii="Century Gothic" w:hAnsi="Century Gothic"/>
          <w:color w:val="4472C4" w:themeColor="accent1"/>
        </w:rPr>
        <w:t xml:space="preserve"> </w:t>
      </w:r>
      <w:r w:rsidRPr="00E43EBA">
        <w:rPr>
          <w:rFonts w:ascii="Century Gothic" w:hAnsi="Century Gothic"/>
        </w:rPr>
        <w:t xml:space="preserve">Instagram: </w:t>
      </w:r>
      <w:r w:rsidRPr="00E43EBA">
        <w:rPr>
          <w:rStyle w:val="Hipervnculo"/>
          <w:rFonts w:ascii="Century Gothic" w:hAnsi="Century Gothic"/>
          <w:color w:val="4472C4" w:themeColor="accent1"/>
        </w:rPr>
        <w:t>@colombiacompraeficiente_cce</w:t>
      </w:r>
    </w:p>
    <w:p w14:paraId="618EB3FF" w14:textId="77777777" w:rsidR="0031699C" w:rsidRDefault="0031699C" w:rsidP="00871B59">
      <w:pPr>
        <w:widowControl w:val="0"/>
        <w:autoSpaceDE w:val="0"/>
        <w:autoSpaceDN w:val="0"/>
        <w:spacing w:after="0" w:line="276" w:lineRule="auto"/>
        <w:jc w:val="both"/>
        <w:rPr>
          <w:rFonts w:ascii="Century Gothic" w:hAnsi="Century Gothic" w:cs="Arial"/>
        </w:rPr>
      </w:pPr>
    </w:p>
    <w:p w14:paraId="120572E9" w14:textId="77777777" w:rsidR="00871B59" w:rsidRPr="00E43EBA" w:rsidRDefault="00871B59" w:rsidP="00871B59">
      <w:pPr>
        <w:widowControl w:val="0"/>
        <w:autoSpaceDE w:val="0"/>
        <w:autoSpaceDN w:val="0"/>
        <w:spacing w:after="0" w:line="276" w:lineRule="auto"/>
        <w:jc w:val="both"/>
        <w:rPr>
          <w:rFonts w:ascii="Century Gothic" w:hAnsi="Century Gothic" w:cs="Arial"/>
          <w:lang w:val="es-ES_tradnl"/>
        </w:rPr>
      </w:pPr>
      <w:r w:rsidRPr="00E43EBA">
        <w:rPr>
          <w:rFonts w:ascii="Century Gothic" w:hAnsi="Century Gothic" w:cs="Arial"/>
        </w:rPr>
        <w:t xml:space="preserve">Este concepto tiene el alcance previsto en el artículo 28 del Código de Procedimiento Administrativo y de lo Contencioso Administrativo </w:t>
      </w:r>
      <w:r w:rsidRPr="00E43EBA">
        <w:rPr>
          <w:rFonts w:ascii="Century Gothic" w:hAnsi="Century Gothic" w:cs="Arial"/>
          <w:lang w:val="es-ES_tradnl"/>
        </w:rPr>
        <w:t>y las expresiones aquí utilizadas con mayúscula inicial deben ser entendidas con el significado que les otorga el artículo 2.2.1.1.1.3.1. del Decreto 1082 de 2015.</w:t>
      </w:r>
    </w:p>
    <w:p w14:paraId="76160CFD"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46FD3687" w14:textId="2928F74F" w:rsidR="00871B59" w:rsidRPr="00E43EBA" w:rsidRDefault="00871B59" w:rsidP="00871B59">
      <w:pPr>
        <w:spacing w:after="0" w:line="240" w:lineRule="auto"/>
        <w:rPr>
          <w:rFonts w:ascii="Century Gothic" w:hAnsi="Century Gothic" w:cs="Arial"/>
          <w:lang w:eastAsia="es-CO"/>
        </w:rPr>
      </w:pPr>
      <w:r w:rsidRPr="330CE3FD">
        <w:rPr>
          <w:rFonts w:ascii="Century Gothic" w:eastAsia="Times New Roman" w:hAnsi="Century Gothic" w:cs="Arial"/>
          <w:lang w:eastAsia="es-CO"/>
        </w:rPr>
        <w:t>Atentamente,</w:t>
      </w:r>
      <w:r w:rsidRPr="330CE3FD">
        <w:rPr>
          <w:rFonts w:ascii="Century Gothic" w:hAnsi="Century Gothic" w:cs="Arial"/>
          <w:lang w:eastAsia="es-CO"/>
        </w:rPr>
        <w:t xml:space="preserve"> </w:t>
      </w:r>
    </w:p>
    <w:p w14:paraId="7B21B32E" w14:textId="5EACB0EB" w:rsidR="00871B59" w:rsidRDefault="00871B59" w:rsidP="330CE3FD">
      <w:pPr>
        <w:spacing w:line="276" w:lineRule="auto"/>
        <w:jc w:val="center"/>
        <w:rPr>
          <w:noProof/>
        </w:rPr>
      </w:pPr>
    </w:p>
    <w:p w14:paraId="41F901E4" w14:textId="77777777" w:rsidR="00785B3E" w:rsidRDefault="00785B3E" w:rsidP="330CE3FD">
      <w:pPr>
        <w:spacing w:line="276" w:lineRule="auto"/>
        <w:jc w:val="center"/>
        <w:rPr>
          <w:noProof/>
        </w:rPr>
      </w:pPr>
    </w:p>
    <w:p w14:paraId="2AB99C83" w14:textId="59BA14A2" w:rsidR="00785B3E" w:rsidRDefault="00E16F8B" w:rsidP="00785B3E">
      <w:pPr>
        <w:spacing w:line="276" w:lineRule="auto"/>
        <w:jc w:val="center"/>
        <w:rPr>
          <w:noProof/>
        </w:rPr>
      </w:pPr>
      <w:r w:rsidRPr="002C3AD6">
        <w:rPr>
          <w:rFonts w:ascii="Century Gothic" w:hAnsi="Century Gothic"/>
          <w:noProof/>
        </w:rPr>
        <w:lastRenderedPageBreak/>
        <w:drawing>
          <wp:inline distT="0" distB="0" distL="0" distR="0" wp14:anchorId="52B675EC" wp14:editId="3CD6CE3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p w14:paraId="3F97DE32" w14:textId="77777777" w:rsidR="00785B3E" w:rsidRPr="00593A5F" w:rsidRDefault="00785B3E" w:rsidP="330CE3FD">
      <w:pPr>
        <w:spacing w:line="276" w:lineRule="auto"/>
        <w:jc w:val="cente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593A5F" w14:paraId="2A20789D" w14:textId="77777777" w:rsidTr="4D09574A">
        <w:trPr>
          <w:trHeight w:val="315"/>
        </w:trPr>
        <w:tc>
          <w:tcPr>
            <w:tcW w:w="893" w:type="dxa"/>
            <w:vAlign w:val="center"/>
            <w:hideMark/>
          </w:tcPr>
          <w:p w14:paraId="56E3D941"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2929B3B3" w14:textId="20A2AD2E" w:rsidR="007A7364" w:rsidRPr="00685FFD" w:rsidRDefault="00286161" w:rsidP="002607A7">
            <w:pPr>
              <w:contextualSpacing/>
              <w:rPr>
                <w:rFonts w:ascii="Century Gothic" w:hAnsi="Century Gothic" w:cs="Arial"/>
                <w:sz w:val="16"/>
                <w:szCs w:val="16"/>
                <w:lang w:val="es-ES_tradnl"/>
              </w:rPr>
            </w:pPr>
            <w:r>
              <w:rPr>
                <w:rFonts w:ascii="Century Gothic" w:hAnsi="Century Gothic" w:cs="Arial"/>
                <w:sz w:val="16"/>
                <w:szCs w:val="16"/>
                <w:lang w:val="es-ES_tradnl"/>
              </w:rPr>
              <w:t xml:space="preserve">Diana </w:t>
            </w:r>
            <w:r w:rsidR="007A7364" w:rsidRPr="00685FFD">
              <w:rPr>
                <w:rFonts w:ascii="Century Gothic" w:hAnsi="Century Gothic" w:cs="Arial"/>
                <w:sz w:val="16"/>
                <w:szCs w:val="16"/>
                <w:lang w:val="es-ES_tradnl"/>
              </w:rPr>
              <w:t xml:space="preserve">Carolina Blanco Rodriguez </w:t>
            </w:r>
          </w:p>
          <w:p w14:paraId="27134A92" w14:textId="0A67E70D" w:rsidR="00871B59" w:rsidRPr="00685FFD" w:rsidRDefault="007A7364" w:rsidP="002607A7">
            <w:pPr>
              <w:contextualSpacing/>
              <w:rPr>
                <w:rFonts w:ascii="Century Gothic" w:hAnsi="Century Gothic" w:cs="Arial"/>
                <w:sz w:val="16"/>
                <w:szCs w:val="16"/>
                <w:lang w:val="es-ES_tradnl"/>
              </w:rPr>
            </w:pPr>
            <w:r w:rsidRPr="00685FFD">
              <w:rPr>
                <w:rFonts w:ascii="Century Gothic" w:hAnsi="Century Gothic"/>
                <w:sz w:val="16"/>
                <w:szCs w:val="16"/>
                <w:lang w:val="es-ES_tradnl"/>
              </w:rPr>
              <w:t xml:space="preserve">Contratista </w:t>
            </w:r>
            <w:r w:rsidR="00871B59" w:rsidRPr="00685FFD">
              <w:rPr>
                <w:rFonts w:ascii="Century Gothic" w:hAnsi="Century Gothic"/>
                <w:sz w:val="16"/>
                <w:szCs w:val="16"/>
                <w:lang w:val="es-ES_tradnl"/>
              </w:rPr>
              <w:t>de la Subdirección de Gestión Contractual</w:t>
            </w:r>
          </w:p>
        </w:tc>
      </w:tr>
      <w:tr w:rsidR="00871B59" w:rsidRPr="00593A5F" w14:paraId="409BBACC" w14:textId="77777777" w:rsidTr="4D09574A">
        <w:trPr>
          <w:trHeight w:val="330"/>
        </w:trPr>
        <w:tc>
          <w:tcPr>
            <w:tcW w:w="893" w:type="dxa"/>
            <w:vAlign w:val="center"/>
            <w:hideMark/>
          </w:tcPr>
          <w:p w14:paraId="3ABFF401"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4F80C80" w14:textId="56984CD9" w:rsidR="0031699C" w:rsidRPr="00685FFD" w:rsidRDefault="0048384B" w:rsidP="002607A7">
            <w:pPr>
              <w:pStyle w:val="paragraph"/>
              <w:spacing w:before="0" w:beforeAutospacing="0" w:after="0" w:afterAutospacing="0"/>
              <w:contextualSpacing/>
              <w:textAlignment w:val="baseline"/>
              <w:rPr>
                <w:rFonts w:ascii="Century Gothic" w:eastAsiaTheme="minorHAnsi" w:hAnsi="Century Gothic"/>
                <w:sz w:val="16"/>
                <w:szCs w:val="16"/>
                <w:lang w:val="es-ES_tradnl" w:eastAsia="en-US"/>
              </w:rPr>
            </w:pPr>
            <w:r>
              <w:rPr>
                <w:rFonts w:ascii="Century Gothic" w:eastAsiaTheme="minorHAnsi" w:hAnsi="Century Gothic"/>
                <w:sz w:val="16"/>
                <w:szCs w:val="16"/>
                <w:lang w:val="es-ES_tradnl" w:eastAsia="en-US"/>
              </w:rPr>
              <w:t>Martha Alicia Romero Vargas</w:t>
            </w:r>
          </w:p>
          <w:p w14:paraId="408B71DB" w14:textId="4C5FDEB8" w:rsidR="00871B59" w:rsidRPr="00685FFD" w:rsidRDefault="0048384B" w:rsidP="002607A7">
            <w:pPr>
              <w:pStyle w:val="paragraph"/>
              <w:spacing w:before="0" w:beforeAutospacing="0" w:after="0" w:afterAutospacing="0"/>
              <w:contextualSpacing/>
              <w:textAlignment w:val="baseline"/>
              <w:rPr>
                <w:rFonts w:ascii="Century Gothic" w:eastAsiaTheme="minorHAnsi" w:hAnsi="Century Gothic" w:cs="Arial"/>
                <w:sz w:val="16"/>
                <w:szCs w:val="16"/>
                <w:lang w:val="es-ES_tradnl" w:eastAsia="en-US"/>
              </w:rPr>
            </w:pPr>
            <w:r>
              <w:rPr>
                <w:rFonts w:ascii="Century Gothic" w:eastAsiaTheme="minorHAnsi" w:hAnsi="Century Gothic"/>
                <w:sz w:val="16"/>
                <w:szCs w:val="16"/>
                <w:lang w:val="es-ES_tradnl" w:eastAsia="en-US"/>
              </w:rPr>
              <w:t>Gestor T1-15</w:t>
            </w:r>
            <w:r w:rsidR="00871B59" w:rsidRPr="00685FFD">
              <w:rPr>
                <w:rFonts w:ascii="Century Gothic" w:eastAsiaTheme="minorHAnsi" w:hAnsi="Century Gothic"/>
                <w:sz w:val="16"/>
                <w:szCs w:val="16"/>
                <w:lang w:val="es-ES_tradnl" w:eastAsia="en-US"/>
              </w:rPr>
              <w:t xml:space="preserve"> de la Subdirección de Gestión Contractual </w:t>
            </w:r>
          </w:p>
        </w:tc>
      </w:tr>
      <w:tr w:rsidR="00871B59" w:rsidRPr="00593A5F" w14:paraId="2A81CFC8" w14:textId="77777777" w:rsidTr="4D09574A">
        <w:trPr>
          <w:trHeight w:val="300"/>
        </w:trPr>
        <w:tc>
          <w:tcPr>
            <w:tcW w:w="893" w:type="dxa"/>
            <w:vAlign w:val="center"/>
          </w:tcPr>
          <w:p w14:paraId="3159EE97"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685FFD" w:rsidRDefault="00871B59" w:rsidP="4D09574A">
            <w:pPr>
              <w:contextualSpacing/>
              <w:rPr>
                <w:rFonts w:ascii="Century Gothic" w:hAnsi="Century Gothic" w:cs="Arial"/>
                <w:sz w:val="16"/>
                <w:szCs w:val="16"/>
                <w:lang w:val="es-ES"/>
              </w:rPr>
            </w:pPr>
            <w:r w:rsidRPr="4D09574A">
              <w:rPr>
                <w:rFonts w:ascii="Century Gothic" w:hAnsi="Century Gothic" w:cs="Arial"/>
                <w:sz w:val="16"/>
                <w:szCs w:val="16"/>
                <w:lang w:val="es-ES"/>
              </w:rPr>
              <w:t xml:space="preserve">Carolina Quintero </w:t>
            </w:r>
            <w:proofErr w:type="spellStart"/>
            <w:r w:rsidRPr="4D09574A">
              <w:rPr>
                <w:rFonts w:ascii="Century Gothic" w:hAnsi="Century Gothic" w:cs="Arial"/>
                <w:sz w:val="16"/>
                <w:szCs w:val="16"/>
                <w:lang w:val="es-ES"/>
              </w:rPr>
              <w:t>Gacharná</w:t>
            </w:r>
            <w:proofErr w:type="spellEnd"/>
          </w:p>
          <w:p w14:paraId="6EE38C14" w14:textId="77777777" w:rsidR="00871B59" w:rsidRPr="00685FFD" w:rsidRDefault="00871B59" w:rsidP="002607A7">
            <w:pPr>
              <w:contextualSpacing/>
              <w:rPr>
                <w:rFonts w:ascii="Century Gothic" w:hAnsi="Century Gothic" w:cs="Arial"/>
                <w:sz w:val="16"/>
                <w:szCs w:val="16"/>
                <w:lang w:val="es-ES_tradnl"/>
              </w:rPr>
            </w:pPr>
            <w:r w:rsidRPr="00685FFD">
              <w:rPr>
                <w:rFonts w:ascii="Century Gothic" w:hAnsi="Century Gothic" w:cs="Arial"/>
                <w:sz w:val="16"/>
                <w:szCs w:val="16"/>
                <w:lang w:val="es-ES_tradnl"/>
              </w:rPr>
              <w:t>Subdirectora de Gestión Contractual ANCP – CCE</w:t>
            </w:r>
          </w:p>
        </w:tc>
      </w:tr>
    </w:tbl>
    <w:p w14:paraId="510CF084" w14:textId="77777777" w:rsidR="00871B59" w:rsidRPr="00593A5F" w:rsidRDefault="00871B59" w:rsidP="00871B59">
      <w:pPr>
        <w:spacing w:after="0" w:line="240" w:lineRule="auto"/>
        <w:rPr>
          <w:rFonts w:ascii="Verdana" w:eastAsia="Times New Roman" w:hAnsi="Verdana" w:cs="Arial"/>
          <w:sz w:val="24"/>
          <w:szCs w:val="24"/>
          <w:lang w:eastAsia="es-ES"/>
        </w:rPr>
      </w:pPr>
    </w:p>
    <w:p w14:paraId="0083C991" w14:textId="5C765C2F" w:rsidR="5D8505AD" w:rsidRPr="00871B59" w:rsidRDefault="5D8505AD" w:rsidP="00871B59"/>
    <w:sectPr w:rsidR="5D8505AD" w:rsidRPr="00871B59" w:rsidSect="00E45F4B">
      <w:headerReference w:type="default" r:id="rId19"/>
      <w:footerReference w:type="default" r:id="rId2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8A6D0" w14:textId="77777777" w:rsidR="00425868" w:rsidRDefault="00425868" w:rsidP="00B30448">
      <w:pPr>
        <w:spacing w:after="0" w:line="240" w:lineRule="auto"/>
      </w:pPr>
      <w:r>
        <w:separator/>
      </w:r>
    </w:p>
  </w:endnote>
  <w:endnote w:type="continuationSeparator" w:id="0">
    <w:p w14:paraId="118B8C4E" w14:textId="77777777" w:rsidR="00425868" w:rsidRDefault="00425868" w:rsidP="00B30448">
      <w:pPr>
        <w:spacing w:after="0" w:line="240" w:lineRule="auto"/>
      </w:pPr>
      <w:r>
        <w:continuationSeparator/>
      </w:r>
    </w:p>
  </w:endnote>
  <w:endnote w:type="continuationNotice" w:id="1">
    <w:p w14:paraId="53089BD6" w14:textId="77777777" w:rsidR="00425868" w:rsidRDefault="00425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F7EB2" w14:textId="77777777" w:rsidR="00425868" w:rsidRDefault="00425868" w:rsidP="00B30448">
      <w:pPr>
        <w:spacing w:after="0" w:line="240" w:lineRule="auto"/>
      </w:pPr>
      <w:r>
        <w:separator/>
      </w:r>
    </w:p>
  </w:footnote>
  <w:footnote w:type="continuationSeparator" w:id="0">
    <w:p w14:paraId="517BEE28" w14:textId="77777777" w:rsidR="00425868" w:rsidRDefault="00425868" w:rsidP="00B30448">
      <w:pPr>
        <w:spacing w:after="0" w:line="240" w:lineRule="auto"/>
      </w:pPr>
      <w:r>
        <w:continuationSeparator/>
      </w:r>
    </w:p>
  </w:footnote>
  <w:footnote w:type="continuationNotice" w:id="1">
    <w:p w14:paraId="4ACD6FB4" w14:textId="77777777" w:rsidR="00425868" w:rsidRDefault="00425868">
      <w:pPr>
        <w:spacing w:after="0" w:line="240" w:lineRule="auto"/>
      </w:pPr>
    </w:p>
  </w:footnote>
  <w:footnote w:id="2">
    <w:p w14:paraId="1C94DC3F" w14:textId="77777777" w:rsidR="003675AB" w:rsidRPr="002153B5" w:rsidRDefault="003675AB" w:rsidP="003675AB">
      <w:pPr>
        <w:pStyle w:val="Textonotapie"/>
        <w:ind w:firstLine="709"/>
        <w:jc w:val="both"/>
        <w:rPr>
          <w:rFonts w:ascii="Arial" w:hAnsi="Arial" w:cs="Arial"/>
          <w:sz w:val="16"/>
          <w:szCs w:val="16"/>
        </w:rPr>
      </w:pPr>
      <w:r w:rsidRPr="002153B5">
        <w:rPr>
          <w:rStyle w:val="Refdenotaalpie"/>
          <w:rFonts w:ascii="Arial" w:hAnsi="Arial" w:cs="Arial"/>
          <w:sz w:val="16"/>
          <w:szCs w:val="16"/>
        </w:rPr>
        <w:footnoteRef/>
      </w:r>
      <w:r w:rsidRPr="002153B5">
        <w:rPr>
          <w:rFonts w:ascii="Arial" w:hAnsi="Arial" w:cs="Arial"/>
          <w:sz w:val="16"/>
          <w:szCs w:val="16"/>
        </w:rPr>
        <w:t xml:space="preserve"> </w:t>
      </w:r>
      <w:r w:rsidRPr="006B76D4">
        <w:rPr>
          <w:rFonts w:ascii="Century Gothic" w:eastAsia="Calibri" w:hAnsi="Century Gothic" w:cs="Arial"/>
          <w:color w:val="000000"/>
          <w:sz w:val="16"/>
          <w:szCs w:val="16"/>
          <w:lang w:val="es-ES_tradnl" w:eastAsia="es-ES_tradnl"/>
        </w:rPr>
        <w:t xml:space="preserve">El “Manual para verificar y determinar los requisitos habilitantes en los Procesos de Contratación” puede ser consultado en el siguiente </w:t>
      </w:r>
      <w:proofErr w:type="gramStart"/>
      <w:r w:rsidRPr="006B76D4">
        <w:rPr>
          <w:rFonts w:ascii="Century Gothic" w:eastAsia="Calibri" w:hAnsi="Century Gothic" w:cs="Arial"/>
          <w:color w:val="000000"/>
          <w:sz w:val="16"/>
          <w:szCs w:val="16"/>
          <w:lang w:val="es-ES_tradnl" w:eastAsia="es-ES_tradnl"/>
        </w:rPr>
        <w:t>link</w:t>
      </w:r>
      <w:proofErr w:type="gramEnd"/>
      <w:r w:rsidRPr="006B76D4">
        <w:rPr>
          <w:rFonts w:ascii="Century Gothic" w:eastAsia="Calibri" w:hAnsi="Century Gothic" w:cs="Arial"/>
          <w:color w:val="000000"/>
          <w:sz w:val="16"/>
          <w:szCs w:val="16"/>
          <w:lang w:val="es-ES_tradnl" w:eastAsia="es-ES_tradnl"/>
        </w:rPr>
        <w:t xml:space="preserve">: </w:t>
      </w:r>
      <w:hyperlink r:id="rId1" w:history="1">
        <w:r w:rsidRPr="006B76D4">
          <w:rPr>
            <w:rFonts w:ascii="Century Gothic" w:eastAsia="Calibri" w:hAnsi="Century Gothic" w:cs="Arial"/>
            <w:color w:val="000000"/>
            <w:sz w:val="16"/>
            <w:szCs w:val="16"/>
            <w:u w:val="single"/>
            <w:lang w:val="es-ES_tradnl" w:eastAsia="es-ES_tradnl"/>
          </w:rPr>
          <w:t>https://www.colombiacompra.gov.co/sites/cce_public/files/cce_documents/cce_manual_requisitos_habilitantes.pdf</w:t>
        </w:r>
      </w:hyperlink>
      <w:r w:rsidRPr="002153B5">
        <w:rPr>
          <w:rFonts w:ascii="Arial" w:hAnsi="Arial" w:cs="Arial"/>
          <w:sz w:val="16"/>
          <w:szCs w:val="16"/>
        </w:rPr>
        <w:t xml:space="preserve"> </w:t>
      </w:r>
    </w:p>
  </w:footnote>
  <w:footnote w:id="3">
    <w:p w14:paraId="584AFDA2" w14:textId="77777777" w:rsidR="003675AB" w:rsidRPr="006B76D4" w:rsidRDefault="003675AB" w:rsidP="003675AB">
      <w:pPr>
        <w:pStyle w:val="NormalWeb"/>
        <w:spacing w:after="0"/>
        <w:ind w:firstLine="708"/>
        <w:jc w:val="both"/>
        <w:rPr>
          <w:rFonts w:ascii="Century Gothic" w:eastAsia="Calibri" w:hAnsi="Century Gothic" w:cs="Arial"/>
          <w:color w:val="000000"/>
          <w:sz w:val="16"/>
          <w:szCs w:val="16"/>
          <w:lang w:val="es-ES_tradnl" w:eastAsia="es-ES_tradnl"/>
        </w:rPr>
      </w:pPr>
      <w:r w:rsidRPr="00736BEB">
        <w:rPr>
          <w:rStyle w:val="Refdenotaalpie"/>
          <w:rFonts w:ascii="Arial" w:hAnsi="Arial" w:cs="Arial"/>
          <w:color w:val="000000" w:themeColor="text1"/>
          <w:sz w:val="16"/>
          <w:szCs w:val="16"/>
        </w:rPr>
        <w:footnoteRef/>
      </w:r>
      <w:r w:rsidRPr="00EE1C26">
        <w:rPr>
          <w:rFonts w:ascii="Arial" w:hAnsi="Arial" w:cs="Arial"/>
          <w:color w:val="000000" w:themeColor="text1"/>
          <w:sz w:val="16"/>
          <w:szCs w:val="16"/>
        </w:rPr>
        <w:t xml:space="preserve"> </w:t>
      </w:r>
      <w:r w:rsidRPr="006B76D4">
        <w:rPr>
          <w:rFonts w:ascii="Century Gothic" w:eastAsia="Calibri" w:hAnsi="Century Gothic" w:cs="Arial"/>
          <w:color w:val="000000"/>
          <w:sz w:val="16"/>
          <w:szCs w:val="16"/>
          <w:lang w:val="es-ES_tradnl" w:eastAsia="es-ES_tradnl"/>
        </w:rPr>
        <w:t>Ley 1150 de 2007: “Artículo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FF127E3" w14:textId="77777777" w:rsidR="003675AB" w:rsidRPr="006B76D4" w:rsidRDefault="003675AB" w:rsidP="003675AB">
      <w:pPr>
        <w:pStyle w:val="NormalWeb"/>
        <w:spacing w:after="0"/>
        <w:ind w:firstLine="708"/>
        <w:jc w:val="both"/>
        <w:rPr>
          <w:rFonts w:ascii="Century Gothic" w:eastAsia="Calibri" w:hAnsi="Century Gothic" w:cs="Arial"/>
          <w:color w:val="000000"/>
          <w:sz w:val="16"/>
          <w:szCs w:val="16"/>
          <w:lang w:val="es-ES_tradnl" w:eastAsia="es-ES_tradnl"/>
        </w:rPr>
      </w:pPr>
      <w:r w:rsidRPr="006B76D4">
        <w:rPr>
          <w:rFonts w:ascii="Century Gothic" w:eastAsia="Calibri" w:hAnsi="Century Gothic" w:cs="Arial"/>
          <w:color w:val="000000"/>
          <w:sz w:val="16"/>
          <w:szCs w:val="16"/>
          <w:lang w:val="es-ES_tradnl" w:eastAsia="es-ES_tradnl"/>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19408DA" w14:textId="77777777" w:rsidR="003675AB" w:rsidRPr="00EE1C26" w:rsidRDefault="003675AB" w:rsidP="003675AB">
      <w:pPr>
        <w:pStyle w:val="NormalWeb"/>
        <w:spacing w:after="0"/>
        <w:ind w:firstLine="708"/>
        <w:jc w:val="both"/>
        <w:rPr>
          <w:rFonts w:ascii="Arial" w:hAnsi="Arial" w:cs="Arial"/>
          <w:color w:val="000000" w:themeColor="text1"/>
          <w:sz w:val="16"/>
          <w:szCs w:val="16"/>
        </w:rPr>
      </w:pPr>
      <w:r w:rsidRPr="006B76D4">
        <w:rPr>
          <w:rFonts w:ascii="Century Gothic" w:eastAsia="Calibri" w:hAnsi="Century Gothic" w:cs="Arial"/>
          <w:color w:val="000000"/>
          <w:sz w:val="16"/>
          <w:szCs w:val="16"/>
          <w:lang w:val="es-ES_tradnl" w:eastAsia="es-ES_tradnl"/>
        </w:rPr>
        <w:t>En dicho registro constará la información relacionada con la experiencia, capacidad jurídica, financiera y de organización del proponente y su clasificación”.</w:t>
      </w:r>
    </w:p>
  </w:footnote>
  <w:footnote w:id="4">
    <w:p w14:paraId="572487C8" w14:textId="77777777" w:rsidR="003675AB" w:rsidRPr="00EE1C26" w:rsidRDefault="003675AB" w:rsidP="003675AB">
      <w:pPr>
        <w:pStyle w:val="Textonotapie"/>
        <w:ind w:firstLine="709"/>
        <w:jc w:val="both"/>
        <w:rPr>
          <w:rFonts w:ascii="Arial" w:hAnsi="Arial" w:cs="Arial"/>
          <w:sz w:val="16"/>
          <w:szCs w:val="16"/>
        </w:rPr>
      </w:pPr>
    </w:p>
    <w:p w14:paraId="2F79F5C6" w14:textId="77777777" w:rsidR="003675AB" w:rsidRPr="00EE1C26" w:rsidRDefault="003675AB" w:rsidP="003675AB">
      <w:pPr>
        <w:pStyle w:val="Textonotapie"/>
        <w:ind w:firstLine="709"/>
        <w:jc w:val="both"/>
        <w:rPr>
          <w:rFonts w:ascii="Arial" w:hAnsi="Arial" w:cs="Arial"/>
          <w:sz w:val="16"/>
          <w:szCs w:val="16"/>
          <w:lang w:val="es-ES"/>
        </w:rPr>
      </w:pPr>
      <w:r w:rsidRPr="00EE1C26">
        <w:rPr>
          <w:rStyle w:val="Refdenotaalpie"/>
          <w:rFonts w:ascii="Arial" w:hAnsi="Arial" w:cs="Arial"/>
          <w:sz w:val="16"/>
          <w:szCs w:val="16"/>
        </w:rPr>
        <w:footnoteRef/>
      </w:r>
      <w:r w:rsidRPr="00EE1C26">
        <w:rPr>
          <w:rFonts w:ascii="Arial" w:hAnsi="Arial" w:cs="Arial"/>
          <w:sz w:val="16"/>
          <w:szCs w:val="16"/>
        </w:rPr>
        <w:t xml:space="preserve"> </w:t>
      </w:r>
      <w:proofErr w:type="spellStart"/>
      <w:r w:rsidRPr="006B76D4">
        <w:rPr>
          <w:rFonts w:ascii="Century Gothic" w:eastAsia="Calibri" w:hAnsi="Century Gothic" w:cs="Arial"/>
          <w:color w:val="000000"/>
          <w:sz w:val="16"/>
          <w:szCs w:val="16"/>
          <w:lang w:val="es-ES_tradnl" w:eastAsia="es-ES_tradnl"/>
        </w:rPr>
        <w:t>Ibídem</w:t>
      </w:r>
      <w:proofErr w:type="spellEnd"/>
      <w:r w:rsidRPr="006B76D4">
        <w:rPr>
          <w:rFonts w:ascii="Century Gothic" w:eastAsia="Calibri" w:hAnsi="Century Gothic" w:cs="Arial"/>
          <w:color w:val="000000"/>
          <w:sz w:val="16"/>
          <w:szCs w:val="16"/>
          <w:lang w:val="es-ES_tradnl" w:eastAsia="es-ES_tradnl"/>
        </w:rPr>
        <w:t>.</w:t>
      </w:r>
    </w:p>
    <w:p w14:paraId="74D678E7" w14:textId="77777777" w:rsidR="003675AB" w:rsidRPr="00EE1C26" w:rsidRDefault="003675AB" w:rsidP="003675AB">
      <w:pPr>
        <w:pStyle w:val="Textonotapie"/>
        <w:ind w:firstLine="709"/>
        <w:jc w:val="both"/>
        <w:rPr>
          <w:rFonts w:ascii="Arial" w:hAnsi="Arial" w:cs="Arial"/>
          <w:sz w:val="16"/>
          <w:szCs w:val="16"/>
          <w:lang w:val="es-ES"/>
        </w:rPr>
      </w:pPr>
    </w:p>
  </w:footnote>
  <w:footnote w:id="5">
    <w:p w14:paraId="62E93D29" w14:textId="77777777" w:rsidR="003675AB" w:rsidRPr="006B76D4" w:rsidRDefault="003675AB" w:rsidP="003675AB">
      <w:pPr>
        <w:pStyle w:val="Textonotapie"/>
        <w:ind w:firstLine="708"/>
        <w:jc w:val="both"/>
        <w:rPr>
          <w:rFonts w:ascii="Century Gothic" w:eastAsia="Calibri" w:hAnsi="Century Gothic" w:cs="Arial"/>
          <w:color w:val="000000"/>
          <w:sz w:val="16"/>
          <w:szCs w:val="16"/>
          <w:lang w:val="es-ES_tradnl" w:eastAsia="es-ES_tradnl"/>
        </w:rPr>
      </w:pPr>
      <w:r w:rsidRPr="006B76D4">
        <w:rPr>
          <w:rFonts w:ascii="Century Gothic" w:eastAsia="Calibri" w:hAnsi="Century Gothic"/>
          <w:color w:val="000000"/>
          <w:sz w:val="16"/>
          <w:szCs w:val="16"/>
          <w:lang w:val="es-ES_tradnl" w:eastAsia="es-ES_tradnl"/>
        </w:rPr>
        <w:footnoteRef/>
      </w:r>
      <w:r w:rsidRPr="006B76D4">
        <w:rPr>
          <w:rFonts w:ascii="Century Gothic" w:eastAsia="Calibri" w:hAnsi="Century Gothic" w:cs="Arial"/>
          <w:color w:val="000000"/>
          <w:sz w:val="16"/>
          <w:szCs w:val="16"/>
          <w:lang w:val="es-ES_tradnl" w:eastAsia="es-ES_tradnl"/>
        </w:rPr>
        <w:t xml:space="preserve"> Para la realización de los respectivos análisis del sector de los Procesos de Contratación, esta Agencia recomienda tener en cuenta la última modificación de la “Guía de Elaboración de Estudios del Sector”, que puede ser consultada en el siguiente </w:t>
      </w:r>
      <w:proofErr w:type="gramStart"/>
      <w:r w:rsidRPr="006B76D4">
        <w:rPr>
          <w:rFonts w:ascii="Century Gothic" w:eastAsia="Calibri" w:hAnsi="Century Gothic" w:cs="Arial"/>
          <w:color w:val="000000"/>
          <w:sz w:val="16"/>
          <w:szCs w:val="16"/>
          <w:lang w:val="es-ES_tradnl" w:eastAsia="es-ES_tradnl"/>
        </w:rPr>
        <w:t>link</w:t>
      </w:r>
      <w:proofErr w:type="gramEnd"/>
      <w:r w:rsidRPr="006B76D4">
        <w:rPr>
          <w:rFonts w:ascii="Century Gothic" w:eastAsia="Calibri" w:hAnsi="Century Gothic" w:cs="Arial"/>
          <w:color w:val="000000"/>
          <w:sz w:val="16"/>
          <w:szCs w:val="16"/>
          <w:lang w:val="es-ES_tradnl" w:eastAsia="es-ES_tradnl"/>
        </w:rPr>
        <w:t xml:space="preserve">: </w:t>
      </w:r>
      <w:hyperlink r:id="rId2" w:history="1">
        <w:r w:rsidRPr="006B76D4">
          <w:rPr>
            <w:rFonts w:ascii="Century Gothic" w:hAnsi="Century Gothic"/>
            <w:color w:val="000000"/>
            <w:sz w:val="16"/>
            <w:szCs w:val="16"/>
            <w:lang w:val="es-ES_tradnl" w:eastAsia="es-ES_tradnl"/>
          </w:rPr>
          <w:t>https://www.colombiacompra.gov.co/sites/cce_public/files/cce_documentos/cce-eicp-gi-18._gees_v.2_2.pdf</w:t>
        </w:r>
      </w:hyperlink>
      <w:r w:rsidRPr="006B76D4">
        <w:rPr>
          <w:rFonts w:ascii="Century Gothic" w:eastAsia="Calibri" w:hAnsi="Century Gothic" w:cs="Arial"/>
          <w:color w:val="000000"/>
          <w:sz w:val="16"/>
          <w:szCs w:val="16"/>
          <w:lang w:val="es-ES_tradnl" w:eastAsia="es-ES_tradnl"/>
        </w:rPr>
        <w:t xml:space="preserve"> </w:t>
      </w:r>
    </w:p>
    <w:p w14:paraId="28DC48DB" w14:textId="77777777" w:rsidR="003675AB" w:rsidRPr="006B76D4" w:rsidRDefault="003675AB" w:rsidP="003675AB">
      <w:pPr>
        <w:pStyle w:val="Textonotapie"/>
        <w:ind w:firstLine="708"/>
        <w:jc w:val="both"/>
        <w:rPr>
          <w:rFonts w:ascii="Century Gothic" w:eastAsia="Calibri" w:hAnsi="Century Gothic" w:cs="Arial"/>
          <w:color w:val="000000"/>
          <w:sz w:val="16"/>
          <w:szCs w:val="16"/>
          <w:lang w:val="es-ES_tradnl" w:eastAsia="es-ES_tradnl"/>
        </w:rPr>
      </w:pPr>
    </w:p>
  </w:footnote>
  <w:footnote w:id="6">
    <w:p w14:paraId="25E3AFCF" w14:textId="77777777" w:rsidR="003675AB" w:rsidRPr="006B76D4" w:rsidRDefault="003675AB" w:rsidP="003675AB">
      <w:pPr>
        <w:pStyle w:val="Textonotapie"/>
        <w:ind w:firstLine="708"/>
        <w:jc w:val="both"/>
        <w:rPr>
          <w:rFonts w:ascii="Century Gothic" w:eastAsia="Calibri" w:hAnsi="Century Gothic" w:cs="Arial"/>
          <w:color w:val="000000"/>
          <w:sz w:val="16"/>
          <w:szCs w:val="16"/>
          <w:lang w:val="es-ES_tradnl" w:eastAsia="es-ES_tradnl"/>
        </w:rPr>
      </w:pPr>
      <w:r w:rsidRPr="006B76D4">
        <w:rPr>
          <w:rFonts w:ascii="Century Gothic" w:eastAsia="Calibri" w:hAnsi="Century Gothic"/>
          <w:color w:val="000000"/>
          <w:sz w:val="16"/>
          <w:szCs w:val="16"/>
          <w:lang w:val="es-ES_tradnl" w:eastAsia="es-ES_tradnl"/>
        </w:rPr>
        <w:footnoteRef/>
      </w:r>
      <w:r w:rsidRPr="006B76D4">
        <w:rPr>
          <w:rFonts w:ascii="Century Gothic" w:eastAsia="Calibri" w:hAnsi="Century Gothic" w:cs="Arial"/>
          <w:color w:val="000000"/>
          <w:sz w:val="16"/>
          <w:szCs w:val="16"/>
          <w:lang w:val="es-ES_tradnl" w:eastAsia="es-ES_tradnl"/>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7">
    <w:p w14:paraId="2ADC5F28" w14:textId="77777777" w:rsidR="003675AB" w:rsidRPr="006B76D4" w:rsidRDefault="003675AB" w:rsidP="003675AB">
      <w:pPr>
        <w:pStyle w:val="Textonotapie"/>
        <w:ind w:firstLine="708"/>
        <w:rPr>
          <w:rFonts w:ascii="Century Gothic" w:eastAsia="Calibri" w:hAnsi="Century Gothic" w:cs="Arial"/>
          <w:color w:val="000000"/>
          <w:sz w:val="16"/>
          <w:szCs w:val="16"/>
          <w:lang w:val="es-ES_tradnl" w:eastAsia="es-ES_tradnl"/>
        </w:rPr>
      </w:pPr>
    </w:p>
    <w:p w14:paraId="633B5BE5" w14:textId="77777777" w:rsidR="003675AB" w:rsidRPr="006B76D4" w:rsidRDefault="003675AB" w:rsidP="003675AB">
      <w:pPr>
        <w:pStyle w:val="Textonotapie"/>
        <w:ind w:firstLine="708"/>
        <w:jc w:val="both"/>
        <w:rPr>
          <w:rFonts w:ascii="Century Gothic" w:eastAsia="Calibri" w:hAnsi="Century Gothic" w:cs="Arial"/>
          <w:color w:val="000000"/>
          <w:sz w:val="16"/>
          <w:szCs w:val="16"/>
          <w:lang w:val="es-ES_tradnl" w:eastAsia="es-ES_tradnl"/>
        </w:rPr>
      </w:pPr>
      <w:r w:rsidRPr="006B76D4">
        <w:rPr>
          <w:rFonts w:ascii="Century Gothic" w:eastAsia="Calibri" w:hAnsi="Century Gothic"/>
          <w:color w:val="000000"/>
          <w:sz w:val="16"/>
          <w:szCs w:val="16"/>
          <w:lang w:val="es-ES_tradnl" w:eastAsia="es-ES_tradnl"/>
        </w:rPr>
        <w:footnoteRef/>
      </w:r>
      <w:r w:rsidRPr="006B76D4">
        <w:rPr>
          <w:rFonts w:ascii="Century Gothic" w:eastAsia="Calibri" w:hAnsi="Century Gothic" w:cs="Arial"/>
          <w:color w:val="000000"/>
          <w:sz w:val="16"/>
          <w:szCs w:val="16"/>
          <w:lang w:val="es-ES_tradnl" w:eastAsia="es-ES_tradnl"/>
        </w:rPr>
        <w:t xml:space="preserve"> Decreto 1082 de 2015: “</w:t>
      </w:r>
      <w:r w:rsidRPr="006B76D4">
        <w:rPr>
          <w:rFonts w:ascii="Century Gothic" w:eastAsia="Calibri" w:hAnsi="Century Gothic"/>
          <w:b/>
          <w:bCs/>
          <w:sz w:val="16"/>
          <w:szCs w:val="16"/>
          <w:lang w:val="es-ES_tradnl" w:eastAsia="es-ES_tradnl"/>
        </w:rPr>
        <w:t>Artículo 2.2.1.1.1.5.2. </w:t>
      </w:r>
      <w:r w:rsidRPr="006B76D4">
        <w:rPr>
          <w:rFonts w:ascii="Century Gothic" w:eastAsia="Calibri" w:hAnsi="Century Gothic"/>
          <w:i/>
          <w:iCs/>
          <w:sz w:val="16"/>
          <w:szCs w:val="16"/>
          <w:lang w:val="es-ES_tradnl" w:eastAsia="es-ES_tradnl"/>
        </w:rPr>
        <w:t>Información para inscripción, renovación o actualización. </w:t>
      </w:r>
      <w:r w:rsidRPr="006B76D4">
        <w:rPr>
          <w:rFonts w:ascii="Century Gothic" w:eastAsia="Calibri" w:hAnsi="Century Gothic" w:cs="Arial"/>
          <w:color w:val="000000"/>
          <w:sz w:val="16"/>
          <w:szCs w:val="16"/>
          <w:lang w:val="es-ES_tradnl" w:eastAsia="es-ES_tradnl"/>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77413C46" w14:textId="77777777" w:rsidR="003675AB" w:rsidRPr="006B76D4" w:rsidRDefault="003675AB" w:rsidP="003675AB">
      <w:pPr>
        <w:pStyle w:val="Textonotapie"/>
        <w:ind w:firstLine="708"/>
        <w:jc w:val="both"/>
        <w:rPr>
          <w:rFonts w:ascii="Century Gothic" w:eastAsia="Calibri" w:hAnsi="Century Gothic" w:cs="Arial"/>
          <w:color w:val="000000"/>
          <w:sz w:val="16"/>
          <w:szCs w:val="16"/>
          <w:lang w:val="es-ES_tradnl" w:eastAsia="es-ES_tradnl"/>
        </w:rPr>
      </w:pPr>
      <w:r w:rsidRPr="006B76D4">
        <w:rPr>
          <w:rFonts w:ascii="Century Gothic" w:eastAsia="Calibri" w:hAnsi="Century Gothic" w:cs="Arial"/>
          <w:color w:val="000000"/>
          <w:sz w:val="16"/>
          <w:szCs w:val="16"/>
          <w:lang w:val="es-ES_tradnl" w:eastAsia="es-ES_tradnl"/>
        </w:rPr>
        <w:t>[…]</w:t>
      </w:r>
    </w:p>
    <w:p w14:paraId="1CB252B3" w14:textId="77777777" w:rsidR="003675AB" w:rsidRPr="006B76D4" w:rsidRDefault="003675AB" w:rsidP="003675AB">
      <w:pPr>
        <w:pStyle w:val="Textonotapie"/>
        <w:ind w:firstLine="708"/>
        <w:jc w:val="both"/>
        <w:rPr>
          <w:rFonts w:ascii="Century Gothic" w:eastAsia="Calibri" w:hAnsi="Century Gothic" w:cs="Arial"/>
          <w:color w:val="000000"/>
          <w:sz w:val="16"/>
          <w:szCs w:val="16"/>
          <w:lang w:val="es-ES_tradnl" w:eastAsia="es-ES_tradnl"/>
        </w:rPr>
      </w:pPr>
      <w:r w:rsidRPr="006B76D4">
        <w:rPr>
          <w:rFonts w:ascii="Century Gothic" w:eastAsia="Calibri" w:hAnsi="Century Gothic" w:cs="Arial"/>
          <w:color w:val="000000"/>
          <w:sz w:val="16"/>
          <w:szCs w:val="16"/>
          <w:lang w:val="es-ES_tradnl" w:eastAsia="es-ES_tradnl"/>
        </w:rPr>
        <w:t xml:space="preserve">2.3.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w:t>
      </w:r>
    </w:p>
    <w:p w14:paraId="001B6DE1" w14:textId="77777777" w:rsidR="003675AB" w:rsidRPr="006B76D4" w:rsidRDefault="003675AB" w:rsidP="003675AB">
      <w:pPr>
        <w:pStyle w:val="Textonotapie"/>
        <w:ind w:firstLine="708"/>
        <w:jc w:val="both"/>
        <w:rPr>
          <w:rFonts w:ascii="Century Gothic" w:eastAsia="Calibri" w:hAnsi="Century Gothic" w:cs="Arial"/>
          <w:color w:val="000000"/>
          <w:sz w:val="16"/>
          <w:szCs w:val="16"/>
          <w:lang w:val="es-ES_tradnl" w:eastAsia="es-ES_tradnl"/>
        </w:rPr>
      </w:pPr>
      <w:r w:rsidRPr="006B76D4">
        <w:rPr>
          <w:rFonts w:ascii="Century Gothic" w:eastAsia="Calibri" w:hAnsi="Century Gothic" w:cs="Arial"/>
          <w:color w:val="000000"/>
          <w:sz w:val="16"/>
          <w:szCs w:val="16"/>
          <w:lang w:val="es-ES_tradnl" w:eastAsia="es-ES_tradnl"/>
        </w:rPr>
        <w:t xml:space="preserve">I. Principales cuentas detalladas del balance general. </w:t>
      </w:r>
    </w:p>
    <w:p w14:paraId="375303D7" w14:textId="77777777" w:rsidR="003675AB" w:rsidRPr="006B76D4" w:rsidRDefault="003675AB" w:rsidP="003675AB">
      <w:pPr>
        <w:pStyle w:val="Textonotapie"/>
        <w:ind w:firstLine="708"/>
        <w:jc w:val="both"/>
        <w:rPr>
          <w:rFonts w:ascii="Century Gothic" w:eastAsia="Calibri" w:hAnsi="Century Gothic" w:cs="Arial"/>
          <w:color w:val="000000"/>
          <w:sz w:val="16"/>
          <w:szCs w:val="16"/>
          <w:lang w:val="es-ES_tradnl" w:eastAsia="es-ES_tradnl"/>
        </w:rPr>
      </w:pPr>
      <w:r w:rsidRPr="006B76D4">
        <w:rPr>
          <w:rFonts w:ascii="Century Gothic" w:eastAsia="Calibri" w:hAnsi="Century Gothic" w:cs="Arial"/>
          <w:color w:val="000000"/>
          <w:sz w:val="16"/>
          <w:szCs w:val="16"/>
          <w:lang w:val="es-ES_tradnl" w:eastAsia="es-ES_tradnl"/>
        </w:rPr>
        <w:t xml:space="preserve">II. Principales cuentas del estado de pérdidas y ganancias. </w:t>
      </w:r>
    </w:p>
    <w:p w14:paraId="06C7244E" w14:textId="77777777" w:rsidR="003675AB" w:rsidRPr="006B76D4" w:rsidRDefault="003675AB" w:rsidP="003675AB">
      <w:pPr>
        <w:pStyle w:val="Textonotapie"/>
        <w:ind w:firstLine="708"/>
        <w:jc w:val="both"/>
        <w:rPr>
          <w:rFonts w:ascii="Century Gothic" w:eastAsia="Calibri" w:hAnsi="Century Gothic" w:cs="Arial"/>
          <w:color w:val="000000"/>
          <w:sz w:val="16"/>
          <w:szCs w:val="16"/>
          <w:lang w:val="es-ES_tradnl" w:eastAsia="es-ES_tradnl"/>
        </w:rPr>
      </w:pPr>
      <w:r w:rsidRPr="006B76D4">
        <w:rPr>
          <w:rFonts w:ascii="Century Gothic" w:eastAsia="Calibri" w:hAnsi="Century Gothic" w:cs="Arial"/>
          <w:color w:val="000000"/>
          <w:sz w:val="16"/>
          <w:szCs w:val="16"/>
          <w:lang w:val="es-ES_tradnl" w:eastAsia="es-ES_tradnl"/>
        </w:rPr>
        <w:t xml:space="preserve">III. Cuentas contingentes deudoras y acreedoras. </w:t>
      </w:r>
    </w:p>
    <w:p w14:paraId="20C873FE" w14:textId="77777777" w:rsidR="003675AB" w:rsidRPr="00EE1C26" w:rsidRDefault="003675AB" w:rsidP="003675AB">
      <w:pPr>
        <w:pStyle w:val="Textonotapie"/>
        <w:ind w:firstLine="708"/>
        <w:jc w:val="both"/>
        <w:rPr>
          <w:rFonts w:ascii="Arial" w:hAnsi="Arial" w:cs="Arial"/>
          <w:sz w:val="16"/>
          <w:szCs w:val="16"/>
        </w:rPr>
      </w:pPr>
      <w:r w:rsidRPr="006B76D4">
        <w:rPr>
          <w:rFonts w:ascii="Century Gothic" w:eastAsia="Calibri" w:hAnsi="Century Gothic" w:cs="Arial"/>
          <w:color w:val="000000"/>
          <w:sz w:val="16"/>
          <w:szCs w:val="16"/>
          <w:lang w:val="es-ES_tradnl" w:eastAsia="es-ES_tradnl"/>
        </w:rPr>
        <w:t>Si el interesado no tiene antigüedad suficiente para tener estados financieros auditados a 31 de diciembre, debe inscribirse con estados financieros de corte trimestral, suscritos por el representante legal y el auditor o contador o estados financieros de apertura[...]”</w:t>
      </w:r>
      <w:r w:rsidRPr="00EE1C26">
        <w:rPr>
          <w:rFonts w:ascii="Arial" w:hAnsi="Arial" w:cs="Arial"/>
          <w:sz w:val="16"/>
          <w:szCs w:val="16"/>
        </w:rPr>
        <w:t xml:space="preserve">  </w:t>
      </w:r>
    </w:p>
  </w:footnote>
  <w:footnote w:id="8">
    <w:p w14:paraId="45169ED4" w14:textId="77777777" w:rsidR="003675AB" w:rsidRPr="006B76D4" w:rsidRDefault="003675AB" w:rsidP="003675AB">
      <w:pPr>
        <w:pStyle w:val="Textonotapie"/>
        <w:ind w:firstLine="708"/>
        <w:jc w:val="both"/>
        <w:rPr>
          <w:rFonts w:ascii="Century Gothic" w:eastAsia="Calibri" w:hAnsi="Century Gothic" w:cs="Arial"/>
          <w:color w:val="000000"/>
          <w:sz w:val="16"/>
          <w:szCs w:val="16"/>
          <w:lang w:val="es-ES_tradnl" w:eastAsia="es-ES_tradnl"/>
        </w:rPr>
      </w:pPr>
      <w:r w:rsidRPr="002153B5">
        <w:rPr>
          <w:rStyle w:val="Refdenotaalpie"/>
          <w:rFonts w:ascii="Arial" w:hAnsi="Arial" w:cs="Arial"/>
          <w:sz w:val="16"/>
          <w:szCs w:val="16"/>
        </w:rPr>
        <w:footnoteRef/>
      </w:r>
      <w:r w:rsidRPr="002153B5">
        <w:rPr>
          <w:rFonts w:ascii="Arial" w:hAnsi="Arial" w:cs="Arial"/>
          <w:sz w:val="16"/>
          <w:szCs w:val="16"/>
        </w:rPr>
        <w:t xml:space="preserve"> </w:t>
      </w:r>
      <w:r w:rsidRPr="006B76D4">
        <w:rPr>
          <w:rFonts w:ascii="Century Gothic" w:eastAsia="Calibri" w:hAnsi="Century Gothic" w:cs="Arial"/>
          <w:color w:val="000000"/>
          <w:sz w:val="16"/>
          <w:szCs w:val="16"/>
          <w:lang w:val="es-ES_tradnl" w:eastAsia="es-ES_tradnl"/>
        </w:rPr>
        <w:t>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0FD816C4" w14:textId="77777777" w:rsidR="003675AB" w:rsidRPr="006B76D4" w:rsidRDefault="003675AB" w:rsidP="003675AB">
      <w:pPr>
        <w:pStyle w:val="Textonotapie"/>
        <w:ind w:firstLine="708"/>
        <w:jc w:val="both"/>
        <w:rPr>
          <w:rFonts w:ascii="Century Gothic" w:eastAsia="Calibri" w:hAnsi="Century Gothic" w:cs="Arial"/>
          <w:color w:val="000000"/>
          <w:sz w:val="16"/>
          <w:szCs w:val="16"/>
          <w:lang w:val="es-ES_tradnl" w:eastAsia="es-ES_tradnl"/>
        </w:rPr>
      </w:pPr>
    </w:p>
  </w:footnote>
  <w:footnote w:id="9">
    <w:p w14:paraId="6FEE1852" w14:textId="77777777" w:rsidR="003675AB" w:rsidRPr="006B76D4" w:rsidRDefault="003675AB" w:rsidP="003675AB">
      <w:pPr>
        <w:pStyle w:val="Textonotapie"/>
        <w:ind w:firstLine="708"/>
        <w:jc w:val="both"/>
        <w:rPr>
          <w:rFonts w:ascii="Century Gothic" w:eastAsia="Calibri" w:hAnsi="Century Gothic" w:cs="Arial"/>
          <w:color w:val="000000"/>
          <w:sz w:val="16"/>
          <w:szCs w:val="16"/>
          <w:lang w:val="es-ES_tradnl" w:eastAsia="es-ES_tradnl"/>
        </w:rPr>
      </w:pPr>
      <w:r w:rsidRPr="00286161">
        <w:rPr>
          <w:rFonts w:ascii="Century Gothic" w:eastAsia="Calibri" w:hAnsi="Century Gothic"/>
          <w:color w:val="000000"/>
          <w:vertAlign w:val="superscript"/>
          <w:lang w:val="es-ES_tradnl" w:eastAsia="es-ES_tradnl"/>
        </w:rPr>
        <w:footnoteRef/>
      </w:r>
      <w:r w:rsidRPr="00286161">
        <w:rPr>
          <w:rFonts w:ascii="Century Gothic" w:eastAsia="Calibri" w:hAnsi="Century Gothic" w:cs="Arial"/>
          <w:color w:val="000000"/>
          <w:sz w:val="16"/>
          <w:szCs w:val="16"/>
          <w:vertAlign w:val="superscript"/>
          <w:lang w:val="es-ES_tradnl" w:eastAsia="es-ES_tradnl"/>
        </w:rPr>
        <w:t xml:space="preserve"> </w:t>
      </w:r>
      <w:r w:rsidRPr="006B76D4">
        <w:rPr>
          <w:rFonts w:ascii="Century Gothic" w:eastAsia="Calibri" w:hAnsi="Century Gothic" w:cs="Arial"/>
          <w:color w:val="000000"/>
          <w:sz w:val="16"/>
          <w:szCs w:val="16"/>
          <w:lang w:val="es-ES_tradnl" w:eastAsia="es-ES_tradnl"/>
        </w:rPr>
        <w:t>Agencia Nacional de Contratación Pública – Colombia Compra Eficiente, “Manual para determinar y verificar los requisitos habilitantes en los Procesos de Contratación”.</w:t>
      </w:r>
    </w:p>
    <w:p w14:paraId="1C27E7B2" w14:textId="77777777" w:rsidR="003675AB" w:rsidRPr="002153B5" w:rsidRDefault="003675AB" w:rsidP="003675AB">
      <w:pPr>
        <w:pStyle w:val="Textonotapie"/>
        <w:ind w:firstLine="567"/>
        <w:jc w:val="both"/>
        <w:rPr>
          <w:rFonts w:ascii="Arial" w:hAnsi="Arial" w:cs="Arial"/>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011BB7"/>
    <w:multiLevelType w:val="multilevel"/>
    <w:tmpl w:val="D44C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73360D2"/>
    <w:multiLevelType w:val="multilevel"/>
    <w:tmpl w:val="4AE8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445982"/>
    <w:multiLevelType w:val="hybridMultilevel"/>
    <w:tmpl w:val="B694C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347A2E"/>
    <w:multiLevelType w:val="hybridMultilevel"/>
    <w:tmpl w:val="08D64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50159B"/>
    <w:multiLevelType w:val="hybridMultilevel"/>
    <w:tmpl w:val="2B76B7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0FE91606"/>
    <w:multiLevelType w:val="hybridMultilevel"/>
    <w:tmpl w:val="99EA2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25E5383"/>
    <w:multiLevelType w:val="multilevel"/>
    <w:tmpl w:val="0942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B7509"/>
    <w:multiLevelType w:val="multilevel"/>
    <w:tmpl w:val="69F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304681"/>
    <w:multiLevelType w:val="hybridMultilevel"/>
    <w:tmpl w:val="46405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CF543C8"/>
    <w:multiLevelType w:val="hybridMultilevel"/>
    <w:tmpl w:val="FFBEA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6B5018"/>
    <w:multiLevelType w:val="hybridMultilevel"/>
    <w:tmpl w:val="F59E2E2C"/>
    <w:lvl w:ilvl="0" w:tplc="240A0001">
      <w:start w:val="1"/>
      <w:numFmt w:val="bullet"/>
      <w:lvlText w:val=""/>
      <w:lvlJc w:val="left"/>
      <w:pPr>
        <w:ind w:left="1427" w:hanging="360"/>
      </w:pPr>
      <w:rPr>
        <w:rFonts w:ascii="Symbol" w:hAnsi="Symbol" w:hint="default"/>
      </w:rPr>
    </w:lvl>
    <w:lvl w:ilvl="1" w:tplc="240A0003" w:tentative="1">
      <w:start w:val="1"/>
      <w:numFmt w:val="bullet"/>
      <w:lvlText w:val="o"/>
      <w:lvlJc w:val="left"/>
      <w:pPr>
        <w:ind w:left="2147" w:hanging="360"/>
      </w:pPr>
      <w:rPr>
        <w:rFonts w:ascii="Courier New" w:hAnsi="Courier New" w:cs="Courier New" w:hint="default"/>
      </w:rPr>
    </w:lvl>
    <w:lvl w:ilvl="2" w:tplc="240A0005" w:tentative="1">
      <w:start w:val="1"/>
      <w:numFmt w:val="bullet"/>
      <w:lvlText w:val=""/>
      <w:lvlJc w:val="left"/>
      <w:pPr>
        <w:ind w:left="2867" w:hanging="360"/>
      </w:pPr>
      <w:rPr>
        <w:rFonts w:ascii="Wingdings" w:hAnsi="Wingdings" w:hint="default"/>
      </w:rPr>
    </w:lvl>
    <w:lvl w:ilvl="3" w:tplc="240A0001" w:tentative="1">
      <w:start w:val="1"/>
      <w:numFmt w:val="bullet"/>
      <w:lvlText w:val=""/>
      <w:lvlJc w:val="left"/>
      <w:pPr>
        <w:ind w:left="3587" w:hanging="360"/>
      </w:pPr>
      <w:rPr>
        <w:rFonts w:ascii="Symbol" w:hAnsi="Symbol" w:hint="default"/>
      </w:rPr>
    </w:lvl>
    <w:lvl w:ilvl="4" w:tplc="240A0003" w:tentative="1">
      <w:start w:val="1"/>
      <w:numFmt w:val="bullet"/>
      <w:lvlText w:val="o"/>
      <w:lvlJc w:val="left"/>
      <w:pPr>
        <w:ind w:left="4307" w:hanging="360"/>
      </w:pPr>
      <w:rPr>
        <w:rFonts w:ascii="Courier New" w:hAnsi="Courier New" w:cs="Courier New" w:hint="default"/>
      </w:rPr>
    </w:lvl>
    <w:lvl w:ilvl="5" w:tplc="240A0005" w:tentative="1">
      <w:start w:val="1"/>
      <w:numFmt w:val="bullet"/>
      <w:lvlText w:val=""/>
      <w:lvlJc w:val="left"/>
      <w:pPr>
        <w:ind w:left="5027" w:hanging="360"/>
      </w:pPr>
      <w:rPr>
        <w:rFonts w:ascii="Wingdings" w:hAnsi="Wingdings" w:hint="default"/>
      </w:rPr>
    </w:lvl>
    <w:lvl w:ilvl="6" w:tplc="240A0001" w:tentative="1">
      <w:start w:val="1"/>
      <w:numFmt w:val="bullet"/>
      <w:lvlText w:val=""/>
      <w:lvlJc w:val="left"/>
      <w:pPr>
        <w:ind w:left="5747" w:hanging="360"/>
      </w:pPr>
      <w:rPr>
        <w:rFonts w:ascii="Symbol" w:hAnsi="Symbol" w:hint="default"/>
      </w:rPr>
    </w:lvl>
    <w:lvl w:ilvl="7" w:tplc="240A0003" w:tentative="1">
      <w:start w:val="1"/>
      <w:numFmt w:val="bullet"/>
      <w:lvlText w:val="o"/>
      <w:lvlJc w:val="left"/>
      <w:pPr>
        <w:ind w:left="6467" w:hanging="360"/>
      </w:pPr>
      <w:rPr>
        <w:rFonts w:ascii="Courier New" w:hAnsi="Courier New" w:cs="Courier New" w:hint="default"/>
      </w:rPr>
    </w:lvl>
    <w:lvl w:ilvl="8" w:tplc="240A0005" w:tentative="1">
      <w:start w:val="1"/>
      <w:numFmt w:val="bullet"/>
      <w:lvlText w:val=""/>
      <w:lvlJc w:val="left"/>
      <w:pPr>
        <w:ind w:left="7187" w:hanging="360"/>
      </w:pPr>
      <w:rPr>
        <w:rFonts w:ascii="Wingdings" w:hAnsi="Wingdings" w:hint="default"/>
      </w:rPr>
    </w:lvl>
  </w:abstractNum>
  <w:abstractNum w:abstractNumId="18" w15:restartNumberingAfterBreak="0">
    <w:nsid w:val="453841F3"/>
    <w:multiLevelType w:val="hybridMultilevel"/>
    <w:tmpl w:val="7570D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20" w15:restartNumberingAfterBreak="0">
    <w:nsid w:val="522C350D"/>
    <w:multiLevelType w:val="hybridMultilevel"/>
    <w:tmpl w:val="89B6917E"/>
    <w:lvl w:ilvl="0" w:tplc="A7B2FCBE">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540506B6"/>
    <w:multiLevelType w:val="hybridMultilevel"/>
    <w:tmpl w:val="974E0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4178A9"/>
    <w:multiLevelType w:val="hybridMultilevel"/>
    <w:tmpl w:val="7486A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4D1A50"/>
    <w:multiLevelType w:val="hybridMultilevel"/>
    <w:tmpl w:val="4E0A28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6D1751AC"/>
    <w:multiLevelType w:val="hybridMultilevel"/>
    <w:tmpl w:val="000ADD0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5" w15:restartNumberingAfterBreak="0">
    <w:nsid w:val="71994FE8"/>
    <w:multiLevelType w:val="hybridMultilevel"/>
    <w:tmpl w:val="59A0D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90670214">
    <w:abstractNumId w:val="14"/>
  </w:num>
  <w:num w:numId="2" w16cid:durableId="4285022">
    <w:abstractNumId w:val="3"/>
  </w:num>
  <w:num w:numId="3" w16cid:durableId="881983949">
    <w:abstractNumId w:val="9"/>
  </w:num>
  <w:num w:numId="4" w16cid:durableId="341274352">
    <w:abstractNumId w:val="0"/>
  </w:num>
  <w:num w:numId="5" w16cid:durableId="1887524674">
    <w:abstractNumId w:val="19"/>
  </w:num>
  <w:num w:numId="6" w16cid:durableId="1082990391">
    <w:abstractNumId w:val="2"/>
  </w:num>
  <w:num w:numId="7" w16cid:durableId="1492209491">
    <w:abstractNumId w:val="13"/>
  </w:num>
  <w:num w:numId="8" w16cid:durableId="679089576">
    <w:abstractNumId w:val="15"/>
  </w:num>
  <w:num w:numId="9" w16cid:durableId="2123767494">
    <w:abstractNumId w:val="18"/>
  </w:num>
  <w:num w:numId="10" w16cid:durableId="1391228846">
    <w:abstractNumId w:val="12"/>
  </w:num>
  <w:num w:numId="11" w16cid:durableId="15233557">
    <w:abstractNumId w:val="23"/>
  </w:num>
  <w:num w:numId="12" w16cid:durableId="354035714">
    <w:abstractNumId w:val="5"/>
  </w:num>
  <w:num w:numId="13" w16cid:durableId="101463356">
    <w:abstractNumId w:val="7"/>
  </w:num>
  <w:num w:numId="14" w16cid:durableId="190606430">
    <w:abstractNumId w:val="6"/>
  </w:num>
  <w:num w:numId="15" w16cid:durableId="1150177500">
    <w:abstractNumId w:val="16"/>
  </w:num>
  <w:num w:numId="16" w16cid:durableId="1117799111">
    <w:abstractNumId w:val="8"/>
  </w:num>
  <w:num w:numId="17" w16cid:durableId="2146727359">
    <w:abstractNumId w:val="24"/>
  </w:num>
  <w:num w:numId="18" w16cid:durableId="1016154943">
    <w:abstractNumId w:val="25"/>
  </w:num>
  <w:num w:numId="19" w16cid:durableId="2097506960">
    <w:abstractNumId w:val="22"/>
  </w:num>
  <w:num w:numId="20" w16cid:durableId="475490479">
    <w:abstractNumId w:val="17"/>
  </w:num>
  <w:num w:numId="21" w16cid:durableId="1977490869">
    <w:abstractNumId w:val="21"/>
  </w:num>
  <w:num w:numId="22" w16cid:durableId="158663248">
    <w:abstractNumId w:val="20"/>
  </w:num>
  <w:num w:numId="23" w16cid:durableId="1179001820">
    <w:abstractNumId w:val="11"/>
  </w:num>
  <w:num w:numId="24" w16cid:durableId="348262916">
    <w:abstractNumId w:val="1"/>
  </w:num>
  <w:num w:numId="25" w16cid:durableId="1937397878">
    <w:abstractNumId w:val="10"/>
  </w:num>
  <w:num w:numId="26" w16cid:durableId="1329869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74178"/>
    <w:rsid w:val="00074F4E"/>
    <w:rsid w:val="00082E4C"/>
    <w:rsid w:val="000849D5"/>
    <w:rsid w:val="0008528F"/>
    <w:rsid w:val="000A6E0C"/>
    <w:rsid w:val="000A7A56"/>
    <w:rsid w:val="000B1FF7"/>
    <w:rsid w:val="000B2513"/>
    <w:rsid w:val="000B4024"/>
    <w:rsid w:val="000C3C51"/>
    <w:rsid w:val="000C7262"/>
    <w:rsid w:val="000D2A7F"/>
    <w:rsid w:val="000D4FCE"/>
    <w:rsid w:val="0011037E"/>
    <w:rsid w:val="001363C7"/>
    <w:rsid w:val="00141AC5"/>
    <w:rsid w:val="00146B11"/>
    <w:rsid w:val="00147A04"/>
    <w:rsid w:val="001509AF"/>
    <w:rsid w:val="0015476D"/>
    <w:rsid w:val="00161E13"/>
    <w:rsid w:val="00164AE0"/>
    <w:rsid w:val="00165E83"/>
    <w:rsid w:val="00166CD7"/>
    <w:rsid w:val="0017120C"/>
    <w:rsid w:val="00172F3A"/>
    <w:rsid w:val="001902B6"/>
    <w:rsid w:val="0019532A"/>
    <w:rsid w:val="0019670E"/>
    <w:rsid w:val="00197205"/>
    <w:rsid w:val="001A1BFE"/>
    <w:rsid w:val="001A5DD4"/>
    <w:rsid w:val="001A67E9"/>
    <w:rsid w:val="001B143B"/>
    <w:rsid w:val="001B21CA"/>
    <w:rsid w:val="001B275C"/>
    <w:rsid w:val="001C04FC"/>
    <w:rsid w:val="001C25A3"/>
    <w:rsid w:val="001C5D03"/>
    <w:rsid w:val="001C7771"/>
    <w:rsid w:val="001D62FF"/>
    <w:rsid w:val="001F03E2"/>
    <w:rsid w:val="001F3F48"/>
    <w:rsid w:val="001F48DA"/>
    <w:rsid w:val="002000AA"/>
    <w:rsid w:val="00204109"/>
    <w:rsid w:val="00211E6E"/>
    <w:rsid w:val="00212A46"/>
    <w:rsid w:val="0021401D"/>
    <w:rsid w:val="002146B8"/>
    <w:rsid w:val="00215516"/>
    <w:rsid w:val="002527C2"/>
    <w:rsid w:val="00270443"/>
    <w:rsid w:val="00270EE2"/>
    <w:rsid w:val="00272972"/>
    <w:rsid w:val="00286161"/>
    <w:rsid w:val="00286491"/>
    <w:rsid w:val="002A0F8D"/>
    <w:rsid w:val="002B6E44"/>
    <w:rsid w:val="002E1DB5"/>
    <w:rsid w:val="002F1766"/>
    <w:rsid w:val="002F6CCB"/>
    <w:rsid w:val="0030461E"/>
    <w:rsid w:val="003101AC"/>
    <w:rsid w:val="0031699C"/>
    <w:rsid w:val="0032756A"/>
    <w:rsid w:val="00334EF8"/>
    <w:rsid w:val="00336408"/>
    <w:rsid w:val="00340DFB"/>
    <w:rsid w:val="0034404F"/>
    <w:rsid w:val="00356980"/>
    <w:rsid w:val="00367462"/>
    <w:rsid w:val="003675AB"/>
    <w:rsid w:val="00371ECA"/>
    <w:rsid w:val="003722F2"/>
    <w:rsid w:val="00372748"/>
    <w:rsid w:val="0037332A"/>
    <w:rsid w:val="0038151A"/>
    <w:rsid w:val="0039082A"/>
    <w:rsid w:val="00390C21"/>
    <w:rsid w:val="003A37BD"/>
    <w:rsid w:val="003A5B4D"/>
    <w:rsid w:val="003B257E"/>
    <w:rsid w:val="003B39E0"/>
    <w:rsid w:val="003B6D94"/>
    <w:rsid w:val="003C4C96"/>
    <w:rsid w:val="003C55E0"/>
    <w:rsid w:val="003F519B"/>
    <w:rsid w:val="0040544F"/>
    <w:rsid w:val="00406A19"/>
    <w:rsid w:val="0041222D"/>
    <w:rsid w:val="0041483E"/>
    <w:rsid w:val="00415369"/>
    <w:rsid w:val="00425868"/>
    <w:rsid w:val="00430492"/>
    <w:rsid w:val="00450BE7"/>
    <w:rsid w:val="004656D7"/>
    <w:rsid w:val="0046741E"/>
    <w:rsid w:val="00472CC6"/>
    <w:rsid w:val="0048026E"/>
    <w:rsid w:val="004807A9"/>
    <w:rsid w:val="004813EE"/>
    <w:rsid w:val="0048384B"/>
    <w:rsid w:val="00487AC4"/>
    <w:rsid w:val="00493278"/>
    <w:rsid w:val="004943D9"/>
    <w:rsid w:val="00495DB3"/>
    <w:rsid w:val="004A0E7B"/>
    <w:rsid w:val="004A3498"/>
    <w:rsid w:val="004B0C45"/>
    <w:rsid w:val="004C0AB2"/>
    <w:rsid w:val="004C1619"/>
    <w:rsid w:val="004C1A26"/>
    <w:rsid w:val="004C1CC9"/>
    <w:rsid w:val="004C3755"/>
    <w:rsid w:val="004C4485"/>
    <w:rsid w:val="004D11AF"/>
    <w:rsid w:val="004D4593"/>
    <w:rsid w:val="00500DFA"/>
    <w:rsid w:val="005019AA"/>
    <w:rsid w:val="005021BB"/>
    <w:rsid w:val="005139E7"/>
    <w:rsid w:val="005147DA"/>
    <w:rsid w:val="00515FB5"/>
    <w:rsid w:val="00521013"/>
    <w:rsid w:val="0052365C"/>
    <w:rsid w:val="005271EB"/>
    <w:rsid w:val="005426DB"/>
    <w:rsid w:val="00543572"/>
    <w:rsid w:val="00545489"/>
    <w:rsid w:val="0055082B"/>
    <w:rsid w:val="00552503"/>
    <w:rsid w:val="00552B57"/>
    <w:rsid w:val="00557DA1"/>
    <w:rsid w:val="00562FFA"/>
    <w:rsid w:val="0056322C"/>
    <w:rsid w:val="0058743A"/>
    <w:rsid w:val="005A1C97"/>
    <w:rsid w:val="005A3696"/>
    <w:rsid w:val="005A4DB0"/>
    <w:rsid w:val="005A7B8E"/>
    <w:rsid w:val="005B012B"/>
    <w:rsid w:val="005B0C87"/>
    <w:rsid w:val="005D23F6"/>
    <w:rsid w:val="005D2FA8"/>
    <w:rsid w:val="005E2281"/>
    <w:rsid w:val="005E667C"/>
    <w:rsid w:val="005F077C"/>
    <w:rsid w:val="005F63D0"/>
    <w:rsid w:val="005F7973"/>
    <w:rsid w:val="00600948"/>
    <w:rsid w:val="00605783"/>
    <w:rsid w:val="0061690E"/>
    <w:rsid w:val="00627361"/>
    <w:rsid w:val="0063017E"/>
    <w:rsid w:val="00631B28"/>
    <w:rsid w:val="00645B90"/>
    <w:rsid w:val="00650991"/>
    <w:rsid w:val="006511D7"/>
    <w:rsid w:val="00663D75"/>
    <w:rsid w:val="00670AEF"/>
    <w:rsid w:val="00675678"/>
    <w:rsid w:val="00677012"/>
    <w:rsid w:val="00680B4E"/>
    <w:rsid w:val="006825B4"/>
    <w:rsid w:val="00682AF2"/>
    <w:rsid w:val="00685798"/>
    <w:rsid w:val="00685FFD"/>
    <w:rsid w:val="006864DF"/>
    <w:rsid w:val="006A33DA"/>
    <w:rsid w:val="006A3C8A"/>
    <w:rsid w:val="006A7552"/>
    <w:rsid w:val="006B5953"/>
    <w:rsid w:val="006B76D4"/>
    <w:rsid w:val="006B7A81"/>
    <w:rsid w:val="006C4BAC"/>
    <w:rsid w:val="006C52F3"/>
    <w:rsid w:val="006C7C76"/>
    <w:rsid w:val="006E1D19"/>
    <w:rsid w:val="006E7F37"/>
    <w:rsid w:val="006F3B81"/>
    <w:rsid w:val="006F4F79"/>
    <w:rsid w:val="00705B37"/>
    <w:rsid w:val="00711FD9"/>
    <w:rsid w:val="0071249B"/>
    <w:rsid w:val="0072628E"/>
    <w:rsid w:val="00735062"/>
    <w:rsid w:val="00740CB9"/>
    <w:rsid w:val="00746BA5"/>
    <w:rsid w:val="00751D23"/>
    <w:rsid w:val="00770577"/>
    <w:rsid w:val="00777666"/>
    <w:rsid w:val="00780EE2"/>
    <w:rsid w:val="0078159B"/>
    <w:rsid w:val="00782E10"/>
    <w:rsid w:val="00785B3E"/>
    <w:rsid w:val="0078706B"/>
    <w:rsid w:val="00790836"/>
    <w:rsid w:val="00797131"/>
    <w:rsid w:val="007A3C1D"/>
    <w:rsid w:val="007A7364"/>
    <w:rsid w:val="007B285D"/>
    <w:rsid w:val="007B465D"/>
    <w:rsid w:val="007B7736"/>
    <w:rsid w:val="007C6BC6"/>
    <w:rsid w:val="00807D79"/>
    <w:rsid w:val="00813634"/>
    <w:rsid w:val="00822821"/>
    <w:rsid w:val="00831C29"/>
    <w:rsid w:val="008431EF"/>
    <w:rsid w:val="008468E0"/>
    <w:rsid w:val="00871B59"/>
    <w:rsid w:val="00874839"/>
    <w:rsid w:val="00877D03"/>
    <w:rsid w:val="00877E96"/>
    <w:rsid w:val="008806CA"/>
    <w:rsid w:val="008815E5"/>
    <w:rsid w:val="00887B37"/>
    <w:rsid w:val="008909B9"/>
    <w:rsid w:val="00891DFC"/>
    <w:rsid w:val="008A59E6"/>
    <w:rsid w:val="008B12B4"/>
    <w:rsid w:val="008B7914"/>
    <w:rsid w:val="008C5D2A"/>
    <w:rsid w:val="008C7AF4"/>
    <w:rsid w:val="008D529F"/>
    <w:rsid w:val="008F5CC8"/>
    <w:rsid w:val="008F6A43"/>
    <w:rsid w:val="009061B8"/>
    <w:rsid w:val="0091008B"/>
    <w:rsid w:val="00911EA2"/>
    <w:rsid w:val="00916160"/>
    <w:rsid w:val="00916C7D"/>
    <w:rsid w:val="0092575D"/>
    <w:rsid w:val="009341DA"/>
    <w:rsid w:val="009430F9"/>
    <w:rsid w:val="009442E8"/>
    <w:rsid w:val="00946BD0"/>
    <w:rsid w:val="0095426C"/>
    <w:rsid w:val="00970087"/>
    <w:rsid w:val="00971074"/>
    <w:rsid w:val="00995D86"/>
    <w:rsid w:val="009A5453"/>
    <w:rsid w:val="009B4D94"/>
    <w:rsid w:val="009C2871"/>
    <w:rsid w:val="009D3C33"/>
    <w:rsid w:val="009D50FB"/>
    <w:rsid w:val="009D7F3A"/>
    <w:rsid w:val="009E35E3"/>
    <w:rsid w:val="009E4885"/>
    <w:rsid w:val="009E715B"/>
    <w:rsid w:val="00A07DB6"/>
    <w:rsid w:val="00A10A73"/>
    <w:rsid w:val="00A170B3"/>
    <w:rsid w:val="00A223D5"/>
    <w:rsid w:val="00A27369"/>
    <w:rsid w:val="00A37D1C"/>
    <w:rsid w:val="00A5453E"/>
    <w:rsid w:val="00A56F6C"/>
    <w:rsid w:val="00A76C8C"/>
    <w:rsid w:val="00A83E50"/>
    <w:rsid w:val="00A85F30"/>
    <w:rsid w:val="00A9099E"/>
    <w:rsid w:val="00A91969"/>
    <w:rsid w:val="00A91FB7"/>
    <w:rsid w:val="00A9298F"/>
    <w:rsid w:val="00AA0351"/>
    <w:rsid w:val="00AA1CB7"/>
    <w:rsid w:val="00AA5F4A"/>
    <w:rsid w:val="00AB025E"/>
    <w:rsid w:val="00AB1984"/>
    <w:rsid w:val="00AB52B1"/>
    <w:rsid w:val="00AC4CB3"/>
    <w:rsid w:val="00AC780D"/>
    <w:rsid w:val="00AD036B"/>
    <w:rsid w:val="00AD1996"/>
    <w:rsid w:val="00AD4099"/>
    <w:rsid w:val="00AD4901"/>
    <w:rsid w:val="00AF1F30"/>
    <w:rsid w:val="00B02FE0"/>
    <w:rsid w:val="00B03FDE"/>
    <w:rsid w:val="00B057B6"/>
    <w:rsid w:val="00B30448"/>
    <w:rsid w:val="00B34786"/>
    <w:rsid w:val="00B400EC"/>
    <w:rsid w:val="00B40162"/>
    <w:rsid w:val="00B41ACE"/>
    <w:rsid w:val="00B50156"/>
    <w:rsid w:val="00B518AD"/>
    <w:rsid w:val="00B60A96"/>
    <w:rsid w:val="00B678EC"/>
    <w:rsid w:val="00B76C94"/>
    <w:rsid w:val="00B772D0"/>
    <w:rsid w:val="00B836EA"/>
    <w:rsid w:val="00B84C05"/>
    <w:rsid w:val="00B87A25"/>
    <w:rsid w:val="00B91B81"/>
    <w:rsid w:val="00B94B92"/>
    <w:rsid w:val="00B97135"/>
    <w:rsid w:val="00BB3072"/>
    <w:rsid w:val="00BC7632"/>
    <w:rsid w:val="00BD48A9"/>
    <w:rsid w:val="00BD630F"/>
    <w:rsid w:val="00BD7EC6"/>
    <w:rsid w:val="00BE73FA"/>
    <w:rsid w:val="00BF6B4B"/>
    <w:rsid w:val="00BF755C"/>
    <w:rsid w:val="00C0511C"/>
    <w:rsid w:val="00C207EE"/>
    <w:rsid w:val="00C20ACF"/>
    <w:rsid w:val="00C22307"/>
    <w:rsid w:val="00C23469"/>
    <w:rsid w:val="00C30C62"/>
    <w:rsid w:val="00C371DF"/>
    <w:rsid w:val="00C42055"/>
    <w:rsid w:val="00C44B4C"/>
    <w:rsid w:val="00C46734"/>
    <w:rsid w:val="00C47A86"/>
    <w:rsid w:val="00C53220"/>
    <w:rsid w:val="00C923D0"/>
    <w:rsid w:val="00CA3347"/>
    <w:rsid w:val="00CA53D6"/>
    <w:rsid w:val="00CB7386"/>
    <w:rsid w:val="00CC299A"/>
    <w:rsid w:val="00CD03E3"/>
    <w:rsid w:val="00CE4DAB"/>
    <w:rsid w:val="00CE6BDA"/>
    <w:rsid w:val="00CE7288"/>
    <w:rsid w:val="00D03DBE"/>
    <w:rsid w:val="00D072C0"/>
    <w:rsid w:val="00D34C82"/>
    <w:rsid w:val="00D3757A"/>
    <w:rsid w:val="00D44D04"/>
    <w:rsid w:val="00D504A9"/>
    <w:rsid w:val="00D5206D"/>
    <w:rsid w:val="00D52ECE"/>
    <w:rsid w:val="00D7177D"/>
    <w:rsid w:val="00D81311"/>
    <w:rsid w:val="00D97115"/>
    <w:rsid w:val="00DB201E"/>
    <w:rsid w:val="00DC0E68"/>
    <w:rsid w:val="00DD25ED"/>
    <w:rsid w:val="00DE0D6E"/>
    <w:rsid w:val="00E051A5"/>
    <w:rsid w:val="00E052DF"/>
    <w:rsid w:val="00E07CDA"/>
    <w:rsid w:val="00E1610C"/>
    <w:rsid w:val="00E16D73"/>
    <w:rsid w:val="00E16F8B"/>
    <w:rsid w:val="00E23E9E"/>
    <w:rsid w:val="00E25722"/>
    <w:rsid w:val="00E27F0A"/>
    <w:rsid w:val="00E4231E"/>
    <w:rsid w:val="00E4302C"/>
    <w:rsid w:val="00E43EBA"/>
    <w:rsid w:val="00E44AC7"/>
    <w:rsid w:val="00E45F4B"/>
    <w:rsid w:val="00E60A16"/>
    <w:rsid w:val="00E82B6E"/>
    <w:rsid w:val="00E94258"/>
    <w:rsid w:val="00E96C18"/>
    <w:rsid w:val="00EA2E61"/>
    <w:rsid w:val="00EA334D"/>
    <w:rsid w:val="00EA7D7F"/>
    <w:rsid w:val="00EB02F4"/>
    <w:rsid w:val="00EB0513"/>
    <w:rsid w:val="00EB2FA2"/>
    <w:rsid w:val="00EB769A"/>
    <w:rsid w:val="00EC3A35"/>
    <w:rsid w:val="00ED33DD"/>
    <w:rsid w:val="00EE17F2"/>
    <w:rsid w:val="00EE3138"/>
    <w:rsid w:val="00EF2AC7"/>
    <w:rsid w:val="00EF400A"/>
    <w:rsid w:val="00EF6BE4"/>
    <w:rsid w:val="00EF6E5D"/>
    <w:rsid w:val="00F04CE9"/>
    <w:rsid w:val="00F07764"/>
    <w:rsid w:val="00F12517"/>
    <w:rsid w:val="00F131DD"/>
    <w:rsid w:val="00F16AB7"/>
    <w:rsid w:val="00F16BA1"/>
    <w:rsid w:val="00F24435"/>
    <w:rsid w:val="00F30C0F"/>
    <w:rsid w:val="00F314E8"/>
    <w:rsid w:val="00F323A2"/>
    <w:rsid w:val="00F33B57"/>
    <w:rsid w:val="00F33D5C"/>
    <w:rsid w:val="00F34E90"/>
    <w:rsid w:val="00F356D6"/>
    <w:rsid w:val="00F46F22"/>
    <w:rsid w:val="00F50EE4"/>
    <w:rsid w:val="00F53BE2"/>
    <w:rsid w:val="00F55684"/>
    <w:rsid w:val="00F64D5A"/>
    <w:rsid w:val="00F709CD"/>
    <w:rsid w:val="00F906F4"/>
    <w:rsid w:val="00F919E7"/>
    <w:rsid w:val="00FA0716"/>
    <w:rsid w:val="00FB05D1"/>
    <w:rsid w:val="00FB4629"/>
    <w:rsid w:val="00FB6FB1"/>
    <w:rsid w:val="00FB7063"/>
    <w:rsid w:val="00FC7056"/>
    <w:rsid w:val="00FE1A00"/>
    <w:rsid w:val="00FE33B4"/>
    <w:rsid w:val="00FE4471"/>
    <w:rsid w:val="024D7E2C"/>
    <w:rsid w:val="0D2EB883"/>
    <w:rsid w:val="0D8163B6"/>
    <w:rsid w:val="13A69650"/>
    <w:rsid w:val="1BB32F19"/>
    <w:rsid w:val="1F2C3AF5"/>
    <w:rsid w:val="1FF4886A"/>
    <w:rsid w:val="22D2584A"/>
    <w:rsid w:val="28751A95"/>
    <w:rsid w:val="29FA8189"/>
    <w:rsid w:val="2C00A012"/>
    <w:rsid w:val="304C0AD5"/>
    <w:rsid w:val="330CE3FD"/>
    <w:rsid w:val="389994B3"/>
    <w:rsid w:val="3B30A011"/>
    <w:rsid w:val="3B93C128"/>
    <w:rsid w:val="3CFBE104"/>
    <w:rsid w:val="4D09574A"/>
    <w:rsid w:val="4F689A9F"/>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1">
    <w:name w:val="Table Normal1"/>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9817">
      <w:bodyDiv w:val="1"/>
      <w:marLeft w:val="0"/>
      <w:marRight w:val="0"/>
      <w:marTop w:val="0"/>
      <w:marBottom w:val="0"/>
      <w:divBdr>
        <w:top w:val="none" w:sz="0" w:space="0" w:color="auto"/>
        <w:left w:val="none" w:sz="0" w:space="0" w:color="auto"/>
        <w:bottom w:val="none" w:sz="0" w:space="0" w:color="auto"/>
        <w:right w:val="none" w:sz="0" w:space="0" w:color="auto"/>
      </w:divBdr>
      <w:divsChild>
        <w:div w:id="2065254455">
          <w:marLeft w:val="0"/>
          <w:marRight w:val="0"/>
          <w:marTop w:val="0"/>
          <w:marBottom w:val="0"/>
          <w:divBdr>
            <w:top w:val="none" w:sz="0" w:space="0" w:color="auto"/>
            <w:left w:val="none" w:sz="0" w:space="0" w:color="auto"/>
            <w:bottom w:val="none" w:sz="0" w:space="0" w:color="auto"/>
            <w:right w:val="none" w:sz="0" w:space="0" w:color="auto"/>
          </w:divBdr>
        </w:div>
      </w:divsChild>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431896965">
      <w:bodyDiv w:val="1"/>
      <w:marLeft w:val="0"/>
      <w:marRight w:val="0"/>
      <w:marTop w:val="0"/>
      <w:marBottom w:val="0"/>
      <w:divBdr>
        <w:top w:val="none" w:sz="0" w:space="0" w:color="auto"/>
        <w:left w:val="none" w:sz="0" w:space="0" w:color="auto"/>
        <w:bottom w:val="none" w:sz="0" w:space="0" w:color="auto"/>
        <w:right w:val="none" w:sz="0" w:space="0" w:color="auto"/>
      </w:divBdr>
      <w:divsChild>
        <w:div w:id="287706397">
          <w:marLeft w:val="0"/>
          <w:marRight w:val="0"/>
          <w:marTop w:val="0"/>
          <w:marBottom w:val="0"/>
          <w:divBdr>
            <w:top w:val="none" w:sz="0" w:space="0" w:color="auto"/>
            <w:left w:val="none" w:sz="0" w:space="0" w:color="auto"/>
            <w:bottom w:val="none" w:sz="0" w:space="0" w:color="auto"/>
            <w:right w:val="none" w:sz="0" w:space="0" w:color="auto"/>
          </w:divBdr>
        </w:div>
      </w:divsChild>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924917724">
      <w:bodyDiv w:val="1"/>
      <w:marLeft w:val="0"/>
      <w:marRight w:val="0"/>
      <w:marTop w:val="0"/>
      <w:marBottom w:val="0"/>
      <w:divBdr>
        <w:top w:val="none" w:sz="0" w:space="0" w:color="auto"/>
        <w:left w:val="none" w:sz="0" w:space="0" w:color="auto"/>
        <w:bottom w:val="none" w:sz="0" w:space="0" w:color="auto"/>
        <w:right w:val="none" w:sz="0" w:space="0" w:color="auto"/>
      </w:divBdr>
      <w:divsChild>
        <w:div w:id="1356425054">
          <w:marLeft w:val="0"/>
          <w:marRight w:val="0"/>
          <w:marTop w:val="0"/>
          <w:marBottom w:val="160"/>
          <w:divBdr>
            <w:top w:val="none" w:sz="0" w:space="0" w:color="auto"/>
            <w:left w:val="none" w:sz="0" w:space="0" w:color="auto"/>
            <w:bottom w:val="none" w:sz="0" w:space="0" w:color="auto"/>
            <w:right w:val="none" w:sz="0" w:space="0" w:color="auto"/>
          </w:divBdr>
        </w:div>
        <w:div w:id="2030180273">
          <w:marLeft w:val="0"/>
          <w:marRight w:val="0"/>
          <w:marTop w:val="0"/>
          <w:marBottom w:val="0"/>
          <w:divBdr>
            <w:top w:val="none" w:sz="0" w:space="0" w:color="auto"/>
            <w:left w:val="none" w:sz="0" w:space="0" w:color="auto"/>
            <w:bottom w:val="none" w:sz="0" w:space="0" w:color="auto"/>
            <w:right w:val="none" w:sz="0" w:space="0" w:color="auto"/>
          </w:divBdr>
        </w:div>
        <w:div w:id="20909228">
          <w:marLeft w:val="0"/>
          <w:marRight w:val="0"/>
          <w:marTop w:val="0"/>
          <w:marBottom w:val="0"/>
          <w:divBdr>
            <w:top w:val="none" w:sz="0" w:space="0" w:color="auto"/>
            <w:left w:val="none" w:sz="0" w:space="0" w:color="auto"/>
            <w:bottom w:val="none" w:sz="0" w:space="0" w:color="auto"/>
            <w:right w:val="none" w:sz="0" w:space="0" w:color="auto"/>
          </w:divBdr>
        </w:div>
      </w:divsChild>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30312170">
      <w:bodyDiv w:val="1"/>
      <w:marLeft w:val="0"/>
      <w:marRight w:val="0"/>
      <w:marTop w:val="0"/>
      <w:marBottom w:val="0"/>
      <w:divBdr>
        <w:top w:val="none" w:sz="0" w:space="0" w:color="auto"/>
        <w:left w:val="none" w:sz="0" w:space="0" w:color="auto"/>
        <w:bottom w:val="none" w:sz="0" w:space="0" w:color="auto"/>
        <w:right w:val="none" w:sz="0" w:space="0" w:color="auto"/>
      </w:divBdr>
      <w:divsChild>
        <w:div w:id="108135329">
          <w:marLeft w:val="0"/>
          <w:marRight w:val="0"/>
          <w:marTop w:val="0"/>
          <w:marBottom w:val="0"/>
          <w:divBdr>
            <w:top w:val="none" w:sz="0" w:space="0" w:color="auto"/>
            <w:left w:val="none" w:sz="0" w:space="0" w:color="auto"/>
            <w:bottom w:val="none" w:sz="0" w:space="0" w:color="auto"/>
            <w:right w:val="none" w:sz="0" w:space="0" w:color="auto"/>
          </w:divBdr>
        </w:div>
        <w:div w:id="1159997440">
          <w:marLeft w:val="0"/>
          <w:marRight w:val="0"/>
          <w:marTop w:val="0"/>
          <w:marBottom w:val="0"/>
          <w:divBdr>
            <w:top w:val="none" w:sz="0" w:space="0" w:color="auto"/>
            <w:left w:val="none" w:sz="0" w:space="0" w:color="auto"/>
            <w:bottom w:val="none" w:sz="0" w:space="0" w:color="auto"/>
            <w:right w:val="none" w:sz="0" w:space="0" w:color="auto"/>
          </w:divBdr>
        </w:div>
        <w:div w:id="506210203">
          <w:marLeft w:val="0"/>
          <w:marRight w:val="0"/>
          <w:marTop w:val="0"/>
          <w:marBottom w:val="0"/>
          <w:divBdr>
            <w:top w:val="none" w:sz="0" w:space="0" w:color="auto"/>
            <w:left w:val="none" w:sz="0" w:space="0" w:color="auto"/>
            <w:bottom w:val="none" w:sz="0" w:space="0" w:color="auto"/>
            <w:right w:val="none" w:sz="0" w:space="0" w:color="auto"/>
          </w:divBdr>
        </w:div>
        <w:div w:id="1896353371">
          <w:marLeft w:val="0"/>
          <w:marRight w:val="0"/>
          <w:marTop w:val="0"/>
          <w:marBottom w:val="0"/>
          <w:divBdr>
            <w:top w:val="none" w:sz="0" w:space="0" w:color="auto"/>
            <w:left w:val="none" w:sz="0" w:space="0" w:color="auto"/>
            <w:bottom w:val="none" w:sz="0" w:space="0" w:color="auto"/>
            <w:right w:val="none" w:sz="0" w:space="0" w:color="auto"/>
          </w:divBdr>
        </w:div>
        <w:div w:id="1237979837">
          <w:marLeft w:val="0"/>
          <w:marRight w:val="0"/>
          <w:marTop w:val="0"/>
          <w:marBottom w:val="0"/>
          <w:divBdr>
            <w:top w:val="none" w:sz="0" w:space="0" w:color="auto"/>
            <w:left w:val="none" w:sz="0" w:space="0" w:color="auto"/>
            <w:bottom w:val="none" w:sz="0" w:space="0" w:color="auto"/>
            <w:right w:val="none" w:sz="0" w:space="0" w:color="auto"/>
          </w:divBdr>
        </w:div>
        <w:div w:id="262955607">
          <w:marLeft w:val="0"/>
          <w:marRight w:val="0"/>
          <w:marTop w:val="0"/>
          <w:marBottom w:val="0"/>
          <w:divBdr>
            <w:top w:val="none" w:sz="0" w:space="0" w:color="auto"/>
            <w:left w:val="none" w:sz="0" w:space="0" w:color="auto"/>
            <w:bottom w:val="none" w:sz="0" w:space="0" w:color="auto"/>
            <w:right w:val="none" w:sz="0" w:space="0" w:color="auto"/>
          </w:divBdr>
        </w:div>
        <w:div w:id="480853784">
          <w:marLeft w:val="0"/>
          <w:marRight w:val="0"/>
          <w:marTop w:val="0"/>
          <w:marBottom w:val="0"/>
          <w:divBdr>
            <w:top w:val="none" w:sz="0" w:space="0" w:color="auto"/>
            <w:left w:val="none" w:sz="0" w:space="0" w:color="auto"/>
            <w:bottom w:val="none" w:sz="0" w:space="0" w:color="auto"/>
            <w:right w:val="none" w:sz="0" w:space="0" w:color="auto"/>
          </w:divBdr>
        </w:div>
        <w:div w:id="276648042">
          <w:marLeft w:val="0"/>
          <w:marRight w:val="0"/>
          <w:marTop w:val="0"/>
          <w:marBottom w:val="0"/>
          <w:divBdr>
            <w:top w:val="none" w:sz="0" w:space="0" w:color="auto"/>
            <w:left w:val="none" w:sz="0" w:space="0" w:color="auto"/>
            <w:bottom w:val="none" w:sz="0" w:space="0" w:color="auto"/>
            <w:right w:val="none" w:sz="0" w:space="0" w:color="auto"/>
          </w:divBdr>
        </w:div>
        <w:div w:id="385683790">
          <w:marLeft w:val="0"/>
          <w:marRight w:val="0"/>
          <w:marTop w:val="0"/>
          <w:marBottom w:val="0"/>
          <w:divBdr>
            <w:top w:val="none" w:sz="0" w:space="0" w:color="auto"/>
            <w:left w:val="none" w:sz="0" w:space="0" w:color="auto"/>
            <w:bottom w:val="none" w:sz="0" w:space="0" w:color="auto"/>
            <w:right w:val="none" w:sz="0" w:space="0" w:color="auto"/>
          </w:divBdr>
        </w:div>
        <w:div w:id="1964917367">
          <w:marLeft w:val="0"/>
          <w:marRight w:val="0"/>
          <w:marTop w:val="0"/>
          <w:marBottom w:val="0"/>
          <w:divBdr>
            <w:top w:val="none" w:sz="0" w:space="0" w:color="auto"/>
            <w:left w:val="none" w:sz="0" w:space="0" w:color="auto"/>
            <w:bottom w:val="none" w:sz="0" w:space="0" w:color="auto"/>
            <w:right w:val="none" w:sz="0" w:space="0" w:color="auto"/>
          </w:divBdr>
        </w:div>
        <w:div w:id="1617784295">
          <w:marLeft w:val="0"/>
          <w:marRight w:val="0"/>
          <w:marTop w:val="0"/>
          <w:marBottom w:val="0"/>
          <w:divBdr>
            <w:top w:val="none" w:sz="0" w:space="0" w:color="auto"/>
            <w:left w:val="none" w:sz="0" w:space="0" w:color="auto"/>
            <w:bottom w:val="none" w:sz="0" w:space="0" w:color="auto"/>
            <w:right w:val="none" w:sz="0" w:space="0" w:color="auto"/>
          </w:divBdr>
        </w:div>
        <w:div w:id="1364135982">
          <w:marLeft w:val="0"/>
          <w:marRight w:val="0"/>
          <w:marTop w:val="0"/>
          <w:marBottom w:val="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20063595">
      <w:bodyDiv w:val="1"/>
      <w:marLeft w:val="0"/>
      <w:marRight w:val="0"/>
      <w:marTop w:val="0"/>
      <w:marBottom w:val="0"/>
      <w:divBdr>
        <w:top w:val="none" w:sz="0" w:space="0" w:color="auto"/>
        <w:left w:val="none" w:sz="0" w:space="0" w:color="auto"/>
        <w:bottom w:val="none" w:sz="0" w:space="0" w:color="auto"/>
        <w:right w:val="none" w:sz="0" w:space="0" w:color="auto"/>
      </w:divBdr>
      <w:divsChild>
        <w:div w:id="1655449948">
          <w:marLeft w:val="0"/>
          <w:marRight w:val="0"/>
          <w:marTop w:val="0"/>
          <w:marBottom w:val="160"/>
          <w:divBdr>
            <w:top w:val="none" w:sz="0" w:space="0" w:color="auto"/>
            <w:left w:val="none" w:sz="0" w:space="0" w:color="auto"/>
            <w:bottom w:val="none" w:sz="0" w:space="0" w:color="auto"/>
            <w:right w:val="none" w:sz="0" w:space="0" w:color="auto"/>
          </w:divBdr>
        </w:div>
        <w:div w:id="1915505404">
          <w:marLeft w:val="0"/>
          <w:marRight w:val="0"/>
          <w:marTop w:val="0"/>
          <w:marBottom w:val="0"/>
          <w:divBdr>
            <w:top w:val="none" w:sz="0" w:space="0" w:color="auto"/>
            <w:left w:val="none" w:sz="0" w:space="0" w:color="auto"/>
            <w:bottom w:val="none" w:sz="0" w:space="0" w:color="auto"/>
            <w:right w:val="none" w:sz="0" w:space="0" w:color="auto"/>
          </w:divBdr>
        </w:div>
        <w:div w:id="820921908">
          <w:marLeft w:val="0"/>
          <w:marRight w:val="0"/>
          <w:marTop w:val="0"/>
          <w:marBottom w:val="0"/>
          <w:divBdr>
            <w:top w:val="none" w:sz="0" w:space="0" w:color="auto"/>
            <w:left w:val="none" w:sz="0" w:space="0" w:color="auto"/>
            <w:bottom w:val="none" w:sz="0" w:space="0" w:color="auto"/>
            <w:right w:val="none" w:sz="0" w:space="0" w:color="auto"/>
          </w:divBdr>
        </w:div>
      </w:divsChild>
    </w:div>
    <w:div w:id="1657412996">
      <w:bodyDiv w:val="1"/>
      <w:marLeft w:val="0"/>
      <w:marRight w:val="0"/>
      <w:marTop w:val="0"/>
      <w:marBottom w:val="0"/>
      <w:divBdr>
        <w:top w:val="none" w:sz="0" w:space="0" w:color="auto"/>
        <w:left w:val="none" w:sz="0" w:space="0" w:color="auto"/>
        <w:bottom w:val="none" w:sz="0" w:space="0" w:color="auto"/>
        <w:right w:val="none" w:sz="0" w:space="0" w:color="auto"/>
      </w:divBdr>
      <w:divsChild>
        <w:div w:id="1137458273">
          <w:marLeft w:val="0"/>
          <w:marRight w:val="0"/>
          <w:marTop w:val="0"/>
          <w:marBottom w:val="0"/>
          <w:divBdr>
            <w:top w:val="none" w:sz="0" w:space="0" w:color="auto"/>
            <w:left w:val="none" w:sz="0" w:space="0" w:color="auto"/>
            <w:bottom w:val="none" w:sz="0" w:space="0" w:color="auto"/>
            <w:right w:val="none" w:sz="0" w:space="0" w:color="auto"/>
          </w:divBdr>
        </w:div>
        <w:div w:id="1694064643">
          <w:marLeft w:val="0"/>
          <w:marRight w:val="0"/>
          <w:marTop w:val="0"/>
          <w:marBottom w:val="0"/>
          <w:divBdr>
            <w:top w:val="none" w:sz="0" w:space="0" w:color="auto"/>
            <w:left w:val="none" w:sz="0" w:space="0" w:color="auto"/>
            <w:bottom w:val="none" w:sz="0" w:space="0" w:color="auto"/>
            <w:right w:val="none" w:sz="0" w:space="0" w:color="auto"/>
          </w:divBdr>
        </w:div>
        <w:div w:id="1998337623">
          <w:marLeft w:val="0"/>
          <w:marRight w:val="0"/>
          <w:marTop w:val="0"/>
          <w:marBottom w:val="0"/>
          <w:divBdr>
            <w:top w:val="none" w:sz="0" w:space="0" w:color="auto"/>
            <w:left w:val="none" w:sz="0" w:space="0" w:color="auto"/>
            <w:bottom w:val="none" w:sz="0" w:space="0" w:color="auto"/>
            <w:right w:val="none" w:sz="0" w:space="0" w:color="auto"/>
          </w:divBdr>
        </w:div>
        <w:div w:id="1297025227">
          <w:marLeft w:val="0"/>
          <w:marRight w:val="0"/>
          <w:marTop w:val="0"/>
          <w:marBottom w:val="0"/>
          <w:divBdr>
            <w:top w:val="none" w:sz="0" w:space="0" w:color="auto"/>
            <w:left w:val="none" w:sz="0" w:space="0" w:color="auto"/>
            <w:bottom w:val="none" w:sz="0" w:space="0" w:color="auto"/>
            <w:right w:val="none" w:sz="0" w:space="0" w:color="auto"/>
          </w:divBdr>
        </w:div>
        <w:div w:id="1679889499">
          <w:marLeft w:val="0"/>
          <w:marRight w:val="0"/>
          <w:marTop w:val="0"/>
          <w:marBottom w:val="0"/>
          <w:divBdr>
            <w:top w:val="none" w:sz="0" w:space="0" w:color="auto"/>
            <w:left w:val="none" w:sz="0" w:space="0" w:color="auto"/>
            <w:bottom w:val="none" w:sz="0" w:space="0" w:color="auto"/>
            <w:right w:val="none" w:sz="0" w:space="0" w:color="auto"/>
          </w:divBdr>
        </w:div>
        <w:div w:id="1776050330">
          <w:marLeft w:val="0"/>
          <w:marRight w:val="0"/>
          <w:marTop w:val="0"/>
          <w:marBottom w:val="0"/>
          <w:divBdr>
            <w:top w:val="none" w:sz="0" w:space="0" w:color="auto"/>
            <w:left w:val="none" w:sz="0" w:space="0" w:color="auto"/>
            <w:bottom w:val="none" w:sz="0" w:space="0" w:color="auto"/>
            <w:right w:val="none" w:sz="0" w:space="0" w:color="auto"/>
          </w:divBdr>
        </w:div>
        <w:div w:id="2131240075">
          <w:marLeft w:val="0"/>
          <w:marRight w:val="0"/>
          <w:marTop w:val="0"/>
          <w:marBottom w:val="0"/>
          <w:divBdr>
            <w:top w:val="none" w:sz="0" w:space="0" w:color="auto"/>
            <w:left w:val="none" w:sz="0" w:space="0" w:color="auto"/>
            <w:bottom w:val="none" w:sz="0" w:space="0" w:color="auto"/>
            <w:right w:val="none" w:sz="0" w:space="0" w:color="auto"/>
          </w:divBdr>
        </w:div>
        <w:div w:id="1183085486">
          <w:marLeft w:val="0"/>
          <w:marRight w:val="0"/>
          <w:marTop w:val="0"/>
          <w:marBottom w:val="0"/>
          <w:divBdr>
            <w:top w:val="none" w:sz="0" w:space="0" w:color="auto"/>
            <w:left w:val="none" w:sz="0" w:space="0" w:color="auto"/>
            <w:bottom w:val="none" w:sz="0" w:space="0" w:color="auto"/>
            <w:right w:val="none" w:sz="0" w:space="0" w:color="auto"/>
          </w:divBdr>
        </w:div>
        <w:div w:id="366567916">
          <w:marLeft w:val="0"/>
          <w:marRight w:val="0"/>
          <w:marTop w:val="0"/>
          <w:marBottom w:val="0"/>
          <w:divBdr>
            <w:top w:val="none" w:sz="0" w:space="0" w:color="auto"/>
            <w:left w:val="none" w:sz="0" w:space="0" w:color="auto"/>
            <w:bottom w:val="none" w:sz="0" w:space="0" w:color="auto"/>
            <w:right w:val="none" w:sz="0" w:space="0" w:color="auto"/>
          </w:divBdr>
        </w:div>
        <w:div w:id="1142818681">
          <w:marLeft w:val="0"/>
          <w:marRight w:val="0"/>
          <w:marTop w:val="0"/>
          <w:marBottom w:val="0"/>
          <w:divBdr>
            <w:top w:val="none" w:sz="0" w:space="0" w:color="auto"/>
            <w:left w:val="none" w:sz="0" w:space="0" w:color="auto"/>
            <w:bottom w:val="none" w:sz="0" w:space="0" w:color="auto"/>
            <w:right w:val="none" w:sz="0" w:space="0" w:color="auto"/>
          </w:divBdr>
        </w:div>
        <w:div w:id="1190684913">
          <w:marLeft w:val="0"/>
          <w:marRight w:val="0"/>
          <w:marTop w:val="0"/>
          <w:marBottom w:val="0"/>
          <w:divBdr>
            <w:top w:val="none" w:sz="0" w:space="0" w:color="auto"/>
            <w:left w:val="none" w:sz="0" w:space="0" w:color="auto"/>
            <w:bottom w:val="none" w:sz="0" w:space="0" w:color="auto"/>
            <w:right w:val="none" w:sz="0" w:space="0" w:color="auto"/>
          </w:divBdr>
        </w:div>
        <w:div w:id="449128160">
          <w:marLeft w:val="0"/>
          <w:marRight w:val="0"/>
          <w:marTop w:val="0"/>
          <w:marBottom w:val="0"/>
          <w:divBdr>
            <w:top w:val="none" w:sz="0" w:space="0" w:color="auto"/>
            <w:left w:val="none" w:sz="0" w:space="0" w:color="auto"/>
            <w:bottom w:val="none" w:sz="0" w:space="0" w:color="auto"/>
            <w:right w:val="none" w:sz="0" w:space="0" w:color="auto"/>
          </w:divBdr>
        </w:div>
      </w:divsChild>
    </w:div>
    <w:div w:id="1828552474">
      <w:bodyDiv w:val="1"/>
      <w:marLeft w:val="0"/>
      <w:marRight w:val="0"/>
      <w:marTop w:val="0"/>
      <w:marBottom w:val="0"/>
      <w:divBdr>
        <w:top w:val="none" w:sz="0" w:space="0" w:color="auto"/>
        <w:left w:val="none" w:sz="0" w:space="0" w:color="auto"/>
        <w:bottom w:val="none" w:sz="0" w:space="0" w:color="auto"/>
        <w:right w:val="none" w:sz="0" w:space="0" w:color="auto"/>
      </w:divBdr>
      <w:divsChild>
        <w:div w:id="1205756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manuales-guias-y-pliegos-tipo/manuales-y-guia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latoria.colombiacompra.gov.co/providencias-consejo-de-estado/" TargetMode="External"/><Relationship Id="rId17" Type="http://schemas.openxmlformats.org/officeDocument/2006/relationships/hyperlink" Target="https://nam02.safelinks.protection.outlook.com/?url=https%3A%2F%2Fwww.colombiacompra.gov.co%2Fmanuales-guias-y-pliegos-tipo%2Fmanuales-y-guias%2Fguia-de-contratacion-publica-sostenible-y-socialmente&amp;data=05%7C02%7Cmartha.romero%40colombiacompra.gov.co%7Cb18b651bca3a4eb8eab008dd269b400d%7C7b09041e245149d08cb179d5e3d8c1be%7C0%7C0%7C638709170416410416%7CUnknown%7CTWFpbGZsb3d8eyJFbXB0eU1hcGkiOnRydWUsIlYiOiIwLjAuMDAwMCIsIlAiOiJXaW4zMiIsIkFOIjoiTWFpbCIsIldUIjoyfQ%3D%3D%7C0%7C%7C%7C&amp;sdata=4DK47cH52y7hwhHOe7tl4yIf00Wp1pkwvU%2FHuIDJSog%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02-documentos-tipo-para-los-procesos-de-seleccion-de-consultoria-de-obra-publica-de&amp;data=05%7C02%7Cmartha.romero%40colombiacompra.gov.co%7Cb18b651bca3a4eb8eab008dd269b400d%7C7b09041e245149d08cb179d5e3d8c1be%7C0%7C0%7C638709170416393689%7CUnknown%7CTWFpbGZsb3d8eyJFbXB0eU1hcGkiOnRydWUsIlYiOiIwLjAuMDAwMCIsIlAiOiJXaW4zMiIsIkFOIjoiTWFpbCIsIldUIjoyfQ%3D%3D%7C0%7C%7C%7C&amp;sdata=CZQVSZ%2BHmlPZMUMeFVlpeluE8UpTdLiEKncWMmg1EWc%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content%2F03-documentos-tipo-para-los-procesos-de-seleccion-de-interventoria-de-obra-publica-de&amp;data=05%7C02%7Cmartha.romero%40colombiacompra.gov.co%7Cb18b651bca3a4eb8eab008dd269b400d%7C7b09041e245149d08cb179d5e3d8c1be%7C0%7C0%7C638709170416372312%7CUnknown%7CTWFpbGZsb3d8eyJFbXB0eU1hcGkiOnRydWUsIlYiOiIwLjAuMDAwMCIsIlAiOiJXaW4zMiIsIkFOIjoiTWFpbCIsIldUIjoyfQ%3D%3D%7C0%7C%7C%7C&amp;sdata=wj0ylwfyC69rrWmIPnOUY39dDw9Tgnyg3Q6CXDCESyM%3D&amp;reserve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cce-eicp-gi-18._gees_v.2_2.pdf" TargetMode="External"/><Relationship Id="rId1" Type="http://schemas.openxmlformats.org/officeDocument/2006/relationships/hyperlink" Target="https://www.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3748</Words>
  <Characters>20615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24315</CharactersWithSpaces>
  <SharedDoc>false</SharedDoc>
  <HLinks>
    <vt:vector size="54" baseType="variant">
      <vt:variant>
        <vt:i4>6553715</vt:i4>
      </vt:variant>
      <vt:variant>
        <vt:i4>18</vt:i4>
      </vt:variant>
      <vt:variant>
        <vt:i4>0</vt:i4>
      </vt:variant>
      <vt:variant>
        <vt:i4>5</vt:i4>
      </vt:variant>
      <vt:variant>
        <vt:lpwstr>https://nam02.safelinks.protection.outlook.com/?url=https%3A%2F%2Fwww.colombiacompra.gov.co%2Fcontent%2Fconvocatorias&amp;data=05%7C02%7Cdiana.blanco%40colombiacompra.gov.co%7C5aad36a736844ec87b2108dcc1fa4639%7C7b09041e245149d08cb179d5e3d8c1be%7C0%7C0%7C638598527917629752%7CUnknown%7CTWFpbGZsb3d8eyJWIjoiMC4wLjAwMDAiLCJQIjoiV2luMzIiLCJBTiI6Ik1haWwiLCJXVCI6Mn0%3D%7C0%7C%7C%7C&amp;sdata=GAoolGTP3EMvLbuuOcIZqK0EZWu5uKjFqn0sXmbw3fk%3D&amp;reserved=0</vt:lpwstr>
      </vt:variant>
      <vt:variant>
        <vt:lpwstr/>
      </vt:variant>
      <vt:variant>
        <vt:i4>6946867</vt:i4>
      </vt:variant>
      <vt:variant>
        <vt:i4>15</vt:i4>
      </vt:variant>
      <vt:variant>
        <vt:i4>0</vt:i4>
      </vt:variant>
      <vt:variant>
        <vt:i4>5</vt:i4>
      </vt:variant>
      <vt:variant>
        <vt:lpwstr>https://nam02.safelinks.protection.outlook.com/?url=https%3A%2F%2Fwww.sucop.gov.co%2Fentidades%2Fcolombiacompra%2FNormativa%3FIDNorma%3D17363&amp;data=05%7C02%7Cdiana.blanco%40colombiacompra.gov.co%7C5aad36a736844ec87b2108dcc1fa4639%7C7b09041e245149d08cb179d5e3d8c1be%7C0%7C0%7C638598527917618092%7CUnknown%7CTWFpbGZsb3d8eyJWIjoiMC4wLjAwMDAiLCJQIjoiV2luMzIiLCJBTiI6Ik1haWwiLCJXVCI6Mn0%3D%7C0%7C%7C%7C&amp;sdata=yYI6pLYvTWdnmrbsoZcAtOD%2FG7cu%2Bo6Par2iYCSaq4g%3D&amp;reserved=0</vt:lpwstr>
      </vt:variant>
      <vt:variant>
        <vt:lpwstr/>
      </vt:variant>
      <vt:variant>
        <vt:i4>3538959</vt:i4>
      </vt:variant>
      <vt:variant>
        <vt:i4>12</vt:i4>
      </vt:variant>
      <vt:variant>
        <vt:i4>0</vt:i4>
      </vt:variant>
      <vt:variant>
        <vt:i4>5</vt:i4>
      </vt:variant>
      <vt:variant>
        <vt:lpwstr>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vt:lpwstr>
      </vt:variant>
      <vt:variant>
        <vt:lpwstr/>
      </vt:variant>
      <vt:variant>
        <vt:i4>7667813</vt:i4>
      </vt:variant>
      <vt:variant>
        <vt:i4>9</vt:i4>
      </vt:variant>
      <vt:variant>
        <vt:i4>0</vt:i4>
      </vt:variant>
      <vt:variant>
        <vt:i4>5</vt:i4>
      </vt:variant>
      <vt:variant>
        <vt:lpwstr>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vt:lpwstr>
      </vt:variant>
      <vt:variant>
        <vt:lpwstr/>
      </vt:variant>
      <vt:variant>
        <vt:i4>5111895</vt:i4>
      </vt:variant>
      <vt:variant>
        <vt:i4>6</vt:i4>
      </vt:variant>
      <vt:variant>
        <vt:i4>0</vt:i4>
      </vt:variant>
      <vt:variant>
        <vt:i4>5</vt:i4>
      </vt:variant>
      <vt:variant>
        <vt:lpwstr>https://www.colombiacompra.gov.co/manuales-guias-y-pliegos-tipo/manuales-y-guias</vt:lpwstr>
      </vt:variant>
      <vt:variant>
        <vt:lpwstr/>
      </vt:variant>
      <vt:variant>
        <vt:i4>3801145</vt:i4>
      </vt:variant>
      <vt:variant>
        <vt:i4>3</vt:i4>
      </vt:variant>
      <vt:variant>
        <vt:i4>0</vt:i4>
      </vt:variant>
      <vt:variant>
        <vt:i4>5</vt:i4>
      </vt:variant>
      <vt:variant>
        <vt:lpwstr>https://relatoria.colombiacompra.gov.co/providencias-consejo-de-estado/</vt:lpwstr>
      </vt:variant>
      <vt:variant>
        <vt:lpwstr/>
      </vt:variant>
      <vt:variant>
        <vt:i4>8060952</vt:i4>
      </vt:variant>
      <vt:variant>
        <vt:i4>0</vt:i4>
      </vt:variant>
      <vt:variant>
        <vt:i4>0</vt:i4>
      </vt:variant>
      <vt:variant>
        <vt:i4>5</vt:i4>
      </vt:variant>
      <vt:variant>
        <vt:lpwstr>mailto:patricia.valencia@correo.policia.gov.co</vt:lpwstr>
      </vt:variant>
      <vt:variant>
        <vt:lpwstr/>
      </vt:variant>
      <vt:variant>
        <vt:i4>3801163</vt:i4>
      </vt:variant>
      <vt:variant>
        <vt:i4>3</vt:i4>
      </vt:variant>
      <vt:variant>
        <vt:i4>0</vt:i4>
      </vt:variant>
      <vt:variant>
        <vt:i4>5</vt:i4>
      </vt:variant>
      <vt:variant>
        <vt:lpwstr>https://www.colombiacompra.gov.co/sites/cce_public/files/cce_documentos/cce-eicp-gi-18._gees_v.2_2.pdf</vt:lpwstr>
      </vt:variant>
      <vt:variant>
        <vt:lpwstr/>
      </vt:variant>
      <vt:variant>
        <vt:i4>589866</vt:i4>
      </vt:variant>
      <vt:variant>
        <vt:i4>0</vt:i4>
      </vt:variant>
      <vt:variant>
        <vt:i4>0</vt:i4>
      </vt:variant>
      <vt:variant>
        <vt:i4>5</vt:i4>
      </vt:variant>
      <vt:variant>
        <vt:lpwstr>https://www.colombiacompra.gov.co/sites/cce_public/files/cce_documents/cce_manual_requisitos_habilitantes.pdf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Diana Carolina Blanco Rodriguez</cp:lastModifiedBy>
  <cp:revision>2</cp:revision>
  <dcterms:created xsi:type="dcterms:W3CDTF">2024-12-31T16:58:00Z</dcterms:created>
  <dcterms:modified xsi:type="dcterms:W3CDTF">2024-12-31T16:58:00Z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