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FF8F" w14:textId="77777777" w:rsidR="008217F4" w:rsidRPr="008217F4" w:rsidRDefault="008217F4">
      <w:pPr>
        <w:rPr>
          <w:rFonts w:ascii="Verdana" w:eastAsia="Calibri" w:hAnsi="Verdana" w:cs="Arial"/>
          <w:b/>
          <w:bCs/>
          <w:lang w:val="es-ES" w:eastAsia="es-ES"/>
        </w:rPr>
      </w:pPr>
      <w:bookmarkStart w:id="0" w:name="_Hlk143780582"/>
      <w:r w:rsidRPr="008217F4">
        <w:rPr>
          <w:rFonts w:ascii="Verdana" w:eastAsia="Calibri" w:hAnsi="Verdana" w:cs="Arial"/>
          <w:b/>
          <w:bCs/>
          <w:lang w:val="es-ES" w:eastAsia="es-ES"/>
        </w:rPr>
        <w:t xml:space="preserve">DEBER DE VIGILANCIA DE LOS CONTRATOS – Obligación de la entidad estatal – Supervisión e interventoría </w:t>
      </w:r>
    </w:p>
    <w:p w14:paraId="61919BD4" w14:textId="07392218" w:rsidR="008217F4" w:rsidRPr="008217F4" w:rsidRDefault="008217F4" w:rsidP="008217F4">
      <w:pPr>
        <w:jc w:val="both"/>
        <w:rPr>
          <w:rFonts w:ascii="Verdana" w:eastAsia="Calibri" w:hAnsi="Verdana" w:cs="Arial"/>
          <w:sz w:val="20"/>
          <w:szCs w:val="20"/>
          <w:lang w:val="es-ES" w:eastAsia="es-ES"/>
        </w:rPr>
      </w:pPr>
      <w:r w:rsidRPr="008217F4">
        <w:rPr>
          <w:rFonts w:ascii="Verdana" w:eastAsia="Calibri" w:hAnsi="Verdana" w:cs="Arial"/>
          <w:sz w:val="20"/>
          <w:szCs w:val="20"/>
          <w:lang w:val="es-ES"/>
        </w:rPr>
        <w:t xml:space="preserve">De esta forma, la Ley 1474 de 2011 enmarcó el seguimiento, control y vigilancia de la ejecución del contrato estatal dentro del principio de moralidad administrativa. Por ello, el artículo 83 </w:t>
      </w:r>
      <w:r w:rsidRPr="008217F4">
        <w:rPr>
          <w:rFonts w:ascii="Verdana" w:eastAsia="Calibri" w:hAnsi="Verdana" w:cs="Arial"/>
          <w:i/>
          <w:iCs/>
          <w:sz w:val="20"/>
          <w:szCs w:val="20"/>
          <w:lang w:val="es-ES"/>
        </w:rPr>
        <w:t xml:space="preserve">ibibem </w:t>
      </w:r>
      <w:r w:rsidRPr="008217F4">
        <w:rPr>
          <w:rFonts w:ascii="Verdana" w:eastAsia="Calibri" w:hAnsi="Verdana" w:cs="Arial"/>
          <w:sz w:val="20"/>
          <w:szCs w:val="20"/>
          <w:lang w:val="es-ES"/>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14:paraId="7D0BEAA1" w14:textId="77777777" w:rsidR="008217F4" w:rsidRDefault="008217F4">
      <w:pPr>
        <w:rPr>
          <w:rFonts w:ascii="Verdana" w:hAnsi="Verdana"/>
          <w:b/>
          <w:bCs/>
        </w:rPr>
      </w:pPr>
      <w:r w:rsidRPr="008217F4">
        <w:rPr>
          <w:rFonts w:ascii="Verdana" w:eastAsia="Calibri" w:hAnsi="Verdana" w:cs="Arial"/>
          <w:b/>
          <w:bCs/>
          <w:lang w:val="es-ES" w:eastAsia="es-ES"/>
        </w:rPr>
        <w:t>FACTURACIÓN – Discrecionalidad</w:t>
      </w:r>
      <w:r w:rsidRPr="008217F4">
        <w:rPr>
          <w:rFonts w:ascii="Verdana" w:hAnsi="Verdana"/>
          <w:b/>
          <w:bCs/>
        </w:rPr>
        <w:t xml:space="preserve"> </w:t>
      </w:r>
    </w:p>
    <w:p w14:paraId="4ECA2610" w14:textId="789F0941" w:rsidR="008217F4" w:rsidRPr="008217F4" w:rsidRDefault="008217F4" w:rsidP="008217F4">
      <w:pPr>
        <w:jc w:val="both"/>
        <w:rPr>
          <w:rFonts w:ascii="Verdana" w:hAnsi="Verdana"/>
          <w:b/>
          <w:bCs/>
        </w:rPr>
      </w:pPr>
      <w:r w:rsidRPr="008217F4">
        <w:rPr>
          <w:rFonts w:ascii="Verdana" w:hAnsi="Verdana" w:cs="Arial"/>
          <w:sz w:val="20"/>
          <w:szCs w:val="20"/>
        </w:rPr>
        <w:t xml:space="preserve">De acuerdo con lo anterior, cada entidad según la naturaleza de su </w:t>
      </w:r>
      <w:proofErr w:type="gramStart"/>
      <w:r w:rsidRPr="008217F4">
        <w:rPr>
          <w:rFonts w:ascii="Verdana" w:hAnsi="Verdana" w:cs="Arial"/>
          <w:sz w:val="20"/>
          <w:szCs w:val="20"/>
        </w:rPr>
        <w:t>presupuesto,</w:t>
      </w:r>
      <w:proofErr w:type="gramEnd"/>
      <w:r w:rsidRPr="008217F4">
        <w:rPr>
          <w:rFonts w:ascii="Verdana" w:hAnsi="Verdana" w:cs="Arial"/>
          <w:sz w:val="20"/>
          <w:szCs w:val="20"/>
        </w:rPr>
        <w:t xml:space="preserve"> deberá dar cumplimiento a las disposiciones particulares para las actividades de gestión financiera, y establecer en los contratos la forma y qué documentos se deben presentar por parte de los contratistas para la facturación de los bienes, obras o servicios ejecutados</w:t>
      </w:r>
      <w:r>
        <w:rPr>
          <w:rFonts w:ascii="Verdana" w:hAnsi="Verdana" w:cs="Arial"/>
        </w:rPr>
        <w:t>.</w:t>
      </w:r>
      <w:r w:rsidRPr="008217F4">
        <w:rPr>
          <w:rFonts w:ascii="Verdana" w:hAnsi="Verdana"/>
          <w:b/>
          <w:bCs/>
        </w:rPr>
        <w:br w:type="page"/>
      </w:r>
    </w:p>
    <w:p w14:paraId="5FCADBF9" w14:textId="78E8242C" w:rsidR="00E245AB" w:rsidRDefault="00D81222" w:rsidP="00E245AB">
      <w:pPr>
        <w:spacing w:after="0"/>
        <w:rPr>
          <w:rFonts w:ascii="Verdana" w:hAnsi="Verdana"/>
        </w:rPr>
      </w:pPr>
      <w:r w:rsidRPr="00D81222">
        <w:rPr>
          <w:rFonts w:ascii="Verdana" w:hAnsi="Verdana"/>
        </w:rPr>
        <w:lastRenderedPageBreak/>
        <w:t>Bogotá D.C., 26 Diciembre 2024</w:t>
      </w:r>
    </w:p>
    <w:p w14:paraId="52B97D3C" w14:textId="77777777" w:rsidR="00D81222" w:rsidRDefault="00D81222" w:rsidP="00E245AB">
      <w:pPr>
        <w:spacing w:after="0"/>
        <w:rPr>
          <w:rFonts w:ascii="Verdana" w:hAnsi="Verdana"/>
        </w:rPr>
      </w:pPr>
    </w:p>
    <w:p w14:paraId="59157170" w14:textId="78B9AC14" w:rsidR="00D81222" w:rsidRPr="00D81222" w:rsidRDefault="00D81222" w:rsidP="00D81222">
      <w:pPr>
        <w:spacing w:after="0"/>
        <w:jc w:val="right"/>
      </w:pPr>
      <w:r w:rsidRPr="00D81222">
        <w:rPr>
          <w:rFonts w:ascii="Verdana" w:hAnsi="Verdana"/>
          <w:noProof/>
        </w:rPr>
        <w:drawing>
          <wp:inline distT="0" distB="0" distL="0" distR="0" wp14:anchorId="060B6A8A" wp14:editId="12ABBF25">
            <wp:extent cx="2787753" cy="740913"/>
            <wp:effectExtent l="0" t="0" r="0" b="2540"/>
            <wp:docPr id="224345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45155" name=""/>
                    <pic:cNvPicPr/>
                  </pic:nvPicPr>
                  <pic:blipFill>
                    <a:blip r:embed="rId11"/>
                    <a:stretch>
                      <a:fillRect/>
                    </a:stretch>
                  </pic:blipFill>
                  <pic:spPr>
                    <a:xfrm>
                      <a:off x="0" y="0"/>
                      <a:ext cx="2800524" cy="744307"/>
                    </a:xfrm>
                    <a:prstGeom prst="rect">
                      <a:avLst/>
                    </a:prstGeom>
                  </pic:spPr>
                </pic:pic>
              </a:graphicData>
            </a:graphic>
          </wp:inline>
        </w:drawing>
      </w:r>
    </w:p>
    <w:p w14:paraId="0465BA6D" w14:textId="77777777" w:rsidR="00E245AB" w:rsidRPr="0044528D" w:rsidRDefault="00E245AB" w:rsidP="00E245AB">
      <w:pPr>
        <w:spacing w:after="0"/>
        <w:rPr>
          <w:rFonts w:ascii="Verdana" w:hAnsi="Verdana"/>
        </w:rPr>
      </w:pPr>
    </w:p>
    <w:p w14:paraId="0B34C109" w14:textId="43E0F4BE" w:rsidR="00FA1B3E" w:rsidRPr="00C01845" w:rsidRDefault="00FA1B3E" w:rsidP="00FA1B3E">
      <w:pPr>
        <w:spacing w:after="0"/>
        <w:jc w:val="both"/>
        <w:rPr>
          <w:rFonts w:ascii="Verdana" w:hAnsi="Verdana"/>
          <w:lang w:val="es-MX"/>
        </w:rPr>
      </w:pPr>
      <w:r w:rsidRPr="00C01845">
        <w:rPr>
          <w:rFonts w:ascii="Verdana" w:hAnsi="Verdana"/>
          <w:lang w:val="es-MX"/>
        </w:rPr>
        <w:t>Señor</w:t>
      </w:r>
      <w:r w:rsidR="00951D7A">
        <w:rPr>
          <w:rFonts w:ascii="Verdana" w:hAnsi="Verdana"/>
          <w:lang w:val="es-MX"/>
        </w:rPr>
        <w:t>a</w:t>
      </w:r>
    </w:p>
    <w:p w14:paraId="71EA4834" w14:textId="6595A764" w:rsidR="00951D7A" w:rsidRDefault="00951D7A" w:rsidP="00FA1B3E">
      <w:pPr>
        <w:spacing w:after="0"/>
        <w:jc w:val="both"/>
        <w:rPr>
          <w:rFonts w:ascii="Verdana" w:hAnsi="Verdana"/>
          <w:b/>
          <w:bCs/>
        </w:rPr>
      </w:pPr>
      <w:r w:rsidRPr="00951D7A">
        <w:rPr>
          <w:rFonts w:ascii="Verdana" w:hAnsi="Verdana"/>
          <w:b/>
          <w:bCs/>
        </w:rPr>
        <w:t>Yeimy Janeth Ramirez Mejia</w:t>
      </w:r>
    </w:p>
    <w:p w14:paraId="39439433" w14:textId="7190ED04" w:rsidR="00951D7A" w:rsidRPr="00951D7A" w:rsidRDefault="00951D7A" w:rsidP="00FA1B3E">
      <w:pPr>
        <w:spacing w:after="0"/>
        <w:jc w:val="both"/>
        <w:rPr>
          <w:rFonts w:ascii="Verdana" w:hAnsi="Verdana"/>
          <w:bCs/>
        </w:rPr>
      </w:pPr>
      <w:r w:rsidRPr="00951D7A">
        <w:rPr>
          <w:rFonts w:ascii="Verdana" w:hAnsi="Verdana"/>
          <w:bCs/>
        </w:rPr>
        <w:t>yjrm1979@gmail.com</w:t>
      </w:r>
    </w:p>
    <w:p w14:paraId="44CEA0B8" w14:textId="16CB3D77" w:rsidR="00FA1B3E" w:rsidRPr="00C01845" w:rsidRDefault="00951D7A" w:rsidP="00FA1B3E">
      <w:pPr>
        <w:spacing w:after="0"/>
        <w:jc w:val="both"/>
        <w:rPr>
          <w:rFonts w:ascii="Verdana" w:hAnsi="Verdana"/>
        </w:rPr>
      </w:pPr>
      <w:r>
        <w:rPr>
          <w:rFonts w:ascii="Verdana" w:hAnsi="Verdana"/>
        </w:rPr>
        <w:t>Bogotá D.C</w:t>
      </w:r>
    </w:p>
    <w:p w14:paraId="45F896CD" w14:textId="3CA9F6B9" w:rsidR="00FA1B3E" w:rsidRPr="00C01845" w:rsidRDefault="00FA1B3E" w:rsidP="00FA1B3E">
      <w:pPr>
        <w:spacing w:after="0" w:line="240" w:lineRule="auto"/>
        <w:ind w:left="2694"/>
        <w:jc w:val="both"/>
        <w:rPr>
          <w:rFonts w:ascii="Verdana" w:eastAsia="Calibri" w:hAnsi="Verdana" w:cs="Arial"/>
          <w:b/>
          <w:bCs/>
          <w:lang w:val="es-ES" w:eastAsia="es-ES"/>
        </w:rPr>
      </w:pPr>
      <w:r w:rsidRPr="00C01845">
        <w:rPr>
          <w:rFonts w:ascii="Verdana" w:eastAsia="Calibri" w:hAnsi="Verdana" w:cs="Arial"/>
          <w:b/>
          <w:bCs/>
          <w:lang w:val="es-ES" w:eastAsia="es-ES"/>
        </w:rPr>
        <w:t>Concepto C–</w:t>
      </w:r>
      <w:r w:rsidR="00951D7A">
        <w:rPr>
          <w:rFonts w:ascii="Verdana" w:eastAsia="Calibri" w:hAnsi="Verdana" w:cs="Arial"/>
          <w:b/>
          <w:bCs/>
          <w:lang w:val="es-ES" w:eastAsia="es-ES"/>
        </w:rPr>
        <w:t>892</w:t>
      </w:r>
      <w:r w:rsidRPr="00C01845">
        <w:rPr>
          <w:rFonts w:ascii="Verdana" w:eastAsia="Calibri" w:hAnsi="Verdana" w:cs="Arial"/>
          <w:b/>
          <w:bCs/>
          <w:lang w:val="es-ES" w:eastAsia="es-ES"/>
        </w:rPr>
        <w:t xml:space="preserve"> de 2024</w:t>
      </w:r>
    </w:p>
    <w:p w14:paraId="6CBE0CCA" w14:textId="77777777" w:rsidR="00FA1B3E" w:rsidRPr="00C01845" w:rsidRDefault="00FA1B3E" w:rsidP="00FA1B3E">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FA1B3E" w:rsidRPr="00C01845" w14:paraId="48CEAF8F" w14:textId="77777777" w:rsidTr="00B17036">
        <w:trPr>
          <w:trHeight w:val="884"/>
        </w:trPr>
        <w:tc>
          <w:tcPr>
            <w:tcW w:w="2685" w:type="dxa"/>
            <w:hideMark/>
          </w:tcPr>
          <w:p w14:paraId="51FD84D0" w14:textId="77777777" w:rsidR="00FA1B3E" w:rsidRPr="00C01845" w:rsidRDefault="00FA1B3E" w:rsidP="00B17036">
            <w:pPr>
              <w:jc w:val="both"/>
              <w:rPr>
                <w:rFonts w:ascii="Verdana" w:eastAsia="Calibri" w:hAnsi="Verdana" w:cs="Arial"/>
                <w:b/>
                <w:bCs/>
                <w:szCs w:val="24"/>
                <w:lang w:val="es-ES_tradnl" w:eastAsia="es-ES_tradnl"/>
              </w:rPr>
            </w:pPr>
            <w:r w:rsidRPr="00C01845">
              <w:rPr>
                <w:rFonts w:ascii="Verdana" w:eastAsia="Calibri" w:hAnsi="Verdana" w:cs="Arial"/>
                <w:b/>
                <w:bCs/>
                <w:szCs w:val="24"/>
                <w:lang w:val="es-ES_tradnl" w:eastAsia="es-ES_tradnl"/>
              </w:rPr>
              <w:t xml:space="preserve">Temas:                   </w:t>
            </w:r>
          </w:p>
        </w:tc>
        <w:tc>
          <w:tcPr>
            <w:tcW w:w="6241" w:type="dxa"/>
            <w:hideMark/>
          </w:tcPr>
          <w:p w14:paraId="05DCFAE7" w14:textId="3133BE31" w:rsidR="00FA1B3E" w:rsidRPr="00951D7A" w:rsidRDefault="00951D7A" w:rsidP="00B17036">
            <w:pPr>
              <w:spacing w:line="276" w:lineRule="auto"/>
              <w:jc w:val="both"/>
              <w:rPr>
                <w:rFonts w:ascii="Verdana" w:hAnsi="Verdana"/>
                <w:highlight w:val="yellow"/>
              </w:rPr>
            </w:pPr>
            <w:r w:rsidRPr="002A2AF6">
              <w:rPr>
                <w:rFonts w:ascii="Verdana" w:eastAsia="Calibri" w:hAnsi="Verdana" w:cs="Arial"/>
                <w:lang w:val="es-ES" w:eastAsia="es-ES"/>
              </w:rPr>
              <w:t>DEBER DE VIGILANCIA DE LOS CONTRATOS – Obligación de la entidad estatal – Supervisión e interventoría</w:t>
            </w:r>
            <w:r w:rsidR="00BC224C">
              <w:rPr>
                <w:rFonts w:ascii="Verdana" w:eastAsia="Calibri" w:hAnsi="Verdana" w:cs="Arial"/>
                <w:lang w:val="es-ES" w:eastAsia="es-ES"/>
              </w:rPr>
              <w:t xml:space="preserve"> </w:t>
            </w:r>
            <w:r w:rsidR="00104DD4">
              <w:rPr>
                <w:rFonts w:ascii="Verdana" w:eastAsia="Calibri" w:hAnsi="Verdana" w:cs="Arial"/>
                <w:lang w:val="es-ES" w:eastAsia="es-ES"/>
              </w:rPr>
              <w:t>/</w:t>
            </w:r>
            <w:r w:rsidR="00BC224C">
              <w:rPr>
                <w:rFonts w:ascii="Verdana" w:eastAsia="Calibri" w:hAnsi="Verdana" w:cs="Arial"/>
                <w:lang w:val="es-ES" w:eastAsia="es-ES"/>
              </w:rPr>
              <w:t xml:space="preserve"> </w:t>
            </w:r>
            <w:r w:rsidR="00104DD4">
              <w:rPr>
                <w:rFonts w:ascii="Verdana" w:eastAsia="Calibri" w:hAnsi="Verdana" w:cs="Arial"/>
                <w:lang w:val="es-ES" w:eastAsia="es-ES"/>
              </w:rPr>
              <w:t>FACTURACIÓN</w:t>
            </w:r>
            <w:r w:rsidR="004D78D5">
              <w:rPr>
                <w:rFonts w:ascii="Verdana" w:eastAsia="Calibri" w:hAnsi="Verdana" w:cs="Arial"/>
                <w:lang w:val="es-ES" w:eastAsia="es-ES"/>
              </w:rPr>
              <w:t xml:space="preserve"> </w:t>
            </w:r>
            <w:r w:rsidR="004D78D5" w:rsidRPr="002A2AF6">
              <w:rPr>
                <w:rFonts w:ascii="Verdana" w:eastAsia="Calibri" w:hAnsi="Verdana" w:cs="Arial"/>
                <w:lang w:val="es-ES" w:eastAsia="es-ES"/>
              </w:rPr>
              <w:t xml:space="preserve">– </w:t>
            </w:r>
            <w:r w:rsidR="00104DD4">
              <w:rPr>
                <w:rFonts w:ascii="Verdana" w:eastAsia="Calibri" w:hAnsi="Verdana" w:cs="Arial"/>
                <w:lang w:val="es-ES" w:eastAsia="es-ES"/>
              </w:rPr>
              <w:t>Discrecionalidad</w:t>
            </w:r>
          </w:p>
        </w:tc>
        <w:tc>
          <w:tcPr>
            <w:tcW w:w="6237" w:type="dxa"/>
          </w:tcPr>
          <w:p w14:paraId="09923382" w14:textId="77777777" w:rsidR="00FA1B3E" w:rsidRPr="00C01845" w:rsidRDefault="00FA1B3E" w:rsidP="00B17036">
            <w:pPr>
              <w:jc w:val="both"/>
              <w:rPr>
                <w:rFonts w:ascii="Verdana" w:hAnsi="Verdana" w:cs="Arial"/>
                <w:lang w:val="es-ES"/>
              </w:rPr>
            </w:pPr>
          </w:p>
        </w:tc>
      </w:tr>
      <w:tr w:rsidR="00FA1B3E" w:rsidRPr="00C01845" w14:paraId="0D2D1666" w14:textId="77777777" w:rsidTr="00B17036">
        <w:tc>
          <w:tcPr>
            <w:tcW w:w="2685" w:type="dxa"/>
            <w:hideMark/>
          </w:tcPr>
          <w:p w14:paraId="3C31D6AB" w14:textId="77777777" w:rsidR="00FA1B3E" w:rsidRPr="00C01845" w:rsidRDefault="00FA1B3E" w:rsidP="00B17036">
            <w:pPr>
              <w:spacing w:before="120"/>
              <w:jc w:val="both"/>
              <w:rPr>
                <w:rFonts w:ascii="Verdana" w:eastAsia="Calibri" w:hAnsi="Verdana" w:cs="Arial"/>
                <w:b/>
                <w:bCs/>
                <w:szCs w:val="24"/>
                <w:lang w:val="es-ES_tradnl" w:eastAsia="es-ES_tradnl"/>
              </w:rPr>
            </w:pPr>
            <w:r w:rsidRPr="00C01845">
              <w:rPr>
                <w:rFonts w:ascii="Verdana" w:eastAsia="Calibri" w:hAnsi="Verdana" w:cs="Arial"/>
                <w:b/>
                <w:bCs/>
                <w:szCs w:val="24"/>
                <w:lang w:val="es-ES_tradnl" w:eastAsia="es-ES_tradnl"/>
              </w:rPr>
              <w:t xml:space="preserve">Radicación:               </w:t>
            </w:r>
          </w:p>
        </w:tc>
        <w:tc>
          <w:tcPr>
            <w:tcW w:w="6241" w:type="dxa"/>
            <w:hideMark/>
          </w:tcPr>
          <w:p w14:paraId="5F05302A" w14:textId="4C143653" w:rsidR="00FA1B3E" w:rsidRPr="00C01845" w:rsidRDefault="00FA1B3E" w:rsidP="00B17036">
            <w:pPr>
              <w:spacing w:before="120" w:line="276" w:lineRule="auto"/>
              <w:jc w:val="both"/>
              <w:rPr>
                <w:rFonts w:ascii="Verdana" w:eastAsia="Calibri" w:hAnsi="Verdana" w:cs="Arial"/>
                <w:szCs w:val="24"/>
                <w:lang w:val="es-ES_tradnl" w:eastAsia="es-ES_tradnl"/>
              </w:rPr>
            </w:pPr>
            <w:r w:rsidRPr="00C01845">
              <w:rPr>
                <w:rFonts w:ascii="Verdana" w:eastAsia="Calibri" w:hAnsi="Verdana" w:cs="Arial"/>
                <w:szCs w:val="24"/>
                <w:lang w:val="es-ES_tradnl" w:eastAsia="es-ES_tradnl"/>
              </w:rPr>
              <w:t xml:space="preserve">Respuesta a consulta con radicado No. </w:t>
            </w:r>
            <w:r w:rsidR="00951D7A" w:rsidRPr="00951D7A">
              <w:rPr>
                <w:rFonts w:ascii="Verdana" w:eastAsia="Calibri" w:hAnsi="Verdana" w:cs="Arial"/>
                <w:szCs w:val="24"/>
                <w:lang w:val="es-ES_tradnl" w:eastAsia="es-ES_tradnl"/>
              </w:rPr>
              <w:t>P20241119011609</w:t>
            </w:r>
          </w:p>
        </w:tc>
        <w:tc>
          <w:tcPr>
            <w:tcW w:w="6237" w:type="dxa"/>
          </w:tcPr>
          <w:p w14:paraId="6515B77D" w14:textId="77777777" w:rsidR="00FA1B3E" w:rsidRPr="00C01845" w:rsidRDefault="00FA1B3E" w:rsidP="00B17036">
            <w:pPr>
              <w:spacing w:before="120"/>
              <w:jc w:val="both"/>
              <w:rPr>
                <w:rFonts w:ascii="Verdana" w:eastAsia="Calibri" w:hAnsi="Verdana" w:cs="Arial"/>
                <w:szCs w:val="24"/>
                <w:lang w:val="es-ES_tradnl" w:eastAsia="es-ES_tradnl"/>
              </w:rPr>
            </w:pPr>
          </w:p>
        </w:tc>
      </w:tr>
    </w:tbl>
    <w:p w14:paraId="15C0EE52" w14:textId="77777777" w:rsidR="00FA1B3E" w:rsidRPr="00C01845" w:rsidRDefault="00FA1B3E" w:rsidP="00FA1B3E">
      <w:pPr>
        <w:spacing w:after="0" w:line="240" w:lineRule="auto"/>
        <w:jc w:val="both"/>
        <w:rPr>
          <w:rFonts w:ascii="Verdana" w:eastAsia="Calibri" w:hAnsi="Verdana" w:cs="Arial"/>
          <w:szCs w:val="24"/>
          <w:lang w:val="es-ES_tradnl" w:eastAsia="es-ES_tradnl"/>
        </w:rPr>
      </w:pPr>
    </w:p>
    <w:p w14:paraId="25837A29" w14:textId="18BEFC85" w:rsidR="00FA1B3E" w:rsidRPr="00C01845" w:rsidRDefault="00FA1B3E" w:rsidP="00FA1B3E">
      <w:pPr>
        <w:spacing w:after="0" w:line="240" w:lineRule="auto"/>
        <w:jc w:val="both"/>
        <w:rPr>
          <w:rFonts w:ascii="Verdana" w:eastAsia="Calibri" w:hAnsi="Verdana" w:cs="Arial"/>
          <w:lang w:val="es-ES" w:eastAsia="es-ES"/>
        </w:rPr>
      </w:pPr>
      <w:r w:rsidRPr="00C01845">
        <w:rPr>
          <w:rFonts w:ascii="Verdana" w:eastAsia="Calibri" w:hAnsi="Verdana" w:cs="Arial"/>
          <w:lang w:val="es-ES" w:eastAsia="es-ES"/>
        </w:rPr>
        <w:t>Estima</w:t>
      </w:r>
      <w:r w:rsidR="00951D7A">
        <w:rPr>
          <w:rFonts w:ascii="Verdana" w:eastAsia="Calibri" w:hAnsi="Verdana" w:cs="Arial"/>
          <w:lang w:val="es-ES" w:eastAsia="es-ES"/>
        </w:rPr>
        <w:t>da Yeimy</w:t>
      </w:r>
      <w:r w:rsidRPr="00C01845">
        <w:rPr>
          <w:rFonts w:ascii="Verdana" w:eastAsia="Calibri" w:hAnsi="Verdana" w:cs="Arial"/>
          <w:lang w:val="es-ES" w:eastAsia="es-ES"/>
        </w:rPr>
        <w:t xml:space="preserve">: </w:t>
      </w:r>
    </w:p>
    <w:p w14:paraId="3FF23D7A" w14:textId="77777777" w:rsidR="00FA1B3E" w:rsidRPr="00C01845" w:rsidRDefault="00FA1B3E" w:rsidP="00FA1B3E">
      <w:pPr>
        <w:spacing w:after="0" w:line="240" w:lineRule="auto"/>
        <w:jc w:val="both"/>
        <w:rPr>
          <w:rFonts w:ascii="Verdana" w:eastAsia="Calibri" w:hAnsi="Verdana" w:cs="Arial"/>
          <w:lang w:val="es-ES" w:eastAsia="es-ES"/>
        </w:rPr>
      </w:pPr>
    </w:p>
    <w:p w14:paraId="4B2D4F35" w14:textId="39821B96" w:rsidR="00FA1B3E" w:rsidRPr="00C01845" w:rsidRDefault="00FA1B3E" w:rsidP="00FA1B3E">
      <w:pPr>
        <w:spacing w:after="120" w:line="276" w:lineRule="auto"/>
        <w:jc w:val="both"/>
        <w:rPr>
          <w:rFonts w:ascii="Verdana" w:eastAsia="Calibri" w:hAnsi="Verdana" w:cs="Arial"/>
          <w:lang w:val="es-ES" w:eastAsia="es-ES"/>
        </w:rPr>
      </w:pPr>
      <w:r w:rsidRPr="00C01845">
        <w:rPr>
          <w:rFonts w:ascii="Verdana" w:eastAsia="Calibri" w:hAnsi="Verdana" w:cs="Arial"/>
          <w:lang w:val="es-ES" w:eastAsia="es-ES"/>
        </w:rPr>
        <w:t>En ejercicio de la competencia otorgada por los artículos 3, numeral 5º, y 11, numeral 8º, del Decreto Ley 4170 de 2011,</w:t>
      </w:r>
      <w:r w:rsidRPr="00C01845">
        <w:rPr>
          <w:rFonts w:ascii="Verdana" w:eastAsia="Arial MT" w:hAnsi="Verdana" w:cs="Arial MT"/>
          <w:lang w:val="es-ES" w:eastAsia="es-ES"/>
        </w:rPr>
        <w:t xml:space="preserve"> </w:t>
      </w:r>
      <w:r w:rsidRPr="00C01845">
        <w:rPr>
          <w:rFonts w:ascii="Verdana" w:eastAsia="Calibri" w:hAnsi="Verdana" w:cs="Arial"/>
          <w:lang w:val="es-ES" w:eastAsia="es-ES"/>
        </w:rPr>
        <w:t xml:space="preserve">la Agencia Nacional de Contratación Pública – Colombia Compra Eficiente– responde la solicitud de consulta del </w:t>
      </w:r>
      <w:r w:rsidR="00951D7A">
        <w:rPr>
          <w:rFonts w:ascii="Verdana" w:eastAsia="Calibri" w:hAnsi="Verdana" w:cs="Arial"/>
          <w:lang w:val="es-ES" w:eastAsia="es-ES"/>
        </w:rPr>
        <w:t>19</w:t>
      </w:r>
      <w:r w:rsidRPr="00C01845">
        <w:rPr>
          <w:rFonts w:ascii="Verdana" w:eastAsia="Calibri" w:hAnsi="Verdana" w:cs="Arial"/>
          <w:lang w:val="es-ES" w:eastAsia="es-ES"/>
        </w:rPr>
        <w:t xml:space="preserve"> de noviembre de 2024. En la cual manifiesta lo siguiente: </w:t>
      </w:r>
    </w:p>
    <w:p w14:paraId="0F3FEE90" w14:textId="77777777" w:rsidR="00951D7A" w:rsidRDefault="00FA1B3E" w:rsidP="00FA1B3E">
      <w:pPr>
        <w:spacing w:after="120" w:line="276" w:lineRule="auto"/>
        <w:ind w:left="567" w:right="900"/>
        <w:jc w:val="both"/>
        <w:rPr>
          <w:rFonts w:ascii="Verdana" w:eastAsia="Calibri" w:hAnsi="Verdana" w:cs="Arial"/>
          <w:sz w:val="20"/>
          <w:szCs w:val="20"/>
          <w:lang w:val="es-ES" w:eastAsia="es-ES"/>
        </w:rPr>
      </w:pPr>
      <w:r w:rsidRPr="00C01845">
        <w:rPr>
          <w:rFonts w:ascii="Verdana" w:eastAsia="Calibri" w:hAnsi="Verdana" w:cs="Arial"/>
          <w:sz w:val="20"/>
          <w:szCs w:val="20"/>
          <w:lang w:val="es-ES" w:eastAsia="es-ES"/>
        </w:rPr>
        <w:t>(…)</w:t>
      </w:r>
    </w:p>
    <w:p w14:paraId="09300D11" w14:textId="77777777" w:rsidR="00951D7A" w:rsidRDefault="00951D7A" w:rsidP="00951D7A">
      <w:pPr>
        <w:spacing w:after="120" w:line="240" w:lineRule="auto"/>
        <w:ind w:left="567" w:right="900"/>
        <w:jc w:val="both"/>
        <w:rPr>
          <w:rFonts w:ascii="Verdana" w:eastAsia="Calibri" w:hAnsi="Verdana" w:cs="Arial"/>
          <w:sz w:val="18"/>
          <w:szCs w:val="20"/>
          <w:lang w:val="es-ES" w:eastAsia="es-ES"/>
        </w:rPr>
      </w:pPr>
      <w:r w:rsidRPr="00951D7A">
        <w:rPr>
          <w:rFonts w:ascii="Verdana" w:hAnsi="Verdana"/>
          <w:sz w:val="20"/>
        </w:rPr>
        <w:t xml:space="preserve">Actualmente para el cargue de la facturación de SECOP se viene solicitando un informe. El informe, muchas veces solicita fotos, actas, registros de asistencia que incluyen cedula, correos, cargos, etc. Desde nuestra validación, hacemos un informe técnico que indica el alcance de la actividad y los registros descritos, enviados al funcionario encargado, sin embargo, esta misma información es nuevamente solicitada para facturar. Por lo anterior requerimos un concepto donde se indique si es viable remitir el informe al funcionario, teniendo en cuenta que los </w:t>
      </w:r>
      <w:proofErr w:type="gramStart"/>
      <w:r w:rsidRPr="00951D7A">
        <w:rPr>
          <w:rFonts w:ascii="Verdana" w:hAnsi="Verdana"/>
          <w:sz w:val="20"/>
        </w:rPr>
        <w:t>registros fotográfico</w:t>
      </w:r>
      <w:proofErr w:type="gramEnd"/>
      <w:r w:rsidRPr="00951D7A">
        <w:rPr>
          <w:rFonts w:ascii="Verdana" w:hAnsi="Verdana"/>
          <w:sz w:val="20"/>
        </w:rPr>
        <w:t>, actas y asistencias, corresponden a información sensible de los funcionario y al momento de facturar solo remitir la impresión o el soporte del envió al correo del funcionario, en pro de garantizar la ley de habeas data o si es indispensable cargar dicho informes y registros para facturar?:</w:t>
      </w:r>
    </w:p>
    <w:p w14:paraId="24446E96" w14:textId="73AE84F8" w:rsidR="00FA1B3E" w:rsidRDefault="00FA1B3E" w:rsidP="00951D7A">
      <w:pPr>
        <w:spacing w:after="120" w:line="240" w:lineRule="auto"/>
        <w:ind w:left="567" w:right="900"/>
        <w:jc w:val="both"/>
        <w:rPr>
          <w:rFonts w:ascii="Verdana" w:eastAsia="Calibri" w:hAnsi="Verdana" w:cs="Arial"/>
          <w:sz w:val="20"/>
          <w:szCs w:val="20"/>
          <w:lang w:val="es-ES" w:eastAsia="es-ES"/>
        </w:rPr>
      </w:pPr>
      <w:r w:rsidRPr="00C01845">
        <w:rPr>
          <w:rFonts w:ascii="Verdana" w:eastAsia="Calibri" w:hAnsi="Verdana" w:cs="Arial"/>
          <w:sz w:val="20"/>
          <w:szCs w:val="20"/>
          <w:lang w:val="es-ES" w:eastAsia="es-ES"/>
        </w:rPr>
        <w:t xml:space="preserve"> (…)</w:t>
      </w:r>
    </w:p>
    <w:p w14:paraId="70532B29" w14:textId="77777777" w:rsidR="00FA1B3E" w:rsidRPr="00C01845" w:rsidRDefault="00FA1B3E" w:rsidP="00FA1B3E">
      <w:pPr>
        <w:spacing w:after="120" w:line="276" w:lineRule="auto"/>
        <w:jc w:val="both"/>
        <w:rPr>
          <w:rFonts w:ascii="Verdana" w:eastAsia="Calibri" w:hAnsi="Verdana" w:cs="Arial"/>
          <w:lang w:val="es-ES" w:eastAsia="es-ES"/>
        </w:rPr>
      </w:pPr>
      <w:r w:rsidRPr="00C01845">
        <w:rPr>
          <w:rFonts w:ascii="Verdana" w:eastAsia="Calibri" w:hAnsi="Verdana" w:cs="Arial"/>
          <w:lang w:val="es-ES_tradnl" w:eastAsia="es-ES_tradnl"/>
        </w:rPr>
        <w:lastRenderedPageBreak/>
        <w:tab/>
      </w:r>
      <w:r w:rsidRPr="00C01845">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41ABA65A" w14:textId="77777777" w:rsidR="00FA1B3E" w:rsidRPr="00C01845" w:rsidRDefault="00FA1B3E" w:rsidP="00FA1B3E">
      <w:pPr>
        <w:spacing w:after="0" w:line="276" w:lineRule="auto"/>
        <w:jc w:val="both"/>
        <w:rPr>
          <w:rFonts w:ascii="Verdana" w:eastAsia="Calibri" w:hAnsi="Verdana" w:cs="Arial"/>
          <w:lang w:val="es-ES" w:eastAsia="es-ES"/>
        </w:rPr>
      </w:pPr>
      <w:r w:rsidRPr="00C01845">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119983E" w14:textId="77777777" w:rsidR="00FA1B3E" w:rsidRPr="00C01845" w:rsidRDefault="00FA1B3E" w:rsidP="00FA1B3E">
      <w:pPr>
        <w:spacing w:after="0" w:line="276" w:lineRule="auto"/>
        <w:jc w:val="both"/>
        <w:rPr>
          <w:rFonts w:ascii="Verdana" w:eastAsia="Calibri" w:hAnsi="Verdana" w:cs="Arial"/>
          <w:lang w:val="es-ES" w:eastAsia="es-ES"/>
        </w:rPr>
      </w:pPr>
    </w:p>
    <w:p w14:paraId="7DF282A6" w14:textId="77777777" w:rsidR="00FA1B3E" w:rsidRPr="00C01845" w:rsidRDefault="00FA1B3E" w:rsidP="00FA1B3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01845">
        <w:rPr>
          <w:rFonts w:ascii="Verdana" w:eastAsia="Century Gothic" w:hAnsi="Verdana" w:cs="Century Gothic"/>
          <w:b/>
          <w:bCs/>
        </w:rPr>
        <w:t>Problema planteado:</w:t>
      </w:r>
    </w:p>
    <w:p w14:paraId="5B8B0B85" w14:textId="77777777" w:rsidR="00FA1B3E" w:rsidRPr="00C01845" w:rsidRDefault="00FA1B3E" w:rsidP="00FA1B3E">
      <w:pPr>
        <w:spacing w:after="0" w:line="240" w:lineRule="auto"/>
        <w:jc w:val="both"/>
        <w:rPr>
          <w:rFonts w:ascii="Verdana" w:eastAsia="Century Gothic" w:hAnsi="Verdana" w:cs="Century Gothic"/>
        </w:rPr>
      </w:pPr>
    </w:p>
    <w:p w14:paraId="0045D8D8" w14:textId="31344014" w:rsidR="00FA1B3E" w:rsidRPr="00C01845" w:rsidRDefault="00FA1B3E" w:rsidP="00FA1B3E">
      <w:pPr>
        <w:spacing w:after="0" w:line="276" w:lineRule="auto"/>
        <w:jc w:val="both"/>
        <w:rPr>
          <w:rFonts w:ascii="Verdana" w:hAnsi="Verdana"/>
        </w:rPr>
      </w:pPr>
      <w:r w:rsidRPr="00C01845">
        <w:rPr>
          <w:rFonts w:ascii="Verdana" w:eastAsia="Century Gothic" w:hAnsi="Verdana" w:cs="Century Gothic"/>
        </w:rPr>
        <w:t xml:space="preserve">De acuerdo con el contenido de su solicitud, esta Agencia resolverá </w:t>
      </w:r>
      <w:r w:rsidR="0069220F">
        <w:rPr>
          <w:rFonts w:ascii="Verdana" w:eastAsia="Century Gothic" w:hAnsi="Verdana" w:cs="Century Gothic"/>
        </w:rPr>
        <w:t>los siguientes problemas jurídicos</w:t>
      </w:r>
      <w:r w:rsidRPr="00C01845">
        <w:rPr>
          <w:rFonts w:ascii="Verdana" w:eastAsia="Century Gothic" w:hAnsi="Verdana" w:cs="Century Gothic"/>
        </w:rPr>
        <w:t>:</w:t>
      </w:r>
      <w:r w:rsidR="0069220F">
        <w:rPr>
          <w:rFonts w:ascii="Verdana" w:eastAsia="Century Gothic" w:hAnsi="Verdana" w:cs="Century Gothic"/>
        </w:rPr>
        <w:t xml:space="preserve"> (i)</w:t>
      </w:r>
      <w:r>
        <w:rPr>
          <w:rFonts w:ascii="Verdana" w:eastAsia="Century Gothic" w:hAnsi="Verdana" w:cs="Century Gothic"/>
        </w:rPr>
        <w:t xml:space="preserve"> </w:t>
      </w:r>
      <w:r w:rsidR="00357BD3" w:rsidRPr="002A2AF6">
        <w:rPr>
          <w:rFonts w:ascii="Verdana" w:eastAsia="Century Gothic" w:hAnsi="Verdana" w:cs="Century Gothic"/>
        </w:rPr>
        <w:t>¿</w:t>
      </w:r>
      <w:r w:rsidR="004D78D5">
        <w:rPr>
          <w:rFonts w:ascii="Verdana" w:eastAsia="Century Gothic" w:hAnsi="Verdana" w:cs="Century Gothic"/>
        </w:rPr>
        <w:t>C</w:t>
      </w:r>
      <w:r w:rsidR="00357BD3" w:rsidRPr="002A2AF6">
        <w:rPr>
          <w:rFonts w:ascii="Verdana" w:eastAsia="Century Gothic" w:hAnsi="Verdana" w:cs="Century Gothic"/>
        </w:rPr>
        <w:t>ómo debe ejercerse la vigilancia de los contratos estatales?</w:t>
      </w:r>
      <w:r w:rsidR="0069220F">
        <w:rPr>
          <w:rFonts w:ascii="Verdana" w:eastAsia="Century Gothic" w:hAnsi="Verdana" w:cs="Century Gothic"/>
        </w:rPr>
        <w:t>, y (ii) ¿Qu</w:t>
      </w:r>
      <w:r w:rsidR="004D78D5">
        <w:rPr>
          <w:rFonts w:ascii="Verdana" w:eastAsia="Century Gothic" w:hAnsi="Verdana" w:cs="Century Gothic"/>
        </w:rPr>
        <w:t>é</w:t>
      </w:r>
      <w:r w:rsidR="0069220F">
        <w:rPr>
          <w:rFonts w:ascii="Verdana" w:eastAsia="Century Gothic" w:hAnsi="Verdana" w:cs="Century Gothic"/>
        </w:rPr>
        <w:t xml:space="preserve"> documentos se deben cargar en la plataforma Secop II</w:t>
      </w:r>
      <w:r w:rsidR="000E4FCA">
        <w:rPr>
          <w:rFonts w:ascii="Verdana" w:eastAsia="Century Gothic" w:hAnsi="Verdana" w:cs="Century Gothic"/>
        </w:rPr>
        <w:t xml:space="preserve"> respecto a la facturación</w:t>
      </w:r>
      <w:r w:rsidR="0069220F">
        <w:rPr>
          <w:rFonts w:ascii="Verdana" w:eastAsia="Century Gothic" w:hAnsi="Verdana" w:cs="Century Gothic"/>
        </w:rPr>
        <w:t xml:space="preserve">? </w:t>
      </w:r>
    </w:p>
    <w:p w14:paraId="129C7CAF" w14:textId="7F292867" w:rsidR="00FA1B3E" w:rsidRDefault="00FA1B3E" w:rsidP="00FA1B3E">
      <w:pPr>
        <w:spacing w:after="0" w:line="276" w:lineRule="auto"/>
        <w:jc w:val="both"/>
        <w:rPr>
          <w:rFonts w:ascii="Verdana" w:eastAsia="Century Gothic" w:hAnsi="Verdana" w:cs="Century Gothic"/>
        </w:rPr>
      </w:pPr>
    </w:p>
    <w:p w14:paraId="1868117B" w14:textId="77777777" w:rsidR="00FA1B3E" w:rsidRPr="00C01845" w:rsidRDefault="00FA1B3E" w:rsidP="00FA1B3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01845">
        <w:rPr>
          <w:rFonts w:ascii="Verdana" w:eastAsia="Century Gothic" w:hAnsi="Verdana" w:cs="Century Gothic"/>
          <w:b/>
          <w:bCs/>
        </w:rPr>
        <w:t>Respuesta:</w:t>
      </w:r>
    </w:p>
    <w:p w14:paraId="6B735D99" w14:textId="77777777" w:rsidR="00FA1B3E" w:rsidRPr="00C01845" w:rsidRDefault="00FA1B3E" w:rsidP="00FA1B3E">
      <w:pPr>
        <w:pStyle w:val="Prrafodelista"/>
        <w:tabs>
          <w:tab w:val="left" w:pos="142"/>
          <w:tab w:val="left" w:pos="284"/>
        </w:tabs>
        <w:spacing w:after="0" w:line="276" w:lineRule="auto"/>
        <w:ind w:left="0"/>
        <w:jc w:val="both"/>
        <w:rPr>
          <w:rFonts w:ascii="Verdana" w:eastAsia="Century Gothic" w:hAnsi="Verdana" w:cs="Century Gothic"/>
          <w:b/>
          <w:bCs/>
        </w:rPr>
      </w:pPr>
    </w:p>
    <w:p w14:paraId="5B59E0DF" w14:textId="56715A9B" w:rsidR="00357BD3" w:rsidRDefault="00464FA0" w:rsidP="00357BD3">
      <w:pPr>
        <w:spacing w:line="276" w:lineRule="auto"/>
        <w:jc w:val="both"/>
        <w:rPr>
          <w:rFonts w:ascii="Verdana" w:eastAsia="Calibri" w:hAnsi="Verdana" w:cs="Arial"/>
          <w:lang w:val="es-ES"/>
        </w:rPr>
      </w:pPr>
      <w:r>
        <w:rPr>
          <w:rFonts w:ascii="Verdana" w:eastAsia="Century Gothic" w:hAnsi="Verdana" w:cs="Century Gothic"/>
          <w:bCs/>
        </w:rPr>
        <w:t xml:space="preserve">i) </w:t>
      </w:r>
      <w:r w:rsidR="00FA1B3E" w:rsidRPr="00C01845">
        <w:rPr>
          <w:rFonts w:ascii="Verdana" w:eastAsia="Century Gothic" w:hAnsi="Verdana" w:cs="Century Gothic"/>
          <w:bCs/>
        </w:rPr>
        <w:t xml:space="preserve">Respecto al </w:t>
      </w:r>
      <w:r w:rsidR="000F060A" w:rsidRPr="00581B0C">
        <w:rPr>
          <w:rFonts w:ascii="Verdana" w:eastAsia="Century Gothic" w:hAnsi="Verdana" w:cs="Century Gothic"/>
          <w:bCs/>
          <w:i/>
          <w:iCs/>
        </w:rPr>
        <w:t xml:space="preserve">primer </w:t>
      </w:r>
      <w:r w:rsidR="00FA1B3E" w:rsidRPr="00581B0C">
        <w:rPr>
          <w:rFonts w:ascii="Verdana" w:eastAsia="Century Gothic" w:hAnsi="Verdana" w:cs="Century Gothic"/>
          <w:bCs/>
          <w:i/>
          <w:iCs/>
        </w:rPr>
        <w:t>interrogante</w:t>
      </w:r>
      <w:r w:rsidR="00FA1B3E" w:rsidRPr="00C01845">
        <w:rPr>
          <w:rFonts w:ascii="Verdana" w:eastAsia="Century Gothic" w:hAnsi="Verdana" w:cs="Century Gothic"/>
          <w:bCs/>
        </w:rPr>
        <w:t xml:space="preserve"> planteado por parte de</w:t>
      </w:r>
      <w:r w:rsidR="00357BD3">
        <w:rPr>
          <w:rFonts w:ascii="Verdana" w:eastAsia="Century Gothic" w:hAnsi="Verdana" w:cs="Century Gothic"/>
          <w:bCs/>
        </w:rPr>
        <w:t xml:space="preserve"> la</w:t>
      </w:r>
      <w:r w:rsidR="00FA1B3E" w:rsidRPr="00C01845">
        <w:rPr>
          <w:rFonts w:ascii="Verdana" w:eastAsia="Century Gothic" w:hAnsi="Verdana" w:cs="Century Gothic"/>
          <w:bCs/>
        </w:rPr>
        <w:t xml:space="preserve"> peticionari</w:t>
      </w:r>
      <w:r w:rsidR="00A86673">
        <w:rPr>
          <w:rFonts w:ascii="Verdana" w:eastAsia="Century Gothic" w:hAnsi="Verdana" w:cs="Century Gothic"/>
          <w:bCs/>
        </w:rPr>
        <w:t>a</w:t>
      </w:r>
      <w:r w:rsidR="00FA1B3E" w:rsidRPr="00C01845">
        <w:rPr>
          <w:rFonts w:ascii="Verdana" w:eastAsia="Century Gothic" w:hAnsi="Verdana" w:cs="Century Gothic"/>
          <w:bCs/>
        </w:rPr>
        <w:t xml:space="preserve">, </w:t>
      </w:r>
      <w:r w:rsidR="00357BD3">
        <w:rPr>
          <w:rFonts w:ascii="Verdana" w:eastAsia="Calibri" w:hAnsi="Verdana" w:cs="Arial"/>
          <w:lang w:val="es-ES"/>
        </w:rPr>
        <w:t>se debe precisar que quien</w:t>
      </w:r>
      <w:r w:rsidR="00357BD3" w:rsidRPr="002A2AF6">
        <w:rPr>
          <w:rFonts w:ascii="Verdana" w:eastAsia="Calibri" w:hAnsi="Verdana" w:cs="Arial"/>
          <w:lang w:val="es-ES"/>
        </w:rPr>
        <w:t xml:space="preserve"> ejerza la vigilancia del contrato, ya sea mediante la supervisión o a través de la interventoría, puede hacer uso de las facultades previstas en el artículo 84 de la Ley 1474 de 2011 para efectuar el seguimiento al cumplimiento obligacional del contrato y estará sometido a los deberes y responsabilidades que implica el ejercicio de dicha actividad. </w:t>
      </w:r>
    </w:p>
    <w:p w14:paraId="21B5F756" w14:textId="4F74E8E9" w:rsidR="00357BD3" w:rsidRDefault="00357BD3" w:rsidP="00357BD3">
      <w:pPr>
        <w:spacing w:line="276" w:lineRule="auto"/>
        <w:ind w:firstLine="708"/>
        <w:jc w:val="both"/>
        <w:rPr>
          <w:rFonts w:ascii="Verdana" w:eastAsia="Calibri" w:hAnsi="Verdana" w:cs="Arial"/>
          <w:lang w:val="es-ES"/>
        </w:rPr>
      </w:pPr>
      <w:r w:rsidRPr="002A2AF6">
        <w:rPr>
          <w:rFonts w:ascii="Verdana" w:eastAsia="Calibri" w:hAnsi="Verdana" w:cs="Arial"/>
          <w:lang w:val="es-ES"/>
        </w:rPr>
        <w:lastRenderedPageBreak/>
        <w:t xml:space="preserve">Respecto de tales obligaciones, se tiene que el inciso segundo de la norma </w:t>
      </w:r>
      <w:proofErr w:type="gramStart"/>
      <w:r w:rsidRPr="002A2AF6">
        <w:rPr>
          <w:rFonts w:ascii="Verdana" w:eastAsia="Calibri" w:hAnsi="Verdana" w:cs="Arial"/>
          <w:lang w:val="es-ES"/>
        </w:rPr>
        <w:t>referida,</w:t>
      </w:r>
      <w:proofErr w:type="gramEnd"/>
      <w:r w:rsidRPr="002A2AF6">
        <w:rPr>
          <w:rFonts w:ascii="Verdana" w:eastAsia="Calibri" w:hAnsi="Verdana" w:cs="Arial"/>
          <w:lang w:val="es-ES"/>
        </w:rPr>
        <w:t xml:space="preserve"> establece entre otros aspectos, que el supervisor y/o interventor deberá informar a la entidad contratante de los hechos o circunstancias que puedan poner en riesgo el cumplimiento del contrato o, cuando el incumplimiento de este se presente. En ese sentido, debe precisarse q</w:t>
      </w:r>
      <w:r>
        <w:rPr>
          <w:rFonts w:ascii="Verdana" w:eastAsia="Calibri" w:hAnsi="Verdana" w:cs="Arial"/>
          <w:lang w:val="es-ES"/>
        </w:rPr>
        <w:t xml:space="preserve">ue dentro del clausulado contractual se debe </w:t>
      </w:r>
      <w:r w:rsidR="00464FA0">
        <w:rPr>
          <w:rFonts w:ascii="Verdana" w:eastAsia="Calibri" w:hAnsi="Verdana" w:cs="Arial"/>
          <w:lang w:val="es-ES"/>
        </w:rPr>
        <w:t>señalar</w:t>
      </w:r>
      <w:r>
        <w:rPr>
          <w:rFonts w:ascii="Verdana" w:eastAsia="Calibri" w:hAnsi="Verdana" w:cs="Arial"/>
          <w:lang w:val="es-ES"/>
        </w:rPr>
        <w:t xml:space="preserve"> la manera en que se hará la verificación de las </w:t>
      </w:r>
      <w:r w:rsidR="00F84389">
        <w:rPr>
          <w:rFonts w:ascii="Verdana" w:eastAsia="Calibri" w:hAnsi="Verdana" w:cs="Arial"/>
          <w:lang w:val="es-ES"/>
        </w:rPr>
        <w:t>actividades</w:t>
      </w:r>
      <w:r>
        <w:rPr>
          <w:rFonts w:ascii="Verdana" w:eastAsia="Calibri" w:hAnsi="Verdana" w:cs="Arial"/>
          <w:lang w:val="es-ES"/>
        </w:rPr>
        <w:t xml:space="preserve"> por parte del </w:t>
      </w:r>
      <w:r w:rsidR="00F84389">
        <w:rPr>
          <w:rFonts w:ascii="Verdana" w:eastAsia="Calibri" w:hAnsi="Verdana" w:cs="Arial"/>
          <w:lang w:val="es-ES"/>
        </w:rPr>
        <w:t>supervisor</w:t>
      </w:r>
      <w:r w:rsidR="00167C86">
        <w:rPr>
          <w:rFonts w:ascii="Verdana" w:eastAsia="Calibri" w:hAnsi="Verdana" w:cs="Arial"/>
          <w:lang w:val="es-ES"/>
        </w:rPr>
        <w:t xml:space="preserve"> </w:t>
      </w:r>
      <w:r w:rsidR="00337C74">
        <w:rPr>
          <w:rFonts w:ascii="Verdana" w:eastAsia="Calibri" w:hAnsi="Verdana" w:cs="Arial"/>
          <w:lang w:val="es-ES"/>
        </w:rPr>
        <w:t xml:space="preserve">y los documentos que se deben presentar por parte del contratista </w:t>
      </w:r>
      <w:r w:rsidR="00E4668A">
        <w:rPr>
          <w:rFonts w:ascii="Verdana" w:eastAsia="Calibri" w:hAnsi="Verdana" w:cs="Arial"/>
          <w:lang w:val="es-ES"/>
        </w:rPr>
        <w:t xml:space="preserve">para la respectiva validación. </w:t>
      </w:r>
    </w:p>
    <w:p w14:paraId="1ADCCE3C" w14:textId="4FEF5E62" w:rsidR="00FA1B3E" w:rsidRDefault="00464FA0" w:rsidP="00464FA0">
      <w:pPr>
        <w:spacing w:line="276" w:lineRule="auto"/>
        <w:ind w:firstLine="708"/>
        <w:jc w:val="both"/>
        <w:rPr>
          <w:rFonts w:ascii="Verdana" w:eastAsia="Century Gothic" w:hAnsi="Verdana" w:cs="Century Gothic"/>
        </w:rPr>
      </w:pPr>
      <w:r>
        <w:rPr>
          <w:rFonts w:ascii="Verdana" w:eastAsia="Century Gothic" w:hAnsi="Verdana" w:cs="Century Gothic"/>
          <w:bCs/>
        </w:rPr>
        <w:t xml:space="preserve">ii) </w:t>
      </w:r>
      <w:r w:rsidR="00581B0C" w:rsidRPr="00C01845">
        <w:rPr>
          <w:rFonts w:ascii="Verdana" w:eastAsia="Century Gothic" w:hAnsi="Verdana" w:cs="Century Gothic"/>
          <w:bCs/>
        </w:rPr>
        <w:t xml:space="preserve">Respecto al </w:t>
      </w:r>
      <w:r w:rsidR="00581B0C">
        <w:rPr>
          <w:rFonts w:ascii="Verdana" w:eastAsia="Century Gothic" w:hAnsi="Verdana" w:cs="Century Gothic"/>
          <w:bCs/>
          <w:i/>
          <w:iCs/>
        </w:rPr>
        <w:t>segundo</w:t>
      </w:r>
      <w:r w:rsidR="00581B0C" w:rsidRPr="00581B0C">
        <w:rPr>
          <w:rFonts w:ascii="Verdana" w:eastAsia="Century Gothic" w:hAnsi="Verdana" w:cs="Century Gothic"/>
          <w:bCs/>
          <w:i/>
          <w:iCs/>
        </w:rPr>
        <w:t xml:space="preserve"> interrogante</w:t>
      </w:r>
      <w:r w:rsidR="00581B0C">
        <w:rPr>
          <w:rFonts w:ascii="Verdana" w:eastAsia="Century Gothic" w:hAnsi="Verdana" w:cs="Century Gothic"/>
          <w:bCs/>
        </w:rPr>
        <w:t xml:space="preserve">, se </w:t>
      </w:r>
      <w:r w:rsidR="00262A60">
        <w:rPr>
          <w:rFonts w:ascii="Verdana" w:eastAsia="Century Gothic" w:hAnsi="Verdana" w:cs="Century Gothic"/>
          <w:bCs/>
        </w:rPr>
        <w:t xml:space="preserve">aclara que </w:t>
      </w:r>
      <w:r w:rsidR="004D0B26">
        <w:rPr>
          <w:rFonts w:ascii="Verdana" w:eastAsia="Century Gothic" w:hAnsi="Verdana" w:cs="Century Gothic"/>
          <w:bCs/>
        </w:rPr>
        <w:t>en</w:t>
      </w:r>
      <w:r w:rsidR="00262A60">
        <w:rPr>
          <w:rFonts w:ascii="Verdana" w:eastAsia="Century Gothic" w:hAnsi="Verdana" w:cs="Century Gothic"/>
          <w:bCs/>
        </w:rPr>
        <w:t xml:space="preserve"> </w:t>
      </w:r>
      <w:r w:rsidR="006E4E24">
        <w:rPr>
          <w:rFonts w:ascii="Verdana" w:eastAsia="Century Gothic" w:hAnsi="Verdana" w:cs="Century Gothic"/>
          <w:bCs/>
        </w:rPr>
        <w:t xml:space="preserve">la plataforma SECOP II se </w:t>
      </w:r>
      <w:r w:rsidR="000F255C">
        <w:rPr>
          <w:rFonts w:ascii="Verdana" w:eastAsia="Century Gothic" w:hAnsi="Verdana" w:cs="Century Gothic"/>
          <w:bCs/>
        </w:rPr>
        <w:t xml:space="preserve">encuentra en la </w:t>
      </w:r>
      <w:proofErr w:type="gramStart"/>
      <w:r w:rsidR="000F255C">
        <w:rPr>
          <w:rFonts w:ascii="Verdana" w:eastAsia="Century Gothic" w:hAnsi="Verdana" w:cs="Century Gothic"/>
          <w:bCs/>
        </w:rPr>
        <w:t>interface</w:t>
      </w:r>
      <w:proofErr w:type="gramEnd"/>
      <w:r w:rsidR="000F255C">
        <w:rPr>
          <w:rFonts w:ascii="Verdana" w:eastAsia="Century Gothic" w:hAnsi="Verdana" w:cs="Century Gothic"/>
          <w:bCs/>
        </w:rPr>
        <w:t xml:space="preserve"> de </w:t>
      </w:r>
      <w:r w:rsidR="00092750">
        <w:rPr>
          <w:rFonts w:ascii="Verdana" w:eastAsia="Century Gothic" w:hAnsi="Verdana" w:cs="Century Gothic"/>
          <w:bCs/>
          <w:i/>
          <w:iCs/>
        </w:rPr>
        <w:t xml:space="preserve">plan de pagos, </w:t>
      </w:r>
      <w:r w:rsidR="00AB26E7" w:rsidRPr="00AB26E7">
        <w:rPr>
          <w:rFonts w:ascii="Verdana" w:eastAsia="Calibri" w:hAnsi="Verdana" w:cs="Arial"/>
        </w:rPr>
        <w:t>la funcionalidad de validación de factura electrónica</w:t>
      </w:r>
      <w:r w:rsidR="00F176D2">
        <w:rPr>
          <w:rFonts w:ascii="Verdana" w:eastAsia="Calibri" w:hAnsi="Verdana" w:cs="Arial"/>
        </w:rPr>
        <w:t xml:space="preserve">. </w:t>
      </w:r>
      <w:r w:rsidR="00AB26E7" w:rsidRPr="00AB26E7">
        <w:rPr>
          <w:rFonts w:ascii="Verdana" w:eastAsia="Calibri" w:hAnsi="Verdana" w:cs="Arial"/>
        </w:rPr>
        <w:t>El proceso de validación se realizará a través de mecanismos de interoperabilidad con la Dirección de Impuestos y Aduanas Nacionales - DIAN, proceso mediante el cual, el usuario registra en SECOP el código único de factura electrónica CUFE presente en el archivo pdf que su facturador electrónico le envía; posteriormente se valida de manera transparente con DIAN para conocer si la factura está o no autorizada y así continuar con su registro de factura en SECOP.</w:t>
      </w:r>
      <w:r w:rsidR="00797125">
        <w:rPr>
          <w:rFonts w:ascii="Verdana" w:eastAsia="Calibri" w:hAnsi="Verdana" w:cs="Arial"/>
        </w:rPr>
        <w:t xml:space="preserve"> Ahora bien, se debe señalar que</w:t>
      </w:r>
      <w:r w:rsidR="001D74C1">
        <w:rPr>
          <w:rFonts w:ascii="Verdana" w:eastAsia="Calibri" w:hAnsi="Verdana" w:cs="Arial"/>
        </w:rPr>
        <w:t xml:space="preserve"> para los tramites </w:t>
      </w:r>
      <w:r w:rsidR="004D0B26">
        <w:rPr>
          <w:rFonts w:ascii="Verdana" w:eastAsia="Calibri" w:hAnsi="Verdana" w:cs="Arial"/>
        </w:rPr>
        <w:t>de pago</w:t>
      </w:r>
      <w:r w:rsidR="0027474E">
        <w:rPr>
          <w:rFonts w:ascii="Verdana" w:eastAsia="Calibri" w:hAnsi="Verdana" w:cs="Arial"/>
        </w:rPr>
        <w:t xml:space="preserve"> internos</w:t>
      </w:r>
      <w:r w:rsidR="00BA61C1">
        <w:rPr>
          <w:rFonts w:ascii="Verdana" w:eastAsia="Calibri" w:hAnsi="Verdana" w:cs="Arial"/>
        </w:rPr>
        <w:t xml:space="preserve"> o gestión administrativa</w:t>
      </w:r>
      <w:r w:rsidR="004D0B26">
        <w:rPr>
          <w:rFonts w:ascii="Verdana" w:eastAsia="Calibri" w:hAnsi="Verdana" w:cs="Arial"/>
        </w:rPr>
        <w:t xml:space="preserve">, </w:t>
      </w:r>
      <w:r w:rsidR="0027474E">
        <w:rPr>
          <w:rFonts w:ascii="Verdana" w:eastAsia="Calibri" w:hAnsi="Verdana" w:cs="Arial"/>
        </w:rPr>
        <w:t xml:space="preserve">cada entidad tendrá </w:t>
      </w:r>
      <w:r w:rsidR="00BA61C1">
        <w:rPr>
          <w:rFonts w:ascii="Verdana" w:eastAsia="Calibri" w:hAnsi="Verdana" w:cs="Arial"/>
        </w:rPr>
        <w:t xml:space="preserve">la </w:t>
      </w:r>
      <w:r w:rsidR="0027474E">
        <w:rPr>
          <w:rFonts w:ascii="Verdana" w:eastAsia="Calibri" w:hAnsi="Verdana" w:cs="Arial"/>
        </w:rPr>
        <w:t>autonomía para solicitar los documentos que se requieran p</w:t>
      </w:r>
      <w:r w:rsidR="000F79C0">
        <w:rPr>
          <w:rFonts w:ascii="Verdana" w:eastAsia="Calibri" w:hAnsi="Verdana" w:cs="Arial"/>
        </w:rPr>
        <w:t>or parte del contratista</w:t>
      </w:r>
      <w:r w:rsidR="00777805">
        <w:rPr>
          <w:rFonts w:ascii="Verdana" w:eastAsia="Calibri" w:hAnsi="Verdana" w:cs="Arial"/>
        </w:rPr>
        <w:t xml:space="preserve"> </w:t>
      </w:r>
      <w:r w:rsidR="00345F2F">
        <w:rPr>
          <w:rFonts w:ascii="Verdana" w:eastAsia="Calibri" w:hAnsi="Verdana" w:cs="Arial"/>
        </w:rPr>
        <w:t>respecto a la facturació</w:t>
      </w:r>
      <w:r w:rsidR="00BA61C1">
        <w:rPr>
          <w:rFonts w:ascii="Verdana" w:eastAsia="Calibri" w:hAnsi="Verdana" w:cs="Arial"/>
        </w:rPr>
        <w:t>n</w:t>
      </w:r>
      <w:r w:rsidR="0032563E">
        <w:rPr>
          <w:rFonts w:ascii="Verdana" w:eastAsia="Calibri" w:hAnsi="Verdana" w:cs="Arial"/>
        </w:rPr>
        <w:t xml:space="preserve">. </w:t>
      </w:r>
      <w:r w:rsidR="00747737">
        <w:rPr>
          <w:rFonts w:ascii="Verdana" w:eastAsia="Century Gothic" w:hAnsi="Verdana" w:cs="Century Gothic"/>
        </w:rPr>
        <w:tab/>
      </w:r>
      <w:r w:rsidR="00747737">
        <w:rPr>
          <w:rFonts w:ascii="Verdana" w:eastAsia="Century Gothic" w:hAnsi="Verdana" w:cs="Century Gothic"/>
        </w:rPr>
        <w:tab/>
      </w:r>
      <w:r w:rsidR="00747737">
        <w:rPr>
          <w:rFonts w:ascii="Verdana" w:eastAsia="Century Gothic" w:hAnsi="Verdana" w:cs="Century Gothic"/>
        </w:rPr>
        <w:tab/>
      </w:r>
    </w:p>
    <w:p w14:paraId="7A671AEE" w14:textId="779EF103" w:rsidR="00FA1B3E" w:rsidRPr="00C01845" w:rsidRDefault="006F1E63" w:rsidP="00FA1B3E">
      <w:pPr>
        <w:pStyle w:val="Prrafodelista"/>
        <w:tabs>
          <w:tab w:val="left" w:pos="142"/>
          <w:tab w:val="left" w:pos="284"/>
        </w:tabs>
        <w:spacing w:after="0" w:line="276" w:lineRule="auto"/>
        <w:ind w:left="0"/>
        <w:jc w:val="both"/>
        <w:rPr>
          <w:rFonts w:ascii="Verdana" w:eastAsia="Century Gothic" w:hAnsi="Verdana" w:cs="Century Gothic"/>
          <w:b/>
          <w:bCs/>
        </w:rPr>
      </w:pPr>
      <w:r>
        <w:rPr>
          <w:rFonts w:ascii="Verdana" w:eastAsia="Century Gothic" w:hAnsi="Verdana" w:cs="Century Gothic"/>
          <w:b/>
          <w:bCs/>
        </w:rPr>
        <w:t xml:space="preserve">3. </w:t>
      </w:r>
      <w:r w:rsidR="00FA1B3E" w:rsidRPr="00C01845">
        <w:rPr>
          <w:rFonts w:ascii="Verdana" w:eastAsia="Century Gothic" w:hAnsi="Verdana" w:cs="Century Gothic"/>
          <w:b/>
          <w:bCs/>
        </w:rPr>
        <w:t>Razones de la respuesta:</w:t>
      </w:r>
    </w:p>
    <w:p w14:paraId="6081207C" w14:textId="77777777" w:rsidR="00FA1B3E" w:rsidRPr="00C01845" w:rsidRDefault="00FA1B3E" w:rsidP="00FA1B3E">
      <w:pPr>
        <w:spacing w:after="0" w:line="276" w:lineRule="auto"/>
        <w:jc w:val="both"/>
        <w:rPr>
          <w:rFonts w:ascii="Verdana" w:eastAsia="Calibri" w:hAnsi="Verdana" w:cs="Arial"/>
          <w:lang w:val="es-ES"/>
        </w:rPr>
      </w:pPr>
    </w:p>
    <w:p w14:paraId="54C810FC" w14:textId="77777777" w:rsidR="00FA1B3E" w:rsidRPr="00C01845" w:rsidRDefault="00FA1B3E" w:rsidP="00FA1B3E">
      <w:pPr>
        <w:spacing w:after="0" w:line="276" w:lineRule="auto"/>
        <w:jc w:val="both"/>
        <w:rPr>
          <w:rFonts w:ascii="Verdana" w:eastAsia="Calibri" w:hAnsi="Verdana" w:cs="Arial"/>
          <w:lang w:val="es-ES"/>
        </w:rPr>
      </w:pPr>
      <w:r w:rsidRPr="00C01845">
        <w:rPr>
          <w:rFonts w:ascii="Verdana" w:eastAsia="Calibri" w:hAnsi="Verdana" w:cs="Arial"/>
          <w:lang w:val="es-ES"/>
        </w:rPr>
        <w:t>Lo anterior se sustenta en las siguientes consideraciones:</w:t>
      </w:r>
    </w:p>
    <w:p w14:paraId="1686047D" w14:textId="77777777" w:rsidR="00FA1B3E" w:rsidRDefault="00FA1B3E" w:rsidP="00FA1B3E">
      <w:pPr>
        <w:pStyle w:val="Sangra3detindependiente"/>
        <w:ind w:left="0" w:firstLine="709"/>
        <w:jc w:val="both"/>
        <w:rPr>
          <w:rFonts w:ascii="Verdana" w:hAnsi="Verdana" w:cs="Arial"/>
          <w:sz w:val="22"/>
          <w:szCs w:val="22"/>
        </w:rPr>
      </w:pPr>
    </w:p>
    <w:p w14:paraId="5BEE81D1" w14:textId="77777777" w:rsidR="00254E58" w:rsidRPr="00CC1094" w:rsidRDefault="00254E58" w:rsidP="00254E58">
      <w:pPr>
        <w:pStyle w:val="Prrafodelista"/>
        <w:numPr>
          <w:ilvl w:val="0"/>
          <w:numId w:val="20"/>
        </w:numPr>
        <w:spacing w:line="276" w:lineRule="auto"/>
        <w:jc w:val="both"/>
        <w:rPr>
          <w:rFonts w:ascii="Verdana" w:eastAsia="Aptos" w:hAnsi="Verdana" w:cs="Arial"/>
          <w:lang w:val="es-ES_tradnl" w:eastAsia="es-MX"/>
        </w:rPr>
      </w:pPr>
      <w:r>
        <w:rPr>
          <w:rFonts w:ascii="Verdana" w:eastAsia="Calibri" w:hAnsi="Verdana" w:cs="Arial"/>
          <w:shd w:val="clear" w:color="auto" w:fill="FFFFFF"/>
        </w:rPr>
        <w:t>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67F713B4" w14:textId="77777777" w:rsidR="00254E58" w:rsidRDefault="00254E58" w:rsidP="00254E58">
      <w:pPr>
        <w:pStyle w:val="Prrafodelista"/>
        <w:spacing w:line="276" w:lineRule="auto"/>
        <w:jc w:val="both"/>
        <w:rPr>
          <w:rFonts w:ascii="Verdana" w:eastAsia="Aptos" w:hAnsi="Verdana" w:cs="Arial"/>
          <w:lang w:val="es-ES_tradnl" w:eastAsia="es-MX"/>
        </w:rPr>
      </w:pPr>
    </w:p>
    <w:p w14:paraId="0CBBC5FF" w14:textId="77777777" w:rsidR="00254E58" w:rsidRPr="00630CEA" w:rsidRDefault="00254E58" w:rsidP="00254E58">
      <w:pPr>
        <w:pStyle w:val="Prrafodelista"/>
        <w:numPr>
          <w:ilvl w:val="0"/>
          <w:numId w:val="20"/>
        </w:numPr>
        <w:spacing w:line="276" w:lineRule="auto"/>
        <w:jc w:val="both"/>
        <w:textAlignment w:val="baseline"/>
        <w:rPr>
          <w:rFonts w:ascii="Verdana" w:eastAsia="Aptos" w:hAnsi="Verdana" w:cs="Arial"/>
          <w:lang w:val="es-ES_tradnl" w:eastAsia="es-MX"/>
        </w:rPr>
      </w:pPr>
      <w:r w:rsidRPr="006E14E6">
        <w:rPr>
          <w:rFonts w:ascii="Verdana" w:eastAsia="Aptos" w:hAnsi="Verdana" w:cs="Arial"/>
          <w:lang w:val="es-ES_tradnl" w:eastAsia="es-MX"/>
        </w:rPr>
        <w:lastRenderedPageBreak/>
        <w:t xml:space="preserve">En ese sentido, </w:t>
      </w:r>
      <w:r>
        <w:rPr>
          <w:rFonts w:ascii="Verdana" w:eastAsia="Aptos" w:hAnsi="Verdana" w:cs="Arial"/>
          <w:lang w:val="es-ES_tradnl" w:eastAsia="es-MX"/>
        </w:rPr>
        <w:t>las Leyes 1150 de 2007 y 1474 de 2011, complementan el régimen jurídico de la obligación de vigilar la correcta ejecución de los contratos estatales. En dichas normas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Pr>
          <w:rStyle w:val="Refdenotaalpie"/>
          <w:rFonts w:ascii="Verdana" w:eastAsia="Aptos" w:hAnsi="Verdana" w:cs="Arial"/>
          <w:lang w:val="es-ES_tradnl" w:eastAsia="es-MX"/>
        </w:rPr>
        <w:footnoteReference w:id="2"/>
      </w:r>
      <w:r>
        <w:rPr>
          <w:rFonts w:ascii="Verdana" w:eastAsia="Aptos" w:hAnsi="Verdana" w:cs="Arial"/>
          <w:lang w:val="es-ES_tradnl" w:eastAsia="es-MX"/>
        </w:rPr>
        <w:t>. También se establecen los límites de la responsabilidad del representante legal ante la delegación de sus funciones en materia contractual</w:t>
      </w:r>
      <w:r>
        <w:rPr>
          <w:rStyle w:val="Refdenotaalpie"/>
          <w:rFonts w:ascii="Verdana" w:eastAsia="Aptos" w:hAnsi="Verdana" w:cs="Arial"/>
          <w:lang w:val="es-ES_tradnl" w:eastAsia="es-MX"/>
        </w:rPr>
        <w:footnoteReference w:id="3"/>
      </w:r>
      <w:r>
        <w:rPr>
          <w:rFonts w:ascii="Verdana" w:eastAsia="Aptos" w:hAnsi="Verdana" w:cs="Arial"/>
          <w:lang w:val="es-ES_tradnl" w:eastAsia="es-MX"/>
        </w:rPr>
        <w:t xml:space="preserve"> </w:t>
      </w:r>
      <w:r w:rsidRPr="00630CEA">
        <w:rPr>
          <w:rFonts w:ascii="Verdana" w:eastAsia="Aptos" w:hAnsi="Verdana" w:cs="Arial"/>
          <w:lang w:val="es-ES_tradnl" w:eastAsia="es-MX"/>
        </w:rPr>
        <w:t>y se regula la supervisión y la interventoría de los contratos estatales</w:t>
      </w:r>
      <w:r>
        <w:rPr>
          <w:rStyle w:val="Refdenotaalpie"/>
          <w:rFonts w:ascii="Verdana" w:eastAsia="Aptos" w:hAnsi="Verdana" w:cs="Arial"/>
          <w:lang w:val="es-ES_tradnl" w:eastAsia="es-MX"/>
        </w:rPr>
        <w:footnoteReference w:id="4"/>
      </w:r>
      <w:r w:rsidRPr="00630CEA">
        <w:rPr>
          <w:rFonts w:ascii="Verdana" w:eastAsia="Aptos" w:hAnsi="Verdana" w:cs="Arial"/>
          <w:lang w:val="es-ES_tradnl" w:eastAsia="es-MX"/>
        </w:rPr>
        <w:t>.</w:t>
      </w:r>
    </w:p>
    <w:p w14:paraId="1AA786CE" w14:textId="77777777" w:rsidR="00254E58" w:rsidRPr="00A25753" w:rsidRDefault="00254E58" w:rsidP="00254E58">
      <w:pPr>
        <w:pStyle w:val="Prrafodelista"/>
        <w:rPr>
          <w:rFonts w:ascii="Verdana" w:eastAsia="Aptos" w:hAnsi="Verdana" w:cs="Arial"/>
          <w:lang w:val="es-ES_tradnl" w:eastAsia="es-MX"/>
        </w:rPr>
      </w:pPr>
    </w:p>
    <w:p w14:paraId="27EB4509" w14:textId="77777777" w:rsidR="00254E58" w:rsidRDefault="00254E58" w:rsidP="00254E58">
      <w:pPr>
        <w:pStyle w:val="Prrafodelista"/>
        <w:numPr>
          <w:ilvl w:val="0"/>
          <w:numId w:val="20"/>
        </w:numPr>
        <w:spacing w:before="120" w:after="120" w:line="276" w:lineRule="auto"/>
        <w:jc w:val="both"/>
        <w:textAlignment w:val="baseline"/>
        <w:rPr>
          <w:rFonts w:ascii="Verdana" w:eastAsia="Aptos" w:hAnsi="Verdana" w:cs="Arial"/>
          <w:lang w:val="es-ES_tradnl" w:eastAsia="es-MX"/>
        </w:rPr>
      </w:pPr>
      <w:r w:rsidRPr="006E14E6">
        <w:rPr>
          <w:rFonts w:ascii="Verdana" w:eastAsia="Aptos" w:hAnsi="Verdana" w:cs="Arial"/>
          <w:lang w:val="es-ES_tradnl" w:eastAsia="es-MX"/>
        </w:rPr>
        <w:t xml:space="preserve">En consecuencia, </w:t>
      </w:r>
      <w:r>
        <w:rPr>
          <w:rFonts w:ascii="Verdana" w:eastAsia="Aptos" w:hAnsi="Verdana" w:cs="Arial"/>
          <w:lang w:val="es-ES_tradnl" w:eastAsia="es-MX"/>
        </w:rPr>
        <w:t xml:space="preserve">se tiene que, la jurisprudencia contencioso-administrativa, por su parte, ha considerado que la obligación de vigilar la correcta ejecución del objeto contractual es una función de la entidad contratante, en los siguientes términos: </w:t>
      </w:r>
    </w:p>
    <w:p w14:paraId="07C42697" w14:textId="77777777" w:rsidR="00254E58" w:rsidRDefault="00254E58" w:rsidP="00254E58">
      <w:pPr>
        <w:pStyle w:val="Prrafodelista"/>
        <w:spacing w:after="0"/>
        <w:ind w:left="709"/>
        <w:jc w:val="both"/>
        <w:rPr>
          <w:rFonts w:ascii="Verdana" w:eastAsia="Aptos" w:hAnsi="Verdana" w:cs="Arial"/>
          <w:lang w:val="es-ES_tradnl" w:eastAsia="es-MX"/>
        </w:rPr>
      </w:pPr>
    </w:p>
    <w:p w14:paraId="0B092ACD" w14:textId="77777777" w:rsidR="00254E58" w:rsidRPr="004C66BB" w:rsidRDefault="00254E58" w:rsidP="00254E58">
      <w:pPr>
        <w:pStyle w:val="Prrafodelista"/>
        <w:spacing w:after="0" w:line="240" w:lineRule="auto"/>
        <w:ind w:left="1416" w:right="709"/>
        <w:jc w:val="both"/>
        <w:rPr>
          <w:rFonts w:ascii="Verdana" w:eastAsia="Aptos" w:hAnsi="Verdana" w:cs="Arial"/>
          <w:sz w:val="20"/>
          <w:szCs w:val="20"/>
          <w:lang w:val="es-ES_tradnl" w:eastAsia="es-MX"/>
        </w:rPr>
      </w:pPr>
      <w:bookmarkStart w:id="1" w:name="_Hlk178671999"/>
      <w:r w:rsidRPr="004C66BB">
        <w:rPr>
          <w:rFonts w:ascii="Verdana" w:eastAsia="Aptos" w:hAnsi="Verdana" w:cs="Arial"/>
          <w:sz w:val="20"/>
          <w:szCs w:val="20"/>
          <w:lang w:val="es-ES_tradnl" w:eastAsia="es-MX"/>
        </w:rPr>
        <w:t>“La función de vigilancia y control del contrato estatal supone el cuidado y la supervisión, de forma tal que en ejercicio de esa función</w:t>
      </w:r>
      <w:bookmarkEnd w:id="1"/>
      <w:r w:rsidRPr="004C66BB">
        <w:rPr>
          <w:rFonts w:ascii="Verdana" w:eastAsia="Aptos" w:hAnsi="Verdana" w:cs="Arial"/>
          <w:sz w:val="20"/>
          <w:szCs w:val="20"/>
          <w:lang w:val="es-ES_tradnl" w:eastAsia="es-MX"/>
        </w:rPr>
        <w:t>, quien administra la adecuada y oportuna ejecución del contrato no sólo debe velar por que las partes den cumplimiento a las obligaciones contractuales, sino que el contrato se ejecute en el tiempo y la forma convenidos, para esta forma garantizar la satisfacción de las necesidades que la administración buscaba alcanzar con la celebración del respectivo contrato”</w:t>
      </w:r>
      <w:r w:rsidRPr="004C66BB">
        <w:rPr>
          <w:rStyle w:val="Refdenotaalpie"/>
          <w:rFonts w:ascii="Verdana" w:eastAsia="Aptos" w:hAnsi="Verdana" w:cs="Arial"/>
          <w:sz w:val="20"/>
          <w:szCs w:val="20"/>
          <w:lang w:val="es-ES_tradnl" w:eastAsia="es-MX"/>
        </w:rPr>
        <w:footnoteReference w:id="5"/>
      </w:r>
      <w:r w:rsidRPr="004C66BB">
        <w:rPr>
          <w:rFonts w:ascii="Verdana" w:eastAsia="Aptos" w:hAnsi="Verdana" w:cs="Arial"/>
          <w:sz w:val="20"/>
          <w:szCs w:val="20"/>
          <w:lang w:val="es-ES_tradnl" w:eastAsia="es-MX"/>
        </w:rPr>
        <w:t>.</w:t>
      </w:r>
    </w:p>
    <w:p w14:paraId="79BBB9EF" w14:textId="77777777" w:rsidR="00254E58" w:rsidRDefault="00254E58" w:rsidP="00254E58">
      <w:pPr>
        <w:spacing w:after="0" w:line="276" w:lineRule="auto"/>
        <w:ind w:left="720"/>
        <w:contextualSpacing/>
        <w:jc w:val="both"/>
        <w:rPr>
          <w:rFonts w:ascii="Verdana" w:eastAsia="Calibri" w:hAnsi="Verdana" w:cs="Arial"/>
          <w:lang w:val="es-ES"/>
        </w:rPr>
      </w:pPr>
    </w:p>
    <w:p w14:paraId="31D90042" w14:textId="77777777" w:rsidR="00254E58" w:rsidRDefault="00254E58" w:rsidP="00254E58">
      <w:pPr>
        <w:numPr>
          <w:ilvl w:val="0"/>
          <w:numId w:val="19"/>
        </w:numPr>
        <w:spacing w:after="0" w:line="276" w:lineRule="auto"/>
        <w:contextualSpacing/>
        <w:jc w:val="both"/>
        <w:rPr>
          <w:rFonts w:ascii="Verdana" w:eastAsia="Calibri" w:hAnsi="Verdana" w:cs="Arial"/>
          <w:lang w:val="es-ES"/>
        </w:rPr>
      </w:pPr>
      <w:r>
        <w:rPr>
          <w:rFonts w:ascii="Verdana" w:eastAsia="Calibri" w:hAnsi="Verdana" w:cs="Arial"/>
          <w:lang w:val="es-ES"/>
        </w:rPr>
        <w:t>De esta forma, l</w:t>
      </w:r>
      <w:r w:rsidRPr="00292355">
        <w:rPr>
          <w:rFonts w:ascii="Verdana" w:eastAsia="Calibri" w:hAnsi="Verdana" w:cs="Arial"/>
          <w:lang w:val="es-ES"/>
        </w:rPr>
        <w:t xml:space="preserve">a Ley 1474 de 2011 enmarcó el seguimiento, control y vigilancia de la ejecución del contrato estatal dentro del principio de moralidad administrativa. Por ello, el artículo 83 </w:t>
      </w:r>
      <w:r w:rsidRPr="00292355">
        <w:rPr>
          <w:rFonts w:ascii="Verdana" w:eastAsia="Calibri" w:hAnsi="Verdana" w:cs="Arial"/>
          <w:i/>
          <w:iCs/>
          <w:lang w:val="es-ES"/>
        </w:rPr>
        <w:t xml:space="preserve">ibibem </w:t>
      </w:r>
      <w:r w:rsidRPr="00292355">
        <w:rPr>
          <w:rFonts w:ascii="Verdana" w:eastAsia="Calibri" w:hAnsi="Verdana" w:cs="Arial"/>
          <w:lang w:val="es-ES"/>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w:t>
      </w:r>
      <w:r w:rsidRPr="00292355">
        <w:rPr>
          <w:rFonts w:ascii="Verdana" w:eastAsia="Calibri" w:hAnsi="Verdana" w:cs="Arial"/>
          <w:lang w:val="es-ES"/>
        </w:rPr>
        <w:lastRenderedPageBreak/>
        <w:t xml:space="preserve">un supervisor o un interventor, según corresponda”. De ahí que, quien ejerza la vigilancia del contrato, ya sea mediante la supervisión o la interventoría, podrá hacer uso de las facultades previstas en el artículo 84 de la Ley 1474 de 2011 para efectuar el seguimiento al cumplimiento obligacional del contrato y estará </w:t>
      </w:r>
      <w:r w:rsidRPr="000D548F">
        <w:rPr>
          <w:rFonts w:ascii="Verdana" w:eastAsia="Calibri" w:hAnsi="Verdana" w:cs="Arial"/>
          <w:lang w:val="es-ES"/>
        </w:rPr>
        <w:t>sometido a los deberes y responsabilidades que implica el ejercicio de dicha actividad.</w:t>
      </w:r>
    </w:p>
    <w:p w14:paraId="6FA10BB7" w14:textId="77777777" w:rsidR="00636F20" w:rsidRDefault="00636F20" w:rsidP="00FA1B3E">
      <w:pPr>
        <w:pStyle w:val="Sangra3detindependiente"/>
        <w:ind w:left="0" w:firstLine="709"/>
        <w:jc w:val="both"/>
        <w:rPr>
          <w:rFonts w:ascii="Verdana" w:hAnsi="Verdana" w:cs="Arial"/>
          <w:sz w:val="22"/>
          <w:szCs w:val="22"/>
        </w:rPr>
      </w:pPr>
    </w:p>
    <w:p w14:paraId="407B98A9" w14:textId="77777777" w:rsidR="00602E78" w:rsidRPr="00602E78" w:rsidRDefault="009B587F" w:rsidP="660D747D">
      <w:pPr>
        <w:pStyle w:val="Prrafodelista"/>
        <w:numPr>
          <w:ilvl w:val="0"/>
          <w:numId w:val="19"/>
        </w:numPr>
        <w:spacing w:after="0" w:line="276" w:lineRule="auto"/>
        <w:jc w:val="both"/>
        <w:rPr>
          <w:rFonts w:ascii="Verdana" w:eastAsia="Calibri" w:hAnsi="Verdana" w:cs="Arial"/>
          <w:color w:val="000000"/>
        </w:rPr>
      </w:pPr>
      <w:r w:rsidRPr="660D747D">
        <w:rPr>
          <w:rFonts w:ascii="Verdana" w:eastAsia="Times New Roman" w:hAnsi="Verdana" w:cs="Arial"/>
          <w:color w:val="000000"/>
          <w:lang w:eastAsia="es-ES"/>
        </w:rPr>
        <w:t>Adicionalmente, debe precisarse que esta Agencia en el ejercicio de sus funciones, expidió la “Guía para el ejercicio de las funciones de Supervisión e Interventoría de los contratos del Estado”</w:t>
      </w:r>
      <w:r w:rsidR="00E53A87" w:rsidRPr="660D747D">
        <w:rPr>
          <w:rStyle w:val="Refdenotaalpie"/>
          <w:rFonts w:ascii="Verdana" w:eastAsia="Times New Roman" w:hAnsi="Verdana" w:cs="Arial"/>
          <w:color w:val="000000"/>
          <w:lang w:eastAsia="es-ES"/>
        </w:rPr>
        <w:footnoteReference w:id="6"/>
      </w:r>
      <w:r w:rsidRPr="660D747D">
        <w:rPr>
          <w:rFonts w:ascii="Verdana" w:eastAsia="Times New Roman" w:hAnsi="Verdana" w:cs="Arial"/>
          <w:color w:val="000000"/>
          <w:lang w:eastAsia="es-ES"/>
        </w:rPr>
        <w:t>, la cual constituye una herramienta pedagógica en la que se imparten lineamientos de buenas prácticas para el ejercicio de la supervisión e interventoría de los contratos estatales</w:t>
      </w:r>
      <w:r w:rsidR="00CC36BC" w:rsidRPr="660D747D">
        <w:rPr>
          <w:rFonts w:ascii="Verdana" w:eastAsia="Times New Roman" w:hAnsi="Verdana" w:cs="Arial"/>
          <w:color w:val="000000"/>
          <w:lang w:eastAsia="es-ES"/>
        </w:rPr>
        <w:t xml:space="preserve">, la cual trae a título </w:t>
      </w:r>
      <w:r w:rsidR="00CC36BC" w:rsidRPr="660D747D">
        <w:rPr>
          <w:rFonts w:ascii="Verdana" w:eastAsia="Times New Roman" w:hAnsi="Verdana" w:cs="Arial"/>
          <w:i/>
          <w:iCs/>
          <w:color w:val="000000"/>
          <w:lang w:eastAsia="es-ES"/>
        </w:rPr>
        <w:t>D. Vigilancia financiera y contable</w:t>
      </w:r>
      <w:r w:rsidR="00CC36BC" w:rsidRPr="660D747D">
        <w:rPr>
          <w:rFonts w:ascii="Verdana" w:eastAsia="Times New Roman" w:hAnsi="Verdana" w:cs="Arial"/>
          <w:color w:val="000000"/>
          <w:lang w:eastAsia="es-ES"/>
        </w:rPr>
        <w:t xml:space="preserve">, las </w:t>
      </w:r>
      <w:r w:rsidR="00602E78" w:rsidRPr="660D747D">
        <w:rPr>
          <w:rFonts w:ascii="Verdana" w:eastAsia="Times New Roman" w:hAnsi="Verdana" w:cs="Arial"/>
          <w:color w:val="000000"/>
          <w:lang w:eastAsia="es-ES"/>
        </w:rPr>
        <w:t xml:space="preserve">siguientes actividades: </w:t>
      </w:r>
    </w:p>
    <w:p w14:paraId="609C5379" w14:textId="77777777" w:rsidR="00602E78" w:rsidRDefault="00602E78" w:rsidP="00602E78">
      <w:pPr>
        <w:pStyle w:val="Prrafodelista"/>
        <w:rPr>
          <w:rFonts w:ascii="Verdana" w:eastAsia="Times New Roman" w:hAnsi="Verdana" w:cs="Arial"/>
          <w:color w:val="000000"/>
          <w:szCs w:val="24"/>
          <w:lang w:val="es-ES_tradnl" w:eastAsia="es-ES_tradnl"/>
        </w:rPr>
      </w:pPr>
    </w:p>
    <w:p w14:paraId="44B3C3D3" w14:textId="38AFFA1F" w:rsidR="009F7F46" w:rsidRPr="009F7F46" w:rsidRDefault="009F7F46" w:rsidP="00602E78">
      <w:pPr>
        <w:pStyle w:val="Prrafodelista"/>
        <w:rPr>
          <w:rFonts w:ascii="Verdana" w:eastAsia="Times New Roman" w:hAnsi="Verdana" w:cs="Arial"/>
          <w:color w:val="000000"/>
          <w:szCs w:val="24"/>
          <w:lang w:val="es-ES_tradnl" w:eastAsia="es-ES_tradnl"/>
        </w:rPr>
      </w:pPr>
      <w:r>
        <w:rPr>
          <w:rFonts w:ascii="Verdana" w:eastAsia="Times New Roman" w:hAnsi="Verdana" w:cs="Arial"/>
          <w:color w:val="000000"/>
          <w:szCs w:val="24"/>
          <w:lang w:val="es-ES_tradnl" w:eastAsia="es-ES_tradnl"/>
        </w:rPr>
        <w:t>(…)</w:t>
      </w:r>
    </w:p>
    <w:p w14:paraId="1994F708" w14:textId="77777777" w:rsidR="009F7F46" w:rsidRPr="009F7F46" w:rsidRDefault="00256A56" w:rsidP="14C132F2">
      <w:pPr>
        <w:pStyle w:val="Prrafodelista"/>
        <w:numPr>
          <w:ilvl w:val="0"/>
          <w:numId w:val="22"/>
        </w:numPr>
        <w:spacing w:after="0" w:line="276" w:lineRule="auto"/>
        <w:ind w:right="900"/>
        <w:jc w:val="both"/>
        <w:rPr>
          <w:rFonts w:ascii="Verdana" w:eastAsia="Calibri" w:hAnsi="Verdana" w:cs="Arial"/>
          <w:color w:val="000000"/>
          <w:sz w:val="20"/>
          <w:szCs w:val="20"/>
        </w:rPr>
      </w:pPr>
      <w:r w:rsidRPr="14C132F2">
        <w:rPr>
          <w:rFonts w:ascii="Verdana" w:eastAsia="Times New Roman" w:hAnsi="Verdana" w:cs="Arial"/>
          <w:i/>
          <w:iCs/>
          <w:color w:val="000000" w:themeColor="text1"/>
          <w:sz w:val="20"/>
          <w:szCs w:val="20"/>
          <w:lang w:eastAsia="es-ES"/>
        </w:rPr>
        <w:t xml:space="preserve">Revisar los documentos necesarios para efectuar los pagos al contrato, incluyendo el recibo a satisfacción de los bienes o servicios objeto </w:t>
      </w:r>
      <w:proofErr w:type="gramStart"/>
      <w:r w:rsidRPr="14C132F2">
        <w:rPr>
          <w:rFonts w:ascii="Verdana" w:eastAsia="Times New Roman" w:hAnsi="Verdana" w:cs="Arial"/>
          <w:i/>
          <w:iCs/>
          <w:color w:val="000000" w:themeColor="text1"/>
          <w:sz w:val="20"/>
          <w:szCs w:val="20"/>
          <w:lang w:eastAsia="es-ES"/>
        </w:rPr>
        <w:t>del mismo</w:t>
      </w:r>
      <w:proofErr w:type="gramEnd"/>
      <w:r w:rsidRPr="14C132F2">
        <w:rPr>
          <w:rFonts w:ascii="Verdana" w:eastAsia="Times New Roman" w:hAnsi="Verdana" w:cs="Arial"/>
          <w:i/>
          <w:iCs/>
          <w:color w:val="000000" w:themeColor="text1"/>
          <w:sz w:val="20"/>
          <w:szCs w:val="20"/>
          <w:lang w:eastAsia="es-ES"/>
        </w:rPr>
        <w:t xml:space="preserve">.  </w:t>
      </w:r>
    </w:p>
    <w:p w14:paraId="3B892D61" w14:textId="2D2BAB70" w:rsidR="009B587F" w:rsidRPr="009F7F46" w:rsidRDefault="00256A56" w:rsidP="14C132F2">
      <w:pPr>
        <w:pStyle w:val="Prrafodelista"/>
        <w:numPr>
          <w:ilvl w:val="0"/>
          <w:numId w:val="22"/>
        </w:numPr>
        <w:spacing w:after="0" w:line="276" w:lineRule="auto"/>
        <w:ind w:right="900"/>
        <w:jc w:val="both"/>
        <w:rPr>
          <w:rFonts w:ascii="Verdana" w:eastAsia="Calibri" w:hAnsi="Verdana" w:cs="Arial"/>
          <w:color w:val="000000"/>
          <w:sz w:val="20"/>
          <w:szCs w:val="20"/>
        </w:rPr>
      </w:pPr>
      <w:r w:rsidRPr="14C132F2">
        <w:rPr>
          <w:rFonts w:ascii="Verdana" w:eastAsia="Times New Roman" w:hAnsi="Verdana" w:cs="Arial"/>
          <w:i/>
          <w:iCs/>
          <w:color w:val="000000" w:themeColor="text1"/>
          <w:sz w:val="20"/>
          <w:szCs w:val="20"/>
          <w:lang w:eastAsia="es-ES"/>
        </w:rPr>
        <w:t xml:space="preserve">Documentar los pagos y ajustes que se hagan al contrato y controlar el balance presupuestal del contrato para efecto de pagos y de liquidación </w:t>
      </w:r>
      <w:proofErr w:type="gramStart"/>
      <w:r w:rsidRPr="14C132F2">
        <w:rPr>
          <w:rFonts w:ascii="Verdana" w:eastAsia="Times New Roman" w:hAnsi="Verdana" w:cs="Arial"/>
          <w:i/>
          <w:iCs/>
          <w:color w:val="000000" w:themeColor="text1"/>
          <w:sz w:val="20"/>
          <w:szCs w:val="20"/>
          <w:lang w:eastAsia="es-ES"/>
        </w:rPr>
        <w:t>del mismo</w:t>
      </w:r>
      <w:proofErr w:type="gramEnd"/>
      <w:r w:rsidRPr="14C132F2">
        <w:rPr>
          <w:rFonts w:ascii="Verdana" w:eastAsia="Times New Roman" w:hAnsi="Verdana" w:cs="Arial"/>
          <w:i/>
          <w:iCs/>
          <w:color w:val="000000" w:themeColor="text1"/>
          <w:sz w:val="20"/>
          <w:szCs w:val="20"/>
          <w:lang w:eastAsia="es-ES"/>
        </w:rPr>
        <w:t xml:space="preserve">.  </w:t>
      </w:r>
      <w:r w:rsidR="00CC36BC" w:rsidRPr="14C132F2">
        <w:rPr>
          <w:rFonts w:ascii="Verdana" w:eastAsia="Times New Roman" w:hAnsi="Verdana" w:cs="Arial"/>
          <w:i/>
          <w:iCs/>
          <w:color w:val="000000" w:themeColor="text1"/>
          <w:sz w:val="20"/>
          <w:szCs w:val="20"/>
          <w:lang w:eastAsia="es-ES"/>
        </w:rPr>
        <w:t xml:space="preserve"> </w:t>
      </w:r>
    </w:p>
    <w:p w14:paraId="09C8234D" w14:textId="178D3509" w:rsidR="00BD6B15" w:rsidRDefault="009F7F46" w:rsidP="00FA1B3E">
      <w:pPr>
        <w:pStyle w:val="Sangra3detindependiente"/>
        <w:ind w:left="0" w:firstLine="709"/>
        <w:jc w:val="both"/>
        <w:rPr>
          <w:rFonts w:ascii="Verdana" w:hAnsi="Verdana" w:cs="Arial"/>
          <w:sz w:val="22"/>
          <w:szCs w:val="22"/>
        </w:rPr>
      </w:pPr>
      <w:r>
        <w:rPr>
          <w:rFonts w:ascii="Verdana" w:hAnsi="Verdana" w:cs="Arial"/>
          <w:sz w:val="22"/>
          <w:szCs w:val="22"/>
        </w:rPr>
        <w:t>(…)</w:t>
      </w:r>
    </w:p>
    <w:p w14:paraId="357DCC35" w14:textId="77777777" w:rsidR="00636F20" w:rsidRDefault="00636F20" w:rsidP="00FA1B3E">
      <w:pPr>
        <w:pStyle w:val="Sangra3detindependiente"/>
        <w:ind w:left="0" w:firstLine="709"/>
        <w:jc w:val="both"/>
        <w:rPr>
          <w:rFonts w:ascii="Verdana" w:hAnsi="Verdana" w:cs="Arial"/>
          <w:sz w:val="22"/>
          <w:szCs w:val="22"/>
        </w:rPr>
      </w:pPr>
    </w:p>
    <w:p w14:paraId="2BD377E3" w14:textId="77777777" w:rsidR="002F793C" w:rsidRPr="002F793C" w:rsidRDefault="00524D7E" w:rsidP="0089510B">
      <w:pPr>
        <w:pStyle w:val="Prrafodelista"/>
        <w:numPr>
          <w:ilvl w:val="0"/>
          <w:numId w:val="19"/>
        </w:numPr>
        <w:spacing w:after="0" w:line="276" w:lineRule="auto"/>
        <w:jc w:val="both"/>
        <w:rPr>
          <w:rFonts w:ascii="Verdana" w:hAnsi="Verdana" w:cs="Arial"/>
        </w:rPr>
      </w:pPr>
      <w:r>
        <w:rPr>
          <w:rFonts w:ascii="Verdana" w:hAnsi="Verdana" w:cs="Arial"/>
        </w:rPr>
        <w:t xml:space="preserve">Las anteriores actividades tendrán como referente particular lo establecido por las partes en el contrato respectivo, teniendo presente que cada </w:t>
      </w:r>
      <w:r w:rsidR="007166CD">
        <w:rPr>
          <w:rFonts w:ascii="Verdana" w:hAnsi="Verdana" w:cs="Arial"/>
        </w:rPr>
        <w:t>entidad contratante</w:t>
      </w:r>
      <w:r w:rsidR="007166CD">
        <w:rPr>
          <w:rFonts w:ascii="Verdana" w:eastAsia="Calibri" w:hAnsi="Verdana" w:cs="Arial"/>
        </w:rPr>
        <w:t xml:space="preserve"> tendrá la autonomía para solicitar los documentos que se requieran por parte del contratista respecto a la facturación</w:t>
      </w:r>
      <w:r w:rsidR="00B557E8">
        <w:rPr>
          <w:rFonts w:ascii="Verdana" w:eastAsia="Calibri" w:hAnsi="Verdana" w:cs="Arial"/>
        </w:rPr>
        <w:t xml:space="preserve"> de acuerdo </w:t>
      </w:r>
      <w:r w:rsidR="008F2B19">
        <w:rPr>
          <w:rFonts w:ascii="Verdana" w:eastAsia="Calibri" w:hAnsi="Verdana" w:cs="Arial"/>
        </w:rPr>
        <w:t xml:space="preserve">las normas presupuestales respectivas, </w:t>
      </w:r>
      <w:r w:rsidR="00AB1CF2">
        <w:rPr>
          <w:rFonts w:ascii="Verdana" w:eastAsia="Calibri" w:hAnsi="Verdana" w:cs="Arial"/>
        </w:rPr>
        <w:t xml:space="preserve">ya que por ejemplo las entidades y órganos que hacen parte del Presupuesto Nacional de la Nación, </w:t>
      </w:r>
      <w:r w:rsidR="0004500B">
        <w:rPr>
          <w:rFonts w:ascii="Verdana" w:eastAsia="Calibri" w:hAnsi="Verdana" w:cs="Arial"/>
        </w:rPr>
        <w:t xml:space="preserve">deben dar cumplimiento a las disposiciones </w:t>
      </w:r>
      <w:r w:rsidR="008C1091">
        <w:rPr>
          <w:rFonts w:ascii="Verdana" w:eastAsia="Calibri" w:hAnsi="Verdana" w:cs="Arial"/>
        </w:rPr>
        <w:t>del Decreto 1068 de 2015-</w:t>
      </w:r>
      <w:r w:rsidR="008C1091" w:rsidRPr="008C1091">
        <w:rPr>
          <w:rFonts w:ascii="Verdana" w:eastAsia="Calibri" w:hAnsi="Verdana" w:cs="Arial"/>
        </w:rPr>
        <w:t>por medio del cual se expide el Decreto Único Reglamentario del Sector Hacienda y Crédito Público</w:t>
      </w:r>
      <w:r w:rsidR="008C1091">
        <w:rPr>
          <w:rFonts w:ascii="Verdana" w:eastAsia="Calibri" w:hAnsi="Verdana" w:cs="Arial"/>
        </w:rPr>
        <w:t xml:space="preserve">- </w:t>
      </w:r>
      <w:r w:rsidR="009B73FF">
        <w:rPr>
          <w:rFonts w:ascii="Verdana" w:eastAsia="Calibri" w:hAnsi="Verdana" w:cs="Arial"/>
        </w:rPr>
        <w:t xml:space="preserve">en particular el </w:t>
      </w:r>
      <w:r w:rsidR="00035559">
        <w:rPr>
          <w:rFonts w:ascii="Verdana" w:eastAsia="Calibri" w:hAnsi="Verdana" w:cs="Arial"/>
        </w:rPr>
        <w:t xml:space="preserve">uso de </w:t>
      </w:r>
      <w:r w:rsidR="00035559" w:rsidRPr="00035559">
        <w:rPr>
          <w:rFonts w:ascii="Verdana" w:eastAsia="Calibri" w:hAnsi="Verdana" w:cs="Arial"/>
          <w:lang w:val="es-CO"/>
        </w:rPr>
        <w:t>Sistema Integrado de Información Financiera (SIIF) Nación</w:t>
      </w:r>
      <w:r w:rsidR="002F793C">
        <w:rPr>
          <w:rFonts w:ascii="Verdana" w:eastAsia="Calibri" w:hAnsi="Verdana" w:cs="Arial"/>
          <w:lang w:val="es-CO"/>
        </w:rPr>
        <w:t xml:space="preserve">. </w:t>
      </w:r>
    </w:p>
    <w:p w14:paraId="40417F28" w14:textId="77777777" w:rsidR="002F793C" w:rsidRPr="002F793C" w:rsidRDefault="002F793C" w:rsidP="002F793C">
      <w:pPr>
        <w:pStyle w:val="Prrafodelista"/>
        <w:spacing w:after="0" w:line="276" w:lineRule="auto"/>
        <w:jc w:val="both"/>
        <w:rPr>
          <w:rFonts w:ascii="Verdana" w:hAnsi="Verdana" w:cs="Arial"/>
        </w:rPr>
      </w:pPr>
    </w:p>
    <w:p w14:paraId="5D0FE3BC" w14:textId="1D8F63AD" w:rsidR="00495983" w:rsidRPr="009A3E3E" w:rsidRDefault="002F793C" w:rsidP="0089510B">
      <w:pPr>
        <w:pStyle w:val="Prrafodelista"/>
        <w:numPr>
          <w:ilvl w:val="0"/>
          <w:numId w:val="19"/>
        </w:numPr>
        <w:spacing w:after="0" w:line="276" w:lineRule="auto"/>
        <w:jc w:val="both"/>
        <w:rPr>
          <w:rFonts w:ascii="Verdana" w:hAnsi="Verdana" w:cs="Arial"/>
        </w:rPr>
      </w:pPr>
      <w:r>
        <w:rPr>
          <w:rFonts w:ascii="Verdana" w:eastAsia="Calibri" w:hAnsi="Verdana" w:cs="Arial"/>
          <w:lang w:val="es-CO"/>
        </w:rPr>
        <w:t xml:space="preserve">Dentro de los documentos expedidos </w:t>
      </w:r>
      <w:r w:rsidR="00A3098B">
        <w:rPr>
          <w:rFonts w:ascii="Verdana" w:eastAsia="Calibri" w:hAnsi="Verdana" w:cs="Arial"/>
          <w:lang w:val="es-CO"/>
        </w:rPr>
        <w:t>por parte de SIIF, se encuentra la</w:t>
      </w:r>
      <w:r w:rsidR="00736A5D">
        <w:rPr>
          <w:rFonts w:ascii="Verdana" w:eastAsia="Calibri" w:hAnsi="Verdana" w:cs="Arial"/>
          <w:lang w:val="es-CO"/>
        </w:rPr>
        <w:t xml:space="preserve"> </w:t>
      </w:r>
      <w:r w:rsidR="00736A5D" w:rsidRPr="00736A5D">
        <w:rPr>
          <w:rFonts w:ascii="Verdana" w:eastAsia="Calibri" w:hAnsi="Verdana" w:cs="Arial"/>
          <w:lang w:val="es-CO"/>
        </w:rPr>
        <w:t>Guía gestión documentos electrónicos en el proceso de Recepción del Sistema de Factura Electrónica</w:t>
      </w:r>
      <w:r w:rsidR="007B1966">
        <w:rPr>
          <w:rStyle w:val="Refdenotaalpie"/>
          <w:rFonts w:ascii="Verdana" w:eastAsia="Calibri" w:hAnsi="Verdana" w:cs="Arial"/>
          <w:lang w:val="es-CO"/>
        </w:rPr>
        <w:footnoteReference w:id="7"/>
      </w:r>
      <w:r w:rsidR="00736A5D">
        <w:rPr>
          <w:rFonts w:ascii="Verdana" w:eastAsia="Calibri" w:hAnsi="Verdana" w:cs="Arial"/>
          <w:lang w:val="es-CO"/>
        </w:rPr>
        <w:t>, en donde se explican a detalle el procedimiento y documentos a present</w:t>
      </w:r>
      <w:r w:rsidR="009E7548">
        <w:rPr>
          <w:rFonts w:ascii="Verdana" w:eastAsia="Calibri" w:hAnsi="Verdana" w:cs="Arial"/>
          <w:lang w:val="es-CO"/>
        </w:rPr>
        <w:t xml:space="preserve">arse </w:t>
      </w:r>
      <w:r w:rsidR="00510A2E">
        <w:rPr>
          <w:rFonts w:ascii="Verdana" w:eastAsia="Calibri" w:hAnsi="Verdana" w:cs="Arial"/>
          <w:lang w:val="es-CO"/>
        </w:rPr>
        <w:t>por parte de los</w:t>
      </w:r>
      <w:r w:rsidR="00510A2E" w:rsidRPr="00510A2E">
        <w:rPr>
          <w:rFonts w:ascii="Verdana" w:eastAsia="Calibri" w:hAnsi="Verdana" w:cs="Arial"/>
          <w:lang w:val="es-CO"/>
        </w:rPr>
        <w:t xml:space="preserve"> Proveedores o Contratistas que tengan identificado en el RUT la responsabilidad 52 – Facturador electrónico (emisor), </w:t>
      </w:r>
      <w:r w:rsidR="00510A2E">
        <w:rPr>
          <w:rFonts w:ascii="Verdana" w:eastAsia="Calibri" w:hAnsi="Verdana" w:cs="Arial"/>
          <w:lang w:val="es-CO"/>
        </w:rPr>
        <w:t xml:space="preserve">los cuales </w:t>
      </w:r>
      <w:r w:rsidR="00510A2E" w:rsidRPr="00510A2E">
        <w:rPr>
          <w:rFonts w:ascii="Verdana" w:eastAsia="Calibri" w:hAnsi="Verdana" w:cs="Arial"/>
          <w:lang w:val="es-CO"/>
        </w:rPr>
        <w:t>deberán entregar factura electrónica de venta por los bienes y/o servicios ofrecidos a las entidades del ámbito SIIF Nación, como también las notas débito y/o notas crédito, a través del buzón dispuesto para el efecto por el Ministerio de Hacienda y Crédito Público, por tanto, la información tributaria de los terceros creados en el SIIF Nación se actualizará con base en los datos de la DIAN mediante un Servicio Web.</w:t>
      </w:r>
      <w:r>
        <w:rPr>
          <w:rFonts w:ascii="Verdana" w:eastAsia="Calibri" w:hAnsi="Verdana" w:cs="Arial"/>
          <w:lang w:val="es-CO"/>
        </w:rPr>
        <w:t xml:space="preserve"> </w:t>
      </w:r>
    </w:p>
    <w:p w14:paraId="22DEC545" w14:textId="77777777" w:rsidR="009A3E3E" w:rsidRPr="009A3E3E" w:rsidRDefault="009A3E3E" w:rsidP="009A3E3E">
      <w:pPr>
        <w:pStyle w:val="Prrafodelista"/>
        <w:rPr>
          <w:rFonts w:ascii="Verdana" w:hAnsi="Verdana" w:cs="Arial"/>
        </w:rPr>
      </w:pPr>
    </w:p>
    <w:p w14:paraId="5D6EAFCE" w14:textId="25AB1383" w:rsidR="002B5FA9" w:rsidRPr="000B22C0" w:rsidRDefault="00022BF3" w:rsidP="00F06174">
      <w:pPr>
        <w:pStyle w:val="Prrafodelista"/>
        <w:numPr>
          <w:ilvl w:val="0"/>
          <w:numId w:val="19"/>
        </w:numPr>
        <w:spacing w:after="0" w:line="276" w:lineRule="auto"/>
        <w:jc w:val="both"/>
        <w:rPr>
          <w:rFonts w:ascii="Verdana" w:hAnsi="Verdana" w:cs="Arial"/>
        </w:rPr>
      </w:pPr>
      <w:r w:rsidRPr="000B22C0">
        <w:rPr>
          <w:rFonts w:ascii="Verdana" w:hAnsi="Verdana" w:cs="Arial"/>
        </w:rPr>
        <w:t>De acuerdo con</w:t>
      </w:r>
      <w:r w:rsidR="00235F2B" w:rsidRPr="000B22C0">
        <w:rPr>
          <w:rFonts w:ascii="Verdana" w:hAnsi="Verdana" w:cs="Arial"/>
        </w:rPr>
        <w:t xml:space="preserve"> lo anterior, cada entida</w:t>
      </w:r>
      <w:r w:rsidR="00D74C68" w:rsidRPr="000B22C0">
        <w:rPr>
          <w:rFonts w:ascii="Verdana" w:hAnsi="Verdana" w:cs="Arial"/>
        </w:rPr>
        <w:t xml:space="preserve">d </w:t>
      </w:r>
      <w:r>
        <w:rPr>
          <w:rFonts w:ascii="Verdana" w:hAnsi="Verdana" w:cs="Arial"/>
        </w:rPr>
        <w:t xml:space="preserve">según </w:t>
      </w:r>
      <w:r w:rsidR="00511BBA">
        <w:rPr>
          <w:rFonts w:ascii="Verdana" w:hAnsi="Verdana" w:cs="Arial"/>
        </w:rPr>
        <w:t>la</w:t>
      </w:r>
      <w:r w:rsidR="00D74C68" w:rsidRPr="000B22C0">
        <w:rPr>
          <w:rFonts w:ascii="Verdana" w:hAnsi="Verdana" w:cs="Arial"/>
        </w:rPr>
        <w:t xml:space="preserve"> naturaleza de su </w:t>
      </w:r>
      <w:proofErr w:type="gramStart"/>
      <w:r w:rsidR="00D74C68" w:rsidRPr="000B22C0">
        <w:rPr>
          <w:rFonts w:ascii="Verdana" w:hAnsi="Verdana" w:cs="Arial"/>
        </w:rPr>
        <w:t>presupuesto,</w:t>
      </w:r>
      <w:proofErr w:type="gramEnd"/>
      <w:r w:rsidR="00D74C68" w:rsidRPr="000B22C0">
        <w:rPr>
          <w:rFonts w:ascii="Verdana" w:hAnsi="Verdana" w:cs="Arial"/>
        </w:rPr>
        <w:t xml:space="preserve"> </w:t>
      </w:r>
      <w:r w:rsidR="0089741A" w:rsidRPr="000B22C0">
        <w:rPr>
          <w:rFonts w:ascii="Verdana" w:hAnsi="Verdana" w:cs="Arial"/>
        </w:rPr>
        <w:t xml:space="preserve">deberá dar cumplimiento a las </w:t>
      </w:r>
      <w:r w:rsidR="00137BB4" w:rsidRPr="000B22C0">
        <w:rPr>
          <w:rFonts w:ascii="Verdana" w:hAnsi="Verdana" w:cs="Arial"/>
        </w:rPr>
        <w:t xml:space="preserve">disposiciones particulares para las actividades </w:t>
      </w:r>
      <w:r w:rsidR="006D6515" w:rsidRPr="000B22C0">
        <w:rPr>
          <w:rFonts w:ascii="Verdana" w:hAnsi="Verdana" w:cs="Arial"/>
        </w:rPr>
        <w:t>de gestión financiera</w:t>
      </w:r>
      <w:r w:rsidR="003C300D">
        <w:rPr>
          <w:rFonts w:ascii="Verdana" w:hAnsi="Verdana" w:cs="Arial"/>
        </w:rPr>
        <w:t>,</w:t>
      </w:r>
      <w:r w:rsidR="006D6515" w:rsidRPr="000B22C0">
        <w:rPr>
          <w:rFonts w:ascii="Verdana" w:hAnsi="Verdana" w:cs="Arial"/>
        </w:rPr>
        <w:t xml:space="preserve"> y establecer en los contratos la forma y qu</w:t>
      </w:r>
      <w:r w:rsidR="00511BBA">
        <w:rPr>
          <w:rFonts w:ascii="Verdana" w:hAnsi="Verdana" w:cs="Arial"/>
        </w:rPr>
        <w:t>é</w:t>
      </w:r>
      <w:r w:rsidR="006D6515" w:rsidRPr="000B22C0">
        <w:rPr>
          <w:rFonts w:ascii="Verdana" w:hAnsi="Verdana" w:cs="Arial"/>
        </w:rPr>
        <w:t xml:space="preserve"> documentos se deben presentar por parte </w:t>
      </w:r>
      <w:r w:rsidRPr="000B22C0">
        <w:rPr>
          <w:rFonts w:ascii="Verdana" w:hAnsi="Verdana" w:cs="Arial"/>
        </w:rPr>
        <w:t>de los contratistas</w:t>
      </w:r>
      <w:r w:rsidR="006D6515" w:rsidRPr="000B22C0">
        <w:rPr>
          <w:rFonts w:ascii="Verdana" w:hAnsi="Verdana" w:cs="Arial"/>
        </w:rPr>
        <w:t xml:space="preserve"> </w:t>
      </w:r>
      <w:r w:rsidR="00394C25" w:rsidRPr="000B22C0">
        <w:rPr>
          <w:rFonts w:ascii="Verdana" w:hAnsi="Verdana" w:cs="Arial"/>
        </w:rPr>
        <w:t xml:space="preserve">para la facturación de los bienes, obras o servicios </w:t>
      </w:r>
      <w:r w:rsidR="000B22C0" w:rsidRPr="000B22C0">
        <w:rPr>
          <w:rFonts w:ascii="Verdana" w:hAnsi="Verdana" w:cs="Arial"/>
        </w:rPr>
        <w:t xml:space="preserve">ejecutados. </w:t>
      </w:r>
    </w:p>
    <w:p w14:paraId="33D02178" w14:textId="77777777" w:rsidR="00022BF3" w:rsidRDefault="00022BF3" w:rsidP="00022BF3">
      <w:pPr>
        <w:tabs>
          <w:tab w:val="left" w:pos="142"/>
          <w:tab w:val="left" w:pos="284"/>
        </w:tabs>
        <w:spacing w:after="0" w:line="276" w:lineRule="auto"/>
        <w:jc w:val="both"/>
        <w:rPr>
          <w:rFonts w:ascii="Verdana" w:eastAsia="Calibri" w:hAnsi="Verdana" w:cs="Arial"/>
          <w:lang w:val="es-ES"/>
        </w:rPr>
      </w:pPr>
    </w:p>
    <w:p w14:paraId="03F9AE26" w14:textId="1B219AC0" w:rsidR="00683C9F" w:rsidRDefault="00022BF3" w:rsidP="00022BF3">
      <w:pPr>
        <w:tabs>
          <w:tab w:val="left" w:pos="142"/>
          <w:tab w:val="left" w:pos="284"/>
        </w:tabs>
        <w:spacing w:after="0" w:line="276" w:lineRule="auto"/>
        <w:jc w:val="both"/>
        <w:rPr>
          <w:rFonts w:ascii="Verdana" w:eastAsia="Century Gothic" w:hAnsi="Verdana" w:cs="Century Gothic"/>
          <w:b/>
          <w:bCs/>
          <w:lang w:val="es-ES"/>
        </w:rPr>
      </w:pPr>
      <w:r w:rsidRPr="00022BF3">
        <w:rPr>
          <w:rFonts w:ascii="Verdana" w:eastAsia="Calibri" w:hAnsi="Verdana" w:cs="Arial"/>
          <w:b/>
          <w:bCs/>
          <w:lang w:val="es-ES"/>
        </w:rPr>
        <w:t>4.</w:t>
      </w:r>
      <w:r>
        <w:rPr>
          <w:rFonts w:ascii="Verdana" w:eastAsia="Calibri" w:hAnsi="Verdana" w:cs="Arial"/>
          <w:lang w:val="es-ES"/>
        </w:rPr>
        <w:t xml:space="preserve"> </w:t>
      </w:r>
      <w:r w:rsidR="00683C9F" w:rsidRPr="00885EA6">
        <w:rPr>
          <w:rFonts w:ascii="Verdana" w:eastAsia="Century Gothic" w:hAnsi="Verdana" w:cs="Century Gothic"/>
          <w:b/>
          <w:bCs/>
          <w:lang w:val="es-ES"/>
        </w:rPr>
        <w:t>Referencias normativas, jurisprudenciales y otras fuentes:</w:t>
      </w:r>
    </w:p>
    <w:p w14:paraId="65BFFB72" w14:textId="77777777" w:rsidR="00022BF3" w:rsidRPr="00885EA6" w:rsidRDefault="00022BF3" w:rsidP="00022BF3">
      <w:pPr>
        <w:tabs>
          <w:tab w:val="left" w:pos="142"/>
          <w:tab w:val="left" w:pos="284"/>
        </w:tabs>
        <w:spacing w:after="0" w:line="276" w:lineRule="auto"/>
        <w:jc w:val="both"/>
        <w:rPr>
          <w:rFonts w:ascii="Verdana" w:eastAsia="Century Gothic" w:hAnsi="Verdana" w:cs="Century Gothic"/>
          <w:b/>
          <w:bCs/>
          <w:lang w:val="es-ES"/>
        </w:rPr>
      </w:pPr>
    </w:p>
    <w:p w14:paraId="1C9A9211" w14:textId="77777777" w:rsidR="00683C9F" w:rsidRPr="00022BF3" w:rsidRDefault="00683C9F" w:rsidP="00683C9F">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022BF3">
        <w:rPr>
          <w:rFonts w:ascii="Verdana" w:hAnsi="Verdana" w:cs="Arial"/>
        </w:rPr>
        <w:t xml:space="preserve">Ley 80 de 1993, artículo 24, artículo 25, artículo 30. Disponible en: </w:t>
      </w:r>
      <w:hyperlink r:id="rId12" w:history="1">
        <w:r w:rsidRPr="00022BF3">
          <w:rPr>
            <w:rStyle w:val="Hipervnculo"/>
            <w:rFonts w:ascii="Verdana" w:hAnsi="Verdana" w:cs="Arial"/>
          </w:rPr>
          <w:t>https://relatoria.colombiacompra.gov.co/normativa/ley-80-de-1993/</w:t>
        </w:r>
      </w:hyperlink>
    </w:p>
    <w:p w14:paraId="70E25ABC" w14:textId="77777777" w:rsidR="00683C9F" w:rsidRPr="00022BF3" w:rsidRDefault="00683C9F" w:rsidP="00683C9F">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022BF3">
        <w:rPr>
          <w:rFonts w:ascii="Verdana" w:hAnsi="Verdana" w:cs="Arial"/>
        </w:rPr>
        <w:t xml:space="preserve">Ley 1150 de 2007, artículo 5. Disponible en: </w:t>
      </w:r>
      <w:hyperlink r:id="rId13" w:history="1">
        <w:r w:rsidRPr="00022BF3">
          <w:rPr>
            <w:rStyle w:val="Hipervnculo"/>
            <w:rFonts w:ascii="Verdana" w:hAnsi="Verdana" w:cs="Arial"/>
          </w:rPr>
          <w:t>https://relatoria.colombiacompra.gov.co/normativa/ley-1150-de-2007/</w:t>
        </w:r>
      </w:hyperlink>
    </w:p>
    <w:p w14:paraId="36BFBFDB" w14:textId="77777777" w:rsidR="00683C9F" w:rsidRPr="00022BF3" w:rsidRDefault="00683C9F" w:rsidP="00683C9F">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22BF3">
        <w:rPr>
          <w:rFonts w:ascii="Verdana" w:hAnsi="Verdana" w:cs="Arial"/>
        </w:rPr>
        <w:t xml:space="preserve">Ley 1882 de 2018, artículo 1, artículo 5. Disponible en: </w:t>
      </w:r>
      <w:hyperlink r:id="rId14" w:history="1">
        <w:r w:rsidRPr="00022BF3">
          <w:rPr>
            <w:rStyle w:val="Hipervnculo"/>
            <w:rFonts w:ascii="Verdana" w:hAnsi="Verdana" w:cs="Arial"/>
          </w:rPr>
          <w:t>https://relatoria.colombiacompra.gov.co/normativa/ley-1882-de-2018/</w:t>
        </w:r>
      </w:hyperlink>
    </w:p>
    <w:p w14:paraId="27E9C0C6" w14:textId="77777777" w:rsidR="0078270C" w:rsidRDefault="00683C9F" w:rsidP="0078270C">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22BF3">
        <w:rPr>
          <w:rFonts w:ascii="Verdana" w:hAnsi="Verdana" w:cs="Arial"/>
        </w:rPr>
        <w:t xml:space="preserve">Decreto 1082 de 2015, artículo </w:t>
      </w:r>
      <w:r w:rsidRPr="00022BF3">
        <w:rPr>
          <w:rFonts w:ascii="Verdana" w:hAnsi="Verdana"/>
        </w:rPr>
        <w:t xml:space="preserve">2.2.1.1.2.1.1, artículo </w:t>
      </w:r>
      <w:r w:rsidRPr="00022BF3">
        <w:rPr>
          <w:rFonts w:ascii="Verdana" w:hAnsi="Verdana" w:cs="Arial"/>
          <w:color w:val="000000" w:themeColor="text1"/>
        </w:rPr>
        <w:t xml:space="preserve">2.2.1.1.2.1.3 </w:t>
      </w:r>
      <w:r w:rsidRPr="00022BF3">
        <w:rPr>
          <w:rFonts w:ascii="Verdana" w:eastAsia="Calibri" w:hAnsi="Verdana" w:cs="Arial"/>
          <w:lang w:val="es-CO"/>
        </w:rPr>
        <w:t>artículo 2.2.1.2.1.1.2</w:t>
      </w:r>
      <w:r w:rsidRPr="00022BF3">
        <w:rPr>
          <w:rFonts w:ascii="Verdana" w:hAnsi="Verdana" w:cs="Arial"/>
          <w:color w:val="000000" w:themeColor="text1"/>
        </w:rPr>
        <w:t xml:space="preserve">. </w:t>
      </w:r>
      <w:r w:rsidRPr="00022BF3">
        <w:rPr>
          <w:rFonts w:ascii="Verdana" w:hAnsi="Verdana"/>
        </w:rPr>
        <w:t xml:space="preserve"> </w:t>
      </w:r>
      <w:r w:rsidRPr="00022BF3">
        <w:rPr>
          <w:rFonts w:ascii="Verdana" w:hAnsi="Verdana" w:cs="Arial"/>
        </w:rPr>
        <w:t>Disponible en:</w:t>
      </w:r>
      <w:r w:rsidRPr="00022BF3">
        <w:rPr>
          <w:rFonts w:ascii="Verdana" w:hAnsi="Verdana" w:cs="Arial"/>
        </w:rPr>
        <w:tab/>
        <w:t xml:space="preserve"> </w:t>
      </w:r>
      <w:hyperlink r:id="rId15" w:history="1">
        <w:r w:rsidRPr="00022BF3">
          <w:rPr>
            <w:rStyle w:val="Hipervnculo"/>
            <w:rFonts w:ascii="Verdana" w:hAnsi="Verdana" w:cs="Arial"/>
          </w:rPr>
          <w:t>https://relatoria.colombiacompra.gov.co/normativa/decreto-1082-de-2015/</w:t>
        </w:r>
      </w:hyperlink>
    </w:p>
    <w:p w14:paraId="4CC551D5" w14:textId="78F567E9" w:rsidR="00683C9F" w:rsidRPr="0078270C" w:rsidRDefault="0078270C" w:rsidP="0078270C">
      <w:pPr>
        <w:widowControl w:val="0"/>
        <w:autoSpaceDE w:val="0"/>
        <w:autoSpaceDN w:val="0"/>
        <w:spacing w:after="120" w:line="276" w:lineRule="auto"/>
        <w:jc w:val="both"/>
        <w:rPr>
          <w:rFonts w:ascii="Verdana" w:hAnsi="Verdana" w:cs="Arial"/>
        </w:rPr>
      </w:pPr>
      <w:r>
        <w:rPr>
          <w:rFonts w:ascii="Verdana" w:eastAsia="Century Gothic" w:hAnsi="Verdana" w:cs="Century Gothic"/>
          <w:b/>
          <w:bCs/>
        </w:rPr>
        <w:t xml:space="preserve">5. </w:t>
      </w:r>
      <w:r w:rsidR="00683C9F" w:rsidRPr="0078270C">
        <w:rPr>
          <w:rFonts w:ascii="Verdana" w:eastAsia="Century Gothic" w:hAnsi="Verdana" w:cs="Century Gothic"/>
          <w:b/>
          <w:bCs/>
        </w:rPr>
        <w:t>Doctrina de la Agencia Nacional de Contratación Pública:</w:t>
      </w:r>
    </w:p>
    <w:p w14:paraId="48E1451A" w14:textId="77777777" w:rsidR="00683C9F" w:rsidRPr="00885EA6" w:rsidRDefault="00683C9F" w:rsidP="00683C9F">
      <w:pPr>
        <w:widowControl w:val="0"/>
        <w:autoSpaceDE w:val="0"/>
        <w:autoSpaceDN w:val="0"/>
        <w:spacing w:after="0" w:line="276" w:lineRule="auto"/>
        <w:jc w:val="both"/>
        <w:rPr>
          <w:rFonts w:ascii="Verdana" w:eastAsia="Calibri" w:hAnsi="Verdana" w:cs="Arial"/>
          <w:lang w:val="es-ES" w:eastAsia="es-ES"/>
        </w:rPr>
      </w:pPr>
    </w:p>
    <w:p w14:paraId="78729B4C" w14:textId="6C7F69F5" w:rsidR="00B71EAF" w:rsidRPr="00CF4339" w:rsidRDefault="00683C9F" w:rsidP="00683C9F">
      <w:pPr>
        <w:widowControl w:val="0"/>
        <w:autoSpaceDE w:val="0"/>
        <w:autoSpaceDN w:val="0"/>
        <w:spacing w:after="0" w:line="276" w:lineRule="auto"/>
        <w:jc w:val="both"/>
        <w:rPr>
          <w:rFonts w:ascii="Verdana" w:eastAsia="Calibri" w:hAnsi="Verdana" w:cs="Arial"/>
          <w:color w:val="000000" w:themeColor="text1"/>
          <w:lang w:val="es-ES"/>
        </w:rPr>
      </w:pPr>
      <w:r w:rsidRPr="00CF4339">
        <w:rPr>
          <w:rStyle w:val="normaltextrun"/>
          <w:rFonts w:ascii="Verdana" w:hAnsi="Verdana" w:cs="Arial"/>
          <w:shd w:val="clear" w:color="auto" w:fill="FFFFFF"/>
          <w:lang w:val="es-ES"/>
        </w:rPr>
        <w:t xml:space="preserve">Sobre </w:t>
      </w:r>
      <w:r w:rsidR="00C359D6" w:rsidRPr="00CF4339">
        <w:rPr>
          <w:rFonts w:ascii="Verdana" w:eastAsia="Calibri" w:hAnsi="Verdana" w:cs="Arial"/>
          <w:color w:val="000000" w:themeColor="text1"/>
          <w:lang w:val="es-ES"/>
        </w:rPr>
        <w:t xml:space="preserve">la </w:t>
      </w:r>
      <w:r w:rsidR="00B71EAF" w:rsidRPr="00CF4339">
        <w:rPr>
          <w:rFonts w:ascii="Verdana" w:eastAsia="Calibri" w:hAnsi="Verdana" w:cs="Arial"/>
          <w:color w:val="000000" w:themeColor="text1"/>
          <w:lang w:val="es-ES"/>
        </w:rPr>
        <w:t>vigilancia de los contratos a través de la supervisión esta Subdirección</w:t>
      </w:r>
      <w:r w:rsidRPr="00CF4339">
        <w:rPr>
          <w:rFonts w:ascii="Verdana" w:eastAsia="Calibri" w:hAnsi="Verdana" w:cs="Arial"/>
          <w:color w:val="000000" w:themeColor="text1"/>
          <w:lang w:val="es-ES"/>
        </w:rPr>
        <w:t xml:space="preserve"> se ha pronunciado </w:t>
      </w:r>
      <w:r w:rsidR="00B71EAF" w:rsidRPr="00CF4339">
        <w:rPr>
          <w:rFonts w:ascii="Verdana" w:eastAsia="Calibri" w:hAnsi="Verdana" w:cs="Arial"/>
          <w:color w:val="000000" w:themeColor="text1"/>
          <w:lang w:val="es-ES"/>
        </w:rPr>
        <w:t>en sendos conceptos entre los cuales se encuentran</w:t>
      </w:r>
      <w:r w:rsidRPr="00CF4339">
        <w:rPr>
          <w:rFonts w:ascii="Verdana" w:eastAsia="Calibri" w:hAnsi="Verdana" w:cs="Arial"/>
          <w:color w:val="000000" w:themeColor="text1"/>
          <w:lang w:val="es-ES"/>
        </w:rPr>
        <w:t xml:space="preserve"> los conceptos con radicado:</w:t>
      </w:r>
      <w:r w:rsidR="00777171">
        <w:rPr>
          <w:rFonts w:ascii="Verdana" w:eastAsia="Calibri" w:hAnsi="Verdana" w:cs="Arial"/>
          <w:color w:val="000000" w:themeColor="text1"/>
          <w:lang w:val="es-ES"/>
        </w:rPr>
        <w:t xml:space="preserve"> C-521 del 08 de octubre de 2024, </w:t>
      </w:r>
      <w:r w:rsidR="0008217F">
        <w:rPr>
          <w:rFonts w:ascii="Verdana" w:eastAsia="Calibri" w:hAnsi="Verdana" w:cs="Arial"/>
          <w:color w:val="000000" w:themeColor="text1"/>
          <w:lang w:val="es-ES"/>
        </w:rPr>
        <w:t xml:space="preserve">C-489 del </w:t>
      </w:r>
      <w:r w:rsidR="00EA488D">
        <w:rPr>
          <w:rFonts w:ascii="Verdana" w:eastAsia="Calibri" w:hAnsi="Verdana" w:cs="Arial"/>
          <w:color w:val="000000" w:themeColor="text1"/>
          <w:lang w:val="es-ES"/>
        </w:rPr>
        <w:t xml:space="preserve">30 de octubre de 2024, </w:t>
      </w:r>
      <w:r w:rsidR="00670BB1">
        <w:rPr>
          <w:rFonts w:ascii="Verdana" w:eastAsia="Calibri" w:hAnsi="Verdana" w:cs="Arial"/>
          <w:color w:val="000000" w:themeColor="text1"/>
          <w:lang w:val="es-ES"/>
        </w:rPr>
        <w:t xml:space="preserve">C-737 del </w:t>
      </w:r>
      <w:r w:rsidR="0008217F">
        <w:rPr>
          <w:rFonts w:ascii="Verdana" w:eastAsia="Calibri" w:hAnsi="Verdana" w:cs="Arial"/>
          <w:color w:val="000000" w:themeColor="text1"/>
          <w:lang w:val="es-ES"/>
        </w:rPr>
        <w:t xml:space="preserve">20 de noviembre de 2024, </w:t>
      </w:r>
      <w:r w:rsidR="00670BB1">
        <w:rPr>
          <w:rFonts w:ascii="Verdana" w:eastAsia="Calibri" w:hAnsi="Verdana" w:cs="Arial"/>
          <w:color w:val="000000" w:themeColor="text1"/>
          <w:lang w:val="es-ES"/>
        </w:rPr>
        <w:t xml:space="preserve">C-769 del 09 de diciembre de 2024 </w:t>
      </w:r>
      <w:r w:rsidR="00042EE5">
        <w:rPr>
          <w:rFonts w:ascii="Verdana" w:eastAsia="Calibri" w:hAnsi="Verdana" w:cs="Arial"/>
          <w:color w:val="000000" w:themeColor="text1"/>
          <w:lang w:val="es-ES"/>
        </w:rPr>
        <w:t>y C-974 del 17 de diciembre de 2024.</w:t>
      </w:r>
    </w:p>
    <w:p w14:paraId="6601FD46" w14:textId="77777777" w:rsidR="00B71EAF" w:rsidRPr="00CF4339" w:rsidRDefault="00B71EAF" w:rsidP="00683C9F">
      <w:pPr>
        <w:widowControl w:val="0"/>
        <w:autoSpaceDE w:val="0"/>
        <w:autoSpaceDN w:val="0"/>
        <w:spacing w:after="0" w:line="276" w:lineRule="auto"/>
        <w:jc w:val="both"/>
        <w:rPr>
          <w:rFonts w:ascii="Verdana" w:eastAsia="Calibri" w:hAnsi="Verdana" w:cs="Arial"/>
          <w:color w:val="000000" w:themeColor="text1"/>
          <w:lang w:val="es-ES"/>
        </w:rPr>
      </w:pPr>
    </w:p>
    <w:p w14:paraId="0524BF6E" w14:textId="755E5BC4" w:rsidR="00683C9F" w:rsidRPr="00CF4339" w:rsidRDefault="00683C9F" w:rsidP="00683C9F">
      <w:pPr>
        <w:widowControl w:val="0"/>
        <w:autoSpaceDE w:val="0"/>
        <w:autoSpaceDN w:val="0"/>
        <w:spacing w:after="0" w:line="276" w:lineRule="auto"/>
        <w:jc w:val="both"/>
        <w:rPr>
          <w:rFonts w:ascii="Verdana" w:hAnsi="Verdana"/>
        </w:rPr>
      </w:pPr>
      <w:r w:rsidRPr="00CF433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CF4339">
        <w:rPr>
          <w:rFonts w:ascii="Verdana" w:hAnsi="Verdana"/>
        </w:rPr>
        <w:t>, accede a través del siguiente enlace:</w:t>
      </w:r>
    </w:p>
    <w:p w14:paraId="6DD08F4A" w14:textId="2F184429" w:rsidR="00683C9F" w:rsidRPr="00885EA6" w:rsidRDefault="00683C9F" w:rsidP="00683C9F">
      <w:pPr>
        <w:widowControl w:val="0"/>
        <w:autoSpaceDE w:val="0"/>
        <w:autoSpaceDN w:val="0"/>
        <w:spacing w:after="0" w:line="276" w:lineRule="auto"/>
        <w:jc w:val="both"/>
        <w:rPr>
          <w:rStyle w:val="normaltextrun"/>
          <w:rFonts w:ascii="Verdana" w:hAnsi="Verdana"/>
        </w:rPr>
      </w:pPr>
      <w:hyperlink r:id="rId16" w:history="1">
        <w:r w:rsidRPr="00CF4339">
          <w:rPr>
            <w:rStyle w:val="Hipervnculo"/>
            <w:rFonts w:ascii="Verdana" w:hAnsi="Verdana" w:cs="Arial"/>
            <w:shd w:val="clear" w:color="auto" w:fill="FFFFFF"/>
            <w:lang w:val="es-ES"/>
          </w:rPr>
          <w:t>https://relatoria.colombiacompra.gov.co/busqueda/conceptos</w:t>
        </w:r>
      </w:hyperlink>
      <w:r w:rsidRPr="00885EA6">
        <w:rPr>
          <w:rStyle w:val="normaltextrun"/>
          <w:rFonts w:ascii="Verdana" w:hAnsi="Verdana" w:cs="Arial"/>
          <w:shd w:val="clear" w:color="auto" w:fill="FFFFFF"/>
        </w:rPr>
        <w:t xml:space="preserve"> </w:t>
      </w:r>
    </w:p>
    <w:p w14:paraId="7515E9CA" w14:textId="77777777" w:rsidR="00683C9F" w:rsidRPr="00283203" w:rsidRDefault="00683C9F" w:rsidP="00683C9F">
      <w:pPr>
        <w:spacing w:after="0" w:line="254" w:lineRule="auto"/>
        <w:rPr>
          <w:rFonts w:ascii="Verdana" w:eastAsia="Calibri" w:hAnsi="Verdana" w:cs="Times New Roman"/>
        </w:rPr>
      </w:pPr>
      <w:r w:rsidRPr="00283203">
        <w:rPr>
          <w:rFonts w:ascii="Verdana" w:eastAsia="Calibri" w:hAnsi="Verdana" w:cs="Times New Roman"/>
        </w:rPr>
        <w:t> </w:t>
      </w:r>
    </w:p>
    <w:p w14:paraId="2287DF51" w14:textId="11FA3EDD" w:rsidR="008068BB" w:rsidRPr="008068BB" w:rsidRDefault="008068BB" w:rsidP="008068BB">
      <w:pPr>
        <w:spacing w:after="0" w:line="254" w:lineRule="auto"/>
        <w:jc w:val="both"/>
        <w:rPr>
          <w:rFonts w:ascii="Verdana" w:eastAsia="Calibri" w:hAnsi="Verdana" w:cs="Times New Roman"/>
        </w:rPr>
      </w:pPr>
      <w:r w:rsidRPr="008068BB">
        <w:rPr>
          <w:rFonts w:ascii="Verdana" w:eastAsia="Calibri" w:hAnsi="Verdana" w:cs="Times New Roman"/>
        </w:rPr>
        <w:t>Le informamos que ya se encuentra disponible la </w:t>
      </w:r>
      <w:r w:rsidRPr="008068BB">
        <w:rPr>
          <w:rFonts w:ascii="Verdana" w:eastAsia="Calibri" w:hAnsi="Verdana" w:cs="Times New Roman"/>
          <w:b/>
          <w:bCs/>
        </w:rPr>
        <w:t>Guía para el manejo de ofertas artificialmente bajas en Procesos de Contratación.</w:t>
      </w:r>
      <w:r w:rsidRPr="008068BB">
        <w:rPr>
          <w:rFonts w:ascii="Verdana" w:eastAsia="Calibri" w:hAnsi="Verdana" w:cs="Times New Roman"/>
        </w:rPr>
        <w:t> En este documento podrás consultar una serie de pautas para el manejo ofertas artificialmente bajas, en línea con las mejores prácticas internacionales en la materia. Puede consultar la versión actualizada en el siguiente enlace: </w:t>
      </w:r>
      <w:hyperlink r:id="rId17" w:tgtFrame="_blank" w:tooltip="Dirección URL original: https://www.colombiacompra.gov.co/manuales-guias-y-pliegos-tipo/manuales-y-guias/guia-para-el-manejo-de-ofertas-artificialmente-baja-0. Haga clic o pulse si confía en este vínculo." w:history="1">
        <w:r w:rsidRPr="008068BB">
          <w:rPr>
            <w:rStyle w:val="Hipervnculo"/>
            <w:rFonts w:ascii="Verdana" w:eastAsia="Calibri" w:hAnsi="Verdana" w:cs="Times New Roman"/>
          </w:rPr>
          <w:t>https://www.colombiacompra.gov.co/manuales-guias-y-pliegos-tipo/manuales-y-guias/guia-para-el-manejo-de-ofertas-artificialmente-baja-0</w:t>
        </w:r>
      </w:hyperlink>
      <w:r w:rsidRPr="008068BB">
        <w:rPr>
          <w:rFonts w:ascii="Verdana" w:eastAsia="Calibri" w:hAnsi="Verdana" w:cs="Times New Roman"/>
          <w:u w:val="single"/>
        </w:rPr>
        <w:t> </w:t>
      </w:r>
    </w:p>
    <w:p w14:paraId="68A253AA" w14:textId="77777777" w:rsidR="008068BB" w:rsidRDefault="008068BB" w:rsidP="008068BB">
      <w:pPr>
        <w:spacing w:after="0" w:line="254" w:lineRule="auto"/>
        <w:jc w:val="both"/>
        <w:rPr>
          <w:rFonts w:ascii="Verdana" w:eastAsia="Calibri" w:hAnsi="Verdana" w:cs="Times New Roman"/>
        </w:rPr>
      </w:pPr>
    </w:p>
    <w:p w14:paraId="518EEFC8" w14:textId="484A621A" w:rsidR="008068BB" w:rsidRPr="008068BB" w:rsidRDefault="008068BB" w:rsidP="008068BB">
      <w:pPr>
        <w:spacing w:after="0" w:line="254" w:lineRule="auto"/>
        <w:jc w:val="both"/>
        <w:rPr>
          <w:rFonts w:ascii="Verdana" w:eastAsia="Calibri" w:hAnsi="Verdana" w:cs="Times New Roman"/>
        </w:rPr>
      </w:pPr>
      <w:r w:rsidRPr="008068BB">
        <w:rPr>
          <w:rFonts w:ascii="Verdana" w:eastAsia="Calibri" w:hAnsi="Verdana" w:cs="Times New Roman"/>
        </w:rPr>
        <w:t>De otra parte, te contamos que ya publicamos la </w:t>
      </w:r>
      <w:r w:rsidRPr="008068BB">
        <w:rPr>
          <w:rFonts w:ascii="Verdana" w:eastAsia="Calibri" w:hAnsi="Verdana" w:cs="Times New Roman"/>
          <w:b/>
          <w:bCs/>
        </w:rPr>
        <w:t>Guía para incentivar la participación de Mujeres en el Sistema de Compras y Contratación Pública</w:t>
      </w:r>
      <w:r w:rsidRPr="008068BB">
        <w:rPr>
          <w:rFonts w:ascii="Verdana" w:eastAsia="Calibri" w:hAnsi="Verdana" w:cs="Times New Roman"/>
        </w:rPr>
        <w:t>. Esta guía tiene como finalidad ofrecer información de valor para que las Entidades Estatales fomenten de manera efectiva la participación de las mujeres en el mercado de compras públicas. Puedes consultar la guía en el siguiente enlace: </w:t>
      </w:r>
      <w:hyperlink r:id="rId18" w:tgtFrame="_blank" w:tooltip="Dirección URL original: https://www.colombiacompra.gov.co/manuales-guias-y-pliegos-tipo/manuales-y-guias/guia-para-incentivar-la-participacion-de-las-mujeres. Haga clic o pulse si confía en este vínculo." w:history="1">
        <w:r w:rsidRPr="008068BB">
          <w:rPr>
            <w:rStyle w:val="Hipervnculo"/>
            <w:rFonts w:ascii="Verdana" w:eastAsia="Calibri" w:hAnsi="Verdana" w:cs="Times New Roman"/>
          </w:rPr>
          <w:t>https://www.colombiacompra.gov.co/manuales-guias-y-pliegos-tipo/manuales-y-guias/guia-para-incentivar-la-participacion-de-las-mujeres</w:t>
        </w:r>
      </w:hyperlink>
    </w:p>
    <w:p w14:paraId="0440EE10" w14:textId="77777777" w:rsidR="00E213F9" w:rsidRDefault="00E213F9" w:rsidP="008068BB">
      <w:pPr>
        <w:spacing w:after="0" w:line="254" w:lineRule="auto"/>
        <w:jc w:val="both"/>
        <w:rPr>
          <w:rFonts w:ascii="Verdana" w:eastAsia="Calibri" w:hAnsi="Verdana" w:cs="Times New Roman"/>
        </w:rPr>
      </w:pPr>
    </w:p>
    <w:p w14:paraId="73919ED3" w14:textId="796073A1" w:rsidR="008068BB" w:rsidRPr="008068BB" w:rsidRDefault="008068BB" w:rsidP="008068BB">
      <w:pPr>
        <w:spacing w:after="0" w:line="254" w:lineRule="auto"/>
        <w:jc w:val="both"/>
        <w:rPr>
          <w:rFonts w:ascii="Verdana" w:eastAsia="Calibri" w:hAnsi="Verdana" w:cs="Times New Roman"/>
        </w:rPr>
      </w:pPr>
      <w:r w:rsidRPr="008068BB">
        <w:rPr>
          <w:rFonts w:ascii="Verdana" w:eastAsia="Calibri" w:hAnsi="Verdana" w:cs="Times New Roman"/>
        </w:rPr>
        <w:t>También te invitamos a consultar la </w:t>
      </w:r>
      <w:r w:rsidRPr="008068BB">
        <w:rPr>
          <w:rFonts w:ascii="Verdana" w:eastAsia="Calibri" w:hAnsi="Verdana" w:cs="Times New Roman"/>
          <w:b/>
          <w:bCs/>
        </w:rPr>
        <w:t>versión VIII de 2024</w:t>
      </w:r>
      <w:r w:rsidRPr="008068BB">
        <w:rPr>
          <w:rFonts w:ascii="Verdana" w:eastAsia="Calibri" w:hAnsi="Verdana" w:cs="Times New Roman"/>
        </w:rPr>
        <w:t>, del </w:t>
      </w:r>
      <w:r w:rsidRPr="008068BB">
        <w:rPr>
          <w:rFonts w:ascii="Verdana" w:eastAsia="Calibri" w:hAnsi="Verdana" w:cs="Times New Roman"/>
          <w:b/>
          <w:bCs/>
        </w:rPr>
        <w:t>Boletín de Relatoría</w:t>
      </w:r>
      <w:r w:rsidRPr="008068BB">
        <w:rPr>
          <w:rFonts w:ascii="Verdana" w:eastAsia="Calibri" w:hAnsi="Verdana" w:cs="Times New Roman"/>
        </w:rPr>
        <w:t> de la Subdirección de Gestión Contractual relacionado con la participación de las MIPYMES en los procesos de compra y contratación pública, el cual se puede descargar en la página web de la Agencia: </w:t>
      </w:r>
      <w:hyperlink r:id="rId19" w:tgtFrame="_blank" w:tooltip="Dirección URL original: https://www.colombiacompra.gov.co/sites/cce_public/files/files_2020/boletin_de_realtoria_viii.pdf. Haga clic o pulse si confía en este vínculo." w:history="1">
        <w:r w:rsidRPr="008068BB">
          <w:rPr>
            <w:rStyle w:val="Hipervnculo"/>
            <w:rFonts w:ascii="Verdana" w:eastAsia="Calibri" w:hAnsi="Verdana" w:cs="Times New Roman"/>
          </w:rPr>
          <w:t>https://www.colombiacompra.gov.co/sites/cce_public/files/files_2020/boletin_de_realtoria_viii.pdf</w:t>
        </w:r>
      </w:hyperlink>
    </w:p>
    <w:p w14:paraId="33C77D6F" w14:textId="77777777" w:rsidR="000B22C0" w:rsidRDefault="000B22C0" w:rsidP="00683C9F">
      <w:pPr>
        <w:spacing w:after="0" w:line="254" w:lineRule="auto"/>
        <w:rPr>
          <w:rFonts w:ascii="Verdana" w:eastAsia="Calibri" w:hAnsi="Verdana" w:cs="Times New Roman"/>
        </w:rPr>
      </w:pPr>
    </w:p>
    <w:p w14:paraId="22267683" w14:textId="77777777" w:rsidR="00683C9F" w:rsidRPr="00885EA6" w:rsidRDefault="00683C9F" w:rsidP="003C300D">
      <w:pPr>
        <w:spacing w:after="0" w:line="254" w:lineRule="auto"/>
        <w:jc w:val="both"/>
        <w:rPr>
          <w:rFonts w:ascii="Verdana" w:eastAsia="Calibri" w:hAnsi="Verdana" w:cs="Times New Roman"/>
        </w:rPr>
      </w:pPr>
      <w:r w:rsidRPr="00885EA6">
        <w:rPr>
          <w:rFonts w:ascii="Verdana" w:eastAsia="Calibri" w:hAnsi="Verdana" w:cs="Times New Roman"/>
        </w:rPr>
        <w:lastRenderedPageBreak/>
        <w:t xml:space="preserve">Por último, lo invitamos a seguirnos en las redes sociales en las cuales se difunde información institucional: </w:t>
      </w:r>
    </w:p>
    <w:p w14:paraId="389D3683" w14:textId="77777777" w:rsidR="00683C9F" w:rsidRPr="00885EA6" w:rsidRDefault="00683C9F" w:rsidP="00683C9F">
      <w:pPr>
        <w:spacing w:after="0" w:line="254" w:lineRule="auto"/>
        <w:rPr>
          <w:rFonts w:ascii="Verdana" w:eastAsia="Calibri" w:hAnsi="Verdana" w:cs="Times New Roman"/>
        </w:rPr>
      </w:pPr>
    </w:p>
    <w:p w14:paraId="02411EE7" w14:textId="77777777" w:rsidR="00683C9F" w:rsidRPr="00885EA6" w:rsidRDefault="00683C9F" w:rsidP="00683C9F">
      <w:pPr>
        <w:spacing w:after="0" w:line="254" w:lineRule="auto"/>
        <w:rPr>
          <w:rFonts w:ascii="Verdana" w:eastAsia="Calibri" w:hAnsi="Verdana" w:cs="Times New Roman"/>
        </w:rPr>
      </w:pPr>
      <w:r w:rsidRPr="00885EA6">
        <w:rPr>
          <w:rFonts w:ascii="Verdana" w:eastAsia="Calibri" w:hAnsi="Verdana" w:cs="Times New Roman"/>
        </w:rPr>
        <w:t xml:space="preserve">Twitter: </w:t>
      </w:r>
      <w:r w:rsidRPr="00885EA6">
        <w:rPr>
          <w:rFonts w:ascii="Verdana" w:eastAsia="Calibri" w:hAnsi="Verdana" w:cs="Times New Roman"/>
          <w:u w:val="single"/>
        </w:rPr>
        <w:t>@colombiacompra</w:t>
      </w:r>
      <w:r w:rsidRPr="00885EA6">
        <w:rPr>
          <w:rFonts w:ascii="Verdana" w:eastAsia="Calibri" w:hAnsi="Verdana" w:cs="Times New Roman"/>
        </w:rPr>
        <w:t xml:space="preserve"> </w:t>
      </w:r>
    </w:p>
    <w:p w14:paraId="174B3932" w14:textId="77777777" w:rsidR="00683C9F" w:rsidRPr="00885EA6" w:rsidRDefault="00683C9F" w:rsidP="00683C9F">
      <w:pPr>
        <w:spacing w:after="0" w:line="254" w:lineRule="auto"/>
        <w:rPr>
          <w:rFonts w:ascii="Verdana" w:eastAsia="Calibri" w:hAnsi="Verdana" w:cs="Times New Roman"/>
        </w:rPr>
      </w:pPr>
      <w:r w:rsidRPr="00885EA6">
        <w:rPr>
          <w:rFonts w:ascii="Verdana" w:eastAsia="Calibri" w:hAnsi="Verdana" w:cs="Times New Roman"/>
        </w:rPr>
        <w:t xml:space="preserve">Facebook: </w:t>
      </w:r>
      <w:r w:rsidRPr="00885EA6">
        <w:rPr>
          <w:rFonts w:ascii="Verdana" w:eastAsia="Calibri" w:hAnsi="Verdana" w:cs="Times New Roman"/>
          <w:u w:val="single"/>
        </w:rPr>
        <w:t>ColombiaCompraEficiente</w:t>
      </w:r>
    </w:p>
    <w:p w14:paraId="3BDDEC43" w14:textId="77777777" w:rsidR="00683C9F" w:rsidRPr="00885EA6" w:rsidRDefault="00683C9F" w:rsidP="00683C9F">
      <w:pPr>
        <w:spacing w:after="0" w:line="254" w:lineRule="auto"/>
        <w:rPr>
          <w:rFonts w:ascii="Verdana" w:eastAsia="Calibri" w:hAnsi="Verdana" w:cs="Times New Roman"/>
          <w:u w:val="single"/>
        </w:rPr>
      </w:pPr>
      <w:r w:rsidRPr="00885EA6">
        <w:rPr>
          <w:rFonts w:ascii="Verdana" w:eastAsia="Calibri" w:hAnsi="Verdana" w:cs="Times New Roman"/>
        </w:rPr>
        <w:t xml:space="preserve">LinkedIn: </w:t>
      </w:r>
      <w:r w:rsidRPr="00885EA6">
        <w:rPr>
          <w:rFonts w:ascii="Verdana" w:eastAsia="Calibri" w:hAnsi="Verdana" w:cs="Times New Roman"/>
          <w:u w:val="single"/>
        </w:rPr>
        <w:t>Agencia Nacional de Contratación Pública - Colombia Compra Eficiente</w:t>
      </w:r>
      <w:r w:rsidRPr="00885EA6">
        <w:rPr>
          <w:rFonts w:ascii="Verdana" w:eastAsia="Calibri" w:hAnsi="Verdana" w:cs="Times New Roman"/>
        </w:rPr>
        <w:t xml:space="preserve"> Instagram: </w:t>
      </w:r>
      <w:r w:rsidRPr="00885EA6">
        <w:rPr>
          <w:rFonts w:ascii="Verdana" w:eastAsia="Calibri" w:hAnsi="Verdana" w:cs="Times New Roman"/>
          <w:u w:val="single"/>
        </w:rPr>
        <w:t>@colombiacompraeficiente_cce</w:t>
      </w:r>
    </w:p>
    <w:p w14:paraId="4BBDA08E" w14:textId="77777777" w:rsidR="00683C9F" w:rsidRPr="00885EA6" w:rsidRDefault="00683C9F" w:rsidP="00683C9F">
      <w:pPr>
        <w:spacing w:after="0" w:line="254" w:lineRule="auto"/>
        <w:rPr>
          <w:rFonts w:ascii="Verdana" w:eastAsia="Calibri" w:hAnsi="Verdana" w:cs="Times New Roman"/>
          <w:b/>
          <w:bCs/>
        </w:rPr>
      </w:pPr>
    </w:p>
    <w:p w14:paraId="44C535BC" w14:textId="77777777" w:rsidR="00683C9F" w:rsidRPr="00885EA6" w:rsidRDefault="00683C9F" w:rsidP="00683C9F">
      <w:pPr>
        <w:spacing w:after="0" w:line="254" w:lineRule="auto"/>
        <w:jc w:val="both"/>
        <w:rPr>
          <w:rFonts w:ascii="Verdana" w:eastAsia="Calibri" w:hAnsi="Verdana" w:cs="Times New Roman"/>
          <w:lang w:val="es-ES_tradnl"/>
        </w:rPr>
      </w:pPr>
      <w:r w:rsidRPr="00885EA6">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CAB5871" w14:textId="77777777" w:rsidR="00683C9F" w:rsidRPr="00885EA6" w:rsidRDefault="00683C9F" w:rsidP="00683C9F">
      <w:pPr>
        <w:spacing w:after="0" w:line="240" w:lineRule="auto"/>
        <w:jc w:val="both"/>
        <w:rPr>
          <w:rFonts w:ascii="Verdana" w:eastAsia="Calibri" w:hAnsi="Verdana"/>
        </w:rPr>
      </w:pPr>
    </w:p>
    <w:p w14:paraId="346CDD83" w14:textId="77777777" w:rsidR="00683C9F" w:rsidRPr="00885EA6" w:rsidRDefault="00683C9F" w:rsidP="00683C9F">
      <w:pPr>
        <w:spacing w:after="0" w:line="240" w:lineRule="auto"/>
        <w:jc w:val="both"/>
        <w:rPr>
          <w:rFonts w:ascii="Verdana" w:eastAsia="Times New Roman" w:hAnsi="Verdana" w:cs="Arial"/>
          <w:lang w:eastAsia="es-CO"/>
        </w:rPr>
      </w:pPr>
      <w:r w:rsidRPr="00885EA6">
        <w:rPr>
          <w:rFonts w:ascii="Verdana" w:eastAsia="Times New Roman" w:hAnsi="Verdana" w:cs="Arial"/>
          <w:lang w:eastAsia="es-CO"/>
        </w:rPr>
        <w:t>Atentamente,</w:t>
      </w:r>
    </w:p>
    <w:p w14:paraId="4F7ACB19" w14:textId="77777777" w:rsidR="00683C9F" w:rsidRPr="00885EA6" w:rsidRDefault="00683C9F" w:rsidP="00683C9F">
      <w:pPr>
        <w:spacing w:after="0" w:line="240" w:lineRule="auto"/>
        <w:jc w:val="both"/>
        <w:rPr>
          <w:rFonts w:ascii="Verdana" w:eastAsia="Times New Roman" w:hAnsi="Verdana" w:cs="Arial"/>
          <w:lang w:eastAsia="es-CO"/>
        </w:rPr>
      </w:pPr>
    </w:p>
    <w:p w14:paraId="34CE5620" w14:textId="4241D520" w:rsidR="00683C9F" w:rsidRPr="00885EA6" w:rsidRDefault="00D81222" w:rsidP="00F2273B">
      <w:pPr>
        <w:spacing w:after="0" w:line="240" w:lineRule="auto"/>
        <w:jc w:val="center"/>
        <w:rPr>
          <w:rFonts w:ascii="Verdana" w:eastAsia="Times New Roman" w:hAnsi="Verdana" w:cs="Arial"/>
          <w:lang w:eastAsia="es-CO"/>
        </w:rPr>
      </w:pPr>
      <w:r w:rsidRPr="004D5C25">
        <w:rPr>
          <w:rFonts w:ascii="Century Gothic" w:hAnsi="Century Gothic"/>
          <w:noProof/>
        </w:rPr>
        <w:drawing>
          <wp:inline distT="0" distB="0" distL="0" distR="0" wp14:anchorId="7299F4B4" wp14:editId="174D938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p w14:paraId="6ACACD82" w14:textId="489BC21A" w:rsidR="00683C9F" w:rsidRDefault="00683C9F" w:rsidP="00683C9F">
      <w:pPr>
        <w:spacing w:after="0" w:line="240" w:lineRule="auto"/>
        <w:jc w:val="center"/>
        <w:rPr>
          <w:rFonts w:ascii="Verdana" w:eastAsia="Times New Roman" w:hAnsi="Verdana" w:cs="Arial"/>
          <w:lang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83C9F" w:rsidRPr="00C83E9D" w14:paraId="34177701" w14:textId="77777777" w:rsidTr="00B17036">
        <w:trPr>
          <w:trHeight w:val="409"/>
        </w:trPr>
        <w:tc>
          <w:tcPr>
            <w:tcW w:w="817" w:type="dxa"/>
            <w:tcBorders>
              <w:top w:val="nil"/>
              <w:left w:val="nil"/>
              <w:bottom w:val="nil"/>
              <w:right w:val="nil"/>
            </w:tcBorders>
            <w:vAlign w:val="center"/>
            <w:hideMark/>
          </w:tcPr>
          <w:p w14:paraId="4B41CE6B" w14:textId="77777777" w:rsidR="00683C9F" w:rsidRPr="00C83E9D" w:rsidRDefault="00683C9F" w:rsidP="00B17036">
            <w:pPr>
              <w:spacing w:after="0" w:line="240" w:lineRule="auto"/>
              <w:jc w:val="both"/>
              <w:rPr>
                <w:rFonts w:ascii="Verdana" w:hAnsi="Verdana" w:cs="Arial"/>
                <w:sz w:val="14"/>
                <w:szCs w:val="14"/>
              </w:rPr>
            </w:pPr>
            <w:r w:rsidRPr="00C83E9D">
              <w:rPr>
                <w:rFonts w:ascii="Verdana" w:hAnsi="Verdana" w:cs="Arial"/>
                <w:sz w:val="14"/>
                <w:szCs w:val="14"/>
              </w:rPr>
              <w:t>Elaboró: </w:t>
            </w:r>
          </w:p>
        </w:tc>
        <w:tc>
          <w:tcPr>
            <w:tcW w:w="4937" w:type="dxa"/>
            <w:tcBorders>
              <w:top w:val="nil"/>
              <w:left w:val="nil"/>
              <w:bottom w:val="dotted" w:sz="6" w:space="0" w:color="7F7F7F" w:themeColor="text1" w:themeTint="80"/>
              <w:right w:val="nil"/>
            </w:tcBorders>
            <w:vAlign w:val="center"/>
            <w:hideMark/>
          </w:tcPr>
          <w:p w14:paraId="3698B963" w14:textId="77777777" w:rsidR="00683C9F" w:rsidRPr="00C83E9D" w:rsidRDefault="00683C9F" w:rsidP="00B17036">
            <w:pPr>
              <w:spacing w:after="0" w:line="240" w:lineRule="auto"/>
              <w:jc w:val="both"/>
              <w:rPr>
                <w:rFonts w:ascii="Verdana" w:hAnsi="Verdana" w:cs="Arial"/>
                <w:sz w:val="14"/>
                <w:szCs w:val="14"/>
              </w:rPr>
            </w:pPr>
            <w:r w:rsidRPr="00C83E9D">
              <w:rPr>
                <w:rFonts w:ascii="Verdana" w:hAnsi="Verdana" w:cs="Arial"/>
                <w:sz w:val="14"/>
                <w:szCs w:val="14"/>
              </w:rPr>
              <w:t>Gustavo Hinestroza Martínez</w:t>
            </w:r>
          </w:p>
          <w:p w14:paraId="1C0CDA17" w14:textId="77777777" w:rsidR="00683C9F" w:rsidRPr="00C83E9D" w:rsidRDefault="00683C9F" w:rsidP="00B17036">
            <w:pPr>
              <w:spacing w:after="0" w:line="240" w:lineRule="auto"/>
              <w:jc w:val="both"/>
              <w:rPr>
                <w:rFonts w:ascii="Verdana" w:hAnsi="Verdana" w:cs="Arial"/>
                <w:sz w:val="14"/>
                <w:szCs w:val="14"/>
              </w:rPr>
            </w:pPr>
            <w:r w:rsidRPr="00C83E9D">
              <w:rPr>
                <w:rFonts w:ascii="Verdana" w:hAnsi="Verdana" w:cs="Arial"/>
                <w:sz w:val="14"/>
                <w:szCs w:val="14"/>
              </w:rPr>
              <w:t>Contratista de la Subdirección de Gestión Contractual</w:t>
            </w:r>
          </w:p>
        </w:tc>
      </w:tr>
      <w:tr w:rsidR="00683C9F" w:rsidRPr="00C83E9D" w14:paraId="2E37C719" w14:textId="77777777" w:rsidTr="00B17036">
        <w:trPr>
          <w:trHeight w:val="409"/>
        </w:trPr>
        <w:tc>
          <w:tcPr>
            <w:tcW w:w="817" w:type="dxa"/>
            <w:tcBorders>
              <w:top w:val="nil"/>
              <w:left w:val="nil"/>
              <w:bottom w:val="nil"/>
              <w:right w:val="nil"/>
            </w:tcBorders>
            <w:vAlign w:val="center"/>
            <w:hideMark/>
          </w:tcPr>
          <w:p w14:paraId="033D2241" w14:textId="77777777" w:rsidR="00683C9F" w:rsidRPr="00C83E9D" w:rsidRDefault="00683C9F" w:rsidP="00683C9F">
            <w:pPr>
              <w:spacing w:after="0"/>
              <w:jc w:val="both"/>
              <w:rPr>
                <w:rFonts w:ascii="Verdana" w:hAnsi="Verdana" w:cs="Arial"/>
                <w:sz w:val="14"/>
                <w:szCs w:val="14"/>
              </w:rPr>
            </w:pPr>
            <w:r w:rsidRPr="00C83E9D">
              <w:rPr>
                <w:rFonts w:ascii="Verdana" w:hAnsi="Verdana" w:cs="Arial"/>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3D390EC" w14:textId="77777777" w:rsidR="00683C9F" w:rsidRPr="00C83E9D" w:rsidRDefault="00683C9F" w:rsidP="00683C9F">
            <w:pPr>
              <w:pStyle w:val="paragraph"/>
              <w:spacing w:before="0" w:beforeAutospacing="0" w:after="0" w:afterAutospacing="0"/>
              <w:textAlignment w:val="baseline"/>
              <w:rPr>
                <w:rFonts w:ascii="Verdana" w:eastAsiaTheme="minorHAnsi" w:hAnsi="Verdana" w:cs="Arial"/>
                <w:sz w:val="14"/>
                <w:szCs w:val="14"/>
                <w:lang w:eastAsia="en-US"/>
              </w:rPr>
            </w:pPr>
            <w:r w:rsidRPr="00C83E9D">
              <w:rPr>
                <w:rFonts w:ascii="Verdana" w:eastAsiaTheme="minorHAnsi" w:hAnsi="Verdana" w:cs="Arial"/>
                <w:sz w:val="14"/>
                <w:szCs w:val="14"/>
                <w:lang w:eastAsia="en-US"/>
              </w:rPr>
              <w:t>Ximena Rios López</w:t>
            </w:r>
          </w:p>
          <w:p w14:paraId="53D1AF1D" w14:textId="766B8A91" w:rsidR="00683C9F" w:rsidRPr="00C83E9D" w:rsidRDefault="00683C9F" w:rsidP="00683C9F">
            <w:pPr>
              <w:spacing w:after="0" w:line="240" w:lineRule="auto"/>
              <w:jc w:val="both"/>
              <w:rPr>
                <w:rFonts w:ascii="Verdana" w:hAnsi="Verdana" w:cs="Arial"/>
                <w:sz w:val="14"/>
                <w:szCs w:val="14"/>
              </w:rPr>
            </w:pPr>
            <w:r w:rsidRPr="00C83E9D">
              <w:rPr>
                <w:rFonts w:ascii="Verdana" w:hAnsi="Verdana" w:cs="Arial"/>
                <w:sz w:val="14"/>
                <w:szCs w:val="14"/>
              </w:rPr>
              <w:t>Gestor código T1 grado 11 Subdirección de Gestión Contractual</w:t>
            </w:r>
          </w:p>
        </w:tc>
      </w:tr>
      <w:tr w:rsidR="00683C9F" w:rsidRPr="00C83E9D" w14:paraId="40B96B8F" w14:textId="77777777" w:rsidTr="00B17036">
        <w:trPr>
          <w:trHeight w:val="389"/>
        </w:trPr>
        <w:tc>
          <w:tcPr>
            <w:tcW w:w="817" w:type="dxa"/>
            <w:tcBorders>
              <w:top w:val="nil"/>
              <w:left w:val="nil"/>
              <w:bottom w:val="nil"/>
              <w:right w:val="nil"/>
            </w:tcBorders>
            <w:vAlign w:val="center"/>
            <w:hideMark/>
          </w:tcPr>
          <w:p w14:paraId="2CDDE293" w14:textId="77777777" w:rsidR="00683C9F" w:rsidRPr="00C83E9D" w:rsidRDefault="00683C9F" w:rsidP="00683C9F">
            <w:pPr>
              <w:spacing w:after="0" w:line="240" w:lineRule="auto"/>
              <w:jc w:val="both"/>
              <w:rPr>
                <w:rFonts w:ascii="Verdana" w:hAnsi="Verdana" w:cs="Arial"/>
                <w:sz w:val="14"/>
                <w:szCs w:val="14"/>
              </w:rPr>
            </w:pPr>
            <w:r w:rsidRPr="00C83E9D">
              <w:rPr>
                <w:rFonts w:ascii="Verdana" w:hAnsi="Verdana" w:cs="Arial"/>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749E8BC" w14:textId="77777777" w:rsidR="00683C9F" w:rsidRPr="00C83E9D" w:rsidRDefault="00683C9F" w:rsidP="00683C9F">
            <w:pPr>
              <w:spacing w:after="0"/>
              <w:jc w:val="both"/>
              <w:rPr>
                <w:rFonts w:ascii="Verdana" w:hAnsi="Verdana" w:cs="Arial"/>
                <w:sz w:val="14"/>
                <w:szCs w:val="14"/>
              </w:rPr>
            </w:pPr>
            <w:r w:rsidRPr="00C83E9D">
              <w:rPr>
                <w:rFonts w:ascii="Verdana" w:hAnsi="Verdana" w:cs="Arial"/>
                <w:sz w:val="14"/>
                <w:szCs w:val="14"/>
              </w:rPr>
              <w:t>Carolina Quintero Gacharná</w:t>
            </w:r>
          </w:p>
          <w:p w14:paraId="49724B23" w14:textId="77777777" w:rsidR="00683C9F" w:rsidRPr="00C83E9D" w:rsidRDefault="00683C9F" w:rsidP="00683C9F">
            <w:pPr>
              <w:spacing w:after="0" w:line="240" w:lineRule="auto"/>
              <w:jc w:val="both"/>
              <w:rPr>
                <w:rFonts w:ascii="Verdana" w:hAnsi="Verdana" w:cs="Arial"/>
                <w:sz w:val="14"/>
                <w:szCs w:val="14"/>
              </w:rPr>
            </w:pPr>
            <w:r w:rsidRPr="00C83E9D">
              <w:rPr>
                <w:rFonts w:ascii="Verdana" w:hAnsi="Verdana" w:cs="Arial"/>
                <w:sz w:val="14"/>
                <w:szCs w:val="14"/>
              </w:rPr>
              <w:t>Subdirectora de Gestión Contractual ANCP – CCE</w:t>
            </w:r>
          </w:p>
        </w:tc>
      </w:tr>
    </w:tbl>
    <w:p w14:paraId="33B57D0D" w14:textId="77777777" w:rsidR="00FA1B3E" w:rsidRPr="0044528D" w:rsidRDefault="00FA1B3E" w:rsidP="00E245AB">
      <w:pPr>
        <w:spacing w:after="0"/>
        <w:jc w:val="both"/>
        <w:rPr>
          <w:rStyle w:val="Hipervnculo"/>
          <w:rFonts w:ascii="Verdana" w:hAnsi="Verdana"/>
        </w:rPr>
      </w:pPr>
    </w:p>
    <w:bookmarkEnd w:id="0"/>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AF228" w14:textId="77777777" w:rsidR="00BF4763" w:rsidRDefault="00BF4763" w:rsidP="004A1847">
      <w:pPr>
        <w:spacing w:after="0" w:line="240" w:lineRule="auto"/>
      </w:pPr>
      <w:r>
        <w:separator/>
      </w:r>
    </w:p>
  </w:endnote>
  <w:endnote w:type="continuationSeparator" w:id="0">
    <w:p w14:paraId="6449EDBE" w14:textId="77777777" w:rsidR="00BF4763" w:rsidRDefault="00BF4763" w:rsidP="004A1847">
      <w:pPr>
        <w:spacing w:after="0" w:line="240" w:lineRule="auto"/>
      </w:pPr>
      <w:r>
        <w:continuationSeparator/>
      </w:r>
    </w:p>
  </w:endnote>
  <w:endnote w:type="continuationNotice" w:id="1">
    <w:p w14:paraId="43DEC6BD" w14:textId="77777777" w:rsidR="00BF4763" w:rsidRDefault="00BF4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9B3A2" w14:textId="77777777" w:rsidR="00BF4763" w:rsidRDefault="00BF4763" w:rsidP="004A1847">
      <w:pPr>
        <w:spacing w:after="0" w:line="240" w:lineRule="auto"/>
      </w:pPr>
      <w:r>
        <w:separator/>
      </w:r>
    </w:p>
  </w:footnote>
  <w:footnote w:type="continuationSeparator" w:id="0">
    <w:p w14:paraId="77AA48FA" w14:textId="77777777" w:rsidR="00BF4763" w:rsidRDefault="00BF4763" w:rsidP="004A1847">
      <w:pPr>
        <w:spacing w:after="0" w:line="240" w:lineRule="auto"/>
      </w:pPr>
      <w:r>
        <w:continuationSeparator/>
      </w:r>
    </w:p>
  </w:footnote>
  <w:footnote w:type="continuationNotice" w:id="1">
    <w:p w14:paraId="5A7222C2" w14:textId="77777777" w:rsidR="00BF4763" w:rsidRDefault="00BF4763">
      <w:pPr>
        <w:spacing w:after="0" w:line="240" w:lineRule="auto"/>
      </w:pPr>
    </w:p>
  </w:footnote>
  <w:footnote w:id="2">
    <w:p w14:paraId="6CEBB652" w14:textId="77777777" w:rsidR="00254E58" w:rsidRPr="00916DF1" w:rsidRDefault="00254E58" w:rsidP="00254E58">
      <w:pPr>
        <w:pStyle w:val="Textonotapie"/>
        <w:ind w:firstLine="708"/>
        <w:jc w:val="both"/>
        <w:rPr>
          <w:rFonts w:ascii="Verdana" w:hAnsi="Verdana"/>
          <w:sz w:val="16"/>
          <w:szCs w:val="16"/>
        </w:rPr>
      </w:pPr>
      <w:r w:rsidRPr="00916DF1">
        <w:rPr>
          <w:rStyle w:val="Refdenotaalpie"/>
          <w:rFonts w:ascii="Verdana" w:hAnsi="Verdana"/>
        </w:rPr>
        <w:footnoteRef/>
      </w:r>
      <w:r w:rsidRPr="00916DF1">
        <w:rPr>
          <w:rFonts w:ascii="Verdana" w:hAnsi="Verdana"/>
          <w:sz w:val="16"/>
          <w:szCs w:val="16"/>
        </w:rPr>
        <w:t xml:space="preserve"> Artículo 17 de la Ley 1150 de 2007</w:t>
      </w:r>
    </w:p>
    <w:p w14:paraId="29BE5988" w14:textId="77777777" w:rsidR="00254E58" w:rsidRPr="00916DF1" w:rsidRDefault="00254E58" w:rsidP="00254E58">
      <w:pPr>
        <w:pStyle w:val="Textonotapie"/>
        <w:ind w:firstLine="708"/>
        <w:jc w:val="both"/>
        <w:rPr>
          <w:rFonts w:ascii="Verdana" w:hAnsi="Verdana"/>
          <w:sz w:val="16"/>
          <w:szCs w:val="16"/>
          <w:lang w:val="es-CO"/>
        </w:rPr>
      </w:pPr>
    </w:p>
  </w:footnote>
  <w:footnote w:id="3">
    <w:p w14:paraId="067D860F" w14:textId="77777777" w:rsidR="00254E58" w:rsidRPr="00916DF1" w:rsidRDefault="00254E58" w:rsidP="00254E58">
      <w:pPr>
        <w:pStyle w:val="Textonotapie"/>
        <w:ind w:firstLine="708"/>
        <w:jc w:val="both"/>
        <w:rPr>
          <w:rFonts w:ascii="Verdana" w:hAnsi="Verdana"/>
          <w:sz w:val="16"/>
          <w:szCs w:val="16"/>
        </w:rPr>
      </w:pPr>
      <w:r w:rsidRPr="00916DF1">
        <w:rPr>
          <w:rStyle w:val="Refdenotaalpie"/>
          <w:rFonts w:ascii="Verdana" w:hAnsi="Verdana"/>
        </w:rPr>
        <w:footnoteRef/>
      </w:r>
      <w:r w:rsidRPr="00916DF1">
        <w:rPr>
          <w:rFonts w:ascii="Verdana" w:hAnsi="Verdana"/>
          <w:sz w:val="16"/>
          <w:szCs w:val="16"/>
        </w:rPr>
        <w:t xml:space="preserve"> Artículo 21 de la Ley 1150 de 2007</w:t>
      </w:r>
    </w:p>
    <w:p w14:paraId="188CA426" w14:textId="77777777" w:rsidR="00254E58" w:rsidRPr="00916DF1" w:rsidRDefault="00254E58" w:rsidP="00254E58">
      <w:pPr>
        <w:pStyle w:val="Textonotapie"/>
        <w:ind w:firstLine="708"/>
        <w:jc w:val="both"/>
        <w:rPr>
          <w:rFonts w:ascii="Verdana" w:hAnsi="Verdana"/>
          <w:sz w:val="16"/>
          <w:szCs w:val="16"/>
          <w:lang w:val="es-CO"/>
        </w:rPr>
      </w:pPr>
    </w:p>
  </w:footnote>
  <w:footnote w:id="4">
    <w:p w14:paraId="66821035" w14:textId="77777777" w:rsidR="00254E58" w:rsidRPr="00916DF1" w:rsidRDefault="00254E58" w:rsidP="00254E58">
      <w:pPr>
        <w:pStyle w:val="Textonotapie"/>
        <w:ind w:firstLine="708"/>
        <w:jc w:val="both"/>
        <w:rPr>
          <w:rFonts w:ascii="Verdana" w:hAnsi="Verdana"/>
          <w:sz w:val="16"/>
          <w:szCs w:val="16"/>
        </w:rPr>
      </w:pPr>
      <w:r w:rsidRPr="00916DF1">
        <w:rPr>
          <w:rStyle w:val="Refdenotaalpie"/>
          <w:rFonts w:ascii="Verdana" w:hAnsi="Verdana"/>
        </w:rPr>
        <w:footnoteRef/>
      </w:r>
      <w:r w:rsidRPr="00916DF1">
        <w:rPr>
          <w:rFonts w:ascii="Verdana" w:hAnsi="Verdana"/>
          <w:sz w:val="16"/>
          <w:szCs w:val="16"/>
        </w:rPr>
        <w:t xml:space="preserve"> Artículos 83 a 86 de la Ley 1474 de 2011</w:t>
      </w:r>
    </w:p>
    <w:p w14:paraId="26B4A942" w14:textId="77777777" w:rsidR="00254E58" w:rsidRPr="00916DF1" w:rsidRDefault="00254E58" w:rsidP="00254E58">
      <w:pPr>
        <w:pStyle w:val="Textonotapie"/>
        <w:ind w:firstLine="708"/>
        <w:jc w:val="both"/>
        <w:rPr>
          <w:rFonts w:ascii="Verdana" w:hAnsi="Verdana"/>
          <w:sz w:val="16"/>
          <w:szCs w:val="16"/>
          <w:lang w:val="es-CO"/>
        </w:rPr>
      </w:pPr>
    </w:p>
  </w:footnote>
  <w:footnote w:id="5">
    <w:p w14:paraId="7BCE00F2" w14:textId="77777777" w:rsidR="00254E58" w:rsidRPr="00916DF1" w:rsidRDefault="00254E58" w:rsidP="00254E58">
      <w:pPr>
        <w:pStyle w:val="Textonotapie"/>
        <w:ind w:firstLine="708"/>
        <w:jc w:val="both"/>
        <w:rPr>
          <w:rFonts w:ascii="Verdana" w:hAnsi="Verdana"/>
          <w:sz w:val="16"/>
          <w:szCs w:val="16"/>
        </w:rPr>
      </w:pPr>
      <w:r w:rsidRPr="00916DF1">
        <w:rPr>
          <w:rStyle w:val="Refdenotaalpie"/>
          <w:rFonts w:ascii="Verdana" w:hAnsi="Verdana"/>
        </w:rPr>
        <w:footnoteRef/>
      </w:r>
      <w:r w:rsidRPr="00916DF1">
        <w:rPr>
          <w:rFonts w:ascii="Verdana" w:hAnsi="Verdana"/>
          <w:sz w:val="16"/>
          <w:szCs w:val="16"/>
        </w:rPr>
        <w:t xml:space="preserve"> Consejo de Estado. Sección 3ª. Sentencia del 27 de noviembre de 2017. M.P. Jaime Orlando</w:t>
      </w:r>
    </w:p>
    <w:p w14:paraId="2907380E" w14:textId="77777777" w:rsidR="00254E58" w:rsidRPr="00916DF1" w:rsidRDefault="00254E58" w:rsidP="00254E58">
      <w:pPr>
        <w:pStyle w:val="Textonotapie"/>
        <w:jc w:val="both"/>
        <w:rPr>
          <w:rFonts w:ascii="Verdana" w:hAnsi="Verdana"/>
          <w:sz w:val="16"/>
          <w:szCs w:val="16"/>
        </w:rPr>
      </w:pPr>
      <w:r w:rsidRPr="00916DF1">
        <w:rPr>
          <w:rFonts w:ascii="Verdana" w:hAnsi="Verdana"/>
          <w:sz w:val="16"/>
          <w:szCs w:val="16"/>
        </w:rPr>
        <w:t>Santofimio. Exp. 51.802</w:t>
      </w:r>
    </w:p>
    <w:p w14:paraId="14FE398B" w14:textId="77777777" w:rsidR="00254E58" w:rsidRPr="00916DF1" w:rsidRDefault="00254E58" w:rsidP="00254E58">
      <w:pPr>
        <w:pStyle w:val="Textonotapie"/>
        <w:jc w:val="both"/>
        <w:rPr>
          <w:rFonts w:ascii="Verdana" w:hAnsi="Verdana"/>
          <w:sz w:val="16"/>
          <w:szCs w:val="16"/>
          <w:lang w:val="es-CO"/>
        </w:rPr>
      </w:pPr>
    </w:p>
  </w:footnote>
  <w:footnote w:id="6">
    <w:p w14:paraId="2D9CFB4F" w14:textId="48B19BEA" w:rsidR="00E53A87" w:rsidRDefault="00E53A87" w:rsidP="007B1966">
      <w:pPr>
        <w:pStyle w:val="Textonotapie"/>
        <w:ind w:firstLine="708"/>
      </w:pPr>
      <w:r>
        <w:rPr>
          <w:rStyle w:val="Refdenotaalpie"/>
        </w:rPr>
        <w:footnoteRef/>
      </w:r>
      <w:r>
        <w:t xml:space="preserve"> Co</w:t>
      </w:r>
      <w:r w:rsidR="006322D8">
        <w:t xml:space="preserve">nsultar en el siguiente enlace: </w:t>
      </w:r>
      <w:hyperlink r:id="rId1" w:history="1">
        <w:r w:rsidR="006322D8" w:rsidRPr="00FD01C6">
          <w:rPr>
            <w:rStyle w:val="Hipervnculo"/>
            <w:rFonts w:ascii="Verdana" w:hAnsi="Verdana"/>
            <w:sz w:val="16"/>
            <w:szCs w:val="16"/>
          </w:rPr>
          <w:t>https://www.colombiacompra.gov.co/sites/cce_public/files/cce_documents/cce_guia_para_el_ejercicio_de_las_funciones_de_supervision_e_interventoria_de_los_contratos_del_estado.pdf</w:t>
        </w:r>
      </w:hyperlink>
      <w:r>
        <w:rPr>
          <w:rFonts w:ascii="Verdana" w:hAnsi="Verdana"/>
        </w:rPr>
        <w:t xml:space="preserve"> </w:t>
      </w:r>
    </w:p>
  </w:footnote>
  <w:footnote w:id="7">
    <w:p w14:paraId="20EFB3E0" w14:textId="3DDA7BAC" w:rsidR="007B1966" w:rsidRDefault="007B1966" w:rsidP="007B1966">
      <w:pPr>
        <w:pStyle w:val="Textonotapie"/>
        <w:ind w:firstLine="708"/>
      </w:pPr>
      <w:r>
        <w:rPr>
          <w:rStyle w:val="Refdenotaalpie"/>
        </w:rPr>
        <w:footnoteRef/>
      </w:r>
      <w:r>
        <w:t xml:space="preserve"> </w:t>
      </w:r>
      <w:r w:rsidR="009764D6">
        <w:t xml:space="preserve">Consultar enlace: </w:t>
      </w:r>
      <w:r w:rsidR="009764D6" w:rsidRPr="009764D6">
        <w:t>https://www.minhacienda.gov.co/documents/d/portal/guages-1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4.4pt;height:14.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623733C"/>
    <w:multiLevelType w:val="hybridMultilevel"/>
    <w:tmpl w:val="464088F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E9167C"/>
    <w:multiLevelType w:val="hybridMultilevel"/>
    <w:tmpl w:val="96FA861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6255923"/>
    <w:multiLevelType w:val="hybridMultilevel"/>
    <w:tmpl w:val="CD60748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5105797">
    <w:abstractNumId w:val="8"/>
  </w:num>
  <w:num w:numId="2" w16cid:durableId="1600916796">
    <w:abstractNumId w:val="2"/>
  </w:num>
  <w:num w:numId="3" w16cid:durableId="956302982">
    <w:abstractNumId w:val="5"/>
  </w:num>
  <w:num w:numId="4" w16cid:durableId="462382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1616311">
    <w:abstractNumId w:val="2"/>
  </w:num>
  <w:num w:numId="6" w16cid:durableId="1243183257">
    <w:abstractNumId w:val="16"/>
  </w:num>
  <w:num w:numId="7" w16cid:durableId="16392700">
    <w:abstractNumId w:val="7"/>
  </w:num>
  <w:num w:numId="8" w16cid:durableId="60913077">
    <w:abstractNumId w:val="15"/>
  </w:num>
  <w:num w:numId="9" w16cid:durableId="434718854">
    <w:abstractNumId w:val="9"/>
  </w:num>
  <w:num w:numId="10" w16cid:durableId="805976791">
    <w:abstractNumId w:val="14"/>
  </w:num>
  <w:num w:numId="11" w16cid:durableId="1316060426">
    <w:abstractNumId w:val="10"/>
  </w:num>
  <w:num w:numId="12" w16cid:durableId="1291474277">
    <w:abstractNumId w:val="1"/>
  </w:num>
  <w:num w:numId="13" w16cid:durableId="413010212">
    <w:abstractNumId w:val="4"/>
  </w:num>
  <w:num w:numId="14" w16cid:durableId="1541091092">
    <w:abstractNumId w:val="17"/>
  </w:num>
  <w:num w:numId="15" w16cid:durableId="1739209608">
    <w:abstractNumId w:val="12"/>
  </w:num>
  <w:num w:numId="16" w16cid:durableId="12622961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840901">
    <w:abstractNumId w:val="0"/>
  </w:num>
  <w:num w:numId="18" w16cid:durableId="577907796">
    <w:abstractNumId w:val="18"/>
  </w:num>
  <w:num w:numId="19" w16cid:durableId="1968273588">
    <w:abstractNumId w:val="6"/>
  </w:num>
  <w:num w:numId="20" w16cid:durableId="969630642">
    <w:abstractNumId w:val="19"/>
  </w:num>
  <w:num w:numId="21" w16cid:durableId="1028411621">
    <w:abstractNumId w:val="3"/>
  </w:num>
  <w:num w:numId="22" w16cid:durableId="1347293730">
    <w:abstractNumId w:val="13"/>
  </w:num>
  <w:num w:numId="23" w16cid:durableId="458652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1457"/>
    <w:rsid w:val="00022BF3"/>
    <w:rsid w:val="00035559"/>
    <w:rsid w:val="000405CA"/>
    <w:rsid w:val="00042EE5"/>
    <w:rsid w:val="0004500B"/>
    <w:rsid w:val="00046945"/>
    <w:rsid w:val="00053B6E"/>
    <w:rsid w:val="000558F3"/>
    <w:rsid w:val="00057503"/>
    <w:rsid w:val="00061B2A"/>
    <w:rsid w:val="00063491"/>
    <w:rsid w:val="00075D75"/>
    <w:rsid w:val="0008217F"/>
    <w:rsid w:val="00082362"/>
    <w:rsid w:val="00092750"/>
    <w:rsid w:val="000A683E"/>
    <w:rsid w:val="000B19B9"/>
    <w:rsid w:val="000B22C0"/>
    <w:rsid w:val="000D0334"/>
    <w:rsid w:val="000D0A06"/>
    <w:rsid w:val="000E4FCA"/>
    <w:rsid w:val="000F060A"/>
    <w:rsid w:val="000F255C"/>
    <w:rsid w:val="000F6486"/>
    <w:rsid w:val="000F79C0"/>
    <w:rsid w:val="00104DD4"/>
    <w:rsid w:val="00117081"/>
    <w:rsid w:val="001219FA"/>
    <w:rsid w:val="00125105"/>
    <w:rsid w:val="00127233"/>
    <w:rsid w:val="00137BB4"/>
    <w:rsid w:val="001511A0"/>
    <w:rsid w:val="00167C86"/>
    <w:rsid w:val="0018367E"/>
    <w:rsid w:val="001D74C1"/>
    <w:rsid w:val="001E4177"/>
    <w:rsid w:val="001F4059"/>
    <w:rsid w:val="001F7DC6"/>
    <w:rsid w:val="00235F2B"/>
    <w:rsid w:val="002421BB"/>
    <w:rsid w:val="00254E58"/>
    <w:rsid w:val="00256A56"/>
    <w:rsid w:val="0025796E"/>
    <w:rsid w:val="00262A60"/>
    <w:rsid w:val="002707A2"/>
    <w:rsid w:val="0027474E"/>
    <w:rsid w:val="002951A0"/>
    <w:rsid w:val="002962BC"/>
    <w:rsid w:val="002A093D"/>
    <w:rsid w:val="002A0DD0"/>
    <w:rsid w:val="002A49AC"/>
    <w:rsid w:val="002A64FD"/>
    <w:rsid w:val="002B5FA9"/>
    <w:rsid w:val="002C7A84"/>
    <w:rsid w:val="002E4FD9"/>
    <w:rsid w:val="002F793C"/>
    <w:rsid w:val="00322A85"/>
    <w:rsid w:val="00324168"/>
    <w:rsid w:val="0032563E"/>
    <w:rsid w:val="00337C74"/>
    <w:rsid w:val="003448F4"/>
    <w:rsid w:val="00345F2F"/>
    <w:rsid w:val="00352188"/>
    <w:rsid w:val="00357BD3"/>
    <w:rsid w:val="00374F5E"/>
    <w:rsid w:val="00377E3E"/>
    <w:rsid w:val="00394C25"/>
    <w:rsid w:val="003A779E"/>
    <w:rsid w:val="003C300D"/>
    <w:rsid w:val="003D0F4D"/>
    <w:rsid w:val="003D5B0D"/>
    <w:rsid w:val="003E0499"/>
    <w:rsid w:val="003F3941"/>
    <w:rsid w:val="00406575"/>
    <w:rsid w:val="00414C74"/>
    <w:rsid w:val="0042722E"/>
    <w:rsid w:val="004308E4"/>
    <w:rsid w:val="0044528D"/>
    <w:rsid w:val="00464FA0"/>
    <w:rsid w:val="0047448A"/>
    <w:rsid w:val="00485565"/>
    <w:rsid w:val="00495983"/>
    <w:rsid w:val="004A1847"/>
    <w:rsid w:val="004A305D"/>
    <w:rsid w:val="004D0B26"/>
    <w:rsid w:val="004D78D5"/>
    <w:rsid w:val="004E7049"/>
    <w:rsid w:val="004F21C4"/>
    <w:rsid w:val="004F685F"/>
    <w:rsid w:val="00510A2E"/>
    <w:rsid w:val="00511BBA"/>
    <w:rsid w:val="00524D7E"/>
    <w:rsid w:val="005566E8"/>
    <w:rsid w:val="00560971"/>
    <w:rsid w:val="00574867"/>
    <w:rsid w:val="0058085F"/>
    <w:rsid w:val="00581B0C"/>
    <w:rsid w:val="00591460"/>
    <w:rsid w:val="005A0055"/>
    <w:rsid w:val="005A0F45"/>
    <w:rsid w:val="005B3816"/>
    <w:rsid w:val="005C3777"/>
    <w:rsid w:val="005C5CDC"/>
    <w:rsid w:val="005D476C"/>
    <w:rsid w:val="00602E78"/>
    <w:rsid w:val="006219F8"/>
    <w:rsid w:val="006322D8"/>
    <w:rsid w:val="00636F20"/>
    <w:rsid w:val="00641469"/>
    <w:rsid w:val="0065331D"/>
    <w:rsid w:val="00665D70"/>
    <w:rsid w:val="00670BB1"/>
    <w:rsid w:val="00683C9F"/>
    <w:rsid w:val="006900D9"/>
    <w:rsid w:val="0069220F"/>
    <w:rsid w:val="006D6515"/>
    <w:rsid w:val="006E4E24"/>
    <w:rsid w:val="006F1E63"/>
    <w:rsid w:val="00706C16"/>
    <w:rsid w:val="007166CD"/>
    <w:rsid w:val="00736A5D"/>
    <w:rsid w:val="0074175C"/>
    <w:rsid w:val="00747737"/>
    <w:rsid w:val="00756841"/>
    <w:rsid w:val="007649AB"/>
    <w:rsid w:val="00771D0C"/>
    <w:rsid w:val="00777171"/>
    <w:rsid w:val="00777805"/>
    <w:rsid w:val="0078270C"/>
    <w:rsid w:val="007833AC"/>
    <w:rsid w:val="00786C9F"/>
    <w:rsid w:val="00797125"/>
    <w:rsid w:val="007B1966"/>
    <w:rsid w:val="007B268C"/>
    <w:rsid w:val="007B7171"/>
    <w:rsid w:val="007C0C0F"/>
    <w:rsid w:val="007C3DC2"/>
    <w:rsid w:val="007D7B7C"/>
    <w:rsid w:val="007E5497"/>
    <w:rsid w:val="007E79BB"/>
    <w:rsid w:val="007F4D12"/>
    <w:rsid w:val="008068BB"/>
    <w:rsid w:val="00806F5F"/>
    <w:rsid w:val="00820278"/>
    <w:rsid w:val="008217F4"/>
    <w:rsid w:val="00822E6B"/>
    <w:rsid w:val="00852FAA"/>
    <w:rsid w:val="00867F95"/>
    <w:rsid w:val="008843B6"/>
    <w:rsid w:val="00891928"/>
    <w:rsid w:val="0089510B"/>
    <w:rsid w:val="0089741A"/>
    <w:rsid w:val="008A3CAC"/>
    <w:rsid w:val="008A446D"/>
    <w:rsid w:val="008B183F"/>
    <w:rsid w:val="008C1091"/>
    <w:rsid w:val="008D180B"/>
    <w:rsid w:val="008F07AD"/>
    <w:rsid w:val="008F0EA7"/>
    <w:rsid w:val="008F2B19"/>
    <w:rsid w:val="0091594C"/>
    <w:rsid w:val="00923EEF"/>
    <w:rsid w:val="009263AA"/>
    <w:rsid w:val="009419F9"/>
    <w:rsid w:val="00951D7A"/>
    <w:rsid w:val="0095685E"/>
    <w:rsid w:val="00961B09"/>
    <w:rsid w:val="00965334"/>
    <w:rsid w:val="0097093E"/>
    <w:rsid w:val="009764D6"/>
    <w:rsid w:val="00986AC5"/>
    <w:rsid w:val="009A0DFA"/>
    <w:rsid w:val="009A3E3E"/>
    <w:rsid w:val="009A41CC"/>
    <w:rsid w:val="009B2D26"/>
    <w:rsid w:val="009B587F"/>
    <w:rsid w:val="009B73FF"/>
    <w:rsid w:val="009C71FA"/>
    <w:rsid w:val="009C72E7"/>
    <w:rsid w:val="009D3058"/>
    <w:rsid w:val="009D3F08"/>
    <w:rsid w:val="009E7548"/>
    <w:rsid w:val="009F3A13"/>
    <w:rsid w:val="009F7F06"/>
    <w:rsid w:val="009F7F46"/>
    <w:rsid w:val="00A122D3"/>
    <w:rsid w:val="00A17F13"/>
    <w:rsid w:val="00A20739"/>
    <w:rsid w:val="00A3098B"/>
    <w:rsid w:val="00A33C78"/>
    <w:rsid w:val="00A86673"/>
    <w:rsid w:val="00AB0ADB"/>
    <w:rsid w:val="00AB1CF2"/>
    <w:rsid w:val="00AB26E7"/>
    <w:rsid w:val="00B0165F"/>
    <w:rsid w:val="00B01B1A"/>
    <w:rsid w:val="00B12FA9"/>
    <w:rsid w:val="00B2196F"/>
    <w:rsid w:val="00B557E8"/>
    <w:rsid w:val="00B66319"/>
    <w:rsid w:val="00B71EAF"/>
    <w:rsid w:val="00B72CD3"/>
    <w:rsid w:val="00B72FFF"/>
    <w:rsid w:val="00B804F2"/>
    <w:rsid w:val="00BA61C1"/>
    <w:rsid w:val="00BA6BA7"/>
    <w:rsid w:val="00BB3AEC"/>
    <w:rsid w:val="00BB7FAE"/>
    <w:rsid w:val="00BC224C"/>
    <w:rsid w:val="00BC3D36"/>
    <w:rsid w:val="00BD6B15"/>
    <w:rsid w:val="00BD7F72"/>
    <w:rsid w:val="00BF24DA"/>
    <w:rsid w:val="00BF4763"/>
    <w:rsid w:val="00C00F8D"/>
    <w:rsid w:val="00C04FB3"/>
    <w:rsid w:val="00C14212"/>
    <w:rsid w:val="00C330EB"/>
    <w:rsid w:val="00C359D6"/>
    <w:rsid w:val="00C41061"/>
    <w:rsid w:val="00C754BE"/>
    <w:rsid w:val="00C76B1C"/>
    <w:rsid w:val="00C83E9D"/>
    <w:rsid w:val="00CB6357"/>
    <w:rsid w:val="00CC1B26"/>
    <w:rsid w:val="00CC36BC"/>
    <w:rsid w:val="00CF4339"/>
    <w:rsid w:val="00D213FA"/>
    <w:rsid w:val="00D22D5A"/>
    <w:rsid w:val="00D23116"/>
    <w:rsid w:val="00D423A2"/>
    <w:rsid w:val="00D4401E"/>
    <w:rsid w:val="00D520D8"/>
    <w:rsid w:val="00D60B46"/>
    <w:rsid w:val="00D63AC2"/>
    <w:rsid w:val="00D7383B"/>
    <w:rsid w:val="00D74C68"/>
    <w:rsid w:val="00D81222"/>
    <w:rsid w:val="00DA231B"/>
    <w:rsid w:val="00DC39FC"/>
    <w:rsid w:val="00DF1324"/>
    <w:rsid w:val="00DF5254"/>
    <w:rsid w:val="00E16408"/>
    <w:rsid w:val="00E20894"/>
    <w:rsid w:val="00E213F9"/>
    <w:rsid w:val="00E245AB"/>
    <w:rsid w:val="00E2764C"/>
    <w:rsid w:val="00E27F2E"/>
    <w:rsid w:val="00E43253"/>
    <w:rsid w:val="00E4668A"/>
    <w:rsid w:val="00E50AFE"/>
    <w:rsid w:val="00E53A87"/>
    <w:rsid w:val="00E75C92"/>
    <w:rsid w:val="00E771DC"/>
    <w:rsid w:val="00E8772A"/>
    <w:rsid w:val="00E90F6B"/>
    <w:rsid w:val="00E92C27"/>
    <w:rsid w:val="00EA0E3D"/>
    <w:rsid w:val="00EA488D"/>
    <w:rsid w:val="00EC38A7"/>
    <w:rsid w:val="00ED48D9"/>
    <w:rsid w:val="00ED6B89"/>
    <w:rsid w:val="00ED7384"/>
    <w:rsid w:val="00EE1AA8"/>
    <w:rsid w:val="00F176D2"/>
    <w:rsid w:val="00F2273B"/>
    <w:rsid w:val="00F31EDC"/>
    <w:rsid w:val="00F462B3"/>
    <w:rsid w:val="00F5664F"/>
    <w:rsid w:val="00F666C4"/>
    <w:rsid w:val="00F76AFC"/>
    <w:rsid w:val="00F84389"/>
    <w:rsid w:val="00F87CAA"/>
    <w:rsid w:val="00F97A64"/>
    <w:rsid w:val="00FA1B3E"/>
    <w:rsid w:val="00FA47C0"/>
    <w:rsid w:val="00FB5DD1"/>
    <w:rsid w:val="00FC2B5D"/>
    <w:rsid w:val="00FF1449"/>
    <w:rsid w:val="14C132F2"/>
    <w:rsid w:val="660D74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A1B3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A1B3E"/>
    <w:rPr>
      <w:rFonts w:ascii="Geomanist Light" w:hAnsi="Geomanist Light"/>
      <w:lang w:val="es-ES"/>
    </w:rPr>
  </w:style>
  <w:style w:type="paragraph" w:styleId="Sangra3detindependiente">
    <w:name w:val="Body Text Indent 3"/>
    <w:basedOn w:val="Normal"/>
    <w:link w:val="Sangra3detindependienteCar"/>
    <w:uiPriority w:val="99"/>
    <w:unhideWhenUsed/>
    <w:rsid w:val="00FA1B3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A1B3E"/>
    <w:rPr>
      <w:sz w:val="16"/>
      <w:szCs w:val="16"/>
    </w:rPr>
  </w:style>
  <w:style w:type="character" w:styleId="Refdecomentario">
    <w:name w:val="annotation reference"/>
    <w:basedOn w:val="Fuentedeprrafopredeter"/>
    <w:uiPriority w:val="99"/>
    <w:semiHidden/>
    <w:unhideWhenUsed/>
    <w:rsid w:val="003C300D"/>
    <w:rPr>
      <w:sz w:val="16"/>
      <w:szCs w:val="16"/>
    </w:rPr>
  </w:style>
  <w:style w:type="paragraph" w:styleId="Textocomentario">
    <w:name w:val="annotation text"/>
    <w:basedOn w:val="Normal"/>
    <w:link w:val="TextocomentarioCar"/>
    <w:uiPriority w:val="99"/>
    <w:unhideWhenUsed/>
    <w:rsid w:val="003C300D"/>
    <w:pPr>
      <w:spacing w:line="240" w:lineRule="auto"/>
    </w:pPr>
    <w:rPr>
      <w:sz w:val="20"/>
      <w:szCs w:val="20"/>
    </w:rPr>
  </w:style>
  <w:style w:type="character" w:customStyle="1" w:styleId="TextocomentarioCar">
    <w:name w:val="Texto comentario Car"/>
    <w:basedOn w:val="Fuentedeprrafopredeter"/>
    <w:link w:val="Textocomentario"/>
    <w:uiPriority w:val="99"/>
    <w:rsid w:val="003C300D"/>
    <w:rPr>
      <w:sz w:val="20"/>
      <w:szCs w:val="20"/>
    </w:rPr>
  </w:style>
  <w:style w:type="paragraph" w:styleId="Asuntodelcomentario">
    <w:name w:val="annotation subject"/>
    <w:basedOn w:val="Textocomentario"/>
    <w:next w:val="Textocomentario"/>
    <w:link w:val="AsuntodelcomentarioCar"/>
    <w:uiPriority w:val="99"/>
    <w:semiHidden/>
    <w:unhideWhenUsed/>
    <w:rsid w:val="003C300D"/>
    <w:rPr>
      <w:b/>
      <w:bCs/>
    </w:rPr>
  </w:style>
  <w:style w:type="character" w:customStyle="1" w:styleId="AsuntodelcomentarioCar">
    <w:name w:val="Asunto del comentario Car"/>
    <w:basedOn w:val="TextocomentarioCar"/>
    <w:link w:val="Asuntodelcomentario"/>
    <w:uiPriority w:val="99"/>
    <w:semiHidden/>
    <w:rsid w:val="003C3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7827545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07273440">
      <w:bodyDiv w:val="1"/>
      <w:marLeft w:val="0"/>
      <w:marRight w:val="0"/>
      <w:marTop w:val="0"/>
      <w:marBottom w:val="0"/>
      <w:divBdr>
        <w:top w:val="none" w:sz="0" w:space="0" w:color="auto"/>
        <w:left w:val="none" w:sz="0" w:space="0" w:color="auto"/>
        <w:bottom w:val="none" w:sz="0" w:space="0" w:color="auto"/>
        <w:right w:val="none" w:sz="0" w:space="0" w:color="auto"/>
      </w:divBdr>
      <w:divsChild>
        <w:div w:id="1488741007">
          <w:marLeft w:val="0"/>
          <w:marRight w:val="0"/>
          <w:marTop w:val="0"/>
          <w:marBottom w:val="160"/>
          <w:divBdr>
            <w:top w:val="none" w:sz="0" w:space="0" w:color="auto"/>
            <w:left w:val="none" w:sz="0" w:space="0" w:color="auto"/>
            <w:bottom w:val="none" w:sz="0" w:space="0" w:color="auto"/>
            <w:right w:val="none" w:sz="0" w:space="0" w:color="auto"/>
          </w:divBdr>
        </w:div>
        <w:div w:id="897472283">
          <w:marLeft w:val="0"/>
          <w:marRight w:val="0"/>
          <w:marTop w:val="0"/>
          <w:marBottom w:val="160"/>
          <w:divBdr>
            <w:top w:val="none" w:sz="0" w:space="0" w:color="auto"/>
            <w:left w:val="none" w:sz="0" w:space="0" w:color="auto"/>
            <w:bottom w:val="none" w:sz="0" w:space="0" w:color="auto"/>
            <w:right w:val="none" w:sz="0" w:space="0" w:color="auto"/>
          </w:divBdr>
        </w:div>
        <w:div w:id="1258445058">
          <w:marLeft w:val="0"/>
          <w:marRight w:val="0"/>
          <w:marTop w:val="0"/>
          <w:marBottom w:val="160"/>
          <w:divBdr>
            <w:top w:val="none" w:sz="0" w:space="0" w:color="auto"/>
            <w:left w:val="none" w:sz="0" w:space="0" w:color="auto"/>
            <w:bottom w:val="none" w:sz="0" w:space="0" w:color="auto"/>
            <w:right w:val="none" w:sz="0" w:space="0" w:color="auto"/>
          </w:divBdr>
        </w:div>
      </w:divsChild>
    </w:div>
    <w:div w:id="1433476742">
      <w:bodyDiv w:val="1"/>
      <w:marLeft w:val="0"/>
      <w:marRight w:val="0"/>
      <w:marTop w:val="0"/>
      <w:marBottom w:val="0"/>
      <w:divBdr>
        <w:top w:val="none" w:sz="0" w:space="0" w:color="auto"/>
        <w:left w:val="none" w:sz="0" w:space="0" w:color="auto"/>
        <w:bottom w:val="none" w:sz="0" w:space="0" w:color="auto"/>
        <w:right w:val="none" w:sz="0" w:space="0" w:color="auto"/>
      </w:divBdr>
      <w:divsChild>
        <w:div w:id="23136541">
          <w:marLeft w:val="0"/>
          <w:marRight w:val="0"/>
          <w:marTop w:val="0"/>
          <w:marBottom w:val="160"/>
          <w:divBdr>
            <w:top w:val="none" w:sz="0" w:space="0" w:color="auto"/>
            <w:left w:val="none" w:sz="0" w:space="0" w:color="auto"/>
            <w:bottom w:val="none" w:sz="0" w:space="0" w:color="auto"/>
            <w:right w:val="none" w:sz="0" w:space="0" w:color="auto"/>
          </w:divBdr>
        </w:div>
        <w:div w:id="407927828">
          <w:marLeft w:val="0"/>
          <w:marRight w:val="0"/>
          <w:marTop w:val="0"/>
          <w:marBottom w:val="160"/>
          <w:divBdr>
            <w:top w:val="none" w:sz="0" w:space="0" w:color="auto"/>
            <w:left w:val="none" w:sz="0" w:space="0" w:color="auto"/>
            <w:bottom w:val="none" w:sz="0" w:space="0" w:color="auto"/>
            <w:right w:val="none" w:sz="0" w:space="0" w:color="auto"/>
          </w:divBdr>
        </w:div>
        <w:div w:id="1111389765">
          <w:marLeft w:val="0"/>
          <w:marRight w:val="0"/>
          <w:marTop w:val="0"/>
          <w:marBottom w:val="16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 w:id="21427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nam02.safelinks.protection.outlook.com/?url=https%3A%2F%2Fwww.colombiacompra.gov.co%2Fmanuales-guias-y-pliegos-tipo%2Fmanuales-y-guias%2Fguia-para-incentivar-la-participacion-de-las-mujeres&amp;data=05%7C02%7Cgustavo.hinestroza%40colombiacompra.gov.co%7C925ae1c2336243aecb2908dd21173dd2%7C7b09041e245149d08cb179d5e3d8c1be%7C0%7C0%7C638703105895668010%7CUnknown%7CTWFpbGZsb3d8eyJFbXB0eU1hcGkiOnRydWUsIlYiOiIwLjAuMDAwMCIsIlAiOiJXaW4zMiIsIkFOIjoiTWFpbCIsIldUIjoyfQ%3D%3D%7C0%7C%7C%7C&amp;sdata=0f4d78v6VJ1IXxqLThcq%2FlxR2wq3eTWVsv2KbIcQngs%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nam02.safelinks.protection.outlook.com/?url=https%3A%2F%2Fwww.colombiacompra.gov.co%2Fmanuales-guias-y-pliegos-tipo%2Fmanuales-y-guias%2Fguia-para-el-manejo-de-ofertas-artificialmente-baja-0&amp;data=05%7C02%7Cgustavo.hinestroza%40colombiacompra.gov.co%7C925ae1c2336243aecb2908dd21173dd2%7C7b09041e245149d08cb179d5e3d8c1be%7C0%7C0%7C638703105895649917%7CUnknown%7CTWFpbGZsb3d8eyJFbXB0eU1hcGkiOnRydWUsIlYiOiIwLjAuMDAwMCIsIlAiOiJXaW4zMiIsIkFOIjoiTWFpbCIsIldUIjoyfQ%3D%3D%7C0%7C%7C%7C&amp;sdata=aCHNKZmatPg0DNzB9%2BYJBqyXdE0IGsfNrb2GvYoS1%2Bc%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viii.pdf&amp;data=05%7C02%7Cgustavo.hinestroza%40colombiacompra.gov.co%7C925ae1c2336243aecb2908dd21173dd2%7C7b09041e245149d08cb179d5e3d8c1be%7C0%7C0%7C638703105895683050%7CUnknown%7CTWFpbGZsb3d8eyJFbXB0eU1hcGkiOnRydWUsIlYiOiIwLjAuMDAwMCIsIlAiOiJXaW4zMiIsIkFOIjoiTWFpbCIsIldUIjoyfQ%3D%3D%7C0%7C%7C%7C&amp;sdata=AkSysLBUbyJVOHukYsdYUloHfIjPUYVdTaowUI%2Fvx5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882-de-2018/"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2DE82A9-408D-46AE-BBBE-F0AB2466AE60}">
  <ds:schemaRefs>
    <ds:schemaRef ds:uri="http://schemas.openxmlformats.org/officeDocument/2006/bibliography"/>
  </ds:schemaRefs>
</ds:datastoreItem>
</file>

<file path=customXml/itemProps3.xml><?xml version="1.0" encoding="utf-8"?>
<ds:datastoreItem xmlns:ds="http://schemas.openxmlformats.org/officeDocument/2006/customXml" ds:itemID="{575F9B3C-E266-475E-8431-CF7B56E01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15615</Characters>
  <Application>Microsoft Office Word</Application>
  <DocSecurity>0</DocSecurity>
  <Lines>130</Lines>
  <Paragraphs>36</Paragraphs>
  <ScaleCrop>false</ScaleCrop>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7</cp:revision>
  <cp:lastPrinted>2023-01-10T21:18:00Z</cp:lastPrinted>
  <dcterms:created xsi:type="dcterms:W3CDTF">2024-12-26T17:22:00Z</dcterms:created>
  <dcterms:modified xsi:type="dcterms:W3CDTF">2024-12-26T21:35:00Z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