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DA366" w14:textId="77777777" w:rsidR="00571386" w:rsidRPr="00DB6EFB" w:rsidRDefault="00571386" w:rsidP="00571386">
      <w:pPr>
        <w:spacing w:before="120" w:after="120" w:line="276" w:lineRule="auto"/>
        <w:jc w:val="both"/>
        <w:rPr>
          <w:rFonts w:ascii="Verdana" w:eastAsia="Arial" w:hAnsi="Verdana" w:cs="Arial"/>
          <w:b/>
          <w:bCs/>
          <w:lang w:val="es-MX"/>
        </w:rPr>
      </w:pPr>
      <w:r w:rsidRPr="00DB6EFB">
        <w:rPr>
          <w:rFonts w:ascii="Verdana" w:eastAsia="Arial" w:hAnsi="Verdana" w:cs="Arial"/>
          <w:b/>
          <w:bCs/>
          <w:lang w:val="es-MX"/>
        </w:rPr>
        <w:t>PRINCIPIO DE PUBLICIDAD – Democracia – Estado social de Derecho – Fundamento axiológico</w:t>
      </w:r>
    </w:p>
    <w:p w14:paraId="638255FF" w14:textId="77777777" w:rsidR="00571386" w:rsidRPr="00CF7760" w:rsidRDefault="00571386" w:rsidP="00571386">
      <w:pPr>
        <w:spacing w:after="0"/>
        <w:jc w:val="both"/>
        <w:rPr>
          <w:rFonts w:ascii="Verdana" w:eastAsia="Arial" w:hAnsi="Verdana" w:cs="Arial"/>
          <w:color w:val="000000" w:themeColor="text1"/>
        </w:rPr>
      </w:pPr>
    </w:p>
    <w:p w14:paraId="1A29FE97" w14:textId="77777777" w:rsidR="00571386" w:rsidRPr="00DB6EFB" w:rsidRDefault="00571386" w:rsidP="00571386">
      <w:pPr>
        <w:spacing w:after="0" w:line="240" w:lineRule="auto"/>
        <w:jc w:val="both"/>
        <w:rPr>
          <w:rFonts w:ascii="Verdana" w:eastAsia="Arial" w:hAnsi="Verdana" w:cs="Arial"/>
          <w:sz w:val="20"/>
          <w:szCs w:val="20"/>
          <w:lang w:val="es-MX"/>
        </w:rPr>
      </w:pPr>
      <w:r w:rsidRPr="00DB6EFB">
        <w:rPr>
          <w:rFonts w:ascii="Verdana" w:eastAsia="Arial" w:hAnsi="Verdana" w:cs="Arial"/>
          <w:sz w:val="20"/>
          <w:szCs w:val="20"/>
          <w:lang w:val="es-MX"/>
        </w:rPr>
        <w:t xml:space="preserve">Uno de los postulados más importantes de un Estado social y democrático de derecho es el principio de publicidad,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5818B05C" w14:textId="77777777" w:rsidR="00571386" w:rsidRPr="00DB6EFB" w:rsidRDefault="00571386" w:rsidP="00571386">
      <w:pPr>
        <w:spacing w:after="0" w:line="240" w:lineRule="auto"/>
        <w:jc w:val="both"/>
        <w:rPr>
          <w:rFonts w:ascii="Verdana" w:eastAsia="Arial" w:hAnsi="Verdana" w:cs="Arial"/>
          <w:sz w:val="20"/>
          <w:szCs w:val="20"/>
          <w:lang w:val="es-MX"/>
        </w:rPr>
      </w:pPr>
    </w:p>
    <w:p w14:paraId="46329A87" w14:textId="77777777" w:rsidR="00571386" w:rsidRPr="00DB6EFB" w:rsidRDefault="00571386" w:rsidP="00571386">
      <w:pPr>
        <w:spacing w:after="0" w:line="240" w:lineRule="auto"/>
        <w:jc w:val="both"/>
        <w:rPr>
          <w:rFonts w:ascii="Verdana" w:eastAsia="Arial" w:hAnsi="Verdana" w:cs="Arial"/>
          <w:sz w:val="20"/>
          <w:szCs w:val="20"/>
          <w:lang w:val="es-MX"/>
        </w:rPr>
      </w:pPr>
      <w:r w:rsidRPr="00DB6EFB">
        <w:rPr>
          <w:rFonts w:ascii="Verdana" w:eastAsia="Arial" w:hAnsi="Verdana" w:cs="Arial"/>
          <w:sz w:val="20"/>
          <w:szCs w:val="20"/>
          <w:lang w:val="es-MX"/>
        </w:rPr>
        <w:t xml:space="preserve">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w:t>
      </w:r>
    </w:p>
    <w:p w14:paraId="1E5F1678" w14:textId="77777777" w:rsidR="00571386" w:rsidRPr="00CF7760" w:rsidRDefault="00571386" w:rsidP="00571386">
      <w:pPr>
        <w:spacing w:after="0" w:line="240" w:lineRule="auto"/>
        <w:jc w:val="both"/>
        <w:rPr>
          <w:rFonts w:ascii="Verdana" w:eastAsia="Arial" w:hAnsi="Verdana" w:cs="Arial"/>
          <w:b/>
          <w:bCs/>
          <w:color w:val="000000"/>
          <w:lang w:val="es-ES"/>
        </w:rPr>
      </w:pPr>
    </w:p>
    <w:p w14:paraId="40EDC2E0" w14:textId="77777777" w:rsidR="00571386" w:rsidRPr="00DB6EFB" w:rsidRDefault="00571386" w:rsidP="00571386">
      <w:pPr>
        <w:spacing w:before="120" w:after="120" w:line="276" w:lineRule="auto"/>
        <w:jc w:val="both"/>
        <w:rPr>
          <w:rFonts w:ascii="Verdana" w:eastAsia="Arial" w:hAnsi="Verdana" w:cs="Arial"/>
          <w:b/>
          <w:bCs/>
          <w:lang w:val="es-MX"/>
        </w:rPr>
      </w:pPr>
      <w:r w:rsidRPr="00DB6EFB">
        <w:rPr>
          <w:rFonts w:ascii="Verdana" w:eastAsia="Arial" w:hAnsi="Verdana" w:cs="Arial"/>
          <w:b/>
          <w:bCs/>
          <w:lang w:val="es-MX"/>
        </w:rPr>
        <w:t>SECOP – Publicidad – Documentos – Información oficial</w:t>
      </w:r>
    </w:p>
    <w:p w14:paraId="7C59D793" w14:textId="77777777" w:rsidR="00571386" w:rsidRPr="00CF7760" w:rsidRDefault="00571386" w:rsidP="00571386">
      <w:pPr>
        <w:spacing w:after="0" w:line="240" w:lineRule="auto"/>
        <w:jc w:val="both"/>
        <w:rPr>
          <w:rFonts w:ascii="Verdana" w:eastAsia="Arial" w:hAnsi="Verdana" w:cs="Arial"/>
          <w:b/>
          <w:bCs/>
          <w:lang w:val="es-ES" w:eastAsia="es-ES"/>
        </w:rPr>
      </w:pPr>
    </w:p>
    <w:p w14:paraId="1DB01831" w14:textId="77777777" w:rsidR="00571386" w:rsidRPr="00DB6EFB" w:rsidRDefault="00571386" w:rsidP="00571386">
      <w:pPr>
        <w:spacing w:after="0" w:line="240" w:lineRule="auto"/>
        <w:jc w:val="both"/>
        <w:rPr>
          <w:rFonts w:ascii="Verdana" w:eastAsia="Arial" w:hAnsi="Verdana" w:cs="Arial"/>
          <w:sz w:val="20"/>
          <w:szCs w:val="20"/>
          <w:lang w:val="es-MX"/>
        </w:rPr>
      </w:pPr>
      <w:r w:rsidRPr="00DB6EFB">
        <w:rPr>
          <w:rFonts w:ascii="Verdana" w:eastAsia="Arial" w:hAnsi="Verdana" w:cs="Arial"/>
          <w:sz w:val="20"/>
          <w:szCs w:val="20"/>
          <w:lang w:val="es-MX"/>
        </w:rPr>
        <w:t>[…] 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legales. En el literal e) del artículo 9, la ley estatutaria citada establece dispone que los sujetos obligados, que son todas las entidades públicas, deben publicar la información relativa a su contratación. Esta obligación fue desarrollada por el Decreto Único Reglamentario 1081 de 2015, el cual dispuso que la publicación de la información contractual de los sujetos obligados, que contratan con cargo a recursos públicos, debe hacerse en el Sistema Electrónico para la Contratación Pública −SECOP–.</w:t>
      </w:r>
    </w:p>
    <w:p w14:paraId="079CD7F6" w14:textId="77777777" w:rsidR="00571386" w:rsidRPr="00DB6EFB" w:rsidRDefault="00571386" w:rsidP="00571386">
      <w:pPr>
        <w:spacing w:after="0" w:line="240" w:lineRule="auto"/>
        <w:jc w:val="both"/>
        <w:rPr>
          <w:rFonts w:ascii="Verdana" w:eastAsia="Arial" w:hAnsi="Verdana" w:cs="Arial"/>
          <w:sz w:val="20"/>
          <w:szCs w:val="20"/>
          <w:lang w:val="es-MX"/>
        </w:rPr>
      </w:pPr>
    </w:p>
    <w:p w14:paraId="2715A8C6" w14:textId="77777777" w:rsidR="00571386" w:rsidRPr="00DB6EFB" w:rsidRDefault="00571386" w:rsidP="00571386">
      <w:pPr>
        <w:spacing w:after="0" w:line="240" w:lineRule="auto"/>
        <w:jc w:val="both"/>
        <w:rPr>
          <w:rFonts w:ascii="Verdana" w:eastAsia="Arial" w:hAnsi="Verdana" w:cs="Arial"/>
          <w:sz w:val="20"/>
          <w:szCs w:val="20"/>
          <w:lang w:val="es-MX"/>
        </w:rPr>
      </w:pPr>
      <w:r w:rsidRPr="00DB6EFB">
        <w:rPr>
          <w:rFonts w:ascii="Verdana" w:eastAsia="Arial" w:hAnsi="Verdana" w:cs="Arial"/>
          <w:sz w:val="20"/>
          <w:szCs w:val="20"/>
          <w:lang w:val="es-MX"/>
        </w:rPr>
        <w:t xml:space="preserve">[…] </w:t>
      </w:r>
    </w:p>
    <w:p w14:paraId="04F87472" w14:textId="77777777" w:rsidR="00571386" w:rsidRPr="00DB6EFB" w:rsidRDefault="00571386" w:rsidP="00571386">
      <w:pPr>
        <w:spacing w:after="0" w:line="240" w:lineRule="auto"/>
        <w:jc w:val="both"/>
        <w:rPr>
          <w:rFonts w:ascii="Verdana" w:eastAsia="Arial" w:hAnsi="Verdana" w:cs="Arial"/>
          <w:sz w:val="20"/>
          <w:szCs w:val="20"/>
          <w:lang w:val="es-MX"/>
        </w:rPr>
      </w:pPr>
    </w:p>
    <w:p w14:paraId="4A97FBF3" w14:textId="77777777" w:rsidR="00571386" w:rsidRPr="00DB6EFB" w:rsidRDefault="00571386" w:rsidP="00571386">
      <w:pPr>
        <w:spacing w:after="0" w:line="240" w:lineRule="auto"/>
        <w:jc w:val="both"/>
        <w:rPr>
          <w:rFonts w:ascii="Verdana" w:eastAsia="Arial" w:hAnsi="Verdana" w:cs="Arial"/>
          <w:sz w:val="20"/>
          <w:szCs w:val="20"/>
          <w:lang w:val="es-MX"/>
        </w:rPr>
      </w:pPr>
      <w:r w:rsidRPr="00DB6EFB">
        <w:rPr>
          <w:rFonts w:ascii="Verdana" w:eastAsia="Arial" w:hAnsi="Verdana" w:cs="Arial"/>
          <w:sz w:val="20"/>
          <w:szCs w:val="20"/>
          <w:lang w:val="es-MX"/>
        </w:rPr>
        <w:t xml:space="preserve">Nótese, entonces, que en ese momento el Consejo de Estado asumió como criterio para determinar la obligatoriedad de publicar en el SECOP que la contratación se realizara </w:t>
      </w:r>
      <w:r w:rsidRPr="00DB6EFB">
        <w:rPr>
          <w:rFonts w:ascii="Verdana" w:eastAsia="Arial" w:hAnsi="Verdana" w:cs="Arial"/>
          <w:sz w:val="20"/>
          <w:szCs w:val="20"/>
          <w:lang w:val="es-MX"/>
        </w:rPr>
        <w:lastRenderedPageBreak/>
        <w:t>con recursos públicos, conclusión que se fundamenta en el literal c) del artículo 3 de la Ley 1150 de 2007. Así, la decisión judicial citada refuerza la obligación de publicar en el SECOP, mandato que además está expresamente consagrado en las Leyes 1150 de 2007, 1712 de 2014 y la Circular Externa Única.</w:t>
      </w:r>
    </w:p>
    <w:p w14:paraId="43A97E81" w14:textId="77777777" w:rsidR="00571386" w:rsidRDefault="00571386" w:rsidP="00571386">
      <w:pPr>
        <w:spacing w:after="0" w:line="240" w:lineRule="auto"/>
        <w:rPr>
          <w:rFonts w:ascii="Verdana" w:eastAsia="Geomanist Light" w:hAnsi="Verdana" w:cs="Arial"/>
          <w:color w:val="000000" w:themeColor="text1"/>
          <w:lang w:val="es-MX"/>
        </w:rPr>
      </w:pPr>
    </w:p>
    <w:p w14:paraId="586703E9" w14:textId="77777777" w:rsidR="00571386" w:rsidRPr="00DB6EFB" w:rsidRDefault="00571386" w:rsidP="00571386">
      <w:pPr>
        <w:spacing w:before="120" w:after="120" w:line="276" w:lineRule="auto"/>
        <w:jc w:val="both"/>
        <w:rPr>
          <w:rFonts w:ascii="Verdana" w:eastAsia="Arial" w:hAnsi="Verdana" w:cs="Arial"/>
          <w:b/>
          <w:bCs/>
          <w:lang w:val="es-MX"/>
        </w:rPr>
      </w:pPr>
      <w:r w:rsidRPr="001B45CF">
        <w:rPr>
          <w:rFonts w:ascii="Verdana" w:eastAsia="Arial" w:hAnsi="Verdana" w:cs="Arial"/>
          <w:b/>
          <w:bCs/>
          <w:lang w:val="es-MX"/>
        </w:rPr>
        <w:t xml:space="preserve">SECOP – Publicación – Documentos del proceso – Término </w:t>
      </w:r>
    </w:p>
    <w:p w14:paraId="030DF4D0" w14:textId="77777777" w:rsidR="00571386" w:rsidRPr="00CF7760" w:rsidRDefault="00571386" w:rsidP="00571386">
      <w:pPr>
        <w:spacing w:after="0" w:line="240" w:lineRule="auto"/>
        <w:jc w:val="both"/>
        <w:rPr>
          <w:rFonts w:ascii="Verdana" w:eastAsia="Arial" w:hAnsi="Verdana" w:cs="Arial"/>
          <w:b/>
          <w:bCs/>
          <w:lang w:val="es-ES" w:eastAsia="es-ES"/>
        </w:rPr>
      </w:pPr>
    </w:p>
    <w:p w14:paraId="49758A02" w14:textId="77777777" w:rsidR="00571386" w:rsidRPr="0079606C" w:rsidRDefault="00571386" w:rsidP="00571386">
      <w:pPr>
        <w:spacing w:after="0" w:line="240" w:lineRule="auto"/>
        <w:jc w:val="both"/>
        <w:rPr>
          <w:rFonts w:ascii="Verdana" w:eastAsia="Arial" w:hAnsi="Verdana" w:cs="Arial"/>
          <w:sz w:val="20"/>
          <w:szCs w:val="20"/>
          <w:lang w:val="es-MX"/>
        </w:rPr>
      </w:pPr>
      <w:r w:rsidRPr="00DB6EFB">
        <w:rPr>
          <w:rFonts w:ascii="Verdana" w:eastAsia="Arial" w:hAnsi="Verdana" w:cs="Arial"/>
          <w:sz w:val="20"/>
          <w:szCs w:val="20"/>
          <w:lang w:val="es-MX"/>
        </w:rPr>
        <w:t xml:space="preserve">[…] </w:t>
      </w:r>
      <w:r w:rsidRPr="0079606C">
        <w:rPr>
          <w:rFonts w:ascii="Verdana" w:eastAsia="Arial" w:hAnsi="Verdana" w:cs="Arial"/>
          <w:sz w:val="20"/>
          <w:szCs w:val="20"/>
          <w:lang w:val="es-MX"/>
        </w:rPr>
        <w:t>el artículo 2.2.1.1.1.7.1 del decreto 1082 de 2015 establece lo siguiente:</w:t>
      </w:r>
    </w:p>
    <w:p w14:paraId="3D3C3C48" w14:textId="77777777" w:rsidR="00571386" w:rsidRPr="0079606C" w:rsidRDefault="00571386" w:rsidP="00571386">
      <w:pPr>
        <w:spacing w:after="0" w:line="240" w:lineRule="auto"/>
        <w:jc w:val="both"/>
        <w:rPr>
          <w:rFonts w:ascii="Verdana" w:eastAsia="Arial" w:hAnsi="Verdana" w:cs="Arial"/>
          <w:sz w:val="20"/>
          <w:szCs w:val="20"/>
          <w:lang w:val="es-MX"/>
        </w:rPr>
      </w:pPr>
    </w:p>
    <w:p w14:paraId="4AE1608F" w14:textId="77777777" w:rsidR="00571386" w:rsidRPr="0079606C" w:rsidRDefault="00571386" w:rsidP="00571386">
      <w:pPr>
        <w:spacing w:after="0" w:line="240" w:lineRule="auto"/>
        <w:jc w:val="both"/>
        <w:rPr>
          <w:rFonts w:ascii="Verdana" w:eastAsia="Arial" w:hAnsi="Verdana" w:cs="Arial"/>
          <w:sz w:val="20"/>
          <w:szCs w:val="20"/>
          <w:lang w:val="es-MX"/>
        </w:rPr>
      </w:pPr>
      <w:r w:rsidRPr="0079606C">
        <w:rPr>
          <w:rFonts w:ascii="Verdana" w:eastAsia="Arial" w:hAnsi="Verdana" w:cs="Arial"/>
          <w:sz w:val="20"/>
          <w:szCs w:val="20"/>
          <w:lang w:val="es-MX"/>
        </w:rPr>
        <w:t>“Publicidad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 (Subrayado fuera de texto)</w:t>
      </w:r>
    </w:p>
    <w:p w14:paraId="434235F3" w14:textId="77777777" w:rsidR="00571386" w:rsidRDefault="00571386" w:rsidP="00571386">
      <w:pPr>
        <w:spacing w:after="0" w:line="240" w:lineRule="auto"/>
        <w:jc w:val="both"/>
        <w:rPr>
          <w:rFonts w:ascii="Verdana" w:eastAsia="Arial" w:hAnsi="Verdana" w:cs="Arial"/>
          <w:sz w:val="20"/>
          <w:szCs w:val="20"/>
          <w:lang w:val="es-MX"/>
        </w:rPr>
      </w:pPr>
    </w:p>
    <w:p w14:paraId="5E1C899C" w14:textId="77777777" w:rsidR="00571386" w:rsidRDefault="00571386" w:rsidP="00571386">
      <w:pPr>
        <w:spacing w:after="0" w:line="240" w:lineRule="auto"/>
        <w:jc w:val="both"/>
        <w:rPr>
          <w:rFonts w:ascii="Verdana" w:eastAsia="Geomanist Light" w:hAnsi="Verdana" w:cs="Arial"/>
          <w:color w:val="000000" w:themeColor="text1"/>
          <w:lang w:val="es-MX"/>
        </w:rPr>
      </w:pPr>
      <w:r w:rsidRPr="0079606C">
        <w:rPr>
          <w:rFonts w:ascii="Verdana" w:eastAsia="Arial" w:hAnsi="Verdana" w:cs="Arial"/>
          <w:sz w:val="20"/>
          <w:szCs w:val="20"/>
          <w:lang w:val="es-MX"/>
        </w:rPr>
        <w:t>Con base en lo anterior, es posible concluir que las entidades estatales, en virtud del previamente desarrollado principio de publicidad, deberán publicar su actividad contractual en el SECOP en el término máximo de 3 días luego de la expedición del respectivo documento producto de esta actividad. Igualmente, para las entidades estatales de régimen especial, podrán publicar en el término que figure en sus manuales internos de contratación siempre y cuando este sea menor al establecido por la ley.</w:t>
      </w:r>
    </w:p>
    <w:p w14:paraId="07D819D1" w14:textId="77777777" w:rsidR="00571386" w:rsidRDefault="00571386" w:rsidP="00571386">
      <w:pPr>
        <w:spacing w:after="0" w:line="240" w:lineRule="auto"/>
        <w:rPr>
          <w:rFonts w:ascii="Verdana" w:eastAsia="Geomanist Light" w:hAnsi="Verdana" w:cs="Arial"/>
          <w:color w:val="000000" w:themeColor="text1"/>
          <w:lang w:val="es-MX"/>
        </w:rPr>
      </w:pPr>
    </w:p>
    <w:p w14:paraId="086308DF" w14:textId="77777777" w:rsidR="00571386" w:rsidRDefault="00571386" w:rsidP="00571386">
      <w:pPr>
        <w:spacing w:after="0" w:line="240" w:lineRule="auto"/>
        <w:rPr>
          <w:rFonts w:ascii="Verdana" w:eastAsia="Geomanist Light" w:hAnsi="Verdana" w:cs="Arial"/>
          <w:color w:val="000000" w:themeColor="text1"/>
          <w:lang w:val="es-MX"/>
        </w:rPr>
      </w:pPr>
    </w:p>
    <w:p w14:paraId="5A58115A" w14:textId="77777777" w:rsidR="00571386" w:rsidRDefault="00571386" w:rsidP="00571386">
      <w:pPr>
        <w:spacing w:after="0" w:line="240" w:lineRule="auto"/>
        <w:rPr>
          <w:rFonts w:ascii="Verdana" w:eastAsia="Geomanist Light" w:hAnsi="Verdana" w:cs="Arial"/>
          <w:color w:val="000000" w:themeColor="text1"/>
          <w:lang w:val="es-MX"/>
        </w:rPr>
      </w:pPr>
    </w:p>
    <w:p w14:paraId="7F9E8854" w14:textId="77777777" w:rsidR="00571386" w:rsidRDefault="00571386" w:rsidP="00571386">
      <w:pPr>
        <w:spacing w:after="0" w:line="240" w:lineRule="auto"/>
        <w:rPr>
          <w:rFonts w:ascii="Verdana" w:eastAsia="Geomanist Light" w:hAnsi="Verdana" w:cs="Arial"/>
          <w:color w:val="000000" w:themeColor="text1"/>
          <w:lang w:val="es-MX"/>
        </w:rPr>
      </w:pPr>
    </w:p>
    <w:p w14:paraId="7FE0E829" w14:textId="77777777" w:rsidR="00571386" w:rsidRDefault="00571386" w:rsidP="00571386">
      <w:pPr>
        <w:spacing w:after="0" w:line="240" w:lineRule="auto"/>
        <w:rPr>
          <w:rFonts w:ascii="Verdana" w:eastAsia="Geomanist Light" w:hAnsi="Verdana" w:cs="Arial"/>
          <w:color w:val="000000" w:themeColor="text1"/>
          <w:lang w:val="es-MX"/>
        </w:rPr>
      </w:pPr>
    </w:p>
    <w:p w14:paraId="72377197" w14:textId="77777777" w:rsidR="00571386" w:rsidRDefault="00571386" w:rsidP="00571386">
      <w:pPr>
        <w:spacing w:after="0" w:line="240" w:lineRule="auto"/>
        <w:rPr>
          <w:rFonts w:ascii="Verdana" w:eastAsia="Geomanist Light" w:hAnsi="Verdana" w:cs="Arial"/>
          <w:color w:val="000000" w:themeColor="text1"/>
          <w:lang w:val="es-MX"/>
        </w:rPr>
      </w:pPr>
    </w:p>
    <w:p w14:paraId="540DA211" w14:textId="77777777" w:rsidR="00571386" w:rsidRDefault="00571386" w:rsidP="00571386">
      <w:pPr>
        <w:spacing w:after="0" w:line="240" w:lineRule="auto"/>
        <w:rPr>
          <w:rFonts w:ascii="Verdana" w:eastAsia="Geomanist Light" w:hAnsi="Verdana" w:cs="Arial"/>
          <w:color w:val="000000" w:themeColor="text1"/>
          <w:lang w:val="es-MX"/>
        </w:rPr>
      </w:pPr>
    </w:p>
    <w:p w14:paraId="2A0F5BE4" w14:textId="77777777" w:rsidR="00571386" w:rsidRDefault="00571386" w:rsidP="00571386">
      <w:pPr>
        <w:spacing w:after="0" w:line="240" w:lineRule="auto"/>
        <w:rPr>
          <w:rFonts w:ascii="Verdana" w:eastAsia="Geomanist Light" w:hAnsi="Verdana" w:cs="Arial"/>
          <w:color w:val="000000" w:themeColor="text1"/>
          <w:lang w:val="es-MX"/>
        </w:rPr>
      </w:pPr>
    </w:p>
    <w:p w14:paraId="2A44FB04" w14:textId="77777777" w:rsidR="00571386" w:rsidRDefault="00571386" w:rsidP="00571386">
      <w:pPr>
        <w:spacing w:after="0" w:line="240" w:lineRule="auto"/>
        <w:rPr>
          <w:rFonts w:ascii="Verdana" w:eastAsia="Geomanist Light" w:hAnsi="Verdana" w:cs="Arial"/>
          <w:color w:val="000000" w:themeColor="text1"/>
          <w:lang w:val="es-MX"/>
        </w:rPr>
      </w:pPr>
    </w:p>
    <w:p w14:paraId="335EA358" w14:textId="77777777" w:rsidR="00571386" w:rsidRDefault="00571386" w:rsidP="00571386">
      <w:pPr>
        <w:spacing w:after="0" w:line="240" w:lineRule="auto"/>
        <w:rPr>
          <w:rFonts w:ascii="Verdana" w:eastAsia="Geomanist Light" w:hAnsi="Verdana" w:cs="Arial"/>
          <w:color w:val="000000" w:themeColor="text1"/>
          <w:lang w:val="es-MX"/>
        </w:rPr>
      </w:pPr>
    </w:p>
    <w:p w14:paraId="50AD271B" w14:textId="77777777" w:rsidR="00571386" w:rsidRDefault="00571386" w:rsidP="00571386">
      <w:pPr>
        <w:spacing w:after="0" w:line="240" w:lineRule="auto"/>
        <w:rPr>
          <w:rFonts w:ascii="Verdana" w:eastAsia="Geomanist Light" w:hAnsi="Verdana" w:cs="Arial"/>
          <w:color w:val="000000" w:themeColor="text1"/>
          <w:lang w:val="es-MX"/>
        </w:rPr>
      </w:pPr>
    </w:p>
    <w:p w14:paraId="1DC2233B" w14:textId="77777777" w:rsidR="00571386" w:rsidRDefault="00571386" w:rsidP="00571386">
      <w:pPr>
        <w:spacing w:after="0" w:line="240" w:lineRule="auto"/>
        <w:rPr>
          <w:rFonts w:ascii="Verdana" w:eastAsia="Geomanist Light" w:hAnsi="Verdana" w:cs="Arial"/>
          <w:color w:val="000000" w:themeColor="text1"/>
          <w:lang w:val="es-MX"/>
        </w:rPr>
      </w:pPr>
    </w:p>
    <w:p w14:paraId="3BCE61E7" w14:textId="77777777" w:rsidR="00571386" w:rsidRDefault="00571386" w:rsidP="00571386">
      <w:pPr>
        <w:spacing w:after="0" w:line="240" w:lineRule="auto"/>
        <w:rPr>
          <w:rFonts w:ascii="Verdana" w:eastAsia="Geomanist Light" w:hAnsi="Verdana" w:cs="Arial"/>
          <w:color w:val="000000" w:themeColor="text1"/>
          <w:lang w:val="es-MX"/>
        </w:rPr>
      </w:pPr>
    </w:p>
    <w:p w14:paraId="778EC217" w14:textId="77777777" w:rsidR="00571386" w:rsidRDefault="00571386" w:rsidP="00571386">
      <w:pPr>
        <w:spacing w:after="0" w:line="240" w:lineRule="auto"/>
        <w:rPr>
          <w:rFonts w:ascii="Verdana" w:eastAsia="Geomanist Light" w:hAnsi="Verdana" w:cs="Arial"/>
          <w:color w:val="000000" w:themeColor="text1"/>
          <w:lang w:val="es-MX"/>
        </w:rPr>
      </w:pPr>
    </w:p>
    <w:p w14:paraId="3AB8F121" w14:textId="77777777" w:rsidR="00571386" w:rsidRDefault="00571386" w:rsidP="00571386">
      <w:pPr>
        <w:spacing w:after="0" w:line="240" w:lineRule="auto"/>
        <w:rPr>
          <w:rFonts w:ascii="Verdana" w:eastAsia="Geomanist Light" w:hAnsi="Verdana" w:cs="Arial"/>
          <w:color w:val="000000" w:themeColor="text1"/>
          <w:lang w:val="es-MX"/>
        </w:rPr>
      </w:pPr>
    </w:p>
    <w:p w14:paraId="640753BB" w14:textId="77777777" w:rsidR="00571386" w:rsidRDefault="00571386" w:rsidP="00571386">
      <w:pPr>
        <w:spacing w:after="0" w:line="240" w:lineRule="auto"/>
        <w:rPr>
          <w:rFonts w:ascii="Verdana" w:eastAsia="Geomanist Light" w:hAnsi="Verdana" w:cs="Arial"/>
          <w:color w:val="000000" w:themeColor="text1"/>
          <w:lang w:val="es-MX"/>
        </w:rPr>
      </w:pPr>
    </w:p>
    <w:p w14:paraId="3227DEAA" w14:textId="77777777" w:rsidR="00C97398" w:rsidRDefault="00C97398" w:rsidP="008630AA">
      <w:pPr>
        <w:spacing w:after="0" w:line="240" w:lineRule="auto"/>
        <w:rPr>
          <w:rFonts w:ascii="Verdana" w:eastAsia="Geomanist Light" w:hAnsi="Verdana" w:cs="Arial"/>
          <w:color w:val="000000" w:themeColor="text1"/>
          <w:lang w:val="es-MX"/>
        </w:rPr>
      </w:pPr>
    </w:p>
    <w:p w14:paraId="0E624689" w14:textId="77777777" w:rsidR="00571386" w:rsidRDefault="00571386" w:rsidP="008630AA">
      <w:pPr>
        <w:spacing w:after="0" w:line="240" w:lineRule="auto"/>
        <w:rPr>
          <w:rFonts w:ascii="Verdana" w:eastAsia="Geomanist Light" w:hAnsi="Verdana" w:cs="Arial"/>
          <w:color w:val="000000" w:themeColor="text1"/>
          <w:lang w:val="es-MX"/>
        </w:rPr>
      </w:pPr>
    </w:p>
    <w:p w14:paraId="781DA36B" w14:textId="77777777" w:rsidR="00571386" w:rsidRDefault="00571386" w:rsidP="008630AA">
      <w:pPr>
        <w:spacing w:after="0" w:line="240" w:lineRule="auto"/>
        <w:rPr>
          <w:rFonts w:ascii="Verdana" w:eastAsia="Geomanist Light" w:hAnsi="Verdana" w:cs="Arial"/>
          <w:color w:val="000000" w:themeColor="text1"/>
          <w:lang w:val="es-MX"/>
        </w:rPr>
      </w:pPr>
    </w:p>
    <w:p w14:paraId="19C91D70" w14:textId="77777777" w:rsidR="00C97398" w:rsidRDefault="00C97398" w:rsidP="008630AA">
      <w:pPr>
        <w:spacing w:after="0" w:line="240" w:lineRule="auto"/>
        <w:rPr>
          <w:rFonts w:ascii="Verdana" w:eastAsia="Geomanist Light" w:hAnsi="Verdana" w:cs="Arial"/>
          <w:color w:val="000000" w:themeColor="text1"/>
          <w:lang w:val="es-MX"/>
        </w:rPr>
      </w:pPr>
    </w:p>
    <w:p w14:paraId="350B6531" w14:textId="77777777" w:rsidR="00C97398" w:rsidRDefault="00C97398" w:rsidP="008630AA">
      <w:pPr>
        <w:spacing w:after="0" w:line="240" w:lineRule="auto"/>
        <w:rPr>
          <w:rFonts w:ascii="Verdana" w:eastAsia="Geomanist Light" w:hAnsi="Verdana" w:cs="Arial"/>
          <w:color w:val="000000" w:themeColor="text1"/>
          <w:lang w:val="es-MX"/>
        </w:rPr>
      </w:pPr>
    </w:p>
    <w:p w14:paraId="5C21D54A" w14:textId="77777777" w:rsidR="00C97398" w:rsidRDefault="00C97398" w:rsidP="008630AA">
      <w:pPr>
        <w:spacing w:after="0" w:line="240" w:lineRule="auto"/>
        <w:rPr>
          <w:rFonts w:ascii="Verdana" w:eastAsia="Geomanist Light" w:hAnsi="Verdana" w:cs="Arial"/>
          <w:color w:val="000000" w:themeColor="text1"/>
          <w:lang w:val="es-MX"/>
        </w:rPr>
      </w:pPr>
    </w:p>
    <w:p w14:paraId="406AE86B" w14:textId="77777777" w:rsidR="00C97398" w:rsidRDefault="00C97398" w:rsidP="008630AA">
      <w:pPr>
        <w:spacing w:after="0" w:line="240" w:lineRule="auto"/>
        <w:rPr>
          <w:rFonts w:ascii="Verdana" w:eastAsia="Geomanist Light" w:hAnsi="Verdana" w:cs="Arial"/>
          <w:color w:val="000000" w:themeColor="text1"/>
          <w:lang w:val="es-MX"/>
        </w:rPr>
      </w:pPr>
    </w:p>
    <w:p w14:paraId="0CC84665" w14:textId="19006D39" w:rsidR="008630AA" w:rsidRPr="00593A5F" w:rsidRDefault="007D17F3" w:rsidP="008630AA">
      <w:pPr>
        <w:spacing w:after="0" w:line="240" w:lineRule="auto"/>
        <w:rPr>
          <w:rFonts w:ascii="Verdana" w:eastAsia="Geomanist Light" w:hAnsi="Verdana" w:cs="Arial"/>
          <w:color w:val="201F1E"/>
          <w:lang w:val="es-MX"/>
        </w:rPr>
      </w:pPr>
      <w:r w:rsidRPr="007D17F3">
        <w:rPr>
          <w:rFonts w:ascii="Verdana" w:eastAsia="Geomanist Light" w:hAnsi="Verdana" w:cs="Arial"/>
          <w:noProof/>
          <w:color w:val="201F1E"/>
          <w:lang w:val="es-MX"/>
        </w:rPr>
        <w:lastRenderedPageBreak/>
        <w:drawing>
          <wp:anchor distT="0" distB="0" distL="114300" distR="114300" simplePos="0" relativeHeight="251658240" behindDoc="0" locked="0" layoutInCell="1" allowOverlap="1" wp14:anchorId="75F91AC8" wp14:editId="20EC35ED">
            <wp:simplePos x="0" y="0"/>
            <wp:positionH relativeFrom="column">
              <wp:posOffset>2720340</wp:posOffset>
            </wp:positionH>
            <wp:positionV relativeFrom="paragraph">
              <wp:posOffset>8890</wp:posOffset>
            </wp:positionV>
            <wp:extent cx="3276600" cy="962025"/>
            <wp:effectExtent l="0" t="0" r="0" b="9525"/>
            <wp:wrapNone/>
            <wp:docPr id="151861195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611954"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276600" cy="962025"/>
                    </a:xfrm>
                    <a:prstGeom prst="rect">
                      <a:avLst/>
                    </a:prstGeom>
                  </pic:spPr>
                </pic:pic>
              </a:graphicData>
            </a:graphic>
          </wp:anchor>
        </w:drawing>
      </w:r>
      <w:r w:rsidR="008630AA" w:rsidRPr="00593A5F">
        <w:rPr>
          <w:rFonts w:ascii="Verdana" w:eastAsia="Geomanist Light" w:hAnsi="Verdana" w:cs="Arial"/>
          <w:color w:val="000000" w:themeColor="text1"/>
          <w:lang w:val="es-MX"/>
        </w:rPr>
        <w:t>Bogotá D.C., </w:t>
      </w:r>
      <w:r>
        <w:rPr>
          <w:rFonts w:ascii="Verdana" w:eastAsia="Geomanist Light" w:hAnsi="Verdana" w:cs="Arial"/>
          <w:color w:val="201F1E"/>
          <w:lang w:val="es-MX"/>
        </w:rPr>
        <w:t>5 de diciembre de 2024</w:t>
      </w:r>
    </w:p>
    <w:p w14:paraId="7A41576C" w14:textId="044530FE" w:rsidR="008630AA" w:rsidRPr="00593A5F" w:rsidRDefault="008630AA" w:rsidP="008630AA">
      <w:pPr>
        <w:spacing w:after="0" w:line="240" w:lineRule="auto"/>
        <w:jc w:val="both"/>
        <w:rPr>
          <w:rFonts w:ascii="Verdana" w:eastAsia="Calibri" w:hAnsi="Verdana" w:cs="Arial"/>
          <w:color w:val="000000"/>
          <w:lang w:val="es-ES"/>
        </w:rPr>
      </w:pPr>
    </w:p>
    <w:p w14:paraId="37C3B60F" w14:textId="404D1292" w:rsidR="008630AA" w:rsidRPr="00DA59FA" w:rsidRDefault="008630AA" w:rsidP="008630AA">
      <w:pPr>
        <w:spacing w:after="0" w:line="240" w:lineRule="auto"/>
        <w:textAlignment w:val="baseline"/>
        <w:rPr>
          <w:rFonts w:ascii="Verdana" w:eastAsia="Calibri" w:hAnsi="Verdana" w:cs="Arial"/>
        </w:rPr>
      </w:pPr>
      <w:r w:rsidRPr="00DA59FA">
        <w:rPr>
          <w:rFonts w:ascii="Verdana" w:eastAsia="Calibri" w:hAnsi="Verdana" w:cs="Arial"/>
        </w:rPr>
        <w:t>Señora</w:t>
      </w:r>
    </w:p>
    <w:p w14:paraId="6A2C1F9C" w14:textId="77777777" w:rsidR="008630AA" w:rsidRPr="00DA59FA" w:rsidRDefault="008630AA" w:rsidP="008630AA">
      <w:pPr>
        <w:spacing w:after="0" w:line="240" w:lineRule="auto"/>
        <w:rPr>
          <w:rFonts w:ascii="Verdana" w:eastAsia="Calibri" w:hAnsi="Verdana" w:cs="Arial"/>
          <w:b/>
          <w:bCs/>
          <w:sz w:val="20"/>
          <w:szCs w:val="20"/>
        </w:rPr>
      </w:pPr>
      <w:r w:rsidRPr="00DA59FA">
        <w:rPr>
          <w:rFonts w:ascii="Verdana" w:eastAsia="Calibri" w:hAnsi="Verdana" w:cs="Arial"/>
          <w:b/>
          <w:bCs/>
        </w:rPr>
        <w:t>Nicole Camacho Correa</w:t>
      </w:r>
    </w:p>
    <w:p w14:paraId="39C58C6C" w14:textId="77777777" w:rsidR="008630AA" w:rsidRPr="008630AA" w:rsidRDefault="008630AA" w:rsidP="008630AA">
      <w:pPr>
        <w:spacing w:after="0" w:line="240" w:lineRule="auto"/>
        <w:rPr>
          <w:rFonts w:ascii="Verdana" w:eastAsia="Calibri" w:hAnsi="Verdana" w:cs="Arial"/>
          <w:color w:val="4472C4" w:themeColor="accent1"/>
        </w:rPr>
      </w:pPr>
      <w:hyperlink r:id="rId11" w:history="1">
        <w:r w:rsidRPr="008630AA">
          <w:rPr>
            <w:rStyle w:val="Hipervnculo"/>
            <w:rFonts w:ascii="Verdana" w:eastAsia="Calibri" w:hAnsi="Verdana" w:cs="Arial"/>
            <w:color w:val="4472C4" w:themeColor="accent1"/>
          </w:rPr>
          <w:t>gestionhuila23@gmail.com</w:t>
        </w:r>
      </w:hyperlink>
      <w:r w:rsidRPr="008630AA">
        <w:rPr>
          <w:rFonts w:ascii="Verdana" w:eastAsia="Calibri" w:hAnsi="Verdana" w:cs="Arial"/>
          <w:color w:val="4472C4" w:themeColor="accent1"/>
        </w:rPr>
        <w:t xml:space="preserve"> </w:t>
      </w:r>
    </w:p>
    <w:p w14:paraId="6AA8E286" w14:textId="77777777" w:rsidR="008630AA" w:rsidRPr="00DA59FA" w:rsidRDefault="008630AA" w:rsidP="008630AA">
      <w:pPr>
        <w:spacing w:after="0" w:line="240" w:lineRule="auto"/>
        <w:rPr>
          <w:rFonts w:ascii="Verdana" w:eastAsia="Calibri" w:hAnsi="Verdana" w:cs="Arial"/>
        </w:rPr>
      </w:pPr>
      <w:r>
        <w:rPr>
          <w:rFonts w:ascii="Verdana" w:eastAsia="Calibri" w:hAnsi="Verdana" w:cs="Arial"/>
        </w:rPr>
        <w:t>Pitalito, Huila</w:t>
      </w:r>
      <w:r w:rsidRPr="00DA59FA">
        <w:rPr>
          <w:rStyle w:val="Refdecomentario"/>
          <w:rFonts w:ascii="Verdana" w:hAnsi="Verdana" w:cs="Arial"/>
        </w:rPr>
        <w:t xml:space="preserve"> </w:t>
      </w:r>
    </w:p>
    <w:p w14:paraId="6C071FF8" w14:textId="77777777" w:rsidR="008630AA" w:rsidRPr="00593A5F" w:rsidRDefault="008630AA" w:rsidP="008630AA">
      <w:pPr>
        <w:spacing w:after="0" w:line="240" w:lineRule="auto"/>
        <w:rPr>
          <w:rFonts w:ascii="Verdana" w:eastAsia="Calibri" w:hAnsi="Verdana" w:cs="Arial"/>
          <w:b/>
          <w:bCs/>
          <w:color w:val="000000"/>
          <w:lang w:val="es-ES_tradnl" w:eastAsia="es-ES_tradnl"/>
        </w:rPr>
      </w:pPr>
    </w:p>
    <w:p w14:paraId="68625F82" w14:textId="77777777" w:rsidR="008630AA" w:rsidRPr="00593A5F" w:rsidRDefault="008630AA" w:rsidP="008630AA">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630AA" w:rsidRPr="00593A5F" w14:paraId="7A8D82AA" w14:textId="77777777" w:rsidTr="001E4496">
        <w:trPr>
          <w:trHeight w:val="884"/>
        </w:trPr>
        <w:tc>
          <w:tcPr>
            <w:tcW w:w="2689" w:type="dxa"/>
          </w:tcPr>
          <w:p w14:paraId="20F6E628" w14:textId="77777777" w:rsidR="008630AA" w:rsidRPr="00C00976" w:rsidRDefault="008630AA" w:rsidP="001E4496">
            <w:pPr>
              <w:jc w:val="both"/>
              <w:rPr>
                <w:rFonts w:ascii="Verdana" w:eastAsia="Calibri" w:hAnsi="Verdana" w:cs="Arial"/>
                <w:b/>
                <w:bCs/>
                <w:color w:val="7030A0"/>
                <w:lang w:val="es-ES_tradnl" w:eastAsia="es-ES_tradnl"/>
              </w:rPr>
            </w:pPr>
          </w:p>
        </w:tc>
        <w:tc>
          <w:tcPr>
            <w:tcW w:w="6100" w:type="dxa"/>
          </w:tcPr>
          <w:p w14:paraId="3AE83D89" w14:textId="77777777" w:rsidR="008630AA" w:rsidRPr="00C00976" w:rsidRDefault="008630AA" w:rsidP="001E4496">
            <w:pPr>
              <w:jc w:val="both"/>
              <w:rPr>
                <w:rFonts w:ascii="Verdana" w:eastAsia="Calibri" w:hAnsi="Verdana" w:cs="Arial"/>
                <w:b/>
                <w:bCs/>
                <w:color w:val="7030A0"/>
                <w:lang w:val="es-ES" w:eastAsia="es-ES"/>
              </w:rPr>
            </w:pPr>
            <w:r w:rsidRPr="00BD4B6B">
              <w:rPr>
                <w:rFonts w:ascii="Verdana" w:eastAsia="Calibri" w:hAnsi="Verdana" w:cs="Arial"/>
                <w:b/>
                <w:bCs/>
                <w:lang w:val="es-ES" w:eastAsia="es-ES"/>
              </w:rPr>
              <w:t>Concepto C-893 de 2024</w:t>
            </w:r>
          </w:p>
        </w:tc>
      </w:tr>
      <w:tr w:rsidR="008630AA" w:rsidRPr="00593A5F" w14:paraId="238E0EF2" w14:textId="77777777" w:rsidTr="001E4496">
        <w:trPr>
          <w:trHeight w:val="884"/>
        </w:trPr>
        <w:tc>
          <w:tcPr>
            <w:tcW w:w="2689" w:type="dxa"/>
          </w:tcPr>
          <w:p w14:paraId="21DAA20E" w14:textId="77777777" w:rsidR="008630AA" w:rsidRPr="00593A5F" w:rsidRDefault="008630AA" w:rsidP="001E4496">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5B87B4F2" w14:textId="77777777" w:rsidR="008630AA" w:rsidRPr="00B96799" w:rsidRDefault="008630AA" w:rsidP="001E4496">
            <w:pPr>
              <w:spacing w:line="276" w:lineRule="auto"/>
              <w:jc w:val="both"/>
              <w:rPr>
                <w:rFonts w:ascii="Verdana" w:eastAsia="Calibri" w:hAnsi="Verdana" w:cs="Arial"/>
                <w:color w:val="7030A0"/>
                <w:lang w:val="es-ES" w:eastAsia="es-ES"/>
              </w:rPr>
            </w:pPr>
            <w:r w:rsidRPr="00DB6EFB">
              <w:rPr>
                <w:rFonts w:ascii="Verdana" w:eastAsia="Calibri" w:hAnsi="Verdana" w:cs="Arial"/>
                <w:lang w:val="es-ES" w:eastAsia="es-ES"/>
              </w:rPr>
              <w:t>PRINCIPIO DE PUBLICIDAD – Democracia – Estado social de Derecho – Fundamento axiológico / SECOP – Publicidad – Documentos – Información oficial</w:t>
            </w:r>
            <w:r>
              <w:rPr>
                <w:rFonts w:ascii="Verdana" w:eastAsia="Calibri" w:hAnsi="Verdana" w:cs="Arial"/>
                <w:lang w:val="es-ES" w:eastAsia="es-ES"/>
              </w:rPr>
              <w:t xml:space="preserve"> / SECOP – Publicación – Documentos del proceso – Término </w:t>
            </w:r>
          </w:p>
          <w:p w14:paraId="00359B28" w14:textId="77777777" w:rsidR="008630AA" w:rsidRPr="00593A5F" w:rsidRDefault="008630AA" w:rsidP="001E4496">
            <w:pPr>
              <w:spacing w:line="276" w:lineRule="auto"/>
              <w:jc w:val="both"/>
              <w:rPr>
                <w:rFonts w:ascii="Verdana" w:eastAsia="Calibri" w:hAnsi="Verdana" w:cs="Arial"/>
                <w:lang w:val="es-ES" w:eastAsia="es-ES"/>
              </w:rPr>
            </w:pPr>
          </w:p>
        </w:tc>
      </w:tr>
      <w:tr w:rsidR="008630AA" w:rsidRPr="0088709C" w14:paraId="4CFCFD86" w14:textId="77777777" w:rsidTr="001E4496">
        <w:tc>
          <w:tcPr>
            <w:tcW w:w="2689" w:type="dxa"/>
          </w:tcPr>
          <w:p w14:paraId="1BE02359" w14:textId="77777777" w:rsidR="008630AA" w:rsidRPr="0088709C" w:rsidRDefault="008630AA" w:rsidP="001E4496">
            <w:pPr>
              <w:jc w:val="both"/>
              <w:rPr>
                <w:rFonts w:ascii="Verdana" w:eastAsia="Calibri" w:hAnsi="Verdana" w:cs="Arial"/>
                <w:b/>
                <w:lang w:val="es-ES_tradnl" w:eastAsia="es-ES_tradnl"/>
              </w:rPr>
            </w:pPr>
            <w:r w:rsidRPr="0088709C">
              <w:rPr>
                <w:rFonts w:ascii="Verdana" w:eastAsia="Calibri" w:hAnsi="Verdana" w:cs="Arial"/>
                <w:b/>
                <w:lang w:val="es-ES_tradnl" w:eastAsia="es-ES_tradnl"/>
              </w:rPr>
              <w:t>Radicación:</w:t>
            </w:r>
            <w:r w:rsidRPr="0088709C">
              <w:rPr>
                <w:rFonts w:ascii="Verdana" w:eastAsia="Calibri" w:hAnsi="Verdana" w:cs="Arial"/>
                <w:lang w:val="es-ES_tradnl" w:eastAsia="es-ES_tradnl"/>
              </w:rPr>
              <w:t xml:space="preserve">               </w:t>
            </w:r>
          </w:p>
        </w:tc>
        <w:tc>
          <w:tcPr>
            <w:tcW w:w="6100" w:type="dxa"/>
          </w:tcPr>
          <w:p w14:paraId="00B8CF7F" w14:textId="77777777" w:rsidR="008630AA" w:rsidRPr="0088709C" w:rsidRDefault="008630AA" w:rsidP="001E4496">
            <w:pPr>
              <w:jc w:val="both"/>
              <w:rPr>
                <w:rFonts w:ascii="Verdana" w:eastAsia="Calibri" w:hAnsi="Verdana" w:cs="Arial"/>
                <w:lang w:val="es-ES_tradnl" w:eastAsia="es-ES_tradnl"/>
              </w:rPr>
            </w:pPr>
            <w:r w:rsidRPr="0088709C">
              <w:rPr>
                <w:rFonts w:ascii="Verdana" w:eastAsia="Calibri" w:hAnsi="Verdana" w:cs="Arial"/>
                <w:lang w:val="es-ES_tradnl" w:eastAsia="es-ES_tradnl"/>
              </w:rPr>
              <w:t xml:space="preserve">Respuesta a consulta con radicado No. </w:t>
            </w:r>
            <w:r w:rsidRPr="0088709C">
              <w:rPr>
                <w:rFonts w:ascii="Verdana" w:eastAsia="Calibri" w:hAnsi="Verdana" w:cs="Arial"/>
              </w:rPr>
              <w:t>P20241029010981</w:t>
            </w:r>
          </w:p>
        </w:tc>
      </w:tr>
    </w:tbl>
    <w:p w14:paraId="2096D4F9" w14:textId="77777777" w:rsidR="008630AA" w:rsidRPr="0088709C" w:rsidRDefault="008630AA" w:rsidP="008630AA">
      <w:pPr>
        <w:spacing w:after="0" w:line="240" w:lineRule="auto"/>
        <w:jc w:val="both"/>
        <w:rPr>
          <w:rFonts w:ascii="Verdana" w:eastAsia="Calibri" w:hAnsi="Verdana" w:cs="Arial"/>
          <w:lang w:val="es-ES_tradnl" w:eastAsia="es-ES_tradnl"/>
        </w:rPr>
      </w:pPr>
    </w:p>
    <w:p w14:paraId="55752AD9" w14:textId="77777777" w:rsidR="008630AA" w:rsidRPr="0088709C" w:rsidRDefault="008630AA" w:rsidP="008630AA">
      <w:pPr>
        <w:spacing w:after="0" w:line="240" w:lineRule="auto"/>
        <w:jc w:val="both"/>
        <w:rPr>
          <w:rFonts w:ascii="Verdana" w:eastAsia="Calibri" w:hAnsi="Verdana" w:cs="Arial"/>
          <w:lang w:val="es-ES_tradnl" w:eastAsia="es-ES_tradnl"/>
        </w:rPr>
      </w:pPr>
    </w:p>
    <w:p w14:paraId="0AF9B13C" w14:textId="77777777" w:rsidR="008630AA" w:rsidRPr="0088709C" w:rsidRDefault="008630AA" w:rsidP="008630AA">
      <w:pPr>
        <w:spacing w:after="0" w:line="276" w:lineRule="auto"/>
        <w:jc w:val="both"/>
        <w:rPr>
          <w:rFonts w:ascii="Verdana" w:eastAsia="Calibri" w:hAnsi="Verdana" w:cs="Arial"/>
          <w:lang w:val="es-ES" w:eastAsia="es-ES"/>
        </w:rPr>
      </w:pPr>
      <w:r w:rsidRPr="0088709C">
        <w:rPr>
          <w:rFonts w:ascii="Verdana" w:eastAsia="Calibri" w:hAnsi="Verdana" w:cs="Arial"/>
          <w:lang w:val="es-ES" w:eastAsia="es-ES"/>
        </w:rPr>
        <w:t xml:space="preserve">Estimada señora Nicole: </w:t>
      </w:r>
    </w:p>
    <w:p w14:paraId="2810FB94" w14:textId="77777777" w:rsidR="008630AA" w:rsidRPr="0088709C" w:rsidRDefault="008630AA" w:rsidP="008630AA">
      <w:pPr>
        <w:tabs>
          <w:tab w:val="left" w:pos="3768"/>
        </w:tabs>
        <w:spacing w:after="0" w:line="276" w:lineRule="auto"/>
        <w:jc w:val="both"/>
        <w:rPr>
          <w:rFonts w:ascii="Verdana" w:eastAsia="Calibri" w:hAnsi="Verdana" w:cs="Arial"/>
          <w:lang w:val="es-ES" w:eastAsia="es-ES"/>
        </w:rPr>
      </w:pPr>
      <w:r w:rsidRPr="0088709C">
        <w:rPr>
          <w:rFonts w:ascii="Verdana" w:eastAsia="Calibri" w:hAnsi="Verdana" w:cs="Arial"/>
          <w:lang w:val="es-ES" w:eastAsia="es-ES"/>
        </w:rPr>
        <w:tab/>
      </w:r>
    </w:p>
    <w:p w14:paraId="2E9019C2" w14:textId="77777777" w:rsidR="008630AA" w:rsidRPr="0088709C" w:rsidRDefault="008630AA" w:rsidP="008630AA">
      <w:pPr>
        <w:spacing w:after="0" w:line="276" w:lineRule="auto"/>
        <w:jc w:val="both"/>
        <w:rPr>
          <w:rFonts w:ascii="Verdana" w:eastAsia="Calibri" w:hAnsi="Verdana" w:cs="Arial"/>
          <w:lang w:val="es-ES" w:eastAsia="es-ES"/>
        </w:rPr>
      </w:pPr>
      <w:r w:rsidRPr="0088709C">
        <w:rPr>
          <w:rFonts w:ascii="Verdana" w:eastAsia="Calibri" w:hAnsi="Verdana" w:cs="Arial"/>
          <w:color w:val="000000" w:themeColor="text1"/>
          <w:lang w:val="es-ES" w:eastAsia="es-ES"/>
        </w:rPr>
        <w:t>En ejercicio de la competencia otorgada por los artículos 3, numeral 5º, y 11, numeral 8º, del Decreto Ley 4170 de 2011,</w:t>
      </w:r>
      <w:r w:rsidRPr="0088709C">
        <w:rPr>
          <w:rFonts w:ascii="Verdana" w:eastAsia="Arial MT" w:hAnsi="Verdana" w:cs="Arial MT"/>
          <w:lang w:val="es-ES" w:eastAsia="es-ES"/>
        </w:rPr>
        <w:t xml:space="preserve"> </w:t>
      </w:r>
      <w:r w:rsidRPr="0088709C">
        <w:rPr>
          <w:rFonts w:ascii="Verdana" w:hAnsi="Verdana" w:cs="Arial"/>
        </w:rPr>
        <w:t xml:space="preserve">así como lo establecido en el artículo 4 de la Resolución 1707 de 2018 expedida por esta Entidad, </w:t>
      </w:r>
      <w:r w:rsidRPr="0088709C">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sidRPr="0088709C">
        <w:rPr>
          <w:rFonts w:ascii="Verdana" w:eastAsia="Calibri" w:hAnsi="Verdana" w:cs="Arial"/>
        </w:rPr>
        <w:t>29 de octubre de 2024</w:t>
      </w:r>
      <w:r w:rsidRPr="0088709C">
        <w:rPr>
          <w:rFonts w:ascii="Verdana" w:eastAsia="Calibri" w:hAnsi="Verdana" w:cs="Arial"/>
          <w:lang w:val="es-ES" w:eastAsia="es-ES"/>
        </w:rPr>
        <w:t xml:space="preserve">, previamente remitida </w:t>
      </w:r>
      <w:r w:rsidRPr="0088709C">
        <w:rPr>
          <w:rFonts w:ascii="Verdana" w:eastAsia="Calibri" w:hAnsi="Verdana" w:cs="Arial"/>
        </w:rPr>
        <w:t xml:space="preserve">por el Departamento Administrativo de la Función Pública con oficio remisorio No. 20242040637541, </w:t>
      </w:r>
      <w:r w:rsidRPr="0088709C">
        <w:rPr>
          <w:rFonts w:ascii="Verdana" w:eastAsia="Calibri" w:hAnsi="Verdana" w:cs="Arial"/>
          <w:lang w:val="es-ES" w:eastAsia="es-ES"/>
        </w:rPr>
        <w:t xml:space="preserve">en la cual manifiesta lo siguiente: </w:t>
      </w:r>
    </w:p>
    <w:p w14:paraId="6938FBC5" w14:textId="77777777" w:rsidR="008630AA" w:rsidRPr="00272A7B" w:rsidRDefault="008630AA" w:rsidP="008630AA">
      <w:pPr>
        <w:pStyle w:val="Prrafodelista"/>
        <w:tabs>
          <w:tab w:val="left" w:pos="142"/>
          <w:tab w:val="left" w:pos="284"/>
        </w:tabs>
        <w:spacing w:line="276" w:lineRule="auto"/>
        <w:ind w:left="0"/>
        <w:jc w:val="both"/>
        <w:rPr>
          <w:rFonts w:ascii="Verdana" w:eastAsia="Century Gothic" w:hAnsi="Verdana" w:cs="Century Gothic"/>
          <w:b/>
          <w:bCs/>
        </w:rPr>
      </w:pPr>
    </w:p>
    <w:p w14:paraId="4A1F9BAB" w14:textId="77777777" w:rsidR="008630AA" w:rsidRPr="0018231F" w:rsidRDefault="008630AA" w:rsidP="008630AA">
      <w:pPr>
        <w:spacing w:after="0" w:line="240" w:lineRule="auto"/>
        <w:ind w:left="709" w:right="709"/>
        <w:jc w:val="both"/>
        <w:rPr>
          <w:rFonts w:ascii="Verdana" w:eastAsia="Calibri" w:hAnsi="Verdana" w:cs="Arial"/>
          <w:sz w:val="20"/>
          <w:szCs w:val="20"/>
        </w:rPr>
      </w:pPr>
      <w:bookmarkStart w:id="0" w:name="_Hlk95313578"/>
      <w:r w:rsidRPr="0018231F">
        <w:rPr>
          <w:rFonts w:ascii="Verdana" w:eastAsia="Century Gothic" w:hAnsi="Verdana" w:cs="Century Gothic"/>
          <w:sz w:val="20"/>
          <w:szCs w:val="20"/>
          <w:lang w:val="es-ES"/>
        </w:rPr>
        <w:t>“</w:t>
      </w:r>
      <w:r w:rsidRPr="0018231F">
        <w:rPr>
          <w:rFonts w:ascii="Verdana" w:eastAsia="Calibri" w:hAnsi="Verdana" w:cs="Arial"/>
          <w:sz w:val="20"/>
          <w:szCs w:val="20"/>
        </w:rPr>
        <w:t xml:space="preserve">[…] </w:t>
      </w:r>
    </w:p>
    <w:p w14:paraId="39A3C690" w14:textId="77777777" w:rsidR="008630AA" w:rsidRPr="0018231F" w:rsidRDefault="008630AA" w:rsidP="008630AA">
      <w:pPr>
        <w:spacing w:after="0" w:line="240" w:lineRule="auto"/>
        <w:ind w:left="709" w:right="709"/>
        <w:jc w:val="both"/>
        <w:rPr>
          <w:rFonts w:ascii="Verdana" w:eastAsia="Calibri" w:hAnsi="Verdana" w:cs="Arial"/>
          <w:sz w:val="20"/>
          <w:szCs w:val="20"/>
        </w:rPr>
      </w:pPr>
      <w:r w:rsidRPr="0018231F">
        <w:rPr>
          <w:rFonts w:ascii="Verdana" w:eastAsia="Calibri" w:hAnsi="Verdana" w:cs="Arial"/>
          <w:sz w:val="20"/>
          <w:szCs w:val="20"/>
        </w:rPr>
        <w:t>1. ¿Cuál es la normativa que obliga a las entidades públicas a realizar la publicación de los documentos completos de contratación en el SECOP y cuál es el plazo que tienen para presentar la información con el fin de garantizar que esta</w:t>
      </w:r>
      <w:r>
        <w:rPr>
          <w:rFonts w:ascii="Verdana" w:eastAsia="Calibri" w:hAnsi="Verdana" w:cs="Arial"/>
          <w:sz w:val="20"/>
          <w:szCs w:val="20"/>
        </w:rPr>
        <w:t>,</w:t>
      </w:r>
      <w:r w:rsidRPr="0018231F">
        <w:rPr>
          <w:rFonts w:ascii="Verdana" w:eastAsia="Calibri" w:hAnsi="Verdana" w:cs="Arial"/>
          <w:sz w:val="20"/>
          <w:szCs w:val="20"/>
        </w:rPr>
        <w:t xml:space="preserve"> en verdad</w:t>
      </w:r>
      <w:r>
        <w:rPr>
          <w:rFonts w:ascii="Verdana" w:eastAsia="Calibri" w:hAnsi="Verdana" w:cs="Arial"/>
          <w:sz w:val="20"/>
          <w:szCs w:val="20"/>
        </w:rPr>
        <w:t>,</w:t>
      </w:r>
      <w:r w:rsidRPr="0018231F">
        <w:rPr>
          <w:rFonts w:ascii="Verdana" w:eastAsia="Calibri" w:hAnsi="Verdana" w:cs="Arial"/>
          <w:sz w:val="20"/>
          <w:szCs w:val="20"/>
        </w:rPr>
        <w:t xml:space="preserve"> sea pública y no tener que recurrir a otros medios para solicitarla sin exponer la vida?</w:t>
      </w:r>
    </w:p>
    <w:p w14:paraId="5B055B2D" w14:textId="77777777" w:rsidR="008630AA" w:rsidRPr="0018231F" w:rsidRDefault="008630AA" w:rsidP="008630AA">
      <w:pPr>
        <w:spacing w:after="0" w:line="240" w:lineRule="auto"/>
        <w:ind w:left="709" w:right="709"/>
        <w:jc w:val="both"/>
        <w:rPr>
          <w:rFonts w:ascii="Verdana" w:eastAsia="Calibri" w:hAnsi="Verdana" w:cs="Arial"/>
          <w:sz w:val="20"/>
          <w:szCs w:val="20"/>
        </w:rPr>
      </w:pPr>
      <w:r w:rsidRPr="0018231F">
        <w:rPr>
          <w:rFonts w:ascii="Verdana" w:eastAsia="Calibri" w:hAnsi="Verdana" w:cs="Arial"/>
          <w:sz w:val="20"/>
          <w:szCs w:val="20"/>
        </w:rPr>
        <w:t>[…]”</w:t>
      </w:r>
      <w:bookmarkEnd w:id="0"/>
      <w:r w:rsidRPr="0018231F">
        <w:rPr>
          <w:rFonts w:ascii="Verdana" w:eastAsia="Calibri" w:hAnsi="Verdana" w:cs="Arial"/>
          <w:sz w:val="20"/>
          <w:szCs w:val="20"/>
        </w:rPr>
        <w:t>.</w:t>
      </w:r>
    </w:p>
    <w:p w14:paraId="7787B785" w14:textId="77777777" w:rsidR="008630AA" w:rsidRPr="00593A5F" w:rsidRDefault="008630AA" w:rsidP="008630AA">
      <w:pPr>
        <w:pStyle w:val="Prrafodelista"/>
        <w:tabs>
          <w:tab w:val="left" w:pos="142"/>
          <w:tab w:val="left" w:pos="284"/>
        </w:tabs>
        <w:spacing w:line="276" w:lineRule="auto"/>
        <w:ind w:left="0"/>
        <w:jc w:val="both"/>
        <w:rPr>
          <w:rFonts w:ascii="Verdana" w:eastAsia="Century Gothic" w:hAnsi="Verdana" w:cs="Century Gothic"/>
          <w:b/>
          <w:bCs/>
        </w:rPr>
      </w:pPr>
    </w:p>
    <w:p w14:paraId="2C9851EB" w14:textId="77777777" w:rsidR="008630AA" w:rsidRDefault="008630AA" w:rsidP="008630AA">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6A8B6DB9" w14:textId="77777777" w:rsidR="008630AA" w:rsidRPr="0018231F" w:rsidRDefault="008630AA" w:rsidP="008630AA">
      <w:pPr>
        <w:spacing w:after="0" w:line="276" w:lineRule="auto"/>
        <w:ind w:firstLine="709"/>
        <w:jc w:val="both"/>
        <w:rPr>
          <w:rFonts w:ascii="Verdana" w:eastAsia="Calibri" w:hAnsi="Verdana" w:cs="Arial"/>
          <w:lang w:val="es-ES" w:eastAsia="es-ES"/>
        </w:rPr>
      </w:pPr>
      <w:r w:rsidRPr="00593A5F">
        <w:rPr>
          <w:rFonts w:ascii="Verdana" w:eastAsia="Calibri" w:hAnsi="Verdana" w:cs="Arial"/>
          <w:color w:val="000000"/>
          <w:lang w:val="es-ES" w:eastAsia="es-ES"/>
        </w:rPr>
        <w:t xml:space="preserve">Conforme lo expuesto, en aras de satisfacer el derecho fundamental de petición se resolverá su consulta dentro de los </w:t>
      </w:r>
      <w:r w:rsidRPr="0018231F">
        <w:rPr>
          <w:rFonts w:ascii="Verdana" w:eastAsia="Calibri" w:hAnsi="Verdana" w:cs="Arial"/>
          <w:lang w:val="es-ES" w:eastAsia="es-ES"/>
        </w:rPr>
        <w:t xml:space="preserve">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01FD4BBF" w14:textId="77777777" w:rsidR="008630AA" w:rsidRPr="0018231F" w:rsidRDefault="008630AA" w:rsidP="008630AA">
      <w:pPr>
        <w:spacing w:after="0" w:line="276" w:lineRule="auto"/>
        <w:ind w:firstLine="709"/>
        <w:jc w:val="both"/>
        <w:rPr>
          <w:rFonts w:ascii="Verdana" w:eastAsia="Calibri" w:hAnsi="Verdana" w:cs="Arial"/>
          <w:lang w:val="es-ES" w:eastAsia="es-ES"/>
        </w:rPr>
      </w:pPr>
    </w:p>
    <w:p w14:paraId="6D4F8353" w14:textId="77777777" w:rsidR="008630AA" w:rsidRPr="0018231F" w:rsidRDefault="008630AA" w:rsidP="008630AA">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8231F">
        <w:rPr>
          <w:rFonts w:ascii="Verdana" w:eastAsia="Century Gothic" w:hAnsi="Verdana" w:cs="Century Gothic"/>
          <w:b/>
          <w:bCs/>
        </w:rPr>
        <w:t>Problema planteado:</w:t>
      </w:r>
    </w:p>
    <w:p w14:paraId="1E6DF60D" w14:textId="77777777" w:rsidR="008630AA" w:rsidRPr="00593A5F" w:rsidRDefault="008630AA" w:rsidP="008630AA">
      <w:pPr>
        <w:tabs>
          <w:tab w:val="left" w:pos="426"/>
        </w:tabs>
        <w:spacing w:after="0" w:line="276" w:lineRule="auto"/>
        <w:jc w:val="both"/>
        <w:rPr>
          <w:rFonts w:ascii="Verdana" w:eastAsia="Century Gothic" w:hAnsi="Verdana" w:cs="Century Gothic"/>
          <w:lang w:val="es-ES"/>
        </w:rPr>
      </w:pPr>
    </w:p>
    <w:p w14:paraId="503F7C62" w14:textId="302793FC" w:rsidR="00197912" w:rsidRPr="004D7DD2" w:rsidRDefault="008630AA" w:rsidP="00197912">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w:t>
      </w:r>
      <w:r>
        <w:rPr>
          <w:rFonts w:ascii="Verdana" w:eastAsia="Century Gothic" w:hAnsi="Verdana" w:cs="Century Gothic"/>
        </w:rPr>
        <w:t xml:space="preserve">teniendo en cuenta que requiere conocer la normativa que obliga a las Entidades Estatales a publicar su actividad contractual en el SECOP II y el término máximo para tal fin, </w:t>
      </w:r>
      <w:r w:rsidRPr="00593A5F">
        <w:rPr>
          <w:rFonts w:ascii="Verdana" w:eastAsia="Century Gothic" w:hAnsi="Verdana" w:cs="Century Gothic"/>
        </w:rPr>
        <w:t xml:space="preserve">esta Agencia resolverá </w:t>
      </w:r>
      <w:r w:rsidR="00197912">
        <w:rPr>
          <w:rFonts w:ascii="Verdana" w:eastAsia="Century Gothic" w:hAnsi="Verdana" w:cs="Century Gothic"/>
        </w:rPr>
        <w:t>el</w:t>
      </w:r>
      <w:r w:rsidRPr="00593A5F">
        <w:rPr>
          <w:rFonts w:ascii="Verdana" w:eastAsia="Century Gothic" w:hAnsi="Verdana" w:cs="Century Gothic"/>
        </w:rPr>
        <w:t xml:space="preserve"> siguiente problema jurídico:</w:t>
      </w:r>
      <w:r w:rsidRPr="0018231F">
        <w:rPr>
          <w:rFonts w:ascii="Verdana" w:eastAsia="Century Gothic" w:hAnsi="Verdana" w:cs="Century Gothic"/>
        </w:rPr>
        <w:t xml:space="preserve"> ¿</w:t>
      </w:r>
      <w:r w:rsidR="00197912">
        <w:rPr>
          <w:rFonts w:ascii="Verdana" w:eastAsia="Century Gothic" w:hAnsi="Verdana" w:cs="Century Gothic"/>
        </w:rPr>
        <w:t>L</w:t>
      </w:r>
      <w:r w:rsidR="00197912" w:rsidRPr="004D7DD2">
        <w:rPr>
          <w:rFonts w:ascii="Verdana" w:eastAsia="Century Gothic" w:hAnsi="Verdana" w:cs="Century Gothic"/>
        </w:rPr>
        <w:t xml:space="preserve">as entidades con régimen de contratación </w:t>
      </w:r>
      <w:r w:rsidR="00197912" w:rsidRPr="00842456">
        <w:rPr>
          <w:rFonts w:ascii="Verdana" w:eastAsia="Century Gothic" w:hAnsi="Verdana" w:cs="Century Gothic"/>
        </w:rPr>
        <w:t>excepcional al del Estatuto General de Contratación de la Administración Pública</w:t>
      </w:r>
      <w:r w:rsidR="00197912" w:rsidRPr="004D7DD2">
        <w:rPr>
          <w:rFonts w:ascii="Verdana" w:eastAsia="Century Gothic" w:hAnsi="Verdana" w:cs="Century Gothic"/>
        </w:rPr>
        <w:t xml:space="preserve"> están obligadas a publicar su actividad contractual en el SECOP II? </w:t>
      </w:r>
    </w:p>
    <w:p w14:paraId="7B8514AE" w14:textId="2F2A6C65" w:rsidR="008630AA" w:rsidRPr="0018231F" w:rsidRDefault="008630AA" w:rsidP="008630AA">
      <w:pPr>
        <w:spacing w:after="0" w:line="276" w:lineRule="auto"/>
        <w:jc w:val="both"/>
        <w:rPr>
          <w:rFonts w:ascii="Verdana" w:eastAsia="Century Gothic" w:hAnsi="Verdana" w:cs="Century Gothic"/>
        </w:rPr>
      </w:pPr>
    </w:p>
    <w:p w14:paraId="3B774DC0" w14:textId="77777777" w:rsidR="008630AA" w:rsidRPr="00593A5F" w:rsidRDefault="008630AA" w:rsidP="008630AA">
      <w:pPr>
        <w:spacing w:after="0" w:line="276" w:lineRule="auto"/>
        <w:jc w:val="both"/>
        <w:rPr>
          <w:rFonts w:ascii="Verdana" w:eastAsia="Calibri" w:hAnsi="Verdana" w:cs="Arial"/>
          <w:color w:val="7030A0"/>
          <w:lang w:val="es-ES"/>
        </w:rPr>
      </w:pPr>
    </w:p>
    <w:p w14:paraId="6AEE8003" w14:textId="77777777" w:rsidR="008630AA" w:rsidRPr="00593A5F" w:rsidRDefault="008630AA" w:rsidP="008630A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5AB1D4F2" w14:textId="77777777" w:rsidR="008630AA" w:rsidRPr="00593A5F" w:rsidRDefault="008630AA" w:rsidP="008630AA">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630AA" w:rsidRPr="00593A5F" w14:paraId="5FC82910" w14:textId="77777777" w:rsidTr="001E4496">
        <w:tc>
          <w:tcPr>
            <w:tcW w:w="8828" w:type="dxa"/>
            <w:shd w:val="clear" w:color="auto" w:fill="auto"/>
          </w:tcPr>
          <w:p w14:paraId="73432A71" w14:textId="77777777" w:rsidR="008630AA" w:rsidRDefault="008630AA" w:rsidP="001E4496">
            <w:pPr>
              <w:tabs>
                <w:tab w:val="left" w:pos="1665"/>
              </w:tabs>
              <w:spacing w:line="276" w:lineRule="auto"/>
              <w:jc w:val="both"/>
              <w:rPr>
                <w:rFonts w:ascii="Verdana" w:eastAsia="Calibri" w:hAnsi="Verdana" w:cs="Arial"/>
                <w:color w:val="7030A0"/>
                <w:lang w:val="es-ES"/>
              </w:rPr>
            </w:pPr>
          </w:p>
          <w:p w14:paraId="3806FF80" w14:textId="1E0C97EA" w:rsidR="00F3328F" w:rsidRDefault="00F3328F" w:rsidP="00F3328F">
            <w:pPr>
              <w:spacing w:line="276" w:lineRule="auto"/>
              <w:jc w:val="both"/>
              <w:rPr>
                <w:rFonts w:ascii="Verdana" w:eastAsia="Calibri" w:hAnsi="Verdana" w:cs="Arial"/>
              </w:rPr>
            </w:pPr>
            <w:r>
              <w:rPr>
                <w:rFonts w:ascii="Verdana" w:eastAsia="Calibri" w:hAnsi="Verdana" w:cs="Arial"/>
              </w:rPr>
              <w:t>Frente al interrogante planteado, es necesario señalar que e</w:t>
            </w:r>
            <w:r w:rsidRPr="001E35FA">
              <w:rPr>
                <w:rFonts w:ascii="Verdana" w:eastAsia="Calibri" w:hAnsi="Verdana" w:cs="Arial"/>
              </w:rPr>
              <w:t xml:space="preserve">l artículo 53 de la Ley 2195 de 2022 </w:t>
            </w:r>
            <w:r w:rsidR="00446B66" w:rsidRPr="001E35FA">
              <w:rPr>
                <w:rFonts w:ascii="Verdana" w:eastAsia="Calibri" w:hAnsi="Verdana" w:cs="Arial"/>
              </w:rPr>
              <w:t>establec</w:t>
            </w:r>
            <w:r w:rsidR="00446B66">
              <w:rPr>
                <w:rFonts w:ascii="Verdana" w:eastAsia="Calibri" w:hAnsi="Verdana" w:cs="Arial"/>
              </w:rPr>
              <w:t>ió</w:t>
            </w:r>
            <w:r>
              <w:rPr>
                <w:rFonts w:ascii="Verdana" w:eastAsia="Calibri" w:hAnsi="Verdana" w:cs="Arial"/>
              </w:rPr>
              <w:t xml:space="preserve"> de forma expresa  el deber de l</w:t>
            </w:r>
            <w:r w:rsidRPr="00842456">
              <w:rPr>
                <w:rFonts w:ascii="Verdana" w:eastAsia="Calibri" w:hAnsi="Verdana" w:cs="Arial"/>
              </w:rPr>
              <w:t xml:space="preserve">as entidades estatales que por disposición legal cuenten con un régimen contractual excepcional al del Estatuto General de Contratación de la Administración </w:t>
            </w:r>
            <w:r w:rsidRPr="00842456">
              <w:rPr>
                <w:rFonts w:ascii="Verdana" w:eastAsia="Calibri" w:hAnsi="Verdana" w:cs="Arial"/>
              </w:rPr>
              <w:lastRenderedPageBreak/>
              <w:t xml:space="preserve">Pública, </w:t>
            </w:r>
            <w:r>
              <w:rPr>
                <w:rFonts w:ascii="Verdana" w:eastAsia="Calibri" w:hAnsi="Verdana" w:cs="Arial"/>
              </w:rPr>
              <w:t xml:space="preserve">aplicar los principios de la función administrativa y </w:t>
            </w:r>
            <w:r w:rsidRPr="00EB7870">
              <w:rPr>
                <w:rFonts w:ascii="Verdana" w:eastAsia="Calibri" w:hAnsi="Verdana" w:cs="Arial"/>
              </w:rPr>
              <w:t xml:space="preserve">de la gestión fiscal de que tratan los </w:t>
            </w:r>
            <w:r w:rsidRPr="00E34E6B">
              <w:rPr>
                <w:rFonts w:ascii="Verdana" w:eastAsia="Calibri" w:hAnsi="Verdana" w:cs="Arial"/>
              </w:rPr>
              <w:t>artículos </w:t>
            </w:r>
            <w:hyperlink r:id="rId12" w:anchor="209" w:history="1">
              <w:r w:rsidRPr="00E34E6B">
                <w:rPr>
                  <w:rStyle w:val="Hipervnculo"/>
                  <w:rFonts w:ascii="Verdana" w:eastAsia="Calibri" w:hAnsi="Verdana" w:cs="Arial"/>
                </w:rPr>
                <w:t>209</w:t>
              </w:r>
            </w:hyperlink>
            <w:r w:rsidRPr="00E34E6B">
              <w:rPr>
                <w:rFonts w:ascii="Verdana" w:eastAsia="Calibri" w:hAnsi="Verdana" w:cs="Arial"/>
              </w:rPr>
              <w:t> y </w:t>
            </w:r>
            <w:hyperlink r:id="rId13" w:anchor="267" w:history="1">
              <w:r w:rsidRPr="00E34E6B">
                <w:rPr>
                  <w:rStyle w:val="Hipervnculo"/>
                  <w:rFonts w:ascii="Verdana" w:eastAsia="Calibri" w:hAnsi="Verdana" w:cs="Arial"/>
                </w:rPr>
                <w:t>267</w:t>
              </w:r>
            </w:hyperlink>
            <w:r w:rsidRPr="00E34E6B">
              <w:rPr>
                <w:rFonts w:ascii="Verdana" w:eastAsia="Calibri" w:hAnsi="Verdana" w:cs="Arial"/>
              </w:rPr>
              <w:t> de l</w:t>
            </w:r>
            <w:r w:rsidRPr="00842456">
              <w:rPr>
                <w:rFonts w:ascii="Verdana" w:eastAsia="Calibri" w:hAnsi="Verdana" w:cs="Arial"/>
              </w:rPr>
              <w:t>a Constitución Política</w:t>
            </w:r>
            <w:r>
              <w:rPr>
                <w:rFonts w:ascii="Verdana" w:eastAsia="Calibri" w:hAnsi="Verdana" w:cs="Arial"/>
              </w:rPr>
              <w:t xml:space="preserve"> y en virtud de los  cuales d</w:t>
            </w:r>
            <w:r w:rsidRPr="00EB7870">
              <w:rPr>
                <w:rFonts w:ascii="Verdana" w:eastAsia="Calibri" w:hAnsi="Verdana" w:cs="Arial"/>
              </w:rPr>
              <w:t>eberán publicar los documentos relacionados con su actividad contractual en el Sistema Electrónico para la Contratación Pública (SECOP II) o la plataforma transaccional que haga sus veces.</w:t>
            </w:r>
          </w:p>
          <w:p w14:paraId="7F84B4C7" w14:textId="77777777" w:rsidR="00F3328F" w:rsidRDefault="00F3328F" w:rsidP="00F3328F">
            <w:pPr>
              <w:spacing w:line="276" w:lineRule="auto"/>
              <w:jc w:val="both"/>
              <w:rPr>
                <w:rFonts w:ascii="Verdana" w:eastAsia="Calibri" w:hAnsi="Verdana" w:cs="Arial"/>
              </w:rPr>
            </w:pPr>
          </w:p>
          <w:p w14:paraId="211829FC" w14:textId="437E650C" w:rsidR="00F3328F" w:rsidRDefault="00F3328F" w:rsidP="00F3328F">
            <w:pPr>
              <w:spacing w:line="276" w:lineRule="auto"/>
              <w:jc w:val="both"/>
              <w:rPr>
                <w:rFonts w:ascii="Verdana" w:eastAsia="Calibri" w:hAnsi="Verdana" w:cs="Arial"/>
                <w:lang w:val="es-ES"/>
              </w:rPr>
            </w:pPr>
            <w:r>
              <w:rPr>
                <w:rFonts w:ascii="Verdana" w:eastAsia="Calibri" w:hAnsi="Verdana" w:cs="Arial"/>
              </w:rPr>
              <w:t>Ahora bien, el té</w:t>
            </w:r>
            <w:r w:rsidRPr="00EB7870">
              <w:rPr>
                <w:rFonts w:ascii="Verdana" w:eastAsia="Calibri" w:hAnsi="Verdana" w:cs="Arial"/>
              </w:rPr>
              <w:t xml:space="preserve">rmino para publicar los </w:t>
            </w:r>
            <w:r w:rsidR="00C75788" w:rsidRPr="00EB7870">
              <w:rPr>
                <w:rFonts w:ascii="Verdana" w:eastAsia="Calibri" w:hAnsi="Verdana" w:cs="Arial"/>
              </w:rPr>
              <w:t xml:space="preserve">documentos </w:t>
            </w:r>
            <w:r w:rsidR="00C75788">
              <w:rPr>
                <w:rFonts w:ascii="Verdana" w:eastAsia="Calibri" w:hAnsi="Verdana" w:cs="Arial"/>
              </w:rPr>
              <w:t>del</w:t>
            </w:r>
            <w:r>
              <w:rPr>
                <w:rFonts w:ascii="Verdana" w:eastAsia="Calibri" w:hAnsi="Verdana" w:cs="Arial"/>
              </w:rPr>
              <w:t xml:space="preserve"> proceso </w:t>
            </w:r>
            <w:r w:rsidRPr="00425947">
              <w:rPr>
                <w:rFonts w:ascii="Verdana" w:eastAsia="Calibri" w:hAnsi="Verdana" w:cs="Arial"/>
              </w:rPr>
              <w:t>y los actos administrativos del Proceso de Contratación</w:t>
            </w:r>
            <w:r>
              <w:rPr>
                <w:rFonts w:ascii="Verdana" w:eastAsia="Calibri" w:hAnsi="Verdana" w:cs="Arial"/>
              </w:rPr>
              <w:t xml:space="preserve"> </w:t>
            </w:r>
            <w:r w:rsidRPr="00EB7870">
              <w:rPr>
                <w:rFonts w:ascii="Verdana" w:eastAsia="Calibri" w:hAnsi="Verdana" w:cs="Arial"/>
              </w:rPr>
              <w:t xml:space="preserve">en el SECOP </w:t>
            </w:r>
            <w:r>
              <w:rPr>
                <w:rFonts w:ascii="Verdana" w:eastAsia="Calibri" w:hAnsi="Verdana" w:cs="Arial"/>
              </w:rPr>
              <w:t xml:space="preserve">se encuentra establecido </w:t>
            </w:r>
            <w:r w:rsidRPr="00EB7870">
              <w:rPr>
                <w:rFonts w:ascii="Verdana" w:eastAsia="Calibri" w:hAnsi="Verdana" w:cs="Arial"/>
              </w:rPr>
              <w:t xml:space="preserve">artículo 2.2.1.1.1.7.1 del Decreto 1082 de 2015, esto es, dentro de los tres (3) </w:t>
            </w:r>
            <w:r w:rsidR="00446B66" w:rsidRPr="00EB7870">
              <w:rPr>
                <w:rFonts w:ascii="Verdana" w:eastAsia="Calibri" w:hAnsi="Verdana" w:cs="Arial"/>
              </w:rPr>
              <w:t>días</w:t>
            </w:r>
            <w:r w:rsidRPr="00EB7870">
              <w:rPr>
                <w:rFonts w:ascii="Verdana" w:eastAsia="Calibri" w:hAnsi="Verdana" w:cs="Arial"/>
              </w:rPr>
              <w:t xml:space="preserve"> siguientes a la expedición del documento</w:t>
            </w:r>
            <w:r>
              <w:rPr>
                <w:rFonts w:ascii="Verdana" w:eastAsia="Calibri" w:hAnsi="Verdana" w:cs="Arial"/>
              </w:rPr>
              <w:t xml:space="preserve">. En concordancia con lo anterior, esta Agencia expidió </w:t>
            </w:r>
            <w:r w:rsidRPr="001E35FA">
              <w:rPr>
                <w:rFonts w:ascii="Verdana" w:eastAsia="Calibri" w:hAnsi="Verdana" w:cs="Arial"/>
                <w:lang w:val="es-ES"/>
              </w:rPr>
              <w:t xml:space="preserve">la Circular Externa No. 002 del 23 de agosto de 2024, </w:t>
            </w:r>
            <w:r>
              <w:rPr>
                <w:rFonts w:ascii="Verdana" w:eastAsia="Calibri" w:hAnsi="Verdana" w:cs="Arial"/>
                <w:lang w:val="es-ES"/>
              </w:rPr>
              <w:t>la cual ratifica</w:t>
            </w:r>
            <w:r w:rsidRPr="001E35FA">
              <w:rPr>
                <w:rFonts w:ascii="Verdana" w:eastAsia="Calibri" w:hAnsi="Verdana" w:cs="Arial"/>
                <w:lang w:val="es-ES"/>
              </w:rPr>
              <w:t xml:space="preserve"> que “[…] el término que tienen las Entidades Estatales que por disposición legal cuenten con un régimen contractual excepcional al del Estatuto General de Contratación de la Administración Pública para publicar en el SECOP II es de tres (3) días posterior a su expedición”. </w:t>
            </w:r>
          </w:p>
          <w:p w14:paraId="370F6D68" w14:textId="77777777" w:rsidR="00F3328F" w:rsidRDefault="00F3328F" w:rsidP="00F3328F">
            <w:pPr>
              <w:spacing w:line="276" w:lineRule="auto"/>
              <w:jc w:val="both"/>
              <w:rPr>
                <w:rFonts w:ascii="Verdana" w:eastAsia="Calibri" w:hAnsi="Verdana" w:cs="Arial"/>
                <w:lang w:val="es-ES"/>
              </w:rPr>
            </w:pPr>
          </w:p>
          <w:p w14:paraId="65E505D9" w14:textId="77777777" w:rsidR="00F3328F" w:rsidRPr="00AB24F3" w:rsidRDefault="00F3328F" w:rsidP="00F3328F">
            <w:pPr>
              <w:tabs>
                <w:tab w:val="left" w:pos="709"/>
              </w:tabs>
              <w:spacing w:before="120" w:after="120" w:line="276" w:lineRule="auto"/>
              <w:jc w:val="both"/>
              <w:rPr>
                <w:rFonts w:ascii="Verdana" w:hAnsi="Verdana" w:cs="Arial"/>
                <w:shd w:val="clear" w:color="auto" w:fill="FFFFFF"/>
              </w:rPr>
            </w:pPr>
            <w:r w:rsidRPr="00120A22">
              <w:rPr>
                <w:rFonts w:ascii="Verdana" w:eastAsia="Calibri" w:hAnsi="Verdana" w:cs="Arial"/>
                <w:lang w:val="es-ES"/>
              </w:rPr>
              <w:t>Ahora bien, vale la pena señalar que el SECOP II es una plataforma transaccional, en ese sentido</w:t>
            </w:r>
            <w:r w:rsidRPr="00120A22">
              <w:rPr>
                <w:rFonts w:ascii="Verdana" w:hAnsi="Verdana" w:cs="Arial"/>
                <w:shd w:val="clear" w:color="auto" w:fill="FFFFFF"/>
              </w:rPr>
              <w:t>, el término de tres (3) días para publicar, en la práctica, no opera en las actuaciones generadas de manera electrónica dentro de los procedimientos gestionados a través de SECOP II, como</w:t>
            </w:r>
            <w:r>
              <w:rPr>
                <w:rFonts w:ascii="Verdana" w:hAnsi="Verdana" w:cs="Arial"/>
                <w:shd w:val="clear" w:color="auto" w:fill="FFFFFF"/>
              </w:rPr>
              <w:t xml:space="preserve"> </w:t>
            </w:r>
            <w:r w:rsidRPr="00120A22">
              <w:rPr>
                <w:rFonts w:ascii="Verdana" w:hAnsi="Verdana" w:cs="Arial"/>
                <w:shd w:val="clear" w:color="auto" w:fill="FFFFFF"/>
              </w:rPr>
              <w:t xml:space="preserve">quiera que tales documentos son creados o expedidos mediante la propia plataforma, razón por la que una vez estos se aprueban quedan inmediatamente publicados, sin que transcurra el referido término. </w:t>
            </w:r>
          </w:p>
          <w:p w14:paraId="1E1E3239" w14:textId="77777777" w:rsidR="00F3328F" w:rsidRPr="004D7DD2" w:rsidRDefault="00F3328F" w:rsidP="00F3328F">
            <w:pPr>
              <w:spacing w:line="276" w:lineRule="auto"/>
              <w:jc w:val="both"/>
              <w:rPr>
                <w:rFonts w:ascii="Verdana" w:eastAsia="Calibri" w:hAnsi="Verdana" w:cs="Arial"/>
              </w:rPr>
            </w:pPr>
            <w:r w:rsidRPr="001E35FA">
              <w:rPr>
                <w:rFonts w:ascii="Verdana" w:eastAsia="Calibri" w:hAnsi="Verdana" w:cs="Arial"/>
                <w:lang w:val="es-ES"/>
              </w:rPr>
              <w:t>E</w:t>
            </w:r>
            <w:r>
              <w:rPr>
                <w:rFonts w:ascii="Verdana" w:eastAsia="Calibri" w:hAnsi="Verdana" w:cs="Arial"/>
                <w:lang w:val="es-ES"/>
              </w:rPr>
              <w:t>n conclusión</w:t>
            </w:r>
            <w:r w:rsidRPr="001E35FA">
              <w:rPr>
                <w:rFonts w:ascii="Verdana" w:eastAsia="Calibri" w:hAnsi="Verdana" w:cs="Arial"/>
                <w:lang w:val="es-ES"/>
              </w:rPr>
              <w:t xml:space="preserve"> </w:t>
            </w:r>
            <w:r>
              <w:rPr>
                <w:rFonts w:ascii="Verdana" w:eastAsia="Calibri" w:hAnsi="Verdana" w:cs="Arial"/>
              </w:rPr>
              <w:t>l</w:t>
            </w:r>
            <w:r w:rsidRPr="00842456">
              <w:rPr>
                <w:rFonts w:ascii="Verdana" w:eastAsia="Calibri" w:hAnsi="Verdana" w:cs="Arial"/>
              </w:rPr>
              <w:t>as entidades estatales que por disposición legal cuenten con un régimen contractual excepcional al del Estatuto General de Contratación de la Administración Pública</w:t>
            </w:r>
            <w:r>
              <w:rPr>
                <w:rFonts w:ascii="Verdana" w:eastAsia="Calibri" w:hAnsi="Verdana" w:cs="Arial"/>
              </w:rPr>
              <w:t xml:space="preserve">, </w:t>
            </w:r>
            <w:r>
              <w:rPr>
                <w:rFonts w:ascii="Verdana" w:eastAsia="Calibri" w:hAnsi="Verdana" w:cs="Arial"/>
                <w:lang w:val="es-ES"/>
              </w:rPr>
              <w:t xml:space="preserve">están obligadas a publicar en el Secop II y </w:t>
            </w:r>
            <w:r w:rsidRPr="001E35FA">
              <w:rPr>
                <w:rFonts w:ascii="Verdana" w:eastAsia="Calibri" w:hAnsi="Verdana" w:cs="Arial"/>
                <w:lang w:val="es-ES"/>
              </w:rPr>
              <w:t>les es aplicable la regla de publicación de los tres (3) días siguientes a la expedición de acto administrativo o Documento del Proceso, dispuesta en el artículo 2.2.1.1.1.7.1 del Decreto 1082 de 2015 por remisión expresa del artículo 2.1.1.2.1.7 del Decreto 1081 de 2015</w:t>
            </w:r>
            <w:r>
              <w:rPr>
                <w:rFonts w:ascii="Verdana" w:eastAsia="Calibri" w:hAnsi="Verdana" w:cs="Arial"/>
              </w:rPr>
              <w:t>, permitiendo garantizar los principios de publicidad, transparencia y función administrativa.</w:t>
            </w:r>
          </w:p>
          <w:p w14:paraId="737EBA90" w14:textId="77777777" w:rsidR="008630AA" w:rsidRPr="00593A5F" w:rsidRDefault="008630AA" w:rsidP="001E4496">
            <w:pPr>
              <w:spacing w:line="276" w:lineRule="auto"/>
              <w:jc w:val="both"/>
              <w:rPr>
                <w:rFonts w:ascii="Verdana" w:eastAsia="Calibri" w:hAnsi="Verdana" w:cs="Arial"/>
                <w:color w:val="7030A0"/>
                <w:lang w:val="es-ES"/>
              </w:rPr>
            </w:pPr>
            <w:r w:rsidRPr="00593A5F">
              <w:rPr>
                <w:rFonts w:ascii="Verdana" w:eastAsia="Calibri" w:hAnsi="Verdana" w:cs="Arial"/>
                <w:color w:val="7030A0"/>
                <w:lang w:val="es-ES"/>
              </w:rPr>
              <w:t xml:space="preserve"> </w:t>
            </w:r>
          </w:p>
        </w:tc>
      </w:tr>
    </w:tbl>
    <w:p w14:paraId="1CDC234E" w14:textId="77777777" w:rsidR="008630AA" w:rsidRPr="00593A5F" w:rsidRDefault="008630AA" w:rsidP="008630AA">
      <w:pPr>
        <w:tabs>
          <w:tab w:val="left" w:pos="142"/>
          <w:tab w:val="left" w:pos="284"/>
        </w:tabs>
        <w:spacing w:after="0" w:line="276" w:lineRule="auto"/>
        <w:jc w:val="both"/>
        <w:rPr>
          <w:rFonts w:ascii="Verdana" w:eastAsia="Century Gothic" w:hAnsi="Verdana" w:cs="Century Gothic"/>
          <w:b/>
          <w:bCs/>
          <w:lang w:val="es-ES"/>
        </w:rPr>
      </w:pPr>
    </w:p>
    <w:p w14:paraId="44432EAB" w14:textId="77777777" w:rsidR="008630AA" w:rsidRPr="00593A5F" w:rsidRDefault="008630AA" w:rsidP="008630A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0622CF6" w14:textId="77777777" w:rsidR="008630AA" w:rsidRPr="00593A5F" w:rsidRDefault="008630AA" w:rsidP="008630AA">
      <w:pPr>
        <w:spacing w:after="0" w:line="276" w:lineRule="auto"/>
        <w:jc w:val="both"/>
        <w:rPr>
          <w:rFonts w:ascii="Verdana" w:eastAsia="Calibri" w:hAnsi="Verdana" w:cs="Arial"/>
          <w:color w:val="7030A0"/>
          <w:lang w:val="es-ES"/>
        </w:rPr>
      </w:pPr>
    </w:p>
    <w:p w14:paraId="3163C737" w14:textId="77777777" w:rsidR="008630AA" w:rsidRPr="00B96799" w:rsidRDefault="008630AA" w:rsidP="008630AA">
      <w:pPr>
        <w:spacing w:after="0" w:line="276" w:lineRule="auto"/>
        <w:jc w:val="both"/>
        <w:rPr>
          <w:rFonts w:ascii="Verdana" w:eastAsia="Calibri" w:hAnsi="Verdana" w:cs="Arial"/>
          <w:lang w:val="es-ES"/>
        </w:rPr>
      </w:pPr>
      <w:r w:rsidRPr="00B96799">
        <w:rPr>
          <w:rFonts w:ascii="Verdana" w:eastAsia="Calibri" w:hAnsi="Verdana" w:cs="Arial"/>
          <w:lang w:val="es-ES"/>
        </w:rPr>
        <w:lastRenderedPageBreak/>
        <w:t xml:space="preserve">Lo anterior se sustenta en las siguientes consideraciones: </w:t>
      </w:r>
    </w:p>
    <w:p w14:paraId="5BDE4765" w14:textId="77777777" w:rsidR="008630AA" w:rsidRPr="006A457C" w:rsidRDefault="008630AA" w:rsidP="008630AA">
      <w:pPr>
        <w:rPr>
          <w:rFonts w:ascii="Verdana" w:eastAsia="Calibri" w:hAnsi="Verdana" w:cs="Arial"/>
          <w:color w:val="7030A0"/>
          <w:lang w:val="es-ES"/>
        </w:rPr>
      </w:pPr>
    </w:p>
    <w:p w14:paraId="7965D34A" w14:textId="77777777" w:rsidR="008630AA" w:rsidRPr="00DB6EFB" w:rsidRDefault="008630AA" w:rsidP="008630AA">
      <w:pPr>
        <w:pStyle w:val="Prrafodelista"/>
        <w:numPr>
          <w:ilvl w:val="0"/>
          <w:numId w:val="17"/>
        </w:numPr>
        <w:spacing w:after="0" w:line="276" w:lineRule="auto"/>
        <w:jc w:val="both"/>
        <w:rPr>
          <w:rFonts w:ascii="Verdana" w:hAnsi="Verdana"/>
          <w:lang w:val="es-CO"/>
        </w:rPr>
      </w:pPr>
      <w:r w:rsidRPr="00DB6EFB">
        <w:rPr>
          <w:rFonts w:ascii="Verdana" w:eastAsia="Arial" w:hAnsi="Verdana" w:cs="Arial"/>
          <w:lang w:eastAsia="es-ES"/>
        </w:rPr>
        <w:t xml:space="preserve">Uno de los postulados más importantes de un Estado social y democrático de derecho es el principio de </w:t>
      </w:r>
      <w:r w:rsidRPr="00DB6EFB">
        <w:rPr>
          <w:rFonts w:ascii="Verdana" w:eastAsia="Arial" w:hAnsi="Verdana" w:cs="Arial"/>
          <w:i/>
          <w:iCs/>
          <w:lang w:eastAsia="es-ES"/>
        </w:rPr>
        <w:t>publicidad</w:t>
      </w:r>
      <w:r w:rsidRPr="00DB6EFB">
        <w:rPr>
          <w:rFonts w:ascii="Verdana" w:eastAsia="Arial" w:hAnsi="Verdana" w:cs="Arial"/>
          <w:lang w:eastAsia="es-ES"/>
        </w:rPr>
        <w:t>,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sidRPr="00DB6EFB">
        <w:rPr>
          <w:rFonts w:ascii="Verdana" w:hAnsi="Verdana"/>
          <w:vertAlign w:val="superscript"/>
          <w:lang w:eastAsia="es-ES"/>
        </w:rPr>
        <w:footnoteReference w:id="2"/>
      </w:r>
      <w:r w:rsidRPr="00DB6EFB">
        <w:rPr>
          <w:rFonts w:ascii="Verdana" w:eastAsia="Arial" w:hAnsi="Verdana" w:cs="Arial"/>
          <w:lang w:eastAsia="es-ES"/>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5267C9C6" w14:textId="77777777" w:rsidR="008630AA" w:rsidRPr="00DB6EFB" w:rsidRDefault="008630AA" w:rsidP="008630AA">
      <w:pPr>
        <w:pStyle w:val="Prrafodelista"/>
        <w:spacing w:after="0" w:line="276" w:lineRule="auto"/>
        <w:jc w:val="both"/>
        <w:rPr>
          <w:rFonts w:ascii="Verdana" w:hAnsi="Verdana"/>
          <w:lang w:val="es-CO"/>
        </w:rPr>
      </w:pPr>
    </w:p>
    <w:p w14:paraId="72B48F90" w14:textId="77777777" w:rsidR="008630AA" w:rsidRPr="00DB6EFB" w:rsidRDefault="008630AA" w:rsidP="008630AA">
      <w:pPr>
        <w:pStyle w:val="Prrafodelista"/>
        <w:numPr>
          <w:ilvl w:val="0"/>
          <w:numId w:val="17"/>
        </w:numPr>
        <w:spacing w:after="0" w:line="276" w:lineRule="auto"/>
        <w:jc w:val="both"/>
        <w:rPr>
          <w:rFonts w:ascii="Verdana" w:eastAsia="Arial" w:hAnsi="Verdana" w:cs="Arial"/>
          <w:lang w:eastAsia="es-ES"/>
        </w:rPr>
      </w:pPr>
      <w:r w:rsidRPr="00DB6EFB">
        <w:rPr>
          <w:rFonts w:ascii="Verdana" w:eastAsia="Arial" w:hAnsi="Verdana" w:cs="Arial"/>
          <w:lang w:eastAsia="es-ES"/>
        </w:rPr>
        <w:t>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13F470F7" w14:textId="77777777" w:rsidR="008630AA" w:rsidRPr="00DB6EFB" w:rsidRDefault="008630AA" w:rsidP="008630AA">
      <w:pPr>
        <w:pStyle w:val="Prrafodelista"/>
        <w:spacing w:after="0" w:line="240" w:lineRule="auto"/>
        <w:jc w:val="both"/>
        <w:rPr>
          <w:rFonts w:ascii="Verdana" w:eastAsia="Arial" w:hAnsi="Verdana" w:cs="Arial"/>
          <w:lang w:eastAsia="es-ES"/>
        </w:rPr>
      </w:pPr>
    </w:p>
    <w:p w14:paraId="239E6BB4" w14:textId="77777777" w:rsidR="008630AA" w:rsidRPr="0095395A" w:rsidRDefault="008630AA" w:rsidP="008630AA">
      <w:pPr>
        <w:pStyle w:val="Prrafodelista"/>
        <w:tabs>
          <w:tab w:val="left" w:pos="3885"/>
        </w:tabs>
        <w:spacing w:after="120" w:line="240" w:lineRule="auto"/>
        <w:ind w:left="1134" w:right="357"/>
        <w:jc w:val="both"/>
        <w:rPr>
          <w:rFonts w:ascii="Verdana" w:eastAsia="Arial" w:hAnsi="Verdana" w:cs="Arial"/>
          <w:sz w:val="20"/>
          <w:szCs w:val="20"/>
          <w:lang w:eastAsia="es-ES"/>
        </w:rPr>
      </w:pPr>
      <w:r w:rsidRPr="0095395A">
        <w:rPr>
          <w:rFonts w:ascii="Verdana" w:eastAsia="Arial" w:hAnsi="Verdana" w:cs="Arial"/>
          <w:sz w:val="20"/>
          <w:szCs w:val="20"/>
          <w:lang w:eastAsia="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0F96A62B" w14:textId="77777777" w:rsidR="008630AA" w:rsidRPr="0095395A" w:rsidRDefault="008630AA" w:rsidP="008630AA">
      <w:pPr>
        <w:pStyle w:val="Prrafodelista"/>
        <w:tabs>
          <w:tab w:val="left" w:pos="3885"/>
          <w:tab w:val="left" w:pos="8222"/>
        </w:tabs>
        <w:spacing w:after="0" w:line="240" w:lineRule="auto"/>
        <w:ind w:left="1134" w:right="357"/>
        <w:jc w:val="both"/>
        <w:rPr>
          <w:rFonts w:ascii="Verdana" w:eastAsia="Arial" w:hAnsi="Verdana" w:cs="Arial"/>
          <w:sz w:val="20"/>
          <w:szCs w:val="20"/>
          <w:lang w:eastAsia="es-ES"/>
        </w:rPr>
      </w:pPr>
      <w:r w:rsidRPr="0095395A">
        <w:rPr>
          <w:rFonts w:ascii="Verdana" w:eastAsia="Arial" w:hAnsi="Verdana" w:cs="Arial"/>
          <w:sz w:val="20"/>
          <w:szCs w:val="20"/>
          <w:lang w:eastAsia="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95395A">
        <w:rPr>
          <w:rFonts w:ascii="Verdana" w:eastAsia="Arial" w:hAnsi="Verdana" w:cs="Arial"/>
          <w:sz w:val="20"/>
          <w:szCs w:val="20"/>
          <w:lang w:eastAsia="es-ES"/>
        </w:rPr>
        <w:t>autoridades públicas</w:t>
      </w:r>
      <w:proofErr w:type="gramEnd"/>
      <w:r w:rsidRPr="0095395A">
        <w:rPr>
          <w:rFonts w:ascii="Verdana" w:eastAsia="Arial" w:hAnsi="Verdana" w:cs="Arial"/>
          <w:sz w:val="20"/>
          <w:szCs w:val="20"/>
          <w:lang w:eastAsia="es-ES"/>
        </w:rPr>
        <w:t xml:space="preserve"> y, a </w:t>
      </w:r>
      <w:r w:rsidRPr="0095395A">
        <w:rPr>
          <w:rFonts w:ascii="Verdana" w:eastAsia="Arial" w:hAnsi="Verdana" w:cs="Arial"/>
          <w:sz w:val="20"/>
          <w:szCs w:val="20"/>
          <w:lang w:eastAsia="es-ES"/>
        </w:rPr>
        <w:lastRenderedPageBreak/>
        <w:t>través de ese conocimiento, a exigir que ellas se surtan conforme a la ley</w:t>
      </w:r>
      <w:r w:rsidRPr="0095395A">
        <w:rPr>
          <w:rFonts w:ascii="Verdana" w:hAnsi="Verdana"/>
          <w:sz w:val="20"/>
          <w:szCs w:val="20"/>
          <w:vertAlign w:val="superscript"/>
          <w:lang w:eastAsia="es-ES"/>
        </w:rPr>
        <w:footnoteReference w:id="3"/>
      </w:r>
      <w:r w:rsidRPr="0095395A">
        <w:rPr>
          <w:rFonts w:ascii="Verdana" w:eastAsia="Arial" w:hAnsi="Verdana" w:cs="Arial"/>
          <w:sz w:val="20"/>
          <w:szCs w:val="20"/>
          <w:lang w:eastAsia="es-ES"/>
        </w:rPr>
        <w:t>.</w:t>
      </w:r>
    </w:p>
    <w:p w14:paraId="217187EE" w14:textId="77777777" w:rsidR="008630AA" w:rsidRPr="00DB6EFB" w:rsidRDefault="008630AA" w:rsidP="008630AA">
      <w:pPr>
        <w:pStyle w:val="Prrafodelista"/>
        <w:spacing w:after="0" w:line="276" w:lineRule="auto"/>
        <w:ind w:right="709"/>
        <w:jc w:val="both"/>
        <w:rPr>
          <w:rFonts w:ascii="Verdana" w:eastAsia="Arial" w:hAnsi="Verdana" w:cs="Arial"/>
          <w:lang w:eastAsia="es-ES"/>
        </w:rPr>
      </w:pPr>
    </w:p>
    <w:p w14:paraId="1B7873CE" w14:textId="0D4D34D1" w:rsidR="008630AA" w:rsidRPr="00DB6EFB" w:rsidRDefault="008630AA" w:rsidP="008630AA">
      <w:pPr>
        <w:pStyle w:val="Prrafodelista"/>
        <w:numPr>
          <w:ilvl w:val="0"/>
          <w:numId w:val="17"/>
        </w:numPr>
        <w:spacing w:after="0" w:line="276" w:lineRule="auto"/>
        <w:jc w:val="both"/>
        <w:rPr>
          <w:rFonts w:ascii="Verdana" w:eastAsia="Arial" w:hAnsi="Verdana" w:cs="Arial"/>
          <w:lang w:eastAsia="es-ES"/>
        </w:rPr>
      </w:pPr>
      <w:r w:rsidRPr="00DB6EFB">
        <w:rPr>
          <w:rFonts w:ascii="Verdana" w:eastAsia="Arial" w:hAnsi="Verdana" w:cs="Arial"/>
          <w:lang w:eastAsia="es-ES"/>
        </w:rPr>
        <w:t xml:space="preserve">El principio de publicidad impone a las autoridades administrativas el deber de dar a conocer sus actos, contratos y decisiones, para que se divulguen y eventualmente se controlen dichas actuaciones. Es por eso </w:t>
      </w:r>
      <w:r w:rsidR="00C75788" w:rsidRPr="00DB6EFB">
        <w:rPr>
          <w:rFonts w:ascii="Verdana" w:eastAsia="Arial" w:hAnsi="Verdana" w:cs="Arial"/>
          <w:lang w:eastAsia="es-ES"/>
        </w:rPr>
        <w:t>por lo que</w:t>
      </w:r>
      <w:r w:rsidRPr="00DB6EFB">
        <w:rPr>
          <w:rFonts w:ascii="Verdana" w:eastAsia="Arial" w:hAnsi="Verdana" w:cs="Arial"/>
          <w:lang w:eastAsia="es-ES"/>
        </w:rPr>
        <w:t>,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DB6EFB">
        <w:rPr>
          <w:rFonts w:ascii="Verdana" w:hAnsi="Verdana"/>
          <w:vertAlign w:val="superscript"/>
          <w:lang w:eastAsia="es-ES"/>
        </w:rPr>
        <w:footnoteReference w:id="4"/>
      </w:r>
      <w:r w:rsidRPr="00DB6EFB">
        <w:rPr>
          <w:rFonts w:ascii="Verdana" w:eastAsia="Arial" w:hAnsi="Verdana" w:cs="Arial"/>
          <w:lang w:eastAsia="es-ES"/>
        </w:rPr>
        <w:t xml:space="preserve">. </w:t>
      </w:r>
    </w:p>
    <w:p w14:paraId="76FF5E1B" w14:textId="77777777" w:rsidR="008630AA" w:rsidRPr="00DB6EFB" w:rsidRDefault="008630AA" w:rsidP="008630AA">
      <w:pPr>
        <w:pStyle w:val="Prrafodelista"/>
        <w:spacing w:after="0" w:line="276" w:lineRule="auto"/>
        <w:jc w:val="both"/>
        <w:rPr>
          <w:rFonts w:ascii="Verdana" w:eastAsia="Arial" w:hAnsi="Verdana" w:cs="Arial"/>
          <w:lang w:eastAsia="es-ES"/>
        </w:rPr>
      </w:pPr>
    </w:p>
    <w:p w14:paraId="746E5F98" w14:textId="77777777" w:rsidR="000D2E03" w:rsidRDefault="008630AA" w:rsidP="00873514">
      <w:pPr>
        <w:pStyle w:val="Prrafodelista"/>
        <w:numPr>
          <w:ilvl w:val="0"/>
          <w:numId w:val="17"/>
        </w:numPr>
        <w:spacing w:before="120" w:after="0" w:line="276" w:lineRule="auto"/>
        <w:jc w:val="both"/>
        <w:rPr>
          <w:rFonts w:ascii="Verdana" w:eastAsia="Arial" w:hAnsi="Verdana" w:cs="Arial"/>
        </w:rPr>
      </w:pPr>
      <w:r w:rsidRPr="00DB6EFB">
        <w:rPr>
          <w:rFonts w:ascii="Verdana" w:eastAsia="Arial" w:hAnsi="Verdana" w:cs="Arial"/>
          <w:lang w:eastAsia="es-ES"/>
        </w:rPr>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DB6EFB">
        <w:rPr>
          <w:rFonts w:ascii="Verdana" w:hAnsi="Verdana"/>
          <w:vertAlign w:val="superscript"/>
          <w:lang w:eastAsia="es-ES"/>
        </w:rPr>
        <w:footnoteReference w:id="5"/>
      </w:r>
      <w:r w:rsidRPr="00DB6EFB">
        <w:rPr>
          <w:rFonts w:ascii="Verdana" w:eastAsia="Arial" w:hAnsi="Verdana" w:cs="Arial"/>
          <w:lang w:eastAsia="es-ES"/>
        </w:rPr>
        <w:t xml:space="preserve">. </w:t>
      </w:r>
    </w:p>
    <w:p w14:paraId="49562E9F" w14:textId="77777777" w:rsidR="000D2E03" w:rsidRPr="00446B66" w:rsidRDefault="000D2E03" w:rsidP="00446B66">
      <w:pPr>
        <w:pStyle w:val="Prrafodelista"/>
        <w:rPr>
          <w:rFonts w:ascii="Verdana" w:eastAsia="Arial" w:hAnsi="Verdana" w:cs="Arial"/>
          <w:lang w:eastAsia="es-ES"/>
        </w:rPr>
      </w:pPr>
    </w:p>
    <w:p w14:paraId="011AD319" w14:textId="77777777" w:rsidR="00301AFF" w:rsidRPr="00EF0BDA" w:rsidRDefault="008630AA" w:rsidP="00301AFF">
      <w:pPr>
        <w:pStyle w:val="Prrafodelista"/>
        <w:numPr>
          <w:ilvl w:val="0"/>
          <w:numId w:val="17"/>
        </w:numPr>
        <w:spacing w:before="120" w:line="276" w:lineRule="auto"/>
        <w:jc w:val="both"/>
        <w:rPr>
          <w:rFonts w:ascii="Verdana" w:eastAsia="Calibri" w:hAnsi="Verdana" w:cs="Arial"/>
          <w:color w:val="000000"/>
          <w:lang w:val="es-ES_tradnl"/>
        </w:rPr>
      </w:pPr>
      <w:r w:rsidRPr="00DB6EFB">
        <w:rPr>
          <w:rFonts w:ascii="Verdana" w:eastAsia="Arial" w:hAnsi="Verdana" w:cs="Arial"/>
          <w:lang w:eastAsia="es-ES"/>
        </w:rPr>
        <w:lastRenderedPageBreak/>
        <w:t xml:space="preserve">El principio de transparencia en la información alude al deber de los sujetos de proporcionar y facilitar el acceso a la misma en los términos más amplios posibles, y a través de los medios y procedimientos legales. </w:t>
      </w:r>
      <w:r w:rsidR="00301AFF" w:rsidRPr="00EF0BDA">
        <w:rPr>
          <w:rFonts w:ascii="Verdana" w:hAnsi="Verdana" w:cs="Arial"/>
          <w:color w:val="000000" w:themeColor="text1"/>
          <w:lang w:val="es-ES_tradnl"/>
        </w:rPr>
        <w:t>La Ley estatutaria citada establece, en el literal e) del artículo 9, que los sujetos obligados, que son todas las entidades públicas</w:t>
      </w:r>
      <w:r w:rsidR="00301AFF" w:rsidRPr="00EF0BDA">
        <w:rPr>
          <w:rStyle w:val="Refdenotaalpie"/>
          <w:rFonts w:ascii="Verdana" w:hAnsi="Verdana" w:cs="Arial"/>
          <w:color w:val="000000" w:themeColor="text1"/>
          <w:lang w:val="es-ES_tradnl"/>
        </w:rPr>
        <w:footnoteReference w:id="6"/>
      </w:r>
      <w:r w:rsidR="00301AFF" w:rsidRPr="00EF0BDA">
        <w:rPr>
          <w:rFonts w:ascii="Verdana" w:hAnsi="Verdana" w:cs="Arial"/>
          <w:color w:val="000000" w:themeColor="text1"/>
          <w:lang w:val="es-ES_tradnl"/>
        </w:rPr>
        <w:t xml:space="preserve">, deben publicar la información relativa a su contratación. Esta obligación fue </w:t>
      </w:r>
      <w:r w:rsidR="00301AFF" w:rsidRPr="00EF0BDA">
        <w:rPr>
          <w:rFonts w:ascii="Verdana" w:eastAsia="Calibri" w:hAnsi="Verdana" w:cs="Arial"/>
          <w:color w:val="000000"/>
          <w:lang w:val="es-ES_tradnl"/>
        </w:rPr>
        <w:t>desarrollada por el Decreto Único Reglamentario 1082 de 2015</w:t>
      </w:r>
      <w:r w:rsidR="00301AFF" w:rsidRPr="00EF0BDA">
        <w:rPr>
          <w:rFonts w:ascii="Verdana" w:eastAsia="Calibri" w:hAnsi="Verdana"/>
          <w:color w:val="000000"/>
          <w:vertAlign w:val="superscript"/>
          <w:lang w:val="es-ES_tradnl"/>
        </w:rPr>
        <w:footnoteReference w:id="7"/>
      </w:r>
      <w:r w:rsidR="00301AFF" w:rsidRPr="00EF0BDA">
        <w:rPr>
          <w:rFonts w:ascii="Verdana" w:eastAsia="Calibri" w:hAnsi="Verdana" w:cs="Arial"/>
          <w:color w:val="000000"/>
          <w:lang w:val="es-ES_tradnl"/>
        </w:rPr>
        <w:t>, el cual dispuso que la publicación de la información contractual de los sujetos obligados, que contratan con cargo a recursos públicos, debe hacerse en el SECOP.</w:t>
      </w:r>
    </w:p>
    <w:p w14:paraId="7D211CC7" w14:textId="77777777" w:rsidR="00301AFF" w:rsidRPr="00EF0BDA" w:rsidRDefault="00301AFF" w:rsidP="00301AFF">
      <w:pPr>
        <w:pStyle w:val="Prrafodelista"/>
        <w:spacing w:before="120" w:line="276" w:lineRule="auto"/>
        <w:jc w:val="both"/>
        <w:rPr>
          <w:rFonts w:ascii="Verdana" w:eastAsia="Calibri" w:hAnsi="Verdana" w:cs="Arial"/>
          <w:color w:val="000000"/>
          <w:lang w:val="es-ES_tradnl"/>
        </w:rPr>
      </w:pPr>
    </w:p>
    <w:p w14:paraId="3C5579AF" w14:textId="77777777" w:rsidR="008630AA" w:rsidRPr="00DB6EFB" w:rsidRDefault="008630AA" w:rsidP="008630AA">
      <w:pPr>
        <w:pStyle w:val="Prrafodelista"/>
        <w:rPr>
          <w:rFonts w:ascii="Verdana" w:eastAsia="Arial" w:hAnsi="Verdana" w:cs="Arial"/>
          <w:lang w:eastAsia="es-ES"/>
        </w:rPr>
      </w:pPr>
    </w:p>
    <w:p w14:paraId="294A1BE4" w14:textId="199721E7" w:rsidR="00E047EC" w:rsidRPr="00EF0BDA" w:rsidRDefault="008630AA" w:rsidP="00E047EC">
      <w:pPr>
        <w:pStyle w:val="Prrafodelista"/>
        <w:numPr>
          <w:ilvl w:val="0"/>
          <w:numId w:val="17"/>
        </w:numPr>
        <w:spacing w:before="120" w:after="0" w:line="276" w:lineRule="auto"/>
        <w:jc w:val="both"/>
        <w:rPr>
          <w:rFonts w:ascii="Verdana" w:eastAsia="Times New Roman" w:hAnsi="Verdana" w:cs="Arial"/>
          <w:color w:val="000000"/>
          <w:szCs w:val="24"/>
          <w:lang w:val="es-ES_tradnl" w:eastAsia="es-ES_tradnl"/>
        </w:rPr>
      </w:pPr>
      <w:r w:rsidRPr="00DB6EFB">
        <w:rPr>
          <w:rFonts w:ascii="Verdana" w:eastAsia="Arial" w:hAnsi="Verdana" w:cs="Arial"/>
          <w:lang w:eastAsia="es-ES"/>
        </w:rPr>
        <w:t>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DB6EFB">
        <w:rPr>
          <w:rFonts w:ascii="Verdana" w:hAnsi="Verdana"/>
          <w:vertAlign w:val="superscript"/>
          <w:lang w:eastAsia="es-ES"/>
        </w:rPr>
        <w:footnoteReference w:id="8"/>
      </w:r>
      <w:r w:rsidRPr="00DB6EFB">
        <w:rPr>
          <w:rFonts w:ascii="Verdana" w:eastAsia="Arial" w:hAnsi="Verdana" w:cs="Arial"/>
          <w:lang w:eastAsia="es-ES"/>
        </w:rPr>
        <w:t>.</w:t>
      </w:r>
      <w:r w:rsidR="00E047EC" w:rsidRPr="00E047EC">
        <w:rPr>
          <w:rFonts w:ascii="Verdana" w:hAnsi="Verdana" w:cs="Arial"/>
          <w:shd w:val="clear" w:color="auto" w:fill="FFFFFF"/>
        </w:rPr>
        <w:t xml:space="preserve"> </w:t>
      </w:r>
      <w:r w:rsidR="00E047EC" w:rsidRPr="00EF0BDA">
        <w:rPr>
          <w:rFonts w:ascii="Verdana" w:hAnsi="Verdana" w:cs="Arial"/>
          <w:shd w:val="clear" w:color="auto" w:fill="FFFFFF"/>
        </w:rPr>
        <w:t>En ese contexto, las Entidades Estatales, conforme al artículo 2.2.1.1.1.7.1 del Decreto 1082 de 2015, tienen la obligación de publicar en el SECOP “[…] los Documentos del Proceso y los actos administrativos del Proceso de Contratación, dentro de los tres (3) días siguientes a su expedición […]”.</w:t>
      </w:r>
    </w:p>
    <w:p w14:paraId="3629F1DC" w14:textId="1B1CB327" w:rsidR="008630AA" w:rsidRPr="00DB6EFB" w:rsidRDefault="008630AA" w:rsidP="00446B66">
      <w:pPr>
        <w:pStyle w:val="Prrafodelista"/>
        <w:spacing w:before="120" w:after="0" w:line="276" w:lineRule="auto"/>
        <w:jc w:val="both"/>
        <w:rPr>
          <w:rFonts w:ascii="Verdana" w:eastAsia="Arial" w:hAnsi="Verdana" w:cs="Arial"/>
          <w:lang w:eastAsia="es-ES"/>
        </w:rPr>
      </w:pPr>
    </w:p>
    <w:p w14:paraId="0230631C" w14:textId="77777777" w:rsidR="008630AA" w:rsidRPr="00DF03F3" w:rsidRDefault="008630AA" w:rsidP="008630AA">
      <w:pPr>
        <w:spacing w:after="0" w:line="276" w:lineRule="auto"/>
        <w:jc w:val="both"/>
        <w:rPr>
          <w:rFonts w:ascii="Verdana" w:eastAsia="Arial" w:hAnsi="Verdana" w:cs="Arial"/>
          <w:lang w:val="es-MX"/>
        </w:rPr>
      </w:pPr>
    </w:p>
    <w:p w14:paraId="1A9110C0" w14:textId="77777777" w:rsidR="00A92218" w:rsidRPr="00EF0BDA" w:rsidRDefault="00A92218" w:rsidP="00A92218">
      <w:pPr>
        <w:pStyle w:val="Prrafodelista"/>
        <w:numPr>
          <w:ilvl w:val="0"/>
          <w:numId w:val="17"/>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 xml:space="preserve">La expresión </w:t>
      </w:r>
      <w:r w:rsidRPr="00EF0BDA">
        <w:rPr>
          <w:rFonts w:ascii="Verdana" w:hAnsi="Verdana" w:cs="Arial"/>
          <w:i/>
          <w:iCs/>
          <w:shd w:val="clear" w:color="auto" w:fill="FFFFFF"/>
        </w:rPr>
        <w:t xml:space="preserve">Documentos del Proceso </w:t>
      </w:r>
      <w:r w:rsidRPr="00EF0BDA">
        <w:rPr>
          <w:rFonts w:ascii="Verdana" w:hAnsi="Verdana" w:cs="Arial"/>
          <w:shd w:val="clear" w:color="auto" w:fill="FFFFFF"/>
        </w:rPr>
        <w:t xml:space="preserve">está definida en el artículo 2.2.1.1.1.3.1. del Decreto 1082 de 2015, donde se establece que: “son: (a) los estudios y documentos previos; (b) el aviso de convocatoria; (c) los pliegos de condiciones o la invitación; (d) las adendas; (e) la oferta; (f) el informe de evaluación; (g) el contrato; </w:t>
      </w:r>
      <w:r w:rsidRPr="00EF0BDA">
        <w:rPr>
          <w:rFonts w:ascii="Verdana" w:hAnsi="Verdana" w:cs="Arial"/>
          <w:i/>
          <w:iCs/>
          <w:shd w:val="clear" w:color="auto" w:fill="FFFFFF"/>
        </w:rPr>
        <w:t>y cualquier otro documento expedido por la Entidad Estatal durante el Proceso de Contratación</w:t>
      </w:r>
      <w:r w:rsidRPr="00EF0BDA">
        <w:rPr>
          <w:rFonts w:ascii="Verdana" w:hAnsi="Verdana" w:cs="Arial"/>
          <w:shd w:val="clear" w:color="auto" w:fill="FFFFFF"/>
        </w:rPr>
        <w:t>”. [Énfasis fuera de texto]</w:t>
      </w:r>
    </w:p>
    <w:p w14:paraId="4A3C56F0" w14:textId="77777777" w:rsidR="00A92218" w:rsidRPr="00EF0BDA" w:rsidRDefault="00A92218" w:rsidP="00A92218">
      <w:p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ab/>
      </w:r>
    </w:p>
    <w:p w14:paraId="07E01014" w14:textId="77777777" w:rsidR="00A92218" w:rsidRPr="00EF0BDA" w:rsidRDefault="00A92218" w:rsidP="00A92218">
      <w:pPr>
        <w:pStyle w:val="Prrafodelista"/>
        <w:numPr>
          <w:ilvl w:val="0"/>
          <w:numId w:val="17"/>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 xml:space="preserve">Sin embargo,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EF0BDA">
        <w:rPr>
          <w:rFonts w:ascii="Verdana" w:hAnsi="Verdana" w:cs="Arial"/>
          <w:i/>
          <w:iCs/>
          <w:shd w:val="clear" w:color="auto" w:fill="FFFFFF"/>
        </w:rPr>
        <w:t>Ibidem</w:t>
      </w:r>
      <w:r w:rsidRPr="00EF0BDA">
        <w:rPr>
          <w:rFonts w:ascii="Verdana" w:hAnsi="Verdana" w:cs="Arial"/>
          <w:shd w:val="clear" w:color="auto" w:fill="FFFFFF"/>
        </w:rPr>
        <w:t xml:space="preserve"> recoge en la noción de Documentos del Proceso “cualquier otro documento expedido por la Entidad Estatal durante el Proceso de Contratación”. Este mismo artículo define la expresión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Nótese que la norma hace referencia a los documentos “expedidos por la entidad estatal” durante el proceso de contratación, excluyendo de la noción de Documentos del Proceso los expedidos por un sujeto distinto a la entidad, salvo la oferta, la cual se incluye expresamente en el referido artículo 2.2.1.1.1.3.1.</w:t>
      </w:r>
    </w:p>
    <w:p w14:paraId="39D58F68" w14:textId="77777777" w:rsidR="00A92218" w:rsidRPr="00EF0BDA" w:rsidRDefault="00A92218" w:rsidP="00A92218">
      <w:pPr>
        <w:pStyle w:val="Prrafodelista"/>
        <w:tabs>
          <w:tab w:val="left" w:pos="709"/>
        </w:tabs>
        <w:spacing w:after="0" w:line="276" w:lineRule="auto"/>
        <w:jc w:val="both"/>
        <w:rPr>
          <w:rFonts w:ascii="Verdana" w:hAnsi="Verdana" w:cs="Arial"/>
          <w:shd w:val="clear" w:color="auto" w:fill="FFFFFF"/>
        </w:rPr>
      </w:pPr>
    </w:p>
    <w:p w14:paraId="50EB4ED7" w14:textId="77777777" w:rsidR="00A92218" w:rsidRPr="00EF0BDA" w:rsidRDefault="00A92218" w:rsidP="00A92218">
      <w:pPr>
        <w:pStyle w:val="Prrafodelista"/>
        <w:numPr>
          <w:ilvl w:val="0"/>
          <w:numId w:val="17"/>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En ese sentido, la interpretación sistemática de los preceptos del Decreto 1082 de 2015, de acuerdo con el principio de publicidad, inicialmente, indica que las Entidades Estatales tienen la obligación de publicar todos los documentos que expidan con ocasión del Proceso de Contratación, es decir que todos los documentos expedidos por la entidad durante las etapas precontractual, de ejecución y postcontractual deberán ser publicados en SECOP dentro de los tres (3) días siguientes a su expedición, para cumplir el deber de publicidad regulado por el artículo 2.2.1.1.1.7.1. del Decreto 1082 de 2015.</w:t>
      </w:r>
    </w:p>
    <w:p w14:paraId="3E596C9F" w14:textId="77777777" w:rsidR="00F33782" w:rsidRPr="00EF0BDA" w:rsidRDefault="00F33782" w:rsidP="00F33782">
      <w:pPr>
        <w:pStyle w:val="Prrafodelista"/>
        <w:numPr>
          <w:ilvl w:val="0"/>
          <w:numId w:val="17"/>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lastRenderedPageBreak/>
        <w:t>Con el propósito de garantizar el cumplimiento del mencionado deber de publicidad, se le asignó a la Agencia Nacional de Contratación Pública - Colombia Compra Eficiente, la función de administrar el SECOP</w:t>
      </w:r>
      <w:r w:rsidRPr="00EF0BDA">
        <w:rPr>
          <w:rFonts w:ascii="Verdana" w:eastAsia="Calibri" w:hAnsi="Verdana"/>
          <w:vertAlign w:val="superscript"/>
        </w:rPr>
        <w:footnoteReference w:id="9"/>
      </w:r>
      <w:r w:rsidRPr="00EF0BDA">
        <w:rPr>
          <w:rFonts w:ascii="Verdana" w:eastAsia="Calibri" w:hAnsi="Verdana" w:cs="Arial"/>
        </w:rPr>
        <w:t xml:space="preserve">. Dicha plataforma ha tenido dos versiones, esto es, el SECOP I y el SECOP II. </w:t>
      </w:r>
      <w:r w:rsidRPr="00EF0BDA">
        <w:rPr>
          <w:rFonts w:ascii="Verdana" w:hAnsi="Verdana" w:cs="Arial"/>
          <w:shd w:val="clear" w:color="auto" w:fill="FFFFFF"/>
        </w:rPr>
        <w:t>La primera versión de la plataforma –SECOP I–, sólo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07A8F225" w14:textId="77777777" w:rsidR="00F33782" w:rsidRPr="00EF0BDA" w:rsidRDefault="00F33782" w:rsidP="00F33782">
      <w:pPr>
        <w:pStyle w:val="Prrafodelista"/>
        <w:spacing w:line="276" w:lineRule="auto"/>
        <w:rPr>
          <w:rFonts w:ascii="Verdana" w:hAnsi="Verdana" w:cs="Arial"/>
          <w:shd w:val="clear" w:color="auto" w:fill="FFFFFF"/>
        </w:rPr>
      </w:pPr>
    </w:p>
    <w:p w14:paraId="775E3BDF" w14:textId="77777777" w:rsidR="00F33782" w:rsidRPr="00EF0BDA" w:rsidRDefault="00F33782" w:rsidP="00F33782">
      <w:pPr>
        <w:pStyle w:val="Prrafodelista"/>
        <w:numPr>
          <w:ilvl w:val="0"/>
          <w:numId w:val="17"/>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En cambio, el SECOP II, es una plataforma transaccional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752BD052" w14:textId="77777777" w:rsidR="00F33782" w:rsidRPr="00EF0BDA" w:rsidRDefault="00F33782" w:rsidP="00F33782">
      <w:pPr>
        <w:pStyle w:val="Prrafodelista"/>
        <w:spacing w:line="276" w:lineRule="auto"/>
        <w:rPr>
          <w:rFonts w:ascii="Verdana" w:hAnsi="Verdana" w:cs="Arial"/>
          <w:shd w:val="clear" w:color="auto" w:fill="FFFFFF"/>
        </w:rPr>
      </w:pPr>
    </w:p>
    <w:p w14:paraId="2CE3D2CD" w14:textId="77777777" w:rsidR="00F33782" w:rsidRPr="00EF0BDA" w:rsidRDefault="00F33782" w:rsidP="00F33782">
      <w:pPr>
        <w:pStyle w:val="Prrafodelista"/>
        <w:numPr>
          <w:ilvl w:val="0"/>
          <w:numId w:val="17"/>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Sin embargo, pese a que los documentos que deben publicarse en el SECOP II corresponden a los mismos que deben publicarse en el SECOP I, esto es, todos los expedidos con ocasión el Proceso de Contratación con excepción de los expresamente excluidos, la naturaleza transaccional del SECOP II implica que los procesos contractuales no sólo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Esto a diferencia de los procesos publicados en el SECOP I, en los que </w:t>
      </w:r>
      <w:r w:rsidRPr="00EF0BDA">
        <w:rPr>
          <w:rFonts w:ascii="Verdana" w:hAnsi="Verdana" w:cs="Arial"/>
          <w:shd w:val="clear" w:color="auto" w:fill="FFFFFF"/>
        </w:rPr>
        <w:lastRenderedPageBreak/>
        <w:t xml:space="preserve">primero se generan los documentos escritos y luego se publican en la plataforma dentro del plazo de tres (3) días previsto en el artículo 2.2.1.1.1.7.1 del Decreto 1082 de 2015. </w:t>
      </w:r>
    </w:p>
    <w:p w14:paraId="3B1AC370" w14:textId="77777777" w:rsidR="00F33782" w:rsidRPr="00EF0BDA" w:rsidRDefault="00F33782" w:rsidP="00F33782">
      <w:pPr>
        <w:pStyle w:val="Prrafodelista"/>
        <w:spacing w:line="276" w:lineRule="auto"/>
        <w:rPr>
          <w:rFonts w:ascii="Verdana" w:hAnsi="Verdana" w:cs="Arial"/>
          <w:shd w:val="clear" w:color="auto" w:fill="FFFFFF"/>
        </w:rPr>
      </w:pPr>
    </w:p>
    <w:p w14:paraId="0CC865AD" w14:textId="77777777" w:rsidR="00F33782" w:rsidRPr="00EF0BDA" w:rsidRDefault="00F33782" w:rsidP="00F33782">
      <w:pPr>
        <w:pStyle w:val="Prrafodelista"/>
        <w:numPr>
          <w:ilvl w:val="0"/>
          <w:numId w:val="17"/>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Lo anterior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p>
    <w:p w14:paraId="7EF143FC" w14:textId="77777777" w:rsidR="00F33782" w:rsidRPr="00EF0BDA" w:rsidRDefault="00F33782" w:rsidP="00F33782">
      <w:pPr>
        <w:pStyle w:val="Prrafodelista"/>
        <w:spacing w:line="276" w:lineRule="auto"/>
        <w:rPr>
          <w:rFonts w:ascii="Verdana" w:hAnsi="Verdana" w:cs="Arial"/>
          <w:shd w:val="clear" w:color="auto" w:fill="FFFFFF"/>
        </w:rPr>
      </w:pPr>
    </w:p>
    <w:p w14:paraId="08CA05D9" w14:textId="77777777" w:rsidR="00F33782" w:rsidRPr="00EF0BDA" w:rsidRDefault="00F33782" w:rsidP="00F33782">
      <w:pPr>
        <w:pStyle w:val="Prrafodelista"/>
        <w:numPr>
          <w:ilvl w:val="0"/>
          <w:numId w:val="17"/>
        </w:numPr>
        <w:tabs>
          <w:tab w:val="left" w:pos="709"/>
        </w:tabs>
        <w:spacing w:before="120" w:after="120" w:line="276" w:lineRule="auto"/>
        <w:jc w:val="both"/>
        <w:rPr>
          <w:rStyle w:val="eop"/>
          <w:rFonts w:ascii="Verdana" w:hAnsi="Verdana"/>
          <w:color w:val="000000"/>
          <w:shd w:val="clear" w:color="auto" w:fill="FFFFFF"/>
        </w:rPr>
      </w:pPr>
      <w:r>
        <w:rPr>
          <w:rStyle w:val="normaltextrun"/>
          <w:rFonts w:ascii="Verdana" w:hAnsi="Verdana" w:cs="Arial"/>
          <w:color w:val="000000"/>
          <w:shd w:val="clear" w:color="auto" w:fill="FFFFFF"/>
          <w:lang w:val="es-MX"/>
        </w:rPr>
        <w:t>De tal manera que</w:t>
      </w:r>
      <w:r w:rsidRPr="00EF0BDA">
        <w:rPr>
          <w:rStyle w:val="normaltextrun"/>
          <w:rFonts w:ascii="Verdana" w:hAnsi="Verdana" w:cs="Arial"/>
          <w:color w:val="000000"/>
          <w:shd w:val="clear" w:color="auto" w:fill="FFFFFF"/>
          <w:lang w:val="es-MX"/>
        </w:rPr>
        <w:t>, el carácter transaccional de SECOP II, como herramienta que permite no sólo publicar sino también gestionar y crear Documentos del Proceso, 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w:t>
      </w:r>
      <w:r w:rsidRPr="00EF0BDA">
        <w:rPr>
          <w:rStyle w:val="eop"/>
          <w:rFonts w:ascii="Verdana" w:hAnsi="Verdana"/>
          <w:color w:val="000000"/>
          <w:shd w:val="clear" w:color="auto" w:fill="FFFFFF"/>
        </w:rPr>
        <w:t> </w:t>
      </w:r>
    </w:p>
    <w:p w14:paraId="494F0D81" w14:textId="77777777" w:rsidR="00F33782" w:rsidRPr="00EF0BDA" w:rsidRDefault="00F33782" w:rsidP="00F33782">
      <w:pPr>
        <w:pStyle w:val="Prrafodelista"/>
        <w:spacing w:line="276" w:lineRule="auto"/>
        <w:rPr>
          <w:rStyle w:val="eop"/>
          <w:rFonts w:ascii="Verdana" w:hAnsi="Verdana"/>
          <w:color w:val="000000"/>
          <w:shd w:val="clear" w:color="auto" w:fill="FFFFFF"/>
        </w:rPr>
      </w:pPr>
    </w:p>
    <w:p w14:paraId="78C5E620" w14:textId="77777777" w:rsidR="00F33782" w:rsidRPr="00EF0BDA" w:rsidRDefault="00F33782" w:rsidP="00F33782">
      <w:pPr>
        <w:pStyle w:val="Prrafodelista"/>
        <w:numPr>
          <w:ilvl w:val="0"/>
          <w:numId w:val="17"/>
        </w:numPr>
        <w:tabs>
          <w:tab w:val="left" w:pos="709"/>
        </w:tabs>
        <w:spacing w:before="120" w:after="120" w:line="276" w:lineRule="auto"/>
        <w:jc w:val="both"/>
        <w:rPr>
          <w:rStyle w:val="eop"/>
          <w:rFonts w:ascii="Verdana" w:hAnsi="Verdana"/>
          <w:color w:val="000000"/>
          <w:shd w:val="clear" w:color="auto" w:fill="FFFFFF"/>
        </w:rPr>
      </w:pPr>
      <w:r>
        <w:rPr>
          <w:rStyle w:val="eop"/>
          <w:rFonts w:ascii="Verdana" w:hAnsi="Verdana"/>
          <w:color w:val="000000"/>
          <w:shd w:val="clear" w:color="auto" w:fill="FFFFFF"/>
        </w:rPr>
        <w:t>Ahora bien,</w:t>
      </w:r>
      <w:r w:rsidRPr="00EF0BDA">
        <w:rPr>
          <w:rStyle w:val="eop"/>
          <w:rFonts w:ascii="Verdana" w:hAnsi="Verdana"/>
          <w:color w:val="000000"/>
          <w:shd w:val="clear" w:color="auto" w:fill="FFFFFF"/>
        </w:rPr>
        <w:t xml:space="preserve"> teniendo en cuenta lo consultado, debe destacarse que el artículo 53 de la Ley 2195 de 2022 estableció con mayor precisión la obligación de las Entidades Estatales exceptuadas del Estatuto General de Contratación de la Administración Pública de publicar en el SECOP II –es decir en la plataforma transaccional vigente– su actividad contractual. Así pues, respecto de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postcontractual”. </w:t>
      </w:r>
    </w:p>
    <w:p w14:paraId="5B1A58C7" w14:textId="77777777" w:rsidR="00F33782" w:rsidRPr="00EF0BDA" w:rsidRDefault="00F33782" w:rsidP="00F33782">
      <w:pPr>
        <w:pStyle w:val="Prrafodelista"/>
        <w:spacing w:line="276" w:lineRule="auto"/>
        <w:rPr>
          <w:rStyle w:val="eop"/>
          <w:rFonts w:ascii="Verdana" w:hAnsi="Verdana"/>
          <w:color w:val="000000"/>
          <w:shd w:val="clear" w:color="auto" w:fill="FFFFFF"/>
        </w:rPr>
      </w:pPr>
    </w:p>
    <w:p w14:paraId="1CCCAD93" w14:textId="77777777" w:rsidR="00F33782" w:rsidRPr="00EF0BDA" w:rsidRDefault="00F33782" w:rsidP="00F33782">
      <w:pPr>
        <w:pStyle w:val="Prrafodelista"/>
        <w:numPr>
          <w:ilvl w:val="0"/>
          <w:numId w:val="17"/>
        </w:numPr>
        <w:tabs>
          <w:tab w:val="left" w:pos="709"/>
        </w:tabs>
        <w:spacing w:before="120" w:after="120" w:line="276" w:lineRule="auto"/>
        <w:jc w:val="both"/>
        <w:rPr>
          <w:rStyle w:val="eop"/>
          <w:rFonts w:ascii="Verdana" w:hAnsi="Verdana"/>
          <w:color w:val="000000"/>
          <w:shd w:val="clear" w:color="auto" w:fill="FFFFFF"/>
        </w:rPr>
      </w:pPr>
      <w:r w:rsidRPr="00EF0BDA">
        <w:rPr>
          <w:rStyle w:val="eop"/>
          <w:rFonts w:ascii="Verdana" w:hAnsi="Verdana"/>
          <w:color w:val="000000"/>
          <w:shd w:val="clear" w:color="auto" w:fill="FFFFFF"/>
        </w:rPr>
        <w:t xml:space="preserve">En ese sentido, el artículo 53 de la Ley 2195 de 2022 establece el deber de publicar toda aquella información relacionada con el respectivo contrato, sin incluir ninguna excepción relacionada con la naturaleza u objeto contractual. Por lo tanto, para que las entidades exceptuadas </w:t>
      </w:r>
      <w:r w:rsidRPr="00EF0BDA">
        <w:rPr>
          <w:rStyle w:val="eop"/>
          <w:rFonts w:ascii="Verdana" w:hAnsi="Verdana"/>
          <w:color w:val="000000"/>
          <w:shd w:val="clear" w:color="auto" w:fill="FFFFFF"/>
        </w:rPr>
        <w:lastRenderedPageBreak/>
        <w:t>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Adicionalmente se aclara, que el cumplimiento del deber de publicación de la documentación contractual debe armonizarse con las normas aplicables al tipo de información que estas contienen</w:t>
      </w:r>
      <w:r w:rsidRPr="00EF0BDA">
        <w:rPr>
          <w:rFonts w:ascii="Verdana" w:eastAsia="Calibri" w:hAnsi="Verdana" w:cs="Arial"/>
          <w:bCs/>
          <w:vertAlign w:val="superscript"/>
          <w:lang w:val="es-MX"/>
        </w:rPr>
        <w:footnoteReference w:id="10"/>
      </w:r>
      <w:r w:rsidRPr="00EF0BDA">
        <w:rPr>
          <w:rStyle w:val="eop"/>
          <w:rFonts w:ascii="Verdana" w:hAnsi="Verdana"/>
          <w:color w:val="000000"/>
          <w:shd w:val="clear" w:color="auto" w:fill="FFFFFF"/>
        </w:rPr>
        <w:t>. Lo anterior significa que, respecto de datos sensibles, información sometida a reserva o de la cual proceda un tratamiento especial que impida su publicidad, las entidades deberán proceder de conformidad con el tratamiento que impongan tales normas.</w:t>
      </w:r>
    </w:p>
    <w:p w14:paraId="732BADBA" w14:textId="77777777" w:rsidR="00F33782" w:rsidRPr="00EF0BDA" w:rsidRDefault="00F33782" w:rsidP="00F33782">
      <w:pPr>
        <w:pStyle w:val="Prrafodelista"/>
        <w:spacing w:line="276" w:lineRule="auto"/>
        <w:rPr>
          <w:rStyle w:val="eop"/>
          <w:rFonts w:ascii="Verdana" w:hAnsi="Verdana"/>
          <w:color w:val="000000"/>
          <w:shd w:val="clear" w:color="auto" w:fill="FFFFFF"/>
        </w:rPr>
      </w:pPr>
    </w:p>
    <w:p w14:paraId="6DB4A3CA" w14:textId="77777777" w:rsidR="00F33782" w:rsidRPr="00EF0BDA" w:rsidRDefault="00F33782" w:rsidP="00F33782">
      <w:pPr>
        <w:pStyle w:val="Prrafodelista"/>
        <w:numPr>
          <w:ilvl w:val="0"/>
          <w:numId w:val="17"/>
        </w:numPr>
        <w:spacing w:line="276" w:lineRule="auto"/>
        <w:jc w:val="both"/>
        <w:rPr>
          <w:rStyle w:val="eop"/>
          <w:rFonts w:ascii="Verdana" w:hAnsi="Verdana"/>
          <w:color w:val="000000"/>
          <w:shd w:val="clear" w:color="auto" w:fill="FFFFFF"/>
        </w:rPr>
      </w:pPr>
      <w:r w:rsidRPr="00EF0BDA">
        <w:rPr>
          <w:rStyle w:val="eop"/>
          <w:rFonts w:ascii="Verdana" w:hAnsi="Verdana"/>
          <w:color w:val="000000"/>
          <w:shd w:val="clear" w:color="auto" w:fill="FFFFFF"/>
        </w:rPr>
        <w:t>Teniendo en cuenta el marco normativo antes reseñado, la Circular Externa Única expedida por la Agencia Nacional de Contratación Pública - Colombia Compra Eficiente -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EF0BDA">
        <w:rPr>
          <w:rFonts w:ascii="Verdana" w:eastAsia="Calibri" w:hAnsi="Verdana" w:cs="Arial"/>
          <w:bCs/>
          <w:vertAlign w:val="superscript"/>
          <w:lang w:val="es-MX"/>
        </w:rPr>
        <w:footnoteReference w:id="11"/>
      </w:r>
      <w:r w:rsidRPr="00EF0BDA">
        <w:rPr>
          <w:rStyle w:val="eop"/>
          <w:rFonts w:ascii="Verdana" w:hAnsi="Verdana"/>
          <w:color w:val="000000"/>
          <w:shd w:val="clear" w:color="auto" w:fill="FFFFFF"/>
        </w:rPr>
        <w:t xml:space="preserve">. De igual </w:t>
      </w:r>
      <w:r w:rsidRPr="00EF0BDA">
        <w:rPr>
          <w:rStyle w:val="eop"/>
          <w:rFonts w:ascii="Verdana" w:hAnsi="Verdana"/>
          <w:color w:val="000000"/>
          <w:shd w:val="clear" w:color="auto" w:fill="FFFFFF"/>
        </w:rPr>
        <w:lastRenderedPageBreak/>
        <w:t>forma, en la Circular Externa No. 002 del 23 de agosto de 2024, estableció los lineamientos para la aplicación del artículo 53 de la Ley 2195 de 2022 por parte de las Entidades Estales que por disposición legal cuentan con un régimen contractual excepcional al del Estatuto General de Contratación de la Administración Pública.</w:t>
      </w:r>
    </w:p>
    <w:p w14:paraId="45FC79E3" w14:textId="77777777" w:rsidR="00F33782" w:rsidRPr="00EF0BDA" w:rsidRDefault="00F33782" w:rsidP="00F33782">
      <w:pPr>
        <w:pStyle w:val="Prrafodelista"/>
        <w:spacing w:line="276" w:lineRule="auto"/>
        <w:rPr>
          <w:rStyle w:val="eop"/>
          <w:rFonts w:ascii="Verdana" w:hAnsi="Verdana"/>
          <w:color w:val="000000"/>
          <w:shd w:val="clear" w:color="auto" w:fill="FFFFFF"/>
        </w:rPr>
      </w:pPr>
    </w:p>
    <w:p w14:paraId="01DCDCE6" w14:textId="77777777" w:rsidR="00F33782" w:rsidRPr="00EF0BDA" w:rsidRDefault="00F33782" w:rsidP="00F33782">
      <w:pPr>
        <w:pStyle w:val="Prrafodelista"/>
        <w:numPr>
          <w:ilvl w:val="0"/>
          <w:numId w:val="17"/>
        </w:numPr>
        <w:spacing w:line="276" w:lineRule="auto"/>
        <w:jc w:val="both"/>
        <w:rPr>
          <w:rStyle w:val="eop"/>
          <w:rFonts w:ascii="Verdana" w:hAnsi="Verdana"/>
          <w:color w:val="000000"/>
          <w:shd w:val="clear" w:color="auto" w:fill="FFFFFF"/>
        </w:rPr>
      </w:pPr>
      <w:r>
        <w:rPr>
          <w:rStyle w:val="eop"/>
          <w:rFonts w:ascii="Verdana" w:hAnsi="Verdana"/>
          <w:color w:val="000000"/>
          <w:shd w:val="clear" w:color="auto" w:fill="FFFFFF"/>
        </w:rPr>
        <w:t xml:space="preserve">Ahora bien, frente a la publicidad </w:t>
      </w:r>
      <w:r>
        <w:rPr>
          <w:rFonts w:ascii="Verdana" w:eastAsia="Calibri" w:hAnsi="Verdana" w:cs="Arial"/>
        </w:rPr>
        <w:t>l</w:t>
      </w:r>
      <w:r w:rsidRPr="00842456">
        <w:rPr>
          <w:rFonts w:ascii="Verdana" w:eastAsia="Calibri" w:hAnsi="Verdana" w:cs="Arial"/>
        </w:rPr>
        <w:t>as entidades estatales que por disposición legal cuenten con un régimen contractual excepcional al del Estatuto General de Contratación de la Administración Pública</w:t>
      </w:r>
      <w:r>
        <w:rPr>
          <w:rStyle w:val="eop"/>
          <w:rFonts w:ascii="Verdana" w:hAnsi="Verdana"/>
          <w:color w:val="000000"/>
          <w:shd w:val="clear" w:color="auto" w:fill="FFFFFF"/>
        </w:rPr>
        <w:t xml:space="preserve">, esta Agencia en </w:t>
      </w:r>
      <w:r w:rsidRPr="00EF0BDA">
        <w:rPr>
          <w:rStyle w:val="eop"/>
          <w:rFonts w:ascii="Verdana" w:hAnsi="Verdana"/>
          <w:color w:val="000000"/>
          <w:shd w:val="clear" w:color="auto" w:fill="FFFFFF"/>
        </w:rPr>
        <w:t xml:space="preserve"> Circular Externa No. 002 del 23 de agosto de 2024, esta Agencia señala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 que, a tales entidades, les es aplicable la regla de publicación de los tres (3) días siguientes a la expedición de acto administrativo o Documento del Proceso, dispuesta en el artículo 2.2.1.1.1.7.1 del Decreto 1082 de 2015 por remisión expresa del artículo 2.1.1.2.1.7 del Decreto 1081 de 2015.</w:t>
      </w:r>
    </w:p>
    <w:p w14:paraId="11131875" w14:textId="390A14A8" w:rsidR="00F33782" w:rsidRPr="00593A5F" w:rsidRDefault="00F33782" w:rsidP="00F33782">
      <w:pPr>
        <w:pStyle w:val="Prrafodelista"/>
        <w:numPr>
          <w:ilvl w:val="0"/>
          <w:numId w:val="17"/>
        </w:numPr>
        <w:spacing w:line="276" w:lineRule="auto"/>
        <w:jc w:val="both"/>
        <w:rPr>
          <w:rFonts w:cs="Arial"/>
        </w:rPr>
      </w:pPr>
      <w:r w:rsidRPr="00120A22">
        <w:rPr>
          <w:rFonts w:ascii="Verdana" w:eastAsia="Calibri" w:hAnsi="Verdana" w:cs="Arial"/>
        </w:rPr>
        <w:t xml:space="preserve">En conclusión las entidades estatales que por disposición legal cuenten con un régimen contractual excepcional al del Estatuto General de Contratación de la Administración Pública, </w:t>
      </w:r>
      <w:r w:rsidR="00446B66" w:rsidRPr="00120A22">
        <w:rPr>
          <w:rFonts w:ascii="Verdana" w:eastAsia="Calibri" w:hAnsi="Verdana" w:cs="Arial"/>
        </w:rPr>
        <w:t>están</w:t>
      </w:r>
      <w:r w:rsidRPr="00120A22">
        <w:rPr>
          <w:rFonts w:ascii="Verdana" w:eastAsia="Calibri" w:hAnsi="Verdana" w:cs="Arial"/>
        </w:rPr>
        <w:t xml:space="preserve"> obligadas a publicar en el Secop II y les es aplicable la regla de publicación de los tres (3) días siguientes a la expedición de acto administrativo o Documento del Proceso, dispuesta en el artículo 2.2.1.1.1.7.1 del Decreto 1082 de 2015 por remisión expresa del artículo 2.1.1.2.1.7 del Decreto 1081 de 2015, permitiendo garantizar los principios de publicidad, transparencia y función administrativa.</w:t>
      </w:r>
    </w:p>
    <w:p w14:paraId="78808221" w14:textId="77777777" w:rsidR="00A92218" w:rsidRDefault="00A92218" w:rsidP="00446B66">
      <w:pPr>
        <w:pStyle w:val="Prrafodelista"/>
        <w:spacing w:after="120" w:line="276" w:lineRule="auto"/>
        <w:jc w:val="both"/>
        <w:rPr>
          <w:rFonts w:ascii="Verdana" w:eastAsia="Arial" w:hAnsi="Verdana" w:cs="Arial"/>
          <w:lang w:val="es-MX"/>
        </w:rPr>
      </w:pPr>
    </w:p>
    <w:p w14:paraId="3FEF7F1F" w14:textId="77777777" w:rsidR="008630AA" w:rsidRPr="00593A5F" w:rsidRDefault="008630AA" w:rsidP="008630AA">
      <w:pPr>
        <w:widowControl w:val="0"/>
        <w:autoSpaceDE w:val="0"/>
        <w:autoSpaceDN w:val="0"/>
        <w:spacing w:after="0" w:line="276" w:lineRule="auto"/>
        <w:jc w:val="both"/>
        <w:rPr>
          <w:rFonts w:ascii="Verdana" w:hAnsi="Verdana" w:cs="Arial"/>
        </w:rPr>
      </w:pPr>
    </w:p>
    <w:p w14:paraId="61EC9E94" w14:textId="77777777" w:rsidR="008630AA" w:rsidRPr="00593A5F" w:rsidRDefault="008630AA" w:rsidP="008630A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4D8C7732" w14:textId="77777777" w:rsidR="008630AA" w:rsidRPr="00593A5F" w:rsidRDefault="008630AA" w:rsidP="008630AA">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630AA" w:rsidRPr="00593A5F" w14:paraId="0343522A" w14:textId="77777777" w:rsidTr="001E4496">
        <w:trPr>
          <w:trHeight w:val="870"/>
        </w:trPr>
        <w:tc>
          <w:tcPr>
            <w:tcW w:w="8647" w:type="dxa"/>
          </w:tcPr>
          <w:p w14:paraId="20C5946E" w14:textId="77777777" w:rsidR="008630AA" w:rsidRDefault="008630AA" w:rsidP="008630AA">
            <w:pPr>
              <w:pStyle w:val="Prrafodelista"/>
              <w:widowControl w:val="0"/>
              <w:numPr>
                <w:ilvl w:val="0"/>
                <w:numId w:val="18"/>
              </w:numPr>
              <w:autoSpaceDE w:val="0"/>
              <w:autoSpaceDN w:val="0"/>
              <w:spacing w:before="120" w:after="120" w:line="276" w:lineRule="auto"/>
              <w:jc w:val="both"/>
              <w:rPr>
                <w:rFonts w:ascii="Verdana" w:hAnsi="Verdana" w:cs="Arial"/>
              </w:rPr>
            </w:pPr>
            <w:r w:rsidRPr="00DB6EFB">
              <w:rPr>
                <w:rFonts w:ascii="Verdana" w:hAnsi="Verdana" w:cs="Arial"/>
              </w:rPr>
              <w:lastRenderedPageBreak/>
              <w:t>Constitución Política de 1991: artículo 209.</w:t>
            </w:r>
          </w:p>
          <w:p w14:paraId="56DBFC94" w14:textId="77777777" w:rsidR="008630AA" w:rsidRPr="00DF4F20" w:rsidRDefault="008630AA" w:rsidP="001E4496">
            <w:pPr>
              <w:pStyle w:val="Prrafodelista"/>
              <w:widowControl w:val="0"/>
              <w:autoSpaceDE w:val="0"/>
              <w:autoSpaceDN w:val="0"/>
              <w:spacing w:before="120" w:after="120" w:line="276" w:lineRule="auto"/>
              <w:jc w:val="both"/>
              <w:rPr>
                <w:rFonts w:ascii="Verdana" w:hAnsi="Verdana" w:cs="Arial"/>
              </w:rPr>
            </w:pPr>
          </w:p>
          <w:p w14:paraId="50759195" w14:textId="77777777" w:rsidR="008630AA" w:rsidRDefault="008630AA" w:rsidP="008630AA">
            <w:pPr>
              <w:pStyle w:val="Prrafodelista"/>
              <w:widowControl w:val="0"/>
              <w:numPr>
                <w:ilvl w:val="0"/>
                <w:numId w:val="18"/>
              </w:numPr>
              <w:autoSpaceDE w:val="0"/>
              <w:autoSpaceDN w:val="0"/>
              <w:spacing w:before="120" w:after="120" w:line="276" w:lineRule="auto"/>
              <w:jc w:val="both"/>
              <w:rPr>
                <w:rFonts w:ascii="Verdana" w:hAnsi="Verdana" w:cs="Arial"/>
              </w:rPr>
            </w:pPr>
            <w:r w:rsidRPr="00DB6EFB">
              <w:rPr>
                <w:rFonts w:ascii="Verdana" w:hAnsi="Verdana" w:cs="Arial"/>
              </w:rPr>
              <w:t>Ley 1150 de 2007: artículo 3 literal c).</w:t>
            </w:r>
          </w:p>
          <w:p w14:paraId="495ED679" w14:textId="77777777" w:rsidR="008630AA" w:rsidRPr="00CE5F72" w:rsidRDefault="008630AA" w:rsidP="001E4496">
            <w:pPr>
              <w:pStyle w:val="Prrafodelista"/>
              <w:rPr>
                <w:rFonts w:ascii="Verdana" w:hAnsi="Verdana" w:cs="Arial"/>
              </w:rPr>
            </w:pPr>
          </w:p>
          <w:p w14:paraId="5656B586" w14:textId="77777777" w:rsidR="008630AA" w:rsidRDefault="008630AA" w:rsidP="008630AA">
            <w:pPr>
              <w:pStyle w:val="Prrafodelista"/>
              <w:widowControl w:val="0"/>
              <w:numPr>
                <w:ilvl w:val="0"/>
                <w:numId w:val="18"/>
              </w:numPr>
              <w:autoSpaceDE w:val="0"/>
              <w:autoSpaceDN w:val="0"/>
              <w:spacing w:before="120" w:after="120" w:line="276" w:lineRule="auto"/>
              <w:jc w:val="both"/>
              <w:rPr>
                <w:rFonts w:ascii="Verdana" w:hAnsi="Verdana" w:cs="Arial"/>
              </w:rPr>
            </w:pPr>
            <w:r>
              <w:rPr>
                <w:rFonts w:ascii="Verdana" w:eastAsia="Arial" w:hAnsi="Verdana" w:cs="Arial"/>
                <w:lang w:eastAsia="es-ES"/>
              </w:rPr>
              <w:t xml:space="preserve">Decreto 1082 de 2015: artículo </w:t>
            </w:r>
            <w:r w:rsidRPr="00AF615C">
              <w:rPr>
                <w:rFonts w:ascii="Verdana" w:eastAsia="Arial" w:hAnsi="Verdana" w:cs="Arial"/>
                <w:lang w:eastAsia="es-ES"/>
              </w:rPr>
              <w:t>2.2.1.1.1.7.1</w:t>
            </w:r>
            <w:r>
              <w:rPr>
                <w:rFonts w:ascii="Verdana" w:eastAsia="Arial" w:hAnsi="Verdana" w:cs="Arial"/>
                <w:lang w:eastAsia="es-ES"/>
              </w:rPr>
              <w:t>.</w:t>
            </w:r>
          </w:p>
          <w:p w14:paraId="577EC027" w14:textId="77777777" w:rsidR="008630AA" w:rsidRPr="00DF4F20" w:rsidRDefault="008630AA" w:rsidP="001E4496">
            <w:pPr>
              <w:pStyle w:val="Prrafodelista"/>
              <w:rPr>
                <w:rFonts w:ascii="Verdana" w:hAnsi="Verdana" w:cs="Arial"/>
              </w:rPr>
            </w:pPr>
          </w:p>
          <w:p w14:paraId="349E7647" w14:textId="77777777" w:rsidR="008630AA" w:rsidRDefault="008630AA" w:rsidP="008630AA">
            <w:pPr>
              <w:pStyle w:val="Prrafodelista"/>
              <w:widowControl w:val="0"/>
              <w:numPr>
                <w:ilvl w:val="0"/>
                <w:numId w:val="18"/>
              </w:numPr>
              <w:autoSpaceDE w:val="0"/>
              <w:autoSpaceDN w:val="0"/>
              <w:spacing w:before="120" w:after="120" w:line="276" w:lineRule="auto"/>
              <w:jc w:val="both"/>
              <w:rPr>
                <w:rFonts w:ascii="Verdana" w:hAnsi="Verdana" w:cs="Arial"/>
              </w:rPr>
            </w:pPr>
            <w:r w:rsidRPr="00DB6EFB">
              <w:rPr>
                <w:rFonts w:ascii="Verdana" w:hAnsi="Verdana" w:cs="Arial"/>
              </w:rPr>
              <w:t>Ley 1712 de 2014: artículos 2, 3, 5, 9 literal e), y 11 literal g).</w:t>
            </w:r>
          </w:p>
          <w:p w14:paraId="3E2C6107" w14:textId="77777777" w:rsidR="008630AA" w:rsidRPr="00DF4F20" w:rsidRDefault="008630AA" w:rsidP="001E4496">
            <w:pPr>
              <w:pStyle w:val="Prrafodelista"/>
              <w:rPr>
                <w:rFonts w:ascii="Verdana" w:hAnsi="Verdana" w:cs="Arial"/>
              </w:rPr>
            </w:pPr>
          </w:p>
          <w:p w14:paraId="47931E36" w14:textId="77777777" w:rsidR="008630AA" w:rsidRPr="00DF4F20" w:rsidRDefault="008630AA" w:rsidP="008630AA">
            <w:pPr>
              <w:pStyle w:val="Prrafodelista"/>
              <w:widowControl w:val="0"/>
              <w:numPr>
                <w:ilvl w:val="0"/>
                <w:numId w:val="18"/>
              </w:numPr>
              <w:autoSpaceDE w:val="0"/>
              <w:autoSpaceDN w:val="0"/>
              <w:spacing w:before="120" w:after="120" w:line="276" w:lineRule="auto"/>
              <w:jc w:val="both"/>
              <w:rPr>
                <w:rFonts w:ascii="Verdana" w:hAnsi="Verdana" w:cs="Arial"/>
                <w:color w:val="7030A0"/>
              </w:rPr>
            </w:pPr>
            <w:r w:rsidRPr="00DB6EFB">
              <w:rPr>
                <w:rFonts w:ascii="Verdana" w:hAnsi="Verdana" w:cs="Arial"/>
              </w:rPr>
              <w:t>Decreto Único Reglamentario 1081 de 2015.</w:t>
            </w:r>
          </w:p>
          <w:p w14:paraId="71FAE132" w14:textId="77777777" w:rsidR="008630AA" w:rsidRPr="00DF4F20" w:rsidRDefault="008630AA" w:rsidP="001E4496">
            <w:pPr>
              <w:pStyle w:val="Prrafodelista"/>
              <w:rPr>
                <w:rFonts w:ascii="Verdana" w:hAnsi="Verdana" w:cs="Arial"/>
                <w:color w:val="7030A0"/>
              </w:rPr>
            </w:pPr>
          </w:p>
          <w:p w14:paraId="409E245D" w14:textId="77777777" w:rsidR="008630AA" w:rsidRDefault="008630AA" w:rsidP="008630AA">
            <w:pPr>
              <w:pStyle w:val="Prrafodelista"/>
              <w:widowControl w:val="0"/>
              <w:numPr>
                <w:ilvl w:val="0"/>
                <w:numId w:val="18"/>
              </w:numPr>
              <w:autoSpaceDE w:val="0"/>
              <w:autoSpaceDN w:val="0"/>
              <w:spacing w:before="120" w:after="120" w:line="276" w:lineRule="auto"/>
              <w:contextualSpacing w:val="0"/>
              <w:jc w:val="both"/>
              <w:rPr>
                <w:rFonts w:ascii="Verdana" w:hAnsi="Verdana" w:cs="Arial"/>
              </w:rPr>
            </w:pPr>
            <w:r w:rsidRPr="00DF4F20">
              <w:rPr>
                <w:rFonts w:ascii="Verdana" w:hAnsi="Verdana" w:cs="Arial"/>
              </w:rPr>
              <w:t xml:space="preserve">Jurisprudencia del Consejo de Estado. Disponible en: </w:t>
            </w:r>
            <w:hyperlink r:id="rId14" w:history="1">
              <w:r w:rsidRPr="008630AA">
                <w:rPr>
                  <w:rStyle w:val="Hipervnculo"/>
                  <w:rFonts w:ascii="Verdana" w:hAnsi="Verdana" w:cs="Arial"/>
                  <w:color w:val="4472C4" w:themeColor="accent1"/>
                </w:rPr>
                <w:t>https://relatoria.colombiacompra.gov.co/providencias-consejo-de-estado/</w:t>
              </w:r>
            </w:hyperlink>
            <w:r w:rsidRPr="008630AA">
              <w:rPr>
                <w:rFonts w:ascii="Verdana" w:hAnsi="Verdana" w:cs="Arial"/>
                <w:color w:val="4472C4" w:themeColor="accent1"/>
              </w:rPr>
              <w:t xml:space="preserve"> </w:t>
            </w:r>
          </w:p>
          <w:p w14:paraId="0DE5DE87" w14:textId="77777777" w:rsidR="008630AA" w:rsidRPr="00DF4F20" w:rsidRDefault="008630AA" w:rsidP="001E4496">
            <w:pPr>
              <w:pStyle w:val="Prrafodelista"/>
              <w:rPr>
                <w:rFonts w:ascii="Verdana" w:hAnsi="Verdana" w:cs="Arial"/>
              </w:rPr>
            </w:pPr>
          </w:p>
          <w:p w14:paraId="4696933F" w14:textId="77777777" w:rsidR="008630AA" w:rsidRPr="00F17428" w:rsidRDefault="008630AA" w:rsidP="008630AA">
            <w:pPr>
              <w:pStyle w:val="Prrafodelista"/>
              <w:widowControl w:val="0"/>
              <w:numPr>
                <w:ilvl w:val="0"/>
                <w:numId w:val="18"/>
              </w:numPr>
              <w:autoSpaceDE w:val="0"/>
              <w:autoSpaceDN w:val="0"/>
              <w:spacing w:before="120" w:after="120" w:line="276" w:lineRule="auto"/>
              <w:contextualSpacing w:val="0"/>
              <w:jc w:val="both"/>
              <w:rPr>
                <w:rFonts w:ascii="Verdana" w:hAnsi="Verdana" w:cs="Arial"/>
              </w:rPr>
            </w:pPr>
            <w:r w:rsidRPr="00DF4F20">
              <w:rPr>
                <w:rFonts w:ascii="Verdana" w:hAnsi="Verdana" w:cs="Arial"/>
              </w:rPr>
              <w:t>Guías y manuales expedidos por la ANCP-CCE. Disponible en:</w:t>
            </w:r>
            <w:r w:rsidRPr="00DF4F20">
              <w:t xml:space="preserve"> </w:t>
            </w:r>
            <w:hyperlink r:id="rId15" w:history="1">
              <w:r w:rsidRPr="008630AA">
                <w:rPr>
                  <w:rStyle w:val="Hipervnculo"/>
                  <w:rFonts w:ascii="Verdana" w:hAnsi="Verdana" w:cs="Arial"/>
                  <w:color w:val="4472C4" w:themeColor="accent1"/>
                </w:rPr>
                <w:t>https://www.colombiacompra.gov.co/manuales-guias-y-pliegos-tipo/manuales-y-guias</w:t>
              </w:r>
            </w:hyperlink>
            <w:r w:rsidRPr="008630AA">
              <w:rPr>
                <w:rFonts w:ascii="Verdana" w:hAnsi="Verdana" w:cs="Arial"/>
                <w:color w:val="4472C4" w:themeColor="accent1"/>
              </w:rPr>
              <w:t xml:space="preserve"> </w:t>
            </w:r>
          </w:p>
          <w:p w14:paraId="199BA631" w14:textId="77777777" w:rsidR="008630AA" w:rsidRPr="00AC742F" w:rsidRDefault="008630AA" w:rsidP="001E4496">
            <w:pPr>
              <w:widowControl w:val="0"/>
              <w:autoSpaceDE w:val="0"/>
              <w:autoSpaceDN w:val="0"/>
              <w:spacing w:after="120" w:line="276" w:lineRule="auto"/>
              <w:ind w:left="360"/>
              <w:jc w:val="both"/>
              <w:rPr>
                <w:rFonts w:ascii="Verdana" w:hAnsi="Verdana" w:cs="Arial"/>
              </w:rPr>
            </w:pPr>
          </w:p>
        </w:tc>
      </w:tr>
    </w:tbl>
    <w:p w14:paraId="48B3B6C0" w14:textId="77777777" w:rsidR="008630AA" w:rsidRPr="00593A5F" w:rsidRDefault="008630AA" w:rsidP="008630AA">
      <w:pPr>
        <w:widowControl w:val="0"/>
        <w:autoSpaceDE w:val="0"/>
        <w:autoSpaceDN w:val="0"/>
        <w:spacing w:after="0" w:line="276" w:lineRule="auto"/>
        <w:jc w:val="both"/>
        <w:rPr>
          <w:rFonts w:ascii="Verdana" w:hAnsi="Verdana" w:cs="Arial"/>
        </w:rPr>
      </w:pPr>
    </w:p>
    <w:p w14:paraId="3176C503" w14:textId="77777777" w:rsidR="008630AA" w:rsidRPr="00593A5F" w:rsidRDefault="008630AA" w:rsidP="008630A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3470C5BA" w14:textId="77777777" w:rsidR="008630AA" w:rsidRPr="00593A5F" w:rsidRDefault="008630AA" w:rsidP="008630AA">
      <w:pPr>
        <w:widowControl w:val="0"/>
        <w:autoSpaceDE w:val="0"/>
        <w:autoSpaceDN w:val="0"/>
        <w:spacing w:after="0" w:line="276" w:lineRule="auto"/>
        <w:jc w:val="both"/>
        <w:rPr>
          <w:rFonts w:ascii="Verdana" w:hAnsi="Verdana" w:cs="Arial"/>
        </w:rPr>
      </w:pPr>
    </w:p>
    <w:p w14:paraId="655E4EE7" w14:textId="77777777" w:rsidR="008630AA" w:rsidRDefault="008630AA" w:rsidP="008630AA">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B6EFB">
        <w:rPr>
          <w:rStyle w:val="normaltextrun"/>
          <w:rFonts w:ascii="Verdana" w:hAnsi="Verdana" w:cs="Arial"/>
          <w:shd w:val="clear" w:color="auto" w:fill="FFFFFF"/>
          <w:lang w:val="es-ES"/>
        </w:rPr>
        <w:t xml:space="preserve">Sobre </w:t>
      </w:r>
      <w:r w:rsidRPr="00DB6EFB">
        <w:rPr>
          <w:rStyle w:val="normaltextrun"/>
          <w:rFonts w:ascii="Verdana" w:hAnsi="Verdana" w:cs="Arial"/>
          <w:i/>
          <w:iCs/>
          <w:shd w:val="clear" w:color="auto" w:fill="FFFFFF"/>
          <w:lang w:val="es-ES"/>
        </w:rPr>
        <w:t>el deber de las entidades de publicar sus actuaciones contractuales en el SECOP</w:t>
      </w:r>
      <w:r w:rsidRPr="00DB6EFB">
        <w:rPr>
          <w:rStyle w:val="normaltextrun"/>
          <w:rFonts w:ascii="Verdana" w:hAnsi="Verdana" w:cs="Arial"/>
          <w:shd w:val="clear" w:color="auto" w:fill="FFFFFF"/>
          <w:lang w:val="es-ES"/>
        </w:rPr>
        <w:t xml:space="preserve">, esta Subdirección unificó su doctrina en el concepto CU-003 del 15 de enero de 2020.  Dicho concepto de unificación, fue reiterado 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agosto de 2020, </w:t>
      </w:r>
      <w:r w:rsidRPr="00DB6EFB">
        <w:rPr>
          <w:rStyle w:val="normaltextrun"/>
          <w:rFonts w:ascii="Verdana" w:hAnsi="Verdana" w:cs="Arial"/>
          <w:shd w:val="clear" w:color="auto" w:fill="FFFFFF"/>
          <w:lang w:val="es-ES"/>
        </w:rPr>
        <w:lastRenderedPageBreak/>
        <w:t xml:space="preserve">C-559 del 25 de agosto de 2020, C-562 del 25 de agosto de 2020, C-574 del 27 de agosto de 2020, C-680 de 18 de noviembre de 2020, C-780 del 18 de enero de 2021, C-032 del 2 de marzo de 2021, C-137 del 7 de abril de 2021, C-172 del 13 de abril de 2021, C-185 del 29 de abril de 2021, C-222 del 19 de mayo de 2021, C-229 y C-238 del 24 de mayo de 2021, C-241 del 27 de mayo de 2021, C-253 del 2 de junio de 2021, C-026 del 18 de febrero de 2022, C-074 del 10 de marzo de 2022, C-083 del 18 de marzo de 2022, C-135 del 28 de marzo de 2022, C-495 del 2 de agosto de 2022, C-508 del 30 de agosto de 2022 y C-609 del 23 de septiembre de 2022, entre otros.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6" w:history="1">
        <w:r w:rsidRPr="008630AA">
          <w:rPr>
            <w:rStyle w:val="Hipervnculo"/>
            <w:rFonts w:ascii="Verdana" w:hAnsi="Verdana" w:cs="Arial"/>
            <w:color w:val="4472C4" w:themeColor="accent1"/>
            <w:shd w:val="clear" w:color="auto" w:fill="FFFFFF"/>
            <w:lang w:val="es-ES"/>
          </w:rPr>
          <w:t>https://relatoria.colombiacompra.gov.co/busqueda/conceptos</w:t>
        </w:r>
      </w:hyperlink>
      <w:r w:rsidRPr="008630AA">
        <w:rPr>
          <w:rStyle w:val="normaltextrun"/>
          <w:rFonts w:ascii="Verdana" w:hAnsi="Verdana" w:cs="Arial"/>
          <w:color w:val="4472C4" w:themeColor="accent1"/>
          <w:shd w:val="clear" w:color="auto" w:fill="FFFFFF"/>
          <w:lang w:val="es-ES"/>
        </w:rPr>
        <w:t xml:space="preserve">. </w:t>
      </w:r>
    </w:p>
    <w:p w14:paraId="6E05E80E" w14:textId="77777777" w:rsidR="008630AA" w:rsidRDefault="008630AA" w:rsidP="008630AA">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3A44FC1" w14:textId="77777777" w:rsidR="008630AA" w:rsidRPr="00072E85" w:rsidRDefault="008630AA" w:rsidP="008630AA">
      <w:pPr>
        <w:spacing w:after="0" w:line="240" w:lineRule="auto"/>
        <w:jc w:val="both"/>
        <w:rPr>
          <w:rFonts w:ascii="Verdana" w:hAnsi="Verdana" w:cs="Arial"/>
          <w:color w:val="000000" w:themeColor="text1"/>
          <w:shd w:val="clear" w:color="auto" w:fill="FFFFFF"/>
        </w:rPr>
      </w:pPr>
      <w:r w:rsidRPr="00072E85">
        <w:rPr>
          <w:rFonts w:ascii="Verdana" w:hAnsi="Verdana" w:cs="Arial"/>
          <w:color w:val="000000" w:themeColor="text1"/>
          <w:shd w:val="clear" w:color="auto" w:fill="FFFFFF"/>
        </w:rPr>
        <w:t>También le invitamos a consultar la versión VII de 2024 del Boletín de Relatoría de la Subdirección de Gestión Contractual relacionados con las guías de Plan Anual de Adquisiciones y la modalidad de selección de mínima cuantía, los cuales se pueden descargar en la página web de la Agencia: </w:t>
      </w:r>
      <w:hyperlink r:id="rId17" w:tgtFrame="_blank" w:tooltip="Dirección URL original: https://www.colombiacompra.gov.co/sala-de-prensa/boletin-digital. Haga clic o pulse si confía en este vínculo." w:history="1">
        <w:r w:rsidRPr="00072E85">
          <w:rPr>
            <w:rStyle w:val="Hipervnculo"/>
            <w:rFonts w:ascii="Verdana" w:hAnsi="Verdana" w:cs="Arial"/>
            <w:color w:val="4472C4" w:themeColor="accent1"/>
            <w:shd w:val="clear" w:color="auto" w:fill="FFFFFF"/>
          </w:rPr>
          <w:t>https://www.colombiacompra.gov.co/sala-de-prensa/boletin-digital</w:t>
        </w:r>
      </w:hyperlink>
      <w:r w:rsidRPr="00072E85">
        <w:rPr>
          <w:rFonts w:ascii="Verdana" w:hAnsi="Verdana" w:cs="Arial"/>
          <w:color w:val="4472C4" w:themeColor="accent1"/>
          <w:shd w:val="clear" w:color="auto" w:fill="FFFFFF"/>
        </w:rPr>
        <w:t> </w:t>
      </w:r>
    </w:p>
    <w:p w14:paraId="019483E5" w14:textId="77777777" w:rsidR="008630AA" w:rsidRDefault="008630AA" w:rsidP="008630AA">
      <w:pPr>
        <w:spacing w:after="0" w:line="240" w:lineRule="auto"/>
        <w:jc w:val="both"/>
        <w:rPr>
          <w:rFonts w:ascii="Verdana" w:hAnsi="Verdana"/>
        </w:rPr>
      </w:pPr>
    </w:p>
    <w:p w14:paraId="3994A782" w14:textId="77777777" w:rsidR="008630AA" w:rsidRPr="003E2460" w:rsidRDefault="008630AA" w:rsidP="008630AA">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16EAEC5D" w14:textId="77777777" w:rsidR="008630AA" w:rsidRPr="003E2460" w:rsidRDefault="008630AA" w:rsidP="008630AA">
      <w:pPr>
        <w:spacing w:after="0" w:line="240" w:lineRule="auto"/>
        <w:jc w:val="both"/>
        <w:rPr>
          <w:rFonts w:ascii="Verdana" w:hAnsi="Verdana"/>
        </w:rPr>
      </w:pPr>
    </w:p>
    <w:p w14:paraId="4D7A6B53" w14:textId="77777777" w:rsidR="008630AA" w:rsidRPr="003E2460" w:rsidRDefault="008630AA" w:rsidP="008630AA">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6C742A30" w14:textId="77777777" w:rsidR="008630AA" w:rsidRPr="003E2460" w:rsidRDefault="008630AA" w:rsidP="008630AA">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3F8367E0" w14:textId="77777777" w:rsidR="008630AA" w:rsidRPr="003E2460" w:rsidRDefault="008630AA" w:rsidP="008630AA">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2F34E0B5" w14:textId="77777777" w:rsidR="008630AA" w:rsidRPr="00593A5F" w:rsidRDefault="008630AA" w:rsidP="008630AA">
      <w:pPr>
        <w:widowControl w:val="0"/>
        <w:autoSpaceDE w:val="0"/>
        <w:autoSpaceDN w:val="0"/>
        <w:spacing w:after="0" w:line="276" w:lineRule="auto"/>
        <w:jc w:val="both"/>
        <w:rPr>
          <w:rFonts w:ascii="Verdana" w:hAnsi="Verdana" w:cs="Arial"/>
        </w:rPr>
      </w:pPr>
    </w:p>
    <w:p w14:paraId="1A9D3B8D" w14:textId="77777777" w:rsidR="008630AA" w:rsidRPr="00593A5F" w:rsidRDefault="008630AA" w:rsidP="008630AA">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1D0241C1" w14:textId="77777777" w:rsidR="008630AA" w:rsidRPr="00593A5F" w:rsidRDefault="008630AA" w:rsidP="008630AA">
      <w:pPr>
        <w:widowControl w:val="0"/>
        <w:autoSpaceDE w:val="0"/>
        <w:autoSpaceDN w:val="0"/>
        <w:spacing w:after="0" w:line="276" w:lineRule="auto"/>
        <w:jc w:val="both"/>
        <w:rPr>
          <w:rFonts w:ascii="Verdana" w:hAnsi="Verdana" w:cs="Arial"/>
        </w:rPr>
      </w:pPr>
    </w:p>
    <w:p w14:paraId="7AA13F0F" w14:textId="77777777" w:rsidR="008630AA" w:rsidRPr="00593A5F" w:rsidRDefault="008630AA" w:rsidP="008630AA">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6FD1A43" w14:textId="27026C34" w:rsidR="008630AA" w:rsidRPr="00593A5F" w:rsidRDefault="007D17F3" w:rsidP="008630AA">
      <w:pPr>
        <w:spacing w:line="276" w:lineRule="auto"/>
        <w:jc w:val="center"/>
        <w:rPr>
          <w:rFonts w:ascii="Verdana" w:hAnsi="Verdana" w:cs="Arial"/>
          <w:color w:val="000000"/>
          <w:lang w:val="es-ES_tradnl" w:eastAsia="es-CO"/>
        </w:rPr>
      </w:pPr>
      <w:r>
        <w:rPr>
          <w:noProof/>
        </w:rPr>
        <w:lastRenderedPageBreak/>
        <w:drawing>
          <wp:inline distT="0" distB="0" distL="0" distR="0" wp14:anchorId="444BAB6D" wp14:editId="5C78F2AB">
            <wp:extent cx="3771429" cy="1400000"/>
            <wp:effectExtent l="0" t="0" r="635" b="0"/>
            <wp:docPr id="64115152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51523" name="Imagen 1" descr="Texto&#10;&#10;Descripción generada automáticamente"/>
                    <pic:cNvPicPr/>
                  </pic:nvPicPr>
                  <pic:blipFill>
                    <a:blip r:embed="rId18"/>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630AA" w:rsidRPr="00AC37A8" w14:paraId="2B3CE0EA" w14:textId="77777777" w:rsidTr="001E4496">
        <w:trPr>
          <w:trHeight w:val="315"/>
        </w:trPr>
        <w:tc>
          <w:tcPr>
            <w:tcW w:w="893" w:type="dxa"/>
            <w:vAlign w:val="center"/>
            <w:hideMark/>
          </w:tcPr>
          <w:p w14:paraId="06E540E7" w14:textId="77777777" w:rsidR="008630AA" w:rsidRPr="00AC37A8" w:rsidRDefault="008630AA" w:rsidP="001E4496">
            <w:pPr>
              <w:contextualSpacing/>
              <w:rPr>
                <w:rFonts w:ascii="Verdana" w:hAnsi="Verdana" w:cs="Arial"/>
                <w:sz w:val="16"/>
                <w:szCs w:val="16"/>
                <w:lang w:val="es-ES" w:eastAsia="es-ES"/>
              </w:rPr>
            </w:pPr>
            <w:r w:rsidRPr="00AC37A8">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3F7991D" w14:textId="77777777" w:rsidR="008630AA" w:rsidRPr="00AC37A8" w:rsidRDefault="008630AA" w:rsidP="001E4496">
            <w:pPr>
              <w:contextualSpacing/>
              <w:rPr>
                <w:rStyle w:val="normaltextrun"/>
                <w:rFonts w:ascii="Verdana" w:hAnsi="Verdana"/>
                <w:sz w:val="16"/>
                <w:szCs w:val="16"/>
              </w:rPr>
            </w:pPr>
            <w:r w:rsidRPr="00AC37A8">
              <w:rPr>
                <w:rStyle w:val="normaltextrun"/>
                <w:rFonts w:ascii="Verdana" w:hAnsi="Verdana"/>
                <w:sz w:val="16"/>
                <w:szCs w:val="16"/>
              </w:rPr>
              <w:t>Santiago Alberto Herrera Morillo</w:t>
            </w:r>
          </w:p>
          <w:p w14:paraId="6CB9B40A" w14:textId="77777777" w:rsidR="008630AA" w:rsidRPr="00AC37A8" w:rsidRDefault="008630AA" w:rsidP="001E4496">
            <w:pPr>
              <w:contextualSpacing/>
              <w:rPr>
                <w:rFonts w:ascii="Verdana" w:eastAsia="Arial" w:hAnsi="Verdana" w:cs="Arial"/>
                <w:sz w:val="16"/>
                <w:szCs w:val="16"/>
              </w:rPr>
            </w:pPr>
            <w:r w:rsidRPr="00AC37A8">
              <w:rPr>
                <w:rStyle w:val="normaltextrun"/>
                <w:rFonts w:ascii="Verdana" w:hAnsi="Verdana"/>
                <w:sz w:val="16"/>
                <w:szCs w:val="16"/>
              </w:rPr>
              <w:t xml:space="preserve">Analista T2-02 </w:t>
            </w:r>
            <w:r w:rsidRPr="00AC37A8">
              <w:rPr>
                <w:rStyle w:val="normaltextrun"/>
                <w:rFonts w:ascii="Verdana" w:eastAsia="Arial" w:hAnsi="Verdana" w:cs="Arial"/>
                <w:sz w:val="16"/>
                <w:szCs w:val="16"/>
              </w:rPr>
              <w:t>de la Subdirección de Gestión Contractual</w:t>
            </w:r>
          </w:p>
        </w:tc>
      </w:tr>
      <w:tr w:rsidR="008630AA" w:rsidRPr="00AC37A8" w14:paraId="5FF49B04" w14:textId="77777777" w:rsidTr="001E4496">
        <w:trPr>
          <w:trHeight w:val="330"/>
        </w:trPr>
        <w:tc>
          <w:tcPr>
            <w:tcW w:w="893" w:type="dxa"/>
            <w:vAlign w:val="center"/>
            <w:hideMark/>
          </w:tcPr>
          <w:p w14:paraId="598D3F75" w14:textId="77777777" w:rsidR="008630AA" w:rsidRPr="00AC37A8" w:rsidRDefault="008630AA" w:rsidP="001E4496">
            <w:pPr>
              <w:contextualSpacing/>
              <w:rPr>
                <w:rFonts w:ascii="Verdana" w:hAnsi="Verdana" w:cs="Arial"/>
                <w:sz w:val="16"/>
                <w:szCs w:val="16"/>
                <w:lang w:val="es-ES" w:eastAsia="es-ES"/>
              </w:rPr>
            </w:pPr>
            <w:r w:rsidRPr="00AC37A8">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AC84C2A" w14:textId="77777777" w:rsidR="008630AA" w:rsidRPr="00AC37A8" w:rsidRDefault="008630AA" w:rsidP="001E4496">
            <w:pPr>
              <w:pStyle w:val="paragraph"/>
              <w:spacing w:before="0" w:beforeAutospacing="0" w:after="0" w:afterAutospacing="0"/>
              <w:contextualSpacing/>
              <w:textAlignment w:val="baseline"/>
              <w:rPr>
                <w:rStyle w:val="normaltextrun"/>
                <w:rFonts w:ascii="Verdana" w:hAnsi="Verdana" w:cs="Arial"/>
                <w:sz w:val="16"/>
                <w:szCs w:val="16"/>
                <w:lang w:val="es-ES"/>
              </w:rPr>
            </w:pPr>
            <w:r w:rsidRPr="00AC37A8">
              <w:rPr>
                <w:rStyle w:val="normaltextrun"/>
                <w:rFonts w:ascii="Verdana" w:hAnsi="Verdana" w:cs="Arial"/>
                <w:sz w:val="16"/>
                <w:szCs w:val="16"/>
                <w:lang w:val="es-ES"/>
              </w:rPr>
              <w:t>Cielo Victoria González Meza</w:t>
            </w:r>
          </w:p>
          <w:p w14:paraId="111EA6E0" w14:textId="77777777" w:rsidR="008630AA" w:rsidRPr="00AC37A8" w:rsidRDefault="008630AA" w:rsidP="001E4496">
            <w:pPr>
              <w:pStyle w:val="paragraph"/>
              <w:spacing w:before="0" w:beforeAutospacing="0" w:after="0" w:afterAutospacing="0"/>
              <w:contextualSpacing/>
              <w:textAlignment w:val="baseline"/>
              <w:rPr>
                <w:rFonts w:ascii="Verdana" w:hAnsi="Verdana" w:cs="Segoe UI"/>
                <w:sz w:val="16"/>
                <w:szCs w:val="16"/>
              </w:rPr>
            </w:pPr>
            <w:r w:rsidRPr="00AC37A8">
              <w:rPr>
                <w:rStyle w:val="normaltextrun"/>
                <w:rFonts w:ascii="Verdana" w:hAnsi="Verdana" w:cs="Arial"/>
                <w:sz w:val="16"/>
                <w:szCs w:val="16"/>
                <w:lang w:val="es-ES"/>
              </w:rPr>
              <w:t>Contratista de la Subdirección de Gestión Contractual</w:t>
            </w:r>
            <w:r w:rsidRPr="00AC37A8">
              <w:rPr>
                <w:rStyle w:val="eop"/>
                <w:rFonts w:ascii="Verdana" w:hAnsi="Verdana" w:cs="Arial"/>
                <w:sz w:val="16"/>
                <w:szCs w:val="16"/>
              </w:rPr>
              <w:t> </w:t>
            </w:r>
          </w:p>
        </w:tc>
      </w:tr>
      <w:tr w:rsidR="008630AA" w:rsidRPr="00AC37A8" w14:paraId="68D19BE5" w14:textId="77777777" w:rsidTr="001E4496">
        <w:trPr>
          <w:trHeight w:val="300"/>
        </w:trPr>
        <w:tc>
          <w:tcPr>
            <w:tcW w:w="893" w:type="dxa"/>
            <w:vAlign w:val="center"/>
          </w:tcPr>
          <w:p w14:paraId="45EBD8C5" w14:textId="77777777" w:rsidR="008630AA" w:rsidRPr="00AC37A8" w:rsidRDefault="008630AA" w:rsidP="001E4496">
            <w:pPr>
              <w:contextualSpacing/>
              <w:rPr>
                <w:rFonts w:ascii="Verdana" w:hAnsi="Verdana" w:cs="Arial"/>
                <w:sz w:val="16"/>
                <w:szCs w:val="16"/>
                <w:lang w:val="es-ES" w:eastAsia="es-ES"/>
              </w:rPr>
            </w:pPr>
            <w:r w:rsidRPr="00AC37A8">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3E7E220" w14:textId="77777777" w:rsidR="008630AA" w:rsidRPr="00AC37A8" w:rsidRDefault="008630AA" w:rsidP="001E4496">
            <w:pPr>
              <w:contextualSpacing/>
              <w:rPr>
                <w:rFonts w:ascii="Verdana" w:eastAsia="Calibri" w:hAnsi="Verdana" w:cs="Arial"/>
                <w:sz w:val="16"/>
                <w:szCs w:val="16"/>
                <w:lang w:val="pt-BR" w:eastAsia="es-ES"/>
              </w:rPr>
            </w:pPr>
            <w:r w:rsidRPr="00AC37A8">
              <w:rPr>
                <w:rFonts w:ascii="Verdana" w:eastAsia="Calibri" w:hAnsi="Verdana" w:cs="Arial"/>
                <w:sz w:val="16"/>
                <w:szCs w:val="16"/>
                <w:lang w:val="pt-BR" w:eastAsia="es-ES"/>
              </w:rPr>
              <w:t>Carolina Quintero Gacharná</w:t>
            </w:r>
          </w:p>
          <w:p w14:paraId="71DA8FF5" w14:textId="77777777" w:rsidR="008630AA" w:rsidRPr="00AC37A8" w:rsidRDefault="008630AA" w:rsidP="001E4496">
            <w:pPr>
              <w:contextualSpacing/>
              <w:rPr>
                <w:rFonts w:ascii="Verdana" w:eastAsia="Calibri" w:hAnsi="Verdana" w:cs="Arial"/>
                <w:sz w:val="16"/>
                <w:szCs w:val="16"/>
                <w:lang w:val="pt-BR" w:eastAsia="es-ES"/>
              </w:rPr>
            </w:pPr>
            <w:r w:rsidRPr="00AC37A8">
              <w:rPr>
                <w:rFonts w:ascii="Verdana" w:eastAsia="Calibri" w:hAnsi="Verdana" w:cs="Arial"/>
                <w:sz w:val="16"/>
                <w:szCs w:val="16"/>
                <w:lang w:eastAsia="es-ES"/>
              </w:rPr>
              <w:t>Subdirectora</w:t>
            </w:r>
            <w:r w:rsidRPr="00AC37A8">
              <w:rPr>
                <w:rFonts w:ascii="Verdana" w:eastAsia="Calibri" w:hAnsi="Verdana" w:cs="Arial"/>
                <w:sz w:val="16"/>
                <w:szCs w:val="16"/>
                <w:lang w:val="pt-BR" w:eastAsia="es-ES"/>
              </w:rPr>
              <w:t xml:space="preserve"> de Gestión Contractual ANCP – CCE</w:t>
            </w:r>
          </w:p>
        </w:tc>
      </w:tr>
    </w:tbl>
    <w:p w14:paraId="4C567DA0" w14:textId="77777777" w:rsidR="008630AA" w:rsidRPr="00AC37A8" w:rsidRDefault="008630AA" w:rsidP="008630AA">
      <w:pPr>
        <w:spacing w:after="0" w:line="240" w:lineRule="auto"/>
        <w:rPr>
          <w:rFonts w:ascii="Verdana" w:eastAsia="Times New Roman" w:hAnsi="Verdana" w:cs="Arial"/>
          <w:sz w:val="24"/>
          <w:szCs w:val="24"/>
          <w:lang w:eastAsia="es-ES"/>
        </w:rPr>
      </w:pPr>
    </w:p>
    <w:p w14:paraId="3900974D" w14:textId="77777777" w:rsidR="003D5B0D" w:rsidRPr="008630AA" w:rsidRDefault="003D5B0D" w:rsidP="008630AA"/>
    <w:sectPr w:rsidR="003D5B0D" w:rsidRPr="008630AA"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ABE4A" w14:textId="77777777" w:rsidR="007A7E86" w:rsidRDefault="007A7E86" w:rsidP="004A1847">
      <w:pPr>
        <w:spacing w:after="0" w:line="240" w:lineRule="auto"/>
      </w:pPr>
      <w:r>
        <w:separator/>
      </w:r>
    </w:p>
  </w:endnote>
  <w:endnote w:type="continuationSeparator" w:id="0">
    <w:p w14:paraId="20223BD2" w14:textId="77777777" w:rsidR="007A7E86" w:rsidRDefault="007A7E86" w:rsidP="004A1847">
      <w:pPr>
        <w:spacing w:after="0" w:line="240" w:lineRule="auto"/>
      </w:pPr>
      <w:r>
        <w:continuationSeparator/>
      </w:r>
    </w:p>
  </w:endnote>
  <w:endnote w:type="continuationNotice" w:id="1">
    <w:p w14:paraId="40AA872B" w14:textId="77777777" w:rsidR="00D07665" w:rsidRDefault="00D076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C1B63" w14:textId="77777777" w:rsidR="007A7E86" w:rsidRDefault="007A7E86" w:rsidP="004A1847">
      <w:pPr>
        <w:spacing w:after="0" w:line="240" w:lineRule="auto"/>
      </w:pPr>
      <w:r>
        <w:separator/>
      </w:r>
    </w:p>
  </w:footnote>
  <w:footnote w:type="continuationSeparator" w:id="0">
    <w:p w14:paraId="044C8957" w14:textId="77777777" w:rsidR="007A7E86" w:rsidRDefault="007A7E86" w:rsidP="004A1847">
      <w:pPr>
        <w:spacing w:after="0" w:line="240" w:lineRule="auto"/>
      </w:pPr>
      <w:r>
        <w:continuationSeparator/>
      </w:r>
    </w:p>
  </w:footnote>
  <w:footnote w:type="continuationNotice" w:id="1">
    <w:p w14:paraId="6A52FBC3" w14:textId="77777777" w:rsidR="00D07665" w:rsidRDefault="00D07665">
      <w:pPr>
        <w:spacing w:after="0" w:line="240" w:lineRule="auto"/>
      </w:pPr>
    </w:p>
  </w:footnote>
  <w:footnote w:id="2">
    <w:p w14:paraId="761AE77C" w14:textId="77777777" w:rsidR="008630AA" w:rsidRPr="003D6EC7" w:rsidRDefault="008630AA" w:rsidP="008630AA">
      <w:pPr>
        <w:pStyle w:val="Textonotapie"/>
        <w:ind w:firstLine="709"/>
        <w:jc w:val="both"/>
        <w:rPr>
          <w:rFonts w:ascii="Verdana" w:hAnsi="Verdana" w:cs="Arial"/>
          <w:sz w:val="16"/>
          <w:szCs w:val="16"/>
          <w:lang w:val="es-ES"/>
        </w:rPr>
      </w:pPr>
      <w:r w:rsidRPr="003D6EC7">
        <w:rPr>
          <w:rStyle w:val="Refdenotaalpie"/>
          <w:rFonts w:ascii="Verdana" w:hAnsi="Verdana" w:cs="Arial"/>
          <w:sz w:val="16"/>
          <w:szCs w:val="16"/>
        </w:rPr>
        <w:footnoteRef/>
      </w:r>
      <w:r w:rsidRPr="003D6EC7">
        <w:rPr>
          <w:rFonts w:ascii="Verdana" w:hAnsi="Verdana" w:cs="Arial"/>
          <w:sz w:val="16"/>
          <w:szCs w:val="16"/>
        </w:rPr>
        <w:t xml:space="preserve"> </w:t>
      </w:r>
      <w:r w:rsidRPr="003D6EC7">
        <w:rPr>
          <w:rFonts w:ascii="Verdana" w:hAnsi="Verdana" w:cs="Arial"/>
          <w:sz w:val="16"/>
          <w:szCs w:val="16"/>
          <w:lang w:val="es-ES"/>
        </w:rPr>
        <w:t>BOBBIO, Norberto. Democracia y secreto. México: Fondo de Cultura Económica, 2013. p. 27.</w:t>
      </w:r>
    </w:p>
  </w:footnote>
  <w:footnote w:id="3">
    <w:p w14:paraId="012F88F2" w14:textId="77777777" w:rsidR="008630AA" w:rsidRPr="003D6EC7" w:rsidRDefault="008630AA" w:rsidP="008630AA">
      <w:pPr>
        <w:pStyle w:val="Textonotapie"/>
        <w:ind w:firstLine="709"/>
        <w:jc w:val="both"/>
        <w:rPr>
          <w:rFonts w:ascii="Verdana" w:hAnsi="Verdana" w:cs="Arial"/>
          <w:color w:val="000000" w:themeColor="text1"/>
          <w:sz w:val="16"/>
          <w:szCs w:val="16"/>
        </w:rPr>
      </w:pPr>
    </w:p>
    <w:p w14:paraId="17A559FF" w14:textId="77777777" w:rsidR="008630AA" w:rsidRPr="003D6EC7" w:rsidRDefault="008630AA" w:rsidP="008630AA">
      <w:pPr>
        <w:pStyle w:val="Textonotapie"/>
        <w:ind w:firstLine="709"/>
        <w:jc w:val="both"/>
        <w:rPr>
          <w:rFonts w:ascii="Verdana" w:hAnsi="Verdana" w:cs="Arial"/>
          <w:color w:val="000000" w:themeColor="text1"/>
          <w:sz w:val="16"/>
          <w:szCs w:val="16"/>
        </w:rPr>
      </w:pPr>
      <w:r w:rsidRPr="003D6EC7">
        <w:rPr>
          <w:rStyle w:val="Refdenotaalpie"/>
          <w:rFonts w:ascii="Verdana" w:hAnsi="Verdana" w:cs="Arial"/>
          <w:color w:val="000000" w:themeColor="text1"/>
          <w:sz w:val="16"/>
          <w:szCs w:val="16"/>
        </w:rPr>
        <w:footnoteRef/>
      </w:r>
      <w:r w:rsidRPr="003D6EC7">
        <w:rPr>
          <w:rFonts w:ascii="Verdana" w:hAnsi="Verdana" w:cs="Arial"/>
          <w:color w:val="000000" w:themeColor="text1"/>
          <w:sz w:val="16"/>
          <w:szCs w:val="16"/>
        </w:rPr>
        <w:t xml:space="preserve"> Corte Constitucional. Sentencia C- 341 del 4 de junio de 2014. M. P. Mauricio González Cuervo.</w:t>
      </w:r>
    </w:p>
    <w:p w14:paraId="3D7A5A50" w14:textId="77777777" w:rsidR="008630AA" w:rsidRPr="003D6EC7" w:rsidRDefault="008630AA" w:rsidP="008630AA">
      <w:pPr>
        <w:pStyle w:val="Textonotapie"/>
        <w:ind w:firstLine="709"/>
        <w:jc w:val="both"/>
        <w:rPr>
          <w:rFonts w:ascii="Verdana" w:hAnsi="Verdana" w:cs="Arial"/>
          <w:color w:val="000000" w:themeColor="text1"/>
          <w:sz w:val="16"/>
          <w:szCs w:val="16"/>
        </w:rPr>
      </w:pPr>
    </w:p>
  </w:footnote>
  <w:footnote w:id="4">
    <w:p w14:paraId="19E789C4" w14:textId="77777777" w:rsidR="008630AA" w:rsidRPr="003D6EC7" w:rsidRDefault="008630AA" w:rsidP="008630AA">
      <w:pPr>
        <w:pStyle w:val="Textonotapie"/>
        <w:ind w:firstLine="709"/>
        <w:jc w:val="both"/>
        <w:rPr>
          <w:rFonts w:ascii="Verdana" w:hAnsi="Verdana" w:cs="Arial"/>
          <w:color w:val="000000" w:themeColor="text1"/>
          <w:sz w:val="16"/>
          <w:szCs w:val="16"/>
        </w:rPr>
      </w:pPr>
      <w:r w:rsidRPr="003D6EC7">
        <w:rPr>
          <w:rStyle w:val="Refdenotaalpie"/>
          <w:rFonts w:ascii="Verdana" w:hAnsi="Verdana" w:cs="Arial"/>
          <w:color w:val="000000" w:themeColor="text1"/>
          <w:sz w:val="16"/>
          <w:szCs w:val="16"/>
        </w:rPr>
        <w:footnoteRef/>
      </w:r>
      <w:r w:rsidRPr="003D6EC7">
        <w:rPr>
          <w:rFonts w:ascii="Verdana" w:hAnsi="Verdana" w:cs="Arial"/>
          <w:color w:val="000000" w:themeColor="text1"/>
          <w:sz w:val="16"/>
          <w:szCs w:val="16"/>
        </w:rPr>
        <w:t xml:space="preserve"> Ley 1150 de 2007: “Artículo 3.</w:t>
      </w:r>
      <w:r w:rsidRPr="003D6EC7">
        <w:rPr>
          <w:rFonts w:ascii="Verdana" w:hAnsi="Verdana" w:cs="Arial"/>
          <w:color w:val="000000" w:themeColor="text1"/>
          <w:sz w:val="16"/>
          <w:szCs w:val="16"/>
        </w:rPr>
        <w:t xml:space="preserve">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629CE623" w14:textId="77777777" w:rsidR="008630AA" w:rsidRPr="003D6EC7" w:rsidRDefault="008630AA" w:rsidP="008630AA">
      <w:pPr>
        <w:pStyle w:val="Textonotapie"/>
        <w:ind w:firstLine="709"/>
        <w:jc w:val="both"/>
        <w:rPr>
          <w:rFonts w:ascii="Verdana" w:hAnsi="Verdana" w:cs="Arial"/>
          <w:color w:val="000000" w:themeColor="text1"/>
          <w:sz w:val="16"/>
          <w:szCs w:val="16"/>
        </w:rPr>
      </w:pPr>
      <w:r w:rsidRPr="003D6EC7">
        <w:rPr>
          <w:rFonts w:ascii="Verdana" w:hAnsi="Verdana" w:cs="Arial"/>
          <w:color w:val="000000" w:themeColor="text1"/>
          <w:sz w:val="16"/>
          <w:szCs w:val="16"/>
        </w:rPr>
        <w:t>“Lo anterior, sin perjuicio de las publicaciones previstas en el numeral 3 del artículo 30 de la Ley 80 de 1993.</w:t>
      </w:r>
    </w:p>
    <w:p w14:paraId="3835C6EC" w14:textId="77777777" w:rsidR="008630AA" w:rsidRPr="003D6EC7" w:rsidRDefault="008630AA" w:rsidP="008630AA">
      <w:pPr>
        <w:pStyle w:val="Textonotapie"/>
        <w:ind w:firstLine="709"/>
        <w:jc w:val="both"/>
        <w:rPr>
          <w:rFonts w:ascii="Verdana" w:hAnsi="Verdana" w:cs="Arial"/>
          <w:color w:val="000000" w:themeColor="text1"/>
          <w:sz w:val="16"/>
          <w:szCs w:val="16"/>
        </w:rPr>
      </w:pPr>
      <w:r w:rsidRPr="003D6EC7">
        <w:rPr>
          <w:rFonts w:ascii="Verdana" w:hAnsi="Verdana" w:cs="Arial"/>
          <w:color w:val="000000" w:themeColor="text1"/>
          <w:sz w:val="16"/>
          <w:szCs w:val="16"/>
        </w:rPr>
        <w:t xml:space="preserve">“Con el fin de materializar los objetivos a que se refiere el inciso anterior, el Gobierno Nacional desarrollará el Sistema Electrónico para la Contratación Pública, Secop, el cual: </w:t>
      </w:r>
    </w:p>
    <w:p w14:paraId="021D2F65" w14:textId="77777777" w:rsidR="008630AA" w:rsidRPr="003D6EC7" w:rsidRDefault="008630AA" w:rsidP="008630AA">
      <w:pPr>
        <w:pStyle w:val="Textonotapie"/>
        <w:ind w:firstLine="709"/>
        <w:jc w:val="both"/>
        <w:rPr>
          <w:rFonts w:ascii="Verdana" w:hAnsi="Verdana" w:cs="Arial"/>
          <w:color w:val="000000" w:themeColor="text1"/>
          <w:sz w:val="16"/>
          <w:szCs w:val="16"/>
        </w:rPr>
      </w:pPr>
      <w:r w:rsidRPr="003D6EC7">
        <w:rPr>
          <w:rFonts w:ascii="Verdana" w:hAnsi="Verdana" w:cs="Arial"/>
          <w:color w:val="000000" w:themeColor="text1"/>
          <w:sz w:val="16"/>
          <w:szCs w:val="16"/>
        </w:rPr>
        <w:t>[…]</w:t>
      </w:r>
    </w:p>
    <w:p w14:paraId="34AFD922" w14:textId="77777777" w:rsidR="008630AA" w:rsidRPr="003D6EC7" w:rsidRDefault="008630AA" w:rsidP="008630AA">
      <w:pPr>
        <w:pStyle w:val="Textonotapie"/>
        <w:ind w:firstLine="709"/>
        <w:jc w:val="both"/>
        <w:rPr>
          <w:rFonts w:ascii="Verdana" w:hAnsi="Verdana" w:cs="Arial"/>
          <w:color w:val="000000" w:themeColor="text1"/>
          <w:sz w:val="16"/>
          <w:szCs w:val="16"/>
        </w:rPr>
      </w:pPr>
      <w:r w:rsidRPr="003D6EC7">
        <w:rPr>
          <w:rFonts w:ascii="Verdana" w:hAnsi="Verdana" w:cs="Arial"/>
          <w:color w:val="000000" w:themeColor="text1"/>
          <w:sz w:val="16"/>
          <w:szCs w:val="16"/>
        </w:rPr>
        <w:t xml:space="preserve">“c) Contará con la información oficial de la contratación realizada con dineros públicos, para lo cual establecerá los patrones a que haya lugar y se encargará de su difusión a través de canales electrónico”. </w:t>
      </w:r>
    </w:p>
    <w:p w14:paraId="5929C3F8" w14:textId="77777777" w:rsidR="008630AA" w:rsidRPr="003D6EC7" w:rsidRDefault="008630AA" w:rsidP="008630AA">
      <w:pPr>
        <w:pStyle w:val="Textonotapie"/>
        <w:ind w:firstLine="709"/>
        <w:jc w:val="both"/>
        <w:rPr>
          <w:rFonts w:ascii="Verdana" w:hAnsi="Verdana" w:cs="Arial"/>
          <w:color w:val="000000" w:themeColor="text1"/>
          <w:sz w:val="16"/>
          <w:szCs w:val="16"/>
          <w:lang w:val="es-CO"/>
        </w:rPr>
      </w:pPr>
    </w:p>
  </w:footnote>
  <w:footnote w:id="5">
    <w:p w14:paraId="324FF10A" w14:textId="77777777" w:rsidR="008630AA" w:rsidRPr="003D6EC7" w:rsidRDefault="008630AA" w:rsidP="008630AA">
      <w:pPr>
        <w:pStyle w:val="Textonotapie"/>
        <w:ind w:firstLine="709"/>
        <w:jc w:val="both"/>
        <w:rPr>
          <w:rFonts w:ascii="Verdana" w:hAnsi="Verdana" w:cs="Arial"/>
          <w:color w:val="000000" w:themeColor="text1"/>
          <w:sz w:val="16"/>
          <w:szCs w:val="16"/>
        </w:rPr>
      </w:pPr>
      <w:r w:rsidRPr="003D6EC7">
        <w:rPr>
          <w:rStyle w:val="Refdenotaalpie"/>
          <w:rFonts w:ascii="Verdana" w:hAnsi="Verdana" w:cs="Arial"/>
          <w:color w:val="000000" w:themeColor="text1"/>
          <w:sz w:val="16"/>
          <w:szCs w:val="16"/>
        </w:rPr>
        <w:footnoteRef/>
      </w:r>
      <w:r w:rsidRPr="003D6EC7">
        <w:rPr>
          <w:rFonts w:ascii="Verdana" w:hAnsi="Verdana" w:cs="Arial"/>
          <w:color w:val="000000" w:themeColor="text1"/>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FDECE58" w14:textId="77777777" w:rsidR="008630AA" w:rsidRPr="003D6EC7" w:rsidRDefault="008630AA" w:rsidP="008630AA">
      <w:pPr>
        <w:pStyle w:val="Textonotapie"/>
        <w:ind w:firstLine="709"/>
        <w:jc w:val="both"/>
        <w:rPr>
          <w:rFonts w:ascii="Verdana" w:hAnsi="Verdana" w:cs="Arial"/>
          <w:color w:val="000000" w:themeColor="text1"/>
          <w:sz w:val="16"/>
          <w:szCs w:val="16"/>
          <w:lang w:val="es-CO"/>
        </w:rPr>
      </w:pPr>
    </w:p>
  </w:footnote>
  <w:footnote w:id="6">
    <w:p w14:paraId="5CABDF3C" w14:textId="77777777" w:rsidR="00301AFF" w:rsidRPr="000A3117" w:rsidRDefault="00301AFF" w:rsidP="00301AFF">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1712 de 2014: “Artículo 5. Ámbito de aplicación. Las disposiciones de esta ley serán aplicables a las siguientes personas en calidad de sujetos obligados: </w:t>
      </w:r>
    </w:p>
    <w:p w14:paraId="489FD8D6" w14:textId="77777777" w:rsidR="00301AFF" w:rsidRPr="000A3117" w:rsidRDefault="00301AFF" w:rsidP="00301AFF">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374E73FE" w14:textId="77777777" w:rsidR="00301AFF" w:rsidRPr="000A3117" w:rsidRDefault="00301AFF" w:rsidP="00301AFF">
      <w:pPr>
        <w:pStyle w:val="Textonotapie"/>
        <w:ind w:firstLine="709"/>
        <w:jc w:val="both"/>
        <w:rPr>
          <w:rFonts w:ascii="Verdana" w:hAnsi="Verdana" w:cs="Arial"/>
          <w:color w:val="000000" w:themeColor="text1"/>
          <w:sz w:val="16"/>
          <w:szCs w:val="16"/>
          <w:lang w:val="es-CO"/>
        </w:rPr>
      </w:pPr>
    </w:p>
  </w:footnote>
  <w:footnote w:id="7">
    <w:p w14:paraId="57C4A07A" w14:textId="77777777" w:rsidR="00301AFF" w:rsidRPr="000A3117" w:rsidRDefault="00301AFF" w:rsidP="00301AFF">
      <w:pPr>
        <w:pStyle w:val="Textonotapie"/>
        <w:ind w:firstLine="709"/>
        <w:jc w:val="both"/>
        <w:rPr>
          <w:rFonts w:ascii="Verdana" w:hAnsi="Verdana" w:cs="Arial"/>
          <w:color w:val="000000"/>
          <w:sz w:val="16"/>
          <w:szCs w:val="16"/>
        </w:rPr>
      </w:pPr>
      <w:r w:rsidRPr="000A3117">
        <w:rPr>
          <w:rFonts w:ascii="Verdana" w:eastAsia="Times New Roman" w:hAnsi="Verdana" w:cs="Arial"/>
          <w:color w:val="000000"/>
          <w:sz w:val="16"/>
          <w:szCs w:val="16"/>
          <w:vertAlign w:val="superscript"/>
          <w:lang w:val="es-ES" w:eastAsia="es-ES"/>
        </w:rPr>
        <w:footnoteRef/>
      </w:r>
      <w:r w:rsidRPr="000A3117">
        <w:rPr>
          <w:rFonts w:ascii="Verdana" w:eastAsia="Times New Roman" w:hAnsi="Verdana" w:cs="Arial"/>
          <w:color w:val="000000"/>
          <w:sz w:val="16"/>
          <w:szCs w:val="16"/>
          <w:vertAlign w:val="superscript"/>
          <w:lang w:val="es-ES" w:eastAsia="es-ES"/>
        </w:rPr>
        <w:t xml:space="preserve"> </w:t>
      </w:r>
      <w:r w:rsidRPr="000A3117">
        <w:rPr>
          <w:rFonts w:ascii="Verdana" w:eastAsia="Times New Roman" w:hAnsi="Verdana" w:cs="Arial"/>
          <w:color w:val="000000"/>
          <w:sz w:val="16"/>
          <w:szCs w:val="16"/>
          <w:lang w:val="es-ES" w:eastAsia="es-ES"/>
        </w:rPr>
        <w:t>“</w:t>
      </w:r>
      <w:r w:rsidRPr="000A3117">
        <w:rPr>
          <w:rFonts w:ascii="Verdana" w:hAnsi="Verdana" w:cs="Arial"/>
          <w:color w:val="000000"/>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D4D53EB" w14:textId="77777777" w:rsidR="00301AFF" w:rsidRPr="000A3117" w:rsidRDefault="00301AFF" w:rsidP="00301AFF">
      <w:pPr>
        <w:pStyle w:val="Textonotapie"/>
        <w:ind w:firstLine="709"/>
        <w:jc w:val="both"/>
        <w:rPr>
          <w:rFonts w:ascii="Verdana" w:eastAsia="Times New Roman" w:hAnsi="Verdana" w:cs="Arial"/>
          <w:color w:val="000000"/>
          <w:sz w:val="16"/>
          <w:szCs w:val="16"/>
          <w:lang w:val="es-ES" w:eastAsia="es-ES"/>
        </w:rPr>
      </w:pPr>
      <w:r w:rsidRPr="000A3117">
        <w:rPr>
          <w:rFonts w:ascii="Verdana" w:hAnsi="Verdana" w:cs="Arial"/>
          <w:color w:val="000000"/>
          <w:sz w:val="16"/>
          <w:szCs w:val="16"/>
        </w:rPr>
        <w:t>[…].</w:t>
      </w:r>
    </w:p>
    <w:p w14:paraId="0A9931EB" w14:textId="77777777" w:rsidR="00301AFF" w:rsidRPr="000A3117" w:rsidRDefault="00301AFF" w:rsidP="00301AFF">
      <w:pPr>
        <w:pStyle w:val="Textonotapie"/>
        <w:ind w:firstLine="709"/>
        <w:jc w:val="both"/>
        <w:rPr>
          <w:rFonts w:ascii="Verdana" w:eastAsia="Times New Roman" w:hAnsi="Verdana" w:cs="Arial"/>
          <w:color w:val="000000"/>
          <w:sz w:val="16"/>
          <w:szCs w:val="16"/>
          <w:lang w:val="es-ES" w:eastAsia="es-ES"/>
        </w:rPr>
      </w:pPr>
      <w:r w:rsidRPr="000A3117">
        <w:rPr>
          <w:rFonts w:ascii="Verdana" w:eastAsia="Times New Roman" w:hAnsi="Verdana" w:cs="Arial"/>
          <w:color w:val="000000"/>
          <w:sz w:val="16"/>
          <w:szCs w:val="16"/>
          <w:lang w:val="es-ES" w:eastAsia="es-ES"/>
        </w:rPr>
        <w:t xml:space="preserve">Los sujetos obligados que contratan con recursos públicos y recursos </w:t>
      </w:r>
      <w:proofErr w:type="gramStart"/>
      <w:r w:rsidRPr="000A3117">
        <w:rPr>
          <w:rFonts w:ascii="Verdana" w:eastAsia="Times New Roman" w:hAnsi="Verdana" w:cs="Arial"/>
          <w:color w:val="000000"/>
          <w:sz w:val="16"/>
          <w:szCs w:val="16"/>
          <w:lang w:val="es-ES" w:eastAsia="es-ES"/>
        </w:rPr>
        <w:t>privados,</w:t>
      </w:r>
      <w:proofErr w:type="gramEnd"/>
      <w:r w:rsidRPr="000A3117">
        <w:rPr>
          <w:rFonts w:ascii="Verdana" w:eastAsia="Times New Roman" w:hAnsi="Verdana" w:cs="Arial"/>
          <w:color w:val="000000"/>
          <w:sz w:val="16"/>
          <w:szCs w:val="16"/>
          <w:lang w:val="es-ES" w:eastAsia="es-ES"/>
        </w:rPr>
        <w:t xml:space="preserve"> deben publicar la información de su gestión contractual con cargo a recursos públicos en el Sistema Electrónico para la Contratación Pública [SECOP]”.</w:t>
      </w:r>
    </w:p>
    <w:p w14:paraId="321CCC27" w14:textId="77777777" w:rsidR="00301AFF" w:rsidRPr="000A3117" w:rsidRDefault="00301AFF" w:rsidP="00301AFF">
      <w:pPr>
        <w:pStyle w:val="Textonotapie"/>
        <w:ind w:firstLine="709"/>
        <w:jc w:val="both"/>
        <w:rPr>
          <w:rFonts w:ascii="Verdana" w:eastAsia="Times New Roman" w:hAnsi="Verdana" w:cs="Arial"/>
          <w:color w:val="000000"/>
          <w:sz w:val="16"/>
          <w:szCs w:val="16"/>
          <w:lang w:val="es-ES" w:eastAsia="es-ES"/>
        </w:rPr>
      </w:pPr>
    </w:p>
  </w:footnote>
  <w:footnote w:id="8">
    <w:p w14:paraId="6654F54F" w14:textId="6CDBD1D6" w:rsidR="008630AA" w:rsidRPr="003D6EC7" w:rsidRDefault="008630AA" w:rsidP="008630AA">
      <w:pPr>
        <w:pStyle w:val="Textonotapie"/>
        <w:ind w:firstLine="709"/>
        <w:jc w:val="both"/>
        <w:rPr>
          <w:rFonts w:ascii="Verdana" w:hAnsi="Verdana" w:cs="Arial"/>
          <w:color w:val="000000" w:themeColor="text1"/>
          <w:sz w:val="16"/>
          <w:szCs w:val="16"/>
        </w:rPr>
      </w:pPr>
      <w:r w:rsidRPr="003D6EC7">
        <w:rPr>
          <w:rStyle w:val="Refdenotaalpie"/>
          <w:rFonts w:ascii="Verdana" w:hAnsi="Verdana" w:cs="Arial"/>
          <w:color w:val="000000" w:themeColor="text1"/>
          <w:sz w:val="16"/>
          <w:szCs w:val="16"/>
        </w:rPr>
        <w:footnoteRef/>
      </w:r>
      <w:r w:rsidRPr="003D6EC7">
        <w:rPr>
          <w:rFonts w:ascii="Verdana" w:hAnsi="Verdana" w:cs="Arial"/>
          <w:color w:val="000000" w:themeColor="text1"/>
          <w:sz w:val="16"/>
          <w:szCs w:val="16"/>
        </w:rPr>
        <w:t xml:space="preserve"> </w:t>
      </w:r>
      <w:r w:rsidR="00C75788">
        <w:rPr>
          <w:rFonts w:ascii="Verdana" w:hAnsi="Verdana" w:cs="Arial"/>
          <w:color w:val="000000" w:themeColor="text1"/>
          <w:sz w:val="16"/>
          <w:szCs w:val="16"/>
        </w:rPr>
        <w:t>Corte</w:t>
      </w:r>
      <w:r w:rsidRPr="003D6EC7">
        <w:rPr>
          <w:rFonts w:ascii="Verdana" w:eastAsia="Times New Roman" w:hAnsi="Verdana" w:cs="Arial"/>
          <w:color w:val="000000" w:themeColor="text1"/>
          <w:sz w:val="16"/>
          <w:szCs w:val="16"/>
          <w:lang w:val="es-ES" w:eastAsia="es-ES"/>
        </w:rPr>
        <w:t xml:space="preserve"> Constitucional. Sentencia C‒274 de 9 de mayo de 2013. M.P. Mar</w:t>
      </w:r>
      <w:r w:rsidRPr="003D6EC7">
        <w:rPr>
          <w:rFonts w:ascii="Verdana" w:eastAsia="Times New Roman" w:hAnsi="Verdana" w:cs="Century Gothic"/>
          <w:color w:val="000000" w:themeColor="text1"/>
          <w:sz w:val="16"/>
          <w:szCs w:val="16"/>
          <w:lang w:val="es-ES" w:eastAsia="es-ES"/>
        </w:rPr>
        <w:t>í</w:t>
      </w:r>
      <w:r w:rsidRPr="003D6EC7">
        <w:rPr>
          <w:rFonts w:ascii="Verdana" w:eastAsia="Times New Roman" w:hAnsi="Verdana" w:cs="Arial"/>
          <w:color w:val="000000" w:themeColor="text1"/>
          <w:sz w:val="16"/>
          <w:szCs w:val="16"/>
          <w:lang w:val="es-ES" w:eastAsia="es-ES"/>
        </w:rPr>
        <w:t xml:space="preserve">a Victoria Calle Correa. </w:t>
      </w:r>
    </w:p>
    <w:p w14:paraId="6453B5BC" w14:textId="77777777" w:rsidR="008630AA" w:rsidRPr="003D6EC7" w:rsidRDefault="008630AA" w:rsidP="008630AA">
      <w:pPr>
        <w:pStyle w:val="Textonotapie"/>
        <w:ind w:firstLine="709"/>
        <w:jc w:val="both"/>
        <w:rPr>
          <w:rFonts w:ascii="Verdana" w:hAnsi="Verdana" w:cs="Arial"/>
          <w:color w:val="000000" w:themeColor="text1"/>
          <w:sz w:val="16"/>
          <w:szCs w:val="16"/>
          <w:lang w:val="es-CO"/>
        </w:rPr>
      </w:pPr>
    </w:p>
  </w:footnote>
  <w:footnote w:id="9">
    <w:p w14:paraId="249DFD20" w14:textId="77777777" w:rsidR="00F33782" w:rsidRPr="000A3117" w:rsidRDefault="00F33782" w:rsidP="00F33782">
      <w:pPr>
        <w:pStyle w:val="Textonotapie"/>
        <w:ind w:firstLine="708"/>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Decreto 4170 de 2011: “Artículo 3. Funciones: La Agencia Nacional de Contratación Pública –Colombia Compra Eficiente– ejercerá las siguientes funciones: [...]</w:t>
      </w:r>
    </w:p>
    <w:p w14:paraId="5C047D14" w14:textId="608005C9" w:rsidR="00F33782" w:rsidRPr="000A3117" w:rsidRDefault="00F33782" w:rsidP="00F33782">
      <w:pPr>
        <w:pStyle w:val="Textonotapie"/>
        <w:ind w:firstLine="708"/>
        <w:jc w:val="both"/>
        <w:rPr>
          <w:rFonts w:ascii="Verdana" w:hAnsi="Verdana" w:cs="Arial"/>
          <w:color w:val="000000"/>
          <w:sz w:val="16"/>
          <w:szCs w:val="16"/>
        </w:rPr>
      </w:pPr>
      <w:r w:rsidRPr="000A3117">
        <w:rPr>
          <w:rFonts w:ascii="Verdana" w:hAnsi="Verdana" w:cs="Arial"/>
          <w:color w:val="000000"/>
          <w:sz w:val="16"/>
          <w:szCs w:val="16"/>
        </w:rPr>
        <w:t xml:space="preserve">8. Desarrollar y administrar el Sistema Electrónico para la Contratación Pública (SECOP) o el que haga sus veces, y gestionar nuevos desarrollos tecnológicos en los asuntos de su competencia, teniendo en cuenta los parámetros fijados por el Consejo </w:t>
      </w:r>
      <w:r w:rsidR="00C75788" w:rsidRPr="000A3117">
        <w:rPr>
          <w:rFonts w:ascii="Verdana" w:hAnsi="Verdana" w:cs="Arial"/>
          <w:color w:val="000000"/>
          <w:sz w:val="16"/>
          <w:szCs w:val="16"/>
        </w:rPr>
        <w:t>Directivo. [...]</w:t>
      </w:r>
      <w:r w:rsidRPr="000A3117">
        <w:rPr>
          <w:rFonts w:ascii="Verdana" w:hAnsi="Verdana" w:cs="Arial"/>
          <w:color w:val="000000"/>
          <w:sz w:val="16"/>
          <w:szCs w:val="16"/>
        </w:rPr>
        <w:t>”.</w:t>
      </w:r>
    </w:p>
  </w:footnote>
  <w:footnote w:id="10">
    <w:p w14:paraId="333F5AE8" w14:textId="77777777" w:rsidR="00F33782" w:rsidRPr="000A3117" w:rsidRDefault="00F33782" w:rsidP="00F33782">
      <w:pPr>
        <w:pStyle w:val="Textonotapie"/>
        <w:ind w:firstLine="709"/>
        <w:contextualSpacing/>
        <w:jc w:val="both"/>
        <w:rPr>
          <w:rFonts w:ascii="Verdana" w:hAnsi="Verdana" w:cs="Arial"/>
          <w:sz w:val="16"/>
          <w:szCs w:val="16"/>
        </w:rPr>
      </w:pPr>
      <w:r w:rsidRPr="000A3117">
        <w:rPr>
          <w:rStyle w:val="Refdenotaalpie"/>
          <w:rFonts w:ascii="Verdana" w:hAnsi="Verdana" w:cs="Arial"/>
          <w:sz w:val="16"/>
          <w:szCs w:val="16"/>
        </w:rPr>
        <w:footnoteRef/>
      </w:r>
      <w:r w:rsidRPr="000A3117">
        <w:rPr>
          <w:rFonts w:ascii="Verdana" w:hAnsi="Verdana" w:cs="Arial"/>
          <w:sz w:val="16"/>
          <w:szCs w:val="16"/>
        </w:rPr>
        <w:t xml:space="preserve"> Ley 1437 de 2011: “Artículo 24. Informaciones y documentos reservados. Solo tendrán carácter reservado las informaciones y documentos expresamente sometidos a reserva por la Constitución Política o la ley, y en especial:  </w:t>
      </w:r>
    </w:p>
    <w:p w14:paraId="208F4CAD" w14:textId="77777777" w:rsidR="00F33782" w:rsidRPr="000A3117" w:rsidRDefault="00F33782" w:rsidP="00F33782">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1. Los relacionados con la defensa o seguridad nacionales.  </w:t>
      </w:r>
    </w:p>
    <w:p w14:paraId="347D4CE2" w14:textId="77777777" w:rsidR="00F33782" w:rsidRPr="000A3117" w:rsidRDefault="00F33782" w:rsidP="00F33782">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2. Las instrucciones en materia diplomática o sobre negociaciones reservadas.  </w:t>
      </w:r>
    </w:p>
    <w:p w14:paraId="45FB513E" w14:textId="77777777" w:rsidR="00F33782" w:rsidRPr="000A3117" w:rsidRDefault="00F33782" w:rsidP="00F33782">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55689AE1" w14:textId="77777777" w:rsidR="00F33782" w:rsidRPr="000A3117" w:rsidRDefault="00F33782" w:rsidP="00F33782">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290A7E09" w14:textId="77777777" w:rsidR="00F33782" w:rsidRPr="000A3117" w:rsidRDefault="00F33782" w:rsidP="00F33782">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5. Los datos referentes a la información financiera y comercial, en los términos de la Ley Estatutaria 1266 de 2008.  </w:t>
      </w:r>
    </w:p>
    <w:p w14:paraId="1291E003" w14:textId="77777777" w:rsidR="00F33782" w:rsidRPr="000A3117" w:rsidRDefault="00F33782" w:rsidP="00F33782">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6. Los protegidos por el secreto comercial o industrial, así como los planes estratégicos de las empresas públicas de servicios públicos.  </w:t>
      </w:r>
    </w:p>
    <w:p w14:paraId="014B842C" w14:textId="77777777" w:rsidR="00F33782" w:rsidRPr="000A3117" w:rsidRDefault="00F33782" w:rsidP="00F33782">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7. Los amparados por el secreto profesional.  </w:t>
      </w:r>
    </w:p>
    <w:p w14:paraId="491A3E7C" w14:textId="77777777" w:rsidR="00F33782" w:rsidRPr="000A3117" w:rsidRDefault="00F33782" w:rsidP="00F33782">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8. Los datos genéticos humanos.  </w:t>
      </w:r>
    </w:p>
    <w:p w14:paraId="0EDC053A" w14:textId="77777777" w:rsidR="00F33782" w:rsidRPr="000A3117" w:rsidRDefault="00F33782" w:rsidP="00F33782">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11">
    <w:p w14:paraId="29C12969" w14:textId="77777777" w:rsidR="00F33782" w:rsidRPr="000A3117" w:rsidRDefault="00F33782" w:rsidP="00F33782">
      <w:pPr>
        <w:pStyle w:val="Textonotapie"/>
        <w:ind w:firstLine="709"/>
        <w:contextualSpacing/>
        <w:jc w:val="both"/>
        <w:rPr>
          <w:rFonts w:ascii="Verdana" w:hAnsi="Verdana" w:cs="Arial"/>
          <w:color w:val="000000"/>
          <w:sz w:val="16"/>
          <w:szCs w:val="16"/>
        </w:rPr>
      </w:pPr>
    </w:p>
    <w:p w14:paraId="725E627B" w14:textId="77777777" w:rsidR="00F33782" w:rsidRPr="000A3117" w:rsidRDefault="00F33782" w:rsidP="00F33782">
      <w:pPr>
        <w:pStyle w:val="Textonotapie"/>
        <w:ind w:firstLine="709"/>
        <w:contextualSpacing/>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“Numeral 1.1 Las Entidades Estatales de acuerdo con la definición del Decreto Reglamentario 1082 de 2015.  </w:t>
      </w:r>
    </w:p>
    <w:p w14:paraId="29F4F183" w14:textId="77777777" w:rsidR="00F33782" w:rsidRPr="000A3117" w:rsidRDefault="00F33782" w:rsidP="00F33782">
      <w:pPr>
        <w:pStyle w:val="Textonotapie"/>
        <w:ind w:firstLine="709"/>
        <w:contextualSpacing/>
        <w:jc w:val="both"/>
        <w:rPr>
          <w:rFonts w:ascii="Verdana" w:hAnsi="Verdana" w:cs="Arial"/>
          <w:color w:val="000000"/>
          <w:sz w:val="16"/>
          <w:szCs w:val="16"/>
        </w:rPr>
      </w:pPr>
      <w:r w:rsidRPr="000A3117">
        <w:rPr>
          <w:rFonts w:ascii="Verdana" w:hAnsi="Verdana" w:cs="Arial"/>
          <w:color w:val="000000"/>
          <w:sz w:val="16"/>
          <w:szCs w:val="16"/>
        </w:rPr>
        <w:t xml:space="preserve">A partir del 18 de julio de 2022, las Entidades Estatales que por disposición legal cuenten con un régimen contractual excepcional al del Estatuto General de Contratación de la Administración Pública, deberán publicar en el SECOP II, todos los documentos relacionados con su actividad contractual, de conformidad con lo señalado en el artículo 53 de la Ley 2195 de 2022. </w:t>
      </w:r>
    </w:p>
    <w:p w14:paraId="34E1E690" w14:textId="77777777" w:rsidR="00F33782" w:rsidRPr="000A3117" w:rsidRDefault="00F33782" w:rsidP="00F33782">
      <w:pPr>
        <w:pStyle w:val="Textonotapie"/>
        <w:ind w:firstLine="709"/>
        <w:contextualSpacing/>
        <w:jc w:val="both"/>
        <w:rPr>
          <w:rFonts w:ascii="Verdana" w:hAnsi="Verdana" w:cs="Arial"/>
          <w:color w:val="000000"/>
          <w:sz w:val="16"/>
          <w:szCs w:val="16"/>
        </w:rPr>
      </w:pPr>
      <w:r w:rsidRPr="000A3117">
        <w:rPr>
          <w:rFonts w:ascii="Verdana" w:hAnsi="Verdana" w:cs="Arial"/>
          <w:color w:val="000000"/>
          <w:sz w:val="16"/>
          <w:szCs w:val="16"/>
        </w:rPr>
        <w:t>Los particulares deberán publicar la información oficial de la contratación realizada con cargo a recursos públicos. Estos deberán realizar la publicación a través del módulo “Régimen Especial”.</w:t>
      </w:r>
    </w:p>
    <w:p w14:paraId="5956F016" w14:textId="77777777" w:rsidR="00F33782" w:rsidRPr="000A3117" w:rsidRDefault="00F33782" w:rsidP="00F33782">
      <w:pPr>
        <w:pStyle w:val="Textonotapie"/>
        <w:ind w:firstLine="709"/>
        <w:contextualSpacing/>
        <w:jc w:val="both"/>
        <w:rPr>
          <w:rFonts w:ascii="Verdana" w:hAnsi="Verdana"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304C526E"/>
    <w:lvl w:ilvl="0" w:tplc="CA827F66">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D2E03"/>
    <w:rsid w:val="000F6486"/>
    <w:rsid w:val="00125105"/>
    <w:rsid w:val="00127233"/>
    <w:rsid w:val="001511A0"/>
    <w:rsid w:val="00197912"/>
    <w:rsid w:val="001E4177"/>
    <w:rsid w:val="001F7DC6"/>
    <w:rsid w:val="002421BB"/>
    <w:rsid w:val="002511BD"/>
    <w:rsid w:val="0025796E"/>
    <w:rsid w:val="002707A2"/>
    <w:rsid w:val="002951A0"/>
    <w:rsid w:val="002962BC"/>
    <w:rsid w:val="002A093D"/>
    <w:rsid w:val="002A0DD0"/>
    <w:rsid w:val="002A49AC"/>
    <w:rsid w:val="002A64FD"/>
    <w:rsid w:val="002C7A84"/>
    <w:rsid w:val="002E4FD9"/>
    <w:rsid w:val="00301AFF"/>
    <w:rsid w:val="00322A85"/>
    <w:rsid w:val="00324168"/>
    <w:rsid w:val="003448F4"/>
    <w:rsid w:val="00374F5E"/>
    <w:rsid w:val="00377E3E"/>
    <w:rsid w:val="003A779E"/>
    <w:rsid w:val="003D0F4D"/>
    <w:rsid w:val="003D5B0D"/>
    <w:rsid w:val="003E0499"/>
    <w:rsid w:val="003F3941"/>
    <w:rsid w:val="00406575"/>
    <w:rsid w:val="00414C74"/>
    <w:rsid w:val="0042722E"/>
    <w:rsid w:val="004344E5"/>
    <w:rsid w:val="0044528D"/>
    <w:rsid w:val="00446B66"/>
    <w:rsid w:val="004A1847"/>
    <w:rsid w:val="004A305D"/>
    <w:rsid w:val="004F21C4"/>
    <w:rsid w:val="004F685F"/>
    <w:rsid w:val="00550340"/>
    <w:rsid w:val="005566E8"/>
    <w:rsid w:val="00571386"/>
    <w:rsid w:val="00574867"/>
    <w:rsid w:val="0058024D"/>
    <w:rsid w:val="00591460"/>
    <w:rsid w:val="005B3816"/>
    <w:rsid w:val="005C3777"/>
    <w:rsid w:val="005C3CA3"/>
    <w:rsid w:val="005C5CDC"/>
    <w:rsid w:val="005D476C"/>
    <w:rsid w:val="005E1647"/>
    <w:rsid w:val="006219F8"/>
    <w:rsid w:val="00665D70"/>
    <w:rsid w:val="006900D9"/>
    <w:rsid w:val="006F4453"/>
    <w:rsid w:val="00704D26"/>
    <w:rsid w:val="00706C16"/>
    <w:rsid w:val="00756841"/>
    <w:rsid w:val="007649AB"/>
    <w:rsid w:val="00771D0C"/>
    <w:rsid w:val="007833AC"/>
    <w:rsid w:val="007A7E86"/>
    <w:rsid w:val="007B268C"/>
    <w:rsid w:val="007B7171"/>
    <w:rsid w:val="007C0C0F"/>
    <w:rsid w:val="007C3DC2"/>
    <w:rsid w:val="007D17F3"/>
    <w:rsid w:val="007E5497"/>
    <w:rsid w:val="00806F5F"/>
    <w:rsid w:val="00820278"/>
    <w:rsid w:val="008630AA"/>
    <w:rsid w:val="00867F95"/>
    <w:rsid w:val="008843B6"/>
    <w:rsid w:val="00891928"/>
    <w:rsid w:val="008A446D"/>
    <w:rsid w:val="008C10EF"/>
    <w:rsid w:val="008D180B"/>
    <w:rsid w:val="008F0EA7"/>
    <w:rsid w:val="00923EEF"/>
    <w:rsid w:val="009419F9"/>
    <w:rsid w:val="0095685E"/>
    <w:rsid w:val="00961B09"/>
    <w:rsid w:val="00965334"/>
    <w:rsid w:val="0097093E"/>
    <w:rsid w:val="00986AC5"/>
    <w:rsid w:val="009A0DFA"/>
    <w:rsid w:val="009B2D26"/>
    <w:rsid w:val="009C71FA"/>
    <w:rsid w:val="009C72E7"/>
    <w:rsid w:val="009D3058"/>
    <w:rsid w:val="009F217F"/>
    <w:rsid w:val="009F3A13"/>
    <w:rsid w:val="00A122D3"/>
    <w:rsid w:val="00A17F13"/>
    <w:rsid w:val="00A20739"/>
    <w:rsid w:val="00A33C78"/>
    <w:rsid w:val="00A92218"/>
    <w:rsid w:val="00AB0ADB"/>
    <w:rsid w:val="00B01B1A"/>
    <w:rsid w:val="00B05E73"/>
    <w:rsid w:val="00B66319"/>
    <w:rsid w:val="00B72CD3"/>
    <w:rsid w:val="00B72FFF"/>
    <w:rsid w:val="00BC3D36"/>
    <w:rsid w:val="00BD7F72"/>
    <w:rsid w:val="00BF441B"/>
    <w:rsid w:val="00C04FB3"/>
    <w:rsid w:val="00C330EB"/>
    <w:rsid w:val="00C41061"/>
    <w:rsid w:val="00C64B9E"/>
    <w:rsid w:val="00C754BE"/>
    <w:rsid w:val="00C75788"/>
    <w:rsid w:val="00C76B1C"/>
    <w:rsid w:val="00C97398"/>
    <w:rsid w:val="00CA3A37"/>
    <w:rsid w:val="00CB6357"/>
    <w:rsid w:val="00CC1B26"/>
    <w:rsid w:val="00CF7D89"/>
    <w:rsid w:val="00D07665"/>
    <w:rsid w:val="00D3081C"/>
    <w:rsid w:val="00D423A2"/>
    <w:rsid w:val="00D520D8"/>
    <w:rsid w:val="00D63AC2"/>
    <w:rsid w:val="00D7383B"/>
    <w:rsid w:val="00DA231B"/>
    <w:rsid w:val="00DC39FC"/>
    <w:rsid w:val="00DF5254"/>
    <w:rsid w:val="00E047EC"/>
    <w:rsid w:val="00E06DAC"/>
    <w:rsid w:val="00E16408"/>
    <w:rsid w:val="00E20894"/>
    <w:rsid w:val="00E245AB"/>
    <w:rsid w:val="00E2764C"/>
    <w:rsid w:val="00E27F2E"/>
    <w:rsid w:val="00E50AFE"/>
    <w:rsid w:val="00E75C92"/>
    <w:rsid w:val="00E771DC"/>
    <w:rsid w:val="00E8772A"/>
    <w:rsid w:val="00E90F6B"/>
    <w:rsid w:val="00E92C27"/>
    <w:rsid w:val="00EA0E3D"/>
    <w:rsid w:val="00EC38A7"/>
    <w:rsid w:val="00EC69A5"/>
    <w:rsid w:val="00ED7384"/>
    <w:rsid w:val="00EE1AA8"/>
    <w:rsid w:val="00EF1225"/>
    <w:rsid w:val="00F31EDC"/>
    <w:rsid w:val="00F3328F"/>
    <w:rsid w:val="00F33782"/>
    <w:rsid w:val="00F462B3"/>
    <w:rsid w:val="00F5664F"/>
    <w:rsid w:val="00F666C4"/>
    <w:rsid w:val="00F76AFC"/>
    <w:rsid w:val="00FA47C0"/>
    <w:rsid w:val="00FB5DD1"/>
    <w:rsid w:val="00FC2B5D"/>
    <w:rsid w:val="00FF07FC"/>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8630AA"/>
    <w:pPr>
      <w:spacing w:line="240" w:lineRule="exact"/>
    </w:pPr>
    <w:rPr>
      <w:vertAlign w:val="superscript"/>
    </w:rPr>
  </w:style>
  <w:style w:type="character" w:styleId="Refdecomentario">
    <w:name w:val="annotation reference"/>
    <w:basedOn w:val="Fuentedeprrafopredeter"/>
    <w:uiPriority w:val="99"/>
    <w:semiHidden/>
    <w:unhideWhenUsed/>
    <w:rsid w:val="008630AA"/>
    <w:rPr>
      <w:sz w:val="16"/>
      <w:szCs w:val="16"/>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630AA"/>
    <w:rPr>
      <w:rFonts w:ascii="Geomanist Light" w:hAnsi="Geomanist Light"/>
      <w:lang w:val="es-ES"/>
    </w:rPr>
  </w:style>
  <w:style w:type="character" w:customStyle="1" w:styleId="baj">
    <w:name w:val="b_aj"/>
    <w:basedOn w:val="Fuentedeprrafopredeter"/>
    <w:rsid w:val="0086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constitucion_politica_1991_pr009.html"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ecretariasenado.gov.co/senado/basedoc/constitucion_politica_1991_pr006.html" TargetMode="External"/><Relationship Id="rId17" Type="http://schemas.openxmlformats.org/officeDocument/2006/relationships/hyperlink" Target="https://nam02.safelinks.protection.outlook.com/?url=https%3A%2F%2Fwww.colombiacompra.gov.co%2Fsala-de-prensa%2Fboletin-digital&amp;data=05%7C02%7Csantiago.herrera%40colombiacompra.gov.co%7C096eca3fdcca424ff1c708dcf932f947%7C7b09041e245149d08cb179d5e3d8c1be%7C0%7C0%7C638659244557683431%7CUnknown%7CTWFpbGZsb3d8eyJWIjoiMC4wLjAwMDAiLCJQIjoiV2luMzIiLCJBTiI6Ik1haWwiLCJXVCI6Mn0%3D%7C0%7C%7C%7C&amp;sdata=DDzxsWu35v74OjgoGc2uD6sPoWr4LvTHKYE1N30%2BqxA%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stionhuila23@gmail.com" TargetMode="External"/><Relationship Id="rId5" Type="http://schemas.openxmlformats.org/officeDocument/2006/relationships/styles" Target="styles.xml"/><Relationship Id="rId15" Type="http://schemas.openxmlformats.org/officeDocument/2006/relationships/hyperlink" Target="https://www.colombiacompra.gov.co/manuales-guias-y-pliegos-tipo/manuales-y-guias"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providencias-consejo-de-estad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purl.org/dc/dcmitype/"/>
    <ds:schemaRef ds:uri="36c82cfe-0eda-494d-b392-a9281b89aaf0"/>
    <ds:schemaRef ds:uri="http://schemas.microsoft.com/office/infopath/2007/PartnerControls"/>
    <ds:schemaRef ds:uri="http://schemas.openxmlformats.org/package/2006/metadata/core-properties"/>
    <ds:schemaRef ds:uri="8ae15d26-076e-464e-81a7-6f76a0fb3917"/>
  </ds:schemaRefs>
</ds:datastoreItem>
</file>

<file path=customXml/itemProps3.xml><?xml version="1.0" encoding="utf-8"?>
<ds:datastoreItem xmlns:ds="http://schemas.openxmlformats.org/officeDocument/2006/customXml" ds:itemID="{B8C98759-EF67-4C62-A48F-5E4C3E003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4510</Words>
  <Characters>24808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6</cp:revision>
  <cp:lastPrinted>2023-01-10T21:18:00Z</cp:lastPrinted>
  <dcterms:created xsi:type="dcterms:W3CDTF">2024-12-05T21:41:00Z</dcterms:created>
  <dcterms:modified xsi:type="dcterms:W3CDTF">2024-12-25T18:10:00Z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