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9AD8" w14:textId="21245734" w:rsidR="0021021E" w:rsidRPr="00BC028A" w:rsidRDefault="0021021E" w:rsidP="005C7D80">
      <w:pPr>
        <w:spacing w:before="120" w:after="120" w:line="276" w:lineRule="auto"/>
        <w:jc w:val="both"/>
        <w:rPr>
          <w:rFonts w:ascii="Verdana" w:eastAsia="Calibri" w:hAnsi="Verdana" w:cs="Arial"/>
          <w:b/>
          <w:lang w:val="es-ES_tradnl"/>
        </w:rPr>
      </w:pPr>
      <w:r w:rsidRPr="00BC028A">
        <w:rPr>
          <w:rFonts w:ascii="Verdana" w:eastAsia="Calibri" w:hAnsi="Verdana" w:cs="Arial"/>
          <w:b/>
          <w:lang w:val="es-ES_tradnl"/>
        </w:rPr>
        <w:t>CAPACIDAD FINANCIERA y CAPACIDAD ORGANIZACIONAL – Conceptos – Requisitos habilitantes</w:t>
      </w:r>
    </w:p>
    <w:p w14:paraId="214FA15A" w14:textId="0DDF5BA6" w:rsidR="0021021E" w:rsidRDefault="0021021E" w:rsidP="005C7D80">
      <w:pPr>
        <w:spacing w:after="0" w:line="240" w:lineRule="auto"/>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3C27D935" w14:textId="77777777" w:rsidR="005C7D80" w:rsidRPr="005C7D80" w:rsidRDefault="005C7D80" w:rsidP="005C7D80">
      <w:pPr>
        <w:spacing w:after="0"/>
        <w:jc w:val="both"/>
        <w:rPr>
          <w:rFonts w:ascii="Verdana" w:hAnsi="Verdana" w:cs="Arial"/>
          <w:color w:val="000000" w:themeColor="text1"/>
          <w:sz w:val="20"/>
          <w:szCs w:val="20"/>
          <w:lang w:val="es-ES_tradnl"/>
        </w:rPr>
      </w:pPr>
    </w:p>
    <w:p w14:paraId="25D6CEA8" w14:textId="2D2918D2" w:rsidR="00CC052E" w:rsidRPr="00BC028A" w:rsidRDefault="0033077F" w:rsidP="00CC052E">
      <w:pPr>
        <w:spacing w:before="120" w:after="120" w:line="276" w:lineRule="auto"/>
        <w:jc w:val="both"/>
        <w:rPr>
          <w:rFonts w:ascii="Verdana" w:eastAsia="Calibri" w:hAnsi="Verdana" w:cs="Arial"/>
          <w:b/>
          <w:lang w:val="es-ES_tradnl"/>
        </w:rPr>
      </w:pPr>
      <w:r w:rsidRPr="0033077F">
        <w:rPr>
          <w:rFonts w:ascii="Verdana" w:eastAsia="Calibri" w:hAnsi="Verdana" w:cs="Arial"/>
          <w:b/>
          <w:lang w:val="es-ES"/>
        </w:rPr>
        <w:t xml:space="preserve">DECRETO 1041 DE 2022 – Finalidad – Reactivación económica </w:t>
      </w:r>
    </w:p>
    <w:p w14:paraId="5B74A3EA" w14:textId="37C65043" w:rsidR="00A613F8" w:rsidRDefault="007E262E" w:rsidP="00351CA2">
      <w:pPr>
        <w:spacing w:after="0" w:line="240" w:lineRule="auto"/>
        <w:jc w:val="both"/>
        <w:rPr>
          <w:rFonts w:ascii="Verdana" w:hAnsi="Verdana" w:cs="Arial"/>
          <w:color w:val="000000" w:themeColor="text1"/>
          <w:sz w:val="20"/>
          <w:szCs w:val="20"/>
          <w:lang w:val="es-ES"/>
        </w:rPr>
      </w:pPr>
      <w:r>
        <w:rPr>
          <w:rFonts w:ascii="Verdana" w:hAnsi="Verdana" w:cs="Arial"/>
          <w:color w:val="000000" w:themeColor="text1"/>
          <w:sz w:val="20"/>
          <w:szCs w:val="20"/>
          <w:lang w:val="es-ES_tradnl"/>
        </w:rPr>
        <w:t xml:space="preserve">[…] </w:t>
      </w:r>
      <w:r w:rsidR="00A613F8" w:rsidRPr="00A613F8">
        <w:rPr>
          <w:rFonts w:ascii="Verdana" w:hAnsi="Verdana" w:cs="Arial"/>
          <w:color w:val="000000" w:themeColor="text1"/>
          <w:sz w:val="20"/>
          <w:szCs w:val="20"/>
          <w:lang w:val="es-ES"/>
        </w:rPr>
        <w:t>el artículo 4 del Decreto 399 de 2021 adicionó dos parágrafos transitorios al artículo 2.2.1.1.1.5.2 del Decreto 1082 de 2015, que a su vez fueron sustituidos por el artículo 1 del Decreto 579 del 31 de mayo de 2021 y posteriormente se adicionó un parágrafo transitorio adicional al artículo 2.2.1.1.1.5.2 del Decreto 1082 de 2015 por el artículo 1 del Decreto 1041 de 2022.</w:t>
      </w:r>
    </w:p>
    <w:p w14:paraId="1360AAFA" w14:textId="77777777" w:rsidR="00351CA2" w:rsidRDefault="00351CA2" w:rsidP="00351CA2">
      <w:pPr>
        <w:spacing w:after="0" w:line="240" w:lineRule="auto"/>
        <w:jc w:val="both"/>
        <w:rPr>
          <w:rFonts w:ascii="Verdana" w:hAnsi="Verdana" w:cs="Arial"/>
          <w:color w:val="000000" w:themeColor="text1"/>
          <w:sz w:val="20"/>
          <w:szCs w:val="20"/>
          <w:lang w:val="es-ES"/>
        </w:rPr>
      </w:pPr>
    </w:p>
    <w:p w14:paraId="4A03FF1B" w14:textId="7E8BF609" w:rsidR="00A613F8" w:rsidRPr="00A613F8" w:rsidRDefault="009D47B7" w:rsidP="00351CA2">
      <w:pPr>
        <w:spacing w:after="0" w:line="240" w:lineRule="auto"/>
        <w:jc w:val="both"/>
        <w:rPr>
          <w:rFonts w:ascii="Verdana" w:hAnsi="Verdana" w:cs="Arial"/>
          <w:color w:val="000000" w:themeColor="text1"/>
          <w:sz w:val="20"/>
          <w:szCs w:val="20"/>
          <w:lang w:val="es-ES"/>
        </w:rPr>
      </w:pPr>
      <w:r>
        <w:rPr>
          <w:rFonts w:ascii="Verdana" w:hAnsi="Verdana" w:cs="Arial"/>
          <w:color w:val="000000" w:themeColor="text1"/>
          <w:sz w:val="20"/>
          <w:szCs w:val="20"/>
          <w:lang w:val="es-ES"/>
        </w:rPr>
        <w:t>[…]</w:t>
      </w:r>
    </w:p>
    <w:p w14:paraId="72038133" w14:textId="77777777" w:rsidR="00351CA2" w:rsidRDefault="00351CA2" w:rsidP="00351CA2">
      <w:pPr>
        <w:spacing w:after="0" w:line="240" w:lineRule="auto"/>
        <w:jc w:val="both"/>
        <w:rPr>
          <w:rFonts w:ascii="Verdana" w:hAnsi="Verdana" w:cs="Arial"/>
          <w:color w:val="000000" w:themeColor="text1"/>
          <w:sz w:val="20"/>
          <w:szCs w:val="20"/>
        </w:rPr>
      </w:pPr>
    </w:p>
    <w:p w14:paraId="75083616" w14:textId="77777777" w:rsidR="00483FB8" w:rsidRDefault="009D47B7" w:rsidP="00351CA2">
      <w:pPr>
        <w:spacing w:after="0" w:line="240" w:lineRule="auto"/>
        <w:jc w:val="both"/>
        <w:rPr>
          <w:rFonts w:ascii="Verdana" w:hAnsi="Verdana" w:cs="Arial"/>
          <w:color w:val="000000" w:themeColor="text1"/>
          <w:sz w:val="20"/>
          <w:szCs w:val="20"/>
        </w:rPr>
      </w:pPr>
      <w:r w:rsidRPr="009D47B7">
        <w:rPr>
          <w:rFonts w:ascii="Verdana" w:hAnsi="Verdana" w:cs="Arial"/>
          <w:color w:val="000000" w:themeColor="text1"/>
          <w:sz w:val="20"/>
          <w:szCs w:val="20"/>
        </w:rPr>
        <w:t>[…]</w:t>
      </w:r>
      <w:r w:rsidR="00A613F8" w:rsidRPr="00A613F8">
        <w:rPr>
          <w:rFonts w:ascii="Verdana" w:hAnsi="Verdana" w:cs="Arial"/>
          <w:i/>
          <w:iCs/>
          <w:color w:val="000000" w:themeColor="text1"/>
          <w:sz w:val="20"/>
          <w:szCs w:val="20"/>
        </w:rPr>
        <w:t xml:space="preserve">el parágrafo transitorio 3 incluido por el Decreto 1041 de 2022 </w:t>
      </w:r>
      <w:r w:rsidR="00A613F8" w:rsidRPr="00A613F8">
        <w:rPr>
          <w:rFonts w:ascii="Verdana" w:hAnsi="Verdana" w:cs="Arial"/>
          <w:color w:val="000000" w:themeColor="text1"/>
          <w:sz w:val="20"/>
          <w:szCs w:val="20"/>
        </w:rPr>
        <w:t>mantuvo la anterior medida para el año 2023, permitiendo que para la inscripción en el RUP o para su renovación, el interesado pueda reportar la información contable y los estados financieros de los tres últimos años fiscales.</w:t>
      </w:r>
    </w:p>
    <w:p w14:paraId="16146EE2" w14:textId="77777777" w:rsidR="00483FB8" w:rsidRDefault="00483FB8" w:rsidP="00351CA2">
      <w:pPr>
        <w:spacing w:after="0" w:line="240" w:lineRule="auto"/>
        <w:jc w:val="both"/>
        <w:rPr>
          <w:rFonts w:ascii="Verdana" w:hAnsi="Verdana" w:cs="Arial"/>
          <w:color w:val="000000" w:themeColor="text1"/>
          <w:sz w:val="20"/>
          <w:szCs w:val="20"/>
        </w:rPr>
      </w:pPr>
    </w:p>
    <w:p w14:paraId="53CC016E" w14:textId="570FD969" w:rsidR="00A613F8" w:rsidRDefault="00351CA2" w:rsidP="00351CA2">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w:t>
      </w:r>
    </w:p>
    <w:p w14:paraId="157AE8B0" w14:textId="77777777" w:rsidR="00351CA2" w:rsidRDefault="00351CA2" w:rsidP="00351CA2">
      <w:pPr>
        <w:spacing w:after="0" w:line="240" w:lineRule="auto"/>
        <w:jc w:val="both"/>
        <w:rPr>
          <w:rFonts w:ascii="Verdana" w:hAnsi="Verdana" w:cs="Arial"/>
          <w:color w:val="000000" w:themeColor="text1"/>
          <w:sz w:val="20"/>
          <w:szCs w:val="20"/>
        </w:rPr>
      </w:pPr>
    </w:p>
    <w:p w14:paraId="252E4AA9" w14:textId="4A4D6079" w:rsidR="00A613F8" w:rsidRPr="00A613F8" w:rsidRDefault="00351CA2" w:rsidP="00351CA2">
      <w:pPr>
        <w:spacing w:after="0" w:line="240" w:lineRule="auto"/>
        <w:jc w:val="both"/>
        <w:rPr>
          <w:rFonts w:ascii="Verdana" w:hAnsi="Verdana" w:cs="Arial"/>
          <w:i/>
          <w:iCs/>
          <w:color w:val="000000" w:themeColor="text1"/>
          <w:sz w:val="20"/>
          <w:szCs w:val="20"/>
        </w:rPr>
      </w:pPr>
      <w:r>
        <w:rPr>
          <w:rFonts w:ascii="Verdana" w:hAnsi="Verdana" w:cs="Arial"/>
          <w:color w:val="000000" w:themeColor="text1"/>
          <w:sz w:val="20"/>
          <w:szCs w:val="20"/>
        </w:rPr>
        <w:t xml:space="preserve">[…] </w:t>
      </w:r>
      <w:r w:rsidR="00A613F8" w:rsidRPr="00A613F8">
        <w:rPr>
          <w:rFonts w:ascii="Verdana" w:hAnsi="Verdana" w:cs="Arial"/>
          <w:color w:val="000000" w:themeColor="text1"/>
          <w:sz w:val="20"/>
          <w:szCs w:val="20"/>
        </w:rPr>
        <w:t xml:space="preserve">el segundo parágrafo transitorio del artículo 2.2.1.1.1.5.6 del Decreto 1082 de 2015, modificado por el artículo 2 del Decreto 1041 del 21 de junio 2022 dispone que </w:t>
      </w:r>
      <w:r w:rsidR="00A613F8" w:rsidRPr="00A613F8">
        <w:rPr>
          <w:rFonts w:ascii="Verdana" w:hAnsi="Verdana" w:cs="Arial"/>
          <w:i/>
          <w:iCs/>
          <w:color w:val="000000" w:themeColor="text1"/>
          <w:sz w:val="20"/>
          <w:szCs w:val="20"/>
        </w:rPr>
        <w:t>“</w:t>
      </w:r>
      <w:r w:rsidR="00A613F8" w:rsidRPr="00A613F8">
        <w:rPr>
          <w:rFonts w:ascii="Verdana" w:hAnsi="Verdana" w:cs="Arial"/>
          <w:color w:val="000000" w:themeColor="text1"/>
          <w:sz w:val="20"/>
          <w:szCs w:val="20"/>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r w:rsidR="00A613F8" w:rsidRPr="00A613F8">
        <w:rPr>
          <w:rFonts w:ascii="Verdana" w:hAnsi="Verdana" w:cs="Arial"/>
          <w:i/>
          <w:iCs/>
          <w:color w:val="000000" w:themeColor="text1"/>
          <w:sz w:val="20"/>
          <w:szCs w:val="20"/>
        </w:rPr>
        <w:t>”.</w:t>
      </w:r>
      <w:r w:rsidR="00A613F8">
        <w:rPr>
          <w:rFonts w:ascii="Verdana" w:hAnsi="Verdana" w:cs="Arial"/>
          <w:i/>
          <w:iCs/>
          <w:color w:val="000000" w:themeColor="text1"/>
          <w:sz w:val="20"/>
          <w:szCs w:val="20"/>
        </w:rPr>
        <w:t xml:space="preserve"> </w:t>
      </w:r>
      <w:r w:rsidR="00290421">
        <w:rPr>
          <w:rFonts w:ascii="Verdana" w:hAnsi="Verdana" w:cs="Arial"/>
          <w:color w:val="000000" w:themeColor="text1"/>
          <w:sz w:val="20"/>
          <w:szCs w:val="20"/>
        </w:rPr>
        <w:t xml:space="preserve">Como </w:t>
      </w:r>
      <w:r w:rsidR="00A613F8" w:rsidRPr="00A613F8">
        <w:rPr>
          <w:rFonts w:ascii="Verdana" w:hAnsi="Verdana" w:cs="Arial"/>
          <w:color w:val="000000" w:themeColor="text1"/>
          <w:sz w:val="20"/>
          <w:szCs w:val="20"/>
          <w:lang w:val="es-ES"/>
        </w:rPr>
        <w:t>se observa, las normas anteriormente transcritas disponen que:</w:t>
      </w:r>
    </w:p>
    <w:p w14:paraId="7BF2EEC9" w14:textId="77777777" w:rsidR="00A613F8" w:rsidRPr="00A613F8" w:rsidRDefault="00A613F8" w:rsidP="00351CA2">
      <w:pPr>
        <w:spacing w:after="0" w:line="240" w:lineRule="auto"/>
        <w:jc w:val="both"/>
        <w:rPr>
          <w:rFonts w:ascii="Verdana" w:hAnsi="Verdana" w:cs="Arial"/>
          <w:color w:val="000000" w:themeColor="text1"/>
          <w:sz w:val="20"/>
          <w:szCs w:val="20"/>
        </w:rPr>
      </w:pPr>
    </w:p>
    <w:p w14:paraId="3CC2C9C4" w14:textId="2D4461C9" w:rsidR="00CC052E" w:rsidRDefault="00A613F8" w:rsidP="00CC052E">
      <w:pPr>
        <w:spacing w:after="0" w:line="240" w:lineRule="auto"/>
        <w:jc w:val="both"/>
        <w:rPr>
          <w:rFonts w:ascii="Verdana" w:hAnsi="Verdana" w:cs="Arial"/>
          <w:color w:val="000000" w:themeColor="text1"/>
          <w:sz w:val="20"/>
          <w:szCs w:val="20"/>
          <w:lang w:val="es-ES"/>
        </w:rPr>
      </w:pPr>
      <w:r w:rsidRPr="00A613F8">
        <w:rPr>
          <w:rFonts w:ascii="Verdana" w:hAnsi="Verdana" w:cs="Arial"/>
          <w:color w:val="000000" w:themeColor="text1"/>
          <w:sz w:val="20"/>
          <w:szCs w:val="20"/>
          <w:lang w:val="es-ES"/>
        </w:rPr>
        <w:t xml:space="preserve">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w:t>
      </w:r>
      <w:r w:rsidRPr="00A613F8">
        <w:rPr>
          <w:rFonts w:ascii="Verdana" w:hAnsi="Verdana" w:cs="Arial"/>
          <w:color w:val="000000" w:themeColor="text1"/>
          <w:sz w:val="20"/>
          <w:szCs w:val="20"/>
          <w:lang w:val="es-ES"/>
        </w:rPr>
        <w:lastRenderedPageBreak/>
        <w:t>organizacional “correspondiente a los últimos tres (3) años fiscales anteriores al respectivo acto” o “desde su primer cierre fiscal”, según el caso.</w:t>
      </w:r>
    </w:p>
    <w:p w14:paraId="3D072BB4" w14:textId="77777777" w:rsidR="00351CA2" w:rsidRPr="00351CA2" w:rsidRDefault="00351CA2" w:rsidP="00CC052E">
      <w:pPr>
        <w:spacing w:after="0" w:line="240" w:lineRule="auto"/>
        <w:jc w:val="both"/>
        <w:rPr>
          <w:rFonts w:ascii="Verdana" w:hAnsi="Verdana" w:cs="Arial"/>
          <w:color w:val="000000" w:themeColor="text1"/>
          <w:sz w:val="20"/>
          <w:szCs w:val="20"/>
          <w:lang w:val="es-ES"/>
        </w:rPr>
      </w:pPr>
    </w:p>
    <w:p w14:paraId="0FA5FE90" w14:textId="1CA9F992" w:rsidR="0033077F" w:rsidRPr="00BC028A" w:rsidRDefault="0033077F" w:rsidP="0033077F">
      <w:pPr>
        <w:spacing w:before="120" w:after="120" w:line="276" w:lineRule="auto"/>
        <w:jc w:val="both"/>
        <w:rPr>
          <w:rFonts w:ascii="Verdana" w:eastAsia="Calibri" w:hAnsi="Verdana" w:cs="Arial"/>
          <w:b/>
          <w:lang w:val="es-ES_tradnl"/>
        </w:rPr>
      </w:pPr>
      <w:r w:rsidRPr="0033077F">
        <w:rPr>
          <w:rFonts w:ascii="Verdana" w:eastAsia="Calibri" w:hAnsi="Verdana" w:cs="Arial"/>
          <w:b/>
          <w:lang w:val="es-ES"/>
        </w:rPr>
        <w:t xml:space="preserve">DECRETO 1041 DE 2022 – Información – Capacidad financiera – Capacidad organizacional </w:t>
      </w:r>
    </w:p>
    <w:p w14:paraId="1EABCA3A" w14:textId="6D625292" w:rsidR="005F0DCE" w:rsidRDefault="005F0DCE" w:rsidP="00351CA2">
      <w:pPr>
        <w:spacing w:after="0" w:line="240" w:lineRule="auto"/>
        <w:jc w:val="both"/>
        <w:rPr>
          <w:rFonts w:ascii="Verdana" w:hAnsi="Verdana" w:cs="Arial"/>
          <w:color w:val="000000" w:themeColor="text1"/>
          <w:sz w:val="20"/>
          <w:szCs w:val="20"/>
          <w:lang w:val="es-ES_tradnl"/>
        </w:rPr>
      </w:pPr>
      <w:r w:rsidRPr="005F0DCE">
        <w:rPr>
          <w:rFonts w:ascii="Verdana" w:hAnsi="Verdana" w:cs="Arial"/>
          <w:color w:val="000000" w:themeColor="text1"/>
          <w:sz w:val="20"/>
          <w:szCs w:val="20"/>
          <w:lang w:val="es-ES_tradnl"/>
        </w:rPr>
        <w:t>Como se observa, las normas anteriormente transcritas disponen que:</w:t>
      </w:r>
    </w:p>
    <w:p w14:paraId="4671EE7C" w14:textId="77777777" w:rsidR="00351CA2" w:rsidRPr="005F0DCE" w:rsidRDefault="00351CA2" w:rsidP="00351CA2">
      <w:pPr>
        <w:spacing w:after="0" w:line="240" w:lineRule="auto"/>
        <w:jc w:val="both"/>
        <w:rPr>
          <w:rFonts w:ascii="Verdana" w:hAnsi="Verdana" w:cs="Arial"/>
          <w:color w:val="000000" w:themeColor="text1"/>
          <w:sz w:val="20"/>
          <w:szCs w:val="20"/>
          <w:lang w:val="es-ES_tradnl"/>
        </w:rPr>
      </w:pPr>
    </w:p>
    <w:p w14:paraId="0C6550BB" w14:textId="25A204BE" w:rsidR="00CC052E" w:rsidRDefault="005F0DCE" w:rsidP="00351CA2">
      <w:pPr>
        <w:spacing w:after="0" w:line="240" w:lineRule="auto"/>
        <w:jc w:val="both"/>
        <w:rPr>
          <w:rFonts w:ascii="Verdana" w:hAnsi="Verdana" w:cs="Arial"/>
          <w:color w:val="000000" w:themeColor="text1"/>
          <w:sz w:val="20"/>
          <w:szCs w:val="20"/>
          <w:lang w:val="es-ES_tradnl"/>
        </w:rPr>
      </w:pPr>
      <w:r w:rsidRPr="005F0DCE">
        <w:rPr>
          <w:rFonts w:ascii="Verdana" w:hAnsi="Verdana" w:cs="Arial"/>
          <w:color w:val="000000" w:themeColor="text1"/>
          <w:sz w:val="20"/>
          <w:szCs w:val="20"/>
          <w:lang w:val="es-ES_tradnl"/>
        </w:rPr>
        <w:t>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w:t>
      </w:r>
    </w:p>
    <w:p w14:paraId="3EFC0FAD" w14:textId="77777777" w:rsidR="00351CA2" w:rsidRPr="00351CA2" w:rsidRDefault="00351CA2" w:rsidP="00351CA2">
      <w:pPr>
        <w:spacing w:after="0" w:line="240" w:lineRule="auto"/>
        <w:jc w:val="both"/>
        <w:rPr>
          <w:rFonts w:ascii="Verdana" w:hAnsi="Verdana" w:cs="Arial"/>
          <w:color w:val="000000" w:themeColor="text1"/>
          <w:sz w:val="20"/>
          <w:szCs w:val="20"/>
          <w:lang w:val="es-ES_tradnl"/>
        </w:rPr>
      </w:pPr>
    </w:p>
    <w:p w14:paraId="684CD4D1" w14:textId="05223559" w:rsidR="0021021E" w:rsidRPr="005C7D80" w:rsidRDefault="0021021E" w:rsidP="005C7D80">
      <w:pPr>
        <w:spacing w:before="120" w:after="120" w:line="276" w:lineRule="auto"/>
        <w:jc w:val="both"/>
        <w:rPr>
          <w:rFonts w:ascii="Verdana" w:eastAsia="Calibri" w:hAnsi="Verdana" w:cs="Arial"/>
          <w:b/>
          <w:lang w:val="es-ES_tradnl"/>
        </w:rPr>
      </w:pPr>
      <w:r w:rsidRPr="00BC028A">
        <w:rPr>
          <w:rFonts w:ascii="Verdana" w:eastAsia="Calibri" w:hAnsi="Verdana" w:cs="Arial"/>
          <w:b/>
          <w:lang w:val="es-ES_tradnl"/>
        </w:rPr>
        <w:t>MEJOR AÑO FISCAL – Decreto 399 de 2021 – Capacidad financiera – Capacidad organizacional – Interpretación</w:t>
      </w:r>
    </w:p>
    <w:p w14:paraId="1ABA3EEE" w14:textId="77777777" w:rsidR="00351CA2" w:rsidRDefault="0021021E" w:rsidP="005C7D80">
      <w:pPr>
        <w:spacing w:after="0" w:line="240" w:lineRule="auto"/>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6757C272" w14:textId="77777777" w:rsidR="00351CA2" w:rsidRDefault="00351CA2" w:rsidP="005C7D80">
      <w:pPr>
        <w:spacing w:after="0" w:line="240" w:lineRule="auto"/>
        <w:jc w:val="both"/>
        <w:rPr>
          <w:rFonts w:ascii="Verdana" w:hAnsi="Verdana" w:cs="Arial"/>
          <w:color w:val="000000" w:themeColor="text1"/>
          <w:sz w:val="20"/>
          <w:szCs w:val="20"/>
          <w:lang w:val="es-ES_tradnl"/>
        </w:rPr>
      </w:pPr>
    </w:p>
    <w:p w14:paraId="75378DBA" w14:textId="760CE26F" w:rsidR="0021021E" w:rsidRDefault="0021021E" w:rsidP="005C7D80">
      <w:pPr>
        <w:spacing w:after="0" w:line="240" w:lineRule="auto"/>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w:t>
      </w:r>
    </w:p>
    <w:p w14:paraId="5AA30868" w14:textId="77777777" w:rsidR="00351CA2" w:rsidRPr="00BC028A" w:rsidRDefault="00351CA2" w:rsidP="005C7D80">
      <w:pPr>
        <w:spacing w:after="0" w:line="240" w:lineRule="auto"/>
        <w:jc w:val="both"/>
        <w:rPr>
          <w:rFonts w:ascii="Verdana" w:hAnsi="Verdana" w:cs="Arial"/>
          <w:color w:val="000000" w:themeColor="text1"/>
          <w:sz w:val="20"/>
          <w:szCs w:val="20"/>
          <w:lang w:val="es-ES_tradnl"/>
        </w:rPr>
      </w:pPr>
    </w:p>
    <w:p w14:paraId="6F450211" w14:textId="77777777" w:rsidR="0021021E" w:rsidRPr="00BC028A" w:rsidRDefault="0021021E" w:rsidP="005C7D80">
      <w:pPr>
        <w:spacing w:after="0" w:line="240" w:lineRule="auto"/>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456D3CCA" w14:textId="77777777" w:rsidR="0021021E" w:rsidRPr="005C7D80" w:rsidRDefault="0021021E" w:rsidP="005C7D80">
      <w:pPr>
        <w:spacing w:after="0" w:line="240" w:lineRule="auto"/>
        <w:jc w:val="both"/>
        <w:rPr>
          <w:rFonts w:ascii="Verdana" w:hAnsi="Verdana" w:cs="Arial"/>
          <w:color w:val="000000" w:themeColor="text1"/>
          <w:sz w:val="20"/>
          <w:szCs w:val="20"/>
          <w:lang w:val="es-ES_tradnl"/>
        </w:rPr>
      </w:pPr>
      <w:r w:rsidRPr="00BC028A">
        <w:rPr>
          <w:rFonts w:ascii="Verdana" w:hAnsi="Verdana" w:cs="Arial"/>
          <w:color w:val="000000" w:themeColor="text1"/>
          <w:sz w:val="20"/>
          <w:szCs w:val="20"/>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por cada indicador; verbigracia, el mejor año para el índice de liquidez, el mejor año para el índice de endeudamiento o el mejor año para la rentabilidad del patrimonio. </w:t>
      </w:r>
      <w:r w:rsidRPr="00BC028A">
        <w:rPr>
          <w:rFonts w:ascii="Verdana" w:hAnsi="Verdana" w:cs="Arial"/>
          <w:color w:val="000000" w:themeColor="text1"/>
          <w:sz w:val="20"/>
          <w:szCs w:val="20"/>
          <w:lang w:val="es-ES_tradnl"/>
        </w:rPr>
        <w:lastRenderedPageBreak/>
        <w:t>Atendiendo a la teleología del Decreto 399 de 2021, por «mejor año» debe entenderse aquel en el que, analizados conjuntamente todos los indicadores de capacidad financiera y organizacional, el proponente cumpla con dichos requisitos habilitantes.</w:t>
      </w:r>
    </w:p>
    <w:p w14:paraId="216E9CB3" w14:textId="77777777" w:rsidR="0021021E" w:rsidRDefault="0021021E" w:rsidP="0021021E">
      <w:pPr>
        <w:spacing w:after="0" w:line="240" w:lineRule="auto"/>
        <w:rPr>
          <w:rFonts w:ascii="Verdana" w:eastAsia="Calibri" w:hAnsi="Verdana" w:cs="Arial"/>
          <w:b/>
          <w:bCs/>
          <w:color w:val="7030A0"/>
          <w:lang w:val="es-ES" w:eastAsia="es-ES"/>
        </w:rPr>
      </w:pPr>
    </w:p>
    <w:p w14:paraId="4AE4B848" w14:textId="77777777" w:rsidR="005C7D80" w:rsidRPr="00666004" w:rsidRDefault="005C7D80" w:rsidP="005C7D80">
      <w:pPr>
        <w:spacing w:before="120" w:after="120" w:line="276" w:lineRule="auto"/>
        <w:rPr>
          <w:rFonts w:ascii="Verdana" w:eastAsia="Calibri" w:hAnsi="Verdana" w:cs="Arial"/>
          <w:b/>
          <w:bCs/>
          <w:lang w:val="es-ES" w:eastAsia="es-ES"/>
        </w:rPr>
      </w:pPr>
      <w:r w:rsidRPr="00666004">
        <w:rPr>
          <w:rFonts w:ascii="Verdana" w:eastAsia="Calibri" w:hAnsi="Verdana" w:cs="Arial"/>
          <w:b/>
          <w:bCs/>
          <w:lang w:val="es-ES" w:eastAsia="es-ES"/>
        </w:rPr>
        <w:t xml:space="preserve">CAPACIDAD RESIDUAL – Cálculo – Capacidad de Organización </w:t>
      </w:r>
    </w:p>
    <w:p w14:paraId="437E8CEE" w14:textId="77777777" w:rsidR="005C7D80" w:rsidRDefault="005C7D80" w:rsidP="005C7D80">
      <w:pPr>
        <w:spacing w:after="0" w:line="240" w:lineRule="auto"/>
        <w:jc w:val="both"/>
        <w:rPr>
          <w:rFonts w:ascii="Verdana" w:eastAsia="Calibri" w:hAnsi="Verdana" w:cs="Arial"/>
          <w:sz w:val="20"/>
          <w:szCs w:val="20"/>
          <w:lang w:val="es-ES"/>
        </w:rPr>
      </w:pPr>
      <w:r w:rsidRPr="00666004">
        <w:rPr>
          <w:rFonts w:ascii="Verdana" w:eastAsia="Calibri" w:hAnsi="Verdana" w:cs="Arial"/>
          <w:sz w:val="20"/>
          <w:szCs w:val="20"/>
          <w:lang w:val="es-ES"/>
        </w:rPr>
        <w:t>[…] el artículo 2.2.1.1.1.6.4 del Decreto 1082 de 2015 dispuso que las entidades estatales deben calcular la capacidad residual conforme a la metodología definida por Colombia Compra Eficiente y precisó que, para tales fines, resulta necesario tener en cuenta los factores de: i) experiencia; ii) capacidad financiera; iii) capacidad técnica; iv) capacidad de organización; y v) los saldos de los contratos en ejecución, así:</w:t>
      </w:r>
    </w:p>
    <w:p w14:paraId="68F15A14" w14:textId="77777777" w:rsidR="005C7D80" w:rsidRPr="00666004" w:rsidRDefault="005C7D80" w:rsidP="005C7D80">
      <w:pPr>
        <w:spacing w:after="0" w:line="240" w:lineRule="auto"/>
        <w:jc w:val="both"/>
        <w:rPr>
          <w:rFonts w:ascii="Verdana" w:eastAsia="Calibri" w:hAnsi="Verdana" w:cs="Arial"/>
          <w:sz w:val="20"/>
          <w:szCs w:val="20"/>
          <w:lang w:val="es-ES"/>
        </w:rPr>
      </w:pPr>
    </w:p>
    <w:p w14:paraId="0E19A662" w14:textId="77777777" w:rsidR="005C7D80" w:rsidRPr="00666004" w:rsidRDefault="005C7D80" w:rsidP="005C7D80">
      <w:pPr>
        <w:spacing w:after="0" w:line="240" w:lineRule="auto"/>
        <w:jc w:val="both"/>
        <w:rPr>
          <w:rFonts w:ascii="Verdana" w:eastAsia="Calibri" w:hAnsi="Verdana" w:cs="Arial"/>
          <w:i/>
          <w:iCs/>
          <w:sz w:val="20"/>
          <w:szCs w:val="20"/>
          <w:lang w:val="es-ES"/>
        </w:rPr>
      </w:pPr>
      <w:r w:rsidRPr="00666004">
        <w:rPr>
          <w:rFonts w:ascii="Verdana" w:eastAsia="Calibri" w:hAnsi="Verdana" w:cs="Arial"/>
          <w:i/>
          <w:iCs/>
          <w:sz w:val="20"/>
          <w:szCs w:val="20"/>
          <w:lang w:val="es-ES"/>
        </w:rPr>
        <w:t>“Artículo 2.2.1.1.1.6.4. Capacidad Residual. El interesado en celebrar contratos de obra pública con Entidades Estatales debe acreditar su Capacidad Residual o K de Contratación con los siguientes documentos: (…)</w:t>
      </w:r>
    </w:p>
    <w:p w14:paraId="0910AD69" w14:textId="77777777" w:rsidR="005C7D80" w:rsidRPr="00666004" w:rsidRDefault="005C7D80" w:rsidP="005C7D80">
      <w:pPr>
        <w:spacing w:after="0" w:line="240" w:lineRule="auto"/>
        <w:jc w:val="both"/>
        <w:rPr>
          <w:rFonts w:ascii="Verdana" w:eastAsia="Calibri" w:hAnsi="Verdana" w:cs="Arial"/>
          <w:i/>
          <w:iCs/>
          <w:sz w:val="20"/>
          <w:szCs w:val="20"/>
          <w:lang w:val="es-ES"/>
        </w:rPr>
      </w:pPr>
      <w:r w:rsidRPr="00666004">
        <w:rPr>
          <w:rFonts w:ascii="Verdana" w:eastAsia="Calibri" w:hAnsi="Verdana" w:cs="Arial"/>
          <w:i/>
          <w:iCs/>
          <w:sz w:val="20"/>
          <w:szCs w:val="20"/>
          <w:lang w:val="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5FD94446" w14:textId="77777777" w:rsidR="005C7D80" w:rsidRPr="00666004" w:rsidRDefault="005C7D80" w:rsidP="005C7D80">
      <w:pPr>
        <w:spacing w:after="0" w:line="240" w:lineRule="auto"/>
        <w:jc w:val="both"/>
        <w:rPr>
          <w:rFonts w:ascii="Verdana" w:eastAsia="Calibri" w:hAnsi="Verdana" w:cs="Arial"/>
          <w:sz w:val="20"/>
          <w:szCs w:val="20"/>
          <w:lang w:val="es-ES"/>
        </w:rPr>
      </w:pPr>
    </w:p>
    <w:p w14:paraId="2D1D14F0" w14:textId="77777777" w:rsidR="005C7D80" w:rsidRPr="00666004" w:rsidRDefault="005C7D80" w:rsidP="005C7D80">
      <w:pPr>
        <w:spacing w:after="0" w:line="240" w:lineRule="auto"/>
        <w:jc w:val="both"/>
        <w:rPr>
          <w:rFonts w:ascii="Verdana" w:eastAsia="Calibri" w:hAnsi="Verdana" w:cs="Arial"/>
          <w:sz w:val="20"/>
          <w:szCs w:val="20"/>
          <w:lang w:val="es-ES"/>
        </w:rPr>
      </w:pPr>
      <w:r w:rsidRPr="00666004">
        <w:rPr>
          <w:rFonts w:ascii="Verdana" w:eastAsia="Calibri" w:hAnsi="Verdana" w:cs="Arial"/>
          <w:sz w:val="20"/>
          <w:szCs w:val="20"/>
          <w:lang w:val="es-ES"/>
        </w:rPr>
        <w:t>[…]</w:t>
      </w:r>
    </w:p>
    <w:p w14:paraId="4FB8F70E" w14:textId="77777777" w:rsidR="005C7D80" w:rsidRPr="00666004" w:rsidRDefault="005C7D80" w:rsidP="005C7D80">
      <w:pPr>
        <w:spacing w:after="0" w:line="240" w:lineRule="auto"/>
        <w:jc w:val="both"/>
        <w:rPr>
          <w:rFonts w:ascii="Verdana" w:eastAsia="Calibri" w:hAnsi="Verdana" w:cs="Arial"/>
          <w:sz w:val="20"/>
          <w:szCs w:val="20"/>
          <w:lang w:val="es-ES"/>
        </w:rPr>
      </w:pPr>
    </w:p>
    <w:p w14:paraId="05EAB2F3" w14:textId="77777777" w:rsidR="005C7D80" w:rsidRPr="000F3233" w:rsidRDefault="005C7D80" w:rsidP="005C7D80">
      <w:pPr>
        <w:spacing w:after="0" w:line="240" w:lineRule="auto"/>
        <w:jc w:val="both"/>
        <w:rPr>
          <w:rFonts w:ascii="Verdana" w:eastAsia="Calibri" w:hAnsi="Verdana" w:cs="Arial"/>
          <w:sz w:val="20"/>
          <w:szCs w:val="20"/>
          <w:lang w:val="es-ES"/>
        </w:rPr>
      </w:pPr>
      <w:r w:rsidRPr="00666004">
        <w:rPr>
          <w:rFonts w:ascii="Verdana" w:eastAsia="Calibri" w:hAnsi="Verdana" w:cs="Arial"/>
          <w:sz w:val="20"/>
          <w:szCs w:val="20"/>
          <w:lang w:val="es-ES"/>
        </w:rPr>
        <w:t xml:space="preserve">[…] </w:t>
      </w:r>
      <w:r w:rsidRPr="000F3233">
        <w:rPr>
          <w:rFonts w:ascii="Verdana" w:eastAsia="Calibri" w:hAnsi="Verdana" w:cs="Arial"/>
          <w:sz w:val="20"/>
          <w:szCs w:val="20"/>
          <w:lang w:val="es-ES"/>
        </w:rPr>
        <w:t>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fórmula:</w:t>
      </w:r>
    </w:p>
    <w:p w14:paraId="17DFC61C" w14:textId="77777777" w:rsidR="005C7D80" w:rsidRPr="000F3233" w:rsidRDefault="005C7D80" w:rsidP="005C7D80">
      <w:pPr>
        <w:spacing w:after="0" w:line="240" w:lineRule="auto"/>
        <w:jc w:val="both"/>
        <w:rPr>
          <w:rFonts w:ascii="Verdana" w:eastAsia="Calibri" w:hAnsi="Verdana" w:cs="Arial"/>
          <w:sz w:val="20"/>
          <w:szCs w:val="20"/>
          <w:lang w:val="es-ES"/>
        </w:rPr>
      </w:pPr>
      <w:r w:rsidRPr="000F3233">
        <w:rPr>
          <w:rFonts w:ascii="Verdana" w:eastAsia="Calibri" w:hAnsi="Verdana" w:cs="Arial"/>
          <w:sz w:val="20"/>
          <w:szCs w:val="20"/>
          <w:lang w:val="es-ES"/>
        </w:rPr>
        <w:t> </w:t>
      </w:r>
    </w:p>
    <w:p w14:paraId="7EBFCBA0" w14:textId="77777777" w:rsidR="005C7D80" w:rsidRPr="000F3233" w:rsidRDefault="005C7D80" w:rsidP="005C7D80">
      <w:pPr>
        <w:spacing w:after="0" w:line="240" w:lineRule="auto"/>
        <w:jc w:val="center"/>
        <w:rPr>
          <w:rFonts w:ascii="Verdana" w:eastAsia="Calibri" w:hAnsi="Verdana" w:cs="Arial"/>
          <w:sz w:val="20"/>
          <w:szCs w:val="20"/>
          <w:lang w:val="es-ES"/>
        </w:rPr>
      </w:pPr>
      <w:r w:rsidRPr="00666004">
        <w:rPr>
          <w:rFonts w:ascii="Verdana" w:eastAsia="Calibri" w:hAnsi="Verdana" w:cs="Arial"/>
          <w:noProof/>
          <w:sz w:val="20"/>
          <w:szCs w:val="20"/>
          <w:lang w:val="es-ES"/>
        </w:rPr>
        <w:drawing>
          <wp:inline distT="0" distB="0" distL="0" distR="0" wp14:anchorId="0F925FA6" wp14:editId="7D6C2C48">
            <wp:extent cx="4638675" cy="676275"/>
            <wp:effectExtent l="0" t="0" r="9525" b="9525"/>
            <wp:docPr id="1262697888" name="Imagen 2" descr="Icono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o  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676275"/>
                    </a:xfrm>
                    <a:prstGeom prst="rect">
                      <a:avLst/>
                    </a:prstGeom>
                    <a:noFill/>
                    <a:ln>
                      <a:noFill/>
                    </a:ln>
                  </pic:spPr>
                </pic:pic>
              </a:graphicData>
            </a:graphic>
          </wp:inline>
        </w:drawing>
      </w:r>
    </w:p>
    <w:p w14:paraId="1EF3C6D1" w14:textId="77777777" w:rsidR="005C7D80" w:rsidRPr="000F3233" w:rsidRDefault="005C7D80" w:rsidP="005C7D80">
      <w:pPr>
        <w:spacing w:after="0" w:line="240" w:lineRule="auto"/>
        <w:jc w:val="both"/>
        <w:rPr>
          <w:rFonts w:ascii="Verdana" w:eastAsia="Calibri" w:hAnsi="Verdana" w:cs="Arial"/>
          <w:sz w:val="20"/>
          <w:szCs w:val="20"/>
          <w:lang w:val="es-ES"/>
        </w:rPr>
      </w:pPr>
      <w:r w:rsidRPr="000F3233">
        <w:rPr>
          <w:rFonts w:ascii="Verdana" w:eastAsia="Calibri" w:hAnsi="Verdana" w:cs="Arial"/>
          <w:sz w:val="20"/>
          <w:szCs w:val="20"/>
          <w:lang w:val="es-ES"/>
        </w:rPr>
        <w:t> </w:t>
      </w:r>
    </w:p>
    <w:p w14:paraId="091F05FD" w14:textId="77777777" w:rsidR="005C7D80" w:rsidRPr="00666004" w:rsidRDefault="005C7D80" w:rsidP="005C7D80">
      <w:pPr>
        <w:spacing w:after="0" w:line="240" w:lineRule="auto"/>
        <w:jc w:val="both"/>
        <w:rPr>
          <w:rFonts w:ascii="Verdana" w:eastAsia="Calibri" w:hAnsi="Verdana" w:cs="Arial"/>
          <w:sz w:val="20"/>
          <w:szCs w:val="20"/>
          <w:lang w:val="es-ES"/>
        </w:rPr>
      </w:pPr>
      <w:r w:rsidRPr="000F3233">
        <w:rPr>
          <w:rFonts w:ascii="Verdana" w:eastAsia="Calibri" w:hAnsi="Verdana" w:cs="Arial"/>
          <w:sz w:val="20"/>
          <w:szCs w:val="20"/>
          <w:lang w:val="es-ES"/>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0AEE1895" w14:textId="77777777" w:rsidR="00351CA2" w:rsidRDefault="00351CA2" w:rsidP="005C7D80">
      <w:pPr>
        <w:spacing w:after="0" w:line="240" w:lineRule="auto"/>
        <w:jc w:val="both"/>
        <w:rPr>
          <w:rFonts w:ascii="Verdana" w:eastAsia="Calibri" w:hAnsi="Verdana" w:cs="Arial"/>
          <w:sz w:val="20"/>
          <w:szCs w:val="20"/>
          <w:lang w:val="es-ES"/>
        </w:rPr>
      </w:pPr>
    </w:p>
    <w:p w14:paraId="06356805" w14:textId="5787AC69" w:rsidR="005C7D80" w:rsidRPr="00666004" w:rsidRDefault="005C7D80" w:rsidP="005C7D80">
      <w:pPr>
        <w:spacing w:after="0" w:line="240" w:lineRule="auto"/>
        <w:jc w:val="both"/>
        <w:rPr>
          <w:rFonts w:ascii="Verdana" w:eastAsia="Calibri" w:hAnsi="Verdana" w:cs="Arial"/>
          <w:sz w:val="20"/>
          <w:szCs w:val="20"/>
          <w:lang w:val="es-ES"/>
        </w:rPr>
      </w:pPr>
      <w:r w:rsidRPr="00666004">
        <w:rPr>
          <w:rFonts w:ascii="Verdana" w:eastAsia="Calibri" w:hAnsi="Verdana" w:cs="Arial"/>
          <w:sz w:val="20"/>
          <w:szCs w:val="20"/>
          <w:lang w:val="es-ES"/>
        </w:rPr>
        <w:t>[…]</w:t>
      </w:r>
    </w:p>
    <w:p w14:paraId="49E448A1" w14:textId="77777777" w:rsidR="005C7D80" w:rsidRPr="000F3233" w:rsidRDefault="005C7D80" w:rsidP="005C7D80">
      <w:pPr>
        <w:spacing w:after="0" w:line="240" w:lineRule="auto"/>
        <w:jc w:val="both"/>
        <w:rPr>
          <w:rFonts w:ascii="Verdana" w:eastAsia="Calibri" w:hAnsi="Verdana" w:cs="Arial"/>
          <w:sz w:val="20"/>
          <w:szCs w:val="20"/>
          <w:lang w:val="es-ES"/>
        </w:rPr>
      </w:pPr>
    </w:p>
    <w:p w14:paraId="55C326E6" w14:textId="77777777" w:rsidR="005C7D80" w:rsidRPr="0067592F" w:rsidRDefault="005C7D80" w:rsidP="005C7D80">
      <w:pPr>
        <w:spacing w:after="0" w:line="240" w:lineRule="auto"/>
        <w:contextualSpacing/>
        <w:jc w:val="both"/>
        <w:rPr>
          <w:rFonts w:ascii="Verdana" w:hAnsi="Verdana" w:cs="Arial"/>
          <w:sz w:val="20"/>
          <w:szCs w:val="20"/>
          <w:lang w:val="es-ES"/>
        </w:rPr>
      </w:pPr>
      <w:r w:rsidRPr="00666004">
        <w:rPr>
          <w:rFonts w:ascii="Verdana" w:hAnsi="Verdana" w:cs="Arial"/>
          <w:i/>
          <w:iCs/>
          <w:sz w:val="20"/>
          <w:szCs w:val="20"/>
          <w:lang w:val="es-ES"/>
        </w:rPr>
        <w:t xml:space="preserve">iii) </w:t>
      </w:r>
      <w:r w:rsidRPr="0067592F">
        <w:rPr>
          <w:rFonts w:ascii="Verdana" w:hAnsi="Verdana" w:cs="Arial"/>
          <w:i/>
          <w:iCs/>
          <w:sz w:val="20"/>
          <w:szCs w:val="20"/>
          <w:lang w:val="es-ES"/>
        </w:rPr>
        <w:t>Capacidad de organización.</w:t>
      </w:r>
      <w:r w:rsidRPr="0067592F">
        <w:rPr>
          <w:rFonts w:ascii="Verdana" w:hAnsi="Verdana" w:cs="Arial"/>
          <w:sz w:val="20"/>
          <w:szCs w:val="20"/>
          <w:lang w:val="es-ES"/>
        </w:rPr>
        <w:t xml:space="preserve"> Corresponde a los ingresos operacionales, según el siguiente cuadro:</w:t>
      </w:r>
    </w:p>
    <w:p w14:paraId="3AB81A4D" w14:textId="77777777" w:rsidR="005C7D80" w:rsidRPr="0067592F" w:rsidRDefault="005C7D80" w:rsidP="005C7D80">
      <w:pPr>
        <w:spacing w:after="0" w:line="240" w:lineRule="auto"/>
        <w:contextualSpacing/>
        <w:jc w:val="both"/>
        <w:rPr>
          <w:rFonts w:ascii="Verdana" w:hAnsi="Verdana" w:cs="Arial"/>
          <w:sz w:val="20"/>
          <w:szCs w:val="20"/>
          <w:lang w:val="es-ES"/>
        </w:rPr>
      </w:pPr>
    </w:p>
    <w:tbl>
      <w:tblPr>
        <w:tblStyle w:val="Tablaconcuadrcula1"/>
        <w:tblW w:w="7522" w:type="dxa"/>
        <w:jc w:val="center"/>
        <w:tblInd w:w="0" w:type="dxa"/>
        <w:tblLook w:val="04A0" w:firstRow="1" w:lastRow="0" w:firstColumn="1" w:lastColumn="0" w:noHBand="0" w:noVBand="1"/>
      </w:tblPr>
      <w:tblGrid>
        <w:gridCol w:w="2481"/>
        <w:gridCol w:w="5041"/>
      </w:tblGrid>
      <w:tr w:rsidR="005C7D80" w:rsidRPr="00666004" w14:paraId="104672CA" w14:textId="77777777" w:rsidTr="00BF07C8">
        <w:trPr>
          <w:jc w:val="center"/>
        </w:trPr>
        <w:tc>
          <w:tcPr>
            <w:tcW w:w="248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3D5C028" w14:textId="77777777" w:rsidR="005C7D80" w:rsidRPr="0067592F" w:rsidRDefault="005C7D80" w:rsidP="00BF07C8">
            <w:pPr>
              <w:contextualSpacing/>
              <w:jc w:val="center"/>
              <w:rPr>
                <w:rFonts w:ascii="Verdana" w:hAnsi="Verdana" w:cs="Arial"/>
                <w:color w:val="FFFFFF" w:themeColor="background1"/>
                <w:sz w:val="20"/>
                <w:szCs w:val="20"/>
                <w:lang w:val="es-ES"/>
              </w:rPr>
            </w:pPr>
            <w:r w:rsidRPr="0067592F">
              <w:rPr>
                <w:rFonts w:ascii="Verdana" w:hAnsi="Verdana" w:cs="Arial"/>
                <w:color w:val="FFFFFF" w:themeColor="background1"/>
                <w:sz w:val="20"/>
                <w:szCs w:val="20"/>
                <w:lang w:val="es-ES"/>
              </w:rPr>
              <w:lastRenderedPageBreak/>
              <w:t>Años de información financiera</w:t>
            </w:r>
          </w:p>
        </w:tc>
        <w:tc>
          <w:tcPr>
            <w:tcW w:w="504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A39A39B" w14:textId="77777777" w:rsidR="005C7D80" w:rsidRPr="0067592F" w:rsidRDefault="005C7D80" w:rsidP="00BF07C8">
            <w:pPr>
              <w:contextualSpacing/>
              <w:jc w:val="center"/>
              <w:rPr>
                <w:rFonts w:ascii="Verdana" w:hAnsi="Verdana" w:cs="Arial"/>
                <w:color w:val="FFFFFF" w:themeColor="background1"/>
                <w:sz w:val="20"/>
                <w:szCs w:val="20"/>
                <w:lang w:val="es-ES"/>
              </w:rPr>
            </w:pPr>
            <w:r w:rsidRPr="0067592F">
              <w:rPr>
                <w:rFonts w:ascii="Verdana" w:hAnsi="Verdana" w:cs="Arial"/>
                <w:color w:val="FFFFFF" w:themeColor="background1"/>
                <w:sz w:val="20"/>
                <w:szCs w:val="20"/>
                <w:lang w:val="es-ES"/>
              </w:rPr>
              <w:t>Capacidad de Organización (CO)</w:t>
            </w:r>
          </w:p>
        </w:tc>
      </w:tr>
      <w:tr w:rsidR="005C7D80" w:rsidRPr="00666004" w14:paraId="1B461EC2" w14:textId="77777777" w:rsidTr="00BF07C8">
        <w:trPr>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14:paraId="79AE5E0F" w14:textId="77777777" w:rsidR="005C7D80" w:rsidRPr="0067592F" w:rsidRDefault="005C7D80" w:rsidP="00BF07C8">
            <w:pPr>
              <w:contextualSpacing/>
              <w:rPr>
                <w:rFonts w:ascii="Verdana" w:hAnsi="Verdana" w:cs="Arial"/>
                <w:sz w:val="20"/>
                <w:szCs w:val="20"/>
                <w:lang w:val="es-ES"/>
              </w:rPr>
            </w:pPr>
            <w:r w:rsidRPr="0067592F">
              <w:rPr>
                <w:rFonts w:ascii="Verdana" w:hAnsi="Verdana" w:cs="Arial"/>
                <w:sz w:val="20"/>
                <w:szCs w:val="20"/>
                <w:lang w:val="es-ES"/>
              </w:rPr>
              <w:t>Cinco (5) años o más</w:t>
            </w:r>
          </w:p>
        </w:tc>
        <w:tc>
          <w:tcPr>
            <w:tcW w:w="5041" w:type="dxa"/>
            <w:tcBorders>
              <w:top w:val="single" w:sz="4" w:space="0" w:color="auto"/>
              <w:left w:val="single" w:sz="4" w:space="0" w:color="auto"/>
              <w:bottom w:val="single" w:sz="4" w:space="0" w:color="auto"/>
              <w:right w:val="single" w:sz="4" w:space="0" w:color="auto"/>
            </w:tcBorders>
            <w:vAlign w:val="center"/>
            <w:hideMark/>
          </w:tcPr>
          <w:p w14:paraId="315B6BDF" w14:textId="77777777" w:rsidR="005C7D80" w:rsidRPr="0067592F" w:rsidRDefault="005C7D80" w:rsidP="00BF07C8">
            <w:pPr>
              <w:contextualSpacing/>
              <w:rPr>
                <w:rFonts w:ascii="Verdana" w:hAnsi="Verdana" w:cs="Arial"/>
                <w:sz w:val="20"/>
                <w:szCs w:val="20"/>
                <w:lang w:val="es-ES"/>
              </w:rPr>
            </w:pPr>
            <w:r w:rsidRPr="0067592F">
              <w:rPr>
                <w:rFonts w:ascii="Verdana" w:hAnsi="Verdana" w:cs="Arial"/>
                <w:sz w:val="20"/>
                <w:szCs w:val="20"/>
                <w:lang w:val="es-ES"/>
              </w:rPr>
              <w:t>Mayor ingreso operacional de los últimos cinco (5) años.</w:t>
            </w:r>
          </w:p>
        </w:tc>
      </w:tr>
      <w:tr w:rsidR="005C7D80" w:rsidRPr="00666004" w14:paraId="0EF6F126" w14:textId="77777777" w:rsidTr="00BF07C8">
        <w:trPr>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14:paraId="6C16BCA9" w14:textId="77777777" w:rsidR="005C7D80" w:rsidRPr="0067592F" w:rsidRDefault="005C7D80" w:rsidP="00BF07C8">
            <w:pPr>
              <w:contextualSpacing/>
              <w:rPr>
                <w:rFonts w:ascii="Verdana" w:hAnsi="Verdana" w:cs="Arial"/>
                <w:sz w:val="20"/>
                <w:szCs w:val="20"/>
                <w:lang w:val="es-ES"/>
              </w:rPr>
            </w:pPr>
            <w:r w:rsidRPr="0067592F">
              <w:rPr>
                <w:rFonts w:ascii="Verdana" w:hAnsi="Verdana" w:cs="Arial"/>
                <w:sz w:val="20"/>
                <w:szCs w:val="20"/>
              </w:rPr>
              <w:t>Entre uno (1) y cinco (5) años</w:t>
            </w:r>
          </w:p>
        </w:tc>
        <w:tc>
          <w:tcPr>
            <w:tcW w:w="5041" w:type="dxa"/>
            <w:tcBorders>
              <w:top w:val="single" w:sz="4" w:space="0" w:color="auto"/>
              <w:left w:val="single" w:sz="4" w:space="0" w:color="auto"/>
              <w:bottom w:val="single" w:sz="4" w:space="0" w:color="auto"/>
              <w:right w:val="single" w:sz="4" w:space="0" w:color="auto"/>
            </w:tcBorders>
            <w:vAlign w:val="center"/>
            <w:hideMark/>
          </w:tcPr>
          <w:p w14:paraId="3F508479" w14:textId="77777777" w:rsidR="005C7D80" w:rsidRPr="0067592F" w:rsidRDefault="005C7D80" w:rsidP="00BF07C8">
            <w:pPr>
              <w:contextualSpacing/>
              <w:rPr>
                <w:rFonts w:ascii="Verdana" w:hAnsi="Verdana" w:cs="Arial"/>
                <w:sz w:val="20"/>
                <w:szCs w:val="20"/>
                <w:lang w:val="es-ES"/>
              </w:rPr>
            </w:pPr>
            <w:r w:rsidRPr="0067592F">
              <w:rPr>
                <w:rFonts w:ascii="Verdana" w:hAnsi="Verdana" w:cs="Arial"/>
                <w:sz w:val="20"/>
                <w:szCs w:val="20"/>
              </w:rPr>
              <w:t>Mayor ingreso operacional de los años de vida del oferente</w:t>
            </w:r>
          </w:p>
        </w:tc>
      </w:tr>
      <w:tr w:rsidR="005C7D80" w:rsidRPr="00666004" w14:paraId="7CD8EE3B" w14:textId="77777777" w:rsidTr="00BF07C8">
        <w:trPr>
          <w:jc w:val="center"/>
        </w:trPr>
        <w:tc>
          <w:tcPr>
            <w:tcW w:w="2481" w:type="dxa"/>
            <w:tcBorders>
              <w:top w:val="single" w:sz="4" w:space="0" w:color="auto"/>
              <w:left w:val="single" w:sz="4" w:space="0" w:color="auto"/>
              <w:bottom w:val="single" w:sz="4" w:space="0" w:color="auto"/>
              <w:right w:val="single" w:sz="4" w:space="0" w:color="auto"/>
            </w:tcBorders>
            <w:vAlign w:val="center"/>
            <w:hideMark/>
          </w:tcPr>
          <w:p w14:paraId="328DF474" w14:textId="77777777" w:rsidR="005C7D80" w:rsidRPr="0067592F" w:rsidRDefault="005C7D80" w:rsidP="00BF07C8">
            <w:pPr>
              <w:contextualSpacing/>
              <w:rPr>
                <w:rFonts w:ascii="Verdana" w:hAnsi="Verdana" w:cs="Arial"/>
                <w:sz w:val="20"/>
                <w:szCs w:val="20"/>
                <w:lang w:val="es-ES"/>
              </w:rPr>
            </w:pPr>
            <w:r w:rsidRPr="0067592F">
              <w:rPr>
                <w:rFonts w:ascii="Verdana" w:hAnsi="Verdana" w:cs="Arial"/>
                <w:sz w:val="20"/>
                <w:szCs w:val="20"/>
              </w:rPr>
              <w:t>Menos de un (1) año</w:t>
            </w:r>
          </w:p>
        </w:tc>
        <w:tc>
          <w:tcPr>
            <w:tcW w:w="5041" w:type="dxa"/>
            <w:tcBorders>
              <w:top w:val="single" w:sz="4" w:space="0" w:color="auto"/>
              <w:left w:val="single" w:sz="4" w:space="0" w:color="auto"/>
              <w:bottom w:val="single" w:sz="4" w:space="0" w:color="auto"/>
              <w:right w:val="single" w:sz="4" w:space="0" w:color="auto"/>
            </w:tcBorders>
            <w:vAlign w:val="center"/>
            <w:hideMark/>
          </w:tcPr>
          <w:p w14:paraId="0AE7E215" w14:textId="77777777" w:rsidR="005C7D80" w:rsidRPr="0067592F" w:rsidRDefault="005C7D80" w:rsidP="00BF07C8">
            <w:pPr>
              <w:contextualSpacing/>
              <w:rPr>
                <w:rFonts w:ascii="Verdana" w:hAnsi="Verdana" w:cs="Arial"/>
                <w:sz w:val="20"/>
                <w:szCs w:val="20"/>
                <w:lang w:val="es-ES"/>
              </w:rPr>
            </w:pPr>
            <w:r w:rsidRPr="0067592F">
              <w:rPr>
                <w:rFonts w:ascii="Verdana" w:hAnsi="Verdana" w:cs="Arial"/>
                <w:sz w:val="20"/>
                <w:szCs w:val="20"/>
              </w:rPr>
              <w:t>USD 125.000 (Liquidados a la tasa de cambio determinada por el Ministerio de Comercio, Industria y Turismo cada 2 años para efectos del umbral del beneficio de las Mipyme.)</w:t>
            </w:r>
          </w:p>
        </w:tc>
      </w:tr>
    </w:tbl>
    <w:p w14:paraId="29384CE3" w14:textId="77777777" w:rsidR="005C7D80" w:rsidRPr="00666004" w:rsidRDefault="005C7D80" w:rsidP="005C7D80">
      <w:pPr>
        <w:spacing w:after="0" w:line="240" w:lineRule="auto"/>
        <w:jc w:val="both"/>
        <w:rPr>
          <w:rFonts w:ascii="Verdana" w:eastAsia="Calibri" w:hAnsi="Verdana" w:cs="Arial"/>
          <w:sz w:val="20"/>
          <w:szCs w:val="20"/>
          <w:lang w:val="es-ES"/>
        </w:rPr>
      </w:pPr>
    </w:p>
    <w:p w14:paraId="6FEA7941" w14:textId="77777777" w:rsidR="005C7D80" w:rsidRPr="00666004" w:rsidRDefault="005C7D80" w:rsidP="005C7D80">
      <w:pPr>
        <w:spacing w:before="120" w:after="120" w:line="276" w:lineRule="auto"/>
        <w:jc w:val="both"/>
        <w:rPr>
          <w:rFonts w:ascii="Verdana" w:eastAsia="Calibri" w:hAnsi="Verdana" w:cs="Arial"/>
          <w:b/>
          <w:bCs/>
        </w:rPr>
      </w:pPr>
      <w:r w:rsidRPr="00666004">
        <w:rPr>
          <w:rFonts w:ascii="Verdana" w:eastAsia="Calibri" w:hAnsi="Verdana" w:cs="Arial"/>
          <w:b/>
          <w:bCs/>
          <w:lang w:val="es-ES" w:eastAsia="es-ES"/>
        </w:rPr>
        <w:t>GUÍA PARA DETERMINAR Y VERIFICAR LA CAPACIDAD RESIDUAL DEL PROPONENTE EN LOS PROCESOS DE CONTRATACIÓN DE OBRA PÚBLICA – Cálculo de la Capacidad Residual del Proponente – Capacidad de Organización</w:t>
      </w:r>
    </w:p>
    <w:p w14:paraId="113A95D2" w14:textId="77777777" w:rsidR="005C7D80" w:rsidRDefault="005C7D80" w:rsidP="005C7D80">
      <w:pPr>
        <w:spacing w:after="0" w:line="240" w:lineRule="auto"/>
        <w:jc w:val="both"/>
        <w:rPr>
          <w:rFonts w:ascii="Verdana" w:eastAsia="Calibri" w:hAnsi="Verdana" w:cs="Arial"/>
          <w:sz w:val="20"/>
          <w:szCs w:val="20"/>
          <w:lang w:val="es-ES"/>
        </w:rPr>
      </w:pPr>
      <w:r w:rsidRPr="00666004">
        <w:rPr>
          <w:rFonts w:ascii="Verdana" w:eastAsia="Calibri" w:hAnsi="Verdana" w:cs="Arial"/>
          <w:sz w:val="20"/>
          <w:szCs w:val="20"/>
          <w:lang w:val="es-ES"/>
        </w:rPr>
        <w:t>[…] 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 i) La lista de los Contratos en Ejecución, así como el valor y plazo de tales contratos. ii) La lista de los Contratos en Ejecución, suscritos por sociedades, consorcios o uniones temporales, en los cuales el proponente tenga participación, así como el valor y plazo de tales contratos. iii) 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CD2B7DF" w14:textId="77777777" w:rsidR="005C7D80" w:rsidRDefault="005C7D80" w:rsidP="0021021E">
      <w:pPr>
        <w:spacing w:after="0" w:line="240" w:lineRule="auto"/>
        <w:rPr>
          <w:rFonts w:ascii="Verdana" w:eastAsia="Calibri" w:hAnsi="Verdana" w:cs="Arial"/>
          <w:b/>
          <w:bCs/>
          <w:color w:val="7030A0"/>
          <w:lang w:val="es-ES" w:eastAsia="es-ES"/>
        </w:rPr>
      </w:pPr>
    </w:p>
    <w:p w14:paraId="2B7E3A99" w14:textId="77777777" w:rsidR="0021021E" w:rsidRDefault="0021021E" w:rsidP="0021021E">
      <w:pPr>
        <w:spacing w:after="0" w:line="240" w:lineRule="auto"/>
        <w:rPr>
          <w:rFonts w:ascii="Verdana" w:eastAsia="Calibri" w:hAnsi="Verdana" w:cs="Arial"/>
          <w:b/>
          <w:bCs/>
          <w:color w:val="7030A0"/>
          <w:lang w:val="es-ES" w:eastAsia="es-ES"/>
        </w:rPr>
      </w:pPr>
    </w:p>
    <w:p w14:paraId="249AC292" w14:textId="77777777" w:rsidR="0021021E" w:rsidRDefault="0021021E" w:rsidP="0021021E">
      <w:pPr>
        <w:spacing w:after="0" w:line="240" w:lineRule="auto"/>
        <w:rPr>
          <w:rFonts w:ascii="Verdana" w:eastAsia="Calibri" w:hAnsi="Verdana" w:cs="Arial"/>
          <w:b/>
          <w:bCs/>
          <w:color w:val="7030A0"/>
          <w:lang w:val="es-ES" w:eastAsia="es-ES"/>
        </w:rPr>
      </w:pPr>
    </w:p>
    <w:p w14:paraId="60271D59" w14:textId="77777777" w:rsidR="0021021E" w:rsidRDefault="0021021E" w:rsidP="0021021E">
      <w:pPr>
        <w:spacing w:after="0" w:line="240" w:lineRule="auto"/>
        <w:rPr>
          <w:rFonts w:ascii="Verdana" w:eastAsia="Calibri" w:hAnsi="Verdana" w:cs="Arial"/>
          <w:b/>
          <w:bCs/>
          <w:color w:val="7030A0"/>
          <w:lang w:val="es-ES" w:eastAsia="es-ES"/>
        </w:rPr>
      </w:pPr>
    </w:p>
    <w:p w14:paraId="31CE4738" w14:textId="77777777" w:rsidR="00F57E86" w:rsidRDefault="00F57E86" w:rsidP="00C506EE">
      <w:pPr>
        <w:spacing w:after="0" w:line="240" w:lineRule="auto"/>
        <w:rPr>
          <w:rFonts w:ascii="Verdana" w:eastAsia="Geomanist Light" w:hAnsi="Verdana" w:cs="Arial"/>
          <w:color w:val="000000" w:themeColor="text1"/>
          <w:lang w:val="es-MX"/>
        </w:rPr>
      </w:pPr>
    </w:p>
    <w:p w14:paraId="7E2C3C90" w14:textId="77777777" w:rsidR="0021021E" w:rsidRDefault="0021021E" w:rsidP="00C506EE">
      <w:pPr>
        <w:spacing w:after="0" w:line="240" w:lineRule="auto"/>
        <w:rPr>
          <w:rFonts w:ascii="Verdana" w:eastAsia="Geomanist Light" w:hAnsi="Verdana" w:cs="Arial"/>
          <w:color w:val="000000" w:themeColor="text1"/>
          <w:lang w:val="es-MX"/>
        </w:rPr>
      </w:pPr>
    </w:p>
    <w:p w14:paraId="151FC02B" w14:textId="77777777" w:rsidR="0021021E" w:rsidRDefault="0021021E" w:rsidP="00C506EE">
      <w:pPr>
        <w:spacing w:after="0" w:line="240" w:lineRule="auto"/>
        <w:rPr>
          <w:rFonts w:ascii="Verdana" w:eastAsia="Geomanist Light" w:hAnsi="Verdana" w:cs="Arial"/>
          <w:color w:val="000000" w:themeColor="text1"/>
          <w:lang w:val="es-MX"/>
        </w:rPr>
      </w:pPr>
    </w:p>
    <w:p w14:paraId="245187B7" w14:textId="77777777" w:rsidR="005C7D80" w:rsidRDefault="005C7D80" w:rsidP="00C506EE">
      <w:pPr>
        <w:spacing w:after="0" w:line="240" w:lineRule="auto"/>
        <w:rPr>
          <w:rFonts w:ascii="Verdana" w:eastAsia="Geomanist Light" w:hAnsi="Verdana" w:cs="Arial"/>
          <w:color w:val="000000" w:themeColor="text1"/>
          <w:lang w:val="es-MX"/>
        </w:rPr>
      </w:pPr>
    </w:p>
    <w:p w14:paraId="5B408859" w14:textId="77777777" w:rsidR="005C7D80" w:rsidRDefault="005C7D80" w:rsidP="00C506EE">
      <w:pPr>
        <w:spacing w:after="0" w:line="240" w:lineRule="auto"/>
        <w:rPr>
          <w:rFonts w:ascii="Verdana" w:eastAsia="Geomanist Light" w:hAnsi="Verdana" w:cs="Arial"/>
          <w:color w:val="000000" w:themeColor="text1"/>
          <w:lang w:val="es-MX"/>
        </w:rPr>
      </w:pPr>
    </w:p>
    <w:p w14:paraId="60EBF7A0" w14:textId="77777777" w:rsidR="00351CA2" w:rsidRDefault="00351CA2" w:rsidP="00C506EE">
      <w:pPr>
        <w:spacing w:after="0" w:line="240" w:lineRule="auto"/>
        <w:rPr>
          <w:rFonts w:ascii="Verdana" w:eastAsia="Geomanist Light" w:hAnsi="Verdana" w:cs="Arial"/>
          <w:color w:val="000000" w:themeColor="text1"/>
          <w:lang w:val="es-MX"/>
        </w:rPr>
      </w:pPr>
    </w:p>
    <w:p w14:paraId="55BE5E2F" w14:textId="77777777" w:rsidR="00351CA2" w:rsidRDefault="00351CA2" w:rsidP="00C506EE">
      <w:pPr>
        <w:spacing w:after="0" w:line="240" w:lineRule="auto"/>
        <w:rPr>
          <w:rFonts w:ascii="Verdana" w:eastAsia="Geomanist Light" w:hAnsi="Verdana" w:cs="Arial"/>
          <w:color w:val="000000" w:themeColor="text1"/>
          <w:lang w:val="es-MX"/>
        </w:rPr>
      </w:pPr>
    </w:p>
    <w:p w14:paraId="76E1A76F" w14:textId="77777777" w:rsidR="00F57E86" w:rsidRDefault="00F57E86" w:rsidP="00C506EE">
      <w:pPr>
        <w:spacing w:after="0" w:line="240" w:lineRule="auto"/>
        <w:rPr>
          <w:rFonts w:ascii="Verdana" w:eastAsia="Geomanist Light" w:hAnsi="Verdana" w:cs="Arial"/>
          <w:color w:val="000000" w:themeColor="text1"/>
          <w:lang w:val="es-MX"/>
        </w:rPr>
      </w:pPr>
    </w:p>
    <w:p w14:paraId="0710B5A9" w14:textId="518F05E3" w:rsidR="00C506EE" w:rsidRPr="00593A5F" w:rsidRDefault="004D0D60" w:rsidP="00C506EE">
      <w:pPr>
        <w:spacing w:after="0" w:line="240" w:lineRule="auto"/>
        <w:rPr>
          <w:rFonts w:ascii="Verdana" w:eastAsia="Geomanist Light" w:hAnsi="Verdana" w:cs="Arial"/>
          <w:color w:val="201F1E"/>
          <w:lang w:val="es-MX"/>
        </w:rPr>
      </w:pPr>
      <w:r w:rsidRPr="004D0D60">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60EB1EAA" wp14:editId="549A679E">
            <wp:simplePos x="0" y="0"/>
            <wp:positionH relativeFrom="column">
              <wp:posOffset>2806065</wp:posOffset>
            </wp:positionH>
            <wp:positionV relativeFrom="paragraph">
              <wp:posOffset>8890</wp:posOffset>
            </wp:positionV>
            <wp:extent cx="2971800" cy="847725"/>
            <wp:effectExtent l="0" t="0" r="0" b="9525"/>
            <wp:wrapNone/>
            <wp:docPr id="1785839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395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71800" cy="847725"/>
                    </a:xfrm>
                    <a:prstGeom prst="rect">
                      <a:avLst/>
                    </a:prstGeom>
                  </pic:spPr>
                </pic:pic>
              </a:graphicData>
            </a:graphic>
          </wp:anchor>
        </w:drawing>
      </w:r>
      <w:r w:rsidR="00C506EE"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30 de diciembre de 2024</w:t>
      </w:r>
      <w:r w:rsidRPr="004D0D60">
        <w:rPr>
          <w:noProof/>
        </w:rPr>
        <w:t xml:space="preserve"> </w:t>
      </w:r>
    </w:p>
    <w:p w14:paraId="2715D7D5" w14:textId="65666562" w:rsidR="00C506EE" w:rsidRPr="00593A5F" w:rsidRDefault="00C506EE" w:rsidP="00C506EE">
      <w:pPr>
        <w:spacing w:after="0" w:line="240" w:lineRule="auto"/>
        <w:jc w:val="both"/>
        <w:rPr>
          <w:rFonts w:ascii="Verdana" w:eastAsia="Calibri" w:hAnsi="Verdana" w:cs="Arial"/>
          <w:color w:val="000000"/>
          <w:lang w:val="es-ES"/>
        </w:rPr>
      </w:pPr>
    </w:p>
    <w:p w14:paraId="0C05CC24" w14:textId="77777777" w:rsidR="00C506EE" w:rsidRPr="00B96799" w:rsidRDefault="00C506EE" w:rsidP="00C506EE">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557538AD" w14:textId="77777777" w:rsidR="00C506EE" w:rsidRPr="00B96799" w:rsidRDefault="00C506EE" w:rsidP="00C506EE">
      <w:pPr>
        <w:spacing w:after="0" w:line="240" w:lineRule="auto"/>
        <w:rPr>
          <w:rFonts w:ascii="Verdana" w:eastAsia="Calibri" w:hAnsi="Verdana" w:cs="Arial"/>
          <w:b/>
          <w:lang w:val="es-ES_tradnl" w:eastAsia="es-ES_tradnl"/>
        </w:rPr>
      </w:pPr>
      <w:r w:rsidRPr="001F4AAB">
        <w:rPr>
          <w:rFonts w:ascii="Verdana" w:eastAsia="Calibri" w:hAnsi="Verdana" w:cs="Arial"/>
          <w:b/>
          <w:lang w:val="es-ES_tradnl" w:eastAsia="es-ES_tradnl"/>
        </w:rPr>
        <w:t>Sindy Carolina Ortiz Jaimes</w:t>
      </w:r>
    </w:p>
    <w:p w14:paraId="0D0C1626" w14:textId="77777777" w:rsidR="00C506EE" w:rsidRPr="00C506EE" w:rsidRDefault="00C506EE" w:rsidP="00C506EE">
      <w:pPr>
        <w:spacing w:after="0" w:line="240" w:lineRule="auto"/>
        <w:rPr>
          <w:rFonts w:ascii="Verdana" w:eastAsia="Calibri" w:hAnsi="Verdana" w:cs="Arial"/>
          <w:color w:val="4472C4" w:themeColor="accent1"/>
          <w:u w:val="single"/>
          <w:lang w:val="es-ES" w:eastAsia="es-ES"/>
        </w:rPr>
      </w:pPr>
      <w:hyperlink r:id="rId12" w:history="1">
        <w:r w:rsidRPr="00C506EE">
          <w:rPr>
            <w:rStyle w:val="Hipervnculo"/>
            <w:rFonts w:ascii="Verdana" w:eastAsia="Calibri" w:hAnsi="Verdana" w:cs="Arial"/>
            <w:color w:val="4472C4" w:themeColor="accent1"/>
            <w:lang w:val="es-ES" w:eastAsia="es-ES"/>
          </w:rPr>
          <w:t>sindyortiz299@gmail.com</w:t>
        </w:r>
      </w:hyperlink>
    </w:p>
    <w:p w14:paraId="23BA665B" w14:textId="77777777" w:rsidR="00C506EE" w:rsidRPr="00B96799" w:rsidRDefault="00C506EE" w:rsidP="00C506EE">
      <w:pPr>
        <w:spacing w:after="0" w:line="240" w:lineRule="auto"/>
        <w:rPr>
          <w:rFonts w:ascii="Verdana" w:eastAsia="Calibri" w:hAnsi="Verdana" w:cs="Arial"/>
          <w:b/>
          <w:bCs/>
          <w:lang w:val="es-ES" w:eastAsia="es-ES"/>
        </w:rPr>
      </w:pPr>
      <w:r>
        <w:rPr>
          <w:rFonts w:ascii="Verdana" w:eastAsia="Calibri" w:hAnsi="Verdana" w:cs="Arial"/>
          <w:lang w:val="es-ES" w:eastAsia="es-ES"/>
        </w:rPr>
        <w:t>Guaca</w:t>
      </w:r>
      <w:r w:rsidRPr="00B96799">
        <w:rPr>
          <w:rFonts w:ascii="Verdana" w:eastAsia="Calibri" w:hAnsi="Verdana" w:cs="Arial"/>
          <w:lang w:val="es-ES" w:eastAsia="es-ES"/>
        </w:rPr>
        <w:t xml:space="preserve">, </w:t>
      </w:r>
      <w:r>
        <w:rPr>
          <w:rFonts w:ascii="Verdana" w:eastAsia="Calibri" w:hAnsi="Verdana" w:cs="Arial"/>
          <w:lang w:val="es-ES" w:eastAsia="es-ES"/>
        </w:rPr>
        <w:t>Santander</w:t>
      </w:r>
    </w:p>
    <w:p w14:paraId="40F56D87" w14:textId="77777777" w:rsidR="00C506EE" w:rsidRPr="00593A5F" w:rsidRDefault="00C506EE" w:rsidP="00C506EE">
      <w:pPr>
        <w:spacing w:after="0" w:line="240" w:lineRule="auto"/>
        <w:rPr>
          <w:rFonts w:ascii="Verdana" w:eastAsia="Calibri" w:hAnsi="Verdana" w:cs="Arial"/>
          <w:b/>
          <w:bCs/>
          <w:color w:val="000000"/>
          <w:lang w:val="es-ES_tradnl" w:eastAsia="es-ES_tradnl"/>
        </w:rPr>
      </w:pPr>
    </w:p>
    <w:p w14:paraId="22779DED" w14:textId="77777777" w:rsidR="00C506EE" w:rsidRPr="00593A5F" w:rsidRDefault="00C506EE" w:rsidP="00C506E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506EE" w:rsidRPr="00593A5F" w14:paraId="2D2375D4" w14:textId="77777777" w:rsidTr="00DE47AF">
        <w:trPr>
          <w:trHeight w:val="884"/>
        </w:trPr>
        <w:tc>
          <w:tcPr>
            <w:tcW w:w="2689" w:type="dxa"/>
          </w:tcPr>
          <w:p w14:paraId="61F24451" w14:textId="77777777" w:rsidR="00C506EE" w:rsidRPr="00C00976" w:rsidRDefault="00C506EE" w:rsidP="00DE47AF">
            <w:pPr>
              <w:jc w:val="both"/>
              <w:rPr>
                <w:rFonts w:ascii="Verdana" w:eastAsia="Calibri" w:hAnsi="Verdana" w:cs="Arial"/>
                <w:b/>
                <w:bCs/>
                <w:color w:val="7030A0"/>
                <w:lang w:val="es-ES_tradnl" w:eastAsia="es-ES_tradnl"/>
              </w:rPr>
            </w:pPr>
          </w:p>
        </w:tc>
        <w:tc>
          <w:tcPr>
            <w:tcW w:w="6100" w:type="dxa"/>
          </w:tcPr>
          <w:p w14:paraId="2633D29C" w14:textId="77777777" w:rsidR="00C506EE" w:rsidRPr="002363FC" w:rsidRDefault="00C506EE" w:rsidP="00DE47AF">
            <w:pPr>
              <w:jc w:val="both"/>
              <w:rPr>
                <w:rFonts w:ascii="Verdana" w:eastAsia="Calibri" w:hAnsi="Verdana" w:cs="Arial"/>
                <w:b/>
                <w:bCs/>
                <w:lang w:val="es-ES" w:eastAsia="es-ES"/>
              </w:rPr>
            </w:pPr>
            <w:r w:rsidRPr="002363FC">
              <w:rPr>
                <w:rFonts w:ascii="Verdana" w:eastAsia="Calibri" w:hAnsi="Verdana" w:cs="Arial"/>
                <w:b/>
                <w:bCs/>
                <w:lang w:val="es-ES" w:eastAsia="es-ES"/>
              </w:rPr>
              <w:t>Concepto C-899 de 2024</w:t>
            </w:r>
          </w:p>
        </w:tc>
      </w:tr>
      <w:tr w:rsidR="00C506EE" w:rsidRPr="00593A5F" w14:paraId="4B5F4E53" w14:textId="77777777" w:rsidTr="00DE47AF">
        <w:trPr>
          <w:trHeight w:val="884"/>
        </w:trPr>
        <w:tc>
          <w:tcPr>
            <w:tcW w:w="2689" w:type="dxa"/>
          </w:tcPr>
          <w:p w14:paraId="446C009C" w14:textId="77777777" w:rsidR="00C506EE" w:rsidRPr="00593A5F" w:rsidRDefault="00C506EE" w:rsidP="00DE47A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E603C28" w14:textId="77777777" w:rsidR="00C506EE" w:rsidRPr="00C50946" w:rsidRDefault="00C506EE" w:rsidP="00DE47AF">
            <w:pPr>
              <w:spacing w:line="276" w:lineRule="auto"/>
              <w:jc w:val="both"/>
              <w:rPr>
                <w:rFonts w:ascii="Verdana" w:eastAsia="Calibri" w:hAnsi="Verdana" w:cs="Arial"/>
                <w:lang w:val="es-ES" w:eastAsia="es-ES"/>
              </w:rPr>
            </w:pPr>
            <w:r w:rsidRPr="00C50946">
              <w:rPr>
                <w:rFonts w:ascii="Verdana" w:eastAsia="Calibri" w:hAnsi="Verdana" w:cs="Arial"/>
                <w:lang w:val="es-ES" w:eastAsia="es-ES"/>
              </w:rPr>
              <w:t>REQUISITOS HABILITANTES – Noción / REQUISITOS HABILITANTES – Autonomía / CAPACIDAD FINANCIERA Y ORGANIZACIONAL – Definición / RUP – Renovación – Efectos – Validez de la información antigua / DECRETO 1041 DE 2022 – Finalidad – Reactivación económica / DECRETO 1041 DE 2022 – Información – Capacidad financiera – Capacidad organizacional / MEJOR AÑO FISCAL – Decreto 399 de 2021– Capacidad financiera – Capacidad organizacional – Interpretación</w:t>
            </w:r>
            <w:r>
              <w:rPr>
                <w:rFonts w:ascii="Verdana" w:eastAsia="Calibri" w:hAnsi="Verdana" w:cs="Arial"/>
                <w:lang w:val="es-ES" w:eastAsia="es-ES"/>
              </w:rPr>
              <w:t xml:space="preserve"> / </w:t>
            </w:r>
            <w:r w:rsidRPr="00A44943">
              <w:rPr>
                <w:rFonts w:ascii="Verdana" w:eastAsia="Calibri" w:hAnsi="Verdana" w:cs="Arial"/>
                <w:lang w:val="es-ES" w:eastAsia="es-ES"/>
              </w:rPr>
              <w:t>CAPACIDAD RESIDUAL – Cálculo – Capacidad de Organización / GUÍA PARA DETERMINAR Y VERIFICAR LA CAPACIDAD RESIDUAL DEL PROPONENTE EN LOS PROCESOS DE CONTRATACIÓN DE OBRA PÚBLICA – Cálculo de la Capacidad Residual del Proponente – Capacidad de Organización</w:t>
            </w:r>
          </w:p>
          <w:p w14:paraId="4CF0C26B" w14:textId="77777777" w:rsidR="00C506EE" w:rsidRPr="00593A5F" w:rsidRDefault="00C506EE" w:rsidP="00DE47AF">
            <w:pPr>
              <w:spacing w:line="276" w:lineRule="auto"/>
              <w:jc w:val="both"/>
              <w:rPr>
                <w:rFonts w:ascii="Verdana" w:eastAsia="Calibri" w:hAnsi="Verdana" w:cs="Arial"/>
                <w:lang w:val="es-ES" w:eastAsia="es-ES"/>
              </w:rPr>
            </w:pPr>
          </w:p>
        </w:tc>
      </w:tr>
      <w:tr w:rsidR="00C506EE" w:rsidRPr="002363FC" w14:paraId="483E1439" w14:textId="77777777" w:rsidTr="00DE47AF">
        <w:tc>
          <w:tcPr>
            <w:tcW w:w="2689" w:type="dxa"/>
          </w:tcPr>
          <w:p w14:paraId="224C9C9F" w14:textId="77777777" w:rsidR="00C506EE" w:rsidRPr="002363FC" w:rsidRDefault="00C506EE" w:rsidP="00DE47AF">
            <w:pPr>
              <w:jc w:val="both"/>
              <w:rPr>
                <w:rFonts w:ascii="Verdana" w:eastAsia="Calibri" w:hAnsi="Verdana" w:cs="Arial"/>
                <w:b/>
                <w:lang w:val="es-ES_tradnl" w:eastAsia="es-ES_tradnl"/>
              </w:rPr>
            </w:pPr>
            <w:r w:rsidRPr="002363FC">
              <w:rPr>
                <w:rFonts w:ascii="Verdana" w:eastAsia="Calibri" w:hAnsi="Verdana" w:cs="Arial"/>
                <w:b/>
                <w:lang w:val="es-ES_tradnl" w:eastAsia="es-ES_tradnl"/>
              </w:rPr>
              <w:t>Radicación:</w:t>
            </w:r>
            <w:r w:rsidRPr="002363FC">
              <w:rPr>
                <w:rFonts w:ascii="Verdana" w:eastAsia="Calibri" w:hAnsi="Verdana" w:cs="Arial"/>
                <w:lang w:val="es-ES_tradnl" w:eastAsia="es-ES_tradnl"/>
              </w:rPr>
              <w:t xml:space="preserve">               </w:t>
            </w:r>
          </w:p>
        </w:tc>
        <w:tc>
          <w:tcPr>
            <w:tcW w:w="6100" w:type="dxa"/>
          </w:tcPr>
          <w:p w14:paraId="70214AC3" w14:textId="77777777" w:rsidR="00C506EE" w:rsidRPr="002363FC" w:rsidRDefault="00C506EE" w:rsidP="00DE47AF">
            <w:pPr>
              <w:jc w:val="both"/>
              <w:rPr>
                <w:rFonts w:ascii="Verdana" w:eastAsia="Calibri" w:hAnsi="Verdana" w:cs="Arial"/>
                <w:lang w:val="es-ES_tradnl" w:eastAsia="es-ES_tradnl"/>
              </w:rPr>
            </w:pPr>
            <w:r w:rsidRPr="002363FC">
              <w:rPr>
                <w:rFonts w:ascii="Verdana" w:eastAsia="Calibri" w:hAnsi="Verdana" w:cs="Arial"/>
                <w:lang w:val="es-ES_tradnl" w:eastAsia="es-ES_tradnl"/>
              </w:rPr>
              <w:t>Respuesta a consulta con radicado No. P20241120011685</w:t>
            </w:r>
          </w:p>
        </w:tc>
      </w:tr>
    </w:tbl>
    <w:p w14:paraId="109AB271" w14:textId="77777777" w:rsidR="00C506EE" w:rsidRPr="002363FC" w:rsidRDefault="00C506EE" w:rsidP="00C506EE">
      <w:pPr>
        <w:spacing w:after="0" w:line="240" w:lineRule="auto"/>
        <w:jc w:val="both"/>
        <w:rPr>
          <w:rFonts w:ascii="Verdana" w:eastAsia="Calibri" w:hAnsi="Verdana" w:cs="Arial"/>
          <w:lang w:val="es-ES_tradnl" w:eastAsia="es-ES_tradnl"/>
        </w:rPr>
      </w:pPr>
    </w:p>
    <w:p w14:paraId="19BC4376" w14:textId="77777777" w:rsidR="00C506EE" w:rsidRPr="002363FC" w:rsidRDefault="00C506EE" w:rsidP="00C506EE">
      <w:pPr>
        <w:spacing w:after="0" w:line="240" w:lineRule="auto"/>
        <w:jc w:val="both"/>
        <w:rPr>
          <w:rFonts w:ascii="Verdana" w:eastAsia="Calibri" w:hAnsi="Verdana" w:cs="Arial"/>
          <w:lang w:val="es-ES_tradnl" w:eastAsia="es-ES_tradnl"/>
        </w:rPr>
      </w:pPr>
    </w:p>
    <w:p w14:paraId="6674D85C" w14:textId="77777777" w:rsidR="00C506EE" w:rsidRPr="002363FC" w:rsidRDefault="00C506EE" w:rsidP="00C506EE">
      <w:pPr>
        <w:spacing w:after="0" w:line="276" w:lineRule="auto"/>
        <w:jc w:val="both"/>
        <w:rPr>
          <w:rFonts w:ascii="Verdana" w:eastAsia="Calibri" w:hAnsi="Verdana" w:cs="Arial"/>
          <w:lang w:val="es-ES" w:eastAsia="es-ES"/>
        </w:rPr>
      </w:pPr>
      <w:r w:rsidRPr="002363FC">
        <w:rPr>
          <w:rFonts w:ascii="Verdana" w:eastAsia="Calibri" w:hAnsi="Verdana" w:cs="Arial"/>
          <w:lang w:val="es-ES" w:eastAsia="es-ES"/>
        </w:rPr>
        <w:t xml:space="preserve">Estimada señora Sindy Carolina: </w:t>
      </w:r>
    </w:p>
    <w:p w14:paraId="2B9D411A" w14:textId="77777777" w:rsidR="00C506EE" w:rsidRPr="002363FC" w:rsidRDefault="00C506EE" w:rsidP="00C506EE">
      <w:pPr>
        <w:tabs>
          <w:tab w:val="left" w:pos="3768"/>
        </w:tabs>
        <w:spacing w:after="0" w:line="276" w:lineRule="auto"/>
        <w:jc w:val="both"/>
        <w:rPr>
          <w:rFonts w:ascii="Verdana" w:eastAsia="Calibri" w:hAnsi="Verdana" w:cs="Arial"/>
          <w:lang w:val="es-ES" w:eastAsia="es-ES"/>
        </w:rPr>
      </w:pPr>
      <w:r w:rsidRPr="002363FC">
        <w:rPr>
          <w:rFonts w:ascii="Verdana" w:eastAsia="Calibri" w:hAnsi="Verdana" w:cs="Arial"/>
          <w:lang w:val="es-ES" w:eastAsia="es-ES"/>
        </w:rPr>
        <w:tab/>
      </w:r>
    </w:p>
    <w:p w14:paraId="4AD749B4" w14:textId="77777777" w:rsidR="00C506EE" w:rsidRPr="002363FC" w:rsidRDefault="00C506EE" w:rsidP="00C506EE">
      <w:pPr>
        <w:spacing w:after="0" w:line="276" w:lineRule="auto"/>
        <w:jc w:val="both"/>
        <w:rPr>
          <w:rFonts w:ascii="Verdana" w:eastAsia="Calibri" w:hAnsi="Verdana" w:cs="Arial"/>
          <w:lang w:val="es-ES" w:eastAsia="es-ES"/>
        </w:rPr>
      </w:pPr>
      <w:r w:rsidRPr="002363FC">
        <w:rPr>
          <w:rFonts w:ascii="Verdana" w:eastAsia="Calibri" w:hAnsi="Verdana" w:cs="Arial"/>
          <w:lang w:val="es-ES" w:eastAsia="es-ES"/>
        </w:rPr>
        <w:t>En ejercicio de la competencia otorgada por los artículos 3, numeral 5º, y 11, numeral 8º, del Decreto Ley 4170 de 2011,</w:t>
      </w:r>
      <w:r w:rsidRPr="002363FC">
        <w:rPr>
          <w:rFonts w:ascii="Verdana" w:eastAsia="Arial MT" w:hAnsi="Verdana" w:cs="Arial MT"/>
          <w:lang w:val="es-ES" w:eastAsia="es-ES"/>
        </w:rPr>
        <w:t xml:space="preserve"> </w:t>
      </w:r>
      <w:r w:rsidRPr="002363FC">
        <w:rPr>
          <w:rFonts w:ascii="Verdana" w:hAnsi="Verdana" w:cs="Arial"/>
        </w:rPr>
        <w:t xml:space="preserve">así como lo establecido en el artículo 4 de la Resolución 1707 de 2018 expedida por esta Entidad, </w:t>
      </w:r>
      <w:r w:rsidRPr="002363FC">
        <w:rPr>
          <w:rFonts w:ascii="Verdana" w:eastAsia="Calibri" w:hAnsi="Verdana" w:cs="Arial"/>
          <w:lang w:val="es-ES" w:eastAsia="es-ES"/>
        </w:rPr>
        <w:t xml:space="preserve">la Agencia Nacional de Contratación Pública – Colombia Compra Eficiente– responde su solicitud de consulta de fecha 24 de noviembre de 2024, en la cual manifiesta lo siguiente: </w:t>
      </w:r>
    </w:p>
    <w:p w14:paraId="40334E44" w14:textId="77777777" w:rsidR="00C506EE" w:rsidRPr="00272A7B" w:rsidRDefault="00C506EE" w:rsidP="00C506EE">
      <w:pPr>
        <w:pStyle w:val="Prrafodelista"/>
        <w:tabs>
          <w:tab w:val="left" w:pos="142"/>
          <w:tab w:val="left" w:pos="284"/>
        </w:tabs>
        <w:spacing w:line="276" w:lineRule="auto"/>
        <w:ind w:left="0"/>
        <w:jc w:val="both"/>
        <w:rPr>
          <w:rFonts w:ascii="Verdana" w:eastAsia="Century Gothic" w:hAnsi="Verdana" w:cs="Century Gothic"/>
          <w:b/>
          <w:bCs/>
        </w:rPr>
      </w:pPr>
    </w:p>
    <w:p w14:paraId="0B4E524F" w14:textId="77777777" w:rsidR="00C506EE" w:rsidRPr="003739EA" w:rsidRDefault="00C506EE" w:rsidP="00C506EE">
      <w:pPr>
        <w:spacing w:after="0" w:line="240" w:lineRule="auto"/>
        <w:ind w:left="709" w:right="709"/>
        <w:jc w:val="both"/>
        <w:rPr>
          <w:rFonts w:ascii="Verdana" w:hAnsi="Verdana" w:cs="Arial"/>
          <w:sz w:val="20"/>
          <w:szCs w:val="20"/>
          <w:shd w:val="clear" w:color="auto" w:fill="FFFFFF"/>
        </w:rPr>
      </w:pPr>
      <w:bookmarkStart w:id="0" w:name="_Hlk95313578"/>
      <w:r w:rsidRPr="003739EA">
        <w:rPr>
          <w:rFonts w:ascii="Verdana" w:eastAsia="Century Gothic" w:hAnsi="Verdana" w:cs="Century Gothic"/>
          <w:sz w:val="20"/>
          <w:szCs w:val="20"/>
          <w:lang w:val="es-ES"/>
        </w:rPr>
        <w:lastRenderedPageBreak/>
        <w:t xml:space="preserve">“[…] </w:t>
      </w:r>
      <w:r w:rsidRPr="003739EA">
        <w:rPr>
          <w:rFonts w:ascii="Verdana" w:hAnsi="Verdana" w:cs="Arial"/>
          <w:sz w:val="20"/>
          <w:szCs w:val="20"/>
          <w:shd w:val="clear" w:color="auto" w:fill="FFFFFF"/>
        </w:rPr>
        <w:t xml:space="preserve">respetuosamente solicito a Colombia Compra Eficiente emitir un concepto técnico en relación con la aplicación de los criterios de evaluación financiera y organizacional en los procesos de contratación pública. </w:t>
      </w:r>
    </w:p>
    <w:p w14:paraId="56B85EBD" w14:textId="77777777" w:rsidR="00C506EE" w:rsidRPr="003739EA" w:rsidRDefault="00C506EE" w:rsidP="00C506EE">
      <w:pPr>
        <w:spacing w:after="0" w:line="240" w:lineRule="auto"/>
        <w:ind w:left="709" w:right="709"/>
        <w:jc w:val="both"/>
        <w:rPr>
          <w:rFonts w:ascii="Verdana" w:hAnsi="Verdana" w:cs="Arial"/>
          <w:sz w:val="20"/>
          <w:szCs w:val="20"/>
          <w:shd w:val="clear" w:color="auto" w:fill="FFFFFF"/>
        </w:rPr>
      </w:pPr>
    </w:p>
    <w:p w14:paraId="7A1761C8" w14:textId="77777777" w:rsidR="00C506EE" w:rsidRPr="003739EA" w:rsidRDefault="00C506EE" w:rsidP="00C506EE">
      <w:pPr>
        <w:spacing w:after="0" w:line="240" w:lineRule="auto"/>
        <w:ind w:left="709" w:right="709"/>
        <w:jc w:val="both"/>
        <w:rPr>
          <w:rFonts w:ascii="Verdana" w:hAnsi="Verdana" w:cs="Arial"/>
          <w:sz w:val="20"/>
          <w:szCs w:val="20"/>
          <w:shd w:val="clear" w:color="auto" w:fill="FFFFFF"/>
          <w:lang w:val="es-ES"/>
        </w:rPr>
      </w:pPr>
      <w:r w:rsidRPr="003739EA">
        <w:rPr>
          <w:rFonts w:ascii="Verdana" w:hAnsi="Verdana" w:cs="Arial"/>
          <w:sz w:val="20"/>
          <w:szCs w:val="20"/>
          <w:shd w:val="clear" w:color="auto" w:fill="FFFFFF"/>
        </w:rPr>
        <w:t>Específicamente, deseo conocer si, al momento de evaluar los índices financieros y organizacionales de un proponente, es obligatorio considerar únicamente la información financiera correspondiente al año fiscal inmediatamente anterior, o si es permitido evaluar el mejor año fiscal dentro de los últimos cinco años reportados por el proponente.</w:t>
      </w:r>
      <w:r w:rsidRPr="003739EA">
        <w:rPr>
          <w:rFonts w:ascii="Verdana" w:hAnsi="Verdana" w:cs="Arial"/>
          <w:sz w:val="20"/>
          <w:szCs w:val="20"/>
          <w:shd w:val="clear" w:color="auto" w:fill="FFFFFF"/>
          <w:lang w:val="es-ES"/>
        </w:rPr>
        <w:t xml:space="preserve"> </w:t>
      </w:r>
    </w:p>
    <w:p w14:paraId="6E0F2FC9" w14:textId="77777777" w:rsidR="00C506EE" w:rsidRPr="003739EA" w:rsidRDefault="00C506EE" w:rsidP="00C506EE">
      <w:pPr>
        <w:spacing w:after="0" w:line="240" w:lineRule="auto"/>
        <w:ind w:left="709" w:right="709"/>
        <w:jc w:val="both"/>
        <w:rPr>
          <w:rFonts w:ascii="Verdana" w:eastAsia="Century Gothic" w:hAnsi="Verdana" w:cs="Century Gothic"/>
          <w:sz w:val="20"/>
          <w:szCs w:val="20"/>
          <w:lang w:val="es-ES"/>
        </w:rPr>
      </w:pPr>
      <w:r w:rsidRPr="003739EA">
        <w:rPr>
          <w:rStyle w:val="normaltextrun"/>
          <w:rFonts w:ascii="Verdana" w:hAnsi="Verdana" w:cs="Arial"/>
          <w:sz w:val="20"/>
          <w:szCs w:val="20"/>
          <w:shd w:val="clear" w:color="auto" w:fill="FFFFFF"/>
          <w:lang w:val="es-ES"/>
        </w:rPr>
        <w:t>[…]</w:t>
      </w:r>
      <w:r w:rsidRPr="003739EA">
        <w:rPr>
          <w:rFonts w:ascii="Verdana" w:eastAsia="Century Gothic" w:hAnsi="Verdana" w:cs="Century Gothic"/>
          <w:sz w:val="20"/>
          <w:szCs w:val="20"/>
          <w:lang w:val="es-ES"/>
        </w:rPr>
        <w:t>”</w:t>
      </w:r>
      <w:bookmarkEnd w:id="0"/>
      <w:r w:rsidRPr="003739EA">
        <w:rPr>
          <w:rFonts w:ascii="Verdana" w:eastAsia="Century Gothic" w:hAnsi="Verdana" w:cs="Century Gothic"/>
          <w:sz w:val="20"/>
          <w:szCs w:val="20"/>
          <w:lang w:val="es-ES"/>
        </w:rPr>
        <w:t>.</w:t>
      </w:r>
    </w:p>
    <w:p w14:paraId="57A93538" w14:textId="77777777" w:rsidR="00C506EE" w:rsidRPr="00593A5F" w:rsidRDefault="00C506EE" w:rsidP="00C506EE">
      <w:pPr>
        <w:pStyle w:val="Prrafodelista"/>
        <w:tabs>
          <w:tab w:val="left" w:pos="142"/>
          <w:tab w:val="left" w:pos="284"/>
        </w:tabs>
        <w:spacing w:line="276" w:lineRule="auto"/>
        <w:ind w:left="0"/>
        <w:jc w:val="both"/>
        <w:rPr>
          <w:rFonts w:ascii="Verdana" w:eastAsia="Century Gothic" w:hAnsi="Verdana" w:cs="Century Gothic"/>
          <w:b/>
          <w:bCs/>
        </w:rPr>
      </w:pPr>
    </w:p>
    <w:p w14:paraId="116B8149" w14:textId="77777777" w:rsidR="00C506EE" w:rsidRDefault="00C506EE" w:rsidP="00C506EE">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44B7C1F" w14:textId="77777777" w:rsidR="00C506EE" w:rsidRDefault="00C506EE" w:rsidP="00C506E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EE5B0B7" w14:textId="77777777" w:rsidR="00C506EE" w:rsidRPr="00593A5F" w:rsidRDefault="00C506EE" w:rsidP="00C506EE">
      <w:pPr>
        <w:spacing w:after="0" w:line="276" w:lineRule="auto"/>
        <w:ind w:firstLine="709"/>
        <w:jc w:val="both"/>
        <w:rPr>
          <w:rFonts w:ascii="Verdana" w:eastAsia="Calibri" w:hAnsi="Verdana" w:cs="Arial"/>
          <w:color w:val="000000"/>
          <w:lang w:val="es-ES" w:eastAsia="es-ES"/>
        </w:rPr>
      </w:pPr>
    </w:p>
    <w:p w14:paraId="0CB93533" w14:textId="77777777" w:rsidR="00C506EE" w:rsidRPr="00593A5F" w:rsidRDefault="00C506EE" w:rsidP="00C506E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83A9B67" w14:textId="77777777" w:rsidR="00C506EE" w:rsidRPr="00593A5F" w:rsidRDefault="00C506EE" w:rsidP="00C506EE">
      <w:pPr>
        <w:tabs>
          <w:tab w:val="left" w:pos="426"/>
        </w:tabs>
        <w:spacing w:after="0" w:line="276" w:lineRule="auto"/>
        <w:jc w:val="both"/>
        <w:rPr>
          <w:rFonts w:ascii="Verdana" w:eastAsia="Century Gothic" w:hAnsi="Verdana" w:cs="Century Gothic"/>
          <w:lang w:val="es-ES"/>
        </w:rPr>
      </w:pPr>
    </w:p>
    <w:p w14:paraId="3B6888E6" w14:textId="77777777" w:rsidR="00C506EE" w:rsidRPr="00593A5F" w:rsidRDefault="00C506EE" w:rsidP="00C506E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r w:rsidRPr="00FF2376">
        <w:rPr>
          <w:rFonts w:ascii="Verdana" w:eastAsia="Century Gothic" w:hAnsi="Verdana" w:cs="Century Gothic"/>
        </w:rPr>
        <w:t xml:space="preserve">¿En qué medida están obligadas las entidades estatales, al evaluar indicadores en sus procesos de selección, considerar el mejor año fiscal reflejado en el RUP de cada proponente? </w:t>
      </w:r>
    </w:p>
    <w:p w14:paraId="3458A829" w14:textId="77777777" w:rsidR="00C506EE" w:rsidRPr="00593A5F" w:rsidRDefault="00C506EE" w:rsidP="00C506EE">
      <w:pPr>
        <w:spacing w:after="0" w:line="276" w:lineRule="auto"/>
        <w:jc w:val="both"/>
        <w:rPr>
          <w:rFonts w:ascii="Verdana" w:eastAsia="Calibri" w:hAnsi="Verdana" w:cs="Arial"/>
          <w:color w:val="7030A0"/>
          <w:lang w:val="es-ES"/>
        </w:rPr>
      </w:pPr>
    </w:p>
    <w:p w14:paraId="4838071C" w14:textId="77777777" w:rsidR="00C506EE" w:rsidRPr="00593A5F" w:rsidRDefault="00C506EE" w:rsidP="00C506E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8758B53" w14:textId="77777777" w:rsidR="00C506EE" w:rsidRPr="00593A5F" w:rsidRDefault="00C506EE" w:rsidP="00C506E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506EE" w:rsidRPr="00593A5F" w14:paraId="0365809C" w14:textId="77777777" w:rsidTr="00DE47AF">
        <w:tc>
          <w:tcPr>
            <w:tcW w:w="8828" w:type="dxa"/>
            <w:shd w:val="clear" w:color="auto" w:fill="auto"/>
          </w:tcPr>
          <w:p w14:paraId="406EB3F0" w14:textId="77777777" w:rsidR="00C506EE" w:rsidRDefault="00C506EE" w:rsidP="00DE47AF">
            <w:pPr>
              <w:spacing w:line="276" w:lineRule="auto"/>
              <w:jc w:val="both"/>
              <w:rPr>
                <w:rFonts w:ascii="Verdana" w:eastAsia="Calibri" w:hAnsi="Verdana" w:cs="Arial"/>
                <w:color w:val="7030A0"/>
                <w:lang w:val="es-ES"/>
              </w:rPr>
            </w:pPr>
          </w:p>
          <w:p w14:paraId="71F9CE48" w14:textId="77777777" w:rsidR="00C506EE" w:rsidRDefault="00C506EE" w:rsidP="00DE47AF">
            <w:pPr>
              <w:spacing w:line="276" w:lineRule="auto"/>
              <w:contextualSpacing/>
              <w:jc w:val="both"/>
              <w:rPr>
                <w:rFonts w:ascii="Verdana" w:eastAsia="Century Gothic" w:hAnsi="Verdana" w:cs="Century Gothic"/>
                <w:color w:val="000000" w:themeColor="text1"/>
              </w:rPr>
            </w:pPr>
            <w:r w:rsidRPr="00231D7F">
              <w:rPr>
                <w:rFonts w:ascii="Verdana" w:eastAsia="Century Gothic" w:hAnsi="Verdana" w:cs="Century Gothic"/>
                <w:b/>
                <w:bCs/>
                <w:color w:val="000000" w:themeColor="text1"/>
              </w:rPr>
              <w:t xml:space="preserve">De acuerdo con la interpretación general de las normas que conforman el sistema de compras públicas, </w:t>
            </w:r>
            <w:r w:rsidRPr="00231D7F">
              <w:rPr>
                <w:rFonts w:ascii="Verdana" w:eastAsia="Century Gothic" w:hAnsi="Verdana" w:cs="Century Gothic"/>
                <w:color w:val="000000" w:themeColor="text1"/>
              </w:rPr>
              <w:t xml:space="preserve">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176BA708" w14:textId="77777777" w:rsidR="00C506EE" w:rsidRPr="00231D7F" w:rsidRDefault="00C506EE" w:rsidP="00DE47AF">
            <w:pPr>
              <w:spacing w:line="276" w:lineRule="auto"/>
              <w:contextualSpacing/>
              <w:jc w:val="both"/>
              <w:rPr>
                <w:rFonts w:ascii="Verdana" w:eastAsia="Century Gothic" w:hAnsi="Verdana" w:cs="Century Gothic"/>
                <w:color w:val="000000" w:themeColor="text1"/>
              </w:rPr>
            </w:pPr>
          </w:p>
          <w:p w14:paraId="17F38F96" w14:textId="77777777" w:rsidR="00C506EE" w:rsidRDefault="00C506EE" w:rsidP="00DE47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75D83160" w14:textId="77777777" w:rsidR="00C506EE" w:rsidRPr="00231D7F" w:rsidRDefault="00C506EE" w:rsidP="00DE47AF">
            <w:pPr>
              <w:spacing w:line="276" w:lineRule="auto"/>
              <w:ind w:firstLine="708"/>
              <w:contextualSpacing/>
              <w:jc w:val="both"/>
              <w:rPr>
                <w:rFonts w:ascii="Verdana" w:eastAsia="Century Gothic" w:hAnsi="Verdana" w:cs="Century Gothic"/>
                <w:color w:val="000000" w:themeColor="text1"/>
              </w:rPr>
            </w:pPr>
          </w:p>
          <w:p w14:paraId="01EB1F73" w14:textId="77777777" w:rsidR="00C506EE" w:rsidRDefault="00C506EE" w:rsidP="00DE47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00231D7F">
              <w:rPr>
                <w:rFonts w:ascii="Verdana" w:eastAsia="Century Gothic" w:hAnsi="Verdana" w:cs="Century Gothic"/>
                <w:i/>
                <w:iCs/>
                <w:color w:val="000000" w:themeColor="text1"/>
              </w:rPr>
              <w:t>ibidem</w:t>
            </w:r>
            <w:r w:rsidRPr="00231D7F">
              <w:rPr>
                <w:rFonts w:ascii="Verdana" w:eastAsia="Century Gothic" w:hAnsi="Verdana" w:cs="Century Gothic"/>
                <w:color w:val="000000" w:themeColor="text1"/>
              </w:rPr>
              <w:t xml:space="preserve"> –adicionados por el art. 6 del Decreto 399 de 2021 y sustituido por el art. 3 del Decreto 579 de 2021– es inaplicable por sustracción de materia. En consecuencia, cesa la posibilidad de acreditar los indicadores de los numerales </w:t>
            </w:r>
            <w:r w:rsidRPr="00231D7F">
              <w:rPr>
                <w:rFonts w:ascii="Verdana" w:eastAsia="Century Gothic" w:hAnsi="Verdana" w:cs="Century Gothic"/>
                <w:color w:val="000000" w:themeColor="text1"/>
              </w:rPr>
              <w:lastRenderedPageBreak/>
              <w:t xml:space="preserve">3 y 4 artículo 2.2.1.1.1.5.3 </w:t>
            </w:r>
            <w:r w:rsidRPr="00231D7F">
              <w:rPr>
                <w:rFonts w:ascii="Verdana" w:eastAsia="Century Gothic" w:hAnsi="Verdana" w:cs="Century Gothic"/>
                <w:i/>
                <w:iCs/>
                <w:color w:val="000000" w:themeColor="text1"/>
              </w:rPr>
              <w:t>ibidem</w:t>
            </w:r>
            <w:r w:rsidRPr="00231D7F">
              <w:rPr>
                <w:rFonts w:ascii="Verdana" w:eastAsia="Century Gothic" w:hAnsi="Verdana" w:cs="Century Gothic"/>
                <w:color w:val="000000" w:themeColor="text1"/>
              </w:rPr>
              <w:t xml:space="preserve"> teniendo en cuenta el mejor año fiscal que se refleje en el registro de cada proponente.</w:t>
            </w:r>
          </w:p>
          <w:p w14:paraId="34221DB9" w14:textId="77777777" w:rsidR="00C506EE" w:rsidRPr="00231D7F" w:rsidRDefault="00C506EE" w:rsidP="00DE47AF">
            <w:pPr>
              <w:spacing w:line="276" w:lineRule="auto"/>
              <w:ind w:firstLine="708"/>
              <w:contextualSpacing/>
              <w:jc w:val="both"/>
              <w:rPr>
                <w:rFonts w:ascii="Verdana" w:eastAsia="Century Gothic" w:hAnsi="Verdana" w:cs="Century Gothic"/>
                <w:color w:val="000000" w:themeColor="text1"/>
              </w:rPr>
            </w:pPr>
          </w:p>
          <w:p w14:paraId="1BDB1CBA" w14:textId="77777777" w:rsidR="00C506EE" w:rsidRDefault="00C506EE" w:rsidP="00DE47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14:paraId="3FE9BFDF" w14:textId="77777777" w:rsidR="00C506EE" w:rsidRPr="00231D7F" w:rsidRDefault="00C506EE" w:rsidP="00DE47AF">
            <w:pPr>
              <w:spacing w:line="276" w:lineRule="auto"/>
              <w:ind w:firstLine="708"/>
              <w:contextualSpacing/>
              <w:jc w:val="both"/>
              <w:rPr>
                <w:rFonts w:ascii="Verdana" w:eastAsia="Century Gothic" w:hAnsi="Verdana" w:cs="Century Gothic"/>
                <w:color w:val="000000" w:themeColor="text1"/>
              </w:rPr>
            </w:pPr>
          </w:p>
          <w:p w14:paraId="05729F9D" w14:textId="77777777" w:rsidR="00C506EE" w:rsidRPr="00231D7F" w:rsidRDefault="00C506EE" w:rsidP="00DE47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1961F618" w14:textId="77777777" w:rsidR="00C506EE" w:rsidRPr="00231D7F" w:rsidRDefault="00C506EE" w:rsidP="00DE47AF">
            <w:pPr>
              <w:spacing w:line="276" w:lineRule="auto"/>
              <w:ind w:firstLine="708"/>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 </w:t>
            </w:r>
          </w:p>
          <w:p w14:paraId="5E2AC910" w14:textId="77777777" w:rsidR="00C506EE" w:rsidRDefault="00C506EE" w:rsidP="00DE47AF">
            <w:pPr>
              <w:tabs>
                <w:tab w:val="left" w:pos="426"/>
              </w:tabs>
              <w:spacing w:line="276" w:lineRule="auto"/>
              <w:contextualSpacing/>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 </w:t>
            </w:r>
            <w:r w:rsidRPr="00231D7F">
              <w:rPr>
                <w:rFonts w:ascii="Verdana" w:eastAsia="Century Gothic" w:hAnsi="Verdana" w:cs="Century Gothic"/>
                <w:lang w:val="es"/>
              </w:rPr>
              <w:t xml:space="preserve">      En </w:t>
            </w:r>
            <w:r>
              <w:rPr>
                <w:rFonts w:ascii="Verdana" w:eastAsia="Century Gothic" w:hAnsi="Verdana" w:cs="Century Gothic"/>
                <w:lang w:val="es"/>
              </w:rPr>
              <w:t>síntesis</w:t>
            </w:r>
            <w:r w:rsidRPr="00231D7F">
              <w:rPr>
                <w:rFonts w:ascii="Verdana" w:eastAsia="Century Gothic" w:hAnsi="Verdana" w:cs="Century Gothic"/>
                <w:lang w:val="es"/>
              </w:rPr>
              <w:t xml:space="preserve">, resulta valido afirmar que la posibilidad que tenían los oferentes de acreditar el mejor año fiscal de los tres últimos registrados en el RUP, finalizo el último día de la vigencia 2023, en consecuencia y en observancia del derecho a la igualdad con aquellos oferentes que en la vigencia 2024 ya se han inscrito o renovado su RUP y solo cuentan en el mismo con la información del último año fiscal, las entidades deben estructurar la solicitud de indicadores financieros para sus procesos con referencia a lo dispuesto en </w:t>
            </w:r>
            <w:r w:rsidRPr="00231D7F">
              <w:rPr>
                <w:rFonts w:ascii="Verdana" w:eastAsia="Century Gothic" w:hAnsi="Verdana" w:cs="Century Gothic"/>
                <w:color w:val="000000" w:themeColor="text1"/>
              </w:rPr>
              <w:t>los numerales 1.3 y 2.3 del artículo 2.2.1.1.1.5.2 del Decreto 1082 de 2015</w:t>
            </w:r>
            <w:r>
              <w:rPr>
                <w:rFonts w:ascii="Verdana" w:eastAsia="Century Gothic" w:hAnsi="Verdana" w:cs="Century Gothic"/>
                <w:color w:val="000000" w:themeColor="text1"/>
              </w:rPr>
              <w:t>.</w:t>
            </w:r>
          </w:p>
          <w:p w14:paraId="2A705C8E" w14:textId="77777777" w:rsidR="00C506EE" w:rsidRDefault="00C506EE" w:rsidP="00DE47AF">
            <w:pPr>
              <w:tabs>
                <w:tab w:val="left" w:pos="426"/>
              </w:tabs>
              <w:spacing w:line="276" w:lineRule="auto"/>
              <w:contextualSpacing/>
              <w:jc w:val="both"/>
              <w:rPr>
                <w:rFonts w:ascii="Verdana" w:eastAsia="Century Gothic" w:hAnsi="Verdana" w:cs="Century Gothic"/>
                <w:color w:val="000000" w:themeColor="text1"/>
              </w:rPr>
            </w:pPr>
          </w:p>
          <w:p w14:paraId="339B8316" w14:textId="77777777" w:rsidR="00C506EE" w:rsidRDefault="00C506EE" w:rsidP="00DE47AF">
            <w:pPr>
              <w:spacing w:line="276" w:lineRule="auto"/>
              <w:jc w:val="both"/>
              <w:rPr>
                <w:rFonts w:ascii="Verdana" w:eastAsia="Calibri" w:hAnsi="Verdana" w:cs="Arial"/>
              </w:rPr>
            </w:pPr>
            <w:r w:rsidRPr="00C24B0B">
              <w:rPr>
                <w:rFonts w:ascii="Verdana" w:eastAsia="Century Gothic" w:hAnsi="Verdana" w:cs="Century Gothic"/>
                <w:color w:val="000000" w:themeColor="text1"/>
              </w:rPr>
              <w:t xml:space="preserve">Ahora bien, </w:t>
            </w:r>
            <w:r w:rsidRPr="00C24B0B">
              <w:rPr>
                <w:rFonts w:ascii="Verdana" w:eastAsia="Calibri" w:hAnsi="Verdana" w:cs="Arial"/>
              </w:rPr>
              <w:t xml:space="preserve">respecto a cómo se establece la CO, es menester reiterar que la guía citada </w:t>
            </w:r>
            <w:r>
              <w:rPr>
                <w:rFonts w:ascii="Verdana" w:eastAsia="Calibri" w:hAnsi="Verdana" w:cs="Arial"/>
              </w:rPr>
              <w:t>en el desarrollo del presente concepto</w:t>
            </w:r>
            <w:r w:rsidRPr="00C24B0B">
              <w:rPr>
                <w:rFonts w:ascii="Verdana" w:eastAsia="Calibri" w:hAnsi="Verdana" w:cs="Arial"/>
              </w:rPr>
              <w:t xml:space="preserve"> establece la siguiente fórmula para la determinación de la capacidad residual del proponente:</w:t>
            </w:r>
          </w:p>
          <w:p w14:paraId="7000B21D" w14:textId="77777777" w:rsidR="00C506EE" w:rsidRPr="00C24B0B" w:rsidRDefault="00C506EE" w:rsidP="00DE47AF">
            <w:pPr>
              <w:spacing w:line="276" w:lineRule="auto"/>
              <w:jc w:val="both"/>
              <w:rPr>
                <w:rFonts w:ascii="Verdana" w:eastAsia="Calibri" w:hAnsi="Verdana" w:cs="Arial"/>
              </w:rPr>
            </w:pPr>
          </w:p>
          <w:p w14:paraId="65BDFB8B" w14:textId="77777777" w:rsidR="00C506EE" w:rsidRPr="00C24B0B" w:rsidRDefault="00C506EE" w:rsidP="00DE47AF">
            <w:pPr>
              <w:spacing w:line="276" w:lineRule="auto"/>
              <w:jc w:val="center"/>
              <w:rPr>
                <w:rFonts w:ascii="Verdana" w:eastAsia="Calibri" w:hAnsi="Verdana" w:cs="Arial"/>
                <w:color w:val="7030A0"/>
              </w:rPr>
            </w:pPr>
            <w:r w:rsidRPr="000F60AB">
              <w:rPr>
                <w:noProof/>
              </w:rPr>
              <w:lastRenderedPageBreak/>
              <w:drawing>
                <wp:inline distT="0" distB="0" distL="0" distR="0" wp14:anchorId="7E264EA4" wp14:editId="1EA3DAF2">
                  <wp:extent cx="4638095" cy="676190"/>
                  <wp:effectExtent l="0" t="0" r="0" b="0"/>
                  <wp:docPr id="61637230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72302" name="Imagen 1" descr="Icono&#10;&#10;Descripción generada automáticamente"/>
                          <pic:cNvPicPr/>
                        </pic:nvPicPr>
                        <pic:blipFill>
                          <a:blip r:embed="rId13"/>
                          <a:stretch>
                            <a:fillRect/>
                          </a:stretch>
                        </pic:blipFill>
                        <pic:spPr>
                          <a:xfrm>
                            <a:off x="0" y="0"/>
                            <a:ext cx="4638095" cy="676190"/>
                          </a:xfrm>
                          <a:prstGeom prst="rect">
                            <a:avLst/>
                          </a:prstGeom>
                        </pic:spPr>
                      </pic:pic>
                    </a:graphicData>
                  </a:graphic>
                </wp:inline>
              </w:drawing>
            </w:r>
          </w:p>
          <w:p w14:paraId="4467EAD2" w14:textId="77777777" w:rsidR="00C506EE" w:rsidRPr="000F60AB" w:rsidRDefault="00C506EE" w:rsidP="00DE47AF">
            <w:pPr>
              <w:pStyle w:val="Prrafodelista"/>
              <w:spacing w:line="276" w:lineRule="auto"/>
              <w:ind w:left="1080"/>
              <w:jc w:val="both"/>
              <w:rPr>
                <w:rFonts w:ascii="Verdana" w:eastAsia="Calibri" w:hAnsi="Verdana" w:cs="Arial"/>
                <w:color w:val="7030A0"/>
              </w:rPr>
            </w:pPr>
          </w:p>
          <w:p w14:paraId="61A866A2" w14:textId="77777777" w:rsidR="00C506EE" w:rsidRPr="00C24B0B" w:rsidRDefault="00C506EE" w:rsidP="00DE47AF">
            <w:pPr>
              <w:spacing w:line="276" w:lineRule="auto"/>
              <w:jc w:val="both"/>
              <w:rPr>
                <w:rFonts w:ascii="Verdana" w:eastAsia="Calibri" w:hAnsi="Verdana" w:cs="Arial"/>
              </w:rPr>
            </w:pPr>
            <w:r w:rsidRPr="00C24B0B">
              <w:rPr>
                <w:rFonts w:ascii="Verdana" w:eastAsia="Calibri" w:hAnsi="Verdana" w:cs="Arial"/>
              </w:rPr>
              <w:t xml:space="preserve">Teniendo en cuenta que la “CO” no tiene asignación de puntaje en la fórmula, por un lado, porque su unidad de medida es en pesos colombianos “COP” y, por el otro, debido a que el mismo constituye un factor multiplicador de los demás factores en la fórmula, es menester resaltar que </w:t>
            </w:r>
            <w:r w:rsidRPr="00C24B0B">
              <w:rPr>
                <w:rFonts w:ascii="Verdana" w:eastAsia="Calibri" w:hAnsi="Verdana" w:cs="Arial"/>
                <w:u w:val="single"/>
              </w:rPr>
              <w:t>la CO se establece teniendo en cuenta la información financiera del proponente de los últimos 5 años</w:t>
            </w:r>
            <w:r w:rsidRPr="00C24B0B">
              <w:rPr>
                <w:rFonts w:ascii="Verdana" w:eastAsia="Calibri" w:hAnsi="Verdana" w:cs="Arial"/>
              </w:rPr>
              <w:t>, o, en su defecto, si la antigüedad del proponente es inferior a los 5 años, la citada guía establece la siguiente tabla para tal fin:</w:t>
            </w:r>
          </w:p>
          <w:p w14:paraId="147647B8" w14:textId="77777777" w:rsidR="00C506EE" w:rsidRPr="000F60AB" w:rsidRDefault="00C506EE" w:rsidP="00DE47AF">
            <w:pPr>
              <w:pStyle w:val="Prrafodelista"/>
              <w:spacing w:line="276" w:lineRule="auto"/>
              <w:ind w:left="1080"/>
              <w:jc w:val="both"/>
              <w:rPr>
                <w:rFonts w:ascii="Verdana" w:eastAsia="Calibri" w:hAnsi="Verdana" w:cs="Arial"/>
                <w:color w:val="7030A0"/>
              </w:rPr>
            </w:pPr>
          </w:p>
          <w:tbl>
            <w:tblPr>
              <w:tblStyle w:val="Tablaconcuadrcula"/>
              <w:tblW w:w="0" w:type="auto"/>
              <w:tblInd w:w="1080" w:type="dxa"/>
              <w:tblLook w:val="04A0" w:firstRow="1" w:lastRow="0" w:firstColumn="1" w:lastColumn="0" w:noHBand="0" w:noVBand="1"/>
            </w:tblPr>
            <w:tblGrid>
              <w:gridCol w:w="2481"/>
              <w:gridCol w:w="5041"/>
            </w:tblGrid>
            <w:tr w:rsidR="00C506EE" w:rsidRPr="000F60AB" w14:paraId="266A10C8" w14:textId="77777777" w:rsidTr="00DE47AF">
              <w:tc>
                <w:tcPr>
                  <w:tcW w:w="2481" w:type="dxa"/>
                  <w:shd w:val="clear" w:color="auto" w:fill="4472C4" w:themeFill="accent1"/>
                  <w:vAlign w:val="center"/>
                </w:tcPr>
                <w:p w14:paraId="18AA22C8" w14:textId="77777777" w:rsidR="00C506EE" w:rsidRPr="000F60AB" w:rsidRDefault="00C506EE" w:rsidP="00DE47AF">
                  <w:pPr>
                    <w:pStyle w:val="Prrafodelista"/>
                    <w:spacing w:line="276" w:lineRule="auto"/>
                    <w:ind w:left="0"/>
                    <w:jc w:val="center"/>
                    <w:rPr>
                      <w:rFonts w:ascii="Verdana" w:eastAsia="Calibri" w:hAnsi="Verdana" w:cs="Arial"/>
                      <w:color w:val="FFFFFF" w:themeColor="background1"/>
                    </w:rPr>
                  </w:pPr>
                  <w:r w:rsidRPr="000F60AB">
                    <w:rPr>
                      <w:rFonts w:ascii="Verdana" w:eastAsia="Calibri" w:hAnsi="Verdana" w:cs="Arial"/>
                      <w:color w:val="FFFFFF" w:themeColor="background1"/>
                    </w:rPr>
                    <w:t>Años de información financiera</w:t>
                  </w:r>
                </w:p>
              </w:tc>
              <w:tc>
                <w:tcPr>
                  <w:tcW w:w="5041" w:type="dxa"/>
                  <w:shd w:val="clear" w:color="auto" w:fill="4472C4" w:themeFill="accent1"/>
                  <w:vAlign w:val="center"/>
                </w:tcPr>
                <w:p w14:paraId="52050A54" w14:textId="77777777" w:rsidR="00C506EE" w:rsidRPr="000F60AB" w:rsidRDefault="00C506EE" w:rsidP="00DE47AF">
                  <w:pPr>
                    <w:pStyle w:val="Prrafodelista"/>
                    <w:spacing w:line="276" w:lineRule="auto"/>
                    <w:ind w:left="0"/>
                    <w:jc w:val="center"/>
                    <w:rPr>
                      <w:rFonts w:ascii="Verdana" w:eastAsia="Calibri" w:hAnsi="Verdana" w:cs="Arial"/>
                      <w:color w:val="FFFFFF" w:themeColor="background1"/>
                    </w:rPr>
                  </w:pPr>
                  <w:r w:rsidRPr="000F60AB">
                    <w:rPr>
                      <w:rFonts w:ascii="Verdana" w:eastAsia="Calibri" w:hAnsi="Verdana" w:cs="Arial"/>
                      <w:color w:val="FFFFFF" w:themeColor="background1"/>
                    </w:rPr>
                    <w:t>Capacidad de Organización (CO)</w:t>
                  </w:r>
                </w:p>
              </w:tc>
            </w:tr>
            <w:tr w:rsidR="00C506EE" w:rsidRPr="000F60AB" w14:paraId="14551B1F" w14:textId="77777777" w:rsidTr="00DE47AF">
              <w:tc>
                <w:tcPr>
                  <w:tcW w:w="2481" w:type="dxa"/>
                  <w:vAlign w:val="center"/>
                </w:tcPr>
                <w:p w14:paraId="4E12A172"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rPr>
                    <w:t>Cinco (5) años o más</w:t>
                  </w:r>
                </w:p>
              </w:tc>
              <w:tc>
                <w:tcPr>
                  <w:tcW w:w="5041" w:type="dxa"/>
                  <w:vAlign w:val="center"/>
                </w:tcPr>
                <w:p w14:paraId="3BC8759F"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rPr>
                    <w:t>Mayor ingreso operacional de los últimos cinco (5) años.</w:t>
                  </w:r>
                </w:p>
              </w:tc>
            </w:tr>
            <w:tr w:rsidR="00C506EE" w:rsidRPr="000F60AB" w14:paraId="0FABFFE4" w14:textId="77777777" w:rsidTr="00DE47AF">
              <w:tc>
                <w:tcPr>
                  <w:tcW w:w="2481" w:type="dxa"/>
                  <w:vAlign w:val="center"/>
                </w:tcPr>
                <w:p w14:paraId="1FFE3D3F"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Entre uno (1) y cinco (5) años</w:t>
                  </w:r>
                </w:p>
              </w:tc>
              <w:tc>
                <w:tcPr>
                  <w:tcW w:w="5041" w:type="dxa"/>
                  <w:vAlign w:val="center"/>
                </w:tcPr>
                <w:p w14:paraId="77804A36"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Mayor ingreso operacional de los años de vida del oferente</w:t>
                  </w:r>
                </w:p>
              </w:tc>
            </w:tr>
            <w:tr w:rsidR="00C506EE" w:rsidRPr="000F60AB" w14:paraId="4AF08D20" w14:textId="77777777" w:rsidTr="00DE47AF">
              <w:tc>
                <w:tcPr>
                  <w:tcW w:w="2481" w:type="dxa"/>
                  <w:vAlign w:val="center"/>
                </w:tcPr>
                <w:p w14:paraId="5484947C"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Menos de un (1) año</w:t>
                  </w:r>
                </w:p>
              </w:tc>
              <w:tc>
                <w:tcPr>
                  <w:tcW w:w="5041" w:type="dxa"/>
                  <w:vAlign w:val="center"/>
                </w:tcPr>
                <w:p w14:paraId="7D413DE6"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USD 125.000 (Liquidados a la tasa de cambio determinada por el Ministerio de Comercio, Industria y Turismo cada 2 años para efectos del umbral del beneficio de las Mipyme.)</w:t>
                  </w:r>
                </w:p>
              </w:tc>
            </w:tr>
          </w:tbl>
          <w:p w14:paraId="0962E61C" w14:textId="77777777" w:rsidR="00C506EE" w:rsidRPr="00144DEF" w:rsidRDefault="00C506EE" w:rsidP="00DE47AF">
            <w:pPr>
              <w:tabs>
                <w:tab w:val="left" w:pos="426"/>
              </w:tabs>
              <w:spacing w:line="276" w:lineRule="auto"/>
              <w:contextualSpacing/>
              <w:jc w:val="both"/>
              <w:rPr>
                <w:rFonts w:ascii="Verdana" w:eastAsia="Century Gothic" w:hAnsi="Verdana" w:cs="Century Gothic"/>
                <w:color w:val="000000" w:themeColor="text1"/>
              </w:rPr>
            </w:pPr>
          </w:p>
          <w:p w14:paraId="32227FB6" w14:textId="77777777" w:rsidR="00C506EE" w:rsidRDefault="00C506EE" w:rsidP="00DE47AF">
            <w:pPr>
              <w:spacing w:line="276" w:lineRule="auto"/>
              <w:jc w:val="both"/>
              <w:rPr>
                <w:rFonts w:ascii="Verdana" w:eastAsia="Calibri" w:hAnsi="Verdana" w:cs="Arial"/>
                <w:lang w:val="es-ES"/>
              </w:rPr>
            </w:pPr>
            <w:r w:rsidRPr="00FF2376">
              <w:rPr>
                <w:rFonts w:ascii="Verdana" w:eastAsia="Calibri" w:hAnsi="Verdana" w:cs="Arial"/>
                <w:lang w:val="es-ES"/>
              </w:rPr>
              <w:t xml:space="preserve">Por lo que, en conclusión, y sin perjuicio de lo explicado inicialmente frente a la perdida de vigencia de las disposiciones especiales reglamentadas por los Decretos </w:t>
            </w:r>
            <w:r w:rsidRPr="00FF2376">
              <w:rPr>
                <w:rFonts w:ascii="Verdana" w:eastAsia="Calibri" w:hAnsi="Verdana" w:cs="Arial"/>
              </w:rPr>
              <w:t>399 y 579 de 2021 y 1041 de 2022</w:t>
            </w:r>
            <w:r w:rsidRPr="00FF2376">
              <w:rPr>
                <w:rFonts w:ascii="Verdana" w:eastAsia="Calibri" w:hAnsi="Verdana" w:cs="Arial"/>
                <w:lang w:val="es-ES"/>
              </w:rPr>
              <w:t xml:space="preserve">, la capacidad de organización podrá determinarse teniendo en cuenta el mayor ingreso operacional de los últimos 5 años como lo explica la guía citada </w:t>
            </w:r>
            <w:r w:rsidRPr="00FF2376">
              <w:rPr>
                <w:rFonts w:ascii="Verdana" w:eastAsia="Calibri" w:hAnsi="Verdana" w:cs="Arial"/>
                <w:i/>
                <w:iCs/>
                <w:lang w:val="es-ES"/>
              </w:rPr>
              <w:t xml:space="preserve">supra. </w:t>
            </w:r>
            <w:r w:rsidRPr="00FF2376">
              <w:rPr>
                <w:rFonts w:ascii="Verdana" w:eastAsia="Calibri" w:hAnsi="Verdana" w:cs="Arial"/>
                <w:lang w:val="es-ES"/>
              </w:rPr>
              <w:t>Contrario a lo que se dispone frente a la capacidad financiera, la cual deberá determinarse con referencia a lo dispuesto en los numerales 1.3 y 2.3 del artículo 2.2.1.1.1.5.2 del Decreto 1082 de 2015.</w:t>
            </w:r>
          </w:p>
          <w:p w14:paraId="708A4427" w14:textId="77777777" w:rsidR="00C506EE" w:rsidRPr="005D0DFE" w:rsidRDefault="00C506EE" w:rsidP="00DE47AF">
            <w:pPr>
              <w:spacing w:line="276" w:lineRule="auto"/>
              <w:jc w:val="both"/>
              <w:rPr>
                <w:rFonts w:ascii="Verdana" w:eastAsia="Calibri" w:hAnsi="Verdana" w:cs="Arial"/>
                <w:color w:val="7030A0"/>
                <w:lang w:val="es-ES"/>
              </w:rPr>
            </w:pPr>
          </w:p>
        </w:tc>
      </w:tr>
    </w:tbl>
    <w:p w14:paraId="68039EA3" w14:textId="77777777" w:rsidR="00C506EE" w:rsidRPr="00593A5F" w:rsidRDefault="00C506EE" w:rsidP="00C506EE">
      <w:pPr>
        <w:tabs>
          <w:tab w:val="left" w:pos="142"/>
          <w:tab w:val="left" w:pos="284"/>
        </w:tabs>
        <w:spacing w:after="0" w:line="276" w:lineRule="auto"/>
        <w:jc w:val="both"/>
        <w:rPr>
          <w:rFonts w:ascii="Verdana" w:eastAsia="Century Gothic" w:hAnsi="Verdana" w:cs="Century Gothic"/>
          <w:b/>
          <w:bCs/>
          <w:lang w:val="es-ES"/>
        </w:rPr>
      </w:pPr>
    </w:p>
    <w:p w14:paraId="6DE9B55E" w14:textId="77777777" w:rsidR="00C506EE" w:rsidRPr="00593A5F" w:rsidRDefault="00C506EE" w:rsidP="00C506E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9DFD567" w14:textId="77777777" w:rsidR="00C506EE" w:rsidRPr="00593A5F" w:rsidRDefault="00C506EE" w:rsidP="00C506EE">
      <w:pPr>
        <w:spacing w:after="0" w:line="276" w:lineRule="auto"/>
        <w:jc w:val="both"/>
        <w:rPr>
          <w:rFonts w:ascii="Verdana" w:eastAsia="Calibri" w:hAnsi="Verdana" w:cs="Arial"/>
          <w:color w:val="7030A0"/>
          <w:lang w:val="es-ES"/>
        </w:rPr>
      </w:pPr>
    </w:p>
    <w:p w14:paraId="5B0AACCE" w14:textId="77777777" w:rsidR="00C506EE" w:rsidRPr="00B96799" w:rsidRDefault="00C506EE" w:rsidP="00C506EE">
      <w:pPr>
        <w:spacing w:after="0" w:line="276" w:lineRule="auto"/>
        <w:jc w:val="both"/>
        <w:rPr>
          <w:rFonts w:ascii="Verdana" w:eastAsia="Calibri" w:hAnsi="Verdana" w:cs="Arial"/>
          <w:lang w:val="es-ES"/>
        </w:rPr>
      </w:pPr>
      <w:r w:rsidRPr="00B96799">
        <w:rPr>
          <w:rFonts w:ascii="Verdana" w:eastAsia="Calibri" w:hAnsi="Verdana" w:cs="Arial"/>
          <w:lang w:val="es-ES"/>
        </w:rPr>
        <w:lastRenderedPageBreak/>
        <w:t xml:space="preserve">Lo anterior se sustenta en las siguientes consideraciones: </w:t>
      </w:r>
    </w:p>
    <w:p w14:paraId="43943340" w14:textId="77777777" w:rsidR="00C506EE" w:rsidRPr="00ED052E" w:rsidRDefault="00C506EE" w:rsidP="00C506EE">
      <w:pPr>
        <w:spacing w:after="0" w:line="276" w:lineRule="auto"/>
        <w:jc w:val="both"/>
        <w:rPr>
          <w:rFonts w:ascii="Verdana" w:eastAsia="Calibri" w:hAnsi="Verdana" w:cs="Arial"/>
          <w:color w:val="7030A0"/>
          <w:lang w:val="es-ES"/>
        </w:rPr>
      </w:pPr>
    </w:p>
    <w:p w14:paraId="277F04FA"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i/>
          <w:iCs/>
        </w:rPr>
      </w:pPr>
      <w:r>
        <w:rPr>
          <w:rFonts w:ascii="Verdana" w:eastAsia="Century Gothic" w:hAnsi="Verdana" w:cs="Century Gothic"/>
          <w:color w:val="000000" w:themeColor="text1"/>
        </w:rPr>
        <w:t>En primer lugar, p</w:t>
      </w:r>
      <w:r w:rsidRPr="00231D7F">
        <w:rPr>
          <w:rFonts w:ascii="Verdana" w:eastAsia="Century Gothic" w:hAnsi="Verdana" w:cs="Century Gothic"/>
          <w:color w:val="000000" w:themeColor="text1"/>
        </w:rPr>
        <w:t>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w:t>
      </w:r>
      <w:r w:rsidRPr="00231D7F">
        <w:rPr>
          <w:rStyle w:val="Refdenotaalpie"/>
          <w:rFonts w:ascii="Verdana" w:eastAsia="Century Gothic" w:hAnsi="Verdana" w:cs="Century Gothic"/>
          <w:color w:val="000000" w:themeColor="text1"/>
        </w:rPr>
        <w:footnoteReference w:id="1"/>
      </w:r>
      <w:r w:rsidRPr="00231D7F">
        <w:rPr>
          <w:rFonts w:ascii="Verdana" w:eastAsia="Century Gothic" w:hAnsi="Verdana" w:cs="Century Gothic"/>
          <w:color w:val="000000" w:themeColor="text1"/>
        </w:rPr>
        <w:t xml:space="preserve">. Así lo justifica textualmente el reglamento mencionado, en sus consideraciones cuando manifiesta que </w:t>
      </w:r>
      <w:r w:rsidRPr="00231D7F">
        <w:rPr>
          <w:rFonts w:ascii="Verdana" w:eastAsia="Century Gothic" w:hAnsi="Verdana" w:cs="Century Gothic"/>
          <w:i/>
          <w:iCs/>
          <w:color w:val="000000" w:themeColor="text1"/>
        </w:rPr>
        <w:t>“</w:t>
      </w:r>
      <w:r w:rsidRPr="00231D7F">
        <w:rPr>
          <w:rFonts w:ascii="Verdana" w:eastAsia="Century Gothic" w:hAnsi="Verdana" w:cs="Century Gothic"/>
          <w:color w:val="000000" w:themeColor="text1"/>
        </w:rPr>
        <w:t>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r w:rsidRPr="00231D7F">
        <w:rPr>
          <w:rFonts w:ascii="Verdana" w:eastAsia="Century Gothic" w:hAnsi="Verdana" w:cs="Century Gothic"/>
          <w:i/>
          <w:iCs/>
        </w:rPr>
        <w:t xml:space="preserve">”. </w:t>
      </w:r>
    </w:p>
    <w:p w14:paraId="4EEEC5C8" w14:textId="77777777" w:rsidR="00C506EE" w:rsidRPr="00231D7F" w:rsidRDefault="00C506EE" w:rsidP="00C506EE">
      <w:pPr>
        <w:spacing w:line="276" w:lineRule="auto"/>
        <w:contextualSpacing/>
        <w:jc w:val="both"/>
        <w:rPr>
          <w:rFonts w:ascii="Verdana" w:eastAsia="Century Gothic" w:hAnsi="Verdana" w:cs="Century Gothic"/>
          <w:i/>
          <w:iCs/>
        </w:rPr>
      </w:pPr>
    </w:p>
    <w:p w14:paraId="39267721"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rPr>
      </w:pPr>
      <w:r w:rsidRPr="00231D7F">
        <w:rPr>
          <w:rFonts w:ascii="Verdana" w:eastAsia="Century Gothic" w:hAnsi="Verdana" w:cs="Century Gothic"/>
          <w:color w:val="000000" w:themeColor="text1"/>
        </w:rPr>
        <w:t>En tal sentido, el artículo 4 del Decreto 399 de 2021 adicionó dos parágrafos transitorios al artículo 2.2.1.1.1.5.2 del Decreto 1082 de 2015, que a su vez fueron sustituidos por el artículo 1 del Decreto 579 del 31 de mayo de 2021</w:t>
      </w:r>
      <w:r w:rsidRPr="00231D7F">
        <w:rPr>
          <w:rStyle w:val="Refdenotaalpie"/>
          <w:rFonts w:ascii="Verdana" w:eastAsia="Century Gothic" w:hAnsi="Verdana" w:cs="Century Gothic"/>
          <w:color w:val="000000" w:themeColor="text1"/>
        </w:rPr>
        <w:footnoteReference w:id="2"/>
      </w:r>
      <w:r w:rsidRPr="00231D7F">
        <w:rPr>
          <w:rFonts w:ascii="Verdana" w:eastAsia="Century Gothic" w:hAnsi="Verdana" w:cs="Century Gothic"/>
          <w:color w:val="000000" w:themeColor="text1"/>
        </w:rPr>
        <w:t xml:space="preserve"> y posteriormente se adicionó un parágrafo transitorio </w:t>
      </w:r>
      <w:r w:rsidRPr="00231D7F">
        <w:rPr>
          <w:rFonts w:ascii="Verdana" w:eastAsia="Century Gothic" w:hAnsi="Verdana" w:cs="Century Gothic"/>
          <w:color w:val="000000" w:themeColor="text1"/>
        </w:rPr>
        <w:lastRenderedPageBreak/>
        <w:t xml:space="preserve">adicional al artículo 2.2.1.1.1.5.2 del Decreto 1082 de 2015 por el artículo 1 del </w:t>
      </w:r>
      <w:r w:rsidRPr="00231D7F">
        <w:rPr>
          <w:rFonts w:ascii="Verdana" w:eastAsia="Century Gothic" w:hAnsi="Verdana" w:cs="Century Gothic"/>
        </w:rPr>
        <w:t>Decreto 1041 de 2022.</w:t>
      </w:r>
    </w:p>
    <w:p w14:paraId="13B4EEEE" w14:textId="77777777" w:rsidR="00C506EE" w:rsidRPr="00231D7F" w:rsidRDefault="00C506EE" w:rsidP="00C506EE">
      <w:pPr>
        <w:spacing w:line="276" w:lineRule="auto"/>
        <w:ind w:firstLine="708"/>
        <w:contextualSpacing/>
        <w:jc w:val="both"/>
        <w:rPr>
          <w:rFonts w:ascii="Verdana" w:eastAsia="Century Gothic" w:hAnsi="Verdana" w:cs="Century Gothic"/>
        </w:rPr>
      </w:pPr>
    </w:p>
    <w:p w14:paraId="1F3ECDF2"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476F7A35"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1AB00D10"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El parágrafo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6EF1CF10"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4DA1981D"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igual sentido, </w:t>
      </w:r>
      <w:r w:rsidRPr="00231D7F">
        <w:rPr>
          <w:rFonts w:ascii="Verdana" w:eastAsia="Century Gothic" w:hAnsi="Verdana" w:cs="Century Gothic"/>
          <w:i/>
          <w:iCs/>
          <w:color w:val="000000" w:themeColor="text1"/>
        </w:rPr>
        <w:t xml:space="preserve">el parágrafo transitorio 3 incluido por el </w:t>
      </w:r>
      <w:r w:rsidRPr="00231D7F">
        <w:rPr>
          <w:rFonts w:ascii="Verdana" w:eastAsia="Century Gothic" w:hAnsi="Verdana" w:cs="Century Gothic"/>
          <w:i/>
          <w:iCs/>
        </w:rPr>
        <w:t xml:space="preserve">Decreto 1041 de 2022 </w:t>
      </w:r>
      <w:r w:rsidRPr="00231D7F">
        <w:rPr>
          <w:rFonts w:ascii="Verdana" w:eastAsia="Century Gothic" w:hAnsi="Verdana" w:cs="Century Gothic"/>
        </w:rPr>
        <w:t xml:space="preserve">mantuvo la anterior medida para el año 2023, permitiendo que para </w:t>
      </w:r>
      <w:r w:rsidRPr="00231D7F">
        <w:rPr>
          <w:rFonts w:ascii="Verdana" w:eastAsia="Century Gothic" w:hAnsi="Verdana" w:cs="Century Gothic"/>
          <w:color w:val="000000" w:themeColor="text1"/>
        </w:rPr>
        <w:t xml:space="preserve">la inscripción en el RUP o para su renovación, el interesado pueda reportar la información contable y los estados financieros de los tres últimos años fiscales. </w:t>
      </w:r>
    </w:p>
    <w:p w14:paraId="4B5581C0"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2A5F8E33"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Por otra parte, el artículo 5 del Decreto 399 de 2021 adicionó dos parágrafos transitorios al artículo 2.2.1.1.1.5.6 del Decreto 1082 de 2015, que regula el contenido del certificado del RUP. El primer parágrafo </w:t>
      </w:r>
      <w:r w:rsidRPr="00231D7F">
        <w:rPr>
          <w:rFonts w:ascii="Verdana" w:eastAsia="Century Gothic" w:hAnsi="Verdana" w:cs="Century Gothic"/>
          <w:color w:val="000000" w:themeColor="text1"/>
        </w:rPr>
        <w:lastRenderedPageBreak/>
        <w:t xml:space="preserve">transitorio, que fue posteriormente sustituido por el artículo 2 del Decreto 579 de 2021, establece que </w:t>
      </w:r>
      <w:r w:rsidRPr="00231D7F">
        <w:rPr>
          <w:rFonts w:ascii="Verdana" w:eastAsia="Century Gothic" w:hAnsi="Verdana" w:cs="Century Gothic"/>
          <w:i/>
          <w:iCs/>
          <w:color w:val="000000" w:themeColor="text1"/>
        </w:rPr>
        <w:t xml:space="preserve">“[…] </w:t>
      </w:r>
      <w:r w:rsidRPr="00231D7F">
        <w:rPr>
          <w:rFonts w:ascii="Verdana" w:eastAsia="Century Gothic" w:hAnsi="Verdana" w:cs="Century Gothic"/>
          <w:color w:val="000000" w:themeColor="text1"/>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Pr="00231D7F">
        <w:rPr>
          <w:rFonts w:ascii="Verdana" w:eastAsia="Century Gothic" w:hAnsi="Verdana" w:cs="Century Gothic"/>
          <w:i/>
          <w:iCs/>
          <w:color w:val="000000" w:themeColor="text1"/>
        </w:rPr>
        <w:t>”</w:t>
      </w:r>
      <w:r w:rsidRPr="00231D7F">
        <w:rPr>
          <w:rFonts w:ascii="Verdana" w:eastAsia="Century Gothic" w:hAnsi="Verdana" w:cs="Century Gothic"/>
          <w:color w:val="000000" w:themeColor="text1"/>
        </w:rPr>
        <w:t>. Para esto, las cámaras de comercio, a partir del 1 de julio de 2021, “certificarán la información de que tratan los parágrafos transitorios 1 y 2 del artículo 2.2.1.1.1.5.2. de este Decreto</w:t>
      </w:r>
      <w:r w:rsidRPr="00231D7F">
        <w:rPr>
          <w:rFonts w:ascii="Verdana" w:eastAsia="Century Gothic" w:hAnsi="Verdana" w:cs="Century Gothic"/>
          <w:i/>
          <w:iCs/>
          <w:color w:val="000000" w:themeColor="text1"/>
        </w:rPr>
        <w:t>”.</w:t>
      </w:r>
      <w:r w:rsidRPr="00231D7F">
        <w:rPr>
          <w:rFonts w:ascii="Verdana" w:eastAsia="Century Gothic" w:hAnsi="Verdana" w:cs="Century Gothic"/>
          <w:color w:val="000000" w:themeColor="text1"/>
        </w:rPr>
        <w:t xml:space="preserve">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w:t>
      </w:r>
    </w:p>
    <w:p w14:paraId="2EDF0023"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Posteriormente, el segundo parágrafo transitorio del artículo 2.2.1.1.1.5.6 del Decreto 1082 de 2015, modificado por el artículo 2 del Decreto 1041 del 21 de junio 2022 dispone que </w:t>
      </w:r>
      <w:r w:rsidRPr="00231D7F">
        <w:rPr>
          <w:rFonts w:ascii="Verdana" w:eastAsia="Century Gothic" w:hAnsi="Verdana" w:cs="Century Gothic"/>
          <w:i/>
          <w:iCs/>
          <w:color w:val="000000" w:themeColor="text1"/>
        </w:rPr>
        <w:t>“</w:t>
      </w:r>
      <w:r w:rsidRPr="00231D7F">
        <w:rPr>
          <w:rFonts w:ascii="Verdana" w:eastAsia="Century Gothic" w:hAnsi="Verdana" w:cs="Century Gothic"/>
          <w:color w:val="000000" w:themeColor="text1"/>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r w:rsidRPr="00231D7F">
        <w:rPr>
          <w:rFonts w:ascii="Verdana" w:eastAsia="Century Gothic" w:hAnsi="Verdana" w:cs="Century Gothic"/>
          <w:i/>
          <w:iCs/>
          <w:color w:val="000000" w:themeColor="text1"/>
        </w:rPr>
        <w:t xml:space="preserve">”. </w:t>
      </w:r>
      <w:r w:rsidRPr="00231D7F">
        <w:rPr>
          <w:rFonts w:ascii="Verdana" w:eastAsia="Century Gothic" w:hAnsi="Verdana" w:cs="Century Gothic"/>
          <w:color w:val="000000" w:themeColor="text1"/>
        </w:rPr>
        <w:t>Como se observa, las normas anteriormente transcritas disponen que:</w:t>
      </w:r>
    </w:p>
    <w:p w14:paraId="3C150EBD"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0EE34234"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w:t>
      </w:r>
    </w:p>
    <w:p w14:paraId="3F6F7AB1" w14:textId="77777777" w:rsidR="00C506EE" w:rsidRPr="00BC028A" w:rsidRDefault="00C506EE" w:rsidP="00C506EE">
      <w:pPr>
        <w:pStyle w:val="Prrafodelista"/>
        <w:numPr>
          <w:ilvl w:val="0"/>
          <w:numId w:val="17"/>
        </w:numPr>
        <w:spacing w:line="276" w:lineRule="auto"/>
        <w:jc w:val="both"/>
        <w:rPr>
          <w:rFonts w:ascii="Verdana" w:eastAsia="Calibri" w:hAnsi="Verdana" w:cs="Arial"/>
          <w:i/>
          <w:color w:val="000000" w:themeColor="text1"/>
          <w:sz w:val="20"/>
          <w:szCs w:val="20"/>
        </w:rPr>
      </w:pPr>
      <w:r w:rsidRPr="00231D7F">
        <w:rPr>
          <w:rFonts w:ascii="Verdana" w:eastAsia="Century Gothic" w:hAnsi="Verdana" w:cs="Century Gothic"/>
          <w:color w:val="000000" w:themeColor="text1"/>
        </w:rPr>
        <w:t xml:space="preserve">Las Entidades Estatales conservan su discrecionalidad administrativa para determinar los requisitos habilitantes de capacidad financiera y organizacional, pero “En todo caso, se establecerán indicadores proporcionales al procedimiento de contratación”. El principio de </w:t>
      </w:r>
      <w:r w:rsidRPr="00231D7F">
        <w:rPr>
          <w:rFonts w:ascii="Verdana" w:eastAsia="Century Gothic" w:hAnsi="Verdana" w:cs="Century Gothic"/>
          <w:color w:val="000000" w:themeColor="text1"/>
        </w:rPr>
        <w:lastRenderedPageBreak/>
        <w:t>proporcionalidad exige que dichos indicadores sean razonables, o sea, que guarden congruencia con el objeto, alcance, valor y plazo del contrato, que sean necesarios y no restrinjan injustificadamente la libre concurrencia.</w:t>
      </w:r>
    </w:p>
    <w:p w14:paraId="32C29BD0" w14:textId="77777777" w:rsidR="00C506EE" w:rsidRPr="00BC028A" w:rsidRDefault="00C506EE" w:rsidP="00C506EE">
      <w:pPr>
        <w:pStyle w:val="Prrafodelista"/>
        <w:numPr>
          <w:ilvl w:val="0"/>
          <w:numId w:val="17"/>
        </w:numPr>
        <w:spacing w:line="276" w:lineRule="auto"/>
        <w:jc w:val="both"/>
        <w:rPr>
          <w:rFonts w:ascii="Verdana" w:eastAsia="Calibri" w:hAnsi="Verdana" w:cs="Arial"/>
          <w:i/>
          <w:color w:val="000000" w:themeColor="text1"/>
          <w:sz w:val="20"/>
          <w:szCs w:val="20"/>
        </w:rPr>
      </w:pPr>
      <w:r w:rsidRPr="00231D7F">
        <w:rPr>
          <w:rFonts w:ascii="Verdana" w:eastAsia="Century Gothic" w:hAnsi="Verdana" w:cs="Century Gothic"/>
          <w:color w:val="000000" w:themeColor="text1"/>
        </w:rPr>
        <w:t>En los procesos de selección cuyo acto administrativo de apertura o invitación se publique a partir del 1 de julio de 2021 las Entidades Estatales deberán tener en cuenta la información financiera y organizacional que esté vigente y en firme en el RUP.</w:t>
      </w:r>
    </w:p>
    <w:p w14:paraId="6EE04749"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w:t>
      </w:r>
      <w:r w:rsidRPr="00231D7F">
        <w:rPr>
          <w:rFonts w:ascii="Verdana" w:eastAsia="Century Gothic" w:hAnsi="Verdana" w:cs="Century Gothic"/>
          <w:i/>
          <w:iCs/>
          <w:color w:val="000000" w:themeColor="text1"/>
        </w:rPr>
        <w:t>el mejor año fiscal que se refleje en el registro</w:t>
      </w:r>
      <w:r w:rsidRPr="00231D7F">
        <w:rPr>
          <w:rFonts w:ascii="Verdana" w:eastAsia="Century Gothic" w:hAnsi="Verdana" w:cs="Century Gothic"/>
          <w:color w:val="000000" w:themeColor="text1"/>
        </w:rPr>
        <w:t xml:space="preserve"> de cada proponente” (Énfasis fuera de texto). </w:t>
      </w:r>
    </w:p>
    <w:p w14:paraId="2D1BBBB9"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Dichas medidas se mantienen hasta el año 2023 en virtud de lo consagrado en el Decreto 1041 de 2022.</w:t>
      </w:r>
    </w:p>
    <w:p w14:paraId="1BFD79F5" w14:textId="77777777" w:rsidR="00C506EE"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w:t>
      </w:r>
      <w:r w:rsidRPr="00231D7F">
        <w:rPr>
          <w:rFonts w:ascii="Verdana" w:eastAsia="Century Gothic" w:hAnsi="Verdana" w:cs="Century Gothic"/>
        </w:rPr>
        <w:t>Decreto 1041 de 2022</w:t>
      </w:r>
      <w:r w:rsidRPr="00231D7F">
        <w:rPr>
          <w:rFonts w:ascii="Verdana" w:eastAsia="Century Gothic" w:hAnsi="Verdana" w:cs="Century Gothic"/>
          <w:color w:val="000000" w:themeColor="text1"/>
        </w:rPr>
        <w:t>, establece que “[…] las Entidades Estatales evaluarán estos indicadores, teniendo en cuenta el mejor año fiscal que se refleje en el registro de cada proponente</w:t>
      </w:r>
      <w:r w:rsidRPr="00231D7F">
        <w:rPr>
          <w:rFonts w:ascii="Verdana" w:eastAsia="Century Gothic" w:hAnsi="Verdana" w:cs="Century Gothic"/>
          <w:i/>
          <w:iCs/>
          <w:color w:val="000000" w:themeColor="text1"/>
        </w:rPr>
        <w:t xml:space="preserve">”, </w:t>
      </w:r>
      <w:r w:rsidRPr="00231D7F">
        <w:rPr>
          <w:rFonts w:ascii="Verdana" w:eastAsia="Century Gothic" w:hAnsi="Verdana" w:cs="Century Gothic"/>
          <w:color w:val="000000" w:themeColor="text1"/>
        </w:rPr>
        <w:t>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663C65FF" w14:textId="77777777" w:rsidR="00C506EE" w:rsidRPr="000A533E" w:rsidRDefault="00C506EE" w:rsidP="00C506EE">
      <w:pPr>
        <w:pStyle w:val="Prrafodelista"/>
        <w:spacing w:line="276" w:lineRule="auto"/>
        <w:jc w:val="both"/>
        <w:rPr>
          <w:rFonts w:ascii="Verdana" w:eastAsia="Century Gothic" w:hAnsi="Verdana" w:cs="Century Gothic"/>
          <w:color w:val="000000" w:themeColor="text1"/>
        </w:rPr>
      </w:pPr>
    </w:p>
    <w:p w14:paraId="3621D81B"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lastRenderedPageBreak/>
        <w:t xml:space="preserve">De la explicación anterior, se desprende que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4B6C4FEF"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154372A5"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5791F038"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14B96ABD"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00231D7F">
        <w:rPr>
          <w:rFonts w:ascii="Verdana" w:eastAsia="Century Gothic" w:hAnsi="Verdana" w:cs="Century Gothic"/>
          <w:i/>
          <w:iCs/>
          <w:color w:val="000000" w:themeColor="text1"/>
        </w:rPr>
        <w:t>ibidem</w:t>
      </w:r>
      <w:r w:rsidRPr="00231D7F">
        <w:rPr>
          <w:rFonts w:ascii="Verdana" w:eastAsia="Century Gothic" w:hAnsi="Verdana" w:cs="Century Gothic"/>
          <w:color w:val="000000" w:themeColor="text1"/>
        </w:rPr>
        <w:t xml:space="preserve"> –adicionados por el art. 6 del Decreto 399 de 2021 y sustituido por el art. 3 del Decreto 579 de 2021– es inaplicable por sustracción de materia. En consecuencia, cesa la posibilidad de acreditar los indicadores </w:t>
      </w:r>
      <w:r w:rsidRPr="00231D7F">
        <w:rPr>
          <w:rFonts w:ascii="Verdana" w:eastAsia="Century Gothic" w:hAnsi="Verdana" w:cs="Century Gothic"/>
          <w:color w:val="000000" w:themeColor="text1"/>
        </w:rPr>
        <w:lastRenderedPageBreak/>
        <w:t xml:space="preserve">de los numerales 3 y 4 artículo 2.2.1.1.1.5.3 </w:t>
      </w:r>
      <w:r w:rsidRPr="00231D7F">
        <w:rPr>
          <w:rFonts w:ascii="Verdana" w:eastAsia="Century Gothic" w:hAnsi="Verdana" w:cs="Century Gothic"/>
          <w:i/>
          <w:iCs/>
          <w:color w:val="000000" w:themeColor="text1"/>
        </w:rPr>
        <w:t>ibidem</w:t>
      </w:r>
      <w:r w:rsidRPr="00231D7F">
        <w:rPr>
          <w:rFonts w:ascii="Verdana" w:eastAsia="Century Gothic" w:hAnsi="Verdana" w:cs="Century Gothic"/>
          <w:color w:val="000000" w:themeColor="text1"/>
        </w:rPr>
        <w:t xml:space="preserve"> teniendo en cuenta el mejor año fiscal que se refleje en el registro de cada proponente.</w:t>
      </w:r>
    </w:p>
    <w:p w14:paraId="284098B2" w14:textId="77777777" w:rsidR="00C506EE" w:rsidRPr="00231D7F" w:rsidRDefault="00C506EE" w:rsidP="00C506EE">
      <w:pPr>
        <w:spacing w:line="276" w:lineRule="auto"/>
        <w:ind w:firstLine="708"/>
        <w:contextualSpacing/>
        <w:jc w:val="both"/>
        <w:rPr>
          <w:rFonts w:ascii="Verdana" w:eastAsia="Century Gothic" w:hAnsi="Verdana" w:cs="Century Gothic"/>
          <w:color w:val="000000" w:themeColor="text1"/>
        </w:rPr>
      </w:pPr>
    </w:p>
    <w:p w14:paraId="512EBBCE" w14:textId="77777777" w:rsidR="00C506EE" w:rsidRPr="00231D7F"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14:paraId="08E7B132" w14:textId="77777777" w:rsidR="00C506EE" w:rsidRPr="00231D7F" w:rsidRDefault="00C506EE" w:rsidP="00C506EE">
      <w:pPr>
        <w:spacing w:line="276" w:lineRule="auto"/>
        <w:ind w:firstLine="780"/>
        <w:contextualSpacing/>
        <w:jc w:val="both"/>
        <w:rPr>
          <w:rFonts w:ascii="Verdana" w:eastAsia="Century Gothic" w:hAnsi="Verdana" w:cs="Century Gothic"/>
          <w:color w:val="000000" w:themeColor="text1"/>
        </w:rPr>
      </w:pPr>
    </w:p>
    <w:p w14:paraId="3B857919" w14:textId="77777777" w:rsidR="00C506EE" w:rsidRDefault="00C506EE" w:rsidP="00C506EE">
      <w:pPr>
        <w:pStyle w:val="Prrafodelista"/>
        <w:numPr>
          <w:ilvl w:val="0"/>
          <w:numId w:val="17"/>
        </w:numPr>
        <w:spacing w:line="276" w:lineRule="auto"/>
        <w:jc w:val="both"/>
        <w:rPr>
          <w:rFonts w:ascii="Verdana" w:eastAsia="Century Gothic" w:hAnsi="Verdana" w:cs="Century Gothic"/>
          <w:color w:val="000000" w:themeColor="text1"/>
        </w:rPr>
      </w:pPr>
      <w:r w:rsidRPr="00231D7F">
        <w:rPr>
          <w:rFonts w:ascii="Verdana" w:eastAsia="Century Gothic" w:hAnsi="Verdana" w:cs="Century Gothic"/>
          <w:color w:val="000000" w:themeColor="text1"/>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0A8374D3" w14:textId="77777777" w:rsidR="00C506EE" w:rsidRPr="00F8006E" w:rsidRDefault="00C506EE" w:rsidP="00C506EE">
      <w:pPr>
        <w:pStyle w:val="Prrafodelista"/>
        <w:rPr>
          <w:rFonts w:ascii="Verdana" w:eastAsia="Century Gothic" w:hAnsi="Verdana" w:cs="Century Gothic"/>
          <w:color w:val="000000" w:themeColor="text1"/>
        </w:rPr>
      </w:pPr>
    </w:p>
    <w:p w14:paraId="702573BA" w14:textId="0DE2D6E7" w:rsidR="00C506EE" w:rsidRPr="000F60AB" w:rsidRDefault="00C506EE" w:rsidP="00C506EE">
      <w:pPr>
        <w:pStyle w:val="Prrafodelista"/>
        <w:numPr>
          <w:ilvl w:val="0"/>
          <w:numId w:val="17"/>
        </w:numPr>
        <w:spacing w:line="276" w:lineRule="auto"/>
        <w:jc w:val="both"/>
        <w:rPr>
          <w:rFonts w:ascii="Verdana" w:eastAsia="Calibri" w:hAnsi="Verdana" w:cs="Arial"/>
        </w:rPr>
      </w:pPr>
      <w:r>
        <w:rPr>
          <w:rFonts w:ascii="Verdana" w:eastAsia="Century Gothic" w:hAnsi="Verdana" w:cs="Century Gothic"/>
          <w:color w:val="000000" w:themeColor="text1"/>
        </w:rPr>
        <w:t xml:space="preserve">En segundo lugar, en relación con la capacidad de organización, es menester explicar que, </w:t>
      </w:r>
      <w:r>
        <w:rPr>
          <w:rFonts w:ascii="Verdana" w:eastAsia="Calibri" w:hAnsi="Verdana" w:cs="Arial"/>
        </w:rPr>
        <w:t>l</w:t>
      </w:r>
      <w:r w:rsidRPr="000F60AB">
        <w:rPr>
          <w:rFonts w:ascii="Verdana" w:eastAsia="Calibri" w:hAnsi="Verdana" w:cs="Arial"/>
        </w:rPr>
        <w:t>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con anterioridad afecten su capacidad para cumplir con el objeto del contrato que está en proceso de selección</w:t>
      </w:r>
      <w:r w:rsidRPr="000F60AB">
        <w:rPr>
          <w:rStyle w:val="Refdenotaalpie"/>
          <w:rFonts w:ascii="Verdana" w:eastAsia="Calibri" w:hAnsi="Verdana" w:cs="Arial"/>
        </w:rPr>
        <w:footnoteReference w:id="3"/>
      </w:r>
      <w:r w:rsidRPr="000F60AB">
        <w:rPr>
          <w:rFonts w:ascii="Verdana" w:eastAsia="Calibri" w:hAnsi="Verdana" w:cs="Arial"/>
        </w:rPr>
        <w:t xml:space="preserve">. El Consejo de Estado ha definido la </w:t>
      </w:r>
      <w:r w:rsidRPr="000F60AB">
        <w:rPr>
          <w:rFonts w:ascii="Verdana" w:eastAsia="Calibri" w:hAnsi="Verdana" w:cs="Arial"/>
        </w:rPr>
        <w:lastRenderedPageBreak/>
        <w:t>capacidad residual como “la diferencia que existe entre el potencial de contratación que se tiene y los compromisos que haya adquirido y que se encuentren en ejecución, para la fecha de presentación de la oferta”</w:t>
      </w:r>
      <w:r w:rsidRPr="000F60AB">
        <w:rPr>
          <w:rStyle w:val="Refdenotaalpie"/>
          <w:rFonts w:ascii="Verdana" w:eastAsia="Calibri" w:hAnsi="Verdana" w:cs="Arial"/>
        </w:rPr>
        <w:footnoteReference w:id="4"/>
      </w:r>
    </w:p>
    <w:p w14:paraId="67D5A5CC" w14:textId="77777777" w:rsidR="00C506EE" w:rsidRPr="000F60AB" w:rsidRDefault="00C506EE" w:rsidP="00C506EE">
      <w:pPr>
        <w:pStyle w:val="Prrafodelista"/>
        <w:spacing w:line="276" w:lineRule="auto"/>
        <w:rPr>
          <w:rFonts w:ascii="Verdana" w:eastAsia="Calibri" w:hAnsi="Verdana" w:cs="Arial"/>
        </w:rPr>
      </w:pPr>
    </w:p>
    <w:p w14:paraId="0A466D70" w14:textId="77777777" w:rsidR="00C506EE" w:rsidRPr="000F60AB" w:rsidRDefault="00C506EE" w:rsidP="00C506EE">
      <w:pPr>
        <w:pStyle w:val="Prrafodelista"/>
        <w:numPr>
          <w:ilvl w:val="0"/>
          <w:numId w:val="17"/>
        </w:numPr>
        <w:spacing w:line="276" w:lineRule="auto"/>
        <w:jc w:val="both"/>
        <w:rPr>
          <w:rFonts w:ascii="Verdana" w:eastAsia="Calibri" w:hAnsi="Verdana" w:cs="Arial"/>
        </w:rPr>
      </w:pPr>
      <w:r w:rsidRPr="000F60AB">
        <w:rPr>
          <w:rFonts w:ascii="Verdana" w:eastAsia="Calibri" w:hAnsi="Verdana" w:cs="Arial"/>
        </w:rPr>
        <w:t>Por su parte, el artículo 2.2.1.1.1.6.4 del Decreto 1082 de 2015 dispuso que las entidades estatales deben calcular la capacidad residual conforme a la metodología definida por Colombia Compra Eficiente y precisó que, para tales fines, resulta necesario tener en cuenta los factores de: i) experiencia; ii) capacidad financiera; iii) capacidad técnica; iv) capacidad de organización; y v) los saldos de los contratos en ejecución, así:</w:t>
      </w:r>
    </w:p>
    <w:p w14:paraId="4AE10B7F" w14:textId="77777777" w:rsidR="00C506EE" w:rsidRPr="000F60AB" w:rsidRDefault="00C506EE" w:rsidP="00C506EE">
      <w:pPr>
        <w:pStyle w:val="Prrafodelista"/>
        <w:jc w:val="both"/>
        <w:rPr>
          <w:rFonts w:ascii="Verdana" w:eastAsia="Calibri" w:hAnsi="Verdana" w:cs="Arial"/>
        </w:rPr>
      </w:pPr>
    </w:p>
    <w:p w14:paraId="3682EE9D" w14:textId="77777777" w:rsidR="00C506EE" w:rsidRPr="000F60AB" w:rsidRDefault="00C506EE" w:rsidP="00C506EE">
      <w:pPr>
        <w:pStyle w:val="Prrafodelista"/>
        <w:spacing w:line="240" w:lineRule="auto"/>
        <w:ind w:left="1491" w:right="357"/>
        <w:jc w:val="both"/>
        <w:rPr>
          <w:rFonts w:ascii="Verdana" w:eastAsia="Calibri" w:hAnsi="Verdana" w:cs="Arial"/>
          <w:sz w:val="20"/>
          <w:szCs w:val="20"/>
        </w:rPr>
      </w:pPr>
      <w:r w:rsidRPr="000F60AB">
        <w:rPr>
          <w:rFonts w:ascii="Verdana" w:eastAsia="Calibri" w:hAnsi="Verdana" w:cs="Arial"/>
          <w:sz w:val="20"/>
          <w:szCs w:val="20"/>
        </w:rPr>
        <w:t>“Artículo 2.2.1.1.1.6.4. Capacidad Residual. El interesado en celebrar contratos de obra pública con Entidades Estatales debe acreditar su Capacidad Residual o K de Contratación con los siguientes documentos: (…)</w:t>
      </w:r>
    </w:p>
    <w:p w14:paraId="5808D0F4" w14:textId="77777777" w:rsidR="00C506EE" w:rsidRPr="000F60AB" w:rsidRDefault="00C506EE" w:rsidP="00C506EE">
      <w:pPr>
        <w:pStyle w:val="Prrafodelista"/>
        <w:spacing w:line="240" w:lineRule="auto"/>
        <w:ind w:left="1491" w:right="357"/>
        <w:jc w:val="both"/>
        <w:rPr>
          <w:rFonts w:ascii="Verdana" w:eastAsia="Calibri" w:hAnsi="Verdana" w:cs="Arial"/>
          <w:sz w:val="20"/>
          <w:szCs w:val="20"/>
        </w:rPr>
      </w:pPr>
      <w:r w:rsidRPr="000F60AB">
        <w:rPr>
          <w:rFonts w:ascii="Verdana" w:eastAsia="Calibri" w:hAnsi="Verdana" w:cs="Arial"/>
          <w:sz w:val="20"/>
          <w:szCs w:val="20"/>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65450B43" w14:textId="77777777" w:rsidR="00C506EE" w:rsidRPr="000F60AB" w:rsidRDefault="00C506EE" w:rsidP="00C506EE">
      <w:pPr>
        <w:pStyle w:val="Prrafodelista"/>
        <w:spacing w:line="240" w:lineRule="auto"/>
        <w:ind w:left="1491" w:right="357"/>
        <w:jc w:val="both"/>
        <w:rPr>
          <w:rFonts w:ascii="Verdana" w:eastAsia="Calibri" w:hAnsi="Verdana" w:cs="Arial"/>
          <w:sz w:val="20"/>
          <w:szCs w:val="20"/>
        </w:rPr>
      </w:pPr>
    </w:p>
    <w:p w14:paraId="24CDF563" w14:textId="77777777" w:rsidR="00C506EE" w:rsidRPr="000F60AB" w:rsidRDefault="00C506EE" w:rsidP="00C506EE">
      <w:pPr>
        <w:pStyle w:val="Prrafodelista"/>
        <w:numPr>
          <w:ilvl w:val="0"/>
          <w:numId w:val="17"/>
        </w:numPr>
        <w:jc w:val="both"/>
        <w:rPr>
          <w:rFonts w:ascii="Verdana" w:eastAsia="Calibri" w:hAnsi="Verdana" w:cs="Arial"/>
        </w:rPr>
      </w:pPr>
      <w:r w:rsidRPr="000F60AB">
        <w:rPr>
          <w:rFonts w:ascii="Verdana" w:eastAsia="Calibri" w:hAnsi="Verdana" w:cs="Arial"/>
        </w:rPr>
        <w:t xml:space="preserve">De conformidad con lo anterior, 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 i) La lista de los Contratos en Ejecución, así como el valor y plazo de tales contratos. ii) La lista de los Contratos en Ejecución, suscritos por sociedades, consorcios o uniones temporales, en los cuales el proponente tenga participación, así como el valor y plazo de tales contratos. iii) 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w:t>
      </w:r>
      <w:r w:rsidRPr="000F60AB">
        <w:rPr>
          <w:rFonts w:ascii="Verdana" w:eastAsia="Calibri" w:hAnsi="Verdana" w:cs="Arial"/>
        </w:rPr>
        <w:lastRenderedPageBreak/>
        <w:t>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0C4BADF6" w14:textId="77777777" w:rsidR="00C506EE" w:rsidRPr="000F60AB" w:rsidRDefault="00C506EE" w:rsidP="00C506EE">
      <w:pPr>
        <w:pStyle w:val="Prrafodelista"/>
        <w:jc w:val="both"/>
        <w:rPr>
          <w:rFonts w:ascii="Verdana" w:eastAsia="Calibri" w:hAnsi="Verdana" w:cs="Arial"/>
        </w:rPr>
      </w:pPr>
    </w:p>
    <w:p w14:paraId="4E5D656C" w14:textId="77777777" w:rsidR="00C506EE" w:rsidRPr="000F60AB" w:rsidRDefault="00C506EE" w:rsidP="00C506EE">
      <w:pPr>
        <w:pStyle w:val="Prrafodelista"/>
        <w:numPr>
          <w:ilvl w:val="0"/>
          <w:numId w:val="17"/>
        </w:numPr>
        <w:jc w:val="both"/>
        <w:rPr>
          <w:rFonts w:ascii="Verdana" w:eastAsia="Calibri" w:hAnsi="Verdana" w:cs="Arial"/>
        </w:rPr>
      </w:pPr>
      <w:r w:rsidRPr="000F60AB">
        <w:rPr>
          <w:rFonts w:ascii="Verdana" w:eastAsia="Calibri" w:hAnsi="Verdana" w:cs="Arial"/>
        </w:rPr>
        <w:t>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7008BCC5" w14:textId="77777777" w:rsidR="00C506EE" w:rsidRPr="000F60AB" w:rsidRDefault="00C506EE" w:rsidP="00C506EE">
      <w:pPr>
        <w:pStyle w:val="Prrafodelista"/>
        <w:jc w:val="both"/>
        <w:rPr>
          <w:rFonts w:ascii="Verdana" w:eastAsia="Calibri" w:hAnsi="Verdana" w:cs="Arial"/>
        </w:rPr>
      </w:pPr>
    </w:p>
    <w:p w14:paraId="1A3EB7EC" w14:textId="77777777" w:rsidR="00C506EE" w:rsidRPr="000F60AB" w:rsidRDefault="00C506EE" w:rsidP="00C506EE">
      <w:pPr>
        <w:pStyle w:val="Prrafodelista"/>
        <w:numPr>
          <w:ilvl w:val="0"/>
          <w:numId w:val="17"/>
        </w:numPr>
        <w:jc w:val="both"/>
        <w:rPr>
          <w:rFonts w:ascii="Verdana" w:eastAsia="Calibri" w:hAnsi="Verdana" w:cs="Arial"/>
        </w:rPr>
      </w:pPr>
      <w:r w:rsidRPr="000F60AB">
        <w:rPr>
          <w:rFonts w:ascii="Verdana" w:eastAsia="Calibri" w:hAnsi="Verdana" w:cs="Arial"/>
        </w:rPr>
        <w:t xml:space="preserve">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w:t>
      </w:r>
      <w:r w:rsidRPr="001E6732">
        <w:rPr>
          <w:rFonts w:ascii="Verdana" w:eastAsia="Calibri" w:hAnsi="Verdana" w:cs="Arial"/>
          <w:u w:val="single"/>
        </w:rPr>
        <w:t>capacidad de organización “CO”</w:t>
      </w:r>
      <w:r w:rsidRPr="000F60AB">
        <w:rPr>
          <w:rFonts w:ascii="Verdana" w:eastAsia="Calibri" w:hAnsi="Verdana" w:cs="Arial"/>
        </w:rPr>
        <w:t>; y v) los saldos de los contratos en ejecución “SCE”, según la siguiente fórmula:</w:t>
      </w:r>
    </w:p>
    <w:p w14:paraId="73229101" w14:textId="77777777" w:rsidR="00C506EE" w:rsidRPr="000F60AB" w:rsidRDefault="00C506EE" w:rsidP="00C506EE">
      <w:pPr>
        <w:pStyle w:val="Prrafodelista"/>
        <w:rPr>
          <w:rFonts w:ascii="Verdana" w:eastAsia="Calibri" w:hAnsi="Verdana" w:cs="Arial"/>
        </w:rPr>
      </w:pPr>
    </w:p>
    <w:p w14:paraId="1021BD04" w14:textId="77777777" w:rsidR="00C506EE" w:rsidRPr="000F60AB" w:rsidRDefault="00C506EE" w:rsidP="00C506EE">
      <w:pPr>
        <w:pStyle w:val="Prrafodelista"/>
        <w:rPr>
          <w:rFonts w:ascii="Verdana" w:eastAsia="Calibri" w:hAnsi="Verdana" w:cs="Arial"/>
        </w:rPr>
      </w:pPr>
      <w:r w:rsidRPr="000F60AB">
        <w:rPr>
          <w:rFonts w:ascii="Verdana" w:hAnsi="Verdana"/>
          <w:noProof/>
          <w:sz w:val="20"/>
        </w:rPr>
        <w:drawing>
          <wp:inline distT="0" distB="0" distL="0" distR="0" wp14:anchorId="0F134903" wp14:editId="71E4BC6C">
            <wp:extent cx="4641315" cy="674846"/>
            <wp:effectExtent l="0" t="0" r="0" b="0"/>
            <wp:docPr id="5" name="image3.png"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cono&#10;&#10;Descripción generada automáticamente con confianza media"/>
                    <pic:cNvPicPr/>
                  </pic:nvPicPr>
                  <pic:blipFill>
                    <a:blip r:embed="rId14" cstate="print"/>
                    <a:stretch>
                      <a:fillRect/>
                    </a:stretch>
                  </pic:blipFill>
                  <pic:spPr>
                    <a:xfrm>
                      <a:off x="0" y="0"/>
                      <a:ext cx="4641315" cy="674846"/>
                    </a:xfrm>
                    <a:prstGeom prst="rect">
                      <a:avLst/>
                    </a:prstGeom>
                  </pic:spPr>
                </pic:pic>
              </a:graphicData>
            </a:graphic>
          </wp:inline>
        </w:drawing>
      </w:r>
    </w:p>
    <w:p w14:paraId="795CFA6C" w14:textId="77777777" w:rsidR="00C506EE" w:rsidRPr="000F60AB" w:rsidRDefault="00C506EE" w:rsidP="00C506EE">
      <w:pPr>
        <w:pStyle w:val="Prrafodelista"/>
        <w:rPr>
          <w:rFonts w:ascii="Verdana" w:eastAsia="Calibri" w:hAnsi="Verdana" w:cs="Arial"/>
        </w:rPr>
      </w:pPr>
    </w:p>
    <w:p w14:paraId="7EFFF55F" w14:textId="77777777" w:rsidR="00C506EE" w:rsidRPr="000F60AB" w:rsidRDefault="00C506EE" w:rsidP="00C506EE">
      <w:pPr>
        <w:pStyle w:val="Prrafodelista"/>
        <w:numPr>
          <w:ilvl w:val="0"/>
          <w:numId w:val="17"/>
        </w:numPr>
        <w:spacing w:after="0" w:line="276" w:lineRule="auto"/>
        <w:jc w:val="both"/>
        <w:rPr>
          <w:rFonts w:ascii="Verdana" w:eastAsia="Calibri" w:hAnsi="Verdana" w:cs="Arial"/>
        </w:rPr>
      </w:pPr>
      <w:r w:rsidRPr="000F60AB">
        <w:rPr>
          <w:rFonts w:ascii="Verdana" w:eastAsia="Calibri" w:hAnsi="Verdana" w:cs="Arial"/>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3C752C55" w14:textId="77777777" w:rsidR="00C506EE" w:rsidRPr="000F60AB" w:rsidRDefault="00C506EE" w:rsidP="00C506EE">
      <w:pPr>
        <w:pStyle w:val="Prrafodelista"/>
        <w:numPr>
          <w:ilvl w:val="0"/>
          <w:numId w:val="20"/>
        </w:numPr>
        <w:spacing w:after="0" w:line="276" w:lineRule="auto"/>
        <w:jc w:val="both"/>
        <w:rPr>
          <w:rFonts w:ascii="Verdana" w:eastAsia="Calibri" w:hAnsi="Verdana" w:cs="Arial"/>
        </w:rPr>
      </w:pPr>
      <w:r w:rsidRPr="000F60AB">
        <w:rPr>
          <w:rFonts w:ascii="Verdana" w:eastAsia="Calibri" w:hAnsi="Verdana" w:cs="Arial"/>
          <w:i/>
          <w:iCs/>
        </w:rPr>
        <w:t xml:space="preserve">Capacidad financiera. </w:t>
      </w:r>
      <w:r w:rsidRPr="000F60AB">
        <w:rPr>
          <w:rFonts w:ascii="Verdana" w:eastAsia="Calibri" w:hAnsi="Verdana" w:cs="Arial"/>
        </w:rPr>
        <w:t>Se mide por el “índice de liquidez” y este, a su vez, corresponde al resultado de dividir el “activo corriente” sobre el “pasivo corriente”. El resultado puede ser calificado entre 20 y cuarenta puntos, según se explica en la Guía.</w:t>
      </w:r>
    </w:p>
    <w:p w14:paraId="7632853A" w14:textId="77777777" w:rsidR="00C506EE" w:rsidRPr="000F60AB" w:rsidRDefault="00C506EE" w:rsidP="00C506EE">
      <w:pPr>
        <w:pStyle w:val="Prrafodelista"/>
        <w:spacing w:after="0" w:line="276" w:lineRule="auto"/>
        <w:ind w:left="1440"/>
        <w:jc w:val="both"/>
        <w:rPr>
          <w:rFonts w:ascii="Verdana" w:eastAsia="Calibri" w:hAnsi="Verdana" w:cs="Arial"/>
        </w:rPr>
      </w:pPr>
    </w:p>
    <w:p w14:paraId="0B2E05CC" w14:textId="77777777" w:rsidR="00C506EE" w:rsidRPr="000F60AB" w:rsidRDefault="00C506EE" w:rsidP="00C506EE">
      <w:pPr>
        <w:pStyle w:val="Prrafodelista"/>
        <w:numPr>
          <w:ilvl w:val="0"/>
          <w:numId w:val="20"/>
        </w:numPr>
        <w:spacing w:after="0" w:line="276" w:lineRule="auto"/>
        <w:jc w:val="both"/>
        <w:rPr>
          <w:rFonts w:ascii="Verdana" w:eastAsia="Calibri" w:hAnsi="Verdana" w:cs="Arial"/>
        </w:rPr>
      </w:pPr>
      <w:r w:rsidRPr="6C4B7E1C">
        <w:rPr>
          <w:rFonts w:ascii="Verdana" w:eastAsia="Calibri" w:hAnsi="Verdana" w:cs="Arial"/>
          <w:i/>
          <w:iCs/>
        </w:rPr>
        <w:t>Capacidad técnica.</w:t>
      </w:r>
      <w:r w:rsidRPr="6C4B7E1C">
        <w:rPr>
          <w:rFonts w:ascii="Verdana" w:eastAsia="Calibri" w:hAnsi="Verdana" w:cs="Arial"/>
        </w:rPr>
        <w:t xml:space="preserve"> Se determina teniendo en cuenta el número de socios y profesionales de la arquitectura, ingeniería y geología vinculados mediante una relación laboral o contractual. </w:t>
      </w:r>
      <w:bookmarkStart w:id="1" w:name="_Int_RGopuZvY"/>
      <w:proofErr w:type="gramStart"/>
      <w:r w:rsidRPr="6C4B7E1C">
        <w:rPr>
          <w:rFonts w:ascii="Verdana" w:eastAsia="Calibri" w:hAnsi="Verdana" w:cs="Arial"/>
        </w:rPr>
        <w:t>El puntaje a asignar</w:t>
      </w:r>
      <w:bookmarkEnd w:id="1"/>
      <w:proofErr w:type="gramEnd"/>
      <w:r w:rsidRPr="6C4B7E1C">
        <w:rPr>
          <w:rFonts w:ascii="Verdana" w:eastAsia="Calibri" w:hAnsi="Verdana" w:cs="Arial"/>
        </w:rPr>
        <w:t>, según la Guía, oscila entre 20 y 40 puntos. Para tales fines, se aclara que el proponente debe diligenciar el Anexo 2 de la “Guía para Determinar y Verificar la Capacidad Residual del Proponente en los Procesos de Contratación de Obra Pública” −este es diferente al Anexo 2 de los Documentos Tipo−.</w:t>
      </w:r>
    </w:p>
    <w:p w14:paraId="7FA1232B" w14:textId="77777777" w:rsidR="00C506EE" w:rsidRPr="000F60AB" w:rsidRDefault="00C506EE" w:rsidP="00C506EE">
      <w:pPr>
        <w:pStyle w:val="Prrafodelista"/>
        <w:rPr>
          <w:rFonts w:ascii="Verdana" w:eastAsia="Calibri" w:hAnsi="Verdana" w:cs="Arial"/>
        </w:rPr>
      </w:pPr>
    </w:p>
    <w:p w14:paraId="63CF346F" w14:textId="77777777" w:rsidR="00C506EE" w:rsidRPr="000F60AB" w:rsidRDefault="00C506EE" w:rsidP="00C506EE">
      <w:pPr>
        <w:pStyle w:val="Prrafodelista"/>
        <w:numPr>
          <w:ilvl w:val="0"/>
          <w:numId w:val="20"/>
        </w:numPr>
        <w:spacing w:after="0" w:line="276" w:lineRule="auto"/>
        <w:jc w:val="both"/>
        <w:rPr>
          <w:rFonts w:ascii="Verdana" w:eastAsia="Calibri" w:hAnsi="Verdana" w:cs="Arial"/>
        </w:rPr>
      </w:pPr>
      <w:r w:rsidRPr="001E6732">
        <w:rPr>
          <w:rFonts w:ascii="Verdana" w:eastAsia="Calibri" w:hAnsi="Verdana" w:cs="Arial"/>
          <w:i/>
          <w:iCs/>
          <w:u w:val="single"/>
        </w:rPr>
        <w:t>Capacidad de organización</w:t>
      </w:r>
      <w:r w:rsidRPr="000F60AB">
        <w:rPr>
          <w:rFonts w:ascii="Verdana" w:eastAsia="Calibri" w:hAnsi="Verdana" w:cs="Arial"/>
          <w:i/>
          <w:iCs/>
        </w:rPr>
        <w:t>.</w:t>
      </w:r>
      <w:r w:rsidRPr="000F60AB">
        <w:rPr>
          <w:rFonts w:ascii="Verdana" w:eastAsia="Calibri" w:hAnsi="Verdana" w:cs="Arial"/>
        </w:rPr>
        <w:t xml:space="preserve"> Corresponde a los ingresos operacionales, según el siguiente cuadro:</w:t>
      </w:r>
    </w:p>
    <w:p w14:paraId="1F1B846E" w14:textId="77777777" w:rsidR="00C506EE" w:rsidRPr="000F60AB" w:rsidRDefault="00C506EE" w:rsidP="00C506EE">
      <w:pPr>
        <w:pStyle w:val="Prrafodelista"/>
        <w:spacing w:line="276" w:lineRule="auto"/>
        <w:ind w:left="1440"/>
        <w:jc w:val="both"/>
        <w:rPr>
          <w:rFonts w:ascii="Verdana" w:eastAsia="Calibri" w:hAnsi="Verdana" w:cs="Arial"/>
          <w:color w:val="7030A0"/>
        </w:rPr>
      </w:pPr>
    </w:p>
    <w:tbl>
      <w:tblPr>
        <w:tblStyle w:val="Tablaconcuadrcula"/>
        <w:tblW w:w="7522" w:type="dxa"/>
        <w:tblInd w:w="1317" w:type="dxa"/>
        <w:tblLook w:val="04A0" w:firstRow="1" w:lastRow="0" w:firstColumn="1" w:lastColumn="0" w:noHBand="0" w:noVBand="1"/>
      </w:tblPr>
      <w:tblGrid>
        <w:gridCol w:w="2481"/>
        <w:gridCol w:w="5041"/>
      </w:tblGrid>
      <w:tr w:rsidR="00C506EE" w:rsidRPr="000F60AB" w14:paraId="4BBC8EA2" w14:textId="77777777" w:rsidTr="00DE47AF">
        <w:tc>
          <w:tcPr>
            <w:tcW w:w="2481" w:type="dxa"/>
            <w:shd w:val="clear" w:color="auto" w:fill="4472C4" w:themeFill="accent1"/>
            <w:vAlign w:val="center"/>
          </w:tcPr>
          <w:p w14:paraId="7DB43E55" w14:textId="77777777" w:rsidR="00C506EE" w:rsidRPr="000F60AB" w:rsidRDefault="00C506EE" w:rsidP="00DE47AF">
            <w:pPr>
              <w:pStyle w:val="Prrafodelista"/>
              <w:spacing w:line="276" w:lineRule="auto"/>
              <w:ind w:left="0"/>
              <w:jc w:val="center"/>
              <w:rPr>
                <w:rFonts w:ascii="Verdana" w:eastAsia="Calibri" w:hAnsi="Verdana" w:cs="Arial"/>
                <w:color w:val="FFFFFF" w:themeColor="background1"/>
              </w:rPr>
            </w:pPr>
            <w:r w:rsidRPr="000F60AB">
              <w:rPr>
                <w:rFonts w:ascii="Verdana" w:eastAsia="Calibri" w:hAnsi="Verdana" w:cs="Arial"/>
                <w:color w:val="FFFFFF" w:themeColor="background1"/>
              </w:rPr>
              <w:t>Años de información financiera</w:t>
            </w:r>
          </w:p>
        </w:tc>
        <w:tc>
          <w:tcPr>
            <w:tcW w:w="5041" w:type="dxa"/>
            <w:shd w:val="clear" w:color="auto" w:fill="4472C4" w:themeFill="accent1"/>
            <w:vAlign w:val="center"/>
          </w:tcPr>
          <w:p w14:paraId="06C842EF" w14:textId="77777777" w:rsidR="00C506EE" w:rsidRPr="000F60AB" w:rsidRDefault="00C506EE" w:rsidP="00DE47AF">
            <w:pPr>
              <w:pStyle w:val="Prrafodelista"/>
              <w:spacing w:line="276" w:lineRule="auto"/>
              <w:ind w:left="0"/>
              <w:jc w:val="center"/>
              <w:rPr>
                <w:rFonts w:ascii="Verdana" w:eastAsia="Calibri" w:hAnsi="Verdana" w:cs="Arial"/>
                <w:color w:val="FFFFFF" w:themeColor="background1"/>
              </w:rPr>
            </w:pPr>
            <w:r w:rsidRPr="000F60AB">
              <w:rPr>
                <w:rFonts w:ascii="Verdana" w:eastAsia="Calibri" w:hAnsi="Verdana" w:cs="Arial"/>
                <w:color w:val="FFFFFF" w:themeColor="background1"/>
              </w:rPr>
              <w:t>Capacidad de Organización (CO)</w:t>
            </w:r>
          </w:p>
        </w:tc>
      </w:tr>
      <w:tr w:rsidR="00C506EE" w:rsidRPr="000F60AB" w14:paraId="17FB274F" w14:textId="77777777" w:rsidTr="00DE47AF">
        <w:tc>
          <w:tcPr>
            <w:tcW w:w="2481" w:type="dxa"/>
            <w:vAlign w:val="center"/>
          </w:tcPr>
          <w:p w14:paraId="1BB8C574"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rPr>
              <w:t>Cinco (5) años o más</w:t>
            </w:r>
          </w:p>
        </w:tc>
        <w:tc>
          <w:tcPr>
            <w:tcW w:w="5041" w:type="dxa"/>
            <w:vAlign w:val="center"/>
          </w:tcPr>
          <w:p w14:paraId="1A7BBC7F"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rPr>
              <w:t>Mayor ingreso operacional de los últimos cinco (5) años.</w:t>
            </w:r>
          </w:p>
        </w:tc>
      </w:tr>
      <w:tr w:rsidR="00C506EE" w:rsidRPr="000F60AB" w14:paraId="01868F71" w14:textId="77777777" w:rsidTr="00DE47AF">
        <w:tc>
          <w:tcPr>
            <w:tcW w:w="2481" w:type="dxa"/>
            <w:vAlign w:val="center"/>
          </w:tcPr>
          <w:p w14:paraId="191FCD01"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Entre uno (1) y cinco (5) años</w:t>
            </w:r>
          </w:p>
        </w:tc>
        <w:tc>
          <w:tcPr>
            <w:tcW w:w="5041" w:type="dxa"/>
            <w:vAlign w:val="center"/>
          </w:tcPr>
          <w:p w14:paraId="740867E4"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Mayor ingreso operacional de los años de vida del oferente</w:t>
            </w:r>
          </w:p>
        </w:tc>
      </w:tr>
      <w:tr w:rsidR="00C506EE" w:rsidRPr="000F60AB" w14:paraId="57A74D4E" w14:textId="77777777" w:rsidTr="00DE47AF">
        <w:tc>
          <w:tcPr>
            <w:tcW w:w="2481" w:type="dxa"/>
            <w:vAlign w:val="center"/>
          </w:tcPr>
          <w:p w14:paraId="22398E09"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Menos de un (1) año</w:t>
            </w:r>
          </w:p>
        </w:tc>
        <w:tc>
          <w:tcPr>
            <w:tcW w:w="5041" w:type="dxa"/>
            <w:vAlign w:val="center"/>
          </w:tcPr>
          <w:p w14:paraId="150ABAA7" w14:textId="77777777" w:rsidR="00C506EE" w:rsidRPr="000F60AB" w:rsidRDefault="00C506EE" w:rsidP="00DE47AF">
            <w:pPr>
              <w:pStyle w:val="Prrafodelista"/>
              <w:spacing w:line="276" w:lineRule="auto"/>
              <w:ind w:left="0"/>
              <w:rPr>
                <w:rFonts w:ascii="Verdana" w:eastAsia="Calibri" w:hAnsi="Verdana" w:cs="Arial"/>
              </w:rPr>
            </w:pPr>
            <w:r w:rsidRPr="000F60AB">
              <w:rPr>
                <w:rFonts w:ascii="Verdana" w:eastAsia="Calibri" w:hAnsi="Verdana" w:cs="Arial"/>
                <w:lang w:val="es-CO"/>
              </w:rPr>
              <w:t>USD 125.000 (Liquidados a la tasa de cambio determinada por el Ministerio de Comercio, Industria y Turismo cada 2 años para efectos del umbral del beneficio de las Mipyme.)</w:t>
            </w:r>
          </w:p>
        </w:tc>
      </w:tr>
    </w:tbl>
    <w:p w14:paraId="484D871C" w14:textId="77777777" w:rsidR="00C506EE" w:rsidRPr="000F60AB" w:rsidRDefault="00C506EE" w:rsidP="00C506EE">
      <w:pPr>
        <w:pStyle w:val="Prrafodelista"/>
        <w:spacing w:after="0" w:line="276" w:lineRule="auto"/>
        <w:ind w:left="1440"/>
        <w:jc w:val="both"/>
        <w:rPr>
          <w:rFonts w:ascii="Verdana" w:eastAsia="Calibri" w:hAnsi="Verdana" w:cs="Arial"/>
        </w:rPr>
      </w:pPr>
    </w:p>
    <w:p w14:paraId="61451031" w14:textId="77777777" w:rsidR="00C506EE" w:rsidRPr="000F60AB" w:rsidRDefault="00C506EE" w:rsidP="00C506EE">
      <w:pPr>
        <w:pStyle w:val="Prrafodelista"/>
        <w:rPr>
          <w:rFonts w:ascii="Verdana" w:eastAsia="Calibri" w:hAnsi="Verdana" w:cs="Arial"/>
        </w:rPr>
      </w:pPr>
    </w:p>
    <w:p w14:paraId="318B0B88" w14:textId="77777777" w:rsidR="00C506EE" w:rsidRPr="000F60AB" w:rsidRDefault="00C506EE" w:rsidP="00C506EE">
      <w:pPr>
        <w:pStyle w:val="Prrafodelista"/>
        <w:numPr>
          <w:ilvl w:val="0"/>
          <w:numId w:val="20"/>
        </w:numPr>
        <w:spacing w:after="0" w:line="276" w:lineRule="auto"/>
        <w:jc w:val="both"/>
        <w:rPr>
          <w:rFonts w:ascii="Verdana" w:eastAsia="Calibri" w:hAnsi="Verdana" w:cs="Arial"/>
        </w:rPr>
      </w:pPr>
      <w:r w:rsidRPr="000F60AB">
        <w:rPr>
          <w:rFonts w:ascii="Verdana" w:eastAsia="Calibri" w:hAnsi="Verdana" w:cs="Arial"/>
          <w:i/>
          <w:iCs/>
        </w:rPr>
        <w:t xml:space="preserve">Saldos de los contratos en ejecución. </w:t>
      </w:r>
      <w:r w:rsidRPr="000F60AB">
        <w:rPr>
          <w:rFonts w:ascii="Verdana" w:eastAsia="Calibri" w:hAnsi="Verdana" w:cs="Arial"/>
        </w:rPr>
        <w:t>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3E46312E" w14:textId="77777777" w:rsidR="00C506EE" w:rsidRPr="000F60AB" w:rsidRDefault="00C506EE" w:rsidP="00C506EE">
      <w:pPr>
        <w:pStyle w:val="Prrafodelista"/>
        <w:spacing w:after="0" w:line="276" w:lineRule="auto"/>
        <w:ind w:left="1440"/>
        <w:jc w:val="both"/>
        <w:rPr>
          <w:rFonts w:ascii="Verdana" w:eastAsia="Calibri" w:hAnsi="Verdana" w:cs="Arial"/>
        </w:rPr>
      </w:pPr>
    </w:p>
    <w:p w14:paraId="25D98435" w14:textId="77777777" w:rsidR="00C506EE" w:rsidRPr="000F60AB" w:rsidRDefault="00C506EE" w:rsidP="00C506EE">
      <w:pPr>
        <w:pStyle w:val="Prrafodelista"/>
        <w:numPr>
          <w:ilvl w:val="0"/>
          <w:numId w:val="20"/>
        </w:numPr>
        <w:spacing w:after="0" w:line="276" w:lineRule="auto"/>
        <w:jc w:val="both"/>
        <w:rPr>
          <w:rFonts w:ascii="Verdana" w:eastAsia="Calibri" w:hAnsi="Verdana" w:cs="Arial"/>
        </w:rPr>
      </w:pPr>
      <w:r w:rsidRPr="000F60AB">
        <w:rPr>
          <w:rFonts w:ascii="Verdana" w:eastAsia="Calibri" w:hAnsi="Verdana" w:cs="Arial"/>
          <w:i/>
          <w:iCs/>
        </w:rPr>
        <w:t>Experiencia.</w:t>
      </w:r>
      <w:r w:rsidRPr="000F60AB">
        <w:rPr>
          <w:rFonts w:ascii="Verdana" w:eastAsia="Calibri" w:hAnsi="Verdana" w:cs="Arial"/>
        </w:rPr>
        <w:t xml:space="preserve"> Para los efectos de la capacidad residual −no para la experiencia general que debe acreditar el contratista según la Matriz 1−, corresponde de un lado, a la relación entre “el valor total </w:t>
      </w:r>
      <w:r w:rsidRPr="000F60AB">
        <w:rPr>
          <w:rFonts w:ascii="Verdana" w:eastAsia="Calibri" w:hAnsi="Verdana" w:cs="Arial"/>
        </w:rPr>
        <w:lastRenderedPageBreak/>
        <w:t>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w:t>
      </w:r>
    </w:p>
    <w:p w14:paraId="24B1BE92" w14:textId="77777777" w:rsidR="00C506EE" w:rsidRPr="000F60AB" w:rsidRDefault="00C506EE" w:rsidP="00C506EE">
      <w:pPr>
        <w:pStyle w:val="Prrafodelista"/>
        <w:spacing w:after="0" w:line="276" w:lineRule="auto"/>
        <w:ind w:left="1440"/>
        <w:jc w:val="both"/>
        <w:rPr>
          <w:rFonts w:ascii="Verdana" w:eastAsia="Calibri" w:hAnsi="Verdana" w:cs="Arial"/>
        </w:rPr>
      </w:pPr>
      <w:r w:rsidRPr="000F60AB">
        <w:rPr>
          <w:rFonts w:ascii="Verdana" w:eastAsia="Calibri" w:hAnsi="Verdana" w:cs="Arial"/>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p>
    <w:p w14:paraId="51E8AE4C" w14:textId="77777777" w:rsidR="00C506EE" w:rsidRPr="00C30C60" w:rsidRDefault="00C506EE" w:rsidP="00C506EE">
      <w:pPr>
        <w:rPr>
          <w:rFonts w:ascii="Verdana" w:eastAsia="Calibri" w:hAnsi="Verdana" w:cs="Arial"/>
        </w:rPr>
      </w:pPr>
    </w:p>
    <w:p w14:paraId="6673697B" w14:textId="77777777" w:rsidR="00C506EE" w:rsidRPr="00F478C8" w:rsidRDefault="00C506EE" w:rsidP="00C506EE">
      <w:pPr>
        <w:pStyle w:val="Prrafodelista"/>
        <w:numPr>
          <w:ilvl w:val="0"/>
          <w:numId w:val="17"/>
        </w:numPr>
        <w:spacing w:after="0" w:line="276" w:lineRule="auto"/>
        <w:jc w:val="both"/>
        <w:rPr>
          <w:rFonts w:ascii="Verdana" w:eastAsia="Calibri" w:hAnsi="Verdana" w:cs="Arial"/>
        </w:rPr>
      </w:pPr>
      <w:r>
        <w:rPr>
          <w:rFonts w:ascii="Verdana" w:eastAsia="Calibri" w:hAnsi="Verdana" w:cs="Arial"/>
        </w:rPr>
        <w:t>Finalmente, es menester concluir que, p</w:t>
      </w:r>
      <w:r w:rsidRPr="00F478C8">
        <w:rPr>
          <w:rFonts w:ascii="Verdana" w:eastAsia="Calibri" w:hAnsi="Verdana" w:cs="Arial"/>
        </w:rPr>
        <w:t xml:space="preserve">ara acreditar el factor </w:t>
      </w:r>
      <w:r w:rsidRPr="009F12C2">
        <w:rPr>
          <w:rFonts w:ascii="Verdana" w:eastAsia="Calibri" w:hAnsi="Verdana" w:cs="Arial"/>
          <w:u w:val="single"/>
        </w:rPr>
        <w:t>Capacidad Organizacional (CO)</w:t>
      </w:r>
      <w:r w:rsidRPr="00F478C8">
        <w:rPr>
          <w:rFonts w:ascii="Verdana" w:eastAsia="Calibri" w:hAnsi="Verdana" w:cs="Arial"/>
        </w:rPr>
        <w:t xml:space="preserve">, el proponente obligado a tener RUP debe presentar los siguientes documentos: </w:t>
      </w:r>
    </w:p>
    <w:p w14:paraId="74A285A6" w14:textId="77777777" w:rsidR="00C506EE" w:rsidRPr="00F478C8" w:rsidRDefault="00C506EE" w:rsidP="00C506EE">
      <w:pPr>
        <w:pStyle w:val="Prrafodelista"/>
        <w:spacing w:after="0" w:line="276" w:lineRule="auto"/>
        <w:jc w:val="both"/>
        <w:rPr>
          <w:rFonts w:ascii="Verdana" w:eastAsia="Calibri" w:hAnsi="Verdana" w:cs="Arial"/>
        </w:rPr>
      </w:pPr>
    </w:p>
    <w:p w14:paraId="19EE15B6" w14:textId="77777777" w:rsidR="00C506EE" w:rsidRDefault="00C506EE" w:rsidP="00C506EE">
      <w:pPr>
        <w:pStyle w:val="Prrafodelista"/>
        <w:numPr>
          <w:ilvl w:val="0"/>
          <w:numId w:val="21"/>
        </w:numPr>
        <w:spacing w:after="0" w:line="276" w:lineRule="auto"/>
        <w:jc w:val="both"/>
        <w:rPr>
          <w:rFonts w:ascii="Verdana" w:eastAsia="Calibri" w:hAnsi="Verdana" w:cs="Arial"/>
        </w:rPr>
      </w:pPr>
      <w:r w:rsidRPr="00F478C8">
        <w:rPr>
          <w:rFonts w:ascii="Verdana" w:eastAsia="Calibri" w:hAnsi="Verdana" w:cs="Arial"/>
        </w:rPr>
        <w:t xml:space="preserve">Estado de resultados integral (estado de resultado o pérdida o ganancias) del año en que hayan obtenido el mayor ingreso operacional en los últimos cinco (5) años o de los años de vida del oferente, según corresponda, debidamente firmado por el representante legal y el contador público bajo cuya responsabilidad se han preparado y por el revisor fiscal o, en caso de no haberlo, por no estar obligado a tenerlo, por contador público independiente, acompañados de su dictamen u opinión de conformidad con el artículo 38 de la Ley 222 de 1995. </w:t>
      </w:r>
    </w:p>
    <w:p w14:paraId="5DC3A9E0" w14:textId="77777777" w:rsidR="00C506EE" w:rsidRPr="00F478C8" w:rsidRDefault="00C506EE" w:rsidP="00C506EE">
      <w:pPr>
        <w:pStyle w:val="Prrafodelista"/>
        <w:numPr>
          <w:ilvl w:val="0"/>
          <w:numId w:val="21"/>
        </w:numPr>
        <w:spacing w:after="0" w:line="276" w:lineRule="auto"/>
        <w:jc w:val="both"/>
        <w:rPr>
          <w:rFonts w:ascii="Verdana" w:eastAsia="Calibri" w:hAnsi="Verdana" w:cs="Arial"/>
        </w:rPr>
      </w:pPr>
      <w:r w:rsidRPr="00F478C8">
        <w:rPr>
          <w:rFonts w:ascii="Verdana" w:eastAsia="Calibri" w:hAnsi="Verdana" w:cs="Arial"/>
        </w:rPr>
        <w:t>Copia de la tarjeta profesional y certificado de antecedentes disciplinarios vigentes de los Contadores Públicos, Revisores Fiscales, Contadores independientes (externos), quienes suscribieron los documentos señalados en el presente literal.</w:t>
      </w:r>
    </w:p>
    <w:p w14:paraId="3658F082" w14:textId="77777777" w:rsidR="00C506EE" w:rsidRPr="00F478C8" w:rsidRDefault="00C506EE" w:rsidP="00C506EE">
      <w:pPr>
        <w:pStyle w:val="Prrafodelista"/>
        <w:spacing w:after="0" w:line="276" w:lineRule="auto"/>
        <w:jc w:val="both"/>
        <w:rPr>
          <w:rFonts w:ascii="Verdana" w:eastAsia="Calibri" w:hAnsi="Verdana" w:cs="Arial"/>
        </w:rPr>
      </w:pPr>
    </w:p>
    <w:p w14:paraId="0D0F87EB" w14:textId="77777777" w:rsidR="00C506EE" w:rsidRPr="00F478C8" w:rsidRDefault="00C506EE" w:rsidP="00C506EE">
      <w:pPr>
        <w:pStyle w:val="Prrafodelista"/>
        <w:numPr>
          <w:ilvl w:val="0"/>
          <w:numId w:val="17"/>
        </w:numPr>
        <w:spacing w:after="0" w:line="276" w:lineRule="auto"/>
        <w:jc w:val="both"/>
        <w:rPr>
          <w:rFonts w:ascii="Verdana" w:eastAsia="Calibri" w:hAnsi="Verdana" w:cs="Arial"/>
        </w:rPr>
      </w:pPr>
      <w:r>
        <w:rPr>
          <w:rFonts w:ascii="Verdana" w:eastAsia="Calibri" w:hAnsi="Verdana" w:cs="Arial"/>
        </w:rPr>
        <w:t>H</w:t>
      </w:r>
      <w:r w:rsidRPr="00F478C8">
        <w:rPr>
          <w:rFonts w:ascii="Verdana" w:eastAsia="Calibri" w:hAnsi="Verdana" w:cs="Arial"/>
        </w:rPr>
        <w:t>ay que mencionar que los numerales I y II, indican los documentos adicionales que deben presentar los oferentes obligados a tener RUP, es decir, en donde señala: “las Entidades Estatales solo deben solicitar como documento adicional el estado de resultados que contiene el mejor ingreso operacional de los últimos cinco (5) años puesto que la información de la liquidez se encuentra contenida en el RUP.”</w:t>
      </w:r>
    </w:p>
    <w:p w14:paraId="27DDE9EF" w14:textId="77777777" w:rsidR="00C506EE" w:rsidRPr="004C795F" w:rsidRDefault="00C506EE" w:rsidP="00C506EE">
      <w:pPr>
        <w:spacing w:line="276" w:lineRule="auto"/>
        <w:ind w:left="360"/>
        <w:jc w:val="both"/>
        <w:rPr>
          <w:rFonts w:ascii="Verdana" w:eastAsia="Century Gothic" w:hAnsi="Verdana" w:cs="Century Gothic"/>
          <w:color w:val="000000" w:themeColor="text1"/>
          <w:lang w:val="es-ES"/>
        </w:rPr>
      </w:pPr>
    </w:p>
    <w:p w14:paraId="07644C12" w14:textId="77777777" w:rsidR="00C506EE" w:rsidRPr="002363FC" w:rsidRDefault="00C506EE" w:rsidP="00C506EE">
      <w:pPr>
        <w:pStyle w:val="Prrafodelista"/>
        <w:spacing w:after="0" w:line="276" w:lineRule="auto"/>
        <w:jc w:val="both"/>
        <w:rPr>
          <w:rFonts w:ascii="Verdana" w:eastAsia="Calibri" w:hAnsi="Verdana" w:cs="Arial"/>
          <w:color w:val="7030A0"/>
        </w:rPr>
      </w:pPr>
    </w:p>
    <w:p w14:paraId="2DC704A4" w14:textId="77777777" w:rsidR="00C506EE" w:rsidRPr="00593A5F" w:rsidRDefault="00C506EE" w:rsidP="00C506EE">
      <w:pPr>
        <w:widowControl w:val="0"/>
        <w:autoSpaceDE w:val="0"/>
        <w:autoSpaceDN w:val="0"/>
        <w:spacing w:after="0" w:line="276" w:lineRule="auto"/>
        <w:jc w:val="both"/>
        <w:rPr>
          <w:rFonts w:ascii="Verdana" w:hAnsi="Verdana" w:cs="Arial"/>
        </w:rPr>
      </w:pPr>
    </w:p>
    <w:p w14:paraId="4709C099" w14:textId="77777777" w:rsidR="00C506EE" w:rsidRPr="00593A5F" w:rsidRDefault="00C506EE" w:rsidP="00C506E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C2E9030" w14:textId="77777777" w:rsidR="00C506EE" w:rsidRPr="00593A5F" w:rsidRDefault="00C506EE" w:rsidP="00C506E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506EE" w:rsidRPr="00593A5F" w14:paraId="3629BFE4" w14:textId="77777777" w:rsidTr="00DE47AF">
        <w:trPr>
          <w:trHeight w:val="870"/>
        </w:trPr>
        <w:tc>
          <w:tcPr>
            <w:tcW w:w="8647" w:type="dxa"/>
          </w:tcPr>
          <w:p w14:paraId="015E5CC7"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themeColor="text1"/>
                <w:lang w:val="es-ES_tradnl"/>
              </w:rPr>
            </w:pPr>
            <w:r w:rsidRPr="00B60C1B">
              <w:rPr>
                <w:rFonts w:ascii="Verdana" w:eastAsia="Calibri" w:hAnsi="Verdana" w:cs="Arial"/>
                <w:color w:val="000000" w:themeColor="text1"/>
                <w:lang w:val="es-ES_tradnl"/>
              </w:rPr>
              <w:t>Ley 1150 de 2007, artículo 5, parágrafos 1º al 4º y articulo 6.</w:t>
            </w:r>
          </w:p>
          <w:p w14:paraId="1C1A01E1"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rPr>
            </w:pPr>
            <w:r w:rsidRPr="00B60C1B">
              <w:rPr>
                <w:rFonts w:ascii="Verdana" w:eastAsia="Calibri" w:hAnsi="Verdana" w:cs="Arial"/>
                <w:color w:val="000000"/>
              </w:rPr>
              <w:t xml:space="preserve">Decreto 1082 de 2015, artículo, 2.2.1.1.1.5.1, </w:t>
            </w:r>
            <w:r w:rsidRPr="00B60C1B">
              <w:rPr>
                <w:rFonts w:ascii="Verdana" w:eastAsia="Calibri" w:hAnsi="Verdana" w:cs="Arial"/>
                <w:color w:val="000000"/>
                <w:lang w:val="es-ES_tradnl"/>
              </w:rPr>
              <w:t xml:space="preserve">2.2.1.1.1.5.3numeral 4, </w:t>
            </w:r>
            <w:r w:rsidRPr="00B60C1B">
              <w:rPr>
                <w:rFonts w:ascii="Verdana" w:eastAsia="Calibri" w:hAnsi="Verdana" w:cs="Arial"/>
                <w:color w:val="000000"/>
              </w:rPr>
              <w:t xml:space="preserve">2.2.1.1.1.6.2. </w:t>
            </w:r>
          </w:p>
          <w:p w14:paraId="2CC6E870"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rPr>
            </w:pPr>
            <w:r w:rsidRPr="00B60C1B">
              <w:rPr>
                <w:rFonts w:ascii="Verdana" w:eastAsia="Calibri" w:hAnsi="Verdana" w:cs="Arial"/>
                <w:color w:val="000000"/>
              </w:rPr>
              <w:t>Decreto 2474 de 2008, art. 10</w:t>
            </w:r>
          </w:p>
          <w:p w14:paraId="65CFCB8B"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rPr>
            </w:pPr>
            <w:r w:rsidRPr="00B60C1B">
              <w:rPr>
                <w:rFonts w:ascii="Verdana" w:eastAsia="Calibri" w:hAnsi="Verdana" w:cs="Arial"/>
                <w:color w:val="000000"/>
              </w:rPr>
              <w:t>Ley 1882 de 2018: Artículo 5.</w:t>
            </w:r>
          </w:p>
          <w:p w14:paraId="6FC07430"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themeColor="text1"/>
                <w:lang w:val="es-ES_tradnl"/>
              </w:rPr>
            </w:pPr>
            <w:r w:rsidRPr="00B60C1B">
              <w:rPr>
                <w:rFonts w:ascii="Verdana" w:eastAsia="Calibri" w:hAnsi="Verdana" w:cs="Arial"/>
                <w:color w:val="000000" w:themeColor="text1"/>
                <w:lang w:val="es-ES_tradnl"/>
              </w:rPr>
              <w:t>Decreto 579 de 2021, artículo 1.</w:t>
            </w:r>
          </w:p>
          <w:p w14:paraId="4536521E"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themeColor="text1"/>
                <w:lang w:val="es-ES_tradnl"/>
              </w:rPr>
            </w:pPr>
            <w:r w:rsidRPr="00B60C1B">
              <w:rPr>
                <w:rFonts w:ascii="Verdana" w:eastAsia="Calibri" w:hAnsi="Verdana" w:cs="Arial"/>
                <w:color w:val="000000" w:themeColor="text1"/>
                <w:lang w:val="es-ES_tradnl"/>
              </w:rPr>
              <w:t>Decreto 399 de 2021, artículos 4,6.</w:t>
            </w:r>
          </w:p>
          <w:p w14:paraId="4FF92C54" w14:textId="77777777" w:rsidR="00C506EE" w:rsidRDefault="00C506EE" w:rsidP="00C506EE">
            <w:pPr>
              <w:pStyle w:val="Prrafodelista"/>
              <w:numPr>
                <w:ilvl w:val="0"/>
                <w:numId w:val="18"/>
              </w:numPr>
              <w:spacing w:before="120" w:after="120" w:line="360" w:lineRule="auto"/>
              <w:jc w:val="both"/>
              <w:rPr>
                <w:rFonts w:ascii="Verdana" w:eastAsia="Calibri" w:hAnsi="Verdana" w:cs="Arial"/>
                <w:color w:val="000000" w:themeColor="text1"/>
                <w:lang w:val="es-ES_tradnl"/>
              </w:rPr>
            </w:pPr>
            <w:r w:rsidRPr="00B60C1B">
              <w:rPr>
                <w:rFonts w:ascii="Verdana" w:eastAsia="Calibri" w:hAnsi="Verdana" w:cs="Arial"/>
                <w:color w:val="000000" w:themeColor="text1"/>
                <w:lang w:val="es-ES_tradnl"/>
              </w:rPr>
              <w:t>Decreto 1041 de 2022.</w:t>
            </w:r>
          </w:p>
          <w:p w14:paraId="25266DC8" w14:textId="77777777" w:rsidR="00C506EE" w:rsidRPr="00C30C60" w:rsidRDefault="00C506EE" w:rsidP="00C506EE">
            <w:pPr>
              <w:pStyle w:val="Prrafodelista"/>
              <w:widowControl w:val="0"/>
              <w:numPr>
                <w:ilvl w:val="0"/>
                <w:numId w:val="18"/>
              </w:numPr>
              <w:autoSpaceDE w:val="0"/>
              <w:autoSpaceDN w:val="0"/>
              <w:spacing w:before="120" w:after="120" w:line="360" w:lineRule="auto"/>
              <w:jc w:val="both"/>
              <w:rPr>
                <w:rFonts w:ascii="Verdana" w:hAnsi="Verdana" w:cs="Arial"/>
                <w:lang w:val="es-CO"/>
              </w:rPr>
            </w:pPr>
            <w:r w:rsidRPr="000F60AB">
              <w:rPr>
                <w:rFonts w:ascii="Verdana" w:hAnsi="Verdana" w:cs="Arial"/>
              </w:rPr>
              <w:t>Ley 2022 de 2020, artículo 1.</w:t>
            </w:r>
          </w:p>
          <w:p w14:paraId="4E4E4E46"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themeColor="text1"/>
              </w:rPr>
            </w:pPr>
            <w:r w:rsidRPr="00B60C1B">
              <w:rPr>
                <w:rFonts w:ascii="Verdana" w:eastAsia="Calibri" w:hAnsi="Verdana" w:cs="Arial"/>
                <w:color w:val="000000" w:themeColor="text1"/>
              </w:rPr>
              <w:t>Consejo de Estado. Sección Cuarta. Sentencia del 19 de noviembre de 1999. Exp. 9.453. CP. Daniel Manrique Guzmán.</w:t>
            </w:r>
          </w:p>
          <w:p w14:paraId="2D1DAB3F" w14:textId="77777777" w:rsidR="00C506EE" w:rsidRPr="00B60C1B" w:rsidRDefault="00C506EE" w:rsidP="00C506EE">
            <w:pPr>
              <w:pStyle w:val="Prrafodelista"/>
              <w:numPr>
                <w:ilvl w:val="0"/>
                <w:numId w:val="18"/>
              </w:numPr>
              <w:spacing w:before="120" w:after="120" w:line="360" w:lineRule="auto"/>
              <w:jc w:val="both"/>
              <w:rPr>
                <w:rFonts w:ascii="Verdana" w:eastAsia="Calibri" w:hAnsi="Verdana" w:cs="Arial"/>
                <w:color w:val="000000" w:themeColor="text1"/>
              </w:rPr>
            </w:pPr>
            <w:r w:rsidRPr="00B60C1B">
              <w:rPr>
                <w:rFonts w:ascii="Verdana" w:eastAsia="Calibri" w:hAnsi="Verdana" w:cs="Arial"/>
                <w:color w:val="000000" w:themeColor="text1"/>
              </w:rPr>
              <w:t>Consejo de Estado. Sección Tercera. Subsección A. Sentencia del 19 de septiembre de 2019. Exp. 59.432. C.P. Marta Nubia Velásquez Rico.</w:t>
            </w:r>
          </w:p>
          <w:p w14:paraId="663F653A" w14:textId="77777777" w:rsidR="00C506EE" w:rsidRPr="00C30C60" w:rsidRDefault="00C506EE" w:rsidP="00C506EE">
            <w:pPr>
              <w:pStyle w:val="Prrafodelista"/>
              <w:numPr>
                <w:ilvl w:val="0"/>
                <w:numId w:val="18"/>
              </w:numPr>
              <w:spacing w:before="120" w:after="120" w:line="360" w:lineRule="auto"/>
              <w:rPr>
                <w:rFonts w:ascii="Verdana" w:hAnsi="Verdana" w:cs="Arial"/>
              </w:rPr>
            </w:pPr>
            <w:r w:rsidRPr="000F60AB">
              <w:rPr>
                <w:rFonts w:ascii="Verdana" w:hAnsi="Verdana" w:cs="Arial"/>
              </w:rPr>
              <w:t>Consejo de Estado. Sección Tercera. Providencia del 26 de junio de 2003. Exp. 13.354.</w:t>
            </w:r>
          </w:p>
          <w:p w14:paraId="291B5E01" w14:textId="77777777" w:rsidR="00C506EE" w:rsidRPr="00374778" w:rsidRDefault="00C506EE" w:rsidP="00C506EE">
            <w:pPr>
              <w:pStyle w:val="Prrafodelista"/>
              <w:widowControl w:val="0"/>
              <w:numPr>
                <w:ilvl w:val="0"/>
                <w:numId w:val="18"/>
              </w:numPr>
              <w:autoSpaceDE w:val="0"/>
              <w:autoSpaceDN w:val="0"/>
              <w:spacing w:before="120" w:after="120" w:line="360" w:lineRule="auto"/>
              <w:contextualSpacing w:val="0"/>
              <w:jc w:val="both"/>
              <w:rPr>
                <w:rFonts w:ascii="Verdana" w:hAnsi="Verdana" w:cs="Arial"/>
              </w:rPr>
            </w:pPr>
            <w:r w:rsidRPr="000F60AB">
              <w:rPr>
                <w:rFonts w:ascii="Verdana" w:hAnsi="Verdana" w:cs="Arial"/>
              </w:rPr>
              <w:t xml:space="preserve">Guía para Determinar y Verificar la Capacidad Residual del Proponente en los Procesos de Contratación de Obra Pública. Disponible en: </w:t>
            </w:r>
            <w:hyperlink r:id="rId15" w:history="1">
              <w:r w:rsidRPr="000F60AB">
                <w:rPr>
                  <w:rStyle w:val="Hipervnculo"/>
                  <w:rFonts w:ascii="Verdana" w:hAnsi="Verdana" w:cs="Arial"/>
                  <w:color w:val="4472C4" w:themeColor="accent1"/>
                </w:rPr>
                <w:t>https://www.colombiacompra.gov.co/manuales-guias-y-pliegos-tipo/manuales-y-guias</w:t>
              </w:r>
            </w:hyperlink>
            <w:r w:rsidRPr="000F60AB">
              <w:rPr>
                <w:rFonts w:ascii="Verdana" w:hAnsi="Verdana" w:cs="Arial"/>
                <w:color w:val="4472C4" w:themeColor="accent1"/>
              </w:rPr>
              <w:t xml:space="preserve"> </w:t>
            </w:r>
          </w:p>
          <w:p w14:paraId="19F2107A" w14:textId="77777777" w:rsidR="00C506EE" w:rsidRPr="00B60C1B" w:rsidRDefault="00C506EE" w:rsidP="00C506EE">
            <w:pPr>
              <w:pStyle w:val="Prrafodelista"/>
              <w:widowControl w:val="0"/>
              <w:numPr>
                <w:ilvl w:val="0"/>
                <w:numId w:val="18"/>
              </w:numPr>
              <w:autoSpaceDE w:val="0"/>
              <w:autoSpaceDN w:val="0"/>
              <w:spacing w:before="120" w:after="120" w:line="360" w:lineRule="auto"/>
              <w:contextualSpacing w:val="0"/>
              <w:jc w:val="both"/>
              <w:rPr>
                <w:rFonts w:ascii="Verdana" w:hAnsi="Verdana" w:cs="Arial"/>
              </w:rPr>
            </w:pPr>
            <w:r w:rsidRPr="00B60C1B">
              <w:rPr>
                <w:rFonts w:ascii="Verdana" w:hAnsi="Verdana" w:cs="Arial"/>
              </w:rPr>
              <w:t xml:space="preserve">Jurisprudencia del Consejo de Estado. Disponible en: </w:t>
            </w:r>
            <w:hyperlink r:id="rId16" w:history="1">
              <w:r w:rsidRPr="00B60C1B">
                <w:rPr>
                  <w:rStyle w:val="Hipervnculo"/>
                  <w:rFonts w:ascii="Verdana" w:hAnsi="Verdana" w:cs="Arial"/>
                </w:rPr>
                <w:t>https://relatoria.colombiacompra.gov.co/providencias-consejo-de-estado/</w:t>
              </w:r>
            </w:hyperlink>
            <w:r w:rsidRPr="00B60C1B">
              <w:rPr>
                <w:rFonts w:ascii="Verdana" w:hAnsi="Verdana" w:cs="Arial"/>
              </w:rPr>
              <w:t xml:space="preserve"> </w:t>
            </w:r>
          </w:p>
          <w:p w14:paraId="766ED010" w14:textId="77777777" w:rsidR="00C506EE" w:rsidRPr="00B60C1B" w:rsidRDefault="00C506EE" w:rsidP="00C506EE">
            <w:pPr>
              <w:pStyle w:val="Prrafodelista"/>
              <w:widowControl w:val="0"/>
              <w:numPr>
                <w:ilvl w:val="0"/>
                <w:numId w:val="18"/>
              </w:numPr>
              <w:autoSpaceDE w:val="0"/>
              <w:autoSpaceDN w:val="0"/>
              <w:spacing w:before="120" w:after="120" w:line="360" w:lineRule="auto"/>
              <w:contextualSpacing w:val="0"/>
              <w:jc w:val="both"/>
              <w:rPr>
                <w:rFonts w:ascii="Verdana" w:hAnsi="Verdana" w:cs="Arial"/>
              </w:rPr>
            </w:pPr>
            <w:r w:rsidRPr="00B60C1B">
              <w:rPr>
                <w:rFonts w:ascii="Verdana" w:hAnsi="Verdana" w:cs="Arial"/>
              </w:rPr>
              <w:t>Guías y manuales expedidos por la ANCP-CCE. Disponible en:</w:t>
            </w:r>
            <w:r w:rsidRPr="00B60C1B">
              <w:rPr>
                <w:rFonts w:ascii="Verdana" w:hAnsi="Verdana"/>
              </w:rPr>
              <w:t xml:space="preserve"> </w:t>
            </w:r>
            <w:hyperlink r:id="rId17" w:history="1">
              <w:r w:rsidRPr="00B60C1B">
                <w:rPr>
                  <w:rStyle w:val="Hipervnculo"/>
                  <w:rFonts w:ascii="Verdana" w:hAnsi="Verdana" w:cs="Arial"/>
                </w:rPr>
                <w:t>https://www.colombiacompra.gov.co/manuales-guias-y-pliegos-tipo/manuales-y-guias</w:t>
              </w:r>
            </w:hyperlink>
            <w:r w:rsidRPr="00B60C1B">
              <w:rPr>
                <w:rFonts w:ascii="Verdana" w:hAnsi="Verdana" w:cs="Arial"/>
              </w:rPr>
              <w:t xml:space="preserve"> </w:t>
            </w:r>
          </w:p>
          <w:p w14:paraId="1430FB6A" w14:textId="77777777" w:rsidR="00C506EE" w:rsidRPr="00AC742F" w:rsidRDefault="00C506EE" w:rsidP="00DE47AF">
            <w:pPr>
              <w:widowControl w:val="0"/>
              <w:autoSpaceDE w:val="0"/>
              <w:autoSpaceDN w:val="0"/>
              <w:spacing w:after="120" w:line="276" w:lineRule="auto"/>
              <w:ind w:left="360"/>
              <w:jc w:val="both"/>
              <w:rPr>
                <w:rFonts w:ascii="Verdana" w:hAnsi="Verdana" w:cs="Arial"/>
              </w:rPr>
            </w:pPr>
          </w:p>
        </w:tc>
      </w:tr>
    </w:tbl>
    <w:p w14:paraId="7AB35202" w14:textId="77777777" w:rsidR="00C506EE" w:rsidRPr="00593A5F" w:rsidRDefault="00C506EE" w:rsidP="00C506EE">
      <w:pPr>
        <w:widowControl w:val="0"/>
        <w:autoSpaceDE w:val="0"/>
        <w:autoSpaceDN w:val="0"/>
        <w:spacing w:after="0" w:line="276" w:lineRule="auto"/>
        <w:jc w:val="both"/>
        <w:rPr>
          <w:rFonts w:ascii="Verdana" w:hAnsi="Verdana" w:cs="Arial"/>
        </w:rPr>
      </w:pPr>
    </w:p>
    <w:p w14:paraId="4C5E222B" w14:textId="77777777" w:rsidR="00C506EE" w:rsidRPr="00593A5F" w:rsidRDefault="00C506EE" w:rsidP="00C506E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251A6CF" w14:textId="77777777" w:rsidR="00C506EE" w:rsidRPr="00593A5F" w:rsidRDefault="00C506EE" w:rsidP="00C506EE">
      <w:pPr>
        <w:widowControl w:val="0"/>
        <w:autoSpaceDE w:val="0"/>
        <w:autoSpaceDN w:val="0"/>
        <w:spacing w:after="0" w:line="276" w:lineRule="auto"/>
        <w:jc w:val="both"/>
        <w:rPr>
          <w:rFonts w:ascii="Verdana" w:hAnsi="Verdana" w:cs="Arial"/>
        </w:rPr>
      </w:pPr>
    </w:p>
    <w:p w14:paraId="21792F37" w14:textId="77777777" w:rsidR="00C506EE" w:rsidRDefault="00C506EE" w:rsidP="00C506E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2120A">
        <w:rPr>
          <w:rFonts w:ascii="Verdana" w:eastAsia="Century Gothic" w:hAnsi="Verdana" w:cs="Century Gothic"/>
          <w:color w:val="000000" w:themeColor="text1"/>
          <w:lang w:val="es"/>
        </w:rPr>
        <w:t>Respecto de la reglamentación establecida en los Decretos 399 y 579 de 2021 y 1041 de 2022 la subdirección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22 de marzo de 2023, C-185 de 8 de junio de 2023, C-277 de 14 de julio de 2023, C-350 del 28 de agosto de 2023 y C-355 del 30 de agosto de 2023, C-006 del 14 de marzo de 2024</w:t>
      </w:r>
      <w:r>
        <w:rPr>
          <w:rFonts w:ascii="Verdana" w:eastAsia="Century Gothic" w:hAnsi="Verdana" w:cs="Century Gothic"/>
          <w:color w:val="000000" w:themeColor="text1"/>
          <w:lang w:val="es"/>
        </w:rPr>
        <w:t>, entre otros</w:t>
      </w:r>
      <w:r w:rsidRPr="003739EA">
        <w:rPr>
          <w:rStyle w:val="normaltextrun"/>
          <w:rFonts w:ascii="Verdana" w:hAnsi="Verdana" w:cs="Arial"/>
          <w:shd w:val="clear" w:color="auto" w:fill="FFFFFF"/>
          <w:lang w:val="es-ES"/>
        </w:rPr>
        <w:t xml:space="preserve">. Igualmente, sobre la capacidad residual y la forma como esta se debe acreditar se pronunció esta Subdirección en los conceptos 2201913000006275 del 27 de agosto y el 20 y 26 del 2 de diciembre de 2019 −radicados Nos., 2201913000009465, 2201913000009642 y 2201913000009640−; así como en los conceptos C–022 del 20 de febrero de 2020, C–089 del 4 de marzo de 2020, C–112 del 16 de marzo del 2020, C–133 del 25 de marzo del 2020, C – 194 de 2020 del 21 de abril de 2020, C–326 del 9 de junio de 2020 y C-446 del 6 de julio de 2020, C-045 del 5 de marzo de 2021, C-003 del 26 de marzo de 2021, C-143 del 9 de abril de 2021 C–202 del 7 de mayo de 2021, C–219 del 19 de mayo de 2021, C–368 del 28 de julio de 2021, C–392 del 5 de agosto de 2021, C–513 del 23 de septiembre de 2021, C–590 del 12 de octubre de 2021, C-068 del 9 de marzo de 2022, C-220 del 22 de abril de 2022, C-306 de 16 de mayo de 2022, C-351 de 23 de mayo de 2022, C-392 del 16 de junio de 2022, C-402 del 28 de junio de 2022, C-463 del 19 de julio de 2022 y C-615 del 19 de agosto de 2022, entre otros.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8"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4115068E" w14:textId="77777777" w:rsidR="00C506EE" w:rsidRDefault="00C506EE" w:rsidP="00C506E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EA94A8E" w14:textId="77777777" w:rsidR="00C506EE" w:rsidRDefault="00C506EE" w:rsidP="00C506EE">
      <w:pPr>
        <w:spacing w:after="0" w:line="240" w:lineRule="auto"/>
        <w:jc w:val="both"/>
        <w:rPr>
          <w:rFonts w:ascii="Verdana" w:hAnsi="Verdana" w:cs="Arial"/>
          <w:color w:val="000000" w:themeColor="text1"/>
          <w:shd w:val="clear" w:color="auto" w:fill="FFFFFF"/>
        </w:rPr>
      </w:pPr>
      <w:r w:rsidRPr="00ED052E">
        <w:rPr>
          <w:rFonts w:ascii="Verdana" w:hAnsi="Verdana" w:cs="Arial"/>
          <w:color w:val="000000" w:themeColor="text1"/>
          <w:shd w:val="clear" w:color="auto" w:fill="FFFFFF"/>
        </w:rPr>
        <w:br/>
        <w:t xml:space="preserve">Nos complace informarte que ya están disponibles las nuevas versiones de los Documentos Tipo para Infraestructura de Transporte, recuerda que es de </w:t>
      </w:r>
      <w:r w:rsidRPr="00ED052E">
        <w:rPr>
          <w:rFonts w:ascii="Verdana" w:hAnsi="Verdana" w:cs="Arial"/>
          <w:color w:val="000000" w:themeColor="text1"/>
          <w:shd w:val="clear" w:color="auto" w:fill="FFFFFF"/>
        </w:rPr>
        <w:lastRenderedPageBreak/>
        <w:t>obligatoria observancia por TODAS las entidades sometidas al EGCAP y entidades de régimen especial, con las excepciones de ley:</w:t>
      </w:r>
    </w:p>
    <w:p w14:paraId="1F9E02AE" w14:textId="77777777" w:rsidR="00C506EE" w:rsidRPr="00ED052E" w:rsidRDefault="00C506EE" w:rsidP="00C506EE">
      <w:pPr>
        <w:spacing w:after="0" w:line="240" w:lineRule="auto"/>
        <w:jc w:val="both"/>
        <w:rPr>
          <w:rFonts w:ascii="Verdana" w:hAnsi="Verdana" w:cs="Arial"/>
          <w:color w:val="000000" w:themeColor="text1"/>
          <w:shd w:val="clear" w:color="auto" w:fill="FFFFFF"/>
        </w:rPr>
      </w:pPr>
    </w:p>
    <w:p w14:paraId="0BD97F91" w14:textId="77777777" w:rsidR="00C506EE" w:rsidRPr="00ED052E" w:rsidRDefault="00C506EE" w:rsidP="00C506EE">
      <w:pPr>
        <w:numPr>
          <w:ilvl w:val="0"/>
          <w:numId w:val="19"/>
        </w:numPr>
        <w:spacing w:after="0" w:line="240" w:lineRule="auto"/>
        <w:jc w:val="both"/>
        <w:rPr>
          <w:rFonts w:ascii="Verdana" w:hAnsi="Verdana" w:cs="Arial"/>
          <w:color w:val="000000" w:themeColor="text1"/>
          <w:shd w:val="clear" w:color="auto" w:fill="FFFFFF"/>
        </w:rPr>
      </w:pPr>
      <w:r w:rsidRPr="00ED052E">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9" w:tgtFrame="_blank" w:tooltip="Dirección URL original: https://www.colombiacompra.gov.co/content/03-documentos-tipo-para-los-procesos-de-seleccion-de-interventoria-de-obra-publica-de. Haga clic o pulse si confía en este vínculo." w:history="1">
        <w:r w:rsidRPr="00ED052E">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31FF938D" w14:textId="77777777" w:rsidR="00C506EE" w:rsidRPr="00ED052E" w:rsidRDefault="00C506EE" w:rsidP="00C506EE">
      <w:pPr>
        <w:numPr>
          <w:ilvl w:val="0"/>
          <w:numId w:val="19"/>
        </w:numPr>
        <w:spacing w:after="0" w:line="240" w:lineRule="auto"/>
        <w:jc w:val="both"/>
        <w:rPr>
          <w:rFonts w:ascii="Verdana" w:hAnsi="Verdana" w:cs="Arial"/>
          <w:color w:val="000000" w:themeColor="text1"/>
          <w:shd w:val="clear" w:color="auto" w:fill="FFFFFF"/>
        </w:rPr>
      </w:pPr>
      <w:r w:rsidRPr="00ED052E">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ED052E">
        <w:rPr>
          <w:rFonts w:ascii="Verdana" w:hAnsi="Verdana" w:cs="Arial"/>
          <w:color w:val="000000" w:themeColor="text1"/>
          <w:shd w:val="clear" w:color="auto" w:fill="FFFFFF"/>
        </w:rPr>
        <w:t> </w:t>
      </w:r>
      <w:hyperlink r:id="rId20" w:tgtFrame="_blank" w:tooltip="Dirección URL original: https://www.colombiacompra.gov.co/content/02-documentos-tipo-para-los-procesos-de-seleccion-de-consultoria-de-obra-publica-de. Haga clic o pulse si confía en este vínculo." w:history="1">
        <w:r w:rsidRPr="00ED052E">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34CC52B4" w14:textId="77777777" w:rsidR="00C506EE" w:rsidRDefault="00C506EE" w:rsidP="00C506EE">
      <w:pPr>
        <w:spacing w:after="0" w:line="240" w:lineRule="auto"/>
        <w:jc w:val="both"/>
        <w:rPr>
          <w:rFonts w:ascii="Verdana" w:hAnsi="Verdana" w:cs="Arial"/>
          <w:color w:val="000000" w:themeColor="text1"/>
          <w:shd w:val="clear" w:color="auto" w:fill="FFFFFF"/>
        </w:rPr>
      </w:pPr>
    </w:p>
    <w:p w14:paraId="1D8D8C00" w14:textId="77777777" w:rsidR="00C506EE" w:rsidRPr="00ED052E" w:rsidRDefault="00C506EE" w:rsidP="00C506EE">
      <w:pPr>
        <w:spacing w:after="0" w:line="240" w:lineRule="auto"/>
        <w:jc w:val="both"/>
        <w:rPr>
          <w:rFonts w:ascii="Verdana" w:hAnsi="Verdana" w:cs="Arial"/>
          <w:color w:val="000000" w:themeColor="text1"/>
          <w:shd w:val="clear" w:color="auto" w:fill="FFFFFF"/>
        </w:rPr>
      </w:pPr>
      <w:r w:rsidRPr="00ED052E">
        <w:rPr>
          <w:rFonts w:ascii="Verdana" w:hAnsi="Verdana" w:cs="Arial"/>
          <w:color w:val="000000" w:themeColor="text1"/>
          <w:shd w:val="clear" w:color="auto" w:fill="FFFFFF"/>
        </w:rPr>
        <w:t>También, te contamos que ya publicamos </w:t>
      </w:r>
      <w:r w:rsidRPr="00ED052E">
        <w:rPr>
          <w:rFonts w:ascii="Verdana" w:hAnsi="Verdana" w:cs="Arial"/>
          <w:b/>
          <w:bCs/>
          <w:color w:val="000000" w:themeColor="text1"/>
          <w:shd w:val="clear" w:color="auto" w:fill="FFFFFF"/>
        </w:rPr>
        <w:t>la nueva Guía de Contratación Pública Sostenible y Socialmente Responsable</w:t>
      </w:r>
      <w:r w:rsidRPr="00ED052E">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21" w:tgtFrame="_blank" w:tooltip="Dirección URL original: https://www.colombiacompra.gov.co/manuales-guias-y-pliegos-tipo/manuales-y-guias/guia-de-contratacion-publica-sostenible-y-socialmente. Haga clic o pulse si confía en este vínculo." w:history="1">
        <w:r w:rsidRPr="00ED052E">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5A408FD9" w14:textId="77777777" w:rsidR="00C506EE" w:rsidRDefault="00C506EE" w:rsidP="00C506EE">
      <w:pPr>
        <w:spacing w:after="0" w:line="240" w:lineRule="auto"/>
        <w:jc w:val="both"/>
        <w:rPr>
          <w:rFonts w:ascii="Verdana" w:hAnsi="Verdana"/>
        </w:rPr>
      </w:pPr>
    </w:p>
    <w:p w14:paraId="79DB6C58" w14:textId="77777777" w:rsidR="00C506EE" w:rsidRPr="003E2460" w:rsidRDefault="00C506EE" w:rsidP="00C506EE">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1D8571D" w14:textId="77777777" w:rsidR="00C506EE" w:rsidRPr="003E2460" w:rsidRDefault="00C506EE" w:rsidP="00C506EE">
      <w:pPr>
        <w:spacing w:after="0" w:line="240" w:lineRule="auto"/>
        <w:jc w:val="both"/>
        <w:rPr>
          <w:rFonts w:ascii="Verdana" w:hAnsi="Verdana"/>
        </w:rPr>
      </w:pPr>
    </w:p>
    <w:p w14:paraId="1392EA26" w14:textId="77777777" w:rsidR="00C506EE" w:rsidRPr="003E2460" w:rsidRDefault="00C506EE" w:rsidP="00C506EE">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62D7BF7" w14:textId="77777777" w:rsidR="00C506EE" w:rsidRPr="003E2460" w:rsidRDefault="00C506EE" w:rsidP="00C506EE">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19F96323" w14:textId="77777777" w:rsidR="00C506EE" w:rsidRPr="003E2460" w:rsidRDefault="00C506EE" w:rsidP="00C506EE">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F5CF63B" w14:textId="77777777" w:rsidR="00C506EE" w:rsidRPr="00593A5F" w:rsidRDefault="00C506EE" w:rsidP="00C506EE">
      <w:pPr>
        <w:widowControl w:val="0"/>
        <w:autoSpaceDE w:val="0"/>
        <w:autoSpaceDN w:val="0"/>
        <w:spacing w:after="0" w:line="276" w:lineRule="auto"/>
        <w:jc w:val="both"/>
        <w:rPr>
          <w:rFonts w:ascii="Verdana" w:hAnsi="Verdana" w:cs="Arial"/>
        </w:rPr>
      </w:pPr>
    </w:p>
    <w:p w14:paraId="7C5EF7F7" w14:textId="77777777" w:rsidR="00C506EE" w:rsidRPr="00593A5F" w:rsidRDefault="00C506EE" w:rsidP="00C506EE">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25BCA52" w14:textId="77777777" w:rsidR="00C506EE" w:rsidRPr="00593A5F" w:rsidRDefault="00C506EE" w:rsidP="00C506EE">
      <w:pPr>
        <w:widowControl w:val="0"/>
        <w:autoSpaceDE w:val="0"/>
        <w:autoSpaceDN w:val="0"/>
        <w:spacing w:after="0" w:line="276" w:lineRule="auto"/>
        <w:jc w:val="both"/>
        <w:rPr>
          <w:rFonts w:ascii="Verdana" w:hAnsi="Verdana" w:cs="Arial"/>
        </w:rPr>
      </w:pPr>
    </w:p>
    <w:p w14:paraId="766D94E9" w14:textId="77777777" w:rsidR="00C506EE" w:rsidRPr="00593A5F" w:rsidRDefault="00C506EE" w:rsidP="00C506EE">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4F6A8C7" w14:textId="102BFF37" w:rsidR="00C506EE" w:rsidRPr="007664D7" w:rsidRDefault="004D0D60" w:rsidP="00C506EE">
      <w:pPr>
        <w:spacing w:line="276" w:lineRule="auto"/>
        <w:jc w:val="center"/>
        <w:rPr>
          <w:rFonts w:ascii="Verdana" w:hAnsi="Verdana" w:cs="Arial"/>
          <w:lang w:val="es-ES_tradnl" w:eastAsia="es-CO"/>
        </w:rPr>
      </w:pPr>
      <w:r>
        <w:rPr>
          <w:noProof/>
        </w:rPr>
        <w:lastRenderedPageBreak/>
        <w:drawing>
          <wp:inline distT="0" distB="0" distL="0" distR="0" wp14:anchorId="0C04260C" wp14:editId="0BD8E761">
            <wp:extent cx="3771429" cy="1400000"/>
            <wp:effectExtent l="0" t="0" r="635" b="0"/>
            <wp:docPr id="496944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4460" name="Imagen 1" descr="Texto&#10;&#10;Descripción generada automáticamente"/>
                    <pic:cNvPicPr/>
                  </pic:nvPicPr>
                  <pic:blipFill>
                    <a:blip r:embed="rId22"/>
                    <a:stretch>
                      <a:fillRect/>
                    </a:stretch>
                  </pic:blipFill>
                  <pic:spPr>
                    <a:xfrm>
                      <a:off x="0" y="0"/>
                      <a:ext cx="3771429" cy="1400000"/>
                    </a:xfrm>
                    <a:prstGeom prst="rect">
                      <a:avLst/>
                    </a:prstGeom>
                  </pic:spPr>
                </pic:pic>
              </a:graphicData>
            </a:graphic>
          </wp:inline>
        </w:drawing>
      </w:r>
      <w:r w:rsidRPr="007664D7">
        <w:rPr>
          <w:rFonts w:ascii="Verdana" w:hAnsi="Verdana"/>
          <w:noProof/>
        </w:rPr>
        <w:t xml:space="preserve"> </w:t>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506EE" w:rsidRPr="007664D7" w14:paraId="5B66D860" w14:textId="77777777" w:rsidTr="00DE47AF">
        <w:trPr>
          <w:trHeight w:val="315"/>
        </w:trPr>
        <w:tc>
          <w:tcPr>
            <w:tcW w:w="893" w:type="dxa"/>
            <w:vAlign w:val="center"/>
            <w:hideMark/>
          </w:tcPr>
          <w:p w14:paraId="65B5B721" w14:textId="77777777" w:rsidR="00C506EE" w:rsidRPr="007664D7" w:rsidRDefault="00C506EE" w:rsidP="00DE47AF">
            <w:pPr>
              <w:contextualSpacing/>
              <w:rPr>
                <w:rFonts w:ascii="Verdana" w:hAnsi="Verdana" w:cs="Arial"/>
                <w:sz w:val="16"/>
                <w:szCs w:val="16"/>
                <w:lang w:val="es-ES" w:eastAsia="es-ES"/>
              </w:rPr>
            </w:pPr>
            <w:r w:rsidRPr="007664D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73F48DB" w14:textId="77777777" w:rsidR="00C506EE" w:rsidRPr="007664D7" w:rsidRDefault="00C506EE" w:rsidP="00DE47AF">
            <w:pPr>
              <w:contextualSpacing/>
              <w:rPr>
                <w:rStyle w:val="normaltextrun"/>
                <w:rFonts w:ascii="Verdana" w:hAnsi="Verdana"/>
                <w:sz w:val="16"/>
                <w:szCs w:val="16"/>
              </w:rPr>
            </w:pPr>
            <w:r w:rsidRPr="007664D7">
              <w:rPr>
                <w:rStyle w:val="normaltextrun"/>
                <w:rFonts w:ascii="Verdana" w:hAnsi="Verdana"/>
                <w:sz w:val="16"/>
                <w:szCs w:val="16"/>
              </w:rPr>
              <w:t>Santiago Alberto Herrera Morillo</w:t>
            </w:r>
          </w:p>
          <w:p w14:paraId="21DAA133" w14:textId="77777777" w:rsidR="00C506EE" w:rsidRPr="007664D7" w:rsidRDefault="00C506EE" w:rsidP="00DE47AF">
            <w:pPr>
              <w:contextualSpacing/>
              <w:rPr>
                <w:rFonts w:ascii="Verdana" w:eastAsia="Arial" w:hAnsi="Verdana" w:cs="Arial"/>
                <w:sz w:val="16"/>
                <w:szCs w:val="16"/>
              </w:rPr>
            </w:pPr>
            <w:r w:rsidRPr="007664D7">
              <w:rPr>
                <w:rStyle w:val="normaltextrun"/>
                <w:rFonts w:ascii="Verdana" w:hAnsi="Verdana"/>
                <w:sz w:val="16"/>
                <w:szCs w:val="16"/>
              </w:rPr>
              <w:t xml:space="preserve">Analista T2-02 </w:t>
            </w:r>
            <w:r w:rsidRPr="007664D7">
              <w:rPr>
                <w:rStyle w:val="normaltextrun"/>
                <w:rFonts w:ascii="Verdana" w:eastAsia="Arial" w:hAnsi="Verdana" w:cs="Arial"/>
                <w:sz w:val="16"/>
                <w:szCs w:val="16"/>
              </w:rPr>
              <w:t>de la Subdirección de Gestión Contractual</w:t>
            </w:r>
          </w:p>
        </w:tc>
      </w:tr>
      <w:tr w:rsidR="00C506EE" w:rsidRPr="007664D7" w14:paraId="01E17720" w14:textId="77777777" w:rsidTr="00DE47AF">
        <w:trPr>
          <w:trHeight w:val="330"/>
        </w:trPr>
        <w:tc>
          <w:tcPr>
            <w:tcW w:w="893" w:type="dxa"/>
            <w:vAlign w:val="center"/>
            <w:hideMark/>
          </w:tcPr>
          <w:p w14:paraId="1387B338" w14:textId="77777777" w:rsidR="00C506EE" w:rsidRPr="007664D7" w:rsidRDefault="00C506EE" w:rsidP="00DE47AF">
            <w:pPr>
              <w:contextualSpacing/>
              <w:rPr>
                <w:rFonts w:ascii="Verdana" w:hAnsi="Verdana" w:cs="Arial"/>
                <w:sz w:val="16"/>
                <w:szCs w:val="16"/>
                <w:lang w:val="es-ES" w:eastAsia="es-ES"/>
              </w:rPr>
            </w:pPr>
            <w:r w:rsidRPr="007664D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7F324BD" w14:textId="77777777" w:rsidR="00C506EE" w:rsidRPr="007664D7" w:rsidRDefault="00C506EE" w:rsidP="00DE47AF">
            <w:pPr>
              <w:pStyle w:val="paragraph"/>
              <w:spacing w:before="0" w:beforeAutospacing="0" w:after="0" w:afterAutospacing="0"/>
              <w:contextualSpacing/>
              <w:textAlignment w:val="baseline"/>
              <w:rPr>
                <w:rStyle w:val="normaltextrun"/>
                <w:rFonts w:ascii="Verdana" w:hAnsi="Verdana" w:cs="Arial"/>
                <w:sz w:val="16"/>
                <w:szCs w:val="16"/>
                <w:lang w:val="es-ES"/>
              </w:rPr>
            </w:pPr>
            <w:r w:rsidRPr="007664D7">
              <w:rPr>
                <w:rStyle w:val="normaltextrun"/>
                <w:rFonts w:ascii="Verdana" w:hAnsi="Verdana" w:cs="Arial"/>
                <w:sz w:val="16"/>
                <w:szCs w:val="16"/>
                <w:lang w:val="es-ES"/>
              </w:rPr>
              <w:t>Juan Carlos González Vásquez</w:t>
            </w:r>
          </w:p>
          <w:p w14:paraId="25D545BF" w14:textId="77777777" w:rsidR="00C506EE" w:rsidRPr="007664D7" w:rsidRDefault="00C506EE" w:rsidP="00DE47AF">
            <w:pPr>
              <w:pStyle w:val="paragraph"/>
              <w:spacing w:before="0" w:beforeAutospacing="0" w:after="0" w:afterAutospacing="0"/>
              <w:contextualSpacing/>
              <w:textAlignment w:val="baseline"/>
              <w:rPr>
                <w:rFonts w:ascii="Verdana" w:hAnsi="Verdana" w:cs="Segoe UI"/>
                <w:sz w:val="16"/>
                <w:szCs w:val="16"/>
              </w:rPr>
            </w:pPr>
            <w:r w:rsidRPr="007664D7">
              <w:rPr>
                <w:rStyle w:val="normaltextrun"/>
                <w:rFonts w:ascii="Verdana" w:hAnsi="Verdana" w:cs="Arial"/>
                <w:sz w:val="16"/>
                <w:szCs w:val="16"/>
                <w:lang w:val="es-ES"/>
              </w:rPr>
              <w:t>Contratista de la Subdirección de Gestión Contractual</w:t>
            </w:r>
            <w:r w:rsidRPr="007664D7">
              <w:rPr>
                <w:rStyle w:val="eop"/>
                <w:rFonts w:ascii="Verdana" w:hAnsi="Verdana" w:cs="Arial"/>
                <w:sz w:val="16"/>
                <w:szCs w:val="16"/>
              </w:rPr>
              <w:t> </w:t>
            </w:r>
          </w:p>
        </w:tc>
      </w:tr>
      <w:tr w:rsidR="00C506EE" w:rsidRPr="007664D7" w14:paraId="258F6F41" w14:textId="77777777" w:rsidTr="00DE47AF">
        <w:trPr>
          <w:trHeight w:val="300"/>
        </w:trPr>
        <w:tc>
          <w:tcPr>
            <w:tcW w:w="893" w:type="dxa"/>
            <w:vAlign w:val="center"/>
          </w:tcPr>
          <w:p w14:paraId="41A3A5B8" w14:textId="77777777" w:rsidR="00C506EE" w:rsidRPr="007664D7" w:rsidRDefault="00C506EE" w:rsidP="00DE47AF">
            <w:pPr>
              <w:contextualSpacing/>
              <w:rPr>
                <w:rFonts w:ascii="Verdana" w:hAnsi="Verdana" w:cs="Arial"/>
                <w:sz w:val="16"/>
                <w:szCs w:val="16"/>
                <w:lang w:val="es-ES" w:eastAsia="es-ES"/>
              </w:rPr>
            </w:pPr>
            <w:r w:rsidRPr="007664D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E196C4C" w14:textId="77777777" w:rsidR="00C506EE" w:rsidRPr="007664D7" w:rsidRDefault="00C506EE" w:rsidP="00DE47AF">
            <w:pPr>
              <w:contextualSpacing/>
              <w:rPr>
                <w:rFonts w:ascii="Verdana" w:eastAsia="Calibri" w:hAnsi="Verdana" w:cs="Arial"/>
                <w:sz w:val="16"/>
                <w:szCs w:val="16"/>
                <w:lang w:val="pt-BR" w:eastAsia="es-ES"/>
              </w:rPr>
            </w:pPr>
            <w:r w:rsidRPr="007664D7">
              <w:rPr>
                <w:rFonts w:ascii="Verdana" w:eastAsia="Calibri" w:hAnsi="Verdana" w:cs="Arial"/>
                <w:sz w:val="16"/>
                <w:szCs w:val="16"/>
                <w:lang w:val="pt-BR" w:eastAsia="es-ES"/>
              </w:rPr>
              <w:t>Carolina Quintero Gacharná</w:t>
            </w:r>
          </w:p>
          <w:p w14:paraId="705C7207" w14:textId="77777777" w:rsidR="00C506EE" w:rsidRPr="007664D7" w:rsidRDefault="00C506EE" w:rsidP="00DE47AF">
            <w:pPr>
              <w:contextualSpacing/>
              <w:rPr>
                <w:rFonts w:ascii="Verdana" w:eastAsia="Calibri" w:hAnsi="Verdana" w:cs="Arial"/>
                <w:sz w:val="16"/>
                <w:szCs w:val="16"/>
                <w:lang w:val="pt-BR" w:eastAsia="es-ES"/>
              </w:rPr>
            </w:pPr>
            <w:r w:rsidRPr="007664D7">
              <w:rPr>
                <w:rFonts w:ascii="Verdana" w:eastAsia="Calibri" w:hAnsi="Verdana" w:cs="Arial"/>
                <w:sz w:val="16"/>
                <w:szCs w:val="16"/>
                <w:lang w:eastAsia="es-ES"/>
              </w:rPr>
              <w:t>Subdirectora</w:t>
            </w:r>
            <w:r w:rsidRPr="007664D7">
              <w:rPr>
                <w:rFonts w:ascii="Verdana" w:eastAsia="Calibri" w:hAnsi="Verdana" w:cs="Arial"/>
                <w:sz w:val="16"/>
                <w:szCs w:val="16"/>
                <w:lang w:val="pt-BR" w:eastAsia="es-ES"/>
              </w:rPr>
              <w:t xml:space="preserve"> de Gestión Contractual ANCP – CCE</w:t>
            </w:r>
          </w:p>
        </w:tc>
      </w:tr>
    </w:tbl>
    <w:p w14:paraId="0AABDC12" w14:textId="77777777" w:rsidR="00C506EE" w:rsidRPr="007664D7" w:rsidRDefault="00C506EE" w:rsidP="00C506EE">
      <w:pPr>
        <w:spacing w:after="0" w:line="240" w:lineRule="auto"/>
        <w:rPr>
          <w:rFonts w:ascii="Verdana" w:eastAsia="Times New Roman" w:hAnsi="Verdana" w:cs="Arial"/>
          <w:sz w:val="24"/>
          <w:szCs w:val="24"/>
          <w:lang w:eastAsia="es-ES"/>
        </w:rPr>
      </w:pPr>
    </w:p>
    <w:p w14:paraId="3900974D" w14:textId="77777777" w:rsidR="003D5B0D" w:rsidRPr="00C506EE" w:rsidRDefault="003D5B0D" w:rsidP="00C506EE"/>
    <w:sectPr w:rsidR="003D5B0D" w:rsidRPr="00C506EE"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4A71" w14:textId="77777777" w:rsidR="00D56035" w:rsidRDefault="00D56035" w:rsidP="004A1847">
      <w:pPr>
        <w:spacing w:after="0" w:line="240" w:lineRule="auto"/>
      </w:pPr>
      <w:r>
        <w:separator/>
      </w:r>
    </w:p>
  </w:endnote>
  <w:endnote w:type="continuationSeparator" w:id="0">
    <w:p w14:paraId="769CCAEA" w14:textId="77777777" w:rsidR="00D56035" w:rsidRDefault="00D5603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D034" w14:textId="77777777" w:rsidR="00D56035" w:rsidRDefault="00D56035" w:rsidP="004A1847">
      <w:pPr>
        <w:spacing w:after="0" w:line="240" w:lineRule="auto"/>
      </w:pPr>
      <w:r>
        <w:separator/>
      </w:r>
    </w:p>
  </w:footnote>
  <w:footnote w:type="continuationSeparator" w:id="0">
    <w:p w14:paraId="1C36C4DD" w14:textId="77777777" w:rsidR="00D56035" w:rsidRDefault="00D56035" w:rsidP="004A1847">
      <w:pPr>
        <w:spacing w:after="0" w:line="240" w:lineRule="auto"/>
      </w:pPr>
      <w:r>
        <w:continuationSeparator/>
      </w:r>
    </w:p>
  </w:footnote>
  <w:footnote w:id="1">
    <w:p w14:paraId="50463B00"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Style w:val="Refdenotaalpie"/>
          <w:rFonts w:ascii="Verdana" w:hAnsi="Verdana"/>
          <w:sz w:val="12"/>
          <w:szCs w:val="12"/>
        </w:rPr>
        <w:footnoteRef/>
      </w:r>
      <w:r w:rsidRPr="00104592">
        <w:rPr>
          <w:rFonts w:ascii="Verdana" w:hAnsi="Verdana"/>
          <w:sz w:val="12"/>
          <w:szCs w:val="12"/>
        </w:rPr>
        <w:t xml:space="preserve"> </w:t>
      </w:r>
      <w:r w:rsidRPr="00104592">
        <w:rPr>
          <w:rFonts w:ascii="Verdana" w:eastAsia="Century Gothic" w:hAnsi="Verdana" w:cs="Century Gothic"/>
          <w:sz w:val="12"/>
          <w:szCs w:val="12"/>
          <w:lang w:val="es-MX"/>
        </w:rPr>
        <w:t>En efecto</w:t>
      </w:r>
      <w:r w:rsidRPr="00104592">
        <w:rPr>
          <w:rFonts w:ascii="Verdana" w:eastAsia="Century Gothic" w:hAnsi="Verdana" w:cs="Century Gothic"/>
          <w:sz w:val="12"/>
          <w:szCs w:val="12"/>
          <w:lang w:val="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104592">
        <w:rPr>
          <w:rFonts w:ascii="Verdana" w:eastAsia="Century Gothic" w:hAnsi="Verdana" w:cs="Century Gothic"/>
          <w:i/>
          <w:iCs/>
          <w:sz w:val="12"/>
          <w:szCs w:val="12"/>
          <w:lang w:val="es"/>
        </w:rPr>
        <w:t>julio</w:t>
      </w:r>
      <w:r w:rsidRPr="00104592">
        <w:rPr>
          <w:rFonts w:ascii="Verdana" w:eastAsia="Century Gothic" w:hAnsi="Verdana" w:cs="Century Gothic"/>
          <w:sz w:val="12"/>
          <w:szCs w:val="12"/>
          <w:lang w:val="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31524ADD" w14:textId="77777777" w:rsidR="00C506EE" w:rsidRPr="00104592" w:rsidRDefault="00C506EE" w:rsidP="00C506EE">
      <w:pPr>
        <w:pStyle w:val="Textonotapie"/>
        <w:jc w:val="both"/>
        <w:rPr>
          <w:rFonts w:ascii="Verdana" w:hAnsi="Verdana"/>
          <w:sz w:val="12"/>
          <w:szCs w:val="12"/>
          <w:lang w:val="es"/>
        </w:rPr>
      </w:pPr>
    </w:p>
  </w:footnote>
  <w:footnote w:id="2">
    <w:p w14:paraId="3D0ECE49"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Style w:val="Refdenotaalpie"/>
          <w:rFonts w:ascii="Verdana" w:hAnsi="Verdana"/>
          <w:sz w:val="12"/>
          <w:szCs w:val="12"/>
        </w:rPr>
        <w:footnoteRef/>
      </w:r>
      <w:r w:rsidRPr="00104592">
        <w:rPr>
          <w:rFonts w:ascii="Verdana" w:hAnsi="Verdana"/>
          <w:sz w:val="12"/>
          <w:szCs w:val="12"/>
        </w:rPr>
        <w:t xml:space="preserve"> </w:t>
      </w:r>
      <w:r w:rsidRPr="00104592">
        <w:rPr>
          <w:rFonts w:ascii="Verdana" w:eastAsia="Century Gothic" w:hAnsi="Verdana" w:cs="Century Gothic"/>
          <w:sz w:val="12"/>
          <w:szCs w:val="12"/>
          <w:lang w:val="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7C0CA3BA"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i/>
          <w:iCs/>
          <w:color w:val="000000" w:themeColor="text1"/>
          <w:sz w:val="12"/>
          <w:szCs w:val="12"/>
        </w:rPr>
        <w:t>“</w:t>
      </w:r>
      <w:r w:rsidRPr="00104592">
        <w:rPr>
          <w:rFonts w:ascii="Verdana" w:eastAsia="Century Gothic" w:hAnsi="Verdana" w:cs="Century Gothic"/>
          <w:sz w:val="12"/>
          <w:szCs w:val="12"/>
          <w:lang w:val="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0BF21547"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sz w:val="12"/>
          <w:szCs w:val="12"/>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6126FE43"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sz w:val="12"/>
          <w:szCs w:val="12"/>
          <w:lang w:val="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2FF53665"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sz w:val="12"/>
          <w:szCs w:val="12"/>
          <w:lang w:val="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D34834D"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sz w:val="12"/>
          <w:szCs w:val="12"/>
          <w:lang w:val="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129E0D2C"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sz w:val="12"/>
          <w:szCs w:val="12"/>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546C0F8C" w14:textId="77777777" w:rsidR="00C506EE" w:rsidRPr="00104592" w:rsidRDefault="00C506EE" w:rsidP="00C506EE">
      <w:pPr>
        <w:spacing w:after="0" w:line="240" w:lineRule="auto"/>
        <w:ind w:firstLine="709"/>
        <w:contextualSpacing/>
        <w:jc w:val="both"/>
        <w:rPr>
          <w:rFonts w:ascii="Verdana" w:eastAsia="Century Gothic" w:hAnsi="Verdana" w:cs="Century Gothic"/>
          <w:sz w:val="12"/>
          <w:szCs w:val="12"/>
          <w:lang w:val="es"/>
        </w:rPr>
      </w:pPr>
      <w:r w:rsidRPr="00104592">
        <w:rPr>
          <w:rFonts w:ascii="Verdana" w:eastAsia="Century Gothic" w:hAnsi="Verdana" w:cs="Century Gothic"/>
          <w:sz w:val="12"/>
          <w:szCs w:val="12"/>
          <w:lang w:val="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3">
    <w:p w14:paraId="509D6166" w14:textId="77777777" w:rsidR="00C506EE" w:rsidRPr="00104592" w:rsidRDefault="00C506EE" w:rsidP="00C506EE">
      <w:pPr>
        <w:pStyle w:val="Textonotapie"/>
        <w:ind w:firstLine="708"/>
        <w:jc w:val="both"/>
        <w:rPr>
          <w:rFonts w:ascii="Verdana" w:hAnsi="Verdana"/>
          <w:sz w:val="12"/>
          <w:szCs w:val="12"/>
        </w:rPr>
      </w:pPr>
      <w:r w:rsidRPr="00104592">
        <w:rPr>
          <w:rStyle w:val="Refdenotaalpie"/>
          <w:rFonts w:ascii="Verdana" w:hAnsi="Verdana"/>
          <w:sz w:val="12"/>
          <w:szCs w:val="12"/>
        </w:rPr>
        <w:footnoteRef/>
      </w:r>
      <w:r w:rsidRPr="00104592">
        <w:rPr>
          <w:rFonts w:ascii="Verdana" w:hAnsi="Verdana"/>
          <w:sz w:val="12"/>
          <w:szCs w:val="12"/>
        </w:rPr>
        <w:t>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0AE6357" w14:textId="77777777" w:rsidR="00C506EE" w:rsidRPr="00104592" w:rsidRDefault="00C506EE" w:rsidP="00C506EE">
      <w:pPr>
        <w:pStyle w:val="Textonotapie"/>
        <w:jc w:val="both"/>
        <w:rPr>
          <w:rFonts w:ascii="Verdana" w:hAnsi="Verdana"/>
          <w:sz w:val="12"/>
          <w:szCs w:val="12"/>
          <w:lang w:val="es-CO"/>
        </w:rPr>
      </w:pPr>
      <w:r w:rsidRPr="00104592">
        <w:rPr>
          <w:rFonts w:ascii="Verdana" w:hAnsi="Verdana"/>
          <w:sz w:val="12"/>
          <w:szCs w:val="12"/>
        </w:rPr>
        <w:t>[…] “Capacidad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4">
    <w:p w14:paraId="7D25DFE9" w14:textId="77777777" w:rsidR="00C506EE" w:rsidRPr="00104592" w:rsidRDefault="00C506EE" w:rsidP="00C506EE">
      <w:pPr>
        <w:pStyle w:val="Textonotapie"/>
        <w:ind w:firstLine="708"/>
        <w:jc w:val="both"/>
        <w:rPr>
          <w:rFonts w:ascii="Verdana" w:hAnsi="Verdana"/>
          <w:sz w:val="12"/>
          <w:szCs w:val="12"/>
          <w:lang w:val="es-CO"/>
        </w:rPr>
      </w:pPr>
      <w:r w:rsidRPr="00104592">
        <w:rPr>
          <w:rStyle w:val="Refdenotaalpie"/>
          <w:rFonts w:ascii="Verdana" w:hAnsi="Verdana"/>
          <w:sz w:val="12"/>
          <w:szCs w:val="12"/>
        </w:rPr>
        <w:footnoteRef/>
      </w:r>
      <w:r w:rsidRPr="00104592">
        <w:rPr>
          <w:rFonts w:ascii="Verdana" w:hAnsi="Verdana"/>
          <w:sz w:val="12"/>
          <w:szCs w:val="12"/>
        </w:rPr>
        <w:t>Consejo de Estado. Sección Tercera. Providencia del 26 de junio de 2003. Exp. 13.354.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8"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EF67EFE"/>
    <w:multiLevelType w:val="multilevel"/>
    <w:tmpl w:val="364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6A4D59"/>
    <w:multiLevelType w:val="hybridMultilevel"/>
    <w:tmpl w:val="7B7CDDA6"/>
    <w:lvl w:ilvl="0" w:tplc="68F6450E">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22F1F"/>
    <w:multiLevelType w:val="hybridMultilevel"/>
    <w:tmpl w:val="604E00E4"/>
    <w:lvl w:ilvl="0" w:tplc="33467770">
      <w:start w:val="1"/>
      <w:numFmt w:val="lowerRoman"/>
      <w:lvlText w:val="%1)"/>
      <w:lvlJc w:val="left"/>
      <w:pPr>
        <w:ind w:left="1440" w:hanging="720"/>
      </w:pPr>
      <w:rPr>
        <w:rFonts w:hint="default"/>
        <w: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1492209491">
    <w:abstractNumId w:val="5"/>
  </w:num>
  <w:num w:numId="18" w16cid:durableId="679089576">
    <w:abstractNumId w:val="10"/>
  </w:num>
  <w:num w:numId="19" w16cid:durableId="825633825">
    <w:abstractNumId w:val="11"/>
  </w:num>
  <w:num w:numId="20" w16cid:durableId="492261668">
    <w:abstractNumId w:val="18"/>
  </w:num>
  <w:num w:numId="21" w16cid:durableId="226770772">
    <w:abstractNumId w:val="12"/>
  </w:num>
  <w:num w:numId="22" w16cid:durableId="626814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5294"/>
    <w:rsid w:val="00046945"/>
    <w:rsid w:val="00061B2A"/>
    <w:rsid w:val="00071C7C"/>
    <w:rsid w:val="00082362"/>
    <w:rsid w:val="000A683E"/>
    <w:rsid w:val="000B19B9"/>
    <w:rsid w:val="000D0334"/>
    <w:rsid w:val="000F6486"/>
    <w:rsid w:val="00104592"/>
    <w:rsid w:val="00125105"/>
    <w:rsid w:val="00127233"/>
    <w:rsid w:val="001511A0"/>
    <w:rsid w:val="001E4177"/>
    <w:rsid w:val="001F7DC6"/>
    <w:rsid w:val="0021021E"/>
    <w:rsid w:val="002421BB"/>
    <w:rsid w:val="0025796E"/>
    <w:rsid w:val="002707A2"/>
    <w:rsid w:val="00290421"/>
    <w:rsid w:val="002951A0"/>
    <w:rsid w:val="002962BC"/>
    <w:rsid w:val="002A093D"/>
    <w:rsid w:val="002A0DD0"/>
    <w:rsid w:val="002A49AC"/>
    <w:rsid w:val="002A64FD"/>
    <w:rsid w:val="002C7A84"/>
    <w:rsid w:val="002E4FD9"/>
    <w:rsid w:val="00322A85"/>
    <w:rsid w:val="00324168"/>
    <w:rsid w:val="0033077F"/>
    <w:rsid w:val="003448F4"/>
    <w:rsid w:val="00351CA2"/>
    <w:rsid w:val="00374F5E"/>
    <w:rsid w:val="00377E3E"/>
    <w:rsid w:val="003A779E"/>
    <w:rsid w:val="003D0F4D"/>
    <w:rsid w:val="003D5B0D"/>
    <w:rsid w:val="003E0499"/>
    <w:rsid w:val="003F3941"/>
    <w:rsid w:val="003F59A6"/>
    <w:rsid w:val="00402401"/>
    <w:rsid w:val="00406575"/>
    <w:rsid w:val="00414C74"/>
    <w:rsid w:val="0042722E"/>
    <w:rsid w:val="0044528D"/>
    <w:rsid w:val="00483FB8"/>
    <w:rsid w:val="004A1847"/>
    <w:rsid w:val="004A305D"/>
    <w:rsid w:val="004D0D60"/>
    <w:rsid w:val="004F21C4"/>
    <w:rsid w:val="004F685F"/>
    <w:rsid w:val="00537A26"/>
    <w:rsid w:val="005566E8"/>
    <w:rsid w:val="00574867"/>
    <w:rsid w:val="00591460"/>
    <w:rsid w:val="005B3816"/>
    <w:rsid w:val="005C3777"/>
    <w:rsid w:val="005C5CDC"/>
    <w:rsid w:val="005C7D80"/>
    <w:rsid w:val="005D476C"/>
    <w:rsid w:val="005F0DCE"/>
    <w:rsid w:val="006219F8"/>
    <w:rsid w:val="00665D70"/>
    <w:rsid w:val="006900D9"/>
    <w:rsid w:val="00706C16"/>
    <w:rsid w:val="00756841"/>
    <w:rsid w:val="007649AB"/>
    <w:rsid w:val="00771D0C"/>
    <w:rsid w:val="007833AC"/>
    <w:rsid w:val="007B268C"/>
    <w:rsid w:val="007B7171"/>
    <w:rsid w:val="007C0C0F"/>
    <w:rsid w:val="007C3DC2"/>
    <w:rsid w:val="007E262E"/>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2A7D"/>
    <w:rsid w:val="00986AC5"/>
    <w:rsid w:val="009A0DFA"/>
    <w:rsid w:val="009B2D26"/>
    <w:rsid w:val="009B717E"/>
    <w:rsid w:val="009C71FA"/>
    <w:rsid w:val="009C72E7"/>
    <w:rsid w:val="009D3058"/>
    <w:rsid w:val="009D47B7"/>
    <w:rsid w:val="009F3A13"/>
    <w:rsid w:val="00A10179"/>
    <w:rsid w:val="00A122D3"/>
    <w:rsid w:val="00A17F13"/>
    <w:rsid w:val="00A20739"/>
    <w:rsid w:val="00A22BE0"/>
    <w:rsid w:val="00A33C78"/>
    <w:rsid w:val="00A613F8"/>
    <w:rsid w:val="00AB0ADB"/>
    <w:rsid w:val="00B01B1A"/>
    <w:rsid w:val="00B66319"/>
    <w:rsid w:val="00B72CD3"/>
    <w:rsid w:val="00B72FFF"/>
    <w:rsid w:val="00B858FC"/>
    <w:rsid w:val="00BC3D36"/>
    <w:rsid w:val="00BD6673"/>
    <w:rsid w:val="00BD7F72"/>
    <w:rsid w:val="00C04FB3"/>
    <w:rsid w:val="00C330EB"/>
    <w:rsid w:val="00C41061"/>
    <w:rsid w:val="00C506EE"/>
    <w:rsid w:val="00C754BE"/>
    <w:rsid w:val="00C76B1C"/>
    <w:rsid w:val="00C812EB"/>
    <w:rsid w:val="00CA14AA"/>
    <w:rsid w:val="00CB6357"/>
    <w:rsid w:val="00CC052E"/>
    <w:rsid w:val="00CC1B26"/>
    <w:rsid w:val="00D423A2"/>
    <w:rsid w:val="00D520D8"/>
    <w:rsid w:val="00D56035"/>
    <w:rsid w:val="00D63AC2"/>
    <w:rsid w:val="00D7383B"/>
    <w:rsid w:val="00DA231B"/>
    <w:rsid w:val="00DC39FC"/>
    <w:rsid w:val="00DF5254"/>
    <w:rsid w:val="00E00F75"/>
    <w:rsid w:val="00E16408"/>
    <w:rsid w:val="00E20894"/>
    <w:rsid w:val="00E245AB"/>
    <w:rsid w:val="00E2764C"/>
    <w:rsid w:val="00E27F2E"/>
    <w:rsid w:val="00E50AFE"/>
    <w:rsid w:val="00E75C92"/>
    <w:rsid w:val="00E771DC"/>
    <w:rsid w:val="00E81F7C"/>
    <w:rsid w:val="00E8772A"/>
    <w:rsid w:val="00E90F6B"/>
    <w:rsid w:val="00E92C27"/>
    <w:rsid w:val="00EA0E3D"/>
    <w:rsid w:val="00EC38A7"/>
    <w:rsid w:val="00ED7384"/>
    <w:rsid w:val="00EE1AA8"/>
    <w:rsid w:val="00F31EDC"/>
    <w:rsid w:val="00F462B3"/>
    <w:rsid w:val="00F5664F"/>
    <w:rsid w:val="00F57E86"/>
    <w:rsid w:val="00F666C4"/>
    <w:rsid w:val="00F76AFC"/>
    <w:rsid w:val="00FA47C0"/>
    <w:rsid w:val="00FB5DD1"/>
    <w:rsid w:val="00FC2B5D"/>
    <w:rsid w:val="00FF1449"/>
    <w:rsid w:val="00FF23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506E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506EE"/>
    <w:rPr>
      <w:rFonts w:ascii="Geomanist Light" w:hAnsi="Geomanist Light"/>
      <w:lang w:val="es-ES"/>
    </w:rPr>
  </w:style>
  <w:style w:type="table" w:customStyle="1" w:styleId="Tablaconcuadrcula1">
    <w:name w:val="Tabla con cuadrícula1"/>
    <w:basedOn w:val="Tablanormal"/>
    <w:next w:val="Tablaconcuadrcula"/>
    <w:uiPriority w:val="39"/>
    <w:qFormat/>
    <w:rsid w:val="005C7D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714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923536972">
      <w:bodyDiv w:val="1"/>
      <w:marLeft w:val="0"/>
      <w:marRight w:val="0"/>
      <w:marTop w:val="0"/>
      <w:marBottom w:val="0"/>
      <w:divBdr>
        <w:top w:val="none" w:sz="0" w:space="0" w:color="auto"/>
        <w:left w:val="none" w:sz="0" w:space="0" w:color="auto"/>
        <w:bottom w:val="none" w:sz="0" w:space="0" w:color="auto"/>
        <w:right w:val="none" w:sz="0" w:space="0" w:color="auto"/>
      </w:divBdr>
    </w:div>
    <w:div w:id="103219617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0393011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latoria.colombiacompra.gov.co/busqueda/concept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7" Type="http://schemas.openxmlformats.org/officeDocument/2006/relationships/webSettings" Target="webSettings.xml"/><Relationship Id="rId12" Type="http://schemas.openxmlformats.org/officeDocument/2006/relationships/hyperlink" Target="mailto:sindyortiz299@gmail.com" TargetMode="External"/><Relationship Id="rId17" Type="http://schemas.openxmlformats.org/officeDocument/2006/relationships/hyperlink" Target="https://www.colombiacompra.gov.co/manuales-guias-y-pliegos-tipo/manuales-y-gui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lombiacompra.gov.co/manuales-guias-y-pliegos-tipo/manuales-y-guias"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66279FC-769A-40A1-8123-AD7D042FD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7482</Words>
  <Characters>41156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22</cp:revision>
  <cp:lastPrinted>2023-01-10T21:18:00Z</cp:lastPrinted>
  <dcterms:created xsi:type="dcterms:W3CDTF">2024-12-30T19:55:00Z</dcterms:created>
  <dcterms:modified xsi:type="dcterms:W3CDTF">2025-01-08T15:58:00Z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