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32EA8" w14:textId="77777777" w:rsidR="00400AC8" w:rsidRPr="00F16B98" w:rsidRDefault="00400AC8" w:rsidP="00400AC8">
      <w:pPr>
        <w:contextualSpacing/>
        <w:jc w:val="both"/>
        <w:rPr>
          <w:rFonts w:ascii="Verdana" w:eastAsia="Calibri" w:hAnsi="Verdana" w:cs="Arial"/>
          <w:b/>
          <w:lang w:eastAsia="es-MX"/>
          <w14:ligatures w14:val="standardContextual"/>
        </w:rPr>
      </w:pPr>
      <w:r w:rsidRPr="00F16B98">
        <w:rPr>
          <w:rFonts w:ascii="Verdana" w:eastAsia="Calibri" w:hAnsi="Verdana" w:cs="Arial"/>
          <w:b/>
          <w:lang w:eastAsia="es-MX"/>
          <w14:ligatures w14:val="standardContextual"/>
        </w:rPr>
        <w:t>CLASIFICADOR DE BIENES Y SERVICIOS DE NACIONES UNIDAS – Uso</w:t>
      </w:r>
    </w:p>
    <w:p w14:paraId="71C11AF9" w14:textId="77777777" w:rsidR="00400AC8" w:rsidRDefault="00400AC8" w:rsidP="00400AC8">
      <w:pPr>
        <w:contextualSpacing/>
        <w:jc w:val="both"/>
        <w:rPr>
          <w:rFonts w:ascii="Verdana" w:eastAsia="Calibri" w:hAnsi="Verdana" w:cs="Arial"/>
          <w:bCs/>
          <w:lang w:eastAsia="es-MX"/>
          <w14:ligatures w14:val="standardContextual"/>
        </w:rPr>
      </w:pPr>
    </w:p>
    <w:p w14:paraId="4EDD551B" w14:textId="77777777" w:rsidR="00F16B98" w:rsidRPr="00F16B98" w:rsidRDefault="00F16B98" w:rsidP="00F16B98">
      <w:pPr>
        <w:spacing w:after="120" w:line="276" w:lineRule="auto"/>
        <w:jc w:val="both"/>
        <w:rPr>
          <w:rFonts w:ascii="Verdana" w:eastAsia="Times New Roman" w:hAnsi="Verdana" w:cs="Arial"/>
          <w:color w:val="000000" w:themeColor="text1"/>
          <w:sz w:val="20"/>
          <w:szCs w:val="20"/>
          <w:lang w:val="es-ES_tradnl" w:eastAsia="es-MX"/>
        </w:rPr>
      </w:pPr>
      <w:r w:rsidRPr="00F16B98">
        <w:rPr>
          <w:rFonts w:ascii="Verdana" w:eastAsia="Times New Roman" w:hAnsi="Verdana" w:cs="Arial"/>
          <w:color w:val="000000" w:themeColor="text1"/>
          <w:sz w:val="20"/>
          <w:szCs w:val="20"/>
          <w:lang w:val="es-ES_tradnl" w:eastAsia="es-MX"/>
        </w:rPr>
        <w:t>De acuerdo con la postura adoptada en la Circular, la “clasificación del proponente”, que corresponde a los listados señalados en los numerales 1.1. y 2.1. del artículo 2.2.1.1.1.5.2. del Decreto 1082 de 2015, no condiciona la capacidad ―jurídica, ni tampoco otra― de los proponentes, por lo que, si un proponente cumple los demás requisitos exigidos en el pliego de condiciones, su oferta no puede ser rechazada o desestimada bajo el argumento de que no cuenta con la inscripción del código de los bienes, obras o servicios del objeto del proceso de contratación.</w:t>
      </w:r>
    </w:p>
    <w:p w14:paraId="5556EFB4" w14:textId="77777777" w:rsidR="00400AC8" w:rsidRDefault="00400AC8" w:rsidP="00400AC8">
      <w:pPr>
        <w:contextualSpacing/>
        <w:jc w:val="both"/>
        <w:rPr>
          <w:rFonts w:ascii="Verdana" w:eastAsia="Calibri" w:hAnsi="Verdana" w:cs="Arial"/>
          <w:bCs/>
          <w:lang w:eastAsia="es-MX"/>
          <w14:ligatures w14:val="standardContextual"/>
        </w:rPr>
      </w:pPr>
    </w:p>
    <w:p w14:paraId="6E0682CC" w14:textId="0336A39C" w:rsidR="00400AC8" w:rsidRPr="00F16B98" w:rsidRDefault="00400AC8" w:rsidP="00400AC8">
      <w:pPr>
        <w:contextualSpacing/>
        <w:jc w:val="both"/>
        <w:rPr>
          <w:rFonts w:ascii="Verdana" w:eastAsia="Calibri" w:hAnsi="Verdana" w:cs="Arial"/>
          <w:b/>
          <w:lang w:eastAsia="es-MX"/>
          <w14:ligatures w14:val="standardContextual"/>
        </w:rPr>
      </w:pPr>
      <w:r w:rsidRPr="00F16B98">
        <w:rPr>
          <w:rFonts w:ascii="Verdana" w:eastAsia="Calibri" w:hAnsi="Verdana" w:cs="Arial"/>
          <w:b/>
          <w:lang w:eastAsia="es-MX"/>
          <w14:ligatures w14:val="standardContextual"/>
        </w:rPr>
        <w:t>CLASIFICADOR DE BIENES Y SERVICIOS DE NACIONES UNIDAS – Función – Noción-Experiencia</w:t>
      </w:r>
    </w:p>
    <w:p w14:paraId="1C841192" w14:textId="77777777" w:rsidR="00F16B98" w:rsidRDefault="00F16B98">
      <w:pPr>
        <w:rPr>
          <w:rFonts w:ascii="Verdana" w:eastAsia="Times New Roman" w:hAnsi="Verdana" w:cs="Arial"/>
          <w:color w:val="000000" w:themeColor="text1"/>
          <w:lang w:eastAsia="es-MX"/>
        </w:rPr>
      </w:pPr>
    </w:p>
    <w:p w14:paraId="1BC4F562" w14:textId="64CCB68C" w:rsidR="00400AC8" w:rsidRDefault="00F16B98" w:rsidP="00F16B98">
      <w:pPr>
        <w:jc w:val="both"/>
        <w:rPr>
          <w:rFonts w:ascii="Verdana" w:eastAsia="Calibri" w:hAnsi="Verdana" w:cs="Times New Roman"/>
        </w:rPr>
      </w:pPr>
      <w:r w:rsidRPr="00F16B98">
        <w:rPr>
          <w:rFonts w:ascii="Verdana" w:eastAsia="Times New Roman" w:hAnsi="Verdana" w:cs="Arial"/>
          <w:color w:val="000000" w:themeColor="text1"/>
          <w:sz w:val="20"/>
          <w:szCs w:val="20"/>
          <w:lang w:eastAsia="es-MX"/>
        </w:rPr>
        <w:t xml:space="preserve">Lo anterior se desarrolla sin perjuicio de la forma como se exija la experiencia en los pliegos de condiciones, pues este es un requisito habilitante diferente de la capacidad jurídica; y, para efectos de evaluar la experiencia en los pliegos de condiciones, sí se podrá acudir al Clasificador de Bienes y Servicios de las Naciones Unidas para exigir, por ejemplo, que solo se tendrá por valedera la experiencia inscrita por el proponente en el </w:t>
      </w:r>
      <w:proofErr w:type="spellStart"/>
      <w:r w:rsidRPr="00F16B98">
        <w:rPr>
          <w:rFonts w:ascii="Verdana" w:eastAsia="Times New Roman" w:hAnsi="Verdana" w:cs="Arial"/>
          <w:color w:val="000000" w:themeColor="text1"/>
          <w:sz w:val="20"/>
          <w:szCs w:val="20"/>
          <w:lang w:eastAsia="es-MX"/>
        </w:rPr>
        <w:t>RUP</w:t>
      </w:r>
      <w:proofErr w:type="spellEnd"/>
      <w:r w:rsidRPr="00F16B98">
        <w:rPr>
          <w:rFonts w:ascii="Verdana" w:eastAsia="Times New Roman" w:hAnsi="Verdana" w:cs="Arial"/>
          <w:color w:val="000000" w:themeColor="text1"/>
          <w:sz w:val="20"/>
          <w:szCs w:val="20"/>
          <w:lang w:eastAsia="es-MX"/>
        </w:rPr>
        <w:t>, que sea de contratos ejecutados que coincidan con algún código del Clasificador del Bienes y Servicios, en particular, en el tercer nivel del clasificador</w:t>
      </w:r>
      <w:r w:rsidR="00400AC8">
        <w:rPr>
          <w:rFonts w:ascii="Verdana" w:eastAsia="Calibri" w:hAnsi="Verdana" w:cs="Times New Roman"/>
        </w:rPr>
        <w:br w:type="page"/>
      </w:r>
    </w:p>
    <w:p w14:paraId="4227E857" w14:textId="5C49F18F" w:rsidR="00A32DDE" w:rsidRPr="00885EA6" w:rsidRDefault="00A32DDE" w:rsidP="00A32DDE">
      <w:pPr>
        <w:spacing w:after="0"/>
        <w:jc w:val="both"/>
        <w:rPr>
          <w:rFonts w:ascii="Verdana" w:hAnsi="Verdana"/>
          <w:lang w:val="es-MX"/>
        </w:rPr>
      </w:pPr>
      <w:r w:rsidRPr="00885EA6">
        <w:rPr>
          <w:rFonts w:ascii="Verdana" w:eastAsia="Calibri" w:hAnsi="Verdana" w:cs="Times New Roman"/>
        </w:rPr>
        <w:lastRenderedPageBreak/>
        <w:t xml:space="preserve">Bogotá D.C., </w:t>
      </w:r>
      <w:r w:rsidR="00400AC8">
        <w:rPr>
          <w:rFonts w:ascii="Verdana" w:eastAsia="Calibri" w:hAnsi="Verdana" w:cs="Times New Roman"/>
        </w:rPr>
        <w:t>30 Diciembre 2024</w:t>
      </w:r>
    </w:p>
    <w:p w14:paraId="100939D5" w14:textId="62DF412A" w:rsidR="00A32DDE" w:rsidRPr="00885EA6" w:rsidRDefault="00400AC8" w:rsidP="00400AC8">
      <w:pPr>
        <w:spacing w:after="0"/>
        <w:jc w:val="right"/>
        <w:rPr>
          <w:rFonts w:ascii="Verdana" w:hAnsi="Verdana"/>
          <w:lang w:val="es-MX"/>
        </w:rPr>
      </w:pPr>
      <w:r w:rsidRPr="00400AC8">
        <w:rPr>
          <w:rFonts w:ascii="Verdana" w:hAnsi="Verdana"/>
          <w:lang w:val="es-MX"/>
        </w:rPr>
        <w:drawing>
          <wp:inline distT="0" distB="0" distL="0" distR="0" wp14:anchorId="29D3CBB0" wp14:editId="3D39FA33">
            <wp:extent cx="3324689" cy="1076475"/>
            <wp:effectExtent l="0" t="0" r="9525" b="9525"/>
            <wp:docPr id="1022903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03542" name=""/>
                    <pic:cNvPicPr/>
                  </pic:nvPicPr>
                  <pic:blipFill>
                    <a:blip r:embed="rId11"/>
                    <a:stretch>
                      <a:fillRect/>
                    </a:stretch>
                  </pic:blipFill>
                  <pic:spPr>
                    <a:xfrm>
                      <a:off x="0" y="0"/>
                      <a:ext cx="3324689" cy="1076475"/>
                    </a:xfrm>
                    <a:prstGeom prst="rect">
                      <a:avLst/>
                    </a:prstGeom>
                  </pic:spPr>
                </pic:pic>
              </a:graphicData>
            </a:graphic>
          </wp:inline>
        </w:drawing>
      </w:r>
    </w:p>
    <w:p w14:paraId="4CFC6D41" w14:textId="6F68B644" w:rsidR="00A32DDE" w:rsidRPr="0078389D" w:rsidRDefault="00D64119" w:rsidP="00A32DDE">
      <w:pPr>
        <w:spacing w:after="0"/>
        <w:jc w:val="both"/>
        <w:rPr>
          <w:rFonts w:ascii="Verdana" w:hAnsi="Verdana"/>
          <w:lang w:val="es-MX"/>
        </w:rPr>
      </w:pPr>
      <w:r w:rsidRPr="0078389D">
        <w:rPr>
          <w:rFonts w:ascii="Verdana" w:hAnsi="Verdana"/>
          <w:lang w:val="es-MX"/>
        </w:rPr>
        <w:t>Señores</w:t>
      </w:r>
    </w:p>
    <w:p w14:paraId="0AF83E64" w14:textId="66113023" w:rsidR="00A32DDE" w:rsidRPr="0078389D" w:rsidRDefault="00972094" w:rsidP="00A32DDE">
      <w:pPr>
        <w:spacing w:after="0"/>
        <w:jc w:val="both"/>
        <w:rPr>
          <w:rFonts w:ascii="Verdana" w:hAnsi="Verdana"/>
        </w:rPr>
      </w:pPr>
      <w:r w:rsidRPr="0078389D">
        <w:rPr>
          <w:rFonts w:ascii="Verdana" w:hAnsi="Verdana"/>
          <w:b/>
        </w:rPr>
        <w:t>Fundación Arco</w:t>
      </w:r>
      <w:r w:rsidR="00A32DDE" w:rsidRPr="0078389D">
        <w:rPr>
          <w:rFonts w:ascii="Verdana" w:hAnsi="Verdana"/>
          <w:b/>
        </w:rPr>
        <w:tab/>
      </w:r>
      <w:r w:rsidR="00A32DDE" w:rsidRPr="0078389D">
        <w:rPr>
          <w:rFonts w:ascii="Verdana" w:hAnsi="Verdana"/>
          <w:bCs/>
        </w:rPr>
        <w:br/>
      </w:r>
      <w:hyperlink r:id="rId12" w:history="1">
        <w:r w:rsidR="00E479A7" w:rsidRPr="0078389D">
          <w:rPr>
            <w:rStyle w:val="Hipervnculo"/>
            <w:rFonts w:ascii="Verdana" w:hAnsi="Verdana"/>
          </w:rPr>
          <w:t>fundearco@gmail.com</w:t>
        </w:r>
      </w:hyperlink>
    </w:p>
    <w:p w14:paraId="707E4BC1" w14:textId="77777777" w:rsidR="00A32DDE" w:rsidRPr="0078389D" w:rsidRDefault="00A32DDE" w:rsidP="00A32DDE">
      <w:pPr>
        <w:spacing w:after="0"/>
        <w:jc w:val="both"/>
        <w:rPr>
          <w:rFonts w:ascii="Verdana" w:hAnsi="Verdana"/>
        </w:rPr>
      </w:pPr>
      <w:r w:rsidRPr="0078389D">
        <w:rPr>
          <w:rFonts w:ascii="Verdana" w:hAnsi="Verdana"/>
        </w:rPr>
        <w:t>Bogotá D.C</w:t>
      </w:r>
    </w:p>
    <w:p w14:paraId="382D2B9E" w14:textId="77777777" w:rsidR="00A32DDE" w:rsidRPr="00885EA6" w:rsidRDefault="00A32DDE" w:rsidP="00A32DDE">
      <w:pPr>
        <w:spacing w:after="0"/>
        <w:jc w:val="both"/>
        <w:rPr>
          <w:rFonts w:ascii="Verdana" w:hAnsi="Verdana"/>
        </w:rPr>
      </w:pPr>
    </w:p>
    <w:p w14:paraId="37EF13A8" w14:textId="16549DA0" w:rsidR="00A32DDE" w:rsidRPr="00885EA6" w:rsidRDefault="00A32DDE" w:rsidP="00A32DDE">
      <w:pPr>
        <w:spacing w:after="0" w:line="240" w:lineRule="auto"/>
        <w:ind w:left="2694"/>
        <w:jc w:val="both"/>
        <w:rPr>
          <w:rFonts w:ascii="Verdana" w:eastAsia="Calibri" w:hAnsi="Verdana" w:cs="Arial"/>
          <w:b/>
          <w:bCs/>
          <w:lang w:val="es-ES" w:eastAsia="es-ES"/>
        </w:rPr>
      </w:pPr>
      <w:r w:rsidRPr="00885EA6">
        <w:rPr>
          <w:rFonts w:ascii="Verdana" w:eastAsia="Calibri" w:hAnsi="Verdana" w:cs="Arial"/>
          <w:b/>
          <w:bCs/>
          <w:lang w:val="es-ES" w:eastAsia="es-ES"/>
        </w:rPr>
        <w:t>Concepto C–</w:t>
      </w:r>
      <w:r w:rsidR="008259B9">
        <w:rPr>
          <w:rFonts w:ascii="Verdana" w:eastAsia="Calibri" w:hAnsi="Verdana" w:cs="Arial"/>
          <w:b/>
          <w:bCs/>
          <w:lang w:val="es-ES" w:eastAsia="es-ES"/>
        </w:rPr>
        <w:t>907</w:t>
      </w:r>
      <w:r w:rsidRPr="00885EA6">
        <w:rPr>
          <w:rFonts w:ascii="Verdana" w:eastAsia="Calibri" w:hAnsi="Verdana" w:cs="Arial"/>
          <w:b/>
          <w:bCs/>
          <w:lang w:val="es-ES" w:eastAsia="es-ES"/>
        </w:rPr>
        <w:t xml:space="preserve"> de 2024</w:t>
      </w:r>
    </w:p>
    <w:p w14:paraId="69D1E3E7" w14:textId="77777777" w:rsidR="00A32DDE" w:rsidRPr="00885EA6" w:rsidRDefault="00A32DDE" w:rsidP="00A32DDE">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A32DDE" w:rsidRPr="00885EA6" w14:paraId="2ED90DC5" w14:textId="77777777" w:rsidTr="009D3DD7">
        <w:trPr>
          <w:trHeight w:val="884"/>
        </w:trPr>
        <w:tc>
          <w:tcPr>
            <w:tcW w:w="2685" w:type="dxa"/>
            <w:hideMark/>
          </w:tcPr>
          <w:p w14:paraId="342106E3" w14:textId="283C569A" w:rsidR="00A32DDE" w:rsidRPr="00520EAF" w:rsidRDefault="00A32DDE" w:rsidP="001D107B">
            <w:pPr>
              <w:jc w:val="both"/>
              <w:rPr>
                <w:rFonts w:ascii="Verdana" w:eastAsia="Calibri" w:hAnsi="Verdana" w:cs="Arial"/>
                <w:b/>
                <w:bCs/>
                <w:szCs w:val="24"/>
                <w:lang w:val="es-ES_tradnl" w:eastAsia="es-ES_tradnl"/>
              </w:rPr>
            </w:pPr>
            <w:r w:rsidRPr="00520EAF">
              <w:rPr>
                <w:rFonts w:ascii="Verdana" w:eastAsia="Calibri" w:hAnsi="Verdana" w:cs="Arial"/>
                <w:b/>
                <w:bCs/>
                <w:szCs w:val="24"/>
                <w:lang w:val="es-ES_tradnl" w:eastAsia="es-ES_tradnl"/>
              </w:rPr>
              <w:t xml:space="preserve">Temas                   </w:t>
            </w:r>
          </w:p>
        </w:tc>
        <w:tc>
          <w:tcPr>
            <w:tcW w:w="6241" w:type="dxa"/>
          </w:tcPr>
          <w:p w14:paraId="02E13F90" w14:textId="32A625AA" w:rsidR="00C65475" w:rsidRPr="00C65475" w:rsidRDefault="009D3DD7" w:rsidP="00C65475">
            <w:pPr>
              <w:contextualSpacing/>
              <w:jc w:val="both"/>
              <w:rPr>
                <w:rFonts w:ascii="Verdana" w:eastAsia="Calibri" w:hAnsi="Verdana" w:cs="Arial"/>
                <w:bCs/>
                <w:lang w:eastAsia="es-MX"/>
                <w14:ligatures w14:val="standardContextual"/>
              </w:rPr>
            </w:pPr>
            <w:r w:rsidRPr="00C65475">
              <w:rPr>
                <w:rFonts w:ascii="Verdana" w:eastAsia="Calibri" w:hAnsi="Verdana" w:cs="Arial"/>
                <w:bCs/>
                <w:lang w:eastAsia="es-MX"/>
                <w14:ligatures w14:val="standardContextual"/>
              </w:rPr>
              <w:t>CLASIFICADOR DE BIENES Y SERVICIOS DE NACIONES UNIDAS – Uso</w:t>
            </w:r>
            <w:r w:rsidR="00C65475" w:rsidRPr="00C65475">
              <w:rPr>
                <w:rFonts w:ascii="Verdana" w:eastAsia="Calibri" w:hAnsi="Verdana" w:cs="Arial"/>
                <w:bCs/>
                <w:lang w:eastAsia="es-MX"/>
                <w14:ligatures w14:val="standardContextual"/>
              </w:rPr>
              <w:t>/ CLASIFICADOR DE BIENES Y SERVICIOS DE NACIONES UNIDAS – Función – Noción</w:t>
            </w:r>
            <w:r w:rsidR="00AB55FC">
              <w:rPr>
                <w:rFonts w:ascii="Verdana" w:eastAsia="Calibri" w:hAnsi="Verdana" w:cs="Arial"/>
                <w:bCs/>
                <w:lang w:eastAsia="es-MX"/>
                <w14:ligatures w14:val="standardContextual"/>
              </w:rPr>
              <w:t>-Experiencia</w:t>
            </w:r>
          </w:p>
          <w:p w14:paraId="79BE2DD7" w14:textId="1650374E" w:rsidR="009D3DD7" w:rsidRPr="00885F63" w:rsidRDefault="009D3DD7" w:rsidP="009D3DD7">
            <w:pPr>
              <w:tabs>
                <w:tab w:val="left" w:pos="0"/>
              </w:tabs>
              <w:spacing w:before="120" w:after="120" w:line="276" w:lineRule="auto"/>
              <w:contextualSpacing/>
              <w:jc w:val="both"/>
              <w:rPr>
                <w:rFonts w:ascii="Verdana" w:eastAsia="Calibri" w:hAnsi="Verdana" w:cs="Arial"/>
                <w:b/>
                <w:lang w:eastAsia="es-MX"/>
                <w14:ligatures w14:val="standardContextual"/>
              </w:rPr>
            </w:pPr>
          </w:p>
          <w:p w14:paraId="35446DFD" w14:textId="77777777" w:rsidR="00A32DDE" w:rsidRPr="00520EAF" w:rsidRDefault="00A32DDE" w:rsidP="001D107B">
            <w:pPr>
              <w:spacing w:line="276" w:lineRule="auto"/>
              <w:jc w:val="both"/>
              <w:rPr>
                <w:rFonts w:ascii="Verdana" w:hAnsi="Verdana"/>
              </w:rPr>
            </w:pPr>
          </w:p>
        </w:tc>
        <w:tc>
          <w:tcPr>
            <w:tcW w:w="6237" w:type="dxa"/>
          </w:tcPr>
          <w:p w14:paraId="1D3C56C2" w14:textId="77777777" w:rsidR="00A32DDE" w:rsidRPr="00885EA6" w:rsidRDefault="00A32DDE" w:rsidP="001D107B">
            <w:pPr>
              <w:jc w:val="both"/>
              <w:rPr>
                <w:rFonts w:ascii="Verdana" w:hAnsi="Verdana" w:cs="Arial"/>
                <w:lang w:val="es-ES"/>
              </w:rPr>
            </w:pPr>
          </w:p>
        </w:tc>
      </w:tr>
      <w:tr w:rsidR="00A32DDE" w:rsidRPr="00885EA6" w14:paraId="6CE5EA50" w14:textId="77777777" w:rsidTr="001D107B">
        <w:tc>
          <w:tcPr>
            <w:tcW w:w="2685" w:type="dxa"/>
            <w:hideMark/>
          </w:tcPr>
          <w:p w14:paraId="57F2085F" w14:textId="77777777" w:rsidR="00A32DDE" w:rsidRPr="00885EA6" w:rsidRDefault="00A32DDE" w:rsidP="001D107B">
            <w:pPr>
              <w:spacing w:before="120"/>
              <w:jc w:val="both"/>
              <w:rPr>
                <w:rFonts w:ascii="Verdana" w:eastAsia="Calibri" w:hAnsi="Verdana" w:cs="Arial"/>
                <w:b/>
                <w:bCs/>
                <w:szCs w:val="24"/>
                <w:lang w:val="es-ES_tradnl" w:eastAsia="es-ES_tradnl"/>
              </w:rPr>
            </w:pPr>
            <w:r w:rsidRPr="00885EA6">
              <w:rPr>
                <w:rFonts w:ascii="Verdana" w:eastAsia="Calibri" w:hAnsi="Verdana" w:cs="Arial"/>
                <w:b/>
                <w:bCs/>
                <w:szCs w:val="24"/>
                <w:lang w:val="es-ES_tradnl" w:eastAsia="es-ES_tradnl"/>
              </w:rPr>
              <w:t xml:space="preserve">Radicación:               </w:t>
            </w:r>
          </w:p>
        </w:tc>
        <w:tc>
          <w:tcPr>
            <w:tcW w:w="6241" w:type="dxa"/>
            <w:hideMark/>
          </w:tcPr>
          <w:p w14:paraId="7B37FB20" w14:textId="30719076" w:rsidR="00A32DDE" w:rsidRPr="00885EA6" w:rsidRDefault="00A32DDE" w:rsidP="001D107B">
            <w:pPr>
              <w:spacing w:before="120" w:line="276" w:lineRule="auto"/>
              <w:jc w:val="both"/>
              <w:rPr>
                <w:rFonts w:ascii="Verdana" w:eastAsia="Calibri" w:hAnsi="Verdana" w:cs="Arial"/>
                <w:szCs w:val="24"/>
                <w:lang w:val="es-ES_tradnl" w:eastAsia="es-ES_tradnl"/>
              </w:rPr>
            </w:pPr>
            <w:r w:rsidRPr="00885EA6">
              <w:rPr>
                <w:rFonts w:ascii="Verdana" w:eastAsia="Calibri" w:hAnsi="Verdana" w:cs="Arial"/>
                <w:szCs w:val="24"/>
                <w:lang w:val="es-ES_tradnl" w:eastAsia="es-ES_tradnl"/>
              </w:rPr>
              <w:t xml:space="preserve">Respuesta a consulta con radicado No. </w:t>
            </w:r>
            <w:r w:rsidR="00E479A7" w:rsidRPr="00E479A7">
              <w:rPr>
                <w:rFonts w:ascii="Verdana" w:eastAsia="Calibri" w:hAnsi="Verdana" w:cs="Arial"/>
                <w:szCs w:val="24"/>
                <w:lang w:eastAsia="es-ES_tradnl"/>
              </w:rPr>
              <w:t>P20241121011726</w:t>
            </w:r>
          </w:p>
        </w:tc>
        <w:tc>
          <w:tcPr>
            <w:tcW w:w="6237" w:type="dxa"/>
          </w:tcPr>
          <w:p w14:paraId="2DA9F9EE" w14:textId="77777777" w:rsidR="00A32DDE" w:rsidRPr="00885EA6" w:rsidRDefault="00A32DDE" w:rsidP="001D107B">
            <w:pPr>
              <w:spacing w:before="120"/>
              <w:jc w:val="both"/>
              <w:rPr>
                <w:rFonts w:ascii="Verdana" w:eastAsia="Calibri" w:hAnsi="Verdana" w:cs="Arial"/>
                <w:szCs w:val="24"/>
                <w:lang w:val="es-ES_tradnl" w:eastAsia="es-ES_tradnl"/>
              </w:rPr>
            </w:pPr>
          </w:p>
        </w:tc>
      </w:tr>
    </w:tbl>
    <w:p w14:paraId="4B5AEA82" w14:textId="77777777" w:rsidR="00A32DDE" w:rsidRPr="00885EA6" w:rsidRDefault="00A32DDE" w:rsidP="00A32DDE">
      <w:pPr>
        <w:spacing w:after="0" w:line="240" w:lineRule="auto"/>
        <w:jc w:val="both"/>
        <w:rPr>
          <w:rFonts w:ascii="Verdana" w:eastAsia="Calibri" w:hAnsi="Verdana" w:cs="Arial"/>
          <w:szCs w:val="24"/>
          <w:lang w:val="es-ES_tradnl" w:eastAsia="es-ES_tradnl"/>
        </w:rPr>
      </w:pPr>
    </w:p>
    <w:p w14:paraId="79E36958" w14:textId="56F23CA2" w:rsidR="00A32DDE" w:rsidRPr="00885EA6" w:rsidRDefault="009B7802" w:rsidP="00A32DDE">
      <w:pPr>
        <w:spacing w:after="0" w:line="240" w:lineRule="auto"/>
        <w:jc w:val="both"/>
        <w:rPr>
          <w:rFonts w:ascii="Verdana" w:eastAsia="Calibri" w:hAnsi="Verdana" w:cs="Arial"/>
          <w:lang w:val="es-ES" w:eastAsia="es-ES"/>
        </w:rPr>
      </w:pPr>
      <w:r>
        <w:rPr>
          <w:rFonts w:ascii="Verdana" w:eastAsia="Calibri" w:hAnsi="Verdana" w:cs="Arial"/>
          <w:lang w:val="es-ES" w:eastAsia="es-ES"/>
        </w:rPr>
        <w:t>Estimad</w:t>
      </w:r>
      <w:r w:rsidR="00BC6153">
        <w:rPr>
          <w:rFonts w:ascii="Verdana" w:eastAsia="Calibri" w:hAnsi="Verdana" w:cs="Arial"/>
          <w:lang w:val="es-ES" w:eastAsia="es-ES"/>
        </w:rPr>
        <w:t>a Fundación Arco</w:t>
      </w:r>
      <w:r w:rsidR="00A32DDE" w:rsidRPr="00885EA6">
        <w:rPr>
          <w:rFonts w:ascii="Verdana" w:eastAsia="Calibri" w:hAnsi="Verdana" w:cs="Arial"/>
          <w:lang w:val="es-ES" w:eastAsia="es-ES"/>
        </w:rPr>
        <w:t xml:space="preserve">: </w:t>
      </w:r>
    </w:p>
    <w:p w14:paraId="244D594B" w14:textId="77777777" w:rsidR="00A32DDE" w:rsidRPr="00885EA6" w:rsidRDefault="00A32DDE" w:rsidP="00A32DDE">
      <w:pPr>
        <w:spacing w:after="0" w:line="240" w:lineRule="auto"/>
        <w:jc w:val="both"/>
        <w:rPr>
          <w:rFonts w:ascii="Verdana" w:eastAsia="Calibri" w:hAnsi="Verdana" w:cs="Arial"/>
          <w:lang w:val="es-ES" w:eastAsia="es-ES"/>
        </w:rPr>
      </w:pPr>
    </w:p>
    <w:p w14:paraId="466763B1" w14:textId="0076A49C" w:rsidR="00A32DDE" w:rsidRPr="00885EA6" w:rsidRDefault="00A32DDE" w:rsidP="00A32DDE">
      <w:pPr>
        <w:spacing w:after="120" w:line="276" w:lineRule="auto"/>
        <w:jc w:val="both"/>
        <w:rPr>
          <w:rFonts w:ascii="Verdana" w:eastAsia="Calibri" w:hAnsi="Verdana" w:cs="Arial"/>
          <w:lang w:val="es-ES" w:eastAsia="es-ES"/>
        </w:rPr>
      </w:pPr>
      <w:r w:rsidRPr="00885EA6">
        <w:rPr>
          <w:rFonts w:ascii="Verdana" w:eastAsia="Calibri" w:hAnsi="Verdana" w:cs="Arial"/>
          <w:lang w:val="es-ES" w:eastAsia="es-ES"/>
        </w:rPr>
        <w:t>En ejercicio de la competencia otorgada por los artículos 3, numeral 5º, y 11, numeral 8º, del Decreto Ley 4170 de 2011,</w:t>
      </w:r>
      <w:r w:rsidRPr="00885EA6">
        <w:rPr>
          <w:rFonts w:ascii="Verdana" w:eastAsia="Arial MT" w:hAnsi="Verdana" w:cs="Arial MT"/>
          <w:lang w:val="es-ES" w:eastAsia="es-ES"/>
        </w:rPr>
        <w:t xml:space="preserve"> </w:t>
      </w:r>
      <w:r w:rsidRPr="00885EA6">
        <w:rPr>
          <w:rFonts w:ascii="Verdana" w:eastAsia="Calibri" w:hAnsi="Verdana" w:cs="Arial"/>
          <w:lang w:val="es-ES" w:eastAsia="es-ES"/>
        </w:rPr>
        <w:t xml:space="preserve">la Agencia Nacional de Contratación Pública – Colombia Compra Eficiente– responde la solicitud de consulta del </w:t>
      </w:r>
      <w:r w:rsidR="00EF6CBA">
        <w:rPr>
          <w:rFonts w:ascii="Verdana" w:eastAsia="Calibri" w:hAnsi="Verdana" w:cs="Arial"/>
          <w:lang w:val="es-ES" w:eastAsia="es-ES"/>
        </w:rPr>
        <w:t>15</w:t>
      </w:r>
      <w:r w:rsidRPr="00885EA6">
        <w:rPr>
          <w:rFonts w:ascii="Verdana" w:eastAsia="Calibri" w:hAnsi="Verdana" w:cs="Arial"/>
          <w:lang w:val="es-ES" w:eastAsia="es-ES"/>
        </w:rPr>
        <w:t xml:space="preserve"> de noviembre de 2024</w:t>
      </w:r>
      <w:r w:rsidR="00EF6CBA">
        <w:rPr>
          <w:rFonts w:ascii="Verdana" w:eastAsia="Calibri" w:hAnsi="Verdana" w:cs="Arial"/>
          <w:lang w:val="es-ES" w:eastAsia="es-ES"/>
        </w:rPr>
        <w:t xml:space="preserve"> traslada </w:t>
      </w:r>
      <w:r w:rsidR="00FE2FC9">
        <w:rPr>
          <w:rFonts w:ascii="Verdana" w:eastAsia="Calibri" w:hAnsi="Verdana" w:cs="Arial"/>
          <w:lang w:val="es-ES" w:eastAsia="es-ES"/>
        </w:rPr>
        <w:t xml:space="preserve">por parte de la Procuraduría General de la Nación </w:t>
      </w:r>
      <w:r w:rsidR="005B135D">
        <w:rPr>
          <w:rFonts w:ascii="Verdana" w:eastAsia="Calibri" w:hAnsi="Verdana" w:cs="Arial"/>
          <w:lang w:val="es-ES" w:eastAsia="es-ES"/>
        </w:rPr>
        <w:t xml:space="preserve">mediante radicado </w:t>
      </w:r>
      <w:r w:rsidR="005B135D" w:rsidRPr="005B135D">
        <w:rPr>
          <w:rFonts w:ascii="Verdana" w:eastAsia="Calibri" w:hAnsi="Verdana" w:cs="Arial"/>
          <w:lang w:eastAsia="es-ES"/>
        </w:rPr>
        <w:t>E-2024-709008</w:t>
      </w:r>
      <w:r w:rsidR="005B135D">
        <w:rPr>
          <w:rFonts w:ascii="Verdana" w:eastAsia="Calibri" w:hAnsi="Verdana" w:cs="Arial"/>
          <w:lang w:eastAsia="es-ES"/>
        </w:rPr>
        <w:t xml:space="preserve"> del 20 de noviembre de 2024</w:t>
      </w:r>
      <w:r w:rsidRPr="00885EA6">
        <w:rPr>
          <w:rFonts w:ascii="Verdana" w:eastAsia="Calibri" w:hAnsi="Verdana" w:cs="Arial"/>
          <w:lang w:val="es-ES" w:eastAsia="es-ES"/>
        </w:rPr>
        <w:t>. En la cual manifiesta lo siguiente:</w:t>
      </w:r>
    </w:p>
    <w:p w14:paraId="07686827" w14:textId="77777777" w:rsidR="00A32DDE" w:rsidRPr="00885EA6" w:rsidRDefault="00A32DDE" w:rsidP="00A32DDE">
      <w:pPr>
        <w:spacing w:after="0" w:line="240" w:lineRule="auto"/>
        <w:ind w:left="709" w:right="709"/>
        <w:jc w:val="both"/>
        <w:rPr>
          <w:rFonts w:ascii="Verdana" w:eastAsia="Calibri" w:hAnsi="Verdana" w:cs="Arial"/>
          <w:sz w:val="20"/>
          <w:szCs w:val="20"/>
          <w:lang w:val="es-ES" w:eastAsia="es-ES"/>
        </w:rPr>
      </w:pPr>
    </w:p>
    <w:p w14:paraId="7710CF22" w14:textId="77777777" w:rsidR="005B135D" w:rsidRDefault="00A32DDE" w:rsidP="00A32DDE">
      <w:pPr>
        <w:spacing w:after="0" w:line="240" w:lineRule="auto"/>
        <w:ind w:left="709" w:right="709"/>
        <w:jc w:val="both"/>
        <w:rPr>
          <w:rFonts w:ascii="Verdana" w:eastAsia="Calibri" w:hAnsi="Verdana" w:cs="Arial"/>
          <w:sz w:val="20"/>
          <w:szCs w:val="20"/>
          <w:lang w:val="es-ES" w:eastAsia="es-ES"/>
        </w:rPr>
      </w:pPr>
      <w:r w:rsidRPr="00885EA6">
        <w:rPr>
          <w:rFonts w:ascii="Verdana" w:eastAsia="Calibri" w:hAnsi="Verdana" w:cs="Arial"/>
          <w:sz w:val="20"/>
          <w:szCs w:val="20"/>
          <w:lang w:val="es-ES" w:eastAsia="es-ES"/>
        </w:rPr>
        <w:t xml:space="preserve"> “(…) </w:t>
      </w:r>
    </w:p>
    <w:p w14:paraId="762ED504" w14:textId="73B5F95E" w:rsidR="005B135D" w:rsidRDefault="007A4E94" w:rsidP="00A32DDE">
      <w:pPr>
        <w:spacing w:after="0" w:line="240" w:lineRule="auto"/>
        <w:ind w:left="709" w:right="709"/>
        <w:jc w:val="both"/>
        <w:rPr>
          <w:rFonts w:ascii="Verdana" w:eastAsia="Calibri" w:hAnsi="Verdana" w:cs="Arial"/>
          <w:sz w:val="20"/>
          <w:szCs w:val="20"/>
          <w:lang w:val="es-ES" w:eastAsia="es-ES"/>
        </w:rPr>
      </w:pPr>
      <w:r w:rsidRPr="007A4E94">
        <w:rPr>
          <w:rFonts w:ascii="Verdana" w:eastAsia="Calibri" w:hAnsi="Verdana" w:cs="Arial"/>
          <w:sz w:val="20"/>
          <w:szCs w:val="20"/>
          <w:lang w:eastAsia="es-ES"/>
        </w:rPr>
        <w:t>1. ¿Es suficiente con que el contrato adjudicado esté relacionado con el objeto contractual y cumpla con la mayoría de los códigos UNSPSC exigidos? 2. ¿O, por el contrario, se debe requerir necesariamente la totalidad de los códigos, tal como algunas entidades estatales están exigiendo?</w:t>
      </w:r>
    </w:p>
    <w:p w14:paraId="4B705465" w14:textId="0DF474BB" w:rsidR="00A32DDE" w:rsidRPr="00885EA6" w:rsidRDefault="00A32DDE" w:rsidP="00A32DDE">
      <w:pPr>
        <w:spacing w:after="0" w:line="240" w:lineRule="auto"/>
        <w:ind w:left="709" w:right="709"/>
        <w:jc w:val="both"/>
        <w:rPr>
          <w:rFonts w:ascii="Verdana" w:eastAsia="Calibri" w:hAnsi="Verdana" w:cs="Arial"/>
          <w:sz w:val="20"/>
          <w:szCs w:val="20"/>
          <w:lang w:val="es-ES" w:eastAsia="es-ES"/>
        </w:rPr>
      </w:pPr>
      <w:r w:rsidRPr="00885EA6">
        <w:rPr>
          <w:rFonts w:ascii="Verdana" w:eastAsia="Calibri" w:hAnsi="Verdana" w:cs="Arial"/>
          <w:sz w:val="20"/>
          <w:szCs w:val="20"/>
          <w:lang w:val="es-ES" w:eastAsia="es-ES"/>
        </w:rPr>
        <w:t>(…)</w:t>
      </w:r>
      <w:r>
        <w:rPr>
          <w:rFonts w:ascii="Verdana" w:eastAsia="Calibri" w:hAnsi="Verdana" w:cs="Arial"/>
          <w:sz w:val="20"/>
          <w:szCs w:val="20"/>
          <w:lang w:val="es-ES" w:eastAsia="es-ES"/>
        </w:rPr>
        <w:t xml:space="preserve">”. </w:t>
      </w:r>
    </w:p>
    <w:p w14:paraId="2F627152" w14:textId="77777777" w:rsidR="00A32DDE" w:rsidRPr="00885EA6" w:rsidRDefault="00A32DDE" w:rsidP="00A32DDE">
      <w:pPr>
        <w:spacing w:after="0" w:line="240" w:lineRule="auto"/>
        <w:ind w:left="709" w:right="709"/>
        <w:jc w:val="both"/>
        <w:rPr>
          <w:rFonts w:ascii="Verdana" w:eastAsia="Calibri" w:hAnsi="Verdana" w:cs="Arial"/>
          <w:sz w:val="20"/>
          <w:szCs w:val="20"/>
          <w:lang w:val="es-ES" w:eastAsia="es-ES"/>
        </w:rPr>
      </w:pPr>
    </w:p>
    <w:p w14:paraId="6EA22D54" w14:textId="77777777" w:rsidR="00A32DDE" w:rsidRPr="00885EA6" w:rsidRDefault="00A32DDE" w:rsidP="00A32DDE">
      <w:pPr>
        <w:spacing w:after="120" w:line="276" w:lineRule="auto"/>
        <w:jc w:val="both"/>
        <w:rPr>
          <w:rFonts w:ascii="Verdana" w:eastAsia="Calibri" w:hAnsi="Verdana" w:cs="Arial"/>
          <w:lang w:val="es-ES" w:eastAsia="es-ES"/>
        </w:rPr>
      </w:pPr>
      <w:r w:rsidRPr="00885EA6">
        <w:rPr>
          <w:rFonts w:ascii="Verdana" w:eastAsia="Calibri" w:hAnsi="Verdana" w:cs="Arial"/>
          <w:lang w:val="es-ES_tradnl" w:eastAsia="es-ES_tradnl"/>
        </w:rPr>
        <w:lastRenderedPageBreak/>
        <w:tab/>
      </w:r>
      <w:r w:rsidRPr="00885EA6">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5EB1E7D9" w14:textId="77777777" w:rsidR="00A32DDE" w:rsidRPr="00885EA6" w:rsidRDefault="00A32DDE" w:rsidP="00A32DDE">
      <w:pPr>
        <w:spacing w:after="0" w:line="276" w:lineRule="auto"/>
        <w:jc w:val="both"/>
        <w:rPr>
          <w:rFonts w:ascii="Verdana" w:eastAsia="Calibri" w:hAnsi="Verdana" w:cs="Arial"/>
          <w:lang w:val="es-ES" w:eastAsia="es-ES"/>
        </w:rPr>
      </w:pPr>
      <w:r w:rsidRPr="00885EA6">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6A18653E" w14:textId="77777777" w:rsidR="00A32DDE" w:rsidRPr="00885EA6" w:rsidRDefault="00A32DDE" w:rsidP="00A32DDE">
      <w:pPr>
        <w:spacing w:after="0" w:line="276" w:lineRule="auto"/>
        <w:jc w:val="both"/>
        <w:rPr>
          <w:rFonts w:ascii="Verdana" w:eastAsia="Calibri" w:hAnsi="Verdana" w:cs="Arial"/>
          <w:lang w:val="es-ES" w:eastAsia="es-ES"/>
        </w:rPr>
      </w:pPr>
    </w:p>
    <w:p w14:paraId="44F0ED90" w14:textId="77777777" w:rsidR="00A32DDE" w:rsidRPr="00A87AD8" w:rsidRDefault="00A32DDE" w:rsidP="00A32D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A87AD8">
        <w:rPr>
          <w:rFonts w:ascii="Verdana" w:eastAsia="Century Gothic" w:hAnsi="Verdana" w:cs="Century Gothic"/>
          <w:b/>
          <w:bCs/>
        </w:rPr>
        <w:t>Problema planteado:</w:t>
      </w:r>
    </w:p>
    <w:p w14:paraId="69D698AF" w14:textId="77777777" w:rsidR="00A32DDE" w:rsidRPr="00A87AD8" w:rsidRDefault="00A32DDE" w:rsidP="00A32DDE">
      <w:pPr>
        <w:spacing w:after="0" w:line="240" w:lineRule="auto"/>
        <w:jc w:val="both"/>
        <w:rPr>
          <w:rFonts w:ascii="Verdana" w:eastAsia="Century Gothic" w:hAnsi="Verdana" w:cs="Century Gothic"/>
        </w:rPr>
      </w:pPr>
    </w:p>
    <w:p w14:paraId="68AC5693" w14:textId="2F754015" w:rsidR="00A32DDE" w:rsidRPr="00283203" w:rsidRDefault="00A32DDE" w:rsidP="00A32DDE">
      <w:pPr>
        <w:spacing w:after="0" w:line="276" w:lineRule="auto"/>
        <w:jc w:val="both"/>
        <w:rPr>
          <w:rFonts w:ascii="Verdana" w:hAnsi="Verdana"/>
        </w:rPr>
      </w:pPr>
      <w:r w:rsidRPr="00A87AD8">
        <w:rPr>
          <w:rFonts w:ascii="Verdana" w:eastAsia="Century Gothic" w:hAnsi="Verdana" w:cs="Century Gothic"/>
        </w:rPr>
        <w:t>De acuerdo con el contenido de sus solicitudes y que versan sobre la modalidad de licitación pública, esta Agencia resolverá el siguiente problema jurídico ¿</w:t>
      </w:r>
      <w:r w:rsidR="00845773" w:rsidRPr="00A87AD8">
        <w:rPr>
          <w:rFonts w:ascii="Verdana" w:eastAsia="Century Gothic" w:hAnsi="Verdana" w:cs="Century Gothic"/>
        </w:rPr>
        <w:t xml:space="preserve">Se puede exigir </w:t>
      </w:r>
      <w:r w:rsidR="00A87AD8" w:rsidRPr="00A87AD8">
        <w:rPr>
          <w:rFonts w:ascii="Verdana" w:eastAsia="Century Gothic" w:hAnsi="Verdana" w:cs="Century Gothic"/>
        </w:rPr>
        <w:t xml:space="preserve">un </w:t>
      </w:r>
      <w:r w:rsidR="1BAFC34F" w:rsidRPr="71B92E28">
        <w:rPr>
          <w:rFonts w:ascii="Verdana" w:eastAsia="Century Gothic" w:hAnsi="Verdana" w:cs="Century Gothic"/>
        </w:rPr>
        <w:t>número</w:t>
      </w:r>
      <w:r w:rsidR="00A87AD8" w:rsidRPr="00A87AD8">
        <w:rPr>
          <w:rFonts w:ascii="Verdana" w:eastAsia="Century Gothic" w:hAnsi="Verdana" w:cs="Century Gothic"/>
        </w:rPr>
        <w:t xml:space="preserve"> determinado de códigos</w:t>
      </w:r>
      <w:r w:rsidR="00A87AD8">
        <w:rPr>
          <w:rFonts w:ascii="Verdana" w:eastAsia="Century Gothic" w:hAnsi="Verdana" w:cs="Century Gothic"/>
        </w:rPr>
        <w:t xml:space="preserve"> del clasificador de bienes y servicios al momento de la verificación de la experiencia? </w:t>
      </w:r>
    </w:p>
    <w:p w14:paraId="36823FE9" w14:textId="77777777" w:rsidR="00A32DDE" w:rsidRPr="00283203" w:rsidRDefault="00A32DDE" w:rsidP="00A32DDE">
      <w:pPr>
        <w:spacing w:after="0" w:line="276" w:lineRule="auto"/>
        <w:jc w:val="both"/>
        <w:rPr>
          <w:rFonts w:ascii="Verdana" w:eastAsia="Century Gothic" w:hAnsi="Verdana" w:cs="Century Gothic"/>
        </w:rPr>
      </w:pPr>
    </w:p>
    <w:p w14:paraId="3DDAA6CF" w14:textId="77777777" w:rsidR="00A32DDE" w:rsidRPr="00283203" w:rsidRDefault="00A32DDE" w:rsidP="00A32D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3203">
        <w:rPr>
          <w:rFonts w:ascii="Verdana" w:eastAsia="Century Gothic" w:hAnsi="Verdana" w:cs="Century Gothic"/>
          <w:b/>
          <w:bCs/>
        </w:rPr>
        <w:t>Respuesta:</w:t>
      </w:r>
    </w:p>
    <w:p w14:paraId="083E32E3" w14:textId="77777777" w:rsidR="00A32DDE" w:rsidRPr="00283203" w:rsidRDefault="00A32DDE" w:rsidP="00A32DDE">
      <w:pPr>
        <w:pStyle w:val="Prrafodelista"/>
        <w:tabs>
          <w:tab w:val="left" w:pos="142"/>
          <w:tab w:val="left" w:pos="284"/>
        </w:tabs>
        <w:spacing w:after="0" w:line="276" w:lineRule="auto"/>
        <w:ind w:left="0"/>
        <w:jc w:val="both"/>
        <w:rPr>
          <w:rFonts w:ascii="Verdana" w:eastAsia="Century Gothic" w:hAnsi="Verdana" w:cs="Century Gothic"/>
          <w:b/>
          <w:bCs/>
        </w:rPr>
      </w:pPr>
    </w:p>
    <w:p w14:paraId="39E3E00A" w14:textId="2CB7A137" w:rsidR="00423904" w:rsidRPr="00451657" w:rsidRDefault="004153E5" w:rsidP="00423904">
      <w:pPr>
        <w:widowControl w:val="0"/>
        <w:autoSpaceDE w:val="0"/>
        <w:autoSpaceDN w:val="0"/>
        <w:spacing w:before="120" w:after="120" w:line="276" w:lineRule="auto"/>
        <w:ind w:right="102"/>
        <w:jc w:val="both"/>
        <w:rPr>
          <w:rFonts w:ascii="Verdana" w:eastAsia="Century Gothic" w:hAnsi="Verdana" w:cs="Century Gothic"/>
        </w:rPr>
      </w:pPr>
      <w:r>
        <w:rPr>
          <w:rFonts w:ascii="Verdana" w:eastAsia="Century Gothic" w:hAnsi="Verdana" w:cs="Century Gothic"/>
        </w:rPr>
        <w:t xml:space="preserve">Respecto al interrogante </w:t>
      </w:r>
      <w:r w:rsidR="00E35C9E" w:rsidRPr="00303A0F">
        <w:rPr>
          <w:rFonts w:ascii="Verdana" w:hAnsi="Verdana" w:cs="Arial"/>
          <w:color w:val="000000" w:themeColor="text1"/>
        </w:rPr>
        <w:t>las entidades estatales son autónomas en la estructuración de sus procedimientos contractuales, por lo cual en sus pliegos de condiciones pueden establecer las reglas de acreditación de la experiencia de los proponentes y demás consideraciones siempre que esta sea proporcionales y conducentes para el respectivo proceso de selección</w:t>
      </w:r>
      <w:r w:rsidR="00E35C9E">
        <w:rPr>
          <w:rFonts w:ascii="Verdana" w:hAnsi="Verdana" w:cs="Arial"/>
          <w:color w:val="000000" w:themeColor="text1"/>
        </w:rPr>
        <w:t xml:space="preserve"> garantizando la pluralidad de oferentes y la participación en el respectivo proceso. </w:t>
      </w:r>
      <w:r w:rsidR="00E37828">
        <w:rPr>
          <w:rFonts w:ascii="Verdana" w:hAnsi="Verdana" w:cs="Arial"/>
          <w:color w:val="000000" w:themeColor="text1"/>
        </w:rPr>
        <w:t>Sin embargo,</w:t>
      </w:r>
      <w:r w:rsidR="007A5CC9" w:rsidRPr="007A5CC9">
        <w:rPr>
          <w:rFonts w:ascii="Verdana" w:hAnsi="Verdana" w:cs="Arial"/>
          <w:color w:val="000000" w:themeColor="text1"/>
        </w:rPr>
        <w:t xml:space="preserve"> las Entidades Estatales no pueden excluir a un proponente que ha acreditado los requisitos habilitantes exigidos en un Proceso </w:t>
      </w:r>
      <w:r w:rsidR="007A5CC9" w:rsidRPr="007A5CC9">
        <w:rPr>
          <w:rFonts w:ascii="Verdana" w:hAnsi="Verdana" w:cs="Arial"/>
          <w:color w:val="000000" w:themeColor="text1"/>
        </w:rPr>
        <w:lastRenderedPageBreak/>
        <w:t xml:space="preserve">de Contratación por no estar inscrito en el </w:t>
      </w:r>
      <w:proofErr w:type="spellStart"/>
      <w:r w:rsidR="007A5CC9" w:rsidRPr="007A5CC9">
        <w:rPr>
          <w:rFonts w:ascii="Verdana" w:hAnsi="Verdana" w:cs="Arial"/>
          <w:color w:val="000000" w:themeColor="text1"/>
        </w:rPr>
        <w:t>RUP</w:t>
      </w:r>
      <w:proofErr w:type="spellEnd"/>
      <w:r w:rsidR="007A5CC9" w:rsidRPr="007A5CC9">
        <w:rPr>
          <w:rFonts w:ascii="Verdana" w:hAnsi="Verdana" w:cs="Arial"/>
          <w:color w:val="000000" w:themeColor="text1"/>
        </w:rPr>
        <w:t xml:space="preserve"> con el código de los bienes, obras o servicios del objeto de tal Proceso de Contratación</w:t>
      </w:r>
    </w:p>
    <w:p w14:paraId="1BD08F33" w14:textId="257D679C" w:rsidR="00A32DDE" w:rsidRPr="00283203" w:rsidRDefault="00423904" w:rsidP="00D565F2">
      <w:pPr>
        <w:pStyle w:val="Prrafodelista"/>
        <w:tabs>
          <w:tab w:val="left" w:pos="426"/>
        </w:tabs>
        <w:spacing w:after="0" w:line="276" w:lineRule="auto"/>
        <w:ind w:left="0"/>
        <w:jc w:val="both"/>
        <w:rPr>
          <w:rFonts w:ascii="Verdana" w:eastAsia="Century Gothic" w:hAnsi="Verdana" w:cs="Century Gothic"/>
          <w:b/>
          <w:bCs/>
        </w:rPr>
      </w:pPr>
      <w:r w:rsidRPr="00451657">
        <w:rPr>
          <w:rFonts w:ascii="Verdana" w:eastAsia="Century Gothic" w:hAnsi="Verdana" w:cs="Century Gothic"/>
        </w:rPr>
        <w:tab/>
      </w:r>
      <w:r w:rsidR="00A32DDE" w:rsidRPr="00283203">
        <w:rPr>
          <w:rFonts w:ascii="Verdana" w:eastAsia="Century Gothic" w:hAnsi="Verdana" w:cs="Century Gothic"/>
          <w:bCs/>
        </w:rPr>
        <w:t xml:space="preserve"> </w:t>
      </w:r>
    </w:p>
    <w:p w14:paraId="2B125C9D" w14:textId="77777777" w:rsidR="00A32DDE" w:rsidRPr="00283203" w:rsidRDefault="00A32DDE" w:rsidP="00A32D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3203">
        <w:rPr>
          <w:rFonts w:ascii="Verdana" w:eastAsia="Century Gothic" w:hAnsi="Verdana" w:cs="Century Gothic"/>
          <w:b/>
          <w:bCs/>
        </w:rPr>
        <w:t>Razones de la respuesta:</w:t>
      </w:r>
    </w:p>
    <w:p w14:paraId="7A77B8A4" w14:textId="77777777" w:rsidR="00A32DDE" w:rsidRPr="00283203" w:rsidRDefault="00A32DDE" w:rsidP="00A32DDE">
      <w:pPr>
        <w:pStyle w:val="Prrafodelista"/>
        <w:tabs>
          <w:tab w:val="left" w:pos="142"/>
          <w:tab w:val="left" w:pos="284"/>
        </w:tabs>
        <w:spacing w:after="0" w:line="276" w:lineRule="auto"/>
        <w:ind w:left="0"/>
        <w:jc w:val="both"/>
        <w:rPr>
          <w:rFonts w:ascii="Verdana" w:eastAsia="Century Gothic" w:hAnsi="Verdana" w:cs="Century Gothic"/>
          <w:b/>
          <w:bCs/>
        </w:rPr>
      </w:pPr>
    </w:p>
    <w:p w14:paraId="5DF361F7" w14:textId="77777777" w:rsidR="00A32DDE" w:rsidRPr="00283203" w:rsidRDefault="00A32DDE" w:rsidP="00A32DDE">
      <w:pPr>
        <w:spacing w:after="0" w:line="276" w:lineRule="auto"/>
        <w:jc w:val="both"/>
        <w:rPr>
          <w:rFonts w:ascii="Verdana" w:eastAsia="Calibri" w:hAnsi="Verdana" w:cs="Arial"/>
          <w:lang w:val="es-ES"/>
        </w:rPr>
      </w:pPr>
      <w:r w:rsidRPr="00283203">
        <w:rPr>
          <w:rFonts w:ascii="Verdana" w:eastAsia="Calibri" w:hAnsi="Verdana" w:cs="Arial"/>
          <w:lang w:val="es-ES"/>
        </w:rPr>
        <w:t xml:space="preserve">Lo anterior se sustenta en las siguientes consideraciones: </w:t>
      </w:r>
    </w:p>
    <w:p w14:paraId="200F3141" w14:textId="6839605E" w:rsidR="00303A0F" w:rsidRPr="00303A0F" w:rsidRDefault="003B6D92" w:rsidP="00303A0F">
      <w:pPr>
        <w:numPr>
          <w:ilvl w:val="0"/>
          <w:numId w:val="20"/>
        </w:numPr>
        <w:spacing w:before="120" w:line="276" w:lineRule="auto"/>
        <w:jc w:val="both"/>
        <w:rPr>
          <w:rFonts w:ascii="Verdana" w:hAnsi="Verdana" w:cs="Arial"/>
          <w:color w:val="000000" w:themeColor="text1"/>
          <w:lang w:val="es-ES"/>
        </w:rPr>
      </w:pPr>
      <w:r>
        <w:rPr>
          <w:rFonts w:ascii="Verdana" w:hAnsi="Verdana" w:cs="Arial"/>
          <w:color w:val="000000" w:themeColor="text1"/>
          <w:lang w:val="es-ES"/>
        </w:rPr>
        <w:t xml:space="preserve">Sobre </w:t>
      </w:r>
      <w:r w:rsidR="00303A0F" w:rsidRPr="00303A0F">
        <w:rPr>
          <w:rFonts w:ascii="Verdana" w:hAnsi="Verdana" w:cs="Arial"/>
          <w:color w:val="000000" w:themeColor="text1"/>
          <w:lang w:val="es-ES"/>
        </w:rPr>
        <w:t>el requisito habilitante</w:t>
      </w:r>
      <w:r>
        <w:rPr>
          <w:rFonts w:ascii="Verdana" w:hAnsi="Verdana" w:cs="Arial"/>
          <w:color w:val="000000" w:themeColor="text1"/>
          <w:lang w:val="es-ES"/>
        </w:rPr>
        <w:t xml:space="preserve"> de </w:t>
      </w:r>
      <w:r w:rsidR="00303A0F" w:rsidRPr="00303A0F">
        <w:rPr>
          <w:rFonts w:ascii="Verdana" w:hAnsi="Verdana" w:cs="Arial"/>
          <w:color w:val="000000" w:themeColor="text1"/>
          <w:lang w:val="es-ES"/>
        </w:rPr>
        <w:t>experiencia y sus diversas características, es pertinente ubicar dentro del Estatuto General de Contratación de la Administración Pública-EGCAP- su fundamento normativo, y es que a partir de lo señalado en el artículo 5 de la Ley 1150 de 2007</w:t>
      </w:r>
      <w:r w:rsidR="00303A0F" w:rsidRPr="00303A0F">
        <w:rPr>
          <w:rFonts w:ascii="Verdana" w:hAnsi="Verdana" w:cs="Arial"/>
          <w:color w:val="000000" w:themeColor="text1"/>
          <w:vertAlign w:val="superscript"/>
          <w:lang w:val="es-ES"/>
        </w:rPr>
        <w:footnoteReference w:id="2"/>
      </w:r>
      <w:r w:rsidR="00303A0F" w:rsidRPr="00303A0F">
        <w:rPr>
          <w:rFonts w:ascii="Verdana" w:hAnsi="Verdana" w:cs="Arial"/>
          <w:color w:val="000000" w:themeColor="text1"/>
          <w:lang w:val="es-ES"/>
        </w:rPr>
        <w:t xml:space="preserve">, dispone que la capacidad jurídica y las condiciones de experiencia, capacidad financiera y organización de los proponentes serán objeto de verificación por parte de las Entidades Estatales como requisitos habilitantes para participar en los procesos de selección. </w:t>
      </w:r>
    </w:p>
    <w:p w14:paraId="3C004888" w14:textId="77777777" w:rsidR="00303A0F" w:rsidRPr="00303A0F" w:rsidRDefault="00303A0F" w:rsidP="003B6D92">
      <w:pPr>
        <w:numPr>
          <w:ilvl w:val="0"/>
          <w:numId w:val="20"/>
        </w:numPr>
        <w:spacing w:before="120" w:line="276" w:lineRule="auto"/>
        <w:jc w:val="both"/>
        <w:rPr>
          <w:rFonts w:ascii="Verdana" w:hAnsi="Verdana" w:cs="Arial"/>
          <w:color w:val="000000" w:themeColor="text1"/>
        </w:rPr>
      </w:pPr>
      <w:r w:rsidRPr="00303A0F">
        <w:rPr>
          <w:rFonts w:ascii="Verdana" w:hAnsi="Verdana" w:cs="Arial"/>
          <w:color w:val="000000" w:themeColor="text1"/>
        </w:rPr>
        <w:t>La experiencia es aquella que se deriva de los contratos que el proponente ha celebrado y ejecutado con diferentes contratantes, sin importar la naturaleza de estos, se verifica con el Registro Único de Proponentes – RUP</w:t>
      </w:r>
      <w:r w:rsidRPr="00303A0F">
        <w:rPr>
          <w:rFonts w:ascii="Verdana" w:hAnsi="Verdana" w:cs="Arial"/>
          <w:color w:val="000000" w:themeColor="text1"/>
          <w:vertAlign w:val="superscript"/>
        </w:rPr>
        <w:footnoteReference w:id="3"/>
      </w:r>
      <w:r w:rsidRPr="00303A0F">
        <w:rPr>
          <w:rFonts w:ascii="Verdana" w:hAnsi="Verdana" w:cs="Arial"/>
          <w:color w:val="000000" w:themeColor="text1"/>
        </w:rPr>
        <w:t xml:space="preserve">, cuando este certificado sea exigible de acuerdo con lo establecido en el artículo 6 de la Ley 1150 de 2007. </w:t>
      </w:r>
    </w:p>
    <w:p w14:paraId="485EBDDC" w14:textId="5BDD55DB" w:rsidR="00F93ECF" w:rsidRPr="00F93ECF" w:rsidRDefault="00F93ECF" w:rsidP="00F93ECF">
      <w:pPr>
        <w:pStyle w:val="Prrafodelista"/>
        <w:numPr>
          <w:ilvl w:val="0"/>
          <w:numId w:val="20"/>
        </w:numPr>
        <w:shd w:val="clear" w:color="auto" w:fill="FFFFFF"/>
        <w:spacing w:before="120" w:after="120" w:line="276" w:lineRule="auto"/>
        <w:jc w:val="both"/>
        <w:textAlignment w:val="baseline"/>
        <w:rPr>
          <w:rFonts w:ascii="Verdana" w:eastAsia="Century Gothic" w:hAnsi="Verdana" w:cs="Century Gothic"/>
        </w:rPr>
      </w:pPr>
      <w:r>
        <w:rPr>
          <w:rFonts w:ascii="Verdana" w:eastAsia="Century Gothic" w:hAnsi="Verdana" w:cs="Century Gothic"/>
        </w:rPr>
        <w:t xml:space="preserve">Por su parte el </w:t>
      </w:r>
      <w:r w:rsidRPr="00F93ECF">
        <w:rPr>
          <w:rFonts w:ascii="Verdana" w:eastAsia="Century Gothic" w:hAnsi="Verdana" w:cs="Century Gothic"/>
        </w:rPr>
        <w:t>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w:t>
      </w:r>
      <w:r w:rsidR="00C061B6">
        <w:rPr>
          <w:rStyle w:val="Refdenotaalpie"/>
          <w:rFonts w:ascii="Verdana" w:eastAsia="Century Gothic" w:hAnsi="Verdana" w:cs="Century Gothic"/>
        </w:rPr>
        <w:footnoteReference w:id="4"/>
      </w:r>
      <w:r w:rsidRPr="00F93ECF">
        <w:rPr>
          <w:rFonts w:ascii="Verdana" w:eastAsia="Century Gothic" w:hAnsi="Verdana" w:cs="Century Gothic"/>
        </w:rPr>
        <w:t xml:space="preserve">, establece que “The United Nations Standard Products and Services Code® - UNSPSC - Código Estándar de Productos y Servicios de Naciones Unidas, es una metodología uniforme de codificación utilizada para clasificar productos y servicios fundamentada en un arreglo </w:t>
      </w:r>
      <w:r w:rsidRPr="00F93ECF">
        <w:rPr>
          <w:rFonts w:ascii="Verdana" w:eastAsia="Century Gothic" w:hAnsi="Verdana" w:cs="Century Gothic"/>
        </w:rPr>
        <w:lastRenderedPageBreak/>
        <w:t>jerárquico y en una estructura lógica”. La principal utilidad de este sistema de clasificación es codificar productos y servicios de forma clara ya que “se basa en estándares acordados por la industria los cuales facilitan el comercio entre empresas y gobierno”.</w:t>
      </w:r>
    </w:p>
    <w:p w14:paraId="6F3FA591" w14:textId="449050D9" w:rsidR="00303A0F" w:rsidRPr="00303A0F" w:rsidRDefault="00303A0F" w:rsidP="00D565F2">
      <w:pPr>
        <w:numPr>
          <w:ilvl w:val="0"/>
          <w:numId w:val="20"/>
        </w:numPr>
        <w:spacing w:before="120" w:line="276" w:lineRule="auto"/>
        <w:jc w:val="both"/>
        <w:rPr>
          <w:rFonts w:ascii="Verdana" w:hAnsi="Verdana" w:cs="Arial"/>
          <w:color w:val="000000" w:themeColor="text1"/>
        </w:rPr>
      </w:pPr>
      <w:r w:rsidRPr="00303A0F">
        <w:rPr>
          <w:rFonts w:ascii="Verdana" w:hAnsi="Verdana" w:cs="Arial"/>
          <w:color w:val="000000" w:themeColor="text1"/>
        </w:rPr>
        <w:t>Pues bien, la Agencia Nacional de Contratación Pública - Colombia Compra Eficiente puso a disposición de los interesados del sistema de compra pública el “Manual para determinar y verificar requisitos habilitantes en los procesos de contratación”</w:t>
      </w:r>
      <w:r w:rsidRPr="00303A0F">
        <w:rPr>
          <w:rFonts w:ascii="Verdana" w:hAnsi="Verdana" w:cs="Arial"/>
          <w:color w:val="000000" w:themeColor="text1"/>
          <w:vertAlign w:val="superscript"/>
        </w:rPr>
        <w:footnoteReference w:id="5"/>
      </w:r>
      <w:r w:rsidRPr="00303A0F">
        <w:rPr>
          <w:rFonts w:ascii="Verdana" w:hAnsi="Verdana" w:cs="Arial"/>
          <w:color w:val="000000" w:themeColor="text1"/>
        </w:rPr>
        <w:t xml:space="preserve">, y en este de forma particular, se establecen una serie de características que deben ser observadas por parte de las entidades al establecer en sus invitaciones o pliego de condiciones los requerimientos o condiciones necesarias para poder llevar a cabo su verificación, como se detalla a continuación: </w:t>
      </w:r>
    </w:p>
    <w:p w14:paraId="0D09C152" w14:textId="77777777" w:rsidR="00303A0F" w:rsidRPr="00303A0F" w:rsidRDefault="00303A0F" w:rsidP="00D565F2">
      <w:pPr>
        <w:spacing w:before="120" w:line="276" w:lineRule="auto"/>
        <w:ind w:firstLine="708"/>
        <w:jc w:val="both"/>
        <w:rPr>
          <w:rFonts w:ascii="Verdana" w:hAnsi="Verdana" w:cs="Arial"/>
          <w:color w:val="000000" w:themeColor="text1"/>
        </w:rPr>
      </w:pPr>
      <w:r w:rsidRPr="00303A0F">
        <w:rPr>
          <w:rFonts w:ascii="Verdana" w:hAnsi="Verdana" w:cs="Arial"/>
          <w:color w:val="000000" w:themeColor="text1"/>
        </w:rPr>
        <w:t xml:space="preserve">(…) </w:t>
      </w:r>
    </w:p>
    <w:p w14:paraId="4A4A1279" w14:textId="69D31D96" w:rsidR="00303A0F" w:rsidRPr="00303A0F" w:rsidRDefault="00303A0F" w:rsidP="000D01C5">
      <w:pPr>
        <w:spacing w:before="120" w:line="276" w:lineRule="auto"/>
        <w:ind w:left="720"/>
        <w:jc w:val="both"/>
        <w:rPr>
          <w:rFonts w:ascii="Verdana" w:hAnsi="Verdana" w:cs="Arial"/>
          <w:color w:val="000000" w:themeColor="text1"/>
        </w:rPr>
      </w:pPr>
      <w:r w:rsidRPr="000D01C5">
        <w:rPr>
          <w:rFonts w:ascii="Verdana" w:hAnsi="Verdana" w:cs="Arial"/>
          <w:color w:val="000000" w:themeColor="text1"/>
          <w:sz w:val="20"/>
          <w:szCs w:val="20"/>
        </w:rPr>
        <w:t>Dentro de los principales requisitos habilitantes que se utilizan en los Procesos de Contratación se destaca la experiencia, la cual debe ser entendida como el conocimiento del proponente derivado de su participación previa en actividades iguales o similares a las previstas en el objeto del contrato con contratantes públicos, privados, nacionales o extranjeros. La experiencia puede ser adquirida directamente de manera singularizada o en asocio con otras personas, como es el caso de los proponentes plurales, cuya experiencia no deja de ser personal, sino que, por tratarse de esquemas asociativos, se evalúa de forma proporcional a la participación de los miembros en los respectivos consorcios y/o uniones temporales</w:t>
      </w:r>
      <w:r w:rsidRPr="00303A0F">
        <w:rPr>
          <w:rFonts w:ascii="Verdana" w:hAnsi="Verdana" w:cs="Arial"/>
          <w:color w:val="000000" w:themeColor="text1"/>
        </w:rPr>
        <w:t xml:space="preserve">. </w:t>
      </w:r>
      <w:r w:rsidR="000D01C5">
        <w:rPr>
          <w:rFonts w:ascii="Verdana" w:hAnsi="Verdana" w:cs="Arial"/>
          <w:color w:val="000000" w:themeColor="text1"/>
        </w:rPr>
        <w:t>“</w:t>
      </w:r>
    </w:p>
    <w:p w14:paraId="16B381D4" w14:textId="56360672" w:rsidR="00303A0F" w:rsidRPr="00303A0F" w:rsidRDefault="000D01C5" w:rsidP="000D01C5">
      <w:pPr>
        <w:spacing w:before="120" w:line="276" w:lineRule="auto"/>
        <w:ind w:firstLine="708"/>
        <w:jc w:val="both"/>
        <w:rPr>
          <w:rFonts w:ascii="Verdana" w:hAnsi="Verdana" w:cs="Arial"/>
          <w:color w:val="000000" w:themeColor="text1"/>
        </w:rPr>
      </w:pPr>
      <w:r w:rsidRPr="00303A0F">
        <w:rPr>
          <w:rFonts w:ascii="Verdana" w:hAnsi="Verdana" w:cs="Arial"/>
          <w:color w:val="000000" w:themeColor="text1"/>
        </w:rPr>
        <w:t>(…)</w:t>
      </w:r>
    </w:p>
    <w:p w14:paraId="6121E6CF" w14:textId="6889A857" w:rsidR="00303A0F" w:rsidRPr="00F93ECF" w:rsidRDefault="00303A0F" w:rsidP="00F93ECF">
      <w:pPr>
        <w:pStyle w:val="Prrafodelista"/>
        <w:numPr>
          <w:ilvl w:val="0"/>
          <w:numId w:val="22"/>
        </w:numPr>
        <w:spacing w:before="120" w:line="276" w:lineRule="auto"/>
        <w:jc w:val="both"/>
        <w:rPr>
          <w:rFonts w:ascii="Verdana" w:hAnsi="Verdana" w:cs="Arial"/>
          <w:color w:val="000000" w:themeColor="text1"/>
        </w:rPr>
      </w:pPr>
      <w:r w:rsidRPr="00F93ECF">
        <w:rPr>
          <w:rFonts w:ascii="Verdana" w:hAnsi="Verdana" w:cs="Arial"/>
          <w:color w:val="000000" w:themeColor="text1"/>
        </w:rPr>
        <w:t xml:space="preserve">De lo anterior se precisa que las entidades al momento de establecer las condiciones para la verificación de experiencia, debe ser adecuada y proporcional a la naturaleza del contrato respecto al valor, complejidad y riesgo, pues no sería del caso establecer condiciones de verificación que no apuntaran a un objeto igual o similar al del proceso de contratación, o se establecieran condiciones de valor que no fueran proporcionales al presupuesto establecido para el futuro contrato. </w:t>
      </w:r>
    </w:p>
    <w:p w14:paraId="6CA07354" w14:textId="77777777" w:rsidR="00303A0F" w:rsidRPr="00303A0F" w:rsidRDefault="00303A0F" w:rsidP="00303A0F">
      <w:pPr>
        <w:spacing w:before="120" w:line="276" w:lineRule="auto"/>
        <w:jc w:val="both"/>
        <w:rPr>
          <w:rFonts w:ascii="Verdana" w:hAnsi="Verdana" w:cs="Arial"/>
          <w:color w:val="000000" w:themeColor="text1"/>
        </w:rPr>
      </w:pPr>
      <w:r w:rsidRPr="00303A0F">
        <w:rPr>
          <w:rFonts w:ascii="Verdana" w:hAnsi="Verdana" w:cs="Arial"/>
          <w:color w:val="000000" w:themeColor="text1"/>
        </w:rPr>
        <w:lastRenderedPageBreak/>
        <w:t>Continua la Guía indicando:</w:t>
      </w:r>
    </w:p>
    <w:p w14:paraId="58C44CFE" w14:textId="6CFF62CB" w:rsidR="00660F36" w:rsidRDefault="00660F36" w:rsidP="00660F36">
      <w:pPr>
        <w:spacing w:before="120" w:line="240" w:lineRule="auto"/>
        <w:ind w:left="567" w:right="900"/>
        <w:jc w:val="both"/>
        <w:rPr>
          <w:rFonts w:ascii="Verdana" w:hAnsi="Verdana" w:cs="Arial"/>
          <w:color w:val="000000" w:themeColor="text1"/>
          <w:sz w:val="20"/>
          <w:szCs w:val="20"/>
        </w:rPr>
      </w:pPr>
      <w:r>
        <w:rPr>
          <w:rFonts w:ascii="Verdana" w:hAnsi="Verdana" w:cs="Arial"/>
          <w:color w:val="000000" w:themeColor="text1"/>
          <w:sz w:val="20"/>
          <w:szCs w:val="20"/>
        </w:rPr>
        <w:t>(…)</w:t>
      </w:r>
    </w:p>
    <w:p w14:paraId="4BDB4AB1" w14:textId="017AA2CD" w:rsidR="00303A0F" w:rsidRPr="00660F36" w:rsidRDefault="00303A0F" w:rsidP="00660F36">
      <w:pPr>
        <w:spacing w:before="120" w:line="240" w:lineRule="auto"/>
        <w:ind w:left="567" w:right="900"/>
        <w:jc w:val="both"/>
        <w:rPr>
          <w:rFonts w:ascii="Verdana" w:hAnsi="Verdana" w:cs="Arial"/>
          <w:color w:val="000000" w:themeColor="text1"/>
          <w:sz w:val="20"/>
          <w:szCs w:val="20"/>
        </w:rPr>
      </w:pPr>
      <w:r w:rsidRPr="00660F36">
        <w:rPr>
          <w:rFonts w:ascii="Verdana" w:hAnsi="Verdana" w:cs="Arial"/>
          <w:color w:val="000000" w:themeColor="text1"/>
          <w:sz w:val="20"/>
          <w:szCs w:val="20"/>
        </w:rPr>
        <w:t>Los proponentes deben registrar en el RUP, sin restricción alguna de cantidad o fecha de suscripción, los contratos que hayan celebrado para suministrar bienes, obras y/o servicios, identificándolos con el Clasificador de Bienes y Servicios en el tercer nivel y expresar el valor del acuerdo de voluntades respectivo en SMMLV. Lo anterior, en la medida que la experiencia no se agota con el paso del tiempo y, por el contrario, ello supone que los proponentes adquieren mayor experiencia siempre que continúen con el desarrollo de sus actividades.</w:t>
      </w:r>
    </w:p>
    <w:p w14:paraId="337AF3E9" w14:textId="77777777" w:rsidR="00660F36" w:rsidRDefault="00660F36" w:rsidP="00660F36">
      <w:pPr>
        <w:spacing w:before="120" w:line="240" w:lineRule="auto"/>
        <w:ind w:left="567" w:right="900"/>
        <w:jc w:val="both"/>
        <w:rPr>
          <w:rFonts w:ascii="Verdana" w:hAnsi="Verdana" w:cs="Arial"/>
          <w:color w:val="000000" w:themeColor="text1"/>
          <w:sz w:val="20"/>
          <w:szCs w:val="20"/>
        </w:rPr>
      </w:pPr>
      <w:r>
        <w:rPr>
          <w:rFonts w:ascii="Verdana" w:hAnsi="Verdana" w:cs="Arial"/>
          <w:color w:val="000000" w:themeColor="text1"/>
          <w:sz w:val="20"/>
          <w:szCs w:val="20"/>
        </w:rPr>
        <w:t>(…)</w:t>
      </w:r>
    </w:p>
    <w:p w14:paraId="26E4678F" w14:textId="77777777" w:rsidR="008109FA" w:rsidRPr="00451657" w:rsidRDefault="00303A0F" w:rsidP="008109FA">
      <w:pPr>
        <w:pStyle w:val="Prrafodelista"/>
        <w:widowControl w:val="0"/>
        <w:numPr>
          <w:ilvl w:val="0"/>
          <w:numId w:val="21"/>
        </w:numPr>
        <w:autoSpaceDE w:val="0"/>
        <w:autoSpaceDN w:val="0"/>
        <w:spacing w:after="0" w:line="276" w:lineRule="auto"/>
        <w:ind w:right="104"/>
        <w:jc w:val="both"/>
        <w:rPr>
          <w:rFonts w:ascii="Verdana" w:eastAsia="Arial" w:hAnsi="Verdana" w:cs="Arial"/>
          <w:color w:val="000000" w:themeColor="text1"/>
          <w:lang w:val="es-ES_tradnl"/>
        </w:rPr>
      </w:pPr>
      <w:r w:rsidRPr="00303A0F">
        <w:rPr>
          <w:rFonts w:ascii="Verdana" w:hAnsi="Verdana" w:cs="Arial"/>
          <w:color w:val="000000" w:themeColor="text1"/>
        </w:rPr>
        <w:t xml:space="preserve"> </w:t>
      </w:r>
      <w:r w:rsidR="008109FA" w:rsidRPr="00451657">
        <w:rPr>
          <w:rFonts w:ascii="Verdana" w:eastAsia="Times New Roman" w:hAnsi="Verdana" w:cs="Arial"/>
          <w:bdr w:val="none" w:sz="0" w:space="0" w:color="auto" w:frame="1"/>
          <w:lang w:val="es-ES_tradnl"/>
        </w:rPr>
        <w:t xml:space="preserve">Es preciso tener en cuenta que </w:t>
      </w:r>
      <w:r w:rsidR="008109FA" w:rsidRPr="00451657">
        <w:rPr>
          <w:rFonts w:ascii="Verdana" w:eastAsia="Arial" w:hAnsi="Verdana" w:cs="Arial"/>
          <w:color w:val="000000" w:themeColor="text1"/>
          <w:lang w:val="es-ES_tradnl"/>
        </w:rPr>
        <w:t xml:space="preserve">la Circular Externa Única proferida por la Agencia Nacional de Contratación Pública – Colombia Compra Eficiente, donde se incorporaron directrices relacionadas con el RUP y particularmente sobre el </w:t>
      </w:r>
      <w:r w:rsidR="008109FA" w:rsidRPr="00451657">
        <w:rPr>
          <w:rFonts w:ascii="Verdana" w:eastAsia="Calibri" w:hAnsi="Verdana" w:cs="Arial"/>
          <w:color w:val="000000" w:themeColor="text1"/>
          <w:lang w:val="es-ES_tradnl"/>
        </w:rPr>
        <w:t>“</w:t>
      </w:r>
      <w:r w:rsidR="008109FA" w:rsidRPr="00451657">
        <w:rPr>
          <w:rFonts w:ascii="Verdana" w:eastAsia="Arial" w:hAnsi="Verdana" w:cs="Arial"/>
          <w:color w:val="000000" w:themeColor="text1"/>
          <w:lang w:val="es-ES_tradnl"/>
        </w:rPr>
        <w:t>uso del Clasificador de Bienes y Servicios en el Registro Único de Proponentes</w:t>
      </w:r>
      <w:r w:rsidR="008109FA" w:rsidRPr="00451657">
        <w:rPr>
          <w:rFonts w:ascii="Verdana" w:eastAsia="Calibri" w:hAnsi="Verdana" w:cs="Arial"/>
          <w:color w:val="000000" w:themeColor="text1"/>
          <w:lang w:val="es-ES_tradnl"/>
        </w:rPr>
        <w:t>”</w:t>
      </w:r>
      <w:r w:rsidR="008109FA" w:rsidRPr="00451657">
        <w:rPr>
          <w:rFonts w:ascii="Verdana" w:eastAsia="Arial" w:hAnsi="Verdana" w:cs="Arial"/>
          <w:color w:val="000000" w:themeColor="text1"/>
          <w:lang w:val="es-ES_tradnl"/>
        </w:rPr>
        <w:t xml:space="preserve">, donde se estableció lo siguiente: </w:t>
      </w:r>
    </w:p>
    <w:p w14:paraId="2365AA66" w14:textId="77777777" w:rsidR="008109FA" w:rsidRDefault="008109FA" w:rsidP="002E4DE6">
      <w:pPr>
        <w:widowControl w:val="0"/>
        <w:autoSpaceDE w:val="0"/>
        <w:autoSpaceDN w:val="0"/>
        <w:spacing w:after="0" w:line="276" w:lineRule="auto"/>
        <w:ind w:left="567" w:right="104"/>
        <w:jc w:val="both"/>
        <w:rPr>
          <w:rFonts w:ascii="Verdana" w:eastAsia="Arial" w:hAnsi="Verdana" w:cs="Arial"/>
          <w:color w:val="000000" w:themeColor="text1"/>
          <w:lang w:val="es-ES_tradnl"/>
        </w:rPr>
      </w:pPr>
    </w:p>
    <w:p w14:paraId="7DB549E8" w14:textId="2F674B6A" w:rsidR="002E4DE6" w:rsidRPr="00451657" w:rsidRDefault="002E4DE6" w:rsidP="002E4DE6">
      <w:pPr>
        <w:widowControl w:val="0"/>
        <w:autoSpaceDE w:val="0"/>
        <w:autoSpaceDN w:val="0"/>
        <w:spacing w:after="0" w:line="276" w:lineRule="auto"/>
        <w:ind w:left="567" w:right="104"/>
        <w:jc w:val="both"/>
        <w:rPr>
          <w:rFonts w:ascii="Verdana" w:eastAsia="Arial" w:hAnsi="Verdana" w:cs="Arial"/>
          <w:color w:val="000000" w:themeColor="text1"/>
          <w:lang w:val="es-ES_tradnl"/>
        </w:rPr>
      </w:pPr>
      <w:r>
        <w:rPr>
          <w:rFonts w:ascii="Verdana" w:eastAsia="Arial" w:hAnsi="Verdana" w:cs="Arial"/>
          <w:color w:val="000000" w:themeColor="text1"/>
          <w:lang w:val="es-ES_tradnl"/>
        </w:rPr>
        <w:t>(…)</w:t>
      </w:r>
    </w:p>
    <w:p w14:paraId="0E46CF8B" w14:textId="77777777" w:rsidR="008109FA" w:rsidRPr="000F15BC" w:rsidRDefault="008109FA" w:rsidP="00F93ECF">
      <w:pPr>
        <w:pStyle w:val="Prrafodelista"/>
        <w:widowControl w:val="0"/>
        <w:tabs>
          <w:tab w:val="left" w:pos="7938"/>
        </w:tabs>
        <w:autoSpaceDE w:val="0"/>
        <w:autoSpaceDN w:val="0"/>
        <w:spacing w:after="0" w:line="240" w:lineRule="auto"/>
        <w:ind w:left="567" w:right="900"/>
        <w:jc w:val="both"/>
        <w:rPr>
          <w:rFonts w:ascii="Verdana" w:eastAsia="Arial" w:hAnsi="Verdana" w:cs="Arial"/>
          <w:sz w:val="20"/>
          <w:szCs w:val="20"/>
          <w:lang w:val="es-ES_tradnl"/>
        </w:rPr>
      </w:pPr>
      <w:r w:rsidRPr="000F15BC">
        <w:rPr>
          <w:rFonts w:ascii="Verdana" w:eastAsia="Arial" w:hAnsi="Verdana" w:cs="Arial"/>
          <w:sz w:val="20"/>
          <w:szCs w:val="20"/>
          <w:lang w:val="es-ES_tradnl"/>
        </w:rPr>
        <w:t xml:space="preserve">Deben tenerse en cuenta las siguientes directrices sobre el uso del Clasificador de Bienes y Servicios en el Registro Único de Proponentes: </w:t>
      </w:r>
    </w:p>
    <w:p w14:paraId="4D94BBB8" w14:textId="77777777" w:rsidR="008109FA" w:rsidRPr="000F15BC" w:rsidRDefault="008109FA" w:rsidP="00F93ECF">
      <w:pPr>
        <w:widowControl w:val="0"/>
        <w:tabs>
          <w:tab w:val="left" w:pos="7938"/>
        </w:tabs>
        <w:autoSpaceDE w:val="0"/>
        <w:autoSpaceDN w:val="0"/>
        <w:spacing w:after="0" w:line="240" w:lineRule="auto"/>
        <w:ind w:left="567" w:right="900"/>
        <w:jc w:val="both"/>
        <w:rPr>
          <w:rFonts w:ascii="Verdana" w:eastAsia="Arial" w:hAnsi="Verdana" w:cs="Arial"/>
          <w:sz w:val="20"/>
          <w:szCs w:val="20"/>
          <w:lang w:val="es-ES_tradnl"/>
        </w:rPr>
      </w:pPr>
    </w:p>
    <w:p w14:paraId="5DF272D6" w14:textId="77777777" w:rsidR="008109FA" w:rsidRPr="000F15BC" w:rsidRDefault="008109FA" w:rsidP="00F93ECF">
      <w:pPr>
        <w:pStyle w:val="Prrafodelista"/>
        <w:widowControl w:val="0"/>
        <w:tabs>
          <w:tab w:val="left" w:pos="7938"/>
        </w:tabs>
        <w:autoSpaceDE w:val="0"/>
        <w:autoSpaceDN w:val="0"/>
        <w:spacing w:after="0" w:line="240" w:lineRule="auto"/>
        <w:ind w:left="567" w:right="900"/>
        <w:jc w:val="both"/>
        <w:rPr>
          <w:rFonts w:ascii="Verdana" w:eastAsia="Arial" w:hAnsi="Verdana" w:cs="Arial"/>
          <w:sz w:val="20"/>
          <w:szCs w:val="20"/>
          <w:lang w:val="es-ES_tradnl"/>
        </w:rPr>
      </w:pPr>
      <w:r w:rsidRPr="000F15BC">
        <w:rPr>
          <w:rFonts w:ascii="Verdana" w:eastAsia="Arial" w:hAnsi="Verdana" w:cs="Arial"/>
          <w:sz w:val="20"/>
          <w:szCs w:val="20"/>
          <w:lang w:val="es-ES_tradnl"/>
        </w:rPr>
        <w:t xml:space="preserve">No existe un límite en el número de bienes, obras o servicios que los proponentes pueden inscribir en el RUP. Las Cámaras de Comercio no pueden limitar la inscripción de los proponentes por no contar con experiencia certificada en el respectivo bien, obra o servicio. </w:t>
      </w:r>
    </w:p>
    <w:p w14:paraId="392C5249" w14:textId="77777777" w:rsidR="008109FA" w:rsidRPr="000F15BC" w:rsidRDefault="008109FA" w:rsidP="00F93ECF">
      <w:pPr>
        <w:widowControl w:val="0"/>
        <w:tabs>
          <w:tab w:val="left" w:pos="7938"/>
        </w:tabs>
        <w:autoSpaceDE w:val="0"/>
        <w:autoSpaceDN w:val="0"/>
        <w:spacing w:after="0" w:line="240" w:lineRule="auto"/>
        <w:ind w:left="567" w:right="900"/>
        <w:jc w:val="both"/>
        <w:rPr>
          <w:rFonts w:ascii="Verdana" w:eastAsia="Arial" w:hAnsi="Verdana" w:cs="Arial"/>
          <w:sz w:val="20"/>
          <w:szCs w:val="20"/>
          <w:lang w:val="es-ES_tradnl"/>
        </w:rPr>
      </w:pPr>
    </w:p>
    <w:p w14:paraId="745D8C7D" w14:textId="77777777" w:rsidR="008109FA" w:rsidRPr="000F15BC" w:rsidRDefault="008109FA" w:rsidP="00F93ECF">
      <w:pPr>
        <w:pStyle w:val="Prrafodelista"/>
        <w:widowControl w:val="0"/>
        <w:tabs>
          <w:tab w:val="left" w:pos="7938"/>
        </w:tabs>
        <w:autoSpaceDE w:val="0"/>
        <w:autoSpaceDN w:val="0"/>
        <w:spacing w:after="0" w:line="240" w:lineRule="auto"/>
        <w:ind w:left="567" w:right="900"/>
        <w:jc w:val="both"/>
        <w:rPr>
          <w:rFonts w:ascii="Verdana" w:eastAsia="Times New Roman" w:hAnsi="Verdana" w:cs="Arial"/>
          <w:sz w:val="20"/>
          <w:szCs w:val="20"/>
          <w:lang w:val="es-ES_tradnl"/>
        </w:rPr>
      </w:pPr>
      <w:r w:rsidRPr="000F15BC">
        <w:rPr>
          <w:rFonts w:ascii="Verdana" w:eastAsia="Arial" w:hAnsi="Verdana" w:cs="Arial"/>
          <w:sz w:val="20"/>
          <w:szCs w:val="20"/>
          <w:lang w:val="es-ES_tradnl"/>
        </w:rPr>
        <w:t>La clasificación del proponente no es un requisito habilitante sino un mecanismo para establecer un lenguaje común entre los partícipes del Sistema de Compra Pública. En consecuencia, las Entidades Estatales no pueden excluir a un proponente que ha acreditado los requisitos habilitantes exigidos en un Proceso de Contratación por no estar inscrito en el RUP con el código de los bienes, obras o servicios del objeto de tal Proceso de Contratación</w:t>
      </w:r>
      <w:r w:rsidRPr="000F15BC">
        <w:rPr>
          <w:rFonts w:ascii="Verdana" w:hAnsi="Verdana"/>
          <w:sz w:val="20"/>
          <w:szCs w:val="20"/>
          <w:vertAlign w:val="superscript"/>
        </w:rPr>
        <w:footnoteReference w:id="6"/>
      </w:r>
      <w:r w:rsidRPr="000F15BC">
        <w:rPr>
          <w:rFonts w:ascii="Verdana" w:eastAsia="Arial" w:hAnsi="Verdana" w:cs="Arial"/>
          <w:sz w:val="20"/>
          <w:szCs w:val="20"/>
          <w:lang w:val="es-ES_tradnl"/>
        </w:rPr>
        <w:t>.</w:t>
      </w:r>
      <w:r w:rsidRPr="000F15BC" w:rsidDel="002C2C4A">
        <w:rPr>
          <w:rFonts w:ascii="Verdana" w:eastAsia="Times New Roman" w:hAnsi="Verdana" w:cs="Arial"/>
          <w:sz w:val="20"/>
          <w:szCs w:val="20"/>
          <w:lang w:val="es-ES_tradnl"/>
        </w:rPr>
        <w:t xml:space="preserve"> </w:t>
      </w:r>
    </w:p>
    <w:p w14:paraId="43E38CAC" w14:textId="77777777" w:rsidR="008109FA" w:rsidRPr="00451657" w:rsidRDefault="008109FA" w:rsidP="008109FA">
      <w:pPr>
        <w:widowControl w:val="0"/>
        <w:autoSpaceDE w:val="0"/>
        <w:autoSpaceDN w:val="0"/>
        <w:spacing w:after="0" w:line="276" w:lineRule="auto"/>
        <w:ind w:left="360" w:right="104"/>
        <w:jc w:val="both"/>
        <w:rPr>
          <w:rFonts w:ascii="Verdana" w:eastAsia="Times New Roman" w:hAnsi="Verdana" w:cs="Arial"/>
          <w:lang w:val="es-ES_tradnl"/>
        </w:rPr>
      </w:pPr>
    </w:p>
    <w:p w14:paraId="0B9886AB" w14:textId="77777777" w:rsidR="008109FA" w:rsidRDefault="008109FA" w:rsidP="008109FA">
      <w:pPr>
        <w:pStyle w:val="Prrafodelista"/>
        <w:numPr>
          <w:ilvl w:val="0"/>
          <w:numId w:val="21"/>
        </w:numPr>
        <w:spacing w:after="120" w:line="276" w:lineRule="auto"/>
        <w:jc w:val="both"/>
        <w:rPr>
          <w:rFonts w:ascii="Verdana" w:eastAsia="Times New Roman" w:hAnsi="Verdana" w:cs="Arial"/>
          <w:color w:val="000000" w:themeColor="text1"/>
          <w:lang w:val="es-ES_tradnl" w:eastAsia="es-MX"/>
        </w:rPr>
      </w:pPr>
      <w:r w:rsidRPr="00451657">
        <w:rPr>
          <w:rFonts w:ascii="Verdana" w:eastAsia="Times New Roman" w:hAnsi="Verdana" w:cs="Arial"/>
          <w:color w:val="000000" w:themeColor="text1"/>
          <w:lang w:val="es-ES_tradnl" w:eastAsia="es-MX"/>
        </w:rPr>
        <w:t xml:space="preserve">De acuerdo con la postura adoptada en la Circular, la “clasificación del proponente”, que corresponde a los listados señalados en los numerales </w:t>
      </w:r>
      <w:r w:rsidRPr="00451657">
        <w:rPr>
          <w:rFonts w:ascii="Verdana" w:eastAsia="Times New Roman" w:hAnsi="Verdana" w:cs="Arial"/>
          <w:color w:val="000000" w:themeColor="text1"/>
          <w:lang w:val="es-ES_tradnl" w:eastAsia="es-MX"/>
        </w:rPr>
        <w:lastRenderedPageBreak/>
        <w:t>1.1. y 2.1. del artículo 2.2.1.1.1.5.2. del Decreto 1082 de 2015, no condiciona la capacidad ―jurídica, ni tampoco otra― de los proponentes, por lo que, si un proponente cumple los demás requisitos exigidos en el pliego de condiciones, su oferta no puede ser rechazada o desestimada bajo el argumento de que no cuenta con la inscripción del código de los bienes, obras o servicios del objeto del proceso de contratación.</w:t>
      </w:r>
    </w:p>
    <w:p w14:paraId="7572FBF9" w14:textId="77777777" w:rsidR="008109FA" w:rsidRPr="001C505F" w:rsidRDefault="008109FA" w:rsidP="008109FA">
      <w:pPr>
        <w:pStyle w:val="Prrafodelista"/>
        <w:rPr>
          <w:rFonts w:ascii="Verdana" w:eastAsia="Times New Roman" w:hAnsi="Verdana" w:cs="Arial"/>
          <w:color w:val="000000" w:themeColor="text1"/>
          <w:lang w:val="es-ES_tradnl" w:eastAsia="es-MX"/>
        </w:rPr>
      </w:pPr>
    </w:p>
    <w:p w14:paraId="573985F4" w14:textId="77777777" w:rsidR="008109FA" w:rsidRPr="00451657" w:rsidRDefault="008109FA" w:rsidP="008109FA">
      <w:pPr>
        <w:pStyle w:val="Prrafodelista"/>
        <w:numPr>
          <w:ilvl w:val="0"/>
          <w:numId w:val="21"/>
        </w:numPr>
        <w:spacing w:after="0" w:line="276" w:lineRule="auto"/>
        <w:jc w:val="both"/>
        <w:rPr>
          <w:rFonts w:ascii="Verdana" w:eastAsia="Times New Roman" w:hAnsi="Verdana" w:cs="Arial"/>
          <w:color w:val="000000" w:themeColor="text1"/>
          <w:lang w:eastAsia="es-MX"/>
        </w:rPr>
      </w:pPr>
      <w:r w:rsidRPr="32AE47B7">
        <w:rPr>
          <w:rFonts w:ascii="Verdana" w:eastAsia="Times New Roman" w:hAnsi="Verdana" w:cs="Arial"/>
          <w:color w:val="000000" w:themeColor="text1"/>
          <w:lang w:eastAsia="es-MX"/>
        </w:rPr>
        <w:t>Lo anterior se desarrolla sin perjuicio de la forma como se exija la experiencia en los pliegos de condiciones, pues este es un requisito habilitante diferente de la capacidad jurídica; y, para efectos de evaluar la experiencia en los pliegos de condiciones, sí se podrá acudir al Clasificador de Bienes y Servicios de las Naciones Unidas para exigir, por ejemplo, que solo se tendrá por valedera la experiencia inscrita por el proponente en el RUP, que sea de contratos ejecutados que coincidan con algún código del Clasificador del Bienes y Servicios, en particular, en el tercer nivel del clasificador. Esto se desprende del artículo 2.2.1.1.1.5.3. del Decreto 1082 de 2015, donde se señalan los requisitos habilitantes contenidos en el RUP, estableciendo frente a la experiencia lo siguiente:</w:t>
      </w:r>
    </w:p>
    <w:p w14:paraId="54D4BD47" w14:textId="77777777" w:rsidR="008109FA" w:rsidRPr="00451657" w:rsidRDefault="008109FA" w:rsidP="008109FA">
      <w:pPr>
        <w:pStyle w:val="Prrafodelista"/>
        <w:spacing w:after="0" w:line="276" w:lineRule="auto"/>
        <w:ind w:right="709"/>
        <w:jc w:val="both"/>
        <w:rPr>
          <w:rFonts w:ascii="Verdana" w:eastAsia="Times New Roman" w:hAnsi="Verdana" w:cs="Arial"/>
          <w:color w:val="000000" w:themeColor="text1"/>
          <w:lang w:val="es-ES_tradnl" w:eastAsia="es-MX"/>
        </w:rPr>
      </w:pPr>
    </w:p>
    <w:p w14:paraId="006E2C41" w14:textId="77777777" w:rsidR="008109FA" w:rsidRPr="001C505F" w:rsidRDefault="008109FA" w:rsidP="00E35C9E">
      <w:pPr>
        <w:pStyle w:val="Prrafodelista"/>
        <w:spacing w:after="0" w:line="240" w:lineRule="auto"/>
        <w:ind w:left="851" w:right="900"/>
        <w:jc w:val="both"/>
        <w:rPr>
          <w:rFonts w:ascii="Verdana" w:eastAsia="Times New Roman" w:hAnsi="Verdana" w:cs="Arial"/>
          <w:color w:val="000000" w:themeColor="text1"/>
          <w:sz w:val="20"/>
          <w:szCs w:val="20"/>
          <w:lang w:val="es-ES_tradnl" w:eastAsia="es-MX"/>
        </w:rPr>
      </w:pPr>
      <w:r w:rsidRPr="001C505F">
        <w:rPr>
          <w:rFonts w:ascii="Verdana" w:eastAsia="Times New Roman" w:hAnsi="Verdana" w:cs="Arial"/>
          <w:color w:val="000000" w:themeColor="text1"/>
          <w:sz w:val="20"/>
          <w:szCs w:val="20"/>
          <w:lang w:val="es-ES_tradnl" w:eastAsia="es-MX"/>
        </w:rPr>
        <w:t>Artículo 2.2.1.1.1.5.3. Requisitos habilitantes contenidos en el RUP. Las cámaras de comercio, con base en la información a la que hace referencia el artículo anterior, deben verificar y certificar los siguientes requisitos habilitantes:</w:t>
      </w:r>
    </w:p>
    <w:p w14:paraId="1DA47CD4" w14:textId="77777777" w:rsidR="008109FA" w:rsidRPr="001C505F" w:rsidRDefault="008109FA" w:rsidP="00E35C9E">
      <w:pPr>
        <w:pStyle w:val="Prrafodelista"/>
        <w:spacing w:after="0" w:line="240" w:lineRule="auto"/>
        <w:ind w:left="851" w:right="900"/>
        <w:jc w:val="both"/>
        <w:rPr>
          <w:rFonts w:ascii="Verdana" w:eastAsia="Times New Roman" w:hAnsi="Verdana" w:cs="Arial"/>
          <w:color w:val="000000" w:themeColor="text1"/>
          <w:sz w:val="20"/>
          <w:szCs w:val="20"/>
          <w:lang w:val="es-ES_tradnl" w:eastAsia="es-MX"/>
        </w:rPr>
      </w:pPr>
      <w:r w:rsidRPr="001C505F">
        <w:rPr>
          <w:rFonts w:ascii="Verdana" w:eastAsia="Times New Roman" w:hAnsi="Verdana" w:cs="Arial"/>
          <w:color w:val="000000" w:themeColor="text1"/>
          <w:sz w:val="20"/>
          <w:szCs w:val="20"/>
          <w:lang w:val="es-ES_tradnl" w:eastAsia="es-MX"/>
        </w:rPr>
        <w:t>[…]</w:t>
      </w:r>
    </w:p>
    <w:p w14:paraId="4A5581DF" w14:textId="77777777" w:rsidR="008109FA" w:rsidRPr="001C505F" w:rsidRDefault="008109FA" w:rsidP="00E35C9E">
      <w:pPr>
        <w:pStyle w:val="Prrafodelista"/>
        <w:spacing w:after="0" w:line="240" w:lineRule="auto"/>
        <w:ind w:left="851" w:right="900"/>
        <w:jc w:val="both"/>
        <w:rPr>
          <w:rFonts w:ascii="Verdana" w:eastAsia="Times New Roman" w:hAnsi="Verdana" w:cs="Arial"/>
          <w:color w:val="000000" w:themeColor="text1"/>
          <w:sz w:val="20"/>
          <w:szCs w:val="20"/>
          <w:lang w:val="es-ES_tradnl" w:eastAsia="es-MX"/>
        </w:rPr>
      </w:pPr>
      <w:r w:rsidRPr="001C505F">
        <w:rPr>
          <w:rFonts w:ascii="Verdana" w:eastAsia="Times New Roman" w:hAnsi="Verdana" w:cs="Arial"/>
          <w:color w:val="000000" w:themeColor="text1"/>
          <w:sz w:val="20"/>
          <w:szCs w:val="20"/>
          <w:lang w:val="es-ES_tradnl" w:eastAsia="es-MX"/>
        </w:rPr>
        <w:t xml:space="preserve">1.    Experiencia – Los contratos celebrados por el interesado para cada uno de los bienes, obras y servicios que ofrecerá a las Entidades Estatales, </w:t>
      </w:r>
      <w:r w:rsidRPr="001C505F">
        <w:rPr>
          <w:rFonts w:ascii="Verdana" w:eastAsia="Times New Roman" w:hAnsi="Verdana" w:cs="Arial"/>
          <w:i/>
          <w:iCs/>
          <w:color w:val="000000" w:themeColor="text1"/>
          <w:sz w:val="20"/>
          <w:szCs w:val="20"/>
          <w:lang w:val="es-ES_tradnl" w:eastAsia="es-MX"/>
        </w:rPr>
        <w:t xml:space="preserve">identificados con el Clasificador de Bienes y Servicios en el tercer nivel </w:t>
      </w:r>
      <w:r w:rsidRPr="001C505F">
        <w:rPr>
          <w:rFonts w:ascii="Verdana" w:eastAsia="Times New Roman" w:hAnsi="Verdana" w:cs="Arial"/>
          <w:color w:val="000000" w:themeColor="text1"/>
          <w:sz w:val="20"/>
          <w:szCs w:val="20"/>
          <w:lang w:val="es-ES_tradnl" w:eastAsia="es-MX"/>
        </w:rPr>
        <w:t>y su valor expresado en SMMLV.</w:t>
      </w:r>
    </w:p>
    <w:p w14:paraId="4D641779" w14:textId="77777777" w:rsidR="008109FA" w:rsidRPr="001C505F" w:rsidRDefault="008109FA" w:rsidP="00E35C9E">
      <w:pPr>
        <w:pStyle w:val="Prrafodelista"/>
        <w:spacing w:after="0" w:line="240" w:lineRule="auto"/>
        <w:ind w:left="851" w:right="900"/>
        <w:jc w:val="both"/>
        <w:rPr>
          <w:rFonts w:ascii="Verdana" w:eastAsia="Times New Roman" w:hAnsi="Verdana" w:cs="Arial"/>
          <w:color w:val="000000" w:themeColor="text1"/>
          <w:sz w:val="20"/>
          <w:szCs w:val="20"/>
          <w:lang w:val="es-ES_tradnl" w:eastAsia="es-MX"/>
        </w:rPr>
      </w:pPr>
    </w:p>
    <w:p w14:paraId="13E55BD2" w14:textId="77777777" w:rsidR="008109FA" w:rsidRPr="001C505F" w:rsidRDefault="008109FA" w:rsidP="00E35C9E">
      <w:pPr>
        <w:pStyle w:val="Prrafodelista"/>
        <w:spacing w:after="0" w:line="240" w:lineRule="auto"/>
        <w:ind w:left="851" w:right="900"/>
        <w:jc w:val="both"/>
        <w:rPr>
          <w:rFonts w:ascii="Verdana" w:eastAsia="Times New Roman" w:hAnsi="Verdana" w:cs="Arial"/>
          <w:color w:val="000000" w:themeColor="text1"/>
          <w:sz w:val="20"/>
          <w:szCs w:val="20"/>
          <w:lang w:val="es-ES_tradnl" w:eastAsia="es-MX"/>
        </w:rPr>
      </w:pPr>
      <w:r w:rsidRPr="001C505F">
        <w:rPr>
          <w:rFonts w:ascii="Verdana" w:eastAsia="Times New Roman" w:hAnsi="Verdana" w:cs="Arial"/>
          <w:color w:val="000000" w:themeColor="text1"/>
          <w:sz w:val="20"/>
          <w:szCs w:val="20"/>
          <w:lang w:val="es-ES_tradnl" w:eastAsia="es-MX"/>
        </w:rPr>
        <w:t xml:space="preserve">Los contratos celebrados por consorcios, uniones temporales y sociedades en las cuales el interesado tenga o haya tenido participación, para cada uno de los bienes, obras y servicios que ofrecerá a las Entidades Estatales, </w:t>
      </w:r>
      <w:r w:rsidRPr="001C505F">
        <w:rPr>
          <w:rFonts w:ascii="Verdana" w:eastAsia="Times New Roman" w:hAnsi="Verdana" w:cs="Arial"/>
          <w:i/>
          <w:iCs/>
          <w:color w:val="000000" w:themeColor="text1"/>
          <w:sz w:val="20"/>
          <w:szCs w:val="20"/>
          <w:lang w:val="es-ES_tradnl" w:eastAsia="es-MX"/>
        </w:rPr>
        <w:t>identificados con el Clasificador de Bienes y Servicios en el tercer nivel</w:t>
      </w:r>
      <w:r w:rsidRPr="001C505F">
        <w:rPr>
          <w:rFonts w:ascii="Verdana" w:eastAsia="Times New Roman" w:hAnsi="Verdana" w:cs="Arial"/>
          <w:color w:val="000000" w:themeColor="text1"/>
          <w:sz w:val="20"/>
          <w:szCs w:val="20"/>
          <w:lang w:val="es-ES_tradnl" w:eastAsia="es-MX"/>
        </w:rPr>
        <w:t xml:space="preserve"> y su valor expresado en SMMLV. (Cursiva fuera de texto)</w:t>
      </w:r>
    </w:p>
    <w:p w14:paraId="6100391D" w14:textId="77777777" w:rsidR="008109FA" w:rsidRPr="00451657" w:rsidRDefault="008109FA" w:rsidP="008109FA">
      <w:pPr>
        <w:spacing w:after="0" w:line="276" w:lineRule="auto"/>
        <w:ind w:left="360" w:right="709"/>
        <w:jc w:val="both"/>
        <w:rPr>
          <w:rFonts w:ascii="Verdana" w:eastAsia="Times New Roman" w:hAnsi="Verdana" w:cs="Arial"/>
          <w:color w:val="000000" w:themeColor="text1"/>
          <w:lang w:val="es-ES_tradnl" w:eastAsia="es-MX"/>
        </w:rPr>
      </w:pPr>
    </w:p>
    <w:p w14:paraId="609C05B8" w14:textId="77777777" w:rsidR="008109FA" w:rsidRPr="00451657" w:rsidRDefault="008109FA" w:rsidP="008109FA">
      <w:pPr>
        <w:pStyle w:val="Prrafodelista"/>
        <w:numPr>
          <w:ilvl w:val="0"/>
          <w:numId w:val="21"/>
        </w:numPr>
        <w:spacing w:after="0" w:line="276" w:lineRule="auto"/>
        <w:jc w:val="both"/>
        <w:rPr>
          <w:rFonts w:ascii="Verdana" w:eastAsia="Times New Roman" w:hAnsi="Verdana" w:cs="Arial"/>
          <w:color w:val="000000" w:themeColor="text1"/>
          <w:lang w:val="es-ES_tradnl" w:eastAsia="es-MX"/>
        </w:rPr>
      </w:pPr>
      <w:r w:rsidRPr="00451657">
        <w:rPr>
          <w:rFonts w:ascii="Verdana" w:eastAsia="Times New Roman" w:hAnsi="Verdana" w:cs="Arial"/>
          <w:color w:val="000000" w:themeColor="text1"/>
          <w:lang w:val="es-ES_tradnl" w:eastAsia="es-MX"/>
        </w:rPr>
        <w:t>En armonía con lo anterior, la Circular Externa Única a que se hizo referencia previamente, en relación con el uso del Clasificador de Bienes y Servicios para efectos de acreditar la experiencia en los procedimientos de selección, estableció, en contraste con la “clasificación del proponente”, que:</w:t>
      </w:r>
    </w:p>
    <w:p w14:paraId="5C944B2B" w14:textId="77777777" w:rsidR="008109FA" w:rsidRPr="00451657" w:rsidRDefault="008109FA" w:rsidP="008109FA">
      <w:pPr>
        <w:pStyle w:val="Prrafodelista"/>
        <w:spacing w:after="0" w:line="276" w:lineRule="auto"/>
        <w:ind w:right="709"/>
        <w:jc w:val="both"/>
        <w:rPr>
          <w:rFonts w:ascii="Verdana" w:eastAsia="Times New Roman" w:hAnsi="Verdana" w:cs="Arial"/>
          <w:color w:val="000000" w:themeColor="text1"/>
          <w:lang w:val="es-ES_tradnl" w:eastAsia="es-MX"/>
        </w:rPr>
      </w:pPr>
    </w:p>
    <w:p w14:paraId="40149CF8" w14:textId="031F34B5" w:rsidR="008109FA" w:rsidRPr="000F15BC" w:rsidRDefault="00C07731" w:rsidP="00E35C9E">
      <w:pPr>
        <w:pStyle w:val="Prrafodelista"/>
        <w:spacing w:after="0" w:line="240" w:lineRule="auto"/>
        <w:ind w:left="851" w:right="900"/>
        <w:jc w:val="both"/>
        <w:rPr>
          <w:rFonts w:ascii="Verdana" w:eastAsia="Times New Roman" w:hAnsi="Verdana" w:cs="Arial"/>
          <w:color w:val="000000" w:themeColor="text1"/>
          <w:sz w:val="20"/>
          <w:szCs w:val="20"/>
          <w:lang w:val="es-ES_tradnl" w:eastAsia="es-MX"/>
        </w:rPr>
      </w:pPr>
      <w:r>
        <w:rPr>
          <w:rFonts w:ascii="Verdana" w:eastAsia="Times New Roman" w:hAnsi="Verdana" w:cs="Arial"/>
          <w:color w:val="000000" w:themeColor="text1"/>
          <w:sz w:val="20"/>
          <w:szCs w:val="20"/>
          <w:lang w:val="es-ES_tradnl" w:eastAsia="es-MX"/>
        </w:rPr>
        <w:t>“</w:t>
      </w:r>
      <w:r w:rsidR="008109FA" w:rsidRPr="000F15BC">
        <w:rPr>
          <w:rFonts w:ascii="Verdana" w:eastAsia="Times New Roman" w:hAnsi="Verdana" w:cs="Arial"/>
          <w:color w:val="000000" w:themeColor="text1"/>
          <w:sz w:val="20"/>
          <w:szCs w:val="20"/>
          <w:lang w:val="es-ES_tradnl" w:eastAsia="es-MX"/>
        </w:rPr>
        <w:t>La experiencia es un requisito habilitante. Los proponentes deben inscribir en el RUP su experiencia usando los códigos del Clasificador de Bienes y Servicios. Por su parte las Entidades Estatales al establecer el requisito habilitante de experiencia deben incluir los códigos específicos del objeto a contratar o el de bienes, obras o servicios afines al Proceso de Contratación respecto de los cuales los proponentes deben acreditar su experiencia.</w:t>
      </w:r>
      <w:r>
        <w:rPr>
          <w:rFonts w:ascii="Verdana" w:eastAsia="Times New Roman" w:hAnsi="Verdana" w:cs="Arial"/>
          <w:color w:val="000000" w:themeColor="text1"/>
          <w:sz w:val="20"/>
          <w:szCs w:val="20"/>
          <w:lang w:val="es-ES_tradnl" w:eastAsia="es-MX"/>
        </w:rPr>
        <w:t>”</w:t>
      </w:r>
    </w:p>
    <w:p w14:paraId="71D6A298" w14:textId="77777777" w:rsidR="008109FA" w:rsidRPr="00451657" w:rsidRDefault="008109FA" w:rsidP="008109FA">
      <w:pPr>
        <w:pStyle w:val="Prrafodelista"/>
        <w:spacing w:after="0" w:line="276" w:lineRule="auto"/>
        <w:ind w:right="709"/>
        <w:jc w:val="both"/>
        <w:rPr>
          <w:rFonts w:ascii="Verdana" w:eastAsia="Times New Roman" w:hAnsi="Verdana" w:cs="Arial"/>
          <w:color w:val="000000" w:themeColor="text1"/>
          <w:lang w:val="es-ES_tradnl" w:eastAsia="es-MX"/>
        </w:rPr>
      </w:pPr>
    </w:p>
    <w:p w14:paraId="52288C84" w14:textId="77777777" w:rsidR="008109FA" w:rsidRDefault="008109FA" w:rsidP="008109FA">
      <w:pPr>
        <w:pStyle w:val="Prrafodelista"/>
        <w:numPr>
          <w:ilvl w:val="0"/>
          <w:numId w:val="21"/>
        </w:numPr>
        <w:spacing w:after="120" w:line="276" w:lineRule="auto"/>
        <w:jc w:val="both"/>
        <w:rPr>
          <w:rFonts w:ascii="Verdana" w:eastAsia="Times New Roman" w:hAnsi="Verdana" w:cs="Arial"/>
          <w:color w:val="000000" w:themeColor="text1"/>
          <w:lang w:val="es-ES_tradnl" w:eastAsia="es-MX"/>
        </w:rPr>
      </w:pPr>
      <w:r w:rsidRPr="00451657">
        <w:rPr>
          <w:rFonts w:ascii="Verdana" w:eastAsia="Times New Roman" w:hAnsi="Verdana" w:cs="Arial"/>
          <w:color w:val="000000" w:themeColor="text1"/>
          <w:lang w:val="es-ES_tradnl" w:eastAsia="es-MX"/>
        </w:rPr>
        <w:t>En conclusión, de conformidad con Circular Externa Única, la “clasificación del proponente”, en los términos en que se desarrolló dicha noción en este concepto, no constituye un requisito habilitante en los procedimientos de selección, por lo que si un proponente acredita los demás requisitos exigidos en el pliego de condiciones, su oferta no puede ser rechazada o desestimada bajo el argumento de que el oferente no cuenta con la inscripción del código de los bienes, obras o servicios del objeto del proceso de contratación.</w:t>
      </w:r>
    </w:p>
    <w:p w14:paraId="78A381FC" w14:textId="77777777" w:rsidR="008109FA" w:rsidRPr="00451657" w:rsidRDefault="008109FA" w:rsidP="008109FA">
      <w:pPr>
        <w:pStyle w:val="Prrafodelista"/>
        <w:spacing w:after="120" w:line="276" w:lineRule="auto"/>
        <w:jc w:val="both"/>
        <w:rPr>
          <w:rFonts w:ascii="Verdana" w:eastAsia="Times New Roman" w:hAnsi="Verdana" w:cs="Arial"/>
          <w:color w:val="000000" w:themeColor="text1"/>
          <w:lang w:val="es-ES_tradnl" w:eastAsia="es-MX"/>
        </w:rPr>
      </w:pPr>
    </w:p>
    <w:p w14:paraId="33BE9F2D" w14:textId="77777777" w:rsidR="008109FA" w:rsidRPr="00312E16" w:rsidRDefault="008109FA" w:rsidP="008109FA">
      <w:pPr>
        <w:pStyle w:val="Prrafodelista"/>
        <w:numPr>
          <w:ilvl w:val="0"/>
          <w:numId w:val="21"/>
        </w:numPr>
        <w:shd w:val="clear" w:color="auto" w:fill="FFFFFF"/>
        <w:spacing w:after="120" w:line="276" w:lineRule="auto"/>
        <w:jc w:val="both"/>
        <w:textAlignment w:val="baseline"/>
        <w:rPr>
          <w:rFonts w:ascii="Verdana" w:eastAsia="Times New Roman" w:hAnsi="Verdana" w:cs="Arial"/>
          <w:lang w:val="es-ES_tradnl" w:eastAsia="es-CO"/>
        </w:rPr>
      </w:pPr>
      <w:r w:rsidRPr="00451657">
        <w:rPr>
          <w:rFonts w:ascii="Verdana" w:eastAsia="Times New Roman" w:hAnsi="Verdana" w:cs="Arial"/>
          <w:bdr w:val="none" w:sz="0" w:space="0" w:color="auto" w:frame="1"/>
          <w:lang w:val="es-ES_tradnl" w:eastAsia="es-CO"/>
        </w:rPr>
        <w:t>El Clasificador de Bienes y Servicios consta de cinco niveles; no obstante, el último nivel, denominado Función de Negocio, no es muy utilizado. Los niveles jerárquicos a utilizar, en su orden, son: i) segmento: agregación lógica de familias para propósitos analíticos; ii) familia: un grupo de categorías de productos interrelacionadas; iii) clase: un grupo de productos que comparten características comunes; y iv) producto: un grupo de productos o servicios</w:t>
      </w:r>
      <w:r w:rsidRPr="00451657">
        <w:rPr>
          <w:rFonts w:ascii="Verdana" w:hAnsi="Verdana"/>
          <w:bdr w:val="none" w:sz="0" w:space="0" w:color="auto" w:frame="1"/>
          <w:vertAlign w:val="superscript"/>
          <w:lang w:eastAsia="es-CO"/>
        </w:rPr>
        <w:footnoteReference w:id="7"/>
      </w:r>
      <w:r w:rsidRPr="00451657">
        <w:rPr>
          <w:rFonts w:ascii="Verdana" w:eastAsia="Times New Roman" w:hAnsi="Verdana" w:cs="Arial"/>
          <w:bdr w:val="none" w:sz="0" w:space="0" w:color="auto" w:frame="1"/>
          <w:lang w:val="es-ES_tradnl" w:eastAsia="es-CO"/>
        </w:rPr>
        <w:t>.</w:t>
      </w:r>
    </w:p>
    <w:p w14:paraId="32ED5A4A" w14:textId="77777777" w:rsidR="008109FA" w:rsidRPr="00312E16" w:rsidRDefault="008109FA" w:rsidP="008109FA">
      <w:pPr>
        <w:pStyle w:val="Prrafodelista"/>
        <w:rPr>
          <w:rFonts w:ascii="Verdana" w:eastAsia="Times New Roman" w:hAnsi="Verdana" w:cs="Arial"/>
          <w:lang w:val="es-ES_tradnl" w:eastAsia="es-CO"/>
        </w:rPr>
      </w:pPr>
    </w:p>
    <w:p w14:paraId="599BDDFC" w14:textId="77777777" w:rsidR="008109FA" w:rsidRDefault="008109FA" w:rsidP="32AE47B7">
      <w:pPr>
        <w:pStyle w:val="Prrafodelista"/>
        <w:numPr>
          <w:ilvl w:val="0"/>
          <w:numId w:val="21"/>
        </w:numPr>
        <w:shd w:val="clear" w:color="auto" w:fill="FFFFFF" w:themeFill="background1"/>
        <w:spacing w:after="120" w:line="276" w:lineRule="auto"/>
        <w:jc w:val="both"/>
        <w:textAlignment w:val="baseline"/>
        <w:rPr>
          <w:rFonts w:ascii="Verdana" w:eastAsia="Times New Roman" w:hAnsi="Verdana" w:cs="Arial"/>
          <w:bdr w:val="none" w:sz="0" w:space="0" w:color="auto" w:frame="1"/>
          <w:lang w:eastAsia="es-CO"/>
        </w:rPr>
      </w:pPr>
      <w:r w:rsidRPr="32AE47B7">
        <w:rPr>
          <w:rFonts w:ascii="Verdana" w:eastAsia="Times New Roman" w:hAnsi="Verdana" w:cs="Arial"/>
          <w:bdr w:val="none" w:sz="0" w:space="0" w:color="auto" w:frame="1"/>
          <w:lang w:eastAsia="es-CO"/>
        </w:rPr>
        <w:t xml:space="preserve">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 </w:t>
      </w:r>
    </w:p>
    <w:p w14:paraId="4BA001CF" w14:textId="77777777" w:rsidR="008109FA" w:rsidRPr="008109FA" w:rsidRDefault="008109FA" w:rsidP="008109FA">
      <w:pPr>
        <w:pStyle w:val="Prrafodelista"/>
        <w:rPr>
          <w:rFonts w:ascii="Verdana" w:eastAsia="Times New Roman" w:hAnsi="Verdana" w:cs="Arial"/>
          <w:bdr w:val="none" w:sz="0" w:space="0" w:color="auto" w:frame="1"/>
          <w:lang w:val="es-ES_tradnl" w:eastAsia="es-CO"/>
        </w:rPr>
      </w:pPr>
    </w:p>
    <w:p w14:paraId="56AD93A9" w14:textId="0B50543A" w:rsidR="008109FA" w:rsidRDefault="008109FA" w:rsidP="008109FA">
      <w:pPr>
        <w:pStyle w:val="Prrafodelista"/>
        <w:numPr>
          <w:ilvl w:val="0"/>
          <w:numId w:val="21"/>
        </w:numPr>
        <w:shd w:val="clear" w:color="auto" w:fill="FFFFFF"/>
        <w:spacing w:after="120" w:line="276" w:lineRule="auto"/>
        <w:jc w:val="both"/>
        <w:textAlignment w:val="baseline"/>
        <w:rPr>
          <w:rFonts w:ascii="Verdana" w:eastAsia="Times New Roman" w:hAnsi="Verdana" w:cs="Arial"/>
          <w:bdr w:val="none" w:sz="0" w:space="0" w:color="auto" w:frame="1"/>
          <w:lang w:val="es-ES_tradnl" w:eastAsia="es-CO"/>
        </w:rPr>
      </w:pPr>
      <w:r w:rsidRPr="00451657">
        <w:rPr>
          <w:rFonts w:ascii="Verdana" w:eastAsia="Times New Roman" w:hAnsi="Verdana" w:cs="Arial"/>
          <w:bdr w:val="none" w:sz="0" w:space="0" w:color="auto" w:frame="1"/>
          <w:lang w:val="es-ES_tradnl" w:eastAsia="es-CO"/>
        </w:rPr>
        <w:lastRenderedPageBreak/>
        <w:t xml:space="preserve">De acuerdo </w:t>
      </w:r>
      <w:r>
        <w:rPr>
          <w:rFonts w:ascii="Verdana" w:eastAsia="Times New Roman" w:hAnsi="Verdana" w:cs="Arial"/>
          <w:bdr w:val="none" w:sz="0" w:space="0" w:color="auto" w:frame="1"/>
          <w:lang w:val="es-ES_tradnl" w:eastAsia="es-CO"/>
        </w:rPr>
        <w:t>con lo anterior</w:t>
      </w:r>
      <w:r w:rsidRPr="00451657">
        <w:rPr>
          <w:rFonts w:ascii="Verdana" w:eastAsia="Times New Roman" w:hAnsi="Verdana" w:cs="Arial"/>
          <w:bdr w:val="none" w:sz="0" w:space="0" w:color="auto" w:frame="1"/>
          <w:lang w:val="es-ES_tradnl" w:eastAsia="es-CO"/>
        </w:rPr>
        <w:t xml:space="preserve">, cada bien o servicio está asociado a un código que surge de la subsunción de sus características y condiciones en los diferentes niveles del clasificador. Estos códigos son los que deben incluirse en el RUP para efectos de la experiencia. Estos mismos códigos son los que deben incluir las entidades estatales en los pliegos de condiciones al realizar la descripción del objeto contractual. </w:t>
      </w:r>
    </w:p>
    <w:p w14:paraId="2B3322A6" w14:textId="3C9D2CB1" w:rsidR="007E1155" w:rsidRPr="004C399B" w:rsidRDefault="00303A0F" w:rsidP="00303A0F">
      <w:pPr>
        <w:spacing w:before="120" w:line="276" w:lineRule="auto"/>
        <w:jc w:val="both"/>
        <w:rPr>
          <w:rFonts w:ascii="Verdana" w:hAnsi="Verdana" w:cs="Arial"/>
          <w:color w:val="000000" w:themeColor="text1"/>
          <w:sz w:val="2"/>
          <w:szCs w:val="2"/>
        </w:rPr>
      </w:pPr>
      <w:r w:rsidRPr="00303A0F">
        <w:rPr>
          <w:rFonts w:ascii="Verdana" w:hAnsi="Verdana" w:cs="Arial"/>
          <w:color w:val="000000" w:themeColor="text1"/>
        </w:rPr>
        <w:tab/>
      </w:r>
    </w:p>
    <w:p w14:paraId="15D17899" w14:textId="77777777" w:rsidR="007E1155" w:rsidRPr="00451657" w:rsidRDefault="007E1155" w:rsidP="00E35C9E">
      <w:pPr>
        <w:pStyle w:val="Prrafodelista"/>
        <w:numPr>
          <w:ilvl w:val="0"/>
          <w:numId w:val="21"/>
        </w:numPr>
        <w:shd w:val="clear" w:color="auto" w:fill="FFFFFF"/>
        <w:spacing w:after="120" w:line="276" w:lineRule="auto"/>
        <w:jc w:val="both"/>
        <w:textAlignment w:val="baseline"/>
        <w:rPr>
          <w:rFonts w:ascii="Verdana" w:eastAsia="Century Gothic" w:hAnsi="Verdana" w:cs="Century Gothic"/>
        </w:rPr>
      </w:pPr>
      <w:r w:rsidRPr="00451657">
        <w:rPr>
          <w:rFonts w:ascii="Verdana" w:eastAsia="Century Gothic" w:hAnsi="Verdana" w:cs="Century Gothic"/>
        </w:rPr>
        <w:t xml:space="preserve">Por otro lado, el artículo 2.2.1.1.1.5.2 del Decreto 1082 de 2015, al desarrollar la información requerida para la inscripción, actualización y renovación del RUP, establece que los proponentes deben establecer los bienes y servicios que ofrecerán identificados con el Clasificador de Bienes y Servicios en el tercer nivel. Asimismo, los numerales 1.2 y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 </w:t>
      </w:r>
    </w:p>
    <w:p w14:paraId="2E5889F0" w14:textId="0B01AAB1" w:rsidR="00303A0F" w:rsidRPr="00303A0F" w:rsidRDefault="00303A0F" w:rsidP="00303A0F">
      <w:pPr>
        <w:spacing w:before="120" w:line="276" w:lineRule="auto"/>
        <w:jc w:val="both"/>
        <w:rPr>
          <w:rFonts w:ascii="Verdana" w:hAnsi="Verdana" w:cs="Arial"/>
          <w:color w:val="000000" w:themeColor="text1"/>
        </w:rPr>
      </w:pPr>
      <w:r w:rsidRPr="00303A0F">
        <w:rPr>
          <w:rFonts w:ascii="Verdana" w:hAnsi="Verdana" w:cs="Arial"/>
          <w:color w:val="000000" w:themeColor="text1"/>
        </w:rPr>
        <w:t xml:space="preserve">Finalmente, las condiciones a establecer para el requisito habilitante de experiencia y la forma en la que se deba acreditar, las entidades deberán hacer un análisis respecto a las recomendaciones dadas en la Guía expedida por la Agencia, pero como se indica en la propia Guía, las entidades estatales son autónomas en la estructuración de sus procedimientos contractuales, por lo cual en sus pliegos de condiciones pueden establecer las reglas de acreditación de la experiencia de los proponentes y demás consideraciones siempre que esta sea proporcionales y conducentes para el respectivo proceso de selección. </w:t>
      </w:r>
    </w:p>
    <w:p w14:paraId="740B11D3" w14:textId="77777777" w:rsidR="00A32DDE" w:rsidRPr="00885EA6" w:rsidRDefault="00A32DDE" w:rsidP="00A32DDE">
      <w:pPr>
        <w:spacing w:after="0" w:line="276" w:lineRule="auto"/>
        <w:jc w:val="both"/>
        <w:rPr>
          <w:rFonts w:ascii="Verdana" w:eastAsia="Calibri" w:hAnsi="Verdana" w:cs="Arial"/>
          <w:lang w:val="es-ES"/>
        </w:rPr>
      </w:pPr>
    </w:p>
    <w:p w14:paraId="67B7BEAA" w14:textId="77777777" w:rsidR="00A32DDE" w:rsidRDefault="00A32DDE" w:rsidP="00A32DDE">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885EA6">
        <w:rPr>
          <w:rFonts w:ascii="Verdana" w:eastAsia="Century Gothic" w:hAnsi="Verdana" w:cs="Century Gothic"/>
          <w:b/>
          <w:bCs/>
          <w:lang w:val="es-ES"/>
        </w:rPr>
        <w:t>Referencias normativas, jurisprudenciales y otras fuentes:</w:t>
      </w:r>
    </w:p>
    <w:p w14:paraId="343276FB" w14:textId="77777777" w:rsidR="00B71A6E" w:rsidRPr="00885EA6" w:rsidRDefault="00B71A6E" w:rsidP="00B71A6E">
      <w:pPr>
        <w:tabs>
          <w:tab w:val="left" w:pos="142"/>
          <w:tab w:val="left" w:pos="284"/>
        </w:tabs>
        <w:spacing w:after="0" w:line="276" w:lineRule="auto"/>
        <w:jc w:val="both"/>
        <w:rPr>
          <w:rFonts w:ascii="Verdana" w:eastAsia="Century Gothic" w:hAnsi="Verdana" w:cs="Century Gothic"/>
          <w:b/>
          <w:bCs/>
          <w:lang w:val="es-ES"/>
        </w:rPr>
      </w:pPr>
    </w:p>
    <w:p w14:paraId="05A35DF1" w14:textId="3B0EFF78" w:rsidR="00A32DDE" w:rsidRPr="00283203" w:rsidRDefault="00A32DDE" w:rsidP="00A32DDE">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283203">
        <w:rPr>
          <w:rFonts w:ascii="Verdana" w:hAnsi="Verdana" w:cs="Arial"/>
        </w:rPr>
        <w:t>Ley 1150 de 2007, artículo 5</w:t>
      </w:r>
      <w:r w:rsidR="00C741A0">
        <w:rPr>
          <w:rFonts w:ascii="Verdana" w:hAnsi="Verdana" w:cs="Arial"/>
        </w:rPr>
        <w:t>, artículo 6</w:t>
      </w:r>
      <w:r w:rsidRPr="00283203">
        <w:rPr>
          <w:rFonts w:ascii="Verdana" w:hAnsi="Verdana" w:cs="Arial"/>
        </w:rPr>
        <w:t xml:space="preserve">. Disponible en: </w:t>
      </w:r>
      <w:hyperlink r:id="rId13" w:history="1">
        <w:r w:rsidRPr="00283203">
          <w:rPr>
            <w:rStyle w:val="Hipervnculo"/>
            <w:rFonts w:ascii="Verdana" w:hAnsi="Verdana" w:cs="Arial"/>
          </w:rPr>
          <w:t>https://relatoria.colombiacompra.gov.co/normativa/ley-1150-de-2007/</w:t>
        </w:r>
      </w:hyperlink>
    </w:p>
    <w:p w14:paraId="25FF18C1" w14:textId="67823657" w:rsidR="00A32DDE" w:rsidRPr="00167216" w:rsidRDefault="00A32DDE" w:rsidP="00A32DDE">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283203">
        <w:rPr>
          <w:rFonts w:ascii="Verdana" w:hAnsi="Verdana" w:cs="Arial"/>
        </w:rPr>
        <w:t xml:space="preserve">Decreto 1082 de 2015, artículo </w:t>
      </w:r>
      <w:r w:rsidR="0058660B" w:rsidRPr="0058660B">
        <w:rPr>
          <w:rFonts w:ascii="Verdana" w:hAnsi="Verdana"/>
        </w:rPr>
        <w:t>2.2.1.1.1.3.1</w:t>
      </w:r>
      <w:r w:rsidR="00C07731">
        <w:rPr>
          <w:rFonts w:ascii="Verdana" w:hAnsi="Verdana"/>
        </w:rPr>
        <w:t xml:space="preserve">, artículo </w:t>
      </w:r>
      <w:r w:rsidR="00C07731" w:rsidRPr="00451657">
        <w:rPr>
          <w:rFonts w:ascii="Verdana" w:eastAsia="Times New Roman" w:hAnsi="Verdana" w:cs="Arial"/>
          <w:color w:val="000000" w:themeColor="text1"/>
          <w:lang w:val="es-ES_tradnl" w:eastAsia="es-MX"/>
        </w:rPr>
        <w:t>2.2.1.1.1.5.2</w:t>
      </w:r>
      <w:r w:rsidR="00C07731">
        <w:rPr>
          <w:rFonts w:ascii="Verdana" w:eastAsia="Times New Roman" w:hAnsi="Verdana" w:cs="Arial"/>
          <w:color w:val="000000" w:themeColor="text1"/>
          <w:lang w:val="es-ES_tradnl" w:eastAsia="es-MX"/>
        </w:rPr>
        <w:t xml:space="preserve">, </w:t>
      </w:r>
      <w:r w:rsidR="00C07731" w:rsidRPr="32AE47B7">
        <w:rPr>
          <w:rFonts w:ascii="Verdana" w:eastAsia="Times New Roman" w:hAnsi="Verdana" w:cs="Arial"/>
          <w:color w:val="000000" w:themeColor="text1"/>
          <w:lang w:eastAsia="es-MX"/>
        </w:rPr>
        <w:t>artículo 2.2.1.1.1.5.3</w:t>
      </w:r>
      <w:r w:rsidR="00C07731">
        <w:rPr>
          <w:rFonts w:ascii="Verdana" w:eastAsia="Times New Roman" w:hAnsi="Verdana" w:cs="Arial"/>
          <w:color w:val="000000" w:themeColor="text1"/>
          <w:lang w:eastAsia="es-MX"/>
        </w:rPr>
        <w:t xml:space="preserve">, </w:t>
      </w:r>
      <w:r w:rsidR="00C07731">
        <w:rPr>
          <w:rFonts w:ascii="Verdana" w:eastAsia="Times New Roman" w:hAnsi="Verdana" w:cs="Arial"/>
          <w:color w:val="000000" w:themeColor="text1"/>
          <w:lang w:val="es-ES_tradnl" w:eastAsia="es-MX"/>
        </w:rPr>
        <w:t>Disponible</w:t>
      </w:r>
      <w:r w:rsidRPr="00283203">
        <w:rPr>
          <w:rFonts w:ascii="Verdana" w:hAnsi="Verdana" w:cs="Arial"/>
        </w:rPr>
        <w:t xml:space="preserve"> en:</w:t>
      </w:r>
      <w:r w:rsidRPr="00283203">
        <w:rPr>
          <w:rFonts w:ascii="Verdana" w:hAnsi="Verdana" w:cs="Arial"/>
        </w:rPr>
        <w:tab/>
        <w:t xml:space="preserve"> </w:t>
      </w:r>
      <w:hyperlink r:id="rId14" w:history="1">
        <w:r w:rsidRPr="00283203">
          <w:rPr>
            <w:rStyle w:val="Hipervnculo"/>
            <w:rFonts w:ascii="Verdana" w:hAnsi="Verdana" w:cs="Arial"/>
          </w:rPr>
          <w:t>https://relatoria.colombiacompra.gov.co/normativa/decreto-1082-de-2015/</w:t>
        </w:r>
      </w:hyperlink>
    </w:p>
    <w:p w14:paraId="292588E0" w14:textId="7556D0C6" w:rsidR="00167216" w:rsidRPr="00A13B5C" w:rsidRDefault="00167216" w:rsidP="00A32DDE">
      <w:pPr>
        <w:pStyle w:val="Prrafodelista"/>
        <w:widowControl w:val="0"/>
        <w:numPr>
          <w:ilvl w:val="0"/>
          <w:numId w:val="18"/>
        </w:numPr>
        <w:autoSpaceDE w:val="0"/>
        <w:autoSpaceDN w:val="0"/>
        <w:spacing w:after="120" w:line="276" w:lineRule="auto"/>
        <w:contextualSpacing w:val="0"/>
        <w:jc w:val="both"/>
        <w:rPr>
          <w:rFonts w:ascii="Verdana" w:hAnsi="Verdana" w:cs="Arial"/>
          <w:sz w:val="24"/>
          <w:szCs w:val="24"/>
        </w:rPr>
      </w:pPr>
      <w:r w:rsidRPr="00A13B5C">
        <w:rPr>
          <w:rFonts w:ascii="Verdana" w:hAnsi="Verdana" w:cs="Arial"/>
          <w:color w:val="000000" w:themeColor="text1"/>
          <w:sz w:val="24"/>
          <w:szCs w:val="24"/>
        </w:rPr>
        <w:lastRenderedPageBreak/>
        <w:t>Manual para determinar y verificar requisitos habilitantes en los procesos de contratación, disponible en el siguiente link:</w:t>
      </w:r>
      <w:r w:rsidRPr="00A13B5C">
        <w:rPr>
          <w:rFonts w:ascii="Verdana" w:hAnsi="Verdana" w:cs="Arial"/>
          <w:color w:val="000000" w:themeColor="text1"/>
          <w:sz w:val="24"/>
          <w:szCs w:val="24"/>
        </w:rPr>
        <w:tab/>
      </w:r>
      <w:r w:rsidRPr="00A13B5C">
        <w:rPr>
          <w:rFonts w:ascii="Verdana" w:hAnsi="Verdana"/>
          <w:sz w:val="24"/>
          <w:szCs w:val="24"/>
        </w:rPr>
        <w:t xml:space="preserve"> </w:t>
      </w:r>
      <w:hyperlink r:id="rId15" w:history="1">
        <w:r w:rsidRPr="00A13B5C">
          <w:rPr>
            <w:rStyle w:val="Hipervnculo"/>
            <w:rFonts w:ascii="Verdana" w:hAnsi="Verdana"/>
            <w:sz w:val="24"/>
            <w:szCs w:val="24"/>
          </w:rPr>
          <w:t>https://www.colombiacompra.gov.co/sites/cce_public/files/cce_documents/cce-eicp-ma-04._manual_requisitos_habilitantes_v3_29-09-2023.pdf</w:t>
        </w:r>
      </w:hyperlink>
    </w:p>
    <w:p w14:paraId="0D804133" w14:textId="0C51FCB9" w:rsidR="00B71A6E" w:rsidRPr="00A13B5C" w:rsidRDefault="00B71A6E" w:rsidP="00A32DDE">
      <w:pPr>
        <w:pStyle w:val="Prrafodelista"/>
        <w:widowControl w:val="0"/>
        <w:numPr>
          <w:ilvl w:val="0"/>
          <w:numId w:val="18"/>
        </w:numPr>
        <w:autoSpaceDE w:val="0"/>
        <w:autoSpaceDN w:val="0"/>
        <w:spacing w:after="120" w:line="276" w:lineRule="auto"/>
        <w:contextualSpacing w:val="0"/>
        <w:jc w:val="both"/>
        <w:rPr>
          <w:rFonts w:ascii="Verdana" w:hAnsi="Verdana" w:cs="Arial"/>
          <w:sz w:val="24"/>
          <w:szCs w:val="24"/>
        </w:rPr>
      </w:pPr>
      <w:r w:rsidRPr="00A13B5C">
        <w:rPr>
          <w:rFonts w:ascii="Verdana" w:hAnsi="Verdana" w:cstheme="minorHAnsi"/>
          <w:sz w:val="24"/>
          <w:szCs w:val="24"/>
        </w:rPr>
        <w:t xml:space="preserve">Circular Externa Única. Expedida el 15 de julio de 2022. Disponible en: </w:t>
      </w:r>
      <w:hyperlink r:id="rId16" w:history="1">
        <w:r w:rsidRPr="00A13B5C">
          <w:rPr>
            <w:rStyle w:val="Hipervnculo"/>
            <w:rFonts w:ascii="Verdana" w:hAnsi="Verdana" w:cstheme="minorHAnsi"/>
            <w:sz w:val="24"/>
            <w:szCs w:val="24"/>
          </w:rPr>
          <w:t>https://www.colombiacompra.gov.co/sites/cce_public/files/cce_circulares/cce-eicp-ma-06_circular_externa_con_comentarios_de_ciudadanos-_v2f_002.pdf</w:t>
        </w:r>
      </w:hyperlink>
    </w:p>
    <w:p w14:paraId="10066A9B" w14:textId="77777777" w:rsidR="00A13B5C" w:rsidRPr="00283203" w:rsidRDefault="00A13B5C" w:rsidP="00A13B5C">
      <w:pPr>
        <w:pStyle w:val="Prrafodelista"/>
        <w:widowControl w:val="0"/>
        <w:autoSpaceDE w:val="0"/>
        <w:autoSpaceDN w:val="0"/>
        <w:spacing w:after="120" w:line="276" w:lineRule="auto"/>
        <w:contextualSpacing w:val="0"/>
        <w:jc w:val="both"/>
        <w:rPr>
          <w:rFonts w:ascii="Verdana" w:hAnsi="Verdana" w:cs="Arial"/>
        </w:rPr>
      </w:pPr>
    </w:p>
    <w:p w14:paraId="46655A96" w14:textId="77777777" w:rsidR="00A32DDE" w:rsidRPr="00885EA6" w:rsidRDefault="00A32DDE" w:rsidP="00A32DD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885EA6">
        <w:rPr>
          <w:rFonts w:ascii="Verdana" w:eastAsia="Century Gothic" w:hAnsi="Verdana" w:cs="Century Gothic"/>
          <w:b/>
          <w:bCs/>
        </w:rPr>
        <w:t>Doctrina de la Agencia Nacional de Contratación Pública:</w:t>
      </w:r>
    </w:p>
    <w:p w14:paraId="3951085B" w14:textId="77777777" w:rsidR="00A32DDE" w:rsidRPr="00885EA6" w:rsidRDefault="00A32DDE" w:rsidP="00A32DDE">
      <w:pPr>
        <w:widowControl w:val="0"/>
        <w:autoSpaceDE w:val="0"/>
        <w:autoSpaceDN w:val="0"/>
        <w:spacing w:after="0" w:line="276" w:lineRule="auto"/>
        <w:jc w:val="both"/>
        <w:rPr>
          <w:rFonts w:ascii="Verdana" w:eastAsia="Calibri" w:hAnsi="Verdana" w:cs="Arial"/>
          <w:lang w:val="es-ES" w:eastAsia="es-ES"/>
        </w:rPr>
      </w:pPr>
    </w:p>
    <w:p w14:paraId="362B7247" w14:textId="5A399C44" w:rsidR="001C786C" w:rsidRPr="001C786C" w:rsidRDefault="001C786C" w:rsidP="00A32DDE">
      <w:pPr>
        <w:widowControl w:val="0"/>
        <w:autoSpaceDE w:val="0"/>
        <w:autoSpaceDN w:val="0"/>
        <w:spacing w:after="0" w:line="276" w:lineRule="auto"/>
        <w:jc w:val="both"/>
        <w:rPr>
          <w:rFonts w:ascii="Verdana" w:hAnsi="Verdana" w:cs="Arial"/>
          <w:shd w:val="clear" w:color="auto" w:fill="FFFFFF"/>
        </w:rPr>
      </w:pPr>
      <w:r>
        <w:rPr>
          <w:rStyle w:val="normaltextrun"/>
          <w:rFonts w:ascii="Verdana" w:hAnsi="Verdana" w:cs="Arial"/>
          <w:shd w:val="clear" w:color="auto" w:fill="FFFFFF"/>
          <w:lang w:val="es-ES"/>
        </w:rPr>
        <w:t xml:space="preserve">Esta Agencia abordó la temática </w:t>
      </w:r>
      <w:r w:rsidRPr="00451657">
        <w:rPr>
          <w:rStyle w:val="normaltextrun"/>
          <w:rFonts w:ascii="Verdana" w:hAnsi="Verdana" w:cs="Arial"/>
          <w:shd w:val="clear" w:color="auto" w:fill="FFFFFF"/>
          <w:lang w:val="es-ES"/>
        </w:rPr>
        <w:t xml:space="preserve">sobre uso del Clasificador de Bienes y Servicios de Naciones Unidas en los conceptos 2201913000006036 del 20 de agosto de 2019, 2201913000007322 del 2 de octubre de 2019, 2201913000007496 del 7 de octubre de 2020, 2201913000008870 del 2 de diciembre de 2019, 2201913000009643 del 26 de </w:t>
      </w:r>
      <w:r w:rsidRPr="001C786C">
        <w:rPr>
          <w:rStyle w:val="normaltextrun"/>
          <w:rFonts w:ascii="Verdana" w:hAnsi="Verdana" w:cs="Arial"/>
          <w:shd w:val="clear" w:color="auto" w:fill="FFFFFF"/>
          <w:lang w:val="es-ES"/>
        </w:rPr>
        <w:t>diciembre de 2019, C-052 del 18 de marzo de 2020, C-017 del 22 de febrero de 2020, C- 522 del 1 de octubre de 2021, C-760 del 8 de febrero de 2022</w:t>
      </w:r>
      <w:r>
        <w:rPr>
          <w:rStyle w:val="TextonotapieCar"/>
          <w:rFonts w:ascii="Verdana" w:hAnsi="Verdana" w:cs="Arial"/>
          <w:shd w:val="clear" w:color="auto" w:fill="FFFFFF"/>
          <w:lang w:val="es-ES"/>
        </w:rPr>
        <w:t>,</w:t>
      </w:r>
      <w:r w:rsidRPr="001C786C">
        <w:rPr>
          <w:rStyle w:val="normaltextrun"/>
          <w:rFonts w:ascii="Verdana" w:hAnsi="Verdana" w:cs="Arial"/>
          <w:shd w:val="clear" w:color="auto" w:fill="FFFFFF"/>
          <w:lang w:val="es-ES"/>
        </w:rPr>
        <w:t xml:space="preserve"> C-223 del 25 de abril de 2022</w:t>
      </w:r>
      <w:r>
        <w:rPr>
          <w:rStyle w:val="normaltextrun"/>
          <w:rFonts w:ascii="Verdana" w:hAnsi="Verdana" w:cs="Arial"/>
          <w:shd w:val="clear" w:color="auto" w:fill="FFFFFF"/>
          <w:lang w:val="es-ES"/>
        </w:rPr>
        <w:t xml:space="preserve"> y </w:t>
      </w:r>
      <w:r w:rsidR="00BF224C">
        <w:rPr>
          <w:rStyle w:val="normaltextrun"/>
          <w:rFonts w:ascii="Verdana" w:hAnsi="Verdana" w:cs="Arial"/>
          <w:shd w:val="clear" w:color="auto" w:fill="FFFFFF"/>
          <w:lang w:val="es-ES"/>
        </w:rPr>
        <w:t xml:space="preserve">C-547 del </w:t>
      </w:r>
      <w:r w:rsidR="007C71E2">
        <w:rPr>
          <w:rStyle w:val="normaltextrun"/>
          <w:rFonts w:ascii="Verdana" w:hAnsi="Verdana" w:cs="Arial"/>
          <w:shd w:val="clear" w:color="auto" w:fill="FFFFFF"/>
          <w:lang w:val="es-ES"/>
        </w:rPr>
        <w:t>15 de octubre de 2024.</w:t>
      </w:r>
    </w:p>
    <w:p w14:paraId="177C6F4B" w14:textId="77777777" w:rsidR="001C786C" w:rsidRPr="001C786C" w:rsidRDefault="001C786C" w:rsidP="00A32DDE">
      <w:pPr>
        <w:widowControl w:val="0"/>
        <w:autoSpaceDE w:val="0"/>
        <w:autoSpaceDN w:val="0"/>
        <w:spacing w:after="0" w:line="276" w:lineRule="auto"/>
        <w:jc w:val="both"/>
        <w:rPr>
          <w:rFonts w:ascii="Verdana" w:hAnsi="Verdana" w:cs="Arial"/>
          <w:shd w:val="clear" w:color="auto" w:fill="FFFFFF"/>
        </w:rPr>
      </w:pPr>
    </w:p>
    <w:p w14:paraId="076290D1" w14:textId="77777777" w:rsidR="001A5566" w:rsidRPr="00CF4339" w:rsidRDefault="001A5566" w:rsidP="001A5566">
      <w:pPr>
        <w:widowControl w:val="0"/>
        <w:autoSpaceDE w:val="0"/>
        <w:autoSpaceDN w:val="0"/>
        <w:spacing w:after="0" w:line="276" w:lineRule="auto"/>
        <w:jc w:val="both"/>
        <w:rPr>
          <w:rFonts w:ascii="Verdana" w:hAnsi="Verdana"/>
        </w:rPr>
      </w:pPr>
      <w:r w:rsidRPr="00CF4339">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CF4339">
        <w:rPr>
          <w:rFonts w:ascii="Verdana" w:hAnsi="Verdana"/>
        </w:rPr>
        <w:t>, accede a través del siguiente enlace:</w:t>
      </w:r>
    </w:p>
    <w:p w14:paraId="6B5A4FEE" w14:textId="77777777" w:rsidR="001A5566" w:rsidRPr="00885EA6" w:rsidRDefault="001A5566" w:rsidP="001A5566">
      <w:pPr>
        <w:widowControl w:val="0"/>
        <w:autoSpaceDE w:val="0"/>
        <w:autoSpaceDN w:val="0"/>
        <w:spacing w:after="0" w:line="276" w:lineRule="auto"/>
        <w:jc w:val="both"/>
        <w:rPr>
          <w:rStyle w:val="normaltextrun"/>
          <w:rFonts w:ascii="Verdana" w:hAnsi="Verdana"/>
        </w:rPr>
      </w:pPr>
      <w:hyperlink r:id="rId17" w:history="1">
        <w:r w:rsidRPr="00CF4339">
          <w:rPr>
            <w:rStyle w:val="Hipervnculo"/>
            <w:rFonts w:ascii="Verdana" w:hAnsi="Verdana" w:cs="Arial"/>
            <w:shd w:val="clear" w:color="auto" w:fill="FFFFFF"/>
            <w:lang w:val="es-ES"/>
          </w:rPr>
          <w:t>https://relatoria.colombiacompra.gov.co/busqueda/conceptos</w:t>
        </w:r>
      </w:hyperlink>
      <w:r w:rsidRPr="00885EA6">
        <w:rPr>
          <w:rStyle w:val="normaltextrun"/>
          <w:rFonts w:ascii="Verdana" w:hAnsi="Verdana" w:cs="Arial"/>
          <w:shd w:val="clear" w:color="auto" w:fill="FFFFFF"/>
        </w:rPr>
        <w:t xml:space="preserve"> </w:t>
      </w:r>
    </w:p>
    <w:p w14:paraId="02B94B89" w14:textId="77777777" w:rsidR="001A5566" w:rsidRPr="00283203" w:rsidRDefault="001A5566" w:rsidP="001A5566">
      <w:pPr>
        <w:spacing w:after="0" w:line="254" w:lineRule="auto"/>
        <w:rPr>
          <w:rFonts w:ascii="Verdana" w:eastAsia="Calibri" w:hAnsi="Verdana" w:cs="Times New Roman"/>
        </w:rPr>
      </w:pPr>
      <w:r w:rsidRPr="00283203">
        <w:rPr>
          <w:rFonts w:ascii="Verdana" w:eastAsia="Calibri" w:hAnsi="Verdana" w:cs="Times New Roman"/>
        </w:rPr>
        <w:t> </w:t>
      </w:r>
    </w:p>
    <w:p w14:paraId="199373CE" w14:textId="77777777" w:rsidR="001A5566" w:rsidRPr="008068BB" w:rsidRDefault="001A5566" w:rsidP="001A5566">
      <w:pPr>
        <w:spacing w:after="0" w:line="254" w:lineRule="auto"/>
        <w:jc w:val="both"/>
        <w:rPr>
          <w:rFonts w:ascii="Verdana" w:eastAsia="Calibri" w:hAnsi="Verdana" w:cs="Times New Roman"/>
        </w:rPr>
      </w:pPr>
      <w:r w:rsidRPr="008068BB">
        <w:rPr>
          <w:rFonts w:ascii="Verdana" w:eastAsia="Calibri" w:hAnsi="Verdana" w:cs="Times New Roman"/>
        </w:rPr>
        <w:t>Le informamos que ya se encuentra disponible la </w:t>
      </w:r>
      <w:r w:rsidRPr="008068BB">
        <w:rPr>
          <w:rFonts w:ascii="Verdana" w:eastAsia="Calibri" w:hAnsi="Verdana" w:cs="Times New Roman"/>
          <w:b/>
          <w:bCs/>
        </w:rPr>
        <w:t>Guía para el manejo de ofertas artificialmente bajas en Procesos de Contratación.</w:t>
      </w:r>
      <w:r w:rsidRPr="008068BB">
        <w:rPr>
          <w:rFonts w:ascii="Verdana" w:eastAsia="Calibri" w:hAnsi="Verdana" w:cs="Times New Roman"/>
        </w:rPr>
        <w:t xml:space="preserve"> En este documento podrás consultar una serie de pautas para el manejo ofertas artificialmente bajas, en línea con las mejores prácticas internacionales en la materia. Puede consultar la versión actualizada en el siguiente </w:t>
      </w:r>
      <w:r w:rsidRPr="008068BB">
        <w:rPr>
          <w:rFonts w:ascii="Verdana" w:eastAsia="Calibri" w:hAnsi="Verdana" w:cs="Times New Roman"/>
        </w:rPr>
        <w:lastRenderedPageBreak/>
        <w:t>enlace: </w:t>
      </w:r>
      <w:hyperlink r:id="rId18" w:tgtFrame="_blank" w:tooltip="Dirección URL original: https://www.colombiacompra.gov.co/manuales-guias-y-pliegos-tipo/manuales-y-guias/guia-para-el-manejo-de-ofertas-artificialmente-baja-0. Haga clic o pulse si confía en este vínculo." w:history="1">
        <w:r w:rsidRPr="008068BB">
          <w:rPr>
            <w:rStyle w:val="Hipervnculo"/>
            <w:rFonts w:ascii="Verdana" w:eastAsia="Calibri" w:hAnsi="Verdana" w:cs="Times New Roman"/>
          </w:rPr>
          <w:t>https://www.colombiacompra.gov.co/manuales-guias-y-pliegos-tipo/manuales-y-guias/guia-para-el-manejo-de-ofertas-artificialmente-baja-0</w:t>
        </w:r>
      </w:hyperlink>
      <w:r w:rsidRPr="008068BB">
        <w:rPr>
          <w:rFonts w:ascii="Verdana" w:eastAsia="Calibri" w:hAnsi="Verdana" w:cs="Times New Roman"/>
          <w:u w:val="single"/>
        </w:rPr>
        <w:t> </w:t>
      </w:r>
    </w:p>
    <w:p w14:paraId="48CE5FAF" w14:textId="77777777" w:rsidR="001A5566" w:rsidRDefault="001A5566" w:rsidP="001A5566">
      <w:pPr>
        <w:spacing w:after="0" w:line="254" w:lineRule="auto"/>
        <w:jc w:val="both"/>
        <w:rPr>
          <w:rFonts w:ascii="Verdana" w:eastAsia="Calibri" w:hAnsi="Verdana" w:cs="Times New Roman"/>
        </w:rPr>
      </w:pPr>
    </w:p>
    <w:p w14:paraId="30398FBF" w14:textId="77777777" w:rsidR="001A5566" w:rsidRPr="008068BB" w:rsidRDefault="001A5566" w:rsidP="001A5566">
      <w:pPr>
        <w:spacing w:after="0" w:line="254" w:lineRule="auto"/>
        <w:jc w:val="both"/>
        <w:rPr>
          <w:rFonts w:ascii="Verdana" w:eastAsia="Calibri" w:hAnsi="Verdana" w:cs="Times New Roman"/>
        </w:rPr>
      </w:pPr>
      <w:r w:rsidRPr="008068BB">
        <w:rPr>
          <w:rFonts w:ascii="Verdana" w:eastAsia="Calibri" w:hAnsi="Verdana" w:cs="Times New Roman"/>
        </w:rPr>
        <w:t>De otra parte, te contamos que ya publicamos la </w:t>
      </w:r>
      <w:r w:rsidRPr="008068BB">
        <w:rPr>
          <w:rFonts w:ascii="Verdana" w:eastAsia="Calibri" w:hAnsi="Verdana" w:cs="Times New Roman"/>
          <w:b/>
          <w:bCs/>
        </w:rPr>
        <w:t>Guía para incentivar la participación de Mujeres en el Sistema de Compras y Contratación Pública</w:t>
      </w:r>
      <w:r w:rsidRPr="008068BB">
        <w:rPr>
          <w:rFonts w:ascii="Verdana" w:eastAsia="Calibri" w:hAnsi="Verdana" w:cs="Times New Roman"/>
        </w:rPr>
        <w:t>. Esta guía tiene como finalidad ofrecer información de valor para que las Entidades Estatales fomenten de manera efectiva la participación de las mujeres en el mercado de compras públicas. Puedes consultar la guía en el siguiente enlace: </w:t>
      </w:r>
      <w:hyperlink r:id="rId19" w:tgtFrame="_blank" w:tooltip="Dirección URL original: https://www.colombiacompra.gov.co/manuales-guias-y-pliegos-tipo/manuales-y-guias/guia-para-incentivar-la-participacion-de-las-mujeres. Haga clic o pulse si confía en este vínculo." w:history="1">
        <w:r w:rsidRPr="008068BB">
          <w:rPr>
            <w:rStyle w:val="Hipervnculo"/>
            <w:rFonts w:ascii="Verdana" w:eastAsia="Calibri" w:hAnsi="Verdana" w:cs="Times New Roman"/>
          </w:rPr>
          <w:t>https://www.colombiacompra.gov.co/manuales-guias-y-pliegos-tipo/manuales-y-guias/guia-para-incentivar-la-participacion-de-las-mujeres</w:t>
        </w:r>
      </w:hyperlink>
    </w:p>
    <w:p w14:paraId="2B4C5DB1" w14:textId="77777777" w:rsidR="001A5566" w:rsidRDefault="001A5566" w:rsidP="001A5566">
      <w:pPr>
        <w:spacing w:after="0" w:line="254" w:lineRule="auto"/>
        <w:jc w:val="both"/>
        <w:rPr>
          <w:rFonts w:ascii="Verdana" w:eastAsia="Calibri" w:hAnsi="Verdana" w:cs="Times New Roman"/>
        </w:rPr>
      </w:pPr>
    </w:p>
    <w:p w14:paraId="2BB317D5" w14:textId="77777777" w:rsidR="001A5566" w:rsidRPr="008068BB" w:rsidRDefault="001A5566" w:rsidP="001A5566">
      <w:pPr>
        <w:spacing w:after="0" w:line="254" w:lineRule="auto"/>
        <w:jc w:val="both"/>
        <w:rPr>
          <w:rFonts w:ascii="Verdana" w:eastAsia="Calibri" w:hAnsi="Verdana" w:cs="Times New Roman"/>
        </w:rPr>
      </w:pPr>
      <w:r w:rsidRPr="008068BB">
        <w:rPr>
          <w:rFonts w:ascii="Verdana" w:eastAsia="Calibri" w:hAnsi="Verdana" w:cs="Times New Roman"/>
        </w:rPr>
        <w:t>También te invitamos a consultar la </w:t>
      </w:r>
      <w:r w:rsidRPr="008068BB">
        <w:rPr>
          <w:rFonts w:ascii="Verdana" w:eastAsia="Calibri" w:hAnsi="Verdana" w:cs="Times New Roman"/>
          <w:b/>
          <w:bCs/>
        </w:rPr>
        <w:t>versión VIII de 2024</w:t>
      </w:r>
      <w:r w:rsidRPr="008068BB">
        <w:rPr>
          <w:rFonts w:ascii="Verdana" w:eastAsia="Calibri" w:hAnsi="Verdana" w:cs="Times New Roman"/>
        </w:rPr>
        <w:t>, del </w:t>
      </w:r>
      <w:r w:rsidRPr="008068BB">
        <w:rPr>
          <w:rFonts w:ascii="Verdana" w:eastAsia="Calibri" w:hAnsi="Verdana" w:cs="Times New Roman"/>
          <w:b/>
          <w:bCs/>
        </w:rPr>
        <w:t>Boletín de Relatoría</w:t>
      </w:r>
      <w:r w:rsidRPr="008068BB">
        <w:rPr>
          <w:rFonts w:ascii="Verdana" w:eastAsia="Calibri" w:hAnsi="Verdana" w:cs="Times New Roman"/>
        </w:rPr>
        <w:t> de la Subdirección de Gestión Contractual relacionado con la participación de las MIPYMES en los procesos de compra y contratación pública, el cual se puede descargar en la página web de la Agencia: </w:t>
      </w:r>
      <w:hyperlink r:id="rId20" w:tgtFrame="_blank" w:tooltip="Dirección URL original: https://www.colombiacompra.gov.co/sites/cce_public/files/files_2020/boletin_de_realtoria_viii.pdf. Haga clic o pulse si confía en este vínculo." w:history="1">
        <w:r w:rsidRPr="008068BB">
          <w:rPr>
            <w:rStyle w:val="Hipervnculo"/>
            <w:rFonts w:ascii="Verdana" w:eastAsia="Calibri" w:hAnsi="Verdana" w:cs="Times New Roman"/>
          </w:rPr>
          <w:t>https://www.colombiacompra.gov.co/sites/cce_public/files/files_2020/boletin_de_realtoria_viii.pdf</w:t>
        </w:r>
      </w:hyperlink>
    </w:p>
    <w:p w14:paraId="10A619A1" w14:textId="77777777" w:rsidR="001A5566" w:rsidRDefault="001A5566" w:rsidP="001A5566">
      <w:pPr>
        <w:spacing w:after="0" w:line="254" w:lineRule="auto"/>
        <w:rPr>
          <w:rFonts w:ascii="Verdana" w:eastAsia="Calibri" w:hAnsi="Verdana" w:cs="Times New Roman"/>
        </w:rPr>
      </w:pPr>
    </w:p>
    <w:p w14:paraId="4F31E165" w14:textId="77777777" w:rsidR="001A5566" w:rsidRPr="00885EA6" w:rsidRDefault="001A5566" w:rsidP="001A5566">
      <w:pPr>
        <w:spacing w:after="0" w:line="254" w:lineRule="auto"/>
        <w:jc w:val="both"/>
        <w:rPr>
          <w:rFonts w:ascii="Verdana" w:eastAsia="Calibri" w:hAnsi="Verdana" w:cs="Times New Roman"/>
        </w:rPr>
      </w:pPr>
      <w:r w:rsidRPr="00885EA6">
        <w:rPr>
          <w:rFonts w:ascii="Verdana" w:eastAsia="Calibri" w:hAnsi="Verdana" w:cs="Times New Roman"/>
        </w:rPr>
        <w:t xml:space="preserve">Por último, lo invitamos a seguirnos en las redes sociales en las cuales se difunde información institucional: </w:t>
      </w:r>
    </w:p>
    <w:p w14:paraId="47A0CA77" w14:textId="77777777" w:rsidR="001A5566" w:rsidRPr="00885EA6" w:rsidRDefault="001A5566" w:rsidP="001A5566">
      <w:pPr>
        <w:spacing w:after="0" w:line="254" w:lineRule="auto"/>
        <w:rPr>
          <w:rFonts w:ascii="Verdana" w:eastAsia="Calibri" w:hAnsi="Verdana" w:cs="Times New Roman"/>
        </w:rPr>
      </w:pPr>
    </w:p>
    <w:p w14:paraId="7E840AD9" w14:textId="77777777" w:rsidR="001A5566" w:rsidRPr="00885EA6" w:rsidRDefault="001A5566" w:rsidP="001A5566">
      <w:pPr>
        <w:spacing w:after="0" w:line="254" w:lineRule="auto"/>
        <w:rPr>
          <w:rFonts w:ascii="Verdana" w:eastAsia="Calibri" w:hAnsi="Verdana" w:cs="Times New Roman"/>
        </w:rPr>
      </w:pPr>
      <w:r w:rsidRPr="00885EA6">
        <w:rPr>
          <w:rFonts w:ascii="Verdana" w:eastAsia="Calibri" w:hAnsi="Verdana" w:cs="Times New Roman"/>
        </w:rPr>
        <w:t xml:space="preserve">Twitter: </w:t>
      </w:r>
      <w:r w:rsidRPr="00885EA6">
        <w:rPr>
          <w:rFonts w:ascii="Verdana" w:eastAsia="Calibri" w:hAnsi="Verdana" w:cs="Times New Roman"/>
          <w:u w:val="single"/>
        </w:rPr>
        <w:t>@colombiacompra</w:t>
      </w:r>
      <w:r w:rsidRPr="00885EA6">
        <w:rPr>
          <w:rFonts w:ascii="Verdana" w:eastAsia="Calibri" w:hAnsi="Verdana" w:cs="Times New Roman"/>
        </w:rPr>
        <w:t xml:space="preserve"> </w:t>
      </w:r>
    </w:p>
    <w:p w14:paraId="2AA11BF2" w14:textId="77777777" w:rsidR="001A5566" w:rsidRPr="00885EA6" w:rsidRDefault="001A5566" w:rsidP="001A5566">
      <w:pPr>
        <w:spacing w:after="0" w:line="254" w:lineRule="auto"/>
        <w:rPr>
          <w:rFonts w:ascii="Verdana" w:eastAsia="Calibri" w:hAnsi="Verdana" w:cs="Times New Roman"/>
        </w:rPr>
      </w:pPr>
      <w:r w:rsidRPr="00885EA6">
        <w:rPr>
          <w:rFonts w:ascii="Verdana" w:eastAsia="Calibri" w:hAnsi="Verdana" w:cs="Times New Roman"/>
        </w:rPr>
        <w:t xml:space="preserve">Facebook: </w:t>
      </w:r>
      <w:r w:rsidRPr="00885EA6">
        <w:rPr>
          <w:rFonts w:ascii="Verdana" w:eastAsia="Calibri" w:hAnsi="Verdana" w:cs="Times New Roman"/>
          <w:u w:val="single"/>
        </w:rPr>
        <w:t>ColombiaCompraEficiente</w:t>
      </w:r>
    </w:p>
    <w:p w14:paraId="01B9E929" w14:textId="77777777" w:rsidR="001A5566" w:rsidRPr="00885EA6" w:rsidRDefault="001A5566" w:rsidP="001A5566">
      <w:pPr>
        <w:spacing w:after="0" w:line="254" w:lineRule="auto"/>
        <w:rPr>
          <w:rFonts w:ascii="Verdana" w:eastAsia="Calibri" w:hAnsi="Verdana" w:cs="Times New Roman"/>
          <w:u w:val="single"/>
        </w:rPr>
      </w:pPr>
      <w:r w:rsidRPr="00885EA6">
        <w:rPr>
          <w:rFonts w:ascii="Verdana" w:eastAsia="Calibri" w:hAnsi="Verdana" w:cs="Times New Roman"/>
        </w:rPr>
        <w:t xml:space="preserve">LinkedIn: </w:t>
      </w:r>
      <w:r w:rsidRPr="00885EA6">
        <w:rPr>
          <w:rFonts w:ascii="Verdana" w:eastAsia="Calibri" w:hAnsi="Verdana" w:cs="Times New Roman"/>
          <w:u w:val="single"/>
        </w:rPr>
        <w:t>Agencia Nacional de Contratación Pública - Colombia Compra Eficiente</w:t>
      </w:r>
      <w:r w:rsidRPr="00885EA6">
        <w:rPr>
          <w:rFonts w:ascii="Verdana" w:eastAsia="Calibri" w:hAnsi="Verdana" w:cs="Times New Roman"/>
        </w:rPr>
        <w:t xml:space="preserve"> Instagram: </w:t>
      </w:r>
      <w:r w:rsidRPr="00885EA6">
        <w:rPr>
          <w:rFonts w:ascii="Verdana" w:eastAsia="Calibri" w:hAnsi="Verdana" w:cs="Times New Roman"/>
          <w:u w:val="single"/>
        </w:rPr>
        <w:t>@colombiacompraeficiente_cce</w:t>
      </w:r>
    </w:p>
    <w:p w14:paraId="54327FFE" w14:textId="77777777" w:rsidR="001A5566" w:rsidRPr="00885EA6" w:rsidRDefault="001A5566" w:rsidP="001A5566">
      <w:pPr>
        <w:spacing w:after="0" w:line="254" w:lineRule="auto"/>
        <w:rPr>
          <w:rFonts w:ascii="Verdana" w:eastAsia="Calibri" w:hAnsi="Verdana" w:cs="Times New Roman"/>
          <w:b/>
          <w:bCs/>
        </w:rPr>
      </w:pPr>
    </w:p>
    <w:p w14:paraId="306512A9" w14:textId="77777777" w:rsidR="001A5566" w:rsidRPr="00885EA6" w:rsidRDefault="001A5566" w:rsidP="001A5566">
      <w:pPr>
        <w:spacing w:after="0" w:line="254" w:lineRule="auto"/>
        <w:jc w:val="both"/>
        <w:rPr>
          <w:rFonts w:ascii="Verdana" w:eastAsia="Calibri" w:hAnsi="Verdana" w:cs="Times New Roman"/>
          <w:lang w:val="es-ES_tradnl"/>
        </w:rPr>
      </w:pPr>
      <w:r w:rsidRPr="00885EA6">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089B0A4" w14:textId="77777777" w:rsidR="001A5566" w:rsidRPr="00885EA6" w:rsidRDefault="001A5566" w:rsidP="001A5566">
      <w:pPr>
        <w:spacing w:after="0" w:line="240" w:lineRule="auto"/>
        <w:jc w:val="both"/>
        <w:rPr>
          <w:rFonts w:ascii="Verdana" w:eastAsia="Calibri" w:hAnsi="Verdana"/>
        </w:rPr>
      </w:pPr>
    </w:p>
    <w:p w14:paraId="3D4CB4BB" w14:textId="77777777" w:rsidR="00A32DDE" w:rsidRPr="00885EA6" w:rsidRDefault="00A32DDE" w:rsidP="00A32DDE">
      <w:pPr>
        <w:spacing w:after="0" w:line="240" w:lineRule="auto"/>
        <w:jc w:val="both"/>
        <w:rPr>
          <w:rFonts w:ascii="Verdana" w:eastAsia="Times New Roman" w:hAnsi="Verdana" w:cs="Arial"/>
          <w:lang w:eastAsia="es-CO"/>
        </w:rPr>
      </w:pPr>
      <w:r w:rsidRPr="00885EA6">
        <w:rPr>
          <w:rFonts w:ascii="Verdana" w:eastAsia="Times New Roman" w:hAnsi="Verdana" w:cs="Arial"/>
          <w:lang w:eastAsia="es-CO"/>
        </w:rPr>
        <w:t>Atentamente,</w:t>
      </w:r>
    </w:p>
    <w:p w14:paraId="177FFD03" w14:textId="77777777" w:rsidR="00A32DDE" w:rsidRPr="00885EA6" w:rsidRDefault="00A32DDE" w:rsidP="00A32DDE">
      <w:pPr>
        <w:spacing w:after="0" w:line="240" w:lineRule="auto"/>
        <w:jc w:val="both"/>
        <w:rPr>
          <w:rFonts w:ascii="Verdana" w:eastAsia="Times New Roman" w:hAnsi="Verdana" w:cs="Arial"/>
          <w:lang w:eastAsia="es-CO"/>
        </w:rPr>
      </w:pPr>
    </w:p>
    <w:p w14:paraId="241A0E72" w14:textId="7967D65E" w:rsidR="00A32DDE" w:rsidRPr="00885EA6" w:rsidRDefault="00400AC8" w:rsidP="00A32DDE">
      <w:pPr>
        <w:spacing w:after="0" w:line="240" w:lineRule="auto"/>
        <w:jc w:val="center"/>
        <w:rPr>
          <w:rFonts w:ascii="Verdana" w:eastAsia="Times New Roman" w:hAnsi="Verdana" w:cs="Arial"/>
          <w:lang w:eastAsia="es-CO"/>
        </w:rPr>
      </w:pPr>
      <w:r>
        <w:rPr>
          <w:noProof/>
        </w:rPr>
        <w:lastRenderedPageBreak/>
        <w:drawing>
          <wp:inline distT="0" distB="0" distL="0" distR="0" wp14:anchorId="1F97DDCB" wp14:editId="20248226">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21"/>
                    <a:stretch>
                      <a:fillRect/>
                    </a:stretch>
                  </pic:blipFill>
                  <pic:spPr>
                    <a:xfrm>
                      <a:off x="0" y="0"/>
                      <a:ext cx="3705225" cy="1590675"/>
                    </a:xfrm>
                    <a:prstGeom prst="rect">
                      <a:avLst/>
                    </a:prstGeom>
                  </pic:spPr>
                </pic:pic>
              </a:graphicData>
            </a:graphic>
          </wp:inline>
        </w:drawing>
      </w:r>
    </w:p>
    <w:p w14:paraId="16A8E14A" w14:textId="77777777" w:rsidR="00A32DDE" w:rsidRPr="00885EA6" w:rsidRDefault="00A32DDE" w:rsidP="00A32DDE">
      <w:pPr>
        <w:spacing w:after="0" w:line="240" w:lineRule="auto"/>
        <w:jc w:val="both"/>
        <w:rPr>
          <w:rFonts w:ascii="Verdana" w:hAnsi="Verdana"/>
          <w:noProof/>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32DDE" w:rsidRPr="00885EA6" w14:paraId="147AEEA6" w14:textId="77777777" w:rsidTr="001D107B">
        <w:trPr>
          <w:trHeight w:val="409"/>
        </w:trPr>
        <w:tc>
          <w:tcPr>
            <w:tcW w:w="817" w:type="dxa"/>
            <w:tcBorders>
              <w:top w:val="nil"/>
              <w:left w:val="nil"/>
              <w:bottom w:val="nil"/>
              <w:right w:val="nil"/>
            </w:tcBorders>
            <w:vAlign w:val="center"/>
            <w:hideMark/>
          </w:tcPr>
          <w:p w14:paraId="67D79E5C" w14:textId="77777777" w:rsidR="00A32DDE" w:rsidRPr="00283203" w:rsidRDefault="00A32DDE" w:rsidP="001D107B">
            <w:pPr>
              <w:spacing w:after="0" w:line="240" w:lineRule="auto"/>
              <w:jc w:val="both"/>
              <w:rPr>
                <w:rFonts w:ascii="Verdana" w:hAnsi="Verdana" w:cs="Arial"/>
                <w:sz w:val="16"/>
                <w:szCs w:val="16"/>
              </w:rPr>
            </w:pPr>
            <w:r w:rsidRPr="00283203">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5E31E64" w14:textId="77777777" w:rsidR="00A32DDE" w:rsidRPr="00283203" w:rsidRDefault="00A32DDE" w:rsidP="001D107B">
            <w:pPr>
              <w:spacing w:after="0" w:line="240" w:lineRule="auto"/>
              <w:jc w:val="both"/>
              <w:rPr>
                <w:rFonts w:ascii="Verdana" w:hAnsi="Verdana" w:cs="Arial"/>
                <w:sz w:val="16"/>
                <w:szCs w:val="16"/>
              </w:rPr>
            </w:pPr>
            <w:r w:rsidRPr="00283203">
              <w:rPr>
                <w:rFonts w:ascii="Verdana" w:hAnsi="Verdana" w:cs="Arial"/>
                <w:sz w:val="16"/>
                <w:szCs w:val="16"/>
              </w:rPr>
              <w:t>Gustavo Hinestroza Martínez</w:t>
            </w:r>
          </w:p>
          <w:p w14:paraId="0511BC8C" w14:textId="77777777" w:rsidR="00A32DDE" w:rsidRPr="00283203" w:rsidRDefault="00A32DDE" w:rsidP="001D107B">
            <w:pPr>
              <w:spacing w:after="0" w:line="240" w:lineRule="auto"/>
              <w:jc w:val="both"/>
              <w:rPr>
                <w:rFonts w:ascii="Verdana" w:hAnsi="Verdana" w:cs="Arial"/>
                <w:sz w:val="16"/>
                <w:szCs w:val="16"/>
              </w:rPr>
            </w:pPr>
            <w:r w:rsidRPr="00283203">
              <w:rPr>
                <w:rFonts w:ascii="Verdana" w:hAnsi="Verdana" w:cs="Arial"/>
                <w:sz w:val="16"/>
                <w:szCs w:val="16"/>
              </w:rPr>
              <w:t>Contratista de la Subdirección de Gestión Contractual</w:t>
            </w:r>
          </w:p>
        </w:tc>
      </w:tr>
      <w:tr w:rsidR="00A32DDE" w:rsidRPr="00885EA6" w14:paraId="4F300B58" w14:textId="77777777" w:rsidTr="001D107B">
        <w:trPr>
          <w:trHeight w:val="409"/>
        </w:trPr>
        <w:tc>
          <w:tcPr>
            <w:tcW w:w="817" w:type="dxa"/>
            <w:tcBorders>
              <w:top w:val="nil"/>
              <w:left w:val="nil"/>
              <w:bottom w:val="nil"/>
              <w:right w:val="nil"/>
            </w:tcBorders>
            <w:vAlign w:val="center"/>
            <w:hideMark/>
          </w:tcPr>
          <w:p w14:paraId="4B221B17" w14:textId="77777777" w:rsidR="00A32DDE" w:rsidRPr="00283203" w:rsidRDefault="00A32DDE" w:rsidP="001D107B">
            <w:pPr>
              <w:spacing w:after="0"/>
              <w:jc w:val="both"/>
              <w:rPr>
                <w:rFonts w:ascii="Verdana" w:hAnsi="Verdana" w:cs="Arial"/>
                <w:sz w:val="16"/>
                <w:szCs w:val="16"/>
              </w:rPr>
            </w:pPr>
            <w:r w:rsidRPr="00283203">
              <w:rPr>
                <w:rFonts w:ascii="Verdana" w:hAnsi="Verdana" w:cs="Arial"/>
                <w:sz w:val="16"/>
                <w:szCs w:val="16"/>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D54A41B" w14:textId="77777777" w:rsidR="0078774B" w:rsidRPr="0078774B" w:rsidRDefault="0078774B" w:rsidP="0078774B">
            <w:pPr>
              <w:spacing w:after="0" w:line="240" w:lineRule="auto"/>
              <w:jc w:val="both"/>
              <w:rPr>
                <w:rFonts w:ascii="Verdana" w:hAnsi="Verdana" w:cs="Arial"/>
                <w:sz w:val="16"/>
                <w:szCs w:val="16"/>
              </w:rPr>
            </w:pPr>
          </w:p>
          <w:p w14:paraId="55D4EED9" w14:textId="77777777" w:rsidR="0078774B" w:rsidRDefault="0078774B" w:rsidP="0078774B">
            <w:pPr>
              <w:spacing w:after="0" w:line="240" w:lineRule="auto"/>
              <w:jc w:val="both"/>
              <w:rPr>
                <w:rFonts w:ascii="Verdana" w:hAnsi="Verdana" w:cs="Arial"/>
                <w:sz w:val="16"/>
                <w:szCs w:val="16"/>
              </w:rPr>
            </w:pPr>
            <w:r w:rsidRPr="0078774B">
              <w:rPr>
                <w:rFonts w:ascii="Verdana" w:hAnsi="Verdana" w:cs="Arial"/>
                <w:sz w:val="16"/>
                <w:szCs w:val="16"/>
              </w:rPr>
              <w:t xml:space="preserve">Alejandro Raúl Sarmiento Cantillo </w:t>
            </w:r>
          </w:p>
          <w:p w14:paraId="63288988" w14:textId="5B729542" w:rsidR="0078774B" w:rsidRPr="0078774B" w:rsidRDefault="0078774B" w:rsidP="0078774B">
            <w:pPr>
              <w:spacing w:after="0" w:line="240" w:lineRule="auto"/>
              <w:jc w:val="both"/>
              <w:rPr>
                <w:rFonts w:ascii="Verdana" w:hAnsi="Verdana" w:cs="Arial"/>
                <w:sz w:val="16"/>
                <w:szCs w:val="16"/>
              </w:rPr>
            </w:pPr>
            <w:r w:rsidRPr="0078774B">
              <w:rPr>
                <w:rFonts w:ascii="Verdana" w:hAnsi="Verdana" w:cs="Arial"/>
                <w:sz w:val="16"/>
                <w:szCs w:val="16"/>
              </w:rPr>
              <w:t xml:space="preserve">Gestor </w:t>
            </w:r>
            <w:proofErr w:type="spellStart"/>
            <w:r w:rsidRPr="0078774B">
              <w:rPr>
                <w:rFonts w:ascii="Verdana" w:hAnsi="Verdana" w:cs="Arial"/>
                <w:sz w:val="16"/>
                <w:szCs w:val="16"/>
              </w:rPr>
              <w:t>T1</w:t>
            </w:r>
            <w:proofErr w:type="spellEnd"/>
            <w:r w:rsidRPr="0078774B">
              <w:rPr>
                <w:rFonts w:ascii="Verdana" w:hAnsi="Verdana" w:cs="Arial"/>
                <w:sz w:val="16"/>
                <w:szCs w:val="16"/>
              </w:rPr>
              <w:t>-15 Subdirección de Gestión Contractual</w:t>
            </w:r>
          </w:p>
          <w:p w14:paraId="2A886FA6" w14:textId="7E8271CC" w:rsidR="00A32DDE" w:rsidRPr="00283203" w:rsidRDefault="00A32DDE" w:rsidP="001D107B">
            <w:pPr>
              <w:spacing w:after="0" w:line="240" w:lineRule="auto"/>
              <w:jc w:val="both"/>
              <w:rPr>
                <w:rFonts w:ascii="Verdana" w:hAnsi="Verdana" w:cs="Arial"/>
                <w:sz w:val="16"/>
                <w:szCs w:val="16"/>
              </w:rPr>
            </w:pPr>
          </w:p>
        </w:tc>
      </w:tr>
      <w:tr w:rsidR="00A32DDE" w:rsidRPr="00885EA6" w14:paraId="2BE4C78D" w14:textId="77777777" w:rsidTr="001D107B">
        <w:trPr>
          <w:trHeight w:val="389"/>
        </w:trPr>
        <w:tc>
          <w:tcPr>
            <w:tcW w:w="817" w:type="dxa"/>
            <w:tcBorders>
              <w:top w:val="nil"/>
              <w:left w:val="nil"/>
              <w:bottom w:val="nil"/>
              <w:right w:val="nil"/>
            </w:tcBorders>
            <w:vAlign w:val="center"/>
            <w:hideMark/>
          </w:tcPr>
          <w:p w14:paraId="01301939" w14:textId="77777777" w:rsidR="00A32DDE" w:rsidRPr="00283203" w:rsidRDefault="00A32DDE" w:rsidP="001D107B">
            <w:pPr>
              <w:spacing w:after="0" w:line="240" w:lineRule="auto"/>
              <w:jc w:val="both"/>
              <w:rPr>
                <w:rFonts w:ascii="Verdana" w:hAnsi="Verdana" w:cs="Arial"/>
                <w:sz w:val="16"/>
                <w:szCs w:val="16"/>
              </w:rPr>
            </w:pPr>
            <w:r w:rsidRPr="00283203">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D44428D" w14:textId="77777777" w:rsidR="00A32DDE" w:rsidRPr="00283203" w:rsidRDefault="00A32DDE" w:rsidP="001D107B">
            <w:pPr>
              <w:spacing w:after="0"/>
              <w:jc w:val="both"/>
              <w:rPr>
                <w:rFonts w:ascii="Verdana" w:hAnsi="Verdana" w:cs="Arial"/>
                <w:sz w:val="16"/>
                <w:szCs w:val="16"/>
              </w:rPr>
            </w:pPr>
            <w:r w:rsidRPr="00283203">
              <w:rPr>
                <w:rFonts w:ascii="Verdana" w:hAnsi="Verdana" w:cs="Arial"/>
                <w:sz w:val="16"/>
                <w:szCs w:val="16"/>
              </w:rPr>
              <w:t>Carolina Quintero Gacharná</w:t>
            </w:r>
          </w:p>
          <w:p w14:paraId="2EB9E075" w14:textId="77777777" w:rsidR="00A32DDE" w:rsidRPr="00283203" w:rsidRDefault="00A32DDE" w:rsidP="001D107B">
            <w:pPr>
              <w:spacing w:after="0" w:line="240" w:lineRule="auto"/>
              <w:jc w:val="both"/>
              <w:rPr>
                <w:rFonts w:ascii="Verdana" w:hAnsi="Verdana" w:cs="Arial"/>
                <w:sz w:val="16"/>
                <w:szCs w:val="16"/>
              </w:rPr>
            </w:pPr>
            <w:r w:rsidRPr="00283203">
              <w:rPr>
                <w:rFonts w:ascii="Verdana" w:hAnsi="Verdana" w:cs="Arial"/>
                <w:sz w:val="16"/>
                <w:szCs w:val="16"/>
              </w:rPr>
              <w:t>Subdirectora de Gestión Contractual ANCP – CCE</w:t>
            </w:r>
          </w:p>
        </w:tc>
      </w:tr>
    </w:tbl>
    <w:p w14:paraId="02C842A8" w14:textId="77777777" w:rsidR="00A32DDE" w:rsidRPr="00885EA6" w:rsidRDefault="00A32DDE" w:rsidP="00A32DDE">
      <w:pPr>
        <w:spacing w:after="0" w:line="240" w:lineRule="auto"/>
        <w:jc w:val="both"/>
        <w:textAlignment w:val="baseline"/>
        <w:rPr>
          <w:rFonts w:ascii="Verdana" w:eastAsia="Times New Roman" w:hAnsi="Verdana" w:cs="Segoe UI"/>
          <w:sz w:val="16"/>
          <w:szCs w:val="16"/>
          <w:lang w:eastAsia="es-CO"/>
        </w:rPr>
      </w:pPr>
    </w:p>
    <w:p w14:paraId="3900974D" w14:textId="77777777" w:rsidR="003D5B0D" w:rsidRPr="00A32DDE" w:rsidRDefault="003D5B0D" w:rsidP="00A32DDE"/>
    <w:sectPr w:rsidR="003D5B0D" w:rsidRPr="00A32DDE"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4A943" w14:textId="77777777" w:rsidR="00AF2D58" w:rsidRDefault="00AF2D58" w:rsidP="004A1847">
      <w:pPr>
        <w:spacing w:after="0" w:line="240" w:lineRule="auto"/>
      </w:pPr>
      <w:r>
        <w:separator/>
      </w:r>
    </w:p>
  </w:endnote>
  <w:endnote w:type="continuationSeparator" w:id="0">
    <w:p w14:paraId="3EF3787B" w14:textId="77777777" w:rsidR="00AF2D58" w:rsidRDefault="00AF2D58" w:rsidP="004A1847">
      <w:pPr>
        <w:spacing w:after="0" w:line="240" w:lineRule="auto"/>
      </w:pPr>
      <w:r>
        <w:continuationSeparator/>
      </w:r>
    </w:p>
  </w:endnote>
  <w:endnote w:type="continuationNotice" w:id="1">
    <w:p w14:paraId="4FD81BE0" w14:textId="77777777" w:rsidR="00AF2D58" w:rsidRDefault="00AF2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BB7C" w14:textId="77777777" w:rsidR="00AF2D58" w:rsidRDefault="00AF2D58" w:rsidP="004A1847">
      <w:pPr>
        <w:spacing w:after="0" w:line="240" w:lineRule="auto"/>
      </w:pPr>
      <w:r>
        <w:separator/>
      </w:r>
    </w:p>
  </w:footnote>
  <w:footnote w:type="continuationSeparator" w:id="0">
    <w:p w14:paraId="0F54A339" w14:textId="77777777" w:rsidR="00AF2D58" w:rsidRDefault="00AF2D58" w:rsidP="004A1847">
      <w:pPr>
        <w:spacing w:after="0" w:line="240" w:lineRule="auto"/>
      </w:pPr>
      <w:r>
        <w:continuationSeparator/>
      </w:r>
    </w:p>
  </w:footnote>
  <w:footnote w:type="continuationNotice" w:id="1">
    <w:p w14:paraId="3B8E0076" w14:textId="77777777" w:rsidR="00AF2D58" w:rsidRDefault="00AF2D58">
      <w:pPr>
        <w:spacing w:after="0" w:line="240" w:lineRule="auto"/>
      </w:pPr>
    </w:p>
  </w:footnote>
  <w:footnote w:id="2">
    <w:p w14:paraId="15B07895" w14:textId="77777777" w:rsidR="00303A0F" w:rsidRPr="0058660B" w:rsidRDefault="00303A0F" w:rsidP="00303A0F">
      <w:pPr>
        <w:spacing w:line="240" w:lineRule="auto"/>
        <w:contextualSpacing/>
        <w:jc w:val="both"/>
        <w:rPr>
          <w:rFonts w:ascii="Verdana" w:hAnsi="Verdana"/>
          <w:sz w:val="16"/>
          <w:szCs w:val="16"/>
        </w:rPr>
      </w:pPr>
    </w:p>
  </w:footnote>
  <w:footnote w:id="3">
    <w:p w14:paraId="2E0EAF0B" w14:textId="77777777" w:rsidR="00303A0F" w:rsidRPr="0058660B" w:rsidRDefault="00303A0F" w:rsidP="00303A0F">
      <w:pPr>
        <w:pStyle w:val="Textonotapie"/>
        <w:ind w:firstLine="708"/>
        <w:jc w:val="both"/>
        <w:rPr>
          <w:rFonts w:ascii="Verdana" w:hAnsi="Verdana"/>
          <w:sz w:val="16"/>
          <w:szCs w:val="16"/>
          <w:lang w:val="es-CO"/>
        </w:rPr>
      </w:pPr>
      <w:r w:rsidRPr="0058660B">
        <w:rPr>
          <w:rStyle w:val="Refdenotaalpie"/>
          <w:rFonts w:ascii="Verdana" w:hAnsi="Verdana"/>
          <w:sz w:val="16"/>
          <w:szCs w:val="16"/>
        </w:rPr>
        <w:footnoteRef/>
      </w:r>
      <w:r w:rsidRPr="0058660B">
        <w:rPr>
          <w:rFonts w:ascii="Verdana" w:hAnsi="Verdana"/>
          <w:sz w:val="16"/>
          <w:szCs w:val="16"/>
        </w:rPr>
        <w:t xml:space="preserve"> </w:t>
      </w:r>
      <w:r w:rsidRPr="0058660B">
        <w:rPr>
          <w:rFonts w:ascii="Verdana" w:hAnsi="Verdana"/>
          <w:sz w:val="16"/>
          <w:szCs w:val="16"/>
          <w:lang w:val="es-CO"/>
        </w:rPr>
        <w:t>Decreto 1082 de 2015: “Artículo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 a las Entidades Estatales, identificados con el Clasificador de Bienes y Servicios en el tercer nivel y su valor expresado en SMMLV. [...]”.</w:t>
      </w:r>
    </w:p>
    <w:p w14:paraId="0848A406" w14:textId="77777777" w:rsidR="0058660B" w:rsidRPr="0058660B" w:rsidRDefault="0058660B" w:rsidP="00303A0F">
      <w:pPr>
        <w:pStyle w:val="Textonotapie"/>
        <w:ind w:firstLine="708"/>
        <w:jc w:val="both"/>
        <w:rPr>
          <w:rFonts w:ascii="Verdana" w:hAnsi="Verdana"/>
          <w:sz w:val="16"/>
          <w:szCs w:val="16"/>
          <w:lang w:val="es-ES"/>
        </w:rPr>
      </w:pPr>
    </w:p>
  </w:footnote>
  <w:footnote w:id="4">
    <w:p w14:paraId="55338A00" w14:textId="40D884A2" w:rsidR="00C061B6" w:rsidRDefault="00C061B6" w:rsidP="00C061B6">
      <w:pPr>
        <w:pStyle w:val="Textonotapie"/>
        <w:ind w:firstLine="708"/>
      </w:pPr>
      <w:r>
        <w:rPr>
          <w:rStyle w:val="Refdenotaalpie"/>
        </w:rPr>
        <w:footnoteRef/>
      </w:r>
      <w:r>
        <w:t xml:space="preserve"> </w:t>
      </w:r>
      <w:hyperlink r:id="rId1" w:history="1">
        <w:r w:rsidRPr="00A45555">
          <w:rPr>
            <w:rStyle w:val="Hipervnculo"/>
          </w:rPr>
          <w:t>https://colombiacompra.gov.co/sites/cce_public/files/cce_clasificador/manualclasificador.pdf</w:t>
        </w:r>
      </w:hyperlink>
    </w:p>
    <w:p w14:paraId="36549944" w14:textId="77777777" w:rsidR="00C061B6" w:rsidRDefault="00C061B6" w:rsidP="00C061B6">
      <w:pPr>
        <w:pStyle w:val="Textonotapie"/>
        <w:ind w:firstLine="708"/>
      </w:pPr>
    </w:p>
  </w:footnote>
  <w:footnote w:id="5">
    <w:p w14:paraId="045DF458" w14:textId="57EAD32C" w:rsidR="00303A0F" w:rsidRPr="008D3EAB" w:rsidRDefault="00303A0F" w:rsidP="00303A0F">
      <w:pPr>
        <w:pStyle w:val="Textonotapie"/>
        <w:ind w:firstLine="708"/>
        <w:rPr>
          <w:rFonts w:ascii="Verdana" w:hAnsi="Verdana"/>
          <w:sz w:val="16"/>
          <w:szCs w:val="16"/>
        </w:rPr>
      </w:pPr>
      <w:r w:rsidRPr="0058660B">
        <w:rPr>
          <w:rStyle w:val="Refdenotaalpie"/>
          <w:rFonts w:ascii="Verdana" w:hAnsi="Verdana"/>
          <w:sz w:val="16"/>
          <w:szCs w:val="16"/>
        </w:rPr>
        <w:footnoteRef/>
      </w:r>
      <w:r w:rsidRPr="0058660B">
        <w:rPr>
          <w:rFonts w:ascii="Verdana" w:hAnsi="Verdana"/>
          <w:sz w:val="16"/>
          <w:szCs w:val="16"/>
        </w:rPr>
        <w:t xml:space="preserve"> </w:t>
      </w:r>
      <w:r w:rsidRPr="008D3EAB">
        <w:rPr>
          <w:rFonts w:ascii="Verdana" w:hAnsi="Verdana"/>
          <w:sz w:val="16"/>
          <w:szCs w:val="16"/>
        </w:rPr>
        <w:t xml:space="preserve">Se puede consultar en el siguiente enlace: </w:t>
      </w:r>
      <w:hyperlink r:id="rId2" w:history="1">
        <w:r w:rsidR="008D3EAB" w:rsidRPr="008D3EAB">
          <w:rPr>
            <w:rStyle w:val="Hipervnculo"/>
            <w:rFonts w:ascii="Verdana" w:hAnsi="Verdana"/>
            <w:sz w:val="16"/>
            <w:szCs w:val="16"/>
          </w:rPr>
          <w:t>https://www.colombiacompra.gov.co/sites/cce_public/files/cce_documents/cce-eicp-ma-04._manual_requisitos_habilitantes_v3_29-09-2023.pdf</w:t>
        </w:r>
      </w:hyperlink>
    </w:p>
    <w:p w14:paraId="2FB94AE5" w14:textId="77777777" w:rsidR="008D3EAB" w:rsidRDefault="008D3EAB" w:rsidP="00303A0F">
      <w:pPr>
        <w:pStyle w:val="Textonotapie"/>
        <w:ind w:firstLine="708"/>
        <w:rPr>
          <w:rFonts w:ascii="Verdana" w:hAnsi="Verdana"/>
          <w:sz w:val="16"/>
          <w:szCs w:val="16"/>
        </w:rPr>
      </w:pPr>
    </w:p>
    <w:p w14:paraId="76E42DCC" w14:textId="77777777" w:rsidR="005740F9" w:rsidRPr="0058660B" w:rsidRDefault="005740F9" w:rsidP="00303A0F">
      <w:pPr>
        <w:pStyle w:val="Textonotapie"/>
        <w:ind w:firstLine="708"/>
        <w:rPr>
          <w:rFonts w:ascii="Verdana" w:hAnsi="Verdana"/>
          <w:sz w:val="16"/>
          <w:szCs w:val="16"/>
        </w:rPr>
      </w:pPr>
    </w:p>
  </w:footnote>
  <w:footnote w:id="6">
    <w:p w14:paraId="6241F875" w14:textId="78F3B3EB" w:rsidR="008109FA" w:rsidRPr="0058660B" w:rsidRDefault="008109FA" w:rsidP="008109FA">
      <w:pPr>
        <w:pStyle w:val="Textonotapie"/>
        <w:ind w:firstLine="709"/>
        <w:jc w:val="both"/>
        <w:rPr>
          <w:rFonts w:ascii="Verdana" w:hAnsi="Verdana" w:cstheme="minorHAnsi"/>
          <w:sz w:val="18"/>
          <w:szCs w:val="18"/>
        </w:rPr>
      </w:pPr>
      <w:r w:rsidRPr="0058660B">
        <w:rPr>
          <w:rStyle w:val="Refdenotaalpie"/>
          <w:rFonts w:ascii="Verdana" w:hAnsi="Verdana" w:cstheme="minorHAnsi"/>
          <w:sz w:val="18"/>
          <w:szCs w:val="18"/>
        </w:rPr>
        <w:footnoteRef/>
      </w:r>
      <w:r w:rsidRPr="0058660B">
        <w:rPr>
          <w:rFonts w:ascii="Verdana" w:hAnsi="Verdana" w:cstheme="minorHAnsi"/>
          <w:sz w:val="18"/>
          <w:szCs w:val="18"/>
        </w:rPr>
        <w:t xml:space="preserve">  Agencia Nacional de Contratación Pública – Colombia Compra Eficiente, Circular Externa Única. Expedida el 15 de julio de 2022. Disponible en: </w:t>
      </w:r>
      <w:hyperlink r:id="rId3" w:history="1">
        <w:r w:rsidR="008D3EAB" w:rsidRPr="00A45555">
          <w:rPr>
            <w:rStyle w:val="Hipervnculo"/>
            <w:rFonts w:ascii="Verdana" w:hAnsi="Verdana" w:cstheme="minorHAnsi"/>
            <w:sz w:val="18"/>
            <w:szCs w:val="18"/>
          </w:rPr>
          <w:t>https://www.colombiacompra.gov.co/sites/cce_public/files/cce_circulares/cce-eicp-ma-06_circular_externa_con_comentarios_de_ciudadanos-_v2f_002.pdf</w:t>
        </w:r>
      </w:hyperlink>
    </w:p>
  </w:footnote>
  <w:footnote w:id="7">
    <w:p w14:paraId="17E57D91" w14:textId="77777777" w:rsidR="008109FA" w:rsidRPr="0058660B" w:rsidRDefault="008109FA" w:rsidP="008109FA">
      <w:pPr>
        <w:pStyle w:val="Textonotapie"/>
        <w:ind w:firstLine="709"/>
        <w:contextualSpacing/>
        <w:jc w:val="both"/>
        <w:rPr>
          <w:rFonts w:ascii="Verdana" w:hAnsi="Verdana" w:cstheme="minorHAnsi"/>
          <w:sz w:val="18"/>
          <w:szCs w:val="18"/>
        </w:rPr>
      </w:pPr>
      <w:r w:rsidRPr="0058660B">
        <w:rPr>
          <w:rStyle w:val="Refdenotaalpie"/>
          <w:rFonts w:ascii="Verdana" w:hAnsi="Verdana" w:cstheme="minorHAnsi"/>
          <w:sz w:val="18"/>
          <w:szCs w:val="18"/>
        </w:rPr>
        <w:footnoteRef/>
      </w:r>
      <w:r w:rsidRPr="0058660B">
        <w:rPr>
          <w:rFonts w:ascii="Verdana" w:hAnsi="Verdana" w:cstheme="minorHAnsi"/>
          <w:sz w:val="18"/>
          <w:szCs w:val="18"/>
        </w:rPr>
        <w:t xml:space="preserve"> </w:t>
      </w:r>
      <w:r w:rsidRPr="0058660B">
        <w:rPr>
          <w:rFonts w:ascii="Verdana" w:hAnsi="Verdana" w:cstheme="minorHAnsi"/>
          <w:i/>
          <w:iCs/>
          <w:sz w:val="18"/>
          <w:szCs w:val="18"/>
        </w:rPr>
        <w:t>Ibíd.</w:t>
      </w:r>
      <w:r w:rsidRPr="0058660B">
        <w:rPr>
          <w:rFonts w:ascii="Verdana" w:hAnsi="Verdana"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517A65"/>
    <w:multiLevelType w:val="hybridMultilevel"/>
    <w:tmpl w:val="9B5A32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A15124"/>
    <w:multiLevelType w:val="hybridMultilevel"/>
    <w:tmpl w:val="44E80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9D55BAF"/>
    <w:multiLevelType w:val="hybridMultilevel"/>
    <w:tmpl w:val="03D41E02"/>
    <w:lvl w:ilvl="0" w:tplc="7A4AF5AE">
      <w:numFmt w:val="bullet"/>
      <w:lvlText w:val="-"/>
      <w:lvlJc w:val="left"/>
      <w:pPr>
        <w:ind w:left="363" w:hanging="143"/>
      </w:pPr>
      <w:rPr>
        <w:rFonts w:ascii="Arial" w:eastAsia="Arial" w:hAnsi="Arial" w:cs="Arial" w:hint="default"/>
        <w:color w:val="4E4D4D"/>
        <w:w w:val="100"/>
        <w:sz w:val="22"/>
        <w:szCs w:val="22"/>
        <w:lang w:val="es-ES" w:eastAsia="en-US" w:bidi="ar-SA"/>
      </w:rPr>
    </w:lvl>
    <w:lvl w:ilvl="1" w:tplc="A2C0492E">
      <w:numFmt w:val="bullet"/>
      <w:lvlText w:val="•"/>
      <w:lvlJc w:val="left"/>
      <w:pPr>
        <w:ind w:left="1250" w:hanging="143"/>
      </w:pPr>
      <w:rPr>
        <w:rFonts w:hint="default"/>
        <w:lang w:val="es-ES" w:eastAsia="en-US" w:bidi="ar-SA"/>
      </w:rPr>
    </w:lvl>
    <w:lvl w:ilvl="2" w:tplc="CFDE184E">
      <w:numFmt w:val="bullet"/>
      <w:lvlText w:val="•"/>
      <w:lvlJc w:val="left"/>
      <w:pPr>
        <w:ind w:left="2140" w:hanging="143"/>
      </w:pPr>
      <w:rPr>
        <w:rFonts w:hint="default"/>
        <w:lang w:val="es-ES" w:eastAsia="en-US" w:bidi="ar-SA"/>
      </w:rPr>
    </w:lvl>
    <w:lvl w:ilvl="3" w:tplc="B120A284">
      <w:numFmt w:val="bullet"/>
      <w:lvlText w:val="•"/>
      <w:lvlJc w:val="left"/>
      <w:pPr>
        <w:ind w:left="3030" w:hanging="143"/>
      </w:pPr>
      <w:rPr>
        <w:rFonts w:hint="default"/>
        <w:lang w:val="es-ES" w:eastAsia="en-US" w:bidi="ar-SA"/>
      </w:rPr>
    </w:lvl>
    <w:lvl w:ilvl="4" w:tplc="4CD2A566">
      <w:numFmt w:val="bullet"/>
      <w:lvlText w:val="•"/>
      <w:lvlJc w:val="left"/>
      <w:pPr>
        <w:ind w:left="3920" w:hanging="143"/>
      </w:pPr>
      <w:rPr>
        <w:rFonts w:hint="default"/>
        <w:lang w:val="es-ES" w:eastAsia="en-US" w:bidi="ar-SA"/>
      </w:rPr>
    </w:lvl>
    <w:lvl w:ilvl="5" w:tplc="BA26CCAA">
      <w:numFmt w:val="bullet"/>
      <w:lvlText w:val="•"/>
      <w:lvlJc w:val="left"/>
      <w:pPr>
        <w:ind w:left="4810" w:hanging="143"/>
      </w:pPr>
      <w:rPr>
        <w:rFonts w:hint="default"/>
        <w:lang w:val="es-ES" w:eastAsia="en-US" w:bidi="ar-SA"/>
      </w:rPr>
    </w:lvl>
    <w:lvl w:ilvl="6" w:tplc="5026518C">
      <w:numFmt w:val="bullet"/>
      <w:lvlText w:val="•"/>
      <w:lvlJc w:val="left"/>
      <w:pPr>
        <w:ind w:left="5700" w:hanging="143"/>
      </w:pPr>
      <w:rPr>
        <w:rFonts w:hint="default"/>
        <w:lang w:val="es-ES" w:eastAsia="en-US" w:bidi="ar-SA"/>
      </w:rPr>
    </w:lvl>
    <w:lvl w:ilvl="7" w:tplc="E644749C">
      <w:numFmt w:val="bullet"/>
      <w:lvlText w:val="•"/>
      <w:lvlJc w:val="left"/>
      <w:pPr>
        <w:ind w:left="6590" w:hanging="143"/>
      </w:pPr>
      <w:rPr>
        <w:rFonts w:hint="default"/>
        <w:lang w:val="es-ES" w:eastAsia="en-US" w:bidi="ar-SA"/>
      </w:rPr>
    </w:lvl>
    <w:lvl w:ilvl="8" w:tplc="097E9916">
      <w:numFmt w:val="bullet"/>
      <w:lvlText w:val="•"/>
      <w:lvlJc w:val="left"/>
      <w:pPr>
        <w:ind w:left="7480" w:hanging="143"/>
      </w:pPr>
      <w:rPr>
        <w:rFonts w:hint="default"/>
        <w:lang w:val="es-ES" w:eastAsia="en-US" w:bidi="ar-SA"/>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2"/>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8"/>
  </w:num>
  <w:num w:numId="8" w16cid:durableId="152644682">
    <w:abstractNumId w:val="15"/>
  </w:num>
  <w:num w:numId="9" w16cid:durableId="1317221377">
    <w:abstractNumId w:val="10"/>
  </w:num>
  <w:num w:numId="10" w16cid:durableId="1471245386">
    <w:abstractNumId w:val="14"/>
  </w:num>
  <w:num w:numId="11" w16cid:durableId="289172385">
    <w:abstractNumId w:val="11"/>
  </w:num>
  <w:num w:numId="12" w16cid:durableId="1470781324">
    <w:abstractNumId w:val="1"/>
  </w:num>
  <w:num w:numId="13" w16cid:durableId="1512908409">
    <w:abstractNumId w:val="4"/>
  </w:num>
  <w:num w:numId="14" w16cid:durableId="895897244">
    <w:abstractNumId w:val="17"/>
  </w:num>
  <w:num w:numId="15" w16cid:durableId="390349800">
    <w:abstractNumId w:val="12"/>
  </w:num>
  <w:num w:numId="16" w16cid:durableId="62115200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4311308">
    <w:abstractNumId w:val="0"/>
  </w:num>
  <w:num w:numId="18" w16cid:durableId="951009042">
    <w:abstractNumId w:val="18"/>
  </w:num>
  <w:num w:numId="19" w16cid:durableId="1375736088">
    <w:abstractNumId w:val="13"/>
  </w:num>
  <w:num w:numId="20" w16cid:durableId="841554727">
    <w:abstractNumId w:val="3"/>
  </w:num>
  <w:num w:numId="21" w16cid:durableId="1492209491">
    <w:abstractNumId w:val="7"/>
  </w:num>
  <w:num w:numId="22" w16cid:durableId="552159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63B0"/>
    <w:rsid w:val="00046945"/>
    <w:rsid w:val="000551CE"/>
    <w:rsid w:val="00061B2A"/>
    <w:rsid w:val="00082362"/>
    <w:rsid w:val="0009132D"/>
    <w:rsid w:val="000A683E"/>
    <w:rsid w:val="000B19B9"/>
    <w:rsid w:val="000D01C5"/>
    <w:rsid w:val="000D0334"/>
    <w:rsid w:val="000D0A06"/>
    <w:rsid w:val="000F6486"/>
    <w:rsid w:val="0012447B"/>
    <w:rsid w:val="00125105"/>
    <w:rsid w:val="00127233"/>
    <w:rsid w:val="001511A0"/>
    <w:rsid w:val="00152001"/>
    <w:rsid w:val="00155EB5"/>
    <w:rsid w:val="00162647"/>
    <w:rsid w:val="00167216"/>
    <w:rsid w:val="001A5566"/>
    <w:rsid w:val="001C786C"/>
    <w:rsid w:val="001E4177"/>
    <w:rsid w:val="001F7DC6"/>
    <w:rsid w:val="0023045D"/>
    <w:rsid w:val="002421BB"/>
    <w:rsid w:val="0025796E"/>
    <w:rsid w:val="002707A2"/>
    <w:rsid w:val="002951A0"/>
    <w:rsid w:val="002962BC"/>
    <w:rsid w:val="002A093D"/>
    <w:rsid w:val="002A0DD0"/>
    <w:rsid w:val="002A49AC"/>
    <w:rsid w:val="002A64FD"/>
    <w:rsid w:val="002B6E60"/>
    <w:rsid w:val="002C7A84"/>
    <w:rsid w:val="002E4DE6"/>
    <w:rsid w:val="002E4FD9"/>
    <w:rsid w:val="00303A0F"/>
    <w:rsid w:val="00322A85"/>
    <w:rsid w:val="00324168"/>
    <w:rsid w:val="0034273B"/>
    <w:rsid w:val="003448F4"/>
    <w:rsid w:val="00374F5E"/>
    <w:rsid w:val="00377E3E"/>
    <w:rsid w:val="003A779E"/>
    <w:rsid w:val="003B6D92"/>
    <w:rsid w:val="003D00C4"/>
    <w:rsid w:val="003D0F4D"/>
    <w:rsid w:val="003D5B0D"/>
    <w:rsid w:val="003E0499"/>
    <w:rsid w:val="003F3941"/>
    <w:rsid w:val="00400AC8"/>
    <w:rsid w:val="00406575"/>
    <w:rsid w:val="00414C74"/>
    <w:rsid w:val="004153E5"/>
    <w:rsid w:val="00423904"/>
    <w:rsid w:val="0042722E"/>
    <w:rsid w:val="0044528D"/>
    <w:rsid w:val="004833E7"/>
    <w:rsid w:val="004A1847"/>
    <w:rsid w:val="004A305D"/>
    <w:rsid w:val="004B3F0C"/>
    <w:rsid w:val="004C399B"/>
    <w:rsid w:val="004D4BCE"/>
    <w:rsid w:val="004F21C4"/>
    <w:rsid w:val="004F685F"/>
    <w:rsid w:val="0054731A"/>
    <w:rsid w:val="005566E8"/>
    <w:rsid w:val="00572B4E"/>
    <w:rsid w:val="005740F9"/>
    <w:rsid w:val="00574867"/>
    <w:rsid w:val="0058660B"/>
    <w:rsid w:val="00591460"/>
    <w:rsid w:val="00596D49"/>
    <w:rsid w:val="005A2955"/>
    <w:rsid w:val="005B135D"/>
    <w:rsid w:val="005B3816"/>
    <w:rsid w:val="005B6497"/>
    <w:rsid w:val="005C3777"/>
    <w:rsid w:val="005C5CDC"/>
    <w:rsid w:val="005D476C"/>
    <w:rsid w:val="00613CD9"/>
    <w:rsid w:val="0061559F"/>
    <w:rsid w:val="006219F8"/>
    <w:rsid w:val="00660F36"/>
    <w:rsid w:val="00664DA1"/>
    <w:rsid w:val="00665D70"/>
    <w:rsid w:val="006900D9"/>
    <w:rsid w:val="00706C16"/>
    <w:rsid w:val="007075B2"/>
    <w:rsid w:val="00756841"/>
    <w:rsid w:val="007649AB"/>
    <w:rsid w:val="00771D0C"/>
    <w:rsid w:val="007833AC"/>
    <w:rsid w:val="0078389D"/>
    <w:rsid w:val="0078774B"/>
    <w:rsid w:val="007A4E94"/>
    <w:rsid w:val="007A5CC9"/>
    <w:rsid w:val="007B268C"/>
    <w:rsid w:val="007B7171"/>
    <w:rsid w:val="007C0C0F"/>
    <w:rsid w:val="007C2465"/>
    <w:rsid w:val="007C3DC2"/>
    <w:rsid w:val="007C71E2"/>
    <w:rsid w:val="007E1155"/>
    <w:rsid w:val="007E5497"/>
    <w:rsid w:val="00806F5F"/>
    <w:rsid w:val="008109FA"/>
    <w:rsid w:val="008145FD"/>
    <w:rsid w:val="00820278"/>
    <w:rsid w:val="008259B9"/>
    <w:rsid w:val="00845773"/>
    <w:rsid w:val="00853D3B"/>
    <w:rsid w:val="00867F95"/>
    <w:rsid w:val="008843B6"/>
    <w:rsid w:val="00891928"/>
    <w:rsid w:val="008A446D"/>
    <w:rsid w:val="008D180B"/>
    <w:rsid w:val="008D3EAB"/>
    <w:rsid w:val="008F0EA7"/>
    <w:rsid w:val="00923EEF"/>
    <w:rsid w:val="009335C3"/>
    <w:rsid w:val="009419F9"/>
    <w:rsid w:val="0095685E"/>
    <w:rsid w:val="00961B09"/>
    <w:rsid w:val="00965334"/>
    <w:rsid w:val="0097093E"/>
    <w:rsid w:val="00972094"/>
    <w:rsid w:val="00985CB2"/>
    <w:rsid w:val="00986AC5"/>
    <w:rsid w:val="009A09A3"/>
    <w:rsid w:val="009A0DFA"/>
    <w:rsid w:val="009A15E7"/>
    <w:rsid w:val="009B2D26"/>
    <w:rsid w:val="009B7802"/>
    <w:rsid w:val="009C71FA"/>
    <w:rsid w:val="009C72E7"/>
    <w:rsid w:val="009D3058"/>
    <w:rsid w:val="009D3DD7"/>
    <w:rsid w:val="009F00CB"/>
    <w:rsid w:val="009F3A13"/>
    <w:rsid w:val="00A010B8"/>
    <w:rsid w:val="00A122D3"/>
    <w:rsid w:val="00A13B5C"/>
    <w:rsid w:val="00A17F13"/>
    <w:rsid w:val="00A20739"/>
    <w:rsid w:val="00A20A51"/>
    <w:rsid w:val="00A32DDE"/>
    <w:rsid w:val="00A33C78"/>
    <w:rsid w:val="00A6488E"/>
    <w:rsid w:val="00A74F07"/>
    <w:rsid w:val="00A87AD8"/>
    <w:rsid w:val="00AA6B2D"/>
    <w:rsid w:val="00AB0ADB"/>
    <w:rsid w:val="00AB55FC"/>
    <w:rsid w:val="00AF2D58"/>
    <w:rsid w:val="00B01B1A"/>
    <w:rsid w:val="00B35C1A"/>
    <w:rsid w:val="00B37A1F"/>
    <w:rsid w:val="00B66319"/>
    <w:rsid w:val="00B71A6E"/>
    <w:rsid w:val="00B72CD3"/>
    <w:rsid w:val="00B72FFF"/>
    <w:rsid w:val="00B85FB6"/>
    <w:rsid w:val="00BA37CA"/>
    <w:rsid w:val="00BC3D36"/>
    <w:rsid w:val="00BC6153"/>
    <w:rsid w:val="00BD7F72"/>
    <w:rsid w:val="00BE5F5C"/>
    <w:rsid w:val="00BF224C"/>
    <w:rsid w:val="00C04FB3"/>
    <w:rsid w:val="00C061B6"/>
    <w:rsid w:val="00C07731"/>
    <w:rsid w:val="00C330EB"/>
    <w:rsid w:val="00C376E6"/>
    <w:rsid w:val="00C41061"/>
    <w:rsid w:val="00C452A9"/>
    <w:rsid w:val="00C65475"/>
    <w:rsid w:val="00C741A0"/>
    <w:rsid w:val="00C754BE"/>
    <w:rsid w:val="00C76B1C"/>
    <w:rsid w:val="00CB6357"/>
    <w:rsid w:val="00CC1B26"/>
    <w:rsid w:val="00CC7601"/>
    <w:rsid w:val="00D423A2"/>
    <w:rsid w:val="00D520D8"/>
    <w:rsid w:val="00D565F2"/>
    <w:rsid w:val="00D63AC2"/>
    <w:rsid w:val="00D64119"/>
    <w:rsid w:val="00D7383B"/>
    <w:rsid w:val="00DA231B"/>
    <w:rsid w:val="00DC39FC"/>
    <w:rsid w:val="00DF025C"/>
    <w:rsid w:val="00DF5254"/>
    <w:rsid w:val="00E04005"/>
    <w:rsid w:val="00E16408"/>
    <w:rsid w:val="00E20894"/>
    <w:rsid w:val="00E245AB"/>
    <w:rsid w:val="00E2764C"/>
    <w:rsid w:val="00E27F2E"/>
    <w:rsid w:val="00E35C9E"/>
    <w:rsid w:val="00E37828"/>
    <w:rsid w:val="00E479A7"/>
    <w:rsid w:val="00E50AFE"/>
    <w:rsid w:val="00E65F95"/>
    <w:rsid w:val="00E75C92"/>
    <w:rsid w:val="00E771DC"/>
    <w:rsid w:val="00E8772A"/>
    <w:rsid w:val="00E90F6B"/>
    <w:rsid w:val="00E92C27"/>
    <w:rsid w:val="00EA0E3D"/>
    <w:rsid w:val="00EA317B"/>
    <w:rsid w:val="00EC38A7"/>
    <w:rsid w:val="00ED0BBC"/>
    <w:rsid w:val="00ED7384"/>
    <w:rsid w:val="00EE1AA8"/>
    <w:rsid w:val="00EF6CBA"/>
    <w:rsid w:val="00F101A1"/>
    <w:rsid w:val="00F16B98"/>
    <w:rsid w:val="00F31EDC"/>
    <w:rsid w:val="00F462B3"/>
    <w:rsid w:val="00F5664F"/>
    <w:rsid w:val="00F666C4"/>
    <w:rsid w:val="00F76AFC"/>
    <w:rsid w:val="00F93ECF"/>
    <w:rsid w:val="00FA3C55"/>
    <w:rsid w:val="00FA47C0"/>
    <w:rsid w:val="00FB5DD1"/>
    <w:rsid w:val="00FC2B5D"/>
    <w:rsid w:val="00FE04DF"/>
    <w:rsid w:val="00FE28D1"/>
    <w:rsid w:val="00FE2FC9"/>
    <w:rsid w:val="00FF1449"/>
    <w:rsid w:val="1BAFC34F"/>
    <w:rsid w:val="32AE47B7"/>
    <w:rsid w:val="71B92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AC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32DD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32DDE"/>
    <w:rPr>
      <w:rFonts w:ascii="Geomanist Light" w:hAnsi="Geomanist Light"/>
      <w:lang w:val="es-ES"/>
    </w:rPr>
  </w:style>
  <w:style w:type="paragraph" w:styleId="Textoindependiente">
    <w:name w:val="Body Text"/>
    <w:basedOn w:val="Normal"/>
    <w:link w:val="TextoindependienteCar"/>
    <w:uiPriority w:val="1"/>
    <w:qFormat/>
    <w:rsid w:val="00A32DDE"/>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32DDE"/>
    <w:rPr>
      <w:rFonts w:ascii="Arial" w:eastAsia="Arial" w:hAnsi="Arial" w:cs="Arial"/>
      <w:lang w:val="es-ES"/>
    </w:rPr>
  </w:style>
  <w:style w:type="character" w:customStyle="1" w:styleId="NormalWebCar">
    <w:name w:val="Normal (Web) Car"/>
    <w:link w:val="NormalWeb"/>
    <w:uiPriority w:val="99"/>
    <w:rsid w:val="00A32DDE"/>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32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0695">
      <w:bodyDiv w:val="1"/>
      <w:marLeft w:val="0"/>
      <w:marRight w:val="0"/>
      <w:marTop w:val="0"/>
      <w:marBottom w:val="0"/>
      <w:divBdr>
        <w:top w:val="none" w:sz="0" w:space="0" w:color="auto"/>
        <w:left w:val="none" w:sz="0" w:space="0" w:color="auto"/>
        <w:bottom w:val="none" w:sz="0" w:space="0" w:color="auto"/>
        <w:right w:val="none" w:sz="0" w:space="0" w:color="auto"/>
      </w:divBdr>
    </w:div>
    <w:div w:id="592133490">
      <w:bodyDiv w:val="1"/>
      <w:marLeft w:val="0"/>
      <w:marRight w:val="0"/>
      <w:marTop w:val="0"/>
      <w:marBottom w:val="0"/>
      <w:divBdr>
        <w:top w:val="none" w:sz="0" w:space="0" w:color="auto"/>
        <w:left w:val="none" w:sz="0" w:space="0" w:color="auto"/>
        <w:bottom w:val="none" w:sz="0" w:space="0" w:color="auto"/>
        <w:right w:val="none" w:sz="0" w:space="0" w:color="auto"/>
      </w:divBdr>
      <w:divsChild>
        <w:div w:id="1285188119">
          <w:marLeft w:val="0"/>
          <w:marRight w:val="0"/>
          <w:marTop w:val="90"/>
          <w:marBottom w:val="0"/>
          <w:divBdr>
            <w:top w:val="none" w:sz="0" w:space="0" w:color="auto"/>
            <w:left w:val="none" w:sz="0" w:space="0" w:color="auto"/>
            <w:bottom w:val="none" w:sz="0" w:space="0" w:color="auto"/>
            <w:right w:val="none" w:sz="0" w:space="0" w:color="auto"/>
          </w:divBdr>
          <w:divsChild>
            <w:div w:id="1389451369">
              <w:marLeft w:val="0"/>
              <w:marRight w:val="0"/>
              <w:marTop w:val="0"/>
              <w:marBottom w:val="0"/>
              <w:divBdr>
                <w:top w:val="none" w:sz="0" w:space="0" w:color="auto"/>
                <w:left w:val="none" w:sz="0" w:space="0" w:color="auto"/>
                <w:bottom w:val="none" w:sz="0" w:space="0" w:color="auto"/>
                <w:right w:val="none" w:sz="0" w:space="0" w:color="auto"/>
              </w:divBdr>
              <w:divsChild>
                <w:div w:id="1059523466">
                  <w:marLeft w:val="0"/>
                  <w:marRight w:val="0"/>
                  <w:marTop w:val="0"/>
                  <w:marBottom w:val="0"/>
                  <w:divBdr>
                    <w:top w:val="none" w:sz="0" w:space="0" w:color="auto"/>
                    <w:left w:val="none" w:sz="0" w:space="0" w:color="auto"/>
                    <w:bottom w:val="none" w:sz="0" w:space="0" w:color="auto"/>
                    <w:right w:val="none" w:sz="0" w:space="0" w:color="auto"/>
                  </w:divBdr>
                  <w:divsChild>
                    <w:div w:id="315257385">
                      <w:marLeft w:val="2040"/>
                      <w:marRight w:val="0"/>
                      <w:marTop w:val="0"/>
                      <w:marBottom w:val="0"/>
                      <w:divBdr>
                        <w:top w:val="none" w:sz="0" w:space="0" w:color="auto"/>
                        <w:left w:val="none" w:sz="0" w:space="0" w:color="auto"/>
                        <w:bottom w:val="none" w:sz="0" w:space="0" w:color="auto"/>
                        <w:right w:val="none" w:sz="0" w:space="0" w:color="auto"/>
                      </w:divBdr>
                      <w:divsChild>
                        <w:div w:id="249971036">
                          <w:marLeft w:val="0"/>
                          <w:marRight w:val="0"/>
                          <w:marTop w:val="0"/>
                          <w:marBottom w:val="0"/>
                          <w:divBdr>
                            <w:top w:val="none" w:sz="0" w:space="0" w:color="auto"/>
                            <w:left w:val="none" w:sz="0" w:space="0" w:color="auto"/>
                            <w:bottom w:val="none" w:sz="0" w:space="0" w:color="auto"/>
                            <w:right w:val="none" w:sz="0" w:space="0" w:color="auto"/>
                          </w:divBdr>
                          <w:divsChild>
                            <w:div w:id="1064639971">
                              <w:marLeft w:val="0"/>
                              <w:marRight w:val="0"/>
                              <w:marTop w:val="0"/>
                              <w:marBottom w:val="0"/>
                              <w:divBdr>
                                <w:top w:val="none" w:sz="0" w:space="0" w:color="auto"/>
                                <w:left w:val="none" w:sz="0" w:space="0" w:color="auto"/>
                                <w:bottom w:val="none" w:sz="0" w:space="0" w:color="auto"/>
                                <w:right w:val="none" w:sz="0" w:space="0" w:color="auto"/>
                              </w:divBdr>
                              <w:divsChild>
                                <w:div w:id="5343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49759">
                  <w:marLeft w:val="0"/>
                  <w:marRight w:val="0"/>
                  <w:marTop w:val="0"/>
                  <w:marBottom w:val="0"/>
                  <w:divBdr>
                    <w:top w:val="none" w:sz="0" w:space="0" w:color="auto"/>
                    <w:left w:val="none" w:sz="0" w:space="0" w:color="auto"/>
                    <w:bottom w:val="none" w:sz="0" w:space="0" w:color="auto"/>
                    <w:right w:val="none" w:sz="0" w:space="0" w:color="auto"/>
                  </w:divBdr>
                  <w:divsChild>
                    <w:div w:id="1965232128">
                      <w:marLeft w:val="0"/>
                      <w:marRight w:val="0"/>
                      <w:marTop w:val="0"/>
                      <w:marBottom w:val="0"/>
                      <w:divBdr>
                        <w:top w:val="none" w:sz="0" w:space="0" w:color="auto"/>
                        <w:left w:val="none" w:sz="0" w:space="0" w:color="auto"/>
                        <w:bottom w:val="none" w:sz="0" w:space="0" w:color="auto"/>
                        <w:right w:val="none" w:sz="0" w:space="0" w:color="auto"/>
                      </w:divBdr>
                      <w:divsChild>
                        <w:div w:id="14882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996494144">
      <w:bodyDiv w:val="1"/>
      <w:marLeft w:val="0"/>
      <w:marRight w:val="0"/>
      <w:marTop w:val="0"/>
      <w:marBottom w:val="0"/>
      <w:divBdr>
        <w:top w:val="none" w:sz="0" w:space="0" w:color="auto"/>
        <w:left w:val="none" w:sz="0" w:space="0" w:color="auto"/>
        <w:bottom w:val="none" w:sz="0" w:space="0" w:color="auto"/>
        <w:right w:val="none" w:sz="0" w:space="0" w:color="auto"/>
      </w:divBdr>
      <w:divsChild>
        <w:div w:id="1304895637">
          <w:marLeft w:val="0"/>
          <w:marRight w:val="0"/>
          <w:marTop w:val="90"/>
          <w:marBottom w:val="0"/>
          <w:divBdr>
            <w:top w:val="none" w:sz="0" w:space="0" w:color="auto"/>
            <w:left w:val="none" w:sz="0" w:space="0" w:color="auto"/>
            <w:bottom w:val="none" w:sz="0" w:space="0" w:color="auto"/>
            <w:right w:val="none" w:sz="0" w:space="0" w:color="auto"/>
          </w:divBdr>
          <w:divsChild>
            <w:div w:id="1420322622">
              <w:marLeft w:val="0"/>
              <w:marRight w:val="0"/>
              <w:marTop w:val="0"/>
              <w:marBottom w:val="0"/>
              <w:divBdr>
                <w:top w:val="none" w:sz="0" w:space="0" w:color="auto"/>
                <w:left w:val="none" w:sz="0" w:space="0" w:color="auto"/>
                <w:bottom w:val="none" w:sz="0" w:space="0" w:color="auto"/>
                <w:right w:val="none" w:sz="0" w:space="0" w:color="auto"/>
              </w:divBdr>
              <w:divsChild>
                <w:div w:id="219562048">
                  <w:marLeft w:val="0"/>
                  <w:marRight w:val="0"/>
                  <w:marTop w:val="0"/>
                  <w:marBottom w:val="0"/>
                  <w:divBdr>
                    <w:top w:val="none" w:sz="0" w:space="0" w:color="auto"/>
                    <w:left w:val="none" w:sz="0" w:space="0" w:color="auto"/>
                    <w:bottom w:val="none" w:sz="0" w:space="0" w:color="auto"/>
                    <w:right w:val="none" w:sz="0" w:space="0" w:color="auto"/>
                  </w:divBdr>
                  <w:divsChild>
                    <w:div w:id="823620153">
                      <w:marLeft w:val="2040"/>
                      <w:marRight w:val="0"/>
                      <w:marTop w:val="0"/>
                      <w:marBottom w:val="0"/>
                      <w:divBdr>
                        <w:top w:val="none" w:sz="0" w:space="0" w:color="auto"/>
                        <w:left w:val="none" w:sz="0" w:space="0" w:color="auto"/>
                        <w:bottom w:val="none" w:sz="0" w:space="0" w:color="auto"/>
                        <w:right w:val="none" w:sz="0" w:space="0" w:color="auto"/>
                      </w:divBdr>
                      <w:divsChild>
                        <w:div w:id="1732456459">
                          <w:marLeft w:val="0"/>
                          <w:marRight w:val="0"/>
                          <w:marTop w:val="0"/>
                          <w:marBottom w:val="0"/>
                          <w:divBdr>
                            <w:top w:val="none" w:sz="0" w:space="0" w:color="auto"/>
                            <w:left w:val="none" w:sz="0" w:space="0" w:color="auto"/>
                            <w:bottom w:val="none" w:sz="0" w:space="0" w:color="auto"/>
                            <w:right w:val="none" w:sz="0" w:space="0" w:color="auto"/>
                          </w:divBdr>
                          <w:divsChild>
                            <w:div w:id="544029009">
                              <w:marLeft w:val="0"/>
                              <w:marRight w:val="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7468">
                  <w:marLeft w:val="0"/>
                  <w:marRight w:val="0"/>
                  <w:marTop w:val="0"/>
                  <w:marBottom w:val="0"/>
                  <w:divBdr>
                    <w:top w:val="none" w:sz="0" w:space="0" w:color="auto"/>
                    <w:left w:val="none" w:sz="0" w:space="0" w:color="auto"/>
                    <w:bottom w:val="none" w:sz="0" w:space="0" w:color="auto"/>
                    <w:right w:val="none" w:sz="0" w:space="0" w:color="auto"/>
                  </w:divBdr>
                  <w:divsChild>
                    <w:div w:id="893125292">
                      <w:marLeft w:val="0"/>
                      <w:marRight w:val="0"/>
                      <w:marTop w:val="0"/>
                      <w:marBottom w:val="0"/>
                      <w:divBdr>
                        <w:top w:val="none" w:sz="0" w:space="0" w:color="auto"/>
                        <w:left w:val="none" w:sz="0" w:space="0" w:color="auto"/>
                        <w:bottom w:val="none" w:sz="0" w:space="0" w:color="auto"/>
                        <w:right w:val="none" w:sz="0" w:space="0" w:color="auto"/>
                      </w:divBdr>
                      <w:divsChild>
                        <w:div w:id="6108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307173">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047170357">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nam02.safelinks.protection.outlook.com/?url=https%3A%2F%2Fwww.colombiacompra.gov.co%2Fmanuales-guias-y-pliegos-tipo%2Fmanuales-y-guias%2Fguia-para-el-manejo-de-ofertas-artificialmente-baja-0&amp;data=05%7C02%7Cgustavo.hinestroza%40colombiacompra.gov.co%7C925ae1c2336243aecb2908dd21173dd2%7C7b09041e245149d08cb179d5e3d8c1be%7C0%7C0%7C638703105895649917%7CUnknown%7CTWFpbGZsb3d8eyJFbXB0eU1hcGkiOnRydWUsIlYiOiIwLjAuMDAwMCIsIlAiOiJXaW4zMiIsIkFOIjoiTWFpbCIsIldUIjoyfQ%3D%3D%7C0%7C%7C%7C&amp;sdata=aCHNKZmatPg0DNzB9%2BYJBqyXdE0IGsfNrb2GvYoS1%2Bc%3D&amp;reserved=0"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fundearco@gmail.com" TargetMode="External"/><Relationship Id="rId17" Type="http://schemas.openxmlformats.org/officeDocument/2006/relationships/hyperlink" Target="https://relatoria.colombiacompra.gov.co/busqueda/concept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lombiacompra.gov.co/sites/cce_public/files/cce_circulares/cce-eicp-ma-06_circular_externa_con_comentarios_de_ciudadanos-_v2f_002.pdf" TargetMode="External"/><Relationship Id="rId20" Type="http://schemas.openxmlformats.org/officeDocument/2006/relationships/hyperlink" Target="https://nam02.safelinks.protection.outlook.com/?url=https%3A%2F%2Fwww.colombiacompra.gov.co%2Fsites%2Fcce_public%2Ffiles%2Ffiles_2020%2Fboletin_de_realtoria_viii.pdf&amp;data=05%7C02%7Cgustavo.hinestroza%40colombiacompra.gov.co%7C925ae1c2336243aecb2908dd21173dd2%7C7b09041e245149d08cb179d5e3d8c1be%7C0%7C0%7C638703105895683050%7CUnknown%7CTWFpbGZsb3d8eyJFbXB0eU1hcGkiOnRydWUsIlYiOiIwLjAuMDAwMCIsIlAiOiJXaW4zMiIsIkFOIjoiTWFpbCIsIldUIjoyfQ%3D%3D%7C0%7C%7C%7C&amp;sdata=AkSysLBUbyJVOHukYsdYUloHfIjPUYVdTaowUI%2Fvx5U%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lombiacompra.gov.co/sites/cce_public/files/cce_documents/cce-eicp-ma-04._manual_requisitos_habilitantes_v3_29-09-2023.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manuales-guias-y-pliegos-tipo%2Fmanuales-y-guias%2Fguia-para-incentivar-la-participacion-de-las-mujeres&amp;data=05%7C02%7Cgustavo.hinestroza%40colombiacompra.gov.co%7C925ae1c2336243aecb2908dd21173dd2%7C7b09041e245149d08cb179d5e3d8c1be%7C0%7C0%7C638703105895668010%7CUnknown%7CTWFpbGZsb3d8eyJFbXB0eU1hcGkiOnRydWUsIlYiOiIwLjAuMDAwMCIsIlAiOiJXaW4zMiIsIkFOIjoiTWFpbCIsIldUIjoyfQ%3D%3D%7C0%7C%7C%7C&amp;sdata=0f4d78v6VJ1IXxqLThcq%2FlxR2wq3eTWVsv2KbIcQng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decreto-1082-de-2015/"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circulares/cce-eicp-ma-06_circular_externa_con_comentarios_de_ciudadanos-_v2f_002.pdf" TargetMode="External"/><Relationship Id="rId2" Type="http://schemas.openxmlformats.org/officeDocument/2006/relationships/hyperlink" Target="https://www.colombiacompra.gov.co/sites/cce_public/files/cce_documents/cce-eicp-ma-04._manual_requisitos_habilitantes_v3_29-09-2023.pdf" TargetMode="External"/><Relationship Id="rId1" Type="http://schemas.openxmlformats.org/officeDocument/2006/relationships/hyperlink" Target="https://colombiacompra.gov.co/sites/cce_public/files/cce_clasificador/manualclasificado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C7104F1D-2C9D-47B9-9924-1ACFCAAC9F42}"/>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996F2F88-3E85-4158-AB4A-8A7D7BF0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3659</Words>
  <Characters>20130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23742</CharactersWithSpaces>
  <SharedDoc>false</SharedDoc>
  <HLinks>
    <vt:vector size="54" baseType="variant">
      <vt:variant>
        <vt:i4>2162742</vt:i4>
      </vt:variant>
      <vt:variant>
        <vt:i4>18</vt:i4>
      </vt:variant>
      <vt:variant>
        <vt:i4>0</vt:i4>
      </vt:variant>
      <vt:variant>
        <vt:i4>5</vt:i4>
      </vt:variant>
      <vt:variant>
        <vt:lpwstr>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vt:lpwstr>
      </vt:variant>
      <vt:variant>
        <vt:lpwstr/>
      </vt:variant>
      <vt:variant>
        <vt:i4>7471218</vt:i4>
      </vt:variant>
      <vt:variant>
        <vt:i4>15</vt:i4>
      </vt:variant>
      <vt:variant>
        <vt:i4>0</vt:i4>
      </vt:variant>
      <vt:variant>
        <vt:i4>5</vt:i4>
      </vt:variant>
      <vt:variant>
        <vt:lpwstr>https://relatoria.colombiacompra.gov.co/busqueda/conceptos</vt:lpwstr>
      </vt:variant>
      <vt:variant>
        <vt:lpwstr/>
      </vt:variant>
      <vt:variant>
        <vt:i4>3276916</vt:i4>
      </vt:variant>
      <vt:variant>
        <vt:i4>12</vt:i4>
      </vt:variant>
      <vt:variant>
        <vt:i4>0</vt:i4>
      </vt:variant>
      <vt:variant>
        <vt:i4>5</vt:i4>
      </vt:variant>
      <vt:variant>
        <vt:lpwstr>https://relatoria.colombiacompra.gov.co/normativa/decreto-1082-de-2015/</vt:lpwstr>
      </vt:variant>
      <vt:variant>
        <vt:lpwstr/>
      </vt:variant>
      <vt:variant>
        <vt:i4>3211372</vt:i4>
      </vt:variant>
      <vt:variant>
        <vt:i4>9</vt:i4>
      </vt:variant>
      <vt:variant>
        <vt:i4>0</vt:i4>
      </vt:variant>
      <vt:variant>
        <vt:i4>5</vt:i4>
      </vt:variant>
      <vt:variant>
        <vt:lpwstr>https://relatoria.colombiacompra.gov.co/normativa/ley-1882-de-2018/</vt:lpwstr>
      </vt:variant>
      <vt:variant>
        <vt:lpwstr/>
      </vt:variant>
      <vt:variant>
        <vt:i4>3473504</vt:i4>
      </vt:variant>
      <vt:variant>
        <vt:i4>6</vt:i4>
      </vt:variant>
      <vt:variant>
        <vt:i4>0</vt:i4>
      </vt:variant>
      <vt:variant>
        <vt:i4>5</vt:i4>
      </vt:variant>
      <vt:variant>
        <vt:lpwstr>https://relatoria.colombiacompra.gov.co/normativa/ley-1150-de-2007/</vt:lpwstr>
      </vt:variant>
      <vt:variant>
        <vt:lpwstr/>
      </vt:variant>
      <vt:variant>
        <vt:i4>589910</vt:i4>
      </vt:variant>
      <vt:variant>
        <vt:i4>3</vt:i4>
      </vt:variant>
      <vt:variant>
        <vt:i4>0</vt:i4>
      </vt:variant>
      <vt:variant>
        <vt:i4>5</vt:i4>
      </vt:variant>
      <vt:variant>
        <vt:lpwstr>https://relatoria.colombiacompra.gov.co/normativa/ley-80-de-1993/</vt:lpwstr>
      </vt:variant>
      <vt:variant>
        <vt:lpwstr/>
      </vt:variant>
      <vt:variant>
        <vt:i4>7733340</vt:i4>
      </vt:variant>
      <vt:variant>
        <vt:i4>0</vt:i4>
      </vt:variant>
      <vt:variant>
        <vt:i4>0</vt:i4>
      </vt:variant>
      <vt:variant>
        <vt:i4>5</vt:i4>
      </vt:variant>
      <vt:variant>
        <vt:lpwstr>mailto:fundearco@gmail.com</vt:lpwstr>
      </vt:variant>
      <vt:variant>
        <vt:lpwstr/>
      </vt:variant>
      <vt:variant>
        <vt:i4>5439565</vt:i4>
      </vt:variant>
      <vt:variant>
        <vt:i4>3</vt:i4>
      </vt:variant>
      <vt:variant>
        <vt:i4>0</vt:i4>
      </vt:variant>
      <vt:variant>
        <vt:i4>5</vt:i4>
      </vt:variant>
      <vt:variant>
        <vt:lpwstr>https://www.colombiacompra.gov.co/sites/cce_public/files/cce_circulares/cce-eicp-ma-06_circular_externa_con_comentarios_de_ciudadanos-_v2f_002.pdf</vt:lpwstr>
      </vt:variant>
      <vt:variant>
        <vt:lpwstr/>
      </vt:variant>
      <vt:variant>
        <vt:i4>1507428</vt:i4>
      </vt:variant>
      <vt:variant>
        <vt:i4>0</vt:i4>
      </vt:variant>
      <vt:variant>
        <vt:i4>0</vt:i4>
      </vt:variant>
      <vt:variant>
        <vt:i4>5</vt:i4>
      </vt:variant>
      <vt:variant>
        <vt:lpwstr>https://www.colombiacompra.gov.co/sites/cce_public/files/cce_documents/cce-eicp-ma-04._manual_requisitos_habilitantes_v3_29-09-2023.pdf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2024-12-30T20:03:00Z</dcterms:created>
  <dcterms:modified xsi:type="dcterms:W3CDTF">2024-12-30T20:40:00Z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