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31B729B" w14:textId="77777777" w:rsidR="005D7580" w:rsidRDefault="005D7580" w:rsidP="001E1B19">
      <w:pPr>
        <w:spacing w:after="0"/>
        <w:rPr>
          <w:rFonts w:ascii="Verdana" w:hAnsi="Verdana"/>
        </w:rPr>
      </w:pPr>
      <w:bookmarkStart w:id="0" w:name="_Hlk181166130"/>
      <w:bookmarkStart w:id="1" w:name="_Hlk143780582"/>
      <w:bookmarkStart w:id="2" w:name="_Hlk184133772"/>
    </w:p>
    <w:p w14:paraId="0D05B83E" w14:textId="77777777" w:rsidR="005D7580" w:rsidRDefault="005D7580" w:rsidP="001E1B19">
      <w:pPr>
        <w:spacing w:after="0"/>
        <w:rPr>
          <w:rFonts w:ascii="Verdana" w:hAnsi="Verdana"/>
        </w:rPr>
      </w:pPr>
    </w:p>
    <w:p w14:paraId="701F0F27" w14:textId="77777777" w:rsidR="005D7580" w:rsidRDefault="005D7580" w:rsidP="001E1B19">
      <w:pPr>
        <w:spacing w:after="0"/>
        <w:rPr>
          <w:rFonts w:ascii="Verdana" w:hAnsi="Verdana"/>
        </w:rPr>
      </w:pPr>
    </w:p>
    <w:p w14:paraId="61EFAA7C" w14:textId="77777777" w:rsidR="005D7580" w:rsidRPr="006B2592" w:rsidRDefault="005D7580" w:rsidP="001E1B19">
      <w:pPr>
        <w:spacing w:after="0"/>
        <w:rPr>
          <w:rFonts w:ascii="Verdana" w:hAnsi="Verdana"/>
          <w:b/>
          <w:bCs/>
        </w:rPr>
      </w:pPr>
    </w:p>
    <w:p w14:paraId="69385B70" w14:textId="77777777" w:rsidR="006B2592" w:rsidRPr="006B2592" w:rsidRDefault="006B2592" w:rsidP="005D7580">
      <w:pPr>
        <w:spacing w:before="120"/>
        <w:ind w:right="49"/>
        <w:jc w:val="both"/>
        <w:rPr>
          <w:rFonts w:ascii="Verdana" w:hAnsi="Verdana"/>
          <w:b/>
          <w:bCs/>
          <w:sz w:val="20"/>
          <w:szCs w:val="20"/>
        </w:rPr>
      </w:pPr>
      <w:r w:rsidRPr="006B2592">
        <w:rPr>
          <w:rFonts w:ascii="Verdana" w:hAnsi="Verdana"/>
          <w:b/>
          <w:bCs/>
          <w:sz w:val="20"/>
          <w:szCs w:val="20"/>
        </w:rPr>
        <w:t>PRINCIPIO DE AUTONOMIA - Ley 80 de 1993</w:t>
      </w:r>
    </w:p>
    <w:p w14:paraId="674F94B5" w14:textId="77777777" w:rsidR="006B2592" w:rsidRDefault="006B2592" w:rsidP="005D7580">
      <w:pPr>
        <w:spacing w:before="120"/>
        <w:ind w:right="49"/>
        <w:jc w:val="both"/>
        <w:rPr>
          <w:rFonts w:ascii="Verdana" w:hAnsi="Verdana"/>
          <w:sz w:val="20"/>
          <w:szCs w:val="20"/>
        </w:rPr>
      </w:pPr>
      <w:r w:rsidRPr="006B2592">
        <w:rPr>
          <w:rFonts w:ascii="Verdana" w:hAnsi="Verdana"/>
          <w:sz w:val="20"/>
          <w:szCs w:val="20"/>
        </w:rPr>
        <w:t xml:space="preserve"> En virtud del principio de autonomía las entidades públicas en Colombia tienen la capacidad de tomar decisiones y actuar en el marco de sus competencias, sin necesidad de una intervención directa o control de otras entidades o poderes del Estado, siempre y cuando estas acciones estén alineadas con los principios constitucionales, las leyes y las normativas que rigen su funcionamiento. </w:t>
      </w:r>
    </w:p>
    <w:p w14:paraId="32D9B0D2" w14:textId="77777777" w:rsidR="006B2592" w:rsidRDefault="006B2592" w:rsidP="005D7580">
      <w:pPr>
        <w:spacing w:before="120"/>
        <w:ind w:right="49"/>
        <w:jc w:val="both"/>
        <w:rPr>
          <w:rFonts w:ascii="Verdana" w:hAnsi="Verdana"/>
          <w:sz w:val="20"/>
          <w:szCs w:val="20"/>
        </w:rPr>
      </w:pPr>
      <w:r w:rsidRPr="006B2592">
        <w:rPr>
          <w:rFonts w:ascii="Verdana" w:hAnsi="Verdana"/>
          <w:sz w:val="20"/>
          <w:szCs w:val="20"/>
        </w:rPr>
        <w:t xml:space="preserve">En efecto, se les concedió a las entidades públicas la capacidad jurídica para llevar a cabo su contratación, lo cual se traduce en que gozan de plena autonomía e independencia para gestionar la satisfacción de sus necesidades en ejecución de la actividad contractual. </w:t>
      </w:r>
    </w:p>
    <w:p w14:paraId="56412875" w14:textId="7308C77B" w:rsidR="005D7580" w:rsidRPr="006B2592" w:rsidRDefault="006B2592" w:rsidP="005D7580">
      <w:pPr>
        <w:spacing w:before="120"/>
        <w:ind w:right="49"/>
        <w:jc w:val="both"/>
        <w:rPr>
          <w:rFonts w:ascii="Verdana" w:eastAsia="Arial" w:hAnsi="Verdana" w:cs="Arial"/>
          <w:sz w:val="20"/>
          <w:szCs w:val="20"/>
          <w:lang w:eastAsia="es-ES" w:bidi="es-ES"/>
        </w:rPr>
      </w:pPr>
      <w:r w:rsidRPr="006B2592">
        <w:rPr>
          <w:rFonts w:ascii="Verdana" w:hAnsi="Verdana"/>
          <w:sz w:val="20"/>
          <w:szCs w:val="20"/>
        </w:rPr>
        <w:t>Esta autonomía incluye la posibilidad de expedir reglamentos, resoluciones, y otras disposiciones que desarrollen su objeto misional y regulen sus procedimientos internos. En virtud de esas disposiciones, se les concedió a las entidades públicas la capacidad jurídica para llevar a cabo su contratación, lo cual se traduce en que gozan de plena autonomía e independencia para gestionar la satisfacción de sus necesidades en ejecución de la actividad contractual.</w:t>
      </w:r>
    </w:p>
    <w:p w14:paraId="093C2788" w14:textId="77777777" w:rsidR="006B2592" w:rsidRPr="006B2592" w:rsidRDefault="006B2592" w:rsidP="006B2592">
      <w:pPr>
        <w:jc w:val="both"/>
        <w:rPr>
          <w:rFonts w:ascii="Verdana" w:hAnsi="Verdana"/>
          <w:b/>
          <w:bCs/>
        </w:rPr>
      </w:pPr>
      <w:r w:rsidRPr="006B2592">
        <w:rPr>
          <w:rFonts w:ascii="Verdana" w:hAnsi="Verdana"/>
          <w:b/>
          <w:bCs/>
        </w:rPr>
        <w:t>SEGURIDAD SOCIAL – Verificación – Pago – Persona natural – Persona jurídica</w:t>
      </w:r>
    </w:p>
    <w:p w14:paraId="2F67DEF6" w14:textId="3759C089" w:rsidR="005D7580" w:rsidRPr="006B2592" w:rsidRDefault="006B2592" w:rsidP="006B2592">
      <w:pPr>
        <w:jc w:val="both"/>
        <w:rPr>
          <w:rFonts w:ascii="Verdana" w:eastAsia="Calibri" w:hAnsi="Verdana" w:cs="Arial"/>
          <w:color w:val="000000" w:themeColor="text1"/>
        </w:rPr>
      </w:pPr>
      <w:r w:rsidRPr="006B2592">
        <w:rPr>
          <w:rFonts w:ascii="Verdana" w:hAnsi="Verdana"/>
        </w:rPr>
        <w:t xml:space="preserve"> […] el artículo 50 de la Ley 789 de 2002 previó una regla especial para las “personas jurídicas” que aspiran a celebrar contratos con las entidades estatales. Para presentar “la oferta” deben acreditar el pago de los aportes de sus empleados, mediante certificación expedida por el revisor fiscal, cuando este exista, de acuerdo con los requerimientos de ley, o por el representante legal, durante un lapso equivalente al que exija el respectivo régimen de contratación para el que se hubiera constituido la sociedad, el cual, en todo caso, no será inferior a los 6 meses anteriores a la celebración del contrato. Si bien este certificado no es un requisito para perfeccionar el contrato, sí lo es para presentar la oferta. Sin embargo, es importante destacar que esta exigencia originada en los incisos 3 y 4 del artículo 50 de la Ley 789 de 2002, únicamente se estableció frente a las personas jurídicas.</w:t>
      </w:r>
    </w:p>
    <w:p w14:paraId="447A6162" w14:textId="77777777" w:rsidR="006B2592" w:rsidRDefault="006B2592" w:rsidP="005D7580">
      <w:pPr>
        <w:spacing w:before="120"/>
        <w:ind w:right="49"/>
        <w:jc w:val="both"/>
        <w:rPr>
          <w:rFonts w:ascii="Verdana" w:hAnsi="Verdana"/>
        </w:rPr>
      </w:pPr>
      <w:r w:rsidRPr="006B2592">
        <w:rPr>
          <w:rFonts w:ascii="Verdana" w:hAnsi="Verdana"/>
        </w:rPr>
        <w:t>En este sentido, la verificación del cumplimiento de las obligaciones relacionadas con el Sistema de Seguridad Social Integral cambia dependiendo de si se trata de una persona natural o de una jurídica: i) si es una natural, la entidad estatal</w:t>
      </w:r>
      <w:r w:rsidRPr="006B2592">
        <w:rPr>
          <w:rFonts w:ascii="Verdana" w:hAnsi="Verdana"/>
        </w:rPr>
        <w:t xml:space="preserve"> </w:t>
      </w:r>
      <w:r w:rsidRPr="006B2592">
        <w:rPr>
          <w:rFonts w:ascii="Verdana" w:hAnsi="Verdana"/>
        </w:rPr>
        <w:t xml:space="preserve">verificará el pago al Sistema de Seguridad Social Integral cuando se realicen los </w:t>
      </w:r>
      <w:r w:rsidRPr="006B2592">
        <w:rPr>
          <w:rFonts w:ascii="Verdana" w:hAnsi="Verdana"/>
        </w:rPr>
        <w:lastRenderedPageBreak/>
        <w:t xml:space="preserve">pagos del contrato, es decir, durante su ejecución y </w:t>
      </w:r>
      <w:proofErr w:type="spellStart"/>
      <w:r w:rsidRPr="006B2592">
        <w:rPr>
          <w:rFonts w:ascii="Verdana" w:hAnsi="Verdana"/>
        </w:rPr>
        <w:t>ii</w:t>
      </w:r>
      <w:proofErr w:type="spellEnd"/>
      <w:r w:rsidRPr="006B2592">
        <w:rPr>
          <w:rFonts w:ascii="Verdana" w:hAnsi="Verdana"/>
        </w:rPr>
        <w:t xml:space="preserve">) si se refiere a una persona jurídica, la acreditación del cumplimiento de las obligaciones relacionadas con el Sistema de Seguridad Social Integral de sus empleados se debe aportar con la presentación de la oferta, y este constituye un criterio de admisión de la oferta. Lo anterior sin perjuicio de que durante la ejecución del contrato también se acredite el pago al Sistema de Seguridad Social Integral para pagar las cuentas o facturas si a ello hubiere lugar. </w:t>
      </w:r>
    </w:p>
    <w:p w14:paraId="25349CF3" w14:textId="0A6E4C86" w:rsidR="005D7580" w:rsidRPr="006B2592" w:rsidRDefault="006B2592" w:rsidP="005D7580">
      <w:pPr>
        <w:spacing w:before="120"/>
        <w:ind w:right="49"/>
        <w:jc w:val="both"/>
        <w:rPr>
          <w:rFonts w:ascii="Verdana" w:eastAsia="Arial" w:hAnsi="Verdana" w:cs="Arial"/>
          <w:lang w:val="es-ES" w:eastAsia="es-ES" w:bidi="es-ES"/>
        </w:rPr>
      </w:pPr>
      <w:r w:rsidRPr="006B2592">
        <w:rPr>
          <w:rFonts w:ascii="Verdana" w:hAnsi="Verdana"/>
        </w:rPr>
        <w:t>Así mismo, en virtud del artículo 50 de la Ley 789 de 2002, la entidad verificará, tanto para las personas naturales como para las jurídicas, la realización de los aportes al Sistema de Seguridad Social Integral, al momento de su liquidación, y dejarán constancia del cumplimiento de las obligaciones del contratista frente a los aportes mencionados durante toda su vigencia, estableciendo una correcta relación entre el monto cancelado y las sumas que debieron cotizar.</w:t>
      </w:r>
    </w:p>
    <w:p w14:paraId="389607A4" w14:textId="77777777" w:rsidR="005D7580" w:rsidRPr="005D7580" w:rsidRDefault="005D7580" w:rsidP="001E1B19">
      <w:pPr>
        <w:spacing w:after="0"/>
        <w:rPr>
          <w:rFonts w:ascii="Verdana" w:hAnsi="Verdana"/>
          <w:lang w:val="es-ES"/>
        </w:rPr>
      </w:pPr>
    </w:p>
    <w:p w14:paraId="6C7B9957" w14:textId="77777777" w:rsidR="005D7580" w:rsidRDefault="005D7580" w:rsidP="001E1B19">
      <w:pPr>
        <w:spacing w:after="0"/>
        <w:rPr>
          <w:rFonts w:ascii="Verdana" w:hAnsi="Verdana"/>
        </w:rPr>
      </w:pPr>
    </w:p>
    <w:p w14:paraId="607970AD" w14:textId="77777777" w:rsidR="005D7580" w:rsidRDefault="005D7580" w:rsidP="001E1B19">
      <w:pPr>
        <w:spacing w:after="0"/>
        <w:rPr>
          <w:rFonts w:ascii="Verdana" w:hAnsi="Verdana"/>
        </w:rPr>
      </w:pPr>
    </w:p>
    <w:p w14:paraId="3176266E" w14:textId="77777777" w:rsidR="005D7580" w:rsidRDefault="005D7580" w:rsidP="001E1B19">
      <w:pPr>
        <w:spacing w:after="0"/>
        <w:rPr>
          <w:rFonts w:ascii="Verdana" w:hAnsi="Verdana"/>
        </w:rPr>
      </w:pPr>
    </w:p>
    <w:p w14:paraId="35974B6F" w14:textId="77777777" w:rsidR="005D7580" w:rsidRDefault="005D7580" w:rsidP="001E1B19">
      <w:pPr>
        <w:spacing w:after="0"/>
        <w:rPr>
          <w:rFonts w:ascii="Verdana" w:hAnsi="Verdana"/>
        </w:rPr>
      </w:pPr>
    </w:p>
    <w:p w14:paraId="1103A44D" w14:textId="77777777" w:rsidR="005D7580" w:rsidRDefault="005D7580" w:rsidP="001E1B19">
      <w:pPr>
        <w:spacing w:after="0"/>
        <w:rPr>
          <w:rFonts w:ascii="Verdana" w:hAnsi="Verdana"/>
        </w:rPr>
      </w:pPr>
    </w:p>
    <w:p w14:paraId="77A72F61" w14:textId="77777777" w:rsidR="005D7580" w:rsidRDefault="005D7580" w:rsidP="001E1B19">
      <w:pPr>
        <w:spacing w:after="0"/>
        <w:rPr>
          <w:rFonts w:ascii="Verdana" w:hAnsi="Verdana"/>
        </w:rPr>
      </w:pPr>
    </w:p>
    <w:p w14:paraId="7CAA7E84" w14:textId="77777777" w:rsidR="005D7580" w:rsidRDefault="005D7580" w:rsidP="001E1B19">
      <w:pPr>
        <w:spacing w:after="0"/>
        <w:rPr>
          <w:rFonts w:ascii="Verdana" w:hAnsi="Verdana"/>
        </w:rPr>
      </w:pPr>
    </w:p>
    <w:p w14:paraId="13442C40" w14:textId="25F6C8FD" w:rsidR="005D7580" w:rsidRDefault="005D7580" w:rsidP="001E1B19">
      <w:pPr>
        <w:spacing w:after="0"/>
        <w:rPr>
          <w:rFonts w:ascii="Verdana" w:hAnsi="Verdana"/>
        </w:rPr>
      </w:pPr>
    </w:p>
    <w:p w14:paraId="07896A54" w14:textId="3DC0D8E1" w:rsidR="006B2592" w:rsidRDefault="006B2592" w:rsidP="001E1B19">
      <w:pPr>
        <w:spacing w:after="0"/>
        <w:rPr>
          <w:rFonts w:ascii="Verdana" w:hAnsi="Verdana"/>
        </w:rPr>
      </w:pPr>
    </w:p>
    <w:p w14:paraId="2A4D0AB4" w14:textId="68A0627F" w:rsidR="006B2592" w:rsidRDefault="006B2592" w:rsidP="001E1B19">
      <w:pPr>
        <w:spacing w:after="0"/>
        <w:rPr>
          <w:rFonts w:ascii="Verdana" w:hAnsi="Verdana"/>
        </w:rPr>
      </w:pPr>
    </w:p>
    <w:p w14:paraId="6BEF8A6F" w14:textId="5F9EBE88" w:rsidR="006B2592" w:rsidRDefault="006B2592" w:rsidP="001E1B19">
      <w:pPr>
        <w:spacing w:after="0"/>
        <w:rPr>
          <w:rFonts w:ascii="Verdana" w:hAnsi="Verdana"/>
        </w:rPr>
      </w:pPr>
    </w:p>
    <w:p w14:paraId="68004B22" w14:textId="6E4F4E7C" w:rsidR="006B2592" w:rsidRDefault="006B2592" w:rsidP="001E1B19">
      <w:pPr>
        <w:spacing w:after="0"/>
        <w:rPr>
          <w:rFonts w:ascii="Verdana" w:hAnsi="Verdana"/>
        </w:rPr>
      </w:pPr>
    </w:p>
    <w:p w14:paraId="7382E3E7" w14:textId="7F6E14AB" w:rsidR="006B2592" w:rsidRDefault="006B2592" w:rsidP="001E1B19">
      <w:pPr>
        <w:spacing w:after="0"/>
        <w:rPr>
          <w:rFonts w:ascii="Verdana" w:hAnsi="Verdana"/>
        </w:rPr>
      </w:pPr>
    </w:p>
    <w:p w14:paraId="3D1BD8C9" w14:textId="705869D0" w:rsidR="006B2592" w:rsidRDefault="006B2592" w:rsidP="001E1B19">
      <w:pPr>
        <w:spacing w:after="0"/>
        <w:rPr>
          <w:rFonts w:ascii="Verdana" w:hAnsi="Verdana"/>
        </w:rPr>
      </w:pPr>
    </w:p>
    <w:p w14:paraId="0AE045C1" w14:textId="58E0B3E2" w:rsidR="006B2592" w:rsidRDefault="006B2592" w:rsidP="001E1B19">
      <w:pPr>
        <w:spacing w:after="0"/>
        <w:rPr>
          <w:rFonts w:ascii="Verdana" w:hAnsi="Verdana"/>
        </w:rPr>
      </w:pPr>
    </w:p>
    <w:p w14:paraId="3F61DCD6" w14:textId="2861E1A0" w:rsidR="006B2592" w:rsidRDefault="006B2592" w:rsidP="001E1B19">
      <w:pPr>
        <w:spacing w:after="0"/>
        <w:rPr>
          <w:rFonts w:ascii="Verdana" w:hAnsi="Verdana"/>
        </w:rPr>
      </w:pPr>
    </w:p>
    <w:p w14:paraId="4E196F78" w14:textId="40D63F36" w:rsidR="006B2592" w:rsidRDefault="006B2592" w:rsidP="001E1B19">
      <w:pPr>
        <w:spacing w:after="0"/>
        <w:rPr>
          <w:rFonts w:ascii="Verdana" w:hAnsi="Verdana"/>
        </w:rPr>
      </w:pPr>
    </w:p>
    <w:p w14:paraId="7643D4AE" w14:textId="2342FDCA" w:rsidR="006B2592" w:rsidRDefault="006B2592" w:rsidP="001E1B19">
      <w:pPr>
        <w:spacing w:after="0"/>
        <w:rPr>
          <w:rFonts w:ascii="Verdana" w:hAnsi="Verdana"/>
        </w:rPr>
      </w:pPr>
    </w:p>
    <w:p w14:paraId="5C0EFB7C" w14:textId="45D29A5D" w:rsidR="006B2592" w:rsidRDefault="006B2592" w:rsidP="001E1B19">
      <w:pPr>
        <w:spacing w:after="0"/>
        <w:rPr>
          <w:rFonts w:ascii="Verdana" w:hAnsi="Verdana"/>
        </w:rPr>
      </w:pPr>
    </w:p>
    <w:p w14:paraId="3B78C537" w14:textId="2332AA3F" w:rsidR="006B2592" w:rsidRDefault="006B2592" w:rsidP="001E1B19">
      <w:pPr>
        <w:spacing w:after="0"/>
        <w:rPr>
          <w:rFonts w:ascii="Verdana" w:hAnsi="Verdana"/>
        </w:rPr>
      </w:pPr>
    </w:p>
    <w:p w14:paraId="69B9EF80" w14:textId="77777777" w:rsidR="006B2592" w:rsidRDefault="006B2592" w:rsidP="001E1B19">
      <w:pPr>
        <w:spacing w:after="0"/>
        <w:rPr>
          <w:rFonts w:ascii="Verdana" w:hAnsi="Verdana"/>
        </w:rPr>
      </w:pPr>
    </w:p>
    <w:p w14:paraId="09404AC1" w14:textId="77777777" w:rsidR="005D7580" w:rsidRDefault="005D7580" w:rsidP="001E1B19">
      <w:pPr>
        <w:spacing w:after="0"/>
        <w:rPr>
          <w:rFonts w:ascii="Verdana" w:hAnsi="Verdana"/>
        </w:rPr>
      </w:pPr>
    </w:p>
    <w:p w14:paraId="1A200B30" w14:textId="77777777" w:rsidR="005D7580" w:rsidRDefault="005D7580" w:rsidP="001E1B19">
      <w:pPr>
        <w:spacing w:after="0"/>
        <w:rPr>
          <w:rFonts w:ascii="Verdana" w:hAnsi="Verdana"/>
        </w:rPr>
      </w:pPr>
    </w:p>
    <w:p w14:paraId="5AA1D975" w14:textId="77777777" w:rsidR="005D7580" w:rsidRDefault="005D7580" w:rsidP="001E1B19">
      <w:pPr>
        <w:spacing w:after="0"/>
        <w:rPr>
          <w:rFonts w:ascii="Verdana" w:hAnsi="Verdana"/>
        </w:rPr>
      </w:pPr>
    </w:p>
    <w:p w14:paraId="43CE853F" w14:textId="77777777" w:rsidR="005D7580" w:rsidRDefault="005D7580" w:rsidP="001E1B19">
      <w:pPr>
        <w:spacing w:after="0"/>
        <w:rPr>
          <w:rFonts w:ascii="Verdana" w:hAnsi="Verdana"/>
        </w:rPr>
      </w:pPr>
    </w:p>
    <w:p w14:paraId="2BB82473" w14:textId="62431D79" w:rsidR="001E1B19" w:rsidRDefault="001E1B19" w:rsidP="001E1B19">
      <w:pPr>
        <w:spacing w:after="0"/>
        <w:rPr>
          <w:rFonts w:ascii="Verdana" w:hAnsi="Verdana"/>
        </w:rPr>
      </w:pPr>
      <w:r w:rsidRPr="0044528D">
        <w:rPr>
          <w:rFonts w:ascii="Verdana" w:hAnsi="Verdana"/>
        </w:rPr>
        <w:lastRenderedPageBreak/>
        <w:t xml:space="preserve">Bogotá D.C., </w:t>
      </w:r>
      <w:r w:rsidR="003A7F45">
        <w:rPr>
          <w:rFonts w:ascii="Verdana" w:hAnsi="Verdana"/>
        </w:rPr>
        <w:t>11 de diciembre de 2024</w:t>
      </w:r>
      <w:r w:rsidR="000025D0">
        <w:rPr>
          <w:rFonts w:ascii="Verdana" w:hAnsi="Verdana"/>
        </w:rPr>
        <w:t>.</w:t>
      </w:r>
    </w:p>
    <w:bookmarkEnd w:id="0"/>
    <w:p w14:paraId="525B12D6" w14:textId="77777777" w:rsidR="001E1B19" w:rsidRDefault="001E1B19" w:rsidP="001E1B19">
      <w:pPr>
        <w:spacing w:after="0"/>
        <w:rPr>
          <w:rFonts w:ascii="Verdana" w:hAnsi="Verdana"/>
        </w:rPr>
      </w:pPr>
    </w:p>
    <w:p w14:paraId="0AEE8B64" w14:textId="41D1BF3F" w:rsidR="001E1B19" w:rsidRDefault="003A7F45" w:rsidP="003A7F45">
      <w:pPr>
        <w:spacing w:after="0"/>
        <w:jc w:val="right"/>
        <w:rPr>
          <w:rFonts w:ascii="Verdana" w:hAnsi="Verdana"/>
        </w:rPr>
      </w:pPr>
      <w:bookmarkStart w:id="3" w:name="_Hlk180638295"/>
      <w:r>
        <w:rPr>
          <w:rFonts w:ascii="Verdana" w:hAnsi="Verdana"/>
          <w:noProof/>
        </w:rPr>
        <w:drawing>
          <wp:anchor distT="0" distB="0" distL="114300" distR="114300" simplePos="0" relativeHeight="251658240" behindDoc="0" locked="0" layoutInCell="1" allowOverlap="1" wp14:anchorId="1A0A1AF0" wp14:editId="275EE3E5">
            <wp:simplePos x="0" y="0"/>
            <wp:positionH relativeFrom="column">
              <wp:posOffset>2885283</wp:posOffset>
            </wp:positionH>
            <wp:positionV relativeFrom="paragraph">
              <wp:posOffset>-3672</wp:posOffset>
            </wp:positionV>
            <wp:extent cx="2724150" cy="819150"/>
            <wp:effectExtent l="0" t="0" r="0" b="0"/>
            <wp:wrapNone/>
            <wp:docPr id="947651880"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724150" cy="81915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A34C297" w14:textId="77777777" w:rsidR="003A7F45" w:rsidRDefault="003A7F45" w:rsidP="001E1B19">
      <w:pPr>
        <w:spacing w:after="0"/>
        <w:rPr>
          <w:rFonts w:ascii="Verdana" w:hAnsi="Verdana"/>
        </w:rPr>
      </w:pPr>
    </w:p>
    <w:p w14:paraId="7C66212A" w14:textId="2D9F9C29" w:rsidR="001E1B19" w:rsidRPr="00560511" w:rsidRDefault="001E1B19" w:rsidP="001E1B19">
      <w:pPr>
        <w:spacing w:after="0" w:line="240" w:lineRule="auto"/>
        <w:jc w:val="both"/>
        <w:rPr>
          <w:rFonts w:ascii="Verdana" w:eastAsia="Calibri" w:hAnsi="Verdana" w:cs="Arial"/>
          <w:lang w:eastAsia="es-ES"/>
        </w:rPr>
      </w:pPr>
      <w:bookmarkStart w:id="4" w:name="_Hlk181166167"/>
      <w:r w:rsidRPr="00560511">
        <w:rPr>
          <w:rFonts w:ascii="Verdana" w:eastAsia="Calibri" w:hAnsi="Verdana" w:cs="Arial"/>
          <w:lang w:eastAsia="es-ES"/>
        </w:rPr>
        <w:t>Señor</w:t>
      </w:r>
      <w:r w:rsidR="00CB7747">
        <w:rPr>
          <w:rFonts w:ascii="Verdana" w:eastAsia="Calibri" w:hAnsi="Verdana" w:cs="Arial"/>
          <w:lang w:eastAsia="es-ES"/>
        </w:rPr>
        <w:t xml:space="preserve"> (a)</w:t>
      </w:r>
    </w:p>
    <w:p w14:paraId="7E401A83" w14:textId="39D4F2B9" w:rsidR="001E1B19" w:rsidRPr="00CB7747" w:rsidRDefault="00AE5FD5" w:rsidP="001E1B19">
      <w:pPr>
        <w:spacing w:after="0" w:line="240" w:lineRule="auto"/>
        <w:rPr>
          <w:rFonts w:ascii="Verdana" w:hAnsi="Verdana"/>
        </w:rPr>
      </w:pPr>
      <w:hyperlink r:id="rId12" w:history="1">
        <w:r w:rsidR="00CB7747" w:rsidRPr="00CB7747">
          <w:rPr>
            <w:rStyle w:val="Hipervnculo"/>
            <w:rFonts w:ascii="Verdana" w:eastAsia="Calibri" w:hAnsi="Verdana" w:cs="Arial"/>
            <w:lang w:eastAsia="es-ES_tradnl"/>
          </w:rPr>
          <w:t>alnaranjoc@gmail.com</w:t>
        </w:r>
      </w:hyperlink>
      <w:r w:rsidR="00CB7747" w:rsidRPr="00CB7747">
        <w:rPr>
          <w:rFonts w:ascii="Verdana" w:eastAsia="Calibri" w:hAnsi="Verdana" w:cs="Arial"/>
          <w:lang w:eastAsia="es-ES_tradnl"/>
        </w:rPr>
        <w:t xml:space="preserve"> </w:t>
      </w:r>
      <w:r w:rsidR="00CB7747" w:rsidRPr="00CB7747">
        <w:rPr>
          <w:rFonts w:ascii="Verdana" w:hAnsi="Verdana"/>
        </w:rPr>
        <w:t xml:space="preserve"> </w:t>
      </w:r>
    </w:p>
    <w:p w14:paraId="26FF29AB" w14:textId="77777777" w:rsidR="001E1B19" w:rsidRDefault="001E1B19" w:rsidP="001E1B19">
      <w:pPr>
        <w:spacing w:after="0" w:line="240" w:lineRule="auto"/>
        <w:rPr>
          <w:rFonts w:ascii="Verdana" w:eastAsia="Calibri" w:hAnsi="Verdana" w:cs="Arial"/>
          <w:b/>
          <w:bCs/>
          <w:color w:val="000000"/>
          <w:lang w:val="es-ES_tradnl" w:eastAsia="es-ES_tradnl"/>
        </w:rPr>
      </w:pPr>
    </w:p>
    <w:p w14:paraId="33BC19B4" w14:textId="77777777" w:rsidR="005D7580" w:rsidRPr="00593A5F" w:rsidRDefault="005D7580" w:rsidP="001E1B19">
      <w:pPr>
        <w:spacing w:after="0" w:line="240" w:lineRule="auto"/>
        <w:rPr>
          <w:rFonts w:ascii="Verdana" w:eastAsia="Calibri" w:hAnsi="Verdana" w:cs="Arial"/>
          <w:b/>
          <w:bCs/>
          <w:color w:val="000000"/>
          <w:lang w:val="es-ES_tradnl" w:eastAsia="es-ES_tradnl"/>
        </w:rPr>
      </w:pPr>
    </w:p>
    <w:tbl>
      <w:tblPr>
        <w:tblStyle w:val="Tablaconcuadrcula"/>
        <w:tblW w:w="921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410"/>
        <w:gridCol w:w="6468"/>
        <w:gridCol w:w="336"/>
      </w:tblGrid>
      <w:tr w:rsidR="001E1B19" w:rsidRPr="00593A5F" w14:paraId="16D237C4" w14:textId="77777777" w:rsidTr="0084263B">
        <w:trPr>
          <w:trHeight w:val="884"/>
        </w:trPr>
        <w:tc>
          <w:tcPr>
            <w:tcW w:w="2410" w:type="dxa"/>
          </w:tcPr>
          <w:p w14:paraId="25EE4A95" w14:textId="77777777" w:rsidR="001E1B19" w:rsidRPr="00E5644F" w:rsidRDefault="001E1B19" w:rsidP="0084263B">
            <w:pPr>
              <w:jc w:val="both"/>
              <w:rPr>
                <w:rFonts w:ascii="Verdana" w:eastAsia="Calibri" w:hAnsi="Verdana" w:cs="Arial"/>
                <w:b/>
                <w:bCs/>
                <w:color w:val="7030A0"/>
                <w:lang w:val="es-ES_tradnl" w:eastAsia="es-ES_tradnl"/>
              </w:rPr>
            </w:pPr>
          </w:p>
        </w:tc>
        <w:tc>
          <w:tcPr>
            <w:tcW w:w="6804" w:type="dxa"/>
            <w:gridSpan w:val="2"/>
          </w:tcPr>
          <w:p w14:paraId="41AFF837" w14:textId="1713FC8E" w:rsidR="001E1B19" w:rsidRPr="00E5644F" w:rsidRDefault="001E1B19" w:rsidP="0084263B">
            <w:pPr>
              <w:jc w:val="both"/>
              <w:rPr>
                <w:rFonts w:ascii="Verdana" w:eastAsia="Calibri" w:hAnsi="Verdana" w:cs="Arial"/>
                <w:b/>
                <w:bCs/>
                <w:color w:val="7030A0"/>
                <w:lang w:val="es-ES" w:eastAsia="es-ES"/>
              </w:rPr>
            </w:pPr>
            <w:r w:rsidRPr="00E5644F">
              <w:rPr>
                <w:rFonts w:ascii="Verdana" w:eastAsia="Calibri" w:hAnsi="Verdana" w:cs="Arial"/>
                <w:b/>
                <w:bCs/>
                <w:lang w:val="es-ES" w:eastAsia="es-ES"/>
              </w:rPr>
              <w:t xml:space="preserve">Concepto C- </w:t>
            </w:r>
            <w:r w:rsidR="00CB7747">
              <w:rPr>
                <w:rFonts w:ascii="Verdana" w:eastAsia="Calibri" w:hAnsi="Verdana" w:cs="Arial"/>
                <w:b/>
                <w:bCs/>
                <w:lang w:val="es-ES" w:eastAsia="es-ES"/>
              </w:rPr>
              <w:t>910</w:t>
            </w:r>
            <w:r>
              <w:rPr>
                <w:rFonts w:ascii="Verdana" w:eastAsia="Calibri" w:hAnsi="Verdana" w:cs="Arial"/>
                <w:b/>
                <w:bCs/>
                <w:lang w:val="es-ES" w:eastAsia="es-ES"/>
              </w:rPr>
              <w:t xml:space="preserve"> </w:t>
            </w:r>
            <w:r w:rsidRPr="00E5644F">
              <w:rPr>
                <w:rFonts w:ascii="Verdana" w:eastAsia="Calibri" w:hAnsi="Verdana" w:cs="Arial"/>
                <w:b/>
                <w:bCs/>
                <w:lang w:val="es-ES" w:eastAsia="es-ES"/>
              </w:rPr>
              <w:t>de 2024</w:t>
            </w:r>
          </w:p>
        </w:tc>
      </w:tr>
      <w:tr w:rsidR="001E1B19" w:rsidRPr="00593A5F" w14:paraId="26242681" w14:textId="77777777" w:rsidTr="0084263B">
        <w:trPr>
          <w:trHeight w:val="884"/>
        </w:trPr>
        <w:tc>
          <w:tcPr>
            <w:tcW w:w="2410" w:type="dxa"/>
          </w:tcPr>
          <w:p w14:paraId="19B20F41" w14:textId="77777777" w:rsidR="001E1B19" w:rsidRPr="00593A5F" w:rsidRDefault="001E1B19" w:rsidP="0084263B">
            <w:pPr>
              <w:jc w:val="both"/>
              <w:rPr>
                <w:rFonts w:ascii="Verdana" w:eastAsia="Calibri" w:hAnsi="Verdana" w:cs="Arial"/>
                <w:color w:val="000000"/>
                <w:lang w:val="es-ES_tradnl" w:eastAsia="es-ES_tradnl"/>
              </w:rPr>
            </w:pPr>
            <w:r w:rsidRPr="00593A5F">
              <w:rPr>
                <w:rFonts w:ascii="Verdana" w:eastAsia="Calibri" w:hAnsi="Verdana" w:cs="Arial"/>
                <w:b/>
                <w:color w:val="000000"/>
                <w:lang w:val="es-ES_tradnl" w:eastAsia="es-ES_tradnl"/>
              </w:rPr>
              <w:t>Temas:</w:t>
            </w:r>
            <w:r w:rsidRPr="00593A5F">
              <w:rPr>
                <w:rFonts w:ascii="Verdana" w:eastAsia="Calibri" w:hAnsi="Verdana" w:cs="Arial"/>
                <w:color w:val="000000"/>
                <w:lang w:val="es-ES_tradnl" w:eastAsia="es-ES_tradnl"/>
              </w:rPr>
              <w:t xml:space="preserve">                   </w:t>
            </w:r>
          </w:p>
        </w:tc>
        <w:tc>
          <w:tcPr>
            <w:tcW w:w="6804" w:type="dxa"/>
            <w:gridSpan w:val="2"/>
          </w:tcPr>
          <w:p w14:paraId="5EFFFB2A" w14:textId="3DD2A65E" w:rsidR="001E1B19" w:rsidRPr="00574CB1" w:rsidRDefault="00373F8E" w:rsidP="0084263B">
            <w:pPr>
              <w:jc w:val="both"/>
              <w:rPr>
                <w:rFonts w:ascii="Verdana" w:eastAsia="Aptos" w:hAnsi="Verdana" w:cs="Times New Roman"/>
                <w:kern w:val="2"/>
                <w14:ligatures w14:val="standardContextual"/>
              </w:rPr>
            </w:pPr>
            <w:r w:rsidRPr="0027325C">
              <w:rPr>
                <w:rFonts w:ascii="Verdana" w:eastAsia="Century Gothic" w:hAnsi="Verdana" w:cs="Century Gothic"/>
                <w:lang w:val="es-MX"/>
              </w:rPr>
              <w:t xml:space="preserve">PRINCIPIO DE </w:t>
            </w:r>
            <w:r>
              <w:rPr>
                <w:rFonts w:ascii="Verdana" w:eastAsia="Century Gothic" w:hAnsi="Verdana" w:cs="Century Gothic"/>
                <w:lang w:val="es-MX"/>
              </w:rPr>
              <w:t xml:space="preserve">AUTONOMIA DE LAS ENTIDADES TERRITORIALES / </w:t>
            </w:r>
            <w:r>
              <w:rPr>
                <w:rFonts w:ascii="Verdana" w:eastAsia="Arial" w:hAnsi="Verdana" w:cs="Arial"/>
                <w:lang w:eastAsia="es-ES" w:bidi="es-ES"/>
              </w:rPr>
              <w:t xml:space="preserve">artículo 288 de la constitución política, la Ley 80 de 1993 y la Ley 1474 de 2011- </w:t>
            </w:r>
            <w:r w:rsidRPr="000A2CD2">
              <w:rPr>
                <w:rFonts w:ascii="Verdana" w:eastAsia="Calibri" w:hAnsi="Verdana" w:cs="Arial"/>
                <w:bCs/>
                <w:lang w:val="es-ES_tradnl"/>
              </w:rPr>
              <w:t xml:space="preserve">CONTRATO ESTATAL – Requisitos de Ejecución </w:t>
            </w:r>
            <w:r>
              <w:rPr>
                <w:rFonts w:ascii="Verdana" w:eastAsia="Calibri" w:hAnsi="Verdana" w:cs="Arial"/>
                <w:bCs/>
                <w:lang w:val="es-ES_tradnl"/>
              </w:rPr>
              <w:t xml:space="preserve">/ </w:t>
            </w:r>
            <w:r w:rsidRPr="000A2CD2">
              <w:rPr>
                <w:rFonts w:ascii="Verdana" w:eastAsia="Calibri" w:hAnsi="Verdana" w:cs="Arial"/>
                <w:bCs/>
                <w:lang w:val="es-ES_tradnl"/>
              </w:rPr>
              <w:t xml:space="preserve">SEGURIDAD SOCIAL – Verificación – Pago – Aportes </w:t>
            </w:r>
          </w:p>
          <w:p w14:paraId="1D537033" w14:textId="77777777" w:rsidR="001E1B19" w:rsidRPr="0025398C" w:rsidRDefault="001E1B19" w:rsidP="0084263B">
            <w:pPr>
              <w:jc w:val="both"/>
              <w:rPr>
                <w:rFonts w:ascii="Verdana" w:eastAsia="Aptos" w:hAnsi="Verdana" w:cs="Times New Roman"/>
                <w:b/>
                <w:bCs/>
                <w:kern w:val="2"/>
                <w14:ligatures w14:val="standardContextual"/>
              </w:rPr>
            </w:pPr>
          </w:p>
          <w:p w14:paraId="25040442" w14:textId="77777777" w:rsidR="001E1B19" w:rsidRPr="00E6165F" w:rsidRDefault="001E1B19" w:rsidP="0084263B">
            <w:pPr>
              <w:spacing w:line="276" w:lineRule="auto"/>
              <w:jc w:val="both"/>
              <w:rPr>
                <w:rFonts w:ascii="Verdana" w:eastAsia="Calibri" w:hAnsi="Verdana" w:cs="Arial"/>
                <w:lang w:val="es-ES" w:eastAsia="es-ES"/>
              </w:rPr>
            </w:pPr>
          </w:p>
        </w:tc>
      </w:tr>
      <w:tr w:rsidR="001E1B19" w:rsidRPr="00593A5F" w14:paraId="450D2E11" w14:textId="77777777" w:rsidTr="0084263B">
        <w:tc>
          <w:tcPr>
            <w:tcW w:w="2410" w:type="dxa"/>
          </w:tcPr>
          <w:p w14:paraId="53E5E420" w14:textId="77777777" w:rsidR="001E1B19" w:rsidRPr="006730E9" w:rsidRDefault="001E1B19" w:rsidP="0084263B">
            <w:pPr>
              <w:jc w:val="both"/>
              <w:rPr>
                <w:rFonts w:ascii="Verdana" w:eastAsia="Calibri" w:hAnsi="Verdana" w:cs="Arial"/>
                <w:b/>
                <w:lang w:val="es-ES_tradnl" w:eastAsia="es-ES_tradnl"/>
              </w:rPr>
            </w:pPr>
            <w:r w:rsidRPr="006730E9">
              <w:rPr>
                <w:rFonts w:ascii="Verdana" w:eastAsia="Calibri" w:hAnsi="Verdana" w:cs="Arial"/>
                <w:b/>
                <w:lang w:val="es-ES_tradnl" w:eastAsia="es-ES_tradnl"/>
              </w:rPr>
              <w:t>Radicación:</w:t>
            </w:r>
            <w:r w:rsidRPr="006730E9">
              <w:rPr>
                <w:rFonts w:ascii="Verdana" w:eastAsia="Calibri" w:hAnsi="Verdana" w:cs="Arial"/>
                <w:lang w:val="es-ES_tradnl" w:eastAsia="es-ES_tradnl"/>
              </w:rPr>
              <w:t xml:space="preserve">               </w:t>
            </w:r>
          </w:p>
        </w:tc>
        <w:tc>
          <w:tcPr>
            <w:tcW w:w="6804" w:type="dxa"/>
            <w:gridSpan w:val="2"/>
          </w:tcPr>
          <w:p w14:paraId="356D817B" w14:textId="0727AB89" w:rsidR="001E1B19" w:rsidRPr="006730E9" w:rsidRDefault="001E1B19" w:rsidP="0084263B">
            <w:pPr>
              <w:jc w:val="both"/>
              <w:rPr>
                <w:rFonts w:ascii="Verdana" w:eastAsia="Calibri" w:hAnsi="Verdana" w:cs="Arial"/>
                <w:lang w:val="es-ES_tradnl" w:eastAsia="es-ES_tradnl"/>
              </w:rPr>
            </w:pPr>
            <w:r w:rsidRPr="007121A5">
              <w:rPr>
                <w:rFonts w:ascii="Verdana" w:eastAsia="Calibri" w:hAnsi="Verdana" w:cs="Arial"/>
                <w:lang w:val="es-ES_tradnl" w:eastAsia="es-ES_tradnl"/>
              </w:rPr>
              <w:t xml:space="preserve">Respuesta a consulta con radicado No. </w:t>
            </w:r>
            <w:r w:rsidR="00CB7747" w:rsidRPr="00CB7747">
              <w:rPr>
                <w:rFonts w:ascii="Verdana" w:eastAsia="Calibri" w:hAnsi="Verdana" w:cs="Arial"/>
                <w:lang w:val="es-ES_tradnl" w:eastAsia="es-ES_tradnl"/>
              </w:rPr>
              <w:t>P20241121011765</w:t>
            </w:r>
          </w:p>
        </w:tc>
      </w:tr>
      <w:tr w:rsidR="001E1B19" w:rsidRPr="00DB23D2" w14:paraId="7A30189E" w14:textId="77777777" w:rsidTr="0084263B">
        <w:trPr>
          <w:gridAfter w:val="1"/>
          <w:wAfter w:w="336" w:type="dxa"/>
          <w:trHeight w:val="233"/>
        </w:trPr>
        <w:tc>
          <w:tcPr>
            <w:tcW w:w="8878" w:type="dxa"/>
            <w:gridSpan w:val="2"/>
          </w:tcPr>
          <w:p w14:paraId="25AD089C" w14:textId="77777777" w:rsidR="001E1B19" w:rsidRPr="00DB23D2" w:rsidRDefault="001E1B19" w:rsidP="0084263B">
            <w:pPr>
              <w:spacing w:after="120" w:line="276" w:lineRule="auto"/>
              <w:jc w:val="both"/>
              <w:rPr>
                <w:rFonts w:ascii="Verdana" w:eastAsia="Calibri" w:hAnsi="Verdana" w:cs="Arial"/>
                <w:lang w:val="es-ES_tradnl" w:eastAsia="es-ES"/>
              </w:rPr>
            </w:pPr>
          </w:p>
        </w:tc>
      </w:tr>
    </w:tbl>
    <w:p w14:paraId="36B9A523" w14:textId="4FA93387" w:rsidR="001E1B19" w:rsidRPr="006730E9" w:rsidRDefault="001E1B19" w:rsidP="001E1B19">
      <w:pPr>
        <w:spacing w:after="0" w:line="276" w:lineRule="auto"/>
        <w:jc w:val="both"/>
        <w:rPr>
          <w:rFonts w:ascii="Verdana" w:eastAsia="Calibri" w:hAnsi="Verdana" w:cs="Arial"/>
          <w:lang w:val="es-ES" w:eastAsia="es-ES"/>
        </w:rPr>
      </w:pPr>
      <w:r w:rsidRPr="006730E9">
        <w:rPr>
          <w:rFonts w:ascii="Verdana" w:eastAsia="Calibri" w:hAnsi="Verdana" w:cs="Arial"/>
          <w:lang w:val="es-ES" w:eastAsia="es-ES"/>
        </w:rPr>
        <w:t>En ejercicio de la competencia otorgada por los artículos 3, numeral 5º, y 11, numeral 8º, del Decreto Ley 4170 de 2011,</w:t>
      </w:r>
      <w:r w:rsidRPr="006730E9">
        <w:rPr>
          <w:rFonts w:ascii="Verdana" w:eastAsia="Arial MT" w:hAnsi="Verdana" w:cs="Arial MT"/>
          <w:lang w:val="es-ES" w:eastAsia="es-ES"/>
        </w:rPr>
        <w:t xml:space="preserve"> </w:t>
      </w:r>
      <w:r w:rsidRPr="006730E9">
        <w:rPr>
          <w:rFonts w:ascii="Verdana" w:hAnsi="Verdana" w:cs="Arial"/>
        </w:rPr>
        <w:t xml:space="preserve">así como lo establecido en el artículo 4 de la Resolución 1707 de 2018 expedida por esta Entidad, </w:t>
      </w:r>
      <w:r w:rsidRPr="006730E9">
        <w:rPr>
          <w:rFonts w:ascii="Verdana" w:eastAsia="Calibri" w:hAnsi="Verdana" w:cs="Arial"/>
          <w:lang w:val="es-ES" w:eastAsia="es-ES"/>
        </w:rPr>
        <w:t xml:space="preserve">la Agencia Nacional de Contratación Pública – Colombia Compra Eficiente– responde su solicitud </w:t>
      </w:r>
      <w:r>
        <w:rPr>
          <w:rFonts w:ascii="Verdana" w:eastAsia="Calibri" w:hAnsi="Verdana" w:cs="Arial"/>
          <w:lang w:val="es-ES" w:eastAsia="es-ES"/>
        </w:rPr>
        <w:t xml:space="preserve">y radicada en esta entidad </w:t>
      </w:r>
      <w:r w:rsidRPr="00E5644F">
        <w:rPr>
          <w:rFonts w:ascii="Verdana" w:eastAsia="Calibri" w:hAnsi="Verdana" w:cs="Arial"/>
          <w:lang w:val="es-ES" w:eastAsia="es-ES"/>
        </w:rPr>
        <w:t xml:space="preserve">el </w:t>
      </w:r>
      <w:r>
        <w:rPr>
          <w:rFonts w:ascii="Verdana" w:eastAsia="Calibri" w:hAnsi="Verdana" w:cs="Arial"/>
          <w:lang w:val="es-ES" w:eastAsia="es-ES"/>
        </w:rPr>
        <w:t>2</w:t>
      </w:r>
      <w:r w:rsidR="00CB7747">
        <w:rPr>
          <w:rFonts w:ascii="Verdana" w:eastAsia="Calibri" w:hAnsi="Verdana" w:cs="Arial"/>
          <w:lang w:val="es-ES" w:eastAsia="es-ES"/>
        </w:rPr>
        <w:t>2</w:t>
      </w:r>
      <w:r w:rsidRPr="00E5644F">
        <w:rPr>
          <w:rFonts w:ascii="Verdana" w:eastAsia="Calibri" w:hAnsi="Verdana" w:cs="Arial"/>
          <w:lang w:val="es-ES" w:eastAsia="es-ES"/>
        </w:rPr>
        <w:t xml:space="preserve"> de </w:t>
      </w:r>
      <w:r w:rsidR="00CB7747">
        <w:rPr>
          <w:rFonts w:ascii="Verdana" w:eastAsia="Calibri" w:hAnsi="Verdana" w:cs="Arial"/>
          <w:lang w:val="es-ES" w:eastAsia="es-ES"/>
        </w:rPr>
        <w:t>noviembre</w:t>
      </w:r>
      <w:r w:rsidRPr="00E5644F">
        <w:rPr>
          <w:rFonts w:ascii="Verdana" w:eastAsia="Calibri" w:hAnsi="Verdana" w:cs="Arial"/>
          <w:lang w:val="es-ES" w:eastAsia="es-ES"/>
        </w:rPr>
        <w:t xml:space="preserve"> de</w:t>
      </w:r>
      <w:r w:rsidR="00CB7747">
        <w:rPr>
          <w:rFonts w:ascii="Verdana" w:eastAsia="Calibri" w:hAnsi="Verdana" w:cs="Arial"/>
          <w:lang w:val="es-ES" w:eastAsia="es-ES"/>
        </w:rPr>
        <w:t xml:space="preserve"> </w:t>
      </w:r>
      <w:r w:rsidRPr="00E5644F">
        <w:rPr>
          <w:rFonts w:ascii="Verdana" w:eastAsia="Calibri" w:hAnsi="Verdana" w:cs="Arial"/>
          <w:lang w:val="es-ES" w:eastAsia="es-ES"/>
        </w:rPr>
        <w:t>2024, en</w:t>
      </w:r>
      <w:r w:rsidRPr="006730E9">
        <w:rPr>
          <w:rFonts w:ascii="Verdana" w:eastAsia="Calibri" w:hAnsi="Verdana" w:cs="Arial"/>
          <w:lang w:val="es-ES" w:eastAsia="es-ES"/>
        </w:rPr>
        <w:t xml:space="preserve"> la cual manifiesta lo siguiente: </w:t>
      </w:r>
    </w:p>
    <w:p w14:paraId="0B00F7B9" w14:textId="77777777" w:rsidR="001E1B19" w:rsidRPr="00326382" w:rsidRDefault="001E1B19" w:rsidP="001E1B19">
      <w:pPr>
        <w:spacing w:after="0" w:line="240" w:lineRule="auto"/>
        <w:ind w:left="709" w:right="474"/>
        <w:jc w:val="both"/>
        <w:rPr>
          <w:rFonts w:ascii="Verdana" w:hAnsi="Verdana" w:cs="Arial"/>
          <w:sz w:val="20"/>
          <w:szCs w:val="20"/>
          <w:shd w:val="clear" w:color="auto" w:fill="FFFFFF"/>
        </w:rPr>
      </w:pPr>
      <w:bookmarkStart w:id="5" w:name="_Hlk95313578"/>
    </w:p>
    <w:bookmarkEnd w:id="5"/>
    <w:p w14:paraId="640E4630" w14:textId="77777777" w:rsidR="00CB7747" w:rsidRDefault="001E1B19" w:rsidP="00CB7747">
      <w:pPr>
        <w:pStyle w:val="Prrafodelista"/>
        <w:tabs>
          <w:tab w:val="left" w:pos="142"/>
          <w:tab w:val="left" w:pos="284"/>
        </w:tabs>
        <w:ind w:left="425" w:right="474"/>
        <w:jc w:val="both"/>
        <w:rPr>
          <w:rFonts w:ascii="Verdana" w:eastAsia="Century Gothic" w:hAnsi="Verdana" w:cs="Century Gothic"/>
          <w:i/>
          <w:iCs/>
          <w:lang w:val="es-CO"/>
        </w:rPr>
      </w:pPr>
      <w:r w:rsidRPr="00263A88">
        <w:rPr>
          <w:rFonts w:ascii="Verdana" w:eastAsia="Century Gothic" w:hAnsi="Verdana" w:cs="Century Gothic"/>
          <w:i/>
          <w:iCs/>
          <w:lang w:val="es-CO"/>
        </w:rPr>
        <w:t>(…)</w:t>
      </w:r>
    </w:p>
    <w:p w14:paraId="54F781CD" w14:textId="77777777" w:rsidR="00CB7747" w:rsidRDefault="00CB7747" w:rsidP="00CB7747">
      <w:pPr>
        <w:pStyle w:val="Prrafodelista"/>
        <w:tabs>
          <w:tab w:val="left" w:pos="142"/>
          <w:tab w:val="left" w:pos="284"/>
        </w:tabs>
        <w:ind w:left="425" w:right="474"/>
        <w:jc w:val="both"/>
        <w:rPr>
          <w:rFonts w:ascii="Verdana" w:eastAsia="Century Gothic" w:hAnsi="Verdana" w:cs="Century Gothic"/>
          <w:i/>
          <w:iCs/>
          <w:lang w:val="es-CO"/>
        </w:rPr>
      </w:pPr>
    </w:p>
    <w:p w14:paraId="4406F79D" w14:textId="242308C9" w:rsidR="00CB7747" w:rsidRPr="00CB7747" w:rsidRDefault="001E1B19" w:rsidP="00CB7747">
      <w:pPr>
        <w:pStyle w:val="Prrafodelista"/>
        <w:tabs>
          <w:tab w:val="left" w:pos="142"/>
          <w:tab w:val="left" w:pos="284"/>
        </w:tabs>
        <w:ind w:left="425" w:right="474"/>
        <w:jc w:val="both"/>
        <w:rPr>
          <w:rFonts w:ascii="Verdana" w:eastAsia="Century Gothic" w:hAnsi="Verdana" w:cs="Century Gothic"/>
          <w:i/>
          <w:iCs/>
        </w:rPr>
      </w:pPr>
      <w:r>
        <w:rPr>
          <w:rFonts w:ascii="Verdana" w:eastAsia="Century Gothic" w:hAnsi="Verdana" w:cs="Century Gothic"/>
          <w:i/>
          <w:iCs/>
          <w:lang w:val="es-CO"/>
        </w:rPr>
        <w:t xml:space="preserve"> </w:t>
      </w:r>
      <w:r w:rsidR="00CB7747" w:rsidRPr="00CB7747">
        <w:rPr>
          <w:rFonts w:ascii="Verdana" w:eastAsia="Century Gothic" w:hAnsi="Verdana" w:cs="Century Gothic"/>
          <w:i/>
          <w:iCs/>
        </w:rPr>
        <w:t xml:space="preserve">1 - </w:t>
      </w:r>
      <w:r w:rsidR="00CB7747">
        <w:rPr>
          <w:rFonts w:ascii="Verdana" w:eastAsia="Century Gothic" w:hAnsi="Verdana" w:cs="Century Gothic"/>
          <w:i/>
          <w:iCs/>
        </w:rPr>
        <w:t>U</w:t>
      </w:r>
      <w:r w:rsidR="00CB7747" w:rsidRPr="00CB7747">
        <w:rPr>
          <w:rFonts w:ascii="Verdana" w:eastAsia="Century Gothic" w:hAnsi="Verdana" w:cs="Century Gothic"/>
          <w:i/>
          <w:iCs/>
        </w:rPr>
        <w:t>na entidad pública puede contratar a una empresa privada legalmente constituida que no tiene una nómina ya que sus colaboradores son prestadores de servicio?</w:t>
      </w:r>
    </w:p>
    <w:p w14:paraId="3EC4A061" w14:textId="0C00CC42" w:rsidR="00CB7747" w:rsidRDefault="00CB7747" w:rsidP="00CB7747">
      <w:pPr>
        <w:pStyle w:val="Prrafodelista"/>
        <w:tabs>
          <w:tab w:val="left" w:pos="142"/>
          <w:tab w:val="left" w:pos="284"/>
        </w:tabs>
        <w:ind w:left="425" w:right="474"/>
        <w:jc w:val="both"/>
        <w:rPr>
          <w:rFonts w:ascii="Verdana" w:eastAsia="Century Gothic" w:hAnsi="Verdana" w:cs="Century Gothic"/>
          <w:i/>
          <w:iCs/>
        </w:rPr>
      </w:pPr>
      <w:r w:rsidRPr="00CB7747">
        <w:rPr>
          <w:rFonts w:ascii="Verdana" w:eastAsia="Century Gothic" w:hAnsi="Verdana" w:cs="Century Gothic"/>
          <w:i/>
          <w:iCs/>
        </w:rPr>
        <w:t xml:space="preserve">2 - </w:t>
      </w:r>
      <w:r>
        <w:rPr>
          <w:rFonts w:ascii="Verdana" w:eastAsia="Century Gothic" w:hAnsi="Verdana" w:cs="Century Gothic"/>
          <w:i/>
          <w:iCs/>
        </w:rPr>
        <w:t>U</w:t>
      </w:r>
      <w:r w:rsidRPr="00CB7747">
        <w:rPr>
          <w:rFonts w:ascii="Verdana" w:eastAsia="Century Gothic" w:hAnsi="Verdana" w:cs="Century Gothic"/>
          <w:i/>
          <w:iCs/>
        </w:rPr>
        <w:t>na entidad pública contrata a una empresa legalmente constituida. ¿La entidad pública puede pedirle a la empresa el pago de parafiscales anteriores a la fecha de afiliación de la empresa A EPS, AFP Y ARL?</w:t>
      </w:r>
    </w:p>
    <w:p w14:paraId="5A561401" w14:textId="12A77F20" w:rsidR="00CB7747" w:rsidRPr="00CB7747" w:rsidRDefault="00CB7747" w:rsidP="00CB7747">
      <w:pPr>
        <w:pStyle w:val="Prrafodelista"/>
        <w:tabs>
          <w:tab w:val="left" w:pos="142"/>
          <w:tab w:val="left" w:pos="284"/>
        </w:tabs>
        <w:ind w:left="425" w:right="474"/>
        <w:jc w:val="both"/>
        <w:rPr>
          <w:rFonts w:ascii="Verdana" w:eastAsia="Century Gothic" w:hAnsi="Verdana" w:cs="Century Gothic"/>
          <w:i/>
          <w:iCs/>
        </w:rPr>
      </w:pPr>
      <w:r w:rsidRPr="00CB7747">
        <w:rPr>
          <w:rFonts w:ascii="Verdana" w:eastAsia="Century Gothic" w:hAnsi="Verdana" w:cs="Century Gothic"/>
          <w:i/>
          <w:iCs/>
        </w:rPr>
        <w:t> </w:t>
      </w:r>
    </w:p>
    <w:p w14:paraId="1D44D104" w14:textId="77777777" w:rsidR="00CB7747" w:rsidRDefault="00CB7747" w:rsidP="00CB7747">
      <w:pPr>
        <w:pStyle w:val="Prrafodelista"/>
        <w:tabs>
          <w:tab w:val="left" w:pos="142"/>
          <w:tab w:val="left" w:pos="284"/>
        </w:tabs>
        <w:ind w:left="425" w:right="474"/>
        <w:jc w:val="both"/>
        <w:rPr>
          <w:rFonts w:ascii="Verdana" w:eastAsia="Century Gothic" w:hAnsi="Verdana" w:cs="Century Gothic"/>
          <w:i/>
          <w:iCs/>
        </w:rPr>
      </w:pPr>
      <w:proofErr w:type="gramStart"/>
      <w:r w:rsidRPr="00CB7747">
        <w:rPr>
          <w:rFonts w:ascii="Verdana" w:eastAsia="Century Gothic" w:hAnsi="Verdana" w:cs="Century Gothic"/>
          <w:i/>
          <w:iCs/>
        </w:rPr>
        <w:t>Gracias!</w:t>
      </w:r>
      <w:proofErr w:type="gramEnd"/>
    </w:p>
    <w:p w14:paraId="334A5FA1" w14:textId="7F41E03F" w:rsidR="00CB7747" w:rsidRPr="00CB7747" w:rsidRDefault="00CB7747" w:rsidP="00CB7747">
      <w:pPr>
        <w:pStyle w:val="Prrafodelista"/>
        <w:tabs>
          <w:tab w:val="left" w:pos="142"/>
          <w:tab w:val="left" w:pos="284"/>
        </w:tabs>
        <w:ind w:left="425" w:right="474"/>
        <w:jc w:val="both"/>
        <w:rPr>
          <w:rFonts w:ascii="Verdana" w:eastAsia="Century Gothic" w:hAnsi="Verdana" w:cs="Century Gothic"/>
          <w:i/>
          <w:iCs/>
        </w:rPr>
      </w:pPr>
      <w:r w:rsidRPr="00CB7747">
        <w:rPr>
          <w:rFonts w:ascii="Verdana" w:eastAsia="Century Gothic" w:hAnsi="Verdana" w:cs="Century Gothic"/>
          <w:i/>
          <w:iCs/>
        </w:rPr>
        <w:t> </w:t>
      </w:r>
    </w:p>
    <w:p w14:paraId="08038646" w14:textId="018B1872" w:rsidR="00EE3654" w:rsidRPr="005D7580" w:rsidRDefault="001E1B19" w:rsidP="005D7580">
      <w:pPr>
        <w:pStyle w:val="Prrafodelista"/>
        <w:tabs>
          <w:tab w:val="left" w:pos="142"/>
          <w:tab w:val="left" w:pos="284"/>
        </w:tabs>
        <w:ind w:left="425" w:right="474"/>
        <w:jc w:val="both"/>
        <w:rPr>
          <w:rFonts w:ascii="Verdana" w:eastAsia="Century Gothic" w:hAnsi="Verdana" w:cs="Century Gothic"/>
          <w:i/>
          <w:iCs/>
        </w:rPr>
      </w:pPr>
      <w:r w:rsidRPr="00426DC2">
        <w:rPr>
          <w:rFonts w:ascii="Verdana" w:eastAsia="Century Gothic" w:hAnsi="Verdana" w:cs="Century Gothic"/>
          <w:i/>
          <w:iCs/>
        </w:rPr>
        <w:t>(…)</w:t>
      </w:r>
    </w:p>
    <w:p w14:paraId="0C6A5A4D" w14:textId="77777777" w:rsidR="000D6FBF" w:rsidRPr="005F06C2" w:rsidRDefault="000D6FBF" w:rsidP="000D6FBF">
      <w:pPr>
        <w:spacing w:after="120" w:line="276" w:lineRule="auto"/>
        <w:ind w:firstLine="709"/>
        <w:jc w:val="both"/>
        <w:rPr>
          <w:rFonts w:ascii="Verdana" w:eastAsia="Calibri" w:hAnsi="Verdana" w:cs="Arial"/>
          <w:color w:val="000000"/>
          <w:lang w:val="es-ES_tradnl" w:eastAsia="es-ES_tradnl"/>
        </w:rPr>
      </w:pPr>
      <w:r w:rsidRPr="00542ED3">
        <w:rPr>
          <w:rFonts w:ascii="Verdana" w:eastAsia="Calibri" w:hAnsi="Verdana" w:cs="Arial"/>
          <w:color w:val="000000"/>
          <w:lang w:val="es-ES" w:eastAsia="es-ES"/>
        </w:rPr>
        <w:lastRenderedPageBreak/>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5F06C2">
        <w:rPr>
          <w:rFonts w:ascii="Verdana" w:eastAsia="Calibri" w:hAnsi="Verdana" w:cs="Arial"/>
          <w:color w:val="000000"/>
          <w:lang w:val="es-ES_tradnl" w:eastAsia="es-ES_tradnl"/>
        </w:rPr>
        <w:tab/>
      </w:r>
    </w:p>
    <w:p w14:paraId="671703AD" w14:textId="77777777" w:rsidR="000D6FBF" w:rsidRPr="00542ED3" w:rsidRDefault="000D6FBF" w:rsidP="000D6FBF">
      <w:pPr>
        <w:spacing w:after="0" w:line="276" w:lineRule="auto"/>
        <w:ind w:firstLine="709"/>
        <w:jc w:val="both"/>
        <w:rPr>
          <w:rFonts w:ascii="Verdana" w:eastAsia="Calibri" w:hAnsi="Verdana" w:cs="Arial"/>
          <w:color w:val="000000"/>
          <w:lang w:val="es-ES" w:eastAsia="es-ES"/>
        </w:rPr>
      </w:pPr>
      <w:r w:rsidRPr="00542ED3">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w:t>
      </w:r>
      <w:r w:rsidRPr="00542ED3">
        <w:rPr>
          <w:rFonts w:ascii="Verdana" w:eastAsia="Calibri" w:hAnsi="Verdana" w:cs="Arial"/>
          <w:color w:val="7030A0"/>
          <w:lang w:val="es-ES" w:eastAsia="es-ES"/>
        </w:rPr>
        <w:t xml:space="preserve"> </w:t>
      </w:r>
      <w:r w:rsidRPr="00542ED3">
        <w:rPr>
          <w:rFonts w:ascii="Verdana" w:eastAsia="Calibri" w:hAnsi="Verdana" w:cs="Arial"/>
          <w:color w:val="000000"/>
          <w:lang w:val="es-ES" w:eastAsia="es-ES"/>
        </w:rPr>
        <w:t>jurídico</w:t>
      </w:r>
      <w:r w:rsidRPr="00542ED3">
        <w:rPr>
          <w:rFonts w:ascii="Verdana" w:eastAsia="Calibri" w:hAnsi="Verdana" w:cs="Arial"/>
          <w:color w:val="7030A0"/>
          <w:lang w:val="es-ES" w:eastAsia="es-ES"/>
        </w:rPr>
        <w:t xml:space="preserve"> </w:t>
      </w:r>
      <w:r w:rsidRPr="00542ED3">
        <w:rPr>
          <w:rFonts w:ascii="Verdana" w:eastAsia="Calibri" w:hAnsi="Verdana" w:cs="Arial"/>
          <w:color w:val="000000"/>
          <w:lang w:val="es-ES" w:eastAsia="es-ES"/>
        </w:rPr>
        <w:t xml:space="preserve">de su consulta. </w:t>
      </w:r>
    </w:p>
    <w:p w14:paraId="1F2E7164" w14:textId="77777777" w:rsidR="001E1B19" w:rsidRDefault="001E1B19" w:rsidP="001E1B19">
      <w:pPr>
        <w:pStyle w:val="Prrafodelista"/>
        <w:tabs>
          <w:tab w:val="left" w:pos="142"/>
          <w:tab w:val="left" w:pos="284"/>
        </w:tabs>
        <w:spacing w:after="0" w:line="240" w:lineRule="auto"/>
        <w:ind w:left="425" w:right="1185"/>
        <w:jc w:val="both"/>
        <w:rPr>
          <w:rFonts w:ascii="Verdana" w:eastAsia="Century Gothic" w:hAnsi="Verdana" w:cs="Century Gothic"/>
          <w:i/>
          <w:iCs/>
          <w:lang w:val="es-CO"/>
        </w:rPr>
      </w:pPr>
    </w:p>
    <w:p w14:paraId="53C0CB1D" w14:textId="77777777" w:rsidR="001E1B19" w:rsidRPr="00593A5F" w:rsidRDefault="001E1B19" w:rsidP="001E1B19">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593A5F">
        <w:rPr>
          <w:rFonts w:ascii="Verdana" w:eastAsia="Century Gothic" w:hAnsi="Verdana" w:cs="Century Gothic"/>
          <w:b/>
          <w:bCs/>
        </w:rPr>
        <w:t xml:space="preserve">Problema </w:t>
      </w:r>
      <w:r>
        <w:rPr>
          <w:rFonts w:ascii="Verdana" w:eastAsia="Century Gothic" w:hAnsi="Verdana" w:cs="Century Gothic"/>
          <w:b/>
          <w:bCs/>
        </w:rPr>
        <w:t xml:space="preserve">jurídico </w:t>
      </w:r>
      <w:r w:rsidRPr="00593A5F">
        <w:rPr>
          <w:rFonts w:ascii="Verdana" w:eastAsia="Century Gothic" w:hAnsi="Verdana" w:cs="Century Gothic"/>
          <w:b/>
          <w:bCs/>
        </w:rPr>
        <w:t>planteado:</w:t>
      </w:r>
    </w:p>
    <w:p w14:paraId="263D03CF" w14:textId="77777777" w:rsidR="001E1B19" w:rsidRPr="00593A5F" w:rsidRDefault="001E1B19" w:rsidP="001E1B19">
      <w:pPr>
        <w:tabs>
          <w:tab w:val="left" w:pos="426"/>
        </w:tabs>
        <w:spacing w:after="0" w:line="276" w:lineRule="auto"/>
        <w:jc w:val="both"/>
        <w:rPr>
          <w:rFonts w:ascii="Verdana" w:eastAsia="Century Gothic" w:hAnsi="Verdana" w:cs="Century Gothic"/>
          <w:lang w:val="es-ES"/>
        </w:rPr>
      </w:pPr>
    </w:p>
    <w:p w14:paraId="0DC7E1BC" w14:textId="54FF86AA" w:rsidR="001E1B19" w:rsidRDefault="001E1B19" w:rsidP="001E1B19">
      <w:pPr>
        <w:pStyle w:val="Prrafodelista"/>
        <w:ind w:left="0" w:right="49"/>
        <w:jc w:val="both"/>
        <w:rPr>
          <w:rFonts w:ascii="Verdana" w:eastAsia="Century Gothic" w:hAnsi="Verdana" w:cs="Century Gothic"/>
          <w:i/>
          <w:iCs/>
        </w:rPr>
      </w:pPr>
      <w:r w:rsidRPr="00B22D91">
        <w:rPr>
          <w:rFonts w:ascii="Verdana" w:eastAsia="Century Gothic" w:hAnsi="Verdana" w:cs="Century Gothic"/>
        </w:rPr>
        <w:t xml:space="preserve">De acuerdo con el contenido de su solicitud, esta Agencia resolverá </w:t>
      </w:r>
      <w:r>
        <w:rPr>
          <w:rFonts w:ascii="Verdana" w:eastAsia="Century Gothic" w:hAnsi="Verdana" w:cs="Century Gothic"/>
        </w:rPr>
        <w:t xml:space="preserve">el siguiente </w:t>
      </w:r>
      <w:r w:rsidRPr="00B22D91">
        <w:rPr>
          <w:rFonts w:ascii="Verdana" w:eastAsia="Century Gothic" w:hAnsi="Verdana" w:cs="Century Gothic"/>
        </w:rPr>
        <w:t>problema jurídico:</w:t>
      </w:r>
      <w:r>
        <w:rPr>
          <w:rFonts w:ascii="Verdana" w:eastAsia="Century Gothic" w:hAnsi="Verdana" w:cs="Century Gothic"/>
          <w:i/>
          <w:iCs/>
        </w:rPr>
        <w:t xml:space="preserve"> </w:t>
      </w:r>
      <w:r w:rsidR="00DF63BE">
        <w:rPr>
          <w:rFonts w:ascii="Verdana" w:eastAsia="Century Gothic" w:hAnsi="Verdana" w:cs="Century Gothic"/>
          <w:i/>
          <w:iCs/>
        </w:rPr>
        <w:t>¿</w:t>
      </w:r>
      <w:r w:rsidR="00044E2C">
        <w:rPr>
          <w:rFonts w:ascii="Verdana" w:eastAsia="Century Gothic" w:hAnsi="Verdana" w:cs="Century Gothic"/>
          <w:i/>
          <w:iCs/>
        </w:rPr>
        <w:t>Puede</w:t>
      </w:r>
      <w:r w:rsidR="00DF63BE">
        <w:rPr>
          <w:rFonts w:ascii="Verdana" w:eastAsia="Century Gothic" w:hAnsi="Verdana" w:cs="Century Gothic"/>
          <w:i/>
          <w:iCs/>
        </w:rPr>
        <w:t xml:space="preserve"> una entidad</w:t>
      </w:r>
      <w:r w:rsidR="00044E2C">
        <w:rPr>
          <w:rFonts w:ascii="Verdana" w:eastAsia="Century Gothic" w:hAnsi="Verdana" w:cs="Century Gothic"/>
          <w:i/>
          <w:iCs/>
        </w:rPr>
        <w:t xml:space="preserve"> </w:t>
      </w:r>
      <w:r w:rsidR="00170CE6">
        <w:rPr>
          <w:rFonts w:ascii="Verdana" w:eastAsia="Century Gothic" w:hAnsi="Verdana" w:cs="Century Gothic"/>
          <w:i/>
          <w:iCs/>
        </w:rPr>
        <w:t xml:space="preserve">pública </w:t>
      </w:r>
      <w:r w:rsidR="00DF63BE">
        <w:rPr>
          <w:rFonts w:ascii="Verdana" w:eastAsia="Century Gothic" w:hAnsi="Verdana" w:cs="Century Gothic"/>
          <w:i/>
          <w:iCs/>
        </w:rPr>
        <w:t>contratar con una entidad privada</w:t>
      </w:r>
      <w:r w:rsidR="00044E2C">
        <w:rPr>
          <w:rFonts w:ascii="Verdana" w:eastAsia="Century Gothic" w:hAnsi="Verdana" w:cs="Century Gothic"/>
          <w:i/>
          <w:iCs/>
        </w:rPr>
        <w:t xml:space="preserve"> que solo cuenta con colaboradores contratados bajo la modalidad de prestación de servicios</w:t>
      </w:r>
      <w:r w:rsidRPr="009C7820">
        <w:rPr>
          <w:rFonts w:ascii="Verdana" w:eastAsia="Century Gothic" w:hAnsi="Verdana" w:cs="Century Gothic"/>
          <w:i/>
          <w:iCs/>
          <w:lang w:val="es-CO"/>
        </w:rPr>
        <w:t>?</w:t>
      </w:r>
      <w:r w:rsidR="00D6177D">
        <w:rPr>
          <w:rFonts w:ascii="Verdana" w:eastAsia="Century Gothic" w:hAnsi="Verdana" w:cs="Century Gothic"/>
          <w:i/>
          <w:iCs/>
          <w:lang w:val="es-CO"/>
        </w:rPr>
        <w:t xml:space="preserve"> </w:t>
      </w:r>
      <w:r w:rsidR="00D6177D">
        <w:rPr>
          <w:rFonts w:ascii="Verdana" w:eastAsia="Century Gothic" w:hAnsi="Verdana" w:cs="Century Gothic"/>
          <w:i/>
          <w:iCs/>
        </w:rPr>
        <w:t>¿</w:t>
      </w:r>
      <w:r w:rsidR="00D6177D" w:rsidRPr="00D6177D">
        <w:rPr>
          <w:rFonts w:ascii="Verdana" w:eastAsia="Century Gothic" w:hAnsi="Verdana" w:cs="Century Gothic"/>
          <w:i/>
          <w:iCs/>
          <w:lang w:val="es-CO"/>
        </w:rPr>
        <w:t xml:space="preserve">Desde que fecha debe acreditar la empresa privada </w:t>
      </w:r>
      <w:r w:rsidR="00D6177D">
        <w:rPr>
          <w:rFonts w:ascii="Verdana" w:eastAsia="Century Gothic" w:hAnsi="Verdana" w:cs="Century Gothic"/>
          <w:i/>
          <w:iCs/>
          <w:lang w:val="es-CO"/>
        </w:rPr>
        <w:t xml:space="preserve">el pago de </w:t>
      </w:r>
      <w:r w:rsidR="00D6177D" w:rsidRPr="00D6177D">
        <w:rPr>
          <w:rFonts w:ascii="Verdana" w:eastAsia="Century Gothic" w:hAnsi="Verdana" w:cs="Century Gothic"/>
          <w:i/>
          <w:iCs/>
        </w:rPr>
        <w:t xml:space="preserve">aportes al Sistema de Seguridad </w:t>
      </w:r>
      <w:r w:rsidR="00044E2C" w:rsidRPr="00D6177D">
        <w:rPr>
          <w:rFonts w:ascii="Verdana" w:eastAsia="Century Gothic" w:hAnsi="Verdana" w:cs="Century Gothic"/>
          <w:i/>
          <w:iCs/>
        </w:rPr>
        <w:t>Social</w:t>
      </w:r>
      <w:r w:rsidR="00044E2C" w:rsidRPr="009C7820">
        <w:rPr>
          <w:rFonts w:ascii="Verdana" w:eastAsia="Century Gothic" w:hAnsi="Verdana" w:cs="Century Gothic"/>
          <w:i/>
          <w:iCs/>
          <w:lang w:val="es-CO"/>
        </w:rPr>
        <w:t>?</w:t>
      </w:r>
    </w:p>
    <w:p w14:paraId="482BB25A" w14:textId="77777777" w:rsidR="001E1B19" w:rsidRDefault="001E1B19" w:rsidP="001E1B19">
      <w:pPr>
        <w:pStyle w:val="Prrafodelista"/>
        <w:ind w:left="0" w:right="49"/>
        <w:jc w:val="both"/>
        <w:rPr>
          <w:rFonts w:ascii="Verdana" w:eastAsia="Century Gothic" w:hAnsi="Verdana" w:cs="Century Gothic"/>
          <w:i/>
          <w:iCs/>
        </w:rPr>
      </w:pPr>
    </w:p>
    <w:p w14:paraId="4F66045B" w14:textId="6C6D1594" w:rsidR="001E1B19" w:rsidRPr="00593A5F" w:rsidRDefault="001E1B19" w:rsidP="001E1B19">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Respuesta:</w:t>
      </w:r>
      <w:r w:rsidR="00DF63BE">
        <w:rPr>
          <w:rFonts w:ascii="Verdana" w:eastAsia="Century Gothic" w:hAnsi="Verdana" w:cs="Century Gothic"/>
          <w:b/>
          <w:bCs/>
        </w:rPr>
        <w:t xml:space="preserve"> </w:t>
      </w:r>
    </w:p>
    <w:p w14:paraId="17C1F2D9" w14:textId="77777777" w:rsidR="001E1B19" w:rsidRPr="00593A5F" w:rsidRDefault="001E1B19" w:rsidP="001E1B19">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1E1B19" w:rsidRPr="00593A5F" w14:paraId="18B5409F" w14:textId="77777777" w:rsidTr="0084263B">
        <w:tc>
          <w:tcPr>
            <w:tcW w:w="8828" w:type="dxa"/>
            <w:shd w:val="clear" w:color="auto" w:fill="auto"/>
          </w:tcPr>
          <w:p w14:paraId="5667B883" w14:textId="0133DA9F" w:rsidR="00044E2C" w:rsidRDefault="00740C76" w:rsidP="00044E2C">
            <w:pPr>
              <w:spacing w:line="276" w:lineRule="auto"/>
              <w:jc w:val="both"/>
              <w:rPr>
                <w:rFonts w:ascii="Verdana" w:eastAsia="Calibri" w:hAnsi="Verdana" w:cs="Arial"/>
                <w:color w:val="000000"/>
                <w:lang w:val="es-ES" w:eastAsia="es-ES"/>
              </w:rPr>
            </w:pPr>
            <w:r>
              <w:rPr>
                <w:rFonts w:ascii="Verdana" w:eastAsia="Calibri" w:hAnsi="Verdana" w:cs="Arial"/>
                <w:color w:val="000000"/>
                <w:lang w:val="es-ES" w:eastAsia="es-ES"/>
              </w:rPr>
              <w:t>En</w:t>
            </w:r>
            <w:r w:rsidR="00044E2C">
              <w:rPr>
                <w:rFonts w:ascii="Verdana" w:eastAsia="Calibri" w:hAnsi="Verdana" w:cs="Arial"/>
                <w:color w:val="000000"/>
                <w:lang w:val="es-ES" w:eastAsia="es-ES"/>
              </w:rPr>
              <w:t xml:space="preserve"> desarrollo del principio de autonomía </w:t>
            </w:r>
            <w:r w:rsidR="00044E2C" w:rsidRPr="007921AE">
              <w:rPr>
                <w:rFonts w:ascii="Verdana" w:hAnsi="Verdana"/>
              </w:rPr>
              <w:t>l</w:t>
            </w:r>
            <w:r w:rsidR="00044E2C">
              <w:rPr>
                <w:rFonts w:ascii="Verdana" w:hAnsi="Verdana"/>
              </w:rPr>
              <w:t>as</w:t>
            </w:r>
            <w:r w:rsidR="00044E2C" w:rsidRPr="007921AE">
              <w:rPr>
                <w:rFonts w:ascii="Verdana" w:eastAsia="Calibri" w:hAnsi="Verdana" w:cs="Arial"/>
                <w:color w:val="000000"/>
                <w:lang w:val="es-ES" w:eastAsia="es-ES"/>
              </w:rPr>
              <w:t xml:space="preserve"> entidades públicas en Colombia </w:t>
            </w:r>
            <w:r w:rsidR="00044E2C">
              <w:rPr>
                <w:rFonts w:ascii="Verdana" w:eastAsia="Calibri" w:hAnsi="Verdana" w:cs="Arial"/>
                <w:color w:val="000000"/>
                <w:lang w:val="es-ES" w:eastAsia="es-ES"/>
              </w:rPr>
              <w:t>tienen la capacidad de</w:t>
            </w:r>
            <w:r w:rsidR="00044E2C" w:rsidRPr="007921AE">
              <w:rPr>
                <w:rFonts w:ascii="Verdana" w:eastAsia="Calibri" w:hAnsi="Verdana" w:cs="Arial"/>
                <w:color w:val="000000"/>
                <w:lang w:val="es-ES" w:eastAsia="es-ES"/>
              </w:rPr>
              <w:t xml:space="preserve"> tomar decisiones y actuar en el marco de sus competencias, sin necesidad de una intervención directa o control de otras entidades o poderes del Estado, siempre y cuando estas acciones estén alineadas con </w:t>
            </w:r>
            <w:r w:rsidR="00044E2C">
              <w:rPr>
                <w:rFonts w:ascii="Verdana" w:eastAsia="Calibri" w:hAnsi="Verdana" w:cs="Arial"/>
                <w:color w:val="000000"/>
                <w:lang w:val="es-ES" w:eastAsia="es-ES"/>
              </w:rPr>
              <w:t xml:space="preserve">los principios constitucionales, </w:t>
            </w:r>
            <w:r w:rsidR="00044E2C" w:rsidRPr="007921AE">
              <w:rPr>
                <w:rFonts w:ascii="Verdana" w:eastAsia="Calibri" w:hAnsi="Verdana" w:cs="Arial"/>
                <w:color w:val="000000"/>
                <w:lang w:val="es-ES" w:eastAsia="es-ES"/>
              </w:rPr>
              <w:t>las leyes y las normativas que rigen su funcionamiento.</w:t>
            </w:r>
          </w:p>
          <w:p w14:paraId="641E4F4E" w14:textId="77777777" w:rsidR="00044E2C" w:rsidRDefault="00044E2C" w:rsidP="00044E2C">
            <w:pPr>
              <w:spacing w:line="276" w:lineRule="auto"/>
              <w:jc w:val="both"/>
              <w:rPr>
                <w:rFonts w:ascii="Verdana" w:eastAsia="Calibri" w:hAnsi="Verdana" w:cs="Arial"/>
                <w:color w:val="000000"/>
                <w:lang w:val="es-ES" w:eastAsia="es-ES"/>
              </w:rPr>
            </w:pPr>
          </w:p>
          <w:p w14:paraId="79D55BBE" w14:textId="77777777" w:rsidR="00044E2C" w:rsidRDefault="00044E2C" w:rsidP="00044E2C">
            <w:pPr>
              <w:spacing w:line="276" w:lineRule="auto"/>
              <w:jc w:val="both"/>
              <w:rPr>
                <w:rFonts w:ascii="Verdana" w:eastAsia="Calibri" w:hAnsi="Verdana" w:cs="Arial"/>
                <w:color w:val="000000"/>
                <w:lang w:val="es-ES" w:eastAsia="es-ES"/>
              </w:rPr>
            </w:pPr>
            <w:r w:rsidRPr="00446552">
              <w:rPr>
                <w:rFonts w:ascii="Verdana" w:eastAsia="Calibri" w:hAnsi="Verdana" w:cs="Arial"/>
                <w:color w:val="000000"/>
                <w:lang w:val="es-ES" w:eastAsia="es-ES"/>
              </w:rPr>
              <w:t xml:space="preserve">En efecto, se les concedió a las entidades públicas la capacidad jurídica para llevar a cabo su contratación, lo cual se traduce en que gozan de plena </w:t>
            </w:r>
            <w:r w:rsidRPr="00446552">
              <w:rPr>
                <w:rFonts w:ascii="Verdana" w:eastAsia="Calibri" w:hAnsi="Verdana" w:cs="Arial"/>
                <w:color w:val="000000"/>
                <w:lang w:val="es-ES" w:eastAsia="es-ES"/>
              </w:rPr>
              <w:lastRenderedPageBreak/>
              <w:t>autonomía e independencia para gestionar la satisfacción de sus necesidades en ejecución de la actividad contractual.</w:t>
            </w:r>
          </w:p>
          <w:p w14:paraId="67BD3D41" w14:textId="77777777" w:rsidR="00BB2FF2" w:rsidRDefault="00BB2FF2" w:rsidP="0084263B">
            <w:pPr>
              <w:spacing w:line="276" w:lineRule="auto"/>
              <w:jc w:val="both"/>
              <w:rPr>
                <w:rFonts w:ascii="Verdana" w:hAnsi="Verdana" w:cs="Arial"/>
                <w:bCs/>
                <w:color w:val="000000" w:themeColor="text1"/>
                <w:lang w:val="es-ES_tradnl"/>
              </w:rPr>
            </w:pPr>
          </w:p>
          <w:p w14:paraId="2CB8A971" w14:textId="0E7950A2" w:rsidR="006710C1" w:rsidRDefault="00044E2C" w:rsidP="006710C1">
            <w:pPr>
              <w:spacing w:line="276" w:lineRule="auto"/>
              <w:jc w:val="both"/>
              <w:rPr>
                <w:rFonts w:ascii="Verdana" w:hAnsi="Verdana" w:cs="Arial"/>
              </w:rPr>
            </w:pPr>
            <w:r>
              <w:rPr>
                <w:rFonts w:ascii="Verdana" w:eastAsia="Calibri" w:hAnsi="Verdana" w:cs="Arial"/>
                <w:color w:val="000000"/>
                <w:lang w:val="es-ES" w:eastAsia="es-ES"/>
              </w:rPr>
              <w:t xml:space="preserve">Esta autonomía </w:t>
            </w:r>
            <w:r>
              <w:rPr>
                <w:rFonts w:ascii="Verdana" w:eastAsia="Calibri" w:hAnsi="Verdana" w:cs="Arial"/>
                <w:color w:val="000000"/>
                <w:lang w:eastAsia="es-ES"/>
              </w:rPr>
              <w:t>incluye</w:t>
            </w:r>
            <w:r w:rsidRPr="003A3120">
              <w:rPr>
                <w:rFonts w:ascii="Verdana" w:eastAsia="Calibri" w:hAnsi="Verdana" w:cs="Arial"/>
                <w:color w:val="000000"/>
                <w:lang w:eastAsia="es-ES"/>
              </w:rPr>
              <w:t xml:space="preserve"> la </w:t>
            </w:r>
            <w:r>
              <w:rPr>
                <w:rFonts w:ascii="Verdana" w:eastAsia="Calibri" w:hAnsi="Verdana" w:cs="Arial"/>
                <w:color w:val="000000"/>
                <w:lang w:eastAsia="es-ES"/>
              </w:rPr>
              <w:t>posibilidad de contratar con entidades privadas</w:t>
            </w:r>
            <w:r w:rsidR="006710C1">
              <w:rPr>
                <w:rFonts w:ascii="Verdana" w:eastAsia="Calibri" w:hAnsi="Verdana" w:cs="Arial"/>
                <w:color w:val="000000"/>
                <w:lang w:eastAsia="es-ES"/>
              </w:rPr>
              <w:t xml:space="preserve"> </w:t>
            </w:r>
            <w:r w:rsidR="006710C1" w:rsidRPr="000071C0">
              <w:rPr>
                <w:rFonts w:ascii="Verdana" w:hAnsi="Verdana" w:cs="Arial"/>
              </w:rPr>
              <w:t>para gestionar la satisfacción de sus necesidades en ejecución de la actividad contractual</w:t>
            </w:r>
            <w:r>
              <w:rPr>
                <w:rFonts w:ascii="Verdana" w:eastAsia="Calibri" w:hAnsi="Verdana" w:cs="Arial"/>
                <w:color w:val="000000"/>
                <w:lang w:eastAsia="es-ES"/>
              </w:rPr>
              <w:t xml:space="preserve"> siempre y cuando se cumplan los parámetros </w:t>
            </w:r>
            <w:r w:rsidR="00170CE6">
              <w:rPr>
                <w:rFonts w:ascii="Verdana" w:eastAsia="Calibri" w:hAnsi="Verdana" w:cs="Arial"/>
                <w:color w:val="000000"/>
                <w:lang w:eastAsia="es-ES"/>
              </w:rPr>
              <w:t>y procedimientos</w:t>
            </w:r>
            <w:r w:rsidR="006710C1">
              <w:rPr>
                <w:rFonts w:ascii="Verdana" w:eastAsia="Calibri" w:hAnsi="Verdana" w:cs="Arial"/>
                <w:color w:val="000000"/>
                <w:lang w:eastAsia="es-ES"/>
              </w:rPr>
              <w:t xml:space="preserve"> que </w:t>
            </w:r>
            <w:r w:rsidR="006710C1" w:rsidRPr="000071C0">
              <w:rPr>
                <w:rFonts w:ascii="Verdana" w:hAnsi="Verdana" w:cs="Arial"/>
              </w:rPr>
              <w:t>rigen la contratación estatal</w:t>
            </w:r>
            <w:r w:rsidR="006710C1">
              <w:rPr>
                <w:rFonts w:ascii="Verdana" w:hAnsi="Verdana" w:cs="Arial"/>
              </w:rPr>
              <w:t>.</w:t>
            </w:r>
          </w:p>
          <w:p w14:paraId="71403A1F" w14:textId="77777777" w:rsidR="00740C76" w:rsidRDefault="00740C76" w:rsidP="006710C1">
            <w:pPr>
              <w:spacing w:line="276" w:lineRule="auto"/>
              <w:jc w:val="both"/>
              <w:rPr>
                <w:rFonts w:ascii="Verdana" w:hAnsi="Verdana" w:cs="Arial"/>
              </w:rPr>
            </w:pPr>
          </w:p>
          <w:p w14:paraId="4FED6D25" w14:textId="5163A817" w:rsidR="00740C76" w:rsidRPr="00523EE3" w:rsidRDefault="00740C76" w:rsidP="00740C76">
            <w:pPr>
              <w:spacing w:line="276" w:lineRule="auto"/>
              <w:jc w:val="both"/>
              <w:rPr>
                <w:rFonts w:ascii="Verdana" w:hAnsi="Verdana" w:cs="Arial"/>
                <w:bCs/>
                <w:color w:val="000000" w:themeColor="text1"/>
              </w:rPr>
            </w:pPr>
            <w:r>
              <w:rPr>
                <w:rFonts w:ascii="Verdana" w:hAnsi="Verdana" w:cs="Arial"/>
                <w:bCs/>
                <w:color w:val="000000" w:themeColor="text1"/>
              </w:rPr>
              <w:t>Asi las cosas</w:t>
            </w:r>
            <w:r w:rsidRPr="00523EE3">
              <w:rPr>
                <w:rFonts w:ascii="Verdana" w:hAnsi="Verdana" w:cs="Arial"/>
                <w:bCs/>
                <w:color w:val="000000" w:themeColor="text1"/>
              </w:rPr>
              <w:t>, corresponde a cada entidad pública, en ejercicio de su competencia y previa valoración de los elementos fácticos y jurídicos, determinar la forma de adelantar su gestión contractual</w:t>
            </w:r>
            <w:r>
              <w:rPr>
                <w:rFonts w:ascii="Verdana" w:hAnsi="Verdana" w:cs="Arial"/>
                <w:bCs/>
                <w:color w:val="000000" w:themeColor="text1"/>
              </w:rPr>
              <w:t>.</w:t>
            </w:r>
          </w:p>
          <w:p w14:paraId="62810B9E" w14:textId="77777777" w:rsidR="00740C76" w:rsidRPr="00523EE3" w:rsidRDefault="00740C76" w:rsidP="00740C76">
            <w:pPr>
              <w:spacing w:line="276" w:lineRule="auto"/>
              <w:jc w:val="both"/>
              <w:rPr>
                <w:rFonts w:ascii="Verdana" w:hAnsi="Verdana" w:cs="Arial"/>
                <w:bCs/>
                <w:color w:val="000000" w:themeColor="text1"/>
              </w:rPr>
            </w:pPr>
          </w:p>
          <w:p w14:paraId="64D12A40" w14:textId="7B228DA0" w:rsidR="00740C76" w:rsidRPr="00740C76" w:rsidRDefault="00740C76" w:rsidP="006710C1">
            <w:pPr>
              <w:spacing w:line="276" w:lineRule="auto"/>
              <w:jc w:val="both"/>
              <w:rPr>
                <w:rFonts w:ascii="Verdana" w:eastAsia="Calibri" w:hAnsi="Verdana" w:cs="Arial"/>
                <w:color w:val="000000"/>
                <w:lang w:eastAsia="es-ES"/>
              </w:rPr>
            </w:pPr>
            <w:r w:rsidRPr="00523EE3">
              <w:rPr>
                <w:rFonts w:ascii="Verdana" w:hAnsi="Verdana" w:cs="Arial"/>
                <w:bCs/>
                <w:color w:val="000000" w:themeColor="text1"/>
              </w:rPr>
              <w:t xml:space="preserve">De esta manera, al tratarse de un análisis que se debe realizar en cada caso concreto, la Agencia, por vía consultiva, no puede definir un criterio universal y absoluto, sino que brinda elementos hermenéuticos de carácter general para que los partícipes del sistema de compras y contratación pública adopten la decisión que corresponda, lo cual es acorde con el principio de juridicidad. Por lo anterior, previo concepto de sus órganos asesores, la solución de casos particulares corresponde a la entidad </w:t>
            </w:r>
            <w:r>
              <w:rPr>
                <w:rFonts w:ascii="Verdana" w:hAnsi="Verdana" w:cs="Arial"/>
                <w:bCs/>
                <w:color w:val="000000" w:themeColor="text1"/>
              </w:rPr>
              <w:t xml:space="preserve">determinar </w:t>
            </w:r>
            <w:r w:rsidRPr="003A3120">
              <w:rPr>
                <w:rFonts w:ascii="Verdana" w:eastAsia="Calibri" w:hAnsi="Verdana" w:cs="Arial"/>
                <w:color w:val="000000"/>
                <w:lang w:eastAsia="es-ES"/>
              </w:rPr>
              <w:t xml:space="preserve">la </w:t>
            </w:r>
            <w:r>
              <w:rPr>
                <w:rFonts w:ascii="Verdana" w:eastAsia="Calibri" w:hAnsi="Verdana" w:cs="Arial"/>
                <w:color w:val="000000"/>
                <w:lang w:eastAsia="es-ES"/>
              </w:rPr>
              <w:t xml:space="preserve">posibilidad de contratar con entidades privadas </w:t>
            </w:r>
            <w:r w:rsidRPr="00740C76">
              <w:rPr>
                <w:rFonts w:ascii="Verdana" w:eastAsia="Century Gothic" w:hAnsi="Verdana" w:cs="Century Gothic"/>
              </w:rPr>
              <w:t>que solo cuenta con colaboradores contratados bajo la modalidad de prestación de servicios</w:t>
            </w:r>
            <w:r>
              <w:rPr>
                <w:rFonts w:ascii="Verdana" w:eastAsia="Century Gothic" w:hAnsi="Verdana" w:cs="Century Gothic"/>
              </w:rPr>
              <w:t>.</w:t>
            </w:r>
          </w:p>
          <w:p w14:paraId="2DCC6125" w14:textId="4C04878E" w:rsidR="006710C1" w:rsidRDefault="00740C76" w:rsidP="006710C1">
            <w:pPr>
              <w:spacing w:line="276" w:lineRule="auto"/>
              <w:jc w:val="both"/>
              <w:rPr>
                <w:rFonts w:ascii="Verdana" w:hAnsi="Verdana" w:cs="Arial"/>
                <w:lang w:val="es-ES_tradnl"/>
              </w:rPr>
            </w:pPr>
            <w:r>
              <w:rPr>
                <w:rFonts w:ascii="Verdana" w:eastAsia="Calibri" w:hAnsi="Verdana" w:cs="Arial"/>
                <w:color w:val="000000"/>
                <w:lang w:eastAsia="es-ES"/>
              </w:rPr>
              <w:t xml:space="preserve"> </w:t>
            </w:r>
          </w:p>
          <w:p w14:paraId="62D6C177" w14:textId="58A833FA" w:rsidR="006710C1" w:rsidRDefault="006710C1" w:rsidP="006710C1">
            <w:pPr>
              <w:spacing w:line="276" w:lineRule="auto"/>
              <w:jc w:val="both"/>
              <w:rPr>
                <w:rFonts w:ascii="Verdana" w:eastAsia="Arial" w:hAnsi="Verdana" w:cs="Arial"/>
                <w:lang w:val="es-ES"/>
              </w:rPr>
            </w:pPr>
            <w:r>
              <w:rPr>
                <w:rFonts w:ascii="Verdana" w:eastAsia="Arial" w:hAnsi="Verdana" w:cs="Arial"/>
                <w:lang w:val="es-ES"/>
              </w:rPr>
              <w:t xml:space="preserve">Por otra </w:t>
            </w:r>
            <w:r w:rsidR="00424D74">
              <w:rPr>
                <w:rFonts w:ascii="Verdana" w:eastAsia="Arial" w:hAnsi="Verdana" w:cs="Arial"/>
                <w:lang w:val="es-ES"/>
              </w:rPr>
              <w:t>parte,</w:t>
            </w:r>
            <w:r>
              <w:rPr>
                <w:rFonts w:ascii="Verdana" w:eastAsia="Arial" w:hAnsi="Verdana" w:cs="Arial"/>
                <w:lang w:val="es-ES"/>
              </w:rPr>
              <w:t xml:space="preserve"> en relación con los</w:t>
            </w:r>
            <w:r w:rsidR="00424D74">
              <w:rPr>
                <w:rFonts w:ascii="Verdana" w:eastAsia="Arial" w:hAnsi="Verdana" w:cs="Arial"/>
                <w:lang w:val="es-ES"/>
              </w:rPr>
              <w:t xml:space="preserve"> </w:t>
            </w:r>
            <w:r w:rsidR="00424D74" w:rsidRPr="00424D74">
              <w:rPr>
                <w:rFonts w:ascii="Verdana" w:eastAsia="Century Gothic" w:hAnsi="Verdana" w:cs="Century Gothic"/>
              </w:rPr>
              <w:t>aportes al Sistema de Seguridad Social</w:t>
            </w:r>
            <w:r>
              <w:rPr>
                <w:rFonts w:ascii="Verdana" w:eastAsia="Arial" w:hAnsi="Verdana" w:cs="Arial"/>
                <w:lang w:val="es-ES"/>
              </w:rPr>
              <w:t xml:space="preserve"> </w:t>
            </w:r>
            <w:r w:rsidR="00424D74">
              <w:rPr>
                <w:rFonts w:ascii="Verdana" w:eastAsia="Arial" w:hAnsi="Verdana" w:cs="Arial"/>
                <w:lang w:val="es-ES"/>
              </w:rPr>
              <w:t>e</w:t>
            </w:r>
            <w:r w:rsidRPr="0005702E">
              <w:rPr>
                <w:rFonts w:ascii="Verdana" w:eastAsia="Arial" w:hAnsi="Verdana" w:cs="Arial"/>
                <w:lang w:val="es-ES"/>
              </w:rPr>
              <w:t xml:space="preserve">n materia de contratación estatal, el </w:t>
            </w:r>
            <w:bookmarkStart w:id="6" w:name="_Hlk176971047"/>
            <w:r w:rsidRPr="0005702E">
              <w:rPr>
                <w:rFonts w:ascii="Verdana" w:eastAsia="Arial" w:hAnsi="Verdana" w:cs="Arial"/>
                <w:lang w:val="es-ES"/>
              </w:rPr>
              <w:t>artículo 50 de la</w:t>
            </w:r>
            <w:r w:rsidRPr="0005702E">
              <w:rPr>
                <w:rFonts w:ascii="Verdana" w:eastAsia="Arial" w:hAnsi="Verdana" w:cs="Arial"/>
                <w:spacing w:val="-17"/>
                <w:lang w:val="es-ES"/>
              </w:rPr>
              <w:t xml:space="preserve"> </w:t>
            </w:r>
            <w:r w:rsidRPr="0005702E">
              <w:rPr>
                <w:rFonts w:ascii="Verdana" w:eastAsia="Arial" w:hAnsi="Verdana" w:cs="Arial"/>
                <w:lang w:val="es-ES"/>
              </w:rPr>
              <w:t>Ley</w:t>
            </w:r>
            <w:r w:rsidRPr="0005702E">
              <w:rPr>
                <w:rFonts w:ascii="Verdana" w:eastAsia="Arial" w:hAnsi="Verdana" w:cs="Arial"/>
                <w:spacing w:val="-16"/>
                <w:lang w:val="es-ES"/>
              </w:rPr>
              <w:t xml:space="preserve"> </w:t>
            </w:r>
            <w:r w:rsidRPr="0005702E">
              <w:rPr>
                <w:rFonts w:ascii="Verdana" w:eastAsia="Arial" w:hAnsi="Verdana" w:cs="Arial"/>
                <w:lang w:val="es-ES"/>
              </w:rPr>
              <w:t>789</w:t>
            </w:r>
            <w:r w:rsidRPr="0005702E">
              <w:rPr>
                <w:rFonts w:ascii="Verdana" w:eastAsia="Arial" w:hAnsi="Verdana" w:cs="Arial"/>
                <w:spacing w:val="-16"/>
                <w:lang w:val="es-ES"/>
              </w:rPr>
              <w:t xml:space="preserve"> </w:t>
            </w:r>
            <w:r w:rsidRPr="0005702E">
              <w:rPr>
                <w:rFonts w:ascii="Verdana" w:eastAsia="Arial" w:hAnsi="Verdana" w:cs="Arial"/>
                <w:lang w:val="es-ES"/>
              </w:rPr>
              <w:t>de</w:t>
            </w:r>
            <w:r w:rsidRPr="0005702E">
              <w:rPr>
                <w:rFonts w:ascii="Verdana" w:eastAsia="Arial" w:hAnsi="Verdana" w:cs="Arial"/>
                <w:spacing w:val="-17"/>
                <w:lang w:val="es-ES"/>
              </w:rPr>
              <w:t xml:space="preserve"> </w:t>
            </w:r>
            <w:r w:rsidRPr="0005702E">
              <w:rPr>
                <w:rFonts w:ascii="Verdana" w:eastAsia="Arial" w:hAnsi="Verdana" w:cs="Arial"/>
                <w:lang w:val="es-ES"/>
              </w:rPr>
              <w:t>2002</w:t>
            </w:r>
            <w:r w:rsidRPr="0005702E">
              <w:rPr>
                <w:rFonts w:ascii="Verdana" w:eastAsia="Arial" w:hAnsi="Verdana" w:cs="Arial"/>
                <w:spacing w:val="-16"/>
                <w:lang w:val="es-ES"/>
              </w:rPr>
              <w:t xml:space="preserve"> </w:t>
            </w:r>
            <w:bookmarkEnd w:id="6"/>
            <w:r w:rsidRPr="0005702E">
              <w:rPr>
                <w:rFonts w:ascii="Verdana" w:eastAsia="Arial" w:hAnsi="Verdana" w:cs="Arial"/>
                <w:lang w:val="es-ES"/>
              </w:rPr>
              <w:t>dispuso como</w:t>
            </w:r>
            <w:r w:rsidRPr="0005702E">
              <w:rPr>
                <w:rFonts w:ascii="Verdana" w:eastAsia="Arial" w:hAnsi="Verdana" w:cs="Arial"/>
                <w:spacing w:val="-16"/>
                <w:lang w:val="es-ES"/>
              </w:rPr>
              <w:t xml:space="preserve"> </w:t>
            </w:r>
            <w:r w:rsidRPr="0005702E">
              <w:rPr>
                <w:rFonts w:ascii="Verdana" w:eastAsia="Arial" w:hAnsi="Verdana" w:cs="Arial"/>
                <w:lang w:val="es-ES"/>
              </w:rPr>
              <w:t>obligación</w:t>
            </w:r>
            <w:r w:rsidRPr="0005702E">
              <w:rPr>
                <w:rFonts w:ascii="Verdana" w:eastAsia="Arial" w:hAnsi="Verdana" w:cs="Arial"/>
                <w:spacing w:val="-16"/>
                <w:lang w:val="es-ES"/>
              </w:rPr>
              <w:t xml:space="preserve"> </w:t>
            </w:r>
            <w:r w:rsidRPr="0005702E">
              <w:rPr>
                <w:rFonts w:ascii="Verdana" w:eastAsia="Arial" w:hAnsi="Verdana" w:cs="Arial"/>
                <w:lang w:val="es-ES"/>
              </w:rPr>
              <w:t>de</w:t>
            </w:r>
            <w:r w:rsidRPr="0005702E">
              <w:rPr>
                <w:rFonts w:ascii="Verdana" w:eastAsia="Arial" w:hAnsi="Verdana" w:cs="Arial"/>
                <w:spacing w:val="-16"/>
                <w:lang w:val="es-ES"/>
              </w:rPr>
              <w:t xml:space="preserve"> </w:t>
            </w:r>
            <w:r w:rsidRPr="0005702E">
              <w:rPr>
                <w:rFonts w:ascii="Verdana" w:eastAsia="Arial" w:hAnsi="Verdana" w:cs="Arial"/>
                <w:lang w:val="es-ES"/>
              </w:rPr>
              <w:t>quien</w:t>
            </w:r>
            <w:r w:rsidRPr="0005702E">
              <w:rPr>
                <w:rFonts w:ascii="Verdana" w:eastAsia="Arial" w:hAnsi="Verdana" w:cs="Arial"/>
                <w:spacing w:val="-17"/>
                <w:lang w:val="es-ES"/>
              </w:rPr>
              <w:t xml:space="preserve"> </w:t>
            </w:r>
            <w:r w:rsidRPr="0005702E">
              <w:rPr>
                <w:rFonts w:ascii="Verdana" w:eastAsia="Arial" w:hAnsi="Verdana" w:cs="Arial"/>
                <w:lang w:val="es-ES"/>
              </w:rPr>
              <w:t xml:space="preserve">quiere </w:t>
            </w:r>
            <w:r w:rsidRPr="0005702E">
              <w:rPr>
                <w:rFonts w:ascii="Verdana" w:eastAsia="Arial" w:hAnsi="Verdana" w:cs="Arial"/>
                <w:i/>
                <w:iCs/>
                <w:lang w:val="es-ES"/>
              </w:rPr>
              <w:t>celebrar, renovar o liquidar</w:t>
            </w:r>
            <w:r w:rsidRPr="0005702E">
              <w:rPr>
                <w:rFonts w:ascii="Verdana" w:eastAsia="Arial" w:hAnsi="Verdana" w:cs="Arial"/>
                <w:lang w:val="es-ES"/>
              </w:rPr>
              <w:t xml:space="preserve"> contratos de cualquier naturaleza con entidades del sector público, cumplir con las obligaciones a los sistemas de salud, riesgos profesionales, pensiones y aportes a la Caja de Compensación Familiar, Instituto Colombiano de Bienestar Familiar y Servicio Nacional de Aprendizaje</w:t>
            </w:r>
            <w:r>
              <w:rPr>
                <w:rFonts w:ascii="Verdana" w:eastAsia="Arial" w:hAnsi="Verdana" w:cs="Arial"/>
                <w:lang w:val="es-ES"/>
              </w:rPr>
              <w:t>.</w:t>
            </w:r>
          </w:p>
          <w:p w14:paraId="044F6BC9" w14:textId="77777777" w:rsidR="006710C1" w:rsidRDefault="006710C1" w:rsidP="006710C1">
            <w:pPr>
              <w:spacing w:line="276" w:lineRule="auto"/>
              <w:jc w:val="both"/>
              <w:rPr>
                <w:rFonts w:ascii="Verdana" w:eastAsia="Arial" w:hAnsi="Verdana" w:cs="Arial"/>
                <w:lang w:val="es-ES"/>
              </w:rPr>
            </w:pPr>
          </w:p>
          <w:p w14:paraId="23E6CADE" w14:textId="41A555AF" w:rsidR="006710C1" w:rsidRDefault="00424D74" w:rsidP="00424D74">
            <w:pPr>
              <w:widowControl w:val="0"/>
              <w:autoSpaceDE w:val="0"/>
              <w:autoSpaceDN w:val="0"/>
              <w:spacing w:after="120" w:line="276" w:lineRule="auto"/>
              <w:jc w:val="both"/>
              <w:rPr>
                <w:rFonts w:ascii="Verdana" w:eastAsia="Arial" w:hAnsi="Verdana" w:cs="Arial"/>
                <w:lang w:val="es-ES"/>
              </w:rPr>
            </w:pPr>
            <w:r>
              <w:rPr>
                <w:rFonts w:ascii="Verdana" w:eastAsia="Arial" w:hAnsi="Verdana" w:cs="Arial"/>
                <w:lang w:val="es-ES"/>
              </w:rPr>
              <w:t>Asi las cosas, l</w:t>
            </w:r>
            <w:r w:rsidR="006710C1" w:rsidRPr="0005702E">
              <w:rPr>
                <w:rFonts w:ascii="Verdana" w:eastAsia="Arial" w:hAnsi="Verdana" w:cs="Arial"/>
                <w:lang w:val="es-ES"/>
              </w:rPr>
              <w:t xml:space="preserve">as personas jurídicas que quieran celebrar contratos con las Entidades Estatales deben acreditar el pago al Sistema de Seguridad Social Integral de sus empleados, </w:t>
            </w:r>
            <w:r>
              <w:rPr>
                <w:rFonts w:ascii="Verdana" w:eastAsia="Arial" w:hAnsi="Verdana" w:cs="Arial"/>
                <w:lang w:val="es-ES"/>
              </w:rPr>
              <w:t>para lo cual deberán presentar</w:t>
            </w:r>
            <w:r w:rsidR="006710C1" w:rsidRPr="0005702E">
              <w:rPr>
                <w:rFonts w:ascii="Verdana" w:eastAsia="Arial" w:hAnsi="Verdana" w:cs="Arial"/>
                <w:lang w:val="es-ES"/>
              </w:rPr>
              <w:t xml:space="preserve"> una certificación expedida por el revisor fiscal o por el representante legal, durante un lapso equivalente al que exija el respectivo régimen de contratación para que se hubiera constituido la sociedad, el cual no será inferior a los seis (6) meses anteriores a la celebración del contrato. </w:t>
            </w:r>
          </w:p>
          <w:p w14:paraId="52A272D2" w14:textId="0633EEDD" w:rsidR="006710C1" w:rsidRPr="0005702E" w:rsidRDefault="00424D74" w:rsidP="00424D74">
            <w:pPr>
              <w:spacing w:after="120" w:line="276" w:lineRule="auto"/>
              <w:jc w:val="both"/>
              <w:rPr>
                <w:rFonts w:ascii="Verdana" w:hAnsi="Verdana" w:cs="Arial"/>
                <w:lang w:val="es-ES"/>
              </w:rPr>
            </w:pPr>
            <w:r>
              <w:rPr>
                <w:rFonts w:ascii="Verdana" w:hAnsi="Verdana" w:cs="Arial"/>
                <w:lang w:val="es-ES"/>
              </w:rPr>
              <w:lastRenderedPageBreak/>
              <w:t xml:space="preserve">De esta manera </w:t>
            </w:r>
            <w:r w:rsidR="006710C1" w:rsidRPr="0005702E">
              <w:rPr>
                <w:rFonts w:ascii="Verdana" w:hAnsi="Verdana" w:cs="Arial"/>
                <w:lang w:val="es-ES"/>
              </w:rPr>
              <w:t xml:space="preserve">el comprobante de pago de los aportes al Sistema de Seguridad Social Integral de sus empleados se debe aportar con la presentación de la oferta y constituye un criterio de admisión de esta; sin perjuicio de que durante la ejecución del contrato también se acredite el pago al Sistema de Seguridad Social Integral para pagar las cuentas o facturas. </w:t>
            </w:r>
          </w:p>
          <w:p w14:paraId="068E35DE" w14:textId="3572A4EA" w:rsidR="00044E2C" w:rsidRPr="00831CDD" w:rsidRDefault="006710C1" w:rsidP="00740C76">
            <w:pPr>
              <w:spacing w:after="120" w:line="276" w:lineRule="auto"/>
              <w:jc w:val="both"/>
              <w:rPr>
                <w:rFonts w:ascii="Verdana" w:hAnsi="Verdana" w:cs="Arial"/>
                <w:bCs/>
                <w:color w:val="000000" w:themeColor="text1"/>
              </w:rPr>
            </w:pPr>
            <w:r w:rsidRPr="0005702E">
              <w:rPr>
                <w:rFonts w:ascii="Verdana" w:hAnsi="Verdana" w:cs="Arial"/>
                <w:lang w:val="es-ES_tradnl"/>
              </w:rPr>
              <w:t xml:space="preserve">Finalmente, en virtud del artículo 50 de la Ley 789 de 2002, la entidad verificará, tanto para las personas naturales como para las jurídicas, la realización de los aportes al Sistema de Seguridad Social Integral, al momento de su liquidación, y dejarán constancia del cumplimiento de las obligaciones del contratista frente a los aportes mencionados durante toda su vigencia, estableciendo una correcta relación entre el monto cancelado y las sumas que debieron cotizar. </w:t>
            </w:r>
          </w:p>
        </w:tc>
      </w:tr>
      <w:tr w:rsidR="001E1B19" w:rsidRPr="00593A5F" w14:paraId="59AC6410" w14:textId="77777777" w:rsidTr="0084263B">
        <w:tc>
          <w:tcPr>
            <w:tcW w:w="8828" w:type="dxa"/>
            <w:shd w:val="clear" w:color="auto" w:fill="auto"/>
          </w:tcPr>
          <w:p w14:paraId="7C7CC55C" w14:textId="77777777" w:rsidR="001E1B19" w:rsidRPr="002973E9" w:rsidRDefault="001E1B19" w:rsidP="0084263B">
            <w:pPr>
              <w:spacing w:line="276" w:lineRule="auto"/>
              <w:jc w:val="both"/>
              <w:rPr>
                <w:rFonts w:ascii="Verdana" w:eastAsia="Calibri" w:hAnsi="Verdana" w:cs="Arial"/>
                <w:lang w:val="es-ES"/>
              </w:rPr>
            </w:pPr>
          </w:p>
        </w:tc>
      </w:tr>
    </w:tbl>
    <w:p w14:paraId="4587AD94" w14:textId="77777777" w:rsidR="001E1B19" w:rsidRDefault="001E1B19" w:rsidP="001E1B19">
      <w:pPr>
        <w:tabs>
          <w:tab w:val="left" w:pos="142"/>
          <w:tab w:val="left" w:pos="284"/>
        </w:tabs>
        <w:spacing w:after="0" w:line="276" w:lineRule="auto"/>
        <w:jc w:val="both"/>
        <w:rPr>
          <w:rFonts w:ascii="Verdana" w:eastAsia="Century Gothic" w:hAnsi="Verdana" w:cs="Century Gothic"/>
          <w:b/>
          <w:bCs/>
          <w:lang w:val="es-ES"/>
        </w:rPr>
      </w:pPr>
    </w:p>
    <w:p w14:paraId="011AD299" w14:textId="77777777" w:rsidR="001E1B19" w:rsidRPr="00593A5F" w:rsidRDefault="001E1B19" w:rsidP="001E1B19">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Razones de la respuesta:</w:t>
      </w:r>
    </w:p>
    <w:p w14:paraId="7D0DE429" w14:textId="77777777" w:rsidR="001E1B19" w:rsidRPr="00593A5F" w:rsidRDefault="001E1B19" w:rsidP="001E1B19">
      <w:pPr>
        <w:spacing w:after="0" w:line="276" w:lineRule="auto"/>
        <w:jc w:val="both"/>
        <w:rPr>
          <w:rFonts w:ascii="Verdana" w:eastAsia="Calibri" w:hAnsi="Verdana" w:cs="Arial"/>
          <w:color w:val="7030A0"/>
          <w:lang w:val="es-ES"/>
        </w:rPr>
      </w:pPr>
    </w:p>
    <w:p w14:paraId="18F6FC06" w14:textId="77777777" w:rsidR="001E1B19" w:rsidRDefault="001E1B19" w:rsidP="001E1B19">
      <w:pPr>
        <w:spacing w:after="0" w:line="276" w:lineRule="auto"/>
        <w:jc w:val="both"/>
        <w:rPr>
          <w:rFonts w:ascii="Verdana" w:eastAsia="Calibri" w:hAnsi="Verdana" w:cs="Arial"/>
          <w:lang w:val="es-ES"/>
        </w:rPr>
      </w:pPr>
      <w:r w:rsidRPr="00542ED3">
        <w:rPr>
          <w:rFonts w:ascii="Verdana" w:eastAsia="Calibri" w:hAnsi="Verdana" w:cs="Arial"/>
          <w:lang w:val="es-ES"/>
        </w:rPr>
        <w:t xml:space="preserve">Lo anterior se sustenta en las siguientes consideraciones: </w:t>
      </w:r>
    </w:p>
    <w:p w14:paraId="1E4CC2E7" w14:textId="1FC319DE" w:rsidR="00170CE6" w:rsidRDefault="00170CE6" w:rsidP="00170CE6">
      <w:pPr>
        <w:pStyle w:val="Prrafodelista"/>
        <w:numPr>
          <w:ilvl w:val="0"/>
          <w:numId w:val="23"/>
        </w:numPr>
        <w:spacing w:before="120"/>
        <w:ind w:left="709" w:right="49"/>
        <w:jc w:val="both"/>
        <w:rPr>
          <w:rFonts w:ascii="Verdana" w:eastAsia="Arial" w:hAnsi="Verdana" w:cs="Arial"/>
          <w:lang w:eastAsia="es-ES" w:bidi="es-ES"/>
        </w:rPr>
      </w:pPr>
      <w:r>
        <w:rPr>
          <w:rFonts w:ascii="Verdana" w:eastAsia="Arial" w:hAnsi="Verdana" w:cs="Arial"/>
          <w:lang w:eastAsia="es-ES" w:bidi="es-ES"/>
        </w:rPr>
        <w:t xml:space="preserve">La </w:t>
      </w:r>
      <w:r w:rsidRPr="00864A31">
        <w:rPr>
          <w:rFonts w:ascii="Verdana" w:eastAsia="Arial" w:hAnsi="Verdana" w:cs="Arial"/>
          <w:lang w:eastAsia="es-ES" w:bidi="es-ES"/>
        </w:rPr>
        <w:t>autonomía de las entidades públicas en Colombia es un principio fundamental que les permite gestionar y tomar decisiones de manera independiente dentro del marco de sus competencias y funciones asignadas por la Constitución y las leyes. Este principio es esencial para la descentralización administrativa y para asegurar que las entidades públicas puedan cumplir eficientemente con sus objetivos y responsabilidades.</w:t>
      </w:r>
    </w:p>
    <w:p w14:paraId="01DDED6A" w14:textId="77777777" w:rsidR="00170CE6" w:rsidRDefault="00170CE6" w:rsidP="00170CE6">
      <w:pPr>
        <w:pStyle w:val="Prrafodelista"/>
        <w:spacing w:before="120"/>
        <w:ind w:left="709" w:right="49"/>
        <w:jc w:val="both"/>
        <w:rPr>
          <w:rFonts w:ascii="Verdana" w:eastAsia="Arial" w:hAnsi="Verdana" w:cs="Arial"/>
          <w:lang w:eastAsia="es-ES" w:bidi="es-ES"/>
        </w:rPr>
      </w:pPr>
    </w:p>
    <w:p w14:paraId="39E9B8A6" w14:textId="77777777" w:rsidR="00170CE6" w:rsidRPr="00864A31" w:rsidRDefault="00170CE6" w:rsidP="00170CE6">
      <w:pPr>
        <w:pStyle w:val="Prrafodelista"/>
        <w:numPr>
          <w:ilvl w:val="0"/>
          <w:numId w:val="23"/>
        </w:numPr>
        <w:spacing w:before="120"/>
        <w:ind w:left="709" w:right="49"/>
        <w:jc w:val="both"/>
        <w:rPr>
          <w:rFonts w:ascii="Verdana" w:eastAsia="Arial" w:hAnsi="Verdana" w:cs="Arial"/>
          <w:lang w:eastAsia="es-ES" w:bidi="es-ES"/>
        </w:rPr>
      </w:pPr>
      <w:r>
        <w:rPr>
          <w:rFonts w:ascii="Verdana" w:eastAsia="Arial" w:hAnsi="Verdana" w:cs="Arial"/>
          <w:lang w:eastAsia="es-ES" w:bidi="es-ES"/>
        </w:rPr>
        <w:t xml:space="preserve">De esta manera, de acuerdo con lo </w:t>
      </w:r>
      <w:proofErr w:type="gramStart"/>
      <w:r>
        <w:rPr>
          <w:rFonts w:ascii="Verdana" w:eastAsia="Arial" w:hAnsi="Verdana" w:cs="Arial"/>
          <w:lang w:eastAsia="es-ES" w:bidi="es-ES"/>
        </w:rPr>
        <w:t>previsto  en</w:t>
      </w:r>
      <w:proofErr w:type="gramEnd"/>
      <w:r>
        <w:rPr>
          <w:rFonts w:ascii="Verdana" w:eastAsia="Arial" w:hAnsi="Verdana" w:cs="Arial"/>
          <w:lang w:eastAsia="es-ES" w:bidi="es-ES"/>
        </w:rPr>
        <w:t xml:space="preserve"> el artículo 288 de la constitución política, la Ley 80 de 1993 y la Ley 1474 de 2011 se pueden identificar cuatro (4) </w:t>
      </w:r>
      <w:r w:rsidRPr="00864A31">
        <w:rPr>
          <w:rFonts w:ascii="Verdana" w:eastAsia="Arial" w:hAnsi="Verdana" w:cs="Arial"/>
          <w:lang w:val="es-CO" w:eastAsia="es-ES" w:bidi="es-ES"/>
        </w:rPr>
        <w:t xml:space="preserve">aspectos </w:t>
      </w:r>
      <w:r>
        <w:rPr>
          <w:rFonts w:ascii="Verdana" w:eastAsia="Arial" w:hAnsi="Verdana" w:cs="Arial"/>
          <w:lang w:val="es-CO" w:eastAsia="es-ES" w:bidi="es-ES"/>
        </w:rPr>
        <w:t>c</w:t>
      </w:r>
      <w:r w:rsidRPr="00864A31">
        <w:rPr>
          <w:rFonts w:ascii="Verdana" w:eastAsia="Arial" w:hAnsi="Verdana" w:cs="Arial"/>
          <w:lang w:val="es-CO" w:eastAsia="es-ES" w:bidi="es-ES"/>
        </w:rPr>
        <w:t xml:space="preserve">lave de la </w:t>
      </w:r>
      <w:r>
        <w:rPr>
          <w:rFonts w:ascii="Verdana" w:eastAsia="Arial" w:hAnsi="Verdana" w:cs="Arial"/>
          <w:lang w:val="es-CO" w:eastAsia="es-ES" w:bidi="es-ES"/>
        </w:rPr>
        <w:t>a</w:t>
      </w:r>
      <w:r w:rsidRPr="00864A31">
        <w:rPr>
          <w:rFonts w:ascii="Verdana" w:eastAsia="Arial" w:hAnsi="Verdana" w:cs="Arial"/>
          <w:lang w:val="es-CO" w:eastAsia="es-ES" w:bidi="es-ES"/>
        </w:rPr>
        <w:t>utonomía de las Entidades Públicas en Colombia</w:t>
      </w:r>
      <w:r>
        <w:rPr>
          <w:rFonts w:ascii="Verdana" w:eastAsia="Arial" w:hAnsi="Verdana" w:cs="Arial"/>
          <w:lang w:val="es-CO" w:eastAsia="es-ES" w:bidi="es-ES"/>
        </w:rPr>
        <w:t>:</w:t>
      </w:r>
    </w:p>
    <w:p w14:paraId="565D9A89" w14:textId="77777777" w:rsidR="00170CE6" w:rsidRPr="00864A31" w:rsidRDefault="00170CE6" w:rsidP="00170CE6">
      <w:pPr>
        <w:pStyle w:val="Prrafodelista"/>
        <w:rPr>
          <w:rFonts w:ascii="Verdana" w:eastAsia="Arial" w:hAnsi="Verdana" w:cs="Arial"/>
          <w:lang w:eastAsia="es-ES" w:bidi="es-ES"/>
        </w:rPr>
      </w:pPr>
    </w:p>
    <w:p w14:paraId="5FFE6FA1" w14:textId="77777777" w:rsidR="00170CE6" w:rsidRPr="00864A31" w:rsidRDefault="00170CE6" w:rsidP="00170CE6">
      <w:pPr>
        <w:pStyle w:val="Prrafodelista"/>
        <w:numPr>
          <w:ilvl w:val="0"/>
          <w:numId w:val="25"/>
        </w:numPr>
        <w:spacing w:before="120"/>
        <w:ind w:right="49"/>
        <w:jc w:val="both"/>
        <w:rPr>
          <w:rFonts w:ascii="Verdana" w:eastAsia="Arial" w:hAnsi="Verdana" w:cs="Arial"/>
          <w:lang w:eastAsia="es-ES" w:bidi="es-ES"/>
        </w:rPr>
      </w:pPr>
      <w:r w:rsidRPr="00864A31">
        <w:rPr>
          <w:rFonts w:ascii="Verdana" w:eastAsia="Arial" w:hAnsi="Verdana" w:cs="Arial"/>
          <w:lang w:eastAsia="es-ES" w:bidi="es-ES"/>
        </w:rPr>
        <w:t>Autonomía Administrativa:</w:t>
      </w:r>
    </w:p>
    <w:p w14:paraId="3F0D68FA" w14:textId="77777777" w:rsidR="00170CE6" w:rsidRDefault="00170CE6" w:rsidP="00170CE6">
      <w:pPr>
        <w:pStyle w:val="Prrafodelista"/>
        <w:spacing w:before="120"/>
        <w:ind w:right="49"/>
        <w:jc w:val="both"/>
        <w:rPr>
          <w:rFonts w:ascii="Verdana" w:eastAsia="Arial" w:hAnsi="Verdana" w:cs="Arial"/>
          <w:lang w:eastAsia="es-ES" w:bidi="es-ES"/>
        </w:rPr>
      </w:pPr>
    </w:p>
    <w:p w14:paraId="00811178" w14:textId="77777777" w:rsidR="00170CE6" w:rsidRDefault="00170CE6" w:rsidP="00170CE6">
      <w:pPr>
        <w:pStyle w:val="Prrafodelista"/>
        <w:spacing w:before="120"/>
        <w:ind w:right="49"/>
        <w:jc w:val="both"/>
        <w:rPr>
          <w:rFonts w:ascii="Verdana" w:eastAsia="Arial" w:hAnsi="Verdana" w:cs="Arial"/>
          <w:lang w:eastAsia="es-ES" w:bidi="es-ES"/>
        </w:rPr>
      </w:pPr>
      <w:r>
        <w:rPr>
          <w:rFonts w:ascii="Verdana" w:eastAsia="Arial" w:hAnsi="Verdana" w:cs="Arial"/>
          <w:lang w:eastAsia="es-ES" w:bidi="es-ES"/>
        </w:rPr>
        <w:t xml:space="preserve">Las </w:t>
      </w:r>
      <w:r w:rsidRPr="00864A31">
        <w:rPr>
          <w:rFonts w:ascii="Verdana" w:eastAsia="Arial" w:hAnsi="Verdana" w:cs="Arial"/>
          <w:lang w:eastAsia="es-ES" w:bidi="es-ES"/>
        </w:rPr>
        <w:t>entidades públicas tienen la capacidad de organizar su estructura interna, tomar decisiones sobre la gestión de sus recursos humanos y materiales, y definir políticas internas que faciliten el cumplimiento de sus funciones. Por ejemplo, un ministerio puede reestructurar sus departamentos internos para mejorar la eficiencia en la prestación de servicios.</w:t>
      </w:r>
    </w:p>
    <w:p w14:paraId="7287E97B" w14:textId="77777777" w:rsidR="00170CE6" w:rsidRPr="00864A31" w:rsidRDefault="00170CE6" w:rsidP="00170CE6">
      <w:pPr>
        <w:pStyle w:val="Prrafodelista"/>
        <w:spacing w:before="120"/>
        <w:ind w:right="49"/>
        <w:jc w:val="both"/>
        <w:rPr>
          <w:rFonts w:ascii="Verdana" w:eastAsia="Arial" w:hAnsi="Verdana" w:cs="Arial"/>
          <w:lang w:val="es-CO" w:eastAsia="es-ES" w:bidi="es-ES"/>
        </w:rPr>
      </w:pPr>
    </w:p>
    <w:p w14:paraId="6314F910" w14:textId="77777777" w:rsidR="00170CE6" w:rsidRPr="00864A31" w:rsidRDefault="00170CE6" w:rsidP="00170CE6">
      <w:pPr>
        <w:pStyle w:val="Prrafodelista"/>
        <w:numPr>
          <w:ilvl w:val="0"/>
          <w:numId w:val="24"/>
        </w:numPr>
        <w:spacing w:before="120"/>
        <w:ind w:right="49"/>
        <w:jc w:val="both"/>
        <w:rPr>
          <w:rFonts w:ascii="Verdana" w:eastAsia="Arial" w:hAnsi="Verdana" w:cs="Arial"/>
          <w:lang w:eastAsia="es-ES" w:bidi="es-ES"/>
        </w:rPr>
      </w:pPr>
      <w:r w:rsidRPr="00864A31">
        <w:rPr>
          <w:rFonts w:ascii="Verdana" w:eastAsia="Arial" w:hAnsi="Verdana" w:cs="Arial"/>
          <w:lang w:eastAsia="es-ES" w:bidi="es-ES"/>
        </w:rPr>
        <w:t>Autonomía Financiera:</w:t>
      </w:r>
    </w:p>
    <w:p w14:paraId="36A3B70D" w14:textId="77777777" w:rsidR="00170CE6" w:rsidRPr="00864A31" w:rsidRDefault="00170CE6" w:rsidP="00170CE6">
      <w:pPr>
        <w:spacing w:before="120"/>
        <w:ind w:left="851" w:right="49"/>
        <w:jc w:val="both"/>
        <w:rPr>
          <w:rFonts w:ascii="Verdana" w:eastAsia="Arial" w:hAnsi="Verdana" w:cs="Arial"/>
          <w:lang w:eastAsia="es-ES" w:bidi="es-ES"/>
        </w:rPr>
      </w:pPr>
      <w:r w:rsidRPr="00864A31">
        <w:rPr>
          <w:rFonts w:ascii="Verdana" w:eastAsia="Arial" w:hAnsi="Verdana" w:cs="Arial"/>
          <w:lang w:eastAsia="es-ES" w:bidi="es-ES"/>
        </w:rPr>
        <w:t>Algunas entidades, especialmente las territoriales (departamentos, municipios, y distritos), tienen la facultad de gestionar sus propios recursos económicos. Esto incluye la capacidad de crear y manejar su presupuesto, recaudar impuestos locales, y decidir sobre la asignación de sus recursos financieros. Esta autonomía está regulada por la Ley 715 de 2001, que establece el Sistema General de Participaciones y las competencias de los entes territoriales.</w:t>
      </w:r>
    </w:p>
    <w:p w14:paraId="41B23834" w14:textId="77777777" w:rsidR="00170CE6" w:rsidRPr="00864A31" w:rsidRDefault="00170CE6" w:rsidP="00170CE6">
      <w:pPr>
        <w:pStyle w:val="Prrafodelista"/>
        <w:numPr>
          <w:ilvl w:val="0"/>
          <w:numId w:val="24"/>
        </w:numPr>
        <w:spacing w:before="120"/>
        <w:ind w:left="709" w:right="49"/>
        <w:jc w:val="both"/>
        <w:rPr>
          <w:rFonts w:ascii="Verdana" w:eastAsia="Arial" w:hAnsi="Verdana" w:cs="Arial"/>
          <w:lang w:eastAsia="es-ES" w:bidi="es-ES"/>
        </w:rPr>
      </w:pPr>
      <w:r w:rsidRPr="00864A31">
        <w:rPr>
          <w:rFonts w:ascii="Verdana" w:eastAsia="Arial" w:hAnsi="Verdana" w:cs="Arial"/>
          <w:lang w:eastAsia="es-ES" w:bidi="es-ES"/>
        </w:rPr>
        <w:t>Autonomía Normativa:</w:t>
      </w:r>
    </w:p>
    <w:p w14:paraId="6D22EB7E" w14:textId="77777777" w:rsidR="00170CE6" w:rsidRPr="00864A31" w:rsidRDefault="00170CE6" w:rsidP="00170CE6">
      <w:pPr>
        <w:spacing w:before="120"/>
        <w:ind w:left="709" w:right="49"/>
        <w:jc w:val="both"/>
        <w:rPr>
          <w:rFonts w:ascii="Verdana" w:eastAsia="Arial" w:hAnsi="Verdana" w:cs="Arial"/>
          <w:lang w:eastAsia="es-ES" w:bidi="es-ES"/>
        </w:rPr>
      </w:pPr>
      <w:r w:rsidRPr="00864A31">
        <w:rPr>
          <w:rFonts w:ascii="Verdana" w:eastAsia="Arial" w:hAnsi="Verdana" w:cs="Arial"/>
          <w:lang w:eastAsia="es-ES" w:bidi="es-ES"/>
        </w:rPr>
        <w:t>Las entidades públicas pueden expedir normas internas, como resoluciones, decretos y reglamentos, que les permitan regular aspectos específicos de su funcionamiento. Por ejemplo, una entidad puede establecer procedimientos internos para la contratación de personal o la adquisición de bienes y servicios.</w:t>
      </w:r>
    </w:p>
    <w:p w14:paraId="7E24E7D8" w14:textId="77777777" w:rsidR="00170CE6" w:rsidRPr="00864A31" w:rsidRDefault="00170CE6" w:rsidP="00170CE6">
      <w:pPr>
        <w:pStyle w:val="Prrafodelista"/>
        <w:numPr>
          <w:ilvl w:val="0"/>
          <w:numId w:val="24"/>
        </w:numPr>
        <w:spacing w:before="120"/>
        <w:ind w:left="709" w:right="49"/>
        <w:jc w:val="both"/>
        <w:rPr>
          <w:rFonts w:ascii="Verdana" w:eastAsia="Arial" w:hAnsi="Verdana" w:cs="Arial"/>
          <w:lang w:eastAsia="es-ES" w:bidi="es-ES"/>
        </w:rPr>
      </w:pPr>
      <w:r w:rsidRPr="00864A31">
        <w:rPr>
          <w:rFonts w:ascii="Verdana" w:eastAsia="Arial" w:hAnsi="Verdana" w:cs="Arial"/>
          <w:lang w:eastAsia="es-ES" w:bidi="es-ES"/>
        </w:rPr>
        <w:t>Autonomía Contractual:</w:t>
      </w:r>
    </w:p>
    <w:p w14:paraId="68DF34B0" w14:textId="77777777" w:rsidR="00170CE6" w:rsidRPr="00864A31" w:rsidRDefault="00170CE6" w:rsidP="00170CE6">
      <w:pPr>
        <w:spacing w:before="120"/>
        <w:ind w:left="709" w:right="49"/>
        <w:jc w:val="both"/>
        <w:rPr>
          <w:rFonts w:ascii="Verdana" w:eastAsia="Arial" w:hAnsi="Verdana" w:cs="Arial"/>
          <w:lang w:eastAsia="es-ES" w:bidi="es-ES"/>
        </w:rPr>
      </w:pPr>
      <w:r w:rsidRPr="00864A31">
        <w:rPr>
          <w:rFonts w:ascii="Verdana" w:eastAsia="Arial" w:hAnsi="Verdana" w:cs="Arial"/>
          <w:lang w:eastAsia="es-ES" w:bidi="es-ES"/>
        </w:rPr>
        <w:t>Las entidades públicas tienen la capacidad de celebrar contratos para la adquisición de bienes, servicios, y obras públicas. Esta autonomía está enmarcada dentro de la Ley 80 de 1993, que regula la contratación pública en Colombia, estableciendo los principios de transparencia, eficiencia y publicidad que deben guiar estos procesos.</w:t>
      </w:r>
    </w:p>
    <w:p w14:paraId="55F54171" w14:textId="77777777" w:rsidR="00170CE6" w:rsidRDefault="00170CE6" w:rsidP="00170CE6">
      <w:pPr>
        <w:pStyle w:val="Prrafodelista"/>
        <w:numPr>
          <w:ilvl w:val="0"/>
          <w:numId w:val="26"/>
        </w:numPr>
        <w:spacing w:line="276" w:lineRule="auto"/>
        <w:jc w:val="both"/>
        <w:rPr>
          <w:rFonts w:ascii="Verdana" w:eastAsia="Calibri" w:hAnsi="Verdana" w:cs="Arial"/>
          <w:color w:val="000000"/>
          <w:lang w:eastAsia="es-ES"/>
        </w:rPr>
      </w:pPr>
      <w:r w:rsidRPr="00446552">
        <w:rPr>
          <w:rFonts w:ascii="Verdana" w:eastAsia="Calibri" w:hAnsi="Verdana" w:cs="Arial"/>
          <w:color w:val="000000"/>
          <w:lang w:eastAsia="es-ES"/>
        </w:rPr>
        <w:t>De esta manera</w:t>
      </w:r>
      <w:r>
        <w:rPr>
          <w:rFonts w:ascii="Verdana" w:eastAsia="Calibri" w:hAnsi="Verdana" w:cs="Arial"/>
          <w:color w:val="000000"/>
          <w:lang w:eastAsia="es-ES"/>
        </w:rPr>
        <w:t>,</w:t>
      </w:r>
      <w:r w:rsidRPr="00446552">
        <w:rPr>
          <w:rFonts w:ascii="Verdana" w:eastAsia="Calibri" w:hAnsi="Verdana" w:cs="Arial"/>
          <w:color w:val="000000"/>
          <w:lang w:eastAsia="es-ES"/>
        </w:rPr>
        <w:t xml:space="preserve"> en desarrollo del principio de autonomía </w:t>
      </w:r>
      <w:r w:rsidRPr="00446552">
        <w:rPr>
          <w:rFonts w:ascii="Verdana" w:hAnsi="Verdana"/>
        </w:rPr>
        <w:t>las</w:t>
      </w:r>
      <w:r w:rsidRPr="00446552">
        <w:rPr>
          <w:rFonts w:ascii="Verdana" w:eastAsia="Calibri" w:hAnsi="Verdana" w:cs="Arial"/>
          <w:color w:val="000000"/>
          <w:lang w:eastAsia="es-ES"/>
        </w:rPr>
        <w:t xml:space="preserve"> entidades públicas en Colombia tienen la capacidad de tomar decisiones y actuar en el marco de sus competencias, sin necesidad de una intervención directa o control de otras entidades o poderes del Estado, siempre y cuando estas acciones estén alineadas con los principios constitucionales, las leyes y las normativas que rigen su funcionamiento.</w:t>
      </w:r>
    </w:p>
    <w:p w14:paraId="3CDC6F68" w14:textId="77777777" w:rsidR="00170CE6" w:rsidRPr="000071C0" w:rsidRDefault="00170CE6" w:rsidP="00170CE6">
      <w:pPr>
        <w:spacing w:before="120"/>
        <w:ind w:left="709"/>
        <w:jc w:val="both"/>
        <w:rPr>
          <w:rFonts w:ascii="Verdana" w:hAnsi="Verdana" w:cs="Arial"/>
        </w:rPr>
      </w:pPr>
      <w:r w:rsidRPr="000071C0">
        <w:rPr>
          <w:rFonts w:ascii="Verdana" w:hAnsi="Verdana" w:cs="Arial"/>
        </w:rPr>
        <w:t xml:space="preserve">En </w:t>
      </w:r>
      <w:r>
        <w:rPr>
          <w:rFonts w:ascii="Verdana" w:hAnsi="Verdana" w:cs="Arial"/>
        </w:rPr>
        <w:t>efecto</w:t>
      </w:r>
      <w:r w:rsidRPr="000071C0">
        <w:rPr>
          <w:rFonts w:ascii="Verdana" w:hAnsi="Verdana" w:cs="Arial"/>
        </w:rPr>
        <w:t>, se les concedió a las entidades públicas la capacidad jurídica para llevar a cabo su contratación, lo cual se traduce en que gozan de plena autonomía e independencia para gestionar la satisfacción de sus necesidades en ejecución de la actividad contractual.</w:t>
      </w:r>
    </w:p>
    <w:p w14:paraId="6AC16452" w14:textId="3282F79D" w:rsidR="00170CE6" w:rsidRDefault="00170CE6" w:rsidP="006710C1">
      <w:pPr>
        <w:spacing w:before="120"/>
        <w:ind w:left="709"/>
        <w:jc w:val="both"/>
        <w:rPr>
          <w:rFonts w:ascii="Verdana" w:hAnsi="Verdana" w:cs="Arial"/>
        </w:rPr>
      </w:pPr>
      <w:r w:rsidRPr="00446552">
        <w:rPr>
          <w:rFonts w:ascii="Verdana" w:eastAsia="Calibri" w:hAnsi="Verdana" w:cs="Arial"/>
          <w:color w:val="000000"/>
          <w:lang w:val="es-ES" w:eastAsia="es-ES"/>
        </w:rPr>
        <w:t xml:space="preserve">Esta autonomía </w:t>
      </w:r>
      <w:r w:rsidRPr="00446552">
        <w:rPr>
          <w:rFonts w:ascii="Verdana" w:eastAsia="Calibri" w:hAnsi="Verdana" w:cs="Arial"/>
          <w:color w:val="000000"/>
          <w:lang w:eastAsia="es-ES"/>
        </w:rPr>
        <w:t xml:space="preserve">incluye la posibilidad de </w:t>
      </w:r>
      <w:r w:rsidR="006710C1" w:rsidRPr="00A068FC">
        <w:rPr>
          <w:rFonts w:ascii="Verdana" w:eastAsia="Calibri" w:hAnsi="Verdana" w:cs="Arial"/>
          <w:lang w:eastAsia="es-ES_tradnl"/>
        </w:rPr>
        <w:t>celebrar los contratos</w:t>
      </w:r>
      <w:r w:rsidR="006710C1">
        <w:rPr>
          <w:rFonts w:ascii="Verdana" w:eastAsia="Calibri" w:hAnsi="Verdana" w:cs="Arial"/>
          <w:lang w:eastAsia="es-ES_tradnl"/>
        </w:rPr>
        <w:t xml:space="preserve"> con entidades privadas </w:t>
      </w:r>
      <w:r w:rsidRPr="000071C0">
        <w:rPr>
          <w:rFonts w:ascii="Verdana" w:hAnsi="Verdana" w:cs="Arial"/>
        </w:rPr>
        <w:t xml:space="preserve">para gestionar la satisfacción de sus necesidades en ejecución de la actividad </w:t>
      </w:r>
      <w:proofErr w:type="gramStart"/>
      <w:r w:rsidRPr="000071C0">
        <w:rPr>
          <w:rFonts w:ascii="Verdana" w:hAnsi="Verdana" w:cs="Arial"/>
        </w:rPr>
        <w:t>contractual</w:t>
      </w:r>
      <w:r w:rsidR="006710C1">
        <w:rPr>
          <w:rFonts w:ascii="Verdana" w:hAnsi="Verdana" w:cs="Arial"/>
        </w:rPr>
        <w:t xml:space="preserve"> </w:t>
      </w:r>
      <w:r w:rsidRPr="000071C0">
        <w:rPr>
          <w:rFonts w:ascii="Verdana" w:hAnsi="Verdana" w:cs="Arial"/>
        </w:rPr>
        <w:t xml:space="preserve"> conforme</w:t>
      </w:r>
      <w:proofErr w:type="gramEnd"/>
      <w:r w:rsidRPr="000071C0">
        <w:rPr>
          <w:rFonts w:ascii="Verdana" w:hAnsi="Verdana" w:cs="Arial"/>
        </w:rPr>
        <w:t xml:space="preserve"> a las disposiciones que rigen la contratación estatal</w:t>
      </w:r>
      <w:r w:rsidR="006710C1">
        <w:rPr>
          <w:rFonts w:ascii="Verdana" w:hAnsi="Verdana" w:cs="Arial"/>
        </w:rPr>
        <w:t>.</w:t>
      </w:r>
    </w:p>
    <w:p w14:paraId="1A472E2E" w14:textId="77777777" w:rsidR="007E6422" w:rsidRDefault="007E6422" w:rsidP="007E6422">
      <w:pPr>
        <w:pStyle w:val="Prrafodelista"/>
        <w:numPr>
          <w:ilvl w:val="0"/>
          <w:numId w:val="27"/>
        </w:numPr>
        <w:spacing w:after="0" w:line="276" w:lineRule="auto"/>
        <w:jc w:val="both"/>
        <w:rPr>
          <w:rFonts w:ascii="Verdana" w:eastAsia="Calibri" w:hAnsi="Verdana" w:cs="Arial"/>
          <w:color w:val="000000" w:themeColor="text1"/>
        </w:rPr>
      </w:pPr>
      <w:r w:rsidRPr="0056753A">
        <w:rPr>
          <w:rFonts w:ascii="Verdana" w:eastAsia="Calibri" w:hAnsi="Verdana" w:cs="Arial"/>
          <w:color w:val="000000" w:themeColor="text1"/>
        </w:rPr>
        <w:lastRenderedPageBreak/>
        <w:t>En materia de contratación estatal, el artículo 50 de la Ley 789 de 2002 dispuso como obligación de quien quiere celebrar, renovar o liquidar contratos de cualquier naturaleza con entidades del sector público, cumplir con las obligaciones a los sistemas de salud, riesgos profesionales, pensiones y aportes a la Caja de Compensación Familiar, Instituto Colombiano de Bienestar Familiar y Servicio Nacional de Aprendizaje. Así mismo, se facultó a la Entidad Estatal, al momento de liquidar los contratos, para verificar y dejar constancia del cumplimiento de las obligaciones del contratista frente a los aportes mencionados durante toda su vigencia, estableciendo una correcta relación entre el monto cancelado y las sumas que debió cotizar</w:t>
      </w:r>
      <w:r>
        <w:rPr>
          <w:rFonts w:ascii="Verdana" w:eastAsia="Calibri" w:hAnsi="Verdana" w:cs="Arial"/>
          <w:color w:val="000000" w:themeColor="text1"/>
        </w:rPr>
        <w:t>.</w:t>
      </w:r>
    </w:p>
    <w:p w14:paraId="37C3583B" w14:textId="77777777" w:rsidR="007E6422" w:rsidRPr="0056753A" w:rsidRDefault="007E6422" w:rsidP="007E6422">
      <w:pPr>
        <w:pStyle w:val="Prrafodelista"/>
        <w:rPr>
          <w:rFonts w:ascii="Verdana" w:eastAsia="Calibri" w:hAnsi="Verdana" w:cs="Arial"/>
          <w:color w:val="000000" w:themeColor="text1"/>
        </w:rPr>
      </w:pPr>
    </w:p>
    <w:p w14:paraId="5C1C956F" w14:textId="77777777" w:rsidR="007E6422" w:rsidRPr="009A7FE0" w:rsidRDefault="007E6422" w:rsidP="007E6422">
      <w:pPr>
        <w:pStyle w:val="Prrafodelista"/>
        <w:numPr>
          <w:ilvl w:val="0"/>
          <w:numId w:val="27"/>
        </w:numPr>
        <w:spacing w:after="0" w:line="276" w:lineRule="auto"/>
        <w:jc w:val="both"/>
        <w:rPr>
          <w:rFonts w:ascii="Verdana" w:eastAsia="Calibri" w:hAnsi="Verdana" w:cs="Arial"/>
          <w:color w:val="000000" w:themeColor="text1"/>
        </w:rPr>
      </w:pPr>
      <w:r>
        <w:rPr>
          <w:rFonts w:ascii="Verdana" w:eastAsia="Calibri" w:hAnsi="Verdana" w:cs="Arial"/>
          <w:color w:val="000000" w:themeColor="text1"/>
        </w:rPr>
        <w:t xml:space="preserve">Tenemos entonces que </w:t>
      </w:r>
      <w:r w:rsidRPr="009A7FE0">
        <w:rPr>
          <w:rFonts w:ascii="Verdana" w:eastAsia="Calibri" w:hAnsi="Verdana" w:cs="Arial"/>
          <w:color w:val="000000" w:themeColor="text1"/>
          <w:lang w:val="es-CO"/>
        </w:rPr>
        <w:t xml:space="preserve">la verificación de los aportes al Sistema de Seguridad Social cambia, dependiendo si se trata de una persona natural o de una jurídica: i) si es una </w:t>
      </w:r>
      <w:r w:rsidRPr="009A7FE0">
        <w:rPr>
          <w:rFonts w:ascii="Verdana" w:eastAsia="Calibri" w:hAnsi="Verdana" w:cs="Arial"/>
          <w:i/>
          <w:color w:val="000000" w:themeColor="text1"/>
          <w:lang w:val="es-CO"/>
        </w:rPr>
        <w:t>natural</w:t>
      </w:r>
      <w:r w:rsidRPr="009A7FE0">
        <w:rPr>
          <w:rFonts w:ascii="Verdana" w:eastAsia="Calibri" w:hAnsi="Verdana" w:cs="Arial"/>
          <w:color w:val="000000" w:themeColor="text1"/>
          <w:lang w:val="es-CO"/>
        </w:rPr>
        <w:t xml:space="preserve">, la Entidad Estatal verificará el pago al Sistema de Seguridad Social Integral cuando se realicen los pagos del contrato, es decir, durante su ejecución y ii) si se refiere a una </w:t>
      </w:r>
      <w:r w:rsidRPr="009A7FE0">
        <w:rPr>
          <w:rFonts w:ascii="Verdana" w:eastAsia="Calibri" w:hAnsi="Verdana" w:cs="Arial"/>
          <w:i/>
          <w:color w:val="000000" w:themeColor="text1"/>
          <w:lang w:val="es-CO"/>
        </w:rPr>
        <w:t>persona jurídica</w:t>
      </w:r>
      <w:r w:rsidRPr="009A7FE0">
        <w:rPr>
          <w:rFonts w:ascii="Verdana" w:eastAsia="Calibri" w:hAnsi="Verdana" w:cs="Arial"/>
          <w:color w:val="000000" w:themeColor="text1"/>
          <w:lang w:val="es-CO"/>
        </w:rPr>
        <w:t>, el comprobante de pago de los aportes al Sistema de Seguridad Social Integral de sus empleados se debe aportar con la presentación de la oferta y constituye un criterio de admisión de esta; sin perjuicio de que durante la ejecución del contrato también se acredite el pago al Sistema de Seguridad Social Integral para pagar las cuentas o facturas.</w:t>
      </w:r>
    </w:p>
    <w:p w14:paraId="4F9DAE52" w14:textId="77777777" w:rsidR="007E6422" w:rsidRPr="009A7FE0" w:rsidRDefault="007E6422" w:rsidP="007E6422">
      <w:pPr>
        <w:pStyle w:val="Prrafodelista"/>
        <w:rPr>
          <w:rFonts w:ascii="Verdana" w:eastAsia="Calibri" w:hAnsi="Verdana" w:cs="Arial"/>
          <w:color w:val="000000" w:themeColor="text1"/>
        </w:rPr>
      </w:pPr>
    </w:p>
    <w:p w14:paraId="6F356850" w14:textId="77777777" w:rsidR="007E6422" w:rsidRDefault="007E6422" w:rsidP="007E6422">
      <w:pPr>
        <w:pStyle w:val="Prrafodelista"/>
        <w:numPr>
          <w:ilvl w:val="0"/>
          <w:numId w:val="27"/>
        </w:numPr>
        <w:spacing w:after="0" w:line="276" w:lineRule="auto"/>
        <w:jc w:val="both"/>
        <w:rPr>
          <w:rFonts w:ascii="Verdana" w:eastAsia="Calibri" w:hAnsi="Verdana" w:cs="Arial"/>
          <w:color w:val="000000" w:themeColor="text1"/>
        </w:rPr>
      </w:pPr>
      <w:r w:rsidRPr="009A7FE0">
        <w:rPr>
          <w:rFonts w:ascii="Verdana" w:eastAsia="Calibri" w:hAnsi="Verdana" w:cs="Arial"/>
          <w:color w:val="000000" w:themeColor="text1"/>
        </w:rPr>
        <w:t xml:space="preserve">Finalmente, en virtud del artículo 50 de la Ley 789 de 2002, la entidad verificará, </w:t>
      </w:r>
      <w:r>
        <w:rPr>
          <w:rFonts w:ascii="Verdana" w:eastAsia="Calibri" w:hAnsi="Verdana" w:cs="Arial"/>
          <w:color w:val="000000" w:themeColor="text1"/>
        </w:rPr>
        <w:t>si la persona natural</w:t>
      </w:r>
      <w:r w:rsidRPr="009A7FE0">
        <w:rPr>
          <w:rFonts w:ascii="Verdana" w:eastAsia="Calibri" w:hAnsi="Verdana" w:cs="Arial"/>
          <w:color w:val="000000" w:themeColor="text1"/>
        </w:rPr>
        <w:t xml:space="preserve">, </w:t>
      </w:r>
      <w:r>
        <w:rPr>
          <w:rFonts w:ascii="Verdana" w:eastAsia="Calibri" w:hAnsi="Verdana" w:cs="Arial"/>
          <w:color w:val="000000" w:themeColor="text1"/>
        </w:rPr>
        <w:t xml:space="preserve">realizo </w:t>
      </w:r>
      <w:r w:rsidRPr="009A7FE0">
        <w:rPr>
          <w:rFonts w:ascii="Verdana" w:eastAsia="Calibri" w:hAnsi="Verdana" w:cs="Arial"/>
          <w:color w:val="000000" w:themeColor="text1"/>
        </w:rPr>
        <w:t>los aportes al Sistema de Seguridad Social Integral, al momento de su liquidación, y dejarán constancia del cumplimiento de las obligaciones del contratista frente a los aportes mencionados durante toda su vigencia, estableciendo una correcta relación entre el monto cancelado y las sumas que debieron cotizar.</w:t>
      </w:r>
    </w:p>
    <w:p w14:paraId="02B0DEC0" w14:textId="77777777" w:rsidR="00270335" w:rsidRDefault="00270335" w:rsidP="00270335">
      <w:pPr>
        <w:spacing w:after="0" w:line="276" w:lineRule="auto"/>
        <w:jc w:val="both"/>
        <w:rPr>
          <w:rFonts w:ascii="Verdana" w:eastAsia="Calibri" w:hAnsi="Verdana" w:cs="Arial"/>
        </w:rPr>
      </w:pPr>
    </w:p>
    <w:p w14:paraId="06400FCA" w14:textId="77777777" w:rsidR="001E1B19" w:rsidRPr="00A37605" w:rsidRDefault="001E1B19" w:rsidP="001E1B19">
      <w:pPr>
        <w:numPr>
          <w:ilvl w:val="0"/>
          <w:numId w:val="16"/>
        </w:numPr>
        <w:tabs>
          <w:tab w:val="left" w:pos="142"/>
          <w:tab w:val="left" w:pos="284"/>
        </w:tabs>
        <w:spacing w:after="0" w:line="276" w:lineRule="auto"/>
        <w:ind w:left="0" w:firstLine="0"/>
        <w:jc w:val="both"/>
        <w:rPr>
          <w:rFonts w:ascii="Verdana" w:eastAsia="Century Gothic" w:hAnsi="Verdana" w:cs="Century Gothic"/>
          <w:b/>
          <w:bCs/>
          <w:lang w:val="es-ES"/>
        </w:rPr>
      </w:pPr>
      <w:r w:rsidRPr="00A37605">
        <w:rPr>
          <w:rFonts w:ascii="Verdana" w:eastAsia="Century Gothic" w:hAnsi="Verdana" w:cs="Century Gothic"/>
          <w:b/>
          <w:bCs/>
          <w:lang w:val="es-ES"/>
        </w:rPr>
        <w:t>Referencias normativas, jurisprudenciales y otras fuentes:</w:t>
      </w:r>
    </w:p>
    <w:p w14:paraId="62AA7A78" w14:textId="77777777" w:rsidR="001E1B19" w:rsidRPr="00A37605" w:rsidRDefault="001E1B19" w:rsidP="001E1B19">
      <w:pPr>
        <w:tabs>
          <w:tab w:val="left" w:pos="142"/>
          <w:tab w:val="left" w:pos="284"/>
        </w:tabs>
        <w:spacing w:after="0" w:line="276" w:lineRule="auto"/>
        <w:jc w:val="both"/>
        <w:rPr>
          <w:rFonts w:ascii="Verdana" w:eastAsia="Century Gothic" w:hAnsi="Verdana" w:cs="Century Gothic"/>
          <w:b/>
          <w:bCs/>
          <w:lang w:val="es-ES"/>
        </w:rPr>
      </w:pPr>
    </w:p>
    <w:tbl>
      <w:tblPr>
        <w:tblStyle w:val="Tablaconcuadrcula1"/>
        <w:tblW w:w="8640"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0"/>
      </w:tblGrid>
      <w:tr w:rsidR="001E1B19" w:rsidRPr="00A37605" w14:paraId="5F405FCD" w14:textId="77777777" w:rsidTr="0084263B">
        <w:trPr>
          <w:trHeight w:val="870"/>
        </w:trPr>
        <w:tc>
          <w:tcPr>
            <w:tcW w:w="8647" w:type="dxa"/>
            <w:tcBorders>
              <w:top w:val="dotted" w:sz="4" w:space="0" w:color="auto"/>
              <w:left w:val="dotted" w:sz="4" w:space="0" w:color="auto"/>
              <w:bottom w:val="dotted" w:sz="4" w:space="0" w:color="auto"/>
              <w:right w:val="dotted" w:sz="4" w:space="0" w:color="auto"/>
            </w:tcBorders>
          </w:tcPr>
          <w:p w14:paraId="42C6DEB2" w14:textId="549D137D" w:rsidR="000B03C9" w:rsidRDefault="000B03C9" w:rsidP="000B03C9">
            <w:pPr>
              <w:widowControl w:val="0"/>
              <w:numPr>
                <w:ilvl w:val="0"/>
                <w:numId w:val="17"/>
              </w:numPr>
              <w:autoSpaceDE w:val="0"/>
              <w:autoSpaceDN w:val="0"/>
              <w:spacing w:after="120" w:line="276" w:lineRule="auto"/>
              <w:jc w:val="both"/>
              <w:rPr>
                <w:rFonts w:ascii="Verdana" w:hAnsi="Verdana" w:cs="Arial"/>
              </w:rPr>
            </w:pPr>
            <w:r>
              <w:rPr>
                <w:rFonts w:ascii="Verdana" w:hAnsi="Verdana" w:cs="Arial"/>
              </w:rPr>
              <w:t>Ley 80 de 1993.</w:t>
            </w:r>
          </w:p>
          <w:p w14:paraId="3B55BA69" w14:textId="6B28F782" w:rsidR="000B03C9" w:rsidRDefault="000B03C9" w:rsidP="000B03C9">
            <w:pPr>
              <w:widowControl w:val="0"/>
              <w:numPr>
                <w:ilvl w:val="0"/>
                <w:numId w:val="17"/>
              </w:numPr>
              <w:autoSpaceDE w:val="0"/>
              <w:autoSpaceDN w:val="0"/>
              <w:spacing w:after="120" w:line="276" w:lineRule="auto"/>
              <w:jc w:val="both"/>
              <w:rPr>
                <w:rFonts w:ascii="Verdana" w:hAnsi="Verdana" w:cs="Arial"/>
              </w:rPr>
            </w:pPr>
            <w:r>
              <w:rPr>
                <w:rFonts w:ascii="Verdana" w:hAnsi="Verdana" w:cs="Arial"/>
              </w:rPr>
              <w:t>Ley 100 de 1993.</w:t>
            </w:r>
          </w:p>
          <w:p w14:paraId="72A47FF9" w14:textId="09E8A124" w:rsidR="0006685F" w:rsidRPr="0006685F" w:rsidRDefault="0006685F" w:rsidP="000B03C9">
            <w:pPr>
              <w:widowControl w:val="0"/>
              <w:numPr>
                <w:ilvl w:val="0"/>
                <w:numId w:val="17"/>
              </w:numPr>
              <w:autoSpaceDE w:val="0"/>
              <w:autoSpaceDN w:val="0"/>
              <w:spacing w:after="120" w:line="276" w:lineRule="auto"/>
              <w:jc w:val="both"/>
              <w:rPr>
                <w:rFonts w:ascii="Verdana" w:hAnsi="Verdana" w:cs="Arial"/>
              </w:rPr>
            </w:pPr>
            <w:r>
              <w:rPr>
                <w:rFonts w:ascii="Verdana" w:eastAsia="Calibri" w:hAnsi="Verdana" w:cs="Arial"/>
                <w:color w:val="000000" w:themeColor="text1"/>
              </w:rPr>
              <w:t>A</w:t>
            </w:r>
            <w:r w:rsidRPr="009A7FE0">
              <w:rPr>
                <w:rFonts w:ascii="Verdana" w:eastAsia="Calibri" w:hAnsi="Verdana" w:cs="Arial"/>
                <w:color w:val="000000" w:themeColor="text1"/>
              </w:rPr>
              <w:t>rtículo 50 de la Ley 789 de 2002</w:t>
            </w:r>
            <w:r>
              <w:rPr>
                <w:rFonts w:ascii="Verdana" w:eastAsia="Calibri" w:hAnsi="Verdana" w:cs="Arial"/>
                <w:color w:val="000000" w:themeColor="text1"/>
              </w:rPr>
              <w:t>.</w:t>
            </w:r>
          </w:p>
          <w:p w14:paraId="34ABAA80" w14:textId="77777777" w:rsidR="0006685F" w:rsidRPr="0006685F" w:rsidRDefault="0006685F" w:rsidP="0006685F">
            <w:pPr>
              <w:widowControl w:val="0"/>
              <w:numPr>
                <w:ilvl w:val="0"/>
                <w:numId w:val="17"/>
              </w:numPr>
              <w:autoSpaceDE w:val="0"/>
              <w:autoSpaceDN w:val="0"/>
              <w:spacing w:after="120" w:line="276" w:lineRule="auto"/>
              <w:jc w:val="both"/>
              <w:rPr>
                <w:rFonts w:ascii="Verdana" w:hAnsi="Verdana" w:cs="Arial"/>
              </w:rPr>
            </w:pPr>
            <w:r w:rsidRPr="00A37605">
              <w:rPr>
                <w:rFonts w:ascii="Verdana" w:hAnsi="Verdana" w:cs="Arial"/>
              </w:rPr>
              <w:lastRenderedPageBreak/>
              <w:t>Ley 1150 de 2007</w:t>
            </w:r>
            <w:r>
              <w:rPr>
                <w:rFonts w:ascii="Verdana" w:hAnsi="Verdana" w:cs="Arial"/>
              </w:rPr>
              <w:t>.</w:t>
            </w:r>
            <w:r w:rsidRPr="009A7FE0">
              <w:rPr>
                <w:rFonts w:ascii="Verdana" w:eastAsia="Calibri" w:hAnsi="Verdana" w:cs="Arial"/>
                <w:color w:val="000000" w:themeColor="text1"/>
              </w:rPr>
              <w:t xml:space="preserve"> </w:t>
            </w:r>
          </w:p>
          <w:p w14:paraId="7879445B" w14:textId="5855C651" w:rsidR="001E1B19" w:rsidRPr="0006685F" w:rsidRDefault="000B03C9" w:rsidP="0006685F">
            <w:pPr>
              <w:pStyle w:val="Prrafodelista"/>
              <w:widowControl w:val="0"/>
              <w:numPr>
                <w:ilvl w:val="0"/>
                <w:numId w:val="17"/>
              </w:numPr>
              <w:autoSpaceDE w:val="0"/>
              <w:autoSpaceDN w:val="0"/>
              <w:spacing w:after="120" w:line="276" w:lineRule="auto"/>
              <w:jc w:val="both"/>
              <w:rPr>
                <w:rFonts w:ascii="Verdana" w:hAnsi="Verdana" w:cs="Arial"/>
              </w:rPr>
            </w:pPr>
            <w:r w:rsidRPr="0006685F">
              <w:rPr>
                <w:rFonts w:ascii="Verdana" w:eastAsia="Calibri" w:hAnsi="Verdana" w:cs="Arial"/>
              </w:rPr>
              <w:t xml:space="preserve">Decreto 1082 de 2015. </w:t>
            </w:r>
          </w:p>
        </w:tc>
      </w:tr>
    </w:tbl>
    <w:p w14:paraId="43A82858" w14:textId="77777777" w:rsidR="001E1B19" w:rsidRPr="00A37605" w:rsidRDefault="001E1B19" w:rsidP="001E1B19">
      <w:pPr>
        <w:tabs>
          <w:tab w:val="left" w:pos="142"/>
          <w:tab w:val="left" w:pos="284"/>
        </w:tabs>
        <w:spacing w:after="0" w:line="276" w:lineRule="auto"/>
        <w:jc w:val="both"/>
        <w:rPr>
          <w:rFonts w:ascii="Verdana" w:eastAsia="Calibri" w:hAnsi="Verdana" w:cs="Arial"/>
        </w:rPr>
      </w:pPr>
    </w:p>
    <w:p w14:paraId="25208EE3" w14:textId="77777777" w:rsidR="001E1B19" w:rsidRPr="00A37605" w:rsidRDefault="001E1B19" w:rsidP="001E1B19">
      <w:pPr>
        <w:numPr>
          <w:ilvl w:val="0"/>
          <w:numId w:val="16"/>
        </w:numPr>
        <w:tabs>
          <w:tab w:val="left" w:pos="142"/>
          <w:tab w:val="left" w:pos="284"/>
        </w:tabs>
        <w:spacing w:after="0" w:line="276" w:lineRule="auto"/>
        <w:ind w:left="0" w:firstLine="0"/>
        <w:jc w:val="both"/>
        <w:rPr>
          <w:rFonts w:ascii="Verdana" w:eastAsia="Century Gothic" w:hAnsi="Verdana" w:cs="Century Gothic"/>
          <w:b/>
          <w:bCs/>
          <w:lang w:val="es-ES"/>
        </w:rPr>
      </w:pPr>
      <w:r w:rsidRPr="00A37605">
        <w:rPr>
          <w:rFonts w:ascii="Verdana" w:eastAsia="Century Gothic" w:hAnsi="Verdana" w:cs="Century Gothic"/>
          <w:b/>
          <w:bCs/>
          <w:lang w:val="es-ES"/>
        </w:rPr>
        <w:t>Doctrina de la Agencia Nacional de Contratación Pública:</w:t>
      </w:r>
    </w:p>
    <w:p w14:paraId="6D1668EA" w14:textId="77777777" w:rsidR="001E1B19" w:rsidRPr="00A37605" w:rsidRDefault="001E1B19" w:rsidP="001E1B19">
      <w:pPr>
        <w:widowControl w:val="0"/>
        <w:autoSpaceDE w:val="0"/>
        <w:autoSpaceDN w:val="0"/>
        <w:spacing w:after="0" w:line="276" w:lineRule="auto"/>
        <w:jc w:val="both"/>
        <w:rPr>
          <w:rFonts w:ascii="Verdana" w:eastAsia="Calibri" w:hAnsi="Verdana" w:cs="Arial"/>
        </w:rPr>
      </w:pPr>
    </w:p>
    <w:p w14:paraId="3C9F12E6" w14:textId="2FA4932C" w:rsidR="001D7300" w:rsidRDefault="001D7300" w:rsidP="001D7300">
      <w:pPr>
        <w:spacing w:after="120" w:line="276" w:lineRule="auto"/>
        <w:jc w:val="both"/>
        <w:rPr>
          <w:rFonts w:ascii="Verdana" w:eastAsia="Calibri" w:hAnsi="Verdana" w:cs="Arial"/>
          <w:lang w:val="es-ES" w:eastAsia="es-ES"/>
        </w:rPr>
      </w:pPr>
      <w:r w:rsidRPr="000B7B3D">
        <w:rPr>
          <w:rFonts w:ascii="Verdana" w:eastAsia="Calibri" w:hAnsi="Verdana" w:cs="Arial"/>
          <w:lang w:val="es-ES" w:eastAsia="es-ES"/>
        </w:rPr>
        <w:t xml:space="preserve">La Agencia Nacional de Contratación Pública – Colombia Compra Eficiente ha estudiado </w:t>
      </w:r>
      <w:r w:rsidRPr="00A2234B">
        <w:rPr>
          <w:rStyle w:val="normaltextrun"/>
          <w:rFonts w:ascii="Verdana" w:hAnsi="Verdana" w:cs="Arial"/>
          <w:color w:val="000000" w:themeColor="text1"/>
          <w:shd w:val="clear" w:color="auto" w:fill="FFFFFF"/>
          <w:lang w:val="es-ES"/>
        </w:rPr>
        <w:t xml:space="preserve">se ha pronunciado </w:t>
      </w:r>
      <w:r w:rsidRPr="00A2234B">
        <w:rPr>
          <w:rFonts w:ascii="Verdana" w:hAnsi="Verdana" w:cs="Arial"/>
          <w:bCs/>
          <w:color w:val="1A1A1A" w:themeColor="background1" w:themeShade="1A"/>
        </w:rPr>
        <w:t xml:space="preserve">sobre </w:t>
      </w:r>
      <w:r w:rsidRPr="005902BA">
        <w:rPr>
          <w:rFonts w:ascii="Verdana" w:hAnsi="Verdana" w:cs="Arial"/>
          <w:bCs/>
          <w:color w:val="1A1A1A" w:themeColor="background1" w:themeShade="1A"/>
        </w:rPr>
        <w:t>se pronunció sobre los principios en la contratación estatal en los conceptos No. 4201912000006310 del 9 de octubre de 2019, C-223 del 29 de abril de 2020 –radicado No. 2202013000003261– y C-443 del 7 de julio de 2020 –radicado No. 2202013000005933–, No. 4201912000007661 del 24 de diciembre de 2019, C-640 del 2 de octubre de 2020, C-701 del 7 de diciembre de 2020</w:t>
      </w:r>
      <w:r>
        <w:rPr>
          <w:rFonts w:ascii="Verdana" w:hAnsi="Verdana" w:cs="Arial"/>
          <w:bCs/>
          <w:color w:val="1A1A1A" w:themeColor="background1" w:themeShade="1A"/>
        </w:rPr>
        <w:t xml:space="preserve">, </w:t>
      </w:r>
      <w:r w:rsidRPr="005902BA">
        <w:rPr>
          <w:rFonts w:ascii="Verdana" w:hAnsi="Verdana" w:cs="Arial"/>
          <w:bCs/>
          <w:color w:val="1A1A1A" w:themeColor="background1" w:themeShade="1A"/>
        </w:rPr>
        <w:t xml:space="preserve">C-811 </w:t>
      </w:r>
      <w:r>
        <w:rPr>
          <w:rFonts w:ascii="Verdana" w:hAnsi="Verdana" w:cs="Arial"/>
          <w:bCs/>
          <w:color w:val="1A1A1A" w:themeColor="background1" w:themeShade="1A"/>
        </w:rPr>
        <w:t>de</w:t>
      </w:r>
      <w:r w:rsidRPr="005902BA">
        <w:rPr>
          <w:rFonts w:ascii="Verdana" w:hAnsi="Verdana" w:cs="Arial"/>
          <w:bCs/>
          <w:color w:val="1A1A1A" w:themeColor="background1" w:themeShade="1A"/>
        </w:rPr>
        <w:t xml:space="preserve"> 2022</w:t>
      </w:r>
      <w:r>
        <w:rPr>
          <w:rFonts w:ascii="Verdana" w:hAnsi="Verdana" w:cs="Arial"/>
          <w:bCs/>
          <w:color w:val="1A1A1A" w:themeColor="background1" w:themeShade="1A"/>
        </w:rPr>
        <w:t xml:space="preserve"> y C-375 del 02 de septiembre de 2024.</w:t>
      </w:r>
    </w:p>
    <w:p w14:paraId="7DCA76D7" w14:textId="25E64A1B" w:rsidR="001D7300" w:rsidRPr="000B7B3D" w:rsidRDefault="001D7300" w:rsidP="001D7300">
      <w:pPr>
        <w:spacing w:after="120" w:line="276" w:lineRule="auto"/>
        <w:jc w:val="both"/>
        <w:rPr>
          <w:rStyle w:val="normaltextrun"/>
          <w:rFonts w:ascii="Verdana" w:hAnsi="Verdana" w:cs="Arial"/>
          <w:color w:val="FF0000"/>
          <w:shd w:val="clear" w:color="auto" w:fill="FFFFFF"/>
          <w:lang w:val="es-ES"/>
        </w:rPr>
      </w:pPr>
      <w:r>
        <w:rPr>
          <w:rFonts w:ascii="Verdana" w:eastAsia="Calibri" w:hAnsi="Verdana" w:cs="Arial"/>
          <w:lang w:val="es-ES" w:eastAsia="es-ES"/>
        </w:rPr>
        <w:t>Frente a l</w:t>
      </w:r>
      <w:r w:rsidRPr="000B7B3D">
        <w:rPr>
          <w:rFonts w:ascii="Verdana" w:eastAsia="Calibri" w:hAnsi="Verdana" w:cs="Arial"/>
          <w:lang w:val="es-ES" w:eastAsia="es-ES"/>
        </w:rPr>
        <w:t xml:space="preserve">a </w:t>
      </w:r>
      <w:r w:rsidRPr="000B7B3D">
        <w:rPr>
          <w:rFonts w:ascii="Verdana" w:eastAsia="Calibri" w:hAnsi="Verdana" w:cs="Arial"/>
        </w:rPr>
        <w:t>verificación del pago de la Seguridad Social en los contratos</w:t>
      </w:r>
      <w:r w:rsidRPr="000B7B3D">
        <w:rPr>
          <w:rFonts w:ascii="Verdana" w:eastAsia="Calibri" w:hAnsi="Verdana" w:cs="Arial"/>
          <w:lang w:val="es-ES" w:eastAsia="es-ES"/>
        </w:rPr>
        <w:t xml:space="preserve"> </w:t>
      </w:r>
      <w:r w:rsidR="00373F8E">
        <w:rPr>
          <w:rFonts w:ascii="Verdana" w:eastAsia="Calibri" w:hAnsi="Verdana" w:cs="Arial"/>
          <w:lang w:val="es-ES" w:eastAsia="es-ES"/>
        </w:rPr>
        <w:t>suscritos con personas naturales en</w:t>
      </w:r>
      <w:r w:rsidRPr="000B7B3D">
        <w:rPr>
          <w:rFonts w:ascii="Verdana" w:eastAsia="Calibri" w:hAnsi="Verdana" w:cs="Arial"/>
          <w:lang w:val="es-ES" w:eastAsia="es-ES"/>
        </w:rPr>
        <w:t xml:space="preserve"> los conceptos con</w:t>
      </w:r>
      <w:r w:rsidRPr="000B7B3D">
        <w:rPr>
          <w:rFonts w:ascii="Verdana" w:hAnsi="Verdana" w:cs="Arial"/>
        </w:rPr>
        <w:t xml:space="preserve"> radicados 42019130000005594 de 30 de septiembre de 2019, 4201913000006384 de 21 de octubre de 2019, 4201912000007492 de 17 de diciembre de 2019, C-040 de 5 de febrero de 2020 y, C-042 de 5 de febrero de 2020, C-205 del 07 de abril de 2020, C-134 del 07 de abril de 2021, C-181 de 7 de abril de 2022</w:t>
      </w:r>
      <w:r>
        <w:rPr>
          <w:rFonts w:ascii="Verdana" w:hAnsi="Verdana" w:cs="Arial"/>
        </w:rPr>
        <w:t xml:space="preserve">, </w:t>
      </w:r>
      <w:r w:rsidRPr="000B7B3D">
        <w:rPr>
          <w:rFonts w:ascii="Verdana" w:hAnsi="Verdana" w:cs="Arial"/>
        </w:rPr>
        <w:t>C-679 del 14 de octubre de 2022</w:t>
      </w:r>
      <w:r>
        <w:rPr>
          <w:rFonts w:ascii="Verdana" w:hAnsi="Verdana" w:cs="Arial"/>
        </w:rPr>
        <w:t xml:space="preserve"> y C-148 del 08 de agosto de 2024</w:t>
      </w:r>
      <w:r w:rsidRPr="000B7B3D">
        <w:rPr>
          <w:rFonts w:ascii="Verdana" w:hAnsi="Verdana" w:cs="Arial"/>
        </w:rPr>
        <w:t xml:space="preserve">. </w:t>
      </w:r>
      <w:r w:rsidRPr="000B7B3D">
        <w:rPr>
          <w:rStyle w:val="normaltextrun"/>
          <w:rFonts w:ascii="Verdana" w:hAnsi="Verdana" w:cs="Arial"/>
          <w:shd w:val="clear" w:color="auto" w:fill="FFFFFF"/>
          <w:lang w:val="es-ES"/>
        </w:rPr>
        <w:t>Es</w:t>
      </w:r>
      <w:r w:rsidRPr="000B7B3D">
        <w:rPr>
          <w:rFonts w:ascii="Verdana" w:hAnsi="Verdana"/>
        </w:rPr>
        <w:t>tos y otros conceptos se encuentran disponibles para consulta en el Sistema de relatoría de la Agencia, al cual se puede acceder a través del siguiente enlace:</w:t>
      </w:r>
      <w:r w:rsidRPr="000B7B3D">
        <w:rPr>
          <w:rStyle w:val="normaltextrun"/>
          <w:rFonts w:ascii="Verdana" w:hAnsi="Verdana" w:cs="Arial"/>
          <w:shd w:val="clear" w:color="auto" w:fill="FFFFFF"/>
          <w:lang w:val="es-ES"/>
        </w:rPr>
        <w:t xml:space="preserve"> </w:t>
      </w:r>
      <w:hyperlink r:id="rId13" w:history="1">
        <w:r w:rsidRPr="000B7B3D">
          <w:rPr>
            <w:rStyle w:val="Hipervnculo"/>
            <w:rFonts w:ascii="Verdana" w:hAnsi="Verdana" w:cs="Arial"/>
            <w:shd w:val="clear" w:color="auto" w:fill="FFFFFF"/>
            <w:lang w:val="es-ES"/>
          </w:rPr>
          <w:t>https://relatoria.colombiacompra.gov.co/busqueda/conceptos</w:t>
        </w:r>
      </w:hyperlink>
      <w:r w:rsidRPr="000B7B3D">
        <w:rPr>
          <w:rStyle w:val="normaltextrun"/>
          <w:rFonts w:ascii="Verdana" w:hAnsi="Verdana" w:cs="Arial"/>
          <w:color w:val="FF0000"/>
          <w:shd w:val="clear" w:color="auto" w:fill="FFFFFF"/>
          <w:lang w:val="es-ES"/>
        </w:rPr>
        <w:t xml:space="preserve">. </w:t>
      </w:r>
    </w:p>
    <w:p w14:paraId="62B694E2" w14:textId="77777777" w:rsidR="001E1B19" w:rsidRDefault="001E1B19" w:rsidP="001E1B19">
      <w:pPr>
        <w:widowControl w:val="0"/>
        <w:autoSpaceDE w:val="0"/>
        <w:autoSpaceDN w:val="0"/>
        <w:spacing w:after="0" w:line="276" w:lineRule="auto"/>
        <w:jc w:val="both"/>
        <w:rPr>
          <w:rFonts w:ascii="Verdana" w:hAnsi="Verdana" w:cs="Arial"/>
          <w:color w:val="000000" w:themeColor="text1"/>
          <w:shd w:val="clear" w:color="auto" w:fill="FFFFFF"/>
        </w:rPr>
      </w:pPr>
    </w:p>
    <w:p w14:paraId="117A920C" w14:textId="2F8E4F7F" w:rsidR="001E1B19" w:rsidRDefault="001E1B19" w:rsidP="001E1B19">
      <w:pPr>
        <w:widowControl w:val="0"/>
        <w:autoSpaceDE w:val="0"/>
        <w:autoSpaceDN w:val="0"/>
        <w:spacing w:after="0" w:line="276" w:lineRule="auto"/>
        <w:jc w:val="both"/>
        <w:rPr>
          <w:rFonts w:ascii="Verdana" w:hAnsi="Verdana" w:cs="Arial"/>
          <w:color w:val="000000" w:themeColor="text1"/>
          <w:shd w:val="clear" w:color="auto" w:fill="FFFFFF"/>
        </w:rPr>
      </w:pPr>
      <w:r w:rsidRPr="00D16885">
        <w:rPr>
          <w:rFonts w:ascii="Verdana" w:hAnsi="Verdana" w:cs="Arial"/>
          <w:color w:val="000000" w:themeColor="text1"/>
          <w:shd w:val="clear" w:color="auto" w:fill="FFFFFF"/>
        </w:rPr>
        <w:t>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 </w:t>
      </w:r>
      <w:hyperlink r:id="rId14" w:tgtFrame="_blank" w:history="1">
        <w:r w:rsidRPr="00D16885">
          <w:rPr>
            <w:rStyle w:val="Hipervnculo"/>
            <w:rFonts w:ascii="Verdana" w:hAnsi="Verdana" w:cs="Arial"/>
            <w:shd w:val="clear" w:color="auto" w:fill="FFFFFF"/>
          </w:rPr>
          <w:t>https://relatoria.colombiacompra.gov.co/</w:t>
        </w:r>
      </w:hyperlink>
      <w:r w:rsidRPr="00D16885">
        <w:rPr>
          <w:rFonts w:ascii="Verdana" w:hAnsi="Verdana" w:cs="Arial"/>
          <w:color w:val="000000" w:themeColor="text1"/>
          <w:shd w:val="clear" w:color="auto" w:fill="FFFFFF"/>
        </w:rPr>
        <w:t> </w:t>
      </w:r>
    </w:p>
    <w:p w14:paraId="26419813" w14:textId="77777777" w:rsidR="001E1B19" w:rsidRDefault="001E1B19" w:rsidP="001E1B19">
      <w:pPr>
        <w:widowControl w:val="0"/>
        <w:autoSpaceDE w:val="0"/>
        <w:autoSpaceDN w:val="0"/>
        <w:spacing w:after="0" w:line="276" w:lineRule="auto"/>
        <w:jc w:val="both"/>
        <w:rPr>
          <w:rStyle w:val="normaltextrun"/>
          <w:rFonts w:ascii="Verdana" w:hAnsi="Verdana" w:cs="Arial"/>
          <w:color w:val="FF0000"/>
          <w:shd w:val="clear" w:color="auto" w:fill="FFFFFF"/>
          <w:lang w:val="es-ES"/>
        </w:rPr>
      </w:pPr>
    </w:p>
    <w:p w14:paraId="34D48AA9" w14:textId="2F58EB8D" w:rsidR="00316E18" w:rsidRPr="00316E18" w:rsidRDefault="00316E18" w:rsidP="00316E18">
      <w:pPr>
        <w:widowControl w:val="0"/>
        <w:autoSpaceDE w:val="0"/>
        <w:autoSpaceDN w:val="0"/>
        <w:spacing w:after="0" w:line="276" w:lineRule="auto"/>
        <w:jc w:val="both"/>
        <w:rPr>
          <w:rFonts w:ascii="Verdana" w:hAnsi="Verdana" w:cs="Arial"/>
          <w:color w:val="000000" w:themeColor="text1"/>
          <w:shd w:val="clear" w:color="auto" w:fill="FFFFFF"/>
        </w:rPr>
      </w:pPr>
      <w:r w:rsidRPr="00316E18">
        <w:rPr>
          <w:rFonts w:ascii="Verdana" w:hAnsi="Verdana" w:cs="Arial"/>
          <w:color w:val="000000" w:themeColor="text1"/>
          <w:shd w:val="clear" w:color="auto" w:fill="FFFFFF"/>
        </w:rPr>
        <w:t>Le informamos que ya se encuentra disponible la actualización del Manual de Acuerdos Comerciales en Procesos de Contratación. Esta herramienta ofrece una orientación valiosa para que las entidades públicas determinen los acuerdos comerciales que deben incluir en sus procesos contractuales. Puede consultar la versión actualizada en el siguiente enlace: </w:t>
      </w:r>
      <w:hyperlink r:id="rId15" w:tgtFrame="_blank" w:tooltip="Dirección URL original: https://www.colombiacompra.gov.co/sites/cce_public/files/cce_documents/manual_para_el_manejo_de_acuerdos_comerciales_vf.pdf. Haga clic o pulse si confía en este vínculo." w:history="1">
        <w:r w:rsidRPr="00316E18">
          <w:rPr>
            <w:rStyle w:val="Hipervnculo"/>
            <w:rFonts w:ascii="Verdana" w:hAnsi="Verdana" w:cs="Arial"/>
            <w:shd w:val="clear" w:color="auto" w:fill="FFFFFF"/>
          </w:rPr>
          <w:t>manual_para_el_manejo_de_acuerdos_comerciales_vf.pdf</w:t>
        </w:r>
      </w:hyperlink>
    </w:p>
    <w:p w14:paraId="65160857" w14:textId="77777777" w:rsidR="00316E18" w:rsidRDefault="00316E18" w:rsidP="00316E18">
      <w:pPr>
        <w:widowControl w:val="0"/>
        <w:autoSpaceDE w:val="0"/>
        <w:autoSpaceDN w:val="0"/>
        <w:spacing w:after="0" w:line="276" w:lineRule="auto"/>
        <w:jc w:val="both"/>
        <w:rPr>
          <w:rFonts w:ascii="Verdana" w:hAnsi="Verdana" w:cs="Arial"/>
          <w:color w:val="000000" w:themeColor="text1"/>
          <w:shd w:val="clear" w:color="auto" w:fill="FFFFFF"/>
        </w:rPr>
      </w:pPr>
    </w:p>
    <w:p w14:paraId="58D851B4" w14:textId="6D90BFAC" w:rsidR="00316E18" w:rsidRPr="00316E18" w:rsidRDefault="00316E18" w:rsidP="00316E18">
      <w:pPr>
        <w:widowControl w:val="0"/>
        <w:autoSpaceDE w:val="0"/>
        <w:autoSpaceDN w:val="0"/>
        <w:spacing w:after="0" w:line="276" w:lineRule="auto"/>
        <w:jc w:val="both"/>
        <w:rPr>
          <w:rFonts w:ascii="Verdana" w:hAnsi="Verdana" w:cs="Arial"/>
          <w:color w:val="000000" w:themeColor="text1"/>
          <w:shd w:val="clear" w:color="auto" w:fill="FFFFFF"/>
        </w:rPr>
      </w:pPr>
      <w:r w:rsidRPr="00316E18">
        <w:rPr>
          <w:rFonts w:ascii="Verdana" w:hAnsi="Verdana" w:cs="Arial"/>
          <w:color w:val="000000" w:themeColor="text1"/>
          <w:shd w:val="clear" w:color="auto" w:fill="FFFFFF"/>
        </w:rPr>
        <w:t>De otra parte, te contamos que ya publicamos el borrador de la nueva Guía para Incentivar la Participación de Mujeres en el Sistema de Compras y Contratación Pública. Conoce el documento y realiza tus comentarios hasta el 2 de diciembre de 2024</w:t>
      </w:r>
      <w:r w:rsidRPr="00316E18">
        <w:rPr>
          <w:rFonts w:ascii="Verdana" w:hAnsi="Verdana" w:cs="Arial"/>
          <w:b/>
          <w:bCs/>
          <w:color w:val="000000" w:themeColor="text1"/>
          <w:shd w:val="clear" w:color="auto" w:fill="FFFFFF"/>
        </w:rPr>
        <w:t> </w:t>
      </w:r>
      <w:r w:rsidRPr="00316E18">
        <w:rPr>
          <w:rFonts w:ascii="Verdana" w:hAnsi="Verdana" w:cs="Arial"/>
          <w:color w:val="000000" w:themeColor="text1"/>
          <w:shd w:val="clear" w:color="auto" w:fill="FFFFFF"/>
        </w:rPr>
        <w:t>a través de estos enlaces:</w:t>
      </w:r>
    </w:p>
    <w:p w14:paraId="7DC35E33" w14:textId="77777777" w:rsidR="00316E18" w:rsidRPr="00316E18" w:rsidRDefault="00316E18" w:rsidP="00316E18">
      <w:pPr>
        <w:widowControl w:val="0"/>
        <w:numPr>
          <w:ilvl w:val="0"/>
          <w:numId w:val="22"/>
        </w:numPr>
        <w:autoSpaceDE w:val="0"/>
        <w:autoSpaceDN w:val="0"/>
        <w:spacing w:after="0" w:line="276" w:lineRule="auto"/>
        <w:jc w:val="both"/>
        <w:rPr>
          <w:rFonts w:ascii="Verdana" w:hAnsi="Verdana" w:cs="Arial"/>
          <w:color w:val="000000" w:themeColor="text1"/>
          <w:shd w:val="clear" w:color="auto" w:fill="FFFFFF"/>
        </w:rPr>
      </w:pPr>
      <w:r w:rsidRPr="00316E18">
        <w:rPr>
          <w:rFonts w:ascii="Verdana" w:hAnsi="Verdana" w:cs="Arial"/>
          <w:color w:val="000000" w:themeColor="text1"/>
          <w:shd w:val="clear" w:color="auto" w:fill="FFFFFF"/>
        </w:rPr>
        <w:t>Enlace página ANCP-CCE: </w:t>
      </w:r>
      <w:hyperlink r:id="rId16" w:tgtFrame="_blank" w:tooltip="Dirección URL original: https://www.colombiacompra.gov.co/content/convocatorias. Haga clic o pulse si confía en este vínculo." w:history="1">
        <w:r w:rsidRPr="00316E18">
          <w:rPr>
            <w:rStyle w:val="Hipervnculo"/>
            <w:rFonts w:ascii="Verdana" w:hAnsi="Verdana" w:cs="Arial"/>
            <w:shd w:val="clear" w:color="auto" w:fill="FFFFFF"/>
          </w:rPr>
          <w:t>https://www.colombiacompra.gov.co/content/convocatorias</w:t>
        </w:r>
      </w:hyperlink>
    </w:p>
    <w:p w14:paraId="4B01B560" w14:textId="77777777" w:rsidR="00316E18" w:rsidRPr="000D6FBF" w:rsidRDefault="00316E18" w:rsidP="00316E18">
      <w:pPr>
        <w:widowControl w:val="0"/>
        <w:numPr>
          <w:ilvl w:val="0"/>
          <w:numId w:val="22"/>
        </w:numPr>
        <w:autoSpaceDE w:val="0"/>
        <w:autoSpaceDN w:val="0"/>
        <w:spacing w:after="0" w:line="276" w:lineRule="auto"/>
        <w:jc w:val="both"/>
        <w:rPr>
          <w:rFonts w:ascii="Verdana" w:hAnsi="Verdana" w:cs="Arial"/>
          <w:color w:val="000000" w:themeColor="text1"/>
          <w:shd w:val="clear" w:color="auto" w:fill="FFFFFF"/>
          <w:lang w:val="en-US"/>
        </w:rPr>
      </w:pPr>
      <w:r w:rsidRPr="000D6FBF">
        <w:rPr>
          <w:rFonts w:ascii="Verdana" w:hAnsi="Verdana" w:cs="Arial"/>
          <w:color w:val="000000" w:themeColor="text1"/>
          <w:shd w:val="clear" w:color="auto" w:fill="FFFFFF"/>
          <w:lang w:val="en-US"/>
        </w:rPr>
        <w:t>Enlace SUCOP:  </w:t>
      </w:r>
      <w:hyperlink r:id="rId17" w:tgtFrame="_blank" w:tooltip="Dirección URL original: https://www.sucop.gov.co/entidades/colombiacompra/Normativa?IDNorma=19201. Haga clic o pulse si confía en este vínculo." w:history="1">
        <w:r w:rsidRPr="000D6FBF">
          <w:rPr>
            <w:rStyle w:val="Hipervnculo"/>
            <w:rFonts w:ascii="Verdana" w:hAnsi="Verdana" w:cs="Arial"/>
            <w:shd w:val="clear" w:color="auto" w:fill="FFFFFF"/>
            <w:lang w:val="en-US"/>
          </w:rPr>
          <w:t>https://www.sucop.gov.co/entidades/colombiacompra/Normativa?IDNorma=19201</w:t>
        </w:r>
      </w:hyperlink>
    </w:p>
    <w:p w14:paraId="1B97FE9E" w14:textId="77777777" w:rsidR="00316E18" w:rsidRPr="000D6FBF" w:rsidRDefault="00316E18" w:rsidP="00316E18">
      <w:pPr>
        <w:widowControl w:val="0"/>
        <w:autoSpaceDE w:val="0"/>
        <w:autoSpaceDN w:val="0"/>
        <w:spacing w:after="0" w:line="276" w:lineRule="auto"/>
        <w:jc w:val="both"/>
        <w:rPr>
          <w:rFonts w:ascii="Verdana" w:hAnsi="Verdana" w:cs="Arial"/>
          <w:color w:val="000000" w:themeColor="text1"/>
          <w:shd w:val="clear" w:color="auto" w:fill="FFFFFF"/>
          <w:lang w:val="en-US"/>
        </w:rPr>
      </w:pPr>
      <w:r w:rsidRPr="000D6FBF">
        <w:rPr>
          <w:rFonts w:ascii="Verdana" w:hAnsi="Verdana" w:cs="Arial"/>
          <w:color w:val="000000" w:themeColor="text1"/>
          <w:shd w:val="clear" w:color="auto" w:fill="FFFFFF"/>
          <w:lang w:val="en-US"/>
        </w:rPr>
        <w:t> </w:t>
      </w:r>
    </w:p>
    <w:p w14:paraId="310FA59A" w14:textId="77777777" w:rsidR="00316E18" w:rsidRPr="00316E18" w:rsidRDefault="00316E18" w:rsidP="00316E18">
      <w:pPr>
        <w:widowControl w:val="0"/>
        <w:autoSpaceDE w:val="0"/>
        <w:autoSpaceDN w:val="0"/>
        <w:spacing w:after="0" w:line="276" w:lineRule="auto"/>
        <w:jc w:val="both"/>
        <w:rPr>
          <w:rFonts w:ascii="Verdana" w:hAnsi="Verdana" w:cs="Arial"/>
          <w:color w:val="000000" w:themeColor="text1"/>
          <w:shd w:val="clear" w:color="auto" w:fill="FFFFFF"/>
        </w:rPr>
      </w:pPr>
      <w:r w:rsidRPr="00316E18">
        <w:rPr>
          <w:rFonts w:ascii="Verdana" w:hAnsi="Verdana" w:cs="Arial"/>
          <w:color w:val="000000" w:themeColor="text1"/>
          <w:shd w:val="clear" w:color="auto" w:fill="FFFFFF"/>
        </w:rPr>
        <w:t>También le invitamos a consultar la versión VII  de 2024 , del Boletín de Relatoría de la Subdirección de Gestión Contractual relacionado con las ASOCIACIONES PÚBLICO POPULARES , el cual se puede descargar en la página web de la Agencia: </w:t>
      </w:r>
      <w:hyperlink r:id="rId18" w:tgtFrame="_blank" w:tooltip="Dirección URL original: https://www.colombiacompra.gov.co/sala-de-prensa/boletin-digital. Haga clic o pulse si confía en este vínculo." w:history="1">
        <w:r w:rsidRPr="00316E18">
          <w:rPr>
            <w:rStyle w:val="Hipervnculo"/>
            <w:rFonts w:ascii="Verdana" w:hAnsi="Verdana" w:cs="Arial"/>
            <w:shd w:val="clear" w:color="auto" w:fill="FFFFFF"/>
          </w:rPr>
          <w:t>https://www.colombiacompra.gov.co/sala-de-prensa/boletin-digital</w:t>
        </w:r>
      </w:hyperlink>
    </w:p>
    <w:p w14:paraId="267EB70E" w14:textId="1EDE2FB5" w:rsidR="009E1DD9" w:rsidRDefault="009E1DD9" w:rsidP="001E1B19">
      <w:pPr>
        <w:widowControl w:val="0"/>
        <w:autoSpaceDE w:val="0"/>
        <w:autoSpaceDN w:val="0"/>
        <w:spacing w:after="0" w:line="276" w:lineRule="auto"/>
        <w:jc w:val="both"/>
        <w:rPr>
          <w:rFonts w:ascii="Verdana" w:hAnsi="Verdana" w:cs="Arial"/>
          <w:color w:val="000000" w:themeColor="text1"/>
          <w:shd w:val="clear" w:color="auto" w:fill="FFFFFF"/>
        </w:rPr>
      </w:pPr>
    </w:p>
    <w:p w14:paraId="1EF95B20" w14:textId="77777777" w:rsidR="001E1B19" w:rsidRPr="003E2460" w:rsidRDefault="001E1B19" w:rsidP="000D6FBF">
      <w:pPr>
        <w:widowControl w:val="0"/>
        <w:autoSpaceDE w:val="0"/>
        <w:autoSpaceDN w:val="0"/>
        <w:spacing w:after="0" w:line="276" w:lineRule="auto"/>
        <w:jc w:val="both"/>
        <w:rPr>
          <w:rFonts w:ascii="Verdana" w:hAnsi="Verdana"/>
        </w:rPr>
      </w:pPr>
      <w:r w:rsidRPr="003E2460">
        <w:rPr>
          <w:rFonts w:ascii="Verdana" w:hAnsi="Verdana"/>
        </w:rPr>
        <w:t xml:space="preserve">Por último, lo invitamos a seguirnos en las redes sociales en las cuales se difunde información institucional: </w:t>
      </w:r>
    </w:p>
    <w:p w14:paraId="5F29A34E" w14:textId="77777777" w:rsidR="001E1B19" w:rsidRPr="003E2460" w:rsidRDefault="001E1B19" w:rsidP="001E1B19">
      <w:pPr>
        <w:spacing w:after="0" w:line="240" w:lineRule="auto"/>
        <w:jc w:val="both"/>
        <w:rPr>
          <w:rFonts w:ascii="Verdana" w:hAnsi="Verdana"/>
        </w:rPr>
      </w:pPr>
    </w:p>
    <w:p w14:paraId="5B6AC884" w14:textId="77777777" w:rsidR="001E1B19" w:rsidRPr="003E2460" w:rsidRDefault="001E1B19" w:rsidP="001E1B19">
      <w:pPr>
        <w:spacing w:after="0" w:line="240" w:lineRule="auto"/>
        <w:jc w:val="both"/>
        <w:rPr>
          <w:rFonts w:ascii="Verdana" w:hAnsi="Verdana"/>
        </w:rPr>
      </w:pPr>
      <w:r w:rsidRPr="003E2460">
        <w:rPr>
          <w:rFonts w:ascii="Verdana" w:hAnsi="Verdana"/>
        </w:rPr>
        <w:t xml:space="preserve">Twitter: </w:t>
      </w:r>
      <w:r w:rsidRPr="003E2460">
        <w:rPr>
          <w:rStyle w:val="Hipervnculo"/>
          <w:rFonts w:ascii="Verdana" w:hAnsi="Verdana"/>
          <w:color w:val="4472C4" w:themeColor="accent1"/>
        </w:rPr>
        <w:t>@colombiacompra</w:t>
      </w:r>
      <w:r w:rsidRPr="003E2460">
        <w:rPr>
          <w:rFonts w:ascii="Verdana" w:hAnsi="Verdana"/>
          <w:color w:val="4472C4" w:themeColor="accent1"/>
        </w:rPr>
        <w:t xml:space="preserve"> </w:t>
      </w:r>
    </w:p>
    <w:p w14:paraId="2A9B6059" w14:textId="77777777" w:rsidR="001E1B19" w:rsidRPr="003E2460" w:rsidRDefault="001E1B19" w:rsidP="001E1B19">
      <w:pPr>
        <w:spacing w:after="0" w:line="240" w:lineRule="auto"/>
        <w:jc w:val="both"/>
        <w:rPr>
          <w:rFonts w:ascii="Verdana" w:hAnsi="Verdana"/>
        </w:rPr>
      </w:pPr>
      <w:r w:rsidRPr="003E2460">
        <w:rPr>
          <w:rFonts w:ascii="Verdana" w:hAnsi="Verdana"/>
        </w:rPr>
        <w:t xml:space="preserve">Facebook: </w:t>
      </w:r>
      <w:proofErr w:type="spellStart"/>
      <w:r w:rsidRPr="003E2460">
        <w:rPr>
          <w:rStyle w:val="Hipervnculo"/>
          <w:rFonts w:ascii="Verdana" w:hAnsi="Verdana"/>
          <w:color w:val="4472C4" w:themeColor="accent1"/>
        </w:rPr>
        <w:t>ColombiaCompraEficiente</w:t>
      </w:r>
      <w:proofErr w:type="spellEnd"/>
    </w:p>
    <w:p w14:paraId="25CBFB7E" w14:textId="77777777" w:rsidR="001E1B19" w:rsidRPr="003E2460" w:rsidRDefault="001E1B19" w:rsidP="001E1B19">
      <w:pPr>
        <w:spacing w:after="0" w:line="240" w:lineRule="auto"/>
        <w:jc w:val="both"/>
        <w:rPr>
          <w:rFonts w:ascii="Verdana" w:hAnsi="Verdana"/>
        </w:rPr>
      </w:pPr>
      <w:r w:rsidRPr="003E2460">
        <w:rPr>
          <w:rFonts w:ascii="Verdana" w:hAnsi="Verdana"/>
        </w:rPr>
        <w:t xml:space="preserve">LinkedIn: </w:t>
      </w:r>
      <w:r w:rsidRPr="003E2460">
        <w:rPr>
          <w:rStyle w:val="Hipervnculo"/>
          <w:rFonts w:ascii="Verdana" w:hAnsi="Verdana"/>
          <w:color w:val="4472C4" w:themeColor="accent1"/>
        </w:rPr>
        <w:t>Agencia Nacional de Contratación Pública - Colombia Compra Eficiente</w:t>
      </w:r>
      <w:r w:rsidRPr="003E2460">
        <w:rPr>
          <w:rFonts w:ascii="Verdana" w:hAnsi="Verdana"/>
          <w:color w:val="4472C4" w:themeColor="accent1"/>
        </w:rPr>
        <w:t xml:space="preserve"> </w:t>
      </w:r>
      <w:r w:rsidRPr="003E2460">
        <w:rPr>
          <w:rFonts w:ascii="Verdana" w:hAnsi="Verdana"/>
        </w:rPr>
        <w:t xml:space="preserve">Instagram: </w:t>
      </w:r>
      <w:r w:rsidRPr="003E2460">
        <w:rPr>
          <w:rStyle w:val="Hipervnculo"/>
          <w:rFonts w:ascii="Verdana" w:hAnsi="Verdana"/>
          <w:color w:val="4472C4" w:themeColor="accent1"/>
        </w:rPr>
        <w:t>@colombiacompraeficiente_cce</w:t>
      </w:r>
    </w:p>
    <w:p w14:paraId="1D7BDD5A" w14:textId="77777777" w:rsidR="001E1B19" w:rsidRPr="00593A5F" w:rsidRDefault="001E1B19" w:rsidP="001E1B19">
      <w:pPr>
        <w:widowControl w:val="0"/>
        <w:autoSpaceDE w:val="0"/>
        <w:autoSpaceDN w:val="0"/>
        <w:spacing w:after="0" w:line="276" w:lineRule="auto"/>
        <w:jc w:val="both"/>
        <w:rPr>
          <w:rFonts w:ascii="Verdana" w:hAnsi="Verdana" w:cs="Arial"/>
        </w:rPr>
      </w:pPr>
    </w:p>
    <w:p w14:paraId="33E79199" w14:textId="77777777" w:rsidR="001E1B19" w:rsidRPr="00593A5F" w:rsidRDefault="001E1B19" w:rsidP="001E1B19">
      <w:pPr>
        <w:widowControl w:val="0"/>
        <w:autoSpaceDE w:val="0"/>
        <w:autoSpaceDN w:val="0"/>
        <w:spacing w:after="0" w:line="276" w:lineRule="auto"/>
        <w:jc w:val="both"/>
        <w:rPr>
          <w:rFonts w:ascii="Verdana" w:hAnsi="Verdana" w:cs="Arial"/>
          <w:lang w:val="es-ES_tradnl"/>
        </w:rPr>
      </w:pPr>
      <w:r w:rsidRPr="00593A5F">
        <w:rPr>
          <w:rFonts w:ascii="Verdana" w:hAnsi="Verdana" w:cs="Arial"/>
        </w:rPr>
        <w:t xml:space="preserve">Este concepto tiene el alcance previsto en el artículo 28 del Código de Procedimiento Administrativo y de lo Contencioso Administrativo </w:t>
      </w:r>
      <w:r w:rsidRPr="00593A5F">
        <w:rPr>
          <w:rFonts w:ascii="Verdana" w:hAnsi="Verdana" w:cs="Arial"/>
          <w:lang w:val="es-ES_tradnl"/>
        </w:rPr>
        <w:t>y las expresiones aquí utilizadas con mayúscula inicial deben ser entendidas con el significado que les otorga el artículo 2.2.1.1.1.3.1. del Decreto 1082 de 2015.</w:t>
      </w:r>
    </w:p>
    <w:p w14:paraId="55C9747F" w14:textId="77777777" w:rsidR="001E1B19" w:rsidRPr="00593A5F" w:rsidRDefault="001E1B19" w:rsidP="001E1B19">
      <w:pPr>
        <w:widowControl w:val="0"/>
        <w:autoSpaceDE w:val="0"/>
        <w:autoSpaceDN w:val="0"/>
        <w:spacing w:after="0" w:line="276" w:lineRule="auto"/>
        <w:jc w:val="both"/>
        <w:rPr>
          <w:rFonts w:ascii="Verdana" w:hAnsi="Verdana" w:cs="Arial"/>
        </w:rPr>
      </w:pPr>
    </w:p>
    <w:p w14:paraId="2C8704C7" w14:textId="77777777" w:rsidR="001E1B19" w:rsidRPr="00593A5F" w:rsidRDefault="001E1B19" w:rsidP="001E1B19">
      <w:pPr>
        <w:spacing w:after="0" w:line="240" w:lineRule="auto"/>
        <w:rPr>
          <w:rFonts w:ascii="Verdana" w:hAnsi="Verdana" w:cs="Arial"/>
          <w:lang w:eastAsia="es-CO"/>
        </w:rPr>
      </w:pPr>
      <w:r w:rsidRPr="00593A5F">
        <w:rPr>
          <w:rFonts w:ascii="Verdana" w:eastAsia="Times New Roman" w:hAnsi="Verdana" w:cs="Arial"/>
          <w:lang w:eastAsia="es-CO"/>
        </w:rPr>
        <w:t>Atentamente,</w:t>
      </w:r>
      <w:r w:rsidRPr="00593A5F">
        <w:rPr>
          <w:rFonts w:ascii="Verdana" w:hAnsi="Verdana" w:cs="Arial"/>
          <w:lang w:eastAsia="es-CO"/>
        </w:rPr>
        <w:t xml:space="preserve"> </w:t>
      </w:r>
    </w:p>
    <w:p w14:paraId="466FA1A0" w14:textId="6AE0D35C" w:rsidR="000204DC" w:rsidRPr="000204DC" w:rsidRDefault="000204DC" w:rsidP="000204DC">
      <w:pPr>
        <w:spacing w:line="276" w:lineRule="auto"/>
        <w:jc w:val="center"/>
        <w:rPr>
          <w:rFonts w:ascii="Verdana" w:hAnsi="Verdana"/>
          <w:noProof/>
          <w:lang w:eastAsia="es-CO"/>
        </w:rPr>
      </w:pPr>
      <w:r w:rsidRPr="000204DC">
        <w:rPr>
          <w:rFonts w:ascii="Verdana" w:hAnsi="Verdana"/>
          <w:noProof/>
          <w:lang w:eastAsia="es-CO"/>
        </w:rPr>
        <w:drawing>
          <wp:inline distT="0" distB="0" distL="0" distR="0" wp14:anchorId="2A98E400" wp14:editId="3B1BBFA8">
            <wp:extent cx="3952456" cy="1419225"/>
            <wp:effectExtent l="0" t="0" r="0" b="0"/>
            <wp:docPr id="897219417" name="Imagen 3" descr="Texto&#10;&#10;Descripción generada automáticamente con confianza baj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7219417" name="Imagen 3" descr="Texto&#10;&#10;Descripción generada automáticamente con confianza baja"/>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3967845" cy="1424751"/>
                    </a:xfrm>
                    <a:prstGeom prst="rect">
                      <a:avLst/>
                    </a:prstGeom>
                    <a:noFill/>
                    <a:ln>
                      <a:noFill/>
                    </a:ln>
                  </pic:spPr>
                </pic:pic>
              </a:graphicData>
            </a:graphic>
          </wp:inline>
        </w:drawing>
      </w:r>
    </w:p>
    <w:p w14:paraId="0E8CB310" w14:textId="77777777" w:rsidR="000204DC" w:rsidRDefault="000204DC" w:rsidP="001E1B19">
      <w:pPr>
        <w:spacing w:line="276" w:lineRule="auto"/>
        <w:jc w:val="center"/>
        <w:rPr>
          <w:rFonts w:ascii="Verdana" w:hAnsi="Verdana"/>
          <w:noProof/>
          <w:lang w:eastAsia="es-CO"/>
        </w:rPr>
      </w:pPr>
    </w:p>
    <w:p w14:paraId="3A72036F" w14:textId="77777777" w:rsidR="000204DC" w:rsidRDefault="000204DC" w:rsidP="001E1B19">
      <w:pPr>
        <w:spacing w:line="276" w:lineRule="auto"/>
        <w:jc w:val="center"/>
        <w:rPr>
          <w:rFonts w:ascii="Verdana" w:hAnsi="Verdana"/>
          <w:noProof/>
          <w:lang w:eastAsia="es-CO"/>
        </w:rPr>
      </w:pPr>
    </w:p>
    <w:p w14:paraId="20CD10DD" w14:textId="77777777" w:rsidR="000204DC" w:rsidRDefault="000204DC" w:rsidP="001E1B19">
      <w:pPr>
        <w:spacing w:line="276" w:lineRule="auto"/>
        <w:jc w:val="center"/>
        <w:rPr>
          <w:rFonts w:ascii="Verdana" w:hAnsi="Verdana"/>
          <w:noProof/>
          <w:lang w:eastAsia="es-CO"/>
        </w:rPr>
      </w:pPr>
    </w:p>
    <w:p w14:paraId="61D99724" w14:textId="77777777" w:rsidR="000204DC" w:rsidRPr="00593A5F" w:rsidRDefault="000204DC" w:rsidP="001E1B19">
      <w:pPr>
        <w:spacing w:line="276" w:lineRule="auto"/>
        <w:jc w:val="center"/>
        <w:rPr>
          <w:rFonts w:ascii="Verdana" w:hAnsi="Verdana" w:cs="Arial"/>
          <w:color w:val="000000"/>
          <w:lang w:val="es-ES_tradnl" w:eastAsia="es-CO"/>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1E1B19" w:rsidRPr="00593A5F" w14:paraId="4247E6F2" w14:textId="77777777" w:rsidTr="0084263B">
        <w:trPr>
          <w:trHeight w:val="315"/>
        </w:trPr>
        <w:tc>
          <w:tcPr>
            <w:tcW w:w="893" w:type="dxa"/>
            <w:vAlign w:val="center"/>
            <w:hideMark/>
          </w:tcPr>
          <w:p w14:paraId="6E6131E9" w14:textId="77777777" w:rsidR="001E1B19" w:rsidRPr="003751C7" w:rsidRDefault="001E1B19" w:rsidP="0084263B">
            <w:pPr>
              <w:contextualSpacing/>
              <w:rPr>
                <w:rFonts w:ascii="Verdana" w:hAnsi="Verdana" w:cs="Arial"/>
                <w:sz w:val="16"/>
                <w:szCs w:val="16"/>
                <w:lang w:val="es-ES" w:eastAsia="es-ES"/>
              </w:rPr>
            </w:pPr>
            <w:r w:rsidRPr="003751C7">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21C4A63E" w14:textId="77777777" w:rsidR="001E1B19" w:rsidRPr="002B5168" w:rsidRDefault="001E1B19" w:rsidP="0084263B">
            <w:pPr>
              <w:contextualSpacing/>
              <w:rPr>
                <w:rFonts w:ascii="Verdana" w:eastAsia="Arial" w:hAnsi="Verdana" w:cs="Arial"/>
                <w:color w:val="7030A0"/>
                <w:sz w:val="16"/>
                <w:szCs w:val="16"/>
              </w:rPr>
            </w:pPr>
            <w:r w:rsidRPr="002B5168">
              <w:rPr>
                <w:rStyle w:val="normaltextrun"/>
                <w:rFonts w:ascii="Verdana" w:hAnsi="Verdana"/>
                <w:sz w:val="16"/>
                <w:szCs w:val="16"/>
              </w:rPr>
              <w:t>Christian Camilo Orjuela Galeano</w:t>
            </w:r>
          </w:p>
          <w:p w14:paraId="102A4FE6" w14:textId="77777777" w:rsidR="001E1B19" w:rsidRPr="002B5168" w:rsidRDefault="001E1B19" w:rsidP="0084263B">
            <w:pPr>
              <w:contextualSpacing/>
              <w:rPr>
                <w:rFonts w:ascii="Verdana" w:eastAsia="Arial" w:hAnsi="Verdana" w:cs="Arial"/>
                <w:sz w:val="16"/>
                <w:szCs w:val="16"/>
              </w:rPr>
            </w:pPr>
            <w:r w:rsidRPr="002B5168">
              <w:rPr>
                <w:rStyle w:val="normaltextrun"/>
                <w:rFonts w:ascii="Verdana" w:eastAsia="Arial" w:hAnsi="Verdana" w:cs="Arial"/>
                <w:sz w:val="16"/>
                <w:szCs w:val="16"/>
              </w:rPr>
              <w:t>Contratista de la Subdirección de Gestión Contractual</w:t>
            </w:r>
          </w:p>
        </w:tc>
      </w:tr>
      <w:tr w:rsidR="001E1B19" w:rsidRPr="00593A5F" w14:paraId="4119E824" w14:textId="77777777" w:rsidTr="0084263B">
        <w:trPr>
          <w:trHeight w:val="330"/>
        </w:trPr>
        <w:tc>
          <w:tcPr>
            <w:tcW w:w="893" w:type="dxa"/>
            <w:vAlign w:val="center"/>
            <w:hideMark/>
          </w:tcPr>
          <w:p w14:paraId="5B73BB30" w14:textId="77777777" w:rsidR="001E1B19" w:rsidRPr="003751C7" w:rsidRDefault="001E1B19" w:rsidP="0084263B">
            <w:pPr>
              <w:contextualSpacing/>
              <w:rPr>
                <w:rFonts w:ascii="Verdana" w:hAnsi="Verdana" w:cs="Arial"/>
                <w:sz w:val="16"/>
                <w:szCs w:val="16"/>
                <w:lang w:val="es-ES" w:eastAsia="es-ES"/>
              </w:rPr>
            </w:pPr>
            <w:r w:rsidRPr="003751C7">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01E10226" w14:textId="750347F7" w:rsidR="001E1B19" w:rsidRPr="002B5168" w:rsidRDefault="001D7300" w:rsidP="0084263B">
            <w:pPr>
              <w:pStyle w:val="paragraph"/>
              <w:spacing w:before="0" w:beforeAutospacing="0" w:after="0" w:afterAutospacing="0"/>
              <w:contextualSpacing/>
              <w:textAlignment w:val="baseline"/>
              <w:rPr>
                <w:rStyle w:val="normaltextrun"/>
                <w:rFonts w:ascii="Verdana" w:hAnsi="Verdana" w:cstheme="minorHAnsi"/>
                <w:sz w:val="16"/>
                <w:szCs w:val="16"/>
              </w:rPr>
            </w:pPr>
            <w:r>
              <w:rPr>
                <w:rStyle w:val="normaltextrun"/>
                <w:rFonts w:ascii="Verdana" w:hAnsi="Verdana" w:cstheme="minorHAnsi"/>
                <w:sz w:val="16"/>
                <w:szCs w:val="16"/>
              </w:rPr>
              <w:t>Adriana Katherine López Rodríguez</w:t>
            </w:r>
            <w:r w:rsidR="001E1B19" w:rsidRPr="002B5168">
              <w:rPr>
                <w:rStyle w:val="normaltextrun"/>
                <w:rFonts w:ascii="Verdana" w:hAnsi="Verdana" w:cstheme="minorHAnsi"/>
                <w:sz w:val="16"/>
                <w:szCs w:val="16"/>
              </w:rPr>
              <w:t xml:space="preserve"> </w:t>
            </w:r>
          </w:p>
          <w:p w14:paraId="301C19E3" w14:textId="6FDA2E16" w:rsidR="001E1B19" w:rsidRPr="002B5168" w:rsidRDefault="001D7300" w:rsidP="0084263B">
            <w:pPr>
              <w:pStyle w:val="paragraph"/>
              <w:spacing w:before="0" w:beforeAutospacing="0" w:after="0" w:afterAutospacing="0"/>
              <w:contextualSpacing/>
              <w:textAlignment w:val="baseline"/>
              <w:rPr>
                <w:rFonts w:ascii="Verdana" w:hAnsi="Verdana" w:cs="Segoe UI"/>
                <w:sz w:val="16"/>
                <w:szCs w:val="16"/>
              </w:rPr>
            </w:pPr>
            <w:r>
              <w:rPr>
                <w:rStyle w:val="normaltextrun"/>
                <w:rFonts w:ascii="Verdana" w:eastAsia="Arial" w:hAnsi="Verdana" w:cs="Arial"/>
                <w:sz w:val="16"/>
                <w:szCs w:val="16"/>
              </w:rPr>
              <w:t>Contratista</w:t>
            </w:r>
            <w:r w:rsidR="001E1B19" w:rsidRPr="002B5168">
              <w:rPr>
                <w:rStyle w:val="normaltextrun"/>
                <w:rFonts w:ascii="Verdana" w:eastAsia="Arial" w:hAnsi="Verdana" w:cs="Arial"/>
                <w:sz w:val="16"/>
                <w:szCs w:val="16"/>
              </w:rPr>
              <w:t xml:space="preserve"> Subdirección de Gestión Contractual</w:t>
            </w:r>
          </w:p>
        </w:tc>
      </w:tr>
      <w:tr w:rsidR="001E1B19" w:rsidRPr="00593A5F" w14:paraId="310F27CC" w14:textId="77777777" w:rsidTr="0084263B">
        <w:trPr>
          <w:trHeight w:val="300"/>
        </w:trPr>
        <w:tc>
          <w:tcPr>
            <w:tcW w:w="893" w:type="dxa"/>
            <w:vAlign w:val="center"/>
          </w:tcPr>
          <w:p w14:paraId="19EB9348" w14:textId="77777777" w:rsidR="001E1B19" w:rsidRPr="003751C7" w:rsidRDefault="001E1B19" w:rsidP="0084263B">
            <w:pPr>
              <w:contextualSpacing/>
              <w:rPr>
                <w:rFonts w:ascii="Verdana" w:hAnsi="Verdana" w:cs="Arial"/>
                <w:sz w:val="16"/>
                <w:szCs w:val="16"/>
                <w:lang w:val="es-ES" w:eastAsia="es-ES"/>
              </w:rPr>
            </w:pPr>
            <w:r w:rsidRPr="003751C7">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7D7E01B3" w14:textId="77777777" w:rsidR="001E1B19" w:rsidRPr="002B5168" w:rsidRDefault="001E1B19" w:rsidP="0084263B">
            <w:pPr>
              <w:contextualSpacing/>
              <w:rPr>
                <w:rFonts w:ascii="Verdana" w:eastAsia="Calibri" w:hAnsi="Verdana" w:cs="Arial"/>
                <w:sz w:val="16"/>
                <w:szCs w:val="16"/>
                <w:lang w:val="pt-BR" w:eastAsia="es-ES"/>
              </w:rPr>
            </w:pPr>
            <w:r w:rsidRPr="002B5168">
              <w:rPr>
                <w:rFonts w:ascii="Verdana" w:eastAsia="Calibri" w:hAnsi="Verdana" w:cs="Arial"/>
                <w:sz w:val="16"/>
                <w:szCs w:val="16"/>
                <w:lang w:val="pt-BR" w:eastAsia="es-ES"/>
              </w:rPr>
              <w:t>Carolina Quintero Gacharná</w:t>
            </w:r>
          </w:p>
          <w:p w14:paraId="66143A58" w14:textId="77777777" w:rsidR="001E1B19" w:rsidRPr="002B5168" w:rsidRDefault="001E1B19" w:rsidP="0084263B">
            <w:pPr>
              <w:contextualSpacing/>
              <w:rPr>
                <w:rFonts w:ascii="Verdana" w:eastAsia="Calibri" w:hAnsi="Verdana" w:cs="Arial"/>
                <w:sz w:val="16"/>
                <w:szCs w:val="16"/>
                <w:lang w:val="pt-BR" w:eastAsia="es-ES"/>
              </w:rPr>
            </w:pPr>
            <w:r w:rsidRPr="002B5168">
              <w:rPr>
                <w:rFonts w:ascii="Verdana" w:eastAsia="Calibri" w:hAnsi="Verdana" w:cs="Arial"/>
                <w:sz w:val="16"/>
                <w:szCs w:val="16"/>
                <w:lang w:eastAsia="es-ES"/>
              </w:rPr>
              <w:t>Subdirectora</w:t>
            </w:r>
            <w:r w:rsidRPr="002B5168">
              <w:rPr>
                <w:rFonts w:ascii="Verdana" w:eastAsia="Calibri" w:hAnsi="Verdana" w:cs="Arial"/>
                <w:sz w:val="16"/>
                <w:szCs w:val="16"/>
                <w:lang w:val="pt-BR" w:eastAsia="es-ES"/>
              </w:rPr>
              <w:t xml:space="preserve"> de Gestión Contractual ANCP – CCE</w:t>
            </w:r>
          </w:p>
        </w:tc>
      </w:tr>
      <w:bookmarkEnd w:id="1"/>
      <w:bookmarkEnd w:id="2"/>
      <w:bookmarkEnd w:id="3"/>
      <w:bookmarkEnd w:id="4"/>
    </w:tbl>
    <w:p w14:paraId="0465BA6D" w14:textId="77777777" w:rsidR="00E245AB" w:rsidRPr="0044528D" w:rsidRDefault="00E245AB" w:rsidP="00E245AB">
      <w:pPr>
        <w:spacing w:after="0"/>
        <w:rPr>
          <w:rFonts w:ascii="Verdana" w:hAnsi="Verdana"/>
        </w:rPr>
      </w:pPr>
    </w:p>
    <w:sectPr w:rsidR="00E245AB" w:rsidRPr="0044528D" w:rsidSect="007C0C0F">
      <w:headerReference w:type="default" r:id="rId20"/>
      <w:footerReference w:type="default" r:id="rId21"/>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6EE3D06" w14:textId="77777777" w:rsidR="00AE5FD5" w:rsidRDefault="00AE5FD5" w:rsidP="004A1847">
      <w:pPr>
        <w:spacing w:after="0" w:line="240" w:lineRule="auto"/>
      </w:pPr>
      <w:r>
        <w:separator/>
      </w:r>
    </w:p>
  </w:endnote>
  <w:endnote w:type="continuationSeparator" w:id="0">
    <w:p w14:paraId="6C170ADD" w14:textId="77777777" w:rsidR="00AE5FD5" w:rsidRDefault="00AE5FD5"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Century Gothic">
    <w:altName w:val="Century Gothic"/>
    <w:panose1 w:val="020B0502020202020204"/>
    <w:charset w:val="00"/>
    <w:family w:val="swiss"/>
    <w:pitch w:val="variable"/>
    <w:sig w:usb0="00000287" w:usb1="00000000" w:usb2="00000000" w:usb3="00000000" w:csb0="0000009F" w:csb1="00000000"/>
  </w:font>
  <w:font w:name="Aptos">
    <w:charset w:val="00"/>
    <w:family w:val="swiss"/>
    <w:pitch w:val="variable"/>
    <w:sig w:usb0="20000287" w:usb1="00000003" w:usb2="00000000" w:usb3="00000000" w:csb0="0000019F" w:csb1="00000000"/>
  </w:font>
  <w:font w:name="Arial MT">
    <w:altName w:val="Arial"/>
    <w:charset w:val="01"/>
    <w:family w:val="swiss"/>
    <w:pitch w:val="variable"/>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8B33831" w14:textId="77777777" w:rsidR="00AE5FD5" w:rsidRDefault="00AE5FD5" w:rsidP="004A1847">
      <w:pPr>
        <w:spacing w:after="0" w:line="240" w:lineRule="auto"/>
      </w:pPr>
      <w:r>
        <w:separator/>
      </w:r>
    </w:p>
  </w:footnote>
  <w:footnote w:type="continuationSeparator" w:id="0">
    <w:p w14:paraId="7D01338F" w14:textId="77777777" w:rsidR="00AE5FD5" w:rsidRDefault="00AE5FD5" w:rsidP="004A184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65408"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53" type="#_x0000_t75" style="width:11.4pt;height:11.4pt" o:bullet="t">
        <v:imagedata r:id="rId1" o:title="mso1B13"/>
      </v:shape>
    </w:pict>
  </w:numPicBullet>
  <w:abstractNum w:abstractNumId="0" w15:restartNumberingAfterBreak="0">
    <w:nsid w:val="01B47282"/>
    <w:multiLevelType w:val="hybridMultilevel"/>
    <w:tmpl w:val="73C01A74"/>
    <w:lvl w:ilvl="0" w:tplc="8468EB96">
      <w:numFmt w:val="bullet"/>
      <w:lvlText w:val="-"/>
      <w:lvlJc w:val="left"/>
      <w:pPr>
        <w:ind w:left="720" w:hanging="360"/>
      </w:pPr>
      <w:rPr>
        <w:rFonts w:ascii="Verdana" w:eastAsia="Arial" w:hAnsi="Verdana" w:cs="Arial" w:hint="default"/>
        <w:b/>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2"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4" w15:restartNumberingAfterBreak="0">
    <w:nsid w:val="129F1AB5"/>
    <w:multiLevelType w:val="hybridMultilevel"/>
    <w:tmpl w:val="C47A189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 w15:restartNumberingAfterBreak="0">
    <w:nsid w:val="17F719C7"/>
    <w:multiLevelType w:val="hybridMultilevel"/>
    <w:tmpl w:val="9D926FA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6" w15:restartNumberingAfterBreak="0">
    <w:nsid w:val="221405AE"/>
    <w:multiLevelType w:val="hybridMultilevel"/>
    <w:tmpl w:val="7BD4063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7"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2DA009A9"/>
    <w:multiLevelType w:val="hybridMultilevel"/>
    <w:tmpl w:val="B010CE2C"/>
    <w:lvl w:ilvl="0" w:tplc="240A0001">
      <w:start w:val="1"/>
      <w:numFmt w:val="bullet"/>
      <w:lvlText w:val=""/>
      <w:lvlJc w:val="left"/>
      <w:pPr>
        <w:ind w:left="1996" w:hanging="360"/>
      </w:pPr>
      <w:rPr>
        <w:rFonts w:ascii="Symbol" w:hAnsi="Symbol" w:hint="default"/>
      </w:rPr>
    </w:lvl>
    <w:lvl w:ilvl="1" w:tplc="240A0003" w:tentative="1">
      <w:start w:val="1"/>
      <w:numFmt w:val="bullet"/>
      <w:lvlText w:val="o"/>
      <w:lvlJc w:val="left"/>
      <w:pPr>
        <w:ind w:left="2716" w:hanging="360"/>
      </w:pPr>
      <w:rPr>
        <w:rFonts w:ascii="Courier New" w:hAnsi="Courier New" w:cs="Courier New" w:hint="default"/>
      </w:rPr>
    </w:lvl>
    <w:lvl w:ilvl="2" w:tplc="240A0005" w:tentative="1">
      <w:start w:val="1"/>
      <w:numFmt w:val="bullet"/>
      <w:lvlText w:val=""/>
      <w:lvlJc w:val="left"/>
      <w:pPr>
        <w:ind w:left="3436" w:hanging="360"/>
      </w:pPr>
      <w:rPr>
        <w:rFonts w:ascii="Wingdings" w:hAnsi="Wingdings" w:hint="default"/>
      </w:rPr>
    </w:lvl>
    <w:lvl w:ilvl="3" w:tplc="240A0001" w:tentative="1">
      <w:start w:val="1"/>
      <w:numFmt w:val="bullet"/>
      <w:lvlText w:val=""/>
      <w:lvlJc w:val="left"/>
      <w:pPr>
        <w:ind w:left="4156" w:hanging="360"/>
      </w:pPr>
      <w:rPr>
        <w:rFonts w:ascii="Symbol" w:hAnsi="Symbol" w:hint="default"/>
      </w:rPr>
    </w:lvl>
    <w:lvl w:ilvl="4" w:tplc="240A0003" w:tentative="1">
      <w:start w:val="1"/>
      <w:numFmt w:val="bullet"/>
      <w:lvlText w:val="o"/>
      <w:lvlJc w:val="left"/>
      <w:pPr>
        <w:ind w:left="4876" w:hanging="360"/>
      </w:pPr>
      <w:rPr>
        <w:rFonts w:ascii="Courier New" w:hAnsi="Courier New" w:cs="Courier New" w:hint="default"/>
      </w:rPr>
    </w:lvl>
    <w:lvl w:ilvl="5" w:tplc="240A0005" w:tentative="1">
      <w:start w:val="1"/>
      <w:numFmt w:val="bullet"/>
      <w:lvlText w:val=""/>
      <w:lvlJc w:val="left"/>
      <w:pPr>
        <w:ind w:left="5596" w:hanging="360"/>
      </w:pPr>
      <w:rPr>
        <w:rFonts w:ascii="Wingdings" w:hAnsi="Wingdings" w:hint="default"/>
      </w:rPr>
    </w:lvl>
    <w:lvl w:ilvl="6" w:tplc="240A0001" w:tentative="1">
      <w:start w:val="1"/>
      <w:numFmt w:val="bullet"/>
      <w:lvlText w:val=""/>
      <w:lvlJc w:val="left"/>
      <w:pPr>
        <w:ind w:left="6316" w:hanging="360"/>
      </w:pPr>
      <w:rPr>
        <w:rFonts w:ascii="Symbol" w:hAnsi="Symbol" w:hint="default"/>
      </w:rPr>
    </w:lvl>
    <w:lvl w:ilvl="7" w:tplc="240A0003" w:tentative="1">
      <w:start w:val="1"/>
      <w:numFmt w:val="bullet"/>
      <w:lvlText w:val="o"/>
      <w:lvlJc w:val="left"/>
      <w:pPr>
        <w:ind w:left="7036" w:hanging="360"/>
      </w:pPr>
      <w:rPr>
        <w:rFonts w:ascii="Courier New" w:hAnsi="Courier New" w:cs="Courier New" w:hint="default"/>
      </w:rPr>
    </w:lvl>
    <w:lvl w:ilvl="8" w:tplc="240A0005" w:tentative="1">
      <w:start w:val="1"/>
      <w:numFmt w:val="bullet"/>
      <w:lvlText w:val=""/>
      <w:lvlJc w:val="left"/>
      <w:pPr>
        <w:ind w:left="7756" w:hanging="360"/>
      </w:pPr>
      <w:rPr>
        <w:rFonts w:ascii="Wingdings" w:hAnsi="Wingdings" w:hint="default"/>
      </w:rPr>
    </w:lvl>
  </w:abstractNum>
  <w:abstractNum w:abstractNumId="9"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0"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2"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38304745"/>
    <w:multiLevelType w:val="hybridMultilevel"/>
    <w:tmpl w:val="B6D8EB1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5"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6" w15:restartNumberingAfterBreak="0">
    <w:nsid w:val="3F362C3A"/>
    <w:multiLevelType w:val="hybridMultilevel"/>
    <w:tmpl w:val="2D662690"/>
    <w:lvl w:ilvl="0" w:tplc="38E2A30A">
      <w:start w:val="1"/>
      <w:numFmt w:val="lowerRoman"/>
      <w:lvlText w:val="%1)"/>
      <w:lvlJc w:val="left"/>
      <w:pPr>
        <w:ind w:left="1710" w:hanging="720"/>
      </w:pPr>
      <w:rPr>
        <w:rFonts w:hint="default"/>
      </w:rPr>
    </w:lvl>
    <w:lvl w:ilvl="1" w:tplc="240A0019" w:tentative="1">
      <w:start w:val="1"/>
      <w:numFmt w:val="lowerLetter"/>
      <w:lvlText w:val="%2."/>
      <w:lvlJc w:val="left"/>
      <w:pPr>
        <w:ind w:left="2070" w:hanging="360"/>
      </w:pPr>
    </w:lvl>
    <w:lvl w:ilvl="2" w:tplc="240A001B" w:tentative="1">
      <w:start w:val="1"/>
      <w:numFmt w:val="lowerRoman"/>
      <w:lvlText w:val="%3."/>
      <w:lvlJc w:val="right"/>
      <w:pPr>
        <w:ind w:left="2790" w:hanging="180"/>
      </w:pPr>
    </w:lvl>
    <w:lvl w:ilvl="3" w:tplc="240A000F" w:tentative="1">
      <w:start w:val="1"/>
      <w:numFmt w:val="decimal"/>
      <w:lvlText w:val="%4."/>
      <w:lvlJc w:val="left"/>
      <w:pPr>
        <w:ind w:left="3510" w:hanging="360"/>
      </w:pPr>
    </w:lvl>
    <w:lvl w:ilvl="4" w:tplc="240A0019" w:tentative="1">
      <w:start w:val="1"/>
      <w:numFmt w:val="lowerLetter"/>
      <w:lvlText w:val="%5."/>
      <w:lvlJc w:val="left"/>
      <w:pPr>
        <w:ind w:left="4230" w:hanging="360"/>
      </w:pPr>
    </w:lvl>
    <w:lvl w:ilvl="5" w:tplc="240A001B" w:tentative="1">
      <w:start w:val="1"/>
      <w:numFmt w:val="lowerRoman"/>
      <w:lvlText w:val="%6."/>
      <w:lvlJc w:val="right"/>
      <w:pPr>
        <w:ind w:left="4950" w:hanging="180"/>
      </w:pPr>
    </w:lvl>
    <w:lvl w:ilvl="6" w:tplc="240A000F" w:tentative="1">
      <w:start w:val="1"/>
      <w:numFmt w:val="decimal"/>
      <w:lvlText w:val="%7."/>
      <w:lvlJc w:val="left"/>
      <w:pPr>
        <w:ind w:left="5670" w:hanging="360"/>
      </w:pPr>
    </w:lvl>
    <w:lvl w:ilvl="7" w:tplc="240A0019" w:tentative="1">
      <w:start w:val="1"/>
      <w:numFmt w:val="lowerLetter"/>
      <w:lvlText w:val="%8."/>
      <w:lvlJc w:val="left"/>
      <w:pPr>
        <w:ind w:left="6390" w:hanging="360"/>
      </w:pPr>
    </w:lvl>
    <w:lvl w:ilvl="8" w:tplc="240A001B" w:tentative="1">
      <w:start w:val="1"/>
      <w:numFmt w:val="lowerRoman"/>
      <w:lvlText w:val="%9."/>
      <w:lvlJc w:val="right"/>
      <w:pPr>
        <w:ind w:left="7110" w:hanging="180"/>
      </w:pPr>
    </w:lvl>
  </w:abstractNum>
  <w:abstractNum w:abstractNumId="17" w15:restartNumberingAfterBreak="0">
    <w:nsid w:val="47996F2D"/>
    <w:multiLevelType w:val="hybridMultilevel"/>
    <w:tmpl w:val="908E327E"/>
    <w:lvl w:ilvl="0" w:tplc="D1705D78">
      <w:numFmt w:val="bullet"/>
      <w:lvlText w:val="-"/>
      <w:lvlJc w:val="left"/>
      <w:pPr>
        <w:ind w:left="720" w:hanging="360"/>
      </w:pPr>
      <w:rPr>
        <w:rFonts w:ascii="Verdana" w:eastAsia="Arial" w:hAnsi="Verdana" w:cs="Aria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8" w15:restartNumberingAfterBreak="0">
    <w:nsid w:val="4CDF3992"/>
    <w:multiLevelType w:val="multilevel"/>
    <w:tmpl w:val="CC4057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52135D5B"/>
    <w:multiLevelType w:val="hybridMultilevel"/>
    <w:tmpl w:val="465A66D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0"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2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6D471CDA"/>
    <w:multiLevelType w:val="hybridMultilevel"/>
    <w:tmpl w:val="14B4BAD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4"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1"/>
  </w:num>
  <w:num w:numId="2">
    <w:abstractNumId w:val="3"/>
  </w:num>
  <w:num w:numId="3">
    <w:abstractNumId w:val="9"/>
  </w:num>
  <w:num w:numId="4">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3"/>
  </w:num>
  <w:num w:numId="6">
    <w:abstractNumId w:val="24"/>
  </w:num>
  <w:num w:numId="7">
    <w:abstractNumId w:val="10"/>
  </w:num>
  <w:num w:numId="8">
    <w:abstractNumId w:val="22"/>
  </w:num>
  <w:num w:numId="9">
    <w:abstractNumId w:val="12"/>
  </w:num>
  <w:num w:numId="10">
    <w:abstractNumId w:val="21"/>
  </w:num>
  <w:num w:numId="11">
    <w:abstractNumId w:val="13"/>
  </w:num>
  <w:num w:numId="12">
    <w:abstractNumId w:val="2"/>
  </w:num>
  <w:num w:numId="13">
    <w:abstractNumId w:val="7"/>
  </w:num>
  <w:num w:numId="14">
    <w:abstractNumId w:val="25"/>
  </w:num>
  <w:num w:numId="15">
    <w:abstractNumId w:val="20"/>
  </w:num>
  <w:num w:numId="16">
    <w:abstractNumId w:val="1"/>
  </w:num>
  <w:num w:numId="17">
    <w:abstractNumId w:val="23"/>
  </w:num>
  <w:num w:numId="18">
    <w:abstractNumId w:val="19"/>
  </w:num>
  <w:num w:numId="19">
    <w:abstractNumId w:val="6"/>
  </w:num>
  <w:num w:numId="20">
    <w:abstractNumId w:val="14"/>
  </w:num>
  <w:num w:numId="21">
    <w:abstractNumId w:val="16"/>
  </w:num>
  <w:num w:numId="22">
    <w:abstractNumId w:val="18"/>
  </w:num>
  <w:num w:numId="23">
    <w:abstractNumId w:val="8"/>
  </w:num>
  <w:num w:numId="24">
    <w:abstractNumId w:val="0"/>
  </w:num>
  <w:num w:numId="25">
    <w:abstractNumId w:val="17"/>
  </w:num>
  <w:num w:numId="26">
    <w:abstractNumId w:val="4"/>
  </w:num>
  <w:num w:numId="27">
    <w:abstractNumId w:val="5"/>
  </w:num>
  <w:num w:numId="28">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025D0"/>
    <w:rsid w:val="000204DC"/>
    <w:rsid w:val="00044E2C"/>
    <w:rsid w:val="00061B2A"/>
    <w:rsid w:val="0006685F"/>
    <w:rsid w:val="00082362"/>
    <w:rsid w:val="0009150C"/>
    <w:rsid w:val="000920C8"/>
    <w:rsid w:val="000A42DC"/>
    <w:rsid w:val="000A683E"/>
    <w:rsid w:val="000B03C9"/>
    <w:rsid w:val="000B19B9"/>
    <w:rsid w:val="000C03D0"/>
    <w:rsid w:val="000C3898"/>
    <w:rsid w:val="000D0334"/>
    <w:rsid w:val="000D6FBF"/>
    <w:rsid w:val="000F6486"/>
    <w:rsid w:val="00120932"/>
    <w:rsid w:val="00122304"/>
    <w:rsid w:val="00125105"/>
    <w:rsid w:val="00127233"/>
    <w:rsid w:val="0014113A"/>
    <w:rsid w:val="001430BF"/>
    <w:rsid w:val="00156232"/>
    <w:rsid w:val="00170CE6"/>
    <w:rsid w:val="001C0214"/>
    <w:rsid w:val="001D5F47"/>
    <w:rsid w:val="001D7300"/>
    <w:rsid w:val="001E1B19"/>
    <w:rsid w:val="001E4177"/>
    <w:rsid w:val="001F6D8D"/>
    <w:rsid w:val="001F7DC6"/>
    <w:rsid w:val="002421BB"/>
    <w:rsid w:val="0025796E"/>
    <w:rsid w:val="00270335"/>
    <w:rsid w:val="002707A2"/>
    <w:rsid w:val="002951A0"/>
    <w:rsid w:val="002962BC"/>
    <w:rsid w:val="0029720D"/>
    <w:rsid w:val="002A093D"/>
    <w:rsid w:val="002A0DD0"/>
    <w:rsid w:val="002A49AC"/>
    <w:rsid w:val="002A6394"/>
    <w:rsid w:val="002A64FD"/>
    <w:rsid w:val="002C7A84"/>
    <w:rsid w:val="002D016F"/>
    <w:rsid w:val="002E4FD9"/>
    <w:rsid w:val="002F5A89"/>
    <w:rsid w:val="00310D60"/>
    <w:rsid w:val="003169B3"/>
    <w:rsid w:val="00316E18"/>
    <w:rsid w:val="00321106"/>
    <w:rsid w:val="00322A85"/>
    <w:rsid w:val="00324168"/>
    <w:rsid w:val="003448F4"/>
    <w:rsid w:val="0035061E"/>
    <w:rsid w:val="00373F8E"/>
    <w:rsid w:val="00374F5E"/>
    <w:rsid w:val="00377E3E"/>
    <w:rsid w:val="003A26D1"/>
    <w:rsid w:val="003A779E"/>
    <w:rsid w:val="003A7F45"/>
    <w:rsid w:val="003C03A6"/>
    <w:rsid w:val="003C221B"/>
    <w:rsid w:val="003D0F4D"/>
    <w:rsid w:val="003D5B0D"/>
    <w:rsid w:val="003E0499"/>
    <w:rsid w:val="003E11E6"/>
    <w:rsid w:val="003F3941"/>
    <w:rsid w:val="00406575"/>
    <w:rsid w:val="00424D74"/>
    <w:rsid w:val="0042722E"/>
    <w:rsid w:val="0044528D"/>
    <w:rsid w:val="00451E12"/>
    <w:rsid w:val="004735E5"/>
    <w:rsid w:val="004A1847"/>
    <w:rsid w:val="004A272B"/>
    <w:rsid w:val="004A305D"/>
    <w:rsid w:val="004C031C"/>
    <w:rsid w:val="004C5BDC"/>
    <w:rsid w:val="004F21C4"/>
    <w:rsid w:val="004F685F"/>
    <w:rsid w:val="00521153"/>
    <w:rsid w:val="00531342"/>
    <w:rsid w:val="005502B1"/>
    <w:rsid w:val="0055375E"/>
    <w:rsid w:val="005566E8"/>
    <w:rsid w:val="00574867"/>
    <w:rsid w:val="00577516"/>
    <w:rsid w:val="00591460"/>
    <w:rsid w:val="00592628"/>
    <w:rsid w:val="005C3777"/>
    <w:rsid w:val="005C5CDC"/>
    <w:rsid w:val="005D476C"/>
    <w:rsid w:val="005D7580"/>
    <w:rsid w:val="005E096B"/>
    <w:rsid w:val="00610812"/>
    <w:rsid w:val="006219F8"/>
    <w:rsid w:val="00650FF7"/>
    <w:rsid w:val="00665D70"/>
    <w:rsid w:val="006710C1"/>
    <w:rsid w:val="00671DAC"/>
    <w:rsid w:val="006760A2"/>
    <w:rsid w:val="006900D9"/>
    <w:rsid w:val="006A10DD"/>
    <w:rsid w:val="006A319E"/>
    <w:rsid w:val="006B2592"/>
    <w:rsid w:val="006D12F8"/>
    <w:rsid w:val="006D2968"/>
    <w:rsid w:val="00706C16"/>
    <w:rsid w:val="00740C76"/>
    <w:rsid w:val="00756841"/>
    <w:rsid w:val="007649AB"/>
    <w:rsid w:val="00771D0C"/>
    <w:rsid w:val="007729F7"/>
    <w:rsid w:val="007833AC"/>
    <w:rsid w:val="007855BD"/>
    <w:rsid w:val="00790F83"/>
    <w:rsid w:val="007A775D"/>
    <w:rsid w:val="007B268C"/>
    <w:rsid w:val="007B7171"/>
    <w:rsid w:val="007C0C0F"/>
    <w:rsid w:val="007C3DC2"/>
    <w:rsid w:val="007D5768"/>
    <w:rsid w:val="007E5497"/>
    <w:rsid w:val="007E6422"/>
    <w:rsid w:val="007F086A"/>
    <w:rsid w:val="00806F5F"/>
    <w:rsid w:val="00820278"/>
    <w:rsid w:val="00845A8D"/>
    <w:rsid w:val="0087001C"/>
    <w:rsid w:val="00877123"/>
    <w:rsid w:val="008843B6"/>
    <w:rsid w:val="00886681"/>
    <w:rsid w:val="00891928"/>
    <w:rsid w:val="008A2B4E"/>
    <w:rsid w:val="008A446D"/>
    <w:rsid w:val="008B6BD2"/>
    <w:rsid w:val="008D180B"/>
    <w:rsid w:val="008F0EA7"/>
    <w:rsid w:val="00903114"/>
    <w:rsid w:val="00922211"/>
    <w:rsid w:val="00923EEF"/>
    <w:rsid w:val="009419F9"/>
    <w:rsid w:val="0095685E"/>
    <w:rsid w:val="00961B09"/>
    <w:rsid w:val="00965334"/>
    <w:rsid w:val="0097093E"/>
    <w:rsid w:val="00972701"/>
    <w:rsid w:val="009907B0"/>
    <w:rsid w:val="00996488"/>
    <w:rsid w:val="009A0DFA"/>
    <w:rsid w:val="009B2D26"/>
    <w:rsid w:val="009C0714"/>
    <w:rsid w:val="009C71FA"/>
    <w:rsid w:val="009C72E7"/>
    <w:rsid w:val="009D3058"/>
    <w:rsid w:val="009E1DD9"/>
    <w:rsid w:val="009F3A13"/>
    <w:rsid w:val="00A122D3"/>
    <w:rsid w:val="00A17F13"/>
    <w:rsid w:val="00A20739"/>
    <w:rsid w:val="00A2286D"/>
    <w:rsid w:val="00A33C78"/>
    <w:rsid w:val="00A4761B"/>
    <w:rsid w:val="00AA7047"/>
    <w:rsid w:val="00AB0ADB"/>
    <w:rsid w:val="00AD4B06"/>
    <w:rsid w:val="00AE5FD5"/>
    <w:rsid w:val="00AE7B20"/>
    <w:rsid w:val="00B01B1A"/>
    <w:rsid w:val="00B045C8"/>
    <w:rsid w:val="00B32D63"/>
    <w:rsid w:val="00B569EB"/>
    <w:rsid w:val="00B72CD3"/>
    <w:rsid w:val="00B72FFF"/>
    <w:rsid w:val="00B849E2"/>
    <w:rsid w:val="00BB2FF2"/>
    <w:rsid w:val="00BC3D36"/>
    <w:rsid w:val="00BD00B0"/>
    <w:rsid w:val="00BD7F72"/>
    <w:rsid w:val="00C04FB3"/>
    <w:rsid w:val="00C330EB"/>
    <w:rsid w:val="00C754BE"/>
    <w:rsid w:val="00C76B1C"/>
    <w:rsid w:val="00CB6357"/>
    <w:rsid w:val="00CB7747"/>
    <w:rsid w:val="00CC1B26"/>
    <w:rsid w:val="00D156A7"/>
    <w:rsid w:val="00D423A2"/>
    <w:rsid w:val="00D520D8"/>
    <w:rsid w:val="00D532BB"/>
    <w:rsid w:val="00D6177D"/>
    <w:rsid w:val="00D63AC2"/>
    <w:rsid w:val="00D7383B"/>
    <w:rsid w:val="00DA231B"/>
    <w:rsid w:val="00DA23A0"/>
    <w:rsid w:val="00DB323D"/>
    <w:rsid w:val="00DC39FC"/>
    <w:rsid w:val="00DF5254"/>
    <w:rsid w:val="00DF63BE"/>
    <w:rsid w:val="00E16408"/>
    <w:rsid w:val="00E20894"/>
    <w:rsid w:val="00E245AB"/>
    <w:rsid w:val="00E2764C"/>
    <w:rsid w:val="00E27F2E"/>
    <w:rsid w:val="00E413EA"/>
    <w:rsid w:val="00E447AD"/>
    <w:rsid w:val="00E50AFE"/>
    <w:rsid w:val="00E61517"/>
    <w:rsid w:val="00E70EB2"/>
    <w:rsid w:val="00E75C92"/>
    <w:rsid w:val="00E771DC"/>
    <w:rsid w:val="00E8772A"/>
    <w:rsid w:val="00E90F6B"/>
    <w:rsid w:val="00E92C27"/>
    <w:rsid w:val="00EA05B6"/>
    <w:rsid w:val="00EA0D40"/>
    <w:rsid w:val="00EA0E3D"/>
    <w:rsid w:val="00EA360D"/>
    <w:rsid w:val="00EC38A7"/>
    <w:rsid w:val="00ED4BFB"/>
    <w:rsid w:val="00EE1AA8"/>
    <w:rsid w:val="00EE2A83"/>
    <w:rsid w:val="00EE3654"/>
    <w:rsid w:val="00F31EDC"/>
    <w:rsid w:val="00F45BF2"/>
    <w:rsid w:val="00F462B3"/>
    <w:rsid w:val="00F5664F"/>
    <w:rsid w:val="00F666C4"/>
    <w:rsid w:val="00F76AFC"/>
    <w:rsid w:val="00F930CF"/>
    <w:rsid w:val="00FA47C0"/>
    <w:rsid w:val="00FB5DD1"/>
    <w:rsid w:val="00FC2B5D"/>
    <w:rsid w:val="00FE1987"/>
    <w:rsid w:val="00FF1449"/>
    <w:rsid w:val="0E1CD36B"/>
    <w:rsid w:val="5CEADB7B"/>
    <w:rsid w:val="78FA6135"/>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7D5768"/>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7D5768"/>
    <w:rPr>
      <w:rFonts w:ascii="Geomanist Light" w:hAnsi="Geomanist Light"/>
      <w:lang w:val="es-ES"/>
    </w:rPr>
  </w:style>
  <w:style w:type="table" w:customStyle="1" w:styleId="Tablaconcuadrcula1">
    <w:name w:val="Tabla con cuadrícula1"/>
    <w:basedOn w:val="Tablanormal"/>
    <w:next w:val="Tablaconcuadrcula"/>
    <w:uiPriority w:val="39"/>
    <w:qFormat/>
    <w:rsid w:val="007D576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Refdecomentario">
    <w:name w:val="annotation reference"/>
    <w:basedOn w:val="Fuentedeprrafopredeter"/>
    <w:uiPriority w:val="99"/>
    <w:semiHidden/>
    <w:unhideWhenUsed/>
    <w:rsid w:val="00AE7B20"/>
    <w:rPr>
      <w:sz w:val="16"/>
      <w:szCs w:val="16"/>
    </w:rPr>
  </w:style>
  <w:style w:type="paragraph" w:styleId="Textocomentario">
    <w:name w:val="annotation text"/>
    <w:basedOn w:val="Normal"/>
    <w:link w:val="TextocomentarioCar"/>
    <w:uiPriority w:val="99"/>
    <w:unhideWhenUsed/>
    <w:rsid w:val="00AE7B20"/>
    <w:pPr>
      <w:spacing w:line="240" w:lineRule="auto"/>
    </w:pPr>
    <w:rPr>
      <w:sz w:val="20"/>
      <w:szCs w:val="20"/>
    </w:rPr>
  </w:style>
  <w:style w:type="character" w:customStyle="1" w:styleId="TextocomentarioCar">
    <w:name w:val="Texto comentario Car"/>
    <w:basedOn w:val="Fuentedeprrafopredeter"/>
    <w:link w:val="Textocomentario"/>
    <w:uiPriority w:val="99"/>
    <w:rsid w:val="00AE7B20"/>
    <w:rPr>
      <w:sz w:val="20"/>
      <w:szCs w:val="20"/>
    </w:rPr>
  </w:style>
  <w:style w:type="paragraph" w:styleId="Asuntodelcomentario">
    <w:name w:val="annotation subject"/>
    <w:basedOn w:val="Textocomentario"/>
    <w:next w:val="Textocomentario"/>
    <w:link w:val="AsuntodelcomentarioCar"/>
    <w:uiPriority w:val="99"/>
    <w:semiHidden/>
    <w:unhideWhenUsed/>
    <w:rsid w:val="00AE7B20"/>
    <w:rPr>
      <w:b/>
      <w:bCs/>
    </w:rPr>
  </w:style>
  <w:style w:type="character" w:customStyle="1" w:styleId="AsuntodelcomentarioCar">
    <w:name w:val="Asunto del comentario Car"/>
    <w:basedOn w:val="TextocomentarioCar"/>
    <w:link w:val="Asuntodelcomentario"/>
    <w:uiPriority w:val="99"/>
    <w:semiHidden/>
    <w:rsid w:val="00AE7B20"/>
    <w:rPr>
      <w:b/>
      <w:bCs/>
      <w:sz w:val="20"/>
      <w:szCs w:val="20"/>
    </w:rPr>
  </w:style>
  <w:style w:type="character" w:customStyle="1" w:styleId="Hipervnculo1">
    <w:name w:val="Hipervínculo1"/>
    <w:basedOn w:val="Fuentedeprrafopredeter"/>
    <w:uiPriority w:val="99"/>
    <w:unhideWhenUsed/>
    <w:rsid w:val="001E1B19"/>
    <w:rPr>
      <w:color w:val="F2F2F2"/>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3030731">
      <w:bodyDiv w:val="1"/>
      <w:marLeft w:val="0"/>
      <w:marRight w:val="0"/>
      <w:marTop w:val="0"/>
      <w:marBottom w:val="0"/>
      <w:divBdr>
        <w:top w:val="none" w:sz="0" w:space="0" w:color="auto"/>
        <w:left w:val="none" w:sz="0" w:space="0" w:color="auto"/>
        <w:bottom w:val="none" w:sz="0" w:space="0" w:color="auto"/>
        <w:right w:val="none" w:sz="0" w:space="0" w:color="auto"/>
      </w:divBdr>
    </w:div>
    <w:div w:id="203835437">
      <w:bodyDiv w:val="1"/>
      <w:marLeft w:val="0"/>
      <w:marRight w:val="0"/>
      <w:marTop w:val="0"/>
      <w:marBottom w:val="0"/>
      <w:divBdr>
        <w:top w:val="none" w:sz="0" w:space="0" w:color="auto"/>
        <w:left w:val="none" w:sz="0" w:space="0" w:color="auto"/>
        <w:bottom w:val="none" w:sz="0" w:space="0" w:color="auto"/>
        <w:right w:val="none" w:sz="0" w:space="0" w:color="auto"/>
      </w:divBdr>
    </w:div>
    <w:div w:id="416365212">
      <w:bodyDiv w:val="1"/>
      <w:marLeft w:val="0"/>
      <w:marRight w:val="0"/>
      <w:marTop w:val="0"/>
      <w:marBottom w:val="0"/>
      <w:divBdr>
        <w:top w:val="none" w:sz="0" w:space="0" w:color="auto"/>
        <w:left w:val="none" w:sz="0" w:space="0" w:color="auto"/>
        <w:bottom w:val="none" w:sz="0" w:space="0" w:color="auto"/>
        <w:right w:val="none" w:sz="0" w:space="0" w:color="auto"/>
      </w:divBdr>
      <w:divsChild>
        <w:div w:id="1597009879">
          <w:marLeft w:val="0"/>
          <w:marRight w:val="0"/>
          <w:marTop w:val="240"/>
          <w:marBottom w:val="240"/>
          <w:divBdr>
            <w:top w:val="none" w:sz="0" w:space="0" w:color="auto"/>
            <w:left w:val="none" w:sz="0" w:space="0" w:color="auto"/>
            <w:bottom w:val="none" w:sz="0" w:space="0" w:color="auto"/>
            <w:right w:val="none" w:sz="0" w:space="0" w:color="auto"/>
          </w:divBdr>
        </w:div>
        <w:div w:id="812216511">
          <w:marLeft w:val="0"/>
          <w:marRight w:val="0"/>
          <w:marTop w:val="240"/>
          <w:marBottom w:val="240"/>
          <w:divBdr>
            <w:top w:val="none" w:sz="0" w:space="0" w:color="auto"/>
            <w:left w:val="none" w:sz="0" w:space="0" w:color="auto"/>
            <w:bottom w:val="none" w:sz="0" w:space="0" w:color="auto"/>
            <w:right w:val="none" w:sz="0" w:space="0" w:color="auto"/>
          </w:divBdr>
        </w:div>
        <w:div w:id="1288195729">
          <w:marLeft w:val="0"/>
          <w:marRight w:val="0"/>
          <w:marTop w:val="240"/>
          <w:marBottom w:val="240"/>
          <w:divBdr>
            <w:top w:val="none" w:sz="0" w:space="0" w:color="auto"/>
            <w:left w:val="none" w:sz="0" w:space="0" w:color="auto"/>
            <w:bottom w:val="none" w:sz="0" w:space="0" w:color="auto"/>
            <w:right w:val="none" w:sz="0" w:space="0" w:color="auto"/>
          </w:divBdr>
        </w:div>
        <w:div w:id="662003586">
          <w:marLeft w:val="0"/>
          <w:marRight w:val="0"/>
          <w:marTop w:val="240"/>
          <w:marBottom w:val="240"/>
          <w:divBdr>
            <w:top w:val="none" w:sz="0" w:space="0" w:color="auto"/>
            <w:left w:val="none" w:sz="0" w:space="0" w:color="auto"/>
            <w:bottom w:val="none" w:sz="0" w:space="0" w:color="auto"/>
            <w:right w:val="none" w:sz="0" w:space="0" w:color="auto"/>
          </w:divBdr>
        </w:div>
      </w:divsChild>
    </w:div>
    <w:div w:id="567618385">
      <w:bodyDiv w:val="1"/>
      <w:marLeft w:val="0"/>
      <w:marRight w:val="0"/>
      <w:marTop w:val="0"/>
      <w:marBottom w:val="0"/>
      <w:divBdr>
        <w:top w:val="none" w:sz="0" w:space="0" w:color="auto"/>
        <w:left w:val="none" w:sz="0" w:space="0" w:color="auto"/>
        <w:bottom w:val="none" w:sz="0" w:space="0" w:color="auto"/>
        <w:right w:val="none" w:sz="0" w:space="0" w:color="auto"/>
      </w:divBdr>
    </w:div>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647243983">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797992158">
      <w:bodyDiv w:val="1"/>
      <w:marLeft w:val="0"/>
      <w:marRight w:val="0"/>
      <w:marTop w:val="0"/>
      <w:marBottom w:val="0"/>
      <w:divBdr>
        <w:top w:val="none" w:sz="0" w:space="0" w:color="auto"/>
        <w:left w:val="none" w:sz="0" w:space="0" w:color="auto"/>
        <w:bottom w:val="none" w:sz="0" w:space="0" w:color="auto"/>
        <w:right w:val="none" w:sz="0" w:space="0" w:color="auto"/>
      </w:divBdr>
    </w:div>
    <w:div w:id="810555418">
      <w:bodyDiv w:val="1"/>
      <w:marLeft w:val="0"/>
      <w:marRight w:val="0"/>
      <w:marTop w:val="0"/>
      <w:marBottom w:val="0"/>
      <w:divBdr>
        <w:top w:val="none" w:sz="0" w:space="0" w:color="auto"/>
        <w:left w:val="none" w:sz="0" w:space="0" w:color="auto"/>
        <w:bottom w:val="none" w:sz="0" w:space="0" w:color="auto"/>
        <w:right w:val="none" w:sz="0" w:space="0" w:color="auto"/>
      </w:divBdr>
    </w:div>
    <w:div w:id="82824882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175417870">
      <w:bodyDiv w:val="1"/>
      <w:marLeft w:val="0"/>
      <w:marRight w:val="0"/>
      <w:marTop w:val="0"/>
      <w:marBottom w:val="0"/>
      <w:divBdr>
        <w:top w:val="none" w:sz="0" w:space="0" w:color="auto"/>
        <w:left w:val="none" w:sz="0" w:space="0" w:color="auto"/>
        <w:bottom w:val="none" w:sz="0" w:space="0" w:color="auto"/>
        <w:right w:val="none" w:sz="0" w:space="0" w:color="auto"/>
      </w:divBdr>
      <w:divsChild>
        <w:div w:id="1921984219">
          <w:marLeft w:val="0"/>
          <w:marRight w:val="0"/>
          <w:marTop w:val="0"/>
          <w:marBottom w:val="0"/>
          <w:divBdr>
            <w:top w:val="none" w:sz="0" w:space="0" w:color="auto"/>
            <w:left w:val="none" w:sz="0" w:space="0" w:color="auto"/>
            <w:bottom w:val="none" w:sz="0" w:space="0" w:color="auto"/>
            <w:right w:val="none" w:sz="0" w:space="0" w:color="auto"/>
          </w:divBdr>
        </w:div>
      </w:divsChild>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1343514720">
      <w:bodyDiv w:val="1"/>
      <w:marLeft w:val="0"/>
      <w:marRight w:val="0"/>
      <w:marTop w:val="0"/>
      <w:marBottom w:val="0"/>
      <w:divBdr>
        <w:top w:val="none" w:sz="0" w:space="0" w:color="auto"/>
        <w:left w:val="none" w:sz="0" w:space="0" w:color="auto"/>
        <w:bottom w:val="none" w:sz="0" w:space="0" w:color="auto"/>
        <w:right w:val="none" w:sz="0" w:space="0" w:color="auto"/>
      </w:divBdr>
    </w:div>
    <w:div w:id="1380400609">
      <w:bodyDiv w:val="1"/>
      <w:marLeft w:val="0"/>
      <w:marRight w:val="0"/>
      <w:marTop w:val="0"/>
      <w:marBottom w:val="0"/>
      <w:divBdr>
        <w:top w:val="none" w:sz="0" w:space="0" w:color="auto"/>
        <w:left w:val="none" w:sz="0" w:space="0" w:color="auto"/>
        <w:bottom w:val="none" w:sz="0" w:space="0" w:color="auto"/>
        <w:right w:val="none" w:sz="0" w:space="0" w:color="auto"/>
      </w:divBdr>
      <w:divsChild>
        <w:div w:id="1030953454">
          <w:marLeft w:val="0"/>
          <w:marRight w:val="0"/>
          <w:marTop w:val="0"/>
          <w:marBottom w:val="0"/>
          <w:divBdr>
            <w:top w:val="none" w:sz="0" w:space="0" w:color="auto"/>
            <w:left w:val="none" w:sz="0" w:space="0" w:color="auto"/>
            <w:bottom w:val="none" w:sz="0" w:space="0" w:color="auto"/>
            <w:right w:val="none" w:sz="0" w:space="0" w:color="auto"/>
          </w:divBdr>
        </w:div>
      </w:divsChild>
    </w:div>
    <w:div w:id="2003848616">
      <w:bodyDiv w:val="1"/>
      <w:marLeft w:val="0"/>
      <w:marRight w:val="0"/>
      <w:marTop w:val="0"/>
      <w:marBottom w:val="0"/>
      <w:divBdr>
        <w:top w:val="none" w:sz="0" w:space="0" w:color="auto"/>
        <w:left w:val="none" w:sz="0" w:space="0" w:color="auto"/>
        <w:bottom w:val="none" w:sz="0" w:space="0" w:color="auto"/>
        <w:right w:val="none" w:sz="0" w:space="0" w:color="auto"/>
      </w:divBdr>
    </w:div>
    <w:div w:id="2007443097">
      <w:bodyDiv w:val="1"/>
      <w:marLeft w:val="0"/>
      <w:marRight w:val="0"/>
      <w:marTop w:val="0"/>
      <w:marBottom w:val="0"/>
      <w:divBdr>
        <w:top w:val="none" w:sz="0" w:space="0" w:color="auto"/>
        <w:left w:val="none" w:sz="0" w:space="0" w:color="auto"/>
        <w:bottom w:val="none" w:sz="0" w:space="0" w:color="auto"/>
        <w:right w:val="none" w:sz="0" w:space="0" w:color="auto"/>
      </w:divBdr>
      <w:divsChild>
        <w:div w:id="1787118803">
          <w:marLeft w:val="0"/>
          <w:marRight w:val="0"/>
          <w:marTop w:val="240"/>
          <w:marBottom w:val="240"/>
          <w:divBdr>
            <w:top w:val="none" w:sz="0" w:space="0" w:color="auto"/>
            <w:left w:val="none" w:sz="0" w:space="0" w:color="auto"/>
            <w:bottom w:val="none" w:sz="0" w:space="0" w:color="auto"/>
            <w:right w:val="none" w:sz="0" w:space="0" w:color="auto"/>
          </w:divBdr>
        </w:div>
        <w:div w:id="1606499584">
          <w:marLeft w:val="0"/>
          <w:marRight w:val="0"/>
          <w:marTop w:val="240"/>
          <w:marBottom w:val="240"/>
          <w:divBdr>
            <w:top w:val="none" w:sz="0" w:space="0" w:color="auto"/>
            <w:left w:val="none" w:sz="0" w:space="0" w:color="auto"/>
            <w:bottom w:val="none" w:sz="0" w:space="0" w:color="auto"/>
            <w:right w:val="none" w:sz="0" w:space="0" w:color="auto"/>
          </w:divBdr>
        </w:div>
        <w:div w:id="71242065">
          <w:marLeft w:val="0"/>
          <w:marRight w:val="0"/>
          <w:marTop w:val="240"/>
          <w:marBottom w:val="240"/>
          <w:divBdr>
            <w:top w:val="none" w:sz="0" w:space="0" w:color="auto"/>
            <w:left w:val="none" w:sz="0" w:space="0" w:color="auto"/>
            <w:bottom w:val="none" w:sz="0" w:space="0" w:color="auto"/>
            <w:right w:val="none" w:sz="0" w:space="0" w:color="auto"/>
          </w:divBdr>
        </w:div>
        <w:div w:id="1256010595">
          <w:marLeft w:val="0"/>
          <w:marRight w:val="0"/>
          <w:marTop w:val="240"/>
          <w:marBottom w:val="24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relatoria.colombiacompra.gov.co/busqueda/conceptos" TargetMode="External"/><Relationship Id="rId18" Type="http://schemas.openxmlformats.org/officeDocument/2006/relationships/hyperlink" Target="https://nam02.safelinks.protection.outlook.com/?url=https%3A%2F%2Fwww.colombiacompra.gov.co%2Fsala-de-prensa%2Fboletin-digital&amp;data=05%7C02%7Cximena.rios%40colombiacompra.gov.co%7C6192b0470d324981a09708dd0a6c28db%7C7b09041e245149d08cb179d5e3d8c1be%7C0%7C0%7C638678181873731554%7CUnknown%7CTWFpbGZsb3d8eyJFbXB0eU1hcGkiOnRydWUsIlYiOiIwLjAuMDAwMCIsIlAiOiJXaW4zMiIsIkFOIjoiTWFpbCIsIldUIjoyfQ%3D%3D%7C0%7C%7C%7C&amp;sdata=fMPgdsOWhADZlqGGOVDCexWpmOT6zzL6qchUFiD6Nd8%3D&amp;reserved=0" TargetMode="External"/><Relationship Id="rId3" Type="http://schemas.openxmlformats.org/officeDocument/2006/relationships/customXml" Target="../customXml/item3.xml"/><Relationship Id="rId21" Type="http://schemas.openxmlformats.org/officeDocument/2006/relationships/footer" Target="footer1.xml"/><Relationship Id="rId7" Type="http://schemas.openxmlformats.org/officeDocument/2006/relationships/settings" Target="settings.xml"/><Relationship Id="rId12" Type="http://schemas.openxmlformats.org/officeDocument/2006/relationships/hyperlink" Target="mailto:alnaranjoc@gmail.com" TargetMode="External"/><Relationship Id="rId17" Type="http://schemas.openxmlformats.org/officeDocument/2006/relationships/hyperlink" Target="https://nam02.safelinks.protection.outlook.com/?url=https%3A%2F%2Fwww.sucop.gov.co%2Fentidades%2Fcolombiacompra%2FNormativa%3FIDNorma%3D19201&amp;data=05%7C02%7Cximena.rios%40colombiacompra.gov.co%7C6192b0470d324981a09708dd0a6c28db%7C7b09041e245149d08cb179d5e3d8c1be%7C0%7C0%7C638678181873713669%7CUnknown%7CTWFpbGZsb3d8eyJFbXB0eU1hcGkiOnRydWUsIlYiOiIwLjAuMDAwMCIsIlAiOiJXaW4zMiIsIkFOIjoiTWFpbCIsIldUIjoyfQ%3D%3D%7C0%7C%7C%7C&amp;sdata=hFxYQpvFAxUkkpzg%2FsfrqSHe3NcYPyCnInkq2O%2B41%2Bk%3D&amp;reserved=0" TargetMode="External"/><Relationship Id="rId2" Type="http://schemas.openxmlformats.org/officeDocument/2006/relationships/customXml" Target="../customXml/item2.xml"/><Relationship Id="rId16" Type="http://schemas.openxmlformats.org/officeDocument/2006/relationships/hyperlink" Target="https://nam02.safelinks.protection.outlook.com/?url=https%3A%2F%2Fwww.colombiacompra.gov.co%2Fcontent%2Fconvocatorias&amp;data=05%7C02%7Cximena.rios%40colombiacompra.gov.co%7C6192b0470d324981a09708dd0a6c28db%7C7b09041e245149d08cb179d5e3d8c1be%7C0%7C0%7C638678181873694182%7CUnknown%7CTWFpbGZsb3d8eyJFbXB0eU1hcGkiOnRydWUsIlYiOiIwLjAuMDAwMCIsIlAiOiJXaW4zMiIsIkFOIjoiTWFpbCIsIldUIjoyfQ%3D%3D%7C0%7C%7C%7C&amp;sdata=FU7p7p0hvZimDdiRtDa%2FwHeNosv3w9Z3m040BCu%2FHf0%3D&amp;reserved=0"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hyperlink" Target="https://nam02.safelinks.protection.outlook.com/?url=https%3A%2F%2Fwww.colombiacompra.gov.co%2Fsites%2Fcce_public%2Ffiles%2Fcce_documents%2Fmanual_para_el_manejo_de_acuerdos_comerciales_vf.pdf&amp;data=05%7C02%7Cximena.rios%40colombiacompra.gov.co%7C6192b0470d324981a09708dd0a6c28db%7C7b09041e245149d08cb179d5e3d8c1be%7C0%7C0%7C638678181873662657%7CUnknown%7CTWFpbGZsb3d8eyJFbXB0eU1hcGkiOnRydWUsIlYiOiIwLjAuMDAwMCIsIlAiOiJXaW4zMiIsIkFOIjoiTWFpbCIsIldUIjoyfQ%3D%3D%7C0%7C%7C%7C&amp;sdata=tXt%2FvLKMV%2Fuf0BVO%2BSS%2BLWK6HcsvZXW8UPhbU9l72hk%3D&amp;reserved=0" TargetMode="External"/><Relationship Id="rId23"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image" Target="media/image3.jpe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nam02.safelinks.protection.outlook.com/?url=https%3A%2F%2Frelatoria.colombiacompra.gov.co%2F&amp;data=05%7C02%7Cana.ortizb%40colombiacompra.gov.co%7C5aad36a736844ec87b2108dcc1fa4639%7C7b09041e245149d08cb179d5e3d8c1be%7C0%7C0%7C638598527916488011%7CUnknown%7CTWFpbGZsb3d8eyJWIjoiMC4wLjAwMDAiLCJQIjoiV2luMzIiLCJBTiI6Ik1haWwiLCJXVCI6Mn0%3D%7C0%7C%7C%7C&amp;sdata=in4o%2Be0khWNMSHjVv27rZM0qcYLJmM4DxpEWjOE8yIU%3D&amp;reserved=0" TargetMode="External"/><Relationship Id="rId22"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SharedWithUsers xmlns="a6cb9e4b-f1d1-4245-83ec-6cad768d538a">
      <UserInfo>
        <DisplayName>Poxta IOIP</DisplayName>
        <AccountId>719</AccountId>
        <AccountType/>
      </UserInfo>
    </SharedWithUsers>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E550D729-D95F-4E81-BADE-553A89C5AF8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a6cb9e4b-f1d1-4245-83ec-6cad768d538a"/>
    <ds:schemaRef ds:uri="9d85dbaf-23eb-4e57-a637-93dcacc8b1a1"/>
  </ds:schemaRefs>
</ds:datastoreItem>
</file>

<file path=customXml/itemProps3.xml><?xml version="1.0" encoding="utf-8"?>
<ds:datastoreItem xmlns:ds="http://schemas.openxmlformats.org/officeDocument/2006/customXml" ds:itemID="{75FCB966-DF2E-477E-8998-3E8CA1E55AA4}">
  <ds:schemaRefs>
    <ds:schemaRef ds:uri="http://schemas.openxmlformats.org/officeDocument/2006/bibliography"/>
  </ds:schemaRefs>
</ds:datastoreItem>
</file>

<file path=customXml/itemProps4.xml><?xml version="1.0" encoding="utf-8"?>
<ds:datastoreItem xmlns:ds="http://schemas.openxmlformats.org/officeDocument/2006/customXml" ds:itemID="{19B0637E-D058-473B-8FE7-AA861F69C797}">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258</TotalTime>
  <Pages>1</Pages>
  <Words>3440</Words>
  <Characters>18925</Characters>
  <Application>Microsoft Office Word</Application>
  <DocSecurity>0</DocSecurity>
  <Lines>157</Lines>
  <Paragraphs>44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22321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Catalina del Pilar Lisa Cubides Estupinan</cp:lastModifiedBy>
  <cp:revision>16</cp:revision>
  <cp:lastPrinted>2023-01-10T21:18:00Z</cp:lastPrinted>
  <dcterms:created xsi:type="dcterms:W3CDTF">2024-12-09T17:00:00Z</dcterms:created>
  <dcterms:modified xsi:type="dcterms:W3CDTF">2025-10-09T02:16:00Z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