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22854" w14:textId="400741AA" w:rsidR="00971055" w:rsidRPr="00EF20CE" w:rsidRDefault="00971055" w:rsidP="00EF20CE">
      <w:pPr>
        <w:pStyle w:val="Sinespaciado"/>
        <w:spacing w:before="120" w:after="120" w:line="276" w:lineRule="auto"/>
        <w:jc w:val="both"/>
        <w:rPr>
          <w:rFonts w:ascii="Verdana" w:hAnsi="Verdana" w:cs="Arial"/>
          <w:b/>
          <w:bCs/>
          <w:sz w:val="22"/>
          <w:lang w:val="es-ES"/>
        </w:rPr>
      </w:pPr>
      <w:r w:rsidRPr="00EC1A0C">
        <w:rPr>
          <w:rFonts w:ascii="Verdana" w:hAnsi="Verdana" w:cs="Arial"/>
          <w:b/>
          <w:bCs/>
          <w:sz w:val="22"/>
          <w:lang w:val="es-ES"/>
        </w:rPr>
        <w:t>INHABILIDADES – Definición – Finalidad – Limitación capacidad</w:t>
      </w:r>
    </w:p>
    <w:p w14:paraId="39421115" w14:textId="77777777" w:rsidR="00971055" w:rsidRPr="00EC1A0C" w:rsidRDefault="00971055" w:rsidP="00971055">
      <w:pPr>
        <w:pStyle w:val="Sinespaciado"/>
        <w:jc w:val="both"/>
        <w:rPr>
          <w:rFonts w:ascii="Verdana" w:hAnsi="Verdana" w:cs="Arial"/>
          <w:sz w:val="20"/>
          <w:szCs w:val="20"/>
          <w:lang w:val="es-ES"/>
        </w:rPr>
      </w:pPr>
      <w:r w:rsidRPr="00EC1A0C">
        <w:rPr>
          <w:rFonts w:ascii="Verdana" w:hAnsi="Verdana" w:cs="Arial"/>
          <w:sz w:val="20"/>
          <w:szCs w:val="20"/>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3696220E" w14:textId="77777777" w:rsidR="00971055" w:rsidRPr="00EC1A0C" w:rsidRDefault="00971055" w:rsidP="00971055">
      <w:pPr>
        <w:pStyle w:val="Sinespaciado"/>
        <w:jc w:val="both"/>
        <w:rPr>
          <w:rFonts w:ascii="Verdana" w:hAnsi="Verdana" w:cs="Arial"/>
          <w:sz w:val="20"/>
          <w:szCs w:val="20"/>
          <w:lang w:val="es-ES"/>
        </w:rPr>
      </w:pPr>
    </w:p>
    <w:p w14:paraId="38A53B3E" w14:textId="77777777" w:rsidR="00971055" w:rsidRPr="00EC1A0C" w:rsidRDefault="00971055" w:rsidP="00971055">
      <w:pPr>
        <w:pStyle w:val="Sinespaciado"/>
        <w:jc w:val="both"/>
        <w:rPr>
          <w:rFonts w:ascii="Verdana" w:hAnsi="Verdana" w:cs="Arial"/>
          <w:sz w:val="20"/>
          <w:szCs w:val="20"/>
          <w:lang w:val="es-ES"/>
        </w:rPr>
      </w:pPr>
      <w:r w:rsidRPr="00EC1A0C">
        <w:rPr>
          <w:rFonts w:ascii="Verdana" w:hAnsi="Verdana" w:cs="Arial"/>
          <w:sz w:val="20"/>
          <w:szCs w:val="20"/>
          <w:lang w:val="es-ES"/>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p>
    <w:p w14:paraId="35DE904B" w14:textId="77777777" w:rsidR="00971055" w:rsidRPr="00EC1A0C" w:rsidRDefault="00971055" w:rsidP="00971055">
      <w:pPr>
        <w:pStyle w:val="Sinespaciado"/>
        <w:jc w:val="both"/>
        <w:rPr>
          <w:rFonts w:ascii="Verdana" w:hAnsi="Verdana" w:cs="Arial"/>
          <w:sz w:val="20"/>
          <w:szCs w:val="20"/>
          <w:lang w:val="es-ES"/>
        </w:rPr>
      </w:pPr>
    </w:p>
    <w:p w14:paraId="0E7DF461" w14:textId="13DBFCA8" w:rsidR="00971055" w:rsidRPr="00EF20CE" w:rsidRDefault="00971055" w:rsidP="00EF20CE">
      <w:pPr>
        <w:pStyle w:val="Sinespaciado"/>
        <w:spacing w:before="120" w:after="120" w:line="276" w:lineRule="auto"/>
        <w:jc w:val="both"/>
        <w:rPr>
          <w:rFonts w:ascii="Verdana" w:hAnsi="Verdana" w:cs="Arial"/>
          <w:sz w:val="21"/>
          <w:szCs w:val="21"/>
          <w:lang w:val="es-ES"/>
        </w:rPr>
      </w:pPr>
      <w:r w:rsidRPr="00EC1A0C">
        <w:rPr>
          <w:rFonts w:ascii="Verdana" w:hAnsi="Verdana" w:cs="Arial"/>
          <w:b/>
          <w:bCs/>
          <w:sz w:val="22"/>
          <w:lang w:val="es-ES"/>
        </w:rPr>
        <w:t>INHABILIDADES – Clasificación – Sanción – Proceso sancionatorio – Requisito – Condiciones personales</w:t>
      </w:r>
    </w:p>
    <w:p w14:paraId="1114EC1B" w14:textId="77777777" w:rsidR="00971055" w:rsidRDefault="00971055" w:rsidP="00EF20CE">
      <w:pPr>
        <w:spacing w:after="0" w:line="240" w:lineRule="auto"/>
        <w:jc w:val="both"/>
        <w:rPr>
          <w:rFonts w:ascii="Verdana" w:hAnsi="Verdana" w:cs="Arial"/>
          <w:sz w:val="20"/>
          <w:szCs w:val="20"/>
          <w:lang w:val="es-ES"/>
        </w:rPr>
      </w:pPr>
      <w:r w:rsidRPr="00EC1A0C">
        <w:rPr>
          <w:rFonts w:ascii="Verdana" w:hAnsi="Verdana" w:cs="Arial"/>
          <w:sz w:val="20"/>
          <w:szCs w:val="20"/>
          <w:lang w:val="es-ES"/>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p>
    <w:p w14:paraId="6AB28A7E" w14:textId="77777777" w:rsidR="00971055" w:rsidRPr="00EC1A0C" w:rsidRDefault="00971055" w:rsidP="00EF20CE">
      <w:pPr>
        <w:spacing w:after="0" w:line="240" w:lineRule="auto"/>
        <w:jc w:val="both"/>
        <w:rPr>
          <w:rFonts w:ascii="Verdana" w:hAnsi="Verdana" w:cs="Arial"/>
          <w:sz w:val="20"/>
          <w:szCs w:val="20"/>
          <w:lang w:val="es-ES"/>
        </w:rPr>
      </w:pPr>
    </w:p>
    <w:p w14:paraId="5E77F6F0" w14:textId="77777777" w:rsidR="00971055" w:rsidRPr="00EC1A0C" w:rsidRDefault="00971055" w:rsidP="00EF20CE">
      <w:pPr>
        <w:spacing w:after="0" w:line="240" w:lineRule="auto"/>
        <w:jc w:val="both"/>
        <w:rPr>
          <w:rFonts w:ascii="Verdana" w:hAnsi="Verdana" w:cs="Arial"/>
          <w:sz w:val="20"/>
          <w:szCs w:val="20"/>
          <w:lang w:val="es-ES"/>
        </w:rPr>
      </w:pPr>
      <w:r w:rsidRPr="00EC1A0C">
        <w:rPr>
          <w:rFonts w:ascii="Verdana" w:hAnsi="Verdana" w:cs="Arial"/>
          <w:sz w:val="20"/>
          <w:szCs w:val="20"/>
          <w:lang w:val="es-ES"/>
        </w:rPr>
        <w:t>[…]</w:t>
      </w:r>
    </w:p>
    <w:p w14:paraId="3B4935FF" w14:textId="77777777" w:rsidR="00971055" w:rsidRPr="00EC1A0C" w:rsidRDefault="00971055" w:rsidP="00EF20CE">
      <w:pPr>
        <w:spacing w:after="0" w:line="240" w:lineRule="auto"/>
        <w:jc w:val="both"/>
        <w:rPr>
          <w:rFonts w:ascii="Verdana" w:hAnsi="Verdana" w:cs="Arial"/>
          <w:sz w:val="20"/>
          <w:szCs w:val="20"/>
          <w:lang w:val="es-ES"/>
        </w:rPr>
      </w:pPr>
    </w:p>
    <w:p w14:paraId="02A94531" w14:textId="77777777" w:rsidR="00971055" w:rsidRDefault="00971055" w:rsidP="00EF20CE">
      <w:pPr>
        <w:spacing w:after="0" w:line="240" w:lineRule="auto"/>
        <w:jc w:val="both"/>
        <w:rPr>
          <w:rFonts w:ascii="Verdana" w:hAnsi="Verdana" w:cs="Arial"/>
          <w:sz w:val="20"/>
          <w:szCs w:val="20"/>
          <w:lang w:val="es-ES"/>
        </w:rPr>
      </w:pPr>
      <w:r w:rsidRPr="00EC1A0C">
        <w:rPr>
          <w:rFonts w:ascii="Verdana" w:hAnsi="Verdana" w:cs="Arial"/>
          <w:sz w:val="20"/>
          <w:szCs w:val="20"/>
          <w:lang w:val="es-ES"/>
        </w:rPr>
        <w:t>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w:t>
      </w:r>
    </w:p>
    <w:p w14:paraId="32D01C34" w14:textId="77777777" w:rsidR="00971055" w:rsidRPr="00EC1A0C" w:rsidRDefault="00971055" w:rsidP="00971055">
      <w:pPr>
        <w:spacing w:after="0" w:line="240" w:lineRule="auto"/>
        <w:jc w:val="both"/>
        <w:rPr>
          <w:rFonts w:ascii="Verdana" w:eastAsia="Calibri" w:hAnsi="Verdana" w:cs="Arial"/>
          <w:sz w:val="20"/>
          <w:szCs w:val="20"/>
          <w:lang w:val="es-ES"/>
        </w:rPr>
      </w:pPr>
    </w:p>
    <w:p w14:paraId="6DCDD8BB" w14:textId="39FEC10A" w:rsidR="00971055" w:rsidRPr="00EF20CE" w:rsidRDefault="00971055" w:rsidP="00EF20CE">
      <w:pPr>
        <w:pStyle w:val="Sinespaciado"/>
        <w:spacing w:before="120" w:after="120" w:line="276" w:lineRule="auto"/>
        <w:jc w:val="both"/>
        <w:rPr>
          <w:rFonts w:ascii="Verdana" w:hAnsi="Verdana" w:cs="Arial"/>
          <w:b/>
          <w:bCs/>
          <w:sz w:val="22"/>
          <w:lang w:val="es-ES"/>
        </w:rPr>
      </w:pPr>
      <w:r w:rsidRPr="00EF20CE">
        <w:rPr>
          <w:rFonts w:ascii="Verdana" w:hAnsi="Verdana" w:cs="Arial"/>
          <w:b/>
          <w:bCs/>
          <w:sz w:val="22"/>
          <w:lang w:val="es-ES"/>
        </w:rPr>
        <w:t>INHABILIDADES – Taxatividad – Principio de legalidad – Interpretación restrictiva</w:t>
      </w:r>
    </w:p>
    <w:p w14:paraId="0D006929" w14:textId="77777777" w:rsidR="00971055" w:rsidRDefault="00971055" w:rsidP="00971055">
      <w:pPr>
        <w:spacing w:after="0" w:line="240" w:lineRule="auto"/>
        <w:jc w:val="both"/>
        <w:rPr>
          <w:rFonts w:ascii="Verdana" w:eastAsia="Calibri" w:hAnsi="Verdana" w:cs="Arial"/>
          <w:sz w:val="20"/>
          <w:szCs w:val="20"/>
          <w:lang w:val="es-ES"/>
        </w:rPr>
      </w:pPr>
      <w:r w:rsidRPr="00EC1A0C">
        <w:rPr>
          <w:rFonts w:ascii="Verdana" w:eastAsia="Calibri" w:hAnsi="Verdana" w:cs="Arial"/>
          <w:sz w:val="20"/>
          <w:szCs w:val="20"/>
          <w:lang w:val="es-ES"/>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restrictiva , pues si se admitiera una interpretación amplia, extensiva o finalista de las mismas, tales enunciados normativos contemplarían múltiples supuestos indeterminados, según el parecer o el sentido común de los operadores jurídicos, </w:t>
      </w:r>
      <w:r w:rsidRPr="00EC1A0C">
        <w:rPr>
          <w:rFonts w:ascii="Verdana" w:eastAsia="Calibri" w:hAnsi="Verdana" w:cs="Arial"/>
          <w:sz w:val="20"/>
          <w:szCs w:val="20"/>
          <w:lang w:val="es-ES"/>
        </w:rPr>
        <w:lastRenderedPageBreak/>
        <w:t>poniendo en riesgo principios como la igualdad, el debido proceso, la libre concurrencia y el ejercicio de la profesión u oficio. Tal ha sido la postura de la jurisprudencia, tanto de la Corte Constitucional como de la Sección Tercera del Consejo de Estado.</w:t>
      </w:r>
    </w:p>
    <w:p w14:paraId="63CEFAAC" w14:textId="77777777" w:rsidR="00971055" w:rsidRDefault="00971055" w:rsidP="00971055">
      <w:pPr>
        <w:spacing w:after="0" w:line="240" w:lineRule="auto"/>
        <w:jc w:val="both"/>
        <w:rPr>
          <w:rFonts w:ascii="Verdana" w:eastAsia="Calibri" w:hAnsi="Verdana" w:cs="Arial"/>
          <w:sz w:val="20"/>
          <w:szCs w:val="20"/>
          <w:lang w:val="es-ES"/>
        </w:rPr>
      </w:pPr>
    </w:p>
    <w:p w14:paraId="6762BB66" w14:textId="5638EC01" w:rsidR="00971055" w:rsidRPr="00EF20CE" w:rsidRDefault="00971055" w:rsidP="00EF20CE">
      <w:pPr>
        <w:pStyle w:val="Sinespaciado"/>
        <w:spacing w:before="120" w:after="120" w:line="276" w:lineRule="auto"/>
        <w:jc w:val="both"/>
        <w:rPr>
          <w:rFonts w:ascii="Verdana" w:hAnsi="Verdana" w:cs="Arial"/>
          <w:b/>
          <w:bCs/>
          <w:sz w:val="22"/>
          <w:lang w:val="es-ES"/>
        </w:rPr>
      </w:pPr>
      <w:r w:rsidRPr="00EF20CE">
        <w:rPr>
          <w:rFonts w:ascii="Verdana" w:hAnsi="Verdana" w:cs="Arial"/>
          <w:b/>
          <w:bCs/>
          <w:sz w:val="22"/>
          <w:lang w:val="es-ES"/>
        </w:rPr>
        <w:t>INHABILIDADES – Personas naturales – Personas jurídicas – Extensibles a sociedades – Artículo 8 numeral 1 literal j)</w:t>
      </w:r>
    </w:p>
    <w:p w14:paraId="51BC1F28" w14:textId="77777777" w:rsidR="00971055" w:rsidRPr="00BE228C" w:rsidRDefault="00971055" w:rsidP="00EF20CE">
      <w:pPr>
        <w:spacing w:after="0" w:line="240" w:lineRule="auto"/>
        <w:jc w:val="both"/>
        <w:rPr>
          <w:rFonts w:ascii="Verdana" w:eastAsia="Calibri" w:hAnsi="Verdana" w:cs="Arial"/>
          <w:sz w:val="20"/>
          <w:szCs w:val="20"/>
          <w:lang w:val="es-ES"/>
        </w:rPr>
      </w:pPr>
      <w:r w:rsidRPr="00A45BD5">
        <w:rPr>
          <w:rFonts w:ascii="Verdana" w:eastAsia="Calibri" w:hAnsi="Verdana" w:cs="Arial"/>
          <w:sz w:val="20"/>
          <w:szCs w:val="20"/>
          <w:lang w:val="es-ES"/>
        </w:rPr>
        <w:t>De manera que, en el evento en que un socio controlante de la sociedad interesada en participar en una convocatoria pública de selección de contratistas o que pretenda suscribir contratos con el Estado, sea objeto de alguna de las inhabilidades enlistadas, dicha inhabilidad extiende sus efectos a la sociedad, con excepción de las sociedades anónimas abiertas.</w:t>
      </w:r>
      <w:r w:rsidRPr="00BE228C">
        <w:rPr>
          <w:rFonts w:ascii="Verdana" w:eastAsia="Calibri" w:hAnsi="Verdana" w:cs="Arial"/>
          <w:sz w:val="20"/>
          <w:szCs w:val="20"/>
          <w:lang w:val="es-ES"/>
        </w:rPr>
        <w:t xml:space="preserve">  </w:t>
      </w:r>
    </w:p>
    <w:p w14:paraId="390418F9" w14:textId="77777777" w:rsidR="00971055" w:rsidRDefault="00971055" w:rsidP="00EF20CE">
      <w:pPr>
        <w:spacing w:after="0" w:line="240" w:lineRule="auto"/>
        <w:jc w:val="both"/>
        <w:rPr>
          <w:rFonts w:ascii="Verdana" w:eastAsia="Calibri" w:hAnsi="Verdana" w:cs="Arial"/>
          <w:sz w:val="20"/>
          <w:szCs w:val="20"/>
          <w:lang w:val="es-ES"/>
        </w:rPr>
      </w:pPr>
    </w:p>
    <w:p w14:paraId="6D3EE152" w14:textId="77777777" w:rsidR="00971055" w:rsidRDefault="00971055" w:rsidP="00EF20CE">
      <w:pPr>
        <w:spacing w:after="0" w:line="240" w:lineRule="auto"/>
        <w:jc w:val="both"/>
        <w:rPr>
          <w:rFonts w:ascii="Verdana" w:eastAsia="Calibri" w:hAnsi="Verdana" w:cs="Arial"/>
          <w:sz w:val="20"/>
          <w:szCs w:val="20"/>
          <w:lang w:val="es-ES"/>
        </w:rPr>
      </w:pPr>
      <w:r>
        <w:rPr>
          <w:rFonts w:ascii="Verdana" w:eastAsia="Calibri" w:hAnsi="Verdana" w:cs="Arial"/>
          <w:sz w:val="20"/>
          <w:szCs w:val="20"/>
          <w:lang w:val="es-ES"/>
        </w:rPr>
        <w:t>[…]</w:t>
      </w:r>
    </w:p>
    <w:p w14:paraId="2056F0F7" w14:textId="77777777" w:rsidR="00971055" w:rsidRPr="00BE228C" w:rsidRDefault="00971055" w:rsidP="00EF20CE">
      <w:pPr>
        <w:spacing w:after="0" w:line="240" w:lineRule="auto"/>
        <w:jc w:val="both"/>
        <w:rPr>
          <w:rFonts w:ascii="Verdana" w:eastAsia="Calibri" w:hAnsi="Verdana" w:cs="Arial"/>
          <w:sz w:val="20"/>
          <w:szCs w:val="20"/>
          <w:lang w:val="es-ES"/>
        </w:rPr>
      </w:pPr>
    </w:p>
    <w:p w14:paraId="4266F60B" w14:textId="77777777" w:rsidR="00971055" w:rsidRPr="00EC1A0C" w:rsidRDefault="00971055" w:rsidP="00EF20CE">
      <w:pPr>
        <w:spacing w:after="0" w:line="240" w:lineRule="auto"/>
        <w:jc w:val="both"/>
        <w:rPr>
          <w:rFonts w:ascii="Verdana" w:eastAsia="Arial" w:hAnsi="Verdana" w:cs="Arial"/>
          <w:sz w:val="20"/>
          <w:szCs w:val="20"/>
        </w:rPr>
      </w:pPr>
      <w:r w:rsidRPr="00A26E15">
        <w:rPr>
          <w:rFonts w:ascii="Verdana" w:eastAsia="Calibri" w:hAnsi="Verdana" w:cs="Arial"/>
          <w:sz w:val="20"/>
          <w:szCs w:val="20"/>
          <w:lang w:val="es-ES"/>
        </w:rPr>
        <w:t>En ese orden, si un socio controlante (que en este caso se trataría de un socio persona jurídica) de la sociedad interesada en participar en una convocatoria pública de selección de contratistas o que pretenda suscribir contratos con el Estado, es objeto de alguna de las inhabilidades enlistadas, dicha inhabilidad extiende sus efectos a la sociedad, con excepción de las sociedades anónimas abiertas.</w:t>
      </w:r>
    </w:p>
    <w:p w14:paraId="02F9D453" w14:textId="77777777" w:rsidR="00971055" w:rsidRPr="00EC1A0C" w:rsidRDefault="00971055" w:rsidP="00971055">
      <w:pPr>
        <w:spacing w:after="0" w:line="240" w:lineRule="auto"/>
        <w:rPr>
          <w:rFonts w:ascii="Verdana" w:eastAsia="Times New Roman" w:hAnsi="Verdana" w:cs="Arial"/>
          <w:lang w:eastAsia="es-ES_tradnl"/>
        </w:rPr>
      </w:pPr>
    </w:p>
    <w:p w14:paraId="45531CD7" w14:textId="77777777" w:rsidR="00971055" w:rsidRDefault="00971055" w:rsidP="00971055">
      <w:pPr>
        <w:spacing w:after="0" w:line="240" w:lineRule="auto"/>
        <w:rPr>
          <w:rFonts w:ascii="Verdana" w:eastAsia="Times New Roman" w:hAnsi="Verdana" w:cs="Arial"/>
          <w:lang w:eastAsia="es-ES_tradnl"/>
        </w:rPr>
      </w:pPr>
    </w:p>
    <w:p w14:paraId="20862FCA" w14:textId="77777777" w:rsidR="00971055" w:rsidRDefault="00971055" w:rsidP="00971055">
      <w:pPr>
        <w:spacing w:after="0" w:line="240" w:lineRule="auto"/>
        <w:rPr>
          <w:rFonts w:ascii="Verdana" w:eastAsia="Times New Roman" w:hAnsi="Verdana" w:cs="Arial"/>
          <w:lang w:eastAsia="es-ES_tradnl"/>
        </w:rPr>
      </w:pPr>
    </w:p>
    <w:p w14:paraId="56E40E08" w14:textId="77777777" w:rsidR="00971055" w:rsidRDefault="00971055" w:rsidP="00971055">
      <w:pPr>
        <w:spacing w:after="0" w:line="240" w:lineRule="auto"/>
        <w:rPr>
          <w:rFonts w:ascii="Verdana" w:eastAsia="Times New Roman" w:hAnsi="Verdana" w:cs="Arial"/>
          <w:lang w:eastAsia="es-ES_tradnl"/>
        </w:rPr>
      </w:pPr>
    </w:p>
    <w:p w14:paraId="05FB24D9" w14:textId="77777777" w:rsidR="00971055" w:rsidRDefault="00971055" w:rsidP="00971055">
      <w:pPr>
        <w:spacing w:after="0" w:line="240" w:lineRule="auto"/>
        <w:rPr>
          <w:rFonts w:ascii="Verdana" w:eastAsia="Times New Roman" w:hAnsi="Verdana" w:cs="Arial"/>
          <w:lang w:eastAsia="es-ES_tradnl"/>
        </w:rPr>
      </w:pPr>
    </w:p>
    <w:p w14:paraId="0EC14771" w14:textId="77777777" w:rsidR="00971055" w:rsidRDefault="00971055" w:rsidP="00971055">
      <w:pPr>
        <w:spacing w:after="0" w:line="240" w:lineRule="auto"/>
        <w:rPr>
          <w:rFonts w:ascii="Verdana" w:eastAsia="Times New Roman" w:hAnsi="Verdana" w:cs="Arial"/>
          <w:lang w:eastAsia="es-ES_tradnl"/>
        </w:rPr>
      </w:pPr>
    </w:p>
    <w:p w14:paraId="27DE6CC7" w14:textId="77777777" w:rsidR="00971055" w:rsidRDefault="00971055" w:rsidP="00971055">
      <w:pPr>
        <w:spacing w:after="0" w:line="240" w:lineRule="auto"/>
        <w:rPr>
          <w:rFonts w:ascii="Verdana" w:eastAsia="Times New Roman" w:hAnsi="Verdana" w:cs="Arial"/>
          <w:lang w:eastAsia="es-ES_tradnl"/>
        </w:rPr>
      </w:pPr>
    </w:p>
    <w:p w14:paraId="1AFFE703" w14:textId="77777777" w:rsidR="00971055" w:rsidRDefault="00971055" w:rsidP="00971055">
      <w:pPr>
        <w:spacing w:after="0" w:line="240" w:lineRule="auto"/>
        <w:rPr>
          <w:rFonts w:ascii="Verdana" w:eastAsia="Times New Roman" w:hAnsi="Verdana" w:cs="Arial"/>
          <w:lang w:eastAsia="es-ES_tradnl"/>
        </w:rPr>
      </w:pPr>
    </w:p>
    <w:p w14:paraId="664E13F6" w14:textId="77777777" w:rsidR="00971055" w:rsidRDefault="00971055" w:rsidP="00971055">
      <w:pPr>
        <w:spacing w:after="0" w:line="240" w:lineRule="auto"/>
        <w:rPr>
          <w:rFonts w:ascii="Verdana" w:eastAsia="Times New Roman" w:hAnsi="Verdana" w:cs="Arial"/>
          <w:lang w:eastAsia="es-ES_tradnl"/>
        </w:rPr>
      </w:pPr>
    </w:p>
    <w:p w14:paraId="5C60B535" w14:textId="77777777" w:rsidR="00971055" w:rsidRDefault="00971055" w:rsidP="00971055">
      <w:pPr>
        <w:spacing w:after="0" w:line="240" w:lineRule="auto"/>
        <w:rPr>
          <w:rFonts w:ascii="Verdana" w:eastAsia="Times New Roman" w:hAnsi="Verdana" w:cs="Arial"/>
          <w:lang w:eastAsia="es-ES_tradnl"/>
        </w:rPr>
      </w:pPr>
    </w:p>
    <w:p w14:paraId="0514A13A" w14:textId="77777777" w:rsidR="00971055" w:rsidRDefault="00971055" w:rsidP="00971055">
      <w:pPr>
        <w:spacing w:after="0" w:line="240" w:lineRule="auto"/>
        <w:rPr>
          <w:rFonts w:ascii="Verdana" w:eastAsia="Times New Roman" w:hAnsi="Verdana" w:cs="Arial"/>
          <w:lang w:eastAsia="es-ES_tradnl"/>
        </w:rPr>
      </w:pPr>
    </w:p>
    <w:p w14:paraId="0379E1ED" w14:textId="77777777" w:rsidR="00971055" w:rsidRDefault="00971055" w:rsidP="00971055">
      <w:pPr>
        <w:spacing w:after="0" w:line="240" w:lineRule="auto"/>
        <w:rPr>
          <w:rFonts w:ascii="Verdana" w:eastAsia="Geomanist Light" w:hAnsi="Verdana" w:cs="Arial"/>
          <w:color w:val="000000" w:themeColor="text1"/>
          <w:lang w:val="es-MX"/>
        </w:rPr>
      </w:pPr>
    </w:p>
    <w:p w14:paraId="75DCE8E2" w14:textId="77777777" w:rsidR="00971055" w:rsidRDefault="00971055" w:rsidP="00971055">
      <w:pPr>
        <w:spacing w:after="0" w:line="240" w:lineRule="auto"/>
        <w:rPr>
          <w:rFonts w:ascii="Verdana" w:eastAsia="Geomanist Light" w:hAnsi="Verdana" w:cs="Arial"/>
          <w:color w:val="000000" w:themeColor="text1"/>
          <w:lang w:val="es-MX"/>
        </w:rPr>
      </w:pPr>
    </w:p>
    <w:p w14:paraId="36DF1140" w14:textId="77777777" w:rsidR="00971055" w:rsidRDefault="00971055" w:rsidP="00971055">
      <w:pPr>
        <w:spacing w:after="0" w:line="240" w:lineRule="auto"/>
        <w:rPr>
          <w:rFonts w:ascii="Verdana" w:eastAsia="Geomanist Light" w:hAnsi="Verdana" w:cs="Arial"/>
          <w:color w:val="000000" w:themeColor="text1"/>
          <w:lang w:val="es-MX"/>
        </w:rPr>
      </w:pPr>
    </w:p>
    <w:p w14:paraId="26A59480" w14:textId="77777777" w:rsidR="00971055" w:rsidRDefault="00971055" w:rsidP="00971055">
      <w:pPr>
        <w:spacing w:after="0" w:line="240" w:lineRule="auto"/>
        <w:rPr>
          <w:rFonts w:ascii="Verdana" w:eastAsia="Geomanist Light" w:hAnsi="Verdana" w:cs="Arial"/>
          <w:color w:val="000000" w:themeColor="text1"/>
          <w:lang w:val="es-MX"/>
        </w:rPr>
      </w:pPr>
    </w:p>
    <w:p w14:paraId="393EBA95" w14:textId="77777777" w:rsidR="00971055" w:rsidRDefault="00971055" w:rsidP="00971055">
      <w:pPr>
        <w:spacing w:after="0" w:line="240" w:lineRule="auto"/>
        <w:rPr>
          <w:rFonts w:ascii="Verdana" w:eastAsia="Geomanist Light" w:hAnsi="Verdana" w:cs="Arial"/>
          <w:color w:val="000000" w:themeColor="text1"/>
          <w:lang w:val="es-MX"/>
        </w:rPr>
      </w:pPr>
    </w:p>
    <w:p w14:paraId="358CDD5E" w14:textId="77777777" w:rsidR="00971055" w:rsidRDefault="00971055" w:rsidP="00985B96">
      <w:pPr>
        <w:spacing w:after="0" w:line="240" w:lineRule="auto"/>
        <w:rPr>
          <w:rFonts w:ascii="Verdana" w:eastAsia="Geomanist Light" w:hAnsi="Verdana" w:cs="Arial"/>
          <w:color w:val="000000" w:themeColor="text1"/>
          <w:lang w:val="es-MX"/>
        </w:rPr>
      </w:pPr>
    </w:p>
    <w:p w14:paraId="5D2EFEA5" w14:textId="77777777" w:rsidR="00971055" w:rsidRDefault="00971055" w:rsidP="00985B96">
      <w:pPr>
        <w:spacing w:after="0" w:line="240" w:lineRule="auto"/>
        <w:rPr>
          <w:rFonts w:ascii="Verdana" w:eastAsia="Geomanist Light" w:hAnsi="Verdana" w:cs="Arial"/>
          <w:color w:val="000000" w:themeColor="text1"/>
          <w:lang w:val="es-MX"/>
        </w:rPr>
      </w:pPr>
    </w:p>
    <w:p w14:paraId="68F1EC15" w14:textId="77777777" w:rsidR="00971055" w:rsidRDefault="00971055" w:rsidP="00985B96">
      <w:pPr>
        <w:spacing w:after="0" w:line="240" w:lineRule="auto"/>
        <w:rPr>
          <w:rFonts w:ascii="Verdana" w:eastAsia="Geomanist Light" w:hAnsi="Verdana" w:cs="Arial"/>
          <w:color w:val="000000" w:themeColor="text1"/>
          <w:lang w:val="es-MX"/>
        </w:rPr>
      </w:pPr>
    </w:p>
    <w:p w14:paraId="69E1C39E" w14:textId="77777777" w:rsidR="00971055" w:rsidRDefault="00971055" w:rsidP="00985B96">
      <w:pPr>
        <w:spacing w:after="0" w:line="240" w:lineRule="auto"/>
        <w:rPr>
          <w:rFonts w:ascii="Verdana" w:eastAsia="Geomanist Light" w:hAnsi="Verdana" w:cs="Arial"/>
          <w:color w:val="000000" w:themeColor="text1"/>
          <w:lang w:val="es-MX"/>
        </w:rPr>
      </w:pPr>
    </w:p>
    <w:p w14:paraId="3501DDC2" w14:textId="77777777" w:rsidR="00971055" w:rsidRDefault="00971055" w:rsidP="00985B96">
      <w:pPr>
        <w:spacing w:after="0" w:line="240" w:lineRule="auto"/>
        <w:rPr>
          <w:rFonts w:ascii="Verdana" w:eastAsia="Geomanist Light" w:hAnsi="Verdana" w:cs="Arial"/>
          <w:color w:val="000000" w:themeColor="text1"/>
          <w:lang w:val="es-MX"/>
        </w:rPr>
      </w:pPr>
    </w:p>
    <w:p w14:paraId="2C7CD8CD" w14:textId="77777777" w:rsidR="00E962B7" w:rsidRDefault="00E962B7" w:rsidP="00985B96">
      <w:pPr>
        <w:spacing w:after="0" w:line="240" w:lineRule="auto"/>
        <w:rPr>
          <w:rFonts w:ascii="Verdana" w:eastAsia="Geomanist Light" w:hAnsi="Verdana" w:cs="Arial"/>
          <w:color w:val="000000" w:themeColor="text1"/>
          <w:lang w:val="es-MX"/>
        </w:rPr>
      </w:pPr>
    </w:p>
    <w:p w14:paraId="10AE1C1F" w14:textId="77777777" w:rsidR="00971055" w:rsidRDefault="00971055" w:rsidP="00985B96">
      <w:pPr>
        <w:spacing w:after="0" w:line="240" w:lineRule="auto"/>
        <w:rPr>
          <w:rFonts w:ascii="Verdana" w:eastAsia="Geomanist Light" w:hAnsi="Verdana" w:cs="Arial"/>
          <w:color w:val="000000" w:themeColor="text1"/>
          <w:lang w:val="es-MX"/>
        </w:rPr>
      </w:pPr>
    </w:p>
    <w:p w14:paraId="0E2D7292" w14:textId="77777777" w:rsidR="00971055" w:rsidRDefault="00971055" w:rsidP="00985B96">
      <w:pPr>
        <w:spacing w:after="0" w:line="240" w:lineRule="auto"/>
        <w:rPr>
          <w:rFonts w:ascii="Verdana" w:eastAsia="Geomanist Light" w:hAnsi="Verdana" w:cs="Arial"/>
          <w:color w:val="000000" w:themeColor="text1"/>
          <w:lang w:val="es-MX"/>
        </w:rPr>
      </w:pPr>
    </w:p>
    <w:p w14:paraId="40F2A468" w14:textId="2A52622B" w:rsidR="00985B96" w:rsidRPr="00610C8B" w:rsidRDefault="00D52CED" w:rsidP="00985B96">
      <w:pPr>
        <w:spacing w:after="0" w:line="240" w:lineRule="auto"/>
        <w:rPr>
          <w:rFonts w:ascii="Verdana" w:eastAsia="Geomanist Light" w:hAnsi="Verdana" w:cs="Arial"/>
          <w:color w:val="201F1E"/>
          <w:lang w:val="es-MX"/>
        </w:rPr>
      </w:pPr>
      <w:r w:rsidRPr="00695A64">
        <w:rPr>
          <w:rFonts w:ascii="Verdana" w:eastAsia="Geomanist Light" w:hAnsi="Verdana" w:cs="Arial"/>
          <w:noProof/>
          <w:color w:val="201F1E"/>
          <w:lang w:val="es-MX"/>
        </w:rPr>
        <w:lastRenderedPageBreak/>
        <w:drawing>
          <wp:anchor distT="0" distB="0" distL="114300" distR="114300" simplePos="0" relativeHeight="251658240" behindDoc="0" locked="0" layoutInCell="1" allowOverlap="1" wp14:anchorId="30E98431" wp14:editId="2ACCDA2D">
            <wp:simplePos x="0" y="0"/>
            <wp:positionH relativeFrom="column">
              <wp:posOffset>2720340</wp:posOffset>
            </wp:positionH>
            <wp:positionV relativeFrom="paragraph">
              <wp:posOffset>8890</wp:posOffset>
            </wp:positionV>
            <wp:extent cx="3267075" cy="971550"/>
            <wp:effectExtent l="0" t="0" r="9525" b="0"/>
            <wp:wrapNone/>
            <wp:docPr id="520389972"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89972" name="Imagen 1" descr="Interfaz de usuario gráfica,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67075" cy="971550"/>
                    </a:xfrm>
                    <a:prstGeom prst="rect">
                      <a:avLst/>
                    </a:prstGeom>
                  </pic:spPr>
                </pic:pic>
              </a:graphicData>
            </a:graphic>
          </wp:anchor>
        </w:drawing>
      </w:r>
      <w:r w:rsidR="00985B96" w:rsidRPr="00610C8B">
        <w:rPr>
          <w:rFonts w:ascii="Verdana" w:eastAsia="Geomanist Light" w:hAnsi="Verdana" w:cs="Arial"/>
          <w:color w:val="000000" w:themeColor="text1"/>
          <w:lang w:val="es-MX"/>
        </w:rPr>
        <w:t>Bogotá D.C., </w:t>
      </w:r>
      <w:r w:rsidR="00F22D14">
        <w:rPr>
          <w:rFonts w:ascii="Verdana" w:eastAsia="Geomanist Light" w:hAnsi="Verdana" w:cs="Arial"/>
          <w:color w:val="201F1E"/>
          <w:lang w:val="es-MX"/>
        </w:rPr>
        <w:t>16 de diciembre de 2024</w:t>
      </w:r>
      <w:r w:rsidR="00695A64" w:rsidRPr="00695A64">
        <w:rPr>
          <w:noProof/>
        </w:rPr>
        <w:t xml:space="preserve"> </w:t>
      </w:r>
    </w:p>
    <w:p w14:paraId="3799F2B0" w14:textId="2C67DCFC" w:rsidR="00985B96" w:rsidRPr="00610C8B" w:rsidRDefault="00985B96" w:rsidP="00985B96">
      <w:pPr>
        <w:spacing w:after="0" w:line="240" w:lineRule="auto"/>
        <w:jc w:val="both"/>
        <w:rPr>
          <w:rFonts w:ascii="Verdana" w:eastAsia="Calibri" w:hAnsi="Verdana" w:cs="Arial"/>
          <w:color w:val="000000"/>
          <w:lang w:val="es-ES"/>
        </w:rPr>
      </w:pPr>
    </w:p>
    <w:p w14:paraId="280019AA" w14:textId="287ADB5A" w:rsidR="00985B96" w:rsidRPr="00610C8B" w:rsidRDefault="00985B96" w:rsidP="00985B96">
      <w:pPr>
        <w:spacing w:after="0" w:line="240" w:lineRule="auto"/>
        <w:jc w:val="both"/>
        <w:rPr>
          <w:rFonts w:ascii="Verdana" w:eastAsia="Calibri" w:hAnsi="Verdana" w:cs="Arial"/>
          <w:lang w:val="es-ES" w:eastAsia="es-ES"/>
        </w:rPr>
      </w:pPr>
      <w:r w:rsidRPr="00610C8B">
        <w:rPr>
          <w:rFonts w:ascii="Verdana" w:eastAsia="Calibri" w:hAnsi="Verdana" w:cs="Arial"/>
          <w:lang w:val="es-ES" w:eastAsia="es-ES"/>
        </w:rPr>
        <w:t>Señora</w:t>
      </w:r>
    </w:p>
    <w:p w14:paraId="26E54C6D" w14:textId="77777777" w:rsidR="00985B96" w:rsidRPr="00610C8B" w:rsidRDefault="00985B96" w:rsidP="00985B96">
      <w:pPr>
        <w:spacing w:after="0" w:line="240" w:lineRule="auto"/>
        <w:rPr>
          <w:rFonts w:ascii="Verdana" w:eastAsia="Calibri" w:hAnsi="Verdana" w:cs="Arial"/>
          <w:b/>
          <w:lang w:val="es-ES_tradnl" w:eastAsia="es-ES_tradnl"/>
        </w:rPr>
      </w:pPr>
      <w:r w:rsidRPr="00610C8B">
        <w:rPr>
          <w:rFonts w:ascii="Verdana" w:eastAsia="Calibri" w:hAnsi="Verdana" w:cs="Arial"/>
          <w:b/>
          <w:lang w:val="es-ES_tradnl" w:eastAsia="es-ES_tradnl"/>
        </w:rPr>
        <w:t>Pilar Sánchez</w:t>
      </w:r>
    </w:p>
    <w:p w14:paraId="45B1B7E1" w14:textId="77777777" w:rsidR="00985B96" w:rsidRPr="00610C8B" w:rsidRDefault="00985B96" w:rsidP="00985B96">
      <w:pPr>
        <w:spacing w:after="0" w:line="240" w:lineRule="auto"/>
        <w:rPr>
          <w:rFonts w:ascii="Verdana" w:eastAsia="Calibri" w:hAnsi="Verdana" w:cs="Arial"/>
          <w:color w:val="4472C4" w:themeColor="accent1"/>
          <w:u w:val="single"/>
          <w:lang w:val="es-ES" w:eastAsia="es-ES"/>
        </w:rPr>
      </w:pPr>
      <w:hyperlink r:id="rId11" w:history="1">
        <w:r w:rsidRPr="00610C8B">
          <w:rPr>
            <w:rStyle w:val="Hipervnculo"/>
            <w:rFonts w:ascii="Verdana" w:eastAsia="Calibri" w:hAnsi="Verdana" w:cs="Arial"/>
            <w:color w:val="4472C4" w:themeColor="accent1"/>
            <w:lang w:val="es-ES" w:eastAsia="es-ES"/>
          </w:rPr>
          <w:t>anawil4@gmail.com</w:t>
        </w:r>
      </w:hyperlink>
    </w:p>
    <w:p w14:paraId="4DE81B1D" w14:textId="77777777" w:rsidR="00985B96" w:rsidRPr="00610C8B" w:rsidRDefault="00985B96" w:rsidP="00985B96">
      <w:pPr>
        <w:spacing w:after="0" w:line="240" w:lineRule="auto"/>
        <w:rPr>
          <w:rFonts w:ascii="Verdana" w:eastAsia="Calibri" w:hAnsi="Verdana" w:cs="Arial"/>
          <w:b/>
          <w:bCs/>
          <w:lang w:val="es-ES" w:eastAsia="es-ES"/>
        </w:rPr>
      </w:pPr>
      <w:r w:rsidRPr="00610C8B">
        <w:rPr>
          <w:rFonts w:ascii="Verdana" w:eastAsia="Calibri" w:hAnsi="Verdana" w:cs="Arial"/>
          <w:lang w:val="es-ES" w:eastAsia="es-ES"/>
        </w:rPr>
        <w:t>Bogotá D.C.</w:t>
      </w:r>
    </w:p>
    <w:p w14:paraId="5C650259" w14:textId="77777777" w:rsidR="00985B96" w:rsidRPr="00610C8B" w:rsidRDefault="00985B96" w:rsidP="00985B96">
      <w:pPr>
        <w:spacing w:after="0" w:line="240" w:lineRule="auto"/>
        <w:rPr>
          <w:rFonts w:ascii="Verdana" w:eastAsia="Calibri" w:hAnsi="Verdana" w:cs="Arial"/>
          <w:b/>
          <w:bCs/>
          <w:color w:val="000000"/>
          <w:lang w:val="es-ES_tradnl" w:eastAsia="es-ES_tradnl"/>
        </w:rPr>
      </w:pPr>
    </w:p>
    <w:p w14:paraId="2A17EFDE" w14:textId="77777777" w:rsidR="00985B96" w:rsidRPr="00610C8B" w:rsidRDefault="00985B96" w:rsidP="00985B96">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85B96" w:rsidRPr="00610C8B" w14:paraId="6482FDF1" w14:textId="77777777" w:rsidTr="00431894">
        <w:trPr>
          <w:trHeight w:val="884"/>
        </w:trPr>
        <w:tc>
          <w:tcPr>
            <w:tcW w:w="2689" w:type="dxa"/>
          </w:tcPr>
          <w:p w14:paraId="7359E1D3" w14:textId="77777777" w:rsidR="00985B96" w:rsidRPr="00610C8B" w:rsidRDefault="00985B96" w:rsidP="00431894">
            <w:pPr>
              <w:jc w:val="both"/>
              <w:rPr>
                <w:rFonts w:ascii="Verdana" w:eastAsia="Calibri" w:hAnsi="Verdana" w:cs="Arial"/>
                <w:b/>
                <w:bCs/>
                <w:lang w:val="es-ES_tradnl" w:eastAsia="es-ES_tradnl"/>
              </w:rPr>
            </w:pPr>
          </w:p>
        </w:tc>
        <w:tc>
          <w:tcPr>
            <w:tcW w:w="6100" w:type="dxa"/>
          </w:tcPr>
          <w:p w14:paraId="5A39551C" w14:textId="77777777" w:rsidR="00985B96" w:rsidRPr="00610C8B" w:rsidRDefault="00985B96" w:rsidP="00431894">
            <w:pPr>
              <w:jc w:val="both"/>
              <w:rPr>
                <w:rFonts w:ascii="Verdana" w:eastAsia="Calibri" w:hAnsi="Verdana" w:cs="Arial"/>
                <w:b/>
                <w:bCs/>
                <w:lang w:val="es-ES" w:eastAsia="es-ES"/>
              </w:rPr>
            </w:pPr>
            <w:r w:rsidRPr="00610C8B">
              <w:rPr>
                <w:rFonts w:ascii="Verdana" w:eastAsia="Calibri" w:hAnsi="Verdana" w:cs="Arial"/>
                <w:b/>
                <w:bCs/>
                <w:lang w:val="es-ES" w:eastAsia="es-ES"/>
              </w:rPr>
              <w:t>Concepto C-916 de 2024</w:t>
            </w:r>
          </w:p>
        </w:tc>
      </w:tr>
      <w:tr w:rsidR="00985B96" w:rsidRPr="00610C8B" w14:paraId="2072248B" w14:textId="77777777" w:rsidTr="00431894">
        <w:trPr>
          <w:trHeight w:val="884"/>
        </w:trPr>
        <w:tc>
          <w:tcPr>
            <w:tcW w:w="2689" w:type="dxa"/>
          </w:tcPr>
          <w:p w14:paraId="1055008A" w14:textId="77777777" w:rsidR="00985B96" w:rsidRPr="00610C8B" w:rsidRDefault="00985B96" w:rsidP="00431894">
            <w:pPr>
              <w:jc w:val="both"/>
              <w:rPr>
                <w:rFonts w:ascii="Verdana" w:eastAsia="Calibri" w:hAnsi="Verdana" w:cs="Arial"/>
                <w:lang w:val="es-ES_tradnl" w:eastAsia="es-ES_tradnl"/>
              </w:rPr>
            </w:pPr>
            <w:r w:rsidRPr="00610C8B">
              <w:rPr>
                <w:rFonts w:ascii="Verdana" w:eastAsia="Calibri" w:hAnsi="Verdana" w:cs="Arial"/>
                <w:b/>
                <w:lang w:val="es-ES_tradnl" w:eastAsia="es-ES_tradnl"/>
              </w:rPr>
              <w:t>Temas:</w:t>
            </w:r>
            <w:r w:rsidRPr="00610C8B">
              <w:rPr>
                <w:rFonts w:ascii="Verdana" w:eastAsia="Calibri" w:hAnsi="Verdana" w:cs="Arial"/>
                <w:lang w:val="es-ES_tradnl" w:eastAsia="es-ES_tradnl"/>
              </w:rPr>
              <w:t xml:space="preserve">                   </w:t>
            </w:r>
          </w:p>
        </w:tc>
        <w:tc>
          <w:tcPr>
            <w:tcW w:w="6100" w:type="dxa"/>
          </w:tcPr>
          <w:p w14:paraId="28025685" w14:textId="0BE9FA83" w:rsidR="00985B96" w:rsidRPr="00610C8B" w:rsidRDefault="00985B96" w:rsidP="00431894">
            <w:pPr>
              <w:spacing w:line="276" w:lineRule="auto"/>
              <w:jc w:val="both"/>
              <w:rPr>
                <w:rFonts w:ascii="Verdana" w:eastAsia="Calibri" w:hAnsi="Verdana" w:cs="Arial"/>
                <w:lang w:val="es-ES" w:eastAsia="es-ES"/>
              </w:rPr>
            </w:pPr>
            <w:r w:rsidRPr="00610C8B">
              <w:rPr>
                <w:rFonts w:ascii="Verdana" w:eastAsia="Calibri" w:hAnsi="Verdana" w:cs="Arial"/>
                <w:bCs/>
                <w:lang w:val="es-ES_tradnl"/>
              </w:rPr>
              <w:t>INHABILIDADES – Definición – Finalidad – Limitación capacidad / INHABILIDADES – Clasificación – Sanción – Proceso sancionatorio – Requisito – Condiciones personales / INHABILIDADES – Taxatividad – Principio de legalidad – Interpretación restrictiva / INHABILIDADES – Personas naturales – Personas jurídicas – Extensibles a sociedades – Artículo 8 numeral 1 literal j)</w:t>
            </w:r>
            <w:r w:rsidRPr="00610C8B">
              <w:rPr>
                <w:rStyle w:val="Refdecomentario"/>
                <w:rFonts w:ascii="Verdana" w:hAnsi="Verdana"/>
              </w:rPr>
              <w:t xml:space="preserve"> </w:t>
            </w:r>
          </w:p>
          <w:p w14:paraId="7CBE027B" w14:textId="77777777" w:rsidR="00985B96" w:rsidRPr="00610C8B" w:rsidRDefault="00985B96" w:rsidP="00431894">
            <w:pPr>
              <w:spacing w:line="276" w:lineRule="auto"/>
              <w:jc w:val="both"/>
              <w:rPr>
                <w:rFonts w:ascii="Verdana" w:eastAsia="Calibri" w:hAnsi="Verdana" w:cs="Arial"/>
                <w:lang w:val="es-ES" w:eastAsia="es-ES"/>
              </w:rPr>
            </w:pPr>
          </w:p>
        </w:tc>
      </w:tr>
      <w:tr w:rsidR="00985B96" w:rsidRPr="00610C8B" w14:paraId="2E6E9E2A" w14:textId="77777777" w:rsidTr="00431894">
        <w:tc>
          <w:tcPr>
            <w:tcW w:w="2689" w:type="dxa"/>
          </w:tcPr>
          <w:p w14:paraId="55F0A5B6" w14:textId="77777777" w:rsidR="00985B96" w:rsidRPr="00610C8B" w:rsidRDefault="00985B96" w:rsidP="00431894">
            <w:pPr>
              <w:jc w:val="both"/>
              <w:rPr>
                <w:rFonts w:ascii="Verdana" w:eastAsia="Calibri" w:hAnsi="Verdana" w:cs="Arial"/>
                <w:b/>
                <w:lang w:val="es-ES_tradnl" w:eastAsia="es-ES_tradnl"/>
              </w:rPr>
            </w:pPr>
            <w:r w:rsidRPr="00610C8B">
              <w:rPr>
                <w:rFonts w:ascii="Verdana" w:eastAsia="Calibri" w:hAnsi="Verdana" w:cs="Arial"/>
                <w:b/>
                <w:lang w:val="es-ES_tradnl" w:eastAsia="es-ES_tradnl"/>
              </w:rPr>
              <w:t>Radicación:</w:t>
            </w:r>
            <w:r w:rsidRPr="00610C8B">
              <w:rPr>
                <w:rFonts w:ascii="Verdana" w:eastAsia="Calibri" w:hAnsi="Verdana" w:cs="Arial"/>
                <w:lang w:val="es-ES_tradnl" w:eastAsia="es-ES_tradnl"/>
              </w:rPr>
              <w:t xml:space="preserve">               </w:t>
            </w:r>
          </w:p>
        </w:tc>
        <w:tc>
          <w:tcPr>
            <w:tcW w:w="6100" w:type="dxa"/>
          </w:tcPr>
          <w:p w14:paraId="0C122052" w14:textId="77777777" w:rsidR="00985B96" w:rsidRPr="00610C8B" w:rsidRDefault="00985B96" w:rsidP="00431894">
            <w:pPr>
              <w:jc w:val="both"/>
              <w:rPr>
                <w:rFonts w:ascii="Verdana" w:eastAsia="Calibri" w:hAnsi="Verdana" w:cs="Arial"/>
                <w:lang w:val="es-ES_tradnl" w:eastAsia="es-ES_tradnl"/>
              </w:rPr>
            </w:pPr>
            <w:r w:rsidRPr="00610C8B">
              <w:rPr>
                <w:rFonts w:ascii="Verdana" w:eastAsia="Calibri" w:hAnsi="Verdana" w:cs="Arial"/>
                <w:lang w:val="es-ES_tradnl" w:eastAsia="es-ES_tradnl"/>
              </w:rPr>
              <w:t>Respuesta a consulta con radicado No. P20241122011800</w:t>
            </w:r>
          </w:p>
        </w:tc>
      </w:tr>
    </w:tbl>
    <w:p w14:paraId="64B689D2" w14:textId="77777777" w:rsidR="00985B96" w:rsidRPr="00610C8B" w:rsidRDefault="00985B96" w:rsidP="00985B96">
      <w:pPr>
        <w:spacing w:after="0" w:line="240" w:lineRule="auto"/>
        <w:jc w:val="both"/>
        <w:rPr>
          <w:rFonts w:ascii="Verdana" w:eastAsia="Calibri" w:hAnsi="Verdana" w:cs="Arial"/>
          <w:lang w:val="es-ES_tradnl" w:eastAsia="es-ES_tradnl"/>
        </w:rPr>
      </w:pPr>
    </w:p>
    <w:p w14:paraId="49D231F4" w14:textId="77777777" w:rsidR="00985B96" w:rsidRPr="00610C8B" w:rsidRDefault="00985B96" w:rsidP="00985B96">
      <w:pPr>
        <w:spacing w:after="0" w:line="240" w:lineRule="auto"/>
        <w:jc w:val="both"/>
        <w:rPr>
          <w:rFonts w:ascii="Verdana" w:eastAsia="Calibri" w:hAnsi="Verdana" w:cs="Arial"/>
          <w:lang w:val="es-ES_tradnl" w:eastAsia="es-ES_tradnl"/>
        </w:rPr>
      </w:pPr>
    </w:p>
    <w:p w14:paraId="1FD3305D" w14:textId="77777777" w:rsidR="00985B96" w:rsidRPr="00610C8B" w:rsidRDefault="00985B96" w:rsidP="00985B96">
      <w:pPr>
        <w:spacing w:after="0" w:line="276" w:lineRule="auto"/>
        <w:jc w:val="both"/>
        <w:rPr>
          <w:rFonts w:ascii="Verdana" w:eastAsia="Calibri" w:hAnsi="Verdana" w:cs="Arial"/>
          <w:lang w:val="es-ES" w:eastAsia="es-ES"/>
        </w:rPr>
      </w:pPr>
      <w:r w:rsidRPr="00610C8B">
        <w:rPr>
          <w:rFonts w:ascii="Verdana" w:eastAsia="Calibri" w:hAnsi="Verdana" w:cs="Arial"/>
          <w:lang w:val="es-ES" w:eastAsia="es-ES"/>
        </w:rPr>
        <w:t xml:space="preserve">Estimada señora Pilar: </w:t>
      </w:r>
    </w:p>
    <w:p w14:paraId="03F327A5" w14:textId="77777777" w:rsidR="00985B96" w:rsidRPr="00610C8B" w:rsidRDefault="00985B96" w:rsidP="00985B96">
      <w:pPr>
        <w:tabs>
          <w:tab w:val="left" w:pos="3768"/>
        </w:tabs>
        <w:spacing w:after="0" w:line="276" w:lineRule="auto"/>
        <w:jc w:val="both"/>
        <w:rPr>
          <w:rFonts w:ascii="Verdana" w:eastAsia="Calibri" w:hAnsi="Verdana" w:cs="Arial"/>
          <w:lang w:val="es-ES" w:eastAsia="es-ES"/>
        </w:rPr>
      </w:pPr>
      <w:r w:rsidRPr="00610C8B">
        <w:rPr>
          <w:rFonts w:ascii="Verdana" w:eastAsia="Calibri" w:hAnsi="Verdana" w:cs="Arial"/>
          <w:lang w:val="es-ES" w:eastAsia="es-ES"/>
        </w:rPr>
        <w:tab/>
      </w:r>
    </w:p>
    <w:p w14:paraId="22449FD6" w14:textId="77777777" w:rsidR="00985B96" w:rsidRPr="00610C8B" w:rsidRDefault="00985B96" w:rsidP="00985B96">
      <w:pPr>
        <w:spacing w:after="0" w:line="276" w:lineRule="auto"/>
        <w:jc w:val="both"/>
        <w:rPr>
          <w:rFonts w:ascii="Verdana" w:eastAsia="Calibri" w:hAnsi="Verdana" w:cs="Arial"/>
          <w:lang w:val="es-ES" w:eastAsia="es-ES"/>
        </w:rPr>
      </w:pPr>
      <w:r w:rsidRPr="00610C8B">
        <w:rPr>
          <w:rFonts w:ascii="Verdana" w:eastAsia="Calibri" w:hAnsi="Verdana" w:cs="Arial"/>
          <w:lang w:val="es-ES" w:eastAsia="es-ES"/>
        </w:rPr>
        <w:t>En ejercicio de la competencia otorgada por los artículos 3, numeral 5º, y 11, numeral 8º, del Decreto Ley 4170 de 2011,</w:t>
      </w:r>
      <w:r w:rsidRPr="00610C8B">
        <w:rPr>
          <w:rFonts w:ascii="Verdana" w:eastAsia="Arial MT" w:hAnsi="Verdana" w:cs="Arial MT"/>
          <w:lang w:val="es-ES" w:eastAsia="es-ES"/>
        </w:rPr>
        <w:t xml:space="preserve"> </w:t>
      </w:r>
      <w:r w:rsidRPr="00610C8B">
        <w:rPr>
          <w:rFonts w:ascii="Verdana" w:hAnsi="Verdana" w:cs="Arial"/>
        </w:rPr>
        <w:t xml:space="preserve">así como lo establecido en el artículo 4 de la Resolución 1707 de 2018 expedida por esta Entidad, </w:t>
      </w:r>
      <w:r w:rsidRPr="00610C8B">
        <w:rPr>
          <w:rFonts w:ascii="Verdana" w:eastAsia="Calibri" w:hAnsi="Verdana" w:cs="Arial"/>
          <w:lang w:val="es-ES" w:eastAsia="es-ES"/>
        </w:rPr>
        <w:t xml:space="preserve">la Agencia Nacional de Contratación Pública – Colombia Compra Eficiente– responde su solicitud de consulta de fecha 22 de noviembre de 2024, en la cual manifiesta lo siguiente: </w:t>
      </w:r>
    </w:p>
    <w:p w14:paraId="3DB4A5BD" w14:textId="77777777" w:rsidR="00985B96" w:rsidRPr="00610C8B" w:rsidRDefault="00985B96" w:rsidP="00985B96">
      <w:pPr>
        <w:pStyle w:val="Prrafodelista"/>
        <w:tabs>
          <w:tab w:val="left" w:pos="142"/>
          <w:tab w:val="left" w:pos="284"/>
        </w:tabs>
        <w:spacing w:line="276" w:lineRule="auto"/>
        <w:ind w:left="0"/>
        <w:jc w:val="both"/>
        <w:rPr>
          <w:rFonts w:ascii="Verdana" w:eastAsia="Century Gothic" w:hAnsi="Verdana" w:cs="Century Gothic"/>
          <w:b/>
          <w:bCs/>
        </w:rPr>
      </w:pPr>
    </w:p>
    <w:p w14:paraId="56472B0F" w14:textId="77777777" w:rsidR="00985B96" w:rsidRPr="00610C8B" w:rsidRDefault="00985B96" w:rsidP="00985B96">
      <w:pPr>
        <w:spacing w:after="0" w:line="240" w:lineRule="auto"/>
        <w:ind w:left="709" w:right="709"/>
        <w:jc w:val="both"/>
        <w:rPr>
          <w:rStyle w:val="normaltextrun"/>
          <w:rFonts w:ascii="Verdana" w:hAnsi="Verdana" w:cs="Arial"/>
          <w:sz w:val="20"/>
          <w:szCs w:val="20"/>
          <w:shd w:val="clear" w:color="auto" w:fill="FFFFFF"/>
          <w:lang w:val="es-ES"/>
        </w:rPr>
      </w:pPr>
      <w:bookmarkStart w:id="0" w:name="_Hlk95313578"/>
      <w:r w:rsidRPr="00610C8B">
        <w:rPr>
          <w:rFonts w:ascii="Verdana" w:eastAsia="Century Gothic" w:hAnsi="Verdana" w:cs="Century Gothic"/>
          <w:sz w:val="20"/>
          <w:szCs w:val="20"/>
          <w:lang w:val="es-ES"/>
        </w:rPr>
        <w:t>“</w:t>
      </w:r>
      <w:r w:rsidRPr="00610C8B">
        <w:rPr>
          <w:rStyle w:val="normaltextrun"/>
          <w:rFonts w:ascii="Verdana" w:hAnsi="Verdana" w:cs="Arial"/>
          <w:sz w:val="20"/>
          <w:szCs w:val="20"/>
          <w:shd w:val="clear" w:color="auto" w:fill="FFFFFF"/>
          <w:lang w:val="es-ES"/>
        </w:rPr>
        <w:t xml:space="preserve">Una sociedad de acciones simplificadas SAS que actúa como persona jurídica la cual está compuesta por dos accionistas y uno de los accionistas que No cuenta con la mayor participación de acciones de esta sociedad es inhabilitado para contratar con el estado, teniendo en cuenta que la inhabilidad se da 3 años después de la conformación de la persona jurídica, la consulta es la siguiente: </w:t>
      </w:r>
    </w:p>
    <w:p w14:paraId="034BD1C5" w14:textId="77777777" w:rsidR="00985B96" w:rsidRPr="00610C8B" w:rsidRDefault="00985B96" w:rsidP="00985B96">
      <w:pPr>
        <w:spacing w:after="0" w:line="240" w:lineRule="auto"/>
        <w:ind w:left="709" w:right="709"/>
        <w:jc w:val="both"/>
        <w:rPr>
          <w:rStyle w:val="normaltextrun"/>
          <w:rFonts w:ascii="Verdana" w:hAnsi="Verdana" w:cs="Arial"/>
          <w:sz w:val="20"/>
          <w:szCs w:val="20"/>
          <w:shd w:val="clear" w:color="auto" w:fill="FFFFFF"/>
          <w:lang w:val="es-ES"/>
        </w:rPr>
      </w:pPr>
      <w:proofErr w:type="gramStart"/>
      <w:r w:rsidRPr="00610C8B">
        <w:rPr>
          <w:rStyle w:val="normaltextrun"/>
          <w:rFonts w:ascii="Verdana" w:hAnsi="Verdana" w:cs="Arial"/>
          <w:sz w:val="20"/>
          <w:szCs w:val="20"/>
          <w:shd w:val="clear" w:color="auto" w:fill="FFFFFF"/>
          <w:lang w:val="es-ES"/>
        </w:rPr>
        <w:t>La inhabilidad del accionista es extensible a la persona jurídica limitando su capacidad para contratar?</w:t>
      </w:r>
      <w:proofErr w:type="gramEnd"/>
    </w:p>
    <w:p w14:paraId="0EBB1496" w14:textId="77777777" w:rsidR="00985B96" w:rsidRPr="00610C8B" w:rsidRDefault="00985B96" w:rsidP="00985B96">
      <w:pPr>
        <w:spacing w:after="0" w:line="240" w:lineRule="auto"/>
        <w:ind w:left="709" w:right="709"/>
        <w:jc w:val="both"/>
        <w:rPr>
          <w:rFonts w:ascii="Verdana" w:eastAsia="Century Gothic" w:hAnsi="Verdana" w:cs="Century Gothic"/>
          <w:sz w:val="20"/>
          <w:szCs w:val="20"/>
          <w:lang w:val="es-ES"/>
        </w:rPr>
      </w:pPr>
      <w:r w:rsidRPr="00610C8B">
        <w:rPr>
          <w:rStyle w:val="normaltextrun"/>
          <w:rFonts w:ascii="Verdana" w:hAnsi="Verdana" w:cs="Arial"/>
          <w:sz w:val="20"/>
          <w:szCs w:val="20"/>
          <w:shd w:val="clear" w:color="auto" w:fill="FFFFFF"/>
          <w:lang w:val="es-ES"/>
        </w:rPr>
        <w:lastRenderedPageBreak/>
        <w:t xml:space="preserve">¿La persona jurídica siendo una SAS puede utilizar la experiencia aportada por el accionista que se encuentra inhabilitado? Aclarando que esta experiencia ya se encuentra registrada ante Cámara y Comercio desde el momento de la creación de la SAS y ha sido renovada </w:t>
      </w:r>
      <w:proofErr w:type="gramStart"/>
      <w:r w:rsidRPr="00610C8B">
        <w:rPr>
          <w:rStyle w:val="normaltextrun"/>
          <w:rFonts w:ascii="Verdana" w:hAnsi="Verdana" w:cs="Arial"/>
          <w:sz w:val="20"/>
          <w:szCs w:val="20"/>
          <w:shd w:val="clear" w:color="auto" w:fill="FFFFFF"/>
          <w:lang w:val="es-ES"/>
        </w:rPr>
        <w:t>de acuerdo a</w:t>
      </w:r>
      <w:proofErr w:type="gramEnd"/>
      <w:r w:rsidRPr="00610C8B">
        <w:rPr>
          <w:rStyle w:val="normaltextrun"/>
          <w:rFonts w:ascii="Verdana" w:hAnsi="Verdana" w:cs="Arial"/>
          <w:sz w:val="20"/>
          <w:szCs w:val="20"/>
          <w:shd w:val="clear" w:color="auto" w:fill="FFFFFF"/>
          <w:lang w:val="es-ES"/>
        </w:rPr>
        <w:t xml:space="preserve"> los tiempos establecidos en Cámara y Comercio.? […]</w:t>
      </w:r>
      <w:r w:rsidRPr="00610C8B">
        <w:rPr>
          <w:rFonts w:ascii="Verdana" w:eastAsia="Century Gothic" w:hAnsi="Verdana" w:cs="Century Gothic"/>
          <w:sz w:val="20"/>
          <w:szCs w:val="20"/>
          <w:lang w:val="es-ES"/>
        </w:rPr>
        <w:t>”</w:t>
      </w:r>
      <w:bookmarkEnd w:id="0"/>
      <w:r w:rsidRPr="00610C8B">
        <w:rPr>
          <w:rFonts w:ascii="Verdana" w:eastAsia="Century Gothic" w:hAnsi="Verdana" w:cs="Century Gothic"/>
          <w:sz w:val="20"/>
          <w:szCs w:val="20"/>
          <w:lang w:val="es-ES"/>
        </w:rPr>
        <w:t>.</w:t>
      </w:r>
    </w:p>
    <w:p w14:paraId="3A1183CE" w14:textId="77777777" w:rsidR="00985B96" w:rsidRPr="00610C8B" w:rsidRDefault="00985B96" w:rsidP="00985B96">
      <w:pPr>
        <w:pStyle w:val="Prrafodelista"/>
        <w:tabs>
          <w:tab w:val="left" w:pos="142"/>
          <w:tab w:val="left" w:pos="284"/>
        </w:tabs>
        <w:spacing w:line="276" w:lineRule="auto"/>
        <w:ind w:left="0"/>
        <w:jc w:val="both"/>
        <w:rPr>
          <w:rFonts w:ascii="Verdana" w:eastAsia="Century Gothic" w:hAnsi="Verdana" w:cs="Century Gothic"/>
          <w:b/>
          <w:bCs/>
        </w:rPr>
      </w:pPr>
    </w:p>
    <w:p w14:paraId="4CFA40FD" w14:textId="77777777" w:rsidR="00985B96" w:rsidRPr="00610C8B" w:rsidRDefault="00985B96" w:rsidP="00985B96">
      <w:pPr>
        <w:spacing w:after="120" w:line="276" w:lineRule="auto"/>
        <w:ind w:firstLine="709"/>
        <w:jc w:val="both"/>
        <w:rPr>
          <w:rFonts w:ascii="Verdana" w:eastAsia="Calibri" w:hAnsi="Verdana" w:cs="Arial"/>
          <w:color w:val="000000"/>
          <w:szCs w:val="24"/>
          <w:lang w:val="es-ES_tradnl" w:eastAsia="es-ES_tradnl"/>
        </w:rPr>
      </w:pPr>
      <w:r w:rsidRPr="00610C8B">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10C8B">
        <w:rPr>
          <w:rFonts w:ascii="Verdana" w:eastAsia="Calibri" w:hAnsi="Verdana" w:cs="Arial"/>
          <w:color w:val="000000"/>
          <w:szCs w:val="24"/>
          <w:lang w:val="es-ES_tradnl" w:eastAsia="es-ES_tradnl"/>
        </w:rPr>
        <w:tab/>
      </w:r>
    </w:p>
    <w:p w14:paraId="379C0ADE" w14:textId="77777777" w:rsidR="00985B96" w:rsidRPr="00610C8B" w:rsidRDefault="00985B96" w:rsidP="00985B96">
      <w:pPr>
        <w:spacing w:after="0" w:line="276" w:lineRule="auto"/>
        <w:ind w:firstLine="709"/>
        <w:jc w:val="both"/>
        <w:rPr>
          <w:rFonts w:ascii="Verdana" w:eastAsia="Calibri" w:hAnsi="Verdana" w:cs="Arial"/>
          <w:color w:val="000000"/>
          <w:lang w:val="es-ES" w:eastAsia="es-ES"/>
        </w:rPr>
      </w:pPr>
      <w:r w:rsidRPr="00610C8B">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610C8B">
        <w:rPr>
          <w:rFonts w:ascii="Verdana" w:eastAsia="Calibri" w:hAnsi="Verdana" w:cs="Arial"/>
          <w:color w:val="7030A0"/>
          <w:lang w:val="es-ES" w:eastAsia="es-ES"/>
        </w:rPr>
        <w:t xml:space="preserve"> </w:t>
      </w:r>
      <w:r w:rsidRPr="00610C8B">
        <w:rPr>
          <w:rFonts w:ascii="Verdana" w:eastAsia="Calibri" w:hAnsi="Verdana" w:cs="Arial"/>
          <w:color w:val="000000"/>
          <w:lang w:val="es-ES" w:eastAsia="es-ES"/>
        </w:rPr>
        <w:t>jurídico</w:t>
      </w:r>
      <w:r w:rsidRPr="00610C8B">
        <w:rPr>
          <w:rFonts w:ascii="Verdana" w:eastAsia="Calibri" w:hAnsi="Verdana" w:cs="Arial"/>
          <w:color w:val="7030A0"/>
          <w:lang w:val="es-ES" w:eastAsia="es-ES"/>
        </w:rPr>
        <w:t xml:space="preserve"> </w:t>
      </w:r>
      <w:r w:rsidRPr="00610C8B">
        <w:rPr>
          <w:rFonts w:ascii="Verdana" w:eastAsia="Calibri" w:hAnsi="Verdana" w:cs="Arial"/>
          <w:color w:val="000000"/>
          <w:lang w:val="es-ES" w:eastAsia="es-ES"/>
        </w:rPr>
        <w:t xml:space="preserve">de su consulta. </w:t>
      </w:r>
    </w:p>
    <w:p w14:paraId="7859C222" w14:textId="77777777" w:rsidR="00985B96" w:rsidRPr="00610C8B" w:rsidRDefault="00985B96" w:rsidP="00985B96">
      <w:pPr>
        <w:spacing w:after="0" w:line="276" w:lineRule="auto"/>
        <w:ind w:firstLine="709"/>
        <w:jc w:val="both"/>
        <w:rPr>
          <w:rFonts w:ascii="Verdana" w:eastAsia="Calibri" w:hAnsi="Verdana" w:cs="Arial"/>
          <w:color w:val="000000"/>
          <w:lang w:val="es-ES" w:eastAsia="es-ES"/>
        </w:rPr>
      </w:pPr>
    </w:p>
    <w:p w14:paraId="26798A3D" w14:textId="77777777" w:rsidR="00985B96" w:rsidRPr="00610C8B" w:rsidRDefault="00985B96" w:rsidP="00985B9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10C8B">
        <w:rPr>
          <w:rFonts w:ascii="Verdana" w:eastAsia="Century Gothic" w:hAnsi="Verdana" w:cs="Century Gothic"/>
          <w:b/>
          <w:bCs/>
        </w:rPr>
        <w:t>Problema planteado:</w:t>
      </w:r>
    </w:p>
    <w:p w14:paraId="1FB9119E" w14:textId="77777777" w:rsidR="00985B96" w:rsidRPr="00610C8B" w:rsidRDefault="00985B96" w:rsidP="00985B96">
      <w:pPr>
        <w:tabs>
          <w:tab w:val="left" w:pos="426"/>
        </w:tabs>
        <w:spacing w:after="0" w:line="276" w:lineRule="auto"/>
        <w:jc w:val="both"/>
        <w:rPr>
          <w:rFonts w:ascii="Verdana" w:eastAsia="Century Gothic" w:hAnsi="Verdana" w:cs="Century Gothic"/>
          <w:lang w:val="es-ES"/>
        </w:rPr>
      </w:pPr>
    </w:p>
    <w:p w14:paraId="19E58A81" w14:textId="691103C5" w:rsidR="00985B96" w:rsidRPr="00610C8B" w:rsidRDefault="00985B96" w:rsidP="00985B96">
      <w:pPr>
        <w:spacing w:after="0" w:line="276" w:lineRule="auto"/>
        <w:jc w:val="both"/>
        <w:rPr>
          <w:rFonts w:ascii="Verdana" w:eastAsia="Century Gothic" w:hAnsi="Verdana" w:cs="Century Gothic"/>
        </w:rPr>
      </w:pPr>
      <w:r w:rsidRPr="00610C8B">
        <w:rPr>
          <w:rFonts w:ascii="Verdana" w:eastAsia="Century Gothic" w:hAnsi="Verdana" w:cs="Century Gothic"/>
        </w:rPr>
        <w:t>De acuerdo con el contenido de su solicitud, esta Agencia resolverá el siguiente problema jurídico: ¿</w:t>
      </w:r>
      <w:r w:rsidR="00F07318">
        <w:rPr>
          <w:rFonts w:ascii="Verdana" w:eastAsia="Century Gothic" w:hAnsi="Verdana" w:cs="Century Gothic"/>
        </w:rPr>
        <w:t>E</w:t>
      </w:r>
      <w:r w:rsidRPr="00610C8B">
        <w:rPr>
          <w:rFonts w:ascii="Verdana" w:eastAsia="Century Gothic" w:hAnsi="Verdana" w:cs="Century Gothic"/>
        </w:rPr>
        <w:t xml:space="preserve">xiste alguna inhabilidad o incompatibilidad aplicable a las personas jurídicas que tengan como socios a personas declaradas inhábiles, aun cuando dichos socios </w:t>
      </w:r>
      <w:r w:rsidR="008B06CC">
        <w:rPr>
          <w:rFonts w:ascii="Verdana" w:eastAsia="Century Gothic" w:hAnsi="Verdana" w:cs="Century Gothic"/>
        </w:rPr>
        <w:t>tengan una participación menor</w:t>
      </w:r>
      <w:r w:rsidRPr="00610C8B">
        <w:rPr>
          <w:rFonts w:ascii="Verdana" w:eastAsia="Century Gothic" w:hAnsi="Verdana" w:cs="Century Gothic"/>
        </w:rPr>
        <w:t xml:space="preserve">? </w:t>
      </w:r>
    </w:p>
    <w:p w14:paraId="15FF41DF" w14:textId="77777777" w:rsidR="00985B96" w:rsidRPr="00610C8B" w:rsidRDefault="00985B96" w:rsidP="00985B96">
      <w:pPr>
        <w:spacing w:after="0" w:line="276" w:lineRule="auto"/>
        <w:jc w:val="both"/>
        <w:rPr>
          <w:rFonts w:ascii="Verdana" w:eastAsia="Calibri" w:hAnsi="Verdana" w:cs="Arial"/>
          <w:color w:val="7030A0"/>
          <w:lang w:val="es-ES"/>
        </w:rPr>
      </w:pPr>
    </w:p>
    <w:p w14:paraId="7C8EB4AA" w14:textId="77777777" w:rsidR="00985B96" w:rsidRPr="00610C8B" w:rsidRDefault="00985B96" w:rsidP="00985B9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10C8B">
        <w:rPr>
          <w:rFonts w:ascii="Verdana" w:eastAsia="Century Gothic" w:hAnsi="Verdana" w:cs="Century Gothic"/>
          <w:b/>
          <w:bCs/>
        </w:rPr>
        <w:t>Respuesta:</w:t>
      </w:r>
    </w:p>
    <w:p w14:paraId="09B5E7DB" w14:textId="77777777" w:rsidR="00985B96" w:rsidRPr="00610C8B" w:rsidRDefault="00985B96" w:rsidP="00985B9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85B96" w:rsidRPr="00610C8B" w14:paraId="040B0E48" w14:textId="77777777" w:rsidTr="00431894">
        <w:tc>
          <w:tcPr>
            <w:tcW w:w="8828" w:type="dxa"/>
            <w:shd w:val="clear" w:color="auto" w:fill="auto"/>
          </w:tcPr>
          <w:p w14:paraId="7F59EA75" w14:textId="77777777" w:rsidR="00985B96" w:rsidRPr="00610C8B" w:rsidRDefault="00985B96" w:rsidP="00431894">
            <w:pPr>
              <w:spacing w:line="276" w:lineRule="auto"/>
              <w:jc w:val="both"/>
              <w:rPr>
                <w:rFonts w:ascii="Verdana" w:hAnsi="Verdana" w:cs="Arial"/>
                <w:color w:val="000000"/>
              </w:rPr>
            </w:pPr>
            <w:r w:rsidRPr="00610C8B">
              <w:rPr>
                <w:rFonts w:ascii="Verdana" w:hAnsi="Verdana" w:cs="Arial"/>
                <w:color w:val="000000"/>
              </w:rPr>
              <w:t xml:space="preserve">El literal j) del numeral 1 del artículo 8 de la Ley 80 de 1993 establece una inhabilidad que, en principio, afecta la capacidad jurídica tanto de personas naturales como de personas jurídicas, pero que, por virtud de los incisos 3 y 5 de la norma en cita, sus efectos se extienden a las sociedades de las que </w:t>
            </w:r>
            <w:r w:rsidRPr="00610C8B">
              <w:rPr>
                <w:rFonts w:ascii="Verdana" w:hAnsi="Verdana" w:cs="Arial"/>
                <w:color w:val="000000"/>
              </w:rPr>
              <w:lastRenderedPageBreak/>
              <w:t>hagan parte dichas personas inhabilitadas solo en la medida en que detenten las calidades, no solo de representantes legales, sino de todas aquellas que señala la norma. En ese orden, resulta pertinente enlistar los sujetos a quienes aplica la inhabilidad contemplada en el literal j):</w:t>
            </w:r>
          </w:p>
          <w:p w14:paraId="37848610" w14:textId="77777777" w:rsidR="00985B96" w:rsidRPr="00610C8B" w:rsidRDefault="00985B96" w:rsidP="00431894">
            <w:pPr>
              <w:spacing w:line="276" w:lineRule="auto"/>
              <w:jc w:val="both"/>
              <w:rPr>
                <w:rFonts w:ascii="Verdana" w:hAnsi="Verdana" w:cs="Arial"/>
                <w:color w:val="000000"/>
              </w:rPr>
            </w:pPr>
          </w:p>
          <w:p w14:paraId="7217DB84" w14:textId="77777777" w:rsidR="00985B96" w:rsidRPr="00610C8B" w:rsidRDefault="00985B96" w:rsidP="00431894">
            <w:pPr>
              <w:spacing w:line="276" w:lineRule="auto"/>
              <w:jc w:val="both"/>
              <w:rPr>
                <w:rFonts w:ascii="Verdana" w:hAnsi="Verdana" w:cs="Arial"/>
                <w:color w:val="000000"/>
              </w:rPr>
            </w:pPr>
            <w:r w:rsidRPr="00610C8B">
              <w:rPr>
                <w:rFonts w:ascii="Verdana" w:hAnsi="Verdana" w:cs="Arial"/>
                <w:color w:val="000000"/>
              </w:rPr>
              <w:t xml:space="preserve">Para las </w:t>
            </w:r>
            <w:r w:rsidRPr="00610C8B">
              <w:rPr>
                <w:rFonts w:ascii="Verdana" w:hAnsi="Verdana" w:cs="Arial"/>
                <w:b/>
                <w:bCs/>
                <w:color w:val="000000"/>
                <w:u w:val="single"/>
              </w:rPr>
              <w:t>personas naturales</w:t>
            </w:r>
            <w:r w:rsidRPr="00610C8B">
              <w:rPr>
                <w:rFonts w:ascii="Verdana" w:hAnsi="Verdana" w:cs="Arial"/>
                <w:color w:val="000000"/>
              </w:rPr>
              <w:t xml:space="preserve"> cuando:</w:t>
            </w:r>
          </w:p>
          <w:p w14:paraId="184D50A4" w14:textId="77777777" w:rsidR="00985B96" w:rsidRPr="00610C8B" w:rsidRDefault="00985B96" w:rsidP="00431894">
            <w:pPr>
              <w:spacing w:line="276" w:lineRule="auto"/>
              <w:jc w:val="both"/>
              <w:rPr>
                <w:rFonts w:ascii="Verdana" w:hAnsi="Verdana" w:cs="Arial"/>
                <w:color w:val="000000"/>
              </w:rPr>
            </w:pPr>
          </w:p>
          <w:p w14:paraId="691B5674" w14:textId="77777777" w:rsidR="00985B96" w:rsidRPr="00610C8B" w:rsidRDefault="00985B96" w:rsidP="00985B96">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t>Aquellas hayan sido declaradas responsables judicialmente por la comisión de delitos contra la Administración pública</w:t>
            </w:r>
          </w:p>
          <w:p w14:paraId="58D086CB" w14:textId="77777777" w:rsidR="00985B96" w:rsidRPr="00610C8B" w:rsidRDefault="00985B96" w:rsidP="00985B96">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t>Aquellas hayan sido declaradas responsables judicialmente por la comisión de</w:t>
            </w:r>
            <w:r w:rsidRPr="00610C8B">
              <w:rPr>
                <w:rFonts w:ascii="Verdana" w:hAnsi="Verdana" w:cs="Arial"/>
                <w:color w:val="000000"/>
                <w:sz w:val="21"/>
                <w:szCs w:val="21"/>
              </w:rPr>
              <w:t xml:space="preserve"> </w:t>
            </w:r>
            <w:r w:rsidRPr="00610C8B">
              <w:rPr>
                <w:rFonts w:ascii="Verdana" w:hAnsi="Verdana" w:cs="Arial"/>
                <w:color w:val="000000"/>
              </w:rPr>
              <w:t>cualquiera de los delitos o faltas contempladas por la Ley 1474 de 2011 y sus normas modificatorias</w:t>
            </w:r>
          </w:p>
          <w:p w14:paraId="52CFEDBD" w14:textId="77777777" w:rsidR="00985B96" w:rsidRPr="00610C8B" w:rsidRDefault="00985B96" w:rsidP="00985B96">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t>Aquellas hayan sido declaradas responsables judicialmente por la comisión de cualquiera de las conductas delictivas contempladas por las convenciones o tratados de lucha contra la corrupción suscritos y ratificados por Colombia</w:t>
            </w:r>
          </w:p>
          <w:p w14:paraId="0DE05D41" w14:textId="77777777" w:rsidR="00985B96" w:rsidRPr="00610C8B" w:rsidRDefault="00985B96" w:rsidP="00431894">
            <w:pPr>
              <w:spacing w:line="276" w:lineRule="auto"/>
              <w:jc w:val="both"/>
              <w:rPr>
                <w:rFonts w:ascii="Verdana" w:hAnsi="Verdana" w:cs="Arial"/>
                <w:color w:val="000000"/>
              </w:rPr>
            </w:pPr>
          </w:p>
          <w:p w14:paraId="7366482C" w14:textId="77777777" w:rsidR="00985B96" w:rsidRPr="00610C8B" w:rsidRDefault="00985B96" w:rsidP="00431894">
            <w:pPr>
              <w:spacing w:line="276" w:lineRule="auto"/>
              <w:jc w:val="both"/>
              <w:rPr>
                <w:rFonts w:ascii="Verdana" w:hAnsi="Verdana" w:cs="Arial"/>
                <w:color w:val="000000"/>
              </w:rPr>
            </w:pPr>
            <w:r w:rsidRPr="00610C8B">
              <w:rPr>
                <w:rFonts w:ascii="Verdana" w:hAnsi="Verdana" w:cs="Arial"/>
                <w:color w:val="000000"/>
              </w:rPr>
              <w:t xml:space="preserve">Para las </w:t>
            </w:r>
            <w:r w:rsidRPr="00610C8B">
              <w:rPr>
                <w:rFonts w:ascii="Verdana" w:hAnsi="Verdana" w:cs="Arial"/>
                <w:b/>
                <w:bCs/>
                <w:color w:val="000000"/>
                <w:u w:val="single"/>
              </w:rPr>
              <w:t>personas jurídicas</w:t>
            </w:r>
            <w:r w:rsidRPr="00610C8B">
              <w:rPr>
                <w:rFonts w:ascii="Verdana" w:hAnsi="Verdana" w:cs="Arial"/>
                <w:color w:val="000000"/>
              </w:rPr>
              <w:t xml:space="preserve"> cuando:</w:t>
            </w:r>
          </w:p>
          <w:p w14:paraId="35EBBDB7" w14:textId="77777777" w:rsidR="00985B96" w:rsidRPr="00610C8B" w:rsidRDefault="00985B96" w:rsidP="00431894">
            <w:pPr>
              <w:spacing w:line="276" w:lineRule="auto"/>
              <w:jc w:val="both"/>
              <w:rPr>
                <w:rFonts w:ascii="Verdana" w:hAnsi="Verdana" w:cs="Arial"/>
                <w:color w:val="000000"/>
              </w:rPr>
            </w:pPr>
          </w:p>
          <w:p w14:paraId="2FD9E787" w14:textId="77777777" w:rsidR="00985B96" w:rsidRPr="00610C8B" w:rsidRDefault="00985B96" w:rsidP="00985B96">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t>Aquellas hayan sido declaradas responsables administrativamente por la conducta de soborno transnacional</w:t>
            </w:r>
          </w:p>
          <w:p w14:paraId="5593FBE9" w14:textId="77777777" w:rsidR="00985B96" w:rsidRPr="00610C8B" w:rsidRDefault="00985B96" w:rsidP="00985B96">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t>Se les haya ordenado la suspensión de la perso</w:t>
            </w:r>
            <w:r w:rsidRPr="00610C8B">
              <w:rPr>
                <w:rFonts w:ascii="Verdana" w:hAnsi="Verdana" w:cs="Arial"/>
                <w:color w:val="000000"/>
              </w:rPr>
              <w:softHyphen/>
              <w:t>nería jurídica en los términos de ley</w:t>
            </w:r>
          </w:p>
          <w:p w14:paraId="2933F9A1" w14:textId="77777777" w:rsidR="00985B96" w:rsidRPr="00610C8B" w:rsidRDefault="00985B96" w:rsidP="00985B96">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t>Sus representantes legales, ad</w:t>
            </w:r>
            <w:r w:rsidRPr="00610C8B">
              <w:rPr>
                <w:rFonts w:ascii="Verdana" w:hAnsi="Verdana" w:cs="Arial"/>
                <w:color w:val="000000"/>
              </w:rPr>
              <w:softHyphen/>
              <w:t xml:space="preserve">ministradores de hecho o de derecho, miembros de junta directiva o </w:t>
            </w:r>
            <w:r w:rsidRPr="00610C8B">
              <w:rPr>
                <w:rFonts w:ascii="Verdana" w:hAnsi="Verdana" w:cs="Arial"/>
                <w:color w:val="000000"/>
                <w:u w:val="single"/>
              </w:rPr>
              <w:t>sus socios controlantes, sus matrices, subordinadas</w:t>
            </w:r>
            <w:r w:rsidRPr="00610C8B">
              <w:rPr>
                <w:rFonts w:ascii="Verdana" w:hAnsi="Verdana" w:cs="Arial"/>
                <w:color w:val="000000"/>
              </w:rPr>
              <w:t xml:space="preserve"> y/o las sucursales de sociedades extranjeras, hayan sido beneficiados con la aplicación de un principio de oportunidad por cualquier delito contra la Administración pública o el patrimonio del Estado</w:t>
            </w:r>
          </w:p>
          <w:p w14:paraId="49FC631D" w14:textId="77777777" w:rsidR="00985B96" w:rsidRPr="00610C8B" w:rsidRDefault="00985B96" w:rsidP="00431894">
            <w:pPr>
              <w:spacing w:line="276" w:lineRule="auto"/>
              <w:jc w:val="both"/>
              <w:rPr>
                <w:rFonts w:ascii="Verdana" w:hAnsi="Verdana" w:cs="Arial"/>
                <w:color w:val="000000"/>
              </w:rPr>
            </w:pPr>
          </w:p>
          <w:p w14:paraId="72733044" w14:textId="77777777" w:rsidR="00985B96" w:rsidRPr="00610C8B" w:rsidRDefault="00985B96" w:rsidP="00431894">
            <w:pPr>
              <w:spacing w:line="276" w:lineRule="auto"/>
              <w:jc w:val="both"/>
              <w:rPr>
                <w:rFonts w:ascii="Verdana" w:hAnsi="Verdana" w:cs="Arial"/>
                <w:color w:val="000000"/>
              </w:rPr>
            </w:pPr>
            <w:r w:rsidRPr="00610C8B">
              <w:rPr>
                <w:rFonts w:ascii="Verdana" w:hAnsi="Verdana" w:cs="Arial"/>
                <w:color w:val="000000"/>
              </w:rPr>
              <w:t xml:space="preserve">Visto lo anterior, es posible afirmar que para el caso de para las </w:t>
            </w:r>
            <w:r w:rsidRPr="00610C8B">
              <w:rPr>
                <w:rFonts w:ascii="Verdana" w:hAnsi="Verdana" w:cs="Arial"/>
                <w:b/>
                <w:bCs/>
                <w:color w:val="000000"/>
              </w:rPr>
              <w:t>personas naturales y jurídicas</w:t>
            </w:r>
            <w:r w:rsidRPr="00610C8B">
              <w:rPr>
                <w:rFonts w:ascii="Verdana" w:hAnsi="Verdana" w:cs="Arial"/>
                <w:color w:val="000000"/>
              </w:rPr>
              <w:t xml:space="preserve">, </w:t>
            </w:r>
            <w:r w:rsidRPr="00610C8B">
              <w:rPr>
                <w:rFonts w:ascii="Verdana" w:hAnsi="Verdana" w:cs="Arial"/>
                <w:color w:val="000000"/>
                <w:u w:val="single"/>
              </w:rPr>
              <w:t>sus efectos se extienden a las sociedades de las que hagan parte dichas personas</w:t>
            </w:r>
            <w:r w:rsidRPr="00610C8B">
              <w:rPr>
                <w:rFonts w:ascii="Verdana" w:hAnsi="Verdana" w:cs="Arial"/>
                <w:color w:val="000000"/>
              </w:rPr>
              <w:t xml:space="preserve"> en las siguientes calidades:</w:t>
            </w:r>
          </w:p>
          <w:p w14:paraId="480F8DA6" w14:textId="77777777" w:rsidR="00985B96" w:rsidRPr="00610C8B" w:rsidRDefault="00985B96" w:rsidP="00431894">
            <w:pPr>
              <w:spacing w:line="276" w:lineRule="auto"/>
              <w:jc w:val="both"/>
              <w:rPr>
                <w:rFonts w:ascii="Verdana" w:hAnsi="Verdana" w:cs="Arial"/>
                <w:color w:val="000000"/>
              </w:rPr>
            </w:pPr>
          </w:p>
          <w:p w14:paraId="17B9F758"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 xml:space="preserve">administradores, </w:t>
            </w:r>
          </w:p>
          <w:p w14:paraId="54529CDF"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represen</w:t>
            </w:r>
            <w:r w:rsidRPr="00610C8B">
              <w:rPr>
                <w:rFonts w:ascii="Verdana" w:hAnsi="Verdana" w:cs="Arial"/>
                <w:color w:val="000000"/>
              </w:rPr>
              <w:softHyphen/>
              <w:t xml:space="preserve">tantes legales, </w:t>
            </w:r>
          </w:p>
          <w:p w14:paraId="0058EFCE"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 xml:space="preserve">miembros de junta directiva </w:t>
            </w:r>
          </w:p>
          <w:p w14:paraId="6EF46EAD"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u w:val="single"/>
              </w:rPr>
              <w:lastRenderedPageBreak/>
              <w:t xml:space="preserve">socios controlantes, </w:t>
            </w:r>
            <w:r w:rsidRPr="00610C8B">
              <w:rPr>
                <w:rFonts w:ascii="Verdana" w:hAnsi="Verdana" w:cs="Arial"/>
                <w:color w:val="000000"/>
              </w:rPr>
              <w:t xml:space="preserve">a sus matrices, a sus subordinadas, a los grupos empresariales a los que estas pertenezcan cuando la conducta delictiva haya sido parte de una política del grupo y a las sucursales de sociedades extranjeras, </w:t>
            </w:r>
            <w:r w:rsidRPr="00610C8B">
              <w:rPr>
                <w:rFonts w:ascii="Verdana" w:hAnsi="Verdana" w:cs="Arial"/>
                <w:color w:val="000000"/>
                <w:u w:val="single"/>
              </w:rPr>
              <w:t xml:space="preserve">con excepción de las sociedades anónimas abiertas. </w:t>
            </w:r>
          </w:p>
          <w:p w14:paraId="3246CF92" w14:textId="77777777" w:rsidR="00985B96" w:rsidRPr="00610C8B" w:rsidRDefault="00985B96" w:rsidP="00431894">
            <w:pPr>
              <w:spacing w:line="276" w:lineRule="auto"/>
              <w:jc w:val="both"/>
              <w:rPr>
                <w:rFonts w:ascii="Verdana" w:hAnsi="Verdana" w:cs="Arial"/>
                <w:color w:val="000000"/>
              </w:rPr>
            </w:pPr>
          </w:p>
          <w:p w14:paraId="6195EB7B" w14:textId="77777777" w:rsidR="00985B96" w:rsidRPr="00610C8B" w:rsidRDefault="00985B96" w:rsidP="00431894">
            <w:pPr>
              <w:spacing w:line="276" w:lineRule="auto"/>
              <w:jc w:val="both"/>
              <w:rPr>
                <w:rFonts w:ascii="Verdana" w:hAnsi="Verdana" w:cs="Arial"/>
                <w:color w:val="000000"/>
              </w:rPr>
            </w:pPr>
            <w:r w:rsidRPr="00610C8B">
              <w:rPr>
                <w:rFonts w:ascii="Verdana" w:hAnsi="Verdana" w:cs="Arial"/>
                <w:color w:val="000000"/>
              </w:rPr>
              <w:t>En conclusión, en el evento en que un socio controlante, persona natural, de la sociedad interesada en participar en una convocatoria pública de selección de contratistas o que pretenda suscribir contratos con el Estado, sea objeto de alguna de las inhabilidades enlistadas, dicha inhabilidad extiende sus efectos a la sociedad, con ex</w:t>
            </w:r>
            <w:r w:rsidRPr="00610C8B">
              <w:rPr>
                <w:rFonts w:ascii="Verdana" w:hAnsi="Verdana" w:cs="Arial"/>
                <w:color w:val="000000"/>
              </w:rPr>
              <w:softHyphen/>
              <w:t>cepción de las sociedades anónimas abiertas.</w:t>
            </w:r>
          </w:p>
          <w:p w14:paraId="4F77A68C" w14:textId="77777777" w:rsidR="00985B96" w:rsidRPr="00610C8B" w:rsidRDefault="00985B96" w:rsidP="00431894">
            <w:pPr>
              <w:spacing w:line="276" w:lineRule="auto"/>
              <w:jc w:val="both"/>
              <w:rPr>
                <w:rFonts w:ascii="Verdana" w:hAnsi="Verdana" w:cs="Arial"/>
                <w:color w:val="000000"/>
              </w:rPr>
            </w:pPr>
          </w:p>
          <w:p w14:paraId="13000D4D" w14:textId="19987E04" w:rsidR="00985B96" w:rsidRPr="00610C8B" w:rsidRDefault="00985B96" w:rsidP="00645B2A">
            <w:pPr>
              <w:spacing w:line="276" w:lineRule="auto"/>
              <w:jc w:val="both"/>
              <w:rPr>
                <w:rFonts w:ascii="Verdana" w:eastAsia="Calibri" w:hAnsi="Verdana" w:cs="Arial"/>
                <w:color w:val="7030A0"/>
                <w:lang w:val="es-ES"/>
              </w:rPr>
            </w:pPr>
            <w:r w:rsidRPr="00610C8B">
              <w:rPr>
                <w:rFonts w:ascii="Verdana" w:hAnsi="Verdana" w:cs="Arial"/>
                <w:color w:val="000000"/>
              </w:rPr>
              <w:t>No obstante, se advierte que el régimen de inhabilidades corresponde a un conjunto de restricciones que afectan la capacidad para contratar con el Estado. En ese sentido, dichas causales están sometidas a una interpretación y aplicación restrictiva, por lo que cada entidad contratante deberá analizar en cada caso concreto si efectivamente la respectiva persona se encuentra incursa en el supuesto de hecho que da lugar a la configuración de la inhabilidad o incompatibilidad, en virtud de la que opera la restricción a la capacidad para contratar.</w:t>
            </w:r>
          </w:p>
        </w:tc>
      </w:tr>
    </w:tbl>
    <w:p w14:paraId="372F8253" w14:textId="77777777" w:rsidR="00985B96" w:rsidRPr="00610C8B" w:rsidRDefault="00985B96" w:rsidP="00985B96">
      <w:pPr>
        <w:tabs>
          <w:tab w:val="left" w:pos="142"/>
          <w:tab w:val="left" w:pos="284"/>
        </w:tabs>
        <w:spacing w:after="0" w:line="276" w:lineRule="auto"/>
        <w:jc w:val="both"/>
        <w:rPr>
          <w:rFonts w:ascii="Verdana" w:eastAsia="Century Gothic" w:hAnsi="Verdana" w:cs="Century Gothic"/>
          <w:b/>
          <w:bCs/>
          <w:lang w:val="es-ES"/>
        </w:rPr>
      </w:pPr>
    </w:p>
    <w:p w14:paraId="34A77D66" w14:textId="77777777" w:rsidR="00985B96" w:rsidRPr="00610C8B" w:rsidRDefault="00985B96" w:rsidP="00985B9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10C8B">
        <w:rPr>
          <w:rFonts w:ascii="Verdana" w:eastAsia="Century Gothic" w:hAnsi="Verdana" w:cs="Century Gothic"/>
          <w:b/>
          <w:bCs/>
        </w:rPr>
        <w:t>Razones de la respuesta:</w:t>
      </w:r>
    </w:p>
    <w:p w14:paraId="18828454" w14:textId="77777777" w:rsidR="00985B96" w:rsidRPr="00610C8B" w:rsidRDefault="00985B96" w:rsidP="00985B96">
      <w:pPr>
        <w:spacing w:after="0" w:line="276" w:lineRule="auto"/>
        <w:jc w:val="both"/>
        <w:rPr>
          <w:rFonts w:ascii="Verdana" w:eastAsia="Calibri" w:hAnsi="Verdana" w:cs="Arial"/>
          <w:color w:val="7030A0"/>
          <w:lang w:val="es-ES"/>
        </w:rPr>
      </w:pPr>
    </w:p>
    <w:p w14:paraId="621B4EEC" w14:textId="77777777" w:rsidR="00985B96" w:rsidRPr="00610C8B" w:rsidRDefault="00985B96" w:rsidP="00985B96">
      <w:pPr>
        <w:spacing w:after="0" w:line="276" w:lineRule="auto"/>
        <w:jc w:val="both"/>
        <w:rPr>
          <w:rFonts w:ascii="Verdana" w:eastAsia="Calibri" w:hAnsi="Verdana" w:cs="Arial"/>
          <w:lang w:val="es-ES"/>
        </w:rPr>
      </w:pPr>
      <w:r w:rsidRPr="00610C8B">
        <w:rPr>
          <w:rFonts w:ascii="Verdana" w:eastAsia="Calibri" w:hAnsi="Verdana" w:cs="Arial"/>
          <w:lang w:val="es-ES"/>
        </w:rPr>
        <w:t xml:space="preserve">Lo anterior se sustenta en las siguientes consideraciones: </w:t>
      </w:r>
    </w:p>
    <w:p w14:paraId="4CAFADB8" w14:textId="77777777" w:rsidR="00985B96" w:rsidRPr="00610C8B" w:rsidRDefault="00985B96" w:rsidP="00985B96">
      <w:pPr>
        <w:spacing w:after="0" w:line="276" w:lineRule="auto"/>
        <w:jc w:val="both"/>
        <w:rPr>
          <w:rFonts w:ascii="Verdana" w:eastAsia="Calibri" w:hAnsi="Verdana" w:cs="Arial"/>
          <w:color w:val="7030A0"/>
          <w:lang w:val="es-ES"/>
        </w:rPr>
      </w:pPr>
    </w:p>
    <w:p w14:paraId="0AA83A99" w14:textId="77777777" w:rsidR="00985B96" w:rsidRPr="00610C8B" w:rsidRDefault="00985B96" w:rsidP="00985B96">
      <w:pPr>
        <w:pStyle w:val="Sinespaciado"/>
        <w:spacing w:after="120" w:line="276" w:lineRule="auto"/>
        <w:jc w:val="both"/>
        <w:rPr>
          <w:rFonts w:ascii="Verdana" w:hAnsi="Verdana" w:cs="Arial"/>
          <w:sz w:val="22"/>
          <w:lang w:val="es-ES"/>
        </w:rPr>
      </w:pPr>
      <w:r w:rsidRPr="00610C8B">
        <w:rPr>
          <w:rFonts w:ascii="Verdana" w:hAnsi="Verdana" w:cs="Arial"/>
          <w:sz w:val="22"/>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72DCAF62" w14:textId="77777777" w:rsidR="00985B96" w:rsidRPr="00610C8B" w:rsidRDefault="00985B96" w:rsidP="00985B96">
      <w:pPr>
        <w:pStyle w:val="Sinespaciado"/>
        <w:spacing w:before="120" w:after="120" w:line="276" w:lineRule="auto"/>
        <w:ind w:firstLine="708"/>
        <w:jc w:val="both"/>
        <w:rPr>
          <w:rFonts w:ascii="Verdana" w:hAnsi="Verdana" w:cs="Arial"/>
          <w:sz w:val="22"/>
          <w:lang w:val="es-ES"/>
        </w:rPr>
      </w:pPr>
      <w:r w:rsidRPr="00610C8B">
        <w:rPr>
          <w:rFonts w:ascii="Verdana" w:hAnsi="Verdana" w:cs="Arial"/>
          <w:sz w:val="22"/>
          <w:lang w:val="es-ES"/>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w:t>
      </w:r>
      <w:r w:rsidRPr="00610C8B">
        <w:rPr>
          <w:rFonts w:ascii="Verdana" w:hAnsi="Verdana" w:cs="Arial"/>
          <w:sz w:val="22"/>
          <w:lang w:val="es-ES"/>
        </w:rPr>
        <w:lastRenderedPageBreak/>
        <w:t>a la falta de aptitud o a la carencia de una cualidad, calidad o requisito en el sujeto incapacitado quien por esta razón no podrá hacer parte de una relación contractual”</w:t>
      </w:r>
      <w:r w:rsidRPr="00610C8B">
        <w:rPr>
          <w:rFonts w:ascii="Verdana" w:hAnsi="Verdana" w:cs="Arial"/>
          <w:sz w:val="22"/>
          <w:vertAlign w:val="superscript"/>
          <w:lang w:val="es-ES"/>
        </w:rPr>
        <w:footnoteReference w:id="2"/>
      </w:r>
      <w:r w:rsidRPr="00610C8B">
        <w:rPr>
          <w:rFonts w:ascii="Verdana" w:hAnsi="Verdana" w:cs="Arial"/>
          <w:sz w:val="22"/>
          <w:lang w:val="es-ES"/>
        </w:rPr>
        <w:t xml:space="preserve">. </w:t>
      </w:r>
    </w:p>
    <w:p w14:paraId="17413E76" w14:textId="77777777" w:rsidR="00985B96" w:rsidRPr="00610C8B" w:rsidRDefault="00985B96" w:rsidP="00985B96">
      <w:pPr>
        <w:pStyle w:val="Sinespaciado"/>
        <w:spacing w:before="120" w:line="276" w:lineRule="auto"/>
        <w:ind w:firstLine="709"/>
        <w:jc w:val="both"/>
        <w:rPr>
          <w:rFonts w:ascii="Verdana" w:hAnsi="Verdana" w:cs="Arial"/>
          <w:sz w:val="22"/>
          <w:lang w:val="es-ES"/>
        </w:rPr>
      </w:pPr>
      <w:r w:rsidRPr="00610C8B">
        <w:rPr>
          <w:rFonts w:ascii="Verdana" w:hAnsi="Verdana" w:cs="Arial"/>
          <w:sz w:val="22"/>
          <w:lang w:val="es-ES"/>
        </w:rPr>
        <w:t xml:space="preserve">Las limitaciones que afectan la capacidad jurídica para contratar desarrollan los principios de la función administrativa consagrados en el artículo 209 de la Constitución Política, con especial énfasis la moralidad administrativa. Así lo ha entendido el Consejo de Estado, quien se ha pronunciado al respecto en los siguientes términos: </w:t>
      </w:r>
    </w:p>
    <w:p w14:paraId="3D05F216" w14:textId="77777777" w:rsidR="00985B96" w:rsidRPr="00610C8B" w:rsidRDefault="00985B96" w:rsidP="00985B96">
      <w:pPr>
        <w:pStyle w:val="Sinespaciado"/>
        <w:spacing w:line="276" w:lineRule="auto"/>
        <w:jc w:val="both"/>
        <w:rPr>
          <w:rFonts w:ascii="Verdana" w:hAnsi="Verdana" w:cs="Arial"/>
          <w:sz w:val="22"/>
          <w:lang w:val="es-ES"/>
        </w:rPr>
      </w:pPr>
    </w:p>
    <w:p w14:paraId="2824F8D4" w14:textId="77777777" w:rsidR="00985B96" w:rsidRPr="00610C8B" w:rsidRDefault="00985B96" w:rsidP="00985B96">
      <w:pPr>
        <w:pStyle w:val="NormalWeb"/>
        <w:shd w:val="clear" w:color="auto" w:fill="FFFFFF"/>
        <w:spacing w:before="0" w:beforeAutospacing="0" w:after="120" w:afterAutospacing="0"/>
        <w:ind w:left="709" w:right="709"/>
        <w:jc w:val="both"/>
        <w:rPr>
          <w:rFonts w:ascii="Verdana" w:eastAsiaTheme="minorHAnsi" w:hAnsi="Verdana" w:cs="Arial"/>
          <w:sz w:val="20"/>
          <w:szCs w:val="20"/>
          <w:lang w:val="es-ES" w:eastAsia="en-US"/>
        </w:rPr>
      </w:pPr>
      <w:r w:rsidRPr="00610C8B">
        <w:rPr>
          <w:rFonts w:ascii="Verdana" w:eastAsiaTheme="minorHAnsi" w:hAnsi="Verdana" w:cs="Arial"/>
          <w:sz w:val="20"/>
          <w:szCs w:val="20"/>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2D6AB7C1" w14:textId="77777777" w:rsidR="00985B96" w:rsidRPr="00610C8B" w:rsidRDefault="00985B96" w:rsidP="00985B96">
      <w:pPr>
        <w:pStyle w:val="NormalWeb"/>
        <w:shd w:val="clear" w:color="auto" w:fill="FFFFFF"/>
        <w:spacing w:before="0" w:beforeAutospacing="0" w:after="0" w:afterAutospacing="0"/>
        <w:ind w:left="709" w:right="709"/>
        <w:jc w:val="both"/>
        <w:rPr>
          <w:rFonts w:ascii="Verdana" w:eastAsiaTheme="minorHAnsi" w:hAnsi="Verdana" w:cs="Arial"/>
          <w:sz w:val="20"/>
          <w:szCs w:val="20"/>
          <w:lang w:val="es-ES" w:eastAsia="en-US"/>
        </w:rPr>
      </w:pPr>
      <w:r w:rsidRPr="00610C8B">
        <w:rPr>
          <w:rFonts w:ascii="Verdana" w:eastAsiaTheme="minorHAnsi" w:hAnsi="Verdana" w:cs="Arial"/>
          <w:sz w:val="20"/>
          <w:szCs w:val="20"/>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610C8B">
        <w:rPr>
          <w:rStyle w:val="Refdenotaalpie"/>
          <w:rFonts w:ascii="Verdana" w:eastAsiaTheme="minorHAnsi" w:hAnsi="Verdana" w:cs="Arial"/>
          <w:sz w:val="20"/>
          <w:szCs w:val="20"/>
          <w:lang w:val="es-ES" w:eastAsia="en-US"/>
        </w:rPr>
        <w:footnoteReference w:id="3"/>
      </w:r>
      <w:r w:rsidRPr="00610C8B">
        <w:rPr>
          <w:rFonts w:ascii="Verdana" w:eastAsiaTheme="minorHAnsi" w:hAnsi="Verdana" w:cs="Arial"/>
          <w:sz w:val="20"/>
          <w:szCs w:val="20"/>
          <w:lang w:val="es-ES" w:eastAsia="en-US"/>
        </w:rPr>
        <w:t xml:space="preserve">. </w:t>
      </w:r>
    </w:p>
    <w:p w14:paraId="72183FAD" w14:textId="77777777" w:rsidR="00985B96" w:rsidRPr="00610C8B" w:rsidRDefault="00985B96" w:rsidP="00985B96">
      <w:pPr>
        <w:pStyle w:val="Sinespaciado"/>
        <w:spacing w:line="276" w:lineRule="auto"/>
        <w:jc w:val="both"/>
        <w:rPr>
          <w:rFonts w:ascii="Verdana" w:hAnsi="Verdana" w:cs="Arial"/>
          <w:sz w:val="22"/>
          <w:lang w:val="es-ES"/>
        </w:rPr>
      </w:pPr>
    </w:p>
    <w:p w14:paraId="274FC483" w14:textId="77777777" w:rsidR="00985B96" w:rsidRPr="00610C8B" w:rsidRDefault="00985B96" w:rsidP="00985B96">
      <w:pPr>
        <w:pStyle w:val="Sinespaciado"/>
        <w:spacing w:line="276" w:lineRule="auto"/>
        <w:ind w:firstLine="709"/>
        <w:jc w:val="both"/>
        <w:rPr>
          <w:rFonts w:ascii="Verdana" w:hAnsi="Verdana" w:cs="Arial"/>
          <w:sz w:val="22"/>
          <w:lang w:val="es-ES"/>
        </w:rPr>
      </w:pPr>
      <w:r w:rsidRPr="00610C8B">
        <w:rPr>
          <w:rFonts w:ascii="Verdana" w:hAnsi="Verdana" w:cs="Arial"/>
          <w:sz w:val="22"/>
          <w:lang w:val="es-ES"/>
        </w:rPr>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w:t>
      </w:r>
      <w:r w:rsidRPr="00610C8B">
        <w:rPr>
          <w:rFonts w:ascii="Verdana" w:hAnsi="Verdana" w:cs="Arial"/>
          <w:sz w:val="22"/>
          <w:lang w:val="es-ES"/>
        </w:rPr>
        <w:lastRenderedPageBreak/>
        <w:t xml:space="preserve">limitaciones deben estar justificadas en la salvaguarda del interés general y que su lectura e interpretación es taxativa y restrictiva: </w:t>
      </w:r>
    </w:p>
    <w:p w14:paraId="3A32A863" w14:textId="77777777" w:rsidR="00985B96" w:rsidRPr="00610C8B" w:rsidRDefault="00985B96" w:rsidP="00985B96">
      <w:pPr>
        <w:spacing w:after="0"/>
        <w:rPr>
          <w:rFonts w:ascii="Verdana" w:eastAsia="Times New Roman" w:hAnsi="Verdana" w:cs="Arial"/>
          <w:shd w:val="clear" w:color="auto" w:fill="FFFFFF"/>
          <w:lang w:val="es-ES" w:eastAsia="es-ES_tradnl"/>
        </w:rPr>
      </w:pPr>
    </w:p>
    <w:p w14:paraId="4472ACCA" w14:textId="77777777" w:rsidR="00985B96" w:rsidRPr="00610C8B" w:rsidRDefault="00985B96" w:rsidP="00985B96">
      <w:pPr>
        <w:spacing w:after="120"/>
        <w:ind w:left="709" w:right="709"/>
        <w:jc w:val="both"/>
        <w:rPr>
          <w:rFonts w:ascii="Verdana" w:hAnsi="Verdana" w:cs="Arial"/>
          <w:sz w:val="20"/>
          <w:szCs w:val="20"/>
          <w:lang w:val="es-ES"/>
        </w:rPr>
      </w:pPr>
      <w:r w:rsidRPr="00610C8B">
        <w:rPr>
          <w:rFonts w:ascii="Verdana" w:hAnsi="Verdana" w:cs="Arial"/>
          <w:sz w:val="20"/>
          <w:szCs w:val="20"/>
          <w:lang w:val="es-ES"/>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610C8B">
        <w:rPr>
          <w:rFonts w:ascii="Verdana" w:hAnsi="Verdana" w:cs="Arial"/>
          <w:sz w:val="20"/>
          <w:szCs w:val="20"/>
          <w:lang w:val="es-ES"/>
        </w:rPr>
        <w:t>incompatibilidades,</w:t>
      </w:r>
      <w:proofErr w:type="gramEnd"/>
      <w:r w:rsidRPr="00610C8B">
        <w:rPr>
          <w:rFonts w:ascii="Verdana" w:hAnsi="Verdana" w:cs="Arial"/>
          <w:sz w:val="20"/>
          <w:szCs w:val="20"/>
          <w:lang w:val="es-ES"/>
        </w:rPr>
        <w:t xml:space="preserve"> se erige en causal de nulidad del contrato celebrado en esas condiciones (ley 80 de 1993, art. 44).</w:t>
      </w:r>
    </w:p>
    <w:p w14:paraId="7E5B9E84" w14:textId="77777777" w:rsidR="00985B96" w:rsidRPr="00610C8B" w:rsidRDefault="00985B96" w:rsidP="00985B96">
      <w:pPr>
        <w:ind w:left="709" w:right="709"/>
        <w:jc w:val="both"/>
        <w:rPr>
          <w:rFonts w:ascii="Verdana" w:hAnsi="Verdana" w:cs="Arial"/>
          <w:sz w:val="20"/>
          <w:szCs w:val="20"/>
          <w:lang w:val="es-ES"/>
        </w:rPr>
      </w:pPr>
      <w:r w:rsidRPr="00610C8B">
        <w:rPr>
          <w:rFonts w:ascii="Verdana" w:hAnsi="Verdana" w:cs="Arial"/>
          <w:sz w:val="20"/>
          <w:szCs w:val="20"/>
          <w:lang w:val="es-ES"/>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610C8B">
        <w:rPr>
          <w:rStyle w:val="Refdenotaalpie"/>
          <w:rFonts w:ascii="Verdana" w:hAnsi="Verdana" w:cs="Arial"/>
          <w:sz w:val="20"/>
          <w:szCs w:val="20"/>
          <w:lang w:val="es-ES"/>
        </w:rPr>
        <w:footnoteReference w:id="4"/>
      </w:r>
      <w:r w:rsidRPr="00610C8B">
        <w:rPr>
          <w:rFonts w:ascii="Verdana" w:hAnsi="Verdana" w:cs="Arial"/>
          <w:sz w:val="20"/>
          <w:szCs w:val="20"/>
          <w:lang w:val="es-ES"/>
        </w:rPr>
        <w:t>.</w:t>
      </w:r>
    </w:p>
    <w:p w14:paraId="1BDD25B1" w14:textId="77777777" w:rsidR="00985B96" w:rsidRPr="00610C8B" w:rsidRDefault="00985B96" w:rsidP="00985B96">
      <w:pPr>
        <w:spacing w:line="276" w:lineRule="auto"/>
        <w:ind w:left="709" w:right="709"/>
        <w:rPr>
          <w:rFonts w:ascii="Verdana" w:eastAsia="Times New Roman" w:hAnsi="Verdana" w:cs="Arial"/>
          <w:shd w:val="clear" w:color="auto" w:fill="FFFFFF"/>
          <w:lang w:val="es-ES" w:eastAsia="es-ES_tradnl"/>
        </w:rPr>
      </w:pPr>
    </w:p>
    <w:p w14:paraId="0DFBB4F8" w14:textId="77777777" w:rsidR="00985B96" w:rsidRPr="00610C8B" w:rsidRDefault="00985B96" w:rsidP="00985B96">
      <w:pPr>
        <w:spacing w:after="0" w:line="276" w:lineRule="auto"/>
        <w:ind w:firstLine="709"/>
        <w:jc w:val="both"/>
        <w:rPr>
          <w:rFonts w:ascii="Verdana" w:hAnsi="Verdana" w:cs="Arial"/>
          <w:lang w:val="es-ES"/>
        </w:rPr>
      </w:pPr>
      <w:r w:rsidRPr="00610C8B">
        <w:rPr>
          <w:rFonts w:ascii="Verdana" w:hAnsi="Verdana" w:cs="Arial"/>
          <w:lang w:val="es-ES"/>
        </w:rPr>
        <w:t>Además, la Corte Constitucional ha explicado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de conformidad con el artículo 150 de la Constitución Política, y que en esta materia rige el principio de legalidad:</w:t>
      </w:r>
    </w:p>
    <w:p w14:paraId="0C5A5461" w14:textId="77777777" w:rsidR="00985B96" w:rsidRPr="00610C8B" w:rsidRDefault="00985B96" w:rsidP="00985B96">
      <w:pPr>
        <w:pStyle w:val="Sinespaciado"/>
        <w:tabs>
          <w:tab w:val="left" w:pos="1532"/>
        </w:tabs>
        <w:spacing w:line="276" w:lineRule="auto"/>
        <w:jc w:val="both"/>
        <w:rPr>
          <w:rFonts w:ascii="Verdana" w:hAnsi="Verdana" w:cs="Arial"/>
          <w:sz w:val="22"/>
          <w:lang w:val="es-ES"/>
        </w:rPr>
      </w:pPr>
    </w:p>
    <w:p w14:paraId="0063CF41" w14:textId="77777777" w:rsidR="00985B96" w:rsidRPr="00610C8B" w:rsidRDefault="00985B96" w:rsidP="00985B96">
      <w:pPr>
        <w:spacing w:after="120"/>
        <w:ind w:left="709" w:right="709"/>
        <w:jc w:val="both"/>
        <w:rPr>
          <w:rFonts w:ascii="Verdana" w:hAnsi="Verdana" w:cs="Arial"/>
          <w:sz w:val="20"/>
          <w:szCs w:val="20"/>
          <w:lang w:val="es-ES"/>
        </w:rPr>
      </w:pPr>
      <w:r w:rsidRPr="00610C8B">
        <w:rPr>
          <w:rFonts w:ascii="Verdana" w:hAnsi="Verdana" w:cs="Arial"/>
          <w:sz w:val="20"/>
          <w:szCs w:val="20"/>
          <w:lang w:val="es-E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w:t>
      </w:r>
      <w:r w:rsidRPr="00610C8B">
        <w:rPr>
          <w:rFonts w:ascii="Verdana" w:hAnsi="Verdana" w:cs="Arial"/>
          <w:sz w:val="20"/>
          <w:szCs w:val="20"/>
          <w:lang w:val="es-ES"/>
        </w:rPr>
        <w:lastRenderedPageBreak/>
        <w:t xml:space="preserve">la esfera estatal y pública, dentro de la cual no rige el principio pro libertate, sino el de legalidad, el que ordena que la función pública debe someterse estrictamente a lo que disponga la Constitución y la ley (CP art. 6). </w:t>
      </w:r>
    </w:p>
    <w:p w14:paraId="1012A511" w14:textId="77777777" w:rsidR="00985B96" w:rsidRPr="00610C8B" w:rsidRDefault="00985B96" w:rsidP="00985B96">
      <w:pPr>
        <w:spacing w:after="120"/>
        <w:ind w:left="709" w:right="709"/>
        <w:jc w:val="both"/>
        <w:rPr>
          <w:rFonts w:ascii="Verdana" w:hAnsi="Verdana" w:cs="Arial"/>
          <w:sz w:val="20"/>
          <w:szCs w:val="20"/>
          <w:lang w:val="es-ES"/>
        </w:rPr>
      </w:pPr>
      <w:r w:rsidRPr="00610C8B">
        <w:rPr>
          <w:rFonts w:ascii="Verdana" w:hAnsi="Verdana" w:cs="Arial"/>
          <w:sz w:val="20"/>
          <w:szCs w:val="20"/>
          <w:lang w:val="es-ES"/>
        </w:rPr>
        <w:t xml:space="preserve">[…] </w:t>
      </w:r>
    </w:p>
    <w:p w14:paraId="36533659" w14:textId="77777777" w:rsidR="00985B96" w:rsidRPr="00610C8B" w:rsidRDefault="00985B96" w:rsidP="00985B96">
      <w:pPr>
        <w:spacing w:after="0"/>
        <w:ind w:left="709" w:right="709"/>
        <w:jc w:val="both"/>
        <w:rPr>
          <w:rFonts w:ascii="Verdana" w:hAnsi="Verdana" w:cs="Arial"/>
          <w:sz w:val="20"/>
          <w:szCs w:val="20"/>
          <w:lang w:val="es-ES"/>
        </w:rPr>
      </w:pPr>
      <w:r w:rsidRPr="00610C8B">
        <w:rPr>
          <w:rFonts w:ascii="Verdana" w:hAnsi="Verdana" w:cs="Arial"/>
          <w:sz w:val="20"/>
          <w:szCs w:val="20"/>
          <w:lang w:val="es-ES"/>
        </w:rPr>
        <w:t xml:space="preserve">Se comprende con facilidad que el régimen de inhabilidades e </w:t>
      </w:r>
      <w:proofErr w:type="gramStart"/>
      <w:r w:rsidRPr="00610C8B">
        <w:rPr>
          <w:rFonts w:ascii="Verdana" w:hAnsi="Verdana" w:cs="Arial"/>
          <w:sz w:val="20"/>
          <w:szCs w:val="20"/>
          <w:lang w:val="es-ES"/>
        </w:rPr>
        <w:t>incompatibilidades,</w:t>
      </w:r>
      <w:proofErr w:type="gramEnd"/>
      <w:r w:rsidRPr="00610C8B">
        <w:rPr>
          <w:rFonts w:ascii="Verdana" w:hAnsi="Verdana" w:cs="Arial"/>
          <w:sz w:val="20"/>
          <w:szCs w:val="20"/>
          <w:lang w:val="es-ES"/>
        </w:rPr>
        <w:t xml:space="preserve"> corresponde a una materia de normal y obligada inclusión en un estatuto contractual. El legislador, a quien se ha confiado expedir el indicado estatuto, tiene, pues, competencia para establecerlo (CP art. 150)</w:t>
      </w:r>
      <w:r w:rsidRPr="00610C8B">
        <w:rPr>
          <w:rStyle w:val="Refdenotaalpie"/>
          <w:rFonts w:ascii="Verdana" w:hAnsi="Verdana" w:cs="Arial"/>
          <w:sz w:val="20"/>
          <w:szCs w:val="20"/>
          <w:lang w:val="es-ES"/>
        </w:rPr>
        <w:footnoteReference w:id="5"/>
      </w:r>
      <w:r w:rsidRPr="00610C8B">
        <w:rPr>
          <w:rFonts w:ascii="Verdana" w:hAnsi="Verdana" w:cs="Arial"/>
          <w:sz w:val="20"/>
          <w:szCs w:val="20"/>
          <w:lang w:val="es-ES"/>
        </w:rPr>
        <w:t>.</w:t>
      </w:r>
    </w:p>
    <w:p w14:paraId="3158CCE1" w14:textId="77777777" w:rsidR="00985B96" w:rsidRPr="00610C8B" w:rsidRDefault="00985B96" w:rsidP="00985B96">
      <w:pPr>
        <w:spacing w:after="0"/>
        <w:ind w:left="709" w:right="709"/>
        <w:rPr>
          <w:rFonts w:ascii="Verdana" w:eastAsia="Times New Roman" w:hAnsi="Verdana" w:cs="Arial"/>
          <w:shd w:val="clear" w:color="auto" w:fill="FFFFFF"/>
          <w:lang w:val="es-ES" w:eastAsia="es-ES_tradnl"/>
        </w:rPr>
      </w:pPr>
    </w:p>
    <w:p w14:paraId="36B8A9E8" w14:textId="77777777" w:rsidR="00985B96" w:rsidRPr="00610C8B" w:rsidRDefault="00985B96" w:rsidP="00985B96">
      <w:pPr>
        <w:spacing w:after="120" w:line="276" w:lineRule="auto"/>
        <w:ind w:firstLine="709"/>
        <w:jc w:val="both"/>
        <w:rPr>
          <w:rFonts w:ascii="Verdana" w:hAnsi="Verdana" w:cs="Arial"/>
          <w:lang w:val="es-ES"/>
        </w:rPr>
      </w:pPr>
      <w:r w:rsidRPr="00610C8B">
        <w:rPr>
          <w:rFonts w:ascii="Verdana" w:hAnsi="Verdana" w:cs="Arial"/>
          <w:lang w:val="es-ES"/>
        </w:rPr>
        <w:t>Conviene también distinguir las fuentes de las inhabilidades, las cuales han sido clasificadas en dos (2) grupos: i) inhabilidades-sanción e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610C8B">
        <w:rPr>
          <w:rStyle w:val="Refdenotaalpie"/>
          <w:rFonts w:ascii="Verdana" w:hAnsi="Verdana" w:cs="Arial"/>
          <w:lang w:val="es-ES"/>
        </w:rPr>
        <w:footnoteReference w:id="6"/>
      </w:r>
      <w:r w:rsidRPr="00610C8B">
        <w:rPr>
          <w:rFonts w:ascii="Verdana" w:hAnsi="Verdana" w:cs="Arial"/>
          <w:lang w:val="es-ES"/>
        </w:rPr>
        <w:t xml:space="preserve">. </w:t>
      </w:r>
    </w:p>
    <w:p w14:paraId="655AFEC6" w14:textId="77777777" w:rsidR="00985B96" w:rsidRPr="00610C8B" w:rsidRDefault="00985B96" w:rsidP="00985B96">
      <w:pPr>
        <w:spacing w:before="120" w:after="120" w:line="276" w:lineRule="auto"/>
        <w:ind w:firstLine="708"/>
        <w:jc w:val="both"/>
        <w:rPr>
          <w:rFonts w:ascii="Verdana" w:hAnsi="Verdana" w:cs="Arial"/>
          <w:lang w:val="es-ES"/>
        </w:rPr>
      </w:pPr>
      <w:r w:rsidRPr="00610C8B">
        <w:rPr>
          <w:rFonts w:ascii="Verdana" w:hAnsi="Verdana" w:cs="Arial"/>
          <w:lang w:val="es-ES"/>
        </w:rPr>
        <w:t>A manera de ejemplo, en materia contractual, los literales c), d) y j) del numeral 1 del artículo 8 de la Ley 80 de 1993</w:t>
      </w:r>
      <w:r w:rsidRPr="00610C8B">
        <w:rPr>
          <w:rFonts w:ascii="Verdana" w:hAnsi="Verdana" w:cs="Arial"/>
          <w:vertAlign w:val="superscript"/>
          <w:lang w:val="es-ES"/>
        </w:rPr>
        <w:footnoteReference w:id="7"/>
      </w:r>
      <w:r w:rsidRPr="00610C8B">
        <w:rPr>
          <w:rFonts w:ascii="Verdana" w:hAnsi="Verdana" w:cs="Arial"/>
          <w:lang w:val="es-ES"/>
        </w:rPr>
        <w:t xml:space="preserve"> establecen inhabilidades-sanción, </w:t>
      </w:r>
      <w:r w:rsidRPr="00610C8B">
        <w:rPr>
          <w:rFonts w:ascii="Verdana" w:hAnsi="Verdana" w:cs="Arial"/>
          <w:lang w:val="es-ES"/>
        </w:rPr>
        <w:lastRenderedPageBreak/>
        <w:t xml:space="preserve">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6EECD56F" w14:textId="77777777" w:rsidR="00985B96" w:rsidRPr="00610C8B" w:rsidRDefault="00985B96" w:rsidP="00985B96">
      <w:pPr>
        <w:spacing w:before="120" w:line="276" w:lineRule="auto"/>
        <w:ind w:firstLine="709"/>
        <w:jc w:val="both"/>
        <w:rPr>
          <w:rFonts w:ascii="Verdana" w:hAnsi="Verdana" w:cs="Arial"/>
          <w:lang w:val="es-ES"/>
        </w:rPr>
      </w:pPr>
      <w:bookmarkStart w:id="1" w:name="_Hlk40976328"/>
      <w:r w:rsidRPr="00610C8B">
        <w:rPr>
          <w:rFonts w:ascii="Verdana" w:hAnsi="Verdana" w:cs="Arial"/>
          <w:lang w:val="es-ES"/>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p w14:paraId="0EC4E58F" w14:textId="77777777" w:rsidR="00985B96" w:rsidRPr="00610C8B" w:rsidRDefault="00985B96" w:rsidP="00985B96">
      <w:pPr>
        <w:spacing w:line="276" w:lineRule="auto"/>
        <w:ind w:firstLine="708"/>
        <w:jc w:val="both"/>
        <w:rPr>
          <w:rFonts w:ascii="Verdana" w:eastAsia="Calibri" w:hAnsi="Verdana" w:cs="Arial"/>
          <w:lang w:val="es-ES"/>
        </w:rPr>
      </w:pPr>
      <w:r w:rsidRPr="00610C8B">
        <w:rPr>
          <w:rFonts w:ascii="Verdana" w:eastAsia="Calibri" w:hAnsi="Verdana" w:cs="Arial"/>
          <w:lang w:val="es-ES"/>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32A75785" w14:textId="77777777" w:rsidR="00985B96" w:rsidRPr="00610C8B" w:rsidRDefault="00985B96" w:rsidP="00985B96">
      <w:pPr>
        <w:spacing w:before="120" w:after="120" w:line="276" w:lineRule="auto"/>
        <w:ind w:firstLine="709"/>
        <w:jc w:val="both"/>
        <w:rPr>
          <w:rFonts w:ascii="Verdana" w:eastAsia="Calibri" w:hAnsi="Verdana" w:cs="Arial"/>
          <w:lang w:val="es-ES"/>
        </w:rPr>
      </w:pPr>
      <w:r w:rsidRPr="00610C8B">
        <w:rPr>
          <w:rFonts w:ascii="Verdana" w:eastAsia="Calibri" w:hAnsi="Verdana" w:cs="Arial"/>
          <w:lang w:val="es-ES"/>
        </w:rPr>
        <w:t xml:space="preserve">Ahora bien, las inhabilidades e incompatibilidades al ser restricciones o límites especiales a la capacidad para presentar ofertas y celebrar contratos estatales, solo pueden tipificarse en la ley –o sea, deben satisfacer el principio </w:t>
      </w:r>
      <w:r w:rsidRPr="00610C8B">
        <w:rPr>
          <w:rFonts w:ascii="Verdana" w:eastAsia="Calibri" w:hAnsi="Verdana" w:cs="Arial"/>
          <w:lang w:val="es-ES"/>
        </w:rPr>
        <w:lastRenderedPageBreak/>
        <w:t xml:space="preserve">de legalidad– y su interpretación debe ser </w:t>
      </w:r>
      <w:r w:rsidRPr="00610C8B">
        <w:rPr>
          <w:rFonts w:ascii="Verdana" w:eastAsia="Calibri" w:hAnsi="Verdana" w:cs="Arial"/>
          <w:i/>
          <w:iCs/>
          <w:lang w:val="es-ES"/>
        </w:rPr>
        <w:t>restrictiva</w:t>
      </w:r>
      <w:r w:rsidRPr="00610C8B">
        <w:rPr>
          <w:rFonts w:ascii="Verdana" w:eastAsia="Calibri" w:hAnsi="Verdana" w:cs="Arial"/>
          <w:vertAlign w:val="superscript"/>
          <w:lang w:val="es-ES"/>
        </w:rPr>
        <w:footnoteReference w:id="8"/>
      </w:r>
      <w:r w:rsidRPr="00610C8B">
        <w:rPr>
          <w:rFonts w:ascii="Verdana" w:eastAsia="Calibri" w:hAnsi="Verdana" w:cs="Arial"/>
          <w:lang w:val="es-ES"/>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58D56879" w14:textId="77777777" w:rsidR="00985B96" w:rsidRPr="00610C8B" w:rsidRDefault="00985B96" w:rsidP="00985B96">
      <w:pPr>
        <w:spacing w:after="0" w:line="276" w:lineRule="auto"/>
        <w:ind w:firstLine="709"/>
        <w:jc w:val="both"/>
        <w:rPr>
          <w:rFonts w:ascii="Verdana" w:eastAsia="Calibri" w:hAnsi="Verdana" w:cs="Arial"/>
          <w:lang w:val="es-ES"/>
        </w:rPr>
      </w:pPr>
      <w:r w:rsidRPr="00610C8B">
        <w:rPr>
          <w:rFonts w:ascii="Verdana" w:eastAsia="Calibri" w:hAnsi="Verdana" w:cs="Arial"/>
          <w:lang w:val="es-ES"/>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610C8B">
        <w:rPr>
          <w:rFonts w:ascii="Verdana" w:eastAsia="Calibri" w:hAnsi="Verdana" w:cs="Arial"/>
          <w:vertAlign w:val="superscript"/>
          <w:lang w:val="es-ES"/>
        </w:rPr>
        <w:footnoteReference w:id="9"/>
      </w:r>
      <w:r w:rsidRPr="00610C8B">
        <w:rPr>
          <w:rFonts w:ascii="Verdana" w:eastAsia="Calibri" w:hAnsi="Verdana" w:cs="Arial"/>
          <w:lang w:val="es-ES"/>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610C8B">
        <w:rPr>
          <w:rFonts w:ascii="Verdana" w:eastAsia="Calibri" w:hAnsi="Verdana" w:cs="Arial"/>
          <w:vertAlign w:val="superscript"/>
          <w:lang w:val="es-ES"/>
        </w:rPr>
        <w:footnoteReference w:id="10"/>
      </w:r>
      <w:r w:rsidRPr="00610C8B">
        <w:rPr>
          <w:rFonts w:ascii="Verdana" w:eastAsia="Calibri" w:hAnsi="Verdana" w:cs="Arial"/>
          <w:lang w:val="es-ES"/>
        </w:rPr>
        <w:t>. En tal sentido, la Sección Tercera ha señalado que:</w:t>
      </w:r>
    </w:p>
    <w:p w14:paraId="0E15DE06" w14:textId="77777777" w:rsidR="00985B96" w:rsidRPr="00610C8B" w:rsidRDefault="00985B96" w:rsidP="00985B96">
      <w:pPr>
        <w:spacing w:after="0" w:line="276" w:lineRule="auto"/>
        <w:ind w:firstLine="709"/>
        <w:jc w:val="both"/>
        <w:rPr>
          <w:rFonts w:ascii="Verdana" w:eastAsia="Calibri" w:hAnsi="Verdana" w:cs="Arial"/>
          <w:lang w:val="es-ES"/>
        </w:rPr>
      </w:pPr>
    </w:p>
    <w:p w14:paraId="77F34D84" w14:textId="77777777" w:rsidR="00985B96" w:rsidRPr="00610C8B" w:rsidRDefault="00985B96" w:rsidP="00985B96">
      <w:pPr>
        <w:ind w:left="709" w:right="709"/>
        <w:jc w:val="both"/>
        <w:rPr>
          <w:rFonts w:ascii="Verdana" w:eastAsia="Calibri" w:hAnsi="Verdana" w:cs="Arial"/>
          <w:sz w:val="20"/>
          <w:szCs w:val="20"/>
          <w:lang w:val="es-ES"/>
        </w:rPr>
      </w:pPr>
      <w:r w:rsidRPr="00610C8B">
        <w:rPr>
          <w:rFonts w:ascii="Verdana" w:hAnsi="Verdana" w:cs="Arial"/>
          <w:sz w:val="20"/>
          <w:szCs w:val="20"/>
          <w:lang w:val="es-ES"/>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610C8B">
        <w:rPr>
          <w:rFonts w:ascii="Verdana" w:hAnsi="Verdana" w:cs="Arial"/>
          <w:sz w:val="20"/>
          <w:szCs w:val="20"/>
          <w:vertAlign w:val="superscript"/>
          <w:lang w:val="es-ES"/>
        </w:rPr>
        <w:footnoteReference w:id="11"/>
      </w:r>
      <w:r w:rsidRPr="00610C8B">
        <w:rPr>
          <w:rFonts w:ascii="Verdana" w:hAnsi="Verdana" w:cs="Arial"/>
          <w:sz w:val="20"/>
          <w:szCs w:val="20"/>
          <w:lang w:val="es-ES"/>
        </w:rPr>
        <w:t>.</w:t>
      </w:r>
    </w:p>
    <w:p w14:paraId="4BF1A9C7" w14:textId="77777777" w:rsidR="00985B96" w:rsidRPr="00610C8B" w:rsidRDefault="00985B96" w:rsidP="00985B96">
      <w:pPr>
        <w:ind w:firstLine="709"/>
        <w:jc w:val="both"/>
        <w:rPr>
          <w:rFonts w:ascii="Verdana" w:eastAsia="Calibri" w:hAnsi="Verdana" w:cs="Arial"/>
          <w:sz w:val="20"/>
          <w:szCs w:val="20"/>
          <w:lang w:val="es-ES"/>
        </w:rPr>
      </w:pPr>
      <w:r w:rsidRPr="00610C8B">
        <w:rPr>
          <w:rFonts w:ascii="Verdana" w:eastAsia="Calibri" w:hAnsi="Verdana" w:cs="Arial"/>
          <w:sz w:val="20"/>
          <w:szCs w:val="20"/>
          <w:lang w:val="es-ES"/>
        </w:rPr>
        <w:t>También ha dicho que:</w:t>
      </w:r>
    </w:p>
    <w:p w14:paraId="110B15A2" w14:textId="77777777" w:rsidR="00985B96" w:rsidRPr="00610C8B" w:rsidRDefault="00985B96" w:rsidP="00985B96">
      <w:pPr>
        <w:spacing w:after="0"/>
        <w:ind w:left="709" w:right="709"/>
        <w:jc w:val="both"/>
        <w:rPr>
          <w:rFonts w:ascii="Verdana" w:hAnsi="Verdana" w:cs="Arial"/>
          <w:sz w:val="20"/>
          <w:szCs w:val="20"/>
          <w:lang w:val="es-ES"/>
        </w:rPr>
      </w:pPr>
      <w:r w:rsidRPr="00610C8B">
        <w:rPr>
          <w:rFonts w:ascii="Verdana" w:hAnsi="Verdana" w:cs="Arial"/>
          <w:sz w:val="20"/>
          <w:szCs w:val="20"/>
          <w:lang w:val="es-ES"/>
        </w:rPr>
        <w:t xml:space="preserve">[…] la aplicación de estos preceptos exige una interpretación restrictiva, dado que según el principio hermenéutico </w:t>
      </w:r>
      <w:r w:rsidRPr="00610C8B">
        <w:rPr>
          <w:rFonts w:ascii="Verdana" w:hAnsi="Verdana" w:cs="Arial"/>
          <w:i/>
          <w:iCs/>
          <w:sz w:val="20"/>
          <w:szCs w:val="20"/>
          <w:lang w:val="es-ES"/>
        </w:rPr>
        <w:t>pro libertate</w:t>
      </w:r>
      <w:r w:rsidRPr="00610C8B">
        <w:rPr>
          <w:rFonts w:ascii="Verdana" w:hAnsi="Verdana" w:cs="Arial"/>
          <w:sz w:val="20"/>
          <w:szCs w:val="20"/>
          <w:lang w:val="es-ES"/>
        </w:rPr>
        <w:t xml:space="preserve">, entre varias interpretaciones posibles de una norma que regula una inhabilidad, debe </w:t>
      </w:r>
      <w:r w:rsidRPr="00610C8B">
        <w:rPr>
          <w:rFonts w:ascii="Verdana" w:hAnsi="Verdana" w:cs="Arial"/>
          <w:sz w:val="20"/>
          <w:szCs w:val="20"/>
          <w:lang w:val="es-ES"/>
        </w:rPr>
        <w:lastRenderedPageBreak/>
        <w:t>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610C8B">
        <w:rPr>
          <w:rFonts w:ascii="Verdana" w:hAnsi="Verdana" w:cs="Arial"/>
          <w:sz w:val="20"/>
          <w:szCs w:val="20"/>
          <w:vertAlign w:val="superscript"/>
          <w:lang w:val="es-ES"/>
        </w:rPr>
        <w:footnoteReference w:id="12"/>
      </w:r>
      <w:r w:rsidRPr="00610C8B">
        <w:rPr>
          <w:rFonts w:ascii="Verdana" w:hAnsi="Verdana" w:cs="Arial"/>
          <w:sz w:val="20"/>
          <w:szCs w:val="20"/>
          <w:lang w:val="es-ES"/>
        </w:rPr>
        <w:t>.</w:t>
      </w:r>
    </w:p>
    <w:p w14:paraId="71498F43" w14:textId="77777777" w:rsidR="00985B96" w:rsidRPr="00610C8B" w:rsidRDefault="00985B96" w:rsidP="00985B96">
      <w:pPr>
        <w:spacing w:after="0"/>
        <w:ind w:left="709" w:right="709"/>
        <w:jc w:val="both"/>
        <w:rPr>
          <w:rFonts w:ascii="Verdana" w:eastAsia="Calibri" w:hAnsi="Verdana" w:cs="Arial"/>
          <w:lang w:val="es-ES"/>
        </w:rPr>
      </w:pPr>
    </w:p>
    <w:p w14:paraId="2E09EC03" w14:textId="77777777" w:rsidR="00985B96" w:rsidRPr="00610C8B" w:rsidRDefault="00985B96" w:rsidP="00985B96">
      <w:pPr>
        <w:spacing w:line="276" w:lineRule="auto"/>
        <w:ind w:firstLine="708"/>
        <w:jc w:val="both"/>
        <w:rPr>
          <w:rFonts w:ascii="Verdana" w:eastAsia="Calibri" w:hAnsi="Verdana" w:cs="Arial"/>
          <w:lang w:val="es-ES"/>
        </w:rPr>
      </w:pPr>
      <w:r w:rsidRPr="00610C8B">
        <w:rPr>
          <w:rFonts w:ascii="Verdana" w:eastAsia="Calibri" w:hAnsi="Verdana" w:cs="Arial"/>
          <w:lang w:val="es-ES"/>
        </w:rPr>
        <w:t xml:space="preserve">Como se aprecia, el principio </w:t>
      </w:r>
      <w:r w:rsidRPr="00610C8B">
        <w:rPr>
          <w:rFonts w:ascii="Verdana" w:eastAsia="Calibri" w:hAnsi="Verdana" w:cs="Arial"/>
          <w:i/>
          <w:iCs/>
          <w:lang w:val="es-ES"/>
        </w:rPr>
        <w:t>pro libertate</w:t>
      </w:r>
      <w:r w:rsidRPr="00610C8B">
        <w:rPr>
          <w:rFonts w:ascii="Verdana" w:eastAsia="Calibri" w:hAnsi="Verdana" w:cs="Arial"/>
          <w:lang w:val="es-ES"/>
        </w:rPr>
        <w:t xml:space="preserve"> dirige la interpretación de las disposiciones que consagran restricciones de derechos, como sucede con las causales de inhabilidad e incompatibilidad en la contratación estatal.</w:t>
      </w:r>
    </w:p>
    <w:p w14:paraId="4DAFED81" w14:textId="77777777" w:rsidR="00985B96" w:rsidRPr="00610C8B" w:rsidRDefault="00985B96" w:rsidP="00985B96">
      <w:pPr>
        <w:spacing w:line="276" w:lineRule="auto"/>
        <w:jc w:val="both"/>
        <w:rPr>
          <w:rFonts w:ascii="Verdana" w:hAnsi="Verdana" w:cs="Arial"/>
          <w:color w:val="000000"/>
        </w:rPr>
      </w:pPr>
      <w:r w:rsidRPr="00610C8B">
        <w:rPr>
          <w:rFonts w:ascii="Verdana" w:eastAsia="Calibri" w:hAnsi="Verdana" w:cs="Arial"/>
          <w:lang w:val="es-ES"/>
        </w:rPr>
        <w:tab/>
        <w:t xml:space="preserve">Ahora bien, con el propósito de resolver el interrogante planteado, resulta importante revisar lo consagrado en el </w:t>
      </w:r>
      <w:bookmarkEnd w:id="1"/>
      <w:r w:rsidRPr="00610C8B">
        <w:rPr>
          <w:rFonts w:ascii="Verdana" w:hAnsi="Verdana" w:cs="Arial"/>
          <w:color w:val="000000"/>
        </w:rPr>
        <w:t>literal j) del numeral 1 del artículo 8 de la Ley 80 de 1993 donde el legislador establece una inhabilidad que, en principio, afecta la capacidad jurídica tanto de personas naturales como de personas jurídicas, pero que, por virtud de los incisos 3 y 5 de la norma en cita, sus efectos se extienden a las sociedades de las que hagan parte dichas personas inhabilitadas solo en la medida en que detenten las calidades, no solo de representantes legales, sino de todas aquellas que señala la norma. En ese orden, resulta pertinente enlistar los sujetos a quienes aplica la inhabilidad contemplada en el literal j), así:</w:t>
      </w:r>
    </w:p>
    <w:p w14:paraId="71375377" w14:textId="77777777" w:rsidR="00985B96" w:rsidRPr="00610C8B" w:rsidRDefault="00985B96" w:rsidP="00985B96">
      <w:pPr>
        <w:spacing w:line="276" w:lineRule="auto"/>
        <w:jc w:val="both"/>
        <w:rPr>
          <w:rFonts w:ascii="Verdana" w:hAnsi="Verdana" w:cs="Arial"/>
          <w:color w:val="000000"/>
        </w:rPr>
      </w:pPr>
      <w:r w:rsidRPr="00610C8B">
        <w:rPr>
          <w:rFonts w:ascii="Verdana" w:hAnsi="Verdana" w:cs="Arial"/>
          <w:color w:val="000000"/>
        </w:rPr>
        <w:t xml:space="preserve">Inhabilidades aplicables cuando las </w:t>
      </w:r>
      <w:r w:rsidRPr="00610C8B">
        <w:rPr>
          <w:rFonts w:ascii="Verdana" w:hAnsi="Verdana" w:cs="Arial"/>
          <w:b/>
          <w:bCs/>
          <w:color w:val="000000"/>
          <w:u w:val="single"/>
        </w:rPr>
        <w:t>personas naturales</w:t>
      </w:r>
      <w:r w:rsidRPr="00610C8B">
        <w:rPr>
          <w:rFonts w:ascii="Verdana" w:hAnsi="Verdana" w:cs="Arial"/>
          <w:color w:val="000000"/>
        </w:rPr>
        <w:t>:</w:t>
      </w:r>
    </w:p>
    <w:p w14:paraId="7289E1C1" w14:textId="77777777" w:rsidR="00985B96" w:rsidRPr="00610C8B" w:rsidRDefault="00985B96" w:rsidP="00985B96">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t>Hayan sido declaradas responsables judicialmente por la comisión de delitos contra la Administración pública</w:t>
      </w:r>
    </w:p>
    <w:p w14:paraId="2EA6AE1D" w14:textId="77777777" w:rsidR="00985B96" w:rsidRPr="00610C8B" w:rsidRDefault="00985B96" w:rsidP="00985B96">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t>Hayan sido declaradas responsables judicialmente por la comisión de</w:t>
      </w:r>
      <w:r w:rsidRPr="00610C8B">
        <w:rPr>
          <w:rFonts w:ascii="Verdana" w:hAnsi="Verdana" w:cs="Arial"/>
          <w:color w:val="000000"/>
          <w:sz w:val="21"/>
          <w:szCs w:val="21"/>
        </w:rPr>
        <w:t xml:space="preserve"> </w:t>
      </w:r>
      <w:r w:rsidRPr="00610C8B">
        <w:rPr>
          <w:rFonts w:ascii="Verdana" w:hAnsi="Verdana" w:cs="Arial"/>
          <w:color w:val="000000"/>
        </w:rPr>
        <w:t>cualquiera de los delitos o faltas contempladas por la Ley 1474 de 2011 y sus normas modificatorias</w:t>
      </w:r>
    </w:p>
    <w:p w14:paraId="4B7251E5" w14:textId="77777777" w:rsidR="00985B96" w:rsidRPr="00610C8B" w:rsidRDefault="00985B96" w:rsidP="00985B96">
      <w:pPr>
        <w:pStyle w:val="Prrafodelista"/>
        <w:numPr>
          <w:ilvl w:val="0"/>
          <w:numId w:val="18"/>
        </w:numPr>
        <w:spacing w:line="276" w:lineRule="auto"/>
        <w:jc w:val="both"/>
        <w:rPr>
          <w:rFonts w:ascii="Verdana" w:hAnsi="Verdana" w:cs="Arial"/>
          <w:color w:val="000000"/>
        </w:rPr>
      </w:pPr>
      <w:r w:rsidRPr="00610C8B">
        <w:rPr>
          <w:rFonts w:ascii="Verdana" w:hAnsi="Verdana" w:cs="Arial"/>
          <w:color w:val="000000"/>
        </w:rPr>
        <w:t>Hayan sido declaradas responsables judicialmente por la comisión de cualquiera de las conductas delictivas contempladas por las convenciones o tratados de lucha contra la corrupción suscritos y ratificados por Colombia</w:t>
      </w:r>
    </w:p>
    <w:p w14:paraId="7BBCA357" w14:textId="77777777" w:rsidR="00985B96" w:rsidRPr="00610C8B" w:rsidRDefault="00985B96" w:rsidP="00985B96">
      <w:pPr>
        <w:spacing w:line="276" w:lineRule="auto"/>
        <w:ind w:firstLine="360"/>
        <w:jc w:val="both"/>
        <w:rPr>
          <w:rFonts w:ascii="Verdana" w:hAnsi="Verdana" w:cs="Arial"/>
          <w:color w:val="000000"/>
        </w:rPr>
      </w:pPr>
      <w:r w:rsidRPr="00610C8B">
        <w:rPr>
          <w:rFonts w:ascii="Verdana" w:hAnsi="Verdana" w:cs="Arial"/>
          <w:color w:val="000000"/>
        </w:rPr>
        <w:t xml:space="preserve">Inhabilidades aplicables cuando las </w:t>
      </w:r>
      <w:r w:rsidRPr="00610C8B">
        <w:rPr>
          <w:rFonts w:ascii="Verdana" w:hAnsi="Verdana" w:cs="Arial"/>
          <w:b/>
          <w:bCs/>
          <w:color w:val="000000"/>
          <w:u w:val="single"/>
        </w:rPr>
        <w:t>personas jurídicas</w:t>
      </w:r>
      <w:r w:rsidRPr="00610C8B">
        <w:rPr>
          <w:rFonts w:ascii="Verdana" w:hAnsi="Verdana" w:cs="Arial"/>
          <w:color w:val="000000"/>
        </w:rPr>
        <w:t>:</w:t>
      </w:r>
    </w:p>
    <w:p w14:paraId="0ED3490E" w14:textId="77777777" w:rsidR="00985B96" w:rsidRPr="00610C8B" w:rsidRDefault="00985B96" w:rsidP="00985B96">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t>Hayan sido declaradas responsables administrativamente por la conducta de soborno transnacional</w:t>
      </w:r>
    </w:p>
    <w:p w14:paraId="5AA648B8" w14:textId="77777777" w:rsidR="00985B96" w:rsidRPr="00610C8B" w:rsidRDefault="00985B96" w:rsidP="00985B96">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lastRenderedPageBreak/>
        <w:t>O, se les haya ordenado la suspensión de la perso</w:t>
      </w:r>
      <w:r w:rsidRPr="00610C8B">
        <w:rPr>
          <w:rFonts w:ascii="Verdana" w:hAnsi="Verdana" w:cs="Arial"/>
          <w:color w:val="000000"/>
        </w:rPr>
        <w:softHyphen/>
        <w:t>nería jurídica en los términos de ley</w:t>
      </w:r>
    </w:p>
    <w:p w14:paraId="3840A23F" w14:textId="77777777" w:rsidR="00985B96" w:rsidRPr="00610C8B" w:rsidRDefault="00985B96" w:rsidP="00985B96">
      <w:pPr>
        <w:pStyle w:val="Prrafodelista"/>
        <w:numPr>
          <w:ilvl w:val="0"/>
          <w:numId w:val="19"/>
        </w:numPr>
        <w:spacing w:line="276" w:lineRule="auto"/>
        <w:jc w:val="both"/>
        <w:rPr>
          <w:rFonts w:ascii="Verdana" w:hAnsi="Verdana" w:cs="Arial"/>
          <w:color w:val="000000"/>
        </w:rPr>
      </w:pPr>
      <w:r w:rsidRPr="00610C8B">
        <w:rPr>
          <w:rFonts w:ascii="Verdana" w:hAnsi="Verdana" w:cs="Arial"/>
          <w:color w:val="000000"/>
        </w:rPr>
        <w:t>O, sus representantes legales, ad</w:t>
      </w:r>
      <w:r w:rsidRPr="00610C8B">
        <w:rPr>
          <w:rFonts w:ascii="Verdana" w:hAnsi="Verdana" w:cs="Arial"/>
          <w:color w:val="000000"/>
        </w:rPr>
        <w:softHyphen/>
        <w:t xml:space="preserve">ministradores de hecho o de derecho, miembros de junta directiva o </w:t>
      </w:r>
      <w:r w:rsidRPr="00610C8B">
        <w:rPr>
          <w:rFonts w:ascii="Verdana" w:hAnsi="Verdana" w:cs="Arial"/>
          <w:color w:val="000000"/>
          <w:u w:val="single"/>
        </w:rPr>
        <w:t>sus socios controlantes, sus matrices, subordinadas</w:t>
      </w:r>
      <w:r w:rsidRPr="00610C8B">
        <w:rPr>
          <w:rFonts w:ascii="Verdana" w:hAnsi="Verdana" w:cs="Arial"/>
          <w:color w:val="000000"/>
        </w:rPr>
        <w:t xml:space="preserve"> y/o las sucursales de sociedades extranjeras, hayan sido beneficiados con la aplicación de un principio de oportunidad por cualquier delito contra la Administración pública o el patrimonio del Estado</w:t>
      </w:r>
    </w:p>
    <w:p w14:paraId="229D17D7" w14:textId="77777777" w:rsidR="00985B96" w:rsidRPr="00610C8B" w:rsidRDefault="00985B96" w:rsidP="00985B96">
      <w:pPr>
        <w:spacing w:line="276" w:lineRule="auto"/>
        <w:ind w:firstLine="708"/>
        <w:jc w:val="both"/>
        <w:rPr>
          <w:rFonts w:ascii="Verdana" w:hAnsi="Verdana" w:cs="Arial"/>
          <w:color w:val="000000"/>
        </w:rPr>
      </w:pPr>
      <w:r w:rsidRPr="00610C8B">
        <w:rPr>
          <w:rFonts w:ascii="Verdana" w:hAnsi="Verdana" w:cs="Arial"/>
          <w:color w:val="000000"/>
        </w:rPr>
        <w:t xml:space="preserve">Visto lo anterior, es posible afirmar dos cosas: En primer lugar, para el caso de las inhabilidades dirigidas, en principio, para las </w:t>
      </w:r>
      <w:r w:rsidRPr="00610C8B">
        <w:rPr>
          <w:rFonts w:ascii="Verdana" w:hAnsi="Verdana" w:cs="Arial"/>
          <w:b/>
          <w:bCs/>
          <w:color w:val="000000"/>
        </w:rPr>
        <w:t>personas naturales</w:t>
      </w:r>
      <w:r w:rsidRPr="00610C8B">
        <w:rPr>
          <w:rFonts w:ascii="Verdana" w:hAnsi="Verdana" w:cs="Arial"/>
          <w:color w:val="000000"/>
        </w:rPr>
        <w:t>, que se configuran como consecuencia del resultado de procesos judiciales de responsabilidad penal, disciplinaria y/o fiscal, y las cuales proceden preventivamente</w:t>
      </w:r>
      <w:r w:rsidRPr="00610C8B">
        <w:rPr>
          <w:rFonts w:ascii="Verdana" w:hAnsi="Verdana" w:cs="Arial"/>
          <w:color w:val="000000"/>
          <w:sz w:val="21"/>
          <w:szCs w:val="21"/>
        </w:rPr>
        <w:t xml:space="preserve"> </w:t>
      </w:r>
      <w:r w:rsidRPr="00610C8B">
        <w:rPr>
          <w:rFonts w:ascii="Verdana" w:hAnsi="Verdana" w:cs="Arial"/>
          <w:color w:val="000000"/>
        </w:rPr>
        <w:t xml:space="preserve">aún en los casos en los que esté pendiente la decisión sobre la impugnación de la sentencia condenatoria, </w:t>
      </w:r>
      <w:r w:rsidRPr="00610C8B">
        <w:rPr>
          <w:rFonts w:ascii="Verdana" w:hAnsi="Verdana" w:cs="Arial"/>
          <w:color w:val="000000"/>
          <w:u w:val="single"/>
        </w:rPr>
        <w:t>sus efectos se extienden a las sociedades de las que hagan parte dichas personas</w:t>
      </w:r>
      <w:r w:rsidRPr="00610C8B">
        <w:rPr>
          <w:rFonts w:ascii="Verdana" w:hAnsi="Verdana" w:cs="Arial"/>
          <w:color w:val="000000"/>
        </w:rPr>
        <w:t xml:space="preserve"> en las siguientes calidades:</w:t>
      </w:r>
    </w:p>
    <w:p w14:paraId="7FA85B7C"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 xml:space="preserve">administradores, </w:t>
      </w:r>
    </w:p>
    <w:p w14:paraId="78CA8FB7"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represen</w:t>
      </w:r>
      <w:r w:rsidRPr="00610C8B">
        <w:rPr>
          <w:rFonts w:ascii="Verdana" w:hAnsi="Verdana" w:cs="Arial"/>
          <w:color w:val="000000"/>
        </w:rPr>
        <w:softHyphen/>
        <w:t xml:space="preserve">tantes legales, </w:t>
      </w:r>
    </w:p>
    <w:p w14:paraId="0DF8606F"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 xml:space="preserve">miembros de junta directiva </w:t>
      </w:r>
    </w:p>
    <w:p w14:paraId="0C984D08"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u w:val="single"/>
        </w:rPr>
        <w:t>socios controlantes</w:t>
      </w:r>
      <w:r w:rsidRPr="00610C8B">
        <w:rPr>
          <w:rFonts w:ascii="Verdana" w:hAnsi="Verdana" w:cs="Arial"/>
          <w:color w:val="000000"/>
        </w:rPr>
        <w:t>, a sus matrices, a sus subordinadas, a los grupos empresariales a los que estas pertenezcan cuando la conducta delictiva haya sido parte de una política del grupo y a las sucursales de sociedades extranjeras, con ex</w:t>
      </w:r>
      <w:r w:rsidRPr="00610C8B">
        <w:rPr>
          <w:rFonts w:ascii="Verdana" w:hAnsi="Verdana" w:cs="Arial"/>
          <w:color w:val="000000"/>
        </w:rPr>
        <w:softHyphen/>
        <w:t xml:space="preserve">cepción de las sociedades anónimas abiertas. </w:t>
      </w:r>
    </w:p>
    <w:p w14:paraId="49CFE30E" w14:textId="77777777" w:rsidR="00985B96" w:rsidRPr="00610C8B" w:rsidRDefault="00985B96" w:rsidP="00985B96">
      <w:pPr>
        <w:spacing w:line="276" w:lineRule="auto"/>
        <w:ind w:firstLine="708"/>
        <w:jc w:val="both"/>
        <w:rPr>
          <w:rFonts w:ascii="Verdana" w:hAnsi="Verdana" w:cs="Arial"/>
          <w:color w:val="000000"/>
        </w:rPr>
      </w:pPr>
      <w:r w:rsidRPr="00610C8B">
        <w:rPr>
          <w:rFonts w:ascii="Verdana" w:hAnsi="Verdana" w:cs="Arial"/>
          <w:color w:val="000000"/>
        </w:rPr>
        <w:t>De manera que, en el evento en que un socio controlante de la sociedad interesada en participar en una convocatoria pública de selección de contratistas o que pretenda suscribir contratos con el Estado, sea objeto de alguna de las inhabilidades enlistadas, dicha inhabilidad extiende sus efectos a la sociedad, con ex</w:t>
      </w:r>
      <w:r w:rsidRPr="00610C8B">
        <w:rPr>
          <w:rFonts w:ascii="Verdana" w:hAnsi="Verdana" w:cs="Arial"/>
          <w:color w:val="000000"/>
        </w:rPr>
        <w:softHyphen/>
        <w:t>cepción de las sociedades anónimas abiertas.</w:t>
      </w:r>
    </w:p>
    <w:p w14:paraId="47465DF0" w14:textId="77777777" w:rsidR="00985B96" w:rsidRPr="00610C8B" w:rsidRDefault="00985B96" w:rsidP="00985B96">
      <w:pPr>
        <w:spacing w:line="276" w:lineRule="auto"/>
        <w:ind w:firstLine="708"/>
        <w:jc w:val="both"/>
        <w:rPr>
          <w:rFonts w:ascii="Verdana" w:hAnsi="Verdana" w:cs="Arial"/>
          <w:color w:val="000000"/>
        </w:rPr>
      </w:pPr>
      <w:r w:rsidRPr="00610C8B">
        <w:rPr>
          <w:rFonts w:ascii="Verdana" w:hAnsi="Verdana" w:cs="Arial"/>
          <w:color w:val="000000"/>
        </w:rPr>
        <w:t xml:space="preserve">En segundo lugar, para el caso de las inhabilidades dirigidas, en principio, para las personas jurídicas, que también tienen origen por procesos judiciales donde se hallen responsables penal, disciplinaria y/o fiscalmente, o procesos de naturaleza administrativa adelantados por la autoridad competente, como es el caso de la suspensión de la personería jurídica, </w:t>
      </w:r>
      <w:r w:rsidRPr="00610C8B">
        <w:rPr>
          <w:rFonts w:ascii="Verdana" w:hAnsi="Verdana" w:cs="Arial"/>
          <w:color w:val="000000"/>
          <w:u w:val="single"/>
        </w:rPr>
        <w:t>sus efectos se extienden de forma permanente a las sociedades de las que hagan parte dichas personas</w:t>
      </w:r>
      <w:r w:rsidRPr="00610C8B">
        <w:rPr>
          <w:rFonts w:ascii="Verdana" w:hAnsi="Verdana" w:cs="Arial"/>
          <w:color w:val="000000"/>
        </w:rPr>
        <w:t xml:space="preserve"> que tengan las siguientes calidades:</w:t>
      </w:r>
    </w:p>
    <w:p w14:paraId="718E8F75"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 xml:space="preserve">administradores, </w:t>
      </w:r>
    </w:p>
    <w:p w14:paraId="05228274"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t>represen</w:t>
      </w:r>
      <w:r w:rsidRPr="00610C8B">
        <w:rPr>
          <w:rFonts w:ascii="Verdana" w:hAnsi="Verdana" w:cs="Arial"/>
          <w:color w:val="000000"/>
        </w:rPr>
        <w:softHyphen/>
        <w:t xml:space="preserve">tantes legales, </w:t>
      </w:r>
    </w:p>
    <w:p w14:paraId="17F354DD"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rPr>
        <w:lastRenderedPageBreak/>
        <w:t xml:space="preserve">miembros de junta directiva </w:t>
      </w:r>
    </w:p>
    <w:p w14:paraId="6D0B6904" w14:textId="77777777" w:rsidR="00985B96" w:rsidRPr="00610C8B" w:rsidRDefault="00985B96" w:rsidP="00985B96">
      <w:pPr>
        <w:pStyle w:val="Prrafodelista"/>
        <w:numPr>
          <w:ilvl w:val="0"/>
          <w:numId w:val="20"/>
        </w:numPr>
        <w:spacing w:line="276" w:lineRule="auto"/>
        <w:jc w:val="both"/>
        <w:rPr>
          <w:rFonts w:ascii="Verdana" w:hAnsi="Verdana" w:cs="Arial"/>
          <w:color w:val="000000"/>
        </w:rPr>
      </w:pPr>
      <w:r w:rsidRPr="00610C8B">
        <w:rPr>
          <w:rFonts w:ascii="Verdana" w:hAnsi="Verdana" w:cs="Arial"/>
          <w:color w:val="000000"/>
          <w:u w:val="single"/>
        </w:rPr>
        <w:t>socios controlantes</w:t>
      </w:r>
      <w:r w:rsidRPr="00610C8B">
        <w:rPr>
          <w:rFonts w:ascii="Verdana" w:hAnsi="Verdana" w:cs="Arial"/>
          <w:color w:val="000000"/>
        </w:rPr>
        <w:t>, a sus matrices, a sus subordinadas, a los grupos empresariales a los que estas pertenezcan cuando la conducta delictiva haya sido parte de una política del grupo y a las sucursales de sociedades extranjeras, con ex</w:t>
      </w:r>
      <w:r w:rsidRPr="00610C8B">
        <w:rPr>
          <w:rFonts w:ascii="Verdana" w:hAnsi="Verdana" w:cs="Arial"/>
          <w:color w:val="000000"/>
        </w:rPr>
        <w:softHyphen/>
        <w:t xml:space="preserve">cepción de las sociedades anónimas abiertas. </w:t>
      </w:r>
    </w:p>
    <w:p w14:paraId="7458E9DF" w14:textId="77777777" w:rsidR="006F16B5" w:rsidRDefault="006F16B5" w:rsidP="006F16B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35509C4" w14:textId="7176C462" w:rsidR="00985B96" w:rsidRPr="00610C8B" w:rsidRDefault="00985B96" w:rsidP="00985B9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10C8B">
        <w:rPr>
          <w:rFonts w:ascii="Verdana" w:eastAsia="Century Gothic" w:hAnsi="Verdana" w:cs="Century Gothic"/>
          <w:b/>
          <w:bCs/>
        </w:rPr>
        <w:t>Referencias normativas, jurisprudenciales y otras fuentes:</w:t>
      </w:r>
    </w:p>
    <w:p w14:paraId="1064773A" w14:textId="77777777" w:rsidR="00985B96" w:rsidRPr="00610C8B" w:rsidRDefault="00985B96" w:rsidP="00985B96">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85B96" w:rsidRPr="00610C8B" w14:paraId="7687EB39" w14:textId="77777777" w:rsidTr="00431894">
        <w:trPr>
          <w:trHeight w:val="870"/>
        </w:trPr>
        <w:tc>
          <w:tcPr>
            <w:tcW w:w="8647" w:type="dxa"/>
          </w:tcPr>
          <w:p w14:paraId="793EA96F" w14:textId="77777777" w:rsidR="00985B96" w:rsidRPr="00610C8B" w:rsidRDefault="00985B96" w:rsidP="00985B96">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rPr>
            </w:pPr>
            <w:r w:rsidRPr="00610C8B">
              <w:rPr>
                <w:rFonts w:ascii="Verdana" w:hAnsi="Verdana" w:cs="Arial"/>
              </w:rPr>
              <w:t>Constitución Política, artículo 150</w:t>
            </w:r>
          </w:p>
          <w:p w14:paraId="73F6FE75" w14:textId="77777777" w:rsidR="00985B96" w:rsidRPr="00610C8B" w:rsidRDefault="00985B96" w:rsidP="00431894">
            <w:pPr>
              <w:pStyle w:val="Prrafodelista"/>
              <w:widowControl w:val="0"/>
              <w:tabs>
                <w:tab w:val="left" w:pos="8419"/>
              </w:tabs>
              <w:autoSpaceDE w:val="0"/>
              <w:autoSpaceDN w:val="0"/>
              <w:spacing w:before="120" w:after="120" w:line="276" w:lineRule="auto"/>
              <w:jc w:val="both"/>
              <w:rPr>
                <w:rFonts w:ascii="Verdana" w:hAnsi="Verdana" w:cs="Arial"/>
              </w:rPr>
            </w:pPr>
          </w:p>
          <w:p w14:paraId="658CC783" w14:textId="77777777" w:rsidR="00985B96" w:rsidRPr="00610C8B" w:rsidRDefault="00985B96" w:rsidP="00985B96">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rPr>
            </w:pPr>
            <w:r w:rsidRPr="00610C8B">
              <w:rPr>
                <w:rFonts w:ascii="Verdana" w:hAnsi="Verdana" w:cs="Arial"/>
              </w:rPr>
              <w:t>Ley 80 de 1993, artículo 8, literal j)</w:t>
            </w:r>
          </w:p>
          <w:p w14:paraId="64CED3EA" w14:textId="77777777" w:rsidR="00985B96" w:rsidRPr="00610C8B" w:rsidRDefault="00985B96" w:rsidP="00431894">
            <w:pPr>
              <w:pStyle w:val="Prrafodelista"/>
              <w:spacing w:before="120" w:after="120"/>
              <w:rPr>
                <w:rFonts w:ascii="Verdana" w:hAnsi="Verdana" w:cs="Arial"/>
              </w:rPr>
            </w:pPr>
          </w:p>
          <w:p w14:paraId="6DA4A45A" w14:textId="77777777" w:rsidR="00985B96" w:rsidRPr="00610C8B" w:rsidRDefault="00985B96" w:rsidP="00985B96">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lang w:val="pt-BR"/>
              </w:rPr>
            </w:pPr>
            <w:r w:rsidRPr="00610C8B">
              <w:rPr>
                <w:rFonts w:ascii="Verdana" w:hAnsi="Verdana" w:cs="Arial"/>
                <w:lang w:val="pt-BR"/>
              </w:rPr>
              <w:t>CORTE CONSTITUCIONAL. Sentencia C-1016 de 2012. M.P. Jorge Iván Palacio</w:t>
            </w:r>
          </w:p>
          <w:p w14:paraId="6042038F" w14:textId="77777777" w:rsidR="00985B96" w:rsidRPr="00610C8B" w:rsidRDefault="00985B96" w:rsidP="00431894">
            <w:pPr>
              <w:pStyle w:val="Prrafodelista"/>
              <w:spacing w:before="120" w:after="120"/>
              <w:rPr>
                <w:rFonts w:ascii="Verdana" w:hAnsi="Verdana" w:cs="Arial"/>
                <w:lang w:val="pt-BR"/>
              </w:rPr>
            </w:pPr>
          </w:p>
          <w:p w14:paraId="5F8F7052" w14:textId="77777777" w:rsidR="00985B96" w:rsidRPr="00610C8B" w:rsidRDefault="00985B96" w:rsidP="00985B96">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lang w:val="pt-BR"/>
              </w:rPr>
            </w:pPr>
            <w:r w:rsidRPr="00610C8B">
              <w:rPr>
                <w:rFonts w:ascii="Verdana" w:hAnsi="Verdana" w:cs="Arial"/>
                <w:lang w:val="pt-BR"/>
              </w:rPr>
              <w:t>CORTE CONSTITUCIONAL. Sentencia C-415 de 1994. M.P. Eduardo Cifuentes Muñoz</w:t>
            </w:r>
          </w:p>
          <w:p w14:paraId="1CD4DECB" w14:textId="77777777" w:rsidR="00985B96" w:rsidRPr="00610C8B" w:rsidRDefault="00985B96" w:rsidP="00431894">
            <w:pPr>
              <w:pStyle w:val="Prrafodelista"/>
              <w:spacing w:before="120" w:after="120"/>
              <w:rPr>
                <w:rFonts w:ascii="Verdana" w:hAnsi="Verdana" w:cs="Arial"/>
                <w:lang w:val="pt-BR"/>
              </w:rPr>
            </w:pPr>
          </w:p>
          <w:p w14:paraId="2D73E5E4" w14:textId="77777777" w:rsidR="00985B96" w:rsidRPr="00610C8B" w:rsidRDefault="00985B96" w:rsidP="00985B96">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lang w:val="en-US"/>
              </w:rPr>
            </w:pPr>
            <w:r w:rsidRPr="00610C8B">
              <w:rPr>
                <w:rFonts w:ascii="Verdana" w:hAnsi="Verdana" w:cs="Arial"/>
                <w:lang w:val="pt-BR"/>
              </w:rPr>
              <w:t xml:space="preserve">CORTE CONSTITUCIONAL. Sentencia C-780 de 2001. </w:t>
            </w:r>
            <w:r w:rsidRPr="00610C8B">
              <w:rPr>
                <w:rFonts w:ascii="Verdana" w:hAnsi="Verdana" w:cs="Arial"/>
                <w:lang w:val="en-US"/>
              </w:rPr>
              <w:t>M.P. Jaime Córdoba Triviño</w:t>
            </w:r>
          </w:p>
          <w:p w14:paraId="524734FE" w14:textId="77777777" w:rsidR="00985B96" w:rsidRPr="00610C8B" w:rsidRDefault="00985B96" w:rsidP="00431894">
            <w:pPr>
              <w:pStyle w:val="Prrafodelista"/>
              <w:spacing w:before="120" w:after="120"/>
              <w:rPr>
                <w:rFonts w:ascii="Verdana" w:hAnsi="Verdana" w:cs="Arial"/>
                <w:lang w:val="en-US"/>
              </w:rPr>
            </w:pPr>
          </w:p>
          <w:p w14:paraId="10C8D3F6" w14:textId="77777777" w:rsidR="00985B96" w:rsidRPr="00610C8B" w:rsidRDefault="00985B96" w:rsidP="00985B96">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rPr>
            </w:pPr>
            <w:r w:rsidRPr="00610C8B">
              <w:rPr>
                <w:rFonts w:ascii="Verdana" w:hAnsi="Verdana" w:cs="Arial"/>
                <w:lang w:val="pt-BR"/>
              </w:rPr>
              <w:t xml:space="preserve">CORTE CONSTITUCIONAL. Sentencia T-1039 de 2006. </w:t>
            </w:r>
            <w:r w:rsidRPr="00610C8B">
              <w:rPr>
                <w:rFonts w:ascii="Verdana" w:hAnsi="Verdana" w:cs="Arial"/>
              </w:rPr>
              <w:t>M.P. Humberto Sierra Porto. La Corte Constitucional ha mantenido este criterio en las sentencias: C-903 de 2008. M.P. Jaime Araujo Rentería; C-101 de 2018. M.P. Gloria Stella Ortiz Delgado; entre otras.</w:t>
            </w:r>
          </w:p>
          <w:p w14:paraId="03783620" w14:textId="77777777" w:rsidR="00985B96" w:rsidRPr="00610C8B" w:rsidRDefault="00985B96" w:rsidP="00431894">
            <w:pPr>
              <w:pStyle w:val="Prrafodelista"/>
              <w:spacing w:before="120" w:after="120"/>
              <w:rPr>
                <w:rFonts w:ascii="Verdana" w:hAnsi="Verdana" w:cs="Arial"/>
              </w:rPr>
            </w:pPr>
          </w:p>
          <w:p w14:paraId="35C10E1E" w14:textId="77777777" w:rsidR="00985B96" w:rsidRPr="00610C8B" w:rsidRDefault="00985B96" w:rsidP="00985B96">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rPr>
            </w:pPr>
            <w:r w:rsidRPr="00610C8B">
              <w:rPr>
                <w:rFonts w:ascii="Verdana" w:hAnsi="Verdana" w:cs="Arial"/>
              </w:rPr>
              <w:t>CONSEJO DE ESTADO. Sección Tercera. Subsección A. Sentencia del 13 de noviembre de 2013. Rad. 25.646. C.P. Mauricio Fajardo Gómez.</w:t>
            </w:r>
          </w:p>
          <w:p w14:paraId="4A4759FB" w14:textId="77777777" w:rsidR="00985B96" w:rsidRPr="00610C8B" w:rsidRDefault="00985B96" w:rsidP="00431894">
            <w:pPr>
              <w:pStyle w:val="Prrafodelista"/>
              <w:spacing w:before="120" w:after="120"/>
              <w:rPr>
                <w:rFonts w:ascii="Verdana" w:hAnsi="Verdana" w:cs="Arial"/>
              </w:rPr>
            </w:pPr>
          </w:p>
          <w:p w14:paraId="2E53DE28" w14:textId="77777777" w:rsidR="00985B96" w:rsidRPr="00610C8B" w:rsidRDefault="00985B96" w:rsidP="00985B96">
            <w:pPr>
              <w:pStyle w:val="Prrafodelista"/>
              <w:widowControl w:val="0"/>
              <w:numPr>
                <w:ilvl w:val="0"/>
                <w:numId w:val="17"/>
              </w:numPr>
              <w:tabs>
                <w:tab w:val="left" w:pos="8419"/>
              </w:tabs>
              <w:autoSpaceDE w:val="0"/>
              <w:autoSpaceDN w:val="0"/>
              <w:spacing w:before="120" w:after="120" w:line="276" w:lineRule="auto"/>
              <w:jc w:val="both"/>
              <w:rPr>
                <w:rFonts w:ascii="Verdana" w:hAnsi="Verdana" w:cs="Arial"/>
              </w:rPr>
            </w:pPr>
            <w:r w:rsidRPr="00610C8B">
              <w:rPr>
                <w:rFonts w:ascii="Verdana" w:hAnsi="Verdana" w:cs="Arial"/>
              </w:rPr>
              <w:t>CONSEJO DE ESTADO. Sala de Consulta y Servicio Civil. Concepto del 30 de abril de 2015. Exp. 2251. Consejero Ponente: Álvaro Namén Vargas.</w:t>
            </w:r>
          </w:p>
          <w:p w14:paraId="627E748E" w14:textId="77777777" w:rsidR="00985B96" w:rsidRPr="00610C8B" w:rsidRDefault="00985B96" w:rsidP="00431894">
            <w:pPr>
              <w:pStyle w:val="Prrafodelista"/>
              <w:spacing w:before="120" w:after="120"/>
              <w:rPr>
                <w:rFonts w:ascii="Verdana" w:hAnsi="Verdana" w:cs="Arial"/>
              </w:rPr>
            </w:pPr>
          </w:p>
          <w:p w14:paraId="709746E6" w14:textId="40D467D6" w:rsidR="00985B96" w:rsidRPr="00431894" w:rsidRDefault="00985B96" w:rsidP="00431894">
            <w:pPr>
              <w:pStyle w:val="Prrafodelista"/>
              <w:widowControl w:val="0"/>
              <w:numPr>
                <w:ilvl w:val="0"/>
                <w:numId w:val="17"/>
              </w:numPr>
              <w:autoSpaceDE w:val="0"/>
              <w:autoSpaceDN w:val="0"/>
              <w:spacing w:before="120" w:after="120" w:line="276" w:lineRule="auto"/>
              <w:contextualSpacing w:val="0"/>
              <w:jc w:val="both"/>
              <w:rPr>
                <w:rFonts w:ascii="Verdana" w:hAnsi="Verdana" w:cs="Arial"/>
              </w:rPr>
            </w:pPr>
            <w:r w:rsidRPr="00610C8B">
              <w:rPr>
                <w:rFonts w:ascii="Verdana" w:hAnsi="Verdana" w:cs="Arial"/>
              </w:rPr>
              <w:t>CONSEJO DE ESTADO. Sección Tercera. Subsección A. Sentencia del 24 de junio de 2015. Rad. 40.635. Consejero Ponente: Hernán Andrade Rincón (E).</w:t>
            </w:r>
            <w:r w:rsidRPr="00431894">
              <w:rPr>
                <w:rFonts w:ascii="Verdana" w:hAnsi="Verdana" w:cs="Arial"/>
                <w:color w:val="4472C4" w:themeColor="accent1"/>
              </w:rPr>
              <w:t xml:space="preserve"> </w:t>
            </w:r>
          </w:p>
        </w:tc>
      </w:tr>
    </w:tbl>
    <w:p w14:paraId="5757EBB5" w14:textId="77777777" w:rsidR="00985B96" w:rsidRPr="00610C8B" w:rsidRDefault="00985B96" w:rsidP="00985B96">
      <w:pPr>
        <w:widowControl w:val="0"/>
        <w:autoSpaceDE w:val="0"/>
        <w:autoSpaceDN w:val="0"/>
        <w:spacing w:after="0" w:line="276" w:lineRule="auto"/>
        <w:jc w:val="both"/>
        <w:rPr>
          <w:rFonts w:ascii="Verdana" w:hAnsi="Verdana" w:cs="Arial"/>
        </w:rPr>
      </w:pPr>
    </w:p>
    <w:p w14:paraId="62FA5E49" w14:textId="77777777" w:rsidR="00985B96" w:rsidRPr="00610C8B" w:rsidRDefault="00985B96" w:rsidP="00985B9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10C8B">
        <w:rPr>
          <w:rFonts w:ascii="Verdana" w:eastAsia="Century Gothic" w:hAnsi="Verdana" w:cs="Century Gothic"/>
          <w:b/>
          <w:bCs/>
        </w:rPr>
        <w:lastRenderedPageBreak/>
        <w:t>Doctrina de la Agencia Nacional de Contratación Pública:</w:t>
      </w:r>
    </w:p>
    <w:p w14:paraId="3A000710" w14:textId="77777777" w:rsidR="00985B96" w:rsidRPr="00610C8B" w:rsidRDefault="00985B96" w:rsidP="00985B96">
      <w:pPr>
        <w:widowControl w:val="0"/>
        <w:autoSpaceDE w:val="0"/>
        <w:autoSpaceDN w:val="0"/>
        <w:spacing w:after="0" w:line="276" w:lineRule="auto"/>
        <w:jc w:val="both"/>
        <w:rPr>
          <w:rFonts w:ascii="Verdana" w:hAnsi="Verdana" w:cs="Arial"/>
        </w:rPr>
      </w:pPr>
    </w:p>
    <w:p w14:paraId="2E1BC3E9" w14:textId="3FA96D0D" w:rsidR="00985B96" w:rsidRPr="00610C8B" w:rsidRDefault="00985B96" w:rsidP="00985B96">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10C8B">
        <w:rPr>
          <w:rStyle w:val="normaltextrun"/>
          <w:rFonts w:ascii="Verdana" w:hAnsi="Verdana" w:cs="Arial"/>
          <w:shd w:val="clear" w:color="auto" w:fill="FFFFFF"/>
          <w:lang w:val="es-ES"/>
        </w:rPr>
        <w:t>Sobre el régimen de inhabilidades se pronunció esta Subdirección en los conceptos</w:t>
      </w:r>
      <w:r w:rsidRPr="00610C8B">
        <w:rPr>
          <w:rStyle w:val="normaltextrun"/>
          <w:rFonts w:ascii="Verdana" w:hAnsi="Verdana" w:cs="Calibri"/>
          <w:shd w:val="clear" w:color="auto" w:fill="FFFFFF"/>
        </w:rPr>
        <w:t xml:space="preserve"> </w:t>
      </w:r>
      <w:r w:rsidRPr="00610C8B">
        <w:rPr>
          <w:rStyle w:val="normaltextrun"/>
          <w:rFonts w:ascii="Verdana" w:hAnsi="Verdana" w:cs="Arial"/>
          <w:shd w:val="clear" w:color="auto" w:fill="FFFFFF"/>
          <w:lang w:val="es-ES"/>
        </w:rPr>
        <w:t>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C-028 del 28 de febrero de 2022, C-318 del 18 de mayo de 2022, C-252 del 30 de mayo de 2022, C-175 del 4 de mayo de 2023, C-234 del 5 de julio de 2023, C-108 del 6 de agosto de 2024, C-136 del 6 de agosto de 2024, C-205 del 12 de septiembre de 2024, C-408 del 21 de agosto de 2024 y C-466 del 23 de septiembre de 2024, y C-693 del 19 de noviembre de 2024, entre otros</w:t>
      </w:r>
      <w:r w:rsidRPr="00610C8B">
        <w:rPr>
          <w:rStyle w:val="normaltextrun"/>
          <w:rFonts w:ascii="Verdana" w:hAnsi="Verdana" w:cs="Arial"/>
          <w:color w:val="7030A0"/>
          <w:shd w:val="clear" w:color="auto" w:fill="FFFFFF"/>
          <w:lang w:val="es-ES"/>
        </w:rPr>
        <w:t xml:space="preserve">. </w:t>
      </w:r>
      <w:r w:rsidRPr="00610C8B">
        <w:rPr>
          <w:rStyle w:val="normaltextrun"/>
          <w:rFonts w:ascii="Verdana" w:hAnsi="Verdana" w:cs="Arial"/>
          <w:shd w:val="clear" w:color="auto" w:fill="FFFFFF"/>
          <w:lang w:val="es-ES"/>
        </w:rPr>
        <w:t>Es</w:t>
      </w:r>
      <w:r w:rsidRPr="00610C8B">
        <w:rPr>
          <w:rFonts w:ascii="Verdana" w:hAnsi="Verdana"/>
        </w:rPr>
        <w:t>tos y otros conceptos se encuentran disponibles para consulta en el Sistema de relatoría de la Agencia, al cual se puede acceder a través del siguiente enlace:</w:t>
      </w:r>
      <w:r w:rsidRPr="00610C8B">
        <w:rPr>
          <w:rStyle w:val="normaltextrun"/>
          <w:rFonts w:ascii="Verdana" w:hAnsi="Verdana" w:cs="Arial"/>
          <w:shd w:val="clear" w:color="auto" w:fill="FFFFFF"/>
          <w:lang w:val="es-ES"/>
        </w:rPr>
        <w:t xml:space="preserve"> </w:t>
      </w:r>
      <w:hyperlink r:id="rId12" w:history="1">
        <w:r w:rsidRPr="00610C8B">
          <w:rPr>
            <w:rStyle w:val="Hipervnculo"/>
            <w:rFonts w:ascii="Verdana" w:hAnsi="Verdana" w:cs="Arial"/>
            <w:color w:val="4472C4" w:themeColor="accent1"/>
            <w:shd w:val="clear" w:color="auto" w:fill="FFFFFF"/>
            <w:lang w:val="es-ES"/>
          </w:rPr>
          <w:t>https://relatoria.colombiacompra.gov.co/busqueda/conceptos</w:t>
        </w:r>
      </w:hyperlink>
    </w:p>
    <w:p w14:paraId="7A3785FA" w14:textId="77777777" w:rsidR="00985B96" w:rsidRPr="00610C8B" w:rsidRDefault="00985B96" w:rsidP="00985B96">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FF3B683" w14:textId="77777777" w:rsidR="00D93299" w:rsidRPr="00D93299" w:rsidRDefault="00D93299" w:rsidP="00D93299">
      <w:pPr>
        <w:spacing w:after="0" w:line="276" w:lineRule="auto"/>
        <w:jc w:val="both"/>
        <w:rPr>
          <w:rFonts w:ascii="Verdana" w:hAnsi="Verdana"/>
        </w:rPr>
      </w:pPr>
      <w:r w:rsidRPr="00D93299">
        <w:rPr>
          <w:rFonts w:ascii="Verdana" w:hAnsi="Verdana"/>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D93299">
          <w:rPr>
            <w:rStyle w:val="Hipervnculo"/>
            <w:rFonts w:ascii="Verdana" w:hAnsi="Verdana"/>
          </w:rPr>
          <w:t>manual_para_el_manejo_de_acuerdos_comerciales_vf.pdf</w:t>
        </w:r>
      </w:hyperlink>
    </w:p>
    <w:p w14:paraId="302F9A7B" w14:textId="77777777" w:rsidR="00D93299" w:rsidRDefault="00D93299" w:rsidP="00D93299">
      <w:pPr>
        <w:spacing w:after="0" w:line="276" w:lineRule="auto"/>
        <w:jc w:val="both"/>
        <w:rPr>
          <w:rFonts w:ascii="Verdana" w:hAnsi="Verdana"/>
        </w:rPr>
      </w:pPr>
    </w:p>
    <w:p w14:paraId="1D281CCA" w14:textId="12465B77" w:rsidR="00D93299" w:rsidRPr="00D93299" w:rsidRDefault="00D93299" w:rsidP="00D93299">
      <w:pPr>
        <w:spacing w:after="0" w:line="276" w:lineRule="auto"/>
        <w:jc w:val="both"/>
        <w:rPr>
          <w:rFonts w:ascii="Verdana" w:hAnsi="Verdana"/>
        </w:rPr>
      </w:pPr>
      <w:r w:rsidRPr="00D93299">
        <w:rPr>
          <w:rFonts w:ascii="Verdana" w:hAnsi="Verdana"/>
        </w:rPr>
        <w:t xml:space="preserve">También le invitamos a consultar la versión VII  de 2024 , del Boletín de Relatoría de la Subdirección de Gestión Contractual relacionado con las ASOCIACIONES </w:t>
      </w:r>
      <w:r w:rsidRPr="00D93299">
        <w:rPr>
          <w:rFonts w:ascii="Verdana" w:hAnsi="Verdana"/>
        </w:rPr>
        <w:lastRenderedPageBreak/>
        <w:t>PÚBLICO POPULARES , el cual se puede descargar en la página web de la Agencia: </w:t>
      </w:r>
      <w:hyperlink r:id="rId14" w:tgtFrame="_blank" w:tooltip="Dirección URL original: https://www.colombiacompra.gov.co/sala-de-prensa/boletin-digital. Haga clic o pulse si confía en este vínculo." w:history="1">
        <w:r w:rsidRPr="00D93299">
          <w:rPr>
            <w:rStyle w:val="Hipervnculo"/>
            <w:rFonts w:ascii="Verdana" w:hAnsi="Verdana"/>
          </w:rPr>
          <w:t>https://www.colombiacompra.gov.co/sala-de-prensa/boletin-digital</w:t>
        </w:r>
      </w:hyperlink>
    </w:p>
    <w:p w14:paraId="2E3B473A" w14:textId="77777777" w:rsidR="008971EA" w:rsidRDefault="008971EA" w:rsidP="00985B96">
      <w:pPr>
        <w:spacing w:after="0" w:line="240" w:lineRule="auto"/>
        <w:jc w:val="both"/>
        <w:rPr>
          <w:rFonts w:ascii="Verdana" w:hAnsi="Verdana"/>
        </w:rPr>
      </w:pPr>
    </w:p>
    <w:p w14:paraId="6F651AB2" w14:textId="7B84BC5D" w:rsidR="00985B96" w:rsidRPr="00610C8B" w:rsidRDefault="00985B96" w:rsidP="00985B96">
      <w:pPr>
        <w:spacing w:after="0" w:line="240" w:lineRule="auto"/>
        <w:jc w:val="both"/>
        <w:rPr>
          <w:rFonts w:ascii="Verdana" w:hAnsi="Verdana"/>
        </w:rPr>
      </w:pPr>
      <w:r w:rsidRPr="00610C8B">
        <w:rPr>
          <w:rFonts w:ascii="Verdana" w:hAnsi="Verdana"/>
        </w:rPr>
        <w:t xml:space="preserve">Por último, lo invitamos a seguirnos en las redes sociales en las cuales se difunde información institucional: </w:t>
      </w:r>
    </w:p>
    <w:p w14:paraId="14BE19ED" w14:textId="77777777" w:rsidR="00985B96" w:rsidRPr="00610C8B" w:rsidRDefault="00985B96" w:rsidP="00985B96">
      <w:pPr>
        <w:spacing w:after="0" w:line="240" w:lineRule="auto"/>
        <w:jc w:val="both"/>
        <w:rPr>
          <w:rFonts w:ascii="Verdana" w:hAnsi="Verdana"/>
        </w:rPr>
      </w:pPr>
    </w:p>
    <w:p w14:paraId="5BF544EE" w14:textId="77777777" w:rsidR="00985B96" w:rsidRPr="00610C8B" w:rsidRDefault="00985B96" w:rsidP="00985B96">
      <w:pPr>
        <w:spacing w:after="0" w:line="240" w:lineRule="auto"/>
        <w:jc w:val="both"/>
        <w:rPr>
          <w:rFonts w:ascii="Verdana" w:hAnsi="Verdana"/>
        </w:rPr>
      </w:pPr>
      <w:r w:rsidRPr="00610C8B">
        <w:rPr>
          <w:rFonts w:ascii="Verdana" w:hAnsi="Verdana"/>
        </w:rPr>
        <w:t xml:space="preserve">Twitter: </w:t>
      </w:r>
      <w:r w:rsidRPr="00610C8B">
        <w:rPr>
          <w:rStyle w:val="Hipervnculo"/>
          <w:rFonts w:ascii="Verdana" w:hAnsi="Verdana"/>
          <w:color w:val="4472C4" w:themeColor="accent1"/>
        </w:rPr>
        <w:t>@colombiacompra</w:t>
      </w:r>
      <w:r w:rsidRPr="00610C8B">
        <w:rPr>
          <w:rFonts w:ascii="Verdana" w:hAnsi="Verdana"/>
          <w:color w:val="4472C4" w:themeColor="accent1"/>
        </w:rPr>
        <w:t xml:space="preserve"> </w:t>
      </w:r>
    </w:p>
    <w:p w14:paraId="6B624243" w14:textId="77777777" w:rsidR="00985B96" w:rsidRPr="00610C8B" w:rsidRDefault="00985B96" w:rsidP="00985B96">
      <w:pPr>
        <w:spacing w:after="0" w:line="240" w:lineRule="auto"/>
        <w:jc w:val="both"/>
        <w:rPr>
          <w:rFonts w:ascii="Verdana" w:hAnsi="Verdana"/>
        </w:rPr>
      </w:pPr>
      <w:r w:rsidRPr="00610C8B">
        <w:rPr>
          <w:rFonts w:ascii="Verdana" w:hAnsi="Verdana"/>
        </w:rPr>
        <w:t xml:space="preserve">Facebook: </w:t>
      </w:r>
      <w:r w:rsidRPr="00610C8B">
        <w:rPr>
          <w:rStyle w:val="Hipervnculo"/>
          <w:rFonts w:ascii="Verdana" w:hAnsi="Verdana"/>
          <w:color w:val="4472C4" w:themeColor="accent1"/>
        </w:rPr>
        <w:t>ColombiaCompraEficiente</w:t>
      </w:r>
    </w:p>
    <w:p w14:paraId="33950272" w14:textId="77777777" w:rsidR="00985B96" w:rsidRPr="00610C8B" w:rsidRDefault="00985B96" w:rsidP="00985B96">
      <w:pPr>
        <w:spacing w:after="0" w:line="240" w:lineRule="auto"/>
        <w:jc w:val="both"/>
        <w:rPr>
          <w:rFonts w:ascii="Verdana" w:hAnsi="Verdana"/>
        </w:rPr>
      </w:pPr>
      <w:r w:rsidRPr="00610C8B">
        <w:rPr>
          <w:rFonts w:ascii="Verdana" w:hAnsi="Verdana"/>
        </w:rPr>
        <w:t xml:space="preserve">LinkedIn: </w:t>
      </w:r>
      <w:r w:rsidRPr="00610C8B">
        <w:rPr>
          <w:rStyle w:val="Hipervnculo"/>
          <w:rFonts w:ascii="Verdana" w:hAnsi="Verdana"/>
          <w:color w:val="4472C4" w:themeColor="accent1"/>
        </w:rPr>
        <w:t>Agencia Nacional de Contratación Pública - Colombia Compra Eficiente</w:t>
      </w:r>
      <w:r w:rsidRPr="00610C8B">
        <w:rPr>
          <w:rFonts w:ascii="Verdana" w:hAnsi="Verdana"/>
          <w:color w:val="4472C4" w:themeColor="accent1"/>
        </w:rPr>
        <w:t xml:space="preserve"> </w:t>
      </w:r>
      <w:r w:rsidRPr="00610C8B">
        <w:rPr>
          <w:rFonts w:ascii="Verdana" w:hAnsi="Verdana"/>
        </w:rPr>
        <w:t xml:space="preserve">Instagram: </w:t>
      </w:r>
      <w:r w:rsidRPr="00610C8B">
        <w:rPr>
          <w:rStyle w:val="Hipervnculo"/>
          <w:rFonts w:ascii="Verdana" w:hAnsi="Verdana"/>
          <w:color w:val="4472C4" w:themeColor="accent1"/>
        </w:rPr>
        <w:t>@colombiacompraeficiente_cce</w:t>
      </w:r>
    </w:p>
    <w:p w14:paraId="768B9DDC" w14:textId="77777777" w:rsidR="00985B96" w:rsidRPr="00610C8B" w:rsidRDefault="00985B96" w:rsidP="00985B96">
      <w:pPr>
        <w:widowControl w:val="0"/>
        <w:autoSpaceDE w:val="0"/>
        <w:autoSpaceDN w:val="0"/>
        <w:spacing w:after="0" w:line="276" w:lineRule="auto"/>
        <w:jc w:val="both"/>
        <w:rPr>
          <w:rFonts w:ascii="Verdana" w:hAnsi="Verdana" w:cs="Arial"/>
        </w:rPr>
      </w:pPr>
    </w:p>
    <w:p w14:paraId="653407F1" w14:textId="77777777" w:rsidR="00985B96" w:rsidRPr="00610C8B" w:rsidRDefault="00985B96" w:rsidP="00985B96">
      <w:pPr>
        <w:widowControl w:val="0"/>
        <w:autoSpaceDE w:val="0"/>
        <w:autoSpaceDN w:val="0"/>
        <w:spacing w:after="0" w:line="276" w:lineRule="auto"/>
        <w:jc w:val="both"/>
        <w:rPr>
          <w:rFonts w:ascii="Verdana" w:hAnsi="Verdana" w:cs="Arial"/>
          <w:lang w:val="es-ES_tradnl"/>
        </w:rPr>
      </w:pPr>
      <w:r w:rsidRPr="00610C8B">
        <w:rPr>
          <w:rFonts w:ascii="Verdana" w:hAnsi="Verdana" w:cs="Arial"/>
        </w:rPr>
        <w:t xml:space="preserve">Este concepto tiene el alcance previsto en el artículo 28 del Código de Procedimiento Administrativo y de lo Contencioso Administrativo </w:t>
      </w:r>
      <w:r w:rsidRPr="00610C8B">
        <w:rPr>
          <w:rFonts w:ascii="Verdana" w:hAnsi="Verdana" w:cs="Arial"/>
          <w:lang w:val="es-ES_tradnl"/>
        </w:rPr>
        <w:t>y las expresiones aquí utilizadas con mayúscula inicial deben ser entendidas con el significado que les otorga el artículo 2.2.1.1.1.3.1. del Decreto 1082 de 2015.</w:t>
      </w:r>
    </w:p>
    <w:p w14:paraId="18218EAE" w14:textId="77777777" w:rsidR="00985B96" w:rsidRPr="00610C8B" w:rsidRDefault="00985B96" w:rsidP="00985B96">
      <w:pPr>
        <w:widowControl w:val="0"/>
        <w:autoSpaceDE w:val="0"/>
        <w:autoSpaceDN w:val="0"/>
        <w:spacing w:after="0" w:line="276" w:lineRule="auto"/>
        <w:jc w:val="both"/>
        <w:rPr>
          <w:rFonts w:ascii="Verdana" w:hAnsi="Verdana" w:cs="Arial"/>
        </w:rPr>
      </w:pPr>
    </w:p>
    <w:p w14:paraId="5A6B72CA" w14:textId="77777777" w:rsidR="00985B96" w:rsidRPr="00610C8B" w:rsidRDefault="00985B96" w:rsidP="00985B96">
      <w:pPr>
        <w:spacing w:after="0" w:line="240" w:lineRule="auto"/>
        <w:rPr>
          <w:rFonts w:ascii="Verdana" w:hAnsi="Verdana" w:cs="Arial"/>
          <w:lang w:eastAsia="es-CO"/>
        </w:rPr>
      </w:pPr>
      <w:r w:rsidRPr="00610C8B">
        <w:rPr>
          <w:rFonts w:ascii="Verdana" w:eastAsia="Times New Roman" w:hAnsi="Verdana" w:cs="Arial"/>
          <w:lang w:eastAsia="es-CO"/>
        </w:rPr>
        <w:t>Atentamente,</w:t>
      </w:r>
      <w:r w:rsidRPr="00610C8B">
        <w:rPr>
          <w:rFonts w:ascii="Verdana" w:hAnsi="Verdana" w:cs="Arial"/>
          <w:lang w:eastAsia="es-CO"/>
        </w:rPr>
        <w:t xml:space="preserve"> </w:t>
      </w:r>
    </w:p>
    <w:p w14:paraId="671F9775" w14:textId="1AD3BB2B" w:rsidR="00985B96" w:rsidRPr="00610C8B" w:rsidRDefault="00F22D14" w:rsidP="00985B96">
      <w:pPr>
        <w:spacing w:line="276" w:lineRule="auto"/>
        <w:jc w:val="center"/>
        <w:rPr>
          <w:rFonts w:ascii="Verdana" w:hAnsi="Verdana" w:cs="Arial"/>
          <w:color w:val="000000"/>
          <w:lang w:val="es-ES_tradnl" w:eastAsia="es-CO"/>
        </w:rPr>
      </w:pPr>
      <w:r>
        <w:rPr>
          <w:noProof/>
        </w:rPr>
        <w:drawing>
          <wp:inline distT="0" distB="0" distL="0" distR="0" wp14:anchorId="0EDD0D8D" wp14:editId="4A12CF23">
            <wp:extent cx="3771429" cy="1400000"/>
            <wp:effectExtent l="0" t="0" r="635" b="0"/>
            <wp:docPr id="115859746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97460" name="Imagen 1" descr="Texto&#10;&#10;Descripción generada automáticamente"/>
                    <pic:cNvPicPr/>
                  </pic:nvPicPr>
                  <pic:blipFill>
                    <a:blip r:embed="rId15"/>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85B96" w:rsidRPr="00610C8B" w14:paraId="08491D7F" w14:textId="77777777" w:rsidTr="00431894">
        <w:trPr>
          <w:trHeight w:val="315"/>
        </w:trPr>
        <w:tc>
          <w:tcPr>
            <w:tcW w:w="893" w:type="dxa"/>
            <w:vAlign w:val="center"/>
            <w:hideMark/>
          </w:tcPr>
          <w:p w14:paraId="420248CF" w14:textId="77777777" w:rsidR="00985B96" w:rsidRPr="00610C8B" w:rsidRDefault="00985B96" w:rsidP="00431894">
            <w:pPr>
              <w:contextualSpacing/>
              <w:rPr>
                <w:rFonts w:ascii="Verdana" w:hAnsi="Verdana" w:cs="Arial"/>
                <w:sz w:val="16"/>
                <w:szCs w:val="16"/>
                <w:lang w:val="es-ES" w:eastAsia="es-ES"/>
              </w:rPr>
            </w:pPr>
            <w:r w:rsidRPr="00610C8B">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CAFF6DA" w14:textId="77777777" w:rsidR="00985B96" w:rsidRPr="00610C8B" w:rsidRDefault="00985B96" w:rsidP="00431894">
            <w:pPr>
              <w:contextualSpacing/>
              <w:rPr>
                <w:rStyle w:val="normaltextrun"/>
                <w:rFonts w:ascii="Verdana" w:hAnsi="Verdana"/>
                <w:sz w:val="16"/>
                <w:szCs w:val="16"/>
              </w:rPr>
            </w:pPr>
            <w:r w:rsidRPr="00610C8B">
              <w:rPr>
                <w:rStyle w:val="normaltextrun"/>
                <w:rFonts w:ascii="Verdana" w:hAnsi="Verdana"/>
                <w:sz w:val="16"/>
                <w:szCs w:val="16"/>
              </w:rPr>
              <w:t>Santiago Alberto Herrera Morillo</w:t>
            </w:r>
          </w:p>
          <w:p w14:paraId="359DF83D" w14:textId="77777777" w:rsidR="00985B96" w:rsidRPr="00610C8B" w:rsidRDefault="00985B96" w:rsidP="00431894">
            <w:pPr>
              <w:contextualSpacing/>
              <w:rPr>
                <w:rFonts w:ascii="Verdana" w:eastAsia="Arial" w:hAnsi="Verdana" w:cs="Arial"/>
                <w:sz w:val="16"/>
                <w:szCs w:val="16"/>
              </w:rPr>
            </w:pPr>
            <w:r w:rsidRPr="00610C8B">
              <w:rPr>
                <w:rStyle w:val="normaltextrun"/>
                <w:rFonts w:ascii="Verdana" w:hAnsi="Verdana"/>
                <w:sz w:val="16"/>
                <w:szCs w:val="16"/>
              </w:rPr>
              <w:t xml:space="preserve">Analista T2-02 </w:t>
            </w:r>
            <w:r w:rsidRPr="00610C8B">
              <w:rPr>
                <w:rStyle w:val="normaltextrun"/>
                <w:rFonts w:ascii="Verdana" w:eastAsia="Arial" w:hAnsi="Verdana" w:cs="Arial"/>
                <w:sz w:val="16"/>
                <w:szCs w:val="16"/>
              </w:rPr>
              <w:t>de la Subdirección de Gestión Contractual</w:t>
            </w:r>
          </w:p>
        </w:tc>
      </w:tr>
      <w:tr w:rsidR="00985B96" w:rsidRPr="00610C8B" w14:paraId="22B04578" w14:textId="77777777" w:rsidTr="00431894">
        <w:trPr>
          <w:trHeight w:val="330"/>
        </w:trPr>
        <w:tc>
          <w:tcPr>
            <w:tcW w:w="893" w:type="dxa"/>
            <w:vAlign w:val="center"/>
            <w:hideMark/>
          </w:tcPr>
          <w:p w14:paraId="77FD42BC" w14:textId="77777777" w:rsidR="00985B96" w:rsidRPr="00610C8B" w:rsidRDefault="00985B96" w:rsidP="00431894">
            <w:pPr>
              <w:contextualSpacing/>
              <w:rPr>
                <w:rFonts w:ascii="Verdana" w:hAnsi="Verdana" w:cs="Arial"/>
                <w:sz w:val="16"/>
                <w:szCs w:val="16"/>
                <w:lang w:val="es-ES" w:eastAsia="es-ES"/>
              </w:rPr>
            </w:pPr>
            <w:r w:rsidRPr="00610C8B">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9F62FF1" w14:textId="77777777" w:rsidR="00985B96" w:rsidRPr="00610C8B" w:rsidRDefault="00985B96" w:rsidP="00431894">
            <w:pPr>
              <w:pStyle w:val="paragraph"/>
              <w:spacing w:after="0"/>
              <w:contextualSpacing/>
              <w:textAlignment w:val="baseline"/>
              <w:rPr>
                <w:rStyle w:val="normaltextrun"/>
                <w:rFonts w:ascii="Verdana" w:hAnsi="Verdana" w:cs="Arial"/>
                <w:sz w:val="16"/>
                <w:szCs w:val="16"/>
                <w:lang w:val="es-ES"/>
              </w:rPr>
            </w:pPr>
            <w:r w:rsidRPr="00610C8B">
              <w:rPr>
                <w:rStyle w:val="normaltextrun"/>
                <w:rFonts w:ascii="Verdana" w:hAnsi="Verdana" w:cs="Arial"/>
                <w:sz w:val="16"/>
                <w:szCs w:val="16"/>
                <w:lang w:val="es-ES"/>
              </w:rPr>
              <w:t>Ximena Ríos López</w:t>
            </w:r>
          </w:p>
          <w:p w14:paraId="0499FDF5" w14:textId="77777777" w:rsidR="00985B96" w:rsidRPr="00610C8B" w:rsidRDefault="00985B96" w:rsidP="00431894">
            <w:pPr>
              <w:pStyle w:val="paragraph"/>
              <w:spacing w:after="0"/>
              <w:contextualSpacing/>
              <w:textAlignment w:val="baseline"/>
              <w:rPr>
                <w:rFonts w:ascii="Verdana" w:hAnsi="Verdana" w:cs="Arial"/>
                <w:sz w:val="16"/>
                <w:szCs w:val="16"/>
                <w:lang w:val="es-ES"/>
              </w:rPr>
            </w:pPr>
            <w:r w:rsidRPr="00610C8B">
              <w:rPr>
                <w:rStyle w:val="normaltextrun"/>
                <w:rFonts w:ascii="Verdana" w:hAnsi="Verdana" w:cs="Arial"/>
                <w:sz w:val="16"/>
                <w:szCs w:val="16"/>
                <w:lang w:val="es-ES"/>
              </w:rPr>
              <w:t xml:space="preserve">Gestor T1-11 de la Subdirección de Gestión Contractual </w:t>
            </w:r>
          </w:p>
        </w:tc>
      </w:tr>
      <w:tr w:rsidR="00985B96" w:rsidRPr="00610C8B" w14:paraId="4141A11D" w14:textId="77777777" w:rsidTr="00431894">
        <w:trPr>
          <w:trHeight w:val="300"/>
        </w:trPr>
        <w:tc>
          <w:tcPr>
            <w:tcW w:w="893" w:type="dxa"/>
            <w:vAlign w:val="center"/>
          </w:tcPr>
          <w:p w14:paraId="5F65DF8A" w14:textId="77777777" w:rsidR="00985B96" w:rsidRPr="00610C8B" w:rsidRDefault="00985B96" w:rsidP="00431894">
            <w:pPr>
              <w:contextualSpacing/>
              <w:rPr>
                <w:rFonts w:ascii="Verdana" w:hAnsi="Verdana" w:cs="Arial"/>
                <w:sz w:val="16"/>
                <w:szCs w:val="16"/>
                <w:lang w:val="es-ES" w:eastAsia="es-ES"/>
              </w:rPr>
            </w:pPr>
            <w:r w:rsidRPr="00610C8B">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3D8DE4" w14:textId="77777777" w:rsidR="00985B96" w:rsidRPr="00610C8B" w:rsidRDefault="00985B96" w:rsidP="00431894">
            <w:pPr>
              <w:contextualSpacing/>
              <w:rPr>
                <w:rFonts w:ascii="Verdana" w:eastAsia="Calibri" w:hAnsi="Verdana" w:cs="Arial"/>
                <w:sz w:val="16"/>
                <w:szCs w:val="16"/>
                <w:lang w:val="pt-BR" w:eastAsia="es-ES"/>
              </w:rPr>
            </w:pPr>
            <w:r w:rsidRPr="00610C8B">
              <w:rPr>
                <w:rFonts w:ascii="Verdana" w:eastAsia="Calibri" w:hAnsi="Verdana" w:cs="Arial"/>
                <w:sz w:val="16"/>
                <w:szCs w:val="16"/>
                <w:lang w:val="pt-BR" w:eastAsia="es-ES"/>
              </w:rPr>
              <w:t>Carolina Quintero Gacharná</w:t>
            </w:r>
          </w:p>
          <w:p w14:paraId="6E795F15" w14:textId="77777777" w:rsidR="00985B96" w:rsidRPr="00610C8B" w:rsidRDefault="00985B96" w:rsidP="00431894">
            <w:pPr>
              <w:contextualSpacing/>
              <w:rPr>
                <w:rFonts w:ascii="Verdana" w:eastAsia="Calibri" w:hAnsi="Verdana" w:cs="Arial"/>
                <w:sz w:val="16"/>
                <w:szCs w:val="16"/>
                <w:lang w:val="pt-BR" w:eastAsia="es-ES"/>
              </w:rPr>
            </w:pPr>
            <w:r w:rsidRPr="00610C8B">
              <w:rPr>
                <w:rFonts w:ascii="Verdana" w:eastAsia="Calibri" w:hAnsi="Verdana" w:cs="Arial"/>
                <w:sz w:val="16"/>
                <w:szCs w:val="16"/>
                <w:lang w:eastAsia="es-ES"/>
              </w:rPr>
              <w:t>Subdirectora</w:t>
            </w:r>
            <w:r w:rsidRPr="00610C8B">
              <w:rPr>
                <w:rFonts w:ascii="Verdana" w:eastAsia="Calibri" w:hAnsi="Verdana" w:cs="Arial"/>
                <w:sz w:val="16"/>
                <w:szCs w:val="16"/>
                <w:lang w:val="pt-BR" w:eastAsia="es-ES"/>
              </w:rPr>
              <w:t xml:space="preserve"> de Gestión Contractual ANCP – CCE</w:t>
            </w:r>
          </w:p>
        </w:tc>
      </w:tr>
    </w:tbl>
    <w:p w14:paraId="0DCEB260" w14:textId="77777777" w:rsidR="00985B96" w:rsidRPr="00610C8B" w:rsidRDefault="00985B96" w:rsidP="00985B96">
      <w:pPr>
        <w:spacing w:after="0" w:line="240" w:lineRule="auto"/>
        <w:rPr>
          <w:rFonts w:ascii="Verdana" w:eastAsia="Times New Roman" w:hAnsi="Verdana" w:cs="Arial"/>
          <w:sz w:val="24"/>
          <w:szCs w:val="24"/>
          <w:lang w:eastAsia="es-ES"/>
        </w:rPr>
      </w:pPr>
    </w:p>
    <w:p w14:paraId="4D9DC260" w14:textId="77777777" w:rsidR="00985B96" w:rsidRPr="00610C8B" w:rsidRDefault="00985B96" w:rsidP="00985B96">
      <w:pPr>
        <w:rPr>
          <w:rFonts w:ascii="Verdana" w:hAnsi="Verdana"/>
        </w:rPr>
      </w:pPr>
    </w:p>
    <w:p w14:paraId="3900974D" w14:textId="26C613E5" w:rsidR="003D5B0D" w:rsidRPr="00610C8B" w:rsidRDefault="003D5B0D" w:rsidP="00985B96">
      <w:pPr>
        <w:rPr>
          <w:rFonts w:ascii="Verdana" w:hAnsi="Verdana"/>
        </w:rPr>
      </w:pPr>
    </w:p>
    <w:sectPr w:rsidR="003D5B0D" w:rsidRPr="00610C8B"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273EB" w14:textId="77777777" w:rsidR="00653319" w:rsidRDefault="00653319" w:rsidP="004A1847">
      <w:pPr>
        <w:spacing w:after="0" w:line="240" w:lineRule="auto"/>
      </w:pPr>
      <w:r>
        <w:separator/>
      </w:r>
    </w:p>
  </w:endnote>
  <w:endnote w:type="continuationSeparator" w:id="0">
    <w:p w14:paraId="062D8189" w14:textId="77777777" w:rsidR="00653319" w:rsidRDefault="00653319" w:rsidP="004A1847">
      <w:pPr>
        <w:spacing w:after="0" w:line="240" w:lineRule="auto"/>
      </w:pPr>
      <w:r>
        <w:continuationSeparator/>
      </w:r>
    </w:p>
  </w:endnote>
  <w:endnote w:type="continuationNotice" w:id="1">
    <w:p w14:paraId="160D189F" w14:textId="77777777" w:rsidR="00653319" w:rsidRDefault="00653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52001" w14:textId="77777777" w:rsidR="00653319" w:rsidRDefault="00653319" w:rsidP="004A1847">
      <w:pPr>
        <w:spacing w:after="0" w:line="240" w:lineRule="auto"/>
      </w:pPr>
      <w:r>
        <w:separator/>
      </w:r>
    </w:p>
  </w:footnote>
  <w:footnote w:type="continuationSeparator" w:id="0">
    <w:p w14:paraId="70DB3C3B" w14:textId="77777777" w:rsidR="00653319" w:rsidRDefault="00653319" w:rsidP="004A1847">
      <w:pPr>
        <w:spacing w:after="0" w:line="240" w:lineRule="auto"/>
      </w:pPr>
      <w:r>
        <w:continuationSeparator/>
      </w:r>
    </w:p>
  </w:footnote>
  <w:footnote w:type="continuationNotice" w:id="1">
    <w:p w14:paraId="698C6B7B" w14:textId="77777777" w:rsidR="00653319" w:rsidRDefault="00653319">
      <w:pPr>
        <w:spacing w:after="0" w:line="240" w:lineRule="auto"/>
      </w:pPr>
    </w:p>
  </w:footnote>
  <w:footnote w:id="2">
    <w:p w14:paraId="33C2C2D5" w14:textId="77777777" w:rsidR="00985B96" w:rsidRPr="00DE59D0" w:rsidRDefault="00985B96" w:rsidP="00985B96">
      <w:pPr>
        <w:pStyle w:val="Textonotapie"/>
        <w:ind w:firstLine="709"/>
        <w:jc w:val="both"/>
        <w:rPr>
          <w:rFonts w:ascii="Verdana" w:hAnsi="Verdana" w:cs="Arial"/>
          <w:sz w:val="10"/>
          <w:szCs w:val="10"/>
          <w:lang w:val="pt-BR"/>
        </w:rPr>
      </w:pPr>
      <w:r w:rsidRPr="00DE59D0">
        <w:rPr>
          <w:rStyle w:val="Refdenotaalpie"/>
          <w:rFonts w:ascii="Verdana" w:hAnsi="Verdana" w:cs="Arial"/>
          <w:sz w:val="10"/>
          <w:szCs w:val="10"/>
        </w:rPr>
        <w:footnoteRef/>
      </w:r>
      <w:r w:rsidRPr="00DE59D0">
        <w:rPr>
          <w:rFonts w:ascii="Verdana" w:hAnsi="Verdana" w:cs="Arial"/>
          <w:sz w:val="10"/>
          <w:szCs w:val="10"/>
          <w:lang w:val="pt-BR"/>
        </w:rPr>
        <w:t xml:space="preserve"> CORTE CONSTITUCIONAL. Sentencia C-1016 de 2012. M.P. Jorge Iván Palacio. </w:t>
      </w:r>
    </w:p>
    <w:p w14:paraId="51B94523" w14:textId="77777777" w:rsidR="00985B96" w:rsidRPr="00DE59D0" w:rsidRDefault="00985B96" w:rsidP="00985B96">
      <w:pPr>
        <w:pStyle w:val="Textonotapie"/>
        <w:ind w:firstLine="709"/>
        <w:jc w:val="both"/>
        <w:rPr>
          <w:rFonts w:ascii="Verdana" w:hAnsi="Verdana" w:cs="Arial"/>
          <w:sz w:val="10"/>
          <w:szCs w:val="10"/>
          <w:lang w:val="pt-BR"/>
        </w:rPr>
      </w:pPr>
    </w:p>
  </w:footnote>
  <w:footnote w:id="3">
    <w:p w14:paraId="4B9E2ECC" w14:textId="77777777" w:rsidR="00985B96" w:rsidRPr="00DE59D0" w:rsidRDefault="00985B96" w:rsidP="00985B96">
      <w:pPr>
        <w:pStyle w:val="Textonotapie"/>
        <w:ind w:firstLine="709"/>
        <w:jc w:val="both"/>
        <w:rPr>
          <w:rFonts w:ascii="Verdana" w:hAnsi="Verdana" w:cs="Arial"/>
          <w:sz w:val="10"/>
          <w:szCs w:val="10"/>
          <w:lang w:val="pt-BR"/>
        </w:rPr>
      </w:pPr>
      <w:r w:rsidRPr="00DE59D0">
        <w:rPr>
          <w:rStyle w:val="Refdenotaalpie"/>
          <w:rFonts w:ascii="Verdana" w:hAnsi="Verdana" w:cs="Arial"/>
          <w:sz w:val="10"/>
          <w:szCs w:val="10"/>
        </w:rPr>
        <w:footnoteRef/>
      </w:r>
      <w:r w:rsidRPr="00DE59D0">
        <w:rPr>
          <w:rFonts w:ascii="Verdana" w:hAnsi="Verdana" w:cs="Arial"/>
          <w:sz w:val="10"/>
          <w:szCs w:val="10"/>
        </w:rPr>
        <w:t xml:space="preserve"> CONSEJO DE ESTADO. Sección Tercera. Subsección A. Sentencia del 13 de noviembre de 2013. </w:t>
      </w:r>
      <w:r w:rsidRPr="00DE59D0">
        <w:rPr>
          <w:rFonts w:ascii="Verdana" w:hAnsi="Verdana" w:cs="Arial"/>
          <w:sz w:val="10"/>
          <w:szCs w:val="10"/>
          <w:lang w:val="pt-BR"/>
        </w:rPr>
        <w:t xml:space="preserve">Rad. 25.646. C.P. Mauricio Fajardo Gómez.  </w:t>
      </w:r>
    </w:p>
    <w:p w14:paraId="0E763535" w14:textId="77777777" w:rsidR="00985B96" w:rsidRPr="00DE59D0" w:rsidRDefault="00985B96" w:rsidP="00985B96">
      <w:pPr>
        <w:pStyle w:val="Textonotapie"/>
        <w:ind w:firstLine="709"/>
        <w:jc w:val="both"/>
        <w:rPr>
          <w:rFonts w:ascii="Verdana" w:hAnsi="Verdana" w:cs="Arial"/>
          <w:sz w:val="10"/>
          <w:szCs w:val="10"/>
          <w:lang w:val="pt-BR"/>
        </w:rPr>
      </w:pPr>
    </w:p>
  </w:footnote>
  <w:footnote w:id="4">
    <w:p w14:paraId="67E3F7B6" w14:textId="77777777" w:rsidR="00985B96" w:rsidRPr="00DE59D0" w:rsidRDefault="00985B96" w:rsidP="00985B96">
      <w:pPr>
        <w:pStyle w:val="Textonotapie"/>
        <w:ind w:firstLine="709"/>
        <w:jc w:val="both"/>
        <w:rPr>
          <w:rFonts w:ascii="Verdana" w:hAnsi="Verdana" w:cs="Arial"/>
          <w:sz w:val="10"/>
          <w:szCs w:val="10"/>
          <w:lang w:val="pt-BR"/>
        </w:rPr>
      </w:pPr>
      <w:r w:rsidRPr="00DE59D0">
        <w:rPr>
          <w:rFonts w:ascii="Verdana" w:hAnsi="Verdana" w:cs="Arial"/>
          <w:sz w:val="10"/>
          <w:szCs w:val="10"/>
          <w:vertAlign w:val="superscript"/>
        </w:rPr>
        <w:footnoteRef/>
      </w:r>
      <w:r w:rsidRPr="00DE59D0">
        <w:rPr>
          <w:rFonts w:ascii="Verdana" w:hAnsi="Verdana" w:cs="Arial"/>
          <w:sz w:val="10"/>
          <w:szCs w:val="10"/>
          <w:lang w:val="pt-BR"/>
        </w:rPr>
        <w:t xml:space="preserve"> CORTE CONSTITUCIONAL. Sentencia C-415 de 1994. M.P. Eduardo Cifuentes Muñoz. </w:t>
      </w:r>
    </w:p>
    <w:p w14:paraId="2FA2E992" w14:textId="77777777" w:rsidR="00985B96" w:rsidRPr="00DE59D0" w:rsidRDefault="00985B96" w:rsidP="00985B96">
      <w:pPr>
        <w:pStyle w:val="Textonotapie"/>
        <w:ind w:firstLine="709"/>
        <w:jc w:val="both"/>
        <w:rPr>
          <w:rFonts w:ascii="Verdana" w:hAnsi="Verdana" w:cs="Arial"/>
          <w:sz w:val="10"/>
          <w:szCs w:val="10"/>
          <w:lang w:val="pt-BR"/>
        </w:rPr>
      </w:pPr>
    </w:p>
  </w:footnote>
  <w:footnote w:id="5">
    <w:p w14:paraId="17E74176" w14:textId="77777777" w:rsidR="00985B96" w:rsidRPr="00DE59D0" w:rsidRDefault="00985B96" w:rsidP="00985B96">
      <w:pPr>
        <w:pStyle w:val="Textonotapie"/>
        <w:ind w:firstLine="709"/>
        <w:jc w:val="both"/>
        <w:rPr>
          <w:rFonts w:ascii="Verdana" w:hAnsi="Verdana" w:cs="Arial"/>
          <w:sz w:val="10"/>
          <w:szCs w:val="10"/>
          <w:lang w:val="pt-BR"/>
        </w:rPr>
      </w:pPr>
      <w:r w:rsidRPr="00DE59D0">
        <w:rPr>
          <w:rStyle w:val="Refdenotaalpie"/>
          <w:rFonts w:ascii="Verdana" w:hAnsi="Verdana" w:cs="Arial"/>
          <w:sz w:val="10"/>
          <w:szCs w:val="10"/>
        </w:rPr>
        <w:footnoteRef/>
      </w:r>
      <w:r w:rsidRPr="00DE59D0">
        <w:rPr>
          <w:rFonts w:ascii="Verdana" w:hAnsi="Verdana" w:cs="Arial"/>
          <w:sz w:val="10"/>
          <w:szCs w:val="10"/>
          <w:lang w:val="pt-BR"/>
        </w:rPr>
        <w:t xml:space="preserve"> Ibídem. </w:t>
      </w:r>
    </w:p>
    <w:p w14:paraId="1DC700EB" w14:textId="77777777" w:rsidR="00985B96" w:rsidRPr="00DE59D0" w:rsidRDefault="00985B96" w:rsidP="00985B96">
      <w:pPr>
        <w:pStyle w:val="Textonotapie"/>
        <w:ind w:firstLine="709"/>
        <w:jc w:val="both"/>
        <w:rPr>
          <w:rFonts w:ascii="Verdana" w:hAnsi="Verdana" w:cs="Arial"/>
          <w:sz w:val="10"/>
          <w:szCs w:val="10"/>
          <w:lang w:val="pt-BR"/>
        </w:rPr>
      </w:pPr>
    </w:p>
  </w:footnote>
  <w:footnote w:id="6">
    <w:p w14:paraId="767B01EC" w14:textId="77777777" w:rsidR="00985B96" w:rsidRPr="00DE59D0" w:rsidRDefault="00985B96" w:rsidP="00985B96">
      <w:pPr>
        <w:pStyle w:val="Textonotapie"/>
        <w:ind w:firstLine="709"/>
        <w:jc w:val="both"/>
        <w:rPr>
          <w:rFonts w:ascii="Verdana" w:hAnsi="Verdana" w:cs="Arial"/>
          <w:sz w:val="10"/>
          <w:szCs w:val="10"/>
        </w:rPr>
      </w:pPr>
      <w:r w:rsidRPr="00DE59D0">
        <w:rPr>
          <w:rStyle w:val="Refdenotaalpie"/>
          <w:rFonts w:ascii="Verdana" w:hAnsi="Verdana" w:cs="Arial"/>
          <w:sz w:val="10"/>
          <w:szCs w:val="10"/>
        </w:rPr>
        <w:footnoteRef/>
      </w:r>
      <w:r w:rsidRPr="00DE59D0">
        <w:rPr>
          <w:rFonts w:ascii="Verdana" w:hAnsi="Verdana" w:cs="Arial"/>
          <w:sz w:val="10"/>
          <w:szCs w:val="10"/>
          <w:lang w:val="pt-BR"/>
        </w:rPr>
        <w:t xml:space="preserve"> CORTE CONSTITUCIONAL. </w:t>
      </w:r>
      <w:r w:rsidRPr="00DE59D0">
        <w:rPr>
          <w:rFonts w:ascii="Verdana" w:hAnsi="Verdana" w:cs="Arial"/>
          <w:sz w:val="10"/>
          <w:szCs w:val="10"/>
        </w:rPr>
        <w:t xml:space="preserve">Sentencia C-780 de 2001. M.P. Jaime Córdoba Triviño. </w:t>
      </w:r>
    </w:p>
    <w:p w14:paraId="6805B0AB" w14:textId="77777777" w:rsidR="00985B96" w:rsidRPr="00DE59D0" w:rsidRDefault="00985B96" w:rsidP="00985B96">
      <w:pPr>
        <w:pStyle w:val="Textonotapie"/>
        <w:ind w:firstLine="709"/>
        <w:jc w:val="both"/>
        <w:rPr>
          <w:rFonts w:ascii="Verdana" w:hAnsi="Verdana" w:cs="Arial"/>
          <w:sz w:val="10"/>
          <w:szCs w:val="10"/>
        </w:rPr>
      </w:pPr>
    </w:p>
  </w:footnote>
  <w:footnote w:id="7">
    <w:p w14:paraId="3D578CBA"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Style w:val="Refdenotaalpie"/>
          <w:rFonts w:ascii="Verdana" w:eastAsiaTheme="majorEastAsia" w:hAnsi="Verdana" w:cs="Arial"/>
          <w:sz w:val="10"/>
          <w:szCs w:val="10"/>
        </w:rPr>
        <w:footnoteRef/>
      </w:r>
      <w:r w:rsidRPr="00DE59D0">
        <w:rPr>
          <w:rFonts w:ascii="Verdana" w:hAnsi="Verdana" w:cs="Arial"/>
          <w:sz w:val="10"/>
          <w:szCs w:val="10"/>
        </w:rPr>
        <w:t xml:space="preserve"> </w:t>
      </w:r>
      <w:r w:rsidRPr="00DE59D0">
        <w:rPr>
          <w:rFonts w:ascii="Verdana" w:eastAsiaTheme="minorHAnsi" w:hAnsi="Verdana" w:cs="Arial"/>
          <w:sz w:val="10"/>
          <w:szCs w:val="10"/>
          <w:lang w:val="es-ES" w:eastAsia="en-US"/>
        </w:rPr>
        <w:t>Ley 80 de 1993: “Artículo 8: 1o. Son inhábiles para participar en licitaciones o concursos y para celebrar contratos con las entidades estatales: </w:t>
      </w:r>
    </w:p>
    <w:p w14:paraId="62BE9808"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a) Las personas que se hallen inhabilitadas para contratar por la Constitución y las leyes. </w:t>
      </w:r>
    </w:p>
    <w:p w14:paraId="44DB4A4A"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b) Quienes participaron en las licitaciones o concursos o celebraron los contratos de que trata el literal anterior estando inhabilitados. </w:t>
      </w:r>
    </w:p>
    <w:p w14:paraId="2BBDDB7D"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c) Quienes dieron lugar a la declaratoria de caducidad. </w:t>
      </w:r>
    </w:p>
    <w:p w14:paraId="2D9A25C0"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d) Quienes en sentencia judicial hayan sido condenados a la pena accesoria de interdicción de derechos y funciones públicas y quienes hayan sido sancionados disciplinariamente con destitución. </w:t>
      </w:r>
    </w:p>
    <w:p w14:paraId="0DA6FA57"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e) Quienes sin justa causa se abstengan de suscribir el contrato estatal adjudicado. </w:t>
      </w:r>
    </w:p>
    <w:p w14:paraId="59DE88F0"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f) Los servidores públicos. </w:t>
      </w:r>
    </w:p>
    <w:p w14:paraId="493834E8"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0C527A55"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532BBE62"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i) Los socios de sociedades de personas a las cuales se haya declarado la caducidad, así como las sociedades de personas de las que aquellos formen parte con posterioridad a dicha declaratoria. </w:t>
      </w:r>
    </w:p>
    <w:p w14:paraId="50339596"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65FE691E"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6C1384A1"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DE59D0">
        <w:rPr>
          <w:rFonts w:ascii="Verdana" w:eastAsiaTheme="minorHAnsi" w:hAnsi="Verdana" w:cs="Arial"/>
          <w:sz w:val="10"/>
          <w:szCs w:val="10"/>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DE59D0">
        <w:rPr>
          <w:rFonts w:ascii="Verdana" w:eastAsiaTheme="minorHAnsi" w:hAnsi="Verdana" w:cs="Arial"/>
          <w:sz w:val="10"/>
          <w:szCs w:val="10"/>
          <w:lang w:val="es-ES" w:eastAsia="en-US"/>
        </w:rPr>
        <w:softHyphen/>
        <w:t>cepción de las sociedades anónimas abiertas. También se considerarán inhabilitadas para contratar, las personas jurídicas sobre las cuales se haya ordenado la suspensión de la perso</w:t>
      </w:r>
      <w:r w:rsidRPr="00DE59D0">
        <w:rPr>
          <w:rFonts w:ascii="Verdana" w:eastAsiaTheme="minorHAnsi" w:hAnsi="Verdana" w:cs="Arial"/>
          <w:sz w:val="10"/>
          <w:szCs w:val="10"/>
          <w:lang w:val="es-ES" w:eastAsia="en-US"/>
        </w:rPr>
        <w:softHyphen/>
        <w:t>nería jurídica en los términos de ley, o cuyos representantes legales, ad</w:t>
      </w:r>
      <w:r w:rsidRPr="00DE59D0">
        <w:rPr>
          <w:rFonts w:ascii="Verdana" w:eastAsiaTheme="minorHAnsi" w:hAnsi="Verdana" w:cs="Arial"/>
          <w:sz w:val="10"/>
          <w:szCs w:val="10"/>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DE59D0">
        <w:rPr>
          <w:rFonts w:ascii="Verdana" w:eastAsiaTheme="minorHAnsi" w:hAnsi="Verdana" w:cs="Arial"/>
          <w:sz w:val="10"/>
          <w:szCs w:val="10"/>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43D4016F"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w:t>
      </w:r>
    </w:p>
    <w:p w14:paraId="3747DD5C"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2o. Tampoco podrán participar en licitaciones o concursos ni celebrar contratos estatales con la entidad respectiva: </w:t>
      </w:r>
    </w:p>
    <w:p w14:paraId="5B03EAB0"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404F3ABA"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3A8CD4C7"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47CB9CA7"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69457BA5"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29A56600"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r w:rsidRPr="00DE59D0">
        <w:rPr>
          <w:rFonts w:ascii="Verdana" w:eastAsiaTheme="minorHAnsi" w:hAnsi="Verdana" w:cs="Arial"/>
          <w:sz w:val="10"/>
          <w:szCs w:val="10"/>
          <w:lang w:val="es-ES" w:eastAsia="en-US"/>
        </w:rPr>
        <w:t xml:space="preserve">ex empleado público. </w:t>
      </w:r>
    </w:p>
    <w:p w14:paraId="4946C78B" w14:textId="77777777" w:rsidR="00985B96" w:rsidRPr="00DE59D0" w:rsidRDefault="00985B96" w:rsidP="00985B96">
      <w:pPr>
        <w:pStyle w:val="NormalWeb"/>
        <w:spacing w:before="0" w:beforeAutospacing="0" w:after="0" w:afterAutospacing="0"/>
        <w:ind w:firstLine="709"/>
        <w:jc w:val="both"/>
        <w:rPr>
          <w:rFonts w:ascii="Verdana" w:eastAsiaTheme="minorHAnsi" w:hAnsi="Verdana" w:cs="Arial"/>
          <w:sz w:val="10"/>
          <w:szCs w:val="10"/>
          <w:lang w:val="es-ES" w:eastAsia="en-US"/>
        </w:rPr>
      </w:pPr>
      <w:r w:rsidRPr="00DE59D0">
        <w:rPr>
          <w:rFonts w:ascii="Verdana" w:eastAsiaTheme="minorHAnsi" w:hAnsi="Verdana" w:cs="Arial"/>
          <w:sz w:val="10"/>
          <w:szCs w:val="10"/>
          <w:lang w:val="es-ES" w:eastAsia="en-US"/>
        </w:rPr>
        <w:t xml:space="preserve">[…]”. </w:t>
      </w:r>
    </w:p>
  </w:footnote>
  <w:footnote w:id="8">
    <w:p w14:paraId="3B620C84" w14:textId="77777777" w:rsidR="00985B96" w:rsidRDefault="00985B96" w:rsidP="00985B96">
      <w:pPr>
        <w:pStyle w:val="Textonotapie"/>
        <w:ind w:firstLine="709"/>
        <w:jc w:val="both"/>
        <w:rPr>
          <w:rFonts w:ascii="Verdana" w:hAnsi="Verdana" w:cs="Arial"/>
          <w:sz w:val="10"/>
          <w:szCs w:val="10"/>
          <w:lang w:val="es-ES"/>
        </w:rPr>
      </w:pPr>
      <w:r w:rsidRPr="00DE59D0">
        <w:rPr>
          <w:rStyle w:val="Refdenotaalpie"/>
          <w:rFonts w:ascii="Verdana" w:hAnsi="Verdana" w:cs="Arial"/>
          <w:sz w:val="10"/>
          <w:szCs w:val="10"/>
        </w:rPr>
        <w:footnoteRef/>
      </w:r>
      <w:r w:rsidRPr="00DE59D0">
        <w:rPr>
          <w:rFonts w:ascii="Verdana" w:hAnsi="Verdana" w:cs="Arial"/>
          <w:sz w:val="10"/>
          <w:szCs w:val="10"/>
        </w:rPr>
        <w:t xml:space="preserve"> DÁVILA VINUEZA, Luis Guillermo. </w:t>
      </w:r>
      <w:r w:rsidRPr="00DE59D0">
        <w:rPr>
          <w:rFonts w:ascii="Verdana" w:hAnsi="Verdana" w:cs="Arial"/>
          <w:sz w:val="10"/>
          <w:szCs w:val="10"/>
          <w:lang w:val="es-ES"/>
        </w:rPr>
        <w:t xml:space="preserve">Régimen Jurídico De La Contratación Estatal. Recuperado de https://xperta.legis.co, Capítulo VI Inhabilidades e Incompatibilidades, Sección 2 Interpretación Restrictiva. </w:t>
      </w:r>
    </w:p>
    <w:p w14:paraId="3B8708CF" w14:textId="77777777" w:rsidR="00985B96" w:rsidRPr="00DE59D0" w:rsidRDefault="00985B96" w:rsidP="00985B96">
      <w:pPr>
        <w:pStyle w:val="Textonotapie"/>
        <w:ind w:firstLine="709"/>
        <w:jc w:val="both"/>
        <w:rPr>
          <w:rFonts w:ascii="Verdana" w:hAnsi="Verdana" w:cs="Arial"/>
          <w:sz w:val="10"/>
          <w:szCs w:val="10"/>
          <w:lang w:val="es-ES"/>
        </w:rPr>
      </w:pPr>
    </w:p>
  </w:footnote>
  <w:footnote w:id="9">
    <w:p w14:paraId="4669B368" w14:textId="77777777" w:rsidR="00985B96" w:rsidRPr="00DE59D0" w:rsidRDefault="00985B96" w:rsidP="00985B96">
      <w:pPr>
        <w:pStyle w:val="Textonotapie"/>
        <w:ind w:firstLine="709"/>
        <w:jc w:val="both"/>
        <w:rPr>
          <w:rFonts w:ascii="Verdana" w:hAnsi="Verdana" w:cs="Arial"/>
          <w:sz w:val="10"/>
          <w:szCs w:val="10"/>
          <w:lang w:val="es-ES"/>
        </w:rPr>
      </w:pPr>
      <w:r w:rsidRPr="00DE59D0">
        <w:rPr>
          <w:rStyle w:val="Refdenotaalpie"/>
          <w:rFonts w:ascii="Verdana" w:hAnsi="Verdana" w:cs="Arial"/>
          <w:sz w:val="10"/>
          <w:szCs w:val="10"/>
        </w:rPr>
        <w:footnoteRef/>
      </w:r>
      <w:r w:rsidRPr="00DE59D0">
        <w:rPr>
          <w:rFonts w:ascii="Verdana" w:hAnsi="Verdana" w:cs="Arial"/>
          <w:sz w:val="10"/>
          <w:szCs w:val="10"/>
        </w:rPr>
        <w:t xml:space="preserve"> </w:t>
      </w:r>
      <w:r w:rsidRPr="00DE59D0">
        <w:rPr>
          <w:rFonts w:ascii="Verdana" w:hAnsi="Verdana" w:cs="Arial"/>
          <w:sz w:val="10"/>
          <w:szCs w:val="10"/>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60147E30" w14:textId="77777777" w:rsidR="00985B96" w:rsidRPr="00DE59D0" w:rsidRDefault="00985B96" w:rsidP="00985B96">
      <w:pPr>
        <w:pStyle w:val="Textonotapie"/>
        <w:ind w:firstLine="709"/>
        <w:jc w:val="both"/>
        <w:rPr>
          <w:rFonts w:ascii="Verdana" w:hAnsi="Verdana" w:cs="Arial"/>
          <w:sz w:val="10"/>
          <w:szCs w:val="10"/>
          <w:lang w:val="es-ES"/>
        </w:rPr>
      </w:pPr>
    </w:p>
  </w:footnote>
  <w:footnote w:id="10">
    <w:p w14:paraId="0D39D660" w14:textId="77777777" w:rsidR="00985B96" w:rsidRPr="00DE59D0" w:rsidRDefault="00985B96" w:rsidP="00985B96">
      <w:pPr>
        <w:pStyle w:val="Textonotapie"/>
        <w:ind w:firstLine="709"/>
        <w:jc w:val="both"/>
        <w:rPr>
          <w:rFonts w:ascii="Verdana" w:hAnsi="Verdana" w:cs="Arial"/>
          <w:sz w:val="10"/>
          <w:szCs w:val="10"/>
          <w:lang w:val="es-ES"/>
        </w:rPr>
      </w:pPr>
      <w:r w:rsidRPr="00DE59D0">
        <w:rPr>
          <w:rStyle w:val="Refdenotaalpie"/>
          <w:rFonts w:ascii="Verdana" w:hAnsi="Verdana" w:cs="Arial"/>
          <w:sz w:val="10"/>
          <w:szCs w:val="10"/>
        </w:rPr>
        <w:footnoteRef/>
      </w:r>
      <w:r w:rsidRPr="00DE59D0">
        <w:rPr>
          <w:rFonts w:ascii="Verdana" w:hAnsi="Verdana" w:cs="Arial"/>
          <w:sz w:val="10"/>
          <w:szCs w:val="10"/>
        </w:rPr>
        <w:t xml:space="preserve"> </w:t>
      </w:r>
      <w:r w:rsidRPr="00DE59D0">
        <w:rPr>
          <w:rFonts w:ascii="Verdana" w:hAnsi="Verdana" w:cs="Arial"/>
          <w:sz w:val="10"/>
          <w:szCs w:val="10"/>
          <w:lang w:val="es-ES"/>
        </w:rPr>
        <w:t>CONSEJO DE ESTADO. Sala de Consulta y Servicio Civil. Concepto del 30 de abril de 2015. Exp. 2251. Consejero Ponente: Álvaro Namén Vargas.</w:t>
      </w:r>
    </w:p>
    <w:p w14:paraId="7EE1D9AB" w14:textId="77777777" w:rsidR="00985B96" w:rsidRPr="00DE59D0" w:rsidRDefault="00985B96" w:rsidP="00985B96">
      <w:pPr>
        <w:pStyle w:val="Textonotapie"/>
        <w:ind w:firstLine="709"/>
        <w:jc w:val="both"/>
        <w:rPr>
          <w:rFonts w:ascii="Verdana" w:hAnsi="Verdana" w:cs="Arial"/>
          <w:sz w:val="10"/>
          <w:szCs w:val="10"/>
          <w:lang w:val="es-ES"/>
        </w:rPr>
      </w:pPr>
    </w:p>
  </w:footnote>
  <w:footnote w:id="11">
    <w:p w14:paraId="39686930" w14:textId="77777777" w:rsidR="00985B96" w:rsidRPr="00DE59D0" w:rsidRDefault="00985B96" w:rsidP="00985B96">
      <w:pPr>
        <w:pStyle w:val="Textonotapie"/>
        <w:ind w:firstLine="709"/>
        <w:jc w:val="both"/>
        <w:rPr>
          <w:rFonts w:ascii="Verdana" w:hAnsi="Verdana" w:cs="Arial"/>
          <w:sz w:val="10"/>
          <w:szCs w:val="10"/>
        </w:rPr>
      </w:pPr>
      <w:r w:rsidRPr="00DE59D0">
        <w:rPr>
          <w:rStyle w:val="Refdenotaalpie"/>
          <w:rFonts w:ascii="Verdana" w:hAnsi="Verdana" w:cs="Arial"/>
          <w:sz w:val="10"/>
          <w:szCs w:val="10"/>
        </w:rPr>
        <w:footnoteRef/>
      </w:r>
      <w:r w:rsidRPr="00DE59D0">
        <w:rPr>
          <w:rFonts w:ascii="Verdana" w:hAnsi="Verdana" w:cs="Arial"/>
          <w:sz w:val="10"/>
          <w:szCs w:val="10"/>
        </w:rPr>
        <w:t xml:space="preserve"> CONSEJO DE ESTADO. Sección Tercera. Subsección A. Sentencia del 24 de junio de 2015. Rad. 40.635. Consejero Ponente: Hernán Andrade Rincón (E).</w:t>
      </w:r>
    </w:p>
    <w:p w14:paraId="759817D9" w14:textId="77777777" w:rsidR="00985B96" w:rsidRPr="00DE59D0" w:rsidRDefault="00985B96" w:rsidP="00985B96">
      <w:pPr>
        <w:pStyle w:val="Textonotapie"/>
        <w:ind w:firstLine="709"/>
        <w:jc w:val="both"/>
        <w:rPr>
          <w:rFonts w:ascii="Verdana" w:hAnsi="Verdana" w:cs="Arial"/>
          <w:sz w:val="10"/>
          <w:szCs w:val="10"/>
        </w:rPr>
      </w:pPr>
    </w:p>
  </w:footnote>
  <w:footnote w:id="12">
    <w:p w14:paraId="66D7CF9F" w14:textId="77777777" w:rsidR="00985B96" w:rsidRPr="00DE59D0" w:rsidRDefault="00985B96" w:rsidP="00985B96">
      <w:pPr>
        <w:pStyle w:val="Textonotapie"/>
        <w:ind w:firstLine="709"/>
        <w:jc w:val="both"/>
        <w:rPr>
          <w:rFonts w:ascii="Verdana" w:hAnsi="Verdana" w:cs="Arial"/>
          <w:sz w:val="10"/>
          <w:szCs w:val="10"/>
        </w:rPr>
      </w:pPr>
      <w:r w:rsidRPr="00DE59D0">
        <w:rPr>
          <w:rStyle w:val="Refdenotaalpie"/>
          <w:rFonts w:ascii="Verdana" w:hAnsi="Verdana" w:cs="Arial"/>
          <w:sz w:val="10"/>
          <w:szCs w:val="10"/>
        </w:rPr>
        <w:footnoteRef/>
      </w:r>
      <w:r w:rsidRPr="00DE59D0">
        <w:rPr>
          <w:rFonts w:ascii="Verdana" w:hAnsi="Verdana" w:cs="Arial"/>
          <w:sz w:val="10"/>
          <w:szCs w:val="10"/>
        </w:rPr>
        <w:t xml:space="preserve"> CONSEJO DE ESTADO. Sección Tercera. Subsección C. Sentencia del 22 de mayo de 2013. Rad. 24.057. Consejera Ponente: Olga Melida Valle De De La Hoz.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2A66549"/>
    <w:multiLevelType w:val="hybridMultilevel"/>
    <w:tmpl w:val="E5F20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917235"/>
    <w:multiLevelType w:val="hybridMultilevel"/>
    <w:tmpl w:val="77BCC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82E5D0B"/>
    <w:multiLevelType w:val="hybridMultilevel"/>
    <w:tmpl w:val="69CE7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351F1E"/>
    <w:multiLevelType w:val="multilevel"/>
    <w:tmpl w:val="E988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6"/>
  </w:num>
  <w:num w:numId="8" w16cid:durableId="152644682">
    <w:abstractNumId w:val="16"/>
  </w:num>
  <w:num w:numId="9" w16cid:durableId="1317221377">
    <w:abstractNumId w:val="9"/>
  </w:num>
  <w:num w:numId="10" w16cid:durableId="1471245386">
    <w:abstractNumId w:val="15"/>
  </w:num>
  <w:num w:numId="11" w16cid:durableId="289172385">
    <w:abstractNumId w:val="10"/>
  </w:num>
  <w:num w:numId="12" w16cid:durableId="1470781324">
    <w:abstractNumId w:val="1"/>
  </w:num>
  <w:num w:numId="13" w16cid:durableId="1512908409">
    <w:abstractNumId w:val="4"/>
  </w:num>
  <w:num w:numId="14" w16cid:durableId="895897244">
    <w:abstractNumId w:val="18"/>
  </w:num>
  <w:num w:numId="15" w16cid:durableId="390349800">
    <w:abstractNumId w:val="14"/>
  </w:num>
  <w:num w:numId="16" w16cid:durableId="341274352">
    <w:abstractNumId w:val="0"/>
  </w:num>
  <w:num w:numId="17" w16cid:durableId="679089576">
    <w:abstractNumId w:val="11"/>
  </w:num>
  <w:num w:numId="18" w16cid:durableId="803348058">
    <w:abstractNumId w:val="3"/>
  </w:num>
  <w:num w:numId="19" w16cid:durableId="585380331">
    <w:abstractNumId w:val="8"/>
  </w:num>
  <w:num w:numId="20" w16cid:durableId="1845976979">
    <w:abstractNumId w:val="12"/>
  </w:num>
  <w:num w:numId="21" w16cid:durableId="15418936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0B20"/>
    <w:rsid w:val="00042E58"/>
    <w:rsid w:val="00046945"/>
    <w:rsid w:val="00056027"/>
    <w:rsid w:val="00061B2A"/>
    <w:rsid w:val="00082362"/>
    <w:rsid w:val="000A683E"/>
    <w:rsid w:val="000B0C61"/>
    <w:rsid w:val="000B19B9"/>
    <w:rsid w:val="000D0334"/>
    <w:rsid w:val="000E01C0"/>
    <w:rsid w:val="000F6486"/>
    <w:rsid w:val="00125105"/>
    <w:rsid w:val="00127233"/>
    <w:rsid w:val="001511A0"/>
    <w:rsid w:val="001B7D27"/>
    <w:rsid w:val="001E4177"/>
    <w:rsid w:val="001F7C1B"/>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277A6"/>
    <w:rsid w:val="003448F4"/>
    <w:rsid w:val="00374F5E"/>
    <w:rsid w:val="00377E3E"/>
    <w:rsid w:val="003A779E"/>
    <w:rsid w:val="003D0F4D"/>
    <w:rsid w:val="003D5B0D"/>
    <w:rsid w:val="003E0499"/>
    <w:rsid w:val="003F3941"/>
    <w:rsid w:val="00405A31"/>
    <w:rsid w:val="00406575"/>
    <w:rsid w:val="00414C74"/>
    <w:rsid w:val="0042722E"/>
    <w:rsid w:val="00431894"/>
    <w:rsid w:val="0044528D"/>
    <w:rsid w:val="00496678"/>
    <w:rsid w:val="004A1847"/>
    <w:rsid w:val="004A305D"/>
    <w:rsid w:val="004F21C4"/>
    <w:rsid w:val="004F685F"/>
    <w:rsid w:val="0050240E"/>
    <w:rsid w:val="00546F93"/>
    <w:rsid w:val="005566E8"/>
    <w:rsid w:val="00574867"/>
    <w:rsid w:val="00591460"/>
    <w:rsid w:val="005B3816"/>
    <w:rsid w:val="005C3777"/>
    <w:rsid w:val="005C5CDC"/>
    <w:rsid w:val="005D476C"/>
    <w:rsid w:val="00610C8B"/>
    <w:rsid w:val="006219F8"/>
    <w:rsid w:val="00645B2A"/>
    <w:rsid w:val="00653319"/>
    <w:rsid w:val="00665D70"/>
    <w:rsid w:val="006900D9"/>
    <w:rsid w:val="00695A64"/>
    <w:rsid w:val="006C013C"/>
    <w:rsid w:val="006F16B5"/>
    <w:rsid w:val="006F1A3E"/>
    <w:rsid w:val="00706C16"/>
    <w:rsid w:val="00721C7B"/>
    <w:rsid w:val="00756841"/>
    <w:rsid w:val="007649AB"/>
    <w:rsid w:val="00771D0C"/>
    <w:rsid w:val="007833AC"/>
    <w:rsid w:val="007B268C"/>
    <w:rsid w:val="007B7171"/>
    <w:rsid w:val="007C0C0F"/>
    <w:rsid w:val="007C3DC2"/>
    <w:rsid w:val="007E5497"/>
    <w:rsid w:val="00806F5F"/>
    <w:rsid w:val="00807F17"/>
    <w:rsid w:val="00820278"/>
    <w:rsid w:val="00867F95"/>
    <w:rsid w:val="008843B6"/>
    <w:rsid w:val="00891928"/>
    <w:rsid w:val="008971EA"/>
    <w:rsid w:val="008A0528"/>
    <w:rsid w:val="008A446D"/>
    <w:rsid w:val="008B06CC"/>
    <w:rsid w:val="008C39B7"/>
    <w:rsid w:val="008C7454"/>
    <w:rsid w:val="008D180B"/>
    <w:rsid w:val="008F0EA7"/>
    <w:rsid w:val="008F323C"/>
    <w:rsid w:val="00923EEF"/>
    <w:rsid w:val="009419F9"/>
    <w:rsid w:val="0095685E"/>
    <w:rsid w:val="00961B09"/>
    <w:rsid w:val="00965334"/>
    <w:rsid w:val="0097093E"/>
    <w:rsid w:val="00971055"/>
    <w:rsid w:val="00985B96"/>
    <w:rsid w:val="00986AC5"/>
    <w:rsid w:val="009A0DFA"/>
    <w:rsid w:val="009B2D26"/>
    <w:rsid w:val="009C71FA"/>
    <w:rsid w:val="009C72E7"/>
    <w:rsid w:val="009D3058"/>
    <w:rsid w:val="009F3A13"/>
    <w:rsid w:val="00A122D3"/>
    <w:rsid w:val="00A17F13"/>
    <w:rsid w:val="00A20739"/>
    <w:rsid w:val="00A33C78"/>
    <w:rsid w:val="00A348CA"/>
    <w:rsid w:val="00AB0ADB"/>
    <w:rsid w:val="00B01B1A"/>
    <w:rsid w:val="00B5615F"/>
    <w:rsid w:val="00B66319"/>
    <w:rsid w:val="00B72CD3"/>
    <w:rsid w:val="00B72FFF"/>
    <w:rsid w:val="00BC3D36"/>
    <w:rsid w:val="00BD7F72"/>
    <w:rsid w:val="00C04FB3"/>
    <w:rsid w:val="00C330EB"/>
    <w:rsid w:val="00C41061"/>
    <w:rsid w:val="00C754BE"/>
    <w:rsid w:val="00C76B1C"/>
    <w:rsid w:val="00C90551"/>
    <w:rsid w:val="00CB6357"/>
    <w:rsid w:val="00CC121C"/>
    <w:rsid w:val="00CC1B26"/>
    <w:rsid w:val="00D423A2"/>
    <w:rsid w:val="00D520D8"/>
    <w:rsid w:val="00D52CED"/>
    <w:rsid w:val="00D56266"/>
    <w:rsid w:val="00D63AC2"/>
    <w:rsid w:val="00D7383B"/>
    <w:rsid w:val="00D93299"/>
    <w:rsid w:val="00DA231B"/>
    <w:rsid w:val="00DC39FC"/>
    <w:rsid w:val="00DC4CE3"/>
    <w:rsid w:val="00DF5254"/>
    <w:rsid w:val="00E16408"/>
    <w:rsid w:val="00E20894"/>
    <w:rsid w:val="00E245AB"/>
    <w:rsid w:val="00E2764C"/>
    <w:rsid w:val="00E27F2E"/>
    <w:rsid w:val="00E47D5D"/>
    <w:rsid w:val="00E50AFE"/>
    <w:rsid w:val="00E75C92"/>
    <w:rsid w:val="00E771DC"/>
    <w:rsid w:val="00E8772A"/>
    <w:rsid w:val="00E90F6B"/>
    <w:rsid w:val="00E92C27"/>
    <w:rsid w:val="00E962B7"/>
    <w:rsid w:val="00EA0E3D"/>
    <w:rsid w:val="00EC38A7"/>
    <w:rsid w:val="00ED7384"/>
    <w:rsid w:val="00EE1AA8"/>
    <w:rsid w:val="00EF20CE"/>
    <w:rsid w:val="00F07318"/>
    <w:rsid w:val="00F22D14"/>
    <w:rsid w:val="00F31EDC"/>
    <w:rsid w:val="00F462B3"/>
    <w:rsid w:val="00F5664F"/>
    <w:rsid w:val="00F666C4"/>
    <w:rsid w:val="00F76AFC"/>
    <w:rsid w:val="00F918B8"/>
    <w:rsid w:val="00FA47C0"/>
    <w:rsid w:val="00FB5DD1"/>
    <w:rsid w:val="00FC2B5D"/>
    <w:rsid w:val="00FE0A02"/>
    <w:rsid w:val="00FF1449"/>
    <w:rsid w:val="00FF23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6013E56-4774-4E63-919F-F48CBC6A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85B96"/>
    <w:pPr>
      <w:spacing w:line="240" w:lineRule="exact"/>
    </w:pPr>
    <w:rPr>
      <w:vertAlign w:val="superscript"/>
    </w:rPr>
  </w:style>
  <w:style w:type="character" w:styleId="Refdecomentario">
    <w:name w:val="annotation reference"/>
    <w:basedOn w:val="Fuentedeprrafopredeter"/>
    <w:uiPriority w:val="99"/>
    <w:semiHidden/>
    <w:unhideWhenUsed/>
    <w:rsid w:val="00985B96"/>
    <w:rPr>
      <w:sz w:val="16"/>
      <w:szCs w:val="16"/>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85B96"/>
    <w:rPr>
      <w:rFonts w:ascii="Geomanist Light" w:hAnsi="Geomanist Light"/>
      <w:lang w:val="es-ES"/>
    </w:rPr>
  </w:style>
  <w:style w:type="paragraph" w:styleId="Sinespaciado">
    <w:name w:val="No Spacing"/>
    <w:aliases w:val="No Indent"/>
    <w:uiPriority w:val="3"/>
    <w:qFormat/>
    <w:rsid w:val="00985B96"/>
    <w:pPr>
      <w:spacing w:after="0" w:line="240" w:lineRule="auto"/>
    </w:pPr>
    <w:rPr>
      <w:sz w:val="24"/>
      <w:lang w:val="es-MX"/>
    </w:rPr>
  </w:style>
  <w:style w:type="paragraph" w:styleId="Textocomentario">
    <w:name w:val="annotation text"/>
    <w:basedOn w:val="Normal"/>
    <w:link w:val="TextocomentarioCar"/>
    <w:uiPriority w:val="99"/>
    <w:unhideWhenUsed/>
    <w:rsid w:val="008F323C"/>
    <w:pPr>
      <w:spacing w:line="240" w:lineRule="auto"/>
    </w:pPr>
    <w:rPr>
      <w:sz w:val="20"/>
      <w:szCs w:val="20"/>
    </w:rPr>
  </w:style>
  <w:style w:type="character" w:customStyle="1" w:styleId="TextocomentarioCar">
    <w:name w:val="Texto comentario Car"/>
    <w:basedOn w:val="Fuentedeprrafopredeter"/>
    <w:link w:val="Textocomentario"/>
    <w:uiPriority w:val="99"/>
    <w:rsid w:val="008F323C"/>
    <w:rPr>
      <w:sz w:val="20"/>
      <w:szCs w:val="20"/>
    </w:rPr>
  </w:style>
  <w:style w:type="paragraph" w:styleId="Asuntodelcomentario">
    <w:name w:val="annotation subject"/>
    <w:basedOn w:val="Textocomentario"/>
    <w:next w:val="Textocomentario"/>
    <w:link w:val="AsuntodelcomentarioCar"/>
    <w:uiPriority w:val="99"/>
    <w:semiHidden/>
    <w:unhideWhenUsed/>
    <w:rsid w:val="008F323C"/>
    <w:rPr>
      <w:b/>
      <w:bCs/>
    </w:rPr>
  </w:style>
  <w:style w:type="character" w:customStyle="1" w:styleId="AsuntodelcomentarioCar">
    <w:name w:val="Asunto del comentario Car"/>
    <w:basedOn w:val="TextocomentarioCar"/>
    <w:link w:val="Asuntodelcomentario"/>
    <w:uiPriority w:val="99"/>
    <w:semiHidden/>
    <w:rsid w:val="008F3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5590">
      <w:bodyDiv w:val="1"/>
      <w:marLeft w:val="0"/>
      <w:marRight w:val="0"/>
      <w:marTop w:val="0"/>
      <w:marBottom w:val="0"/>
      <w:divBdr>
        <w:top w:val="none" w:sz="0" w:space="0" w:color="auto"/>
        <w:left w:val="none" w:sz="0" w:space="0" w:color="auto"/>
        <w:bottom w:val="none" w:sz="0" w:space="0" w:color="auto"/>
        <w:right w:val="none" w:sz="0" w:space="0" w:color="auto"/>
      </w:divBdr>
      <w:divsChild>
        <w:div w:id="548493518">
          <w:marLeft w:val="0"/>
          <w:marRight w:val="0"/>
          <w:marTop w:val="240"/>
          <w:marBottom w:val="240"/>
          <w:divBdr>
            <w:top w:val="none" w:sz="0" w:space="0" w:color="auto"/>
            <w:left w:val="none" w:sz="0" w:space="0" w:color="auto"/>
            <w:bottom w:val="none" w:sz="0" w:space="0" w:color="auto"/>
            <w:right w:val="none" w:sz="0" w:space="0" w:color="auto"/>
          </w:divBdr>
        </w:div>
        <w:div w:id="1159465293">
          <w:marLeft w:val="0"/>
          <w:marRight w:val="0"/>
          <w:marTop w:val="240"/>
          <w:marBottom w:val="240"/>
          <w:divBdr>
            <w:top w:val="none" w:sz="0" w:space="0" w:color="auto"/>
            <w:left w:val="none" w:sz="0" w:space="0" w:color="auto"/>
            <w:bottom w:val="none" w:sz="0" w:space="0" w:color="auto"/>
            <w:right w:val="none" w:sz="0" w:space="0" w:color="auto"/>
          </w:divBdr>
        </w:div>
        <w:div w:id="1339648870">
          <w:marLeft w:val="0"/>
          <w:marRight w:val="0"/>
          <w:marTop w:val="240"/>
          <w:marBottom w:val="240"/>
          <w:divBdr>
            <w:top w:val="none" w:sz="0" w:space="0" w:color="auto"/>
            <w:left w:val="none" w:sz="0" w:space="0" w:color="auto"/>
            <w:bottom w:val="none" w:sz="0" w:space="0" w:color="auto"/>
            <w:right w:val="none" w:sz="0" w:space="0" w:color="auto"/>
          </w:divBdr>
        </w:div>
        <w:div w:id="1881630934">
          <w:marLeft w:val="0"/>
          <w:marRight w:val="0"/>
          <w:marTop w:val="240"/>
          <w:marBottom w:val="24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872067747">
      <w:bodyDiv w:val="1"/>
      <w:marLeft w:val="0"/>
      <w:marRight w:val="0"/>
      <w:marTop w:val="0"/>
      <w:marBottom w:val="0"/>
      <w:divBdr>
        <w:top w:val="none" w:sz="0" w:space="0" w:color="auto"/>
        <w:left w:val="none" w:sz="0" w:space="0" w:color="auto"/>
        <w:bottom w:val="none" w:sz="0" w:space="0" w:color="auto"/>
        <w:right w:val="none" w:sz="0" w:space="0" w:color="auto"/>
      </w:divBdr>
      <w:divsChild>
        <w:div w:id="258686116">
          <w:marLeft w:val="0"/>
          <w:marRight w:val="0"/>
          <w:marTop w:val="240"/>
          <w:marBottom w:val="240"/>
          <w:divBdr>
            <w:top w:val="none" w:sz="0" w:space="0" w:color="auto"/>
            <w:left w:val="none" w:sz="0" w:space="0" w:color="auto"/>
            <w:bottom w:val="none" w:sz="0" w:space="0" w:color="auto"/>
            <w:right w:val="none" w:sz="0" w:space="0" w:color="auto"/>
          </w:divBdr>
        </w:div>
        <w:div w:id="1333414062">
          <w:marLeft w:val="0"/>
          <w:marRight w:val="0"/>
          <w:marTop w:val="240"/>
          <w:marBottom w:val="240"/>
          <w:divBdr>
            <w:top w:val="none" w:sz="0" w:space="0" w:color="auto"/>
            <w:left w:val="none" w:sz="0" w:space="0" w:color="auto"/>
            <w:bottom w:val="none" w:sz="0" w:space="0" w:color="auto"/>
            <w:right w:val="none" w:sz="0" w:space="0" w:color="auto"/>
          </w:divBdr>
        </w:div>
        <w:div w:id="1345942548">
          <w:marLeft w:val="0"/>
          <w:marRight w:val="0"/>
          <w:marTop w:val="240"/>
          <w:marBottom w:val="240"/>
          <w:divBdr>
            <w:top w:val="none" w:sz="0" w:space="0" w:color="auto"/>
            <w:left w:val="none" w:sz="0" w:space="0" w:color="auto"/>
            <w:bottom w:val="none" w:sz="0" w:space="0" w:color="auto"/>
            <w:right w:val="none" w:sz="0" w:space="0" w:color="auto"/>
          </w:divBdr>
        </w:div>
        <w:div w:id="2138258793">
          <w:marLeft w:val="0"/>
          <w:marRight w:val="0"/>
          <w:marTop w:val="240"/>
          <w:marBottom w:val="24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awil4@gmail.co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D3C23518-2AA6-4FA8-8EE5-8DBB0F0D8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5035</Words>
  <Characters>27696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32666</CharactersWithSpaces>
  <SharedDoc>false</SharedDoc>
  <HLinks>
    <vt:vector size="24" baseType="variant">
      <vt:variant>
        <vt:i4>2818171</vt:i4>
      </vt:variant>
      <vt:variant>
        <vt:i4>9</vt:i4>
      </vt:variant>
      <vt:variant>
        <vt:i4>0</vt:i4>
      </vt:variant>
      <vt:variant>
        <vt:i4>5</vt:i4>
      </vt:variant>
      <vt:variant>
        <vt:lpwstr>https://nam02.safelinks.protection.outlook.com/?url=https%3A%2F%2Fwww.colombiacompra.gov.co%2Fsala-de-prensa%2Fboletin-digital&amp;data=05%7C02%7Cximena.rios%40colombiacompra.gov.co%7C6192b0470d324981a09708dd0a6c28db%7C7b09041e245149d08cb179d5e3d8c1be%7C0%7C0%7C638678181873731554%7CUnknown%7CTWFpbGZsb3d8eyJFbXB0eU1hcGkiOnRydWUsIlYiOiIwLjAuMDAwMCIsIlAiOiJXaW4zMiIsIkFOIjoiTWFpbCIsIldUIjoyfQ%3D%3D%7C0%7C%7C%7C&amp;sdata=fMPgdsOWhADZlqGGOVDCexWpmOT6zzL6qchUFiD6Nd8%3D&amp;reserved=0</vt:lpwstr>
      </vt:variant>
      <vt:variant>
        <vt:lpwstr/>
      </vt:variant>
      <vt:variant>
        <vt:i4>2424847</vt:i4>
      </vt:variant>
      <vt:variant>
        <vt:i4>6</vt:i4>
      </vt:variant>
      <vt:variant>
        <vt:i4>0</vt:i4>
      </vt:variant>
      <vt:variant>
        <vt:i4>5</vt:i4>
      </vt:variant>
      <vt:variant>
        <vt:lpwstr>https://nam02.safelinks.protection.outlook.com/?url=https%3A%2F%2Fwww.colombiacompra.gov.co%2Fsites%2Fcce_public%2Ffiles%2Fcce_documents%2Fmanual_para_el_manejo_de_acuerdos_comerciales_vf.pdf&amp;data=05%7C02%7Cximena.rios%40colombiacompra.gov.co%7C6192b0470d324981a09708dd0a6c28db%7C7b09041e245149d08cb179d5e3d8c1be%7C0%7C0%7C638678181873662657%7CUnknown%7CTWFpbGZsb3d8eyJFbXB0eU1hcGkiOnRydWUsIlYiOiIwLjAuMDAwMCIsIlAiOiJXaW4zMiIsIkFOIjoiTWFpbCIsIldUIjoyfQ%3D%3D%7C0%7C%7C%7C&amp;sdata=tXt%2FvLKMV%2Fuf0BVO%2BSS%2BLWK6HcsvZXW8UPhbU9l72hk%3D&amp;reserved=0</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5963834</vt:i4>
      </vt:variant>
      <vt:variant>
        <vt:i4>0</vt:i4>
      </vt:variant>
      <vt:variant>
        <vt:i4>0</vt:i4>
      </vt:variant>
      <vt:variant>
        <vt:i4>5</vt:i4>
      </vt:variant>
      <vt:variant>
        <vt:lpwstr>mailto:anawil4@gmail.com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30</cp:revision>
  <cp:lastPrinted>2023-01-11T00:18:00Z</cp:lastPrinted>
  <dcterms:created xsi:type="dcterms:W3CDTF">2024-11-20T01:25:00Z</dcterms:created>
  <dcterms:modified xsi:type="dcterms:W3CDTF">2025-01-08T16:07:00Z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