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6DC3F" w14:textId="77777777" w:rsidR="009B7ADD" w:rsidRPr="00282ED1" w:rsidRDefault="009B7ADD" w:rsidP="009B7ADD">
      <w:pPr>
        <w:spacing w:before="120" w:after="120" w:line="276" w:lineRule="auto"/>
        <w:jc w:val="both"/>
        <w:rPr>
          <w:rFonts w:ascii="Verdana" w:eastAsia="Times New Roman" w:hAnsi="Verdana" w:cs="Arial"/>
          <w:b/>
          <w:bCs/>
          <w:bdr w:val="none" w:sz="0" w:space="0" w:color="auto" w:frame="1"/>
          <w:lang w:val="es-ES" w:eastAsia="es-ES_tradnl"/>
        </w:rPr>
      </w:pPr>
      <w:r w:rsidRPr="00282ED1">
        <w:rPr>
          <w:rFonts w:ascii="Verdana" w:eastAsia="Times New Roman" w:hAnsi="Verdana" w:cs="Arial"/>
          <w:b/>
          <w:bCs/>
          <w:bdr w:val="none" w:sz="0" w:space="0" w:color="auto" w:frame="1"/>
          <w:lang w:val="es-ES" w:eastAsia="es-ES_tradnl"/>
        </w:rPr>
        <w:t>CONTRATO DE PRESTACIÓN DE SERVICIOS ― Concepto ― Requisitos y límites para su celebración</w:t>
      </w:r>
    </w:p>
    <w:p w14:paraId="28BC21E6" w14:textId="77777777" w:rsidR="009B7ADD" w:rsidRPr="00282ED1" w:rsidRDefault="009B7ADD" w:rsidP="009B7ADD">
      <w:pPr>
        <w:spacing w:after="0" w:line="240" w:lineRule="auto"/>
        <w:jc w:val="both"/>
        <w:rPr>
          <w:rFonts w:ascii="Verdana" w:eastAsia="Times New Roman" w:hAnsi="Verdana" w:cs="Arial"/>
          <w:b/>
          <w:bCs/>
          <w:bdr w:val="none" w:sz="0" w:space="0" w:color="auto" w:frame="1"/>
          <w:lang w:val="es-ES" w:eastAsia="es-ES_tradnl"/>
        </w:rPr>
      </w:pPr>
    </w:p>
    <w:p w14:paraId="546D3332" w14:textId="77777777" w:rsidR="009B7ADD" w:rsidRPr="00282ED1" w:rsidRDefault="009B7ADD" w:rsidP="009B7ADD">
      <w:pPr>
        <w:spacing w:after="0" w:line="240" w:lineRule="auto"/>
        <w:jc w:val="both"/>
        <w:rPr>
          <w:rFonts w:ascii="Verdana" w:eastAsia="Calibri" w:hAnsi="Verdana" w:cs="Arial"/>
          <w:sz w:val="20"/>
          <w:szCs w:val="20"/>
          <w:lang w:val="es-ES_tradnl" w:eastAsia="es-ES_tradnl"/>
        </w:rPr>
      </w:pPr>
      <w:r w:rsidRPr="00282ED1">
        <w:rPr>
          <w:rFonts w:ascii="Verdana" w:eastAsia="Calibri" w:hAnsi="Verdana" w:cs="Arial"/>
          <w:sz w:val="20"/>
          <w:szCs w:val="20"/>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14:paraId="7C51D94E" w14:textId="77777777" w:rsidR="009B7ADD" w:rsidRPr="00282ED1" w:rsidRDefault="009B7ADD" w:rsidP="009B7ADD">
      <w:pPr>
        <w:spacing w:after="0" w:line="240" w:lineRule="auto"/>
        <w:jc w:val="both"/>
        <w:rPr>
          <w:rFonts w:ascii="Verdana" w:eastAsia="Calibri" w:hAnsi="Verdana" w:cs="Arial"/>
          <w:sz w:val="20"/>
          <w:szCs w:val="20"/>
          <w:lang w:val="es-ES_tradnl" w:eastAsia="es-ES_tradnl"/>
        </w:rPr>
      </w:pPr>
    </w:p>
    <w:p w14:paraId="6B0A84DD" w14:textId="77777777" w:rsidR="009B7ADD" w:rsidRPr="00282ED1" w:rsidRDefault="009B7ADD" w:rsidP="009B7ADD">
      <w:pPr>
        <w:spacing w:after="0" w:line="240" w:lineRule="auto"/>
        <w:jc w:val="both"/>
        <w:rPr>
          <w:rFonts w:ascii="Verdana" w:eastAsia="Calibri" w:hAnsi="Verdana" w:cs="Arial"/>
          <w:sz w:val="20"/>
          <w:szCs w:val="20"/>
          <w:lang w:val="es-ES_tradnl" w:eastAsia="es-ES_tradnl"/>
        </w:rPr>
      </w:pPr>
      <w:r w:rsidRPr="00282ED1">
        <w:rPr>
          <w:rFonts w:ascii="Verdana" w:eastAsia="Calibri" w:hAnsi="Verdana" w:cs="Arial"/>
          <w:sz w:val="20"/>
          <w:szCs w:val="20"/>
          <w:lang w:val="es-ES_tradnl" w:eastAsia="es-ES_tradnl"/>
        </w:rPr>
        <w:t>[…]</w:t>
      </w:r>
    </w:p>
    <w:p w14:paraId="0D97F21F" w14:textId="77777777" w:rsidR="009B7ADD" w:rsidRPr="00282ED1" w:rsidRDefault="009B7ADD" w:rsidP="009B7ADD">
      <w:pPr>
        <w:spacing w:after="0" w:line="240" w:lineRule="auto"/>
        <w:jc w:val="both"/>
        <w:rPr>
          <w:rFonts w:ascii="Verdana" w:eastAsia="Calibri" w:hAnsi="Verdana" w:cs="Arial"/>
          <w:sz w:val="20"/>
          <w:szCs w:val="20"/>
          <w:lang w:val="es-ES_tradnl" w:eastAsia="es-ES_tradnl"/>
        </w:rPr>
      </w:pPr>
    </w:p>
    <w:p w14:paraId="19304F07" w14:textId="77777777" w:rsidR="009B7ADD" w:rsidRPr="00282ED1" w:rsidRDefault="009B7ADD" w:rsidP="009B7ADD">
      <w:pPr>
        <w:spacing w:after="0" w:line="240" w:lineRule="auto"/>
        <w:jc w:val="both"/>
        <w:rPr>
          <w:rFonts w:ascii="Verdana" w:eastAsia="Times New Roman" w:hAnsi="Verdana" w:cs="Arial"/>
          <w:b/>
          <w:bCs/>
          <w:sz w:val="20"/>
          <w:szCs w:val="20"/>
          <w:bdr w:val="none" w:sz="0" w:space="0" w:color="auto" w:frame="1"/>
          <w:lang w:val="es-ES" w:eastAsia="es-ES_tradnl"/>
        </w:rPr>
      </w:pPr>
      <w:r w:rsidRPr="00282ED1">
        <w:rPr>
          <w:rStyle w:val="normaltextrun"/>
          <w:rFonts w:ascii="Verdana" w:hAnsi="Verdana" w:cs="Arial"/>
          <w:sz w:val="20"/>
          <w:szCs w:val="20"/>
          <w:shd w:val="clear" w:color="auto" w:fill="FFFFFF"/>
          <w:lang w:val="es-ES"/>
        </w:rPr>
        <w:t xml:space="preserve">Sus principales características son: i) </w:t>
      </w:r>
      <w:r w:rsidRPr="00282ED1">
        <w:rPr>
          <w:rFonts w:ascii="Verdana" w:eastAsia="Calibri" w:hAnsi="Verdana" w:cs="Arial"/>
          <w:sz w:val="20"/>
          <w:szCs w:val="20"/>
          <w:lang w:val="es-ES_tradnl" w:eastAsia="es-ES_tradnl"/>
        </w:rPr>
        <w:t xml:space="preserve">Solo puede celebrarse para realizar </w:t>
      </w:r>
      <w:r>
        <w:rPr>
          <w:rFonts w:ascii="Verdana" w:eastAsia="Calibri" w:hAnsi="Verdana" w:cs="Arial"/>
          <w:sz w:val="20"/>
          <w:szCs w:val="20"/>
          <w:lang w:val="es-ES_tradnl" w:eastAsia="es-ES_tradnl"/>
        </w:rPr>
        <w:t>“</w:t>
      </w:r>
      <w:r w:rsidRPr="00282ED1">
        <w:rPr>
          <w:rFonts w:ascii="Verdana" w:eastAsia="Calibri" w:hAnsi="Verdana" w:cs="Arial"/>
          <w:sz w:val="20"/>
          <w:szCs w:val="20"/>
          <w:lang w:val="es-ES_tradnl" w:eastAsia="es-ES_tradnl"/>
        </w:rPr>
        <w:t>actividades relacionadas con la administración o funcionamiento de la entidad</w:t>
      </w:r>
      <w:r>
        <w:rPr>
          <w:rFonts w:ascii="Verdana" w:eastAsia="Calibri" w:hAnsi="Verdana" w:cs="Arial"/>
          <w:sz w:val="20"/>
          <w:szCs w:val="20"/>
          <w:lang w:val="es-ES_tradnl" w:eastAsia="es-ES_tradnl"/>
        </w:rPr>
        <w:t>”</w:t>
      </w:r>
      <w:r w:rsidRPr="00282ED1">
        <w:rPr>
          <w:rFonts w:ascii="Verdana" w:eastAsia="Calibri" w:hAnsi="Verdana" w:cs="Arial"/>
          <w:sz w:val="20"/>
          <w:szCs w:val="20"/>
          <w:lang w:val="es-ES_tradnl" w:eastAsia="es-ES_tradnl"/>
        </w:rPr>
        <w:t>, es decir, que hagan parte de su giro ordinario o quehacer cotidiano</w:t>
      </w:r>
      <w:r w:rsidRPr="00282ED1">
        <w:rPr>
          <w:rStyle w:val="normaltextrun"/>
          <w:rFonts w:ascii="Verdana" w:hAnsi="Verdana" w:cs="Arial"/>
          <w:sz w:val="20"/>
          <w:szCs w:val="20"/>
          <w:shd w:val="clear" w:color="auto" w:fill="FFFFFF"/>
          <w:lang w:val="es-ES"/>
        </w:rPr>
        <w:t xml:space="preserve">; ii) </w:t>
      </w:r>
      <w:r w:rsidRPr="00282ED1">
        <w:rPr>
          <w:rFonts w:ascii="Verdana" w:eastAsia="Calibri" w:hAnsi="Verdana" w:cs="Arial"/>
          <w:sz w:val="20"/>
          <w:szCs w:val="20"/>
          <w:lang w:val="es-ES_tradnl" w:eastAsia="es-ES_tradnl"/>
        </w:rPr>
        <w:t>admite que se suscriba tanto con personas naturales como con personas jurídicas […]</w:t>
      </w:r>
      <w:r w:rsidRPr="00282ED1">
        <w:rPr>
          <w:rStyle w:val="normaltextrun"/>
          <w:rFonts w:ascii="Verdana" w:hAnsi="Verdana" w:cs="Arial"/>
          <w:sz w:val="20"/>
          <w:szCs w:val="20"/>
          <w:shd w:val="clear" w:color="auto" w:fill="FFFFFF"/>
          <w:lang w:val="es-ES"/>
        </w:rPr>
        <w:t xml:space="preserve">; iii) </w:t>
      </w:r>
      <w:r w:rsidRPr="00282ED1">
        <w:rPr>
          <w:rFonts w:ascii="Verdana" w:eastAsia="Calibri" w:hAnsi="Verdana" w:cs="Arial"/>
          <w:sz w:val="20"/>
          <w:szCs w:val="20"/>
          <w:lang w:val="es-ES_tradnl" w:eastAsia="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w:t>
      </w:r>
      <w:r w:rsidRPr="00282ED1">
        <w:rPr>
          <w:rFonts w:ascii="Verdana" w:eastAsia="Calibri" w:hAnsi="Verdana" w:cs="Arial"/>
          <w:i/>
          <w:sz w:val="20"/>
          <w:szCs w:val="20"/>
          <w:lang w:val="es-ES_tradnl" w:eastAsia="es-ES_tradnl"/>
        </w:rPr>
        <w:t>subordinación y dependencia</w:t>
      </w:r>
      <w:r w:rsidRPr="00282ED1">
        <w:rPr>
          <w:rFonts w:ascii="Verdana" w:eastAsia="Calibri" w:hAnsi="Verdana" w:cs="Arial"/>
          <w:iCs/>
          <w:sz w:val="20"/>
          <w:szCs w:val="20"/>
          <w:lang w:val="es-ES_tradnl" w:eastAsia="es-ES_tradnl"/>
        </w:rPr>
        <w:t>,</w:t>
      </w:r>
      <w:r w:rsidRPr="00282ED1">
        <w:rPr>
          <w:rFonts w:ascii="Verdana" w:eastAsia="Calibri" w:hAnsi="Verdana" w:cs="Arial"/>
          <w:sz w:val="20"/>
          <w:szCs w:val="20"/>
          <w:lang w:val="es-ES_tradnl" w:eastAsia="es-ES_tradnl"/>
        </w:rPr>
        <w:t xml:space="preserve"> que es uno de los elementos constitutivos del vínculo laboral […]</w:t>
      </w:r>
      <w:r w:rsidRPr="00282ED1">
        <w:rPr>
          <w:rStyle w:val="normaltextrun"/>
          <w:rFonts w:ascii="Verdana" w:hAnsi="Verdana" w:cs="Arial"/>
          <w:sz w:val="20"/>
          <w:szCs w:val="20"/>
          <w:shd w:val="clear" w:color="auto" w:fill="FFFFFF"/>
          <w:lang w:val="es-ES"/>
        </w:rPr>
        <w:t xml:space="preserve">; iv) debe ser temporal […]; v) </w:t>
      </w:r>
      <w:r w:rsidRPr="00282ED1">
        <w:rPr>
          <w:rFonts w:ascii="Verdana" w:eastAsia="Calibri" w:hAnsi="Verdana" w:cs="Arial"/>
          <w:sz w:val="20"/>
          <w:szCs w:val="20"/>
          <w:lang w:val="es-ES_tradnl" w:eastAsia="es-ES_tradnl"/>
        </w:rPr>
        <w:t xml:space="preserve">los contratos de prestación de servicios constituyen un </w:t>
      </w:r>
      <w:r w:rsidRPr="00282ED1">
        <w:rPr>
          <w:rFonts w:ascii="Verdana" w:eastAsia="Calibri" w:hAnsi="Verdana" w:cs="Arial"/>
          <w:i/>
          <w:iCs/>
          <w:sz w:val="20"/>
          <w:szCs w:val="20"/>
          <w:lang w:val="es-ES_tradnl" w:eastAsia="es-ES_tradnl"/>
        </w:rPr>
        <w:t>género</w:t>
      </w:r>
      <w:r w:rsidRPr="00282ED1">
        <w:rPr>
          <w:rFonts w:ascii="Verdana" w:eastAsia="Calibri" w:hAnsi="Verdana" w:cs="Arial"/>
          <w:sz w:val="20"/>
          <w:szCs w:val="20"/>
          <w:lang w:val="es-ES_tradnl" w:eastAsia="es-ES_tradnl"/>
        </w:rPr>
        <w:t xml:space="preserve"> que incluye, como </w:t>
      </w:r>
      <w:r w:rsidRPr="00282ED1">
        <w:rPr>
          <w:rFonts w:ascii="Verdana" w:eastAsia="Calibri" w:hAnsi="Verdana" w:cs="Arial"/>
          <w:i/>
          <w:iCs/>
          <w:sz w:val="20"/>
          <w:szCs w:val="20"/>
          <w:lang w:val="es-ES_tradnl" w:eastAsia="es-ES_tradnl"/>
        </w:rPr>
        <w:t>especies</w:t>
      </w:r>
      <w:r w:rsidRPr="00282ED1">
        <w:rPr>
          <w:rFonts w:ascii="Verdana" w:eastAsia="Calibri" w:hAnsi="Verdana" w:cs="Arial"/>
          <w:sz w:val="20"/>
          <w:szCs w:val="20"/>
          <w:lang w:val="es-ES_tradnl" w:eastAsia="es-ES_tradnl"/>
        </w:rPr>
        <w:t>, los contratos de prestación de servicios profesionales, los contratos de prestación de servicios de apoyo a la gestión y los contratos de prestación de servicios artísticos que solo pueden encomendarse a determinadas personas naturales […]</w:t>
      </w:r>
      <w:r w:rsidRPr="00282ED1">
        <w:rPr>
          <w:rStyle w:val="normaltextrun"/>
          <w:rFonts w:ascii="Verdana" w:hAnsi="Verdana" w:cs="Arial"/>
          <w:sz w:val="20"/>
          <w:szCs w:val="20"/>
          <w:shd w:val="clear" w:color="auto" w:fill="FFFFFF"/>
          <w:lang w:val="es-ES"/>
        </w:rPr>
        <w:t xml:space="preserve">; vi) </w:t>
      </w:r>
      <w:r w:rsidRPr="00282ED1">
        <w:rPr>
          <w:rFonts w:ascii="Verdana" w:eastAsia="Calibri" w:hAnsi="Verdana" w:cs="Arial"/>
          <w:sz w:val="20"/>
          <w:szCs w:val="20"/>
          <w:lang w:val="es-ES_tradnl" w:eastAsia="es-ES_tradnl"/>
        </w:rPr>
        <w:t>Su celebración debe realizarse a través de la modalidad de contratación directa, independientemente de la cuantía y del tipo de servicio, siempre que este no ingrese dentro del objeto del contrato de consultoría […]</w:t>
      </w:r>
      <w:r w:rsidRPr="00282ED1">
        <w:rPr>
          <w:rStyle w:val="normaltextrun"/>
          <w:rFonts w:ascii="Verdana" w:hAnsi="Verdana" w:cs="Arial"/>
          <w:sz w:val="20"/>
          <w:szCs w:val="20"/>
          <w:shd w:val="clear" w:color="auto" w:fill="FFFFFF"/>
          <w:lang w:val="es-ES"/>
        </w:rPr>
        <w:t xml:space="preserve">; vii) </w:t>
      </w:r>
      <w:r w:rsidRPr="00282ED1">
        <w:rPr>
          <w:rFonts w:ascii="Verdana" w:eastAsia="Calibri" w:hAnsi="Verdana" w:cs="Arial"/>
          <w:sz w:val="20"/>
          <w:szCs w:val="20"/>
          <w:lang w:val="es-ES_tradnl" w:eastAsia="es-ES_tradnl"/>
        </w:rPr>
        <w:t>Para su celebración no se requiere en algunos casos la expedición del acto administrativo de justificación de la contratación directa […]</w:t>
      </w:r>
      <w:r w:rsidRPr="00282ED1">
        <w:rPr>
          <w:rStyle w:val="normaltextrun"/>
          <w:rFonts w:ascii="Verdana" w:hAnsi="Verdana" w:cs="Arial"/>
          <w:sz w:val="20"/>
          <w:szCs w:val="20"/>
          <w:shd w:val="clear" w:color="auto" w:fill="FFFFFF"/>
          <w:lang w:val="es-ES"/>
        </w:rPr>
        <w:t xml:space="preserve">; viii) </w:t>
      </w:r>
      <w:r w:rsidRPr="00282ED1">
        <w:rPr>
          <w:rFonts w:ascii="Verdana" w:eastAsia="Calibri" w:hAnsi="Verdana" w:cs="Arial"/>
          <w:sz w:val="20"/>
          <w:szCs w:val="20"/>
          <w:lang w:val="es-ES_tradnl" w:eastAsia="es-ES_tradnl"/>
        </w:rPr>
        <w:t>admiten el pacto de cláusulas excepcionales […]</w:t>
      </w:r>
      <w:r w:rsidRPr="00282ED1">
        <w:rPr>
          <w:rStyle w:val="normaltextrun"/>
          <w:rFonts w:ascii="Verdana" w:hAnsi="Verdana" w:cs="Arial"/>
          <w:sz w:val="20"/>
          <w:szCs w:val="20"/>
          <w:shd w:val="clear" w:color="auto" w:fill="FFFFFF"/>
          <w:lang w:val="es-ES"/>
        </w:rPr>
        <w:t xml:space="preserve">; ix) </w:t>
      </w:r>
      <w:r w:rsidRPr="00282ED1">
        <w:rPr>
          <w:rFonts w:ascii="Verdana" w:eastAsia="Calibri" w:hAnsi="Verdana" w:cs="Arial"/>
          <w:sz w:val="20"/>
          <w:szCs w:val="20"/>
          <w:lang w:val="es-ES_tradnl" w:eastAsia="es-ES_tradnl"/>
        </w:rPr>
        <w:t>) en algunos casos no es obligatoria la liquidación […]</w:t>
      </w:r>
      <w:r w:rsidRPr="00282ED1">
        <w:rPr>
          <w:rStyle w:val="normaltextrun"/>
          <w:rFonts w:ascii="Verdana" w:hAnsi="Verdana" w:cs="Arial"/>
          <w:sz w:val="20"/>
          <w:szCs w:val="20"/>
          <w:shd w:val="clear" w:color="auto" w:fill="FFFFFF"/>
          <w:lang w:val="es-ES"/>
        </w:rPr>
        <w:t>; x) para su celebración no se requiere inscripción en el Registro Único de Proponentes […]; xi) en ellos no son necesarias las garantías.</w:t>
      </w:r>
      <w:r w:rsidRPr="00282ED1">
        <w:rPr>
          <w:rStyle w:val="eop"/>
          <w:rFonts w:ascii="Verdana" w:hAnsi="Verdana" w:cs="Arial"/>
          <w:sz w:val="20"/>
          <w:szCs w:val="20"/>
          <w:shd w:val="clear" w:color="auto" w:fill="FFFFFF"/>
        </w:rPr>
        <w:t> </w:t>
      </w:r>
    </w:p>
    <w:p w14:paraId="6D54891F" w14:textId="77777777" w:rsidR="009B7ADD" w:rsidRPr="00282ED1" w:rsidRDefault="009B7ADD" w:rsidP="009B7ADD">
      <w:pPr>
        <w:spacing w:after="0" w:line="276" w:lineRule="auto"/>
        <w:jc w:val="both"/>
        <w:rPr>
          <w:rFonts w:ascii="Verdana" w:eastAsia="Calibri" w:hAnsi="Verdana" w:cs="Arial"/>
          <w:b/>
          <w:bCs/>
          <w:lang w:val="es-ES" w:eastAsia="es-ES"/>
        </w:rPr>
      </w:pPr>
    </w:p>
    <w:p w14:paraId="5F1D5256" w14:textId="77777777" w:rsidR="009B7ADD" w:rsidRPr="00282ED1" w:rsidRDefault="009B7ADD" w:rsidP="009B7ADD">
      <w:pPr>
        <w:spacing w:before="120" w:after="120" w:line="276" w:lineRule="auto"/>
        <w:jc w:val="both"/>
        <w:rPr>
          <w:rFonts w:ascii="Verdana" w:eastAsia="Times New Roman" w:hAnsi="Verdana" w:cs="Arial"/>
          <w:b/>
          <w:bCs/>
          <w:bdr w:val="none" w:sz="0" w:space="0" w:color="auto" w:frame="1"/>
          <w:lang w:val="es-ES" w:eastAsia="es-ES_tradnl"/>
        </w:rPr>
      </w:pPr>
      <w:r w:rsidRPr="00282ED1">
        <w:rPr>
          <w:rFonts w:ascii="Verdana" w:eastAsia="Times New Roman" w:hAnsi="Verdana" w:cs="Arial"/>
          <w:b/>
          <w:bCs/>
          <w:bdr w:val="none" w:sz="0" w:space="0" w:color="auto" w:frame="1"/>
          <w:lang w:val="es-ES" w:eastAsia="es-ES_tradnl"/>
        </w:rPr>
        <w:t xml:space="preserve">HONORARIOS - Límite Remuneración – Régimen jurídico </w:t>
      </w:r>
    </w:p>
    <w:p w14:paraId="02EC92A0" w14:textId="77777777" w:rsidR="009B7ADD" w:rsidRPr="00282ED1" w:rsidRDefault="009B7ADD" w:rsidP="009B7ADD">
      <w:pPr>
        <w:spacing w:after="0" w:line="240" w:lineRule="auto"/>
        <w:rPr>
          <w:rFonts w:ascii="Verdana" w:eastAsia="Geomanist Light" w:hAnsi="Verdana" w:cs="Arial"/>
          <w:b/>
          <w:bCs/>
          <w:lang w:val="es-ES"/>
        </w:rPr>
      </w:pPr>
    </w:p>
    <w:p w14:paraId="48C1AE62" w14:textId="77777777" w:rsidR="009B7ADD" w:rsidRPr="00282ED1" w:rsidRDefault="009B7ADD" w:rsidP="009B7ADD">
      <w:pPr>
        <w:spacing w:after="0" w:line="240" w:lineRule="auto"/>
        <w:jc w:val="both"/>
        <w:rPr>
          <w:rFonts w:ascii="Verdana" w:eastAsia="Calibri" w:hAnsi="Verdana" w:cs="Arial"/>
          <w:sz w:val="20"/>
          <w:szCs w:val="20"/>
          <w:lang w:val="es-ES"/>
        </w:rPr>
      </w:pPr>
      <w:r w:rsidRPr="00282ED1">
        <w:rPr>
          <w:rFonts w:ascii="Verdana" w:eastAsia="Calibri" w:hAnsi="Verdana" w:cs="Arial"/>
          <w:sz w:val="20"/>
          <w:szCs w:val="20"/>
          <w:lang w:val="es-ES"/>
        </w:rPr>
        <w:t xml:space="preserve">[…] </w:t>
      </w:r>
      <w:r w:rsidRPr="00282ED1">
        <w:rPr>
          <w:rFonts w:ascii="Verdana" w:eastAsia="Calibri" w:hAnsi="Verdana" w:cs="Arial"/>
          <w:iCs/>
          <w:sz w:val="20"/>
          <w:szCs w:val="20"/>
          <w:lang w:val="es-ES"/>
        </w:rPr>
        <w:t>no existe en el sistema de compra publica una disposición que imponga un límite en 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w:t>
      </w:r>
    </w:p>
    <w:p w14:paraId="494BD087" w14:textId="77777777" w:rsidR="009B7ADD" w:rsidRPr="00282ED1" w:rsidRDefault="009B7ADD" w:rsidP="009B7ADD">
      <w:pPr>
        <w:spacing w:before="120" w:after="120" w:line="276" w:lineRule="auto"/>
        <w:jc w:val="both"/>
        <w:rPr>
          <w:rFonts w:ascii="Verdana" w:eastAsia="Times New Roman" w:hAnsi="Verdana" w:cs="Arial"/>
          <w:b/>
          <w:bCs/>
          <w:bdr w:val="none" w:sz="0" w:space="0" w:color="auto" w:frame="1"/>
          <w:lang w:val="es-ES" w:eastAsia="es-ES_tradnl"/>
        </w:rPr>
      </w:pPr>
    </w:p>
    <w:p w14:paraId="7C8B9D3C" w14:textId="77777777" w:rsidR="009B7ADD" w:rsidRPr="00282ED1" w:rsidRDefault="009B7ADD" w:rsidP="009B7ADD">
      <w:pPr>
        <w:spacing w:before="120" w:after="120" w:line="276" w:lineRule="auto"/>
        <w:jc w:val="both"/>
        <w:rPr>
          <w:rFonts w:ascii="Verdana" w:eastAsia="Times New Roman" w:hAnsi="Verdana" w:cs="Arial"/>
          <w:b/>
          <w:bCs/>
          <w:bdr w:val="none" w:sz="0" w:space="0" w:color="auto" w:frame="1"/>
          <w:lang w:val="es-ES" w:eastAsia="es-ES_tradnl"/>
        </w:rPr>
      </w:pPr>
      <w:r w:rsidRPr="00282ED1">
        <w:rPr>
          <w:rFonts w:ascii="Verdana" w:eastAsia="Times New Roman" w:hAnsi="Verdana" w:cs="Arial"/>
          <w:b/>
          <w:bCs/>
          <w:bdr w:val="none" w:sz="0" w:space="0" w:color="auto" w:frame="1"/>
          <w:lang w:val="es-ES" w:eastAsia="es-ES_tradnl"/>
        </w:rPr>
        <w:t xml:space="preserve">HONORARIOS – Determinación – Tablas de honorarios – Estandarización de perfiles – No obligatoriedad </w:t>
      </w:r>
    </w:p>
    <w:p w14:paraId="131C10F8" w14:textId="77777777" w:rsidR="009B7ADD" w:rsidRPr="00282ED1" w:rsidRDefault="009B7ADD" w:rsidP="009B7ADD">
      <w:pPr>
        <w:spacing w:after="0" w:line="240" w:lineRule="auto"/>
        <w:rPr>
          <w:rFonts w:ascii="Verdana" w:eastAsia="Geomanist Light" w:hAnsi="Verdana" w:cs="Arial"/>
          <w:b/>
          <w:bCs/>
          <w:lang w:val="es-ES"/>
        </w:rPr>
      </w:pPr>
    </w:p>
    <w:p w14:paraId="36C3AB79" w14:textId="77777777" w:rsidR="009B7ADD" w:rsidRPr="00282ED1" w:rsidRDefault="009B7ADD" w:rsidP="009B7ADD">
      <w:pPr>
        <w:spacing w:after="0" w:line="240" w:lineRule="auto"/>
        <w:jc w:val="both"/>
        <w:rPr>
          <w:rFonts w:ascii="Verdana" w:eastAsia="Geomanist Light" w:hAnsi="Verdana" w:cs="Arial"/>
          <w:b/>
          <w:bCs/>
          <w:sz w:val="20"/>
          <w:szCs w:val="20"/>
          <w:lang w:val="es-ES"/>
        </w:rPr>
      </w:pPr>
      <w:r w:rsidRPr="00282ED1">
        <w:rPr>
          <w:rFonts w:ascii="Verdana" w:eastAsia="Calibri" w:hAnsi="Verdana" w:cs="Arial"/>
          <w:sz w:val="20"/>
          <w:szCs w:val="20"/>
          <w:lang w:val="es-ES"/>
        </w:rPr>
        <w:t xml:space="preserve">[…] las Entidades Estatales determinan el monto de los honorarios de los contratos de prestación de servicios y apoyo a la gestión de conformidad con lo establecido en el análisis del sector y en los documentos o estudios previos. Tampoco se encuentra disposición en la Ley 80 de 1993, Ley 1150 de 2007 o en el Decreto 1082 de 2015 que disponga la obligatoriedad de implementar tablas de honorarios o estandarizar perfiles para los contratos de prestación de servicios, lo anterior, no significa que las entidades no puedan hacerlo.  </w:t>
      </w:r>
    </w:p>
    <w:p w14:paraId="0B960F56" w14:textId="77777777" w:rsidR="009B7ADD" w:rsidRPr="001532C8" w:rsidRDefault="009B7ADD" w:rsidP="009B7ADD">
      <w:pPr>
        <w:spacing w:after="0" w:line="240" w:lineRule="auto"/>
        <w:rPr>
          <w:rFonts w:ascii="Verdana" w:eastAsia="Geomanist Light" w:hAnsi="Verdana" w:cs="Arial"/>
          <w:color w:val="000000" w:themeColor="text1"/>
          <w:lang w:val="es-MX"/>
        </w:rPr>
      </w:pPr>
    </w:p>
    <w:p w14:paraId="16D70992" w14:textId="77777777" w:rsidR="009B7ADD" w:rsidRPr="001532C8" w:rsidRDefault="009B7ADD" w:rsidP="009B7ADD">
      <w:pPr>
        <w:spacing w:after="0" w:line="240" w:lineRule="auto"/>
        <w:rPr>
          <w:rFonts w:ascii="Verdana" w:eastAsia="Geomanist Light" w:hAnsi="Verdana" w:cs="Arial"/>
          <w:color w:val="000000" w:themeColor="text1"/>
          <w:lang w:val="es-MX"/>
        </w:rPr>
      </w:pPr>
    </w:p>
    <w:p w14:paraId="5296E9C6" w14:textId="77777777" w:rsidR="009B7ADD" w:rsidRDefault="009B7ADD" w:rsidP="009B7ADD">
      <w:pPr>
        <w:spacing w:after="0" w:line="240" w:lineRule="auto"/>
        <w:rPr>
          <w:rFonts w:ascii="Verdana" w:eastAsia="Geomanist Light" w:hAnsi="Verdana" w:cs="Arial"/>
          <w:color w:val="000000" w:themeColor="text1"/>
          <w:lang w:val="es-MX"/>
        </w:rPr>
      </w:pPr>
    </w:p>
    <w:p w14:paraId="02933291" w14:textId="77777777" w:rsidR="009B7ADD" w:rsidRDefault="009B7ADD" w:rsidP="009B7ADD">
      <w:pPr>
        <w:spacing w:after="0" w:line="240" w:lineRule="auto"/>
        <w:rPr>
          <w:rFonts w:ascii="Verdana" w:eastAsia="Geomanist Light" w:hAnsi="Verdana" w:cs="Arial"/>
          <w:color w:val="000000" w:themeColor="text1"/>
          <w:lang w:val="es-MX"/>
        </w:rPr>
      </w:pPr>
    </w:p>
    <w:p w14:paraId="64078BC9" w14:textId="77777777" w:rsidR="009B7ADD" w:rsidRDefault="009B7ADD" w:rsidP="009B7ADD">
      <w:pPr>
        <w:spacing w:after="0" w:line="240" w:lineRule="auto"/>
        <w:rPr>
          <w:rFonts w:ascii="Verdana" w:eastAsia="Geomanist Light" w:hAnsi="Verdana" w:cs="Arial"/>
          <w:color w:val="000000" w:themeColor="text1"/>
          <w:lang w:val="es-MX"/>
        </w:rPr>
      </w:pPr>
    </w:p>
    <w:p w14:paraId="108A972F" w14:textId="77777777" w:rsidR="009B7ADD" w:rsidRDefault="009B7ADD" w:rsidP="009B7ADD">
      <w:pPr>
        <w:spacing w:after="0" w:line="240" w:lineRule="auto"/>
        <w:rPr>
          <w:rFonts w:ascii="Verdana" w:eastAsia="Geomanist Light" w:hAnsi="Verdana" w:cs="Arial"/>
          <w:color w:val="000000" w:themeColor="text1"/>
          <w:lang w:val="es-MX"/>
        </w:rPr>
      </w:pPr>
    </w:p>
    <w:p w14:paraId="2FD6A58A" w14:textId="77777777" w:rsidR="009B7ADD" w:rsidRDefault="009B7ADD" w:rsidP="009B7ADD">
      <w:pPr>
        <w:spacing w:after="0" w:line="240" w:lineRule="auto"/>
        <w:rPr>
          <w:rFonts w:ascii="Verdana" w:eastAsia="Geomanist Light" w:hAnsi="Verdana" w:cs="Arial"/>
          <w:color w:val="000000" w:themeColor="text1"/>
          <w:lang w:val="es-MX"/>
        </w:rPr>
      </w:pPr>
    </w:p>
    <w:p w14:paraId="58997334" w14:textId="77777777" w:rsidR="009B7ADD" w:rsidRDefault="009B7ADD" w:rsidP="009B7ADD">
      <w:pPr>
        <w:spacing w:after="0" w:line="240" w:lineRule="auto"/>
        <w:rPr>
          <w:rFonts w:ascii="Verdana" w:eastAsia="Geomanist Light" w:hAnsi="Verdana" w:cs="Arial"/>
          <w:color w:val="000000" w:themeColor="text1"/>
          <w:lang w:val="es-MX"/>
        </w:rPr>
      </w:pPr>
    </w:p>
    <w:p w14:paraId="11E56417" w14:textId="77777777" w:rsidR="009B7ADD" w:rsidRDefault="009B7ADD" w:rsidP="009B7ADD">
      <w:pPr>
        <w:spacing w:after="0" w:line="240" w:lineRule="auto"/>
        <w:rPr>
          <w:rFonts w:ascii="Verdana" w:eastAsia="Geomanist Light" w:hAnsi="Verdana" w:cs="Arial"/>
          <w:color w:val="000000" w:themeColor="text1"/>
          <w:lang w:val="es-MX"/>
        </w:rPr>
      </w:pPr>
    </w:p>
    <w:p w14:paraId="283D83CC" w14:textId="77777777" w:rsidR="009B7ADD" w:rsidRDefault="009B7ADD" w:rsidP="009B7ADD">
      <w:pPr>
        <w:spacing w:after="0" w:line="240" w:lineRule="auto"/>
        <w:rPr>
          <w:rFonts w:ascii="Verdana" w:eastAsia="Geomanist Light" w:hAnsi="Verdana" w:cs="Arial"/>
          <w:color w:val="000000" w:themeColor="text1"/>
          <w:lang w:val="es-MX"/>
        </w:rPr>
      </w:pPr>
    </w:p>
    <w:p w14:paraId="5AF600D9" w14:textId="77777777" w:rsidR="009B7ADD" w:rsidRDefault="009B7ADD" w:rsidP="009B7ADD">
      <w:pPr>
        <w:spacing w:after="0" w:line="240" w:lineRule="auto"/>
        <w:rPr>
          <w:rFonts w:ascii="Verdana" w:eastAsia="Geomanist Light" w:hAnsi="Verdana" w:cs="Arial"/>
          <w:color w:val="000000" w:themeColor="text1"/>
          <w:lang w:val="es-MX"/>
        </w:rPr>
      </w:pPr>
    </w:p>
    <w:p w14:paraId="2A8B7992" w14:textId="77777777" w:rsidR="009B7ADD" w:rsidRDefault="009B7ADD" w:rsidP="009B7ADD">
      <w:pPr>
        <w:spacing w:after="0" w:line="240" w:lineRule="auto"/>
        <w:rPr>
          <w:rFonts w:ascii="Verdana" w:eastAsia="Geomanist Light" w:hAnsi="Verdana" w:cs="Arial"/>
          <w:color w:val="000000" w:themeColor="text1"/>
          <w:lang w:val="es-MX"/>
        </w:rPr>
      </w:pPr>
    </w:p>
    <w:p w14:paraId="43C3AFBA" w14:textId="77777777" w:rsidR="009B7ADD" w:rsidRDefault="009B7ADD" w:rsidP="009B7ADD">
      <w:pPr>
        <w:spacing w:after="0" w:line="240" w:lineRule="auto"/>
        <w:rPr>
          <w:rFonts w:ascii="Verdana" w:eastAsia="Geomanist Light" w:hAnsi="Verdana" w:cs="Arial"/>
          <w:color w:val="000000" w:themeColor="text1"/>
          <w:lang w:val="es-MX"/>
        </w:rPr>
      </w:pPr>
    </w:p>
    <w:p w14:paraId="45395CAB" w14:textId="77777777" w:rsidR="009B7ADD" w:rsidRDefault="009B7ADD" w:rsidP="009B7ADD">
      <w:pPr>
        <w:spacing w:after="0" w:line="240" w:lineRule="auto"/>
        <w:rPr>
          <w:rFonts w:ascii="Verdana" w:eastAsia="Geomanist Light" w:hAnsi="Verdana" w:cs="Arial"/>
          <w:color w:val="000000" w:themeColor="text1"/>
          <w:lang w:val="es-MX"/>
        </w:rPr>
      </w:pPr>
    </w:p>
    <w:p w14:paraId="44A4EDC1" w14:textId="77777777" w:rsidR="009B7ADD" w:rsidRDefault="009B7ADD" w:rsidP="009B7ADD">
      <w:pPr>
        <w:spacing w:after="0" w:line="240" w:lineRule="auto"/>
        <w:rPr>
          <w:rFonts w:ascii="Verdana" w:eastAsia="Geomanist Light" w:hAnsi="Verdana" w:cs="Arial"/>
          <w:color w:val="000000" w:themeColor="text1"/>
          <w:lang w:val="es-MX"/>
        </w:rPr>
      </w:pPr>
    </w:p>
    <w:p w14:paraId="0641D298" w14:textId="77777777" w:rsidR="009B7ADD" w:rsidRDefault="009B7ADD" w:rsidP="009B7ADD">
      <w:pPr>
        <w:spacing w:after="0" w:line="240" w:lineRule="auto"/>
        <w:rPr>
          <w:rFonts w:ascii="Verdana" w:eastAsia="Geomanist Light" w:hAnsi="Verdana" w:cs="Arial"/>
          <w:color w:val="000000" w:themeColor="text1"/>
          <w:lang w:val="es-MX"/>
        </w:rPr>
      </w:pPr>
    </w:p>
    <w:p w14:paraId="2638BDA7" w14:textId="77777777" w:rsidR="009B7ADD" w:rsidRDefault="009B7ADD" w:rsidP="009B7ADD">
      <w:pPr>
        <w:spacing w:after="0" w:line="240" w:lineRule="auto"/>
        <w:rPr>
          <w:rFonts w:ascii="Verdana" w:eastAsia="Geomanist Light" w:hAnsi="Verdana" w:cs="Arial"/>
          <w:color w:val="000000" w:themeColor="text1"/>
          <w:lang w:val="es-MX"/>
        </w:rPr>
      </w:pPr>
    </w:p>
    <w:p w14:paraId="69D07E7E" w14:textId="77777777" w:rsidR="009B7ADD" w:rsidRDefault="009B7ADD" w:rsidP="009B7ADD">
      <w:pPr>
        <w:spacing w:after="0" w:line="240" w:lineRule="auto"/>
        <w:rPr>
          <w:rFonts w:ascii="Verdana" w:eastAsia="Geomanist Light" w:hAnsi="Verdana" w:cs="Arial"/>
          <w:color w:val="000000" w:themeColor="text1"/>
          <w:lang w:val="es-MX"/>
        </w:rPr>
      </w:pPr>
    </w:p>
    <w:p w14:paraId="7E9184E8" w14:textId="77777777" w:rsidR="009B7ADD" w:rsidRDefault="009B7ADD" w:rsidP="009B7ADD">
      <w:pPr>
        <w:spacing w:after="0" w:line="240" w:lineRule="auto"/>
        <w:rPr>
          <w:rFonts w:ascii="Verdana" w:eastAsia="Geomanist Light" w:hAnsi="Verdana" w:cs="Arial"/>
          <w:color w:val="000000" w:themeColor="text1"/>
          <w:lang w:val="es-MX"/>
        </w:rPr>
      </w:pPr>
    </w:p>
    <w:p w14:paraId="2FA4B005" w14:textId="77777777" w:rsidR="009B7ADD" w:rsidRDefault="009B7ADD" w:rsidP="009B7ADD">
      <w:pPr>
        <w:spacing w:after="0" w:line="240" w:lineRule="auto"/>
        <w:rPr>
          <w:rFonts w:ascii="Verdana" w:eastAsia="Geomanist Light" w:hAnsi="Verdana" w:cs="Arial"/>
          <w:color w:val="000000" w:themeColor="text1"/>
          <w:lang w:val="es-MX"/>
        </w:rPr>
      </w:pPr>
    </w:p>
    <w:p w14:paraId="5C016D7B" w14:textId="77777777" w:rsidR="009B7ADD" w:rsidRDefault="009B7ADD" w:rsidP="009B7ADD">
      <w:pPr>
        <w:spacing w:after="0" w:line="240" w:lineRule="auto"/>
        <w:rPr>
          <w:rFonts w:ascii="Verdana" w:eastAsia="Geomanist Light" w:hAnsi="Verdana" w:cs="Arial"/>
          <w:color w:val="000000" w:themeColor="text1"/>
          <w:lang w:val="es-MX"/>
        </w:rPr>
      </w:pPr>
    </w:p>
    <w:p w14:paraId="3DD1F454" w14:textId="77777777" w:rsidR="009B7ADD" w:rsidRPr="001532C8" w:rsidRDefault="009B7ADD" w:rsidP="009B7ADD">
      <w:pPr>
        <w:spacing w:after="0" w:line="240" w:lineRule="auto"/>
        <w:rPr>
          <w:rFonts w:ascii="Verdana" w:eastAsia="Geomanist Light" w:hAnsi="Verdana" w:cs="Arial"/>
          <w:color w:val="000000" w:themeColor="text1"/>
          <w:lang w:val="es-MX"/>
        </w:rPr>
      </w:pPr>
    </w:p>
    <w:p w14:paraId="3A9722E4" w14:textId="77777777" w:rsidR="009B7ADD" w:rsidRPr="001532C8" w:rsidRDefault="009B7ADD" w:rsidP="009B7ADD">
      <w:pPr>
        <w:spacing w:after="0" w:line="240" w:lineRule="auto"/>
        <w:rPr>
          <w:rFonts w:ascii="Verdana" w:eastAsia="Geomanist Light" w:hAnsi="Verdana" w:cs="Arial"/>
          <w:color w:val="000000" w:themeColor="text1"/>
          <w:lang w:val="es-MX"/>
        </w:rPr>
      </w:pPr>
    </w:p>
    <w:p w14:paraId="53225FA4" w14:textId="77777777" w:rsidR="009B7ADD" w:rsidRPr="001532C8" w:rsidRDefault="009B7ADD" w:rsidP="009B7ADD">
      <w:pPr>
        <w:spacing w:after="0" w:line="240" w:lineRule="auto"/>
        <w:rPr>
          <w:rFonts w:ascii="Verdana" w:eastAsia="Geomanist Light" w:hAnsi="Verdana" w:cs="Arial"/>
          <w:color w:val="000000" w:themeColor="text1"/>
          <w:lang w:val="es-MX"/>
        </w:rPr>
      </w:pPr>
    </w:p>
    <w:p w14:paraId="68BBF61C" w14:textId="77777777" w:rsidR="009B7ADD" w:rsidRPr="001532C8" w:rsidRDefault="009B7ADD" w:rsidP="009B7ADD">
      <w:pPr>
        <w:spacing w:after="0" w:line="240" w:lineRule="auto"/>
        <w:rPr>
          <w:rFonts w:ascii="Verdana" w:eastAsia="Geomanist Light" w:hAnsi="Verdana" w:cs="Arial"/>
          <w:color w:val="000000" w:themeColor="text1"/>
          <w:lang w:val="es-MX"/>
        </w:rPr>
      </w:pPr>
    </w:p>
    <w:p w14:paraId="0DDD80B8" w14:textId="77777777" w:rsidR="009B7ADD" w:rsidRPr="001532C8" w:rsidRDefault="009B7ADD" w:rsidP="009B7ADD">
      <w:pPr>
        <w:spacing w:after="0" w:line="240" w:lineRule="auto"/>
        <w:rPr>
          <w:rFonts w:ascii="Verdana" w:eastAsia="Geomanist Light" w:hAnsi="Verdana" w:cs="Arial"/>
          <w:color w:val="000000" w:themeColor="text1"/>
          <w:lang w:val="es-MX"/>
        </w:rPr>
      </w:pPr>
    </w:p>
    <w:p w14:paraId="63A6289B" w14:textId="77777777" w:rsidR="009B7ADD" w:rsidRDefault="009B7ADD" w:rsidP="00146D08">
      <w:pPr>
        <w:spacing w:after="0" w:line="240" w:lineRule="auto"/>
        <w:rPr>
          <w:rFonts w:ascii="Verdana" w:eastAsia="Geomanist Light" w:hAnsi="Verdana" w:cs="Arial"/>
          <w:color w:val="000000" w:themeColor="text1"/>
          <w:lang w:val="es-MX"/>
        </w:rPr>
      </w:pPr>
    </w:p>
    <w:p w14:paraId="4D304F8A" w14:textId="77777777" w:rsidR="009B7ADD" w:rsidRDefault="009B7ADD" w:rsidP="00146D08">
      <w:pPr>
        <w:spacing w:after="0" w:line="240" w:lineRule="auto"/>
        <w:rPr>
          <w:rFonts w:ascii="Verdana" w:eastAsia="Geomanist Light" w:hAnsi="Verdana" w:cs="Arial"/>
          <w:color w:val="000000" w:themeColor="text1"/>
          <w:lang w:val="es-MX"/>
        </w:rPr>
      </w:pPr>
    </w:p>
    <w:p w14:paraId="24C849DC" w14:textId="77777777" w:rsidR="009B7ADD" w:rsidRDefault="009B7ADD" w:rsidP="00146D08">
      <w:pPr>
        <w:spacing w:after="0" w:line="240" w:lineRule="auto"/>
        <w:rPr>
          <w:rFonts w:ascii="Verdana" w:eastAsia="Geomanist Light" w:hAnsi="Verdana" w:cs="Arial"/>
          <w:color w:val="000000" w:themeColor="text1"/>
          <w:lang w:val="es-MX"/>
        </w:rPr>
      </w:pPr>
    </w:p>
    <w:p w14:paraId="1830B548" w14:textId="77777777" w:rsidR="009B7ADD" w:rsidRDefault="009B7ADD" w:rsidP="00146D08">
      <w:pPr>
        <w:spacing w:after="0" w:line="240" w:lineRule="auto"/>
        <w:rPr>
          <w:rFonts w:ascii="Verdana" w:eastAsia="Geomanist Light" w:hAnsi="Verdana" w:cs="Arial"/>
          <w:color w:val="000000" w:themeColor="text1"/>
          <w:lang w:val="es-MX"/>
        </w:rPr>
      </w:pPr>
    </w:p>
    <w:p w14:paraId="71D4F396" w14:textId="77777777" w:rsidR="009B7ADD" w:rsidRDefault="009B7ADD" w:rsidP="00146D08">
      <w:pPr>
        <w:spacing w:after="0" w:line="240" w:lineRule="auto"/>
        <w:rPr>
          <w:rFonts w:ascii="Verdana" w:eastAsia="Geomanist Light" w:hAnsi="Verdana" w:cs="Arial"/>
          <w:color w:val="000000" w:themeColor="text1"/>
          <w:lang w:val="es-MX"/>
        </w:rPr>
      </w:pPr>
    </w:p>
    <w:p w14:paraId="1BDE0829" w14:textId="77777777" w:rsidR="009B7ADD" w:rsidRDefault="009B7ADD" w:rsidP="00146D08">
      <w:pPr>
        <w:spacing w:after="0" w:line="240" w:lineRule="auto"/>
        <w:rPr>
          <w:rFonts w:ascii="Verdana" w:eastAsia="Geomanist Light" w:hAnsi="Verdana" w:cs="Arial"/>
          <w:color w:val="000000" w:themeColor="text1"/>
          <w:lang w:val="es-MX"/>
        </w:rPr>
      </w:pPr>
    </w:p>
    <w:p w14:paraId="043117D0" w14:textId="77777777" w:rsidR="009B7ADD" w:rsidRDefault="009B7ADD" w:rsidP="00146D08">
      <w:pPr>
        <w:spacing w:after="0" w:line="240" w:lineRule="auto"/>
        <w:rPr>
          <w:rFonts w:ascii="Verdana" w:eastAsia="Geomanist Light" w:hAnsi="Verdana" w:cs="Arial"/>
          <w:color w:val="000000" w:themeColor="text1"/>
          <w:lang w:val="es-MX"/>
        </w:rPr>
      </w:pPr>
    </w:p>
    <w:p w14:paraId="30F16889" w14:textId="77777777" w:rsidR="009B7ADD" w:rsidRDefault="009B7ADD" w:rsidP="00146D08">
      <w:pPr>
        <w:spacing w:after="0" w:line="240" w:lineRule="auto"/>
        <w:rPr>
          <w:rFonts w:ascii="Verdana" w:eastAsia="Geomanist Light" w:hAnsi="Verdana" w:cs="Arial"/>
          <w:color w:val="000000" w:themeColor="text1"/>
          <w:lang w:val="es-MX"/>
        </w:rPr>
      </w:pPr>
    </w:p>
    <w:p w14:paraId="289007C5" w14:textId="77777777" w:rsidR="009B7ADD" w:rsidRDefault="009B7ADD" w:rsidP="00146D08">
      <w:pPr>
        <w:spacing w:after="0" w:line="240" w:lineRule="auto"/>
        <w:rPr>
          <w:rFonts w:ascii="Verdana" w:eastAsia="Geomanist Light" w:hAnsi="Verdana" w:cs="Arial"/>
          <w:color w:val="000000" w:themeColor="text1"/>
          <w:lang w:val="es-MX"/>
        </w:rPr>
      </w:pPr>
    </w:p>
    <w:p w14:paraId="20B90FB1" w14:textId="38442018" w:rsidR="00146D08" w:rsidRPr="001532C8" w:rsidRDefault="00B25CB6" w:rsidP="00146D08">
      <w:pPr>
        <w:spacing w:after="0" w:line="240" w:lineRule="auto"/>
        <w:rPr>
          <w:rFonts w:ascii="Verdana" w:eastAsia="Geomanist Light" w:hAnsi="Verdana" w:cs="Arial"/>
          <w:color w:val="201F1E"/>
          <w:lang w:val="es-MX"/>
        </w:rPr>
      </w:pPr>
      <w:r w:rsidRPr="00B25CB6">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3F3BE9EE" wp14:editId="46218DF8">
            <wp:simplePos x="0" y="0"/>
            <wp:positionH relativeFrom="column">
              <wp:posOffset>2787015</wp:posOffset>
            </wp:positionH>
            <wp:positionV relativeFrom="paragraph">
              <wp:posOffset>-635</wp:posOffset>
            </wp:positionV>
            <wp:extent cx="2952750" cy="838200"/>
            <wp:effectExtent l="0" t="0" r="0" b="0"/>
            <wp:wrapNone/>
            <wp:docPr id="13181900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90047"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52750" cy="838200"/>
                    </a:xfrm>
                    <a:prstGeom prst="rect">
                      <a:avLst/>
                    </a:prstGeom>
                  </pic:spPr>
                </pic:pic>
              </a:graphicData>
            </a:graphic>
          </wp:anchor>
        </w:drawing>
      </w:r>
      <w:r w:rsidR="00146D08" w:rsidRPr="001532C8">
        <w:rPr>
          <w:rFonts w:ascii="Verdana" w:eastAsia="Geomanist Light" w:hAnsi="Verdana" w:cs="Arial"/>
          <w:color w:val="000000" w:themeColor="text1"/>
          <w:lang w:val="es-MX"/>
        </w:rPr>
        <w:t>Bogotá D.C., </w:t>
      </w:r>
      <w:r>
        <w:rPr>
          <w:rFonts w:ascii="Verdana" w:eastAsia="Geomanist Light" w:hAnsi="Verdana" w:cs="Arial"/>
          <w:color w:val="201F1E"/>
          <w:lang w:val="es-MX"/>
        </w:rPr>
        <w:t>30 de diciembre de 2024</w:t>
      </w:r>
      <w:r w:rsidRPr="00B25CB6">
        <w:rPr>
          <w:noProof/>
        </w:rPr>
        <w:t xml:space="preserve"> </w:t>
      </w:r>
    </w:p>
    <w:p w14:paraId="769BB35E" w14:textId="77777777" w:rsidR="00146D08" w:rsidRPr="001532C8" w:rsidRDefault="00146D08" w:rsidP="00146D08">
      <w:pPr>
        <w:spacing w:after="0" w:line="240" w:lineRule="auto"/>
        <w:jc w:val="both"/>
        <w:rPr>
          <w:rFonts w:ascii="Verdana" w:eastAsia="Calibri" w:hAnsi="Verdana" w:cs="Arial"/>
          <w:color w:val="000000"/>
          <w:lang w:val="es-ES"/>
        </w:rPr>
      </w:pPr>
    </w:p>
    <w:p w14:paraId="4E3D1495" w14:textId="77777777" w:rsidR="00146D08" w:rsidRPr="001532C8" w:rsidRDefault="00146D08" w:rsidP="00146D08">
      <w:pPr>
        <w:spacing w:after="0" w:line="240" w:lineRule="auto"/>
        <w:jc w:val="both"/>
        <w:rPr>
          <w:rFonts w:ascii="Verdana" w:eastAsia="Calibri" w:hAnsi="Verdana" w:cs="Arial"/>
          <w:lang w:val="es-ES" w:eastAsia="es-ES"/>
        </w:rPr>
      </w:pPr>
      <w:r w:rsidRPr="001532C8">
        <w:rPr>
          <w:rFonts w:ascii="Verdana" w:eastAsia="Calibri" w:hAnsi="Verdana" w:cs="Arial"/>
          <w:lang w:val="es-ES" w:eastAsia="es-ES"/>
        </w:rPr>
        <w:t>Señora</w:t>
      </w:r>
    </w:p>
    <w:p w14:paraId="184B86A7" w14:textId="77777777" w:rsidR="00146D08" w:rsidRPr="001532C8" w:rsidRDefault="00146D08" w:rsidP="00146D08">
      <w:pPr>
        <w:spacing w:after="0" w:line="240" w:lineRule="auto"/>
        <w:rPr>
          <w:rFonts w:ascii="Verdana" w:eastAsia="Calibri" w:hAnsi="Verdana" w:cs="Arial"/>
          <w:b/>
          <w:lang w:val="es-ES" w:eastAsia="es-ES"/>
        </w:rPr>
      </w:pPr>
      <w:r w:rsidRPr="7E0867B5">
        <w:rPr>
          <w:rFonts w:ascii="Verdana" w:eastAsia="Calibri" w:hAnsi="Verdana" w:cs="Arial"/>
          <w:b/>
          <w:lang w:val="es-ES" w:eastAsia="es-ES"/>
        </w:rPr>
        <w:t>Lyda Milena Garza Pinzón</w:t>
      </w:r>
    </w:p>
    <w:p w14:paraId="24796513" w14:textId="77777777" w:rsidR="00146D08" w:rsidRPr="001532C8" w:rsidRDefault="00146D08" w:rsidP="00146D08">
      <w:pPr>
        <w:spacing w:after="0" w:line="240" w:lineRule="auto"/>
        <w:rPr>
          <w:rFonts w:ascii="Verdana" w:eastAsia="Calibri" w:hAnsi="Verdana" w:cs="Arial"/>
          <w:u w:val="single"/>
          <w:lang w:val="es-ES" w:eastAsia="es-ES"/>
        </w:rPr>
      </w:pPr>
      <w:hyperlink r:id="rId11" w:history="1">
        <w:r w:rsidRPr="001532C8">
          <w:rPr>
            <w:rStyle w:val="Hipervnculo"/>
            <w:rFonts w:ascii="Verdana" w:eastAsia="Calibri" w:hAnsi="Verdana" w:cs="Arial"/>
            <w:lang w:val="es-ES" w:eastAsia="es-ES"/>
          </w:rPr>
          <w:t>Lyda2505@gmail.com</w:t>
        </w:r>
      </w:hyperlink>
      <w:r w:rsidRPr="001532C8">
        <w:rPr>
          <w:rFonts w:ascii="Verdana" w:eastAsia="Calibri" w:hAnsi="Verdana" w:cs="Arial"/>
          <w:u w:val="single"/>
          <w:lang w:val="es-ES" w:eastAsia="es-ES"/>
        </w:rPr>
        <w:t xml:space="preserve"> </w:t>
      </w:r>
    </w:p>
    <w:p w14:paraId="60274A6A" w14:textId="77777777" w:rsidR="00146D08" w:rsidRPr="001532C8" w:rsidRDefault="00146D08" w:rsidP="00146D08">
      <w:pPr>
        <w:spacing w:after="0" w:line="240" w:lineRule="auto"/>
        <w:rPr>
          <w:rFonts w:ascii="Verdana" w:eastAsia="Calibri" w:hAnsi="Verdana" w:cs="Arial"/>
          <w:b/>
          <w:bCs/>
          <w:lang w:val="es-ES" w:eastAsia="es-ES"/>
        </w:rPr>
      </w:pPr>
      <w:r w:rsidRPr="001532C8">
        <w:rPr>
          <w:rFonts w:ascii="Verdana" w:eastAsia="Calibri" w:hAnsi="Verdana" w:cs="Arial"/>
          <w:lang w:val="es-ES" w:eastAsia="es-ES"/>
        </w:rPr>
        <w:t>Chía, Cundinamarca</w:t>
      </w:r>
    </w:p>
    <w:p w14:paraId="5E5EAD68" w14:textId="77777777" w:rsidR="00146D08" w:rsidRPr="001532C8" w:rsidRDefault="00146D08" w:rsidP="00146D08">
      <w:pPr>
        <w:spacing w:after="0" w:line="240" w:lineRule="auto"/>
        <w:rPr>
          <w:rFonts w:ascii="Verdana" w:eastAsia="Calibri" w:hAnsi="Verdana" w:cs="Arial"/>
          <w:b/>
          <w:bCs/>
          <w:color w:val="000000"/>
          <w:lang w:val="es-ES_tradnl" w:eastAsia="es-ES_tradnl"/>
        </w:rPr>
      </w:pPr>
    </w:p>
    <w:p w14:paraId="712F5402" w14:textId="77777777" w:rsidR="00146D08" w:rsidRPr="001532C8" w:rsidRDefault="00146D08" w:rsidP="00146D0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46D08" w:rsidRPr="001532C8" w14:paraId="41383D45" w14:textId="77777777" w:rsidTr="00015E11">
        <w:trPr>
          <w:trHeight w:val="884"/>
        </w:trPr>
        <w:tc>
          <w:tcPr>
            <w:tcW w:w="2689" w:type="dxa"/>
          </w:tcPr>
          <w:p w14:paraId="3FB6B9C7" w14:textId="77777777" w:rsidR="00146D08" w:rsidRPr="001532C8" w:rsidRDefault="00146D08" w:rsidP="00015E11">
            <w:pPr>
              <w:jc w:val="both"/>
              <w:rPr>
                <w:rFonts w:ascii="Verdana" w:eastAsia="Calibri" w:hAnsi="Verdana" w:cs="Arial"/>
                <w:b/>
                <w:bCs/>
                <w:color w:val="7030A0"/>
                <w:lang w:val="es-ES_tradnl" w:eastAsia="es-ES_tradnl"/>
              </w:rPr>
            </w:pPr>
          </w:p>
        </w:tc>
        <w:tc>
          <w:tcPr>
            <w:tcW w:w="6100" w:type="dxa"/>
          </w:tcPr>
          <w:p w14:paraId="6001D43E" w14:textId="77777777" w:rsidR="00146D08" w:rsidRPr="001532C8" w:rsidRDefault="00146D08" w:rsidP="00015E11">
            <w:pPr>
              <w:jc w:val="both"/>
              <w:rPr>
                <w:rFonts w:ascii="Verdana" w:eastAsia="Calibri" w:hAnsi="Verdana" w:cs="Arial"/>
                <w:b/>
                <w:bCs/>
                <w:color w:val="7030A0"/>
                <w:lang w:val="es-ES" w:eastAsia="es-ES"/>
              </w:rPr>
            </w:pPr>
            <w:r w:rsidRPr="001532C8">
              <w:rPr>
                <w:rFonts w:ascii="Verdana" w:eastAsia="Calibri" w:hAnsi="Verdana" w:cs="Arial"/>
                <w:b/>
                <w:bCs/>
                <w:lang w:val="es-ES" w:eastAsia="es-ES"/>
              </w:rPr>
              <w:t>Concepto C-920 de 2024</w:t>
            </w:r>
          </w:p>
        </w:tc>
      </w:tr>
      <w:tr w:rsidR="00146D08" w:rsidRPr="001532C8" w14:paraId="22D56593" w14:textId="77777777" w:rsidTr="00015E11">
        <w:trPr>
          <w:trHeight w:val="884"/>
        </w:trPr>
        <w:tc>
          <w:tcPr>
            <w:tcW w:w="2689" w:type="dxa"/>
          </w:tcPr>
          <w:p w14:paraId="25934561" w14:textId="77777777" w:rsidR="00146D08" w:rsidRPr="001532C8" w:rsidRDefault="00146D08" w:rsidP="00015E11">
            <w:pPr>
              <w:jc w:val="both"/>
              <w:rPr>
                <w:rFonts w:ascii="Verdana" w:eastAsia="Calibri" w:hAnsi="Verdana" w:cs="Arial"/>
                <w:color w:val="000000"/>
                <w:lang w:val="es-ES_tradnl" w:eastAsia="es-ES_tradnl"/>
              </w:rPr>
            </w:pPr>
            <w:r w:rsidRPr="001532C8">
              <w:rPr>
                <w:rFonts w:ascii="Verdana" w:eastAsia="Calibri" w:hAnsi="Verdana" w:cs="Arial"/>
                <w:b/>
                <w:color w:val="000000"/>
                <w:lang w:val="es-ES_tradnl" w:eastAsia="es-ES_tradnl"/>
              </w:rPr>
              <w:t>Temas:</w:t>
            </w:r>
            <w:r w:rsidRPr="001532C8">
              <w:rPr>
                <w:rFonts w:ascii="Verdana" w:eastAsia="Calibri" w:hAnsi="Verdana" w:cs="Arial"/>
                <w:color w:val="000000"/>
                <w:lang w:val="es-ES_tradnl" w:eastAsia="es-ES_tradnl"/>
              </w:rPr>
              <w:t xml:space="preserve">                   </w:t>
            </w:r>
          </w:p>
        </w:tc>
        <w:tc>
          <w:tcPr>
            <w:tcW w:w="6100" w:type="dxa"/>
          </w:tcPr>
          <w:p w14:paraId="1DD94E64" w14:textId="77777777" w:rsidR="00146D08" w:rsidRPr="00C463C6" w:rsidRDefault="00146D08" w:rsidP="00015E11">
            <w:pPr>
              <w:spacing w:line="276" w:lineRule="auto"/>
              <w:jc w:val="both"/>
              <w:rPr>
                <w:rFonts w:ascii="Verdana" w:eastAsia="Calibri" w:hAnsi="Verdana" w:cs="Arial"/>
                <w:lang w:val="es-ES" w:eastAsia="es-ES"/>
              </w:rPr>
            </w:pPr>
            <w:r w:rsidRPr="00C463C6">
              <w:rPr>
                <w:rFonts w:ascii="Verdana" w:eastAsia="Calibri" w:hAnsi="Verdana" w:cs="Arial"/>
                <w:lang w:val="es-ES" w:eastAsia="es-ES"/>
              </w:rPr>
              <w:t>CONTRATO DE PRESTACIÓN DE SERVICIOS ― Concepto ― Requisitos y límites para su celebración / HONORARIOS - Límite Remuneración – Régimen jurídico / HONORARIOS – Determinación – Tablas de honorarios – Estandarización de perfiles – No obligatoriedad</w:t>
            </w:r>
          </w:p>
          <w:p w14:paraId="34A115FD" w14:textId="77777777" w:rsidR="00146D08" w:rsidRPr="00C463C6" w:rsidRDefault="00146D08" w:rsidP="00015E11">
            <w:pPr>
              <w:spacing w:line="276" w:lineRule="auto"/>
              <w:jc w:val="both"/>
              <w:rPr>
                <w:rFonts w:ascii="Verdana" w:eastAsia="Calibri" w:hAnsi="Verdana" w:cs="Arial"/>
                <w:lang w:val="es-ES" w:eastAsia="es-ES"/>
              </w:rPr>
            </w:pPr>
          </w:p>
        </w:tc>
      </w:tr>
      <w:tr w:rsidR="00146D08" w:rsidRPr="001532C8" w14:paraId="6995A594" w14:textId="77777777" w:rsidTr="00015E11">
        <w:tc>
          <w:tcPr>
            <w:tcW w:w="2689" w:type="dxa"/>
          </w:tcPr>
          <w:p w14:paraId="6FA689FF" w14:textId="77777777" w:rsidR="00146D08" w:rsidRPr="001532C8" w:rsidRDefault="00146D08" w:rsidP="00015E11">
            <w:pPr>
              <w:jc w:val="both"/>
              <w:rPr>
                <w:rFonts w:ascii="Verdana" w:eastAsia="Calibri" w:hAnsi="Verdana" w:cs="Arial"/>
                <w:b/>
                <w:lang w:val="es-ES_tradnl" w:eastAsia="es-ES_tradnl"/>
              </w:rPr>
            </w:pPr>
            <w:r w:rsidRPr="001532C8">
              <w:rPr>
                <w:rFonts w:ascii="Verdana" w:eastAsia="Calibri" w:hAnsi="Verdana" w:cs="Arial"/>
                <w:b/>
                <w:lang w:val="es-ES_tradnl" w:eastAsia="es-ES_tradnl"/>
              </w:rPr>
              <w:t>Radicación:</w:t>
            </w:r>
            <w:r w:rsidRPr="001532C8">
              <w:rPr>
                <w:rFonts w:ascii="Verdana" w:eastAsia="Calibri" w:hAnsi="Verdana" w:cs="Arial"/>
                <w:lang w:val="es-ES_tradnl" w:eastAsia="es-ES_tradnl"/>
              </w:rPr>
              <w:t xml:space="preserve">               </w:t>
            </w:r>
          </w:p>
        </w:tc>
        <w:tc>
          <w:tcPr>
            <w:tcW w:w="6100" w:type="dxa"/>
          </w:tcPr>
          <w:p w14:paraId="6308F46B" w14:textId="77777777" w:rsidR="00146D08" w:rsidRPr="001532C8" w:rsidRDefault="00146D08" w:rsidP="00015E11">
            <w:pPr>
              <w:jc w:val="both"/>
              <w:rPr>
                <w:rFonts w:ascii="Verdana" w:eastAsia="Calibri" w:hAnsi="Verdana" w:cs="Arial"/>
                <w:lang w:val="es-ES_tradnl" w:eastAsia="es-ES_tradnl"/>
              </w:rPr>
            </w:pPr>
            <w:r w:rsidRPr="001532C8">
              <w:rPr>
                <w:rFonts w:ascii="Verdana" w:eastAsia="Calibri" w:hAnsi="Verdana" w:cs="Arial"/>
                <w:lang w:val="es-ES_tradnl" w:eastAsia="es-ES_tradnl"/>
              </w:rPr>
              <w:t>Respuesta a consulta con radicado No. P20241125011827</w:t>
            </w:r>
          </w:p>
        </w:tc>
      </w:tr>
    </w:tbl>
    <w:p w14:paraId="2CFE1082" w14:textId="77777777" w:rsidR="00146D08" w:rsidRPr="001532C8" w:rsidRDefault="00146D08" w:rsidP="00146D08">
      <w:pPr>
        <w:spacing w:after="0" w:line="240" w:lineRule="auto"/>
        <w:jc w:val="both"/>
        <w:rPr>
          <w:rFonts w:ascii="Verdana" w:eastAsia="Calibri" w:hAnsi="Verdana" w:cs="Arial"/>
          <w:lang w:val="es-ES_tradnl" w:eastAsia="es-ES_tradnl"/>
        </w:rPr>
      </w:pPr>
    </w:p>
    <w:p w14:paraId="29CC1ABA" w14:textId="77777777" w:rsidR="00146D08" w:rsidRPr="001532C8" w:rsidRDefault="00146D08" w:rsidP="00146D08">
      <w:pPr>
        <w:spacing w:after="0" w:line="240" w:lineRule="auto"/>
        <w:jc w:val="both"/>
        <w:rPr>
          <w:rFonts w:ascii="Verdana" w:eastAsia="Calibri" w:hAnsi="Verdana" w:cs="Arial"/>
          <w:lang w:val="es-ES_tradnl" w:eastAsia="es-ES_tradnl"/>
        </w:rPr>
      </w:pPr>
    </w:p>
    <w:p w14:paraId="162A20B3" w14:textId="77777777" w:rsidR="00146D08" w:rsidRPr="001532C8" w:rsidRDefault="00146D08" w:rsidP="00146D08">
      <w:pPr>
        <w:spacing w:after="0" w:line="276" w:lineRule="auto"/>
        <w:jc w:val="both"/>
        <w:rPr>
          <w:rFonts w:ascii="Verdana" w:eastAsia="Calibri" w:hAnsi="Verdana" w:cs="Arial"/>
          <w:lang w:val="es-ES" w:eastAsia="es-ES"/>
        </w:rPr>
      </w:pPr>
      <w:r w:rsidRPr="001532C8">
        <w:rPr>
          <w:rFonts w:ascii="Verdana" w:eastAsia="Calibri" w:hAnsi="Verdana" w:cs="Arial"/>
          <w:lang w:val="es-ES" w:eastAsia="es-ES"/>
        </w:rPr>
        <w:t xml:space="preserve">Estimada señora Lyda Milena: </w:t>
      </w:r>
    </w:p>
    <w:p w14:paraId="69351F4F" w14:textId="77777777" w:rsidR="00146D08" w:rsidRPr="001532C8" w:rsidRDefault="00146D08" w:rsidP="00146D08">
      <w:pPr>
        <w:tabs>
          <w:tab w:val="left" w:pos="3768"/>
        </w:tabs>
        <w:spacing w:after="0" w:line="276" w:lineRule="auto"/>
        <w:jc w:val="both"/>
        <w:rPr>
          <w:rFonts w:ascii="Verdana" w:eastAsia="Calibri" w:hAnsi="Verdana" w:cs="Arial"/>
          <w:lang w:val="es-ES" w:eastAsia="es-ES"/>
        </w:rPr>
      </w:pPr>
      <w:r w:rsidRPr="001532C8">
        <w:rPr>
          <w:rFonts w:ascii="Verdana" w:eastAsia="Calibri" w:hAnsi="Verdana" w:cs="Arial"/>
          <w:lang w:val="es-ES" w:eastAsia="es-ES"/>
        </w:rPr>
        <w:tab/>
      </w:r>
    </w:p>
    <w:p w14:paraId="35FF00F4" w14:textId="77777777" w:rsidR="00146D08" w:rsidRPr="001532C8" w:rsidRDefault="00146D08" w:rsidP="00146D08">
      <w:pPr>
        <w:spacing w:after="0" w:line="276" w:lineRule="auto"/>
        <w:jc w:val="both"/>
        <w:rPr>
          <w:rFonts w:ascii="Verdana" w:eastAsia="Calibri" w:hAnsi="Verdana" w:cs="Arial"/>
          <w:lang w:val="es-ES" w:eastAsia="es-ES"/>
        </w:rPr>
      </w:pPr>
      <w:r w:rsidRPr="001532C8">
        <w:rPr>
          <w:rFonts w:ascii="Verdana" w:eastAsia="Calibri" w:hAnsi="Verdana" w:cs="Arial"/>
          <w:lang w:val="es-ES" w:eastAsia="es-ES"/>
        </w:rPr>
        <w:t>En ejercicio de la competencia otorgada por los artículos 3, numeral 5º, y 11, numeral 8º, del Decreto Ley 4170 de 2011,</w:t>
      </w:r>
      <w:r w:rsidRPr="001532C8">
        <w:rPr>
          <w:rFonts w:ascii="Verdana" w:eastAsia="Arial MT" w:hAnsi="Verdana" w:cs="Arial MT"/>
          <w:lang w:val="es-ES" w:eastAsia="es-ES"/>
        </w:rPr>
        <w:t xml:space="preserve"> </w:t>
      </w:r>
      <w:r w:rsidRPr="001532C8">
        <w:rPr>
          <w:rFonts w:ascii="Verdana" w:hAnsi="Verdana" w:cs="Arial"/>
        </w:rPr>
        <w:t xml:space="preserve">así como lo establecido en el artículo 4 de la Resolución 1707 de 2018 expedida por esta Entidad, </w:t>
      </w:r>
      <w:r w:rsidRPr="001532C8">
        <w:rPr>
          <w:rFonts w:ascii="Verdana" w:eastAsia="Calibri" w:hAnsi="Verdana" w:cs="Arial"/>
          <w:lang w:val="es-ES" w:eastAsia="es-ES"/>
        </w:rPr>
        <w:t xml:space="preserve">la Agencia Nacional de Contratación Pública – Colombia Compra Eficiente– responde su solicitud de consulta de fecha 25 de noviembre de 2024, remitida por el Departamento Administrativo de la Función Pública con oficio remisorio No. </w:t>
      </w:r>
      <w:r w:rsidRPr="001532C8">
        <w:rPr>
          <w:rFonts w:ascii="Verdana" w:eastAsia="Calibri" w:hAnsi="Verdana" w:cs="Arial"/>
          <w:lang w:eastAsia="es-ES"/>
        </w:rPr>
        <w:t>20242040663991</w:t>
      </w:r>
      <w:r w:rsidRPr="001532C8">
        <w:rPr>
          <w:rFonts w:ascii="Verdana" w:eastAsia="Calibri" w:hAnsi="Verdana" w:cs="Arial"/>
          <w:lang w:val="es-ES" w:eastAsia="es-ES"/>
        </w:rPr>
        <w:t xml:space="preserve">, en la cual manifiesta lo siguiente: </w:t>
      </w:r>
    </w:p>
    <w:p w14:paraId="12D44FA9" w14:textId="77777777" w:rsidR="00146D08" w:rsidRPr="001532C8" w:rsidRDefault="00146D08" w:rsidP="00146D08">
      <w:pPr>
        <w:pStyle w:val="Prrafodelista"/>
        <w:tabs>
          <w:tab w:val="left" w:pos="142"/>
          <w:tab w:val="left" w:pos="284"/>
        </w:tabs>
        <w:spacing w:line="276" w:lineRule="auto"/>
        <w:ind w:left="0"/>
        <w:jc w:val="both"/>
        <w:rPr>
          <w:rFonts w:ascii="Verdana" w:eastAsia="Century Gothic" w:hAnsi="Verdana" w:cs="Century Gothic"/>
          <w:b/>
          <w:bCs/>
        </w:rPr>
      </w:pPr>
    </w:p>
    <w:p w14:paraId="7600B0A7" w14:textId="77777777" w:rsidR="00146D08" w:rsidRPr="001532C8" w:rsidRDefault="00146D08" w:rsidP="00146D08">
      <w:pPr>
        <w:spacing w:after="0" w:line="240" w:lineRule="auto"/>
        <w:ind w:left="709" w:right="709"/>
        <w:jc w:val="both"/>
        <w:rPr>
          <w:rFonts w:ascii="Verdana" w:hAnsi="Verdana" w:cs="Arial"/>
          <w:sz w:val="20"/>
          <w:szCs w:val="20"/>
          <w:shd w:val="clear" w:color="auto" w:fill="FFFFFF"/>
        </w:rPr>
      </w:pPr>
      <w:bookmarkStart w:id="0" w:name="_Hlk95313578"/>
      <w:r w:rsidRPr="001532C8">
        <w:rPr>
          <w:rFonts w:ascii="Verdana" w:eastAsia="Century Gothic" w:hAnsi="Verdana" w:cs="Century Gothic"/>
          <w:sz w:val="20"/>
          <w:szCs w:val="20"/>
          <w:lang w:val="es-ES"/>
        </w:rPr>
        <w:t>“</w:t>
      </w:r>
      <w:r w:rsidRPr="001532C8">
        <w:rPr>
          <w:rFonts w:ascii="Verdana" w:hAnsi="Verdana" w:cs="Arial"/>
          <w:sz w:val="20"/>
          <w:szCs w:val="20"/>
          <w:shd w:val="clear" w:color="auto" w:fill="FFFFFF"/>
        </w:rPr>
        <w:t>De manera respetuosa me dirijo a ustedes con el fin de aclarar algunas dudas en el actuar administrativo y financiero en los municipios de sexta categoría, por lo cual solicito su colaboración en cuanto a las siguientes preguntas.</w:t>
      </w:r>
    </w:p>
    <w:p w14:paraId="1385E198" w14:textId="77777777" w:rsidR="00146D08" w:rsidRPr="001532C8" w:rsidRDefault="00146D08" w:rsidP="00146D08">
      <w:pPr>
        <w:spacing w:after="0" w:line="240" w:lineRule="auto"/>
        <w:ind w:left="709" w:right="709"/>
        <w:jc w:val="both"/>
        <w:rPr>
          <w:rFonts w:ascii="Verdana" w:hAnsi="Verdana" w:cs="Arial"/>
          <w:sz w:val="20"/>
          <w:szCs w:val="20"/>
          <w:shd w:val="clear" w:color="auto" w:fill="FFFFFF"/>
        </w:rPr>
      </w:pPr>
    </w:p>
    <w:p w14:paraId="122C3F7D" w14:textId="77777777" w:rsidR="00146D08" w:rsidRPr="001532C8" w:rsidRDefault="00146D08" w:rsidP="00146D08">
      <w:pPr>
        <w:pStyle w:val="Prrafodelista"/>
        <w:numPr>
          <w:ilvl w:val="0"/>
          <w:numId w:val="18"/>
        </w:numPr>
        <w:spacing w:after="0" w:line="240" w:lineRule="auto"/>
        <w:ind w:right="709"/>
        <w:jc w:val="both"/>
        <w:rPr>
          <w:rFonts w:ascii="Verdana" w:eastAsia="Century Gothic" w:hAnsi="Verdana" w:cs="Century Gothic"/>
          <w:sz w:val="20"/>
          <w:szCs w:val="20"/>
        </w:rPr>
      </w:pPr>
      <w:r w:rsidRPr="001532C8">
        <w:rPr>
          <w:rFonts w:ascii="Verdana" w:hAnsi="Verdana" w:cs="Arial"/>
          <w:sz w:val="20"/>
          <w:szCs w:val="20"/>
          <w:shd w:val="clear" w:color="auto" w:fill="FFFFFF"/>
        </w:rPr>
        <w:t>Pueden las alcald</w:t>
      </w:r>
      <w:r w:rsidRPr="001532C8">
        <w:rPr>
          <w:rFonts w:ascii="Verdana" w:hAnsi="Verdana" w:cs="Verdana"/>
          <w:sz w:val="20"/>
          <w:szCs w:val="20"/>
          <w:shd w:val="clear" w:color="auto" w:fill="FFFFFF"/>
        </w:rPr>
        <w:t>í</w:t>
      </w:r>
      <w:r w:rsidRPr="001532C8">
        <w:rPr>
          <w:rFonts w:ascii="Verdana" w:hAnsi="Verdana" w:cs="Arial"/>
          <w:sz w:val="20"/>
          <w:szCs w:val="20"/>
          <w:shd w:val="clear" w:color="auto" w:fill="FFFFFF"/>
        </w:rPr>
        <w:t>as de los municipios de sexta categoría realizar Contratos de Prestaci</w:t>
      </w:r>
      <w:r w:rsidRPr="001532C8">
        <w:rPr>
          <w:rFonts w:ascii="Verdana" w:hAnsi="Verdana" w:cs="Verdana"/>
          <w:sz w:val="20"/>
          <w:szCs w:val="20"/>
          <w:shd w:val="clear" w:color="auto" w:fill="FFFFFF"/>
        </w:rPr>
        <w:t>ó</w:t>
      </w:r>
      <w:r w:rsidRPr="001532C8">
        <w:rPr>
          <w:rFonts w:ascii="Verdana" w:hAnsi="Verdana" w:cs="Arial"/>
          <w:sz w:val="20"/>
          <w:szCs w:val="20"/>
          <w:shd w:val="clear" w:color="auto" w:fill="FFFFFF"/>
        </w:rPr>
        <w:t>n de Servicios profesionales y/o de apoyo a la gesti</w:t>
      </w:r>
      <w:r w:rsidRPr="001532C8">
        <w:rPr>
          <w:rFonts w:ascii="Verdana" w:hAnsi="Verdana" w:cs="Verdana"/>
          <w:sz w:val="20"/>
          <w:szCs w:val="20"/>
          <w:shd w:val="clear" w:color="auto" w:fill="FFFFFF"/>
        </w:rPr>
        <w:t>ó</w:t>
      </w:r>
      <w:r w:rsidRPr="001532C8">
        <w:rPr>
          <w:rFonts w:ascii="Verdana" w:hAnsi="Verdana" w:cs="Arial"/>
          <w:sz w:val="20"/>
          <w:szCs w:val="20"/>
          <w:shd w:val="clear" w:color="auto" w:fill="FFFFFF"/>
        </w:rPr>
        <w:t xml:space="preserve">n en forma continua por un valor mensual mayor al </w:t>
      </w:r>
      <w:proofErr w:type="spellStart"/>
      <w:r w:rsidRPr="001532C8">
        <w:rPr>
          <w:rFonts w:ascii="Verdana" w:hAnsi="Verdana" w:cs="Arial"/>
          <w:sz w:val="20"/>
          <w:szCs w:val="20"/>
          <w:shd w:val="clear" w:color="auto" w:fill="FFFFFF"/>
        </w:rPr>
        <w:t>de el</w:t>
      </w:r>
      <w:proofErr w:type="spellEnd"/>
      <w:r w:rsidRPr="001532C8">
        <w:rPr>
          <w:rFonts w:ascii="Verdana" w:hAnsi="Verdana" w:cs="Arial"/>
          <w:sz w:val="20"/>
          <w:szCs w:val="20"/>
          <w:shd w:val="clear" w:color="auto" w:fill="FFFFFF"/>
        </w:rPr>
        <w:t xml:space="preserve"> </w:t>
      </w:r>
      <w:r w:rsidRPr="001532C8">
        <w:rPr>
          <w:rFonts w:ascii="Verdana" w:hAnsi="Verdana" w:cs="Arial"/>
          <w:sz w:val="20"/>
          <w:szCs w:val="20"/>
          <w:shd w:val="clear" w:color="auto" w:fill="FFFFFF"/>
        </w:rPr>
        <w:lastRenderedPageBreak/>
        <w:t>jefe de la entidad en este caso al de un empleo de libre nombramiento y remoci</w:t>
      </w:r>
      <w:r w:rsidRPr="001532C8">
        <w:rPr>
          <w:rFonts w:ascii="Verdana" w:hAnsi="Verdana" w:cs="Verdana"/>
          <w:sz w:val="20"/>
          <w:szCs w:val="20"/>
          <w:shd w:val="clear" w:color="auto" w:fill="FFFFFF"/>
        </w:rPr>
        <w:t>ó</w:t>
      </w:r>
      <w:r w:rsidRPr="001532C8">
        <w:rPr>
          <w:rFonts w:ascii="Verdana" w:hAnsi="Verdana" w:cs="Arial"/>
          <w:sz w:val="20"/>
          <w:szCs w:val="20"/>
          <w:shd w:val="clear" w:color="auto" w:fill="FFFFFF"/>
        </w:rPr>
        <w:t>n (secretaria de gobierno).</w:t>
      </w:r>
    </w:p>
    <w:p w14:paraId="468C6BE3" w14:textId="77777777" w:rsidR="00146D08" w:rsidRPr="001532C8" w:rsidRDefault="00146D08" w:rsidP="00146D08">
      <w:pPr>
        <w:pStyle w:val="Prrafodelista"/>
        <w:spacing w:after="0" w:line="240" w:lineRule="auto"/>
        <w:ind w:left="1429" w:right="709"/>
        <w:jc w:val="both"/>
        <w:rPr>
          <w:rFonts w:ascii="Verdana" w:eastAsia="Century Gothic" w:hAnsi="Verdana" w:cs="Century Gothic"/>
          <w:sz w:val="20"/>
          <w:szCs w:val="20"/>
        </w:rPr>
      </w:pPr>
    </w:p>
    <w:p w14:paraId="1413B643" w14:textId="77777777" w:rsidR="00146D08" w:rsidRPr="001532C8" w:rsidRDefault="00146D08" w:rsidP="00146D08">
      <w:pPr>
        <w:pStyle w:val="Prrafodelista"/>
        <w:numPr>
          <w:ilvl w:val="0"/>
          <w:numId w:val="18"/>
        </w:numPr>
        <w:spacing w:after="0" w:line="240" w:lineRule="auto"/>
        <w:ind w:right="709"/>
        <w:jc w:val="both"/>
        <w:rPr>
          <w:rFonts w:ascii="Verdana" w:eastAsia="Century Gothic" w:hAnsi="Verdana" w:cs="Century Gothic"/>
          <w:sz w:val="20"/>
          <w:szCs w:val="20"/>
        </w:rPr>
      </w:pPr>
      <w:r w:rsidRPr="001532C8">
        <w:rPr>
          <w:rFonts w:ascii="Verdana" w:hAnsi="Verdana" w:cs="Arial"/>
          <w:sz w:val="20"/>
          <w:szCs w:val="20"/>
          <w:shd w:val="clear" w:color="auto" w:fill="FFFFFF"/>
        </w:rPr>
        <w:t>Existe un l</w:t>
      </w:r>
      <w:r w:rsidRPr="001532C8">
        <w:rPr>
          <w:rFonts w:ascii="Verdana" w:hAnsi="Verdana" w:cs="Verdana"/>
          <w:sz w:val="20"/>
          <w:szCs w:val="20"/>
          <w:shd w:val="clear" w:color="auto" w:fill="FFFFFF"/>
        </w:rPr>
        <w:t>í</w:t>
      </w:r>
      <w:r w:rsidRPr="001532C8">
        <w:rPr>
          <w:rFonts w:ascii="Verdana" w:hAnsi="Verdana" w:cs="Arial"/>
          <w:sz w:val="20"/>
          <w:szCs w:val="20"/>
          <w:shd w:val="clear" w:color="auto" w:fill="FFFFFF"/>
        </w:rPr>
        <w:t>mite para la celebraci</w:t>
      </w:r>
      <w:r w:rsidRPr="001532C8">
        <w:rPr>
          <w:rFonts w:ascii="Verdana" w:hAnsi="Verdana" w:cs="Verdana"/>
          <w:sz w:val="20"/>
          <w:szCs w:val="20"/>
          <w:shd w:val="clear" w:color="auto" w:fill="FFFFFF"/>
        </w:rPr>
        <w:t>ó</w:t>
      </w:r>
      <w:r w:rsidRPr="001532C8">
        <w:rPr>
          <w:rFonts w:ascii="Verdana" w:hAnsi="Verdana" w:cs="Arial"/>
          <w:sz w:val="20"/>
          <w:szCs w:val="20"/>
          <w:shd w:val="clear" w:color="auto" w:fill="FFFFFF"/>
        </w:rPr>
        <w:t>n de contratos de prestaci</w:t>
      </w:r>
      <w:r w:rsidRPr="001532C8">
        <w:rPr>
          <w:rFonts w:ascii="Verdana" w:hAnsi="Verdana" w:cs="Verdana"/>
          <w:sz w:val="20"/>
          <w:szCs w:val="20"/>
          <w:shd w:val="clear" w:color="auto" w:fill="FFFFFF"/>
        </w:rPr>
        <w:t>ó</w:t>
      </w:r>
      <w:r w:rsidRPr="001532C8">
        <w:rPr>
          <w:rFonts w:ascii="Verdana" w:hAnsi="Verdana" w:cs="Arial"/>
          <w:sz w:val="20"/>
          <w:szCs w:val="20"/>
          <w:shd w:val="clear" w:color="auto" w:fill="FFFFFF"/>
        </w:rPr>
        <w:t>n de servicios de apoyo a la gesti</w:t>
      </w:r>
      <w:r w:rsidRPr="001532C8">
        <w:rPr>
          <w:rFonts w:ascii="Verdana" w:hAnsi="Verdana" w:cs="Verdana"/>
          <w:sz w:val="20"/>
          <w:szCs w:val="20"/>
          <w:shd w:val="clear" w:color="auto" w:fill="FFFFFF"/>
        </w:rPr>
        <w:t>ó</w:t>
      </w:r>
      <w:r w:rsidRPr="001532C8">
        <w:rPr>
          <w:rFonts w:ascii="Verdana" w:hAnsi="Verdana" w:cs="Arial"/>
          <w:sz w:val="20"/>
          <w:szCs w:val="20"/>
          <w:shd w:val="clear" w:color="auto" w:fill="FFFFFF"/>
        </w:rPr>
        <w:t>n y de prestaci</w:t>
      </w:r>
      <w:r w:rsidRPr="001532C8">
        <w:rPr>
          <w:rFonts w:ascii="Verdana" w:hAnsi="Verdana" w:cs="Verdana"/>
          <w:sz w:val="20"/>
          <w:szCs w:val="20"/>
          <w:shd w:val="clear" w:color="auto" w:fill="FFFFFF"/>
        </w:rPr>
        <w:t>ó</w:t>
      </w:r>
      <w:r w:rsidRPr="001532C8">
        <w:rPr>
          <w:rFonts w:ascii="Verdana" w:hAnsi="Verdana" w:cs="Arial"/>
          <w:sz w:val="20"/>
          <w:szCs w:val="20"/>
          <w:shd w:val="clear" w:color="auto" w:fill="FFFFFF"/>
        </w:rPr>
        <w:t>n de servicios profesionales en un municipio de sexta categor</w:t>
      </w:r>
      <w:r w:rsidRPr="001532C8">
        <w:rPr>
          <w:rFonts w:ascii="Verdana" w:hAnsi="Verdana" w:cs="Verdana"/>
          <w:sz w:val="20"/>
          <w:szCs w:val="20"/>
          <w:shd w:val="clear" w:color="auto" w:fill="FFFFFF"/>
        </w:rPr>
        <w:t>í</w:t>
      </w:r>
      <w:r w:rsidRPr="001532C8">
        <w:rPr>
          <w:rFonts w:ascii="Verdana" w:hAnsi="Verdana" w:cs="Arial"/>
          <w:sz w:val="20"/>
          <w:szCs w:val="20"/>
          <w:shd w:val="clear" w:color="auto" w:fill="FFFFFF"/>
        </w:rPr>
        <w:t>a.</w:t>
      </w:r>
    </w:p>
    <w:p w14:paraId="5343F72A" w14:textId="77777777" w:rsidR="00146D08" w:rsidRPr="001532C8" w:rsidRDefault="00146D08" w:rsidP="00146D08">
      <w:pPr>
        <w:pStyle w:val="Prrafodelista"/>
        <w:rPr>
          <w:rFonts w:ascii="Verdana" w:hAnsi="Verdana" w:cs="Arial"/>
          <w:sz w:val="20"/>
          <w:szCs w:val="20"/>
          <w:shd w:val="clear" w:color="auto" w:fill="FFFFFF"/>
        </w:rPr>
      </w:pPr>
    </w:p>
    <w:p w14:paraId="716DE364" w14:textId="77777777" w:rsidR="00146D08" w:rsidRPr="001532C8" w:rsidRDefault="00146D08" w:rsidP="00146D08">
      <w:pPr>
        <w:pStyle w:val="Prrafodelista"/>
        <w:numPr>
          <w:ilvl w:val="0"/>
          <w:numId w:val="18"/>
        </w:numPr>
        <w:spacing w:after="0" w:line="240" w:lineRule="auto"/>
        <w:ind w:right="709"/>
        <w:jc w:val="both"/>
        <w:rPr>
          <w:rFonts w:ascii="Verdana" w:eastAsia="Century Gothic" w:hAnsi="Verdana" w:cs="Century Gothic"/>
          <w:sz w:val="20"/>
          <w:szCs w:val="20"/>
        </w:rPr>
      </w:pPr>
      <w:r w:rsidRPr="001532C8">
        <w:rPr>
          <w:rFonts w:ascii="Verdana" w:hAnsi="Verdana" w:cs="Arial"/>
          <w:sz w:val="20"/>
          <w:szCs w:val="20"/>
          <w:shd w:val="clear" w:color="auto" w:fill="FFFFFF"/>
        </w:rPr>
        <w:t>Cu</w:t>
      </w:r>
      <w:r w:rsidRPr="001532C8">
        <w:rPr>
          <w:rFonts w:ascii="Verdana" w:hAnsi="Verdana" w:cs="Verdana"/>
          <w:sz w:val="20"/>
          <w:szCs w:val="20"/>
          <w:shd w:val="clear" w:color="auto" w:fill="FFFFFF"/>
        </w:rPr>
        <w:t>á</w:t>
      </w:r>
      <w:r w:rsidRPr="001532C8">
        <w:rPr>
          <w:rFonts w:ascii="Verdana" w:hAnsi="Verdana" w:cs="Arial"/>
          <w:sz w:val="20"/>
          <w:szCs w:val="20"/>
          <w:shd w:val="clear" w:color="auto" w:fill="FFFFFF"/>
        </w:rPr>
        <w:t>l es la tabla de honorarios para los contratos de prestaci</w:t>
      </w:r>
      <w:r w:rsidRPr="001532C8">
        <w:rPr>
          <w:rFonts w:ascii="Verdana" w:hAnsi="Verdana" w:cs="Verdana"/>
          <w:sz w:val="20"/>
          <w:szCs w:val="20"/>
          <w:shd w:val="clear" w:color="auto" w:fill="FFFFFF"/>
        </w:rPr>
        <w:t>ó</w:t>
      </w:r>
      <w:r w:rsidRPr="001532C8">
        <w:rPr>
          <w:rFonts w:ascii="Verdana" w:hAnsi="Verdana" w:cs="Arial"/>
          <w:sz w:val="20"/>
          <w:szCs w:val="20"/>
          <w:shd w:val="clear" w:color="auto" w:fill="FFFFFF"/>
        </w:rPr>
        <w:t>n de servicios profesionales que se debe aplicar en un municipio de sexta categor</w:t>
      </w:r>
      <w:r w:rsidRPr="001532C8">
        <w:rPr>
          <w:rFonts w:ascii="Verdana" w:hAnsi="Verdana" w:cs="Verdana"/>
          <w:sz w:val="20"/>
          <w:szCs w:val="20"/>
          <w:shd w:val="clear" w:color="auto" w:fill="FFFFFF"/>
        </w:rPr>
        <w:t>í</w:t>
      </w:r>
      <w:r w:rsidRPr="001532C8">
        <w:rPr>
          <w:rFonts w:ascii="Verdana" w:hAnsi="Verdana" w:cs="Arial"/>
          <w:sz w:val="20"/>
          <w:szCs w:val="20"/>
          <w:shd w:val="clear" w:color="auto" w:fill="FFFFFF"/>
        </w:rPr>
        <w:t>a.</w:t>
      </w:r>
    </w:p>
    <w:p w14:paraId="1FB96B11" w14:textId="77777777" w:rsidR="00146D08" w:rsidRPr="001532C8" w:rsidRDefault="00146D08" w:rsidP="00146D08">
      <w:pPr>
        <w:pStyle w:val="Prrafodelista"/>
        <w:rPr>
          <w:rFonts w:ascii="Verdana" w:hAnsi="Verdana" w:cs="Arial"/>
          <w:sz w:val="20"/>
          <w:szCs w:val="20"/>
          <w:shd w:val="clear" w:color="auto" w:fill="FFFFFF"/>
        </w:rPr>
      </w:pPr>
    </w:p>
    <w:p w14:paraId="274D28D8" w14:textId="77777777" w:rsidR="00146D08" w:rsidRPr="001532C8" w:rsidRDefault="00146D08" w:rsidP="00146D08">
      <w:pPr>
        <w:pStyle w:val="Prrafodelista"/>
        <w:numPr>
          <w:ilvl w:val="0"/>
          <w:numId w:val="18"/>
        </w:numPr>
        <w:spacing w:after="0" w:line="240" w:lineRule="auto"/>
        <w:ind w:right="709"/>
        <w:jc w:val="both"/>
        <w:rPr>
          <w:rFonts w:ascii="Verdana" w:eastAsia="Century Gothic" w:hAnsi="Verdana" w:cs="Century Gothic"/>
          <w:sz w:val="20"/>
          <w:szCs w:val="20"/>
        </w:rPr>
      </w:pPr>
      <w:r w:rsidRPr="001532C8">
        <w:rPr>
          <w:rFonts w:ascii="Verdana" w:hAnsi="Verdana" w:cs="Arial"/>
          <w:sz w:val="20"/>
          <w:szCs w:val="20"/>
          <w:shd w:val="clear" w:color="auto" w:fill="FFFFFF"/>
        </w:rPr>
        <w:t>Los alcaldes municipales deben expedir un acto administrativo por el cual se adopte la tabla de honorarios para el pago de contratos de prestaci</w:t>
      </w:r>
      <w:r w:rsidRPr="001532C8">
        <w:rPr>
          <w:rFonts w:ascii="Verdana" w:hAnsi="Verdana" w:cs="Verdana"/>
          <w:sz w:val="20"/>
          <w:szCs w:val="20"/>
          <w:shd w:val="clear" w:color="auto" w:fill="FFFFFF"/>
        </w:rPr>
        <w:t>ó</w:t>
      </w:r>
      <w:r w:rsidRPr="001532C8">
        <w:rPr>
          <w:rFonts w:ascii="Verdana" w:hAnsi="Verdana" w:cs="Arial"/>
          <w:sz w:val="20"/>
          <w:szCs w:val="20"/>
          <w:shd w:val="clear" w:color="auto" w:fill="FFFFFF"/>
        </w:rPr>
        <w:t xml:space="preserve">n de servicios profesionales </w:t>
      </w:r>
      <w:r w:rsidRPr="001532C8">
        <w:rPr>
          <w:rStyle w:val="normaltextrun"/>
          <w:rFonts w:ascii="Verdana" w:hAnsi="Verdana" w:cs="Arial"/>
          <w:sz w:val="20"/>
          <w:szCs w:val="20"/>
          <w:shd w:val="clear" w:color="auto" w:fill="FFFFFF"/>
        </w:rPr>
        <w:t>[…]</w:t>
      </w:r>
      <w:r w:rsidRPr="001532C8">
        <w:rPr>
          <w:rFonts w:ascii="Verdana" w:eastAsia="Century Gothic" w:hAnsi="Verdana" w:cs="Century Gothic"/>
          <w:sz w:val="20"/>
          <w:szCs w:val="20"/>
        </w:rPr>
        <w:t>”</w:t>
      </w:r>
      <w:bookmarkEnd w:id="0"/>
      <w:r w:rsidRPr="001532C8">
        <w:rPr>
          <w:rFonts w:ascii="Verdana" w:eastAsia="Century Gothic" w:hAnsi="Verdana" w:cs="Century Gothic"/>
          <w:sz w:val="20"/>
          <w:szCs w:val="20"/>
        </w:rPr>
        <w:t>.</w:t>
      </w:r>
    </w:p>
    <w:p w14:paraId="5624ACC0" w14:textId="77777777" w:rsidR="00146D08" w:rsidRPr="001532C8" w:rsidRDefault="00146D08" w:rsidP="00146D08">
      <w:pPr>
        <w:pStyle w:val="Prrafodelista"/>
        <w:tabs>
          <w:tab w:val="left" w:pos="142"/>
          <w:tab w:val="left" w:pos="284"/>
        </w:tabs>
        <w:spacing w:line="276" w:lineRule="auto"/>
        <w:ind w:left="0"/>
        <w:jc w:val="both"/>
        <w:rPr>
          <w:rFonts w:ascii="Verdana" w:eastAsia="Century Gothic" w:hAnsi="Verdana" w:cs="Century Gothic"/>
          <w:b/>
          <w:bCs/>
        </w:rPr>
      </w:pPr>
    </w:p>
    <w:p w14:paraId="58042A20" w14:textId="77777777" w:rsidR="00146D08" w:rsidRPr="001532C8" w:rsidRDefault="00146D08" w:rsidP="00146D08">
      <w:pPr>
        <w:spacing w:after="120" w:line="276" w:lineRule="auto"/>
        <w:ind w:firstLine="709"/>
        <w:jc w:val="both"/>
        <w:rPr>
          <w:rFonts w:ascii="Verdana" w:eastAsia="Calibri" w:hAnsi="Verdana" w:cs="Arial"/>
          <w:color w:val="000000"/>
          <w:szCs w:val="24"/>
          <w:lang w:val="es-ES_tradnl" w:eastAsia="es-ES_tradnl"/>
        </w:rPr>
      </w:pPr>
      <w:r w:rsidRPr="001532C8">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532C8">
        <w:rPr>
          <w:rFonts w:ascii="Verdana" w:eastAsia="Calibri" w:hAnsi="Verdana" w:cs="Arial"/>
          <w:color w:val="000000"/>
          <w:szCs w:val="24"/>
          <w:lang w:val="es-ES_tradnl" w:eastAsia="es-ES_tradnl"/>
        </w:rPr>
        <w:tab/>
      </w:r>
    </w:p>
    <w:p w14:paraId="32D0E870" w14:textId="77777777" w:rsidR="00146D08" w:rsidRPr="001532C8" w:rsidRDefault="00146D08" w:rsidP="00146D08">
      <w:pPr>
        <w:spacing w:after="0" w:line="276" w:lineRule="auto"/>
        <w:ind w:firstLine="709"/>
        <w:jc w:val="both"/>
        <w:rPr>
          <w:rFonts w:ascii="Verdana" w:eastAsia="Calibri" w:hAnsi="Verdana" w:cs="Arial"/>
          <w:color w:val="000000"/>
          <w:lang w:val="es-ES" w:eastAsia="es-ES"/>
        </w:rPr>
      </w:pPr>
      <w:r w:rsidRPr="001532C8">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Pr="004754A8">
        <w:rPr>
          <w:rFonts w:ascii="Verdana" w:eastAsia="Calibri" w:hAnsi="Verdana" w:cs="Arial"/>
          <w:color w:val="000000"/>
          <w:lang w:val="es-ES" w:eastAsia="es-ES"/>
        </w:rPr>
        <w:t xml:space="preserve">los </w:t>
      </w:r>
      <w:r w:rsidRPr="001532C8">
        <w:rPr>
          <w:rFonts w:ascii="Verdana" w:eastAsia="Calibri" w:hAnsi="Verdana" w:cs="Arial"/>
          <w:color w:val="000000"/>
          <w:lang w:val="es-ES" w:eastAsia="es-ES"/>
        </w:rPr>
        <w:t>problema</w:t>
      </w:r>
      <w:r w:rsidRPr="004754A8">
        <w:rPr>
          <w:rFonts w:ascii="Verdana" w:eastAsia="Calibri" w:hAnsi="Verdana" w:cs="Arial"/>
          <w:color w:val="000000"/>
          <w:lang w:val="es-ES" w:eastAsia="es-ES"/>
        </w:rPr>
        <w:t xml:space="preserve">s </w:t>
      </w:r>
      <w:r w:rsidRPr="001532C8">
        <w:rPr>
          <w:rFonts w:ascii="Verdana" w:eastAsia="Calibri" w:hAnsi="Verdana" w:cs="Arial"/>
          <w:color w:val="000000"/>
          <w:lang w:val="es-ES" w:eastAsia="es-ES"/>
        </w:rPr>
        <w:t>jurídico</w:t>
      </w:r>
      <w:r w:rsidRPr="004754A8">
        <w:rPr>
          <w:rFonts w:ascii="Verdana" w:eastAsia="Calibri" w:hAnsi="Verdana" w:cs="Arial"/>
          <w:color w:val="000000"/>
          <w:lang w:val="es-ES" w:eastAsia="es-ES"/>
        </w:rPr>
        <w:t xml:space="preserve">s </w:t>
      </w:r>
      <w:r w:rsidRPr="001532C8">
        <w:rPr>
          <w:rFonts w:ascii="Verdana" w:eastAsia="Calibri" w:hAnsi="Verdana" w:cs="Arial"/>
          <w:color w:val="000000"/>
          <w:lang w:val="es-ES" w:eastAsia="es-ES"/>
        </w:rPr>
        <w:t xml:space="preserve">de su consulta. </w:t>
      </w:r>
    </w:p>
    <w:p w14:paraId="1371F039" w14:textId="77777777" w:rsidR="00146D08" w:rsidRPr="001532C8" w:rsidRDefault="00146D08" w:rsidP="00146D08">
      <w:pPr>
        <w:spacing w:after="0" w:line="276" w:lineRule="auto"/>
        <w:ind w:firstLine="709"/>
        <w:jc w:val="both"/>
        <w:rPr>
          <w:rFonts w:ascii="Verdana" w:eastAsia="Calibri" w:hAnsi="Verdana" w:cs="Arial"/>
          <w:color w:val="000000"/>
          <w:lang w:val="es-ES" w:eastAsia="es-ES"/>
        </w:rPr>
      </w:pPr>
    </w:p>
    <w:p w14:paraId="151984E4" w14:textId="77777777" w:rsidR="00146D08" w:rsidRPr="001532C8" w:rsidRDefault="00146D08" w:rsidP="00146D0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532C8">
        <w:rPr>
          <w:rFonts w:ascii="Verdana" w:eastAsia="Century Gothic" w:hAnsi="Verdana" w:cs="Century Gothic"/>
          <w:b/>
          <w:bCs/>
        </w:rPr>
        <w:t>Problema planteado:</w:t>
      </w:r>
    </w:p>
    <w:p w14:paraId="0F0BCB90" w14:textId="77777777" w:rsidR="00146D08" w:rsidRPr="001532C8" w:rsidRDefault="00146D08" w:rsidP="00146D08">
      <w:pPr>
        <w:tabs>
          <w:tab w:val="left" w:pos="426"/>
        </w:tabs>
        <w:spacing w:after="0" w:line="276" w:lineRule="auto"/>
        <w:jc w:val="both"/>
        <w:rPr>
          <w:rFonts w:ascii="Verdana" w:eastAsia="Century Gothic" w:hAnsi="Verdana" w:cs="Century Gothic"/>
          <w:lang w:val="es-ES"/>
        </w:rPr>
      </w:pPr>
    </w:p>
    <w:p w14:paraId="528D17A5" w14:textId="77777777" w:rsidR="00146D08" w:rsidRDefault="00146D08" w:rsidP="00146D08">
      <w:pPr>
        <w:spacing w:after="0" w:line="276" w:lineRule="auto"/>
        <w:jc w:val="both"/>
        <w:rPr>
          <w:rFonts w:ascii="Verdana" w:eastAsia="Century Gothic" w:hAnsi="Verdana" w:cs="Century Gothic"/>
        </w:rPr>
      </w:pPr>
      <w:r w:rsidRPr="001532C8">
        <w:rPr>
          <w:rFonts w:ascii="Verdana" w:eastAsia="Century Gothic" w:hAnsi="Verdana" w:cs="Century Gothic"/>
        </w:rPr>
        <w:t xml:space="preserve">De acuerdo con el contenido de su solicitud, la cual se desarrolla en el marco de los contratos de prestación de servicios –en adelante CPS–, esta Agencia resolverá los siguientes problemas jurídicos: </w:t>
      </w:r>
    </w:p>
    <w:p w14:paraId="09D107F6" w14:textId="77777777" w:rsidR="00146D08" w:rsidRPr="00FA5CC2" w:rsidRDefault="00146D08" w:rsidP="00146D08">
      <w:pPr>
        <w:spacing w:after="0" w:line="276" w:lineRule="auto"/>
        <w:jc w:val="both"/>
        <w:rPr>
          <w:rFonts w:ascii="Verdana" w:eastAsia="Century Gothic" w:hAnsi="Verdana" w:cs="Century Gothic"/>
        </w:rPr>
      </w:pPr>
    </w:p>
    <w:p w14:paraId="332B14E0" w14:textId="7980FAB5" w:rsidR="00146D08" w:rsidRPr="00FA5CC2" w:rsidRDefault="00DD5369" w:rsidP="00DD5369">
      <w:pPr>
        <w:spacing w:after="0" w:line="276" w:lineRule="auto"/>
        <w:jc w:val="both"/>
        <w:rPr>
          <w:rFonts w:ascii="Verdana" w:eastAsia="Century Gothic" w:hAnsi="Verdana" w:cs="Century Gothic"/>
        </w:rPr>
      </w:pPr>
      <w:r>
        <w:rPr>
          <w:rFonts w:ascii="Verdana" w:eastAsia="Century Gothic" w:hAnsi="Verdana" w:cs="Century Gothic"/>
        </w:rPr>
        <w:t xml:space="preserve">1. </w:t>
      </w:r>
      <w:r w:rsidR="00146D08" w:rsidRPr="00FA5CC2">
        <w:rPr>
          <w:rFonts w:ascii="Verdana" w:eastAsia="Century Gothic" w:hAnsi="Verdana" w:cs="Century Gothic"/>
        </w:rPr>
        <w:t>¿Puede una entidad establecer unos honorarios de un CPS mayores a la asignación salarial del jefe de esta?</w:t>
      </w:r>
    </w:p>
    <w:p w14:paraId="16CCAB2C" w14:textId="77777777" w:rsidR="00146D08" w:rsidRPr="00FA5CC2" w:rsidRDefault="00146D08" w:rsidP="00146D08">
      <w:pPr>
        <w:pStyle w:val="Prrafodelista"/>
        <w:spacing w:after="0" w:line="276" w:lineRule="auto"/>
        <w:jc w:val="both"/>
        <w:rPr>
          <w:rFonts w:ascii="Verdana" w:eastAsia="Century Gothic" w:hAnsi="Verdana" w:cs="Century Gothic"/>
        </w:rPr>
      </w:pPr>
    </w:p>
    <w:p w14:paraId="44CF69A3" w14:textId="7238C288" w:rsidR="00146D08" w:rsidRPr="00FA5CC2" w:rsidRDefault="00DD5369" w:rsidP="00DD5369">
      <w:pPr>
        <w:spacing w:after="0" w:line="276" w:lineRule="auto"/>
        <w:jc w:val="both"/>
        <w:rPr>
          <w:rFonts w:ascii="Verdana" w:eastAsia="Century Gothic" w:hAnsi="Verdana" w:cs="Century Gothic"/>
        </w:rPr>
      </w:pPr>
      <w:r>
        <w:rPr>
          <w:rFonts w:ascii="Verdana" w:eastAsia="Century Gothic" w:hAnsi="Verdana" w:cs="Century Gothic"/>
        </w:rPr>
        <w:t xml:space="preserve">2. </w:t>
      </w:r>
      <w:r w:rsidR="00146D08" w:rsidRPr="00FA5CC2">
        <w:rPr>
          <w:rFonts w:ascii="Verdana" w:eastAsia="Century Gothic" w:hAnsi="Verdana" w:cs="Century Gothic"/>
        </w:rPr>
        <w:t>¿Existe un límite para la celebración de CPS?</w:t>
      </w:r>
    </w:p>
    <w:p w14:paraId="641463F6" w14:textId="77777777" w:rsidR="00146D08" w:rsidRPr="00FA5CC2" w:rsidRDefault="00146D08" w:rsidP="00146D08">
      <w:pPr>
        <w:pStyle w:val="Prrafodelista"/>
        <w:rPr>
          <w:rFonts w:ascii="Verdana" w:eastAsia="Century Gothic" w:hAnsi="Verdana" w:cs="Century Gothic"/>
        </w:rPr>
      </w:pPr>
    </w:p>
    <w:p w14:paraId="7D4BB4B9" w14:textId="2522E3E5" w:rsidR="00146D08" w:rsidRPr="00FA5CC2" w:rsidRDefault="00DD5369" w:rsidP="00DD5369">
      <w:pPr>
        <w:spacing w:after="0" w:line="276" w:lineRule="auto"/>
        <w:jc w:val="both"/>
        <w:rPr>
          <w:rFonts w:ascii="Verdana" w:eastAsia="Century Gothic" w:hAnsi="Verdana" w:cs="Century Gothic"/>
        </w:rPr>
      </w:pPr>
      <w:r>
        <w:rPr>
          <w:rFonts w:ascii="Verdana" w:eastAsia="Century Gothic" w:hAnsi="Verdana" w:cs="Century Gothic"/>
        </w:rPr>
        <w:t xml:space="preserve">3. </w:t>
      </w:r>
      <w:r w:rsidR="00146D08" w:rsidRPr="00FA5CC2">
        <w:rPr>
          <w:rFonts w:ascii="Verdana" w:eastAsia="Century Gothic" w:hAnsi="Verdana" w:cs="Century Gothic"/>
        </w:rPr>
        <w:t>¿Cuál es el procedimiento para determinar la tabla de honorarios de CPS?</w:t>
      </w:r>
    </w:p>
    <w:p w14:paraId="5C610DAC" w14:textId="77777777" w:rsidR="00146D08" w:rsidRPr="00FA5CC2" w:rsidRDefault="00146D08" w:rsidP="00146D08">
      <w:pPr>
        <w:spacing w:after="0" w:line="276" w:lineRule="auto"/>
        <w:jc w:val="both"/>
        <w:rPr>
          <w:rFonts w:ascii="Verdana" w:eastAsia="Calibri" w:hAnsi="Verdana" w:cs="Arial"/>
          <w:lang w:val="es-ES"/>
        </w:rPr>
      </w:pPr>
    </w:p>
    <w:p w14:paraId="1256720E" w14:textId="77777777" w:rsidR="00146D08" w:rsidRPr="00FA5CC2" w:rsidRDefault="00146D08" w:rsidP="00146D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A5CC2">
        <w:rPr>
          <w:rFonts w:ascii="Verdana" w:eastAsia="Century Gothic" w:hAnsi="Verdana" w:cs="Century Gothic"/>
          <w:b/>
          <w:bCs/>
        </w:rPr>
        <w:t>Respuesta:</w:t>
      </w:r>
    </w:p>
    <w:p w14:paraId="19622C26" w14:textId="77777777" w:rsidR="00146D08" w:rsidRPr="00FA5CC2" w:rsidRDefault="00146D08" w:rsidP="00146D0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46D08" w:rsidRPr="00FA5CC2" w14:paraId="7A64F6A8" w14:textId="77777777" w:rsidTr="00015E11">
        <w:tc>
          <w:tcPr>
            <w:tcW w:w="8828" w:type="dxa"/>
            <w:shd w:val="clear" w:color="auto" w:fill="auto"/>
          </w:tcPr>
          <w:p w14:paraId="6B6E3522" w14:textId="79D33D46" w:rsidR="00146D08" w:rsidRPr="00FA5CC2" w:rsidRDefault="00DD5369" w:rsidP="00DD5369">
            <w:pPr>
              <w:spacing w:line="276" w:lineRule="auto"/>
              <w:jc w:val="both"/>
              <w:rPr>
                <w:rFonts w:ascii="Verdana" w:eastAsia="Calibri" w:hAnsi="Verdana" w:cs="Arial"/>
                <w:iCs/>
              </w:rPr>
            </w:pPr>
            <w:r>
              <w:rPr>
                <w:rFonts w:ascii="Verdana" w:eastAsia="Calibri" w:hAnsi="Verdana" w:cs="Arial"/>
                <w:iCs/>
              </w:rPr>
              <w:t xml:space="preserve">1. </w:t>
            </w:r>
            <w:r w:rsidR="00146D08" w:rsidRPr="00FA5CC2">
              <w:rPr>
                <w:rFonts w:ascii="Verdana" w:eastAsia="Calibri" w:hAnsi="Verdana" w:cs="Arial"/>
                <w:iCs/>
              </w:rPr>
              <w:t xml:space="preserve">En virtud del principio de la autonomía de la voluntad, y, teniendo en cuenta que no existe en el sistema de compra </w:t>
            </w:r>
            <w:r w:rsidR="00146D08" w:rsidRPr="00DD5369">
              <w:rPr>
                <w:rFonts w:ascii="Verdana" w:eastAsia="Calibri" w:hAnsi="Verdana" w:cs="Arial"/>
                <w:iCs/>
              </w:rPr>
              <w:t>p</w:t>
            </w:r>
            <w:r w:rsidR="00E70994" w:rsidRPr="00DD5369">
              <w:rPr>
                <w:rFonts w:ascii="Verdana" w:eastAsia="Calibri" w:hAnsi="Verdana" w:cs="Arial"/>
                <w:iCs/>
              </w:rPr>
              <w:t>ú</w:t>
            </w:r>
            <w:r w:rsidR="00146D08" w:rsidRPr="00DD5369">
              <w:rPr>
                <w:rFonts w:ascii="Verdana" w:eastAsia="Calibri" w:hAnsi="Verdana" w:cs="Arial"/>
                <w:iCs/>
              </w:rPr>
              <w:t>blica</w:t>
            </w:r>
            <w:r w:rsidR="00146D08" w:rsidRPr="00FA5CC2">
              <w:rPr>
                <w:rFonts w:ascii="Verdana" w:eastAsia="Calibri" w:hAnsi="Verdana" w:cs="Arial"/>
                <w:iCs/>
              </w:rPr>
              <w:t xml:space="preserve"> una disposición que imponga un límite en los honorarios de los contratos de prestación de servicio profesionales y de apoyo a la gestión, las partes pueden determinar el contenido de los contratos estatales y demás disposiciones que consideren necesarias para desarrollar el objeto contractual, siempre que no sean contrarias a la Constitución, la ley y el orden público. Es así </w:t>
            </w:r>
            <w:r w:rsidR="00974DE0" w:rsidRPr="00DD5369">
              <w:rPr>
                <w:rFonts w:ascii="Verdana" w:eastAsia="Calibri" w:hAnsi="Verdana" w:cs="Arial"/>
                <w:iCs/>
              </w:rPr>
              <w:t>como</w:t>
            </w:r>
            <w:r w:rsidR="00146D08" w:rsidRPr="00FA5CC2">
              <w:rPr>
                <w:rFonts w:ascii="Verdana" w:eastAsia="Calibri" w:hAnsi="Verdana" w:cs="Arial"/>
                <w:iCs/>
              </w:rPr>
              <w:t xml:space="preserve"> las condiciones mínimas exigidas para suplir la necesidad de la entidad, así como los requisitos que debe acreditar el futuro contratista para el cumplimiento del objeto contractual, se constatan en los estudios y documentos previos, por lo que las Entidades Estatales </w:t>
            </w:r>
            <w:r w:rsidR="00146D08" w:rsidRPr="00FA5CC2">
              <w:rPr>
                <w:rFonts w:ascii="Verdana" w:eastAsia="Calibri" w:hAnsi="Verdana" w:cs="Arial"/>
                <w:iCs/>
                <w:u w:val="single"/>
              </w:rPr>
              <w:t>determinan el monto de los honorarios de los contratos de prestación de servicios y apoyo a la gestión de conformidad con lo establecido en el análisis del sector y en los documentos o estudios previos</w:t>
            </w:r>
            <w:r w:rsidR="00146D08" w:rsidRPr="00FA5CC2">
              <w:rPr>
                <w:rFonts w:ascii="Verdana" w:eastAsia="Calibri" w:hAnsi="Verdana" w:cs="Arial"/>
                <w:iCs/>
              </w:rPr>
              <w:t>.</w:t>
            </w:r>
          </w:p>
          <w:p w14:paraId="7DF9403A" w14:textId="77777777" w:rsidR="00146D08" w:rsidRPr="00FA5CC2" w:rsidRDefault="00146D08" w:rsidP="00BC3B93">
            <w:pPr>
              <w:pStyle w:val="Prrafodelista"/>
              <w:spacing w:line="276" w:lineRule="auto"/>
              <w:jc w:val="both"/>
              <w:rPr>
                <w:rFonts w:ascii="Verdana" w:eastAsia="Calibri" w:hAnsi="Verdana" w:cs="Arial"/>
                <w:iCs/>
              </w:rPr>
            </w:pPr>
          </w:p>
          <w:p w14:paraId="5E21DA0B" w14:textId="3F1085CD" w:rsidR="00146D08" w:rsidRDefault="00DD5369" w:rsidP="00DD5369">
            <w:pPr>
              <w:spacing w:line="276" w:lineRule="auto"/>
              <w:jc w:val="both"/>
              <w:rPr>
                <w:rFonts w:ascii="Verdana" w:eastAsia="Calibri" w:hAnsi="Verdana" w:cs="Arial"/>
                <w:lang w:val="es-ES_tradnl"/>
              </w:rPr>
            </w:pPr>
            <w:r>
              <w:rPr>
                <w:rFonts w:ascii="Verdana" w:eastAsia="Calibri" w:hAnsi="Verdana" w:cs="Arial"/>
              </w:rPr>
              <w:t xml:space="preserve">2. </w:t>
            </w:r>
            <w:r w:rsidR="00146D08" w:rsidRPr="00FA5CC2">
              <w:rPr>
                <w:rFonts w:ascii="Verdana" w:eastAsia="Calibri" w:hAnsi="Verdana" w:cs="Arial"/>
              </w:rPr>
              <w:t>Teniendo en cuenta que el artículo 32, numeral 3º, de la Ley 80 de 1993 establece que estos contratos “</w:t>
            </w:r>
            <w:r w:rsidR="00146D08" w:rsidRPr="00FA5CC2">
              <w:rPr>
                <w:rFonts w:ascii="Verdana" w:eastAsia="Calibri" w:hAnsi="Verdana" w:cs="Arial"/>
                <w:lang w:val="es-ES_tradnl"/>
              </w:rPr>
              <w:t xml:space="preserve">sólo podrán celebrarse con personas naturales </w:t>
            </w:r>
            <w:r w:rsidR="00146D08" w:rsidRPr="00FA5CC2">
              <w:rPr>
                <w:rFonts w:ascii="Verdana" w:eastAsia="Calibri" w:hAnsi="Verdana" w:cs="Arial"/>
                <w:u w:val="single"/>
                <w:lang w:val="es-ES_tradnl"/>
              </w:rPr>
              <w:t>cuando dichas actividades no puedan realizarse con personal de planta o requieran conocimientos especializados</w:t>
            </w:r>
            <w:r w:rsidR="00146D08" w:rsidRPr="00FA5CC2">
              <w:rPr>
                <w:rFonts w:ascii="Verdana" w:eastAsia="Calibri" w:hAnsi="Verdana" w:cs="Arial"/>
                <w:lang w:val="es-ES_tradnl"/>
              </w:rPr>
              <w:t xml:space="preserve">” (énfasis fuera de texto), </w:t>
            </w:r>
            <w:r w:rsidR="00EE4247">
              <w:rPr>
                <w:rFonts w:ascii="Verdana" w:eastAsia="Calibri" w:hAnsi="Verdana" w:cs="Arial"/>
                <w:lang w:val="es-ES_tradnl"/>
              </w:rPr>
              <w:t xml:space="preserve">se </w:t>
            </w:r>
            <w:r w:rsidR="00E368BF">
              <w:rPr>
                <w:rFonts w:ascii="Verdana" w:eastAsia="Calibri" w:hAnsi="Verdana" w:cs="Arial"/>
                <w:lang w:val="es-ES_tradnl"/>
              </w:rPr>
              <w:t>podrán</w:t>
            </w:r>
            <w:r w:rsidR="00EE4247">
              <w:rPr>
                <w:rFonts w:ascii="Verdana" w:eastAsia="Calibri" w:hAnsi="Verdana" w:cs="Arial"/>
                <w:lang w:val="es-ES_tradnl"/>
              </w:rPr>
              <w:t xml:space="preserve"> celebrar</w:t>
            </w:r>
            <w:r w:rsidR="00146D08" w:rsidRPr="00DD5369">
              <w:rPr>
                <w:rFonts w:ascii="Verdana" w:eastAsia="Calibri" w:hAnsi="Verdana" w:cs="Arial"/>
                <w:lang w:val="es-ES_tradnl"/>
              </w:rPr>
              <w:t xml:space="preserve"> </w:t>
            </w:r>
            <w:r w:rsidR="00146D08" w:rsidRPr="00FA5CC2">
              <w:rPr>
                <w:rFonts w:ascii="Verdana" w:eastAsia="Calibri" w:hAnsi="Verdana" w:cs="Arial"/>
                <w:lang w:val="es-ES_tradnl"/>
              </w:rPr>
              <w:t>siempre y cuando se cumpla con la disposición subrayada y se justifique la necesidad de contratación en los documentos y estudios previos. En síntesis, dado que la celebración de estos contratos está dada por las necesidades particulares de cada entidad, cuando su planta de personal no sea suficiente para realizar las labores que se pretenden contratar o que, en caso de ser suficiente, se requieren conocimientos especializados, de ello dependerá el número de contratistas necesarios para cumplir con una determinada labor, las obligaciones que se les asignen y los perfiles requeridos para satisfacer los propósitos de la Entidad Estatal.</w:t>
            </w:r>
          </w:p>
          <w:p w14:paraId="645BD98B" w14:textId="77777777" w:rsidR="00146D08" w:rsidRPr="00FA5CC2" w:rsidRDefault="00146D08" w:rsidP="00DD5369">
            <w:pPr>
              <w:spacing w:line="276" w:lineRule="auto"/>
              <w:jc w:val="both"/>
              <w:rPr>
                <w:rFonts w:ascii="Verdana" w:eastAsia="Calibri" w:hAnsi="Verdana" w:cs="Arial"/>
              </w:rPr>
            </w:pPr>
          </w:p>
          <w:p w14:paraId="45E4ED00" w14:textId="5933A30B" w:rsidR="00146D08" w:rsidRPr="00FA5CC2" w:rsidRDefault="00BA091C" w:rsidP="00015E11">
            <w:pPr>
              <w:spacing w:line="276" w:lineRule="auto"/>
              <w:jc w:val="both"/>
              <w:rPr>
                <w:rFonts w:ascii="Verdana" w:eastAsia="Calibri" w:hAnsi="Verdana" w:cs="Arial"/>
                <w:lang w:val="es-ES"/>
              </w:rPr>
            </w:pPr>
            <w:r>
              <w:rPr>
                <w:rFonts w:ascii="Verdana" w:eastAsia="Calibri" w:hAnsi="Verdana" w:cs="Arial"/>
              </w:rPr>
              <w:t xml:space="preserve">3. </w:t>
            </w:r>
            <w:r w:rsidR="00146D08" w:rsidRPr="00FA5CC2">
              <w:rPr>
                <w:rFonts w:ascii="Verdana" w:eastAsia="Calibri" w:hAnsi="Verdana" w:cs="Arial"/>
              </w:rPr>
              <w:t xml:space="preserve">Así como se desarrolló en la respuesta al primer problema jurídico, que </w:t>
            </w:r>
            <w:r w:rsidR="00146D08" w:rsidRPr="00FA5CC2">
              <w:rPr>
                <w:rFonts w:ascii="Verdana" w:eastAsia="Arial" w:hAnsi="Verdana" w:cs="Arial"/>
                <w:iCs/>
              </w:rPr>
              <w:t xml:space="preserve">las Entidades Estatales determinan el monto de los honorarios de los contratos de prestación de servicios y apoyo a la gestión de conformidad con lo establecido en el análisis del sector y en los documentos o estudios previos, de la misma manera, tampoco se encuentra disposición en la Ley 80 de 1993, Ley 1150 de 2007 o en el Decreto 1082 de 2015 que disponga la obligatoriedad de </w:t>
            </w:r>
            <w:r w:rsidR="00146D08" w:rsidRPr="00FA5CC2">
              <w:rPr>
                <w:rFonts w:ascii="Verdana" w:eastAsia="Arial" w:hAnsi="Verdana" w:cs="Arial"/>
                <w:iCs/>
                <w:u w:val="single"/>
              </w:rPr>
              <w:t>implementar tablas de honorarios</w:t>
            </w:r>
            <w:r w:rsidR="00146D08" w:rsidRPr="00FA5CC2">
              <w:rPr>
                <w:rFonts w:ascii="Verdana" w:eastAsia="Arial" w:hAnsi="Verdana" w:cs="Arial"/>
                <w:iCs/>
              </w:rPr>
              <w:t xml:space="preserve"> o estandarizar perfiles para los contratos de prestación de servicios, pero esto no significa que las entidades no puedan hacerlo.</w:t>
            </w:r>
          </w:p>
        </w:tc>
      </w:tr>
    </w:tbl>
    <w:p w14:paraId="0E578D2F" w14:textId="77777777" w:rsidR="00146D08" w:rsidRPr="001532C8" w:rsidRDefault="00146D08" w:rsidP="00146D08">
      <w:pPr>
        <w:tabs>
          <w:tab w:val="left" w:pos="142"/>
          <w:tab w:val="left" w:pos="284"/>
        </w:tabs>
        <w:spacing w:after="0" w:line="276" w:lineRule="auto"/>
        <w:jc w:val="both"/>
        <w:rPr>
          <w:rFonts w:ascii="Verdana" w:eastAsia="Century Gothic" w:hAnsi="Verdana" w:cs="Century Gothic"/>
          <w:b/>
          <w:bCs/>
          <w:lang w:val="es-ES"/>
        </w:rPr>
      </w:pPr>
    </w:p>
    <w:p w14:paraId="4FD00B2E" w14:textId="77777777" w:rsidR="00146D08" w:rsidRPr="001532C8" w:rsidRDefault="00146D08" w:rsidP="00146D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532C8">
        <w:rPr>
          <w:rFonts w:ascii="Verdana" w:eastAsia="Century Gothic" w:hAnsi="Verdana" w:cs="Century Gothic"/>
          <w:b/>
          <w:bCs/>
        </w:rPr>
        <w:t>Razones de la respuesta:</w:t>
      </w:r>
    </w:p>
    <w:p w14:paraId="7B49CC02" w14:textId="77777777" w:rsidR="00146D08" w:rsidRPr="001532C8" w:rsidRDefault="00146D08" w:rsidP="00146D08">
      <w:pPr>
        <w:spacing w:after="0" w:line="276" w:lineRule="auto"/>
        <w:jc w:val="both"/>
        <w:rPr>
          <w:rFonts w:ascii="Verdana" w:eastAsia="Calibri" w:hAnsi="Verdana" w:cs="Arial"/>
          <w:color w:val="7030A0"/>
          <w:lang w:val="es-ES"/>
        </w:rPr>
      </w:pPr>
    </w:p>
    <w:p w14:paraId="592462EF" w14:textId="77777777" w:rsidR="00146D08" w:rsidRPr="001532C8" w:rsidRDefault="00146D08" w:rsidP="00146D08">
      <w:pPr>
        <w:spacing w:after="0" w:line="276" w:lineRule="auto"/>
        <w:jc w:val="both"/>
        <w:rPr>
          <w:rFonts w:ascii="Verdana" w:eastAsia="Calibri" w:hAnsi="Verdana" w:cs="Arial"/>
          <w:lang w:val="es-ES"/>
        </w:rPr>
      </w:pPr>
      <w:r w:rsidRPr="001532C8">
        <w:rPr>
          <w:rFonts w:ascii="Verdana" w:eastAsia="Calibri" w:hAnsi="Verdana" w:cs="Arial"/>
          <w:lang w:val="es-ES"/>
        </w:rPr>
        <w:t xml:space="preserve">Lo anterior se sustenta en las siguientes consideraciones: </w:t>
      </w:r>
    </w:p>
    <w:p w14:paraId="2E766E5C" w14:textId="77777777" w:rsidR="00146D08" w:rsidRPr="001532C8" w:rsidRDefault="00146D08" w:rsidP="00146D08">
      <w:pPr>
        <w:spacing w:after="0" w:line="276" w:lineRule="auto"/>
        <w:jc w:val="both"/>
        <w:rPr>
          <w:rFonts w:ascii="Verdana" w:eastAsia="Calibri" w:hAnsi="Verdana" w:cs="Arial"/>
          <w:color w:val="7030A0"/>
          <w:lang w:val="es-ES"/>
        </w:rPr>
      </w:pPr>
    </w:p>
    <w:p w14:paraId="107491EC" w14:textId="77777777" w:rsidR="00146D08" w:rsidRPr="001532C8" w:rsidRDefault="00146D08" w:rsidP="00146D08">
      <w:pPr>
        <w:spacing w:after="0" w:line="276" w:lineRule="auto"/>
        <w:jc w:val="both"/>
        <w:rPr>
          <w:rFonts w:ascii="Verdana" w:eastAsia="Calibri" w:hAnsi="Verdana" w:cs="Arial"/>
          <w:lang w:val="es-ES_tradnl" w:eastAsia="es-ES_tradnl"/>
        </w:rPr>
      </w:pPr>
      <w:r>
        <w:rPr>
          <w:rFonts w:ascii="Verdana" w:eastAsia="Calibri" w:hAnsi="Verdana" w:cs="Arial"/>
          <w:lang w:val="es-ES_tradnl" w:eastAsia="es-ES_tradnl"/>
        </w:rPr>
        <w:t>Inicialmente es menester definir que, el</w:t>
      </w:r>
      <w:r w:rsidRPr="001532C8">
        <w:rPr>
          <w:rFonts w:ascii="Verdana" w:eastAsia="Calibri" w:hAnsi="Verdana" w:cs="Arial"/>
          <w:lang w:val="es-ES_tradnl" w:eastAsia="es-ES_tradnl"/>
        </w:rPr>
        <w:t xml:space="preserve">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 Concretamente, el artículo 32, numeral 3º, de la Ley 80 de 1993, establece:</w:t>
      </w:r>
    </w:p>
    <w:p w14:paraId="630EBDAF" w14:textId="77777777" w:rsidR="00146D08" w:rsidRPr="001532C8" w:rsidRDefault="00146D08" w:rsidP="00146D08">
      <w:pPr>
        <w:spacing w:after="0" w:line="276" w:lineRule="auto"/>
        <w:jc w:val="both"/>
        <w:rPr>
          <w:rFonts w:ascii="Verdana" w:eastAsia="Calibri" w:hAnsi="Verdana" w:cs="Arial"/>
          <w:lang w:val="es-ES_tradnl" w:eastAsia="es-ES_tradnl"/>
        </w:rPr>
      </w:pPr>
    </w:p>
    <w:p w14:paraId="478FD032"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Pr>
          <w:rFonts w:ascii="Verdana" w:eastAsia="Times New Roman" w:hAnsi="Verdana" w:cs="Arial"/>
          <w:sz w:val="21"/>
          <w:szCs w:val="21"/>
          <w:lang w:eastAsia="es-ES_tradnl"/>
        </w:rPr>
        <w:t>“</w:t>
      </w:r>
      <w:r w:rsidRPr="001532C8">
        <w:rPr>
          <w:rFonts w:ascii="Verdana" w:eastAsia="Calibri" w:hAnsi="Verdana" w:cs="Arial"/>
          <w:sz w:val="21"/>
          <w:szCs w:val="21"/>
          <w:lang w:val="es-ES_tradnl" w:eastAsia="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7332DE09"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p>
    <w:p w14:paraId="017CF13D"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sidRPr="001532C8">
        <w:rPr>
          <w:rFonts w:ascii="Verdana" w:eastAsia="Calibri" w:hAnsi="Verdana" w:cs="Arial"/>
          <w:sz w:val="21"/>
          <w:szCs w:val="21"/>
          <w:lang w:val="es-ES_tradnl" w:eastAsia="es-ES_tradnl"/>
        </w:rPr>
        <w:t>En ningún caso estos contratos generan relación laboral ni prestaciones sociales y se celebrarán por el término estrictamente indispensable</w:t>
      </w:r>
      <w:r>
        <w:rPr>
          <w:rFonts w:ascii="Verdana" w:eastAsia="Times New Roman" w:hAnsi="Verdana" w:cs="Arial"/>
          <w:sz w:val="21"/>
          <w:szCs w:val="21"/>
          <w:lang w:eastAsia="es-ES_tradnl"/>
        </w:rPr>
        <w:t>”</w:t>
      </w:r>
      <w:r w:rsidRPr="001532C8">
        <w:rPr>
          <w:rFonts w:ascii="Verdana" w:eastAsia="Calibri" w:hAnsi="Verdana" w:cs="Arial"/>
          <w:sz w:val="21"/>
          <w:szCs w:val="21"/>
          <w:lang w:val="es-ES_tradnl" w:eastAsia="es-ES_tradnl"/>
        </w:rPr>
        <w:t>.</w:t>
      </w:r>
    </w:p>
    <w:p w14:paraId="313F6F47" w14:textId="77777777" w:rsidR="00146D08" w:rsidRPr="001532C8" w:rsidRDefault="00146D08" w:rsidP="00146D08">
      <w:pPr>
        <w:tabs>
          <w:tab w:val="left" w:pos="284"/>
        </w:tabs>
        <w:spacing w:after="0" w:line="276" w:lineRule="auto"/>
        <w:jc w:val="both"/>
        <w:rPr>
          <w:rFonts w:ascii="Verdana" w:eastAsia="Calibri" w:hAnsi="Verdana" w:cs="Arial"/>
          <w:b/>
          <w:lang w:val="es-ES_tradnl" w:eastAsia="es-ES_tradnl"/>
        </w:rPr>
      </w:pPr>
    </w:p>
    <w:p w14:paraId="699CC085"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r w:rsidRPr="001532C8">
        <w:rPr>
          <w:rFonts w:ascii="Verdana" w:eastAsia="Calibri" w:hAnsi="Verdana" w:cs="Arial"/>
          <w:lang w:val="es-ES_tradnl" w:eastAsia="es-ES_tradnl"/>
        </w:rPr>
        <w:t>De otro lado, la celebración de dicho contrato se debe efectuar a través de la modalidad de la contratación directa. Así lo prevé el artículo 2, numeral 4º, literal h), de la Ley 1150 de 2007, que dispone:</w:t>
      </w:r>
    </w:p>
    <w:p w14:paraId="3D92AFD5"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p>
    <w:p w14:paraId="3F7043C3"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Pr>
          <w:rFonts w:ascii="Verdana" w:eastAsia="Times New Roman" w:hAnsi="Verdana" w:cs="Arial"/>
          <w:sz w:val="21"/>
          <w:szCs w:val="21"/>
          <w:lang w:eastAsia="es-ES_tradnl"/>
        </w:rPr>
        <w:t>“</w:t>
      </w:r>
      <w:r w:rsidRPr="001532C8">
        <w:rPr>
          <w:rFonts w:ascii="Verdana" w:eastAsia="Calibri" w:hAnsi="Verdana" w:cs="Arial"/>
          <w:sz w:val="21"/>
          <w:szCs w:val="21"/>
          <w:lang w:val="es-ES_tradnl" w:eastAsia="es-ES_tradnl"/>
        </w:rPr>
        <w:t>[…]</w:t>
      </w:r>
    </w:p>
    <w:p w14:paraId="50E47152"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p>
    <w:p w14:paraId="66DC3CB1"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sidRPr="001532C8">
        <w:rPr>
          <w:rFonts w:ascii="Verdana" w:eastAsia="Calibri" w:hAnsi="Verdana" w:cs="Arial"/>
          <w:sz w:val="21"/>
          <w:szCs w:val="21"/>
          <w:lang w:val="es-ES_tradnl" w:eastAsia="es-ES_tradnl"/>
        </w:rPr>
        <w:lastRenderedPageBreak/>
        <w:t>Contratación directa. La modalidad de selección de contratación directa solamente procederá en los siguientes casos:</w:t>
      </w:r>
    </w:p>
    <w:p w14:paraId="2A112D57"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p>
    <w:p w14:paraId="700530AE"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sidRPr="001532C8">
        <w:rPr>
          <w:rFonts w:ascii="Verdana" w:eastAsia="Calibri" w:hAnsi="Verdana" w:cs="Arial"/>
          <w:sz w:val="21"/>
          <w:szCs w:val="21"/>
          <w:lang w:val="es-ES_tradnl" w:eastAsia="es-ES_tradnl"/>
        </w:rPr>
        <w:t>[…]</w:t>
      </w:r>
    </w:p>
    <w:p w14:paraId="12296765"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p>
    <w:p w14:paraId="59703B9F"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sidRPr="001532C8">
        <w:rPr>
          <w:rFonts w:ascii="Verdana" w:eastAsia="Calibri" w:hAnsi="Verdana" w:cs="Arial"/>
          <w:sz w:val="21"/>
          <w:szCs w:val="21"/>
          <w:lang w:val="es-ES_tradnl" w:eastAsia="es-ES_tradnl"/>
        </w:rPr>
        <w:t>h) Para la prestación de servicios profesionales y de apoyo a la gestión, o para la ejecución de trabajos artísticos que sólo puedan encomendarse a determinadas personas naturales;</w:t>
      </w:r>
    </w:p>
    <w:p w14:paraId="41AC29DD"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p>
    <w:p w14:paraId="04CEDABB"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sidRPr="001532C8">
        <w:rPr>
          <w:rFonts w:ascii="Verdana" w:eastAsia="Calibri" w:hAnsi="Verdana" w:cs="Arial"/>
          <w:sz w:val="21"/>
          <w:szCs w:val="21"/>
          <w:lang w:val="es-ES_tradnl" w:eastAsia="es-ES_tradnl"/>
        </w:rPr>
        <w:t>[…]</w:t>
      </w:r>
      <w:r>
        <w:rPr>
          <w:rFonts w:ascii="Verdana" w:eastAsia="Times New Roman" w:hAnsi="Verdana" w:cs="Arial"/>
          <w:sz w:val="21"/>
          <w:szCs w:val="21"/>
          <w:lang w:eastAsia="es-ES_tradnl"/>
        </w:rPr>
        <w:t>”</w:t>
      </w:r>
      <w:r w:rsidRPr="001532C8">
        <w:rPr>
          <w:rFonts w:ascii="Verdana" w:eastAsia="Times New Roman" w:hAnsi="Verdana" w:cs="Arial"/>
          <w:sz w:val="21"/>
          <w:szCs w:val="21"/>
          <w:lang w:eastAsia="es-ES_tradnl"/>
        </w:rPr>
        <w:t xml:space="preserve">. </w:t>
      </w:r>
    </w:p>
    <w:p w14:paraId="0EA9EA70" w14:textId="77777777" w:rsidR="00146D08" w:rsidRPr="001532C8" w:rsidRDefault="00146D08" w:rsidP="00146D08">
      <w:pPr>
        <w:spacing w:after="0" w:line="276" w:lineRule="auto"/>
        <w:ind w:right="709"/>
        <w:jc w:val="both"/>
        <w:rPr>
          <w:rFonts w:ascii="Verdana" w:eastAsia="Calibri" w:hAnsi="Verdana" w:cs="Arial"/>
          <w:lang w:val="es-ES_tradnl" w:eastAsia="es-ES_tradnl"/>
        </w:rPr>
      </w:pPr>
    </w:p>
    <w:p w14:paraId="27938E80" w14:textId="77777777" w:rsidR="00146D08" w:rsidRPr="001532C8" w:rsidRDefault="00146D08" w:rsidP="00146D08">
      <w:pPr>
        <w:spacing w:after="120" w:line="276" w:lineRule="auto"/>
        <w:ind w:firstLine="709"/>
        <w:jc w:val="both"/>
        <w:rPr>
          <w:rFonts w:ascii="Verdana" w:eastAsia="Calibri" w:hAnsi="Verdana" w:cs="Arial"/>
          <w:lang w:val="es-ES_tradnl" w:eastAsia="es-ES_tradnl"/>
        </w:rPr>
      </w:pPr>
      <w:r w:rsidRPr="001532C8">
        <w:rPr>
          <w:rFonts w:ascii="Verdana" w:eastAsia="Calibri" w:hAnsi="Verdana" w:cs="Arial"/>
          <w:lang w:val="es-ES_tradnl" w:eastAsia="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62CE86BC" w14:textId="77777777" w:rsidR="00146D08" w:rsidRPr="001532C8" w:rsidRDefault="00146D08" w:rsidP="00146D08">
      <w:pPr>
        <w:spacing w:after="120" w:line="276" w:lineRule="auto"/>
        <w:ind w:firstLine="709"/>
        <w:jc w:val="both"/>
        <w:rPr>
          <w:rFonts w:ascii="Verdana" w:eastAsia="Calibri" w:hAnsi="Verdana" w:cs="Arial"/>
          <w:lang w:val="es-ES_tradnl" w:eastAsia="es-ES_tradnl"/>
        </w:rPr>
      </w:pPr>
      <w:r w:rsidRPr="001532C8">
        <w:rPr>
          <w:rFonts w:ascii="Verdana" w:eastAsia="Calibri" w:hAnsi="Verdana" w:cs="Arial"/>
          <w:lang w:val="es-ES_tradnl" w:eastAsia="es-ES_tradnl"/>
        </w:rPr>
        <w:t xml:space="preserve">i) Solo puede celebrarse para realizar </w:t>
      </w:r>
      <w:r>
        <w:rPr>
          <w:rFonts w:ascii="Verdana" w:eastAsia="Calibri" w:hAnsi="Verdana" w:cs="Arial"/>
          <w:lang w:val="es-ES_tradnl" w:eastAsia="es-ES_tradnl"/>
        </w:rPr>
        <w:t>“</w:t>
      </w:r>
      <w:r w:rsidRPr="001532C8">
        <w:rPr>
          <w:rFonts w:ascii="Verdana" w:eastAsia="Calibri" w:hAnsi="Verdana" w:cs="Arial"/>
          <w:lang w:val="es-ES_tradnl" w:eastAsia="es-ES_tradnl"/>
        </w:rPr>
        <w:t>actividades relacionadas con la administración o funcionamiento de la entidad</w:t>
      </w:r>
      <w:r>
        <w:rPr>
          <w:rFonts w:ascii="Verdana" w:eastAsia="Calibri" w:hAnsi="Verdana" w:cs="Arial"/>
          <w:lang w:val="es-ES_tradnl" w:eastAsia="es-ES_tradnl"/>
        </w:rPr>
        <w:t>”</w:t>
      </w:r>
      <w:r w:rsidRPr="001532C8">
        <w:rPr>
          <w:rFonts w:ascii="Verdana" w:eastAsia="Calibri" w:hAnsi="Verdana" w:cs="Arial"/>
          <w:lang w:val="es-ES_tradnl" w:eastAsia="es-ES_tradnl"/>
        </w:rPr>
        <w:t>, es decir, que hagan parte de su giro ordinario o quehacer cotidiano.</w:t>
      </w:r>
    </w:p>
    <w:p w14:paraId="2813CA04" w14:textId="77777777" w:rsidR="00146D08" w:rsidRPr="001532C8" w:rsidRDefault="00146D08" w:rsidP="00146D08">
      <w:pPr>
        <w:spacing w:after="120" w:line="276" w:lineRule="auto"/>
        <w:ind w:firstLine="709"/>
        <w:jc w:val="both"/>
        <w:rPr>
          <w:rFonts w:ascii="Verdana" w:eastAsia="Calibri" w:hAnsi="Verdana" w:cs="Arial"/>
          <w:lang w:val="es-ES" w:eastAsia="es-ES"/>
        </w:rPr>
      </w:pPr>
      <w:r w:rsidRPr="7E0867B5">
        <w:rPr>
          <w:rFonts w:ascii="Verdana" w:eastAsia="Calibri" w:hAnsi="Verdana" w:cs="Arial"/>
          <w:lang w:val="es-ES" w:eastAsia="es-ES"/>
        </w:rPr>
        <w:t>ii)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7E0867B5">
        <w:rPr>
          <w:rFonts w:ascii="Verdana" w:eastAsia="Calibri" w:hAnsi="Verdana" w:cs="Arial"/>
          <w:vertAlign w:val="superscript"/>
          <w:lang w:val="es-ES" w:eastAsia="es-ES"/>
        </w:rPr>
        <w:footnoteReference w:id="2"/>
      </w:r>
      <w:r w:rsidRPr="7E0867B5">
        <w:rPr>
          <w:rFonts w:ascii="Verdana" w:eastAsia="Calibri" w:hAnsi="Verdana" w:cs="Arial"/>
          <w:lang w:val="es-ES" w:eastAsia="es-ES"/>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1A39CEA0" w14:textId="77777777" w:rsidR="00146D08" w:rsidRPr="001532C8" w:rsidRDefault="00146D08" w:rsidP="00146D08">
      <w:pPr>
        <w:spacing w:after="120" w:line="276" w:lineRule="auto"/>
        <w:ind w:firstLine="709"/>
        <w:jc w:val="both"/>
        <w:rPr>
          <w:rFonts w:ascii="Verdana" w:eastAsia="Calibri" w:hAnsi="Verdana" w:cs="Arial"/>
          <w:lang w:val="es-ES" w:eastAsia="es-ES"/>
        </w:rPr>
      </w:pPr>
      <w:r w:rsidRPr="7E0867B5">
        <w:rPr>
          <w:rFonts w:ascii="Verdana" w:eastAsia="Calibri" w:hAnsi="Verdana" w:cs="Arial"/>
          <w:lang w:val="es-ES" w:eastAsia="es-ES"/>
        </w:rPr>
        <w:lastRenderedPageBreak/>
        <w:t>iii) Si bien se celebran para obtener la prestación personal de un servicio, se diferencian del contrato de trabajo</w:t>
      </w:r>
      <w:r w:rsidRPr="7E0867B5">
        <w:rPr>
          <w:rFonts w:ascii="Verdana" w:eastAsia="Calibri" w:hAnsi="Verdana" w:cs="Arial"/>
          <w:vertAlign w:val="superscript"/>
          <w:lang w:val="es-ES" w:eastAsia="es-ES"/>
        </w:rPr>
        <w:footnoteReference w:id="3"/>
      </w:r>
      <w:r w:rsidRPr="7E0867B5">
        <w:rPr>
          <w:rFonts w:ascii="Verdana" w:eastAsia="Calibri" w:hAnsi="Verdana" w:cs="Arial"/>
          <w:lang w:val="es-ES" w:eastAsia="es-ES"/>
        </w:rPr>
        <w:t xml:space="preserve"> en que quien celebra el contrato de prestación de servicios debe mantener autonomía e independencia en la ejecución de la labor, lo que significa que no puede existir la </w:t>
      </w:r>
      <w:r w:rsidRPr="7E0867B5">
        <w:rPr>
          <w:rFonts w:ascii="Verdana" w:eastAsia="Calibri" w:hAnsi="Verdana" w:cs="Arial"/>
          <w:i/>
          <w:lang w:val="es-ES" w:eastAsia="es-ES"/>
        </w:rPr>
        <w:t>subordinación y dependencia</w:t>
      </w:r>
      <w:r w:rsidRPr="7E0867B5">
        <w:rPr>
          <w:rFonts w:ascii="Verdana" w:eastAsia="Calibri" w:hAnsi="Verdana" w:cs="Arial"/>
          <w:lang w:val="es-ES" w:eastAsia="es-ES"/>
        </w:rPr>
        <w:t xml:space="preserve">, que es uno de los elementos constitutivos del vínculo laboral. Por ello, el numeral 3º del artículo 32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7E0867B5">
        <w:rPr>
          <w:rFonts w:ascii="Verdana" w:eastAsia="Calibri" w:hAnsi="Verdana" w:cs="Arial"/>
          <w:i/>
          <w:lang w:val="es-ES" w:eastAsia="es-ES"/>
        </w:rPr>
        <w:t>no pueden</w:t>
      </w:r>
      <w:r w:rsidRPr="7E0867B5">
        <w:rPr>
          <w:rFonts w:ascii="Verdana" w:eastAsia="Calibri" w:hAnsi="Verdana" w:cs="Arial"/>
          <w:lang w:val="es-ES" w:eastAsia="es-ES"/>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7E0867B5">
        <w:rPr>
          <w:rFonts w:ascii="Verdana" w:eastAsia="Calibri" w:hAnsi="Verdana" w:cs="Arial"/>
          <w:i/>
          <w:lang w:val="es-ES" w:eastAsia="es-ES"/>
        </w:rPr>
        <w:t>contrato realidad</w:t>
      </w:r>
      <w:r w:rsidRPr="7E0867B5">
        <w:rPr>
          <w:rFonts w:ascii="Verdana" w:eastAsia="Calibri" w:hAnsi="Verdana" w:cs="Arial"/>
          <w:lang w:val="es-ES" w:eastAsia="es-ES"/>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7E0867B5">
        <w:rPr>
          <w:rFonts w:ascii="Verdana" w:eastAsia="Calibri" w:hAnsi="Verdana" w:cs="Arial"/>
          <w:vertAlign w:val="superscript"/>
          <w:lang w:val="es-ES" w:eastAsia="es-ES"/>
        </w:rPr>
        <w:footnoteReference w:id="4"/>
      </w:r>
      <w:r w:rsidRPr="7E0867B5">
        <w:rPr>
          <w:rFonts w:ascii="Verdana" w:eastAsia="Calibri" w:hAnsi="Verdana" w:cs="Arial"/>
          <w:lang w:val="es-ES" w:eastAsia="es-ES"/>
        </w:rPr>
        <w:t>.</w:t>
      </w:r>
    </w:p>
    <w:p w14:paraId="36B89B6E" w14:textId="77777777" w:rsidR="00146D08" w:rsidRPr="001532C8" w:rsidRDefault="00146D08" w:rsidP="00146D08">
      <w:pPr>
        <w:spacing w:after="0" w:line="276" w:lineRule="auto"/>
        <w:ind w:firstLine="709"/>
        <w:jc w:val="both"/>
        <w:rPr>
          <w:rFonts w:ascii="Verdana" w:eastAsia="Calibri" w:hAnsi="Verdana" w:cs="Arial"/>
          <w:lang w:val="es-ES" w:eastAsia="es-ES"/>
        </w:rPr>
      </w:pPr>
      <w:r w:rsidRPr="7E0867B5">
        <w:rPr>
          <w:rFonts w:ascii="Verdana" w:eastAsia="Calibri" w:hAnsi="Verdana" w:cs="Arial"/>
          <w:lang w:val="es-ES" w:eastAsia="es-ES"/>
        </w:rPr>
        <w:t>iv) Deben ser temporales. Así lo señaló la Corte Constitucional en la misma providencia a la que se aludió previamente, expresando que:</w:t>
      </w:r>
    </w:p>
    <w:p w14:paraId="632F937D"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p>
    <w:p w14:paraId="333A1C05"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Pr>
          <w:rFonts w:ascii="Verdana" w:eastAsia="Times New Roman" w:hAnsi="Verdana" w:cs="Arial"/>
          <w:sz w:val="21"/>
          <w:szCs w:val="21"/>
          <w:lang w:eastAsia="es-ES_tradnl"/>
        </w:rPr>
        <w:t>“</w:t>
      </w:r>
      <w:r w:rsidRPr="001532C8">
        <w:rPr>
          <w:rFonts w:ascii="Verdana" w:eastAsia="Calibri" w:hAnsi="Verdana" w:cs="Arial"/>
          <w:sz w:val="21"/>
          <w:szCs w:val="21"/>
          <w:lang w:val="es-ES_tradnl" w:eastAsia="es-ES_tradnl"/>
        </w:rPr>
        <w:t xml:space="preserve">La vigencia del contrato es temporal y, por lo tanto, su duración debe ser por tiempo limitado y el indispensable para ejecutar el objeto contractual convenido. En el caso de que las actividades con ellos </w:t>
      </w:r>
      <w:r w:rsidRPr="001532C8">
        <w:rPr>
          <w:rFonts w:ascii="Verdana" w:eastAsia="Calibri" w:hAnsi="Verdana" w:cs="Arial"/>
          <w:sz w:val="21"/>
          <w:szCs w:val="21"/>
          <w:lang w:val="es-ES_tradnl" w:eastAsia="es-ES_tradnl"/>
        </w:rPr>
        <w:lastRenderedPageBreak/>
        <w:t>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Fonts w:ascii="Verdana" w:eastAsia="Times New Roman" w:hAnsi="Verdana" w:cs="Arial"/>
          <w:sz w:val="21"/>
          <w:szCs w:val="21"/>
          <w:lang w:eastAsia="es-ES_tradnl"/>
        </w:rPr>
        <w:t>”</w:t>
      </w:r>
      <w:r w:rsidRPr="001532C8">
        <w:rPr>
          <w:rFonts w:ascii="Verdana" w:eastAsia="Calibri" w:hAnsi="Verdana" w:cs="Arial"/>
          <w:sz w:val="21"/>
          <w:szCs w:val="21"/>
          <w:vertAlign w:val="superscript"/>
          <w:lang w:val="es-ES_tradnl" w:eastAsia="es-ES_tradnl"/>
        </w:rPr>
        <w:footnoteReference w:id="5"/>
      </w:r>
      <w:r w:rsidRPr="001532C8">
        <w:rPr>
          <w:rFonts w:ascii="Verdana" w:eastAsia="Calibri" w:hAnsi="Verdana" w:cs="Arial"/>
          <w:sz w:val="21"/>
          <w:szCs w:val="21"/>
          <w:lang w:val="es-ES_tradnl" w:eastAsia="es-ES_tradnl"/>
        </w:rPr>
        <w:t>.</w:t>
      </w:r>
    </w:p>
    <w:p w14:paraId="5751BE16"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p>
    <w:p w14:paraId="75F63CC3" w14:textId="77777777" w:rsidR="00146D08" w:rsidRPr="001532C8" w:rsidRDefault="00146D08" w:rsidP="00146D08">
      <w:pPr>
        <w:spacing w:after="0" w:line="276" w:lineRule="auto"/>
        <w:ind w:firstLine="709"/>
        <w:jc w:val="both"/>
        <w:rPr>
          <w:rFonts w:ascii="Verdana" w:eastAsia="Calibri" w:hAnsi="Verdana" w:cs="Arial"/>
          <w:lang w:val="es-ES" w:eastAsia="es-ES"/>
        </w:rPr>
      </w:pPr>
      <w:r w:rsidRPr="7E0867B5">
        <w:rPr>
          <w:rFonts w:ascii="Verdana" w:eastAsia="Calibri" w:hAnsi="Verdana" w:cs="Arial"/>
          <w:lang w:val="es-ES" w:eastAsia="es-ES"/>
        </w:rPr>
        <w:t xml:space="preserve">v) Los contratos de prestación de servicios constituyen un </w:t>
      </w:r>
      <w:r w:rsidRPr="7E0867B5">
        <w:rPr>
          <w:rFonts w:ascii="Verdana" w:eastAsia="Calibri" w:hAnsi="Verdana" w:cs="Arial"/>
          <w:i/>
          <w:lang w:val="es-ES" w:eastAsia="es-ES"/>
        </w:rPr>
        <w:t>género</w:t>
      </w:r>
      <w:r w:rsidRPr="7E0867B5">
        <w:rPr>
          <w:rFonts w:ascii="Verdana" w:eastAsia="Calibri" w:hAnsi="Verdana" w:cs="Arial"/>
          <w:lang w:val="es-ES" w:eastAsia="es-ES"/>
        </w:rPr>
        <w:t xml:space="preserve"> que incluye, como </w:t>
      </w:r>
      <w:r w:rsidRPr="7E0867B5">
        <w:rPr>
          <w:rFonts w:ascii="Verdana" w:eastAsia="Calibri" w:hAnsi="Verdana" w:cs="Arial"/>
          <w:i/>
          <w:lang w:val="es-ES" w:eastAsia="es-ES"/>
        </w:rPr>
        <w:t>especies</w:t>
      </w:r>
      <w:r w:rsidRPr="7E0867B5">
        <w:rPr>
          <w:rFonts w:ascii="Verdana" w:eastAsia="Calibri" w:hAnsi="Verdana" w:cs="Arial"/>
          <w:lang w:val="es-ES" w:eastAsia="es-ES"/>
        </w:rPr>
        <w:t>, los contratos de prestación de servicios profesionales, los contratos de prestación de servicios de apoyo a la gestión y los contratos de prestación de servicios artísticos que solo pueden encomendarse a determinadas personas naturales</w:t>
      </w:r>
      <w:r w:rsidRPr="7E0867B5">
        <w:rPr>
          <w:rFonts w:ascii="Verdana" w:eastAsia="Calibri" w:hAnsi="Verdana" w:cs="Arial"/>
          <w:vertAlign w:val="superscript"/>
          <w:lang w:val="es-ES" w:eastAsia="es-ES"/>
        </w:rPr>
        <w:footnoteReference w:id="6"/>
      </w:r>
      <w:r w:rsidRPr="7E0867B5">
        <w:rPr>
          <w:rFonts w:ascii="Verdana" w:eastAsia="Calibri" w:hAnsi="Verdana" w:cs="Arial"/>
          <w:lang w:val="es-ES" w:eastAsia="es-ES"/>
        </w:rPr>
        <w:t xml:space="preserve">. La diferencia entre el contrato de prestación de servicios </w:t>
      </w:r>
      <w:r w:rsidRPr="7E0867B5">
        <w:rPr>
          <w:rFonts w:ascii="Verdana" w:eastAsia="Calibri" w:hAnsi="Verdana" w:cs="Arial"/>
          <w:i/>
          <w:lang w:val="es-ES" w:eastAsia="es-ES"/>
        </w:rPr>
        <w:t>profesionales</w:t>
      </w:r>
      <w:r w:rsidRPr="7E0867B5">
        <w:rPr>
          <w:rFonts w:ascii="Verdana" w:eastAsia="Calibri" w:hAnsi="Verdana" w:cs="Arial"/>
          <w:lang w:val="es-ES" w:eastAsia="es-ES"/>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0285FED4"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p>
    <w:p w14:paraId="698DB366" w14:textId="77777777" w:rsidR="00146D08" w:rsidRPr="001532C8" w:rsidRDefault="00146D08" w:rsidP="00146D08">
      <w:pPr>
        <w:spacing w:after="0" w:line="240" w:lineRule="auto"/>
        <w:ind w:left="709" w:right="709"/>
        <w:jc w:val="both"/>
        <w:rPr>
          <w:rFonts w:ascii="Verdana" w:eastAsia="Calibri" w:hAnsi="Verdana" w:cs="Arial"/>
          <w:sz w:val="21"/>
          <w:szCs w:val="21"/>
          <w:lang w:val="es-ES" w:eastAsia="es-ES_tradnl"/>
        </w:rPr>
      </w:pPr>
      <w:r>
        <w:rPr>
          <w:rFonts w:ascii="Verdana" w:eastAsia="Times New Roman" w:hAnsi="Verdana" w:cs="Arial"/>
          <w:sz w:val="21"/>
          <w:szCs w:val="21"/>
          <w:lang w:eastAsia="es-ES_tradnl"/>
        </w:rPr>
        <w:t>“</w:t>
      </w:r>
      <w:r w:rsidRPr="001532C8">
        <w:rPr>
          <w:rFonts w:ascii="Verdana" w:eastAsia="Calibri" w:hAnsi="Verdana" w:cs="Arial"/>
          <w:sz w:val="21"/>
          <w:szCs w:val="21"/>
          <w:lang w:val="es-ES" w:eastAsia="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Pr>
          <w:rFonts w:ascii="Verdana" w:eastAsia="Times New Roman" w:hAnsi="Verdana" w:cs="Arial"/>
          <w:sz w:val="21"/>
          <w:szCs w:val="21"/>
          <w:lang w:eastAsia="es-ES_tradnl"/>
        </w:rPr>
        <w:t>”</w:t>
      </w:r>
      <w:r w:rsidRPr="001532C8">
        <w:rPr>
          <w:rFonts w:ascii="Verdana" w:eastAsia="Calibri" w:hAnsi="Verdana" w:cs="Arial"/>
          <w:sz w:val="21"/>
          <w:szCs w:val="21"/>
          <w:vertAlign w:val="superscript"/>
          <w:lang w:val="es-ES" w:eastAsia="es-ES_tradnl"/>
        </w:rPr>
        <w:footnoteReference w:id="7"/>
      </w:r>
    </w:p>
    <w:p w14:paraId="7C284C96"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p>
    <w:p w14:paraId="310F02FD"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r w:rsidRPr="001532C8">
        <w:rPr>
          <w:rFonts w:ascii="Verdana" w:eastAsia="Calibri" w:hAnsi="Verdana" w:cs="Arial"/>
          <w:lang w:val="es-ES_tradnl" w:eastAsia="es-ES_tradnl"/>
        </w:rPr>
        <w:t>Objeto que, según la sentencia que se cita, se diferencia del objeto del contrato de prestación de servicios de apoyo a la gestión, porque en este:</w:t>
      </w:r>
    </w:p>
    <w:p w14:paraId="27F27E5A"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p>
    <w:p w14:paraId="1CE5FF64"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Pr>
          <w:rFonts w:ascii="Verdana" w:eastAsia="Times New Roman" w:hAnsi="Verdana" w:cs="Arial"/>
          <w:sz w:val="21"/>
          <w:szCs w:val="21"/>
          <w:lang w:eastAsia="es-ES_tradnl"/>
        </w:rPr>
        <w:t>“</w:t>
      </w:r>
      <w:r w:rsidRPr="001532C8">
        <w:rPr>
          <w:rFonts w:ascii="Verdana" w:eastAsia="Calibri" w:hAnsi="Verdana" w:cs="Arial"/>
          <w:sz w:val="21"/>
          <w:szCs w:val="21"/>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3E8357C0"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p>
    <w:p w14:paraId="4FCA31F9" w14:textId="77777777" w:rsidR="00146D08" w:rsidRPr="001532C8" w:rsidRDefault="00146D08" w:rsidP="00146D08">
      <w:pPr>
        <w:spacing w:after="0" w:line="240" w:lineRule="auto"/>
        <w:ind w:left="709" w:right="709"/>
        <w:jc w:val="both"/>
        <w:rPr>
          <w:rFonts w:ascii="Verdana" w:eastAsia="Calibri" w:hAnsi="Verdana" w:cs="Arial"/>
          <w:sz w:val="21"/>
          <w:szCs w:val="21"/>
          <w:lang w:val="es-ES" w:eastAsia="es-ES"/>
        </w:rPr>
      </w:pPr>
      <w:r w:rsidRPr="7E0867B5">
        <w:rPr>
          <w:rFonts w:ascii="Verdana" w:eastAsia="Calibri" w:hAnsi="Verdana" w:cs="Arial"/>
          <w:sz w:val="21"/>
          <w:szCs w:val="21"/>
          <w:lang w:val="es-ES" w:eastAsia="es-ES"/>
        </w:rPr>
        <w:t xml:space="preserve">Aunque también se caracteriza por el desempeño de actividad intelectiva, ésta </w:t>
      </w:r>
      <w:proofErr w:type="gramStart"/>
      <w:r w:rsidRPr="7E0867B5">
        <w:rPr>
          <w:rFonts w:ascii="Verdana" w:eastAsia="Calibri" w:hAnsi="Verdana" w:cs="Arial"/>
          <w:sz w:val="21"/>
          <w:szCs w:val="21"/>
          <w:lang w:val="es-ES" w:eastAsia="es-ES"/>
        </w:rPr>
        <w:t>se enmarca dentro de</w:t>
      </w:r>
      <w:proofErr w:type="gramEnd"/>
      <w:r w:rsidRPr="7E0867B5">
        <w:rPr>
          <w:rFonts w:ascii="Verdana" w:eastAsia="Calibri" w:hAnsi="Verdana" w:cs="Arial"/>
          <w:sz w:val="21"/>
          <w:szCs w:val="21"/>
          <w:lang w:val="es-ES" w:eastAsia="es-ES"/>
        </w:rPr>
        <w:t xml:space="preserve"> un saber propiamente técnico; igualmente involucra actividades en donde prima el esfuerzo físico o mecánico, en donde no se requiere de personal profesional.</w:t>
      </w:r>
    </w:p>
    <w:p w14:paraId="1AEBF367" w14:textId="77777777" w:rsidR="00146D08" w:rsidRPr="001532C8" w:rsidRDefault="00146D08" w:rsidP="00146D08">
      <w:pPr>
        <w:spacing w:after="0" w:line="240" w:lineRule="auto"/>
        <w:ind w:right="709"/>
        <w:jc w:val="both"/>
        <w:rPr>
          <w:rFonts w:ascii="Verdana" w:eastAsia="Calibri" w:hAnsi="Verdana" w:cs="Arial"/>
          <w:sz w:val="21"/>
          <w:szCs w:val="21"/>
          <w:lang w:val="es-ES_tradnl" w:eastAsia="es-ES_tradnl"/>
        </w:rPr>
      </w:pPr>
    </w:p>
    <w:p w14:paraId="68E57701"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sidRPr="001532C8">
        <w:rPr>
          <w:rFonts w:ascii="Verdana" w:eastAsia="Calibri" w:hAnsi="Verdana" w:cs="Arial"/>
          <w:sz w:val="21"/>
          <w:szCs w:val="21"/>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r>
        <w:rPr>
          <w:rFonts w:ascii="Verdana" w:eastAsia="Times New Roman" w:hAnsi="Verdana" w:cs="Arial"/>
          <w:sz w:val="21"/>
          <w:szCs w:val="21"/>
          <w:lang w:eastAsia="es-ES_tradnl"/>
        </w:rPr>
        <w:t>”</w:t>
      </w:r>
      <w:r w:rsidRPr="001532C8">
        <w:rPr>
          <w:rFonts w:ascii="Verdana" w:eastAsia="Calibri" w:hAnsi="Verdana" w:cs="Arial"/>
          <w:sz w:val="21"/>
          <w:szCs w:val="21"/>
          <w:vertAlign w:val="superscript"/>
          <w:lang w:val="es-ES_tradnl" w:eastAsia="es-ES_tradnl"/>
        </w:rPr>
        <w:footnoteReference w:id="8"/>
      </w:r>
      <w:r w:rsidRPr="001532C8">
        <w:rPr>
          <w:rFonts w:ascii="Verdana" w:eastAsia="Calibri" w:hAnsi="Verdana" w:cs="Arial"/>
          <w:sz w:val="21"/>
          <w:szCs w:val="21"/>
          <w:lang w:val="es-ES_tradnl" w:eastAsia="es-ES_tradnl"/>
        </w:rPr>
        <w:t>.</w:t>
      </w:r>
    </w:p>
    <w:p w14:paraId="4613513B"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p>
    <w:p w14:paraId="6E20258A" w14:textId="77777777" w:rsidR="00146D08" w:rsidRPr="001532C8" w:rsidRDefault="00146D08" w:rsidP="00146D08">
      <w:pPr>
        <w:spacing w:after="0" w:line="276" w:lineRule="auto"/>
        <w:ind w:firstLine="709"/>
        <w:jc w:val="both"/>
        <w:rPr>
          <w:rFonts w:ascii="Verdana" w:eastAsia="Calibri" w:hAnsi="Verdana" w:cs="Arial"/>
          <w:lang w:val="es-ES_tradnl" w:eastAsia="es-ES_tradnl"/>
        </w:rPr>
      </w:pPr>
      <w:r w:rsidRPr="001532C8">
        <w:rPr>
          <w:rFonts w:ascii="Verdana" w:eastAsia="Calibri" w:hAnsi="Verdana" w:cs="Arial"/>
          <w:lang w:val="es-ES_tradnl" w:eastAsia="es-ES_tradnl"/>
        </w:rPr>
        <w:t>En relación con el contrato de prestación de servicios artísticos que solo pueden encomendarse a determinadas personas naturales, señala el mencionado fallo que:</w:t>
      </w:r>
    </w:p>
    <w:p w14:paraId="624D088E" w14:textId="77777777" w:rsidR="00146D08" w:rsidRPr="001532C8" w:rsidRDefault="00146D08" w:rsidP="00146D08">
      <w:pPr>
        <w:spacing w:after="0" w:line="276" w:lineRule="auto"/>
        <w:ind w:left="709" w:right="709"/>
        <w:jc w:val="both"/>
        <w:rPr>
          <w:rFonts w:ascii="Verdana" w:eastAsia="Calibri" w:hAnsi="Verdana" w:cs="Arial"/>
          <w:lang w:val="es-ES_tradnl" w:eastAsia="es-ES_tradnl"/>
        </w:rPr>
      </w:pPr>
    </w:p>
    <w:p w14:paraId="404E1F4E"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r>
        <w:rPr>
          <w:rFonts w:ascii="Verdana" w:eastAsia="Times New Roman" w:hAnsi="Verdana" w:cs="Arial"/>
          <w:sz w:val="21"/>
          <w:szCs w:val="21"/>
          <w:lang w:eastAsia="es-ES_tradnl"/>
        </w:rPr>
        <w:t>“</w:t>
      </w:r>
      <w:r w:rsidRPr="001532C8">
        <w:rPr>
          <w:rFonts w:ascii="Verdana" w:eastAsia="Calibri" w:hAnsi="Verdana" w:cs="Arial"/>
          <w:sz w:val="21"/>
          <w:szCs w:val="21"/>
          <w:lang w:val="es-ES_tradnl" w:eastAsia="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Pr>
          <w:rFonts w:ascii="Verdana" w:eastAsia="Times New Roman" w:hAnsi="Verdana" w:cs="Arial"/>
          <w:sz w:val="21"/>
          <w:szCs w:val="21"/>
          <w:lang w:eastAsia="es-ES_tradnl"/>
        </w:rPr>
        <w:t>”</w:t>
      </w:r>
      <w:r w:rsidRPr="001532C8">
        <w:rPr>
          <w:rFonts w:ascii="Verdana" w:eastAsia="Calibri" w:hAnsi="Verdana" w:cs="Arial"/>
          <w:sz w:val="21"/>
          <w:szCs w:val="21"/>
          <w:vertAlign w:val="superscript"/>
          <w:lang w:val="es-ES_tradnl" w:eastAsia="es-ES_tradnl"/>
        </w:rPr>
        <w:footnoteReference w:id="9"/>
      </w:r>
      <w:r w:rsidRPr="001532C8">
        <w:rPr>
          <w:rFonts w:ascii="Verdana" w:eastAsia="Calibri" w:hAnsi="Verdana" w:cs="Arial"/>
          <w:sz w:val="21"/>
          <w:szCs w:val="21"/>
          <w:lang w:val="es-ES_tradnl" w:eastAsia="es-ES_tradnl"/>
        </w:rPr>
        <w:t>.</w:t>
      </w:r>
    </w:p>
    <w:p w14:paraId="1013C682" w14:textId="77777777" w:rsidR="00146D08" w:rsidRPr="001532C8" w:rsidRDefault="00146D08" w:rsidP="00146D08">
      <w:pPr>
        <w:spacing w:after="0" w:line="240" w:lineRule="auto"/>
        <w:ind w:left="709" w:right="709"/>
        <w:jc w:val="both"/>
        <w:rPr>
          <w:rFonts w:ascii="Verdana" w:eastAsia="Calibri" w:hAnsi="Verdana" w:cs="Arial"/>
          <w:sz w:val="21"/>
          <w:szCs w:val="21"/>
          <w:lang w:val="es-ES_tradnl" w:eastAsia="es-ES_tradnl"/>
        </w:rPr>
      </w:pPr>
    </w:p>
    <w:p w14:paraId="61B33487" w14:textId="773062CD" w:rsidR="00146D08" w:rsidRPr="001532C8" w:rsidRDefault="00146D08" w:rsidP="00146D08">
      <w:pPr>
        <w:spacing w:after="120" w:line="276" w:lineRule="auto"/>
        <w:ind w:firstLine="709"/>
        <w:jc w:val="both"/>
        <w:rPr>
          <w:rFonts w:ascii="Verdana" w:eastAsia="Calibri" w:hAnsi="Verdana" w:cs="Arial"/>
          <w:lang w:val="es-ES_tradnl" w:eastAsia="es-ES_tradnl"/>
        </w:rPr>
      </w:pPr>
      <w:r w:rsidRPr="001532C8">
        <w:rPr>
          <w:rFonts w:ascii="Verdana" w:eastAsia="Calibri" w:hAnsi="Verdana" w:cs="Arial"/>
          <w:lang w:val="es-ES_tradnl" w:eastAsia="es-ES_tradnl"/>
        </w:rPr>
        <w:t xml:space="preserve">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w:t>
      </w:r>
      <w:r w:rsidRPr="001532C8">
        <w:rPr>
          <w:rFonts w:ascii="Verdana" w:eastAsia="Calibri" w:hAnsi="Verdana" w:cs="Arial"/>
          <w:lang w:val="es-ES_tradnl" w:eastAsia="es-ES_tradnl"/>
        </w:rPr>
        <w:lastRenderedPageBreak/>
        <w:t>por regla general, precedido de un concurso de méritos</w:t>
      </w:r>
      <w:r w:rsidRPr="001532C8">
        <w:rPr>
          <w:rFonts w:ascii="Verdana" w:eastAsia="Calibri" w:hAnsi="Verdana" w:cs="Arial"/>
          <w:vertAlign w:val="superscript"/>
          <w:lang w:val="es-ES_tradnl" w:eastAsia="es-ES_tradnl"/>
        </w:rPr>
        <w:footnoteReference w:id="10"/>
      </w:r>
      <w:r w:rsidRPr="001532C8">
        <w:rPr>
          <w:rFonts w:ascii="Verdana" w:eastAsia="Calibri" w:hAnsi="Verdana" w:cs="Arial"/>
          <w:lang w:val="es-ES_tradnl" w:eastAsia="es-ES_tradnl"/>
        </w:rPr>
        <w:t xml:space="preserve">. Pero, tampoco puede suscribirse un contrato de prestación de servicios profesionales para que el contratista ejecute labores que se enmarcan </w:t>
      </w:r>
      <w:r w:rsidR="0083473D" w:rsidRPr="001532C8">
        <w:rPr>
          <w:rFonts w:ascii="Verdana" w:eastAsia="Calibri" w:hAnsi="Verdana" w:cs="Arial"/>
          <w:lang w:val="es-ES_tradnl" w:eastAsia="es-ES_tradnl"/>
        </w:rPr>
        <w:t>en</w:t>
      </w:r>
      <w:r w:rsidRPr="001532C8">
        <w:rPr>
          <w:rFonts w:ascii="Verdana" w:eastAsia="Calibri" w:hAnsi="Verdana" w:cs="Arial"/>
          <w:lang w:val="es-ES_tradnl" w:eastAsia="es-ES_tradnl"/>
        </w:rPr>
        <w:t xml:space="preserve"> los otros contratos tipificados en el artículo 32 de la Ley 80 de 1993, como, por ejemplo, para que el contratista de prestación de servicios construya una obra.</w:t>
      </w:r>
    </w:p>
    <w:p w14:paraId="32F30DF0" w14:textId="77777777" w:rsidR="00146D08" w:rsidRPr="001532C8" w:rsidRDefault="00146D08" w:rsidP="00146D08">
      <w:pPr>
        <w:spacing w:after="120" w:line="276" w:lineRule="auto"/>
        <w:ind w:firstLine="709"/>
        <w:jc w:val="both"/>
        <w:rPr>
          <w:rFonts w:ascii="Verdana" w:eastAsia="Calibri" w:hAnsi="Verdana" w:cs="Arial"/>
          <w:lang w:val="es-ES" w:eastAsia="es-ES"/>
        </w:rPr>
      </w:pPr>
      <w:r w:rsidRPr="7E0867B5">
        <w:rPr>
          <w:rFonts w:ascii="Verdana" w:eastAsia="Calibri" w:hAnsi="Verdana" w:cs="Arial"/>
          <w:lang w:val="es-ES" w:eastAsia="es-ES"/>
        </w:rPr>
        <w:t>vii) Para su celebración no se requiere en algunos casos la expedición del acto administrativo de justificación de la contratación directa</w:t>
      </w:r>
      <w:r w:rsidRPr="7E0867B5">
        <w:rPr>
          <w:rFonts w:ascii="Verdana" w:eastAsia="Calibri" w:hAnsi="Verdana" w:cs="Arial"/>
          <w:vertAlign w:val="superscript"/>
          <w:lang w:val="es-ES" w:eastAsia="es-ES"/>
        </w:rPr>
        <w:footnoteReference w:id="11"/>
      </w:r>
      <w:r w:rsidRPr="7E0867B5">
        <w:rPr>
          <w:rFonts w:ascii="Verdana" w:eastAsia="Calibri" w:hAnsi="Verdana" w:cs="Arial"/>
          <w:lang w:val="es-ES" w:eastAsia="es-ES"/>
        </w:rPr>
        <w:t xml:space="preserve">. </w:t>
      </w:r>
    </w:p>
    <w:p w14:paraId="316A836F" w14:textId="77777777" w:rsidR="00146D08" w:rsidRPr="001532C8" w:rsidRDefault="00146D08" w:rsidP="00146D08">
      <w:pPr>
        <w:spacing w:after="120" w:line="276" w:lineRule="auto"/>
        <w:ind w:firstLine="709"/>
        <w:jc w:val="both"/>
        <w:rPr>
          <w:rFonts w:ascii="Verdana" w:eastAsia="Calibri" w:hAnsi="Verdana" w:cs="Arial"/>
          <w:lang w:val="es-ES" w:eastAsia="es-ES"/>
        </w:rPr>
      </w:pPr>
      <w:r w:rsidRPr="7E0867B5">
        <w:rPr>
          <w:rFonts w:ascii="Verdana" w:eastAsia="Calibri" w:hAnsi="Verdana" w:cs="Arial"/>
          <w:lang w:val="es-ES" w:eastAsia="es-ES"/>
        </w:rPr>
        <w:t>viii)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7E0867B5">
        <w:rPr>
          <w:rFonts w:ascii="Verdana" w:eastAsia="Calibri" w:hAnsi="Verdana" w:cs="Arial"/>
          <w:vertAlign w:val="superscript"/>
          <w:lang w:val="es-ES" w:eastAsia="es-ES"/>
        </w:rPr>
        <w:footnoteReference w:id="12"/>
      </w:r>
      <w:r w:rsidRPr="7E0867B5">
        <w:rPr>
          <w:rFonts w:ascii="Verdana" w:eastAsia="Calibri" w:hAnsi="Verdana" w:cs="Arial"/>
          <w:lang w:val="es-ES" w:eastAsia="es-ES"/>
        </w:rPr>
        <w:t>.</w:t>
      </w:r>
    </w:p>
    <w:p w14:paraId="5E410B98" w14:textId="77777777" w:rsidR="00146D08" w:rsidRPr="001532C8" w:rsidRDefault="00146D08" w:rsidP="00146D08">
      <w:pPr>
        <w:spacing w:after="120" w:line="276" w:lineRule="auto"/>
        <w:ind w:firstLine="709"/>
        <w:jc w:val="both"/>
        <w:rPr>
          <w:rFonts w:ascii="Verdana" w:eastAsia="Calibri" w:hAnsi="Verdana" w:cs="Arial"/>
          <w:lang w:val="es-ES" w:eastAsia="es-ES"/>
        </w:rPr>
      </w:pPr>
      <w:r w:rsidRPr="7E0867B5">
        <w:rPr>
          <w:rFonts w:ascii="Verdana" w:eastAsia="Calibri" w:hAnsi="Verdana" w:cs="Arial"/>
          <w:lang w:val="es-ES" w:eastAsia="es-ES"/>
        </w:rPr>
        <w:t>ix) En algunos casos no es obligatoria la liquidación, pues así lo estableció el artículo 217 del Decreto 019 de 2012, que modificó el artículo 60 de la Ley 80 de 1993</w:t>
      </w:r>
      <w:r w:rsidRPr="7E0867B5">
        <w:rPr>
          <w:rFonts w:ascii="Verdana" w:eastAsia="Calibri" w:hAnsi="Verdana" w:cs="Arial"/>
          <w:vertAlign w:val="superscript"/>
          <w:lang w:val="es-ES" w:eastAsia="es-ES"/>
        </w:rPr>
        <w:footnoteReference w:id="13"/>
      </w:r>
      <w:r w:rsidRPr="7E0867B5">
        <w:rPr>
          <w:rFonts w:ascii="Verdana" w:eastAsia="Calibri" w:hAnsi="Verdana" w:cs="Arial"/>
          <w:lang w:val="es-ES" w:eastAsia="es-ES"/>
        </w:rPr>
        <w:t>, refiriéndose a los contratos de prestación de servicios profesionales y de apoyo a la gestión.</w:t>
      </w:r>
    </w:p>
    <w:p w14:paraId="0066B0FF" w14:textId="77777777" w:rsidR="00146D08" w:rsidRPr="001532C8" w:rsidRDefault="00146D08" w:rsidP="00146D08">
      <w:pPr>
        <w:spacing w:after="120" w:line="276" w:lineRule="auto"/>
        <w:ind w:firstLine="709"/>
        <w:jc w:val="both"/>
        <w:rPr>
          <w:rFonts w:ascii="Verdana" w:eastAsia="Calibri" w:hAnsi="Verdana" w:cs="Arial"/>
          <w:lang w:val="es-ES_tradnl" w:eastAsia="es-ES_tradnl"/>
        </w:rPr>
      </w:pPr>
      <w:r w:rsidRPr="001532C8">
        <w:rPr>
          <w:rFonts w:ascii="Verdana" w:eastAsia="Calibri" w:hAnsi="Verdana" w:cs="Arial"/>
          <w:lang w:val="es-ES_tradnl" w:eastAsia="es-ES_tradnl"/>
        </w:rPr>
        <w:lastRenderedPageBreak/>
        <w:t>x) Para su celebración no se requiere inscripción en el Registro Único de Proponentes – en adelante RUP–, según lo prevé el artículo 6 de la Ley 1150 de 2007</w:t>
      </w:r>
      <w:r w:rsidRPr="001532C8">
        <w:rPr>
          <w:rFonts w:ascii="Verdana" w:eastAsia="Calibri" w:hAnsi="Verdana" w:cs="Arial"/>
          <w:vertAlign w:val="superscript"/>
          <w:lang w:val="es-ES_tradnl" w:eastAsia="es-ES_tradnl"/>
        </w:rPr>
        <w:footnoteReference w:id="14"/>
      </w:r>
      <w:r w:rsidRPr="001532C8">
        <w:rPr>
          <w:rFonts w:ascii="Verdana" w:eastAsia="Calibri" w:hAnsi="Verdana" w:cs="Arial"/>
          <w:lang w:val="es-ES_tradnl" w:eastAsia="es-ES_tradnl"/>
        </w:rPr>
        <w:t>.</w:t>
      </w:r>
    </w:p>
    <w:p w14:paraId="7EA0D3E4" w14:textId="77777777" w:rsidR="00146D08" w:rsidRPr="00282ED1" w:rsidRDefault="00146D08" w:rsidP="00146D08">
      <w:pPr>
        <w:spacing w:before="120" w:after="120" w:line="276" w:lineRule="auto"/>
        <w:ind w:firstLine="709"/>
        <w:jc w:val="both"/>
        <w:rPr>
          <w:rFonts w:ascii="Verdana" w:eastAsia="Calibri" w:hAnsi="Verdana" w:cs="Arial"/>
          <w:lang w:val="es-ES_tradnl" w:eastAsia="es-ES_tradnl"/>
        </w:rPr>
      </w:pPr>
      <w:r w:rsidRPr="00282ED1">
        <w:rPr>
          <w:rFonts w:ascii="Verdana" w:eastAsia="Calibri" w:hAnsi="Verdana" w:cs="Arial"/>
          <w:lang w:val="es-ES_tradnl" w:eastAsia="es-ES_tradnl"/>
        </w:rPr>
        <w:t>xi) En ellos no son necesarias las garantías</w:t>
      </w:r>
      <w:r w:rsidRPr="00282ED1">
        <w:rPr>
          <w:rFonts w:ascii="Verdana" w:eastAsia="Calibri" w:hAnsi="Verdana" w:cs="Arial"/>
          <w:vertAlign w:val="superscript"/>
          <w:lang w:val="es-ES_tradnl" w:eastAsia="es-ES_tradnl"/>
        </w:rPr>
        <w:footnoteReference w:id="15"/>
      </w:r>
      <w:r w:rsidRPr="00282ED1">
        <w:rPr>
          <w:rFonts w:ascii="Verdana" w:eastAsia="Calibri" w:hAnsi="Verdana" w:cs="Arial"/>
          <w:lang w:val="es-ES_tradnl" w:eastAsia="es-ES_tradnl"/>
        </w:rPr>
        <w:t>.</w:t>
      </w:r>
    </w:p>
    <w:p w14:paraId="0EF5F02F" w14:textId="77777777" w:rsidR="00146D08" w:rsidRPr="00282ED1" w:rsidRDefault="00146D08" w:rsidP="00146D08">
      <w:pPr>
        <w:spacing w:after="0" w:line="276" w:lineRule="auto"/>
        <w:jc w:val="both"/>
        <w:rPr>
          <w:rFonts w:ascii="Verdana" w:eastAsia="Calibri" w:hAnsi="Verdana" w:cs="Arial"/>
          <w:color w:val="FF0000"/>
          <w:lang w:val="es-ES"/>
        </w:rPr>
      </w:pPr>
    </w:p>
    <w:p w14:paraId="3061970A" w14:textId="2FDFBE2A" w:rsidR="00F31A35" w:rsidRPr="003755E1" w:rsidRDefault="00146D08" w:rsidP="00EE2009">
      <w:pPr>
        <w:widowControl w:val="0"/>
        <w:autoSpaceDE w:val="0"/>
        <w:autoSpaceDN w:val="0"/>
        <w:spacing w:after="120" w:line="276" w:lineRule="auto"/>
        <w:ind w:firstLine="708"/>
        <w:jc w:val="both"/>
        <w:rPr>
          <w:rFonts w:ascii="Verdana" w:eastAsia="Arial" w:hAnsi="Verdana" w:cs="Arial"/>
          <w:iCs/>
          <w:lang w:val="es-ES"/>
        </w:rPr>
      </w:pPr>
      <w:r w:rsidRPr="00282ED1">
        <w:rPr>
          <w:rFonts w:ascii="Verdana" w:eastAsia="Arial" w:hAnsi="Verdana" w:cs="Arial"/>
          <w:iCs/>
          <w:lang w:val="es-ES"/>
        </w:rPr>
        <w:t xml:space="preserve">En relación con la fijación de los honorarios </w:t>
      </w:r>
      <w:r w:rsidR="00A625A6">
        <w:rPr>
          <w:rFonts w:ascii="Verdana" w:eastAsia="Arial" w:hAnsi="Verdana" w:cs="Arial"/>
          <w:iCs/>
          <w:lang w:val="es-ES"/>
        </w:rPr>
        <w:t>en</w:t>
      </w:r>
      <w:r w:rsidRPr="00282ED1">
        <w:rPr>
          <w:rFonts w:ascii="Verdana" w:eastAsia="Arial" w:hAnsi="Verdana" w:cs="Arial"/>
          <w:iCs/>
          <w:lang w:val="es-ES"/>
        </w:rPr>
        <w:t xml:space="preserve"> los contratos de prestación de servicios,</w:t>
      </w:r>
      <w:r w:rsidR="003755E1">
        <w:rPr>
          <w:rFonts w:ascii="Verdana" w:eastAsia="Arial" w:hAnsi="Verdana" w:cs="Arial"/>
          <w:iCs/>
          <w:lang w:val="es-ES"/>
        </w:rPr>
        <w:t xml:space="preserve"> </w:t>
      </w:r>
      <w:r w:rsidR="00F31A35" w:rsidRPr="00F31A35">
        <w:rPr>
          <w:rFonts w:ascii="Verdana" w:eastAsia="Calibri" w:hAnsi="Verdana" w:cs="Arial"/>
          <w:bCs/>
          <w:color w:val="000000"/>
          <w:kern w:val="2"/>
          <w14:ligatures w14:val="standardContextual"/>
        </w:rPr>
        <w:t>es pertinente precisar que no existe en el sistema de compra y contratación pública una disposición que establezca la forma en la que deberían fijarse los honorarios de los contratistas de prestación de servicios profesionales, de apoyo a la gestión y de trabajos artísticos, pues en virtud del principio de autonomía de la voluntad, las partes pueden determinar el contenido de los contratos estatales e incluir las condiciones, cláusulas o estipulaciones que consideren necesarias para desarrollar el objeto contractual, siempre que no sean contrarias a la Constitución Política, la ley y el orden público.</w:t>
      </w:r>
    </w:p>
    <w:p w14:paraId="2AEC2DA8" w14:textId="77777777" w:rsidR="00F31A35" w:rsidRPr="00F31A35" w:rsidRDefault="00F31A35" w:rsidP="00F31A35">
      <w:pPr>
        <w:spacing w:before="120" w:after="120" w:line="276" w:lineRule="auto"/>
        <w:ind w:firstLine="709"/>
        <w:jc w:val="both"/>
        <w:rPr>
          <w:rFonts w:ascii="Verdana" w:eastAsia="Calibri" w:hAnsi="Verdana" w:cs="Arial"/>
          <w:bCs/>
          <w:color w:val="000000"/>
          <w:kern w:val="2"/>
          <w14:ligatures w14:val="standardContextual"/>
        </w:rPr>
      </w:pPr>
      <w:r w:rsidRPr="00F31A35">
        <w:rPr>
          <w:rFonts w:ascii="Verdana" w:eastAsia="Calibri" w:hAnsi="Verdana" w:cs="Arial"/>
          <w:bCs/>
          <w:color w:val="000000"/>
          <w:kern w:val="2"/>
          <w14:ligatures w14:val="standardContextual"/>
        </w:rPr>
        <w:t>Los entes estatales durante la etapa de planeación, tienen el deber de realizar el análisis del sector y justificar la modalidad de contratación en los documentos del proceso, que para el caso de los procesos que impliquen una contratación directa y en lo concerniente a los contratos de prestación de servicios profesionales, de apoyo a la gestión y de trabajos artísticos, se constata en los estudios y documentos previos, los cuales deben indicar, entre otras, las condiciones mínimas exigidas para suplir la necesidad de la entidad así como los requisitos que debe acreditar el futuro contratista para el cumplimiento del objeto contractual.</w:t>
      </w:r>
    </w:p>
    <w:p w14:paraId="41A04366" w14:textId="77777777" w:rsidR="00F31A35" w:rsidRPr="00F31A35" w:rsidRDefault="00F31A35" w:rsidP="00F31A35">
      <w:pPr>
        <w:spacing w:after="0" w:line="276" w:lineRule="auto"/>
        <w:ind w:firstLine="709"/>
        <w:jc w:val="both"/>
        <w:rPr>
          <w:rFonts w:ascii="Verdana" w:eastAsia="Calibri" w:hAnsi="Verdana" w:cs="Arial"/>
          <w:bCs/>
          <w:color w:val="000000"/>
          <w:kern w:val="2"/>
          <w14:ligatures w14:val="standardContextual"/>
        </w:rPr>
      </w:pPr>
      <w:r w:rsidRPr="00F31A35">
        <w:rPr>
          <w:rFonts w:ascii="Verdana" w:eastAsia="Calibri" w:hAnsi="Verdana" w:cs="Arial"/>
          <w:bCs/>
          <w:color w:val="000000"/>
          <w:kern w:val="2"/>
          <w14:ligatures w14:val="standardContextual"/>
        </w:rPr>
        <w:lastRenderedPageBreak/>
        <w:t>Lo anterior, en razón a que, el Estatuto General de Contratación de la Administración Pública –EGCAP– contiene disposiciones que exigen a las Entidades Estatales del deber de realizar planeación en la etapa precontractual, para que los Procesos de Contratación satisfagan las necesidades de la Administración, cumplan sus fines, logren la continua y eficiente prestación de los servicios y permitan la efectividad de los derechos e intereses de los administrados que colaboraran en la consecución. En relación con el valor del futuro contrato y su correlativo respaldo presupuestal, se tienen, por ejemplo, las siguientes reglas derivadas de la aplicación del principio de economía previsto en el artículo 25 de la Ley 80 de 1993:</w:t>
      </w:r>
    </w:p>
    <w:p w14:paraId="3C4670D4" w14:textId="77777777" w:rsidR="00F31A35" w:rsidRPr="00F31A35" w:rsidRDefault="00F31A35" w:rsidP="00F31A35">
      <w:pPr>
        <w:spacing w:after="0" w:line="276" w:lineRule="auto"/>
        <w:ind w:firstLine="709"/>
        <w:jc w:val="both"/>
        <w:rPr>
          <w:rFonts w:ascii="Verdana" w:eastAsia="Calibri" w:hAnsi="Verdana" w:cs="Arial"/>
          <w:bCs/>
          <w:color w:val="000000"/>
          <w:kern w:val="2"/>
          <w14:ligatures w14:val="standardContextual"/>
        </w:rPr>
      </w:pPr>
    </w:p>
    <w:p w14:paraId="75634782" w14:textId="77777777" w:rsidR="00F31A35" w:rsidRPr="00F31A35" w:rsidRDefault="00F31A35" w:rsidP="00F31A35">
      <w:pPr>
        <w:pStyle w:val="paragraph"/>
        <w:spacing w:before="0" w:beforeAutospacing="0" w:after="0" w:afterAutospacing="0"/>
        <w:ind w:left="709" w:right="709"/>
        <w:jc w:val="both"/>
        <w:textAlignment w:val="baseline"/>
        <w:rPr>
          <w:rFonts w:ascii="Verdana" w:hAnsi="Verdana" w:cs="Segoe UI"/>
          <w:sz w:val="16"/>
          <w:szCs w:val="16"/>
        </w:rPr>
      </w:pPr>
      <w:r w:rsidRPr="00F31A35">
        <w:rPr>
          <w:rStyle w:val="normaltextrun"/>
          <w:rFonts w:ascii="Verdana" w:hAnsi="Verdana" w:cs="Arial"/>
          <w:sz w:val="20"/>
          <w:szCs w:val="20"/>
          <w:lang w:val="es-MX"/>
        </w:rPr>
        <w:t>“7o. La conveniencia o inconveniencia del objeto a contratar y las autorizaciones y aprobaciones para ello, se analizarán o impartirán con antelación al inicio del proceso de selección del contratista o al de la firma del contrato, según el caso.</w:t>
      </w:r>
      <w:r w:rsidRPr="00F31A35">
        <w:rPr>
          <w:rStyle w:val="eop"/>
          <w:rFonts w:ascii="Verdana" w:eastAsiaTheme="majorEastAsia" w:hAnsi="Verdana" w:cs="Arial"/>
          <w:sz w:val="20"/>
          <w:szCs w:val="20"/>
        </w:rPr>
        <w:t> </w:t>
      </w:r>
    </w:p>
    <w:p w14:paraId="7CBB45E7" w14:textId="77777777" w:rsidR="00F31A35" w:rsidRPr="00F31A35" w:rsidRDefault="00F31A35" w:rsidP="00F31A35">
      <w:pPr>
        <w:pStyle w:val="paragraph"/>
        <w:spacing w:before="0" w:beforeAutospacing="0" w:after="0" w:afterAutospacing="0"/>
        <w:ind w:left="709" w:right="709"/>
        <w:jc w:val="both"/>
        <w:textAlignment w:val="baseline"/>
        <w:rPr>
          <w:rFonts w:ascii="Verdana" w:hAnsi="Verdana" w:cs="Segoe UI"/>
          <w:sz w:val="16"/>
          <w:szCs w:val="16"/>
        </w:rPr>
      </w:pPr>
      <w:r w:rsidRPr="00F31A35">
        <w:rPr>
          <w:rStyle w:val="normaltextrun"/>
          <w:rFonts w:ascii="Verdana" w:hAnsi="Verdana" w:cs="Arial"/>
          <w:sz w:val="20"/>
          <w:szCs w:val="20"/>
          <w:lang w:val="es-MX"/>
        </w:rPr>
        <w:t>[…]</w:t>
      </w:r>
      <w:r w:rsidRPr="00F31A35">
        <w:rPr>
          <w:rStyle w:val="eop"/>
          <w:rFonts w:ascii="Verdana" w:eastAsiaTheme="majorEastAsia" w:hAnsi="Verdana" w:cs="Arial"/>
          <w:sz w:val="20"/>
          <w:szCs w:val="20"/>
        </w:rPr>
        <w:t> </w:t>
      </w:r>
    </w:p>
    <w:p w14:paraId="37759C8A" w14:textId="77777777" w:rsidR="00F31A35" w:rsidRPr="00F31A35" w:rsidRDefault="00F31A35" w:rsidP="00F31A35">
      <w:pPr>
        <w:pStyle w:val="paragraph"/>
        <w:spacing w:before="0" w:beforeAutospacing="0" w:after="0" w:afterAutospacing="0"/>
        <w:ind w:left="709" w:right="709"/>
        <w:jc w:val="both"/>
        <w:textAlignment w:val="baseline"/>
        <w:rPr>
          <w:rFonts w:ascii="Verdana" w:hAnsi="Verdana" w:cs="Segoe UI"/>
          <w:sz w:val="16"/>
          <w:szCs w:val="16"/>
        </w:rPr>
      </w:pPr>
      <w:r w:rsidRPr="00F31A35">
        <w:rPr>
          <w:rStyle w:val="normaltextrun"/>
          <w:rFonts w:ascii="Verdana" w:hAnsi="Verdana" w:cs="Arial"/>
          <w:sz w:val="20"/>
          <w:szCs w:val="20"/>
          <w:lang w:val="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r w:rsidRPr="00F31A35">
        <w:rPr>
          <w:rStyle w:val="eop"/>
          <w:rFonts w:ascii="Verdana" w:eastAsiaTheme="majorEastAsia" w:hAnsi="Verdana" w:cs="Arial"/>
          <w:sz w:val="20"/>
          <w:szCs w:val="20"/>
        </w:rPr>
        <w:t> </w:t>
      </w:r>
    </w:p>
    <w:p w14:paraId="36032A15" w14:textId="77777777" w:rsidR="00F31A35" w:rsidRPr="00F31A35" w:rsidRDefault="00F31A35" w:rsidP="00F31A35">
      <w:pPr>
        <w:pStyle w:val="paragraph"/>
        <w:spacing w:before="0" w:beforeAutospacing="0" w:after="0" w:afterAutospacing="0"/>
        <w:ind w:left="709" w:right="709"/>
        <w:jc w:val="both"/>
        <w:textAlignment w:val="baseline"/>
        <w:rPr>
          <w:rFonts w:ascii="Verdana" w:hAnsi="Verdana" w:cs="Segoe UI"/>
          <w:sz w:val="16"/>
          <w:szCs w:val="16"/>
        </w:rPr>
      </w:pPr>
      <w:r w:rsidRPr="00F31A35">
        <w:rPr>
          <w:rStyle w:val="normaltextrun"/>
          <w:rFonts w:ascii="Verdana" w:hAnsi="Verdana" w:cs="Arial"/>
          <w:sz w:val="20"/>
          <w:szCs w:val="20"/>
          <w:lang w:val="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r w:rsidRPr="00F31A35">
        <w:rPr>
          <w:rStyle w:val="eop"/>
          <w:rFonts w:ascii="Verdana" w:eastAsiaTheme="majorEastAsia" w:hAnsi="Verdana" w:cs="Arial"/>
          <w:sz w:val="20"/>
          <w:szCs w:val="20"/>
        </w:rPr>
        <w:t> </w:t>
      </w:r>
    </w:p>
    <w:p w14:paraId="32723A33" w14:textId="77777777" w:rsidR="00F31A35" w:rsidRPr="00F31A35" w:rsidRDefault="00F31A35" w:rsidP="00F31A35">
      <w:pPr>
        <w:pStyle w:val="paragraph"/>
        <w:spacing w:before="0" w:beforeAutospacing="0" w:after="0" w:afterAutospacing="0"/>
        <w:ind w:left="709" w:right="709"/>
        <w:jc w:val="both"/>
        <w:textAlignment w:val="baseline"/>
        <w:rPr>
          <w:rFonts w:ascii="Verdana" w:hAnsi="Verdana" w:cs="Segoe UI"/>
          <w:sz w:val="16"/>
          <w:szCs w:val="16"/>
        </w:rPr>
      </w:pPr>
      <w:r w:rsidRPr="00F31A35">
        <w:rPr>
          <w:rStyle w:val="normaltextrun"/>
          <w:rFonts w:ascii="Verdana" w:hAnsi="Verdana" w:cs="Arial"/>
          <w:sz w:val="20"/>
          <w:szCs w:val="20"/>
          <w:lang w:val="es-ES"/>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r w:rsidRPr="00F31A35">
        <w:rPr>
          <w:rStyle w:val="eop"/>
          <w:rFonts w:ascii="Verdana" w:eastAsiaTheme="majorEastAsia" w:hAnsi="Verdana" w:cs="Arial"/>
          <w:sz w:val="20"/>
          <w:szCs w:val="20"/>
        </w:rPr>
        <w:t> </w:t>
      </w:r>
    </w:p>
    <w:p w14:paraId="632F96CF" w14:textId="77777777" w:rsidR="00F31A35" w:rsidRPr="00F31A35" w:rsidRDefault="00F31A35" w:rsidP="00F31A35">
      <w:pPr>
        <w:pStyle w:val="paragraph"/>
        <w:spacing w:before="0" w:beforeAutospacing="0" w:after="0" w:afterAutospacing="0"/>
        <w:ind w:left="709" w:right="709"/>
        <w:jc w:val="both"/>
        <w:textAlignment w:val="baseline"/>
        <w:rPr>
          <w:rFonts w:ascii="Verdana" w:hAnsi="Verdana" w:cs="Segoe UI"/>
          <w:sz w:val="16"/>
          <w:szCs w:val="16"/>
        </w:rPr>
      </w:pPr>
      <w:r w:rsidRPr="00F31A35">
        <w:rPr>
          <w:rStyle w:val="normaltextrun"/>
          <w:rFonts w:ascii="Verdana" w:hAnsi="Verdana" w:cs="Arial"/>
          <w:sz w:val="20"/>
          <w:szCs w:val="20"/>
          <w:lang w:val="es-ES"/>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sidRPr="00F31A35">
        <w:rPr>
          <w:rStyle w:val="eop"/>
          <w:rFonts w:ascii="Verdana" w:eastAsiaTheme="majorEastAsia" w:hAnsi="Verdana" w:cs="Arial"/>
          <w:sz w:val="20"/>
          <w:szCs w:val="20"/>
        </w:rPr>
        <w:t> </w:t>
      </w:r>
    </w:p>
    <w:p w14:paraId="33B96CB3" w14:textId="77777777" w:rsidR="00F31A35" w:rsidRPr="00F31A35" w:rsidRDefault="00F31A35" w:rsidP="00F31A35">
      <w:pPr>
        <w:spacing w:after="0" w:line="276" w:lineRule="auto"/>
        <w:ind w:firstLine="709"/>
        <w:jc w:val="both"/>
        <w:rPr>
          <w:rFonts w:ascii="Verdana" w:eastAsia="Calibri" w:hAnsi="Verdana" w:cs="Arial"/>
          <w:bCs/>
          <w:color w:val="000000"/>
          <w:kern w:val="2"/>
          <w14:ligatures w14:val="standardContextual"/>
        </w:rPr>
      </w:pPr>
    </w:p>
    <w:p w14:paraId="6B8BDF46" w14:textId="77777777" w:rsidR="00F31A35" w:rsidRPr="00F31A35" w:rsidRDefault="00F31A35" w:rsidP="00F31A35">
      <w:pPr>
        <w:spacing w:after="120" w:line="276" w:lineRule="auto"/>
        <w:ind w:firstLine="709"/>
        <w:jc w:val="both"/>
        <w:rPr>
          <w:rFonts w:ascii="Verdana" w:eastAsia="Times New Roman" w:hAnsi="Verdana" w:cs="Arial"/>
          <w:lang w:val="es-ES_tradnl" w:eastAsia="es-MX"/>
        </w:rPr>
      </w:pPr>
      <w:r w:rsidRPr="00F31A35">
        <w:rPr>
          <w:rFonts w:ascii="Verdana" w:eastAsia="Times New Roman" w:hAnsi="Verdana" w:cs="Arial"/>
          <w:lang w:val="es-ES_tradnl" w:eastAsia="es-MX"/>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w:t>
      </w:r>
      <w:r w:rsidRPr="00F31A35">
        <w:rPr>
          <w:rFonts w:ascii="Verdana" w:eastAsia="Times New Roman" w:hAnsi="Verdana" w:cs="Arial"/>
          <w:lang w:val="es-ES_tradnl" w:eastAsia="es-MX"/>
        </w:rPr>
        <w:lastRenderedPageBreak/>
        <w:t>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F31A35">
        <w:rPr>
          <w:rFonts w:ascii="Verdana" w:eastAsia="Times New Roman" w:hAnsi="Verdana" w:cs="Arial"/>
          <w:vertAlign w:val="superscript"/>
          <w:lang w:val="es-ES_tradnl" w:eastAsia="es-MX"/>
        </w:rPr>
        <w:footnoteReference w:id="16"/>
      </w:r>
      <w:r w:rsidRPr="00F31A35">
        <w:rPr>
          <w:rFonts w:ascii="Verdana" w:eastAsia="Times New Roman" w:hAnsi="Verdana" w:cs="Arial"/>
          <w:lang w:val="es-ES_tradnl" w:eastAsia="es-MX"/>
        </w:rPr>
        <w:t>.</w:t>
      </w:r>
    </w:p>
    <w:p w14:paraId="70016EDF" w14:textId="77777777" w:rsidR="00F31A35" w:rsidRPr="00F31A35" w:rsidRDefault="00F31A35" w:rsidP="00F31A35">
      <w:pPr>
        <w:spacing w:after="0" w:line="276" w:lineRule="auto"/>
        <w:ind w:firstLine="709"/>
        <w:jc w:val="both"/>
        <w:rPr>
          <w:rFonts w:ascii="Verdana" w:eastAsia="Times New Roman" w:hAnsi="Verdana" w:cs="Arial"/>
          <w:lang w:val="es-ES_tradnl" w:eastAsia="es-MX"/>
        </w:rPr>
      </w:pPr>
      <w:r w:rsidRPr="00F31A35">
        <w:rPr>
          <w:rFonts w:ascii="Verdana" w:eastAsia="Times New Roman" w:hAnsi="Verdana" w:cs="Arial"/>
          <w:lang w:val="es-ES_tradnl" w:eastAsia="es-MX"/>
        </w:rPr>
        <w:t xml:space="preserve">En congruencia con el artículo 25 de la Ley 80 de 1993, el Decreto Único Reglamentario del Sector Administrativo de Planeación Nacional –Decreto 1082 de 2015–, dispone en el artículo 2.2.1.1.2.1.1 el contenido mínimo de los estudios y documentos previos: </w:t>
      </w:r>
    </w:p>
    <w:p w14:paraId="02075754" w14:textId="77777777" w:rsidR="00F31A35" w:rsidRPr="00F31A35" w:rsidRDefault="00F31A35" w:rsidP="00F31A35">
      <w:pPr>
        <w:spacing w:after="0" w:line="276" w:lineRule="auto"/>
        <w:ind w:firstLine="709"/>
        <w:jc w:val="both"/>
        <w:rPr>
          <w:rFonts w:ascii="Verdana" w:eastAsia="Times New Roman" w:hAnsi="Verdana" w:cs="Arial"/>
          <w:lang w:val="es-ES_tradnl" w:eastAsia="es-MX"/>
        </w:rPr>
      </w:pPr>
    </w:p>
    <w:p w14:paraId="6EADDDCC" w14:textId="77777777" w:rsidR="00F31A35" w:rsidRPr="00F31A35" w:rsidRDefault="00F31A35" w:rsidP="00F31A35">
      <w:pPr>
        <w:spacing w:after="0" w:line="240" w:lineRule="auto"/>
        <w:ind w:left="709" w:right="709"/>
        <w:jc w:val="both"/>
        <w:rPr>
          <w:rFonts w:ascii="Verdana" w:eastAsia="Times New Roman" w:hAnsi="Verdana" w:cs="Arial"/>
          <w:sz w:val="20"/>
          <w:szCs w:val="20"/>
          <w:lang w:val="es-ES_tradnl" w:eastAsia="es-MX"/>
        </w:rPr>
      </w:pPr>
      <w:r w:rsidRPr="00F31A35">
        <w:rPr>
          <w:rFonts w:ascii="Verdana" w:eastAsia="Times New Roman" w:hAnsi="Verdana" w:cs="Arial"/>
          <w:sz w:val="20"/>
          <w:szCs w:val="20"/>
          <w:lang w:val="es-ES_tradnl" w:eastAsia="es-MX"/>
        </w:rPr>
        <w:t>“Artículo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w:t>
      </w:r>
    </w:p>
    <w:p w14:paraId="1F22C25E" w14:textId="77777777" w:rsidR="00F31A35" w:rsidRPr="00F31A35" w:rsidRDefault="00F31A35" w:rsidP="00F31A35">
      <w:pPr>
        <w:spacing w:after="0" w:line="240" w:lineRule="auto"/>
        <w:ind w:left="709" w:right="709"/>
        <w:jc w:val="both"/>
        <w:rPr>
          <w:rFonts w:ascii="Verdana" w:eastAsia="Times New Roman" w:hAnsi="Verdana" w:cs="Arial"/>
          <w:sz w:val="20"/>
          <w:szCs w:val="20"/>
          <w:lang w:val="es-ES_tradnl" w:eastAsia="es-MX"/>
        </w:rPr>
      </w:pPr>
      <w:r w:rsidRPr="00F31A35">
        <w:rPr>
          <w:rFonts w:ascii="Verdana" w:eastAsia="Times New Roman" w:hAnsi="Verdana" w:cs="Arial"/>
          <w:sz w:val="20"/>
          <w:szCs w:val="20"/>
          <w:lang w:val="es-ES_tradnl" w:eastAsia="es-MX"/>
        </w:rPr>
        <w:t>1. La descripción de la necesidad que la Entidad Estatal pretende satisfacer con el Proceso de Contratación.</w:t>
      </w:r>
    </w:p>
    <w:p w14:paraId="13873FE1" w14:textId="77777777" w:rsidR="00F31A35" w:rsidRPr="00F31A35" w:rsidRDefault="00F31A35" w:rsidP="00F31A35">
      <w:pPr>
        <w:spacing w:after="0" w:line="240" w:lineRule="auto"/>
        <w:ind w:left="709" w:right="709"/>
        <w:jc w:val="both"/>
        <w:rPr>
          <w:rFonts w:ascii="Verdana" w:eastAsia="Times New Roman" w:hAnsi="Verdana" w:cs="Arial"/>
          <w:sz w:val="20"/>
          <w:szCs w:val="20"/>
          <w:lang w:val="es-ES_tradnl" w:eastAsia="es-MX"/>
        </w:rPr>
      </w:pPr>
      <w:r w:rsidRPr="00F31A35">
        <w:rPr>
          <w:rFonts w:ascii="Verdana" w:eastAsia="Times New Roman" w:hAnsi="Verdana" w:cs="Arial"/>
          <w:sz w:val="20"/>
          <w:szCs w:val="20"/>
          <w:lang w:val="es-ES_tradnl" w:eastAsia="es-MX"/>
        </w:rPr>
        <w:t>2. El objeto a contratar, con sus especificaciones, las autorizaciones, permisos y licencias requeridos para su ejecución, y cuando el contrato incluye diseño y construcción, los documentos técnicos para el desarrollo del proyecto.</w:t>
      </w:r>
    </w:p>
    <w:p w14:paraId="46AA6943" w14:textId="77777777" w:rsidR="00F31A35" w:rsidRPr="00F31A35" w:rsidRDefault="00F31A35" w:rsidP="00F31A35">
      <w:pPr>
        <w:spacing w:after="0" w:line="240" w:lineRule="auto"/>
        <w:ind w:left="709" w:right="709"/>
        <w:jc w:val="both"/>
        <w:rPr>
          <w:rFonts w:ascii="Verdana" w:eastAsia="Times New Roman" w:hAnsi="Verdana" w:cs="Arial"/>
          <w:sz w:val="20"/>
          <w:szCs w:val="20"/>
          <w:lang w:val="es-ES_tradnl" w:eastAsia="es-MX"/>
        </w:rPr>
      </w:pPr>
      <w:r w:rsidRPr="00F31A35">
        <w:rPr>
          <w:rFonts w:ascii="Verdana" w:eastAsia="Times New Roman" w:hAnsi="Verdana" w:cs="Arial"/>
          <w:sz w:val="20"/>
          <w:szCs w:val="20"/>
          <w:lang w:val="es-ES_tradnl" w:eastAsia="es-MX"/>
        </w:rPr>
        <w:t>3. La modalidad de selección del contratista y su justificación, incluyendo los fundamentos jurídicos.</w:t>
      </w:r>
    </w:p>
    <w:p w14:paraId="129516F8" w14:textId="77777777" w:rsidR="00F31A35" w:rsidRPr="00F31A35" w:rsidRDefault="00F31A35" w:rsidP="00F31A35">
      <w:pPr>
        <w:spacing w:after="0" w:line="240" w:lineRule="auto"/>
        <w:ind w:left="709" w:right="709"/>
        <w:jc w:val="both"/>
        <w:rPr>
          <w:rFonts w:ascii="Verdana" w:eastAsia="Times New Roman" w:hAnsi="Verdana" w:cs="Arial"/>
          <w:sz w:val="20"/>
          <w:szCs w:val="20"/>
          <w:lang w:val="es-ES" w:eastAsia="es-MX"/>
        </w:rPr>
      </w:pPr>
      <w:r w:rsidRPr="7E0867B5">
        <w:rPr>
          <w:rFonts w:ascii="Verdana" w:eastAsia="Times New Roman" w:hAnsi="Verdana" w:cs="Arial"/>
          <w:sz w:val="20"/>
          <w:szCs w:val="20"/>
          <w:lang w:val="es-ES" w:eastAsia="es-MX"/>
        </w:rPr>
        <w:t xml:space="preserve">4. </w:t>
      </w:r>
      <w:r w:rsidRPr="7E0867B5">
        <w:rPr>
          <w:rFonts w:ascii="Verdana" w:eastAsia="Times New Roman" w:hAnsi="Verdana" w:cs="Arial"/>
          <w:sz w:val="20"/>
          <w:szCs w:val="20"/>
          <w:u w:val="single"/>
          <w:lang w:val="es-ES" w:eastAsia="es-MX"/>
        </w:rPr>
        <w:t>El valor estimado del contrato y la justificación del mismo.</w:t>
      </w:r>
      <w:r w:rsidRPr="7E0867B5">
        <w:rPr>
          <w:rFonts w:ascii="Verdana" w:eastAsia="Times New Roman" w:hAnsi="Verdana" w:cs="Arial"/>
          <w:sz w:val="20"/>
          <w:szCs w:val="20"/>
          <w:lang w:val="es-ES" w:eastAsia="es-MX"/>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w:t>
      </w:r>
    </w:p>
    <w:p w14:paraId="7C9EE395" w14:textId="77777777" w:rsidR="00F31A35" w:rsidRPr="00F31A35" w:rsidRDefault="00F31A35" w:rsidP="00F31A35">
      <w:pPr>
        <w:spacing w:after="0" w:line="240" w:lineRule="auto"/>
        <w:ind w:left="709" w:right="709"/>
        <w:jc w:val="both"/>
        <w:rPr>
          <w:rFonts w:ascii="Verdana" w:eastAsia="Times New Roman" w:hAnsi="Verdana" w:cs="Arial"/>
          <w:sz w:val="20"/>
          <w:szCs w:val="20"/>
          <w:lang w:val="es-ES_tradnl" w:eastAsia="es-MX"/>
        </w:rPr>
      </w:pPr>
      <w:r w:rsidRPr="00F31A35">
        <w:rPr>
          <w:rFonts w:ascii="Verdana" w:eastAsia="Times New Roman" w:hAnsi="Verdana" w:cs="Arial"/>
          <w:sz w:val="20"/>
          <w:szCs w:val="20"/>
          <w:lang w:val="es-ES_tradnl" w:eastAsia="es-MX"/>
        </w:rPr>
        <w:t>5. Los criterios para seleccionar la oferta más favorable.</w:t>
      </w:r>
    </w:p>
    <w:p w14:paraId="768DD3DF" w14:textId="77777777" w:rsidR="00F31A35" w:rsidRPr="00F31A35" w:rsidRDefault="00F31A35" w:rsidP="00F31A35">
      <w:pPr>
        <w:spacing w:after="0" w:line="240" w:lineRule="auto"/>
        <w:ind w:left="709" w:right="709"/>
        <w:jc w:val="both"/>
        <w:rPr>
          <w:rFonts w:ascii="Verdana" w:eastAsia="Times New Roman" w:hAnsi="Verdana" w:cs="Arial"/>
          <w:sz w:val="20"/>
          <w:szCs w:val="20"/>
          <w:lang w:val="es-ES_tradnl" w:eastAsia="es-MX"/>
        </w:rPr>
      </w:pPr>
      <w:r w:rsidRPr="00F31A35">
        <w:rPr>
          <w:rFonts w:ascii="Verdana" w:eastAsia="Times New Roman" w:hAnsi="Verdana" w:cs="Arial"/>
          <w:sz w:val="20"/>
          <w:szCs w:val="20"/>
          <w:lang w:val="es-ES_tradnl" w:eastAsia="es-MX"/>
        </w:rPr>
        <w:t>6. El análisis de Riesgo y la forma de mitigarlo.</w:t>
      </w:r>
    </w:p>
    <w:p w14:paraId="3A05FEE2" w14:textId="77777777" w:rsidR="00F31A35" w:rsidRPr="00F31A35" w:rsidRDefault="00F31A35" w:rsidP="00F31A35">
      <w:pPr>
        <w:spacing w:after="0" w:line="240" w:lineRule="auto"/>
        <w:ind w:left="709" w:right="709"/>
        <w:jc w:val="both"/>
        <w:rPr>
          <w:rFonts w:ascii="Verdana" w:eastAsia="Times New Roman" w:hAnsi="Verdana" w:cs="Arial"/>
          <w:sz w:val="20"/>
          <w:szCs w:val="20"/>
          <w:lang w:val="es-ES_tradnl" w:eastAsia="es-MX"/>
        </w:rPr>
      </w:pPr>
      <w:r w:rsidRPr="00F31A35">
        <w:rPr>
          <w:rFonts w:ascii="Verdana" w:eastAsia="Times New Roman" w:hAnsi="Verdana" w:cs="Arial"/>
          <w:sz w:val="20"/>
          <w:szCs w:val="20"/>
          <w:lang w:val="es-ES_tradnl" w:eastAsia="es-MX"/>
        </w:rPr>
        <w:t>7. Las garantías que la Entidad Estatal contempla exigir en el proceso de contratación.</w:t>
      </w:r>
    </w:p>
    <w:p w14:paraId="130FFB19" w14:textId="77777777" w:rsidR="00F31A35" w:rsidRPr="00F31A35" w:rsidRDefault="00F31A35" w:rsidP="00F31A35">
      <w:pPr>
        <w:spacing w:after="0" w:line="240" w:lineRule="auto"/>
        <w:ind w:left="709" w:right="709"/>
        <w:jc w:val="both"/>
        <w:rPr>
          <w:rFonts w:ascii="Verdana" w:eastAsia="Times New Roman" w:hAnsi="Verdana" w:cs="Arial"/>
          <w:sz w:val="20"/>
          <w:szCs w:val="20"/>
          <w:lang w:val="es-ES_tradnl" w:eastAsia="es-MX"/>
        </w:rPr>
      </w:pPr>
      <w:r w:rsidRPr="00F31A35">
        <w:rPr>
          <w:rFonts w:ascii="Verdana" w:eastAsia="Times New Roman" w:hAnsi="Verdana" w:cs="Arial"/>
          <w:sz w:val="20"/>
          <w:szCs w:val="20"/>
          <w:lang w:val="es-ES_tradnl" w:eastAsia="es-MX"/>
        </w:rPr>
        <w:t>8. La indicación de si el proceso de contratación está cobijado por un acuerdo comercial.</w:t>
      </w:r>
    </w:p>
    <w:p w14:paraId="67209D23" w14:textId="43550723" w:rsidR="00F31A35" w:rsidRPr="00F31A35" w:rsidRDefault="00F31A35" w:rsidP="00F31A35">
      <w:pPr>
        <w:spacing w:after="0" w:line="240" w:lineRule="auto"/>
        <w:ind w:left="709" w:right="709"/>
        <w:jc w:val="both"/>
        <w:rPr>
          <w:rFonts w:ascii="Verdana" w:eastAsia="Times New Roman" w:hAnsi="Verdana" w:cs="Arial"/>
          <w:sz w:val="20"/>
          <w:szCs w:val="20"/>
          <w:lang w:val="es-ES_tradnl" w:eastAsia="es-MX"/>
        </w:rPr>
      </w:pPr>
      <w:r w:rsidRPr="00F31A35">
        <w:rPr>
          <w:rFonts w:ascii="Verdana" w:eastAsia="Times New Roman" w:hAnsi="Verdana" w:cs="Arial"/>
          <w:sz w:val="20"/>
          <w:szCs w:val="20"/>
          <w:lang w:val="es-ES_tradnl" w:eastAsia="es-MX"/>
        </w:rPr>
        <w:t>El presente artículo no es aplicable a la contratación por mínima cuantía”</w:t>
      </w:r>
      <w:r w:rsidR="00E5692A">
        <w:rPr>
          <w:rFonts w:ascii="Verdana" w:eastAsia="Times New Roman" w:hAnsi="Verdana" w:cs="Arial"/>
          <w:sz w:val="20"/>
          <w:szCs w:val="20"/>
          <w:lang w:val="es-ES_tradnl" w:eastAsia="es-MX"/>
        </w:rPr>
        <w:t xml:space="preserve"> (Énfasis fuera de texto)</w:t>
      </w:r>
      <w:r w:rsidRPr="00F31A35">
        <w:rPr>
          <w:rFonts w:ascii="Verdana" w:eastAsia="Times New Roman" w:hAnsi="Verdana" w:cs="Arial"/>
          <w:sz w:val="20"/>
          <w:szCs w:val="20"/>
          <w:lang w:val="es-ES_tradnl" w:eastAsia="es-MX"/>
        </w:rPr>
        <w:t>.</w:t>
      </w:r>
    </w:p>
    <w:p w14:paraId="304D1122" w14:textId="77777777" w:rsidR="00F31A35" w:rsidRDefault="00F31A35" w:rsidP="00F31A35">
      <w:pPr>
        <w:spacing w:after="0" w:line="276" w:lineRule="auto"/>
        <w:ind w:firstLine="709"/>
        <w:jc w:val="both"/>
        <w:rPr>
          <w:rFonts w:ascii="Verdana" w:eastAsia="Times New Roman" w:hAnsi="Verdana" w:cs="Arial"/>
          <w:lang w:val="es-ES_tradnl" w:eastAsia="es-MX"/>
        </w:rPr>
      </w:pPr>
    </w:p>
    <w:p w14:paraId="69392440" w14:textId="77CA8B40" w:rsidR="00F31A35" w:rsidRPr="00F31A35" w:rsidRDefault="00F31A35" w:rsidP="00F31A35">
      <w:pPr>
        <w:spacing w:after="0" w:line="276" w:lineRule="auto"/>
        <w:ind w:firstLine="709"/>
        <w:jc w:val="both"/>
        <w:rPr>
          <w:rFonts w:ascii="Verdana" w:hAnsi="Verdana" w:cs="Arial"/>
        </w:rPr>
      </w:pPr>
      <w:r w:rsidRPr="00F31A35">
        <w:rPr>
          <w:rFonts w:ascii="Verdana" w:eastAsia="Times New Roman" w:hAnsi="Verdana" w:cs="Arial"/>
          <w:lang w:val="es-ES_tradnl" w:eastAsia="es-MX"/>
        </w:rPr>
        <w:t xml:space="preserve">De esta </w:t>
      </w:r>
      <w:r w:rsidRPr="00F31A35">
        <w:rPr>
          <w:rFonts w:ascii="Verdana" w:hAnsi="Verdana" w:cs="Arial"/>
        </w:rPr>
        <w:t xml:space="preserve">manera, antes de iniciar un procedimiento de selección, la Entidad Estatal podrá determinar con los estudios previos: i) la verdadera necesidad de </w:t>
      </w:r>
      <w:r w:rsidRPr="00F31A35">
        <w:rPr>
          <w:rFonts w:ascii="Verdana" w:hAnsi="Verdana" w:cs="Arial"/>
        </w:rPr>
        <w:lastRenderedPageBreak/>
        <w:t>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 La consideración de todos estos aspectos permite que los contratos resultantes de la planeación cuenten con el sustento técnico, económico y jurídico que incidirá en una adecuada ejecución.</w:t>
      </w:r>
    </w:p>
    <w:p w14:paraId="5030919A" w14:textId="77777777" w:rsidR="00F31A35" w:rsidRPr="00F31A35" w:rsidRDefault="00F31A35" w:rsidP="00F31A35">
      <w:pPr>
        <w:spacing w:before="120" w:after="0" w:line="276" w:lineRule="auto"/>
        <w:ind w:firstLine="709"/>
        <w:jc w:val="both"/>
        <w:rPr>
          <w:rFonts w:ascii="Verdana" w:hAnsi="Verdana" w:cs="Arial"/>
        </w:rPr>
      </w:pPr>
      <w:r w:rsidRPr="00F31A35">
        <w:rPr>
          <w:rFonts w:ascii="Verdana" w:hAnsi="Verdana" w:cs="Arial"/>
        </w:rPr>
        <w:t>Mas allá del incumplimiento de la normativa, “los estudios y documentos previos son el soporte para elaborar el proyecto de pliegos, los pliegos de condiciones, y el contrato”</w:t>
      </w:r>
      <w:r w:rsidRPr="00F31A35">
        <w:rPr>
          <w:rStyle w:val="Refdenotaalpie"/>
          <w:rFonts w:ascii="Verdana" w:hAnsi="Verdana" w:cs="Arial"/>
        </w:rPr>
        <w:footnoteReference w:id="17"/>
      </w:r>
      <w:r w:rsidRPr="00F31A35">
        <w:rPr>
          <w:rFonts w:ascii="Verdana" w:hAnsi="Verdana" w:cs="Arial"/>
        </w:rPr>
        <w:t>, por lo que deben publicarse en la etapa precontractual y sirven de motivación para los documentos expedidos unilateralmente por la Entidad Estatal tales como el acto administrativo de apertura, los pliegos de condiciones y el acto de adjudicación, entre otros. En ese sentido,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r w:rsidRPr="00F31A35">
        <w:rPr>
          <w:rStyle w:val="Refdenotaalpie"/>
          <w:rFonts w:ascii="Verdana" w:hAnsi="Verdana" w:cs="Arial"/>
        </w:rPr>
        <w:footnoteReference w:id="18"/>
      </w:r>
      <w:r w:rsidRPr="00F31A35">
        <w:rPr>
          <w:rFonts w:ascii="Verdana" w:hAnsi="Verdana" w:cs="Arial"/>
        </w:rPr>
        <w:t>.</w:t>
      </w:r>
    </w:p>
    <w:p w14:paraId="724E9F6D" w14:textId="77777777" w:rsidR="00F31A35" w:rsidRPr="00F31A35" w:rsidRDefault="00F31A35" w:rsidP="00F31A35">
      <w:pPr>
        <w:spacing w:before="120" w:after="0" w:line="276" w:lineRule="auto"/>
        <w:ind w:firstLine="709"/>
        <w:jc w:val="both"/>
        <w:rPr>
          <w:rFonts w:ascii="Verdana" w:eastAsia="Times New Roman" w:hAnsi="Verdana" w:cs="Arial"/>
          <w:lang w:val="es-ES_tradnl" w:eastAsia="es-MX"/>
        </w:rPr>
      </w:pPr>
      <w:r w:rsidRPr="00F31A35">
        <w:rPr>
          <w:rFonts w:ascii="Verdana" w:hAnsi="Verdana" w:cs="Arial"/>
        </w:rPr>
        <w:t xml:space="preserve">En ese contexto, conforme se desprende de los numerales 2 y 4 del artículo 2.2.1.1.2.1.1 del Decreto 1082 de 2015, uno de los aspectos principales </w:t>
      </w:r>
      <w:r w:rsidRPr="00F31A35">
        <w:rPr>
          <w:rFonts w:ascii="Verdana" w:hAnsi="Verdana" w:cs="Arial"/>
        </w:rPr>
        <w:lastRenderedPageBreak/>
        <w:t xml:space="preserve">que deben abarcar los estudios previos es la determinación del objeto a contratar con sus especificaciones y el valor estimado del contrato aparejado de su respectiva justificación. Para estos efectos resulta relevante la información recolectada en el marco del estudio del mercado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En este sentido, el análisis del sector de las perspectivas legal, comercial, financiera, organizacional, técnica, y de análisis de Riesgo, al que se refiere el artículo 2.2.1.1.1.6.1 del Decreto 1082 de 2015, constituye un insumo importante para determinar </w:t>
      </w:r>
      <w:r w:rsidRPr="00811596">
        <w:rPr>
          <w:rFonts w:ascii="Verdana" w:hAnsi="Verdana" w:cs="Arial"/>
          <w:u w:val="single"/>
        </w:rPr>
        <w:t>factores que pudieran determinar el valor del contrato</w:t>
      </w:r>
      <w:r w:rsidRPr="00F31A35">
        <w:rPr>
          <w:rFonts w:ascii="Verdana" w:hAnsi="Verdana" w:cs="Arial"/>
        </w:rPr>
        <w:t xml:space="preserve"> y orientar a la entidad en torno al monto de la disponibilidad presupuestal que requiere a realizar la contratación</w:t>
      </w:r>
      <w:r w:rsidRPr="00F31A35">
        <w:rPr>
          <w:rStyle w:val="Refdenotaalpie"/>
          <w:rFonts w:ascii="Verdana" w:hAnsi="Verdana" w:cs="Arial"/>
        </w:rPr>
        <w:footnoteReference w:id="19"/>
      </w:r>
      <w:r w:rsidRPr="00F31A35">
        <w:rPr>
          <w:rFonts w:ascii="Verdana" w:hAnsi="Verdana" w:cs="Arial"/>
        </w:rPr>
        <w:t>.</w:t>
      </w:r>
    </w:p>
    <w:p w14:paraId="4D471AAC" w14:textId="77777777" w:rsidR="00F31A35" w:rsidRDefault="00F31A35" w:rsidP="00F31A35">
      <w:pPr>
        <w:spacing w:before="120" w:after="120" w:line="276" w:lineRule="auto"/>
        <w:ind w:firstLine="709"/>
        <w:jc w:val="both"/>
        <w:rPr>
          <w:rFonts w:ascii="Verdana" w:hAnsi="Verdana" w:cs="Arial"/>
        </w:rPr>
      </w:pPr>
      <w:r w:rsidRPr="00F31A35">
        <w:rPr>
          <w:rFonts w:ascii="Verdana" w:hAnsi="Verdana" w:cs="Arial"/>
        </w:rPr>
        <w:t>Ahora bien, pese a que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son autónomas para estructurarlo, para lo cual deberán cumplir lo dispuesto en el artículo 2.2.1.1.1.6.1 del Decreto 1082 de 2015 y realizar un análisis integral de planeación que sirva de sustento a la decisión de realizar un Proceso de Contratación. En línea con lo anterior, la Agencia Nacional de Contratación Pública – Colombia Compra Eficiente elaboró la “Guía para la Elaboración de Estudios del Sector”</w:t>
      </w:r>
      <w:r w:rsidRPr="00F31A35">
        <w:rPr>
          <w:rStyle w:val="Refdenotaalpie"/>
          <w:rFonts w:ascii="Verdana" w:hAnsi="Verdana" w:cs="Arial"/>
        </w:rPr>
        <w:footnoteReference w:id="20"/>
      </w:r>
      <w:r w:rsidRPr="00F31A35">
        <w:rPr>
          <w:rFonts w:ascii="Verdana" w:hAnsi="Verdana" w:cs="Arial"/>
        </w:rPr>
        <w:t xml:space="preserve">,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De este modo, la Guía contiene recomendaciones generales por lo que no debe aplicarse de manera </w:t>
      </w:r>
      <w:r w:rsidRPr="00F31A35">
        <w:rPr>
          <w:rFonts w:ascii="Verdana" w:hAnsi="Verdana" w:cs="Arial"/>
        </w:rPr>
        <w:lastRenderedPageBreak/>
        <w:t>mecánica, pues la profundidad del estudio del sector depende de la complejidad y particularidades de cada Proceso de Contratación.</w:t>
      </w:r>
    </w:p>
    <w:p w14:paraId="1F406454" w14:textId="77777777" w:rsidR="003D17F3" w:rsidRPr="00F252D7" w:rsidRDefault="003D17F3" w:rsidP="003D17F3">
      <w:pPr>
        <w:spacing w:after="120" w:line="276" w:lineRule="auto"/>
        <w:ind w:firstLine="708"/>
        <w:contextualSpacing/>
        <w:jc w:val="both"/>
        <w:rPr>
          <w:rFonts w:ascii="Verdana" w:eastAsia="Calibri" w:hAnsi="Verdana" w:cs="Arial"/>
          <w:szCs w:val="24"/>
          <w:lang w:val="es-ES" w:eastAsia="es-ES_tradnl"/>
        </w:rPr>
      </w:pPr>
      <w:r w:rsidRPr="00F252D7">
        <w:rPr>
          <w:rFonts w:ascii="Verdana" w:eastAsia="Calibri" w:hAnsi="Verdana" w:cs="Arial"/>
          <w:bCs/>
          <w:lang w:val="es-ES_tradnl" w:eastAsia="es-MX"/>
        </w:rPr>
        <w:t xml:space="preserve">En este instrumento se recomienda, particularmente para la contratación directa y los contratos de prestación de servicios que: </w:t>
      </w:r>
    </w:p>
    <w:p w14:paraId="0455B6CC" w14:textId="77777777" w:rsidR="003D17F3" w:rsidRPr="00F252D7" w:rsidRDefault="003D17F3" w:rsidP="003D17F3">
      <w:pPr>
        <w:ind w:left="720"/>
        <w:contextualSpacing/>
        <w:rPr>
          <w:rFonts w:ascii="Verdana" w:eastAsia="Calibri" w:hAnsi="Verdana" w:cs="Arial"/>
          <w:szCs w:val="24"/>
          <w:lang w:val="es-ES" w:eastAsia="es-ES_tradnl"/>
        </w:rPr>
      </w:pPr>
    </w:p>
    <w:p w14:paraId="67526023" w14:textId="77777777" w:rsidR="003D17F3" w:rsidRPr="00F252D7" w:rsidRDefault="003D17F3" w:rsidP="003D17F3">
      <w:pPr>
        <w:spacing w:after="0" w:line="276" w:lineRule="auto"/>
        <w:ind w:left="709" w:right="709"/>
        <w:contextualSpacing/>
        <w:jc w:val="both"/>
        <w:rPr>
          <w:rFonts w:ascii="Verdana" w:eastAsia="Times New Roman" w:hAnsi="Verdana" w:cs="Arial"/>
          <w:sz w:val="21"/>
          <w:szCs w:val="21"/>
          <w:lang w:val="es-MX" w:eastAsia="es-ES_tradnl"/>
        </w:rPr>
      </w:pPr>
      <w:r w:rsidRPr="00F252D7">
        <w:rPr>
          <w:rFonts w:ascii="Verdana" w:eastAsia="Times New Roman" w:hAnsi="Verdana" w:cs="Arial"/>
          <w:sz w:val="21"/>
          <w:szCs w:val="21"/>
          <w:lang w:val="es-ES" w:eastAsia="es-ES_tradnl"/>
        </w:rPr>
        <w:t>“</w:t>
      </w:r>
      <w:r w:rsidRPr="00F252D7">
        <w:rPr>
          <w:rFonts w:ascii="Verdana" w:eastAsia="Times New Roman" w:hAnsi="Verdana" w:cs="Arial"/>
          <w:sz w:val="21"/>
          <w:szCs w:val="21"/>
          <w:lang w:val="es-MX" w:eastAsia="es-ES_tradnl"/>
        </w:rPr>
        <w:t>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w:t>
      </w:r>
    </w:p>
    <w:p w14:paraId="5E3F091D" w14:textId="77777777" w:rsidR="003D17F3" w:rsidRPr="00F252D7" w:rsidRDefault="003D17F3" w:rsidP="003D17F3">
      <w:pPr>
        <w:spacing w:after="0" w:line="276" w:lineRule="auto"/>
        <w:ind w:left="709" w:right="709"/>
        <w:contextualSpacing/>
        <w:jc w:val="both"/>
        <w:rPr>
          <w:rFonts w:ascii="Verdana" w:eastAsia="Times New Roman" w:hAnsi="Verdana" w:cs="Arial"/>
          <w:sz w:val="21"/>
          <w:szCs w:val="21"/>
          <w:lang w:val="es-MX" w:eastAsia="es-ES_tradnl"/>
        </w:rPr>
      </w:pPr>
    </w:p>
    <w:p w14:paraId="334D74AE" w14:textId="77777777" w:rsidR="003D17F3" w:rsidRPr="00F252D7" w:rsidRDefault="003D17F3" w:rsidP="003D17F3">
      <w:pPr>
        <w:spacing w:after="0" w:line="276" w:lineRule="auto"/>
        <w:ind w:left="709" w:right="709"/>
        <w:contextualSpacing/>
        <w:jc w:val="both"/>
        <w:rPr>
          <w:rFonts w:ascii="Verdana" w:eastAsia="Times New Roman" w:hAnsi="Verdana" w:cs="Arial"/>
          <w:sz w:val="21"/>
          <w:szCs w:val="21"/>
          <w:lang w:val="es-MX" w:eastAsia="es-ES_tradnl"/>
        </w:rPr>
      </w:pPr>
      <w:r w:rsidRPr="00F252D7">
        <w:rPr>
          <w:rFonts w:ascii="Verdana" w:eastAsia="Times New Roman" w:hAnsi="Verdana" w:cs="Arial"/>
          <w:sz w:val="21"/>
          <w:szCs w:val="21"/>
          <w:lang w:val="es-MX" w:eastAsia="es-ES_tradnl"/>
        </w:rPr>
        <w:t>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 En un contrato de prestación de servicios profesionales, el estudio del sector depende del objeto del contrato y de las condiciones de idoneidad y/o experiencia que llevan a contratar a la persona natural o jurídica que está en condiciones de desarrollar dicho objeto. Por ejemplo, si se trata de la contratación de un abogado para llevar un proceso judicial, la Entidad debe analizar la necesidad de contratar el servicio, de forma esencialmente temporal y las condiciones de los Procesos de Contratación que ha adelantado en el pasado para contratar este tipo de servicios, teniendo en cuenta plazos valor y forma de pago”</w:t>
      </w:r>
      <w:r w:rsidRPr="00F252D7">
        <w:rPr>
          <w:rFonts w:ascii="Verdana" w:eastAsia="Times New Roman" w:hAnsi="Verdana" w:cs="Arial"/>
          <w:sz w:val="21"/>
          <w:szCs w:val="21"/>
          <w:vertAlign w:val="superscript"/>
          <w:lang w:val="es-MX" w:eastAsia="es-ES_tradnl"/>
        </w:rPr>
        <w:footnoteReference w:id="21"/>
      </w:r>
      <w:r w:rsidRPr="00F252D7">
        <w:rPr>
          <w:rFonts w:ascii="Verdana" w:eastAsia="Times New Roman" w:hAnsi="Verdana" w:cs="Arial"/>
          <w:sz w:val="21"/>
          <w:szCs w:val="21"/>
          <w:lang w:val="es-MX" w:eastAsia="es-ES_tradnl"/>
        </w:rPr>
        <w:t>.</w:t>
      </w:r>
    </w:p>
    <w:p w14:paraId="3BD71EE9" w14:textId="07B8FA71" w:rsidR="00F31A35" w:rsidRPr="00F31A35" w:rsidRDefault="00F31A35" w:rsidP="00F31A35">
      <w:pPr>
        <w:spacing w:before="120" w:after="120" w:line="276" w:lineRule="auto"/>
        <w:ind w:firstLine="709"/>
        <w:jc w:val="both"/>
        <w:rPr>
          <w:rFonts w:ascii="Verdana" w:eastAsia="Calibri" w:hAnsi="Verdana" w:cs="Arial"/>
          <w:bCs/>
          <w:color w:val="000000"/>
          <w:kern w:val="2"/>
          <w14:ligatures w14:val="standardContextual"/>
        </w:rPr>
      </w:pPr>
      <w:r w:rsidRPr="00F31A35">
        <w:rPr>
          <w:rFonts w:ascii="Verdana" w:eastAsia="Calibri" w:hAnsi="Verdana" w:cs="Arial"/>
          <w:bCs/>
          <w:color w:val="000000"/>
          <w:kern w:val="2"/>
          <w14:ligatures w14:val="standardContextual"/>
        </w:rPr>
        <w:t xml:space="preserve">En ese sentido, las entidades públicas determinan el monto de los honorarios de los contratos de prestación de servicios profesionales, de apoyo a la gestión y trabajos artísticos de conformidad con lo establecido en el análisis del sector y en los documentos o estudios previos. </w:t>
      </w:r>
      <w:bookmarkStart w:id="1" w:name="_Hlk139612360"/>
      <w:r w:rsidRPr="00F31A35">
        <w:rPr>
          <w:rFonts w:ascii="Verdana" w:eastAsia="Calibri" w:hAnsi="Verdana" w:cs="Arial"/>
          <w:bCs/>
          <w:color w:val="000000"/>
          <w:kern w:val="2"/>
          <w14:ligatures w14:val="standardContextual"/>
        </w:rPr>
        <w:t>Finalmente, se resalta que en la Ley 80 de 1993, Ley 1150 de 2007 y en el Decreto 1082 de 2015 no se encuentran disposiciones que establezcan la obligatoriedad</w:t>
      </w:r>
      <w:bookmarkStart w:id="2" w:name="_Hlk139612160"/>
      <w:r w:rsidR="0037766C" w:rsidRPr="0037766C">
        <w:rPr>
          <w:rFonts w:ascii="Verdana" w:eastAsia="Calibri" w:hAnsi="Verdana" w:cs="Arial"/>
          <w:bCs/>
          <w:color w:val="000000"/>
          <w:kern w:val="2"/>
          <w14:ligatures w14:val="standardContextual"/>
        </w:rPr>
        <w:t xml:space="preserve"> de implementar tablas de honorarios o estandarizar perfiles para los contratos de prestación de servicios, lo anterior, no significa que las entidades no puedan hacerlo</w:t>
      </w:r>
      <w:r w:rsidRPr="00F31A35">
        <w:rPr>
          <w:rFonts w:ascii="Verdana" w:eastAsia="Calibri" w:hAnsi="Verdana" w:cs="Arial"/>
          <w:bCs/>
          <w:color w:val="000000"/>
          <w:kern w:val="2"/>
          <w14:ligatures w14:val="standardContextual"/>
        </w:rPr>
        <w:t>.</w:t>
      </w:r>
      <w:bookmarkEnd w:id="1"/>
      <w:r w:rsidR="003C7FE4">
        <w:rPr>
          <w:rFonts w:ascii="Verdana" w:eastAsia="Calibri" w:hAnsi="Verdana" w:cs="Arial"/>
          <w:bCs/>
          <w:color w:val="000000"/>
          <w:kern w:val="2"/>
          <w14:ligatures w14:val="standardContextual"/>
        </w:rPr>
        <w:t xml:space="preserve"> Esta conclusión se entiende </w:t>
      </w:r>
      <w:r w:rsidR="001837EB">
        <w:rPr>
          <w:rFonts w:ascii="Verdana" w:eastAsia="Calibri" w:hAnsi="Verdana" w:cs="Arial"/>
          <w:bCs/>
          <w:color w:val="000000"/>
          <w:kern w:val="2"/>
          <w14:ligatures w14:val="standardContextual"/>
        </w:rPr>
        <w:t xml:space="preserve">consecuente de lo </w:t>
      </w:r>
      <w:r w:rsidR="00C666B0">
        <w:rPr>
          <w:rFonts w:ascii="Verdana" w:eastAsia="Calibri" w:hAnsi="Verdana" w:cs="Arial"/>
          <w:bCs/>
          <w:color w:val="000000"/>
          <w:kern w:val="2"/>
          <w14:ligatures w14:val="standardContextual"/>
        </w:rPr>
        <w:t>establecido</w:t>
      </w:r>
      <w:r w:rsidR="001837EB">
        <w:rPr>
          <w:rFonts w:ascii="Verdana" w:eastAsia="Calibri" w:hAnsi="Verdana" w:cs="Arial"/>
          <w:bCs/>
          <w:color w:val="000000"/>
          <w:kern w:val="2"/>
          <w14:ligatures w14:val="standardContextual"/>
        </w:rPr>
        <w:t xml:space="preserve"> por la norma frente a la </w:t>
      </w:r>
      <w:r w:rsidR="001837EB">
        <w:rPr>
          <w:rFonts w:ascii="Verdana" w:eastAsia="Calibri" w:hAnsi="Verdana" w:cs="Arial"/>
          <w:bCs/>
          <w:color w:val="000000"/>
          <w:kern w:val="2"/>
          <w14:ligatures w14:val="standardContextual"/>
        </w:rPr>
        <w:lastRenderedPageBreak/>
        <w:t>determinación de los honorarios de los contratistas de prestación de servicios</w:t>
      </w:r>
      <w:r w:rsidR="00A56E95">
        <w:rPr>
          <w:rFonts w:ascii="Verdana" w:eastAsia="Calibri" w:hAnsi="Verdana" w:cs="Arial"/>
          <w:bCs/>
          <w:color w:val="000000"/>
          <w:kern w:val="2"/>
          <w14:ligatures w14:val="standardContextual"/>
        </w:rPr>
        <w:t>, ya que est</w:t>
      </w:r>
      <w:r w:rsidR="00433A66">
        <w:rPr>
          <w:rFonts w:ascii="Verdana" w:eastAsia="Calibri" w:hAnsi="Verdana" w:cs="Arial"/>
          <w:bCs/>
          <w:color w:val="000000"/>
          <w:kern w:val="2"/>
          <w14:ligatures w14:val="standardContextual"/>
        </w:rPr>
        <w:t xml:space="preserve">a determinación </w:t>
      </w:r>
      <w:r w:rsidR="008614BE">
        <w:rPr>
          <w:rFonts w:ascii="Verdana" w:eastAsia="Calibri" w:hAnsi="Verdana" w:cs="Arial"/>
          <w:bCs/>
          <w:color w:val="000000"/>
          <w:kern w:val="2"/>
          <w14:ligatures w14:val="standardContextual"/>
        </w:rPr>
        <w:t xml:space="preserve">proviene de la etapa de planeación </w:t>
      </w:r>
      <w:r w:rsidR="00433A66">
        <w:rPr>
          <w:rFonts w:ascii="Verdana" w:eastAsia="Calibri" w:hAnsi="Verdana" w:cs="Arial"/>
          <w:bCs/>
          <w:color w:val="000000"/>
          <w:kern w:val="2"/>
          <w14:ligatures w14:val="standardContextual"/>
        </w:rPr>
        <w:t>realizada por la entidad estatal contratante</w:t>
      </w:r>
      <w:r w:rsidR="00C666B0">
        <w:rPr>
          <w:rFonts w:ascii="Verdana" w:eastAsia="Calibri" w:hAnsi="Verdana" w:cs="Arial"/>
          <w:bCs/>
          <w:color w:val="000000"/>
          <w:kern w:val="2"/>
          <w14:ligatures w14:val="standardContextual"/>
        </w:rPr>
        <w:t xml:space="preserve"> y no específicamente de una tabla de honorarios o base de perfiles estandarizados establecidos previamente</w:t>
      </w:r>
      <w:r w:rsidR="00381868">
        <w:rPr>
          <w:rFonts w:ascii="Verdana" w:eastAsia="Calibri" w:hAnsi="Verdana" w:cs="Arial"/>
          <w:bCs/>
          <w:color w:val="000000"/>
          <w:kern w:val="2"/>
          <w14:ligatures w14:val="standardContextual"/>
        </w:rPr>
        <w:t xml:space="preserve">. No obstante, teniendo en cuenta que no se prohíbe la realización de alguna de las anteriores, las entidades pueden establecer </w:t>
      </w:r>
      <w:r w:rsidR="00517709">
        <w:rPr>
          <w:rFonts w:ascii="Verdana" w:eastAsia="Calibri" w:hAnsi="Verdana" w:cs="Arial"/>
          <w:bCs/>
          <w:color w:val="000000"/>
          <w:kern w:val="2"/>
          <w14:ligatures w14:val="standardContextual"/>
        </w:rPr>
        <w:t>una u otra con base en las contrataciones a realizar y con el fin de agilizar</w:t>
      </w:r>
      <w:r w:rsidR="00206510">
        <w:rPr>
          <w:rFonts w:ascii="Verdana" w:eastAsia="Calibri" w:hAnsi="Verdana" w:cs="Arial"/>
          <w:bCs/>
          <w:color w:val="000000"/>
          <w:kern w:val="2"/>
          <w14:ligatures w14:val="standardContextual"/>
        </w:rPr>
        <w:t xml:space="preserve"> la etapa de planeación en virtud de la celeridad que se </w:t>
      </w:r>
      <w:r w:rsidR="00892429">
        <w:rPr>
          <w:rFonts w:ascii="Verdana" w:eastAsia="Calibri" w:hAnsi="Verdana" w:cs="Arial"/>
          <w:bCs/>
          <w:color w:val="000000"/>
          <w:kern w:val="2"/>
          <w14:ligatures w14:val="standardContextual"/>
        </w:rPr>
        <w:t>promueve</w:t>
      </w:r>
      <w:r w:rsidR="00206510">
        <w:rPr>
          <w:rFonts w:ascii="Verdana" w:eastAsia="Calibri" w:hAnsi="Verdana" w:cs="Arial"/>
          <w:bCs/>
          <w:color w:val="000000"/>
          <w:kern w:val="2"/>
          <w14:ligatures w14:val="standardContextual"/>
        </w:rPr>
        <w:t xml:space="preserve"> en la contratación estatal y en aras de</w:t>
      </w:r>
      <w:r w:rsidR="00892429">
        <w:rPr>
          <w:rFonts w:ascii="Verdana" w:eastAsia="Calibri" w:hAnsi="Verdana" w:cs="Arial"/>
          <w:bCs/>
          <w:color w:val="000000"/>
          <w:kern w:val="2"/>
          <w14:ligatures w14:val="standardContextual"/>
        </w:rPr>
        <w:t xml:space="preserve"> cumplir con los fines del estado.</w:t>
      </w:r>
    </w:p>
    <w:bookmarkEnd w:id="2"/>
    <w:p w14:paraId="4D3E0829" w14:textId="77777777" w:rsidR="00146D08" w:rsidRPr="001532C8" w:rsidRDefault="00146D08" w:rsidP="00146D08">
      <w:pPr>
        <w:widowControl w:val="0"/>
        <w:autoSpaceDE w:val="0"/>
        <w:autoSpaceDN w:val="0"/>
        <w:spacing w:after="0" w:line="276" w:lineRule="auto"/>
        <w:jc w:val="both"/>
        <w:rPr>
          <w:rFonts w:ascii="Verdana" w:hAnsi="Verdana" w:cs="Arial"/>
        </w:rPr>
      </w:pPr>
    </w:p>
    <w:p w14:paraId="5FCBDFB0" w14:textId="77777777" w:rsidR="00146D08" w:rsidRPr="001532C8" w:rsidRDefault="00146D08" w:rsidP="00146D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532C8">
        <w:rPr>
          <w:rFonts w:ascii="Verdana" w:eastAsia="Century Gothic" w:hAnsi="Verdana" w:cs="Century Gothic"/>
          <w:b/>
          <w:bCs/>
        </w:rPr>
        <w:t>Referencias normativas, jurisprudenciales y otras fuentes:</w:t>
      </w:r>
    </w:p>
    <w:p w14:paraId="2B515820" w14:textId="77777777" w:rsidR="00146D08" w:rsidRPr="001532C8" w:rsidRDefault="00146D08" w:rsidP="00146D0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46D08" w:rsidRPr="001532C8" w14:paraId="164DEB85" w14:textId="77777777" w:rsidTr="00015E11">
        <w:trPr>
          <w:trHeight w:val="870"/>
        </w:trPr>
        <w:tc>
          <w:tcPr>
            <w:tcW w:w="8647" w:type="dxa"/>
          </w:tcPr>
          <w:p w14:paraId="485A2A36" w14:textId="77777777" w:rsidR="00146D08" w:rsidRPr="008B63B4" w:rsidRDefault="00146D08" w:rsidP="00146D08">
            <w:pPr>
              <w:pStyle w:val="Prrafodelista"/>
              <w:widowControl w:val="0"/>
              <w:numPr>
                <w:ilvl w:val="0"/>
                <w:numId w:val="17"/>
              </w:numPr>
              <w:autoSpaceDE w:val="0"/>
              <w:autoSpaceDN w:val="0"/>
              <w:spacing w:before="120" w:after="120" w:line="276" w:lineRule="auto"/>
              <w:jc w:val="both"/>
              <w:rPr>
                <w:rFonts w:ascii="Verdana" w:hAnsi="Verdana" w:cs="Arial"/>
              </w:rPr>
            </w:pPr>
            <w:r w:rsidRPr="008B63B4">
              <w:rPr>
                <w:rFonts w:ascii="Verdana" w:hAnsi="Verdana" w:cs="Arial"/>
              </w:rPr>
              <w:t>Código Sustantivo del Trabajo: artículo 22.</w:t>
            </w:r>
          </w:p>
          <w:p w14:paraId="46123D7F" w14:textId="27B52452" w:rsidR="00146D08" w:rsidRPr="008B63B4" w:rsidRDefault="00146D08" w:rsidP="00146D08">
            <w:pPr>
              <w:pStyle w:val="Prrafodelista"/>
              <w:widowControl w:val="0"/>
              <w:numPr>
                <w:ilvl w:val="0"/>
                <w:numId w:val="17"/>
              </w:numPr>
              <w:autoSpaceDE w:val="0"/>
              <w:autoSpaceDN w:val="0"/>
              <w:spacing w:before="120" w:after="120" w:line="276" w:lineRule="auto"/>
              <w:jc w:val="both"/>
              <w:rPr>
                <w:rFonts w:ascii="Verdana" w:hAnsi="Verdana" w:cs="Arial"/>
                <w:lang w:val="es-CO"/>
              </w:rPr>
            </w:pPr>
            <w:r w:rsidRPr="008B63B4">
              <w:rPr>
                <w:rFonts w:ascii="Verdana" w:hAnsi="Verdana" w:cs="Arial"/>
                <w:lang w:val="es-ES_tradnl"/>
              </w:rPr>
              <w:t xml:space="preserve">Ley 80 de 1993: artículos 14 numeral 2º, </w:t>
            </w:r>
            <w:r w:rsidR="00A637A9">
              <w:rPr>
                <w:rFonts w:ascii="Verdana" w:hAnsi="Verdana" w:cs="Arial"/>
                <w:lang w:val="es-ES_tradnl"/>
              </w:rPr>
              <w:t xml:space="preserve">25, </w:t>
            </w:r>
            <w:r w:rsidRPr="008B63B4">
              <w:rPr>
                <w:rFonts w:ascii="Verdana" w:hAnsi="Verdana" w:cs="Arial"/>
                <w:lang w:val="es-ES_tradnl"/>
              </w:rPr>
              <w:t>32 numeral 3º, y 60.</w:t>
            </w:r>
          </w:p>
          <w:p w14:paraId="44CE0FD9" w14:textId="77777777" w:rsidR="00146D08" w:rsidRPr="008B63B4" w:rsidRDefault="00146D08" w:rsidP="00146D08">
            <w:pPr>
              <w:pStyle w:val="Prrafodelista"/>
              <w:widowControl w:val="0"/>
              <w:numPr>
                <w:ilvl w:val="0"/>
                <w:numId w:val="17"/>
              </w:numPr>
              <w:autoSpaceDE w:val="0"/>
              <w:autoSpaceDN w:val="0"/>
              <w:spacing w:before="120" w:after="120" w:line="276" w:lineRule="auto"/>
              <w:jc w:val="both"/>
              <w:rPr>
                <w:rFonts w:ascii="Verdana" w:hAnsi="Verdana" w:cs="Arial"/>
                <w:lang w:val="es-CO"/>
              </w:rPr>
            </w:pPr>
            <w:r w:rsidRPr="008B63B4">
              <w:rPr>
                <w:rFonts w:ascii="Verdana" w:hAnsi="Verdana" w:cs="Arial"/>
                <w:lang w:val="es-ES_tradnl"/>
              </w:rPr>
              <w:t>Ley 1150 de 2007: artículos 2 numeral 4º literal h), 6</w:t>
            </w:r>
          </w:p>
          <w:p w14:paraId="3042C216" w14:textId="77777777" w:rsidR="00146D08" w:rsidRPr="008B63B4" w:rsidRDefault="00146D08" w:rsidP="00146D08">
            <w:pPr>
              <w:pStyle w:val="Prrafodelista"/>
              <w:widowControl w:val="0"/>
              <w:numPr>
                <w:ilvl w:val="0"/>
                <w:numId w:val="17"/>
              </w:numPr>
              <w:autoSpaceDE w:val="0"/>
              <w:autoSpaceDN w:val="0"/>
              <w:spacing w:before="120" w:after="120" w:line="276" w:lineRule="auto"/>
              <w:jc w:val="both"/>
              <w:rPr>
                <w:rFonts w:ascii="Verdana" w:hAnsi="Verdana" w:cs="Arial"/>
                <w:lang w:val="es-CO"/>
              </w:rPr>
            </w:pPr>
            <w:r w:rsidRPr="008B63B4">
              <w:rPr>
                <w:rFonts w:ascii="Verdana" w:hAnsi="Verdana" w:cs="Arial"/>
                <w:lang w:val="es-ES_tradnl"/>
              </w:rPr>
              <w:t>Decreto 019 de 2012: artículo 217, que modificó el artículo 60 de la Ley 80 de 1993.</w:t>
            </w:r>
          </w:p>
          <w:p w14:paraId="0C1CA00F" w14:textId="77777777" w:rsidR="00146D08" w:rsidRPr="008B63B4" w:rsidRDefault="00146D08" w:rsidP="00146D08">
            <w:pPr>
              <w:pStyle w:val="Prrafodelista"/>
              <w:widowControl w:val="0"/>
              <w:numPr>
                <w:ilvl w:val="0"/>
                <w:numId w:val="17"/>
              </w:numPr>
              <w:autoSpaceDE w:val="0"/>
              <w:autoSpaceDN w:val="0"/>
              <w:spacing w:before="120" w:after="120" w:line="276" w:lineRule="auto"/>
              <w:jc w:val="both"/>
              <w:rPr>
                <w:rFonts w:ascii="Verdana" w:hAnsi="Verdana" w:cs="Arial"/>
              </w:rPr>
            </w:pPr>
            <w:r w:rsidRPr="008B63B4">
              <w:rPr>
                <w:rFonts w:ascii="Verdana" w:hAnsi="Verdana" w:cs="Arial"/>
              </w:rPr>
              <w:t xml:space="preserve">Decreto 1068 de 2015: </w:t>
            </w:r>
            <w:r>
              <w:rPr>
                <w:rFonts w:ascii="Verdana" w:hAnsi="Verdana" w:cs="Arial"/>
              </w:rPr>
              <w:t>“</w:t>
            </w:r>
            <w:r w:rsidRPr="008B63B4">
              <w:rPr>
                <w:rFonts w:ascii="Verdana" w:hAnsi="Verdana" w:cs="Arial"/>
              </w:rPr>
              <w:t>Artículo 2.8.4.4.5.</w:t>
            </w:r>
          </w:p>
          <w:p w14:paraId="41351FAA" w14:textId="0E8006BA" w:rsidR="00146D08" w:rsidRPr="008B63B4" w:rsidRDefault="00146D08" w:rsidP="00146D08">
            <w:pPr>
              <w:pStyle w:val="Prrafodelista"/>
              <w:widowControl w:val="0"/>
              <w:numPr>
                <w:ilvl w:val="0"/>
                <w:numId w:val="17"/>
              </w:numPr>
              <w:autoSpaceDE w:val="0"/>
              <w:autoSpaceDN w:val="0"/>
              <w:spacing w:before="120" w:after="120" w:line="276" w:lineRule="auto"/>
              <w:jc w:val="both"/>
              <w:rPr>
                <w:rFonts w:ascii="Verdana" w:hAnsi="Verdana" w:cs="Arial"/>
                <w:lang w:val="es-CO"/>
              </w:rPr>
            </w:pPr>
            <w:r w:rsidRPr="008B63B4">
              <w:rPr>
                <w:rFonts w:ascii="Verdana" w:hAnsi="Verdana" w:cs="Arial"/>
              </w:rPr>
              <w:t xml:space="preserve">Decreto 1082 de 2015: Artículos </w:t>
            </w:r>
            <w:r w:rsidR="00A637A9" w:rsidRPr="00F31A35">
              <w:rPr>
                <w:rFonts w:ascii="Verdana" w:hAnsi="Verdana" w:cs="Arial"/>
              </w:rPr>
              <w:t>2.2.1.1.2.1.1</w:t>
            </w:r>
            <w:r w:rsidR="00A637A9">
              <w:rPr>
                <w:rFonts w:ascii="Verdana" w:hAnsi="Verdana" w:cs="Arial"/>
              </w:rPr>
              <w:t xml:space="preserve"> </w:t>
            </w:r>
            <w:r w:rsidR="00A637A9" w:rsidRPr="00F31A35">
              <w:rPr>
                <w:rFonts w:ascii="Verdana" w:hAnsi="Verdana" w:cs="Arial"/>
              </w:rPr>
              <w:t>numerales 2</w:t>
            </w:r>
            <w:r w:rsidR="00A637A9">
              <w:rPr>
                <w:rFonts w:ascii="Verdana" w:hAnsi="Verdana" w:cs="Arial"/>
              </w:rPr>
              <w:t>°</w:t>
            </w:r>
            <w:r w:rsidR="00A637A9" w:rsidRPr="00F31A35">
              <w:rPr>
                <w:rFonts w:ascii="Verdana" w:hAnsi="Verdana" w:cs="Arial"/>
              </w:rPr>
              <w:t xml:space="preserve"> y 4</w:t>
            </w:r>
            <w:r w:rsidR="00A637A9">
              <w:rPr>
                <w:rFonts w:ascii="Verdana" w:hAnsi="Verdana" w:cs="Arial"/>
              </w:rPr>
              <w:t xml:space="preserve">°, </w:t>
            </w:r>
            <w:r w:rsidR="00A637A9" w:rsidRPr="00F31A35">
              <w:rPr>
                <w:rFonts w:ascii="Verdana" w:hAnsi="Verdana" w:cs="Arial"/>
              </w:rPr>
              <w:t>2.2.1.1.1.6.1</w:t>
            </w:r>
            <w:r w:rsidR="00A637A9">
              <w:rPr>
                <w:rFonts w:ascii="Verdana" w:hAnsi="Verdana" w:cs="Arial"/>
              </w:rPr>
              <w:t xml:space="preserve">, </w:t>
            </w:r>
            <w:r w:rsidRPr="008B63B4">
              <w:rPr>
                <w:rFonts w:ascii="Verdana" w:hAnsi="Verdana" w:cs="Arial"/>
              </w:rPr>
              <w:t>2.2.1.2.1.4.1, 2.2.1.2.1.4.5, y 2.2.1.2.1.4.9.</w:t>
            </w:r>
            <w:r w:rsidR="00A637A9">
              <w:rPr>
                <w:rFonts w:ascii="Verdana" w:hAnsi="Verdana" w:cs="Arial"/>
              </w:rPr>
              <w:t xml:space="preserve"> </w:t>
            </w:r>
          </w:p>
          <w:p w14:paraId="2E0C89C9" w14:textId="77777777" w:rsidR="00146D08" w:rsidRPr="00D70ACE" w:rsidRDefault="00146D08" w:rsidP="00146D08">
            <w:pPr>
              <w:pStyle w:val="Prrafodelista"/>
              <w:widowControl w:val="0"/>
              <w:numPr>
                <w:ilvl w:val="0"/>
                <w:numId w:val="17"/>
              </w:numPr>
              <w:autoSpaceDE w:val="0"/>
              <w:autoSpaceDN w:val="0"/>
              <w:spacing w:before="120" w:after="120" w:line="276" w:lineRule="auto"/>
              <w:rPr>
                <w:rFonts w:ascii="Verdana" w:hAnsi="Verdana" w:cs="Arial"/>
              </w:rPr>
            </w:pPr>
            <w:r w:rsidRPr="00D70ACE">
              <w:rPr>
                <w:rFonts w:ascii="Verdana" w:hAnsi="Verdana" w:cs="Arial"/>
              </w:rPr>
              <w:t>CORTE CONSTITUCIONAL. Sentencia C-154 de 1997. Magistrado Ponente: Hernando Herrera Vergara.</w:t>
            </w:r>
          </w:p>
          <w:p w14:paraId="5362F495" w14:textId="6FB429BB" w:rsidR="00146D08" w:rsidRPr="001532C8" w:rsidRDefault="00146D08" w:rsidP="000867C3">
            <w:pPr>
              <w:pStyle w:val="Prrafodelista"/>
              <w:widowControl w:val="0"/>
              <w:numPr>
                <w:ilvl w:val="0"/>
                <w:numId w:val="17"/>
              </w:numPr>
              <w:autoSpaceDE w:val="0"/>
              <w:autoSpaceDN w:val="0"/>
              <w:spacing w:before="120" w:after="120" w:line="276" w:lineRule="auto"/>
              <w:jc w:val="both"/>
              <w:rPr>
                <w:rFonts w:ascii="Verdana" w:hAnsi="Verdana" w:cs="Arial"/>
              </w:rPr>
            </w:pPr>
            <w:r w:rsidRPr="008B63B4">
              <w:rPr>
                <w:rFonts w:ascii="Verdana" w:hAnsi="Verdana" w:cs="Arial"/>
              </w:rPr>
              <w:t>CONSEJO DE ESTADO. Sección Tercera. Subsección C. Sentencia del 2 de diciembre de 2013. Exp. 41719. Consejero Ponente: Jaime Orlando Santofimio Gamboa.</w:t>
            </w:r>
          </w:p>
        </w:tc>
      </w:tr>
    </w:tbl>
    <w:p w14:paraId="46511CAA" w14:textId="77777777" w:rsidR="00146D08" w:rsidRPr="001532C8" w:rsidRDefault="00146D08" w:rsidP="00146D08">
      <w:pPr>
        <w:widowControl w:val="0"/>
        <w:autoSpaceDE w:val="0"/>
        <w:autoSpaceDN w:val="0"/>
        <w:spacing w:after="0" w:line="276" w:lineRule="auto"/>
        <w:jc w:val="both"/>
        <w:rPr>
          <w:rFonts w:ascii="Verdana" w:hAnsi="Verdana" w:cs="Arial"/>
        </w:rPr>
      </w:pPr>
    </w:p>
    <w:p w14:paraId="30C58D4F" w14:textId="77777777" w:rsidR="00146D08" w:rsidRPr="001532C8" w:rsidRDefault="00146D08" w:rsidP="00146D0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532C8">
        <w:rPr>
          <w:rFonts w:ascii="Verdana" w:eastAsia="Century Gothic" w:hAnsi="Verdana" w:cs="Century Gothic"/>
          <w:b/>
          <w:bCs/>
        </w:rPr>
        <w:t>Doctrina de la Agencia Nacional de Contratación Pública:</w:t>
      </w:r>
    </w:p>
    <w:p w14:paraId="25CAEA97" w14:textId="77777777" w:rsidR="00146D08" w:rsidRPr="001532C8" w:rsidRDefault="00146D08" w:rsidP="00146D08">
      <w:pPr>
        <w:widowControl w:val="0"/>
        <w:autoSpaceDE w:val="0"/>
        <w:autoSpaceDN w:val="0"/>
        <w:spacing w:after="0" w:line="276" w:lineRule="auto"/>
        <w:jc w:val="both"/>
        <w:rPr>
          <w:rFonts w:ascii="Verdana" w:hAnsi="Verdana" w:cs="Arial"/>
        </w:rPr>
      </w:pPr>
    </w:p>
    <w:p w14:paraId="749662FE" w14:textId="174B2A52" w:rsidR="00146D08" w:rsidRPr="001532C8" w:rsidRDefault="00146D08" w:rsidP="00146D0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A05DA">
        <w:rPr>
          <w:rStyle w:val="normaltextrun"/>
          <w:rFonts w:ascii="Verdana" w:hAnsi="Verdana" w:cs="Arial"/>
          <w:shd w:val="clear" w:color="auto" w:fill="FFFFFF"/>
          <w:lang w:val="es-ES"/>
        </w:rPr>
        <w:t xml:space="preserve">Sobre </w:t>
      </w:r>
      <w:r w:rsidRPr="009A05DA">
        <w:rPr>
          <w:rFonts w:ascii="Verdana" w:hAnsi="Verdana" w:cs="Arial"/>
          <w:bCs/>
          <w:shd w:val="clear" w:color="auto" w:fill="FFFFFF"/>
        </w:rPr>
        <w:t>los contratos de prestación de servicios, así como los requisitos para su celebración, entre otros,</w:t>
      </w:r>
      <w:r w:rsidRPr="009A05DA">
        <w:rPr>
          <w:rStyle w:val="normaltextrun"/>
          <w:rFonts w:ascii="Verdana" w:hAnsi="Verdana" w:cs="Arial"/>
          <w:shd w:val="clear" w:color="auto" w:fill="FFFFFF"/>
          <w:lang w:val="es-ES"/>
        </w:rPr>
        <w:t xml:space="preserve"> se pronunció esta Subdirección en los conceptos</w:t>
      </w:r>
      <w:r w:rsidRPr="009A05DA">
        <w:rPr>
          <w:rStyle w:val="normaltextrun"/>
          <w:rFonts w:ascii="Verdana" w:hAnsi="Verdana" w:cs="Calibri"/>
          <w:shd w:val="clear" w:color="auto" w:fill="FFFFFF"/>
        </w:rPr>
        <w:t xml:space="preserve"> </w:t>
      </w:r>
      <w:r w:rsidRPr="009A05DA">
        <w:rPr>
          <w:rStyle w:val="normaltextrun"/>
          <w:rFonts w:ascii="Verdana" w:hAnsi="Verdana" w:cs="Arial"/>
          <w:shd w:val="clear" w:color="auto" w:fill="FFFFFF"/>
          <w:lang w:val="es-ES"/>
        </w:rPr>
        <w:t xml:space="preserve">4201912000006026 de 1° de octubre de 2019, C–047 del 18 de febrero de 2020, C–071 del 4 de marzo de 2020, C–188 del 13 de abril de 2020, C–005, 006, 018 y 138 del 11 de mayo de 2020, C–053, 175, 255, 282, 293 y 320 del 12 de mayo de 2020, C–288 del 27 de mayo de 2020, C–345 del 23 de junio de 2020, C–484 del 6 de agosto de 2020, C–608 del 1 de octubre de 2020, C-145 del 8 de abril del 2021, C-491 del 14 de septiembre de 2021, C-517 del 30 de septiembre de 2021, C – 654 de 22 de noviembre de, C-181 del 7 de abril de </w:t>
      </w:r>
      <w:r w:rsidRPr="009A05DA">
        <w:rPr>
          <w:rStyle w:val="normaltextrun"/>
          <w:rFonts w:ascii="Verdana" w:hAnsi="Verdana" w:cs="Arial"/>
          <w:shd w:val="clear" w:color="auto" w:fill="FFFFFF"/>
          <w:lang w:val="es-ES"/>
        </w:rPr>
        <w:lastRenderedPageBreak/>
        <w:t xml:space="preserve">2022, C-773 del 17 de noviembre de 2022, C- 953 del 25 de enero de 2023 y C-966 del 1 de febrero de 2023, C-135 del 25 de mayo de 2023 y C-414 del 11 de septiembre de 2024, entre otros. </w:t>
      </w:r>
      <w:r w:rsidR="00D24805">
        <w:rPr>
          <w:rStyle w:val="normaltextrun"/>
          <w:rFonts w:ascii="Verdana" w:hAnsi="Verdana" w:cs="Arial"/>
          <w:shd w:val="clear" w:color="auto" w:fill="FFFFFF"/>
          <w:lang w:val="es-ES"/>
        </w:rPr>
        <w:t xml:space="preserve">Igualmente, sobre </w:t>
      </w:r>
      <w:r w:rsidR="001635E5">
        <w:rPr>
          <w:rStyle w:val="normaltextrun"/>
          <w:rFonts w:ascii="Verdana" w:hAnsi="Verdana" w:cs="Arial"/>
          <w:shd w:val="clear" w:color="auto" w:fill="FFFFFF"/>
          <w:lang w:val="es-ES"/>
        </w:rPr>
        <w:t xml:space="preserve">la fijación de </w:t>
      </w:r>
      <w:r w:rsidR="00D24805">
        <w:rPr>
          <w:rStyle w:val="normaltextrun"/>
          <w:rFonts w:ascii="Verdana" w:hAnsi="Verdana" w:cs="Arial"/>
          <w:shd w:val="clear" w:color="auto" w:fill="FFFFFF"/>
          <w:lang w:val="es-ES"/>
        </w:rPr>
        <w:t xml:space="preserve">honorarios en los contratos de </w:t>
      </w:r>
      <w:r w:rsidR="001635E5">
        <w:rPr>
          <w:rStyle w:val="normaltextrun"/>
          <w:rFonts w:ascii="Verdana" w:hAnsi="Verdana" w:cs="Arial"/>
          <w:shd w:val="clear" w:color="auto" w:fill="FFFFFF"/>
          <w:lang w:val="es-ES"/>
        </w:rPr>
        <w:t xml:space="preserve">prestación de servicios, se pronunció esta Subdirección en los conceptos </w:t>
      </w:r>
      <w:r w:rsidR="00FD4F8B" w:rsidRPr="00FD4F8B">
        <w:rPr>
          <w:rStyle w:val="normaltextrun"/>
          <w:rFonts w:ascii="Verdana" w:hAnsi="Verdana" w:cs="Arial"/>
          <w:shd w:val="clear" w:color="auto" w:fill="FFFFFF"/>
          <w:lang w:val="es-ES"/>
        </w:rPr>
        <w:t>C-102</w:t>
      </w:r>
      <w:r w:rsidR="00FD4F8B">
        <w:rPr>
          <w:rStyle w:val="normaltextrun"/>
          <w:rFonts w:ascii="Verdana" w:hAnsi="Verdana" w:cs="Arial"/>
          <w:shd w:val="clear" w:color="auto" w:fill="FFFFFF"/>
          <w:lang w:val="es-ES"/>
        </w:rPr>
        <w:t xml:space="preserve"> del 4 de mayo de 2023</w:t>
      </w:r>
      <w:r w:rsidR="00A673E6">
        <w:rPr>
          <w:rStyle w:val="normaltextrun"/>
          <w:rFonts w:ascii="Verdana" w:hAnsi="Verdana" w:cs="Arial"/>
          <w:shd w:val="clear" w:color="auto" w:fill="FFFFFF"/>
          <w:lang w:val="es-ES"/>
        </w:rPr>
        <w:t xml:space="preserve"> y C-272 del 13 de julio de 2023</w:t>
      </w:r>
      <w:r w:rsidR="009C79BC">
        <w:rPr>
          <w:rStyle w:val="normaltextrun"/>
          <w:rFonts w:ascii="Verdana" w:hAnsi="Verdana" w:cs="Arial"/>
          <w:shd w:val="clear" w:color="auto" w:fill="FFFFFF"/>
          <w:lang w:val="es-ES"/>
        </w:rPr>
        <w:t>, entre otros.</w:t>
      </w:r>
      <w:r w:rsidR="00FD4F8B">
        <w:rPr>
          <w:rStyle w:val="normaltextrun"/>
          <w:rFonts w:ascii="Verdana" w:hAnsi="Verdana" w:cs="Arial"/>
          <w:shd w:val="clear" w:color="auto" w:fill="FFFFFF"/>
          <w:lang w:val="es-ES"/>
        </w:rPr>
        <w:t xml:space="preserve"> </w:t>
      </w:r>
      <w:r w:rsidRPr="001532C8">
        <w:rPr>
          <w:rStyle w:val="normaltextrun"/>
          <w:rFonts w:ascii="Verdana" w:hAnsi="Verdana" w:cs="Arial"/>
          <w:shd w:val="clear" w:color="auto" w:fill="FFFFFF"/>
          <w:lang w:val="es-ES"/>
        </w:rPr>
        <w:t>Es</w:t>
      </w:r>
      <w:r w:rsidRPr="001532C8">
        <w:rPr>
          <w:rFonts w:ascii="Verdana" w:hAnsi="Verdana"/>
        </w:rPr>
        <w:t>tos y otros conceptos se encuentran disponibles para consulta en el Sistema de relatoría de la Agencia, al cual se puede acceder a través del siguiente enlace:</w:t>
      </w:r>
      <w:r w:rsidRPr="001532C8">
        <w:rPr>
          <w:rStyle w:val="normaltextrun"/>
          <w:rFonts w:ascii="Verdana" w:hAnsi="Verdana" w:cs="Arial"/>
          <w:shd w:val="clear" w:color="auto" w:fill="FFFFFF"/>
          <w:lang w:val="es-ES"/>
        </w:rPr>
        <w:t xml:space="preserve"> </w:t>
      </w:r>
      <w:hyperlink r:id="rId12" w:history="1">
        <w:r w:rsidRPr="001532C8">
          <w:rPr>
            <w:rStyle w:val="Hipervnculo"/>
            <w:rFonts w:ascii="Verdana" w:hAnsi="Verdana" w:cs="Arial"/>
            <w:shd w:val="clear" w:color="auto" w:fill="FFFFFF"/>
            <w:lang w:val="es-ES"/>
          </w:rPr>
          <w:t>https://relatoria.colombiacompra.gov.co/busqueda/conceptos</w:t>
        </w:r>
      </w:hyperlink>
    </w:p>
    <w:p w14:paraId="486096B2" w14:textId="77777777" w:rsidR="00146D08" w:rsidRPr="001532C8" w:rsidRDefault="00146D08" w:rsidP="00146D0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C81FE36" w14:textId="77777777" w:rsidR="00146D08" w:rsidRDefault="00146D08" w:rsidP="00146D08">
      <w:pPr>
        <w:widowControl w:val="0"/>
        <w:autoSpaceDE w:val="0"/>
        <w:autoSpaceDN w:val="0"/>
        <w:spacing w:after="0" w:line="276" w:lineRule="auto"/>
        <w:jc w:val="both"/>
        <w:rPr>
          <w:rFonts w:ascii="Verdana" w:hAnsi="Verdana" w:cs="Arial"/>
          <w:color w:val="000000" w:themeColor="text1"/>
          <w:u w:val="single"/>
          <w:shd w:val="clear" w:color="auto" w:fill="FFFFFF"/>
        </w:rPr>
      </w:pPr>
      <w:r w:rsidRPr="00061A4D">
        <w:rPr>
          <w:rFonts w:ascii="Verdana" w:hAnsi="Verdana" w:cs="Arial"/>
          <w:color w:val="000000" w:themeColor="text1"/>
          <w:shd w:val="clear" w:color="auto" w:fill="FFFFFF"/>
        </w:rPr>
        <w:t>Le informamos que ya se encuentra disponible la </w:t>
      </w:r>
      <w:r w:rsidRPr="00061A4D">
        <w:rPr>
          <w:rFonts w:ascii="Verdana" w:hAnsi="Verdana" w:cs="Arial"/>
          <w:b/>
          <w:bCs/>
          <w:color w:val="000000" w:themeColor="text1"/>
          <w:shd w:val="clear" w:color="auto" w:fill="FFFFFF"/>
        </w:rPr>
        <w:t>Guía para el manejo de ofertas artificialmente bajas en Procesos de Contratación.</w:t>
      </w:r>
      <w:r w:rsidRPr="00061A4D">
        <w:rPr>
          <w:rFonts w:ascii="Verdana" w:hAnsi="Verdana" w:cs="Arial"/>
          <w:color w:val="000000" w:themeColor="text1"/>
          <w:shd w:val="clear" w:color="auto" w:fill="FFFFFF"/>
        </w:rPr>
        <w:t> En este documento podrás consultar una serie de pautas para el manejo ofertas artificialmente bajas, en línea con las mejores prácticas internacionales en la materia. Puede consultar la versión actualizada en el siguiente enlace: </w:t>
      </w:r>
      <w:hyperlink r:id="rId13" w:tgtFrame="_blank" w:tooltip="Dirección URL original: https://www.colombiacompra.gov.co/manuales-guias-y-pliegos-tipo/manuales-y-guias/guia-para-el-manejo-de-ofertas-artificialmente-baja-0. Haga clic o pulse si confía en este vínculo." w:history="1">
        <w:r w:rsidRPr="00061A4D">
          <w:rPr>
            <w:rStyle w:val="Hipervnculo"/>
            <w:rFonts w:ascii="Verdana" w:hAnsi="Verdana" w:cs="Arial"/>
            <w:shd w:val="clear" w:color="auto" w:fill="FFFFFF"/>
          </w:rPr>
          <w:t>https://www.colombiacompra.gov.co/manuales-guias-y-pliegos-tipo/manuales-y-guias/guia-para-el-manejo-de-ofertas-artificialmente-baja-0</w:t>
        </w:r>
      </w:hyperlink>
      <w:r w:rsidRPr="00061A4D">
        <w:rPr>
          <w:rFonts w:ascii="Verdana" w:hAnsi="Verdana" w:cs="Arial"/>
          <w:color w:val="000000" w:themeColor="text1"/>
          <w:u w:val="single"/>
          <w:shd w:val="clear" w:color="auto" w:fill="FFFFFF"/>
        </w:rPr>
        <w:t> </w:t>
      </w:r>
    </w:p>
    <w:p w14:paraId="62022566" w14:textId="77777777" w:rsidR="00146D08" w:rsidRPr="00061A4D" w:rsidRDefault="00146D08" w:rsidP="00146D08">
      <w:pPr>
        <w:widowControl w:val="0"/>
        <w:autoSpaceDE w:val="0"/>
        <w:autoSpaceDN w:val="0"/>
        <w:spacing w:after="0" w:line="276" w:lineRule="auto"/>
        <w:jc w:val="both"/>
        <w:rPr>
          <w:rFonts w:ascii="Verdana" w:hAnsi="Verdana" w:cs="Arial"/>
          <w:color w:val="000000" w:themeColor="text1"/>
          <w:shd w:val="clear" w:color="auto" w:fill="FFFFFF"/>
        </w:rPr>
      </w:pPr>
    </w:p>
    <w:p w14:paraId="07619459" w14:textId="77777777" w:rsidR="00146D08" w:rsidRPr="00061A4D" w:rsidRDefault="00146D08" w:rsidP="00146D08">
      <w:pPr>
        <w:widowControl w:val="0"/>
        <w:autoSpaceDE w:val="0"/>
        <w:autoSpaceDN w:val="0"/>
        <w:spacing w:after="0" w:line="276" w:lineRule="auto"/>
        <w:jc w:val="both"/>
        <w:rPr>
          <w:rFonts w:ascii="Verdana" w:hAnsi="Verdana" w:cs="Arial"/>
          <w:color w:val="000000" w:themeColor="text1"/>
          <w:shd w:val="clear" w:color="auto" w:fill="FFFFFF"/>
        </w:rPr>
      </w:pPr>
      <w:r w:rsidRPr="00061A4D">
        <w:rPr>
          <w:rFonts w:ascii="Verdana" w:hAnsi="Verdana" w:cs="Arial"/>
          <w:color w:val="000000" w:themeColor="text1"/>
          <w:shd w:val="clear" w:color="auto" w:fill="FFFFFF"/>
        </w:rPr>
        <w:t>De otra parte, te contamos que ya publicamos la </w:t>
      </w:r>
      <w:r w:rsidRPr="00061A4D">
        <w:rPr>
          <w:rFonts w:ascii="Verdana" w:hAnsi="Verdana" w:cs="Arial"/>
          <w:b/>
          <w:bCs/>
          <w:color w:val="000000" w:themeColor="text1"/>
          <w:shd w:val="clear" w:color="auto" w:fill="FFFFFF"/>
        </w:rPr>
        <w:t>Guía para incentivar la participación de Mujeres en el Sistema de Compras y Contratación Pública</w:t>
      </w:r>
      <w:r w:rsidRPr="00061A4D">
        <w:rPr>
          <w:rFonts w:ascii="Verdana" w:hAnsi="Verdana" w:cs="Arial"/>
          <w:color w:val="000000" w:themeColor="text1"/>
          <w:shd w:val="clear" w:color="auto" w:fill="FFFFFF"/>
        </w:rPr>
        <w:t>. Esta guía tiene como finalidad ofrecer información de valor para que las Entidades Estatales fomenten de manera efectiva la participación de las mujeres en el mercado de compras públicas. Puedes consultar la guía en el siguiente enlace: </w:t>
      </w:r>
      <w:hyperlink r:id="rId14" w:tgtFrame="_blank" w:tooltip="Dirección URL original: https://www.colombiacompra.gov.co/manuales-guias-y-pliegos-tipo/manuales-y-guias/guia-para-incentivar-la-participacion-de-las-mujeres. Haga clic o pulse si confía en este vínculo." w:history="1">
        <w:r w:rsidRPr="00061A4D">
          <w:rPr>
            <w:rStyle w:val="Hipervnculo"/>
            <w:rFonts w:ascii="Verdana" w:hAnsi="Verdana" w:cs="Arial"/>
            <w:shd w:val="clear" w:color="auto" w:fill="FFFFFF"/>
          </w:rPr>
          <w:t>https://www.colombiacompra.gov.co/manuales-guias-y-pliegos-tipo/manuales-y-guias/guia-para-incentivar-la-participacion-de-las-mujeres</w:t>
        </w:r>
      </w:hyperlink>
    </w:p>
    <w:p w14:paraId="4584C916" w14:textId="77777777" w:rsidR="00146D08" w:rsidRDefault="00146D08" w:rsidP="00146D08">
      <w:pPr>
        <w:widowControl w:val="0"/>
        <w:autoSpaceDE w:val="0"/>
        <w:autoSpaceDN w:val="0"/>
        <w:spacing w:after="0" w:line="276" w:lineRule="auto"/>
        <w:jc w:val="both"/>
        <w:rPr>
          <w:rFonts w:ascii="Verdana" w:hAnsi="Verdana" w:cs="Arial"/>
          <w:color w:val="000000" w:themeColor="text1"/>
          <w:shd w:val="clear" w:color="auto" w:fill="FFFFFF"/>
        </w:rPr>
      </w:pPr>
    </w:p>
    <w:p w14:paraId="12233806" w14:textId="77777777" w:rsidR="00146D08" w:rsidRPr="00061A4D" w:rsidRDefault="00146D08" w:rsidP="00146D08">
      <w:pPr>
        <w:widowControl w:val="0"/>
        <w:autoSpaceDE w:val="0"/>
        <w:autoSpaceDN w:val="0"/>
        <w:spacing w:after="0" w:line="276" w:lineRule="auto"/>
        <w:jc w:val="both"/>
        <w:rPr>
          <w:rFonts w:ascii="Verdana" w:hAnsi="Verdana" w:cs="Arial"/>
          <w:color w:val="000000" w:themeColor="text1"/>
          <w:shd w:val="clear" w:color="auto" w:fill="FFFFFF"/>
        </w:rPr>
      </w:pPr>
      <w:r w:rsidRPr="00061A4D">
        <w:rPr>
          <w:rFonts w:ascii="Verdana" w:hAnsi="Verdana" w:cs="Arial"/>
          <w:color w:val="000000" w:themeColor="text1"/>
          <w:shd w:val="clear" w:color="auto" w:fill="FFFFFF"/>
        </w:rPr>
        <w:t>También te invitamos a consultar la </w:t>
      </w:r>
      <w:r w:rsidRPr="00061A4D">
        <w:rPr>
          <w:rFonts w:ascii="Verdana" w:hAnsi="Verdana" w:cs="Arial"/>
          <w:b/>
          <w:bCs/>
          <w:color w:val="000000" w:themeColor="text1"/>
          <w:shd w:val="clear" w:color="auto" w:fill="FFFFFF"/>
        </w:rPr>
        <w:t>versión VIII de 2024</w:t>
      </w:r>
      <w:r w:rsidRPr="00061A4D">
        <w:rPr>
          <w:rFonts w:ascii="Verdana" w:hAnsi="Verdana" w:cs="Arial"/>
          <w:color w:val="000000" w:themeColor="text1"/>
          <w:shd w:val="clear" w:color="auto" w:fill="FFFFFF"/>
        </w:rPr>
        <w:t>, del </w:t>
      </w:r>
      <w:r w:rsidRPr="00061A4D">
        <w:rPr>
          <w:rFonts w:ascii="Verdana" w:hAnsi="Verdana" w:cs="Arial"/>
          <w:b/>
          <w:bCs/>
          <w:color w:val="000000" w:themeColor="text1"/>
          <w:shd w:val="clear" w:color="auto" w:fill="FFFFFF"/>
        </w:rPr>
        <w:t>Boletín de Relatoría</w:t>
      </w:r>
      <w:r w:rsidRPr="00061A4D">
        <w:rPr>
          <w:rFonts w:ascii="Verdana" w:hAnsi="Verdana" w:cs="Arial"/>
          <w:color w:val="000000" w:themeColor="text1"/>
          <w:shd w:val="clear" w:color="auto" w:fill="FFFFFF"/>
        </w:rPr>
        <w:t> de la Subdirección de Gestión Contractual relacionado con la participación de las MIPYMES en los procesos de compra y contratación pública, el cual se puede descargar en la página web de la Agencia: </w:t>
      </w:r>
      <w:hyperlink r:id="rId15" w:tgtFrame="_blank" w:tooltip="Dirección URL original: https://www.colombiacompra.gov.co/sites/cce_public/files/files_2020/boletin_de_realtoria_viii.pdf. Haga clic o pulse si confía en este vínculo." w:history="1">
        <w:r w:rsidRPr="00061A4D">
          <w:rPr>
            <w:rStyle w:val="Hipervnculo"/>
            <w:rFonts w:ascii="Verdana" w:hAnsi="Verdana" w:cs="Arial"/>
            <w:shd w:val="clear" w:color="auto" w:fill="FFFFFF"/>
          </w:rPr>
          <w:t>https://www.colombiacompra.gov.co/sites/cce_public/files/files_2020/boletin_de_realtoria_viii.pdf</w:t>
        </w:r>
      </w:hyperlink>
    </w:p>
    <w:p w14:paraId="6C28E849" w14:textId="77777777" w:rsidR="00146D08" w:rsidRPr="001532C8" w:rsidRDefault="00146D08" w:rsidP="00146D0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8643BDE" w14:textId="77777777" w:rsidR="00146D08" w:rsidRPr="001532C8" w:rsidRDefault="00146D08" w:rsidP="00146D08">
      <w:pPr>
        <w:spacing w:after="0" w:line="240" w:lineRule="auto"/>
        <w:jc w:val="both"/>
        <w:rPr>
          <w:rFonts w:ascii="Verdana" w:hAnsi="Verdana"/>
        </w:rPr>
      </w:pPr>
      <w:r w:rsidRPr="001532C8">
        <w:rPr>
          <w:rFonts w:ascii="Verdana" w:hAnsi="Verdana"/>
        </w:rPr>
        <w:t xml:space="preserve">Por último, lo invitamos a seguirnos en las redes sociales en las cuales se difunde información institucional: </w:t>
      </w:r>
    </w:p>
    <w:p w14:paraId="38599D86" w14:textId="77777777" w:rsidR="00146D08" w:rsidRPr="001532C8" w:rsidRDefault="00146D08" w:rsidP="00146D08">
      <w:pPr>
        <w:spacing w:after="0" w:line="240" w:lineRule="auto"/>
        <w:jc w:val="both"/>
        <w:rPr>
          <w:rFonts w:ascii="Verdana" w:hAnsi="Verdana"/>
        </w:rPr>
      </w:pPr>
    </w:p>
    <w:p w14:paraId="60FCEA7B" w14:textId="77777777" w:rsidR="00146D08" w:rsidRPr="001532C8" w:rsidRDefault="00146D08" w:rsidP="00146D08">
      <w:pPr>
        <w:spacing w:after="0" w:line="240" w:lineRule="auto"/>
        <w:jc w:val="both"/>
        <w:rPr>
          <w:rFonts w:ascii="Verdana" w:hAnsi="Verdana"/>
        </w:rPr>
      </w:pPr>
      <w:r w:rsidRPr="001532C8">
        <w:rPr>
          <w:rFonts w:ascii="Verdana" w:hAnsi="Verdana"/>
        </w:rPr>
        <w:t xml:space="preserve">Twitter: </w:t>
      </w:r>
      <w:r w:rsidRPr="001532C8">
        <w:rPr>
          <w:rStyle w:val="Hipervnculo"/>
          <w:rFonts w:ascii="Verdana" w:hAnsi="Verdana"/>
          <w:color w:val="4472C4" w:themeColor="accent1"/>
        </w:rPr>
        <w:t>@colombiacompra</w:t>
      </w:r>
      <w:r w:rsidRPr="001532C8">
        <w:rPr>
          <w:rFonts w:ascii="Verdana" w:hAnsi="Verdana"/>
          <w:color w:val="4472C4" w:themeColor="accent1"/>
        </w:rPr>
        <w:t xml:space="preserve"> </w:t>
      </w:r>
    </w:p>
    <w:p w14:paraId="61BC517D" w14:textId="77777777" w:rsidR="00146D08" w:rsidRPr="001532C8" w:rsidRDefault="00146D08" w:rsidP="00146D08">
      <w:pPr>
        <w:spacing w:after="0" w:line="240" w:lineRule="auto"/>
        <w:jc w:val="both"/>
        <w:rPr>
          <w:rFonts w:ascii="Verdana" w:hAnsi="Verdana"/>
        </w:rPr>
      </w:pPr>
      <w:r w:rsidRPr="001532C8">
        <w:rPr>
          <w:rFonts w:ascii="Verdana" w:hAnsi="Verdana"/>
        </w:rPr>
        <w:t xml:space="preserve">Facebook: </w:t>
      </w:r>
      <w:r w:rsidRPr="001532C8">
        <w:rPr>
          <w:rStyle w:val="Hipervnculo"/>
          <w:rFonts w:ascii="Verdana" w:hAnsi="Verdana"/>
          <w:color w:val="4472C4" w:themeColor="accent1"/>
        </w:rPr>
        <w:t>ColombiaCompraEficiente</w:t>
      </w:r>
    </w:p>
    <w:p w14:paraId="108F1C54" w14:textId="77777777" w:rsidR="00146D08" w:rsidRPr="001532C8" w:rsidRDefault="00146D08" w:rsidP="00146D08">
      <w:pPr>
        <w:spacing w:after="0" w:line="240" w:lineRule="auto"/>
        <w:jc w:val="both"/>
        <w:rPr>
          <w:rFonts w:ascii="Verdana" w:hAnsi="Verdana"/>
        </w:rPr>
      </w:pPr>
      <w:r w:rsidRPr="001532C8">
        <w:rPr>
          <w:rFonts w:ascii="Verdana" w:hAnsi="Verdana"/>
        </w:rPr>
        <w:lastRenderedPageBreak/>
        <w:t xml:space="preserve">LinkedIn: </w:t>
      </w:r>
      <w:r w:rsidRPr="001532C8">
        <w:rPr>
          <w:rStyle w:val="Hipervnculo"/>
          <w:rFonts w:ascii="Verdana" w:hAnsi="Verdana"/>
          <w:color w:val="4472C4" w:themeColor="accent1"/>
        </w:rPr>
        <w:t>Agencia Nacional de Contratación Pública - Colombia Compra Eficiente</w:t>
      </w:r>
      <w:r w:rsidRPr="001532C8">
        <w:rPr>
          <w:rFonts w:ascii="Verdana" w:hAnsi="Verdana"/>
          <w:color w:val="4472C4" w:themeColor="accent1"/>
        </w:rPr>
        <w:t xml:space="preserve"> </w:t>
      </w:r>
      <w:r w:rsidRPr="001532C8">
        <w:rPr>
          <w:rFonts w:ascii="Verdana" w:hAnsi="Verdana"/>
        </w:rPr>
        <w:t xml:space="preserve">Instagram: </w:t>
      </w:r>
      <w:r w:rsidRPr="001532C8">
        <w:rPr>
          <w:rStyle w:val="Hipervnculo"/>
          <w:rFonts w:ascii="Verdana" w:hAnsi="Verdana"/>
          <w:color w:val="4472C4" w:themeColor="accent1"/>
        </w:rPr>
        <w:t>@colombiacompraeficiente_cce</w:t>
      </w:r>
    </w:p>
    <w:p w14:paraId="5D3E75EA" w14:textId="77777777" w:rsidR="00146D08" w:rsidRPr="001532C8" w:rsidRDefault="00146D08" w:rsidP="00146D08">
      <w:pPr>
        <w:widowControl w:val="0"/>
        <w:autoSpaceDE w:val="0"/>
        <w:autoSpaceDN w:val="0"/>
        <w:spacing w:after="0" w:line="276" w:lineRule="auto"/>
        <w:jc w:val="both"/>
        <w:rPr>
          <w:rFonts w:ascii="Verdana" w:hAnsi="Verdana" w:cs="Arial"/>
        </w:rPr>
      </w:pPr>
    </w:p>
    <w:p w14:paraId="403E8313" w14:textId="77777777" w:rsidR="00146D08" w:rsidRPr="001532C8" w:rsidRDefault="00146D08" w:rsidP="00146D08">
      <w:pPr>
        <w:widowControl w:val="0"/>
        <w:autoSpaceDE w:val="0"/>
        <w:autoSpaceDN w:val="0"/>
        <w:spacing w:after="0" w:line="276" w:lineRule="auto"/>
        <w:jc w:val="both"/>
        <w:rPr>
          <w:rFonts w:ascii="Verdana" w:hAnsi="Verdana" w:cs="Arial"/>
          <w:lang w:val="es-ES_tradnl"/>
        </w:rPr>
      </w:pPr>
      <w:r w:rsidRPr="001532C8">
        <w:rPr>
          <w:rFonts w:ascii="Verdana" w:hAnsi="Verdana" w:cs="Arial"/>
        </w:rPr>
        <w:t xml:space="preserve">Este concepto tiene el alcance previsto en el artículo 28 del Código de Procedimiento Administrativo y de lo Contencioso Administrativo </w:t>
      </w:r>
      <w:r w:rsidRPr="001532C8">
        <w:rPr>
          <w:rFonts w:ascii="Verdana" w:hAnsi="Verdana" w:cs="Arial"/>
          <w:lang w:val="es-ES_tradnl"/>
        </w:rPr>
        <w:t>y las expresiones aquí utilizadas con mayúscula inicial deben ser entendidas con el significado que les otorga el artículo 2.2.1.1.1.3.1. del Decreto 1082 de 2015.</w:t>
      </w:r>
    </w:p>
    <w:p w14:paraId="39374D6A" w14:textId="77777777" w:rsidR="00146D08" w:rsidRPr="001532C8" w:rsidRDefault="00146D08" w:rsidP="00146D08">
      <w:pPr>
        <w:widowControl w:val="0"/>
        <w:autoSpaceDE w:val="0"/>
        <w:autoSpaceDN w:val="0"/>
        <w:spacing w:after="0" w:line="276" w:lineRule="auto"/>
        <w:jc w:val="both"/>
        <w:rPr>
          <w:rFonts w:ascii="Verdana" w:hAnsi="Verdana" w:cs="Arial"/>
        </w:rPr>
      </w:pPr>
    </w:p>
    <w:p w14:paraId="19A1A95C" w14:textId="77777777" w:rsidR="00146D08" w:rsidRPr="001532C8" w:rsidRDefault="00146D08" w:rsidP="00146D08">
      <w:pPr>
        <w:spacing w:after="0" w:line="240" w:lineRule="auto"/>
        <w:rPr>
          <w:rFonts w:ascii="Verdana" w:hAnsi="Verdana" w:cs="Arial"/>
          <w:lang w:eastAsia="es-CO"/>
        </w:rPr>
      </w:pPr>
      <w:r w:rsidRPr="001532C8">
        <w:rPr>
          <w:rFonts w:ascii="Verdana" w:eastAsia="Times New Roman" w:hAnsi="Verdana" w:cs="Arial"/>
          <w:lang w:eastAsia="es-CO"/>
        </w:rPr>
        <w:t>Atentamente,</w:t>
      </w:r>
      <w:r w:rsidRPr="001532C8">
        <w:rPr>
          <w:rFonts w:ascii="Verdana" w:hAnsi="Verdana" w:cs="Arial"/>
          <w:lang w:eastAsia="es-CO"/>
        </w:rPr>
        <w:t xml:space="preserve"> </w:t>
      </w:r>
    </w:p>
    <w:p w14:paraId="69EAFDB2" w14:textId="30291F58" w:rsidR="00146D08" w:rsidRPr="0085426D" w:rsidRDefault="00B25CB6" w:rsidP="00146D08">
      <w:pPr>
        <w:spacing w:line="276" w:lineRule="auto"/>
        <w:jc w:val="center"/>
        <w:rPr>
          <w:rFonts w:ascii="Verdana" w:hAnsi="Verdana" w:cs="Arial"/>
          <w:lang w:val="es-ES_tradnl" w:eastAsia="es-CO"/>
        </w:rPr>
      </w:pPr>
      <w:r>
        <w:rPr>
          <w:noProof/>
        </w:rPr>
        <w:drawing>
          <wp:inline distT="0" distB="0" distL="0" distR="0" wp14:anchorId="34A44B4F" wp14:editId="3569C935">
            <wp:extent cx="3771429" cy="1400000"/>
            <wp:effectExtent l="0" t="0" r="635" b="0"/>
            <wp:docPr id="13507433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43340" name="Imagen 1" descr="Texto&#10;&#10;Descripción generada automáticamente"/>
                    <pic:cNvPicPr/>
                  </pic:nvPicPr>
                  <pic:blipFill>
                    <a:blip r:embed="rId16"/>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46D08" w:rsidRPr="0085426D" w14:paraId="74D2635E" w14:textId="77777777" w:rsidTr="00015E11">
        <w:trPr>
          <w:trHeight w:val="315"/>
        </w:trPr>
        <w:tc>
          <w:tcPr>
            <w:tcW w:w="893" w:type="dxa"/>
            <w:vAlign w:val="center"/>
            <w:hideMark/>
          </w:tcPr>
          <w:p w14:paraId="7713763E" w14:textId="77777777" w:rsidR="00146D08" w:rsidRPr="0085426D" w:rsidRDefault="00146D08" w:rsidP="00015E11">
            <w:pPr>
              <w:contextualSpacing/>
              <w:rPr>
                <w:rFonts w:ascii="Verdana" w:hAnsi="Verdana" w:cs="Arial"/>
                <w:sz w:val="16"/>
                <w:szCs w:val="16"/>
                <w:lang w:val="es-ES" w:eastAsia="es-ES"/>
              </w:rPr>
            </w:pPr>
            <w:r w:rsidRPr="0085426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0AC2DE5" w14:textId="77777777" w:rsidR="00146D08" w:rsidRPr="0085426D" w:rsidRDefault="00146D08" w:rsidP="00015E11">
            <w:pPr>
              <w:contextualSpacing/>
              <w:rPr>
                <w:rStyle w:val="normaltextrun"/>
                <w:rFonts w:ascii="Verdana" w:hAnsi="Verdana"/>
                <w:sz w:val="16"/>
                <w:szCs w:val="16"/>
              </w:rPr>
            </w:pPr>
            <w:r w:rsidRPr="0085426D">
              <w:rPr>
                <w:rStyle w:val="normaltextrun"/>
                <w:rFonts w:ascii="Verdana" w:hAnsi="Verdana"/>
                <w:sz w:val="16"/>
                <w:szCs w:val="16"/>
              </w:rPr>
              <w:t>Santiago Alberto Herrera Morillo</w:t>
            </w:r>
          </w:p>
          <w:p w14:paraId="28699052" w14:textId="77777777" w:rsidR="00146D08" w:rsidRPr="0085426D" w:rsidRDefault="00146D08" w:rsidP="00015E11">
            <w:pPr>
              <w:contextualSpacing/>
              <w:rPr>
                <w:rFonts w:ascii="Verdana" w:eastAsia="Arial" w:hAnsi="Verdana" w:cs="Arial"/>
                <w:sz w:val="16"/>
                <w:szCs w:val="16"/>
              </w:rPr>
            </w:pPr>
            <w:r w:rsidRPr="0085426D">
              <w:rPr>
                <w:rStyle w:val="normaltextrun"/>
                <w:rFonts w:ascii="Verdana" w:hAnsi="Verdana"/>
                <w:sz w:val="16"/>
                <w:szCs w:val="16"/>
              </w:rPr>
              <w:t xml:space="preserve">Analista T2-02 </w:t>
            </w:r>
            <w:r w:rsidRPr="0085426D">
              <w:rPr>
                <w:rStyle w:val="normaltextrun"/>
                <w:rFonts w:ascii="Verdana" w:eastAsia="Arial" w:hAnsi="Verdana" w:cs="Arial"/>
                <w:sz w:val="16"/>
                <w:szCs w:val="16"/>
              </w:rPr>
              <w:t>de la Subdirección de Gestión Contractual</w:t>
            </w:r>
          </w:p>
        </w:tc>
      </w:tr>
      <w:tr w:rsidR="00146D08" w:rsidRPr="001532C8" w14:paraId="593A56F5" w14:textId="77777777" w:rsidTr="00015E11">
        <w:trPr>
          <w:trHeight w:val="330"/>
        </w:trPr>
        <w:tc>
          <w:tcPr>
            <w:tcW w:w="893" w:type="dxa"/>
            <w:vAlign w:val="center"/>
            <w:hideMark/>
          </w:tcPr>
          <w:p w14:paraId="463AF539" w14:textId="77777777" w:rsidR="00146D08" w:rsidRPr="001532C8" w:rsidRDefault="00146D08" w:rsidP="00015E11">
            <w:pPr>
              <w:contextualSpacing/>
              <w:rPr>
                <w:rFonts w:ascii="Verdana" w:hAnsi="Verdana" w:cs="Arial"/>
                <w:sz w:val="16"/>
                <w:szCs w:val="16"/>
                <w:lang w:val="es-ES" w:eastAsia="es-ES"/>
              </w:rPr>
            </w:pPr>
            <w:r w:rsidRPr="001532C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EDE7115" w14:textId="77777777" w:rsidR="00146D08" w:rsidRPr="00610C8B" w:rsidRDefault="00146D08" w:rsidP="00015E11">
            <w:pPr>
              <w:pStyle w:val="paragraph"/>
              <w:spacing w:after="0"/>
              <w:contextualSpacing/>
              <w:textAlignment w:val="baseline"/>
              <w:rPr>
                <w:rStyle w:val="normaltextrun"/>
                <w:rFonts w:ascii="Verdana" w:hAnsi="Verdana" w:cs="Arial"/>
                <w:sz w:val="16"/>
                <w:szCs w:val="16"/>
                <w:lang w:val="es-ES"/>
              </w:rPr>
            </w:pPr>
            <w:r w:rsidRPr="00610C8B">
              <w:rPr>
                <w:rStyle w:val="normaltextrun"/>
                <w:rFonts w:ascii="Verdana" w:hAnsi="Verdana" w:cs="Arial"/>
                <w:sz w:val="16"/>
                <w:szCs w:val="16"/>
                <w:lang w:val="es-ES"/>
              </w:rPr>
              <w:t>Ximena Ríos López</w:t>
            </w:r>
          </w:p>
          <w:p w14:paraId="16A5299E" w14:textId="77777777" w:rsidR="00146D08" w:rsidRPr="001532C8" w:rsidRDefault="00146D08" w:rsidP="00015E11">
            <w:pPr>
              <w:pStyle w:val="paragraph"/>
              <w:spacing w:before="0" w:beforeAutospacing="0" w:after="0" w:afterAutospacing="0"/>
              <w:contextualSpacing/>
              <w:textAlignment w:val="baseline"/>
              <w:rPr>
                <w:rFonts w:ascii="Verdana" w:hAnsi="Verdana" w:cs="Segoe UI"/>
                <w:sz w:val="16"/>
                <w:szCs w:val="16"/>
              </w:rPr>
            </w:pPr>
            <w:r w:rsidRPr="00610C8B">
              <w:rPr>
                <w:rStyle w:val="normaltextrun"/>
                <w:rFonts w:ascii="Verdana" w:hAnsi="Verdana" w:cs="Arial"/>
                <w:sz w:val="16"/>
                <w:szCs w:val="16"/>
                <w:lang w:val="es-ES"/>
              </w:rPr>
              <w:t>Gestor T1-11 de la Subdirección de Gestión Contractual</w:t>
            </w:r>
          </w:p>
        </w:tc>
      </w:tr>
      <w:tr w:rsidR="00146D08" w:rsidRPr="001532C8" w14:paraId="7E444AB3" w14:textId="77777777" w:rsidTr="00015E11">
        <w:trPr>
          <w:trHeight w:val="300"/>
        </w:trPr>
        <w:tc>
          <w:tcPr>
            <w:tcW w:w="893" w:type="dxa"/>
            <w:vAlign w:val="center"/>
          </w:tcPr>
          <w:p w14:paraId="2E26D690" w14:textId="77777777" w:rsidR="00146D08" w:rsidRPr="001532C8" w:rsidRDefault="00146D08" w:rsidP="00015E11">
            <w:pPr>
              <w:contextualSpacing/>
              <w:rPr>
                <w:rFonts w:ascii="Verdana" w:hAnsi="Verdana" w:cs="Arial"/>
                <w:sz w:val="16"/>
                <w:szCs w:val="16"/>
                <w:lang w:val="es-ES" w:eastAsia="es-ES"/>
              </w:rPr>
            </w:pPr>
            <w:r w:rsidRPr="001532C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30218D2" w14:textId="77777777" w:rsidR="00146D08" w:rsidRPr="001532C8" w:rsidRDefault="00146D08" w:rsidP="00015E11">
            <w:pPr>
              <w:contextualSpacing/>
              <w:rPr>
                <w:rFonts w:ascii="Verdana" w:eastAsia="Calibri" w:hAnsi="Verdana" w:cs="Arial"/>
                <w:sz w:val="16"/>
                <w:szCs w:val="16"/>
                <w:lang w:val="pt-BR" w:eastAsia="es-ES"/>
              </w:rPr>
            </w:pPr>
            <w:r w:rsidRPr="001532C8">
              <w:rPr>
                <w:rFonts w:ascii="Verdana" w:eastAsia="Calibri" w:hAnsi="Verdana" w:cs="Arial"/>
                <w:sz w:val="16"/>
                <w:szCs w:val="16"/>
                <w:lang w:val="pt-BR" w:eastAsia="es-ES"/>
              </w:rPr>
              <w:t>Carolina Quintero Gacharná</w:t>
            </w:r>
          </w:p>
          <w:p w14:paraId="227F0735" w14:textId="77777777" w:rsidR="00146D08" w:rsidRPr="001532C8" w:rsidRDefault="00146D08" w:rsidP="00015E11">
            <w:pPr>
              <w:contextualSpacing/>
              <w:rPr>
                <w:rFonts w:ascii="Verdana" w:eastAsia="Calibri" w:hAnsi="Verdana" w:cs="Arial"/>
                <w:sz w:val="16"/>
                <w:szCs w:val="16"/>
                <w:lang w:val="pt-BR" w:eastAsia="es-ES"/>
              </w:rPr>
            </w:pPr>
            <w:r w:rsidRPr="001532C8">
              <w:rPr>
                <w:rFonts w:ascii="Verdana" w:eastAsia="Calibri" w:hAnsi="Verdana" w:cs="Arial"/>
                <w:sz w:val="16"/>
                <w:szCs w:val="16"/>
                <w:lang w:eastAsia="es-ES"/>
              </w:rPr>
              <w:t>Subdirectora</w:t>
            </w:r>
            <w:r w:rsidRPr="001532C8">
              <w:rPr>
                <w:rFonts w:ascii="Verdana" w:eastAsia="Calibri" w:hAnsi="Verdana" w:cs="Arial"/>
                <w:sz w:val="16"/>
                <w:szCs w:val="16"/>
                <w:lang w:val="pt-BR" w:eastAsia="es-ES"/>
              </w:rPr>
              <w:t xml:space="preserve"> de Gestión Contractual ANCP – CCE</w:t>
            </w:r>
          </w:p>
        </w:tc>
      </w:tr>
    </w:tbl>
    <w:p w14:paraId="1CF2BC0D" w14:textId="77777777" w:rsidR="00146D08" w:rsidRPr="001532C8" w:rsidRDefault="00146D08" w:rsidP="00146D08">
      <w:pPr>
        <w:spacing w:after="0" w:line="240" w:lineRule="auto"/>
        <w:rPr>
          <w:rFonts w:ascii="Verdana" w:eastAsia="Times New Roman" w:hAnsi="Verdana" w:cs="Arial"/>
          <w:sz w:val="24"/>
          <w:szCs w:val="24"/>
          <w:lang w:eastAsia="es-ES"/>
        </w:rPr>
      </w:pPr>
    </w:p>
    <w:p w14:paraId="2724FE7D" w14:textId="77777777" w:rsidR="00146D08" w:rsidRPr="001532C8" w:rsidRDefault="00146D08" w:rsidP="00146D08">
      <w:pPr>
        <w:rPr>
          <w:rFonts w:ascii="Verdana" w:hAnsi="Verdana"/>
        </w:rPr>
      </w:pPr>
    </w:p>
    <w:p w14:paraId="3900974D" w14:textId="77777777" w:rsidR="003D5B0D" w:rsidRPr="00146D08" w:rsidRDefault="003D5B0D" w:rsidP="00146D08"/>
    <w:sectPr w:rsidR="003D5B0D" w:rsidRPr="00146D08"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11674" w14:textId="77777777" w:rsidR="00AD5A6F" w:rsidRDefault="00AD5A6F" w:rsidP="004A1847">
      <w:pPr>
        <w:spacing w:after="0" w:line="240" w:lineRule="auto"/>
      </w:pPr>
      <w:r>
        <w:separator/>
      </w:r>
    </w:p>
  </w:endnote>
  <w:endnote w:type="continuationSeparator" w:id="0">
    <w:p w14:paraId="2FB1D2EE" w14:textId="77777777" w:rsidR="00AD5A6F" w:rsidRDefault="00AD5A6F" w:rsidP="004A1847">
      <w:pPr>
        <w:spacing w:after="0" w:line="240" w:lineRule="auto"/>
      </w:pPr>
      <w:r>
        <w:continuationSeparator/>
      </w:r>
    </w:p>
  </w:endnote>
  <w:endnote w:type="continuationNotice" w:id="1">
    <w:p w14:paraId="187C6BB3" w14:textId="77777777" w:rsidR="00AD5A6F" w:rsidRDefault="00AD5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3B734" w14:textId="77777777" w:rsidR="00AD5A6F" w:rsidRDefault="00AD5A6F" w:rsidP="004A1847">
      <w:pPr>
        <w:spacing w:after="0" w:line="240" w:lineRule="auto"/>
      </w:pPr>
      <w:r>
        <w:separator/>
      </w:r>
    </w:p>
  </w:footnote>
  <w:footnote w:type="continuationSeparator" w:id="0">
    <w:p w14:paraId="0127FD79" w14:textId="77777777" w:rsidR="00AD5A6F" w:rsidRDefault="00AD5A6F" w:rsidP="004A1847">
      <w:pPr>
        <w:spacing w:after="0" w:line="240" w:lineRule="auto"/>
      </w:pPr>
      <w:r>
        <w:continuationSeparator/>
      </w:r>
    </w:p>
  </w:footnote>
  <w:footnote w:type="continuationNotice" w:id="1">
    <w:p w14:paraId="3762F96D" w14:textId="77777777" w:rsidR="00AD5A6F" w:rsidRDefault="00AD5A6F">
      <w:pPr>
        <w:spacing w:after="0" w:line="240" w:lineRule="auto"/>
      </w:pPr>
    </w:p>
  </w:footnote>
  <w:footnote w:id="2">
    <w:p w14:paraId="180A2FDA" w14:textId="77777777" w:rsidR="00146D08" w:rsidRPr="00D171F5" w:rsidRDefault="00146D08" w:rsidP="00146D08">
      <w:pPr>
        <w:pStyle w:val="Textonotapie"/>
        <w:ind w:firstLine="709"/>
        <w:contextualSpacing/>
        <w:jc w:val="both"/>
        <w:rPr>
          <w:rFonts w:ascii="Verdana" w:hAnsi="Verdana" w:cs="Arial"/>
          <w:color w:val="000000"/>
          <w:sz w:val="14"/>
          <w:szCs w:val="14"/>
        </w:rPr>
      </w:pPr>
      <w:r w:rsidRPr="00D171F5">
        <w:rPr>
          <w:rStyle w:val="Refdenotaalpie"/>
          <w:rFonts w:ascii="Verdana" w:hAnsi="Verdana" w:cs="Arial"/>
          <w:sz w:val="14"/>
          <w:szCs w:val="14"/>
        </w:rPr>
        <w:footnoteRef/>
      </w:r>
      <w:r w:rsidRPr="00D171F5">
        <w:rPr>
          <w:rFonts w:ascii="Verdana" w:hAnsi="Verdana" w:cs="Arial"/>
          <w:sz w:val="14"/>
          <w:szCs w:val="14"/>
        </w:rPr>
        <w:t xml:space="preserve"> Decreto 1068 de 2015: “</w:t>
      </w:r>
      <w:r w:rsidRPr="00D171F5">
        <w:rPr>
          <w:rFonts w:ascii="Verdana" w:hAnsi="Verdana" w:cs="Arial"/>
          <w:color w:val="000000"/>
          <w:sz w:val="14"/>
          <w:szCs w:val="14"/>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59DA87D9" w14:textId="77777777" w:rsidR="00146D08" w:rsidRPr="00D171F5" w:rsidRDefault="00146D08" w:rsidP="00146D08">
      <w:pPr>
        <w:pStyle w:val="Textonotapie"/>
        <w:ind w:firstLine="709"/>
        <w:contextualSpacing/>
        <w:jc w:val="both"/>
        <w:rPr>
          <w:rFonts w:ascii="Verdana" w:hAnsi="Verdana" w:cs="Arial"/>
          <w:color w:val="000000"/>
          <w:sz w:val="14"/>
          <w:szCs w:val="14"/>
        </w:rPr>
      </w:pPr>
      <w:r w:rsidRPr="00D171F5">
        <w:rPr>
          <w:rFonts w:ascii="Verdana" w:hAnsi="Verdana" w:cs="Arial"/>
          <w:color w:val="000000"/>
          <w:sz w:val="14"/>
          <w:szCs w:val="14"/>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2F9A7EE1" w14:textId="77777777" w:rsidR="00146D08" w:rsidRPr="00D171F5" w:rsidRDefault="00146D08" w:rsidP="00146D08">
      <w:pPr>
        <w:pStyle w:val="Textonotapie"/>
        <w:ind w:firstLine="708"/>
        <w:contextualSpacing/>
        <w:jc w:val="both"/>
        <w:rPr>
          <w:rFonts w:ascii="Verdana" w:hAnsi="Verdana" w:cs="Arial"/>
          <w:sz w:val="14"/>
          <w:szCs w:val="14"/>
        </w:rPr>
      </w:pPr>
      <w:r w:rsidRPr="00D171F5">
        <w:rPr>
          <w:rFonts w:ascii="Verdana" w:hAnsi="Verdana" w:cs="Arial"/>
          <w:color w:val="000000"/>
          <w:sz w:val="14"/>
          <w:szCs w:val="14"/>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sidRPr="00D171F5">
        <w:rPr>
          <w:rFonts w:ascii="Verdana" w:hAnsi="Verdana" w:cs="Arial"/>
          <w:sz w:val="14"/>
          <w:szCs w:val="14"/>
        </w:rPr>
        <w:t xml:space="preserve"> </w:t>
      </w:r>
    </w:p>
  </w:footnote>
  <w:footnote w:id="3">
    <w:p w14:paraId="5502388E" w14:textId="77777777" w:rsidR="00146D08" w:rsidRPr="00D171F5" w:rsidRDefault="00146D08" w:rsidP="00146D08">
      <w:pPr>
        <w:pStyle w:val="Textonotapie"/>
        <w:ind w:firstLine="709"/>
        <w:contextualSpacing/>
        <w:jc w:val="both"/>
        <w:rPr>
          <w:rFonts w:ascii="Verdana" w:hAnsi="Verdana" w:cs="Arial"/>
          <w:color w:val="000000"/>
          <w:sz w:val="14"/>
          <w:szCs w:val="14"/>
        </w:rPr>
      </w:pPr>
    </w:p>
    <w:p w14:paraId="51408FFA"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34E05558"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“2. Quien presta el servicio se denomina trabajador, quien lo recibe y remunera, empleador, y la remuneración, cualquiera que sea su forma, salario”.</w:t>
      </w:r>
    </w:p>
    <w:p w14:paraId="1D36DD8C"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p>
  </w:footnote>
  <w:footnote w:id="4">
    <w:p w14:paraId="5CDE0FC3"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CORTE CONSTITUCIONAL. Sentencia C-154 de 1997. Magistrado Ponente: Hernando Herrera Vergara.</w:t>
      </w:r>
    </w:p>
    <w:p w14:paraId="4E0F85C1"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p>
  </w:footnote>
  <w:footnote w:id="5">
    <w:p w14:paraId="448B15C1"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Ibid.</w:t>
      </w:r>
    </w:p>
  </w:footnote>
  <w:footnote w:id="6">
    <w:p w14:paraId="26CE6262" w14:textId="77777777" w:rsidR="00146D08" w:rsidRPr="00D171F5" w:rsidRDefault="00146D08" w:rsidP="00146D08">
      <w:pPr>
        <w:pStyle w:val="Textonotapie"/>
        <w:ind w:firstLine="709"/>
        <w:contextualSpacing/>
        <w:jc w:val="both"/>
        <w:rPr>
          <w:rFonts w:ascii="Verdana" w:hAnsi="Verdana" w:cs="Arial"/>
          <w:color w:val="000000"/>
          <w:sz w:val="14"/>
          <w:szCs w:val="14"/>
        </w:rPr>
      </w:pPr>
    </w:p>
    <w:p w14:paraId="56A11833"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D2A4B1E"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A90C1FF"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“La Entidad Estatal, para la contratación de trabajos artísticos que solamente puedan en­comendarse a determinadas personas naturales, debe justificar esta situación en los estudios y documentos previos”.</w:t>
      </w:r>
    </w:p>
  </w:footnote>
  <w:footnote w:id="7">
    <w:p w14:paraId="7E6F3677" w14:textId="77777777" w:rsidR="00146D08" w:rsidRPr="00D171F5" w:rsidRDefault="00146D08" w:rsidP="00146D08">
      <w:pPr>
        <w:pStyle w:val="Textonotapie"/>
        <w:ind w:firstLine="709"/>
        <w:contextualSpacing/>
        <w:jc w:val="both"/>
        <w:rPr>
          <w:rFonts w:ascii="Verdana" w:hAnsi="Verdana" w:cs="Arial"/>
          <w:color w:val="000000"/>
          <w:sz w:val="14"/>
          <w:szCs w:val="14"/>
        </w:rPr>
      </w:pPr>
    </w:p>
    <w:p w14:paraId="0B89637A"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CONSEJO DE ESTADO. Sección Tercera. Subsección C. Sentencia del 2 de diciembre de 2013. Exp. 41719. Consejero Ponente: Jaime Orlando Santofimio Gamboa.</w:t>
      </w:r>
    </w:p>
  </w:footnote>
  <w:footnote w:id="8">
    <w:p w14:paraId="30B9F6B2" w14:textId="77777777" w:rsidR="00146D08" w:rsidRPr="00D171F5" w:rsidRDefault="00146D08" w:rsidP="00146D08">
      <w:pPr>
        <w:pStyle w:val="Textonotapie"/>
        <w:ind w:firstLine="709"/>
        <w:contextualSpacing/>
        <w:jc w:val="both"/>
        <w:rPr>
          <w:rFonts w:ascii="Verdana" w:hAnsi="Verdana" w:cs="Arial"/>
          <w:color w:val="000000"/>
          <w:sz w:val="14"/>
          <w:szCs w:val="14"/>
        </w:rPr>
      </w:pPr>
    </w:p>
    <w:p w14:paraId="6939C70E"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Ibid.</w:t>
      </w:r>
    </w:p>
    <w:p w14:paraId="68964D5C"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p>
  </w:footnote>
  <w:footnote w:id="9">
    <w:p w14:paraId="6922A420"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Ibid.</w:t>
      </w:r>
    </w:p>
    <w:p w14:paraId="70FF5A6E"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p>
  </w:footnote>
  <w:footnote w:id="10">
    <w:p w14:paraId="0F3D2301"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Ibid.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774865A"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“Son también contratos de consultoría los que tienen por objeto la interventoría, asesoría, gerencia de obra o de proyectos, dirección, programación y la ejecución de diseños, planos, anteproyectos y proyectos.</w:t>
      </w:r>
    </w:p>
    <w:p w14:paraId="0C52EBE3"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643017FD"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p>
  </w:footnote>
  <w:footnote w:id="11">
    <w:p w14:paraId="24152B6A"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Así lo prevé el artículo 2.2.1.2.1.4.1. del Decreto 1082 de 2015: “La Entidad Estatal debe señalar en un acto administrativo la justificación para contratar bajo la modalidad de contratación directa, el cual debe contener:</w:t>
      </w:r>
    </w:p>
    <w:p w14:paraId="5B2F4790"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“1. La causal que invoca para contratar directamente.</w:t>
      </w:r>
    </w:p>
    <w:p w14:paraId="3FD95925"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“2. El objeto del contrato.</w:t>
      </w:r>
    </w:p>
    <w:p w14:paraId="103DC79F"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“3. El presupuesto para la contratación y las condiciones que exigirá al contratista.</w:t>
      </w:r>
    </w:p>
    <w:p w14:paraId="2D1FD6CF"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“4. El lugar en el cual los interesados pueden consultar los estudios y documentos previos.</w:t>
      </w:r>
    </w:p>
    <w:p w14:paraId="398097F2"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551E31A" w14:textId="77777777" w:rsidR="00146D08" w:rsidRPr="00D171F5" w:rsidRDefault="00146D08" w:rsidP="00146D08">
      <w:pPr>
        <w:pStyle w:val="Textonotapie"/>
        <w:ind w:firstLine="709"/>
        <w:contextualSpacing/>
        <w:jc w:val="both"/>
        <w:rPr>
          <w:rFonts w:ascii="Verdana" w:hAnsi="Verdana" w:cs="Arial"/>
          <w:color w:val="000000"/>
          <w:sz w:val="14"/>
          <w:szCs w:val="14"/>
        </w:rPr>
      </w:pPr>
    </w:p>
    <w:p w14:paraId="01821B2A"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Esta norma expresa: “</w:t>
      </w:r>
      <w:r w:rsidRPr="00D171F5">
        <w:rPr>
          <w:rFonts w:ascii="Verdana" w:hAnsi="Verdana" w:cs="Arial"/>
          <w:color w:val="000000"/>
          <w:sz w:val="14"/>
          <w:szCs w:val="14"/>
        </w:rPr>
        <w:t>P</w:t>
      </w:r>
      <w:r w:rsidRPr="00D171F5">
        <w:rPr>
          <w:rFonts w:ascii="Verdana" w:hAnsi="Verdana" w:cs="Arial"/>
          <w:color w:val="000000"/>
          <w:sz w:val="14"/>
          <w:szCs w:val="14"/>
          <w:lang w:val="es-ES"/>
        </w:rPr>
        <w:t>ara el cumplimiento de los fines de la contratación, las entidades estatales al celebrar un contrato:</w:t>
      </w:r>
    </w:p>
    <w:p w14:paraId="7758CF01"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w:t>
      </w:r>
    </w:p>
    <w:p w14:paraId="250A54C6"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862F53E"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“Las entidades estatales podrán pactar estas cláusulas en los contratos de suministro y de prestación de servicios.</w:t>
      </w:r>
    </w:p>
    <w:p w14:paraId="2766FFAD"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Fonts w:ascii="Verdana" w:hAnsi="Verdana" w:cs="Arial"/>
          <w:color w:val="000000"/>
          <w:sz w:val="14"/>
          <w:szCs w:val="14"/>
          <w:lang w:val="es-ES"/>
        </w:rPr>
        <w:t>[…]”.</w:t>
      </w:r>
    </w:p>
  </w:footnote>
  <w:footnote w:id="13">
    <w:p w14:paraId="356B5382" w14:textId="77777777" w:rsidR="00146D08" w:rsidRPr="00D171F5" w:rsidRDefault="00146D08" w:rsidP="00146D08">
      <w:pPr>
        <w:pStyle w:val="Textonotapie"/>
        <w:ind w:firstLine="709"/>
        <w:contextualSpacing/>
        <w:jc w:val="both"/>
        <w:rPr>
          <w:rFonts w:ascii="Verdana" w:hAnsi="Verdana" w:cs="Arial"/>
          <w:color w:val="000000"/>
          <w:sz w:val="14"/>
          <w:szCs w:val="14"/>
        </w:rPr>
      </w:pPr>
    </w:p>
    <w:p w14:paraId="716F7CE3"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La norma dispone: “La liquidación a que se refiere el presente artículo no será obligatoria en los contratos de prestación de servicios profesionales y de apoyo a la gestión”.</w:t>
      </w:r>
    </w:p>
    <w:p w14:paraId="5D17086C"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p>
  </w:footnote>
  <w:footnote w:id="14">
    <w:p w14:paraId="57AB1018" w14:textId="77777777" w:rsidR="00146D08" w:rsidRPr="00D171F5" w:rsidRDefault="00146D08" w:rsidP="00146D08">
      <w:pPr>
        <w:pStyle w:val="Textonotapie"/>
        <w:ind w:firstLine="709"/>
        <w:contextualSpacing/>
        <w:jc w:val="both"/>
        <w:rPr>
          <w:rFonts w:ascii="Verdana" w:hAnsi="Verdana" w:cs="Arial"/>
          <w:color w:val="000000"/>
          <w:sz w:val="14"/>
          <w:szCs w:val="14"/>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8954208" w14:textId="77777777" w:rsidR="00146D08" w:rsidRPr="00D171F5" w:rsidRDefault="00146D08" w:rsidP="00146D08">
      <w:pPr>
        <w:pStyle w:val="Textonotapie"/>
        <w:ind w:firstLine="709"/>
        <w:contextualSpacing/>
        <w:jc w:val="both"/>
        <w:rPr>
          <w:rFonts w:ascii="Verdana" w:hAnsi="Verdana" w:cs="Arial"/>
          <w:color w:val="000000"/>
          <w:sz w:val="14"/>
          <w:szCs w:val="14"/>
        </w:rPr>
      </w:pPr>
      <w:r w:rsidRPr="00D171F5">
        <w:rPr>
          <w:rFonts w:ascii="Verdana" w:hAnsi="Verdana" w:cs="Arial"/>
          <w:color w:val="000000"/>
          <w:sz w:val="14"/>
          <w:szCs w:val="14"/>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1131A86" w14:textId="77777777" w:rsidR="00146D08" w:rsidRPr="00D171F5" w:rsidRDefault="00146D08" w:rsidP="00146D08">
      <w:pPr>
        <w:pStyle w:val="Textonotapie"/>
        <w:ind w:firstLine="709"/>
        <w:contextualSpacing/>
        <w:jc w:val="both"/>
        <w:rPr>
          <w:rFonts w:ascii="Verdana" w:hAnsi="Verdana" w:cs="Arial"/>
          <w:color w:val="000000"/>
          <w:sz w:val="14"/>
          <w:szCs w:val="14"/>
        </w:rPr>
      </w:pPr>
      <w:r w:rsidRPr="00D171F5">
        <w:rPr>
          <w:rFonts w:ascii="Verdana" w:hAnsi="Verdana" w:cs="Arial"/>
          <w:color w:val="000000"/>
          <w:sz w:val="14"/>
          <w:szCs w:val="14"/>
        </w:rPr>
        <w:t>[…]”.</w:t>
      </w:r>
    </w:p>
    <w:p w14:paraId="04ED7CEC" w14:textId="77777777" w:rsidR="00146D08" w:rsidRPr="00D171F5" w:rsidRDefault="00146D08" w:rsidP="00146D08">
      <w:pPr>
        <w:pStyle w:val="Textonotapie"/>
        <w:ind w:firstLine="709"/>
        <w:contextualSpacing/>
        <w:jc w:val="both"/>
        <w:rPr>
          <w:rFonts w:ascii="Verdana" w:hAnsi="Verdana" w:cs="Arial"/>
          <w:color w:val="000000"/>
          <w:sz w:val="14"/>
          <w:szCs w:val="14"/>
        </w:rPr>
      </w:pPr>
    </w:p>
  </w:footnote>
  <w:footnote w:id="15">
    <w:p w14:paraId="25DE0F20"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r w:rsidRPr="00D171F5">
        <w:rPr>
          <w:rStyle w:val="Refdenotaalpie"/>
          <w:rFonts w:ascii="Verdana" w:hAnsi="Verdana" w:cs="Arial"/>
          <w:color w:val="000000"/>
          <w:sz w:val="14"/>
          <w:szCs w:val="14"/>
        </w:rPr>
        <w:footnoteRef/>
      </w:r>
      <w:r w:rsidRPr="00D171F5">
        <w:rPr>
          <w:rFonts w:ascii="Verdana" w:hAnsi="Verdana" w:cs="Arial"/>
          <w:color w:val="000000"/>
          <w:sz w:val="14"/>
          <w:szCs w:val="14"/>
        </w:rPr>
        <w:t xml:space="preserve"> </w:t>
      </w:r>
      <w:r w:rsidRPr="00D171F5">
        <w:rPr>
          <w:rFonts w:ascii="Verdana" w:hAnsi="Verdana" w:cs="Arial"/>
          <w:color w:val="000000"/>
          <w:sz w:val="14"/>
          <w:szCs w:val="14"/>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52F70A9A" w14:textId="77777777" w:rsidR="00146D08" w:rsidRPr="00D171F5" w:rsidRDefault="00146D08" w:rsidP="00146D08">
      <w:pPr>
        <w:pStyle w:val="Textonotapie"/>
        <w:ind w:firstLine="709"/>
        <w:contextualSpacing/>
        <w:jc w:val="both"/>
        <w:rPr>
          <w:rFonts w:ascii="Verdana" w:hAnsi="Verdana" w:cs="Arial"/>
          <w:color w:val="000000"/>
          <w:sz w:val="14"/>
          <w:szCs w:val="14"/>
          <w:lang w:val="es-ES"/>
        </w:rPr>
      </w:pPr>
    </w:p>
  </w:footnote>
  <w:footnote w:id="16">
    <w:p w14:paraId="46C9B619" w14:textId="77777777" w:rsidR="00F31A35" w:rsidRPr="00D171F5" w:rsidRDefault="00F31A35" w:rsidP="00F31A35">
      <w:pPr>
        <w:spacing w:after="0" w:line="240" w:lineRule="auto"/>
        <w:ind w:firstLine="707"/>
        <w:contextualSpacing/>
        <w:jc w:val="both"/>
        <w:rPr>
          <w:rFonts w:ascii="Verdana" w:hAnsi="Verdana" w:cs="Arial"/>
          <w:sz w:val="14"/>
          <w:szCs w:val="14"/>
        </w:rPr>
      </w:pPr>
      <w:r w:rsidRPr="00D171F5">
        <w:rPr>
          <w:rStyle w:val="Refdenotaalpie"/>
          <w:rFonts w:ascii="Verdana" w:hAnsi="Verdana" w:cs="Arial"/>
          <w:sz w:val="14"/>
          <w:szCs w:val="14"/>
        </w:rPr>
        <w:footnoteRef/>
      </w:r>
      <w:r w:rsidRPr="00D171F5">
        <w:rPr>
          <w:rFonts w:ascii="Verdana" w:hAnsi="Verdana" w:cs="Arial"/>
          <w:position w:val="6"/>
          <w:sz w:val="14"/>
          <w:szCs w:val="14"/>
        </w:rPr>
        <w:t xml:space="preserve"> </w:t>
      </w:r>
      <w:r w:rsidRPr="00D171F5">
        <w:rPr>
          <w:rFonts w:ascii="Verdana" w:hAnsi="Verdana" w:cs="Arial"/>
          <w:sz w:val="14"/>
          <w:szCs w:val="14"/>
        </w:rPr>
        <w:t>DEIK ACOSTAMADIEDO, Carolina, Guía de Contratación Estatal: Deber de planeación y modalidades de selección, Buenos Aires, 2015, p. 59.</w:t>
      </w:r>
    </w:p>
    <w:p w14:paraId="435BB4AC" w14:textId="77777777" w:rsidR="00F31A35" w:rsidRPr="00D171F5" w:rsidRDefault="00F31A35" w:rsidP="00F31A35">
      <w:pPr>
        <w:pStyle w:val="Textonotapie"/>
        <w:contextualSpacing/>
        <w:jc w:val="both"/>
        <w:rPr>
          <w:rFonts w:ascii="Verdana" w:hAnsi="Verdana" w:cs="Arial"/>
          <w:sz w:val="14"/>
          <w:szCs w:val="14"/>
        </w:rPr>
      </w:pPr>
    </w:p>
  </w:footnote>
  <w:footnote w:id="17">
    <w:p w14:paraId="302F114A" w14:textId="77777777" w:rsidR="00F31A35" w:rsidRPr="00D171F5" w:rsidRDefault="00F31A35" w:rsidP="00F31A35">
      <w:pPr>
        <w:pStyle w:val="Textonotapie"/>
        <w:ind w:firstLine="707"/>
        <w:jc w:val="both"/>
        <w:rPr>
          <w:rFonts w:ascii="Verdana" w:hAnsi="Verdana" w:cs="Arial"/>
          <w:sz w:val="14"/>
          <w:szCs w:val="14"/>
          <w:lang w:val="es-CO"/>
        </w:rPr>
      </w:pPr>
      <w:r w:rsidRPr="00D171F5">
        <w:rPr>
          <w:rStyle w:val="Refdenotaalpie"/>
          <w:rFonts w:ascii="Verdana" w:hAnsi="Verdana" w:cs="Arial"/>
          <w:sz w:val="14"/>
          <w:szCs w:val="14"/>
        </w:rPr>
        <w:footnoteRef/>
      </w:r>
      <w:r w:rsidRPr="00D171F5">
        <w:rPr>
          <w:rFonts w:ascii="Verdana" w:hAnsi="Verdana" w:cs="Arial"/>
          <w:sz w:val="14"/>
          <w:szCs w:val="14"/>
        </w:rPr>
        <w:t>“Artículo 2.2.1.1.2.1.1.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footnote>
  <w:footnote w:id="18">
    <w:p w14:paraId="18B6FF74" w14:textId="77777777" w:rsidR="00F31A35" w:rsidRPr="00D171F5" w:rsidRDefault="00F31A35" w:rsidP="00F31A35">
      <w:pPr>
        <w:pStyle w:val="Textonotapie"/>
        <w:ind w:firstLine="708"/>
        <w:jc w:val="both"/>
        <w:rPr>
          <w:rFonts w:ascii="Verdana" w:hAnsi="Verdana" w:cs="Arial"/>
          <w:sz w:val="14"/>
          <w:szCs w:val="14"/>
        </w:rPr>
      </w:pPr>
      <w:r w:rsidRPr="00D171F5">
        <w:rPr>
          <w:rStyle w:val="Refdenotaalpie"/>
          <w:rFonts w:ascii="Verdana" w:hAnsi="Verdana" w:cs="Arial"/>
          <w:sz w:val="14"/>
          <w:szCs w:val="14"/>
        </w:rPr>
        <w:footnoteRef/>
      </w:r>
      <w:r w:rsidRPr="00D171F5">
        <w:rPr>
          <w:rFonts w:ascii="Verdana" w:hAnsi="Verdana" w:cs="Arial"/>
          <w:sz w:val="14"/>
          <w:szCs w:val="14"/>
        </w:rPr>
        <w:t xml:space="preserve"> Consejo de Estado. Sección Tercera. Subsección B. Sentencia del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3F72C820" w14:textId="77777777" w:rsidR="00F31A35" w:rsidRPr="00D171F5" w:rsidRDefault="00F31A35" w:rsidP="00F31A35">
      <w:pPr>
        <w:pStyle w:val="Textonotapie"/>
        <w:ind w:firstLine="708"/>
        <w:jc w:val="both"/>
        <w:rPr>
          <w:rFonts w:ascii="Verdana" w:hAnsi="Verdana" w:cs="Arial"/>
          <w:sz w:val="14"/>
          <w:szCs w:val="14"/>
          <w:lang w:val="es-CO"/>
        </w:rPr>
      </w:pPr>
    </w:p>
  </w:footnote>
  <w:footnote w:id="19">
    <w:p w14:paraId="31745C4D" w14:textId="77777777" w:rsidR="00F31A35" w:rsidRPr="00D171F5" w:rsidRDefault="00F31A35" w:rsidP="00F31A35">
      <w:pPr>
        <w:pStyle w:val="Textonotapie"/>
        <w:ind w:firstLine="708"/>
        <w:jc w:val="both"/>
        <w:rPr>
          <w:rFonts w:ascii="Verdana" w:hAnsi="Verdana" w:cs="Arial"/>
          <w:sz w:val="14"/>
          <w:szCs w:val="14"/>
        </w:rPr>
      </w:pPr>
      <w:r w:rsidRPr="00D171F5">
        <w:rPr>
          <w:rStyle w:val="Refdenotaalpie"/>
          <w:rFonts w:ascii="Verdana" w:hAnsi="Verdana" w:cs="Arial"/>
          <w:sz w:val="14"/>
          <w:szCs w:val="14"/>
        </w:rPr>
        <w:footnoteRef/>
      </w:r>
      <w:r w:rsidRPr="00D171F5">
        <w:rPr>
          <w:rFonts w:ascii="Verdana" w:hAnsi="Verdana" w:cs="Arial"/>
          <w:sz w:val="14"/>
          <w:szCs w:val="14"/>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5805C64B" w14:textId="77777777" w:rsidR="00F31A35" w:rsidRPr="00D171F5" w:rsidRDefault="00F31A35" w:rsidP="00F31A35">
      <w:pPr>
        <w:pStyle w:val="Textonotapie"/>
        <w:ind w:firstLine="708"/>
        <w:jc w:val="both"/>
        <w:rPr>
          <w:rFonts w:ascii="Verdana" w:hAnsi="Verdana" w:cs="Arial"/>
          <w:sz w:val="14"/>
          <w:szCs w:val="14"/>
          <w:lang w:val="es-CO"/>
        </w:rPr>
      </w:pPr>
    </w:p>
  </w:footnote>
  <w:footnote w:id="20">
    <w:p w14:paraId="709520A8" w14:textId="77777777" w:rsidR="00F31A35" w:rsidRPr="00D171F5" w:rsidRDefault="00F31A35" w:rsidP="00F31A35">
      <w:pPr>
        <w:pStyle w:val="Textonotapie"/>
        <w:ind w:firstLine="708"/>
        <w:jc w:val="both"/>
        <w:rPr>
          <w:rFonts w:ascii="Verdana" w:hAnsi="Verdana" w:cs="Arial"/>
          <w:sz w:val="14"/>
          <w:szCs w:val="14"/>
          <w:lang w:val="es-CO"/>
        </w:rPr>
      </w:pPr>
      <w:r w:rsidRPr="00D171F5">
        <w:rPr>
          <w:rStyle w:val="Refdenotaalpie"/>
          <w:rFonts w:ascii="Verdana" w:hAnsi="Verdana" w:cs="Arial"/>
          <w:sz w:val="14"/>
          <w:szCs w:val="14"/>
        </w:rPr>
        <w:footnoteRef/>
      </w:r>
      <w:r w:rsidRPr="00D171F5">
        <w:rPr>
          <w:rFonts w:ascii="Verdana" w:hAnsi="Verdana" w:cs="Arial"/>
          <w:sz w:val="14"/>
          <w:szCs w:val="14"/>
        </w:rPr>
        <w:t xml:space="preserve"> Agencia Nacional de Contratación Pública – Colombia Compra Eficiente. Guía de Elaboración de Estudios del Sector. Disponible en: </w:t>
      </w:r>
      <w:hyperlink r:id="rId1" w:history="1">
        <w:r w:rsidRPr="00D171F5">
          <w:rPr>
            <w:rStyle w:val="Hipervnculo"/>
            <w:rFonts w:ascii="Verdana" w:hAnsi="Verdana" w:cs="Arial"/>
            <w:sz w:val="14"/>
            <w:szCs w:val="14"/>
          </w:rPr>
          <w:t>https://www.colombiacompra.gov.co/manualesguias-y-pliegos-tipo/manuales-y-guias</w:t>
        </w:r>
      </w:hyperlink>
      <w:r w:rsidRPr="00D171F5">
        <w:rPr>
          <w:rFonts w:ascii="Verdana" w:hAnsi="Verdana" w:cs="Arial"/>
          <w:sz w:val="14"/>
          <w:szCs w:val="14"/>
        </w:rPr>
        <w:t xml:space="preserve">. </w:t>
      </w:r>
    </w:p>
  </w:footnote>
  <w:footnote w:id="21">
    <w:p w14:paraId="3D81F434" w14:textId="77777777" w:rsidR="003D17F3" w:rsidRPr="000405DB" w:rsidRDefault="003D17F3" w:rsidP="003D17F3">
      <w:pPr>
        <w:pStyle w:val="Textonotapie"/>
        <w:ind w:firstLine="708"/>
        <w:jc w:val="both"/>
        <w:rPr>
          <w:rFonts w:ascii="Verdana" w:hAnsi="Verdana"/>
          <w:sz w:val="10"/>
          <w:szCs w:val="10"/>
          <w:lang w:val="es-CO"/>
        </w:rPr>
      </w:pPr>
      <w:r w:rsidRPr="000405DB">
        <w:rPr>
          <w:rStyle w:val="Refdenotaalpie"/>
          <w:rFonts w:ascii="Verdana" w:hAnsi="Verdana"/>
          <w:sz w:val="10"/>
          <w:szCs w:val="10"/>
        </w:rPr>
        <w:footnoteRef/>
      </w:r>
      <w:r w:rsidRPr="000405DB">
        <w:rPr>
          <w:rFonts w:ascii="Verdana" w:hAnsi="Verdana"/>
          <w:sz w:val="10"/>
          <w:szCs w:val="10"/>
        </w:rPr>
        <w:t xml:space="preserve"> Colombia Compra Eficiente, Guía de Elaboración de Estudios de Sector - GEES del 24 de junio de 2022. Pág.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0F4636"/>
    <w:multiLevelType w:val="hybridMultilevel"/>
    <w:tmpl w:val="806AD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C1540F"/>
    <w:multiLevelType w:val="hybridMultilevel"/>
    <w:tmpl w:val="0CAA16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662CED"/>
    <w:multiLevelType w:val="hybridMultilevel"/>
    <w:tmpl w:val="6CA687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866E4D"/>
    <w:multiLevelType w:val="hybridMultilevel"/>
    <w:tmpl w:val="AB82402C"/>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341274352">
    <w:abstractNumId w:val="0"/>
  </w:num>
  <w:num w:numId="17" w16cid:durableId="679089576">
    <w:abstractNumId w:val="12"/>
  </w:num>
  <w:num w:numId="18" w16cid:durableId="323240726">
    <w:abstractNumId w:val="18"/>
  </w:num>
  <w:num w:numId="19" w16cid:durableId="894973272">
    <w:abstractNumId w:val="11"/>
  </w:num>
  <w:num w:numId="20" w16cid:durableId="1456486957">
    <w:abstractNumId w:val="4"/>
  </w:num>
  <w:num w:numId="21" w16cid:durableId="894588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535EF"/>
    <w:rsid w:val="00061B2A"/>
    <w:rsid w:val="00065BF0"/>
    <w:rsid w:val="00082362"/>
    <w:rsid w:val="000867C3"/>
    <w:rsid w:val="000A683E"/>
    <w:rsid w:val="000B19B9"/>
    <w:rsid w:val="000D0334"/>
    <w:rsid w:val="000F6486"/>
    <w:rsid w:val="00125105"/>
    <w:rsid w:val="00127233"/>
    <w:rsid w:val="00146D08"/>
    <w:rsid w:val="00150882"/>
    <w:rsid w:val="001511A0"/>
    <w:rsid w:val="00156E33"/>
    <w:rsid w:val="001635E5"/>
    <w:rsid w:val="001649F1"/>
    <w:rsid w:val="00174A04"/>
    <w:rsid w:val="00182F53"/>
    <w:rsid w:val="001837EB"/>
    <w:rsid w:val="001D6327"/>
    <w:rsid w:val="001E4177"/>
    <w:rsid w:val="001F7DC6"/>
    <w:rsid w:val="00206510"/>
    <w:rsid w:val="0023511F"/>
    <w:rsid w:val="002421BB"/>
    <w:rsid w:val="0025796E"/>
    <w:rsid w:val="002707A2"/>
    <w:rsid w:val="002951A0"/>
    <w:rsid w:val="002962BC"/>
    <w:rsid w:val="002A093D"/>
    <w:rsid w:val="002A0DD0"/>
    <w:rsid w:val="002A49AC"/>
    <w:rsid w:val="002A64FD"/>
    <w:rsid w:val="002C7A84"/>
    <w:rsid w:val="002E4FD9"/>
    <w:rsid w:val="00322A85"/>
    <w:rsid w:val="00324168"/>
    <w:rsid w:val="00331417"/>
    <w:rsid w:val="003448F4"/>
    <w:rsid w:val="00374F5E"/>
    <w:rsid w:val="003755E1"/>
    <w:rsid w:val="0037766C"/>
    <w:rsid w:val="00377E3E"/>
    <w:rsid w:val="00381868"/>
    <w:rsid w:val="00385416"/>
    <w:rsid w:val="003A779E"/>
    <w:rsid w:val="003C7418"/>
    <w:rsid w:val="003C7FE4"/>
    <w:rsid w:val="003D0F4D"/>
    <w:rsid w:val="003D17F3"/>
    <w:rsid w:val="003D359A"/>
    <w:rsid w:val="003D5B0D"/>
    <w:rsid w:val="003E0499"/>
    <w:rsid w:val="003F3941"/>
    <w:rsid w:val="00406575"/>
    <w:rsid w:val="00414C74"/>
    <w:rsid w:val="0042722E"/>
    <w:rsid w:val="00433A66"/>
    <w:rsid w:val="0044528D"/>
    <w:rsid w:val="004754A8"/>
    <w:rsid w:val="004A1847"/>
    <w:rsid w:val="004A305D"/>
    <w:rsid w:val="004F21C4"/>
    <w:rsid w:val="004F685F"/>
    <w:rsid w:val="00517709"/>
    <w:rsid w:val="005566E8"/>
    <w:rsid w:val="00564391"/>
    <w:rsid w:val="00567DBA"/>
    <w:rsid w:val="00574867"/>
    <w:rsid w:val="00591460"/>
    <w:rsid w:val="005B3816"/>
    <w:rsid w:val="005B6D9B"/>
    <w:rsid w:val="005C3777"/>
    <w:rsid w:val="005C5CDC"/>
    <w:rsid w:val="005D476C"/>
    <w:rsid w:val="005D5F83"/>
    <w:rsid w:val="005E5371"/>
    <w:rsid w:val="006219F8"/>
    <w:rsid w:val="00665D70"/>
    <w:rsid w:val="00674447"/>
    <w:rsid w:val="006900D9"/>
    <w:rsid w:val="006A449D"/>
    <w:rsid w:val="00706C16"/>
    <w:rsid w:val="00742F41"/>
    <w:rsid w:val="00756841"/>
    <w:rsid w:val="007649AB"/>
    <w:rsid w:val="00771D0C"/>
    <w:rsid w:val="007833AC"/>
    <w:rsid w:val="007B268C"/>
    <w:rsid w:val="007B303B"/>
    <w:rsid w:val="007B7171"/>
    <w:rsid w:val="007C0C0F"/>
    <w:rsid w:val="007C3DC2"/>
    <w:rsid w:val="007E5497"/>
    <w:rsid w:val="007E57B9"/>
    <w:rsid w:val="00806F5F"/>
    <w:rsid w:val="00811596"/>
    <w:rsid w:val="00820278"/>
    <w:rsid w:val="0083473D"/>
    <w:rsid w:val="00854832"/>
    <w:rsid w:val="008614BE"/>
    <w:rsid w:val="00867F95"/>
    <w:rsid w:val="00872C7B"/>
    <w:rsid w:val="00873028"/>
    <w:rsid w:val="008843B6"/>
    <w:rsid w:val="00891928"/>
    <w:rsid w:val="00892429"/>
    <w:rsid w:val="00894F95"/>
    <w:rsid w:val="008A446D"/>
    <w:rsid w:val="008D180B"/>
    <w:rsid w:val="008F0EA7"/>
    <w:rsid w:val="00923EEF"/>
    <w:rsid w:val="009419F9"/>
    <w:rsid w:val="0095685E"/>
    <w:rsid w:val="00961B09"/>
    <w:rsid w:val="00965334"/>
    <w:rsid w:val="0097093E"/>
    <w:rsid w:val="00974DE0"/>
    <w:rsid w:val="00986AC5"/>
    <w:rsid w:val="009A0DFA"/>
    <w:rsid w:val="009B2D26"/>
    <w:rsid w:val="009B7ADD"/>
    <w:rsid w:val="009C71FA"/>
    <w:rsid w:val="009C72E7"/>
    <w:rsid w:val="009C79BC"/>
    <w:rsid w:val="009D3058"/>
    <w:rsid w:val="009F3A13"/>
    <w:rsid w:val="00A122D3"/>
    <w:rsid w:val="00A17F13"/>
    <w:rsid w:val="00A20739"/>
    <w:rsid w:val="00A33C78"/>
    <w:rsid w:val="00A56E95"/>
    <w:rsid w:val="00A625A6"/>
    <w:rsid w:val="00A627E1"/>
    <w:rsid w:val="00A637A9"/>
    <w:rsid w:val="00A673E6"/>
    <w:rsid w:val="00AB0ADB"/>
    <w:rsid w:val="00AD5A6F"/>
    <w:rsid w:val="00AE64A1"/>
    <w:rsid w:val="00B01B1A"/>
    <w:rsid w:val="00B06DC3"/>
    <w:rsid w:val="00B1689B"/>
    <w:rsid w:val="00B16CE9"/>
    <w:rsid w:val="00B25CB6"/>
    <w:rsid w:val="00B562B1"/>
    <w:rsid w:val="00B66319"/>
    <w:rsid w:val="00B72CD3"/>
    <w:rsid w:val="00B72FFF"/>
    <w:rsid w:val="00BA091C"/>
    <w:rsid w:val="00BA1983"/>
    <w:rsid w:val="00BC3B93"/>
    <w:rsid w:val="00BC3D36"/>
    <w:rsid w:val="00BD7F72"/>
    <w:rsid w:val="00C04FB3"/>
    <w:rsid w:val="00C330EB"/>
    <w:rsid w:val="00C41061"/>
    <w:rsid w:val="00C41B98"/>
    <w:rsid w:val="00C666B0"/>
    <w:rsid w:val="00C754BE"/>
    <w:rsid w:val="00C76B1C"/>
    <w:rsid w:val="00C93975"/>
    <w:rsid w:val="00CB6357"/>
    <w:rsid w:val="00CC0EB1"/>
    <w:rsid w:val="00CC1B26"/>
    <w:rsid w:val="00D171F5"/>
    <w:rsid w:val="00D2074C"/>
    <w:rsid w:val="00D22C3B"/>
    <w:rsid w:val="00D24805"/>
    <w:rsid w:val="00D423A2"/>
    <w:rsid w:val="00D520D8"/>
    <w:rsid w:val="00D63AC2"/>
    <w:rsid w:val="00D703E0"/>
    <w:rsid w:val="00D7383B"/>
    <w:rsid w:val="00D96628"/>
    <w:rsid w:val="00DA231B"/>
    <w:rsid w:val="00DC39FC"/>
    <w:rsid w:val="00DC7AE6"/>
    <w:rsid w:val="00DD0FBD"/>
    <w:rsid w:val="00DD5369"/>
    <w:rsid w:val="00DF5254"/>
    <w:rsid w:val="00E16408"/>
    <w:rsid w:val="00E20894"/>
    <w:rsid w:val="00E245AB"/>
    <w:rsid w:val="00E2764C"/>
    <w:rsid w:val="00E27F2E"/>
    <w:rsid w:val="00E368BF"/>
    <w:rsid w:val="00E50AFE"/>
    <w:rsid w:val="00E5116C"/>
    <w:rsid w:val="00E5692A"/>
    <w:rsid w:val="00E70994"/>
    <w:rsid w:val="00E75C92"/>
    <w:rsid w:val="00E76F42"/>
    <w:rsid w:val="00E771DC"/>
    <w:rsid w:val="00E81F7C"/>
    <w:rsid w:val="00E8772A"/>
    <w:rsid w:val="00E90F6B"/>
    <w:rsid w:val="00E92C27"/>
    <w:rsid w:val="00EA0E3D"/>
    <w:rsid w:val="00EA6BBD"/>
    <w:rsid w:val="00EC38A7"/>
    <w:rsid w:val="00ED7384"/>
    <w:rsid w:val="00EE1AA8"/>
    <w:rsid w:val="00EE2009"/>
    <w:rsid w:val="00EE4247"/>
    <w:rsid w:val="00F31A35"/>
    <w:rsid w:val="00F31EDC"/>
    <w:rsid w:val="00F462B3"/>
    <w:rsid w:val="00F5664F"/>
    <w:rsid w:val="00F6556A"/>
    <w:rsid w:val="00F666C4"/>
    <w:rsid w:val="00F76AFC"/>
    <w:rsid w:val="00FA47C0"/>
    <w:rsid w:val="00FB5DD1"/>
    <w:rsid w:val="00FC2B5D"/>
    <w:rsid w:val="00FD4F8B"/>
    <w:rsid w:val="00FF1449"/>
    <w:rsid w:val="7E086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6439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64391"/>
    <w:rPr>
      <w:rFonts w:ascii="Geomanist Light" w:hAnsi="Geomanist Light"/>
      <w:lang w:val="es-ES"/>
    </w:rPr>
  </w:style>
  <w:style w:type="character" w:styleId="Refdecomentario">
    <w:name w:val="annotation reference"/>
    <w:basedOn w:val="Fuentedeprrafopredeter"/>
    <w:uiPriority w:val="99"/>
    <w:semiHidden/>
    <w:unhideWhenUsed/>
    <w:rsid w:val="00150882"/>
    <w:rPr>
      <w:sz w:val="16"/>
      <w:szCs w:val="16"/>
    </w:rPr>
  </w:style>
  <w:style w:type="paragraph" w:styleId="Textocomentario">
    <w:name w:val="annotation text"/>
    <w:basedOn w:val="Normal"/>
    <w:link w:val="TextocomentarioCar"/>
    <w:uiPriority w:val="99"/>
    <w:unhideWhenUsed/>
    <w:rsid w:val="00150882"/>
    <w:pPr>
      <w:spacing w:line="240" w:lineRule="auto"/>
    </w:pPr>
    <w:rPr>
      <w:sz w:val="20"/>
      <w:szCs w:val="20"/>
    </w:rPr>
  </w:style>
  <w:style w:type="character" w:customStyle="1" w:styleId="TextocomentarioCar">
    <w:name w:val="Texto comentario Car"/>
    <w:basedOn w:val="Fuentedeprrafopredeter"/>
    <w:link w:val="Textocomentario"/>
    <w:uiPriority w:val="99"/>
    <w:rsid w:val="00150882"/>
    <w:rPr>
      <w:sz w:val="20"/>
      <w:szCs w:val="20"/>
    </w:rPr>
  </w:style>
  <w:style w:type="paragraph" w:styleId="Asuntodelcomentario">
    <w:name w:val="annotation subject"/>
    <w:basedOn w:val="Textocomentario"/>
    <w:next w:val="Textocomentario"/>
    <w:link w:val="AsuntodelcomentarioCar"/>
    <w:uiPriority w:val="99"/>
    <w:semiHidden/>
    <w:unhideWhenUsed/>
    <w:rsid w:val="00150882"/>
    <w:rPr>
      <w:b/>
      <w:bCs/>
    </w:rPr>
  </w:style>
  <w:style w:type="character" w:customStyle="1" w:styleId="AsuntodelcomentarioCar">
    <w:name w:val="Asunto del comentario Car"/>
    <w:basedOn w:val="TextocomentarioCar"/>
    <w:link w:val="Asuntodelcomentario"/>
    <w:uiPriority w:val="99"/>
    <w:semiHidden/>
    <w:rsid w:val="001508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manuales-guias-y-pliegos-tipo%2Fmanuales-y-guias%2Fguia-para-el-manejo-de-ofertas-artificialmente-baja-0&amp;data=05%7C02%7Csantiago.herrera%40colombiacompra.gov.co%7C925ae1c2336243aecb2908dd21173dd2%7C7b09041e245149d08cb179d5e3d8c1be%7C0%7C0%7C638703105896520801%7CUnknown%7CTWFpbGZsb3d8eyJFbXB0eU1hcGkiOnRydWUsIlYiOiIwLjAuMDAwMCIsIlAiOiJXaW4zMiIsIkFOIjoiTWFpbCIsIldUIjoyfQ%3D%3D%7C0%7C%7C%7C&amp;sdata=Uf4JFsyYUaN1xDkT5MFvVMyhChNSEPpBwlaw%2BcWQ6MM%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da2505@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files_2020%2Fboletin_de_realtoria_viii.pdf&amp;data=05%7C02%7Csantiago.herrera%40colombiacompra.gov.co%7C925ae1c2336243aecb2908dd21173dd2%7C7b09041e245149d08cb179d5e3d8c1be%7C0%7C0%7C638703105896561413%7CUnknown%7CTWFpbGZsb3d8eyJFbXB0eU1hcGkiOnRydWUsIlYiOiIwLjAuMDAwMCIsIlAiOiJXaW4zMiIsIkFOIjoiTWFpbCIsIldUIjoyfQ%3D%3D%7C0%7C%7C%7C&amp;sdata=PJJHdTb%2FDxfUBW3UW0fq2rEb6lbbrG7F0j60ZwEwRtA%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manuales-guias-y-pliegos-tipo%2Fmanuales-y-guias%2Fguia-para-incentivar-la-participacion-de-las-mujeres&amp;data=05%7C02%7Csantiago.herrera%40colombiacompra.gov.co%7C925ae1c2336243aecb2908dd21173dd2%7C7b09041e245149d08cb179d5e3d8c1be%7C0%7C0%7C638703105896544702%7CUnknown%7CTWFpbGZsb3d8eyJFbXB0eU1hcGkiOnRydWUsIlYiOiIwLjAuMDAwMCIsIlAiOiJXaW4zMiIsIkFOIjoiTWFpbCIsIldUIjoyfQ%3D%3D%7C0%7C%7C%7C&amp;sdata=aKiYNmAzc7IxDVYR9DOb43%2BvZ1HtQnIcsIEGtXW8bqk%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4D27C-E608-4749-B113-A62B3F421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6286</Words>
  <Characters>34578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2024-12-28T19:51:00Z</dcterms:created>
  <dcterms:modified xsi:type="dcterms:W3CDTF">2025-01-08T16:52:00Z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