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EB8D" w14:textId="77777777" w:rsidR="00B64D79" w:rsidRPr="00B64D79" w:rsidRDefault="00B64D79">
      <w:pPr>
        <w:rPr>
          <w:rFonts w:ascii="Verdana" w:eastAsia="Calibri" w:hAnsi="Verdana" w:cs="Arial"/>
          <w:b/>
          <w:bCs/>
          <w:lang w:eastAsia="es-ES"/>
        </w:rPr>
      </w:pPr>
      <w:r w:rsidRPr="00B64D79">
        <w:rPr>
          <w:rFonts w:ascii="Verdana" w:eastAsia="Calibri" w:hAnsi="Verdana" w:cs="Arial"/>
          <w:b/>
          <w:bCs/>
          <w:lang w:eastAsia="es-ES"/>
        </w:rPr>
        <w:t>CONTRATO DE PRESTACIÓN DE SERVICIOS-Régimen jurídico</w:t>
      </w:r>
    </w:p>
    <w:p w14:paraId="153EBB2A" w14:textId="77777777" w:rsidR="00B64D79" w:rsidRPr="00B64D79" w:rsidRDefault="00B64D79" w:rsidP="00B64D79">
      <w:pPr>
        <w:spacing w:after="0" w:line="240" w:lineRule="auto"/>
        <w:ind w:right="709"/>
        <w:jc w:val="both"/>
        <w:rPr>
          <w:rFonts w:ascii="Verdana" w:eastAsia="Calibri" w:hAnsi="Verdana" w:cs="Arial"/>
          <w:color w:val="000000"/>
          <w:sz w:val="20"/>
          <w:szCs w:val="20"/>
          <w:lang w:val="es-ES_tradnl"/>
        </w:rPr>
      </w:pPr>
      <w:r w:rsidRPr="00B64D79">
        <w:rPr>
          <w:rFonts w:ascii="Verdana" w:eastAsia="Calibri" w:hAnsi="Verdana" w:cs="Arial"/>
          <w:color w:val="000000"/>
          <w:sz w:val="20"/>
          <w:szCs w:val="20"/>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29F09AF" w14:textId="77777777" w:rsidR="00B64D79" w:rsidRPr="00B64D79" w:rsidRDefault="00B64D79" w:rsidP="00B64D79">
      <w:pPr>
        <w:spacing w:after="0" w:line="240" w:lineRule="auto"/>
        <w:ind w:left="709" w:right="709"/>
        <w:jc w:val="both"/>
        <w:rPr>
          <w:rFonts w:ascii="Verdana" w:eastAsia="Calibri" w:hAnsi="Verdana" w:cs="Arial"/>
          <w:color w:val="000000"/>
          <w:sz w:val="20"/>
          <w:szCs w:val="20"/>
          <w:lang w:val="es-ES_tradnl"/>
        </w:rPr>
      </w:pPr>
    </w:p>
    <w:p w14:paraId="4A4346BB" w14:textId="77777777" w:rsidR="00B64D79" w:rsidRPr="00B64D79" w:rsidRDefault="00B64D79" w:rsidP="00B64D79">
      <w:pPr>
        <w:spacing w:after="0" w:line="240" w:lineRule="auto"/>
        <w:ind w:right="709"/>
        <w:jc w:val="both"/>
        <w:rPr>
          <w:rFonts w:ascii="Verdana" w:eastAsia="Calibri" w:hAnsi="Verdana" w:cs="Arial"/>
          <w:color w:val="000000"/>
          <w:sz w:val="20"/>
          <w:szCs w:val="20"/>
          <w:lang w:val="es-ES_tradnl"/>
        </w:rPr>
      </w:pPr>
      <w:r w:rsidRPr="00B64D79">
        <w:rPr>
          <w:rFonts w:ascii="Verdana" w:eastAsia="Calibri" w:hAnsi="Verdana" w:cs="Arial"/>
          <w:color w:val="000000"/>
          <w:sz w:val="20"/>
          <w:szCs w:val="20"/>
          <w:lang w:val="es-ES_tradnl"/>
        </w:rPr>
        <w:t>En ningún caso estos contratos generan relación laboral ni prestaciones sociales y se celebrarán por el término estrictamente indispensable”.</w:t>
      </w:r>
    </w:p>
    <w:p w14:paraId="0716207E" w14:textId="77777777" w:rsidR="00B64D79" w:rsidRDefault="00B64D79">
      <w:pPr>
        <w:rPr>
          <w:rFonts w:ascii="Verdana" w:eastAsia="Calibri" w:hAnsi="Verdana" w:cs="Arial"/>
          <w:lang w:eastAsia="es-ES"/>
        </w:rPr>
      </w:pPr>
    </w:p>
    <w:p w14:paraId="22EBF5CF" w14:textId="77777777" w:rsidR="00B64D79" w:rsidRPr="00B64D79" w:rsidRDefault="00B64D79" w:rsidP="006C1A4E">
      <w:pPr>
        <w:jc w:val="both"/>
        <w:rPr>
          <w:rFonts w:ascii="Verdana" w:eastAsia="Calibri" w:hAnsi="Verdana" w:cs="Arial"/>
          <w:b/>
          <w:bCs/>
          <w:lang w:eastAsia="es-ES"/>
        </w:rPr>
      </w:pPr>
      <w:r w:rsidRPr="00B64D79">
        <w:rPr>
          <w:rFonts w:ascii="Verdana" w:eastAsia="Calibri" w:hAnsi="Verdana" w:cs="Arial"/>
          <w:b/>
          <w:bCs/>
          <w:lang w:eastAsia="es-ES"/>
        </w:rPr>
        <w:t>EXPERIENCIA PROFESIONAL-Acreditación</w:t>
      </w:r>
    </w:p>
    <w:p w14:paraId="1A5D9DF9" w14:textId="25180AA8" w:rsidR="00B64D79" w:rsidRPr="006C1A4E" w:rsidRDefault="006C1A4E" w:rsidP="006C1A4E">
      <w:pPr>
        <w:jc w:val="both"/>
        <w:rPr>
          <w:rFonts w:ascii="Verdana" w:eastAsia="Calibri" w:hAnsi="Verdana" w:cs="Arial"/>
          <w:sz w:val="20"/>
          <w:szCs w:val="20"/>
          <w:lang w:eastAsia="es-ES"/>
        </w:rPr>
      </w:pPr>
      <w:r w:rsidRPr="006C1A4E">
        <w:rPr>
          <w:rFonts w:ascii="Verdana" w:hAnsi="Verdana"/>
          <w:sz w:val="20"/>
          <w:szCs w:val="20"/>
        </w:rPr>
        <w:t>Al respecto la entidad debe elaborar un perfil de idoneidad basado en sus necesidades, establecer parámetros mínimos de experiencia adecuados y proporcionales al tipo de contrato y su complejidad, y verificar directamente la experiencia del contratista conforme a lo estipulado en el Decreto 1082 de 2015, teniendo en cuenta tanto la experiencia general como especifica relacionada con el objeto del contrato</w:t>
      </w:r>
    </w:p>
    <w:p w14:paraId="3EBC9E24" w14:textId="77777777" w:rsidR="00B64D79" w:rsidRDefault="00B64D79">
      <w:pPr>
        <w:rPr>
          <w:rFonts w:ascii="Verdana" w:eastAsia="Calibri" w:hAnsi="Verdana" w:cs="Times New Roman"/>
          <w:b/>
          <w:bCs/>
        </w:rPr>
      </w:pPr>
      <w:r w:rsidRPr="00B64D79">
        <w:rPr>
          <w:rFonts w:ascii="Verdana" w:eastAsia="Calibri" w:hAnsi="Verdana" w:cs="Arial"/>
          <w:b/>
          <w:bCs/>
          <w:lang w:eastAsia="es-ES"/>
        </w:rPr>
        <w:t>EQUIVALENCIA-prestación de servicios-discrecionalidad</w:t>
      </w:r>
      <w:r w:rsidRPr="00B64D79">
        <w:rPr>
          <w:rFonts w:ascii="Verdana" w:eastAsia="Calibri" w:hAnsi="Verdana" w:cs="Times New Roman"/>
          <w:b/>
          <w:bCs/>
        </w:rPr>
        <w:t xml:space="preserve"> </w:t>
      </w:r>
    </w:p>
    <w:p w14:paraId="5163769B" w14:textId="77777777" w:rsidR="006C1A4E" w:rsidRPr="00B64D79" w:rsidRDefault="006C1A4E" w:rsidP="006C1A4E">
      <w:pPr>
        <w:spacing w:after="120" w:line="276" w:lineRule="auto"/>
        <w:jc w:val="both"/>
        <w:rPr>
          <w:rFonts w:ascii="Verdana" w:hAnsi="Verdana"/>
          <w:sz w:val="20"/>
          <w:szCs w:val="20"/>
        </w:rPr>
      </w:pPr>
      <w:r w:rsidRPr="00B64D79">
        <w:rPr>
          <w:rFonts w:ascii="Verdana" w:hAnsi="Verdana"/>
          <w:sz w:val="20"/>
          <w:szCs w:val="20"/>
        </w:rPr>
        <w:t>De tal manera que, al no existir condiciones taxativas en la norma, la entidad estatal goza de autonomía para establecer en los documentos precontractuales las condiciones de tiempo, modo y características de los documentos que sirven de soporte de acreditación de la idoneidad o experiencia en los contratos de prestación de servicios, asegurando así́ que los documentos presentados sean adecuados y verificables para cumplir con los estándares establecidos en relación con el principio de selección objetiva.</w:t>
      </w:r>
    </w:p>
    <w:p w14:paraId="4AD7EFFE" w14:textId="7E8E937A" w:rsidR="00B64D79" w:rsidRPr="00B64D79" w:rsidRDefault="00B64D79">
      <w:pPr>
        <w:rPr>
          <w:rFonts w:ascii="Verdana" w:eastAsia="Calibri" w:hAnsi="Verdana" w:cs="Times New Roman"/>
          <w:b/>
          <w:bCs/>
        </w:rPr>
      </w:pPr>
      <w:r w:rsidRPr="00B64D79">
        <w:rPr>
          <w:rFonts w:ascii="Verdana" w:eastAsia="Calibri" w:hAnsi="Verdana" w:cs="Times New Roman"/>
          <w:b/>
          <w:bCs/>
        </w:rPr>
        <w:br w:type="page"/>
      </w:r>
    </w:p>
    <w:p w14:paraId="78E2055F" w14:textId="48C86503" w:rsidR="00C450BD" w:rsidRPr="00E0405E" w:rsidRDefault="00C450BD" w:rsidP="00C450BD">
      <w:pPr>
        <w:spacing w:after="0"/>
        <w:jc w:val="both"/>
        <w:rPr>
          <w:rFonts w:ascii="Verdana" w:hAnsi="Verdana"/>
          <w:lang w:val="es-MX"/>
        </w:rPr>
      </w:pPr>
      <w:r w:rsidRPr="00E0405E">
        <w:rPr>
          <w:rFonts w:ascii="Verdana" w:eastAsia="Calibri" w:hAnsi="Verdana" w:cs="Times New Roman"/>
        </w:rPr>
        <w:lastRenderedPageBreak/>
        <w:t xml:space="preserve">Bogotá D.C., </w:t>
      </w:r>
      <w:r w:rsidR="008346D6">
        <w:rPr>
          <w:rFonts w:ascii="Verdana" w:eastAsia="Calibri" w:hAnsi="Verdana" w:cs="Times New Roman"/>
        </w:rPr>
        <w:t>27 Diciembre 2024</w:t>
      </w:r>
    </w:p>
    <w:p w14:paraId="3D938D7F" w14:textId="40AA7814" w:rsidR="00AC6D81" w:rsidRPr="00186A86" w:rsidRDefault="008346D6" w:rsidP="008346D6">
      <w:pPr>
        <w:spacing w:after="0"/>
        <w:jc w:val="right"/>
        <w:rPr>
          <w:rFonts w:ascii="Verdana" w:hAnsi="Verdana"/>
          <w:lang w:val="es-MX"/>
        </w:rPr>
      </w:pPr>
      <w:r>
        <w:rPr>
          <w:rFonts w:ascii="Verdana" w:hAnsi="Verdana"/>
          <w:lang w:val="es-MX"/>
        </w:rPr>
        <w:tab/>
      </w:r>
      <w:r w:rsidRPr="008346D6">
        <w:rPr>
          <w:rFonts w:ascii="Verdana" w:hAnsi="Verdana"/>
          <w:noProof/>
          <w:lang w:val="es-MX"/>
        </w:rPr>
        <w:drawing>
          <wp:inline distT="0" distB="0" distL="0" distR="0" wp14:anchorId="66CD5D65" wp14:editId="372FDA98">
            <wp:extent cx="2837542" cy="762000"/>
            <wp:effectExtent l="0" t="0" r="1270" b="0"/>
            <wp:docPr id="5974005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00500" name=""/>
                    <pic:cNvPicPr/>
                  </pic:nvPicPr>
                  <pic:blipFill>
                    <a:blip r:embed="rId10"/>
                    <a:stretch>
                      <a:fillRect/>
                    </a:stretch>
                  </pic:blipFill>
                  <pic:spPr>
                    <a:xfrm>
                      <a:off x="0" y="0"/>
                      <a:ext cx="2840603" cy="762822"/>
                    </a:xfrm>
                    <a:prstGeom prst="rect">
                      <a:avLst/>
                    </a:prstGeom>
                  </pic:spPr>
                </pic:pic>
              </a:graphicData>
            </a:graphic>
          </wp:inline>
        </w:drawing>
      </w:r>
    </w:p>
    <w:p w14:paraId="60A803D2" w14:textId="7284BCB9" w:rsidR="00AC6D81" w:rsidRPr="00957C67" w:rsidRDefault="00AC6D81" w:rsidP="00AC6D81">
      <w:pPr>
        <w:spacing w:after="0"/>
        <w:jc w:val="both"/>
        <w:rPr>
          <w:rFonts w:ascii="Verdana" w:hAnsi="Verdana"/>
        </w:rPr>
      </w:pPr>
      <w:r w:rsidRPr="00957C67">
        <w:rPr>
          <w:rFonts w:ascii="Verdana" w:hAnsi="Verdana"/>
        </w:rPr>
        <w:t>Señor</w:t>
      </w:r>
    </w:p>
    <w:p w14:paraId="28A78275" w14:textId="27096928" w:rsidR="00AC6D81" w:rsidRPr="000D599B" w:rsidRDefault="00957C67" w:rsidP="00AC6D81">
      <w:pPr>
        <w:spacing w:after="0"/>
        <w:jc w:val="both"/>
        <w:rPr>
          <w:rFonts w:ascii="Verdana" w:hAnsi="Verdana"/>
        </w:rPr>
      </w:pPr>
      <w:r w:rsidRPr="00957C67">
        <w:rPr>
          <w:rFonts w:ascii="Verdana" w:hAnsi="Verdana"/>
          <w:b/>
        </w:rPr>
        <w:t>Andrés</w:t>
      </w:r>
      <w:r w:rsidR="00C450BD" w:rsidRPr="00957C67">
        <w:rPr>
          <w:rFonts w:ascii="Verdana" w:hAnsi="Verdana"/>
          <w:b/>
        </w:rPr>
        <w:t xml:space="preserve"> Felipe </w:t>
      </w:r>
      <w:r w:rsidR="00956262" w:rsidRPr="00957C67">
        <w:rPr>
          <w:rFonts w:ascii="Verdana" w:hAnsi="Verdana"/>
          <w:b/>
        </w:rPr>
        <w:t>Sánchez</w:t>
      </w:r>
      <w:r w:rsidR="00C450BD" w:rsidRPr="00957C67">
        <w:rPr>
          <w:rFonts w:ascii="Verdana" w:hAnsi="Verdana"/>
          <w:b/>
        </w:rPr>
        <w:t xml:space="preserve"> </w:t>
      </w:r>
      <w:r w:rsidR="00956262" w:rsidRPr="00957C67">
        <w:rPr>
          <w:rFonts w:ascii="Verdana" w:hAnsi="Verdana"/>
          <w:b/>
        </w:rPr>
        <w:t>Pabón</w:t>
      </w:r>
      <w:r w:rsidR="00C450BD" w:rsidRPr="00957C67">
        <w:rPr>
          <w:rFonts w:ascii="Verdana" w:hAnsi="Verdana"/>
          <w:b/>
        </w:rPr>
        <w:tab/>
      </w:r>
      <w:r w:rsidR="00AC6D81" w:rsidRPr="00957C67">
        <w:rPr>
          <w:rFonts w:ascii="Verdana" w:hAnsi="Verdana"/>
        </w:rPr>
        <w:br/>
      </w:r>
      <w:hyperlink r:id="rId11" w:history="1">
        <w:r w:rsidR="000D599B" w:rsidRPr="000D599B">
          <w:rPr>
            <w:rStyle w:val="Hipervnculo"/>
            <w:rFonts w:ascii="Verdana" w:hAnsi="Verdana"/>
          </w:rPr>
          <w:t>dominesancaex@gmail.com</w:t>
        </w:r>
      </w:hyperlink>
    </w:p>
    <w:p w14:paraId="3D447CF3" w14:textId="47D4D284" w:rsidR="00AC6D81" w:rsidRPr="000D599B" w:rsidRDefault="000D599B" w:rsidP="00AC6D81">
      <w:pPr>
        <w:spacing w:after="0"/>
        <w:jc w:val="both"/>
        <w:rPr>
          <w:rFonts w:ascii="Verdana" w:hAnsi="Verdana"/>
        </w:rPr>
      </w:pPr>
      <w:r w:rsidRPr="000D599B">
        <w:rPr>
          <w:rFonts w:ascii="Verdana" w:hAnsi="Verdana"/>
        </w:rPr>
        <w:t>Bogotá</w:t>
      </w:r>
    </w:p>
    <w:p w14:paraId="077A43D5" w14:textId="77777777" w:rsidR="00AC6D81" w:rsidRPr="00186A86" w:rsidRDefault="00AC6D81" w:rsidP="00AC6D81">
      <w:pPr>
        <w:spacing w:after="0"/>
        <w:jc w:val="both"/>
        <w:rPr>
          <w:rFonts w:ascii="Verdana" w:hAnsi="Verdana"/>
        </w:rPr>
      </w:pPr>
    </w:p>
    <w:p w14:paraId="7888F5C7" w14:textId="79F74AE1" w:rsidR="00AC6D81" w:rsidRPr="00186A86" w:rsidRDefault="00AC6D81" w:rsidP="00AC6D81">
      <w:pPr>
        <w:spacing w:after="0" w:line="240" w:lineRule="auto"/>
        <w:ind w:left="2694"/>
        <w:jc w:val="both"/>
        <w:rPr>
          <w:rFonts w:ascii="Verdana" w:eastAsia="Calibri" w:hAnsi="Verdana" w:cs="Arial"/>
          <w:b/>
          <w:bCs/>
          <w:lang w:val="es-ES" w:eastAsia="es-ES"/>
        </w:rPr>
      </w:pPr>
      <w:r w:rsidRPr="00186A86">
        <w:rPr>
          <w:rFonts w:ascii="Verdana" w:eastAsia="Calibri" w:hAnsi="Verdana" w:cs="Arial"/>
          <w:b/>
          <w:bCs/>
          <w:lang w:val="es-ES" w:eastAsia="es-ES"/>
        </w:rPr>
        <w:t>Concepto C–</w:t>
      </w:r>
      <w:r w:rsidR="00CC4D12">
        <w:rPr>
          <w:rFonts w:ascii="Verdana" w:eastAsia="Calibri" w:hAnsi="Verdana" w:cs="Arial"/>
          <w:b/>
          <w:bCs/>
          <w:lang w:val="es-ES" w:eastAsia="es-ES"/>
        </w:rPr>
        <w:t>938</w:t>
      </w:r>
      <w:r w:rsidRPr="00186A86">
        <w:rPr>
          <w:rFonts w:ascii="Verdana" w:eastAsia="Calibri" w:hAnsi="Verdana" w:cs="Arial"/>
          <w:b/>
          <w:bCs/>
          <w:lang w:val="es-ES" w:eastAsia="es-ES"/>
        </w:rPr>
        <w:t xml:space="preserve"> de 2024</w:t>
      </w:r>
    </w:p>
    <w:p w14:paraId="3949C45C" w14:textId="77777777" w:rsidR="00AC6D81" w:rsidRPr="00186A86" w:rsidRDefault="00AC6D81" w:rsidP="00AC6D81">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AC6D81" w:rsidRPr="00186A86" w14:paraId="7974720B" w14:textId="77777777" w:rsidTr="00E8214B">
        <w:trPr>
          <w:trHeight w:val="884"/>
        </w:trPr>
        <w:tc>
          <w:tcPr>
            <w:tcW w:w="2685" w:type="dxa"/>
            <w:hideMark/>
          </w:tcPr>
          <w:p w14:paraId="5DFEDB01" w14:textId="77777777" w:rsidR="00AC6D81" w:rsidRPr="009A690C" w:rsidRDefault="00AC6D81" w:rsidP="00E8214B">
            <w:pPr>
              <w:jc w:val="both"/>
              <w:rPr>
                <w:rFonts w:ascii="Verdana" w:eastAsia="Calibri" w:hAnsi="Verdana" w:cs="Arial"/>
                <w:b/>
                <w:bCs/>
                <w:szCs w:val="24"/>
                <w:lang w:val="es-ES_tradnl" w:eastAsia="es-ES_tradnl"/>
              </w:rPr>
            </w:pPr>
            <w:r w:rsidRPr="009A690C">
              <w:rPr>
                <w:rFonts w:ascii="Verdana" w:eastAsia="Calibri" w:hAnsi="Verdana" w:cs="Arial"/>
                <w:b/>
                <w:bCs/>
                <w:szCs w:val="24"/>
                <w:lang w:val="es-ES_tradnl" w:eastAsia="es-ES_tradnl"/>
              </w:rPr>
              <w:t xml:space="preserve">Temas:                   </w:t>
            </w:r>
          </w:p>
        </w:tc>
        <w:tc>
          <w:tcPr>
            <w:tcW w:w="6241" w:type="dxa"/>
            <w:hideMark/>
          </w:tcPr>
          <w:p w14:paraId="1524B08C" w14:textId="4B521948" w:rsidR="00AC6D81" w:rsidRPr="009A690C" w:rsidRDefault="00601024" w:rsidP="00E8214B">
            <w:pPr>
              <w:spacing w:line="276" w:lineRule="auto"/>
              <w:jc w:val="both"/>
              <w:rPr>
                <w:rFonts w:ascii="Verdana" w:hAnsi="Verdana"/>
              </w:rPr>
            </w:pPr>
            <w:r w:rsidRPr="009A690C">
              <w:rPr>
                <w:rFonts w:ascii="Verdana" w:eastAsia="Calibri" w:hAnsi="Verdana" w:cs="Arial"/>
                <w:lang w:eastAsia="es-ES"/>
              </w:rPr>
              <w:t>CONTRATO DE PRESTACIÓN DE SERVICIOS</w:t>
            </w:r>
            <w:r w:rsidR="00D2291A" w:rsidRPr="009A690C">
              <w:rPr>
                <w:rFonts w:ascii="Verdana" w:eastAsia="Calibri" w:hAnsi="Verdana" w:cs="Arial"/>
                <w:lang w:eastAsia="es-ES"/>
              </w:rPr>
              <w:t>-Régimen jurídico/</w:t>
            </w:r>
            <w:r w:rsidRPr="009A690C">
              <w:rPr>
                <w:rFonts w:ascii="Verdana" w:eastAsia="Calibri" w:hAnsi="Verdana" w:cs="Arial"/>
                <w:lang w:eastAsia="es-ES"/>
              </w:rPr>
              <w:t>EXPERIENCIA</w:t>
            </w:r>
            <w:r w:rsidR="0053586D" w:rsidRPr="009A690C">
              <w:rPr>
                <w:rFonts w:ascii="Verdana" w:eastAsia="Calibri" w:hAnsi="Verdana" w:cs="Arial"/>
                <w:lang w:eastAsia="es-ES"/>
              </w:rPr>
              <w:t xml:space="preserve"> </w:t>
            </w:r>
            <w:r w:rsidRPr="009A690C">
              <w:rPr>
                <w:rFonts w:ascii="Verdana" w:eastAsia="Calibri" w:hAnsi="Verdana" w:cs="Arial"/>
                <w:lang w:eastAsia="es-ES"/>
              </w:rPr>
              <w:t>PROFESIONAL</w:t>
            </w:r>
            <w:r w:rsidR="0053586D" w:rsidRPr="009A690C">
              <w:rPr>
                <w:rFonts w:ascii="Verdana" w:eastAsia="Calibri" w:hAnsi="Verdana" w:cs="Arial"/>
                <w:lang w:eastAsia="es-ES"/>
              </w:rPr>
              <w:t>-Acreditación</w:t>
            </w:r>
            <w:r w:rsidRPr="009A690C">
              <w:rPr>
                <w:rFonts w:ascii="Verdana" w:eastAsia="Calibri" w:hAnsi="Verdana" w:cs="Arial"/>
                <w:lang w:eastAsia="es-ES"/>
              </w:rPr>
              <w:t>/EQUIVALENCIA</w:t>
            </w:r>
            <w:r w:rsidR="009A690C" w:rsidRPr="009A690C">
              <w:rPr>
                <w:rFonts w:ascii="Verdana" w:eastAsia="Calibri" w:hAnsi="Verdana" w:cs="Arial"/>
                <w:lang w:eastAsia="es-ES"/>
              </w:rPr>
              <w:t>-prestación de servicios-discrecionalidad</w:t>
            </w:r>
          </w:p>
        </w:tc>
        <w:tc>
          <w:tcPr>
            <w:tcW w:w="6237" w:type="dxa"/>
          </w:tcPr>
          <w:p w14:paraId="3B95B603" w14:textId="2FB8AC0A" w:rsidR="00AC6D81" w:rsidRPr="00186A86" w:rsidRDefault="00AC6D81" w:rsidP="00E8214B">
            <w:pPr>
              <w:jc w:val="both"/>
              <w:rPr>
                <w:rFonts w:ascii="Verdana" w:hAnsi="Verdana" w:cs="Arial"/>
                <w:lang w:val="es-ES"/>
              </w:rPr>
            </w:pPr>
          </w:p>
        </w:tc>
      </w:tr>
      <w:tr w:rsidR="00AC6D81" w:rsidRPr="00186A86" w14:paraId="281BCA07" w14:textId="77777777" w:rsidTr="00E8214B">
        <w:tc>
          <w:tcPr>
            <w:tcW w:w="2685" w:type="dxa"/>
            <w:hideMark/>
          </w:tcPr>
          <w:p w14:paraId="034811DA" w14:textId="77777777" w:rsidR="00AC6D81" w:rsidRPr="00186A86" w:rsidRDefault="00AC6D81" w:rsidP="00E8214B">
            <w:pPr>
              <w:spacing w:before="120"/>
              <w:jc w:val="both"/>
              <w:rPr>
                <w:rFonts w:ascii="Verdana" w:eastAsia="Calibri" w:hAnsi="Verdana" w:cs="Arial"/>
                <w:b/>
                <w:bCs/>
                <w:szCs w:val="24"/>
                <w:lang w:val="es-ES_tradnl" w:eastAsia="es-ES_tradnl"/>
              </w:rPr>
            </w:pPr>
            <w:r w:rsidRPr="00186A86">
              <w:rPr>
                <w:rFonts w:ascii="Verdana" w:eastAsia="Calibri" w:hAnsi="Verdana" w:cs="Arial"/>
                <w:b/>
                <w:bCs/>
                <w:szCs w:val="24"/>
                <w:lang w:val="es-ES_tradnl" w:eastAsia="es-ES_tradnl"/>
              </w:rPr>
              <w:t xml:space="preserve">Radicación:               </w:t>
            </w:r>
          </w:p>
        </w:tc>
        <w:tc>
          <w:tcPr>
            <w:tcW w:w="6241" w:type="dxa"/>
            <w:hideMark/>
          </w:tcPr>
          <w:p w14:paraId="7EE1836D" w14:textId="69BB10D9" w:rsidR="00AC6D81" w:rsidRPr="00186A86" w:rsidRDefault="00AC6D81" w:rsidP="00E8214B">
            <w:pPr>
              <w:spacing w:before="120" w:line="276" w:lineRule="auto"/>
              <w:jc w:val="both"/>
              <w:rPr>
                <w:rFonts w:ascii="Verdana" w:eastAsia="Calibri" w:hAnsi="Verdana" w:cs="Arial"/>
                <w:szCs w:val="24"/>
                <w:lang w:val="es-ES_tradnl" w:eastAsia="es-ES_tradnl"/>
              </w:rPr>
            </w:pPr>
            <w:r w:rsidRPr="00186A86">
              <w:rPr>
                <w:rFonts w:ascii="Verdana" w:eastAsia="Calibri" w:hAnsi="Verdana" w:cs="Arial"/>
                <w:szCs w:val="24"/>
                <w:lang w:val="es-ES_tradnl" w:eastAsia="es-ES_tradnl"/>
              </w:rPr>
              <w:t xml:space="preserve">Respuesta a consulta con radicado No. </w:t>
            </w:r>
            <w:r w:rsidR="00181587" w:rsidRPr="00181587">
              <w:rPr>
                <w:rFonts w:ascii="Verdana" w:eastAsia="Calibri" w:hAnsi="Verdana" w:cs="Arial"/>
                <w:szCs w:val="24"/>
                <w:lang w:eastAsia="es-ES_tradnl"/>
              </w:rPr>
              <w:t>P20241127011926</w:t>
            </w:r>
          </w:p>
        </w:tc>
        <w:tc>
          <w:tcPr>
            <w:tcW w:w="6237" w:type="dxa"/>
          </w:tcPr>
          <w:p w14:paraId="2C7BE563" w14:textId="77777777" w:rsidR="00AC6D81" w:rsidRPr="00186A86" w:rsidRDefault="00AC6D81" w:rsidP="00E8214B">
            <w:pPr>
              <w:spacing w:before="120"/>
              <w:jc w:val="both"/>
              <w:rPr>
                <w:rFonts w:ascii="Verdana" w:eastAsia="Calibri" w:hAnsi="Verdana" w:cs="Arial"/>
                <w:szCs w:val="24"/>
                <w:lang w:val="es-ES_tradnl" w:eastAsia="es-ES_tradnl"/>
              </w:rPr>
            </w:pPr>
          </w:p>
        </w:tc>
      </w:tr>
    </w:tbl>
    <w:p w14:paraId="4D2237D3" w14:textId="77777777" w:rsidR="00AC6D81" w:rsidRPr="00186A86" w:rsidRDefault="00AC6D81" w:rsidP="00AC6D81">
      <w:pPr>
        <w:spacing w:after="0" w:line="240" w:lineRule="auto"/>
        <w:jc w:val="both"/>
        <w:rPr>
          <w:rFonts w:ascii="Verdana" w:eastAsia="Calibri" w:hAnsi="Verdana" w:cs="Arial"/>
          <w:szCs w:val="24"/>
          <w:lang w:val="es-ES_tradnl" w:eastAsia="es-ES_tradnl"/>
        </w:rPr>
      </w:pPr>
    </w:p>
    <w:p w14:paraId="34C465DB" w14:textId="5537A2AA" w:rsidR="00AC6D81" w:rsidRPr="00186A86" w:rsidRDefault="00181587" w:rsidP="00AC6D81">
      <w:pPr>
        <w:spacing w:after="0" w:line="240" w:lineRule="auto"/>
        <w:jc w:val="both"/>
        <w:rPr>
          <w:rFonts w:ascii="Verdana" w:eastAsia="Calibri" w:hAnsi="Verdana" w:cs="Arial"/>
          <w:lang w:val="es-ES" w:eastAsia="es-ES"/>
        </w:rPr>
      </w:pPr>
      <w:r>
        <w:rPr>
          <w:rFonts w:ascii="Verdana" w:eastAsia="Calibri" w:hAnsi="Verdana" w:cs="Arial"/>
          <w:lang w:val="es-ES" w:eastAsia="es-ES"/>
        </w:rPr>
        <w:t xml:space="preserve">Estimado </w:t>
      </w:r>
      <w:r w:rsidR="00957C67">
        <w:rPr>
          <w:rFonts w:ascii="Verdana" w:eastAsia="Calibri" w:hAnsi="Verdana" w:cs="Arial"/>
          <w:lang w:val="es-ES" w:eastAsia="es-ES"/>
        </w:rPr>
        <w:t>Andrés</w:t>
      </w:r>
      <w:r w:rsidR="00AC6D81" w:rsidRPr="00186A86">
        <w:rPr>
          <w:rFonts w:ascii="Verdana" w:eastAsia="Calibri" w:hAnsi="Verdana" w:cs="Arial"/>
          <w:lang w:val="es-ES" w:eastAsia="es-ES"/>
        </w:rPr>
        <w:t xml:space="preserve">: </w:t>
      </w:r>
    </w:p>
    <w:p w14:paraId="6D8451FB" w14:textId="77777777" w:rsidR="00AC6D81" w:rsidRPr="00186A86" w:rsidRDefault="00AC6D81" w:rsidP="00AC6D81">
      <w:pPr>
        <w:spacing w:after="0" w:line="240" w:lineRule="auto"/>
        <w:jc w:val="both"/>
        <w:rPr>
          <w:rFonts w:ascii="Verdana" w:eastAsia="Calibri" w:hAnsi="Verdana" w:cs="Arial"/>
          <w:lang w:val="es-ES" w:eastAsia="es-ES"/>
        </w:rPr>
      </w:pPr>
    </w:p>
    <w:p w14:paraId="0849F8B5" w14:textId="273866D1" w:rsidR="00AC6D81" w:rsidRPr="00186A86" w:rsidRDefault="00AC6D81" w:rsidP="00AC6D81">
      <w:pPr>
        <w:spacing w:after="120" w:line="276" w:lineRule="auto"/>
        <w:jc w:val="both"/>
        <w:rPr>
          <w:rFonts w:ascii="Verdana" w:eastAsia="Calibri" w:hAnsi="Verdana" w:cs="Arial"/>
          <w:lang w:val="es-ES" w:eastAsia="es-ES"/>
        </w:rPr>
      </w:pPr>
      <w:r w:rsidRPr="00186A86">
        <w:rPr>
          <w:rFonts w:ascii="Verdana" w:eastAsia="Calibri" w:hAnsi="Verdana" w:cs="Arial"/>
          <w:lang w:val="es-ES" w:eastAsia="es-ES"/>
        </w:rPr>
        <w:t>En ejercicio de la competencia otorgada por los artículos 3, numeral 5º, y 11, numeral 8º, del Decreto Ley 4170 de 2011,</w:t>
      </w:r>
      <w:r w:rsidRPr="00186A86">
        <w:rPr>
          <w:rFonts w:ascii="Verdana" w:eastAsia="Arial MT" w:hAnsi="Verdana" w:cs="Arial MT"/>
          <w:lang w:val="es-ES" w:eastAsia="es-ES"/>
        </w:rPr>
        <w:t xml:space="preserve"> </w:t>
      </w:r>
      <w:r w:rsidRPr="00186A86">
        <w:rPr>
          <w:rFonts w:ascii="Verdana" w:eastAsia="Calibri" w:hAnsi="Verdana" w:cs="Arial"/>
          <w:lang w:val="es-ES" w:eastAsia="es-ES"/>
        </w:rPr>
        <w:t xml:space="preserve">la Agencia Nacional de Contratación Pública – Colombia Compra Eficiente– responde la solicitud de consulta del </w:t>
      </w:r>
      <w:r w:rsidR="00854416">
        <w:rPr>
          <w:rFonts w:ascii="Verdana" w:eastAsia="Calibri" w:hAnsi="Verdana" w:cs="Arial"/>
          <w:lang w:val="es-ES" w:eastAsia="es-ES"/>
        </w:rPr>
        <w:t>2</w:t>
      </w:r>
      <w:r w:rsidR="005D5B04">
        <w:rPr>
          <w:rFonts w:ascii="Verdana" w:eastAsia="Calibri" w:hAnsi="Verdana" w:cs="Arial"/>
          <w:lang w:val="es-ES" w:eastAsia="es-ES"/>
        </w:rPr>
        <w:t>5</w:t>
      </w:r>
      <w:r w:rsidRPr="00186A86">
        <w:rPr>
          <w:rFonts w:ascii="Verdana" w:eastAsia="Calibri" w:hAnsi="Verdana" w:cs="Arial"/>
          <w:lang w:val="es-ES" w:eastAsia="es-ES"/>
        </w:rPr>
        <w:t xml:space="preserve"> de noviembre de 2024</w:t>
      </w:r>
      <w:r w:rsidR="00124D08">
        <w:rPr>
          <w:rFonts w:ascii="Verdana" w:eastAsia="Calibri" w:hAnsi="Verdana" w:cs="Arial"/>
          <w:lang w:val="es-ES" w:eastAsia="es-ES"/>
        </w:rPr>
        <w:t xml:space="preserve"> trasladada por competencia por parte </w:t>
      </w:r>
      <w:r w:rsidR="00C07FAB">
        <w:rPr>
          <w:rFonts w:ascii="Verdana" w:eastAsia="Calibri" w:hAnsi="Verdana" w:cs="Arial"/>
          <w:lang w:val="es-ES" w:eastAsia="es-ES"/>
        </w:rPr>
        <w:t>del D</w:t>
      </w:r>
      <w:r w:rsidR="00C07FAB" w:rsidRPr="00C07FAB">
        <w:rPr>
          <w:rFonts w:ascii="Verdana" w:eastAsia="Calibri" w:hAnsi="Verdana" w:cs="Arial"/>
          <w:lang w:val="es-ES" w:eastAsia="es-ES"/>
        </w:rPr>
        <w:t>epartamento Administrativo de la Función Pública</w:t>
      </w:r>
      <w:r w:rsidR="005D5B04">
        <w:rPr>
          <w:rFonts w:ascii="Verdana" w:eastAsia="Calibri" w:hAnsi="Verdana" w:cs="Arial"/>
          <w:lang w:val="es-ES" w:eastAsia="es-ES"/>
        </w:rPr>
        <w:t xml:space="preserve"> el día 26 de noviembre de 2024</w:t>
      </w:r>
      <w:r w:rsidRPr="00186A86">
        <w:rPr>
          <w:rFonts w:ascii="Verdana" w:eastAsia="Calibri" w:hAnsi="Verdana" w:cs="Arial"/>
          <w:lang w:val="es-ES" w:eastAsia="es-ES"/>
        </w:rPr>
        <w:t>. En la cual manifiesta lo siguiente:</w:t>
      </w:r>
    </w:p>
    <w:p w14:paraId="18D6E83C" w14:textId="77777777" w:rsidR="00AC6D81" w:rsidRPr="00186A86" w:rsidRDefault="00AC6D81" w:rsidP="00AC6D81">
      <w:pPr>
        <w:spacing w:after="0" w:line="240" w:lineRule="auto"/>
        <w:ind w:left="709" w:right="709"/>
        <w:jc w:val="both"/>
        <w:rPr>
          <w:rFonts w:ascii="Verdana" w:hAnsi="Verdana"/>
          <w:sz w:val="20"/>
          <w:szCs w:val="20"/>
        </w:rPr>
      </w:pPr>
      <w:r w:rsidRPr="00186A86">
        <w:rPr>
          <w:rFonts w:ascii="Verdana" w:eastAsia="Calibri" w:hAnsi="Verdana" w:cs="Arial"/>
          <w:sz w:val="20"/>
          <w:szCs w:val="20"/>
          <w:lang w:val="es-ES" w:eastAsia="es-ES"/>
        </w:rPr>
        <w:t>“(…)</w:t>
      </w:r>
    </w:p>
    <w:p w14:paraId="07980D48" w14:textId="77777777" w:rsidR="00AC6D81" w:rsidRPr="00186A86" w:rsidRDefault="00AC6D81" w:rsidP="00AC6D81">
      <w:pPr>
        <w:spacing w:after="0" w:line="240" w:lineRule="auto"/>
        <w:ind w:left="709" w:right="709"/>
        <w:jc w:val="both"/>
        <w:rPr>
          <w:rFonts w:ascii="Verdana" w:hAnsi="Verdana"/>
          <w:sz w:val="20"/>
          <w:szCs w:val="20"/>
        </w:rPr>
      </w:pPr>
    </w:p>
    <w:p w14:paraId="0BB177DD" w14:textId="77777777" w:rsidR="00151F81" w:rsidRDefault="00151F81" w:rsidP="00AC6D81">
      <w:pPr>
        <w:spacing w:after="0" w:line="240" w:lineRule="auto"/>
        <w:ind w:left="709" w:right="709"/>
        <w:jc w:val="both"/>
        <w:rPr>
          <w:rFonts w:ascii="Verdana" w:hAnsi="Verdana"/>
          <w:sz w:val="20"/>
          <w:szCs w:val="20"/>
        </w:rPr>
      </w:pPr>
      <w:r>
        <w:rPr>
          <w:rFonts w:ascii="Verdana" w:hAnsi="Verdana"/>
          <w:sz w:val="20"/>
          <w:szCs w:val="20"/>
        </w:rPr>
        <w:t xml:space="preserve">1. </w:t>
      </w:r>
      <w:r w:rsidRPr="00151F81">
        <w:rPr>
          <w:rFonts w:ascii="Verdana" w:hAnsi="Verdana"/>
          <w:sz w:val="20"/>
          <w:szCs w:val="20"/>
        </w:rPr>
        <w:t xml:space="preserve">¿Cuáles son los requisitos y condiciones para el estudiante de derecho que quiera realizar su judicatura a través de contrato de prestación de servicios con una entidad pública teniendo en cuenta que la judicatura se exige de dedicación completa pero el contrato de prestación de servicios no contempla subordinación ni horario? </w:t>
      </w:r>
    </w:p>
    <w:p w14:paraId="41D01FFD" w14:textId="77777777" w:rsidR="00151F81" w:rsidRDefault="00151F81" w:rsidP="00AC6D81">
      <w:pPr>
        <w:spacing w:after="0" w:line="240" w:lineRule="auto"/>
        <w:ind w:left="709" w:right="709"/>
        <w:jc w:val="both"/>
        <w:rPr>
          <w:rFonts w:ascii="Verdana" w:hAnsi="Verdana"/>
          <w:sz w:val="20"/>
          <w:szCs w:val="20"/>
        </w:rPr>
      </w:pPr>
      <w:r w:rsidRPr="00151F81">
        <w:rPr>
          <w:rFonts w:ascii="Verdana" w:hAnsi="Verdana"/>
          <w:sz w:val="20"/>
          <w:szCs w:val="20"/>
        </w:rPr>
        <w:t xml:space="preserve">2. Para la celebración de contrato de prestación de servicios con entidad pública, en el caso de que el estudiante de derecho que haya terminado materias y esté esperando grado, ¿puede que pueda desempeñar actividades contractuales u obligaciones estrictamente jurídicas en las entidades o debe esperar a graduarse? </w:t>
      </w:r>
    </w:p>
    <w:p w14:paraId="645578BC" w14:textId="77777777" w:rsidR="00F32301" w:rsidRDefault="00151F81" w:rsidP="00AC6D81">
      <w:pPr>
        <w:spacing w:after="0" w:line="240" w:lineRule="auto"/>
        <w:ind w:left="709" w:right="709"/>
        <w:jc w:val="both"/>
        <w:rPr>
          <w:rFonts w:ascii="Verdana" w:hAnsi="Verdana"/>
          <w:sz w:val="20"/>
          <w:szCs w:val="20"/>
        </w:rPr>
      </w:pPr>
      <w:r w:rsidRPr="00151F81">
        <w:rPr>
          <w:rFonts w:ascii="Verdana" w:hAnsi="Verdana"/>
          <w:sz w:val="20"/>
          <w:szCs w:val="20"/>
        </w:rPr>
        <w:lastRenderedPageBreak/>
        <w:t>3. Para la celebración de contrato de prestación de servicios con entidad pública el estudiante de derecho que haya culminado materias, esto es, que haya finalizado con la totalidad del pensum académico, ¿se puede crear una equivalencia con técnico o tecnólogo de los semestres aprobados? Teniendo en cuenta que este pregrado no tiene ciclos propedéuticos, y el estudiante no sólo es bachiller, pero todavía no es profesional, pero tiene unos saberes</w:t>
      </w:r>
      <w:r w:rsidR="00F32301">
        <w:rPr>
          <w:rFonts w:ascii="Verdana" w:hAnsi="Verdana"/>
          <w:sz w:val="20"/>
          <w:szCs w:val="20"/>
        </w:rPr>
        <w:t xml:space="preserve"> </w:t>
      </w:r>
      <w:r w:rsidR="00F32301" w:rsidRPr="00F32301">
        <w:rPr>
          <w:rFonts w:ascii="Verdana" w:hAnsi="Verdana"/>
          <w:sz w:val="20"/>
          <w:szCs w:val="20"/>
        </w:rPr>
        <w:t xml:space="preserve">y formación de nivel profesional. </w:t>
      </w:r>
    </w:p>
    <w:p w14:paraId="7D6D1E63" w14:textId="77777777" w:rsidR="00F32301" w:rsidRDefault="00F32301" w:rsidP="00AC6D81">
      <w:pPr>
        <w:spacing w:after="0" w:line="240" w:lineRule="auto"/>
        <w:ind w:left="709" w:right="709"/>
        <w:jc w:val="both"/>
        <w:rPr>
          <w:rFonts w:ascii="Verdana" w:hAnsi="Verdana"/>
          <w:sz w:val="20"/>
          <w:szCs w:val="20"/>
        </w:rPr>
      </w:pPr>
      <w:r w:rsidRPr="00F32301">
        <w:rPr>
          <w:rFonts w:ascii="Verdana" w:hAnsi="Verdana"/>
          <w:sz w:val="20"/>
          <w:szCs w:val="20"/>
        </w:rPr>
        <w:t xml:space="preserve">4. ¿Conforme a la pregunta anterior, en caso tal, como se acreditarían dichas equivalencias o estudios realizados? </w:t>
      </w:r>
    </w:p>
    <w:p w14:paraId="7EC1523A" w14:textId="77777777" w:rsidR="00F32301" w:rsidRDefault="00F32301" w:rsidP="00AC6D81">
      <w:pPr>
        <w:spacing w:after="0" w:line="240" w:lineRule="auto"/>
        <w:ind w:left="709" w:right="709"/>
        <w:jc w:val="both"/>
        <w:rPr>
          <w:rFonts w:ascii="Verdana" w:hAnsi="Verdana"/>
          <w:sz w:val="20"/>
          <w:szCs w:val="20"/>
        </w:rPr>
      </w:pPr>
      <w:r w:rsidRPr="00F32301">
        <w:rPr>
          <w:rFonts w:ascii="Verdana" w:hAnsi="Verdana"/>
          <w:sz w:val="20"/>
          <w:szCs w:val="20"/>
        </w:rPr>
        <w:t xml:space="preserve">5. ¿Las entidades públicas tienen autonomía para tasar los honorarios o remuneración de este tipo de contratos con estudiantes de derecho con terminación de materias o existe alguna prohibición? </w:t>
      </w:r>
    </w:p>
    <w:p w14:paraId="18FF0DD4" w14:textId="77777777" w:rsidR="00F32301" w:rsidRDefault="00F32301" w:rsidP="00AC6D81">
      <w:pPr>
        <w:spacing w:after="0" w:line="240" w:lineRule="auto"/>
        <w:ind w:left="709" w:right="709"/>
        <w:jc w:val="both"/>
        <w:rPr>
          <w:rFonts w:ascii="Verdana" w:hAnsi="Verdana"/>
          <w:sz w:val="20"/>
          <w:szCs w:val="20"/>
        </w:rPr>
      </w:pPr>
      <w:r w:rsidRPr="00F32301">
        <w:rPr>
          <w:rFonts w:ascii="Verdana" w:hAnsi="Verdana"/>
          <w:sz w:val="20"/>
          <w:szCs w:val="20"/>
        </w:rPr>
        <w:t xml:space="preserve">6. ¿Existe alguna limitación en la asignación de las actividades contractuales? </w:t>
      </w:r>
    </w:p>
    <w:p w14:paraId="7432799C" w14:textId="77777777" w:rsidR="003875BA" w:rsidRDefault="00F32301" w:rsidP="00AC6D81">
      <w:pPr>
        <w:spacing w:after="0" w:line="240" w:lineRule="auto"/>
        <w:ind w:left="709" w:right="709"/>
        <w:jc w:val="both"/>
        <w:rPr>
          <w:rFonts w:ascii="Verdana" w:hAnsi="Verdana"/>
          <w:sz w:val="20"/>
          <w:szCs w:val="20"/>
        </w:rPr>
      </w:pPr>
      <w:r w:rsidRPr="00F32301">
        <w:rPr>
          <w:rFonts w:ascii="Verdana" w:hAnsi="Verdana"/>
          <w:sz w:val="20"/>
          <w:szCs w:val="20"/>
        </w:rPr>
        <w:t xml:space="preserve">7. ¿Para la celebración de dichos contratos con estudiante de derecho que haya finalizado el pensum académico, se requiere la exigencia de la licencia temporal de abogado o provisional adicionalmente a los certificados académicos de la universidad? </w:t>
      </w:r>
    </w:p>
    <w:p w14:paraId="0C35A953" w14:textId="6DDA8BCF" w:rsidR="00AC6D81" w:rsidRPr="00186A86" w:rsidRDefault="00F32301" w:rsidP="00AC6D81">
      <w:pPr>
        <w:spacing w:after="0" w:line="240" w:lineRule="auto"/>
        <w:ind w:left="709" w:right="709"/>
        <w:jc w:val="both"/>
        <w:rPr>
          <w:rFonts w:ascii="Verdana" w:hAnsi="Verdana"/>
          <w:sz w:val="20"/>
          <w:szCs w:val="20"/>
        </w:rPr>
      </w:pPr>
      <w:r w:rsidRPr="00F32301">
        <w:rPr>
          <w:rFonts w:ascii="Verdana" w:hAnsi="Verdana"/>
          <w:sz w:val="20"/>
          <w:szCs w:val="20"/>
        </w:rPr>
        <w:t>8. Para efectos de cómputo de la experiencia profesional, del estudiante y futuro profesional. esto es en el área netamente del mismo pregrado, esta se contará en contratos con funciones o actividades relacionadas, posterior a la fecha de terminación de materias, ¿o fecha de grado o fecha de expedición de la tarjeta profesional?</w:t>
      </w:r>
    </w:p>
    <w:p w14:paraId="01AD949F" w14:textId="77777777" w:rsidR="00AC6D81" w:rsidRPr="00186A86" w:rsidRDefault="00AC6D81" w:rsidP="00AC6D81">
      <w:pPr>
        <w:spacing w:after="0" w:line="240" w:lineRule="auto"/>
        <w:ind w:left="709" w:right="709"/>
        <w:jc w:val="both"/>
        <w:rPr>
          <w:rFonts w:ascii="Verdana" w:hAnsi="Verdana"/>
          <w:sz w:val="20"/>
          <w:szCs w:val="20"/>
        </w:rPr>
      </w:pPr>
      <w:r w:rsidRPr="00186A86">
        <w:rPr>
          <w:rFonts w:ascii="Verdana" w:hAnsi="Verdana"/>
          <w:sz w:val="20"/>
          <w:szCs w:val="20"/>
        </w:rPr>
        <w:t>(…)”</w:t>
      </w:r>
    </w:p>
    <w:p w14:paraId="7B2B4577" w14:textId="77777777" w:rsidR="00AC6D81" w:rsidRPr="00186A86" w:rsidRDefault="00AC6D81" w:rsidP="00AC6D81">
      <w:pPr>
        <w:spacing w:after="0" w:line="240" w:lineRule="auto"/>
        <w:ind w:left="709" w:right="709"/>
        <w:jc w:val="both"/>
        <w:rPr>
          <w:rFonts w:ascii="Verdana" w:eastAsia="Calibri" w:hAnsi="Verdana" w:cs="Arial"/>
          <w:sz w:val="20"/>
          <w:szCs w:val="20"/>
          <w:lang w:val="es-ES" w:eastAsia="es-ES"/>
        </w:rPr>
      </w:pPr>
    </w:p>
    <w:p w14:paraId="4614DECB" w14:textId="77777777" w:rsidR="00AC6D81" w:rsidRPr="00186A86" w:rsidRDefault="00AC6D81" w:rsidP="00AC6D81">
      <w:pPr>
        <w:spacing w:after="120" w:line="276" w:lineRule="auto"/>
        <w:jc w:val="both"/>
        <w:rPr>
          <w:rFonts w:ascii="Verdana" w:eastAsia="Calibri" w:hAnsi="Verdana" w:cs="Arial"/>
          <w:lang w:val="es-ES" w:eastAsia="es-ES"/>
        </w:rPr>
      </w:pPr>
      <w:r w:rsidRPr="00186A86">
        <w:rPr>
          <w:rFonts w:ascii="Verdana" w:eastAsia="Calibri" w:hAnsi="Verdana" w:cs="Arial"/>
          <w:lang w:val="es-ES_tradnl" w:eastAsia="es-ES_tradnl"/>
        </w:rPr>
        <w:tab/>
      </w:r>
      <w:r w:rsidRPr="00186A86">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29B3E631" w14:textId="77777777" w:rsidR="00AC6D81" w:rsidRPr="00186A86" w:rsidRDefault="00AC6D81" w:rsidP="00AC6D81">
      <w:pPr>
        <w:spacing w:after="0" w:line="276" w:lineRule="auto"/>
        <w:jc w:val="both"/>
        <w:rPr>
          <w:rFonts w:ascii="Verdana" w:eastAsia="Calibri" w:hAnsi="Verdana" w:cs="Arial"/>
          <w:lang w:val="es-ES" w:eastAsia="es-ES"/>
        </w:rPr>
      </w:pPr>
      <w:r w:rsidRPr="00186A86">
        <w:rPr>
          <w:rFonts w:ascii="Verdana" w:eastAsia="Calibri" w:hAnsi="Verdana" w:cs="Arial"/>
          <w:lang w:val="es-ES" w:eastAsia="es-ES"/>
        </w:rPr>
        <w:tab/>
        <w:t xml:space="preserve">Conforme lo expuesto, en aras de satisfacer el derecho fundamental de petición se resolverá su consulta dentro de los límites de la referida competencia consultiva, esto es, haciendo abstracción de las circunstancias particulares y </w:t>
      </w:r>
      <w:r w:rsidRPr="00186A86">
        <w:rPr>
          <w:rFonts w:ascii="Verdana" w:eastAsia="Calibri" w:hAnsi="Verdana" w:cs="Arial"/>
          <w:lang w:val="es-ES" w:eastAsia="es-ES"/>
        </w:rPr>
        <w:lastRenderedPageBreak/>
        <w:t>concretas mencionadas en su petición, pero haciendo unas consideraciones sobre las normas generales relacionadas con el problema jurídico de su consulta.</w:t>
      </w:r>
    </w:p>
    <w:p w14:paraId="7592B479" w14:textId="77777777" w:rsidR="00AC6D81" w:rsidRDefault="00AC6D81" w:rsidP="00AC6D81">
      <w:pPr>
        <w:spacing w:after="0" w:line="276" w:lineRule="auto"/>
        <w:jc w:val="both"/>
        <w:rPr>
          <w:rFonts w:ascii="Verdana" w:eastAsia="Calibri" w:hAnsi="Verdana" w:cs="Arial"/>
          <w:lang w:val="es-ES" w:eastAsia="es-ES"/>
        </w:rPr>
      </w:pPr>
    </w:p>
    <w:p w14:paraId="3680FB7C" w14:textId="77777777" w:rsidR="003F6C14" w:rsidRPr="00186A86" w:rsidRDefault="003F6C14" w:rsidP="00AC6D81">
      <w:pPr>
        <w:spacing w:after="0" w:line="276" w:lineRule="auto"/>
        <w:jc w:val="both"/>
        <w:rPr>
          <w:rFonts w:ascii="Verdana" w:eastAsia="Calibri" w:hAnsi="Verdana" w:cs="Arial"/>
          <w:lang w:val="es-ES" w:eastAsia="es-ES"/>
        </w:rPr>
      </w:pPr>
    </w:p>
    <w:p w14:paraId="18227B86" w14:textId="77777777" w:rsidR="00AC6D81" w:rsidRPr="00186A86" w:rsidRDefault="00AC6D81" w:rsidP="00AC6D8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86A86">
        <w:rPr>
          <w:rFonts w:ascii="Verdana" w:eastAsia="Century Gothic" w:hAnsi="Verdana" w:cs="Century Gothic"/>
          <w:b/>
          <w:bCs/>
        </w:rPr>
        <w:t>Problema planteado:</w:t>
      </w:r>
    </w:p>
    <w:p w14:paraId="72366DCE" w14:textId="77777777" w:rsidR="003F6C14" w:rsidRDefault="003F6C14" w:rsidP="00321D29">
      <w:pPr>
        <w:tabs>
          <w:tab w:val="left" w:pos="142"/>
          <w:tab w:val="left" w:pos="284"/>
        </w:tabs>
        <w:spacing w:after="0" w:line="276" w:lineRule="auto"/>
        <w:jc w:val="both"/>
        <w:rPr>
          <w:rFonts w:ascii="Verdana" w:eastAsia="Century Gothic" w:hAnsi="Verdana" w:cs="Century Gothic"/>
          <w:b/>
          <w:bCs/>
        </w:rPr>
      </w:pPr>
    </w:p>
    <w:p w14:paraId="361D443A" w14:textId="31A04DA2" w:rsidR="00321D29" w:rsidRPr="00621E6D" w:rsidRDefault="00621E6D" w:rsidP="00621E6D">
      <w:pPr>
        <w:tabs>
          <w:tab w:val="left" w:pos="142"/>
          <w:tab w:val="left" w:pos="284"/>
        </w:tabs>
        <w:spacing w:after="0" w:line="276" w:lineRule="auto"/>
        <w:jc w:val="both"/>
        <w:rPr>
          <w:rFonts w:ascii="Verdana" w:eastAsia="Calibri" w:hAnsi="Verdana" w:cs="Arial"/>
          <w:lang w:val="es-ES"/>
        </w:rPr>
      </w:pPr>
      <w:r w:rsidRPr="00621E6D">
        <w:rPr>
          <w:rFonts w:ascii="Verdana" w:eastAsia="Calibri" w:hAnsi="Verdana" w:cs="Arial"/>
          <w:lang w:val="es-ES"/>
        </w:rPr>
        <w:t xml:space="preserve">De acuerdo con el contenido de su solicitud, esta Agencia resolverá </w:t>
      </w:r>
      <w:r>
        <w:rPr>
          <w:rFonts w:ascii="Verdana" w:eastAsia="Calibri" w:hAnsi="Verdana" w:cs="Arial"/>
          <w:lang w:val="es-ES"/>
        </w:rPr>
        <w:t xml:space="preserve">los </w:t>
      </w:r>
      <w:r w:rsidRPr="00621E6D">
        <w:rPr>
          <w:rFonts w:ascii="Verdana" w:eastAsia="Calibri" w:hAnsi="Verdana" w:cs="Arial"/>
          <w:lang w:val="es-ES"/>
        </w:rPr>
        <w:t>siguiente</w:t>
      </w:r>
      <w:r>
        <w:rPr>
          <w:rFonts w:ascii="Verdana" w:eastAsia="Calibri" w:hAnsi="Verdana" w:cs="Arial"/>
          <w:lang w:val="es-ES"/>
        </w:rPr>
        <w:t>s</w:t>
      </w:r>
      <w:r w:rsidRPr="00621E6D">
        <w:rPr>
          <w:rFonts w:ascii="Verdana" w:eastAsia="Calibri" w:hAnsi="Verdana" w:cs="Arial"/>
          <w:lang w:val="es-ES"/>
        </w:rPr>
        <w:t xml:space="preserve"> problemas jurídico</w:t>
      </w:r>
      <w:r>
        <w:rPr>
          <w:rFonts w:ascii="Verdana" w:eastAsia="Calibri" w:hAnsi="Verdana" w:cs="Arial"/>
          <w:lang w:val="es-ES"/>
        </w:rPr>
        <w:t>s</w:t>
      </w:r>
      <w:r w:rsidRPr="00621E6D">
        <w:rPr>
          <w:rFonts w:ascii="Verdana" w:eastAsia="Calibri" w:hAnsi="Verdana" w:cs="Arial"/>
          <w:lang w:val="es-ES"/>
        </w:rPr>
        <w:t xml:space="preserve">: </w:t>
      </w:r>
      <w:r w:rsidR="00660E6E">
        <w:rPr>
          <w:rFonts w:ascii="Verdana" w:eastAsia="Calibri" w:hAnsi="Verdana" w:cs="Arial"/>
          <w:lang w:val="es-ES"/>
        </w:rPr>
        <w:t xml:space="preserve">i) </w:t>
      </w:r>
      <w:proofErr w:type="gramStart"/>
      <w:r w:rsidR="00660E6E" w:rsidRPr="00660E6E">
        <w:rPr>
          <w:rFonts w:ascii="Verdana" w:eastAsia="Calibri" w:hAnsi="Verdana" w:cs="Arial"/>
        </w:rPr>
        <w:t xml:space="preserve">¿Se puede </w:t>
      </w:r>
      <w:r w:rsidR="002F2756">
        <w:rPr>
          <w:rFonts w:ascii="Verdana" w:eastAsia="Calibri" w:hAnsi="Verdana" w:cs="Arial"/>
        </w:rPr>
        <w:t xml:space="preserve">celebrar un </w:t>
      </w:r>
      <w:r w:rsidR="002F2756" w:rsidRPr="002F2756">
        <w:rPr>
          <w:rFonts w:ascii="Verdana" w:eastAsia="Calibri" w:hAnsi="Verdana" w:cs="Arial"/>
        </w:rPr>
        <w:t xml:space="preserve">contrato de prestación de servicios con una entidad pública </w:t>
      </w:r>
      <w:r w:rsidR="008F1531">
        <w:rPr>
          <w:rFonts w:ascii="Verdana" w:eastAsia="Calibri" w:hAnsi="Verdana" w:cs="Arial"/>
        </w:rPr>
        <w:t xml:space="preserve">para realizar la judicatura </w:t>
      </w:r>
      <w:r w:rsidR="00D342DD">
        <w:rPr>
          <w:rFonts w:ascii="Verdana" w:eastAsia="Calibri" w:hAnsi="Verdana" w:cs="Arial"/>
        </w:rPr>
        <w:t xml:space="preserve">de conformidad a lo establecido en </w:t>
      </w:r>
      <w:r w:rsidR="003C0A39" w:rsidRPr="003C0A39">
        <w:rPr>
          <w:rFonts w:ascii="Verdana" w:eastAsia="Calibri" w:hAnsi="Verdana" w:cs="Arial"/>
        </w:rPr>
        <w:t>ACUERDO No.</w:t>
      </w:r>
      <w:proofErr w:type="gramEnd"/>
      <w:r w:rsidR="003C0A39" w:rsidRPr="003C0A39">
        <w:rPr>
          <w:rFonts w:ascii="Verdana" w:eastAsia="Calibri" w:hAnsi="Verdana" w:cs="Arial"/>
        </w:rPr>
        <w:t xml:space="preserve"> PSAA10-7543 DE 2010</w:t>
      </w:r>
      <w:r w:rsidR="005D09FC">
        <w:rPr>
          <w:rFonts w:ascii="Verdana" w:eastAsia="Calibri" w:hAnsi="Verdana" w:cs="Arial"/>
        </w:rPr>
        <w:t xml:space="preserve"> del Consejo Superior de la Judicatura</w:t>
      </w:r>
      <w:r w:rsidR="00660E6E" w:rsidRPr="00660E6E">
        <w:rPr>
          <w:rFonts w:ascii="Verdana" w:eastAsia="Calibri" w:hAnsi="Verdana" w:cs="Arial"/>
        </w:rPr>
        <w:t xml:space="preserve">?; </w:t>
      </w:r>
      <w:proofErr w:type="spellStart"/>
      <w:r w:rsidR="00660E6E" w:rsidRPr="00660E6E">
        <w:rPr>
          <w:rFonts w:ascii="Verdana" w:eastAsia="Calibri" w:hAnsi="Verdana" w:cs="Arial"/>
        </w:rPr>
        <w:t>ii</w:t>
      </w:r>
      <w:proofErr w:type="spellEnd"/>
      <w:r w:rsidR="00660E6E" w:rsidRPr="00660E6E">
        <w:rPr>
          <w:rFonts w:ascii="Verdana" w:eastAsia="Calibri" w:hAnsi="Verdana" w:cs="Arial"/>
        </w:rPr>
        <w:t xml:space="preserve">) ¿Cómo se puede acreditar la experiencia profesional para la celebración de los contratos de prestación de servicios?, </w:t>
      </w:r>
      <w:proofErr w:type="spellStart"/>
      <w:r w:rsidR="00660E6E" w:rsidRPr="00660E6E">
        <w:rPr>
          <w:rFonts w:ascii="Verdana" w:eastAsia="Calibri" w:hAnsi="Verdana" w:cs="Arial"/>
        </w:rPr>
        <w:t>iii</w:t>
      </w:r>
      <w:proofErr w:type="spellEnd"/>
      <w:r w:rsidR="00660E6E" w:rsidRPr="00660E6E">
        <w:rPr>
          <w:rFonts w:ascii="Verdana" w:eastAsia="Calibri" w:hAnsi="Verdana" w:cs="Arial"/>
        </w:rPr>
        <w:t xml:space="preserve">) </w:t>
      </w:r>
      <w:proofErr w:type="gramStart"/>
      <w:r w:rsidR="007B6456">
        <w:rPr>
          <w:rFonts w:ascii="Verdana" w:eastAsia="Calibri" w:hAnsi="Verdana" w:cs="Arial"/>
        </w:rPr>
        <w:t>¿</w:t>
      </w:r>
      <w:r w:rsidR="00D40F08">
        <w:rPr>
          <w:rFonts w:ascii="Verdana" w:eastAsia="Calibri" w:hAnsi="Verdana" w:cs="Arial"/>
        </w:rPr>
        <w:t xml:space="preserve">Se puede aplicar a los contratos de prestación de servicio, las </w:t>
      </w:r>
      <w:r w:rsidR="00660E6E" w:rsidRPr="00660E6E">
        <w:rPr>
          <w:rFonts w:ascii="Verdana" w:eastAsia="Calibri" w:hAnsi="Verdana" w:cs="Arial"/>
        </w:rPr>
        <w:t>equivalencias que trata el artículo 2.</w:t>
      </w:r>
      <w:proofErr w:type="gramEnd"/>
      <w:r w:rsidR="00660E6E" w:rsidRPr="00660E6E">
        <w:rPr>
          <w:rFonts w:ascii="Verdana" w:eastAsia="Calibri" w:hAnsi="Verdana" w:cs="Arial"/>
        </w:rPr>
        <w:t>2.2.5.1 del Decreto 1083 de 2015? </w:t>
      </w:r>
    </w:p>
    <w:p w14:paraId="1A2B62C0" w14:textId="77777777" w:rsidR="003F6C14" w:rsidRPr="003F6C14" w:rsidRDefault="003F6C14" w:rsidP="003F6C14">
      <w:pPr>
        <w:tabs>
          <w:tab w:val="left" w:pos="142"/>
          <w:tab w:val="left" w:pos="284"/>
        </w:tabs>
        <w:spacing w:after="0" w:line="276" w:lineRule="auto"/>
        <w:ind w:left="6241"/>
        <w:jc w:val="both"/>
        <w:rPr>
          <w:rFonts w:ascii="Verdana" w:eastAsia="Century Gothic" w:hAnsi="Verdana" w:cs="Century Gothic"/>
          <w:b/>
          <w:bCs/>
        </w:rPr>
      </w:pPr>
    </w:p>
    <w:p w14:paraId="6166CF7F" w14:textId="43D69553" w:rsidR="00AC6D81" w:rsidRPr="00186A86" w:rsidRDefault="00AC6D81" w:rsidP="00AC6D8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86A86">
        <w:rPr>
          <w:rFonts w:ascii="Verdana" w:eastAsia="Century Gothic" w:hAnsi="Verdana" w:cs="Century Gothic"/>
          <w:b/>
          <w:bCs/>
        </w:rPr>
        <w:t>Respuesta:</w:t>
      </w:r>
    </w:p>
    <w:p w14:paraId="40332EFA" w14:textId="77777777" w:rsidR="00AC6D81" w:rsidRDefault="00AC6D81" w:rsidP="00AC6D81">
      <w:pPr>
        <w:pStyle w:val="Prrafodelista"/>
        <w:tabs>
          <w:tab w:val="left" w:pos="142"/>
          <w:tab w:val="left" w:pos="284"/>
        </w:tabs>
        <w:spacing w:after="0" w:line="276" w:lineRule="auto"/>
        <w:ind w:left="0"/>
        <w:jc w:val="both"/>
        <w:rPr>
          <w:rFonts w:ascii="Verdana" w:eastAsia="Century Gothic" w:hAnsi="Verdana" w:cs="Century Gothic"/>
          <w:b/>
          <w:bCs/>
        </w:rPr>
      </w:pPr>
    </w:p>
    <w:p w14:paraId="33FF2CA6" w14:textId="76358C3D" w:rsidR="00103E51" w:rsidRDefault="005C178A" w:rsidP="00CF2489">
      <w:pPr>
        <w:tabs>
          <w:tab w:val="left" w:pos="142"/>
          <w:tab w:val="left" w:pos="284"/>
        </w:tabs>
        <w:spacing w:line="276" w:lineRule="auto"/>
        <w:jc w:val="both"/>
        <w:rPr>
          <w:rFonts w:ascii="Verdana" w:eastAsia="Calibri" w:hAnsi="Verdana" w:cs="Arial"/>
        </w:rPr>
      </w:pPr>
      <w:r w:rsidRPr="00415279">
        <w:rPr>
          <w:rFonts w:ascii="Verdana" w:eastAsia="Calibri" w:hAnsi="Verdana" w:cs="Arial"/>
        </w:rPr>
        <w:t xml:space="preserve">En primer lugar, es pertinente señalar que </w:t>
      </w:r>
      <w:r w:rsidR="00FC6448">
        <w:rPr>
          <w:rFonts w:ascii="Verdana" w:eastAsia="Calibri" w:hAnsi="Verdana" w:cs="Arial"/>
        </w:rPr>
        <w:t xml:space="preserve">el </w:t>
      </w:r>
      <w:r w:rsidR="007B6456" w:rsidRPr="003C0A39">
        <w:rPr>
          <w:rFonts w:ascii="Verdana" w:eastAsia="Calibri" w:hAnsi="Verdana" w:cs="Arial"/>
        </w:rPr>
        <w:t>A</w:t>
      </w:r>
      <w:r w:rsidR="002C2BD7">
        <w:rPr>
          <w:rFonts w:ascii="Verdana" w:eastAsia="Calibri" w:hAnsi="Verdana" w:cs="Arial"/>
        </w:rPr>
        <w:t>cuerdo</w:t>
      </w:r>
      <w:r w:rsidR="007B6456" w:rsidRPr="003C0A39">
        <w:rPr>
          <w:rFonts w:ascii="Verdana" w:eastAsia="Calibri" w:hAnsi="Verdana" w:cs="Arial"/>
        </w:rPr>
        <w:t xml:space="preserve"> No. PSAA10-7543 DE 2010</w:t>
      </w:r>
      <w:r w:rsidR="007B6456">
        <w:rPr>
          <w:rFonts w:ascii="Verdana" w:eastAsia="Calibri" w:hAnsi="Verdana" w:cs="Arial"/>
        </w:rPr>
        <w:t xml:space="preserve"> del Consejo Superior de la Judicatura, </w:t>
      </w:r>
      <w:r w:rsidR="00CF2489">
        <w:rPr>
          <w:rFonts w:ascii="Verdana" w:eastAsia="Calibri" w:hAnsi="Verdana" w:cs="Arial"/>
        </w:rPr>
        <w:t xml:space="preserve">en el artículo </w:t>
      </w:r>
      <w:r w:rsidR="00B64D79">
        <w:rPr>
          <w:rFonts w:ascii="Verdana" w:eastAsia="Calibri" w:hAnsi="Verdana" w:cs="Arial"/>
        </w:rPr>
        <w:t>1 establece</w:t>
      </w:r>
      <w:r w:rsidR="002C2BD7">
        <w:rPr>
          <w:rFonts w:ascii="Verdana" w:eastAsia="Calibri" w:hAnsi="Verdana" w:cs="Arial"/>
        </w:rPr>
        <w:t xml:space="preserve"> </w:t>
      </w:r>
      <w:r w:rsidR="00CF2489">
        <w:rPr>
          <w:rFonts w:ascii="Verdana" w:eastAsia="Calibri" w:hAnsi="Verdana" w:cs="Arial"/>
        </w:rPr>
        <w:t xml:space="preserve">lo siguiente: </w:t>
      </w:r>
    </w:p>
    <w:p w14:paraId="0E9CC52A" w14:textId="6F769A02" w:rsidR="00CF2489" w:rsidRPr="00103E51" w:rsidRDefault="00CF2489" w:rsidP="00103E51">
      <w:pPr>
        <w:tabs>
          <w:tab w:val="left" w:pos="142"/>
          <w:tab w:val="left" w:pos="284"/>
        </w:tabs>
        <w:spacing w:line="276" w:lineRule="auto"/>
        <w:ind w:left="851" w:right="758"/>
        <w:jc w:val="both"/>
        <w:rPr>
          <w:rFonts w:ascii="Verdana" w:eastAsia="Calibri" w:hAnsi="Verdana" w:cs="Arial"/>
          <w:sz w:val="20"/>
          <w:szCs w:val="20"/>
        </w:rPr>
      </w:pPr>
      <w:r>
        <w:rPr>
          <w:rFonts w:ascii="Verdana" w:eastAsia="Calibri" w:hAnsi="Verdana" w:cs="Arial"/>
        </w:rPr>
        <w:t>“</w:t>
      </w:r>
      <w:r w:rsidRPr="00103E51">
        <w:rPr>
          <w:rFonts w:ascii="Verdana" w:eastAsia="Calibri" w:hAnsi="Verdana" w:cs="Arial"/>
          <w:sz w:val="20"/>
          <w:szCs w:val="20"/>
        </w:rPr>
        <w:t>La judicatura consiste en el desarrollo práctico de los conocimientos teóricos adquiridos en las Instituciones de Educación Superior autorizadas por el Gobierno Nacional en lo que respecta al programa de Derecho.</w:t>
      </w:r>
    </w:p>
    <w:p w14:paraId="05387407" w14:textId="319873AF" w:rsidR="005C178A" w:rsidRPr="00103E51" w:rsidRDefault="00CF2489" w:rsidP="00103E51">
      <w:pPr>
        <w:tabs>
          <w:tab w:val="left" w:pos="142"/>
          <w:tab w:val="left" w:pos="284"/>
        </w:tabs>
        <w:spacing w:line="276" w:lineRule="auto"/>
        <w:ind w:left="851" w:right="758"/>
        <w:jc w:val="both"/>
        <w:rPr>
          <w:rFonts w:ascii="Verdana" w:eastAsia="Calibri" w:hAnsi="Verdana" w:cs="Arial"/>
        </w:rPr>
      </w:pPr>
      <w:r w:rsidRPr="00CF2489">
        <w:rPr>
          <w:rFonts w:ascii="Verdana" w:eastAsia="Calibri" w:hAnsi="Verdana" w:cs="Arial"/>
          <w:sz w:val="20"/>
          <w:szCs w:val="20"/>
          <w:u w:val="single"/>
        </w:rPr>
        <w:t>Esta actividad la puede ejercer el egresado de la facultad de derecho una vez haya cursado y aprobado la totalidad de las materias que integran el plan de estudios,</w:t>
      </w:r>
      <w:r w:rsidRPr="00CF2489">
        <w:rPr>
          <w:rFonts w:ascii="Verdana" w:eastAsia="Calibri" w:hAnsi="Verdana" w:cs="Arial"/>
          <w:sz w:val="20"/>
          <w:szCs w:val="20"/>
        </w:rPr>
        <w:t xml:space="preserve"> </w:t>
      </w:r>
      <w:r w:rsidRPr="00CF2489">
        <w:rPr>
          <w:rFonts w:ascii="Verdana" w:eastAsia="Calibri" w:hAnsi="Verdana" w:cs="Arial"/>
          <w:sz w:val="20"/>
          <w:szCs w:val="20"/>
          <w:u w:val="single"/>
        </w:rPr>
        <w:t>cualquiera que sea la naturaleza o denominación de la relación jurídica</w:t>
      </w:r>
      <w:r w:rsidRPr="00CF2489">
        <w:rPr>
          <w:rFonts w:ascii="Verdana" w:eastAsia="Calibri" w:hAnsi="Verdana" w:cs="Arial"/>
          <w:u w:val="single"/>
        </w:rPr>
        <w:t>.</w:t>
      </w:r>
      <w:r w:rsidR="00103E51" w:rsidRPr="00103E51">
        <w:rPr>
          <w:rFonts w:ascii="Verdana" w:eastAsia="Calibri" w:hAnsi="Verdana" w:cs="Arial"/>
          <w:u w:val="single"/>
        </w:rPr>
        <w:t>”</w:t>
      </w:r>
      <w:r w:rsidR="00635D00">
        <w:rPr>
          <w:rFonts w:ascii="Verdana" w:eastAsia="Calibri" w:hAnsi="Verdana" w:cs="Arial"/>
          <w:u w:val="single"/>
        </w:rPr>
        <w:t xml:space="preserve"> (Énfasis propio)</w:t>
      </w:r>
    </w:p>
    <w:p w14:paraId="6807F4B6" w14:textId="68F68257" w:rsidR="00103E51" w:rsidRPr="00461C71" w:rsidRDefault="00103E51" w:rsidP="00635D00">
      <w:pPr>
        <w:tabs>
          <w:tab w:val="left" w:pos="567"/>
        </w:tabs>
        <w:spacing w:line="276" w:lineRule="auto"/>
        <w:ind w:right="49"/>
        <w:jc w:val="both"/>
        <w:rPr>
          <w:rFonts w:ascii="Verdana" w:eastAsia="Calibri" w:hAnsi="Verdana" w:cs="Arial"/>
        </w:rPr>
      </w:pPr>
      <w:r w:rsidRPr="00635D00">
        <w:rPr>
          <w:rFonts w:ascii="Verdana" w:eastAsia="Calibri" w:hAnsi="Verdana" w:cs="Arial"/>
        </w:rPr>
        <w:tab/>
      </w:r>
      <w:r w:rsidRPr="00635D00">
        <w:rPr>
          <w:rFonts w:ascii="Verdana" w:eastAsia="Calibri" w:hAnsi="Verdana" w:cs="Arial"/>
        </w:rPr>
        <w:tab/>
        <w:t>De lo cual se puede desprender la posibilidad de</w:t>
      </w:r>
      <w:r w:rsidR="00322DDF" w:rsidRPr="00635D00">
        <w:rPr>
          <w:rFonts w:ascii="Verdana" w:eastAsia="Calibri" w:hAnsi="Verdana" w:cs="Arial"/>
        </w:rPr>
        <w:t xml:space="preserve"> llevar a cabo la celebración de un contrato de prestación de servicios de apoyo a la gestión para realizar las actividades </w:t>
      </w:r>
      <w:r w:rsidR="00F44AA0" w:rsidRPr="00635D00">
        <w:rPr>
          <w:rFonts w:ascii="Verdana" w:eastAsia="Calibri" w:hAnsi="Verdana" w:cs="Arial"/>
        </w:rPr>
        <w:t>de judicatura</w:t>
      </w:r>
      <w:r w:rsidR="00322DDF">
        <w:rPr>
          <w:rFonts w:ascii="Verdana" w:eastAsia="Calibri" w:hAnsi="Verdana" w:cs="Arial"/>
          <w:sz w:val="20"/>
          <w:szCs w:val="20"/>
        </w:rPr>
        <w:t xml:space="preserve">. </w:t>
      </w:r>
      <w:r w:rsidR="00322DDF" w:rsidRPr="00461C71">
        <w:rPr>
          <w:rFonts w:ascii="Verdana" w:eastAsia="Calibri" w:hAnsi="Verdana" w:cs="Arial"/>
        </w:rPr>
        <w:t>Ahora bien, es pertinente señalar que está Subdirección no t</w:t>
      </w:r>
      <w:r w:rsidR="00461C71">
        <w:rPr>
          <w:rFonts w:ascii="Verdana" w:eastAsia="Calibri" w:hAnsi="Verdana" w:cs="Arial"/>
        </w:rPr>
        <w:t>iene</w:t>
      </w:r>
      <w:r w:rsidR="00F44AA0" w:rsidRPr="00461C71">
        <w:rPr>
          <w:rFonts w:ascii="Verdana" w:eastAsia="Calibri" w:hAnsi="Verdana" w:cs="Arial"/>
        </w:rPr>
        <w:t xml:space="preserve"> la competencia para determinar la viabilidad o no de la aprobación </w:t>
      </w:r>
      <w:r w:rsidR="00635D00" w:rsidRPr="00461C71">
        <w:rPr>
          <w:rFonts w:ascii="Verdana" w:eastAsia="Calibri" w:hAnsi="Verdana" w:cs="Arial"/>
        </w:rPr>
        <w:t xml:space="preserve">de la judicatura remunerada a la luz del artículo 5 del </w:t>
      </w:r>
      <w:r w:rsidR="00635D00" w:rsidRPr="002C2BD7">
        <w:rPr>
          <w:rFonts w:ascii="Verdana" w:eastAsia="Calibri" w:hAnsi="Verdana" w:cs="Arial"/>
        </w:rPr>
        <w:t>A</w:t>
      </w:r>
      <w:r w:rsidR="00C82437">
        <w:rPr>
          <w:rFonts w:ascii="Verdana" w:eastAsia="Calibri" w:hAnsi="Verdana" w:cs="Arial"/>
        </w:rPr>
        <w:t>cuerdo</w:t>
      </w:r>
      <w:r w:rsidR="00635D00" w:rsidRPr="003C0A39">
        <w:rPr>
          <w:rFonts w:ascii="Verdana" w:eastAsia="Calibri" w:hAnsi="Verdana" w:cs="Arial"/>
        </w:rPr>
        <w:t xml:space="preserve"> No. PSAA10-7543 DE 2010</w:t>
      </w:r>
      <w:r w:rsidR="00392FC7">
        <w:rPr>
          <w:rFonts w:ascii="Verdana" w:eastAsia="Calibri" w:hAnsi="Verdana" w:cs="Arial"/>
        </w:rPr>
        <w:t>.</w:t>
      </w:r>
    </w:p>
    <w:p w14:paraId="61C7EE95" w14:textId="53F337D1" w:rsidR="005C178A" w:rsidRPr="00415279" w:rsidRDefault="00635D00" w:rsidP="00635D00">
      <w:pPr>
        <w:tabs>
          <w:tab w:val="left" w:pos="426"/>
        </w:tabs>
        <w:spacing w:line="276" w:lineRule="auto"/>
        <w:jc w:val="both"/>
        <w:rPr>
          <w:rFonts w:ascii="Verdana" w:eastAsia="Calibri" w:hAnsi="Verdana" w:cs="Arial"/>
        </w:rPr>
      </w:pPr>
      <w:r>
        <w:rPr>
          <w:rFonts w:ascii="Verdana" w:eastAsia="Calibri" w:hAnsi="Verdana" w:cs="Arial"/>
        </w:rPr>
        <w:tab/>
      </w:r>
      <w:r>
        <w:rPr>
          <w:rFonts w:ascii="Verdana" w:eastAsia="Calibri" w:hAnsi="Verdana" w:cs="Arial"/>
        </w:rPr>
        <w:tab/>
      </w:r>
      <w:r w:rsidR="005C178A" w:rsidRPr="00415279">
        <w:rPr>
          <w:rFonts w:ascii="Verdana" w:eastAsia="Calibri" w:hAnsi="Verdana" w:cs="Arial"/>
        </w:rPr>
        <w:t>En segundo lugar,</w:t>
      </w:r>
      <w:r w:rsidR="00392FC7">
        <w:rPr>
          <w:rFonts w:ascii="Verdana" w:eastAsia="Calibri" w:hAnsi="Verdana" w:cs="Arial"/>
        </w:rPr>
        <w:t xml:space="preserve"> frente</w:t>
      </w:r>
      <w:r w:rsidR="005C178A" w:rsidRPr="00415279">
        <w:rPr>
          <w:rFonts w:ascii="Verdana" w:eastAsia="Calibri" w:hAnsi="Verdana" w:cs="Arial"/>
        </w:rPr>
        <w:t xml:space="preserve"> la acreditación de la experiencia profesional, </w:t>
      </w:r>
      <w:r w:rsidR="00392FC7">
        <w:rPr>
          <w:rFonts w:ascii="Verdana" w:eastAsia="Calibri" w:hAnsi="Verdana" w:cs="Arial"/>
        </w:rPr>
        <w:t>esta</w:t>
      </w:r>
      <w:r w:rsidR="00B94E3E">
        <w:rPr>
          <w:rFonts w:ascii="Verdana" w:eastAsia="Calibri" w:hAnsi="Verdana" w:cs="Arial"/>
        </w:rPr>
        <w:t xml:space="preserve"> </w:t>
      </w:r>
      <w:r w:rsidR="005C178A" w:rsidRPr="00415279">
        <w:rPr>
          <w:rFonts w:ascii="Verdana" w:eastAsia="Calibri" w:hAnsi="Verdana" w:cs="Arial"/>
        </w:rPr>
        <w:t xml:space="preserve">se debe verificar de acuerdo con lo regulado en el artículo 2.2.2.3.7 del Decreto 1083 de 2015. En virtud de esta norma, el ejercicio de las diferentes profesiones </w:t>
      </w:r>
      <w:r w:rsidR="005C178A" w:rsidRPr="00415279">
        <w:rPr>
          <w:rFonts w:ascii="Verdana" w:eastAsia="Calibri" w:hAnsi="Verdana" w:cs="Arial"/>
        </w:rPr>
        <w:lastRenderedPageBreak/>
        <w:t>acreditadas por el Ministerio de Educación Nacional se contabiliza a partir de la terminación y aprobación del pensum académico de educación superior, salvo para las profesiones relacionadas con el sistema de seguridad social en salud, en las cuales la experiencia profesional se computa a partir de la inscripción o registro profesional</w:t>
      </w:r>
      <w:r w:rsidR="00B75B22">
        <w:rPr>
          <w:rFonts w:ascii="Verdana" w:eastAsia="Calibri" w:hAnsi="Verdana" w:cs="Arial"/>
        </w:rPr>
        <w:t xml:space="preserve">, como es la profesión de derecho objeto de la consulta. </w:t>
      </w:r>
      <w:r w:rsidR="005C178A" w:rsidRPr="00415279">
        <w:rPr>
          <w:rFonts w:ascii="Verdana" w:eastAsia="Calibri" w:hAnsi="Verdana" w:cs="Arial"/>
        </w:rPr>
        <w:t> </w:t>
      </w:r>
    </w:p>
    <w:p w14:paraId="40754B42" w14:textId="3B37121C" w:rsidR="00415279" w:rsidRPr="009149A4" w:rsidRDefault="009D5D07" w:rsidP="009149A4">
      <w:pPr>
        <w:tabs>
          <w:tab w:val="left" w:pos="142"/>
          <w:tab w:val="left" w:pos="284"/>
        </w:tabs>
        <w:spacing w:after="0" w:line="276" w:lineRule="auto"/>
        <w:jc w:val="both"/>
        <w:rPr>
          <w:rFonts w:ascii="Verdana" w:eastAsia="Calibri" w:hAnsi="Verdana" w:cs="Arial"/>
        </w:rPr>
      </w:pPr>
      <w:r>
        <w:rPr>
          <w:rFonts w:ascii="Verdana" w:eastAsia="Calibri" w:hAnsi="Verdana" w:cs="Arial"/>
        </w:rPr>
        <w:tab/>
      </w:r>
      <w:r>
        <w:rPr>
          <w:rFonts w:ascii="Verdana" w:eastAsia="Calibri" w:hAnsi="Verdana" w:cs="Arial"/>
        </w:rPr>
        <w:tab/>
      </w:r>
      <w:r>
        <w:rPr>
          <w:rFonts w:ascii="Verdana" w:eastAsia="Calibri" w:hAnsi="Verdana" w:cs="Arial"/>
        </w:rPr>
        <w:tab/>
      </w:r>
      <w:r w:rsidR="00415279" w:rsidRPr="009149A4">
        <w:rPr>
          <w:rFonts w:ascii="Verdana" w:eastAsia="Calibri" w:hAnsi="Verdana" w:cs="Arial"/>
        </w:rPr>
        <w:t xml:space="preserve">Finalmente se precisa </w:t>
      </w:r>
      <w:r w:rsidR="00B64D79" w:rsidRPr="009149A4">
        <w:rPr>
          <w:rFonts w:ascii="Verdana" w:eastAsia="Calibri" w:hAnsi="Verdana" w:cs="Arial"/>
        </w:rPr>
        <w:t>que,</w:t>
      </w:r>
      <w:r w:rsidR="00415279" w:rsidRPr="009149A4">
        <w:rPr>
          <w:rFonts w:ascii="Verdana" w:eastAsia="Calibri" w:hAnsi="Verdana" w:cs="Arial"/>
        </w:rPr>
        <w:t xml:space="preserve"> para el Contrato de Prestación de Servicios, una vez la entidad ha establecido la experiencia y los estudios que debe tener una persona natural o jurídica para celebrar un contrato de prestación de servicios, en su autonomía y como directora del proceso de contratación debe determinar cómo evaluar que esto se cumpla, sin que sea obligatorio la aplicabilidad el Decreto 1083 de 2015 respecto de la equivalencia entre experiencia y estudios, ya que el artículo 2.1.1.1. que trata del objeto del decreto señala que es</w:t>
      </w:r>
      <w:r w:rsidR="0039621F">
        <w:rPr>
          <w:rFonts w:ascii="Verdana" w:eastAsia="Calibri" w:hAnsi="Verdana" w:cs="Arial"/>
        </w:rPr>
        <w:t xml:space="preserve">ta norma rige </w:t>
      </w:r>
      <w:r w:rsidR="00415279" w:rsidRPr="009149A4">
        <w:rPr>
          <w:rFonts w:ascii="Verdana" w:eastAsia="Calibri" w:hAnsi="Verdana" w:cs="Arial"/>
        </w:rPr>
        <w:t xml:space="preserve">para el sector de la función pública en temas como “empleo público; funciones, competencias y requisitos generales para los empleos públicos de los distintos niveles jerárquicos de los organismos y entidades del orden nacional y territorial; administración de personal (…)”, entre otros.  </w:t>
      </w:r>
    </w:p>
    <w:p w14:paraId="6ED50175" w14:textId="77777777" w:rsidR="00415279" w:rsidRPr="00415279" w:rsidRDefault="00415279" w:rsidP="00415279">
      <w:pPr>
        <w:pStyle w:val="Prrafodelista"/>
        <w:tabs>
          <w:tab w:val="left" w:pos="142"/>
          <w:tab w:val="left" w:pos="284"/>
        </w:tabs>
        <w:spacing w:after="0" w:line="276" w:lineRule="auto"/>
        <w:jc w:val="both"/>
        <w:rPr>
          <w:rFonts w:ascii="Verdana" w:eastAsia="Calibri" w:hAnsi="Verdana" w:cs="Arial"/>
        </w:rPr>
      </w:pPr>
    </w:p>
    <w:p w14:paraId="11436CEF" w14:textId="1F9E048C" w:rsidR="005C178A" w:rsidRPr="00415279" w:rsidRDefault="00415279" w:rsidP="00415279">
      <w:pPr>
        <w:pStyle w:val="Prrafodelista"/>
        <w:tabs>
          <w:tab w:val="left" w:pos="142"/>
          <w:tab w:val="left" w:pos="284"/>
        </w:tabs>
        <w:spacing w:after="0" w:line="276" w:lineRule="auto"/>
        <w:ind w:left="0"/>
        <w:jc w:val="both"/>
        <w:rPr>
          <w:rFonts w:ascii="Verdana" w:eastAsia="Calibri" w:hAnsi="Verdana" w:cs="Arial"/>
        </w:rPr>
      </w:pPr>
      <w:r w:rsidRPr="00415279">
        <w:rPr>
          <w:rFonts w:ascii="Verdana" w:eastAsia="Calibri" w:hAnsi="Verdana" w:cs="Arial"/>
        </w:rPr>
        <w:t>De acuerdo con el concepto del Departamento Administrativo de la Función Pública, “La relación contractual tiene como características la autonomía e independencia del contratista, por consiguiente, los contratistas no son servidores públicos sino particulares que prestan una función pública (…)”, por lo que no es aplicable el Decreto 1083 de 2015. Ahora bien, la entidad en su autonomía y como rectora del proceso de contratación puede determinar la observancia de la equivalencia entre experiencia y estudios allí establecida y tendrá que justificarlo en los estudios previos y análisis del sector.</w:t>
      </w:r>
    </w:p>
    <w:p w14:paraId="24B76071" w14:textId="77777777" w:rsidR="00AC6D81" w:rsidRPr="00186A86" w:rsidRDefault="00AC6D81" w:rsidP="00AC6D81">
      <w:pPr>
        <w:spacing w:after="0" w:line="276" w:lineRule="auto"/>
        <w:jc w:val="both"/>
        <w:rPr>
          <w:rFonts w:ascii="Verdana" w:eastAsia="Calibri" w:hAnsi="Verdana" w:cs="Arial"/>
          <w:lang w:val="es-ES"/>
        </w:rPr>
      </w:pPr>
    </w:p>
    <w:p w14:paraId="29FBA6F1" w14:textId="77777777" w:rsidR="00AC6D81" w:rsidRPr="00186A86" w:rsidRDefault="00AC6D81" w:rsidP="003F6C1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86A86">
        <w:rPr>
          <w:rFonts w:ascii="Verdana" w:eastAsia="Century Gothic" w:hAnsi="Verdana" w:cs="Century Gothic"/>
          <w:b/>
          <w:bCs/>
        </w:rPr>
        <w:t>Razones de la respuesta:</w:t>
      </w:r>
    </w:p>
    <w:p w14:paraId="364047DD" w14:textId="77777777" w:rsidR="00AC6D81" w:rsidRPr="00186A86" w:rsidRDefault="00AC6D81" w:rsidP="00AC6D81">
      <w:pPr>
        <w:spacing w:after="0" w:line="276" w:lineRule="auto"/>
        <w:jc w:val="both"/>
        <w:rPr>
          <w:rFonts w:ascii="Verdana" w:eastAsia="Century Gothic" w:hAnsi="Verdana" w:cs="Century Gothic"/>
          <w:b/>
          <w:bCs/>
        </w:rPr>
      </w:pPr>
    </w:p>
    <w:p w14:paraId="45D2B155" w14:textId="77777777" w:rsidR="00097B7A" w:rsidRPr="007D460E" w:rsidRDefault="00097B7A" w:rsidP="00097B7A">
      <w:pPr>
        <w:spacing w:after="0" w:line="276" w:lineRule="auto"/>
        <w:jc w:val="both"/>
        <w:rPr>
          <w:rFonts w:ascii="Verdana" w:eastAsia="Calibri" w:hAnsi="Verdana" w:cs="Arial"/>
          <w:lang w:val="es-ES"/>
        </w:rPr>
      </w:pPr>
      <w:r w:rsidRPr="007D460E">
        <w:rPr>
          <w:rFonts w:ascii="Verdana" w:eastAsia="Calibri" w:hAnsi="Verdana" w:cs="Arial"/>
          <w:lang w:val="es-ES"/>
        </w:rPr>
        <w:t xml:space="preserve">Lo anterior se sustenta en las siguientes consideraciones: </w:t>
      </w:r>
    </w:p>
    <w:p w14:paraId="3EE9EFA2" w14:textId="77777777" w:rsidR="00097B7A" w:rsidRPr="007D460E" w:rsidRDefault="00097B7A" w:rsidP="00097B7A">
      <w:pPr>
        <w:spacing w:after="0" w:line="240" w:lineRule="auto"/>
        <w:jc w:val="both"/>
        <w:rPr>
          <w:rFonts w:ascii="Verdana" w:eastAsia="Calibri" w:hAnsi="Verdana" w:cs="Arial"/>
          <w:color w:val="000000"/>
        </w:rPr>
      </w:pPr>
    </w:p>
    <w:p w14:paraId="2F9AE6F4" w14:textId="77777777" w:rsidR="00097B7A" w:rsidRPr="007D460E" w:rsidRDefault="00097B7A" w:rsidP="00097B7A">
      <w:pPr>
        <w:spacing w:after="0" w:line="276" w:lineRule="auto"/>
        <w:jc w:val="both"/>
        <w:rPr>
          <w:rFonts w:ascii="Verdana" w:eastAsia="Calibri" w:hAnsi="Verdana" w:cs="Arial"/>
          <w:color w:val="000000"/>
        </w:rPr>
      </w:pPr>
      <w:r w:rsidRPr="007D460E">
        <w:rPr>
          <w:rFonts w:ascii="Verdana" w:eastAsia="Calibri" w:hAnsi="Verdana" w:cs="Arial"/>
          <w:color w:val="000000" w:themeColor="text1"/>
        </w:rPr>
        <w:t xml:space="preserve">Para iniciar, se debe acudir a la tipología del contrato de prestación de servicios, el cual, es uno de los tipos contractuales consagrados en el Estatuto General de Contratación de la Administración Pública-EGCAP-, que pueden celebrar las entidades estatales. Se trata de un contrato típico, ya que se encuentra definido en la ley. Concretamente, el numeral 3 del artículo 32, de la </w:t>
      </w:r>
      <w:bookmarkStart w:id="0" w:name="_Hlk176438300"/>
      <w:r w:rsidRPr="007D460E">
        <w:rPr>
          <w:rFonts w:ascii="Verdana" w:eastAsia="Calibri" w:hAnsi="Verdana" w:cs="Arial"/>
          <w:color w:val="000000" w:themeColor="text1"/>
        </w:rPr>
        <w:t>Ley 80 de 1993</w:t>
      </w:r>
      <w:bookmarkEnd w:id="0"/>
      <w:r w:rsidRPr="007D460E">
        <w:rPr>
          <w:rFonts w:ascii="Verdana" w:eastAsia="Calibri" w:hAnsi="Verdana" w:cs="Arial"/>
          <w:color w:val="000000" w:themeColor="text1"/>
        </w:rPr>
        <w:t>, el cual establece:</w:t>
      </w:r>
    </w:p>
    <w:p w14:paraId="649AF4F5" w14:textId="77777777" w:rsidR="00097B7A" w:rsidRPr="007D460E" w:rsidRDefault="00097B7A" w:rsidP="00097B7A">
      <w:pPr>
        <w:spacing w:after="0" w:line="240" w:lineRule="auto"/>
        <w:jc w:val="both"/>
        <w:rPr>
          <w:rFonts w:ascii="Verdana" w:eastAsia="Calibri" w:hAnsi="Verdana" w:cs="Arial"/>
          <w:color w:val="000000"/>
          <w:lang w:val="es-ES_tradnl"/>
        </w:rPr>
      </w:pPr>
    </w:p>
    <w:p w14:paraId="27B43E70" w14:textId="77777777" w:rsidR="00097B7A" w:rsidRPr="007D460E" w:rsidRDefault="00097B7A" w:rsidP="00097B7A">
      <w:pPr>
        <w:spacing w:after="0" w:line="240" w:lineRule="auto"/>
        <w:ind w:left="709" w:right="709"/>
        <w:jc w:val="both"/>
        <w:rPr>
          <w:rFonts w:ascii="Verdana" w:eastAsia="Calibri" w:hAnsi="Verdana" w:cs="Arial"/>
          <w:color w:val="000000"/>
          <w:sz w:val="20"/>
          <w:szCs w:val="21"/>
          <w:lang w:val="es-ES_tradnl"/>
        </w:rPr>
      </w:pPr>
      <w:r w:rsidRPr="007D460E">
        <w:rPr>
          <w:rFonts w:ascii="Verdana" w:eastAsia="Calibri" w:hAnsi="Verdana" w:cs="Arial"/>
          <w:color w:val="000000"/>
          <w:sz w:val="21"/>
          <w:szCs w:val="21"/>
          <w:lang w:val="es-ES_tradnl"/>
        </w:rPr>
        <w:t>“</w:t>
      </w:r>
      <w:r w:rsidRPr="007D460E">
        <w:rPr>
          <w:rFonts w:ascii="Verdana" w:eastAsia="Calibri" w:hAnsi="Verdana" w:cs="Arial"/>
          <w:color w:val="000000"/>
          <w:sz w:val="20"/>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8CC0396" w14:textId="77777777" w:rsidR="00097B7A" w:rsidRPr="007D460E" w:rsidRDefault="00097B7A" w:rsidP="00097B7A">
      <w:pPr>
        <w:spacing w:after="0" w:line="240" w:lineRule="auto"/>
        <w:ind w:left="709" w:right="709"/>
        <w:jc w:val="both"/>
        <w:rPr>
          <w:rFonts w:ascii="Verdana" w:eastAsia="Calibri" w:hAnsi="Verdana" w:cs="Arial"/>
          <w:color w:val="000000"/>
          <w:sz w:val="20"/>
          <w:szCs w:val="21"/>
          <w:lang w:val="es-ES_tradnl"/>
        </w:rPr>
      </w:pPr>
    </w:p>
    <w:p w14:paraId="55B27479" w14:textId="77777777" w:rsidR="00097B7A" w:rsidRPr="007D460E" w:rsidRDefault="00097B7A" w:rsidP="00097B7A">
      <w:pPr>
        <w:spacing w:after="0" w:line="240" w:lineRule="auto"/>
        <w:ind w:left="709" w:right="709"/>
        <w:jc w:val="both"/>
        <w:rPr>
          <w:rFonts w:ascii="Verdana" w:eastAsia="Calibri" w:hAnsi="Verdana" w:cs="Arial"/>
          <w:color w:val="000000"/>
          <w:sz w:val="21"/>
          <w:szCs w:val="21"/>
          <w:lang w:val="es-ES_tradnl"/>
        </w:rPr>
      </w:pPr>
      <w:r w:rsidRPr="007D460E">
        <w:rPr>
          <w:rFonts w:ascii="Verdana" w:eastAsia="Calibri" w:hAnsi="Verdana" w:cs="Arial"/>
          <w:color w:val="000000"/>
          <w:sz w:val="20"/>
          <w:szCs w:val="21"/>
          <w:lang w:val="es-ES_tradnl"/>
        </w:rPr>
        <w:t>En ningún caso estos contratos generan relación laboral ni prestaciones sociales y se celebrarán por el término estrictamente indispensable</w:t>
      </w:r>
      <w:r w:rsidRPr="007D460E">
        <w:rPr>
          <w:rFonts w:ascii="Verdana" w:eastAsia="Calibri" w:hAnsi="Verdana" w:cs="Arial"/>
          <w:color w:val="000000"/>
          <w:sz w:val="21"/>
          <w:szCs w:val="21"/>
          <w:lang w:val="es-ES_tradnl"/>
        </w:rPr>
        <w:t>”.</w:t>
      </w:r>
    </w:p>
    <w:p w14:paraId="3A2B1DC6" w14:textId="77777777" w:rsidR="00097B7A" w:rsidRPr="007D460E" w:rsidRDefault="00097B7A" w:rsidP="00097B7A">
      <w:pPr>
        <w:tabs>
          <w:tab w:val="left" w:pos="284"/>
        </w:tabs>
        <w:spacing w:after="0" w:line="240" w:lineRule="auto"/>
        <w:contextualSpacing/>
        <w:jc w:val="both"/>
        <w:rPr>
          <w:rFonts w:ascii="Verdana" w:eastAsia="Calibri" w:hAnsi="Verdana" w:cs="Arial"/>
          <w:b/>
          <w:color w:val="000000"/>
          <w:lang w:val="es-ES_tradnl"/>
        </w:rPr>
      </w:pPr>
    </w:p>
    <w:p w14:paraId="23220A46" w14:textId="77777777" w:rsidR="00097B7A" w:rsidRPr="007D460E" w:rsidRDefault="00097B7A" w:rsidP="00097B7A">
      <w:pPr>
        <w:spacing w:after="0" w:line="276" w:lineRule="auto"/>
        <w:ind w:firstLine="708"/>
        <w:jc w:val="both"/>
        <w:rPr>
          <w:rFonts w:ascii="Verdana" w:eastAsia="Calibri" w:hAnsi="Verdana" w:cs="Arial"/>
          <w:color w:val="000000"/>
        </w:rPr>
      </w:pPr>
      <w:r w:rsidRPr="007D460E">
        <w:rPr>
          <w:rFonts w:ascii="Verdana" w:eastAsia="Calibri" w:hAnsi="Verdana" w:cs="Arial"/>
          <w:color w:val="000000" w:themeColor="text1"/>
        </w:rPr>
        <w:t xml:space="preserve">La celebración de dicho contrato se debe efectuar a través de la modalidad de la contratación directa. Así lo prevé el literal h numeral 4 del artículo 2, de </w:t>
      </w:r>
      <w:bookmarkStart w:id="1" w:name="_Hlk176438313"/>
      <w:r w:rsidRPr="007D460E">
        <w:rPr>
          <w:rFonts w:ascii="Verdana" w:eastAsia="Calibri" w:hAnsi="Verdana" w:cs="Arial"/>
          <w:color w:val="000000" w:themeColor="text1"/>
        </w:rPr>
        <w:t>la Ley 1150 de 2007</w:t>
      </w:r>
      <w:bookmarkEnd w:id="1"/>
      <w:r w:rsidRPr="007D460E">
        <w:rPr>
          <w:rFonts w:ascii="Verdana" w:eastAsia="Calibri" w:hAnsi="Verdana" w:cs="Arial"/>
          <w:color w:val="000000" w:themeColor="text1"/>
        </w:rPr>
        <w:t>, que dispone:</w:t>
      </w:r>
    </w:p>
    <w:p w14:paraId="6BF0F4FF" w14:textId="77777777" w:rsidR="00097B7A" w:rsidRPr="007D460E" w:rsidRDefault="00097B7A" w:rsidP="00097B7A">
      <w:pPr>
        <w:spacing w:after="0" w:line="276" w:lineRule="auto"/>
        <w:ind w:firstLine="709"/>
        <w:jc w:val="both"/>
        <w:rPr>
          <w:rFonts w:ascii="Verdana" w:eastAsia="Calibri" w:hAnsi="Verdana" w:cs="Arial"/>
          <w:color w:val="000000"/>
          <w:lang w:val="es-ES_tradnl"/>
        </w:rPr>
      </w:pPr>
    </w:p>
    <w:p w14:paraId="15F3C51D" w14:textId="77777777" w:rsidR="00097B7A" w:rsidRPr="007D460E" w:rsidRDefault="00097B7A" w:rsidP="00097B7A">
      <w:pPr>
        <w:spacing w:after="0" w:line="240" w:lineRule="auto"/>
        <w:ind w:left="709" w:right="709"/>
        <w:jc w:val="both"/>
        <w:rPr>
          <w:rFonts w:ascii="Verdana" w:eastAsia="Calibri" w:hAnsi="Verdana" w:cs="Arial"/>
          <w:i/>
          <w:iCs/>
          <w:color w:val="000000"/>
          <w:sz w:val="20"/>
          <w:szCs w:val="20"/>
          <w:lang w:val="es-ES_tradnl"/>
        </w:rPr>
      </w:pPr>
      <w:r w:rsidRPr="007D460E">
        <w:rPr>
          <w:rFonts w:ascii="Verdana" w:eastAsia="Calibri" w:hAnsi="Verdana" w:cs="Arial"/>
          <w:i/>
          <w:iCs/>
          <w:color w:val="000000"/>
          <w:sz w:val="20"/>
          <w:szCs w:val="20"/>
          <w:lang w:val="es-ES_tradnl"/>
        </w:rPr>
        <w:t xml:space="preserve">“[…] </w:t>
      </w:r>
      <w:r w:rsidRPr="007D460E">
        <w:rPr>
          <w:rFonts w:ascii="Verdana" w:eastAsia="Calibri" w:hAnsi="Verdana" w:cs="Arial"/>
          <w:i/>
          <w:iCs/>
          <w:color w:val="000000" w:themeColor="text1"/>
          <w:sz w:val="20"/>
          <w:szCs w:val="20"/>
          <w:lang w:val="es-ES"/>
        </w:rPr>
        <w:t>Contratación directa. La modalidad de selección de contratación directa solamente procederá en los siguientes casos:</w:t>
      </w:r>
    </w:p>
    <w:p w14:paraId="43DDA15B" w14:textId="77777777" w:rsidR="00097B7A" w:rsidRPr="007D460E" w:rsidRDefault="00097B7A" w:rsidP="00097B7A">
      <w:pPr>
        <w:spacing w:after="0" w:line="240" w:lineRule="auto"/>
        <w:ind w:left="709" w:right="709"/>
        <w:jc w:val="both"/>
        <w:rPr>
          <w:rFonts w:ascii="Verdana" w:eastAsia="Calibri" w:hAnsi="Verdana" w:cs="Arial"/>
          <w:i/>
          <w:iCs/>
          <w:color w:val="000000"/>
          <w:sz w:val="20"/>
          <w:szCs w:val="20"/>
          <w:lang w:val="es-ES_tradnl"/>
        </w:rPr>
      </w:pPr>
    </w:p>
    <w:p w14:paraId="28840643" w14:textId="77777777" w:rsidR="00097B7A" w:rsidRPr="007D460E" w:rsidRDefault="00097B7A" w:rsidP="00097B7A">
      <w:pPr>
        <w:spacing w:after="0" w:line="240" w:lineRule="auto"/>
        <w:ind w:left="709" w:right="709"/>
        <w:jc w:val="both"/>
        <w:rPr>
          <w:rFonts w:ascii="Verdana" w:eastAsia="Calibri" w:hAnsi="Verdana" w:cs="Arial"/>
          <w:i/>
          <w:iCs/>
          <w:color w:val="000000"/>
          <w:sz w:val="20"/>
          <w:szCs w:val="20"/>
          <w:lang w:val="es-ES_tradnl"/>
        </w:rPr>
      </w:pPr>
      <w:r w:rsidRPr="007D460E">
        <w:rPr>
          <w:rFonts w:ascii="Verdana" w:eastAsia="Calibri" w:hAnsi="Verdana" w:cs="Arial"/>
          <w:i/>
          <w:iCs/>
          <w:color w:val="000000"/>
          <w:sz w:val="20"/>
          <w:szCs w:val="20"/>
          <w:lang w:val="es-ES_tradnl"/>
        </w:rPr>
        <w:t>[…]</w:t>
      </w:r>
    </w:p>
    <w:p w14:paraId="6BF108E3" w14:textId="77777777" w:rsidR="00097B7A" w:rsidRPr="007D460E" w:rsidRDefault="00097B7A" w:rsidP="00097B7A">
      <w:pPr>
        <w:spacing w:after="0" w:line="240" w:lineRule="auto"/>
        <w:ind w:left="709" w:right="709"/>
        <w:jc w:val="both"/>
        <w:rPr>
          <w:rFonts w:ascii="Verdana" w:eastAsia="Calibri" w:hAnsi="Verdana" w:cs="Arial"/>
          <w:i/>
          <w:iCs/>
          <w:color w:val="000000"/>
          <w:sz w:val="20"/>
          <w:szCs w:val="20"/>
          <w:lang w:val="es-ES_tradnl"/>
        </w:rPr>
      </w:pPr>
    </w:p>
    <w:p w14:paraId="18EED06C" w14:textId="77777777" w:rsidR="00097B7A" w:rsidRPr="007D460E" w:rsidRDefault="00097B7A" w:rsidP="00097B7A">
      <w:pPr>
        <w:spacing w:after="0" w:line="240" w:lineRule="auto"/>
        <w:ind w:left="709" w:right="709"/>
        <w:jc w:val="both"/>
        <w:rPr>
          <w:rFonts w:ascii="Verdana" w:eastAsia="Calibri" w:hAnsi="Verdana" w:cs="Arial"/>
          <w:i/>
          <w:iCs/>
          <w:color w:val="000000"/>
          <w:sz w:val="20"/>
          <w:szCs w:val="20"/>
          <w:lang w:val="es-ES_tradnl"/>
        </w:rPr>
      </w:pPr>
      <w:r w:rsidRPr="007D460E">
        <w:rPr>
          <w:rFonts w:ascii="Verdana" w:eastAsia="Calibri" w:hAnsi="Verdana" w:cs="Arial"/>
          <w:i/>
          <w:iCs/>
          <w:color w:val="000000"/>
          <w:sz w:val="20"/>
          <w:szCs w:val="20"/>
          <w:lang w:val="es-ES_tradnl"/>
        </w:rPr>
        <w:t>h) Para la prestación de servicios profesionales y de apoyo a la gestión, o para la ejecución de trabajos artísticos que sólo puedan encomendarse a determinadas personas naturales”.</w:t>
      </w:r>
    </w:p>
    <w:p w14:paraId="1CBE7EB3" w14:textId="77777777" w:rsidR="00097B7A" w:rsidRPr="007D460E" w:rsidRDefault="00097B7A" w:rsidP="00097B7A">
      <w:pPr>
        <w:spacing w:after="0" w:line="240" w:lineRule="auto"/>
        <w:ind w:right="709"/>
        <w:jc w:val="both"/>
        <w:rPr>
          <w:rFonts w:ascii="Verdana" w:eastAsia="Calibri" w:hAnsi="Verdana" w:cs="Arial"/>
          <w:color w:val="000000"/>
          <w:lang w:val="es-ES_tradnl"/>
        </w:rPr>
      </w:pPr>
    </w:p>
    <w:p w14:paraId="530F6D19" w14:textId="77777777" w:rsidR="00097B7A" w:rsidRPr="007D460E" w:rsidRDefault="00097B7A" w:rsidP="00097B7A">
      <w:pPr>
        <w:spacing w:after="0" w:line="276" w:lineRule="auto"/>
        <w:ind w:firstLine="708"/>
        <w:jc w:val="both"/>
        <w:rPr>
          <w:rFonts w:ascii="Verdana" w:eastAsia="Calibri" w:hAnsi="Verdana" w:cs="Arial"/>
          <w:color w:val="000000"/>
          <w:lang w:val="es-ES_tradnl"/>
        </w:rPr>
      </w:pPr>
      <w:r w:rsidRPr="007D460E">
        <w:rPr>
          <w:rFonts w:ascii="Verdana" w:eastAsia="Calibri" w:hAnsi="Verdana"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11D92A48" w14:textId="77777777" w:rsidR="00097B7A" w:rsidRPr="007D460E" w:rsidRDefault="00097B7A" w:rsidP="00097B7A">
      <w:pPr>
        <w:spacing w:before="120" w:after="120" w:line="276" w:lineRule="auto"/>
        <w:jc w:val="both"/>
        <w:rPr>
          <w:rFonts w:ascii="Verdana" w:eastAsia="Calibri" w:hAnsi="Verdana" w:cs="Arial"/>
          <w:color w:val="000000"/>
          <w:lang w:val="es-ES_tradnl"/>
        </w:rPr>
      </w:pPr>
      <w:r w:rsidRPr="007D460E">
        <w:rPr>
          <w:rFonts w:ascii="Verdana" w:eastAsia="Calibri" w:hAnsi="Verdana" w:cs="Arial"/>
          <w:color w:val="000000"/>
          <w:lang w:val="es-ES_tradnl"/>
        </w:rPr>
        <w:t>i) Solo puede celebrarse para realizar “actividades relacionadas con la administración o funcionamiento de la entidad”, es decir, que hagan parte de su giro ordinario o quehacer cotidiano.</w:t>
      </w:r>
    </w:p>
    <w:p w14:paraId="5337C999" w14:textId="267764B1" w:rsidR="00097B7A" w:rsidRPr="007D460E" w:rsidRDefault="00097B7A" w:rsidP="00097B7A">
      <w:pPr>
        <w:spacing w:before="120" w:after="120" w:line="276" w:lineRule="auto"/>
        <w:jc w:val="both"/>
        <w:rPr>
          <w:rFonts w:ascii="Verdana" w:eastAsia="Calibri" w:hAnsi="Verdana" w:cs="Arial"/>
          <w:color w:val="000000"/>
          <w:lang w:val="es-ES"/>
        </w:rPr>
      </w:pPr>
      <w:proofErr w:type="spellStart"/>
      <w:r w:rsidRPr="007D460E">
        <w:rPr>
          <w:rFonts w:ascii="Verdana" w:eastAsia="Calibri" w:hAnsi="Verdana" w:cs="Arial"/>
          <w:color w:val="000000"/>
          <w:lang w:val="es-ES"/>
        </w:rPr>
        <w:t>ii</w:t>
      </w:r>
      <w:proofErr w:type="spellEnd"/>
      <w:r w:rsidRPr="007D460E">
        <w:rPr>
          <w:rFonts w:ascii="Verdana" w:eastAsia="Calibri" w:hAnsi="Verdana" w:cs="Arial"/>
          <w:color w:val="000000"/>
          <w:lang w:val="es-ES"/>
        </w:rPr>
        <w:t>) Admite que se suscriba tanto con personas naturales como con personas jurídicas</w:t>
      </w:r>
      <w:r w:rsidR="00E65E0D">
        <w:rPr>
          <w:rFonts w:ascii="Verdana" w:eastAsia="Calibri" w:hAnsi="Verdana" w:cs="Arial"/>
          <w:color w:val="000000"/>
          <w:lang w:val="es-ES"/>
        </w:rPr>
        <w:t xml:space="preserve"> y</w:t>
      </w:r>
      <w:r w:rsidRPr="007D460E">
        <w:rPr>
          <w:rFonts w:ascii="Verdana" w:eastAsia="Calibri" w:hAnsi="Verdana" w:cs="Arial"/>
          <w:color w:val="000000"/>
          <w:lang w:val="es-ES"/>
        </w:rPr>
        <w:t xml:space="preserve"> requiere que la entidad estatal justifique en los estudios previos que las actividades que buscan encomendarse a aquella “no puedan realizarse con personal de planta o requieran conocimientos especializados”.</w:t>
      </w:r>
      <w:r w:rsidRPr="007D460E">
        <w:rPr>
          <w:rStyle w:val="Refdenotaalpie"/>
          <w:rFonts w:ascii="Verdana" w:eastAsia="Calibri" w:hAnsi="Verdana" w:cs="Arial"/>
          <w:color w:val="000000"/>
          <w:lang w:val="es-ES"/>
        </w:rPr>
        <w:footnoteReference w:id="2"/>
      </w:r>
      <w:r w:rsidRPr="007D460E">
        <w:rPr>
          <w:rFonts w:ascii="Verdana" w:eastAsia="Calibri" w:hAnsi="Verdana" w:cs="Arial"/>
          <w:color w:val="000000"/>
          <w:lang w:val="es-ES"/>
        </w:rPr>
        <w:t xml:space="preserve"> </w:t>
      </w:r>
    </w:p>
    <w:p w14:paraId="1E3DCA53" w14:textId="77777777" w:rsidR="00097B7A" w:rsidRPr="007D460E" w:rsidRDefault="00097B7A" w:rsidP="00097B7A">
      <w:pPr>
        <w:spacing w:before="120" w:after="120" w:line="276" w:lineRule="auto"/>
        <w:jc w:val="both"/>
        <w:rPr>
          <w:rFonts w:ascii="Verdana" w:eastAsia="Calibri" w:hAnsi="Verdana" w:cs="Arial"/>
          <w:color w:val="000000"/>
          <w:lang w:val="es-ES"/>
        </w:rPr>
      </w:pPr>
      <w:proofErr w:type="spellStart"/>
      <w:r w:rsidRPr="007D460E">
        <w:rPr>
          <w:rFonts w:ascii="Verdana" w:eastAsia="Calibri" w:hAnsi="Verdana" w:cs="Arial"/>
          <w:color w:val="000000"/>
          <w:lang w:val="es-ES"/>
        </w:rPr>
        <w:lastRenderedPageBreak/>
        <w:t>iii</w:t>
      </w:r>
      <w:proofErr w:type="spellEnd"/>
      <w:r w:rsidRPr="007D460E">
        <w:rPr>
          <w:rFonts w:ascii="Verdana" w:eastAsia="Calibri" w:hAnsi="Verdana" w:cs="Arial"/>
          <w:color w:val="000000"/>
          <w:lang w:val="es-ES"/>
        </w:rPr>
        <w:t>) Si bien se celebran para obtener la prestación personal de un servicio, se diferencian del contrato de trabajo</w:t>
      </w:r>
      <w:r w:rsidRPr="007D460E">
        <w:rPr>
          <w:rStyle w:val="Refdenotaalpie"/>
          <w:rFonts w:ascii="Verdana" w:eastAsiaTheme="majorEastAsia" w:hAnsi="Verdana" w:cs="Arial"/>
        </w:rPr>
        <w:footnoteReference w:id="3"/>
      </w:r>
      <w:r w:rsidRPr="007D460E">
        <w:rPr>
          <w:rFonts w:ascii="Verdana" w:eastAsia="Calibri" w:hAnsi="Verdana" w:cs="Arial"/>
          <w:color w:val="000000"/>
          <w:lang w:val="es-ES"/>
        </w:rPr>
        <w:t xml:space="preserve"> en que quien celebra el contrato de prestación de servicios debe mantener autonomía e independencia en la ejecución de la labor, lo que significa que no puede existir la </w:t>
      </w:r>
      <w:r w:rsidRPr="007D460E">
        <w:rPr>
          <w:rFonts w:ascii="Verdana" w:eastAsia="Calibri" w:hAnsi="Verdana" w:cs="Arial"/>
          <w:i/>
          <w:color w:val="000000"/>
          <w:lang w:val="es-ES"/>
        </w:rPr>
        <w:t>subordinación y dependencia</w:t>
      </w:r>
      <w:r w:rsidRPr="007D460E">
        <w:rPr>
          <w:rFonts w:ascii="Verdana" w:eastAsia="Calibri" w:hAnsi="Verdana" w:cs="Arial"/>
          <w:color w:val="000000"/>
          <w:lang w:val="es-ES"/>
        </w:rPr>
        <w:t xml:space="preserve">, que es uno de los elementos constitutivos del vínculo laboral. </w:t>
      </w:r>
    </w:p>
    <w:p w14:paraId="4387A087" w14:textId="77777777" w:rsidR="00097B7A" w:rsidRPr="007D460E" w:rsidRDefault="00097B7A" w:rsidP="00097B7A">
      <w:pPr>
        <w:spacing w:before="120" w:after="120" w:line="276" w:lineRule="auto"/>
        <w:ind w:firstLine="708"/>
        <w:jc w:val="both"/>
        <w:rPr>
          <w:rFonts w:ascii="Verdana" w:eastAsia="Calibri" w:hAnsi="Verdana" w:cs="Arial"/>
          <w:color w:val="000000"/>
          <w:lang w:val="es-ES"/>
        </w:rPr>
      </w:pPr>
      <w:r w:rsidRPr="007D460E">
        <w:rPr>
          <w:rFonts w:ascii="Verdana" w:eastAsia="Calibri" w:hAnsi="Verdana" w:cs="Arial"/>
          <w:color w:val="000000"/>
          <w:lang w:val="es-ES"/>
        </w:rPr>
        <w:t xml:space="preserve">Por ello el numeral 3º del artículo 32, de la Ley 80 de 1993 establece que “En ningún caso estos contratos generan relación laboral ni prestaciones sociales”, inciso que debe interpretarse en el sentido de que los contratos de prestación de servicios profesionales </w:t>
      </w:r>
      <w:r w:rsidRPr="007D460E">
        <w:rPr>
          <w:rFonts w:ascii="Verdana" w:eastAsia="Calibri" w:hAnsi="Verdana" w:cs="Arial"/>
          <w:i/>
          <w:color w:val="000000"/>
          <w:lang w:val="es-ES"/>
        </w:rPr>
        <w:t>no pueden</w:t>
      </w:r>
      <w:r w:rsidRPr="007D460E">
        <w:rPr>
          <w:rFonts w:ascii="Verdana" w:eastAsia="Calibri" w:hAnsi="Verdana" w:cs="Arial"/>
          <w:color w:val="000000"/>
          <w:lang w:val="es-ES"/>
        </w:rPr>
        <w:t xml:space="preserve"> generar relación laboral, ni dar lugar a que las entidades estatales paguen por su cuenta los aportes al Sistema de Seguridad Social Integral del contratista. </w:t>
      </w:r>
    </w:p>
    <w:p w14:paraId="452634BB" w14:textId="77777777" w:rsidR="00097B7A" w:rsidRPr="007D460E" w:rsidRDefault="00097B7A" w:rsidP="00097B7A">
      <w:pPr>
        <w:spacing w:after="120" w:line="276" w:lineRule="auto"/>
        <w:jc w:val="both"/>
        <w:rPr>
          <w:rFonts w:ascii="Verdana" w:eastAsia="Calibri" w:hAnsi="Verdana" w:cs="Arial"/>
          <w:color w:val="000000"/>
          <w:sz w:val="21"/>
          <w:szCs w:val="21"/>
          <w:lang w:val="es-ES_tradnl"/>
        </w:rPr>
      </w:pPr>
      <w:proofErr w:type="spellStart"/>
      <w:r w:rsidRPr="007D460E">
        <w:rPr>
          <w:rFonts w:ascii="Verdana" w:eastAsia="Calibri" w:hAnsi="Verdana" w:cs="Arial"/>
          <w:color w:val="000000"/>
          <w:lang w:val="es-ES_tradnl"/>
        </w:rPr>
        <w:t>iv</w:t>
      </w:r>
      <w:proofErr w:type="spellEnd"/>
      <w:r w:rsidRPr="007D460E">
        <w:rPr>
          <w:rFonts w:ascii="Verdana" w:eastAsia="Calibri" w:hAnsi="Verdana" w:cs="Arial"/>
          <w:color w:val="000000"/>
          <w:lang w:val="es-ES_tradnl"/>
        </w:rPr>
        <w:t>) Deben ser temporales. Así lo señaló la Corte Constitucional expresando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7D460E">
        <w:rPr>
          <w:rStyle w:val="Refdenotaalpie"/>
          <w:rFonts w:ascii="Verdana" w:eastAsiaTheme="majorEastAsia" w:hAnsi="Verdana" w:cs="Arial"/>
        </w:rPr>
        <w:footnoteReference w:id="4"/>
      </w:r>
      <w:r w:rsidRPr="007D460E">
        <w:rPr>
          <w:rFonts w:ascii="Verdana" w:eastAsia="Calibri" w:hAnsi="Verdana" w:cs="Arial"/>
          <w:color w:val="000000"/>
          <w:sz w:val="21"/>
          <w:szCs w:val="21"/>
          <w:lang w:val="es-ES_tradnl"/>
        </w:rPr>
        <w:t>.</w:t>
      </w:r>
    </w:p>
    <w:p w14:paraId="65C1D408" w14:textId="77777777" w:rsidR="00097B7A" w:rsidRPr="007D460E" w:rsidRDefault="00097B7A" w:rsidP="00097B7A">
      <w:pPr>
        <w:spacing w:after="0" w:line="240" w:lineRule="auto"/>
        <w:ind w:right="49"/>
        <w:jc w:val="both"/>
        <w:rPr>
          <w:rFonts w:ascii="Verdana" w:eastAsia="Calibri" w:hAnsi="Verdana" w:cs="Arial"/>
          <w:color w:val="000000"/>
          <w:sz w:val="21"/>
          <w:szCs w:val="21"/>
          <w:lang w:val="es-ES_tradnl"/>
        </w:rPr>
      </w:pPr>
      <w:r w:rsidRPr="007D460E">
        <w:rPr>
          <w:rFonts w:ascii="Verdana" w:eastAsia="Calibri" w:hAnsi="Verdana" w:cs="Arial"/>
          <w:color w:val="000000"/>
          <w:lang w:val="es-ES"/>
        </w:rPr>
        <w:t xml:space="preserve">v) Los contratos de prestación de servicios constituyen un </w:t>
      </w:r>
      <w:r w:rsidRPr="007D460E">
        <w:rPr>
          <w:rFonts w:ascii="Verdana" w:eastAsia="Calibri" w:hAnsi="Verdana" w:cs="Arial"/>
          <w:i/>
          <w:color w:val="000000"/>
          <w:lang w:val="es-ES"/>
        </w:rPr>
        <w:t>género</w:t>
      </w:r>
      <w:r w:rsidRPr="007D460E">
        <w:rPr>
          <w:rFonts w:ascii="Verdana" w:eastAsia="Calibri" w:hAnsi="Verdana" w:cs="Arial"/>
          <w:color w:val="000000"/>
          <w:lang w:val="es-ES"/>
        </w:rPr>
        <w:t xml:space="preserve"> que incluye, como </w:t>
      </w:r>
      <w:r w:rsidRPr="007D460E">
        <w:rPr>
          <w:rFonts w:ascii="Verdana" w:eastAsia="Calibri" w:hAnsi="Verdana" w:cs="Arial"/>
          <w:i/>
          <w:color w:val="000000"/>
          <w:lang w:val="es-ES"/>
        </w:rPr>
        <w:t>especies</w:t>
      </w:r>
      <w:r w:rsidRPr="007D460E">
        <w:rPr>
          <w:rFonts w:ascii="Verdana" w:eastAsia="Calibri" w:hAnsi="Verdana" w:cs="Arial"/>
          <w:color w:val="000000"/>
          <w:lang w:val="es-ES"/>
        </w:rPr>
        <w:t xml:space="preserve">, los contratos de prestación de servicios profesionales, los contratos de prestación de servicios de apoyo a la gestión y los contratos de </w:t>
      </w:r>
      <w:r w:rsidRPr="007D460E">
        <w:rPr>
          <w:rFonts w:ascii="Verdana" w:eastAsia="Calibri" w:hAnsi="Verdana" w:cs="Arial"/>
          <w:color w:val="000000"/>
          <w:lang w:val="es-ES"/>
        </w:rPr>
        <w:lastRenderedPageBreak/>
        <w:t>prestación de servicios artísticos que solo pueden encomendarse a determinadas personas naturales</w:t>
      </w:r>
      <w:r w:rsidRPr="007D460E">
        <w:rPr>
          <w:rStyle w:val="Refdenotaalpie"/>
          <w:rFonts w:ascii="Verdana" w:eastAsiaTheme="majorEastAsia" w:hAnsi="Verdana" w:cs="Arial"/>
        </w:rPr>
        <w:footnoteReference w:id="5"/>
      </w:r>
      <w:r w:rsidRPr="007D460E">
        <w:rPr>
          <w:rFonts w:ascii="Verdana" w:eastAsia="Calibri" w:hAnsi="Verdana" w:cs="Arial"/>
          <w:color w:val="000000"/>
          <w:lang w:val="es-ES"/>
        </w:rPr>
        <w:t>.</w:t>
      </w:r>
    </w:p>
    <w:p w14:paraId="57F01889" w14:textId="77777777" w:rsidR="00097B7A" w:rsidRPr="007D460E" w:rsidRDefault="00097B7A" w:rsidP="00097B7A">
      <w:pPr>
        <w:spacing w:after="0" w:line="276" w:lineRule="auto"/>
        <w:ind w:left="709"/>
        <w:jc w:val="both"/>
        <w:rPr>
          <w:rFonts w:ascii="Verdana" w:eastAsia="Calibri" w:hAnsi="Verdana" w:cs="Arial"/>
          <w:color w:val="000000"/>
          <w:lang w:val="es-ES_tradnl"/>
        </w:rPr>
      </w:pPr>
    </w:p>
    <w:p w14:paraId="30EA339C" w14:textId="77777777" w:rsidR="00097B7A" w:rsidRPr="007D460E" w:rsidRDefault="00097B7A" w:rsidP="00097B7A">
      <w:pPr>
        <w:spacing w:after="0" w:line="276" w:lineRule="auto"/>
        <w:jc w:val="both"/>
        <w:rPr>
          <w:rFonts w:ascii="Verdana" w:eastAsia="Calibri" w:hAnsi="Verdana" w:cs="Arial"/>
          <w:color w:val="000000"/>
          <w:lang w:val="es-ES_tradnl"/>
        </w:rPr>
      </w:pPr>
      <w:r w:rsidRPr="007D460E">
        <w:rPr>
          <w:rFonts w:ascii="Verdana" w:eastAsia="Calibri" w:hAnsi="Verdana" w:cs="Arial"/>
          <w:color w:val="000000"/>
          <w:lang w:val="es-ES_tradnl"/>
        </w:rPr>
        <w:t>vi) Su celebración debe realizarse a través de la modalidad de contratación directa, independientemente de la cuantía y del tipo de servicio, siempre que este no ingrese dentro del objeto del contrato de consultoría</w:t>
      </w:r>
    </w:p>
    <w:p w14:paraId="23CABA78" w14:textId="77777777" w:rsidR="00097B7A" w:rsidRPr="007D460E" w:rsidRDefault="00097B7A" w:rsidP="00097B7A">
      <w:pPr>
        <w:spacing w:after="0" w:line="276" w:lineRule="auto"/>
        <w:ind w:left="709"/>
        <w:jc w:val="both"/>
        <w:rPr>
          <w:rFonts w:ascii="Verdana" w:eastAsia="Calibri" w:hAnsi="Verdana" w:cs="Arial"/>
          <w:color w:val="000000"/>
          <w:lang w:val="es-ES_tradnl"/>
        </w:rPr>
      </w:pPr>
    </w:p>
    <w:p w14:paraId="33605C6B" w14:textId="77777777" w:rsidR="00097B7A" w:rsidRPr="007D460E" w:rsidRDefault="00097B7A" w:rsidP="00097B7A">
      <w:pPr>
        <w:spacing w:after="0" w:line="276" w:lineRule="auto"/>
        <w:jc w:val="both"/>
        <w:rPr>
          <w:rFonts w:ascii="Verdana" w:eastAsia="Calibri" w:hAnsi="Verdana" w:cs="Arial"/>
          <w:color w:val="000000"/>
          <w:lang w:val="es-ES_tradnl"/>
        </w:rPr>
      </w:pPr>
      <w:proofErr w:type="spellStart"/>
      <w:r w:rsidRPr="007D460E">
        <w:rPr>
          <w:rFonts w:ascii="Verdana" w:eastAsia="Calibri" w:hAnsi="Verdana" w:cs="Arial"/>
          <w:color w:val="000000"/>
          <w:lang w:val="es-ES_tradnl"/>
        </w:rPr>
        <w:t>vii</w:t>
      </w:r>
      <w:proofErr w:type="spellEnd"/>
      <w:r w:rsidRPr="007D460E">
        <w:rPr>
          <w:rFonts w:ascii="Verdana" w:eastAsia="Calibri" w:hAnsi="Verdana" w:cs="Arial"/>
          <w:color w:val="000000"/>
          <w:lang w:val="es-ES_tradnl"/>
        </w:rPr>
        <w:t>) Para su celebración no se requiere en algunos casos la expedición del acto administrativo de justificación de la contratación directa</w:t>
      </w:r>
      <w:r w:rsidRPr="007D460E">
        <w:rPr>
          <w:rStyle w:val="Refdenotaalpie"/>
          <w:rFonts w:ascii="Verdana" w:eastAsiaTheme="majorEastAsia" w:hAnsi="Verdana" w:cs="Arial"/>
        </w:rPr>
        <w:footnoteReference w:id="6"/>
      </w:r>
      <w:r w:rsidRPr="007D460E">
        <w:rPr>
          <w:rFonts w:ascii="Verdana" w:eastAsia="Calibri" w:hAnsi="Verdana" w:cs="Arial"/>
          <w:color w:val="000000"/>
          <w:lang w:val="es-ES_tradnl"/>
        </w:rPr>
        <w:t xml:space="preserve">. </w:t>
      </w:r>
    </w:p>
    <w:p w14:paraId="12C65203" w14:textId="77777777" w:rsidR="00097B7A" w:rsidRPr="007D460E" w:rsidRDefault="00097B7A" w:rsidP="00097B7A">
      <w:pPr>
        <w:spacing w:before="120" w:after="120" w:line="276" w:lineRule="auto"/>
        <w:jc w:val="both"/>
        <w:rPr>
          <w:rFonts w:ascii="Verdana" w:eastAsia="Calibri" w:hAnsi="Verdana" w:cs="Arial"/>
          <w:color w:val="000000"/>
          <w:lang w:val="es-ES_tradnl"/>
        </w:rPr>
      </w:pPr>
      <w:proofErr w:type="spellStart"/>
      <w:r w:rsidRPr="007D460E">
        <w:rPr>
          <w:rFonts w:ascii="Verdana" w:eastAsia="Calibri" w:hAnsi="Verdana" w:cs="Arial"/>
          <w:color w:val="000000"/>
          <w:lang w:val="es-ES_tradnl"/>
        </w:rPr>
        <w:t>viii</w:t>
      </w:r>
      <w:proofErr w:type="spellEnd"/>
      <w:r w:rsidRPr="007D460E">
        <w:rPr>
          <w:rFonts w:ascii="Verdana" w:eastAsia="Calibri" w:hAnsi="Verdana" w:cs="Arial"/>
          <w:color w:val="000000"/>
          <w:lang w:val="es-ES_tradnl"/>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7D460E">
        <w:rPr>
          <w:rStyle w:val="Refdenotaalpie"/>
          <w:rFonts w:ascii="Verdana" w:eastAsiaTheme="majorEastAsia" w:hAnsi="Verdana" w:cs="Arial"/>
        </w:rPr>
        <w:footnoteReference w:id="7"/>
      </w:r>
      <w:r w:rsidRPr="007D460E">
        <w:rPr>
          <w:rFonts w:ascii="Verdana" w:eastAsia="Calibri" w:hAnsi="Verdana" w:cs="Arial"/>
          <w:color w:val="000000"/>
          <w:lang w:val="es-ES_tradnl"/>
        </w:rPr>
        <w:t>.</w:t>
      </w:r>
    </w:p>
    <w:p w14:paraId="5D44E819" w14:textId="77777777" w:rsidR="00097B7A" w:rsidRPr="007D460E" w:rsidRDefault="00097B7A" w:rsidP="00097B7A">
      <w:pPr>
        <w:spacing w:before="120" w:after="120" w:line="276" w:lineRule="auto"/>
        <w:jc w:val="both"/>
        <w:rPr>
          <w:rFonts w:ascii="Verdana" w:eastAsia="Calibri" w:hAnsi="Verdana" w:cs="Arial"/>
          <w:color w:val="000000"/>
          <w:lang w:val="es-ES_tradnl"/>
        </w:rPr>
      </w:pPr>
      <w:proofErr w:type="spellStart"/>
      <w:r w:rsidRPr="007D460E">
        <w:rPr>
          <w:rFonts w:ascii="Verdana" w:eastAsia="Calibri" w:hAnsi="Verdana" w:cs="Arial"/>
          <w:color w:val="000000"/>
          <w:lang w:val="es-ES_tradnl"/>
        </w:rPr>
        <w:t>ix</w:t>
      </w:r>
      <w:proofErr w:type="spellEnd"/>
      <w:r w:rsidRPr="007D460E">
        <w:rPr>
          <w:rFonts w:ascii="Verdana" w:eastAsia="Calibri" w:hAnsi="Verdana" w:cs="Arial"/>
          <w:color w:val="000000"/>
          <w:lang w:val="es-ES_tradnl"/>
        </w:rPr>
        <w:t xml:space="preserve">) En algunos casos no es obligatoria la liquidación, pues así lo estableció el artículo 217 del Decreto 019 de 2012, que modificó el artículo 60 de la Ley 80 </w:t>
      </w:r>
      <w:r w:rsidRPr="007D460E">
        <w:rPr>
          <w:rFonts w:ascii="Verdana" w:eastAsia="Calibri" w:hAnsi="Verdana" w:cs="Arial"/>
          <w:color w:val="000000"/>
          <w:lang w:val="es-ES_tradnl"/>
        </w:rPr>
        <w:lastRenderedPageBreak/>
        <w:t>de 1993</w:t>
      </w:r>
      <w:r w:rsidRPr="007D460E">
        <w:rPr>
          <w:rStyle w:val="Refdenotaalpie"/>
          <w:rFonts w:ascii="Verdana" w:eastAsiaTheme="majorEastAsia" w:hAnsi="Verdana" w:cs="Arial"/>
        </w:rPr>
        <w:footnoteReference w:id="8"/>
      </w:r>
      <w:r w:rsidRPr="007D460E">
        <w:rPr>
          <w:rFonts w:ascii="Verdana" w:eastAsia="Calibri" w:hAnsi="Verdana" w:cs="Arial"/>
          <w:color w:val="000000"/>
          <w:lang w:val="es-ES_tradnl"/>
        </w:rPr>
        <w:t>, refiriéndose a los contratos de prestación de servicios profesionales y de apoyo a la gestión.</w:t>
      </w:r>
    </w:p>
    <w:p w14:paraId="3788EAF6" w14:textId="77777777" w:rsidR="00097B7A" w:rsidRPr="007D460E" w:rsidRDefault="00097B7A" w:rsidP="00097B7A">
      <w:pPr>
        <w:spacing w:before="120" w:after="120" w:line="276" w:lineRule="auto"/>
        <w:jc w:val="both"/>
        <w:rPr>
          <w:rFonts w:ascii="Verdana" w:eastAsia="Calibri" w:hAnsi="Verdana" w:cs="Arial"/>
          <w:color w:val="000000"/>
          <w:lang w:val="es-ES_tradnl"/>
        </w:rPr>
      </w:pPr>
      <w:r w:rsidRPr="007D460E">
        <w:rPr>
          <w:rFonts w:ascii="Verdana" w:eastAsia="Calibri" w:hAnsi="Verdana" w:cs="Arial"/>
          <w:color w:val="000000"/>
          <w:lang w:val="es-ES_tradnl"/>
        </w:rPr>
        <w:t>x) Para su celebración no se requiere inscripción en el Registro Único de Proponentes (RUP), según lo prevé el artículo 6 de la Ley 1150 de 2007</w:t>
      </w:r>
      <w:r w:rsidRPr="007D460E">
        <w:rPr>
          <w:rStyle w:val="Refdenotaalpie"/>
          <w:rFonts w:ascii="Verdana" w:eastAsiaTheme="majorEastAsia" w:hAnsi="Verdana" w:cs="Arial"/>
        </w:rPr>
        <w:footnoteReference w:id="9"/>
      </w:r>
      <w:r w:rsidRPr="007D460E">
        <w:rPr>
          <w:rFonts w:ascii="Verdana" w:eastAsia="Calibri" w:hAnsi="Verdana" w:cs="Arial"/>
          <w:color w:val="000000"/>
          <w:lang w:val="es-ES_tradnl"/>
        </w:rPr>
        <w:t>.</w:t>
      </w:r>
    </w:p>
    <w:p w14:paraId="1AAABE14" w14:textId="77777777" w:rsidR="00097B7A" w:rsidRPr="007D460E" w:rsidRDefault="00097B7A" w:rsidP="00097B7A">
      <w:pPr>
        <w:spacing w:before="120" w:after="120" w:line="276" w:lineRule="auto"/>
        <w:jc w:val="both"/>
        <w:rPr>
          <w:rFonts w:ascii="Verdana" w:eastAsia="Calibri" w:hAnsi="Verdana" w:cs="Arial"/>
          <w:color w:val="000000"/>
          <w:lang w:val="es-ES_tradnl"/>
        </w:rPr>
      </w:pPr>
      <w:r w:rsidRPr="007D460E">
        <w:rPr>
          <w:rFonts w:ascii="Verdana" w:eastAsia="Calibri" w:hAnsi="Verdana" w:cs="Arial"/>
          <w:color w:val="000000"/>
          <w:lang w:val="es-ES_tradnl"/>
        </w:rPr>
        <w:t>xi) En ellos no son necesarias las garantías</w:t>
      </w:r>
      <w:r w:rsidRPr="007D460E">
        <w:rPr>
          <w:rStyle w:val="Refdenotaalpie"/>
          <w:rFonts w:ascii="Verdana" w:eastAsiaTheme="majorEastAsia" w:hAnsi="Verdana" w:cs="Arial"/>
        </w:rPr>
        <w:footnoteReference w:id="10"/>
      </w:r>
      <w:r w:rsidRPr="007D460E">
        <w:rPr>
          <w:rFonts w:ascii="Verdana" w:eastAsia="Calibri" w:hAnsi="Verdana" w:cs="Arial"/>
          <w:color w:val="000000"/>
          <w:lang w:val="es-ES_tradnl"/>
        </w:rPr>
        <w:t>.</w:t>
      </w:r>
    </w:p>
    <w:p w14:paraId="234ACF86" w14:textId="77777777" w:rsidR="00097B7A" w:rsidRPr="007D460E" w:rsidRDefault="00097B7A" w:rsidP="00097B7A">
      <w:pPr>
        <w:spacing w:after="0"/>
        <w:ind w:firstLine="357"/>
        <w:jc w:val="both"/>
        <w:rPr>
          <w:rFonts w:ascii="Verdana" w:eastAsia="Calibri" w:hAnsi="Verdana" w:cs="Arial"/>
          <w:color w:val="000000"/>
        </w:rPr>
      </w:pPr>
    </w:p>
    <w:p w14:paraId="0807FB62" w14:textId="77777777" w:rsidR="00097B7A" w:rsidRPr="007D460E" w:rsidRDefault="00097B7A" w:rsidP="00097B7A">
      <w:pPr>
        <w:spacing w:after="0"/>
        <w:ind w:firstLine="357"/>
        <w:jc w:val="both"/>
        <w:rPr>
          <w:rFonts w:ascii="Verdana" w:eastAsia="Calibri" w:hAnsi="Verdana" w:cs="Arial"/>
          <w:color w:val="000000"/>
        </w:rPr>
      </w:pPr>
      <w:r w:rsidRPr="007D460E">
        <w:rPr>
          <w:rFonts w:ascii="Verdana" w:eastAsia="Calibri" w:hAnsi="Verdana" w:cs="Arial"/>
          <w:color w:val="000000"/>
        </w:rPr>
        <w:t>En relación con la exigencia de la tarjeta profesional para celebrar el contrato de prestación de servicios, el artículo 26 de la Constitución Política indica que: “La Ley podrá exigir títulos de idoneidad”. La Corte Constitucional establece que la Constitución Política autorizó al legislador para exigir determinados títulos de idoneidad a quienes quieren desempeñar actividades que impliquen riesgo social, con el objetivo de demostrar la adecuada aptitud del aspirante. En este sentido, la Ley, frente a determinadas profesiones, exige el requisito de tarjeta profesional que impliquen riesgo social para garantizar la aptitud del aspirante.</w:t>
      </w:r>
    </w:p>
    <w:p w14:paraId="35439ED1" w14:textId="77777777" w:rsidR="00097B7A" w:rsidRPr="007D460E" w:rsidRDefault="00097B7A" w:rsidP="00097B7A">
      <w:pPr>
        <w:spacing w:after="0"/>
        <w:ind w:firstLine="357"/>
        <w:jc w:val="both"/>
        <w:rPr>
          <w:rFonts w:ascii="Verdana" w:eastAsia="Calibri" w:hAnsi="Verdana" w:cs="Arial"/>
          <w:color w:val="000000"/>
        </w:rPr>
      </w:pPr>
    </w:p>
    <w:p w14:paraId="4A5C91F9" w14:textId="761BA343" w:rsidR="00097B7A" w:rsidRPr="007D460E" w:rsidRDefault="00097B7A" w:rsidP="00097B7A">
      <w:pPr>
        <w:spacing w:after="0"/>
        <w:ind w:firstLine="357"/>
        <w:jc w:val="both"/>
        <w:rPr>
          <w:rFonts w:ascii="Verdana" w:hAnsi="Verdana" w:cs="Arial"/>
        </w:rPr>
      </w:pPr>
      <w:r w:rsidRPr="007D460E">
        <w:rPr>
          <w:rFonts w:ascii="Verdana" w:hAnsi="Verdana" w:cs="Arial"/>
        </w:rPr>
        <w:t xml:space="preserve">Por otro lado, valga mencionar que, a partir de la Ley 1955 de 2019 se permite contar como experiencia profesional las prácticas laborales realizadas por estudiantes para obtener el título de grado. De acuerdo con el artículo 15 de la Ley 1780 de 2016, la </w:t>
      </w:r>
      <w:r w:rsidR="003B58A1" w:rsidRPr="007D460E">
        <w:rPr>
          <w:rFonts w:ascii="Verdana" w:hAnsi="Verdana" w:cs="Arial"/>
        </w:rPr>
        <w:t>práctica</w:t>
      </w:r>
      <w:r w:rsidRPr="007D460E">
        <w:rPr>
          <w:rFonts w:ascii="Verdana" w:hAnsi="Verdana" w:cs="Arial"/>
        </w:rPr>
        <w:t xml:space="preserve">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14:paraId="5C58EBE6" w14:textId="77777777" w:rsidR="00097B7A" w:rsidRPr="007D460E" w:rsidRDefault="00097B7A" w:rsidP="00097B7A">
      <w:pPr>
        <w:spacing w:after="0"/>
        <w:ind w:firstLine="360"/>
        <w:jc w:val="both"/>
        <w:rPr>
          <w:rFonts w:ascii="Verdana" w:eastAsia="Calibri" w:hAnsi="Verdana" w:cs="Arial"/>
        </w:rPr>
      </w:pPr>
    </w:p>
    <w:p w14:paraId="5A5ECCB7" w14:textId="77777777" w:rsidR="00097B7A" w:rsidRPr="007D460E" w:rsidRDefault="00097B7A" w:rsidP="00097B7A">
      <w:pPr>
        <w:spacing w:after="0"/>
        <w:ind w:firstLine="360"/>
        <w:jc w:val="both"/>
        <w:rPr>
          <w:rFonts w:ascii="Verdana" w:eastAsia="Calibri" w:hAnsi="Verdana" w:cs="Arial"/>
        </w:rPr>
      </w:pPr>
      <w:r w:rsidRPr="007D460E">
        <w:rPr>
          <w:rFonts w:ascii="Verdana" w:eastAsia="Calibri" w:hAnsi="Verdana" w:cs="Arial"/>
        </w:rPr>
        <w:lastRenderedPageBreak/>
        <w:t>No obstante, se debe entender que el artículo 229 del Decreto 019 de 2012 es la regla general para contar el término de la experiencia profesional y, por lo tanto, el cómputo, en principio, se efectúa después de terminadas las materias; pero el caso previsto en el artículo 192 de la Ley 1955 de 2019 es la excepción a esta regla general. En efecto, si el estudiante que opta por un título realiza la práctica laboral antes de terminadas las materias, se debe contar esta experiencia como profesional a pesar de que sea una experiencia que no fue adquirida con posterioridad a la terminación de materias. En los demás casos, es decir, cuando no se realiza ninguna práctica laboral antes de finalizar el pénsum, el conteo de la experiencia inicia después de terminadas las materias.</w:t>
      </w:r>
    </w:p>
    <w:p w14:paraId="01E0737B" w14:textId="77777777" w:rsidR="00097B7A" w:rsidRPr="007D460E" w:rsidRDefault="00097B7A" w:rsidP="00097B7A">
      <w:pPr>
        <w:spacing w:after="0"/>
        <w:jc w:val="both"/>
        <w:rPr>
          <w:rFonts w:ascii="Verdana" w:eastAsia="Calibri" w:hAnsi="Verdana" w:cs="Arial"/>
        </w:rPr>
      </w:pPr>
    </w:p>
    <w:p w14:paraId="1ABAF7D9" w14:textId="77777777" w:rsidR="00097B7A" w:rsidRPr="007D460E" w:rsidRDefault="00097B7A" w:rsidP="00097B7A">
      <w:pPr>
        <w:spacing w:before="120" w:after="120" w:line="276" w:lineRule="auto"/>
        <w:ind w:firstLine="360"/>
        <w:jc w:val="both"/>
        <w:rPr>
          <w:rFonts w:ascii="Verdana" w:eastAsia="Calibri" w:hAnsi="Verdana" w:cs="Arial"/>
          <w:color w:val="000000"/>
        </w:rPr>
      </w:pPr>
      <w:r w:rsidRPr="007D460E">
        <w:rPr>
          <w:rFonts w:ascii="Verdana" w:eastAsia="Calibri" w:hAnsi="Verdana" w:cs="Arial"/>
          <w:color w:val="000000"/>
        </w:rPr>
        <w:t>Sin perjuicio de lo anterior, de acuerdo con la Ley 2043 de 2020, independientemente de que se hayan realizado antes o después de la aprobación del respectivo pénsum, también deberán ser contadas como experiencia profesional y/o relacionada las prácticas laborales que a modo de actividad formativa realicen los estudiantes de pregrado en las modalidades de formación profesional, tecnológica o técnica profesional, siempre que encuadren en la definición del artículo 3 de dicha ley. El tiempo cursado por el estudiante como práctica laboral deberá ser certificado por la entidad beneficiaria y sumado a la experiencia profesional.</w:t>
      </w:r>
    </w:p>
    <w:p w14:paraId="11C30239" w14:textId="77777777" w:rsidR="00097B7A" w:rsidRPr="007D460E" w:rsidRDefault="00097B7A" w:rsidP="00097B7A">
      <w:pPr>
        <w:spacing w:before="120" w:after="120" w:line="276" w:lineRule="auto"/>
        <w:ind w:firstLine="360"/>
        <w:jc w:val="both"/>
        <w:rPr>
          <w:rFonts w:ascii="Verdana" w:eastAsia="Calibri" w:hAnsi="Verdana" w:cs="Arial"/>
          <w:color w:val="000000"/>
        </w:rPr>
      </w:pPr>
      <w:r w:rsidRPr="007D460E">
        <w:rPr>
          <w:rFonts w:ascii="Verdana" w:eastAsia="Calibri" w:hAnsi="Verdana" w:cs="Arial"/>
          <w:color w:val="000000"/>
        </w:rPr>
        <w:t>En torno a la Acreditación de la formación Académica el proponente puede acreditar la formación académica en Colombia con la presentación del diploma, acta de grado o los certificados expedidos por el centro educativo. 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w:t>
      </w:r>
      <w:proofErr w:type="spellStart"/>
      <w:r w:rsidRPr="007D460E">
        <w:rPr>
          <w:rFonts w:ascii="Verdana" w:eastAsia="Calibri" w:hAnsi="Verdana" w:cs="Arial"/>
          <w:color w:val="000000"/>
        </w:rPr>
        <w:t>ii</w:t>
      </w:r>
      <w:proofErr w:type="spellEnd"/>
      <w:r w:rsidRPr="007D460E">
        <w:rPr>
          <w:rFonts w:ascii="Verdana" w:eastAsia="Calibri" w:hAnsi="Verdana" w:cs="Arial"/>
          <w:color w:val="000000"/>
        </w:rPr>
        <w:t xml:space="preserve">) la convalidación correspondiente. La Entidad Estatal debe establecer en los Documentos del Proceso el nivel de educación requerido y señalar los códigos equivalentes en la Clasificación Internacional Normalizada de la Educación. </w:t>
      </w:r>
    </w:p>
    <w:p w14:paraId="01390CA4" w14:textId="77777777" w:rsidR="00097B7A" w:rsidRPr="007D460E" w:rsidRDefault="00097B7A" w:rsidP="00097B7A">
      <w:pPr>
        <w:ind w:left="720"/>
        <w:contextualSpacing/>
        <w:rPr>
          <w:rFonts w:ascii="Verdana" w:eastAsia="Times New Roman" w:hAnsi="Verdana" w:cs="Arial"/>
          <w:szCs w:val="24"/>
          <w:lang w:val="es-ES" w:eastAsia="es-ES_tradnl"/>
        </w:rPr>
      </w:pPr>
      <w:r w:rsidRPr="007D460E">
        <w:rPr>
          <w:rFonts w:ascii="Verdana" w:eastAsia="Times New Roman" w:hAnsi="Verdana" w:cs="Arial"/>
          <w:szCs w:val="24"/>
          <w:lang w:val="es-ES" w:eastAsia="es-ES_tradnl"/>
        </w:rPr>
        <w:tab/>
      </w:r>
    </w:p>
    <w:p w14:paraId="04A6B172" w14:textId="77777777" w:rsidR="00097B7A" w:rsidRPr="007D460E" w:rsidRDefault="00097B7A" w:rsidP="00097B7A">
      <w:pPr>
        <w:spacing w:after="120" w:line="276" w:lineRule="auto"/>
        <w:ind w:firstLine="360"/>
        <w:contextualSpacing/>
        <w:jc w:val="both"/>
        <w:rPr>
          <w:rFonts w:ascii="Verdana" w:eastAsia="Calibri" w:hAnsi="Verdana" w:cs="Arial"/>
          <w:bCs/>
          <w:lang w:val="es-ES_tradnl" w:eastAsia="es-MX"/>
        </w:rPr>
      </w:pPr>
      <w:r w:rsidRPr="007D460E">
        <w:rPr>
          <w:rFonts w:ascii="Verdana" w:eastAsia="Times New Roman" w:hAnsi="Verdana" w:cs="Arial"/>
          <w:lang w:val="es-ES_tradnl" w:eastAsia="es-MX"/>
        </w:rPr>
        <w:t xml:space="preserve">Por otra parte, conforme se desprende de los numerales 2 y 4 del artículo 2.2.1.1.2.1.1 del Decreto 1082 de 2015, uno de los aspectos principales que deben abarcar los estudios previos es la determinación del objeto a contratar con sus especificaciones y el valor estimado del contrato aparejado de su respectiva justificación. </w:t>
      </w:r>
      <w:r w:rsidRPr="007D460E">
        <w:rPr>
          <w:rFonts w:ascii="Verdana" w:eastAsia="Calibri" w:hAnsi="Verdana" w:cs="Arial"/>
          <w:bCs/>
          <w:lang w:val="es-ES_tradnl" w:eastAsia="es-MX"/>
        </w:rPr>
        <w:t xml:space="preserve">Para estos efectos resulta relevante </w:t>
      </w:r>
      <w:bookmarkStart w:id="2" w:name="_Hlk139465916"/>
      <w:r w:rsidRPr="007D460E">
        <w:rPr>
          <w:rFonts w:ascii="Verdana" w:eastAsia="Calibri" w:hAnsi="Verdana" w:cs="Arial"/>
          <w:bCs/>
          <w:lang w:val="es-ES_tradnl" w:eastAsia="es-MX"/>
        </w:rPr>
        <w:t xml:space="preserve">la información recolectada en el marco del </w:t>
      </w:r>
      <w:r w:rsidRPr="007D460E">
        <w:rPr>
          <w:rFonts w:ascii="Verdana" w:eastAsia="Calibri" w:hAnsi="Verdana" w:cs="Arial"/>
          <w:bCs/>
          <w:i/>
          <w:iCs/>
          <w:lang w:val="es-ES_tradnl" w:eastAsia="es-MX"/>
        </w:rPr>
        <w:t>estudio del mercado</w:t>
      </w:r>
      <w:r w:rsidRPr="007D460E">
        <w:rPr>
          <w:rFonts w:ascii="Verdana" w:eastAsia="Calibri" w:hAnsi="Verdana" w:cs="Arial"/>
          <w:bCs/>
          <w:lang w:val="es-ES_tradnl" w:eastAsia="es-MX"/>
        </w:rPr>
        <w:t xml:space="preserve"> y el análisis del sector </w:t>
      </w:r>
      <w:r w:rsidRPr="007D460E">
        <w:rPr>
          <w:rFonts w:ascii="Verdana" w:eastAsia="Calibri" w:hAnsi="Verdana" w:cs="Arial"/>
          <w:bCs/>
          <w:lang w:val="es-ES_tradnl" w:eastAsia="es-MX"/>
        </w:rPr>
        <w:lastRenderedPageBreak/>
        <w:t xml:space="preserve">económico y de los potenciales oferentes, actividades de planeación previa que sirven para identificar aspectos concretos del mercado que pueden afectar el proceso de selección o las condiciones del negocio a realizar mediante el proceso de contratación. En este sentido, el análisis del sector de las perspectivas legal, comercial, financiera, organizacional, técnica, y de análisis de Riesgo, al que se refiere el artículo </w:t>
      </w:r>
      <w:bookmarkStart w:id="3" w:name="_Hlk36117416"/>
      <w:r w:rsidRPr="007D460E">
        <w:rPr>
          <w:rFonts w:ascii="Verdana" w:eastAsia="Calibri" w:hAnsi="Verdana" w:cs="Arial"/>
          <w:bCs/>
          <w:lang w:val="es-ES_tradnl" w:eastAsia="es-MX"/>
        </w:rPr>
        <w:t>2.2.1.1.1.6.1 del Decreto 1082 de 2015</w:t>
      </w:r>
      <w:bookmarkEnd w:id="3"/>
      <w:r w:rsidRPr="007D460E">
        <w:rPr>
          <w:rFonts w:ascii="Verdana" w:eastAsia="Calibri" w:hAnsi="Verdana" w:cs="Arial"/>
          <w:bCs/>
          <w:lang w:val="es-ES_tradnl" w:eastAsia="es-MX"/>
        </w:rPr>
        <w:t>, constituye un insumo importante para determinar factores que pudieran determinar el valor del contrato y orientar a la entidad en torno al monto de la disponibilidad presupuestal que requiere para realizar la contratación</w:t>
      </w:r>
      <w:bookmarkEnd w:id="2"/>
      <w:r w:rsidRPr="007D460E">
        <w:rPr>
          <w:rFonts w:ascii="Verdana" w:eastAsia="Calibri" w:hAnsi="Verdana"/>
          <w:bCs/>
          <w:vertAlign w:val="superscript"/>
          <w:lang w:val="es-ES" w:eastAsia="es-MX"/>
        </w:rPr>
        <w:footnoteReference w:id="11"/>
      </w:r>
      <w:r w:rsidRPr="007D460E">
        <w:rPr>
          <w:rFonts w:ascii="Verdana" w:eastAsia="Calibri" w:hAnsi="Verdana" w:cs="Arial"/>
          <w:bCs/>
          <w:lang w:val="es-ES_tradnl" w:eastAsia="es-MX"/>
        </w:rPr>
        <w:t xml:space="preserve">. </w:t>
      </w:r>
    </w:p>
    <w:p w14:paraId="09F208EF" w14:textId="77777777" w:rsidR="00097B7A" w:rsidRPr="007D460E" w:rsidRDefault="00097B7A" w:rsidP="00097B7A">
      <w:pPr>
        <w:spacing w:after="120" w:line="276" w:lineRule="auto"/>
        <w:ind w:left="720"/>
        <w:contextualSpacing/>
        <w:jc w:val="both"/>
        <w:rPr>
          <w:rFonts w:ascii="Verdana" w:eastAsia="Calibri" w:hAnsi="Verdana" w:cs="Arial"/>
          <w:bCs/>
          <w:lang w:val="es-ES_tradnl" w:eastAsia="es-MX"/>
        </w:rPr>
      </w:pPr>
      <w:r w:rsidRPr="007D460E">
        <w:rPr>
          <w:rFonts w:ascii="Verdana" w:eastAsia="Calibri" w:hAnsi="Verdana" w:cs="Arial"/>
          <w:bCs/>
          <w:lang w:val="es-ES_tradnl" w:eastAsia="es-MX"/>
        </w:rPr>
        <w:t xml:space="preserve"> </w:t>
      </w:r>
    </w:p>
    <w:p w14:paraId="254D5F5F" w14:textId="77777777" w:rsidR="00097B7A" w:rsidRPr="007D460E" w:rsidRDefault="00097B7A" w:rsidP="00097B7A">
      <w:pPr>
        <w:spacing w:after="120" w:line="276" w:lineRule="auto"/>
        <w:ind w:firstLine="360"/>
        <w:contextualSpacing/>
        <w:jc w:val="both"/>
        <w:rPr>
          <w:rFonts w:ascii="Verdana" w:eastAsia="Calibri" w:hAnsi="Verdana" w:cs="Arial"/>
          <w:lang w:val="es-ES" w:eastAsia="es-MX"/>
        </w:rPr>
      </w:pPr>
      <w:r w:rsidRPr="007D460E">
        <w:rPr>
          <w:rFonts w:ascii="Verdana" w:eastAsia="Calibri" w:hAnsi="Verdana" w:cs="Arial"/>
          <w:lang w:val="es-ES" w:eastAsia="es-MX"/>
        </w:rPr>
        <w:t xml:space="preserve">De acuerdo con la norma citada, </w:t>
      </w:r>
      <w:bookmarkStart w:id="4" w:name="_Hlk36140682"/>
      <w:r w:rsidRPr="007D460E">
        <w:rPr>
          <w:rFonts w:ascii="Verdana" w:eastAsia="Calibri" w:hAnsi="Verdana" w:cs="Arial"/>
          <w:lang w:val="es-ES" w:eastAsia="es-MX"/>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24508FF8" w14:textId="77777777" w:rsidR="00097B7A" w:rsidRPr="007D460E" w:rsidRDefault="00097B7A" w:rsidP="00097B7A">
      <w:pPr>
        <w:ind w:left="720"/>
        <w:contextualSpacing/>
        <w:rPr>
          <w:rFonts w:ascii="Verdana" w:eastAsia="Calibri" w:hAnsi="Verdana" w:cs="Arial"/>
          <w:bCs/>
          <w:lang w:val="es-ES_tradnl" w:eastAsia="es-MX"/>
        </w:rPr>
      </w:pPr>
    </w:p>
    <w:p w14:paraId="41AFDB96" w14:textId="77777777" w:rsidR="00097B7A" w:rsidRPr="007D460E" w:rsidRDefault="00097B7A" w:rsidP="00097B7A">
      <w:pPr>
        <w:spacing w:after="120" w:line="276" w:lineRule="auto"/>
        <w:ind w:firstLine="360"/>
        <w:contextualSpacing/>
        <w:jc w:val="both"/>
        <w:rPr>
          <w:rFonts w:ascii="Verdana" w:eastAsia="Calibri" w:hAnsi="Verdana" w:cs="Arial"/>
          <w:bCs/>
          <w:lang w:val="es-ES_tradnl" w:eastAsia="es-MX"/>
        </w:rPr>
      </w:pPr>
      <w:r w:rsidRPr="007D460E">
        <w:rPr>
          <w:rFonts w:ascii="Verdana" w:eastAsia="Calibri" w:hAnsi="Verdana" w:cs="Arial"/>
          <w:bCs/>
          <w:lang w:val="es-ES_tradnl" w:eastAsia="es-MX"/>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1287CFB4" w14:textId="77777777" w:rsidR="00097B7A" w:rsidRPr="007D460E" w:rsidRDefault="00097B7A" w:rsidP="00097B7A">
      <w:pPr>
        <w:ind w:left="720"/>
        <w:contextualSpacing/>
        <w:rPr>
          <w:rFonts w:ascii="Verdana" w:eastAsia="Calibri" w:hAnsi="Verdana" w:cs="Arial"/>
          <w:bCs/>
          <w:lang w:val="es-ES_tradnl" w:eastAsia="es-MX"/>
        </w:rPr>
      </w:pPr>
    </w:p>
    <w:p w14:paraId="7F37E76E" w14:textId="77777777" w:rsidR="00097B7A" w:rsidRPr="007D460E" w:rsidRDefault="00097B7A" w:rsidP="00097B7A">
      <w:pPr>
        <w:spacing w:after="120" w:line="276" w:lineRule="auto"/>
        <w:ind w:firstLine="708"/>
        <w:contextualSpacing/>
        <w:jc w:val="both"/>
        <w:rPr>
          <w:rFonts w:ascii="Verdana" w:eastAsia="Calibri" w:hAnsi="Verdana" w:cs="Arial"/>
          <w:bCs/>
          <w:lang w:val="es-ES_tradnl" w:eastAsia="es-MX"/>
        </w:rPr>
      </w:pPr>
      <w:r w:rsidRPr="007D460E">
        <w:rPr>
          <w:rFonts w:ascii="Verdana" w:eastAsia="Calibri" w:hAnsi="Verdana" w:cs="Arial"/>
          <w:bCs/>
          <w:lang w:val="es-ES_tradnl" w:eastAsia="es-MX"/>
        </w:rPr>
        <w:lastRenderedPageBreak/>
        <w:t xml:space="preserve">Dicho análisis facilita tanto el conocimiento del sector, desde una perspectiva multidisciplinaria, como de los proveedores disponibles en el mercado para satisfacer la necesidad de la entidad contratante. Igualmente, el análisis del sector implica un estudio de la oferta, lo que permitirá identificar qué proveedores existen en el mercado y cómo intervienen en la cadena de producción, comercialización y distribución de los bienes, obras o servicios. De igual manera,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1EB66C43" w14:textId="77777777" w:rsidR="00097B7A" w:rsidRPr="007D460E" w:rsidRDefault="00097B7A" w:rsidP="00097B7A">
      <w:pPr>
        <w:ind w:left="720"/>
        <w:contextualSpacing/>
        <w:rPr>
          <w:rFonts w:ascii="Verdana" w:eastAsia="Calibri" w:hAnsi="Verdana" w:cs="Arial"/>
          <w:bCs/>
          <w:lang w:val="es-ES_tradnl" w:eastAsia="es-MX"/>
        </w:rPr>
      </w:pPr>
    </w:p>
    <w:p w14:paraId="5763FF36" w14:textId="77777777" w:rsidR="00097B7A" w:rsidRPr="007D460E" w:rsidRDefault="00097B7A" w:rsidP="00097B7A">
      <w:pPr>
        <w:spacing w:after="120" w:line="276" w:lineRule="auto"/>
        <w:ind w:firstLine="708"/>
        <w:contextualSpacing/>
        <w:jc w:val="both"/>
        <w:rPr>
          <w:rFonts w:ascii="Verdana" w:eastAsia="Calibri" w:hAnsi="Verdana" w:cs="Arial"/>
          <w:bCs/>
          <w:lang w:val="es-ES_tradnl" w:eastAsia="es-MX"/>
        </w:rPr>
      </w:pPr>
      <w:r w:rsidRPr="007D460E">
        <w:rPr>
          <w:rFonts w:ascii="Verdana" w:eastAsia="Calibri" w:hAnsi="Verdana" w:cs="Arial"/>
          <w:bCs/>
          <w:lang w:val="es-ES_tradnl" w:eastAsia="es-MX"/>
        </w:rPr>
        <w:t xml:space="preserve">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w:t>
      </w:r>
      <w:r w:rsidRPr="007D460E">
        <w:rPr>
          <w:rFonts w:ascii="Verdana" w:eastAsia="Times New Roman" w:hAnsi="Verdana" w:cs="Arial"/>
          <w:lang w:val="es-ES_tradnl" w:eastAsia="es-CO"/>
        </w:rPr>
        <w:t xml:space="preserve">son autónomas para estructurarlo, para lo cual deberán cumplir lo dispuesto en el artículo </w:t>
      </w:r>
      <w:r w:rsidRPr="007D460E">
        <w:rPr>
          <w:rFonts w:ascii="Verdana" w:eastAsia="Calibri" w:hAnsi="Verdana" w:cs="Arial"/>
          <w:bCs/>
          <w:lang w:val="es-ES_tradnl" w:eastAsia="es-MX"/>
        </w:rPr>
        <w:t xml:space="preserve">2.2.1.1.1.6.1 del Decreto 1082 de 2015 y realizar un análisis integral de planeación que </w:t>
      </w:r>
      <w:r w:rsidRPr="007D460E">
        <w:rPr>
          <w:rFonts w:ascii="Verdana" w:eastAsia="Times New Roman" w:hAnsi="Verdana" w:cs="Arial"/>
          <w:lang w:val="es-ES_tradnl" w:eastAsia="es-MX"/>
        </w:rPr>
        <w:t xml:space="preserve">sirva de sustento a la decisión de </w:t>
      </w:r>
      <w:r w:rsidRPr="007D460E">
        <w:rPr>
          <w:rFonts w:ascii="Verdana" w:eastAsia="Times New Roman" w:hAnsi="Verdana" w:cs="Arial"/>
          <w:bCs/>
          <w:lang w:val="es-ES_tradnl" w:eastAsia="es-MX"/>
        </w:rPr>
        <w:t>realizar un Proceso de Contratación.</w:t>
      </w:r>
    </w:p>
    <w:p w14:paraId="32428F4A" w14:textId="77777777" w:rsidR="00097B7A" w:rsidRPr="007D460E" w:rsidRDefault="00097B7A" w:rsidP="00097B7A">
      <w:pPr>
        <w:ind w:left="720"/>
        <w:contextualSpacing/>
        <w:rPr>
          <w:rFonts w:ascii="Verdana" w:eastAsia="Calibri" w:hAnsi="Verdana" w:cs="Arial"/>
          <w:bCs/>
          <w:lang w:val="es-ES_tradnl" w:eastAsia="es-MX"/>
        </w:rPr>
      </w:pPr>
    </w:p>
    <w:p w14:paraId="3E7FC71A" w14:textId="77777777" w:rsidR="00097B7A" w:rsidRPr="007D460E" w:rsidRDefault="00097B7A" w:rsidP="00097B7A">
      <w:pPr>
        <w:spacing w:after="120" w:line="276" w:lineRule="auto"/>
        <w:ind w:firstLine="708"/>
        <w:contextualSpacing/>
        <w:jc w:val="both"/>
        <w:rPr>
          <w:rFonts w:ascii="Verdana" w:eastAsia="Calibri" w:hAnsi="Verdana" w:cs="Arial"/>
          <w:bCs/>
          <w:szCs w:val="24"/>
          <w:lang w:val="es-ES" w:eastAsia="es-ES_tradnl"/>
        </w:rPr>
      </w:pPr>
      <w:bookmarkStart w:id="5" w:name="_Hlk139466113"/>
      <w:bookmarkEnd w:id="4"/>
      <w:r w:rsidRPr="007D460E">
        <w:rPr>
          <w:rFonts w:ascii="Verdana" w:eastAsia="Calibri" w:hAnsi="Verdana" w:cs="Arial"/>
          <w:bCs/>
          <w:lang w:val="es-ES_tradnl" w:eastAsia="es-MX"/>
        </w:rPr>
        <w:t>La Agencia Nacional de Contratación Pública – Colombia Compra Eficiente dispone de una “Guía para la Elaboración de Estudios del Sector”</w:t>
      </w:r>
      <w:r w:rsidRPr="007D460E">
        <w:rPr>
          <w:rFonts w:ascii="Verdana" w:eastAsia="Times New Roman" w:hAnsi="Verdana" w:cs="Arial"/>
          <w:vertAlign w:val="superscript"/>
          <w:lang w:val="es-ES_tradnl" w:eastAsia="es-CO"/>
        </w:rPr>
        <w:t xml:space="preserve"> </w:t>
      </w:r>
      <w:r w:rsidRPr="007D460E">
        <w:rPr>
          <w:rFonts w:ascii="Verdana" w:eastAsia="Times New Roman" w:hAnsi="Verdana"/>
          <w:vertAlign w:val="superscript"/>
          <w:lang w:val="es-ES" w:eastAsia="es-CO"/>
        </w:rPr>
        <w:footnoteReference w:id="12"/>
      </w:r>
      <w:r w:rsidRPr="007D460E">
        <w:rPr>
          <w:rFonts w:ascii="Verdana" w:eastAsia="Calibri" w:hAnsi="Verdana" w:cs="Arial"/>
          <w:bCs/>
          <w:lang w:val="es-ES_tradnl" w:eastAsia="es-MX"/>
        </w:rPr>
        <w:t>,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w:t>
      </w:r>
      <w:bookmarkEnd w:id="5"/>
      <w:r w:rsidRPr="007D460E">
        <w:rPr>
          <w:rFonts w:ascii="Verdana" w:eastAsia="Calibri" w:hAnsi="Verdana" w:cs="Arial"/>
          <w:bCs/>
          <w:lang w:val="es-ES_tradnl" w:eastAsia="es-MX"/>
        </w:rPr>
        <w:t xml:space="preserve"> </w:t>
      </w:r>
      <w:r w:rsidRPr="007D460E">
        <w:rPr>
          <w:rFonts w:ascii="Verdana" w:eastAsia="Calibri" w:hAnsi="Verdana" w:cs="Arial"/>
          <w:bCs/>
          <w:szCs w:val="24"/>
          <w:lang w:val="es-ES_tradnl" w:eastAsia="es-ES_tradnl"/>
        </w:rPr>
        <w:t>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De este modo, la Guía contiene</w:t>
      </w:r>
      <w:r w:rsidRPr="007D460E">
        <w:rPr>
          <w:rFonts w:ascii="Verdana" w:eastAsia="Calibri" w:hAnsi="Verdana" w:cs="Arial"/>
          <w:bCs/>
          <w:szCs w:val="24"/>
          <w:lang w:val="es-ES" w:eastAsia="es-ES_tradnl"/>
        </w:rPr>
        <w:t xml:space="preserve"> recomendaciones </w:t>
      </w:r>
      <w:r w:rsidRPr="007D460E">
        <w:rPr>
          <w:rFonts w:ascii="Verdana" w:eastAsia="Calibri" w:hAnsi="Verdana" w:cs="Arial"/>
          <w:bCs/>
          <w:szCs w:val="24"/>
          <w:lang w:val="es-ES" w:eastAsia="es-ES_tradnl"/>
        </w:rPr>
        <w:lastRenderedPageBreak/>
        <w:t xml:space="preserve">generales por lo que no debe aplicarse de manera mecánica, pues la profundidad del estudio del sector depende de la complejidad y particularidades de cada Proceso de Contratación. </w:t>
      </w:r>
    </w:p>
    <w:p w14:paraId="4705F348" w14:textId="77777777" w:rsidR="00097B7A" w:rsidRPr="007D460E" w:rsidRDefault="00097B7A" w:rsidP="00097B7A">
      <w:pPr>
        <w:ind w:left="720"/>
        <w:contextualSpacing/>
        <w:rPr>
          <w:rFonts w:ascii="Verdana" w:eastAsia="Calibri" w:hAnsi="Verdana" w:cs="Arial"/>
          <w:bCs/>
          <w:szCs w:val="24"/>
          <w:lang w:val="es-ES" w:eastAsia="es-ES_tradnl"/>
        </w:rPr>
      </w:pPr>
    </w:p>
    <w:p w14:paraId="4A52EBE5" w14:textId="77777777" w:rsidR="00097B7A" w:rsidRPr="007D460E" w:rsidRDefault="00097B7A" w:rsidP="00097B7A">
      <w:pPr>
        <w:spacing w:after="120" w:line="276" w:lineRule="auto"/>
        <w:ind w:firstLine="708"/>
        <w:contextualSpacing/>
        <w:jc w:val="both"/>
        <w:rPr>
          <w:rFonts w:ascii="Verdana" w:eastAsia="Calibri" w:hAnsi="Verdana" w:cs="Arial"/>
          <w:szCs w:val="24"/>
          <w:lang w:val="es-ES" w:eastAsia="es-ES_tradnl"/>
        </w:rPr>
      </w:pPr>
      <w:r w:rsidRPr="007D460E">
        <w:rPr>
          <w:rFonts w:ascii="Verdana" w:eastAsia="Calibri" w:hAnsi="Verdana" w:cs="Arial"/>
          <w:bCs/>
          <w:lang w:val="es-ES_tradnl" w:eastAsia="es-MX"/>
        </w:rPr>
        <w:t xml:space="preserve">En este instrumento se recomienda, particularmente para la contratación directa y los contratos de prestación de servicios que: </w:t>
      </w:r>
    </w:p>
    <w:p w14:paraId="6A3088C1" w14:textId="77777777" w:rsidR="00097B7A" w:rsidRPr="007D460E" w:rsidRDefault="00097B7A" w:rsidP="00097B7A">
      <w:pPr>
        <w:ind w:left="720"/>
        <w:contextualSpacing/>
        <w:rPr>
          <w:rFonts w:ascii="Verdana" w:eastAsia="Calibri" w:hAnsi="Verdana" w:cs="Arial"/>
          <w:szCs w:val="24"/>
          <w:lang w:val="es-ES" w:eastAsia="es-ES_tradnl"/>
        </w:rPr>
      </w:pPr>
    </w:p>
    <w:p w14:paraId="62FB48C6" w14:textId="77777777" w:rsidR="00097B7A" w:rsidRPr="007D460E" w:rsidRDefault="00097B7A" w:rsidP="000C0B1A">
      <w:pPr>
        <w:spacing w:after="0" w:line="240" w:lineRule="auto"/>
        <w:ind w:left="709" w:right="709"/>
        <w:contextualSpacing/>
        <w:jc w:val="both"/>
        <w:rPr>
          <w:rFonts w:ascii="Verdana" w:eastAsia="Times New Roman" w:hAnsi="Verdana" w:cs="Arial"/>
          <w:sz w:val="21"/>
          <w:szCs w:val="21"/>
          <w:lang w:val="es-MX" w:eastAsia="es-ES_tradnl"/>
        </w:rPr>
      </w:pPr>
      <w:r w:rsidRPr="007D460E">
        <w:rPr>
          <w:rFonts w:ascii="Verdana" w:eastAsia="Times New Roman" w:hAnsi="Verdana" w:cs="Arial"/>
          <w:sz w:val="21"/>
          <w:szCs w:val="21"/>
          <w:lang w:val="es-ES" w:eastAsia="es-ES_tradnl"/>
        </w:rPr>
        <w:t>“</w:t>
      </w:r>
      <w:r w:rsidRPr="007D460E">
        <w:rPr>
          <w:rFonts w:ascii="Verdana" w:eastAsia="Times New Roman" w:hAnsi="Verdana" w:cs="Arial"/>
          <w:sz w:val="20"/>
          <w:szCs w:val="21"/>
          <w:lang w:val="es-MX" w:eastAsia="es-ES_tradnl"/>
        </w:rPr>
        <w:t>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 (…)</w:t>
      </w:r>
    </w:p>
    <w:p w14:paraId="5D23CD03" w14:textId="77777777" w:rsidR="00097B7A" w:rsidRPr="007D460E" w:rsidRDefault="00097B7A" w:rsidP="00097B7A">
      <w:pPr>
        <w:spacing w:after="0" w:line="276" w:lineRule="auto"/>
        <w:ind w:left="709" w:right="709"/>
        <w:contextualSpacing/>
        <w:jc w:val="both"/>
        <w:rPr>
          <w:rFonts w:ascii="Verdana" w:eastAsia="Times New Roman" w:hAnsi="Verdana" w:cs="Arial"/>
          <w:sz w:val="21"/>
          <w:szCs w:val="21"/>
          <w:lang w:val="es-MX" w:eastAsia="es-ES_tradnl"/>
        </w:rPr>
      </w:pPr>
    </w:p>
    <w:p w14:paraId="417CDA4F" w14:textId="77777777" w:rsidR="00097B7A" w:rsidRPr="000C0B1A" w:rsidRDefault="00097B7A" w:rsidP="00097B7A">
      <w:pPr>
        <w:tabs>
          <w:tab w:val="left" w:pos="426"/>
        </w:tabs>
        <w:jc w:val="both"/>
        <w:rPr>
          <w:rFonts w:ascii="Verdana" w:eastAsia="Calibri" w:hAnsi="Verdana" w:cs="Arial"/>
          <w:sz w:val="24"/>
          <w:szCs w:val="24"/>
        </w:rPr>
      </w:pPr>
      <w:r w:rsidRPr="000C0B1A">
        <w:rPr>
          <w:rFonts w:ascii="Verdana" w:eastAsia="Times New Roman" w:hAnsi="Verdana" w:cs="Arial"/>
          <w:lang w:val="es-MX" w:eastAsia="es-ES_tradnl"/>
        </w:rPr>
        <w:tab/>
        <w:t xml:space="preserve">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 En un contrato de prestación de servicios profesionales, el estudio del sector depende del objeto del contrato y de las condiciones de idoneidad y/o experiencia que llevan a contratar a la persona natural o jurídica que está en condiciones de desarrollar dicho objeto. Por ejemplo, si se trata de la contratación de un abogado para llevar un proceso judicial, la Entidad debe analizar la necesidad de contratar el servicio, de forma esencialmente temporal y las condiciones de los Procesos de Contratación que ha adelantado en el pasado para contratar este tipo de servicios, teniendo en cuenta plazos valor y forma de pago. </w:t>
      </w:r>
    </w:p>
    <w:p w14:paraId="5C4F2D00" w14:textId="77777777" w:rsidR="00097B7A" w:rsidRPr="007D460E" w:rsidRDefault="00097B7A" w:rsidP="00097B7A">
      <w:pPr>
        <w:spacing w:after="120" w:line="276" w:lineRule="auto"/>
        <w:ind w:firstLine="426"/>
        <w:jc w:val="both"/>
        <w:rPr>
          <w:rFonts w:ascii="Verdana" w:eastAsia="Calibri" w:hAnsi="Verdana" w:cs="Arial"/>
          <w:szCs w:val="24"/>
          <w:lang w:val="es-ES" w:eastAsia="es-ES_tradnl"/>
        </w:rPr>
      </w:pPr>
      <w:r w:rsidRPr="007D460E">
        <w:rPr>
          <w:rFonts w:ascii="Verdana" w:eastAsia="Calibri" w:hAnsi="Verdana" w:cs="Arial"/>
          <w:szCs w:val="24"/>
          <w:lang w:val="es-ES" w:eastAsia="es-ES_tradnl"/>
        </w:rPr>
        <w:t xml:space="preserve">En referencia al Contrato de Prestación de Servicios, una vez la entidad ha establecido la experiencia y los estudios que debe tener una persona natural o jurídica para celebrar un contrato de prestación de servicios, en su autonomía y como directora del proceso de contratación debe determinar cómo evaluar que esto se cumpla, sin que sea obligatorio la aplicabilidad el Decreto 1083 de 2015 respecto de la equivalencia entre experiencia y estudios, ya que el artículo 2.1.1.1. que trata del objeto del decreto señala que es para el sector de la función pública en temas como “empleo público; funciones, competencias y requisitos generales para los empleos públicos de los distintos niveles jerárquicos de los organismos y entidades del orden nacional y territorial; administración de personal (…)”, entre otros. </w:t>
      </w:r>
    </w:p>
    <w:p w14:paraId="647E4079" w14:textId="77777777" w:rsidR="00097B7A" w:rsidRPr="00637821" w:rsidRDefault="00097B7A" w:rsidP="00097B7A">
      <w:pPr>
        <w:spacing w:after="120" w:line="276" w:lineRule="auto"/>
        <w:ind w:firstLine="426"/>
        <w:jc w:val="both"/>
        <w:rPr>
          <w:rFonts w:ascii="Verdana" w:eastAsia="Calibri" w:hAnsi="Verdana" w:cs="Arial"/>
          <w:szCs w:val="24"/>
          <w:lang w:val="es-ES" w:eastAsia="es-ES_tradnl"/>
        </w:rPr>
      </w:pPr>
      <w:r w:rsidRPr="00637821">
        <w:rPr>
          <w:rFonts w:ascii="Verdana" w:eastAsia="Calibri" w:hAnsi="Verdana" w:cs="Arial"/>
          <w:szCs w:val="24"/>
          <w:lang w:val="es-ES" w:eastAsia="es-ES_tradnl"/>
        </w:rPr>
        <w:lastRenderedPageBreak/>
        <w:t>De acuerdo con el concepto del Departamento Administrativo de la Función Pública</w:t>
      </w:r>
      <w:r w:rsidRPr="00637821">
        <w:rPr>
          <w:rStyle w:val="Refdenotaalpie"/>
          <w:rFonts w:ascii="Verdana" w:eastAsia="Calibri" w:hAnsi="Verdana" w:cs="Arial"/>
          <w:szCs w:val="24"/>
          <w:lang w:val="es-ES" w:eastAsia="es-ES_tradnl"/>
        </w:rPr>
        <w:footnoteReference w:id="13"/>
      </w:r>
      <w:r w:rsidRPr="00637821">
        <w:rPr>
          <w:rFonts w:ascii="Verdana" w:eastAsia="Calibri" w:hAnsi="Verdana" w:cs="Arial"/>
          <w:szCs w:val="24"/>
          <w:lang w:val="es-ES" w:eastAsia="es-ES_tradnl"/>
        </w:rPr>
        <w:t>, “La relación contractual tiene como características la autonomía e independencia del contratista, por consiguiente, los contratistas no son servidores públicos sino particulares que prestan una función pública (…)”; por lo que no es aplicable el Decreto 1083 de 2015. Ahora bien, la entidad en su autonomía y como rectora del proceso de contratación puede determinar la observancia de la equivalencia entre experiencia y estudios allí establecida y tendrá que justificarlo en los estudios previos y análisis del sector.</w:t>
      </w:r>
    </w:p>
    <w:p w14:paraId="5A7C5C3D" w14:textId="77777777" w:rsidR="00097B7A" w:rsidRPr="00637821" w:rsidRDefault="00097B7A" w:rsidP="00097B7A">
      <w:pPr>
        <w:spacing w:after="120" w:line="276" w:lineRule="auto"/>
        <w:ind w:firstLine="426"/>
        <w:jc w:val="both"/>
        <w:rPr>
          <w:rFonts w:ascii="Verdana" w:eastAsia="Calibri" w:hAnsi="Verdana" w:cs="Arial"/>
          <w:szCs w:val="24"/>
          <w:lang w:val="es-ES" w:eastAsia="es-ES_tradnl"/>
        </w:rPr>
      </w:pPr>
      <w:r w:rsidRPr="00637821">
        <w:rPr>
          <w:rFonts w:ascii="Verdana" w:eastAsia="Calibri" w:hAnsi="Verdana" w:cs="Arial"/>
          <w:szCs w:val="24"/>
          <w:lang w:val="es-ES" w:eastAsia="es-ES_tradnl"/>
        </w:rPr>
        <w:t xml:space="preserve">Así mismo se indica que las entidades estatales de orden nacional y descentralizada al iniciar su vigencia fiscal correspondiente emiten un acto administrativo en las que regulan y estandarizan los valores de los honorarios de acuerdo con los años y/o meses de experiencia y formación profesional de los proveedores del servicio profesional. Lo anterior lo realizan con el fin de garantizar la austeridad del gasto público, la sostenibilidad financiera del presupuesto, el flujo de caja y la igual de condiciones en los contratistas que aportan idoneidad en la experiencia y formación profesional. </w:t>
      </w:r>
    </w:p>
    <w:p w14:paraId="188D6329" w14:textId="44665D08" w:rsidR="000C2CEB" w:rsidRPr="000C2CEB" w:rsidRDefault="00097B7A" w:rsidP="008E42C6">
      <w:pPr>
        <w:spacing w:after="120" w:line="276" w:lineRule="auto"/>
        <w:ind w:firstLine="426"/>
        <w:jc w:val="both"/>
        <w:rPr>
          <w:rFonts w:ascii="Verdana" w:hAnsi="Verdana"/>
        </w:rPr>
      </w:pPr>
      <w:r w:rsidRPr="00637821">
        <w:rPr>
          <w:rFonts w:ascii="Verdana" w:eastAsia="Calibri" w:hAnsi="Verdana" w:cs="Arial"/>
          <w:szCs w:val="24"/>
          <w:lang w:val="es-ES" w:eastAsia="es-ES_tradnl"/>
        </w:rPr>
        <w:t xml:space="preserve">En conclusión, </w:t>
      </w:r>
      <w:r w:rsidR="008E42C6">
        <w:rPr>
          <w:rFonts w:ascii="Verdana" w:hAnsi="Verdana"/>
        </w:rPr>
        <w:t xml:space="preserve">el </w:t>
      </w:r>
      <w:r w:rsidR="006F75EB" w:rsidRPr="006F75EB">
        <w:rPr>
          <w:rFonts w:ascii="Verdana" w:hAnsi="Verdana"/>
        </w:rPr>
        <w:t xml:space="preserve">Estatuto General de </w:t>
      </w:r>
      <w:r w:rsidR="00382DAA" w:rsidRPr="006F75EB">
        <w:rPr>
          <w:rFonts w:ascii="Verdana" w:hAnsi="Verdana"/>
        </w:rPr>
        <w:t>Contratación</w:t>
      </w:r>
      <w:r w:rsidR="006F75EB" w:rsidRPr="006F75EB">
        <w:rPr>
          <w:rFonts w:ascii="Verdana" w:hAnsi="Verdana"/>
        </w:rPr>
        <w:t xml:space="preserve"> de la </w:t>
      </w:r>
      <w:r w:rsidR="00382DAA" w:rsidRPr="006F75EB">
        <w:rPr>
          <w:rFonts w:ascii="Verdana" w:hAnsi="Verdana"/>
        </w:rPr>
        <w:t>Administración</w:t>
      </w:r>
      <w:r w:rsidR="006F75EB" w:rsidRPr="006F75EB">
        <w:rPr>
          <w:rFonts w:ascii="Verdana" w:hAnsi="Verdana"/>
        </w:rPr>
        <w:t xml:space="preserve"> </w:t>
      </w:r>
      <w:r w:rsidR="00382DAA" w:rsidRPr="006F75EB">
        <w:rPr>
          <w:rFonts w:ascii="Verdana" w:hAnsi="Verdana"/>
        </w:rPr>
        <w:t>Pública</w:t>
      </w:r>
      <w:r w:rsidR="006F75EB" w:rsidRPr="006F75EB">
        <w:rPr>
          <w:rFonts w:ascii="Verdana" w:hAnsi="Verdana"/>
        </w:rPr>
        <w:t xml:space="preserve"> no contempla ninguna regla especial</w:t>
      </w:r>
      <w:r w:rsidR="008E42C6">
        <w:rPr>
          <w:rFonts w:ascii="Verdana" w:hAnsi="Verdana"/>
        </w:rPr>
        <w:t xml:space="preserve"> relacionada con la acreditación y verificación de la experiencia en los contratos de prestación de servicio</w:t>
      </w:r>
      <w:r w:rsidR="006F75EB" w:rsidRPr="006F75EB">
        <w:rPr>
          <w:rFonts w:ascii="Verdana" w:hAnsi="Verdana"/>
        </w:rPr>
        <w:t xml:space="preserve">, </w:t>
      </w:r>
      <w:r w:rsidR="008E42C6">
        <w:rPr>
          <w:rFonts w:ascii="Verdana" w:hAnsi="Verdana"/>
        </w:rPr>
        <w:t>s</w:t>
      </w:r>
      <w:r w:rsidR="006F75EB" w:rsidRPr="006F75EB">
        <w:rPr>
          <w:rFonts w:ascii="Verdana" w:hAnsi="Verdana"/>
        </w:rPr>
        <w:t xml:space="preserve">in embargo, el </w:t>
      </w:r>
      <w:r w:rsidR="00382DAA" w:rsidRPr="006F75EB">
        <w:rPr>
          <w:rFonts w:ascii="Verdana" w:hAnsi="Verdana"/>
        </w:rPr>
        <w:t>artículo</w:t>
      </w:r>
      <w:r w:rsidR="006F75EB" w:rsidRPr="006F75EB">
        <w:rPr>
          <w:rFonts w:ascii="Verdana" w:hAnsi="Verdana"/>
        </w:rPr>
        <w:t xml:space="preserve"> 2.2.1.2.1.4.9 del Decreto 1082 de </w:t>
      </w:r>
      <w:r w:rsidR="000C2CEB" w:rsidRPr="000C2CEB">
        <w:rPr>
          <w:rFonts w:ascii="Verdana" w:hAnsi="Verdana"/>
        </w:rPr>
        <w:t xml:space="preserve">2015, si establece como </w:t>
      </w:r>
      <w:r w:rsidR="00382DAA" w:rsidRPr="000C2CEB">
        <w:rPr>
          <w:rFonts w:ascii="Verdana" w:hAnsi="Verdana"/>
        </w:rPr>
        <w:t>condición</w:t>
      </w:r>
      <w:r w:rsidR="000C2CEB" w:rsidRPr="000C2CEB">
        <w:rPr>
          <w:rFonts w:ascii="Verdana" w:hAnsi="Verdana"/>
        </w:rPr>
        <w:t xml:space="preserve"> para la </w:t>
      </w:r>
      <w:r w:rsidR="00382DAA" w:rsidRPr="000C2CEB">
        <w:rPr>
          <w:rFonts w:ascii="Verdana" w:hAnsi="Verdana"/>
        </w:rPr>
        <w:t>celebración</w:t>
      </w:r>
      <w:r w:rsidR="000C2CEB" w:rsidRPr="000C2CEB">
        <w:rPr>
          <w:rFonts w:ascii="Verdana" w:hAnsi="Verdana"/>
        </w:rPr>
        <w:t xml:space="preserve"> de este particular tipo de contratos que la Entidad Estatal verifique que el contratista tenga “la idoneidad o experiencia requerida y relacionada con el </w:t>
      </w:r>
      <w:r w:rsidR="00382DAA" w:rsidRPr="000C2CEB">
        <w:rPr>
          <w:rFonts w:ascii="Verdana" w:hAnsi="Verdana"/>
        </w:rPr>
        <w:t>área</w:t>
      </w:r>
      <w:r w:rsidR="000C2CEB" w:rsidRPr="000C2CEB">
        <w:rPr>
          <w:rFonts w:ascii="Verdana" w:hAnsi="Verdana"/>
        </w:rPr>
        <w:t xml:space="preserve"> de que se trate” el respectivo objeto contractual. </w:t>
      </w:r>
    </w:p>
    <w:p w14:paraId="0321DDE9" w14:textId="7B0B78A4" w:rsidR="000C2CEB" w:rsidRPr="000C2CEB" w:rsidRDefault="000C2CEB" w:rsidP="000C2CEB">
      <w:pPr>
        <w:spacing w:after="120" w:line="276" w:lineRule="auto"/>
        <w:ind w:firstLine="426"/>
        <w:jc w:val="both"/>
        <w:rPr>
          <w:rFonts w:ascii="Verdana" w:hAnsi="Verdana"/>
        </w:rPr>
      </w:pPr>
      <w:r w:rsidRPr="000C2CEB">
        <w:rPr>
          <w:rFonts w:ascii="Verdana" w:hAnsi="Verdana"/>
        </w:rPr>
        <w:t xml:space="preserve">Al respecto la entidad debe elaborar un perfil de idoneidad basado en sus necesidades, establecer </w:t>
      </w:r>
      <w:r w:rsidR="00382DAA" w:rsidRPr="000C2CEB">
        <w:rPr>
          <w:rFonts w:ascii="Verdana" w:hAnsi="Verdana"/>
        </w:rPr>
        <w:t>parámetros</w:t>
      </w:r>
      <w:r w:rsidRPr="000C2CEB">
        <w:rPr>
          <w:rFonts w:ascii="Verdana" w:hAnsi="Verdana"/>
        </w:rPr>
        <w:t xml:space="preserve"> </w:t>
      </w:r>
      <w:r w:rsidR="00382DAA" w:rsidRPr="000C2CEB">
        <w:rPr>
          <w:rFonts w:ascii="Verdana" w:hAnsi="Verdana"/>
        </w:rPr>
        <w:t>mínimos</w:t>
      </w:r>
      <w:r w:rsidRPr="000C2CEB">
        <w:rPr>
          <w:rFonts w:ascii="Verdana" w:hAnsi="Verdana"/>
        </w:rPr>
        <w:t xml:space="preserve"> de experiencia adecuados y proporcionales al tipo de contrato y su complejidad, y verificar directamente la experiencia del contratista conforme a lo estipulado en el Decreto 1082 de 2015, teniendo en cuenta tanto la experiencia general como </w:t>
      </w:r>
      <w:r w:rsidR="00382DAA" w:rsidRPr="000C2CEB">
        <w:rPr>
          <w:rFonts w:ascii="Verdana" w:hAnsi="Verdana"/>
        </w:rPr>
        <w:t>especifica</w:t>
      </w:r>
      <w:r w:rsidRPr="000C2CEB">
        <w:rPr>
          <w:rFonts w:ascii="Verdana" w:hAnsi="Verdana"/>
        </w:rPr>
        <w:t xml:space="preserve"> relacionada con el objeto del contrato. </w:t>
      </w:r>
    </w:p>
    <w:p w14:paraId="454AE818" w14:textId="7B6C443F" w:rsidR="000C2CEB" w:rsidRPr="000C2CEB" w:rsidRDefault="000C2CEB" w:rsidP="000C2CEB">
      <w:pPr>
        <w:spacing w:after="120" w:line="276" w:lineRule="auto"/>
        <w:ind w:firstLine="426"/>
        <w:jc w:val="both"/>
        <w:rPr>
          <w:rFonts w:ascii="Verdana" w:hAnsi="Verdana"/>
        </w:rPr>
      </w:pPr>
      <w:r w:rsidRPr="000C2CEB">
        <w:rPr>
          <w:rFonts w:ascii="Verdana" w:hAnsi="Verdana"/>
        </w:rPr>
        <w:t xml:space="preserve">De tal manera que, al no existir condiciones taxativas en la norma, la entidad estatal goza de </w:t>
      </w:r>
      <w:r w:rsidR="00382DAA" w:rsidRPr="000C2CEB">
        <w:rPr>
          <w:rFonts w:ascii="Verdana" w:hAnsi="Verdana"/>
        </w:rPr>
        <w:t>autonomía</w:t>
      </w:r>
      <w:r w:rsidRPr="000C2CEB">
        <w:rPr>
          <w:rFonts w:ascii="Verdana" w:hAnsi="Verdana"/>
        </w:rPr>
        <w:t xml:space="preserve"> para establecer en los documentos precontractuales las condiciones de tiempo, modo y </w:t>
      </w:r>
      <w:r w:rsidR="00382DAA" w:rsidRPr="000C2CEB">
        <w:rPr>
          <w:rFonts w:ascii="Verdana" w:hAnsi="Verdana"/>
        </w:rPr>
        <w:t>características</w:t>
      </w:r>
      <w:r w:rsidRPr="000C2CEB">
        <w:rPr>
          <w:rFonts w:ascii="Verdana" w:hAnsi="Verdana"/>
        </w:rPr>
        <w:t xml:space="preserve"> de los documentos que sirven de soporte de </w:t>
      </w:r>
      <w:r w:rsidR="00382DAA" w:rsidRPr="000C2CEB">
        <w:rPr>
          <w:rFonts w:ascii="Verdana" w:hAnsi="Verdana"/>
        </w:rPr>
        <w:t>acreditación</w:t>
      </w:r>
      <w:r w:rsidRPr="000C2CEB">
        <w:rPr>
          <w:rFonts w:ascii="Verdana" w:hAnsi="Verdana"/>
        </w:rPr>
        <w:t xml:space="preserve"> de la idoneidad o experiencia en los contratos de </w:t>
      </w:r>
      <w:r w:rsidR="00382DAA" w:rsidRPr="000C2CEB">
        <w:rPr>
          <w:rFonts w:ascii="Verdana" w:hAnsi="Verdana"/>
        </w:rPr>
        <w:t>prestación</w:t>
      </w:r>
      <w:r w:rsidRPr="000C2CEB">
        <w:rPr>
          <w:rFonts w:ascii="Verdana" w:hAnsi="Verdana"/>
        </w:rPr>
        <w:t xml:space="preserve"> de servicios, asegurando </w:t>
      </w:r>
      <w:r w:rsidR="00382DAA" w:rsidRPr="000C2CEB">
        <w:rPr>
          <w:rFonts w:ascii="Verdana" w:hAnsi="Verdana"/>
        </w:rPr>
        <w:t>así</w:t>
      </w:r>
      <w:r w:rsidRPr="000C2CEB">
        <w:rPr>
          <w:rFonts w:ascii="Verdana" w:hAnsi="Verdana"/>
        </w:rPr>
        <w:t xml:space="preserve">́ que los documentos presentados sean </w:t>
      </w:r>
      <w:r w:rsidRPr="000C2CEB">
        <w:rPr>
          <w:rFonts w:ascii="Verdana" w:hAnsi="Verdana"/>
        </w:rPr>
        <w:lastRenderedPageBreak/>
        <w:t xml:space="preserve">adecuados y verificables para cumplir con los </w:t>
      </w:r>
      <w:r w:rsidR="00382DAA" w:rsidRPr="000C2CEB">
        <w:rPr>
          <w:rFonts w:ascii="Verdana" w:hAnsi="Verdana"/>
        </w:rPr>
        <w:t>estándares</w:t>
      </w:r>
      <w:r w:rsidRPr="000C2CEB">
        <w:rPr>
          <w:rFonts w:ascii="Verdana" w:hAnsi="Verdana"/>
        </w:rPr>
        <w:t xml:space="preserve"> establecidos en </w:t>
      </w:r>
      <w:r w:rsidR="00382DAA" w:rsidRPr="000C2CEB">
        <w:rPr>
          <w:rFonts w:ascii="Verdana" w:hAnsi="Verdana"/>
        </w:rPr>
        <w:t>relación</w:t>
      </w:r>
      <w:r w:rsidRPr="000C2CEB">
        <w:rPr>
          <w:rFonts w:ascii="Verdana" w:hAnsi="Verdana"/>
        </w:rPr>
        <w:t xml:space="preserve"> con el principio de </w:t>
      </w:r>
      <w:r w:rsidR="00382DAA" w:rsidRPr="000C2CEB">
        <w:rPr>
          <w:rFonts w:ascii="Verdana" w:hAnsi="Verdana"/>
        </w:rPr>
        <w:t>selección</w:t>
      </w:r>
      <w:r w:rsidRPr="000C2CEB">
        <w:rPr>
          <w:rFonts w:ascii="Verdana" w:hAnsi="Verdana"/>
        </w:rPr>
        <w:t xml:space="preserve"> objetiva</w:t>
      </w:r>
      <w:r w:rsidR="008E42C6">
        <w:rPr>
          <w:rFonts w:ascii="Verdana" w:hAnsi="Verdana"/>
        </w:rPr>
        <w:t>.</w:t>
      </w:r>
    </w:p>
    <w:p w14:paraId="12B1EAAA" w14:textId="65B6C041" w:rsidR="006F75EB" w:rsidRPr="006F75EB" w:rsidRDefault="006F75EB" w:rsidP="006F75EB">
      <w:pPr>
        <w:spacing w:after="120" w:line="276" w:lineRule="auto"/>
        <w:ind w:firstLine="426"/>
        <w:jc w:val="both"/>
        <w:rPr>
          <w:rFonts w:ascii="Verdana" w:hAnsi="Verdana"/>
        </w:rPr>
      </w:pPr>
    </w:p>
    <w:p w14:paraId="1991D6A7" w14:textId="77777777" w:rsidR="00AC6D81" w:rsidRDefault="00AC6D81" w:rsidP="00AC6D81">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186A86">
        <w:rPr>
          <w:rFonts w:ascii="Verdana" w:eastAsia="Century Gothic" w:hAnsi="Verdana" w:cs="Century Gothic"/>
          <w:b/>
          <w:bCs/>
          <w:lang w:val="es-ES"/>
        </w:rPr>
        <w:t>Referencias normativas, jurisprudenciales y otras fuentes:</w:t>
      </w:r>
    </w:p>
    <w:p w14:paraId="0B327C3C" w14:textId="77777777" w:rsidR="00C7107B" w:rsidRPr="00186A86" w:rsidRDefault="00C7107B" w:rsidP="00C7107B">
      <w:pPr>
        <w:tabs>
          <w:tab w:val="left" w:pos="142"/>
          <w:tab w:val="left" w:pos="284"/>
        </w:tabs>
        <w:spacing w:after="0" w:line="276" w:lineRule="auto"/>
        <w:jc w:val="both"/>
        <w:rPr>
          <w:rFonts w:ascii="Verdana" w:eastAsia="Century Gothic" w:hAnsi="Verdana" w:cs="Century Gothic"/>
          <w:b/>
          <w:bCs/>
          <w:lang w:val="es-ES"/>
        </w:rPr>
      </w:pPr>
    </w:p>
    <w:p w14:paraId="20D53E47" w14:textId="6BC448E6" w:rsidR="0093774F" w:rsidRPr="00FE4B2C" w:rsidRDefault="00674E4A" w:rsidP="00AC6D81">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3C0A39">
        <w:rPr>
          <w:rFonts w:ascii="Verdana" w:eastAsia="Calibri" w:hAnsi="Verdana" w:cs="Arial"/>
        </w:rPr>
        <w:t>ACUERDO No. PSAA10-7543 DE 2010</w:t>
      </w:r>
      <w:r>
        <w:rPr>
          <w:rFonts w:ascii="Verdana" w:eastAsia="Calibri" w:hAnsi="Verdana" w:cs="Arial"/>
        </w:rPr>
        <w:t xml:space="preserve"> del Consejo Superior de la Judicatura. Disponible en:</w:t>
      </w:r>
      <w:r w:rsidR="00FE4B2C">
        <w:rPr>
          <w:rFonts w:ascii="Verdana" w:eastAsia="Calibri" w:hAnsi="Verdana" w:cs="Arial"/>
        </w:rPr>
        <w:tab/>
      </w:r>
      <w:r>
        <w:rPr>
          <w:rFonts w:ascii="Verdana" w:eastAsia="Calibri" w:hAnsi="Verdana" w:cs="Arial"/>
        </w:rPr>
        <w:t xml:space="preserve"> </w:t>
      </w:r>
      <w:hyperlink r:id="rId12" w:history="1">
        <w:r w:rsidR="00FE4B2C" w:rsidRPr="00BC5BA2">
          <w:rPr>
            <w:rStyle w:val="Hipervnculo"/>
            <w:rFonts w:ascii="Verdana" w:eastAsia="Calibri" w:hAnsi="Verdana" w:cs="Arial"/>
          </w:rPr>
          <w:t>https://www.alcaldiabogota.gov.co/sisjur/normas/Norma1.jsp?i=124367</w:t>
        </w:r>
      </w:hyperlink>
    </w:p>
    <w:p w14:paraId="0AE48ACE" w14:textId="297FA477" w:rsidR="00AC6D81" w:rsidRPr="00186A86" w:rsidRDefault="00AC6D81" w:rsidP="00AC6D81">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186A86">
        <w:rPr>
          <w:rFonts w:ascii="Verdana" w:hAnsi="Verdana"/>
        </w:rPr>
        <w:t xml:space="preserve">Decreto 1068 de 2015, artículo 14, artículo 15. </w:t>
      </w:r>
      <w:r w:rsidRPr="00186A86">
        <w:rPr>
          <w:rFonts w:ascii="Verdana" w:hAnsi="Verdana" w:cs="Arial"/>
        </w:rPr>
        <w:t xml:space="preserve">Disponible en: </w:t>
      </w:r>
      <w:hyperlink r:id="rId13" w:history="1">
        <w:r w:rsidRPr="00186A86">
          <w:rPr>
            <w:rStyle w:val="Hipervnculo"/>
            <w:rFonts w:ascii="Verdana" w:hAnsi="Verdana" w:cs="Arial"/>
          </w:rPr>
          <w:t>https://relatoria.colombiacompra.gov.co/normativa/decreto-1068-de-2015/</w:t>
        </w:r>
      </w:hyperlink>
    </w:p>
    <w:p w14:paraId="7CADB4E8" w14:textId="77777777" w:rsidR="00AC6D81" w:rsidRPr="00186A86" w:rsidRDefault="00AC6D81" w:rsidP="00AC6D81">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186A86">
        <w:rPr>
          <w:rFonts w:ascii="Verdana" w:hAnsi="Verdana" w:cs="Arial"/>
        </w:rPr>
        <w:t>Ley 1150 de 2007, artículo 4. Disponible en:</w:t>
      </w:r>
      <w:r w:rsidRPr="00186A86">
        <w:rPr>
          <w:rFonts w:ascii="Verdana" w:hAnsi="Verdana" w:cs="Arial"/>
        </w:rPr>
        <w:tab/>
        <w:t xml:space="preserve"> </w:t>
      </w:r>
      <w:hyperlink r:id="rId14" w:history="1">
        <w:r w:rsidRPr="00186A86">
          <w:rPr>
            <w:rStyle w:val="Hipervnculo"/>
            <w:rFonts w:ascii="Verdana" w:hAnsi="Verdana" w:cs="Arial"/>
          </w:rPr>
          <w:t>https://relatoria.colombiacompra.gov.co/normativa/ley-1150-de-2007/</w:t>
        </w:r>
      </w:hyperlink>
    </w:p>
    <w:p w14:paraId="2F0231B3" w14:textId="77777777" w:rsidR="00AC6D81" w:rsidRPr="00FE4B2C" w:rsidRDefault="00AC6D81" w:rsidP="00AC6D81">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186A86">
        <w:rPr>
          <w:rFonts w:ascii="Verdana" w:hAnsi="Verdana" w:cs="Arial"/>
        </w:rPr>
        <w:t xml:space="preserve">Decreto 1082 de 2015, artículo </w:t>
      </w:r>
      <w:r w:rsidRPr="00186A86">
        <w:rPr>
          <w:rFonts w:ascii="Verdana" w:eastAsia="Calibri" w:hAnsi="Verdana" w:cs="Arial"/>
        </w:rPr>
        <w:t>2.2.1.1.2.1.3.</w:t>
      </w:r>
      <w:r w:rsidRPr="00186A86">
        <w:rPr>
          <w:rFonts w:ascii="Verdana" w:hAnsi="Verdana"/>
        </w:rPr>
        <w:t>, artículo 2.2.1.2.3.1.1</w:t>
      </w:r>
      <w:r w:rsidRPr="00186A86">
        <w:rPr>
          <w:rFonts w:ascii="Verdana" w:eastAsia="Calibri" w:hAnsi="Verdana" w:cs="Arial"/>
        </w:rPr>
        <w:t xml:space="preserve">. </w:t>
      </w:r>
      <w:r w:rsidRPr="00186A86">
        <w:rPr>
          <w:rFonts w:ascii="Verdana" w:hAnsi="Verdana" w:cs="Arial"/>
        </w:rPr>
        <w:t>Disponible en:</w:t>
      </w:r>
      <w:r w:rsidRPr="00186A86">
        <w:rPr>
          <w:rFonts w:ascii="Verdana" w:hAnsi="Verdana" w:cs="Arial"/>
        </w:rPr>
        <w:tab/>
        <w:t xml:space="preserve"> </w:t>
      </w:r>
      <w:hyperlink r:id="rId15" w:history="1">
        <w:r w:rsidRPr="00186A86">
          <w:rPr>
            <w:rStyle w:val="Hipervnculo"/>
            <w:rFonts w:ascii="Verdana" w:hAnsi="Verdana" w:cs="Arial"/>
          </w:rPr>
          <w:t>https://relatoria.colombiacompra.gov.co/normativa/decreto-1082-de-2015/</w:t>
        </w:r>
      </w:hyperlink>
    </w:p>
    <w:p w14:paraId="440C1605" w14:textId="77777777" w:rsidR="00FE4B2C" w:rsidRPr="00E95F6D" w:rsidRDefault="00FE4B2C" w:rsidP="00FE4B2C">
      <w:pPr>
        <w:pStyle w:val="Prrafodelista"/>
        <w:widowControl w:val="0"/>
        <w:autoSpaceDE w:val="0"/>
        <w:autoSpaceDN w:val="0"/>
        <w:spacing w:after="120" w:line="276" w:lineRule="auto"/>
        <w:contextualSpacing w:val="0"/>
        <w:jc w:val="both"/>
        <w:rPr>
          <w:rStyle w:val="Hipervnculo"/>
          <w:rFonts w:ascii="Verdana" w:hAnsi="Verdana" w:cs="Arial"/>
          <w:color w:val="auto"/>
          <w:u w:val="none"/>
        </w:rPr>
      </w:pPr>
    </w:p>
    <w:p w14:paraId="02397EF7" w14:textId="77777777" w:rsidR="00AC6D81" w:rsidRPr="00186A86" w:rsidRDefault="00AC6D81" w:rsidP="00AC6D8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186A86">
        <w:rPr>
          <w:rFonts w:ascii="Verdana" w:eastAsia="Century Gothic" w:hAnsi="Verdana" w:cs="Century Gothic"/>
          <w:b/>
          <w:bCs/>
        </w:rPr>
        <w:t>Doctrina de la Agencia Nacional de Contratación Pública:</w:t>
      </w:r>
    </w:p>
    <w:p w14:paraId="72C88286" w14:textId="77777777" w:rsidR="00AC6D81" w:rsidRPr="00186A86" w:rsidRDefault="00AC6D81" w:rsidP="00AC6D81">
      <w:pPr>
        <w:widowControl w:val="0"/>
        <w:autoSpaceDE w:val="0"/>
        <w:autoSpaceDN w:val="0"/>
        <w:spacing w:after="0" w:line="276" w:lineRule="auto"/>
        <w:jc w:val="both"/>
        <w:rPr>
          <w:rFonts w:ascii="Verdana" w:eastAsia="Calibri" w:hAnsi="Verdana" w:cs="Arial"/>
          <w:lang w:val="es-ES" w:eastAsia="es-ES"/>
        </w:rPr>
      </w:pPr>
    </w:p>
    <w:p w14:paraId="02A53955" w14:textId="1EB5A4C5" w:rsidR="00F93C5B" w:rsidRDefault="00F93C5B" w:rsidP="00AC6D81">
      <w:pPr>
        <w:widowControl w:val="0"/>
        <w:autoSpaceDE w:val="0"/>
        <w:autoSpaceDN w:val="0"/>
        <w:spacing w:after="0" w:line="276" w:lineRule="auto"/>
        <w:jc w:val="both"/>
        <w:rPr>
          <w:rFonts w:ascii="Verdana" w:hAnsi="Verdana" w:cs="Arial"/>
          <w:shd w:val="clear" w:color="auto" w:fill="FFFFFF"/>
        </w:rPr>
      </w:pPr>
      <w:r w:rsidRPr="007D460E">
        <w:rPr>
          <w:rFonts w:ascii="Verdana" w:eastAsia="Calibri" w:hAnsi="Verdana" w:cs="Arial"/>
          <w:lang w:val="es-ES" w:eastAsia="es-ES"/>
        </w:rPr>
        <w:t xml:space="preserve">La Subdirección de Gestión Contractual se ha pronunciado </w:t>
      </w:r>
      <w:r>
        <w:rPr>
          <w:rFonts w:ascii="Verdana" w:hAnsi="Verdana" w:cs="Arial"/>
        </w:rPr>
        <w:t>frente a la experiencia profesional</w:t>
      </w:r>
      <w:r w:rsidRPr="00F345AB">
        <w:rPr>
          <w:rFonts w:ascii="Verdana" w:hAnsi="Verdana" w:cs="Arial"/>
        </w:rPr>
        <w:t>,</w:t>
      </w:r>
      <w:r>
        <w:rPr>
          <w:rFonts w:ascii="Verdana" w:hAnsi="Verdana" w:cs="Arial"/>
        </w:rPr>
        <w:t xml:space="preserve"> C- 357 de agosto de 2024, C258 de 2024, C248 de 2024, C 279 de 2024, C446 de 2023,</w:t>
      </w:r>
      <w:r w:rsidRPr="00F345AB">
        <w:rPr>
          <w:rFonts w:ascii="Verdana" w:hAnsi="Verdana" w:cs="Arial"/>
        </w:rPr>
        <w:t xml:space="preserve"> </w:t>
      </w:r>
      <w:r>
        <w:rPr>
          <w:rFonts w:ascii="Verdana" w:hAnsi="Verdana" w:cs="Arial"/>
        </w:rPr>
        <w:t xml:space="preserve">así como en los </w:t>
      </w:r>
      <w:r w:rsidRPr="00F345AB">
        <w:rPr>
          <w:rFonts w:ascii="Verdana" w:hAnsi="Verdana" w:cs="Arial"/>
        </w:rPr>
        <w:t>C-231 del 13 de abril de 2020, C-212 del 14 de abril de 2020, C-317 de 10 de junio de 2020, C-337 del 26 de junio de 2020, C-355 del 4 de junio de 2020, C-353 del 30 de junio de 2020</w:t>
      </w:r>
      <w:r>
        <w:rPr>
          <w:rFonts w:ascii="Verdana" w:hAnsi="Verdana" w:cs="Arial"/>
        </w:rPr>
        <w:t>,</w:t>
      </w:r>
      <w:r w:rsidRPr="00F345AB">
        <w:rPr>
          <w:rFonts w:ascii="Verdana" w:hAnsi="Verdana" w:cs="Arial"/>
        </w:rPr>
        <w:t xml:space="preserve"> C-457 del 7 de julio de 2020</w:t>
      </w:r>
      <w:r>
        <w:rPr>
          <w:rFonts w:ascii="Verdana" w:hAnsi="Verdana" w:cs="Arial"/>
        </w:rPr>
        <w:t xml:space="preserve">, C-409 del 6 de septiembre de 2024 y </w:t>
      </w:r>
      <w:r w:rsidR="00032B9E">
        <w:rPr>
          <w:rFonts w:ascii="Verdana" w:hAnsi="Verdana" w:cs="Arial"/>
        </w:rPr>
        <w:t xml:space="preserve">C-510 del </w:t>
      </w:r>
      <w:r w:rsidR="00D95ACF">
        <w:rPr>
          <w:rFonts w:ascii="Verdana" w:hAnsi="Verdana" w:cs="Arial"/>
        </w:rPr>
        <w:t xml:space="preserve">03 </w:t>
      </w:r>
      <w:r w:rsidR="00B5439B">
        <w:rPr>
          <w:rFonts w:ascii="Verdana" w:hAnsi="Verdana" w:cs="Arial"/>
        </w:rPr>
        <w:t>de octubre de 2024.</w:t>
      </w:r>
    </w:p>
    <w:p w14:paraId="5028A156" w14:textId="77777777" w:rsidR="00F93C5B" w:rsidRDefault="00F93C5B" w:rsidP="00AC6D81">
      <w:pPr>
        <w:widowControl w:val="0"/>
        <w:autoSpaceDE w:val="0"/>
        <w:autoSpaceDN w:val="0"/>
        <w:spacing w:after="0" w:line="276" w:lineRule="auto"/>
        <w:jc w:val="both"/>
        <w:rPr>
          <w:rFonts w:ascii="Verdana" w:hAnsi="Verdana" w:cs="Arial"/>
          <w:shd w:val="clear" w:color="auto" w:fill="FFFFFF"/>
        </w:rPr>
      </w:pPr>
    </w:p>
    <w:p w14:paraId="65EDF49A" w14:textId="77777777" w:rsidR="00382DAA" w:rsidRDefault="00AC6D81" w:rsidP="00AC6D81">
      <w:pPr>
        <w:widowControl w:val="0"/>
        <w:autoSpaceDE w:val="0"/>
        <w:autoSpaceDN w:val="0"/>
        <w:spacing w:after="0" w:line="276" w:lineRule="auto"/>
        <w:jc w:val="both"/>
        <w:rPr>
          <w:rFonts w:ascii="Verdana" w:hAnsi="Verdana"/>
        </w:rPr>
      </w:pPr>
      <w:r w:rsidRPr="00874A62">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874A62">
        <w:rPr>
          <w:rFonts w:ascii="Verdana" w:hAnsi="Verdana"/>
        </w:rPr>
        <w:t>, accede a través del siguiente enlace:</w:t>
      </w:r>
      <w:r w:rsidR="00E46A07">
        <w:rPr>
          <w:rFonts w:ascii="Verdana" w:hAnsi="Verdana"/>
        </w:rPr>
        <w:tab/>
      </w:r>
    </w:p>
    <w:p w14:paraId="0D953B3D" w14:textId="77777777" w:rsidR="00382DAA" w:rsidRDefault="00382DAA" w:rsidP="00AC6D81">
      <w:pPr>
        <w:widowControl w:val="0"/>
        <w:autoSpaceDE w:val="0"/>
        <w:autoSpaceDN w:val="0"/>
        <w:spacing w:after="0" w:line="276" w:lineRule="auto"/>
        <w:jc w:val="both"/>
        <w:rPr>
          <w:rFonts w:ascii="Verdana" w:hAnsi="Verdana"/>
        </w:rPr>
      </w:pPr>
    </w:p>
    <w:p w14:paraId="5234CC54" w14:textId="310E44B0" w:rsidR="00AC6D81" w:rsidRPr="00874A62" w:rsidRDefault="00AC6D81" w:rsidP="00AC6D81">
      <w:pPr>
        <w:widowControl w:val="0"/>
        <w:autoSpaceDE w:val="0"/>
        <w:autoSpaceDN w:val="0"/>
        <w:spacing w:after="0" w:line="276" w:lineRule="auto"/>
        <w:jc w:val="both"/>
        <w:rPr>
          <w:rStyle w:val="normaltextrun"/>
          <w:rFonts w:ascii="Verdana" w:hAnsi="Verdana"/>
        </w:rPr>
      </w:pPr>
      <w:hyperlink r:id="rId16" w:history="1">
        <w:r w:rsidRPr="00874A62">
          <w:rPr>
            <w:rStyle w:val="Hipervnculo"/>
            <w:rFonts w:ascii="Verdana" w:hAnsi="Verdana" w:cs="Arial"/>
            <w:shd w:val="clear" w:color="auto" w:fill="FFFFFF"/>
            <w:lang w:val="es-ES"/>
          </w:rPr>
          <w:t>https://relatoria.colombiacompra.gov.co/busqueda/conceptos</w:t>
        </w:r>
      </w:hyperlink>
      <w:r w:rsidRPr="00874A62">
        <w:rPr>
          <w:rStyle w:val="normaltextrun"/>
          <w:rFonts w:ascii="Verdana" w:hAnsi="Verdana" w:cs="Arial"/>
          <w:shd w:val="clear" w:color="auto" w:fill="FFFFFF"/>
        </w:rPr>
        <w:t xml:space="preserve">. </w:t>
      </w:r>
    </w:p>
    <w:p w14:paraId="4E8F919A" w14:textId="77777777" w:rsidR="00AC6D81" w:rsidRDefault="00AC6D81" w:rsidP="00AC6D81">
      <w:pPr>
        <w:spacing w:after="0" w:line="254" w:lineRule="auto"/>
        <w:rPr>
          <w:rFonts w:ascii="Verdana" w:eastAsia="Calibri" w:hAnsi="Verdana" w:cs="Times New Roman"/>
        </w:rPr>
      </w:pPr>
    </w:p>
    <w:p w14:paraId="12D6F023" w14:textId="77777777" w:rsidR="00382DAA" w:rsidRDefault="00382DAA" w:rsidP="00E46A07">
      <w:pPr>
        <w:spacing w:after="0" w:line="254" w:lineRule="auto"/>
        <w:jc w:val="both"/>
        <w:rPr>
          <w:rFonts w:ascii="Verdana" w:eastAsia="Calibri" w:hAnsi="Verdana" w:cs="Times New Roman"/>
        </w:rPr>
      </w:pPr>
    </w:p>
    <w:p w14:paraId="24B100E3" w14:textId="77777777" w:rsidR="00382DAA" w:rsidRDefault="00382DAA" w:rsidP="00E46A07">
      <w:pPr>
        <w:spacing w:after="0" w:line="254" w:lineRule="auto"/>
        <w:jc w:val="both"/>
        <w:rPr>
          <w:rFonts w:ascii="Verdana" w:eastAsia="Calibri" w:hAnsi="Verdana" w:cs="Times New Roman"/>
        </w:rPr>
      </w:pPr>
    </w:p>
    <w:p w14:paraId="6B20729C" w14:textId="77777777" w:rsidR="00382DAA" w:rsidRDefault="00382DAA" w:rsidP="00E46A07">
      <w:pPr>
        <w:spacing w:after="0" w:line="254" w:lineRule="auto"/>
        <w:jc w:val="both"/>
        <w:rPr>
          <w:rFonts w:ascii="Verdana" w:eastAsia="Calibri" w:hAnsi="Verdana" w:cs="Times New Roman"/>
        </w:rPr>
      </w:pPr>
    </w:p>
    <w:p w14:paraId="7B1DD292" w14:textId="77777777" w:rsidR="00382DAA" w:rsidRDefault="00382DAA" w:rsidP="00E46A07">
      <w:pPr>
        <w:spacing w:after="0" w:line="254" w:lineRule="auto"/>
        <w:jc w:val="both"/>
        <w:rPr>
          <w:rFonts w:ascii="Verdana" w:eastAsia="Calibri" w:hAnsi="Verdana" w:cs="Times New Roman"/>
        </w:rPr>
      </w:pPr>
    </w:p>
    <w:p w14:paraId="6FD66089" w14:textId="56D9C315" w:rsidR="00E46A07" w:rsidRPr="00E46A07" w:rsidRDefault="00E46A07" w:rsidP="00E46A07">
      <w:pPr>
        <w:spacing w:after="0" w:line="254" w:lineRule="auto"/>
        <w:jc w:val="both"/>
        <w:rPr>
          <w:rFonts w:ascii="Verdana" w:eastAsia="Calibri" w:hAnsi="Verdana" w:cs="Times New Roman"/>
        </w:rPr>
      </w:pPr>
      <w:r w:rsidRPr="00E46A07">
        <w:rPr>
          <w:rFonts w:ascii="Verdana" w:eastAsia="Calibri" w:hAnsi="Verdana" w:cs="Times New Roman"/>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18F011AC" w14:textId="77777777" w:rsidR="00E46A07" w:rsidRDefault="00E46A07" w:rsidP="00E46A07">
      <w:pPr>
        <w:spacing w:after="0" w:line="254" w:lineRule="auto"/>
        <w:rPr>
          <w:rFonts w:ascii="Verdana" w:eastAsia="Calibri" w:hAnsi="Verdana" w:cs="Times New Roman"/>
          <w:b/>
          <w:bCs/>
        </w:rPr>
      </w:pPr>
    </w:p>
    <w:p w14:paraId="73DBC368" w14:textId="77777777" w:rsidR="00382DAA" w:rsidRDefault="00E46A07" w:rsidP="00E46A07">
      <w:pPr>
        <w:spacing w:after="0" w:line="254" w:lineRule="auto"/>
        <w:jc w:val="both"/>
        <w:rPr>
          <w:rFonts w:ascii="Verdana" w:eastAsia="Calibri" w:hAnsi="Verdana" w:cs="Times New Roman"/>
          <w:b/>
          <w:bCs/>
        </w:rPr>
      </w:pPr>
      <w:r w:rsidRPr="00E46A07">
        <w:rPr>
          <w:rFonts w:ascii="Verdana" w:eastAsia="Calibri" w:hAnsi="Verdana" w:cs="Times New Roman"/>
          <w:b/>
          <w:bCs/>
        </w:rPr>
        <w:t>Documentos tipo para los procesos de selección de interventoría de obra pública de infraestructura de transporte – versión 3: </w:t>
      </w:r>
    </w:p>
    <w:p w14:paraId="13A698B3" w14:textId="77777777" w:rsidR="00382DAA" w:rsidRDefault="00382DAA" w:rsidP="00E46A07">
      <w:pPr>
        <w:spacing w:after="0" w:line="254" w:lineRule="auto"/>
        <w:jc w:val="both"/>
        <w:rPr>
          <w:rFonts w:ascii="Verdana" w:eastAsia="Calibri" w:hAnsi="Verdana" w:cs="Times New Roman"/>
          <w:b/>
          <w:bCs/>
        </w:rPr>
      </w:pPr>
    </w:p>
    <w:p w14:paraId="0E425EAF" w14:textId="46BDA124" w:rsidR="00E46A07" w:rsidRPr="00E46A07" w:rsidRDefault="00E46A07" w:rsidP="00E46A07">
      <w:pPr>
        <w:spacing w:after="0" w:line="254" w:lineRule="auto"/>
        <w:jc w:val="both"/>
        <w:rPr>
          <w:rFonts w:ascii="Verdana" w:eastAsia="Calibri" w:hAnsi="Verdana" w:cs="Times New Roman"/>
        </w:rPr>
      </w:pPr>
      <w:hyperlink r:id="rId17" w:tgtFrame="_blank" w:tooltip="Dirección URL original: https://www.colombiacompra.gov.co/content/03-documentos-tipo-para-los-procesos-de-seleccion-de-interventoria-de-obra-publica-de. Haga clic o pulse si confía en este vínculo." w:history="1">
        <w:r w:rsidRPr="00E46A07">
          <w:rPr>
            <w:rStyle w:val="Hipervnculo"/>
            <w:rFonts w:ascii="Verdana" w:eastAsia="Calibri" w:hAnsi="Verdana" w:cs="Times New Roman"/>
          </w:rPr>
          <w:t>03. Documentos tipo para los procesos de selección de interventoría de obra pública de infraestructura de transporte – versión 3 | Colombia Compra Eficiente | Agencia Nacional de Contratación Pública</w:t>
        </w:r>
      </w:hyperlink>
    </w:p>
    <w:p w14:paraId="2E097E98" w14:textId="77777777" w:rsidR="00E46A07" w:rsidRDefault="00E46A07" w:rsidP="00E46A07">
      <w:pPr>
        <w:spacing w:after="0" w:line="254" w:lineRule="auto"/>
        <w:jc w:val="both"/>
        <w:rPr>
          <w:rFonts w:ascii="Verdana" w:eastAsia="Calibri" w:hAnsi="Verdana" w:cs="Times New Roman"/>
          <w:b/>
          <w:bCs/>
        </w:rPr>
      </w:pPr>
    </w:p>
    <w:p w14:paraId="7CD306ED" w14:textId="77777777" w:rsidR="00382DAA" w:rsidRDefault="00E46A07" w:rsidP="00E46A07">
      <w:pPr>
        <w:spacing w:after="0" w:line="254" w:lineRule="auto"/>
        <w:jc w:val="both"/>
        <w:rPr>
          <w:rFonts w:ascii="Verdana" w:eastAsia="Calibri" w:hAnsi="Verdana" w:cs="Times New Roman"/>
        </w:rPr>
      </w:pPr>
      <w:r w:rsidRPr="00E46A07">
        <w:rPr>
          <w:rFonts w:ascii="Verdana" w:eastAsia="Calibri" w:hAnsi="Verdana" w:cs="Times New Roman"/>
          <w:b/>
          <w:bCs/>
        </w:rPr>
        <w:t>Documentos tipo para los procesos de selección de consultoría de obra pública de infraestructura de transporte – versión 2:</w:t>
      </w:r>
      <w:r w:rsidRPr="00E46A07">
        <w:rPr>
          <w:rFonts w:ascii="Verdana" w:eastAsia="Calibri" w:hAnsi="Verdana" w:cs="Times New Roman"/>
        </w:rPr>
        <w:t> </w:t>
      </w:r>
    </w:p>
    <w:p w14:paraId="2CF1AF2E" w14:textId="77777777" w:rsidR="00382DAA" w:rsidRDefault="00382DAA" w:rsidP="00E46A07">
      <w:pPr>
        <w:spacing w:after="0" w:line="254" w:lineRule="auto"/>
        <w:jc w:val="both"/>
        <w:rPr>
          <w:rFonts w:ascii="Verdana" w:eastAsia="Calibri" w:hAnsi="Verdana" w:cs="Times New Roman"/>
        </w:rPr>
      </w:pPr>
    </w:p>
    <w:p w14:paraId="23371D3E" w14:textId="422411FE" w:rsidR="00E46A07" w:rsidRPr="00E46A07" w:rsidRDefault="00E46A07" w:rsidP="00E46A07">
      <w:pPr>
        <w:spacing w:after="0" w:line="254" w:lineRule="auto"/>
        <w:jc w:val="both"/>
        <w:rPr>
          <w:rFonts w:ascii="Verdana" w:eastAsia="Calibri" w:hAnsi="Verdana" w:cs="Times New Roman"/>
        </w:rPr>
      </w:pPr>
      <w:hyperlink r:id="rId18" w:tgtFrame="_blank" w:tooltip="Dirección URL original: https://www.colombiacompra.gov.co/content/02-documentos-tipo-para-los-procesos-de-seleccion-de-consultoria-de-obra-publica-de. Haga clic o pulse si confía en este vínculo." w:history="1">
        <w:r w:rsidRPr="00E46A07">
          <w:rPr>
            <w:rStyle w:val="Hipervnculo"/>
            <w:rFonts w:ascii="Verdana" w:eastAsia="Calibri" w:hAnsi="Verdana" w:cs="Times New Roman"/>
          </w:rPr>
          <w:t>02. Documentos tipo para los procesos de selección de consultoría de obra pública de infraestructura de transporte – versión 2. | Colombia Compra Eficiente | Agencia Nacional de Contratación Pública</w:t>
        </w:r>
      </w:hyperlink>
    </w:p>
    <w:p w14:paraId="2A532327" w14:textId="77777777" w:rsidR="00E46A07" w:rsidRDefault="00E46A07" w:rsidP="00E46A07">
      <w:pPr>
        <w:spacing w:after="0" w:line="254" w:lineRule="auto"/>
        <w:rPr>
          <w:rFonts w:ascii="Verdana" w:eastAsia="Calibri" w:hAnsi="Verdana" w:cs="Times New Roman"/>
        </w:rPr>
      </w:pPr>
    </w:p>
    <w:p w14:paraId="2632BA05" w14:textId="77777777" w:rsidR="00382DAA" w:rsidRDefault="00E46A07" w:rsidP="00E46A07">
      <w:pPr>
        <w:spacing w:after="0" w:line="254" w:lineRule="auto"/>
        <w:jc w:val="both"/>
        <w:rPr>
          <w:rFonts w:ascii="Verdana" w:eastAsia="Calibri" w:hAnsi="Verdana" w:cs="Times New Roman"/>
        </w:rPr>
      </w:pPr>
      <w:r w:rsidRPr="00E46A07">
        <w:rPr>
          <w:rFonts w:ascii="Verdana" w:eastAsia="Calibri" w:hAnsi="Verdana" w:cs="Times New Roman"/>
        </w:rPr>
        <w:t>También, te contamos que ya publicamos </w:t>
      </w:r>
      <w:r w:rsidRPr="00E46A07">
        <w:rPr>
          <w:rFonts w:ascii="Verdana" w:eastAsia="Calibri" w:hAnsi="Verdana" w:cs="Times New Roman"/>
          <w:b/>
          <w:bCs/>
        </w:rPr>
        <w:t>la nueva Guía de Contratación Pública Sostenible y Socialmente Responsable</w:t>
      </w:r>
      <w:r w:rsidRPr="00E46A07">
        <w:rPr>
          <w:rFonts w:ascii="Verdana" w:eastAsia="Calibri" w:hAnsi="Verdana" w:cs="Times New Roman"/>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p>
    <w:p w14:paraId="2926B266" w14:textId="77777777" w:rsidR="00382DAA" w:rsidRDefault="00382DAA" w:rsidP="00E46A07">
      <w:pPr>
        <w:spacing w:after="0" w:line="254" w:lineRule="auto"/>
        <w:jc w:val="both"/>
        <w:rPr>
          <w:rFonts w:ascii="Verdana" w:eastAsia="Calibri" w:hAnsi="Verdana" w:cs="Times New Roman"/>
        </w:rPr>
      </w:pPr>
    </w:p>
    <w:p w14:paraId="146999CF" w14:textId="03171FAC" w:rsidR="00E46A07" w:rsidRDefault="00E46A07" w:rsidP="00E46A07">
      <w:pPr>
        <w:spacing w:after="0" w:line="254" w:lineRule="auto"/>
        <w:jc w:val="both"/>
        <w:rPr>
          <w:rFonts w:ascii="Verdana" w:eastAsia="Calibri" w:hAnsi="Verdana" w:cs="Times New Roman"/>
        </w:rPr>
      </w:pPr>
      <w:hyperlink r:id="rId19" w:tgtFrame="_blank" w:tooltip="Dirección URL original: https://www.colombiacompra.gov.co/manuales-guias-y-pliegos-tipo/manuales-y-guias/guia-de-contratacion-publica-sostenible-y-socialmente. Haga clic o pulse si confía en este vínculo." w:history="1">
        <w:r w:rsidRPr="00E46A07">
          <w:rPr>
            <w:rStyle w:val="Hipervnculo"/>
            <w:rFonts w:ascii="Verdana" w:eastAsia="Calibri" w:hAnsi="Verdana" w:cs="Times New Roman"/>
          </w:rPr>
          <w:t>Guía de Contratación Pública Sostenible y Socialmente Responsable | Colombia Compra Eficiente | Agencia Nacional de Contratación Pública</w:t>
        </w:r>
      </w:hyperlink>
    </w:p>
    <w:p w14:paraId="6638EBF8" w14:textId="77777777" w:rsidR="00E46A07" w:rsidRPr="00E46A07" w:rsidRDefault="00E46A07" w:rsidP="00E46A07">
      <w:pPr>
        <w:spacing w:after="0" w:line="254" w:lineRule="auto"/>
        <w:rPr>
          <w:rFonts w:ascii="Verdana" w:eastAsia="Calibri" w:hAnsi="Verdana" w:cs="Times New Roman"/>
        </w:rPr>
      </w:pPr>
    </w:p>
    <w:p w14:paraId="7A087231" w14:textId="77777777" w:rsidR="00AC6D81" w:rsidRPr="00186A86" w:rsidRDefault="00AC6D81" w:rsidP="00AC6D81">
      <w:pPr>
        <w:spacing w:after="0" w:line="254" w:lineRule="auto"/>
        <w:rPr>
          <w:rFonts w:ascii="Verdana" w:eastAsia="Calibri" w:hAnsi="Verdana" w:cs="Times New Roman"/>
        </w:rPr>
      </w:pPr>
      <w:r w:rsidRPr="00186A86">
        <w:rPr>
          <w:rFonts w:ascii="Verdana" w:eastAsia="Calibri" w:hAnsi="Verdana" w:cs="Times New Roman"/>
        </w:rPr>
        <w:t xml:space="preserve">Por último, lo invitamos a seguirnos en las redes sociales en las cuales se difunde información institucional: </w:t>
      </w:r>
    </w:p>
    <w:p w14:paraId="3111AADA" w14:textId="77777777" w:rsidR="00AC6D81" w:rsidRPr="00186A86" w:rsidRDefault="00AC6D81" w:rsidP="00AC6D81">
      <w:pPr>
        <w:spacing w:after="0" w:line="254" w:lineRule="auto"/>
        <w:rPr>
          <w:rFonts w:ascii="Verdana" w:eastAsia="Calibri" w:hAnsi="Verdana" w:cs="Times New Roman"/>
        </w:rPr>
      </w:pPr>
      <w:r w:rsidRPr="00186A86">
        <w:rPr>
          <w:rFonts w:ascii="Verdana" w:eastAsia="Calibri" w:hAnsi="Verdana" w:cs="Times New Roman"/>
        </w:rPr>
        <w:t xml:space="preserve">Twitter: </w:t>
      </w:r>
      <w:r w:rsidRPr="00186A86">
        <w:rPr>
          <w:rFonts w:ascii="Verdana" w:eastAsia="Calibri" w:hAnsi="Verdana" w:cs="Times New Roman"/>
          <w:u w:val="single"/>
        </w:rPr>
        <w:t>@colombiacompra</w:t>
      </w:r>
      <w:r w:rsidRPr="00186A86">
        <w:rPr>
          <w:rFonts w:ascii="Verdana" w:eastAsia="Calibri" w:hAnsi="Verdana" w:cs="Times New Roman"/>
        </w:rPr>
        <w:t xml:space="preserve"> </w:t>
      </w:r>
    </w:p>
    <w:p w14:paraId="0DD43A26" w14:textId="77777777" w:rsidR="00AC6D81" w:rsidRPr="00186A86" w:rsidRDefault="00AC6D81" w:rsidP="00AC6D81">
      <w:pPr>
        <w:spacing w:after="0" w:line="254" w:lineRule="auto"/>
        <w:rPr>
          <w:rFonts w:ascii="Verdana" w:eastAsia="Calibri" w:hAnsi="Verdana" w:cs="Times New Roman"/>
        </w:rPr>
      </w:pPr>
      <w:r w:rsidRPr="00186A86">
        <w:rPr>
          <w:rFonts w:ascii="Verdana" w:eastAsia="Calibri" w:hAnsi="Verdana" w:cs="Times New Roman"/>
        </w:rPr>
        <w:t xml:space="preserve">Facebook: </w:t>
      </w:r>
      <w:proofErr w:type="spellStart"/>
      <w:r w:rsidRPr="00186A86">
        <w:rPr>
          <w:rFonts w:ascii="Verdana" w:eastAsia="Calibri" w:hAnsi="Verdana" w:cs="Times New Roman"/>
          <w:u w:val="single"/>
        </w:rPr>
        <w:t>ColombiaCompraEficiente</w:t>
      </w:r>
      <w:proofErr w:type="spellEnd"/>
    </w:p>
    <w:p w14:paraId="21C78C30" w14:textId="77777777" w:rsidR="00AC6D81" w:rsidRPr="00186A86" w:rsidRDefault="00AC6D81" w:rsidP="00AC6D81">
      <w:pPr>
        <w:spacing w:after="0" w:line="254" w:lineRule="auto"/>
        <w:rPr>
          <w:rFonts w:ascii="Verdana" w:eastAsia="Calibri" w:hAnsi="Verdana" w:cs="Times New Roman"/>
          <w:u w:val="single"/>
        </w:rPr>
      </w:pPr>
      <w:r w:rsidRPr="00186A86">
        <w:rPr>
          <w:rFonts w:ascii="Verdana" w:eastAsia="Calibri" w:hAnsi="Verdana" w:cs="Times New Roman"/>
        </w:rPr>
        <w:lastRenderedPageBreak/>
        <w:t xml:space="preserve">LinkedIn: </w:t>
      </w:r>
      <w:r w:rsidRPr="00186A86">
        <w:rPr>
          <w:rFonts w:ascii="Verdana" w:eastAsia="Calibri" w:hAnsi="Verdana" w:cs="Times New Roman"/>
          <w:u w:val="single"/>
        </w:rPr>
        <w:t>Agencia Nacional de Contratación Pública - Colombia Compra Eficiente</w:t>
      </w:r>
      <w:r w:rsidRPr="00186A86">
        <w:rPr>
          <w:rFonts w:ascii="Verdana" w:eastAsia="Calibri" w:hAnsi="Verdana" w:cs="Times New Roman"/>
        </w:rPr>
        <w:t xml:space="preserve"> Instagram: </w:t>
      </w:r>
      <w:r w:rsidRPr="00186A86">
        <w:rPr>
          <w:rFonts w:ascii="Verdana" w:eastAsia="Calibri" w:hAnsi="Verdana" w:cs="Times New Roman"/>
          <w:u w:val="single"/>
        </w:rPr>
        <w:t>@colombiacompraeficiente_cce</w:t>
      </w:r>
    </w:p>
    <w:p w14:paraId="7F59D2BE" w14:textId="77777777" w:rsidR="00AC6D81" w:rsidRPr="00186A86" w:rsidRDefault="00AC6D81" w:rsidP="00AC6D81">
      <w:pPr>
        <w:spacing w:after="0" w:line="254" w:lineRule="auto"/>
        <w:rPr>
          <w:rFonts w:ascii="Verdana" w:eastAsia="Calibri" w:hAnsi="Verdana" w:cs="Times New Roman"/>
          <w:b/>
          <w:bCs/>
        </w:rPr>
      </w:pPr>
    </w:p>
    <w:p w14:paraId="33F6C3E7" w14:textId="77777777" w:rsidR="00AC6D81" w:rsidRPr="00186A86" w:rsidRDefault="00AC6D81" w:rsidP="00AC6D81">
      <w:pPr>
        <w:spacing w:after="0" w:line="254" w:lineRule="auto"/>
        <w:jc w:val="both"/>
        <w:rPr>
          <w:rFonts w:ascii="Verdana" w:eastAsia="Calibri" w:hAnsi="Verdana" w:cs="Times New Roman"/>
          <w:lang w:val="es-ES_tradnl"/>
        </w:rPr>
      </w:pPr>
      <w:r w:rsidRPr="00186A86">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CC63895" w14:textId="77777777" w:rsidR="00AC6D81" w:rsidRPr="00186A86" w:rsidRDefault="00AC6D81" w:rsidP="00AC6D81">
      <w:pPr>
        <w:spacing w:after="0" w:line="240" w:lineRule="auto"/>
        <w:jc w:val="both"/>
        <w:rPr>
          <w:rFonts w:ascii="Verdana" w:eastAsia="Calibri" w:hAnsi="Verdana"/>
        </w:rPr>
      </w:pPr>
    </w:p>
    <w:p w14:paraId="7B75606D" w14:textId="77777777" w:rsidR="00AC6D81" w:rsidRPr="00186A86" w:rsidRDefault="00AC6D81" w:rsidP="00AC6D81">
      <w:pPr>
        <w:spacing w:after="0" w:line="240" w:lineRule="auto"/>
        <w:jc w:val="both"/>
        <w:rPr>
          <w:rFonts w:ascii="Verdana" w:eastAsia="Times New Roman" w:hAnsi="Verdana" w:cs="Arial"/>
          <w:lang w:eastAsia="es-CO"/>
        </w:rPr>
      </w:pPr>
      <w:r w:rsidRPr="00186A86">
        <w:rPr>
          <w:rFonts w:ascii="Verdana" w:eastAsia="Times New Roman" w:hAnsi="Verdana" w:cs="Arial"/>
          <w:lang w:eastAsia="es-CO"/>
        </w:rPr>
        <w:t>Atentamente,</w:t>
      </w:r>
    </w:p>
    <w:p w14:paraId="61012D8E" w14:textId="376D63A6" w:rsidR="00AC6D81" w:rsidRPr="00DF616D" w:rsidRDefault="00B64D79" w:rsidP="00AC6D81">
      <w:pPr>
        <w:spacing w:after="0" w:line="240" w:lineRule="auto"/>
        <w:jc w:val="center"/>
      </w:pPr>
      <w:r w:rsidRPr="002C3AD6">
        <w:rPr>
          <w:rFonts w:ascii="Century Gothic" w:hAnsi="Century Gothic"/>
          <w:noProof/>
        </w:rPr>
        <w:drawing>
          <wp:inline distT="0" distB="0" distL="0" distR="0" wp14:anchorId="7A9495CB" wp14:editId="31437952">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496489" cy="1297939"/>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C6D81" w:rsidRPr="00186A86" w14:paraId="51467BAC" w14:textId="77777777" w:rsidTr="00E8214B">
        <w:trPr>
          <w:trHeight w:val="409"/>
        </w:trPr>
        <w:tc>
          <w:tcPr>
            <w:tcW w:w="817" w:type="dxa"/>
            <w:tcBorders>
              <w:top w:val="nil"/>
              <w:left w:val="nil"/>
              <w:bottom w:val="nil"/>
              <w:right w:val="nil"/>
            </w:tcBorders>
            <w:vAlign w:val="center"/>
            <w:hideMark/>
          </w:tcPr>
          <w:p w14:paraId="053D9973" w14:textId="77777777" w:rsidR="00AC6D81" w:rsidRPr="00BE7918" w:rsidRDefault="00AC6D81" w:rsidP="00E8214B">
            <w:pPr>
              <w:spacing w:after="0" w:line="240" w:lineRule="auto"/>
              <w:jc w:val="both"/>
              <w:rPr>
                <w:rFonts w:ascii="Verdana" w:hAnsi="Verdana" w:cs="Arial"/>
                <w:sz w:val="12"/>
                <w:szCs w:val="12"/>
              </w:rPr>
            </w:pPr>
            <w:r w:rsidRPr="00BE7918">
              <w:rPr>
                <w:rFonts w:ascii="Verdana" w:hAnsi="Verdana" w:cs="Arial"/>
                <w:sz w:val="12"/>
                <w:szCs w:val="12"/>
              </w:rPr>
              <w:t>Elaboró: </w:t>
            </w:r>
          </w:p>
        </w:tc>
        <w:tc>
          <w:tcPr>
            <w:tcW w:w="4937" w:type="dxa"/>
            <w:tcBorders>
              <w:top w:val="nil"/>
              <w:left w:val="nil"/>
              <w:bottom w:val="dotted" w:sz="6" w:space="0" w:color="7F7F7F" w:themeColor="text1" w:themeTint="80"/>
              <w:right w:val="nil"/>
            </w:tcBorders>
            <w:vAlign w:val="center"/>
            <w:hideMark/>
          </w:tcPr>
          <w:p w14:paraId="273483BB" w14:textId="77777777" w:rsidR="00AC6D81" w:rsidRPr="00BE7918" w:rsidRDefault="00AC6D81" w:rsidP="00E8214B">
            <w:pPr>
              <w:spacing w:after="0" w:line="240" w:lineRule="auto"/>
              <w:jc w:val="both"/>
              <w:rPr>
                <w:rFonts w:ascii="Verdana" w:hAnsi="Verdana" w:cs="Arial"/>
                <w:sz w:val="12"/>
                <w:szCs w:val="12"/>
              </w:rPr>
            </w:pPr>
            <w:r w:rsidRPr="00BE7918">
              <w:rPr>
                <w:rFonts w:ascii="Verdana" w:hAnsi="Verdana" w:cs="Arial"/>
                <w:sz w:val="12"/>
                <w:szCs w:val="12"/>
              </w:rPr>
              <w:t>Gustavo Hinestroza Martínez</w:t>
            </w:r>
          </w:p>
          <w:p w14:paraId="24AE6431" w14:textId="77777777" w:rsidR="00AC6D81" w:rsidRPr="00BE7918" w:rsidRDefault="00AC6D81" w:rsidP="00E8214B">
            <w:pPr>
              <w:spacing w:after="0" w:line="240" w:lineRule="auto"/>
              <w:jc w:val="both"/>
              <w:rPr>
                <w:rFonts w:ascii="Verdana" w:hAnsi="Verdana" w:cs="Arial"/>
                <w:sz w:val="12"/>
                <w:szCs w:val="12"/>
              </w:rPr>
            </w:pPr>
            <w:r w:rsidRPr="00BE7918">
              <w:rPr>
                <w:rFonts w:ascii="Verdana" w:hAnsi="Verdana" w:cs="Arial"/>
                <w:sz w:val="12"/>
                <w:szCs w:val="12"/>
              </w:rPr>
              <w:t>Contratista de la Subdirección de Gestión Contractual</w:t>
            </w:r>
          </w:p>
        </w:tc>
      </w:tr>
      <w:tr w:rsidR="00AC6D81" w:rsidRPr="00186A86" w14:paraId="4F9C8183" w14:textId="77777777" w:rsidTr="00E8214B">
        <w:trPr>
          <w:trHeight w:val="409"/>
        </w:trPr>
        <w:tc>
          <w:tcPr>
            <w:tcW w:w="817" w:type="dxa"/>
            <w:tcBorders>
              <w:top w:val="nil"/>
              <w:left w:val="nil"/>
              <w:bottom w:val="nil"/>
              <w:right w:val="nil"/>
            </w:tcBorders>
            <w:vAlign w:val="center"/>
            <w:hideMark/>
          </w:tcPr>
          <w:p w14:paraId="18036774" w14:textId="77777777" w:rsidR="00AC6D81" w:rsidRPr="00BE7918" w:rsidRDefault="00AC6D81" w:rsidP="00E8214B">
            <w:pPr>
              <w:spacing w:after="0"/>
              <w:jc w:val="both"/>
              <w:rPr>
                <w:rFonts w:ascii="Verdana" w:hAnsi="Verdana" w:cs="Arial"/>
                <w:sz w:val="12"/>
                <w:szCs w:val="12"/>
              </w:rPr>
            </w:pPr>
            <w:r w:rsidRPr="00BE7918">
              <w:rPr>
                <w:rFonts w:ascii="Verdana" w:hAnsi="Verdana" w:cs="Arial"/>
                <w:sz w:val="12"/>
                <w:szCs w:val="12"/>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5A48B2E" w14:textId="77777777" w:rsidR="00AC6D81" w:rsidRPr="00BE7918" w:rsidRDefault="00AC6D81" w:rsidP="00E8214B">
            <w:pPr>
              <w:spacing w:after="0" w:line="240" w:lineRule="auto"/>
              <w:jc w:val="both"/>
              <w:rPr>
                <w:rFonts w:ascii="Verdana" w:hAnsi="Verdana" w:cs="Arial"/>
                <w:sz w:val="12"/>
                <w:szCs w:val="12"/>
              </w:rPr>
            </w:pPr>
            <w:r w:rsidRPr="00BE7918">
              <w:rPr>
                <w:rFonts w:ascii="Verdana" w:hAnsi="Verdana" w:cs="Arial"/>
                <w:sz w:val="12"/>
                <w:szCs w:val="12"/>
              </w:rPr>
              <w:t>Cielo Victoria González Meza</w:t>
            </w:r>
          </w:p>
          <w:p w14:paraId="247C4CD6" w14:textId="77777777" w:rsidR="00AC6D81" w:rsidRPr="00BE7918" w:rsidRDefault="00AC6D81" w:rsidP="00E8214B">
            <w:pPr>
              <w:spacing w:after="0" w:line="240" w:lineRule="auto"/>
              <w:jc w:val="both"/>
              <w:rPr>
                <w:rFonts w:ascii="Verdana" w:hAnsi="Verdana" w:cs="Arial"/>
                <w:sz w:val="12"/>
                <w:szCs w:val="12"/>
              </w:rPr>
            </w:pPr>
            <w:r w:rsidRPr="00BE7918">
              <w:rPr>
                <w:rFonts w:ascii="Verdana" w:hAnsi="Verdana" w:cs="Arial"/>
                <w:sz w:val="12"/>
                <w:szCs w:val="12"/>
              </w:rPr>
              <w:t>Contratista de la Subdirección de Gestión Contractual</w:t>
            </w:r>
          </w:p>
        </w:tc>
      </w:tr>
      <w:tr w:rsidR="00AC6D81" w:rsidRPr="00186A86" w14:paraId="35E7CD74" w14:textId="77777777" w:rsidTr="00E8214B">
        <w:trPr>
          <w:trHeight w:val="389"/>
        </w:trPr>
        <w:tc>
          <w:tcPr>
            <w:tcW w:w="817" w:type="dxa"/>
            <w:tcBorders>
              <w:top w:val="nil"/>
              <w:left w:val="nil"/>
              <w:bottom w:val="nil"/>
              <w:right w:val="nil"/>
            </w:tcBorders>
            <w:vAlign w:val="center"/>
            <w:hideMark/>
          </w:tcPr>
          <w:p w14:paraId="42215B47" w14:textId="77777777" w:rsidR="00AC6D81" w:rsidRPr="00BE7918" w:rsidRDefault="00AC6D81" w:rsidP="00E8214B">
            <w:pPr>
              <w:spacing w:after="0" w:line="240" w:lineRule="auto"/>
              <w:jc w:val="both"/>
              <w:rPr>
                <w:rFonts w:ascii="Verdana" w:hAnsi="Verdana" w:cs="Arial"/>
                <w:sz w:val="12"/>
                <w:szCs w:val="12"/>
              </w:rPr>
            </w:pPr>
            <w:r w:rsidRPr="00BE7918">
              <w:rPr>
                <w:rFonts w:ascii="Verdana" w:hAnsi="Verdana" w:cs="Arial"/>
                <w:sz w:val="12"/>
                <w:szCs w:val="12"/>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4B780B9" w14:textId="77777777" w:rsidR="00AC6D81" w:rsidRPr="00BE7918" w:rsidRDefault="00AC6D81" w:rsidP="00E8214B">
            <w:pPr>
              <w:spacing w:after="0"/>
              <w:jc w:val="both"/>
              <w:rPr>
                <w:rFonts w:ascii="Verdana" w:hAnsi="Verdana" w:cs="Arial"/>
                <w:sz w:val="12"/>
                <w:szCs w:val="12"/>
              </w:rPr>
            </w:pPr>
            <w:r w:rsidRPr="00BE7918">
              <w:rPr>
                <w:rFonts w:ascii="Verdana" w:hAnsi="Verdana" w:cs="Arial"/>
                <w:sz w:val="12"/>
                <w:szCs w:val="12"/>
              </w:rPr>
              <w:t xml:space="preserve">Carolina Quintero </w:t>
            </w:r>
            <w:proofErr w:type="spellStart"/>
            <w:r w:rsidRPr="00BE7918">
              <w:rPr>
                <w:rFonts w:ascii="Verdana" w:hAnsi="Verdana" w:cs="Arial"/>
                <w:sz w:val="12"/>
                <w:szCs w:val="12"/>
              </w:rPr>
              <w:t>Gacharná</w:t>
            </w:r>
            <w:proofErr w:type="spellEnd"/>
          </w:p>
          <w:p w14:paraId="5ED1E916" w14:textId="77777777" w:rsidR="00AC6D81" w:rsidRPr="00BE7918" w:rsidRDefault="00AC6D81" w:rsidP="00E8214B">
            <w:pPr>
              <w:spacing w:after="0" w:line="240" w:lineRule="auto"/>
              <w:jc w:val="both"/>
              <w:rPr>
                <w:rFonts w:ascii="Verdana" w:hAnsi="Verdana" w:cs="Arial"/>
                <w:sz w:val="12"/>
                <w:szCs w:val="12"/>
              </w:rPr>
            </w:pPr>
            <w:r w:rsidRPr="00BE7918">
              <w:rPr>
                <w:rFonts w:ascii="Verdana" w:hAnsi="Verdana" w:cs="Arial"/>
                <w:sz w:val="12"/>
                <w:szCs w:val="12"/>
              </w:rPr>
              <w:t>Subdirectora de Gestión Contractual ANCP – CCE</w:t>
            </w:r>
          </w:p>
        </w:tc>
      </w:tr>
    </w:tbl>
    <w:p w14:paraId="18C1BA87" w14:textId="77777777" w:rsidR="00AC6D81" w:rsidRPr="00186A86" w:rsidRDefault="00AC6D81" w:rsidP="00AC6D81">
      <w:pPr>
        <w:rPr>
          <w:rFonts w:ascii="Verdana" w:hAnsi="Verdana"/>
        </w:rPr>
      </w:pPr>
    </w:p>
    <w:p w14:paraId="3900974D" w14:textId="77777777" w:rsidR="003D5B0D" w:rsidRPr="00E67939" w:rsidRDefault="003D5B0D" w:rsidP="00E67939"/>
    <w:sectPr w:rsidR="003D5B0D" w:rsidRPr="00E67939"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1DC64" w14:textId="77777777" w:rsidR="00610F3E" w:rsidRDefault="00610F3E" w:rsidP="004A1847">
      <w:pPr>
        <w:spacing w:after="0" w:line="240" w:lineRule="auto"/>
      </w:pPr>
      <w:r>
        <w:separator/>
      </w:r>
    </w:p>
  </w:endnote>
  <w:endnote w:type="continuationSeparator" w:id="0">
    <w:p w14:paraId="3DBDA036" w14:textId="77777777" w:rsidR="00610F3E" w:rsidRDefault="00610F3E" w:rsidP="004A1847">
      <w:pPr>
        <w:spacing w:after="0" w:line="240" w:lineRule="auto"/>
      </w:pPr>
      <w:r>
        <w:continuationSeparator/>
      </w:r>
    </w:p>
  </w:endnote>
  <w:endnote w:type="continuationNotice" w:id="1">
    <w:p w14:paraId="667707B1" w14:textId="77777777" w:rsidR="00610F3E" w:rsidRDefault="00610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4EF2C" w14:textId="77777777" w:rsidR="00610F3E" w:rsidRDefault="00610F3E" w:rsidP="004A1847">
      <w:pPr>
        <w:spacing w:after="0" w:line="240" w:lineRule="auto"/>
      </w:pPr>
      <w:r>
        <w:separator/>
      </w:r>
    </w:p>
  </w:footnote>
  <w:footnote w:type="continuationSeparator" w:id="0">
    <w:p w14:paraId="7464913D" w14:textId="77777777" w:rsidR="00610F3E" w:rsidRDefault="00610F3E" w:rsidP="004A1847">
      <w:pPr>
        <w:spacing w:after="0" w:line="240" w:lineRule="auto"/>
      </w:pPr>
      <w:r>
        <w:continuationSeparator/>
      </w:r>
    </w:p>
  </w:footnote>
  <w:footnote w:type="continuationNotice" w:id="1">
    <w:p w14:paraId="09F42BD1" w14:textId="77777777" w:rsidR="00610F3E" w:rsidRDefault="00610F3E">
      <w:pPr>
        <w:spacing w:after="0" w:line="240" w:lineRule="auto"/>
      </w:pPr>
    </w:p>
  </w:footnote>
  <w:footnote w:id="2">
    <w:p w14:paraId="37D236B4" w14:textId="77777777" w:rsidR="00097B7A" w:rsidRPr="00136215" w:rsidRDefault="00097B7A" w:rsidP="00097B7A">
      <w:pPr>
        <w:pStyle w:val="Textonotapie"/>
        <w:ind w:firstLine="709"/>
        <w:jc w:val="both"/>
        <w:rPr>
          <w:rFonts w:ascii="Verdana" w:eastAsia="Times New Roman" w:hAnsi="Verdana" w:cs="Arial"/>
          <w:bCs/>
          <w:sz w:val="14"/>
          <w:szCs w:val="14"/>
          <w:lang w:val="es-ES_tradnl" w:eastAsia="es-ES_tradnl"/>
        </w:rPr>
      </w:pPr>
      <w:r w:rsidRPr="00136215">
        <w:rPr>
          <w:rStyle w:val="Refdenotaalpie"/>
          <w:rFonts w:ascii="Verdana" w:hAnsi="Verdana" w:cs="Arial"/>
          <w:sz w:val="14"/>
          <w:szCs w:val="14"/>
        </w:rPr>
        <w:footnoteRef/>
      </w:r>
      <w:r w:rsidRPr="00136215">
        <w:rPr>
          <w:rFonts w:ascii="Verdana" w:hAnsi="Verdana" w:cs="Arial"/>
          <w:sz w:val="14"/>
          <w:szCs w:val="14"/>
        </w:rPr>
        <w:t xml:space="preserve"> </w:t>
      </w:r>
      <w:r w:rsidRPr="00136215">
        <w:rPr>
          <w:rFonts w:ascii="Verdana" w:eastAsia="Times New Roman" w:hAnsi="Verdana" w:cs="Arial"/>
          <w:bCs/>
          <w:sz w:val="14"/>
          <w:szCs w:val="14"/>
          <w:lang w:val="es-ES_tradnl" w:eastAsia="es-ES_tradnl"/>
        </w:rPr>
        <w:t xml:space="preserve">Decreto 1068 de 2015: “Artículo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16896E89" w14:textId="77777777" w:rsidR="00097B7A" w:rsidRPr="00136215" w:rsidRDefault="00097B7A" w:rsidP="00097B7A">
      <w:pPr>
        <w:pStyle w:val="Textonotapie"/>
        <w:ind w:firstLine="709"/>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31623AC3" w14:textId="77777777" w:rsidR="00097B7A" w:rsidRPr="00136215" w:rsidRDefault="00097B7A" w:rsidP="00097B7A">
      <w:pPr>
        <w:pStyle w:val="Textonotapie"/>
        <w:ind w:firstLine="708"/>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20751F23" w14:textId="77777777" w:rsidR="00097B7A" w:rsidRPr="00136215" w:rsidRDefault="00097B7A" w:rsidP="00097B7A">
      <w:pPr>
        <w:pStyle w:val="Textonotapie"/>
        <w:ind w:firstLine="708"/>
        <w:jc w:val="both"/>
        <w:rPr>
          <w:rFonts w:ascii="Verdana" w:hAnsi="Verdana" w:cs="Arial"/>
          <w:sz w:val="14"/>
          <w:szCs w:val="14"/>
        </w:rPr>
      </w:pPr>
    </w:p>
  </w:footnote>
  <w:footnote w:id="3">
    <w:p w14:paraId="48384274" w14:textId="77777777" w:rsidR="00097B7A" w:rsidRPr="00136215" w:rsidRDefault="00097B7A" w:rsidP="00097B7A">
      <w:pPr>
        <w:pStyle w:val="Textonotapie"/>
        <w:snapToGrid w:val="0"/>
        <w:ind w:firstLine="709"/>
        <w:jc w:val="both"/>
        <w:rPr>
          <w:rFonts w:ascii="Verdana" w:eastAsia="Times New Roman" w:hAnsi="Verdana" w:cs="Arial"/>
          <w:bCs/>
          <w:sz w:val="14"/>
          <w:szCs w:val="14"/>
          <w:lang w:val="es-ES_tradnl" w:eastAsia="es-ES_tradnl"/>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eastAsia="Times New Roman" w:hAnsi="Verdana" w:cs="Arial"/>
          <w:bCs/>
          <w:sz w:val="14"/>
          <w:szCs w:val="14"/>
          <w:lang w:val="es-ES_tradnl" w:eastAsia="es-ES_tradnl"/>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315A3395" w14:textId="77777777" w:rsidR="00097B7A" w:rsidRPr="00136215" w:rsidRDefault="00097B7A" w:rsidP="00097B7A">
      <w:pPr>
        <w:pStyle w:val="Textonotapie"/>
        <w:snapToGrid w:val="0"/>
        <w:ind w:firstLine="709"/>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2. Quien presta el servicio se denomina trabajador, quien lo recibe y remunera, empleador, y la remuneración, cualquiera que sea su forma, salario”.</w:t>
      </w:r>
    </w:p>
    <w:p w14:paraId="6C79B3FE"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p>
  </w:footnote>
  <w:footnote w:id="4">
    <w:p w14:paraId="13FB0173"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eastAsia="Times New Roman" w:hAnsi="Verdana" w:cs="Arial"/>
          <w:bCs/>
          <w:sz w:val="14"/>
          <w:szCs w:val="14"/>
          <w:lang w:val="es-ES_tradnl" w:eastAsia="es-ES_tradnl"/>
        </w:rPr>
        <w:t>Corte Constitucional Sentencia C-154 de 1997, Magistrado Ponente Dr. Hernando Herrera Vergara</w:t>
      </w:r>
    </w:p>
    <w:p w14:paraId="1F735B17"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p>
  </w:footnote>
  <w:footnote w:id="5">
    <w:p w14:paraId="277A51AE" w14:textId="77777777" w:rsidR="00097B7A" w:rsidRPr="00136215" w:rsidRDefault="00097B7A" w:rsidP="00097B7A">
      <w:pPr>
        <w:pStyle w:val="Textonotapie"/>
        <w:snapToGrid w:val="0"/>
        <w:ind w:firstLine="709"/>
        <w:jc w:val="both"/>
        <w:rPr>
          <w:rFonts w:ascii="Verdana" w:eastAsia="Times New Roman" w:hAnsi="Verdana" w:cs="Arial"/>
          <w:bCs/>
          <w:sz w:val="14"/>
          <w:szCs w:val="14"/>
          <w:lang w:val="es-ES_tradnl" w:eastAsia="es-ES_tradnl"/>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eastAsia="Times New Roman" w:hAnsi="Verdana" w:cs="Arial"/>
          <w:bCs/>
          <w:sz w:val="14"/>
          <w:szCs w:val="14"/>
          <w:lang w:val="es-ES_tradnl" w:eastAsia="es-ES_tradnl"/>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A9C4F43" w14:textId="77777777" w:rsidR="00097B7A" w:rsidRPr="00136215" w:rsidRDefault="00097B7A" w:rsidP="00097B7A">
      <w:pPr>
        <w:pStyle w:val="Textonotapie"/>
        <w:snapToGrid w:val="0"/>
        <w:ind w:firstLine="709"/>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9998904" w14:textId="77777777" w:rsidR="00097B7A" w:rsidRPr="00136215" w:rsidRDefault="00097B7A" w:rsidP="00097B7A">
      <w:pPr>
        <w:pStyle w:val="Textonotapie"/>
        <w:snapToGrid w:val="0"/>
        <w:ind w:firstLine="709"/>
        <w:jc w:val="both"/>
        <w:rPr>
          <w:rFonts w:ascii="Verdana" w:eastAsia="Times New Roman" w:hAnsi="Verdana" w:cs="Arial"/>
          <w:bCs/>
          <w:sz w:val="14"/>
          <w:szCs w:val="14"/>
          <w:lang w:val="es-ES_tradnl" w:eastAsia="es-ES_tradnl"/>
        </w:rPr>
      </w:pPr>
      <w:r w:rsidRPr="00136215">
        <w:rPr>
          <w:rFonts w:ascii="Verdana" w:eastAsia="Times New Roman" w:hAnsi="Verdana" w:cs="Arial"/>
          <w:bCs/>
          <w:sz w:val="14"/>
          <w:szCs w:val="14"/>
          <w:lang w:val="es-ES_tradnl" w:eastAsia="es-ES_tradnl"/>
        </w:rPr>
        <w:t>La Entidad Estatal, para la contratación de trabajos artísticos que solamente puedan en­comendarse a determinadas personas naturales, debe justificar esta situación en los estudios y documentos previos”.</w:t>
      </w:r>
    </w:p>
  </w:footnote>
  <w:footnote w:id="6">
    <w:p w14:paraId="122A49D4" w14:textId="77777777" w:rsidR="00097B7A" w:rsidRPr="00136215" w:rsidRDefault="00097B7A" w:rsidP="00097B7A">
      <w:pPr>
        <w:pStyle w:val="Textonotapie"/>
        <w:snapToGrid w:val="0"/>
        <w:ind w:firstLine="709"/>
        <w:jc w:val="both"/>
        <w:rPr>
          <w:rFonts w:ascii="Verdana" w:hAnsi="Verdana" w:cs="Arial"/>
          <w:color w:val="000000"/>
          <w:sz w:val="14"/>
          <w:szCs w:val="14"/>
        </w:rPr>
      </w:pPr>
    </w:p>
    <w:p w14:paraId="7B5F08BA"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Así lo prevé el artículo 2.2.1.2.1.4.1. del Decreto 1082 de 2015: “La Entidad Estatal debe señalar en un acto administrativo la justificación para contratar bajo la modalidad de contratación directa, el cual debe contener:</w:t>
      </w:r>
    </w:p>
    <w:p w14:paraId="07DEC90D"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1. La causal que invoca para contratar directamente.</w:t>
      </w:r>
    </w:p>
    <w:p w14:paraId="08D3A668"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2. El objeto del contrato.</w:t>
      </w:r>
    </w:p>
    <w:p w14:paraId="3AA39D7A"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3. El presupuesto para la contratación y las condiciones que exigirá al contratista.</w:t>
      </w:r>
    </w:p>
    <w:p w14:paraId="31DD25EA"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4. El lugar en el cual los interesados pueden consultar los estudios y documentos previos.</w:t>
      </w:r>
    </w:p>
    <w:p w14:paraId="0C045E9F"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7">
    <w:p w14:paraId="1EAEC0B9" w14:textId="77777777" w:rsidR="00097B7A" w:rsidRPr="00136215" w:rsidRDefault="00097B7A" w:rsidP="00097B7A">
      <w:pPr>
        <w:pStyle w:val="Textonotapie"/>
        <w:snapToGrid w:val="0"/>
        <w:ind w:firstLine="709"/>
        <w:jc w:val="both"/>
        <w:rPr>
          <w:rFonts w:ascii="Verdana" w:hAnsi="Verdana" w:cs="Arial"/>
          <w:color w:val="000000"/>
          <w:sz w:val="14"/>
          <w:szCs w:val="14"/>
        </w:rPr>
      </w:pPr>
    </w:p>
    <w:p w14:paraId="31242D35"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Esta norma expresa: “Para el cumplimiento de los fines de la contratación, las entidades estatales al celebrar un contrato:</w:t>
      </w:r>
    </w:p>
    <w:p w14:paraId="53E72657"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w:t>
      </w:r>
    </w:p>
    <w:p w14:paraId="65B6BA82"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2E1E0470"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Las entidades estatales podrán pactar estas cláusulas en los contratos de suministro y de prestación de servicios.</w:t>
      </w:r>
    </w:p>
    <w:p w14:paraId="509D1627"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w:t>
      </w:r>
    </w:p>
  </w:footnote>
  <w:footnote w:id="8">
    <w:p w14:paraId="3567AB5D"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La norma dispone: “La liquidación a que se refiere el presente artículo no será obligatoria en los contratos de prestación de servicios profesionales y de apoyo a la gestión”.</w:t>
      </w:r>
    </w:p>
    <w:p w14:paraId="6525D66A"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p>
  </w:footnote>
  <w:footnote w:id="9">
    <w:p w14:paraId="779F9338"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FDFCF11"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Fonts w:ascii="Verdana" w:hAnsi="Verdana" w:cs="Arial"/>
          <w:color w:val="000000"/>
          <w:sz w:val="14"/>
          <w:szCs w:val="14"/>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817A59B" w14:textId="77777777" w:rsidR="00097B7A" w:rsidRPr="00136215" w:rsidRDefault="00097B7A" w:rsidP="00097B7A">
      <w:pPr>
        <w:pStyle w:val="Textonotapie"/>
        <w:snapToGrid w:val="0"/>
        <w:ind w:firstLine="709"/>
        <w:jc w:val="both"/>
        <w:rPr>
          <w:rFonts w:ascii="Verdana" w:hAnsi="Verdana" w:cs="Arial"/>
          <w:color w:val="000000"/>
          <w:sz w:val="14"/>
          <w:szCs w:val="14"/>
        </w:rPr>
      </w:pPr>
      <w:r w:rsidRPr="00136215">
        <w:rPr>
          <w:rFonts w:ascii="Verdana" w:hAnsi="Verdana" w:cs="Arial"/>
          <w:color w:val="000000"/>
          <w:sz w:val="14"/>
          <w:szCs w:val="14"/>
        </w:rPr>
        <w:t>[…]”.</w:t>
      </w:r>
    </w:p>
    <w:p w14:paraId="0E38EA67"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p>
  </w:footnote>
  <w:footnote w:id="10">
    <w:p w14:paraId="388522A6"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r w:rsidRPr="00136215">
        <w:rPr>
          <w:rStyle w:val="Refdenotaalpie"/>
          <w:rFonts w:ascii="Verdana" w:hAnsi="Verdana" w:cs="Arial"/>
          <w:sz w:val="14"/>
          <w:szCs w:val="14"/>
        </w:rPr>
        <w:footnoteRef/>
      </w:r>
      <w:r w:rsidRPr="00136215">
        <w:rPr>
          <w:rFonts w:ascii="Verdana" w:hAnsi="Verdana" w:cs="Arial"/>
          <w:color w:val="000000"/>
          <w:sz w:val="14"/>
          <w:szCs w:val="14"/>
        </w:rPr>
        <w:t xml:space="preserve"> </w:t>
      </w:r>
      <w:r w:rsidRPr="00136215">
        <w:rPr>
          <w:rFonts w:ascii="Verdana" w:hAnsi="Verdana" w:cs="Arial"/>
          <w:color w:val="000000"/>
          <w:sz w:val="14"/>
          <w:szCs w:val="14"/>
          <w:lang w:val="es-ES"/>
        </w:rPr>
        <w:t xml:space="preserve">Es esto lo que establece el Decreto 1082 de 2015: “Artículo 2.2.1.2.1.4.5. No obligatoriedad de garantías. En la contratación directa la exigencia de garantías establecidas en la Sección 3, que comprende los artículos 2.2.1.2.3.1.1 al </w:t>
      </w:r>
      <w:r w:rsidRPr="00136215">
        <w:rPr>
          <w:rFonts w:ascii="Verdana" w:hAnsi="Verdana" w:cs="Arial"/>
          <w:color w:val="000000"/>
          <w:sz w:val="14"/>
          <w:szCs w:val="14"/>
          <w:lang w:val="es-ES"/>
        </w:rPr>
        <w:t>2.2.1.2.3.5.1.del presente decreto no es obligatoria y la justificación para exigirlas o no debe estar en los estudios y documentos previos”.</w:t>
      </w:r>
    </w:p>
    <w:p w14:paraId="668EFABE" w14:textId="77777777" w:rsidR="00097B7A" w:rsidRPr="00136215" w:rsidRDefault="00097B7A" w:rsidP="00097B7A">
      <w:pPr>
        <w:pStyle w:val="Textonotapie"/>
        <w:snapToGrid w:val="0"/>
        <w:ind w:firstLine="709"/>
        <w:jc w:val="both"/>
        <w:rPr>
          <w:rFonts w:ascii="Verdana" w:hAnsi="Verdana" w:cs="Arial"/>
          <w:color w:val="000000"/>
          <w:sz w:val="14"/>
          <w:szCs w:val="14"/>
          <w:lang w:val="es-ES"/>
        </w:rPr>
      </w:pPr>
    </w:p>
  </w:footnote>
  <w:footnote w:id="11">
    <w:p w14:paraId="16362CF5" w14:textId="77777777" w:rsidR="00097B7A" w:rsidRPr="00136215" w:rsidRDefault="00097B7A" w:rsidP="00097B7A">
      <w:pPr>
        <w:pStyle w:val="Textonotapie"/>
        <w:ind w:firstLine="708"/>
        <w:contextualSpacing/>
        <w:jc w:val="both"/>
        <w:rPr>
          <w:rFonts w:ascii="Verdana" w:hAnsi="Verdana" w:cs="Arial"/>
          <w:sz w:val="14"/>
          <w:szCs w:val="14"/>
        </w:rPr>
      </w:pPr>
      <w:r w:rsidRPr="00136215">
        <w:rPr>
          <w:rStyle w:val="Refdenotaalpie"/>
          <w:rFonts w:ascii="Verdana" w:hAnsi="Verdana" w:cs="Arial"/>
          <w:sz w:val="14"/>
          <w:szCs w:val="14"/>
        </w:rPr>
        <w:footnoteRef/>
      </w:r>
      <w:r w:rsidRPr="00136215">
        <w:rPr>
          <w:rFonts w:ascii="Verdana" w:hAnsi="Verdana" w:cs="Arial"/>
          <w:sz w:val="14"/>
          <w:szCs w:val="14"/>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footnote>
  <w:footnote w:id="12">
    <w:p w14:paraId="376775FE" w14:textId="77777777" w:rsidR="00097B7A" w:rsidRPr="00136215" w:rsidRDefault="00097B7A" w:rsidP="00097B7A">
      <w:pPr>
        <w:pStyle w:val="Textonotapie"/>
        <w:ind w:firstLine="708"/>
        <w:contextualSpacing/>
        <w:jc w:val="both"/>
        <w:rPr>
          <w:rFonts w:ascii="Verdana" w:hAnsi="Verdana" w:cs="Arial"/>
          <w:sz w:val="14"/>
          <w:szCs w:val="14"/>
        </w:rPr>
      </w:pPr>
      <w:r w:rsidRPr="00136215">
        <w:rPr>
          <w:rStyle w:val="Refdenotaalpie"/>
          <w:rFonts w:ascii="Verdana" w:hAnsi="Verdana" w:cs="Arial"/>
          <w:sz w:val="14"/>
          <w:szCs w:val="14"/>
        </w:rPr>
        <w:footnoteRef/>
      </w:r>
      <w:r w:rsidRPr="00136215">
        <w:rPr>
          <w:rFonts w:ascii="Verdana" w:hAnsi="Verdana" w:cs="Arial"/>
          <w:sz w:val="14"/>
          <w:szCs w:val="14"/>
        </w:rPr>
        <w:t xml:space="preserve"> Colombia Compra Eficiente. </w:t>
      </w:r>
      <w:r w:rsidRPr="00136215">
        <w:rPr>
          <w:rFonts w:ascii="Verdana" w:eastAsia="Calibri" w:hAnsi="Verdana" w:cs="Arial"/>
          <w:bCs/>
          <w:sz w:val="14"/>
          <w:szCs w:val="14"/>
          <w:lang w:val="es-ES_tradnl" w:eastAsia="es-ES_tradnl"/>
        </w:rPr>
        <w:t>Guía de Elaboración de Estudios del Sector</w:t>
      </w:r>
      <w:r w:rsidRPr="00136215">
        <w:rPr>
          <w:rFonts w:ascii="Verdana" w:hAnsi="Verdana" w:cs="Arial"/>
          <w:sz w:val="14"/>
          <w:szCs w:val="14"/>
        </w:rPr>
        <w:t xml:space="preserve">. Disponible en: </w:t>
      </w:r>
      <w:hyperlink r:id="rId1" w:history="1">
        <w:r w:rsidRPr="00136215">
          <w:rPr>
            <w:rStyle w:val="Hipervnculo"/>
            <w:rFonts w:ascii="Verdana" w:hAnsi="Verdana" w:cs="Arial"/>
            <w:sz w:val="14"/>
            <w:szCs w:val="14"/>
          </w:rPr>
          <w:t>https://www.colombiacompra.gov.co/manuales-guias-y-pliegos-tipo/manuales-y-guias</w:t>
        </w:r>
      </w:hyperlink>
      <w:r w:rsidRPr="00136215">
        <w:rPr>
          <w:rFonts w:ascii="Verdana" w:hAnsi="Verdana" w:cs="Arial"/>
          <w:sz w:val="14"/>
          <w:szCs w:val="14"/>
        </w:rPr>
        <w:t xml:space="preserve"> </w:t>
      </w:r>
    </w:p>
    <w:p w14:paraId="17265396" w14:textId="77777777" w:rsidR="00097B7A" w:rsidRPr="00136215" w:rsidRDefault="00097B7A" w:rsidP="00097B7A">
      <w:pPr>
        <w:pStyle w:val="Textonotapie"/>
        <w:ind w:firstLine="708"/>
        <w:contextualSpacing/>
        <w:jc w:val="both"/>
        <w:rPr>
          <w:rFonts w:ascii="Verdana" w:hAnsi="Verdana" w:cs="Arial"/>
          <w:sz w:val="14"/>
          <w:szCs w:val="14"/>
          <w:lang w:val="es-CO"/>
        </w:rPr>
      </w:pPr>
    </w:p>
  </w:footnote>
  <w:footnote w:id="13">
    <w:p w14:paraId="346171D1" w14:textId="77777777" w:rsidR="00097B7A" w:rsidRPr="00136215" w:rsidRDefault="00097B7A" w:rsidP="00097B7A">
      <w:pPr>
        <w:pStyle w:val="Textonotapie"/>
        <w:ind w:firstLine="707"/>
        <w:rPr>
          <w:rFonts w:ascii="Verdana" w:hAnsi="Verdana"/>
          <w:sz w:val="14"/>
          <w:szCs w:val="14"/>
          <w:lang w:val="es-ES"/>
        </w:rPr>
      </w:pPr>
      <w:r w:rsidRPr="00136215">
        <w:rPr>
          <w:rStyle w:val="Refdenotaalpie"/>
          <w:rFonts w:ascii="Verdana" w:hAnsi="Verdana"/>
          <w:sz w:val="14"/>
          <w:szCs w:val="14"/>
        </w:rPr>
        <w:footnoteRef/>
      </w:r>
      <w:r w:rsidRPr="00136215">
        <w:rPr>
          <w:rFonts w:ascii="Verdana" w:hAnsi="Verdana"/>
          <w:sz w:val="14"/>
          <w:szCs w:val="14"/>
        </w:rPr>
        <w:t xml:space="preserve"> </w:t>
      </w:r>
      <w:r w:rsidRPr="00136215">
        <w:rPr>
          <w:rFonts w:ascii="Verdana" w:eastAsia="Times New Roman" w:hAnsi="Verdana" w:cs="Arial"/>
          <w:bCs/>
          <w:sz w:val="14"/>
          <w:szCs w:val="14"/>
          <w:lang w:val="es-ES_tradnl" w:eastAsia="es-ES_tradnl"/>
        </w:rPr>
        <w:t>Concepto 193201 del 25 de mayo de 2022 del Departamento Administrativo de la Función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0.9pt;height:10.9pt" o:bullet="t">
        <v:imagedata r:id="rId1" o:title="mso1B13"/>
      </v:shape>
    </w:pict>
  </w:numPicBullet>
  <w:abstractNum w:abstractNumId="0" w15:restartNumberingAfterBreak="0">
    <w:nsid w:val="00020A18"/>
    <w:multiLevelType w:val="hybridMultilevel"/>
    <w:tmpl w:val="7018D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CA01838"/>
    <w:multiLevelType w:val="hybridMultilevel"/>
    <w:tmpl w:val="A372E0E0"/>
    <w:lvl w:ilvl="0" w:tplc="9CFABA96">
      <w:start w:val="1"/>
      <w:numFmt w:val="decimal"/>
      <w:lvlText w:val="%1."/>
      <w:lvlJc w:val="left"/>
      <w:pPr>
        <w:ind w:left="1183" w:hanging="360"/>
      </w:pPr>
      <w:rPr>
        <w:rFonts w:ascii="Arial MT" w:eastAsia="Arial MT" w:hAnsi="Arial MT" w:cs="Arial MT" w:hint="default"/>
        <w:spacing w:val="-1"/>
        <w:w w:val="100"/>
        <w:sz w:val="22"/>
        <w:szCs w:val="22"/>
        <w:lang w:val="es-ES" w:eastAsia="en-US" w:bidi="ar-SA"/>
      </w:rPr>
    </w:lvl>
    <w:lvl w:ilvl="1" w:tplc="B1906038">
      <w:numFmt w:val="bullet"/>
      <w:lvlText w:val="•"/>
      <w:lvlJc w:val="left"/>
      <w:pPr>
        <w:ind w:left="2036" w:hanging="360"/>
      </w:pPr>
      <w:rPr>
        <w:rFonts w:hint="default"/>
        <w:lang w:val="es-ES" w:eastAsia="en-US" w:bidi="ar-SA"/>
      </w:rPr>
    </w:lvl>
    <w:lvl w:ilvl="2" w:tplc="CBF4F730">
      <w:numFmt w:val="bullet"/>
      <w:lvlText w:val="•"/>
      <w:lvlJc w:val="left"/>
      <w:pPr>
        <w:ind w:left="2892" w:hanging="360"/>
      </w:pPr>
      <w:rPr>
        <w:rFonts w:hint="default"/>
        <w:lang w:val="es-ES" w:eastAsia="en-US" w:bidi="ar-SA"/>
      </w:rPr>
    </w:lvl>
    <w:lvl w:ilvl="3" w:tplc="9F54BFC4">
      <w:numFmt w:val="bullet"/>
      <w:lvlText w:val="•"/>
      <w:lvlJc w:val="left"/>
      <w:pPr>
        <w:ind w:left="3748" w:hanging="360"/>
      </w:pPr>
      <w:rPr>
        <w:rFonts w:hint="default"/>
        <w:lang w:val="es-ES" w:eastAsia="en-US" w:bidi="ar-SA"/>
      </w:rPr>
    </w:lvl>
    <w:lvl w:ilvl="4" w:tplc="38240F62">
      <w:numFmt w:val="bullet"/>
      <w:lvlText w:val="•"/>
      <w:lvlJc w:val="left"/>
      <w:pPr>
        <w:ind w:left="4604" w:hanging="360"/>
      </w:pPr>
      <w:rPr>
        <w:rFonts w:hint="default"/>
        <w:lang w:val="es-ES" w:eastAsia="en-US" w:bidi="ar-SA"/>
      </w:rPr>
    </w:lvl>
    <w:lvl w:ilvl="5" w:tplc="A5148A38">
      <w:numFmt w:val="bullet"/>
      <w:lvlText w:val="•"/>
      <w:lvlJc w:val="left"/>
      <w:pPr>
        <w:ind w:left="5460" w:hanging="360"/>
      </w:pPr>
      <w:rPr>
        <w:rFonts w:hint="default"/>
        <w:lang w:val="es-ES" w:eastAsia="en-US" w:bidi="ar-SA"/>
      </w:rPr>
    </w:lvl>
    <w:lvl w:ilvl="6" w:tplc="025E0D72">
      <w:numFmt w:val="bullet"/>
      <w:lvlText w:val="•"/>
      <w:lvlJc w:val="left"/>
      <w:pPr>
        <w:ind w:left="6316" w:hanging="360"/>
      </w:pPr>
      <w:rPr>
        <w:rFonts w:hint="default"/>
        <w:lang w:val="es-ES" w:eastAsia="en-US" w:bidi="ar-SA"/>
      </w:rPr>
    </w:lvl>
    <w:lvl w:ilvl="7" w:tplc="249277DC">
      <w:numFmt w:val="bullet"/>
      <w:lvlText w:val="•"/>
      <w:lvlJc w:val="left"/>
      <w:pPr>
        <w:ind w:left="7172" w:hanging="360"/>
      </w:pPr>
      <w:rPr>
        <w:rFonts w:hint="default"/>
        <w:lang w:val="es-ES" w:eastAsia="en-US" w:bidi="ar-SA"/>
      </w:rPr>
    </w:lvl>
    <w:lvl w:ilvl="8" w:tplc="9312AC1C">
      <w:numFmt w:val="bullet"/>
      <w:lvlText w:val="•"/>
      <w:lvlJc w:val="left"/>
      <w:pPr>
        <w:ind w:left="8028" w:hanging="360"/>
      </w:pPr>
      <w:rPr>
        <w:rFonts w:hint="default"/>
        <w:lang w:val="es-ES" w:eastAsia="en-US" w:bidi="ar-SA"/>
      </w:rPr>
    </w:lvl>
  </w:abstractNum>
  <w:abstractNum w:abstractNumId="5" w15:restartNumberingAfterBreak="0">
    <w:nsid w:val="151D3EE5"/>
    <w:multiLevelType w:val="multilevel"/>
    <w:tmpl w:val="316C7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6E0F3E"/>
    <w:multiLevelType w:val="multilevel"/>
    <w:tmpl w:val="CD12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A917A8"/>
    <w:multiLevelType w:val="hybridMultilevel"/>
    <w:tmpl w:val="97EEFF40"/>
    <w:lvl w:ilvl="0" w:tplc="E4C293F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948779781">
    <w:abstractNumId w:val="9"/>
  </w:num>
  <w:num w:numId="2" w16cid:durableId="19822139">
    <w:abstractNumId w:val="3"/>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8"/>
  </w:num>
  <w:num w:numId="8" w16cid:durableId="152644682">
    <w:abstractNumId w:val="14"/>
  </w:num>
  <w:num w:numId="9" w16cid:durableId="1317221377">
    <w:abstractNumId w:val="10"/>
  </w:num>
  <w:num w:numId="10" w16cid:durableId="1471245386">
    <w:abstractNumId w:val="13"/>
  </w:num>
  <w:num w:numId="11" w16cid:durableId="289172385">
    <w:abstractNumId w:val="11"/>
  </w:num>
  <w:num w:numId="12" w16cid:durableId="1470781324">
    <w:abstractNumId w:val="2"/>
  </w:num>
  <w:num w:numId="13" w16cid:durableId="1512908409">
    <w:abstractNumId w:val="6"/>
  </w:num>
  <w:num w:numId="14" w16cid:durableId="895897244">
    <w:abstractNumId w:val="16"/>
  </w:num>
  <w:num w:numId="15" w16cid:durableId="390349800">
    <w:abstractNumId w:val="12"/>
  </w:num>
  <w:num w:numId="16" w16cid:durableId="7625042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4114887">
    <w:abstractNumId w:val="1"/>
  </w:num>
  <w:num w:numId="18" w16cid:durableId="425813426">
    <w:abstractNumId w:val="17"/>
  </w:num>
  <w:num w:numId="19" w16cid:durableId="1960649028">
    <w:abstractNumId w:val="19"/>
  </w:num>
  <w:num w:numId="20" w16cid:durableId="74135178">
    <w:abstractNumId w:val="0"/>
  </w:num>
  <w:num w:numId="21" w16cid:durableId="591158551">
    <w:abstractNumId w:val="4"/>
  </w:num>
  <w:num w:numId="22" w16cid:durableId="1943144051">
    <w:abstractNumId w:val="5"/>
  </w:num>
  <w:num w:numId="23" w16cid:durableId="1738169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A99"/>
    <w:rsid w:val="00001D5B"/>
    <w:rsid w:val="000050BE"/>
    <w:rsid w:val="0001273D"/>
    <w:rsid w:val="00016F78"/>
    <w:rsid w:val="00032B9E"/>
    <w:rsid w:val="00046945"/>
    <w:rsid w:val="00061B2A"/>
    <w:rsid w:val="00082362"/>
    <w:rsid w:val="00097B7A"/>
    <w:rsid w:val="000A683E"/>
    <w:rsid w:val="000B19B9"/>
    <w:rsid w:val="000B36AE"/>
    <w:rsid w:val="000C0B1A"/>
    <w:rsid w:val="000C2CEB"/>
    <w:rsid w:val="000D0334"/>
    <w:rsid w:val="000D599B"/>
    <w:rsid w:val="000F6486"/>
    <w:rsid w:val="00103E51"/>
    <w:rsid w:val="00124D08"/>
    <w:rsid w:val="00125105"/>
    <w:rsid w:val="00127233"/>
    <w:rsid w:val="00136E31"/>
    <w:rsid w:val="001511A0"/>
    <w:rsid w:val="00151F81"/>
    <w:rsid w:val="00153912"/>
    <w:rsid w:val="00181587"/>
    <w:rsid w:val="001D4090"/>
    <w:rsid w:val="001E4177"/>
    <w:rsid w:val="001F7DC6"/>
    <w:rsid w:val="002421BB"/>
    <w:rsid w:val="002432E0"/>
    <w:rsid w:val="002555CF"/>
    <w:rsid w:val="0025796E"/>
    <w:rsid w:val="002707A2"/>
    <w:rsid w:val="00270AA0"/>
    <w:rsid w:val="002951A0"/>
    <w:rsid w:val="002962BC"/>
    <w:rsid w:val="002A093D"/>
    <w:rsid w:val="002A0DD0"/>
    <w:rsid w:val="002A49AC"/>
    <w:rsid w:val="002A64FD"/>
    <w:rsid w:val="002B3895"/>
    <w:rsid w:val="002C2BD7"/>
    <w:rsid w:val="002C7A84"/>
    <w:rsid w:val="002E4FD9"/>
    <w:rsid w:val="002F2756"/>
    <w:rsid w:val="00321D29"/>
    <w:rsid w:val="00322A85"/>
    <w:rsid w:val="00322DDF"/>
    <w:rsid w:val="00324168"/>
    <w:rsid w:val="003448F4"/>
    <w:rsid w:val="0036394B"/>
    <w:rsid w:val="00374F5E"/>
    <w:rsid w:val="00377E3E"/>
    <w:rsid w:val="00382DAA"/>
    <w:rsid w:val="003875BA"/>
    <w:rsid w:val="00392FC7"/>
    <w:rsid w:val="0039621F"/>
    <w:rsid w:val="003A779E"/>
    <w:rsid w:val="003B58A1"/>
    <w:rsid w:val="003C0A39"/>
    <w:rsid w:val="003D0F4D"/>
    <w:rsid w:val="003D5B0D"/>
    <w:rsid w:val="003E0499"/>
    <w:rsid w:val="003F0E99"/>
    <w:rsid w:val="003F3941"/>
    <w:rsid w:val="003F6C14"/>
    <w:rsid w:val="00406575"/>
    <w:rsid w:val="004105BE"/>
    <w:rsid w:val="00414C74"/>
    <w:rsid w:val="0041503D"/>
    <w:rsid w:val="00415279"/>
    <w:rsid w:val="0042722E"/>
    <w:rsid w:val="004344D7"/>
    <w:rsid w:val="0044528D"/>
    <w:rsid w:val="004519D0"/>
    <w:rsid w:val="004576F4"/>
    <w:rsid w:val="00461C71"/>
    <w:rsid w:val="004A1847"/>
    <w:rsid w:val="004A305D"/>
    <w:rsid w:val="004F21C4"/>
    <w:rsid w:val="004F685F"/>
    <w:rsid w:val="0053586D"/>
    <w:rsid w:val="005566E8"/>
    <w:rsid w:val="00574867"/>
    <w:rsid w:val="005800B9"/>
    <w:rsid w:val="00591460"/>
    <w:rsid w:val="005B3816"/>
    <w:rsid w:val="005C178A"/>
    <w:rsid w:val="005C3777"/>
    <w:rsid w:val="005C5CDC"/>
    <w:rsid w:val="005D09FC"/>
    <w:rsid w:val="005D476C"/>
    <w:rsid w:val="005D5B04"/>
    <w:rsid w:val="00601024"/>
    <w:rsid w:val="00610F3E"/>
    <w:rsid w:val="006219F8"/>
    <w:rsid w:val="00621E6D"/>
    <w:rsid w:val="00635D00"/>
    <w:rsid w:val="00637821"/>
    <w:rsid w:val="00660E6E"/>
    <w:rsid w:val="00665D70"/>
    <w:rsid w:val="00674E4A"/>
    <w:rsid w:val="006900D9"/>
    <w:rsid w:val="006959A1"/>
    <w:rsid w:val="006C1A4E"/>
    <w:rsid w:val="006D58CA"/>
    <w:rsid w:val="006F75EB"/>
    <w:rsid w:val="00706C16"/>
    <w:rsid w:val="00710085"/>
    <w:rsid w:val="00714E8A"/>
    <w:rsid w:val="00756841"/>
    <w:rsid w:val="007602AD"/>
    <w:rsid w:val="007649AB"/>
    <w:rsid w:val="00771D0C"/>
    <w:rsid w:val="007833AC"/>
    <w:rsid w:val="007B268C"/>
    <w:rsid w:val="007B6456"/>
    <w:rsid w:val="007B7171"/>
    <w:rsid w:val="007C0C0F"/>
    <w:rsid w:val="007C3DC2"/>
    <w:rsid w:val="007E5497"/>
    <w:rsid w:val="007F641B"/>
    <w:rsid w:val="00806F5F"/>
    <w:rsid w:val="00820278"/>
    <w:rsid w:val="008346D6"/>
    <w:rsid w:val="00854416"/>
    <w:rsid w:val="00867F95"/>
    <w:rsid w:val="00872055"/>
    <w:rsid w:val="008843B6"/>
    <w:rsid w:val="00891928"/>
    <w:rsid w:val="008A446D"/>
    <w:rsid w:val="008D180B"/>
    <w:rsid w:val="008E42C6"/>
    <w:rsid w:val="008F0EA7"/>
    <w:rsid w:val="008F1531"/>
    <w:rsid w:val="00904CEC"/>
    <w:rsid w:val="009149A4"/>
    <w:rsid w:val="00923EEF"/>
    <w:rsid w:val="00927929"/>
    <w:rsid w:val="0093774F"/>
    <w:rsid w:val="009419F9"/>
    <w:rsid w:val="00956262"/>
    <w:rsid w:val="0095685E"/>
    <w:rsid w:val="00957C67"/>
    <w:rsid w:val="00961B09"/>
    <w:rsid w:val="00965334"/>
    <w:rsid w:val="0097093E"/>
    <w:rsid w:val="00986AC5"/>
    <w:rsid w:val="009A0DFA"/>
    <w:rsid w:val="009A690C"/>
    <w:rsid w:val="009B2D26"/>
    <w:rsid w:val="009C71FA"/>
    <w:rsid w:val="009C72E7"/>
    <w:rsid w:val="009D3058"/>
    <w:rsid w:val="009D5D07"/>
    <w:rsid w:val="009F3A13"/>
    <w:rsid w:val="009F5016"/>
    <w:rsid w:val="00A122D3"/>
    <w:rsid w:val="00A17F13"/>
    <w:rsid w:val="00A20739"/>
    <w:rsid w:val="00A30E41"/>
    <w:rsid w:val="00A33C78"/>
    <w:rsid w:val="00A86E28"/>
    <w:rsid w:val="00AB0ADB"/>
    <w:rsid w:val="00AC6D81"/>
    <w:rsid w:val="00B01B1A"/>
    <w:rsid w:val="00B5439B"/>
    <w:rsid w:val="00B55C12"/>
    <w:rsid w:val="00B64D79"/>
    <w:rsid w:val="00B66319"/>
    <w:rsid w:val="00B72CD3"/>
    <w:rsid w:val="00B72FFF"/>
    <w:rsid w:val="00B75B22"/>
    <w:rsid w:val="00B94E3E"/>
    <w:rsid w:val="00BC3D36"/>
    <w:rsid w:val="00BD7F72"/>
    <w:rsid w:val="00BE2A38"/>
    <w:rsid w:val="00C04FB3"/>
    <w:rsid w:val="00C07FAB"/>
    <w:rsid w:val="00C2624E"/>
    <w:rsid w:val="00C330EB"/>
    <w:rsid w:val="00C41061"/>
    <w:rsid w:val="00C450BD"/>
    <w:rsid w:val="00C7107B"/>
    <w:rsid w:val="00C754BE"/>
    <w:rsid w:val="00C76B1C"/>
    <w:rsid w:val="00C82437"/>
    <w:rsid w:val="00C93E27"/>
    <w:rsid w:val="00CA4E05"/>
    <w:rsid w:val="00CB1BBB"/>
    <w:rsid w:val="00CB6357"/>
    <w:rsid w:val="00CC1B26"/>
    <w:rsid w:val="00CC4D12"/>
    <w:rsid w:val="00CD053E"/>
    <w:rsid w:val="00CF2489"/>
    <w:rsid w:val="00CF38B6"/>
    <w:rsid w:val="00D2291A"/>
    <w:rsid w:val="00D33F83"/>
    <w:rsid w:val="00D342DD"/>
    <w:rsid w:val="00D40F08"/>
    <w:rsid w:val="00D423A2"/>
    <w:rsid w:val="00D520D8"/>
    <w:rsid w:val="00D63AC2"/>
    <w:rsid w:val="00D7383B"/>
    <w:rsid w:val="00D95ACF"/>
    <w:rsid w:val="00DA231B"/>
    <w:rsid w:val="00DC39FC"/>
    <w:rsid w:val="00DE4CE4"/>
    <w:rsid w:val="00DF5254"/>
    <w:rsid w:val="00DF616D"/>
    <w:rsid w:val="00E16408"/>
    <w:rsid w:val="00E20894"/>
    <w:rsid w:val="00E245AB"/>
    <w:rsid w:val="00E2764C"/>
    <w:rsid w:val="00E27F2E"/>
    <w:rsid w:val="00E46A07"/>
    <w:rsid w:val="00E50AFE"/>
    <w:rsid w:val="00E65E0D"/>
    <w:rsid w:val="00E67939"/>
    <w:rsid w:val="00E75C92"/>
    <w:rsid w:val="00E771DC"/>
    <w:rsid w:val="00E86E1C"/>
    <w:rsid w:val="00E8772A"/>
    <w:rsid w:val="00E90F6B"/>
    <w:rsid w:val="00E92C27"/>
    <w:rsid w:val="00EA0E3D"/>
    <w:rsid w:val="00EC38A7"/>
    <w:rsid w:val="00ED7384"/>
    <w:rsid w:val="00EE1AA8"/>
    <w:rsid w:val="00F31EDC"/>
    <w:rsid w:val="00F32301"/>
    <w:rsid w:val="00F43798"/>
    <w:rsid w:val="00F44AA0"/>
    <w:rsid w:val="00F462B3"/>
    <w:rsid w:val="00F5664F"/>
    <w:rsid w:val="00F57FDC"/>
    <w:rsid w:val="00F666C4"/>
    <w:rsid w:val="00F76AFC"/>
    <w:rsid w:val="00F93C5B"/>
    <w:rsid w:val="00FA47C0"/>
    <w:rsid w:val="00FB5DD1"/>
    <w:rsid w:val="00FC2B5D"/>
    <w:rsid w:val="00FC6448"/>
    <w:rsid w:val="00FE4B2C"/>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79"/>
  </w:style>
  <w:style w:type="paragraph" w:styleId="Ttulo1">
    <w:name w:val="heading 1"/>
    <w:basedOn w:val="Normal"/>
    <w:link w:val="Ttulo1Car"/>
    <w:uiPriority w:val="9"/>
    <w:qFormat/>
    <w:rsid w:val="00AC6D81"/>
    <w:pPr>
      <w:widowControl w:val="0"/>
      <w:autoSpaceDE w:val="0"/>
      <w:autoSpaceDN w:val="0"/>
      <w:spacing w:after="0" w:line="240" w:lineRule="auto"/>
      <w:ind w:left="838" w:hanging="72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Ttulo1Car">
    <w:name w:val="Título 1 Car"/>
    <w:basedOn w:val="Fuentedeprrafopredeter"/>
    <w:link w:val="Ttulo1"/>
    <w:uiPriority w:val="9"/>
    <w:rsid w:val="00AC6D81"/>
    <w:rPr>
      <w:rFonts w:ascii="Arial" w:eastAsia="Arial" w:hAnsi="Arial" w:cs="Arial"/>
      <w:b/>
      <w:bCs/>
      <w:lang w:val="es-ES"/>
    </w:rPr>
  </w:style>
  <w:style w:type="paragraph" w:customStyle="1" w:styleId="Appelnotedebasde">
    <w:name w:val="Appel note de bas de..."/>
    <w:basedOn w:val="Normal"/>
    <w:link w:val="Refdenotaalpie"/>
    <w:uiPriority w:val="99"/>
    <w:rsid w:val="00AC6D8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C6D81"/>
    <w:rPr>
      <w:rFonts w:ascii="Geomanist Light" w:hAnsi="Geomanist Light"/>
      <w:lang w:val="es-ES"/>
    </w:rPr>
  </w:style>
  <w:style w:type="paragraph" w:styleId="Textoindependiente">
    <w:name w:val="Body Text"/>
    <w:basedOn w:val="Normal"/>
    <w:link w:val="TextoindependienteCar"/>
    <w:uiPriority w:val="1"/>
    <w:qFormat/>
    <w:rsid w:val="00AC6D81"/>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C6D81"/>
    <w:rPr>
      <w:rFonts w:ascii="Arial" w:eastAsia="Arial" w:hAnsi="Arial" w:cs="Arial"/>
      <w:lang w:val="es-ES"/>
    </w:rPr>
  </w:style>
  <w:style w:type="character" w:styleId="Textoennegrita">
    <w:name w:val="Strong"/>
    <w:basedOn w:val="Fuentedeprrafopredeter"/>
    <w:uiPriority w:val="22"/>
    <w:qFormat/>
    <w:rsid w:val="00097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39053">
      <w:bodyDiv w:val="1"/>
      <w:marLeft w:val="0"/>
      <w:marRight w:val="0"/>
      <w:marTop w:val="0"/>
      <w:marBottom w:val="0"/>
      <w:divBdr>
        <w:top w:val="none" w:sz="0" w:space="0" w:color="auto"/>
        <w:left w:val="none" w:sz="0" w:space="0" w:color="auto"/>
        <w:bottom w:val="none" w:sz="0" w:space="0" w:color="auto"/>
        <w:right w:val="none" w:sz="0" w:space="0" w:color="auto"/>
      </w:divBdr>
    </w:div>
    <w:div w:id="208225196">
      <w:bodyDiv w:val="1"/>
      <w:marLeft w:val="0"/>
      <w:marRight w:val="0"/>
      <w:marTop w:val="0"/>
      <w:marBottom w:val="0"/>
      <w:divBdr>
        <w:top w:val="none" w:sz="0" w:space="0" w:color="auto"/>
        <w:left w:val="none" w:sz="0" w:space="0" w:color="auto"/>
        <w:bottom w:val="none" w:sz="0" w:space="0" w:color="auto"/>
        <w:right w:val="none" w:sz="0" w:space="0" w:color="auto"/>
      </w:divBdr>
      <w:divsChild>
        <w:div w:id="119497708">
          <w:marLeft w:val="0"/>
          <w:marRight w:val="0"/>
          <w:marTop w:val="0"/>
          <w:marBottom w:val="0"/>
          <w:divBdr>
            <w:top w:val="none" w:sz="0" w:space="0" w:color="auto"/>
            <w:left w:val="none" w:sz="0" w:space="0" w:color="auto"/>
            <w:bottom w:val="none" w:sz="0" w:space="0" w:color="auto"/>
            <w:right w:val="none" w:sz="0" w:space="0" w:color="auto"/>
          </w:divBdr>
          <w:divsChild>
            <w:div w:id="913777326">
              <w:marLeft w:val="0"/>
              <w:marRight w:val="0"/>
              <w:marTop w:val="0"/>
              <w:marBottom w:val="0"/>
              <w:divBdr>
                <w:top w:val="none" w:sz="0" w:space="0" w:color="auto"/>
                <w:left w:val="none" w:sz="0" w:space="0" w:color="auto"/>
                <w:bottom w:val="none" w:sz="0" w:space="0" w:color="auto"/>
                <w:right w:val="none" w:sz="0" w:space="0" w:color="auto"/>
              </w:divBdr>
              <w:divsChild>
                <w:div w:id="807865993">
                  <w:marLeft w:val="0"/>
                  <w:marRight w:val="0"/>
                  <w:marTop w:val="0"/>
                  <w:marBottom w:val="0"/>
                  <w:divBdr>
                    <w:top w:val="none" w:sz="0" w:space="0" w:color="auto"/>
                    <w:left w:val="none" w:sz="0" w:space="0" w:color="auto"/>
                    <w:bottom w:val="none" w:sz="0" w:space="0" w:color="auto"/>
                    <w:right w:val="none" w:sz="0" w:space="0" w:color="auto"/>
                  </w:divBdr>
                  <w:divsChild>
                    <w:div w:id="12582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3268">
      <w:bodyDiv w:val="1"/>
      <w:marLeft w:val="0"/>
      <w:marRight w:val="0"/>
      <w:marTop w:val="0"/>
      <w:marBottom w:val="0"/>
      <w:divBdr>
        <w:top w:val="none" w:sz="0" w:space="0" w:color="auto"/>
        <w:left w:val="none" w:sz="0" w:space="0" w:color="auto"/>
        <w:bottom w:val="none" w:sz="0" w:space="0" w:color="auto"/>
        <w:right w:val="none" w:sz="0" w:space="0" w:color="auto"/>
      </w:divBdr>
      <w:divsChild>
        <w:div w:id="840853497">
          <w:marLeft w:val="0"/>
          <w:marRight w:val="0"/>
          <w:marTop w:val="0"/>
          <w:marBottom w:val="0"/>
          <w:divBdr>
            <w:top w:val="none" w:sz="0" w:space="0" w:color="auto"/>
            <w:left w:val="none" w:sz="0" w:space="0" w:color="auto"/>
            <w:bottom w:val="none" w:sz="0" w:space="0" w:color="auto"/>
            <w:right w:val="none" w:sz="0" w:space="0" w:color="auto"/>
          </w:divBdr>
        </w:div>
        <w:div w:id="1928339679">
          <w:marLeft w:val="0"/>
          <w:marRight w:val="0"/>
          <w:marTop w:val="0"/>
          <w:marBottom w:val="0"/>
          <w:divBdr>
            <w:top w:val="none" w:sz="0" w:space="0" w:color="auto"/>
            <w:left w:val="none" w:sz="0" w:space="0" w:color="auto"/>
            <w:bottom w:val="none" w:sz="0" w:space="0" w:color="auto"/>
            <w:right w:val="none" w:sz="0" w:space="0" w:color="auto"/>
          </w:divBdr>
        </w:div>
        <w:div w:id="346293838">
          <w:marLeft w:val="0"/>
          <w:marRight w:val="0"/>
          <w:marTop w:val="0"/>
          <w:marBottom w:val="0"/>
          <w:divBdr>
            <w:top w:val="none" w:sz="0" w:space="0" w:color="auto"/>
            <w:left w:val="none" w:sz="0" w:space="0" w:color="auto"/>
            <w:bottom w:val="none" w:sz="0" w:space="0" w:color="auto"/>
            <w:right w:val="none" w:sz="0" w:space="0" w:color="auto"/>
          </w:divBdr>
        </w:div>
        <w:div w:id="1822036066">
          <w:marLeft w:val="0"/>
          <w:marRight w:val="0"/>
          <w:marTop w:val="0"/>
          <w:marBottom w:val="0"/>
          <w:divBdr>
            <w:top w:val="none" w:sz="0" w:space="0" w:color="auto"/>
            <w:left w:val="none" w:sz="0" w:space="0" w:color="auto"/>
            <w:bottom w:val="none" w:sz="0" w:space="0" w:color="auto"/>
            <w:right w:val="none" w:sz="0" w:space="0" w:color="auto"/>
          </w:divBdr>
        </w:div>
      </w:divsChild>
    </w:div>
    <w:div w:id="370375551">
      <w:bodyDiv w:val="1"/>
      <w:marLeft w:val="0"/>
      <w:marRight w:val="0"/>
      <w:marTop w:val="0"/>
      <w:marBottom w:val="0"/>
      <w:divBdr>
        <w:top w:val="none" w:sz="0" w:space="0" w:color="auto"/>
        <w:left w:val="none" w:sz="0" w:space="0" w:color="auto"/>
        <w:bottom w:val="none" w:sz="0" w:space="0" w:color="auto"/>
        <w:right w:val="none" w:sz="0" w:space="0" w:color="auto"/>
      </w:divBdr>
      <w:divsChild>
        <w:div w:id="241450281">
          <w:marLeft w:val="0"/>
          <w:marRight w:val="0"/>
          <w:marTop w:val="0"/>
          <w:marBottom w:val="0"/>
          <w:divBdr>
            <w:top w:val="none" w:sz="0" w:space="0" w:color="auto"/>
            <w:left w:val="none" w:sz="0" w:space="0" w:color="auto"/>
            <w:bottom w:val="none" w:sz="0" w:space="0" w:color="auto"/>
            <w:right w:val="none" w:sz="0" w:space="0" w:color="auto"/>
          </w:divBdr>
        </w:div>
        <w:div w:id="1475099003">
          <w:marLeft w:val="0"/>
          <w:marRight w:val="0"/>
          <w:marTop w:val="0"/>
          <w:marBottom w:val="0"/>
          <w:divBdr>
            <w:top w:val="none" w:sz="0" w:space="0" w:color="auto"/>
            <w:left w:val="none" w:sz="0" w:space="0" w:color="auto"/>
            <w:bottom w:val="none" w:sz="0" w:space="0" w:color="auto"/>
            <w:right w:val="none" w:sz="0" w:space="0" w:color="auto"/>
          </w:divBdr>
        </w:div>
        <w:div w:id="765808791">
          <w:marLeft w:val="0"/>
          <w:marRight w:val="0"/>
          <w:marTop w:val="0"/>
          <w:marBottom w:val="0"/>
          <w:divBdr>
            <w:top w:val="none" w:sz="0" w:space="0" w:color="auto"/>
            <w:left w:val="none" w:sz="0" w:space="0" w:color="auto"/>
            <w:bottom w:val="none" w:sz="0" w:space="0" w:color="auto"/>
            <w:right w:val="none" w:sz="0" w:space="0" w:color="auto"/>
          </w:divBdr>
        </w:div>
        <w:div w:id="1135638293">
          <w:marLeft w:val="0"/>
          <w:marRight w:val="0"/>
          <w:marTop w:val="0"/>
          <w:marBottom w:val="0"/>
          <w:divBdr>
            <w:top w:val="none" w:sz="0" w:space="0" w:color="auto"/>
            <w:left w:val="none" w:sz="0" w:space="0" w:color="auto"/>
            <w:bottom w:val="none" w:sz="0" w:space="0" w:color="auto"/>
            <w:right w:val="none" w:sz="0" w:space="0" w:color="auto"/>
          </w:divBdr>
        </w:div>
      </w:divsChild>
    </w:div>
    <w:div w:id="57351005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42798910">
      <w:bodyDiv w:val="1"/>
      <w:marLeft w:val="0"/>
      <w:marRight w:val="0"/>
      <w:marTop w:val="0"/>
      <w:marBottom w:val="0"/>
      <w:divBdr>
        <w:top w:val="none" w:sz="0" w:space="0" w:color="auto"/>
        <w:left w:val="none" w:sz="0" w:space="0" w:color="auto"/>
        <w:bottom w:val="none" w:sz="0" w:space="0" w:color="auto"/>
        <w:right w:val="none" w:sz="0" w:space="0" w:color="auto"/>
      </w:divBdr>
      <w:divsChild>
        <w:div w:id="1154876851">
          <w:marLeft w:val="0"/>
          <w:marRight w:val="0"/>
          <w:marTop w:val="0"/>
          <w:marBottom w:val="0"/>
          <w:divBdr>
            <w:top w:val="none" w:sz="0" w:space="0" w:color="auto"/>
            <w:left w:val="none" w:sz="0" w:space="0" w:color="auto"/>
            <w:bottom w:val="none" w:sz="0" w:space="0" w:color="auto"/>
            <w:right w:val="none" w:sz="0" w:space="0" w:color="auto"/>
          </w:divBdr>
          <w:divsChild>
            <w:div w:id="679042276">
              <w:marLeft w:val="0"/>
              <w:marRight w:val="0"/>
              <w:marTop w:val="0"/>
              <w:marBottom w:val="0"/>
              <w:divBdr>
                <w:top w:val="none" w:sz="0" w:space="0" w:color="auto"/>
                <w:left w:val="none" w:sz="0" w:space="0" w:color="auto"/>
                <w:bottom w:val="none" w:sz="0" w:space="0" w:color="auto"/>
                <w:right w:val="none" w:sz="0" w:space="0" w:color="auto"/>
              </w:divBdr>
              <w:divsChild>
                <w:div w:id="13968905">
                  <w:marLeft w:val="0"/>
                  <w:marRight w:val="0"/>
                  <w:marTop w:val="0"/>
                  <w:marBottom w:val="0"/>
                  <w:divBdr>
                    <w:top w:val="none" w:sz="0" w:space="0" w:color="auto"/>
                    <w:left w:val="none" w:sz="0" w:space="0" w:color="auto"/>
                    <w:bottom w:val="none" w:sz="0" w:space="0" w:color="auto"/>
                    <w:right w:val="none" w:sz="0" w:space="0" w:color="auto"/>
                  </w:divBdr>
                  <w:divsChild>
                    <w:div w:id="773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0172">
      <w:bodyDiv w:val="1"/>
      <w:marLeft w:val="0"/>
      <w:marRight w:val="0"/>
      <w:marTop w:val="0"/>
      <w:marBottom w:val="0"/>
      <w:divBdr>
        <w:top w:val="none" w:sz="0" w:space="0" w:color="auto"/>
        <w:left w:val="none" w:sz="0" w:space="0" w:color="auto"/>
        <w:bottom w:val="none" w:sz="0" w:space="0" w:color="auto"/>
        <w:right w:val="none" w:sz="0" w:space="0" w:color="auto"/>
      </w:divBdr>
      <w:divsChild>
        <w:div w:id="2054504517">
          <w:marLeft w:val="0"/>
          <w:marRight w:val="0"/>
          <w:marTop w:val="0"/>
          <w:marBottom w:val="160"/>
          <w:divBdr>
            <w:top w:val="none" w:sz="0" w:space="0" w:color="auto"/>
            <w:left w:val="none" w:sz="0" w:space="0" w:color="auto"/>
            <w:bottom w:val="none" w:sz="0" w:space="0" w:color="auto"/>
            <w:right w:val="none" w:sz="0" w:space="0" w:color="auto"/>
          </w:divBdr>
        </w:div>
        <w:div w:id="911425749">
          <w:marLeft w:val="0"/>
          <w:marRight w:val="0"/>
          <w:marTop w:val="0"/>
          <w:marBottom w:val="0"/>
          <w:divBdr>
            <w:top w:val="none" w:sz="0" w:space="0" w:color="auto"/>
            <w:left w:val="none" w:sz="0" w:space="0" w:color="auto"/>
            <w:bottom w:val="none" w:sz="0" w:space="0" w:color="auto"/>
            <w:right w:val="none" w:sz="0" w:space="0" w:color="auto"/>
          </w:divBdr>
        </w:div>
        <w:div w:id="897548081">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04393657">
      <w:bodyDiv w:val="1"/>
      <w:marLeft w:val="0"/>
      <w:marRight w:val="0"/>
      <w:marTop w:val="0"/>
      <w:marBottom w:val="0"/>
      <w:divBdr>
        <w:top w:val="none" w:sz="0" w:space="0" w:color="auto"/>
        <w:left w:val="none" w:sz="0" w:space="0" w:color="auto"/>
        <w:bottom w:val="none" w:sz="0" w:space="0" w:color="auto"/>
        <w:right w:val="none" w:sz="0" w:space="0" w:color="auto"/>
      </w:divBdr>
      <w:divsChild>
        <w:div w:id="1276249100">
          <w:marLeft w:val="0"/>
          <w:marRight w:val="0"/>
          <w:marTop w:val="0"/>
          <w:marBottom w:val="0"/>
          <w:divBdr>
            <w:top w:val="none" w:sz="0" w:space="0" w:color="auto"/>
            <w:left w:val="none" w:sz="0" w:space="0" w:color="auto"/>
            <w:bottom w:val="none" w:sz="0" w:space="0" w:color="auto"/>
            <w:right w:val="none" w:sz="0" w:space="0" w:color="auto"/>
          </w:divBdr>
        </w:div>
        <w:div w:id="1091701865">
          <w:marLeft w:val="0"/>
          <w:marRight w:val="0"/>
          <w:marTop w:val="0"/>
          <w:marBottom w:val="0"/>
          <w:divBdr>
            <w:top w:val="none" w:sz="0" w:space="0" w:color="auto"/>
            <w:left w:val="none" w:sz="0" w:space="0" w:color="auto"/>
            <w:bottom w:val="none" w:sz="0" w:space="0" w:color="auto"/>
            <w:right w:val="none" w:sz="0" w:space="0" w:color="auto"/>
          </w:divBdr>
        </w:div>
        <w:div w:id="442312089">
          <w:marLeft w:val="0"/>
          <w:marRight w:val="0"/>
          <w:marTop w:val="0"/>
          <w:marBottom w:val="0"/>
          <w:divBdr>
            <w:top w:val="none" w:sz="0" w:space="0" w:color="auto"/>
            <w:left w:val="none" w:sz="0" w:space="0" w:color="auto"/>
            <w:bottom w:val="none" w:sz="0" w:space="0" w:color="auto"/>
            <w:right w:val="none" w:sz="0" w:space="0" w:color="auto"/>
          </w:divBdr>
        </w:div>
        <w:div w:id="1755009491">
          <w:marLeft w:val="0"/>
          <w:marRight w:val="0"/>
          <w:marTop w:val="0"/>
          <w:marBottom w:val="0"/>
          <w:divBdr>
            <w:top w:val="none" w:sz="0" w:space="0" w:color="auto"/>
            <w:left w:val="none" w:sz="0" w:space="0" w:color="auto"/>
            <w:bottom w:val="none" w:sz="0" w:space="0" w:color="auto"/>
            <w:right w:val="none" w:sz="0" w:space="0" w:color="auto"/>
          </w:divBdr>
        </w:div>
      </w:divsChild>
    </w:div>
    <w:div w:id="929384967">
      <w:bodyDiv w:val="1"/>
      <w:marLeft w:val="0"/>
      <w:marRight w:val="0"/>
      <w:marTop w:val="0"/>
      <w:marBottom w:val="0"/>
      <w:divBdr>
        <w:top w:val="none" w:sz="0" w:space="0" w:color="auto"/>
        <w:left w:val="none" w:sz="0" w:space="0" w:color="auto"/>
        <w:bottom w:val="none" w:sz="0" w:space="0" w:color="auto"/>
        <w:right w:val="none" w:sz="0" w:space="0" w:color="auto"/>
      </w:divBdr>
      <w:divsChild>
        <w:div w:id="260912999">
          <w:marLeft w:val="0"/>
          <w:marRight w:val="0"/>
          <w:marTop w:val="0"/>
          <w:marBottom w:val="0"/>
          <w:divBdr>
            <w:top w:val="none" w:sz="0" w:space="0" w:color="auto"/>
            <w:left w:val="none" w:sz="0" w:space="0" w:color="auto"/>
            <w:bottom w:val="none" w:sz="0" w:space="0" w:color="auto"/>
            <w:right w:val="none" w:sz="0" w:space="0" w:color="auto"/>
          </w:divBdr>
        </w:div>
        <w:div w:id="218784920">
          <w:marLeft w:val="0"/>
          <w:marRight w:val="0"/>
          <w:marTop w:val="0"/>
          <w:marBottom w:val="0"/>
          <w:divBdr>
            <w:top w:val="none" w:sz="0" w:space="0" w:color="auto"/>
            <w:left w:val="none" w:sz="0" w:space="0" w:color="auto"/>
            <w:bottom w:val="none" w:sz="0" w:space="0" w:color="auto"/>
            <w:right w:val="none" w:sz="0" w:space="0" w:color="auto"/>
          </w:divBdr>
        </w:div>
        <w:div w:id="1231035548">
          <w:marLeft w:val="0"/>
          <w:marRight w:val="0"/>
          <w:marTop w:val="0"/>
          <w:marBottom w:val="0"/>
          <w:divBdr>
            <w:top w:val="none" w:sz="0" w:space="0" w:color="auto"/>
            <w:left w:val="none" w:sz="0" w:space="0" w:color="auto"/>
            <w:bottom w:val="none" w:sz="0" w:space="0" w:color="auto"/>
            <w:right w:val="none" w:sz="0" w:space="0" w:color="auto"/>
          </w:divBdr>
        </w:div>
        <w:div w:id="659503123">
          <w:marLeft w:val="0"/>
          <w:marRight w:val="0"/>
          <w:marTop w:val="0"/>
          <w:marBottom w:val="0"/>
          <w:divBdr>
            <w:top w:val="none" w:sz="0" w:space="0" w:color="auto"/>
            <w:left w:val="none" w:sz="0" w:space="0" w:color="auto"/>
            <w:bottom w:val="none" w:sz="0" w:space="0" w:color="auto"/>
            <w:right w:val="none" w:sz="0" w:space="0" w:color="auto"/>
          </w:divBdr>
        </w:div>
      </w:divsChild>
    </w:div>
    <w:div w:id="1015569136">
      <w:bodyDiv w:val="1"/>
      <w:marLeft w:val="0"/>
      <w:marRight w:val="0"/>
      <w:marTop w:val="0"/>
      <w:marBottom w:val="0"/>
      <w:divBdr>
        <w:top w:val="none" w:sz="0" w:space="0" w:color="auto"/>
        <w:left w:val="none" w:sz="0" w:space="0" w:color="auto"/>
        <w:bottom w:val="none" w:sz="0" w:space="0" w:color="auto"/>
        <w:right w:val="none" w:sz="0" w:space="0" w:color="auto"/>
      </w:divBdr>
      <w:divsChild>
        <w:div w:id="547566821">
          <w:marLeft w:val="0"/>
          <w:marRight w:val="0"/>
          <w:marTop w:val="0"/>
          <w:marBottom w:val="0"/>
          <w:divBdr>
            <w:top w:val="none" w:sz="0" w:space="0" w:color="auto"/>
            <w:left w:val="none" w:sz="0" w:space="0" w:color="auto"/>
            <w:bottom w:val="none" w:sz="0" w:space="0" w:color="auto"/>
            <w:right w:val="none" w:sz="0" w:space="0" w:color="auto"/>
          </w:divBdr>
          <w:divsChild>
            <w:div w:id="2146308064">
              <w:marLeft w:val="0"/>
              <w:marRight w:val="0"/>
              <w:marTop w:val="0"/>
              <w:marBottom w:val="0"/>
              <w:divBdr>
                <w:top w:val="none" w:sz="0" w:space="0" w:color="auto"/>
                <w:left w:val="none" w:sz="0" w:space="0" w:color="auto"/>
                <w:bottom w:val="none" w:sz="0" w:space="0" w:color="auto"/>
                <w:right w:val="none" w:sz="0" w:space="0" w:color="auto"/>
              </w:divBdr>
              <w:divsChild>
                <w:div w:id="2040275850">
                  <w:marLeft w:val="0"/>
                  <w:marRight w:val="0"/>
                  <w:marTop w:val="0"/>
                  <w:marBottom w:val="0"/>
                  <w:divBdr>
                    <w:top w:val="none" w:sz="0" w:space="0" w:color="auto"/>
                    <w:left w:val="none" w:sz="0" w:space="0" w:color="auto"/>
                    <w:bottom w:val="none" w:sz="0" w:space="0" w:color="auto"/>
                    <w:right w:val="none" w:sz="0" w:space="0" w:color="auto"/>
                  </w:divBdr>
                  <w:divsChild>
                    <w:div w:id="2958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50199651">
      <w:bodyDiv w:val="1"/>
      <w:marLeft w:val="0"/>
      <w:marRight w:val="0"/>
      <w:marTop w:val="0"/>
      <w:marBottom w:val="0"/>
      <w:divBdr>
        <w:top w:val="none" w:sz="0" w:space="0" w:color="auto"/>
        <w:left w:val="none" w:sz="0" w:space="0" w:color="auto"/>
        <w:bottom w:val="none" w:sz="0" w:space="0" w:color="auto"/>
        <w:right w:val="none" w:sz="0" w:space="0" w:color="auto"/>
      </w:divBdr>
      <w:divsChild>
        <w:div w:id="1527018456">
          <w:marLeft w:val="0"/>
          <w:marRight w:val="0"/>
          <w:marTop w:val="0"/>
          <w:marBottom w:val="0"/>
          <w:divBdr>
            <w:top w:val="none" w:sz="0" w:space="0" w:color="auto"/>
            <w:left w:val="none" w:sz="0" w:space="0" w:color="auto"/>
            <w:bottom w:val="none" w:sz="0" w:space="0" w:color="auto"/>
            <w:right w:val="none" w:sz="0" w:space="0" w:color="auto"/>
          </w:divBdr>
          <w:divsChild>
            <w:div w:id="1270167164">
              <w:marLeft w:val="0"/>
              <w:marRight w:val="0"/>
              <w:marTop w:val="0"/>
              <w:marBottom w:val="0"/>
              <w:divBdr>
                <w:top w:val="none" w:sz="0" w:space="0" w:color="auto"/>
                <w:left w:val="none" w:sz="0" w:space="0" w:color="auto"/>
                <w:bottom w:val="none" w:sz="0" w:space="0" w:color="auto"/>
                <w:right w:val="none" w:sz="0" w:space="0" w:color="auto"/>
              </w:divBdr>
              <w:divsChild>
                <w:div w:id="1195967103">
                  <w:marLeft w:val="0"/>
                  <w:marRight w:val="0"/>
                  <w:marTop w:val="0"/>
                  <w:marBottom w:val="0"/>
                  <w:divBdr>
                    <w:top w:val="none" w:sz="0" w:space="0" w:color="auto"/>
                    <w:left w:val="none" w:sz="0" w:space="0" w:color="auto"/>
                    <w:bottom w:val="none" w:sz="0" w:space="0" w:color="auto"/>
                    <w:right w:val="none" w:sz="0" w:space="0" w:color="auto"/>
                  </w:divBdr>
                  <w:divsChild>
                    <w:div w:id="19864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5354">
      <w:bodyDiv w:val="1"/>
      <w:marLeft w:val="0"/>
      <w:marRight w:val="0"/>
      <w:marTop w:val="0"/>
      <w:marBottom w:val="0"/>
      <w:divBdr>
        <w:top w:val="none" w:sz="0" w:space="0" w:color="auto"/>
        <w:left w:val="none" w:sz="0" w:space="0" w:color="auto"/>
        <w:bottom w:val="none" w:sz="0" w:space="0" w:color="auto"/>
        <w:right w:val="none" w:sz="0" w:space="0" w:color="auto"/>
      </w:divBdr>
    </w:div>
    <w:div w:id="1614510543">
      <w:bodyDiv w:val="1"/>
      <w:marLeft w:val="0"/>
      <w:marRight w:val="0"/>
      <w:marTop w:val="0"/>
      <w:marBottom w:val="0"/>
      <w:divBdr>
        <w:top w:val="none" w:sz="0" w:space="0" w:color="auto"/>
        <w:left w:val="none" w:sz="0" w:space="0" w:color="auto"/>
        <w:bottom w:val="none" w:sz="0" w:space="0" w:color="auto"/>
        <w:right w:val="none" w:sz="0" w:space="0" w:color="auto"/>
      </w:divBdr>
      <w:divsChild>
        <w:div w:id="1587377308">
          <w:marLeft w:val="0"/>
          <w:marRight w:val="0"/>
          <w:marTop w:val="0"/>
          <w:marBottom w:val="150"/>
          <w:divBdr>
            <w:top w:val="none" w:sz="0" w:space="0" w:color="auto"/>
            <w:left w:val="none" w:sz="0" w:space="0" w:color="auto"/>
            <w:bottom w:val="none" w:sz="0" w:space="0" w:color="auto"/>
            <w:right w:val="none" w:sz="0" w:space="0" w:color="auto"/>
          </w:divBdr>
          <w:divsChild>
            <w:div w:id="1792355120">
              <w:marLeft w:val="0"/>
              <w:marRight w:val="0"/>
              <w:marTop w:val="0"/>
              <w:marBottom w:val="0"/>
              <w:divBdr>
                <w:top w:val="none" w:sz="0" w:space="0" w:color="auto"/>
                <w:left w:val="none" w:sz="0" w:space="0" w:color="auto"/>
                <w:bottom w:val="none" w:sz="0" w:space="0" w:color="auto"/>
                <w:right w:val="none" w:sz="0" w:space="0" w:color="auto"/>
              </w:divBdr>
            </w:div>
          </w:divsChild>
        </w:div>
        <w:div w:id="1659729356">
          <w:marLeft w:val="0"/>
          <w:marRight w:val="0"/>
          <w:marTop w:val="0"/>
          <w:marBottom w:val="150"/>
          <w:divBdr>
            <w:top w:val="none" w:sz="0" w:space="0" w:color="auto"/>
            <w:left w:val="none" w:sz="0" w:space="0" w:color="auto"/>
            <w:bottom w:val="none" w:sz="0" w:space="0" w:color="auto"/>
            <w:right w:val="none" w:sz="0" w:space="0" w:color="auto"/>
          </w:divBdr>
          <w:divsChild>
            <w:div w:id="847713067">
              <w:marLeft w:val="0"/>
              <w:marRight w:val="0"/>
              <w:marTop w:val="0"/>
              <w:marBottom w:val="0"/>
              <w:divBdr>
                <w:top w:val="none" w:sz="0" w:space="0" w:color="auto"/>
                <w:left w:val="none" w:sz="0" w:space="0" w:color="auto"/>
                <w:bottom w:val="none" w:sz="0" w:space="0" w:color="auto"/>
                <w:right w:val="none" w:sz="0" w:space="0" w:color="auto"/>
              </w:divBdr>
            </w:div>
          </w:divsChild>
        </w:div>
        <w:div w:id="316032651">
          <w:marLeft w:val="0"/>
          <w:marRight w:val="0"/>
          <w:marTop w:val="0"/>
          <w:marBottom w:val="150"/>
          <w:divBdr>
            <w:top w:val="none" w:sz="0" w:space="0" w:color="auto"/>
            <w:left w:val="none" w:sz="0" w:space="0" w:color="auto"/>
            <w:bottom w:val="none" w:sz="0" w:space="0" w:color="auto"/>
            <w:right w:val="none" w:sz="0" w:space="0" w:color="auto"/>
          </w:divBdr>
          <w:divsChild>
            <w:div w:id="839539979">
              <w:marLeft w:val="0"/>
              <w:marRight w:val="0"/>
              <w:marTop w:val="0"/>
              <w:marBottom w:val="0"/>
              <w:divBdr>
                <w:top w:val="none" w:sz="0" w:space="0" w:color="auto"/>
                <w:left w:val="none" w:sz="0" w:space="0" w:color="auto"/>
                <w:bottom w:val="none" w:sz="0" w:space="0" w:color="auto"/>
                <w:right w:val="none" w:sz="0" w:space="0" w:color="auto"/>
              </w:divBdr>
            </w:div>
          </w:divsChild>
        </w:div>
        <w:div w:id="1399091771">
          <w:marLeft w:val="0"/>
          <w:marRight w:val="0"/>
          <w:marTop w:val="0"/>
          <w:marBottom w:val="150"/>
          <w:divBdr>
            <w:top w:val="none" w:sz="0" w:space="0" w:color="auto"/>
            <w:left w:val="none" w:sz="0" w:space="0" w:color="auto"/>
            <w:bottom w:val="none" w:sz="0" w:space="0" w:color="auto"/>
            <w:right w:val="none" w:sz="0" w:space="0" w:color="auto"/>
          </w:divBdr>
          <w:divsChild>
            <w:div w:id="1916745691">
              <w:marLeft w:val="0"/>
              <w:marRight w:val="0"/>
              <w:marTop w:val="0"/>
              <w:marBottom w:val="0"/>
              <w:divBdr>
                <w:top w:val="none" w:sz="0" w:space="0" w:color="auto"/>
                <w:left w:val="none" w:sz="0" w:space="0" w:color="auto"/>
                <w:bottom w:val="none" w:sz="0" w:space="0" w:color="auto"/>
                <w:right w:val="none" w:sz="0" w:space="0" w:color="auto"/>
              </w:divBdr>
            </w:div>
          </w:divsChild>
        </w:div>
        <w:div w:id="92019326">
          <w:marLeft w:val="0"/>
          <w:marRight w:val="0"/>
          <w:marTop w:val="0"/>
          <w:marBottom w:val="150"/>
          <w:divBdr>
            <w:top w:val="none" w:sz="0" w:space="0" w:color="auto"/>
            <w:left w:val="none" w:sz="0" w:space="0" w:color="auto"/>
            <w:bottom w:val="none" w:sz="0" w:space="0" w:color="auto"/>
            <w:right w:val="none" w:sz="0" w:space="0" w:color="auto"/>
          </w:divBdr>
          <w:divsChild>
            <w:div w:id="1893803918">
              <w:marLeft w:val="0"/>
              <w:marRight w:val="0"/>
              <w:marTop w:val="0"/>
              <w:marBottom w:val="0"/>
              <w:divBdr>
                <w:top w:val="none" w:sz="0" w:space="0" w:color="auto"/>
                <w:left w:val="none" w:sz="0" w:space="0" w:color="auto"/>
                <w:bottom w:val="none" w:sz="0" w:space="0" w:color="auto"/>
                <w:right w:val="none" w:sz="0" w:space="0" w:color="auto"/>
              </w:divBdr>
            </w:div>
          </w:divsChild>
        </w:div>
        <w:div w:id="781648615">
          <w:marLeft w:val="0"/>
          <w:marRight w:val="0"/>
          <w:marTop w:val="0"/>
          <w:marBottom w:val="150"/>
          <w:divBdr>
            <w:top w:val="none" w:sz="0" w:space="0" w:color="auto"/>
            <w:left w:val="none" w:sz="0" w:space="0" w:color="auto"/>
            <w:bottom w:val="none" w:sz="0" w:space="0" w:color="auto"/>
            <w:right w:val="none" w:sz="0" w:space="0" w:color="auto"/>
          </w:divBdr>
          <w:divsChild>
            <w:div w:id="17772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177">
      <w:bodyDiv w:val="1"/>
      <w:marLeft w:val="0"/>
      <w:marRight w:val="0"/>
      <w:marTop w:val="0"/>
      <w:marBottom w:val="0"/>
      <w:divBdr>
        <w:top w:val="none" w:sz="0" w:space="0" w:color="auto"/>
        <w:left w:val="none" w:sz="0" w:space="0" w:color="auto"/>
        <w:bottom w:val="none" w:sz="0" w:space="0" w:color="auto"/>
        <w:right w:val="none" w:sz="0" w:space="0" w:color="auto"/>
      </w:divBdr>
    </w:div>
    <w:div w:id="1788038545">
      <w:bodyDiv w:val="1"/>
      <w:marLeft w:val="0"/>
      <w:marRight w:val="0"/>
      <w:marTop w:val="0"/>
      <w:marBottom w:val="0"/>
      <w:divBdr>
        <w:top w:val="none" w:sz="0" w:space="0" w:color="auto"/>
        <w:left w:val="none" w:sz="0" w:space="0" w:color="auto"/>
        <w:bottom w:val="none" w:sz="0" w:space="0" w:color="auto"/>
        <w:right w:val="none" w:sz="0" w:space="0" w:color="auto"/>
      </w:divBdr>
      <w:divsChild>
        <w:div w:id="1489592236">
          <w:marLeft w:val="0"/>
          <w:marRight w:val="0"/>
          <w:marTop w:val="0"/>
          <w:marBottom w:val="0"/>
          <w:divBdr>
            <w:top w:val="none" w:sz="0" w:space="0" w:color="auto"/>
            <w:left w:val="none" w:sz="0" w:space="0" w:color="auto"/>
            <w:bottom w:val="none" w:sz="0" w:space="0" w:color="auto"/>
            <w:right w:val="none" w:sz="0" w:space="0" w:color="auto"/>
          </w:divBdr>
        </w:div>
      </w:divsChild>
    </w:div>
    <w:div w:id="1947927695">
      <w:bodyDiv w:val="1"/>
      <w:marLeft w:val="0"/>
      <w:marRight w:val="0"/>
      <w:marTop w:val="0"/>
      <w:marBottom w:val="0"/>
      <w:divBdr>
        <w:top w:val="none" w:sz="0" w:space="0" w:color="auto"/>
        <w:left w:val="none" w:sz="0" w:space="0" w:color="auto"/>
        <w:bottom w:val="none" w:sz="0" w:space="0" w:color="auto"/>
        <w:right w:val="none" w:sz="0" w:space="0" w:color="auto"/>
      </w:divBdr>
      <w:divsChild>
        <w:div w:id="189222444">
          <w:marLeft w:val="0"/>
          <w:marRight w:val="0"/>
          <w:marTop w:val="0"/>
          <w:marBottom w:val="150"/>
          <w:divBdr>
            <w:top w:val="none" w:sz="0" w:space="0" w:color="auto"/>
            <w:left w:val="none" w:sz="0" w:space="0" w:color="auto"/>
            <w:bottom w:val="none" w:sz="0" w:space="0" w:color="auto"/>
            <w:right w:val="none" w:sz="0" w:space="0" w:color="auto"/>
          </w:divBdr>
          <w:divsChild>
            <w:div w:id="104230116">
              <w:marLeft w:val="0"/>
              <w:marRight w:val="0"/>
              <w:marTop w:val="0"/>
              <w:marBottom w:val="0"/>
              <w:divBdr>
                <w:top w:val="none" w:sz="0" w:space="0" w:color="auto"/>
                <w:left w:val="none" w:sz="0" w:space="0" w:color="auto"/>
                <w:bottom w:val="none" w:sz="0" w:space="0" w:color="auto"/>
                <w:right w:val="none" w:sz="0" w:space="0" w:color="auto"/>
              </w:divBdr>
            </w:div>
          </w:divsChild>
        </w:div>
        <w:div w:id="988634304">
          <w:marLeft w:val="0"/>
          <w:marRight w:val="0"/>
          <w:marTop w:val="0"/>
          <w:marBottom w:val="150"/>
          <w:divBdr>
            <w:top w:val="none" w:sz="0" w:space="0" w:color="auto"/>
            <w:left w:val="none" w:sz="0" w:space="0" w:color="auto"/>
            <w:bottom w:val="none" w:sz="0" w:space="0" w:color="auto"/>
            <w:right w:val="none" w:sz="0" w:space="0" w:color="auto"/>
          </w:divBdr>
          <w:divsChild>
            <w:div w:id="237710124">
              <w:marLeft w:val="0"/>
              <w:marRight w:val="0"/>
              <w:marTop w:val="0"/>
              <w:marBottom w:val="0"/>
              <w:divBdr>
                <w:top w:val="none" w:sz="0" w:space="0" w:color="auto"/>
                <w:left w:val="none" w:sz="0" w:space="0" w:color="auto"/>
                <w:bottom w:val="none" w:sz="0" w:space="0" w:color="auto"/>
                <w:right w:val="none" w:sz="0" w:space="0" w:color="auto"/>
              </w:divBdr>
            </w:div>
          </w:divsChild>
        </w:div>
        <w:div w:id="227305780">
          <w:marLeft w:val="0"/>
          <w:marRight w:val="0"/>
          <w:marTop w:val="0"/>
          <w:marBottom w:val="150"/>
          <w:divBdr>
            <w:top w:val="none" w:sz="0" w:space="0" w:color="auto"/>
            <w:left w:val="none" w:sz="0" w:space="0" w:color="auto"/>
            <w:bottom w:val="none" w:sz="0" w:space="0" w:color="auto"/>
            <w:right w:val="none" w:sz="0" w:space="0" w:color="auto"/>
          </w:divBdr>
          <w:divsChild>
            <w:div w:id="1619527978">
              <w:marLeft w:val="0"/>
              <w:marRight w:val="0"/>
              <w:marTop w:val="0"/>
              <w:marBottom w:val="0"/>
              <w:divBdr>
                <w:top w:val="none" w:sz="0" w:space="0" w:color="auto"/>
                <w:left w:val="none" w:sz="0" w:space="0" w:color="auto"/>
                <w:bottom w:val="none" w:sz="0" w:space="0" w:color="auto"/>
                <w:right w:val="none" w:sz="0" w:space="0" w:color="auto"/>
              </w:divBdr>
            </w:div>
          </w:divsChild>
        </w:div>
        <w:div w:id="1477452355">
          <w:marLeft w:val="0"/>
          <w:marRight w:val="0"/>
          <w:marTop w:val="0"/>
          <w:marBottom w:val="150"/>
          <w:divBdr>
            <w:top w:val="none" w:sz="0" w:space="0" w:color="auto"/>
            <w:left w:val="none" w:sz="0" w:space="0" w:color="auto"/>
            <w:bottom w:val="none" w:sz="0" w:space="0" w:color="auto"/>
            <w:right w:val="none" w:sz="0" w:space="0" w:color="auto"/>
          </w:divBdr>
          <w:divsChild>
            <w:div w:id="288626932">
              <w:marLeft w:val="0"/>
              <w:marRight w:val="0"/>
              <w:marTop w:val="0"/>
              <w:marBottom w:val="0"/>
              <w:divBdr>
                <w:top w:val="none" w:sz="0" w:space="0" w:color="auto"/>
                <w:left w:val="none" w:sz="0" w:space="0" w:color="auto"/>
                <w:bottom w:val="none" w:sz="0" w:space="0" w:color="auto"/>
                <w:right w:val="none" w:sz="0" w:space="0" w:color="auto"/>
              </w:divBdr>
            </w:div>
          </w:divsChild>
        </w:div>
        <w:div w:id="113639514">
          <w:marLeft w:val="0"/>
          <w:marRight w:val="0"/>
          <w:marTop w:val="0"/>
          <w:marBottom w:val="150"/>
          <w:divBdr>
            <w:top w:val="none" w:sz="0" w:space="0" w:color="auto"/>
            <w:left w:val="none" w:sz="0" w:space="0" w:color="auto"/>
            <w:bottom w:val="none" w:sz="0" w:space="0" w:color="auto"/>
            <w:right w:val="none" w:sz="0" w:space="0" w:color="auto"/>
          </w:divBdr>
          <w:divsChild>
            <w:div w:id="2081442995">
              <w:marLeft w:val="0"/>
              <w:marRight w:val="0"/>
              <w:marTop w:val="0"/>
              <w:marBottom w:val="0"/>
              <w:divBdr>
                <w:top w:val="none" w:sz="0" w:space="0" w:color="auto"/>
                <w:left w:val="none" w:sz="0" w:space="0" w:color="auto"/>
                <w:bottom w:val="none" w:sz="0" w:space="0" w:color="auto"/>
                <w:right w:val="none" w:sz="0" w:space="0" w:color="auto"/>
              </w:divBdr>
            </w:div>
          </w:divsChild>
        </w:div>
        <w:div w:id="1803963087">
          <w:marLeft w:val="0"/>
          <w:marRight w:val="0"/>
          <w:marTop w:val="0"/>
          <w:marBottom w:val="150"/>
          <w:divBdr>
            <w:top w:val="none" w:sz="0" w:space="0" w:color="auto"/>
            <w:left w:val="none" w:sz="0" w:space="0" w:color="auto"/>
            <w:bottom w:val="none" w:sz="0" w:space="0" w:color="auto"/>
            <w:right w:val="none" w:sz="0" w:space="0" w:color="auto"/>
          </w:divBdr>
          <w:divsChild>
            <w:div w:id="1044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1165">
      <w:bodyDiv w:val="1"/>
      <w:marLeft w:val="0"/>
      <w:marRight w:val="0"/>
      <w:marTop w:val="0"/>
      <w:marBottom w:val="0"/>
      <w:divBdr>
        <w:top w:val="none" w:sz="0" w:space="0" w:color="auto"/>
        <w:left w:val="none" w:sz="0" w:space="0" w:color="auto"/>
        <w:bottom w:val="none" w:sz="0" w:space="0" w:color="auto"/>
        <w:right w:val="none" w:sz="0" w:space="0" w:color="auto"/>
      </w:divBdr>
      <w:divsChild>
        <w:div w:id="1219631936">
          <w:marLeft w:val="0"/>
          <w:marRight w:val="0"/>
          <w:marTop w:val="0"/>
          <w:marBottom w:val="160"/>
          <w:divBdr>
            <w:top w:val="none" w:sz="0" w:space="0" w:color="auto"/>
            <w:left w:val="none" w:sz="0" w:space="0" w:color="auto"/>
            <w:bottom w:val="none" w:sz="0" w:space="0" w:color="auto"/>
            <w:right w:val="none" w:sz="0" w:space="0" w:color="auto"/>
          </w:divBdr>
        </w:div>
        <w:div w:id="561908193">
          <w:marLeft w:val="0"/>
          <w:marRight w:val="0"/>
          <w:marTop w:val="0"/>
          <w:marBottom w:val="0"/>
          <w:divBdr>
            <w:top w:val="none" w:sz="0" w:space="0" w:color="auto"/>
            <w:left w:val="none" w:sz="0" w:space="0" w:color="auto"/>
            <w:bottom w:val="none" w:sz="0" w:space="0" w:color="auto"/>
            <w:right w:val="none" w:sz="0" w:space="0" w:color="auto"/>
          </w:divBdr>
        </w:div>
        <w:div w:id="253516196">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decreto-1068-de-2015/" TargetMode="External"/><Relationship Id="rId18" Type="http://schemas.openxmlformats.org/officeDocument/2006/relationships/hyperlink" Target="https://nam02.safelinks.protection.outlook.com/?url=https%3A%2F%2Fwww.colombiacompra.gov.co%2Fcontent%2F02-documentos-tipo-para-los-procesos-de-seleccion-de-consultoria-de-obra-publica-de&amp;data=05%7C02%7Cgustavo.hinestroza%40colombiacompra.gov.co%7Cb18b651bca3a4eb8eab008dd269b400d%7C7b09041e245149d08cb179d5e3d8c1be%7C0%7C0%7C638709170415349526%7CUnknown%7CTWFpbGZsb3d8eyJFbXB0eU1hcGkiOnRydWUsIlYiOiIwLjAuMDAwMCIsIlAiOiJXaW4zMiIsIkFOIjoiTWFpbCIsIldUIjoyfQ%3D%3D%7C0%7C%7C%7C&amp;sdata=Wafva1jUYBs0RExqjLzzsgUNJOfl0o0pW8YRpra9Y38%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lcaldiabogota.gov.co/sisjur/normas/Norma1.jsp?i=124367" TargetMode="External"/><Relationship Id="rId17" Type="http://schemas.openxmlformats.org/officeDocument/2006/relationships/hyperlink" Target="https://nam02.safelinks.protection.outlook.com/?url=https%3A%2F%2Fwww.colombiacompra.gov.co%2Fcontent%2F03-documentos-tipo-para-los-procesos-de-seleccion-de-interventoria-de-obra-publica-de&amp;data=05%7C02%7Cgustavo.hinestroza%40colombiacompra.gov.co%7Cb18b651bca3a4eb8eab008dd269b400d%7C7b09041e245149d08cb179d5e3d8c1be%7C0%7C0%7C638709170415324798%7CUnknown%7CTWFpbGZsb3d8eyJFbXB0eU1hcGkiOnRydWUsIlYiOiIwLjAuMDAwMCIsIlAiOiJXaW4zMiIsIkFOIjoiTWFpbCIsIldUIjoyfQ%3D%3D%7C0%7C%7C%7C&amp;sdata=WP6Q0MNZveD9jX5eJ4GUi2pGzerfycSBvFEJQLfh%2FBU%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esancaex@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latoria.colombiacompra.gov.co/normativa/decreto-1082-de-2015/"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manuales-guias-y-pliegos-tipo%2Fmanuales-y-guias%2Fguia-de-contratacion-publica-sostenible-y-socialmente&amp;data=05%7C02%7Cgustavo.hinestroza%40colombiacompra.gov.co%7Cb18b651bca3a4eb8eab008dd269b400d%7C7b09041e245149d08cb179d5e3d8c1be%7C0%7C0%7C638709170415366439%7CUnknown%7CTWFpbGZsb3d8eyJFbXB0eU1hcGkiOnRydWUsIlYiOiIwLjAuMDAwMCIsIlAiOiJXaW4zMiIsIkFOIjoiTWFpbCIsIldUIjoyfQ%3D%3D%7C0%7C%7C%7C&amp;sdata=wYVokjYCzH%2F8r3psRdzY%2Fp6mJktONTGKqOSkSxpbih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1150-de-2007/"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purl.org/dc/terms/"/>
    <ds:schemaRef ds:uri="http://www.w3.org/XML/1998/namespace"/>
    <ds:schemaRef ds:uri="a6cb9e4b-f1d1-4245-83ec-6cad768d538a"/>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d85dbaf-23eb-4e57-a637-93dcacc8b1a1"/>
    <ds:schemaRef ds:uri="http://purl.org/dc/elements/1.1/"/>
  </ds:schemaRefs>
</ds:datastoreItem>
</file>

<file path=customXml/itemProps2.xml><?xml version="1.0" encoding="utf-8"?>
<ds:datastoreItem xmlns:ds="http://schemas.openxmlformats.org/officeDocument/2006/customXml" ds:itemID="{74DB61BF-6E77-496A-B1D5-ACCF01BB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17</Pages>
  <Words>5498</Words>
  <Characters>30244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2025-01-16T13:35:00Z</dcterms:created>
  <dcterms:modified xsi:type="dcterms:W3CDTF">2025-01-16T13:35:00Z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