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865D" w14:textId="49EEE747" w:rsidR="00EE25F7" w:rsidRDefault="0021312D" w:rsidP="00660E5B">
      <w:pPr>
        <w:spacing w:after="0" w:line="240" w:lineRule="auto"/>
        <w:jc w:val="both"/>
        <w:rPr>
          <w:rFonts w:ascii="Verdana" w:eastAsia="Geomanist Light" w:hAnsi="Verdana" w:cs="Arial"/>
          <w:lang w:val="es-ES_tradnl"/>
        </w:rPr>
      </w:pPr>
      <w:bookmarkStart w:id="0" w:name="_Hlk143780582"/>
      <w:bookmarkStart w:id="1" w:name="_Hlk184133772"/>
      <w:r>
        <w:rPr>
          <w:rFonts w:ascii="Verdana" w:eastAsia="Geomanist Light" w:hAnsi="Verdana" w:cs="Arial"/>
          <w:b/>
          <w:bCs/>
          <w:lang w:val="es-ES_tradnl"/>
        </w:rPr>
        <w:t xml:space="preserve"> </w:t>
      </w:r>
    </w:p>
    <w:p w14:paraId="463D5741" w14:textId="3017FCF1" w:rsidR="00EE25F7" w:rsidRDefault="00EE25F7" w:rsidP="00EE25F7">
      <w:pPr>
        <w:spacing w:after="0"/>
        <w:rPr>
          <w:rFonts w:ascii="Verdana" w:hAnsi="Verdana"/>
        </w:rPr>
      </w:pPr>
      <w:bookmarkStart w:id="2" w:name="_Hlk181166130"/>
      <w:r w:rsidRPr="0044528D">
        <w:rPr>
          <w:rFonts w:ascii="Verdana" w:hAnsi="Verdana"/>
        </w:rPr>
        <w:t xml:space="preserve">Bogotá D.C., </w:t>
      </w:r>
      <w:r w:rsidR="00660E5B">
        <w:rPr>
          <w:rFonts w:ascii="Verdana" w:hAnsi="Verdana"/>
        </w:rPr>
        <w:t>12 de diciembre de 2024</w:t>
      </w:r>
    </w:p>
    <w:bookmarkEnd w:id="2"/>
    <w:p w14:paraId="3A493EAB" w14:textId="77777777" w:rsidR="00EE25F7" w:rsidRDefault="00EE25F7" w:rsidP="00EE25F7">
      <w:pPr>
        <w:spacing w:after="0"/>
        <w:rPr>
          <w:rFonts w:ascii="Verdana" w:hAnsi="Verdana"/>
        </w:rPr>
      </w:pPr>
    </w:p>
    <w:p w14:paraId="34CFE6BB" w14:textId="77777777" w:rsidR="00660E5B" w:rsidRDefault="00660E5B" w:rsidP="00EE25F7">
      <w:pPr>
        <w:spacing w:after="0"/>
        <w:rPr>
          <w:rFonts w:ascii="Verdana" w:hAnsi="Verdana"/>
        </w:rPr>
      </w:pPr>
    </w:p>
    <w:p w14:paraId="0A0420B8" w14:textId="68D56A69" w:rsidR="00660E5B" w:rsidRDefault="00660E5B" w:rsidP="00660E5B">
      <w:pPr>
        <w:spacing w:after="0"/>
        <w:jc w:val="right"/>
        <w:rPr>
          <w:rFonts w:ascii="Verdana" w:hAnsi="Verdana"/>
        </w:rPr>
      </w:pPr>
      <w:r>
        <w:rPr>
          <w:rFonts w:ascii="Verdana" w:hAnsi="Verdana"/>
          <w:noProof/>
        </w:rPr>
        <w:drawing>
          <wp:inline distT="0" distB="0" distL="0" distR="0" wp14:anchorId="5B29C569" wp14:editId="63D7CCB7">
            <wp:extent cx="2733675" cy="876300"/>
            <wp:effectExtent l="0" t="0" r="9525" b="0"/>
            <wp:docPr id="4935722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876300"/>
                    </a:xfrm>
                    <a:prstGeom prst="rect">
                      <a:avLst/>
                    </a:prstGeom>
                    <a:noFill/>
                    <a:ln>
                      <a:noFill/>
                    </a:ln>
                  </pic:spPr>
                </pic:pic>
              </a:graphicData>
            </a:graphic>
          </wp:inline>
        </w:drawing>
      </w:r>
    </w:p>
    <w:p w14:paraId="08FEDBE6" w14:textId="77777777" w:rsidR="00660E5B" w:rsidRDefault="00660E5B" w:rsidP="00EE25F7">
      <w:pPr>
        <w:spacing w:after="0"/>
        <w:rPr>
          <w:rFonts w:ascii="Verdana" w:hAnsi="Verdana"/>
        </w:rPr>
      </w:pPr>
    </w:p>
    <w:p w14:paraId="17C77C27" w14:textId="77777777" w:rsidR="00660E5B" w:rsidRDefault="00660E5B" w:rsidP="00EE25F7">
      <w:pPr>
        <w:spacing w:after="0"/>
        <w:rPr>
          <w:rFonts w:ascii="Verdana" w:hAnsi="Verdana"/>
        </w:rPr>
      </w:pPr>
    </w:p>
    <w:p w14:paraId="7D363122" w14:textId="77777777" w:rsidR="00660E5B" w:rsidRDefault="00660E5B" w:rsidP="00EE25F7">
      <w:pPr>
        <w:spacing w:after="0"/>
        <w:rPr>
          <w:rFonts w:ascii="Verdana" w:hAnsi="Verdana"/>
        </w:rPr>
      </w:pPr>
    </w:p>
    <w:p w14:paraId="26F5E8BC" w14:textId="77777777" w:rsidR="00EE25F7" w:rsidRDefault="00EE25F7" w:rsidP="00EE25F7">
      <w:pPr>
        <w:spacing w:after="0"/>
        <w:rPr>
          <w:rFonts w:ascii="Verdana" w:hAnsi="Verdana"/>
        </w:rPr>
      </w:pPr>
      <w:bookmarkStart w:id="3" w:name="_Hlk180638295"/>
    </w:p>
    <w:p w14:paraId="42EE3A21" w14:textId="77777777" w:rsidR="00EE25F7" w:rsidRDefault="00EE25F7" w:rsidP="00EE25F7">
      <w:pPr>
        <w:spacing w:after="0" w:line="240" w:lineRule="auto"/>
        <w:jc w:val="both"/>
        <w:rPr>
          <w:rFonts w:ascii="Verdana" w:eastAsia="Calibri" w:hAnsi="Verdana" w:cs="Arial"/>
          <w:lang w:eastAsia="es-ES"/>
        </w:rPr>
      </w:pPr>
      <w:bookmarkStart w:id="4" w:name="_Hlk181166167"/>
      <w:r w:rsidRPr="00560511">
        <w:rPr>
          <w:rFonts w:ascii="Verdana" w:eastAsia="Calibri" w:hAnsi="Verdana" w:cs="Arial"/>
          <w:lang w:eastAsia="es-ES"/>
        </w:rPr>
        <w:t>Señor</w:t>
      </w:r>
    </w:p>
    <w:p w14:paraId="4838E8EB" w14:textId="77777777" w:rsidR="00EE25F7" w:rsidRDefault="00EE25F7" w:rsidP="00EE25F7">
      <w:pPr>
        <w:spacing w:after="0" w:line="240" w:lineRule="auto"/>
        <w:jc w:val="both"/>
        <w:rPr>
          <w:rFonts w:ascii="Verdana" w:eastAsia="Calibri" w:hAnsi="Verdana" w:cs="Arial"/>
          <w:b/>
          <w:bCs/>
          <w:lang w:eastAsia="es-ES"/>
        </w:rPr>
      </w:pPr>
      <w:r w:rsidRPr="0022025B">
        <w:rPr>
          <w:rFonts w:ascii="Verdana" w:eastAsia="Calibri" w:hAnsi="Verdana" w:cs="Arial"/>
          <w:b/>
          <w:bCs/>
          <w:lang w:eastAsia="es-ES"/>
        </w:rPr>
        <w:t>EDGAR LEONEL CEPEDA MELO</w:t>
      </w:r>
    </w:p>
    <w:p w14:paraId="4A4C4C8C" w14:textId="77777777" w:rsidR="00EE25F7" w:rsidRDefault="00EE25F7" w:rsidP="00EE25F7">
      <w:pPr>
        <w:spacing w:after="0" w:line="240" w:lineRule="auto"/>
        <w:jc w:val="both"/>
        <w:rPr>
          <w:rFonts w:ascii="Verdana" w:eastAsia="Calibri" w:hAnsi="Verdana" w:cs="Arial"/>
          <w:lang w:eastAsia="es-ES"/>
        </w:rPr>
      </w:pPr>
      <w:hyperlink r:id="rId12" w:history="1">
        <w:r w:rsidRPr="005956E7">
          <w:rPr>
            <w:rStyle w:val="Hipervnculo"/>
            <w:rFonts w:ascii="Verdana" w:eastAsia="Calibri" w:hAnsi="Verdana" w:cs="Arial"/>
            <w:lang w:eastAsia="es-ES"/>
          </w:rPr>
          <w:t>leonelcepedamelo@gmail.com</w:t>
        </w:r>
      </w:hyperlink>
    </w:p>
    <w:p w14:paraId="6C217425" w14:textId="77777777" w:rsidR="00EE25F7" w:rsidRDefault="00EE25F7" w:rsidP="00EE25F7">
      <w:pPr>
        <w:spacing w:after="0" w:line="240" w:lineRule="auto"/>
        <w:jc w:val="both"/>
        <w:rPr>
          <w:rFonts w:ascii="Verdana" w:eastAsia="Calibri" w:hAnsi="Verdana" w:cs="Arial"/>
          <w:lang w:eastAsia="es-ES"/>
        </w:rPr>
      </w:pPr>
    </w:p>
    <w:p w14:paraId="5A718EC0" w14:textId="77777777" w:rsidR="00EE25F7" w:rsidRPr="00560511" w:rsidRDefault="00EE25F7" w:rsidP="00EE25F7">
      <w:pPr>
        <w:spacing w:after="0" w:line="240" w:lineRule="auto"/>
        <w:jc w:val="both"/>
        <w:rPr>
          <w:rFonts w:ascii="Verdana" w:eastAsia="Calibri" w:hAnsi="Verdana" w:cs="Arial"/>
          <w:lang w:eastAsia="es-ES"/>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EE25F7" w:rsidRPr="00593A5F" w14:paraId="161EC47E" w14:textId="77777777" w:rsidTr="007C5282">
        <w:trPr>
          <w:trHeight w:val="884"/>
        </w:trPr>
        <w:tc>
          <w:tcPr>
            <w:tcW w:w="2410" w:type="dxa"/>
          </w:tcPr>
          <w:p w14:paraId="517E3763" w14:textId="77777777" w:rsidR="00EE25F7" w:rsidRDefault="00EE25F7" w:rsidP="007C5282">
            <w:pPr>
              <w:jc w:val="both"/>
              <w:rPr>
                <w:rFonts w:ascii="Verdana" w:eastAsia="Calibri" w:hAnsi="Verdana" w:cs="Arial"/>
                <w:b/>
                <w:bCs/>
                <w:color w:val="7030A0"/>
                <w:lang w:val="es-ES_tradnl" w:eastAsia="es-ES_tradnl"/>
              </w:rPr>
            </w:pPr>
          </w:p>
          <w:p w14:paraId="721FB06C" w14:textId="77777777" w:rsidR="00EE25F7" w:rsidRPr="00E5644F" w:rsidRDefault="00EE25F7" w:rsidP="007C5282">
            <w:pPr>
              <w:jc w:val="both"/>
              <w:rPr>
                <w:rFonts w:ascii="Verdana" w:eastAsia="Calibri" w:hAnsi="Verdana" w:cs="Arial"/>
                <w:b/>
                <w:bCs/>
                <w:color w:val="7030A0"/>
                <w:lang w:val="es-ES_tradnl" w:eastAsia="es-ES_tradnl"/>
              </w:rPr>
            </w:pPr>
          </w:p>
        </w:tc>
        <w:tc>
          <w:tcPr>
            <w:tcW w:w="6804" w:type="dxa"/>
            <w:gridSpan w:val="2"/>
          </w:tcPr>
          <w:p w14:paraId="44C008CF" w14:textId="77777777" w:rsidR="00EE25F7" w:rsidRPr="00E5644F" w:rsidRDefault="00EE25F7" w:rsidP="007C5282">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 xml:space="preserve">944 </w:t>
            </w:r>
            <w:r w:rsidRPr="00E5644F">
              <w:rPr>
                <w:rFonts w:ascii="Verdana" w:eastAsia="Calibri" w:hAnsi="Verdana" w:cs="Arial"/>
                <w:b/>
                <w:bCs/>
                <w:lang w:val="es-ES" w:eastAsia="es-ES"/>
              </w:rPr>
              <w:t>de 2024</w:t>
            </w:r>
          </w:p>
        </w:tc>
      </w:tr>
      <w:tr w:rsidR="00EE25F7" w:rsidRPr="00593A5F" w14:paraId="066D3978" w14:textId="77777777" w:rsidTr="007C5282">
        <w:trPr>
          <w:trHeight w:val="884"/>
        </w:trPr>
        <w:tc>
          <w:tcPr>
            <w:tcW w:w="2410" w:type="dxa"/>
          </w:tcPr>
          <w:p w14:paraId="3564E0B4" w14:textId="77777777" w:rsidR="00EE25F7" w:rsidRPr="00593A5F" w:rsidRDefault="00EE25F7" w:rsidP="007C5282">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7A0D2571" w14:textId="77777777" w:rsidR="00EE25F7" w:rsidRDefault="00EE25F7" w:rsidP="007C5282">
            <w:pPr>
              <w:spacing w:line="276" w:lineRule="auto"/>
              <w:jc w:val="both"/>
              <w:rPr>
                <w:rFonts w:ascii="Verdana" w:eastAsia="Calibri" w:hAnsi="Verdana" w:cs="Arial"/>
                <w:lang w:val="es-ES" w:eastAsia="es-ES"/>
              </w:rPr>
            </w:pPr>
            <w:r w:rsidRPr="00166E18">
              <w:rPr>
                <w:rFonts w:ascii="Verdana" w:eastAsia="Calibri" w:hAnsi="Verdana" w:cs="Arial"/>
                <w:lang w:val="es-ES" w:eastAsia="es-ES"/>
              </w:rPr>
              <w:t xml:space="preserve">ENTIDAD SIN ANIMO DE LUCRO ESAL – Definición / INHABILIDADES – Definición – Finalidad –/ INHABILIDADES – Taxatividad – Principio de legalidad </w:t>
            </w:r>
          </w:p>
          <w:p w14:paraId="656247E6" w14:textId="77777777" w:rsidR="00EE25F7" w:rsidRPr="00E6165F" w:rsidRDefault="00EE25F7" w:rsidP="007C5282">
            <w:pPr>
              <w:spacing w:line="276" w:lineRule="auto"/>
              <w:jc w:val="both"/>
              <w:rPr>
                <w:rFonts w:ascii="Verdana" w:eastAsia="Calibri" w:hAnsi="Verdana" w:cs="Arial"/>
                <w:lang w:val="es-ES" w:eastAsia="es-ES"/>
              </w:rPr>
            </w:pPr>
          </w:p>
        </w:tc>
      </w:tr>
      <w:tr w:rsidR="00EE25F7" w:rsidRPr="00593A5F" w14:paraId="5766403F" w14:textId="77777777" w:rsidTr="007C5282">
        <w:tc>
          <w:tcPr>
            <w:tcW w:w="2410" w:type="dxa"/>
          </w:tcPr>
          <w:p w14:paraId="27426E30" w14:textId="77777777" w:rsidR="00EE25F7" w:rsidRPr="006730E9" w:rsidRDefault="00EE25F7" w:rsidP="007C5282">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3A89E6C1" w14:textId="77777777" w:rsidR="00EE25F7" w:rsidRPr="0022025B" w:rsidRDefault="00EE25F7" w:rsidP="007C5282">
            <w:pPr>
              <w:jc w:val="both"/>
              <w:rPr>
                <w:rFonts w:ascii="Verdana" w:eastAsia="Calibri" w:hAnsi="Verdana" w:cs="Arial"/>
                <w:lang w:val="es-ES_tradnl" w:eastAsia="es-ES_tradnl"/>
              </w:rPr>
            </w:pPr>
            <w:r w:rsidRPr="0022025B">
              <w:rPr>
                <w:rFonts w:ascii="Verdana" w:eastAsia="Calibri" w:hAnsi="Verdana" w:cs="Arial"/>
                <w:lang w:val="es-ES_tradnl" w:eastAsia="es-ES_tradnl"/>
              </w:rPr>
              <w:t>Respuesta a consulta con radicado No. P20241129011999</w:t>
            </w:r>
          </w:p>
        </w:tc>
      </w:tr>
      <w:tr w:rsidR="00EE25F7" w:rsidRPr="00DB23D2" w14:paraId="1DDCD236" w14:textId="77777777" w:rsidTr="007C5282">
        <w:trPr>
          <w:gridAfter w:val="1"/>
          <w:wAfter w:w="336" w:type="dxa"/>
          <w:trHeight w:val="233"/>
        </w:trPr>
        <w:tc>
          <w:tcPr>
            <w:tcW w:w="8878" w:type="dxa"/>
            <w:gridSpan w:val="2"/>
          </w:tcPr>
          <w:p w14:paraId="08BB8B54" w14:textId="77777777" w:rsidR="00EE25F7" w:rsidRPr="00DB23D2" w:rsidRDefault="00EE25F7" w:rsidP="007C5282">
            <w:pPr>
              <w:spacing w:after="120" w:line="276" w:lineRule="auto"/>
              <w:jc w:val="both"/>
              <w:rPr>
                <w:rFonts w:ascii="Verdana" w:eastAsia="Calibri" w:hAnsi="Verdana" w:cs="Arial"/>
                <w:lang w:val="es-ES_tradnl" w:eastAsia="es-ES"/>
              </w:rPr>
            </w:pPr>
          </w:p>
        </w:tc>
      </w:tr>
    </w:tbl>
    <w:p w14:paraId="3B791A0A" w14:textId="77777777" w:rsidR="00EE25F7" w:rsidRPr="006730E9" w:rsidRDefault="00EE25F7" w:rsidP="00EE25F7">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radicada en esta entidad </w:t>
      </w:r>
      <w:r w:rsidRPr="00E5644F">
        <w:rPr>
          <w:rFonts w:ascii="Verdana" w:eastAsia="Calibri" w:hAnsi="Verdana" w:cs="Arial"/>
          <w:lang w:val="es-ES" w:eastAsia="es-ES"/>
        </w:rPr>
        <w:t xml:space="preserve">el </w:t>
      </w:r>
      <w:r>
        <w:rPr>
          <w:rFonts w:ascii="Verdana" w:eastAsia="Calibri" w:hAnsi="Verdana" w:cs="Arial"/>
          <w:lang w:val="es-ES" w:eastAsia="es-ES"/>
        </w:rPr>
        <w:t>29</w:t>
      </w:r>
      <w:r w:rsidRPr="00E5644F">
        <w:rPr>
          <w:rFonts w:ascii="Verdana" w:eastAsia="Calibri" w:hAnsi="Verdana" w:cs="Arial"/>
          <w:lang w:val="es-ES" w:eastAsia="es-ES"/>
        </w:rPr>
        <w:t xml:space="preserve"> de </w:t>
      </w:r>
      <w:r>
        <w:rPr>
          <w:rFonts w:ascii="Verdana" w:eastAsia="Calibri" w:hAnsi="Verdana" w:cs="Arial"/>
          <w:lang w:val="es-ES" w:eastAsia="es-ES"/>
        </w:rPr>
        <w:t>noviembre</w:t>
      </w:r>
      <w:r w:rsidRPr="00E5644F">
        <w:rPr>
          <w:rFonts w:ascii="Verdana" w:eastAsia="Calibri" w:hAnsi="Verdana" w:cs="Arial"/>
          <w:lang w:val="es-ES" w:eastAsia="es-ES"/>
        </w:rPr>
        <w:t xml:space="preserve"> de</w:t>
      </w:r>
      <w:r>
        <w:rPr>
          <w:rFonts w:ascii="Verdana" w:eastAsia="Calibri" w:hAnsi="Verdana" w:cs="Arial"/>
          <w:lang w:val="es-ES" w:eastAsia="es-ES"/>
        </w:rPr>
        <w:t xml:space="preserve"> </w:t>
      </w:r>
      <w:r w:rsidRPr="00E5644F">
        <w:rPr>
          <w:rFonts w:ascii="Verdana" w:eastAsia="Calibri" w:hAnsi="Verdana" w:cs="Arial"/>
          <w:lang w:val="es-ES" w:eastAsia="es-ES"/>
        </w:rPr>
        <w:t>2024, en</w:t>
      </w:r>
      <w:r w:rsidRPr="006730E9">
        <w:rPr>
          <w:rFonts w:ascii="Verdana" w:eastAsia="Calibri" w:hAnsi="Verdana" w:cs="Arial"/>
          <w:lang w:val="es-ES" w:eastAsia="es-ES"/>
        </w:rPr>
        <w:t xml:space="preserve"> la cual manifiesta lo siguiente: </w:t>
      </w:r>
    </w:p>
    <w:p w14:paraId="2FE8C2DB" w14:textId="77777777" w:rsidR="00EE25F7" w:rsidRPr="00326382" w:rsidRDefault="00EE25F7" w:rsidP="00EE25F7">
      <w:pPr>
        <w:spacing w:after="0" w:line="240" w:lineRule="auto"/>
        <w:ind w:left="709" w:right="474"/>
        <w:jc w:val="both"/>
        <w:rPr>
          <w:rFonts w:ascii="Verdana" w:hAnsi="Verdana" w:cs="Arial"/>
          <w:sz w:val="20"/>
          <w:szCs w:val="20"/>
          <w:shd w:val="clear" w:color="auto" w:fill="FFFFFF"/>
        </w:rPr>
      </w:pPr>
      <w:bookmarkStart w:id="5" w:name="_Hlk95313578"/>
    </w:p>
    <w:bookmarkEnd w:id="5"/>
    <w:p w14:paraId="0F882181" w14:textId="77777777" w:rsidR="00EE25F7" w:rsidRDefault="00EE25F7" w:rsidP="00EE25F7">
      <w:pPr>
        <w:pStyle w:val="Prrafodelista"/>
        <w:tabs>
          <w:tab w:val="left" w:pos="142"/>
          <w:tab w:val="left" w:pos="284"/>
        </w:tabs>
        <w:ind w:left="425" w:right="474"/>
        <w:jc w:val="both"/>
        <w:rPr>
          <w:rFonts w:ascii="Verdana" w:eastAsia="Century Gothic" w:hAnsi="Verdana" w:cs="Century Gothic"/>
          <w:i/>
          <w:iCs/>
          <w:lang w:val="es-CO"/>
        </w:rPr>
      </w:pPr>
      <w:r w:rsidRPr="00263A88">
        <w:rPr>
          <w:rFonts w:ascii="Verdana" w:eastAsia="Century Gothic" w:hAnsi="Verdana" w:cs="Century Gothic"/>
          <w:i/>
          <w:iCs/>
          <w:lang w:val="es-CO"/>
        </w:rPr>
        <w:t>(…)</w:t>
      </w:r>
    </w:p>
    <w:p w14:paraId="747A1273" w14:textId="7A5E49EA" w:rsidR="00EE25F7" w:rsidRDefault="00EE25F7" w:rsidP="00EE25F7">
      <w:pPr>
        <w:pStyle w:val="Prrafodelista"/>
        <w:tabs>
          <w:tab w:val="left" w:pos="142"/>
          <w:tab w:val="left" w:pos="284"/>
        </w:tabs>
        <w:ind w:left="425" w:right="474"/>
        <w:jc w:val="both"/>
        <w:rPr>
          <w:rFonts w:ascii="Verdana" w:eastAsia="Century Gothic" w:hAnsi="Verdana" w:cs="Century Gothic"/>
          <w:i/>
          <w:iCs/>
        </w:rPr>
      </w:pPr>
      <w:r>
        <w:rPr>
          <w:rFonts w:ascii="Verdana" w:eastAsia="Century Gothic" w:hAnsi="Verdana" w:cs="Century Gothic"/>
          <w:i/>
          <w:iCs/>
          <w:lang w:val="es-CO"/>
        </w:rPr>
        <w:t>U</w:t>
      </w:r>
      <w:r w:rsidRPr="0022025B">
        <w:rPr>
          <w:rFonts w:ascii="Verdana" w:eastAsia="Century Gothic" w:hAnsi="Verdana" w:cs="Century Gothic"/>
          <w:i/>
          <w:iCs/>
          <w:lang w:val="es-CO"/>
        </w:rPr>
        <w:t>na persona con cargo de secretario de planeación de una alcaldía es socio</w:t>
      </w:r>
      <w:r>
        <w:rPr>
          <w:rFonts w:ascii="Verdana" w:eastAsia="Century Gothic" w:hAnsi="Verdana" w:cs="Century Gothic"/>
          <w:i/>
          <w:iCs/>
          <w:lang w:val="es-CO"/>
        </w:rPr>
        <w:t xml:space="preserve"> </w:t>
      </w:r>
      <w:r w:rsidRPr="0022025B">
        <w:rPr>
          <w:rFonts w:ascii="Verdana" w:eastAsia="Century Gothic" w:hAnsi="Verdana" w:cs="Century Gothic"/>
          <w:i/>
          <w:iCs/>
          <w:lang w:val="es-CO"/>
        </w:rPr>
        <w:t>fundador de una ESAL fundada años anteriores, la ESAL puede presentarse a una</w:t>
      </w:r>
      <w:r>
        <w:rPr>
          <w:rFonts w:ascii="Verdana" w:eastAsia="Century Gothic" w:hAnsi="Verdana" w:cs="Century Gothic"/>
          <w:i/>
          <w:iCs/>
          <w:lang w:val="es-CO"/>
        </w:rPr>
        <w:t xml:space="preserve"> </w:t>
      </w:r>
      <w:r w:rsidRPr="0022025B">
        <w:rPr>
          <w:rFonts w:ascii="Verdana" w:eastAsia="Century Gothic" w:hAnsi="Verdana" w:cs="Century Gothic"/>
          <w:i/>
          <w:iCs/>
          <w:lang w:val="es-CO"/>
        </w:rPr>
        <w:t xml:space="preserve">licitación </w:t>
      </w:r>
      <w:r w:rsidR="008303CD" w:rsidRPr="0022025B">
        <w:rPr>
          <w:rFonts w:ascii="Verdana" w:eastAsia="Century Gothic" w:hAnsi="Verdana" w:cs="Century Gothic"/>
          <w:i/>
          <w:iCs/>
          <w:lang w:val="es-CO"/>
        </w:rPr>
        <w:t>pública</w:t>
      </w:r>
      <w:r w:rsidRPr="0022025B">
        <w:rPr>
          <w:rFonts w:ascii="Verdana" w:eastAsia="Century Gothic" w:hAnsi="Verdana" w:cs="Century Gothic"/>
          <w:i/>
          <w:iCs/>
          <w:lang w:val="es-CO"/>
        </w:rPr>
        <w:t xml:space="preserve"> con una entidad del orden nacional como ICBF , o hay alguna</w:t>
      </w:r>
      <w:r>
        <w:rPr>
          <w:rFonts w:ascii="Verdana" w:eastAsia="Century Gothic" w:hAnsi="Verdana" w:cs="Century Gothic"/>
          <w:i/>
          <w:iCs/>
          <w:lang w:val="es-CO"/>
        </w:rPr>
        <w:t xml:space="preserve"> </w:t>
      </w:r>
      <w:r w:rsidRPr="0022025B">
        <w:rPr>
          <w:rFonts w:ascii="Verdana" w:eastAsia="Century Gothic" w:hAnsi="Verdana" w:cs="Century Gothic"/>
          <w:i/>
          <w:iCs/>
          <w:lang w:val="es-CO"/>
        </w:rPr>
        <w:t>inhabilidad</w:t>
      </w:r>
    </w:p>
    <w:p w14:paraId="0A22B5A6" w14:textId="77777777" w:rsidR="00EE25F7" w:rsidRDefault="00EE25F7" w:rsidP="00EE25F7">
      <w:pPr>
        <w:pStyle w:val="Prrafodelista"/>
        <w:tabs>
          <w:tab w:val="left" w:pos="142"/>
          <w:tab w:val="left" w:pos="284"/>
        </w:tabs>
        <w:ind w:left="425" w:right="474"/>
        <w:jc w:val="both"/>
        <w:rPr>
          <w:rFonts w:ascii="Verdana" w:eastAsia="Century Gothic" w:hAnsi="Verdana" w:cs="Century Gothic"/>
          <w:i/>
          <w:iCs/>
          <w:lang w:val="es-CO"/>
        </w:rPr>
      </w:pPr>
      <w:r w:rsidRPr="00263A88">
        <w:rPr>
          <w:rFonts w:ascii="Verdana" w:eastAsia="Century Gothic" w:hAnsi="Verdana" w:cs="Century Gothic"/>
          <w:i/>
          <w:iCs/>
          <w:lang w:val="es-CO"/>
        </w:rPr>
        <w:lastRenderedPageBreak/>
        <w:t>(…)</w:t>
      </w:r>
    </w:p>
    <w:p w14:paraId="709F5C1F" w14:textId="77777777" w:rsidR="00EE25F7" w:rsidRPr="005F06C2" w:rsidRDefault="00EE25F7" w:rsidP="00EE25F7">
      <w:pPr>
        <w:spacing w:after="120" w:line="276" w:lineRule="auto"/>
        <w:ind w:firstLine="709"/>
        <w:jc w:val="both"/>
        <w:rPr>
          <w:rFonts w:ascii="Verdana" w:eastAsia="Calibri" w:hAnsi="Verdana" w:cs="Arial"/>
          <w:color w:val="000000"/>
          <w:lang w:val="es-ES_tradnl" w:eastAsia="es-ES_tradnl"/>
        </w:rPr>
      </w:pPr>
      <w:r>
        <w:rPr>
          <w:rFonts w:ascii="Verdana" w:eastAsia="Calibri" w:hAnsi="Verdana" w:cs="Arial"/>
          <w:color w:val="000000"/>
          <w:lang w:val="es-ES" w:eastAsia="es-ES"/>
        </w:rPr>
        <w:t>D</w:t>
      </w:r>
      <w:r w:rsidRPr="00542ED3">
        <w:rPr>
          <w:rFonts w:ascii="Verdana" w:eastAsia="Calibri" w:hAnsi="Verdana" w:cs="Arial"/>
          <w:color w:val="000000"/>
          <w:lang w:val="es-ES" w:eastAsia="es-ES"/>
        </w:rPr>
        <w:t xml:space="preserve">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F06C2">
        <w:rPr>
          <w:rFonts w:ascii="Verdana" w:eastAsia="Calibri" w:hAnsi="Verdana" w:cs="Arial"/>
          <w:color w:val="000000"/>
          <w:lang w:val="es-ES_tradnl" w:eastAsia="es-ES_tradnl"/>
        </w:rPr>
        <w:tab/>
      </w:r>
    </w:p>
    <w:p w14:paraId="2C9E01A8" w14:textId="77777777" w:rsidR="00EE25F7" w:rsidRPr="00542ED3" w:rsidRDefault="00EE25F7" w:rsidP="00525269">
      <w:pPr>
        <w:spacing w:after="0" w:line="276" w:lineRule="auto"/>
        <w:jc w:val="both"/>
        <w:rPr>
          <w:rFonts w:ascii="Verdana" w:eastAsia="Calibri" w:hAnsi="Verdana" w:cs="Arial"/>
          <w:color w:val="000000"/>
          <w:lang w:val="es-ES" w:eastAsia="es-ES"/>
        </w:rPr>
      </w:pPr>
      <w:r w:rsidRPr="00542ED3">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542ED3">
        <w:rPr>
          <w:rFonts w:ascii="Verdana" w:eastAsia="Calibri" w:hAnsi="Verdana" w:cs="Arial"/>
          <w:color w:val="7030A0"/>
          <w:lang w:val="es-ES" w:eastAsia="es-ES"/>
        </w:rPr>
        <w:t xml:space="preserve"> </w:t>
      </w:r>
      <w:r w:rsidRPr="00542ED3">
        <w:rPr>
          <w:rFonts w:ascii="Verdana" w:eastAsia="Calibri" w:hAnsi="Verdana" w:cs="Arial"/>
          <w:color w:val="000000"/>
          <w:lang w:val="es-ES" w:eastAsia="es-ES"/>
        </w:rPr>
        <w:t>jurídico</w:t>
      </w:r>
      <w:r w:rsidRPr="00542ED3">
        <w:rPr>
          <w:rFonts w:ascii="Verdana" w:eastAsia="Calibri" w:hAnsi="Verdana" w:cs="Arial"/>
          <w:color w:val="7030A0"/>
          <w:lang w:val="es-ES" w:eastAsia="es-ES"/>
        </w:rPr>
        <w:t xml:space="preserve"> </w:t>
      </w:r>
      <w:r w:rsidRPr="00542ED3">
        <w:rPr>
          <w:rFonts w:ascii="Verdana" w:eastAsia="Calibri" w:hAnsi="Verdana" w:cs="Arial"/>
          <w:color w:val="000000"/>
          <w:lang w:val="es-ES" w:eastAsia="es-ES"/>
        </w:rPr>
        <w:t xml:space="preserve">de su consulta. </w:t>
      </w:r>
    </w:p>
    <w:p w14:paraId="44B24F31" w14:textId="77777777" w:rsidR="00EE25F7" w:rsidRDefault="00EE25F7" w:rsidP="00EE25F7">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0794D762" w14:textId="77777777" w:rsidR="00EE25F7" w:rsidRPr="00593A5F" w:rsidRDefault="00EE25F7" w:rsidP="00EE25F7">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74177023" w14:textId="77777777" w:rsidR="00EE25F7" w:rsidRPr="00593A5F" w:rsidRDefault="00EE25F7" w:rsidP="00EE25F7">
      <w:pPr>
        <w:tabs>
          <w:tab w:val="left" w:pos="426"/>
        </w:tabs>
        <w:spacing w:after="0" w:line="276" w:lineRule="auto"/>
        <w:jc w:val="both"/>
        <w:rPr>
          <w:rFonts w:ascii="Verdana" w:eastAsia="Century Gothic" w:hAnsi="Verdana" w:cs="Century Gothic"/>
          <w:lang w:val="es-ES"/>
        </w:rPr>
      </w:pPr>
    </w:p>
    <w:p w14:paraId="4235EEFE" w14:textId="7C41E5BA" w:rsidR="00EE25F7" w:rsidRPr="00DF4493" w:rsidRDefault="00EE25F7" w:rsidP="00EE25F7">
      <w:pPr>
        <w:pStyle w:val="Prrafodelista"/>
        <w:ind w:left="0" w:right="49"/>
        <w:jc w:val="both"/>
        <w:rPr>
          <w:rFonts w:ascii="Verdana" w:eastAsia="Century Gothic" w:hAnsi="Verdana" w:cs="Century Gothic"/>
        </w:rPr>
      </w:pPr>
      <w:r w:rsidRPr="00B22D91">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siguiente </w:t>
      </w:r>
      <w:r w:rsidRPr="00B22D91">
        <w:rPr>
          <w:rFonts w:ascii="Verdana" w:eastAsia="Century Gothic" w:hAnsi="Verdana" w:cs="Century Gothic"/>
        </w:rPr>
        <w:t>problema jurídico</w:t>
      </w:r>
      <w:r w:rsidRPr="00F24817">
        <w:rPr>
          <w:rFonts w:ascii="Verdana" w:eastAsia="Century Gothic" w:hAnsi="Verdana" w:cs="Century Gothic"/>
        </w:rPr>
        <w:t>:</w:t>
      </w:r>
      <w:r w:rsidRPr="00F24817">
        <w:rPr>
          <w:rFonts w:ascii="Verdana" w:eastAsia="Century Gothic" w:hAnsi="Verdana" w:cs="Century Gothic"/>
          <w:i/>
          <w:iCs/>
        </w:rPr>
        <w:t xml:space="preserve"> </w:t>
      </w:r>
      <w:r w:rsidRPr="00DF4493">
        <w:rPr>
          <w:rFonts w:ascii="Verdana" w:eastAsia="Century Gothic" w:hAnsi="Verdana" w:cs="Century Gothic"/>
        </w:rPr>
        <w:t>¿Es posible que una ESAL en donde aparece como socio fundador un funcionario público de un municipio</w:t>
      </w:r>
      <w:r w:rsidR="00494C3A">
        <w:rPr>
          <w:rFonts w:ascii="Verdana" w:eastAsia="Century Gothic" w:hAnsi="Verdana" w:cs="Century Gothic"/>
        </w:rPr>
        <w:t>,</w:t>
      </w:r>
      <w:r w:rsidRPr="00DF4493">
        <w:rPr>
          <w:rFonts w:ascii="Verdana" w:eastAsia="Century Gothic" w:hAnsi="Verdana" w:cs="Century Gothic"/>
        </w:rPr>
        <w:t xml:space="preserve"> pueda participar en procesos de contratación con entidades del orden nacional o existe algún tipo de inhabilidad?  </w:t>
      </w:r>
    </w:p>
    <w:p w14:paraId="2A1E5EEA" w14:textId="77777777" w:rsidR="00EE25F7" w:rsidRDefault="00EE25F7" w:rsidP="00EE25F7">
      <w:pPr>
        <w:pStyle w:val="Prrafodelista"/>
        <w:ind w:left="0" w:right="49"/>
        <w:jc w:val="both"/>
        <w:rPr>
          <w:rFonts w:ascii="Verdana" w:eastAsia="Century Gothic" w:hAnsi="Verdana" w:cs="Century Gothic"/>
          <w:i/>
          <w:iCs/>
        </w:rPr>
      </w:pPr>
    </w:p>
    <w:p w14:paraId="6A2C0C46" w14:textId="77777777" w:rsidR="00EE25F7" w:rsidRPr="00593A5F" w:rsidRDefault="00EE25F7" w:rsidP="00EE25F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 xml:space="preserve"> </w:t>
      </w:r>
    </w:p>
    <w:p w14:paraId="36DFCE65" w14:textId="77777777" w:rsidR="00EE25F7" w:rsidRPr="00593A5F" w:rsidRDefault="00EE25F7" w:rsidP="00EE25F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E25F7" w:rsidRPr="00593A5F" w14:paraId="1BDEFB79" w14:textId="77777777" w:rsidTr="007C5282">
        <w:tc>
          <w:tcPr>
            <w:tcW w:w="8828" w:type="dxa"/>
            <w:shd w:val="clear" w:color="auto" w:fill="auto"/>
          </w:tcPr>
          <w:p w14:paraId="42FDC0EC" w14:textId="77777777" w:rsidR="00EE25F7" w:rsidRPr="00831CDD" w:rsidRDefault="00EE25F7" w:rsidP="007C5282">
            <w:pPr>
              <w:pStyle w:val="Prrafodelista"/>
              <w:ind w:left="0" w:right="49"/>
              <w:jc w:val="both"/>
              <w:rPr>
                <w:rFonts w:ascii="Verdana" w:hAnsi="Verdana" w:cs="Arial"/>
                <w:bCs/>
                <w:color w:val="000000" w:themeColor="text1"/>
              </w:rPr>
            </w:pPr>
          </w:p>
        </w:tc>
      </w:tr>
      <w:tr w:rsidR="00EE25F7" w:rsidRPr="00593A5F" w14:paraId="0D9AA4D7" w14:textId="77777777" w:rsidTr="007C5282">
        <w:tc>
          <w:tcPr>
            <w:tcW w:w="8828" w:type="dxa"/>
            <w:shd w:val="clear" w:color="auto" w:fill="auto"/>
          </w:tcPr>
          <w:p w14:paraId="1B9CA447" w14:textId="3CF09449" w:rsidR="00494C3A" w:rsidRDefault="00DF4493" w:rsidP="007C5282">
            <w:pPr>
              <w:spacing w:before="120" w:after="120" w:line="276" w:lineRule="auto"/>
              <w:contextualSpacing/>
              <w:jc w:val="both"/>
              <w:rPr>
                <w:rFonts w:ascii="Verdana" w:eastAsia="Aptos" w:hAnsi="Verdana" w:cs="Arial"/>
                <w:shd w:val="clear" w:color="auto" w:fill="FFFFFF"/>
              </w:rPr>
            </w:pPr>
            <w:r>
              <w:rPr>
                <w:rFonts w:ascii="Verdana" w:eastAsia="Aptos" w:hAnsi="Verdana" w:cs="Arial"/>
                <w:shd w:val="clear" w:color="auto" w:fill="FFFFFF"/>
              </w:rPr>
              <w:t>Frente al interrogante planteado,</w:t>
            </w:r>
            <w:r w:rsidR="00494C3A">
              <w:rPr>
                <w:rFonts w:ascii="Verdana" w:eastAsia="Aptos" w:hAnsi="Verdana" w:cs="Arial"/>
                <w:shd w:val="clear" w:color="auto" w:fill="FFFFFF"/>
              </w:rPr>
              <w:t xml:space="preserve"> una ESA</w:t>
            </w:r>
            <w:r w:rsidR="00B35012">
              <w:rPr>
                <w:rFonts w:ascii="Verdana" w:eastAsia="Aptos" w:hAnsi="Verdana" w:cs="Arial"/>
                <w:shd w:val="clear" w:color="auto" w:fill="FFFFFF"/>
              </w:rPr>
              <w:t>L</w:t>
            </w:r>
            <w:r w:rsidR="00494C3A">
              <w:rPr>
                <w:rFonts w:ascii="Verdana" w:eastAsia="Aptos" w:hAnsi="Verdana" w:cs="Arial"/>
                <w:shd w:val="clear" w:color="auto" w:fill="FFFFFF"/>
              </w:rPr>
              <w:t xml:space="preserve"> podrá participar en procesos de contratación siempre que cumpla con la capacidad jurídica, los requisitos de idoneidad, entre otros criterios que establecen las disposiciones normativas de contratación pública. La entidad estatal, en la revisión de la propuesta u oferta presentada deberá evaluar que el oferente no se encuentre inmerso en conflictos de intereses, en violación del régimen de integridad, el de inhabilidades e incompatibilidades y cumpla con los antecedentes exigidos. </w:t>
            </w:r>
          </w:p>
          <w:p w14:paraId="06C5D79A" w14:textId="77777777" w:rsidR="006A7512" w:rsidRDefault="006A7512" w:rsidP="007C5282">
            <w:pPr>
              <w:spacing w:before="120" w:after="120" w:line="276" w:lineRule="auto"/>
              <w:contextualSpacing/>
              <w:jc w:val="both"/>
              <w:rPr>
                <w:rFonts w:ascii="Verdana" w:eastAsia="Aptos" w:hAnsi="Verdana" w:cs="Arial"/>
                <w:shd w:val="clear" w:color="auto" w:fill="FFFFFF"/>
              </w:rPr>
            </w:pPr>
          </w:p>
          <w:p w14:paraId="05664098" w14:textId="2ABC168B" w:rsidR="006A7512" w:rsidRPr="00380D5B" w:rsidRDefault="00380D5B" w:rsidP="007C5282">
            <w:pPr>
              <w:spacing w:before="120" w:after="120" w:line="276" w:lineRule="auto"/>
              <w:contextualSpacing/>
              <w:jc w:val="both"/>
              <w:rPr>
                <w:rFonts w:ascii="Verdana" w:eastAsia="Aptos" w:hAnsi="Verdana" w:cs="Arial"/>
                <w:shd w:val="clear" w:color="auto" w:fill="FFFFFF"/>
              </w:rPr>
            </w:pPr>
            <w:r w:rsidRPr="00380D5B">
              <w:rPr>
                <w:rFonts w:ascii="Verdana" w:eastAsia="Aptos" w:hAnsi="Verdana" w:cs="Arial"/>
                <w:shd w:val="clear" w:color="auto" w:fill="FFFFFF"/>
              </w:rPr>
              <w:t xml:space="preserve">Ahora bien, la representación legal de las ESAL recae en una persona natural o jurídica quien </w:t>
            </w:r>
            <w:r>
              <w:rPr>
                <w:rFonts w:ascii="Verdana" w:eastAsia="Aptos" w:hAnsi="Verdana" w:cs="Arial"/>
                <w:shd w:val="clear" w:color="auto" w:fill="FFFFFF"/>
              </w:rPr>
              <w:t xml:space="preserve">cuenta con la capacidad para </w:t>
            </w:r>
            <w:r w:rsidRPr="00380D5B">
              <w:rPr>
                <w:rFonts w:ascii="Verdana" w:eastAsia="Aptos" w:hAnsi="Verdana" w:cs="Arial"/>
                <w:shd w:val="clear" w:color="auto" w:fill="FFFFFF"/>
              </w:rPr>
              <w:t xml:space="preserve">representar a la entidad en todos sus actos y contratos. Sus responsabilidades son amplias y fundamentales para </w:t>
            </w:r>
            <w:r>
              <w:rPr>
                <w:rFonts w:ascii="Verdana" w:eastAsia="Aptos" w:hAnsi="Verdana" w:cs="Arial"/>
                <w:shd w:val="clear" w:color="auto" w:fill="FFFFFF"/>
              </w:rPr>
              <w:t>su</w:t>
            </w:r>
            <w:r w:rsidRPr="00380D5B">
              <w:rPr>
                <w:rFonts w:ascii="Verdana" w:eastAsia="Aptos" w:hAnsi="Verdana" w:cs="Arial"/>
                <w:shd w:val="clear" w:color="auto" w:fill="FFFFFF"/>
              </w:rPr>
              <w:t xml:space="preserve"> buen funcionamiento </w:t>
            </w:r>
            <w:r>
              <w:rPr>
                <w:rFonts w:ascii="Verdana" w:eastAsia="Aptos" w:hAnsi="Verdana" w:cs="Arial"/>
                <w:shd w:val="clear" w:color="auto" w:fill="FFFFFF"/>
              </w:rPr>
              <w:t xml:space="preserve">con el propósito de dirigir </w:t>
            </w:r>
            <w:r w:rsidRPr="00380D5B">
              <w:rPr>
                <w:rFonts w:ascii="Verdana" w:eastAsia="Aptos" w:hAnsi="Verdana" w:cs="Arial"/>
                <w:shd w:val="clear" w:color="auto" w:fill="FFFFFF"/>
              </w:rPr>
              <w:t>las actividades de la ESAL hacia el cumplimiento de su objeto social</w:t>
            </w:r>
            <w:r>
              <w:rPr>
                <w:rFonts w:ascii="Verdana" w:eastAsia="Aptos" w:hAnsi="Verdana" w:cs="Arial"/>
                <w:shd w:val="clear" w:color="auto" w:fill="FFFFFF"/>
              </w:rPr>
              <w:t xml:space="preserve">, así las cosas, es en el representante legal en quien podría llegar a recaer una eventual </w:t>
            </w:r>
            <w:r w:rsidRPr="00380D5B">
              <w:rPr>
                <w:rFonts w:ascii="Verdana" w:eastAsia="Aptos" w:hAnsi="Verdana" w:cs="Arial"/>
                <w:shd w:val="clear" w:color="auto" w:fill="FFFFFF"/>
              </w:rPr>
              <w:t>respon</w:t>
            </w:r>
            <w:r>
              <w:rPr>
                <w:rFonts w:ascii="Verdana" w:eastAsia="Aptos" w:hAnsi="Verdana" w:cs="Arial"/>
                <w:shd w:val="clear" w:color="auto" w:fill="FFFFFF"/>
              </w:rPr>
              <w:t>sabilidad</w:t>
            </w:r>
            <w:r w:rsidRPr="00380D5B">
              <w:rPr>
                <w:rFonts w:ascii="Verdana" w:eastAsia="Aptos" w:hAnsi="Verdana" w:cs="Arial"/>
                <w:shd w:val="clear" w:color="auto" w:fill="FFFFFF"/>
              </w:rPr>
              <w:t xml:space="preserve"> civil</w:t>
            </w:r>
            <w:r>
              <w:rPr>
                <w:rFonts w:ascii="Verdana" w:eastAsia="Aptos" w:hAnsi="Verdana" w:cs="Arial"/>
                <w:shd w:val="clear" w:color="auto" w:fill="FFFFFF"/>
              </w:rPr>
              <w:t>,</w:t>
            </w:r>
            <w:r w:rsidRPr="00380D5B">
              <w:rPr>
                <w:rFonts w:ascii="Verdana" w:eastAsia="Aptos" w:hAnsi="Verdana" w:cs="Arial"/>
                <w:shd w:val="clear" w:color="auto" w:fill="FFFFFF"/>
              </w:rPr>
              <w:t xml:space="preserve"> </w:t>
            </w:r>
            <w:r w:rsidR="008A0115" w:rsidRPr="00380D5B">
              <w:rPr>
                <w:rFonts w:ascii="Verdana" w:eastAsia="Aptos" w:hAnsi="Verdana" w:cs="Arial"/>
                <w:shd w:val="clear" w:color="auto" w:fill="FFFFFF"/>
              </w:rPr>
              <w:t>penal</w:t>
            </w:r>
            <w:r w:rsidR="008A0115">
              <w:rPr>
                <w:rFonts w:ascii="Verdana" w:eastAsia="Aptos" w:hAnsi="Verdana" w:cs="Arial"/>
                <w:shd w:val="clear" w:color="auto" w:fill="FFFFFF"/>
              </w:rPr>
              <w:t xml:space="preserve"> </w:t>
            </w:r>
            <w:r>
              <w:rPr>
                <w:rFonts w:ascii="Verdana" w:eastAsia="Aptos" w:hAnsi="Verdana" w:cs="Arial"/>
                <w:shd w:val="clear" w:color="auto" w:fill="FFFFFF"/>
              </w:rPr>
              <w:t>o en atención a su consulta un posible conflicto de intereses.</w:t>
            </w:r>
            <w:r w:rsidRPr="00380D5B">
              <w:rPr>
                <w:rFonts w:ascii="Verdana" w:eastAsia="Aptos" w:hAnsi="Verdana" w:cs="Arial"/>
                <w:shd w:val="clear" w:color="auto" w:fill="FFFFFF"/>
              </w:rPr>
              <w:t xml:space="preserve"> </w:t>
            </w:r>
          </w:p>
          <w:p w14:paraId="1A51E8C8" w14:textId="77777777" w:rsidR="006A7512" w:rsidRDefault="006A7512" w:rsidP="007C5282">
            <w:pPr>
              <w:spacing w:before="120" w:after="120" w:line="276" w:lineRule="auto"/>
              <w:contextualSpacing/>
              <w:jc w:val="both"/>
              <w:rPr>
                <w:rFonts w:ascii="Verdana" w:eastAsia="Aptos" w:hAnsi="Verdana" w:cs="Arial"/>
                <w:shd w:val="clear" w:color="auto" w:fill="FFFFFF"/>
              </w:rPr>
            </w:pPr>
          </w:p>
          <w:p w14:paraId="7AD43F44" w14:textId="5328BA6F" w:rsidR="006A7512" w:rsidRPr="00CC0781" w:rsidRDefault="006A7512" w:rsidP="006A7512">
            <w:pPr>
              <w:spacing w:before="120" w:after="120" w:line="276" w:lineRule="auto"/>
              <w:contextualSpacing/>
              <w:jc w:val="both"/>
              <w:rPr>
                <w:rFonts w:ascii="Verdana" w:eastAsia="Aptos" w:hAnsi="Verdana" w:cs="Arial"/>
                <w:shd w:val="clear" w:color="auto" w:fill="FFFFFF"/>
              </w:rPr>
            </w:pPr>
            <w:r>
              <w:rPr>
                <w:rFonts w:ascii="Verdana" w:eastAsia="Aptos" w:hAnsi="Verdana" w:cs="Arial"/>
                <w:shd w:val="clear" w:color="auto" w:fill="FFFFFF"/>
              </w:rPr>
              <w:t>Ahora bien, teniendo presente la capacidad jurídica y la representación legal de la ESAL, e</w:t>
            </w:r>
            <w:r w:rsidRPr="00CC0781">
              <w:rPr>
                <w:rFonts w:ascii="Verdana" w:eastAsia="Aptos" w:hAnsi="Verdana" w:cs="Arial"/>
                <w:shd w:val="clear" w:color="auto" w:fill="FFFFFF"/>
              </w:rPr>
              <w:t xml:space="preserve">n Colombia, </w:t>
            </w:r>
            <w:r>
              <w:rPr>
                <w:rFonts w:ascii="Verdana" w:eastAsia="Aptos" w:hAnsi="Verdana" w:cs="Arial"/>
                <w:shd w:val="clear" w:color="auto" w:fill="FFFFFF"/>
              </w:rPr>
              <w:t xml:space="preserve">estas entidades </w:t>
            </w:r>
            <w:r w:rsidRPr="00CC0781">
              <w:rPr>
                <w:rFonts w:ascii="Verdana" w:eastAsia="Aptos" w:hAnsi="Verdana" w:cs="Arial"/>
                <w:shd w:val="clear" w:color="auto" w:fill="FFFFFF"/>
              </w:rPr>
              <w:t xml:space="preserve">pueden participar en procesos de licitación pública, </w:t>
            </w:r>
            <w:r w:rsidR="00380D5B">
              <w:rPr>
                <w:rFonts w:ascii="Verdana" w:eastAsia="Aptos" w:hAnsi="Verdana" w:cs="Arial"/>
                <w:shd w:val="clear" w:color="auto" w:fill="FFFFFF"/>
              </w:rPr>
              <w:t>convenios y procesos de selección en las diferentes modalidades</w:t>
            </w:r>
            <w:r w:rsidRPr="00CC0781">
              <w:rPr>
                <w:rFonts w:ascii="Verdana" w:eastAsia="Aptos" w:hAnsi="Verdana" w:cs="Arial"/>
                <w:shd w:val="clear" w:color="auto" w:fill="FFFFFF"/>
              </w:rPr>
              <w:t>, ya sea de forma individual o bajo modalidades de consorcio o unión temporal, ya que no se encuentran inhabilitadas y dicha actividad no está prohibida en el ordenamiento jurídico colombiano.</w:t>
            </w:r>
          </w:p>
          <w:p w14:paraId="2D4F8F48" w14:textId="77777777" w:rsidR="006A7512" w:rsidRDefault="006A7512" w:rsidP="007C5282">
            <w:pPr>
              <w:spacing w:before="120" w:after="120" w:line="276" w:lineRule="auto"/>
              <w:contextualSpacing/>
              <w:jc w:val="both"/>
              <w:rPr>
                <w:rFonts w:ascii="Verdana" w:eastAsia="Aptos" w:hAnsi="Verdana" w:cs="Arial"/>
                <w:shd w:val="clear" w:color="auto" w:fill="FFFFFF"/>
              </w:rPr>
            </w:pPr>
          </w:p>
          <w:p w14:paraId="3C16600A" w14:textId="57EC9BCC" w:rsidR="00A65EC6" w:rsidRPr="00A65EC6" w:rsidRDefault="006A7512" w:rsidP="00A65EC6">
            <w:pPr>
              <w:spacing w:line="276" w:lineRule="auto"/>
              <w:jc w:val="both"/>
              <w:rPr>
                <w:rFonts w:ascii="Verdana" w:eastAsia="Calibri" w:hAnsi="Verdana" w:cs="Arial"/>
                <w:lang w:val="es-ES"/>
              </w:rPr>
            </w:pPr>
            <w:r>
              <w:rPr>
                <w:rFonts w:ascii="Verdana" w:eastAsia="Calibri" w:hAnsi="Verdana" w:cs="Arial"/>
                <w:lang w:val="es-ES"/>
              </w:rPr>
              <w:t>Así las cosas, es inminente recordar que la</w:t>
            </w:r>
            <w:r w:rsidR="00A65EC6">
              <w:rPr>
                <w:rFonts w:ascii="Verdana" w:eastAsia="Calibri" w:hAnsi="Verdana" w:cs="Arial"/>
                <w:lang w:val="es-ES"/>
              </w:rPr>
              <w:t xml:space="preserve"> ESAL s</w:t>
            </w:r>
            <w:r>
              <w:rPr>
                <w:rFonts w:ascii="Verdana" w:eastAsia="Calibri" w:hAnsi="Verdana" w:cs="Arial"/>
                <w:lang w:val="es-ES"/>
              </w:rPr>
              <w:t xml:space="preserve">e </w:t>
            </w:r>
            <w:r w:rsidR="00A65EC6">
              <w:rPr>
                <w:rFonts w:ascii="Verdana" w:eastAsia="Calibri" w:hAnsi="Verdana" w:cs="Arial"/>
                <w:lang w:val="es-ES"/>
              </w:rPr>
              <w:t xml:space="preserve">debe </w:t>
            </w:r>
            <w:r>
              <w:rPr>
                <w:rFonts w:ascii="Verdana" w:eastAsia="Calibri" w:hAnsi="Verdana" w:cs="Arial"/>
                <w:lang w:val="es-ES"/>
              </w:rPr>
              <w:t>enc</w:t>
            </w:r>
            <w:r w:rsidR="00A65EC6">
              <w:rPr>
                <w:rFonts w:ascii="Verdana" w:eastAsia="Calibri" w:hAnsi="Verdana" w:cs="Arial"/>
                <w:lang w:val="es-ES"/>
              </w:rPr>
              <w:t>o</w:t>
            </w:r>
            <w:r>
              <w:rPr>
                <w:rFonts w:ascii="Verdana" w:eastAsia="Calibri" w:hAnsi="Verdana" w:cs="Arial"/>
                <w:lang w:val="es-ES"/>
              </w:rPr>
              <w:t>n</w:t>
            </w:r>
            <w:r w:rsidR="00A65EC6">
              <w:rPr>
                <w:rFonts w:ascii="Verdana" w:eastAsia="Calibri" w:hAnsi="Verdana" w:cs="Arial"/>
                <w:lang w:val="es-ES"/>
              </w:rPr>
              <w:t>trar</w:t>
            </w:r>
            <w:r>
              <w:rPr>
                <w:rFonts w:ascii="Verdana" w:eastAsia="Calibri" w:hAnsi="Verdana" w:cs="Arial"/>
                <w:lang w:val="es-ES"/>
              </w:rPr>
              <w:t xml:space="preserve"> hábil y en capacidad para contratar</w:t>
            </w:r>
            <w:r w:rsidR="00A65EC6">
              <w:rPr>
                <w:rFonts w:ascii="Verdana" w:eastAsia="Calibri" w:hAnsi="Verdana" w:cs="Arial"/>
                <w:lang w:val="es-ES"/>
              </w:rPr>
              <w:t xml:space="preserve"> </w:t>
            </w:r>
            <w:r w:rsidR="00A65EC6" w:rsidRPr="00CC0781">
              <w:rPr>
                <w:rFonts w:ascii="Verdana" w:eastAsia="Aptos" w:hAnsi="Verdana" w:cs="Arial"/>
                <w:shd w:val="clear" w:color="auto" w:fill="FFFFFF"/>
              </w:rPr>
              <w:t>la cual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0513D8C3" w14:textId="77777777" w:rsidR="00A65EC6" w:rsidRDefault="00A65EC6" w:rsidP="00A65EC6">
            <w:pPr>
              <w:spacing w:line="276" w:lineRule="auto"/>
              <w:jc w:val="both"/>
              <w:rPr>
                <w:rFonts w:ascii="Verdana" w:eastAsia="Calibri" w:hAnsi="Verdana" w:cs="Arial"/>
                <w:lang w:val="es-ES"/>
              </w:rPr>
            </w:pPr>
          </w:p>
          <w:p w14:paraId="04ABD5A5" w14:textId="61492333" w:rsidR="00A65EC6" w:rsidRPr="00A65EC6" w:rsidRDefault="00A65EC6" w:rsidP="00A65EC6">
            <w:pPr>
              <w:spacing w:line="276" w:lineRule="auto"/>
              <w:jc w:val="both"/>
              <w:rPr>
                <w:rFonts w:ascii="Verdana" w:eastAsia="Calibri" w:hAnsi="Verdana" w:cs="Arial"/>
                <w:lang w:val="es-ES"/>
              </w:rPr>
            </w:pPr>
            <w:r>
              <w:rPr>
                <w:rFonts w:ascii="Verdana" w:eastAsia="Calibri" w:hAnsi="Verdana" w:cs="Arial"/>
                <w:lang w:val="es-ES"/>
              </w:rPr>
              <w:t xml:space="preserve">De acuerdo con el principio de jerarquía normativa </w:t>
            </w:r>
            <w:r w:rsidR="006A7512">
              <w:rPr>
                <w:rFonts w:ascii="Verdana" w:eastAsia="Calibri" w:hAnsi="Verdana" w:cs="Arial"/>
                <w:lang w:val="es-ES"/>
              </w:rPr>
              <w:t xml:space="preserve">el artículo 127 de la Constitución Política establece que </w:t>
            </w:r>
            <w:r>
              <w:rPr>
                <w:rFonts w:ascii="Verdana" w:eastAsia="Calibri" w:hAnsi="Verdana" w:cs="Arial"/>
                <w:lang w:val="es-ES"/>
              </w:rPr>
              <w:t>“</w:t>
            </w:r>
            <w:r w:rsidR="00DF4493">
              <w:rPr>
                <w:rFonts w:ascii="Verdana" w:eastAsia="Aptos" w:hAnsi="Verdana" w:cs="Arial"/>
                <w:shd w:val="clear" w:color="auto" w:fill="FFFFFF"/>
              </w:rPr>
              <w:t>l</w:t>
            </w:r>
            <w:r w:rsidR="00DF4493" w:rsidRPr="00DF4493">
              <w:rPr>
                <w:rFonts w:ascii="Verdana" w:eastAsia="Aptos" w:hAnsi="Verdana" w:cs="Arial"/>
                <w:shd w:val="clear" w:color="auto" w:fill="FFFFFF"/>
              </w:rPr>
              <w:t>os servidores públicos no podrán celebrar, por sí o por interpuesta persona, o en representación de otro, contrato alguno con entidades públicas o con personas privadas que manejen o administren recursos públicos, salvo las excepciones legales</w:t>
            </w:r>
            <w:r>
              <w:rPr>
                <w:rFonts w:ascii="Verdana" w:eastAsia="Aptos" w:hAnsi="Verdana" w:cs="Arial"/>
                <w:shd w:val="clear" w:color="auto" w:fill="FFFFFF"/>
              </w:rPr>
              <w:t xml:space="preserve">”. En congruencia con la norma constitucional, el legislador en el literal f) del artículo 8 de la Ley 80 de 1993 señala que los servidores públicos son inhábiles para participar en procesos de contratación así como para celebrar contratos con entidades estatales.  </w:t>
            </w:r>
          </w:p>
          <w:p w14:paraId="4F2FD3BD" w14:textId="77777777" w:rsidR="00A65EC6" w:rsidRDefault="00A65EC6" w:rsidP="00A65EC6">
            <w:pPr>
              <w:spacing w:before="120" w:after="120" w:line="276" w:lineRule="auto"/>
              <w:contextualSpacing/>
              <w:jc w:val="both"/>
              <w:rPr>
                <w:rFonts w:ascii="Verdana" w:eastAsia="Aptos" w:hAnsi="Verdana" w:cs="Arial"/>
                <w:shd w:val="clear" w:color="auto" w:fill="FFFFFF"/>
              </w:rPr>
            </w:pPr>
          </w:p>
          <w:p w14:paraId="78DAC75C" w14:textId="77777777" w:rsidR="00A65EC6" w:rsidRDefault="00A65EC6" w:rsidP="00A65EC6">
            <w:pPr>
              <w:spacing w:before="120" w:after="120" w:line="276" w:lineRule="auto"/>
              <w:contextualSpacing/>
              <w:jc w:val="both"/>
              <w:rPr>
                <w:rFonts w:ascii="Verdana" w:eastAsia="Aptos" w:hAnsi="Verdana" w:cs="Arial"/>
                <w:shd w:val="clear" w:color="auto" w:fill="FFFFFF"/>
              </w:rPr>
            </w:pPr>
            <w:r>
              <w:rPr>
                <w:rFonts w:ascii="Verdana" w:eastAsia="Aptos" w:hAnsi="Verdana" w:cs="Arial"/>
                <w:shd w:val="clear" w:color="auto" w:fill="FFFFFF"/>
              </w:rPr>
              <w:t xml:space="preserve">Por su parte el literal D) del numeral 2 del </w:t>
            </w:r>
            <w:proofErr w:type="spellStart"/>
            <w:r>
              <w:rPr>
                <w:rFonts w:ascii="Verdana" w:eastAsia="Aptos" w:hAnsi="Verdana" w:cs="Arial"/>
                <w:shd w:val="clear" w:color="auto" w:fill="FFFFFF"/>
              </w:rPr>
              <w:t>articulo</w:t>
            </w:r>
            <w:proofErr w:type="spellEnd"/>
            <w:r>
              <w:rPr>
                <w:rFonts w:ascii="Verdana" w:eastAsia="Aptos" w:hAnsi="Verdana" w:cs="Arial"/>
                <w:shd w:val="clear" w:color="auto" w:fill="FFFFFF"/>
              </w:rPr>
              <w:t xml:space="preserve"> 8 de la Ley 80 de 1993, frente a la posibilidad de</w:t>
            </w:r>
            <w:r w:rsidRPr="00195B7F">
              <w:rPr>
                <w:rFonts w:ascii="Verdana" w:eastAsia="Aptos" w:hAnsi="Verdana" w:cs="Arial"/>
                <w:shd w:val="clear" w:color="auto" w:fill="FFFFFF"/>
              </w:rPr>
              <w:t xml:space="preserve"> participar en licitaciones o concursos </w:t>
            </w:r>
            <w:r>
              <w:rPr>
                <w:rFonts w:ascii="Verdana" w:eastAsia="Aptos" w:hAnsi="Verdana" w:cs="Arial"/>
                <w:shd w:val="clear" w:color="auto" w:fill="FFFFFF"/>
              </w:rPr>
              <w:t xml:space="preserve">con la misma entidad en donde el funcionario ejerce sus funciones, señala que son inhábiles para participar en procesos de selección, así como para celebrar contratos con </w:t>
            </w:r>
            <w:r>
              <w:rPr>
                <w:rFonts w:ascii="Verdana" w:eastAsia="Aptos" w:hAnsi="Verdana" w:cs="Arial"/>
                <w:shd w:val="clear" w:color="auto" w:fill="FFFFFF"/>
              </w:rPr>
              <w:lastRenderedPageBreak/>
              <w:t>entidades estatales l</w:t>
            </w:r>
            <w:r w:rsidRPr="00195B7F">
              <w:rPr>
                <w:rFonts w:ascii="Verdana" w:eastAsia="Aptos" w:hAnsi="Verdana" w:cs="Arial"/>
                <w:shd w:val="clear" w:color="auto" w:fill="FFFFFF"/>
              </w:rPr>
              <w:t>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 tenga participación o desempeñe cargos de dirección o manejo.</w:t>
            </w:r>
          </w:p>
          <w:p w14:paraId="63E49C53" w14:textId="311F64AE" w:rsidR="00A65EC6" w:rsidRPr="00FF684B" w:rsidRDefault="00A65EC6" w:rsidP="00A65EC6">
            <w:pPr>
              <w:spacing w:before="120" w:after="120" w:line="276" w:lineRule="auto"/>
              <w:contextualSpacing/>
              <w:jc w:val="both"/>
              <w:rPr>
                <w:rFonts w:ascii="Verdana" w:eastAsia="Aptos" w:hAnsi="Verdana" w:cs="Arial"/>
                <w:shd w:val="clear" w:color="auto" w:fill="FFFFFF"/>
              </w:rPr>
            </w:pPr>
            <w:r>
              <w:rPr>
                <w:rFonts w:ascii="Verdana" w:eastAsia="Aptos" w:hAnsi="Verdana" w:cs="Arial"/>
                <w:shd w:val="clear" w:color="auto" w:fill="FFFFFF"/>
              </w:rPr>
              <w:t>De tal manera que, revisada la norma, n</w:t>
            </w:r>
            <w:r w:rsidRPr="00C20A71">
              <w:rPr>
                <w:rFonts w:ascii="Verdana" w:eastAsia="Aptos" w:hAnsi="Verdana" w:cs="Arial"/>
                <w:shd w:val="clear" w:color="auto" w:fill="FFFFFF"/>
              </w:rPr>
              <w:t>o existe impedimento o inhabilidad para que un servidor público pueda ser socio o asociado de una asociación privada sin ánimo de lucro, siempre y cuando no</w:t>
            </w:r>
            <w:r w:rsidR="00BC77E4">
              <w:rPr>
                <w:rFonts w:ascii="Verdana" w:eastAsia="Aptos" w:hAnsi="Verdana" w:cs="Arial"/>
                <w:shd w:val="clear" w:color="auto" w:fill="FFFFFF"/>
              </w:rPr>
              <w:t xml:space="preserve"> sea representante legal o suplente,</w:t>
            </w:r>
            <w:r w:rsidRPr="00C20A71">
              <w:rPr>
                <w:rFonts w:ascii="Verdana" w:eastAsia="Aptos" w:hAnsi="Verdana" w:cs="Arial"/>
                <w:shd w:val="clear" w:color="auto" w:fill="FFFFFF"/>
              </w:rPr>
              <w:t xml:space="preserve"> preste a título particular servicios de asistencia o asesoría en asuntos relacionados con las funciones propias del cargo de la entidad pública donde labora, ni preste servicios de asistencia, representación o asesoría a quienes estuvieron o están sujetos a la inspección, vigilancia, control o regulación de la entidad, corporación u organismos público al que se encuentre vinculado. Tampoco puede desarrollar estas actividades dentro de la jornada laboral que tiene en la entidad pública. </w:t>
            </w:r>
            <w:r>
              <w:rPr>
                <w:rStyle w:val="Refdenotaalpie"/>
                <w:rFonts w:ascii="Verdana" w:eastAsia="Aptos" w:hAnsi="Verdana" w:cs="Arial"/>
                <w:shd w:val="clear" w:color="auto" w:fill="FFFFFF"/>
              </w:rPr>
              <w:footnoteReference w:id="1"/>
            </w:r>
          </w:p>
          <w:p w14:paraId="6EEA1D4C" w14:textId="77777777" w:rsidR="00BC77E4" w:rsidRDefault="00BC77E4" w:rsidP="00A65EC6">
            <w:pPr>
              <w:spacing w:before="120" w:after="120" w:line="276" w:lineRule="auto"/>
              <w:contextualSpacing/>
              <w:jc w:val="both"/>
              <w:rPr>
                <w:rFonts w:ascii="Verdana" w:eastAsia="Aptos" w:hAnsi="Verdana" w:cs="Arial"/>
                <w:shd w:val="clear" w:color="auto" w:fill="FFFFFF"/>
              </w:rPr>
            </w:pPr>
          </w:p>
          <w:p w14:paraId="46B466ED" w14:textId="77777777" w:rsidR="00A65EC6" w:rsidRPr="00330482" w:rsidRDefault="00A65EC6" w:rsidP="00A65EC6">
            <w:pPr>
              <w:spacing w:before="120" w:after="120" w:line="276" w:lineRule="auto"/>
              <w:contextualSpacing/>
              <w:jc w:val="both"/>
              <w:rPr>
                <w:rFonts w:ascii="Verdana" w:eastAsia="Aptos" w:hAnsi="Verdana" w:cs="Arial"/>
                <w:shd w:val="clear" w:color="auto" w:fill="FFFFFF"/>
              </w:rPr>
            </w:pPr>
            <w:r>
              <w:rPr>
                <w:rFonts w:ascii="Verdana" w:eastAsia="Aptos" w:hAnsi="Verdana" w:cs="Arial"/>
                <w:shd w:val="clear" w:color="auto" w:fill="FFFFFF"/>
              </w:rPr>
              <w:t>En ese orden de ideas,</w:t>
            </w:r>
            <w:r w:rsidRPr="00330482">
              <w:rPr>
                <w:rFonts w:ascii="Verdana" w:eastAsia="Aptos" w:hAnsi="Verdana" w:cs="Arial"/>
                <w:shd w:val="clear" w:color="auto" w:fill="FFFFFF"/>
              </w:rPr>
              <w:t xml:space="preserve"> deberá revisarse el caso de manera particular, pues si tiene participación estatal o administra o maneja bienes públicos, estaría</w:t>
            </w:r>
            <w:r>
              <w:rPr>
                <w:rFonts w:ascii="Verdana" w:eastAsia="Aptos" w:hAnsi="Verdana" w:cs="Arial"/>
                <w:shd w:val="clear" w:color="auto" w:fill="FFFFFF"/>
              </w:rPr>
              <w:t xml:space="preserve"> el funcionario público en caso que represente a la ESAL</w:t>
            </w:r>
            <w:r w:rsidRPr="00330482">
              <w:rPr>
                <w:rFonts w:ascii="Verdana" w:eastAsia="Aptos" w:hAnsi="Verdana" w:cs="Arial"/>
                <w:shd w:val="clear" w:color="auto" w:fill="FFFFFF"/>
              </w:rPr>
              <w:t xml:space="preserve"> ejerciendo dos funciones públicas que no le han sido asignadas por la norma, situación proscrita por la legislación.</w:t>
            </w:r>
            <w:r>
              <w:rPr>
                <w:rStyle w:val="Refdenotaalpie"/>
                <w:rFonts w:ascii="Verdana" w:eastAsia="Aptos" w:hAnsi="Verdana" w:cs="Arial"/>
                <w:shd w:val="clear" w:color="auto" w:fill="FFFFFF"/>
              </w:rPr>
              <w:footnoteReference w:id="2"/>
            </w:r>
          </w:p>
          <w:p w14:paraId="11DD70BC" w14:textId="77777777" w:rsidR="00A65EC6" w:rsidRPr="00FF684B" w:rsidRDefault="00A65EC6" w:rsidP="00A65EC6">
            <w:pPr>
              <w:spacing w:before="120" w:after="120" w:line="276" w:lineRule="auto"/>
              <w:contextualSpacing/>
              <w:jc w:val="both"/>
              <w:rPr>
                <w:rFonts w:ascii="Verdana" w:eastAsia="Aptos" w:hAnsi="Verdana" w:cs="Arial"/>
                <w:shd w:val="clear" w:color="auto" w:fill="FFFFFF"/>
              </w:rPr>
            </w:pPr>
          </w:p>
          <w:p w14:paraId="7C2E0C4B" w14:textId="71E39E73" w:rsidR="00EE25F7" w:rsidRPr="002973E9" w:rsidRDefault="00A65EC6" w:rsidP="008303CD">
            <w:pPr>
              <w:spacing w:before="120" w:after="120" w:line="276" w:lineRule="auto"/>
              <w:contextualSpacing/>
              <w:jc w:val="both"/>
              <w:rPr>
                <w:rFonts w:ascii="Verdana" w:eastAsia="Calibri" w:hAnsi="Verdana" w:cs="Arial"/>
                <w:lang w:val="es-ES"/>
              </w:rPr>
            </w:pPr>
            <w:r w:rsidRPr="00FF684B">
              <w:rPr>
                <w:rFonts w:ascii="Verdana" w:eastAsia="Aptos" w:hAnsi="Verdana" w:cs="Arial"/>
                <w:shd w:val="clear" w:color="auto" w:fill="FFFFFF"/>
              </w:rPr>
              <w:t>Finalmente, es pertinente indicar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Verdana" w:eastAsia="Aptos" w:hAnsi="Verdana" w:cs="Arial"/>
                <w:shd w:val="clear" w:color="auto" w:fill="FFFFFF"/>
              </w:rPr>
              <w:t>.</w:t>
            </w:r>
          </w:p>
        </w:tc>
      </w:tr>
    </w:tbl>
    <w:p w14:paraId="00B28EDF" w14:textId="77777777" w:rsidR="00EE25F7" w:rsidRDefault="00EE25F7" w:rsidP="00EE25F7">
      <w:pPr>
        <w:tabs>
          <w:tab w:val="left" w:pos="142"/>
          <w:tab w:val="left" w:pos="284"/>
        </w:tabs>
        <w:spacing w:after="0" w:line="276" w:lineRule="auto"/>
        <w:jc w:val="both"/>
        <w:rPr>
          <w:rFonts w:ascii="Verdana" w:eastAsia="Century Gothic" w:hAnsi="Verdana" w:cs="Century Gothic"/>
          <w:b/>
          <w:bCs/>
          <w:lang w:val="es-ES"/>
        </w:rPr>
      </w:pPr>
    </w:p>
    <w:p w14:paraId="5D1FAE6B" w14:textId="77777777" w:rsidR="00EE25F7" w:rsidRPr="00593A5F" w:rsidRDefault="00EE25F7" w:rsidP="00EE25F7">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3731B90" w14:textId="77777777" w:rsidR="00EE25F7" w:rsidRPr="00593A5F" w:rsidRDefault="00EE25F7" w:rsidP="00EE25F7">
      <w:pPr>
        <w:spacing w:after="0" w:line="276" w:lineRule="auto"/>
        <w:jc w:val="both"/>
        <w:rPr>
          <w:rFonts w:ascii="Verdana" w:eastAsia="Calibri" w:hAnsi="Verdana" w:cs="Arial"/>
          <w:color w:val="7030A0"/>
          <w:lang w:val="es-ES"/>
        </w:rPr>
      </w:pPr>
    </w:p>
    <w:p w14:paraId="11F51658" w14:textId="77777777" w:rsidR="00EE25F7" w:rsidRDefault="00EE25F7" w:rsidP="00EE25F7">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0266D5D6" w14:textId="77777777" w:rsidR="00EE25F7" w:rsidRDefault="00EE25F7" w:rsidP="00EE25F7">
      <w:pPr>
        <w:spacing w:after="0" w:line="276" w:lineRule="auto"/>
        <w:jc w:val="both"/>
        <w:rPr>
          <w:rFonts w:ascii="Verdana" w:eastAsia="Calibri" w:hAnsi="Verdana" w:cs="Arial"/>
        </w:rPr>
      </w:pPr>
    </w:p>
    <w:p w14:paraId="3E261822" w14:textId="77777777" w:rsidR="00EE25F7" w:rsidRDefault="00EE25F7" w:rsidP="00EE25F7">
      <w:pPr>
        <w:pStyle w:val="Prrafodelista"/>
        <w:numPr>
          <w:ilvl w:val="0"/>
          <w:numId w:val="18"/>
        </w:numPr>
        <w:spacing w:after="0" w:line="276" w:lineRule="auto"/>
        <w:ind w:left="284"/>
        <w:jc w:val="both"/>
        <w:rPr>
          <w:rFonts w:ascii="Verdana" w:eastAsia="Calibri" w:hAnsi="Verdana" w:cs="Arial"/>
        </w:rPr>
      </w:pPr>
      <w:r w:rsidRPr="001D4BE9">
        <w:rPr>
          <w:rFonts w:ascii="Verdana" w:eastAsia="Calibri" w:hAnsi="Verdana" w:cs="Arial"/>
        </w:rPr>
        <w:t>Las entidades sin ánimo de lucro justifican su existencia en la medida que ayudan al Estado en el cumplimiento de las finalidades, esto es,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6789C55" w14:textId="77777777" w:rsidR="00EE25F7" w:rsidRDefault="00EE25F7" w:rsidP="00EE25F7">
      <w:pPr>
        <w:pStyle w:val="Prrafodelista"/>
        <w:spacing w:after="0" w:line="276" w:lineRule="auto"/>
        <w:ind w:left="284"/>
        <w:jc w:val="both"/>
        <w:rPr>
          <w:rFonts w:ascii="Verdana" w:eastAsia="Calibri" w:hAnsi="Verdana" w:cs="Arial"/>
        </w:rPr>
      </w:pPr>
    </w:p>
    <w:p w14:paraId="6C123A66" w14:textId="77777777" w:rsidR="00EE25F7" w:rsidRPr="001D4BE9" w:rsidRDefault="00EE25F7" w:rsidP="00EE25F7">
      <w:pPr>
        <w:pStyle w:val="Prrafodelista"/>
        <w:numPr>
          <w:ilvl w:val="0"/>
          <w:numId w:val="18"/>
        </w:numPr>
        <w:spacing w:after="0" w:line="276" w:lineRule="auto"/>
        <w:ind w:left="284"/>
        <w:jc w:val="both"/>
        <w:rPr>
          <w:rFonts w:ascii="Verdana" w:eastAsia="Calibri" w:hAnsi="Verdana" w:cs="Arial"/>
        </w:rPr>
      </w:pPr>
      <w:r w:rsidRPr="001D4BE9">
        <w:rPr>
          <w:rFonts w:ascii="Verdana" w:eastAsia="Calibri" w:hAnsi="Verdana" w:cs="Arial"/>
        </w:rPr>
        <w:t>El elemento característico de estas entidades es la ausencia de lucro, el cual está relacionado con que no haya una distribución o reparto de utilidades a sus miembros, tesis que, de acuerdo con el precedente judicial del Consejo de Estado, precisa:</w:t>
      </w:r>
    </w:p>
    <w:p w14:paraId="12574CE0" w14:textId="77777777" w:rsidR="00EE25F7" w:rsidRPr="001D4BE9" w:rsidRDefault="00EE25F7" w:rsidP="00EE25F7">
      <w:pPr>
        <w:spacing w:after="0" w:line="276" w:lineRule="auto"/>
        <w:ind w:left="720"/>
        <w:contextualSpacing/>
        <w:jc w:val="both"/>
        <w:rPr>
          <w:rFonts w:ascii="Verdana" w:eastAsia="Calibri" w:hAnsi="Verdana" w:cs="Arial"/>
        </w:rPr>
      </w:pPr>
    </w:p>
    <w:p w14:paraId="3A2CDD8E" w14:textId="77777777" w:rsidR="00EE25F7" w:rsidRDefault="00EE25F7" w:rsidP="00EE25F7">
      <w:pPr>
        <w:spacing w:after="0" w:line="276" w:lineRule="auto"/>
        <w:ind w:left="720"/>
        <w:contextualSpacing/>
        <w:jc w:val="both"/>
        <w:rPr>
          <w:rFonts w:ascii="Verdana" w:eastAsia="Calibri" w:hAnsi="Verdana" w:cs="Arial"/>
        </w:rPr>
      </w:pPr>
      <w:r w:rsidRPr="001D4BE9">
        <w:rPr>
          <w:rFonts w:ascii="Verdana" w:eastAsia="Calibri" w:hAnsi="Verdana" w:cs="Arial"/>
        </w:rPr>
        <w:t>“El criterio de lucro o las finalidades de lucro no se relacionan, no pueden relacionarse a las utilidades obtenidas, sino a la destinación que se les dé. La estipulación o norma, que elimina los fines de lucro, es la que tiene como consecuencia, la de que los rendimientos o utilidades obtenidas no sean objeto de distribución o reparto entre socios o integrantes de la persona moral que las</w:t>
      </w:r>
      <w:r>
        <w:rPr>
          <w:rFonts w:ascii="Verdana" w:eastAsia="Calibri" w:hAnsi="Verdana" w:cs="Arial"/>
        </w:rPr>
        <w:t xml:space="preserve"> </w:t>
      </w:r>
      <w:r w:rsidRPr="001D4BE9">
        <w:rPr>
          <w:rFonts w:ascii="Verdana" w:eastAsia="Calibri" w:hAnsi="Verdana" w:cs="Arial"/>
        </w:rPr>
        <w:t>genera. Este criterio o concepto ha sido tradicionalmente concebido y respetado siempre.</w:t>
      </w:r>
      <w:r>
        <w:rPr>
          <w:rStyle w:val="Refdenotaalpie"/>
          <w:rFonts w:ascii="Verdana" w:eastAsia="Calibri" w:hAnsi="Verdana" w:cs="Arial"/>
        </w:rPr>
        <w:footnoteReference w:id="3"/>
      </w:r>
      <w:r w:rsidRPr="001D4BE9">
        <w:rPr>
          <w:rFonts w:ascii="Verdana" w:eastAsia="Calibri" w:hAnsi="Verdana" w:cs="Arial"/>
        </w:rPr>
        <w:t xml:space="preserve">” </w:t>
      </w:r>
    </w:p>
    <w:p w14:paraId="663C628E" w14:textId="77777777" w:rsidR="00EE25F7" w:rsidRDefault="00EE25F7" w:rsidP="008A0115">
      <w:pPr>
        <w:spacing w:after="0" w:line="276" w:lineRule="auto"/>
        <w:contextualSpacing/>
        <w:jc w:val="both"/>
        <w:rPr>
          <w:rFonts w:ascii="Verdana" w:eastAsia="Calibri" w:hAnsi="Verdana" w:cs="Arial"/>
        </w:rPr>
      </w:pPr>
    </w:p>
    <w:p w14:paraId="359DD6DA" w14:textId="77777777" w:rsidR="00EE25F7" w:rsidRDefault="00EE25F7" w:rsidP="008A0115">
      <w:pPr>
        <w:pStyle w:val="Prrafodelista"/>
        <w:numPr>
          <w:ilvl w:val="0"/>
          <w:numId w:val="19"/>
        </w:numPr>
        <w:spacing w:after="0" w:line="276" w:lineRule="auto"/>
        <w:ind w:left="0"/>
        <w:jc w:val="both"/>
        <w:rPr>
          <w:rFonts w:ascii="Verdana" w:eastAsia="Calibri" w:hAnsi="Verdana" w:cs="Arial"/>
        </w:rPr>
      </w:pPr>
      <w:r w:rsidRPr="001D4BE9">
        <w:rPr>
          <w:rFonts w:ascii="Verdana" w:eastAsia="Calibri" w:hAnsi="Verdana" w:cs="Arial"/>
        </w:rPr>
        <w:t>Ahora bien, respecto a la capacidad de las ESAL de participar en los procesos de contratación pública del EGCAP, se debe aclarar que la capacidad jurídica es la aptitud que recae en los sujetos activos o pasivos de las relaciones jurídicas</w:t>
      </w:r>
      <w:r>
        <w:rPr>
          <w:rStyle w:val="Refdenotaalpie"/>
          <w:rFonts w:ascii="Verdana" w:eastAsia="Calibri" w:hAnsi="Verdana" w:cs="Arial"/>
        </w:rPr>
        <w:footnoteReference w:id="4"/>
      </w:r>
      <w:r w:rsidRPr="001D4BE9">
        <w:rPr>
          <w:rFonts w:ascii="Verdana" w:eastAsia="Calibri" w:hAnsi="Verdana" w:cs="Arial"/>
        </w:rPr>
        <w:t xml:space="preserve">. Para efectos de las relaciones contractuales en las que uno de los extremos de la relación sea una Entidad Estatal, la capacidad contractual es la facultad que se ostenta para celebrar contratos con una Entidad Estatal. En otras palabras, es: i) la capacidad de obligarse a cumplir el objeto del contrato y </w:t>
      </w:r>
      <w:proofErr w:type="spellStart"/>
      <w:r w:rsidRPr="001D4BE9">
        <w:rPr>
          <w:rFonts w:ascii="Verdana" w:eastAsia="Calibri" w:hAnsi="Verdana" w:cs="Arial"/>
        </w:rPr>
        <w:t>ii</w:t>
      </w:r>
      <w:proofErr w:type="spellEnd"/>
      <w:r w:rsidRPr="001D4BE9">
        <w:rPr>
          <w:rFonts w:ascii="Verdana" w:eastAsia="Calibri" w:hAnsi="Verdana" w:cs="Arial"/>
        </w:rPr>
        <w:t>) de no estar incursa en inhabilidades o incompatibilidades que impiden la celebración del negocio.</w:t>
      </w:r>
    </w:p>
    <w:p w14:paraId="034826F1" w14:textId="77777777" w:rsidR="00EE25F7" w:rsidRDefault="00EE25F7" w:rsidP="008A0115">
      <w:pPr>
        <w:pStyle w:val="Prrafodelista"/>
        <w:spacing w:after="0" w:line="276" w:lineRule="auto"/>
        <w:ind w:left="0"/>
        <w:jc w:val="both"/>
        <w:rPr>
          <w:rFonts w:ascii="Verdana" w:eastAsia="Calibri" w:hAnsi="Verdana" w:cs="Arial"/>
        </w:rPr>
      </w:pPr>
    </w:p>
    <w:p w14:paraId="020A9271" w14:textId="77777777" w:rsidR="00EE25F7" w:rsidRPr="001D4BE9" w:rsidRDefault="00EE25F7" w:rsidP="008A0115">
      <w:pPr>
        <w:pStyle w:val="Prrafodelista"/>
        <w:numPr>
          <w:ilvl w:val="0"/>
          <w:numId w:val="19"/>
        </w:numPr>
        <w:spacing w:after="0" w:line="276" w:lineRule="auto"/>
        <w:ind w:left="0"/>
        <w:jc w:val="both"/>
        <w:rPr>
          <w:rFonts w:ascii="Verdana" w:eastAsia="Calibri" w:hAnsi="Verdana" w:cs="Arial"/>
        </w:rPr>
      </w:pPr>
      <w:r w:rsidRPr="001D4BE9">
        <w:rPr>
          <w:rFonts w:ascii="Verdana" w:eastAsia="Calibri" w:hAnsi="Verdana" w:cs="Arial"/>
        </w:rPr>
        <w:lastRenderedPageBreak/>
        <w:t>Para efectos de la aplicación del EGCAP, la capacidad para contratar la tienen las personas consideradas legalmente capaces en las disposiciones vigentes</w:t>
      </w:r>
      <w:r>
        <w:rPr>
          <w:rStyle w:val="Refdenotaalpie"/>
          <w:rFonts w:ascii="Verdana" w:eastAsia="Calibri" w:hAnsi="Verdana" w:cs="Arial"/>
        </w:rPr>
        <w:footnoteReference w:id="5"/>
      </w:r>
      <w:r w:rsidRPr="001D4BE9">
        <w:rPr>
          <w:rFonts w:ascii="Verdana" w:eastAsia="Calibri" w:hAnsi="Verdana" w:cs="Arial"/>
        </w:rPr>
        <w:t>, así como otras formas asociativas.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6AA0B6F1" w14:textId="77777777" w:rsidR="00EE25F7" w:rsidRPr="001D4BE9" w:rsidRDefault="00EE25F7" w:rsidP="008A0115">
      <w:pPr>
        <w:spacing w:after="0" w:line="276" w:lineRule="auto"/>
        <w:contextualSpacing/>
        <w:jc w:val="both"/>
        <w:rPr>
          <w:rFonts w:ascii="Verdana" w:eastAsia="Calibri" w:hAnsi="Verdana" w:cs="Arial"/>
        </w:rPr>
      </w:pPr>
    </w:p>
    <w:p w14:paraId="32972DBD" w14:textId="77777777" w:rsidR="00EE25F7" w:rsidRDefault="00EE25F7" w:rsidP="008A0115">
      <w:pPr>
        <w:pStyle w:val="Prrafodelista"/>
        <w:numPr>
          <w:ilvl w:val="0"/>
          <w:numId w:val="19"/>
        </w:numPr>
        <w:spacing w:after="0" w:line="276" w:lineRule="auto"/>
        <w:ind w:left="0"/>
        <w:jc w:val="both"/>
        <w:rPr>
          <w:rFonts w:ascii="Verdana" w:eastAsia="Calibri" w:hAnsi="Verdana" w:cs="Arial"/>
        </w:rPr>
      </w:pPr>
      <w:r w:rsidRPr="001D4BE9">
        <w:rPr>
          <w:rFonts w:ascii="Verdana" w:eastAsia="Calibri" w:hAnsi="Verdana" w:cs="Arial"/>
        </w:rPr>
        <w:t>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w:t>
      </w:r>
      <w:r>
        <w:rPr>
          <w:rFonts w:ascii="Verdana" w:eastAsia="Calibri" w:hAnsi="Verdana" w:cs="Arial"/>
        </w:rPr>
        <w:t xml:space="preserve"> </w:t>
      </w:r>
      <w:r w:rsidRPr="001D4BE9">
        <w:rPr>
          <w:rFonts w:ascii="Verdana" w:eastAsia="Calibri" w:hAnsi="Verdana" w:cs="Arial"/>
        </w:rPr>
        <w:t>EGCAP, caso en el cual participan con las mismas reglas aplicables a los demás oferentes.</w:t>
      </w:r>
    </w:p>
    <w:p w14:paraId="6CC276F6" w14:textId="77777777" w:rsidR="00EE25F7" w:rsidRPr="003518A7" w:rsidRDefault="00EE25F7" w:rsidP="008A0115">
      <w:pPr>
        <w:pStyle w:val="Prrafodelista"/>
        <w:ind w:left="0"/>
        <w:rPr>
          <w:rFonts w:ascii="Verdana" w:eastAsia="Calibri" w:hAnsi="Verdana" w:cs="Arial"/>
        </w:rPr>
      </w:pPr>
    </w:p>
    <w:p w14:paraId="7B5AAA42" w14:textId="77777777" w:rsidR="00EE25F7" w:rsidRDefault="00EE25F7" w:rsidP="008A0115">
      <w:pPr>
        <w:pStyle w:val="Prrafodelista"/>
        <w:numPr>
          <w:ilvl w:val="0"/>
          <w:numId w:val="19"/>
        </w:numPr>
        <w:spacing w:after="0" w:line="276" w:lineRule="auto"/>
        <w:ind w:left="0"/>
        <w:jc w:val="both"/>
        <w:rPr>
          <w:rFonts w:ascii="Verdana" w:eastAsia="Calibri" w:hAnsi="Verdana" w:cs="Arial"/>
        </w:rPr>
      </w:pPr>
      <w:r w:rsidRPr="003518A7">
        <w:rPr>
          <w:rFonts w:ascii="Verdana" w:eastAsia="Calibri" w:hAnsi="Verdana" w:cs="Arial"/>
        </w:rPr>
        <w:t>Con fundamento a lo anterior, una entidad sin ánimo de lucro corresponde a una persona jurídica capaz de ejercer derechos y contraer obligaciones, cuya finalidad es que sus utilidades o beneficios sean reinvertidos en el objeto social para el cual han sido creadas, es decir, la finalidad no es repartir las utilidades a sus miembros, llámese asociados, fundadores o cooperados.</w:t>
      </w:r>
    </w:p>
    <w:p w14:paraId="00E78821" w14:textId="77777777" w:rsidR="008303CD" w:rsidRPr="008303CD" w:rsidRDefault="008303CD" w:rsidP="008A0115">
      <w:pPr>
        <w:pStyle w:val="Prrafodelista"/>
        <w:ind w:left="0"/>
        <w:rPr>
          <w:rFonts w:ascii="Verdana" w:eastAsia="Calibri" w:hAnsi="Verdana" w:cs="Arial"/>
        </w:rPr>
      </w:pPr>
    </w:p>
    <w:p w14:paraId="63342081" w14:textId="2BA5B861" w:rsidR="008303CD" w:rsidRPr="008303CD" w:rsidRDefault="008303CD" w:rsidP="008A0115">
      <w:pPr>
        <w:pStyle w:val="Prrafodelista"/>
        <w:numPr>
          <w:ilvl w:val="0"/>
          <w:numId w:val="19"/>
        </w:numPr>
        <w:spacing w:before="120" w:after="120" w:line="276" w:lineRule="auto"/>
        <w:ind w:left="0"/>
        <w:jc w:val="both"/>
        <w:rPr>
          <w:rFonts w:ascii="Verdana" w:eastAsia="Aptos" w:hAnsi="Verdana" w:cs="Arial"/>
          <w:shd w:val="clear" w:color="auto" w:fill="FFFFFF"/>
        </w:rPr>
      </w:pPr>
      <w:r>
        <w:rPr>
          <w:rFonts w:ascii="Verdana" w:eastAsia="Aptos" w:hAnsi="Verdana" w:cs="Arial"/>
          <w:shd w:val="clear" w:color="auto" w:fill="FFFFFF"/>
        </w:rPr>
        <w:t xml:space="preserve">En conclusión </w:t>
      </w:r>
      <w:r w:rsidRPr="008303CD">
        <w:rPr>
          <w:rFonts w:ascii="Verdana" w:eastAsia="Aptos" w:hAnsi="Verdana" w:cs="Arial"/>
          <w:shd w:val="clear" w:color="auto" w:fill="FFFFFF"/>
        </w:rPr>
        <w:t xml:space="preserve"> aunque las ESAL no tienen como objetivo la generación de utilidades, esto no les impide participar en contratos o actividades comerciales que generen ingresos, siempre y cuando estos se reinviertan en el cumplimiento de sus fines sociales y no se distribuyan entre sus miembros; no obstante, esto no difiere que las ESAL tienen capacidad jurídica para la capacidad para contratar, la cual hace referencia a la posibilidad que tienen para adelantar actividades en el marco de su objeto social, a las facultades que le han sido </w:t>
      </w:r>
      <w:r w:rsidRPr="008303CD">
        <w:rPr>
          <w:rFonts w:ascii="Verdana" w:eastAsia="Aptos" w:hAnsi="Verdana" w:cs="Arial"/>
          <w:shd w:val="clear" w:color="auto" w:fill="FFFFFF"/>
        </w:rPr>
        <w:lastRenderedPageBreak/>
        <w:t>otorgadas al representante legal y a la ausencia de inhabilidades, incompatibilidades o prohibiciones para contratar, derivadas de la ley.</w:t>
      </w:r>
    </w:p>
    <w:p w14:paraId="49028650" w14:textId="77777777" w:rsidR="008303CD" w:rsidRDefault="008303CD" w:rsidP="008A0115">
      <w:pPr>
        <w:pStyle w:val="Prrafodelista"/>
        <w:spacing w:after="0" w:line="276" w:lineRule="auto"/>
        <w:ind w:left="0"/>
        <w:jc w:val="both"/>
        <w:rPr>
          <w:rFonts w:ascii="Verdana" w:eastAsia="Calibri" w:hAnsi="Verdana" w:cs="Arial"/>
        </w:rPr>
      </w:pPr>
    </w:p>
    <w:p w14:paraId="76F10FD6" w14:textId="77777777" w:rsidR="00EE25F7" w:rsidRDefault="00EE25F7" w:rsidP="008A0115">
      <w:pPr>
        <w:pStyle w:val="Prrafodelista"/>
        <w:numPr>
          <w:ilvl w:val="0"/>
          <w:numId w:val="19"/>
        </w:numPr>
        <w:spacing w:after="0" w:line="276" w:lineRule="auto"/>
        <w:ind w:left="0"/>
        <w:jc w:val="both"/>
        <w:rPr>
          <w:rFonts w:ascii="Verdana" w:eastAsia="Calibri" w:hAnsi="Verdana" w:cs="Arial"/>
        </w:rPr>
      </w:pPr>
      <w:r w:rsidRPr="003518A7">
        <w:rPr>
          <w:rFonts w:ascii="Verdana" w:eastAsia="Calibri" w:hAnsi="Verdana" w:cs="Arial"/>
        </w:rPr>
        <w:t>Ahora bien, respecto a las inhabilidades, estas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4DFCFA43" w14:textId="77777777" w:rsidR="00380D5B" w:rsidRPr="00380D5B" w:rsidRDefault="00380D5B" w:rsidP="008A0115">
      <w:pPr>
        <w:pStyle w:val="Prrafodelista"/>
        <w:ind w:left="0"/>
        <w:rPr>
          <w:rFonts w:ascii="Verdana" w:eastAsia="Calibri" w:hAnsi="Verdana" w:cs="Arial"/>
        </w:rPr>
      </w:pPr>
    </w:p>
    <w:p w14:paraId="0FCD31D2" w14:textId="1FCC42A3" w:rsidR="00380D5B" w:rsidRPr="008303CD" w:rsidRDefault="00380D5B" w:rsidP="008A0115">
      <w:pPr>
        <w:pStyle w:val="Prrafodelista"/>
        <w:numPr>
          <w:ilvl w:val="0"/>
          <w:numId w:val="19"/>
        </w:numPr>
        <w:spacing w:after="0" w:line="276" w:lineRule="auto"/>
        <w:ind w:left="0"/>
        <w:jc w:val="both"/>
        <w:rPr>
          <w:rFonts w:ascii="Verdana" w:eastAsia="Calibri" w:hAnsi="Verdana" w:cs="Arial"/>
        </w:rPr>
      </w:pPr>
      <w:r w:rsidRPr="008303CD">
        <w:rPr>
          <w:rFonts w:ascii="Verdana" w:eastAsia="Calibri" w:hAnsi="Verdana" w:cs="Arial"/>
        </w:rPr>
        <w:t xml:space="preserve">Las inhabilidades e incompatibilidades son taxativas, fueron definidas por el legislador y se encuentran reguladas en el artículo 8ª de la Ley 80 de 1993, como en el artículo 90 de la Ley 1474 de 2011. </w:t>
      </w:r>
      <w:r w:rsidRPr="008303CD">
        <w:rPr>
          <w:rFonts w:ascii="Verdana" w:eastAsia="Aptos" w:hAnsi="Verdana" w:cs="Arial"/>
          <w:shd w:val="clear" w:color="auto" w:fill="FFFFFF"/>
        </w:rPr>
        <w:t>En este orden de ideas, las inhabilidades para contratar con el Estado son un conjunto de restricciones establecidas por el constituyente o el legislador, que afectan directamente la capacidad de las personas para establecer relaciones contractuales con el Estado, que pueden resultar de condenas, sanciones o situaciones previamente establecidas por el ordenamiento jurídico.</w:t>
      </w:r>
    </w:p>
    <w:p w14:paraId="18F9767C" w14:textId="77777777" w:rsidR="00EE25F7" w:rsidRPr="003518A7" w:rsidRDefault="00EE25F7" w:rsidP="008A0115">
      <w:pPr>
        <w:pStyle w:val="Prrafodelista"/>
        <w:ind w:left="0"/>
        <w:rPr>
          <w:rFonts w:ascii="Verdana" w:eastAsia="Calibri" w:hAnsi="Verdana" w:cs="Arial"/>
        </w:rPr>
      </w:pPr>
    </w:p>
    <w:p w14:paraId="354342B2" w14:textId="77777777" w:rsidR="00EE25F7" w:rsidRDefault="00EE25F7" w:rsidP="008A0115">
      <w:pPr>
        <w:pStyle w:val="Prrafodelista"/>
        <w:numPr>
          <w:ilvl w:val="0"/>
          <w:numId w:val="19"/>
        </w:numPr>
        <w:spacing w:after="0" w:line="276" w:lineRule="auto"/>
        <w:ind w:left="0"/>
        <w:jc w:val="both"/>
        <w:rPr>
          <w:rFonts w:ascii="Verdana" w:eastAsia="Calibri" w:hAnsi="Verdana" w:cs="Arial"/>
        </w:rPr>
      </w:pPr>
      <w:r w:rsidRPr="003518A7">
        <w:rPr>
          <w:rFonts w:ascii="Verdana" w:eastAsia="Calibri" w:hAnsi="Verdana" w:cs="Arial"/>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Style w:val="Refdenotaalpie"/>
          <w:rFonts w:ascii="Verdana" w:eastAsia="Calibri" w:hAnsi="Verdana" w:cs="Arial"/>
        </w:rPr>
        <w:footnoteReference w:id="6"/>
      </w:r>
      <w:r w:rsidRPr="003518A7">
        <w:rPr>
          <w:rFonts w:ascii="Verdana" w:eastAsia="Calibri" w:hAnsi="Verdana" w:cs="Arial"/>
        </w:rPr>
        <w:t>.</w:t>
      </w:r>
    </w:p>
    <w:p w14:paraId="706283B9" w14:textId="77777777" w:rsidR="00EE25F7" w:rsidRPr="003518A7" w:rsidRDefault="00EE25F7" w:rsidP="008A0115">
      <w:pPr>
        <w:pStyle w:val="Prrafodelista"/>
        <w:ind w:left="0"/>
        <w:rPr>
          <w:rFonts w:ascii="Verdana" w:eastAsia="Calibri" w:hAnsi="Verdana" w:cs="Arial"/>
        </w:rPr>
      </w:pPr>
    </w:p>
    <w:p w14:paraId="0E6440FA" w14:textId="77777777" w:rsidR="00EE25F7" w:rsidRPr="003518A7" w:rsidRDefault="00EE25F7" w:rsidP="008A0115">
      <w:pPr>
        <w:pStyle w:val="Prrafodelista"/>
        <w:numPr>
          <w:ilvl w:val="0"/>
          <w:numId w:val="19"/>
        </w:numPr>
        <w:spacing w:after="0" w:line="276" w:lineRule="auto"/>
        <w:ind w:left="0"/>
        <w:jc w:val="both"/>
        <w:rPr>
          <w:rFonts w:ascii="Verdana" w:eastAsia="Calibri" w:hAnsi="Verdana" w:cs="Arial"/>
        </w:rPr>
      </w:pPr>
      <w:r w:rsidRPr="003518A7">
        <w:rPr>
          <w:rFonts w:ascii="Verdana" w:eastAsia="Calibri" w:hAnsi="Verdana" w:cs="Arial"/>
        </w:rPr>
        <w:t>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w:t>
      </w:r>
    </w:p>
    <w:p w14:paraId="371D7889" w14:textId="77777777" w:rsidR="00EE25F7" w:rsidRPr="001D4BE9" w:rsidRDefault="00EE25F7" w:rsidP="008A0115">
      <w:pPr>
        <w:spacing w:after="0" w:line="276" w:lineRule="auto"/>
        <w:contextualSpacing/>
        <w:jc w:val="both"/>
        <w:rPr>
          <w:rFonts w:ascii="Verdana" w:eastAsia="Calibri" w:hAnsi="Verdana" w:cs="Arial"/>
        </w:rPr>
      </w:pPr>
    </w:p>
    <w:p w14:paraId="00A5DEB7" w14:textId="77777777" w:rsidR="00EE25F7" w:rsidRDefault="00EE25F7" w:rsidP="008A0115">
      <w:pPr>
        <w:spacing w:after="0" w:line="276" w:lineRule="auto"/>
        <w:contextualSpacing/>
        <w:jc w:val="both"/>
        <w:rPr>
          <w:rFonts w:ascii="Verdana" w:eastAsia="Calibri" w:hAnsi="Verdana" w:cs="Arial"/>
        </w:rPr>
      </w:pPr>
      <w:r w:rsidRPr="001D4BE9">
        <w:rPr>
          <w:rFonts w:ascii="Verdana" w:eastAsia="Calibri" w:hAnsi="Verdana" w:cs="Arial"/>
        </w:rPr>
        <w:t>“Todo régimen de inhabilidades e incompatibilidades de suyo excluye a ciertas categorías de personas del proceso de contratación, generando incapacidades especiales, impedimentos y prohibiciones de variada naturaleza, que en cierta</w:t>
      </w:r>
      <w:r>
        <w:rPr>
          <w:rFonts w:ascii="Verdana" w:eastAsia="Calibri" w:hAnsi="Verdana" w:cs="Arial"/>
        </w:rPr>
        <w:t xml:space="preserve"> </w:t>
      </w:r>
      <w:r w:rsidRPr="001D4BE9">
        <w:rPr>
          <w:rFonts w:ascii="Verdana" w:eastAsia="Calibri" w:hAnsi="Verdana" w:cs="Arial"/>
        </w:rPr>
        <w:t>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765DB5C5" w14:textId="77777777" w:rsidR="00EE25F7" w:rsidRPr="001D4BE9" w:rsidRDefault="00EE25F7" w:rsidP="008A0115">
      <w:pPr>
        <w:spacing w:after="0" w:line="276" w:lineRule="auto"/>
        <w:contextualSpacing/>
        <w:jc w:val="both"/>
        <w:rPr>
          <w:rFonts w:ascii="Verdana" w:eastAsia="Calibri" w:hAnsi="Verdana" w:cs="Arial"/>
        </w:rPr>
      </w:pPr>
    </w:p>
    <w:p w14:paraId="0413359E" w14:textId="77777777" w:rsidR="00EE25F7" w:rsidRDefault="00EE25F7" w:rsidP="008A0115">
      <w:pPr>
        <w:spacing w:after="0" w:line="276" w:lineRule="auto"/>
        <w:contextualSpacing/>
        <w:jc w:val="both"/>
        <w:rPr>
          <w:rFonts w:ascii="Verdana" w:eastAsia="Calibri" w:hAnsi="Verdana" w:cs="Arial"/>
        </w:rPr>
      </w:pPr>
      <w:r w:rsidRPr="001D4BE9">
        <w:rPr>
          <w:rFonts w:ascii="Verdana" w:eastAsia="Calibri" w:hAnsi="Verdana" w:cs="Arial"/>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Style w:val="Refdenotaalpie"/>
          <w:rFonts w:ascii="Verdana" w:eastAsia="Calibri" w:hAnsi="Verdana" w:cs="Arial"/>
        </w:rPr>
        <w:footnoteReference w:id="7"/>
      </w:r>
    </w:p>
    <w:p w14:paraId="3BD13B7E" w14:textId="77777777" w:rsidR="006C7E11" w:rsidRDefault="006C7E11" w:rsidP="008A0115">
      <w:pPr>
        <w:spacing w:after="0" w:line="276" w:lineRule="auto"/>
        <w:contextualSpacing/>
        <w:jc w:val="both"/>
        <w:rPr>
          <w:rFonts w:ascii="Verdana" w:eastAsia="Calibri" w:hAnsi="Verdana" w:cs="Arial"/>
        </w:rPr>
      </w:pPr>
    </w:p>
    <w:p w14:paraId="46EF81AC" w14:textId="77777777" w:rsidR="00EE25F7" w:rsidRPr="003518A7" w:rsidRDefault="00EE25F7" w:rsidP="008A0115">
      <w:pPr>
        <w:pStyle w:val="Prrafodelista"/>
        <w:numPr>
          <w:ilvl w:val="0"/>
          <w:numId w:val="19"/>
        </w:numPr>
        <w:spacing w:after="0" w:line="276" w:lineRule="auto"/>
        <w:ind w:left="0"/>
        <w:jc w:val="both"/>
        <w:rPr>
          <w:rFonts w:ascii="Verdana" w:eastAsia="Calibri" w:hAnsi="Verdana" w:cs="Arial"/>
        </w:rPr>
      </w:pPr>
      <w:r w:rsidRPr="003518A7">
        <w:rPr>
          <w:rFonts w:ascii="Verdana" w:eastAsia="Calibri" w:hAnsi="Verdana" w:cs="Arial"/>
        </w:rPr>
        <w:t>Ahora bien, las inhabilidades e incompatibilidades al ser restricciones o límites especiales a la capacidad para presentar ofertas y celebrar contratos estatales, solo pueden tipificarse en la ley –o sea, deben satisfacer el principio de legalidad – y su interpretación debe ser restrictiva ,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p>
    <w:p w14:paraId="6D4E7A53" w14:textId="77777777" w:rsidR="00EE25F7" w:rsidRDefault="00EE25F7" w:rsidP="008A0115">
      <w:pPr>
        <w:spacing w:after="0" w:line="276" w:lineRule="auto"/>
        <w:contextualSpacing/>
        <w:jc w:val="both"/>
        <w:rPr>
          <w:rFonts w:ascii="Verdana" w:eastAsia="Calibri" w:hAnsi="Verdana" w:cs="Arial"/>
        </w:rPr>
      </w:pPr>
    </w:p>
    <w:p w14:paraId="76B7AFFF" w14:textId="77777777" w:rsidR="00EE25F7" w:rsidRDefault="00EE25F7" w:rsidP="008A0115">
      <w:pPr>
        <w:pStyle w:val="Prrafodelista"/>
        <w:numPr>
          <w:ilvl w:val="0"/>
          <w:numId w:val="19"/>
        </w:numPr>
        <w:spacing w:after="0" w:line="276" w:lineRule="auto"/>
        <w:ind w:left="0"/>
        <w:jc w:val="both"/>
        <w:rPr>
          <w:rFonts w:ascii="Verdana" w:eastAsia="Calibri" w:hAnsi="Verdana" w:cs="Arial"/>
        </w:rPr>
      </w:pPr>
      <w:r w:rsidRPr="003518A7">
        <w:rPr>
          <w:rFonts w:ascii="Verdana" w:eastAsia="Calibri" w:hAnsi="Verdana" w:cs="Arial"/>
        </w:rPr>
        <w:t xml:space="preserve">En efecto, el máximo tribunal constitucional ha indicado que, al tratar de precisar el sentido de este tipo de normas, […] </w:t>
      </w:r>
      <w:r>
        <w:rPr>
          <w:rFonts w:ascii="Verdana" w:eastAsia="Calibri" w:hAnsi="Verdana" w:cs="Arial"/>
        </w:rPr>
        <w:t>“</w:t>
      </w:r>
      <w:r w:rsidRPr="003518A7">
        <w:rPr>
          <w:rFonts w:ascii="Verdana" w:eastAsia="Calibri" w:hAnsi="Verdana" w:cs="Arial"/>
        </w:rPr>
        <w:t xml:space="preserve">el intérprete de las disposiciones </w:t>
      </w:r>
      <w:r w:rsidRPr="003518A7">
        <w:rPr>
          <w:rFonts w:ascii="Verdana" w:eastAsia="Calibri" w:hAnsi="Verdana" w:cs="Arial"/>
        </w:rPr>
        <w:lastRenderedPageBreak/>
        <w:t>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Verdana" w:eastAsia="Calibri" w:hAnsi="Verdana" w:cs="Arial"/>
        </w:rPr>
        <w:t>”</w:t>
      </w:r>
      <w:r>
        <w:rPr>
          <w:rStyle w:val="Refdenotaalpie"/>
          <w:rFonts w:ascii="Verdana" w:eastAsia="Calibri" w:hAnsi="Verdana" w:cs="Arial"/>
        </w:rPr>
        <w:footnoteReference w:id="8"/>
      </w:r>
      <w:r w:rsidRPr="003518A7">
        <w:rPr>
          <w:rFonts w:ascii="Verdana" w:eastAsia="Calibri" w:hAnsi="Verdana" w:cs="Arial"/>
        </w:rPr>
        <w:t>.</w:t>
      </w:r>
    </w:p>
    <w:p w14:paraId="06ED77FF" w14:textId="77777777" w:rsidR="008A0115" w:rsidRPr="008A0115" w:rsidRDefault="008A0115" w:rsidP="008A0115">
      <w:pPr>
        <w:pStyle w:val="Prrafodelista"/>
        <w:rPr>
          <w:rFonts w:ascii="Verdana" w:eastAsia="Calibri" w:hAnsi="Verdana" w:cs="Arial"/>
        </w:rPr>
      </w:pPr>
    </w:p>
    <w:p w14:paraId="6F07524E" w14:textId="77777777" w:rsidR="008A0115" w:rsidRPr="003518A7" w:rsidRDefault="008A0115" w:rsidP="008A0115">
      <w:pPr>
        <w:pStyle w:val="Prrafodelista"/>
        <w:spacing w:after="0" w:line="276" w:lineRule="auto"/>
        <w:ind w:left="0"/>
        <w:jc w:val="both"/>
        <w:rPr>
          <w:rFonts w:ascii="Verdana" w:eastAsia="Calibri" w:hAnsi="Verdana" w:cs="Arial"/>
        </w:rPr>
      </w:pPr>
    </w:p>
    <w:p w14:paraId="7620BDED" w14:textId="77777777" w:rsidR="00EE25F7" w:rsidRPr="003518A7" w:rsidRDefault="00EE25F7" w:rsidP="008A0115">
      <w:pPr>
        <w:pStyle w:val="Prrafodelista"/>
        <w:numPr>
          <w:ilvl w:val="0"/>
          <w:numId w:val="19"/>
        </w:numPr>
        <w:spacing w:after="0" w:line="276" w:lineRule="auto"/>
        <w:ind w:left="0"/>
        <w:jc w:val="both"/>
        <w:rPr>
          <w:rFonts w:ascii="Verdana" w:eastAsia="Calibri" w:hAnsi="Verdana" w:cs="Arial"/>
        </w:rPr>
      </w:pPr>
      <w:r w:rsidRPr="003518A7">
        <w:rPr>
          <w:rFonts w:ascii="Verdana" w:hAnsi="Verdana"/>
        </w:rPr>
        <w:t xml:space="preserve">Por su parte, el Consejo de Estado ha acogido también este criterio, considerando –como expresa la Sala de Consulta y Servicio Civil–, que </w:t>
      </w:r>
      <w:r>
        <w:rPr>
          <w:rFonts w:ascii="Verdana" w:hAnsi="Verdana"/>
        </w:rPr>
        <w:t>“</w:t>
      </w:r>
      <w:r w:rsidRPr="003518A7">
        <w:rPr>
          <w:rFonts w:ascii="Verdana" w:hAnsi="Verdana"/>
        </w:rPr>
        <w:t>La interpretación</w:t>
      </w:r>
      <w:r w:rsidRPr="003518A7">
        <w:rPr>
          <w:rFonts w:ascii="Verdana" w:hAnsi="Verdana"/>
          <w:spacing w:val="-1"/>
        </w:rPr>
        <w:t xml:space="preserve"> </w:t>
      </w:r>
      <w:r w:rsidRPr="003518A7">
        <w:rPr>
          <w:rFonts w:ascii="Verdana" w:hAnsi="Verdana"/>
        </w:rPr>
        <w:t>restrictiva</w:t>
      </w:r>
      <w:r w:rsidRPr="003518A7">
        <w:rPr>
          <w:rFonts w:ascii="Verdana" w:hAnsi="Verdana"/>
          <w:spacing w:val="-3"/>
        </w:rPr>
        <w:t xml:space="preserve"> </w:t>
      </w:r>
      <w:r w:rsidRPr="003518A7">
        <w:rPr>
          <w:rFonts w:ascii="Verdana" w:hAnsi="Verdana"/>
        </w:rPr>
        <w:t>de</w:t>
      </w:r>
      <w:r w:rsidRPr="003518A7">
        <w:rPr>
          <w:rFonts w:ascii="Verdana" w:hAnsi="Verdana"/>
          <w:spacing w:val="-6"/>
        </w:rPr>
        <w:t xml:space="preserve"> </w:t>
      </w:r>
      <w:r w:rsidRPr="003518A7">
        <w:rPr>
          <w:rFonts w:ascii="Verdana" w:hAnsi="Verdana"/>
        </w:rPr>
        <w:t>las</w:t>
      </w:r>
      <w:r w:rsidRPr="003518A7">
        <w:rPr>
          <w:rFonts w:ascii="Verdana" w:hAnsi="Verdana"/>
          <w:spacing w:val="-5"/>
        </w:rPr>
        <w:t xml:space="preserve"> </w:t>
      </w:r>
      <w:r w:rsidRPr="003518A7">
        <w:rPr>
          <w:rFonts w:ascii="Verdana" w:hAnsi="Verdana"/>
        </w:rPr>
        <w:t>normas</w:t>
      </w:r>
      <w:r w:rsidRPr="003518A7">
        <w:rPr>
          <w:rFonts w:ascii="Verdana" w:hAnsi="Verdana"/>
          <w:spacing w:val="-4"/>
        </w:rPr>
        <w:t xml:space="preserve"> </w:t>
      </w:r>
      <w:r w:rsidRPr="003518A7">
        <w:rPr>
          <w:rFonts w:ascii="Verdana" w:hAnsi="Verdana"/>
        </w:rPr>
        <w:t>que</w:t>
      </w:r>
      <w:r w:rsidRPr="003518A7">
        <w:rPr>
          <w:rFonts w:ascii="Verdana" w:hAnsi="Verdana"/>
          <w:spacing w:val="-5"/>
        </w:rPr>
        <w:t xml:space="preserve"> </w:t>
      </w:r>
      <w:r w:rsidRPr="003518A7">
        <w:rPr>
          <w:rFonts w:ascii="Verdana" w:hAnsi="Verdana"/>
        </w:rPr>
        <w:t>establecen</w:t>
      </w:r>
      <w:r w:rsidRPr="003518A7">
        <w:rPr>
          <w:rFonts w:ascii="Verdana" w:hAnsi="Verdana"/>
          <w:spacing w:val="-3"/>
        </w:rPr>
        <w:t xml:space="preserve"> </w:t>
      </w:r>
      <w:r w:rsidRPr="003518A7">
        <w:rPr>
          <w:rFonts w:ascii="Verdana" w:hAnsi="Verdana"/>
        </w:rPr>
        <w:t>inhabilidades</w:t>
      </w:r>
      <w:r w:rsidRPr="003518A7">
        <w:rPr>
          <w:rFonts w:ascii="Verdana" w:hAnsi="Verdana"/>
          <w:spacing w:val="-3"/>
        </w:rPr>
        <w:t xml:space="preserve"> </w:t>
      </w:r>
      <w:r w:rsidRPr="003518A7">
        <w:rPr>
          <w:rFonts w:ascii="Verdana" w:hAnsi="Verdana"/>
        </w:rPr>
        <w:t>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Verdana" w:hAnsi="Verdana"/>
        </w:rPr>
        <w:t>”</w:t>
      </w:r>
      <w:r w:rsidRPr="003518A7">
        <w:rPr>
          <w:rFonts w:ascii="Verdana" w:hAnsi="Verdana"/>
        </w:rPr>
        <w:t xml:space="preserve"> . En tal sentido, la Sección Tercera ha señalado que:</w:t>
      </w:r>
    </w:p>
    <w:p w14:paraId="6123116D" w14:textId="77777777" w:rsidR="00EE25F7" w:rsidRPr="003518A7" w:rsidRDefault="00EE25F7" w:rsidP="008A0115">
      <w:pPr>
        <w:spacing w:before="117" w:line="276" w:lineRule="auto"/>
        <w:ind w:left="709" w:right="1232"/>
        <w:jc w:val="both"/>
        <w:rPr>
          <w:rFonts w:ascii="Verdana" w:hAnsi="Verdana"/>
        </w:rPr>
      </w:pPr>
      <w:r w:rsidRPr="003518A7">
        <w:rPr>
          <w:rFonts w:ascii="Verdana" w:hAnsi="Verdana"/>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w:t>
      </w:r>
      <w:r w:rsidRPr="003518A7">
        <w:rPr>
          <w:rFonts w:ascii="Verdana" w:hAnsi="Verdana"/>
          <w:spacing w:val="-12"/>
        </w:rPr>
        <w:t xml:space="preserve"> </w:t>
      </w:r>
      <w:r w:rsidRPr="003518A7">
        <w:rPr>
          <w:rFonts w:ascii="Verdana" w:hAnsi="Verdana"/>
        </w:rPr>
        <w:t>no</w:t>
      </w:r>
      <w:r w:rsidRPr="003518A7">
        <w:rPr>
          <w:rFonts w:ascii="Verdana" w:hAnsi="Verdana"/>
          <w:spacing w:val="-12"/>
        </w:rPr>
        <w:t xml:space="preserve"> </w:t>
      </w:r>
      <w:r w:rsidRPr="003518A7">
        <w:rPr>
          <w:rFonts w:ascii="Verdana" w:hAnsi="Verdana"/>
        </w:rPr>
        <w:t>permite</w:t>
      </w:r>
      <w:r w:rsidRPr="003518A7">
        <w:rPr>
          <w:rFonts w:ascii="Verdana" w:hAnsi="Verdana"/>
          <w:spacing w:val="-11"/>
        </w:rPr>
        <w:t xml:space="preserve"> </w:t>
      </w:r>
      <w:r w:rsidRPr="003518A7">
        <w:rPr>
          <w:rFonts w:ascii="Verdana" w:hAnsi="Verdana"/>
        </w:rPr>
        <w:t>su</w:t>
      </w:r>
      <w:r w:rsidRPr="003518A7">
        <w:rPr>
          <w:rFonts w:ascii="Verdana" w:hAnsi="Verdana"/>
          <w:spacing w:val="-12"/>
        </w:rPr>
        <w:t xml:space="preserve"> </w:t>
      </w:r>
      <w:r w:rsidRPr="003518A7">
        <w:rPr>
          <w:rFonts w:ascii="Verdana" w:hAnsi="Verdana"/>
        </w:rPr>
        <w:t>extensión,</w:t>
      </w:r>
      <w:r w:rsidRPr="003518A7">
        <w:rPr>
          <w:rFonts w:ascii="Verdana" w:hAnsi="Verdana"/>
          <w:spacing w:val="-9"/>
        </w:rPr>
        <w:t xml:space="preserve"> </w:t>
      </w:r>
      <w:r w:rsidRPr="003518A7">
        <w:rPr>
          <w:rFonts w:ascii="Verdana" w:hAnsi="Verdana"/>
        </w:rPr>
        <w:t>por</w:t>
      </w:r>
      <w:r w:rsidRPr="003518A7">
        <w:rPr>
          <w:rFonts w:ascii="Verdana" w:hAnsi="Verdana"/>
          <w:spacing w:val="-12"/>
        </w:rPr>
        <w:t xml:space="preserve"> </w:t>
      </w:r>
      <w:r w:rsidRPr="003518A7">
        <w:rPr>
          <w:rFonts w:ascii="Verdana" w:hAnsi="Verdana"/>
        </w:rPr>
        <w:t>vía</w:t>
      </w:r>
      <w:r w:rsidRPr="003518A7">
        <w:rPr>
          <w:rFonts w:ascii="Verdana" w:hAnsi="Verdana"/>
          <w:spacing w:val="-12"/>
        </w:rPr>
        <w:t xml:space="preserve"> </w:t>
      </w:r>
      <w:r w:rsidRPr="003518A7">
        <w:rPr>
          <w:rFonts w:ascii="Verdana" w:hAnsi="Verdana"/>
        </w:rPr>
        <w:t>de</w:t>
      </w:r>
      <w:r w:rsidRPr="003518A7">
        <w:rPr>
          <w:rFonts w:ascii="Verdana" w:hAnsi="Verdana"/>
          <w:spacing w:val="-12"/>
        </w:rPr>
        <w:t xml:space="preserve"> </w:t>
      </w:r>
      <w:r w:rsidRPr="003518A7">
        <w:rPr>
          <w:rFonts w:ascii="Verdana" w:hAnsi="Verdana"/>
        </w:rPr>
        <w:t>la</w:t>
      </w:r>
      <w:r w:rsidRPr="003518A7">
        <w:rPr>
          <w:rFonts w:ascii="Verdana" w:hAnsi="Verdana"/>
          <w:spacing w:val="-12"/>
        </w:rPr>
        <w:t xml:space="preserve"> </w:t>
      </w:r>
      <w:r w:rsidRPr="003518A7">
        <w:rPr>
          <w:rFonts w:ascii="Verdana" w:hAnsi="Verdana"/>
        </w:rPr>
        <w:t>figura</w:t>
      </w:r>
      <w:r w:rsidRPr="003518A7">
        <w:rPr>
          <w:rFonts w:ascii="Verdana" w:hAnsi="Verdana"/>
          <w:spacing w:val="-11"/>
        </w:rPr>
        <w:t xml:space="preserve"> </w:t>
      </w:r>
      <w:r w:rsidRPr="003518A7">
        <w:rPr>
          <w:rFonts w:ascii="Verdana" w:hAnsi="Verdana"/>
        </w:rPr>
        <w:t>de</w:t>
      </w:r>
      <w:r w:rsidRPr="003518A7">
        <w:rPr>
          <w:rFonts w:ascii="Verdana" w:hAnsi="Verdana"/>
          <w:spacing w:val="-12"/>
        </w:rPr>
        <w:t xml:space="preserve"> </w:t>
      </w:r>
      <w:r w:rsidRPr="003518A7">
        <w:rPr>
          <w:rFonts w:ascii="Verdana" w:hAnsi="Verdana"/>
        </w:rPr>
        <w:t>la</w:t>
      </w:r>
      <w:r w:rsidRPr="003518A7">
        <w:rPr>
          <w:rFonts w:ascii="Verdana" w:hAnsi="Verdana"/>
          <w:spacing w:val="-12"/>
        </w:rPr>
        <w:t xml:space="preserve"> </w:t>
      </w:r>
      <w:r w:rsidRPr="003518A7">
        <w:rPr>
          <w:rFonts w:ascii="Verdana" w:hAnsi="Verdana"/>
        </w:rPr>
        <w:t>analogía,</w:t>
      </w:r>
      <w:r w:rsidRPr="003518A7">
        <w:rPr>
          <w:rFonts w:ascii="Verdana" w:hAnsi="Verdana"/>
          <w:spacing w:val="-10"/>
        </w:rPr>
        <w:t xml:space="preserve"> </w:t>
      </w:r>
      <w:r w:rsidRPr="003518A7">
        <w:rPr>
          <w:rFonts w:ascii="Verdana" w:hAnsi="Verdana"/>
        </w:rPr>
        <w:t>a</w:t>
      </w:r>
      <w:r w:rsidRPr="003518A7">
        <w:rPr>
          <w:rFonts w:ascii="Verdana" w:hAnsi="Verdana"/>
          <w:spacing w:val="-12"/>
        </w:rPr>
        <w:t xml:space="preserve"> </w:t>
      </w:r>
      <w:r w:rsidRPr="003518A7">
        <w:rPr>
          <w:rFonts w:ascii="Verdana" w:hAnsi="Verdana"/>
        </w:rPr>
        <w:t>supuestos</w:t>
      </w:r>
      <w:r w:rsidRPr="003518A7">
        <w:rPr>
          <w:rFonts w:ascii="Verdana" w:hAnsi="Verdana"/>
          <w:spacing w:val="-10"/>
        </w:rPr>
        <w:t xml:space="preserve"> </w:t>
      </w:r>
      <w:r w:rsidRPr="003518A7">
        <w:rPr>
          <w:rFonts w:ascii="Verdana" w:hAnsi="Verdana"/>
        </w:rPr>
        <w:t>no contemplados por el ordenamiento.</w:t>
      </w:r>
      <w:r>
        <w:rPr>
          <w:rStyle w:val="Refdenotaalpie"/>
          <w:rFonts w:ascii="Verdana" w:hAnsi="Verdana"/>
        </w:rPr>
        <w:footnoteReference w:id="9"/>
      </w:r>
      <w:r w:rsidRPr="003518A7">
        <w:rPr>
          <w:rFonts w:ascii="Verdana" w:hAnsi="Verdana"/>
        </w:rPr>
        <w:t>”</w:t>
      </w:r>
    </w:p>
    <w:p w14:paraId="4B43FA8F" w14:textId="77777777" w:rsidR="00C20A71" w:rsidRPr="008303CD" w:rsidRDefault="00C20A71"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8303CD">
        <w:rPr>
          <w:rFonts w:ascii="Verdana" w:eastAsia="Aptos" w:hAnsi="Verdana" w:cs="Arial"/>
          <w:shd w:val="clear" w:color="auto" w:fill="FFFFFF"/>
        </w:rPr>
        <w:t>Respecto a algunas prohibiciones que pesan sobre los servidores públicos, la Constitución Política de Colombia establece: </w:t>
      </w:r>
    </w:p>
    <w:p w14:paraId="1B1AD62E" w14:textId="77777777" w:rsidR="00C20A71" w:rsidRPr="00C20A71" w:rsidRDefault="00C20A71" w:rsidP="008A0115">
      <w:pPr>
        <w:spacing w:before="120" w:after="120" w:line="276" w:lineRule="auto"/>
        <w:contextualSpacing/>
        <w:jc w:val="both"/>
        <w:rPr>
          <w:rFonts w:ascii="Verdana" w:eastAsia="Aptos" w:hAnsi="Verdana" w:cs="Arial"/>
          <w:shd w:val="clear" w:color="auto" w:fill="FFFFFF"/>
        </w:rPr>
      </w:pPr>
    </w:p>
    <w:p w14:paraId="09F02D6C" w14:textId="3FF3F4EC" w:rsidR="00C20A71" w:rsidRPr="008303CD" w:rsidRDefault="00C20A71" w:rsidP="008A0115">
      <w:pPr>
        <w:spacing w:before="120" w:after="120" w:line="240" w:lineRule="auto"/>
        <w:ind w:left="709" w:right="1327"/>
        <w:contextualSpacing/>
        <w:jc w:val="both"/>
        <w:rPr>
          <w:rFonts w:ascii="Verdana" w:eastAsia="Aptos" w:hAnsi="Verdana" w:cs="Arial"/>
          <w:i/>
          <w:iCs/>
          <w:shd w:val="clear" w:color="auto" w:fill="FFFFFF"/>
        </w:rPr>
      </w:pPr>
      <w:r w:rsidRPr="008303CD">
        <w:rPr>
          <w:rFonts w:ascii="Verdana" w:eastAsia="Aptos" w:hAnsi="Verdana" w:cs="Arial"/>
          <w:i/>
          <w:iCs/>
          <w:shd w:val="clear" w:color="auto" w:fill="FFFFFF"/>
        </w:rPr>
        <w:t>“</w:t>
      </w:r>
      <w:r w:rsidRPr="008303CD">
        <w:rPr>
          <w:rFonts w:ascii="Verdana" w:eastAsia="Aptos" w:hAnsi="Verdana" w:cs="Arial"/>
          <w:b/>
          <w:bCs/>
          <w:i/>
          <w:iCs/>
          <w:shd w:val="clear" w:color="auto" w:fill="FFFFFF"/>
        </w:rPr>
        <w:t>ARTÍCULO 127. </w:t>
      </w:r>
      <w:r w:rsidRPr="008303CD">
        <w:rPr>
          <w:rFonts w:ascii="Verdana" w:eastAsia="Aptos" w:hAnsi="Verdana" w:cs="Arial"/>
          <w:i/>
          <w:iCs/>
          <w:shd w:val="clear" w:color="auto" w:fill="FFFFFF"/>
        </w:rPr>
        <w:t>Los servidores públicos no podrán celebrar, por sí o por interpuesta persona, o en representación de otro, contrato alguno con entidades públicas o con personas privadas que manejen o administren recursos públicos, salvo las excepciones legales.”</w:t>
      </w:r>
    </w:p>
    <w:p w14:paraId="2B324AD8" w14:textId="77777777" w:rsidR="00C20A71" w:rsidRPr="008303CD" w:rsidRDefault="00C20A71" w:rsidP="008A0115">
      <w:pPr>
        <w:spacing w:before="120" w:after="120" w:line="240" w:lineRule="auto"/>
        <w:ind w:left="709" w:right="1327"/>
        <w:contextualSpacing/>
        <w:jc w:val="both"/>
        <w:rPr>
          <w:rFonts w:ascii="Verdana" w:eastAsia="Aptos" w:hAnsi="Verdana" w:cs="Arial"/>
          <w:i/>
          <w:iCs/>
          <w:shd w:val="clear" w:color="auto" w:fill="FFFFFF"/>
        </w:rPr>
      </w:pPr>
    </w:p>
    <w:p w14:paraId="5E0B4A2B" w14:textId="7F1E037D" w:rsidR="00C20A71" w:rsidRPr="008303CD" w:rsidRDefault="00C20A71" w:rsidP="008A0115">
      <w:pPr>
        <w:spacing w:before="120" w:after="120" w:line="240" w:lineRule="auto"/>
        <w:ind w:left="709" w:right="1327"/>
        <w:contextualSpacing/>
        <w:jc w:val="both"/>
        <w:rPr>
          <w:rFonts w:ascii="Verdana" w:eastAsia="Aptos" w:hAnsi="Verdana" w:cs="Arial"/>
          <w:i/>
          <w:iCs/>
          <w:shd w:val="clear" w:color="auto" w:fill="FFFFFF"/>
        </w:rPr>
      </w:pPr>
      <w:r w:rsidRPr="008303CD">
        <w:rPr>
          <w:rFonts w:ascii="Verdana" w:eastAsia="Aptos" w:hAnsi="Verdana" w:cs="Arial"/>
          <w:i/>
          <w:iCs/>
          <w:shd w:val="clear" w:color="auto" w:fill="FFFFFF"/>
        </w:rPr>
        <w:t>“</w:t>
      </w:r>
      <w:r w:rsidRPr="008303CD">
        <w:rPr>
          <w:rFonts w:ascii="Verdana" w:eastAsia="Aptos" w:hAnsi="Verdana" w:cs="Arial"/>
          <w:b/>
          <w:bCs/>
          <w:i/>
          <w:iCs/>
          <w:shd w:val="clear" w:color="auto" w:fill="FFFFFF"/>
        </w:rPr>
        <w:t>ARTÍCULO 128</w:t>
      </w:r>
      <w:r w:rsidRPr="008303CD">
        <w:rPr>
          <w:rFonts w:ascii="Verdana" w:eastAsia="Aptos" w:hAnsi="Verdana" w:cs="Arial"/>
          <w:i/>
          <w:iCs/>
          <w:shd w:val="clear" w:color="auto" w:fill="FFFFFF"/>
        </w:rPr>
        <w:t xml:space="preserve">.- Nadie podrá desempeñar simultáneamente más de un empleo público ni recibir más de una asignación que provenga del tesoro público, o de empresas o de instituciones en las que tenga parte </w:t>
      </w:r>
      <w:r w:rsidRPr="008303CD">
        <w:rPr>
          <w:rFonts w:ascii="Verdana" w:eastAsia="Aptos" w:hAnsi="Verdana" w:cs="Arial"/>
          <w:i/>
          <w:iCs/>
          <w:shd w:val="clear" w:color="auto" w:fill="FFFFFF"/>
        </w:rPr>
        <w:lastRenderedPageBreak/>
        <w:t>mayoritaria el Estado, salvo los casos expresamente determinados por la ley. Entiéndase por tesoro público el de la Nación, el de las entidades territoriales y el de las descentralizadas.”</w:t>
      </w:r>
    </w:p>
    <w:p w14:paraId="5C5D26AB" w14:textId="77777777" w:rsidR="00C20A71" w:rsidRDefault="00C20A71" w:rsidP="008A0115">
      <w:pPr>
        <w:spacing w:before="120" w:after="120" w:line="276" w:lineRule="auto"/>
        <w:contextualSpacing/>
        <w:jc w:val="both"/>
        <w:rPr>
          <w:rFonts w:ascii="Verdana" w:eastAsia="Aptos" w:hAnsi="Verdana" w:cs="Arial"/>
          <w:shd w:val="clear" w:color="auto" w:fill="FFFFFF"/>
        </w:rPr>
      </w:pPr>
    </w:p>
    <w:p w14:paraId="4269F08F" w14:textId="77777777" w:rsidR="008A0115" w:rsidRDefault="008303CD"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8303CD">
        <w:rPr>
          <w:rFonts w:ascii="Verdana" w:eastAsia="Aptos" w:hAnsi="Verdana" w:cs="Arial"/>
          <w:shd w:val="clear" w:color="auto" w:fill="FFFFFF"/>
        </w:rPr>
        <w:t>De igual manera</w:t>
      </w:r>
      <w:r w:rsidR="00C20A71" w:rsidRPr="008303CD">
        <w:rPr>
          <w:rFonts w:ascii="Verdana" w:eastAsia="Aptos" w:hAnsi="Verdana" w:cs="Arial"/>
          <w:shd w:val="clear" w:color="auto" w:fill="FFFFFF"/>
        </w:rPr>
        <w:t xml:space="preserve"> el literal f) del artículo 8 de la Ley 80 de 1993 señala que los servidores públicos son inhábiles para participar en procesos de contratación asi como para celebrar contratos con entidades estatales. </w:t>
      </w:r>
    </w:p>
    <w:p w14:paraId="3759C97B" w14:textId="403167DA" w:rsidR="00C20A71" w:rsidRPr="008303CD" w:rsidRDefault="00C20A71" w:rsidP="008A0115">
      <w:pPr>
        <w:pStyle w:val="Prrafodelista"/>
        <w:spacing w:before="120" w:after="120" w:line="276" w:lineRule="auto"/>
        <w:ind w:left="0"/>
        <w:jc w:val="both"/>
        <w:rPr>
          <w:rFonts w:ascii="Verdana" w:eastAsia="Aptos" w:hAnsi="Verdana" w:cs="Arial"/>
          <w:shd w:val="clear" w:color="auto" w:fill="FFFFFF"/>
        </w:rPr>
      </w:pPr>
      <w:r w:rsidRPr="008303CD">
        <w:rPr>
          <w:rFonts w:ascii="Verdana" w:eastAsia="Aptos" w:hAnsi="Verdana" w:cs="Arial"/>
          <w:shd w:val="clear" w:color="auto" w:fill="FFFFFF"/>
        </w:rPr>
        <w:t xml:space="preserve"> </w:t>
      </w:r>
    </w:p>
    <w:p w14:paraId="4C26AC7C" w14:textId="753E7A08" w:rsidR="00C20A71" w:rsidRDefault="00C20A71"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8303CD">
        <w:rPr>
          <w:rFonts w:ascii="Verdana" w:eastAsia="Aptos" w:hAnsi="Verdana" w:cs="Arial"/>
          <w:shd w:val="clear" w:color="auto" w:fill="FFFFFF"/>
        </w:rPr>
        <w:t xml:space="preserve">Por su parte el literal D) del numeral 2 del </w:t>
      </w:r>
      <w:proofErr w:type="spellStart"/>
      <w:r w:rsidRPr="008303CD">
        <w:rPr>
          <w:rFonts w:ascii="Verdana" w:eastAsia="Aptos" w:hAnsi="Verdana" w:cs="Arial"/>
          <w:shd w:val="clear" w:color="auto" w:fill="FFFFFF"/>
        </w:rPr>
        <w:t>articulo</w:t>
      </w:r>
      <w:proofErr w:type="spellEnd"/>
      <w:r w:rsidRPr="008303CD">
        <w:rPr>
          <w:rFonts w:ascii="Verdana" w:eastAsia="Aptos" w:hAnsi="Verdana" w:cs="Arial"/>
          <w:shd w:val="clear" w:color="auto" w:fill="FFFFFF"/>
        </w:rPr>
        <w:t xml:space="preserve"> 8 de la Ley 80 de 1993, frente a la posibilidad de participar en licitaciones o concursos con la misma entidad en donde el funcionario ejerce sus funciones, señala que son inhábiles para participar en procesos de selección, así como para celebrar contratos con entidades estatales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 tenga participación o desempeñe cargos de dirección o manejo</w:t>
      </w:r>
    </w:p>
    <w:p w14:paraId="40472532" w14:textId="77777777" w:rsidR="008A0115" w:rsidRPr="008303CD" w:rsidRDefault="008A0115" w:rsidP="008A0115">
      <w:pPr>
        <w:pStyle w:val="Prrafodelista"/>
        <w:spacing w:before="120" w:after="120" w:line="276" w:lineRule="auto"/>
        <w:ind w:left="0"/>
        <w:jc w:val="both"/>
        <w:rPr>
          <w:rFonts w:ascii="Verdana" w:eastAsia="Aptos" w:hAnsi="Verdana" w:cs="Arial"/>
          <w:shd w:val="clear" w:color="auto" w:fill="FFFFFF"/>
        </w:rPr>
      </w:pPr>
    </w:p>
    <w:p w14:paraId="0336C085" w14:textId="5EE76B67" w:rsidR="00C20A71" w:rsidRDefault="00C20A71"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8303CD">
        <w:rPr>
          <w:rFonts w:ascii="Verdana" w:eastAsia="Aptos" w:hAnsi="Verdana" w:cs="Arial"/>
          <w:shd w:val="clear" w:color="auto" w:fill="FFFFFF"/>
        </w:rPr>
        <w:t xml:space="preserve">No obstante  lo ya señalado, teniendo en cuenta el caso en concreto, en donde se busca la participación de la ESAL en un proceso adelantado por una entidad nacional, no existe impedimento o inhabilidad para que un servidor público pueda ser socio o asociado de una asociación privada sin ánimo de lucro, siempre y cuando no </w:t>
      </w:r>
      <w:r w:rsidR="00BC77E4" w:rsidRPr="008303CD">
        <w:rPr>
          <w:rFonts w:ascii="Verdana" w:eastAsia="Aptos" w:hAnsi="Verdana" w:cs="Arial"/>
          <w:shd w:val="clear" w:color="auto" w:fill="FFFFFF"/>
        </w:rPr>
        <w:t xml:space="preserve">sea el representante legal o suplente, </w:t>
      </w:r>
      <w:r w:rsidRPr="008303CD">
        <w:rPr>
          <w:rFonts w:ascii="Verdana" w:eastAsia="Aptos" w:hAnsi="Verdana" w:cs="Arial"/>
          <w:shd w:val="clear" w:color="auto" w:fill="FFFFFF"/>
        </w:rPr>
        <w:t>preste a título particular servicios de asistencia o asesoría en asuntos relacionados con las funciones propias del cargo de la entidad pública donde labora, ni preste servicios de asistencia, representación o asesoría a quienes estuvieron o están sujetos a la inspección, vigilancia, control o regulación de la entidad, corporación u organismos público al que se encuentre vinculado. Tampoco puede desarrollar estas actividades dentro de la jornada laboral que tiene en la entidad pública. </w:t>
      </w:r>
      <w:r>
        <w:rPr>
          <w:rStyle w:val="Refdenotaalpie"/>
          <w:rFonts w:ascii="Verdana" w:eastAsia="Aptos" w:hAnsi="Verdana" w:cs="Arial"/>
          <w:shd w:val="clear" w:color="auto" w:fill="FFFFFF"/>
        </w:rPr>
        <w:footnoteReference w:id="10"/>
      </w:r>
    </w:p>
    <w:p w14:paraId="6DB16EDC" w14:textId="77777777" w:rsidR="008A0115" w:rsidRPr="008303CD" w:rsidRDefault="008A0115" w:rsidP="008A0115">
      <w:pPr>
        <w:pStyle w:val="Prrafodelista"/>
        <w:spacing w:before="120" w:after="120" w:line="276" w:lineRule="auto"/>
        <w:ind w:left="0"/>
        <w:jc w:val="both"/>
        <w:rPr>
          <w:rFonts w:ascii="Verdana" w:eastAsia="Aptos" w:hAnsi="Verdana" w:cs="Arial"/>
          <w:shd w:val="clear" w:color="auto" w:fill="FFFFFF"/>
        </w:rPr>
      </w:pPr>
    </w:p>
    <w:p w14:paraId="66847220" w14:textId="6494F574" w:rsidR="00C20A71" w:rsidRDefault="00C20A71"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8303CD">
        <w:rPr>
          <w:rFonts w:ascii="Verdana" w:eastAsia="Aptos" w:hAnsi="Verdana" w:cs="Arial"/>
          <w:shd w:val="clear" w:color="auto" w:fill="FFFFFF"/>
        </w:rPr>
        <w:t xml:space="preserve">Ahora bien,  si la ESAL tiene participación pública, o sin tenerla, maneja o administra recursos públicos, el empleado público deberá abstenerse de </w:t>
      </w:r>
      <w:r w:rsidRPr="008303CD">
        <w:rPr>
          <w:rFonts w:ascii="Verdana" w:eastAsia="Aptos" w:hAnsi="Verdana" w:cs="Arial"/>
          <w:shd w:val="clear" w:color="auto" w:fill="FFFFFF"/>
        </w:rPr>
        <w:lastRenderedPageBreak/>
        <w:t>contratar con ella, de acuerdo con la prohibición contenida en el artículo </w:t>
      </w:r>
      <w:hyperlink r:id="rId13" w:anchor="127" w:tooltip="vinculo" w:history="1">
        <w:r w:rsidRPr="008303CD">
          <w:rPr>
            <w:rStyle w:val="Hipervnculo"/>
            <w:rFonts w:ascii="Verdana" w:eastAsia="Aptos" w:hAnsi="Verdana" w:cs="Arial"/>
            <w:shd w:val="clear" w:color="auto" w:fill="FFFFFF"/>
          </w:rPr>
          <w:t>127</w:t>
        </w:r>
      </w:hyperlink>
      <w:r w:rsidRPr="008303CD">
        <w:rPr>
          <w:rFonts w:ascii="Verdana" w:eastAsia="Aptos" w:hAnsi="Verdana" w:cs="Arial"/>
          <w:shd w:val="clear" w:color="auto" w:fill="FFFFFF"/>
        </w:rPr>
        <w:t> de la Constitución. </w:t>
      </w:r>
      <w:r>
        <w:rPr>
          <w:rStyle w:val="Refdenotaalpie"/>
          <w:rFonts w:ascii="Verdana" w:eastAsia="Aptos" w:hAnsi="Verdana" w:cs="Arial"/>
          <w:shd w:val="clear" w:color="auto" w:fill="FFFFFF"/>
        </w:rPr>
        <w:footnoteReference w:id="11"/>
      </w:r>
    </w:p>
    <w:p w14:paraId="23C4B0DD" w14:textId="77777777" w:rsidR="008A0115" w:rsidRPr="008A0115" w:rsidRDefault="008A0115" w:rsidP="008A0115">
      <w:pPr>
        <w:pStyle w:val="Prrafodelista"/>
        <w:rPr>
          <w:rFonts w:ascii="Verdana" w:eastAsia="Aptos" w:hAnsi="Verdana" w:cs="Arial"/>
          <w:shd w:val="clear" w:color="auto" w:fill="FFFFFF"/>
        </w:rPr>
      </w:pPr>
    </w:p>
    <w:p w14:paraId="27C3F618" w14:textId="77777777" w:rsidR="008A0115" w:rsidRPr="008303CD" w:rsidRDefault="008A0115" w:rsidP="008A0115">
      <w:pPr>
        <w:pStyle w:val="Prrafodelista"/>
        <w:spacing w:before="120" w:after="120" w:line="276" w:lineRule="auto"/>
        <w:ind w:left="0"/>
        <w:jc w:val="both"/>
        <w:rPr>
          <w:rFonts w:ascii="Verdana" w:eastAsia="Aptos" w:hAnsi="Verdana" w:cs="Arial"/>
          <w:shd w:val="clear" w:color="auto" w:fill="FFFFFF"/>
        </w:rPr>
      </w:pPr>
    </w:p>
    <w:p w14:paraId="18A5B293" w14:textId="75FF8316" w:rsidR="00C2312C" w:rsidRDefault="00C2312C"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8303CD">
        <w:rPr>
          <w:rFonts w:ascii="Verdana" w:eastAsia="Aptos" w:hAnsi="Verdana" w:cs="Arial"/>
          <w:shd w:val="clear" w:color="auto" w:fill="FFFFFF"/>
        </w:rPr>
        <w:t>Ahora bien, si el funcionario público es socio de la ESAL, deberá revisarse el caso de manera particular, pues si tiene participación estatal o administra o maneja bienes públicos, estaría ejerciendo dos funciones públicas que no le han sido asignadas por la norma, situación proscrita por la legislación.</w:t>
      </w:r>
      <w:r w:rsidR="007B0BB3">
        <w:rPr>
          <w:rStyle w:val="Refdenotaalpie"/>
          <w:rFonts w:ascii="Verdana" w:eastAsia="Aptos" w:hAnsi="Verdana" w:cs="Arial"/>
          <w:shd w:val="clear" w:color="auto" w:fill="FFFFFF"/>
        </w:rPr>
        <w:footnoteReference w:id="12"/>
      </w:r>
    </w:p>
    <w:p w14:paraId="11E748F6" w14:textId="77777777" w:rsidR="008A0115" w:rsidRDefault="008A0115" w:rsidP="008A0115">
      <w:pPr>
        <w:pStyle w:val="Prrafodelista"/>
        <w:spacing w:before="120" w:after="120" w:line="276" w:lineRule="auto"/>
        <w:ind w:left="0"/>
        <w:jc w:val="both"/>
        <w:rPr>
          <w:rFonts w:ascii="Verdana" w:eastAsia="Aptos" w:hAnsi="Verdana" w:cs="Arial"/>
          <w:shd w:val="clear" w:color="auto" w:fill="FFFFFF"/>
        </w:rPr>
      </w:pPr>
    </w:p>
    <w:p w14:paraId="3891FFBF" w14:textId="17D88CAF" w:rsidR="008A0115" w:rsidRDefault="008A0115"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Pr>
          <w:rFonts w:ascii="Verdana" w:eastAsia="Aptos" w:hAnsi="Verdana" w:cs="Arial"/>
          <w:shd w:val="clear" w:color="auto" w:fill="FFFFFF"/>
        </w:rPr>
        <w:t>En conclusión y de conformidad con la normatividad anteriormente transcrita</w:t>
      </w:r>
      <w:r w:rsidR="006677DC">
        <w:rPr>
          <w:rFonts w:ascii="Verdana" w:eastAsia="Aptos" w:hAnsi="Verdana" w:cs="Arial"/>
          <w:shd w:val="clear" w:color="auto" w:fill="FFFFFF"/>
        </w:rPr>
        <w:t>,</w:t>
      </w:r>
      <w:r w:rsidRPr="008A0115">
        <w:rPr>
          <w:rFonts w:ascii="Verdana" w:eastAsia="Aptos" w:hAnsi="Verdana" w:cs="Arial"/>
          <w:shd w:val="clear" w:color="auto" w:fill="FFFFFF"/>
        </w:rPr>
        <w:t xml:space="preserve"> no existe impedimento o inhabilidad para que un servidor público pueda ser socio o asociado de una asociación privada sin ánimo de lucro, siempre y cuando no sea representante legal o suplente, preste a título particular servicios de asistencia o asesoría en asuntos relacionados con las funciones propias del cargo de la entidad pública donde labora, ni preste servicios de asistencia, representación o asesoría a quienes estuvieron o están sujetos a la inspección, vigilancia, control o regulación de la entidad, corporación u organismos público al que se encuentre vinculado. Tampoco puede desarrollar estas actividades dentro de la jornada laboral que tiene en la entidad pública.</w:t>
      </w:r>
      <w:r>
        <w:rPr>
          <w:rStyle w:val="Refdenotaalpie"/>
          <w:rFonts w:ascii="Verdana" w:eastAsia="Aptos" w:hAnsi="Verdana" w:cs="Arial"/>
          <w:shd w:val="clear" w:color="auto" w:fill="FFFFFF"/>
        </w:rPr>
        <w:footnoteReference w:id="13"/>
      </w:r>
    </w:p>
    <w:p w14:paraId="4F3539BC" w14:textId="77777777" w:rsidR="008A0115" w:rsidRDefault="008A0115" w:rsidP="008A0115">
      <w:pPr>
        <w:pStyle w:val="Prrafodelista"/>
        <w:spacing w:before="120" w:after="120" w:line="276" w:lineRule="auto"/>
        <w:ind w:left="0"/>
        <w:jc w:val="both"/>
        <w:rPr>
          <w:rFonts w:ascii="Verdana" w:eastAsia="Aptos" w:hAnsi="Verdana" w:cs="Arial"/>
          <w:shd w:val="clear" w:color="auto" w:fill="FFFFFF"/>
        </w:rPr>
      </w:pPr>
    </w:p>
    <w:p w14:paraId="1BCE5534" w14:textId="3AF905BC" w:rsidR="008A0115" w:rsidRDefault="008A0115"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8A0115">
        <w:rPr>
          <w:rFonts w:ascii="Verdana" w:eastAsia="Aptos" w:hAnsi="Verdana" w:cs="Arial"/>
          <w:shd w:val="clear" w:color="auto" w:fill="FFFFFF"/>
        </w:rPr>
        <w:t>En ese orden de ideas, deberá revisarse el caso de manera particular, pues si tiene participación estatal o administra o maneja bienes públicos, estaría el funcionario público en caso de que represente a la ESAL ejerciendo dos funciones públicas que no le han sido asignadas por la norma, situación proscrita por la legislación.</w:t>
      </w:r>
      <w:r>
        <w:rPr>
          <w:rStyle w:val="Refdenotaalpie"/>
          <w:rFonts w:ascii="Verdana" w:eastAsia="Aptos" w:hAnsi="Verdana" w:cs="Arial"/>
          <w:shd w:val="clear" w:color="auto" w:fill="FFFFFF"/>
        </w:rPr>
        <w:footnoteReference w:id="14"/>
      </w:r>
    </w:p>
    <w:p w14:paraId="4D63BFCC" w14:textId="77777777" w:rsidR="008A0115" w:rsidRPr="008A0115" w:rsidRDefault="008A0115" w:rsidP="008A0115">
      <w:pPr>
        <w:pStyle w:val="Prrafodelista"/>
        <w:spacing w:before="120" w:after="120" w:line="276" w:lineRule="auto"/>
        <w:ind w:left="0"/>
        <w:jc w:val="both"/>
        <w:rPr>
          <w:rFonts w:ascii="Verdana" w:eastAsia="Aptos" w:hAnsi="Verdana" w:cs="Arial"/>
          <w:shd w:val="clear" w:color="auto" w:fill="FFFFFF"/>
        </w:rPr>
      </w:pPr>
    </w:p>
    <w:p w14:paraId="6AC9AFD0" w14:textId="43CFD0EF" w:rsidR="008A0115" w:rsidRPr="008303CD" w:rsidRDefault="008A0115" w:rsidP="008A0115">
      <w:pPr>
        <w:pStyle w:val="Prrafodelista"/>
        <w:numPr>
          <w:ilvl w:val="0"/>
          <w:numId w:val="22"/>
        </w:numPr>
        <w:spacing w:before="120" w:after="120" w:line="276" w:lineRule="auto"/>
        <w:ind w:left="0"/>
        <w:jc w:val="both"/>
        <w:rPr>
          <w:rFonts w:ascii="Verdana" w:eastAsia="Aptos" w:hAnsi="Verdana" w:cs="Arial"/>
          <w:shd w:val="clear" w:color="auto" w:fill="FFFFFF"/>
        </w:rPr>
      </w:pPr>
      <w:r w:rsidRPr="00FF684B">
        <w:rPr>
          <w:rFonts w:ascii="Verdana" w:eastAsia="Aptos" w:hAnsi="Verdana" w:cs="Arial"/>
          <w:shd w:val="clear" w:color="auto" w:fill="FFFFFF"/>
        </w:rPr>
        <w:t>Finalmente, es pertinente indicar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Verdana" w:eastAsia="Aptos" w:hAnsi="Verdana" w:cs="Arial"/>
          <w:shd w:val="clear" w:color="auto" w:fill="FFFFFF"/>
        </w:rPr>
        <w:t>.</w:t>
      </w:r>
    </w:p>
    <w:p w14:paraId="2208F7E1" w14:textId="77777777" w:rsidR="00EE25F7" w:rsidRPr="00A37605" w:rsidRDefault="00EE25F7" w:rsidP="00EE25F7">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4D1A2491" w14:textId="77777777" w:rsidR="00EE25F7" w:rsidRPr="00A37605" w:rsidRDefault="00EE25F7" w:rsidP="00EE25F7">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EE25F7" w:rsidRPr="00A37605" w14:paraId="4D61D33A" w14:textId="77777777" w:rsidTr="007C5282">
        <w:trPr>
          <w:trHeight w:val="870"/>
        </w:trPr>
        <w:tc>
          <w:tcPr>
            <w:tcW w:w="8647" w:type="dxa"/>
            <w:tcBorders>
              <w:top w:val="dotted" w:sz="4" w:space="0" w:color="auto"/>
              <w:left w:val="dotted" w:sz="4" w:space="0" w:color="auto"/>
              <w:bottom w:val="dotted" w:sz="4" w:space="0" w:color="auto"/>
              <w:right w:val="dotted" w:sz="4" w:space="0" w:color="auto"/>
            </w:tcBorders>
          </w:tcPr>
          <w:p w14:paraId="7EF9A07E" w14:textId="77777777" w:rsidR="00EE25F7" w:rsidRDefault="00EE25F7" w:rsidP="00EE25F7">
            <w:pPr>
              <w:pStyle w:val="Textoindependiente"/>
              <w:numPr>
                <w:ilvl w:val="0"/>
                <w:numId w:val="20"/>
              </w:numPr>
              <w:tabs>
                <w:tab w:val="left" w:pos="823"/>
                <w:tab w:val="left" w:pos="824"/>
              </w:tabs>
              <w:spacing w:before="2"/>
            </w:pPr>
            <w:r>
              <w:t>Constitución</w:t>
            </w:r>
            <w:r>
              <w:rPr>
                <w:spacing w:val="-8"/>
              </w:rPr>
              <w:t xml:space="preserve"> </w:t>
            </w:r>
            <w:r>
              <w:t>Política,</w:t>
            </w:r>
            <w:r>
              <w:rPr>
                <w:spacing w:val="-12"/>
              </w:rPr>
              <w:t xml:space="preserve"> </w:t>
            </w:r>
            <w:r>
              <w:t>articulo</w:t>
            </w:r>
            <w:r>
              <w:rPr>
                <w:spacing w:val="-11"/>
              </w:rPr>
              <w:t xml:space="preserve"> </w:t>
            </w:r>
            <w:r>
              <w:t>355</w:t>
            </w:r>
          </w:p>
          <w:p w14:paraId="498F0F76" w14:textId="77777777" w:rsidR="00EE25F7" w:rsidRDefault="00EE25F7" w:rsidP="00EE25F7">
            <w:pPr>
              <w:pStyle w:val="Textoindependiente"/>
              <w:numPr>
                <w:ilvl w:val="0"/>
                <w:numId w:val="20"/>
              </w:numPr>
              <w:tabs>
                <w:tab w:val="left" w:pos="823"/>
                <w:tab w:val="left" w:pos="824"/>
              </w:tabs>
              <w:spacing w:before="35"/>
            </w:pPr>
            <w:r>
              <w:t>Ley</w:t>
            </w:r>
            <w:r>
              <w:rPr>
                <w:spacing w:val="-10"/>
              </w:rPr>
              <w:t xml:space="preserve"> </w:t>
            </w:r>
            <w:r>
              <w:t>489,</w:t>
            </w:r>
            <w:r>
              <w:rPr>
                <w:spacing w:val="-5"/>
              </w:rPr>
              <w:t xml:space="preserve"> </w:t>
            </w:r>
            <w:r>
              <w:t>articulo</w:t>
            </w:r>
            <w:r>
              <w:rPr>
                <w:spacing w:val="-9"/>
              </w:rPr>
              <w:t xml:space="preserve"> </w:t>
            </w:r>
            <w:r>
              <w:t>96</w:t>
            </w:r>
          </w:p>
          <w:p w14:paraId="10510E4B" w14:textId="77777777" w:rsidR="00EE25F7" w:rsidRDefault="00EE25F7" w:rsidP="00EE25F7">
            <w:pPr>
              <w:pStyle w:val="Textoindependiente"/>
              <w:numPr>
                <w:ilvl w:val="0"/>
                <w:numId w:val="20"/>
              </w:numPr>
              <w:tabs>
                <w:tab w:val="left" w:pos="823"/>
                <w:tab w:val="left" w:pos="824"/>
              </w:tabs>
              <w:spacing w:before="35"/>
            </w:pPr>
            <w:r>
              <w:t>Ley</w:t>
            </w:r>
            <w:r>
              <w:rPr>
                <w:spacing w:val="-8"/>
              </w:rPr>
              <w:t xml:space="preserve"> </w:t>
            </w:r>
            <w:r>
              <w:t>80</w:t>
            </w:r>
            <w:r>
              <w:rPr>
                <w:spacing w:val="-6"/>
              </w:rPr>
              <w:t xml:space="preserve"> </w:t>
            </w:r>
            <w:r>
              <w:t>de</w:t>
            </w:r>
            <w:r>
              <w:rPr>
                <w:spacing w:val="-8"/>
              </w:rPr>
              <w:t xml:space="preserve"> </w:t>
            </w:r>
            <w:r>
              <w:t>1993,</w:t>
            </w:r>
            <w:r>
              <w:rPr>
                <w:spacing w:val="-5"/>
              </w:rPr>
              <w:t xml:space="preserve"> </w:t>
            </w:r>
            <w:r>
              <w:t>artículo</w:t>
            </w:r>
            <w:r>
              <w:rPr>
                <w:spacing w:val="-7"/>
              </w:rPr>
              <w:t xml:space="preserve"> </w:t>
            </w:r>
            <w:r>
              <w:t>8</w:t>
            </w:r>
            <w:r>
              <w:rPr>
                <w:spacing w:val="-1"/>
              </w:rPr>
              <w:t xml:space="preserve"> </w:t>
            </w:r>
            <w:r>
              <w:t>numeral</w:t>
            </w:r>
            <w:r>
              <w:rPr>
                <w:spacing w:val="-6"/>
              </w:rPr>
              <w:t xml:space="preserve"> </w:t>
            </w:r>
            <w:r>
              <w:t>2,</w:t>
            </w:r>
            <w:r>
              <w:rPr>
                <w:spacing w:val="-6"/>
              </w:rPr>
              <w:t xml:space="preserve"> </w:t>
            </w:r>
            <w:r>
              <w:t>literal.</w:t>
            </w:r>
          </w:p>
          <w:p w14:paraId="109E005B" w14:textId="77777777" w:rsidR="00EE25F7" w:rsidRDefault="00EE25F7" w:rsidP="00EE25F7">
            <w:pPr>
              <w:pStyle w:val="Textoindependiente"/>
              <w:numPr>
                <w:ilvl w:val="0"/>
                <w:numId w:val="20"/>
              </w:numPr>
              <w:tabs>
                <w:tab w:val="left" w:pos="824"/>
              </w:tabs>
              <w:spacing w:before="36" w:line="276" w:lineRule="auto"/>
              <w:ind w:right="804" w:hanging="360"/>
              <w:jc w:val="both"/>
            </w:pPr>
            <w:r>
              <w:t>BARRETO</w:t>
            </w:r>
            <w:r>
              <w:rPr>
                <w:spacing w:val="1"/>
              </w:rPr>
              <w:t xml:space="preserve"> </w:t>
            </w:r>
            <w:r>
              <w:t>ROZO,</w:t>
            </w:r>
            <w:r>
              <w:rPr>
                <w:spacing w:val="1"/>
              </w:rPr>
              <w:t xml:space="preserve"> </w:t>
            </w:r>
            <w:r>
              <w:t>Antonio</w:t>
            </w:r>
            <w:r>
              <w:rPr>
                <w:spacing w:val="1"/>
              </w:rPr>
              <w:t xml:space="preserve"> </w:t>
            </w:r>
            <w:r>
              <w:t>Alejandro.</w:t>
            </w:r>
            <w:r>
              <w:rPr>
                <w:spacing w:val="1"/>
              </w:rPr>
              <w:t xml:space="preserve"> </w:t>
            </w:r>
            <w:r>
              <w:t>Inhabilidades</w:t>
            </w:r>
            <w:r>
              <w:rPr>
                <w:spacing w:val="1"/>
              </w:rPr>
              <w:t xml:space="preserve"> </w:t>
            </w:r>
            <w:r>
              <w:t>de</w:t>
            </w:r>
            <w:r>
              <w:rPr>
                <w:spacing w:val="1"/>
              </w:rPr>
              <w:t xml:space="preserve"> </w:t>
            </w:r>
            <w:r>
              <w:t>la</w:t>
            </w:r>
            <w:r>
              <w:rPr>
                <w:spacing w:val="1"/>
              </w:rPr>
              <w:t xml:space="preserve"> </w:t>
            </w:r>
            <w:r>
              <w:t xml:space="preserve">contratación estatal, efectos y </w:t>
            </w:r>
            <w:proofErr w:type="spellStart"/>
            <w:r>
              <w:t>neopunitivismo</w:t>
            </w:r>
            <w:proofErr w:type="spellEnd"/>
            <w:r>
              <w:t xml:space="preserve"> en el Estatuto</w:t>
            </w:r>
            <w:r>
              <w:rPr>
                <w:spacing w:val="1"/>
              </w:rPr>
              <w:t xml:space="preserve"> </w:t>
            </w:r>
            <w:r>
              <w:t>Anticorrupción. En: ALVIAR GARCÍA, Helena (Coordinadora).</w:t>
            </w:r>
            <w:r>
              <w:rPr>
                <w:spacing w:val="1"/>
              </w:rPr>
              <w:t xml:space="preserve"> </w:t>
            </w:r>
            <w:r>
              <w:t>Nuevas</w:t>
            </w:r>
            <w:r>
              <w:rPr>
                <w:spacing w:val="1"/>
              </w:rPr>
              <w:t xml:space="preserve"> </w:t>
            </w:r>
            <w:r>
              <w:t>tendencias</w:t>
            </w:r>
            <w:r>
              <w:rPr>
                <w:spacing w:val="1"/>
              </w:rPr>
              <w:t xml:space="preserve"> </w:t>
            </w:r>
            <w:r>
              <w:t>del</w:t>
            </w:r>
            <w:r>
              <w:rPr>
                <w:spacing w:val="1"/>
              </w:rPr>
              <w:t xml:space="preserve"> </w:t>
            </w:r>
            <w:r>
              <w:t>Derecho</w:t>
            </w:r>
            <w:r>
              <w:rPr>
                <w:spacing w:val="1"/>
              </w:rPr>
              <w:t xml:space="preserve"> </w:t>
            </w:r>
            <w:r>
              <w:t>administrativo.</w:t>
            </w:r>
            <w:r>
              <w:rPr>
                <w:spacing w:val="1"/>
              </w:rPr>
              <w:t xml:space="preserve"> </w:t>
            </w:r>
            <w:r>
              <w:t>Bogotá:</w:t>
            </w:r>
            <w:r>
              <w:rPr>
                <w:spacing w:val="-75"/>
              </w:rPr>
              <w:t xml:space="preserve"> </w:t>
            </w:r>
            <w:r>
              <w:t>Universidad</w:t>
            </w:r>
            <w:r>
              <w:rPr>
                <w:spacing w:val="-6"/>
              </w:rPr>
              <w:t xml:space="preserve"> </w:t>
            </w:r>
            <w:r>
              <w:t>de</w:t>
            </w:r>
            <w:r>
              <w:rPr>
                <w:spacing w:val="-4"/>
              </w:rPr>
              <w:t xml:space="preserve"> </w:t>
            </w:r>
            <w:r>
              <w:t>los</w:t>
            </w:r>
            <w:r>
              <w:rPr>
                <w:spacing w:val="-2"/>
              </w:rPr>
              <w:t xml:space="preserve"> </w:t>
            </w:r>
            <w:r>
              <w:t>Andes;</w:t>
            </w:r>
            <w:r>
              <w:rPr>
                <w:spacing w:val="-3"/>
              </w:rPr>
              <w:t xml:space="preserve"> </w:t>
            </w:r>
            <w:r>
              <w:t>Temis,</w:t>
            </w:r>
            <w:r>
              <w:rPr>
                <w:spacing w:val="-3"/>
              </w:rPr>
              <w:t xml:space="preserve"> </w:t>
            </w:r>
            <w:r>
              <w:t>2016.</w:t>
            </w:r>
            <w:r>
              <w:rPr>
                <w:spacing w:val="-3"/>
              </w:rPr>
              <w:t xml:space="preserve"> </w:t>
            </w:r>
            <w:r>
              <w:t>pp.</w:t>
            </w:r>
            <w:r>
              <w:rPr>
                <w:spacing w:val="-5"/>
              </w:rPr>
              <w:t xml:space="preserve"> </w:t>
            </w:r>
            <w:r>
              <w:t>63-99.</w:t>
            </w:r>
          </w:p>
          <w:p w14:paraId="188063E0" w14:textId="77777777" w:rsidR="00EE25F7" w:rsidRDefault="00EE25F7" w:rsidP="00EE25F7">
            <w:pPr>
              <w:pStyle w:val="Textoindependiente"/>
              <w:numPr>
                <w:ilvl w:val="0"/>
                <w:numId w:val="20"/>
              </w:numPr>
              <w:tabs>
                <w:tab w:val="left" w:pos="824"/>
              </w:tabs>
              <w:spacing w:before="1" w:line="271" w:lineRule="auto"/>
              <w:ind w:right="807" w:hanging="360"/>
              <w:jc w:val="both"/>
            </w:pPr>
            <w:r>
              <w:t>CORTE CONSTITUCIONAL. Sentencia T-1039 de 2006. M.P.</w:t>
            </w:r>
            <w:r>
              <w:rPr>
                <w:spacing w:val="1"/>
              </w:rPr>
              <w:t xml:space="preserve"> </w:t>
            </w:r>
            <w:r>
              <w:t>Humberto</w:t>
            </w:r>
            <w:r>
              <w:rPr>
                <w:spacing w:val="-2"/>
              </w:rPr>
              <w:t xml:space="preserve"> </w:t>
            </w:r>
            <w:r>
              <w:t>Sierra</w:t>
            </w:r>
            <w:r>
              <w:rPr>
                <w:spacing w:val="-5"/>
              </w:rPr>
              <w:t xml:space="preserve"> </w:t>
            </w:r>
            <w:r>
              <w:t>Porto.</w:t>
            </w:r>
          </w:p>
          <w:p w14:paraId="1E44B85F" w14:textId="514A12F6" w:rsidR="00EE25F7" w:rsidRPr="008A0115" w:rsidRDefault="00EE25F7" w:rsidP="008A0115">
            <w:pPr>
              <w:pStyle w:val="Textoindependiente"/>
              <w:numPr>
                <w:ilvl w:val="0"/>
                <w:numId w:val="20"/>
              </w:numPr>
              <w:tabs>
                <w:tab w:val="left" w:pos="824"/>
                <w:tab w:val="left" w:pos="824"/>
              </w:tabs>
              <w:spacing w:line="273" w:lineRule="auto"/>
              <w:ind w:right="804" w:hanging="360"/>
              <w:jc w:val="both"/>
            </w:pPr>
            <w:r>
              <w:t>CONSEJO</w:t>
            </w:r>
            <w:r>
              <w:rPr>
                <w:spacing w:val="1"/>
              </w:rPr>
              <w:t xml:space="preserve"> </w:t>
            </w:r>
            <w:r>
              <w:t>DE</w:t>
            </w:r>
            <w:r>
              <w:rPr>
                <w:spacing w:val="1"/>
              </w:rPr>
              <w:t xml:space="preserve"> </w:t>
            </w:r>
            <w:r>
              <w:t>ESTADO.</w:t>
            </w:r>
            <w:r>
              <w:rPr>
                <w:spacing w:val="1"/>
              </w:rPr>
              <w:t xml:space="preserve"> </w:t>
            </w:r>
            <w:r>
              <w:t>Sala</w:t>
            </w:r>
            <w:r>
              <w:rPr>
                <w:spacing w:val="1"/>
              </w:rPr>
              <w:t xml:space="preserve"> </w:t>
            </w:r>
            <w:r>
              <w:t>de</w:t>
            </w:r>
            <w:r>
              <w:rPr>
                <w:spacing w:val="1"/>
              </w:rPr>
              <w:t xml:space="preserve"> </w:t>
            </w:r>
            <w:r>
              <w:t>Consulta</w:t>
            </w:r>
            <w:r>
              <w:rPr>
                <w:spacing w:val="1"/>
              </w:rPr>
              <w:t xml:space="preserve"> </w:t>
            </w:r>
            <w:r>
              <w:t>y</w:t>
            </w:r>
            <w:r>
              <w:rPr>
                <w:spacing w:val="1"/>
              </w:rPr>
              <w:t xml:space="preserve"> </w:t>
            </w:r>
            <w:r>
              <w:t>Servicio</w:t>
            </w:r>
            <w:r>
              <w:rPr>
                <w:spacing w:val="1"/>
              </w:rPr>
              <w:t xml:space="preserve"> </w:t>
            </w:r>
            <w:r>
              <w:t>Civil.</w:t>
            </w:r>
            <w:r>
              <w:rPr>
                <w:spacing w:val="1"/>
              </w:rPr>
              <w:t xml:space="preserve"> </w:t>
            </w:r>
            <w:r>
              <w:rPr>
                <w:spacing w:val="-1"/>
              </w:rPr>
              <w:t>Concepto</w:t>
            </w:r>
            <w:r>
              <w:rPr>
                <w:spacing w:val="-18"/>
              </w:rPr>
              <w:t xml:space="preserve"> </w:t>
            </w:r>
            <w:r>
              <w:rPr>
                <w:spacing w:val="-1"/>
              </w:rPr>
              <w:t>del</w:t>
            </w:r>
            <w:r>
              <w:rPr>
                <w:spacing w:val="-18"/>
              </w:rPr>
              <w:t xml:space="preserve"> </w:t>
            </w:r>
            <w:r>
              <w:rPr>
                <w:spacing w:val="-1"/>
              </w:rPr>
              <w:t>30</w:t>
            </w:r>
            <w:r>
              <w:rPr>
                <w:spacing w:val="-15"/>
              </w:rPr>
              <w:t xml:space="preserve"> </w:t>
            </w:r>
            <w:r>
              <w:rPr>
                <w:spacing w:val="-1"/>
              </w:rPr>
              <w:t>de</w:t>
            </w:r>
            <w:r>
              <w:rPr>
                <w:spacing w:val="-16"/>
              </w:rPr>
              <w:t xml:space="preserve"> </w:t>
            </w:r>
            <w:r>
              <w:rPr>
                <w:spacing w:val="-1"/>
              </w:rPr>
              <w:t>abril</w:t>
            </w:r>
            <w:r>
              <w:rPr>
                <w:spacing w:val="-18"/>
              </w:rPr>
              <w:t xml:space="preserve"> </w:t>
            </w:r>
            <w:r>
              <w:rPr>
                <w:spacing w:val="-1"/>
              </w:rPr>
              <w:t>de</w:t>
            </w:r>
            <w:r>
              <w:rPr>
                <w:spacing w:val="-16"/>
              </w:rPr>
              <w:t xml:space="preserve"> </w:t>
            </w:r>
            <w:r>
              <w:rPr>
                <w:spacing w:val="-1"/>
              </w:rPr>
              <w:t>2015.</w:t>
            </w:r>
            <w:r>
              <w:rPr>
                <w:spacing w:val="-18"/>
              </w:rPr>
              <w:t xml:space="preserve"> </w:t>
            </w:r>
            <w:proofErr w:type="spellStart"/>
            <w:r>
              <w:rPr>
                <w:spacing w:val="-1"/>
              </w:rPr>
              <w:t>Exp</w:t>
            </w:r>
            <w:proofErr w:type="spellEnd"/>
            <w:r>
              <w:rPr>
                <w:spacing w:val="-1"/>
              </w:rPr>
              <w:t>.</w:t>
            </w:r>
            <w:r>
              <w:rPr>
                <w:spacing w:val="-17"/>
              </w:rPr>
              <w:t xml:space="preserve"> </w:t>
            </w:r>
            <w:r>
              <w:rPr>
                <w:spacing w:val="-1"/>
              </w:rPr>
              <w:t>2251.</w:t>
            </w:r>
            <w:r>
              <w:rPr>
                <w:spacing w:val="-15"/>
              </w:rPr>
              <w:t xml:space="preserve"> </w:t>
            </w:r>
            <w:r>
              <w:t>C.P.</w:t>
            </w:r>
            <w:r>
              <w:rPr>
                <w:spacing w:val="-19"/>
              </w:rPr>
              <w:t xml:space="preserve"> </w:t>
            </w:r>
            <w:r>
              <w:t>Álvaro</w:t>
            </w:r>
            <w:r>
              <w:rPr>
                <w:spacing w:val="-17"/>
              </w:rPr>
              <w:t xml:space="preserve"> </w:t>
            </w:r>
            <w:proofErr w:type="spellStart"/>
            <w:r>
              <w:t>Namén</w:t>
            </w:r>
            <w:proofErr w:type="spellEnd"/>
            <w:r>
              <w:rPr>
                <w:spacing w:val="-75"/>
              </w:rPr>
              <w:t xml:space="preserve"> </w:t>
            </w:r>
            <w:r>
              <w:t>Vargas.</w:t>
            </w:r>
          </w:p>
        </w:tc>
      </w:tr>
    </w:tbl>
    <w:p w14:paraId="3CF1332F" w14:textId="77777777" w:rsidR="00EE25F7" w:rsidRPr="00A37605" w:rsidRDefault="00EE25F7" w:rsidP="00EE25F7">
      <w:pPr>
        <w:tabs>
          <w:tab w:val="left" w:pos="142"/>
          <w:tab w:val="left" w:pos="284"/>
        </w:tabs>
        <w:spacing w:after="0" w:line="276" w:lineRule="auto"/>
        <w:jc w:val="both"/>
        <w:rPr>
          <w:rFonts w:ascii="Verdana" w:eastAsia="Calibri" w:hAnsi="Verdana" w:cs="Arial"/>
        </w:rPr>
      </w:pPr>
    </w:p>
    <w:p w14:paraId="0C45671F" w14:textId="77777777" w:rsidR="00EE25F7" w:rsidRPr="00A37605" w:rsidRDefault="00EE25F7" w:rsidP="00EE25F7">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5D91C9F4" w14:textId="77777777" w:rsidR="00EE25F7" w:rsidRPr="00A37605" w:rsidRDefault="00EE25F7" w:rsidP="00EE25F7">
      <w:pPr>
        <w:widowControl w:val="0"/>
        <w:autoSpaceDE w:val="0"/>
        <w:autoSpaceDN w:val="0"/>
        <w:spacing w:after="0" w:line="276" w:lineRule="auto"/>
        <w:jc w:val="both"/>
        <w:rPr>
          <w:rFonts w:ascii="Verdana" w:eastAsia="Calibri" w:hAnsi="Verdana" w:cs="Arial"/>
        </w:rPr>
      </w:pPr>
    </w:p>
    <w:p w14:paraId="3CFD9099" w14:textId="77777777" w:rsidR="00EE25F7" w:rsidRPr="00D215E1" w:rsidRDefault="00EE25F7" w:rsidP="00EE25F7">
      <w:pPr>
        <w:widowControl w:val="0"/>
        <w:autoSpaceDE w:val="0"/>
        <w:autoSpaceDN w:val="0"/>
        <w:spacing w:after="0" w:line="276" w:lineRule="auto"/>
        <w:jc w:val="both"/>
        <w:rPr>
          <w:rFonts w:ascii="Verdana" w:eastAsia="Aptos" w:hAnsi="Verdana" w:cs="Arial"/>
          <w:shd w:val="clear" w:color="auto" w:fill="FFFFFF"/>
          <w:lang w:val="es-ES"/>
        </w:rPr>
      </w:pPr>
      <w:r w:rsidRPr="00406AA6">
        <w:rPr>
          <w:rFonts w:ascii="Verdana" w:eastAsia="Aptos" w:hAnsi="Verdana" w:cs="Arial"/>
          <w:shd w:val="clear" w:color="auto" w:fill="FFFFFF"/>
          <w:lang w:val="es-ES"/>
        </w:rPr>
        <w:t xml:space="preserve">Sobre el régimen de inhabilidades en la contratación estatal, esta Subdirección se ha referido en los Conceptos </w:t>
      </w:r>
      <w:r>
        <w:rPr>
          <w:rFonts w:ascii="Verdana" w:eastAsia="Aptos" w:hAnsi="Verdana" w:cs="Arial"/>
          <w:shd w:val="clear" w:color="auto" w:fill="FFFFFF"/>
          <w:lang w:val="es-ES"/>
        </w:rPr>
        <w:t xml:space="preserve">C-552 del 16 octubre de 2024, </w:t>
      </w:r>
      <w:r w:rsidRPr="00406AA6">
        <w:rPr>
          <w:rFonts w:ascii="Verdana" w:eastAsia="Aptos" w:hAnsi="Verdana" w:cs="Arial"/>
          <w:shd w:val="clear" w:color="auto" w:fill="FFFFFF"/>
          <w:lang w:val="es-ES"/>
        </w:rPr>
        <w:t>C-035 del 24 de abril de 2024, C-067 del 16 de mayo de 2024, C-041 del 29 de mayo de 2024, C-078 del 04 de junio de 2024, C-193 del 19 de julio de 2024, C-271 del 25 de julio de 2024, C-108 de 06 de agosto de 2024</w:t>
      </w:r>
      <w:r>
        <w:rPr>
          <w:rFonts w:ascii="Verdana" w:eastAsia="Aptos" w:hAnsi="Verdana" w:cs="Arial"/>
          <w:shd w:val="clear" w:color="auto" w:fill="FFFFFF"/>
          <w:lang w:val="es-ES"/>
        </w:rPr>
        <w:t xml:space="preserve"> y el C-729 del 27 de noviembre de 2024, e</w:t>
      </w:r>
      <w:r w:rsidRPr="00406AA6">
        <w:rPr>
          <w:rFonts w:ascii="Verdana" w:eastAsia="Aptos" w:hAnsi="Verdana" w:cs="Arial"/>
          <w:shd w:val="clear" w:color="auto" w:fill="FFFFFF"/>
          <w:lang w:val="es-ES"/>
        </w:rPr>
        <w:t xml:space="preserve">ntre otros. </w:t>
      </w:r>
      <w:r w:rsidRPr="00D215E1">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D215E1">
          <w:rPr>
            <w:rFonts w:ascii="Verdana" w:eastAsia="Aptos" w:hAnsi="Verdana" w:cs="Arial"/>
            <w:color w:val="467886"/>
            <w:u w:val="single"/>
            <w:shd w:val="clear" w:color="auto" w:fill="FFFFFF"/>
            <w:lang w:val="es-ES"/>
          </w:rPr>
          <w:t>https://relatoria.colombiacompra.gov.co/</w:t>
        </w:r>
      </w:hyperlink>
      <w:r w:rsidRPr="00D215E1">
        <w:rPr>
          <w:rFonts w:ascii="Verdana" w:eastAsia="Aptos" w:hAnsi="Verdana" w:cs="Arial"/>
          <w:shd w:val="clear" w:color="auto" w:fill="FFFFFF"/>
          <w:lang w:val="es-ES"/>
        </w:rPr>
        <w:t xml:space="preserve">. </w:t>
      </w:r>
    </w:p>
    <w:p w14:paraId="66A11A31" w14:textId="77777777" w:rsidR="00EE25F7" w:rsidRDefault="00EE25F7" w:rsidP="00EE25F7">
      <w:pPr>
        <w:spacing w:after="0" w:line="276" w:lineRule="auto"/>
        <w:jc w:val="both"/>
        <w:rPr>
          <w:rFonts w:ascii="Verdana" w:hAnsi="Verdana"/>
        </w:rPr>
      </w:pPr>
    </w:p>
    <w:p w14:paraId="4D76B71F" w14:textId="77777777" w:rsidR="00EE25F7" w:rsidRDefault="00EE25F7" w:rsidP="00EE25F7">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5"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5E5BFAA0" w14:textId="77777777" w:rsidR="00EE25F7" w:rsidRDefault="00EE25F7" w:rsidP="00EE25F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AAA837" w14:textId="77777777" w:rsidR="00EE25F7" w:rsidRPr="00316E18" w:rsidRDefault="00EE25F7" w:rsidP="00EE25F7">
      <w:pPr>
        <w:widowControl w:val="0"/>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 xml:space="preserve">Le informamos que ya se encuentra disponible la actualización del Manual de Acuerdos Comerciales en Procesos de Contratación. Esta herramienta ofrece una </w:t>
      </w:r>
      <w:r w:rsidRPr="00316E18">
        <w:rPr>
          <w:rFonts w:ascii="Verdana" w:hAnsi="Verdana" w:cs="Arial"/>
          <w:color w:val="000000" w:themeColor="text1"/>
          <w:shd w:val="clear" w:color="auto" w:fill="FFFFFF"/>
        </w:rPr>
        <w:lastRenderedPageBreak/>
        <w:t>orientación valiosa para que las entidades públicas determinen los acuerdos comerciales que deben incluir en sus procesos contractuales. Puede consultar la versión actualizada en el siguiente enlace: </w:t>
      </w:r>
      <w:hyperlink r:id="rId16" w:tgtFrame="_blank" w:tooltip="Dirección URL original: https://www.colombiacompra.gov.co/sites/cce_public/files/cce_documents/manual_para_el_manejo_de_acuerdos_comerciales_vf.pdf. Haga clic o pulse si confía en este vínculo." w:history="1">
        <w:r w:rsidRPr="00316E18">
          <w:rPr>
            <w:rStyle w:val="Hipervnculo"/>
            <w:rFonts w:ascii="Verdana" w:hAnsi="Verdana" w:cs="Arial"/>
            <w:shd w:val="clear" w:color="auto" w:fill="FFFFFF"/>
          </w:rPr>
          <w:t>manual_para_el_manejo_de_acuerdos_comerciales_vf.pdf</w:t>
        </w:r>
      </w:hyperlink>
    </w:p>
    <w:p w14:paraId="73040285" w14:textId="77777777" w:rsidR="00EE25F7" w:rsidRDefault="00EE25F7" w:rsidP="00EE25F7">
      <w:pPr>
        <w:widowControl w:val="0"/>
        <w:autoSpaceDE w:val="0"/>
        <w:autoSpaceDN w:val="0"/>
        <w:spacing w:after="0" w:line="276" w:lineRule="auto"/>
        <w:jc w:val="both"/>
        <w:rPr>
          <w:rFonts w:ascii="Verdana" w:hAnsi="Verdana" w:cs="Arial"/>
          <w:color w:val="000000" w:themeColor="text1"/>
          <w:shd w:val="clear" w:color="auto" w:fill="FFFFFF"/>
        </w:rPr>
      </w:pPr>
    </w:p>
    <w:p w14:paraId="7BE19F86" w14:textId="77777777" w:rsidR="00EE25F7" w:rsidRDefault="00EE25F7" w:rsidP="00EE25F7">
      <w:pPr>
        <w:widowControl w:val="0"/>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316E18">
        <w:rPr>
          <w:rFonts w:ascii="Verdana" w:hAnsi="Verdana" w:cs="Arial"/>
          <w:b/>
          <w:bCs/>
          <w:color w:val="000000" w:themeColor="text1"/>
          <w:shd w:val="clear" w:color="auto" w:fill="FFFFFF"/>
        </w:rPr>
        <w:t> </w:t>
      </w:r>
      <w:r w:rsidRPr="00316E18">
        <w:rPr>
          <w:rFonts w:ascii="Verdana" w:hAnsi="Verdana" w:cs="Arial"/>
          <w:color w:val="000000" w:themeColor="text1"/>
          <w:shd w:val="clear" w:color="auto" w:fill="FFFFFF"/>
        </w:rPr>
        <w:t>a través de estos enlaces:</w:t>
      </w:r>
    </w:p>
    <w:p w14:paraId="19B1D796" w14:textId="77777777" w:rsidR="00EE25F7" w:rsidRPr="00316E18" w:rsidRDefault="00EE25F7" w:rsidP="00EE25F7">
      <w:pPr>
        <w:widowControl w:val="0"/>
        <w:autoSpaceDE w:val="0"/>
        <w:autoSpaceDN w:val="0"/>
        <w:spacing w:after="0" w:line="276" w:lineRule="auto"/>
        <w:jc w:val="both"/>
        <w:rPr>
          <w:rFonts w:ascii="Verdana" w:hAnsi="Verdana" w:cs="Arial"/>
          <w:color w:val="000000" w:themeColor="text1"/>
          <w:shd w:val="clear" w:color="auto" w:fill="FFFFFF"/>
        </w:rPr>
      </w:pPr>
    </w:p>
    <w:p w14:paraId="56A84B5D" w14:textId="77777777" w:rsidR="00EE25F7" w:rsidRPr="00316E18" w:rsidRDefault="00EE25F7" w:rsidP="00EE25F7">
      <w:pPr>
        <w:widowControl w:val="0"/>
        <w:numPr>
          <w:ilvl w:val="0"/>
          <w:numId w:val="17"/>
        </w:numPr>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Enlace página ANCP-CCE: </w:t>
      </w:r>
      <w:hyperlink r:id="rId17" w:tgtFrame="_blank" w:tooltip="Dirección URL original: https://www.colombiacompra.gov.co/content/convocatorias. Haga clic o pulse si confía en este vínculo." w:history="1">
        <w:r w:rsidRPr="00316E18">
          <w:rPr>
            <w:rStyle w:val="Hipervnculo"/>
            <w:rFonts w:ascii="Verdana" w:hAnsi="Verdana" w:cs="Arial"/>
            <w:shd w:val="clear" w:color="auto" w:fill="FFFFFF"/>
          </w:rPr>
          <w:t>https://www.colombiacompra.gov.co/content/convocatorias</w:t>
        </w:r>
      </w:hyperlink>
    </w:p>
    <w:p w14:paraId="11601FA1" w14:textId="77777777" w:rsidR="00EE25F7" w:rsidRPr="000D6FBF" w:rsidRDefault="00EE25F7" w:rsidP="00EE25F7">
      <w:pPr>
        <w:widowControl w:val="0"/>
        <w:numPr>
          <w:ilvl w:val="0"/>
          <w:numId w:val="17"/>
        </w:numPr>
        <w:autoSpaceDE w:val="0"/>
        <w:autoSpaceDN w:val="0"/>
        <w:spacing w:after="0" w:line="276" w:lineRule="auto"/>
        <w:jc w:val="both"/>
        <w:rPr>
          <w:rFonts w:ascii="Verdana" w:hAnsi="Verdana" w:cs="Arial"/>
          <w:color w:val="000000" w:themeColor="text1"/>
          <w:shd w:val="clear" w:color="auto" w:fill="FFFFFF"/>
          <w:lang w:val="en-US"/>
        </w:rPr>
      </w:pPr>
      <w:r w:rsidRPr="000D6FBF">
        <w:rPr>
          <w:rFonts w:ascii="Verdana" w:hAnsi="Verdana" w:cs="Arial"/>
          <w:color w:val="000000" w:themeColor="text1"/>
          <w:shd w:val="clear" w:color="auto" w:fill="FFFFFF"/>
          <w:lang w:val="en-US"/>
        </w:rPr>
        <w:t>Enlace SUCOP:  </w:t>
      </w:r>
      <w:hyperlink r:id="rId18" w:tgtFrame="_blank" w:tooltip="Dirección URL original: https://www.sucop.gov.co/entidades/colombiacompra/Normativa?IDNorma=19201. Haga clic o pulse si confía en este vínculo." w:history="1">
        <w:r w:rsidRPr="000D6FBF">
          <w:rPr>
            <w:rStyle w:val="Hipervnculo"/>
            <w:rFonts w:ascii="Verdana" w:hAnsi="Verdana" w:cs="Arial"/>
            <w:shd w:val="clear" w:color="auto" w:fill="FFFFFF"/>
            <w:lang w:val="en-US"/>
          </w:rPr>
          <w:t>https://www.sucop.gov.co/entidades/colombiacompra/Normativa?IDNorma=19201</w:t>
        </w:r>
      </w:hyperlink>
    </w:p>
    <w:p w14:paraId="2FAA2C18" w14:textId="77777777" w:rsidR="00EE25F7" w:rsidRPr="000D6FBF" w:rsidRDefault="00EE25F7" w:rsidP="00EE25F7">
      <w:pPr>
        <w:widowControl w:val="0"/>
        <w:autoSpaceDE w:val="0"/>
        <w:autoSpaceDN w:val="0"/>
        <w:spacing w:after="0" w:line="276" w:lineRule="auto"/>
        <w:jc w:val="both"/>
        <w:rPr>
          <w:rFonts w:ascii="Verdana" w:hAnsi="Verdana" w:cs="Arial"/>
          <w:color w:val="000000" w:themeColor="text1"/>
          <w:shd w:val="clear" w:color="auto" w:fill="FFFFFF"/>
          <w:lang w:val="en-US"/>
        </w:rPr>
      </w:pPr>
      <w:r w:rsidRPr="000D6FBF">
        <w:rPr>
          <w:rFonts w:ascii="Verdana" w:hAnsi="Verdana" w:cs="Arial"/>
          <w:color w:val="000000" w:themeColor="text1"/>
          <w:shd w:val="clear" w:color="auto" w:fill="FFFFFF"/>
          <w:lang w:val="en-US"/>
        </w:rPr>
        <w:t> </w:t>
      </w:r>
    </w:p>
    <w:p w14:paraId="2E6A6EEF" w14:textId="77777777" w:rsidR="00EE25F7" w:rsidRPr="00316E18" w:rsidRDefault="00EE25F7" w:rsidP="00EE25F7">
      <w:pPr>
        <w:widowControl w:val="0"/>
        <w:autoSpaceDE w:val="0"/>
        <w:autoSpaceDN w:val="0"/>
        <w:spacing w:after="0" w:line="276" w:lineRule="auto"/>
        <w:jc w:val="both"/>
        <w:rPr>
          <w:rFonts w:ascii="Verdana" w:hAnsi="Verdana" w:cs="Arial"/>
          <w:color w:val="000000" w:themeColor="text1"/>
          <w:shd w:val="clear" w:color="auto" w:fill="FFFFFF"/>
        </w:rPr>
      </w:pPr>
      <w:r w:rsidRPr="00316E18">
        <w:rPr>
          <w:rFonts w:ascii="Verdana" w:hAnsi="Verdana" w:cs="Arial"/>
          <w:color w:val="000000" w:themeColor="text1"/>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9" w:tgtFrame="_blank" w:tooltip="Dirección URL original: https://www.colombiacompra.gov.co/sala-de-prensa/boletin-digital. Haga clic o pulse si confía en este vínculo." w:history="1">
        <w:r w:rsidRPr="00316E18">
          <w:rPr>
            <w:rStyle w:val="Hipervnculo"/>
            <w:rFonts w:ascii="Verdana" w:hAnsi="Verdana" w:cs="Arial"/>
            <w:shd w:val="clear" w:color="auto" w:fill="FFFFFF"/>
          </w:rPr>
          <w:t>https://www.colombiacompra.gov.co/sala-de-prensa/boletin-digital</w:t>
        </w:r>
      </w:hyperlink>
    </w:p>
    <w:p w14:paraId="442E94F9" w14:textId="77777777" w:rsidR="00EE25F7" w:rsidRDefault="00EE25F7" w:rsidP="00EE25F7">
      <w:pPr>
        <w:widowControl w:val="0"/>
        <w:autoSpaceDE w:val="0"/>
        <w:autoSpaceDN w:val="0"/>
        <w:spacing w:after="0" w:line="276" w:lineRule="auto"/>
        <w:jc w:val="both"/>
        <w:rPr>
          <w:rFonts w:ascii="Verdana" w:hAnsi="Verdana" w:cs="Arial"/>
          <w:color w:val="000000" w:themeColor="text1"/>
          <w:shd w:val="clear" w:color="auto" w:fill="FFFFFF"/>
        </w:rPr>
      </w:pPr>
    </w:p>
    <w:p w14:paraId="4A15FF9B" w14:textId="77777777" w:rsidR="00EE25F7" w:rsidRPr="003E2460" w:rsidRDefault="00EE25F7" w:rsidP="00EE25F7">
      <w:pPr>
        <w:widowControl w:val="0"/>
        <w:autoSpaceDE w:val="0"/>
        <w:autoSpaceDN w:val="0"/>
        <w:spacing w:after="0" w:line="276"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8FBAD68" w14:textId="77777777" w:rsidR="00EE25F7" w:rsidRPr="003E2460" w:rsidRDefault="00EE25F7" w:rsidP="00EE25F7">
      <w:pPr>
        <w:spacing w:after="0" w:line="240" w:lineRule="auto"/>
        <w:jc w:val="both"/>
        <w:rPr>
          <w:rFonts w:ascii="Verdana" w:hAnsi="Verdana"/>
        </w:rPr>
      </w:pPr>
    </w:p>
    <w:p w14:paraId="7A384F49" w14:textId="77777777" w:rsidR="00EE25F7" w:rsidRPr="003E2460" w:rsidRDefault="00EE25F7" w:rsidP="00EE25F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D46A1EC" w14:textId="77777777" w:rsidR="00EE25F7" w:rsidRPr="003E2460" w:rsidRDefault="00EE25F7" w:rsidP="00EE25F7">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79BEC50E" w14:textId="77777777" w:rsidR="00EE25F7" w:rsidRPr="003E2460" w:rsidRDefault="00EE25F7" w:rsidP="00EE25F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269AA0A0" w14:textId="77777777" w:rsidR="00EE25F7" w:rsidRPr="00593A5F" w:rsidRDefault="00EE25F7" w:rsidP="00EE25F7">
      <w:pPr>
        <w:widowControl w:val="0"/>
        <w:autoSpaceDE w:val="0"/>
        <w:autoSpaceDN w:val="0"/>
        <w:spacing w:after="0" w:line="276" w:lineRule="auto"/>
        <w:jc w:val="both"/>
        <w:rPr>
          <w:rFonts w:ascii="Verdana" w:hAnsi="Verdana" w:cs="Arial"/>
        </w:rPr>
      </w:pPr>
    </w:p>
    <w:p w14:paraId="1510DB64" w14:textId="77777777" w:rsidR="00EE25F7" w:rsidRPr="00593A5F" w:rsidRDefault="00EE25F7" w:rsidP="00EE25F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42BD46D2" w14:textId="77777777" w:rsidR="00EE25F7" w:rsidRPr="00593A5F" w:rsidRDefault="00EE25F7" w:rsidP="00EE25F7">
      <w:pPr>
        <w:widowControl w:val="0"/>
        <w:autoSpaceDE w:val="0"/>
        <w:autoSpaceDN w:val="0"/>
        <w:spacing w:after="0" w:line="276" w:lineRule="auto"/>
        <w:jc w:val="both"/>
        <w:rPr>
          <w:rFonts w:ascii="Verdana" w:hAnsi="Verdana" w:cs="Arial"/>
        </w:rPr>
      </w:pPr>
    </w:p>
    <w:p w14:paraId="7252C8AB" w14:textId="77777777" w:rsidR="00EE25F7" w:rsidRPr="00593A5F" w:rsidRDefault="00EE25F7" w:rsidP="00EE25F7">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CE934EA" w14:textId="234F78D4" w:rsidR="00EE25F7" w:rsidRDefault="00EE25F7" w:rsidP="00EE25F7">
      <w:pPr>
        <w:spacing w:line="276" w:lineRule="auto"/>
        <w:jc w:val="center"/>
        <w:rPr>
          <w:rFonts w:ascii="Verdana" w:hAnsi="Verdana"/>
          <w:noProof/>
        </w:rPr>
      </w:pPr>
    </w:p>
    <w:p w14:paraId="021737CF" w14:textId="77777777" w:rsidR="00660E5B" w:rsidRDefault="00660E5B" w:rsidP="00EE25F7">
      <w:pPr>
        <w:spacing w:line="276" w:lineRule="auto"/>
        <w:jc w:val="center"/>
        <w:rPr>
          <w:rFonts w:ascii="Verdana" w:hAnsi="Verdana" w:cs="Arial"/>
          <w:noProof/>
          <w:color w:val="000000"/>
          <w:lang w:val="es-ES_tradnl" w:eastAsia="es-CO"/>
        </w:rPr>
      </w:pPr>
    </w:p>
    <w:p w14:paraId="1AF22F3D" w14:textId="6014AE85" w:rsidR="00660E5B" w:rsidRPr="00660E5B" w:rsidRDefault="00660E5B" w:rsidP="00660E5B">
      <w:pPr>
        <w:spacing w:line="276" w:lineRule="auto"/>
        <w:jc w:val="center"/>
        <w:rPr>
          <w:rFonts w:ascii="Verdana" w:hAnsi="Verdana" w:cs="Arial"/>
          <w:noProof/>
          <w:color w:val="000000"/>
          <w:lang w:eastAsia="es-CO"/>
        </w:rPr>
      </w:pPr>
      <w:r w:rsidRPr="00660E5B">
        <w:rPr>
          <w:rFonts w:ascii="Verdana" w:hAnsi="Verdana" w:cs="Arial"/>
          <w:noProof/>
          <w:color w:val="000000"/>
          <w:lang w:eastAsia="es-CO"/>
        </w:rPr>
        <w:lastRenderedPageBreak/>
        <w:drawing>
          <wp:inline distT="0" distB="0" distL="0" distR="0" wp14:anchorId="212170D4" wp14:editId="2EDAD6C3">
            <wp:extent cx="3792855" cy="1628207"/>
            <wp:effectExtent l="0" t="0" r="0" b="0"/>
            <wp:docPr id="1876122748"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22748" name="Imagen 3" descr="Texto&#10;&#10;Descripción generada automáticamente con confianza baj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8250" cy="1630523"/>
                    </a:xfrm>
                    <a:prstGeom prst="rect">
                      <a:avLst/>
                    </a:prstGeom>
                    <a:noFill/>
                    <a:ln>
                      <a:noFill/>
                    </a:ln>
                  </pic:spPr>
                </pic:pic>
              </a:graphicData>
            </a:graphic>
          </wp:inline>
        </w:drawing>
      </w:r>
    </w:p>
    <w:p w14:paraId="1E466D91" w14:textId="77777777" w:rsidR="00660E5B" w:rsidRPr="00593A5F" w:rsidRDefault="00660E5B" w:rsidP="00EE25F7">
      <w:pPr>
        <w:spacing w:line="276" w:lineRule="auto"/>
        <w:jc w:val="center"/>
        <w:rPr>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E25F7" w:rsidRPr="00593A5F" w14:paraId="1C4E44C8" w14:textId="77777777" w:rsidTr="007C5282">
        <w:trPr>
          <w:trHeight w:val="315"/>
        </w:trPr>
        <w:tc>
          <w:tcPr>
            <w:tcW w:w="893" w:type="dxa"/>
            <w:vAlign w:val="center"/>
            <w:hideMark/>
          </w:tcPr>
          <w:p w14:paraId="499FEB52" w14:textId="77777777" w:rsidR="00EE25F7" w:rsidRPr="003751C7" w:rsidRDefault="00EE25F7" w:rsidP="007C5282">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7137B70" w14:textId="77777777" w:rsidR="00EE25F7" w:rsidRPr="002B5168" w:rsidRDefault="00EE25F7" w:rsidP="007C5282">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61733893" w14:textId="77777777" w:rsidR="00EE25F7" w:rsidRPr="002B5168" w:rsidRDefault="00EE25F7" w:rsidP="007C5282">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EE25F7" w:rsidRPr="00593A5F" w14:paraId="48BAA225" w14:textId="77777777" w:rsidTr="007C5282">
        <w:trPr>
          <w:trHeight w:val="330"/>
        </w:trPr>
        <w:tc>
          <w:tcPr>
            <w:tcW w:w="893" w:type="dxa"/>
            <w:vAlign w:val="center"/>
            <w:hideMark/>
          </w:tcPr>
          <w:p w14:paraId="01B17D49" w14:textId="77777777" w:rsidR="00EE25F7" w:rsidRPr="003751C7" w:rsidRDefault="00EE25F7" w:rsidP="007C5282">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11FF7B8" w14:textId="77777777" w:rsidR="00EE25F7" w:rsidRDefault="00EE25F7" w:rsidP="007C5282">
            <w:pPr>
              <w:pStyle w:val="paragraph"/>
              <w:spacing w:before="0" w:beforeAutospacing="0" w:after="0" w:afterAutospacing="0"/>
              <w:contextualSpacing/>
              <w:textAlignment w:val="baseline"/>
              <w:rPr>
                <w:rStyle w:val="normaltextrun"/>
                <w:rFonts w:ascii="Verdana" w:hAnsi="Verdana" w:cs="Arial"/>
                <w:sz w:val="16"/>
                <w:szCs w:val="16"/>
              </w:rPr>
            </w:pPr>
            <w:r>
              <w:rPr>
                <w:rStyle w:val="normaltextrun"/>
                <w:rFonts w:ascii="Verdana" w:hAnsi="Verdana" w:cs="Arial"/>
                <w:sz w:val="16"/>
                <w:szCs w:val="16"/>
              </w:rPr>
              <w:t>Cielo Victoria González Meza</w:t>
            </w:r>
          </w:p>
          <w:p w14:paraId="126F090B" w14:textId="77777777" w:rsidR="00EE25F7" w:rsidRPr="002B5168" w:rsidRDefault="00EE25F7" w:rsidP="007C5282">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eastAsia="Arial" w:hAnsi="Verdana" w:cs="Arial"/>
                <w:sz w:val="16"/>
                <w:szCs w:val="16"/>
              </w:rPr>
              <w:t>Contratista</w:t>
            </w:r>
            <w:r w:rsidRPr="002B5168">
              <w:rPr>
                <w:rStyle w:val="normaltextrun"/>
                <w:rFonts w:ascii="Verdana" w:eastAsia="Arial" w:hAnsi="Verdana" w:cs="Arial"/>
                <w:sz w:val="16"/>
                <w:szCs w:val="16"/>
              </w:rPr>
              <w:t xml:space="preserve"> Subdirección de Gestión Contractual</w:t>
            </w:r>
          </w:p>
        </w:tc>
      </w:tr>
      <w:tr w:rsidR="00EE25F7" w:rsidRPr="00593A5F" w14:paraId="3EDB97A4" w14:textId="77777777" w:rsidTr="007C5282">
        <w:trPr>
          <w:trHeight w:val="300"/>
        </w:trPr>
        <w:tc>
          <w:tcPr>
            <w:tcW w:w="893" w:type="dxa"/>
            <w:vAlign w:val="center"/>
          </w:tcPr>
          <w:p w14:paraId="3AEB334B" w14:textId="77777777" w:rsidR="00EE25F7" w:rsidRPr="003751C7" w:rsidRDefault="00EE25F7" w:rsidP="007C5282">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C1B9385" w14:textId="77777777" w:rsidR="00EE25F7" w:rsidRPr="002B5168" w:rsidRDefault="00EE25F7" w:rsidP="007C5282">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78F735E5" w14:textId="77777777" w:rsidR="00EE25F7" w:rsidRPr="002B5168" w:rsidRDefault="00EE25F7" w:rsidP="007C5282">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proofErr w:type="spellStart"/>
            <w:r w:rsidRPr="002B5168">
              <w:rPr>
                <w:rFonts w:ascii="Verdana" w:eastAsia="Calibri" w:hAnsi="Verdana" w:cs="Arial"/>
                <w:sz w:val="16"/>
                <w:szCs w:val="16"/>
                <w:lang w:val="pt-BR" w:eastAsia="es-ES"/>
              </w:rPr>
              <w:t>Contractual</w:t>
            </w:r>
            <w:proofErr w:type="spellEnd"/>
            <w:r w:rsidRPr="002B5168">
              <w:rPr>
                <w:rFonts w:ascii="Verdana" w:eastAsia="Calibri" w:hAnsi="Verdana" w:cs="Arial"/>
                <w:sz w:val="16"/>
                <w:szCs w:val="16"/>
                <w:lang w:val="pt-BR" w:eastAsia="es-ES"/>
              </w:rPr>
              <w:t xml:space="preserve"> ANCP – CCE</w:t>
            </w:r>
          </w:p>
        </w:tc>
      </w:tr>
      <w:bookmarkEnd w:id="0"/>
      <w:bookmarkEnd w:id="1"/>
      <w:bookmarkEnd w:id="3"/>
      <w:bookmarkEnd w:id="4"/>
    </w:tbl>
    <w:p w14:paraId="09553564" w14:textId="77777777" w:rsidR="00EE25F7" w:rsidRPr="0044528D" w:rsidRDefault="00EE25F7" w:rsidP="00EE25F7">
      <w:pPr>
        <w:spacing w:after="0"/>
        <w:rPr>
          <w:rFonts w:ascii="Verdana" w:hAnsi="Verdana"/>
        </w:rPr>
      </w:pPr>
    </w:p>
    <w:p w14:paraId="3900974D" w14:textId="77777777" w:rsidR="003D5B0D" w:rsidRPr="001855BF" w:rsidRDefault="003D5B0D" w:rsidP="001855BF"/>
    <w:sectPr w:rsidR="003D5B0D" w:rsidRPr="001855BF"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27D0" w14:textId="77777777" w:rsidR="00E0446D" w:rsidRDefault="00E0446D" w:rsidP="004A1847">
      <w:pPr>
        <w:spacing w:after="0" w:line="240" w:lineRule="auto"/>
      </w:pPr>
      <w:r>
        <w:separator/>
      </w:r>
    </w:p>
  </w:endnote>
  <w:endnote w:type="continuationSeparator" w:id="0">
    <w:p w14:paraId="04EE3288" w14:textId="77777777" w:rsidR="00E0446D" w:rsidRDefault="00E0446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DA57D" w14:textId="77777777" w:rsidR="00E0446D" w:rsidRDefault="00E0446D" w:rsidP="004A1847">
      <w:pPr>
        <w:spacing w:after="0" w:line="240" w:lineRule="auto"/>
      </w:pPr>
      <w:r>
        <w:separator/>
      </w:r>
    </w:p>
  </w:footnote>
  <w:footnote w:type="continuationSeparator" w:id="0">
    <w:p w14:paraId="5AD9F8DC" w14:textId="77777777" w:rsidR="00E0446D" w:rsidRDefault="00E0446D" w:rsidP="004A1847">
      <w:pPr>
        <w:spacing w:after="0" w:line="240" w:lineRule="auto"/>
      </w:pPr>
      <w:r>
        <w:continuationSeparator/>
      </w:r>
    </w:p>
  </w:footnote>
  <w:footnote w:id="1">
    <w:p w14:paraId="1F08F551" w14:textId="77777777" w:rsidR="00A65EC6" w:rsidRPr="006C7E11" w:rsidRDefault="00A65EC6" w:rsidP="006C7E11">
      <w:pPr>
        <w:pStyle w:val="Textonotapie"/>
        <w:jc w:val="both"/>
        <w:rPr>
          <w:rFonts w:ascii="Verdana" w:hAnsi="Verdana"/>
          <w:sz w:val="16"/>
          <w:szCs w:val="16"/>
          <w:lang w:val="es-ES"/>
        </w:rPr>
      </w:pPr>
      <w:r w:rsidRPr="006C7E11">
        <w:rPr>
          <w:rStyle w:val="Refdenotaalpie"/>
          <w:rFonts w:ascii="Verdana" w:hAnsi="Verdana"/>
          <w:sz w:val="16"/>
          <w:szCs w:val="16"/>
        </w:rPr>
        <w:footnoteRef/>
      </w:r>
      <w:r w:rsidRPr="006C7E11">
        <w:rPr>
          <w:rFonts w:ascii="Verdana" w:hAnsi="Verdana"/>
          <w:sz w:val="16"/>
          <w:szCs w:val="16"/>
        </w:rPr>
        <w:t xml:space="preserve"> </w:t>
      </w:r>
      <w:r w:rsidRPr="006C7E11">
        <w:rPr>
          <w:rFonts w:ascii="Verdana" w:hAnsi="Verdana"/>
          <w:sz w:val="16"/>
          <w:szCs w:val="16"/>
          <w:lang w:val="es-CO"/>
        </w:rPr>
        <w:t>Concepto 152511 de 2023 Departamento Administrativo de la Función Pública</w:t>
      </w:r>
    </w:p>
  </w:footnote>
  <w:footnote w:id="2">
    <w:p w14:paraId="35B7E457" w14:textId="77777777" w:rsidR="00A65EC6" w:rsidRPr="008303CD" w:rsidRDefault="00A65EC6" w:rsidP="006C7E11">
      <w:pPr>
        <w:pStyle w:val="Textonotapie"/>
        <w:jc w:val="both"/>
        <w:rPr>
          <w:lang w:val="es-ES"/>
        </w:rPr>
      </w:pPr>
      <w:r w:rsidRPr="006C7E11">
        <w:rPr>
          <w:rStyle w:val="Refdenotaalpie"/>
          <w:rFonts w:ascii="Verdana" w:hAnsi="Verdana"/>
          <w:sz w:val="16"/>
          <w:szCs w:val="16"/>
        </w:rPr>
        <w:footnoteRef/>
      </w:r>
      <w:r w:rsidRPr="006C7E11">
        <w:rPr>
          <w:rFonts w:ascii="Verdana" w:hAnsi="Verdana"/>
          <w:sz w:val="16"/>
          <w:szCs w:val="16"/>
        </w:rPr>
        <w:t xml:space="preserve"> </w:t>
      </w:r>
      <w:r w:rsidRPr="006C7E11">
        <w:rPr>
          <w:rFonts w:ascii="Verdana" w:hAnsi="Verdana"/>
          <w:sz w:val="16"/>
          <w:szCs w:val="16"/>
          <w:lang w:val="es-ES"/>
        </w:rPr>
        <w:t>ibidem</w:t>
      </w:r>
    </w:p>
  </w:footnote>
  <w:footnote w:id="3">
    <w:p w14:paraId="13E4AA31" w14:textId="77777777" w:rsidR="00EE25F7" w:rsidRPr="009835D1" w:rsidRDefault="00EE25F7" w:rsidP="00EE25F7">
      <w:pPr>
        <w:pStyle w:val="Textonotapie"/>
        <w:jc w:val="both"/>
        <w:rPr>
          <w:rFonts w:ascii="Verdana" w:hAnsi="Verdana"/>
          <w:sz w:val="16"/>
          <w:szCs w:val="16"/>
          <w:lang w:val="es-ES"/>
        </w:rPr>
      </w:pPr>
      <w:r w:rsidRPr="009835D1">
        <w:rPr>
          <w:rStyle w:val="Refdenotaalpie"/>
          <w:rFonts w:ascii="Verdana" w:hAnsi="Verdana"/>
          <w:sz w:val="16"/>
          <w:szCs w:val="16"/>
        </w:rPr>
        <w:footnoteRef/>
      </w:r>
      <w:r w:rsidRPr="009835D1">
        <w:rPr>
          <w:rFonts w:ascii="Verdana" w:hAnsi="Verdana"/>
          <w:sz w:val="16"/>
          <w:szCs w:val="16"/>
        </w:rPr>
        <w:t xml:space="preserve"> Consejo de Estado. Sentencia No. 1444 del 6 de febrero de 1987, M.P. POLICARPO CASTILLO DÁVILA</w:t>
      </w:r>
    </w:p>
  </w:footnote>
  <w:footnote w:id="4">
    <w:p w14:paraId="4661CB54" w14:textId="77777777" w:rsidR="00EE25F7" w:rsidRPr="009835D1" w:rsidRDefault="00EE25F7" w:rsidP="00EE25F7">
      <w:pPr>
        <w:pStyle w:val="Textonotapie"/>
        <w:jc w:val="both"/>
        <w:rPr>
          <w:rFonts w:ascii="Verdana" w:hAnsi="Verdana"/>
          <w:sz w:val="16"/>
          <w:szCs w:val="16"/>
          <w:lang w:val="es-ES"/>
        </w:rPr>
      </w:pPr>
      <w:r w:rsidRPr="009835D1">
        <w:rPr>
          <w:rStyle w:val="Refdenotaalpie"/>
          <w:rFonts w:ascii="Verdana" w:hAnsi="Verdana"/>
          <w:sz w:val="16"/>
          <w:szCs w:val="16"/>
        </w:rPr>
        <w:footnoteRef/>
      </w:r>
      <w:r w:rsidRPr="009835D1">
        <w:rPr>
          <w:rFonts w:ascii="Verdana" w:hAnsi="Verdana"/>
          <w:sz w:val="16"/>
          <w:szCs w:val="16"/>
        </w:rPr>
        <w:t xml:space="preserve"> Corte Constitucional. Sala Plena. Sentencia C 178 de 29 de abril de 1996. Magistrado Ponente: Antonio Barrera Carbonell. Expediente No. D-974.</w:t>
      </w:r>
    </w:p>
  </w:footnote>
  <w:footnote w:id="5">
    <w:p w14:paraId="30C231D4" w14:textId="77777777" w:rsidR="00EE25F7" w:rsidRPr="009835D1" w:rsidRDefault="00EE25F7" w:rsidP="00EE25F7">
      <w:pPr>
        <w:pStyle w:val="Textonotapie"/>
        <w:jc w:val="both"/>
        <w:rPr>
          <w:lang w:val="es-ES"/>
        </w:rPr>
      </w:pPr>
      <w:r w:rsidRPr="009835D1">
        <w:rPr>
          <w:rStyle w:val="Refdenotaalpie"/>
          <w:rFonts w:ascii="Verdana" w:hAnsi="Verdana"/>
          <w:sz w:val="16"/>
          <w:szCs w:val="16"/>
        </w:rPr>
        <w:footnoteRef/>
      </w:r>
      <w:r w:rsidRPr="009835D1">
        <w:rPr>
          <w:rFonts w:ascii="Verdana" w:hAnsi="Verdana"/>
          <w:sz w:val="16"/>
          <w:szCs w:val="16"/>
        </w:rPr>
        <w:t xml:space="preserve"> Artículo 6o. De la capacidad para contratar. Pueden celebrar contratos con las entidades estatales las personas consideradas legalmente capaces en las disposiciones vigentes</w:t>
      </w:r>
    </w:p>
  </w:footnote>
  <w:footnote w:id="6">
    <w:p w14:paraId="24FE6377" w14:textId="77777777" w:rsidR="00EE25F7" w:rsidRPr="009835D1" w:rsidRDefault="00EE25F7" w:rsidP="00EE25F7">
      <w:pPr>
        <w:pStyle w:val="Textonotapie"/>
        <w:rPr>
          <w:rFonts w:ascii="Verdana" w:hAnsi="Verdana"/>
          <w:sz w:val="16"/>
          <w:szCs w:val="16"/>
          <w:lang w:val="es-ES"/>
        </w:rPr>
      </w:pPr>
      <w:r w:rsidRPr="009835D1">
        <w:rPr>
          <w:rStyle w:val="Refdenotaalpie"/>
          <w:rFonts w:ascii="Verdana" w:hAnsi="Verdana"/>
          <w:sz w:val="16"/>
          <w:szCs w:val="16"/>
        </w:rPr>
        <w:footnoteRef/>
      </w:r>
      <w:r w:rsidRPr="009835D1">
        <w:rPr>
          <w:rFonts w:ascii="Verdana" w:hAnsi="Verdana"/>
          <w:sz w:val="16"/>
          <w:szCs w:val="16"/>
        </w:rPr>
        <w:t xml:space="preserve"> CORTE CONSTITUCIONAL. Sentencia C-1016 de 2012. M.P. Jorge Iván Palacio.</w:t>
      </w:r>
    </w:p>
  </w:footnote>
  <w:footnote w:id="7">
    <w:p w14:paraId="4E3A90B7" w14:textId="77777777" w:rsidR="00EE25F7" w:rsidRPr="00504932" w:rsidRDefault="00EE25F7" w:rsidP="00EE25F7">
      <w:pPr>
        <w:pStyle w:val="Textonotapie"/>
        <w:jc w:val="both"/>
        <w:rPr>
          <w:sz w:val="16"/>
          <w:szCs w:val="16"/>
          <w:lang w:val="es-ES"/>
        </w:rPr>
      </w:pPr>
      <w:r w:rsidRPr="00504932">
        <w:rPr>
          <w:rStyle w:val="Refdenotaalpie"/>
          <w:rFonts w:ascii="Verdana" w:hAnsi="Verdana"/>
          <w:sz w:val="16"/>
          <w:szCs w:val="16"/>
        </w:rPr>
        <w:footnoteRef/>
      </w:r>
      <w:r w:rsidRPr="00504932">
        <w:rPr>
          <w:rFonts w:ascii="Verdana" w:hAnsi="Verdana"/>
          <w:sz w:val="16"/>
          <w:szCs w:val="16"/>
        </w:rPr>
        <w:t xml:space="preserve"> CONSEJO DE ESTADO. Sección Tercera. Subsección A. Sentencia del 13 de noviembre de 2013. Rad. 25.646. C.P. Mauricio Fajardo Gómez.</w:t>
      </w:r>
    </w:p>
  </w:footnote>
  <w:footnote w:id="8">
    <w:p w14:paraId="37CE9712" w14:textId="77777777" w:rsidR="00EE25F7" w:rsidRPr="009835D1" w:rsidRDefault="00EE25F7" w:rsidP="00EE25F7">
      <w:pPr>
        <w:pStyle w:val="Textonotapie"/>
        <w:rPr>
          <w:lang w:val="es-ES"/>
        </w:rPr>
      </w:pPr>
      <w:r>
        <w:rPr>
          <w:rStyle w:val="Refdenotaalpie"/>
        </w:rPr>
        <w:footnoteRef/>
      </w:r>
      <w:r>
        <w:t xml:space="preserve"> </w:t>
      </w:r>
      <w:r w:rsidRPr="009835D1">
        <w:t xml:space="preserve"> CORTE CONSTITUCIONAL. Sentencia T-1039 de 2006. M.P. Humberto Sierra Porto.</w:t>
      </w:r>
    </w:p>
  </w:footnote>
  <w:footnote w:id="9">
    <w:p w14:paraId="0B86582C" w14:textId="77777777" w:rsidR="00EE25F7" w:rsidRPr="00CC0781" w:rsidRDefault="00EE25F7" w:rsidP="00EE25F7">
      <w:pPr>
        <w:pStyle w:val="Textonotapie"/>
        <w:rPr>
          <w:rFonts w:ascii="Verdana" w:hAnsi="Verdana"/>
          <w:sz w:val="16"/>
          <w:szCs w:val="16"/>
          <w:lang w:val="es-ES"/>
        </w:rPr>
      </w:pPr>
      <w:r w:rsidRPr="00CC0781">
        <w:rPr>
          <w:rStyle w:val="Refdenotaalpie"/>
          <w:rFonts w:ascii="Verdana" w:hAnsi="Verdana"/>
          <w:sz w:val="16"/>
          <w:szCs w:val="16"/>
        </w:rPr>
        <w:footnoteRef/>
      </w:r>
      <w:r w:rsidRPr="00CC0781">
        <w:rPr>
          <w:rFonts w:ascii="Verdana" w:hAnsi="Verdana"/>
          <w:sz w:val="16"/>
          <w:szCs w:val="16"/>
        </w:rPr>
        <w:t xml:space="preserve"> CONSEJO DE ESTADO. Sección Tercera. Subsección A. Sentencia del 24 de junio de 2015. Rad. 40.635. Consejero Ponente: Hernán Andrade Rincón (E).</w:t>
      </w:r>
    </w:p>
  </w:footnote>
  <w:footnote w:id="10">
    <w:p w14:paraId="044C3B83" w14:textId="714656C6" w:rsidR="00C20A71" w:rsidRPr="008A0115" w:rsidRDefault="00C20A71" w:rsidP="008A0115">
      <w:pPr>
        <w:pStyle w:val="Textonotapie"/>
        <w:rPr>
          <w:rFonts w:ascii="Verdana" w:hAnsi="Verdana"/>
          <w:sz w:val="16"/>
          <w:szCs w:val="16"/>
          <w:lang w:val="es-ES"/>
        </w:rPr>
      </w:pPr>
      <w:r w:rsidRPr="008A0115">
        <w:rPr>
          <w:rStyle w:val="Refdenotaalpie"/>
          <w:rFonts w:ascii="Verdana" w:hAnsi="Verdana"/>
          <w:sz w:val="16"/>
          <w:szCs w:val="16"/>
        </w:rPr>
        <w:footnoteRef/>
      </w:r>
      <w:r w:rsidRPr="008A0115">
        <w:rPr>
          <w:rFonts w:ascii="Verdana" w:hAnsi="Verdana"/>
          <w:sz w:val="16"/>
          <w:szCs w:val="16"/>
        </w:rPr>
        <w:t xml:space="preserve"> </w:t>
      </w:r>
      <w:r w:rsidRPr="008A0115">
        <w:rPr>
          <w:rFonts w:ascii="Verdana" w:hAnsi="Verdana"/>
          <w:sz w:val="16"/>
          <w:szCs w:val="16"/>
          <w:lang w:val="es-CO"/>
        </w:rPr>
        <w:t>Concepto 152511 de 2023 Departamento Administrativo de la Función Pública</w:t>
      </w:r>
    </w:p>
  </w:footnote>
  <w:footnote w:id="11">
    <w:p w14:paraId="1093E967" w14:textId="7DF195F1" w:rsidR="00C20A71" w:rsidRPr="008303CD" w:rsidRDefault="00C20A71" w:rsidP="008A0115">
      <w:pPr>
        <w:pStyle w:val="Textonotapie"/>
        <w:rPr>
          <w:lang w:val="es-ES"/>
        </w:rPr>
      </w:pPr>
      <w:r w:rsidRPr="008A0115">
        <w:rPr>
          <w:rStyle w:val="Refdenotaalpie"/>
          <w:rFonts w:ascii="Verdana" w:hAnsi="Verdana"/>
          <w:sz w:val="16"/>
          <w:szCs w:val="16"/>
        </w:rPr>
        <w:footnoteRef/>
      </w:r>
      <w:r w:rsidRPr="008A0115">
        <w:rPr>
          <w:rFonts w:ascii="Verdana" w:hAnsi="Verdana"/>
          <w:sz w:val="16"/>
          <w:szCs w:val="16"/>
        </w:rPr>
        <w:t xml:space="preserve"> </w:t>
      </w:r>
      <w:r w:rsidRPr="008A0115">
        <w:rPr>
          <w:rFonts w:ascii="Verdana" w:hAnsi="Verdana"/>
          <w:sz w:val="16"/>
          <w:szCs w:val="16"/>
          <w:lang w:val="es-ES"/>
        </w:rPr>
        <w:t>ibidem</w:t>
      </w:r>
    </w:p>
  </w:footnote>
  <w:footnote w:id="12">
    <w:p w14:paraId="750E22F9" w14:textId="519734ED" w:rsidR="007B0BB3" w:rsidRPr="008A0115" w:rsidRDefault="007B0BB3">
      <w:pPr>
        <w:pStyle w:val="Textonotapie"/>
        <w:rPr>
          <w:rFonts w:ascii="Verdana" w:hAnsi="Verdana"/>
          <w:sz w:val="16"/>
          <w:szCs w:val="16"/>
          <w:lang w:val="es-ES"/>
        </w:rPr>
      </w:pPr>
      <w:r w:rsidRPr="008A0115">
        <w:rPr>
          <w:rStyle w:val="Refdenotaalpie"/>
          <w:rFonts w:ascii="Verdana" w:hAnsi="Verdana"/>
          <w:sz w:val="16"/>
          <w:szCs w:val="16"/>
        </w:rPr>
        <w:footnoteRef/>
      </w:r>
      <w:r w:rsidRPr="008A0115">
        <w:rPr>
          <w:rFonts w:ascii="Verdana" w:hAnsi="Verdana"/>
          <w:sz w:val="16"/>
          <w:szCs w:val="16"/>
        </w:rPr>
        <w:t xml:space="preserve"> </w:t>
      </w:r>
      <w:r w:rsidR="00C20A71" w:rsidRPr="008A0115">
        <w:rPr>
          <w:rFonts w:ascii="Verdana" w:hAnsi="Verdana"/>
          <w:sz w:val="16"/>
          <w:szCs w:val="16"/>
          <w:lang w:val="es-CO"/>
        </w:rPr>
        <w:t>ibidem</w:t>
      </w:r>
    </w:p>
  </w:footnote>
  <w:footnote w:id="13">
    <w:p w14:paraId="168F31AD" w14:textId="77777777" w:rsidR="008A0115" w:rsidRPr="008A0115" w:rsidRDefault="008A0115" w:rsidP="008A0115">
      <w:pPr>
        <w:pStyle w:val="Textonotapie"/>
        <w:rPr>
          <w:rFonts w:ascii="Verdana" w:hAnsi="Verdana"/>
          <w:sz w:val="16"/>
          <w:szCs w:val="16"/>
          <w:lang w:val="es-ES"/>
        </w:rPr>
      </w:pPr>
      <w:r w:rsidRPr="008A0115">
        <w:rPr>
          <w:rStyle w:val="Refdenotaalpie"/>
          <w:rFonts w:ascii="Verdana" w:hAnsi="Verdana"/>
          <w:sz w:val="16"/>
          <w:szCs w:val="16"/>
        </w:rPr>
        <w:footnoteRef/>
      </w:r>
      <w:r w:rsidRPr="008A0115">
        <w:rPr>
          <w:rFonts w:ascii="Verdana" w:hAnsi="Verdana"/>
          <w:sz w:val="16"/>
          <w:szCs w:val="16"/>
        </w:rPr>
        <w:t xml:space="preserve"> </w:t>
      </w:r>
      <w:r w:rsidRPr="008A0115">
        <w:rPr>
          <w:rFonts w:ascii="Verdana" w:hAnsi="Verdana"/>
          <w:sz w:val="16"/>
          <w:szCs w:val="16"/>
          <w:lang w:val="es-CO"/>
        </w:rPr>
        <w:t>Concepto 152511 de 2023 Departamento Administrativo de la Función Pública</w:t>
      </w:r>
    </w:p>
  </w:footnote>
  <w:footnote w:id="14">
    <w:p w14:paraId="0E716CF4" w14:textId="77777777" w:rsidR="008A0115" w:rsidRPr="008303CD" w:rsidRDefault="008A0115" w:rsidP="008A0115">
      <w:pPr>
        <w:pStyle w:val="Textonotapie"/>
        <w:rPr>
          <w:lang w:val="es-ES"/>
        </w:rPr>
      </w:pPr>
      <w:r w:rsidRPr="008A0115">
        <w:rPr>
          <w:rStyle w:val="Refdenotaalpie"/>
          <w:rFonts w:ascii="Verdana" w:hAnsi="Verdana"/>
          <w:sz w:val="16"/>
          <w:szCs w:val="16"/>
        </w:rPr>
        <w:footnoteRef/>
      </w:r>
      <w:r w:rsidRPr="008A0115">
        <w:rPr>
          <w:rFonts w:ascii="Verdana" w:hAnsi="Verdana"/>
          <w:sz w:val="16"/>
          <w:szCs w:val="16"/>
        </w:rPr>
        <w:t xml:space="preserve"> </w:t>
      </w:r>
      <w:r w:rsidRPr="008A0115">
        <w:rPr>
          <w:rFonts w:ascii="Verdana" w:hAnsi="Verdana"/>
          <w:sz w:val="16"/>
          <w:szCs w:val="16"/>
          <w:lang w:val="es-ES"/>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00CA28F1" w:rsidR="004A305D" w:rsidRPr="00DC39FC" w:rsidRDefault="004A305D"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B3215E"/>
    <w:multiLevelType w:val="multilevel"/>
    <w:tmpl w:val="B5B0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174A6"/>
    <w:multiLevelType w:val="hybridMultilevel"/>
    <w:tmpl w:val="AB64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F68BA"/>
    <w:multiLevelType w:val="hybridMultilevel"/>
    <w:tmpl w:val="DB783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4102A7"/>
    <w:multiLevelType w:val="hybridMultilevel"/>
    <w:tmpl w:val="FE06CFFC"/>
    <w:lvl w:ilvl="0" w:tplc="983A4DB2">
      <w:numFmt w:val="bullet"/>
      <w:lvlText w:val=""/>
      <w:lvlJc w:val="left"/>
      <w:pPr>
        <w:ind w:left="823" w:hanging="363"/>
      </w:pPr>
      <w:rPr>
        <w:rFonts w:ascii="Symbol" w:eastAsia="Symbol" w:hAnsi="Symbol" w:cs="Symbol" w:hint="default"/>
        <w:w w:val="98"/>
        <w:sz w:val="22"/>
        <w:szCs w:val="22"/>
        <w:lang w:val="es-ES" w:eastAsia="en-US" w:bidi="ar-SA"/>
      </w:rPr>
    </w:lvl>
    <w:lvl w:ilvl="1" w:tplc="0A9EC924">
      <w:numFmt w:val="bullet"/>
      <w:lvlText w:val="•"/>
      <w:lvlJc w:val="left"/>
      <w:pPr>
        <w:ind w:left="1601" w:hanging="363"/>
      </w:pPr>
      <w:rPr>
        <w:rFonts w:hint="default"/>
        <w:lang w:val="es-ES" w:eastAsia="en-US" w:bidi="ar-SA"/>
      </w:rPr>
    </w:lvl>
    <w:lvl w:ilvl="2" w:tplc="F084A222">
      <w:numFmt w:val="bullet"/>
      <w:lvlText w:val="•"/>
      <w:lvlJc w:val="left"/>
      <w:pPr>
        <w:ind w:left="2383" w:hanging="363"/>
      </w:pPr>
      <w:rPr>
        <w:rFonts w:hint="default"/>
        <w:lang w:val="es-ES" w:eastAsia="en-US" w:bidi="ar-SA"/>
      </w:rPr>
    </w:lvl>
    <w:lvl w:ilvl="3" w:tplc="7C345AEE">
      <w:numFmt w:val="bullet"/>
      <w:lvlText w:val="•"/>
      <w:lvlJc w:val="left"/>
      <w:pPr>
        <w:ind w:left="3165" w:hanging="363"/>
      </w:pPr>
      <w:rPr>
        <w:rFonts w:hint="default"/>
        <w:lang w:val="es-ES" w:eastAsia="en-US" w:bidi="ar-SA"/>
      </w:rPr>
    </w:lvl>
    <w:lvl w:ilvl="4" w:tplc="EDD4931C">
      <w:numFmt w:val="bullet"/>
      <w:lvlText w:val="•"/>
      <w:lvlJc w:val="left"/>
      <w:pPr>
        <w:ind w:left="3946" w:hanging="363"/>
      </w:pPr>
      <w:rPr>
        <w:rFonts w:hint="default"/>
        <w:lang w:val="es-ES" w:eastAsia="en-US" w:bidi="ar-SA"/>
      </w:rPr>
    </w:lvl>
    <w:lvl w:ilvl="5" w:tplc="3CE20420">
      <w:numFmt w:val="bullet"/>
      <w:lvlText w:val="•"/>
      <w:lvlJc w:val="left"/>
      <w:pPr>
        <w:ind w:left="4728" w:hanging="363"/>
      </w:pPr>
      <w:rPr>
        <w:rFonts w:hint="default"/>
        <w:lang w:val="es-ES" w:eastAsia="en-US" w:bidi="ar-SA"/>
      </w:rPr>
    </w:lvl>
    <w:lvl w:ilvl="6" w:tplc="A30480BA">
      <w:numFmt w:val="bullet"/>
      <w:lvlText w:val="•"/>
      <w:lvlJc w:val="left"/>
      <w:pPr>
        <w:ind w:left="5510" w:hanging="363"/>
      </w:pPr>
      <w:rPr>
        <w:rFonts w:hint="default"/>
        <w:lang w:val="es-ES" w:eastAsia="en-US" w:bidi="ar-SA"/>
      </w:rPr>
    </w:lvl>
    <w:lvl w:ilvl="7" w:tplc="BD88B8A8">
      <w:numFmt w:val="bullet"/>
      <w:lvlText w:val="•"/>
      <w:lvlJc w:val="left"/>
      <w:pPr>
        <w:ind w:left="6291" w:hanging="363"/>
      </w:pPr>
      <w:rPr>
        <w:rFonts w:hint="default"/>
        <w:lang w:val="es-ES" w:eastAsia="en-US" w:bidi="ar-SA"/>
      </w:rPr>
    </w:lvl>
    <w:lvl w:ilvl="8" w:tplc="AEBACC96">
      <w:numFmt w:val="bullet"/>
      <w:lvlText w:val="•"/>
      <w:lvlJc w:val="left"/>
      <w:pPr>
        <w:ind w:left="7073" w:hanging="363"/>
      </w:pPr>
      <w:rPr>
        <w:rFonts w:hint="default"/>
        <w:lang w:val="es-ES" w:eastAsia="en-US" w:bidi="ar-SA"/>
      </w:rPr>
    </w:lvl>
  </w:abstractNum>
  <w:abstractNum w:abstractNumId="13" w15:restartNumberingAfterBreak="0">
    <w:nsid w:val="4CDF3992"/>
    <w:multiLevelType w:val="multilevel"/>
    <w:tmpl w:val="CC4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C31758"/>
    <w:multiLevelType w:val="hybridMultilevel"/>
    <w:tmpl w:val="CE202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4"/>
  </w:num>
  <w:num w:numId="14" w16cid:durableId="895897244">
    <w:abstractNumId w:val="19"/>
  </w:num>
  <w:num w:numId="15" w16cid:durableId="390349800">
    <w:abstractNumId w:val="14"/>
  </w:num>
  <w:num w:numId="16" w16cid:durableId="1380713882">
    <w:abstractNumId w:val="0"/>
  </w:num>
  <w:num w:numId="17" w16cid:durableId="743332753">
    <w:abstractNumId w:val="13"/>
  </w:num>
  <w:num w:numId="18" w16cid:durableId="1538347731">
    <w:abstractNumId w:val="5"/>
  </w:num>
  <w:num w:numId="19" w16cid:durableId="865873773">
    <w:abstractNumId w:val="6"/>
  </w:num>
  <w:num w:numId="20" w16cid:durableId="579559171">
    <w:abstractNumId w:val="12"/>
  </w:num>
  <w:num w:numId="21" w16cid:durableId="727800122">
    <w:abstractNumId w:val="3"/>
  </w:num>
  <w:num w:numId="22" w16cid:durableId="2131128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31B2"/>
    <w:rsid w:val="00061B2A"/>
    <w:rsid w:val="00082362"/>
    <w:rsid w:val="000A683E"/>
    <w:rsid w:val="000B19B9"/>
    <w:rsid w:val="000D0334"/>
    <w:rsid w:val="000F6486"/>
    <w:rsid w:val="00125105"/>
    <w:rsid w:val="00127233"/>
    <w:rsid w:val="001511A0"/>
    <w:rsid w:val="001855BF"/>
    <w:rsid w:val="001E4177"/>
    <w:rsid w:val="001F486A"/>
    <w:rsid w:val="001F7DC6"/>
    <w:rsid w:val="0021312D"/>
    <w:rsid w:val="002421BB"/>
    <w:rsid w:val="0025796E"/>
    <w:rsid w:val="002707A2"/>
    <w:rsid w:val="002951A0"/>
    <w:rsid w:val="002962BC"/>
    <w:rsid w:val="002A093D"/>
    <w:rsid w:val="002A0DD0"/>
    <w:rsid w:val="002A3264"/>
    <w:rsid w:val="002A49AC"/>
    <w:rsid w:val="002A64FD"/>
    <w:rsid w:val="002C7A84"/>
    <w:rsid w:val="002E4FD9"/>
    <w:rsid w:val="00322A85"/>
    <w:rsid w:val="00324168"/>
    <w:rsid w:val="00330482"/>
    <w:rsid w:val="003448F4"/>
    <w:rsid w:val="00345C7E"/>
    <w:rsid w:val="00374F5E"/>
    <w:rsid w:val="00377E3E"/>
    <w:rsid w:val="00380D5B"/>
    <w:rsid w:val="0039358B"/>
    <w:rsid w:val="003A779E"/>
    <w:rsid w:val="003D0F4D"/>
    <w:rsid w:val="003D5B0D"/>
    <w:rsid w:val="003E0499"/>
    <w:rsid w:val="003F3941"/>
    <w:rsid w:val="00406575"/>
    <w:rsid w:val="00414C74"/>
    <w:rsid w:val="0042722E"/>
    <w:rsid w:val="0044528D"/>
    <w:rsid w:val="00465814"/>
    <w:rsid w:val="00494C3A"/>
    <w:rsid w:val="004A1152"/>
    <w:rsid w:val="004A1847"/>
    <w:rsid w:val="004A305D"/>
    <w:rsid w:val="004F21C4"/>
    <w:rsid w:val="004F538D"/>
    <w:rsid w:val="004F685F"/>
    <w:rsid w:val="00503DD6"/>
    <w:rsid w:val="00525269"/>
    <w:rsid w:val="005566E8"/>
    <w:rsid w:val="00574867"/>
    <w:rsid w:val="00591460"/>
    <w:rsid w:val="005B3816"/>
    <w:rsid w:val="005C0F3D"/>
    <w:rsid w:val="005C3777"/>
    <w:rsid w:val="005C5CDC"/>
    <w:rsid w:val="005D476C"/>
    <w:rsid w:val="006219F8"/>
    <w:rsid w:val="00660E5B"/>
    <w:rsid w:val="00665D70"/>
    <w:rsid w:val="006677DC"/>
    <w:rsid w:val="006900D9"/>
    <w:rsid w:val="006A7512"/>
    <w:rsid w:val="006C2A15"/>
    <w:rsid w:val="006C7E11"/>
    <w:rsid w:val="00706C16"/>
    <w:rsid w:val="00756841"/>
    <w:rsid w:val="007649AB"/>
    <w:rsid w:val="00771D0C"/>
    <w:rsid w:val="007833AC"/>
    <w:rsid w:val="007B0BB3"/>
    <w:rsid w:val="007B268C"/>
    <w:rsid w:val="007B7171"/>
    <w:rsid w:val="007C0C0F"/>
    <w:rsid w:val="007C3DC2"/>
    <w:rsid w:val="007E5497"/>
    <w:rsid w:val="00806F5F"/>
    <w:rsid w:val="00820278"/>
    <w:rsid w:val="008303CD"/>
    <w:rsid w:val="00867F95"/>
    <w:rsid w:val="008843B6"/>
    <w:rsid w:val="00884EC2"/>
    <w:rsid w:val="00891928"/>
    <w:rsid w:val="008A0115"/>
    <w:rsid w:val="008A446D"/>
    <w:rsid w:val="008D180B"/>
    <w:rsid w:val="008F0EA7"/>
    <w:rsid w:val="00923EEF"/>
    <w:rsid w:val="009419F9"/>
    <w:rsid w:val="0095685E"/>
    <w:rsid w:val="00961B09"/>
    <w:rsid w:val="00965334"/>
    <w:rsid w:val="0097093E"/>
    <w:rsid w:val="00986AC5"/>
    <w:rsid w:val="00994CB7"/>
    <w:rsid w:val="0099735C"/>
    <w:rsid w:val="009A0DFA"/>
    <w:rsid w:val="009B2D26"/>
    <w:rsid w:val="009C71FA"/>
    <w:rsid w:val="009C72E7"/>
    <w:rsid w:val="009D3058"/>
    <w:rsid w:val="009D3FBC"/>
    <w:rsid w:val="009F3A13"/>
    <w:rsid w:val="00A122D3"/>
    <w:rsid w:val="00A17F13"/>
    <w:rsid w:val="00A20739"/>
    <w:rsid w:val="00A33C78"/>
    <w:rsid w:val="00A65EC6"/>
    <w:rsid w:val="00AB0ADB"/>
    <w:rsid w:val="00AF366B"/>
    <w:rsid w:val="00B01B1A"/>
    <w:rsid w:val="00B35012"/>
    <w:rsid w:val="00B66319"/>
    <w:rsid w:val="00B72CD3"/>
    <w:rsid w:val="00B72FFF"/>
    <w:rsid w:val="00BC3D36"/>
    <w:rsid w:val="00BC77E4"/>
    <w:rsid w:val="00BD7F72"/>
    <w:rsid w:val="00BF4DE6"/>
    <w:rsid w:val="00C00251"/>
    <w:rsid w:val="00C04FB3"/>
    <w:rsid w:val="00C20A71"/>
    <w:rsid w:val="00C2312C"/>
    <w:rsid w:val="00C330EB"/>
    <w:rsid w:val="00C41061"/>
    <w:rsid w:val="00C754BE"/>
    <w:rsid w:val="00C76B1C"/>
    <w:rsid w:val="00CB6357"/>
    <w:rsid w:val="00CC1B26"/>
    <w:rsid w:val="00CF7B1F"/>
    <w:rsid w:val="00D27E44"/>
    <w:rsid w:val="00D423A2"/>
    <w:rsid w:val="00D520D8"/>
    <w:rsid w:val="00D63AC2"/>
    <w:rsid w:val="00D7383B"/>
    <w:rsid w:val="00DA231B"/>
    <w:rsid w:val="00DB323D"/>
    <w:rsid w:val="00DC39FC"/>
    <w:rsid w:val="00DF4493"/>
    <w:rsid w:val="00DF5254"/>
    <w:rsid w:val="00E0446D"/>
    <w:rsid w:val="00E16408"/>
    <w:rsid w:val="00E20894"/>
    <w:rsid w:val="00E245AB"/>
    <w:rsid w:val="00E2764C"/>
    <w:rsid w:val="00E27F2E"/>
    <w:rsid w:val="00E50AFE"/>
    <w:rsid w:val="00E6617B"/>
    <w:rsid w:val="00E75C92"/>
    <w:rsid w:val="00E771DC"/>
    <w:rsid w:val="00E8772A"/>
    <w:rsid w:val="00E90F6B"/>
    <w:rsid w:val="00E92C27"/>
    <w:rsid w:val="00EA0E3D"/>
    <w:rsid w:val="00EC38A7"/>
    <w:rsid w:val="00ED7384"/>
    <w:rsid w:val="00EE1AA8"/>
    <w:rsid w:val="00EE25F7"/>
    <w:rsid w:val="00EE30D2"/>
    <w:rsid w:val="00F10297"/>
    <w:rsid w:val="00F31EDC"/>
    <w:rsid w:val="00F462B3"/>
    <w:rsid w:val="00F5664F"/>
    <w:rsid w:val="00F666C4"/>
    <w:rsid w:val="00F76AFC"/>
    <w:rsid w:val="00F81493"/>
    <w:rsid w:val="00FA47C0"/>
    <w:rsid w:val="00FB5DD1"/>
    <w:rsid w:val="00FC2B5D"/>
    <w:rsid w:val="00FF1449"/>
    <w:rsid w:val="216B9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2">
    <w:name w:val="heading 2"/>
    <w:basedOn w:val="Normal"/>
    <w:next w:val="Normal"/>
    <w:link w:val="Ttulo2Car"/>
    <w:uiPriority w:val="9"/>
    <w:semiHidden/>
    <w:unhideWhenUsed/>
    <w:qFormat/>
    <w:rsid w:val="007B0B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E25F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EE25F7"/>
    <w:rPr>
      <w:rFonts w:ascii="Geomanist Light" w:hAnsi="Geomanist Light"/>
      <w:lang w:val="es-ES"/>
    </w:rPr>
  </w:style>
  <w:style w:type="table" w:customStyle="1" w:styleId="Tablaconcuadrcula1">
    <w:name w:val="Tabla con cuadrícula1"/>
    <w:basedOn w:val="Tablanormal"/>
    <w:next w:val="Tablaconcuadrcula"/>
    <w:uiPriority w:val="39"/>
    <w:qFormat/>
    <w:rsid w:val="00EE2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E25F7"/>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EE25F7"/>
    <w:rPr>
      <w:rFonts w:ascii="Verdana" w:eastAsia="Verdana" w:hAnsi="Verdana" w:cs="Verdana"/>
      <w:lang w:val="es-ES"/>
    </w:rPr>
  </w:style>
  <w:style w:type="character" w:styleId="Refdecomentario">
    <w:name w:val="annotation reference"/>
    <w:basedOn w:val="Fuentedeprrafopredeter"/>
    <w:uiPriority w:val="99"/>
    <w:semiHidden/>
    <w:unhideWhenUsed/>
    <w:rsid w:val="00330482"/>
    <w:rPr>
      <w:sz w:val="16"/>
      <w:szCs w:val="16"/>
    </w:rPr>
  </w:style>
  <w:style w:type="paragraph" w:styleId="Textocomentario">
    <w:name w:val="annotation text"/>
    <w:basedOn w:val="Normal"/>
    <w:link w:val="TextocomentarioCar"/>
    <w:uiPriority w:val="99"/>
    <w:semiHidden/>
    <w:unhideWhenUsed/>
    <w:rsid w:val="003304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0482"/>
    <w:rPr>
      <w:sz w:val="20"/>
      <w:szCs w:val="20"/>
    </w:rPr>
  </w:style>
  <w:style w:type="paragraph" w:styleId="Asuntodelcomentario">
    <w:name w:val="annotation subject"/>
    <w:basedOn w:val="Textocomentario"/>
    <w:next w:val="Textocomentario"/>
    <w:link w:val="AsuntodelcomentarioCar"/>
    <w:uiPriority w:val="99"/>
    <w:semiHidden/>
    <w:unhideWhenUsed/>
    <w:rsid w:val="00330482"/>
    <w:rPr>
      <w:b/>
      <w:bCs/>
    </w:rPr>
  </w:style>
  <w:style w:type="character" w:customStyle="1" w:styleId="AsuntodelcomentarioCar">
    <w:name w:val="Asunto del comentario Car"/>
    <w:basedOn w:val="TextocomentarioCar"/>
    <w:link w:val="Asuntodelcomentario"/>
    <w:uiPriority w:val="99"/>
    <w:semiHidden/>
    <w:rsid w:val="00330482"/>
    <w:rPr>
      <w:b/>
      <w:bCs/>
      <w:sz w:val="20"/>
      <w:szCs w:val="20"/>
    </w:rPr>
  </w:style>
  <w:style w:type="character" w:customStyle="1" w:styleId="Ttulo2Car">
    <w:name w:val="Título 2 Car"/>
    <w:basedOn w:val="Fuentedeprrafopredeter"/>
    <w:link w:val="Ttulo2"/>
    <w:uiPriority w:val="9"/>
    <w:semiHidden/>
    <w:rsid w:val="007B0B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848502">
      <w:bodyDiv w:val="1"/>
      <w:marLeft w:val="0"/>
      <w:marRight w:val="0"/>
      <w:marTop w:val="0"/>
      <w:marBottom w:val="0"/>
      <w:divBdr>
        <w:top w:val="none" w:sz="0" w:space="0" w:color="auto"/>
        <w:left w:val="none" w:sz="0" w:space="0" w:color="auto"/>
        <w:bottom w:val="none" w:sz="0" w:space="0" w:color="auto"/>
        <w:right w:val="none" w:sz="0" w:space="0" w:color="auto"/>
      </w:divBdr>
    </w:div>
    <w:div w:id="595213919">
      <w:bodyDiv w:val="1"/>
      <w:marLeft w:val="0"/>
      <w:marRight w:val="0"/>
      <w:marTop w:val="0"/>
      <w:marBottom w:val="0"/>
      <w:divBdr>
        <w:top w:val="none" w:sz="0" w:space="0" w:color="auto"/>
        <w:left w:val="none" w:sz="0" w:space="0" w:color="auto"/>
        <w:bottom w:val="none" w:sz="0" w:space="0" w:color="auto"/>
        <w:right w:val="none" w:sz="0" w:space="0" w:color="auto"/>
      </w:divBdr>
    </w:div>
    <w:div w:id="60407650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36515432">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30181405">
      <w:bodyDiv w:val="1"/>
      <w:marLeft w:val="0"/>
      <w:marRight w:val="0"/>
      <w:marTop w:val="0"/>
      <w:marBottom w:val="0"/>
      <w:divBdr>
        <w:top w:val="none" w:sz="0" w:space="0" w:color="auto"/>
        <w:left w:val="none" w:sz="0" w:space="0" w:color="auto"/>
        <w:bottom w:val="none" w:sz="0" w:space="0" w:color="auto"/>
        <w:right w:val="none" w:sz="0" w:space="0" w:color="auto"/>
      </w:divBdr>
    </w:div>
    <w:div w:id="1121219766">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535846380">
      <w:bodyDiv w:val="1"/>
      <w:marLeft w:val="0"/>
      <w:marRight w:val="0"/>
      <w:marTop w:val="0"/>
      <w:marBottom w:val="0"/>
      <w:divBdr>
        <w:top w:val="none" w:sz="0" w:space="0" w:color="auto"/>
        <w:left w:val="none" w:sz="0" w:space="0" w:color="auto"/>
        <w:bottom w:val="none" w:sz="0" w:space="0" w:color="auto"/>
        <w:right w:val="none" w:sz="0" w:space="0" w:color="auto"/>
      </w:divBdr>
    </w:div>
    <w:div w:id="1574657892">
      <w:bodyDiv w:val="1"/>
      <w:marLeft w:val="0"/>
      <w:marRight w:val="0"/>
      <w:marTop w:val="0"/>
      <w:marBottom w:val="0"/>
      <w:divBdr>
        <w:top w:val="none" w:sz="0" w:space="0" w:color="auto"/>
        <w:left w:val="none" w:sz="0" w:space="0" w:color="auto"/>
        <w:bottom w:val="none" w:sz="0" w:space="0" w:color="auto"/>
        <w:right w:val="none" w:sz="0" w:space="0" w:color="auto"/>
      </w:divBdr>
    </w:div>
    <w:div w:id="1647124073">
      <w:bodyDiv w:val="1"/>
      <w:marLeft w:val="0"/>
      <w:marRight w:val="0"/>
      <w:marTop w:val="0"/>
      <w:marBottom w:val="0"/>
      <w:divBdr>
        <w:top w:val="none" w:sz="0" w:space="0" w:color="auto"/>
        <w:left w:val="none" w:sz="0" w:space="0" w:color="auto"/>
        <w:bottom w:val="none" w:sz="0" w:space="0" w:color="auto"/>
        <w:right w:val="none" w:sz="0" w:space="0" w:color="auto"/>
      </w:divBdr>
    </w:div>
    <w:div w:id="188170203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eonelcepedamelo@gmail.com" TargetMode="External"/><Relationship Id="rId17"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B2FC4390-AA7F-5C40-AD24-A5F6F6466414}">
  <ds:schemaRefs>
    <ds:schemaRef ds:uri="http://schemas.openxmlformats.org/officeDocument/2006/bibliography"/>
  </ds:schemaRefs>
</ds:datastoreItem>
</file>

<file path=customXml/itemProps2.xml><?xml version="1.0" encoding="utf-8"?>
<ds:datastoreItem xmlns:ds="http://schemas.openxmlformats.org/officeDocument/2006/customXml" ds:itemID="{245A2087-CE25-4CBC-9DBE-F06137273C90}"/>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4613</Words>
  <Characters>25377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Christian Camilo Orjuela Galeano</cp:lastModifiedBy>
  <cp:revision>10</cp:revision>
  <cp:lastPrinted>2023-01-10T21:18:00Z</cp:lastPrinted>
  <dcterms:created xsi:type="dcterms:W3CDTF">2024-12-12T14:18:00Z</dcterms:created>
  <dcterms:modified xsi:type="dcterms:W3CDTF">2024-12-13T13:06:00Z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