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8E3A" w14:textId="77777777" w:rsidR="0047156A" w:rsidRPr="009B46EA" w:rsidRDefault="0047156A" w:rsidP="0047156A">
      <w:pPr>
        <w:pStyle w:val="Textoindependiente"/>
        <w:spacing w:after="0" w:line="240" w:lineRule="auto"/>
        <w:ind w:right="102"/>
        <w:jc w:val="both"/>
        <w:rPr>
          <w:rFonts w:ascii="Verdana" w:hAnsi="Verdana" w:cs="Arial"/>
          <w:b/>
          <w:color w:val="000000" w:themeColor="text1"/>
          <w:sz w:val="20"/>
          <w:szCs w:val="20"/>
          <w:lang w:val="es-ES_tradnl"/>
        </w:rPr>
      </w:pPr>
    </w:p>
    <w:p w14:paraId="4E202F72" w14:textId="77777777" w:rsidR="0047156A" w:rsidRPr="009B46EA" w:rsidRDefault="0047156A" w:rsidP="0047156A">
      <w:pPr>
        <w:pStyle w:val="Textoindependiente"/>
        <w:spacing w:after="0" w:line="240" w:lineRule="auto"/>
        <w:ind w:right="102"/>
        <w:jc w:val="both"/>
        <w:rPr>
          <w:rFonts w:ascii="Verdana" w:hAnsi="Verdana" w:cs="Arial"/>
          <w:b/>
          <w:color w:val="000000" w:themeColor="text1"/>
          <w:lang w:val="es-ES_tradnl"/>
        </w:rPr>
      </w:pPr>
      <w:r w:rsidRPr="009B46EA">
        <w:rPr>
          <w:rFonts w:ascii="Verdana" w:hAnsi="Verdana" w:cs="Arial"/>
          <w:b/>
          <w:color w:val="000000" w:themeColor="text1"/>
          <w:lang w:val="es-ES_tradnl"/>
        </w:rPr>
        <w:t xml:space="preserve">DECRETO 092 DE 2017 – Finalidad – Clases de contratos </w:t>
      </w:r>
    </w:p>
    <w:p w14:paraId="43C9033A" w14:textId="77777777" w:rsidR="0047156A" w:rsidRPr="009B46EA" w:rsidRDefault="0047156A" w:rsidP="0047156A">
      <w:pPr>
        <w:pStyle w:val="Textoindependiente"/>
        <w:spacing w:after="0" w:line="240" w:lineRule="auto"/>
        <w:ind w:right="102"/>
        <w:jc w:val="both"/>
        <w:rPr>
          <w:rFonts w:ascii="Verdana" w:hAnsi="Verdana" w:cs="Arial"/>
          <w:color w:val="000000" w:themeColor="text1"/>
          <w:sz w:val="20"/>
          <w:szCs w:val="20"/>
          <w:lang w:val="es-ES_tradnl"/>
        </w:rPr>
      </w:pPr>
    </w:p>
    <w:p w14:paraId="118DA79B" w14:textId="77777777" w:rsidR="0047156A" w:rsidRPr="009B46EA" w:rsidRDefault="0047156A" w:rsidP="0047156A">
      <w:pPr>
        <w:spacing w:after="0" w:line="240" w:lineRule="auto"/>
        <w:jc w:val="both"/>
        <w:rPr>
          <w:rFonts w:ascii="Verdana" w:eastAsia="Arial" w:hAnsi="Verdana" w:cs="Arial"/>
          <w:color w:val="000000" w:themeColor="text1"/>
          <w:sz w:val="20"/>
          <w:szCs w:val="20"/>
          <w:lang w:val="es-ES_tradnl"/>
        </w:rPr>
      </w:pPr>
      <w:r w:rsidRPr="009B46EA">
        <w:rPr>
          <w:rFonts w:ascii="Verdana" w:eastAsia="Arial" w:hAnsi="Verdana" w:cs="Arial"/>
          <w:color w:val="000000" w:themeColor="text1"/>
          <w:sz w:val="20"/>
          <w:szCs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9B46EA">
        <w:rPr>
          <w:rFonts w:ascii="Verdana" w:eastAsia="Arial" w:hAnsi="Verdana" w:cs="Arial"/>
          <w:color w:val="000000" w:themeColor="text1"/>
          <w:sz w:val="20"/>
          <w:szCs w:val="20"/>
          <w:lang w:val="es-ES_tradnl"/>
        </w:rPr>
        <w:t>ii</w:t>
      </w:r>
      <w:proofErr w:type="spellEnd"/>
      <w:r w:rsidRPr="009B46EA">
        <w:rPr>
          <w:rFonts w:ascii="Verdana" w:eastAsia="Arial" w:hAnsi="Verdana" w:cs="Arial"/>
          <w:color w:val="000000" w:themeColor="text1"/>
          <w:sz w:val="20"/>
          <w:szCs w:val="20"/>
          <w:lang w:val="es-ES_tradnl"/>
        </w:rPr>
        <w:t>) los convenios de asociación, para el desarrollo conjunto de actividades relacionadas con las funciones de las entidades estatales, en desarrollo del artículo 96 de la Ley 489 de 1998.</w:t>
      </w:r>
    </w:p>
    <w:p w14:paraId="0263AF7E" w14:textId="77777777" w:rsidR="0047156A" w:rsidRPr="009B46EA" w:rsidRDefault="0047156A" w:rsidP="0047156A">
      <w:pPr>
        <w:spacing w:after="0" w:line="240" w:lineRule="auto"/>
        <w:jc w:val="both"/>
        <w:rPr>
          <w:rFonts w:ascii="Verdana" w:eastAsia="Calibri" w:hAnsi="Verdana" w:cs="Arial"/>
          <w:b/>
          <w:color w:val="000000" w:themeColor="text1"/>
          <w:lang w:val="es-ES_tradnl"/>
        </w:rPr>
      </w:pPr>
    </w:p>
    <w:p w14:paraId="45502181" w14:textId="77777777" w:rsidR="0047156A" w:rsidRPr="009B46EA" w:rsidRDefault="0047156A" w:rsidP="0047156A">
      <w:pPr>
        <w:spacing w:after="0" w:line="240" w:lineRule="auto"/>
        <w:jc w:val="both"/>
        <w:rPr>
          <w:rFonts w:ascii="Verdana" w:eastAsia="Calibri" w:hAnsi="Verdana" w:cs="Arial"/>
          <w:b/>
          <w:color w:val="000000" w:themeColor="text1"/>
          <w:lang w:val="es-ES_tradnl"/>
        </w:rPr>
      </w:pPr>
      <w:r w:rsidRPr="009B46EA">
        <w:rPr>
          <w:rFonts w:ascii="Verdana" w:eastAsia="Calibri" w:hAnsi="Verdana" w:cs="Arial"/>
          <w:b/>
          <w:color w:val="000000" w:themeColor="text1"/>
          <w:lang w:val="es-ES_tradnl"/>
        </w:rPr>
        <w:t xml:space="preserve">CONTRATACIÓN CON ESAL – Contrato de colaboración – Objeto – Alcance </w:t>
      </w:r>
    </w:p>
    <w:p w14:paraId="2E223C91" w14:textId="77777777" w:rsidR="0047156A" w:rsidRPr="009B46EA" w:rsidRDefault="0047156A" w:rsidP="0047156A">
      <w:pPr>
        <w:spacing w:after="0" w:line="240" w:lineRule="auto"/>
        <w:jc w:val="both"/>
        <w:rPr>
          <w:rFonts w:ascii="Verdana" w:eastAsia="Calibri" w:hAnsi="Verdana" w:cs="Arial"/>
          <w:bCs/>
          <w:color w:val="000000" w:themeColor="text1"/>
          <w:sz w:val="20"/>
          <w:szCs w:val="20"/>
          <w:lang w:val="es-ES_tradnl"/>
        </w:rPr>
      </w:pPr>
    </w:p>
    <w:p w14:paraId="727A43F7" w14:textId="77777777" w:rsidR="0047156A" w:rsidRPr="009B46EA" w:rsidRDefault="0047156A" w:rsidP="0047156A">
      <w:pPr>
        <w:spacing w:after="0" w:line="240" w:lineRule="auto"/>
        <w:jc w:val="both"/>
        <w:rPr>
          <w:rFonts w:ascii="Verdana" w:hAnsi="Verdana" w:cs="Arial"/>
          <w:color w:val="000000" w:themeColor="text1"/>
          <w:sz w:val="20"/>
          <w:szCs w:val="20"/>
          <w:lang w:val="es-ES_tradnl"/>
        </w:rPr>
      </w:pPr>
      <w:r w:rsidRPr="009B46EA">
        <w:rPr>
          <w:rFonts w:ascii="Verdana" w:hAnsi="Verdana"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14:paraId="578E4AE6" w14:textId="77777777" w:rsidR="0047156A" w:rsidRPr="009B46EA" w:rsidRDefault="0047156A" w:rsidP="0047156A">
      <w:pPr>
        <w:spacing w:after="0" w:line="240" w:lineRule="auto"/>
        <w:jc w:val="both"/>
        <w:rPr>
          <w:rFonts w:ascii="Verdana" w:hAnsi="Verdana" w:cs="Arial"/>
          <w:color w:val="000000" w:themeColor="text1"/>
          <w:sz w:val="21"/>
          <w:szCs w:val="21"/>
          <w:lang w:val="es-ES_tradnl"/>
        </w:rPr>
      </w:pPr>
    </w:p>
    <w:p w14:paraId="08DC3040" w14:textId="77777777" w:rsidR="0047156A" w:rsidRPr="009B46EA" w:rsidRDefault="0047156A" w:rsidP="0047156A">
      <w:pPr>
        <w:spacing w:after="0" w:line="240" w:lineRule="auto"/>
        <w:jc w:val="both"/>
        <w:rPr>
          <w:rFonts w:ascii="Verdana" w:eastAsia="Calibri" w:hAnsi="Verdana" w:cs="Arial"/>
          <w:b/>
          <w:color w:val="000000" w:themeColor="text1"/>
          <w:lang w:val="es-ES_tradnl"/>
        </w:rPr>
      </w:pPr>
      <w:bookmarkStart w:id="0" w:name="_Hlk109118876"/>
      <w:r w:rsidRPr="009B46EA">
        <w:rPr>
          <w:rFonts w:ascii="Verdana" w:eastAsia="Calibri" w:hAnsi="Verdana" w:cs="Arial"/>
          <w:b/>
          <w:color w:val="000000" w:themeColor="text1"/>
          <w:lang w:val="es-ES_tradnl"/>
        </w:rPr>
        <w:t>CONTRATACIÓN CON ESAL –</w:t>
      </w:r>
      <w:bookmarkEnd w:id="0"/>
      <w:r w:rsidRPr="009B46EA">
        <w:rPr>
          <w:rFonts w:ascii="Verdana" w:eastAsia="Calibri" w:hAnsi="Verdana" w:cs="Arial"/>
          <w:b/>
          <w:color w:val="000000" w:themeColor="text1"/>
          <w:lang w:val="es-ES_tradnl"/>
        </w:rPr>
        <w:t xml:space="preserve"> Con</w:t>
      </w:r>
      <w:r>
        <w:rPr>
          <w:rFonts w:ascii="Verdana" w:eastAsia="Calibri" w:hAnsi="Verdana" w:cs="Arial"/>
          <w:b/>
          <w:color w:val="000000" w:themeColor="text1"/>
          <w:lang w:val="es-ES_tradnl"/>
        </w:rPr>
        <w:t>venios</w:t>
      </w:r>
      <w:r w:rsidRPr="009B46EA">
        <w:rPr>
          <w:rFonts w:ascii="Verdana" w:eastAsia="Calibri" w:hAnsi="Verdana" w:cs="Arial"/>
          <w:b/>
          <w:color w:val="000000" w:themeColor="text1"/>
          <w:lang w:val="es-ES_tradnl"/>
        </w:rPr>
        <w:t xml:space="preserve"> de asociación – Objeto – Alcance </w:t>
      </w:r>
    </w:p>
    <w:p w14:paraId="0233C0CD" w14:textId="77777777" w:rsidR="0047156A" w:rsidRPr="009B46EA" w:rsidRDefault="0047156A" w:rsidP="0047156A">
      <w:pPr>
        <w:spacing w:after="0" w:line="240" w:lineRule="auto"/>
        <w:jc w:val="both"/>
        <w:rPr>
          <w:rFonts w:ascii="Verdana" w:eastAsia="Calibri" w:hAnsi="Verdana" w:cs="Arial"/>
          <w:b/>
          <w:color w:val="000000" w:themeColor="text1"/>
          <w:lang w:val="es-ES_tradnl"/>
        </w:rPr>
      </w:pPr>
    </w:p>
    <w:p w14:paraId="167818C5" w14:textId="77777777" w:rsidR="0047156A" w:rsidRPr="009B46EA" w:rsidRDefault="0047156A" w:rsidP="0047156A">
      <w:pPr>
        <w:spacing w:after="0" w:line="240" w:lineRule="auto"/>
        <w:jc w:val="both"/>
        <w:rPr>
          <w:rFonts w:ascii="Verdana" w:hAnsi="Verdana" w:cs="Arial"/>
          <w:color w:val="000000" w:themeColor="text1"/>
          <w:sz w:val="20"/>
          <w:szCs w:val="20"/>
          <w:lang w:val="es-ES_tradnl"/>
        </w:rPr>
      </w:pPr>
      <w:r w:rsidRPr="009B46EA">
        <w:rPr>
          <w:rFonts w:ascii="Verdana" w:hAnsi="Verdana" w:cs="Arial"/>
          <w:color w:val="000000" w:themeColor="text1"/>
          <w:sz w:val="20"/>
          <w:szCs w:val="20"/>
          <w:lang w:val="es-ES_tradnl"/>
        </w:rPr>
        <w:t>De otro lado, los convenios de asociación «[t]</w:t>
      </w:r>
      <w:proofErr w:type="spellStart"/>
      <w:r w:rsidRPr="009B46EA">
        <w:rPr>
          <w:rFonts w:ascii="Verdana" w:hAnsi="Verdana" w:cs="Arial"/>
          <w:color w:val="000000" w:themeColor="text1"/>
          <w:sz w:val="20"/>
          <w:szCs w:val="20"/>
          <w:lang w:val="es-ES_tradnl"/>
        </w:rPr>
        <w:t>ienen</w:t>
      </w:r>
      <w:proofErr w:type="spellEnd"/>
      <w:r w:rsidRPr="009B46EA">
        <w:rPr>
          <w:rFonts w:ascii="Verdana" w:hAnsi="Verdana" w:cs="Arial"/>
          <w:color w:val="000000" w:themeColor="text1"/>
          <w:sz w:val="20"/>
          <w:szCs w:val="20"/>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9B46EA">
        <w:rPr>
          <w:rFonts w:ascii="Verdana" w:hAnsi="Verdana" w:cs="Arial"/>
          <w:color w:val="000000" w:themeColor="text1"/>
          <w:sz w:val="20"/>
          <w:szCs w:val="20"/>
          <w:lang w:val="es-ES_tradnl"/>
        </w:rPr>
        <w:t>y</w:t>
      </w:r>
      <w:proofErr w:type="gramEnd"/>
      <w:r w:rsidRPr="009B46EA">
        <w:rPr>
          <w:rFonts w:ascii="Verdana" w:hAnsi="Verdana" w:cs="Arial"/>
          <w:color w:val="000000" w:themeColor="text1"/>
          <w:sz w:val="20"/>
          <w:szCs w:val="20"/>
          <w:lang w:val="es-ES_tradnl"/>
        </w:rPr>
        <w:t xml:space="preserve"> por tanto, la entidad no instruye al contratista para desarrollar los programas o actividades previstas, sino que se asocia con él para el cumplimiento de objetivos comunes.</w:t>
      </w:r>
    </w:p>
    <w:p w14:paraId="185AFC10" w14:textId="77777777" w:rsidR="0047156A" w:rsidRPr="009B46EA" w:rsidRDefault="0047156A" w:rsidP="0047156A">
      <w:pPr>
        <w:spacing w:after="0" w:line="240" w:lineRule="auto"/>
        <w:jc w:val="both"/>
        <w:rPr>
          <w:rFonts w:ascii="Verdana" w:hAnsi="Verdana" w:cs="Arial"/>
          <w:color w:val="000000" w:themeColor="text1"/>
          <w:sz w:val="20"/>
          <w:szCs w:val="20"/>
          <w:lang w:val="es-ES_tradnl"/>
        </w:rPr>
      </w:pPr>
    </w:p>
    <w:p w14:paraId="7584A8A8" w14:textId="77777777" w:rsidR="0047156A" w:rsidRPr="009B46EA" w:rsidRDefault="0047156A" w:rsidP="0047156A">
      <w:pPr>
        <w:spacing w:after="0" w:line="240" w:lineRule="auto"/>
        <w:jc w:val="both"/>
        <w:rPr>
          <w:rFonts w:ascii="Verdana" w:eastAsia="Calibri" w:hAnsi="Verdana" w:cs="Arial"/>
          <w:b/>
          <w:color w:val="000000" w:themeColor="text1"/>
          <w:lang w:val="es-ES_tradnl"/>
        </w:rPr>
      </w:pPr>
      <w:r w:rsidRPr="009B46EA">
        <w:rPr>
          <w:rFonts w:ascii="Verdana" w:eastAsia="Calibri" w:hAnsi="Verdana" w:cs="Arial"/>
          <w:b/>
          <w:color w:val="000000" w:themeColor="text1"/>
          <w:lang w:val="es-ES_tradnl"/>
        </w:rPr>
        <w:t>CONVENIOS DE ASOCIACIÓN – Multiplicidad de sujetos – Límites legales</w:t>
      </w:r>
    </w:p>
    <w:p w14:paraId="7D4733BB" w14:textId="77777777" w:rsidR="0047156A" w:rsidRPr="009B46EA" w:rsidRDefault="0047156A" w:rsidP="0047156A">
      <w:pPr>
        <w:spacing w:after="0" w:line="240" w:lineRule="auto"/>
        <w:jc w:val="both"/>
        <w:rPr>
          <w:rFonts w:ascii="Verdana" w:hAnsi="Verdana" w:cs="Arial"/>
          <w:color w:val="000000" w:themeColor="text1"/>
          <w:sz w:val="20"/>
          <w:szCs w:val="20"/>
          <w:lang w:val="es-ES_tradnl"/>
        </w:rPr>
      </w:pPr>
    </w:p>
    <w:p w14:paraId="2F989322" w14:textId="77777777" w:rsidR="0047156A" w:rsidRPr="009B46EA" w:rsidRDefault="0047156A" w:rsidP="0047156A">
      <w:pPr>
        <w:pStyle w:val="Sinespaciado"/>
        <w:jc w:val="both"/>
        <w:rPr>
          <w:rFonts w:ascii="Verdana" w:hAnsi="Verdana" w:cs="Arial"/>
          <w:color w:val="000000" w:themeColor="text1"/>
          <w:sz w:val="20"/>
          <w:szCs w:val="20"/>
          <w:lang w:val="es-ES_tradnl"/>
        </w:rPr>
      </w:pPr>
      <w:r w:rsidRPr="009B46EA">
        <w:rPr>
          <w:rFonts w:ascii="Verdana" w:hAnsi="Verdana" w:cs="Arial"/>
          <w:color w:val="000000" w:themeColor="text1"/>
          <w:sz w:val="20"/>
          <w:szCs w:val="20"/>
          <w:lang w:val="es-ES_tradnl"/>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w:t>
      </w:r>
      <w:r w:rsidRPr="009B46EA">
        <w:rPr>
          <w:rFonts w:ascii="Verdana" w:hAnsi="Verdana" w:cs="Arial"/>
          <w:color w:val="000000" w:themeColor="text1"/>
          <w:sz w:val="20"/>
          <w:szCs w:val="20"/>
          <w:lang w:val="es-ES_tradnl"/>
        </w:rPr>
        <w:lastRenderedPageBreak/>
        <w:t>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0B513F1E" w14:textId="77777777" w:rsidR="0047156A" w:rsidRPr="009B46EA" w:rsidRDefault="0047156A" w:rsidP="0047156A">
      <w:pPr>
        <w:pStyle w:val="Sinespaciado"/>
        <w:jc w:val="both"/>
        <w:rPr>
          <w:rFonts w:ascii="Verdana" w:hAnsi="Verdana" w:cs="Arial"/>
          <w:color w:val="000000" w:themeColor="text1"/>
          <w:sz w:val="20"/>
          <w:szCs w:val="20"/>
          <w:lang w:val="es-ES_tradnl"/>
        </w:rPr>
      </w:pPr>
    </w:p>
    <w:p w14:paraId="46EF2B7A" w14:textId="77777777" w:rsidR="0047156A" w:rsidRPr="009B46EA" w:rsidRDefault="0047156A" w:rsidP="0047156A">
      <w:pPr>
        <w:spacing w:after="0" w:line="240" w:lineRule="auto"/>
        <w:jc w:val="both"/>
        <w:rPr>
          <w:rFonts w:ascii="Verdana" w:eastAsia="Calibri" w:hAnsi="Verdana" w:cs="Arial"/>
          <w:b/>
          <w:color w:val="000000" w:themeColor="text1"/>
          <w:lang w:val="es-ES_tradnl"/>
        </w:rPr>
      </w:pPr>
      <w:r w:rsidRPr="009B46EA">
        <w:rPr>
          <w:rFonts w:ascii="Verdana" w:eastAsia="Calibri" w:hAnsi="Verdana" w:cs="Arial"/>
          <w:b/>
          <w:color w:val="000000" w:themeColor="text1"/>
          <w:lang w:val="es-ES_tradnl"/>
        </w:rPr>
        <w:t xml:space="preserve">DECRETO 092 DE 2017 – Criterios – Aplicación </w:t>
      </w:r>
    </w:p>
    <w:p w14:paraId="6063CF65" w14:textId="77777777" w:rsidR="0047156A" w:rsidRPr="009B46EA" w:rsidRDefault="0047156A" w:rsidP="0047156A">
      <w:pPr>
        <w:spacing w:after="0" w:line="240" w:lineRule="auto"/>
        <w:jc w:val="both"/>
        <w:rPr>
          <w:rFonts w:ascii="Verdana" w:hAnsi="Verdana" w:cs="Arial"/>
          <w:color w:val="000000" w:themeColor="text1"/>
          <w:sz w:val="21"/>
          <w:szCs w:val="21"/>
          <w:lang w:val="es-ES_tradnl"/>
        </w:rPr>
      </w:pPr>
    </w:p>
    <w:p w14:paraId="70183AFE" w14:textId="77777777" w:rsidR="0047156A" w:rsidRDefault="0047156A" w:rsidP="0047156A">
      <w:pPr>
        <w:spacing w:after="0" w:line="240" w:lineRule="auto"/>
        <w:jc w:val="both"/>
        <w:rPr>
          <w:rFonts w:ascii="Verdana" w:hAnsi="Verdana" w:cs="Arial"/>
          <w:color w:val="000000" w:themeColor="text1"/>
          <w:sz w:val="20"/>
          <w:szCs w:val="20"/>
          <w:lang w:val="es-ES_tradnl"/>
        </w:rPr>
      </w:pPr>
      <w:r w:rsidRPr="009B46EA">
        <w:rPr>
          <w:rFonts w:ascii="Verdana" w:hAnsi="Verdana" w:cs="Arial"/>
          <w:color w:val="000000" w:themeColor="text1"/>
          <w:sz w:val="20"/>
          <w:szCs w:val="20"/>
          <w:lang w:val="es-ES_tradnl"/>
        </w:rPr>
        <w:t>[…]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6C9C124A" w14:textId="77777777" w:rsidR="0047156A" w:rsidRPr="009B46EA" w:rsidRDefault="0047156A" w:rsidP="0047156A">
      <w:pPr>
        <w:spacing w:after="0" w:line="240" w:lineRule="auto"/>
        <w:jc w:val="both"/>
        <w:rPr>
          <w:rFonts w:ascii="Verdana" w:hAnsi="Verdana" w:cs="Arial"/>
          <w:color w:val="000000" w:themeColor="text1"/>
          <w:sz w:val="20"/>
          <w:szCs w:val="20"/>
          <w:lang w:val="es-ES_tradnl"/>
        </w:rPr>
      </w:pPr>
    </w:p>
    <w:p w14:paraId="3A769001" w14:textId="77777777" w:rsidR="0047156A" w:rsidRPr="009B46EA" w:rsidRDefault="0047156A" w:rsidP="0047156A">
      <w:pPr>
        <w:spacing w:after="0" w:line="240" w:lineRule="auto"/>
        <w:jc w:val="both"/>
        <w:rPr>
          <w:rFonts w:ascii="Verdana" w:eastAsia="Arial" w:hAnsi="Verdana" w:cs="Arial"/>
          <w:b/>
          <w:bCs/>
          <w:color w:val="000000" w:themeColor="text1"/>
          <w:lang w:val="es-ES_tradnl"/>
        </w:rPr>
      </w:pPr>
      <w:r w:rsidRPr="009B46EA">
        <w:rPr>
          <w:rFonts w:ascii="Verdana" w:eastAsia="Arial" w:hAnsi="Verdana" w:cs="Arial"/>
          <w:b/>
          <w:bCs/>
          <w:color w:val="000000" w:themeColor="text1"/>
          <w:lang w:val="es-ES_tradnl"/>
        </w:rPr>
        <w:t xml:space="preserve">DECRETO 092 DE 2017 – Normativa vigente </w:t>
      </w:r>
    </w:p>
    <w:p w14:paraId="717F3839" w14:textId="77777777" w:rsidR="0047156A" w:rsidRPr="009B46EA" w:rsidRDefault="0047156A" w:rsidP="0047156A">
      <w:pPr>
        <w:spacing w:after="0" w:line="240" w:lineRule="auto"/>
        <w:jc w:val="both"/>
        <w:rPr>
          <w:rFonts w:ascii="Verdana" w:eastAsia="Arial" w:hAnsi="Verdana" w:cs="Arial"/>
          <w:b/>
          <w:bCs/>
          <w:color w:val="000000" w:themeColor="text1"/>
          <w:lang w:val="es-ES_tradnl"/>
        </w:rPr>
      </w:pPr>
    </w:p>
    <w:p w14:paraId="389CD5F3" w14:textId="77777777" w:rsidR="0047156A" w:rsidRDefault="0047156A" w:rsidP="0047156A">
      <w:pPr>
        <w:spacing w:after="0" w:line="240" w:lineRule="auto"/>
        <w:jc w:val="both"/>
        <w:rPr>
          <w:rFonts w:ascii="Verdana" w:hAnsi="Verdana" w:cs="Arial"/>
          <w:color w:val="000000" w:themeColor="text1"/>
          <w:sz w:val="20"/>
          <w:szCs w:val="20"/>
          <w:lang w:val="es-ES_tradnl"/>
        </w:rPr>
      </w:pPr>
      <w:r w:rsidRPr="008251D0">
        <w:rPr>
          <w:rFonts w:ascii="Verdana" w:hAnsi="Verdana" w:cs="Arial"/>
          <w:color w:val="000000" w:themeColor="text1"/>
          <w:sz w:val="20"/>
          <w:szCs w:val="20"/>
          <w:lang w:val="es-ES_tradnl"/>
        </w:rPr>
        <w:t xml:space="preserve">Es importante tener en cuenta que la contratación con entidades sin ánimo de lucro se rige por el Decreto 092 de 2017, salvo lo que ha sido objeto de suspensión provisional por parte del Consejo de Estado. Por lo tanto, las entidades públicas que desean celebrar contratos del artículo 355 de la Constitución Política deberán contratar con ESAL de reconocida idoneidad realizando un proceso competitivo, y teniendo en cuenta lo siguiente: i) no debe condicionarse el proceso de contratación a la inexistencia de oferta en el mercado de bienes y servicios; </w:t>
      </w:r>
      <w:proofErr w:type="spellStart"/>
      <w:r w:rsidRPr="008251D0">
        <w:rPr>
          <w:rFonts w:ascii="Verdana" w:hAnsi="Verdana" w:cs="Arial"/>
          <w:color w:val="000000" w:themeColor="text1"/>
          <w:sz w:val="20"/>
          <w:szCs w:val="20"/>
          <w:lang w:val="es-ES_tradnl"/>
        </w:rPr>
        <w:t>ii</w:t>
      </w:r>
      <w:proofErr w:type="spellEnd"/>
      <w:r w:rsidRPr="008251D0">
        <w:rPr>
          <w:rFonts w:ascii="Verdana" w:hAnsi="Verdana" w:cs="Arial"/>
          <w:color w:val="000000" w:themeColor="text1"/>
          <w:sz w:val="20"/>
          <w:szCs w:val="20"/>
          <w:lang w:val="es-ES_tradnl"/>
        </w:rPr>
        <w:t xml:space="preserve">) tampoco debe condicionarse a que la contratación con las ESAL garantice la optimización de los recursos públicos en términos de eficiencia, eficacia, economía y manejo del riesgo; </w:t>
      </w:r>
      <w:proofErr w:type="spellStart"/>
      <w:r w:rsidRPr="008251D0">
        <w:rPr>
          <w:rFonts w:ascii="Verdana" w:hAnsi="Verdana" w:cs="Arial"/>
          <w:color w:val="000000" w:themeColor="text1"/>
          <w:sz w:val="20"/>
          <w:szCs w:val="20"/>
          <w:lang w:val="es-ES_tradnl"/>
        </w:rPr>
        <w:t>iii</w:t>
      </w:r>
      <w:proofErr w:type="spellEnd"/>
      <w:r w:rsidRPr="008251D0">
        <w:rPr>
          <w:rFonts w:ascii="Verdana" w:hAnsi="Verdana" w:cs="Arial"/>
          <w:color w:val="000000" w:themeColor="text1"/>
          <w:sz w:val="20"/>
          <w:szCs w:val="20"/>
          <w:lang w:val="es-ES_tradnl"/>
        </w:rPr>
        <w:t xml:space="preserve">) el objeto del contrato debe estar acorde con el plan nacional o seccional de desarrollo; </w:t>
      </w:r>
      <w:proofErr w:type="spellStart"/>
      <w:r w:rsidRPr="008251D0">
        <w:rPr>
          <w:rFonts w:ascii="Verdana" w:hAnsi="Verdana" w:cs="Arial"/>
          <w:color w:val="000000" w:themeColor="text1"/>
          <w:sz w:val="20"/>
          <w:szCs w:val="20"/>
          <w:lang w:val="es-ES_tradnl"/>
        </w:rPr>
        <w:t>iv</w:t>
      </w:r>
      <w:proofErr w:type="spellEnd"/>
      <w:r w:rsidRPr="008251D0">
        <w:rPr>
          <w:rFonts w:ascii="Verdana" w:hAnsi="Verdana" w:cs="Arial"/>
          <w:color w:val="000000" w:themeColor="text1"/>
          <w:sz w:val="20"/>
          <w:szCs w:val="20"/>
          <w:lang w:val="es-ES_tradnl"/>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8251D0">
        <w:rPr>
          <w:rFonts w:ascii="Verdana" w:hAnsi="Verdana" w:cs="Arial"/>
          <w:color w:val="000000" w:themeColor="text1"/>
          <w:sz w:val="20"/>
          <w:szCs w:val="20"/>
          <w:lang w:val="es-ES_tradnl"/>
        </w:rPr>
        <w:t>iii</w:t>
      </w:r>
      <w:proofErr w:type="spellEnd"/>
      <w:r w:rsidRPr="008251D0">
        <w:rPr>
          <w:rFonts w:ascii="Verdana" w:hAnsi="Verdana" w:cs="Arial"/>
          <w:color w:val="000000" w:themeColor="text1"/>
          <w:sz w:val="20"/>
          <w:szCs w:val="20"/>
          <w:lang w:val="es-ES_tradnl"/>
        </w:rPr>
        <w:t>); y v) el contrato no debe establecer una relación conmutativa en el cual haya una contraprestación directa a favor de la entidad, ni instrucciones precisas dadas por esta al contratista para cumplir con el objeto del contrato</w:t>
      </w:r>
      <w:r w:rsidRPr="009B46EA">
        <w:rPr>
          <w:rFonts w:ascii="Verdana" w:hAnsi="Verdana" w:cs="Arial"/>
          <w:color w:val="000000" w:themeColor="text1"/>
          <w:sz w:val="20"/>
          <w:szCs w:val="20"/>
          <w:lang w:val="es-ES_tradnl"/>
        </w:rPr>
        <w:t>.</w:t>
      </w:r>
    </w:p>
    <w:p w14:paraId="7EEF23E1" w14:textId="77777777" w:rsidR="0047156A" w:rsidRPr="0047156A" w:rsidRDefault="0047156A" w:rsidP="00916E77">
      <w:pPr>
        <w:spacing w:after="0" w:line="240" w:lineRule="auto"/>
        <w:rPr>
          <w:rFonts w:ascii="Verdana" w:eastAsia="Geomanist Light" w:hAnsi="Verdana" w:cs="Arial"/>
          <w:color w:val="000000" w:themeColor="text1"/>
          <w:lang w:val="es-ES_tradnl"/>
        </w:rPr>
      </w:pPr>
    </w:p>
    <w:p w14:paraId="3E6B5F9C" w14:textId="77777777" w:rsidR="0047156A" w:rsidRDefault="0047156A" w:rsidP="00916E77">
      <w:pPr>
        <w:spacing w:after="0" w:line="240" w:lineRule="auto"/>
        <w:rPr>
          <w:rFonts w:ascii="Verdana" w:eastAsia="Geomanist Light" w:hAnsi="Verdana" w:cs="Arial"/>
          <w:color w:val="000000" w:themeColor="text1"/>
          <w:lang w:val="es-MX"/>
        </w:rPr>
      </w:pPr>
    </w:p>
    <w:p w14:paraId="61E4A578" w14:textId="77777777" w:rsidR="0047156A" w:rsidRDefault="0047156A" w:rsidP="00916E77">
      <w:pPr>
        <w:spacing w:after="0" w:line="240" w:lineRule="auto"/>
        <w:rPr>
          <w:rFonts w:ascii="Verdana" w:eastAsia="Geomanist Light" w:hAnsi="Verdana" w:cs="Arial"/>
          <w:color w:val="000000" w:themeColor="text1"/>
          <w:lang w:val="es-MX"/>
        </w:rPr>
      </w:pPr>
    </w:p>
    <w:p w14:paraId="211EEBC0" w14:textId="5D069DE8" w:rsidR="00916E77" w:rsidRPr="00593A5F" w:rsidRDefault="00916E77" w:rsidP="00916E77">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CC632C" w:rsidRPr="00CC632C">
        <w:rPr>
          <w:rFonts w:ascii="Verdana" w:eastAsia="Geomanist Light" w:hAnsi="Verdana" w:cs="Arial"/>
          <w:color w:val="201F1E"/>
          <w:lang w:val="es-MX"/>
        </w:rPr>
        <w:t>17 de Diciembre de 2024</w:t>
      </w:r>
    </w:p>
    <w:p w14:paraId="3A46F2AD" w14:textId="77777777" w:rsidR="00916E77" w:rsidRDefault="00916E77" w:rsidP="00916E77">
      <w:pPr>
        <w:spacing w:after="0" w:line="240" w:lineRule="auto"/>
        <w:jc w:val="both"/>
        <w:rPr>
          <w:rFonts w:ascii="Verdana" w:eastAsia="Calibri" w:hAnsi="Verdana" w:cs="Arial"/>
          <w:color w:val="000000"/>
          <w:lang w:val="es-ES"/>
        </w:rPr>
      </w:pPr>
    </w:p>
    <w:p w14:paraId="4ED8AD17" w14:textId="65267A6B" w:rsidR="00916E77" w:rsidRDefault="00CC632C" w:rsidP="00CC632C">
      <w:pPr>
        <w:spacing w:after="0" w:line="240" w:lineRule="auto"/>
        <w:jc w:val="right"/>
        <w:rPr>
          <w:rFonts w:ascii="Verdana" w:eastAsia="Calibri" w:hAnsi="Verdana" w:cs="Arial"/>
          <w:color w:val="000000"/>
          <w:lang w:val="es-ES"/>
        </w:rPr>
      </w:pPr>
      <w:r w:rsidRPr="00CC632C">
        <w:rPr>
          <w:rFonts w:ascii="Verdana" w:eastAsia="Calibri" w:hAnsi="Verdana" w:cs="Arial"/>
          <w:color w:val="000000"/>
          <w:lang w:val="es-ES"/>
        </w:rPr>
        <w:drawing>
          <wp:inline distT="0" distB="0" distL="0" distR="0" wp14:anchorId="103352AF" wp14:editId="1BF7C810">
            <wp:extent cx="3238500" cy="901700"/>
            <wp:effectExtent l="0" t="0" r="0" b="0"/>
            <wp:docPr id="410998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98153" name=""/>
                    <pic:cNvPicPr/>
                  </pic:nvPicPr>
                  <pic:blipFill>
                    <a:blip r:embed="rId10"/>
                    <a:stretch>
                      <a:fillRect/>
                    </a:stretch>
                  </pic:blipFill>
                  <pic:spPr>
                    <a:xfrm>
                      <a:off x="0" y="0"/>
                      <a:ext cx="3238500" cy="901700"/>
                    </a:xfrm>
                    <a:prstGeom prst="rect">
                      <a:avLst/>
                    </a:prstGeom>
                  </pic:spPr>
                </pic:pic>
              </a:graphicData>
            </a:graphic>
          </wp:inline>
        </w:drawing>
      </w:r>
    </w:p>
    <w:p w14:paraId="453D088D" w14:textId="77777777" w:rsidR="00CC632C" w:rsidRPr="00593A5F" w:rsidRDefault="00CC632C" w:rsidP="00916E77">
      <w:pPr>
        <w:spacing w:after="0" w:line="240" w:lineRule="auto"/>
        <w:jc w:val="both"/>
        <w:rPr>
          <w:rFonts w:ascii="Verdana" w:eastAsia="Calibri" w:hAnsi="Verdana" w:cs="Arial"/>
          <w:color w:val="000000"/>
          <w:lang w:val="es-ES"/>
        </w:rPr>
      </w:pPr>
    </w:p>
    <w:p w14:paraId="697527D1" w14:textId="77777777" w:rsidR="00916E77" w:rsidRPr="00B96799" w:rsidRDefault="00916E77" w:rsidP="00916E77">
      <w:pPr>
        <w:spacing w:after="0" w:line="240" w:lineRule="auto"/>
        <w:jc w:val="both"/>
        <w:rPr>
          <w:rFonts w:ascii="Verdana" w:eastAsia="Calibri" w:hAnsi="Verdana" w:cs="Arial"/>
          <w:lang w:val="es-ES" w:eastAsia="es-ES"/>
        </w:rPr>
      </w:pPr>
      <w:r>
        <w:rPr>
          <w:rFonts w:ascii="Verdana" w:eastAsia="Calibri" w:hAnsi="Verdana" w:cs="Arial"/>
          <w:lang w:val="es-ES" w:eastAsia="es-ES"/>
        </w:rPr>
        <w:t>Señor</w:t>
      </w:r>
    </w:p>
    <w:p w14:paraId="4E855C4F" w14:textId="77777777" w:rsidR="00916E77" w:rsidRPr="0085423D" w:rsidRDefault="00916E77" w:rsidP="00916E77">
      <w:pPr>
        <w:spacing w:after="0" w:line="240" w:lineRule="auto"/>
        <w:rPr>
          <w:rFonts w:ascii="Verdana" w:eastAsia="Calibri" w:hAnsi="Verdana" w:cs="Arial"/>
          <w:b/>
          <w:lang w:val="es-ES" w:eastAsia="es-ES"/>
        </w:rPr>
      </w:pPr>
      <w:r w:rsidRPr="120B086D">
        <w:rPr>
          <w:rFonts w:ascii="Verdana" w:eastAsia="Calibri" w:hAnsi="Verdana" w:cs="Arial"/>
          <w:b/>
          <w:lang w:val="es-ES" w:eastAsia="es-ES"/>
        </w:rPr>
        <w:t xml:space="preserve">Guillermo Abril </w:t>
      </w:r>
      <w:proofErr w:type="spellStart"/>
      <w:r w:rsidRPr="120B086D">
        <w:rPr>
          <w:rFonts w:ascii="Verdana" w:eastAsia="Calibri" w:hAnsi="Verdana" w:cs="Arial"/>
          <w:b/>
          <w:lang w:val="es-ES" w:eastAsia="es-ES"/>
        </w:rPr>
        <w:t>Abril</w:t>
      </w:r>
      <w:proofErr w:type="spellEnd"/>
      <w:r w:rsidRPr="120B086D">
        <w:rPr>
          <w:rFonts w:ascii="Verdana" w:eastAsia="Calibri" w:hAnsi="Verdana" w:cs="Arial"/>
          <w:b/>
          <w:lang w:val="es-ES" w:eastAsia="es-ES"/>
        </w:rPr>
        <w:t xml:space="preserve">  </w:t>
      </w:r>
    </w:p>
    <w:p w14:paraId="6D33254D" w14:textId="77777777" w:rsidR="00916E77" w:rsidRPr="00E16697" w:rsidRDefault="00916E77" w:rsidP="00916E77">
      <w:pPr>
        <w:spacing w:after="0" w:line="240" w:lineRule="auto"/>
        <w:rPr>
          <w:rFonts w:ascii="Verdana" w:eastAsia="Calibri" w:hAnsi="Verdana" w:cs="Arial"/>
          <w:lang w:val="es-ES" w:eastAsia="es-ES"/>
        </w:rPr>
      </w:pPr>
      <w:hyperlink r:id="rId11" w:history="1">
        <w:r w:rsidRPr="003D5B71">
          <w:rPr>
            <w:rStyle w:val="Hipervnculo"/>
            <w:rFonts w:ascii="Verdana" w:hAnsi="Verdana"/>
          </w:rPr>
          <w:t>federacionfenacypa@gmail.com</w:t>
        </w:r>
      </w:hyperlink>
      <w:r>
        <w:rPr>
          <w:rFonts w:ascii="Verdana" w:hAnsi="Verdana"/>
        </w:rPr>
        <w:t xml:space="preserve"> </w:t>
      </w:r>
      <w:r w:rsidRPr="00E16697">
        <w:rPr>
          <w:rFonts w:ascii="Verdana" w:hAnsi="Verdana"/>
        </w:rPr>
        <w:t xml:space="preserve">        </w:t>
      </w:r>
      <w:r w:rsidRPr="00E16697">
        <w:rPr>
          <w:rFonts w:ascii="Verdana" w:eastAsia="Calibri" w:hAnsi="Verdana" w:cs="Arial"/>
          <w:lang w:val="es-ES" w:eastAsia="es-ES"/>
        </w:rPr>
        <w:t xml:space="preserve">    </w:t>
      </w:r>
    </w:p>
    <w:p w14:paraId="5E2AFCAC" w14:textId="77777777" w:rsidR="00916E77" w:rsidRDefault="00916E77" w:rsidP="00916E77">
      <w:pPr>
        <w:spacing w:after="0" w:line="240" w:lineRule="auto"/>
        <w:rPr>
          <w:rFonts w:ascii="Verdana" w:eastAsia="Calibri" w:hAnsi="Verdana" w:cs="Arial"/>
          <w:lang w:val="es-ES" w:eastAsia="es-ES"/>
        </w:rPr>
      </w:pPr>
      <w:r>
        <w:rPr>
          <w:rFonts w:ascii="Verdana" w:eastAsia="Calibri" w:hAnsi="Verdana" w:cs="Arial"/>
          <w:lang w:val="es-ES" w:eastAsia="es-ES"/>
        </w:rPr>
        <w:t>Villavicencio, Meta</w:t>
      </w:r>
    </w:p>
    <w:p w14:paraId="322C3C82" w14:textId="77777777" w:rsidR="00916E77" w:rsidRPr="00593A5F" w:rsidRDefault="00916E77" w:rsidP="00916E77">
      <w:pPr>
        <w:spacing w:after="0" w:line="240" w:lineRule="auto"/>
        <w:rPr>
          <w:rFonts w:ascii="Verdana" w:eastAsia="Calibri" w:hAnsi="Verdana" w:cs="Arial"/>
          <w:b/>
          <w:bCs/>
          <w:color w:val="000000"/>
          <w:lang w:val="es-ES_tradnl" w:eastAsia="es-ES_tradnl"/>
        </w:rPr>
      </w:pPr>
    </w:p>
    <w:p w14:paraId="661A21E3" w14:textId="77777777" w:rsidR="00916E77" w:rsidRPr="00593A5F" w:rsidRDefault="00916E77" w:rsidP="00916E77">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16E77" w:rsidRPr="00593A5F" w14:paraId="6FCF9B29" w14:textId="77777777" w:rsidTr="008F5478">
        <w:trPr>
          <w:trHeight w:val="884"/>
        </w:trPr>
        <w:tc>
          <w:tcPr>
            <w:tcW w:w="2689" w:type="dxa"/>
          </w:tcPr>
          <w:p w14:paraId="1392F96E" w14:textId="77777777" w:rsidR="00916E77" w:rsidRPr="00C00976" w:rsidRDefault="00916E77" w:rsidP="008F5478">
            <w:pPr>
              <w:jc w:val="both"/>
              <w:rPr>
                <w:rFonts w:ascii="Verdana" w:eastAsia="Calibri" w:hAnsi="Verdana" w:cs="Arial"/>
                <w:b/>
                <w:bCs/>
                <w:color w:val="7030A0"/>
                <w:lang w:val="es-ES_tradnl" w:eastAsia="es-ES_tradnl"/>
              </w:rPr>
            </w:pPr>
          </w:p>
        </w:tc>
        <w:tc>
          <w:tcPr>
            <w:tcW w:w="6100" w:type="dxa"/>
          </w:tcPr>
          <w:p w14:paraId="08779D06" w14:textId="77777777" w:rsidR="00916E77" w:rsidRPr="00C00976" w:rsidRDefault="00916E77" w:rsidP="008F5478">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957</w:t>
            </w:r>
            <w:r w:rsidRPr="008E6AD9">
              <w:rPr>
                <w:rFonts w:ascii="Verdana" w:eastAsia="Calibri" w:hAnsi="Verdana" w:cs="Arial"/>
                <w:b/>
                <w:bCs/>
                <w:lang w:val="es-ES" w:eastAsia="es-ES"/>
              </w:rPr>
              <w:t xml:space="preserve"> de 2024</w:t>
            </w:r>
          </w:p>
        </w:tc>
      </w:tr>
      <w:tr w:rsidR="00916E77" w:rsidRPr="00593A5F" w14:paraId="457590F4" w14:textId="77777777" w:rsidTr="008F5478">
        <w:trPr>
          <w:trHeight w:val="884"/>
        </w:trPr>
        <w:tc>
          <w:tcPr>
            <w:tcW w:w="2689" w:type="dxa"/>
          </w:tcPr>
          <w:p w14:paraId="0A8065A4" w14:textId="77777777" w:rsidR="00916E77" w:rsidRPr="00593A5F" w:rsidRDefault="00916E77" w:rsidP="008F547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AC7EDB6" w14:textId="77777777" w:rsidR="00916E77" w:rsidRPr="00A11406" w:rsidRDefault="00916E77" w:rsidP="008F5478">
            <w:pPr>
              <w:spacing w:line="276" w:lineRule="auto"/>
              <w:jc w:val="both"/>
              <w:rPr>
                <w:rFonts w:ascii="Verdana" w:eastAsia="Calibri" w:hAnsi="Verdana" w:cs="Arial"/>
                <w:lang w:val="es-ES" w:eastAsia="es-ES"/>
              </w:rPr>
            </w:pPr>
            <w:r w:rsidRPr="008251D0">
              <w:rPr>
                <w:rFonts w:ascii="Verdana" w:eastAsia="Calibri" w:hAnsi="Verdana" w:cs="Arial"/>
                <w:lang w:val="es-ES" w:eastAsia="es-ES"/>
              </w:rPr>
              <w:t>DECRETO 092 DE 2017 – Finalidad – Clases de contratos</w:t>
            </w:r>
            <w:r>
              <w:rPr>
                <w:rFonts w:ascii="Verdana" w:eastAsia="Calibri" w:hAnsi="Verdana" w:cs="Arial"/>
                <w:lang w:val="es-ES" w:eastAsia="es-ES"/>
              </w:rPr>
              <w:t xml:space="preserve"> / </w:t>
            </w:r>
            <w:r w:rsidRPr="008251D0">
              <w:rPr>
                <w:rFonts w:ascii="Verdana" w:eastAsia="Calibri" w:hAnsi="Verdana" w:cs="Arial"/>
                <w:lang w:val="es-ES" w:eastAsia="es-ES"/>
              </w:rPr>
              <w:t>CONTRATACIÓN CON ESAL – Contrato de colaboración – Objeto – Alcance</w:t>
            </w:r>
            <w:r>
              <w:rPr>
                <w:rFonts w:ascii="Verdana" w:eastAsia="Calibri" w:hAnsi="Verdana" w:cs="Arial"/>
                <w:lang w:val="es-ES" w:eastAsia="es-ES"/>
              </w:rPr>
              <w:t xml:space="preserve"> / </w:t>
            </w:r>
            <w:r w:rsidRPr="008251D0">
              <w:rPr>
                <w:rFonts w:ascii="Verdana" w:eastAsia="Calibri" w:hAnsi="Verdana" w:cs="Arial"/>
                <w:lang w:val="es-ES" w:eastAsia="es-ES"/>
              </w:rPr>
              <w:t>CONTRATACIÓN CON ESAL – Con</w:t>
            </w:r>
            <w:r>
              <w:rPr>
                <w:rFonts w:ascii="Verdana" w:eastAsia="Calibri" w:hAnsi="Verdana" w:cs="Arial"/>
                <w:lang w:val="es-ES" w:eastAsia="es-ES"/>
              </w:rPr>
              <w:t>venios</w:t>
            </w:r>
            <w:r w:rsidRPr="008251D0">
              <w:rPr>
                <w:rFonts w:ascii="Verdana" w:eastAsia="Calibri" w:hAnsi="Verdana" w:cs="Arial"/>
                <w:lang w:val="es-ES" w:eastAsia="es-ES"/>
              </w:rPr>
              <w:t xml:space="preserve"> de asociación – Objeto – Alcance</w:t>
            </w:r>
            <w:r>
              <w:rPr>
                <w:rFonts w:ascii="Verdana" w:eastAsia="Calibri" w:hAnsi="Verdana" w:cs="Arial"/>
                <w:lang w:val="es-ES" w:eastAsia="es-ES"/>
              </w:rPr>
              <w:t xml:space="preserve"> / </w:t>
            </w:r>
            <w:r w:rsidRPr="008251D0">
              <w:rPr>
                <w:rFonts w:ascii="Verdana" w:eastAsia="Calibri" w:hAnsi="Verdana" w:cs="Arial"/>
                <w:lang w:val="es-ES" w:eastAsia="es-ES"/>
              </w:rPr>
              <w:t>CONVENIOS DE ASOCIACIÓN – Multiplicidad de sujetos – Límites legales</w:t>
            </w:r>
            <w:r>
              <w:rPr>
                <w:rFonts w:ascii="Verdana" w:eastAsia="Calibri" w:hAnsi="Verdana" w:cs="Arial"/>
                <w:lang w:val="es-ES" w:eastAsia="es-ES"/>
              </w:rPr>
              <w:t xml:space="preserve"> / </w:t>
            </w:r>
            <w:r w:rsidRPr="008251D0">
              <w:rPr>
                <w:rFonts w:ascii="Verdana" w:eastAsia="Calibri" w:hAnsi="Verdana" w:cs="Arial"/>
                <w:lang w:val="es-ES" w:eastAsia="es-ES"/>
              </w:rPr>
              <w:t>DECRETO 092 DE 2017 – Criterios – Aplicación</w:t>
            </w:r>
            <w:r>
              <w:rPr>
                <w:rFonts w:ascii="Verdana" w:eastAsia="Calibri" w:hAnsi="Verdana" w:cs="Arial"/>
                <w:lang w:val="es-ES" w:eastAsia="es-ES"/>
              </w:rPr>
              <w:t xml:space="preserve"> / </w:t>
            </w:r>
            <w:r w:rsidRPr="008251D0">
              <w:rPr>
                <w:rFonts w:ascii="Verdana" w:eastAsia="Calibri" w:hAnsi="Verdana" w:cs="Arial"/>
                <w:lang w:val="es-ES" w:eastAsia="es-ES"/>
              </w:rPr>
              <w:t xml:space="preserve">DECRETO 092 DE 2017 – Normativa vigente  </w:t>
            </w:r>
            <w:r w:rsidRPr="000307C2">
              <w:rPr>
                <w:rFonts w:ascii="Verdana" w:eastAsia="Calibri" w:hAnsi="Verdana" w:cs="Arial"/>
                <w:lang w:val="es-ES" w:eastAsia="es-ES"/>
              </w:rPr>
              <w:t xml:space="preserve">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62F7549A" w14:textId="77777777" w:rsidR="00916E77" w:rsidRPr="00593A5F" w:rsidRDefault="00916E77" w:rsidP="008F5478">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916E77" w:rsidRPr="008E6AD9" w14:paraId="030AD0E1" w14:textId="77777777" w:rsidTr="008F5478">
        <w:tc>
          <w:tcPr>
            <w:tcW w:w="2689" w:type="dxa"/>
          </w:tcPr>
          <w:p w14:paraId="4A46C7E4" w14:textId="77777777" w:rsidR="00916E77" w:rsidRPr="008E6AD9" w:rsidRDefault="00916E77" w:rsidP="008F5478">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186F5B35" w14:textId="77777777" w:rsidR="00916E77" w:rsidRPr="008E6AD9" w:rsidRDefault="00916E77" w:rsidP="008F5478">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A51620">
              <w:rPr>
                <w:rFonts w:ascii="Verdana" w:eastAsia="Calibri" w:hAnsi="Verdana" w:cs="Arial"/>
                <w:lang w:val="es-ES_tradnl" w:eastAsia="es-ES_tradnl"/>
              </w:rPr>
              <w:t>P20241210012371</w:t>
            </w:r>
            <w:r>
              <w:rPr>
                <w:rFonts w:ascii="Verdana" w:eastAsia="Calibri" w:hAnsi="Verdana" w:cs="Arial"/>
                <w:lang w:val="es-ES_tradnl" w:eastAsia="es-ES_tradnl"/>
              </w:rPr>
              <w:t xml:space="preserve"> </w:t>
            </w:r>
          </w:p>
        </w:tc>
      </w:tr>
    </w:tbl>
    <w:p w14:paraId="50FC0C4C" w14:textId="77777777" w:rsidR="00916E77" w:rsidRPr="00593A5F" w:rsidRDefault="00916E77" w:rsidP="00916E77">
      <w:pPr>
        <w:spacing w:after="0" w:line="240" w:lineRule="auto"/>
        <w:jc w:val="both"/>
        <w:rPr>
          <w:rFonts w:ascii="Verdana" w:eastAsia="Calibri" w:hAnsi="Verdana" w:cs="Arial"/>
          <w:color w:val="000000"/>
          <w:lang w:val="es-ES_tradnl" w:eastAsia="es-ES_tradnl"/>
        </w:rPr>
      </w:pPr>
    </w:p>
    <w:p w14:paraId="7070A12A" w14:textId="77777777" w:rsidR="00916E77" w:rsidRPr="00593A5F" w:rsidRDefault="00916E77" w:rsidP="00916E77">
      <w:pPr>
        <w:spacing w:after="0" w:line="240" w:lineRule="auto"/>
        <w:jc w:val="both"/>
        <w:rPr>
          <w:rFonts w:ascii="Verdana" w:eastAsia="Calibri" w:hAnsi="Verdana" w:cs="Arial"/>
          <w:color w:val="000000"/>
          <w:lang w:val="es-ES_tradnl" w:eastAsia="es-ES_tradnl"/>
        </w:rPr>
      </w:pPr>
    </w:p>
    <w:p w14:paraId="2BE3CC22" w14:textId="77777777" w:rsidR="00916E77" w:rsidRPr="008E6AD9" w:rsidRDefault="00916E77" w:rsidP="00916E77">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 </w:t>
      </w:r>
      <w:r w:rsidRPr="005060F8">
        <w:rPr>
          <w:rFonts w:ascii="Verdana" w:eastAsia="Calibri" w:hAnsi="Verdana" w:cs="Arial"/>
          <w:lang w:val="es-ES" w:eastAsia="es-ES"/>
        </w:rPr>
        <w:t xml:space="preserve">Abril </w:t>
      </w:r>
      <w:proofErr w:type="spellStart"/>
      <w:r w:rsidRPr="005060F8">
        <w:rPr>
          <w:rFonts w:ascii="Verdana" w:eastAsia="Calibri" w:hAnsi="Verdana" w:cs="Arial"/>
          <w:lang w:val="es-ES" w:eastAsia="es-ES"/>
        </w:rPr>
        <w:t>Abril</w:t>
      </w:r>
      <w:proofErr w:type="spellEnd"/>
      <w:r w:rsidRPr="008E6AD9">
        <w:rPr>
          <w:rFonts w:ascii="Verdana" w:eastAsia="Calibri" w:hAnsi="Verdana" w:cs="Arial"/>
          <w:lang w:val="es-ES" w:eastAsia="es-ES"/>
        </w:rPr>
        <w:t xml:space="preserve">: </w:t>
      </w:r>
    </w:p>
    <w:p w14:paraId="5D1B0233" w14:textId="77777777" w:rsidR="00916E77" w:rsidRDefault="00916E77" w:rsidP="00916E77">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030542A" w14:textId="77777777" w:rsidR="00916E77" w:rsidRPr="00593A5F" w:rsidRDefault="00916E77" w:rsidP="00916E77">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10 de diciembre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0919AFD8" w14:textId="77777777" w:rsidR="00916E77" w:rsidRPr="00272A7B" w:rsidRDefault="00916E77" w:rsidP="00916E77">
      <w:pPr>
        <w:pStyle w:val="Prrafodelista"/>
        <w:tabs>
          <w:tab w:val="left" w:pos="142"/>
          <w:tab w:val="left" w:pos="284"/>
        </w:tabs>
        <w:spacing w:line="276" w:lineRule="auto"/>
        <w:ind w:left="0"/>
        <w:jc w:val="both"/>
        <w:rPr>
          <w:rFonts w:ascii="Verdana" w:eastAsia="Century Gothic" w:hAnsi="Verdana" w:cs="Century Gothic"/>
          <w:b/>
          <w:bCs/>
        </w:rPr>
      </w:pPr>
    </w:p>
    <w:p w14:paraId="397BAA31" w14:textId="77777777" w:rsidR="00916E77" w:rsidRPr="005060F8" w:rsidRDefault="00916E77" w:rsidP="00916E77">
      <w:pPr>
        <w:spacing w:after="120" w:line="240" w:lineRule="auto"/>
        <w:ind w:left="709" w:right="709"/>
        <w:jc w:val="both"/>
        <w:rPr>
          <w:rFonts w:ascii="Verdana" w:eastAsia="Century Gothic" w:hAnsi="Verdana" w:cs="Century Gothic"/>
          <w:sz w:val="21"/>
          <w:szCs w:val="21"/>
          <w:lang w:val="es-ES"/>
        </w:rPr>
      </w:pPr>
      <w:bookmarkStart w:id="1" w:name="_Hlk95313578"/>
      <w:r w:rsidRPr="006E7258">
        <w:rPr>
          <w:rFonts w:ascii="Verdana" w:eastAsia="Century Gothic" w:hAnsi="Verdana" w:cs="Century Gothic"/>
          <w:sz w:val="21"/>
          <w:szCs w:val="21"/>
          <w:lang w:val="es-ES"/>
        </w:rPr>
        <w:lastRenderedPageBreak/>
        <w:t>“</w:t>
      </w:r>
      <w:bookmarkEnd w:id="1"/>
      <w:r w:rsidRPr="005060F8">
        <w:rPr>
          <w:rFonts w:ascii="Verdana" w:eastAsia="Century Gothic" w:hAnsi="Verdana" w:cs="Century Gothic"/>
          <w:sz w:val="21"/>
          <w:szCs w:val="21"/>
          <w:lang w:val="es-ES"/>
        </w:rPr>
        <w:t xml:space="preserve">1. Solicito se me informe con base jurídica y con argumento técnico si las entidades tales como Asociaciones, Corporaciones, Fundaciones y Federaciones, pueden contratar con el Estado. Teniendo en cuenta que el art 355 de la Constitución Política de Colombia facultad al Gobierno, en los niveles nacional, departamental, distrital y municipal que, con recursos de los respectivos presupuestos, celebren contratos con entidades privadas sin ánimo de lucro y de reconocida idoneidad con el fin de impulsar programas y actividades de interés público acordes con el Plan Nacional y los planes seccionales de Desarrollo. </w:t>
      </w:r>
    </w:p>
    <w:p w14:paraId="583CE088" w14:textId="77777777" w:rsidR="00916E77" w:rsidRPr="005060F8" w:rsidRDefault="00916E77" w:rsidP="00916E77">
      <w:pPr>
        <w:spacing w:after="120" w:line="240" w:lineRule="auto"/>
        <w:ind w:left="709" w:right="709"/>
        <w:jc w:val="both"/>
        <w:rPr>
          <w:rFonts w:ascii="Verdana" w:eastAsia="Century Gothic" w:hAnsi="Verdana" w:cs="Century Gothic"/>
          <w:sz w:val="21"/>
          <w:szCs w:val="21"/>
          <w:lang w:val="es-ES"/>
        </w:rPr>
      </w:pPr>
      <w:r w:rsidRPr="005060F8">
        <w:rPr>
          <w:rFonts w:ascii="Verdana" w:eastAsia="Century Gothic" w:hAnsi="Verdana" w:cs="Century Gothic"/>
          <w:sz w:val="21"/>
          <w:szCs w:val="21"/>
          <w:lang w:val="es-ES"/>
        </w:rPr>
        <w:t>2. Concordante con lo anterior, solicito se me informe si estas Asociaciones, Corporaciones, Fundaciones y Federaciones pueden celebrar convenios de cooperación.</w:t>
      </w:r>
    </w:p>
    <w:p w14:paraId="327EAD3B" w14:textId="77777777" w:rsidR="00916E77" w:rsidRPr="005060F8" w:rsidRDefault="00916E77" w:rsidP="00916E77">
      <w:pPr>
        <w:spacing w:after="120" w:line="240" w:lineRule="auto"/>
        <w:ind w:left="709" w:right="709"/>
        <w:jc w:val="both"/>
        <w:rPr>
          <w:rFonts w:ascii="Verdana" w:eastAsia="Century Gothic" w:hAnsi="Verdana" w:cs="Century Gothic"/>
          <w:sz w:val="21"/>
          <w:szCs w:val="21"/>
          <w:lang w:val="es-ES"/>
        </w:rPr>
      </w:pPr>
      <w:r w:rsidRPr="005060F8">
        <w:rPr>
          <w:rFonts w:ascii="Verdana" w:eastAsia="Century Gothic" w:hAnsi="Verdana" w:cs="Century Gothic"/>
          <w:sz w:val="21"/>
          <w:szCs w:val="21"/>
          <w:lang w:val="es-ES"/>
        </w:rPr>
        <w:t>3. De ser viable estos convenios de cooperación, solicito se me informe si dicha cooperación se puede hacer en mano de obra o debe ser específicamente en recursos para hacer obras del estado que beneficien el interés público.</w:t>
      </w:r>
    </w:p>
    <w:p w14:paraId="40C87285" w14:textId="77777777" w:rsidR="00916E77" w:rsidRPr="005060F8" w:rsidRDefault="00916E77" w:rsidP="00916E77">
      <w:pPr>
        <w:spacing w:after="120" w:line="240" w:lineRule="auto"/>
        <w:ind w:left="709" w:right="709"/>
        <w:jc w:val="both"/>
        <w:rPr>
          <w:rFonts w:ascii="Verdana" w:eastAsia="Century Gothic" w:hAnsi="Verdana" w:cs="Century Gothic"/>
          <w:sz w:val="21"/>
          <w:szCs w:val="21"/>
          <w:lang w:val="es-ES"/>
        </w:rPr>
      </w:pPr>
      <w:r w:rsidRPr="005060F8">
        <w:rPr>
          <w:rFonts w:ascii="Verdana" w:eastAsia="Century Gothic" w:hAnsi="Verdana" w:cs="Century Gothic"/>
          <w:sz w:val="21"/>
          <w:szCs w:val="21"/>
          <w:lang w:val="es-ES"/>
        </w:rPr>
        <w:t>4. Solicito se me aclare si los ejecutivos de turno; ya sea el presidente de la república, gobernadores o alcaldes tienen alguna limitación para contratar con las entidades privadas sin ánimo de lucro de reconocida idoneidad tales como Asociaciones, Corporaciones, Fundaciones y Federaciones.</w:t>
      </w:r>
    </w:p>
    <w:p w14:paraId="64DE3A19" w14:textId="77777777" w:rsidR="00916E77" w:rsidRPr="005060F8" w:rsidRDefault="00916E77" w:rsidP="00916E77">
      <w:pPr>
        <w:spacing w:after="120" w:line="240" w:lineRule="auto"/>
        <w:ind w:left="709" w:right="709"/>
        <w:jc w:val="both"/>
        <w:rPr>
          <w:rFonts w:ascii="Verdana" w:eastAsia="Century Gothic" w:hAnsi="Verdana" w:cs="Century Gothic"/>
          <w:sz w:val="21"/>
          <w:szCs w:val="21"/>
          <w:lang w:val="es-ES"/>
        </w:rPr>
      </w:pPr>
      <w:r w:rsidRPr="005060F8">
        <w:rPr>
          <w:rFonts w:ascii="Verdana" w:eastAsia="Century Gothic" w:hAnsi="Verdana" w:cs="Century Gothic"/>
          <w:sz w:val="21"/>
          <w:szCs w:val="21"/>
          <w:lang w:val="es-ES"/>
        </w:rPr>
        <w:t>5. Solicito se me informe cual es la figura contractual idónea entre los gobernados y alcaldes para contratar con las Asociaciones, Corporaciones, Fundaciones y Federaciones con fin de fortalecer la mano de obra local</w:t>
      </w:r>
    </w:p>
    <w:p w14:paraId="3C67AC7F" w14:textId="77777777" w:rsidR="00916E77" w:rsidRDefault="00916E77" w:rsidP="00916E77">
      <w:pPr>
        <w:spacing w:after="120" w:line="240" w:lineRule="auto"/>
        <w:ind w:left="709" w:right="709"/>
        <w:jc w:val="both"/>
        <w:rPr>
          <w:rFonts w:ascii="Verdana" w:eastAsia="Century Gothic" w:hAnsi="Verdana" w:cs="Century Gothic"/>
          <w:sz w:val="21"/>
          <w:szCs w:val="21"/>
          <w:lang w:val="es-ES"/>
        </w:rPr>
      </w:pPr>
      <w:r w:rsidRPr="005060F8">
        <w:rPr>
          <w:rFonts w:ascii="Verdana" w:eastAsia="Century Gothic" w:hAnsi="Verdana" w:cs="Century Gothic"/>
          <w:sz w:val="21"/>
          <w:szCs w:val="21"/>
          <w:lang w:val="es-ES"/>
        </w:rPr>
        <w:t>6. Solicito se me informe con base jurídica y con argumento técnico, si los gobernadores y alcaldes tienen la obligatoriedad de dar participación en los contratos con sus respectivos presupuestos de su departamento o municipio o de la Nación a las Asociaciones, Corporaciones, Fundaciones y Federaciones, con el fin de fortalecer la economía local de las regiones.</w:t>
      </w:r>
    </w:p>
    <w:p w14:paraId="70514EB0" w14:textId="77777777" w:rsidR="00916E77" w:rsidRPr="005060F8" w:rsidRDefault="00916E77" w:rsidP="00916E77">
      <w:pPr>
        <w:spacing w:after="120" w:line="240" w:lineRule="auto"/>
        <w:ind w:left="709" w:right="709"/>
        <w:jc w:val="both"/>
        <w:rPr>
          <w:rFonts w:ascii="Verdana" w:eastAsia="Century Gothic" w:hAnsi="Verdana" w:cs="Century Gothic"/>
          <w:sz w:val="21"/>
          <w:szCs w:val="21"/>
          <w:lang w:val="es-ES"/>
        </w:rPr>
      </w:pPr>
      <w:r w:rsidRPr="005060F8">
        <w:rPr>
          <w:rFonts w:ascii="Verdana" w:eastAsia="Century Gothic" w:hAnsi="Verdana" w:cs="Century Gothic"/>
          <w:sz w:val="21"/>
          <w:szCs w:val="21"/>
          <w:lang w:val="es-ES"/>
        </w:rPr>
        <w:t>7. Solicito se me informe con base jurídica y con argumento técnico, Si las Asociaciones, Corporaciones, Fundaciones y Federaciones, es decir las entidades sin ánimo de lucro pueden hacer consorcios o uniones temporales con las Empresas de naturaleza Limitada u otro tipo de figura jurídica.</w:t>
      </w:r>
    </w:p>
    <w:p w14:paraId="7A44ABDF" w14:textId="77777777" w:rsidR="00916E77" w:rsidRPr="005B7798" w:rsidRDefault="00916E77" w:rsidP="00916E77">
      <w:pPr>
        <w:spacing w:after="0" w:line="240" w:lineRule="auto"/>
        <w:ind w:left="709" w:right="709"/>
        <w:jc w:val="both"/>
        <w:rPr>
          <w:rFonts w:ascii="Verdana" w:eastAsia="Century Gothic" w:hAnsi="Verdana" w:cs="Century Gothic"/>
          <w:sz w:val="21"/>
          <w:szCs w:val="21"/>
          <w:lang w:val="es-ES"/>
        </w:rPr>
      </w:pPr>
      <w:r w:rsidRPr="005060F8">
        <w:rPr>
          <w:rFonts w:ascii="Verdana" w:eastAsia="Century Gothic" w:hAnsi="Verdana" w:cs="Century Gothic"/>
          <w:sz w:val="21"/>
          <w:szCs w:val="21"/>
          <w:lang w:val="es-ES"/>
        </w:rPr>
        <w:t>8. Solicito se me informe con base jurídica y con argumento técnico si las Asociaciones, Corporaciones, Fundaciones y Federaciones, es decir las entidades sin ánimo de lucro pueden entre sí hacer convenios, uniones temporales o consorcios para desarrollar contratos con entidades públicas o privadas</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37828678" w14:textId="77777777" w:rsidR="00916E77" w:rsidRPr="008E6AD9" w:rsidRDefault="00916E77" w:rsidP="00916E77">
      <w:pPr>
        <w:pStyle w:val="Prrafodelista"/>
        <w:tabs>
          <w:tab w:val="left" w:pos="142"/>
          <w:tab w:val="left" w:pos="284"/>
        </w:tabs>
        <w:spacing w:line="276" w:lineRule="auto"/>
        <w:ind w:left="0"/>
        <w:jc w:val="both"/>
        <w:rPr>
          <w:rFonts w:ascii="Verdana" w:eastAsia="Century Gothic" w:hAnsi="Verdana" w:cs="Century Gothic"/>
          <w:b/>
          <w:bCs/>
        </w:rPr>
      </w:pPr>
    </w:p>
    <w:p w14:paraId="256D7832" w14:textId="77777777" w:rsidR="00916E77" w:rsidRPr="00A652FF" w:rsidRDefault="00916E77" w:rsidP="00916E77">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3A8DE64" w14:textId="77777777" w:rsidR="00916E77" w:rsidRPr="00F23895" w:rsidRDefault="00916E77" w:rsidP="00916E77">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r w:rsidRPr="000B43B3">
        <w:rPr>
          <w:rFonts w:ascii="Verdana" w:eastAsia="Calibri" w:hAnsi="Verdana" w:cs="Arial"/>
          <w:lang w:val="es-ES" w:eastAsia="es-ES"/>
        </w:rPr>
        <w:t xml:space="preserve"> </w:t>
      </w:r>
    </w:p>
    <w:p w14:paraId="3068A66E" w14:textId="77777777" w:rsidR="00916E77" w:rsidRPr="00B92624" w:rsidRDefault="00916E77" w:rsidP="00916E77">
      <w:pPr>
        <w:spacing w:after="0" w:line="276" w:lineRule="auto"/>
        <w:ind w:firstLine="708"/>
        <w:jc w:val="both"/>
        <w:rPr>
          <w:rFonts w:ascii="Verdana" w:eastAsia="Calibri" w:hAnsi="Verdana" w:cs="Arial"/>
          <w:lang w:val="es-ES" w:eastAsia="es-ES"/>
        </w:rPr>
      </w:pPr>
    </w:p>
    <w:p w14:paraId="39C5866E" w14:textId="77777777" w:rsidR="00916E77" w:rsidRPr="00593A5F" w:rsidRDefault="00916E77" w:rsidP="00916E7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9C2F3D7" w14:textId="77777777" w:rsidR="00916E77" w:rsidRPr="00593A5F" w:rsidRDefault="00916E77" w:rsidP="00916E77">
      <w:pPr>
        <w:tabs>
          <w:tab w:val="left" w:pos="426"/>
        </w:tabs>
        <w:spacing w:after="0" w:line="276" w:lineRule="auto"/>
        <w:jc w:val="both"/>
        <w:rPr>
          <w:rFonts w:ascii="Verdana" w:eastAsia="Century Gothic" w:hAnsi="Verdana" w:cs="Century Gothic"/>
          <w:lang w:val="es-ES"/>
        </w:rPr>
      </w:pPr>
    </w:p>
    <w:p w14:paraId="77115CB0" w14:textId="77777777" w:rsidR="00916E77" w:rsidRPr="00593A5F" w:rsidRDefault="00916E77" w:rsidP="00916E77">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el marco jurídico de </w:t>
      </w:r>
      <w:r w:rsidRPr="008254BC">
        <w:rPr>
          <w:rFonts w:ascii="Verdana" w:eastAsia="Century Gothic" w:hAnsi="Verdana" w:cs="Century Gothic"/>
        </w:rPr>
        <w:t>los contratos del artículo 355 de la Constitución Política y</w:t>
      </w:r>
      <w:r>
        <w:rPr>
          <w:rFonts w:ascii="Verdana" w:eastAsia="Century Gothic" w:hAnsi="Verdana" w:cs="Century Gothic"/>
        </w:rPr>
        <w:t xml:space="preserve"> de</w:t>
      </w:r>
      <w:r w:rsidRPr="008254BC">
        <w:rPr>
          <w:rFonts w:ascii="Verdana" w:eastAsia="Century Gothic" w:hAnsi="Verdana" w:cs="Century Gothic"/>
        </w:rPr>
        <w:t xml:space="preserve"> los convenios de asociación del artículo 96 de la Ley 489 de 1998</w:t>
      </w:r>
      <w:r>
        <w:rPr>
          <w:rFonts w:ascii="Verdana" w:eastAsia="Century Gothic" w:hAnsi="Verdana" w:cs="Century Gothic"/>
        </w:rPr>
        <w:t xml:space="preserve">?       </w:t>
      </w:r>
      <w:r w:rsidRPr="00C00976">
        <w:rPr>
          <w:rFonts w:ascii="Verdana" w:eastAsia="Century Gothic" w:hAnsi="Verdana" w:cs="Century Gothic"/>
          <w:color w:val="7030A0"/>
        </w:rPr>
        <w:t xml:space="preserve"> </w:t>
      </w:r>
    </w:p>
    <w:p w14:paraId="701DC71E" w14:textId="77777777" w:rsidR="00916E77" w:rsidRPr="004B140F" w:rsidRDefault="00916E77" w:rsidP="00916E77">
      <w:pPr>
        <w:spacing w:after="0" w:line="276" w:lineRule="auto"/>
        <w:jc w:val="both"/>
        <w:rPr>
          <w:rFonts w:ascii="Verdana" w:eastAsia="Calibri" w:hAnsi="Verdana" w:cs="Arial"/>
          <w:color w:val="7030A0"/>
        </w:rPr>
      </w:pPr>
    </w:p>
    <w:p w14:paraId="416CBB6A" w14:textId="77777777" w:rsidR="00916E77" w:rsidRPr="00593A5F" w:rsidRDefault="00916E77" w:rsidP="00916E7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035EB28B" w14:textId="77777777" w:rsidR="00916E77" w:rsidRPr="00593A5F" w:rsidRDefault="00916E77" w:rsidP="00916E7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16E77" w:rsidRPr="00593A5F" w14:paraId="045202A4" w14:textId="77777777" w:rsidTr="008F5478">
        <w:trPr>
          <w:jc w:val="center"/>
        </w:trPr>
        <w:tc>
          <w:tcPr>
            <w:tcW w:w="8828" w:type="dxa"/>
            <w:shd w:val="clear" w:color="auto" w:fill="auto"/>
          </w:tcPr>
          <w:p w14:paraId="62F43A96" w14:textId="77777777" w:rsidR="00916E77" w:rsidRPr="00233B43" w:rsidRDefault="00916E77" w:rsidP="008F5478">
            <w:pPr>
              <w:spacing w:after="120" w:line="276" w:lineRule="auto"/>
              <w:jc w:val="both"/>
              <w:rPr>
                <w:rFonts w:ascii="Verdana" w:eastAsia="Calibri" w:hAnsi="Verdana" w:cs="Arial"/>
                <w:bCs/>
                <w:lang w:val="es-ES_tradnl"/>
              </w:rPr>
            </w:pPr>
            <w:bookmarkStart w:id="2" w:name="_Hlk171694685"/>
            <w:r>
              <w:rPr>
                <w:rFonts w:ascii="Verdana" w:hAnsi="Verdana" w:cs="Arial"/>
                <w:color w:val="000000" w:themeColor="text1"/>
              </w:rPr>
              <w:t>Conforme a la interpretación general de las normas del sistema de compras públicas, e</w:t>
            </w:r>
            <w:r w:rsidRPr="00233B43">
              <w:rPr>
                <w:rFonts w:ascii="Verdana" w:hAnsi="Verdana" w:cs="Arial"/>
                <w:color w:val="000000" w:themeColor="text1"/>
              </w:rPr>
              <w:t>l artículo 355 de la Constitución Política</w:t>
            </w:r>
            <w:r>
              <w:rPr>
                <w:rFonts w:ascii="Verdana" w:hAnsi="Verdana" w:cs="Arial"/>
                <w:color w:val="000000" w:themeColor="text1"/>
              </w:rPr>
              <w:t xml:space="preserve"> </w:t>
            </w:r>
            <w:r w:rsidRPr="0063743B">
              <w:rPr>
                <w:rFonts w:ascii="Verdana" w:eastAsia="Calibri" w:hAnsi="Verdana" w:cs="Arial"/>
                <w:bCs/>
                <w:lang w:val="es-ES_tradnl"/>
              </w:rPr>
              <w:t xml:space="preserve">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w:t>
            </w:r>
            <w:r w:rsidRPr="0063743B">
              <w:rPr>
                <w:rFonts w:ascii="Verdana" w:eastAsia="Calibri" w:hAnsi="Verdana" w:cs="Arial"/>
                <w:bCs/>
                <w:lang w:val="es-ES_tradnl"/>
              </w:rPr>
              <w:lastRenderedPageBreak/>
              <w:t>particulares, mediante la celebración de convenios de asociación o la creación de personas jurídicas.</w:t>
            </w:r>
            <w:r>
              <w:rPr>
                <w:rFonts w:ascii="Verdana" w:eastAsia="Calibri" w:hAnsi="Verdana" w:cs="Arial"/>
                <w:bCs/>
                <w:lang w:val="es-ES_tradnl"/>
              </w:rPr>
              <w:t xml:space="preserve"> </w:t>
            </w:r>
            <w:r w:rsidRPr="0063743B">
              <w:rPr>
                <w:rFonts w:ascii="Verdana" w:eastAsia="Calibri" w:hAnsi="Verdana" w:cs="Arial"/>
                <w:bCs/>
                <w:lang w:val="es-ES_tradnl"/>
              </w:rPr>
              <w:t>Ambas figuras tienen como fin desarrollar conjuntamente actividades relacionadas con los cometidos y funciones legales asignadas a la entidad.</w:t>
            </w:r>
            <w:r>
              <w:rPr>
                <w:rFonts w:ascii="Verdana" w:eastAsia="Calibri" w:hAnsi="Verdana" w:cs="Arial"/>
                <w:bCs/>
                <w:lang w:val="es-ES_tradnl"/>
              </w:rPr>
              <w:t xml:space="preserve"> Por lo demás, al utilizar el verbo “podrán”, el ordenamiento deja claro su naturaleza potestativa, ya que no existe norma que obligue a su celebración. (Respuesta a las preguntas 1, 2, 5 y 6)</w:t>
            </w:r>
          </w:p>
          <w:p w14:paraId="4E788041" w14:textId="77777777" w:rsidR="00916E77" w:rsidRDefault="00916E77" w:rsidP="008F5478">
            <w:pPr>
              <w:spacing w:after="120" w:line="276" w:lineRule="auto"/>
              <w:ind w:firstLine="709"/>
              <w:jc w:val="both"/>
              <w:rPr>
                <w:rFonts w:ascii="Verdana" w:eastAsia="Calibri" w:hAnsi="Verdana" w:cs="Arial"/>
                <w:bCs/>
              </w:rPr>
            </w:pPr>
            <w:r w:rsidRPr="0063743B">
              <w:rPr>
                <w:rFonts w:ascii="Verdana" w:eastAsia="Calibri" w:hAnsi="Verdana"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63743B">
              <w:rPr>
                <w:rFonts w:ascii="Verdana" w:eastAsia="Calibri" w:hAnsi="Verdana" w:cs="Arial"/>
                <w:bCs/>
              </w:rPr>
              <w:t xml:space="preserve">. </w:t>
            </w:r>
            <w:r>
              <w:rPr>
                <w:rFonts w:ascii="Verdana" w:eastAsia="Calibri" w:hAnsi="Verdana" w:cs="Arial"/>
                <w:bCs/>
              </w:rPr>
              <w:t>Por un lado</w:t>
            </w:r>
            <w:r w:rsidRPr="0063743B">
              <w:rPr>
                <w:rFonts w:ascii="Verdana" w:eastAsia="Calibri" w:hAnsi="Verdana" w:cs="Arial"/>
                <w:bCs/>
              </w:rPr>
              <w:t>,</w:t>
            </w:r>
            <w:r>
              <w:rPr>
                <w:rFonts w:ascii="Verdana" w:eastAsia="Calibri" w:hAnsi="Verdana" w:cs="Arial"/>
                <w:bCs/>
              </w:rPr>
              <w:t xml:space="preserve"> al enfocarse en sujetos determinados, es necesario que todos los integrantes de la estructura plural sean entidades sin ánimo de lucro, ya que este régimen no fue diseñado para contratar con sociedades comerciales u otras entidades públicas.</w:t>
            </w:r>
            <w:r w:rsidRPr="0063743B">
              <w:rPr>
                <w:rFonts w:ascii="Verdana" w:eastAsia="Calibri" w:hAnsi="Verdana" w:cs="Arial"/>
                <w:bCs/>
              </w:rPr>
              <w:t xml:space="preserve"> </w:t>
            </w:r>
            <w:r>
              <w:rPr>
                <w:rFonts w:ascii="Verdana" w:eastAsia="Calibri" w:hAnsi="Verdana" w:cs="Arial"/>
                <w:bCs/>
              </w:rPr>
              <w:t xml:space="preserve">Por otra parte, </w:t>
            </w:r>
            <w:r w:rsidRPr="0063743B">
              <w:rPr>
                <w:rFonts w:ascii="Verdana" w:eastAsia="Calibri" w:hAnsi="Verdana" w:cs="Arial"/>
                <w:bCs/>
              </w:rPr>
              <w:t>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w:t>
            </w:r>
            <w:r>
              <w:rPr>
                <w:rFonts w:ascii="Verdana" w:eastAsia="Calibri" w:hAnsi="Verdana" w:cs="Arial"/>
                <w:bCs/>
              </w:rPr>
              <w:t xml:space="preserve"> (Respuesta a las preguntas 7 y 8)</w:t>
            </w:r>
            <w:r w:rsidRPr="0063743B">
              <w:rPr>
                <w:rFonts w:ascii="Verdana" w:eastAsia="Calibri" w:hAnsi="Verdana" w:cs="Arial"/>
                <w:bCs/>
              </w:rPr>
              <w:t xml:space="preserve"> </w:t>
            </w:r>
          </w:p>
          <w:p w14:paraId="7FDD2FCD" w14:textId="77777777" w:rsidR="00916E77" w:rsidRPr="001F4636" w:rsidRDefault="00916E77" w:rsidP="008F5478">
            <w:pPr>
              <w:spacing w:after="120" w:line="276" w:lineRule="auto"/>
              <w:ind w:firstLine="709"/>
              <w:jc w:val="both"/>
              <w:rPr>
                <w:rFonts w:ascii="Verdana" w:eastAsia="Calibri" w:hAnsi="Verdana" w:cs="Arial"/>
                <w:color w:val="000000" w:themeColor="text1"/>
              </w:rPr>
            </w:pPr>
            <w:r>
              <w:rPr>
                <w:rFonts w:ascii="Verdana" w:hAnsi="Verdana" w:cs="Arial"/>
                <w:color w:val="000000" w:themeColor="text1"/>
              </w:rPr>
              <w:t>L</w:t>
            </w:r>
            <w:r w:rsidRPr="001F4636">
              <w:rPr>
                <w:rFonts w:ascii="Verdana" w:hAnsi="Verdana" w:cs="Arial"/>
                <w:color w:val="000000" w:themeColor="text1"/>
              </w:rPr>
              <w:t xml:space="preserve">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1F4636">
              <w:rPr>
                <w:rFonts w:ascii="Verdana" w:hAnsi="Verdana" w:cs="Arial"/>
                <w:color w:val="000000" w:themeColor="text1"/>
              </w:rPr>
              <w:t>ii</w:t>
            </w:r>
            <w:proofErr w:type="spellEnd"/>
            <w:r w:rsidRPr="001F4636">
              <w:rPr>
                <w:rFonts w:ascii="Verdana" w:hAnsi="Verdana" w:cs="Arial"/>
                <w:color w:val="000000" w:themeColor="text1"/>
              </w:rPr>
              <w:t xml:space="preserve">) tampoco debe condicionarse a que la contratación con las ESAL garantice la optimización de los recursos públicos en términos de eficiencia, eficacia, economía y manejo del riesgo; </w:t>
            </w:r>
            <w:proofErr w:type="spellStart"/>
            <w:r w:rsidRPr="001F4636">
              <w:rPr>
                <w:rFonts w:ascii="Verdana" w:hAnsi="Verdana" w:cs="Arial"/>
                <w:color w:val="000000" w:themeColor="text1"/>
              </w:rPr>
              <w:t>iii</w:t>
            </w:r>
            <w:proofErr w:type="spellEnd"/>
            <w:r w:rsidRPr="001F4636">
              <w:rPr>
                <w:rFonts w:ascii="Verdana" w:hAnsi="Verdana" w:cs="Arial"/>
                <w:color w:val="000000" w:themeColor="text1"/>
              </w:rPr>
              <w:t xml:space="preserve">) el objeto del contrato debe estar acorde con el plan nacional o seccional de desarrollo; </w:t>
            </w:r>
            <w:proofErr w:type="spellStart"/>
            <w:r w:rsidRPr="001F4636">
              <w:rPr>
                <w:rFonts w:ascii="Verdana" w:hAnsi="Verdana" w:cs="Arial"/>
                <w:color w:val="000000" w:themeColor="text1"/>
              </w:rPr>
              <w:t>iv</w:t>
            </w:r>
            <w:proofErr w:type="spellEnd"/>
            <w:r w:rsidRPr="001F4636">
              <w:rPr>
                <w:rFonts w:ascii="Verdana" w:hAnsi="Verdana" w:cs="Arial"/>
                <w:color w:val="000000" w:themeColor="text1"/>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1F4636">
              <w:rPr>
                <w:rFonts w:ascii="Verdana" w:hAnsi="Verdana" w:cs="Arial"/>
                <w:color w:val="000000" w:themeColor="text1"/>
              </w:rPr>
              <w:t>iii</w:t>
            </w:r>
            <w:proofErr w:type="spellEnd"/>
            <w:r w:rsidRPr="001F4636">
              <w:rPr>
                <w:rFonts w:ascii="Verdana" w:hAnsi="Verdana" w:cs="Arial"/>
                <w:color w:val="000000" w:themeColor="text1"/>
              </w:rPr>
              <w:t xml:space="preserve">); y v) el contrato no debe establecer una relación conmutativa en el cual haya una contraprestación </w:t>
            </w:r>
            <w:r w:rsidRPr="001F4636">
              <w:rPr>
                <w:rFonts w:ascii="Verdana" w:hAnsi="Verdana" w:cs="Arial"/>
                <w:color w:val="000000" w:themeColor="text1"/>
              </w:rPr>
              <w:lastRenderedPageBreak/>
              <w:t>directa a favor de la entidad, ni instrucciones precisas dadas por esta al contratista para cumplir con el objeto del contrato.</w:t>
            </w:r>
          </w:p>
          <w:p w14:paraId="637FC4C8" w14:textId="77777777" w:rsidR="00916E77" w:rsidRPr="0063743B" w:rsidRDefault="00916E77" w:rsidP="008F5478">
            <w:pPr>
              <w:spacing w:after="120" w:line="276" w:lineRule="auto"/>
              <w:ind w:firstLine="709"/>
              <w:jc w:val="both"/>
              <w:rPr>
                <w:rFonts w:ascii="Verdana" w:eastAsia="Calibri" w:hAnsi="Verdana" w:cs="Arial"/>
                <w:bCs/>
              </w:rPr>
            </w:pPr>
            <w:r w:rsidRPr="001F4636">
              <w:rPr>
                <w:rFonts w:ascii="Verdana" w:eastAsia="Calibri" w:hAnsi="Verdana" w:cs="Arial"/>
                <w:color w:val="000000" w:themeColor="text1"/>
              </w:rPr>
              <w:t xml:space="preserve">Ahora, si se pretende realizar un </w:t>
            </w:r>
            <w:r w:rsidRPr="001F4636">
              <w:rPr>
                <w:rFonts w:ascii="Verdana" w:eastAsia="Calibri" w:hAnsi="Verdana" w:cs="Arial"/>
                <w:i/>
                <w:iCs/>
                <w:color w:val="000000" w:themeColor="text1"/>
              </w:rPr>
              <w:t>convenio de asociación</w:t>
            </w:r>
            <w:r w:rsidRPr="001F4636">
              <w:rPr>
                <w:rFonts w:ascii="Verdana" w:eastAsia="Calibri" w:hAnsi="Verdana" w:cs="Arial"/>
                <w:color w:val="000000" w:themeColor="text1"/>
              </w:rPr>
              <w:t xml:space="preserve"> con ESAL de reconocida idoneidad para el cumplimiento de las funciones que la ley les asigna a las entidades públicas, deberá aplicarse lo dispuesto en el artículo 5 del Decreto 092 de 2017. De esta manera, deben estar sujetos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w:t>
            </w:r>
            <w:r>
              <w:rPr>
                <w:rFonts w:ascii="Verdana" w:eastAsia="Calibri" w:hAnsi="Verdana" w:cs="Arial"/>
                <w:color w:val="000000" w:themeColor="text1"/>
              </w:rPr>
              <w:t xml:space="preserve"> </w:t>
            </w:r>
            <w:r>
              <w:rPr>
                <w:rFonts w:ascii="Verdana" w:eastAsia="Calibri" w:hAnsi="Verdana" w:cs="Arial"/>
                <w:bCs/>
              </w:rPr>
              <w:t>Ello no obsta para que puedan realizarse aportes en especie bajo la consideración de que éstos no inciden en la modalidad de selección aplicable. (Respuesta a las preguntas 3 y 4)</w:t>
            </w:r>
          </w:p>
          <w:p w14:paraId="37AD097E" w14:textId="77777777" w:rsidR="00916E77" w:rsidRPr="00EA07C6" w:rsidRDefault="00916E77" w:rsidP="008F5478">
            <w:pPr>
              <w:spacing w:line="276" w:lineRule="auto"/>
              <w:ind w:firstLine="709"/>
              <w:jc w:val="both"/>
              <w:rPr>
                <w:rFonts w:ascii="Verdana" w:eastAsia="Calibri" w:hAnsi="Verdana" w:cs="Arial"/>
                <w:color w:val="000000" w:themeColor="text1"/>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la contratación de las entidades estatales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593BF537" w14:textId="77777777" w:rsidR="00916E77" w:rsidRPr="00593A5F" w:rsidRDefault="00916E77" w:rsidP="00916E77">
      <w:pPr>
        <w:tabs>
          <w:tab w:val="left" w:pos="142"/>
          <w:tab w:val="left" w:pos="284"/>
        </w:tabs>
        <w:spacing w:after="0" w:line="276" w:lineRule="auto"/>
        <w:jc w:val="both"/>
        <w:rPr>
          <w:rFonts w:ascii="Verdana" w:eastAsia="Century Gothic" w:hAnsi="Verdana" w:cs="Century Gothic"/>
          <w:b/>
          <w:bCs/>
          <w:lang w:val="es-ES"/>
        </w:rPr>
      </w:pPr>
    </w:p>
    <w:bookmarkEnd w:id="2"/>
    <w:p w14:paraId="6C3B1C30" w14:textId="77777777" w:rsidR="00916E77" w:rsidRPr="00593A5F" w:rsidRDefault="00916E77" w:rsidP="00916E7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2B55C24" w14:textId="77777777" w:rsidR="00916E77" w:rsidRPr="00593A5F" w:rsidRDefault="00916E77" w:rsidP="00916E77">
      <w:pPr>
        <w:spacing w:after="0" w:line="276" w:lineRule="auto"/>
        <w:jc w:val="both"/>
        <w:rPr>
          <w:rFonts w:ascii="Verdana" w:eastAsia="Calibri" w:hAnsi="Verdana" w:cs="Arial"/>
          <w:color w:val="7030A0"/>
          <w:lang w:val="es-ES"/>
        </w:rPr>
      </w:pPr>
    </w:p>
    <w:p w14:paraId="729CB0E9" w14:textId="77777777" w:rsidR="00916E77" w:rsidRDefault="00916E77" w:rsidP="00916E77">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003BC0B3" w14:textId="77777777" w:rsidR="00916E77" w:rsidRDefault="00916E77" w:rsidP="00916E77">
      <w:pPr>
        <w:spacing w:after="0" w:line="276" w:lineRule="auto"/>
        <w:jc w:val="both"/>
        <w:rPr>
          <w:rFonts w:ascii="Verdana" w:eastAsia="Calibri" w:hAnsi="Verdana" w:cs="Arial"/>
          <w:lang w:val="es-ES"/>
        </w:rPr>
      </w:pPr>
    </w:p>
    <w:p w14:paraId="0F5C55A4" w14:textId="77777777" w:rsidR="00916E77" w:rsidRPr="0063743B" w:rsidRDefault="00916E77" w:rsidP="00916E77">
      <w:pPr>
        <w:spacing w:line="276" w:lineRule="auto"/>
        <w:jc w:val="both"/>
        <w:rPr>
          <w:rFonts w:ascii="Verdana" w:eastAsia="Calibri" w:hAnsi="Verdana" w:cs="Arial"/>
          <w:bCs/>
          <w:lang w:val="es-ES_tradnl"/>
        </w:rPr>
      </w:pPr>
      <w:r>
        <w:rPr>
          <w:rFonts w:ascii="Verdana" w:eastAsia="Calibri" w:hAnsi="Verdana" w:cs="Arial"/>
          <w:bCs/>
          <w:lang w:val="es-ES_tradnl"/>
        </w:rPr>
        <w:t xml:space="preserve">i. </w:t>
      </w:r>
      <w:r w:rsidRPr="0063743B">
        <w:rPr>
          <w:rFonts w:ascii="Verdana" w:eastAsia="Calibri" w:hAnsi="Verdana"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63743B">
        <w:rPr>
          <w:rStyle w:val="Refdenotaalpie"/>
          <w:rFonts w:ascii="Verdana" w:hAnsi="Verdana" w:cs="Arial"/>
        </w:rPr>
        <w:footnoteReference w:id="2"/>
      </w:r>
      <w:r w:rsidRPr="0063743B">
        <w:rPr>
          <w:rFonts w:ascii="Verdana" w:eastAsia="Calibri" w:hAnsi="Verdana" w:cs="Arial"/>
          <w:bCs/>
          <w:lang w:val="es-ES_tradnl"/>
        </w:rPr>
        <w:t xml:space="preserve">. Por otra parte, el artículo 96 de la Ley 489 de 1998 permite a las entidades públicas en </w:t>
      </w:r>
      <w:r w:rsidRPr="0063743B">
        <w:rPr>
          <w:rFonts w:ascii="Verdana" w:eastAsia="Calibri" w:hAnsi="Verdana" w:cs="Arial"/>
          <w:bCs/>
          <w:lang w:val="es-ES_tradnl"/>
        </w:rPr>
        <w:lastRenderedPageBreak/>
        <w:t>general, es decir, cualquiera sea su naturaleza y orden administrativo, asociarse con personas jurídicas particulares, mediante la celebración de convenios de asociación o la creación de personas jurídicas</w:t>
      </w:r>
      <w:r w:rsidRPr="0063743B">
        <w:rPr>
          <w:rStyle w:val="Refdenotaalpie"/>
          <w:rFonts w:ascii="Verdana" w:eastAsia="Calibri" w:hAnsi="Verdana" w:cs="Arial"/>
          <w:bCs/>
          <w:lang w:val="es-ES_tradnl"/>
        </w:rPr>
        <w:footnoteReference w:id="3"/>
      </w:r>
      <w:r w:rsidRPr="0063743B">
        <w:rPr>
          <w:rFonts w:ascii="Verdana" w:eastAsia="Calibri" w:hAnsi="Verdana" w:cs="Arial"/>
          <w:bCs/>
          <w:lang w:val="es-ES_tradnl"/>
        </w:rPr>
        <w:t>. Ambas figuras tienen como fin desarrollar conjuntamente actividades relacionadas con los cometidos y funciones legales asignadas a la entidad.</w:t>
      </w:r>
      <w:r>
        <w:rPr>
          <w:rFonts w:ascii="Verdana" w:eastAsia="Calibri" w:hAnsi="Verdana" w:cs="Arial"/>
          <w:bCs/>
          <w:lang w:val="es-ES_tradnl"/>
        </w:rPr>
        <w:t xml:space="preserve"> Por lo demás, al utilizar el verbo “podrán”, el ordenamiento deja claro su naturaleza potestativa, ya que no existe norma que obligue a su celebración.</w:t>
      </w:r>
    </w:p>
    <w:p w14:paraId="644E3A69" w14:textId="77777777" w:rsidR="00916E77" w:rsidRPr="0063743B" w:rsidRDefault="00916E77" w:rsidP="00916E77">
      <w:pPr>
        <w:spacing w:before="120" w:after="120" w:line="276" w:lineRule="auto"/>
        <w:ind w:firstLine="709"/>
        <w:jc w:val="both"/>
        <w:rPr>
          <w:rFonts w:ascii="Verdana" w:eastAsia="Calibri" w:hAnsi="Verdana" w:cs="Arial"/>
          <w:lang w:val="es-ES"/>
        </w:rPr>
      </w:pPr>
      <w:bookmarkStart w:id="4" w:name="_Hlk38819155"/>
      <w:r>
        <w:rPr>
          <w:rFonts w:ascii="Verdana" w:eastAsia="Calibri" w:hAnsi="Verdana" w:cs="Arial"/>
          <w:lang w:val="es-ES"/>
        </w:rPr>
        <w:t>Cuando las entidades definan suscribirlos, e</w:t>
      </w:r>
      <w:r w:rsidRPr="0063743B">
        <w:rPr>
          <w:rFonts w:ascii="Verdana" w:eastAsia="Calibri" w:hAnsi="Verdana" w:cs="Arial"/>
          <w:lang w:val="es-ES"/>
        </w:rPr>
        <w:t xml:space="preserv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63743B">
        <w:rPr>
          <w:rFonts w:ascii="Verdana" w:eastAsia="Calibri" w:hAnsi="Verdana" w:cs="Arial"/>
          <w:lang w:val="es-ES"/>
        </w:rPr>
        <w:t>ii</w:t>
      </w:r>
      <w:proofErr w:type="spellEnd"/>
      <w:r w:rsidRPr="0063743B">
        <w:rPr>
          <w:rFonts w:ascii="Verdana" w:eastAsia="Calibri" w:hAnsi="Verdana" w:cs="Arial"/>
          <w:lang w:val="es-ES"/>
        </w:rPr>
        <w:t xml:space="preserve">) los convenios de asociación, para el desarrollo conjunto de actividades relacionadas con las funciones de las entidades estatales, en desarrollo del artículo 96 de la Ley 489 de 1998. </w:t>
      </w:r>
      <w:bookmarkEnd w:id="4"/>
    </w:p>
    <w:p w14:paraId="2823C171" w14:textId="77777777" w:rsidR="00916E77" w:rsidRPr="0063743B" w:rsidRDefault="00916E77" w:rsidP="00916E77">
      <w:pPr>
        <w:spacing w:before="120" w:after="120" w:line="276" w:lineRule="auto"/>
        <w:ind w:firstLine="709"/>
        <w:jc w:val="both"/>
        <w:rPr>
          <w:rFonts w:ascii="Verdana" w:eastAsia="Calibri" w:hAnsi="Verdana" w:cs="Arial"/>
          <w:lang w:val="es-ES"/>
        </w:rPr>
      </w:pPr>
      <w:bookmarkStart w:id="5" w:name="_Hlk95756032"/>
      <w:r w:rsidRPr="0063743B">
        <w:rPr>
          <w:rFonts w:ascii="Verdana" w:eastAsia="Calibri" w:hAnsi="Verdana" w:cs="Arial"/>
          <w:lang w:val="es-ES"/>
        </w:rPr>
        <w:t xml:space="preserve">Los </w:t>
      </w:r>
      <w:r w:rsidRPr="0063743B">
        <w:rPr>
          <w:rFonts w:ascii="Verdana" w:eastAsia="Calibri" w:hAnsi="Verdana" w:cs="Arial"/>
          <w:i/>
          <w:iCs/>
          <w:lang w:val="es-ES"/>
        </w:rPr>
        <w:t>contratos del artículo 355 de la Constitución Política</w:t>
      </w:r>
      <w:r w:rsidRPr="0063743B">
        <w:rPr>
          <w:rFonts w:ascii="Verdana" w:eastAsia="Calibri" w:hAnsi="Verdana"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63743B">
        <w:rPr>
          <w:rFonts w:ascii="Verdana" w:eastAsia="Calibri" w:hAnsi="Verdana" w:cs="Arial"/>
          <w:lang w:val="es-ES"/>
        </w:rPr>
        <w:t>ii</w:t>
      </w:r>
      <w:proofErr w:type="spellEnd"/>
      <w:r w:rsidRPr="0063743B">
        <w:rPr>
          <w:rFonts w:ascii="Verdana" w:eastAsia="Calibri" w:hAnsi="Verdana" w:cs="Arial"/>
          <w:lang w:val="es-ES"/>
        </w:rPr>
        <w:t xml:space="preserve">) que no haya una contraprestación directa a favor de la entidad estatal, es decir, que el programa o actividad a desarrollar este dirigida al beneficio de la población en general, ya que cuando se adquieren bienes o servicios o se ejecutan obras en una relación </w:t>
      </w:r>
      <w:r w:rsidRPr="0063743B">
        <w:rPr>
          <w:rFonts w:ascii="Verdana" w:eastAsia="Calibri" w:hAnsi="Verdana" w:cs="Arial"/>
          <w:lang w:val="es-ES"/>
        </w:rPr>
        <w:lastRenderedPageBreak/>
        <w:t>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5"/>
    <w:p w14:paraId="7EC0DC4C" w14:textId="77777777" w:rsidR="00916E77" w:rsidRPr="0063743B" w:rsidRDefault="00916E77" w:rsidP="00916E77">
      <w:pPr>
        <w:spacing w:before="120" w:after="120" w:line="276" w:lineRule="auto"/>
        <w:ind w:firstLine="709"/>
        <w:jc w:val="both"/>
        <w:rPr>
          <w:rFonts w:ascii="Verdana" w:eastAsia="Calibri" w:hAnsi="Verdana" w:cs="Arial"/>
          <w:bCs/>
          <w:lang w:val="es-ES_tradnl"/>
        </w:rPr>
      </w:pPr>
      <w:r w:rsidRPr="0063743B">
        <w:rPr>
          <w:rFonts w:ascii="Verdana" w:eastAsia="Calibri" w:hAnsi="Verdana" w:cs="Arial"/>
          <w:bCs/>
          <w:lang w:val="es-ES_tradnl"/>
        </w:rPr>
        <w:t xml:space="preserve">De otro lado, los </w:t>
      </w:r>
      <w:r w:rsidRPr="0063743B">
        <w:rPr>
          <w:rFonts w:ascii="Verdana" w:eastAsia="Calibri" w:hAnsi="Verdana" w:cs="Arial"/>
          <w:bCs/>
          <w:i/>
          <w:lang w:val="es-ES_tradnl"/>
        </w:rPr>
        <w:t>convenios de asociación</w:t>
      </w:r>
      <w:r w:rsidRPr="0063743B">
        <w:rPr>
          <w:rFonts w:ascii="Verdana" w:eastAsia="Calibri" w:hAnsi="Verdana" w:cs="Arial"/>
          <w:bCs/>
          <w:lang w:val="es-ES_tradnl"/>
        </w:rPr>
        <w:t xml:space="preserve"> “[t]</w:t>
      </w:r>
      <w:proofErr w:type="spellStart"/>
      <w:r w:rsidRPr="0063743B">
        <w:rPr>
          <w:rFonts w:ascii="Verdana" w:eastAsia="Calibri" w:hAnsi="Verdana" w:cs="Arial"/>
          <w:bCs/>
          <w:lang w:val="es-ES_tradnl"/>
        </w:rPr>
        <w:t>ienen</w:t>
      </w:r>
      <w:proofErr w:type="spellEnd"/>
      <w:r w:rsidRPr="0063743B">
        <w:rPr>
          <w:rFonts w:ascii="Verdana" w:eastAsia="Calibri" w:hAnsi="Verdana"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3743B">
        <w:rPr>
          <w:rStyle w:val="Refdenotaalpie"/>
          <w:rFonts w:ascii="Verdana" w:hAnsi="Verdana" w:cs="Arial"/>
        </w:rPr>
        <w:footnoteReference w:id="4"/>
      </w:r>
      <w:r w:rsidRPr="0063743B">
        <w:rPr>
          <w:rFonts w:ascii="Verdana" w:eastAsia="Calibri" w:hAnsi="Verdana"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w:t>
      </w:r>
      <w:r>
        <w:rPr>
          <w:rFonts w:ascii="Verdana" w:eastAsia="Calibri" w:hAnsi="Verdana" w:cs="Arial"/>
          <w:bCs/>
          <w:lang w:val="es-ES_tradnl"/>
        </w:rPr>
        <w:t xml:space="preserve"> </w:t>
      </w:r>
      <w:r w:rsidRPr="0063743B">
        <w:rPr>
          <w:rFonts w:ascii="Verdana" w:eastAsia="Calibri" w:hAnsi="Verdana" w:cs="Arial"/>
          <w:bCs/>
          <w:lang w:val="es-ES_tradnl"/>
        </w:rPr>
        <w:t>y</w:t>
      </w:r>
      <w:r>
        <w:rPr>
          <w:rFonts w:ascii="Verdana" w:eastAsia="Calibri" w:hAnsi="Verdana" w:cs="Arial"/>
          <w:bCs/>
          <w:lang w:val="es-ES_tradnl"/>
        </w:rPr>
        <w:t>,</w:t>
      </w:r>
      <w:r w:rsidRPr="0063743B">
        <w:rPr>
          <w:rFonts w:ascii="Verdana" w:eastAsia="Calibri" w:hAnsi="Verdana" w:cs="Arial"/>
          <w:bCs/>
          <w:lang w:val="es-ES_tradnl"/>
        </w:rPr>
        <w:t xml:space="preserve"> por tanto, la entidad no instruye al contratista para desarrollar los programas o actividades previstas, sino que se asocia con él para el cumplimiento de objetivos comunes</w:t>
      </w:r>
      <w:r w:rsidRPr="0063743B">
        <w:rPr>
          <w:rStyle w:val="Refdenotaalpie"/>
          <w:rFonts w:ascii="Verdana" w:hAnsi="Verdana" w:cs="Arial"/>
        </w:rPr>
        <w:footnoteReference w:id="5"/>
      </w:r>
      <w:r w:rsidRPr="0063743B">
        <w:rPr>
          <w:rFonts w:ascii="Verdana" w:eastAsia="Calibri" w:hAnsi="Verdana" w:cs="Arial"/>
          <w:bCs/>
          <w:lang w:val="es-ES_tradnl"/>
        </w:rPr>
        <w:t>.</w:t>
      </w:r>
    </w:p>
    <w:p w14:paraId="47D03E0E" w14:textId="77777777" w:rsidR="00916E77" w:rsidRDefault="00916E77" w:rsidP="00916E77">
      <w:pPr>
        <w:spacing w:before="120" w:after="120" w:line="276" w:lineRule="auto"/>
        <w:ind w:firstLine="709"/>
        <w:jc w:val="both"/>
        <w:rPr>
          <w:rFonts w:ascii="Verdana" w:eastAsia="Calibri" w:hAnsi="Verdana" w:cs="Arial"/>
          <w:bCs/>
        </w:rPr>
      </w:pPr>
      <w:r w:rsidRPr="0063743B">
        <w:rPr>
          <w:rFonts w:ascii="Verdana" w:eastAsia="Calibri" w:hAnsi="Verdana"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63743B">
        <w:rPr>
          <w:rFonts w:ascii="Verdana" w:eastAsia="Calibri" w:hAnsi="Verdana" w:cs="Arial"/>
          <w:bCs/>
        </w:rPr>
        <w:t xml:space="preserve">. </w:t>
      </w:r>
      <w:r>
        <w:rPr>
          <w:rFonts w:ascii="Verdana" w:eastAsia="Calibri" w:hAnsi="Verdana" w:cs="Arial"/>
          <w:bCs/>
        </w:rPr>
        <w:t>Por un lado</w:t>
      </w:r>
      <w:r w:rsidRPr="0063743B">
        <w:rPr>
          <w:rFonts w:ascii="Verdana" w:eastAsia="Calibri" w:hAnsi="Verdana" w:cs="Arial"/>
          <w:bCs/>
        </w:rPr>
        <w:t>,</w:t>
      </w:r>
      <w:r>
        <w:rPr>
          <w:rFonts w:ascii="Verdana" w:eastAsia="Calibri" w:hAnsi="Verdana" w:cs="Arial"/>
          <w:bCs/>
        </w:rPr>
        <w:t xml:space="preserve"> al enfocarse en sujetos determinados, es necesario que todos los integrantes de la estructura plural sean entidades sin ánimo de lucro, ya que este régimen no fue diseñado para contratar con sociedades comerciales u otras entidades públicas.</w:t>
      </w:r>
      <w:r w:rsidRPr="0063743B">
        <w:rPr>
          <w:rFonts w:ascii="Verdana" w:eastAsia="Calibri" w:hAnsi="Verdana" w:cs="Arial"/>
          <w:bCs/>
        </w:rPr>
        <w:t xml:space="preserve"> </w:t>
      </w:r>
      <w:r>
        <w:rPr>
          <w:rFonts w:ascii="Verdana" w:eastAsia="Calibri" w:hAnsi="Verdana" w:cs="Arial"/>
          <w:bCs/>
        </w:rPr>
        <w:t xml:space="preserve">Por otra parte, </w:t>
      </w:r>
      <w:r w:rsidRPr="0063743B">
        <w:rPr>
          <w:rFonts w:ascii="Verdana" w:eastAsia="Calibri" w:hAnsi="Verdana" w:cs="Arial"/>
          <w:bCs/>
        </w:rPr>
        <w:t xml:space="preserve">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1AE96EE3" w14:textId="77777777" w:rsidR="00916E77" w:rsidRPr="0063743B" w:rsidRDefault="00916E77" w:rsidP="00916E77">
      <w:pPr>
        <w:spacing w:before="120" w:after="120" w:line="276" w:lineRule="auto"/>
        <w:ind w:firstLine="709"/>
        <w:jc w:val="both"/>
        <w:rPr>
          <w:rFonts w:ascii="Verdana" w:eastAsia="Calibri" w:hAnsi="Verdana" w:cs="Arial"/>
          <w:bCs/>
        </w:rPr>
      </w:pPr>
      <w:r w:rsidRPr="0063743B">
        <w:rPr>
          <w:rFonts w:ascii="Verdana" w:eastAsia="Calibri" w:hAnsi="Verdana" w:cs="Arial"/>
          <w:bCs/>
        </w:rPr>
        <w:t xml:space="preserve">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w:t>
      </w:r>
      <w:r w:rsidRPr="0063743B">
        <w:rPr>
          <w:rFonts w:ascii="Verdana" w:eastAsia="Calibri" w:hAnsi="Verdana" w:cs="Arial"/>
          <w:bCs/>
        </w:rPr>
        <w:lastRenderedPageBreak/>
        <w:t>valor del convenio para celebrarlo directamente. Además, en atención al inciso 2 del artículo 5 del Decreto 092 de 2017, deben asegurarse de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Pr>
          <w:rFonts w:ascii="Verdana" w:eastAsia="Calibri" w:hAnsi="Verdana" w:cs="Arial"/>
          <w:bCs/>
        </w:rPr>
        <w:t xml:space="preserve"> Ello no obsta para que puedan realizarse aportes en especie bajo la consideración de que éstos no inciden en la modalidad de selección aplicable.</w:t>
      </w:r>
    </w:p>
    <w:p w14:paraId="084FBF1A" w14:textId="77777777" w:rsidR="00916E77" w:rsidRPr="0063743B" w:rsidRDefault="00916E77" w:rsidP="00916E77">
      <w:pPr>
        <w:spacing w:before="120" w:after="120" w:line="276" w:lineRule="auto"/>
        <w:ind w:firstLine="709"/>
        <w:jc w:val="both"/>
        <w:rPr>
          <w:rFonts w:ascii="Verdana" w:hAnsi="Verdana"/>
        </w:rPr>
      </w:pPr>
      <w:r w:rsidRPr="0063743B">
        <w:rPr>
          <w:rFonts w:ascii="Verdana" w:hAnsi="Verdana" w:cs="Arial"/>
          <w:color w:val="000000" w:themeColor="text1"/>
        </w:rPr>
        <w:t xml:space="preserve">La noción “seleccionar de forma objetiva”, contenida en la disposición </w:t>
      </w:r>
      <w:r w:rsidRPr="0063743B">
        <w:rPr>
          <w:rFonts w:ascii="Verdana" w:hAnsi="Verdana" w:cs="Arial"/>
          <w:i/>
          <w:iCs/>
          <w:color w:val="000000" w:themeColor="text1"/>
        </w:rPr>
        <w:t xml:space="preserve">sub examine </w:t>
      </w:r>
      <w:r w:rsidRPr="0063743B">
        <w:rPr>
          <w:rFonts w:ascii="Verdana" w:hAnsi="Verdana" w:cs="Arial"/>
          <w:color w:val="000000" w:themeColor="text1"/>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76630A9B" w14:textId="77777777" w:rsidR="00916E77" w:rsidRPr="0063743B" w:rsidRDefault="00916E77" w:rsidP="00916E77">
      <w:pPr>
        <w:pStyle w:val="Sinespaciado"/>
        <w:spacing w:line="276" w:lineRule="auto"/>
        <w:ind w:firstLine="708"/>
        <w:jc w:val="both"/>
        <w:rPr>
          <w:rFonts w:ascii="Verdana" w:hAnsi="Verdana" w:cs="Arial"/>
          <w:color w:val="000000" w:themeColor="text1"/>
          <w:sz w:val="22"/>
        </w:rPr>
      </w:pPr>
      <w:r w:rsidRPr="0063743B">
        <w:rPr>
          <w:rFonts w:ascii="Verdana" w:hAnsi="Verdana" w:cs="Arial"/>
          <w:color w:val="000000" w:themeColor="text1"/>
          <w:sz w:val="22"/>
        </w:rPr>
        <w:t>Es importante aclarar que los negocios jurídicos que regula el Decreto 092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63743B">
        <w:rPr>
          <w:rStyle w:val="Refdenotaalpie"/>
          <w:rFonts w:ascii="Verdana" w:hAnsi="Verdana" w:cs="Arial"/>
          <w:color w:val="000000" w:themeColor="text1"/>
          <w:sz w:val="22"/>
        </w:rPr>
        <w:footnoteReference w:id="6"/>
      </w:r>
      <w:r w:rsidRPr="0063743B">
        <w:rPr>
          <w:rFonts w:ascii="Verdana" w:hAnsi="Verdana" w:cs="Arial"/>
          <w:color w:val="000000" w:themeColor="text1"/>
          <w:sz w:val="22"/>
        </w:rPr>
        <w:t>. Así lo consideró la Sala de Consulta y Servicio Civil del Consejo de Estado:</w:t>
      </w:r>
    </w:p>
    <w:p w14:paraId="509AC50F" w14:textId="77777777" w:rsidR="00916E77" w:rsidRPr="0063743B" w:rsidRDefault="00916E77" w:rsidP="00916E77">
      <w:pPr>
        <w:pStyle w:val="Sinespaciado"/>
        <w:spacing w:line="276" w:lineRule="auto"/>
        <w:jc w:val="both"/>
        <w:rPr>
          <w:rFonts w:ascii="Verdana" w:hAnsi="Verdana" w:cs="Arial"/>
          <w:color w:val="000000" w:themeColor="text1"/>
          <w:sz w:val="22"/>
        </w:rPr>
      </w:pPr>
    </w:p>
    <w:p w14:paraId="5C86A7BD" w14:textId="77777777" w:rsidR="00916E77" w:rsidRPr="0063743B" w:rsidRDefault="00916E77" w:rsidP="00916E77">
      <w:pPr>
        <w:spacing w:line="240" w:lineRule="auto"/>
        <w:ind w:left="709" w:right="709"/>
        <w:jc w:val="both"/>
        <w:rPr>
          <w:rFonts w:ascii="Verdana" w:eastAsia="Calibri" w:hAnsi="Verdana" w:cs="Arial"/>
          <w:color w:val="000000" w:themeColor="text1"/>
          <w:sz w:val="21"/>
          <w:szCs w:val="21"/>
        </w:rPr>
      </w:pPr>
      <w:r w:rsidRPr="0063743B">
        <w:rPr>
          <w:rFonts w:ascii="Verdana" w:eastAsia="Calibri" w:hAnsi="Verdana"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w:t>
      </w:r>
      <w:r w:rsidRPr="0063743B">
        <w:rPr>
          <w:rFonts w:ascii="Verdana" w:eastAsia="Calibri" w:hAnsi="Verdana" w:cs="Arial"/>
          <w:color w:val="000000" w:themeColor="text1"/>
          <w:sz w:val="21"/>
          <w:szCs w:val="21"/>
        </w:rPr>
        <w:lastRenderedPageBreak/>
        <w:t>modalidades de contratación de la ley 80 de 1.993, debiendo sujetarse a los procedimientos allí previstos, en especial los de escogencia del contratista.</w:t>
      </w:r>
    </w:p>
    <w:p w14:paraId="34DDEEF4" w14:textId="77777777" w:rsidR="00916E77" w:rsidRPr="0063743B" w:rsidRDefault="00916E77" w:rsidP="00916E77">
      <w:pPr>
        <w:spacing w:after="0" w:line="240" w:lineRule="auto"/>
        <w:ind w:left="708" w:right="709"/>
        <w:jc w:val="both"/>
        <w:rPr>
          <w:rFonts w:ascii="Verdana" w:eastAsia="Calibri" w:hAnsi="Verdana" w:cs="Arial"/>
          <w:color w:val="000000" w:themeColor="text1"/>
          <w:sz w:val="21"/>
          <w:szCs w:val="21"/>
        </w:rPr>
      </w:pPr>
      <w:r w:rsidRPr="0063743B">
        <w:rPr>
          <w:rFonts w:ascii="Verdana" w:eastAsia="Calibri" w:hAnsi="Verdana"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r w:rsidRPr="0063743B">
        <w:rPr>
          <w:rStyle w:val="Refdenotaalpie"/>
          <w:rFonts w:ascii="Verdana" w:hAnsi="Verdana" w:cs="Arial"/>
          <w:color w:val="000000" w:themeColor="text1"/>
        </w:rPr>
        <w:t xml:space="preserve"> </w:t>
      </w:r>
      <w:r w:rsidRPr="0063743B">
        <w:rPr>
          <w:rStyle w:val="Refdenotaalpie"/>
          <w:rFonts w:ascii="Verdana" w:hAnsi="Verdana" w:cs="Arial"/>
          <w:color w:val="000000" w:themeColor="text1"/>
        </w:rPr>
        <w:footnoteReference w:id="7"/>
      </w:r>
      <w:r w:rsidRPr="0063743B">
        <w:rPr>
          <w:rFonts w:ascii="Verdana" w:eastAsia="Calibri" w:hAnsi="Verdana" w:cs="Arial"/>
          <w:color w:val="000000" w:themeColor="text1"/>
          <w:sz w:val="21"/>
          <w:szCs w:val="21"/>
        </w:rPr>
        <w:t>.</w:t>
      </w:r>
    </w:p>
    <w:p w14:paraId="4124D2B1" w14:textId="77777777" w:rsidR="00916E77" w:rsidRPr="0063743B" w:rsidRDefault="00916E77" w:rsidP="00916E77">
      <w:pPr>
        <w:spacing w:after="0" w:line="276" w:lineRule="auto"/>
        <w:ind w:firstLine="708"/>
        <w:jc w:val="both"/>
        <w:rPr>
          <w:rFonts w:ascii="Verdana" w:eastAsia="Calibri" w:hAnsi="Verdana" w:cs="Arial"/>
          <w:color w:val="000000" w:themeColor="text1"/>
        </w:rPr>
      </w:pPr>
      <w:bookmarkStart w:id="6" w:name="_Hlk95756200"/>
    </w:p>
    <w:p w14:paraId="3CB3B827" w14:textId="77777777" w:rsidR="00916E77" w:rsidRPr="0063743B" w:rsidRDefault="00916E77" w:rsidP="00916E77">
      <w:pPr>
        <w:spacing w:after="0" w:line="276" w:lineRule="auto"/>
        <w:ind w:firstLine="708"/>
        <w:jc w:val="both"/>
        <w:rPr>
          <w:rFonts w:ascii="Verdana" w:eastAsia="Calibri" w:hAnsi="Verdana" w:cs="Arial"/>
          <w:color w:val="000000" w:themeColor="text1"/>
        </w:rPr>
      </w:pPr>
      <w:r w:rsidRPr="0063743B">
        <w:rPr>
          <w:rFonts w:ascii="Verdana" w:eastAsia="Calibri" w:hAnsi="Verdana"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6"/>
      <w:r w:rsidRPr="0063743B">
        <w:rPr>
          <w:rFonts w:ascii="Verdana" w:eastAsia="Calibri" w:hAnsi="Verdana" w:cs="Arial"/>
          <w:color w:val="000000" w:themeColor="text1"/>
        </w:rPr>
        <w:t>Así lo reconoció la Corte Constitucional en la sentencia C-287 del 18 de abril de 2012, en la que sostuvo lo siguiente:</w:t>
      </w:r>
    </w:p>
    <w:p w14:paraId="55AC8091" w14:textId="77777777" w:rsidR="00916E77" w:rsidRPr="0063743B" w:rsidRDefault="00916E77" w:rsidP="00916E77">
      <w:pPr>
        <w:spacing w:after="0" w:line="276" w:lineRule="auto"/>
        <w:ind w:firstLine="708"/>
        <w:jc w:val="both"/>
        <w:rPr>
          <w:rFonts w:ascii="Verdana" w:eastAsia="Calibri" w:hAnsi="Verdana" w:cs="Arial"/>
          <w:color w:val="000000" w:themeColor="text1"/>
        </w:rPr>
      </w:pPr>
    </w:p>
    <w:p w14:paraId="55CD10B1" w14:textId="77777777" w:rsidR="00916E77" w:rsidRPr="0063743B" w:rsidRDefault="00916E77" w:rsidP="00916E77">
      <w:pPr>
        <w:spacing w:line="240" w:lineRule="auto"/>
        <w:ind w:left="709" w:right="709"/>
        <w:jc w:val="both"/>
        <w:rPr>
          <w:rFonts w:ascii="Verdana" w:eastAsia="Calibri" w:hAnsi="Verdana" w:cs="Arial"/>
          <w:color w:val="000000" w:themeColor="text1"/>
          <w:sz w:val="21"/>
          <w:szCs w:val="21"/>
        </w:rPr>
      </w:pPr>
      <w:r w:rsidRPr="0063743B">
        <w:rPr>
          <w:rFonts w:ascii="Verdana" w:eastAsia="Calibri" w:hAnsi="Verdana"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37064439" w14:textId="77777777" w:rsidR="00916E77" w:rsidRPr="0063743B" w:rsidRDefault="00916E77" w:rsidP="00916E77">
      <w:pPr>
        <w:spacing w:after="0" w:line="240" w:lineRule="auto"/>
        <w:ind w:left="709" w:right="709"/>
        <w:jc w:val="both"/>
        <w:rPr>
          <w:rFonts w:ascii="Verdana" w:eastAsia="Calibri" w:hAnsi="Verdana" w:cs="Arial"/>
          <w:color w:val="000000" w:themeColor="text1"/>
          <w:sz w:val="21"/>
          <w:szCs w:val="21"/>
        </w:rPr>
      </w:pPr>
      <w:r w:rsidRPr="0063743B">
        <w:rPr>
          <w:rFonts w:ascii="Verdana" w:eastAsia="Calibri" w:hAnsi="Verdana"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63743B">
        <w:rPr>
          <w:rFonts w:ascii="Verdana" w:eastAsia="Calibri" w:hAnsi="Verdana"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06740418" w14:textId="77777777" w:rsidR="00916E77" w:rsidRPr="0063743B" w:rsidRDefault="00916E77" w:rsidP="00916E77">
      <w:pPr>
        <w:spacing w:after="0" w:line="276" w:lineRule="auto"/>
        <w:ind w:firstLine="709"/>
        <w:jc w:val="both"/>
        <w:rPr>
          <w:rFonts w:ascii="Verdana" w:eastAsia="Calibri" w:hAnsi="Verdana" w:cs="Arial"/>
          <w:color w:val="000000" w:themeColor="text1"/>
        </w:rPr>
      </w:pPr>
    </w:p>
    <w:p w14:paraId="2BCDC7D7" w14:textId="77777777" w:rsidR="00916E77" w:rsidRDefault="00916E77" w:rsidP="00916E77">
      <w:pPr>
        <w:spacing w:after="0" w:line="276" w:lineRule="auto"/>
        <w:ind w:firstLine="709"/>
        <w:jc w:val="both"/>
        <w:rPr>
          <w:rFonts w:ascii="Verdana" w:eastAsia="Calibri" w:hAnsi="Verdana" w:cs="Arial"/>
          <w:color w:val="000000" w:themeColor="text1"/>
        </w:rPr>
      </w:pPr>
      <w:r w:rsidRPr="0063743B">
        <w:rPr>
          <w:rFonts w:ascii="Verdana" w:eastAsia="Calibri" w:hAnsi="Verdana" w:cs="Arial"/>
          <w:color w:val="000000" w:themeColor="text1"/>
        </w:rPr>
        <w:lastRenderedPageBreak/>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107842A6" w14:textId="77777777" w:rsidR="00916E77" w:rsidRDefault="00916E77" w:rsidP="00916E77">
      <w:pPr>
        <w:spacing w:after="0" w:line="276" w:lineRule="auto"/>
        <w:jc w:val="both"/>
        <w:rPr>
          <w:rFonts w:ascii="Verdana" w:eastAsia="Calibri" w:hAnsi="Verdana" w:cs="Arial"/>
          <w:color w:val="000000" w:themeColor="text1"/>
        </w:rPr>
      </w:pPr>
    </w:p>
    <w:p w14:paraId="70A18EFA" w14:textId="77777777" w:rsidR="00916E77" w:rsidRPr="001F4636" w:rsidRDefault="00916E77" w:rsidP="00916E77">
      <w:pPr>
        <w:spacing w:line="276" w:lineRule="auto"/>
        <w:jc w:val="both"/>
        <w:rPr>
          <w:rFonts w:ascii="Verdana" w:eastAsia="Calibri" w:hAnsi="Verdana" w:cs="Arial"/>
          <w:color w:val="000000" w:themeColor="text1"/>
        </w:rPr>
      </w:pPr>
      <w:proofErr w:type="spellStart"/>
      <w:r w:rsidRPr="001F4636">
        <w:rPr>
          <w:rFonts w:ascii="Verdana" w:eastAsia="Calibri" w:hAnsi="Verdana" w:cs="Arial"/>
          <w:color w:val="000000" w:themeColor="text1"/>
        </w:rPr>
        <w:t>ii</w:t>
      </w:r>
      <w:proofErr w:type="spellEnd"/>
      <w:r w:rsidRPr="001F4636">
        <w:rPr>
          <w:rFonts w:ascii="Verdana" w:eastAsia="Calibri" w:hAnsi="Verdana" w:cs="Arial"/>
          <w:color w:val="000000" w:themeColor="text1"/>
        </w:rPr>
        <w:t>. 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1F4636">
        <w:rPr>
          <w:rStyle w:val="Refdenotaalpie"/>
          <w:rFonts w:ascii="Verdana" w:eastAsia="Calibri" w:hAnsi="Verdana" w:cs="Arial"/>
          <w:color w:val="000000" w:themeColor="text1"/>
        </w:rPr>
        <w:footnoteReference w:id="8"/>
      </w:r>
      <w:r w:rsidRPr="001F4636">
        <w:rPr>
          <w:rFonts w:ascii="Verdana" w:eastAsia="Calibri" w:hAnsi="Verdana" w:cs="Arial"/>
          <w:color w:val="000000" w:themeColor="text1"/>
        </w:rPr>
        <w:t>. Cabe precisar que las decisiones adoptadas en el auto indicado fueron mantenidas en su mayoría en el Auto del 15 de marzo de 2022 de la Sala Plena del Consejo de Estado</w:t>
      </w:r>
      <w:r w:rsidRPr="001F4636">
        <w:rPr>
          <w:rFonts w:ascii="Verdana" w:eastAsia="Calibri" w:hAnsi="Verdana" w:cs="Arial"/>
          <w:color w:val="000000" w:themeColor="text1"/>
          <w:vertAlign w:val="superscript"/>
        </w:rPr>
        <w:footnoteReference w:id="9"/>
      </w:r>
      <w:r w:rsidRPr="001F4636">
        <w:rPr>
          <w:rFonts w:ascii="Verdana" w:eastAsia="Calibri" w:hAnsi="Verdana" w:cs="Arial"/>
          <w:color w:val="000000" w:themeColor="text1"/>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14:paraId="00F70143" w14:textId="77777777" w:rsidR="00916E77" w:rsidRPr="001F4636" w:rsidRDefault="00916E77" w:rsidP="00916E77">
      <w:pPr>
        <w:spacing w:before="120" w:after="0" w:line="276" w:lineRule="auto"/>
        <w:ind w:firstLine="708"/>
        <w:jc w:val="both"/>
        <w:rPr>
          <w:rFonts w:ascii="Verdana" w:eastAsia="Calibri" w:hAnsi="Verdana" w:cs="Arial"/>
          <w:color w:val="000000" w:themeColor="text1"/>
        </w:rPr>
      </w:pPr>
      <w:r w:rsidRPr="001F4636">
        <w:rPr>
          <w:rFonts w:ascii="Verdana" w:eastAsia="Calibri" w:hAnsi="Verdana" w:cs="Arial"/>
          <w:color w:val="000000" w:themeColor="text1"/>
        </w:rPr>
        <w:t xml:space="preserve">La </w:t>
      </w:r>
      <w:r w:rsidRPr="001F4636">
        <w:rPr>
          <w:rFonts w:ascii="Verdana" w:eastAsia="Calibri" w:hAnsi="Verdana" w:cs="Arial"/>
          <w:i/>
          <w:iCs/>
          <w:color w:val="000000" w:themeColor="text1"/>
        </w:rPr>
        <w:t>primera</w:t>
      </w:r>
      <w:r w:rsidRPr="001F4636">
        <w:rPr>
          <w:rFonts w:ascii="Verdana" w:eastAsia="Calibri" w:hAnsi="Verdana" w:cs="Arial"/>
          <w:color w:val="000000" w:themeColor="text1"/>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w:t>
      </w:r>
      <w:r w:rsidRPr="001F4636">
        <w:rPr>
          <w:rFonts w:ascii="Verdana" w:eastAsia="Calibri" w:hAnsi="Verdana" w:cs="Arial"/>
          <w:color w:val="000000" w:themeColor="text1"/>
        </w:rPr>
        <w:lastRenderedPageBreak/>
        <w:t>expida la Agencia Nacional de Contratación Pública</w:t>
      </w:r>
      <w:r w:rsidRPr="001F4636">
        <w:rPr>
          <w:rStyle w:val="Refdenotaalpie"/>
          <w:rFonts w:ascii="Verdana" w:eastAsia="Calibri" w:hAnsi="Verdana" w:cs="Arial"/>
          <w:color w:val="000000" w:themeColor="text1"/>
        </w:rPr>
        <w:footnoteReference w:id="10"/>
      </w:r>
      <w:r w:rsidRPr="001F4636">
        <w:rPr>
          <w:rFonts w:ascii="Verdana" w:eastAsia="Calibri" w:hAnsi="Verdana" w:cs="Arial"/>
          <w:color w:val="000000" w:themeColor="text1"/>
        </w:rPr>
        <w:t>. Señaló que esta disposición, así como el inciso segundo del artículo 3 del Decreto 092 de 2017</w:t>
      </w:r>
      <w:r w:rsidRPr="001F4636">
        <w:rPr>
          <w:rStyle w:val="Refdenotaalpie"/>
          <w:rFonts w:ascii="Verdana" w:eastAsia="Calibri" w:hAnsi="Verdana" w:cs="Arial"/>
          <w:color w:val="000000" w:themeColor="text1"/>
        </w:rPr>
        <w:footnoteReference w:id="11"/>
      </w:r>
      <w:r w:rsidRPr="001F4636">
        <w:rPr>
          <w:rFonts w:ascii="Verdana" w:eastAsia="Calibri" w:hAnsi="Verdana" w:cs="Arial"/>
          <w:color w:val="000000" w:themeColor="text1"/>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14:paraId="1EF82528" w14:textId="77777777" w:rsidR="00916E77" w:rsidRPr="001F4636" w:rsidRDefault="00916E77" w:rsidP="00916E77">
      <w:pPr>
        <w:spacing w:after="0" w:line="276" w:lineRule="auto"/>
        <w:jc w:val="both"/>
        <w:rPr>
          <w:rFonts w:ascii="Verdana" w:eastAsia="Calibri" w:hAnsi="Verdana" w:cs="Arial"/>
          <w:color w:val="000000" w:themeColor="text1"/>
        </w:rPr>
      </w:pPr>
    </w:p>
    <w:p w14:paraId="30B643C1" w14:textId="77777777" w:rsidR="00916E77" w:rsidRPr="001F4636" w:rsidRDefault="00916E77" w:rsidP="00916E77">
      <w:pPr>
        <w:tabs>
          <w:tab w:val="left" w:pos="8789"/>
        </w:tabs>
        <w:spacing w:after="0" w:line="240" w:lineRule="auto"/>
        <w:ind w:left="708"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5B520862" w14:textId="77777777" w:rsidR="00916E77" w:rsidRPr="001F4636" w:rsidRDefault="00916E77" w:rsidP="00916E77">
      <w:pPr>
        <w:tabs>
          <w:tab w:val="left" w:pos="8789"/>
        </w:tabs>
        <w:spacing w:after="0" w:line="276" w:lineRule="auto"/>
        <w:ind w:left="708" w:right="709"/>
        <w:jc w:val="both"/>
        <w:rPr>
          <w:rFonts w:ascii="Verdana" w:eastAsia="Calibri" w:hAnsi="Verdana" w:cs="Arial"/>
          <w:color w:val="000000" w:themeColor="text1"/>
        </w:rPr>
      </w:pPr>
    </w:p>
    <w:p w14:paraId="751881CF" w14:textId="77777777" w:rsidR="00916E77" w:rsidRPr="001F4636" w:rsidRDefault="00916E77" w:rsidP="00916E77">
      <w:pPr>
        <w:spacing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“Guía para la contratación con entidades privadas sin ánimo de lucro y de reconocida idoneidad”, expedida por la Agencia Nacional de Contratación Pública–Colombia Compra Eficiente. Sin embargo, mediante el auto del 15 de marzo de 2022 de la Sala Plena del Consejo de Estado, al que se hizo referencia en inicio de este acápite, se ordenó levantar la </w:t>
      </w:r>
      <w:r w:rsidRPr="001F4636">
        <w:rPr>
          <w:rFonts w:ascii="Verdana" w:eastAsia="Calibri" w:hAnsi="Verdana" w:cs="Arial"/>
          <w:color w:val="000000" w:themeColor="text1"/>
        </w:rPr>
        <w:lastRenderedPageBreak/>
        <w:t>suspensión provisional del inciso segundo del artículo 1 y del inciso segundo del artículo 3, al considerar la Alta Corporación que:</w:t>
      </w:r>
    </w:p>
    <w:p w14:paraId="4838E181" w14:textId="77777777" w:rsidR="00916E77" w:rsidRPr="001F4636" w:rsidRDefault="00916E77" w:rsidP="00916E77">
      <w:pPr>
        <w:spacing w:after="0" w:line="276" w:lineRule="auto"/>
        <w:ind w:firstLine="709"/>
        <w:jc w:val="both"/>
        <w:rPr>
          <w:rFonts w:ascii="Verdana" w:eastAsia="Calibri" w:hAnsi="Verdana" w:cs="Arial"/>
          <w:color w:val="000000" w:themeColor="text1"/>
        </w:rPr>
      </w:pPr>
    </w:p>
    <w:p w14:paraId="492FDCB7" w14:textId="77777777" w:rsidR="00916E77" w:rsidRPr="001F4636" w:rsidRDefault="00916E77" w:rsidP="00916E77">
      <w:pPr>
        <w:spacing w:after="0" w:line="240" w:lineRule="auto"/>
        <w:ind w:left="708"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p>
    <w:p w14:paraId="4C3343ED" w14:textId="77777777" w:rsidR="00916E77" w:rsidRPr="001F4636" w:rsidRDefault="00916E77" w:rsidP="00916E77">
      <w:pPr>
        <w:spacing w:after="0" w:line="276" w:lineRule="auto"/>
        <w:ind w:left="708" w:right="709"/>
        <w:jc w:val="both"/>
        <w:rPr>
          <w:rFonts w:ascii="Verdana" w:eastAsia="Calibri" w:hAnsi="Verdana" w:cs="Arial"/>
          <w:color w:val="000000" w:themeColor="text1"/>
        </w:rPr>
      </w:pPr>
    </w:p>
    <w:p w14:paraId="65C1C711" w14:textId="77777777" w:rsidR="00916E77" w:rsidRPr="001F4636" w:rsidRDefault="00916E77" w:rsidP="00916E77">
      <w:pPr>
        <w:spacing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14:paraId="55FECD90" w14:textId="77777777" w:rsidR="00916E77" w:rsidRPr="001F4636" w:rsidRDefault="00916E77" w:rsidP="00916E77">
      <w:pPr>
        <w:spacing w:after="0" w:line="276" w:lineRule="auto"/>
        <w:ind w:firstLine="709"/>
        <w:jc w:val="both"/>
        <w:rPr>
          <w:rFonts w:ascii="Verdana" w:eastAsia="Calibri" w:hAnsi="Verdana" w:cs="Arial"/>
          <w:color w:val="000000" w:themeColor="text1"/>
        </w:rPr>
      </w:pPr>
    </w:p>
    <w:p w14:paraId="2B20E6DA" w14:textId="77777777" w:rsidR="00916E77" w:rsidRPr="001F4636" w:rsidRDefault="00916E77" w:rsidP="00916E77">
      <w:pPr>
        <w:spacing w:after="0" w:line="240" w:lineRule="auto"/>
        <w:ind w:left="708"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14:paraId="2845155C" w14:textId="77777777" w:rsidR="00916E77" w:rsidRPr="001F4636" w:rsidRDefault="00916E77" w:rsidP="00916E77">
      <w:pPr>
        <w:spacing w:after="0" w:line="276" w:lineRule="auto"/>
        <w:ind w:firstLine="709"/>
        <w:jc w:val="both"/>
        <w:rPr>
          <w:rFonts w:ascii="Verdana" w:eastAsia="Calibri" w:hAnsi="Verdana" w:cs="Arial"/>
          <w:color w:val="000000" w:themeColor="text1"/>
        </w:rPr>
      </w:pPr>
    </w:p>
    <w:p w14:paraId="7D512DEE" w14:textId="77777777" w:rsidR="00916E77" w:rsidRPr="001F4636" w:rsidRDefault="00916E77" w:rsidP="00916E77">
      <w:pPr>
        <w:spacing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Además, en relación con el inciso segundo del artículo 3, que establece que la entidad estatal debe definir en los documentos del proceso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w:t>
      </w:r>
      <w:r w:rsidRPr="001F4636">
        <w:rPr>
          <w:rFonts w:ascii="Verdana" w:eastAsia="Calibri" w:hAnsi="Verdana" w:cs="Arial"/>
          <w:color w:val="000000" w:themeColor="text1"/>
        </w:rPr>
        <w:lastRenderedPageBreak/>
        <w:t>juicio, no resulta evidente que se haya delegado indebidamente el ejercicio de la potestad reglamentaria</w:t>
      </w:r>
      <w:r w:rsidRPr="001F4636">
        <w:rPr>
          <w:rStyle w:val="Refdenotaalpie"/>
          <w:rFonts w:ascii="Verdana" w:eastAsia="Calibri" w:hAnsi="Verdana" w:cs="Arial"/>
          <w:color w:val="000000" w:themeColor="text1"/>
        </w:rPr>
        <w:footnoteReference w:id="12"/>
      </w:r>
      <w:r w:rsidRPr="001F4636">
        <w:rPr>
          <w:rFonts w:ascii="Verdana" w:eastAsia="Calibri" w:hAnsi="Verdana" w:cs="Arial"/>
          <w:color w:val="000000" w:themeColor="text1"/>
        </w:rPr>
        <w:t>.</w:t>
      </w:r>
    </w:p>
    <w:p w14:paraId="2E5BF68D" w14:textId="77777777" w:rsidR="00916E77" w:rsidRPr="001F4636" w:rsidRDefault="00916E77" w:rsidP="00916E77">
      <w:pPr>
        <w:spacing w:before="12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14:paraId="190E5910" w14:textId="77777777" w:rsidR="00916E77" w:rsidRPr="001F4636" w:rsidRDefault="00916E77" w:rsidP="00916E77">
      <w:pPr>
        <w:spacing w:before="120"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La </w:t>
      </w:r>
      <w:r w:rsidRPr="001F4636">
        <w:rPr>
          <w:rFonts w:ascii="Verdana" w:eastAsia="Calibri" w:hAnsi="Verdana" w:cs="Arial"/>
          <w:i/>
          <w:iCs/>
          <w:color w:val="000000" w:themeColor="text1"/>
        </w:rPr>
        <w:t>segunda</w:t>
      </w:r>
      <w:r w:rsidRPr="001F4636">
        <w:rPr>
          <w:rFonts w:ascii="Verdana" w:eastAsia="Calibri" w:hAnsi="Verdana" w:cs="Arial"/>
          <w:color w:val="000000" w:themeColor="text1"/>
        </w:rPr>
        <w:t xml:space="preserve"> norma que analizó el Consejo de Estado en el auto del 6 de agosto de 2019,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1F4636">
        <w:rPr>
          <w:rStyle w:val="Refdenotaalpie"/>
          <w:rFonts w:ascii="Verdana" w:hAnsi="Verdana" w:cs="Arial"/>
          <w:color w:val="000000" w:themeColor="text1"/>
        </w:rPr>
        <w:footnoteReference w:id="13"/>
      </w:r>
      <w:r w:rsidRPr="001F4636">
        <w:rPr>
          <w:rFonts w:ascii="Verdana" w:eastAsia="Calibri" w:hAnsi="Verdana" w:cs="Arial"/>
          <w:color w:val="000000" w:themeColor="text1"/>
        </w:rPr>
        <w:t xml:space="preserve">. </w:t>
      </w:r>
      <w:bookmarkStart w:id="7" w:name="_Hlk95756502"/>
      <w:r w:rsidRPr="001F4636">
        <w:rPr>
          <w:rFonts w:ascii="Verdana" w:eastAsia="Calibri" w:hAnsi="Verdana" w:cs="Arial"/>
          <w:color w:val="000000" w:themeColor="text1"/>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w:t>
      </w:r>
      <w:r w:rsidRPr="001F4636">
        <w:rPr>
          <w:rFonts w:ascii="Verdana" w:eastAsia="Calibri" w:hAnsi="Verdana" w:cs="Arial"/>
          <w:color w:val="000000" w:themeColor="text1"/>
        </w:rPr>
        <w:lastRenderedPageBreak/>
        <w:t xml:space="preserve">armonía con este. </w:t>
      </w:r>
      <w:bookmarkEnd w:id="7"/>
      <w:r w:rsidRPr="001F4636">
        <w:rPr>
          <w:rFonts w:ascii="Verdana" w:eastAsia="Calibri" w:hAnsi="Verdana" w:cs="Arial"/>
          <w:color w:val="000000" w:themeColor="text1"/>
        </w:rPr>
        <w:t xml:space="preserve">En relación con lo anterior, el auto del Consejo de Estado explica que: </w:t>
      </w:r>
    </w:p>
    <w:p w14:paraId="567B8C7C" w14:textId="77777777" w:rsidR="00916E77" w:rsidRPr="001F4636" w:rsidRDefault="00916E77" w:rsidP="00916E77">
      <w:pPr>
        <w:spacing w:after="0" w:line="276" w:lineRule="auto"/>
        <w:jc w:val="both"/>
        <w:rPr>
          <w:rFonts w:ascii="Verdana" w:eastAsia="Calibri" w:hAnsi="Verdana" w:cs="Arial"/>
          <w:color w:val="000000" w:themeColor="text1"/>
        </w:rPr>
      </w:pPr>
    </w:p>
    <w:p w14:paraId="5CC94A6F" w14:textId="77777777" w:rsidR="00916E77" w:rsidRPr="001F4636" w:rsidRDefault="00916E77" w:rsidP="00916E77">
      <w:pPr>
        <w:spacing w:after="0" w:line="240" w:lineRule="auto"/>
        <w:ind w:left="708"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313978EA" w14:textId="77777777" w:rsidR="00916E77" w:rsidRPr="001F4636" w:rsidRDefault="00916E77" w:rsidP="00916E77">
      <w:pPr>
        <w:spacing w:after="0" w:line="276" w:lineRule="auto"/>
        <w:jc w:val="both"/>
        <w:rPr>
          <w:rFonts w:ascii="Verdana" w:eastAsia="Calibri" w:hAnsi="Verdana" w:cs="Arial"/>
          <w:color w:val="000000" w:themeColor="text1"/>
        </w:rPr>
      </w:pPr>
    </w:p>
    <w:p w14:paraId="04E074C4" w14:textId="77777777" w:rsidR="00916E77" w:rsidRPr="001F4636" w:rsidRDefault="00916E77" w:rsidP="00916E77">
      <w:pPr>
        <w:spacing w:after="0" w:line="276" w:lineRule="auto"/>
        <w:ind w:firstLine="708"/>
        <w:jc w:val="both"/>
        <w:rPr>
          <w:rFonts w:ascii="Verdana" w:eastAsia="Calibri" w:hAnsi="Verdana" w:cs="Arial"/>
          <w:color w:val="000000" w:themeColor="text1"/>
        </w:rPr>
      </w:pPr>
      <w:r w:rsidRPr="001F4636">
        <w:rPr>
          <w:rFonts w:ascii="Verdana" w:eastAsia="Calibri" w:hAnsi="Verdana" w:cs="Arial"/>
          <w:color w:val="000000" w:themeColor="text1"/>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31EC28D1" w14:textId="77777777" w:rsidR="00916E77" w:rsidRPr="001F4636" w:rsidRDefault="00916E77" w:rsidP="00916E77">
      <w:pPr>
        <w:spacing w:after="0" w:line="276" w:lineRule="auto"/>
        <w:jc w:val="both"/>
        <w:rPr>
          <w:rFonts w:ascii="Verdana" w:eastAsia="Calibri" w:hAnsi="Verdana" w:cs="Arial"/>
          <w:color w:val="000000" w:themeColor="text1"/>
        </w:rPr>
      </w:pPr>
    </w:p>
    <w:p w14:paraId="4BE6BACF" w14:textId="77777777" w:rsidR="00916E77" w:rsidRPr="001F4636" w:rsidRDefault="00916E77" w:rsidP="00916E77">
      <w:pPr>
        <w:tabs>
          <w:tab w:val="left" w:pos="8080"/>
        </w:tabs>
        <w:spacing w:after="0" w:line="240" w:lineRule="auto"/>
        <w:ind w:left="708"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6D996BB7" w14:textId="77777777" w:rsidR="00916E77" w:rsidRPr="001F4636" w:rsidRDefault="00916E77" w:rsidP="00916E77">
      <w:pPr>
        <w:spacing w:after="0" w:line="276" w:lineRule="auto"/>
        <w:jc w:val="both"/>
        <w:rPr>
          <w:rFonts w:ascii="Verdana" w:eastAsia="Calibri" w:hAnsi="Verdana" w:cs="Arial"/>
          <w:color w:val="000000" w:themeColor="text1"/>
        </w:rPr>
      </w:pPr>
      <w:r w:rsidRPr="001F4636">
        <w:rPr>
          <w:rFonts w:ascii="Verdana" w:eastAsia="Calibri" w:hAnsi="Verdana" w:cs="Arial"/>
          <w:color w:val="000000" w:themeColor="text1"/>
        </w:rPr>
        <w:t xml:space="preserve"> </w:t>
      </w:r>
    </w:p>
    <w:p w14:paraId="31C6477D" w14:textId="77777777" w:rsidR="00916E77" w:rsidRPr="001F4636" w:rsidRDefault="00916E77" w:rsidP="00916E77">
      <w:pPr>
        <w:spacing w:line="276" w:lineRule="auto"/>
        <w:ind w:firstLine="709"/>
        <w:jc w:val="both"/>
        <w:rPr>
          <w:rFonts w:ascii="Verdana" w:eastAsia="Calibri" w:hAnsi="Verdana" w:cs="Arial"/>
          <w:color w:val="000000" w:themeColor="text1"/>
        </w:rPr>
      </w:pPr>
      <w:bookmarkStart w:id="8" w:name="_Hlk95756534"/>
      <w:r w:rsidRPr="001F4636">
        <w:rPr>
          <w:rFonts w:ascii="Verdana" w:eastAsia="Calibri" w:hAnsi="Verdana" w:cs="Arial"/>
          <w:color w:val="000000" w:themeColor="text1"/>
        </w:rPr>
        <w:t xml:space="preserve">Así las cosas, el Consejo de Estado suspendió provisionalmente el literal a), por lo cual el objeto de los contratos debe ser acorde con los planes nacionales o seccionales de desarrollo; y no necesariamente estar previstos </w:t>
      </w:r>
      <w:r w:rsidRPr="001F4636">
        <w:rPr>
          <w:rFonts w:ascii="Verdana" w:eastAsia="Calibri" w:hAnsi="Verdana" w:cs="Arial"/>
          <w:color w:val="000000" w:themeColor="text1"/>
        </w:rPr>
        <w:lastRenderedPageBreak/>
        <w:t>directamente en ellos. Por lo demás, no solo se pueden celebrar contratos para los objetos específicos señalados en el Decreto 092 de 2017.</w:t>
      </w:r>
    </w:p>
    <w:bookmarkEnd w:id="8"/>
    <w:p w14:paraId="1EB15191" w14:textId="77777777" w:rsidR="00916E77" w:rsidRPr="001F4636" w:rsidRDefault="00916E77" w:rsidP="00916E77">
      <w:pPr>
        <w:spacing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El Consejo de Estado, en el auto del 6 de agosto de 2019, en </w:t>
      </w:r>
      <w:r w:rsidRPr="001F4636">
        <w:rPr>
          <w:rFonts w:ascii="Verdana" w:eastAsia="Calibri" w:hAnsi="Verdana" w:cs="Arial"/>
          <w:i/>
          <w:iCs/>
          <w:color w:val="000000" w:themeColor="text1"/>
        </w:rPr>
        <w:t>tercer</w:t>
      </w:r>
      <w:r w:rsidRPr="001F4636">
        <w:rPr>
          <w:rFonts w:ascii="Verdana" w:eastAsia="Calibri" w:hAnsi="Verdana" w:cs="Arial"/>
          <w:color w:val="000000" w:themeColor="text1"/>
        </w:rPr>
        <w:t xml:space="preserve"> lugar, examinó el literal c) y el inciso 5 del artículo 2 del Decreto</w:t>
      </w:r>
      <w:r w:rsidRPr="001F4636">
        <w:rPr>
          <w:rStyle w:val="Refdenotaalpie"/>
          <w:rFonts w:ascii="Verdana" w:eastAsia="Calibri" w:hAnsi="Verdana" w:cs="Arial"/>
          <w:color w:val="000000" w:themeColor="text1"/>
        </w:rPr>
        <w:footnoteReference w:id="14"/>
      </w:r>
      <w:r w:rsidRPr="001F4636">
        <w:rPr>
          <w:rFonts w:ascii="Verdana" w:eastAsia="Calibri" w:hAnsi="Verdana" w:cs="Arial"/>
          <w:color w:val="000000" w:themeColor="text1"/>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1392E246" w14:textId="77777777" w:rsidR="00916E77" w:rsidRPr="001F4636" w:rsidRDefault="00916E77" w:rsidP="00916E77">
      <w:pPr>
        <w:spacing w:after="0" w:line="276" w:lineRule="auto"/>
        <w:jc w:val="both"/>
        <w:rPr>
          <w:rFonts w:ascii="Verdana" w:eastAsia="Calibri" w:hAnsi="Verdana" w:cs="Arial"/>
          <w:color w:val="000000" w:themeColor="text1"/>
        </w:rPr>
      </w:pPr>
    </w:p>
    <w:p w14:paraId="04FF4C8F" w14:textId="77777777" w:rsidR="00916E77" w:rsidRPr="001F4636" w:rsidRDefault="00916E77" w:rsidP="00916E77">
      <w:pPr>
        <w:spacing w:after="0" w:line="240" w:lineRule="auto"/>
        <w:ind w:left="708"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1F4636">
        <w:rPr>
          <w:rFonts w:ascii="Verdana" w:eastAsia="Calibri" w:hAnsi="Verdana" w:cs="Arial"/>
          <w:color w:val="000000" w:themeColor="text1"/>
          <w:sz w:val="21"/>
          <w:szCs w:val="21"/>
        </w:rPr>
        <w:t>ii</w:t>
      </w:r>
      <w:proofErr w:type="spellEnd"/>
      <w:r w:rsidRPr="001F4636">
        <w:rPr>
          <w:rFonts w:ascii="Verdana" w:eastAsia="Calibri" w:hAnsi="Verdana" w:cs="Arial"/>
          <w:color w:val="000000" w:themeColor="text1"/>
          <w:sz w:val="21"/>
          <w:szCs w:val="21"/>
        </w:rPr>
        <w:t>) desarrollan programas y actividades de interés público con reconocida idoneidad. No son, entonces, entidades creadas para competir en el mercado”.</w:t>
      </w:r>
    </w:p>
    <w:p w14:paraId="5128B51B" w14:textId="77777777" w:rsidR="00916E77" w:rsidRPr="001F4636" w:rsidRDefault="00916E77" w:rsidP="00916E77">
      <w:pPr>
        <w:spacing w:after="0" w:line="276" w:lineRule="auto"/>
        <w:jc w:val="both"/>
        <w:rPr>
          <w:rFonts w:ascii="Verdana" w:eastAsia="Calibri" w:hAnsi="Verdana" w:cs="Arial"/>
          <w:color w:val="000000" w:themeColor="text1"/>
        </w:rPr>
      </w:pPr>
    </w:p>
    <w:p w14:paraId="21B8BEA0" w14:textId="77777777" w:rsidR="00916E77" w:rsidRPr="001F4636" w:rsidRDefault="00916E77" w:rsidP="00916E77">
      <w:pPr>
        <w:spacing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4775D698" w14:textId="77777777" w:rsidR="00916E77" w:rsidRPr="001F4636" w:rsidRDefault="00916E77" w:rsidP="00916E77">
      <w:pPr>
        <w:spacing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lastRenderedPageBreak/>
        <w:t xml:space="preserve">La </w:t>
      </w:r>
      <w:r w:rsidRPr="001F4636">
        <w:rPr>
          <w:rFonts w:ascii="Verdana" w:eastAsia="Calibri" w:hAnsi="Verdana" w:cs="Arial"/>
          <w:i/>
          <w:iCs/>
          <w:color w:val="000000" w:themeColor="text1"/>
        </w:rPr>
        <w:t>cuarta</w:t>
      </w:r>
      <w:r w:rsidRPr="001F4636">
        <w:rPr>
          <w:rFonts w:ascii="Verdana" w:eastAsia="Calibri" w:hAnsi="Verdana" w:cs="Arial"/>
          <w:color w:val="000000" w:themeColor="text1"/>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1F4636">
        <w:rPr>
          <w:rStyle w:val="Refdenotaalpie"/>
          <w:rFonts w:ascii="Verdana" w:eastAsia="Calibri" w:hAnsi="Verdana" w:cs="Arial"/>
          <w:color w:val="000000" w:themeColor="text1"/>
        </w:rPr>
        <w:footnoteReference w:id="15"/>
      </w:r>
      <w:r w:rsidRPr="001F4636">
        <w:rPr>
          <w:rFonts w:ascii="Verdana" w:eastAsia="Calibri" w:hAnsi="Verdana" w:cs="Arial"/>
          <w:color w:val="000000" w:themeColor="text1"/>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0EB6503A" w14:textId="77777777" w:rsidR="00916E77" w:rsidRPr="001F4636" w:rsidRDefault="00916E77" w:rsidP="00916E77">
      <w:pPr>
        <w:spacing w:after="0" w:line="276" w:lineRule="auto"/>
        <w:jc w:val="both"/>
        <w:rPr>
          <w:rFonts w:ascii="Verdana" w:eastAsia="Calibri" w:hAnsi="Verdana" w:cs="Arial"/>
          <w:color w:val="000000" w:themeColor="text1"/>
        </w:rPr>
      </w:pPr>
    </w:p>
    <w:p w14:paraId="03306DBB" w14:textId="77777777" w:rsidR="00916E77" w:rsidRPr="001F4636" w:rsidRDefault="00916E77" w:rsidP="00916E77">
      <w:pPr>
        <w:spacing w:after="0" w:line="240" w:lineRule="auto"/>
        <w:ind w:left="708"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73EE5C4C" w14:textId="77777777" w:rsidR="00916E77" w:rsidRPr="001F4636" w:rsidRDefault="00916E77" w:rsidP="00916E77">
      <w:pPr>
        <w:spacing w:after="0" w:line="276" w:lineRule="auto"/>
        <w:ind w:firstLine="709"/>
        <w:jc w:val="both"/>
        <w:rPr>
          <w:rFonts w:ascii="Verdana" w:eastAsia="Calibri" w:hAnsi="Verdana" w:cs="Arial"/>
          <w:color w:val="000000" w:themeColor="text1"/>
        </w:rPr>
      </w:pPr>
      <w:bookmarkStart w:id="9" w:name="_Hlk95756891"/>
    </w:p>
    <w:p w14:paraId="1A57C6C0" w14:textId="77777777" w:rsidR="00916E77" w:rsidRPr="001F4636" w:rsidRDefault="00916E77" w:rsidP="00916E77">
      <w:pPr>
        <w:spacing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9"/>
      <w:r w:rsidRPr="001F4636">
        <w:rPr>
          <w:rFonts w:ascii="Verdana" w:eastAsia="Calibri" w:hAnsi="Verdana" w:cs="Arial"/>
          <w:color w:val="000000" w:themeColor="text1"/>
        </w:rPr>
        <w:t xml:space="preserve">En estos procesos, entonces, se debe acudir a los criterios aplicables a los otros negocios jurídicos que regula el Decreto 092 de 2017, particularmente las exigencias del artículo 2 </w:t>
      </w:r>
      <w:r w:rsidRPr="001F4636">
        <w:rPr>
          <w:rFonts w:ascii="Verdana" w:eastAsia="Calibri" w:hAnsi="Verdana" w:cs="Arial"/>
          <w:i/>
          <w:iCs/>
          <w:color w:val="000000" w:themeColor="text1"/>
        </w:rPr>
        <w:t>ibidem</w:t>
      </w:r>
      <w:r w:rsidRPr="001F4636">
        <w:rPr>
          <w:rFonts w:ascii="Verdana" w:eastAsia="Calibri" w:hAnsi="Verdana" w:cs="Arial"/>
          <w:color w:val="000000" w:themeColor="text1"/>
        </w:rPr>
        <w:t xml:space="preserve">. Incluso, habría que tener en cuenta las exigencias del inciso 2 del artículo 4 </w:t>
      </w:r>
      <w:proofErr w:type="spellStart"/>
      <w:r w:rsidRPr="001F4636">
        <w:rPr>
          <w:rFonts w:ascii="Verdana" w:eastAsia="Calibri" w:hAnsi="Verdana" w:cs="Arial"/>
          <w:i/>
          <w:iCs/>
          <w:color w:val="000000" w:themeColor="text1"/>
        </w:rPr>
        <w:t>íbídem</w:t>
      </w:r>
      <w:proofErr w:type="spellEnd"/>
      <w:r w:rsidRPr="001F4636">
        <w:rPr>
          <w:rFonts w:ascii="Verdana" w:eastAsia="Calibri" w:hAnsi="Verdana" w:cs="Arial"/>
          <w:color w:val="000000" w:themeColor="text1"/>
        </w:rPr>
        <w:t xml:space="preserve">, siempre que se configuren los supuestos de aplicación de </w:t>
      </w:r>
      <w:r w:rsidRPr="001F4636">
        <w:rPr>
          <w:rFonts w:ascii="Verdana" w:eastAsia="Calibri" w:hAnsi="Verdana" w:cs="Arial"/>
          <w:color w:val="000000" w:themeColor="text1"/>
        </w:rPr>
        <w:lastRenderedPageBreak/>
        <w:t>dicha normativa, esto es, siempre que exista más de una entidad sin ánimo de lucro de reconocida idoneidad.</w:t>
      </w:r>
    </w:p>
    <w:p w14:paraId="347076D0" w14:textId="77777777" w:rsidR="00916E77" w:rsidRPr="001F4636" w:rsidRDefault="00916E77" w:rsidP="00916E77">
      <w:pPr>
        <w:spacing w:before="120" w:line="276" w:lineRule="auto"/>
        <w:ind w:firstLine="709"/>
        <w:jc w:val="both"/>
        <w:rPr>
          <w:rFonts w:ascii="Verdana" w:eastAsia="Calibri" w:hAnsi="Verdana" w:cs="Arial"/>
          <w:color w:val="000000" w:themeColor="text1"/>
        </w:rPr>
      </w:pPr>
      <w:bookmarkStart w:id="10" w:name="_Hlk95757095"/>
      <w:r w:rsidRPr="001F4636">
        <w:rPr>
          <w:rFonts w:ascii="Verdana" w:eastAsia="Calibri" w:hAnsi="Verdana" w:cs="Arial"/>
          <w:color w:val="000000" w:themeColor="text1"/>
        </w:rPr>
        <w:t xml:space="preserve">Por último, en </w:t>
      </w:r>
      <w:r w:rsidRPr="001F4636">
        <w:rPr>
          <w:rFonts w:ascii="Verdana" w:eastAsia="Calibri" w:hAnsi="Verdana" w:cs="Arial"/>
          <w:i/>
          <w:iCs/>
          <w:color w:val="000000" w:themeColor="text1"/>
        </w:rPr>
        <w:t xml:space="preserve">quinto </w:t>
      </w:r>
      <w:r w:rsidRPr="001F4636">
        <w:rPr>
          <w:rFonts w:ascii="Verdana" w:eastAsia="Calibri" w:hAnsi="Verdana" w:cs="Arial"/>
          <w:color w:val="000000" w:themeColor="text1"/>
        </w:rPr>
        <w:t xml:space="preserve">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598AD2D7" w14:textId="77777777" w:rsidR="00916E77" w:rsidRPr="001F4636" w:rsidRDefault="00916E77" w:rsidP="00916E77">
      <w:pPr>
        <w:spacing w:before="120"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La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de interés público susceptibles de este mecanismo</w:t>
      </w:r>
      <w:r w:rsidRPr="001F4636">
        <w:rPr>
          <w:rStyle w:val="Refdenotaalpie"/>
          <w:rFonts w:ascii="Verdana" w:eastAsia="Calibri" w:hAnsi="Verdana" w:cs="Arial"/>
          <w:color w:val="000000" w:themeColor="text1"/>
        </w:rPr>
        <w:footnoteReference w:id="16"/>
      </w:r>
      <w:r w:rsidRPr="001F4636">
        <w:rPr>
          <w:rFonts w:ascii="Verdana" w:eastAsia="Calibri" w:hAnsi="Verdana" w:cs="Arial"/>
          <w:color w:val="000000" w:themeColor="text1"/>
        </w:rPr>
        <w:t xml:space="preserve">. Por lo demás, respecto al inciso final del artículo 4 </w:t>
      </w:r>
      <w:r w:rsidRPr="001F4636">
        <w:rPr>
          <w:rFonts w:ascii="Verdana" w:eastAsia="Calibri" w:hAnsi="Verdana" w:cs="Arial"/>
          <w:i/>
          <w:iCs/>
          <w:color w:val="000000" w:themeColor="text1"/>
        </w:rPr>
        <w:t>ibidem</w:t>
      </w:r>
      <w:r w:rsidRPr="001F4636">
        <w:rPr>
          <w:rFonts w:ascii="Verdana" w:eastAsia="Calibri" w:hAnsi="Verdana" w:cs="Arial"/>
          <w:color w:val="000000" w:themeColor="text1"/>
        </w:rPr>
        <w:t>, el Consejo de Estado mantiene la medida cautelar al configurarse el cargo de violación del principio de igualdad. Para estos efectos, considera que:</w:t>
      </w:r>
    </w:p>
    <w:p w14:paraId="3DC774AC" w14:textId="77777777" w:rsidR="00916E77" w:rsidRPr="001F4636" w:rsidRDefault="00916E77" w:rsidP="00916E77">
      <w:pPr>
        <w:spacing w:after="0" w:line="276" w:lineRule="auto"/>
        <w:ind w:firstLine="709"/>
        <w:jc w:val="both"/>
        <w:rPr>
          <w:rFonts w:ascii="Verdana" w:eastAsia="Calibri" w:hAnsi="Verdana" w:cs="Arial"/>
          <w:color w:val="000000" w:themeColor="text1"/>
        </w:rPr>
      </w:pPr>
    </w:p>
    <w:p w14:paraId="27D3B9E9" w14:textId="77777777" w:rsidR="00916E77" w:rsidRPr="001F4636" w:rsidRDefault="00916E77" w:rsidP="00916E77">
      <w:pPr>
        <w:spacing w:after="120" w:line="240" w:lineRule="auto"/>
        <w:ind w:left="709"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14:paraId="008FE7CE" w14:textId="77777777" w:rsidR="00916E77" w:rsidRPr="001F4636" w:rsidRDefault="00916E77" w:rsidP="00916E77">
      <w:pPr>
        <w:spacing w:after="0" w:line="240" w:lineRule="auto"/>
        <w:ind w:left="709" w:right="709"/>
        <w:jc w:val="both"/>
        <w:rPr>
          <w:rFonts w:ascii="Verdana" w:eastAsia="Calibri" w:hAnsi="Verdana" w:cs="Arial"/>
          <w:color w:val="000000" w:themeColor="text1"/>
          <w:sz w:val="21"/>
          <w:szCs w:val="21"/>
        </w:rPr>
      </w:pPr>
      <w:r w:rsidRPr="001F4636">
        <w:rPr>
          <w:rFonts w:ascii="Verdana" w:eastAsia="Calibri" w:hAnsi="Verdana" w:cs="Arial"/>
          <w:color w:val="000000" w:themeColor="text1"/>
          <w:sz w:val="21"/>
          <w:szCs w:val="21"/>
        </w:rPr>
        <w:t xml:space="preserve">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w:t>
      </w:r>
      <w:r w:rsidRPr="001F4636">
        <w:rPr>
          <w:rFonts w:ascii="Verdana" w:eastAsia="Calibri" w:hAnsi="Verdana" w:cs="Arial"/>
          <w:color w:val="000000" w:themeColor="text1"/>
          <w:sz w:val="21"/>
          <w:szCs w:val="21"/>
        </w:rPr>
        <w:lastRenderedPageBreak/>
        <w:t>no hace parte de las actividades enunciadas en la norma: de índole artística, cultural, deportiva o de promoción de la diversidad étnica”</w:t>
      </w:r>
      <w:r w:rsidRPr="001F4636">
        <w:rPr>
          <w:rStyle w:val="Refdenotaalpie"/>
          <w:rFonts w:ascii="Verdana" w:eastAsia="Calibri" w:hAnsi="Verdana" w:cs="Arial"/>
          <w:color w:val="000000" w:themeColor="text1"/>
          <w:sz w:val="21"/>
          <w:szCs w:val="21"/>
        </w:rPr>
        <w:footnoteReference w:id="17"/>
      </w:r>
      <w:r w:rsidRPr="001F4636">
        <w:rPr>
          <w:rFonts w:ascii="Verdana" w:eastAsia="Calibri" w:hAnsi="Verdana" w:cs="Arial"/>
          <w:color w:val="000000" w:themeColor="text1"/>
          <w:sz w:val="21"/>
          <w:szCs w:val="21"/>
        </w:rPr>
        <w:t xml:space="preserve">.  </w:t>
      </w:r>
    </w:p>
    <w:p w14:paraId="2BBC7A3E" w14:textId="77777777" w:rsidR="00916E77" w:rsidRPr="001F4636" w:rsidRDefault="00916E77" w:rsidP="00916E77">
      <w:pPr>
        <w:spacing w:after="0" w:line="276" w:lineRule="auto"/>
        <w:ind w:firstLine="709"/>
        <w:jc w:val="both"/>
        <w:rPr>
          <w:rFonts w:ascii="Verdana" w:eastAsia="Calibri" w:hAnsi="Verdana" w:cs="Arial"/>
          <w:color w:val="000000" w:themeColor="text1"/>
        </w:rPr>
      </w:pPr>
    </w:p>
    <w:p w14:paraId="78AA5D09" w14:textId="77777777" w:rsidR="00916E77" w:rsidRPr="001F4636" w:rsidRDefault="00916E77" w:rsidP="00916E77">
      <w:pPr>
        <w:spacing w:line="276" w:lineRule="auto"/>
        <w:ind w:firstLine="709"/>
        <w:jc w:val="both"/>
        <w:rPr>
          <w:rFonts w:ascii="Verdana" w:eastAsia="Calibri" w:hAnsi="Verdana" w:cs="Arial"/>
          <w:color w:val="000000" w:themeColor="text1"/>
        </w:rPr>
      </w:pPr>
      <w:bookmarkStart w:id="12" w:name="_Hlk95757157"/>
      <w:bookmarkEnd w:id="10"/>
      <w:r w:rsidRPr="001F4636">
        <w:rPr>
          <w:rFonts w:ascii="Verdana" w:hAnsi="Verdana" w:cs="Arial"/>
          <w:color w:val="000000" w:themeColor="text1"/>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1F4636">
        <w:rPr>
          <w:rFonts w:ascii="Verdana" w:hAnsi="Verdana" w:cs="Arial"/>
          <w:color w:val="000000" w:themeColor="text1"/>
        </w:rPr>
        <w:t>ii</w:t>
      </w:r>
      <w:proofErr w:type="spellEnd"/>
      <w:r w:rsidRPr="001F4636">
        <w:rPr>
          <w:rFonts w:ascii="Verdana" w:hAnsi="Verdana" w:cs="Arial"/>
          <w:color w:val="000000" w:themeColor="text1"/>
        </w:rPr>
        <w:t xml:space="preserve">) tampoco debe condicionarse a que la contratación con las ESAL garantice la optimización de los recursos públicos en términos de eficiencia, eficacia, economía y manejo del riesgo; </w:t>
      </w:r>
      <w:proofErr w:type="spellStart"/>
      <w:r w:rsidRPr="001F4636">
        <w:rPr>
          <w:rFonts w:ascii="Verdana" w:hAnsi="Verdana" w:cs="Arial"/>
          <w:color w:val="000000" w:themeColor="text1"/>
        </w:rPr>
        <w:t>iii</w:t>
      </w:r>
      <w:proofErr w:type="spellEnd"/>
      <w:r w:rsidRPr="001F4636">
        <w:rPr>
          <w:rFonts w:ascii="Verdana" w:hAnsi="Verdana" w:cs="Arial"/>
          <w:color w:val="000000" w:themeColor="text1"/>
        </w:rPr>
        <w:t xml:space="preserve">) el objeto del contrato debe estar acorde con el plan nacional o seccional de desarrollo; </w:t>
      </w:r>
      <w:proofErr w:type="spellStart"/>
      <w:r w:rsidRPr="001F4636">
        <w:rPr>
          <w:rFonts w:ascii="Verdana" w:hAnsi="Verdana" w:cs="Arial"/>
          <w:color w:val="000000" w:themeColor="text1"/>
        </w:rPr>
        <w:t>iv</w:t>
      </w:r>
      <w:proofErr w:type="spellEnd"/>
      <w:r w:rsidRPr="001F4636">
        <w:rPr>
          <w:rFonts w:ascii="Verdana" w:hAnsi="Verdana" w:cs="Arial"/>
          <w:color w:val="000000" w:themeColor="text1"/>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1F4636">
        <w:rPr>
          <w:rFonts w:ascii="Verdana" w:hAnsi="Verdana" w:cs="Arial"/>
          <w:color w:val="000000" w:themeColor="text1"/>
        </w:rPr>
        <w:t>iii</w:t>
      </w:r>
      <w:proofErr w:type="spellEnd"/>
      <w:r w:rsidRPr="001F4636">
        <w:rPr>
          <w:rFonts w:ascii="Verdana" w:hAnsi="Verdana" w:cs="Arial"/>
          <w:color w:val="000000" w:themeColor="text1"/>
        </w:rPr>
        <w:t>); y v) el contrato no debe establecer una relación conmutativa en el cual haya una contraprestación directa a favor de la entidad, ni instrucciones precisas dadas por esta al contratista para cumplir con el objeto del contrato.</w:t>
      </w:r>
    </w:p>
    <w:p w14:paraId="3AC016AC" w14:textId="77777777" w:rsidR="00916E77" w:rsidRPr="001F4636" w:rsidRDefault="00916E77" w:rsidP="00916E77">
      <w:pPr>
        <w:spacing w:before="120"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Ahora, si se pretende realizar un </w:t>
      </w:r>
      <w:r w:rsidRPr="001F4636">
        <w:rPr>
          <w:rFonts w:ascii="Verdana" w:eastAsia="Calibri" w:hAnsi="Verdana" w:cs="Arial"/>
          <w:i/>
          <w:iCs/>
          <w:color w:val="000000" w:themeColor="text1"/>
        </w:rPr>
        <w:t>convenio de asociación</w:t>
      </w:r>
      <w:r w:rsidRPr="001F4636">
        <w:rPr>
          <w:rFonts w:ascii="Verdana" w:eastAsia="Calibri" w:hAnsi="Verdana" w:cs="Arial"/>
          <w:color w:val="000000" w:themeColor="text1"/>
        </w:rPr>
        <w:t xml:space="preserve"> con ESAL de reconocida idoneidad para el cumplimiento de las funciones que la ley les asigna a las entidades públicas, deberá aplicarse lo dispuesto en el artículo 5 del Decreto 092 de 2017. De esta manera, </w:t>
      </w:r>
      <w:bookmarkEnd w:id="12"/>
      <w:r w:rsidRPr="001F4636">
        <w:rPr>
          <w:rFonts w:ascii="Verdana" w:eastAsia="Calibri" w:hAnsi="Verdana" w:cs="Arial"/>
          <w:color w:val="000000" w:themeColor="text1"/>
        </w:rPr>
        <w:t>deben estar sujetos a competencia, salvo en aquellos casos en que una entidad sin ánimo de lucro comprometa recursos en dinero por un valor igual o superior al 30% del valor total del convenio</w:t>
      </w:r>
      <w:r w:rsidRPr="001F4636">
        <w:rPr>
          <w:rStyle w:val="Refdenotaalpie"/>
          <w:rFonts w:ascii="Verdana" w:hAnsi="Verdana" w:cs="Arial"/>
          <w:color w:val="000000" w:themeColor="text1"/>
          <w:sz w:val="20"/>
          <w:szCs w:val="20"/>
        </w:rPr>
        <w:footnoteReference w:id="18"/>
      </w:r>
      <w:r w:rsidRPr="001F4636">
        <w:rPr>
          <w:rFonts w:ascii="Verdana" w:eastAsia="Calibri" w:hAnsi="Verdana" w:cs="Arial"/>
          <w:color w:val="000000" w:themeColor="text1"/>
        </w:rPr>
        <w:t xml:space="preserve">, y siempre que la entidad estatal verifique previamente que no existe ninguna otra entidad sin ánimo de lucro que ofrezca aportes iguales o superiores al 30%. </w:t>
      </w:r>
      <w:r w:rsidRPr="001F4636">
        <w:rPr>
          <w:rFonts w:ascii="Verdana" w:eastAsia="Calibri" w:hAnsi="Verdana" w:cs="Arial"/>
          <w:color w:val="000000"/>
        </w:rPr>
        <w:t xml:space="preserve">Lo anterior sin perjuicio de las restricciones previstas en el artículo 33 de la Ley de </w:t>
      </w:r>
      <w:r w:rsidRPr="001F4636">
        <w:rPr>
          <w:rFonts w:ascii="Verdana" w:eastAsia="Calibri" w:hAnsi="Verdana" w:cs="Arial"/>
          <w:color w:val="000000"/>
        </w:rPr>
        <w:lastRenderedPageBreak/>
        <w:t>Garantías durante el periodo preelectoral de las elecciones presidenciales para los procesos no competitivos</w:t>
      </w:r>
      <w:r w:rsidRPr="001F4636">
        <w:rPr>
          <w:rFonts w:ascii="Verdana" w:eastAsia="Calibri" w:hAnsi="Verdana" w:cs="Arial"/>
          <w:color w:val="000000" w:themeColor="text1"/>
        </w:rPr>
        <w:t>.</w:t>
      </w:r>
    </w:p>
    <w:p w14:paraId="76329208" w14:textId="77777777" w:rsidR="00916E77" w:rsidRPr="001F4636" w:rsidRDefault="00916E77" w:rsidP="00916E77">
      <w:pPr>
        <w:spacing w:before="120" w:after="0" w:line="276" w:lineRule="auto"/>
        <w:ind w:firstLine="709"/>
        <w:jc w:val="both"/>
        <w:rPr>
          <w:rFonts w:ascii="Verdana" w:eastAsia="Calibri" w:hAnsi="Verdana" w:cs="Arial"/>
          <w:color w:val="000000" w:themeColor="text1"/>
        </w:rPr>
      </w:pPr>
      <w:r w:rsidRPr="001F4636">
        <w:rPr>
          <w:rFonts w:ascii="Verdana" w:eastAsia="Calibri" w:hAnsi="Verdana" w:cs="Arial"/>
          <w:color w:val="000000" w:themeColor="text1"/>
        </w:rPr>
        <w:t xml:space="preserve">Independientemente de que se trate de </w:t>
      </w:r>
      <w:r w:rsidRPr="001F4636">
        <w:rPr>
          <w:rFonts w:ascii="Verdana" w:hAnsi="Verdana" w:cs="Arial"/>
          <w:color w:val="000000" w:themeColor="text1"/>
        </w:rPr>
        <w:t>contratos de interés público, en los términos del artículo 355 de la Constitución Política, o de convenios de asociación del artículo 96 de la Ley 489 de 1998, en ambos negocios jurídicos aplica el régimen de inhabilidades e incompatibilidades de las entidades sometidas al Estatuto General de Contratación Pública. Al respecto, el artículo 6 del Decreto 092 de 2017 dispone que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Este reglamento autónomo también remite a los principios de la contratación estatal y a las normas presupuestales –art. 7–, así como de las normas generales de la contratación pública excepto en lo reglamentado en dicho decreto –art. 8–.</w:t>
      </w:r>
      <w:r w:rsidRPr="001F4636">
        <w:rPr>
          <w:rFonts w:ascii="Verdana" w:eastAsia="Calibri" w:hAnsi="Verdana" w:cs="Arial"/>
          <w:color w:val="000000" w:themeColor="text1"/>
        </w:rPr>
        <w:t xml:space="preserve"> </w:t>
      </w:r>
    </w:p>
    <w:p w14:paraId="0D193D09" w14:textId="77777777" w:rsidR="00916E77" w:rsidRPr="001F4636" w:rsidRDefault="00916E77" w:rsidP="00916E77">
      <w:pPr>
        <w:spacing w:after="0" w:line="276" w:lineRule="auto"/>
        <w:ind w:firstLine="709"/>
        <w:jc w:val="both"/>
        <w:rPr>
          <w:rFonts w:ascii="Verdana" w:eastAsia="Calibri" w:hAnsi="Verdana" w:cs="Arial"/>
          <w:color w:val="000000" w:themeColor="text1"/>
        </w:rPr>
      </w:pPr>
    </w:p>
    <w:p w14:paraId="1C474CFA" w14:textId="77777777" w:rsidR="00916E77" w:rsidRPr="007A47F9" w:rsidRDefault="00916E77" w:rsidP="00916E77">
      <w:pPr>
        <w:widowControl w:val="0"/>
        <w:autoSpaceDE w:val="0"/>
        <w:autoSpaceDN w:val="0"/>
        <w:spacing w:after="0" w:line="276" w:lineRule="auto"/>
        <w:jc w:val="both"/>
        <w:rPr>
          <w:rFonts w:ascii="Verdana" w:hAnsi="Verdana" w:cs="Arial"/>
          <w:lang w:eastAsia="es-ES"/>
        </w:rPr>
      </w:pPr>
      <w:proofErr w:type="spellStart"/>
      <w:r>
        <w:rPr>
          <w:rFonts w:ascii="Verdana" w:hAnsi="Verdana" w:cs="Arial"/>
          <w:lang w:eastAsia="es-ES"/>
        </w:rPr>
        <w:t>iii</w:t>
      </w:r>
      <w:proofErr w:type="spellEnd"/>
      <w:r>
        <w:rPr>
          <w:rFonts w:ascii="Verdana" w:hAnsi="Verdana" w:cs="Arial"/>
          <w:lang w:eastAsia="es-ES"/>
        </w:rPr>
        <w:t xml:space="preserve">.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la contratación de las entidades estatales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7660C9F7" w14:textId="77777777" w:rsidR="00916E77" w:rsidRDefault="00916E77" w:rsidP="00916E77">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7A30FCF1" w14:textId="77777777" w:rsidR="00916E77" w:rsidRPr="00F23895" w:rsidRDefault="00916E77" w:rsidP="00916E77">
      <w:pPr>
        <w:spacing w:after="0" w:line="276" w:lineRule="auto"/>
        <w:ind w:firstLine="709"/>
        <w:jc w:val="both"/>
        <w:rPr>
          <w:rFonts w:ascii="Verdana" w:hAnsi="Verdana" w:cs="Arial"/>
          <w:lang w:eastAsia="es-ES"/>
        </w:rPr>
      </w:pPr>
    </w:p>
    <w:p w14:paraId="44649F43" w14:textId="77777777" w:rsidR="00916E77" w:rsidRPr="00593A5F" w:rsidRDefault="00916E77" w:rsidP="00916E7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Referencias normativas:</w:t>
      </w:r>
    </w:p>
    <w:p w14:paraId="633EB4F7" w14:textId="77777777" w:rsidR="00916E77" w:rsidRPr="00593A5F" w:rsidRDefault="00916E77" w:rsidP="00916E77">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16E77" w:rsidRPr="002407CE" w14:paraId="082D0345" w14:textId="77777777" w:rsidTr="008F5478">
        <w:trPr>
          <w:trHeight w:val="870"/>
          <w:jc w:val="center"/>
        </w:trPr>
        <w:tc>
          <w:tcPr>
            <w:tcW w:w="8647" w:type="dxa"/>
          </w:tcPr>
          <w:p w14:paraId="77B14995" w14:textId="77777777" w:rsidR="00916E77" w:rsidRPr="00B954AE" w:rsidRDefault="00916E77" w:rsidP="00916E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 355.</w:t>
            </w:r>
          </w:p>
          <w:p w14:paraId="6760E1DF" w14:textId="77777777" w:rsidR="00916E77" w:rsidRPr="00B954AE" w:rsidRDefault="00916E77" w:rsidP="00916E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489 de 1998, artículo 96.</w:t>
            </w:r>
          </w:p>
          <w:p w14:paraId="0AC614E3" w14:textId="77777777" w:rsidR="00916E77" w:rsidRPr="00B954AE" w:rsidRDefault="00916E77" w:rsidP="00916E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Decreto 092 de 2017, artículos 2, 3, 4, 5, 6, 7 y 8. </w:t>
            </w:r>
          </w:p>
          <w:p w14:paraId="6C1BF904" w14:textId="77777777" w:rsidR="00916E77" w:rsidRPr="00C02F8B" w:rsidRDefault="00916E77" w:rsidP="00916E77">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Código Civil, artículo 1495.</w:t>
            </w:r>
            <w:r w:rsidRPr="002407CE">
              <w:rPr>
                <w:rFonts w:ascii="Verdana" w:hAnsi="Verdana" w:cs="Arial"/>
              </w:rPr>
              <w:t xml:space="preserve">  </w:t>
            </w:r>
          </w:p>
        </w:tc>
      </w:tr>
    </w:tbl>
    <w:p w14:paraId="41E32870" w14:textId="77777777" w:rsidR="00916E77" w:rsidRPr="002407CE" w:rsidRDefault="00916E77" w:rsidP="00916E77">
      <w:pPr>
        <w:widowControl w:val="0"/>
        <w:autoSpaceDE w:val="0"/>
        <w:autoSpaceDN w:val="0"/>
        <w:spacing w:after="0" w:line="276" w:lineRule="auto"/>
        <w:jc w:val="both"/>
        <w:rPr>
          <w:rFonts w:ascii="Verdana" w:hAnsi="Verdana" w:cs="Arial"/>
        </w:rPr>
      </w:pPr>
    </w:p>
    <w:p w14:paraId="42931745" w14:textId="77777777" w:rsidR="00916E77" w:rsidRPr="00593A5F" w:rsidRDefault="00916E77" w:rsidP="00916E7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FF08FF4" w14:textId="77777777" w:rsidR="00916E77" w:rsidRPr="00593A5F" w:rsidRDefault="00916E77" w:rsidP="00916E77">
      <w:pPr>
        <w:widowControl w:val="0"/>
        <w:autoSpaceDE w:val="0"/>
        <w:autoSpaceDN w:val="0"/>
        <w:spacing w:after="0" w:line="276" w:lineRule="auto"/>
        <w:jc w:val="both"/>
        <w:rPr>
          <w:rFonts w:ascii="Verdana" w:hAnsi="Verdana" w:cs="Arial"/>
        </w:rPr>
      </w:pPr>
    </w:p>
    <w:p w14:paraId="6ACF4DF8" w14:textId="77777777" w:rsidR="00916E77" w:rsidRPr="00ED0098" w:rsidRDefault="00916E77" w:rsidP="00916E77">
      <w:pPr>
        <w:widowControl w:val="0"/>
        <w:autoSpaceDE w:val="0"/>
        <w:autoSpaceDN w:val="0"/>
        <w:spacing w:after="0" w:line="276" w:lineRule="auto"/>
        <w:jc w:val="both"/>
        <w:rPr>
          <w:rStyle w:val="normaltextrun"/>
          <w:rFonts w:ascii="Verdana" w:hAnsi="Verdana" w:cs="Arial"/>
          <w:shd w:val="clear" w:color="auto" w:fill="FFFFFF"/>
        </w:rPr>
      </w:pPr>
      <w:r w:rsidRPr="002965A0">
        <w:rPr>
          <w:rStyle w:val="normaltextrun"/>
          <w:rFonts w:ascii="Verdana" w:hAnsi="Verdana" w:cs="Arial"/>
          <w:shd w:val="clear" w:color="auto" w:fill="FFFFFF"/>
          <w:lang w:val="es-ES"/>
        </w:rPr>
        <w:t>Esta Subdirección se ha pronunciado sobre el régimen contractual de las ESAL con fundamento en el Decreto 092 de 2017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C-853 del 9 de diciembre de 2022, C-351 del 6 de octubre de 2023, C-054 del 24 de abril de 2024, C-064 del 24 de abril de 2024</w:t>
      </w:r>
      <w:r>
        <w:rPr>
          <w:rStyle w:val="normaltextrun"/>
          <w:rFonts w:ascii="Verdana" w:hAnsi="Verdana" w:cs="Arial"/>
          <w:shd w:val="clear" w:color="auto" w:fill="FFFFFF"/>
          <w:lang w:val="es-ES"/>
        </w:rPr>
        <w:t xml:space="preserve">, </w:t>
      </w:r>
      <w:r w:rsidRPr="002965A0">
        <w:rPr>
          <w:rStyle w:val="normaltextrun"/>
          <w:rFonts w:ascii="Verdana" w:hAnsi="Verdana" w:cs="Arial"/>
          <w:shd w:val="clear" w:color="auto" w:fill="FFFFFF"/>
          <w:lang w:val="es-ES"/>
        </w:rPr>
        <w:t>C-080 del 7 de mayo de 2024</w:t>
      </w:r>
      <w:r>
        <w:rPr>
          <w:rStyle w:val="normaltextrun"/>
          <w:rFonts w:ascii="Verdana" w:hAnsi="Verdana" w:cs="Arial"/>
          <w:shd w:val="clear" w:color="auto" w:fill="FFFFFF"/>
          <w:lang w:val="es-ES"/>
        </w:rPr>
        <w:t>, C-281 del 29 de octubre de 2024 y C-937 del 9 de diciembre de 2024</w:t>
      </w:r>
      <w:r>
        <w:rPr>
          <w:rFonts w:ascii="Verdana" w:hAnsi="Verdana"/>
        </w:rPr>
        <w:t>.</w:t>
      </w:r>
      <w:r>
        <w:rPr>
          <w:rFonts w:ascii="Verdana" w:hAnsi="Verdana" w:cs="Arial"/>
          <w:shd w:val="clear" w:color="auto" w:fill="FFFFFF"/>
        </w:rPr>
        <w:t xml:space="preserve"> </w:t>
      </w:r>
      <w:r w:rsidRPr="00DD0AFF">
        <w:rPr>
          <w:rFonts w:ascii="Verdana" w:hAnsi="Verdana" w:cs="Arial"/>
          <w:shd w:val="clear" w:color="auto" w:fill="FFFFFF"/>
        </w:rPr>
        <w:t>Estos y otros</w:t>
      </w:r>
      <w:r>
        <w:rPr>
          <w:rFonts w:ascii="Verdana" w:hAnsi="Verdana" w:cs="Arial"/>
          <w:shd w:val="clear" w:color="auto" w:fill="FFFFFF"/>
        </w:rPr>
        <w:t xml:space="preserve">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2DEF0421" w14:textId="77777777" w:rsidR="00916E77" w:rsidRDefault="00916E77" w:rsidP="00916E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57E2228" w14:textId="77777777" w:rsidR="00916E77" w:rsidRPr="00A1554D" w:rsidRDefault="00916E77" w:rsidP="00916E77">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invitamos a consultar las versiones V</w:t>
      </w:r>
      <w:r>
        <w:rPr>
          <w:rFonts w:ascii="Verdana" w:hAnsi="Verdana" w:cs="Arial"/>
          <w:color w:val="000000" w:themeColor="text1"/>
          <w:shd w:val="clear" w:color="auto" w:fill="FFFFFF"/>
        </w:rPr>
        <w:t>II</w:t>
      </w:r>
      <w:r w:rsidRPr="00096788">
        <w:rPr>
          <w:rFonts w:ascii="Verdana" w:hAnsi="Verdana" w:cs="Arial"/>
          <w:color w:val="000000" w:themeColor="text1"/>
          <w:shd w:val="clear" w:color="auto" w:fill="FFFFFF"/>
        </w:rPr>
        <w:t xml:space="preserve"> y VI</w:t>
      </w:r>
      <w:r>
        <w:rPr>
          <w:rFonts w:ascii="Verdana" w:hAnsi="Verdana" w:cs="Arial"/>
          <w:color w:val="000000" w:themeColor="text1"/>
          <w:shd w:val="clear" w:color="auto" w:fill="FFFFFF"/>
        </w:rPr>
        <w:t>II</w:t>
      </w:r>
      <w:r w:rsidRPr="00096788">
        <w:rPr>
          <w:rFonts w:ascii="Verdana" w:hAnsi="Verdana" w:cs="Arial"/>
          <w:color w:val="000000" w:themeColor="text1"/>
          <w:shd w:val="clear" w:color="auto" w:fill="FFFFFF"/>
        </w:rPr>
        <w:t xml:space="preserve"> de 2024 del Boletín de Relatoría </w:t>
      </w:r>
      <w:r w:rsidRPr="00096788">
        <w:rPr>
          <w:rFonts w:ascii="Verdana" w:hAnsi="Verdana" w:cs="Arial"/>
          <w:color w:val="000000" w:themeColor="text1"/>
          <w:shd w:val="clear" w:color="auto" w:fill="FFFFFF"/>
        </w:rPr>
        <w:lastRenderedPageBreak/>
        <w:t xml:space="preserve">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 xml:space="preserve">odalidad de selección de mínima </w:t>
      </w:r>
      <w:proofErr w:type="gramStart"/>
      <w:r w:rsidRPr="00096788">
        <w:rPr>
          <w:rFonts w:ascii="Verdana" w:hAnsi="Verdana" w:cs="Arial"/>
          <w:color w:val="000000" w:themeColor="text1"/>
          <w:shd w:val="clear" w:color="auto" w:fill="FFFFFF"/>
        </w:rPr>
        <w:t>cuantía ,</w:t>
      </w:r>
      <w:proofErr w:type="gramEnd"/>
      <w:r w:rsidRPr="00096788">
        <w:rPr>
          <w:rFonts w:ascii="Verdana" w:hAnsi="Verdana" w:cs="Arial"/>
          <w:color w:val="000000" w:themeColor="text1"/>
          <w:shd w:val="clear" w:color="auto" w:fill="FFFFFF"/>
        </w:rPr>
        <w:t xml:space="preserve"> los cuales se pueden descargar en la página web de la Agencia:</w:t>
      </w:r>
      <w:r>
        <w:rPr>
          <w:rFonts w:ascii="Verdana" w:hAnsi="Verdana" w:cs="Arial"/>
          <w:color w:val="000000" w:themeColor="text1"/>
          <w:shd w:val="clear" w:color="auto" w:fill="FFFFFF"/>
        </w:rPr>
        <w:t xml:space="preserve"> </w:t>
      </w:r>
      <w:hyperlink r:id="rId13" w:history="1">
        <w:r w:rsidRPr="003D5B71">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2F12CE7" w14:textId="77777777" w:rsidR="00916E77" w:rsidRPr="00242D53" w:rsidRDefault="00916E77" w:rsidP="00916E77">
      <w:pPr>
        <w:widowControl w:val="0"/>
        <w:autoSpaceDE w:val="0"/>
        <w:autoSpaceDN w:val="0"/>
        <w:spacing w:after="120" w:line="276" w:lineRule="auto"/>
        <w:jc w:val="both"/>
        <w:rPr>
          <w:rFonts w:ascii="Verdana" w:hAnsi="Verdana" w:cs="Arial"/>
          <w:lang w:val="es-MX"/>
        </w:rPr>
      </w:pPr>
    </w:p>
    <w:p w14:paraId="495461A0" w14:textId="77777777" w:rsidR="00916E77" w:rsidRPr="00593A5F" w:rsidRDefault="00916E77" w:rsidP="00916E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r>
        <w:rPr>
          <w:rFonts w:ascii="Verdana" w:hAnsi="Verdana" w:cs="Arial"/>
          <w:lang w:val="es-ES_tradnl"/>
        </w:rPr>
        <w:t xml:space="preserve"> </w:t>
      </w:r>
    </w:p>
    <w:p w14:paraId="45320A72" w14:textId="77777777" w:rsidR="00916E77" w:rsidRPr="001F1E9D" w:rsidRDefault="00916E77" w:rsidP="00916E77">
      <w:pPr>
        <w:widowControl w:val="0"/>
        <w:autoSpaceDE w:val="0"/>
        <w:autoSpaceDN w:val="0"/>
        <w:spacing w:after="0" w:line="276" w:lineRule="auto"/>
        <w:jc w:val="both"/>
        <w:rPr>
          <w:rFonts w:ascii="Verdana" w:hAnsi="Verdana" w:cs="Arial"/>
          <w:lang w:val="es-ES_tradnl"/>
        </w:rPr>
      </w:pPr>
    </w:p>
    <w:p w14:paraId="2BC790A8" w14:textId="77777777" w:rsidR="00916E77" w:rsidRPr="00593A5F" w:rsidRDefault="00916E77" w:rsidP="00916E77">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2053D52" w14:textId="324E1AA2" w:rsidR="00916E77" w:rsidRPr="00593A5F" w:rsidRDefault="00AD073C" w:rsidP="00916E77">
      <w:pPr>
        <w:spacing w:line="276" w:lineRule="auto"/>
        <w:jc w:val="center"/>
        <w:rPr>
          <w:rFonts w:ascii="Verdana" w:hAnsi="Verdana" w:cs="Arial"/>
          <w:color w:val="000000"/>
          <w:lang w:val="es-ES_tradnl" w:eastAsia="es-CO"/>
        </w:rPr>
      </w:pPr>
      <w:r>
        <w:rPr>
          <w:noProof/>
        </w:rPr>
        <w:drawing>
          <wp:inline distT="0" distB="0" distL="0" distR="0" wp14:anchorId="79607BAF" wp14:editId="0575E9AE">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16E77" w:rsidRPr="00593A5F" w14:paraId="6BC512ED" w14:textId="77777777" w:rsidTr="008F5478">
        <w:trPr>
          <w:trHeight w:val="315"/>
        </w:trPr>
        <w:tc>
          <w:tcPr>
            <w:tcW w:w="893" w:type="dxa"/>
            <w:vAlign w:val="center"/>
            <w:hideMark/>
          </w:tcPr>
          <w:p w14:paraId="3E0E46C9" w14:textId="77777777" w:rsidR="00916E77" w:rsidRPr="003751C7" w:rsidRDefault="00916E77" w:rsidP="008F547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4BE583F" w14:textId="77777777" w:rsidR="00916E77" w:rsidRPr="00254A7A" w:rsidRDefault="00916E77" w:rsidP="008F5478">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554C50D0" w14:textId="77777777" w:rsidR="00916E77" w:rsidRPr="00254A7A" w:rsidRDefault="00916E77" w:rsidP="008F5478">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916E77" w:rsidRPr="00593A5F" w14:paraId="03C1F682" w14:textId="77777777" w:rsidTr="008F5478">
        <w:trPr>
          <w:trHeight w:val="330"/>
        </w:trPr>
        <w:tc>
          <w:tcPr>
            <w:tcW w:w="893" w:type="dxa"/>
            <w:vAlign w:val="center"/>
            <w:hideMark/>
          </w:tcPr>
          <w:p w14:paraId="0274065D" w14:textId="77777777" w:rsidR="00916E77" w:rsidRPr="003751C7" w:rsidRDefault="00916E77" w:rsidP="008F547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824BF6E" w14:textId="77777777" w:rsidR="00916E77" w:rsidRPr="00E44E04" w:rsidRDefault="00916E77" w:rsidP="008F5478">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74D0A7CA" w14:textId="77777777" w:rsidR="00916E77" w:rsidRPr="00254A7A" w:rsidRDefault="00916E77" w:rsidP="008F5478">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916E77" w:rsidRPr="00593A5F" w14:paraId="32D88963" w14:textId="77777777" w:rsidTr="008F5478">
        <w:trPr>
          <w:trHeight w:val="300"/>
        </w:trPr>
        <w:tc>
          <w:tcPr>
            <w:tcW w:w="893" w:type="dxa"/>
            <w:vAlign w:val="center"/>
          </w:tcPr>
          <w:p w14:paraId="431A91F3" w14:textId="77777777" w:rsidR="00916E77" w:rsidRPr="003751C7" w:rsidRDefault="00916E77" w:rsidP="008F547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D5DDE02" w14:textId="77777777" w:rsidR="00916E77" w:rsidRPr="003751C7" w:rsidRDefault="00916E77" w:rsidP="008F5478">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451ADE8C" w14:textId="77777777" w:rsidR="00916E77" w:rsidRPr="003751C7" w:rsidRDefault="00916E77" w:rsidP="008F5478">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381B5D5A" w14:textId="77777777" w:rsidR="00916E77" w:rsidRPr="00593A5F" w:rsidRDefault="00916E77" w:rsidP="00916E77">
      <w:pPr>
        <w:spacing w:after="0" w:line="240" w:lineRule="auto"/>
        <w:rPr>
          <w:rFonts w:ascii="Verdana" w:eastAsia="Times New Roman" w:hAnsi="Verdana" w:cs="Arial"/>
          <w:sz w:val="24"/>
          <w:szCs w:val="24"/>
          <w:lang w:eastAsia="es-ES"/>
        </w:rPr>
      </w:pPr>
    </w:p>
    <w:p w14:paraId="3900974D" w14:textId="77777777" w:rsidR="003D5B0D" w:rsidRPr="00670222" w:rsidRDefault="003D5B0D" w:rsidP="00670222"/>
    <w:sectPr w:rsidR="003D5B0D" w:rsidRPr="00670222"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00267" w14:textId="77777777" w:rsidR="003E787E" w:rsidRDefault="003E787E" w:rsidP="004A1847">
      <w:pPr>
        <w:spacing w:after="0" w:line="240" w:lineRule="auto"/>
      </w:pPr>
      <w:r>
        <w:separator/>
      </w:r>
    </w:p>
  </w:endnote>
  <w:endnote w:type="continuationSeparator" w:id="0">
    <w:p w14:paraId="71318102" w14:textId="77777777" w:rsidR="003E787E" w:rsidRDefault="003E787E" w:rsidP="004A1847">
      <w:pPr>
        <w:spacing w:after="0" w:line="240" w:lineRule="auto"/>
      </w:pPr>
      <w:r>
        <w:continuationSeparator/>
      </w:r>
    </w:p>
  </w:endnote>
  <w:endnote w:type="continuationNotice" w:id="1">
    <w:p w14:paraId="0F800E37" w14:textId="77777777" w:rsidR="003E787E" w:rsidRDefault="003E7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0E7B" w14:textId="77777777" w:rsidR="003E787E" w:rsidRDefault="003E787E" w:rsidP="004A1847">
      <w:pPr>
        <w:spacing w:after="0" w:line="240" w:lineRule="auto"/>
      </w:pPr>
      <w:r>
        <w:separator/>
      </w:r>
    </w:p>
  </w:footnote>
  <w:footnote w:type="continuationSeparator" w:id="0">
    <w:p w14:paraId="4660A190" w14:textId="77777777" w:rsidR="003E787E" w:rsidRDefault="003E787E" w:rsidP="004A1847">
      <w:pPr>
        <w:spacing w:after="0" w:line="240" w:lineRule="auto"/>
      </w:pPr>
      <w:r>
        <w:continuationSeparator/>
      </w:r>
    </w:p>
  </w:footnote>
  <w:footnote w:type="continuationNotice" w:id="1">
    <w:p w14:paraId="485F62F7" w14:textId="77777777" w:rsidR="003E787E" w:rsidRDefault="003E787E">
      <w:pPr>
        <w:spacing w:after="0" w:line="240" w:lineRule="auto"/>
      </w:pPr>
    </w:p>
  </w:footnote>
  <w:footnote w:id="2">
    <w:p w14:paraId="47736428" w14:textId="77777777" w:rsidR="00916E77" w:rsidRPr="001F4636" w:rsidRDefault="00916E77" w:rsidP="00916E77">
      <w:pPr>
        <w:pStyle w:val="Textonotapie"/>
        <w:ind w:firstLine="708"/>
        <w:jc w:val="both"/>
        <w:rPr>
          <w:rFonts w:ascii="Verdana" w:hAnsi="Verdana" w:cs="Arial"/>
          <w:sz w:val="16"/>
          <w:szCs w:val="16"/>
        </w:rPr>
      </w:pPr>
      <w:r w:rsidRPr="001F4636">
        <w:rPr>
          <w:rStyle w:val="Refdenotaalpie"/>
          <w:rFonts w:ascii="Verdana" w:hAnsi="Verdana" w:cs="Arial"/>
          <w:sz w:val="16"/>
          <w:szCs w:val="16"/>
        </w:rPr>
        <w:footnoteRef/>
      </w:r>
      <w:r w:rsidRPr="001F4636">
        <w:rPr>
          <w:rFonts w:ascii="Verdana" w:hAnsi="Verdana" w:cs="Arial"/>
          <w:sz w:val="16"/>
          <w:szCs w:val="16"/>
        </w:rPr>
        <w:t xml:space="preserve"> Sobre esta norma, consultar los conceptos del 8 de octubre de 2019, con radicado No. 2201913000007532, y del 20 de diciembre de 2019, con radicado No. 4201913000008240.</w:t>
      </w:r>
    </w:p>
  </w:footnote>
  <w:footnote w:id="3">
    <w:p w14:paraId="30D63A62" w14:textId="77777777" w:rsidR="00916E77" w:rsidRPr="001F4636" w:rsidRDefault="00916E77" w:rsidP="00916E77">
      <w:pPr>
        <w:pStyle w:val="Textonotapie"/>
        <w:ind w:firstLine="708"/>
        <w:jc w:val="both"/>
        <w:rPr>
          <w:rFonts w:ascii="Verdana" w:hAnsi="Verdana" w:cs="Arial"/>
          <w:sz w:val="16"/>
          <w:szCs w:val="16"/>
        </w:rPr>
      </w:pPr>
      <w:r w:rsidRPr="001F4636">
        <w:rPr>
          <w:rStyle w:val="Refdenotaalpie"/>
          <w:rFonts w:ascii="Verdana" w:hAnsi="Verdana"/>
          <w:sz w:val="16"/>
          <w:szCs w:val="16"/>
        </w:rPr>
        <w:footnoteRef/>
      </w:r>
      <w:r w:rsidRPr="001F4636">
        <w:rPr>
          <w:rFonts w:ascii="Verdana" w:hAnsi="Verdana"/>
          <w:sz w:val="16"/>
          <w:szCs w:val="16"/>
        </w:rPr>
        <w:t xml:space="preserve"> </w:t>
      </w:r>
      <w:r w:rsidRPr="001F4636">
        <w:rPr>
          <w:rFonts w:ascii="Verdana" w:hAnsi="Verdana"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58AA063" w14:textId="77777777" w:rsidR="00916E77" w:rsidRPr="001F4636" w:rsidRDefault="00916E77" w:rsidP="00916E77">
      <w:pPr>
        <w:pStyle w:val="Textonotapie"/>
        <w:ind w:firstLine="708"/>
        <w:jc w:val="both"/>
        <w:rPr>
          <w:rFonts w:ascii="Verdana" w:hAnsi="Verdana" w:cs="Arial"/>
          <w:sz w:val="16"/>
          <w:szCs w:val="16"/>
        </w:rPr>
      </w:pPr>
      <w:r w:rsidRPr="001F4636">
        <w:rPr>
          <w:rFonts w:ascii="Verdana" w:hAnsi="Verdana" w:cs="Arial"/>
          <w:sz w:val="16"/>
          <w:szCs w:val="16"/>
        </w:rPr>
        <w:t xml:space="preserve">Los convenios de asociación a que se refiere el presente artículo </w:t>
      </w:r>
      <w:bookmarkStart w:id="3" w:name="_Hlk36023315"/>
      <w:r w:rsidRPr="001F4636">
        <w:rPr>
          <w:rFonts w:ascii="Verdana" w:hAnsi="Verdana" w:cs="Arial"/>
          <w:sz w:val="16"/>
          <w:szCs w:val="16"/>
        </w:rPr>
        <w:t>se celebrarán de conformidad con lo dispuesto en el artículo 355 de la Constitución Política</w:t>
      </w:r>
      <w:bookmarkEnd w:id="3"/>
      <w:r w:rsidRPr="001F4636">
        <w:rPr>
          <w:rFonts w:ascii="Verdana" w:hAnsi="Verdana" w:cs="Arial"/>
          <w:sz w:val="16"/>
          <w:szCs w:val="16"/>
        </w:rPr>
        <w:t>, en ellos se determinará con precisión su objeto, término, obligaciones de las partes, aportes, coordinación y todos aquellos aspectos que se consideren pertinentes”.</w:t>
      </w:r>
    </w:p>
  </w:footnote>
  <w:footnote w:id="4">
    <w:p w14:paraId="5237C730" w14:textId="77777777" w:rsidR="00916E77" w:rsidRPr="001F4636" w:rsidRDefault="00916E77" w:rsidP="00916E77">
      <w:pPr>
        <w:pStyle w:val="Textonotapie"/>
        <w:ind w:firstLine="708"/>
        <w:jc w:val="both"/>
        <w:rPr>
          <w:rFonts w:ascii="Verdana" w:hAnsi="Verdana" w:cs="Arial"/>
          <w:sz w:val="16"/>
          <w:szCs w:val="16"/>
        </w:rPr>
      </w:pPr>
      <w:r w:rsidRPr="001F4636">
        <w:rPr>
          <w:rStyle w:val="Refdenotaalpie"/>
          <w:rFonts w:ascii="Verdana" w:hAnsi="Verdana" w:cs="Arial"/>
          <w:sz w:val="16"/>
          <w:szCs w:val="16"/>
        </w:rPr>
        <w:footnoteRef/>
      </w:r>
      <w:r w:rsidRPr="001F4636">
        <w:rPr>
          <w:rFonts w:ascii="Verdana" w:hAnsi="Verdana" w:cs="Arial"/>
          <w:sz w:val="16"/>
          <w:szCs w:val="16"/>
        </w:rPr>
        <w:t xml:space="preserve"> </w:t>
      </w:r>
      <w:r w:rsidRPr="001F4636">
        <w:rPr>
          <w:rFonts w:ascii="Verdana" w:hAnsi="Verdana" w:cs="Arial"/>
          <w:sz w:val="16"/>
          <w:szCs w:val="16"/>
        </w:rPr>
        <w:t>Concepto del 3 de septiembre de 2019, con radicado No. 2201913000006512.</w:t>
      </w:r>
    </w:p>
  </w:footnote>
  <w:footnote w:id="5">
    <w:p w14:paraId="40E15261" w14:textId="77777777" w:rsidR="00916E77" w:rsidRPr="001F4636" w:rsidRDefault="00916E77" w:rsidP="00916E77">
      <w:pPr>
        <w:pStyle w:val="Textonotapie"/>
        <w:ind w:firstLine="708"/>
        <w:jc w:val="both"/>
        <w:rPr>
          <w:rFonts w:ascii="Verdana" w:hAnsi="Verdana" w:cs="Arial"/>
          <w:sz w:val="16"/>
          <w:szCs w:val="16"/>
        </w:rPr>
      </w:pPr>
      <w:r w:rsidRPr="001F4636">
        <w:rPr>
          <w:rStyle w:val="Refdenotaalpie"/>
          <w:rFonts w:ascii="Verdana" w:hAnsi="Verdana" w:cs="Arial"/>
          <w:sz w:val="16"/>
          <w:szCs w:val="16"/>
        </w:rPr>
        <w:footnoteRef/>
      </w:r>
      <w:r w:rsidRPr="001F4636">
        <w:rPr>
          <w:rFonts w:ascii="Verdana" w:hAnsi="Verdana" w:cs="Arial"/>
          <w:sz w:val="16"/>
          <w:szCs w:val="16"/>
        </w:rPr>
        <w:t xml:space="preserve"> </w:t>
      </w:r>
      <w:r w:rsidRPr="001F4636">
        <w:rPr>
          <w:rFonts w:ascii="Verdana" w:hAnsi="Verdana" w:cs="Arial"/>
          <w:sz w:val="16"/>
          <w:szCs w:val="16"/>
        </w:rPr>
        <w:t>Sobre la naturaleza de los convenios de asociación, se reitera lo expuesto en el concepto del 19 de noviembre de 2019, con radicado No. 2201913000008611.</w:t>
      </w:r>
    </w:p>
  </w:footnote>
  <w:footnote w:id="6">
    <w:p w14:paraId="1F223A31" w14:textId="77777777" w:rsidR="00916E77" w:rsidRPr="001F4636" w:rsidRDefault="00916E77" w:rsidP="00916E77">
      <w:pPr>
        <w:pStyle w:val="Textonotapie"/>
        <w:ind w:firstLine="708"/>
        <w:jc w:val="both"/>
        <w:rPr>
          <w:rFonts w:ascii="Verdana" w:hAnsi="Verdana" w:cs="Arial"/>
          <w:color w:val="000000" w:themeColor="text1"/>
          <w:sz w:val="16"/>
          <w:szCs w:val="16"/>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Cfr. Concepto del 21 de agosto de 2019, dictado dentro del radicado No. 2201913000006047.</w:t>
      </w:r>
    </w:p>
  </w:footnote>
  <w:footnote w:id="7">
    <w:p w14:paraId="7F1F334D" w14:textId="77777777" w:rsidR="00916E77" w:rsidRPr="001F4636" w:rsidRDefault="00916E77" w:rsidP="00916E77">
      <w:pPr>
        <w:pStyle w:val="Textonotapie"/>
        <w:ind w:firstLine="708"/>
        <w:jc w:val="both"/>
        <w:rPr>
          <w:rFonts w:ascii="Verdana" w:hAnsi="Verdana" w:cs="Arial"/>
          <w:color w:val="000000" w:themeColor="text1"/>
          <w:sz w:val="16"/>
          <w:szCs w:val="16"/>
          <w:lang w:val="es-ES"/>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Concepto del 24 de febrero de 2005, con radicado No. 1626, C.P. Dra. Gloria Duque Hernández</w:t>
      </w:r>
    </w:p>
  </w:footnote>
  <w:footnote w:id="8">
    <w:p w14:paraId="6B001871" w14:textId="77777777" w:rsidR="00916E77" w:rsidRPr="001F4636" w:rsidRDefault="00916E77" w:rsidP="00916E77">
      <w:pPr>
        <w:pStyle w:val="Textonotapie"/>
        <w:ind w:firstLine="708"/>
        <w:jc w:val="both"/>
        <w:rPr>
          <w:rFonts w:ascii="Verdana" w:hAnsi="Verdana" w:cs="Arial"/>
          <w:color w:val="000000" w:themeColor="text1"/>
          <w:sz w:val="16"/>
          <w:szCs w:val="16"/>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9">
    <w:p w14:paraId="7DB69079" w14:textId="77777777" w:rsidR="00916E77" w:rsidRPr="001F4636" w:rsidRDefault="00916E77" w:rsidP="00916E77">
      <w:pPr>
        <w:pStyle w:val="Textonotapie"/>
        <w:ind w:firstLine="708"/>
        <w:rPr>
          <w:rFonts w:ascii="Verdana" w:hAnsi="Verdana" w:cs="Arial"/>
          <w:color w:val="000000" w:themeColor="text1"/>
          <w:sz w:val="16"/>
          <w:szCs w:val="16"/>
        </w:rPr>
      </w:pPr>
      <w:r w:rsidRPr="001F4636">
        <w:rPr>
          <w:rStyle w:val="Refdenotaalpie"/>
          <w:rFonts w:ascii="Verdana" w:hAnsi="Verdana"/>
          <w:sz w:val="16"/>
          <w:szCs w:val="16"/>
        </w:rPr>
        <w:footnoteRef/>
      </w:r>
      <w:r w:rsidRPr="001F4636">
        <w:rPr>
          <w:rFonts w:ascii="Verdana" w:hAnsi="Verdana"/>
          <w:sz w:val="16"/>
          <w:szCs w:val="16"/>
        </w:rPr>
        <w:t xml:space="preserve"> </w:t>
      </w:r>
      <w:r w:rsidRPr="001F4636">
        <w:rPr>
          <w:rFonts w:ascii="Verdana" w:hAnsi="Verdana" w:cs="Arial"/>
          <w:color w:val="000000" w:themeColor="text1"/>
          <w:sz w:val="16"/>
          <w:szCs w:val="16"/>
        </w:rPr>
        <w:t>CONSEJO DE ESTADO. Sala Plena. Auto del 15 de marzo de 2022. Exp. 11001-03-26-000-2018-00113-01 (62.003). C.P. Rocío Araújo Oñate.</w:t>
      </w:r>
    </w:p>
  </w:footnote>
  <w:footnote w:id="10">
    <w:p w14:paraId="5FD161AC" w14:textId="77777777" w:rsidR="00916E77" w:rsidRPr="001F4636" w:rsidRDefault="00916E77" w:rsidP="00916E77">
      <w:pPr>
        <w:pStyle w:val="Textonotapie"/>
        <w:ind w:firstLine="708"/>
        <w:jc w:val="both"/>
        <w:rPr>
          <w:rFonts w:ascii="Verdana" w:eastAsia="Calibri" w:hAnsi="Verdana" w:cs="Arial"/>
          <w:color w:val="000000" w:themeColor="text1"/>
          <w:sz w:val="16"/>
          <w:szCs w:val="16"/>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eastAsia="Calibri" w:hAnsi="Verdana" w:cs="Arial"/>
          <w:color w:val="000000" w:themeColor="text1"/>
          <w:sz w:val="16"/>
          <w:szCs w:val="16"/>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footnote>
  <w:footnote w:id="11">
    <w:p w14:paraId="7E9CFD17" w14:textId="77777777" w:rsidR="00916E77" w:rsidRPr="001F4636" w:rsidRDefault="00916E77" w:rsidP="00916E77">
      <w:pPr>
        <w:pStyle w:val="Textonotapie"/>
        <w:ind w:firstLine="708"/>
        <w:jc w:val="both"/>
        <w:rPr>
          <w:rFonts w:ascii="Verdana" w:hAnsi="Verdana" w:cs="Arial"/>
          <w:color w:val="000000" w:themeColor="text1"/>
          <w:sz w:val="16"/>
          <w:szCs w:val="16"/>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eastAsia="Calibri" w:hAnsi="Verdana" w:cs="Arial"/>
          <w:color w:val="000000" w:themeColor="text1"/>
          <w:sz w:val="16"/>
          <w:szCs w:val="16"/>
        </w:rPr>
        <w:t>Decreto 092 de 2017, artículo 3, inciso 2: “</w:t>
      </w:r>
      <w:r w:rsidRPr="001F4636">
        <w:rPr>
          <w:rFonts w:ascii="Verdana" w:hAnsi="Verdana" w:cs="Arial"/>
          <w:color w:val="000000" w:themeColor="text1"/>
          <w:sz w:val="16"/>
          <w:szCs w:val="16"/>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2">
    <w:p w14:paraId="67A653FD" w14:textId="77777777" w:rsidR="00916E77" w:rsidRPr="001F4636" w:rsidRDefault="00916E77" w:rsidP="00916E77">
      <w:pPr>
        <w:spacing w:after="0" w:line="240" w:lineRule="auto"/>
        <w:ind w:firstLine="708"/>
        <w:jc w:val="both"/>
        <w:rPr>
          <w:rFonts w:ascii="Verdana" w:hAnsi="Verdana" w:cs="Arial"/>
          <w:color w:val="000000" w:themeColor="text1"/>
          <w:sz w:val="16"/>
          <w:szCs w:val="16"/>
        </w:rPr>
      </w:pPr>
      <w:r w:rsidRPr="001F4636">
        <w:rPr>
          <w:rFonts w:ascii="Verdana" w:hAnsi="Verdana" w:cs="Arial"/>
          <w:color w:val="000000" w:themeColor="text1"/>
          <w:sz w:val="16"/>
          <w:szCs w:val="16"/>
          <w:vertAlign w:val="superscript"/>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 xml:space="preserve">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14:paraId="72F0FBAE" w14:textId="77777777" w:rsidR="00916E77" w:rsidRPr="001F4636" w:rsidRDefault="00916E77" w:rsidP="00916E77">
      <w:pPr>
        <w:spacing w:after="0" w:line="240" w:lineRule="auto"/>
        <w:ind w:firstLine="708"/>
        <w:jc w:val="both"/>
        <w:rPr>
          <w:rFonts w:ascii="Verdana" w:hAnsi="Verdana" w:cs="Arial"/>
          <w:color w:val="000000" w:themeColor="text1"/>
          <w:sz w:val="16"/>
          <w:szCs w:val="16"/>
        </w:rPr>
      </w:pPr>
      <w:r w:rsidRPr="001F4636">
        <w:rPr>
          <w:rFonts w:ascii="Verdana" w:hAnsi="Verdana" w:cs="Arial"/>
          <w:color w:val="000000" w:themeColor="text1"/>
          <w:sz w:val="16"/>
          <w:szCs w:val="16"/>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w:t>
      </w:r>
      <w:proofErr w:type="spellStart"/>
      <w:r w:rsidRPr="001F4636">
        <w:rPr>
          <w:rFonts w:ascii="Verdana" w:hAnsi="Verdana" w:cs="Arial"/>
          <w:color w:val="000000" w:themeColor="text1"/>
          <w:sz w:val="16"/>
          <w:szCs w:val="16"/>
        </w:rPr>
        <w:t>Exp</w:t>
      </w:r>
      <w:proofErr w:type="spellEnd"/>
      <w:r w:rsidRPr="001F4636">
        <w:rPr>
          <w:rFonts w:ascii="Verdana" w:hAnsi="Verdana" w:cs="Arial"/>
          <w:color w:val="000000" w:themeColor="text1"/>
          <w:sz w:val="16"/>
          <w:szCs w:val="16"/>
        </w:rPr>
        <w:t>. 11001-03-26-000-2018-00113-01 (62.003). C.P. Rocío Araújo Oñate).</w:t>
      </w:r>
    </w:p>
  </w:footnote>
  <w:footnote w:id="13">
    <w:p w14:paraId="21F43C32" w14:textId="77777777" w:rsidR="00916E77" w:rsidRPr="001F4636" w:rsidRDefault="00916E77" w:rsidP="00916E77">
      <w:pPr>
        <w:spacing w:after="0" w:line="240" w:lineRule="auto"/>
        <w:ind w:firstLine="708"/>
        <w:jc w:val="both"/>
        <w:rPr>
          <w:rFonts w:ascii="Verdana" w:hAnsi="Verdana" w:cs="Arial"/>
          <w:color w:val="000000" w:themeColor="text1"/>
          <w:sz w:val="16"/>
          <w:szCs w:val="16"/>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4">
    <w:p w14:paraId="31B618EA" w14:textId="77777777" w:rsidR="00916E77" w:rsidRPr="001F4636" w:rsidRDefault="00916E77" w:rsidP="00916E77">
      <w:pPr>
        <w:pStyle w:val="Textonotapie"/>
        <w:ind w:firstLine="708"/>
        <w:jc w:val="both"/>
        <w:rPr>
          <w:rFonts w:ascii="Verdana" w:hAnsi="Verdana" w:cs="Arial"/>
          <w:color w:val="000000" w:themeColor="text1"/>
          <w:sz w:val="16"/>
          <w:szCs w:val="16"/>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15">
    <w:p w14:paraId="31E69F2D" w14:textId="77777777" w:rsidR="00916E77" w:rsidRPr="001F4636" w:rsidRDefault="00916E77" w:rsidP="00916E77">
      <w:pPr>
        <w:pStyle w:val="Textonotapie"/>
        <w:ind w:firstLine="708"/>
        <w:jc w:val="both"/>
        <w:rPr>
          <w:rFonts w:ascii="Verdana" w:hAnsi="Verdana" w:cs="Arial"/>
          <w:color w:val="000000" w:themeColor="text1"/>
          <w:sz w:val="16"/>
          <w:szCs w:val="16"/>
          <w:lang w:val="es-ES"/>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6">
    <w:p w14:paraId="777556D6" w14:textId="77777777" w:rsidR="00916E77" w:rsidRPr="001F4636" w:rsidRDefault="00916E77" w:rsidP="00916E77">
      <w:pPr>
        <w:pStyle w:val="Textonotapie"/>
        <w:ind w:firstLine="708"/>
        <w:jc w:val="both"/>
        <w:rPr>
          <w:rFonts w:ascii="Verdana" w:hAnsi="Verdana" w:cs="Arial"/>
          <w:sz w:val="16"/>
          <w:szCs w:val="16"/>
        </w:rPr>
      </w:pPr>
      <w:r w:rsidRPr="001F4636">
        <w:rPr>
          <w:rStyle w:val="Refdenotaalpie"/>
          <w:rFonts w:ascii="Verdana" w:hAnsi="Verdana" w:cs="Arial"/>
          <w:sz w:val="16"/>
          <w:szCs w:val="16"/>
        </w:rPr>
        <w:footnoteRef/>
      </w:r>
      <w:r w:rsidRPr="001F4636">
        <w:rPr>
          <w:rFonts w:ascii="Verdana" w:hAnsi="Verdana" w:cs="Arial"/>
          <w:sz w:val="16"/>
          <w:szCs w:val="16"/>
        </w:rPr>
        <w:t xml:space="preserve"> </w:t>
      </w:r>
      <w:r w:rsidRPr="001F4636">
        <w:rPr>
          <w:rFonts w:ascii="Verdana" w:hAnsi="Verdana" w:cs="Arial"/>
          <w:sz w:val="16"/>
          <w:szCs w:val="16"/>
        </w:rPr>
        <w:t xml:space="preserve">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id="11" w:name="_Hlk102655636"/>
      <w:r w:rsidRPr="001F4636">
        <w:rPr>
          <w:rFonts w:ascii="Verdana" w:hAnsi="Verdana" w:cs="Arial"/>
          <w:sz w:val="16"/>
          <w:szCs w:val="16"/>
        </w:rPr>
        <w:t>Auto del 15 de marzo de 2022</w:t>
      </w:r>
      <w:bookmarkEnd w:id="11"/>
      <w:r w:rsidRPr="001F4636">
        <w:rPr>
          <w:rFonts w:ascii="Verdana" w:hAnsi="Verdana" w:cs="Arial"/>
          <w:sz w:val="16"/>
          <w:szCs w:val="16"/>
        </w:rPr>
        <w:t>. Exp. 62.003. C.P. Rocío Araújo Oñate).</w:t>
      </w:r>
    </w:p>
  </w:footnote>
  <w:footnote w:id="17">
    <w:p w14:paraId="6B91599C" w14:textId="77777777" w:rsidR="00916E77" w:rsidRPr="001F4636" w:rsidRDefault="00916E77" w:rsidP="00916E77">
      <w:pPr>
        <w:pStyle w:val="Textonotapie"/>
        <w:ind w:firstLine="708"/>
        <w:rPr>
          <w:rFonts w:ascii="Verdana" w:hAnsi="Verdana" w:cs="Arial"/>
          <w:sz w:val="16"/>
          <w:szCs w:val="16"/>
        </w:rPr>
      </w:pPr>
      <w:r w:rsidRPr="001F4636">
        <w:rPr>
          <w:rStyle w:val="Refdenotaalpie"/>
          <w:rFonts w:ascii="Verdana" w:hAnsi="Verdana" w:cs="Arial"/>
          <w:sz w:val="16"/>
          <w:szCs w:val="16"/>
        </w:rPr>
        <w:footnoteRef/>
      </w:r>
      <w:r w:rsidRPr="001F4636">
        <w:rPr>
          <w:rFonts w:ascii="Verdana" w:hAnsi="Verdana" w:cs="Arial"/>
          <w:sz w:val="16"/>
          <w:szCs w:val="16"/>
        </w:rPr>
        <w:t xml:space="preserve"> </w:t>
      </w:r>
      <w:r w:rsidRPr="001F4636">
        <w:rPr>
          <w:rFonts w:ascii="Verdana" w:hAnsi="Verdana" w:cs="Arial"/>
          <w:i/>
          <w:iCs/>
          <w:sz w:val="16"/>
          <w:szCs w:val="16"/>
        </w:rPr>
        <w:t>Ibidem</w:t>
      </w:r>
      <w:r w:rsidRPr="001F4636">
        <w:rPr>
          <w:rFonts w:ascii="Verdana" w:hAnsi="Verdana" w:cs="Arial"/>
          <w:sz w:val="16"/>
          <w:szCs w:val="16"/>
        </w:rPr>
        <w:t>.</w:t>
      </w:r>
    </w:p>
  </w:footnote>
  <w:footnote w:id="18">
    <w:p w14:paraId="422797E7" w14:textId="77777777" w:rsidR="00916E77" w:rsidRPr="001F4636" w:rsidRDefault="00916E77" w:rsidP="00916E77">
      <w:pPr>
        <w:pStyle w:val="Textonotapie"/>
        <w:ind w:firstLine="708"/>
        <w:jc w:val="both"/>
        <w:rPr>
          <w:rFonts w:ascii="Verdana" w:hAnsi="Verdana" w:cs="Arial"/>
          <w:color w:val="000000" w:themeColor="text1"/>
          <w:sz w:val="16"/>
          <w:szCs w:val="16"/>
        </w:rPr>
      </w:pPr>
      <w:r w:rsidRPr="001F4636">
        <w:rPr>
          <w:rStyle w:val="Refdenotaalpie"/>
          <w:rFonts w:ascii="Verdana" w:hAnsi="Verdana" w:cs="Arial"/>
          <w:color w:val="000000" w:themeColor="text1"/>
          <w:sz w:val="16"/>
          <w:szCs w:val="16"/>
        </w:rPr>
        <w:footnoteRef/>
      </w:r>
      <w:r w:rsidRPr="001F4636">
        <w:rPr>
          <w:rFonts w:ascii="Verdana" w:hAnsi="Verdana" w:cs="Arial"/>
          <w:color w:val="000000" w:themeColor="text1"/>
          <w:sz w:val="16"/>
          <w:szCs w:val="16"/>
        </w:rPr>
        <w:t xml:space="preserve"> </w:t>
      </w:r>
      <w:r w:rsidRPr="001F4636">
        <w:rPr>
          <w:rFonts w:ascii="Verdana" w:hAnsi="Verdana" w:cs="Arial"/>
          <w:color w:val="000000" w:themeColor="text1"/>
          <w:sz w:val="16"/>
          <w:szCs w:val="16"/>
        </w:rPr>
        <w:t>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17F28"/>
    <w:rsid w:val="00322A85"/>
    <w:rsid w:val="00324168"/>
    <w:rsid w:val="00334241"/>
    <w:rsid w:val="003448F4"/>
    <w:rsid w:val="00374F5E"/>
    <w:rsid w:val="00377E3E"/>
    <w:rsid w:val="003A779E"/>
    <w:rsid w:val="003D0F4D"/>
    <w:rsid w:val="003D5B0D"/>
    <w:rsid w:val="003E0499"/>
    <w:rsid w:val="003E787E"/>
    <w:rsid w:val="003F3941"/>
    <w:rsid w:val="00406575"/>
    <w:rsid w:val="00414C74"/>
    <w:rsid w:val="0042722E"/>
    <w:rsid w:val="0044528D"/>
    <w:rsid w:val="0047156A"/>
    <w:rsid w:val="004A1847"/>
    <w:rsid w:val="004A305D"/>
    <w:rsid w:val="004C3AD6"/>
    <w:rsid w:val="004E3715"/>
    <w:rsid w:val="004F21C4"/>
    <w:rsid w:val="004F685F"/>
    <w:rsid w:val="005566E8"/>
    <w:rsid w:val="00574867"/>
    <w:rsid w:val="00591460"/>
    <w:rsid w:val="005B3816"/>
    <w:rsid w:val="005C3777"/>
    <w:rsid w:val="005C5CDC"/>
    <w:rsid w:val="005D476C"/>
    <w:rsid w:val="006219F8"/>
    <w:rsid w:val="00665D70"/>
    <w:rsid w:val="00670222"/>
    <w:rsid w:val="006900D9"/>
    <w:rsid w:val="0069779F"/>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F0EA7"/>
    <w:rsid w:val="00916E77"/>
    <w:rsid w:val="00923EEF"/>
    <w:rsid w:val="009419F9"/>
    <w:rsid w:val="0095685E"/>
    <w:rsid w:val="00961B09"/>
    <w:rsid w:val="00965334"/>
    <w:rsid w:val="0097093E"/>
    <w:rsid w:val="00986AC5"/>
    <w:rsid w:val="009A0DFA"/>
    <w:rsid w:val="009B2D26"/>
    <w:rsid w:val="009C71FA"/>
    <w:rsid w:val="009C72E7"/>
    <w:rsid w:val="009D3058"/>
    <w:rsid w:val="009F3A13"/>
    <w:rsid w:val="009F4E37"/>
    <w:rsid w:val="00A122D3"/>
    <w:rsid w:val="00A17F13"/>
    <w:rsid w:val="00A20739"/>
    <w:rsid w:val="00A33C78"/>
    <w:rsid w:val="00AB0ADB"/>
    <w:rsid w:val="00AD073C"/>
    <w:rsid w:val="00B01B1A"/>
    <w:rsid w:val="00B66319"/>
    <w:rsid w:val="00B72CD3"/>
    <w:rsid w:val="00B72FFF"/>
    <w:rsid w:val="00BC3D36"/>
    <w:rsid w:val="00BD7F72"/>
    <w:rsid w:val="00C04FB3"/>
    <w:rsid w:val="00C330EB"/>
    <w:rsid w:val="00C41061"/>
    <w:rsid w:val="00C63B68"/>
    <w:rsid w:val="00C754BE"/>
    <w:rsid w:val="00C76B1C"/>
    <w:rsid w:val="00CB6357"/>
    <w:rsid w:val="00CC1B26"/>
    <w:rsid w:val="00CC632C"/>
    <w:rsid w:val="00D423A2"/>
    <w:rsid w:val="00D520D8"/>
    <w:rsid w:val="00D63AC2"/>
    <w:rsid w:val="00D7383B"/>
    <w:rsid w:val="00DA231B"/>
    <w:rsid w:val="00DC39FC"/>
    <w:rsid w:val="00DF5254"/>
    <w:rsid w:val="00E16408"/>
    <w:rsid w:val="00E20894"/>
    <w:rsid w:val="00E245AB"/>
    <w:rsid w:val="00E2764C"/>
    <w:rsid w:val="00E27F2E"/>
    <w:rsid w:val="00E50AFE"/>
    <w:rsid w:val="00E50C4B"/>
    <w:rsid w:val="00E75C92"/>
    <w:rsid w:val="00E771DC"/>
    <w:rsid w:val="00E8772A"/>
    <w:rsid w:val="00E90F6B"/>
    <w:rsid w:val="00E92C27"/>
    <w:rsid w:val="00EA0E3D"/>
    <w:rsid w:val="00EC38A7"/>
    <w:rsid w:val="00EC58F2"/>
    <w:rsid w:val="00ED7384"/>
    <w:rsid w:val="00EE1AA8"/>
    <w:rsid w:val="00F177FA"/>
    <w:rsid w:val="00F31EDC"/>
    <w:rsid w:val="00F462B3"/>
    <w:rsid w:val="00F5664F"/>
    <w:rsid w:val="00F666C4"/>
    <w:rsid w:val="00F76AFC"/>
    <w:rsid w:val="00FA47C0"/>
    <w:rsid w:val="00FB5DD1"/>
    <w:rsid w:val="00FC2B5D"/>
    <w:rsid w:val="00FF1449"/>
    <w:rsid w:val="120B08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16E7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6E77"/>
    <w:rPr>
      <w:rFonts w:ascii="Geomanist Light" w:hAnsi="Geomanist Light"/>
      <w:lang w:val="es-ES"/>
    </w:rPr>
  </w:style>
  <w:style w:type="paragraph" w:styleId="Textoindependiente">
    <w:name w:val="Body Text"/>
    <w:basedOn w:val="Normal"/>
    <w:link w:val="TextoindependienteCar"/>
    <w:uiPriority w:val="99"/>
    <w:unhideWhenUsed/>
    <w:rsid w:val="00916E77"/>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916E77"/>
    <w:rPr>
      <w:rFonts w:eastAsiaTheme="minorEastAsia"/>
      <w:lang w:eastAsia="es-CO"/>
    </w:rPr>
  </w:style>
  <w:style w:type="paragraph" w:styleId="Sinespaciado">
    <w:name w:val="No Spacing"/>
    <w:aliases w:val="No Indent"/>
    <w:uiPriority w:val="3"/>
    <w:qFormat/>
    <w:rsid w:val="00916E77"/>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deracionfenacypa@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DF9E538-A3F0-4FAE-BDD7-B6E8723F1197}"/>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7964</Words>
  <Characters>43806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7</cp:revision>
  <cp:lastPrinted>2023-01-10T21:18:00Z</cp:lastPrinted>
  <dcterms:created xsi:type="dcterms:W3CDTF">2024-12-17T17:06:00Z</dcterms:created>
  <dcterms:modified xsi:type="dcterms:W3CDTF">2024-12-17T22:23:00Z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