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3CA0" w14:textId="77777777" w:rsidR="007643C9" w:rsidRPr="007B1EB0" w:rsidRDefault="007643C9" w:rsidP="007643C9">
      <w:pPr>
        <w:spacing w:after="0" w:line="240" w:lineRule="auto"/>
        <w:jc w:val="both"/>
        <w:rPr>
          <w:rFonts w:ascii="Verdana" w:eastAsia="Calibri" w:hAnsi="Verdana" w:cs="Arial"/>
          <w:b/>
        </w:rPr>
      </w:pPr>
      <w:r w:rsidRPr="007B1EB0">
        <w:rPr>
          <w:rFonts w:ascii="Verdana" w:eastAsia="Calibri" w:hAnsi="Verdana" w:cs="Arial"/>
          <w:b/>
        </w:rPr>
        <w:t>CONTRATOS Y CONVENIOS INTERADMINISTRATIVOS – Definición – Sujetos – Entidades Estatales – Entidades exceptuadas</w:t>
      </w:r>
    </w:p>
    <w:p w14:paraId="21FB9BEC" w14:textId="77777777" w:rsidR="007643C9" w:rsidRPr="007B1EB0" w:rsidRDefault="007643C9" w:rsidP="007643C9">
      <w:pPr>
        <w:spacing w:after="0" w:line="240" w:lineRule="auto"/>
        <w:jc w:val="both"/>
        <w:rPr>
          <w:rFonts w:ascii="Verdana" w:eastAsia="Calibri" w:hAnsi="Verdana" w:cs="Arial"/>
          <w:color w:val="000000" w:themeColor="text1"/>
          <w:sz w:val="20"/>
          <w:szCs w:val="20"/>
        </w:rPr>
      </w:pPr>
    </w:p>
    <w:p w14:paraId="4C995F63" w14:textId="77777777" w:rsidR="007643C9" w:rsidRPr="007B1EB0" w:rsidRDefault="007643C9" w:rsidP="007643C9">
      <w:pPr>
        <w:spacing w:after="0" w:line="240" w:lineRule="auto"/>
        <w:jc w:val="both"/>
        <w:rPr>
          <w:rFonts w:ascii="Verdana" w:eastAsia="Calibri" w:hAnsi="Verdana" w:cs="Arial"/>
          <w:color w:val="000000" w:themeColor="text1"/>
          <w:sz w:val="20"/>
          <w:szCs w:val="20"/>
        </w:rPr>
      </w:pPr>
      <w:r w:rsidRPr="007B1EB0">
        <w:rPr>
          <w:rFonts w:ascii="Verdana" w:eastAsia="Calibri" w:hAnsi="Verdana" w:cs="Arial"/>
          <w:color w:val="000000" w:themeColor="text1"/>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B1EB0">
        <w:rPr>
          <w:rFonts w:ascii="Verdana" w:hAnsi="Verdana" w:cs="Arial"/>
          <w:color w:val="000000" w:themeColor="text1"/>
          <w:sz w:val="20"/>
          <w:szCs w:val="20"/>
        </w:rPr>
        <w:t xml:space="preserve"> </w:t>
      </w:r>
      <w:r w:rsidRPr="007B1EB0">
        <w:rPr>
          <w:rFonts w:ascii="Verdana" w:eastAsia="Calibri" w:hAnsi="Verdana" w:cs="Arial"/>
          <w:color w:val="000000" w:themeColor="text1"/>
          <w:sz w:val="20"/>
          <w:szCs w:val="20"/>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32ED2AB6" w14:textId="77777777" w:rsidR="007643C9" w:rsidRDefault="007643C9" w:rsidP="007643C9">
      <w:pPr>
        <w:spacing w:after="0" w:line="240" w:lineRule="auto"/>
        <w:jc w:val="both"/>
        <w:rPr>
          <w:rFonts w:ascii="Verdana" w:eastAsia="Calibri" w:hAnsi="Verdana" w:cs="Arial"/>
          <w:color w:val="000000" w:themeColor="text1"/>
          <w:sz w:val="20"/>
          <w:szCs w:val="20"/>
          <w:lang w:val="es-ES_tradnl"/>
        </w:rPr>
      </w:pPr>
    </w:p>
    <w:p w14:paraId="4F8C6879" w14:textId="77777777" w:rsidR="007643C9" w:rsidRPr="007B1EB0" w:rsidRDefault="007643C9" w:rsidP="007643C9">
      <w:pPr>
        <w:spacing w:after="0" w:line="240" w:lineRule="auto"/>
        <w:jc w:val="both"/>
        <w:rPr>
          <w:rFonts w:ascii="Verdana"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w:t>
      </w:r>
    </w:p>
    <w:p w14:paraId="5890DA6C" w14:textId="77777777" w:rsidR="007643C9" w:rsidRPr="007B1EB0" w:rsidRDefault="007643C9" w:rsidP="007643C9">
      <w:pPr>
        <w:spacing w:after="0" w:line="240" w:lineRule="auto"/>
        <w:jc w:val="both"/>
        <w:rPr>
          <w:rFonts w:ascii="Verdana" w:eastAsia="Times New Roman" w:hAnsi="Verdana" w:cs="Arial"/>
          <w:sz w:val="20"/>
          <w:szCs w:val="20"/>
          <w:lang w:val="es-ES_tradnl" w:eastAsia="es-ES_tradnl"/>
        </w:rPr>
      </w:pPr>
    </w:p>
    <w:p w14:paraId="481853BA" w14:textId="77777777" w:rsidR="007643C9" w:rsidRPr="007B1EB0" w:rsidRDefault="007643C9" w:rsidP="007643C9">
      <w:pPr>
        <w:spacing w:after="0" w:line="240" w:lineRule="auto"/>
        <w:jc w:val="both"/>
        <w:rPr>
          <w:rFonts w:ascii="Verdana" w:eastAsia="Times New Roman" w:hAnsi="Verdana" w:cs="Arial"/>
          <w:b/>
          <w:bCs/>
          <w:lang w:val="es-MX" w:eastAsia="es-ES_tradnl"/>
        </w:rPr>
      </w:pPr>
      <w:r w:rsidRPr="007B1EB0">
        <w:rPr>
          <w:rFonts w:ascii="Verdana" w:eastAsia="Times New Roman" w:hAnsi="Verdana" w:cs="Arial"/>
          <w:b/>
          <w:bCs/>
          <w:lang w:val="es-MX" w:eastAsia="es-ES_tradnl"/>
        </w:rPr>
        <w:t>CONTRATO INTERADMINISTRATIVO – Modalidad de selección</w:t>
      </w:r>
    </w:p>
    <w:p w14:paraId="6850CF06" w14:textId="77777777" w:rsidR="007643C9" w:rsidRPr="007B1EB0" w:rsidRDefault="007643C9" w:rsidP="007643C9">
      <w:pPr>
        <w:spacing w:after="0" w:line="240" w:lineRule="auto"/>
        <w:jc w:val="both"/>
        <w:rPr>
          <w:rFonts w:ascii="Verdana" w:eastAsia="Times New Roman" w:hAnsi="Verdana" w:cs="Arial"/>
          <w:bCs/>
          <w:sz w:val="20"/>
          <w:szCs w:val="20"/>
          <w:lang w:val="es-MX" w:eastAsia="es-ES_tradnl"/>
        </w:rPr>
      </w:pPr>
    </w:p>
    <w:p w14:paraId="7F230BD1" w14:textId="77777777" w:rsidR="007643C9" w:rsidRPr="007B1EB0" w:rsidRDefault="007643C9" w:rsidP="007643C9">
      <w:pPr>
        <w:spacing w:after="0" w:line="240" w:lineRule="auto"/>
        <w:jc w:val="both"/>
        <w:rPr>
          <w:rFonts w:ascii="Verdana" w:eastAsia="Times New Roman" w:hAnsi="Verdana" w:cs="Arial"/>
          <w:sz w:val="20"/>
          <w:szCs w:val="20"/>
          <w:lang w:val="es-MX" w:eastAsia="es-ES_tradnl"/>
        </w:rPr>
      </w:pPr>
      <w:r w:rsidRPr="007B1EB0">
        <w:rPr>
          <w:rFonts w:ascii="Verdana" w:eastAsia="Times New Roman" w:hAnsi="Verdana" w:cs="Arial"/>
          <w:bCs/>
          <w:sz w:val="20"/>
          <w:szCs w:val="20"/>
          <w:lang w:val="es-MX" w:eastAsia="es-ES_tradnl"/>
        </w:rPr>
        <w:t xml:space="preserve">[…] </w:t>
      </w:r>
      <w:r w:rsidRPr="007B1EB0">
        <w:rPr>
          <w:rFonts w:ascii="Verdana" w:hAnsi="Verdana" w:cs="Arial"/>
          <w:sz w:val="20"/>
          <w:szCs w:val="20"/>
        </w:rPr>
        <w:t>e</w:t>
      </w:r>
      <w:r w:rsidRPr="007B1EB0">
        <w:rPr>
          <w:rFonts w:ascii="Verdana" w:eastAsia="Calibri" w:hAnsi="Verdana" w:cs="Arial"/>
          <w:color w:val="000000" w:themeColor="text1"/>
          <w:sz w:val="20"/>
          <w:szCs w:val="20"/>
        </w:rPr>
        <w:t xml:space="preserve">n relación con la modalidad de selección aplicable a la celebración de contratos interadministrativos, </w:t>
      </w:r>
      <w:r w:rsidRPr="007B1EB0">
        <w:rPr>
          <w:rFonts w:ascii="Verdana" w:hAnsi="Verdana" w:cs="Arial"/>
          <w:sz w:val="20"/>
          <w:szCs w:val="20"/>
        </w:rPr>
        <w:t xml:space="preserve">debe señalarse </w:t>
      </w:r>
      <w:r w:rsidRPr="007B1EB0">
        <w:rPr>
          <w:rFonts w:ascii="Verdana" w:eastAsia="Calibri" w:hAnsi="Verdana" w:cs="Arial"/>
          <w:color w:val="000000" w:themeColor="text1"/>
          <w:sz w:val="20"/>
          <w:szCs w:val="20"/>
        </w:rPr>
        <w:t>que la Ley 1150 de 2007 establece que las Entidades Estatales pueden suscribirlos de manera directa, siempre que las obligaciones derivadas de los mismos tengan relación con el objeto de la entidad ejecutora.</w:t>
      </w:r>
    </w:p>
    <w:p w14:paraId="7E894DAE" w14:textId="77777777" w:rsidR="007643C9" w:rsidRPr="007B1EB0" w:rsidRDefault="007643C9" w:rsidP="007643C9">
      <w:pPr>
        <w:spacing w:after="0" w:line="240" w:lineRule="auto"/>
        <w:jc w:val="both"/>
        <w:rPr>
          <w:rFonts w:ascii="Verdana" w:eastAsia="Calibri" w:hAnsi="Verdana" w:cs="Arial"/>
          <w:color w:val="000000" w:themeColor="text1"/>
          <w:sz w:val="20"/>
          <w:szCs w:val="20"/>
          <w:lang w:val="es-ES_tradnl"/>
        </w:rPr>
      </w:pPr>
    </w:p>
    <w:p w14:paraId="7475F6AE" w14:textId="77777777" w:rsidR="007643C9" w:rsidRPr="007B1EB0" w:rsidRDefault="007643C9" w:rsidP="007643C9">
      <w:pPr>
        <w:spacing w:after="0" w:line="240" w:lineRule="auto"/>
        <w:jc w:val="both"/>
        <w:rPr>
          <w:rFonts w:ascii="Verdana" w:eastAsia="Calibri"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w:t>
      </w:r>
      <w:r>
        <w:rPr>
          <w:rFonts w:ascii="Verdana" w:eastAsia="Calibri" w:hAnsi="Verdana" w:cs="Arial"/>
          <w:color w:val="000000" w:themeColor="text1"/>
          <w:sz w:val="20"/>
          <w:szCs w:val="20"/>
          <w:lang w:val="es-ES_tradnl"/>
        </w:rPr>
        <w:t xml:space="preserve"> </w:t>
      </w:r>
      <w:r w:rsidRPr="007B1EB0">
        <w:rPr>
          <w:rFonts w:ascii="Verdana" w:eastAsia="Calibri" w:hAnsi="Verdana" w:cs="Arial"/>
          <w:color w:val="000000" w:themeColor="text1"/>
          <w:sz w:val="20"/>
          <w:szCs w:val="20"/>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6C8575C2" w14:textId="77777777" w:rsidR="007643C9" w:rsidRPr="007B1EB0" w:rsidRDefault="007643C9" w:rsidP="007643C9">
      <w:pPr>
        <w:spacing w:after="0" w:line="240" w:lineRule="auto"/>
        <w:jc w:val="both"/>
        <w:rPr>
          <w:rFonts w:ascii="Verdana" w:eastAsia="Times New Roman" w:hAnsi="Verdana" w:cs="Arial"/>
          <w:sz w:val="20"/>
          <w:szCs w:val="20"/>
          <w:lang w:val="es-ES_tradnl" w:eastAsia="es-ES_tradnl"/>
        </w:rPr>
      </w:pPr>
    </w:p>
    <w:p w14:paraId="570379C1" w14:textId="77777777" w:rsidR="007643C9" w:rsidRPr="007B1EB0" w:rsidRDefault="007643C9" w:rsidP="007643C9">
      <w:pPr>
        <w:spacing w:after="0" w:line="240" w:lineRule="auto"/>
        <w:jc w:val="both"/>
        <w:rPr>
          <w:rFonts w:ascii="Verdana" w:eastAsia="Calibri" w:hAnsi="Verdana" w:cs="Arial"/>
          <w:b/>
          <w:bCs/>
          <w:lang w:val="es-ES" w:eastAsia="es-ES"/>
        </w:rPr>
      </w:pPr>
      <w:r w:rsidRPr="007B1EB0">
        <w:rPr>
          <w:rFonts w:ascii="Verdana" w:eastAsia="Times New Roman" w:hAnsi="Verdana" w:cs="Arial"/>
          <w:b/>
          <w:bCs/>
          <w:lang w:val="es-MX" w:eastAsia="es-ES_tradnl"/>
        </w:rPr>
        <w:t xml:space="preserve">CONTRATO INTERADMINISTRATIVO – Modalidad de selección – Excepciones </w:t>
      </w:r>
      <w:r w:rsidRPr="007B1EB0">
        <w:rPr>
          <w:rFonts w:ascii="Verdana" w:eastAsia="Calibri" w:hAnsi="Verdana" w:cs="Arial"/>
          <w:b/>
          <w:bCs/>
          <w:lang w:val="es-ES_tradnl"/>
        </w:rPr>
        <w:t>– Contrato de Obra</w:t>
      </w:r>
    </w:p>
    <w:p w14:paraId="3B62B8B4" w14:textId="77777777" w:rsidR="007643C9" w:rsidRPr="007B1EB0" w:rsidRDefault="007643C9" w:rsidP="007643C9">
      <w:pPr>
        <w:spacing w:after="0" w:line="240" w:lineRule="auto"/>
        <w:jc w:val="both"/>
        <w:rPr>
          <w:rFonts w:ascii="Verdana" w:eastAsia="Calibri" w:hAnsi="Verdana" w:cs="Arial"/>
          <w:sz w:val="20"/>
          <w:szCs w:val="20"/>
          <w:lang w:val="es-ES" w:eastAsia="es-ES"/>
        </w:rPr>
      </w:pPr>
    </w:p>
    <w:p w14:paraId="5554B831" w14:textId="77777777" w:rsidR="007643C9" w:rsidRPr="007B1EB0" w:rsidRDefault="007643C9" w:rsidP="007643C9">
      <w:pPr>
        <w:spacing w:after="0" w:line="240" w:lineRule="auto"/>
        <w:jc w:val="both"/>
        <w:rPr>
          <w:rFonts w:ascii="Verdana" w:eastAsia="Calibri"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 xml:space="preserv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w:t>
      </w:r>
      <w:r w:rsidRPr="007B1EB0">
        <w:rPr>
          <w:rFonts w:ascii="Verdana" w:eastAsia="Calibri" w:hAnsi="Verdana" w:cs="Arial"/>
          <w:color w:val="000000" w:themeColor="text1"/>
          <w:sz w:val="20"/>
          <w:szCs w:val="20"/>
          <w:lang w:val="es-ES_tradnl"/>
        </w:rPr>
        <w:lastRenderedPageBreak/>
        <w:t>respecto de las normas o reglamentos técnicos, encargos fiduciarios y fiducia pública”, los primeros a los cuales se refiere en su escrito.</w:t>
      </w:r>
    </w:p>
    <w:p w14:paraId="4C71D2B5" w14:textId="77777777" w:rsidR="007643C9" w:rsidRDefault="007643C9" w:rsidP="00062A95">
      <w:pPr>
        <w:spacing w:after="0" w:line="240" w:lineRule="auto"/>
        <w:rPr>
          <w:rFonts w:ascii="Verdana" w:eastAsia="Geomanist Light" w:hAnsi="Verdana" w:cs="Arial"/>
          <w:color w:val="000000" w:themeColor="text1"/>
          <w:lang w:val="es-MX"/>
        </w:rPr>
      </w:pPr>
    </w:p>
    <w:p w14:paraId="5A4A0924" w14:textId="0DC29E59" w:rsidR="00062A95" w:rsidRPr="00593A5F" w:rsidRDefault="007643C9" w:rsidP="00062A95">
      <w:pPr>
        <w:spacing w:after="0" w:line="240" w:lineRule="auto"/>
        <w:rPr>
          <w:rFonts w:ascii="Verdana" w:eastAsia="Geomanist Light" w:hAnsi="Verdana" w:cs="Arial"/>
          <w:color w:val="201F1E"/>
          <w:lang w:val="es-MX"/>
        </w:rPr>
      </w:pPr>
      <w:r>
        <w:rPr>
          <w:rFonts w:ascii="Verdana" w:eastAsia="Geomanist Light" w:hAnsi="Verdana" w:cs="Arial"/>
          <w:color w:val="000000" w:themeColor="text1"/>
          <w:lang w:val="es-MX"/>
        </w:rPr>
        <w:br w:type="column"/>
      </w:r>
      <w:r w:rsidR="00D57552" w:rsidRPr="00D57552">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69C97A30" wp14:editId="7ECEF50B">
            <wp:simplePos x="0" y="0"/>
            <wp:positionH relativeFrom="margin">
              <wp:posOffset>2849880</wp:posOffset>
            </wp:positionH>
            <wp:positionV relativeFrom="paragraph">
              <wp:posOffset>5080</wp:posOffset>
            </wp:positionV>
            <wp:extent cx="3305175" cy="942975"/>
            <wp:effectExtent l="0" t="0" r="9525" b="9525"/>
            <wp:wrapNone/>
            <wp:docPr id="20057100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1004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05175" cy="942975"/>
                    </a:xfrm>
                    <a:prstGeom prst="rect">
                      <a:avLst/>
                    </a:prstGeom>
                  </pic:spPr>
                </pic:pic>
              </a:graphicData>
            </a:graphic>
          </wp:anchor>
        </w:drawing>
      </w:r>
      <w:r w:rsidR="00062A95" w:rsidRPr="00593A5F">
        <w:rPr>
          <w:rFonts w:ascii="Verdana" w:eastAsia="Geomanist Light" w:hAnsi="Verdana" w:cs="Arial"/>
          <w:color w:val="000000" w:themeColor="text1"/>
          <w:lang w:val="es-MX"/>
        </w:rPr>
        <w:t>Bogotá D.C., </w:t>
      </w:r>
      <w:r w:rsidR="00D57552">
        <w:rPr>
          <w:rFonts w:ascii="Verdana" w:eastAsia="Geomanist Light" w:hAnsi="Verdana" w:cs="Arial"/>
          <w:color w:val="201F1E"/>
          <w:lang w:val="es-MX"/>
        </w:rPr>
        <w:t>20 de enero de 2025</w:t>
      </w:r>
      <w:r w:rsidR="00D57552" w:rsidRPr="00D57552">
        <w:rPr>
          <w:noProof/>
        </w:rPr>
        <w:t xml:space="preserve"> </w:t>
      </w:r>
    </w:p>
    <w:p w14:paraId="654D7FA5" w14:textId="2031DA33" w:rsidR="00062A95" w:rsidRPr="00593A5F" w:rsidRDefault="00062A95" w:rsidP="00062A95">
      <w:pPr>
        <w:spacing w:after="0" w:line="240" w:lineRule="auto"/>
        <w:jc w:val="both"/>
        <w:rPr>
          <w:rFonts w:ascii="Verdana" w:eastAsia="Calibri" w:hAnsi="Verdana" w:cs="Arial"/>
          <w:color w:val="000000"/>
          <w:lang w:val="es-ES"/>
        </w:rPr>
      </w:pPr>
    </w:p>
    <w:p w14:paraId="6926C76A" w14:textId="77777777" w:rsidR="00062A95" w:rsidRPr="00B96799" w:rsidRDefault="00062A95" w:rsidP="00062A95">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0FBD0B9F" w14:textId="77777777" w:rsidR="00062A95" w:rsidRPr="00B2032E" w:rsidRDefault="00062A95" w:rsidP="00062A95">
      <w:pPr>
        <w:spacing w:after="0" w:line="240" w:lineRule="auto"/>
        <w:jc w:val="both"/>
        <w:rPr>
          <w:rFonts w:ascii="Verdana" w:eastAsia="Calibri" w:hAnsi="Verdana" w:cs="Arial"/>
          <w:b/>
          <w:lang w:val="es-ES_tradnl" w:eastAsia="es-ES_tradnl"/>
        </w:rPr>
      </w:pPr>
      <w:r w:rsidRPr="00B2032E">
        <w:rPr>
          <w:rFonts w:ascii="Verdana" w:eastAsia="Calibri" w:hAnsi="Verdana" w:cs="Arial"/>
          <w:b/>
          <w:lang w:val="es-ES_tradnl" w:eastAsia="es-ES_tradnl"/>
        </w:rPr>
        <w:t>German Humberto Riaño Chacón</w:t>
      </w:r>
    </w:p>
    <w:p w14:paraId="58C2719A" w14:textId="77777777" w:rsidR="00B35F2F" w:rsidRDefault="00062A95" w:rsidP="00062A95">
      <w:pPr>
        <w:spacing w:after="0" w:line="240" w:lineRule="auto"/>
        <w:rPr>
          <w:rFonts w:ascii="Verdana" w:eastAsia="Calibri" w:hAnsi="Verdana" w:cs="Arial"/>
          <w:bCs/>
          <w:lang w:val="es-ES_tradnl" w:eastAsia="es-ES_tradnl"/>
        </w:rPr>
      </w:pPr>
      <w:r w:rsidRPr="00B2032E">
        <w:rPr>
          <w:rFonts w:ascii="Verdana" w:eastAsia="Calibri" w:hAnsi="Verdana" w:cs="Arial"/>
          <w:bCs/>
          <w:lang w:val="es-ES_tradnl" w:eastAsia="es-ES_tradnl"/>
        </w:rPr>
        <w:t xml:space="preserve">Secretario de Gobierno y Desarrollo </w:t>
      </w:r>
    </w:p>
    <w:p w14:paraId="62738BA1" w14:textId="4F17A284" w:rsidR="00062A95" w:rsidRDefault="00062A95" w:rsidP="00062A95">
      <w:pPr>
        <w:spacing w:after="0" w:line="240" w:lineRule="auto"/>
        <w:rPr>
          <w:rFonts w:ascii="Verdana" w:eastAsia="Calibri" w:hAnsi="Verdana" w:cs="Arial"/>
          <w:bCs/>
          <w:lang w:val="es-ES_tradnl" w:eastAsia="es-ES_tradnl"/>
        </w:rPr>
      </w:pPr>
      <w:r w:rsidRPr="00B2032E">
        <w:rPr>
          <w:rFonts w:ascii="Verdana" w:eastAsia="Calibri" w:hAnsi="Verdana" w:cs="Arial"/>
          <w:bCs/>
          <w:lang w:val="es-ES_tradnl" w:eastAsia="es-ES_tradnl"/>
        </w:rPr>
        <w:t>Comunitario</w:t>
      </w:r>
    </w:p>
    <w:p w14:paraId="05C09A86" w14:textId="77777777" w:rsidR="00062A95" w:rsidRPr="00B2032E" w:rsidRDefault="00062A95" w:rsidP="00062A95">
      <w:pPr>
        <w:spacing w:after="0" w:line="240" w:lineRule="auto"/>
        <w:rPr>
          <w:rFonts w:ascii="Verdana" w:eastAsia="Calibri" w:hAnsi="Verdana" w:cs="Arial"/>
          <w:bCs/>
          <w:lang w:val="es-ES_tradnl" w:eastAsia="es-ES_tradnl"/>
        </w:rPr>
      </w:pPr>
      <w:r>
        <w:rPr>
          <w:rFonts w:ascii="Verdana" w:eastAsia="Calibri" w:hAnsi="Verdana" w:cs="Arial"/>
          <w:bCs/>
          <w:lang w:val="es-ES_tradnl" w:eastAsia="es-ES_tradnl"/>
        </w:rPr>
        <w:t xml:space="preserve">Alcaldía Municipal de </w:t>
      </w:r>
      <w:r>
        <w:rPr>
          <w:rFonts w:ascii="Verdana" w:eastAsia="Calibri" w:hAnsi="Verdana" w:cs="Arial"/>
          <w:lang w:val="es-ES" w:eastAsia="es-ES"/>
        </w:rPr>
        <w:t>San Antonio del Tequendama</w:t>
      </w:r>
    </w:p>
    <w:p w14:paraId="48F4C3E5" w14:textId="77777777" w:rsidR="00062A95" w:rsidRPr="007F254C" w:rsidRDefault="00062A95" w:rsidP="00062A95">
      <w:pPr>
        <w:spacing w:after="0" w:line="240" w:lineRule="auto"/>
        <w:rPr>
          <w:rFonts w:ascii="Verdana" w:eastAsia="Calibri" w:hAnsi="Verdana" w:cs="Arial"/>
          <w:color w:val="4472C4" w:themeColor="accent1"/>
          <w:u w:val="single"/>
          <w:lang w:val="es-ES" w:eastAsia="es-ES"/>
        </w:rPr>
      </w:pPr>
      <w:hyperlink r:id="rId11" w:history="1">
        <w:r w:rsidRPr="007F254C">
          <w:rPr>
            <w:rStyle w:val="Hipervnculo"/>
            <w:rFonts w:ascii="Verdana" w:eastAsia="Calibri" w:hAnsi="Verdana" w:cs="Arial"/>
            <w:color w:val="4472C4" w:themeColor="accent1"/>
            <w:lang w:val="es-ES" w:eastAsia="es-ES"/>
          </w:rPr>
          <w:t>gobierno@sanantoniodeltequendama-cundinamarca.gov.co</w:t>
        </w:r>
      </w:hyperlink>
    </w:p>
    <w:p w14:paraId="710C1163" w14:textId="77777777" w:rsidR="00062A95" w:rsidRPr="00B96799" w:rsidRDefault="00062A95" w:rsidP="00062A95">
      <w:pPr>
        <w:spacing w:after="0" w:line="240" w:lineRule="auto"/>
        <w:rPr>
          <w:rFonts w:ascii="Verdana" w:eastAsia="Calibri" w:hAnsi="Verdana" w:cs="Arial"/>
          <w:b/>
          <w:bCs/>
          <w:lang w:val="es-ES" w:eastAsia="es-ES"/>
        </w:rPr>
      </w:pPr>
      <w:r>
        <w:rPr>
          <w:rFonts w:ascii="Verdana" w:eastAsia="Calibri" w:hAnsi="Verdana" w:cs="Arial"/>
          <w:lang w:val="es-ES" w:eastAsia="es-ES"/>
        </w:rPr>
        <w:t>San Antonio del Tequendama</w:t>
      </w:r>
      <w:r w:rsidRPr="00B96799">
        <w:rPr>
          <w:rFonts w:ascii="Verdana" w:eastAsia="Calibri" w:hAnsi="Verdana" w:cs="Arial"/>
          <w:lang w:val="es-ES" w:eastAsia="es-ES"/>
        </w:rPr>
        <w:t>, Cundinamarca</w:t>
      </w:r>
    </w:p>
    <w:p w14:paraId="77040410" w14:textId="77777777" w:rsidR="00062A95" w:rsidRPr="00593A5F" w:rsidRDefault="00062A95" w:rsidP="00062A95">
      <w:pPr>
        <w:spacing w:after="0" w:line="240" w:lineRule="auto"/>
        <w:rPr>
          <w:rFonts w:ascii="Verdana" w:eastAsia="Calibri" w:hAnsi="Verdana" w:cs="Arial"/>
          <w:b/>
          <w:bCs/>
          <w:color w:val="000000"/>
          <w:lang w:val="es-ES_tradnl" w:eastAsia="es-ES_tradnl"/>
        </w:rPr>
      </w:pPr>
    </w:p>
    <w:p w14:paraId="701CD8D0" w14:textId="77777777" w:rsidR="00062A95" w:rsidRPr="00593A5F" w:rsidRDefault="00062A95" w:rsidP="00062A9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62A95" w:rsidRPr="00593A5F" w14:paraId="2BE0E432" w14:textId="77777777" w:rsidTr="00904967">
        <w:trPr>
          <w:trHeight w:val="884"/>
        </w:trPr>
        <w:tc>
          <w:tcPr>
            <w:tcW w:w="2689" w:type="dxa"/>
          </w:tcPr>
          <w:p w14:paraId="1DB69F46" w14:textId="77777777" w:rsidR="00062A95" w:rsidRPr="00DF5660" w:rsidRDefault="00062A95" w:rsidP="00904967">
            <w:pPr>
              <w:jc w:val="both"/>
              <w:rPr>
                <w:rFonts w:ascii="Verdana" w:eastAsia="Calibri" w:hAnsi="Verdana" w:cs="Arial"/>
                <w:b/>
                <w:bCs/>
                <w:lang w:val="es-ES_tradnl" w:eastAsia="es-ES_tradnl"/>
              </w:rPr>
            </w:pPr>
          </w:p>
        </w:tc>
        <w:tc>
          <w:tcPr>
            <w:tcW w:w="6100" w:type="dxa"/>
          </w:tcPr>
          <w:p w14:paraId="0208EFB7" w14:textId="77777777" w:rsidR="00062A95" w:rsidRPr="00DF5660" w:rsidRDefault="00062A95" w:rsidP="00904967">
            <w:pPr>
              <w:jc w:val="both"/>
              <w:rPr>
                <w:rFonts w:ascii="Verdana" w:eastAsia="Calibri" w:hAnsi="Verdana" w:cs="Arial"/>
                <w:b/>
                <w:bCs/>
                <w:lang w:val="es-ES" w:eastAsia="es-ES"/>
              </w:rPr>
            </w:pPr>
            <w:r w:rsidRPr="00DF5660">
              <w:rPr>
                <w:rFonts w:ascii="Verdana" w:eastAsia="Calibri" w:hAnsi="Verdana" w:cs="Arial"/>
                <w:b/>
                <w:bCs/>
                <w:lang w:val="es-ES" w:eastAsia="es-ES"/>
              </w:rPr>
              <w:t>Concepto C-965 de 2024</w:t>
            </w:r>
          </w:p>
        </w:tc>
      </w:tr>
      <w:tr w:rsidR="00062A95" w:rsidRPr="00593A5F" w14:paraId="6A895C54" w14:textId="77777777" w:rsidTr="00904967">
        <w:trPr>
          <w:trHeight w:val="884"/>
        </w:trPr>
        <w:tc>
          <w:tcPr>
            <w:tcW w:w="2689" w:type="dxa"/>
          </w:tcPr>
          <w:p w14:paraId="6D9F2C27" w14:textId="77777777" w:rsidR="00062A95" w:rsidRPr="00593A5F" w:rsidRDefault="00062A95" w:rsidP="00904967">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E6DCAC8" w14:textId="29DBB09E" w:rsidR="00062A95" w:rsidRPr="00B96799" w:rsidRDefault="00062A95" w:rsidP="00904967">
            <w:pPr>
              <w:spacing w:line="276" w:lineRule="auto"/>
              <w:jc w:val="both"/>
              <w:rPr>
                <w:rFonts w:ascii="Verdana" w:eastAsia="Calibri" w:hAnsi="Verdana" w:cs="Arial"/>
                <w:color w:val="7030A0"/>
                <w:lang w:val="es-ES" w:eastAsia="es-ES"/>
              </w:rPr>
            </w:pPr>
            <w:r w:rsidRPr="000876F8">
              <w:rPr>
                <w:rFonts w:ascii="Verdana" w:eastAsia="Calibri" w:hAnsi="Verdana" w:cs="Arial"/>
                <w:bCs/>
              </w:rPr>
              <w:t xml:space="preserve">CONTRATOS Y CONVENIOS INTERADMINISTRATIVOS – Definición – Sujetos – Entidades Estatales – Entidades exceptuadas / </w:t>
            </w:r>
            <w:r w:rsidRPr="000876F8">
              <w:rPr>
                <w:rFonts w:ascii="Verdana" w:eastAsia="Times New Roman" w:hAnsi="Verdana" w:cs="Arial"/>
                <w:lang w:val="es-MX" w:eastAsia="es-ES_tradnl"/>
              </w:rPr>
              <w:t>CONTRATO Y CONVENIOS INTERADMINISTRATIVO</w:t>
            </w:r>
            <w:r w:rsidR="006C7D76">
              <w:rPr>
                <w:rFonts w:ascii="Verdana" w:eastAsia="Times New Roman" w:hAnsi="Verdana" w:cs="Arial"/>
                <w:lang w:val="es-MX" w:eastAsia="es-ES_tradnl"/>
              </w:rPr>
              <w:t>S</w:t>
            </w:r>
            <w:r w:rsidRPr="000876F8">
              <w:rPr>
                <w:rFonts w:ascii="Verdana" w:eastAsia="Times New Roman" w:hAnsi="Verdana" w:cs="Arial"/>
                <w:lang w:val="es-MX" w:eastAsia="es-ES_tradnl"/>
              </w:rPr>
              <w:t xml:space="preserve"> – Modalidad de selección </w:t>
            </w:r>
            <w:r w:rsidRPr="000876F8">
              <w:rPr>
                <w:rFonts w:ascii="Verdana" w:eastAsia="Times New Roman" w:hAnsi="Verdana" w:cs="Arial"/>
                <w:bCs/>
                <w:lang w:val="es-MX" w:eastAsia="es-ES_tradnl"/>
              </w:rPr>
              <w:t>/</w:t>
            </w:r>
            <w:r w:rsidRPr="000876F8">
              <w:rPr>
                <w:rFonts w:ascii="Verdana" w:eastAsia="Times New Roman" w:hAnsi="Verdana" w:cs="Arial"/>
                <w:bCs/>
                <w:lang w:eastAsia="es-ES_tradnl"/>
              </w:rPr>
              <w:t xml:space="preserve"> </w:t>
            </w:r>
            <w:r w:rsidRPr="000876F8">
              <w:rPr>
                <w:rFonts w:ascii="Verdana" w:eastAsia="Times New Roman" w:hAnsi="Verdana" w:cs="Arial"/>
                <w:lang w:val="es-MX" w:eastAsia="es-ES_tradnl"/>
              </w:rPr>
              <w:t>CONTRATO INTERADMINISTRATIVO – Modalidad de selección – Excepciones</w:t>
            </w:r>
          </w:p>
          <w:p w14:paraId="250922D0" w14:textId="77777777" w:rsidR="00062A95" w:rsidRPr="00593A5F" w:rsidRDefault="00062A95" w:rsidP="00904967">
            <w:pPr>
              <w:spacing w:line="276" w:lineRule="auto"/>
              <w:jc w:val="both"/>
              <w:rPr>
                <w:rFonts w:ascii="Verdana" w:eastAsia="Calibri" w:hAnsi="Verdana" w:cs="Arial"/>
                <w:lang w:val="es-ES" w:eastAsia="es-ES"/>
              </w:rPr>
            </w:pPr>
          </w:p>
        </w:tc>
      </w:tr>
      <w:tr w:rsidR="00062A95" w:rsidRPr="00DF5660" w14:paraId="2C10B84D" w14:textId="77777777" w:rsidTr="00904967">
        <w:tc>
          <w:tcPr>
            <w:tcW w:w="2689" w:type="dxa"/>
          </w:tcPr>
          <w:p w14:paraId="32A7E965" w14:textId="77777777" w:rsidR="00062A95" w:rsidRPr="00DF5660" w:rsidRDefault="00062A95" w:rsidP="00904967">
            <w:pPr>
              <w:jc w:val="both"/>
              <w:rPr>
                <w:rFonts w:ascii="Verdana" w:eastAsia="Calibri" w:hAnsi="Verdana" w:cs="Arial"/>
                <w:b/>
                <w:lang w:val="es-ES_tradnl" w:eastAsia="es-ES_tradnl"/>
              </w:rPr>
            </w:pPr>
            <w:r w:rsidRPr="00DF5660">
              <w:rPr>
                <w:rFonts w:ascii="Verdana" w:eastAsia="Calibri" w:hAnsi="Verdana" w:cs="Arial"/>
                <w:b/>
                <w:lang w:val="es-ES_tradnl" w:eastAsia="es-ES_tradnl"/>
              </w:rPr>
              <w:t>Radicación:</w:t>
            </w:r>
            <w:r w:rsidRPr="00DF5660">
              <w:rPr>
                <w:rFonts w:ascii="Verdana" w:eastAsia="Calibri" w:hAnsi="Verdana" w:cs="Arial"/>
                <w:lang w:val="es-ES_tradnl" w:eastAsia="es-ES_tradnl"/>
              </w:rPr>
              <w:t xml:space="preserve">               </w:t>
            </w:r>
          </w:p>
        </w:tc>
        <w:tc>
          <w:tcPr>
            <w:tcW w:w="6100" w:type="dxa"/>
          </w:tcPr>
          <w:p w14:paraId="6EB18A3A" w14:textId="77777777" w:rsidR="00062A95" w:rsidRPr="00DF5660" w:rsidRDefault="00062A95" w:rsidP="00904967">
            <w:pPr>
              <w:jc w:val="both"/>
              <w:rPr>
                <w:rFonts w:ascii="Verdana" w:eastAsia="Calibri" w:hAnsi="Verdana" w:cs="Arial"/>
                <w:lang w:val="es-ES_tradnl" w:eastAsia="es-ES_tradnl"/>
              </w:rPr>
            </w:pPr>
            <w:r w:rsidRPr="00DF5660">
              <w:rPr>
                <w:rFonts w:ascii="Verdana" w:eastAsia="Calibri" w:hAnsi="Verdana" w:cs="Arial"/>
                <w:lang w:val="es-ES_tradnl" w:eastAsia="es-ES_tradnl"/>
              </w:rPr>
              <w:t>Respuesta a consulta con radicado No. P20241205012215</w:t>
            </w:r>
          </w:p>
        </w:tc>
      </w:tr>
    </w:tbl>
    <w:p w14:paraId="187B24BD" w14:textId="77777777" w:rsidR="00062A95" w:rsidRPr="00DF5660" w:rsidRDefault="00062A95" w:rsidP="00062A95">
      <w:pPr>
        <w:spacing w:after="0" w:line="240" w:lineRule="auto"/>
        <w:jc w:val="both"/>
        <w:rPr>
          <w:rFonts w:ascii="Verdana" w:eastAsia="Calibri" w:hAnsi="Verdana" w:cs="Arial"/>
          <w:lang w:val="es-ES_tradnl" w:eastAsia="es-ES_tradnl"/>
        </w:rPr>
      </w:pPr>
    </w:p>
    <w:p w14:paraId="473D1411" w14:textId="77777777" w:rsidR="00062A95" w:rsidRPr="00DF5660" w:rsidRDefault="00062A95" w:rsidP="00062A95">
      <w:pPr>
        <w:spacing w:after="0" w:line="240" w:lineRule="auto"/>
        <w:jc w:val="both"/>
        <w:rPr>
          <w:rFonts w:ascii="Verdana" w:eastAsia="Calibri" w:hAnsi="Verdana" w:cs="Arial"/>
          <w:lang w:val="es-ES_tradnl" w:eastAsia="es-ES_tradnl"/>
        </w:rPr>
      </w:pPr>
    </w:p>
    <w:p w14:paraId="0D37ACDE" w14:textId="77777777" w:rsidR="00062A95" w:rsidRPr="00DF5660" w:rsidRDefault="00062A95" w:rsidP="00062A95">
      <w:pPr>
        <w:spacing w:after="0" w:line="276" w:lineRule="auto"/>
        <w:jc w:val="both"/>
        <w:rPr>
          <w:rFonts w:ascii="Verdana" w:eastAsia="Calibri" w:hAnsi="Verdana" w:cs="Arial"/>
          <w:lang w:val="es-ES" w:eastAsia="es-ES"/>
        </w:rPr>
      </w:pPr>
      <w:r w:rsidRPr="00DF5660">
        <w:rPr>
          <w:rFonts w:ascii="Verdana" w:eastAsia="Calibri" w:hAnsi="Verdana" w:cs="Arial"/>
          <w:lang w:val="es-ES" w:eastAsia="es-ES"/>
        </w:rPr>
        <w:t xml:space="preserve">Estimado señor Riaño: </w:t>
      </w:r>
    </w:p>
    <w:p w14:paraId="2BEF6836" w14:textId="77777777" w:rsidR="00062A95" w:rsidRPr="00DF5660" w:rsidRDefault="00062A95" w:rsidP="00062A95">
      <w:pPr>
        <w:tabs>
          <w:tab w:val="left" w:pos="3768"/>
        </w:tabs>
        <w:spacing w:after="0" w:line="276" w:lineRule="auto"/>
        <w:jc w:val="both"/>
        <w:rPr>
          <w:rFonts w:ascii="Verdana" w:eastAsia="Calibri" w:hAnsi="Verdana" w:cs="Arial"/>
          <w:lang w:val="es-ES" w:eastAsia="es-ES"/>
        </w:rPr>
      </w:pPr>
      <w:r w:rsidRPr="00DF5660">
        <w:rPr>
          <w:rFonts w:ascii="Verdana" w:eastAsia="Calibri" w:hAnsi="Verdana" w:cs="Arial"/>
          <w:lang w:val="es-ES" w:eastAsia="es-ES"/>
        </w:rPr>
        <w:tab/>
      </w:r>
    </w:p>
    <w:p w14:paraId="1A7DB5DD" w14:textId="77777777" w:rsidR="00062A95" w:rsidRPr="00DF5660" w:rsidRDefault="00062A95" w:rsidP="00062A95">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w:t>
      </w:r>
      <w:r w:rsidRPr="00DF5660">
        <w:rPr>
          <w:rFonts w:ascii="Verdana" w:eastAsia="Calibri" w:hAnsi="Verdana" w:cs="Arial"/>
          <w:lang w:val="es-ES" w:eastAsia="es-ES"/>
        </w:rPr>
        <w:t xml:space="preserve">Eficiente– responde su solicitud de consulta de fecha 5 de diciembre de 2024, remitida previamente por el Departamento Administrativo de la función Pública con oficio remisorio No. 20242040683911, en la cual manifiesta lo siguiente: </w:t>
      </w:r>
    </w:p>
    <w:p w14:paraId="63B69562" w14:textId="77777777" w:rsidR="00062A95" w:rsidRPr="00272A7B" w:rsidRDefault="00062A95" w:rsidP="00062A95">
      <w:pPr>
        <w:pStyle w:val="Prrafodelista"/>
        <w:tabs>
          <w:tab w:val="left" w:pos="142"/>
          <w:tab w:val="left" w:pos="284"/>
        </w:tabs>
        <w:spacing w:line="276" w:lineRule="auto"/>
        <w:ind w:left="0"/>
        <w:jc w:val="both"/>
        <w:rPr>
          <w:rFonts w:ascii="Verdana" w:eastAsia="Century Gothic" w:hAnsi="Verdana" w:cs="Century Gothic"/>
          <w:b/>
          <w:bCs/>
        </w:rPr>
      </w:pPr>
    </w:p>
    <w:p w14:paraId="6E8DAFFC" w14:textId="77777777" w:rsidR="00062A95" w:rsidRPr="00813577" w:rsidRDefault="00062A95" w:rsidP="00062A95">
      <w:pPr>
        <w:spacing w:after="0" w:line="240" w:lineRule="auto"/>
        <w:ind w:left="709" w:right="709"/>
        <w:jc w:val="both"/>
        <w:rPr>
          <w:rFonts w:ascii="Verdana" w:eastAsia="Century Gothic" w:hAnsi="Verdana" w:cs="Century Gothic"/>
          <w:sz w:val="20"/>
          <w:szCs w:val="20"/>
          <w:lang w:val="es-ES"/>
        </w:rPr>
      </w:pPr>
      <w:bookmarkStart w:id="0" w:name="_Hlk95313578"/>
      <w:r w:rsidRPr="00813577">
        <w:rPr>
          <w:rFonts w:ascii="Verdana" w:eastAsia="Century Gothic" w:hAnsi="Verdana" w:cs="Century Gothic"/>
          <w:sz w:val="20"/>
          <w:szCs w:val="20"/>
          <w:lang w:val="es-ES"/>
        </w:rPr>
        <w:t>“</w:t>
      </w:r>
      <w:r w:rsidRPr="00813577">
        <w:rPr>
          <w:rFonts w:ascii="Verdana" w:hAnsi="Verdana" w:cs="Arial"/>
          <w:sz w:val="20"/>
          <w:szCs w:val="20"/>
          <w:shd w:val="clear" w:color="auto" w:fill="FFFFFF"/>
        </w:rPr>
        <w:t>Atentamente me permito solicitar su apoyo y colaboración para que nos puedan dar un concepto sobre si es debido celebrar un convenio interadministrativo entre la Administración Municipal y la Registraduría Municipal para contratar una persona que apoye la labor de la registraduría en la parte administrativa, teniendo en cuenta que la Registraduría es organismo que goza autonomía presupuestal, financiera y administrativa</w:t>
      </w:r>
      <w:r w:rsidRPr="00813577">
        <w:rPr>
          <w:rFonts w:ascii="Verdana" w:eastAsia="Century Gothic" w:hAnsi="Verdana" w:cs="Century Gothic"/>
          <w:sz w:val="20"/>
          <w:szCs w:val="20"/>
          <w:lang w:val="es-ES"/>
        </w:rPr>
        <w:t>”</w:t>
      </w:r>
      <w:bookmarkEnd w:id="0"/>
      <w:r w:rsidRPr="00813577">
        <w:rPr>
          <w:rFonts w:ascii="Verdana" w:eastAsia="Century Gothic" w:hAnsi="Verdana" w:cs="Century Gothic"/>
          <w:sz w:val="20"/>
          <w:szCs w:val="20"/>
          <w:lang w:val="es-ES"/>
        </w:rPr>
        <w:t>.</w:t>
      </w:r>
    </w:p>
    <w:p w14:paraId="4CA53927" w14:textId="77777777" w:rsidR="00062A95" w:rsidRPr="00593A5F" w:rsidRDefault="00062A95" w:rsidP="00062A95">
      <w:pPr>
        <w:pStyle w:val="Prrafodelista"/>
        <w:tabs>
          <w:tab w:val="left" w:pos="142"/>
          <w:tab w:val="left" w:pos="284"/>
        </w:tabs>
        <w:spacing w:line="276" w:lineRule="auto"/>
        <w:ind w:left="0"/>
        <w:jc w:val="both"/>
        <w:rPr>
          <w:rFonts w:ascii="Verdana" w:eastAsia="Century Gothic" w:hAnsi="Verdana" w:cs="Century Gothic"/>
          <w:b/>
          <w:bCs/>
        </w:rPr>
      </w:pPr>
    </w:p>
    <w:p w14:paraId="798E6881" w14:textId="77777777" w:rsidR="00062A95" w:rsidRDefault="00062A95" w:rsidP="00062A95">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74C06CF" w14:textId="77777777" w:rsidR="00062A95" w:rsidRDefault="00062A95" w:rsidP="00062A95">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 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AAE2D68" w14:textId="77777777" w:rsidR="00062A95" w:rsidRPr="00593A5F" w:rsidRDefault="00062A95" w:rsidP="00062A95">
      <w:pPr>
        <w:spacing w:after="0" w:line="276" w:lineRule="auto"/>
        <w:ind w:firstLine="709"/>
        <w:jc w:val="both"/>
        <w:rPr>
          <w:rFonts w:ascii="Verdana" w:eastAsia="Calibri" w:hAnsi="Verdana" w:cs="Arial"/>
          <w:color w:val="000000"/>
          <w:lang w:val="es-ES" w:eastAsia="es-ES"/>
        </w:rPr>
      </w:pPr>
    </w:p>
    <w:p w14:paraId="3710D270" w14:textId="77777777" w:rsidR="00062A95" w:rsidRPr="00593A5F" w:rsidRDefault="00062A95" w:rsidP="00062A9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B65DC7F" w14:textId="77777777" w:rsidR="00062A95" w:rsidRPr="00593A5F" w:rsidRDefault="00062A95" w:rsidP="00062A95">
      <w:pPr>
        <w:tabs>
          <w:tab w:val="left" w:pos="426"/>
        </w:tabs>
        <w:spacing w:after="0" w:line="276" w:lineRule="auto"/>
        <w:jc w:val="both"/>
        <w:rPr>
          <w:rFonts w:ascii="Verdana" w:eastAsia="Century Gothic" w:hAnsi="Verdana" w:cs="Century Gothic"/>
          <w:lang w:val="es-ES"/>
        </w:rPr>
      </w:pPr>
    </w:p>
    <w:p w14:paraId="2DC8A464" w14:textId="77777777" w:rsidR="00062A95" w:rsidRPr="00593A5F" w:rsidRDefault="00062A95" w:rsidP="00062A95">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w:t>
      </w:r>
      <w:r w:rsidRPr="00813577">
        <w:rPr>
          <w:rFonts w:ascii="Verdana" w:eastAsia="Century Gothic" w:hAnsi="Verdana" w:cs="Century Gothic"/>
        </w:rPr>
        <w:t>contenido de su solicitud, esta Agencia resolverá el siguiente problema jurídico: ¿Es posible</w:t>
      </w:r>
      <w:r w:rsidRPr="00813577">
        <w:t xml:space="preserve"> </w:t>
      </w:r>
      <w:r w:rsidRPr="00813577">
        <w:rPr>
          <w:rFonts w:ascii="Verdana" w:eastAsia="Century Gothic" w:hAnsi="Verdana" w:cs="Century Gothic"/>
        </w:rPr>
        <w:t xml:space="preserve">celebrar un convenio interadministrativo entre una Administración Municipal y una Registraduría Municipal para contratar un profesional para la Registraduría? </w:t>
      </w:r>
    </w:p>
    <w:p w14:paraId="05576946" w14:textId="77777777" w:rsidR="00062A95" w:rsidRPr="00593A5F" w:rsidRDefault="00062A95" w:rsidP="00062A95">
      <w:pPr>
        <w:spacing w:after="0" w:line="276" w:lineRule="auto"/>
        <w:jc w:val="both"/>
        <w:rPr>
          <w:rFonts w:ascii="Verdana" w:eastAsia="Calibri" w:hAnsi="Verdana" w:cs="Arial"/>
          <w:color w:val="7030A0"/>
          <w:lang w:val="es-ES"/>
        </w:rPr>
      </w:pPr>
    </w:p>
    <w:p w14:paraId="056E46D9" w14:textId="77777777" w:rsidR="00062A95" w:rsidRPr="00593A5F" w:rsidRDefault="00062A95" w:rsidP="00062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2A0B0F2" w14:textId="77777777" w:rsidR="00062A95" w:rsidRPr="00593A5F" w:rsidRDefault="00062A95" w:rsidP="00062A9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62A95" w:rsidRPr="00593A5F" w14:paraId="45A21DF8" w14:textId="77777777" w:rsidTr="00904967">
        <w:tc>
          <w:tcPr>
            <w:tcW w:w="8828" w:type="dxa"/>
            <w:shd w:val="clear" w:color="auto" w:fill="auto"/>
          </w:tcPr>
          <w:p w14:paraId="19B12402" w14:textId="77777777" w:rsidR="00062A95" w:rsidRPr="00813577" w:rsidRDefault="00062A95" w:rsidP="00904967">
            <w:pPr>
              <w:spacing w:before="120" w:after="120" w:line="276" w:lineRule="auto"/>
              <w:jc w:val="both"/>
              <w:rPr>
                <w:rFonts w:ascii="Verdana" w:eastAsia="Calibri" w:hAnsi="Verdana" w:cs="Arial"/>
                <w:lang w:val="es-ES"/>
              </w:rPr>
            </w:pPr>
            <w:r w:rsidRPr="00813577">
              <w:rPr>
                <w:rFonts w:ascii="Verdana" w:eastAsia="Calibri" w:hAnsi="Verdana" w:cs="Arial"/>
                <w:lang w:val="es-ES"/>
              </w:rPr>
              <w:t>Los contratos o convenios interadministrativos son tipologías contractuales que la norma clasifica como aquellos acuerdos de voluntades celebrados por entidades estatales en aras de cumplir con los fines del estado, incluso distinguiendo que, así esta disposición este principalmente dirigida a las entidades sometidas al EGCAP, no excluye de la concepción de contratos o convenios interadministrativos a aquellos en los que participen entidades de régimen especial.</w:t>
            </w:r>
          </w:p>
          <w:p w14:paraId="3BBF3060" w14:textId="77777777" w:rsidR="00062A95" w:rsidRPr="00813577" w:rsidRDefault="00062A95" w:rsidP="00904967">
            <w:pPr>
              <w:spacing w:before="120" w:after="120" w:line="276" w:lineRule="auto"/>
              <w:jc w:val="both"/>
              <w:rPr>
                <w:rFonts w:ascii="Verdana" w:eastAsia="Calibri" w:hAnsi="Verdana" w:cs="Arial"/>
                <w:lang w:val="es-ES"/>
              </w:rPr>
            </w:pPr>
            <w:r w:rsidRPr="00813577">
              <w:rPr>
                <w:rFonts w:ascii="Verdana" w:eastAsia="Calibri" w:hAnsi="Verdana" w:cs="Arial"/>
                <w:lang w:val="es-ES"/>
              </w:rPr>
              <w:t xml:space="preserve">Seguidamente, debe señalarse que, la Ley 1150 de 2007 establece, en relación con la modalidad de selección, que pueden celebrarse directamente, siempre </w:t>
            </w:r>
            <w:r w:rsidRPr="00813577">
              <w:rPr>
                <w:rFonts w:ascii="Verdana" w:eastAsia="Calibri" w:hAnsi="Verdana" w:cs="Arial"/>
                <w:lang w:val="es-ES"/>
              </w:rPr>
              <w:lastRenderedPageBreak/>
              <w:t>que las obligaciones derivadas del mismo tengan relación directa con el objeto de la entidad ejecutora, señalado en la ley o en sus reglamentos, a menos que, según las excepciones previstas en dicha Ley –explicadas en el presente concepto– deba adelantarse un procedimiento susceptible de pluralidad de oferentes. Esta condición, de que el objeto a contratar tenga relación directa con el objeto de la entidad ejecutora, impuesta por el legislador para la suscripción de estos contratos se establece a efectos de constatar que el ejecutante cuente con la capacidad jurídica para contraer las obligaciones establecidas en el contrato.</w:t>
            </w:r>
          </w:p>
          <w:p w14:paraId="30AFAFF0" w14:textId="77777777" w:rsidR="00062A95" w:rsidRPr="00813577" w:rsidRDefault="00062A95" w:rsidP="00904967">
            <w:pPr>
              <w:spacing w:before="120" w:after="120" w:line="276" w:lineRule="auto"/>
              <w:jc w:val="both"/>
              <w:rPr>
                <w:rFonts w:ascii="Verdana" w:eastAsia="Calibri" w:hAnsi="Verdana" w:cs="Arial"/>
                <w:lang w:val="es-ES_tradnl"/>
              </w:rPr>
            </w:pPr>
            <w:r w:rsidRPr="00813577">
              <w:rPr>
                <w:rFonts w:ascii="Verdana" w:eastAsia="Calibri" w:hAnsi="Verdana" w:cs="Arial"/>
                <w:lang w:val="es-ES"/>
              </w:rPr>
              <w:t>Ahora bien, cabe mencionar que, el inciso segundo d</w:t>
            </w:r>
            <w:r w:rsidRPr="00813577">
              <w:rPr>
                <w:rFonts w:ascii="Verdana" w:eastAsia="Calibri" w:hAnsi="Verdana" w:cs="Arial"/>
              </w:rPr>
              <w:t xml:space="preserve">el artículo 2, numeral 4, literal c), de la Ley 1150 de 2007 –modificado por el artículo 92 de la Ley 1474 de 2011– </w:t>
            </w:r>
            <w:r w:rsidRPr="00813577">
              <w:rPr>
                <w:rFonts w:ascii="Verdana" w:eastAsia="Calibri" w:hAnsi="Verdana" w:cs="Arial"/>
                <w:lang w:val="es-ES_tradnl"/>
              </w:rPr>
              <w:t xml:space="preserve">establece una limitación a la contratación directa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Esto sin perjuicio de lo explicado </w:t>
            </w:r>
            <w:r w:rsidRPr="00813577">
              <w:rPr>
                <w:rFonts w:ascii="Verdana" w:eastAsia="Calibri" w:hAnsi="Verdana" w:cs="Arial"/>
                <w:i/>
                <w:iCs/>
                <w:lang w:val="es-ES_tradnl"/>
              </w:rPr>
              <w:t>supra</w:t>
            </w:r>
            <w:r w:rsidRPr="00813577">
              <w:rPr>
                <w:rFonts w:ascii="Verdana" w:eastAsia="Calibri" w:hAnsi="Verdana" w:cs="Arial"/>
                <w:lang w:val="es-ES_tradnl"/>
              </w:rPr>
              <w:t xml:space="preserve">, ya que la norma claramente establece los sujetos sobre los que opera esta limitación, </w:t>
            </w:r>
            <w:r w:rsidRPr="00813577">
              <w:rPr>
                <w:rFonts w:ascii="Verdana" w:eastAsia="Calibri" w:hAnsi="Verdana" w:cs="Arial"/>
              </w:rPr>
              <w:t xml:space="preserve">el contrato debe tener relación directa con el objeto de la entidad ejecutora en cualquiera de los dos eventos, y, teniendo en cuenta que esta es una limitación de aplicación restrictiva, solo </w:t>
            </w:r>
            <w:r w:rsidRPr="00813577">
              <w:rPr>
                <w:rFonts w:ascii="Verdana" w:eastAsia="Calibri" w:hAnsi="Verdana" w:cs="Arial"/>
                <w:lang w:val="es-ES_tradnl"/>
              </w:rPr>
              <w:t xml:space="preserve">aplica cuando confluyan ambos elementos. </w:t>
            </w:r>
          </w:p>
          <w:p w14:paraId="5EFD5497" w14:textId="77777777" w:rsidR="00062A95" w:rsidRPr="00813577" w:rsidRDefault="00062A95" w:rsidP="00904967">
            <w:pPr>
              <w:spacing w:before="120" w:after="120" w:line="276" w:lineRule="auto"/>
              <w:jc w:val="both"/>
              <w:rPr>
                <w:rFonts w:ascii="Verdana" w:eastAsia="Calibri" w:hAnsi="Verdana" w:cs="Arial"/>
                <w:lang w:val="es-ES_tradnl"/>
              </w:rPr>
            </w:pPr>
            <w:r w:rsidRPr="00813577">
              <w:rPr>
                <w:rFonts w:ascii="Verdana" w:eastAsia="Calibri" w:hAnsi="Verdana" w:cs="Arial"/>
                <w:lang w:val="es-ES_tradnl"/>
              </w:rPr>
              <w:t>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05310BE6" w14:textId="0D90D30E" w:rsidR="00062A95" w:rsidRPr="00813577" w:rsidRDefault="007B18B3" w:rsidP="00904967">
            <w:pPr>
              <w:spacing w:before="120" w:after="120" w:line="276" w:lineRule="auto"/>
              <w:jc w:val="both"/>
              <w:rPr>
                <w:rFonts w:ascii="Verdana" w:eastAsia="Calibri" w:hAnsi="Verdana" w:cs="Arial"/>
                <w:lang w:val="es-ES"/>
              </w:rPr>
            </w:pPr>
            <w:r w:rsidRPr="00813577">
              <w:rPr>
                <w:rFonts w:ascii="Verdana" w:eastAsia="Calibri" w:hAnsi="Verdana" w:cs="Arial"/>
                <w:lang w:val="es-ES"/>
              </w:rPr>
              <w:t>En conclusión, con el fin de responder al problema jurídico planteado,</w:t>
            </w:r>
            <w:r>
              <w:rPr>
                <w:rFonts w:ascii="Verdana" w:eastAsia="Calibri" w:hAnsi="Verdana" w:cs="Arial"/>
                <w:lang w:val="es-ES"/>
              </w:rPr>
              <w:t xml:space="preserve"> los contratos o convenios interadministrativos están permitidos por la Ley, así mismo, su objeto debe estar permitido en relación con la misionalidad de la entidad estatal, se deberán contemplar los criterios establecidos en </w:t>
            </w:r>
            <w:r w:rsidRPr="00B7521D">
              <w:rPr>
                <w:rFonts w:ascii="Verdana" w:eastAsia="Calibri" w:hAnsi="Verdana" w:cs="Arial"/>
                <w:lang w:val="es-ES"/>
              </w:rPr>
              <w:t xml:space="preserve">el artículo </w:t>
            </w:r>
            <w:r w:rsidRPr="00B7521D">
              <w:rPr>
                <w:rFonts w:ascii="Verdana" w:eastAsia="Calibri" w:hAnsi="Verdana" w:cs="Arial"/>
                <w:lang w:val="es-ES"/>
              </w:rPr>
              <w:lastRenderedPageBreak/>
              <w:t>2, numeral 4, literal c)</w:t>
            </w:r>
            <w:r>
              <w:rPr>
                <w:rFonts w:ascii="Verdana" w:eastAsia="Calibri" w:hAnsi="Verdana" w:cs="Arial"/>
                <w:lang w:val="es-ES"/>
              </w:rPr>
              <w:t xml:space="preserve"> </w:t>
            </w:r>
            <w:r>
              <w:rPr>
                <w:rFonts w:ascii="Verdana" w:eastAsia="Calibri" w:hAnsi="Verdana" w:cs="Arial"/>
                <w:i/>
                <w:iCs/>
                <w:lang w:val="es-ES"/>
              </w:rPr>
              <w:t>ibídem</w:t>
            </w:r>
            <w:r>
              <w:rPr>
                <w:rFonts w:ascii="Verdana" w:eastAsia="Calibri" w:hAnsi="Verdana" w:cs="Arial"/>
                <w:lang w:val="es-ES"/>
              </w:rPr>
              <w:t xml:space="preserve">, y, en aras de cumplir con los fines del estado establecidos en la Constitución, será la entidad estatal quien determine si, con base en lo explicado, se deberá celebrar y si se hará por la modalidad de selección contratación directa o no. </w:t>
            </w:r>
          </w:p>
        </w:tc>
      </w:tr>
    </w:tbl>
    <w:p w14:paraId="77647B66" w14:textId="77777777" w:rsidR="00062A95" w:rsidRPr="00593A5F" w:rsidRDefault="00062A95" w:rsidP="00062A95">
      <w:pPr>
        <w:tabs>
          <w:tab w:val="left" w:pos="142"/>
          <w:tab w:val="left" w:pos="284"/>
        </w:tabs>
        <w:spacing w:after="0" w:line="276" w:lineRule="auto"/>
        <w:jc w:val="both"/>
        <w:rPr>
          <w:rFonts w:ascii="Verdana" w:eastAsia="Century Gothic" w:hAnsi="Verdana" w:cs="Century Gothic"/>
          <w:b/>
          <w:bCs/>
          <w:lang w:val="es-ES"/>
        </w:rPr>
      </w:pPr>
    </w:p>
    <w:p w14:paraId="64DEDCC2" w14:textId="77777777" w:rsidR="00062A95" w:rsidRPr="00593A5F" w:rsidRDefault="00062A95" w:rsidP="00062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4C7DD1C" w14:textId="77777777" w:rsidR="00062A95" w:rsidRPr="00593A5F" w:rsidRDefault="00062A95" w:rsidP="00062A95">
      <w:pPr>
        <w:spacing w:after="0" w:line="276" w:lineRule="auto"/>
        <w:jc w:val="both"/>
        <w:rPr>
          <w:rFonts w:ascii="Verdana" w:eastAsia="Calibri" w:hAnsi="Verdana" w:cs="Arial"/>
          <w:color w:val="7030A0"/>
          <w:lang w:val="es-ES"/>
        </w:rPr>
      </w:pPr>
    </w:p>
    <w:p w14:paraId="127A64D3" w14:textId="77777777" w:rsidR="00062A95" w:rsidRPr="00805273" w:rsidRDefault="00062A95" w:rsidP="00062A95">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7C7AAA78" w14:textId="77777777" w:rsidR="00062A95" w:rsidRDefault="00062A95" w:rsidP="00062A95">
      <w:pPr>
        <w:spacing w:after="0" w:line="276" w:lineRule="auto"/>
        <w:jc w:val="both"/>
        <w:rPr>
          <w:rFonts w:ascii="Verdana" w:eastAsia="Calibri" w:hAnsi="Verdana" w:cs="Arial"/>
          <w:color w:val="7030A0"/>
          <w:lang w:val="es-ES"/>
        </w:rPr>
      </w:pPr>
    </w:p>
    <w:p w14:paraId="08EACA2A" w14:textId="77777777" w:rsidR="00062A95" w:rsidRPr="000876F8" w:rsidRDefault="00062A95" w:rsidP="00062A95">
      <w:pPr>
        <w:spacing w:after="120" w:line="276" w:lineRule="auto"/>
        <w:jc w:val="both"/>
        <w:rPr>
          <w:rFonts w:ascii="Verdana" w:eastAsia="Calibri" w:hAnsi="Verdana" w:cs="Arial"/>
          <w:color w:val="000000" w:themeColor="text1"/>
        </w:rPr>
      </w:pPr>
      <w:r w:rsidRPr="000876F8">
        <w:rPr>
          <w:rFonts w:ascii="Verdana" w:eastAsia="Calibri" w:hAnsi="Verdana" w:cs="Arial"/>
          <w:color w:val="000000" w:themeColor="text1"/>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0876F8">
        <w:rPr>
          <w:rStyle w:val="Refdenotaalpie"/>
          <w:rFonts w:ascii="Verdana" w:eastAsia="Calibri" w:hAnsi="Verdana" w:cs="Arial"/>
          <w:color w:val="000000" w:themeColor="text1"/>
        </w:rPr>
        <w:footnoteReference w:id="1"/>
      </w:r>
      <w:r w:rsidRPr="000876F8">
        <w:rPr>
          <w:rFonts w:ascii="Verdana" w:eastAsia="Calibri" w:hAnsi="Verdana" w:cs="Arial"/>
          <w:color w:val="000000" w:themeColor="text1"/>
        </w:rPr>
        <w:t>.</w:t>
      </w:r>
      <w:r w:rsidRPr="000876F8">
        <w:rPr>
          <w:rFonts w:ascii="Verdana" w:hAnsi="Verdana" w:cs="Arial"/>
          <w:color w:val="000000" w:themeColor="text1"/>
        </w:rPr>
        <w:t xml:space="preserve"> </w:t>
      </w:r>
      <w:r w:rsidRPr="000876F8">
        <w:rPr>
          <w:rFonts w:ascii="Verdana" w:eastAsia="Calibri" w:hAnsi="Verdana" w:cs="Arial"/>
          <w:color w:val="000000" w:themeColor="text1"/>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325A5772" w14:textId="77777777" w:rsidR="00062A95" w:rsidRPr="000876F8" w:rsidRDefault="00062A95" w:rsidP="00062A95">
      <w:pPr>
        <w:spacing w:after="120" w:line="276" w:lineRule="auto"/>
        <w:ind w:firstLine="709"/>
        <w:jc w:val="both"/>
        <w:rPr>
          <w:rFonts w:ascii="Verdana" w:hAnsi="Verdana" w:cs="Arial"/>
          <w:color w:val="000000" w:themeColor="text1"/>
          <w:lang w:val="es-ES_tradnl"/>
        </w:rPr>
      </w:pPr>
      <w:r w:rsidRPr="000876F8">
        <w:rPr>
          <w:rFonts w:ascii="Verdana" w:eastAsia="Calibri" w:hAnsi="Verdana" w:cs="Arial"/>
          <w:color w:val="000000" w:themeColor="text1"/>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w:t>
      </w:r>
      <w:r>
        <w:rPr>
          <w:rFonts w:ascii="Verdana" w:eastAsia="Calibri" w:hAnsi="Verdana" w:cs="Arial"/>
          <w:color w:val="000000" w:themeColor="text1"/>
          <w:lang w:val="es-ES_tradnl"/>
        </w:rPr>
        <w:t xml:space="preserve"> </w:t>
      </w:r>
      <w:r w:rsidRPr="000876F8">
        <w:rPr>
          <w:rFonts w:ascii="Verdana" w:eastAsia="Calibri" w:hAnsi="Verdana" w:cs="Arial"/>
          <w:color w:val="000000" w:themeColor="text1"/>
          <w:lang w:val="es-ES_tradnl"/>
        </w:rPr>
        <w:t>y no por ello dejará de ser un contrato o convenio interadministrativo.</w:t>
      </w:r>
    </w:p>
    <w:p w14:paraId="4ED96E01" w14:textId="77777777" w:rsidR="00062A95" w:rsidRPr="000876F8" w:rsidRDefault="00062A95" w:rsidP="00062A95">
      <w:pPr>
        <w:spacing w:after="12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 xml:space="preserve">Un contrato o convenio interadministrativo no está determinado por la modalidad de selección utilizada para celebrarlo. </w:t>
      </w:r>
      <w:r>
        <w:rPr>
          <w:rFonts w:ascii="Verdana" w:eastAsia="Calibri" w:hAnsi="Verdana" w:cs="Arial"/>
          <w:color w:val="000000" w:themeColor="text1"/>
          <w:lang w:val="es-ES_tradnl"/>
        </w:rPr>
        <w:t>Al respecto, d</w:t>
      </w:r>
      <w:r w:rsidRPr="000876F8">
        <w:rPr>
          <w:rFonts w:ascii="Verdana" w:eastAsia="Calibri" w:hAnsi="Verdana" w:cs="Arial"/>
          <w:color w:val="000000" w:themeColor="text1"/>
          <w:lang w:val="es-ES_tradnl"/>
        </w:rPr>
        <w:t xml:space="preserve">ebe señalarse que, la Ley 1150 de 2007 establece que pueden celebrarse directamente, </w:t>
      </w:r>
      <w:r w:rsidRPr="000876F8">
        <w:rPr>
          <w:rFonts w:ascii="Verdana" w:eastAsia="Calibri" w:hAnsi="Verdana" w:cs="Arial"/>
          <w:color w:val="000000" w:themeColor="text1"/>
          <w:lang w:val="es-ES_tradnl"/>
        </w:rPr>
        <w:lastRenderedPageBreak/>
        <w:t>siempre que las obligaciones derivadas del mismo tengan relación directa con el objeto de la entidad ejecutora, señalado en la ley o en sus reglamentos, a menos que, según las excepciones previstas en dicha Ley – las cuales se analizarán más adelante – deba adelantarse un procedimiento susceptible de pluralidad de oferentes</w:t>
      </w:r>
      <w:r w:rsidRPr="000876F8">
        <w:rPr>
          <w:rStyle w:val="Refdenotaalpie"/>
          <w:rFonts w:ascii="Verdana" w:eastAsia="Calibri" w:hAnsi="Verdana" w:cs="Arial"/>
          <w:color w:val="000000" w:themeColor="text1"/>
          <w:lang w:val="es-ES_tradnl"/>
        </w:rPr>
        <w:footnoteReference w:id="2"/>
      </w:r>
      <w:r w:rsidRPr="000876F8">
        <w:rPr>
          <w:rFonts w:ascii="Verdana" w:eastAsia="Calibri" w:hAnsi="Verdana" w:cs="Arial"/>
          <w:color w:val="000000" w:themeColor="text1"/>
          <w:lang w:val="es-ES_tradnl"/>
        </w:rPr>
        <w:t>. Nótese que, en este caso, lo que cambia es la modalidad de selección y no la naturaleza de contrato interadministrativo.</w:t>
      </w:r>
    </w:p>
    <w:p w14:paraId="065E020B" w14:textId="77777777" w:rsidR="00062A95" w:rsidRPr="000876F8" w:rsidRDefault="00062A95" w:rsidP="00062A95">
      <w:pPr>
        <w:spacing w:after="120" w:line="276" w:lineRule="auto"/>
        <w:ind w:firstLine="709"/>
        <w:jc w:val="both"/>
        <w:rPr>
          <w:rFonts w:ascii="Verdana" w:eastAsia="Calibri" w:hAnsi="Verdana" w:cs="Arial"/>
          <w:color w:val="000000" w:themeColor="text1"/>
          <w:lang w:val="es-ES_tradnl"/>
        </w:rPr>
      </w:pPr>
      <w:r w:rsidRPr="0004700E">
        <w:rPr>
          <w:rFonts w:ascii="Verdana" w:eastAsia="Calibri" w:hAnsi="Verdana" w:cs="Arial"/>
          <w:color w:val="000000" w:themeColor="text1"/>
          <w:lang w:val="es-ES_tradnl"/>
        </w:rPr>
        <w:t>Así las cosas, atendiendo a la literalidad de las normas enunciadas, no cabe una interpretación diferente</w:t>
      </w:r>
      <w:r w:rsidRPr="0004700E">
        <w:rPr>
          <w:rStyle w:val="Refdenotaalpie"/>
          <w:rFonts w:ascii="Verdana" w:hAnsi="Verdana" w:cs="Arial"/>
          <w:color w:val="000000" w:themeColor="text1"/>
          <w:lang w:val="es-ES_tradnl"/>
        </w:rPr>
        <w:footnoteReference w:id="3"/>
      </w:r>
      <w:r w:rsidRPr="0004700E">
        <w:rPr>
          <w:rFonts w:ascii="Verdana" w:eastAsia="Calibri" w:hAnsi="Verdana" w:cs="Arial"/>
          <w:color w:val="000000" w:themeColor="text1"/>
          <w:lang w:val="es-ES_tradnl"/>
        </w:rPr>
        <w:t>,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w:t>
      </w:r>
      <w:r w:rsidRPr="000876F8">
        <w:rPr>
          <w:rFonts w:ascii="Verdana" w:eastAsia="Calibri" w:hAnsi="Verdana" w:cs="Arial"/>
          <w:color w:val="000000" w:themeColor="text1"/>
          <w:lang w:val="es-ES_tradnl"/>
        </w:rPr>
        <w:t xml:space="preserve"> </w:t>
      </w:r>
    </w:p>
    <w:p w14:paraId="5F812621" w14:textId="77777777" w:rsidR="00062A95" w:rsidRPr="000876F8" w:rsidRDefault="00062A95" w:rsidP="00062A95">
      <w:pPr>
        <w:spacing w:after="0" w:line="276" w:lineRule="auto"/>
        <w:jc w:val="both"/>
        <w:rPr>
          <w:rFonts w:ascii="Verdana" w:eastAsia="Calibri" w:hAnsi="Verdana" w:cs="Arial"/>
          <w:color w:val="000000" w:themeColor="text1"/>
          <w:lang w:val="es-ES_tradnl"/>
        </w:rPr>
      </w:pPr>
      <w:r w:rsidRPr="000876F8">
        <w:rPr>
          <w:rFonts w:ascii="Verdana" w:hAnsi="Verdana" w:cs="Arial"/>
        </w:rPr>
        <w:tab/>
        <w:t>Ahora bien, e</w:t>
      </w:r>
      <w:r w:rsidRPr="000876F8">
        <w:rPr>
          <w:rFonts w:ascii="Verdana" w:eastAsia="Calibri" w:hAnsi="Verdana" w:cs="Arial"/>
          <w:color w:val="000000" w:themeColor="text1"/>
        </w:rPr>
        <w:t xml:space="preserve">n relación con la modalidad de selección aplicable a la celebración de contratos interadministrativos, </w:t>
      </w:r>
      <w:r w:rsidRPr="000876F8">
        <w:rPr>
          <w:rFonts w:ascii="Verdana" w:hAnsi="Verdana" w:cs="Arial"/>
        </w:rPr>
        <w:t>debe señalarse</w:t>
      </w:r>
      <w:r>
        <w:rPr>
          <w:rFonts w:ascii="Verdana" w:hAnsi="Verdana" w:cs="Arial"/>
        </w:rPr>
        <w:t xml:space="preserve"> </w:t>
      </w:r>
      <w:r w:rsidRPr="000876F8">
        <w:rPr>
          <w:rFonts w:ascii="Verdana" w:eastAsia="Calibri" w:hAnsi="Verdana" w:cs="Arial"/>
          <w:color w:val="000000" w:themeColor="text1"/>
        </w:rPr>
        <w:t xml:space="preserve">que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w:t>
      </w:r>
      <w:bookmarkStart w:id="1" w:name="_Hlk175506473"/>
      <w:r w:rsidRPr="000876F8">
        <w:rPr>
          <w:rFonts w:ascii="Verdana" w:eastAsia="Calibri" w:hAnsi="Verdana" w:cs="Arial"/>
          <w:color w:val="000000" w:themeColor="text1"/>
        </w:rPr>
        <w:t xml:space="preserve">artículo 2, numeral 4, literal c), de la mencionada ley – modificado por el artículo 92 de la Ley 1474 de 2011 </w:t>
      </w:r>
      <w:bookmarkEnd w:id="1"/>
      <w:r w:rsidRPr="000876F8">
        <w:rPr>
          <w:rFonts w:ascii="Verdana" w:eastAsia="Calibri" w:hAnsi="Verdana" w:cs="Arial"/>
          <w:color w:val="000000" w:themeColor="text1"/>
        </w:rPr>
        <w:t>– estableció lo siguiente:</w:t>
      </w:r>
    </w:p>
    <w:p w14:paraId="78A09A6C" w14:textId="77777777" w:rsidR="00062A95" w:rsidRPr="000876F8" w:rsidRDefault="00062A95" w:rsidP="00062A95">
      <w:pPr>
        <w:pStyle w:val="Prrafodelista"/>
        <w:spacing w:after="0" w:line="276" w:lineRule="auto"/>
        <w:contextualSpacing w:val="0"/>
        <w:rPr>
          <w:rFonts w:ascii="Verdana" w:eastAsia="Calibri" w:hAnsi="Verdana" w:cs="Arial"/>
          <w:color w:val="000000" w:themeColor="text1"/>
          <w:lang w:val="es-ES_tradnl"/>
        </w:rPr>
      </w:pPr>
    </w:p>
    <w:p w14:paraId="44512AA7" w14:textId="77777777" w:rsidR="00062A95" w:rsidRPr="00EB7B30" w:rsidRDefault="00062A95" w:rsidP="00062A95">
      <w:pPr>
        <w:pStyle w:val="NormalWeb"/>
        <w:spacing w:before="0" w:beforeAutospacing="0" w:after="0" w:afterAutospacing="0"/>
        <w:ind w:left="709" w:right="709"/>
        <w:jc w:val="both"/>
        <w:rPr>
          <w:rFonts w:ascii="Verdana" w:hAnsi="Verdana" w:cs="Arial"/>
          <w:sz w:val="20"/>
          <w:szCs w:val="20"/>
        </w:rPr>
      </w:pPr>
      <w:bookmarkStart w:id="2" w:name="92"/>
      <w:r w:rsidRPr="00EB7B30">
        <w:rPr>
          <w:rFonts w:ascii="Verdana" w:hAnsi="Verdana" w:cs="Arial"/>
          <w:sz w:val="20"/>
          <w:szCs w:val="20"/>
        </w:rPr>
        <w:t>“Artículo 92. Contratos interadministrativos.</w:t>
      </w:r>
      <w:bookmarkEnd w:id="2"/>
      <w:r w:rsidRPr="00EB7B30">
        <w:rPr>
          <w:rFonts w:ascii="Verdana" w:hAnsi="Verdana" w:cs="Arial"/>
          <w:sz w:val="20"/>
          <w:szCs w:val="20"/>
        </w:rPr>
        <w:t xml:space="preserve"> Modificase el inciso primero del literal c) del numeral 4 del artículo </w:t>
      </w:r>
      <w:hyperlink r:id="rId12" w:anchor="2" w:history="1">
        <w:r w:rsidRPr="00EB7B30">
          <w:rPr>
            <w:rStyle w:val="Hipervnculo"/>
            <w:rFonts w:ascii="Verdana" w:eastAsiaTheme="majorEastAsia" w:hAnsi="Verdana" w:cs="Arial"/>
            <w:color w:val="auto"/>
            <w:sz w:val="20"/>
            <w:szCs w:val="20"/>
            <w:u w:val="none"/>
          </w:rPr>
          <w:t>2</w:t>
        </w:r>
      </w:hyperlink>
      <w:r w:rsidRPr="00EB7B30">
        <w:rPr>
          <w:rFonts w:ascii="Verdana" w:hAnsi="Verdana" w:cs="Arial"/>
          <w:sz w:val="20"/>
          <w:szCs w:val="20"/>
        </w:rPr>
        <w:t>o de la Ley 1150 de 2007, el cual quedará así:</w:t>
      </w:r>
    </w:p>
    <w:p w14:paraId="78DE2799" w14:textId="77777777" w:rsidR="00062A95" w:rsidRPr="00EB7B30" w:rsidRDefault="00062A95" w:rsidP="00062A95">
      <w:pPr>
        <w:pStyle w:val="NormalWeb"/>
        <w:spacing w:before="0" w:beforeAutospacing="0" w:after="0" w:afterAutospacing="0"/>
        <w:ind w:left="709" w:right="709"/>
        <w:jc w:val="both"/>
        <w:rPr>
          <w:rFonts w:ascii="Verdana" w:hAnsi="Verdana" w:cs="Arial"/>
          <w:sz w:val="20"/>
          <w:szCs w:val="20"/>
        </w:rPr>
      </w:pPr>
    </w:p>
    <w:p w14:paraId="7DA21E1A" w14:textId="77777777" w:rsidR="00062A95" w:rsidRPr="00EB7B30" w:rsidRDefault="00062A95" w:rsidP="00062A95">
      <w:pPr>
        <w:pStyle w:val="NormalWeb"/>
        <w:spacing w:before="0" w:beforeAutospacing="0" w:after="0" w:afterAutospacing="0"/>
        <w:ind w:left="709" w:right="709"/>
        <w:jc w:val="both"/>
        <w:rPr>
          <w:rFonts w:ascii="Verdana" w:hAnsi="Verdana" w:cs="Arial"/>
          <w:sz w:val="20"/>
          <w:szCs w:val="20"/>
        </w:rPr>
      </w:pPr>
      <w:r w:rsidRPr="00EB7B30">
        <w:rPr>
          <w:rFonts w:ascii="Verdana" w:hAnsi="Verdana" w:cs="Arial"/>
          <w:sz w:val="20"/>
          <w:szCs w:val="20"/>
        </w:rPr>
        <w:t>c) Contratos interadministrativos, siempre que las obligaciones derivadas del mismo tengan relación directa con el objeto de la entidad ejecutora señalado en la ley o en sus reglamentos.</w:t>
      </w:r>
    </w:p>
    <w:p w14:paraId="4F69BFA9" w14:textId="77777777" w:rsidR="00062A95" w:rsidRPr="00EB7B30" w:rsidRDefault="00062A95" w:rsidP="00062A95">
      <w:pPr>
        <w:pStyle w:val="NormalWeb"/>
        <w:spacing w:before="0" w:beforeAutospacing="0" w:after="0" w:afterAutospacing="0"/>
        <w:ind w:left="709" w:right="709"/>
        <w:jc w:val="both"/>
        <w:rPr>
          <w:rFonts w:ascii="Verdana" w:hAnsi="Verdana" w:cs="Arial"/>
          <w:sz w:val="20"/>
          <w:szCs w:val="20"/>
        </w:rPr>
      </w:pPr>
    </w:p>
    <w:p w14:paraId="26EA85BF" w14:textId="77777777" w:rsidR="00062A95" w:rsidRPr="00EB7B30" w:rsidRDefault="00062A95" w:rsidP="00062A95">
      <w:pPr>
        <w:pStyle w:val="NormalWeb"/>
        <w:spacing w:before="0" w:beforeAutospacing="0" w:after="0" w:afterAutospacing="0"/>
        <w:ind w:left="709" w:right="709"/>
        <w:jc w:val="both"/>
        <w:rPr>
          <w:rFonts w:ascii="Verdana" w:hAnsi="Verdana" w:cs="Arial"/>
          <w:sz w:val="20"/>
          <w:szCs w:val="20"/>
        </w:rPr>
      </w:pPr>
      <w:r w:rsidRPr="00EB7B30">
        <w:rPr>
          <w:rFonts w:ascii="Verdana" w:hAnsi="Verdana" w:cs="Arial"/>
          <w:sz w:val="20"/>
          <w:szCs w:val="20"/>
        </w:rPr>
        <w:lastRenderedPageBreak/>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E19B194" w14:textId="77777777" w:rsidR="00062A95" w:rsidRPr="000876F8" w:rsidRDefault="00062A95" w:rsidP="00062A95">
      <w:pPr>
        <w:pStyle w:val="NormalWeb"/>
        <w:spacing w:before="0" w:beforeAutospacing="0" w:after="0" w:afterAutospacing="0" w:line="276" w:lineRule="auto"/>
        <w:ind w:left="346"/>
        <w:jc w:val="both"/>
        <w:rPr>
          <w:rFonts w:ascii="Verdana" w:hAnsi="Verdana" w:cs="Arial"/>
          <w:sz w:val="22"/>
          <w:szCs w:val="22"/>
        </w:rPr>
      </w:pPr>
    </w:p>
    <w:p w14:paraId="0ABE2F4B" w14:textId="77777777" w:rsidR="00062A95" w:rsidRPr="000876F8" w:rsidRDefault="00062A95" w:rsidP="00062A95">
      <w:pPr>
        <w:spacing w:after="120" w:line="276" w:lineRule="auto"/>
        <w:ind w:firstLine="709"/>
        <w:jc w:val="both"/>
        <w:rPr>
          <w:rFonts w:ascii="Verdana" w:eastAsia="Calibri" w:hAnsi="Verdana" w:cs="Arial"/>
          <w:color w:val="000000" w:themeColor="text1"/>
          <w:lang w:val="es-ES_tradnl"/>
        </w:rPr>
      </w:pPr>
      <w:bookmarkStart w:id="3" w:name="_Hlk175506461"/>
      <w:r w:rsidRPr="00717B87">
        <w:rPr>
          <w:rFonts w:ascii="Verdana" w:eastAsia="Calibri" w:hAnsi="Verdana" w:cs="Arial"/>
          <w:color w:val="000000" w:themeColor="text1"/>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bookmarkEnd w:id="3"/>
    <w:p w14:paraId="3D291063" w14:textId="77777777" w:rsidR="00062A95" w:rsidRPr="000876F8" w:rsidRDefault="00062A95" w:rsidP="00062A95">
      <w:pPr>
        <w:spacing w:after="12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De otro lado, se encuentra que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w:t>
      </w:r>
    </w:p>
    <w:p w14:paraId="6B666C05" w14:textId="77777777" w:rsidR="00062A95" w:rsidRPr="000876F8" w:rsidRDefault="00062A95" w:rsidP="00062A95">
      <w:pPr>
        <w:spacing w:after="120" w:line="276" w:lineRule="auto"/>
        <w:ind w:firstLine="708"/>
        <w:jc w:val="both"/>
        <w:rPr>
          <w:rFonts w:ascii="Verdana" w:eastAsia="Calibri" w:hAnsi="Verdana" w:cs="Arial"/>
          <w:color w:val="000000" w:themeColor="text1"/>
        </w:rPr>
      </w:pPr>
      <w:r w:rsidRPr="000876F8">
        <w:rPr>
          <w:rFonts w:ascii="Verdana" w:eastAsia="Calibri" w:hAnsi="Verdana" w:cs="Arial"/>
          <w:color w:val="000000" w:themeColor="text1"/>
        </w:rPr>
        <w:t xml:space="preserve">Conviene señalar que la excepción contenida en la norma mencionada – concretamente en el inciso segundo – determina de manera explícita los sujetos a los cuales les es aplicable la restricción contenida en dicho artículo, que incluye la celebración de contratos o convenios interadministrativos cuando se trate, entre otros, de un contrato de obra. Esta disposición exceptuó celebrar de manera directa contratos o convenios interadministrativos cuando se trate de un contrato de obra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534AF5A6" w14:textId="77777777" w:rsidR="00062A95" w:rsidRPr="000876F8" w:rsidRDefault="00062A95" w:rsidP="00062A95">
      <w:pPr>
        <w:spacing w:after="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lastRenderedPageBreak/>
        <w:t>En esta línea, la Sala de Consulta y Servicio Civil</w:t>
      </w:r>
      <w:r w:rsidRPr="000876F8">
        <w:rPr>
          <w:rStyle w:val="Refdenotaalpie"/>
          <w:rFonts w:ascii="Verdana" w:eastAsia="Calibri" w:hAnsi="Verdana" w:cs="Arial"/>
          <w:color w:val="000000" w:themeColor="text1"/>
          <w:lang w:val="es-ES_tradnl"/>
        </w:rPr>
        <w:footnoteReference w:id="4"/>
      </w:r>
      <w:r w:rsidRPr="000876F8">
        <w:rPr>
          <w:rFonts w:ascii="Verdana" w:eastAsia="Calibri" w:hAnsi="Verdana" w:cs="Arial"/>
          <w:color w:val="000000" w:themeColor="text1"/>
          <w:lang w:val="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7DBEC8A1" w14:textId="77777777" w:rsidR="00062A95" w:rsidRPr="000876F8" w:rsidRDefault="00062A95" w:rsidP="00062A95">
      <w:pPr>
        <w:pStyle w:val="Textoindependiente"/>
        <w:spacing w:line="276" w:lineRule="auto"/>
        <w:ind w:left="346"/>
        <w:rPr>
          <w:rFonts w:ascii="Verdana" w:hAnsi="Verdana"/>
        </w:rPr>
      </w:pPr>
    </w:p>
    <w:p w14:paraId="1B23B4D6" w14:textId="77777777" w:rsidR="00062A95" w:rsidRPr="00A5172F" w:rsidRDefault="00062A95" w:rsidP="00062A95">
      <w:pPr>
        <w:pStyle w:val="Textoindependiente"/>
        <w:spacing w:after="0" w:line="240" w:lineRule="auto"/>
        <w:ind w:left="709" w:right="709"/>
        <w:jc w:val="both"/>
        <w:rPr>
          <w:rFonts w:ascii="Verdana" w:hAnsi="Verdana"/>
          <w:sz w:val="20"/>
          <w:szCs w:val="20"/>
        </w:rPr>
      </w:pPr>
      <w:r w:rsidRPr="00A5172F">
        <w:rPr>
          <w:rFonts w:ascii="Verdana" w:hAnsi="Verdana"/>
          <w:sz w:val="20"/>
          <w:szCs w:val="20"/>
        </w:rPr>
        <w:t xml:space="preserve">“[..] La suscripción de contratos interadministrativos </w:t>
      </w:r>
      <w:r w:rsidRPr="00A5172F">
        <w:rPr>
          <w:rFonts w:ascii="Verdana" w:eastAsia="Calibri" w:hAnsi="Verdana"/>
          <w:color w:val="000000" w:themeColor="text1"/>
          <w:sz w:val="20"/>
          <w:szCs w:val="20"/>
          <w:lang w:val="es-ES_tradnl"/>
        </w:rPr>
        <w:t>«</w:t>
      </w:r>
      <w:r w:rsidRPr="00A5172F">
        <w:rPr>
          <w:rFonts w:ascii="Verdana" w:hAnsi="Verdana"/>
          <w:sz w:val="20"/>
          <w:szCs w:val="20"/>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A5172F">
        <w:rPr>
          <w:rFonts w:ascii="Verdana" w:eastAsia="Calibri" w:hAnsi="Verdana"/>
          <w:color w:val="000000" w:themeColor="text1"/>
          <w:sz w:val="20"/>
          <w:szCs w:val="20"/>
          <w:lang w:val="es-ES_tradnl"/>
        </w:rPr>
        <w:t>»</w:t>
      </w:r>
      <w:r w:rsidRPr="00A5172F">
        <w:rPr>
          <w:rFonts w:ascii="Verdana" w:hAnsi="Verdana"/>
          <w:sz w:val="20"/>
          <w:szCs w:val="20"/>
        </w:rPr>
        <w:t>, debe estar precedida de licitación pública o selección abreviada; solamente en los demás casos, podrá acudirse al sistema de contratación directa (literal c, inciso 2).</w:t>
      </w:r>
    </w:p>
    <w:p w14:paraId="43DD4265" w14:textId="77777777" w:rsidR="00062A95" w:rsidRPr="00A5172F" w:rsidRDefault="00062A95" w:rsidP="00062A95">
      <w:pPr>
        <w:pStyle w:val="Textoindependiente"/>
        <w:spacing w:after="0" w:line="240" w:lineRule="auto"/>
        <w:ind w:left="709" w:right="709"/>
        <w:jc w:val="both"/>
        <w:rPr>
          <w:rFonts w:ascii="Verdana" w:hAnsi="Verdana"/>
          <w:sz w:val="20"/>
          <w:szCs w:val="20"/>
        </w:rPr>
      </w:pPr>
    </w:p>
    <w:p w14:paraId="1A48EF91" w14:textId="77777777" w:rsidR="00062A95" w:rsidRPr="00A5172F" w:rsidRDefault="00062A95" w:rsidP="00062A95">
      <w:pPr>
        <w:pStyle w:val="Textoindependiente"/>
        <w:spacing w:after="0" w:line="240" w:lineRule="auto"/>
        <w:ind w:left="709" w:right="709"/>
        <w:jc w:val="both"/>
        <w:rPr>
          <w:rFonts w:ascii="Verdana" w:hAnsi="Verdana"/>
          <w:sz w:val="20"/>
          <w:szCs w:val="20"/>
        </w:rPr>
      </w:pPr>
      <w:r w:rsidRPr="00A5172F">
        <w:rPr>
          <w:rFonts w:ascii="Verdana" w:hAnsi="Verdana"/>
          <w:sz w:val="20"/>
          <w:szCs w:val="20"/>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A5172F">
        <w:rPr>
          <w:rFonts w:ascii="Verdana" w:hAnsi="Verdana"/>
          <w:sz w:val="20"/>
          <w:szCs w:val="20"/>
        </w:rPr>
        <w:t>cita,</w:t>
      </w:r>
      <w:proofErr w:type="gramEnd"/>
      <w:r w:rsidRPr="00A5172F">
        <w:rPr>
          <w:rFonts w:ascii="Verdana" w:hAnsi="Verdana"/>
          <w:sz w:val="20"/>
          <w:szCs w:val="20"/>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A5172F">
        <w:rPr>
          <w:rFonts w:ascii="Verdana" w:hAnsi="Verdana"/>
          <w:sz w:val="20"/>
          <w:szCs w:val="20"/>
        </w:rPr>
        <w:t>directa</w:t>
      </w:r>
      <w:proofErr w:type="gramEnd"/>
      <w:r w:rsidRPr="00A5172F">
        <w:rPr>
          <w:rFonts w:ascii="Verdana" w:hAnsi="Verdana"/>
          <w:sz w:val="20"/>
          <w:szCs w:val="20"/>
        </w:rPr>
        <w:t xml:space="preserve"> sino que requieren agotar un proceso previo de licitación pública o selección abreviada”.</w:t>
      </w:r>
    </w:p>
    <w:p w14:paraId="7B1B3D1A" w14:textId="77777777" w:rsidR="00062A95" w:rsidRPr="000876F8" w:rsidRDefault="00062A95" w:rsidP="00062A95">
      <w:pPr>
        <w:pStyle w:val="Prrafodelista"/>
        <w:spacing w:after="0" w:line="276" w:lineRule="auto"/>
        <w:jc w:val="both"/>
        <w:rPr>
          <w:rFonts w:ascii="Verdana" w:eastAsia="Calibri" w:hAnsi="Verdana" w:cs="Arial"/>
          <w:color w:val="000000" w:themeColor="text1"/>
          <w:lang w:val="es-ES_tradnl"/>
        </w:rPr>
      </w:pPr>
    </w:p>
    <w:p w14:paraId="5F040DD2" w14:textId="77777777" w:rsidR="00062A95" w:rsidRPr="000876F8" w:rsidRDefault="00062A95" w:rsidP="00062A95">
      <w:pPr>
        <w:spacing w:after="120" w:line="276" w:lineRule="auto"/>
        <w:ind w:firstLine="709"/>
        <w:jc w:val="both"/>
        <w:rPr>
          <w:rFonts w:ascii="Verdana" w:eastAsia="Calibri" w:hAnsi="Verdana" w:cs="Arial"/>
          <w:color w:val="000000" w:themeColor="text1"/>
        </w:rPr>
      </w:pPr>
      <w:r w:rsidRPr="000876F8">
        <w:rPr>
          <w:rFonts w:ascii="Verdana" w:eastAsia="Calibri" w:hAnsi="Verdana" w:cs="Arial"/>
          <w:color w:val="000000" w:themeColor="text1"/>
        </w:rPr>
        <w:t xml:space="preserve">Así las cosas, de conformidad con lo establecido por el artículo 92 de la Ley 1474 de 2011, mediante el cual se modificó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la suscripción de los contratos interadministrativos mencionados en ella, sin perjuicio de que dichas entidades participen y, eventualmente, celebren dichos contratos luego de ser seleccionados a través de modalidades como la licitación pública o selección abreviada, según corresponda. </w:t>
      </w:r>
    </w:p>
    <w:p w14:paraId="39932966" w14:textId="77777777" w:rsidR="00062A95" w:rsidRDefault="00062A95" w:rsidP="00062A95">
      <w:pPr>
        <w:spacing w:after="120" w:line="276" w:lineRule="auto"/>
        <w:ind w:firstLine="708"/>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 xml:space="preserve">Por tanto, para esta Agencia, el ámbito de aplicación de la regla referida es de alcance restrictivo, dado que se circunscribe a los contratos y entidades </w:t>
      </w:r>
      <w:r w:rsidRPr="000876F8">
        <w:rPr>
          <w:rFonts w:ascii="Verdana" w:eastAsia="Calibri" w:hAnsi="Verdana" w:cs="Arial"/>
          <w:color w:val="000000" w:themeColor="text1"/>
          <w:lang w:val="es-ES_tradnl"/>
        </w:rPr>
        <w:lastRenderedPageBreak/>
        <w:t xml:space="preserve">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w:t>
      </w:r>
      <w:r w:rsidRPr="00D23F99">
        <w:rPr>
          <w:rFonts w:ascii="Verdana" w:eastAsia="Calibri" w:hAnsi="Verdana" w:cs="Arial"/>
          <w:color w:val="000000" w:themeColor="text1"/>
          <w:lang w:val="es-ES_tradnl"/>
        </w:rPr>
        <w:t>correspondiendo a cada entidad definir la conveniencia y procedencia jurídica, técnica y financiera de su celebración</w:t>
      </w:r>
      <w:r>
        <w:rPr>
          <w:rFonts w:ascii="Verdana" w:eastAsia="Calibri" w:hAnsi="Verdana" w:cs="Arial"/>
          <w:color w:val="000000" w:themeColor="text1"/>
          <w:lang w:val="es-ES_tradnl"/>
        </w:rPr>
        <w:t>.</w:t>
      </w:r>
    </w:p>
    <w:p w14:paraId="5DA80E69" w14:textId="77777777" w:rsidR="00062A95" w:rsidRPr="00A50E8B" w:rsidRDefault="00062A95" w:rsidP="00062A95">
      <w:pPr>
        <w:spacing w:after="120" w:line="276" w:lineRule="auto"/>
        <w:ind w:firstLine="708"/>
        <w:jc w:val="both"/>
        <w:rPr>
          <w:rFonts w:ascii="Verdana" w:eastAsia="Calibri" w:hAnsi="Verdana" w:cs="Arial"/>
          <w:color w:val="000000" w:themeColor="text1"/>
          <w:lang w:val="es-ES_tradnl"/>
        </w:rPr>
      </w:pPr>
    </w:p>
    <w:p w14:paraId="133DC29D" w14:textId="77777777" w:rsidR="00062A95" w:rsidRPr="00593A5F" w:rsidRDefault="00062A95" w:rsidP="00062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35FCD2A" w14:textId="77777777" w:rsidR="00062A95" w:rsidRPr="00593A5F" w:rsidRDefault="00062A95" w:rsidP="00062A9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62A95" w:rsidRPr="00593A5F" w14:paraId="1C8B7CD6" w14:textId="77777777" w:rsidTr="00904967">
        <w:trPr>
          <w:trHeight w:val="870"/>
        </w:trPr>
        <w:tc>
          <w:tcPr>
            <w:tcW w:w="8647" w:type="dxa"/>
          </w:tcPr>
          <w:p w14:paraId="4D4E8CB7" w14:textId="77777777" w:rsidR="00062A95" w:rsidRPr="000876F8" w:rsidRDefault="00062A95" w:rsidP="00062A95">
            <w:pPr>
              <w:pStyle w:val="Prrafodelista"/>
              <w:numPr>
                <w:ilvl w:val="0"/>
                <w:numId w:val="17"/>
              </w:numPr>
              <w:spacing w:line="276" w:lineRule="auto"/>
              <w:jc w:val="both"/>
              <w:rPr>
                <w:rFonts w:ascii="Verdana" w:eastAsia="Calibri" w:hAnsi="Verdana" w:cs="Arial"/>
                <w:color w:val="000000" w:themeColor="text1"/>
                <w:lang w:val="es-ES_tradnl"/>
              </w:rPr>
            </w:pPr>
            <w:r w:rsidRPr="000876F8">
              <w:rPr>
                <w:rFonts w:ascii="Verdana" w:eastAsia="Calibri" w:hAnsi="Verdana" w:cs="Arial"/>
                <w:color w:val="000000" w:themeColor="text1"/>
              </w:rPr>
              <w:t xml:space="preserve">Ley 1150 de 2007: Artículo 2, numeral 4, literal c)– modificado por el artículo 92 de la Ley 1474 de 2011. </w:t>
            </w:r>
          </w:p>
          <w:p w14:paraId="597914C2" w14:textId="77777777" w:rsidR="00062A95" w:rsidRPr="000876F8" w:rsidRDefault="00062A95" w:rsidP="00904967">
            <w:pPr>
              <w:spacing w:line="276" w:lineRule="auto"/>
              <w:jc w:val="both"/>
              <w:rPr>
                <w:rFonts w:ascii="Verdana" w:hAnsi="Verdana" w:cs="Arial"/>
              </w:rPr>
            </w:pPr>
          </w:p>
          <w:p w14:paraId="151E2CDF" w14:textId="77777777" w:rsidR="00062A95" w:rsidRPr="000876F8" w:rsidRDefault="00062A95" w:rsidP="00062A95">
            <w:pPr>
              <w:pStyle w:val="Prrafodelista"/>
              <w:numPr>
                <w:ilvl w:val="0"/>
                <w:numId w:val="17"/>
              </w:numPr>
              <w:spacing w:line="276" w:lineRule="auto"/>
              <w:jc w:val="both"/>
              <w:rPr>
                <w:rFonts w:ascii="Verdana" w:hAnsi="Verdana" w:cs="Arial"/>
              </w:rPr>
            </w:pPr>
            <w:r w:rsidRPr="000876F8">
              <w:rPr>
                <w:rFonts w:ascii="Verdana" w:hAnsi="Verdana" w:cs="Arial"/>
              </w:rPr>
              <w:t>Ley 1150 de 2007: Artículo 14 – modificado por el artículo 93 de la Ley 1474 de 2011.</w:t>
            </w:r>
          </w:p>
          <w:p w14:paraId="41AC2B0C" w14:textId="77777777" w:rsidR="00062A95" w:rsidRPr="000876F8" w:rsidRDefault="00062A95" w:rsidP="00904967">
            <w:pPr>
              <w:spacing w:line="276" w:lineRule="auto"/>
              <w:jc w:val="both"/>
              <w:rPr>
                <w:rFonts w:ascii="Verdana" w:hAnsi="Verdana" w:cs="Arial"/>
              </w:rPr>
            </w:pPr>
          </w:p>
          <w:p w14:paraId="04FC4281" w14:textId="77777777" w:rsidR="00062A95" w:rsidRPr="000876F8" w:rsidRDefault="00062A95" w:rsidP="00062A95">
            <w:pPr>
              <w:pStyle w:val="Prrafodelista"/>
              <w:numPr>
                <w:ilvl w:val="0"/>
                <w:numId w:val="17"/>
              </w:numPr>
              <w:spacing w:line="276" w:lineRule="auto"/>
              <w:jc w:val="both"/>
              <w:rPr>
                <w:rFonts w:ascii="Verdana" w:hAnsi="Verdana" w:cs="Arial"/>
              </w:rPr>
            </w:pPr>
            <w:r w:rsidRPr="000876F8">
              <w:rPr>
                <w:rFonts w:ascii="Verdana" w:hAnsi="Verdana" w:cs="Arial"/>
                <w:color w:val="000000" w:themeColor="text1"/>
              </w:rPr>
              <w:t>Decreto 1082 de 2015: Artículo 2.2.1.2.1.4.4.</w:t>
            </w:r>
          </w:p>
          <w:p w14:paraId="5C900BDA" w14:textId="77777777" w:rsidR="00062A95" w:rsidRPr="000876F8" w:rsidRDefault="00062A95" w:rsidP="00904967">
            <w:pPr>
              <w:spacing w:line="276" w:lineRule="auto"/>
              <w:ind w:hanging="360"/>
              <w:jc w:val="both"/>
              <w:rPr>
                <w:rFonts w:ascii="Verdana" w:eastAsia="Calibri" w:hAnsi="Verdana" w:cs="Arial"/>
                <w:color w:val="000000" w:themeColor="text1"/>
                <w:lang w:val="es-ES_tradnl"/>
              </w:rPr>
            </w:pPr>
          </w:p>
          <w:p w14:paraId="1D23A4DB" w14:textId="77777777" w:rsidR="00062A95" w:rsidRPr="000876F8" w:rsidRDefault="00062A95" w:rsidP="00062A95">
            <w:pPr>
              <w:pStyle w:val="Prrafodelista"/>
              <w:numPr>
                <w:ilvl w:val="0"/>
                <w:numId w:val="17"/>
              </w:numPr>
              <w:spacing w:line="276" w:lineRule="auto"/>
              <w:jc w:val="both"/>
              <w:rPr>
                <w:rFonts w:ascii="Verdana" w:hAnsi="Verdana"/>
              </w:rPr>
            </w:pPr>
            <w:r w:rsidRPr="000876F8">
              <w:rPr>
                <w:rFonts w:ascii="Verdana" w:hAnsi="Verdana" w:cs="Arial"/>
              </w:rPr>
              <w:t>Consejo de Estado. Sala de Consulta y Servicio Civil. Concepto de 28 de junio de 2012. Rad: 11001-03-06-000-2012-00016-00(2092). Consejero Ponente: William Zambrano Cetina.</w:t>
            </w:r>
          </w:p>
          <w:p w14:paraId="7B78264B" w14:textId="77777777" w:rsidR="00062A95" w:rsidRPr="000876F8" w:rsidRDefault="00062A95" w:rsidP="00904967">
            <w:pPr>
              <w:spacing w:line="276" w:lineRule="auto"/>
              <w:ind w:left="-360"/>
              <w:jc w:val="both"/>
              <w:rPr>
                <w:rFonts w:ascii="Verdana" w:eastAsia="Calibri" w:hAnsi="Verdana" w:cs="Arial"/>
                <w:color w:val="000000" w:themeColor="text1"/>
                <w:lang w:val="es-ES_tradnl"/>
              </w:rPr>
            </w:pPr>
          </w:p>
          <w:p w14:paraId="4B62090D" w14:textId="77777777" w:rsidR="00062A95" w:rsidRPr="00D36B29" w:rsidRDefault="00062A95" w:rsidP="00062A95">
            <w:pPr>
              <w:pStyle w:val="Prrafodelista"/>
              <w:numPr>
                <w:ilvl w:val="0"/>
                <w:numId w:val="17"/>
              </w:numPr>
              <w:spacing w:line="276" w:lineRule="auto"/>
              <w:jc w:val="both"/>
              <w:rPr>
                <w:rFonts w:ascii="Verdana" w:hAnsi="Verdana"/>
                <w:lang w:val="es-ES_tradnl"/>
              </w:rPr>
            </w:pPr>
            <w:r w:rsidRPr="000876F8">
              <w:rPr>
                <w:rFonts w:ascii="Verdana" w:hAnsi="Verdana" w:cs="Arial"/>
              </w:rPr>
              <w:t>Consejo de Estado. Sala de la Contencioso Administrativo. Sección Tercera. Sentencia del 19 de agosto de 2004 Exp. 12.342, reiterada en sentencia de 6 de febrero de 2006, Exp. 13.414.</w:t>
            </w:r>
          </w:p>
          <w:p w14:paraId="0B0210AB" w14:textId="77777777" w:rsidR="00062A95" w:rsidRPr="0089431C" w:rsidRDefault="00062A95" w:rsidP="00904967">
            <w:pPr>
              <w:rPr>
                <w:rFonts w:ascii="Verdana" w:hAnsi="Verdana" w:cs="Arial"/>
                <w:color w:val="7030A0"/>
              </w:rPr>
            </w:pPr>
          </w:p>
          <w:p w14:paraId="69461489" w14:textId="77777777" w:rsidR="00062A95" w:rsidRPr="00340039" w:rsidRDefault="00062A95" w:rsidP="00062A95">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A50E8B">
              <w:rPr>
                <w:rFonts w:ascii="Verdana" w:hAnsi="Verdana" w:cs="Arial"/>
              </w:rPr>
              <w:t xml:space="preserve">Jurisprudencia del Consejo de Estado. Disponible en: </w:t>
            </w:r>
            <w:hyperlink r:id="rId13" w:history="1">
              <w:r w:rsidRPr="00062A95">
                <w:rPr>
                  <w:rStyle w:val="Hipervnculo"/>
                  <w:rFonts w:ascii="Verdana" w:hAnsi="Verdana" w:cs="Arial"/>
                  <w:color w:val="4472C4" w:themeColor="accent1"/>
                </w:rPr>
                <w:t>https://relatoria.colombiacompra.gov.co/providencias-consejo-de-estado/</w:t>
              </w:r>
            </w:hyperlink>
            <w:r w:rsidRPr="00062A95">
              <w:rPr>
                <w:rFonts w:ascii="Verdana" w:hAnsi="Verdana" w:cs="Arial"/>
                <w:color w:val="4472C4" w:themeColor="accent1"/>
              </w:rPr>
              <w:t xml:space="preserve"> </w:t>
            </w:r>
          </w:p>
          <w:p w14:paraId="408EB040" w14:textId="77777777" w:rsidR="00062A95" w:rsidRPr="00F17428" w:rsidRDefault="00062A95" w:rsidP="00062A95">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A50E8B">
              <w:rPr>
                <w:rFonts w:ascii="Verdana" w:hAnsi="Verdana" w:cs="Arial"/>
              </w:rPr>
              <w:t>Guías y manuales expedidos por la ANCP-CCE. Disponible en:</w:t>
            </w:r>
            <w:r w:rsidRPr="00A50E8B">
              <w:t xml:space="preserve"> </w:t>
            </w:r>
            <w:hyperlink r:id="rId14" w:history="1">
              <w:r w:rsidRPr="00062A95">
                <w:rPr>
                  <w:rStyle w:val="Hipervnculo"/>
                  <w:rFonts w:ascii="Verdana" w:hAnsi="Verdana" w:cs="Arial"/>
                  <w:color w:val="4472C4" w:themeColor="accent1"/>
                </w:rPr>
                <w:t>https://www.colombiacompra.gov.co/manuales-guias-y-pliegos-tipo/manuales-y-guias</w:t>
              </w:r>
            </w:hyperlink>
            <w:r w:rsidRPr="00062A95">
              <w:rPr>
                <w:rFonts w:ascii="Verdana" w:hAnsi="Verdana" w:cs="Arial"/>
                <w:color w:val="4472C4" w:themeColor="accent1"/>
              </w:rPr>
              <w:t xml:space="preserve"> </w:t>
            </w:r>
          </w:p>
          <w:p w14:paraId="3D0C50FB" w14:textId="77777777" w:rsidR="00062A95" w:rsidRPr="00AC742F" w:rsidRDefault="00062A95" w:rsidP="00904967">
            <w:pPr>
              <w:widowControl w:val="0"/>
              <w:autoSpaceDE w:val="0"/>
              <w:autoSpaceDN w:val="0"/>
              <w:spacing w:after="120" w:line="276" w:lineRule="auto"/>
              <w:ind w:left="360"/>
              <w:jc w:val="both"/>
              <w:rPr>
                <w:rFonts w:ascii="Verdana" w:hAnsi="Verdana" w:cs="Arial"/>
              </w:rPr>
            </w:pPr>
          </w:p>
        </w:tc>
      </w:tr>
    </w:tbl>
    <w:p w14:paraId="2E40D471" w14:textId="77777777" w:rsidR="00062A95" w:rsidRPr="00593A5F" w:rsidRDefault="00062A95" w:rsidP="00062A95">
      <w:pPr>
        <w:widowControl w:val="0"/>
        <w:autoSpaceDE w:val="0"/>
        <w:autoSpaceDN w:val="0"/>
        <w:spacing w:after="0" w:line="276" w:lineRule="auto"/>
        <w:jc w:val="both"/>
        <w:rPr>
          <w:rFonts w:ascii="Verdana" w:hAnsi="Verdana" w:cs="Arial"/>
        </w:rPr>
      </w:pPr>
    </w:p>
    <w:p w14:paraId="0822BD75" w14:textId="77777777" w:rsidR="00062A95" w:rsidRPr="00593A5F" w:rsidRDefault="00062A95" w:rsidP="00062A9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7CAF324" w14:textId="77777777" w:rsidR="00062A95" w:rsidRPr="00593A5F" w:rsidRDefault="00062A95" w:rsidP="00062A95">
      <w:pPr>
        <w:widowControl w:val="0"/>
        <w:autoSpaceDE w:val="0"/>
        <w:autoSpaceDN w:val="0"/>
        <w:spacing w:after="0" w:line="276" w:lineRule="auto"/>
        <w:jc w:val="both"/>
        <w:rPr>
          <w:rFonts w:ascii="Verdana" w:hAnsi="Verdana" w:cs="Arial"/>
        </w:rPr>
      </w:pPr>
    </w:p>
    <w:p w14:paraId="7FDE8A69" w14:textId="77777777" w:rsidR="00062A95" w:rsidRDefault="00062A95" w:rsidP="00062A9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B4A65">
        <w:rPr>
          <w:rStyle w:val="normaltextrun"/>
          <w:rFonts w:ascii="Verdana" w:hAnsi="Verdana" w:cs="Arial"/>
          <w:shd w:val="clear" w:color="auto" w:fill="FFFFFF"/>
          <w:lang w:val="es-ES"/>
        </w:rPr>
        <w:lastRenderedPageBreak/>
        <w:t>Sobre el</w:t>
      </w:r>
      <w:r w:rsidRPr="001B4A65">
        <w:rPr>
          <w:rFonts w:ascii="Verdana" w:eastAsia="Times New Roman" w:hAnsi="Verdana" w:cs="Arial"/>
          <w:bCs/>
          <w:lang w:val="es-MX" w:eastAsia="es-ES_tradnl"/>
        </w:rPr>
        <w:t xml:space="preserve"> concepto y régimen jurídico aplicable a los contratos interadministrativos, entre otros, </w:t>
      </w:r>
      <w:r w:rsidRPr="001B4A65">
        <w:rPr>
          <w:rStyle w:val="normaltextrun"/>
          <w:rFonts w:ascii="Verdana" w:hAnsi="Verdana" w:cs="Arial"/>
          <w:shd w:val="clear" w:color="auto" w:fill="FFFFFF"/>
          <w:lang w:val="es-ES"/>
        </w:rPr>
        <w:t>se pronunció esta Subdirección en los conceptos</w:t>
      </w:r>
      <w:r w:rsidRPr="001B4A65">
        <w:rPr>
          <w:rStyle w:val="normaltextrun"/>
          <w:rFonts w:ascii="Verdana" w:hAnsi="Verdana" w:cs="Calibri"/>
          <w:shd w:val="clear" w:color="auto" w:fill="FFFFFF"/>
        </w:rPr>
        <w:t xml:space="preserve"> </w:t>
      </w:r>
      <w:r w:rsidRPr="001B4A65">
        <w:rPr>
          <w:rFonts w:ascii="Verdana" w:eastAsia="Calibri" w:hAnsi="Verdana" w:cs="Arial"/>
          <w:lang w:eastAsia="es-ES_tradnl"/>
        </w:rPr>
        <w:t xml:space="preserve">4201913000004536 del 27 de julio de 2019, C-023 del 3 de febrero de 2020, C-702 del 11 de diciembre de 2020, C-097 de 23 de marzo de 202, C-350 del 16 de julio de 2021, C-352 del 27 de julio de 2021, C-508 del 20 de septiembre de 2021, </w:t>
      </w:r>
      <w:r w:rsidRPr="000876F8">
        <w:rPr>
          <w:rFonts w:ascii="Verdana" w:eastAsia="Calibri" w:hAnsi="Verdana" w:cs="Arial"/>
          <w:color w:val="000000" w:themeColor="text1"/>
          <w:lang w:eastAsia="es-ES_tradnl"/>
        </w:rPr>
        <w:t xml:space="preserve">C-616 del 3 de noviembre de 2021, C-662 del 1 de diciembre de 2022, C-147 del 25 de julio de 2023, C-369 del 12 de septiembre de 2022. Sobre la excepción de celebrar contratos y convenios interadministrativos de forma directa establecida en el inciso segundo </w:t>
      </w:r>
      <w:r w:rsidRPr="000876F8">
        <w:rPr>
          <w:rFonts w:ascii="Verdana" w:eastAsia="Calibri" w:hAnsi="Verdana" w:cs="Arial"/>
          <w:color w:val="000000" w:themeColor="text1"/>
          <w:lang w:val="es-ES"/>
        </w:rPr>
        <w:t>artículo 2, numeral 4, literal c), de la mencionada ley – modificado por el artículo 92 de la Ley 1474 de 2011 – se ha pronunciado en los conceptos C-157 del 16 de marzo de 2020, C-593 del 9 de octubre de 2020, C-691 del 27 de noviembre de 2020, C-173 del 19 de abril de 2021, C-116 del 30 de marzo de 2021, C-149 del 8 de abril de 2021, C-284 del 16 de junio de 2021, C-508 del 20 de septiembre de 2021, C-033 del 27 de febrero de 2023, C-285 del 19 de julio de 2023, C-379 del 19 de octubre de 2023, C-004 del 22 de enero de 2024 y C-139 del 14 de agosto de 2024.</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5" w:history="1">
        <w:r w:rsidRPr="00062A95">
          <w:rPr>
            <w:rStyle w:val="Hipervnculo"/>
            <w:rFonts w:ascii="Verdana" w:hAnsi="Verdana" w:cs="Arial"/>
            <w:color w:val="4472C4" w:themeColor="accent1"/>
            <w:shd w:val="clear" w:color="auto" w:fill="FFFFFF"/>
            <w:lang w:val="es-ES"/>
          </w:rPr>
          <w:t>https://relatoria.colombiacompra.gov.co/busqueda/conceptos</w:t>
        </w:r>
      </w:hyperlink>
      <w:r w:rsidRPr="00E84357">
        <w:rPr>
          <w:rStyle w:val="normaltextrun"/>
          <w:rFonts w:ascii="Verdana" w:hAnsi="Verdana" w:cs="Arial"/>
          <w:shd w:val="clear" w:color="auto" w:fill="FFFFFF"/>
          <w:lang w:val="es-ES"/>
        </w:rPr>
        <w:t xml:space="preserve">. </w:t>
      </w:r>
    </w:p>
    <w:p w14:paraId="1770D249" w14:textId="77777777" w:rsidR="00062A95" w:rsidRDefault="00062A95" w:rsidP="00062A9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E4002F9" w14:textId="77777777" w:rsidR="00062A95" w:rsidRDefault="00062A95" w:rsidP="00062A95">
      <w:pPr>
        <w:widowControl w:val="0"/>
        <w:autoSpaceDE w:val="0"/>
        <w:autoSpaceDN w:val="0"/>
        <w:spacing w:after="0" w:line="276" w:lineRule="auto"/>
        <w:jc w:val="both"/>
        <w:rPr>
          <w:rFonts w:ascii="Verdana" w:hAnsi="Verdana" w:cs="Arial"/>
          <w:color w:val="000000" w:themeColor="text1"/>
          <w:shd w:val="clear" w:color="auto" w:fill="FFFFFF"/>
        </w:rPr>
      </w:pPr>
      <w:r w:rsidRPr="00E84357">
        <w:rPr>
          <w:rFonts w:ascii="Verdana" w:hAnsi="Verdana" w:cs="Arial"/>
          <w:color w:val="000000" w:themeColor="text1"/>
          <w:shd w:val="clear" w:color="auto" w:fill="FFFFFF"/>
        </w:rPr>
        <w:b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58BEFD19" w14:textId="77777777" w:rsidR="00062A95" w:rsidRPr="00E84357" w:rsidRDefault="00062A95" w:rsidP="00062A95">
      <w:pPr>
        <w:widowControl w:val="0"/>
        <w:autoSpaceDE w:val="0"/>
        <w:autoSpaceDN w:val="0"/>
        <w:spacing w:after="0" w:line="276" w:lineRule="auto"/>
        <w:jc w:val="both"/>
        <w:rPr>
          <w:rFonts w:ascii="Verdana" w:hAnsi="Verdana" w:cs="Arial"/>
          <w:color w:val="000000" w:themeColor="text1"/>
          <w:shd w:val="clear" w:color="auto" w:fill="FFFFFF"/>
        </w:rPr>
      </w:pPr>
    </w:p>
    <w:p w14:paraId="32007E7A" w14:textId="77777777" w:rsidR="00062A95" w:rsidRPr="00E84357" w:rsidRDefault="00062A95" w:rsidP="00062A95">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E84357">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6" w:tgtFrame="_blank" w:tooltip="Dirección URL original: https://www.colombiacompra.gov.co/content/03-documentos-tipo-para-los-procesos-de-seleccion-de-interventoria-de-obra-publica-de. Haga clic o pulse si confía en este vínculo." w:history="1">
        <w:r w:rsidRPr="00E84357">
          <w:rPr>
            <w:rStyle w:val="Hipervnculo"/>
            <w:rFonts w:ascii="Verdana" w:hAnsi="Verdana" w:cs="Arial"/>
            <w:color w:val="4472C4" w:themeColor="accent1"/>
            <w:shd w:val="clear" w:color="auto" w:fill="FFFFFF"/>
          </w:rPr>
          <w:t>03. Documentos tipo para los procesos de selección de interventoría de obra pública de infraestructura de transporte – versión 3 | Colombia Compra Eficiente | Agencia Nacional de Contratación Pública</w:t>
        </w:r>
      </w:hyperlink>
    </w:p>
    <w:p w14:paraId="5800D25B" w14:textId="77777777" w:rsidR="00062A95" w:rsidRPr="00E84357" w:rsidRDefault="00062A95" w:rsidP="00062A95">
      <w:pPr>
        <w:widowControl w:val="0"/>
        <w:autoSpaceDE w:val="0"/>
        <w:autoSpaceDN w:val="0"/>
        <w:spacing w:after="0" w:line="276" w:lineRule="auto"/>
        <w:ind w:left="720"/>
        <w:jc w:val="both"/>
        <w:rPr>
          <w:rFonts w:ascii="Verdana" w:hAnsi="Verdana" w:cs="Arial"/>
          <w:color w:val="000000" w:themeColor="text1"/>
          <w:shd w:val="clear" w:color="auto" w:fill="FFFFFF"/>
        </w:rPr>
      </w:pPr>
    </w:p>
    <w:p w14:paraId="3292C434" w14:textId="77777777" w:rsidR="00062A95" w:rsidRPr="00E84357" w:rsidRDefault="00062A95" w:rsidP="00062A95">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E84357">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E84357">
        <w:rPr>
          <w:rFonts w:ascii="Verdana" w:hAnsi="Verdana" w:cs="Arial"/>
          <w:color w:val="000000" w:themeColor="text1"/>
          <w:shd w:val="clear" w:color="auto" w:fill="FFFFFF"/>
        </w:rPr>
        <w:t> </w:t>
      </w:r>
      <w:hyperlink r:id="rId17" w:tgtFrame="_blank" w:tooltip="Dirección URL original: https://www.colombiacompra.gov.co/content/02-documentos-tipo-para-los-procesos-de-seleccion-de-consultoria-de-obra-publica-de. Haga clic o pulse si confía en este vínculo." w:history="1">
        <w:r w:rsidRPr="00E84357">
          <w:rPr>
            <w:rStyle w:val="Hipervnculo"/>
            <w:rFonts w:ascii="Verdana" w:hAnsi="Verdana" w:cs="Arial"/>
            <w:color w:val="4472C4" w:themeColor="accent1"/>
            <w:shd w:val="clear" w:color="auto" w:fill="FFFFFF"/>
          </w:rPr>
          <w:t>02. Documentos tipo para los procesos de selección de consultoría de obra pública de infraestructura de transporte – versión 2. | Colombia Compra Eficiente | Agencia Nacional de Contratación Pública</w:t>
        </w:r>
      </w:hyperlink>
    </w:p>
    <w:p w14:paraId="437DBBE2" w14:textId="77777777" w:rsidR="00062A95" w:rsidRPr="00E84357" w:rsidRDefault="00062A95" w:rsidP="00062A95">
      <w:pPr>
        <w:widowControl w:val="0"/>
        <w:autoSpaceDE w:val="0"/>
        <w:autoSpaceDN w:val="0"/>
        <w:spacing w:after="0" w:line="276" w:lineRule="auto"/>
        <w:ind w:left="720"/>
        <w:jc w:val="both"/>
        <w:rPr>
          <w:rFonts w:ascii="Verdana" w:hAnsi="Verdana" w:cs="Arial"/>
          <w:color w:val="000000" w:themeColor="text1"/>
          <w:shd w:val="clear" w:color="auto" w:fill="FFFFFF"/>
        </w:rPr>
      </w:pPr>
    </w:p>
    <w:p w14:paraId="499DA165" w14:textId="77777777" w:rsidR="00062A95" w:rsidRPr="00E84357" w:rsidRDefault="00062A95" w:rsidP="00062A95">
      <w:pPr>
        <w:widowControl w:val="0"/>
        <w:autoSpaceDE w:val="0"/>
        <w:autoSpaceDN w:val="0"/>
        <w:spacing w:after="0" w:line="276" w:lineRule="auto"/>
        <w:jc w:val="both"/>
        <w:rPr>
          <w:rFonts w:ascii="Verdana" w:hAnsi="Verdana" w:cs="Arial"/>
          <w:color w:val="000000" w:themeColor="text1"/>
          <w:shd w:val="clear" w:color="auto" w:fill="FFFFFF"/>
        </w:rPr>
      </w:pPr>
      <w:r w:rsidRPr="00E84357">
        <w:rPr>
          <w:rFonts w:ascii="Verdana" w:hAnsi="Verdana" w:cs="Arial"/>
          <w:color w:val="000000" w:themeColor="text1"/>
          <w:shd w:val="clear" w:color="auto" w:fill="FFFFFF"/>
        </w:rPr>
        <w:lastRenderedPageBreak/>
        <w:t>También, te contamos que ya publicamos </w:t>
      </w:r>
      <w:r w:rsidRPr="00E84357">
        <w:rPr>
          <w:rFonts w:ascii="Verdana" w:hAnsi="Verdana" w:cs="Arial"/>
          <w:b/>
          <w:bCs/>
          <w:color w:val="000000" w:themeColor="text1"/>
          <w:shd w:val="clear" w:color="auto" w:fill="FFFFFF"/>
        </w:rPr>
        <w:t>la nueva Guía de Contratación Pública Sostenible y Socialmente Responsable</w:t>
      </w:r>
      <w:r w:rsidRPr="00E84357">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8" w:tgtFrame="_blank" w:tooltip="Dirección URL original: https://www.colombiacompra.gov.co/manuales-guias-y-pliegos-tipo/manuales-y-guias/guia-de-contratacion-publica-sostenible-y-socialmente. Haga clic o pulse si confía en este vínculo." w:history="1">
        <w:r w:rsidRPr="00E84357">
          <w:rPr>
            <w:rStyle w:val="Hipervnculo"/>
            <w:rFonts w:ascii="Verdana" w:hAnsi="Verdana" w:cs="Arial"/>
            <w:color w:val="4472C4" w:themeColor="accent1"/>
            <w:shd w:val="clear" w:color="auto" w:fill="FFFFFF"/>
          </w:rPr>
          <w:t>Guía de Contratación Pública Sostenible y Socialmente Responsable | Colombia Compra Eficiente | Agencia Nacional de Contratación Pública</w:t>
        </w:r>
      </w:hyperlink>
    </w:p>
    <w:p w14:paraId="3F4586CB" w14:textId="77777777" w:rsidR="00062A95" w:rsidRDefault="00062A95" w:rsidP="00062A9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color w:val="FF0000"/>
          <w:shd w:val="clear" w:color="auto" w:fill="FFFFFF"/>
          <w:lang w:val="es-ES"/>
        </w:rPr>
        <w:t xml:space="preserve">  </w:t>
      </w:r>
    </w:p>
    <w:p w14:paraId="6950F12F" w14:textId="77777777" w:rsidR="00062A95" w:rsidRPr="003E2460" w:rsidRDefault="00062A95" w:rsidP="00062A95">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6141974D" w14:textId="77777777" w:rsidR="00062A95" w:rsidRPr="003E2460" w:rsidRDefault="00062A95" w:rsidP="00062A95">
      <w:pPr>
        <w:spacing w:after="0" w:line="240" w:lineRule="auto"/>
        <w:jc w:val="both"/>
        <w:rPr>
          <w:rFonts w:ascii="Verdana" w:hAnsi="Verdana"/>
        </w:rPr>
      </w:pPr>
    </w:p>
    <w:p w14:paraId="2C564F26" w14:textId="77777777" w:rsidR="00062A95" w:rsidRPr="003E2460" w:rsidRDefault="00062A95" w:rsidP="00062A9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627270C" w14:textId="77777777" w:rsidR="00062A95" w:rsidRPr="003E2460" w:rsidRDefault="00062A95" w:rsidP="00062A95">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27119A5A" w14:textId="77777777" w:rsidR="00062A95" w:rsidRPr="003E2460" w:rsidRDefault="00062A95" w:rsidP="00062A9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695B41DD" w14:textId="77777777" w:rsidR="00062A95" w:rsidRPr="00593A5F" w:rsidRDefault="00062A95" w:rsidP="00062A95">
      <w:pPr>
        <w:widowControl w:val="0"/>
        <w:autoSpaceDE w:val="0"/>
        <w:autoSpaceDN w:val="0"/>
        <w:spacing w:after="0" w:line="276" w:lineRule="auto"/>
        <w:jc w:val="both"/>
        <w:rPr>
          <w:rFonts w:ascii="Verdana" w:hAnsi="Verdana" w:cs="Arial"/>
        </w:rPr>
      </w:pPr>
    </w:p>
    <w:p w14:paraId="6CFAACF3" w14:textId="77777777" w:rsidR="00062A95" w:rsidRPr="00593A5F" w:rsidRDefault="00062A95" w:rsidP="00062A9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7C9D52B" w14:textId="77777777" w:rsidR="00062A95" w:rsidRPr="00593A5F" w:rsidRDefault="00062A95" w:rsidP="00062A95">
      <w:pPr>
        <w:widowControl w:val="0"/>
        <w:autoSpaceDE w:val="0"/>
        <w:autoSpaceDN w:val="0"/>
        <w:spacing w:after="0" w:line="276" w:lineRule="auto"/>
        <w:jc w:val="both"/>
        <w:rPr>
          <w:rFonts w:ascii="Verdana" w:hAnsi="Verdana" w:cs="Arial"/>
        </w:rPr>
      </w:pPr>
    </w:p>
    <w:p w14:paraId="4503CC3B" w14:textId="77777777" w:rsidR="00062A95" w:rsidRPr="00593A5F" w:rsidRDefault="00062A95" w:rsidP="00062A9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DBEC5B5" w14:textId="4F9555FD" w:rsidR="00062A95" w:rsidRPr="001B4A65" w:rsidRDefault="00B35F2F" w:rsidP="00062A95">
      <w:pPr>
        <w:spacing w:line="276" w:lineRule="auto"/>
        <w:jc w:val="center"/>
        <w:rPr>
          <w:rFonts w:ascii="Verdana" w:hAnsi="Verdana" w:cs="Arial"/>
          <w:lang w:val="es-ES_tradnl" w:eastAsia="es-CO"/>
        </w:rPr>
      </w:pPr>
      <w:r>
        <w:rPr>
          <w:noProof/>
        </w:rPr>
        <w:drawing>
          <wp:inline distT="0" distB="0" distL="0" distR="0" wp14:anchorId="4EC9AE24" wp14:editId="22EA934A">
            <wp:extent cx="3771429" cy="1400000"/>
            <wp:effectExtent l="0" t="0" r="635" b="0"/>
            <wp:docPr id="5945150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15000" name="Imagen 1" descr="Texto&#10;&#10;Descripción generada automáticamente"/>
                    <pic:cNvPicPr/>
                  </pic:nvPicPr>
                  <pic:blipFill>
                    <a:blip r:embed="rId19"/>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62A95" w:rsidRPr="001B4A65" w14:paraId="0BFC1695" w14:textId="77777777" w:rsidTr="00904967">
        <w:trPr>
          <w:trHeight w:val="315"/>
        </w:trPr>
        <w:tc>
          <w:tcPr>
            <w:tcW w:w="893" w:type="dxa"/>
            <w:vAlign w:val="center"/>
            <w:hideMark/>
          </w:tcPr>
          <w:p w14:paraId="5AB3752A" w14:textId="77777777" w:rsidR="00062A95" w:rsidRPr="001B4A65" w:rsidRDefault="00062A95" w:rsidP="00904967">
            <w:pPr>
              <w:contextualSpacing/>
              <w:rPr>
                <w:rFonts w:ascii="Verdana" w:hAnsi="Verdana" w:cs="Arial"/>
                <w:sz w:val="16"/>
                <w:szCs w:val="16"/>
                <w:lang w:val="es-ES" w:eastAsia="es-ES"/>
              </w:rPr>
            </w:pPr>
            <w:r w:rsidRPr="001B4A65">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1A29FE1" w14:textId="77777777" w:rsidR="00062A95" w:rsidRPr="001B4A65" w:rsidRDefault="00062A95" w:rsidP="00904967">
            <w:pPr>
              <w:contextualSpacing/>
              <w:rPr>
                <w:rStyle w:val="normaltextrun"/>
                <w:rFonts w:ascii="Verdana" w:hAnsi="Verdana"/>
                <w:sz w:val="16"/>
                <w:szCs w:val="16"/>
              </w:rPr>
            </w:pPr>
            <w:r w:rsidRPr="001B4A65">
              <w:rPr>
                <w:rStyle w:val="normaltextrun"/>
                <w:rFonts w:ascii="Verdana" w:hAnsi="Verdana"/>
                <w:sz w:val="16"/>
                <w:szCs w:val="16"/>
              </w:rPr>
              <w:t>Santiago Alberto Herrera Morillo</w:t>
            </w:r>
          </w:p>
          <w:p w14:paraId="46DC497D" w14:textId="77777777" w:rsidR="00062A95" w:rsidRPr="001B4A65" w:rsidRDefault="00062A95" w:rsidP="00904967">
            <w:pPr>
              <w:contextualSpacing/>
              <w:rPr>
                <w:rFonts w:ascii="Verdana" w:eastAsia="Arial" w:hAnsi="Verdana" w:cs="Arial"/>
                <w:sz w:val="16"/>
                <w:szCs w:val="16"/>
              </w:rPr>
            </w:pPr>
            <w:r w:rsidRPr="001B4A65">
              <w:rPr>
                <w:rStyle w:val="normaltextrun"/>
                <w:rFonts w:ascii="Verdana" w:hAnsi="Verdana"/>
                <w:sz w:val="16"/>
                <w:szCs w:val="16"/>
              </w:rPr>
              <w:t xml:space="preserve">Analista T2-02 </w:t>
            </w:r>
            <w:r w:rsidRPr="001B4A65">
              <w:rPr>
                <w:rStyle w:val="normaltextrun"/>
                <w:rFonts w:ascii="Verdana" w:eastAsia="Arial" w:hAnsi="Verdana" w:cs="Arial"/>
                <w:sz w:val="16"/>
                <w:szCs w:val="16"/>
              </w:rPr>
              <w:t>de la Subdirección de Gestión Contractual</w:t>
            </w:r>
          </w:p>
        </w:tc>
      </w:tr>
      <w:tr w:rsidR="00062A95" w:rsidRPr="001B4A65" w14:paraId="7AEC43DD" w14:textId="77777777" w:rsidTr="00904967">
        <w:trPr>
          <w:trHeight w:val="330"/>
        </w:trPr>
        <w:tc>
          <w:tcPr>
            <w:tcW w:w="893" w:type="dxa"/>
            <w:vAlign w:val="center"/>
            <w:hideMark/>
          </w:tcPr>
          <w:p w14:paraId="60FB0142" w14:textId="77777777" w:rsidR="00062A95" w:rsidRPr="001B4A65" w:rsidRDefault="00062A95" w:rsidP="00904967">
            <w:pPr>
              <w:contextualSpacing/>
              <w:rPr>
                <w:rFonts w:ascii="Verdana" w:hAnsi="Verdana" w:cs="Arial"/>
                <w:sz w:val="16"/>
                <w:szCs w:val="16"/>
                <w:lang w:val="es-ES" w:eastAsia="es-ES"/>
              </w:rPr>
            </w:pPr>
            <w:r w:rsidRPr="001B4A65">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86C247C" w14:textId="77777777" w:rsidR="00062A95" w:rsidRPr="001B4A65" w:rsidRDefault="00062A95" w:rsidP="00904967">
            <w:pPr>
              <w:pStyle w:val="paragraph"/>
              <w:spacing w:before="0" w:beforeAutospacing="0" w:after="0" w:afterAutospacing="0"/>
              <w:contextualSpacing/>
              <w:textAlignment w:val="baseline"/>
              <w:rPr>
                <w:rStyle w:val="normaltextrun"/>
                <w:rFonts w:ascii="Verdana" w:hAnsi="Verdana" w:cs="Arial"/>
                <w:sz w:val="16"/>
                <w:szCs w:val="16"/>
                <w:lang w:val="es-ES"/>
              </w:rPr>
            </w:pPr>
            <w:r w:rsidRPr="001B4A65">
              <w:rPr>
                <w:rStyle w:val="normaltextrun"/>
                <w:rFonts w:ascii="Verdana" w:hAnsi="Verdana" w:cs="Arial"/>
                <w:sz w:val="16"/>
                <w:szCs w:val="16"/>
                <w:lang w:val="es-ES"/>
              </w:rPr>
              <w:t>Juan Carlos González Vásquez</w:t>
            </w:r>
          </w:p>
          <w:p w14:paraId="07C064EB" w14:textId="77777777" w:rsidR="00062A95" w:rsidRPr="001B4A65" w:rsidRDefault="00062A95" w:rsidP="00904967">
            <w:pPr>
              <w:pStyle w:val="paragraph"/>
              <w:spacing w:before="0" w:beforeAutospacing="0" w:after="0" w:afterAutospacing="0"/>
              <w:contextualSpacing/>
              <w:textAlignment w:val="baseline"/>
              <w:rPr>
                <w:rFonts w:ascii="Verdana" w:hAnsi="Verdana" w:cs="Segoe UI"/>
                <w:sz w:val="16"/>
                <w:szCs w:val="16"/>
              </w:rPr>
            </w:pPr>
            <w:r w:rsidRPr="001B4A65">
              <w:rPr>
                <w:rStyle w:val="normaltextrun"/>
                <w:rFonts w:ascii="Verdana" w:hAnsi="Verdana" w:cs="Arial"/>
                <w:sz w:val="16"/>
                <w:szCs w:val="16"/>
                <w:lang w:val="es-ES"/>
              </w:rPr>
              <w:t>Contratista de la Subdirección de Gestión Contractual</w:t>
            </w:r>
            <w:r w:rsidRPr="001B4A65">
              <w:rPr>
                <w:rStyle w:val="eop"/>
                <w:rFonts w:ascii="Verdana" w:hAnsi="Verdana" w:cs="Arial"/>
                <w:sz w:val="16"/>
                <w:szCs w:val="16"/>
              </w:rPr>
              <w:t> </w:t>
            </w:r>
          </w:p>
        </w:tc>
      </w:tr>
      <w:tr w:rsidR="00062A95" w:rsidRPr="001B4A65" w14:paraId="527BB478" w14:textId="77777777" w:rsidTr="00904967">
        <w:trPr>
          <w:trHeight w:val="300"/>
        </w:trPr>
        <w:tc>
          <w:tcPr>
            <w:tcW w:w="893" w:type="dxa"/>
            <w:vAlign w:val="center"/>
          </w:tcPr>
          <w:p w14:paraId="54F473D7" w14:textId="77777777" w:rsidR="00062A95" w:rsidRPr="001B4A65" w:rsidRDefault="00062A95" w:rsidP="00904967">
            <w:pPr>
              <w:contextualSpacing/>
              <w:rPr>
                <w:rFonts w:ascii="Verdana" w:hAnsi="Verdana" w:cs="Arial"/>
                <w:sz w:val="16"/>
                <w:szCs w:val="16"/>
                <w:lang w:val="es-ES" w:eastAsia="es-ES"/>
              </w:rPr>
            </w:pPr>
            <w:r w:rsidRPr="001B4A65">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10CD101" w14:textId="77777777" w:rsidR="00062A95" w:rsidRPr="001B4A65" w:rsidRDefault="00062A95" w:rsidP="00904967">
            <w:pPr>
              <w:contextualSpacing/>
              <w:rPr>
                <w:rFonts w:ascii="Verdana" w:eastAsia="Calibri" w:hAnsi="Verdana" w:cs="Arial"/>
                <w:sz w:val="16"/>
                <w:szCs w:val="16"/>
                <w:lang w:val="pt-BR" w:eastAsia="es-ES"/>
              </w:rPr>
            </w:pPr>
            <w:r w:rsidRPr="001B4A65">
              <w:rPr>
                <w:rFonts w:ascii="Verdana" w:eastAsia="Calibri" w:hAnsi="Verdana" w:cs="Arial"/>
                <w:sz w:val="16"/>
                <w:szCs w:val="16"/>
                <w:lang w:val="pt-BR" w:eastAsia="es-ES"/>
              </w:rPr>
              <w:t>Carolina Quintero Gacharná</w:t>
            </w:r>
          </w:p>
          <w:p w14:paraId="23BADB4C" w14:textId="77777777" w:rsidR="00062A95" w:rsidRPr="001B4A65" w:rsidRDefault="00062A95" w:rsidP="00904967">
            <w:pPr>
              <w:contextualSpacing/>
              <w:rPr>
                <w:rFonts w:ascii="Verdana" w:eastAsia="Calibri" w:hAnsi="Verdana" w:cs="Arial"/>
                <w:sz w:val="16"/>
                <w:szCs w:val="16"/>
                <w:lang w:val="pt-BR" w:eastAsia="es-ES"/>
              </w:rPr>
            </w:pPr>
            <w:r w:rsidRPr="001B4A65">
              <w:rPr>
                <w:rFonts w:ascii="Verdana" w:eastAsia="Calibri" w:hAnsi="Verdana" w:cs="Arial"/>
                <w:sz w:val="16"/>
                <w:szCs w:val="16"/>
                <w:lang w:eastAsia="es-ES"/>
              </w:rPr>
              <w:t>Subdirectora</w:t>
            </w:r>
            <w:r w:rsidRPr="001B4A65">
              <w:rPr>
                <w:rFonts w:ascii="Verdana" w:eastAsia="Calibri" w:hAnsi="Verdana" w:cs="Arial"/>
                <w:sz w:val="16"/>
                <w:szCs w:val="16"/>
                <w:lang w:val="pt-BR" w:eastAsia="es-ES"/>
              </w:rPr>
              <w:t xml:space="preserve"> de Gestión Contractual ANCP – CCE</w:t>
            </w:r>
          </w:p>
        </w:tc>
      </w:tr>
    </w:tbl>
    <w:p w14:paraId="6EC752D5" w14:textId="77777777" w:rsidR="00062A95" w:rsidRPr="001B4A65" w:rsidRDefault="00062A95" w:rsidP="00B35F2F">
      <w:pPr>
        <w:spacing w:after="0" w:line="240" w:lineRule="auto"/>
        <w:rPr>
          <w:rFonts w:ascii="Verdana" w:eastAsia="Times New Roman" w:hAnsi="Verdana" w:cs="Arial"/>
          <w:sz w:val="24"/>
          <w:szCs w:val="24"/>
          <w:lang w:eastAsia="es-ES"/>
        </w:rPr>
      </w:pPr>
    </w:p>
    <w:sectPr w:rsidR="00062A95" w:rsidRPr="001B4A65"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09567" w14:textId="77777777" w:rsidR="007852E4" w:rsidRDefault="007852E4" w:rsidP="004A1847">
      <w:pPr>
        <w:spacing w:after="0" w:line="240" w:lineRule="auto"/>
      </w:pPr>
      <w:r>
        <w:separator/>
      </w:r>
    </w:p>
  </w:endnote>
  <w:endnote w:type="continuationSeparator" w:id="0">
    <w:p w14:paraId="41B720C6" w14:textId="77777777" w:rsidR="007852E4" w:rsidRDefault="007852E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11FDD" w14:textId="77777777" w:rsidR="007852E4" w:rsidRDefault="007852E4" w:rsidP="004A1847">
      <w:pPr>
        <w:spacing w:after="0" w:line="240" w:lineRule="auto"/>
      </w:pPr>
      <w:r>
        <w:separator/>
      </w:r>
    </w:p>
  </w:footnote>
  <w:footnote w:type="continuationSeparator" w:id="0">
    <w:p w14:paraId="509F6986" w14:textId="77777777" w:rsidR="007852E4" w:rsidRDefault="007852E4" w:rsidP="004A1847">
      <w:pPr>
        <w:spacing w:after="0" w:line="240" w:lineRule="auto"/>
      </w:pPr>
      <w:r>
        <w:continuationSeparator/>
      </w:r>
    </w:p>
  </w:footnote>
  <w:footnote w:id="1">
    <w:p w14:paraId="3BBC573F" w14:textId="77777777" w:rsidR="00062A95" w:rsidRPr="004F2CEA" w:rsidRDefault="00062A95" w:rsidP="00062A95">
      <w:pPr>
        <w:pStyle w:val="Textonotapie"/>
        <w:ind w:firstLine="709"/>
        <w:contextualSpacing/>
        <w:jc w:val="both"/>
        <w:rPr>
          <w:rFonts w:ascii="Verdana" w:hAnsi="Verdana" w:cs="Arial"/>
          <w:color w:val="000000" w:themeColor="text1"/>
          <w:sz w:val="16"/>
          <w:szCs w:val="16"/>
        </w:rPr>
      </w:pPr>
      <w:r w:rsidRPr="004F2CEA">
        <w:rPr>
          <w:rStyle w:val="Refdenotaalpie"/>
          <w:rFonts w:ascii="Verdana" w:hAnsi="Verdana" w:cs="Arial"/>
          <w:color w:val="000000" w:themeColor="text1"/>
          <w:sz w:val="16"/>
          <w:szCs w:val="16"/>
        </w:rPr>
        <w:footnoteRef/>
      </w:r>
      <w:r w:rsidRPr="004F2CEA">
        <w:rPr>
          <w:rFonts w:ascii="Verdana" w:hAnsi="Verdana" w:cs="Arial"/>
          <w:color w:val="000000" w:themeColor="text1"/>
          <w:sz w:val="16"/>
          <w:szCs w:val="16"/>
        </w:rPr>
        <w:t xml:space="preserve"> Decreto 1082 de 2015: </w:t>
      </w:r>
      <w:r>
        <w:rPr>
          <w:rFonts w:ascii="Verdana" w:hAnsi="Verdana" w:cs="Arial"/>
          <w:color w:val="000000" w:themeColor="text1"/>
          <w:sz w:val="16"/>
          <w:szCs w:val="16"/>
        </w:rPr>
        <w:t>“</w:t>
      </w:r>
      <w:r w:rsidRPr="004F2CEA">
        <w:rPr>
          <w:rFonts w:ascii="Verdana" w:hAnsi="Verdana" w:cs="Arial"/>
          <w:color w:val="000000" w:themeColor="text1"/>
          <w:sz w:val="16"/>
          <w:szCs w:val="16"/>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436BD804" w14:textId="77777777" w:rsidR="00062A95" w:rsidRDefault="00062A95" w:rsidP="00062A95">
      <w:pPr>
        <w:pStyle w:val="Textonotapie"/>
        <w:ind w:firstLine="709"/>
        <w:contextualSpacing/>
        <w:jc w:val="both"/>
        <w:rPr>
          <w:rFonts w:ascii="Verdana" w:hAnsi="Verdana" w:cs="Arial"/>
          <w:color w:val="000000" w:themeColor="text1"/>
          <w:sz w:val="16"/>
          <w:szCs w:val="16"/>
        </w:rPr>
      </w:pPr>
      <w:r w:rsidRPr="004F2CEA">
        <w:rPr>
          <w:rFonts w:ascii="Verdana" w:hAnsi="Verdana" w:cs="Arial"/>
          <w:color w:val="000000" w:themeColor="text1"/>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1B4AD9E9" w14:textId="77777777" w:rsidR="00062A95" w:rsidRPr="004F2CEA" w:rsidRDefault="00062A95" w:rsidP="00062A95">
      <w:pPr>
        <w:pStyle w:val="Textonotapie"/>
        <w:ind w:firstLine="709"/>
        <w:contextualSpacing/>
        <w:jc w:val="both"/>
        <w:rPr>
          <w:rFonts w:ascii="Verdana" w:hAnsi="Verdana" w:cs="Arial"/>
          <w:color w:val="000000" w:themeColor="text1"/>
          <w:sz w:val="16"/>
          <w:szCs w:val="16"/>
        </w:rPr>
      </w:pPr>
    </w:p>
  </w:footnote>
  <w:footnote w:id="2">
    <w:p w14:paraId="21968BEC" w14:textId="77777777" w:rsidR="00062A95" w:rsidRDefault="00062A95" w:rsidP="00062A95">
      <w:pPr>
        <w:spacing w:after="0" w:line="240" w:lineRule="auto"/>
        <w:ind w:firstLine="709"/>
        <w:contextualSpacing/>
        <w:jc w:val="both"/>
        <w:rPr>
          <w:rFonts w:ascii="Verdana" w:hAnsi="Verdana" w:cs="Arial"/>
          <w:color w:val="000000" w:themeColor="text1"/>
          <w:sz w:val="16"/>
          <w:szCs w:val="16"/>
        </w:rPr>
      </w:pPr>
      <w:r w:rsidRPr="004F2CEA">
        <w:rPr>
          <w:rStyle w:val="Refdenotaalpie"/>
          <w:rFonts w:ascii="Verdana" w:hAnsi="Verdana" w:cs="Arial"/>
          <w:color w:val="000000" w:themeColor="text1"/>
          <w:sz w:val="16"/>
          <w:szCs w:val="16"/>
        </w:rPr>
        <w:footnoteRef/>
      </w:r>
      <w:r w:rsidRPr="004F2CEA">
        <w:rPr>
          <w:rStyle w:val="Refdenotaalpie"/>
          <w:rFonts w:ascii="Verdana" w:hAnsi="Verdana" w:cs="Arial"/>
          <w:color w:val="000000" w:themeColor="text1"/>
          <w:sz w:val="16"/>
          <w:szCs w:val="16"/>
        </w:rPr>
        <w:t xml:space="preserve"> </w:t>
      </w:r>
      <w:r w:rsidRPr="004F2CEA">
        <w:rPr>
          <w:rFonts w:ascii="Verdana" w:hAnsi="Verdana" w:cs="Arial"/>
          <w:color w:val="000000" w:themeColor="text1"/>
          <w:sz w:val="16"/>
          <w:szCs w:val="16"/>
        </w:rPr>
        <w:t xml:space="preserve">Ley 1150 de 2007: </w:t>
      </w:r>
      <w:r>
        <w:rPr>
          <w:rFonts w:ascii="Verdana" w:hAnsi="Verdana" w:cs="Arial"/>
          <w:color w:val="000000" w:themeColor="text1"/>
          <w:sz w:val="16"/>
          <w:szCs w:val="16"/>
        </w:rPr>
        <w:t>“</w:t>
      </w:r>
      <w:r w:rsidRPr="004F2CEA">
        <w:rPr>
          <w:rFonts w:ascii="Verdana" w:hAnsi="Verdana" w:cs="Arial"/>
          <w:color w:val="000000" w:themeColor="text1"/>
          <w:sz w:val="16"/>
          <w:szCs w:val="16"/>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2782B321" w14:textId="77777777" w:rsidR="00062A95" w:rsidRPr="004F2CEA" w:rsidRDefault="00062A95" w:rsidP="00062A95">
      <w:pPr>
        <w:spacing w:after="0" w:line="240" w:lineRule="auto"/>
        <w:ind w:firstLine="709"/>
        <w:contextualSpacing/>
        <w:jc w:val="both"/>
        <w:rPr>
          <w:rFonts w:ascii="Verdana" w:hAnsi="Verdana" w:cs="Arial"/>
          <w:color w:val="000000" w:themeColor="text1"/>
          <w:sz w:val="16"/>
          <w:szCs w:val="16"/>
        </w:rPr>
      </w:pPr>
    </w:p>
  </w:footnote>
  <w:footnote w:id="3">
    <w:p w14:paraId="5C1EBD06" w14:textId="77777777" w:rsidR="00062A95" w:rsidRDefault="00062A95" w:rsidP="00062A95">
      <w:pPr>
        <w:pStyle w:val="Textonotapie"/>
        <w:ind w:firstLine="709"/>
        <w:contextualSpacing/>
        <w:jc w:val="both"/>
        <w:rPr>
          <w:rFonts w:ascii="Verdana" w:hAnsi="Verdana" w:cs="Arial"/>
          <w:color w:val="000000" w:themeColor="text1"/>
          <w:sz w:val="16"/>
          <w:szCs w:val="16"/>
        </w:rPr>
      </w:pPr>
      <w:r w:rsidRPr="004F2CEA">
        <w:rPr>
          <w:rStyle w:val="Refdenotaalpie"/>
          <w:rFonts w:ascii="Verdana" w:hAnsi="Verdana" w:cs="Arial"/>
          <w:color w:val="000000" w:themeColor="text1"/>
          <w:sz w:val="16"/>
          <w:szCs w:val="16"/>
        </w:rPr>
        <w:footnoteRef/>
      </w:r>
      <w:r w:rsidRPr="004F2CEA">
        <w:rPr>
          <w:rFonts w:ascii="Verdana" w:hAnsi="Verdana" w:cs="Arial"/>
          <w:color w:val="000000" w:themeColor="text1"/>
          <w:sz w:val="16"/>
          <w:szCs w:val="16"/>
        </w:rPr>
        <w:t xml:space="preserve"> Código Civil: </w:t>
      </w:r>
      <w:r>
        <w:rPr>
          <w:rFonts w:ascii="Verdana" w:hAnsi="Verdana" w:cs="Arial"/>
          <w:color w:val="000000" w:themeColor="text1"/>
          <w:sz w:val="16"/>
          <w:szCs w:val="16"/>
        </w:rPr>
        <w:t>“</w:t>
      </w:r>
      <w:r w:rsidRPr="004F2CEA">
        <w:rPr>
          <w:rFonts w:ascii="Verdana" w:hAnsi="Verdana" w:cs="Arial"/>
          <w:color w:val="000000" w:themeColor="text1"/>
          <w:sz w:val="16"/>
          <w:szCs w:val="16"/>
        </w:rPr>
        <w:t>Artículo 27. Cuando el sentido de la ley sea claro, no se desatenderá su tenor a pretexto de consultar su espíritu</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22466653" w14:textId="77777777" w:rsidR="00062A95" w:rsidRPr="007F47CC" w:rsidRDefault="00062A95" w:rsidP="00062A95">
      <w:pPr>
        <w:pStyle w:val="Textonotapie"/>
        <w:ind w:firstLine="709"/>
        <w:contextualSpacing/>
        <w:jc w:val="both"/>
        <w:rPr>
          <w:rFonts w:ascii="Verdana" w:hAnsi="Verdana" w:cs="Arial"/>
          <w:color w:val="000000" w:themeColor="text1"/>
          <w:sz w:val="16"/>
          <w:szCs w:val="16"/>
        </w:rPr>
      </w:pPr>
    </w:p>
  </w:footnote>
  <w:footnote w:id="4">
    <w:p w14:paraId="01D03B26" w14:textId="77777777" w:rsidR="00062A95" w:rsidRDefault="00062A95" w:rsidP="00062A95">
      <w:pPr>
        <w:pStyle w:val="Textonotapie"/>
        <w:ind w:firstLine="709"/>
        <w:contextualSpacing/>
        <w:jc w:val="both"/>
        <w:rPr>
          <w:rFonts w:ascii="Verdana" w:hAnsi="Verdana" w:cs="Arial"/>
          <w:sz w:val="16"/>
          <w:szCs w:val="16"/>
        </w:rPr>
      </w:pPr>
      <w:r w:rsidRPr="004F2CEA">
        <w:rPr>
          <w:rStyle w:val="Refdenotaalpie"/>
          <w:rFonts w:ascii="Verdana" w:hAnsi="Verdana" w:cs="Arial"/>
          <w:sz w:val="16"/>
          <w:szCs w:val="16"/>
        </w:rPr>
        <w:footnoteRef/>
      </w:r>
      <w:r w:rsidRPr="004F2CEA">
        <w:rPr>
          <w:rFonts w:ascii="Verdana" w:hAnsi="Verdana" w:cs="Arial"/>
          <w:sz w:val="16"/>
          <w:szCs w:val="16"/>
        </w:rPr>
        <w:t xml:space="preserve"> Consejo de Estado. Sala de Consulta y Servicio Civil. Concepto de 28 de junio de 2012. Rad: 11001-03-06-000-2012-00016-00(2092). CP: William Zambrano Cetina. </w:t>
      </w:r>
    </w:p>
    <w:p w14:paraId="2C79CEBD" w14:textId="77777777" w:rsidR="00062A95" w:rsidRPr="004F2CEA" w:rsidRDefault="00062A95" w:rsidP="00062A95">
      <w:pPr>
        <w:pStyle w:val="Textonotapie"/>
        <w:ind w:firstLine="709"/>
        <w:contextualSpacing/>
        <w:jc w:val="both"/>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Default="004A305D" w:rsidP="00B01B1A">
    <w:pPr>
      <w:spacing w:after="0" w:line="120" w:lineRule="auto"/>
      <w:rPr>
        <w:rFonts w:ascii="Verdana" w:hAnsi="Verdana"/>
        <w:b/>
        <w:bCs/>
      </w:rPr>
    </w:pPr>
  </w:p>
  <w:p w14:paraId="72B94E0F" w14:textId="77777777" w:rsidR="000C3348" w:rsidRPr="004A305D" w:rsidRDefault="000C3348"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E2D177B"/>
    <w:multiLevelType w:val="multilevel"/>
    <w:tmpl w:val="DBD2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31988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62A95"/>
    <w:rsid w:val="00082362"/>
    <w:rsid w:val="000A683E"/>
    <w:rsid w:val="000B19B9"/>
    <w:rsid w:val="000C3348"/>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E5EEB"/>
    <w:rsid w:val="004F21C4"/>
    <w:rsid w:val="004F685F"/>
    <w:rsid w:val="0051657F"/>
    <w:rsid w:val="005566E8"/>
    <w:rsid w:val="00574867"/>
    <w:rsid w:val="00591460"/>
    <w:rsid w:val="00594715"/>
    <w:rsid w:val="005B3816"/>
    <w:rsid w:val="005C3777"/>
    <w:rsid w:val="005C5CDC"/>
    <w:rsid w:val="005D476C"/>
    <w:rsid w:val="006219F8"/>
    <w:rsid w:val="00665D70"/>
    <w:rsid w:val="006900D9"/>
    <w:rsid w:val="006C7D76"/>
    <w:rsid w:val="00704290"/>
    <w:rsid w:val="00706C16"/>
    <w:rsid w:val="00756841"/>
    <w:rsid w:val="007643C9"/>
    <w:rsid w:val="007649AB"/>
    <w:rsid w:val="00771D0C"/>
    <w:rsid w:val="007833AC"/>
    <w:rsid w:val="007852E4"/>
    <w:rsid w:val="007B18B3"/>
    <w:rsid w:val="007B268C"/>
    <w:rsid w:val="007B7171"/>
    <w:rsid w:val="007C0C0F"/>
    <w:rsid w:val="007C3DC2"/>
    <w:rsid w:val="007E5497"/>
    <w:rsid w:val="007F254C"/>
    <w:rsid w:val="00806F5F"/>
    <w:rsid w:val="00820278"/>
    <w:rsid w:val="00867F95"/>
    <w:rsid w:val="008843B6"/>
    <w:rsid w:val="00891928"/>
    <w:rsid w:val="008A446D"/>
    <w:rsid w:val="008D180B"/>
    <w:rsid w:val="008F0EA7"/>
    <w:rsid w:val="00923EEF"/>
    <w:rsid w:val="009419F9"/>
    <w:rsid w:val="0095685E"/>
    <w:rsid w:val="00961B09"/>
    <w:rsid w:val="00965334"/>
    <w:rsid w:val="0096703F"/>
    <w:rsid w:val="0097093E"/>
    <w:rsid w:val="00986AC5"/>
    <w:rsid w:val="009A0DFA"/>
    <w:rsid w:val="009B2D26"/>
    <w:rsid w:val="009C71FA"/>
    <w:rsid w:val="009C72E7"/>
    <w:rsid w:val="009D3058"/>
    <w:rsid w:val="009F3A13"/>
    <w:rsid w:val="00A122D3"/>
    <w:rsid w:val="00A17F13"/>
    <w:rsid w:val="00A20739"/>
    <w:rsid w:val="00A33C78"/>
    <w:rsid w:val="00A52CED"/>
    <w:rsid w:val="00AB0ADB"/>
    <w:rsid w:val="00B01B1A"/>
    <w:rsid w:val="00B35F2F"/>
    <w:rsid w:val="00B66319"/>
    <w:rsid w:val="00B72CD3"/>
    <w:rsid w:val="00B72FFF"/>
    <w:rsid w:val="00BC3D36"/>
    <w:rsid w:val="00BD7F72"/>
    <w:rsid w:val="00C04FB3"/>
    <w:rsid w:val="00C330EB"/>
    <w:rsid w:val="00C41061"/>
    <w:rsid w:val="00C754BE"/>
    <w:rsid w:val="00C76B1C"/>
    <w:rsid w:val="00CB6357"/>
    <w:rsid w:val="00CC1B26"/>
    <w:rsid w:val="00D423A2"/>
    <w:rsid w:val="00D43EF1"/>
    <w:rsid w:val="00D520D8"/>
    <w:rsid w:val="00D5608C"/>
    <w:rsid w:val="00D57552"/>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E7755"/>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62A95"/>
    <w:pPr>
      <w:spacing w:line="240" w:lineRule="exact"/>
    </w:pPr>
    <w:rPr>
      <w:vertAlign w:val="superscript"/>
    </w:rPr>
  </w:style>
  <w:style w:type="paragraph" w:styleId="Textoindependiente">
    <w:name w:val="Body Text"/>
    <w:basedOn w:val="Normal"/>
    <w:link w:val="TextoindependienteCar"/>
    <w:uiPriority w:val="1"/>
    <w:unhideWhenUsed/>
    <w:qFormat/>
    <w:rsid w:val="00062A95"/>
    <w:pPr>
      <w:spacing w:after="120"/>
    </w:pPr>
  </w:style>
  <w:style w:type="character" w:customStyle="1" w:styleId="TextoindependienteCar">
    <w:name w:val="Texto independiente Car"/>
    <w:basedOn w:val="Fuentedeprrafopredeter"/>
    <w:link w:val="Textoindependiente"/>
    <w:uiPriority w:val="1"/>
    <w:rsid w:val="00062A95"/>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62A95"/>
    <w:rPr>
      <w:rFonts w:ascii="Geomanist Light" w:hAnsi="Geomanist Light"/>
      <w:lang w:val="es-ES"/>
    </w:rPr>
  </w:style>
  <w:style w:type="character" w:customStyle="1" w:styleId="NormalWebCar">
    <w:name w:val="Normal (Web) Car"/>
    <w:link w:val="NormalWeb"/>
    <w:uiPriority w:val="99"/>
    <w:rsid w:val="00062A9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nam02.safelinks.protection.outlook.com/?url=https%3A%2F%2Fwww.colombiacompra.gov.co%2Fmanuales-guias-y-pliegos-tipo%2Fmanuales-y-guias%2Fguia-de-contratacion-publica-sostenible-y-socialmente&amp;data=05%7C02%7Csantiago.herrera%40colombiacompra.gov.co%7Cb18b651bca3a4eb8eab008dd269b400d%7C7b09041e245149d08cb179d5e3d8c1be%7C0%7C0%7C638709170414849914%7CUnknown%7CTWFpbGZsb3d8eyJFbXB0eU1hcGkiOnRydWUsIlYiOiIwLjAuMDAwMCIsIlAiOiJXaW4zMiIsIkFOIjoiTWFpbCIsIldUIjoyfQ%3D%3D%7C0%7C%7C%7C&amp;sdata=DZcOamOFLr5%2FMvTaEwyrmGH46p0E2EeVRK9EI0%2Fzys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ecretariasenado.gov.co/senado/basedoc/ley_1150_2007.html" TargetMode="External"/><Relationship Id="rId17" Type="http://schemas.openxmlformats.org/officeDocument/2006/relationships/hyperlink" Target="https://nam02.safelinks.protection.outlook.com/?url=https%3A%2F%2Fwww.colombiacompra.gov.co%2Fcontent%2F02-documentos-tipo-para-los-procesos-de-seleccion-de-consultoria-de-obra-publica-de&amp;data=05%7C02%7Csantiago.herrera%40colombiacompra.gov.co%7Cb18b651bca3a4eb8eab008dd269b400d%7C7b09041e245149d08cb179d5e3d8c1be%7C0%7C0%7C638709170414832391%7CUnknown%7CTWFpbGZsb3d8eyJFbXB0eU1hcGkiOnRydWUsIlYiOiIwLjAuMDAwMCIsIlAiOiJXaW4zMiIsIkFOIjoiTWFpbCIsIldUIjoyfQ%3D%3D%7C0%7C%7C%7C&amp;sdata=QVD3sz0azJZZvNSHi5xF%2FpgT1wYL%2BVLBpdZyrSAKCNU%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3-documentos-tipo-para-los-procesos-de-seleccion-de-interventoria-de-obra-publica-de&amp;data=05%7C02%7Csantiago.herrera%40colombiacompra.gov.co%7Cb18b651bca3a4eb8eab008dd269b400d%7C7b09041e245149d08cb179d5e3d8c1be%7C0%7C0%7C638709170414808332%7CUnknown%7CTWFpbGZsb3d8eyJFbXB0eU1hcGkiOnRydWUsIlYiOiIwLjAuMDAwMCIsIlAiOiJXaW4zMiIsIkFOIjoiTWFpbCIsIldUIjoyfQ%3D%3D%7C0%7C%7C%7C&amp;sdata=K7MA4S7M7cwwIPsP6WrY42WST6d89ZSAhI2oxiyLwXg%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bierno@sanantoniodeltequendama-cundinamarca.gov.co"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anuales-guias-y-pliegos-tipo/manuales-y-gui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830F35543C1B419FA171669882D1EB" ma:contentTypeVersion="4" ma:contentTypeDescription="Crear nuevo documento." ma:contentTypeScope="" ma:versionID="56f4ee8cc0879a947230203480cb79f9">
  <xsd:schema xmlns:xsd="http://www.w3.org/2001/XMLSchema" xmlns:xs="http://www.w3.org/2001/XMLSchema" xmlns:p="http://schemas.microsoft.com/office/2006/metadata/properties" xmlns:ns2="b531b13d-89bf-4629-be1e-22fdf3dd34d4" targetNamespace="http://schemas.microsoft.com/office/2006/metadata/properties" ma:root="true" ma:fieldsID="ae557deb62d2021ff57de123e690b9be" ns2:_="">
    <xsd:import namespace="b531b13d-89bf-4629-be1e-22fdf3dd3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b13d-89bf-4629-be1e-22fdf3dd3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DF3D3-06B4-4B3B-9EEA-550F6E36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b13d-89bf-4629-be1e-22fdf3dd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4220</Words>
  <Characters>23211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6</cp:revision>
  <cp:lastPrinted>2023-01-10T21:18:00Z</cp:lastPrinted>
  <dcterms:created xsi:type="dcterms:W3CDTF">2025-01-16T21:18:00Z</dcterms:created>
  <dcterms:modified xsi:type="dcterms:W3CDTF">2025-01-22T20:26:00Z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0x0101009C830F35543C1B419FA171669882D1EB</vt:lpwstr>
  </property>
  <property fmtid="{D5CDD505-2E9C-101B-9397-08002B2CF9AE}" pid="3" name="MediaServiceImageTags">
    <vt:lpwstr/>
  </property>
</Properties>
</file>