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9FDA8" w14:textId="77777777" w:rsidR="00E311FC" w:rsidRPr="00AF1555" w:rsidRDefault="00E311FC" w:rsidP="00E311FC">
      <w:pPr>
        <w:tabs>
          <w:tab w:val="left" w:pos="709"/>
        </w:tabs>
        <w:spacing w:after="0" w:line="240" w:lineRule="auto"/>
        <w:jc w:val="both"/>
        <w:rPr>
          <w:rFonts w:ascii="Verdana" w:eastAsia="Calibri" w:hAnsi="Verdana" w:cs="Arial"/>
          <w:bCs/>
          <w:sz w:val="20"/>
          <w:szCs w:val="20"/>
          <w:lang w:val="es-ES_tradnl" w:eastAsia="es-ES_tradnl"/>
        </w:rPr>
      </w:pPr>
    </w:p>
    <w:p w14:paraId="00F4E9BB" w14:textId="77777777" w:rsidR="00E311FC" w:rsidRPr="00AF1555" w:rsidRDefault="00E311FC" w:rsidP="00E311FC">
      <w:pPr>
        <w:spacing w:after="0" w:line="240" w:lineRule="auto"/>
        <w:jc w:val="both"/>
        <w:rPr>
          <w:rFonts w:ascii="Verdana" w:eastAsia="Calibri" w:hAnsi="Verdana" w:cs="Arial"/>
          <w:b/>
          <w:color w:val="000000" w:themeColor="text1"/>
          <w:lang w:val="es-ES"/>
        </w:rPr>
      </w:pPr>
      <w:r w:rsidRPr="00E95799">
        <w:rPr>
          <w:rFonts w:ascii="Verdana" w:eastAsia="Calibri" w:hAnsi="Verdana" w:cs="Arial"/>
          <w:b/>
          <w:color w:val="000000" w:themeColor="text1"/>
          <w:lang w:val="es-ES"/>
        </w:rPr>
        <w:t>LIQUIDACIÓN DEL CONTRATO – Definición – Objetivo</w:t>
      </w:r>
      <w:r w:rsidRPr="00AF1555">
        <w:rPr>
          <w:rFonts w:ascii="Verdana" w:eastAsia="Calibri" w:hAnsi="Verdana" w:cs="Arial"/>
          <w:b/>
          <w:color w:val="000000" w:themeColor="text1"/>
          <w:lang w:val="es-ES"/>
        </w:rPr>
        <w:t xml:space="preserve"> </w:t>
      </w:r>
    </w:p>
    <w:p w14:paraId="4EB75A4A" w14:textId="77777777" w:rsidR="00E311FC" w:rsidRPr="00AF1555" w:rsidRDefault="00E311FC" w:rsidP="00E311FC">
      <w:pPr>
        <w:spacing w:after="0" w:line="240" w:lineRule="auto"/>
        <w:jc w:val="both"/>
        <w:rPr>
          <w:rFonts w:ascii="Verdana" w:eastAsia="Calibri" w:hAnsi="Verdana" w:cs="Arial"/>
          <w:bCs/>
          <w:color w:val="000000" w:themeColor="text1"/>
          <w:sz w:val="20"/>
          <w:szCs w:val="20"/>
          <w:lang w:val="es-ES"/>
        </w:rPr>
      </w:pPr>
    </w:p>
    <w:p w14:paraId="6B0F9AEE" w14:textId="77777777" w:rsidR="00E311FC" w:rsidRPr="00AF1555" w:rsidRDefault="00E311FC" w:rsidP="00E311FC">
      <w:pPr>
        <w:spacing w:after="0" w:line="240" w:lineRule="auto"/>
        <w:jc w:val="both"/>
        <w:rPr>
          <w:rFonts w:ascii="Verdana" w:eastAsia="Calibri" w:hAnsi="Verdana" w:cs="Arial"/>
          <w:color w:val="000000" w:themeColor="text1"/>
          <w:sz w:val="20"/>
          <w:szCs w:val="20"/>
          <w:lang w:val="es-ES_tradnl"/>
        </w:rPr>
      </w:pPr>
      <w:r>
        <w:rPr>
          <w:rFonts w:ascii="Verdana" w:eastAsia="Calibri" w:hAnsi="Verdana" w:cs="Arial"/>
          <w:color w:val="000000" w:themeColor="text1"/>
          <w:sz w:val="20"/>
          <w:szCs w:val="20"/>
          <w:lang w:val="es-ES_tradnl" w:eastAsia="es-ES_tradnl"/>
        </w:rPr>
        <w:t>L</w:t>
      </w:r>
      <w:r w:rsidRPr="00E95799">
        <w:rPr>
          <w:rFonts w:ascii="Verdana" w:eastAsia="Calibri" w:hAnsi="Verdana" w:cs="Arial"/>
          <w:color w:val="000000" w:themeColor="text1"/>
          <w:sz w:val="20"/>
          <w:szCs w:val="20"/>
          <w:lang w:val="es-ES_tradnl" w:eastAsia="es-ES_tradnl"/>
        </w:rPr>
        <w:t>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comportamiento financiero del negocio</w:t>
      </w:r>
      <w:r w:rsidRPr="00AF1555">
        <w:rPr>
          <w:rFonts w:ascii="Verdana" w:eastAsia="Calibri" w:hAnsi="Verdana" w:cs="Arial"/>
          <w:color w:val="000000" w:themeColor="text1"/>
          <w:sz w:val="20"/>
          <w:szCs w:val="20"/>
          <w:lang w:val="es-ES_tradnl"/>
        </w:rPr>
        <w:t>.</w:t>
      </w:r>
    </w:p>
    <w:p w14:paraId="50B77DCB" w14:textId="77777777" w:rsidR="00E311FC" w:rsidRPr="00AF1555" w:rsidRDefault="00E311FC" w:rsidP="00E311FC">
      <w:pPr>
        <w:spacing w:after="0" w:line="240" w:lineRule="auto"/>
        <w:rPr>
          <w:rFonts w:ascii="Verdana" w:eastAsia="Geomanist Light" w:hAnsi="Verdana" w:cs="Arial"/>
          <w:color w:val="000000" w:themeColor="text1"/>
          <w:sz w:val="20"/>
          <w:szCs w:val="20"/>
          <w:lang w:val="es-ES_tradnl"/>
        </w:rPr>
      </w:pPr>
    </w:p>
    <w:p w14:paraId="2A61ACCA" w14:textId="77777777" w:rsidR="00E311FC" w:rsidRPr="00AF1555" w:rsidRDefault="00E311FC" w:rsidP="00E311FC">
      <w:pPr>
        <w:spacing w:after="0" w:line="240" w:lineRule="auto"/>
        <w:jc w:val="both"/>
        <w:rPr>
          <w:rFonts w:ascii="Verdana" w:eastAsia="Calibri" w:hAnsi="Verdana" w:cs="Arial"/>
          <w:b/>
          <w:lang w:val="es-ES"/>
        </w:rPr>
      </w:pPr>
      <w:r w:rsidRPr="00E95799">
        <w:rPr>
          <w:rFonts w:ascii="Verdana" w:eastAsia="Calibri" w:hAnsi="Verdana" w:cs="Arial"/>
          <w:b/>
          <w:lang w:val="es-ES"/>
        </w:rPr>
        <w:t>LIQUIDACIÓN DEL CONTRATO – Normativa – Oportunidad</w:t>
      </w:r>
    </w:p>
    <w:p w14:paraId="002E8546" w14:textId="77777777" w:rsidR="00E311FC" w:rsidRPr="00AF1555" w:rsidRDefault="00E311FC" w:rsidP="00E311FC">
      <w:pPr>
        <w:spacing w:after="0" w:line="240" w:lineRule="auto"/>
        <w:jc w:val="both"/>
        <w:rPr>
          <w:rFonts w:ascii="Verdana" w:eastAsia="Calibri" w:hAnsi="Verdana" w:cs="Arial"/>
          <w:b/>
          <w:sz w:val="20"/>
          <w:szCs w:val="20"/>
          <w:lang w:val="es-ES"/>
        </w:rPr>
      </w:pPr>
    </w:p>
    <w:p w14:paraId="13BB7146" w14:textId="77777777" w:rsidR="00E311FC" w:rsidRPr="00E95799" w:rsidRDefault="00E311FC" w:rsidP="00E311FC">
      <w:pPr>
        <w:spacing w:after="0" w:line="240" w:lineRule="auto"/>
        <w:jc w:val="both"/>
        <w:rPr>
          <w:rFonts w:ascii="Verdana" w:eastAsia="Calibri" w:hAnsi="Verdana" w:cs="Arial"/>
          <w:bCs/>
          <w:sz w:val="20"/>
          <w:szCs w:val="20"/>
          <w:lang w:val="es-ES"/>
        </w:rPr>
      </w:pPr>
      <w:r w:rsidRPr="00E95799">
        <w:rPr>
          <w:rFonts w:ascii="Verdana" w:eastAsia="Calibri" w:hAnsi="Verdana" w:cs="Arial"/>
          <w:bCs/>
          <w:sz w:val="20"/>
          <w:szCs w:val="20"/>
          <w:lang w:val="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w:t>
      </w:r>
    </w:p>
    <w:p w14:paraId="18F54FAB" w14:textId="77777777" w:rsidR="00E311FC" w:rsidRDefault="00E311FC" w:rsidP="00E311FC">
      <w:pPr>
        <w:spacing w:after="0" w:line="240" w:lineRule="auto"/>
        <w:jc w:val="both"/>
        <w:rPr>
          <w:rFonts w:ascii="Verdana" w:eastAsia="Calibri" w:hAnsi="Verdana" w:cs="Arial"/>
          <w:bCs/>
          <w:sz w:val="20"/>
          <w:szCs w:val="20"/>
          <w:lang w:val="es-ES"/>
        </w:rPr>
      </w:pPr>
      <w:r>
        <w:rPr>
          <w:rFonts w:ascii="Verdana" w:eastAsia="Calibri" w:hAnsi="Verdana" w:cs="Arial"/>
          <w:bCs/>
          <w:sz w:val="20"/>
          <w:szCs w:val="20"/>
          <w:lang w:val="es-ES"/>
        </w:rPr>
        <w:t>[</w:t>
      </w:r>
      <w:r w:rsidRPr="00E95799">
        <w:rPr>
          <w:rFonts w:ascii="Verdana" w:eastAsia="Calibri" w:hAnsi="Verdana" w:cs="Arial"/>
          <w:bCs/>
          <w:sz w:val="20"/>
          <w:szCs w:val="20"/>
          <w:lang w:val="es-ES"/>
        </w:rPr>
        <w:t>…</w:t>
      </w:r>
      <w:r>
        <w:rPr>
          <w:rFonts w:ascii="Verdana" w:eastAsia="Calibri" w:hAnsi="Verdana" w:cs="Arial"/>
          <w:bCs/>
          <w:sz w:val="20"/>
          <w:szCs w:val="20"/>
          <w:lang w:val="es-ES"/>
        </w:rPr>
        <w:t>]</w:t>
      </w:r>
    </w:p>
    <w:p w14:paraId="15FE0EAC" w14:textId="77777777" w:rsidR="00E311FC" w:rsidRPr="00E95799" w:rsidRDefault="00E311FC" w:rsidP="00E311FC">
      <w:pPr>
        <w:spacing w:after="0" w:line="240" w:lineRule="auto"/>
        <w:jc w:val="both"/>
        <w:rPr>
          <w:rFonts w:ascii="Verdana" w:eastAsia="Calibri" w:hAnsi="Verdana" w:cs="Arial"/>
          <w:bCs/>
          <w:sz w:val="20"/>
          <w:szCs w:val="20"/>
          <w:lang w:val="es-ES"/>
        </w:rPr>
      </w:pPr>
    </w:p>
    <w:p w14:paraId="4E85A752" w14:textId="77777777" w:rsidR="00E311FC" w:rsidRPr="00AF1555" w:rsidRDefault="00E311FC" w:rsidP="00E311FC">
      <w:pPr>
        <w:spacing w:after="0" w:line="240" w:lineRule="auto"/>
        <w:jc w:val="both"/>
        <w:rPr>
          <w:rFonts w:ascii="Verdana" w:eastAsia="Calibri" w:hAnsi="Verdana" w:cs="Arial"/>
          <w:color w:val="000000"/>
          <w:sz w:val="20"/>
          <w:szCs w:val="20"/>
          <w:lang w:val="es-ES_tradnl"/>
        </w:rPr>
      </w:pPr>
      <w:r w:rsidRPr="00E95799">
        <w:rPr>
          <w:rFonts w:ascii="Verdana" w:eastAsia="Calibri" w:hAnsi="Verdana" w:cs="Arial"/>
          <w:bCs/>
          <w:sz w:val="20"/>
          <w:szCs w:val="20"/>
          <w:lang w:val="es-ES"/>
        </w:rPr>
        <w:t>Por tanto,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r w:rsidRPr="00AF1555">
        <w:rPr>
          <w:rFonts w:ascii="Verdana" w:eastAsia="Calibri" w:hAnsi="Verdana" w:cs="Arial"/>
          <w:color w:val="000000"/>
          <w:sz w:val="20"/>
          <w:szCs w:val="20"/>
          <w:lang w:val="es-ES_tradnl"/>
        </w:rPr>
        <w:t>.</w:t>
      </w:r>
    </w:p>
    <w:p w14:paraId="7870C1B8" w14:textId="77777777" w:rsidR="00E311FC" w:rsidRPr="00AF1555" w:rsidRDefault="00E311FC" w:rsidP="00E311FC">
      <w:pPr>
        <w:spacing w:after="0" w:line="240" w:lineRule="auto"/>
        <w:rPr>
          <w:rFonts w:ascii="Verdana" w:eastAsia="Geomanist Light" w:hAnsi="Verdana" w:cs="Arial"/>
          <w:color w:val="000000" w:themeColor="text1"/>
          <w:sz w:val="20"/>
          <w:szCs w:val="20"/>
          <w:lang w:val="es-ES_tradnl"/>
        </w:rPr>
      </w:pPr>
    </w:p>
    <w:p w14:paraId="18C4A675" w14:textId="77777777" w:rsidR="00E311FC" w:rsidRPr="00AF1555" w:rsidRDefault="00E311FC" w:rsidP="00E311FC">
      <w:pPr>
        <w:tabs>
          <w:tab w:val="left" w:pos="426"/>
        </w:tabs>
        <w:spacing w:after="0" w:line="240" w:lineRule="auto"/>
        <w:jc w:val="both"/>
        <w:rPr>
          <w:rFonts w:ascii="Verdana" w:hAnsi="Verdana" w:cs="Arial"/>
          <w:b/>
          <w:lang w:eastAsia="es-CO"/>
        </w:rPr>
      </w:pPr>
      <w:r>
        <w:rPr>
          <w:rFonts w:ascii="Verdana" w:hAnsi="Verdana" w:cs="Arial"/>
          <w:b/>
          <w:lang w:eastAsia="es-CO"/>
        </w:rPr>
        <w:t>MEDIO DE CONTROL DE CONTROVERSIAS CONTRACTUALES – Caducidad – Liquidación de mutuo acuerdo – Entidades exceptuadas</w:t>
      </w:r>
      <w:r w:rsidRPr="00AF1555">
        <w:rPr>
          <w:rFonts w:ascii="Verdana" w:hAnsi="Verdana" w:cs="Arial"/>
          <w:b/>
          <w:lang w:eastAsia="es-CO"/>
        </w:rPr>
        <w:t xml:space="preserve">  </w:t>
      </w:r>
    </w:p>
    <w:p w14:paraId="4B329EA9" w14:textId="77777777" w:rsidR="00E311FC" w:rsidRPr="00E311FC" w:rsidRDefault="00E311FC" w:rsidP="00E311FC">
      <w:pPr>
        <w:tabs>
          <w:tab w:val="left" w:pos="426"/>
        </w:tabs>
        <w:spacing w:after="0" w:line="240" w:lineRule="auto"/>
        <w:jc w:val="both"/>
        <w:rPr>
          <w:rFonts w:ascii="Verdana" w:hAnsi="Verdana" w:cs="Arial"/>
          <w:b/>
          <w:sz w:val="20"/>
          <w:szCs w:val="20"/>
          <w:lang w:eastAsia="es-CO"/>
        </w:rPr>
      </w:pPr>
    </w:p>
    <w:p w14:paraId="6FFD9029" w14:textId="77777777" w:rsidR="00E311FC" w:rsidRPr="00E311FC" w:rsidRDefault="00E311FC" w:rsidP="00E311FC">
      <w:pPr>
        <w:spacing w:after="0" w:line="240" w:lineRule="auto"/>
        <w:jc w:val="both"/>
        <w:rPr>
          <w:rFonts w:ascii="Verdana" w:hAnsi="Verdana" w:cs="Arial"/>
          <w:bCs/>
          <w:sz w:val="20"/>
          <w:szCs w:val="20"/>
          <w:lang w:val="es-ES_tradnl" w:eastAsia="es-CO"/>
        </w:rPr>
      </w:pPr>
      <w:r w:rsidRPr="00E311FC">
        <w:rPr>
          <w:rFonts w:ascii="Verdana" w:hAnsi="Verdana" w:cs="Arial"/>
          <w:bCs/>
          <w:sz w:val="20"/>
          <w:szCs w:val="20"/>
          <w:lang w:eastAsia="es-CO"/>
        </w:rPr>
        <w:t xml:space="preserve">Aunque las </w:t>
      </w:r>
      <w:r w:rsidRPr="00E311FC">
        <w:rPr>
          <w:rFonts w:ascii="Verdana" w:hAnsi="Verdana" w:cs="Arial"/>
          <w:bCs/>
          <w:i/>
          <w:iCs/>
          <w:sz w:val="20"/>
          <w:szCs w:val="20"/>
          <w:lang w:eastAsia="es-CO"/>
        </w:rPr>
        <w:t>entidades de régimen exceptuado</w:t>
      </w:r>
      <w:r w:rsidRPr="00E311FC">
        <w:rPr>
          <w:rFonts w:ascii="Verdana" w:hAnsi="Verdana" w:cs="Arial"/>
          <w:bCs/>
          <w:sz w:val="20"/>
          <w:szCs w:val="20"/>
          <w:lang w:eastAsia="es-CO"/>
        </w:rPr>
        <w:t xml:space="preserve"> no están obligadas a aplicar el artículo 60 de la Ley 80 de 1993 ni </w:t>
      </w:r>
      <w:r w:rsidRPr="00E311FC">
        <w:rPr>
          <w:rFonts w:ascii="Verdana" w:hAnsi="Verdana" w:cs="Arial"/>
          <w:bCs/>
          <w:sz w:val="20"/>
          <w:szCs w:val="20"/>
          <w:lang w:val="es-ES_tradnl" w:eastAsia="es-CO"/>
        </w:rPr>
        <w:t xml:space="preserve">el artículo 11 de la Ley 1150 de 2007, el término de caducidad del medio de control de controversias contractuales tiene carácter transversal y, por tanto, aplica a todas las entidades al margen de que estén o no sometidas al Estatuto General de Contratación de la Administración Pública. La liquidación bilateral puede pactarse en los contratos de régimen especial, sin perjuicio de lo regulado en el respectivo manual de contratación. De esta manera, si en un </w:t>
      </w:r>
      <w:r w:rsidRPr="00E311FC">
        <w:rPr>
          <w:rFonts w:ascii="Verdana" w:hAnsi="Verdana" w:cs="Arial"/>
          <w:bCs/>
          <w:i/>
          <w:iCs/>
          <w:sz w:val="20"/>
          <w:szCs w:val="20"/>
          <w:lang w:val="es-ES_tradnl" w:eastAsia="es-CO"/>
        </w:rPr>
        <w:t>contrato de régimen exceptuado</w:t>
      </w:r>
      <w:r w:rsidRPr="00E311FC">
        <w:rPr>
          <w:rFonts w:ascii="Verdana" w:hAnsi="Verdana" w:cs="Arial"/>
          <w:bCs/>
          <w:sz w:val="20"/>
          <w:szCs w:val="20"/>
          <w:lang w:val="es-ES_tradnl" w:eastAsia="es-CO"/>
        </w:rPr>
        <w:t xml:space="preserve"> se pacta la liquidación de mutuo acuerdo, la caducidad se computará conforme al numeral </w:t>
      </w:r>
      <w:proofErr w:type="spellStart"/>
      <w:r w:rsidRPr="00E311FC">
        <w:rPr>
          <w:rFonts w:ascii="Verdana" w:hAnsi="Verdana" w:cs="Arial"/>
          <w:bCs/>
          <w:sz w:val="20"/>
          <w:szCs w:val="20"/>
          <w:lang w:val="es-ES_tradnl" w:eastAsia="es-CO"/>
        </w:rPr>
        <w:t>iii</w:t>
      </w:r>
      <w:proofErr w:type="spellEnd"/>
      <w:r w:rsidRPr="00E311FC">
        <w:rPr>
          <w:rFonts w:ascii="Verdana" w:hAnsi="Verdana" w:cs="Arial"/>
          <w:bCs/>
          <w:sz w:val="20"/>
          <w:szCs w:val="20"/>
          <w:lang w:val="es-ES_tradnl" w:eastAsia="es-CO"/>
        </w:rPr>
        <w:t>) d</w:t>
      </w:r>
      <w:r w:rsidRPr="00E311FC">
        <w:rPr>
          <w:rFonts w:ascii="Verdana" w:hAnsi="Verdana" w:cs="Arial"/>
          <w:bCs/>
          <w:sz w:val="20"/>
          <w:szCs w:val="20"/>
          <w:lang w:eastAsia="es-CO"/>
        </w:rPr>
        <w:t>el literal j) del artículo 164.2 del Código de Procedimiento Administrativo y Contencioso Administrativo. Dado que la oportunidad para demandar corresponde a un aspecto procesal del derecho de acción, es independiente de que el régimen sustantivo de la liquidación derive o no del EGCAP.</w:t>
      </w:r>
      <w:r w:rsidRPr="00E311FC">
        <w:rPr>
          <w:rFonts w:ascii="Verdana" w:hAnsi="Verdana" w:cs="Arial"/>
          <w:bCs/>
          <w:sz w:val="20"/>
          <w:szCs w:val="20"/>
          <w:lang w:val="es-ES_tradnl" w:eastAsia="es-CO"/>
        </w:rPr>
        <w:t xml:space="preserve">  </w:t>
      </w:r>
    </w:p>
    <w:p w14:paraId="1E34DC98" w14:textId="77777777" w:rsidR="00E311FC" w:rsidRPr="00E311FC" w:rsidRDefault="00E311FC" w:rsidP="00605E1B">
      <w:pPr>
        <w:spacing w:after="0" w:line="240" w:lineRule="auto"/>
        <w:rPr>
          <w:rFonts w:ascii="Verdana" w:eastAsia="Geomanist Light" w:hAnsi="Verdana" w:cs="Arial"/>
          <w:color w:val="000000" w:themeColor="text1"/>
          <w:sz w:val="20"/>
          <w:szCs w:val="20"/>
          <w:lang w:val="es-ES_tradnl"/>
        </w:rPr>
      </w:pPr>
    </w:p>
    <w:p w14:paraId="1C5AFC51" w14:textId="77777777" w:rsidR="00E311FC" w:rsidRDefault="00E311FC" w:rsidP="00605E1B">
      <w:pPr>
        <w:spacing w:after="0" w:line="240" w:lineRule="auto"/>
        <w:rPr>
          <w:rFonts w:ascii="Verdana" w:eastAsia="Geomanist Light" w:hAnsi="Verdana" w:cs="Arial"/>
          <w:color w:val="000000" w:themeColor="text1"/>
          <w:lang w:val="es-MX"/>
        </w:rPr>
      </w:pPr>
    </w:p>
    <w:p w14:paraId="61A4650D" w14:textId="4430B9F6" w:rsidR="00605E1B" w:rsidRPr="00593A5F" w:rsidRDefault="00605E1B" w:rsidP="00605E1B">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D01247" w:rsidRPr="00D01247">
        <w:rPr>
          <w:rFonts w:ascii="Verdana" w:eastAsia="Geomanist Light" w:hAnsi="Verdana" w:cs="Arial"/>
          <w:color w:val="201F1E"/>
          <w:lang w:val="es-MX"/>
        </w:rPr>
        <w:t>16 de Diciembre de 2024</w:t>
      </w:r>
    </w:p>
    <w:p w14:paraId="7AC5928A" w14:textId="77777777" w:rsidR="00605E1B" w:rsidRDefault="00605E1B" w:rsidP="00605E1B">
      <w:pPr>
        <w:spacing w:after="0" w:line="240" w:lineRule="auto"/>
        <w:jc w:val="both"/>
        <w:rPr>
          <w:rFonts w:ascii="Verdana" w:eastAsia="Calibri" w:hAnsi="Verdana" w:cs="Arial"/>
          <w:color w:val="000000"/>
          <w:lang w:val="es-ES"/>
        </w:rPr>
      </w:pPr>
    </w:p>
    <w:p w14:paraId="39F6D97A" w14:textId="319FE551" w:rsidR="00D01247" w:rsidRDefault="00D01247" w:rsidP="00D01247">
      <w:pPr>
        <w:spacing w:after="0" w:line="240" w:lineRule="auto"/>
        <w:jc w:val="right"/>
        <w:rPr>
          <w:rFonts w:ascii="Verdana" w:eastAsia="Calibri" w:hAnsi="Verdana" w:cs="Arial"/>
          <w:color w:val="000000"/>
          <w:lang w:val="es-ES"/>
        </w:rPr>
      </w:pPr>
      <w:r w:rsidRPr="00D01247">
        <w:rPr>
          <w:rFonts w:ascii="Verdana" w:eastAsia="Calibri" w:hAnsi="Verdana" w:cs="Arial"/>
          <w:noProof/>
          <w:color w:val="000000"/>
          <w:lang w:val="es-ES"/>
        </w:rPr>
        <w:drawing>
          <wp:inline distT="0" distB="0" distL="0" distR="0" wp14:anchorId="5E2D2FB0" wp14:editId="068B55EC">
            <wp:extent cx="3238500" cy="901700"/>
            <wp:effectExtent l="0" t="0" r="0" b="0"/>
            <wp:docPr id="13123287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28794" name=""/>
                    <pic:cNvPicPr/>
                  </pic:nvPicPr>
                  <pic:blipFill>
                    <a:blip r:embed="rId10"/>
                    <a:stretch>
                      <a:fillRect/>
                    </a:stretch>
                  </pic:blipFill>
                  <pic:spPr>
                    <a:xfrm>
                      <a:off x="0" y="0"/>
                      <a:ext cx="3238500" cy="901700"/>
                    </a:xfrm>
                    <a:prstGeom prst="rect">
                      <a:avLst/>
                    </a:prstGeom>
                  </pic:spPr>
                </pic:pic>
              </a:graphicData>
            </a:graphic>
          </wp:inline>
        </w:drawing>
      </w:r>
    </w:p>
    <w:p w14:paraId="0893AAC7" w14:textId="77777777" w:rsidR="00605E1B" w:rsidRPr="00593A5F" w:rsidRDefault="00605E1B" w:rsidP="00605E1B">
      <w:pPr>
        <w:spacing w:after="0" w:line="240" w:lineRule="auto"/>
        <w:jc w:val="both"/>
        <w:rPr>
          <w:rFonts w:ascii="Verdana" w:eastAsia="Calibri" w:hAnsi="Verdana" w:cs="Arial"/>
          <w:color w:val="000000"/>
          <w:lang w:val="es-ES"/>
        </w:rPr>
      </w:pPr>
    </w:p>
    <w:p w14:paraId="240B4453" w14:textId="77777777" w:rsidR="00605E1B" w:rsidRPr="00B96799" w:rsidRDefault="00605E1B" w:rsidP="00605E1B">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5F48E830" w14:textId="77777777" w:rsidR="00605E1B" w:rsidRDefault="00605E1B" w:rsidP="00605E1B">
      <w:pPr>
        <w:spacing w:after="0" w:line="240" w:lineRule="auto"/>
        <w:rPr>
          <w:rFonts w:ascii="Verdana" w:eastAsia="Calibri" w:hAnsi="Verdana" w:cs="Arial"/>
          <w:b/>
          <w:lang w:val="es-ES_tradnl" w:eastAsia="es-ES_tradnl"/>
        </w:rPr>
      </w:pPr>
      <w:r w:rsidRPr="00B1549A">
        <w:rPr>
          <w:rFonts w:ascii="Verdana" w:eastAsia="Calibri" w:hAnsi="Verdana" w:cs="Arial"/>
          <w:b/>
          <w:lang w:val="es-ES_tradnl" w:eastAsia="es-ES_tradnl"/>
        </w:rPr>
        <w:t>Valentina Páez Borrero</w:t>
      </w:r>
      <w:r>
        <w:rPr>
          <w:rFonts w:ascii="Verdana" w:eastAsia="Calibri" w:hAnsi="Verdana" w:cs="Arial"/>
          <w:b/>
          <w:lang w:val="es-ES_tradnl" w:eastAsia="es-ES_tradnl"/>
        </w:rPr>
        <w:t xml:space="preserve"> </w:t>
      </w:r>
    </w:p>
    <w:p w14:paraId="0B005095" w14:textId="77777777" w:rsidR="00605E1B" w:rsidRPr="00B1549A" w:rsidRDefault="00605E1B" w:rsidP="00605E1B">
      <w:pPr>
        <w:spacing w:after="0" w:line="240" w:lineRule="auto"/>
        <w:rPr>
          <w:rFonts w:ascii="Verdana" w:eastAsia="Calibri" w:hAnsi="Verdana" w:cs="Arial"/>
          <w:lang w:val="es-ES" w:eastAsia="es-ES"/>
        </w:rPr>
      </w:pPr>
      <w:hyperlink r:id="rId11" w:history="1">
        <w:r w:rsidRPr="00E03876">
          <w:rPr>
            <w:rStyle w:val="Hipervnculo"/>
            <w:rFonts w:ascii="Verdana" w:hAnsi="Verdana"/>
          </w:rPr>
          <w:t>valentinapaezborrero@gmail.com</w:t>
        </w:r>
      </w:hyperlink>
      <w:r>
        <w:rPr>
          <w:rFonts w:ascii="Verdana" w:hAnsi="Verdana"/>
        </w:rPr>
        <w:t xml:space="preserve"> </w:t>
      </w:r>
      <w:r w:rsidRPr="00B1549A">
        <w:rPr>
          <w:rFonts w:ascii="Verdana" w:hAnsi="Verdana"/>
        </w:rPr>
        <w:t xml:space="preserve">   </w:t>
      </w:r>
      <w:r w:rsidRPr="00B1549A">
        <w:rPr>
          <w:rFonts w:ascii="Verdana" w:eastAsia="Calibri" w:hAnsi="Verdana" w:cs="Arial"/>
          <w:lang w:val="es-ES" w:eastAsia="es-ES"/>
        </w:rPr>
        <w:t xml:space="preserve">    </w:t>
      </w:r>
    </w:p>
    <w:p w14:paraId="2620211F" w14:textId="77777777" w:rsidR="00605E1B" w:rsidRDefault="00605E1B" w:rsidP="00605E1B">
      <w:pPr>
        <w:spacing w:after="0" w:line="240" w:lineRule="auto"/>
        <w:rPr>
          <w:rFonts w:ascii="Verdana" w:eastAsia="Calibri" w:hAnsi="Verdana" w:cs="Arial"/>
          <w:lang w:val="es-ES" w:eastAsia="es-ES"/>
        </w:rPr>
      </w:pPr>
      <w:r w:rsidRPr="0090408E">
        <w:rPr>
          <w:rFonts w:ascii="Verdana" w:eastAsia="Calibri" w:hAnsi="Verdana" w:cs="Arial"/>
          <w:lang w:val="es-ES" w:eastAsia="es-ES"/>
        </w:rPr>
        <w:t>Bogotá D.C.</w:t>
      </w:r>
      <w:r>
        <w:rPr>
          <w:rFonts w:ascii="Verdana" w:eastAsia="Calibri" w:hAnsi="Verdana" w:cs="Arial"/>
          <w:lang w:val="es-ES" w:eastAsia="es-ES"/>
        </w:rPr>
        <w:t xml:space="preserve"> </w:t>
      </w:r>
    </w:p>
    <w:p w14:paraId="39A3768F" w14:textId="77777777" w:rsidR="00605E1B" w:rsidRPr="00593A5F" w:rsidRDefault="00605E1B" w:rsidP="00605E1B">
      <w:pPr>
        <w:spacing w:after="0" w:line="240" w:lineRule="auto"/>
        <w:rPr>
          <w:rFonts w:ascii="Verdana" w:eastAsia="Calibri" w:hAnsi="Verdana" w:cs="Arial"/>
          <w:b/>
          <w:bCs/>
          <w:color w:val="000000"/>
          <w:lang w:val="es-ES_tradnl" w:eastAsia="es-ES_tradnl"/>
        </w:rPr>
      </w:pPr>
    </w:p>
    <w:p w14:paraId="4F080CB0" w14:textId="77777777" w:rsidR="00605E1B" w:rsidRPr="00593A5F" w:rsidRDefault="00605E1B" w:rsidP="00605E1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05E1B" w:rsidRPr="00593A5F" w14:paraId="0B7CD4A0" w14:textId="77777777" w:rsidTr="00CB2723">
        <w:trPr>
          <w:trHeight w:val="884"/>
        </w:trPr>
        <w:tc>
          <w:tcPr>
            <w:tcW w:w="2689" w:type="dxa"/>
          </w:tcPr>
          <w:p w14:paraId="02DB9362" w14:textId="77777777" w:rsidR="00605E1B" w:rsidRPr="00C00976" w:rsidRDefault="00605E1B" w:rsidP="00CB2723">
            <w:pPr>
              <w:jc w:val="both"/>
              <w:rPr>
                <w:rFonts w:ascii="Verdana" w:eastAsia="Calibri" w:hAnsi="Verdana" w:cs="Arial"/>
                <w:b/>
                <w:bCs/>
                <w:color w:val="7030A0"/>
                <w:lang w:val="es-ES_tradnl" w:eastAsia="es-ES_tradnl"/>
              </w:rPr>
            </w:pPr>
          </w:p>
        </w:tc>
        <w:tc>
          <w:tcPr>
            <w:tcW w:w="6100" w:type="dxa"/>
          </w:tcPr>
          <w:p w14:paraId="3CB1C91B" w14:textId="59FADC9D" w:rsidR="00605E1B" w:rsidRPr="00C00976" w:rsidRDefault="00605E1B" w:rsidP="00CB272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sidR="00567996">
              <w:rPr>
                <w:rFonts w:ascii="Verdana" w:eastAsia="Calibri" w:hAnsi="Verdana" w:cs="Arial"/>
                <w:b/>
                <w:bCs/>
                <w:lang w:val="es-ES" w:eastAsia="es-ES"/>
              </w:rPr>
              <w:t>968</w:t>
            </w:r>
            <w:r w:rsidRPr="008E6AD9">
              <w:rPr>
                <w:rFonts w:ascii="Verdana" w:eastAsia="Calibri" w:hAnsi="Verdana" w:cs="Arial"/>
                <w:b/>
                <w:bCs/>
                <w:lang w:val="es-ES" w:eastAsia="es-ES"/>
              </w:rPr>
              <w:t xml:space="preserve"> de 2024</w:t>
            </w:r>
          </w:p>
        </w:tc>
      </w:tr>
      <w:tr w:rsidR="00605E1B" w:rsidRPr="00593A5F" w14:paraId="534581FC" w14:textId="77777777" w:rsidTr="00CB2723">
        <w:trPr>
          <w:trHeight w:val="884"/>
        </w:trPr>
        <w:tc>
          <w:tcPr>
            <w:tcW w:w="2689" w:type="dxa"/>
          </w:tcPr>
          <w:p w14:paraId="4EF5B100" w14:textId="77777777" w:rsidR="00605E1B" w:rsidRPr="00593A5F" w:rsidRDefault="00605E1B" w:rsidP="00CB272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429433A7" w14:textId="77777777" w:rsidR="00605E1B" w:rsidRPr="00A11406" w:rsidRDefault="00605E1B" w:rsidP="00CB2723">
            <w:pPr>
              <w:spacing w:line="276" w:lineRule="auto"/>
              <w:jc w:val="both"/>
              <w:rPr>
                <w:rFonts w:ascii="Verdana" w:eastAsia="Calibri" w:hAnsi="Verdana" w:cs="Arial"/>
                <w:lang w:val="es-ES" w:eastAsia="es-ES"/>
              </w:rPr>
            </w:pPr>
            <w:r w:rsidRPr="003C1B7C">
              <w:rPr>
                <w:rFonts w:ascii="Verdana" w:eastAsia="Calibri" w:hAnsi="Verdana" w:cs="Arial"/>
                <w:lang w:val="es-ES" w:eastAsia="es-ES"/>
              </w:rPr>
              <w:t xml:space="preserve">LIQUIDACIÓN DEL CONTRATO – Definición – Objetivo </w:t>
            </w:r>
            <w:r>
              <w:rPr>
                <w:rFonts w:ascii="Verdana" w:eastAsia="Calibri" w:hAnsi="Verdana" w:cs="Arial"/>
                <w:lang w:val="es-ES" w:eastAsia="es-ES"/>
              </w:rPr>
              <w:t xml:space="preserve">/ </w:t>
            </w:r>
            <w:r w:rsidRPr="003C1B7C">
              <w:rPr>
                <w:rFonts w:ascii="Verdana" w:eastAsia="Calibri" w:hAnsi="Verdana" w:cs="Arial"/>
                <w:lang w:val="es-ES" w:eastAsia="es-ES"/>
              </w:rPr>
              <w:t>LIQUIDACIÓN DEL CONTRATO – Normativa – Oportunidad</w:t>
            </w:r>
            <w:r>
              <w:rPr>
                <w:rFonts w:ascii="Verdana" w:eastAsia="Calibri" w:hAnsi="Verdana" w:cs="Arial"/>
                <w:lang w:val="es-ES" w:eastAsia="es-ES"/>
              </w:rPr>
              <w:t xml:space="preserve"> / </w:t>
            </w:r>
            <w:r w:rsidRPr="004D35F4">
              <w:rPr>
                <w:rFonts w:ascii="Verdana" w:eastAsia="Calibri" w:hAnsi="Verdana" w:cs="Arial"/>
                <w:lang w:val="es-ES" w:eastAsia="es-ES"/>
              </w:rPr>
              <w:t>MEDIO DE CONTROL DE CONTROVERSIAS CONTRACTUALES – Caducidad – Liquidación de mutuo acuerdo – Entidades exceptuadas</w:t>
            </w:r>
          </w:p>
          <w:p w14:paraId="4A8E61AA" w14:textId="77777777" w:rsidR="00605E1B" w:rsidRPr="00593A5F" w:rsidRDefault="00605E1B" w:rsidP="00CB2723">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605E1B" w:rsidRPr="008E6AD9" w14:paraId="267A7F0D" w14:textId="77777777" w:rsidTr="00CB2723">
        <w:tc>
          <w:tcPr>
            <w:tcW w:w="2689" w:type="dxa"/>
          </w:tcPr>
          <w:p w14:paraId="2C988879" w14:textId="77777777" w:rsidR="00605E1B" w:rsidRPr="008E6AD9" w:rsidRDefault="00605E1B" w:rsidP="00CB272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72B86152" w14:textId="77777777" w:rsidR="00605E1B" w:rsidRPr="008E6AD9" w:rsidRDefault="00605E1B" w:rsidP="00CB2723">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B1549A">
              <w:rPr>
                <w:rFonts w:ascii="Verdana" w:eastAsia="Calibri" w:hAnsi="Verdana" w:cs="Arial"/>
                <w:lang w:val="es-ES_tradnl" w:eastAsia="es-ES_tradnl"/>
              </w:rPr>
              <w:t>P20241205012233</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4468DDBB" w14:textId="77777777" w:rsidR="00605E1B" w:rsidRPr="00593A5F" w:rsidRDefault="00605E1B" w:rsidP="00605E1B">
      <w:pPr>
        <w:spacing w:after="0" w:line="240" w:lineRule="auto"/>
        <w:jc w:val="both"/>
        <w:rPr>
          <w:rFonts w:ascii="Verdana" w:eastAsia="Calibri" w:hAnsi="Verdana" w:cs="Arial"/>
          <w:color w:val="000000"/>
          <w:lang w:val="es-ES_tradnl" w:eastAsia="es-ES_tradnl"/>
        </w:rPr>
      </w:pPr>
    </w:p>
    <w:p w14:paraId="060F17C5" w14:textId="77777777" w:rsidR="00605E1B" w:rsidRPr="00593A5F" w:rsidRDefault="00605E1B" w:rsidP="00605E1B">
      <w:pPr>
        <w:spacing w:after="0" w:line="240" w:lineRule="auto"/>
        <w:jc w:val="both"/>
        <w:rPr>
          <w:rFonts w:ascii="Verdana" w:eastAsia="Calibri" w:hAnsi="Verdana" w:cs="Arial"/>
          <w:color w:val="000000"/>
          <w:lang w:val="es-ES_tradnl" w:eastAsia="es-ES_tradnl"/>
        </w:rPr>
      </w:pPr>
    </w:p>
    <w:p w14:paraId="0C0F82F6" w14:textId="2B937510" w:rsidR="00605E1B" w:rsidRPr="008E6AD9" w:rsidRDefault="00605E1B" w:rsidP="00605E1B">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1C278E">
        <w:rPr>
          <w:rFonts w:ascii="Verdana" w:eastAsia="Calibri" w:hAnsi="Verdana" w:cs="Arial"/>
          <w:lang w:val="es-ES" w:eastAsia="es-ES"/>
        </w:rPr>
        <w:t>Páez Borrero</w:t>
      </w:r>
      <w:r w:rsidRPr="008E6AD9">
        <w:rPr>
          <w:rFonts w:ascii="Verdana" w:eastAsia="Calibri" w:hAnsi="Verdana" w:cs="Arial"/>
          <w:lang w:val="es-ES" w:eastAsia="es-ES"/>
        </w:rPr>
        <w:t>:</w:t>
      </w:r>
    </w:p>
    <w:p w14:paraId="4A1FD927" w14:textId="52FEA441" w:rsidR="00605E1B" w:rsidRDefault="00605E1B" w:rsidP="00605E1B">
      <w:pPr>
        <w:tabs>
          <w:tab w:val="left" w:pos="3768"/>
        </w:tabs>
        <w:spacing w:after="0" w:line="276" w:lineRule="auto"/>
        <w:jc w:val="both"/>
        <w:rPr>
          <w:rFonts w:ascii="Verdana" w:eastAsia="Calibri" w:hAnsi="Verdana" w:cs="Arial"/>
          <w:color w:val="000000" w:themeColor="text1"/>
          <w:lang w:val="es-ES" w:eastAsia="es-ES"/>
        </w:rPr>
      </w:pPr>
    </w:p>
    <w:p w14:paraId="42DA9971" w14:textId="0DF0295C" w:rsidR="00605E1B" w:rsidRPr="00593A5F" w:rsidRDefault="00605E1B" w:rsidP="00605E1B">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5 de diciembre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w:t>
      </w:r>
    </w:p>
    <w:p w14:paraId="573D4995" w14:textId="77777777" w:rsidR="00605E1B" w:rsidRPr="00272A7B" w:rsidRDefault="00605E1B" w:rsidP="000B54B9">
      <w:pPr>
        <w:pStyle w:val="Prrafodelista"/>
        <w:tabs>
          <w:tab w:val="left" w:pos="142"/>
          <w:tab w:val="left" w:pos="284"/>
        </w:tabs>
        <w:spacing w:after="0" w:line="276" w:lineRule="auto"/>
        <w:ind w:left="0"/>
        <w:jc w:val="both"/>
        <w:rPr>
          <w:rFonts w:ascii="Verdana" w:eastAsia="Century Gothic" w:hAnsi="Verdana" w:cs="Century Gothic"/>
          <w:b/>
          <w:bCs/>
        </w:rPr>
      </w:pPr>
    </w:p>
    <w:p w14:paraId="653CC88C" w14:textId="77777777" w:rsidR="00605E1B" w:rsidRDefault="00605E1B" w:rsidP="00605E1B">
      <w:pPr>
        <w:spacing w:after="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1C278E">
        <w:rPr>
          <w:rFonts w:ascii="Verdana" w:eastAsia="Century Gothic" w:hAnsi="Verdana" w:cs="Century Gothic"/>
          <w:sz w:val="21"/>
          <w:szCs w:val="21"/>
          <w:lang w:val="es-ES"/>
        </w:rPr>
        <w:t>El término de caducidad del medio de control de controversias contractuales relativo a contratos inicia a partir de la suscripción del acta de liquidación bilateral conforme el artículo 164 CPACA?</w:t>
      </w:r>
      <w:r>
        <w:rPr>
          <w:rFonts w:ascii="Verdana" w:eastAsia="Century Gothic" w:hAnsi="Verdana" w:cs="Century Gothic"/>
          <w:sz w:val="21"/>
          <w:szCs w:val="21"/>
          <w:lang w:val="es-ES"/>
        </w:rPr>
        <w:t xml:space="preserve"> </w:t>
      </w:r>
      <w:r w:rsidRPr="001C278E">
        <w:rPr>
          <w:rFonts w:ascii="Verdana" w:eastAsia="Century Gothic" w:hAnsi="Verdana" w:cs="Century Gothic"/>
          <w:sz w:val="21"/>
          <w:szCs w:val="21"/>
          <w:lang w:val="es-ES"/>
        </w:rPr>
        <w:t xml:space="preserve">¿Qué sucede si una de las partes contratantes es una entidad de régimen especial? ¿le aplica dicho artículo cuando mediante la autonomía de la </w:t>
      </w:r>
      <w:r w:rsidRPr="001C278E">
        <w:rPr>
          <w:rFonts w:ascii="Verdana" w:eastAsia="Century Gothic" w:hAnsi="Verdana" w:cs="Century Gothic"/>
          <w:sz w:val="21"/>
          <w:szCs w:val="21"/>
          <w:lang w:val="es-ES"/>
        </w:rPr>
        <w:lastRenderedPageBreak/>
        <w:t>voluntad pactaron la liquidación de mutuo</w:t>
      </w:r>
      <w:r>
        <w:rPr>
          <w:rFonts w:ascii="Verdana" w:eastAsia="Century Gothic" w:hAnsi="Verdana" w:cs="Century Gothic"/>
          <w:sz w:val="21"/>
          <w:szCs w:val="21"/>
          <w:lang w:val="es-ES"/>
        </w:rPr>
        <w:t xml:space="preserve"> </w:t>
      </w:r>
      <w:r w:rsidRPr="001C278E">
        <w:rPr>
          <w:rFonts w:ascii="Verdana" w:eastAsia="Century Gothic" w:hAnsi="Verdana" w:cs="Century Gothic"/>
          <w:sz w:val="21"/>
          <w:szCs w:val="21"/>
          <w:lang w:val="es-ES"/>
        </w:rPr>
        <w:t>acuerdo? Siendo así en un proceso judicial le serán aplicables las normas de derecho público (</w:t>
      </w:r>
      <w:proofErr w:type="gramStart"/>
      <w:r w:rsidRPr="001C278E">
        <w:rPr>
          <w:rFonts w:ascii="Verdana" w:eastAsia="Century Gothic" w:hAnsi="Verdana" w:cs="Century Gothic"/>
          <w:sz w:val="21"/>
          <w:szCs w:val="21"/>
          <w:lang w:val="es-ES"/>
        </w:rPr>
        <w:t>Ley 1437 de 2011, ley 80, ley 1150 de 2007 y demás normas concordantes?</w:t>
      </w:r>
      <w:proofErr w:type="gramEnd"/>
      <w:r>
        <w:rPr>
          <w:rFonts w:ascii="Verdana" w:eastAsia="Century Gothic" w:hAnsi="Verdana" w:cs="Century Gothic"/>
          <w:sz w:val="21"/>
          <w:szCs w:val="21"/>
          <w:lang w:val="es-ES"/>
        </w:rPr>
        <w:t>”</w:t>
      </w:r>
      <w:r w:rsidRPr="0090408E">
        <w:rPr>
          <w:rFonts w:ascii="Verdana" w:eastAsia="Century Gothic" w:hAnsi="Verdana" w:cs="Century Gothic"/>
          <w:sz w:val="21"/>
          <w:szCs w:val="21"/>
          <w:lang w:val="es-ES"/>
        </w:rPr>
        <w:t>.</w:t>
      </w:r>
      <w:r w:rsidRPr="006040CE">
        <w:rPr>
          <w:rFonts w:ascii="Verdana" w:eastAsia="Century Gothic" w:hAnsi="Verdana" w:cs="Century Gothic"/>
          <w:sz w:val="21"/>
          <w:szCs w:val="21"/>
          <w:lang w:val="es-ES"/>
        </w:rPr>
        <w:t xml:space="preserve"> </w:t>
      </w:r>
    </w:p>
    <w:p w14:paraId="67E68085" w14:textId="77777777" w:rsidR="00605E1B" w:rsidRPr="00990C98" w:rsidRDefault="00605E1B" w:rsidP="00605E1B">
      <w:pPr>
        <w:spacing w:after="0" w:line="276" w:lineRule="auto"/>
        <w:ind w:left="709" w:right="709"/>
        <w:jc w:val="both"/>
        <w:rPr>
          <w:rFonts w:ascii="Verdana" w:eastAsia="Century Gothic" w:hAnsi="Verdana" w:cs="Century Gothic"/>
          <w:lang w:val="es-ES"/>
        </w:rPr>
      </w:pPr>
    </w:p>
    <w:p w14:paraId="10DD4A1B" w14:textId="77777777" w:rsidR="00605E1B" w:rsidRPr="00A652FF" w:rsidRDefault="00605E1B" w:rsidP="00605E1B">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470B4D8" w14:textId="77777777" w:rsidR="00605E1B" w:rsidRDefault="00605E1B" w:rsidP="00605E1B">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2D67D70" w14:textId="77777777" w:rsidR="00605E1B" w:rsidRPr="00593A5F" w:rsidRDefault="00605E1B" w:rsidP="00605E1B">
      <w:pPr>
        <w:spacing w:after="0" w:line="276" w:lineRule="auto"/>
        <w:ind w:firstLine="709"/>
        <w:jc w:val="both"/>
        <w:rPr>
          <w:rFonts w:ascii="Verdana" w:eastAsia="Calibri" w:hAnsi="Verdana" w:cs="Arial"/>
          <w:color w:val="000000"/>
          <w:lang w:val="es-ES" w:eastAsia="es-ES"/>
        </w:rPr>
      </w:pPr>
    </w:p>
    <w:p w14:paraId="399709A7" w14:textId="77777777" w:rsidR="00605E1B" w:rsidRPr="00593A5F" w:rsidRDefault="00605E1B" w:rsidP="00605E1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25A2EF2" w14:textId="77777777" w:rsidR="00605E1B" w:rsidRPr="00593A5F" w:rsidRDefault="00605E1B" w:rsidP="00605E1B">
      <w:pPr>
        <w:tabs>
          <w:tab w:val="left" w:pos="426"/>
        </w:tabs>
        <w:spacing w:after="0" w:line="276" w:lineRule="auto"/>
        <w:jc w:val="both"/>
        <w:rPr>
          <w:rFonts w:ascii="Verdana" w:eastAsia="Century Gothic" w:hAnsi="Verdana" w:cs="Century Gothic"/>
          <w:lang w:val="es-ES"/>
        </w:rPr>
      </w:pPr>
    </w:p>
    <w:p w14:paraId="08C7ED9B" w14:textId="4940012E" w:rsidR="00605E1B" w:rsidRPr="00593A5F" w:rsidRDefault="00605E1B" w:rsidP="00605E1B">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w:t>
      </w:r>
      <w:r>
        <w:rPr>
          <w:rFonts w:ascii="Verdana" w:eastAsia="Century Gothic" w:hAnsi="Verdana" w:cs="Century Gothic"/>
        </w:rPr>
        <w:t xml:space="preserve"> ¿cómo se computa, en función de los plazos para liquidar de mutuo acuerdo, la caducidad del medio de control de controversias contractuales para la</w:t>
      </w:r>
      <w:r w:rsidR="003A1F10">
        <w:rPr>
          <w:rFonts w:ascii="Verdana" w:eastAsia="Century Gothic" w:hAnsi="Verdana" w:cs="Century Gothic"/>
        </w:rPr>
        <w:t>s</w:t>
      </w:r>
      <w:r>
        <w:rPr>
          <w:rFonts w:ascii="Verdana" w:eastAsia="Century Gothic" w:hAnsi="Verdana" w:cs="Century Gothic"/>
        </w:rPr>
        <w:t xml:space="preserve"> entidades excluidas de la Ley 80 de 1993?</w:t>
      </w:r>
    </w:p>
    <w:p w14:paraId="78F3182A" w14:textId="77777777" w:rsidR="00605E1B" w:rsidRPr="004B140F" w:rsidRDefault="00605E1B" w:rsidP="00605E1B">
      <w:pPr>
        <w:spacing w:after="0" w:line="276" w:lineRule="auto"/>
        <w:jc w:val="both"/>
        <w:rPr>
          <w:rFonts w:ascii="Verdana" w:eastAsia="Calibri" w:hAnsi="Verdana" w:cs="Arial"/>
          <w:color w:val="7030A0"/>
        </w:rPr>
      </w:pPr>
    </w:p>
    <w:p w14:paraId="20F300B1" w14:textId="77777777" w:rsidR="00605E1B" w:rsidRPr="00593A5F" w:rsidRDefault="00605E1B" w:rsidP="00605E1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256E3C53" w14:textId="77777777" w:rsidR="00605E1B" w:rsidRPr="00593A5F" w:rsidRDefault="00605E1B" w:rsidP="00605E1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05E1B" w:rsidRPr="00593A5F" w14:paraId="2E4D25B6" w14:textId="77777777" w:rsidTr="00CB2723">
        <w:trPr>
          <w:jc w:val="center"/>
        </w:trPr>
        <w:tc>
          <w:tcPr>
            <w:tcW w:w="8828" w:type="dxa"/>
            <w:shd w:val="clear" w:color="auto" w:fill="auto"/>
          </w:tcPr>
          <w:p w14:paraId="110D1492" w14:textId="3E1C9DCC" w:rsidR="00605E1B" w:rsidRDefault="00605E1B" w:rsidP="00CB2723">
            <w:pPr>
              <w:spacing w:after="120" w:line="276" w:lineRule="auto"/>
              <w:jc w:val="both"/>
              <w:rPr>
                <w:rFonts w:ascii="Verdana" w:eastAsia="Calibri" w:hAnsi="Verdana" w:cs="Arial"/>
                <w:color w:val="000000"/>
                <w:lang w:val="es-ES_tradnl"/>
              </w:rPr>
            </w:pPr>
            <w:bookmarkStart w:id="1" w:name="_Hlk171694685"/>
            <w:r>
              <w:rPr>
                <w:rFonts w:ascii="Verdana" w:eastAsia="Times New Roman" w:hAnsi="Verdana" w:cs="Arial"/>
                <w:color w:val="000000"/>
                <w:bdr w:val="none" w:sz="0" w:space="0" w:color="auto" w:frame="1"/>
                <w:shd w:val="clear" w:color="auto" w:fill="FFFFFF"/>
                <w:lang w:eastAsia="es-ES_tradnl"/>
              </w:rPr>
              <w:t xml:space="preserve">Conforme a la interpretación general de las normas del sistema de compras </w:t>
            </w:r>
            <w:r w:rsidR="00A84DED">
              <w:rPr>
                <w:rFonts w:ascii="Verdana" w:eastAsia="Times New Roman" w:hAnsi="Verdana" w:cs="Arial"/>
                <w:color w:val="000000"/>
                <w:bdr w:val="none" w:sz="0" w:space="0" w:color="auto" w:frame="1"/>
                <w:shd w:val="clear" w:color="auto" w:fill="FFFFFF"/>
                <w:lang w:eastAsia="es-ES_tradnl"/>
              </w:rPr>
              <w:t>y contratación</w:t>
            </w:r>
            <w:r>
              <w:rPr>
                <w:rFonts w:ascii="Verdana" w:eastAsia="Times New Roman" w:hAnsi="Verdana" w:cs="Arial"/>
                <w:color w:val="000000"/>
                <w:bdr w:val="none" w:sz="0" w:space="0" w:color="auto" w:frame="1"/>
                <w:shd w:val="clear" w:color="auto" w:fill="FFFFFF"/>
                <w:lang w:eastAsia="es-ES_tradnl"/>
              </w:rPr>
              <w:t xml:space="preserve"> pública, los plazos para liquidar los contratos estatales influyen en el acceso oportuno al sistema de administración de justicia. No obstante, aunque las </w:t>
            </w:r>
            <w:r w:rsidRPr="00570C1A">
              <w:rPr>
                <w:rFonts w:ascii="Verdana" w:eastAsia="Times New Roman" w:hAnsi="Verdana" w:cs="Arial"/>
                <w:i/>
                <w:iCs/>
                <w:color w:val="000000"/>
                <w:bdr w:val="none" w:sz="0" w:space="0" w:color="auto" w:frame="1"/>
                <w:shd w:val="clear" w:color="auto" w:fill="FFFFFF"/>
                <w:lang w:eastAsia="es-ES_tradnl"/>
              </w:rPr>
              <w:t>entidades de régimen exceptuado</w:t>
            </w:r>
            <w:r>
              <w:rPr>
                <w:rFonts w:ascii="Verdana" w:eastAsia="Times New Roman" w:hAnsi="Verdana" w:cs="Arial"/>
                <w:color w:val="000000"/>
                <w:bdr w:val="none" w:sz="0" w:space="0" w:color="auto" w:frame="1"/>
                <w:shd w:val="clear" w:color="auto" w:fill="FFFFFF"/>
                <w:lang w:eastAsia="es-ES_tradnl"/>
              </w:rPr>
              <w:t xml:space="preserve"> no están obligadas a aplicar </w:t>
            </w:r>
            <w:r w:rsidRPr="00570C1A">
              <w:rPr>
                <w:rFonts w:ascii="Verdana" w:eastAsia="Times New Roman" w:hAnsi="Verdana" w:cs="Arial"/>
                <w:color w:val="000000"/>
                <w:bdr w:val="none" w:sz="0" w:space="0" w:color="auto" w:frame="1"/>
                <w:shd w:val="clear" w:color="auto" w:fill="FFFFFF"/>
                <w:lang w:eastAsia="es-ES_tradnl"/>
              </w:rPr>
              <w:t>el artículo 60 de la Ley 80 de 1993</w:t>
            </w:r>
            <w:r>
              <w:rPr>
                <w:rFonts w:ascii="Verdana" w:eastAsia="Times New Roman" w:hAnsi="Verdana" w:cs="Arial"/>
                <w:color w:val="000000"/>
                <w:bdr w:val="none" w:sz="0" w:space="0" w:color="auto" w:frame="1"/>
                <w:shd w:val="clear" w:color="auto" w:fill="FFFFFF"/>
                <w:lang w:eastAsia="es-ES_tradnl"/>
              </w:rPr>
              <w:t xml:space="preserve"> ni </w:t>
            </w:r>
            <w:r w:rsidRPr="00FB5FC4">
              <w:rPr>
                <w:rFonts w:ascii="Verdana" w:eastAsia="Calibri" w:hAnsi="Verdana" w:cs="Arial"/>
                <w:color w:val="000000"/>
                <w:lang w:val="es-ES_tradnl"/>
              </w:rPr>
              <w:t>el artículo 11 de la Ley 1150 de 2007</w:t>
            </w:r>
            <w:r>
              <w:rPr>
                <w:rFonts w:ascii="Verdana" w:eastAsia="Calibri" w:hAnsi="Verdana" w:cs="Arial"/>
                <w:color w:val="000000"/>
                <w:lang w:val="es-ES_tradnl"/>
              </w:rPr>
              <w:t xml:space="preserve">, el </w:t>
            </w:r>
            <w:r>
              <w:rPr>
                <w:rFonts w:ascii="Verdana" w:eastAsia="Calibri" w:hAnsi="Verdana" w:cs="Arial"/>
                <w:color w:val="000000"/>
                <w:lang w:val="es-ES_tradnl"/>
              </w:rPr>
              <w:lastRenderedPageBreak/>
              <w:t xml:space="preserve">término de caducidad del medio de control de controversias contractuales tiene carácter transversal y, por tanto, aplica a todas las entidades al margen de que estén o no sometidas al Estatuto General de Contratación de la Administración Pública. </w:t>
            </w:r>
          </w:p>
          <w:p w14:paraId="3DDAE567" w14:textId="77777777" w:rsidR="00605E1B" w:rsidRDefault="00605E1B" w:rsidP="00CB2723">
            <w:pPr>
              <w:spacing w:after="120" w:line="276" w:lineRule="auto"/>
              <w:ind w:firstLine="709"/>
              <w:jc w:val="both"/>
              <w:rPr>
                <w:rFonts w:ascii="Verdana" w:eastAsia="Calibri" w:hAnsi="Verdana" w:cs="Arial"/>
                <w:color w:val="000000"/>
                <w:lang w:val="es-ES_tradnl"/>
              </w:rPr>
            </w:pPr>
            <w:r>
              <w:rPr>
                <w:rFonts w:ascii="Verdana" w:eastAsia="Calibri" w:hAnsi="Verdana" w:cs="Arial"/>
                <w:color w:val="000000"/>
                <w:lang w:val="es-ES_tradnl"/>
              </w:rPr>
              <w:t xml:space="preserve">La liquidación bilateral puede pactarse en los contratos de régimen especial, sin perjuicio de lo regulado en el respectivo manual de contratación. De esta manera, si en un </w:t>
            </w:r>
            <w:r w:rsidRPr="00983342">
              <w:rPr>
                <w:rFonts w:ascii="Verdana" w:eastAsia="Calibri" w:hAnsi="Verdana" w:cs="Arial"/>
                <w:i/>
                <w:iCs/>
                <w:color w:val="000000"/>
                <w:lang w:val="es-ES_tradnl"/>
              </w:rPr>
              <w:t>contrato de régimen exceptuado</w:t>
            </w:r>
            <w:r>
              <w:rPr>
                <w:rFonts w:ascii="Verdana" w:eastAsia="Calibri" w:hAnsi="Verdana" w:cs="Arial"/>
                <w:color w:val="000000"/>
                <w:lang w:val="es-ES_tradnl"/>
              </w:rPr>
              <w:t xml:space="preserve"> se pacta la liquidación de mutuo acuerdo, la caducidad se computará conforme al numeral </w:t>
            </w:r>
            <w:proofErr w:type="spellStart"/>
            <w:r>
              <w:rPr>
                <w:rFonts w:ascii="Verdana" w:eastAsia="Calibri" w:hAnsi="Verdana" w:cs="Arial"/>
                <w:color w:val="000000"/>
                <w:lang w:val="es-ES_tradnl"/>
              </w:rPr>
              <w:t>iii</w:t>
            </w:r>
            <w:proofErr w:type="spellEnd"/>
            <w:r>
              <w:rPr>
                <w:rFonts w:ascii="Verdana" w:eastAsia="Calibri" w:hAnsi="Verdana" w:cs="Arial"/>
                <w:color w:val="000000"/>
                <w:lang w:val="es-ES_tradnl"/>
              </w:rPr>
              <w:t>) d</w:t>
            </w:r>
            <w:r>
              <w:rPr>
                <w:rFonts w:ascii="Verdana" w:eastAsia="Times New Roman" w:hAnsi="Verdana" w:cs="Arial"/>
                <w:color w:val="000000"/>
                <w:bdr w:val="none" w:sz="0" w:space="0" w:color="auto" w:frame="1"/>
                <w:shd w:val="clear" w:color="auto" w:fill="FFFFFF"/>
                <w:lang w:eastAsia="es-ES_tradnl"/>
              </w:rPr>
              <w:t>el literal j) del artículo 164.2 del Código de Procedimiento Administrativo y Contencioso Administrativo. Dado que la oportunidad para demandar corresponde a un aspecto procesal del derecho de acción, es independiente de que el régimen sustantivo de la liquidación derive o no del EGCAP.</w:t>
            </w:r>
            <w:r>
              <w:rPr>
                <w:rFonts w:ascii="Verdana" w:eastAsia="Calibri" w:hAnsi="Verdana" w:cs="Arial"/>
                <w:color w:val="000000"/>
                <w:lang w:val="es-ES_tradnl"/>
              </w:rPr>
              <w:t xml:space="preserve">   </w:t>
            </w:r>
          </w:p>
          <w:p w14:paraId="119F7B62" w14:textId="77777777" w:rsidR="00605E1B" w:rsidRPr="0070663D" w:rsidRDefault="00605E1B" w:rsidP="00CB2723">
            <w:pPr>
              <w:spacing w:line="276" w:lineRule="auto"/>
              <w:ind w:firstLine="709"/>
              <w:jc w:val="both"/>
            </w:pPr>
            <w:r>
              <w:rPr>
                <w:rFonts w:ascii="Verdana" w:eastAsia="Calibri" w:hAnsi="Verdana" w:cs="Arial"/>
                <w:color w:val="000000" w:themeColor="text1"/>
              </w:rPr>
              <w:t xml:space="preserve">En todo caso, </w:t>
            </w:r>
            <w:r w:rsidRPr="00F417E8">
              <w:rPr>
                <w:rFonts w:ascii="Verdana" w:eastAsia="Calibri" w:hAnsi="Verdana" w:cs="Arial"/>
                <w:color w:val="000000" w:themeColor="text1"/>
              </w:rPr>
              <w:t>el análisis</w:t>
            </w:r>
            <w:r>
              <w:rPr>
                <w:rFonts w:ascii="Verdana" w:eastAsia="Calibri" w:hAnsi="Verdana" w:cs="Arial"/>
                <w:color w:val="000000" w:themeColor="text1"/>
              </w:rPr>
              <w:t xml:space="preserve"> </w:t>
            </w:r>
            <w:r w:rsidRPr="00F417E8">
              <w:rPr>
                <w:rFonts w:ascii="Verdana" w:eastAsia="Calibri" w:hAnsi="Verdana" w:cs="Arial"/>
                <w:color w:val="000000" w:themeColor="text1"/>
              </w:rPr>
              <w:t>requerido</w:t>
            </w:r>
            <w:r>
              <w:rPr>
                <w:rFonts w:ascii="Verdana" w:eastAsia="Calibri" w:hAnsi="Verdana" w:cs="Arial"/>
                <w:color w:val="000000" w:themeColor="text1"/>
              </w:rPr>
              <w:t xml:space="preserve"> </w:t>
            </w:r>
            <w:r w:rsidRPr="00F417E8">
              <w:rPr>
                <w:rFonts w:ascii="Verdana" w:eastAsia="Calibri" w:hAnsi="Verdana" w:cs="Arial"/>
                <w:color w:val="000000" w:themeColor="text1"/>
              </w:rPr>
              <w:t>para</w:t>
            </w:r>
            <w:r>
              <w:rPr>
                <w:rFonts w:ascii="Verdana" w:eastAsia="Calibri" w:hAnsi="Verdana" w:cs="Arial"/>
                <w:color w:val="000000" w:themeColor="text1"/>
              </w:rPr>
              <w:t xml:space="preserve"> demandar oportunamente </w:t>
            </w:r>
            <w:r w:rsidRPr="00F417E8">
              <w:rPr>
                <w:rFonts w:ascii="Verdana" w:eastAsia="Calibri" w:hAnsi="Verdana" w:cs="Arial"/>
                <w:color w:val="000000" w:themeColor="text1"/>
              </w:rPr>
              <w:t>debe ser realizado por</w:t>
            </w:r>
            <w:r>
              <w:rPr>
                <w:rFonts w:ascii="Verdana" w:eastAsia="Calibri" w:hAnsi="Verdana" w:cs="Arial"/>
                <w:color w:val="000000" w:themeColor="text1"/>
              </w:rPr>
              <w:t xml:space="preserve"> </w:t>
            </w:r>
            <w:r w:rsidRPr="00F417E8">
              <w:rPr>
                <w:rFonts w:ascii="Verdana" w:eastAsia="Calibri" w:hAnsi="Verdana" w:cs="Arial"/>
                <w:color w:val="000000" w:themeColor="text1"/>
              </w:rPr>
              <w:t>quienes tengan interés en ello, de acuerdo con lo explicado</w:t>
            </w:r>
            <w:r>
              <w:rPr>
                <w:rFonts w:ascii="Verdana" w:eastAsia="Calibri" w:hAnsi="Verdana" w:cs="Arial"/>
                <w:color w:val="000000" w:themeColor="text1"/>
              </w:rPr>
              <w:t xml:space="preserve"> </w:t>
            </w:r>
            <w:r w:rsidRPr="00F417E8">
              <w:rPr>
                <w:rFonts w:ascii="Verdana" w:eastAsia="Calibri" w:hAnsi="Verdana" w:cs="Arial"/>
                <w:color w:val="000000" w:themeColor="text1"/>
              </w:rPr>
              <w:t>la aclaración preliminar del presente oficio.</w:t>
            </w:r>
            <w:r>
              <w:rPr>
                <w:rFonts w:ascii="Verdana" w:eastAsia="Calibri" w:hAnsi="Verdana" w:cs="Arial"/>
                <w:color w:val="000000" w:themeColor="text1"/>
              </w:rPr>
              <w:t xml:space="preserve"> </w:t>
            </w:r>
            <w:r w:rsidRPr="00F417E8">
              <w:rPr>
                <w:rFonts w:ascii="Verdana" w:eastAsia="Calibri" w:hAnsi="Verdana" w:cs="Arial"/>
                <w:color w:val="000000" w:themeColor="text1"/>
              </w:rPr>
              <w:t>Por lo anterior, previo concepto de sus asesores, la solución de situaciones particulares corresponde a los interesados</w:t>
            </w:r>
            <w:r>
              <w:rPr>
                <w:rFonts w:ascii="Verdana" w:eastAsia="Calibri" w:hAnsi="Verdana" w:cs="Arial"/>
                <w:color w:val="000000" w:themeColor="text1"/>
              </w:rPr>
              <w:t xml:space="preserve"> </w:t>
            </w:r>
            <w:r w:rsidRPr="00F417E8">
              <w:rPr>
                <w:rFonts w:ascii="Verdana" w:eastAsia="Calibri" w:hAnsi="Verdana" w:cs="Arial"/>
                <w:color w:val="000000" w:themeColor="text1"/>
              </w:rPr>
              <w:t>adoptar la decisión correspondiente y, en caso de conflicto, a las autoridades judiciales, fiscales y disciplinarias.</w:t>
            </w:r>
            <w:r>
              <w:rPr>
                <w:rFonts w:ascii="Verdana" w:eastAsia="Calibri" w:hAnsi="Verdana" w:cs="Arial"/>
                <w:color w:val="000000" w:themeColor="text1"/>
              </w:rPr>
              <w:t xml:space="preserve"> Así</w:t>
            </w:r>
            <w:r w:rsidRPr="00F417E8">
              <w:rPr>
                <w:rFonts w:ascii="Verdana" w:eastAsia="Calibri" w:hAnsi="Verdana" w:cs="Arial"/>
                <w:color w:val="000000" w:themeColor="text1"/>
              </w:rPr>
              <w:t xml:space="preserve">, cada entidad definirá la forma de adelantar su gestión </w:t>
            </w:r>
            <w:r>
              <w:rPr>
                <w:rFonts w:ascii="Verdana" w:eastAsia="Calibri" w:hAnsi="Verdana" w:cs="Arial"/>
                <w:color w:val="000000" w:themeColor="text1"/>
              </w:rPr>
              <w:t>procesal</w:t>
            </w:r>
            <w:r w:rsidRPr="00F417E8">
              <w:rPr>
                <w:rFonts w:ascii="Verdana" w:eastAsia="Calibri" w:hAnsi="Verdana" w:cs="Arial"/>
                <w:color w:val="000000" w:themeColor="text1"/>
              </w:rPr>
              <w:t>, sin que sea atribución de Colombia Compra Eficiente validar sus actuaciones.</w:t>
            </w:r>
          </w:p>
        </w:tc>
      </w:tr>
    </w:tbl>
    <w:p w14:paraId="60AC790D" w14:textId="77777777" w:rsidR="00605E1B" w:rsidRPr="00593A5F" w:rsidRDefault="00605E1B" w:rsidP="00605E1B">
      <w:pPr>
        <w:tabs>
          <w:tab w:val="left" w:pos="142"/>
          <w:tab w:val="left" w:pos="284"/>
        </w:tabs>
        <w:spacing w:after="0" w:line="276" w:lineRule="auto"/>
        <w:jc w:val="both"/>
        <w:rPr>
          <w:rFonts w:ascii="Verdana" w:eastAsia="Century Gothic" w:hAnsi="Verdana" w:cs="Century Gothic"/>
          <w:b/>
          <w:bCs/>
          <w:lang w:val="es-ES"/>
        </w:rPr>
      </w:pPr>
    </w:p>
    <w:bookmarkEnd w:id="1"/>
    <w:p w14:paraId="53ACE1EE" w14:textId="77777777" w:rsidR="00605E1B" w:rsidRPr="00593A5F" w:rsidRDefault="00605E1B" w:rsidP="00605E1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A644B1E" w14:textId="77777777" w:rsidR="00605E1B" w:rsidRPr="00593A5F" w:rsidRDefault="00605E1B" w:rsidP="00605E1B">
      <w:pPr>
        <w:spacing w:after="0" w:line="276" w:lineRule="auto"/>
        <w:jc w:val="both"/>
        <w:rPr>
          <w:rFonts w:ascii="Verdana" w:eastAsia="Calibri" w:hAnsi="Verdana" w:cs="Arial"/>
          <w:color w:val="7030A0"/>
          <w:lang w:val="es-ES"/>
        </w:rPr>
      </w:pPr>
    </w:p>
    <w:p w14:paraId="64A287B3" w14:textId="77777777" w:rsidR="00605E1B" w:rsidRDefault="00605E1B" w:rsidP="00605E1B">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A3CDB02" w14:textId="77777777" w:rsidR="00605E1B" w:rsidRPr="00415608" w:rsidRDefault="00605E1B" w:rsidP="00605E1B">
      <w:pPr>
        <w:spacing w:after="0" w:line="276" w:lineRule="auto"/>
        <w:jc w:val="both"/>
        <w:rPr>
          <w:rFonts w:ascii="Verdana" w:eastAsia="Calibri" w:hAnsi="Verdana" w:cs="Arial"/>
          <w:lang w:val="es-ES"/>
        </w:rPr>
      </w:pPr>
    </w:p>
    <w:p w14:paraId="1BAAB4AB" w14:textId="77777777" w:rsidR="00605E1B" w:rsidRPr="00FB5FC4" w:rsidRDefault="00605E1B" w:rsidP="00605E1B">
      <w:pPr>
        <w:spacing w:after="0" w:line="276" w:lineRule="auto"/>
        <w:jc w:val="both"/>
        <w:rPr>
          <w:rFonts w:ascii="Verdana" w:eastAsia="Calibri" w:hAnsi="Verdana" w:cs="Arial"/>
          <w:color w:val="000000"/>
          <w:lang w:val="es-ES_tradnl"/>
        </w:rPr>
      </w:pPr>
      <w:r w:rsidRPr="00FB5FC4">
        <w:rPr>
          <w:rFonts w:ascii="Verdana" w:eastAsia="Calibri" w:hAnsi="Verdana" w:cs="Arial"/>
          <w:color w:val="000000"/>
          <w:lang w:val="es-ES_tradnl"/>
        </w:rPr>
        <w:t>La liquidación es el momento en el cual, una vez concluido el contrato estatal, las partes cruzan cuentas respecto de sus obligaciones</w:t>
      </w:r>
      <w:r>
        <w:rPr>
          <w:rFonts w:ascii="Verdana" w:eastAsia="Calibri" w:hAnsi="Verdana" w:cs="Arial"/>
          <w:color w:val="000000"/>
          <w:lang w:val="es-ES_tradnl"/>
        </w:rPr>
        <w:t>.</w:t>
      </w:r>
      <w:r w:rsidRPr="00FB5FC4">
        <w:rPr>
          <w:rFonts w:ascii="Verdana" w:eastAsia="Calibri" w:hAnsi="Verdana" w:cs="Arial"/>
          <w:color w:val="000000"/>
          <w:lang w:val="es-ES_tradnl"/>
        </w:rPr>
        <w:t xml:space="preserve"> </w:t>
      </w:r>
      <w:r>
        <w:rPr>
          <w:rFonts w:ascii="Verdana" w:eastAsia="Calibri" w:hAnsi="Verdana" w:cs="Arial"/>
          <w:color w:val="000000"/>
          <w:lang w:val="es-ES_tradnl"/>
        </w:rPr>
        <w:t>P</w:t>
      </w:r>
      <w:r w:rsidRPr="00FB5FC4">
        <w:rPr>
          <w:rFonts w:ascii="Verdana" w:eastAsia="Calibri" w:hAnsi="Verdana" w:cs="Arial"/>
          <w:color w:val="000000"/>
          <w:lang w:val="es-ES_tradnl"/>
        </w:rPr>
        <w:t xml:space="preserve">or tanto, su objetivo es determinar si pueden declararse a paz y salvo mutuo o si, por el contrario, existen aún obligaciones por cumplir, para acordar la forma en que deben ser </w:t>
      </w:r>
      <w:r>
        <w:rPr>
          <w:rFonts w:ascii="Verdana" w:eastAsia="Calibri" w:hAnsi="Verdana" w:cs="Arial"/>
          <w:color w:val="000000"/>
          <w:lang w:val="es-ES_tradnl"/>
        </w:rPr>
        <w:t>finalizadas</w:t>
      </w:r>
      <w:r w:rsidRPr="00FB5FC4">
        <w:rPr>
          <w:rFonts w:ascii="Verdana" w:eastAsia="Calibri" w:hAnsi="Verdana" w:cs="Arial"/>
          <w:color w:val="000000"/>
          <w:vertAlign w:val="superscript"/>
          <w:lang w:val="es-ES_tradnl"/>
        </w:rPr>
        <w:footnoteReference w:id="2"/>
      </w:r>
      <w:r w:rsidRPr="00FB5FC4">
        <w:rPr>
          <w:rFonts w:ascii="Verdana" w:eastAsia="Calibri" w:hAnsi="Verdana" w:cs="Arial"/>
          <w:color w:val="000000"/>
          <w:lang w:val="es-ES_tradnl"/>
        </w:rPr>
        <w:t>. En armonía con lo anterior, la doctrina ha definido la liquidación de la siguiente manera:</w:t>
      </w:r>
    </w:p>
    <w:p w14:paraId="7EE1CEE5" w14:textId="77777777" w:rsidR="00605E1B" w:rsidRPr="00FB5FC4" w:rsidRDefault="00605E1B" w:rsidP="00605E1B">
      <w:pPr>
        <w:spacing w:after="0" w:line="276" w:lineRule="auto"/>
        <w:jc w:val="both"/>
        <w:rPr>
          <w:rFonts w:ascii="Verdana" w:eastAsia="Calibri" w:hAnsi="Verdana" w:cs="Arial"/>
          <w:color w:val="000000"/>
          <w:lang w:val="es-ES_tradnl"/>
        </w:rPr>
      </w:pPr>
    </w:p>
    <w:p w14:paraId="37CB3209" w14:textId="77777777" w:rsidR="00605E1B" w:rsidRPr="00FB5FC4" w:rsidRDefault="00605E1B" w:rsidP="00605E1B">
      <w:pPr>
        <w:spacing w:after="0" w:line="240" w:lineRule="auto"/>
        <w:ind w:left="709" w:right="758"/>
        <w:jc w:val="both"/>
        <w:rPr>
          <w:rFonts w:ascii="Verdana" w:eastAsia="Calibri" w:hAnsi="Verdana" w:cs="Arial"/>
          <w:sz w:val="21"/>
          <w:szCs w:val="21"/>
          <w:lang w:val="es-MX"/>
        </w:rPr>
      </w:pPr>
      <w:r w:rsidRPr="00FB5FC4">
        <w:rPr>
          <w:rFonts w:ascii="Verdana" w:eastAsia="Calibri" w:hAnsi="Verdana" w:cs="Arial"/>
          <w:i/>
          <w:iCs/>
          <w:color w:val="000000"/>
          <w:sz w:val="21"/>
          <w:szCs w:val="21"/>
          <w:lang w:val="es-ES_tradnl"/>
        </w:rPr>
        <w:t>“</w:t>
      </w:r>
      <w:r w:rsidRPr="00FB5FC4">
        <w:rPr>
          <w:rFonts w:ascii="Verdana" w:eastAsia="Calibri" w:hAnsi="Verdana" w:cs="Arial"/>
          <w:sz w:val="21"/>
          <w:szCs w:val="21"/>
          <w:lang w:val="es-MX"/>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Pr>
          <w:rFonts w:ascii="Verdana" w:eastAsia="Calibri" w:hAnsi="Verdana" w:cs="Arial"/>
          <w:sz w:val="21"/>
          <w:szCs w:val="21"/>
          <w:lang w:val="es-MX"/>
        </w:rPr>
        <w:t>”</w:t>
      </w:r>
      <w:r w:rsidRPr="00FB5FC4">
        <w:rPr>
          <w:rFonts w:ascii="Verdana" w:eastAsia="Calibri" w:hAnsi="Verdana" w:cs="Arial"/>
          <w:sz w:val="21"/>
          <w:szCs w:val="21"/>
          <w:vertAlign w:val="superscript"/>
          <w:lang w:val="es-MX"/>
        </w:rPr>
        <w:footnoteReference w:id="3"/>
      </w:r>
      <w:r w:rsidRPr="00FB5FC4">
        <w:rPr>
          <w:rFonts w:ascii="Verdana" w:eastAsia="Calibri" w:hAnsi="Verdana" w:cs="Arial"/>
          <w:sz w:val="21"/>
          <w:szCs w:val="21"/>
          <w:lang w:val="es-MX"/>
        </w:rPr>
        <w:t>.</w:t>
      </w:r>
    </w:p>
    <w:p w14:paraId="094B4D14" w14:textId="77777777" w:rsidR="00605E1B" w:rsidRPr="00FB5FC4" w:rsidRDefault="00605E1B" w:rsidP="00605E1B">
      <w:pPr>
        <w:spacing w:after="0" w:line="276" w:lineRule="auto"/>
        <w:jc w:val="both"/>
        <w:rPr>
          <w:rFonts w:ascii="Verdana" w:eastAsia="Calibri" w:hAnsi="Verdana" w:cs="Arial"/>
          <w:color w:val="000000"/>
          <w:lang w:val="es-ES_tradnl"/>
        </w:rPr>
      </w:pPr>
    </w:p>
    <w:p w14:paraId="28D8A885" w14:textId="77777777" w:rsidR="00605E1B" w:rsidRPr="00FB5FC4" w:rsidRDefault="00605E1B" w:rsidP="00605E1B">
      <w:pPr>
        <w:spacing w:after="120" w:line="276" w:lineRule="auto"/>
        <w:ind w:firstLine="709"/>
        <w:jc w:val="both"/>
        <w:rPr>
          <w:rFonts w:ascii="Verdana" w:eastAsia="Times New Roman" w:hAnsi="Verdana" w:cs="Arial"/>
          <w:color w:val="000000"/>
          <w:sz w:val="21"/>
          <w:szCs w:val="21"/>
          <w:lang w:val="es-ES_tradnl" w:eastAsia="es-ES_tradnl"/>
        </w:rPr>
      </w:pPr>
      <w:r>
        <w:rPr>
          <w:rFonts w:ascii="Verdana" w:eastAsia="Times New Roman" w:hAnsi="Verdana" w:cs="Arial"/>
          <w:color w:val="000000"/>
          <w:szCs w:val="24"/>
          <w:lang w:val="es-ES_tradnl" w:eastAsia="es-ES_tradnl"/>
        </w:rPr>
        <w:t>S</w:t>
      </w:r>
      <w:r w:rsidRPr="00FB5FC4">
        <w:rPr>
          <w:rFonts w:ascii="Verdana" w:eastAsia="Times New Roman" w:hAnsi="Verdana" w:cs="Arial"/>
          <w:color w:val="000000"/>
          <w:szCs w:val="24"/>
          <w:lang w:val="es-ES_tradnl" w:eastAsia="es-ES_tradnl"/>
        </w:rPr>
        <w:t xml:space="preserve">egún la jurisprudencia, la liquidación es el ajuste de cuentas donde las partes hacen un balance económico, técnico y jurídico del cumplimiento de las obligaciones que tienen a su cargo. Así lo manifestó el Consejo de Estado en la </w:t>
      </w:r>
      <w:r>
        <w:rPr>
          <w:rFonts w:ascii="Verdana" w:eastAsia="Times New Roman" w:hAnsi="Verdana" w:cs="Arial"/>
          <w:color w:val="000000"/>
          <w:szCs w:val="24"/>
          <w:lang w:val="es-ES_tradnl" w:eastAsia="es-ES_tradnl"/>
        </w:rPr>
        <w:t>S</w:t>
      </w:r>
      <w:r w:rsidRPr="00FB5FC4">
        <w:rPr>
          <w:rFonts w:ascii="Verdana" w:eastAsia="Times New Roman" w:hAnsi="Verdana" w:cs="Arial"/>
          <w:color w:val="000000"/>
          <w:szCs w:val="24"/>
          <w:lang w:val="es-ES_tradnl" w:eastAsia="es-ES_tradnl"/>
        </w:rPr>
        <w:t xml:space="preserve">entencia del 20 de octubre de 2014, en la que consideró, por un lado, que </w:t>
      </w:r>
      <w:r w:rsidRPr="00FB5FC4">
        <w:rPr>
          <w:rFonts w:ascii="Verdana" w:eastAsia="Times New Roman" w:hAnsi="Verdana" w:cs="Arial"/>
          <w:i/>
          <w:iCs/>
          <w:color w:val="000000"/>
          <w:szCs w:val="24"/>
          <w:lang w:val="es-ES_tradnl" w:eastAsia="es-ES_tradnl"/>
        </w:rPr>
        <w:t>liquidar</w:t>
      </w:r>
      <w:r w:rsidRPr="00FB5FC4">
        <w:rPr>
          <w:rFonts w:ascii="Verdana" w:eastAsia="Times New Roman" w:hAnsi="Verdana" w:cs="Arial"/>
          <w:color w:val="000000"/>
          <w:szCs w:val="24"/>
          <w:lang w:val="es-ES_tradnl" w:eastAsia="es-ES_tradnl"/>
        </w:rPr>
        <w:t xml:space="preserve"> supone un ajuste en relación con las cuentas y el estado de cumplimiento del contrato estatal y, por el otro, que la </w:t>
      </w:r>
      <w:r w:rsidRPr="00FB5FC4">
        <w:rPr>
          <w:rFonts w:ascii="Verdana" w:eastAsia="Times New Roman" w:hAnsi="Verdana" w:cs="Arial"/>
          <w:i/>
          <w:iCs/>
          <w:color w:val="000000"/>
          <w:szCs w:val="24"/>
          <w:lang w:val="es-ES_tradnl" w:eastAsia="es-ES_tradnl"/>
        </w:rPr>
        <w:t>liquidación</w:t>
      </w:r>
      <w:r w:rsidRPr="00FB5FC4">
        <w:rPr>
          <w:rFonts w:ascii="Verdana" w:eastAsia="Times New Roman" w:hAnsi="Verdana" w:cs="Arial"/>
          <w:color w:val="000000"/>
          <w:szCs w:val="24"/>
          <w:lang w:val="es-ES_tradnl" w:eastAsia="es-ES_tradnl"/>
        </w:rPr>
        <w:t xml:space="preserve"> debe incluir el análisis de las condiciones de calidad y oportunidad en la entrega de los bienes, obras o servicios, así como el balance económico y el comportamiento financiero del negocio</w:t>
      </w:r>
      <w:r w:rsidRPr="00FB5FC4">
        <w:rPr>
          <w:rFonts w:ascii="Verdana" w:eastAsia="Times New Roman" w:hAnsi="Verdana" w:cs="Arial"/>
          <w:color w:val="000000"/>
          <w:szCs w:val="24"/>
          <w:vertAlign w:val="superscript"/>
          <w:lang w:val="es-ES_tradnl" w:eastAsia="es-ES_tradnl"/>
        </w:rPr>
        <w:footnoteReference w:id="4"/>
      </w:r>
      <w:r w:rsidRPr="00FB5FC4">
        <w:rPr>
          <w:rFonts w:ascii="Verdana" w:eastAsia="Times New Roman" w:hAnsi="Verdana" w:cs="Arial"/>
          <w:color w:val="000000"/>
          <w:szCs w:val="24"/>
          <w:lang w:val="es-ES_tradnl" w:eastAsia="es-ES_tradnl"/>
        </w:rPr>
        <w:t xml:space="preserve">. </w:t>
      </w:r>
    </w:p>
    <w:p w14:paraId="1AC5CF42" w14:textId="77777777" w:rsidR="00605E1B" w:rsidRPr="00FB5FC4" w:rsidRDefault="00605E1B" w:rsidP="00605E1B">
      <w:pPr>
        <w:spacing w:after="0" w:line="276" w:lineRule="auto"/>
        <w:ind w:firstLine="709"/>
        <w:jc w:val="both"/>
        <w:rPr>
          <w:rFonts w:ascii="Verdana" w:eastAsia="Calibri" w:hAnsi="Verdana" w:cs="Arial"/>
          <w:color w:val="000000"/>
          <w:lang w:val="es-ES_tradnl"/>
        </w:rPr>
      </w:pPr>
      <w:r w:rsidRPr="00570C1A">
        <w:rPr>
          <w:rFonts w:ascii="Verdana" w:eastAsia="Calibri" w:hAnsi="Verdana" w:cs="Arial"/>
          <w:i/>
          <w:iCs/>
          <w:color w:val="000000"/>
          <w:lang w:val="es-ES_tradnl"/>
        </w:rPr>
        <w:lastRenderedPageBreak/>
        <w:t>Para las entidades sometidas al EGCAP</w:t>
      </w:r>
      <w:r>
        <w:rPr>
          <w:rFonts w:ascii="Verdana" w:eastAsia="Calibri" w:hAnsi="Verdana" w:cs="Arial"/>
          <w:color w:val="000000"/>
          <w:lang w:val="es-ES_tradnl"/>
        </w:rPr>
        <w:t>, l</w:t>
      </w:r>
      <w:r w:rsidRPr="00FB5FC4">
        <w:rPr>
          <w:rFonts w:ascii="Verdana" w:eastAsia="Calibri" w:hAnsi="Verdana" w:cs="Arial"/>
          <w:color w:val="000000"/>
          <w:lang w:val="es-ES_tradnl"/>
        </w:rPr>
        <w:t>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31ACE1C2" w14:textId="77777777" w:rsidR="00605E1B" w:rsidRPr="00D71733" w:rsidRDefault="00605E1B" w:rsidP="00605E1B">
      <w:pPr>
        <w:spacing w:after="0" w:line="276" w:lineRule="auto"/>
        <w:ind w:firstLine="708"/>
        <w:jc w:val="both"/>
        <w:rPr>
          <w:rFonts w:ascii="Verdana" w:eastAsia="Calibri" w:hAnsi="Verdana" w:cs="Arial"/>
          <w:lang w:val="es-ES"/>
        </w:rPr>
      </w:pPr>
    </w:p>
    <w:p w14:paraId="505D8D97" w14:textId="77777777" w:rsidR="00605E1B" w:rsidRPr="00D71733" w:rsidRDefault="00605E1B" w:rsidP="00605E1B">
      <w:pPr>
        <w:spacing w:after="0" w:line="240" w:lineRule="auto"/>
        <w:ind w:left="709" w:right="758"/>
        <w:jc w:val="both"/>
        <w:rPr>
          <w:rFonts w:ascii="Verdana" w:eastAsia="Calibri" w:hAnsi="Verdana" w:cs="Arial"/>
          <w:sz w:val="21"/>
          <w:szCs w:val="21"/>
          <w:lang w:val="es-MX"/>
        </w:rPr>
      </w:pPr>
      <w:r w:rsidRPr="00D71733">
        <w:rPr>
          <w:rFonts w:ascii="Verdana" w:eastAsia="Calibri" w:hAnsi="Verdana" w:cs="Arial"/>
          <w:sz w:val="21"/>
          <w:szCs w:val="21"/>
          <w:lang w:val="es-ES"/>
        </w:rPr>
        <w:t>“</w:t>
      </w:r>
      <w:r w:rsidRPr="00D71733">
        <w:rPr>
          <w:rFonts w:ascii="Verdana" w:eastAsia="Calibri" w:hAnsi="Verdana" w:cs="Arial"/>
          <w:sz w:val="21"/>
          <w:szCs w:val="21"/>
          <w:lang w:val="es-MX"/>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D71733">
        <w:rPr>
          <w:rFonts w:ascii="Verdana" w:eastAsia="Calibri" w:hAnsi="Verdana" w:cs="Arial"/>
          <w:sz w:val="21"/>
          <w:szCs w:val="21"/>
          <w:vertAlign w:val="superscript"/>
          <w:lang w:val="es-MX"/>
        </w:rPr>
        <w:footnoteReference w:id="5"/>
      </w:r>
      <w:r>
        <w:rPr>
          <w:rFonts w:ascii="Verdana" w:eastAsia="Calibri" w:hAnsi="Verdana" w:cs="Arial"/>
          <w:sz w:val="21"/>
          <w:szCs w:val="21"/>
          <w:lang w:val="es-MX"/>
        </w:rPr>
        <w:t>.</w:t>
      </w:r>
    </w:p>
    <w:p w14:paraId="300DC9F3" w14:textId="77777777" w:rsidR="00605E1B" w:rsidRPr="00D71733" w:rsidRDefault="00605E1B" w:rsidP="00605E1B">
      <w:pPr>
        <w:spacing w:after="0" w:line="276" w:lineRule="auto"/>
        <w:ind w:left="709" w:right="758"/>
        <w:jc w:val="both"/>
        <w:rPr>
          <w:rFonts w:ascii="Verdana" w:eastAsia="Calibri" w:hAnsi="Verdana" w:cs="Arial"/>
          <w:lang w:val="es-ES"/>
        </w:rPr>
      </w:pPr>
    </w:p>
    <w:p w14:paraId="1C093EEE" w14:textId="77777777" w:rsidR="00605E1B" w:rsidRPr="00FB5FC4" w:rsidRDefault="00605E1B" w:rsidP="00605E1B">
      <w:pPr>
        <w:spacing w:after="120" w:line="276" w:lineRule="auto"/>
        <w:ind w:firstLine="708"/>
        <w:jc w:val="both"/>
        <w:rPr>
          <w:rFonts w:ascii="Verdana" w:eastAsia="Calibri" w:hAnsi="Verdana" w:cs="Arial"/>
          <w:color w:val="000000"/>
          <w:lang w:val="es-ES_tradnl"/>
        </w:rPr>
      </w:pPr>
      <w:r w:rsidRPr="00FB5FC4">
        <w:rPr>
          <w:rFonts w:ascii="Verdana" w:eastAsia="Calibri" w:hAnsi="Verdana" w:cs="Arial"/>
          <w:color w:val="000000"/>
          <w:lang w:val="es-ES_tradnl"/>
        </w:rPr>
        <w:t>Así las cosas, de acuerdo con el artículo 60 de la Ley 80 de 1993, los contratos de tracto sucesivo, aquellos cuyo cumplimiento o ejecución se prolongue en el tiempo y los demás que lo requieran “</w:t>
      </w:r>
      <w:r w:rsidRPr="00D71733">
        <w:rPr>
          <w:rFonts w:ascii="Verdana" w:eastAsia="Calibri" w:hAnsi="Verdana" w:cs="Arial"/>
          <w:color w:val="000000"/>
          <w:lang w:val="es-ES_tradnl"/>
        </w:rPr>
        <w:t>serán objeto de liquidación</w:t>
      </w:r>
      <w:r w:rsidRPr="00FB5FC4">
        <w:rPr>
          <w:rFonts w:ascii="Verdana" w:eastAsia="Calibri" w:hAnsi="Verdana" w:cs="Arial"/>
          <w:color w:val="000000"/>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FB5FC4">
        <w:rPr>
          <w:rFonts w:ascii="Verdana" w:eastAsia="Calibri" w:hAnsi="Verdana" w:cs="Arial"/>
          <w:color w:val="000000"/>
          <w:vertAlign w:val="superscript"/>
          <w:lang w:val="es-ES_tradnl"/>
        </w:rPr>
        <w:footnoteReference w:id="6"/>
      </w:r>
      <w:r w:rsidRPr="00FB5FC4">
        <w:rPr>
          <w:rFonts w:ascii="Verdana" w:eastAsia="Calibri" w:hAnsi="Verdana" w:cs="Arial"/>
          <w:color w:val="000000"/>
          <w:lang w:val="es-ES_tradnl"/>
        </w:rPr>
        <w:t xml:space="preserve">, así como la probabilidad de que puedan surgir diferencias durante la ejecución del contrato; sin perjuicio de que, como se indicó, todos los contratos estatales de </w:t>
      </w:r>
      <w:r w:rsidRPr="00FB5FC4">
        <w:rPr>
          <w:rFonts w:ascii="Verdana" w:eastAsia="Calibri" w:hAnsi="Verdana" w:cs="Arial"/>
          <w:i/>
          <w:iCs/>
          <w:color w:val="000000"/>
          <w:lang w:val="es-ES_tradnl"/>
        </w:rPr>
        <w:t>tracto sucesivo</w:t>
      </w:r>
      <w:r w:rsidRPr="00FB5FC4">
        <w:rPr>
          <w:rFonts w:ascii="Verdana" w:eastAsia="Calibri" w:hAnsi="Verdana" w:cs="Arial"/>
          <w:color w:val="000000"/>
          <w:lang w:val="es-ES_tradnl"/>
        </w:rPr>
        <w:t xml:space="preserve"> o aquellos cuya ejecución se prolongue en el tiempo siempre deban liquidarse, convirtiéndose en estos contratos en una cláusula de la naturaleza, conforme a la clasificación prevista en el Código Civil.</w:t>
      </w:r>
    </w:p>
    <w:p w14:paraId="29BFE729" w14:textId="77777777" w:rsidR="00605E1B" w:rsidRPr="00FB5FC4" w:rsidRDefault="00605E1B" w:rsidP="00605E1B">
      <w:pPr>
        <w:spacing w:after="120" w:line="276" w:lineRule="auto"/>
        <w:ind w:firstLine="708"/>
        <w:jc w:val="both"/>
        <w:rPr>
          <w:rFonts w:ascii="Verdana" w:eastAsia="Calibri" w:hAnsi="Verdana" w:cs="Arial"/>
          <w:color w:val="000000"/>
          <w:lang w:val="es-ES"/>
        </w:rPr>
      </w:pPr>
      <w:r w:rsidRPr="3C482108">
        <w:rPr>
          <w:rFonts w:ascii="Verdana" w:eastAsia="Calibri" w:hAnsi="Verdana" w:cs="Arial"/>
          <w:color w:val="000000"/>
          <w:lang w:val="es-ES"/>
        </w:rPr>
        <w:lastRenderedPageBreak/>
        <w:t>Por su parte, el artículo 11 de la Ley 1150 de 2007 contiene las reglas de tipo procedimental para liquidar los contratos estatales, las cuales se pasan a explicar</w:t>
      </w:r>
      <w:r w:rsidRPr="3C482108">
        <w:rPr>
          <w:rFonts w:ascii="Verdana" w:eastAsia="Calibri" w:hAnsi="Verdana" w:cs="Arial"/>
          <w:color w:val="000000"/>
          <w:vertAlign w:val="superscript"/>
          <w:lang w:val="es-ES"/>
        </w:rPr>
        <w:footnoteReference w:id="7"/>
      </w:r>
      <w:r w:rsidRPr="3C482108">
        <w:rPr>
          <w:rFonts w:ascii="Verdana" w:eastAsia="Calibri" w:hAnsi="Verdana" w:cs="Arial"/>
          <w:color w:val="000000"/>
          <w:lang w:val="es-ES"/>
        </w:rPr>
        <w:t xml:space="preserve">.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3C482108">
        <w:rPr>
          <w:rFonts w:ascii="Verdana" w:eastAsia="Calibri" w:hAnsi="Verdana" w:cs="Arial"/>
          <w:color w:val="000000"/>
          <w:lang w:val="es-ES"/>
        </w:rPr>
        <w:t>ii</w:t>
      </w:r>
      <w:proofErr w:type="spellEnd"/>
      <w:r w:rsidRPr="3C482108">
        <w:rPr>
          <w:rFonts w:ascii="Verdana" w:eastAsia="Calibri" w:hAnsi="Verdana" w:cs="Arial"/>
          <w:color w:val="000000"/>
          <w:lang w:val="es-ES"/>
        </w:rPr>
        <w:t xml:space="preserve">) la expedición del acto administrativo que ordene la terminación del contrato; o, </w:t>
      </w:r>
      <w:proofErr w:type="spellStart"/>
      <w:r w:rsidRPr="3C482108">
        <w:rPr>
          <w:rFonts w:ascii="Verdana" w:eastAsia="Calibri" w:hAnsi="Verdana" w:cs="Arial"/>
          <w:color w:val="000000"/>
          <w:lang w:val="es-ES"/>
        </w:rPr>
        <w:t>iii</w:t>
      </w:r>
      <w:proofErr w:type="spellEnd"/>
      <w:r w:rsidRPr="3C482108">
        <w:rPr>
          <w:rFonts w:ascii="Verdana" w:eastAsia="Calibri" w:hAnsi="Verdana" w:cs="Arial"/>
          <w:color w:val="000000"/>
          <w:lang w:val="es-ES"/>
        </w:rPr>
        <w:t>) la fecha del acuerdo que disponga la terminación del contrato.</w:t>
      </w:r>
    </w:p>
    <w:p w14:paraId="4213DA4C" w14:textId="77777777" w:rsidR="00605E1B" w:rsidRPr="004B5D6E" w:rsidRDefault="00605E1B" w:rsidP="00605E1B">
      <w:pPr>
        <w:spacing w:after="120" w:line="276" w:lineRule="auto"/>
        <w:ind w:firstLine="709"/>
        <w:jc w:val="both"/>
        <w:rPr>
          <w:rFonts w:ascii="Verdana" w:eastAsia="Times New Roman" w:hAnsi="Verdana" w:cs="Arial"/>
          <w:lang w:val="es-ES" w:eastAsia="es-ES"/>
        </w:rPr>
      </w:pPr>
      <w:r w:rsidRPr="3C482108">
        <w:rPr>
          <w:rFonts w:ascii="Verdana" w:eastAsia="Times New Roman" w:hAnsi="Verdana" w:cs="Arial"/>
          <w:lang w:val="es-ES" w:eastAsia="es-ES"/>
        </w:rPr>
        <w:t>El artículo 11 de la Ley 1150 de 2007 señala que la liquidación de mutuo acuerdo deberá realizar dentro del plazo previsto en “los pliegos de condiciones o sus equivalentes, o dentro del que acuerden las partes para el efecto”. Para dilucidar a qué se refiere la norma con “equivalentes” resulta necesario tener presente que el pliego de condiciones es un documento contentivo de las reglas aplicables a un determinado proceso de selección, que “materializa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w:t>
      </w:r>
      <w:r w:rsidRPr="3C482108">
        <w:rPr>
          <w:rFonts w:ascii="Verdana" w:eastAsia="Times New Roman" w:hAnsi="Verdana" w:cs="Arial"/>
          <w:spacing w:val="-7"/>
          <w:lang w:val="es-ES" w:eastAsia="es-ES"/>
        </w:rPr>
        <w:t xml:space="preserve"> </w:t>
      </w:r>
      <w:r w:rsidRPr="3C482108">
        <w:rPr>
          <w:rFonts w:ascii="Verdana" w:eastAsia="Times New Roman" w:hAnsi="Verdana" w:cs="Arial"/>
          <w:lang w:val="es-ES" w:eastAsia="es-ES"/>
        </w:rPr>
        <w:t>celebrar”</w:t>
      </w:r>
      <w:r w:rsidRPr="3C482108">
        <w:rPr>
          <w:rFonts w:ascii="Verdana" w:eastAsia="Times New Roman" w:hAnsi="Verdana" w:cs="Arial"/>
          <w:vertAlign w:val="superscript"/>
          <w:lang w:val="es-ES" w:eastAsia="es-ES"/>
        </w:rPr>
        <w:footnoteReference w:id="8"/>
      </w:r>
      <w:r w:rsidRPr="3C482108">
        <w:rPr>
          <w:rFonts w:ascii="Verdana" w:eastAsia="Times New Roman" w:hAnsi="Verdana" w:cs="Arial"/>
          <w:lang w:val="es-ES" w:eastAsia="es-ES"/>
        </w:rPr>
        <w:t xml:space="preserve">. A partir de tales características debe determinarse la equivalencia de un documento con un pliego de condiciones, la cual se puede ejemplificar claramente con la invitación a </w:t>
      </w:r>
      <w:r w:rsidRPr="3C482108">
        <w:rPr>
          <w:rFonts w:ascii="Verdana" w:eastAsia="Times New Roman" w:hAnsi="Verdana" w:cs="Arial"/>
          <w:lang w:val="es-ES" w:eastAsia="es-ES"/>
        </w:rPr>
        <w:lastRenderedPageBreak/>
        <w:t>participar en los procesos de mínima cuantía</w:t>
      </w:r>
      <w:r w:rsidRPr="3C482108">
        <w:rPr>
          <w:rFonts w:ascii="Verdana" w:eastAsia="Times New Roman" w:hAnsi="Verdana" w:cs="Arial"/>
          <w:vertAlign w:val="superscript"/>
          <w:lang w:val="es-ES" w:eastAsia="es-ES"/>
        </w:rPr>
        <w:footnoteReference w:id="9"/>
      </w:r>
      <w:r w:rsidRPr="3C482108">
        <w:rPr>
          <w:rFonts w:ascii="Verdana" w:eastAsia="Times New Roman" w:hAnsi="Verdana" w:cs="Arial"/>
          <w:lang w:val="es-ES" w:eastAsia="es-ES"/>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proofErr w:type="spellStart"/>
      <w:r w:rsidRPr="3C482108">
        <w:rPr>
          <w:rFonts w:ascii="Verdana" w:eastAsia="Times New Roman" w:hAnsi="Verdana" w:cs="Arial"/>
          <w:lang w:val="es-ES" w:eastAsia="es-ES"/>
        </w:rPr>
        <w:t>Ibídem</w:t>
      </w:r>
      <w:proofErr w:type="spellEnd"/>
      <w:r w:rsidRPr="3C482108">
        <w:rPr>
          <w:rFonts w:ascii="Verdana" w:eastAsia="Times New Roman" w:hAnsi="Verdana" w:cs="Arial"/>
          <w:lang w:val="es-ES" w:eastAsia="es-ES"/>
        </w:rPr>
        <w:t xml:space="preserve">, dentro del cual es viable establecer el plazo para la liquidación de mutuo acuerdo. </w:t>
      </w:r>
    </w:p>
    <w:p w14:paraId="0EAA7D9D" w14:textId="77777777" w:rsidR="00605E1B" w:rsidRPr="00FB5FC4" w:rsidRDefault="00605E1B" w:rsidP="00605E1B">
      <w:pPr>
        <w:spacing w:after="120" w:line="276" w:lineRule="auto"/>
        <w:ind w:firstLine="709"/>
        <w:jc w:val="both"/>
        <w:rPr>
          <w:rFonts w:ascii="Verdana" w:eastAsia="Times New Roman" w:hAnsi="Verdana" w:cs="Arial"/>
          <w:lang w:val="es-ES" w:eastAsia="es-ES"/>
        </w:rPr>
      </w:pPr>
      <w:r w:rsidRPr="3C482108">
        <w:rPr>
          <w:rFonts w:ascii="Verdana" w:eastAsia="Times New Roman" w:hAnsi="Verdana" w:cs="Arial"/>
          <w:lang w:val="es-ES" w:eastAsia="es-ES"/>
        </w:rPr>
        <w:t>De otra parte, cuando el artículo 11 de la Ley 1150 de 2007 hace referencia al término que “acuerden las partes”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implica una modificación del contrato. Por tal razón, su celebración debe cumplir con los requisitos del negocio jurídico, ameritando la concurrencia de capacidad jurídica de los agentes, un consentimiento libre de vicios, un objeto y causa lícita, así como la formalidad escrita requerida en materia de contratación estatal</w:t>
      </w:r>
      <w:r w:rsidRPr="3C482108">
        <w:rPr>
          <w:rFonts w:ascii="Verdana" w:eastAsia="Times New Roman" w:hAnsi="Verdana" w:cs="Arial"/>
          <w:vertAlign w:val="superscript"/>
          <w:lang w:val="es-ES" w:eastAsia="es-ES"/>
        </w:rPr>
        <w:footnoteReference w:id="10"/>
      </w:r>
      <w:r w:rsidRPr="3C482108">
        <w:rPr>
          <w:rFonts w:ascii="Verdana" w:eastAsia="Times New Roman" w:hAnsi="Verdana" w:cs="Arial"/>
          <w:lang w:val="es-ES" w:eastAsia="es-ES"/>
        </w:rPr>
        <w:t xml:space="preserve">. </w:t>
      </w:r>
    </w:p>
    <w:p w14:paraId="3DA1A802" w14:textId="77777777" w:rsidR="00605E1B" w:rsidRPr="00FB5FC4" w:rsidRDefault="00605E1B" w:rsidP="00605E1B">
      <w:pPr>
        <w:spacing w:after="120" w:line="276" w:lineRule="auto"/>
        <w:ind w:firstLine="709"/>
        <w:jc w:val="both"/>
        <w:rPr>
          <w:rFonts w:ascii="Verdana" w:eastAsia="Calibri" w:hAnsi="Verdana" w:cs="Arial"/>
          <w:lang w:val="es-ES"/>
        </w:rPr>
      </w:pPr>
      <w:r w:rsidRPr="3C482108">
        <w:rPr>
          <w:rFonts w:ascii="Verdana" w:eastAsia="Calibri" w:hAnsi="Verdana" w:cs="Arial"/>
          <w:lang w:val="es-ES"/>
        </w:rPr>
        <w:lastRenderedPageBreak/>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3C482108">
        <w:rPr>
          <w:rFonts w:ascii="Verdana" w:eastAsia="Calibri" w:hAnsi="Verdana" w:cs="Arial"/>
          <w:vertAlign w:val="superscript"/>
          <w:lang w:val="es-ES"/>
        </w:rPr>
        <w:footnoteReference w:id="11"/>
      </w:r>
      <w:r w:rsidRPr="3C482108">
        <w:rPr>
          <w:rFonts w:ascii="Verdana" w:eastAsia="Calibri" w:hAnsi="Verdana" w:cs="Arial"/>
          <w:lang w:val="es-ES"/>
        </w:rPr>
        <w:t>, lo cual implica que las mismas se desarrollen en procura de la economía y la celeridad</w:t>
      </w:r>
      <w:r w:rsidRPr="3C482108">
        <w:rPr>
          <w:rFonts w:ascii="Verdana" w:eastAsia="Calibri" w:hAnsi="Verdana" w:cs="Arial"/>
          <w:vertAlign w:val="superscript"/>
          <w:lang w:val="es-ES"/>
        </w:rPr>
        <w:footnoteReference w:id="12"/>
      </w:r>
      <w:r w:rsidRPr="3C482108">
        <w:rPr>
          <w:rFonts w:ascii="Verdana" w:eastAsia="Calibri" w:hAnsi="Verdana" w:cs="Arial"/>
          <w:lang w:val="es-ES"/>
        </w:rPr>
        <w:t>. Esto significa que, en ejercicio de la facultad que les asiste para fijar el plazo para la liquidación bilateral, las partes deben actuar en garantía de estos principios, por lo que el término que se acuerde debe fijarse de manera razonable.</w:t>
      </w:r>
    </w:p>
    <w:p w14:paraId="7DB72280" w14:textId="77777777" w:rsidR="00605E1B" w:rsidRPr="00FB5FC4" w:rsidRDefault="00605E1B" w:rsidP="00605E1B">
      <w:pPr>
        <w:spacing w:after="120" w:line="276" w:lineRule="auto"/>
        <w:ind w:firstLine="709"/>
        <w:jc w:val="both"/>
        <w:rPr>
          <w:rFonts w:ascii="Verdana" w:eastAsia="Calibri" w:hAnsi="Verdana" w:cs="Arial"/>
          <w:color w:val="000000"/>
          <w:lang w:val="es-ES_tradnl"/>
        </w:rPr>
      </w:pPr>
      <w:r w:rsidRPr="00FB5FC4">
        <w:rPr>
          <w:rFonts w:ascii="Verdana" w:eastAsia="Calibri" w:hAnsi="Verdana" w:cs="Arial"/>
          <w:color w:val="000000"/>
          <w:lang w:val="es-ES_tradn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FB5FC4">
        <w:rPr>
          <w:rFonts w:ascii="Verdana" w:eastAsia="Calibri" w:hAnsi="Verdana" w:cs="Arial"/>
          <w:color w:val="000000"/>
          <w:vertAlign w:val="superscript"/>
          <w:lang w:val="es-ES_tradnl"/>
        </w:rPr>
        <w:footnoteReference w:id="13"/>
      </w:r>
      <w:r w:rsidRPr="00FB5FC4">
        <w:rPr>
          <w:rFonts w:ascii="Verdana" w:eastAsia="Calibri" w:hAnsi="Verdana" w:cs="Arial"/>
          <w:color w:val="000000"/>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FB5FC4">
        <w:rPr>
          <w:rFonts w:ascii="Verdana" w:eastAsia="Calibri" w:hAnsi="Verdana" w:cs="Arial"/>
          <w:iCs/>
          <w:color w:val="000000"/>
          <w:vertAlign w:val="superscript"/>
          <w:lang w:val="es-ES_tradnl"/>
        </w:rPr>
        <w:footnoteReference w:id="14"/>
      </w:r>
      <w:r w:rsidRPr="00FB5FC4">
        <w:rPr>
          <w:rFonts w:ascii="Verdana" w:eastAsia="Calibri" w:hAnsi="Verdana" w:cs="Arial"/>
          <w:color w:val="000000"/>
          <w:lang w:val="es-ES_tradnl"/>
        </w:rPr>
        <w:t xml:space="preserve">, y </w:t>
      </w:r>
      <w:r w:rsidRPr="00FB5FC4">
        <w:rPr>
          <w:rFonts w:ascii="Verdana" w:eastAsia="Calibri" w:hAnsi="Verdana" w:cs="Arial"/>
          <w:iCs/>
          <w:color w:val="000000"/>
          <w:lang w:val="es-ES_tradnl"/>
        </w:rPr>
        <w:t>el documento que la contiene presta mérito ejecutivo, siempre que se satisfagan los elementos para considerarlo como tal</w:t>
      </w:r>
      <w:r w:rsidRPr="00FB5FC4">
        <w:rPr>
          <w:rFonts w:ascii="Verdana" w:eastAsia="Calibri" w:hAnsi="Verdana" w:cs="Arial"/>
          <w:color w:val="000000"/>
          <w:lang w:val="es-ES_tradnl"/>
        </w:rPr>
        <w:t>.</w:t>
      </w:r>
    </w:p>
    <w:p w14:paraId="75B3772B" w14:textId="77777777" w:rsidR="00605E1B" w:rsidRPr="00FB5FC4" w:rsidRDefault="00605E1B" w:rsidP="00605E1B">
      <w:pPr>
        <w:spacing w:after="0" w:line="276" w:lineRule="auto"/>
        <w:ind w:firstLine="705"/>
        <w:jc w:val="both"/>
        <w:rPr>
          <w:rFonts w:ascii="Verdana" w:eastAsia="Times New Roman" w:hAnsi="Verdana" w:cs="Arial"/>
          <w:color w:val="000000"/>
          <w:lang w:eastAsia="es-ES_tradnl"/>
        </w:rPr>
      </w:pPr>
      <w:r w:rsidRPr="00FB5FC4">
        <w:rPr>
          <w:rFonts w:ascii="Verdana" w:eastAsia="Times New Roman" w:hAnsi="Verdana" w:cs="Arial"/>
          <w:color w:val="000000"/>
          <w:bdr w:val="none" w:sz="0" w:space="0" w:color="auto" w:frame="1"/>
          <w:shd w:val="clear" w:color="auto" w:fill="FFFFFF"/>
          <w:lang w:val="es-ES" w:eastAsia="es-ES_tradnl"/>
        </w:rPr>
        <w:lastRenderedPageBreak/>
        <w:t xml:space="preserve">Si no es posible efectuar la liquidación de manera bilateral, el ordenamiento jurídico prevé una facultad, de carácter subsidiario, para que la Entidad Estatal realice la liquidación unilateralmente. En relación con este aspecto, la </w:t>
      </w:r>
      <w:r w:rsidRPr="00FB5FC4">
        <w:rPr>
          <w:rFonts w:ascii="Verdana" w:eastAsia="Times New Roman" w:hAnsi="Verdana" w:cs="Arial"/>
          <w:color w:val="000000"/>
          <w:bdr w:val="none" w:sz="0" w:space="0" w:color="auto" w:frame="1"/>
          <w:shd w:val="clear" w:color="auto" w:fill="FFFFFF"/>
          <w:lang w:val="es-MX" w:eastAsia="es-ES_tradnl"/>
        </w:rPr>
        <w:t xml:space="preserve">Sala de Consulta y Servicio Civil del </w:t>
      </w:r>
      <w:r w:rsidRPr="00FB5FC4">
        <w:rPr>
          <w:rFonts w:ascii="Verdana" w:eastAsia="Times New Roman" w:hAnsi="Verdana" w:cs="Arial"/>
          <w:color w:val="000000"/>
          <w:bdr w:val="none" w:sz="0" w:space="0" w:color="auto" w:frame="1"/>
          <w:shd w:val="clear" w:color="auto" w:fill="FFFFFF"/>
          <w:lang w:val="es-ES" w:eastAsia="es-ES_tradnl"/>
        </w:rPr>
        <w:t>Consejo de Estado</w:t>
      </w:r>
      <w:r w:rsidRPr="00FB5FC4">
        <w:rPr>
          <w:rFonts w:ascii="Verdana" w:eastAsia="Times New Roman" w:hAnsi="Verdana" w:cs="Arial"/>
          <w:color w:val="000000"/>
          <w:bdr w:val="none" w:sz="0" w:space="0" w:color="auto" w:frame="1"/>
          <w:shd w:val="clear" w:color="auto" w:fill="FFFFFF"/>
          <w:lang w:val="es-MX" w:eastAsia="es-ES_tradnl"/>
        </w:rPr>
        <w:t>, en concepto del 28 de junio de 2016, manifestó que:  </w:t>
      </w:r>
    </w:p>
    <w:p w14:paraId="00EF9167" w14:textId="77777777" w:rsidR="00605E1B" w:rsidRPr="00FB5FC4" w:rsidRDefault="00605E1B" w:rsidP="00605E1B">
      <w:pPr>
        <w:spacing w:after="0" w:line="276" w:lineRule="auto"/>
        <w:ind w:left="705" w:right="750"/>
        <w:jc w:val="both"/>
        <w:rPr>
          <w:rFonts w:ascii="Verdana" w:eastAsia="Times New Roman" w:hAnsi="Verdana" w:cs="Arial"/>
          <w:color w:val="000000"/>
          <w:lang w:eastAsia="es-ES_tradnl"/>
        </w:rPr>
      </w:pPr>
    </w:p>
    <w:p w14:paraId="01A9DBBD" w14:textId="77777777" w:rsidR="00605E1B" w:rsidRPr="004B5D6E" w:rsidRDefault="00605E1B" w:rsidP="00605E1B">
      <w:pPr>
        <w:spacing w:after="0" w:line="240" w:lineRule="auto"/>
        <w:ind w:left="705" w:right="750"/>
        <w:jc w:val="both"/>
        <w:rPr>
          <w:rFonts w:ascii="Verdana" w:eastAsia="Times New Roman" w:hAnsi="Verdana" w:cs="Arial"/>
          <w:color w:val="000000"/>
          <w:sz w:val="21"/>
          <w:szCs w:val="21"/>
          <w:lang w:eastAsia="es-ES_tradnl"/>
        </w:rPr>
      </w:pPr>
      <w:r w:rsidRPr="004B5D6E">
        <w:rPr>
          <w:rFonts w:ascii="Verdana" w:eastAsia="Times New Roman" w:hAnsi="Verdana" w:cs="Arial"/>
          <w:i/>
          <w:iCs/>
          <w:sz w:val="21"/>
          <w:szCs w:val="21"/>
          <w:lang w:val="es-ES_tradnl" w:eastAsia="es-ES_tradnl"/>
        </w:rPr>
        <w:t>“</w:t>
      </w:r>
      <w:r w:rsidRPr="004B5D6E">
        <w:rPr>
          <w:rFonts w:ascii="Verdana" w:eastAsia="Calibri" w:hAnsi="Verdana" w:cs="Arial"/>
          <w:color w:val="000000"/>
          <w:sz w:val="21"/>
          <w:szCs w:val="21"/>
          <w:lang w:val="es-ES" w:eastAsia="es-ES_tradnl"/>
        </w:rPr>
        <w:t>[</w:t>
      </w:r>
      <w:r w:rsidRPr="004B5D6E">
        <w:rPr>
          <w:rFonts w:ascii="Verdana" w:eastAsia="Times New Roman" w:hAnsi="Verdana" w:cs="Arial"/>
          <w:color w:val="000000"/>
          <w:sz w:val="21"/>
          <w:szCs w:val="21"/>
          <w:bdr w:val="none" w:sz="0" w:space="0" w:color="auto" w:frame="1"/>
          <w:shd w:val="clear" w:color="auto" w:fill="FFFFFF"/>
          <w:lang w:eastAsia="es-ES_tradnl"/>
        </w:rPr>
        <w:t>…]</w:t>
      </w:r>
      <w:r>
        <w:rPr>
          <w:rFonts w:ascii="Verdana" w:eastAsia="Times New Roman" w:hAnsi="Verdana" w:cs="Arial"/>
          <w:color w:val="000000"/>
          <w:sz w:val="21"/>
          <w:szCs w:val="21"/>
          <w:bdr w:val="none" w:sz="0" w:space="0" w:color="auto" w:frame="1"/>
          <w:shd w:val="clear" w:color="auto" w:fill="FFFFFF"/>
          <w:lang w:eastAsia="es-ES_tradnl"/>
        </w:rPr>
        <w:t xml:space="preserve"> </w:t>
      </w:r>
      <w:r w:rsidRPr="004B5D6E">
        <w:rPr>
          <w:rFonts w:ascii="Verdana" w:eastAsia="Times New Roman" w:hAnsi="Verdana" w:cs="Arial"/>
          <w:color w:val="000000"/>
          <w:sz w:val="21"/>
          <w:szCs w:val="21"/>
          <w:bdr w:val="none" w:sz="0" w:space="0" w:color="auto" w:frame="1"/>
          <w:shd w:val="clear" w:color="auto" w:fill="FFFFFF"/>
          <w:lang w:val="es-ES" w:eastAsia="es-ES_tradnl"/>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Pr>
          <w:rFonts w:ascii="Verdana" w:eastAsia="Times New Roman" w:hAnsi="Verdana" w:cs="Arial"/>
          <w:color w:val="000000"/>
          <w:sz w:val="21"/>
          <w:szCs w:val="21"/>
          <w:bdr w:val="none" w:sz="0" w:space="0" w:color="auto" w:frame="1"/>
          <w:shd w:val="clear" w:color="auto" w:fill="FFFFFF"/>
          <w:lang w:val="es-ES" w:eastAsia="es-ES_tradnl"/>
        </w:rPr>
        <w:t>”</w:t>
      </w:r>
      <w:r w:rsidRPr="00E232EE">
        <w:rPr>
          <w:rFonts w:ascii="Verdana" w:eastAsia="Times New Roman" w:hAnsi="Verdana" w:cs="Arial"/>
          <w:color w:val="000000"/>
          <w:sz w:val="21"/>
          <w:szCs w:val="21"/>
          <w:bdr w:val="none" w:sz="0" w:space="0" w:color="auto" w:frame="1"/>
          <w:shd w:val="clear" w:color="auto" w:fill="FFFFFF"/>
          <w:vertAlign w:val="superscript"/>
          <w:lang w:val="es-MX" w:eastAsia="es-ES_tradnl"/>
        </w:rPr>
        <w:footnoteReference w:id="15"/>
      </w:r>
      <w:r w:rsidRPr="004B5D6E">
        <w:rPr>
          <w:rFonts w:ascii="Verdana" w:eastAsia="Times New Roman" w:hAnsi="Verdana" w:cs="Arial"/>
          <w:color w:val="000000"/>
          <w:sz w:val="21"/>
          <w:szCs w:val="21"/>
          <w:bdr w:val="none" w:sz="0" w:space="0" w:color="auto" w:frame="1"/>
          <w:shd w:val="clear" w:color="auto" w:fill="FFFFFF"/>
          <w:lang w:val="es-ES" w:eastAsia="es-ES_tradnl"/>
        </w:rPr>
        <w:t>. </w:t>
      </w:r>
      <w:r w:rsidRPr="004B5D6E">
        <w:rPr>
          <w:rFonts w:ascii="Verdana" w:eastAsia="Times New Roman" w:hAnsi="Verdana" w:cs="Arial"/>
          <w:color w:val="000000"/>
          <w:sz w:val="21"/>
          <w:szCs w:val="21"/>
          <w:bdr w:val="none" w:sz="0" w:space="0" w:color="auto" w:frame="1"/>
          <w:shd w:val="clear" w:color="auto" w:fill="FFFFFF"/>
          <w:lang w:eastAsia="es-ES_tradnl"/>
        </w:rPr>
        <w:t>  </w:t>
      </w:r>
    </w:p>
    <w:p w14:paraId="6C5F816E" w14:textId="77777777" w:rsidR="00605E1B" w:rsidRPr="00FB5FC4" w:rsidRDefault="00605E1B" w:rsidP="00605E1B">
      <w:pPr>
        <w:spacing w:after="0" w:line="276" w:lineRule="auto"/>
        <w:ind w:left="705" w:right="750"/>
        <w:jc w:val="both"/>
        <w:rPr>
          <w:rFonts w:ascii="Verdana" w:eastAsia="Times New Roman" w:hAnsi="Verdana" w:cs="Arial"/>
          <w:color w:val="000000"/>
          <w:lang w:eastAsia="es-ES_tradnl"/>
        </w:rPr>
      </w:pPr>
    </w:p>
    <w:p w14:paraId="26F53EE7" w14:textId="77777777" w:rsidR="00605E1B" w:rsidRPr="00FB5FC4" w:rsidRDefault="00605E1B" w:rsidP="00605E1B">
      <w:pPr>
        <w:spacing w:after="120" w:line="276" w:lineRule="auto"/>
        <w:ind w:firstLine="705"/>
        <w:jc w:val="both"/>
        <w:rPr>
          <w:rFonts w:ascii="Verdana" w:eastAsia="Times New Roman" w:hAnsi="Verdana" w:cs="Arial"/>
          <w:color w:val="000000"/>
          <w:lang w:eastAsia="es-ES_tradnl"/>
        </w:rPr>
      </w:pPr>
      <w:bookmarkStart w:id="9" w:name="_Hlk141851266"/>
      <w:r w:rsidRPr="00FB5FC4">
        <w:rPr>
          <w:rFonts w:ascii="Verdana" w:eastAsia="Times New Roman" w:hAnsi="Verdana" w:cs="Arial"/>
          <w:color w:val="000000"/>
          <w:bdr w:val="none" w:sz="0" w:space="0" w:color="auto" w:frame="1"/>
          <w:shd w:val="clear" w:color="auto" w:fill="FFFFFF"/>
          <w:lang w:val="es-ES" w:eastAsia="es-ES_tradn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297AD84B" w14:textId="77777777" w:rsidR="00605E1B" w:rsidRPr="00FB5FC4" w:rsidRDefault="00605E1B" w:rsidP="00605E1B">
      <w:pPr>
        <w:spacing w:after="0" w:line="276" w:lineRule="auto"/>
        <w:ind w:firstLine="705"/>
        <w:jc w:val="both"/>
        <w:rPr>
          <w:rFonts w:ascii="Verdana" w:eastAsia="Times New Roman" w:hAnsi="Verdana" w:cs="Arial"/>
          <w:color w:val="000000"/>
          <w:bdr w:val="none" w:sz="0" w:space="0" w:color="auto" w:frame="1"/>
          <w:shd w:val="clear" w:color="auto" w:fill="FFFFFF"/>
          <w:lang w:eastAsia="es-ES_tradnl"/>
        </w:rPr>
      </w:pPr>
      <w:r w:rsidRPr="00FB5FC4">
        <w:rPr>
          <w:rFonts w:ascii="Verdana" w:eastAsia="Times New Roman" w:hAnsi="Verdana" w:cs="Arial"/>
          <w:color w:val="000000"/>
          <w:bdr w:val="none" w:sz="0" w:space="0" w:color="auto" w:frame="1"/>
          <w:shd w:val="clear" w:color="auto" w:fill="FFFFFF"/>
          <w:lang w:val="es-ES" w:eastAsia="es-ES_tradnl"/>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w:t>
      </w:r>
      <w:bookmarkEnd w:id="9"/>
      <w:r w:rsidRPr="00FB5FC4">
        <w:rPr>
          <w:rFonts w:ascii="Verdana" w:eastAsia="Times New Roman" w:hAnsi="Verdana" w:cs="Arial"/>
          <w:color w:val="000000"/>
          <w:bdr w:val="none" w:sz="0" w:space="0" w:color="auto" w:frame="1"/>
          <w:shd w:val="clear" w:color="auto" w:fill="FFFFFF"/>
          <w:lang w:val="es-ES" w:eastAsia="es-ES_tradnl"/>
        </w:rPr>
        <w:t xml:space="preserve">En este sentido, en decisión de unificación de la </w:t>
      </w:r>
      <w:r w:rsidRPr="00FB5FC4">
        <w:rPr>
          <w:rFonts w:ascii="Verdana" w:eastAsia="Times New Roman" w:hAnsi="Verdana" w:cs="Arial"/>
          <w:color w:val="000000"/>
          <w:bdr w:val="none" w:sz="0" w:space="0" w:color="auto" w:frame="1"/>
          <w:shd w:val="clear" w:color="auto" w:fill="FFFFFF"/>
          <w:lang w:val="es-MX" w:eastAsia="es-ES_tradnl"/>
        </w:rPr>
        <w:t>Sección Tercera</w:t>
      </w:r>
      <w:r w:rsidRPr="00FB5FC4">
        <w:rPr>
          <w:rFonts w:ascii="Verdana" w:eastAsia="Times New Roman" w:hAnsi="Verdana" w:cs="Arial"/>
          <w:color w:val="000000"/>
          <w:bdr w:val="none" w:sz="0" w:space="0" w:color="auto" w:frame="1"/>
          <w:shd w:val="clear" w:color="auto" w:fill="FFFFFF"/>
          <w:lang w:val="es-ES" w:eastAsia="es-ES_tradnl"/>
        </w:rPr>
        <w:t xml:space="preserve"> del Consejo de Estado del</w:t>
      </w:r>
      <w:r w:rsidRPr="00FB5FC4">
        <w:rPr>
          <w:rFonts w:ascii="Verdana" w:eastAsia="Times New Roman" w:hAnsi="Verdana" w:cs="Arial"/>
          <w:color w:val="000000"/>
          <w:bdr w:val="none" w:sz="0" w:space="0" w:color="auto" w:frame="1"/>
          <w:shd w:val="clear" w:color="auto" w:fill="FFFFFF"/>
          <w:lang w:val="es-MX" w:eastAsia="es-ES_tradnl"/>
        </w:rPr>
        <w:t> </w:t>
      </w:r>
      <w:r w:rsidRPr="00FB5FC4">
        <w:rPr>
          <w:rFonts w:ascii="Verdana" w:eastAsia="Times New Roman" w:hAnsi="Verdana" w:cs="Arial"/>
          <w:color w:val="000000"/>
          <w:bdr w:val="none" w:sz="0" w:space="0" w:color="auto" w:frame="1"/>
          <w:shd w:val="clear" w:color="auto" w:fill="FFFFFF"/>
          <w:lang w:eastAsia="es-ES_tradnl"/>
        </w:rPr>
        <w:t>1 de agosto de 2019, se expresó: </w:t>
      </w:r>
    </w:p>
    <w:p w14:paraId="68C88DCF" w14:textId="77777777" w:rsidR="00605E1B" w:rsidRPr="00FB5FC4" w:rsidRDefault="00605E1B" w:rsidP="00605E1B">
      <w:pPr>
        <w:spacing w:after="0" w:line="276" w:lineRule="auto"/>
        <w:ind w:firstLine="705"/>
        <w:jc w:val="both"/>
        <w:rPr>
          <w:rFonts w:ascii="Verdana" w:eastAsia="Times New Roman" w:hAnsi="Verdana" w:cs="Arial"/>
          <w:color w:val="000000"/>
          <w:lang w:eastAsia="es-ES_tradnl"/>
        </w:rPr>
      </w:pPr>
    </w:p>
    <w:p w14:paraId="70F532DC" w14:textId="77777777" w:rsidR="00605E1B" w:rsidRPr="004B5D6E" w:rsidRDefault="00605E1B" w:rsidP="00605E1B">
      <w:pPr>
        <w:spacing w:after="0" w:line="240" w:lineRule="auto"/>
        <w:ind w:left="705" w:right="750"/>
        <w:jc w:val="both"/>
        <w:rPr>
          <w:rFonts w:ascii="Verdana" w:eastAsia="Times New Roman" w:hAnsi="Verdana" w:cs="Arial"/>
          <w:color w:val="000000"/>
          <w:sz w:val="21"/>
          <w:szCs w:val="21"/>
          <w:lang w:eastAsia="es-ES_tradnl"/>
        </w:rPr>
      </w:pP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w:t>
      </w:r>
      <w:r w:rsidRPr="004B5D6E">
        <w:rPr>
          <w:rFonts w:ascii="Verdana" w:eastAsia="Times New Roman" w:hAnsi="Verdana" w:cs="Arial"/>
          <w:color w:val="000000"/>
          <w:sz w:val="21"/>
          <w:szCs w:val="21"/>
          <w:bdr w:val="none" w:sz="0" w:space="0" w:color="auto" w:frame="1"/>
          <w:shd w:val="clear" w:color="auto" w:fill="FFFFFF"/>
          <w:lang w:val="es-ES" w:eastAsia="es-ES_tradnl"/>
        </w:rPr>
        <w:lastRenderedPageBreak/>
        <w:t>dicho vencimiento sin que la administración lo hubiera liquidado unilateralmente, bajo condición de que el acuerdo </w:t>
      </w:r>
      <w:proofErr w:type="spellStart"/>
      <w:r w:rsidRPr="004B5D6E">
        <w:rPr>
          <w:rFonts w:ascii="Verdana" w:eastAsia="Times New Roman" w:hAnsi="Verdana" w:cs="Arial"/>
          <w:color w:val="000000"/>
          <w:sz w:val="21"/>
          <w:szCs w:val="21"/>
          <w:bdr w:val="none" w:sz="0" w:space="0" w:color="auto" w:frame="1"/>
          <w:shd w:val="clear" w:color="auto" w:fill="FFFFFF"/>
          <w:lang w:val="es-ES" w:eastAsia="es-ES_tradnl"/>
        </w:rPr>
        <w:t>liquidatorio</w:t>
      </w:r>
      <w:proofErr w:type="spellEnd"/>
      <w:r w:rsidRPr="004B5D6E">
        <w:rPr>
          <w:rFonts w:ascii="Verdana" w:eastAsia="Times New Roman" w:hAnsi="Verdana" w:cs="Arial"/>
          <w:color w:val="000000"/>
          <w:sz w:val="21"/>
          <w:szCs w:val="21"/>
          <w:bdr w:val="none" w:sz="0" w:space="0" w:color="auto" w:frame="1"/>
          <w:shd w:val="clear" w:color="auto" w:fill="FFFFFF"/>
          <w:lang w:val="es-ES" w:eastAsia="es-ES_tradnl"/>
        </w:rPr>
        <w:t> se logre dentro del lapso de dos años contados a partir del vencimiento del término legalmente conocido para la liquidación unilateral, pues ese es el lapso que el ordenamiento ha fijado para el ejercicio oportuno de la acción</w:t>
      </w: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bdr w:val="none" w:sz="0" w:space="0" w:color="auto" w:frame="1"/>
          <w:shd w:val="clear" w:color="auto" w:fill="FFFFFF"/>
          <w:vertAlign w:val="superscript"/>
          <w:lang w:eastAsia="es-ES_tradnl"/>
        </w:rPr>
        <w:t xml:space="preserve"> </w:t>
      </w:r>
      <w:r w:rsidRPr="004B5D6E">
        <w:rPr>
          <w:rFonts w:ascii="Verdana" w:eastAsia="Times New Roman" w:hAnsi="Verdana" w:cs="Arial"/>
          <w:color w:val="000000"/>
          <w:bdr w:val="none" w:sz="0" w:space="0" w:color="auto" w:frame="1"/>
          <w:shd w:val="clear" w:color="auto" w:fill="FFFFFF"/>
          <w:vertAlign w:val="superscript"/>
          <w:lang w:eastAsia="es-ES_tradnl"/>
        </w:rPr>
        <w:footnoteReference w:id="16"/>
      </w:r>
      <w:r w:rsidRPr="004B5D6E">
        <w:rPr>
          <w:rFonts w:ascii="Verdana" w:eastAsia="Times New Roman" w:hAnsi="Verdana" w:cs="Arial"/>
          <w:sz w:val="21"/>
          <w:szCs w:val="21"/>
          <w:lang w:val="es-ES_tradnl" w:eastAsia="es-ES_tradnl"/>
        </w:rPr>
        <w:t>.</w:t>
      </w:r>
      <w:r w:rsidRPr="004B5D6E">
        <w:rPr>
          <w:rFonts w:ascii="Verdana" w:eastAsia="Times New Roman" w:hAnsi="Verdana" w:cs="Arial"/>
          <w:color w:val="000000"/>
          <w:sz w:val="21"/>
          <w:szCs w:val="21"/>
          <w:bdr w:val="none" w:sz="0" w:space="0" w:color="auto" w:frame="1"/>
          <w:shd w:val="clear" w:color="auto" w:fill="FFFFFF"/>
          <w:lang w:val="es-ES" w:eastAsia="es-ES_tradnl"/>
        </w:rPr>
        <w:t> </w:t>
      </w:r>
    </w:p>
    <w:p w14:paraId="09AD1B02" w14:textId="77777777" w:rsidR="00605E1B" w:rsidRPr="00FB5FC4" w:rsidRDefault="00605E1B" w:rsidP="00605E1B">
      <w:pPr>
        <w:spacing w:after="0" w:line="276" w:lineRule="auto"/>
        <w:ind w:firstLine="708"/>
        <w:jc w:val="both"/>
        <w:rPr>
          <w:rFonts w:ascii="Verdana" w:eastAsia="Times New Roman" w:hAnsi="Verdana" w:cs="Arial"/>
          <w:color w:val="000000"/>
          <w:lang w:eastAsia="es-ES_tradnl"/>
        </w:rPr>
      </w:pPr>
    </w:p>
    <w:p w14:paraId="50F1E395" w14:textId="77777777" w:rsidR="00605E1B" w:rsidRDefault="00605E1B" w:rsidP="00605E1B">
      <w:pPr>
        <w:tabs>
          <w:tab w:val="left" w:pos="709"/>
        </w:tabs>
        <w:spacing w:after="120" w:line="276" w:lineRule="auto"/>
        <w:jc w:val="both"/>
        <w:rPr>
          <w:rFonts w:ascii="Verdana" w:eastAsia="Times New Roman" w:hAnsi="Verdana" w:cs="Arial"/>
          <w:color w:val="000000"/>
          <w:bdr w:val="none" w:sz="0" w:space="0" w:color="auto" w:frame="1"/>
          <w:shd w:val="clear" w:color="auto" w:fill="FFFFFF"/>
          <w:lang w:eastAsia="es-ES_tradnl"/>
        </w:rPr>
      </w:pPr>
      <w:r>
        <w:rPr>
          <w:rFonts w:ascii="Verdana" w:eastAsia="Times New Roman" w:hAnsi="Verdana" w:cs="Arial"/>
          <w:color w:val="000000"/>
          <w:bdr w:val="none" w:sz="0" w:space="0" w:color="auto" w:frame="1"/>
          <w:shd w:val="clear" w:color="auto" w:fill="FFFFFF"/>
          <w:lang w:eastAsia="es-ES_tradnl"/>
        </w:rPr>
        <w:tab/>
      </w:r>
      <w:r w:rsidRPr="00FB5FC4">
        <w:rPr>
          <w:rFonts w:ascii="Verdana" w:eastAsia="Times New Roman" w:hAnsi="Verdana" w:cs="Arial"/>
          <w:color w:val="000000"/>
          <w:bdr w:val="none" w:sz="0" w:space="0" w:color="auto" w:frame="1"/>
          <w:shd w:val="clear" w:color="auto" w:fill="FFFFFF"/>
          <w:lang w:eastAsia="es-ES_tradnl"/>
        </w:rPr>
        <w:t>A su turno</w:t>
      </w:r>
      <w:r>
        <w:rPr>
          <w:rFonts w:ascii="Verdana" w:eastAsia="Times New Roman" w:hAnsi="Verdana" w:cs="Arial"/>
          <w:color w:val="000000"/>
          <w:bdr w:val="none" w:sz="0" w:space="0" w:color="auto" w:frame="1"/>
          <w:shd w:val="clear" w:color="auto" w:fill="FFFFFF"/>
          <w:lang w:eastAsia="es-ES_tradnl"/>
        </w:rPr>
        <w:t xml:space="preserve">, la liquidación judicial hace parte de una de las pretensiones que admite el medio de control de controversias contractuales. Al respecto, el artículo 141 de la Ley 1437 de 2011 dispone que “[…] </w:t>
      </w:r>
      <w:r w:rsidRPr="00F915F3">
        <w:rPr>
          <w:rFonts w:ascii="Verdana" w:eastAsia="Times New Roman" w:hAnsi="Verdana" w:cs="Arial"/>
          <w:color w:val="000000"/>
          <w:bdr w:val="none" w:sz="0" w:space="0" w:color="auto" w:frame="1"/>
          <w:shd w:val="clear" w:color="auto" w:fill="FFFFFF"/>
          <w:lang w:eastAsia="es-ES_tradnl"/>
        </w:rPr>
        <w:t xml:space="preserve">el interesado podrá </w:t>
      </w:r>
      <w:bookmarkStart w:id="10" w:name="_Hlk172560769"/>
      <w:r w:rsidRPr="00F915F3">
        <w:rPr>
          <w:rFonts w:ascii="Verdana" w:eastAsia="Times New Roman" w:hAnsi="Verdana" w:cs="Arial"/>
          <w:color w:val="000000"/>
          <w:bdr w:val="none" w:sz="0" w:space="0" w:color="auto" w:frame="1"/>
          <w:shd w:val="clear" w:color="auto" w:fill="FFFFFF"/>
          <w:lang w:eastAsia="es-ES_tradnl"/>
        </w:rPr>
        <w:t>solicitar la liquidación judicial</w:t>
      </w:r>
      <w:bookmarkEnd w:id="10"/>
      <w:r w:rsidRPr="00F915F3">
        <w:rPr>
          <w:rFonts w:ascii="Verdana" w:eastAsia="Times New Roman" w:hAnsi="Verdana" w:cs="Arial"/>
          <w:color w:val="000000"/>
          <w:bdr w:val="none" w:sz="0" w:space="0" w:color="auto" w:frame="1"/>
          <w:shd w:val="clear" w:color="auto" w:fill="FFFFFF"/>
          <w:lang w:eastAsia="es-ES_tradnl"/>
        </w:rPr>
        <w:t xml:space="preserve">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r>
        <w:rPr>
          <w:rFonts w:ascii="Verdana" w:eastAsia="Times New Roman" w:hAnsi="Verdana" w:cs="Arial"/>
          <w:color w:val="000000"/>
          <w:bdr w:val="none" w:sz="0" w:space="0" w:color="auto" w:frame="1"/>
          <w:shd w:val="clear" w:color="auto" w:fill="FFFFFF"/>
          <w:lang w:eastAsia="es-ES_tradnl"/>
        </w:rPr>
        <w:t>”</w:t>
      </w:r>
      <w:r w:rsidRPr="00F915F3">
        <w:rPr>
          <w:rFonts w:ascii="Verdana" w:eastAsia="Times New Roman" w:hAnsi="Verdana" w:cs="Arial"/>
          <w:color w:val="000000"/>
          <w:bdr w:val="none" w:sz="0" w:space="0" w:color="auto" w:frame="1"/>
          <w:shd w:val="clear" w:color="auto" w:fill="FFFFFF"/>
          <w:lang w:eastAsia="es-ES_tradnl"/>
        </w:rPr>
        <w:t>.</w:t>
      </w:r>
      <w:r>
        <w:rPr>
          <w:rFonts w:ascii="Verdana" w:eastAsia="Times New Roman" w:hAnsi="Verdana" w:cs="Arial"/>
          <w:color w:val="000000"/>
          <w:bdr w:val="none" w:sz="0" w:space="0" w:color="auto" w:frame="1"/>
          <w:shd w:val="clear" w:color="auto" w:fill="FFFFFF"/>
          <w:lang w:eastAsia="es-ES_tradnl"/>
        </w:rPr>
        <w:t xml:space="preserve"> Bajo esta perspectiva, para la entidad cesa la facultad de liquidar bilateral o unilateralmente, ya que el tema pasa de la administración a la jurisdicción.</w:t>
      </w:r>
    </w:p>
    <w:p w14:paraId="6AB4AC62" w14:textId="77777777" w:rsidR="00605E1B" w:rsidRDefault="00605E1B" w:rsidP="00605E1B">
      <w:pPr>
        <w:tabs>
          <w:tab w:val="left" w:pos="709"/>
        </w:tabs>
        <w:spacing w:after="0" w:line="276" w:lineRule="auto"/>
        <w:jc w:val="both"/>
        <w:rPr>
          <w:rFonts w:ascii="Verdana" w:eastAsia="Calibri" w:hAnsi="Verdana" w:cs="Arial"/>
          <w:color w:val="000000"/>
          <w:lang w:val="es-ES_tradnl"/>
        </w:rPr>
      </w:pPr>
      <w:r>
        <w:rPr>
          <w:rFonts w:ascii="Verdana" w:eastAsia="Times New Roman" w:hAnsi="Verdana" w:cs="Arial"/>
          <w:color w:val="000000"/>
          <w:bdr w:val="none" w:sz="0" w:space="0" w:color="auto" w:frame="1"/>
          <w:shd w:val="clear" w:color="auto" w:fill="FFFFFF"/>
          <w:lang w:eastAsia="es-ES_tradnl"/>
        </w:rPr>
        <w:tab/>
        <w:t>Conforme a la legislación vigente, los plazos para liquidar los contratos estatales influyen en el acceso oportuno al sistema de administración de justicia</w:t>
      </w:r>
      <w:r>
        <w:rPr>
          <w:rStyle w:val="Refdenotaalpie"/>
          <w:rFonts w:ascii="Verdana" w:eastAsia="Times New Roman" w:hAnsi="Verdana" w:cs="Arial"/>
          <w:color w:val="000000"/>
          <w:bdr w:val="none" w:sz="0" w:space="0" w:color="auto" w:frame="1"/>
          <w:shd w:val="clear" w:color="auto" w:fill="FFFFFF"/>
          <w:lang w:eastAsia="es-ES_tradnl"/>
        </w:rPr>
        <w:footnoteReference w:id="17"/>
      </w:r>
      <w:r>
        <w:rPr>
          <w:rFonts w:ascii="Verdana" w:eastAsia="Times New Roman" w:hAnsi="Verdana" w:cs="Arial"/>
          <w:color w:val="000000"/>
          <w:bdr w:val="none" w:sz="0" w:space="0" w:color="auto" w:frame="1"/>
          <w:shd w:val="clear" w:color="auto" w:fill="FFFFFF"/>
          <w:lang w:eastAsia="es-ES_tradnl"/>
        </w:rPr>
        <w:t xml:space="preserve">. No obstante, aunque las </w:t>
      </w:r>
      <w:r w:rsidRPr="00570C1A">
        <w:rPr>
          <w:rFonts w:ascii="Verdana" w:eastAsia="Times New Roman" w:hAnsi="Verdana" w:cs="Arial"/>
          <w:i/>
          <w:iCs/>
          <w:color w:val="000000"/>
          <w:bdr w:val="none" w:sz="0" w:space="0" w:color="auto" w:frame="1"/>
          <w:shd w:val="clear" w:color="auto" w:fill="FFFFFF"/>
          <w:lang w:eastAsia="es-ES_tradnl"/>
        </w:rPr>
        <w:t>entidades de régimen exceptuado</w:t>
      </w:r>
      <w:r>
        <w:rPr>
          <w:rFonts w:ascii="Verdana" w:eastAsia="Times New Roman" w:hAnsi="Verdana" w:cs="Arial"/>
          <w:color w:val="000000"/>
          <w:bdr w:val="none" w:sz="0" w:space="0" w:color="auto" w:frame="1"/>
          <w:shd w:val="clear" w:color="auto" w:fill="FFFFFF"/>
          <w:lang w:eastAsia="es-ES_tradnl"/>
        </w:rPr>
        <w:t xml:space="preserve"> no están obligadas a aplicar </w:t>
      </w:r>
      <w:r w:rsidRPr="00570C1A">
        <w:rPr>
          <w:rFonts w:ascii="Verdana" w:eastAsia="Times New Roman" w:hAnsi="Verdana" w:cs="Arial"/>
          <w:color w:val="000000"/>
          <w:bdr w:val="none" w:sz="0" w:space="0" w:color="auto" w:frame="1"/>
          <w:shd w:val="clear" w:color="auto" w:fill="FFFFFF"/>
          <w:lang w:eastAsia="es-ES_tradnl"/>
        </w:rPr>
        <w:t>el artículo 60 de la Ley 80 de 1993</w:t>
      </w:r>
      <w:r>
        <w:rPr>
          <w:rFonts w:ascii="Verdana" w:eastAsia="Times New Roman" w:hAnsi="Verdana" w:cs="Arial"/>
          <w:color w:val="000000"/>
          <w:bdr w:val="none" w:sz="0" w:space="0" w:color="auto" w:frame="1"/>
          <w:shd w:val="clear" w:color="auto" w:fill="FFFFFF"/>
          <w:lang w:eastAsia="es-ES_tradnl"/>
        </w:rPr>
        <w:t xml:space="preserve"> ni </w:t>
      </w:r>
      <w:r w:rsidRPr="00FB5FC4">
        <w:rPr>
          <w:rFonts w:ascii="Verdana" w:eastAsia="Calibri" w:hAnsi="Verdana" w:cs="Arial"/>
          <w:color w:val="000000"/>
          <w:lang w:val="es-ES_tradnl"/>
        </w:rPr>
        <w:t>el artículo 11 de la Ley 1150 de 2007</w:t>
      </w:r>
      <w:r>
        <w:rPr>
          <w:rFonts w:ascii="Verdana" w:eastAsia="Calibri" w:hAnsi="Verdana" w:cs="Arial"/>
          <w:color w:val="000000"/>
          <w:lang w:val="es-ES_tradnl"/>
        </w:rPr>
        <w:t xml:space="preserve">, el término de caducidad del medio de control de controversias contractuales tiene carácter transversal y, por tanto, aplica a todas las entidades al margen de que estén o no sometidas al Estatuto General de Contratación de </w:t>
      </w:r>
      <w:r>
        <w:rPr>
          <w:rFonts w:ascii="Verdana" w:eastAsia="Calibri" w:hAnsi="Verdana" w:cs="Arial"/>
          <w:color w:val="000000"/>
          <w:lang w:val="es-ES_tradnl"/>
        </w:rPr>
        <w:lastRenderedPageBreak/>
        <w:t>la Administración Pública. Como explica la doctrina, la liquidación bilateral puede pactarse en los contratos de régimen especial, sin perjuicio de lo regulado en el respectivo manual de contratación; razón por la cual:</w:t>
      </w:r>
    </w:p>
    <w:p w14:paraId="304622F7" w14:textId="77777777" w:rsidR="00605E1B" w:rsidRDefault="00605E1B" w:rsidP="00605E1B">
      <w:pPr>
        <w:tabs>
          <w:tab w:val="left" w:pos="709"/>
        </w:tabs>
        <w:spacing w:after="0" w:line="276" w:lineRule="auto"/>
        <w:jc w:val="both"/>
        <w:rPr>
          <w:rFonts w:ascii="Verdana" w:eastAsia="Calibri" w:hAnsi="Verdana" w:cs="Arial"/>
          <w:color w:val="000000"/>
          <w:lang w:val="es-ES_tradnl"/>
        </w:rPr>
      </w:pPr>
    </w:p>
    <w:p w14:paraId="0DB81EC6" w14:textId="77777777" w:rsidR="00605E1B" w:rsidRPr="009B4294" w:rsidRDefault="00605E1B" w:rsidP="00605E1B">
      <w:pPr>
        <w:tabs>
          <w:tab w:val="left" w:pos="709"/>
        </w:tabs>
        <w:spacing w:after="0" w:line="240" w:lineRule="auto"/>
        <w:ind w:left="709" w:right="709"/>
        <w:jc w:val="both"/>
        <w:rPr>
          <w:rFonts w:ascii="Verdana" w:eastAsia="Calibri" w:hAnsi="Verdana" w:cs="Arial"/>
          <w:color w:val="000000"/>
          <w:sz w:val="21"/>
          <w:szCs w:val="21"/>
          <w:lang w:val="es-ES_tradnl"/>
        </w:rPr>
      </w:pPr>
      <w:r w:rsidRPr="009B4294">
        <w:rPr>
          <w:rFonts w:ascii="Verdana" w:eastAsia="Calibri" w:hAnsi="Verdana" w:cs="Arial"/>
          <w:color w:val="000000"/>
          <w:sz w:val="21"/>
          <w:szCs w:val="21"/>
          <w:lang w:val="es-ES_tradnl"/>
        </w:rPr>
        <w:t>“[…] resulta válido que estas pacten en sus contratos la carga de liquidarlos, independientemente de si utilizan o no un procedimiento distinto al establecido en los artículos</w:t>
      </w:r>
      <w:r w:rsidRPr="009B4294">
        <w:rPr>
          <w:rFonts w:ascii="Verdana" w:eastAsia="Times New Roman" w:hAnsi="Verdana" w:cs="Arial"/>
          <w:color w:val="000000"/>
          <w:sz w:val="21"/>
          <w:szCs w:val="21"/>
          <w:bdr w:val="none" w:sz="0" w:space="0" w:color="auto" w:frame="1"/>
          <w:shd w:val="clear" w:color="auto" w:fill="FFFFFF"/>
          <w:lang w:eastAsia="es-ES_tradnl"/>
        </w:rPr>
        <w:t xml:space="preserve"> 60 de la Ley 80 de 1993 y </w:t>
      </w:r>
      <w:r w:rsidRPr="009B4294">
        <w:rPr>
          <w:rFonts w:ascii="Verdana" w:eastAsia="Calibri" w:hAnsi="Verdana" w:cs="Arial"/>
          <w:color w:val="000000"/>
          <w:sz w:val="21"/>
          <w:szCs w:val="21"/>
          <w:lang w:val="es-ES_tradnl"/>
        </w:rPr>
        <w:t xml:space="preserve">11 de la Ley 1150 de 2007, siempre y cuando cuenten con la anuencia del contratista; es decir, con la expresión de su consentimiento al firmar el contrato, pues </w:t>
      </w:r>
      <w:r w:rsidRPr="009B4294">
        <w:rPr>
          <w:rFonts w:ascii="Verdana" w:eastAsia="Calibri" w:hAnsi="Verdana" w:cs="Arial"/>
          <w:i/>
          <w:iCs/>
          <w:color w:val="000000"/>
          <w:sz w:val="21"/>
          <w:szCs w:val="21"/>
          <w:lang w:val="es-ES_tradnl"/>
        </w:rPr>
        <w:t>la liquidación</w:t>
      </w:r>
      <w:r w:rsidRPr="009B4294">
        <w:rPr>
          <w:rFonts w:ascii="Verdana" w:eastAsia="Calibri" w:hAnsi="Verdana" w:cs="Arial"/>
          <w:color w:val="000000"/>
          <w:sz w:val="21"/>
          <w:szCs w:val="21"/>
          <w:lang w:val="es-ES_tradnl"/>
        </w:rPr>
        <w:t xml:space="preserve"> […] </w:t>
      </w:r>
      <w:r w:rsidRPr="009B4294">
        <w:rPr>
          <w:rFonts w:ascii="Verdana" w:eastAsia="Calibri" w:hAnsi="Verdana" w:cs="Arial"/>
          <w:i/>
          <w:iCs/>
          <w:color w:val="000000"/>
          <w:sz w:val="21"/>
          <w:szCs w:val="21"/>
          <w:lang w:val="es-ES_tradnl"/>
        </w:rPr>
        <w:t>no es una figura privativa de la contratación estatal sometida al Estatuto General de Contratación de la Administración Pública, sino que puede incorporarse, como cláusula accidental, a los contratos de las entidades con un régimen de contratación especial, pudiendo, a su vez, el reglamento interno de las entidades exceptuadas, regular de otra manera el procedimiento para liquidación, e incluso, los plazos para hacerlo bilateralmente, siempre que no excedan los términos consagrados en el artículo 164 de la Ley 1437 de 2011</w:t>
      </w:r>
      <w:r w:rsidRPr="009B4294">
        <w:rPr>
          <w:rFonts w:ascii="Verdana" w:eastAsia="Calibri" w:hAnsi="Verdana" w:cs="Arial"/>
          <w:color w:val="000000"/>
          <w:sz w:val="21"/>
          <w:szCs w:val="21"/>
          <w:lang w:val="es-ES_tradnl"/>
        </w:rPr>
        <w:t>”</w:t>
      </w:r>
      <w:r w:rsidRPr="009B4294">
        <w:rPr>
          <w:rStyle w:val="Refdenotaalpie"/>
          <w:rFonts w:ascii="Verdana" w:eastAsia="Calibri" w:hAnsi="Verdana" w:cs="Arial"/>
          <w:color w:val="000000"/>
          <w:sz w:val="21"/>
          <w:szCs w:val="21"/>
          <w:lang w:val="es-ES_tradnl"/>
        </w:rPr>
        <w:footnoteReference w:id="18"/>
      </w:r>
      <w:r w:rsidRPr="009B4294">
        <w:rPr>
          <w:rFonts w:ascii="Verdana" w:eastAsia="Calibri" w:hAnsi="Verdana" w:cs="Arial"/>
          <w:color w:val="000000"/>
          <w:sz w:val="21"/>
          <w:szCs w:val="21"/>
          <w:lang w:val="es-ES_tradnl"/>
        </w:rPr>
        <w:t xml:space="preserve"> (Énfasis fuera de texto). </w:t>
      </w:r>
    </w:p>
    <w:p w14:paraId="6B813884" w14:textId="77777777" w:rsidR="00605E1B" w:rsidRDefault="00605E1B" w:rsidP="00605E1B">
      <w:pPr>
        <w:tabs>
          <w:tab w:val="left" w:pos="709"/>
        </w:tabs>
        <w:spacing w:after="0" w:line="276" w:lineRule="auto"/>
        <w:jc w:val="both"/>
        <w:rPr>
          <w:rFonts w:ascii="Verdana" w:eastAsia="Calibri" w:hAnsi="Verdana" w:cs="Arial"/>
          <w:color w:val="000000"/>
          <w:lang w:val="es-ES_tradnl"/>
        </w:rPr>
      </w:pPr>
      <w:r>
        <w:rPr>
          <w:rFonts w:ascii="Verdana" w:eastAsia="Calibri" w:hAnsi="Verdana" w:cs="Arial"/>
          <w:color w:val="000000"/>
          <w:lang w:val="es-ES_tradnl"/>
        </w:rPr>
        <w:t xml:space="preserve">  </w:t>
      </w:r>
    </w:p>
    <w:p w14:paraId="57620EB2" w14:textId="77777777" w:rsidR="00605E1B" w:rsidRDefault="00605E1B" w:rsidP="00605E1B">
      <w:pPr>
        <w:tabs>
          <w:tab w:val="left" w:pos="709"/>
        </w:tabs>
        <w:spacing w:after="120" w:line="276" w:lineRule="auto"/>
        <w:jc w:val="both"/>
        <w:rPr>
          <w:rFonts w:ascii="Verdana" w:hAnsi="Verdana" w:cs="Arial"/>
          <w:iCs/>
          <w:color w:val="000000" w:themeColor="text1"/>
        </w:rPr>
      </w:pPr>
      <w:r>
        <w:rPr>
          <w:rFonts w:ascii="Verdana" w:eastAsia="Calibri" w:hAnsi="Verdana" w:cs="Arial"/>
          <w:color w:val="000000"/>
          <w:lang w:val="es-ES_tradnl"/>
        </w:rPr>
        <w:tab/>
        <w:t xml:space="preserve">De esta manera, si en un </w:t>
      </w:r>
      <w:r w:rsidRPr="00983342">
        <w:rPr>
          <w:rFonts w:ascii="Verdana" w:eastAsia="Calibri" w:hAnsi="Verdana" w:cs="Arial"/>
          <w:i/>
          <w:iCs/>
          <w:color w:val="000000"/>
          <w:lang w:val="es-ES_tradnl"/>
        </w:rPr>
        <w:t>contrato de régimen exceptuado</w:t>
      </w:r>
      <w:r>
        <w:rPr>
          <w:rFonts w:ascii="Verdana" w:eastAsia="Calibri" w:hAnsi="Verdana" w:cs="Arial"/>
          <w:color w:val="000000"/>
          <w:lang w:val="es-ES_tradnl"/>
        </w:rPr>
        <w:t xml:space="preserve"> se pacta la liquidación de mutuo acuerdo, la caducidad se computará conforme al numeral </w:t>
      </w:r>
      <w:proofErr w:type="spellStart"/>
      <w:r>
        <w:rPr>
          <w:rFonts w:ascii="Verdana" w:eastAsia="Calibri" w:hAnsi="Verdana" w:cs="Arial"/>
          <w:color w:val="000000"/>
          <w:lang w:val="es-ES_tradnl"/>
        </w:rPr>
        <w:t>iii</w:t>
      </w:r>
      <w:proofErr w:type="spellEnd"/>
      <w:r>
        <w:rPr>
          <w:rFonts w:ascii="Verdana" w:eastAsia="Calibri" w:hAnsi="Verdana" w:cs="Arial"/>
          <w:color w:val="000000"/>
          <w:lang w:val="es-ES_tradnl"/>
        </w:rPr>
        <w:t>) d</w:t>
      </w:r>
      <w:r>
        <w:rPr>
          <w:rFonts w:ascii="Verdana" w:eastAsia="Times New Roman" w:hAnsi="Verdana" w:cs="Arial"/>
          <w:color w:val="000000"/>
          <w:bdr w:val="none" w:sz="0" w:space="0" w:color="auto" w:frame="1"/>
          <w:shd w:val="clear" w:color="auto" w:fill="FFFFFF"/>
          <w:lang w:eastAsia="es-ES_tradnl"/>
        </w:rPr>
        <w:t>el literal j) del artículo 164.2 del Código de Procedimiento Administrativo y Contencioso Administrativo. Dado que la oportunidad para demandar corresponde a un aspecto procesal del derecho de acción, es independiente de que el régimen sustantivo de la liquidación derive o no del EGCAP.</w:t>
      </w:r>
      <w:r>
        <w:rPr>
          <w:rFonts w:ascii="Verdana" w:eastAsia="Calibri" w:hAnsi="Verdana" w:cs="Arial"/>
          <w:color w:val="000000"/>
          <w:lang w:val="es-ES_tradnl"/>
        </w:rPr>
        <w:t xml:space="preserve">         </w:t>
      </w:r>
      <w:r>
        <w:rPr>
          <w:rFonts w:ascii="Verdana" w:eastAsia="Times New Roman" w:hAnsi="Verdana" w:cs="Arial"/>
          <w:color w:val="000000"/>
          <w:bdr w:val="none" w:sz="0" w:space="0" w:color="auto" w:frame="1"/>
          <w:shd w:val="clear" w:color="auto" w:fill="FFFFFF"/>
          <w:lang w:eastAsia="es-ES_tradnl"/>
        </w:rPr>
        <w:t xml:space="preserve"> </w:t>
      </w:r>
    </w:p>
    <w:p w14:paraId="67DAAE55" w14:textId="77777777" w:rsidR="00605E1B" w:rsidRPr="00F417E8" w:rsidRDefault="00605E1B" w:rsidP="00605E1B">
      <w:pPr>
        <w:tabs>
          <w:tab w:val="left" w:pos="709"/>
        </w:tabs>
        <w:spacing w:after="120" w:line="276" w:lineRule="auto"/>
        <w:jc w:val="both"/>
        <w:rPr>
          <w:rFonts w:ascii="Verdana" w:eastAsia="Calibri" w:hAnsi="Verdana" w:cs="Arial"/>
          <w:color w:val="000000" w:themeColor="text1"/>
        </w:rPr>
      </w:pPr>
      <w:r>
        <w:rPr>
          <w:rFonts w:ascii="Verdana" w:hAnsi="Verdana" w:cs="Arial"/>
          <w:iCs/>
          <w:color w:val="000000" w:themeColor="text1"/>
        </w:rPr>
        <w:tab/>
      </w:r>
      <w:r>
        <w:rPr>
          <w:rFonts w:ascii="Verdana" w:eastAsia="Calibri" w:hAnsi="Verdana" w:cs="Arial"/>
          <w:color w:val="000000" w:themeColor="text1"/>
        </w:rPr>
        <w:t xml:space="preserve">En todo caso, </w:t>
      </w:r>
      <w:r w:rsidRPr="00F417E8">
        <w:rPr>
          <w:rFonts w:ascii="Verdana" w:eastAsia="Calibri" w:hAnsi="Verdana" w:cs="Arial"/>
          <w:color w:val="000000" w:themeColor="text1"/>
        </w:rPr>
        <w:t>el análisis</w:t>
      </w:r>
      <w:r>
        <w:rPr>
          <w:rFonts w:ascii="Verdana" w:eastAsia="Calibri" w:hAnsi="Verdana" w:cs="Arial"/>
          <w:color w:val="000000" w:themeColor="text1"/>
        </w:rPr>
        <w:t xml:space="preserve"> </w:t>
      </w:r>
      <w:r w:rsidRPr="00F417E8">
        <w:rPr>
          <w:rFonts w:ascii="Verdana" w:eastAsia="Calibri" w:hAnsi="Verdana" w:cs="Arial"/>
          <w:color w:val="000000" w:themeColor="text1"/>
        </w:rPr>
        <w:t>requerido</w:t>
      </w:r>
      <w:r>
        <w:rPr>
          <w:rFonts w:ascii="Verdana" w:eastAsia="Calibri" w:hAnsi="Verdana" w:cs="Arial"/>
          <w:color w:val="000000" w:themeColor="text1"/>
        </w:rPr>
        <w:t xml:space="preserve"> </w:t>
      </w:r>
      <w:r w:rsidRPr="00F417E8">
        <w:rPr>
          <w:rFonts w:ascii="Verdana" w:eastAsia="Calibri" w:hAnsi="Verdana" w:cs="Arial"/>
          <w:color w:val="000000" w:themeColor="text1"/>
        </w:rPr>
        <w:t>para</w:t>
      </w:r>
      <w:r>
        <w:rPr>
          <w:rFonts w:ascii="Verdana" w:eastAsia="Calibri" w:hAnsi="Verdana" w:cs="Arial"/>
          <w:color w:val="000000" w:themeColor="text1"/>
        </w:rPr>
        <w:t xml:space="preserve"> demandar oportunamente </w:t>
      </w:r>
      <w:r w:rsidRPr="00F417E8">
        <w:rPr>
          <w:rFonts w:ascii="Verdana" w:eastAsia="Calibri" w:hAnsi="Verdana" w:cs="Arial"/>
          <w:color w:val="000000" w:themeColor="text1"/>
        </w:rPr>
        <w:t>debe ser realizado por</w:t>
      </w:r>
      <w:r>
        <w:rPr>
          <w:rFonts w:ascii="Verdana" w:eastAsia="Calibri" w:hAnsi="Verdana" w:cs="Arial"/>
          <w:color w:val="000000" w:themeColor="text1"/>
        </w:rPr>
        <w:t xml:space="preserve"> </w:t>
      </w:r>
      <w:r w:rsidRPr="00F417E8">
        <w:rPr>
          <w:rFonts w:ascii="Verdana" w:eastAsia="Calibri" w:hAnsi="Verdana" w:cs="Arial"/>
          <w:color w:val="000000" w:themeColor="text1"/>
        </w:rPr>
        <w:t>quienes tengan interés en ello, de acuerdo con lo explicado</w:t>
      </w:r>
      <w:r>
        <w:rPr>
          <w:rFonts w:ascii="Verdana" w:eastAsia="Calibri" w:hAnsi="Verdana" w:cs="Arial"/>
          <w:color w:val="000000" w:themeColor="text1"/>
        </w:rPr>
        <w:t xml:space="preserve"> </w:t>
      </w:r>
      <w:r w:rsidRPr="00F417E8">
        <w:rPr>
          <w:rFonts w:ascii="Verdana" w:eastAsia="Calibri" w:hAnsi="Verdana" w:cs="Arial"/>
          <w:color w:val="000000" w:themeColor="text1"/>
        </w:rPr>
        <w:t>la aclaración preliminar del presente oficio. De esta manera, las afirmaciones aquí realizadas</w:t>
      </w:r>
      <w:r>
        <w:rPr>
          <w:rFonts w:ascii="Verdana" w:eastAsia="Calibri" w:hAnsi="Verdana" w:cs="Arial"/>
          <w:color w:val="000000" w:themeColor="text1"/>
        </w:rPr>
        <w:t xml:space="preserve"> </w:t>
      </w:r>
      <w:r w:rsidRPr="00F417E8">
        <w:rPr>
          <w:rFonts w:ascii="Verdana" w:eastAsia="Calibri" w:hAnsi="Verdana" w:cs="Arial"/>
          <w:color w:val="000000" w:themeColor="text1"/>
        </w:rPr>
        <w:t>no</w:t>
      </w:r>
      <w:r>
        <w:rPr>
          <w:rFonts w:ascii="Verdana" w:eastAsia="Calibri" w:hAnsi="Verdana" w:cs="Arial"/>
          <w:color w:val="000000" w:themeColor="text1"/>
        </w:rPr>
        <w:t xml:space="preserve"> </w:t>
      </w:r>
      <w:r w:rsidRPr="00F417E8">
        <w:rPr>
          <w:rFonts w:ascii="Verdana" w:eastAsia="Calibri" w:hAnsi="Verdana" w:cs="Arial"/>
          <w:color w:val="000000" w:themeColor="text1"/>
        </w:rPr>
        <w:t>pueden ser interpretadas como juicios de valor sobre circunstancias</w:t>
      </w:r>
      <w:r>
        <w:rPr>
          <w:rFonts w:ascii="Verdana" w:eastAsia="Calibri" w:hAnsi="Verdana" w:cs="Arial"/>
          <w:color w:val="000000" w:themeColor="text1"/>
        </w:rPr>
        <w:t xml:space="preserve"> </w:t>
      </w:r>
      <w:r w:rsidRPr="00F417E8">
        <w:rPr>
          <w:rFonts w:ascii="Verdana" w:eastAsia="Calibri" w:hAnsi="Verdana" w:cs="Arial"/>
          <w:color w:val="000000" w:themeColor="text1"/>
        </w:rPr>
        <w:t>concretas</w:t>
      </w:r>
      <w:r>
        <w:rPr>
          <w:rFonts w:ascii="Verdana" w:eastAsia="Calibri" w:hAnsi="Verdana" w:cs="Arial"/>
          <w:color w:val="000000" w:themeColor="text1"/>
        </w:rPr>
        <w:t xml:space="preserve"> </w:t>
      </w:r>
      <w:r w:rsidRPr="00F417E8">
        <w:rPr>
          <w:rFonts w:ascii="Verdana" w:eastAsia="Calibri" w:hAnsi="Verdana" w:cs="Arial"/>
          <w:color w:val="000000" w:themeColor="text1"/>
        </w:rPr>
        <w:t>relacionadas con los hechos que motivan la consulta. Por lo anterior, previo concepto de sus asesores, la solución de situaciones particulares corresponde a los interesados</w:t>
      </w:r>
      <w:r>
        <w:rPr>
          <w:rFonts w:ascii="Verdana" w:eastAsia="Calibri" w:hAnsi="Verdana" w:cs="Arial"/>
          <w:color w:val="000000" w:themeColor="text1"/>
        </w:rPr>
        <w:t xml:space="preserve"> </w:t>
      </w:r>
      <w:r w:rsidRPr="00F417E8">
        <w:rPr>
          <w:rFonts w:ascii="Verdana" w:eastAsia="Calibri" w:hAnsi="Verdana" w:cs="Arial"/>
          <w:color w:val="000000" w:themeColor="text1"/>
        </w:rPr>
        <w:t>adoptar la decisión correspondiente y, en caso de conflicto, a las autoridades judiciales, fiscales y disciplinarias.</w:t>
      </w:r>
    </w:p>
    <w:p w14:paraId="4B5EF3C1" w14:textId="77777777" w:rsidR="00605E1B" w:rsidRPr="009F712D" w:rsidRDefault="00605E1B" w:rsidP="00605E1B">
      <w:pPr>
        <w:tabs>
          <w:tab w:val="left" w:pos="709"/>
        </w:tabs>
        <w:spacing w:after="0" w:line="276" w:lineRule="auto"/>
        <w:jc w:val="both"/>
        <w:rPr>
          <w:rFonts w:ascii="Verdana" w:eastAsia="Century Gothic" w:hAnsi="Verdana" w:cs="Century Gothic"/>
        </w:rPr>
      </w:pPr>
      <w:r>
        <w:rPr>
          <w:rFonts w:ascii="Verdana" w:eastAsia="Calibri" w:hAnsi="Verdana" w:cs="Arial"/>
          <w:color w:val="000000" w:themeColor="text1"/>
        </w:rPr>
        <w:tab/>
      </w:r>
      <w:r w:rsidRPr="00F417E8">
        <w:rPr>
          <w:rFonts w:ascii="Verdana" w:eastAsia="Calibri" w:hAnsi="Verdana" w:cs="Arial"/>
          <w:color w:val="000000" w:themeColor="text1"/>
        </w:rPr>
        <w:t>Dentro de este marco, la entidad contratante definirá en cada caso concreto lo</w:t>
      </w:r>
      <w:r>
        <w:rPr>
          <w:rFonts w:ascii="Verdana" w:eastAsia="Calibri" w:hAnsi="Verdana" w:cs="Arial"/>
          <w:color w:val="000000" w:themeColor="text1"/>
        </w:rPr>
        <w:t xml:space="preserve"> </w:t>
      </w:r>
      <w:r w:rsidRPr="00F417E8">
        <w:rPr>
          <w:rFonts w:ascii="Verdana" w:eastAsia="Calibri" w:hAnsi="Verdana" w:cs="Arial"/>
          <w:color w:val="000000" w:themeColor="text1"/>
        </w:rPr>
        <w:t>relacionado con</w:t>
      </w:r>
      <w:r>
        <w:rPr>
          <w:rFonts w:ascii="Verdana" w:eastAsia="Calibri" w:hAnsi="Verdana" w:cs="Arial"/>
          <w:color w:val="000000" w:themeColor="text1"/>
        </w:rPr>
        <w:t xml:space="preserve"> el tema objeto de consulta</w:t>
      </w:r>
      <w:r w:rsidRPr="00F417E8">
        <w:rPr>
          <w:rFonts w:ascii="Verdana" w:eastAsia="Calibri" w:hAnsi="Verdana" w:cs="Arial"/>
          <w:color w:val="000000" w:themeColor="text1"/>
        </w:rPr>
        <w:t xml:space="preserve">. Al tratarse de un análisis que debe realizarse en el </w:t>
      </w:r>
      <w:r>
        <w:rPr>
          <w:rFonts w:ascii="Verdana" w:eastAsia="Calibri" w:hAnsi="Verdana" w:cs="Arial"/>
          <w:color w:val="000000" w:themeColor="text1"/>
        </w:rPr>
        <w:t>proceso</w:t>
      </w:r>
      <w:r w:rsidRPr="00F417E8">
        <w:rPr>
          <w:rFonts w:ascii="Verdana" w:eastAsia="Calibri" w:hAnsi="Verdana" w:cs="Arial"/>
          <w:color w:val="000000" w:themeColor="text1"/>
        </w:rPr>
        <w:t xml:space="preserve"> específico, la Agencia no puede definir un </w:t>
      </w:r>
      <w:r w:rsidRPr="00F417E8">
        <w:rPr>
          <w:rFonts w:ascii="Verdana" w:eastAsia="Calibri" w:hAnsi="Verdana" w:cs="Arial"/>
          <w:color w:val="000000" w:themeColor="text1"/>
        </w:rPr>
        <w:lastRenderedPageBreak/>
        <w:t xml:space="preserve">criterio universal y absoluto,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w:t>
      </w:r>
      <w:r>
        <w:rPr>
          <w:rFonts w:ascii="Verdana" w:eastAsia="Calibri" w:hAnsi="Verdana" w:cs="Arial"/>
          <w:color w:val="000000" w:themeColor="text1"/>
        </w:rPr>
        <w:t>procesal</w:t>
      </w:r>
      <w:r w:rsidRPr="00F417E8">
        <w:rPr>
          <w:rFonts w:ascii="Verdana" w:eastAsia="Calibri" w:hAnsi="Verdana" w:cs="Arial"/>
          <w:color w:val="000000" w:themeColor="text1"/>
        </w:rPr>
        <w:t>, sin que sea atribución de Colombia Compra Eficiente validar sus actuaciones.</w:t>
      </w:r>
      <w:r>
        <w:rPr>
          <w:rFonts w:ascii="Verdana" w:hAnsi="Verdana" w:cs="Arial"/>
          <w:iCs/>
          <w:color w:val="000000" w:themeColor="text1"/>
        </w:rPr>
        <w:t xml:space="preserve"> </w:t>
      </w:r>
    </w:p>
    <w:p w14:paraId="14BA1D24" w14:textId="77777777" w:rsidR="00605E1B" w:rsidRPr="00182C89" w:rsidRDefault="00605E1B" w:rsidP="00605E1B">
      <w:pPr>
        <w:tabs>
          <w:tab w:val="left" w:pos="709"/>
        </w:tabs>
        <w:spacing w:after="0" w:line="276" w:lineRule="auto"/>
        <w:jc w:val="both"/>
        <w:rPr>
          <w:rFonts w:ascii="Verdana" w:eastAsia="Calibri" w:hAnsi="Verdana" w:cs="Arial"/>
          <w:color w:val="000000" w:themeColor="text1"/>
        </w:rPr>
      </w:pPr>
    </w:p>
    <w:p w14:paraId="42FCA261" w14:textId="77777777" w:rsidR="00605E1B" w:rsidRPr="00593A5F" w:rsidRDefault="00605E1B" w:rsidP="00605E1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70EE34D5" w14:textId="77777777" w:rsidR="00605E1B" w:rsidRPr="00593A5F" w:rsidRDefault="00605E1B" w:rsidP="00605E1B">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05E1B" w:rsidRPr="002407CE" w14:paraId="7EC3684C" w14:textId="77777777" w:rsidTr="00CB2723">
        <w:trPr>
          <w:trHeight w:val="870"/>
          <w:jc w:val="center"/>
        </w:trPr>
        <w:tc>
          <w:tcPr>
            <w:tcW w:w="8647" w:type="dxa"/>
          </w:tcPr>
          <w:p w14:paraId="7D6DC829" w14:textId="77777777" w:rsidR="00605E1B" w:rsidRDefault="00605E1B" w:rsidP="00605E1B">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 xml:space="preserve">Ley 80 de 1993, artículo 60. </w:t>
            </w:r>
          </w:p>
          <w:p w14:paraId="77A4C59A" w14:textId="77777777" w:rsidR="00605E1B" w:rsidRPr="00B478FA" w:rsidRDefault="00605E1B" w:rsidP="00CB2723">
            <w:pPr>
              <w:pStyle w:val="Prrafodelista"/>
              <w:widowControl w:val="0"/>
              <w:autoSpaceDE w:val="0"/>
              <w:autoSpaceDN w:val="0"/>
              <w:spacing w:line="276" w:lineRule="auto"/>
              <w:jc w:val="both"/>
              <w:rPr>
                <w:rFonts w:ascii="Verdana" w:hAnsi="Verdana" w:cs="Arial"/>
                <w:sz w:val="12"/>
                <w:szCs w:val="12"/>
              </w:rPr>
            </w:pPr>
          </w:p>
          <w:p w14:paraId="073D96C4" w14:textId="77777777" w:rsidR="00605E1B" w:rsidRDefault="00605E1B" w:rsidP="00605E1B">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 xml:space="preserve">Ley 1150 de 2007, artículo </w:t>
            </w:r>
            <w:r>
              <w:rPr>
                <w:rFonts w:ascii="Verdana" w:hAnsi="Verdana" w:cs="Arial"/>
              </w:rPr>
              <w:t>11</w:t>
            </w:r>
            <w:r w:rsidRPr="00EA612E">
              <w:rPr>
                <w:rFonts w:ascii="Verdana" w:hAnsi="Verdana" w:cs="Arial"/>
              </w:rPr>
              <w:t xml:space="preserve">. </w:t>
            </w:r>
          </w:p>
          <w:p w14:paraId="60CD8D61" w14:textId="77777777" w:rsidR="00605E1B" w:rsidRPr="00B478FA" w:rsidRDefault="00605E1B" w:rsidP="00CB2723">
            <w:pPr>
              <w:widowControl w:val="0"/>
              <w:autoSpaceDE w:val="0"/>
              <w:autoSpaceDN w:val="0"/>
              <w:spacing w:line="276" w:lineRule="auto"/>
              <w:jc w:val="both"/>
              <w:rPr>
                <w:rFonts w:ascii="Verdana" w:hAnsi="Verdana" w:cs="Arial"/>
                <w:sz w:val="12"/>
                <w:szCs w:val="12"/>
              </w:rPr>
            </w:pPr>
          </w:p>
          <w:p w14:paraId="48B5BA93" w14:textId="77777777" w:rsidR="00605E1B" w:rsidRPr="001C6C6F" w:rsidRDefault="00605E1B" w:rsidP="00605E1B">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Ley 1437 de 2011</w:t>
            </w:r>
            <w:r w:rsidRPr="00EA612E">
              <w:rPr>
                <w:rFonts w:ascii="Verdana" w:hAnsi="Verdana" w:cs="Arial"/>
              </w:rPr>
              <w:t xml:space="preserve">, artículos </w:t>
            </w:r>
            <w:r>
              <w:rPr>
                <w:rFonts w:ascii="Verdana" w:hAnsi="Verdana" w:cs="Arial"/>
              </w:rPr>
              <w:t>141 y 164</w:t>
            </w:r>
            <w:r w:rsidRPr="00EA612E">
              <w:rPr>
                <w:rFonts w:ascii="Verdana" w:hAnsi="Verdana" w:cs="Arial"/>
              </w:rPr>
              <w:t>.</w:t>
            </w:r>
          </w:p>
        </w:tc>
      </w:tr>
    </w:tbl>
    <w:p w14:paraId="29853614" w14:textId="77777777" w:rsidR="00605E1B" w:rsidRPr="002407CE" w:rsidRDefault="00605E1B" w:rsidP="00605E1B">
      <w:pPr>
        <w:widowControl w:val="0"/>
        <w:autoSpaceDE w:val="0"/>
        <w:autoSpaceDN w:val="0"/>
        <w:spacing w:after="0" w:line="276" w:lineRule="auto"/>
        <w:jc w:val="both"/>
        <w:rPr>
          <w:rFonts w:ascii="Verdana" w:hAnsi="Verdana" w:cs="Arial"/>
        </w:rPr>
      </w:pPr>
    </w:p>
    <w:p w14:paraId="76786A84" w14:textId="77777777" w:rsidR="00605E1B" w:rsidRPr="00593A5F" w:rsidRDefault="00605E1B" w:rsidP="00605E1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49B2E36" w14:textId="77777777" w:rsidR="00605E1B" w:rsidRPr="00593A5F" w:rsidRDefault="00605E1B" w:rsidP="00605E1B">
      <w:pPr>
        <w:widowControl w:val="0"/>
        <w:autoSpaceDE w:val="0"/>
        <w:autoSpaceDN w:val="0"/>
        <w:spacing w:after="0" w:line="276" w:lineRule="auto"/>
        <w:jc w:val="both"/>
        <w:rPr>
          <w:rFonts w:ascii="Verdana" w:hAnsi="Verdana" w:cs="Arial"/>
        </w:rPr>
      </w:pPr>
    </w:p>
    <w:p w14:paraId="50488271" w14:textId="77777777" w:rsidR="00605E1B" w:rsidRDefault="00605E1B" w:rsidP="00605E1B">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5344DB">
        <w:rPr>
          <w:rStyle w:val="normaltextrun"/>
          <w:rFonts w:ascii="Verdana" w:hAnsi="Verdana" w:cs="Arial"/>
          <w:shd w:val="clear" w:color="auto" w:fill="FFFFFF"/>
        </w:rPr>
        <w:t>Esta Subdirección se ha pronunciado sobre la liquidación en los Conceptos 4201912000004908 del 27 de septiembre de 2019, CU-028 de 25 de febrero de 2020, C-221 de 21 de abril de 2020, C-078 del 17 de marzo de 2021, C-220 del 18 de mayo de 2021, C-444 del 23 de julio de 2021, C-747 del 8 de noviembre de 2022, C-739 de del 29 de noviembre de 2022, C- 176 de 3 de mayo de 2023</w:t>
      </w:r>
      <w:r>
        <w:rPr>
          <w:rStyle w:val="normaltextrun"/>
          <w:rFonts w:ascii="Verdana" w:hAnsi="Verdana" w:cs="Arial"/>
          <w:shd w:val="clear" w:color="auto" w:fill="FFFFFF"/>
        </w:rPr>
        <w:t>,</w:t>
      </w:r>
      <w:r w:rsidRPr="005344DB">
        <w:rPr>
          <w:rStyle w:val="normaltextrun"/>
          <w:rFonts w:ascii="Verdana" w:hAnsi="Verdana" w:cs="Arial"/>
          <w:shd w:val="clear" w:color="auto" w:fill="FFFFFF"/>
        </w:rPr>
        <w:t xml:space="preserve"> C-158 del 6 de junio de 2023</w:t>
      </w:r>
      <w:r>
        <w:rPr>
          <w:rStyle w:val="normaltextrun"/>
          <w:rFonts w:ascii="Verdana" w:hAnsi="Verdana" w:cs="Arial"/>
          <w:shd w:val="clear" w:color="auto" w:fill="FFFFFF"/>
        </w:rPr>
        <w:t>, C-326 del 15 de agosto de 2024 y C-568 del 18 de octubre de 2024</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08C10511" w14:textId="77777777" w:rsidR="00605E1B" w:rsidRDefault="00605E1B" w:rsidP="00605E1B">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EC12BF" w14:textId="62F200D9" w:rsidR="00605E1B" w:rsidRPr="00A1554D" w:rsidRDefault="00605E1B" w:rsidP="00605E1B">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4D35F4">
        <w:rPr>
          <w:rStyle w:val="normaltextrun"/>
          <w:rFonts w:ascii="Verdana" w:hAnsi="Verdana" w:cs="Arial"/>
          <w:color w:val="000000" w:themeColor="text1"/>
          <w:shd w:val="clear" w:color="auto" w:fill="FFFFFF"/>
          <w:lang w:val="es-ES"/>
        </w:rPr>
        <w:t>Te invitamos a consultar las versiones VI</w:t>
      </w:r>
      <w:r w:rsidR="31289923" w:rsidRPr="004D35F4">
        <w:rPr>
          <w:rStyle w:val="normaltextrun"/>
          <w:rFonts w:ascii="Verdana" w:hAnsi="Verdana" w:cs="Arial"/>
          <w:color w:val="000000" w:themeColor="text1"/>
          <w:shd w:val="clear" w:color="auto" w:fill="FFFFFF"/>
          <w:lang w:val="es-ES"/>
        </w:rPr>
        <w:t>I</w:t>
      </w:r>
      <w:r w:rsidRPr="004D35F4">
        <w:rPr>
          <w:rStyle w:val="normaltextrun"/>
          <w:rFonts w:ascii="Verdana" w:hAnsi="Verdana" w:cs="Arial"/>
          <w:color w:val="000000" w:themeColor="text1"/>
          <w:shd w:val="clear" w:color="auto" w:fill="FFFFFF"/>
          <w:lang w:val="es-ES"/>
        </w:rPr>
        <w:t xml:space="preserve"> y </w:t>
      </w:r>
      <w:r w:rsidR="31289923" w:rsidRPr="004D35F4">
        <w:rPr>
          <w:rStyle w:val="normaltextrun"/>
          <w:rFonts w:ascii="Verdana" w:hAnsi="Verdana" w:cs="Arial"/>
          <w:color w:val="000000" w:themeColor="text1"/>
          <w:shd w:val="clear" w:color="auto" w:fill="FFFFFF"/>
          <w:lang w:val="es-ES"/>
        </w:rPr>
        <w:t>VII</w:t>
      </w:r>
      <w:r w:rsidRPr="004D35F4">
        <w:rPr>
          <w:rStyle w:val="normaltextrun"/>
          <w:rFonts w:ascii="Verdana" w:hAnsi="Verdana" w:cs="Arial"/>
          <w:color w:val="000000" w:themeColor="text1"/>
          <w:shd w:val="clear" w:color="auto" w:fill="FFFFFF"/>
          <w:lang w:val="es-ES"/>
        </w:rPr>
        <w:t xml:space="preserve"> de 2024 del Boletín de Relatoría de la Subdirección de Gestión Contractual relacionados con las guías de Plan Anual de Adquisiciones y la modalidad de selección de mínima </w:t>
      </w:r>
      <w:proofErr w:type="gramStart"/>
      <w:r w:rsidRPr="004D35F4">
        <w:rPr>
          <w:rStyle w:val="normaltextrun"/>
          <w:rFonts w:ascii="Verdana" w:hAnsi="Verdana" w:cs="Arial"/>
          <w:color w:val="000000" w:themeColor="text1"/>
          <w:shd w:val="clear" w:color="auto" w:fill="FFFFFF"/>
          <w:lang w:val="es-ES"/>
        </w:rPr>
        <w:t>cuantía ,</w:t>
      </w:r>
      <w:proofErr w:type="gramEnd"/>
      <w:r w:rsidRPr="004D35F4">
        <w:rPr>
          <w:rStyle w:val="normaltextrun"/>
          <w:rFonts w:ascii="Verdana" w:hAnsi="Verdana" w:cs="Arial"/>
          <w:color w:val="000000" w:themeColor="text1"/>
          <w:shd w:val="clear" w:color="auto" w:fill="FFFFFF"/>
          <w:lang w:val="es-ES"/>
        </w:rPr>
        <w:t xml:space="preserve"> los cuales se pueden descargar en la página web de la Agencia: </w:t>
      </w:r>
      <w:hyperlink r:id="rId13" w:history="1">
        <w:r w:rsidRPr="00E03876">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000000" w:themeColor="text1"/>
          <w:shd w:val="clear" w:color="auto" w:fill="FFFFFF"/>
          <w:lang w:val="es-ES"/>
        </w:rPr>
        <w:t>.</w:t>
      </w:r>
      <w:r w:rsidRPr="004D35F4">
        <w:rPr>
          <w:rStyle w:val="normaltextrun"/>
          <w:rFonts w:ascii="Verdana" w:hAnsi="Verdana" w:cs="Arial"/>
          <w:color w:val="000000" w:themeColor="text1"/>
          <w:shd w:val="clear" w:color="auto" w:fill="FFFFFF"/>
          <w:lang w:val="es-ES"/>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4E9824B8" w14:textId="77777777" w:rsidR="00605E1B" w:rsidRPr="00593A5F" w:rsidRDefault="00605E1B" w:rsidP="00605E1B">
      <w:pPr>
        <w:widowControl w:val="0"/>
        <w:autoSpaceDE w:val="0"/>
        <w:autoSpaceDN w:val="0"/>
        <w:spacing w:after="0" w:line="276" w:lineRule="auto"/>
        <w:jc w:val="both"/>
        <w:rPr>
          <w:rFonts w:ascii="Verdana" w:hAnsi="Verdana" w:cs="Arial"/>
        </w:rPr>
      </w:pPr>
    </w:p>
    <w:p w14:paraId="3DC57FEF" w14:textId="77777777" w:rsidR="00605E1B" w:rsidRPr="00593A5F" w:rsidRDefault="00605E1B" w:rsidP="00605E1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CC9CC8A" w14:textId="77777777" w:rsidR="00605E1B" w:rsidRPr="00593A5F" w:rsidRDefault="00605E1B" w:rsidP="00605E1B">
      <w:pPr>
        <w:widowControl w:val="0"/>
        <w:autoSpaceDE w:val="0"/>
        <w:autoSpaceDN w:val="0"/>
        <w:spacing w:after="0" w:line="276" w:lineRule="auto"/>
        <w:jc w:val="both"/>
        <w:rPr>
          <w:rFonts w:ascii="Verdana" w:hAnsi="Verdana" w:cs="Arial"/>
        </w:rPr>
      </w:pPr>
    </w:p>
    <w:p w14:paraId="44B8A65F" w14:textId="77777777" w:rsidR="00605E1B" w:rsidRPr="00593A5F" w:rsidRDefault="00605E1B" w:rsidP="00605E1B">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AD354FD" w14:textId="2701C3AA" w:rsidR="00605E1B" w:rsidRPr="00593A5F" w:rsidRDefault="00DC194E" w:rsidP="00605E1B">
      <w:pPr>
        <w:spacing w:line="276" w:lineRule="auto"/>
        <w:jc w:val="center"/>
        <w:rPr>
          <w:rFonts w:ascii="Verdana" w:hAnsi="Verdana" w:cs="Arial"/>
          <w:color w:val="000000"/>
          <w:lang w:val="es-ES_tradnl" w:eastAsia="es-CO"/>
        </w:rPr>
      </w:pPr>
      <w:r>
        <w:rPr>
          <w:noProof/>
        </w:rPr>
        <w:lastRenderedPageBreak/>
        <w:drawing>
          <wp:inline distT="0" distB="0" distL="0" distR="0" wp14:anchorId="09BC1A6A" wp14:editId="104E1D31">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05E1B" w:rsidRPr="00593A5F" w14:paraId="3C03656C" w14:textId="77777777" w:rsidTr="00CB2723">
        <w:trPr>
          <w:trHeight w:val="315"/>
        </w:trPr>
        <w:tc>
          <w:tcPr>
            <w:tcW w:w="893" w:type="dxa"/>
            <w:vAlign w:val="center"/>
            <w:hideMark/>
          </w:tcPr>
          <w:p w14:paraId="18705CE2" w14:textId="77777777" w:rsidR="00605E1B" w:rsidRPr="003751C7" w:rsidRDefault="00605E1B" w:rsidP="00CB2723">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9A7FE07" w14:textId="77777777" w:rsidR="00605E1B" w:rsidRPr="00254A7A" w:rsidRDefault="00605E1B" w:rsidP="00CB2723">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2CC927AA" w14:textId="77777777" w:rsidR="00605E1B" w:rsidRPr="00254A7A" w:rsidRDefault="00605E1B" w:rsidP="00CB2723">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605E1B" w:rsidRPr="00593A5F" w14:paraId="4BA38CA0" w14:textId="77777777" w:rsidTr="00CB2723">
        <w:trPr>
          <w:trHeight w:val="330"/>
        </w:trPr>
        <w:tc>
          <w:tcPr>
            <w:tcW w:w="893" w:type="dxa"/>
            <w:vAlign w:val="center"/>
            <w:hideMark/>
          </w:tcPr>
          <w:p w14:paraId="6956B0B5" w14:textId="77777777" w:rsidR="00605E1B" w:rsidRPr="003751C7" w:rsidRDefault="00605E1B" w:rsidP="00CB2723">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DC5ECBE" w14:textId="77777777" w:rsidR="00605E1B" w:rsidRPr="00254A7A" w:rsidRDefault="00605E1B" w:rsidP="00CB2723">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D17F875" w14:textId="77777777" w:rsidR="00605E1B" w:rsidRPr="00254A7A" w:rsidRDefault="00605E1B" w:rsidP="00CB2723">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605E1B" w:rsidRPr="00593A5F" w14:paraId="329E2EC8" w14:textId="77777777" w:rsidTr="00CB2723">
        <w:trPr>
          <w:trHeight w:val="300"/>
        </w:trPr>
        <w:tc>
          <w:tcPr>
            <w:tcW w:w="893" w:type="dxa"/>
            <w:vAlign w:val="center"/>
          </w:tcPr>
          <w:p w14:paraId="5C56B429" w14:textId="77777777" w:rsidR="00605E1B" w:rsidRPr="003751C7" w:rsidRDefault="00605E1B" w:rsidP="00CB2723">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4A612A" w14:textId="77777777" w:rsidR="00605E1B" w:rsidRPr="003751C7" w:rsidRDefault="00605E1B" w:rsidP="00CB2723">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17E3AB0" w14:textId="77777777" w:rsidR="00605E1B" w:rsidRPr="003751C7" w:rsidRDefault="00605E1B" w:rsidP="00CB2723">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79757503" w14:textId="77777777" w:rsidR="00605E1B" w:rsidRPr="00593A5F" w:rsidRDefault="00605E1B" w:rsidP="00605E1B">
      <w:pPr>
        <w:spacing w:after="0" w:line="240" w:lineRule="auto"/>
        <w:rPr>
          <w:rFonts w:ascii="Verdana" w:eastAsia="Times New Roman" w:hAnsi="Verdana" w:cs="Arial"/>
          <w:sz w:val="24"/>
          <w:szCs w:val="24"/>
          <w:lang w:eastAsia="es-ES"/>
        </w:rPr>
      </w:pPr>
    </w:p>
    <w:p w14:paraId="3900974D" w14:textId="77777777" w:rsidR="003D5B0D" w:rsidRPr="00022547" w:rsidRDefault="003D5B0D" w:rsidP="00022547"/>
    <w:sectPr w:rsidR="003D5B0D" w:rsidRPr="00022547"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A957" w14:textId="77777777" w:rsidR="009C6F4D" w:rsidRDefault="009C6F4D" w:rsidP="004A1847">
      <w:pPr>
        <w:spacing w:after="0" w:line="240" w:lineRule="auto"/>
      </w:pPr>
      <w:r>
        <w:separator/>
      </w:r>
    </w:p>
  </w:endnote>
  <w:endnote w:type="continuationSeparator" w:id="0">
    <w:p w14:paraId="5677B919" w14:textId="77777777" w:rsidR="009C6F4D" w:rsidRDefault="009C6F4D" w:rsidP="004A1847">
      <w:pPr>
        <w:spacing w:after="0" w:line="240" w:lineRule="auto"/>
      </w:pPr>
      <w:r>
        <w:continuationSeparator/>
      </w:r>
    </w:p>
  </w:endnote>
  <w:endnote w:type="continuationNotice" w:id="1">
    <w:p w14:paraId="3989F84C" w14:textId="77777777" w:rsidR="009C6F4D" w:rsidRDefault="009C6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CC0D2" w14:textId="77777777" w:rsidR="009C6F4D" w:rsidRDefault="009C6F4D" w:rsidP="004A1847">
      <w:pPr>
        <w:spacing w:after="0" w:line="240" w:lineRule="auto"/>
      </w:pPr>
      <w:r>
        <w:separator/>
      </w:r>
    </w:p>
  </w:footnote>
  <w:footnote w:type="continuationSeparator" w:id="0">
    <w:p w14:paraId="6A090A2F" w14:textId="77777777" w:rsidR="009C6F4D" w:rsidRDefault="009C6F4D" w:rsidP="004A1847">
      <w:pPr>
        <w:spacing w:after="0" w:line="240" w:lineRule="auto"/>
      </w:pPr>
      <w:r>
        <w:continuationSeparator/>
      </w:r>
    </w:p>
  </w:footnote>
  <w:footnote w:type="continuationNotice" w:id="1">
    <w:p w14:paraId="4A3DBF5A" w14:textId="77777777" w:rsidR="009C6F4D" w:rsidRDefault="009C6F4D">
      <w:pPr>
        <w:spacing w:after="0" w:line="240" w:lineRule="auto"/>
      </w:pPr>
    </w:p>
  </w:footnote>
  <w:footnote w:id="2">
    <w:p w14:paraId="2347A95D" w14:textId="77777777" w:rsidR="00605E1B" w:rsidRPr="0027107E" w:rsidRDefault="00605E1B" w:rsidP="0027107E">
      <w:pPr>
        <w:pStyle w:val="Textonotapie"/>
        <w:ind w:firstLine="708"/>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27107E">
        <w:rPr>
          <w:rFonts w:ascii="Verdana" w:hAnsi="Verdana" w:cs="Arial"/>
          <w:color w:val="000000"/>
          <w:sz w:val="16"/>
          <w:szCs w:val="16"/>
          <w:shd w:val="clear" w:color="auto" w:fill="FFFFFF"/>
        </w:rPr>
        <w:t>” (</w:t>
      </w:r>
      <w:r w:rsidRPr="0027107E">
        <w:rPr>
          <w:rFonts w:ascii="Verdana" w:hAnsi="Verdana" w:cs="Arial"/>
          <w:color w:val="000000"/>
          <w:sz w:val="16"/>
          <w:szCs w:val="16"/>
        </w:rPr>
        <w:t>EXPOSITO, Juan Carlos. Forma y contenido del contrato estatal. Bogotá: Universidad Externado de Colombia, p. 89 y 90).</w:t>
      </w:r>
    </w:p>
  </w:footnote>
  <w:footnote w:id="3">
    <w:p w14:paraId="0F391B72" w14:textId="77777777" w:rsidR="00605E1B" w:rsidRPr="0027107E" w:rsidRDefault="00605E1B" w:rsidP="0027107E">
      <w:pPr>
        <w:pStyle w:val="Textonotapie"/>
        <w:ind w:firstLine="708"/>
        <w:jc w:val="both"/>
        <w:rPr>
          <w:rFonts w:ascii="Verdana" w:hAnsi="Verdana" w:cs="Arial"/>
          <w:color w:val="000000"/>
          <w:sz w:val="16"/>
          <w:szCs w:val="16"/>
          <w:lang w:val="es-CO"/>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DÍAZ DÍEZ, Cristian Andrés. La liquidación. Serie: Las Cláusulas del Contrato Estatal. Medellín: Librería Jurídica Sánchez y Centro de Estudios de Derecho Administrativo –CEDA–, 2013. pp. 53-54.</w:t>
      </w:r>
    </w:p>
  </w:footnote>
  <w:footnote w:id="4">
    <w:p w14:paraId="1CDEA2E8" w14:textId="77777777" w:rsidR="00605E1B" w:rsidRPr="0027107E" w:rsidRDefault="00605E1B" w:rsidP="0027107E">
      <w:pPr>
        <w:spacing w:after="0"/>
        <w:ind w:firstLine="708"/>
        <w:jc w:val="both"/>
        <w:rPr>
          <w:rFonts w:ascii="Verdana" w:hAnsi="Verdana" w:cs="Arial"/>
          <w:color w:val="000000"/>
          <w:sz w:val="16"/>
          <w:szCs w:val="16"/>
          <w:lang w:val="es-ES"/>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5">
    <w:p w14:paraId="241C647E" w14:textId="77777777" w:rsidR="00605E1B" w:rsidRPr="0027107E" w:rsidRDefault="00605E1B" w:rsidP="0027107E">
      <w:pPr>
        <w:pStyle w:val="Textonotapie"/>
        <w:ind w:firstLine="708"/>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EXPÓSITO VÉLEZ, Juan Carlos. Forma y contenido del contrato estatal, p. 90.</w:t>
      </w:r>
    </w:p>
  </w:footnote>
  <w:footnote w:id="6">
    <w:p w14:paraId="7047F0D0" w14:textId="77777777" w:rsidR="00605E1B" w:rsidRPr="0027107E" w:rsidRDefault="00605E1B" w:rsidP="0027107E">
      <w:pPr>
        <w:pStyle w:val="Textonotapie"/>
        <w:ind w:firstLine="708"/>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CONSEJO DE ESTADO, Sala de Consulta y Servicio Civil. Radicado No. 1453. Concepto de 6 de agosto de 2003. MP. Augusto Trejos.</w:t>
      </w:r>
    </w:p>
  </w:footnote>
  <w:footnote w:id="7">
    <w:p w14:paraId="12EE60DD" w14:textId="77777777" w:rsidR="00605E1B" w:rsidRPr="0027107E" w:rsidRDefault="00605E1B" w:rsidP="0027107E">
      <w:pPr>
        <w:pStyle w:val="Textonotapie"/>
        <w:ind w:firstLine="708"/>
        <w:jc w:val="both"/>
        <w:rPr>
          <w:rFonts w:ascii="Verdana" w:hAnsi="Verdana" w:cs="Arial"/>
          <w:color w:val="000000"/>
          <w:sz w:val="16"/>
          <w:szCs w:val="16"/>
          <w:lang w:val="es-ES"/>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w:t>
      </w:r>
      <w:r w:rsidRPr="0027107E">
        <w:rPr>
          <w:rFonts w:ascii="Verdana" w:hAnsi="Verdana" w:cs="Arial"/>
          <w:color w:val="000000"/>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5E06B727" w14:textId="77777777" w:rsidR="00605E1B" w:rsidRPr="0027107E" w:rsidRDefault="00605E1B" w:rsidP="0027107E">
      <w:pPr>
        <w:pStyle w:val="Textonotapie"/>
        <w:ind w:firstLine="708"/>
        <w:jc w:val="both"/>
        <w:rPr>
          <w:rFonts w:ascii="Verdana" w:hAnsi="Verdana" w:cs="Arial"/>
          <w:color w:val="000000"/>
          <w:sz w:val="16"/>
          <w:szCs w:val="16"/>
          <w:lang w:val="es-ES"/>
        </w:rPr>
      </w:pPr>
      <w:r w:rsidRPr="0027107E">
        <w:rPr>
          <w:rFonts w:ascii="Verdana" w:hAnsi="Verdana" w:cs="Arial"/>
          <w:color w:val="000000"/>
          <w:sz w:val="16"/>
          <w:szCs w:val="16"/>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42AD4E33" w14:textId="77777777" w:rsidR="00605E1B" w:rsidRPr="0027107E" w:rsidRDefault="00605E1B" w:rsidP="0027107E">
      <w:pPr>
        <w:pStyle w:val="Textonotapie"/>
        <w:ind w:firstLine="708"/>
        <w:jc w:val="both"/>
        <w:rPr>
          <w:rFonts w:ascii="Verdana" w:hAnsi="Verdana" w:cs="Arial"/>
          <w:color w:val="000000"/>
          <w:sz w:val="16"/>
          <w:szCs w:val="16"/>
          <w:lang w:val="es-ES"/>
        </w:rPr>
      </w:pPr>
      <w:r w:rsidRPr="0027107E">
        <w:rPr>
          <w:rFonts w:ascii="Verdana" w:hAnsi="Verdana" w:cs="Arial"/>
          <w:color w:val="000000"/>
          <w:sz w:val="16"/>
          <w:szCs w:val="16"/>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0D9DDE1C" w14:textId="77777777" w:rsidR="00605E1B" w:rsidRPr="0027107E" w:rsidRDefault="00605E1B" w:rsidP="0027107E">
      <w:pPr>
        <w:pStyle w:val="Textonotapie"/>
        <w:ind w:firstLine="708"/>
        <w:jc w:val="both"/>
        <w:rPr>
          <w:rFonts w:ascii="Verdana" w:hAnsi="Verdana" w:cs="Arial"/>
          <w:color w:val="000000"/>
          <w:sz w:val="16"/>
          <w:szCs w:val="16"/>
          <w:lang w:val="es-ES"/>
        </w:rPr>
      </w:pPr>
      <w:r w:rsidRPr="0027107E">
        <w:rPr>
          <w:rFonts w:ascii="Verdana" w:hAnsi="Verdana" w:cs="Arial"/>
          <w:color w:val="000000"/>
          <w:sz w:val="16"/>
          <w:szCs w:val="16"/>
          <w:lang w:val="es-ES"/>
        </w:rPr>
        <w:t>Los contratistas tendrán derecho a efectuar salvedades a la liquidación por mutuo acuerdo, y en este evento la liquidación unilateral solo procederá en relación con los aspectos que no hayan sido objeto de acuerdo”.</w:t>
      </w:r>
    </w:p>
  </w:footnote>
  <w:footnote w:id="8">
    <w:p w14:paraId="7C5E9B01" w14:textId="77777777" w:rsidR="00605E1B" w:rsidRPr="0027107E" w:rsidRDefault="00605E1B" w:rsidP="0027107E">
      <w:pPr>
        <w:pStyle w:val="Textonotapie"/>
        <w:ind w:firstLine="709"/>
        <w:jc w:val="both"/>
        <w:rPr>
          <w:rFonts w:ascii="Verdana" w:hAnsi="Verdana" w:cs="Arial"/>
          <w:color w:val="000000"/>
          <w:sz w:val="16"/>
          <w:szCs w:val="16"/>
          <w:lang w:val="es-CO"/>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CONSEJO DE ESTADO, Sección Tercera, Subsección C, Sentencia del 24 de julio de 2013, radicado No. 25.642, Consejero Ponente Enrique Gil Botero.</w:t>
      </w:r>
    </w:p>
  </w:footnote>
  <w:footnote w:id="9">
    <w:p w14:paraId="546D7677" w14:textId="77777777" w:rsidR="00605E1B" w:rsidRPr="0027107E" w:rsidRDefault="00605E1B" w:rsidP="0027107E">
      <w:pPr>
        <w:pStyle w:val="NormalWeb"/>
        <w:spacing w:before="0" w:beforeAutospacing="0" w:after="0" w:afterAutospacing="0"/>
        <w:ind w:firstLine="709"/>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Decreto 1082 de 2015 “</w:t>
      </w:r>
      <w:r w:rsidRPr="0027107E">
        <w:rPr>
          <w:rStyle w:val="Textoennegrita"/>
          <w:rFonts w:ascii="Verdana" w:hAnsi="Verdana" w:cs="Arial"/>
          <w:b w:val="0"/>
          <w:bCs w:val="0"/>
          <w:color w:val="000000"/>
          <w:sz w:val="16"/>
          <w:szCs w:val="16"/>
        </w:rPr>
        <w:t>Artículo 2.2.1.2.1.5.2. </w:t>
      </w:r>
      <w:r w:rsidRPr="0027107E">
        <w:rPr>
          <w:rStyle w:val="nfasis"/>
          <w:rFonts w:ascii="Verdana" w:eastAsia="MS Mincho" w:hAnsi="Verdana" w:cs="Arial"/>
          <w:color w:val="000000"/>
          <w:sz w:val="16"/>
          <w:szCs w:val="16"/>
        </w:rPr>
        <w:t>Procedimiento para la contratación de mínima cuantía. </w:t>
      </w:r>
      <w:r w:rsidRPr="0027107E">
        <w:rPr>
          <w:rFonts w:ascii="Verdana" w:hAnsi="Verdana" w:cs="Arial"/>
          <w:color w:val="000000"/>
          <w:sz w:val="16"/>
          <w:szCs w:val="16"/>
        </w:rPr>
        <w:t>Las siguientes reglas son aplicables a la contratación cuyo valor no excede del 10% de la menor cuantía de la Entidad Estatal, independientemente de su objeto: </w:t>
      </w:r>
    </w:p>
    <w:p w14:paraId="06668BE0" w14:textId="77777777" w:rsidR="00605E1B" w:rsidRPr="0027107E" w:rsidRDefault="00605E1B" w:rsidP="0027107E">
      <w:pPr>
        <w:pStyle w:val="NormalWeb"/>
        <w:spacing w:before="0" w:beforeAutospacing="0" w:after="0" w:afterAutospacing="0"/>
        <w:jc w:val="both"/>
        <w:rPr>
          <w:rFonts w:ascii="Verdana" w:hAnsi="Verdana" w:cs="Arial"/>
          <w:color w:val="000000"/>
          <w:sz w:val="16"/>
          <w:szCs w:val="16"/>
        </w:rPr>
      </w:pPr>
      <w:r w:rsidRPr="0027107E">
        <w:rPr>
          <w:rFonts w:ascii="Verdana" w:hAnsi="Verdana" w:cs="Arial"/>
          <w:color w:val="000000"/>
          <w:sz w:val="16"/>
          <w:szCs w:val="16"/>
        </w:rPr>
        <w:t>  </w:t>
      </w:r>
      <w:r w:rsidRPr="0027107E">
        <w:rPr>
          <w:rFonts w:ascii="Verdana" w:hAnsi="Verdana" w:cs="Arial"/>
          <w:color w:val="000000"/>
          <w:sz w:val="16"/>
          <w:szCs w:val="16"/>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14:paraId="2710BF48" w14:textId="77777777" w:rsidR="00605E1B" w:rsidRPr="0027107E" w:rsidRDefault="00605E1B" w:rsidP="0027107E">
      <w:pPr>
        <w:pStyle w:val="Textonotapie"/>
        <w:ind w:firstLine="709"/>
        <w:jc w:val="both"/>
        <w:rPr>
          <w:rFonts w:ascii="Verdana" w:hAnsi="Verdana" w:cs="Arial"/>
          <w:color w:val="000000"/>
          <w:sz w:val="16"/>
          <w:szCs w:val="16"/>
          <w:lang w:val="es-CO"/>
        </w:rPr>
      </w:pPr>
      <w:r w:rsidRPr="0027107E">
        <w:rPr>
          <w:rFonts w:ascii="Verdana" w:hAnsi="Verdana" w:cs="Arial"/>
          <w:color w:val="000000"/>
          <w:sz w:val="16"/>
          <w:szCs w:val="16"/>
        </w:rPr>
        <w:t xml:space="preserve"> </w:t>
      </w:r>
    </w:p>
  </w:footnote>
  <w:footnote w:id="10">
    <w:p w14:paraId="4886FBC1" w14:textId="77777777" w:rsidR="00605E1B" w:rsidRPr="0027107E" w:rsidRDefault="00605E1B" w:rsidP="0027107E">
      <w:pPr>
        <w:pStyle w:val="NormalWeb"/>
        <w:spacing w:before="0" w:beforeAutospacing="0" w:after="0" w:afterAutospacing="0"/>
        <w:ind w:firstLine="720"/>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Ley 80 de 1993 “</w:t>
      </w:r>
      <w:r w:rsidRPr="0027107E">
        <w:rPr>
          <w:rStyle w:val="Textoennegrita"/>
          <w:rFonts w:ascii="Verdana" w:hAnsi="Verdana" w:cs="Arial"/>
          <w:b w:val="0"/>
          <w:bCs w:val="0"/>
          <w:color w:val="000000"/>
          <w:sz w:val="16"/>
          <w:szCs w:val="16"/>
        </w:rPr>
        <w:t>Articulo 39. De la forma del contrato estatal. </w:t>
      </w:r>
      <w:r w:rsidRPr="0027107E">
        <w:rPr>
          <w:rFonts w:ascii="Verdana" w:hAnsi="Verdana" w:cs="Arial"/>
          <w:color w:val="000000"/>
          <w:sz w:val="16"/>
          <w:szCs w:val="16"/>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7D7509B4" w14:textId="77777777" w:rsidR="00605E1B" w:rsidRPr="0027107E" w:rsidRDefault="00605E1B" w:rsidP="0027107E">
      <w:pPr>
        <w:pStyle w:val="NormalWeb"/>
        <w:spacing w:before="0" w:beforeAutospacing="0" w:after="0" w:afterAutospacing="0"/>
        <w:jc w:val="both"/>
        <w:rPr>
          <w:rFonts w:ascii="Verdana" w:hAnsi="Verdana" w:cs="Arial"/>
          <w:color w:val="000000"/>
          <w:sz w:val="16"/>
          <w:szCs w:val="16"/>
        </w:rPr>
      </w:pPr>
      <w:r w:rsidRPr="0027107E">
        <w:rPr>
          <w:rFonts w:ascii="Verdana" w:hAnsi="Verdana" w:cs="Arial"/>
          <w:color w:val="000000"/>
          <w:sz w:val="16"/>
          <w:szCs w:val="16"/>
        </w:rPr>
        <w:t>  </w:t>
      </w:r>
      <w:r w:rsidRPr="0027107E">
        <w:rPr>
          <w:rFonts w:ascii="Verdana" w:hAnsi="Verdana" w:cs="Arial"/>
          <w:color w:val="000000"/>
          <w:sz w:val="16"/>
          <w:szCs w:val="16"/>
        </w:rPr>
        <w:tab/>
        <w:t>[…]</w:t>
      </w:r>
      <w:bookmarkStart w:id="2" w:name="ver_1790147"/>
      <w:bookmarkStart w:id="3" w:name="ver_30220791"/>
      <w:bookmarkStart w:id="4" w:name="ver_1790148"/>
      <w:bookmarkEnd w:id="2"/>
      <w:bookmarkEnd w:id="3"/>
    </w:p>
    <w:p w14:paraId="0E02427E" w14:textId="77777777" w:rsidR="00605E1B" w:rsidRPr="0027107E" w:rsidRDefault="00605E1B" w:rsidP="0027107E">
      <w:pPr>
        <w:pStyle w:val="NormalWeb"/>
        <w:spacing w:before="0" w:beforeAutospacing="0" w:after="0" w:afterAutospacing="0"/>
        <w:ind w:firstLine="720"/>
        <w:jc w:val="both"/>
        <w:rPr>
          <w:rFonts w:ascii="Verdana" w:hAnsi="Verdana" w:cs="Arial"/>
          <w:color w:val="000000"/>
          <w:sz w:val="16"/>
          <w:szCs w:val="16"/>
        </w:rPr>
      </w:pPr>
      <w:r w:rsidRPr="0027107E">
        <w:rPr>
          <w:rStyle w:val="Textoennegrita"/>
          <w:rFonts w:ascii="Verdana" w:hAnsi="Verdana" w:cs="Arial"/>
          <w:b w:val="0"/>
          <w:bCs w:val="0"/>
          <w:color w:val="000000"/>
          <w:sz w:val="16"/>
          <w:szCs w:val="16"/>
        </w:rPr>
        <w:t>Artículo 40. Del contenido del contrato estatal.</w:t>
      </w:r>
      <w:r w:rsidRPr="0027107E">
        <w:rPr>
          <w:rFonts w:ascii="Verdana" w:hAnsi="Verdana" w:cs="Arial"/>
          <w:color w:val="000000"/>
          <w:sz w:val="16"/>
          <w:szCs w:val="16"/>
        </w:rPr>
        <w:t> Las estipulaciones de los contratos serán las que de acuerdo con las normas civiles, comerciales y las previstas en esta ley, correspondan a su esencia y naturaleza. </w:t>
      </w:r>
    </w:p>
    <w:p w14:paraId="07BD983F" w14:textId="77777777" w:rsidR="00605E1B" w:rsidRPr="0027107E" w:rsidRDefault="00605E1B" w:rsidP="0027107E">
      <w:pPr>
        <w:pStyle w:val="NormalWeb"/>
        <w:spacing w:before="0" w:beforeAutospacing="0" w:after="0" w:afterAutospacing="0"/>
        <w:ind w:firstLine="720"/>
        <w:jc w:val="both"/>
        <w:rPr>
          <w:rFonts w:ascii="Verdana" w:hAnsi="Verdana" w:cs="Arial"/>
          <w:color w:val="000000"/>
          <w:sz w:val="16"/>
          <w:szCs w:val="16"/>
        </w:rPr>
      </w:pPr>
      <w:r w:rsidRPr="0027107E">
        <w:rPr>
          <w:rFonts w:ascii="Verdana" w:hAnsi="Verdana" w:cs="Arial"/>
          <w:color w:val="000000"/>
          <w:sz w:val="16"/>
          <w:szCs w:val="16"/>
        </w:rPr>
        <w:t>Las entidades podrán celebrar los contratos y acuerdos que permitan la autonomía de la voluntad y requieran el cumplimiento de los fines estatales. </w:t>
      </w:r>
    </w:p>
    <w:p w14:paraId="0F864C68" w14:textId="77777777" w:rsidR="00605E1B" w:rsidRPr="0027107E" w:rsidRDefault="00605E1B" w:rsidP="0027107E">
      <w:pPr>
        <w:pStyle w:val="NormalWeb"/>
        <w:spacing w:before="0" w:beforeAutospacing="0" w:after="0" w:afterAutospacing="0"/>
        <w:jc w:val="both"/>
        <w:rPr>
          <w:rFonts w:ascii="Verdana" w:hAnsi="Verdana" w:cs="Arial"/>
          <w:color w:val="000000"/>
          <w:sz w:val="16"/>
          <w:szCs w:val="16"/>
        </w:rPr>
      </w:pPr>
      <w:r w:rsidRPr="0027107E">
        <w:rPr>
          <w:rFonts w:ascii="Verdana" w:hAnsi="Verdana" w:cs="Arial"/>
          <w:color w:val="000000"/>
          <w:sz w:val="16"/>
          <w:szCs w:val="16"/>
        </w:rPr>
        <w:t>  </w:t>
      </w:r>
      <w:r w:rsidRPr="0027107E">
        <w:rPr>
          <w:rFonts w:ascii="Verdana" w:hAnsi="Verdana" w:cs="Arial"/>
          <w:color w:val="000000"/>
          <w:sz w:val="16"/>
          <w:szCs w:val="16"/>
        </w:rPr>
        <w:tab/>
        <w:t>[…]  </w:t>
      </w:r>
    </w:p>
    <w:p w14:paraId="2E2DE901" w14:textId="77777777" w:rsidR="00605E1B" w:rsidRPr="0027107E" w:rsidRDefault="00605E1B" w:rsidP="0027107E">
      <w:pPr>
        <w:pStyle w:val="NormalWeb"/>
        <w:spacing w:before="0" w:beforeAutospacing="0" w:after="0" w:afterAutospacing="0"/>
        <w:ind w:firstLine="720"/>
        <w:jc w:val="both"/>
        <w:rPr>
          <w:rFonts w:ascii="Verdana" w:hAnsi="Verdana" w:cs="Arial"/>
          <w:color w:val="000000"/>
          <w:sz w:val="16"/>
          <w:szCs w:val="16"/>
        </w:rPr>
      </w:pPr>
      <w:bookmarkStart w:id="5" w:name="ver_30161420"/>
      <w:bookmarkStart w:id="6" w:name="ver_1790149"/>
      <w:bookmarkStart w:id="7" w:name="ver_30161408"/>
      <w:bookmarkStart w:id="8" w:name="ver_30161443"/>
      <w:bookmarkEnd w:id="4"/>
      <w:bookmarkEnd w:id="5"/>
      <w:bookmarkEnd w:id="6"/>
      <w:bookmarkEnd w:id="7"/>
      <w:bookmarkEnd w:id="8"/>
      <w:r w:rsidRPr="0027107E">
        <w:rPr>
          <w:rStyle w:val="Textoennegrita"/>
          <w:rFonts w:ascii="Verdana" w:hAnsi="Verdana" w:cs="Arial"/>
          <w:b w:val="0"/>
          <w:bCs w:val="0"/>
          <w:color w:val="000000"/>
          <w:sz w:val="16"/>
          <w:szCs w:val="16"/>
        </w:rPr>
        <w:t>Artículo 41. Del perfeccionamiento del contrato.</w:t>
      </w:r>
      <w:r w:rsidRPr="0027107E">
        <w:rPr>
          <w:rFonts w:ascii="Verdana" w:hAnsi="Verdana" w:cs="Arial"/>
          <w:color w:val="000000"/>
          <w:sz w:val="16"/>
          <w:szCs w:val="16"/>
        </w:rPr>
        <w:t> Los contratos del Estado se perfeccionan cuando se logre acuerdo sobre el objeto y la contraprestación y éste se eleve a escrito […]”.</w:t>
      </w:r>
    </w:p>
  </w:footnote>
  <w:footnote w:id="11">
    <w:p w14:paraId="3250A02F" w14:textId="77777777" w:rsidR="00605E1B" w:rsidRPr="0027107E" w:rsidRDefault="00605E1B" w:rsidP="0027107E">
      <w:pPr>
        <w:pStyle w:val="Textonotapie"/>
        <w:ind w:firstLine="709"/>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Ley 80 de 1993 “</w:t>
      </w:r>
      <w:r w:rsidRPr="0027107E">
        <w:rPr>
          <w:rStyle w:val="Textoennegrita"/>
          <w:rFonts w:ascii="Verdana" w:hAnsi="Verdana" w:cs="Arial"/>
          <w:b w:val="0"/>
          <w:bCs w:val="0"/>
          <w:color w:val="000000"/>
          <w:sz w:val="16"/>
          <w:szCs w:val="16"/>
        </w:rPr>
        <w:t>Artículo 77. De la normatividad aplicable en las actuaciones administrativas.</w:t>
      </w:r>
      <w:r w:rsidRPr="0027107E">
        <w:rPr>
          <w:rFonts w:ascii="Verdana" w:hAnsi="Verdana" w:cs="Arial"/>
          <w:color w:val="000000"/>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12">
    <w:p w14:paraId="5A1DF63A" w14:textId="77777777" w:rsidR="00605E1B" w:rsidRPr="0027107E" w:rsidRDefault="00605E1B" w:rsidP="0027107E">
      <w:pPr>
        <w:pStyle w:val="NormalWeb"/>
        <w:spacing w:before="0" w:beforeAutospacing="0" w:after="0" w:afterAutospacing="0"/>
        <w:ind w:firstLine="709"/>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Ley 80 de 1993 “</w:t>
      </w:r>
      <w:r w:rsidRPr="0027107E">
        <w:rPr>
          <w:rStyle w:val="Textoennegrita"/>
          <w:rFonts w:ascii="Verdana" w:hAnsi="Verdana" w:cs="Arial"/>
          <w:b w:val="0"/>
          <w:bCs w:val="0"/>
          <w:color w:val="000000"/>
          <w:sz w:val="16"/>
          <w:szCs w:val="16"/>
        </w:rPr>
        <w:t>Artículo 25. Del principio de economía.</w:t>
      </w:r>
      <w:r w:rsidRPr="0027107E">
        <w:rPr>
          <w:rFonts w:ascii="Verdana" w:hAnsi="Verdana" w:cs="Arial"/>
          <w:color w:val="000000"/>
          <w:sz w:val="16"/>
          <w:szCs w:val="16"/>
        </w:rPr>
        <w:t> En virtud de este principio: </w:t>
      </w:r>
    </w:p>
    <w:p w14:paraId="4A7BF007" w14:textId="77777777" w:rsidR="00605E1B" w:rsidRPr="0027107E" w:rsidRDefault="00605E1B" w:rsidP="0027107E">
      <w:pPr>
        <w:pStyle w:val="NormalWeb"/>
        <w:spacing w:before="0" w:beforeAutospacing="0" w:after="0" w:afterAutospacing="0"/>
        <w:ind w:firstLine="709"/>
        <w:jc w:val="both"/>
        <w:rPr>
          <w:rFonts w:ascii="Verdana" w:hAnsi="Verdana" w:cs="Arial"/>
          <w:color w:val="000000"/>
          <w:sz w:val="16"/>
          <w:szCs w:val="16"/>
        </w:rPr>
      </w:pPr>
      <w:r w:rsidRPr="0027107E">
        <w:rPr>
          <w:rFonts w:ascii="Verdana" w:hAnsi="Verdana" w:cs="Arial"/>
          <w:color w:val="000000"/>
          <w:sz w:val="16"/>
          <w:szCs w:val="16"/>
        </w:rPr>
        <w:t>[…]</w:t>
      </w:r>
    </w:p>
    <w:p w14:paraId="0FB41809" w14:textId="77777777" w:rsidR="00605E1B" w:rsidRPr="0027107E" w:rsidRDefault="00605E1B" w:rsidP="0027107E">
      <w:pPr>
        <w:pStyle w:val="NormalWeb"/>
        <w:spacing w:before="0" w:beforeAutospacing="0" w:after="0" w:afterAutospacing="0"/>
        <w:ind w:firstLine="709"/>
        <w:jc w:val="both"/>
        <w:rPr>
          <w:rFonts w:ascii="Verdana" w:hAnsi="Verdana" w:cs="Arial"/>
          <w:color w:val="000000"/>
          <w:sz w:val="16"/>
          <w:szCs w:val="16"/>
        </w:rPr>
      </w:pPr>
      <w:r w:rsidRPr="0027107E">
        <w:rPr>
          <w:rFonts w:ascii="Verdana" w:hAnsi="Verdana" w:cs="Arial"/>
          <w:color w:val="000000"/>
          <w:sz w:val="16"/>
          <w:szCs w:val="16"/>
        </w:rPr>
        <w:t>4o. Los trámites se adelantarán con austeridad de tiempo, medios y gastos y se impedirán las dilaciones y los retardos en la ejecución del contrato. </w:t>
      </w:r>
    </w:p>
    <w:p w14:paraId="0B0ABC6F" w14:textId="77777777" w:rsidR="00605E1B" w:rsidRPr="0027107E" w:rsidRDefault="00605E1B" w:rsidP="0027107E">
      <w:pPr>
        <w:pStyle w:val="NormalWeb"/>
        <w:spacing w:before="0" w:beforeAutospacing="0" w:after="0" w:afterAutospacing="0"/>
        <w:jc w:val="both"/>
        <w:rPr>
          <w:rFonts w:ascii="Verdana" w:hAnsi="Verdana" w:cs="Arial"/>
          <w:color w:val="000000"/>
          <w:sz w:val="16"/>
          <w:szCs w:val="16"/>
        </w:rPr>
      </w:pPr>
      <w:r w:rsidRPr="0027107E">
        <w:rPr>
          <w:rFonts w:ascii="Verdana" w:hAnsi="Verdana" w:cs="Arial"/>
          <w:color w:val="000000"/>
          <w:sz w:val="16"/>
          <w:szCs w:val="16"/>
        </w:rPr>
        <w:t>  </w:t>
      </w:r>
      <w:r w:rsidRPr="0027107E">
        <w:rPr>
          <w:rFonts w:ascii="Verdana" w:hAnsi="Verdana" w:cs="Arial"/>
          <w:color w:val="000000"/>
          <w:sz w:val="16"/>
          <w:szCs w:val="16"/>
        </w:rPr>
        <w:tab/>
        <w:t>5o. Se adoptarán procedimientos que garanticen la pronta solución de las diferencias y controversias que con motivo de la celebración y ejecución del contrato se presenten […]”.</w:t>
      </w:r>
    </w:p>
  </w:footnote>
  <w:footnote w:id="13">
    <w:p w14:paraId="35EB936A" w14:textId="77777777" w:rsidR="00605E1B" w:rsidRPr="0027107E" w:rsidRDefault="00605E1B" w:rsidP="0027107E">
      <w:pPr>
        <w:pStyle w:val="Textonotapie"/>
        <w:ind w:firstLine="708"/>
        <w:jc w:val="both"/>
        <w:rPr>
          <w:rFonts w:ascii="Verdana" w:hAnsi="Verdana" w:cs="Arial"/>
          <w:color w:val="000000"/>
          <w:sz w:val="16"/>
          <w:szCs w:val="16"/>
          <w:lang w:val="es-ES"/>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COLOMBIA COMPRA EFICIENTE. Guía para la Liquidación de los Procesos de Contratación. página 5, disponible en: </w:t>
      </w:r>
      <w:hyperlink r:id="rId1" w:history="1">
        <w:r w:rsidRPr="0027107E">
          <w:rPr>
            <w:rStyle w:val="Hipervnculo"/>
            <w:rFonts w:ascii="Verdana" w:hAnsi="Verdana" w:cs="Arial"/>
            <w:sz w:val="16"/>
            <w:szCs w:val="16"/>
          </w:rPr>
          <w:t xml:space="preserve">https://www.colombiacompra.gov.co/sites/cce_public/files/cce_documents/cce_guia_liquidacion_procesos.pdf  </w:t>
        </w:r>
      </w:hyperlink>
    </w:p>
  </w:footnote>
  <w:footnote w:id="14">
    <w:p w14:paraId="29831FFA" w14:textId="77777777" w:rsidR="00605E1B" w:rsidRPr="0027107E" w:rsidRDefault="00605E1B" w:rsidP="0027107E">
      <w:pPr>
        <w:pStyle w:val="Textonotapie"/>
        <w:ind w:firstLine="708"/>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5">
    <w:p w14:paraId="266E84D3" w14:textId="77777777" w:rsidR="00605E1B" w:rsidRPr="0027107E" w:rsidRDefault="00605E1B" w:rsidP="0027107E">
      <w:pPr>
        <w:pStyle w:val="Textonotapie"/>
        <w:ind w:firstLine="708"/>
        <w:jc w:val="both"/>
        <w:rPr>
          <w:rFonts w:ascii="Verdana" w:hAnsi="Verdana" w:cs="Arial"/>
          <w:color w:val="000000"/>
          <w:sz w:val="16"/>
          <w:szCs w:val="16"/>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CONSEJO DE ESTADO. Sala de Consulta y Servicio Civil. Concepto de 28 de Junio de 2016. Radicación: 2253. C.P. Álvaro Namén Vargas. </w:t>
      </w:r>
    </w:p>
  </w:footnote>
  <w:footnote w:id="16">
    <w:p w14:paraId="78EA65AB" w14:textId="77777777" w:rsidR="00605E1B" w:rsidRPr="0027107E" w:rsidRDefault="00605E1B" w:rsidP="0027107E">
      <w:pPr>
        <w:pStyle w:val="Textonotapie"/>
        <w:ind w:firstLine="708"/>
        <w:jc w:val="both"/>
        <w:rPr>
          <w:rFonts w:ascii="Verdana" w:hAnsi="Verdana"/>
          <w:color w:val="000000"/>
          <w:sz w:val="16"/>
          <w:szCs w:val="16"/>
          <w:lang w:val="es-ES"/>
        </w:rPr>
      </w:pPr>
      <w:r w:rsidRPr="0027107E">
        <w:rPr>
          <w:rStyle w:val="Refdenotaalpie"/>
          <w:rFonts w:ascii="Verdana" w:hAnsi="Verdana" w:cs="Arial"/>
          <w:color w:val="000000"/>
          <w:sz w:val="16"/>
          <w:szCs w:val="16"/>
        </w:rPr>
        <w:footnoteRef/>
      </w:r>
      <w:r w:rsidRPr="0027107E">
        <w:rPr>
          <w:rFonts w:ascii="Verdana" w:hAnsi="Verdana" w:cs="Arial"/>
          <w:color w:val="000000"/>
          <w:sz w:val="16"/>
          <w:szCs w:val="16"/>
        </w:rPr>
        <w:t xml:space="preserve"> CONSEJO DE ESTADO. Sección Tercera. </w:t>
      </w:r>
      <w:r w:rsidRPr="0027107E">
        <w:rPr>
          <w:rFonts w:ascii="Verdana" w:hAnsi="Verdana" w:cs="Arial"/>
          <w:color w:val="000000"/>
          <w:sz w:val="16"/>
          <w:szCs w:val="16"/>
          <w:lang w:val="es-CO"/>
        </w:rPr>
        <w:t xml:space="preserve">Sala Plena. Auto del 1 de agosto de 2019. </w:t>
      </w:r>
      <w:r w:rsidRPr="0027107E">
        <w:rPr>
          <w:rFonts w:ascii="Verdana" w:hAnsi="Verdana" w:cs="Arial"/>
          <w:color w:val="000000"/>
          <w:sz w:val="16"/>
          <w:szCs w:val="16"/>
        </w:rPr>
        <w:t xml:space="preserve">Exp. 62009. C.P. Jaime Enrique Rodríguez Navas. </w:t>
      </w:r>
      <w:r w:rsidRPr="0027107E">
        <w:rPr>
          <w:rFonts w:ascii="Verdana" w:hAnsi="Verdana"/>
          <w:color w:val="000000"/>
          <w:sz w:val="16"/>
          <w:szCs w:val="16"/>
          <w:lang w:val="es-ES"/>
        </w:rPr>
        <w:t xml:space="preserve"> </w:t>
      </w:r>
    </w:p>
  </w:footnote>
  <w:footnote w:id="17">
    <w:p w14:paraId="534B5B37" w14:textId="77777777" w:rsidR="00605E1B" w:rsidRPr="0027107E" w:rsidRDefault="00605E1B" w:rsidP="0027107E">
      <w:pPr>
        <w:pStyle w:val="Textonotapie"/>
        <w:ind w:firstLine="708"/>
        <w:jc w:val="both"/>
        <w:rPr>
          <w:rFonts w:ascii="Verdana" w:hAnsi="Verdana"/>
          <w:sz w:val="16"/>
          <w:szCs w:val="16"/>
        </w:rPr>
      </w:pPr>
      <w:r w:rsidRPr="0027107E">
        <w:rPr>
          <w:rStyle w:val="Refdenotaalpie"/>
          <w:rFonts w:ascii="Verdana" w:hAnsi="Verdana"/>
          <w:sz w:val="16"/>
          <w:szCs w:val="16"/>
        </w:rPr>
        <w:footnoteRef/>
      </w:r>
      <w:r w:rsidRPr="0027107E">
        <w:rPr>
          <w:rFonts w:ascii="Verdana" w:hAnsi="Verdana"/>
          <w:sz w:val="16"/>
          <w:szCs w:val="16"/>
        </w:rPr>
        <w:t xml:space="preserve"> Conforme al literal j) del artículo 164.2 de la Ley 1437 de 2011, “En las relativas a contratos el término para demandar será de dos (2) años que se contarán a partir del día siguiente a la ocurrencia de los motivos de hecho o de derecho que les sirvan de fundamento.</w:t>
      </w:r>
    </w:p>
    <w:p w14:paraId="0CF71DD5" w14:textId="77777777" w:rsidR="00605E1B" w:rsidRPr="0027107E" w:rsidRDefault="00605E1B" w:rsidP="0027107E">
      <w:pPr>
        <w:pStyle w:val="Textonotapie"/>
        <w:ind w:firstLine="708"/>
        <w:jc w:val="both"/>
        <w:rPr>
          <w:rFonts w:ascii="Verdana" w:hAnsi="Verdana"/>
          <w:sz w:val="16"/>
          <w:szCs w:val="16"/>
        </w:rPr>
      </w:pPr>
      <w:r w:rsidRPr="0027107E">
        <w:rPr>
          <w:rFonts w:ascii="Verdana" w:hAnsi="Verdana"/>
          <w:sz w:val="16"/>
          <w:szCs w:val="16"/>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7F40277A" w14:textId="77777777" w:rsidR="00605E1B" w:rsidRPr="0027107E" w:rsidRDefault="00605E1B" w:rsidP="0027107E">
      <w:pPr>
        <w:pStyle w:val="Textonotapie"/>
        <w:ind w:firstLine="708"/>
        <w:jc w:val="both"/>
        <w:rPr>
          <w:rFonts w:ascii="Verdana" w:hAnsi="Verdana"/>
          <w:sz w:val="16"/>
          <w:szCs w:val="16"/>
        </w:rPr>
      </w:pPr>
      <w:r w:rsidRPr="0027107E">
        <w:rPr>
          <w:rFonts w:ascii="Verdana" w:hAnsi="Verdana"/>
          <w:sz w:val="16"/>
          <w:szCs w:val="16"/>
        </w:rPr>
        <w:t>En los siguientes contratos, el término de dos (2) años se contará así:</w:t>
      </w:r>
    </w:p>
    <w:p w14:paraId="5B376EE0" w14:textId="77777777" w:rsidR="00605E1B" w:rsidRPr="0027107E" w:rsidRDefault="00605E1B" w:rsidP="0027107E">
      <w:pPr>
        <w:pStyle w:val="Textonotapie"/>
        <w:ind w:firstLine="708"/>
        <w:jc w:val="both"/>
        <w:rPr>
          <w:rFonts w:ascii="Verdana" w:hAnsi="Verdana"/>
          <w:sz w:val="16"/>
          <w:szCs w:val="16"/>
        </w:rPr>
      </w:pPr>
      <w:r w:rsidRPr="0027107E">
        <w:rPr>
          <w:rFonts w:ascii="Verdana" w:hAnsi="Verdana"/>
          <w:sz w:val="16"/>
          <w:szCs w:val="16"/>
        </w:rPr>
        <w:t>i) En los de ejecución instantánea desde el día siguiente a cuando se cumplió o debió cumplirse el objeto del contrato;</w:t>
      </w:r>
    </w:p>
    <w:p w14:paraId="78A57571" w14:textId="77777777" w:rsidR="00605E1B" w:rsidRPr="0027107E" w:rsidRDefault="00605E1B" w:rsidP="0027107E">
      <w:pPr>
        <w:pStyle w:val="Textonotapie"/>
        <w:ind w:firstLine="708"/>
        <w:jc w:val="both"/>
        <w:rPr>
          <w:rFonts w:ascii="Verdana" w:hAnsi="Verdana"/>
          <w:sz w:val="16"/>
          <w:szCs w:val="16"/>
        </w:rPr>
      </w:pPr>
      <w:r w:rsidRPr="0027107E">
        <w:rPr>
          <w:rFonts w:ascii="Verdana" w:hAnsi="Verdana"/>
          <w:sz w:val="16"/>
          <w:szCs w:val="16"/>
        </w:rPr>
        <w:t>ii) En los que no requieran de liquidación, desde el día siguiente al de la terminación del contrato por cualquier causa;</w:t>
      </w:r>
    </w:p>
    <w:p w14:paraId="7E9769BB" w14:textId="77777777" w:rsidR="00605E1B" w:rsidRPr="0027107E" w:rsidRDefault="00605E1B" w:rsidP="0027107E">
      <w:pPr>
        <w:pStyle w:val="Textonotapie"/>
        <w:ind w:firstLine="708"/>
        <w:jc w:val="both"/>
        <w:rPr>
          <w:rFonts w:ascii="Verdana" w:hAnsi="Verdana"/>
          <w:sz w:val="16"/>
          <w:szCs w:val="16"/>
        </w:rPr>
      </w:pPr>
      <w:r w:rsidRPr="0027107E">
        <w:rPr>
          <w:rFonts w:ascii="Verdana" w:hAnsi="Verdana"/>
          <w:sz w:val="16"/>
          <w:szCs w:val="16"/>
        </w:rPr>
        <w:t>iii) En los que requieran de liquidación y esta sea efectuada de común acuerdo por las partes, desde el día siguiente al de la firma del acta;</w:t>
      </w:r>
    </w:p>
    <w:p w14:paraId="11C02A8A" w14:textId="77777777" w:rsidR="00605E1B" w:rsidRPr="0027107E" w:rsidRDefault="00605E1B" w:rsidP="0027107E">
      <w:pPr>
        <w:pStyle w:val="Textonotapie"/>
        <w:ind w:firstLine="708"/>
        <w:jc w:val="both"/>
        <w:rPr>
          <w:rFonts w:ascii="Verdana" w:hAnsi="Verdana"/>
          <w:sz w:val="16"/>
          <w:szCs w:val="16"/>
        </w:rPr>
      </w:pPr>
      <w:r w:rsidRPr="0027107E">
        <w:rPr>
          <w:rFonts w:ascii="Verdana" w:hAnsi="Verdana"/>
          <w:sz w:val="16"/>
          <w:szCs w:val="16"/>
        </w:rPr>
        <w:t>iv) En los que requieran de liquidación y esta sea efectuada unilateralmente por la administración, desde el día siguiente al de la ejecutoria del acto administrativo que la apruebe;</w:t>
      </w:r>
    </w:p>
    <w:p w14:paraId="142CB080" w14:textId="77777777" w:rsidR="00605E1B" w:rsidRPr="0027107E" w:rsidRDefault="00605E1B" w:rsidP="0027107E">
      <w:pPr>
        <w:pStyle w:val="Textonotapie"/>
        <w:ind w:firstLine="708"/>
        <w:jc w:val="both"/>
        <w:rPr>
          <w:rFonts w:ascii="Verdana" w:hAnsi="Verdana"/>
          <w:sz w:val="16"/>
          <w:szCs w:val="16"/>
          <w:lang w:val="es-CO"/>
        </w:rPr>
      </w:pPr>
      <w:r w:rsidRPr="0027107E">
        <w:rPr>
          <w:rFonts w:ascii="Verdana" w:hAnsi="Verdana"/>
          <w:sz w:val="16"/>
          <w:szCs w:val="16"/>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footnote>
  <w:footnote w:id="18">
    <w:p w14:paraId="117BD31A" w14:textId="77777777" w:rsidR="00605E1B" w:rsidRPr="0027107E" w:rsidRDefault="00605E1B" w:rsidP="0027107E">
      <w:pPr>
        <w:pStyle w:val="Textonotapie"/>
        <w:ind w:firstLine="708"/>
        <w:jc w:val="both"/>
        <w:rPr>
          <w:rFonts w:ascii="Verdana" w:hAnsi="Verdana"/>
          <w:sz w:val="16"/>
          <w:szCs w:val="16"/>
          <w:lang w:val="es-CO"/>
        </w:rPr>
      </w:pPr>
      <w:r w:rsidRPr="0027107E">
        <w:rPr>
          <w:rStyle w:val="Refdenotaalpie"/>
          <w:rFonts w:ascii="Verdana" w:hAnsi="Verdana"/>
          <w:sz w:val="16"/>
          <w:szCs w:val="16"/>
        </w:rPr>
        <w:footnoteRef/>
      </w:r>
      <w:r w:rsidRPr="0027107E">
        <w:rPr>
          <w:rFonts w:ascii="Verdana" w:hAnsi="Verdana"/>
          <w:sz w:val="16"/>
          <w:szCs w:val="16"/>
        </w:rPr>
        <w:t xml:space="preserve"> DÍAZ DÍEZ, Cristian Andrés. La liquidación. Serie: Las Cláusulas del Contrato Estatal. Medellín: Librería Jurídica Sánchez y Centro de Estudios de Derecho Administrativo –CEDA–, 2013. pp. 107-108.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2547"/>
    <w:rsid w:val="00046945"/>
    <w:rsid w:val="00054165"/>
    <w:rsid w:val="00061B2A"/>
    <w:rsid w:val="00082362"/>
    <w:rsid w:val="000929C4"/>
    <w:rsid w:val="000A683E"/>
    <w:rsid w:val="000B19B9"/>
    <w:rsid w:val="000B54B9"/>
    <w:rsid w:val="000D0334"/>
    <w:rsid w:val="000F6486"/>
    <w:rsid w:val="00125105"/>
    <w:rsid w:val="00127233"/>
    <w:rsid w:val="00146CF4"/>
    <w:rsid w:val="00147EDE"/>
    <w:rsid w:val="001511A0"/>
    <w:rsid w:val="001C148A"/>
    <w:rsid w:val="001E4177"/>
    <w:rsid w:val="001F7DC6"/>
    <w:rsid w:val="002421BB"/>
    <w:rsid w:val="0025796E"/>
    <w:rsid w:val="002707A2"/>
    <w:rsid w:val="0027107E"/>
    <w:rsid w:val="002951A0"/>
    <w:rsid w:val="002962BC"/>
    <w:rsid w:val="002A093D"/>
    <w:rsid w:val="002A0DD0"/>
    <w:rsid w:val="002A49AC"/>
    <w:rsid w:val="002A64FD"/>
    <w:rsid w:val="002C7A84"/>
    <w:rsid w:val="002E4FD9"/>
    <w:rsid w:val="00322A85"/>
    <w:rsid w:val="00324168"/>
    <w:rsid w:val="003276FF"/>
    <w:rsid w:val="003448F4"/>
    <w:rsid w:val="00374F5E"/>
    <w:rsid w:val="00377E3E"/>
    <w:rsid w:val="00397796"/>
    <w:rsid w:val="003A1F10"/>
    <w:rsid w:val="003A779E"/>
    <w:rsid w:val="003D0F4D"/>
    <w:rsid w:val="003D5B0D"/>
    <w:rsid w:val="003E0499"/>
    <w:rsid w:val="003F3941"/>
    <w:rsid w:val="00406575"/>
    <w:rsid w:val="00414C74"/>
    <w:rsid w:val="0042722E"/>
    <w:rsid w:val="0044528D"/>
    <w:rsid w:val="004A1847"/>
    <w:rsid w:val="004A305D"/>
    <w:rsid w:val="004C4C55"/>
    <w:rsid w:val="004F21C4"/>
    <w:rsid w:val="004F685F"/>
    <w:rsid w:val="005308BC"/>
    <w:rsid w:val="00543664"/>
    <w:rsid w:val="005566E8"/>
    <w:rsid w:val="00567996"/>
    <w:rsid w:val="00574867"/>
    <w:rsid w:val="00591460"/>
    <w:rsid w:val="005B3816"/>
    <w:rsid w:val="005C3777"/>
    <w:rsid w:val="005C5CDC"/>
    <w:rsid w:val="005D476C"/>
    <w:rsid w:val="00605E1B"/>
    <w:rsid w:val="006219F8"/>
    <w:rsid w:val="00665D70"/>
    <w:rsid w:val="006900D9"/>
    <w:rsid w:val="006B0C01"/>
    <w:rsid w:val="00706C16"/>
    <w:rsid w:val="00756841"/>
    <w:rsid w:val="007649AB"/>
    <w:rsid w:val="00771D0C"/>
    <w:rsid w:val="007833AC"/>
    <w:rsid w:val="007A50A7"/>
    <w:rsid w:val="007B268C"/>
    <w:rsid w:val="007B7171"/>
    <w:rsid w:val="007C0C0F"/>
    <w:rsid w:val="007C3DC2"/>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6F4D"/>
    <w:rsid w:val="009C71FA"/>
    <w:rsid w:val="009C72E7"/>
    <w:rsid w:val="009D3058"/>
    <w:rsid w:val="009F3A13"/>
    <w:rsid w:val="00A122D3"/>
    <w:rsid w:val="00A17F13"/>
    <w:rsid w:val="00A20739"/>
    <w:rsid w:val="00A33C78"/>
    <w:rsid w:val="00A83832"/>
    <w:rsid w:val="00A84DED"/>
    <w:rsid w:val="00AB0ADB"/>
    <w:rsid w:val="00B01B1A"/>
    <w:rsid w:val="00B66319"/>
    <w:rsid w:val="00B72CD3"/>
    <w:rsid w:val="00B72FFF"/>
    <w:rsid w:val="00B97307"/>
    <w:rsid w:val="00BC3D36"/>
    <w:rsid w:val="00BD1EAF"/>
    <w:rsid w:val="00BD7F72"/>
    <w:rsid w:val="00C04FB3"/>
    <w:rsid w:val="00C330EB"/>
    <w:rsid w:val="00C41061"/>
    <w:rsid w:val="00C754BE"/>
    <w:rsid w:val="00C76B1C"/>
    <w:rsid w:val="00CB6357"/>
    <w:rsid w:val="00CC1B26"/>
    <w:rsid w:val="00CC6DF8"/>
    <w:rsid w:val="00D01247"/>
    <w:rsid w:val="00D423A2"/>
    <w:rsid w:val="00D520D8"/>
    <w:rsid w:val="00D63AC2"/>
    <w:rsid w:val="00D7383B"/>
    <w:rsid w:val="00DA231B"/>
    <w:rsid w:val="00DC194E"/>
    <w:rsid w:val="00DC39FC"/>
    <w:rsid w:val="00DF5254"/>
    <w:rsid w:val="00E12012"/>
    <w:rsid w:val="00E16408"/>
    <w:rsid w:val="00E20894"/>
    <w:rsid w:val="00E245AB"/>
    <w:rsid w:val="00E2764C"/>
    <w:rsid w:val="00E27F2E"/>
    <w:rsid w:val="00E311FC"/>
    <w:rsid w:val="00E50AFE"/>
    <w:rsid w:val="00E728B4"/>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F1449"/>
    <w:rsid w:val="08E4602F"/>
    <w:rsid w:val="31289923"/>
    <w:rsid w:val="3C4821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05E1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05E1B"/>
    <w:rPr>
      <w:rFonts w:ascii="Geomanist Light" w:hAnsi="Geomanist Light"/>
      <w:lang w:val="es-ES"/>
    </w:rPr>
  </w:style>
  <w:style w:type="character" w:styleId="Textoennegrita">
    <w:name w:val="Strong"/>
    <w:basedOn w:val="Fuentedeprrafopredeter"/>
    <w:uiPriority w:val="22"/>
    <w:qFormat/>
    <w:rsid w:val="00605E1B"/>
    <w:rPr>
      <w:b/>
      <w:bCs/>
    </w:rPr>
  </w:style>
  <w:style w:type="character" w:styleId="nfasis">
    <w:name w:val="Emphasis"/>
    <w:basedOn w:val="Fuentedeprrafopredeter"/>
    <w:uiPriority w:val="20"/>
    <w:qFormat/>
    <w:rsid w:val="00605E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entinapaezborrero@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ceficiente.sharepoint.com/sites/SGDEA/TRD_254/EXPEDIENTE_1668/DOCUMENTO_407171/DOCUMENTO_40717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22DEE-AFBF-453C-95AA-57B28A0EFB73}"/>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4133</Words>
  <Characters>22732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2024-12-14T03:58:00Z</dcterms:created>
  <dcterms:modified xsi:type="dcterms:W3CDTF">2024-12-17T16:02:00Z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