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0F1F9" w14:textId="77777777" w:rsidR="002B73CF" w:rsidRPr="00C4224D" w:rsidRDefault="002B73CF" w:rsidP="002B73CF">
      <w:pPr>
        <w:spacing w:after="0" w:line="240" w:lineRule="auto"/>
        <w:contextualSpacing/>
        <w:jc w:val="both"/>
        <w:rPr>
          <w:rFonts w:ascii="Verdana" w:eastAsia="Calibri" w:hAnsi="Verdana" w:cs="Arial"/>
          <w:b/>
          <w:lang w:val="es-MX"/>
        </w:rPr>
      </w:pPr>
      <w:r w:rsidRPr="00C4224D">
        <w:rPr>
          <w:rFonts w:ascii="Verdana" w:eastAsia="Calibri" w:hAnsi="Verdana" w:cs="Arial"/>
          <w:b/>
          <w:lang w:val="es-MX"/>
        </w:rPr>
        <w:t>PLIEGOS DE CONDICIONES – Naturaleza</w:t>
      </w:r>
    </w:p>
    <w:p w14:paraId="58BFA0F7" w14:textId="77777777" w:rsidR="002B73CF" w:rsidRPr="00C4224D" w:rsidRDefault="002B73CF" w:rsidP="002B73CF">
      <w:pPr>
        <w:spacing w:after="0" w:line="240" w:lineRule="auto"/>
        <w:contextualSpacing/>
        <w:jc w:val="both"/>
        <w:rPr>
          <w:rFonts w:ascii="Verdana" w:eastAsia="Calibri" w:hAnsi="Verdana" w:cs="Arial"/>
          <w:bCs/>
          <w:sz w:val="20"/>
          <w:szCs w:val="20"/>
          <w:lang w:val="es-MX"/>
        </w:rPr>
      </w:pPr>
    </w:p>
    <w:p w14:paraId="4A8F16D2" w14:textId="77777777" w:rsidR="002B73CF" w:rsidRPr="00C4224D" w:rsidRDefault="002B73CF" w:rsidP="002B73CF">
      <w:pPr>
        <w:spacing w:after="0" w:line="240" w:lineRule="auto"/>
        <w:contextualSpacing/>
        <w:jc w:val="both"/>
        <w:rPr>
          <w:rFonts w:ascii="Verdana" w:eastAsia="Calibri" w:hAnsi="Verdana" w:cs="Arial"/>
          <w:color w:val="000000" w:themeColor="text1"/>
          <w:sz w:val="20"/>
          <w:szCs w:val="20"/>
        </w:rPr>
      </w:pPr>
      <w:r w:rsidRPr="00C4224D">
        <w:rPr>
          <w:rFonts w:ascii="Verdana" w:eastAsia="Calibri" w:hAnsi="Verdana" w:cs="Arial"/>
          <w:bCs/>
          <w:sz w:val="20"/>
          <w:szCs w:val="20"/>
          <w:lang w:val="es-MX"/>
        </w:rPr>
        <w:t xml:space="preserve">[…] </w:t>
      </w:r>
      <w:r w:rsidRPr="00C4224D">
        <w:rPr>
          <w:rFonts w:ascii="Verdana" w:eastAsia="Calibri" w:hAnsi="Verdana" w:cs="Arial"/>
          <w:color w:val="000000" w:themeColor="text1"/>
          <w:sz w:val="20"/>
          <w:szCs w:val="20"/>
        </w:rPr>
        <w:t>el Consejo de Estado ha determinado que el pliego de condiciones es ley para las partes, y en él se debe establecer la regulación del procedimiento de contratación, conforme a la ley, garantizando la selección objetiva del contratista. El artículo 2.2.1.1.2.1.3. del Decreto 1082 de 2015 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ii) modalidad y criterios de selección, iii) valoración económica del bien, obra o servicio, iv) reglas de la presentación y manejo de las ofertas, v) riesgos y garantías, entre otros aspectos del contrato.</w:t>
      </w:r>
    </w:p>
    <w:p w14:paraId="6E6B5020" w14:textId="77777777" w:rsidR="002B73CF" w:rsidRPr="00C4224D" w:rsidRDefault="002B73CF" w:rsidP="002B73CF">
      <w:pPr>
        <w:spacing w:after="0" w:line="240" w:lineRule="auto"/>
        <w:contextualSpacing/>
        <w:jc w:val="both"/>
        <w:rPr>
          <w:rFonts w:ascii="Verdana" w:eastAsia="Calibri" w:hAnsi="Verdana" w:cs="Arial"/>
          <w:bCs/>
          <w:sz w:val="20"/>
          <w:szCs w:val="20"/>
        </w:rPr>
      </w:pPr>
    </w:p>
    <w:p w14:paraId="25EDD3A9" w14:textId="77777777" w:rsidR="002B73CF" w:rsidRPr="00C4224D" w:rsidRDefault="002B73CF" w:rsidP="002B73CF">
      <w:pPr>
        <w:spacing w:after="0" w:line="240" w:lineRule="auto"/>
        <w:contextualSpacing/>
        <w:jc w:val="both"/>
        <w:rPr>
          <w:rFonts w:ascii="Verdana" w:eastAsia="Calibri" w:hAnsi="Verdana" w:cs="Arial"/>
          <w:bCs/>
          <w:sz w:val="20"/>
          <w:szCs w:val="20"/>
          <w:lang w:val="es-MX"/>
        </w:rPr>
      </w:pPr>
      <w:r w:rsidRPr="00C4224D">
        <w:rPr>
          <w:rFonts w:ascii="Verdana" w:eastAsia="Calibri" w:hAnsi="Verdana" w:cs="Arial"/>
          <w:bCs/>
          <w:sz w:val="20"/>
          <w:szCs w:val="20"/>
          <w:lang w:val="es-MX"/>
        </w:rPr>
        <w:t>[…]</w:t>
      </w:r>
    </w:p>
    <w:p w14:paraId="2FDDD3EF" w14:textId="77777777" w:rsidR="002B73CF" w:rsidRPr="00C4224D" w:rsidRDefault="002B73CF" w:rsidP="002B73CF">
      <w:pPr>
        <w:spacing w:after="0" w:line="240" w:lineRule="auto"/>
        <w:contextualSpacing/>
        <w:jc w:val="both"/>
        <w:rPr>
          <w:rFonts w:ascii="Verdana" w:eastAsia="Calibri" w:hAnsi="Verdana" w:cs="Arial"/>
          <w:bCs/>
          <w:sz w:val="20"/>
          <w:szCs w:val="20"/>
          <w:lang w:val="es-MX"/>
        </w:rPr>
      </w:pPr>
    </w:p>
    <w:p w14:paraId="6C1853FC" w14:textId="77777777" w:rsidR="002B73CF" w:rsidRPr="00C4224D" w:rsidRDefault="002B73CF" w:rsidP="002B73CF">
      <w:pPr>
        <w:spacing w:after="0" w:line="240" w:lineRule="auto"/>
        <w:contextualSpacing/>
        <w:jc w:val="both"/>
        <w:rPr>
          <w:rFonts w:ascii="Verdana" w:eastAsia="Calibri" w:hAnsi="Verdana" w:cs="Arial"/>
          <w:sz w:val="20"/>
          <w:szCs w:val="20"/>
          <w:lang w:val="es-ES"/>
        </w:rPr>
      </w:pPr>
      <w:r w:rsidRPr="00C4224D">
        <w:rPr>
          <w:rFonts w:ascii="Verdana" w:eastAsia="Calibri" w:hAnsi="Verdana" w:cs="Arial"/>
          <w:sz w:val="20"/>
          <w:szCs w:val="20"/>
          <w:lang w:val="es-ES"/>
        </w:rPr>
        <w:t>En ese orden de ideas, el Consejo de Estado ha reiterado que el pliego de condiciones ostenta una doble naturaleza jurídica, pues, por un lado, antes de la celebración del contrato y de la expedición del acto administrativo de adjudicación se considera como un acto administrativo de carácter general que rige el desarrollo del proceso de selección. Sin embargo, una vez se celebre el contrato, el pliego de condiciones pasa hacer parte del marco jurídico de la relación contractual determinando el contenido y el alcance del negocio jurídico</w:t>
      </w:r>
      <w:r>
        <w:rPr>
          <w:rFonts w:ascii="Verdana" w:eastAsia="Calibri" w:hAnsi="Verdana" w:cs="Arial"/>
          <w:sz w:val="20"/>
          <w:szCs w:val="20"/>
          <w:lang w:val="es-ES"/>
        </w:rPr>
        <w:t>.</w:t>
      </w:r>
    </w:p>
    <w:p w14:paraId="7C5AD46B" w14:textId="77777777" w:rsidR="002B73CF" w:rsidRPr="00C4224D" w:rsidRDefault="002B73CF" w:rsidP="002B73CF">
      <w:pPr>
        <w:spacing w:after="0" w:line="240" w:lineRule="auto"/>
        <w:contextualSpacing/>
        <w:jc w:val="both"/>
        <w:rPr>
          <w:rFonts w:ascii="Verdana" w:eastAsia="Calibri" w:hAnsi="Verdana" w:cs="Arial"/>
          <w:bCs/>
          <w:sz w:val="20"/>
          <w:szCs w:val="20"/>
          <w:lang w:val="es-MX"/>
        </w:rPr>
      </w:pPr>
    </w:p>
    <w:p w14:paraId="43940009" w14:textId="77777777" w:rsidR="002B73CF" w:rsidRPr="00C4224D" w:rsidRDefault="002B73CF" w:rsidP="002B73CF">
      <w:pPr>
        <w:spacing w:after="0" w:line="240" w:lineRule="auto"/>
        <w:contextualSpacing/>
        <w:jc w:val="both"/>
        <w:rPr>
          <w:rFonts w:ascii="Verdana" w:eastAsia="Calibri" w:hAnsi="Verdana" w:cs="Arial"/>
          <w:b/>
        </w:rPr>
      </w:pPr>
      <w:r w:rsidRPr="00C4224D">
        <w:rPr>
          <w:rFonts w:ascii="Verdana" w:eastAsia="Calibri" w:hAnsi="Verdana" w:cs="Arial"/>
          <w:b/>
          <w:lang w:val="es-MX"/>
        </w:rPr>
        <w:t>PLIEGOS DE CONDICIONES – Otros documentos – Contradicción información</w:t>
      </w:r>
    </w:p>
    <w:p w14:paraId="1FD23A27" w14:textId="77777777" w:rsidR="002B73CF" w:rsidRPr="00C4224D" w:rsidRDefault="002B73CF" w:rsidP="002B73CF">
      <w:pPr>
        <w:spacing w:after="0" w:line="240" w:lineRule="auto"/>
        <w:contextualSpacing/>
        <w:jc w:val="both"/>
        <w:rPr>
          <w:rFonts w:ascii="Verdana" w:eastAsia="Batang" w:hAnsi="Verdana" w:cs="Arial"/>
          <w:sz w:val="20"/>
          <w:szCs w:val="20"/>
          <w:lang w:val="es-MX"/>
        </w:rPr>
      </w:pPr>
    </w:p>
    <w:p w14:paraId="5F0DBEAF" w14:textId="77777777" w:rsidR="002B73CF" w:rsidRDefault="002B73CF" w:rsidP="002B73CF">
      <w:pPr>
        <w:spacing w:after="0" w:line="240" w:lineRule="auto"/>
        <w:contextualSpacing/>
        <w:jc w:val="both"/>
        <w:rPr>
          <w:rFonts w:ascii="Verdana" w:eastAsia="Batang" w:hAnsi="Verdana" w:cs="Arial"/>
          <w:i/>
          <w:iCs/>
          <w:sz w:val="20"/>
          <w:szCs w:val="20"/>
          <w:lang w:val="es-MX"/>
        </w:rPr>
      </w:pPr>
      <w:r w:rsidRPr="00C4224D">
        <w:rPr>
          <w:rFonts w:ascii="Verdana" w:eastAsia="Batang" w:hAnsi="Verdana" w:cs="Arial"/>
          <w:sz w:val="20"/>
          <w:szCs w:val="20"/>
          <w:lang w:val="es-MX"/>
        </w:rPr>
        <w:t xml:space="preserve">Ahora bien, de acuerdo con la jurisprudencia de la Sección Tercera del Consejo de Estado, las reglas de los pliegos de condiciones deben prevalecer sobre los demás documentos del contrato e incluso sobre la minuta, la cual se limita a formalizar el acuerdo de voluntades. Por lo tanto, ha reiterado que las reglas contenidas en los pliegos de condiciones que adolecen de vacíos o contradicciones deben de interpretarse </w:t>
      </w:r>
      <w:r w:rsidRPr="00C4224D">
        <w:rPr>
          <w:rFonts w:ascii="Verdana" w:eastAsia="Batang" w:hAnsi="Verdana" w:cs="Arial"/>
          <w:i/>
          <w:iCs/>
          <w:sz w:val="20"/>
          <w:szCs w:val="20"/>
          <w:lang w:val="es-MX"/>
        </w:rPr>
        <w:t xml:space="preserve">“con sujeción a los principios generales </w:t>
      </w:r>
      <w:proofErr w:type="gramStart"/>
      <w:r w:rsidRPr="00C4224D">
        <w:rPr>
          <w:rFonts w:ascii="Verdana" w:eastAsia="Batang" w:hAnsi="Verdana" w:cs="Arial"/>
          <w:i/>
          <w:iCs/>
          <w:sz w:val="20"/>
          <w:szCs w:val="20"/>
          <w:lang w:val="es-MX"/>
        </w:rPr>
        <w:t>del derechos</w:t>
      </w:r>
      <w:proofErr w:type="gramEnd"/>
      <w:r w:rsidRPr="00C4224D">
        <w:rPr>
          <w:rFonts w:ascii="Verdana" w:eastAsia="Batang" w:hAnsi="Verdana" w:cs="Arial"/>
          <w:i/>
          <w:iCs/>
          <w:sz w:val="20"/>
          <w:szCs w:val="20"/>
          <w:lang w:val="es-MX"/>
        </w:rPr>
        <w:t>, a los de la función administrativa, a la finalidad del pliego y a la protección del interés general, de conformidad con lo previsto en el artículo 23 de la Ley 80 de 1993”.</w:t>
      </w:r>
    </w:p>
    <w:p w14:paraId="2D593B95" w14:textId="77777777" w:rsidR="002B73CF" w:rsidRPr="00C4224D" w:rsidRDefault="002B73CF" w:rsidP="002B73CF">
      <w:pPr>
        <w:spacing w:after="0" w:line="240" w:lineRule="auto"/>
        <w:contextualSpacing/>
        <w:jc w:val="both"/>
        <w:rPr>
          <w:rFonts w:ascii="Verdana" w:eastAsia="Batang" w:hAnsi="Verdana" w:cs="Arial"/>
          <w:sz w:val="20"/>
          <w:szCs w:val="20"/>
          <w:lang w:val="es-MX"/>
        </w:rPr>
      </w:pPr>
    </w:p>
    <w:p w14:paraId="534F8E35" w14:textId="77777777" w:rsidR="002B73CF" w:rsidRPr="00C4224D" w:rsidRDefault="002B73CF" w:rsidP="002B73CF">
      <w:pPr>
        <w:spacing w:after="0" w:line="240" w:lineRule="auto"/>
        <w:contextualSpacing/>
        <w:jc w:val="both"/>
        <w:rPr>
          <w:rFonts w:ascii="Verdana" w:eastAsia="Batang" w:hAnsi="Verdana" w:cs="Arial"/>
          <w:sz w:val="20"/>
          <w:szCs w:val="20"/>
        </w:rPr>
      </w:pPr>
      <w:r w:rsidRPr="00C4224D">
        <w:rPr>
          <w:rFonts w:ascii="Verdana" w:eastAsia="Batang" w:hAnsi="Verdana" w:cs="Arial"/>
          <w:sz w:val="20"/>
          <w:szCs w:val="20"/>
          <w:lang w:val="es-MX"/>
        </w:rPr>
        <w:t xml:space="preserve">De acuerdo con lo anterior, en atención al problema jurídico planteado, es posible establecer, por ejemplo, que </w:t>
      </w:r>
      <w:r w:rsidRPr="00C4224D">
        <w:rPr>
          <w:rFonts w:ascii="Verdana" w:eastAsia="Batang" w:hAnsi="Verdana" w:cs="Arial"/>
          <w:sz w:val="20"/>
          <w:szCs w:val="20"/>
        </w:rPr>
        <w:t xml:space="preserve">en caso de contradicción entre el contenido establecido en el pliego de condiciones y el incluido por la entidad, proponentes o contratista en los demás documentos del proceso de contratación, primará lo señalado en el pliego de condiciones. </w:t>
      </w:r>
    </w:p>
    <w:p w14:paraId="2E0F613F" w14:textId="77777777" w:rsidR="002B73CF" w:rsidRPr="00C4224D" w:rsidRDefault="002B73CF" w:rsidP="002B73CF">
      <w:pPr>
        <w:spacing w:after="0" w:line="240" w:lineRule="auto"/>
        <w:contextualSpacing/>
        <w:jc w:val="both"/>
        <w:rPr>
          <w:rFonts w:ascii="Verdana" w:eastAsia="Calibri" w:hAnsi="Verdana" w:cs="Arial"/>
          <w:sz w:val="20"/>
          <w:szCs w:val="20"/>
        </w:rPr>
      </w:pPr>
    </w:p>
    <w:p w14:paraId="1F126722" w14:textId="77777777" w:rsidR="002B73CF" w:rsidRPr="00C4224D" w:rsidRDefault="002B73CF" w:rsidP="002B73CF">
      <w:pPr>
        <w:spacing w:after="0" w:line="240" w:lineRule="auto"/>
        <w:contextualSpacing/>
        <w:jc w:val="both"/>
        <w:rPr>
          <w:rFonts w:ascii="Verdana" w:eastAsia="Calibri" w:hAnsi="Verdana" w:cs="Arial"/>
          <w:b/>
          <w:bCs/>
          <w:lang w:val="es-ES" w:eastAsia="es-ES"/>
        </w:rPr>
      </w:pPr>
      <w:r w:rsidRPr="00C4224D">
        <w:rPr>
          <w:rFonts w:ascii="Verdana" w:eastAsia="Calibri" w:hAnsi="Verdana" w:cs="Arial"/>
          <w:b/>
          <w:bCs/>
        </w:rPr>
        <w:t>INTERPRETACIÓN – Reglas</w:t>
      </w:r>
      <w:r w:rsidRPr="00C4224D">
        <w:rPr>
          <w:rFonts w:ascii="Verdana" w:eastAsia="Calibri" w:hAnsi="Verdana" w:cs="Arial"/>
          <w:b/>
          <w:bCs/>
          <w:lang w:val="es-ES" w:eastAsia="es-ES"/>
        </w:rPr>
        <w:t xml:space="preserve"> de interpretación </w:t>
      </w:r>
    </w:p>
    <w:p w14:paraId="200B5480" w14:textId="77777777" w:rsidR="002B73CF" w:rsidRPr="00C4224D" w:rsidRDefault="002B73CF" w:rsidP="002B73CF">
      <w:pPr>
        <w:spacing w:after="0" w:line="240" w:lineRule="auto"/>
        <w:contextualSpacing/>
        <w:rPr>
          <w:rFonts w:ascii="Verdana" w:hAnsi="Verdana"/>
          <w:sz w:val="20"/>
          <w:szCs w:val="20"/>
          <w:lang w:val="es-ES"/>
        </w:rPr>
      </w:pPr>
    </w:p>
    <w:p w14:paraId="6DB58179" w14:textId="77777777" w:rsidR="002B73CF" w:rsidRDefault="002B73CF" w:rsidP="002B73CF">
      <w:pPr>
        <w:spacing w:after="0" w:line="240" w:lineRule="auto"/>
        <w:contextualSpacing/>
        <w:jc w:val="both"/>
        <w:rPr>
          <w:rFonts w:ascii="Verdana" w:eastAsia="Batang" w:hAnsi="Verdana" w:cs="Arial"/>
          <w:sz w:val="20"/>
          <w:szCs w:val="20"/>
        </w:rPr>
      </w:pPr>
      <w:r w:rsidRPr="00C4224D">
        <w:rPr>
          <w:rFonts w:ascii="Verdana" w:eastAsia="Batang" w:hAnsi="Verdana" w:cs="Arial"/>
          <w:sz w:val="20"/>
          <w:szCs w:val="20"/>
        </w:rPr>
        <w:t xml:space="preserve">Sin perjuicio de lo anterior, la entidad, proponentes o contratista podrán acudir, en lo pertinente, a las reglas de interpretación </w:t>
      </w:r>
      <w:r w:rsidRPr="00C4224D">
        <w:rPr>
          <w:rFonts w:ascii="Verdana" w:eastAsia="Batang" w:hAnsi="Verdana" w:cs="Arial"/>
          <w:sz w:val="20"/>
          <w:szCs w:val="20"/>
          <w:lang w:val="es-MX"/>
        </w:rPr>
        <w:t xml:space="preserve">objetivas y subjetivas conforme a los artículos 1618 a 1624 del Código Civil. Por una parte, las </w:t>
      </w:r>
      <w:r w:rsidRPr="00C4224D">
        <w:rPr>
          <w:rFonts w:ascii="Verdana" w:eastAsia="Batang" w:hAnsi="Verdana" w:cs="Arial"/>
          <w:i/>
          <w:iCs/>
          <w:sz w:val="20"/>
          <w:szCs w:val="20"/>
          <w:lang w:val="es-MX"/>
        </w:rPr>
        <w:t>objetivas</w:t>
      </w:r>
      <w:r w:rsidRPr="00C4224D">
        <w:rPr>
          <w:rFonts w:ascii="Verdana" w:eastAsia="Batang" w:hAnsi="Verdana" w:cs="Arial"/>
          <w:sz w:val="20"/>
          <w:szCs w:val="20"/>
          <w:lang w:val="es-MX"/>
        </w:rPr>
        <w:t xml:space="preserve"> son las siguientes: i) una vez conocida la intención de los contratantes ha de estarse más a ella que a lo literal de las </w:t>
      </w:r>
      <w:r w:rsidRPr="00C4224D">
        <w:rPr>
          <w:rFonts w:ascii="Verdana" w:eastAsia="Batang" w:hAnsi="Verdana" w:cs="Arial"/>
          <w:sz w:val="20"/>
          <w:szCs w:val="20"/>
          <w:lang w:val="es-MX"/>
        </w:rPr>
        <w:lastRenderedPageBreak/>
        <w:t xml:space="preserve">palabras (artículo 1618 del Código Civil); ii) </w:t>
      </w:r>
      <w:r w:rsidRPr="00C4224D">
        <w:rPr>
          <w:rFonts w:ascii="Verdana" w:eastAsia="Batang" w:hAnsi="Verdana" w:cs="Arial"/>
          <w:sz w:val="20"/>
          <w:szCs w:val="20"/>
        </w:rPr>
        <w:t xml:space="preserve">las estipulaciones de un contrato pueden interpretarse por la de otro que las partes hayan celebrado sobre la misma materia o por la aplicación práctica que de ellas hayan hecho (artículo 1622, incisos 2 y 3 </w:t>
      </w:r>
      <w:r w:rsidRPr="00C4224D">
        <w:rPr>
          <w:rFonts w:ascii="Verdana" w:eastAsia="Batang" w:hAnsi="Verdana" w:cs="Arial"/>
          <w:i/>
          <w:iCs/>
          <w:sz w:val="20"/>
          <w:szCs w:val="20"/>
        </w:rPr>
        <w:t>ibídem</w:t>
      </w:r>
      <w:r w:rsidRPr="00C4224D">
        <w:rPr>
          <w:rFonts w:ascii="Verdana" w:eastAsia="Batang" w:hAnsi="Verdana" w:cs="Arial"/>
          <w:sz w:val="20"/>
          <w:szCs w:val="20"/>
        </w:rPr>
        <w:t xml:space="preserve">); iii) las cláusulas deben interpretarse unas por otras, dándole a cada una el sentido que más convenga al contrato en su totalidad (artículo 1622, inciso 1 </w:t>
      </w:r>
      <w:r w:rsidRPr="00C4224D">
        <w:rPr>
          <w:rFonts w:ascii="Verdana" w:eastAsia="Batang" w:hAnsi="Verdana" w:cs="Arial"/>
          <w:i/>
          <w:iCs/>
          <w:sz w:val="20"/>
          <w:szCs w:val="20"/>
        </w:rPr>
        <w:t>ibídem</w:t>
      </w:r>
      <w:r w:rsidRPr="00C4224D">
        <w:rPr>
          <w:rFonts w:ascii="Verdana" w:eastAsia="Batang" w:hAnsi="Verdana" w:cs="Arial"/>
          <w:sz w:val="20"/>
          <w:szCs w:val="20"/>
        </w:rPr>
        <w:t xml:space="preserve">); iv) si en un contrato se expresa un caso para explicar la obligación se entiende que esa mención no es restrictiva sino ejemplificativa (artículo 1623 </w:t>
      </w:r>
      <w:r w:rsidRPr="00C4224D">
        <w:rPr>
          <w:rFonts w:ascii="Verdana" w:eastAsia="Batang" w:hAnsi="Verdana" w:cs="Arial"/>
          <w:i/>
          <w:iCs/>
          <w:sz w:val="20"/>
          <w:szCs w:val="20"/>
        </w:rPr>
        <w:t>ibídem</w:t>
      </w:r>
      <w:r w:rsidRPr="00C4224D">
        <w:rPr>
          <w:rFonts w:ascii="Verdana" w:eastAsia="Batang" w:hAnsi="Verdana" w:cs="Arial"/>
          <w:sz w:val="20"/>
          <w:szCs w:val="20"/>
        </w:rPr>
        <w:t xml:space="preserve">); y v) se entiende que las expresiones generales contenidas en el negocio únicamente se aplican a la materia sobre la que se ha contratado (artículo 1619, inciso 2 </w:t>
      </w:r>
      <w:r w:rsidRPr="00C4224D">
        <w:rPr>
          <w:rFonts w:ascii="Verdana" w:eastAsia="Batang" w:hAnsi="Verdana" w:cs="Arial"/>
          <w:i/>
          <w:iCs/>
          <w:sz w:val="20"/>
          <w:szCs w:val="20"/>
        </w:rPr>
        <w:t>ibídem</w:t>
      </w:r>
      <w:r w:rsidRPr="00C4224D">
        <w:rPr>
          <w:rFonts w:ascii="Verdana" w:eastAsia="Batang" w:hAnsi="Verdana" w:cs="Arial"/>
          <w:sz w:val="20"/>
          <w:szCs w:val="20"/>
        </w:rPr>
        <w:t>).</w:t>
      </w:r>
    </w:p>
    <w:p w14:paraId="6734EA07" w14:textId="77777777" w:rsidR="002B73CF" w:rsidRDefault="002B73CF" w:rsidP="002B73CF">
      <w:pPr>
        <w:spacing w:after="0" w:line="240" w:lineRule="auto"/>
        <w:contextualSpacing/>
        <w:jc w:val="both"/>
        <w:rPr>
          <w:rFonts w:ascii="Verdana" w:eastAsia="Batang" w:hAnsi="Verdana" w:cs="Arial"/>
          <w:sz w:val="20"/>
          <w:szCs w:val="20"/>
        </w:rPr>
      </w:pPr>
    </w:p>
    <w:p w14:paraId="7402FE1C" w14:textId="77777777" w:rsidR="002B73CF" w:rsidRPr="00C4224D" w:rsidRDefault="002B73CF" w:rsidP="002B73CF">
      <w:pPr>
        <w:spacing w:after="0" w:line="240" w:lineRule="auto"/>
        <w:contextualSpacing/>
        <w:jc w:val="both"/>
        <w:rPr>
          <w:rFonts w:ascii="Verdana" w:eastAsia="Batang" w:hAnsi="Verdana" w:cs="Arial"/>
          <w:sz w:val="20"/>
          <w:szCs w:val="20"/>
        </w:rPr>
      </w:pPr>
      <w:r w:rsidRPr="00C4224D">
        <w:rPr>
          <w:rFonts w:ascii="Verdana" w:eastAsia="Batang" w:hAnsi="Verdana" w:cs="Arial"/>
          <w:sz w:val="20"/>
          <w:szCs w:val="20"/>
        </w:rPr>
        <w:t xml:space="preserve">Por su parte, las reglas </w:t>
      </w:r>
      <w:r w:rsidRPr="00C4224D">
        <w:rPr>
          <w:rFonts w:ascii="Verdana" w:eastAsia="Batang" w:hAnsi="Verdana" w:cs="Arial"/>
          <w:i/>
          <w:iCs/>
          <w:sz w:val="20"/>
          <w:szCs w:val="20"/>
        </w:rPr>
        <w:t>subjetivas</w:t>
      </w:r>
      <w:r w:rsidRPr="00C4224D">
        <w:rPr>
          <w:rFonts w:ascii="Verdana" w:eastAsia="Batang" w:hAnsi="Verdana" w:cs="Arial"/>
          <w:sz w:val="20"/>
          <w:szCs w:val="20"/>
        </w:rPr>
        <w:t xml:space="preserve"> de interpretación se refieren a las siguientes: vi) </w:t>
      </w:r>
      <w:r w:rsidRPr="00C4224D">
        <w:rPr>
          <w:rFonts w:ascii="Verdana" w:eastAsia="Batang" w:hAnsi="Verdana" w:cs="Arial"/>
          <w:sz w:val="20"/>
          <w:szCs w:val="20"/>
          <w:lang w:val="es-MX"/>
        </w:rPr>
        <w:t xml:space="preserve">el sentido en que una cláusula pueda producir algún efecto deberá preferirse a aquel en que no produzca efecto alguno </w:t>
      </w:r>
      <w:r w:rsidRPr="00C4224D">
        <w:rPr>
          <w:rFonts w:ascii="Verdana" w:eastAsia="Batang" w:hAnsi="Verdana" w:cs="Arial"/>
          <w:sz w:val="20"/>
          <w:szCs w:val="20"/>
        </w:rPr>
        <w:t xml:space="preserve">(artículo 1620 </w:t>
      </w:r>
      <w:r w:rsidRPr="00C4224D">
        <w:rPr>
          <w:rFonts w:ascii="Verdana" w:eastAsia="Batang" w:hAnsi="Verdana" w:cs="Arial"/>
          <w:i/>
          <w:iCs/>
          <w:sz w:val="20"/>
          <w:szCs w:val="20"/>
        </w:rPr>
        <w:t>ibídem</w:t>
      </w:r>
      <w:r w:rsidRPr="00C4224D">
        <w:rPr>
          <w:rFonts w:ascii="Verdana" w:eastAsia="Batang" w:hAnsi="Verdana" w:cs="Arial"/>
          <w:sz w:val="20"/>
          <w:szCs w:val="20"/>
        </w:rPr>
        <w:t>); vii)</w:t>
      </w:r>
      <w:r w:rsidRPr="00C4224D">
        <w:rPr>
          <w:rFonts w:ascii="Verdana" w:eastAsia="Batang" w:hAnsi="Verdana" w:cs="Arial"/>
          <w:sz w:val="20"/>
          <w:szCs w:val="20"/>
          <w:lang w:val="es-MX"/>
        </w:rPr>
        <w:t xml:space="preserve"> deberá estarse a la interpretación que mejor cuadre con la naturaleza del contrato </w:t>
      </w:r>
      <w:r w:rsidRPr="00C4224D">
        <w:rPr>
          <w:rFonts w:ascii="Verdana" w:eastAsia="Batang" w:hAnsi="Verdana" w:cs="Arial"/>
          <w:sz w:val="20"/>
          <w:szCs w:val="20"/>
        </w:rPr>
        <w:t xml:space="preserve">(artículo 1621 </w:t>
      </w:r>
      <w:r w:rsidRPr="00C4224D">
        <w:rPr>
          <w:rFonts w:ascii="Verdana" w:eastAsia="Batang" w:hAnsi="Verdana" w:cs="Arial"/>
          <w:i/>
          <w:iCs/>
          <w:sz w:val="20"/>
          <w:szCs w:val="20"/>
        </w:rPr>
        <w:t>ibídem</w:t>
      </w:r>
      <w:r w:rsidRPr="00C4224D">
        <w:rPr>
          <w:rFonts w:ascii="Verdana" w:eastAsia="Batang" w:hAnsi="Verdana" w:cs="Arial"/>
          <w:sz w:val="20"/>
          <w:szCs w:val="20"/>
        </w:rPr>
        <w:t>)</w:t>
      </w:r>
      <w:r w:rsidRPr="00C4224D">
        <w:rPr>
          <w:rFonts w:ascii="Verdana" w:eastAsia="Batang" w:hAnsi="Verdana" w:cs="Arial"/>
          <w:sz w:val="20"/>
          <w:szCs w:val="20"/>
          <w:lang w:val="es-MX"/>
        </w:rPr>
        <w:t xml:space="preserve">; viii) las cláusulas ambiguas se interpretan a favor del deudor </w:t>
      </w:r>
      <w:r w:rsidRPr="00C4224D">
        <w:rPr>
          <w:rFonts w:ascii="Verdana" w:eastAsia="Batang" w:hAnsi="Verdana" w:cs="Arial"/>
          <w:sz w:val="20"/>
          <w:szCs w:val="20"/>
        </w:rPr>
        <w:t>(artículo 1624, inciso 1 ibídem); y ix</w:t>
      </w:r>
      <w:r w:rsidRPr="00C4224D">
        <w:rPr>
          <w:rFonts w:ascii="Verdana" w:eastAsia="Batang" w:hAnsi="Verdana" w:cs="Arial"/>
          <w:i/>
          <w:iCs/>
          <w:sz w:val="20"/>
          <w:szCs w:val="20"/>
        </w:rPr>
        <w:t>)</w:t>
      </w:r>
      <w:r w:rsidRPr="00C4224D">
        <w:rPr>
          <w:rFonts w:ascii="Verdana" w:eastAsia="Batang" w:hAnsi="Verdana" w:cs="Arial"/>
          <w:i/>
          <w:iCs/>
          <w:sz w:val="20"/>
          <w:szCs w:val="20"/>
          <w:lang w:val="es-MX"/>
        </w:rPr>
        <w:t xml:space="preserve"> las cláusulas oscuras que hayan sido extendidas o dictadas por una parte se interpretarán contra ella si la ambigüedad proviene de una explicación que ésta ha debido dar</w:t>
      </w:r>
      <w:r w:rsidRPr="00C4224D">
        <w:rPr>
          <w:rFonts w:ascii="Verdana" w:eastAsia="Batang" w:hAnsi="Verdana" w:cs="Arial"/>
          <w:sz w:val="20"/>
          <w:szCs w:val="20"/>
          <w:lang w:val="es-MX"/>
        </w:rPr>
        <w:t xml:space="preserve"> </w:t>
      </w:r>
      <w:r w:rsidRPr="00C4224D">
        <w:rPr>
          <w:rFonts w:ascii="Verdana" w:eastAsia="Batang" w:hAnsi="Verdana" w:cs="Arial"/>
          <w:sz w:val="20"/>
          <w:szCs w:val="20"/>
        </w:rPr>
        <w:t xml:space="preserve">(artículo 1624, inciso 2 </w:t>
      </w:r>
      <w:r w:rsidRPr="00C4224D">
        <w:rPr>
          <w:rFonts w:ascii="Verdana" w:eastAsia="Batang" w:hAnsi="Verdana" w:cs="Arial"/>
          <w:i/>
          <w:iCs/>
          <w:sz w:val="20"/>
          <w:szCs w:val="20"/>
        </w:rPr>
        <w:t>ibídem</w:t>
      </w:r>
      <w:r w:rsidRPr="00C4224D">
        <w:rPr>
          <w:rFonts w:ascii="Verdana" w:eastAsia="Batang" w:hAnsi="Verdana" w:cs="Arial"/>
          <w:sz w:val="20"/>
          <w:szCs w:val="20"/>
        </w:rPr>
        <w:t>)</w:t>
      </w:r>
      <w:r w:rsidRPr="00C4224D">
        <w:rPr>
          <w:rFonts w:ascii="Verdana" w:eastAsia="Batang" w:hAnsi="Verdana" w:cs="Arial"/>
          <w:sz w:val="20"/>
          <w:szCs w:val="20"/>
          <w:lang w:val="es-MX"/>
        </w:rPr>
        <w:t xml:space="preserve">. </w:t>
      </w:r>
    </w:p>
    <w:p w14:paraId="624B921B" w14:textId="77777777" w:rsidR="002B73CF" w:rsidRDefault="002B73CF" w:rsidP="0041392B">
      <w:pPr>
        <w:spacing w:after="0" w:line="240" w:lineRule="auto"/>
        <w:rPr>
          <w:rFonts w:ascii="Verdana" w:eastAsia="Geomanist Light" w:hAnsi="Verdana" w:cs="Arial"/>
          <w:color w:val="000000" w:themeColor="text1"/>
          <w:lang w:val="es-MX"/>
        </w:rPr>
      </w:pPr>
    </w:p>
    <w:p w14:paraId="5315E49C" w14:textId="77777777" w:rsidR="002B73CF" w:rsidRDefault="002B73CF">
      <w:pPr>
        <w:rPr>
          <w:rFonts w:ascii="Verdana" w:eastAsia="Geomanist Light" w:hAnsi="Verdana" w:cs="Arial"/>
          <w:color w:val="000000" w:themeColor="text1"/>
          <w:lang w:val="es-MX"/>
        </w:rPr>
      </w:pPr>
      <w:r>
        <w:rPr>
          <w:rFonts w:ascii="Verdana" w:eastAsia="Geomanist Light" w:hAnsi="Verdana" w:cs="Arial"/>
          <w:color w:val="000000" w:themeColor="text1"/>
          <w:lang w:val="es-MX"/>
        </w:rPr>
        <w:br w:type="page"/>
      </w:r>
    </w:p>
    <w:p w14:paraId="211945EC" w14:textId="0B3D8B4E" w:rsidR="0041392B" w:rsidRPr="00593A5F" w:rsidRDefault="00171E87" w:rsidP="0041392B">
      <w:pPr>
        <w:spacing w:after="0" w:line="240" w:lineRule="auto"/>
        <w:rPr>
          <w:rFonts w:ascii="Verdana" w:eastAsia="Geomanist Light" w:hAnsi="Verdana" w:cs="Arial"/>
          <w:color w:val="201F1E"/>
          <w:lang w:val="es-MX"/>
        </w:rPr>
      </w:pPr>
      <w:r w:rsidRPr="00171E87">
        <w:rPr>
          <w:rFonts w:ascii="Verdana" w:eastAsia="Geomanist Light" w:hAnsi="Verdana" w:cs="Arial"/>
          <w:color w:val="201F1E"/>
          <w:lang w:val="es-MX"/>
        </w:rPr>
        <w:lastRenderedPageBreak/>
        <w:drawing>
          <wp:anchor distT="0" distB="0" distL="114300" distR="114300" simplePos="0" relativeHeight="251658240" behindDoc="0" locked="0" layoutInCell="1" allowOverlap="1" wp14:anchorId="19261C1E" wp14:editId="6DFDBDF4">
            <wp:simplePos x="0" y="0"/>
            <wp:positionH relativeFrom="column">
              <wp:posOffset>2891790</wp:posOffset>
            </wp:positionH>
            <wp:positionV relativeFrom="paragraph">
              <wp:posOffset>8890</wp:posOffset>
            </wp:positionV>
            <wp:extent cx="3314700" cy="933450"/>
            <wp:effectExtent l="0" t="0" r="0" b="0"/>
            <wp:wrapNone/>
            <wp:docPr id="144510546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105468"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314700" cy="933450"/>
                    </a:xfrm>
                    <a:prstGeom prst="rect">
                      <a:avLst/>
                    </a:prstGeom>
                  </pic:spPr>
                </pic:pic>
              </a:graphicData>
            </a:graphic>
          </wp:anchor>
        </w:drawing>
      </w:r>
      <w:r w:rsidR="0041392B" w:rsidRPr="00593A5F">
        <w:rPr>
          <w:rFonts w:ascii="Verdana" w:eastAsia="Geomanist Light" w:hAnsi="Verdana" w:cs="Arial"/>
          <w:color w:val="000000" w:themeColor="text1"/>
          <w:lang w:val="es-MX"/>
        </w:rPr>
        <w:t>Bogotá D.C., </w:t>
      </w:r>
      <w:r>
        <w:rPr>
          <w:rFonts w:ascii="Verdana" w:eastAsia="Geomanist Light" w:hAnsi="Verdana" w:cs="Arial"/>
          <w:color w:val="201F1E"/>
          <w:lang w:val="es-MX"/>
        </w:rPr>
        <w:t>20 de enero de 2025</w:t>
      </w:r>
    </w:p>
    <w:p w14:paraId="619C40EE" w14:textId="77777777" w:rsidR="0041392B" w:rsidRPr="00593A5F" w:rsidRDefault="0041392B" w:rsidP="0041392B">
      <w:pPr>
        <w:spacing w:after="0" w:line="240" w:lineRule="auto"/>
        <w:jc w:val="both"/>
        <w:rPr>
          <w:rFonts w:ascii="Verdana" w:eastAsia="Calibri" w:hAnsi="Verdana" w:cs="Arial"/>
          <w:color w:val="000000"/>
          <w:lang w:val="es-ES"/>
        </w:rPr>
      </w:pPr>
    </w:p>
    <w:p w14:paraId="4273CE44" w14:textId="77777777" w:rsidR="0041392B" w:rsidRPr="00B96799" w:rsidRDefault="0041392B" w:rsidP="0041392B">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6FBCDE71" w14:textId="77777777" w:rsidR="0041392B" w:rsidRPr="00B96799" w:rsidRDefault="0041392B" w:rsidP="0041392B">
      <w:pPr>
        <w:spacing w:after="0" w:line="240" w:lineRule="auto"/>
        <w:rPr>
          <w:rFonts w:ascii="Verdana" w:eastAsia="Calibri" w:hAnsi="Verdana" w:cs="Arial"/>
          <w:b/>
          <w:lang w:val="es-ES_tradnl" w:eastAsia="es-ES_tradnl"/>
        </w:rPr>
      </w:pPr>
      <w:r w:rsidRPr="000802D7">
        <w:rPr>
          <w:rFonts w:ascii="Verdana" w:eastAsia="Calibri" w:hAnsi="Verdana" w:cs="Arial"/>
          <w:b/>
          <w:lang w:val="es-ES_tradnl" w:eastAsia="es-ES_tradnl"/>
        </w:rPr>
        <w:t>Armando Monterrosa Ruiz</w:t>
      </w:r>
    </w:p>
    <w:p w14:paraId="3BAE89CA" w14:textId="77777777" w:rsidR="0041392B" w:rsidRPr="0041392B" w:rsidRDefault="0041392B" w:rsidP="0041392B">
      <w:pPr>
        <w:spacing w:after="0" w:line="240" w:lineRule="auto"/>
        <w:rPr>
          <w:rFonts w:ascii="Verdana" w:eastAsia="Calibri" w:hAnsi="Verdana" w:cs="Arial"/>
          <w:color w:val="4472C4" w:themeColor="accent1"/>
          <w:u w:val="single"/>
          <w:lang w:val="es-ES" w:eastAsia="es-ES"/>
        </w:rPr>
      </w:pPr>
      <w:hyperlink r:id="rId12" w:history="1">
        <w:r w:rsidRPr="0041392B">
          <w:rPr>
            <w:rStyle w:val="Hipervnculo"/>
            <w:rFonts w:ascii="Verdana" w:eastAsia="Calibri" w:hAnsi="Verdana" w:cs="Arial"/>
            <w:color w:val="4472C4" w:themeColor="accent1"/>
            <w:lang w:val="es-ES" w:eastAsia="es-ES"/>
          </w:rPr>
          <w:t>armando.monteruiz@gmail.com</w:t>
        </w:r>
      </w:hyperlink>
    </w:p>
    <w:p w14:paraId="31E8E439" w14:textId="77777777" w:rsidR="0041392B" w:rsidRPr="00B96799" w:rsidRDefault="0041392B" w:rsidP="0041392B">
      <w:pPr>
        <w:spacing w:after="0" w:line="240" w:lineRule="auto"/>
        <w:rPr>
          <w:rFonts w:ascii="Verdana" w:eastAsia="Calibri" w:hAnsi="Verdana" w:cs="Arial"/>
          <w:b/>
          <w:bCs/>
          <w:lang w:val="es-ES" w:eastAsia="es-ES"/>
        </w:rPr>
      </w:pPr>
      <w:r w:rsidRPr="00B96799">
        <w:rPr>
          <w:rFonts w:ascii="Verdana" w:eastAsia="Calibri" w:hAnsi="Verdana" w:cs="Arial"/>
          <w:lang w:val="es-ES" w:eastAsia="es-ES"/>
        </w:rPr>
        <w:t>C</w:t>
      </w:r>
      <w:r>
        <w:rPr>
          <w:rFonts w:ascii="Verdana" w:eastAsia="Calibri" w:hAnsi="Verdana" w:cs="Arial"/>
          <w:lang w:val="es-ES" w:eastAsia="es-ES"/>
        </w:rPr>
        <w:t>artagena</w:t>
      </w:r>
      <w:r w:rsidRPr="00B96799">
        <w:rPr>
          <w:rFonts w:ascii="Verdana" w:eastAsia="Calibri" w:hAnsi="Verdana" w:cs="Arial"/>
          <w:lang w:val="es-ES" w:eastAsia="es-ES"/>
        </w:rPr>
        <w:t xml:space="preserve">, </w:t>
      </w:r>
      <w:r>
        <w:rPr>
          <w:rFonts w:ascii="Verdana" w:eastAsia="Calibri" w:hAnsi="Verdana" w:cs="Arial"/>
          <w:lang w:val="es-ES" w:eastAsia="es-ES"/>
        </w:rPr>
        <w:t>Bolívar</w:t>
      </w:r>
    </w:p>
    <w:p w14:paraId="4E883061" w14:textId="77777777" w:rsidR="0041392B" w:rsidRPr="00593A5F" w:rsidRDefault="0041392B" w:rsidP="0041392B">
      <w:pPr>
        <w:spacing w:after="0" w:line="240" w:lineRule="auto"/>
        <w:rPr>
          <w:rFonts w:ascii="Verdana" w:eastAsia="Calibri" w:hAnsi="Verdana" w:cs="Arial"/>
          <w:b/>
          <w:bCs/>
          <w:color w:val="000000"/>
          <w:lang w:val="es-ES_tradnl" w:eastAsia="es-ES_tradnl"/>
        </w:rPr>
      </w:pPr>
    </w:p>
    <w:p w14:paraId="59B4D2A0" w14:textId="77777777" w:rsidR="0041392B" w:rsidRPr="00593A5F" w:rsidRDefault="0041392B" w:rsidP="0041392B">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1392B" w:rsidRPr="00593A5F" w14:paraId="314F19C6" w14:textId="77777777" w:rsidTr="008E1FB1">
        <w:trPr>
          <w:trHeight w:val="884"/>
        </w:trPr>
        <w:tc>
          <w:tcPr>
            <w:tcW w:w="2689" w:type="dxa"/>
          </w:tcPr>
          <w:p w14:paraId="090138B8" w14:textId="77777777" w:rsidR="0041392B" w:rsidRPr="00C00976" w:rsidRDefault="0041392B" w:rsidP="008E1FB1">
            <w:pPr>
              <w:jc w:val="both"/>
              <w:rPr>
                <w:rFonts w:ascii="Verdana" w:eastAsia="Calibri" w:hAnsi="Verdana" w:cs="Arial"/>
                <w:b/>
                <w:bCs/>
                <w:color w:val="7030A0"/>
                <w:lang w:val="es-ES_tradnl" w:eastAsia="es-ES_tradnl"/>
              </w:rPr>
            </w:pPr>
          </w:p>
        </w:tc>
        <w:tc>
          <w:tcPr>
            <w:tcW w:w="6100" w:type="dxa"/>
          </w:tcPr>
          <w:p w14:paraId="0EE9903C" w14:textId="77777777" w:rsidR="0041392B" w:rsidRPr="003519EF" w:rsidRDefault="0041392B" w:rsidP="008E1FB1">
            <w:pPr>
              <w:jc w:val="both"/>
              <w:rPr>
                <w:rFonts w:ascii="Verdana" w:eastAsia="Calibri" w:hAnsi="Verdana" w:cs="Arial"/>
                <w:b/>
                <w:bCs/>
                <w:lang w:val="es-ES" w:eastAsia="es-ES"/>
              </w:rPr>
            </w:pPr>
            <w:r w:rsidRPr="003519EF">
              <w:rPr>
                <w:rFonts w:ascii="Verdana" w:eastAsia="Calibri" w:hAnsi="Verdana" w:cs="Arial"/>
                <w:b/>
                <w:bCs/>
                <w:lang w:val="es-ES" w:eastAsia="es-ES"/>
              </w:rPr>
              <w:t>Concepto C-969 de 2024</w:t>
            </w:r>
          </w:p>
        </w:tc>
      </w:tr>
      <w:tr w:rsidR="0041392B" w:rsidRPr="00593A5F" w14:paraId="7E8A9C81" w14:textId="77777777" w:rsidTr="008E1FB1">
        <w:trPr>
          <w:trHeight w:val="884"/>
        </w:trPr>
        <w:tc>
          <w:tcPr>
            <w:tcW w:w="2689" w:type="dxa"/>
          </w:tcPr>
          <w:p w14:paraId="429CA1D0" w14:textId="77777777" w:rsidR="0041392B" w:rsidRPr="00593A5F" w:rsidRDefault="0041392B" w:rsidP="008E1FB1">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0DF87D16" w14:textId="77777777" w:rsidR="0041392B" w:rsidRPr="00CF4909" w:rsidRDefault="0041392B" w:rsidP="008E1FB1">
            <w:pPr>
              <w:spacing w:line="276" w:lineRule="auto"/>
              <w:jc w:val="both"/>
              <w:rPr>
                <w:rFonts w:ascii="Verdana" w:eastAsia="Calibri" w:hAnsi="Verdana" w:cs="Arial"/>
                <w:lang w:val="es-ES" w:eastAsia="es-ES"/>
              </w:rPr>
            </w:pPr>
            <w:r w:rsidRPr="00CF4909">
              <w:rPr>
                <w:rFonts w:ascii="Verdana" w:eastAsia="Calibri" w:hAnsi="Verdana" w:cs="Arial"/>
                <w:lang w:val="es-ES" w:eastAsia="es-ES"/>
              </w:rPr>
              <w:t xml:space="preserve">PLIEGOS DE CONDICIONES – Naturaleza / PLIEGOS DE CONDICIONES – Otros documentos – Contradicción información / INTERPRETACIÓN – Reglas de interpretación </w:t>
            </w:r>
          </w:p>
          <w:p w14:paraId="10E36446" w14:textId="77777777" w:rsidR="0041392B" w:rsidRPr="00593A5F" w:rsidRDefault="0041392B" w:rsidP="008E1FB1">
            <w:pPr>
              <w:spacing w:line="276" w:lineRule="auto"/>
              <w:jc w:val="both"/>
              <w:rPr>
                <w:rFonts w:ascii="Verdana" w:eastAsia="Calibri" w:hAnsi="Verdana" w:cs="Arial"/>
                <w:lang w:val="es-ES" w:eastAsia="es-ES"/>
              </w:rPr>
            </w:pPr>
          </w:p>
        </w:tc>
      </w:tr>
      <w:tr w:rsidR="0041392B" w:rsidRPr="003519EF" w14:paraId="00D8A3E1" w14:textId="77777777" w:rsidTr="008E1FB1">
        <w:tc>
          <w:tcPr>
            <w:tcW w:w="2689" w:type="dxa"/>
          </w:tcPr>
          <w:p w14:paraId="26A30138" w14:textId="77777777" w:rsidR="0041392B" w:rsidRPr="003519EF" w:rsidRDefault="0041392B" w:rsidP="008E1FB1">
            <w:pPr>
              <w:jc w:val="both"/>
              <w:rPr>
                <w:rFonts w:ascii="Verdana" w:eastAsia="Calibri" w:hAnsi="Verdana" w:cs="Arial"/>
                <w:b/>
                <w:lang w:val="es-ES_tradnl" w:eastAsia="es-ES_tradnl"/>
              </w:rPr>
            </w:pPr>
            <w:r w:rsidRPr="003519EF">
              <w:rPr>
                <w:rFonts w:ascii="Verdana" w:eastAsia="Calibri" w:hAnsi="Verdana" w:cs="Arial"/>
                <w:b/>
                <w:lang w:val="es-ES_tradnl" w:eastAsia="es-ES_tradnl"/>
              </w:rPr>
              <w:t>Radicación:</w:t>
            </w:r>
            <w:r w:rsidRPr="003519EF">
              <w:rPr>
                <w:rFonts w:ascii="Verdana" w:eastAsia="Calibri" w:hAnsi="Verdana" w:cs="Arial"/>
                <w:lang w:val="es-ES_tradnl" w:eastAsia="es-ES_tradnl"/>
              </w:rPr>
              <w:t xml:space="preserve">               </w:t>
            </w:r>
          </w:p>
        </w:tc>
        <w:tc>
          <w:tcPr>
            <w:tcW w:w="6100" w:type="dxa"/>
          </w:tcPr>
          <w:p w14:paraId="56727AAA" w14:textId="77777777" w:rsidR="0041392B" w:rsidRPr="003519EF" w:rsidRDefault="0041392B" w:rsidP="008E1FB1">
            <w:pPr>
              <w:jc w:val="both"/>
              <w:rPr>
                <w:rFonts w:ascii="Verdana" w:eastAsia="Calibri" w:hAnsi="Verdana" w:cs="Arial"/>
                <w:lang w:val="es-ES_tradnl" w:eastAsia="es-ES_tradnl"/>
              </w:rPr>
            </w:pPr>
            <w:r w:rsidRPr="003519EF">
              <w:rPr>
                <w:rFonts w:ascii="Verdana" w:eastAsia="Calibri" w:hAnsi="Verdana" w:cs="Arial"/>
                <w:lang w:val="es-ES_tradnl" w:eastAsia="es-ES_tradnl"/>
              </w:rPr>
              <w:t>Respuesta a consulta con radicado No. P20241205012240</w:t>
            </w:r>
          </w:p>
        </w:tc>
      </w:tr>
    </w:tbl>
    <w:p w14:paraId="1213933B" w14:textId="77777777" w:rsidR="0041392B" w:rsidRPr="003519EF" w:rsidRDefault="0041392B" w:rsidP="0041392B">
      <w:pPr>
        <w:spacing w:after="0" w:line="240" w:lineRule="auto"/>
        <w:jc w:val="both"/>
        <w:rPr>
          <w:rFonts w:ascii="Verdana" w:eastAsia="Calibri" w:hAnsi="Verdana" w:cs="Arial"/>
          <w:lang w:val="es-ES_tradnl" w:eastAsia="es-ES_tradnl"/>
        </w:rPr>
      </w:pPr>
    </w:p>
    <w:p w14:paraId="14040386" w14:textId="77777777" w:rsidR="0041392B" w:rsidRPr="003519EF" w:rsidRDefault="0041392B" w:rsidP="0041392B">
      <w:pPr>
        <w:spacing w:after="0" w:line="240" w:lineRule="auto"/>
        <w:jc w:val="both"/>
        <w:rPr>
          <w:rFonts w:ascii="Verdana" w:eastAsia="Calibri" w:hAnsi="Verdana" w:cs="Arial"/>
          <w:lang w:val="es-ES_tradnl" w:eastAsia="es-ES_tradnl"/>
        </w:rPr>
      </w:pPr>
    </w:p>
    <w:p w14:paraId="7907D66C" w14:textId="77777777" w:rsidR="0041392B" w:rsidRPr="003519EF" w:rsidRDefault="0041392B" w:rsidP="0041392B">
      <w:pPr>
        <w:spacing w:after="0" w:line="276" w:lineRule="auto"/>
        <w:jc w:val="both"/>
        <w:rPr>
          <w:rFonts w:ascii="Verdana" w:eastAsia="Calibri" w:hAnsi="Verdana" w:cs="Arial"/>
          <w:lang w:val="es-ES" w:eastAsia="es-ES"/>
        </w:rPr>
      </w:pPr>
      <w:r w:rsidRPr="003519EF">
        <w:rPr>
          <w:rFonts w:ascii="Verdana" w:eastAsia="Calibri" w:hAnsi="Verdana" w:cs="Arial"/>
          <w:lang w:val="es-ES" w:eastAsia="es-ES"/>
        </w:rPr>
        <w:t xml:space="preserve">Estimado señor Monterrosa: </w:t>
      </w:r>
    </w:p>
    <w:p w14:paraId="3CB9F245" w14:textId="77777777" w:rsidR="0041392B" w:rsidRPr="003519EF" w:rsidRDefault="0041392B" w:rsidP="0041392B">
      <w:pPr>
        <w:tabs>
          <w:tab w:val="left" w:pos="3768"/>
        </w:tabs>
        <w:spacing w:after="0" w:line="276" w:lineRule="auto"/>
        <w:jc w:val="both"/>
        <w:rPr>
          <w:rFonts w:ascii="Verdana" w:eastAsia="Calibri" w:hAnsi="Verdana" w:cs="Arial"/>
          <w:lang w:val="es-ES" w:eastAsia="es-ES"/>
        </w:rPr>
      </w:pPr>
      <w:r w:rsidRPr="003519EF">
        <w:rPr>
          <w:rFonts w:ascii="Verdana" w:eastAsia="Calibri" w:hAnsi="Verdana" w:cs="Arial"/>
          <w:lang w:val="es-ES" w:eastAsia="es-ES"/>
        </w:rPr>
        <w:tab/>
      </w:r>
    </w:p>
    <w:p w14:paraId="44901B0E" w14:textId="77777777" w:rsidR="0041392B" w:rsidRPr="003519EF" w:rsidRDefault="0041392B" w:rsidP="0041392B">
      <w:pPr>
        <w:spacing w:after="0" w:line="276" w:lineRule="auto"/>
        <w:jc w:val="both"/>
        <w:rPr>
          <w:rFonts w:ascii="Verdana" w:eastAsia="Calibri" w:hAnsi="Verdana" w:cs="Arial"/>
          <w:lang w:val="es-ES" w:eastAsia="es-ES"/>
        </w:rPr>
      </w:pPr>
      <w:r w:rsidRPr="003519EF">
        <w:rPr>
          <w:rFonts w:ascii="Verdana" w:eastAsia="Calibri" w:hAnsi="Verdana" w:cs="Arial"/>
          <w:lang w:val="es-ES" w:eastAsia="es-ES"/>
        </w:rPr>
        <w:t>En ejercicio de la competencia otorgada por los artículos 3, numeral 5º, y 11, numeral 8º, del Decreto Ley 4170 de 2011,</w:t>
      </w:r>
      <w:r w:rsidRPr="003519EF">
        <w:rPr>
          <w:rFonts w:ascii="Verdana" w:eastAsia="Arial MT" w:hAnsi="Verdana" w:cs="Arial MT"/>
          <w:lang w:val="es-ES" w:eastAsia="es-ES"/>
        </w:rPr>
        <w:t xml:space="preserve"> </w:t>
      </w:r>
      <w:r w:rsidRPr="003519EF">
        <w:rPr>
          <w:rFonts w:ascii="Verdana" w:hAnsi="Verdana" w:cs="Arial"/>
        </w:rPr>
        <w:t xml:space="preserve">así como lo establecido en el artículo 4 de la Resolución 1707 de 2018 expedida por esta Entidad, </w:t>
      </w:r>
      <w:r w:rsidRPr="003519EF">
        <w:rPr>
          <w:rFonts w:ascii="Verdana" w:eastAsia="Calibri" w:hAnsi="Verdana" w:cs="Arial"/>
          <w:lang w:val="es-ES" w:eastAsia="es-ES"/>
        </w:rPr>
        <w:t>la Agencia Nacional de Contratación Pública – Colombia Compra Eficiente– responde su solicitud de consulta de fecha 5 de diciembre de 202</w:t>
      </w:r>
      <w:r>
        <w:rPr>
          <w:rFonts w:ascii="Verdana" w:eastAsia="Calibri" w:hAnsi="Verdana" w:cs="Arial"/>
          <w:lang w:val="es-ES" w:eastAsia="es-ES"/>
        </w:rPr>
        <w:t>4</w:t>
      </w:r>
      <w:r w:rsidRPr="003519EF">
        <w:rPr>
          <w:rFonts w:ascii="Verdana" w:eastAsia="Calibri" w:hAnsi="Verdana" w:cs="Arial"/>
          <w:lang w:val="es-ES" w:eastAsia="es-ES"/>
        </w:rPr>
        <w:t xml:space="preserve">, en la cual manifiesta lo siguiente: </w:t>
      </w:r>
    </w:p>
    <w:p w14:paraId="676AC7B1" w14:textId="77777777" w:rsidR="0041392B" w:rsidRPr="003979D7" w:rsidRDefault="0041392B" w:rsidP="0041392B">
      <w:pPr>
        <w:pStyle w:val="Prrafodelista"/>
        <w:tabs>
          <w:tab w:val="left" w:pos="142"/>
          <w:tab w:val="left" w:pos="284"/>
        </w:tabs>
        <w:spacing w:line="276" w:lineRule="auto"/>
        <w:ind w:left="0"/>
        <w:jc w:val="both"/>
        <w:rPr>
          <w:rFonts w:ascii="Verdana" w:eastAsia="Century Gothic" w:hAnsi="Verdana" w:cs="Century Gothic"/>
          <w:b/>
          <w:bCs/>
        </w:rPr>
      </w:pPr>
    </w:p>
    <w:p w14:paraId="067BC8D1" w14:textId="77777777" w:rsidR="0041392B" w:rsidRPr="003979D7" w:rsidRDefault="0041392B" w:rsidP="0041392B">
      <w:pPr>
        <w:spacing w:after="0" w:line="240" w:lineRule="auto"/>
        <w:ind w:left="709" w:right="709"/>
        <w:jc w:val="both"/>
        <w:rPr>
          <w:rFonts w:ascii="Verdana" w:eastAsia="Century Gothic" w:hAnsi="Verdana" w:cs="Century Gothic"/>
          <w:sz w:val="20"/>
          <w:szCs w:val="20"/>
          <w:lang w:val="es-ES"/>
        </w:rPr>
      </w:pPr>
      <w:bookmarkStart w:id="0" w:name="_Hlk95313578"/>
      <w:r w:rsidRPr="003979D7">
        <w:rPr>
          <w:rFonts w:ascii="Verdana" w:eastAsia="Century Gothic" w:hAnsi="Verdana" w:cs="Century Gothic"/>
          <w:sz w:val="20"/>
          <w:szCs w:val="20"/>
          <w:lang w:val="es-ES"/>
        </w:rPr>
        <w:t>“</w:t>
      </w:r>
      <w:r w:rsidRPr="003979D7">
        <w:rPr>
          <w:rFonts w:ascii="Verdana" w:hAnsi="Verdana" w:cs="Arial"/>
          <w:sz w:val="20"/>
          <w:szCs w:val="20"/>
          <w:shd w:val="clear" w:color="auto" w:fill="FFFFFF"/>
        </w:rPr>
        <w:t>En un proceso de contratación estatal donde el Pliego de Condiciones establece que un requisito debe contener una información, y la entidad suministra un formato que detalla que se debe aportar una información distinta, ¿qué información es la que se debe aportar, la que exige el Pliego de Condiciones o la que indica el formato a diligenciar?</w:t>
      </w:r>
      <w:r w:rsidRPr="003979D7">
        <w:rPr>
          <w:rFonts w:ascii="Verdana" w:eastAsia="Century Gothic" w:hAnsi="Verdana" w:cs="Century Gothic"/>
          <w:sz w:val="20"/>
          <w:szCs w:val="20"/>
          <w:lang w:val="es-ES"/>
        </w:rPr>
        <w:t>”</w:t>
      </w:r>
      <w:bookmarkEnd w:id="0"/>
      <w:r w:rsidRPr="003979D7">
        <w:rPr>
          <w:rFonts w:ascii="Verdana" w:eastAsia="Century Gothic" w:hAnsi="Verdana" w:cs="Century Gothic"/>
          <w:sz w:val="20"/>
          <w:szCs w:val="20"/>
          <w:lang w:val="es-ES"/>
        </w:rPr>
        <w:t>.</w:t>
      </w:r>
    </w:p>
    <w:p w14:paraId="55D3A289" w14:textId="77777777" w:rsidR="0041392B" w:rsidRPr="00593A5F" w:rsidRDefault="0041392B" w:rsidP="0041392B">
      <w:pPr>
        <w:pStyle w:val="Prrafodelista"/>
        <w:tabs>
          <w:tab w:val="left" w:pos="142"/>
          <w:tab w:val="left" w:pos="284"/>
        </w:tabs>
        <w:spacing w:line="276" w:lineRule="auto"/>
        <w:ind w:left="0"/>
        <w:jc w:val="both"/>
        <w:rPr>
          <w:rFonts w:ascii="Verdana" w:eastAsia="Century Gothic" w:hAnsi="Verdana" w:cs="Century Gothic"/>
          <w:b/>
          <w:bCs/>
        </w:rPr>
      </w:pPr>
    </w:p>
    <w:p w14:paraId="330F4CD8" w14:textId="77777777" w:rsidR="0041392B" w:rsidRDefault="0041392B" w:rsidP="0041392B">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593A5F">
        <w:rPr>
          <w:rFonts w:ascii="Verdana" w:eastAsia="Calibri" w:hAnsi="Verdana" w:cs="Arial"/>
          <w:color w:val="000000"/>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D03C399" w14:textId="77777777" w:rsidR="0041392B" w:rsidRDefault="0041392B" w:rsidP="0041392B">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4473A936" w14:textId="77777777" w:rsidR="0041392B" w:rsidRPr="00593A5F" w:rsidRDefault="0041392B" w:rsidP="0041392B">
      <w:pPr>
        <w:spacing w:after="0" w:line="276" w:lineRule="auto"/>
        <w:ind w:firstLine="709"/>
        <w:jc w:val="both"/>
        <w:rPr>
          <w:rFonts w:ascii="Verdana" w:eastAsia="Calibri" w:hAnsi="Verdana" w:cs="Arial"/>
          <w:color w:val="000000"/>
          <w:lang w:val="es-ES" w:eastAsia="es-ES"/>
        </w:rPr>
      </w:pPr>
    </w:p>
    <w:p w14:paraId="242F545C" w14:textId="77777777" w:rsidR="0041392B" w:rsidRPr="00593A5F" w:rsidRDefault="0041392B" w:rsidP="0041392B">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46C41BCC" w14:textId="77777777" w:rsidR="0041392B" w:rsidRPr="00593A5F" w:rsidRDefault="0041392B" w:rsidP="0041392B">
      <w:pPr>
        <w:tabs>
          <w:tab w:val="left" w:pos="426"/>
        </w:tabs>
        <w:spacing w:after="0" w:line="276" w:lineRule="auto"/>
        <w:jc w:val="both"/>
        <w:rPr>
          <w:rFonts w:ascii="Verdana" w:eastAsia="Century Gothic" w:hAnsi="Verdana" w:cs="Century Gothic"/>
          <w:lang w:val="es-ES"/>
        </w:rPr>
      </w:pPr>
    </w:p>
    <w:p w14:paraId="6C6B3ACC" w14:textId="68774B99" w:rsidR="0041392B" w:rsidRPr="00593A5F" w:rsidRDefault="0041392B" w:rsidP="0041392B">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el siguiente problema</w:t>
      </w:r>
      <w:r>
        <w:rPr>
          <w:rFonts w:ascii="Verdana" w:eastAsia="Century Gothic" w:hAnsi="Verdana" w:cs="Century Gothic"/>
        </w:rPr>
        <w:t xml:space="preserve"> </w:t>
      </w:r>
      <w:r w:rsidRPr="00593A5F">
        <w:rPr>
          <w:rFonts w:ascii="Verdana" w:eastAsia="Century Gothic" w:hAnsi="Verdana" w:cs="Century Gothic"/>
        </w:rPr>
        <w:t xml:space="preserve">jurídico: </w:t>
      </w:r>
      <w:r w:rsidRPr="003519EF">
        <w:rPr>
          <w:rFonts w:ascii="Verdana" w:eastAsia="Century Gothic" w:hAnsi="Verdana" w:cs="Century Gothic"/>
        </w:rPr>
        <w:t xml:space="preserve">¿Cuáles son las reglas de interpretación que deben aplicarse cuando existen contradicciones entre el pliego de condiciones y </w:t>
      </w:r>
      <w:r w:rsidR="008D73CE">
        <w:rPr>
          <w:rFonts w:ascii="Verdana" w:eastAsia="Century Gothic" w:hAnsi="Verdana" w:cs="Century Gothic"/>
        </w:rPr>
        <w:t>un</w:t>
      </w:r>
      <w:r w:rsidRPr="003519EF">
        <w:rPr>
          <w:rFonts w:ascii="Verdana" w:eastAsia="Century Gothic" w:hAnsi="Verdana" w:cs="Century Gothic"/>
        </w:rPr>
        <w:t xml:space="preserve"> formato que</w:t>
      </w:r>
      <w:r w:rsidR="008D73CE">
        <w:rPr>
          <w:rFonts w:ascii="Verdana" w:eastAsia="Century Gothic" w:hAnsi="Verdana" w:cs="Century Gothic"/>
        </w:rPr>
        <w:t xml:space="preserve"> la entidad e</w:t>
      </w:r>
      <w:r w:rsidR="00532DF9">
        <w:rPr>
          <w:rFonts w:ascii="Verdana" w:eastAsia="Century Gothic" w:hAnsi="Verdana" w:cs="Century Gothic"/>
        </w:rPr>
        <w:t xml:space="preserve">stablece como requisito en </w:t>
      </w:r>
      <w:r w:rsidRPr="003519EF">
        <w:rPr>
          <w:rFonts w:ascii="Verdana" w:eastAsia="Century Gothic" w:hAnsi="Verdana" w:cs="Century Gothic"/>
        </w:rPr>
        <w:t xml:space="preserve">el proceso de contratación? </w:t>
      </w:r>
    </w:p>
    <w:p w14:paraId="68BB8E35" w14:textId="77777777" w:rsidR="0041392B" w:rsidRPr="00593A5F" w:rsidRDefault="0041392B" w:rsidP="0041392B">
      <w:pPr>
        <w:spacing w:after="0" w:line="276" w:lineRule="auto"/>
        <w:jc w:val="both"/>
        <w:rPr>
          <w:rFonts w:ascii="Verdana" w:eastAsia="Calibri" w:hAnsi="Verdana" w:cs="Arial"/>
          <w:color w:val="7030A0"/>
          <w:lang w:val="es-ES"/>
        </w:rPr>
      </w:pPr>
    </w:p>
    <w:p w14:paraId="7E4B68E2" w14:textId="77777777" w:rsidR="0041392B" w:rsidRPr="00593A5F" w:rsidRDefault="0041392B" w:rsidP="004139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2E0399F1" w14:textId="77777777" w:rsidR="0041392B" w:rsidRPr="00593A5F" w:rsidRDefault="0041392B" w:rsidP="0041392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1392B" w:rsidRPr="00593A5F" w14:paraId="6C405230" w14:textId="77777777" w:rsidTr="008E1FB1">
        <w:tc>
          <w:tcPr>
            <w:tcW w:w="8828" w:type="dxa"/>
            <w:shd w:val="clear" w:color="auto" w:fill="auto"/>
          </w:tcPr>
          <w:p w14:paraId="5B35857F" w14:textId="77777777" w:rsidR="0041392B" w:rsidRPr="002379AA" w:rsidRDefault="0041392B" w:rsidP="008E1FB1">
            <w:pPr>
              <w:spacing w:after="120" w:line="276" w:lineRule="auto"/>
              <w:jc w:val="both"/>
              <w:rPr>
                <w:rFonts w:ascii="Verdana" w:eastAsia="Batang" w:hAnsi="Verdana" w:cs="Arial"/>
                <w:lang w:val="es-MX"/>
              </w:rPr>
            </w:pPr>
            <w:r>
              <w:rPr>
                <w:rFonts w:ascii="Verdana" w:eastAsia="Calibri" w:hAnsi="Verdana" w:cs="Arial"/>
                <w:lang w:val="es-MX"/>
              </w:rPr>
              <w:t xml:space="preserve">En relación con el problema jurídico, debe señalarse que, </w:t>
            </w:r>
            <w:r w:rsidRPr="002379AA">
              <w:rPr>
                <w:rFonts w:ascii="Verdana" w:eastAsia="Batang" w:hAnsi="Verdana" w:cs="Arial"/>
                <w:lang w:val="es-MX"/>
              </w:rPr>
              <w:t xml:space="preserve">de acuerdo con la jurisprudencia de la Sección Tercera del Consejo de Estado, las reglas de los pliegos de condiciones deben prevalecer sobre los demás documentos del contrato e incluso sobre la minuta, la cual se limita a formalizar el acuerdo de voluntades. Por lo tanto, ha reiterado que las reglas contenidas en los pliegos de condiciones que adolecen de vacíos o contradicciones deben de interpretarse </w:t>
            </w:r>
            <w:r w:rsidRPr="002379AA">
              <w:rPr>
                <w:rFonts w:ascii="Verdana" w:eastAsia="Batang" w:hAnsi="Verdana" w:cs="Arial"/>
                <w:i/>
                <w:iCs/>
                <w:lang w:val="es-MX"/>
              </w:rPr>
              <w:t xml:space="preserve">“con sujeción a los principios generales </w:t>
            </w:r>
            <w:proofErr w:type="gramStart"/>
            <w:r w:rsidRPr="002379AA">
              <w:rPr>
                <w:rFonts w:ascii="Verdana" w:eastAsia="Batang" w:hAnsi="Verdana" w:cs="Arial"/>
                <w:i/>
                <w:iCs/>
                <w:lang w:val="es-MX"/>
              </w:rPr>
              <w:t>del derechos</w:t>
            </w:r>
            <w:proofErr w:type="gramEnd"/>
            <w:r w:rsidRPr="002379AA">
              <w:rPr>
                <w:rFonts w:ascii="Verdana" w:eastAsia="Batang" w:hAnsi="Verdana" w:cs="Arial"/>
                <w:i/>
                <w:iCs/>
                <w:lang w:val="es-MX"/>
              </w:rPr>
              <w:t>, a los de la función administrativa, a la finalidad del pliego y a la protección del interés general, de conformidad con lo previsto en el artículo 23 de la Ley 80 de 1993”</w:t>
            </w:r>
            <w:r w:rsidRPr="002379AA">
              <w:rPr>
                <w:rFonts w:ascii="Verdana" w:eastAsia="Batang" w:hAnsi="Verdana" w:cs="Arial"/>
                <w:i/>
                <w:iCs/>
                <w:vertAlign w:val="superscript"/>
                <w:lang w:val="es-MX"/>
              </w:rPr>
              <w:footnoteReference w:id="1"/>
            </w:r>
            <w:r w:rsidRPr="002379AA">
              <w:rPr>
                <w:rFonts w:ascii="Verdana" w:eastAsia="Batang" w:hAnsi="Verdana" w:cs="Arial"/>
                <w:i/>
                <w:iCs/>
                <w:lang w:val="es-MX"/>
              </w:rPr>
              <w:t>.</w:t>
            </w:r>
          </w:p>
          <w:p w14:paraId="2F4F35E6" w14:textId="77777777" w:rsidR="0041392B" w:rsidRPr="002379AA" w:rsidRDefault="0041392B" w:rsidP="008E1FB1">
            <w:pPr>
              <w:spacing w:after="120" w:line="276" w:lineRule="auto"/>
              <w:jc w:val="both"/>
              <w:rPr>
                <w:rFonts w:ascii="Verdana" w:eastAsia="Batang" w:hAnsi="Verdana" w:cs="Arial"/>
              </w:rPr>
            </w:pPr>
            <w:r w:rsidRPr="002379AA">
              <w:rPr>
                <w:rFonts w:ascii="Verdana" w:eastAsia="Batang" w:hAnsi="Verdana" w:cs="Arial"/>
                <w:lang w:val="es-MX"/>
              </w:rPr>
              <w:t xml:space="preserve">De acuerdo con lo anterior, es posible establecer, por ejemplo, que </w:t>
            </w:r>
            <w:r w:rsidRPr="002379AA">
              <w:rPr>
                <w:rFonts w:ascii="Verdana" w:eastAsia="Batang" w:hAnsi="Verdana" w:cs="Arial"/>
              </w:rPr>
              <w:t xml:space="preserve">en caso de contradicción entre el contenido establecido en el pliego de condiciones y el </w:t>
            </w:r>
            <w:r w:rsidRPr="002379AA">
              <w:rPr>
                <w:rFonts w:ascii="Verdana" w:eastAsia="Batang" w:hAnsi="Verdana" w:cs="Arial"/>
              </w:rPr>
              <w:lastRenderedPageBreak/>
              <w:t xml:space="preserve">incluido por la entidad, proponentes o contratista en los demás documentos del proceso de contratación, </w:t>
            </w:r>
            <w:r w:rsidRPr="00A63B00">
              <w:rPr>
                <w:rFonts w:ascii="Verdana" w:eastAsia="Batang" w:hAnsi="Verdana" w:cs="Arial"/>
                <w:u w:val="single"/>
              </w:rPr>
              <w:t>primará lo señalado en el pliego de condiciones</w:t>
            </w:r>
            <w:r w:rsidRPr="002379AA">
              <w:rPr>
                <w:rFonts w:ascii="Verdana" w:eastAsia="Batang" w:hAnsi="Verdana" w:cs="Arial"/>
              </w:rPr>
              <w:t xml:space="preserve">. </w:t>
            </w:r>
          </w:p>
          <w:p w14:paraId="0CD38D74" w14:textId="77777777" w:rsidR="0041392B" w:rsidRPr="002379AA" w:rsidRDefault="0041392B" w:rsidP="008E1FB1">
            <w:pPr>
              <w:spacing w:after="120" w:line="276" w:lineRule="auto"/>
              <w:ind w:firstLine="708"/>
              <w:jc w:val="both"/>
              <w:rPr>
                <w:rFonts w:ascii="Verdana" w:eastAsia="Batang" w:hAnsi="Verdana" w:cs="Arial"/>
              </w:rPr>
            </w:pPr>
            <w:r w:rsidRPr="002379AA">
              <w:rPr>
                <w:rFonts w:ascii="Verdana" w:eastAsia="Batang" w:hAnsi="Verdana" w:cs="Arial"/>
              </w:rPr>
              <w:t xml:space="preserve">Sin perjuicio de lo anterior, la entidad, proponentes o contratista podrán acudir, en lo pertinente, a las reglas de interpretación </w:t>
            </w:r>
            <w:r w:rsidRPr="002379AA">
              <w:rPr>
                <w:rFonts w:ascii="Verdana" w:eastAsia="Batang" w:hAnsi="Verdana" w:cs="Arial"/>
                <w:lang w:val="es-MX"/>
              </w:rPr>
              <w:t xml:space="preserve">objetivas y subjetivas conforme a los artículos 1618 a 1624 del Código Civil. Por una parte, las </w:t>
            </w:r>
            <w:r w:rsidRPr="002379AA">
              <w:rPr>
                <w:rFonts w:ascii="Verdana" w:eastAsia="Batang" w:hAnsi="Verdana" w:cs="Arial"/>
                <w:i/>
                <w:iCs/>
                <w:lang w:val="es-MX"/>
              </w:rPr>
              <w:t>objetivas</w:t>
            </w:r>
            <w:r w:rsidRPr="002379AA">
              <w:rPr>
                <w:rFonts w:ascii="Verdana" w:eastAsia="Batang" w:hAnsi="Verdana" w:cs="Arial"/>
                <w:lang w:val="es-MX"/>
              </w:rPr>
              <w:t xml:space="preserve"> son las siguientes: i) una vez conocida la intención de los contratantes ha de estarse más a ella que a lo literal de las palabras (artículo 1618 del Código Civil); ii) </w:t>
            </w:r>
            <w:r w:rsidRPr="002379AA">
              <w:rPr>
                <w:rFonts w:ascii="Verdana" w:eastAsia="Batang" w:hAnsi="Verdana" w:cs="Arial"/>
              </w:rPr>
              <w:t xml:space="preserve">las estipulaciones de un contrato pueden interpretarse por la de otro que las partes hayan celebrado sobre la misma materia o por la aplicación práctica que de ellas hayan hecho (artículo 1622, incisos 2 y 3 </w:t>
            </w:r>
            <w:r w:rsidRPr="002379AA">
              <w:rPr>
                <w:rFonts w:ascii="Verdana" w:eastAsia="Batang" w:hAnsi="Verdana" w:cs="Arial"/>
                <w:i/>
                <w:iCs/>
              </w:rPr>
              <w:t>ibídem</w:t>
            </w:r>
            <w:r w:rsidRPr="002379AA">
              <w:rPr>
                <w:rFonts w:ascii="Verdana" w:eastAsia="Batang" w:hAnsi="Verdana" w:cs="Arial"/>
              </w:rPr>
              <w:t xml:space="preserve">); iii) las cláusulas deben interpretarse unas por otras, dándole a cada una el sentido que más convenga al contrato en su totalidad (artículo 1622, inciso 1 </w:t>
            </w:r>
            <w:r w:rsidRPr="002379AA">
              <w:rPr>
                <w:rFonts w:ascii="Verdana" w:eastAsia="Batang" w:hAnsi="Verdana" w:cs="Arial"/>
                <w:i/>
                <w:iCs/>
              </w:rPr>
              <w:t>ibídem</w:t>
            </w:r>
            <w:r w:rsidRPr="002379AA">
              <w:rPr>
                <w:rFonts w:ascii="Verdana" w:eastAsia="Batang" w:hAnsi="Verdana" w:cs="Arial"/>
              </w:rPr>
              <w:t xml:space="preserve">); iv) si en un contrato se expresa un caso para explicar la obligación se entiende que esa mención no es restrictiva sino ejemplificativa (artículo 1623 </w:t>
            </w:r>
            <w:r w:rsidRPr="002379AA">
              <w:rPr>
                <w:rFonts w:ascii="Verdana" w:eastAsia="Batang" w:hAnsi="Verdana" w:cs="Arial"/>
                <w:i/>
                <w:iCs/>
              </w:rPr>
              <w:t>ibídem</w:t>
            </w:r>
            <w:r w:rsidRPr="002379AA">
              <w:rPr>
                <w:rFonts w:ascii="Verdana" w:eastAsia="Batang" w:hAnsi="Verdana" w:cs="Arial"/>
              </w:rPr>
              <w:t xml:space="preserve">); y v) se entiende que las expresiones generales contenidas en el negocio únicamente se aplican a la materia sobre la que se ha contratado (artículo 1619, inciso 2 </w:t>
            </w:r>
            <w:r w:rsidRPr="002379AA">
              <w:rPr>
                <w:rFonts w:ascii="Verdana" w:eastAsia="Batang" w:hAnsi="Verdana" w:cs="Arial"/>
                <w:i/>
                <w:iCs/>
              </w:rPr>
              <w:t>ibídem</w:t>
            </w:r>
            <w:r w:rsidRPr="002379AA">
              <w:rPr>
                <w:rFonts w:ascii="Verdana" w:eastAsia="Batang" w:hAnsi="Verdana" w:cs="Arial"/>
              </w:rPr>
              <w:t xml:space="preserve">). </w:t>
            </w:r>
          </w:p>
          <w:p w14:paraId="2AE646E6" w14:textId="77777777" w:rsidR="0041392B" w:rsidRDefault="0041392B" w:rsidP="008E1FB1">
            <w:pPr>
              <w:spacing w:after="120" w:line="276" w:lineRule="auto"/>
              <w:ind w:firstLine="708"/>
              <w:jc w:val="both"/>
              <w:rPr>
                <w:rFonts w:ascii="Verdana" w:eastAsia="Batang" w:hAnsi="Verdana" w:cs="Arial"/>
                <w:lang w:val="es-MX"/>
              </w:rPr>
            </w:pPr>
            <w:r w:rsidRPr="002379AA">
              <w:rPr>
                <w:rFonts w:ascii="Verdana" w:eastAsia="Batang" w:hAnsi="Verdana" w:cs="Arial"/>
              </w:rPr>
              <w:t xml:space="preserve">Por su parte, las reglas </w:t>
            </w:r>
            <w:r w:rsidRPr="002379AA">
              <w:rPr>
                <w:rFonts w:ascii="Verdana" w:eastAsia="Batang" w:hAnsi="Verdana" w:cs="Arial"/>
                <w:i/>
                <w:iCs/>
              </w:rPr>
              <w:t>subjetivas</w:t>
            </w:r>
            <w:r w:rsidRPr="002379AA">
              <w:rPr>
                <w:rFonts w:ascii="Verdana" w:eastAsia="Batang" w:hAnsi="Verdana" w:cs="Arial"/>
              </w:rPr>
              <w:t xml:space="preserve"> de interpretación se refieren a las siguientes: vi) </w:t>
            </w:r>
            <w:r w:rsidRPr="002379AA">
              <w:rPr>
                <w:rFonts w:ascii="Verdana" w:eastAsia="Batang" w:hAnsi="Verdana" w:cs="Arial"/>
                <w:lang w:val="es-MX"/>
              </w:rPr>
              <w:t xml:space="preserve">el sentido en que una cláusula pueda producir algún efecto deberá preferirse a aquel en que no produzca efecto alguno </w:t>
            </w:r>
            <w:r w:rsidRPr="002379AA">
              <w:rPr>
                <w:rFonts w:ascii="Verdana" w:eastAsia="Batang" w:hAnsi="Verdana" w:cs="Arial"/>
              </w:rPr>
              <w:t xml:space="preserve">(artículo 1620 </w:t>
            </w:r>
            <w:r w:rsidRPr="002379AA">
              <w:rPr>
                <w:rFonts w:ascii="Verdana" w:eastAsia="Batang" w:hAnsi="Verdana" w:cs="Arial"/>
                <w:i/>
                <w:iCs/>
              </w:rPr>
              <w:t>ibídem</w:t>
            </w:r>
            <w:r w:rsidRPr="002379AA">
              <w:rPr>
                <w:rFonts w:ascii="Verdana" w:eastAsia="Batang" w:hAnsi="Verdana" w:cs="Arial"/>
              </w:rPr>
              <w:t>); vii)</w:t>
            </w:r>
            <w:r w:rsidRPr="002379AA">
              <w:rPr>
                <w:rFonts w:ascii="Verdana" w:eastAsia="Batang" w:hAnsi="Verdana" w:cs="Arial"/>
                <w:lang w:val="es-MX"/>
              </w:rPr>
              <w:t xml:space="preserve"> deberá estarse a la interpretación que mejor cuadre con la naturaleza del contrato </w:t>
            </w:r>
            <w:r w:rsidRPr="002379AA">
              <w:rPr>
                <w:rFonts w:ascii="Verdana" w:eastAsia="Batang" w:hAnsi="Verdana" w:cs="Arial"/>
              </w:rPr>
              <w:t xml:space="preserve">(artículo 1621 </w:t>
            </w:r>
            <w:r w:rsidRPr="002379AA">
              <w:rPr>
                <w:rFonts w:ascii="Verdana" w:eastAsia="Batang" w:hAnsi="Verdana" w:cs="Arial"/>
                <w:i/>
                <w:iCs/>
              </w:rPr>
              <w:t>ibídem</w:t>
            </w:r>
            <w:r w:rsidRPr="002379AA">
              <w:rPr>
                <w:rFonts w:ascii="Verdana" w:eastAsia="Batang" w:hAnsi="Verdana" w:cs="Arial"/>
              </w:rPr>
              <w:t>)</w:t>
            </w:r>
            <w:r w:rsidRPr="002379AA">
              <w:rPr>
                <w:rFonts w:ascii="Verdana" w:eastAsia="Batang" w:hAnsi="Verdana" w:cs="Arial"/>
                <w:lang w:val="es-MX"/>
              </w:rPr>
              <w:t xml:space="preserve">; viii) las cláusulas ambiguas se interpretan a favor del deudor </w:t>
            </w:r>
            <w:r w:rsidRPr="002379AA">
              <w:rPr>
                <w:rFonts w:ascii="Verdana" w:eastAsia="Batang" w:hAnsi="Verdana" w:cs="Arial"/>
              </w:rPr>
              <w:t>(artículo 1624, inciso 1 ibídem); y ix</w:t>
            </w:r>
            <w:r w:rsidRPr="002379AA">
              <w:rPr>
                <w:rFonts w:ascii="Verdana" w:eastAsia="Batang" w:hAnsi="Verdana" w:cs="Arial"/>
                <w:i/>
                <w:iCs/>
              </w:rPr>
              <w:t>)</w:t>
            </w:r>
            <w:r w:rsidRPr="002379AA">
              <w:rPr>
                <w:rFonts w:ascii="Verdana" w:eastAsia="Batang" w:hAnsi="Verdana" w:cs="Arial"/>
                <w:i/>
                <w:iCs/>
                <w:lang w:val="es-MX"/>
              </w:rPr>
              <w:t xml:space="preserve"> las cláusulas oscuras que hayan sido extendidas o dictadas por una parte se interpretarán contra ella si la ambigüedad proviene de una explicación que ésta ha debido dar</w:t>
            </w:r>
            <w:r w:rsidRPr="002379AA">
              <w:rPr>
                <w:rFonts w:ascii="Verdana" w:eastAsia="Batang" w:hAnsi="Verdana" w:cs="Arial"/>
                <w:lang w:val="es-MX"/>
              </w:rPr>
              <w:t xml:space="preserve"> </w:t>
            </w:r>
            <w:r w:rsidRPr="002379AA">
              <w:rPr>
                <w:rFonts w:ascii="Verdana" w:eastAsia="Batang" w:hAnsi="Verdana" w:cs="Arial"/>
              </w:rPr>
              <w:t xml:space="preserve">(artículo 1624, inciso 2 </w:t>
            </w:r>
            <w:r w:rsidRPr="002379AA">
              <w:rPr>
                <w:rFonts w:ascii="Verdana" w:eastAsia="Batang" w:hAnsi="Verdana" w:cs="Arial"/>
                <w:i/>
                <w:iCs/>
              </w:rPr>
              <w:t>ibídem</w:t>
            </w:r>
            <w:r w:rsidRPr="002379AA">
              <w:rPr>
                <w:rFonts w:ascii="Verdana" w:eastAsia="Batang" w:hAnsi="Verdana" w:cs="Arial"/>
              </w:rPr>
              <w:t>)</w:t>
            </w:r>
            <w:r w:rsidRPr="002379AA">
              <w:rPr>
                <w:rFonts w:ascii="Verdana" w:eastAsia="Batang" w:hAnsi="Verdana" w:cs="Arial"/>
                <w:lang w:val="es-MX"/>
              </w:rPr>
              <w:t xml:space="preserve">. </w:t>
            </w:r>
          </w:p>
          <w:p w14:paraId="5F3AC264" w14:textId="5656453A" w:rsidR="0041392B" w:rsidRPr="00593A5F" w:rsidRDefault="0041392B" w:rsidP="00A13D40">
            <w:pPr>
              <w:spacing w:after="120" w:line="276" w:lineRule="auto"/>
              <w:ind w:firstLine="708"/>
              <w:jc w:val="both"/>
              <w:rPr>
                <w:rFonts w:ascii="Verdana" w:eastAsia="Calibri" w:hAnsi="Verdana" w:cs="Arial"/>
                <w:color w:val="7030A0"/>
                <w:lang w:val="es-ES"/>
              </w:rPr>
            </w:pPr>
            <w:r w:rsidRPr="002379AA">
              <w:rPr>
                <w:rFonts w:ascii="Verdana" w:eastAsia="Batang" w:hAnsi="Verdana" w:cs="Arial"/>
              </w:rPr>
              <w:t xml:space="preserve">Sin embargo, la aplicación de estos criterios siempre deberá tener en cuenta las circunstancias concretas de cada caso en particular, de manera que la entidad pueda optar por la interpretación que más se adecúe a la finalidad que persigue con el documento y sus anexos. </w:t>
            </w:r>
            <w:r w:rsidRPr="002379AA">
              <w:rPr>
                <w:rFonts w:ascii="Verdana" w:eastAsia="Batang" w:hAnsi="Verdana" w:cs="Arial"/>
                <w:lang w:val="es-MX"/>
              </w:rPr>
              <w:t xml:space="preserve">De todos modos, en caso de que el desacuerdo sobre el sentido o alcance de los documentos del proceso de contratación persista una vez aplicada las pautas anteriores, corresponde a los jueces de lo contencioso administrativo interpretar cuál de los documentos prevalece. Por tanto, es necesario señalar en que no es posible establecer </w:t>
            </w:r>
            <w:r w:rsidRPr="002379AA">
              <w:rPr>
                <w:rFonts w:ascii="Verdana" w:eastAsia="Batang" w:hAnsi="Verdana" w:cs="Arial"/>
                <w:i/>
                <w:iCs/>
                <w:lang w:val="es-MX"/>
              </w:rPr>
              <w:t xml:space="preserve">ex ante </w:t>
            </w:r>
            <w:r w:rsidRPr="002379AA">
              <w:rPr>
                <w:rFonts w:ascii="Verdana" w:eastAsia="Batang" w:hAnsi="Verdana" w:cs="Arial"/>
                <w:lang w:val="es-MX"/>
              </w:rPr>
              <w:t xml:space="preserve">la validez o prevalencia jurídica de los documentos contractuales, pues </w:t>
            </w:r>
            <w:r w:rsidRPr="002379AA">
              <w:rPr>
                <w:rFonts w:ascii="Verdana" w:eastAsia="Batang" w:hAnsi="Verdana" w:cs="Arial"/>
                <w:lang w:val="es-MX"/>
              </w:rPr>
              <w:lastRenderedPageBreak/>
              <w:t xml:space="preserve">estos deben valorarse integralmente, de acuerdo con las reglas anteriormente expuestas </w:t>
            </w:r>
            <w:r w:rsidRPr="002379AA">
              <w:rPr>
                <w:rFonts w:ascii="Verdana" w:eastAsia="Calibri" w:hAnsi="Verdana" w:cs="Arial"/>
                <w:lang w:val="es-MX"/>
              </w:rPr>
              <w:t>y atendiendo a las circunstancias adicionales de cada proceso</w:t>
            </w:r>
            <w:r w:rsidR="00AD19E3">
              <w:rPr>
                <w:rFonts w:ascii="Verdana" w:eastAsia="Calibri" w:hAnsi="Verdana" w:cs="Arial"/>
                <w:lang w:val="es-MX"/>
              </w:rPr>
              <w:t>.</w:t>
            </w:r>
          </w:p>
        </w:tc>
      </w:tr>
    </w:tbl>
    <w:p w14:paraId="7A9DEFCC" w14:textId="77777777" w:rsidR="0041392B" w:rsidRPr="00593A5F" w:rsidRDefault="0041392B" w:rsidP="0041392B">
      <w:pPr>
        <w:tabs>
          <w:tab w:val="left" w:pos="142"/>
          <w:tab w:val="left" w:pos="284"/>
        </w:tabs>
        <w:spacing w:after="0" w:line="276" w:lineRule="auto"/>
        <w:jc w:val="both"/>
        <w:rPr>
          <w:rFonts w:ascii="Verdana" w:eastAsia="Century Gothic" w:hAnsi="Verdana" w:cs="Century Gothic"/>
          <w:b/>
          <w:bCs/>
          <w:lang w:val="es-ES"/>
        </w:rPr>
      </w:pPr>
    </w:p>
    <w:p w14:paraId="180568C3" w14:textId="77777777" w:rsidR="0041392B" w:rsidRPr="00593A5F" w:rsidRDefault="0041392B" w:rsidP="004139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2290B9DD" w14:textId="77777777" w:rsidR="0041392B" w:rsidRPr="00593A5F" w:rsidRDefault="0041392B" w:rsidP="0041392B">
      <w:pPr>
        <w:spacing w:after="0" w:line="276" w:lineRule="auto"/>
        <w:jc w:val="both"/>
        <w:rPr>
          <w:rFonts w:ascii="Verdana" w:eastAsia="Calibri" w:hAnsi="Verdana" w:cs="Arial"/>
          <w:color w:val="7030A0"/>
          <w:lang w:val="es-ES"/>
        </w:rPr>
      </w:pPr>
    </w:p>
    <w:p w14:paraId="25370F88" w14:textId="77777777" w:rsidR="0041392B" w:rsidRPr="00B96799" w:rsidRDefault="0041392B" w:rsidP="0041392B">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4C5B8961" w14:textId="77777777" w:rsidR="0041392B" w:rsidRDefault="0041392B" w:rsidP="0041392B">
      <w:pPr>
        <w:spacing w:after="0" w:line="276" w:lineRule="auto"/>
        <w:jc w:val="both"/>
        <w:rPr>
          <w:rFonts w:ascii="Verdana" w:eastAsia="Calibri" w:hAnsi="Verdana" w:cs="Arial"/>
          <w:color w:val="7030A0"/>
          <w:lang w:val="es-ES"/>
        </w:rPr>
      </w:pPr>
    </w:p>
    <w:p w14:paraId="6EB2382F" w14:textId="77777777" w:rsidR="0041392B" w:rsidRPr="002379AA" w:rsidRDefault="0041392B" w:rsidP="0041392B">
      <w:pPr>
        <w:spacing w:after="0" w:line="276" w:lineRule="auto"/>
        <w:jc w:val="both"/>
        <w:rPr>
          <w:rFonts w:ascii="Verdana" w:eastAsia="Calibri" w:hAnsi="Verdana" w:cs="Arial"/>
          <w:lang w:val="es-ES"/>
        </w:rPr>
      </w:pPr>
      <w:r w:rsidRPr="002379AA">
        <w:rPr>
          <w:rFonts w:ascii="Verdana" w:eastAsia="Calibri" w:hAnsi="Verdana" w:cs="Arial"/>
          <w:lang w:val="es-ES"/>
        </w:rPr>
        <w:t>L</w:t>
      </w:r>
      <w:r w:rsidRPr="002379AA">
        <w:rPr>
          <w:rFonts w:ascii="Verdana" w:eastAsia="Calibri" w:hAnsi="Verdana" w:cs="Arial"/>
          <w:color w:val="000000" w:themeColor="text1"/>
        </w:rPr>
        <w:t>a contratación pública involucra, entre otras relaciones, la interacción entre la Administración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 la contratación pública, con el propósito de procurar un equilibrio y el cumplimiento de sus principios, entre otros objetivos.</w:t>
      </w:r>
    </w:p>
    <w:p w14:paraId="46225D22" w14:textId="77777777" w:rsidR="0041392B" w:rsidRPr="002379AA" w:rsidRDefault="0041392B" w:rsidP="0041392B">
      <w:pPr>
        <w:spacing w:before="120" w:after="0" w:line="276" w:lineRule="auto"/>
        <w:ind w:firstLine="709"/>
        <w:jc w:val="both"/>
        <w:rPr>
          <w:rFonts w:ascii="Verdana" w:eastAsia="Calibri" w:hAnsi="Verdana" w:cs="Arial"/>
          <w:color w:val="000000" w:themeColor="text1"/>
        </w:rPr>
      </w:pPr>
      <w:r w:rsidRPr="002379AA">
        <w:rPr>
          <w:rFonts w:ascii="Verdana" w:eastAsia="Calibri" w:hAnsi="Verdana" w:cs="Arial"/>
          <w:color w:val="000000" w:themeColor="text1"/>
        </w:rPr>
        <w:t>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procedimiento, de acuerdo con las normas relacionadas con la adquisición de que se trate, y que quedan definidos en el pliego de condiciones</w:t>
      </w:r>
      <w:r w:rsidRPr="002379AA">
        <w:rPr>
          <w:rFonts w:ascii="Verdana" w:eastAsia="Calibri" w:hAnsi="Verdana" w:cs="Arial"/>
          <w:color w:val="000000" w:themeColor="text1"/>
          <w:vertAlign w:val="superscript"/>
        </w:rPr>
        <w:footnoteReference w:id="2"/>
      </w:r>
      <w:r w:rsidRPr="002379AA">
        <w:rPr>
          <w:rFonts w:ascii="Verdana" w:eastAsia="Calibri" w:hAnsi="Verdana" w:cs="Arial"/>
          <w:color w:val="000000" w:themeColor="text1"/>
        </w:rPr>
        <w:t>. La Ley 80 de 1993, en el artículo 24, regula el principio de transparencia, sobre el cual se indican reglas para el contenido del pliego de condiciones:</w:t>
      </w:r>
    </w:p>
    <w:p w14:paraId="2F5BB725" w14:textId="77777777" w:rsidR="0041392B" w:rsidRPr="002379AA" w:rsidRDefault="0041392B" w:rsidP="0041392B">
      <w:pPr>
        <w:spacing w:after="0" w:line="276" w:lineRule="auto"/>
        <w:ind w:left="709" w:right="709"/>
        <w:jc w:val="both"/>
        <w:rPr>
          <w:rFonts w:ascii="Verdana" w:hAnsi="Verdana" w:cs="Arial"/>
          <w:color w:val="000000" w:themeColor="text1"/>
        </w:rPr>
      </w:pPr>
    </w:p>
    <w:p w14:paraId="6C8DDF74" w14:textId="77777777" w:rsidR="0041392B" w:rsidRPr="002379AA" w:rsidRDefault="0041392B" w:rsidP="0041392B">
      <w:pPr>
        <w:spacing w:after="0" w:line="240" w:lineRule="auto"/>
        <w:ind w:left="709" w:right="709"/>
        <w:contextualSpacing/>
        <w:jc w:val="both"/>
        <w:rPr>
          <w:rFonts w:ascii="Verdana" w:hAnsi="Verdana" w:cs="Arial"/>
          <w:color w:val="000000" w:themeColor="text1"/>
          <w:sz w:val="20"/>
          <w:szCs w:val="20"/>
        </w:rPr>
      </w:pPr>
      <w:r w:rsidRPr="002379AA">
        <w:rPr>
          <w:rFonts w:ascii="Verdana" w:hAnsi="Verdana" w:cs="Arial"/>
          <w:color w:val="000000" w:themeColor="text1"/>
          <w:sz w:val="20"/>
          <w:szCs w:val="20"/>
        </w:rPr>
        <w:t>“[...]</w:t>
      </w:r>
    </w:p>
    <w:p w14:paraId="19C25D41" w14:textId="77777777" w:rsidR="0041392B" w:rsidRPr="002379AA" w:rsidRDefault="0041392B" w:rsidP="0041392B">
      <w:pPr>
        <w:spacing w:after="0" w:line="240" w:lineRule="auto"/>
        <w:ind w:left="709" w:right="709"/>
        <w:contextualSpacing/>
        <w:jc w:val="both"/>
        <w:rPr>
          <w:rFonts w:ascii="Verdana" w:hAnsi="Verdana" w:cs="Arial"/>
          <w:color w:val="000000" w:themeColor="text1"/>
          <w:sz w:val="20"/>
          <w:szCs w:val="20"/>
        </w:rPr>
      </w:pPr>
      <w:r w:rsidRPr="002379AA">
        <w:rPr>
          <w:rFonts w:ascii="Verdana" w:hAnsi="Verdana" w:cs="Arial"/>
          <w:color w:val="000000" w:themeColor="text1"/>
          <w:sz w:val="20"/>
          <w:szCs w:val="20"/>
        </w:rPr>
        <w:t>5o. En los pliegos de condiciones:</w:t>
      </w:r>
    </w:p>
    <w:p w14:paraId="508040AF" w14:textId="77777777" w:rsidR="0041392B" w:rsidRPr="002379AA" w:rsidRDefault="0041392B" w:rsidP="0041392B">
      <w:pPr>
        <w:spacing w:after="0" w:line="240" w:lineRule="auto"/>
        <w:ind w:left="709" w:right="709"/>
        <w:contextualSpacing/>
        <w:jc w:val="both"/>
        <w:rPr>
          <w:rFonts w:ascii="Verdana" w:hAnsi="Verdana" w:cs="Arial"/>
          <w:color w:val="000000" w:themeColor="text1"/>
          <w:sz w:val="20"/>
          <w:szCs w:val="20"/>
        </w:rPr>
      </w:pPr>
    </w:p>
    <w:p w14:paraId="633E4AA5" w14:textId="77777777" w:rsidR="0041392B" w:rsidRPr="002379AA" w:rsidRDefault="0041392B" w:rsidP="0041392B">
      <w:pPr>
        <w:spacing w:after="0" w:line="240" w:lineRule="auto"/>
        <w:ind w:left="709" w:right="709"/>
        <w:contextualSpacing/>
        <w:jc w:val="both"/>
        <w:rPr>
          <w:rFonts w:ascii="Verdana" w:hAnsi="Verdana" w:cs="Arial"/>
          <w:color w:val="000000" w:themeColor="text1"/>
          <w:sz w:val="20"/>
          <w:szCs w:val="20"/>
        </w:rPr>
      </w:pPr>
      <w:r w:rsidRPr="002379AA">
        <w:rPr>
          <w:rFonts w:ascii="Verdana" w:hAnsi="Verdana" w:cs="Arial"/>
          <w:color w:val="000000" w:themeColor="text1"/>
          <w:sz w:val="20"/>
          <w:szCs w:val="20"/>
        </w:rPr>
        <w:t>a) Se indicarán los requisitos objetivos necesarios para participar en el correspondiente proceso de selección.</w:t>
      </w:r>
    </w:p>
    <w:p w14:paraId="67C28A4F" w14:textId="77777777" w:rsidR="0041392B" w:rsidRPr="002379AA" w:rsidRDefault="0041392B" w:rsidP="0041392B">
      <w:pPr>
        <w:spacing w:after="0" w:line="240" w:lineRule="auto"/>
        <w:ind w:left="709" w:right="709"/>
        <w:contextualSpacing/>
        <w:jc w:val="both"/>
        <w:rPr>
          <w:rFonts w:ascii="Verdana" w:hAnsi="Verdana" w:cs="Arial"/>
          <w:color w:val="000000" w:themeColor="text1"/>
          <w:sz w:val="20"/>
          <w:szCs w:val="20"/>
        </w:rPr>
      </w:pPr>
    </w:p>
    <w:p w14:paraId="2D40E7E5" w14:textId="77777777" w:rsidR="0041392B" w:rsidRPr="002379AA" w:rsidRDefault="0041392B" w:rsidP="0041392B">
      <w:pPr>
        <w:spacing w:after="0" w:line="240" w:lineRule="auto"/>
        <w:ind w:left="709" w:right="709"/>
        <w:contextualSpacing/>
        <w:jc w:val="both"/>
        <w:rPr>
          <w:rFonts w:ascii="Verdana" w:hAnsi="Verdana" w:cs="Arial"/>
          <w:color w:val="000000" w:themeColor="text1"/>
          <w:sz w:val="20"/>
          <w:szCs w:val="20"/>
        </w:rPr>
      </w:pPr>
      <w:r w:rsidRPr="002379AA">
        <w:rPr>
          <w:rFonts w:ascii="Verdana" w:hAnsi="Verdana" w:cs="Arial"/>
          <w:color w:val="000000" w:themeColor="text1"/>
          <w:sz w:val="20"/>
          <w:szCs w:val="20"/>
        </w:rPr>
        <w:lastRenderedPageBreak/>
        <w:t>b) Se definirán reglas objetivas, justas, claras y completas que permitan la confección de ofrecimientos de la misma índole, aseguren una escogencia objetiva y eviten la declaratoria de desierta de la licitación.</w:t>
      </w:r>
    </w:p>
    <w:p w14:paraId="2E0D04F3" w14:textId="77777777" w:rsidR="0041392B" w:rsidRPr="002379AA" w:rsidRDefault="0041392B" w:rsidP="0041392B">
      <w:pPr>
        <w:spacing w:after="0" w:line="240" w:lineRule="auto"/>
        <w:ind w:left="709" w:right="709"/>
        <w:contextualSpacing/>
        <w:jc w:val="both"/>
        <w:rPr>
          <w:rFonts w:ascii="Verdana" w:hAnsi="Verdana" w:cs="Arial"/>
          <w:color w:val="000000" w:themeColor="text1"/>
          <w:sz w:val="20"/>
          <w:szCs w:val="20"/>
        </w:rPr>
      </w:pPr>
    </w:p>
    <w:p w14:paraId="4483A010" w14:textId="77777777" w:rsidR="0041392B" w:rsidRPr="002379AA" w:rsidRDefault="0041392B" w:rsidP="0041392B">
      <w:pPr>
        <w:spacing w:after="0" w:line="240" w:lineRule="auto"/>
        <w:ind w:left="709" w:right="709"/>
        <w:contextualSpacing/>
        <w:jc w:val="both"/>
        <w:rPr>
          <w:rFonts w:ascii="Verdana" w:hAnsi="Verdana" w:cs="Arial"/>
          <w:color w:val="000000" w:themeColor="text1"/>
          <w:sz w:val="20"/>
          <w:szCs w:val="20"/>
        </w:rPr>
      </w:pPr>
      <w:r w:rsidRPr="002379AA">
        <w:rPr>
          <w:rFonts w:ascii="Verdana" w:hAnsi="Verdana" w:cs="Arial"/>
          <w:color w:val="000000" w:themeColor="text1"/>
          <w:sz w:val="20"/>
          <w:szCs w:val="20"/>
        </w:rPr>
        <w:t>[...]</w:t>
      </w:r>
    </w:p>
    <w:p w14:paraId="08A07216" w14:textId="77777777" w:rsidR="0041392B" w:rsidRPr="002379AA" w:rsidRDefault="0041392B" w:rsidP="0041392B">
      <w:pPr>
        <w:spacing w:after="0" w:line="240" w:lineRule="auto"/>
        <w:ind w:left="709" w:right="709"/>
        <w:contextualSpacing/>
        <w:jc w:val="both"/>
        <w:rPr>
          <w:rFonts w:ascii="Verdana" w:hAnsi="Verdana" w:cs="Arial"/>
          <w:color w:val="000000" w:themeColor="text1"/>
          <w:sz w:val="20"/>
          <w:szCs w:val="20"/>
        </w:rPr>
      </w:pPr>
    </w:p>
    <w:p w14:paraId="0E457B87" w14:textId="77777777" w:rsidR="0041392B" w:rsidRPr="002379AA" w:rsidRDefault="0041392B" w:rsidP="0041392B">
      <w:pPr>
        <w:spacing w:after="0" w:line="240" w:lineRule="auto"/>
        <w:ind w:left="709" w:right="709"/>
        <w:contextualSpacing/>
        <w:jc w:val="both"/>
        <w:rPr>
          <w:rFonts w:ascii="Verdana" w:hAnsi="Verdana" w:cs="Arial"/>
          <w:color w:val="000000" w:themeColor="text1"/>
          <w:sz w:val="20"/>
          <w:szCs w:val="20"/>
        </w:rPr>
      </w:pPr>
      <w:r w:rsidRPr="002379AA">
        <w:rPr>
          <w:rFonts w:ascii="Verdana" w:hAnsi="Verdana" w:cs="Arial"/>
          <w:color w:val="000000" w:themeColor="text1"/>
          <w:sz w:val="20"/>
          <w:szCs w:val="20"/>
        </w:rPr>
        <w:t>d) No se incluirán condiciones y exigencias de imposible cumplimiento, ni exenciones de la responsabilidad derivada de los datos, informes y documentos que se suministren.</w:t>
      </w:r>
    </w:p>
    <w:p w14:paraId="1AA0B31A" w14:textId="77777777" w:rsidR="0041392B" w:rsidRPr="002379AA" w:rsidRDefault="0041392B" w:rsidP="0041392B">
      <w:pPr>
        <w:spacing w:after="0" w:line="240" w:lineRule="auto"/>
        <w:ind w:left="709" w:right="709"/>
        <w:contextualSpacing/>
        <w:jc w:val="both"/>
        <w:rPr>
          <w:rFonts w:ascii="Verdana" w:hAnsi="Verdana" w:cs="Arial"/>
          <w:color w:val="000000" w:themeColor="text1"/>
          <w:sz w:val="20"/>
          <w:szCs w:val="20"/>
        </w:rPr>
      </w:pPr>
    </w:p>
    <w:p w14:paraId="2203A3BF" w14:textId="77777777" w:rsidR="0041392B" w:rsidRPr="002379AA" w:rsidRDefault="0041392B" w:rsidP="0041392B">
      <w:pPr>
        <w:spacing w:after="0" w:line="240" w:lineRule="auto"/>
        <w:ind w:left="709" w:right="709"/>
        <w:contextualSpacing/>
        <w:jc w:val="both"/>
        <w:rPr>
          <w:rFonts w:ascii="Verdana" w:hAnsi="Verdana" w:cs="Arial"/>
          <w:color w:val="000000" w:themeColor="text1"/>
          <w:sz w:val="20"/>
          <w:szCs w:val="20"/>
        </w:rPr>
      </w:pPr>
      <w:r w:rsidRPr="002379AA">
        <w:rPr>
          <w:rFonts w:ascii="Verdana" w:hAnsi="Verdana" w:cs="Arial"/>
          <w:color w:val="000000" w:themeColor="text1"/>
          <w:sz w:val="20"/>
          <w:szCs w:val="20"/>
        </w:rPr>
        <w:t xml:space="preserve">e) Se definirán reglas que no induzcan a error a los proponentes y contratistas y que impidan la formulación de ofrecimientos de extensión ilimitada o que dependan de la voluntad exclusiva de la entidad. [...]”. </w:t>
      </w:r>
    </w:p>
    <w:p w14:paraId="00AD8BD1" w14:textId="77777777" w:rsidR="0041392B" w:rsidRPr="002379AA" w:rsidRDefault="0041392B" w:rsidP="0041392B">
      <w:pPr>
        <w:spacing w:after="0" w:line="276" w:lineRule="auto"/>
        <w:ind w:left="709" w:right="709"/>
        <w:jc w:val="both"/>
        <w:rPr>
          <w:rFonts w:ascii="Verdana" w:hAnsi="Verdana" w:cs="Arial"/>
          <w:color w:val="000000" w:themeColor="text1"/>
        </w:rPr>
      </w:pPr>
    </w:p>
    <w:p w14:paraId="1CD97199" w14:textId="77777777" w:rsidR="0041392B" w:rsidRPr="002379AA" w:rsidRDefault="0041392B" w:rsidP="0041392B">
      <w:pPr>
        <w:spacing w:after="120" w:line="276" w:lineRule="auto"/>
        <w:ind w:firstLine="709"/>
        <w:jc w:val="both"/>
        <w:rPr>
          <w:rFonts w:ascii="Verdana" w:hAnsi="Verdana" w:cs="Arial"/>
          <w:color w:val="000000" w:themeColor="text1"/>
        </w:rPr>
      </w:pPr>
      <w:r w:rsidRPr="002379AA">
        <w:rPr>
          <w:rFonts w:ascii="Verdana" w:eastAsia="Calibri" w:hAnsi="Verdana" w:cs="Arial"/>
          <w:color w:val="000000" w:themeColor="text1"/>
        </w:rPr>
        <w:t>Sumado a lo anterior, la Corte Constitucional ha señalado, frente a la selección objetiva, que la entidad no puede establecer reglas subjetivas, sino que deben ser razonables, de acuerdo con las normas que rigen la actividad contractual</w:t>
      </w:r>
      <w:r w:rsidRPr="002379AA">
        <w:rPr>
          <w:rFonts w:ascii="Verdana" w:eastAsia="Calibri" w:hAnsi="Verdana" w:cs="Arial"/>
          <w:color w:val="000000" w:themeColor="text1"/>
          <w:vertAlign w:val="superscript"/>
        </w:rPr>
        <w:footnoteReference w:id="3"/>
      </w:r>
      <w:r w:rsidRPr="002379AA">
        <w:rPr>
          <w:rFonts w:ascii="Verdana" w:eastAsia="Calibri" w:hAnsi="Verdana" w:cs="Arial"/>
          <w:color w:val="000000" w:themeColor="text1"/>
        </w:rPr>
        <w:t xml:space="preserve">. En otro pronunciamiento, el Consejo de Estado consideró </w:t>
      </w:r>
      <w:r w:rsidRPr="008373D8">
        <w:rPr>
          <w:rFonts w:ascii="Verdana" w:eastAsia="Calibri" w:hAnsi="Verdana" w:cs="Arial"/>
          <w:color w:val="000000" w:themeColor="text1"/>
          <w:u w:val="single"/>
        </w:rPr>
        <w:t>que la autonomía que tienen las entidades frente a la configuración de los pliegos de condiciones y los criterios de selección de los procedimientos de contratación no es absoluta</w:t>
      </w:r>
      <w:r w:rsidRPr="002379AA">
        <w:rPr>
          <w:rFonts w:ascii="Verdana" w:eastAsia="Calibri" w:hAnsi="Verdana" w:cs="Arial"/>
          <w:color w:val="000000" w:themeColor="text1"/>
        </w:rPr>
        <w:t xml:space="preserve">, pues debe tener relación con los fines de la contratación estatal </w:t>
      </w:r>
      <w:r w:rsidRPr="002379AA">
        <w:rPr>
          <w:rFonts w:ascii="Verdana" w:hAnsi="Verdana" w:cs="Arial"/>
          <w:color w:val="000000" w:themeColor="text1"/>
        </w:rPr>
        <w:t>y, por consiguiente, los criterios de selección susceptibles de calificación deben ser congruentes con ellos y comprender los elementos necesarios para llevar a cabo el contrato en las condiciones de modo, tiempo y lugar requeridas por ella. La objetividad que impone y reclama la Ley 80 en la contratación estatal, en varias de sus disposiciones, sólo se cumple a condición de que existan en los pliegos de condiciones o términos de referencia reglas necesarias, claras, objetivas y precisas de cara a la finalidad del contrato</w:t>
      </w:r>
      <w:r w:rsidRPr="002379AA">
        <w:rPr>
          <w:rFonts w:ascii="Verdana" w:hAnsi="Verdana" w:cs="Arial"/>
          <w:color w:val="000000" w:themeColor="text1"/>
          <w:vertAlign w:val="superscript"/>
        </w:rPr>
        <w:footnoteReference w:id="4"/>
      </w:r>
      <w:r w:rsidRPr="002379AA">
        <w:rPr>
          <w:rFonts w:ascii="Verdana" w:hAnsi="Verdana" w:cs="Arial"/>
          <w:color w:val="000000" w:themeColor="text1"/>
        </w:rPr>
        <w:t>.</w:t>
      </w:r>
    </w:p>
    <w:p w14:paraId="5CE7B58D" w14:textId="77777777" w:rsidR="0041392B" w:rsidRPr="002379AA" w:rsidRDefault="0041392B" w:rsidP="0041392B">
      <w:pPr>
        <w:spacing w:after="120" w:line="276" w:lineRule="auto"/>
        <w:ind w:firstLine="709"/>
        <w:jc w:val="both"/>
        <w:rPr>
          <w:rFonts w:ascii="Verdana" w:eastAsia="Calibri" w:hAnsi="Verdana" w:cs="Arial"/>
          <w:color w:val="000000" w:themeColor="text1"/>
        </w:rPr>
      </w:pPr>
      <w:r w:rsidRPr="002379AA">
        <w:rPr>
          <w:rFonts w:ascii="Verdana" w:eastAsia="Calibri" w:hAnsi="Verdana" w:cs="Arial"/>
          <w:color w:val="000000" w:themeColor="text1"/>
        </w:rPr>
        <w:t xml:space="preserve">También, el Consejo de Estado ha determinado que </w:t>
      </w:r>
      <w:r w:rsidRPr="008373D8">
        <w:rPr>
          <w:rFonts w:ascii="Verdana" w:eastAsia="Calibri" w:hAnsi="Verdana" w:cs="Arial"/>
          <w:color w:val="000000" w:themeColor="text1"/>
          <w:u w:val="single"/>
        </w:rPr>
        <w:t>el pliego de condiciones es ley para las partes</w:t>
      </w:r>
      <w:r w:rsidRPr="002379AA">
        <w:rPr>
          <w:rFonts w:ascii="Verdana" w:eastAsia="Calibri" w:hAnsi="Verdana" w:cs="Arial"/>
          <w:color w:val="000000" w:themeColor="text1"/>
        </w:rPr>
        <w:t>, y en él se debe establecer la regulación del procedimiento de contratación, conforme a la ley, garantizando la selección objetiva del contratista</w:t>
      </w:r>
      <w:r w:rsidRPr="002379AA">
        <w:rPr>
          <w:rFonts w:ascii="Verdana" w:eastAsia="Calibri" w:hAnsi="Verdana" w:cs="Arial"/>
          <w:color w:val="000000" w:themeColor="text1"/>
          <w:vertAlign w:val="superscript"/>
        </w:rPr>
        <w:footnoteReference w:id="5"/>
      </w:r>
      <w:r w:rsidRPr="002379AA">
        <w:rPr>
          <w:rFonts w:ascii="Verdana" w:eastAsia="Calibri" w:hAnsi="Verdana" w:cs="Arial"/>
          <w:color w:val="000000" w:themeColor="text1"/>
        </w:rPr>
        <w:t xml:space="preserve">. El artículo 2.2.1.1.2.1.3. del Decreto 1082 de 2015 </w:t>
      </w:r>
      <w:r w:rsidRPr="002379AA">
        <w:rPr>
          <w:rFonts w:ascii="Verdana" w:eastAsia="Calibri" w:hAnsi="Verdana" w:cs="Arial"/>
          <w:color w:val="000000" w:themeColor="text1"/>
        </w:rPr>
        <w:lastRenderedPageBreak/>
        <w:t>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ii) modalidad y criterios de selección, iii) valoración económica del bien, obra o servicio, iv) reglas de la presentación y manejo de las ofertas, v) riesgos y garantías, entre otros aspectos del contrato</w:t>
      </w:r>
      <w:r w:rsidRPr="002379AA">
        <w:rPr>
          <w:rFonts w:ascii="Verdana" w:eastAsia="Calibri" w:hAnsi="Verdana" w:cs="Arial"/>
          <w:color w:val="000000" w:themeColor="text1"/>
          <w:vertAlign w:val="superscript"/>
        </w:rPr>
        <w:footnoteReference w:id="6"/>
      </w:r>
      <w:r w:rsidRPr="002379AA">
        <w:rPr>
          <w:rFonts w:ascii="Verdana" w:eastAsia="Calibri" w:hAnsi="Verdana" w:cs="Arial"/>
          <w:color w:val="000000" w:themeColor="text1"/>
        </w:rPr>
        <w:t>.</w:t>
      </w:r>
    </w:p>
    <w:p w14:paraId="402CC5B1" w14:textId="77777777" w:rsidR="0041392B" w:rsidRPr="002379AA" w:rsidRDefault="0041392B" w:rsidP="0041392B">
      <w:pPr>
        <w:spacing w:after="120" w:line="276" w:lineRule="auto"/>
        <w:ind w:firstLine="709"/>
        <w:jc w:val="both"/>
        <w:rPr>
          <w:rFonts w:ascii="Verdana" w:hAnsi="Verdana" w:cs="Arial"/>
        </w:rPr>
      </w:pPr>
      <w:r w:rsidRPr="002379AA">
        <w:rPr>
          <w:rFonts w:ascii="Verdana" w:hAnsi="Verdana" w:cs="Arial"/>
        </w:rPr>
        <w:t>Conforme a lo anterior, el pliego de condiciones debe establecer las etapas del proceso de selección, así como las reglas, requisitos y condiciones aplicables en cada una de ellas. Entre estos aspectos se encuentran las causales de rechazo y factores de ponderación de las ofertas, así como los documentos que debe contener y las causas que impidan una selección objetiva. En ese orden, gran parte de la importancia del pliego de condiciones está determinada por el hecho que es el documento en el que se establecen las normas que van a regular la etapa selección, a las que deberán sujetarse la administración y los oferentes a efectos de lograr una selección objetiva</w:t>
      </w:r>
      <w:r w:rsidRPr="002379AA">
        <w:rPr>
          <w:rFonts w:ascii="Verdana" w:hAnsi="Verdana" w:cs="Arial"/>
          <w:vertAlign w:val="superscript"/>
        </w:rPr>
        <w:footnoteReference w:id="7"/>
      </w:r>
      <w:r w:rsidRPr="002379AA">
        <w:rPr>
          <w:rFonts w:ascii="Verdana" w:hAnsi="Verdana" w:cs="Arial"/>
        </w:rPr>
        <w:t>.</w:t>
      </w:r>
    </w:p>
    <w:p w14:paraId="10A8E2D5" w14:textId="77777777" w:rsidR="0041392B" w:rsidRPr="002379AA" w:rsidRDefault="0041392B" w:rsidP="0041392B">
      <w:pPr>
        <w:spacing w:after="120" w:line="276" w:lineRule="auto"/>
        <w:jc w:val="both"/>
        <w:rPr>
          <w:rFonts w:ascii="Verdana" w:eastAsia="Calibri" w:hAnsi="Verdana" w:cs="Arial"/>
          <w:lang w:val="es-ES"/>
        </w:rPr>
      </w:pPr>
      <w:r w:rsidRPr="002379AA">
        <w:rPr>
          <w:rFonts w:ascii="Verdana" w:eastAsia="Calibri" w:hAnsi="Verdana" w:cs="Arial"/>
          <w:b/>
          <w:bCs/>
          <w:lang w:val="es-ES"/>
        </w:rPr>
        <w:tab/>
      </w:r>
      <w:r w:rsidRPr="002379AA">
        <w:rPr>
          <w:rFonts w:ascii="Verdana" w:eastAsia="Calibri" w:hAnsi="Verdana" w:cs="Arial"/>
          <w:lang w:val="es-ES"/>
        </w:rPr>
        <w:t>En ese orden de ideas, el Consejo de Estado</w:t>
      </w:r>
      <w:r w:rsidRPr="002379AA">
        <w:rPr>
          <w:rFonts w:ascii="Verdana" w:eastAsia="Calibri" w:hAnsi="Verdana" w:cs="Arial"/>
          <w:vertAlign w:val="superscript"/>
          <w:lang w:val="es-ES"/>
        </w:rPr>
        <w:footnoteReference w:id="8"/>
      </w:r>
      <w:r w:rsidRPr="002379AA">
        <w:rPr>
          <w:rFonts w:ascii="Verdana" w:eastAsia="Calibri" w:hAnsi="Verdana" w:cs="Arial"/>
          <w:lang w:val="es-ES"/>
        </w:rPr>
        <w:t xml:space="preserve"> ha reiterado que el pliego de condiciones ostenta una doble naturaleza jurídica, pues, por un lado, antes de la celebración del contrato y de la expedición del acto administrativo de adjudicación se considera como un acto administrativo de carácter general que rige el desarrollo del proceso de selección. Sin embargo, una vez se celebre el </w:t>
      </w:r>
      <w:r w:rsidRPr="002379AA">
        <w:rPr>
          <w:rFonts w:ascii="Verdana" w:eastAsia="Calibri" w:hAnsi="Verdana" w:cs="Arial"/>
          <w:lang w:val="es-ES"/>
        </w:rPr>
        <w:lastRenderedPageBreak/>
        <w:t>contrato, el pliego de condiciones pasa hacer parte del marco jurídico de la relación contractual determinando el contenido y el alcance del negocio jurídico</w:t>
      </w:r>
      <w:r>
        <w:rPr>
          <w:rFonts w:ascii="Verdana" w:eastAsia="Calibri" w:hAnsi="Verdana" w:cs="Arial"/>
          <w:lang w:val="es-ES"/>
        </w:rPr>
        <w:t>.</w:t>
      </w:r>
      <w:r w:rsidRPr="002379AA">
        <w:rPr>
          <w:rFonts w:ascii="Verdana" w:eastAsia="Calibri" w:hAnsi="Verdana" w:cs="Arial"/>
          <w:lang w:val="es-ES"/>
        </w:rPr>
        <w:t xml:space="preserve"> </w:t>
      </w:r>
    </w:p>
    <w:p w14:paraId="3A12BC74" w14:textId="77777777" w:rsidR="0041392B" w:rsidRPr="002379AA" w:rsidRDefault="0041392B" w:rsidP="0041392B">
      <w:pPr>
        <w:spacing w:after="120" w:line="276" w:lineRule="auto"/>
        <w:ind w:firstLine="708"/>
        <w:jc w:val="both"/>
        <w:rPr>
          <w:rFonts w:ascii="Verdana" w:eastAsia="Batang" w:hAnsi="Verdana" w:cs="Arial"/>
          <w:lang w:val="es-MX"/>
        </w:rPr>
      </w:pPr>
      <w:r w:rsidRPr="002379AA">
        <w:rPr>
          <w:rFonts w:ascii="Verdana" w:eastAsia="Batang" w:hAnsi="Verdana" w:cs="Arial"/>
          <w:lang w:val="es-MX"/>
        </w:rPr>
        <w:t xml:space="preserve">Ahora bien, de acuerdo con la jurisprudencia de la Sección Tercera del Consejo de Estado, las reglas de los pliegos de condiciones deben prevalecer sobre los demás documentos del contrato e incluso sobre la minuta, la cual se limita a formalizar el acuerdo de voluntades. Por lo tanto, ha reiterado que las reglas contenidas en los pliegos de condiciones que adolecen de vacíos o contradicciones deben de interpretarse </w:t>
      </w:r>
      <w:r w:rsidRPr="002379AA">
        <w:rPr>
          <w:rFonts w:ascii="Verdana" w:eastAsia="Batang" w:hAnsi="Verdana" w:cs="Arial"/>
          <w:i/>
          <w:iCs/>
          <w:lang w:val="es-MX"/>
        </w:rPr>
        <w:t xml:space="preserve">“con sujeción a los principios generales </w:t>
      </w:r>
      <w:proofErr w:type="gramStart"/>
      <w:r w:rsidRPr="002379AA">
        <w:rPr>
          <w:rFonts w:ascii="Verdana" w:eastAsia="Batang" w:hAnsi="Verdana" w:cs="Arial"/>
          <w:i/>
          <w:iCs/>
          <w:lang w:val="es-MX"/>
        </w:rPr>
        <w:t>del derechos</w:t>
      </w:r>
      <w:proofErr w:type="gramEnd"/>
      <w:r w:rsidRPr="002379AA">
        <w:rPr>
          <w:rFonts w:ascii="Verdana" w:eastAsia="Batang" w:hAnsi="Verdana" w:cs="Arial"/>
          <w:i/>
          <w:iCs/>
          <w:lang w:val="es-MX"/>
        </w:rPr>
        <w:t>, a los de la función administrativa, a la finalidad del pliego y a la protección del interés general, de conformidad con lo previsto en el artículo 23 de la Ley 80 de 1993”</w:t>
      </w:r>
      <w:r w:rsidRPr="002379AA">
        <w:rPr>
          <w:rFonts w:ascii="Verdana" w:eastAsia="Batang" w:hAnsi="Verdana" w:cs="Arial"/>
          <w:i/>
          <w:iCs/>
          <w:vertAlign w:val="superscript"/>
          <w:lang w:val="es-MX"/>
        </w:rPr>
        <w:footnoteReference w:id="9"/>
      </w:r>
      <w:r w:rsidRPr="002379AA">
        <w:rPr>
          <w:rFonts w:ascii="Verdana" w:eastAsia="Batang" w:hAnsi="Verdana" w:cs="Arial"/>
          <w:i/>
          <w:iCs/>
          <w:lang w:val="es-MX"/>
        </w:rPr>
        <w:t>.</w:t>
      </w:r>
    </w:p>
    <w:p w14:paraId="7BD47505" w14:textId="77777777" w:rsidR="0041392B" w:rsidRPr="002379AA" w:rsidRDefault="0041392B" w:rsidP="0041392B">
      <w:pPr>
        <w:spacing w:after="120" w:line="276" w:lineRule="auto"/>
        <w:ind w:firstLine="708"/>
        <w:jc w:val="both"/>
        <w:rPr>
          <w:rFonts w:ascii="Verdana" w:eastAsia="Batang" w:hAnsi="Verdana" w:cs="Arial"/>
        </w:rPr>
      </w:pPr>
      <w:r w:rsidRPr="002379AA">
        <w:rPr>
          <w:rFonts w:ascii="Verdana" w:eastAsia="Batang" w:hAnsi="Verdana" w:cs="Arial"/>
          <w:lang w:val="es-MX"/>
        </w:rPr>
        <w:t xml:space="preserve">De acuerdo con lo anterior, en atención al problema jurídico planteado, es posible establecer, por ejemplo, que </w:t>
      </w:r>
      <w:r w:rsidRPr="002379AA">
        <w:rPr>
          <w:rFonts w:ascii="Verdana" w:eastAsia="Batang" w:hAnsi="Verdana" w:cs="Arial"/>
        </w:rPr>
        <w:t xml:space="preserve">en caso de contradicción entre el contenido establecido en el pliego de condiciones y el incluido por la entidad, proponentes o contratista en los demás documentos del proceso de contratación, primará lo señalado en el pliego de condiciones. </w:t>
      </w:r>
    </w:p>
    <w:p w14:paraId="209A3A94" w14:textId="77777777" w:rsidR="0041392B" w:rsidRPr="002379AA" w:rsidRDefault="0041392B" w:rsidP="0041392B">
      <w:pPr>
        <w:spacing w:after="120" w:line="276" w:lineRule="auto"/>
        <w:ind w:firstLine="708"/>
        <w:jc w:val="both"/>
        <w:rPr>
          <w:rFonts w:ascii="Verdana" w:eastAsia="Batang" w:hAnsi="Verdana" w:cs="Arial"/>
        </w:rPr>
      </w:pPr>
      <w:r w:rsidRPr="002379AA">
        <w:rPr>
          <w:rFonts w:ascii="Verdana" w:eastAsia="Batang" w:hAnsi="Verdana" w:cs="Arial"/>
        </w:rPr>
        <w:t xml:space="preserve">Sin perjuicio de lo anterior, la entidad, proponentes o contratista podrán acudir, en lo pertinente, a las reglas de interpretación </w:t>
      </w:r>
      <w:r w:rsidRPr="002379AA">
        <w:rPr>
          <w:rFonts w:ascii="Verdana" w:eastAsia="Batang" w:hAnsi="Verdana" w:cs="Arial"/>
          <w:lang w:val="es-MX"/>
        </w:rPr>
        <w:t>objetivas y subjetivas</w:t>
      </w:r>
      <w:r w:rsidRPr="002379AA">
        <w:rPr>
          <w:rFonts w:ascii="Verdana" w:eastAsia="Batang" w:hAnsi="Verdana" w:cs="Arial"/>
          <w:vertAlign w:val="superscript"/>
          <w:lang w:val="es-MX"/>
        </w:rPr>
        <w:footnoteReference w:id="10"/>
      </w:r>
      <w:r w:rsidRPr="002379AA">
        <w:rPr>
          <w:rFonts w:ascii="Verdana" w:eastAsia="Batang" w:hAnsi="Verdana" w:cs="Arial"/>
          <w:lang w:val="es-MX"/>
        </w:rPr>
        <w:t xml:space="preserve"> conforme a los artículos 1618 a 1624 del Código Civil. Por una parte, las </w:t>
      </w:r>
      <w:r w:rsidRPr="002379AA">
        <w:rPr>
          <w:rFonts w:ascii="Verdana" w:eastAsia="Batang" w:hAnsi="Verdana" w:cs="Arial"/>
          <w:i/>
          <w:iCs/>
          <w:lang w:val="es-MX"/>
        </w:rPr>
        <w:t>objetivas</w:t>
      </w:r>
      <w:r w:rsidRPr="002379AA">
        <w:rPr>
          <w:rFonts w:ascii="Verdana" w:eastAsia="Batang" w:hAnsi="Verdana" w:cs="Arial"/>
          <w:lang w:val="es-MX"/>
        </w:rPr>
        <w:t xml:space="preserve"> son las siguientes: i) una vez conocida la intención de los contratantes ha de estarse más a ella que a lo literal de las palabras (artículo 1618 del Código Civil); ii) </w:t>
      </w:r>
      <w:r w:rsidRPr="002379AA">
        <w:rPr>
          <w:rFonts w:ascii="Verdana" w:eastAsia="Batang" w:hAnsi="Verdana" w:cs="Arial"/>
        </w:rPr>
        <w:t xml:space="preserve">las estipulaciones de un contrato pueden interpretarse por la de otro que las partes hayan celebrado sobre la misma materia o por la aplicación práctica que de ellas hayan hecho (artículo 1622, incisos 2 y 3 </w:t>
      </w:r>
      <w:r w:rsidRPr="002379AA">
        <w:rPr>
          <w:rFonts w:ascii="Verdana" w:eastAsia="Batang" w:hAnsi="Verdana" w:cs="Arial"/>
          <w:i/>
          <w:iCs/>
        </w:rPr>
        <w:t>ibídem</w:t>
      </w:r>
      <w:bookmarkStart w:id="1" w:name="_Hlk96265254"/>
      <w:r w:rsidRPr="002379AA">
        <w:rPr>
          <w:rFonts w:ascii="Verdana" w:eastAsia="Batang" w:hAnsi="Verdana" w:cs="Arial"/>
        </w:rPr>
        <w:t xml:space="preserve">); iii) las cláusulas deben interpretarse unas por otras, dándole a cada una el sentido que más convenga al contrato en su totalidad (artículo 1622, inciso 1 </w:t>
      </w:r>
      <w:r w:rsidRPr="002379AA">
        <w:rPr>
          <w:rFonts w:ascii="Verdana" w:eastAsia="Batang" w:hAnsi="Verdana" w:cs="Arial"/>
          <w:i/>
          <w:iCs/>
        </w:rPr>
        <w:t>ibídem</w:t>
      </w:r>
      <w:r w:rsidRPr="002379AA">
        <w:rPr>
          <w:rFonts w:ascii="Verdana" w:eastAsia="Batang" w:hAnsi="Verdana" w:cs="Arial"/>
        </w:rPr>
        <w:t xml:space="preserve">); iv) si en un contrato se expresa un caso para explicar la obligación se entiende que esa mención no es restrictiva sino ejemplificativa (artículo 1623 </w:t>
      </w:r>
      <w:r w:rsidRPr="002379AA">
        <w:rPr>
          <w:rFonts w:ascii="Verdana" w:eastAsia="Batang" w:hAnsi="Verdana" w:cs="Arial"/>
          <w:i/>
          <w:iCs/>
        </w:rPr>
        <w:t>ibídem</w:t>
      </w:r>
      <w:r w:rsidRPr="002379AA">
        <w:rPr>
          <w:rFonts w:ascii="Verdana" w:eastAsia="Batang" w:hAnsi="Verdana" w:cs="Arial"/>
        </w:rPr>
        <w:t xml:space="preserve">); y v) se entiende que las expresiones generales contenidas en el negocio únicamente se aplican a la materia sobre la que se ha contratado (artículo 1619, inciso 2 </w:t>
      </w:r>
      <w:r w:rsidRPr="002379AA">
        <w:rPr>
          <w:rFonts w:ascii="Verdana" w:eastAsia="Batang" w:hAnsi="Verdana" w:cs="Arial"/>
          <w:i/>
          <w:iCs/>
        </w:rPr>
        <w:t>ibídem</w:t>
      </w:r>
      <w:r w:rsidRPr="002379AA">
        <w:rPr>
          <w:rFonts w:ascii="Verdana" w:eastAsia="Batang" w:hAnsi="Verdana" w:cs="Arial"/>
        </w:rPr>
        <w:t xml:space="preserve">). </w:t>
      </w:r>
    </w:p>
    <w:p w14:paraId="57C5F9AF" w14:textId="77777777" w:rsidR="0041392B" w:rsidRPr="002379AA" w:rsidRDefault="0041392B" w:rsidP="0041392B">
      <w:pPr>
        <w:spacing w:after="120" w:line="276" w:lineRule="auto"/>
        <w:ind w:firstLine="708"/>
        <w:jc w:val="both"/>
        <w:rPr>
          <w:rFonts w:ascii="Verdana" w:eastAsia="Batang" w:hAnsi="Verdana" w:cs="Arial"/>
          <w:lang w:val="es-MX"/>
        </w:rPr>
      </w:pPr>
      <w:r w:rsidRPr="002379AA">
        <w:rPr>
          <w:rFonts w:ascii="Verdana" w:eastAsia="Batang" w:hAnsi="Verdana" w:cs="Arial"/>
        </w:rPr>
        <w:t xml:space="preserve">Por su parte, las reglas </w:t>
      </w:r>
      <w:r w:rsidRPr="002379AA">
        <w:rPr>
          <w:rFonts w:ascii="Verdana" w:eastAsia="Batang" w:hAnsi="Verdana" w:cs="Arial"/>
          <w:i/>
          <w:iCs/>
        </w:rPr>
        <w:t>subjetivas</w:t>
      </w:r>
      <w:r w:rsidRPr="002379AA">
        <w:rPr>
          <w:rFonts w:ascii="Verdana" w:eastAsia="Batang" w:hAnsi="Verdana" w:cs="Arial"/>
        </w:rPr>
        <w:t xml:space="preserve"> de interpretación se refieren a las siguientes: vi) </w:t>
      </w:r>
      <w:r w:rsidRPr="002379AA">
        <w:rPr>
          <w:rFonts w:ascii="Verdana" w:eastAsia="Batang" w:hAnsi="Verdana" w:cs="Arial"/>
          <w:lang w:val="es-MX"/>
        </w:rPr>
        <w:t xml:space="preserve">el sentido en que una cláusula pueda producir algún efecto deberá </w:t>
      </w:r>
      <w:r w:rsidRPr="002379AA">
        <w:rPr>
          <w:rFonts w:ascii="Verdana" w:eastAsia="Batang" w:hAnsi="Verdana" w:cs="Arial"/>
          <w:lang w:val="es-MX"/>
        </w:rPr>
        <w:lastRenderedPageBreak/>
        <w:t xml:space="preserve">preferirse a aquel en que no produzca efecto alguno </w:t>
      </w:r>
      <w:r w:rsidRPr="002379AA">
        <w:rPr>
          <w:rFonts w:ascii="Verdana" w:eastAsia="Batang" w:hAnsi="Verdana" w:cs="Arial"/>
        </w:rPr>
        <w:t xml:space="preserve">(artículo 1620 </w:t>
      </w:r>
      <w:r w:rsidRPr="002379AA">
        <w:rPr>
          <w:rFonts w:ascii="Verdana" w:eastAsia="Batang" w:hAnsi="Verdana" w:cs="Arial"/>
          <w:i/>
          <w:iCs/>
        </w:rPr>
        <w:t>ibídem</w:t>
      </w:r>
      <w:r w:rsidRPr="002379AA">
        <w:rPr>
          <w:rFonts w:ascii="Verdana" w:eastAsia="Batang" w:hAnsi="Verdana" w:cs="Arial"/>
        </w:rPr>
        <w:t>); vii)</w:t>
      </w:r>
      <w:r w:rsidRPr="002379AA">
        <w:rPr>
          <w:rFonts w:ascii="Verdana" w:eastAsia="Batang" w:hAnsi="Verdana" w:cs="Arial"/>
          <w:lang w:val="es-MX"/>
        </w:rPr>
        <w:t xml:space="preserve"> deberá estarse a la interpretación que mejor cuadre con la naturaleza del contrato </w:t>
      </w:r>
      <w:r w:rsidRPr="002379AA">
        <w:rPr>
          <w:rFonts w:ascii="Verdana" w:eastAsia="Batang" w:hAnsi="Verdana" w:cs="Arial"/>
        </w:rPr>
        <w:t xml:space="preserve">(artículo 1621 </w:t>
      </w:r>
      <w:r w:rsidRPr="002379AA">
        <w:rPr>
          <w:rFonts w:ascii="Verdana" w:eastAsia="Batang" w:hAnsi="Verdana" w:cs="Arial"/>
          <w:i/>
          <w:iCs/>
        </w:rPr>
        <w:t>ibídem</w:t>
      </w:r>
      <w:r w:rsidRPr="002379AA">
        <w:rPr>
          <w:rFonts w:ascii="Verdana" w:eastAsia="Batang" w:hAnsi="Verdana" w:cs="Arial"/>
        </w:rPr>
        <w:t>)</w:t>
      </w:r>
      <w:r w:rsidRPr="002379AA">
        <w:rPr>
          <w:rFonts w:ascii="Verdana" w:eastAsia="Batang" w:hAnsi="Verdana" w:cs="Arial"/>
          <w:lang w:val="es-MX"/>
        </w:rPr>
        <w:t xml:space="preserve">; viii) las cláusulas ambiguas se interpretan a favor del deudor </w:t>
      </w:r>
      <w:r w:rsidRPr="002379AA">
        <w:rPr>
          <w:rFonts w:ascii="Verdana" w:eastAsia="Batang" w:hAnsi="Verdana" w:cs="Arial"/>
        </w:rPr>
        <w:t>(artículo 1624, inciso 1 ibídem); y ix</w:t>
      </w:r>
      <w:r w:rsidRPr="002379AA">
        <w:rPr>
          <w:rFonts w:ascii="Verdana" w:eastAsia="Batang" w:hAnsi="Verdana" w:cs="Arial"/>
          <w:i/>
          <w:iCs/>
        </w:rPr>
        <w:t>)</w:t>
      </w:r>
      <w:r w:rsidRPr="002379AA">
        <w:rPr>
          <w:rFonts w:ascii="Verdana" w:eastAsia="Batang" w:hAnsi="Verdana" w:cs="Arial"/>
          <w:i/>
          <w:iCs/>
          <w:lang w:val="es-MX"/>
        </w:rPr>
        <w:t xml:space="preserve"> las cláusulas oscuras que hayan sido extendidas o dictadas por una parte se interpretarán contra ella si la ambigüedad proviene de una explicación que ésta ha debido dar</w:t>
      </w:r>
      <w:r w:rsidRPr="002379AA">
        <w:rPr>
          <w:rFonts w:ascii="Verdana" w:eastAsia="Batang" w:hAnsi="Verdana" w:cs="Arial"/>
          <w:lang w:val="es-MX"/>
        </w:rPr>
        <w:t xml:space="preserve"> </w:t>
      </w:r>
      <w:r w:rsidRPr="002379AA">
        <w:rPr>
          <w:rFonts w:ascii="Verdana" w:eastAsia="Batang" w:hAnsi="Verdana" w:cs="Arial"/>
        </w:rPr>
        <w:t xml:space="preserve">(artículo 1624, inciso 2 </w:t>
      </w:r>
      <w:r w:rsidRPr="002379AA">
        <w:rPr>
          <w:rFonts w:ascii="Verdana" w:eastAsia="Batang" w:hAnsi="Verdana" w:cs="Arial"/>
          <w:i/>
          <w:iCs/>
        </w:rPr>
        <w:t>ibídem</w:t>
      </w:r>
      <w:r w:rsidRPr="002379AA">
        <w:rPr>
          <w:rFonts w:ascii="Verdana" w:eastAsia="Batang" w:hAnsi="Verdana" w:cs="Arial"/>
        </w:rPr>
        <w:t>)</w:t>
      </w:r>
      <w:r w:rsidRPr="002379AA">
        <w:rPr>
          <w:rFonts w:ascii="Verdana" w:eastAsia="Batang" w:hAnsi="Verdana" w:cs="Arial"/>
          <w:lang w:val="es-MX"/>
        </w:rPr>
        <w:t xml:space="preserve">. </w:t>
      </w:r>
      <w:bookmarkEnd w:id="1"/>
    </w:p>
    <w:p w14:paraId="61089812" w14:textId="77777777" w:rsidR="0041392B" w:rsidRPr="002379AA" w:rsidRDefault="0041392B" w:rsidP="0041392B">
      <w:pPr>
        <w:spacing w:after="120" w:line="276" w:lineRule="auto"/>
        <w:ind w:firstLine="708"/>
        <w:jc w:val="both"/>
        <w:rPr>
          <w:rFonts w:ascii="Verdana" w:eastAsia="Batang" w:hAnsi="Verdana" w:cs="Arial"/>
          <w:lang w:val="es-MX"/>
        </w:rPr>
      </w:pPr>
      <w:r w:rsidRPr="002379AA">
        <w:rPr>
          <w:rFonts w:ascii="Verdana" w:eastAsia="Batang" w:hAnsi="Verdana" w:cs="Arial"/>
        </w:rPr>
        <w:t xml:space="preserve">Sin embargo, </w:t>
      </w:r>
      <w:bookmarkStart w:id="2" w:name="_Hlk96265891"/>
      <w:r w:rsidRPr="002379AA">
        <w:rPr>
          <w:rFonts w:ascii="Verdana" w:eastAsia="Batang" w:hAnsi="Verdana" w:cs="Arial"/>
        </w:rPr>
        <w:t xml:space="preserve">la aplicación de estos criterios siempre deberá tener en cuenta las circunstancias concretas de cada caso en particular, de manera que la entidad pueda optar por la interpretación que más se adecúe a la finalidad que persigue con el documento y sus anexos. </w:t>
      </w:r>
      <w:r w:rsidRPr="002379AA">
        <w:rPr>
          <w:rFonts w:ascii="Verdana" w:eastAsia="Batang" w:hAnsi="Verdana" w:cs="Arial"/>
          <w:lang w:val="es-MX"/>
        </w:rPr>
        <w:t xml:space="preserve">De todos modos, en caso de que el desacuerdo sobre el sentido o alcance de los documentos del proceso de contratación persista una vez aplicada las pautas anteriores, corresponde a los jueces de lo contencioso administrativo interpretar cuál de los documentos prevalece. Por tanto, es necesario señalar en que no es posible establecer </w:t>
      </w:r>
      <w:r w:rsidRPr="002379AA">
        <w:rPr>
          <w:rFonts w:ascii="Verdana" w:eastAsia="Batang" w:hAnsi="Verdana" w:cs="Arial"/>
          <w:i/>
          <w:iCs/>
          <w:lang w:val="es-MX"/>
        </w:rPr>
        <w:t xml:space="preserve">ex ante </w:t>
      </w:r>
      <w:r w:rsidRPr="002379AA">
        <w:rPr>
          <w:rFonts w:ascii="Verdana" w:eastAsia="Batang" w:hAnsi="Verdana" w:cs="Arial"/>
          <w:lang w:val="es-MX"/>
        </w:rPr>
        <w:t>la validez o prevalencia jurídica de los documentos contractuales, pues estos deben valorarse integralmente, de acuerdo con las reglas anteriormente expuestas</w:t>
      </w:r>
      <w:bookmarkEnd w:id="2"/>
      <w:r w:rsidRPr="002379AA">
        <w:rPr>
          <w:rFonts w:ascii="Verdana" w:eastAsia="Batang" w:hAnsi="Verdana" w:cs="Arial"/>
          <w:lang w:val="es-MX"/>
        </w:rPr>
        <w:t xml:space="preserve"> </w:t>
      </w:r>
      <w:r w:rsidRPr="002379AA">
        <w:rPr>
          <w:rFonts w:ascii="Verdana" w:eastAsia="Calibri" w:hAnsi="Verdana" w:cs="Arial"/>
          <w:lang w:val="es-MX"/>
        </w:rPr>
        <w:t>y atendiendo a las circunstancias adicionales de cada proceso</w:t>
      </w:r>
      <w:r w:rsidRPr="002379AA">
        <w:rPr>
          <w:rFonts w:ascii="Verdana" w:eastAsia="Batang" w:hAnsi="Verdana" w:cs="Arial"/>
          <w:vertAlign w:val="superscript"/>
          <w:lang w:val="es-MX"/>
        </w:rPr>
        <w:footnoteReference w:id="11"/>
      </w:r>
      <w:r w:rsidRPr="002379AA">
        <w:rPr>
          <w:rFonts w:ascii="Verdana" w:eastAsia="Batang" w:hAnsi="Verdana" w:cs="Arial"/>
          <w:lang w:val="es-MX"/>
        </w:rPr>
        <w:t>.</w:t>
      </w:r>
    </w:p>
    <w:p w14:paraId="21BEE127" w14:textId="77777777" w:rsidR="0041392B" w:rsidRPr="002379AA" w:rsidRDefault="0041392B" w:rsidP="0041392B">
      <w:pPr>
        <w:spacing w:after="120" w:line="276" w:lineRule="auto"/>
        <w:ind w:firstLine="708"/>
        <w:jc w:val="both"/>
        <w:rPr>
          <w:rFonts w:ascii="Verdana" w:eastAsia="Batang" w:hAnsi="Verdana" w:cs="Arial"/>
        </w:rPr>
      </w:pPr>
      <w:r w:rsidRPr="002379AA">
        <w:rPr>
          <w:rFonts w:ascii="Verdana" w:eastAsia="Calibri" w:hAnsi="Verdana" w:cs="Arial"/>
          <w:lang w:val="es-MX"/>
        </w:rPr>
        <w:t>Así las cosas, ante una contradicción entre la información contemplada en</w:t>
      </w:r>
      <w:r w:rsidRPr="002379AA">
        <w:rPr>
          <w:rFonts w:ascii="Verdana" w:eastAsia="Calibri" w:hAnsi="Verdana" w:cs="Arial"/>
          <w:color w:val="000000"/>
          <w:lang w:val="es-ES" w:bidi="es-ES"/>
        </w:rPr>
        <w:t xml:space="preserve"> </w:t>
      </w:r>
      <w:r w:rsidRPr="002379AA">
        <w:rPr>
          <w:rFonts w:ascii="Verdana" w:eastAsia="Calibri" w:hAnsi="Verdana" w:cs="Arial"/>
          <w:color w:val="000000"/>
          <w:lang w:val="es-MX"/>
        </w:rPr>
        <w:t xml:space="preserve">alguno de los formatos que integran los documentos del proceso </w:t>
      </w:r>
      <w:r w:rsidRPr="002379AA">
        <w:rPr>
          <w:rFonts w:ascii="Verdana" w:eastAsia="Calibri" w:hAnsi="Verdana" w:cs="Arial"/>
          <w:lang w:val="es-MX"/>
        </w:rPr>
        <w:t xml:space="preserve">y la información contenida en el respectivo pliego de condiciones, se analizará las circunstancias en concreto de cara a los principios de la contratación estatal, de manera que la entidad adoptará la decisión que más se ajuste a la finalidad del proceso de contratación teniendo en cuenta las pautas interpretativas expuestas previamente, resaltando que aquellas disposiciones o situaciones </w:t>
      </w:r>
      <w:r w:rsidRPr="002379AA">
        <w:rPr>
          <w:rFonts w:ascii="Verdana" w:eastAsia="Batang" w:hAnsi="Verdana" w:cs="Arial"/>
        </w:rPr>
        <w:t xml:space="preserve">oscuras que hayan sido extendidas o dictadas por una parte se interpretarán contra ella si la ambigüedad proviene de una explicación que ésta ha debido dar de conformidad con el artículo 1624 del Código Civil, en ese sentido, dichas contradicciones o ambigüedades no pueden afectar a los proponentes o contratistas en el ejercicio de sus derechos. </w:t>
      </w:r>
    </w:p>
    <w:p w14:paraId="32D05D40" w14:textId="77777777" w:rsidR="0041392B" w:rsidRPr="002379AA" w:rsidRDefault="0041392B" w:rsidP="0041392B">
      <w:pPr>
        <w:spacing w:after="120" w:line="276" w:lineRule="auto"/>
        <w:ind w:firstLine="708"/>
        <w:jc w:val="both"/>
        <w:rPr>
          <w:rFonts w:ascii="Verdana" w:hAnsi="Verdana" w:cs="Arial"/>
          <w:color w:val="000000"/>
          <w:bdr w:val="none" w:sz="0" w:space="0" w:color="auto" w:frame="1"/>
          <w:shd w:val="clear" w:color="auto" w:fill="FFFFFF"/>
        </w:rPr>
      </w:pPr>
      <w:r w:rsidRPr="00C50080">
        <w:rPr>
          <w:rFonts w:ascii="Verdana" w:eastAsia="Batang" w:hAnsi="Verdana" w:cs="Arial"/>
        </w:rPr>
        <w:t>Ahora bien, en relación</w:t>
      </w:r>
      <w:r w:rsidRPr="002379AA">
        <w:rPr>
          <w:rFonts w:ascii="Verdana" w:eastAsia="Batang" w:hAnsi="Verdana" w:cs="Arial"/>
        </w:rPr>
        <w:t xml:space="preserve"> con los p</w:t>
      </w:r>
      <w:r w:rsidRPr="002379AA">
        <w:rPr>
          <w:rFonts w:ascii="Verdana" w:eastAsia="Calibri" w:hAnsi="Verdana" w:cs="Arial"/>
        </w:rPr>
        <w:t>liegos de condiciones electrónicos es menester indicar que, t</w:t>
      </w:r>
      <w:r w:rsidRPr="002379AA">
        <w:rPr>
          <w:rFonts w:ascii="Verdana" w:hAnsi="Verdana" w:cs="Arial"/>
          <w:color w:val="000000"/>
          <w:bdr w:val="none" w:sz="0" w:space="0" w:color="auto" w:frame="1"/>
          <w:shd w:val="clear" w:color="auto" w:fill="FFFFFF"/>
        </w:rPr>
        <w:t xml:space="preserve">radicionalmente, el pliego de condiciones es un documento escrito en medio físico o digital, que, como los demás documentos del proceso de contratación, se expide y luego se publica en el SECOP I, en el </w:t>
      </w:r>
      <w:r w:rsidRPr="002379AA">
        <w:rPr>
          <w:rFonts w:ascii="Verdana" w:hAnsi="Verdana" w:cs="Arial"/>
          <w:color w:val="000000"/>
          <w:bdr w:val="none" w:sz="0" w:space="0" w:color="auto" w:frame="1"/>
          <w:shd w:val="clear" w:color="auto" w:fill="FFFFFF"/>
        </w:rPr>
        <w:lastRenderedPageBreak/>
        <w:t>término dispuesto en el artículo 2.2.1.1.1.7.1 del Decreto 1082 de 2015</w:t>
      </w:r>
      <w:r w:rsidRPr="002379AA">
        <w:rPr>
          <w:rFonts w:ascii="Verdana" w:hAnsi="Verdana" w:cs="Arial"/>
          <w:color w:val="000000"/>
          <w:bdr w:val="none" w:sz="0" w:space="0" w:color="auto" w:frame="1"/>
          <w:shd w:val="clear" w:color="auto" w:fill="FFFFFF"/>
          <w:vertAlign w:val="superscript"/>
        </w:rPr>
        <w:footnoteReference w:id="12"/>
      </w:r>
      <w:r w:rsidRPr="002379AA">
        <w:rPr>
          <w:rFonts w:ascii="Verdana" w:hAnsi="Verdana" w:cs="Arial"/>
          <w:color w:val="000000"/>
          <w:bdr w:val="none" w:sz="0" w:space="0" w:color="auto" w:frame="1"/>
          <w:shd w:val="clear" w:color="auto" w:fill="FFFFFF"/>
        </w:rPr>
        <w:t xml:space="preserve">. De esta manera, el pliego de condiciones se produce por fuera de la plataforma y luego se carga para efectos de su publicidad. </w:t>
      </w:r>
    </w:p>
    <w:p w14:paraId="7E96300C" w14:textId="77777777" w:rsidR="0041392B" w:rsidRPr="002379AA" w:rsidRDefault="0041392B" w:rsidP="0041392B">
      <w:pPr>
        <w:spacing w:after="120" w:line="276" w:lineRule="auto"/>
        <w:ind w:firstLine="708"/>
        <w:jc w:val="both"/>
        <w:rPr>
          <w:rFonts w:ascii="Verdana" w:eastAsia="Times New Roman" w:hAnsi="Verdana" w:cs="Arial"/>
          <w:color w:val="000000"/>
          <w:bdr w:val="none" w:sz="0" w:space="0" w:color="auto" w:frame="1"/>
          <w:shd w:val="clear" w:color="auto" w:fill="FFFFFF"/>
          <w:lang w:eastAsia="es-MX"/>
        </w:rPr>
      </w:pPr>
      <w:r w:rsidRPr="002379AA">
        <w:rPr>
          <w:rFonts w:ascii="Verdana" w:eastAsia="Times New Roman" w:hAnsi="Verdana" w:cs="Arial"/>
          <w:color w:val="000000"/>
          <w:bdr w:val="none" w:sz="0" w:space="0" w:color="auto" w:frame="1"/>
          <w:shd w:val="clear" w:color="auto" w:fill="FFFFFF"/>
          <w:lang w:eastAsia="es-MX"/>
        </w:rPr>
        <w:t xml:space="preserve">Lo anterior a diferencia de </w:t>
      </w:r>
      <w:bookmarkStart w:id="3" w:name="_Hlk117498261"/>
      <w:r w:rsidRPr="002379AA">
        <w:rPr>
          <w:rFonts w:ascii="Verdana" w:eastAsia="Times New Roman" w:hAnsi="Verdana" w:cs="Arial"/>
          <w:color w:val="000000"/>
          <w:bdr w:val="none" w:sz="0" w:space="0" w:color="auto" w:frame="1"/>
          <w:shd w:val="clear" w:color="auto" w:fill="FFFFFF"/>
          <w:lang w:eastAsia="es-MX"/>
        </w:rPr>
        <w:t xml:space="preserve">los procesos adelantados a través de la SECOP II en los cuales el pliego de condiciones es un documento electrónico el cual se produce, expide y publica al interior de esta versión de la plataforma, la cual tiene carácter transaccional y no meramente publicitario. Este pliego de condiciones electrónico </w:t>
      </w:r>
      <w:r w:rsidRPr="002379AA">
        <w:rPr>
          <w:rFonts w:ascii="Verdana" w:eastAsia="Calibri" w:hAnsi="Verdana" w:cs="Arial"/>
          <w:szCs w:val="24"/>
          <w:lang w:val="es-ES" w:eastAsia="es-MX"/>
        </w:rPr>
        <w:t>está compuesto por: i) formulario y ii) documentos anexos que cargue la entidad. Después de elegir la modalidad de selección en el SECOP II la entidad crea el expediente electrónico del procedimiento y habilita la creación del pliego borrador electrónico. Este pliego electrónico es un formulario con seis (6) secciones: i) información general, ii) configuración, iii) cuestionario, iv) evaluación, v) documentos del proceso y vi) documentos de la oferta.</w:t>
      </w:r>
    </w:p>
    <w:bookmarkEnd w:id="3"/>
    <w:p w14:paraId="62BE275B" w14:textId="77777777" w:rsidR="0041392B" w:rsidRPr="002379AA" w:rsidRDefault="0041392B" w:rsidP="0041392B">
      <w:pPr>
        <w:spacing w:after="120" w:line="276" w:lineRule="auto"/>
        <w:ind w:firstLine="709"/>
        <w:jc w:val="both"/>
        <w:rPr>
          <w:rFonts w:ascii="Verdana" w:eastAsia="Calibri" w:hAnsi="Verdana" w:cs="Arial"/>
          <w:lang w:val="es-ES"/>
        </w:rPr>
      </w:pPr>
      <w:r w:rsidRPr="002379AA">
        <w:rPr>
          <w:rFonts w:ascii="Verdana" w:eastAsia="Calibri" w:hAnsi="Verdana" w:cs="Arial"/>
          <w:lang w:val="es-ES"/>
        </w:rPr>
        <w:t>Los formularios de los pliegos electrónicos incluyen la mayoría de los contenidos mínimos que debe contener un pliego de condiciones, con excepción de algunos temas como lo son el análisis de riesgos, las causales de rechazo, la minuta del contrato y la supervisión o interventoría, entre otros, los cuales, al igual que los demás componentes que la entidad considere conveniente incluir, en su autonomía contractual, pueden incluirse en la sección para adjuntar documentos.</w:t>
      </w:r>
    </w:p>
    <w:p w14:paraId="33F8B696" w14:textId="77777777" w:rsidR="0041392B" w:rsidRPr="002379AA" w:rsidRDefault="0041392B" w:rsidP="0041392B">
      <w:pPr>
        <w:spacing w:after="120" w:line="276" w:lineRule="auto"/>
        <w:ind w:firstLine="709"/>
        <w:jc w:val="both"/>
        <w:rPr>
          <w:rFonts w:ascii="Verdana" w:eastAsia="Calibri" w:hAnsi="Verdana" w:cs="Arial"/>
          <w:lang w:val="es-ES"/>
        </w:rPr>
      </w:pPr>
      <w:r w:rsidRPr="002379AA">
        <w:rPr>
          <w:rFonts w:ascii="Verdana" w:eastAsia="Calibri" w:hAnsi="Verdana" w:cs="Arial"/>
          <w:lang w:val="es-ES"/>
        </w:rPr>
        <w:t xml:space="preserve">En consecuencia, por el funcionamiento de la plataforma no es posible que exista un pliego de condiciones físico y que no se diligencie el formulario dispuesto en la plataforma, ya que sin esto el SECOP II no habilita el botón “ir a publicar”, con el cual se crea formalmente el procedimiento y los interesados pueden conocerlo para presentar observaciones y su oferta. Esto significa que para que el proceso de contratación se realice a través de la plataforma SECOP II es necesario diligenciar dicho formulario en línea que debe contener los requisitos establecidos en el acto administrativo del pliego de condiciones, por lo tanto, esto no implica que las entidades no puedan adjuntar los documentos </w:t>
      </w:r>
      <w:r w:rsidRPr="002379AA">
        <w:rPr>
          <w:rFonts w:ascii="Verdana" w:eastAsia="Calibri" w:hAnsi="Verdana" w:cs="Arial"/>
          <w:lang w:val="es-ES"/>
        </w:rPr>
        <w:lastRenderedPageBreak/>
        <w:t>que sean necesarios y que complementen el pliego de condiciones electrónico en lo que el formulario no contemple su inclusión.</w:t>
      </w:r>
    </w:p>
    <w:p w14:paraId="67815AE0" w14:textId="77777777" w:rsidR="0041392B" w:rsidRPr="002379AA" w:rsidRDefault="0041392B" w:rsidP="0041392B">
      <w:pPr>
        <w:spacing w:after="0" w:line="276" w:lineRule="auto"/>
        <w:ind w:firstLine="709"/>
        <w:jc w:val="both"/>
        <w:rPr>
          <w:rFonts w:ascii="Verdana" w:eastAsia="Calibri" w:hAnsi="Verdana" w:cs="Arial"/>
        </w:rPr>
      </w:pPr>
      <w:r w:rsidRPr="002379AA">
        <w:rPr>
          <w:rFonts w:ascii="Verdana" w:eastAsia="Calibri" w:hAnsi="Verdana" w:cs="Arial"/>
          <w:lang w:val="es-ES"/>
        </w:rPr>
        <w:t xml:space="preserve">En ese contexto, frente a los eventos en los cuales </w:t>
      </w:r>
      <w:r w:rsidRPr="002379AA">
        <w:rPr>
          <w:rFonts w:ascii="Verdana" w:eastAsia="Calibri" w:hAnsi="Verdana" w:cs="Arial"/>
        </w:rPr>
        <w:t>se configure una contradicción o falta de claridad respecto del pliego de condiciones y el formulario del SECOP II, por ejemplo, sobre la presentación de algún requisito habilitante por parte de los proponentes</w:t>
      </w:r>
      <w:r w:rsidRPr="002379AA">
        <w:rPr>
          <w:rFonts w:ascii="Verdana" w:eastAsia="Calibri" w:hAnsi="Verdana" w:cs="Arial"/>
          <w:lang w:val="es-ES"/>
        </w:rPr>
        <w:t xml:space="preserve">, esta Agencia en concepto </w:t>
      </w:r>
      <w:r w:rsidRPr="002379AA">
        <w:rPr>
          <w:rFonts w:ascii="Verdana" w:eastAsia="Calibri" w:hAnsi="Verdana" w:cs="Arial"/>
        </w:rPr>
        <w:t>C-295 de 30 de abril de 2020, afirmó que:</w:t>
      </w:r>
    </w:p>
    <w:p w14:paraId="68884107" w14:textId="77777777" w:rsidR="0041392B" w:rsidRPr="002379AA" w:rsidRDefault="0041392B" w:rsidP="0041392B">
      <w:pPr>
        <w:spacing w:after="0" w:line="276" w:lineRule="auto"/>
        <w:ind w:firstLine="709"/>
        <w:jc w:val="both"/>
        <w:rPr>
          <w:rFonts w:ascii="Verdana" w:eastAsia="Calibri" w:hAnsi="Verdana" w:cs="Arial"/>
        </w:rPr>
      </w:pPr>
    </w:p>
    <w:p w14:paraId="4E339AD6" w14:textId="77777777" w:rsidR="0041392B" w:rsidRPr="002379AA" w:rsidRDefault="0041392B" w:rsidP="0041392B">
      <w:pPr>
        <w:spacing w:after="0" w:line="240" w:lineRule="auto"/>
        <w:ind w:left="709" w:right="709"/>
        <w:jc w:val="both"/>
        <w:rPr>
          <w:rFonts w:ascii="Verdana" w:eastAsia="Calibri" w:hAnsi="Verdana" w:cs="Arial"/>
          <w:sz w:val="20"/>
          <w:szCs w:val="20"/>
          <w:lang w:val="es-ES"/>
        </w:rPr>
      </w:pPr>
      <w:r w:rsidRPr="002379AA">
        <w:rPr>
          <w:rFonts w:ascii="Verdana" w:eastAsia="Calibri" w:hAnsi="Verdana" w:cs="Arial"/>
          <w:sz w:val="20"/>
          <w:szCs w:val="20"/>
        </w:rPr>
        <w:t>“</w:t>
      </w:r>
      <w:r w:rsidRPr="002379AA">
        <w:rPr>
          <w:rFonts w:ascii="Verdana" w:eastAsia="Calibri" w:hAnsi="Verdana" w:cs="Arial"/>
          <w:sz w:val="20"/>
          <w:szCs w:val="20"/>
          <w:lang w:val="es-ES"/>
        </w:rPr>
        <w:t>por el funcionamiento de la plataforma, no es posible que exista diferencia entre los documentos exigidos en el pliego de condiciones electrónico, y los señalados en el cuestionario de la oferta, ya que en el SECOP II hacen parte del mismo documento electrónico, por lo que los documentos requeridos en el cuestionario para la presentación de la oferta son los exigidos en el pliego de condiciones, ya que el cuestionario es parte del pliego de condiciones electrónico que es ley para las partes y los proponentes están en la obligación de cumplirlo.</w:t>
      </w:r>
    </w:p>
    <w:p w14:paraId="2CC7CFCC" w14:textId="77777777" w:rsidR="0041392B" w:rsidRPr="002379AA" w:rsidRDefault="0041392B" w:rsidP="0041392B">
      <w:pPr>
        <w:spacing w:after="0" w:line="240" w:lineRule="auto"/>
        <w:ind w:left="709" w:right="709"/>
        <w:jc w:val="both"/>
        <w:rPr>
          <w:rFonts w:ascii="Verdana" w:eastAsia="Calibri" w:hAnsi="Verdana" w:cs="Arial"/>
          <w:sz w:val="20"/>
          <w:szCs w:val="20"/>
          <w:lang w:val="es-ES"/>
        </w:rPr>
      </w:pPr>
    </w:p>
    <w:p w14:paraId="087B869A" w14:textId="77777777" w:rsidR="0041392B" w:rsidRPr="002379AA" w:rsidRDefault="0041392B" w:rsidP="0041392B">
      <w:pPr>
        <w:spacing w:after="0" w:line="240" w:lineRule="auto"/>
        <w:ind w:left="709" w:right="709"/>
        <w:jc w:val="both"/>
        <w:rPr>
          <w:rFonts w:ascii="Verdana" w:eastAsia="Calibri" w:hAnsi="Verdana" w:cs="Arial"/>
          <w:sz w:val="20"/>
          <w:szCs w:val="20"/>
        </w:rPr>
      </w:pPr>
      <w:bookmarkStart w:id="4" w:name="_Hlk143791487"/>
      <w:r w:rsidRPr="002379AA">
        <w:rPr>
          <w:rFonts w:ascii="Verdana" w:eastAsia="Calibri" w:hAnsi="Verdana" w:cs="Arial"/>
          <w:sz w:val="20"/>
          <w:szCs w:val="20"/>
          <w:lang w:val="es-ES"/>
        </w:rPr>
        <w:t xml:space="preserve">Adicionalmente, sobre la posibilidad de que la entidad rechace una oferta por no presentar los documentos solicitados en el cuestionario, esto es, en el pliego de condiciones electrónico, ya que de acuerdo con lo anterior son un mismo documento, se </w:t>
      </w:r>
      <w:bookmarkEnd w:id="4"/>
      <w:r w:rsidRPr="002379AA">
        <w:rPr>
          <w:rFonts w:ascii="Verdana" w:eastAsia="Calibri" w:hAnsi="Verdana" w:cs="Arial"/>
          <w:sz w:val="20"/>
          <w:szCs w:val="20"/>
          <w:lang w:val="es-ES"/>
        </w:rPr>
        <w:t xml:space="preserve">debe tener en cuenta que </w:t>
      </w:r>
      <w:r w:rsidRPr="002379AA">
        <w:rPr>
          <w:rFonts w:ascii="Verdana" w:eastAsia="Arial" w:hAnsi="Verdana" w:cs="Arial"/>
          <w:sz w:val="20"/>
          <w:szCs w:val="20"/>
          <w:lang w:val="es-ES" w:eastAsia="es-ES" w:bidi="es-ES"/>
        </w:rPr>
        <w:t xml:space="preserve">el artículo 5 de la Ley 1882 de 2018 modificó el parágrafo 1 del artículo 5 de la Ley 1150 de 2007; sin embargo, no cambió sustancialmente el sentido original de la Ley 1150 de 2007, porque mantuvo el criterio para determinar si la falta de un documento o la ausencia de un requisito es o no subsanable, lo que depende de si el requisito afecta la asignación de puntaje, por lo que se mantuvo la regla general de que todo es subsanable, salvo los </w:t>
      </w:r>
      <w:r w:rsidRPr="002379AA">
        <w:rPr>
          <w:rFonts w:ascii="Verdana" w:eastAsia="Calibri" w:hAnsi="Verdana" w:cs="Arial"/>
          <w:sz w:val="20"/>
          <w:szCs w:val="20"/>
          <w:lang w:val="es-ES"/>
        </w:rPr>
        <w:t>requisitos</w:t>
      </w:r>
      <w:r w:rsidRPr="002379AA">
        <w:rPr>
          <w:rFonts w:ascii="Verdana" w:eastAsia="Arial" w:hAnsi="Verdana" w:cs="Arial"/>
          <w:sz w:val="20"/>
          <w:szCs w:val="20"/>
          <w:lang w:val="es-ES" w:eastAsia="es-ES" w:bidi="es-ES"/>
        </w:rPr>
        <w:t xml:space="preserve"> que inciden en la asignación de puntaje”</w:t>
      </w:r>
      <w:r w:rsidRPr="002379AA">
        <w:rPr>
          <w:rFonts w:ascii="Verdana" w:eastAsia="Calibri" w:hAnsi="Verdana" w:cs="Arial"/>
          <w:sz w:val="20"/>
          <w:szCs w:val="20"/>
          <w:vertAlign w:val="superscript"/>
        </w:rPr>
        <w:footnoteReference w:id="13"/>
      </w:r>
      <w:r w:rsidRPr="002379AA">
        <w:rPr>
          <w:rFonts w:ascii="Verdana" w:eastAsia="Calibri" w:hAnsi="Verdana" w:cs="Arial"/>
          <w:sz w:val="20"/>
          <w:szCs w:val="20"/>
        </w:rPr>
        <w:t>.</w:t>
      </w:r>
    </w:p>
    <w:p w14:paraId="05E76BFC" w14:textId="77777777" w:rsidR="0041392B" w:rsidRPr="002379AA" w:rsidRDefault="0041392B" w:rsidP="0041392B">
      <w:pPr>
        <w:spacing w:after="0" w:line="276" w:lineRule="auto"/>
        <w:ind w:left="709" w:right="709"/>
        <w:jc w:val="both"/>
        <w:rPr>
          <w:rFonts w:ascii="Verdana" w:eastAsia="Calibri" w:hAnsi="Verdana" w:cs="Arial"/>
        </w:rPr>
      </w:pPr>
    </w:p>
    <w:p w14:paraId="1A265234" w14:textId="77777777" w:rsidR="0041392B" w:rsidRPr="002379AA" w:rsidRDefault="0041392B" w:rsidP="0041392B">
      <w:pPr>
        <w:widowControl w:val="0"/>
        <w:autoSpaceDE w:val="0"/>
        <w:autoSpaceDN w:val="0"/>
        <w:spacing w:after="0" w:line="276" w:lineRule="auto"/>
        <w:ind w:firstLine="709"/>
        <w:jc w:val="both"/>
        <w:rPr>
          <w:rFonts w:ascii="Verdana" w:eastAsia="Arial" w:hAnsi="Verdana" w:cs="Arial"/>
          <w:lang w:val="es-ES" w:eastAsia="es-ES" w:bidi="es-ES"/>
        </w:rPr>
      </w:pPr>
      <w:r w:rsidRPr="002379AA">
        <w:rPr>
          <w:rFonts w:ascii="Verdana" w:eastAsia="Calibri" w:hAnsi="Verdana" w:cs="Arial"/>
          <w:lang w:val="es-ES" w:eastAsia="es-ES" w:bidi="es-ES"/>
        </w:rPr>
        <w:t xml:space="preserve">En ese sentido, a criterio de esta Agencia, y teniendo en cuenta el criterio interpretativo según el cual </w:t>
      </w:r>
      <w:r w:rsidRPr="002379AA">
        <w:rPr>
          <w:rFonts w:ascii="Verdana" w:eastAsia="Calibri" w:hAnsi="Verdana" w:cs="Arial"/>
          <w:lang w:val="es-MX" w:eastAsia="es-ES" w:bidi="es-ES"/>
        </w:rPr>
        <w:t xml:space="preserve">aquellas disposiciones o situaciones </w:t>
      </w:r>
      <w:r w:rsidRPr="002379AA">
        <w:rPr>
          <w:rFonts w:ascii="Verdana" w:eastAsia="Batang" w:hAnsi="Verdana" w:cs="Arial"/>
          <w:lang w:val="es-ES" w:eastAsia="es-ES" w:bidi="es-ES"/>
        </w:rPr>
        <w:t xml:space="preserve">oscuras que hayan sido extendidas o dictadas por una parte se interpretarán contra ella, de conformidad con el artículo 1624 del Código Civil, más aún cuando la Entidad Estatal es la que carga y emite el respectivo pliego de condiciones electrónico, y dicha ambigüedad proviene de una explicación que ésta ha debido dar ya sea en </w:t>
      </w:r>
      <w:r w:rsidRPr="002379AA">
        <w:rPr>
          <w:rFonts w:ascii="Verdana" w:eastAsia="Batang" w:hAnsi="Verdana" w:cs="Arial"/>
          <w:lang w:val="es-ES" w:eastAsia="es-ES" w:bidi="es-ES"/>
        </w:rPr>
        <w:lastRenderedPageBreak/>
        <w:t>una respuesta a observaciones o en una adenda al pliego de condiciones electrónico, dicha omisión en el formulario del SECOP II de la presentación de un requisito habilitante implica que la Entidad Estatal no puede afectar la participación de los proponentes en el proceso de selección y, por lo tanto, la e</w:t>
      </w:r>
      <w:r w:rsidRPr="002379AA">
        <w:rPr>
          <w:rFonts w:ascii="Verdana" w:eastAsia="Calibri" w:hAnsi="Verdana" w:cs="Arial"/>
          <w:lang w:val="es-ES" w:eastAsia="es-ES" w:bidi="es-ES"/>
        </w:rPr>
        <w:t xml:space="preserve">ntidad teniendo en cuenta la etapa en la que se encuentre el proceso de selección, podrá determinar si es necesario revocar el acto administrativo de apertura del proceso de selección o modificar el cronograma del pliego de condiciones para la presentación de dichos documentos, respetándoles además su derecho a la subsanación a los proponentes de acuerdo con </w:t>
      </w:r>
      <w:r w:rsidRPr="002379AA">
        <w:rPr>
          <w:rFonts w:ascii="Verdana" w:eastAsia="Arial" w:hAnsi="Verdana" w:cs="Arial"/>
          <w:lang w:val="es-ES" w:eastAsia="es-ES" w:bidi="es-ES"/>
        </w:rPr>
        <w:t>el artículo 5 de la Ley 1882 de 2018, que modificó el parágrafo 1 del artículo 5 de la Ley 1150 de 2007.</w:t>
      </w:r>
    </w:p>
    <w:p w14:paraId="4B2C5C72" w14:textId="77777777" w:rsidR="0041392B" w:rsidRPr="00593A5F" w:rsidRDefault="0041392B" w:rsidP="0041392B">
      <w:pPr>
        <w:spacing w:after="0" w:line="276" w:lineRule="auto"/>
        <w:jc w:val="both"/>
        <w:rPr>
          <w:rFonts w:ascii="Verdana" w:eastAsia="Calibri" w:hAnsi="Verdana" w:cs="Arial"/>
          <w:color w:val="7030A0"/>
          <w:lang w:val="es-ES"/>
        </w:rPr>
      </w:pPr>
    </w:p>
    <w:p w14:paraId="7FE36D28" w14:textId="77777777" w:rsidR="0041392B" w:rsidRPr="00593A5F" w:rsidRDefault="0041392B" w:rsidP="0041392B">
      <w:pPr>
        <w:widowControl w:val="0"/>
        <w:autoSpaceDE w:val="0"/>
        <w:autoSpaceDN w:val="0"/>
        <w:spacing w:after="0" w:line="276" w:lineRule="auto"/>
        <w:jc w:val="both"/>
        <w:rPr>
          <w:rFonts w:ascii="Verdana" w:hAnsi="Verdana" w:cs="Arial"/>
        </w:rPr>
      </w:pPr>
    </w:p>
    <w:p w14:paraId="52DF9F60" w14:textId="77777777" w:rsidR="0041392B" w:rsidRPr="00593A5F" w:rsidRDefault="0041392B" w:rsidP="004139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67F20BDA" w14:textId="77777777" w:rsidR="0041392B" w:rsidRPr="00593A5F" w:rsidRDefault="0041392B" w:rsidP="0041392B">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1392B" w:rsidRPr="00593A5F" w14:paraId="56E7E332" w14:textId="77777777" w:rsidTr="008E1FB1">
        <w:trPr>
          <w:trHeight w:val="870"/>
        </w:trPr>
        <w:tc>
          <w:tcPr>
            <w:tcW w:w="8647" w:type="dxa"/>
          </w:tcPr>
          <w:p w14:paraId="4BBD8C33" w14:textId="77777777" w:rsidR="0041392B" w:rsidRPr="00A45C48" w:rsidRDefault="0041392B" w:rsidP="0041392B">
            <w:pPr>
              <w:pStyle w:val="Prrafodelista"/>
              <w:numPr>
                <w:ilvl w:val="0"/>
                <w:numId w:val="17"/>
              </w:numPr>
              <w:spacing w:after="120" w:line="360" w:lineRule="auto"/>
              <w:jc w:val="both"/>
              <w:rPr>
                <w:rFonts w:ascii="Verdana" w:hAnsi="Verdana" w:cs="Arial"/>
                <w:noProof/>
                <w:lang w:val="es-CO"/>
              </w:rPr>
            </w:pPr>
            <w:r w:rsidRPr="00A45C48">
              <w:rPr>
                <w:rFonts w:ascii="Verdana" w:hAnsi="Verdana" w:cs="Arial"/>
                <w:noProof/>
                <w:lang w:val="es-CO"/>
              </w:rPr>
              <w:t>Ley 80 de 1993: Artícu</w:t>
            </w:r>
            <w:r>
              <w:rPr>
                <w:rFonts w:ascii="Verdana" w:hAnsi="Verdana" w:cs="Arial"/>
                <w:noProof/>
              </w:rPr>
              <w:t>l</w:t>
            </w:r>
            <w:r w:rsidRPr="00A45C48">
              <w:rPr>
                <w:rFonts w:ascii="Verdana" w:hAnsi="Verdana" w:cs="Arial"/>
                <w:noProof/>
                <w:lang w:val="es-CO"/>
              </w:rPr>
              <w:t xml:space="preserve">o 24. </w:t>
            </w:r>
          </w:p>
          <w:p w14:paraId="41B870D8" w14:textId="77777777" w:rsidR="0041392B" w:rsidRPr="00A45C48" w:rsidRDefault="0041392B" w:rsidP="0041392B">
            <w:pPr>
              <w:pStyle w:val="Prrafodelista"/>
              <w:numPr>
                <w:ilvl w:val="0"/>
                <w:numId w:val="17"/>
              </w:numPr>
              <w:spacing w:after="120" w:line="360" w:lineRule="auto"/>
              <w:jc w:val="both"/>
              <w:rPr>
                <w:rFonts w:ascii="Verdana" w:hAnsi="Verdana" w:cs="Arial"/>
                <w:noProof/>
                <w:lang w:val="es-CO"/>
              </w:rPr>
            </w:pPr>
            <w:r w:rsidRPr="00A45C48">
              <w:rPr>
                <w:rFonts w:ascii="Verdana" w:hAnsi="Verdana" w:cs="Arial"/>
                <w:noProof/>
                <w:lang w:val="es-CO"/>
              </w:rPr>
              <w:t>Código Civil: Artículos 1618 a 1624.</w:t>
            </w:r>
          </w:p>
          <w:p w14:paraId="5BCDF305" w14:textId="77777777" w:rsidR="0041392B" w:rsidRDefault="0041392B" w:rsidP="0041392B">
            <w:pPr>
              <w:pStyle w:val="Prrafodelista"/>
              <w:widowControl w:val="0"/>
              <w:numPr>
                <w:ilvl w:val="0"/>
                <w:numId w:val="17"/>
              </w:numPr>
              <w:autoSpaceDE w:val="0"/>
              <w:autoSpaceDN w:val="0"/>
              <w:spacing w:after="120" w:line="360" w:lineRule="auto"/>
              <w:jc w:val="both"/>
              <w:rPr>
                <w:rFonts w:ascii="Verdana" w:hAnsi="Verdana" w:cs="Arial"/>
              </w:rPr>
            </w:pPr>
            <w:r w:rsidRPr="00A45C48">
              <w:rPr>
                <w:rFonts w:ascii="Verdana" w:hAnsi="Verdana" w:cs="Arial"/>
                <w:noProof/>
                <w:lang w:val="es-CO"/>
              </w:rPr>
              <w:t>Decreto 1082 de 2015: Artículo 2.2.1.1.2.1.3.</w:t>
            </w:r>
          </w:p>
          <w:p w14:paraId="06F0FDE2" w14:textId="77777777" w:rsidR="0041392B" w:rsidRDefault="0041392B" w:rsidP="0041392B">
            <w:pPr>
              <w:pStyle w:val="Prrafodelista"/>
              <w:widowControl w:val="0"/>
              <w:numPr>
                <w:ilvl w:val="0"/>
                <w:numId w:val="17"/>
              </w:numPr>
              <w:autoSpaceDE w:val="0"/>
              <w:autoSpaceDN w:val="0"/>
              <w:spacing w:after="120" w:line="360" w:lineRule="auto"/>
              <w:jc w:val="both"/>
              <w:rPr>
                <w:rFonts w:ascii="Verdana" w:hAnsi="Verdana" w:cs="Arial"/>
              </w:rPr>
            </w:pPr>
            <w:r w:rsidRPr="00EE01B9">
              <w:rPr>
                <w:rFonts w:ascii="Verdana" w:hAnsi="Verdana" w:cs="Arial"/>
              </w:rPr>
              <w:t>CORTE CONSTITUCIONAL. Sentencia C-128 de 2003. M.P. Álvaro Tafur Galvis</w:t>
            </w:r>
          </w:p>
          <w:p w14:paraId="66486C44" w14:textId="77777777" w:rsidR="0041392B" w:rsidRDefault="0041392B" w:rsidP="0041392B">
            <w:pPr>
              <w:pStyle w:val="Prrafodelista"/>
              <w:widowControl w:val="0"/>
              <w:numPr>
                <w:ilvl w:val="0"/>
                <w:numId w:val="17"/>
              </w:numPr>
              <w:autoSpaceDE w:val="0"/>
              <w:autoSpaceDN w:val="0"/>
              <w:spacing w:after="120" w:line="360" w:lineRule="auto"/>
              <w:jc w:val="both"/>
              <w:rPr>
                <w:rFonts w:ascii="Verdana" w:hAnsi="Verdana" w:cs="Arial"/>
              </w:rPr>
            </w:pPr>
            <w:r w:rsidRPr="00EE01B9">
              <w:rPr>
                <w:rFonts w:ascii="Verdana" w:hAnsi="Verdana" w:cs="Arial"/>
              </w:rPr>
              <w:t>CONSEJO DE ESTADO. Sección Tercera. Sentencia del 11 de noviembre de 2009. Exp. 17.366. C.P. Mauricio Fajardo Gómez.</w:t>
            </w:r>
          </w:p>
          <w:p w14:paraId="036E4A25" w14:textId="77777777" w:rsidR="0041392B" w:rsidRDefault="0041392B" w:rsidP="0041392B">
            <w:pPr>
              <w:pStyle w:val="Prrafodelista"/>
              <w:widowControl w:val="0"/>
              <w:numPr>
                <w:ilvl w:val="0"/>
                <w:numId w:val="17"/>
              </w:numPr>
              <w:autoSpaceDE w:val="0"/>
              <w:autoSpaceDN w:val="0"/>
              <w:spacing w:after="120" w:line="360" w:lineRule="auto"/>
              <w:jc w:val="both"/>
              <w:rPr>
                <w:rFonts w:ascii="Verdana" w:hAnsi="Verdana" w:cs="Arial"/>
              </w:rPr>
            </w:pPr>
            <w:r w:rsidRPr="00EE01B9">
              <w:rPr>
                <w:rFonts w:ascii="Verdana" w:hAnsi="Verdana" w:cs="Arial"/>
              </w:rPr>
              <w:t>CONSEJO DE ESTADO. Sección Tercera. Sentencia del 24 de julio de 2013. Exp. 25.642. C.P. Enrique Gil Botero</w:t>
            </w:r>
          </w:p>
          <w:p w14:paraId="391F0DF6" w14:textId="77777777" w:rsidR="0041392B" w:rsidRDefault="0041392B" w:rsidP="0041392B">
            <w:pPr>
              <w:pStyle w:val="Prrafodelista"/>
              <w:widowControl w:val="0"/>
              <w:numPr>
                <w:ilvl w:val="0"/>
                <w:numId w:val="17"/>
              </w:numPr>
              <w:autoSpaceDE w:val="0"/>
              <w:autoSpaceDN w:val="0"/>
              <w:spacing w:after="120" w:line="360" w:lineRule="auto"/>
              <w:jc w:val="both"/>
              <w:rPr>
                <w:rFonts w:ascii="Verdana" w:hAnsi="Verdana" w:cs="Arial"/>
              </w:rPr>
            </w:pPr>
            <w:r w:rsidRPr="00EE01B9">
              <w:rPr>
                <w:rFonts w:ascii="Verdana" w:hAnsi="Verdana" w:cs="Arial"/>
              </w:rPr>
              <w:t>CONSEJO DE ESTADO, Sala de lo Contencioso Administrativo, Sección Tercera, sentencias del 1 de junio de 2022, radicado 60248; 29 de julio de 2015, radicado 40660; y, del 26 de abril de 2006, radicado 16041.</w:t>
            </w:r>
          </w:p>
          <w:p w14:paraId="776769C2" w14:textId="77777777" w:rsidR="0041392B" w:rsidRPr="003979D7" w:rsidRDefault="0041392B" w:rsidP="0041392B">
            <w:pPr>
              <w:pStyle w:val="Prrafodelista"/>
              <w:widowControl w:val="0"/>
              <w:numPr>
                <w:ilvl w:val="0"/>
                <w:numId w:val="17"/>
              </w:numPr>
              <w:autoSpaceDE w:val="0"/>
              <w:autoSpaceDN w:val="0"/>
              <w:spacing w:after="120" w:line="360" w:lineRule="auto"/>
              <w:jc w:val="both"/>
              <w:rPr>
                <w:rFonts w:ascii="Verdana" w:hAnsi="Verdana" w:cs="Arial"/>
              </w:rPr>
            </w:pPr>
            <w:r w:rsidRPr="00EE01B9">
              <w:rPr>
                <w:rFonts w:ascii="Verdana" w:hAnsi="Verdana" w:cs="Arial"/>
              </w:rPr>
              <w:t>CONSEJO DE ESTADO, Sala de lo Contencioso Administrativo, Sección Tercera, sentencias del 1 de junio de 2022, radicado 60248 y del 2 de julio de 2021, radicado 51910.</w:t>
            </w:r>
          </w:p>
          <w:p w14:paraId="55513E0C" w14:textId="77777777" w:rsidR="0041392B" w:rsidRDefault="0041392B" w:rsidP="0041392B">
            <w:pPr>
              <w:pStyle w:val="Prrafodelista"/>
              <w:widowControl w:val="0"/>
              <w:numPr>
                <w:ilvl w:val="0"/>
                <w:numId w:val="17"/>
              </w:numPr>
              <w:autoSpaceDE w:val="0"/>
              <w:autoSpaceDN w:val="0"/>
              <w:spacing w:after="120" w:line="360" w:lineRule="auto"/>
              <w:jc w:val="both"/>
              <w:rPr>
                <w:rFonts w:ascii="Verdana" w:hAnsi="Verdana" w:cs="Arial"/>
              </w:rPr>
            </w:pPr>
            <w:r w:rsidRPr="00EE01B9">
              <w:rPr>
                <w:rFonts w:ascii="Verdana" w:hAnsi="Verdana" w:cs="Arial"/>
              </w:rPr>
              <w:t>GONZÁLEZ LÓPEZ, Edgar</w:t>
            </w:r>
            <w:r w:rsidRPr="00EE01B9">
              <w:rPr>
                <w:rFonts w:ascii="Verdana" w:hAnsi="Verdana" w:cs="Arial"/>
                <w:i/>
                <w:iCs/>
              </w:rPr>
              <w:t xml:space="preserve">. </w:t>
            </w:r>
            <w:r w:rsidRPr="00EE01B9">
              <w:rPr>
                <w:rFonts w:ascii="Verdana" w:hAnsi="Verdana" w:cs="Arial"/>
              </w:rPr>
              <w:t xml:space="preserve">El pliego de condiciones en la contratación. </w:t>
            </w:r>
            <w:r w:rsidRPr="00EE01B9">
              <w:rPr>
                <w:rFonts w:ascii="Verdana" w:hAnsi="Verdana" w:cs="Arial"/>
              </w:rPr>
              <w:lastRenderedPageBreak/>
              <w:t xml:space="preserve">La reforma consagrada en la Ley 1150 de 2007 y sus decretos reglamentarios. Universidad Externado de Colombia. Primera edición, 2010, pp. 64.  </w:t>
            </w:r>
          </w:p>
          <w:p w14:paraId="28C634E4" w14:textId="77777777" w:rsidR="0041392B" w:rsidRPr="00AC742F" w:rsidRDefault="0041392B" w:rsidP="0041392B">
            <w:pPr>
              <w:pStyle w:val="Prrafodelista"/>
              <w:widowControl w:val="0"/>
              <w:numPr>
                <w:ilvl w:val="0"/>
                <w:numId w:val="17"/>
              </w:numPr>
              <w:autoSpaceDE w:val="0"/>
              <w:autoSpaceDN w:val="0"/>
              <w:spacing w:after="120" w:line="360" w:lineRule="auto"/>
              <w:jc w:val="both"/>
              <w:rPr>
                <w:rFonts w:ascii="Verdana" w:hAnsi="Verdana" w:cs="Arial"/>
              </w:rPr>
            </w:pPr>
            <w:r w:rsidRPr="00EE01B9">
              <w:rPr>
                <w:rFonts w:ascii="Verdana" w:hAnsi="Verdana" w:cs="Arial"/>
              </w:rPr>
              <w:t>SANTOFIMIO GAMBÓA, Jaime Orlando. Compendio de Derecho Administrativo. Editorial Universidad Externado de Colombia. Págs. 672-673. Bogotá, 2017.</w:t>
            </w:r>
          </w:p>
        </w:tc>
      </w:tr>
    </w:tbl>
    <w:p w14:paraId="1903E33D" w14:textId="77777777" w:rsidR="0041392B" w:rsidRPr="00593A5F" w:rsidRDefault="0041392B" w:rsidP="0041392B">
      <w:pPr>
        <w:widowControl w:val="0"/>
        <w:autoSpaceDE w:val="0"/>
        <w:autoSpaceDN w:val="0"/>
        <w:spacing w:after="0" w:line="276" w:lineRule="auto"/>
        <w:jc w:val="both"/>
        <w:rPr>
          <w:rFonts w:ascii="Verdana" w:hAnsi="Verdana" w:cs="Arial"/>
        </w:rPr>
      </w:pPr>
    </w:p>
    <w:p w14:paraId="4531481E" w14:textId="77777777" w:rsidR="0041392B" w:rsidRPr="00593A5F" w:rsidRDefault="0041392B" w:rsidP="0041392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EA88024" w14:textId="77777777" w:rsidR="0041392B" w:rsidRPr="00593A5F" w:rsidRDefault="0041392B" w:rsidP="0041392B">
      <w:pPr>
        <w:widowControl w:val="0"/>
        <w:autoSpaceDE w:val="0"/>
        <w:autoSpaceDN w:val="0"/>
        <w:spacing w:after="0" w:line="276" w:lineRule="auto"/>
        <w:jc w:val="both"/>
        <w:rPr>
          <w:rFonts w:ascii="Verdana" w:hAnsi="Verdana" w:cs="Arial"/>
        </w:rPr>
      </w:pPr>
    </w:p>
    <w:p w14:paraId="7148A55D" w14:textId="77777777" w:rsidR="0041392B" w:rsidRDefault="0041392B" w:rsidP="0041392B">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833CE2">
        <w:rPr>
          <w:rFonts w:ascii="Verdana" w:eastAsia="Aptos" w:hAnsi="Verdana" w:cs="Arial"/>
          <w:shd w:val="clear" w:color="auto" w:fill="FFFFFF"/>
          <w:lang w:val="es-ES"/>
        </w:rPr>
        <w:t>Sobre las generalidades del pliego de condiciones, esta Subdirección se ha manifestado en los conceptos C-693 del 24 de octubre de 2023, C-534 del 10 de octubre de 2024, C-404 del 11 de septiembre de 2024, C-427 del 13 de septiembre de 2024, C-714 del 25 de noviembre de 2024, entre otros. Adicionalmente, en lo concerniente a la publicidad de la información contractual en el SECOP, entre otros en los conceptos C-649 del 09 de septiembre de 2022, C-657 del 06 de noviembre de 2024, C-712 del 12 de noviembre de 2024, C-969 del 19 de noviembre de 2024, C-710 del 20 de noviembre de 2024</w:t>
      </w:r>
      <w:r>
        <w:rPr>
          <w:rFonts w:ascii="Verdana" w:eastAsia="Aptos" w:hAnsi="Verdana" w:cs="Arial"/>
          <w:shd w:val="clear" w:color="auto" w:fill="FFFFFF"/>
          <w:lang w:val="es-ES"/>
        </w:rPr>
        <w:t xml:space="preserve">, C-765 del 5 de diciembre de 2024, y C-869 del </w:t>
      </w:r>
      <w:r w:rsidRPr="00E45BFF">
        <w:rPr>
          <w:rFonts w:ascii="Verdana" w:eastAsia="Aptos" w:hAnsi="Verdana" w:cs="Arial"/>
          <w:shd w:val="clear" w:color="auto" w:fill="FFFFFF"/>
          <w:lang w:val="es-ES"/>
        </w:rPr>
        <w:t>30 de diciembre de 2024</w:t>
      </w:r>
      <w:r>
        <w:rPr>
          <w:rFonts w:ascii="Verdana" w:eastAsia="Aptos" w:hAnsi="Verdana" w:cs="Arial"/>
          <w:shd w:val="clear" w:color="auto" w:fill="FFFFFF"/>
          <w:lang w:val="es-ES"/>
        </w:rPr>
        <w:t>, entre otros</w:t>
      </w:r>
      <w:r w:rsidRPr="00A1554D">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3" w:history="1">
        <w:r w:rsidRPr="00670DD9">
          <w:rPr>
            <w:rStyle w:val="Hipervnculo"/>
            <w:rFonts w:ascii="Verdana" w:hAnsi="Verdana" w:cs="Arial"/>
            <w:color w:val="4472C4" w:themeColor="accent1"/>
            <w:shd w:val="clear" w:color="auto" w:fill="FFFFFF"/>
            <w:lang w:val="es-ES"/>
          </w:rPr>
          <w:t>https://relatoria.colombiacompra.gov.co/busqueda/conceptos</w:t>
        </w:r>
      </w:hyperlink>
      <w:r w:rsidRPr="00670DD9">
        <w:rPr>
          <w:rStyle w:val="normaltextrun"/>
          <w:rFonts w:ascii="Verdana" w:hAnsi="Verdana" w:cs="Arial"/>
          <w:color w:val="4472C4" w:themeColor="accent1"/>
          <w:shd w:val="clear" w:color="auto" w:fill="FFFFFF"/>
          <w:lang w:val="es-ES"/>
        </w:rPr>
        <w:t xml:space="preserve">. </w:t>
      </w:r>
    </w:p>
    <w:p w14:paraId="0AFCDB26" w14:textId="77777777" w:rsidR="0041392B" w:rsidRDefault="0041392B" w:rsidP="0041392B">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216FE5BF" w14:textId="77777777" w:rsidR="0041392B" w:rsidRDefault="0041392B" w:rsidP="0041392B">
      <w:pPr>
        <w:spacing w:after="0" w:line="240" w:lineRule="auto"/>
        <w:jc w:val="both"/>
        <w:rPr>
          <w:rFonts w:ascii="Verdana" w:hAnsi="Verdana" w:cs="Arial"/>
          <w:color w:val="000000" w:themeColor="text1"/>
          <w:shd w:val="clear" w:color="auto" w:fill="FFFFFF"/>
        </w:rPr>
      </w:pPr>
      <w:r w:rsidRPr="00BE3BDB">
        <w:rPr>
          <w:rFonts w:ascii="Verdana" w:hAnsi="Verdana" w:cs="Arial"/>
          <w:color w:val="000000" w:themeColor="text1"/>
          <w:shd w:val="clear" w:color="auto" w:fill="FFFFFF"/>
        </w:rPr>
        <w:b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5CCD98EA" w14:textId="77777777" w:rsidR="0041392B" w:rsidRPr="00BE3BDB" w:rsidRDefault="0041392B" w:rsidP="0041392B">
      <w:pPr>
        <w:spacing w:after="0" w:line="240" w:lineRule="auto"/>
        <w:jc w:val="both"/>
        <w:rPr>
          <w:rFonts w:ascii="Verdana" w:hAnsi="Verdana" w:cs="Arial"/>
          <w:color w:val="000000" w:themeColor="text1"/>
          <w:shd w:val="clear" w:color="auto" w:fill="FFFFFF"/>
        </w:rPr>
      </w:pPr>
    </w:p>
    <w:p w14:paraId="5670429E" w14:textId="77777777" w:rsidR="0041392B" w:rsidRPr="00670DD9" w:rsidRDefault="0041392B" w:rsidP="0041392B">
      <w:pPr>
        <w:numPr>
          <w:ilvl w:val="0"/>
          <w:numId w:val="18"/>
        </w:numPr>
        <w:spacing w:after="0" w:line="240" w:lineRule="auto"/>
        <w:jc w:val="both"/>
        <w:rPr>
          <w:rFonts w:ascii="Verdana" w:hAnsi="Verdana" w:cs="Arial"/>
          <w:color w:val="4472C4" w:themeColor="accent1"/>
          <w:shd w:val="clear" w:color="auto" w:fill="FFFFFF"/>
        </w:rPr>
      </w:pPr>
      <w:r w:rsidRPr="00BE3BDB">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4" w:tgtFrame="_blank" w:tooltip="Dirección URL original: https://www.colombiacompra.gov.co/content/03-documentos-tipo-para-los-procesos-de-seleccion-de-interventoria-de-obra-publica-de. Haga clic o pulse si confía en este vínculo." w:history="1">
        <w:r w:rsidRPr="00670DD9">
          <w:rPr>
            <w:rStyle w:val="Hipervnculo"/>
            <w:rFonts w:ascii="Verdana" w:hAnsi="Verdana" w:cs="Arial"/>
            <w:color w:val="4472C4" w:themeColor="accent1"/>
            <w:shd w:val="clear" w:color="auto" w:fill="FFFFFF"/>
          </w:rPr>
          <w:t>03. Documentos tipo para los procesos de selección de interventoría de obra pública de infraestructura de transporte – versión 3 | Colombia Compra Eficiente | Agencia Nacional de Contratación Pública</w:t>
        </w:r>
      </w:hyperlink>
    </w:p>
    <w:p w14:paraId="2BB879AC" w14:textId="77777777" w:rsidR="0041392B" w:rsidRPr="00BE3BDB" w:rsidRDefault="0041392B" w:rsidP="0041392B">
      <w:pPr>
        <w:spacing w:after="0" w:line="240" w:lineRule="auto"/>
        <w:ind w:left="720"/>
        <w:jc w:val="both"/>
        <w:rPr>
          <w:rFonts w:ascii="Verdana" w:hAnsi="Verdana" w:cs="Arial"/>
          <w:color w:val="000000" w:themeColor="text1"/>
          <w:shd w:val="clear" w:color="auto" w:fill="FFFFFF"/>
        </w:rPr>
      </w:pPr>
    </w:p>
    <w:p w14:paraId="5F207FE4" w14:textId="77777777" w:rsidR="0041392B" w:rsidRPr="000C0D71" w:rsidRDefault="0041392B" w:rsidP="0041392B">
      <w:pPr>
        <w:numPr>
          <w:ilvl w:val="0"/>
          <w:numId w:val="18"/>
        </w:numPr>
        <w:spacing w:after="0" w:line="240" w:lineRule="auto"/>
        <w:jc w:val="both"/>
        <w:rPr>
          <w:rFonts w:ascii="Verdana" w:hAnsi="Verdana" w:cs="Arial"/>
          <w:color w:val="000000" w:themeColor="text1"/>
          <w:shd w:val="clear" w:color="auto" w:fill="FFFFFF"/>
        </w:rPr>
      </w:pPr>
      <w:r w:rsidRPr="00BE3BDB">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670DD9">
        <w:rPr>
          <w:rFonts w:ascii="Verdana" w:hAnsi="Verdana" w:cs="Arial"/>
          <w:color w:val="4472C4" w:themeColor="accent1"/>
          <w:shd w:val="clear" w:color="auto" w:fill="FFFFFF"/>
        </w:rPr>
        <w:t> </w:t>
      </w:r>
      <w:hyperlink r:id="rId15" w:tgtFrame="_blank" w:tooltip="Dirección URL original: https://www.colombiacompra.gov.co/content/02-documentos-tipo-para-los-procesos-de-seleccion-de-consultoria-de-obra-publica-de. Haga clic o pulse si confía en este vínculo." w:history="1">
        <w:r w:rsidRPr="00670DD9">
          <w:rPr>
            <w:rStyle w:val="Hipervnculo"/>
            <w:rFonts w:ascii="Verdana" w:hAnsi="Verdana" w:cs="Arial"/>
            <w:color w:val="4472C4" w:themeColor="accent1"/>
            <w:shd w:val="clear" w:color="auto" w:fill="FFFFFF"/>
          </w:rPr>
          <w:t xml:space="preserve">02. Documentos tipo para los procesos de selección de consultoría de obra </w:t>
        </w:r>
        <w:r w:rsidRPr="00670DD9">
          <w:rPr>
            <w:rStyle w:val="Hipervnculo"/>
            <w:rFonts w:ascii="Verdana" w:hAnsi="Verdana" w:cs="Arial"/>
            <w:color w:val="4472C4" w:themeColor="accent1"/>
            <w:shd w:val="clear" w:color="auto" w:fill="FFFFFF"/>
          </w:rPr>
          <w:lastRenderedPageBreak/>
          <w:t>pública de infraestructura de transporte – versión 2. | Colombia Compra Eficiente | Agencia Nacional de Contratación Pública</w:t>
        </w:r>
      </w:hyperlink>
    </w:p>
    <w:p w14:paraId="7CD747CF" w14:textId="77777777" w:rsidR="0041392B" w:rsidRPr="00BE3BDB" w:rsidRDefault="0041392B" w:rsidP="0041392B">
      <w:pPr>
        <w:spacing w:after="0" w:line="240" w:lineRule="auto"/>
        <w:ind w:left="720"/>
        <w:jc w:val="both"/>
        <w:rPr>
          <w:rFonts w:ascii="Verdana" w:hAnsi="Verdana" w:cs="Arial"/>
          <w:color w:val="000000" w:themeColor="text1"/>
          <w:shd w:val="clear" w:color="auto" w:fill="FFFFFF"/>
        </w:rPr>
      </w:pPr>
    </w:p>
    <w:p w14:paraId="69EAC54F" w14:textId="77777777" w:rsidR="0041392B" w:rsidRPr="00670DD9" w:rsidRDefault="0041392B" w:rsidP="0041392B">
      <w:pPr>
        <w:spacing w:after="0" w:line="240" w:lineRule="auto"/>
        <w:jc w:val="both"/>
        <w:rPr>
          <w:rFonts w:ascii="Verdana" w:hAnsi="Verdana" w:cs="Arial"/>
          <w:color w:val="4472C4" w:themeColor="accent1"/>
          <w:shd w:val="clear" w:color="auto" w:fill="FFFFFF"/>
        </w:rPr>
      </w:pPr>
      <w:r w:rsidRPr="00BE3BDB">
        <w:rPr>
          <w:rFonts w:ascii="Verdana" w:hAnsi="Verdana" w:cs="Arial"/>
          <w:color w:val="000000" w:themeColor="text1"/>
          <w:shd w:val="clear" w:color="auto" w:fill="FFFFFF"/>
        </w:rPr>
        <w:t>También, te contamos que ya publicamos </w:t>
      </w:r>
      <w:r w:rsidRPr="00BE3BDB">
        <w:rPr>
          <w:rFonts w:ascii="Verdana" w:hAnsi="Verdana" w:cs="Arial"/>
          <w:b/>
          <w:bCs/>
          <w:color w:val="000000" w:themeColor="text1"/>
          <w:shd w:val="clear" w:color="auto" w:fill="FFFFFF"/>
        </w:rPr>
        <w:t>la nueva Guía de Contratación Pública Sostenible y Socialmente Responsable</w:t>
      </w:r>
      <w:r w:rsidRPr="00BE3BDB">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6" w:tgtFrame="_blank" w:tooltip="Dirección URL original: https://www.colombiacompra.gov.co/manuales-guias-y-pliegos-tipo/manuales-y-guias/guia-de-contratacion-publica-sostenible-y-socialmente. Haga clic o pulse si confía en este vínculo." w:history="1">
        <w:r w:rsidRPr="00670DD9">
          <w:rPr>
            <w:rStyle w:val="Hipervnculo"/>
            <w:rFonts w:ascii="Verdana" w:hAnsi="Verdana" w:cs="Arial"/>
            <w:color w:val="4472C4" w:themeColor="accent1"/>
            <w:shd w:val="clear" w:color="auto" w:fill="FFFFFF"/>
          </w:rPr>
          <w:t>Guía de Contratación Pública Sostenible y Socialmente Responsable | Colombia Compra Eficiente | Agencia Nacional de Contratación Pública</w:t>
        </w:r>
      </w:hyperlink>
    </w:p>
    <w:p w14:paraId="6EA0644D" w14:textId="77777777" w:rsidR="0041392B" w:rsidRDefault="0041392B" w:rsidP="0041392B">
      <w:pPr>
        <w:spacing w:after="0" w:line="240" w:lineRule="auto"/>
        <w:jc w:val="both"/>
        <w:rPr>
          <w:rFonts w:ascii="Verdana" w:hAnsi="Verdana"/>
        </w:rPr>
      </w:pPr>
    </w:p>
    <w:p w14:paraId="1A34E0CD" w14:textId="77777777" w:rsidR="0041392B" w:rsidRPr="003E2460" w:rsidRDefault="0041392B" w:rsidP="0041392B">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79A0D1A4" w14:textId="77777777" w:rsidR="0041392B" w:rsidRPr="003E2460" w:rsidRDefault="0041392B" w:rsidP="0041392B">
      <w:pPr>
        <w:spacing w:after="0" w:line="240" w:lineRule="auto"/>
        <w:jc w:val="both"/>
        <w:rPr>
          <w:rFonts w:ascii="Verdana" w:hAnsi="Verdana"/>
        </w:rPr>
      </w:pPr>
    </w:p>
    <w:p w14:paraId="2997711F" w14:textId="77777777" w:rsidR="0041392B" w:rsidRPr="003E2460" w:rsidRDefault="0041392B" w:rsidP="0041392B">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31DB8582" w14:textId="77777777" w:rsidR="0041392B" w:rsidRPr="003E2460" w:rsidRDefault="0041392B" w:rsidP="0041392B">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4D9D9E7F" w14:textId="77777777" w:rsidR="0041392B" w:rsidRPr="003E2460" w:rsidRDefault="0041392B" w:rsidP="0041392B">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2D658E9" w14:textId="77777777" w:rsidR="0041392B" w:rsidRPr="00593A5F" w:rsidRDefault="0041392B" w:rsidP="0041392B">
      <w:pPr>
        <w:widowControl w:val="0"/>
        <w:autoSpaceDE w:val="0"/>
        <w:autoSpaceDN w:val="0"/>
        <w:spacing w:after="0" w:line="276" w:lineRule="auto"/>
        <w:jc w:val="both"/>
        <w:rPr>
          <w:rFonts w:ascii="Verdana" w:hAnsi="Verdana" w:cs="Arial"/>
        </w:rPr>
      </w:pPr>
    </w:p>
    <w:p w14:paraId="641DB643" w14:textId="77777777" w:rsidR="0041392B" w:rsidRPr="00593A5F" w:rsidRDefault="0041392B" w:rsidP="0041392B">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2E61D73" w14:textId="77777777" w:rsidR="0041392B" w:rsidRPr="00593A5F" w:rsidRDefault="0041392B" w:rsidP="0041392B">
      <w:pPr>
        <w:widowControl w:val="0"/>
        <w:autoSpaceDE w:val="0"/>
        <w:autoSpaceDN w:val="0"/>
        <w:spacing w:after="0" w:line="276" w:lineRule="auto"/>
        <w:jc w:val="both"/>
        <w:rPr>
          <w:rFonts w:ascii="Verdana" w:hAnsi="Verdana" w:cs="Arial"/>
        </w:rPr>
      </w:pPr>
    </w:p>
    <w:p w14:paraId="3104C14F" w14:textId="77777777" w:rsidR="0041392B" w:rsidRPr="00593A5F" w:rsidRDefault="0041392B" w:rsidP="0041392B">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E78C932" w14:textId="62F3D8E5" w:rsidR="0041392B" w:rsidRPr="00593A5F" w:rsidRDefault="006C0879" w:rsidP="0041392B">
      <w:pPr>
        <w:spacing w:line="276" w:lineRule="auto"/>
        <w:jc w:val="center"/>
        <w:rPr>
          <w:rFonts w:ascii="Verdana" w:hAnsi="Verdana" w:cs="Arial"/>
          <w:color w:val="000000"/>
          <w:lang w:val="es-ES_tradnl" w:eastAsia="es-CO"/>
        </w:rPr>
      </w:pPr>
      <w:r>
        <w:rPr>
          <w:noProof/>
        </w:rPr>
        <w:drawing>
          <wp:inline distT="0" distB="0" distL="0" distR="0" wp14:anchorId="4B90AED4" wp14:editId="06FA554B">
            <wp:extent cx="3771429" cy="1400000"/>
            <wp:effectExtent l="0" t="0" r="635" b="0"/>
            <wp:docPr id="77702699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26992" name="Imagen 1" descr="Texto&#10;&#10;Descripción generada automáticamente"/>
                    <pic:cNvPicPr/>
                  </pic:nvPicPr>
                  <pic:blipFill>
                    <a:blip r:embed="rId17"/>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1392B" w:rsidRPr="00997C37" w14:paraId="0175D6F7" w14:textId="77777777" w:rsidTr="008E1FB1">
        <w:trPr>
          <w:trHeight w:val="315"/>
        </w:trPr>
        <w:tc>
          <w:tcPr>
            <w:tcW w:w="893" w:type="dxa"/>
            <w:vAlign w:val="center"/>
            <w:hideMark/>
          </w:tcPr>
          <w:p w14:paraId="1ACB404F" w14:textId="77777777" w:rsidR="0041392B" w:rsidRPr="00997C37" w:rsidRDefault="0041392B" w:rsidP="008E1FB1">
            <w:pPr>
              <w:contextualSpacing/>
              <w:rPr>
                <w:rFonts w:ascii="Verdana" w:hAnsi="Verdana" w:cs="Arial"/>
                <w:sz w:val="16"/>
                <w:szCs w:val="16"/>
                <w:lang w:val="es-ES" w:eastAsia="es-ES"/>
              </w:rPr>
            </w:pPr>
            <w:r w:rsidRPr="00997C3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26ED292" w14:textId="77777777" w:rsidR="0041392B" w:rsidRPr="00997C37" w:rsidRDefault="0041392B" w:rsidP="008E1FB1">
            <w:pPr>
              <w:contextualSpacing/>
              <w:rPr>
                <w:rStyle w:val="normaltextrun"/>
                <w:rFonts w:ascii="Verdana" w:hAnsi="Verdana"/>
                <w:sz w:val="16"/>
                <w:szCs w:val="16"/>
              </w:rPr>
            </w:pPr>
            <w:r w:rsidRPr="00997C37">
              <w:rPr>
                <w:rStyle w:val="normaltextrun"/>
                <w:rFonts w:ascii="Verdana" w:hAnsi="Verdana"/>
                <w:sz w:val="16"/>
                <w:szCs w:val="16"/>
              </w:rPr>
              <w:t>Santiago Alberto Herrera Morillo</w:t>
            </w:r>
          </w:p>
          <w:p w14:paraId="7090E388" w14:textId="77777777" w:rsidR="0041392B" w:rsidRPr="00997C37" w:rsidRDefault="0041392B" w:rsidP="008E1FB1">
            <w:pPr>
              <w:contextualSpacing/>
              <w:rPr>
                <w:rFonts w:ascii="Verdana" w:eastAsia="Arial" w:hAnsi="Verdana" w:cs="Arial"/>
                <w:sz w:val="16"/>
                <w:szCs w:val="16"/>
              </w:rPr>
            </w:pPr>
            <w:r w:rsidRPr="00997C37">
              <w:rPr>
                <w:rStyle w:val="normaltextrun"/>
                <w:rFonts w:ascii="Verdana" w:hAnsi="Verdana"/>
                <w:sz w:val="16"/>
                <w:szCs w:val="16"/>
              </w:rPr>
              <w:t xml:space="preserve">Analista T2-02 </w:t>
            </w:r>
            <w:r w:rsidRPr="00997C37">
              <w:rPr>
                <w:rStyle w:val="normaltextrun"/>
                <w:rFonts w:ascii="Verdana" w:eastAsia="Arial" w:hAnsi="Verdana" w:cs="Arial"/>
                <w:sz w:val="16"/>
                <w:szCs w:val="16"/>
              </w:rPr>
              <w:t>de la Subdirección de Gestión Contractual</w:t>
            </w:r>
          </w:p>
        </w:tc>
      </w:tr>
      <w:tr w:rsidR="0041392B" w:rsidRPr="00997C37" w14:paraId="219BD257" w14:textId="77777777" w:rsidTr="008E1FB1">
        <w:trPr>
          <w:trHeight w:val="330"/>
        </w:trPr>
        <w:tc>
          <w:tcPr>
            <w:tcW w:w="893" w:type="dxa"/>
            <w:vAlign w:val="center"/>
            <w:hideMark/>
          </w:tcPr>
          <w:p w14:paraId="20C48432" w14:textId="77777777" w:rsidR="0041392B" w:rsidRPr="00997C37" w:rsidRDefault="0041392B" w:rsidP="008E1FB1">
            <w:pPr>
              <w:contextualSpacing/>
              <w:rPr>
                <w:rFonts w:ascii="Verdana" w:hAnsi="Verdana" w:cs="Arial"/>
                <w:sz w:val="16"/>
                <w:szCs w:val="16"/>
                <w:lang w:val="es-ES" w:eastAsia="es-ES"/>
              </w:rPr>
            </w:pPr>
            <w:r w:rsidRPr="00997C3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E102A10" w14:textId="69C2605D" w:rsidR="0041392B" w:rsidRPr="00997C37" w:rsidRDefault="000347F2" w:rsidP="008E1FB1">
            <w:pPr>
              <w:pStyle w:val="paragraph"/>
              <w:contextualSpacing/>
              <w:textAlignment w:val="baseline"/>
              <w:rPr>
                <w:rFonts w:ascii="Verdana" w:hAnsi="Verdana" w:cs="Arial"/>
                <w:sz w:val="16"/>
                <w:szCs w:val="16"/>
                <w:lang w:val="es-ES" w:eastAsia="es-ES_tradnl"/>
              </w:rPr>
            </w:pPr>
            <w:r>
              <w:rPr>
                <w:rFonts w:ascii="Verdana" w:hAnsi="Verdana" w:cs="Arial"/>
                <w:sz w:val="16"/>
                <w:szCs w:val="16"/>
                <w:lang w:val="es-ES" w:eastAsia="es-ES_tradnl"/>
              </w:rPr>
              <w:t>Alejandro Raúl Sarmiento Cantillo</w:t>
            </w:r>
          </w:p>
          <w:p w14:paraId="3D2A7A1F" w14:textId="1A863607" w:rsidR="0041392B" w:rsidRPr="00997C37" w:rsidRDefault="0041392B" w:rsidP="008E1FB1">
            <w:pPr>
              <w:pStyle w:val="paragraph"/>
              <w:spacing w:before="0" w:beforeAutospacing="0" w:after="0" w:afterAutospacing="0"/>
              <w:contextualSpacing/>
              <w:textAlignment w:val="baseline"/>
              <w:rPr>
                <w:rFonts w:ascii="Verdana" w:hAnsi="Verdana" w:cs="Segoe UI"/>
                <w:sz w:val="16"/>
                <w:szCs w:val="16"/>
              </w:rPr>
            </w:pPr>
            <w:r w:rsidRPr="00997C37">
              <w:rPr>
                <w:rFonts w:ascii="Verdana" w:hAnsi="Verdana" w:cs="Arial"/>
                <w:sz w:val="16"/>
                <w:szCs w:val="16"/>
                <w:u w:val="dotted"/>
                <w:lang w:val="es-ES"/>
              </w:rPr>
              <w:t>Gestor T1-1</w:t>
            </w:r>
            <w:r w:rsidR="000347F2">
              <w:rPr>
                <w:rFonts w:ascii="Verdana" w:hAnsi="Verdana" w:cs="Arial"/>
                <w:sz w:val="16"/>
                <w:szCs w:val="16"/>
                <w:u w:val="dotted"/>
                <w:lang w:val="es-ES"/>
              </w:rPr>
              <w:t>5</w:t>
            </w:r>
            <w:r w:rsidRPr="00997C37">
              <w:rPr>
                <w:rFonts w:ascii="Verdana" w:hAnsi="Verdana" w:cs="Arial"/>
                <w:sz w:val="16"/>
                <w:szCs w:val="16"/>
                <w:u w:val="dotted"/>
                <w:lang w:val="es-ES"/>
              </w:rPr>
              <w:t xml:space="preserve"> de la Subdirección de Gestión Contractual</w:t>
            </w:r>
          </w:p>
        </w:tc>
      </w:tr>
      <w:tr w:rsidR="0041392B" w:rsidRPr="00997C37" w14:paraId="0DA61449" w14:textId="77777777" w:rsidTr="008E1FB1">
        <w:trPr>
          <w:trHeight w:val="300"/>
        </w:trPr>
        <w:tc>
          <w:tcPr>
            <w:tcW w:w="893" w:type="dxa"/>
            <w:vAlign w:val="center"/>
          </w:tcPr>
          <w:p w14:paraId="71E111F1" w14:textId="77777777" w:rsidR="0041392B" w:rsidRPr="00997C37" w:rsidRDefault="0041392B" w:rsidP="008E1FB1">
            <w:pPr>
              <w:contextualSpacing/>
              <w:rPr>
                <w:rFonts w:ascii="Verdana" w:hAnsi="Verdana" w:cs="Arial"/>
                <w:sz w:val="16"/>
                <w:szCs w:val="16"/>
                <w:lang w:val="es-ES" w:eastAsia="es-ES"/>
              </w:rPr>
            </w:pPr>
            <w:r w:rsidRPr="00997C3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7A4F8C" w14:textId="77777777" w:rsidR="0041392B" w:rsidRPr="00997C37" w:rsidRDefault="0041392B" w:rsidP="008E1FB1">
            <w:pPr>
              <w:contextualSpacing/>
              <w:rPr>
                <w:rFonts w:ascii="Verdana" w:eastAsia="Calibri" w:hAnsi="Verdana" w:cs="Arial"/>
                <w:sz w:val="16"/>
                <w:szCs w:val="16"/>
                <w:lang w:val="pt-BR" w:eastAsia="es-ES"/>
              </w:rPr>
            </w:pPr>
            <w:r w:rsidRPr="00997C37">
              <w:rPr>
                <w:rFonts w:ascii="Verdana" w:eastAsia="Calibri" w:hAnsi="Verdana" w:cs="Arial"/>
                <w:sz w:val="16"/>
                <w:szCs w:val="16"/>
                <w:lang w:val="pt-BR" w:eastAsia="es-ES"/>
              </w:rPr>
              <w:t>Carolina Quintero Gacharná</w:t>
            </w:r>
          </w:p>
          <w:p w14:paraId="094A9796" w14:textId="77777777" w:rsidR="0041392B" w:rsidRPr="00997C37" w:rsidRDefault="0041392B" w:rsidP="008E1FB1">
            <w:pPr>
              <w:contextualSpacing/>
              <w:rPr>
                <w:rFonts w:ascii="Verdana" w:eastAsia="Calibri" w:hAnsi="Verdana" w:cs="Arial"/>
                <w:sz w:val="16"/>
                <w:szCs w:val="16"/>
                <w:lang w:val="pt-BR" w:eastAsia="es-ES"/>
              </w:rPr>
            </w:pPr>
            <w:r w:rsidRPr="00997C37">
              <w:rPr>
                <w:rFonts w:ascii="Verdana" w:eastAsia="Calibri" w:hAnsi="Verdana" w:cs="Arial"/>
                <w:sz w:val="16"/>
                <w:szCs w:val="16"/>
                <w:lang w:eastAsia="es-ES"/>
              </w:rPr>
              <w:t>Subdirectora</w:t>
            </w:r>
            <w:r w:rsidRPr="00997C37">
              <w:rPr>
                <w:rFonts w:ascii="Verdana" w:eastAsia="Calibri" w:hAnsi="Verdana" w:cs="Arial"/>
                <w:sz w:val="16"/>
                <w:szCs w:val="16"/>
                <w:lang w:val="pt-BR" w:eastAsia="es-ES"/>
              </w:rPr>
              <w:t xml:space="preserve"> de Gestión Contractual ANCP – CCE</w:t>
            </w:r>
          </w:p>
        </w:tc>
      </w:tr>
    </w:tbl>
    <w:p w14:paraId="3900974D" w14:textId="77777777" w:rsidR="003D5B0D" w:rsidRPr="0041392B" w:rsidRDefault="003D5B0D" w:rsidP="006C0879"/>
    <w:sectPr w:rsidR="003D5B0D" w:rsidRPr="0041392B"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E1E8" w14:textId="77777777" w:rsidR="00ED7384" w:rsidRDefault="00ED7384" w:rsidP="004A1847">
      <w:pPr>
        <w:spacing w:after="0" w:line="240" w:lineRule="auto"/>
      </w:pPr>
      <w:r>
        <w:separator/>
      </w:r>
    </w:p>
  </w:endnote>
  <w:endnote w:type="continuationSeparator" w:id="0">
    <w:p w14:paraId="4A7AB4CB" w14:textId="77777777" w:rsidR="00ED7384" w:rsidRDefault="00ED738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4B691" w14:textId="77777777" w:rsidR="00ED7384" w:rsidRDefault="00ED7384" w:rsidP="004A1847">
      <w:pPr>
        <w:spacing w:after="0" w:line="240" w:lineRule="auto"/>
      </w:pPr>
      <w:r>
        <w:separator/>
      </w:r>
    </w:p>
  </w:footnote>
  <w:footnote w:type="continuationSeparator" w:id="0">
    <w:p w14:paraId="46133D6B" w14:textId="77777777" w:rsidR="00ED7384" w:rsidRDefault="00ED7384" w:rsidP="004A1847">
      <w:pPr>
        <w:spacing w:after="0" w:line="240" w:lineRule="auto"/>
      </w:pPr>
      <w:r>
        <w:continuationSeparator/>
      </w:r>
    </w:p>
  </w:footnote>
  <w:footnote w:id="1">
    <w:p w14:paraId="3389D979" w14:textId="77777777" w:rsidR="0041392B" w:rsidRPr="00967C60" w:rsidRDefault="0041392B" w:rsidP="00027A9A">
      <w:pPr>
        <w:pStyle w:val="Textonotapie"/>
        <w:ind w:firstLine="708"/>
        <w:contextualSpacing/>
        <w:jc w:val="both"/>
        <w:rPr>
          <w:rFonts w:ascii="Arial" w:hAnsi="Arial" w:cs="Arial"/>
          <w:sz w:val="14"/>
          <w:szCs w:val="14"/>
        </w:rPr>
      </w:pPr>
      <w:r w:rsidRPr="00967C60">
        <w:rPr>
          <w:rStyle w:val="Refdenotaalpie"/>
          <w:rFonts w:ascii="Arial" w:hAnsi="Arial" w:cs="Arial"/>
          <w:sz w:val="14"/>
          <w:szCs w:val="14"/>
        </w:rPr>
        <w:footnoteRef/>
      </w:r>
      <w:r w:rsidRPr="00967C60">
        <w:rPr>
          <w:rFonts w:ascii="Arial" w:hAnsi="Arial" w:cs="Arial"/>
          <w:sz w:val="14"/>
          <w:szCs w:val="14"/>
        </w:rPr>
        <w:t xml:space="preserve"> CONSEJO DE ESTADO, Sala de lo Contencioso Administrativo, Sección Tercera, sentencias del 1 de junio de 2022, radicado 60248 y del 2 de julio de 2021, radicado 51910.</w:t>
      </w:r>
    </w:p>
  </w:footnote>
  <w:footnote w:id="2">
    <w:p w14:paraId="4A68BFC9"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Style w:val="Refdenotaalpie"/>
          <w:rFonts w:ascii="Arial" w:hAnsi="Arial" w:cs="Arial"/>
          <w:color w:val="000000" w:themeColor="text1"/>
          <w:sz w:val="14"/>
          <w:szCs w:val="14"/>
        </w:rPr>
        <w:footnoteRef/>
      </w:r>
      <w:r w:rsidRPr="00967C60">
        <w:rPr>
          <w:rFonts w:ascii="Arial" w:hAnsi="Arial" w:cs="Arial"/>
          <w:color w:val="000000" w:themeColor="text1"/>
          <w:sz w:val="14"/>
          <w:szCs w:val="14"/>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F927124"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w:t>
      </w:r>
    </w:p>
    <w:p w14:paraId="200B33DE"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68D1918E" w14:textId="77777777" w:rsidR="0041392B" w:rsidRPr="00967C60" w:rsidRDefault="0041392B" w:rsidP="00027A9A">
      <w:pPr>
        <w:pStyle w:val="Textonotapie"/>
        <w:ind w:firstLine="708"/>
        <w:contextualSpacing/>
        <w:jc w:val="both"/>
        <w:rPr>
          <w:rFonts w:ascii="Arial" w:hAnsi="Arial" w:cs="Arial"/>
          <w:color w:val="000000" w:themeColor="text1"/>
          <w:sz w:val="14"/>
          <w:szCs w:val="14"/>
          <w:lang w:val="es-ES"/>
        </w:rPr>
      </w:pPr>
      <w:r w:rsidRPr="00967C60">
        <w:rPr>
          <w:rFonts w:ascii="Arial" w:hAnsi="Arial" w:cs="Arial"/>
          <w:color w:val="000000" w:themeColor="text1"/>
          <w:sz w:val="14"/>
          <w:szCs w:val="14"/>
        </w:rPr>
        <w:t>[...]”.</w:t>
      </w:r>
    </w:p>
  </w:footnote>
  <w:footnote w:id="3">
    <w:p w14:paraId="4AC9E07B" w14:textId="77777777" w:rsidR="0041392B" w:rsidRPr="00967C60" w:rsidRDefault="0041392B" w:rsidP="00027A9A">
      <w:pPr>
        <w:pStyle w:val="Textonotapie"/>
        <w:ind w:firstLine="708"/>
        <w:contextualSpacing/>
        <w:jc w:val="both"/>
        <w:rPr>
          <w:rFonts w:ascii="Arial" w:hAnsi="Arial" w:cs="Arial"/>
          <w:color w:val="000000" w:themeColor="text1"/>
          <w:sz w:val="14"/>
          <w:szCs w:val="14"/>
          <w:lang w:val="es-ES"/>
        </w:rPr>
      </w:pPr>
      <w:r w:rsidRPr="00967C60">
        <w:rPr>
          <w:rStyle w:val="Refdenotaalpie"/>
          <w:rFonts w:ascii="Arial" w:hAnsi="Arial" w:cs="Arial"/>
          <w:color w:val="000000" w:themeColor="text1"/>
          <w:sz w:val="14"/>
          <w:szCs w:val="14"/>
        </w:rPr>
        <w:footnoteRef/>
      </w:r>
      <w:r w:rsidRPr="00967C60">
        <w:rPr>
          <w:rFonts w:ascii="Arial" w:hAnsi="Arial" w:cs="Arial"/>
          <w:color w:val="000000" w:themeColor="text1"/>
          <w:sz w:val="14"/>
          <w:szCs w:val="14"/>
        </w:rPr>
        <w:t xml:space="preserve"> CORTE CONSTITUCIONAL. Sentencia C-128 de 2003. M.P. Álvaro Tafur Galvis: “De dichos textos (artículos 24 y 29 derogado de la Ley 80 de 1993) se desprende claramente, en consecuencia, la voluntad del legislador de que el proceso de selección del contratista sea ajeno a cualquier consideración subjetiva o discriminatoria. Dicha voluntad, atendiendo los principios constitucionales y en particular los señalados en el artículo 209 superior, se extiende a todas las fases del contrato, desde su preparación hasta su liquidación, de manera que en todo su desarrollo se observen rigurosamente los parámetros establecidos por la ley y por los pliegos de condiciones en las diferentes etapas y actuaciones y se adopte una conducta leal, diáfana y veraz conforme al postulado de la buena fe y la mutua confianza entre quienes intervienen en la actividad contractual”.</w:t>
      </w:r>
    </w:p>
  </w:footnote>
  <w:footnote w:id="4">
    <w:p w14:paraId="3DB5BE1A" w14:textId="77777777" w:rsidR="0041392B" w:rsidRPr="00967C60" w:rsidRDefault="0041392B" w:rsidP="00027A9A">
      <w:pPr>
        <w:pStyle w:val="Textonotapie"/>
        <w:ind w:firstLine="708"/>
        <w:contextualSpacing/>
        <w:jc w:val="both"/>
        <w:rPr>
          <w:rFonts w:ascii="Arial" w:hAnsi="Arial" w:cs="Arial"/>
          <w:color w:val="000000" w:themeColor="text1"/>
          <w:sz w:val="14"/>
          <w:szCs w:val="14"/>
          <w:lang w:val="es-ES"/>
        </w:rPr>
      </w:pPr>
      <w:r w:rsidRPr="00967C60">
        <w:rPr>
          <w:rStyle w:val="Refdenotaalpie"/>
          <w:rFonts w:ascii="Arial" w:hAnsi="Arial" w:cs="Arial"/>
          <w:color w:val="000000" w:themeColor="text1"/>
          <w:sz w:val="14"/>
          <w:szCs w:val="14"/>
        </w:rPr>
        <w:footnoteRef/>
      </w:r>
      <w:r w:rsidRPr="00967C60">
        <w:rPr>
          <w:rFonts w:ascii="Arial" w:hAnsi="Arial" w:cs="Arial"/>
          <w:color w:val="000000" w:themeColor="text1"/>
          <w:sz w:val="14"/>
          <w:szCs w:val="14"/>
        </w:rPr>
        <w:t xml:space="preserve"> CONSEJO DE ESTADO. Sección Tercera. Sentencia del 11 de noviembre de 2009. Exp. 17.366. C.P. Mauricio Fajardo Gomez.</w:t>
      </w:r>
    </w:p>
  </w:footnote>
  <w:footnote w:id="5">
    <w:p w14:paraId="004AC91C"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Style w:val="Refdenotaalpie"/>
          <w:rFonts w:ascii="Arial" w:hAnsi="Arial" w:cs="Arial"/>
          <w:color w:val="000000" w:themeColor="text1"/>
          <w:sz w:val="14"/>
          <w:szCs w:val="14"/>
        </w:rPr>
        <w:footnoteRef/>
      </w:r>
      <w:r w:rsidRPr="00967C60">
        <w:rPr>
          <w:rFonts w:ascii="Arial" w:hAnsi="Arial" w:cs="Arial"/>
          <w:color w:val="000000" w:themeColor="text1"/>
          <w:sz w:val="14"/>
          <w:szCs w:val="14"/>
        </w:rPr>
        <w:t xml:space="preserve"> CONSEJO DE ESTADO. Sección Tercera. Sentencia del 24 de julio de 2013. Exp. 25.642. C.P. Enrique Gil Botero: “Concreta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 celebrar”.</w:t>
      </w:r>
    </w:p>
  </w:footnote>
  <w:footnote w:id="6">
    <w:p w14:paraId="5011EC98"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Style w:val="Refdenotaalpie"/>
          <w:rFonts w:ascii="Arial" w:hAnsi="Arial" w:cs="Arial"/>
          <w:color w:val="000000" w:themeColor="text1"/>
          <w:sz w:val="14"/>
          <w:szCs w:val="14"/>
        </w:rPr>
        <w:footnoteRef/>
      </w:r>
      <w:r w:rsidRPr="00967C60">
        <w:rPr>
          <w:rFonts w:ascii="Arial" w:hAnsi="Arial" w:cs="Arial"/>
          <w:color w:val="000000" w:themeColor="text1"/>
          <w:sz w:val="14"/>
          <w:szCs w:val="14"/>
        </w:rPr>
        <w:t xml:space="preserve"> DECRETO 1082 DE 2015: “Artículo 2.2.1.1.2.1.3. Pliegos de condiciones. Los pliegos de condiciones deben contener por lo menos la siguiente información:</w:t>
      </w:r>
    </w:p>
    <w:p w14:paraId="5AAE709D"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1. La descripción técnica, detallada y completa del bien o servicio objeto del contrato, identificado con el cuarto nivel del Clasificador de Bienes y Servicios, de ser posible o de lo contrario con el tercer nivel del mismo.</w:t>
      </w:r>
    </w:p>
    <w:p w14:paraId="712326C0"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2. La modalidad del proceso de selección y su justificación.</w:t>
      </w:r>
    </w:p>
    <w:p w14:paraId="6C928D48"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3. Los criterios de selección, incluyendo los factores de desempate y los incentivos cuando a ello haya lugar.</w:t>
      </w:r>
    </w:p>
    <w:p w14:paraId="4D42F4F9"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4. Las condiciones de costo y/o calidad que la Entidad Estatal debe tener en cuenta para la selección objetiva, de acuerdo con la modalidad de selección del contratista.</w:t>
      </w:r>
    </w:p>
    <w:p w14:paraId="1CBCCB00"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5. Las reglas aplicables a la presentación de las ofertas, su evaluación y a la adjudicación del contrato.</w:t>
      </w:r>
    </w:p>
    <w:p w14:paraId="11C490FA"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6. Las causas que dan lugar a rechazar una oferta.</w:t>
      </w:r>
    </w:p>
    <w:p w14:paraId="3CFA6F5B"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7. El valor del contrato, el plazo, el cronograma de pagos y la determinación de si debe haber lugar a la entrega de anticipo, y si hubiere, indicar su valor, el cual debe tener en cuenta los rendimientos que este pueda generar.</w:t>
      </w:r>
    </w:p>
    <w:p w14:paraId="6E8EDA29"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8. Los Riesgos asociados al contrato, la forma de mitigarlos y la asignación del Riesgo entre las partes contratantes.</w:t>
      </w:r>
    </w:p>
    <w:p w14:paraId="79544A81"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9. Las garantías exigidas en el Proceso de Contratación y sus condiciones.</w:t>
      </w:r>
    </w:p>
    <w:p w14:paraId="31BB418F"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10. La mención de si la Entidad Estatal y el contrato objeto de los pliegos de condiciones están cubiertos por un Acuerdo Comercial.</w:t>
      </w:r>
    </w:p>
    <w:p w14:paraId="77CEC6D0"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11. Los términos, condiciones y minuta del contrato.</w:t>
      </w:r>
    </w:p>
    <w:p w14:paraId="52AE1EC9"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12. Los términos de la supervisión y/o de la interventoría del contrato.</w:t>
      </w:r>
    </w:p>
    <w:p w14:paraId="7CDFDD5B"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13. El plazo dentro del cual la Entidad Estatal puede expedir Adendas.</w:t>
      </w:r>
    </w:p>
    <w:p w14:paraId="333BF22E" w14:textId="77777777" w:rsidR="0041392B" w:rsidRPr="00967C60" w:rsidRDefault="0041392B" w:rsidP="00027A9A">
      <w:pPr>
        <w:pStyle w:val="Textonotapie"/>
        <w:ind w:firstLine="708"/>
        <w:contextualSpacing/>
        <w:jc w:val="both"/>
        <w:rPr>
          <w:rFonts w:ascii="Arial" w:hAnsi="Arial" w:cs="Arial"/>
          <w:color w:val="000000" w:themeColor="text1"/>
          <w:sz w:val="14"/>
          <w:szCs w:val="14"/>
        </w:rPr>
      </w:pPr>
      <w:r w:rsidRPr="00967C60">
        <w:rPr>
          <w:rFonts w:ascii="Arial" w:hAnsi="Arial" w:cs="Arial"/>
          <w:color w:val="000000" w:themeColor="text1"/>
          <w:sz w:val="14"/>
          <w:szCs w:val="14"/>
        </w:rPr>
        <w:t>14. El Cronograma”.</w:t>
      </w:r>
    </w:p>
  </w:footnote>
  <w:footnote w:id="7">
    <w:p w14:paraId="1DC6ADF2" w14:textId="77777777" w:rsidR="0041392B" w:rsidRPr="00967C60" w:rsidRDefault="0041392B" w:rsidP="00027A9A">
      <w:pPr>
        <w:pStyle w:val="Textonotapie"/>
        <w:ind w:firstLine="708"/>
        <w:contextualSpacing/>
        <w:jc w:val="both"/>
        <w:rPr>
          <w:rFonts w:ascii="Arial" w:hAnsi="Arial" w:cs="Arial"/>
          <w:sz w:val="14"/>
          <w:szCs w:val="14"/>
        </w:rPr>
      </w:pPr>
      <w:r w:rsidRPr="00967C60">
        <w:rPr>
          <w:rStyle w:val="Refdenotaalpie"/>
          <w:rFonts w:ascii="Arial" w:hAnsi="Arial" w:cs="Arial"/>
          <w:sz w:val="14"/>
          <w:szCs w:val="14"/>
        </w:rPr>
        <w:footnoteRef/>
      </w:r>
      <w:r w:rsidRPr="00967C60">
        <w:rPr>
          <w:rFonts w:ascii="Arial" w:hAnsi="Arial" w:cs="Arial"/>
          <w:sz w:val="14"/>
          <w:szCs w:val="14"/>
        </w:rPr>
        <w:t xml:space="preserve"> GONZÁLEZ LÓPEZ, Edgar</w:t>
      </w:r>
      <w:r w:rsidRPr="00967C60">
        <w:rPr>
          <w:rFonts w:ascii="Arial" w:hAnsi="Arial" w:cs="Arial"/>
          <w:i/>
          <w:iCs/>
          <w:sz w:val="14"/>
          <w:szCs w:val="14"/>
        </w:rPr>
        <w:t xml:space="preserve">. </w:t>
      </w:r>
      <w:r w:rsidRPr="00967C60">
        <w:rPr>
          <w:rFonts w:ascii="Arial" w:hAnsi="Arial" w:cs="Arial"/>
          <w:sz w:val="14"/>
          <w:szCs w:val="14"/>
        </w:rPr>
        <w:t xml:space="preserve">El pliego de condiciones en la contratación. La reforma consagrada en la Ley 1150 de 2007 y sus decretos reglamentarios. Universidad Externado de Colombia. Primera edición, 2010, pp. 64.  </w:t>
      </w:r>
    </w:p>
  </w:footnote>
  <w:footnote w:id="8">
    <w:p w14:paraId="6A0BF195" w14:textId="77777777" w:rsidR="0041392B" w:rsidRPr="00967C60" w:rsidRDefault="0041392B" w:rsidP="00027A9A">
      <w:pPr>
        <w:pStyle w:val="Textonotapie"/>
        <w:ind w:firstLine="708"/>
        <w:contextualSpacing/>
        <w:jc w:val="both"/>
        <w:rPr>
          <w:rFonts w:ascii="Arial" w:hAnsi="Arial" w:cs="Arial"/>
          <w:sz w:val="14"/>
          <w:szCs w:val="14"/>
        </w:rPr>
      </w:pPr>
      <w:r w:rsidRPr="00967C60">
        <w:rPr>
          <w:rStyle w:val="Refdenotaalpie"/>
          <w:rFonts w:ascii="Arial" w:hAnsi="Arial" w:cs="Arial"/>
          <w:sz w:val="14"/>
          <w:szCs w:val="14"/>
        </w:rPr>
        <w:footnoteRef/>
      </w:r>
      <w:r w:rsidRPr="00967C60">
        <w:rPr>
          <w:rFonts w:ascii="Arial" w:hAnsi="Arial" w:cs="Arial"/>
          <w:sz w:val="14"/>
          <w:szCs w:val="14"/>
        </w:rPr>
        <w:t xml:space="preserve"> CONSEJO DE ESTADO, Sala de lo Contencioso Administrativo, Sección Tercera, sentencias del 1 de junio de 2022, radicado 60248; 29 de julio de 2015, radicado 40660; y, del 26 de abril de 2006, radicado 16041.</w:t>
      </w:r>
    </w:p>
  </w:footnote>
  <w:footnote w:id="9">
    <w:p w14:paraId="673FC4B5" w14:textId="77777777" w:rsidR="0041392B" w:rsidRPr="00967C60" w:rsidRDefault="0041392B" w:rsidP="00027A9A">
      <w:pPr>
        <w:pStyle w:val="Textonotapie"/>
        <w:ind w:firstLine="708"/>
        <w:contextualSpacing/>
        <w:jc w:val="both"/>
        <w:rPr>
          <w:rFonts w:ascii="Arial" w:hAnsi="Arial" w:cs="Arial"/>
          <w:sz w:val="14"/>
          <w:szCs w:val="14"/>
        </w:rPr>
      </w:pPr>
      <w:r w:rsidRPr="00967C60">
        <w:rPr>
          <w:rStyle w:val="Refdenotaalpie"/>
          <w:rFonts w:ascii="Arial" w:hAnsi="Arial" w:cs="Arial"/>
          <w:sz w:val="14"/>
          <w:szCs w:val="14"/>
        </w:rPr>
        <w:footnoteRef/>
      </w:r>
      <w:r w:rsidRPr="00967C60">
        <w:rPr>
          <w:rFonts w:ascii="Arial" w:hAnsi="Arial" w:cs="Arial"/>
          <w:sz w:val="14"/>
          <w:szCs w:val="14"/>
        </w:rPr>
        <w:t xml:space="preserve"> CONSEJO DE ESTADO, Sala de lo Contencioso Administrativo, Sección Tercera, sentencias del 1 de junio de 2022, radicado 60248 y del 2 de julio de 2021, radicado 51910.</w:t>
      </w:r>
    </w:p>
  </w:footnote>
  <w:footnote w:id="10">
    <w:p w14:paraId="146A3CF5" w14:textId="77777777" w:rsidR="0041392B" w:rsidRPr="00967C60" w:rsidRDefault="0041392B" w:rsidP="00027A9A">
      <w:pPr>
        <w:pStyle w:val="Textonotapie"/>
        <w:ind w:firstLine="708"/>
        <w:contextualSpacing/>
        <w:jc w:val="both"/>
        <w:rPr>
          <w:rFonts w:ascii="Arial" w:hAnsi="Arial" w:cs="Arial"/>
          <w:sz w:val="14"/>
          <w:szCs w:val="14"/>
        </w:rPr>
      </w:pPr>
      <w:r w:rsidRPr="00967C60">
        <w:rPr>
          <w:rStyle w:val="Refdenotaalpie"/>
          <w:rFonts w:ascii="Arial" w:hAnsi="Arial" w:cs="Arial"/>
          <w:sz w:val="14"/>
          <w:szCs w:val="14"/>
        </w:rPr>
        <w:footnoteRef/>
      </w:r>
      <w:r w:rsidRPr="00967C60">
        <w:rPr>
          <w:rFonts w:ascii="Arial" w:hAnsi="Arial" w:cs="Arial"/>
          <w:sz w:val="14"/>
          <w:szCs w:val="14"/>
        </w:rPr>
        <w:t xml:space="preserve"> SANTOFIMIO GAMBÓA, Jaime Orlando. Compendio de Derecho Administrativo. Editorial Universidad Externado de Colombia. Págs. 672-673. Bogotá, 2017.</w:t>
      </w:r>
    </w:p>
  </w:footnote>
  <w:footnote w:id="11">
    <w:p w14:paraId="4AB13761" w14:textId="77777777" w:rsidR="0041392B" w:rsidRPr="00967C60" w:rsidRDefault="0041392B" w:rsidP="00027A9A">
      <w:pPr>
        <w:pStyle w:val="Textonotapie"/>
        <w:ind w:firstLine="708"/>
        <w:contextualSpacing/>
        <w:jc w:val="both"/>
        <w:rPr>
          <w:rFonts w:ascii="Arial" w:hAnsi="Arial" w:cs="Arial"/>
          <w:sz w:val="14"/>
          <w:szCs w:val="14"/>
        </w:rPr>
      </w:pPr>
      <w:r w:rsidRPr="00967C60">
        <w:rPr>
          <w:rStyle w:val="Refdenotaalpie"/>
          <w:rFonts w:ascii="Arial" w:hAnsi="Arial" w:cs="Arial"/>
          <w:sz w:val="14"/>
          <w:szCs w:val="14"/>
        </w:rPr>
        <w:footnoteRef/>
      </w:r>
      <w:r w:rsidRPr="00967C60">
        <w:rPr>
          <w:rFonts w:ascii="Arial" w:hAnsi="Arial" w:cs="Arial"/>
          <w:sz w:val="14"/>
          <w:szCs w:val="14"/>
        </w:rPr>
        <w:t xml:space="preserve"> Agencia Nacional de Contratación Pública – Colombia Compra Eficiente. Concepto </w:t>
      </w:r>
      <w:r w:rsidRPr="00967C60">
        <w:rPr>
          <w:rFonts w:ascii="Arial" w:hAnsi="Arial" w:cs="Arial"/>
          <w:bCs/>
          <w:color w:val="000000"/>
          <w:sz w:val="14"/>
          <w:szCs w:val="14"/>
          <w:lang w:val="es-ES"/>
        </w:rPr>
        <w:t>C-030 de 2022</w:t>
      </w:r>
      <w:r w:rsidRPr="00967C60">
        <w:rPr>
          <w:rFonts w:ascii="Arial" w:hAnsi="Arial" w:cs="Arial"/>
          <w:sz w:val="14"/>
          <w:szCs w:val="14"/>
        </w:rPr>
        <w:t>.</w:t>
      </w:r>
    </w:p>
  </w:footnote>
  <w:footnote w:id="12">
    <w:p w14:paraId="0BA65CCF" w14:textId="77777777" w:rsidR="0041392B" w:rsidRPr="00967C60" w:rsidRDefault="0041392B" w:rsidP="00027A9A">
      <w:pPr>
        <w:pStyle w:val="Textonotapie"/>
        <w:ind w:firstLine="709"/>
        <w:contextualSpacing/>
        <w:jc w:val="both"/>
        <w:rPr>
          <w:rFonts w:ascii="Arial" w:hAnsi="Arial" w:cs="Arial"/>
          <w:sz w:val="14"/>
          <w:szCs w:val="14"/>
        </w:rPr>
      </w:pPr>
      <w:r w:rsidRPr="00967C60">
        <w:rPr>
          <w:rStyle w:val="Refdenotaalpie"/>
          <w:rFonts w:ascii="Arial" w:hAnsi="Arial" w:cs="Arial"/>
          <w:sz w:val="14"/>
          <w:szCs w:val="14"/>
        </w:rPr>
        <w:footnoteRef/>
      </w:r>
      <w:r w:rsidRPr="00967C60">
        <w:rPr>
          <w:rFonts w:ascii="Arial" w:hAnsi="Arial" w:cs="Arial"/>
          <w:sz w:val="14"/>
          <w:szCs w:val="14"/>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08431924" w14:textId="77777777" w:rsidR="0041392B" w:rsidRPr="00967C60" w:rsidRDefault="0041392B" w:rsidP="00027A9A">
      <w:pPr>
        <w:pStyle w:val="Textonotapie"/>
        <w:ind w:firstLine="708"/>
        <w:contextualSpacing/>
        <w:jc w:val="both"/>
        <w:rPr>
          <w:rFonts w:ascii="Arial" w:hAnsi="Arial" w:cs="Arial"/>
          <w:sz w:val="14"/>
          <w:szCs w:val="14"/>
        </w:rPr>
      </w:pPr>
      <w:r w:rsidRPr="00967C60">
        <w:rPr>
          <w:rFonts w:ascii="Arial" w:hAnsi="Arial" w:cs="Arial"/>
          <w:sz w:val="14"/>
          <w:szCs w:val="14"/>
        </w:rPr>
        <w:t xml:space="preserve">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  </w:t>
      </w:r>
    </w:p>
  </w:footnote>
  <w:footnote w:id="13">
    <w:p w14:paraId="11282670" w14:textId="77777777" w:rsidR="0041392B" w:rsidRPr="00967C60" w:rsidRDefault="0041392B" w:rsidP="00027A9A">
      <w:pPr>
        <w:pStyle w:val="Textonotapie"/>
        <w:ind w:firstLine="708"/>
        <w:contextualSpacing/>
        <w:jc w:val="both"/>
        <w:rPr>
          <w:rFonts w:ascii="Arial" w:hAnsi="Arial" w:cs="Arial"/>
          <w:sz w:val="14"/>
          <w:szCs w:val="14"/>
        </w:rPr>
      </w:pPr>
      <w:r w:rsidRPr="00967C60">
        <w:rPr>
          <w:rStyle w:val="Refdenotaalpie"/>
          <w:rFonts w:ascii="Arial" w:hAnsi="Arial" w:cs="Arial"/>
          <w:sz w:val="14"/>
          <w:szCs w:val="14"/>
        </w:rPr>
        <w:footnoteRef/>
      </w:r>
      <w:r w:rsidRPr="00967C60">
        <w:rPr>
          <w:rFonts w:ascii="Arial" w:hAnsi="Arial" w:cs="Arial"/>
          <w:sz w:val="14"/>
          <w:szCs w:val="14"/>
        </w:rPr>
        <w:t xml:space="preserve"> Ley 1150 de 2007, artículo 5, parágrafo 1: </w:t>
      </w:r>
      <w:r w:rsidRPr="00967C60">
        <w:rPr>
          <w:rFonts w:ascii="Arial" w:hAnsi="Arial" w:cs="Arial"/>
          <w:sz w:val="14"/>
          <w:szCs w:val="14"/>
          <w:lang w:val="es-CO"/>
        </w:rPr>
        <w:t>“</w:t>
      </w:r>
      <w:r w:rsidRPr="00967C60">
        <w:rPr>
          <w:rFonts w:ascii="Arial" w:hAnsi="Arial" w:cs="Arial"/>
          <w:sz w:val="14"/>
          <w:szCs w:val="14"/>
        </w:rPr>
        <w:t>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4C575E8B" w14:textId="77777777" w:rsidR="0041392B" w:rsidRPr="00967C60" w:rsidRDefault="0041392B" w:rsidP="00027A9A">
      <w:pPr>
        <w:pStyle w:val="Textonotapie"/>
        <w:ind w:firstLine="708"/>
        <w:contextualSpacing/>
        <w:jc w:val="both"/>
        <w:rPr>
          <w:rFonts w:ascii="Arial" w:hAnsi="Arial" w:cs="Arial"/>
          <w:sz w:val="14"/>
          <w:szCs w:val="14"/>
        </w:rPr>
      </w:pPr>
      <w:r w:rsidRPr="00967C60">
        <w:rPr>
          <w:rFonts w:ascii="Arial" w:hAnsi="Arial" w:cs="Arial"/>
          <w:sz w:val="14"/>
          <w:szCs w:val="14"/>
        </w:rPr>
        <w:t>Durante el término otorgado para subsanar las ofertas, los proponentes no podrán acreditar circunstancias ocurridas con posterioridad al cierre del proceso”.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082640"/>
    <w:multiLevelType w:val="multilevel"/>
    <w:tmpl w:val="32F8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3"/>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2"/>
  </w:num>
  <w:num w:numId="13" w16cid:durableId="1512908409">
    <w:abstractNumId w:val="4"/>
  </w:num>
  <w:num w:numId="14" w16cid:durableId="895897244">
    <w:abstractNumId w:val="15"/>
  </w:num>
  <w:num w:numId="15" w16cid:durableId="390349800">
    <w:abstractNumId w:val="11"/>
  </w:num>
  <w:num w:numId="16" w16cid:durableId="341274352">
    <w:abstractNumId w:val="0"/>
  </w:num>
  <w:num w:numId="17" w16cid:durableId="679089576">
    <w:abstractNumId w:val="10"/>
  </w:num>
  <w:num w:numId="18" w16cid:durableId="85893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17027"/>
    <w:rsid w:val="00027A9A"/>
    <w:rsid w:val="000347F2"/>
    <w:rsid w:val="00046945"/>
    <w:rsid w:val="00061B2A"/>
    <w:rsid w:val="00066069"/>
    <w:rsid w:val="00082362"/>
    <w:rsid w:val="000A683E"/>
    <w:rsid w:val="000B19B9"/>
    <w:rsid w:val="000D0334"/>
    <w:rsid w:val="000F6486"/>
    <w:rsid w:val="00125105"/>
    <w:rsid w:val="00127233"/>
    <w:rsid w:val="001511A0"/>
    <w:rsid w:val="00171E87"/>
    <w:rsid w:val="00186897"/>
    <w:rsid w:val="001E4177"/>
    <w:rsid w:val="001F7DC6"/>
    <w:rsid w:val="002421BB"/>
    <w:rsid w:val="0025796E"/>
    <w:rsid w:val="002707A2"/>
    <w:rsid w:val="002951A0"/>
    <w:rsid w:val="002962BC"/>
    <w:rsid w:val="002A093D"/>
    <w:rsid w:val="002A0DD0"/>
    <w:rsid w:val="002A49AC"/>
    <w:rsid w:val="002A64FD"/>
    <w:rsid w:val="002B73CF"/>
    <w:rsid w:val="002C7A84"/>
    <w:rsid w:val="002E4FD9"/>
    <w:rsid w:val="002E6F53"/>
    <w:rsid w:val="00322A85"/>
    <w:rsid w:val="00324168"/>
    <w:rsid w:val="003448F4"/>
    <w:rsid w:val="00374F5E"/>
    <w:rsid w:val="00377E3E"/>
    <w:rsid w:val="003A779E"/>
    <w:rsid w:val="003C7AD2"/>
    <w:rsid w:val="003D0F4D"/>
    <w:rsid w:val="003D5B0D"/>
    <w:rsid w:val="003E0499"/>
    <w:rsid w:val="003F3941"/>
    <w:rsid w:val="003F4563"/>
    <w:rsid w:val="00406575"/>
    <w:rsid w:val="0041392B"/>
    <w:rsid w:val="00414C74"/>
    <w:rsid w:val="0042722E"/>
    <w:rsid w:val="0044528D"/>
    <w:rsid w:val="004A1847"/>
    <w:rsid w:val="004A305D"/>
    <w:rsid w:val="004C2F3E"/>
    <w:rsid w:val="004E7D48"/>
    <w:rsid w:val="004F21C4"/>
    <w:rsid w:val="004F685F"/>
    <w:rsid w:val="00532DF9"/>
    <w:rsid w:val="005566E8"/>
    <w:rsid w:val="00574867"/>
    <w:rsid w:val="00591460"/>
    <w:rsid w:val="005B3816"/>
    <w:rsid w:val="005C3777"/>
    <w:rsid w:val="005C5CDC"/>
    <w:rsid w:val="005D476C"/>
    <w:rsid w:val="006219F8"/>
    <w:rsid w:val="00665D70"/>
    <w:rsid w:val="00670DD9"/>
    <w:rsid w:val="006900D9"/>
    <w:rsid w:val="006B33B2"/>
    <w:rsid w:val="006C0879"/>
    <w:rsid w:val="00706C16"/>
    <w:rsid w:val="00756841"/>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D180B"/>
    <w:rsid w:val="008D73CE"/>
    <w:rsid w:val="008F0EA7"/>
    <w:rsid w:val="00923EEF"/>
    <w:rsid w:val="00934A77"/>
    <w:rsid w:val="009419F9"/>
    <w:rsid w:val="0095685E"/>
    <w:rsid w:val="00961B09"/>
    <w:rsid w:val="00965334"/>
    <w:rsid w:val="00967C60"/>
    <w:rsid w:val="0097093E"/>
    <w:rsid w:val="00986AC5"/>
    <w:rsid w:val="009A0DFA"/>
    <w:rsid w:val="009B2D26"/>
    <w:rsid w:val="009C71FA"/>
    <w:rsid w:val="009C72E7"/>
    <w:rsid w:val="009D3058"/>
    <w:rsid w:val="009F3A13"/>
    <w:rsid w:val="00A122D3"/>
    <w:rsid w:val="00A13D40"/>
    <w:rsid w:val="00A17F13"/>
    <w:rsid w:val="00A20739"/>
    <w:rsid w:val="00A33C78"/>
    <w:rsid w:val="00AB0ADB"/>
    <w:rsid w:val="00AD19E3"/>
    <w:rsid w:val="00AE39B2"/>
    <w:rsid w:val="00B01B1A"/>
    <w:rsid w:val="00B56096"/>
    <w:rsid w:val="00B66319"/>
    <w:rsid w:val="00B72CD3"/>
    <w:rsid w:val="00B72FFF"/>
    <w:rsid w:val="00BC3D36"/>
    <w:rsid w:val="00BD7F72"/>
    <w:rsid w:val="00C04FB3"/>
    <w:rsid w:val="00C330EB"/>
    <w:rsid w:val="00C41061"/>
    <w:rsid w:val="00C754BE"/>
    <w:rsid w:val="00C76B1C"/>
    <w:rsid w:val="00CB6357"/>
    <w:rsid w:val="00CC1B26"/>
    <w:rsid w:val="00D368D3"/>
    <w:rsid w:val="00D423A2"/>
    <w:rsid w:val="00D520D8"/>
    <w:rsid w:val="00D63AC2"/>
    <w:rsid w:val="00D7383B"/>
    <w:rsid w:val="00DA231B"/>
    <w:rsid w:val="00DC39FC"/>
    <w:rsid w:val="00DF5254"/>
    <w:rsid w:val="00E16408"/>
    <w:rsid w:val="00E20894"/>
    <w:rsid w:val="00E212BC"/>
    <w:rsid w:val="00E245AB"/>
    <w:rsid w:val="00E2764C"/>
    <w:rsid w:val="00E27F2E"/>
    <w:rsid w:val="00E50AFE"/>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1392B"/>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1392B"/>
    <w:rPr>
      <w:rFonts w:ascii="Geomanist Light" w:hAnsi="Geomanist Light"/>
      <w:lang w:val="es-ES"/>
    </w:rPr>
  </w:style>
  <w:style w:type="character" w:styleId="Refdecomentario">
    <w:name w:val="annotation reference"/>
    <w:basedOn w:val="Fuentedeprrafopredeter"/>
    <w:uiPriority w:val="99"/>
    <w:semiHidden/>
    <w:unhideWhenUsed/>
    <w:rsid w:val="00D368D3"/>
    <w:rPr>
      <w:sz w:val="16"/>
      <w:szCs w:val="16"/>
    </w:rPr>
  </w:style>
  <w:style w:type="paragraph" w:styleId="Textocomentario">
    <w:name w:val="annotation text"/>
    <w:basedOn w:val="Normal"/>
    <w:link w:val="TextocomentarioCar"/>
    <w:uiPriority w:val="99"/>
    <w:unhideWhenUsed/>
    <w:rsid w:val="00D368D3"/>
    <w:pPr>
      <w:spacing w:line="240" w:lineRule="auto"/>
    </w:pPr>
    <w:rPr>
      <w:sz w:val="20"/>
      <w:szCs w:val="20"/>
    </w:rPr>
  </w:style>
  <w:style w:type="character" w:customStyle="1" w:styleId="TextocomentarioCar">
    <w:name w:val="Texto comentario Car"/>
    <w:basedOn w:val="Fuentedeprrafopredeter"/>
    <w:link w:val="Textocomentario"/>
    <w:uiPriority w:val="99"/>
    <w:rsid w:val="00D368D3"/>
    <w:rPr>
      <w:sz w:val="20"/>
      <w:szCs w:val="20"/>
    </w:rPr>
  </w:style>
  <w:style w:type="paragraph" w:styleId="Asuntodelcomentario">
    <w:name w:val="annotation subject"/>
    <w:basedOn w:val="Textocomentario"/>
    <w:next w:val="Textocomentario"/>
    <w:link w:val="AsuntodelcomentarioCar"/>
    <w:uiPriority w:val="99"/>
    <w:semiHidden/>
    <w:unhideWhenUsed/>
    <w:rsid w:val="00D368D3"/>
    <w:rPr>
      <w:b/>
      <w:bCs/>
    </w:rPr>
  </w:style>
  <w:style w:type="character" w:customStyle="1" w:styleId="AsuntodelcomentarioCar">
    <w:name w:val="Asunto del comentario Car"/>
    <w:basedOn w:val="TextocomentarioCar"/>
    <w:link w:val="Asuntodelcomentario"/>
    <w:uiPriority w:val="99"/>
    <w:semiHidden/>
    <w:rsid w:val="00D368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rmando.monteruiz@gmail.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manuales-guias-y-pliegos-tipo%2Fmanuales-y-guias%2Fguia-de-contratacion-publica-sostenible-y-socialmente&amp;data=05%7C02%7Csantiago.herrera%40colombiacompra.gov.co%7Cb18b651bca3a4eb8eab008dd269b400d%7C7b09041e245149d08cb179d5e3d8c1be%7C0%7C0%7C638709170414849914%7CUnknown%7CTWFpbGZsb3d8eyJFbXB0eU1hcGkiOnRydWUsIlYiOiIwLjAuMDAwMCIsIlAiOiJXaW4zMiIsIkFOIjoiTWFpbCIsIldUIjoyfQ%3D%3D%7C0%7C%7C%7C&amp;sdata=DZcOamOFLr5%2FMvTaEwyrmGH46p0E2EeVRK9EI0%2Fzyss%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content%2F02-documentos-tipo-para-los-procesos-de-seleccion-de-consultoria-de-obra-publica-de&amp;data=05%7C02%7Csantiago.herrera%40colombiacompra.gov.co%7Cb18b651bca3a4eb8eab008dd269b400d%7C7b09041e245149d08cb179d5e3d8c1be%7C0%7C0%7C638709170414832391%7CUnknown%7CTWFpbGZsb3d8eyJFbXB0eU1hcGkiOnRydWUsIlYiOiIwLjAuMDAwMCIsIlAiOiJXaW4zMiIsIkFOIjoiTWFpbCIsIldUIjoyfQ%3D%3D%7C0%7C%7C%7C&amp;sdata=QVD3sz0azJZZvNSHi5xF%2FpgT1wYL%2BVLBpdZyrSAKCNU%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content%2F03-documentos-tipo-para-los-procesos-de-seleccion-de-interventoria-de-obra-publica-de&amp;data=05%7C02%7Csantiago.herrera%40colombiacompra.gov.co%7Cb18b651bca3a4eb8eab008dd269b400d%7C7b09041e245149d08cb179d5e3d8c1be%7C0%7C0%7C638709170414808332%7CUnknown%7CTWFpbGZsb3d8eyJFbXB0eU1hcGkiOnRydWUsIlYiOiIwLjAuMDAwMCIsIlAiOiJXaW4zMiIsIkFOIjoiTWFpbCIsIldUIjoyfQ%3D%3D%7C0%7C%7C%7C&amp;sdata=K7MA4S7M7cwwIPsP6WrY42WST6d89ZSAhI2oxiyLwXg%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31b13d-89bf-4629-be1e-22fdf3dd34d4">
      <Terms xmlns="http://schemas.microsoft.com/office/infopath/2007/PartnerControls"/>
    </lcf76f155ced4ddcb4097134ff3c332f>
    <TaxCatchAll xmlns="8ae15d26-076e-464e-81a7-6f76a0fb39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C830F35543C1B419FA171669882D1EB" ma:contentTypeVersion="11" ma:contentTypeDescription="Crear nuevo documento." ma:contentTypeScope="" ma:versionID="87ac2e014c1627f3a157934fa1afc361">
  <xsd:schema xmlns:xsd="http://www.w3.org/2001/XMLSchema" xmlns:xs="http://www.w3.org/2001/XMLSchema" xmlns:p="http://schemas.microsoft.com/office/2006/metadata/properties" xmlns:ns2="b531b13d-89bf-4629-be1e-22fdf3dd34d4" xmlns:ns3="8ae15d26-076e-464e-81a7-6f76a0fb3917" targetNamespace="http://schemas.microsoft.com/office/2006/metadata/properties" ma:root="true" ma:fieldsID="133582f7afd32b7a7d2673963f8b7e7b" ns2:_="" ns3:_="">
    <xsd:import namespace="b531b13d-89bf-4629-be1e-22fdf3dd34d4"/>
    <xsd:import namespace="8ae15d26-076e-464e-81a7-6f76a0fb39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1b13d-89bf-4629-be1e-22fdf3dd3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terms/"/>
    <ds:schemaRef ds:uri="8ae15d26-076e-464e-81a7-6f76a0fb3917"/>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b531b13d-89bf-4629-be1e-22fdf3dd34d4"/>
    <ds:schemaRef ds:uri="http://schemas.openxmlformats.org/package/2006/metadata/core-properties"/>
  </ds:schemaRefs>
</ds:datastoreItem>
</file>

<file path=customXml/itemProps2.xml><?xml version="1.0" encoding="utf-8"?>
<ds:datastoreItem xmlns:ds="http://schemas.openxmlformats.org/officeDocument/2006/customXml" ds:itemID="{C91C6F4F-5E22-4E62-832A-0363056DA982}">
  <ds:schemaRefs>
    <ds:schemaRef ds:uri="http://schemas.openxmlformats.org/officeDocument/2006/bibliography"/>
  </ds:schemaRefs>
</ds:datastoreItem>
</file>

<file path=customXml/itemProps3.xml><?xml version="1.0" encoding="utf-8"?>
<ds:datastoreItem xmlns:ds="http://schemas.openxmlformats.org/officeDocument/2006/customXml" ds:itemID="{C614CD77-BAAB-4F7F-A76E-2666BD902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b13d-89bf-4629-be1e-22fdf3dd34d4"/>
    <ds:schemaRef ds:uri="8ae15d26-076e-464e-81a7-6f76a0fb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5069</Words>
  <Characters>27881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5</cp:revision>
  <cp:lastPrinted>2023-01-10T21:18:00Z</cp:lastPrinted>
  <dcterms:created xsi:type="dcterms:W3CDTF">2025-01-20T19:16:00Z</dcterms:created>
  <dcterms:modified xsi:type="dcterms:W3CDTF">2025-01-21T14:30:00Z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0x0101009C830F35543C1B419FA171669882D1EB</vt:lpwstr>
  </property>
  <property fmtid="{D5CDD505-2E9C-101B-9397-08002B2CF9AE}" pid="3" name="MediaServiceImageTags">
    <vt:lpwstr/>
  </property>
</Properties>
</file>