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6717C" w14:textId="77777777" w:rsidR="00A55A5F" w:rsidRPr="003E73F3" w:rsidRDefault="00A55A5F" w:rsidP="00A55A5F">
      <w:pPr>
        <w:spacing w:after="0" w:line="240" w:lineRule="auto"/>
        <w:jc w:val="both"/>
        <w:rPr>
          <w:rFonts w:ascii="Verdana" w:eastAsia="Geomanist Light" w:hAnsi="Verdana" w:cs="Arial"/>
          <w:color w:val="000000" w:themeColor="text1"/>
        </w:rPr>
      </w:pPr>
      <w:r w:rsidRPr="003E73F3">
        <w:rPr>
          <w:rFonts w:ascii="Verdana" w:eastAsia="Geomanist Light" w:hAnsi="Verdana" w:cs="Arial"/>
          <w:b/>
          <w:bCs/>
          <w:color w:val="000000" w:themeColor="text1"/>
        </w:rPr>
        <w:t xml:space="preserve">PRINCIPIO DE PUBLICIDAD – </w:t>
      </w:r>
      <w:r w:rsidRPr="0079755D">
        <w:rPr>
          <w:rFonts w:ascii="Verdana" w:eastAsia="Calibri" w:hAnsi="Verdana" w:cs="Arial"/>
          <w:b/>
          <w:bCs/>
          <w:lang w:val="es-MX"/>
        </w:rPr>
        <w:t>Democracia</w:t>
      </w:r>
      <w:r w:rsidRPr="0079755D">
        <w:rPr>
          <w:rFonts w:ascii="Verdana" w:eastAsia="Geomanist Light" w:hAnsi="Verdana" w:cs="Arial"/>
          <w:b/>
          <w:bCs/>
          <w:color w:val="000000" w:themeColor="text1"/>
        </w:rPr>
        <w:t xml:space="preserve"> </w:t>
      </w:r>
      <w:r>
        <w:rPr>
          <w:rFonts w:ascii="Verdana" w:eastAsia="Geomanist Light" w:hAnsi="Verdana" w:cs="Arial"/>
          <w:b/>
          <w:bCs/>
          <w:color w:val="000000" w:themeColor="text1"/>
        </w:rPr>
        <w:t xml:space="preserve">– </w:t>
      </w:r>
      <w:r w:rsidRPr="0079755D">
        <w:rPr>
          <w:rFonts w:ascii="Verdana" w:eastAsia="Geomanist Light" w:hAnsi="Verdana" w:cs="Arial"/>
          <w:b/>
          <w:bCs/>
          <w:color w:val="000000" w:themeColor="text1"/>
        </w:rPr>
        <w:t>Estado social de Derecho</w:t>
      </w:r>
      <w:r w:rsidRPr="003E73F3">
        <w:rPr>
          <w:rFonts w:ascii="Verdana" w:eastAsia="Geomanist Light" w:hAnsi="Verdana" w:cs="Arial"/>
          <w:b/>
          <w:bCs/>
          <w:color w:val="000000" w:themeColor="text1"/>
        </w:rPr>
        <w:t xml:space="preserve"> </w:t>
      </w:r>
    </w:p>
    <w:p w14:paraId="225C621D" w14:textId="77777777" w:rsidR="00A55A5F" w:rsidRPr="003E73F3" w:rsidRDefault="00A55A5F" w:rsidP="00A55A5F">
      <w:pPr>
        <w:spacing w:after="0" w:line="240" w:lineRule="auto"/>
        <w:jc w:val="both"/>
        <w:rPr>
          <w:rFonts w:ascii="Verdana" w:eastAsia="Geomanist Light" w:hAnsi="Verdana" w:cs="Arial"/>
          <w:color w:val="000000" w:themeColor="text1"/>
        </w:rPr>
      </w:pPr>
      <w:r w:rsidRPr="003E73F3">
        <w:rPr>
          <w:rFonts w:ascii="Verdana" w:eastAsia="Geomanist Light" w:hAnsi="Verdana" w:cs="Arial"/>
          <w:color w:val="000000" w:themeColor="text1"/>
        </w:rPr>
        <w:t> </w:t>
      </w:r>
    </w:p>
    <w:p w14:paraId="4D2CB1A0" w14:textId="77777777" w:rsidR="00A55A5F" w:rsidRPr="003E73F3" w:rsidRDefault="00A55A5F" w:rsidP="00A55A5F">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w:t>
      </w:r>
    </w:p>
    <w:p w14:paraId="46A71EB7" w14:textId="77777777" w:rsidR="00A55A5F" w:rsidRPr="003E73F3" w:rsidRDefault="00A55A5F" w:rsidP="00A55A5F">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 </w:t>
      </w:r>
    </w:p>
    <w:p w14:paraId="14523949" w14:textId="77777777" w:rsidR="00A55A5F" w:rsidRPr="003E73F3" w:rsidRDefault="00A55A5F" w:rsidP="00A55A5F">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w:t>
      </w:r>
    </w:p>
    <w:p w14:paraId="316C6117" w14:textId="77777777" w:rsidR="00A55A5F" w:rsidRDefault="00A55A5F" w:rsidP="00A55A5F">
      <w:pPr>
        <w:spacing w:after="0" w:line="240" w:lineRule="auto"/>
        <w:rPr>
          <w:rFonts w:ascii="Verdana" w:eastAsia="Geomanist Light" w:hAnsi="Verdana" w:cs="Arial"/>
          <w:color w:val="000000" w:themeColor="text1"/>
          <w:lang w:val="es-MX"/>
        </w:rPr>
      </w:pPr>
    </w:p>
    <w:p w14:paraId="25D57258" w14:textId="77777777" w:rsidR="00A55A5F" w:rsidRDefault="00A55A5F" w:rsidP="00A55A5F">
      <w:pPr>
        <w:spacing w:after="0" w:line="240" w:lineRule="auto"/>
        <w:rPr>
          <w:rFonts w:ascii="Verdana" w:eastAsia="Geomanist Light" w:hAnsi="Verdana" w:cs="Arial"/>
          <w:color w:val="000000" w:themeColor="text1"/>
        </w:rPr>
      </w:pPr>
    </w:p>
    <w:p w14:paraId="08905C49" w14:textId="77777777" w:rsidR="00A55A5F" w:rsidRPr="003E73F3" w:rsidRDefault="00A55A5F" w:rsidP="00A55A5F">
      <w:pPr>
        <w:spacing w:after="0" w:line="240" w:lineRule="auto"/>
        <w:jc w:val="both"/>
        <w:rPr>
          <w:rFonts w:ascii="Verdana" w:eastAsia="Geomanist Light" w:hAnsi="Verdana" w:cs="Arial"/>
          <w:b/>
          <w:bCs/>
          <w:color w:val="000000" w:themeColor="text1"/>
        </w:rPr>
      </w:pPr>
      <w:r w:rsidRPr="003E73F3">
        <w:rPr>
          <w:rFonts w:ascii="Verdana" w:eastAsia="Geomanist Light" w:hAnsi="Verdana" w:cs="Arial"/>
          <w:b/>
          <w:bCs/>
          <w:color w:val="000000" w:themeColor="text1"/>
        </w:rPr>
        <w:t>SECOP I y II – Principio de Publicidad y Transparencia</w:t>
      </w:r>
    </w:p>
    <w:p w14:paraId="2531067B" w14:textId="77777777" w:rsidR="00A55A5F" w:rsidRDefault="00A55A5F" w:rsidP="00A55A5F">
      <w:pPr>
        <w:spacing w:after="0" w:line="240" w:lineRule="auto"/>
        <w:jc w:val="both"/>
        <w:rPr>
          <w:rFonts w:ascii="Verdana" w:eastAsia="Geomanist Light" w:hAnsi="Verdana" w:cs="Arial"/>
          <w:color w:val="000000" w:themeColor="text1"/>
        </w:rPr>
      </w:pPr>
    </w:p>
    <w:p w14:paraId="64D26BBB" w14:textId="77777777" w:rsidR="00A55A5F" w:rsidRPr="003E73F3" w:rsidRDefault="00A55A5F" w:rsidP="00A55A5F">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 Aunque no existe norma expresa que indique la necesidad de adelantar una audiencia pública para la apertura de sobres dentro del proceso de selección abreviada de mínima cuantía, debe cumplirse la Circular Externa Única proferida por la Agencia Nacional de Contratación Pública – Colombia Compra Eficiente. Esta indica que aquellos procesos que se adelanten mediante publicación en SECOP I requieren que la apertura de ofertas se realice en presencia de proponentes o veedores y la elaboración de un acta de cierre, mientras que los procesos adelantados en el SECOP II no requieren de dicha asistencia, pues la publicación de la lista de oferentes hace las veces de acta de cierre. Así mismo debe tenerse en cuenta que en la actualidad, por regla general, los procesos contractuales deben adelantarse en el SECOP II y, al tramitarse por esta plataforma, se podrá prescindir de la audiencia pública de selección. […]</w:t>
      </w:r>
    </w:p>
    <w:p w14:paraId="11EAE219" w14:textId="77777777" w:rsidR="00834A8E" w:rsidRDefault="00834A8E">
      <w:pPr>
        <w:rPr>
          <w:rFonts w:ascii="Verdana" w:eastAsia="Geomanist Light" w:hAnsi="Verdana" w:cs="Arial"/>
          <w:color w:val="000000" w:themeColor="text1"/>
          <w:lang w:val="es-MX"/>
        </w:rPr>
      </w:pPr>
    </w:p>
    <w:p w14:paraId="7AF095D8" w14:textId="0333A6D6" w:rsidR="00834A8E" w:rsidRPr="003E73F3" w:rsidRDefault="00834A8E" w:rsidP="00834A8E">
      <w:pPr>
        <w:spacing w:after="0" w:line="240" w:lineRule="auto"/>
        <w:jc w:val="both"/>
        <w:rPr>
          <w:rFonts w:ascii="Verdana" w:eastAsia="Geomanist Light" w:hAnsi="Verdana" w:cs="Arial"/>
          <w:b/>
          <w:bCs/>
          <w:color w:val="000000" w:themeColor="text1"/>
        </w:rPr>
      </w:pPr>
      <w:r w:rsidRPr="003E73F3">
        <w:rPr>
          <w:rFonts w:ascii="Verdana" w:eastAsia="Geomanist Light" w:hAnsi="Verdana" w:cs="Arial"/>
          <w:b/>
          <w:bCs/>
          <w:color w:val="000000" w:themeColor="text1"/>
        </w:rPr>
        <w:t xml:space="preserve">SECOP I y II – </w:t>
      </w:r>
      <w:r w:rsidR="00237DF6" w:rsidRPr="00237DF6">
        <w:rPr>
          <w:rFonts w:ascii="Verdana" w:eastAsia="Geomanist Light" w:hAnsi="Verdana" w:cs="Arial"/>
          <w:b/>
          <w:bCs/>
          <w:color w:val="000000" w:themeColor="text1"/>
        </w:rPr>
        <w:t>Obligatoriedad</w:t>
      </w:r>
    </w:p>
    <w:p w14:paraId="7AB18B95" w14:textId="77777777" w:rsidR="00834A8E" w:rsidRDefault="00834A8E" w:rsidP="00834A8E">
      <w:pPr>
        <w:spacing w:after="0" w:line="240" w:lineRule="auto"/>
        <w:jc w:val="both"/>
        <w:rPr>
          <w:rFonts w:ascii="Verdana" w:eastAsia="Geomanist Light" w:hAnsi="Verdana" w:cs="Arial"/>
          <w:color w:val="000000" w:themeColor="text1"/>
        </w:rPr>
      </w:pPr>
    </w:p>
    <w:p w14:paraId="0844C6BF" w14:textId="3D3FA7D9" w:rsidR="00834A8E" w:rsidRPr="003E73F3" w:rsidRDefault="00834A8E" w:rsidP="00834A8E">
      <w:pPr>
        <w:spacing w:after="0" w:line="240" w:lineRule="auto"/>
        <w:jc w:val="both"/>
        <w:rPr>
          <w:rFonts w:ascii="Verdana" w:eastAsia="Geomanist Light" w:hAnsi="Verdana" w:cs="Arial"/>
          <w:color w:val="000000" w:themeColor="text1"/>
          <w:sz w:val="20"/>
          <w:szCs w:val="20"/>
        </w:rPr>
      </w:pPr>
      <w:r w:rsidRPr="003E73F3">
        <w:rPr>
          <w:rFonts w:ascii="Verdana" w:eastAsia="Geomanist Light" w:hAnsi="Verdana" w:cs="Arial"/>
          <w:color w:val="000000" w:themeColor="text1"/>
          <w:sz w:val="20"/>
          <w:szCs w:val="20"/>
        </w:rPr>
        <w:t xml:space="preserve">[…] </w:t>
      </w:r>
      <w:r w:rsidRPr="00834A8E">
        <w:rPr>
          <w:rFonts w:ascii="Verdana" w:eastAsia="Geomanist Light" w:hAnsi="Verdana" w:cs="Arial"/>
          <w:color w:val="000000" w:themeColor="text1"/>
          <w:sz w:val="20"/>
          <w:szCs w:val="20"/>
        </w:rPr>
        <w:t xml:space="preserve">la obligatoriedad de publicar la información contractual en el Sistema Electrónico para la Contratación Pública (SECOP II) está establecida por la Ley 1150 de 2007, lo cual se desarrolla en la </w:t>
      </w:r>
      <w:r w:rsidRPr="00834A8E">
        <w:rPr>
          <w:rFonts w:ascii="Verdana" w:eastAsia="Geomanist Light" w:hAnsi="Verdana" w:cs="Arial"/>
          <w:color w:val="000000" w:themeColor="text1"/>
          <w:sz w:val="20"/>
          <w:szCs w:val="20"/>
          <w:lang w:val="es-ES"/>
        </w:rPr>
        <w:t>Circular Externa No. 003 de 2024 de Colombia Compra Eficiente</w:t>
      </w:r>
      <w:r w:rsidRPr="00834A8E">
        <w:rPr>
          <w:rFonts w:ascii="Verdana" w:eastAsia="Geomanist Light" w:hAnsi="Verdana" w:cs="Arial"/>
          <w:color w:val="000000" w:themeColor="text1"/>
          <w:sz w:val="20"/>
          <w:szCs w:val="20"/>
        </w:rPr>
        <w:t xml:space="preserve"> exigiendo a todas las entidades estatales, incluidas aquellas con regímenes contractuales especiales, la publicación de documentos relacionados con su actividad contractual en dicha plataforma. Esta obligación incluye todos los documentos generados durante las fases precontractual, contractual y postcontractual, como contratos, actos </w:t>
      </w:r>
      <w:r w:rsidRPr="00834A8E">
        <w:rPr>
          <w:rFonts w:ascii="Verdana" w:eastAsia="Geomanist Light" w:hAnsi="Verdana" w:cs="Arial"/>
          <w:color w:val="000000" w:themeColor="text1"/>
          <w:sz w:val="20"/>
          <w:szCs w:val="20"/>
        </w:rPr>
        <w:lastRenderedPageBreak/>
        <w:t>administrativos e información sobre los involucrados en el proceso. Esto tiene como objetivo garantizar la transparencia, el acceso público a la información y el control social sobre la contratación pública, permitiendo que la ciudadanía tenga acceso a los documentos en un sistema unificado y oficial, el SECOP II o la plataforma transaccional que haga sus veces en el futuro.</w:t>
      </w:r>
    </w:p>
    <w:p w14:paraId="1F5A4711" w14:textId="44EB4CB7" w:rsidR="00A55A5F" w:rsidRDefault="00A55A5F">
      <w:pPr>
        <w:rPr>
          <w:rFonts w:ascii="Verdana" w:eastAsia="Geomanist Light" w:hAnsi="Verdana" w:cs="Arial"/>
          <w:color w:val="000000" w:themeColor="text1"/>
          <w:lang w:val="es-MX"/>
        </w:rPr>
      </w:pPr>
      <w:r>
        <w:rPr>
          <w:rFonts w:ascii="Verdana" w:eastAsia="Geomanist Light" w:hAnsi="Verdana" w:cs="Arial"/>
          <w:color w:val="000000" w:themeColor="text1"/>
          <w:lang w:val="es-MX"/>
        </w:rPr>
        <w:br w:type="page"/>
      </w:r>
    </w:p>
    <w:p w14:paraId="3E45ADDB" w14:textId="3B0DE6C1" w:rsidR="00F17DB5" w:rsidRPr="00593A5F" w:rsidRDefault="004E1A2D" w:rsidP="00F17DB5">
      <w:pPr>
        <w:spacing w:after="0" w:line="240" w:lineRule="auto"/>
        <w:rPr>
          <w:rFonts w:ascii="Verdana" w:eastAsia="Geomanist Light" w:hAnsi="Verdana" w:cs="Arial"/>
          <w:color w:val="201F1E"/>
          <w:lang w:val="es-MX"/>
        </w:rPr>
      </w:pPr>
      <w:r w:rsidRPr="004E1A2D">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7744FBBC" wp14:editId="30CF0F2E">
            <wp:simplePos x="0" y="0"/>
            <wp:positionH relativeFrom="column">
              <wp:posOffset>2872740</wp:posOffset>
            </wp:positionH>
            <wp:positionV relativeFrom="paragraph">
              <wp:posOffset>8890</wp:posOffset>
            </wp:positionV>
            <wp:extent cx="3286125" cy="942975"/>
            <wp:effectExtent l="0" t="0" r="9525" b="9525"/>
            <wp:wrapNone/>
            <wp:docPr id="6552351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35189"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86125" cy="942975"/>
                    </a:xfrm>
                    <a:prstGeom prst="rect">
                      <a:avLst/>
                    </a:prstGeom>
                  </pic:spPr>
                </pic:pic>
              </a:graphicData>
            </a:graphic>
          </wp:anchor>
        </w:drawing>
      </w:r>
      <w:r w:rsidR="00F17DB5" w:rsidRPr="00593A5F">
        <w:rPr>
          <w:rFonts w:ascii="Verdana" w:eastAsia="Geomanist Light" w:hAnsi="Verdana" w:cs="Arial"/>
          <w:color w:val="000000" w:themeColor="text1"/>
          <w:lang w:val="es-MX"/>
        </w:rPr>
        <w:t>Bogotá D.C., </w:t>
      </w:r>
      <w:r w:rsidR="005A23E4">
        <w:rPr>
          <w:rFonts w:ascii="Verdana" w:eastAsia="Geomanist Light" w:hAnsi="Verdana" w:cs="Arial"/>
          <w:color w:val="201F1E"/>
          <w:lang w:val="es-MX"/>
        </w:rPr>
        <w:t>23 de enero de 2025</w:t>
      </w:r>
      <w:r w:rsidRPr="004E1A2D">
        <w:rPr>
          <w:noProof/>
        </w:rPr>
        <w:t xml:space="preserve"> </w:t>
      </w:r>
    </w:p>
    <w:p w14:paraId="122B6F59" w14:textId="77777777" w:rsidR="00F17DB5" w:rsidRPr="00593A5F" w:rsidRDefault="00F17DB5" w:rsidP="00F17DB5">
      <w:pPr>
        <w:spacing w:after="0" w:line="240" w:lineRule="auto"/>
        <w:jc w:val="both"/>
        <w:rPr>
          <w:rFonts w:ascii="Verdana" w:eastAsia="Calibri" w:hAnsi="Verdana" w:cs="Arial"/>
          <w:color w:val="000000"/>
          <w:lang w:val="es-ES"/>
        </w:rPr>
      </w:pPr>
    </w:p>
    <w:p w14:paraId="275B5312" w14:textId="77777777" w:rsidR="00F17DB5" w:rsidRPr="00B96799" w:rsidRDefault="00F17DB5" w:rsidP="00F17DB5">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758E93AE" w14:textId="77777777" w:rsidR="00F17DB5" w:rsidRPr="00B96799" w:rsidRDefault="00F17DB5" w:rsidP="00F17DB5">
      <w:pPr>
        <w:spacing w:after="0" w:line="240" w:lineRule="auto"/>
        <w:rPr>
          <w:rFonts w:ascii="Verdana" w:eastAsia="Calibri" w:hAnsi="Verdana" w:cs="Arial"/>
          <w:b/>
          <w:lang w:val="es-ES_tradnl" w:eastAsia="es-ES_tradnl"/>
        </w:rPr>
      </w:pPr>
      <w:r w:rsidRPr="00B35919">
        <w:rPr>
          <w:rFonts w:ascii="Verdana" w:eastAsia="Calibri" w:hAnsi="Verdana" w:cs="Arial"/>
          <w:b/>
          <w:lang w:val="es-ES_tradnl" w:eastAsia="es-ES_tradnl"/>
        </w:rPr>
        <w:t>María Helena Oidor Triana</w:t>
      </w:r>
    </w:p>
    <w:p w14:paraId="79C4789D" w14:textId="77777777" w:rsidR="00F17DB5" w:rsidRPr="00F17DB5" w:rsidRDefault="00F17DB5" w:rsidP="00F17DB5">
      <w:pPr>
        <w:spacing w:after="0" w:line="240" w:lineRule="auto"/>
        <w:rPr>
          <w:rFonts w:ascii="Verdana" w:eastAsia="Calibri" w:hAnsi="Verdana" w:cs="Arial"/>
          <w:color w:val="4472C4" w:themeColor="accent1"/>
          <w:u w:val="single"/>
          <w:lang w:val="es-ES" w:eastAsia="es-ES"/>
        </w:rPr>
      </w:pPr>
      <w:hyperlink r:id="rId11" w:history="1">
        <w:r w:rsidRPr="00F17DB5">
          <w:rPr>
            <w:rStyle w:val="Hipervnculo"/>
            <w:rFonts w:ascii="Verdana" w:eastAsia="Calibri" w:hAnsi="Verdana" w:cs="Arial"/>
            <w:color w:val="4472C4" w:themeColor="accent1"/>
            <w:lang w:val="es-ES" w:eastAsia="es-ES"/>
          </w:rPr>
          <w:t>malena1508@gmail.com</w:t>
        </w:r>
      </w:hyperlink>
    </w:p>
    <w:p w14:paraId="0154095D" w14:textId="77777777" w:rsidR="00F17DB5" w:rsidRPr="00B96799" w:rsidRDefault="00F17DB5" w:rsidP="00F17DB5">
      <w:pPr>
        <w:spacing w:after="0" w:line="240" w:lineRule="auto"/>
        <w:rPr>
          <w:rFonts w:ascii="Verdana" w:eastAsia="Calibri" w:hAnsi="Verdana" w:cs="Arial"/>
          <w:b/>
          <w:bCs/>
          <w:lang w:val="es-ES" w:eastAsia="es-ES"/>
        </w:rPr>
      </w:pPr>
      <w:r w:rsidRPr="00B96799">
        <w:rPr>
          <w:rFonts w:ascii="Verdana" w:eastAsia="Calibri" w:hAnsi="Verdana" w:cs="Arial"/>
          <w:lang w:val="es-ES" w:eastAsia="es-ES"/>
        </w:rPr>
        <w:t>C</w:t>
      </w:r>
      <w:r>
        <w:rPr>
          <w:rFonts w:ascii="Verdana" w:eastAsia="Calibri" w:hAnsi="Verdana" w:cs="Arial"/>
          <w:lang w:val="es-ES" w:eastAsia="es-ES"/>
        </w:rPr>
        <w:t>iudad</w:t>
      </w:r>
    </w:p>
    <w:p w14:paraId="0FF7DEAC" w14:textId="77777777" w:rsidR="00F17DB5" w:rsidRPr="00593A5F" w:rsidRDefault="00F17DB5" w:rsidP="00F17DB5">
      <w:pPr>
        <w:spacing w:after="0" w:line="240" w:lineRule="auto"/>
        <w:rPr>
          <w:rFonts w:ascii="Verdana" w:eastAsia="Calibri" w:hAnsi="Verdana" w:cs="Arial"/>
          <w:b/>
          <w:bCs/>
          <w:color w:val="000000"/>
          <w:lang w:val="es-ES_tradnl" w:eastAsia="es-ES_tradnl"/>
        </w:rPr>
      </w:pPr>
    </w:p>
    <w:p w14:paraId="33263491" w14:textId="77777777" w:rsidR="00F17DB5" w:rsidRPr="00593A5F" w:rsidRDefault="00F17DB5" w:rsidP="00F17DB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17DB5" w:rsidRPr="00A21463" w14:paraId="28D8B159" w14:textId="77777777" w:rsidTr="00C40146">
        <w:trPr>
          <w:trHeight w:val="884"/>
        </w:trPr>
        <w:tc>
          <w:tcPr>
            <w:tcW w:w="2689" w:type="dxa"/>
          </w:tcPr>
          <w:p w14:paraId="5BBB79F9" w14:textId="77777777" w:rsidR="00F17DB5" w:rsidRPr="00A21463" w:rsidRDefault="00F17DB5" w:rsidP="00C40146">
            <w:pPr>
              <w:jc w:val="both"/>
              <w:rPr>
                <w:rFonts w:ascii="Verdana" w:eastAsia="Calibri" w:hAnsi="Verdana" w:cs="Arial"/>
                <w:b/>
                <w:bCs/>
                <w:lang w:val="es-ES_tradnl" w:eastAsia="es-ES_tradnl"/>
              </w:rPr>
            </w:pPr>
          </w:p>
        </w:tc>
        <w:tc>
          <w:tcPr>
            <w:tcW w:w="6100" w:type="dxa"/>
          </w:tcPr>
          <w:p w14:paraId="42433F1A" w14:textId="77777777" w:rsidR="00F17DB5" w:rsidRPr="00A21463" w:rsidRDefault="00F17DB5" w:rsidP="00C40146">
            <w:pPr>
              <w:jc w:val="both"/>
              <w:rPr>
                <w:rFonts w:ascii="Verdana" w:eastAsia="Calibri" w:hAnsi="Verdana" w:cs="Arial"/>
                <w:b/>
                <w:bCs/>
                <w:lang w:val="es-ES" w:eastAsia="es-ES"/>
              </w:rPr>
            </w:pPr>
            <w:r w:rsidRPr="00A21463">
              <w:rPr>
                <w:rFonts w:ascii="Verdana" w:eastAsia="Calibri" w:hAnsi="Verdana" w:cs="Arial"/>
                <w:b/>
                <w:bCs/>
                <w:lang w:val="es-ES" w:eastAsia="es-ES"/>
              </w:rPr>
              <w:t>Concepto C-976 de 2024</w:t>
            </w:r>
          </w:p>
        </w:tc>
      </w:tr>
      <w:tr w:rsidR="00F17DB5" w:rsidRPr="00A21463" w14:paraId="1C65448B" w14:textId="77777777" w:rsidTr="00C40146">
        <w:trPr>
          <w:trHeight w:val="884"/>
        </w:trPr>
        <w:tc>
          <w:tcPr>
            <w:tcW w:w="2689" w:type="dxa"/>
          </w:tcPr>
          <w:p w14:paraId="1C186233" w14:textId="77777777" w:rsidR="00F17DB5" w:rsidRPr="00A21463" w:rsidRDefault="00F17DB5" w:rsidP="00C40146">
            <w:pPr>
              <w:jc w:val="both"/>
              <w:rPr>
                <w:rFonts w:ascii="Verdana" w:eastAsia="Calibri" w:hAnsi="Verdana" w:cs="Arial"/>
                <w:lang w:val="es-ES_tradnl" w:eastAsia="es-ES_tradnl"/>
              </w:rPr>
            </w:pPr>
            <w:r w:rsidRPr="00A21463">
              <w:rPr>
                <w:rFonts w:ascii="Verdana" w:eastAsia="Calibri" w:hAnsi="Verdana" w:cs="Arial"/>
                <w:b/>
                <w:lang w:val="es-ES_tradnl" w:eastAsia="es-ES_tradnl"/>
              </w:rPr>
              <w:t>Temas:</w:t>
            </w:r>
            <w:r w:rsidRPr="00A21463">
              <w:rPr>
                <w:rFonts w:ascii="Verdana" w:eastAsia="Calibri" w:hAnsi="Verdana" w:cs="Arial"/>
                <w:lang w:val="es-ES_tradnl" w:eastAsia="es-ES_tradnl"/>
              </w:rPr>
              <w:t xml:space="preserve">                   </w:t>
            </w:r>
          </w:p>
        </w:tc>
        <w:tc>
          <w:tcPr>
            <w:tcW w:w="6100" w:type="dxa"/>
          </w:tcPr>
          <w:p w14:paraId="6E7C0136" w14:textId="77777777" w:rsidR="00F17DB5" w:rsidRPr="00A21463" w:rsidRDefault="00F17DB5" w:rsidP="00C40146">
            <w:pPr>
              <w:spacing w:line="276" w:lineRule="auto"/>
              <w:jc w:val="both"/>
              <w:rPr>
                <w:rFonts w:ascii="Verdana" w:eastAsia="Calibri" w:hAnsi="Verdana" w:cs="Arial"/>
                <w:lang w:val="es-ES" w:eastAsia="es-ES"/>
              </w:rPr>
            </w:pPr>
            <w:r w:rsidRPr="00A21463">
              <w:rPr>
                <w:rFonts w:ascii="Verdana" w:eastAsia="Calibri" w:hAnsi="Verdana" w:cs="Arial"/>
                <w:lang w:val="es-ES" w:eastAsia="es-ES"/>
              </w:rPr>
              <w:t xml:space="preserve">PRINCIPIO DE PUBLICIDAD – Democracia – Estado social de Derecho / SECOP I y II – Principio de Publicidad y Transparencia / SECOP II – Obligatoriedad </w:t>
            </w:r>
          </w:p>
          <w:p w14:paraId="264767C9" w14:textId="77777777" w:rsidR="00F17DB5" w:rsidRPr="00A21463" w:rsidRDefault="00F17DB5" w:rsidP="00C40146">
            <w:pPr>
              <w:spacing w:line="276" w:lineRule="auto"/>
              <w:jc w:val="both"/>
              <w:rPr>
                <w:rFonts w:ascii="Verdana" w:eastAsia="Calibri" w:hAnsi="Verdana" w:cs="Arial"/>
                <w:lang w:val="es-ES" w:eastAsia="es-ES"/>
              </w:rPr>
            </w:pPr>
          </w:p>
        </w:tc>
      </w:tr>
      <w:tr w:rsidR="00F17DB5" w:rsidRPr="00A21463" w14:paraId="55E51A37" w14:textId="77777777" w:rsidTr="00C40146">
        <w:tc>
          <w:tcPr>
            <w:tcW w:w="2689" w:type="dxa"/>
          </w:tcPr>
          <w:p w14:paraId="740336A6" w14:textId="77777777" w:rsidR="00F17DB5" w:rsidRPr="00A21463" w:rsidRDefault="00F17DB5" w:rsidP="00C40146">
            <w:pPr>
              <w:jc w:val="both"/>
              <w:rPr>
                <w:rFonts w:ascii="Verdana" w:eastAsia="Calibri" w:hAnsi="Verdana" w:cs="Arial"/>
                <w:b/>
                <w:lang w:val="es-ES_tradnl" w:eastAsia="es-ES_tradnl"/>
              </w:rPr>
            </w:pPr>
            <w:r w:rsidRPr="00A21463">
              <w:rPr>
                <w:rFonts w:ascii="Verdana" w:eastAsia="Calibri" w:hAnsi="Verdana" w:cs="Arial"/>
                <w:b/>
                <w:lang w:val="es-ES_tradnl" w:eastAsia="es-ES_tradnl"/>
              </w:rPr>
              <w:t>Radicación:</w:t>
            </w:r>
            <w:r w:rsidRPr="00A21463">
              <w:rPr>
                <w:rFonts w:ascii="Verdana" w:eastAsia="Calibri" w:hAnsi="Verdana" w:cs="Arial"/>
                <w:lang w:val="es-ES_tradnl" w:eastAsia="es-ES_tradnl"/>
              </w:rPr>
              <w:t xml:space="preserve">               </w:t>
            </w:r>
          </w:p>
        </w:tc>
        <w:tc>
          <w:tcPr>
            <w:tcW w:w="6100" w:type="dxa"/>
          </w:tcPr>
          <w:p w14:paraId="3A547A50" w14:textId="77777777" w:rsidR="00F17DB5" w:rsidRPr="00A21463" w:rsidRDefault="00F17DB5" w:rsidP="00C40146">
            <w:pPr>
              <w:jc w:val="both"/>
              <w:rPr>
                <w:rFonts w:ascii="Verdana" w:eastAsia="Calibri" w:hAnsi="Verdana" w:cs="Arial"/>
                <w:lang w:val="es-ES_tradnl" w:eastAsia="es-ES_tradnl"/>
              </w:rPr>
            </w:pPr>
            <w:r w:rsidRPr="00A21463">
              <w:rPr>
                <w:rFonts w:ascii="Verdana" w:eastAsia="Calibri" w:hAnsi="Verdana" w:cs="Arial"/>
                <w:lang w:val="es-ES_tradnl" w:eastAsia="es-ES_tradnl"/>
              </w:rPr>
              <w:t>Respuesta a consulta con radicado No. P20241209012286</w:t>
            </w:r>
          </w:p>
        </w:tc>
      </w:tr>
    </w:tbl>
    <w:p w14:paraId="512B90F0" w14:textId="77777777" w:rsidR="00F17DB5" w:rsidRPr="00A21463" w:rsidRDefault="00F17DB5" w:rsidP="00F17DB5">
      <w:pPr>
        <w:spacing w:after="0" w:line="240" w:lineRule="auto"/>
        <w:jc w:val="both"/>
        <w:rPr>
          <w:rFonts w:ascii="Verdana" w:eastAsia="Calibri" w:hAnsi="Verdana" w:cs="Arial"/>
          <w:lang w:val="es-ES_tradnl" w:eastAsia="es-ES_tradnl"/>
        </w:rPr>
      </w:pPr>
    </w:p>
    <w:p w14:paraId="0F6422AE" w14:textId="77777777" w:rsidR="00F17DB5" w:rsidRPr="00A81E8F" w:rsidRDefault="00F17DB5" w:rsidP="00F17DB5">
      <w:pPr>
        <w:spacing w:after="0" w:line="240" w:lineRule="auto"/>
        <w:jc w:val="both"/>
        <w:rPr>
          <w:rFonts w:ascii="Verdana" w:eastAsia="Calibri" w:hAnsi="Verdana" w:cs="Arial"/>
          <w:lang w:val="es-ES_tradnl" w:eastAsia="es-ES_tradnl"/>
        </w:rPr>
      </w:pPr>
    </w:p>
    <w:p w14:paraId="0F93185F" w14:textId="77777777" w:rsidR="00F17DB5" w:rsidRPr="00A81E8F" w:rsidRDefault="00F17DB5" w:rsidP="00F17DB5">
      <w:pPr>
        <w:spacing w:after="0" w:line="276" w:lineRule="auto"/>
        <w:jc w:val="both"/>
        <w:rPr>
          <w:rFonts w:ascii="Verdana" w:eastAsia="Calibri" w:hAnsi="Verdana" w:cs="Arial"/>
          <w:lang w:val="es-ES" w:eastAsia="es-ES"/>
        </w:rPr>
      </w:pPr>
      <w:r w:rsidRPr="00A81E8F">
        <w:rPr>
          <w:rFonts w:ascii="Verdana" w:eastAsia="Calibri" w:hAnsi="Verdana" w:cs="Arial"/>
          <w:lang w:val="es-ES" w:eastAsia="es-ES"/>
        </w:rPr>
        <w:t xml:space="preserve">Estimado señora María: </w:t>
      </w:r>
    </w:p>
    <w:p w14:paraId="191ABFF8" w14:textId="77777777" w:rsidR="00F17DB5" w:rsidRPr="00A81E8F" w:rsidRDefault="00F17DB5" w:rsidP="00F17DB5">
      <w:pPr>
        <w:tabs>
          <w:tab w:val="left" w:pos="3768"/>
        </w:tabs>
        <w:spacing w:after="0" w:line="276" w:lineRule="auto"/>
        <w:jc w:val="both"/>
        <w:rPr>
          <w:rFonts w:ascii="Verdana" w:eastAsia="Calibri" w:hAnsi="Verdana" w:cs="Arial"/>
          <w:lang w:val="es-ES" w:eastAsia="es-ES"/>
        </w:rPr>
      </w:pPr>
      <w:r w:rsidRPr="00A81E8F">
        <w:rPr>
          <w:rFonts w:ascii="Verdana" w:eastAsia="Calibri" w:hAnsi="Verdana" w:cs="Arial"/>
          <w:lang w:val="es-ES" w:eastAsia="es-ES"/>
        </w:rPr>
        <w:tab/>
      </w:r>
    </w:p>
    <w:p w14:paraId="32433D33" w14:textId="77777777" w:rsidR="00F17DB5" w:rsidRPr="00B46BF4" w:rsidRDefault="00F17DB5" w:rsidP="00F17DB5">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w:t>
      </w:r>
      <w:r w:rsidRPr="00B46BF4">
        <w:rPr>
          <w:rFonts w:ascii="Verdana" w:hAnsi="Verdana" w:cs="Arial"/>
        </w:rPr>
        <w:t xml:space="preserve">Entidad, </w:t>
      </w:r>
      <w:r w:rsidRPr="00B46BF4">
        <w:rPr>
          <w:rFonts w:ascii="Verdana" w:eastAsia="Calibri" w:hAnsi="Verdana" w:cs="Arial"/>
          <w:lang w:val="es-ES" w:eastAsia="es-ES"/>
        </w:rPr>
        <w:t xml:space="preserve">la Agencia Nacional de Contratación Pública – Colombia Compra Eficiente– responde su solicitud de consulta de fecha 9 de diciembre de 2025, en la cual manifiesta lo siguiente: </w:t>
      </w:r>
    </w:p>
    <w:p w14:paraId="588F9888" w14:textId="77777777" w:rsidR="00F17DB5" w:rsidRPr="00272A7B" w:rsidRDefault="00F17DB5" w:rsidP="00F17DB5">
      <w:pPr>
        <w:pStyle w:val="Prrafodelista"/>
        <w:tabs>
          <w:tab w:val="left" w:pos="142"/>
          <w:tab w:val="left" w:pos="284"/>
        </w:tabs>
        <w:spacing w:line="276" w:lineRule="auto"/>
        <w:ind w:left="0"/>
        <w:jc w:val="both"/>
        <w:rPr>
          <w:rFonts w:ascii="Verdana" w:eastAsia="Century Gothic" w:hAnsi="Verdana" w:cs="Century Gothic"/>
          <w:b/>
          <w:bCs/>
        </w:rPr>
      </w:pPr>
    </w:p>
    <w:p w14:paraId="17DB6C6E" w14:textId="77777777" w:rsidR="00F17DB5" w:rsidRPr="0007055C" w:rsidRDefault="00F17DB5" w:rsidP="00F17DB5">
      <w:pPr>
        <w:spacing w:after="0" w:line="240" w:lineRule="auto"/>
        <w:ind w:left="709" w:right="709"/>
        <w:jc w:val="both"/>
        <w:rPr>
          <w:rFonts w:ascii="Verdana" w:eastAsia="Century Gothic" w:hAnsi="Verdana" w:cs="Century Gothic"/>
          <w:sz w:val="20"/>
          <w:szCs w:val="20"/>
          <w:lang w:val="es-ES"/>
        </w:rPr>
      </w:pPr>
      <w:bookmarkStart w:id="0" w:name="_Hlk95313578"/>
      <w:r w:rsidRPr="0007055C">
        <w:rPr>
          <w:rFonts w:ascii="Verdana" w:eastAsia="Century Gothic" w:hAnsi="Verdana" w:cs="Century Gothic"/>
          <w:sz w:val="20"/>
          <w:szCs w:val="20"/>
          <w:lang w:val="es-ES"/>
        </w:rPr>
        <w:t>“</w:t>
      </w:r>
      <w:r w:rsidRPr="0007055C">
        <w:rPr>
          <w:rFonts w:ascii="Verdana" w:hAnsi="Verdana" w:cs="Arial"/>
          <w:sz w:val="20"/>
          <w:szCs w:val="20"/>
          <w:shd w:val="clear" w:color="auto" w:fill="FFFFFF"/>
        </w:rPr>
        <w:t>Comedidamente solicito su concepto y si procedimentalmente está establecido por Colombia Compra eficiente s i es necesario y/</w:t>
      </w:r>
      <w:proofErr w:type="spellStart"/>
      <w:r w:rsidRPr="0007055C">
        <w:rPr>
          <w:rFonts w:ascii="Verdana" w:hAnsi="Verdana" w:cs="Arial"/>
          <w:sz w:val="20"/>
          <w:szCs w:val="20"/>
          <w:shd w:val="clear" w:color="auto" w:fill="FFFFFF"/>
        </w:rPr>
        <w:t>o</w:t>
      </w:r>
      <w:proofErr w:type="spellEnd"/>
      <w:r w:rsidRPr="0007055C">
        <w:rPr>
          <w:rFonts w:ascii="Verdana" w:hAnsi="Verdana" w:cs="Arial"/>
          <w:sz w:val="20"/>
          <w:szCs w:val="20"/>
          <w:shd w:val="clear" w:color="auto" w:fill="FFFFFF"/>
        </w:rPr>
        <w:t xml:space="preserve"> obligatorio colgar en la página de SECOP II la liberación de saldos de CDP y CRP de procesos contractuales de OPS y procesos Jurídicos</w:t>
      </w:r>
      <w:r w:rsidRPr="0007055C">
        <w:rPr>
          <w:rFonts w:ascii="Verdana" w:eastAsia="Century Gothic" w:hAnsi="Verdana" w:cs="Century Gothic"/>
          <w:sz w:val="20"/>
          <w:szCs w:val="20"/>
          <w:lang w:val="es-ES"/>
        </w:rPr>
        <w:t>”</w:t>
      </w:r>
      <w:bookmarkEnd w:id="0"/>
      <w:r w:rsidRPr="0007055C">
        <w:rPr>
          <w:rFonts w:ascii="Verdana" w:eastAsia="Century Gothic" w:hAnsi="Verdana" w:cs="Century Gothic"/>
          <w:sz w:val="20"/>
          <w:szCs w:val="20"/>
          <w:lang w:val="es-ES"/>
        </w:rPr>
        <w:t>.</w:t>
      </w:r>
    </w:p>
    <w:p w14:paraId="57DB7553" w14:textId="77777777" w:rsidR="00F17DB5" w:rsidRPr="00593A5F" w:rsidRDefault="00F17DB5" w:rsidP="00F17DB5">
      <w:pPr>
        <w:pStyle w:val="Prrafodelista"/>
        <w:tabs>
          <w:tab w:val="left" w:pos="142"/>
          <w:tab w:val="left" w:pos="284"/>
        </w:tabs>
        <w:spacing w:line="276" w:lineRule="auto"/>
        <w:ind w:left="0"/>
        <w:jc w:val="both"/>
        <w:rPr>
          <w:rFonts w:ascii="Verdana" w:eastAsia="Century Gothic" w:hAnsi="Verdana" w:cs="Century Gothic"/>
          <w:b/>
          <w:bCs/>
        </w:rPr>
      </w:pPr>
    </w:p>
    <w:p w14:paraId="1930E84B" w14:textId="77777777" w:rsidR="00F17DB5" w:rsidRDefault="00F17DB5" w:rsidP="00F17DB5">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w:t>
      </w:r>
      <w:r w:rsidRPr="00593A5F">
        <w:rPr>
          <w:rFonts w:ascii="Verdana" w:eastAsia="Calibri" w:hAnsi="Verdana" w:cs="Arial"/>
          <w:color w:val="000000"/>
          <w:lang w:val="es-ES" w:eastAsia="es-ES"/>
        </w:rPr>
        <w:lastRenderedPageBreak/>
        <w:t xml:space="preserve">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44C3162" w14:textId="77777777" w:rsidR="00F17DB5" w:rsidRDefault="00F17DB5" w:rsidP="00F17DB5">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A0F2F8D" w14:textId="77777777" w:rsidR="00F17DB5" w:rsidRPr="00593A5F" w:rsidRDefault="00F17DB5" w:rsidP="00F17DB5">
      <w:pPr>
        <w:spacing w:after="0" w:line="276" w:lineRule="auto"/>
        <w:ind w:firstLine="709"/>
        <w:jc w:val="both"/>
        <w:rPr>
          <w:rFonts w:ascii="Verdana" w:eastAsia="Calibri" w:hAnsi="Verdana" w:cs="Arial"/>
          <w:color w:val="000000"/>
          <w:lang w:val="es-ES" w:eastAsia="es-ES"/>
        </w:rPr>
      </w:pPr>
    </w:p>
    <w:p w14:paraId="33A021D8" w14:textId="77777777" w:rsidR="00F17DB5" w:rsidRPr="00593A5F" w:rsidRDefault="00F17DB5" w:rsidP="00F17DB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213F2B6B" w14:textId="77777777" w:rsidR="00F17DB5" w:rsidRPr="00593A5F" w:rsidRDefault="00F17DB5" w:rsidP="00F17DB5">
      <w:pPr>
        <w:tabs>
          <w:tab w:val="left" w:pos="426"/>
        </w:tabs>
        <w:spacing w:after="0" w:line="276" w:lineRule="auto"/>
        <w:jc w:val="both"/>
        <w:rPr>
          <w:rFonts w:ascii="Verdana" w:eastAsia="Century Gothic" w:hAnsi="Verdana" w:cs="Century Gothic"/>
          <w:lang w:val="es-ES"/>
        </w:rPr>
      </w:pPr>
    </w:p>
    <w:p w14:paraId="0F717A72" w14:textId="77777777" w:rsidR="00F17DB5" w:rsidRPr="0007055C" w:rsidRDefault="00F17DB5" w:rsidP="00F17DB5">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siguiente problema jurídico: </w:t>
      </w:r>
      <w:r w:rsidRPr="0007055C">
        <w:rPr>
          <w:rFonts w:ascii="Verdana" w:eastAsia="Century Gothic" w:hAnsi="Verdana" w:cs="Century Gothic"/>
        </w:rPr>
        <w:t xml:space="preserve">¿En qué medida están obligadas las entidades estatales a publicar en el SECOP II la liberación de saldos de CDP y CRP? </w:t>
      </w:r>
    </w:p>
    <w:p w14:paraId="0F732156" w14:textId="77777777" w:rsidR="00F17DB5" w:rsidRPr="0007055C" w:rsidRDefault="00F17DB5" w:rsidP="00F17DB5">
      <w:pPr>
        <w:spacing w:after="0" w:line="276" w:lineRule="auto"/>
        <w:jc w:val="both"/>
        <w:rPr>
          <w:rFonts w:ascii="Verdana" w:eastAsia="Calibri" w:hAnsi="Verdana" w:cs="Arial"/>
          <w:lang w:val="es-ES"/>
        </w:rPr>
      </w:pPr>
    </w:p>
    <w:p w14:paraId="4ED2A361" w14:textId="77777777" w:rsidR="00F17DB5" w:rsidRPr="0007055C" w:rsidRDefault="00F17DB5" w:rsidP="00F17DB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7055C">
        <w:rPr>
          <w:rFonts w:ascii="Verdana" w:eastAsia="Century Gothic" w:hAnsi="Verdana" w:cs="Century Gothic"/>
          <w:b/>
          <w:bCs/>
        </w:rPr>
        <w:t>Respuesta:</w:t>
      </w:r>
    </w:p>
    <w:p w14:paraId="01D2907E" w14:textId="77777777" w:rsidR="00F17DB5" w:rsidRPr="0007055C" w:rsidRDefault="00F17DB5" w:rsidP="00F17DB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17DB5" w:rsidRPr="0007055C" w14:paraId="019BD09E" w14:textId="77777777" w:rsidTr="00C40146">
        <w:tc>
          <w:tcPr>
            <w:tcW w:w="8828" w:type="dxa"/>
            <w:shd w:val="clear" w:color="auto" w:fill="auto"/>
          </w:tcPr>
          <w:p w14:paraId="05FDD37F" w14:textId="77777777" w:rsidR="00F17DB5" w:rsidRPr="0007055C" w:rsidRDefault="00F17DB5" w:rsidP="00C40146">
            <w:pPr>
              <w:spacing w:before="120" w:after="120" w:line="276" w:lineRule="auto"/>
              <w:jc w:val="both"/>
              <w:rPr>
                <w:rFonts w:ascii="Verdana" w:eastAsia="Calibri" w:hAnsi="Verdana" w:cs="Arial"/>
                <w:lang w:val="es-ES_tradnl"/>
              </w:rPr>
            </w:pPr>
            <w:r w:rsidRPr="0007055C">
              <w:rPr>
                <w:rFonts w:ascii="Verdana" w:eastAsia="Calibri" w:hAnsi="Verdana" w:cs="Arial"/>
                <w:lang w:val="es-ES"/>
              </w:rPr>
              <w:t xml:space="preserve">Las Entidades </w:t>
            </w:r>
            <w:r w:rsidRPr="0007055C">
              <w:rPr>
                <w:rFonts w:ascii="Verdana" w:eastAsia="Calibri" w:hAnsi="Verdana" w:cs="Arial"/>
                <w:lang w:val="es-ES_tradnl"/>
              </w:rPr>
              <w:t>Estatales, conforme al artículo 2.2.1.1.1.7.1 del Decreto 1082 de 2015, tienen la obligación de publicar en el SECOP “[…] los Documentos del Proceso y los actos administrativos del Proceso de Contratación, dentro de los tres (3) días siguientes a su expedición […]”. Así mismo, la</w:t>
            </w:r>
            <w:r w:rsidRPr="0007055C">
              <w:rPr>
                <w:rFonts w:ascii="Verdana" w:eastAsia="Calibri" w:hAnsi="Verdana" w:cs="Arial"/>
              </w:rPr>
              <w:t xml:space="preserve"> </w:t>
            </w:r>
            <w:r w:rsidRPr="00843782">
              <w:rPr>
                <w:rFonts w:ascii="Verdana" w:eastAsia="Calibri" w:hAnsi="Verdana" w:cs="Arial"/>
              </w:rPr>
              <w:t xml:space="preserve">expresión </w:t>
            </w:r>
            <w:r w:rsidRPr="00843782">
              <w:rPr>
                <w:rFonts w:ascii="Verdana" w:eastAsia="Calibri" w:hAnsi="Verdana" w:cs="Arial"/>
                <w:i/>
                <w:iCs/>
              </w:rPr>
              <w:t xml:space="preserve">Documentos del Proceso </w:t>
            </w:r>
            <w:r w:rsidRPr="00843782">
              <w:rPr>
                <w:rFonts w:ascii="Verdana" w:eastAsia="Calibri" w:hAnsi="Verdana" w:cs="Arial"/>
              </w:rPr>
              <w:t>está definida en el artículo 2.2.1.1.1.3.1. del Decreto 1082 de 2015,</w:t>
            </w:r>
            <w:r w:rsidRPr="0007055C">
              <w:rPr>
                <w:rFonts w:ascii="Verdana" w:eastAsia="Calibri" w:hAnsi="Verdana" w:cs="Arial"/>
              </w:rPr>
              <w:t xml:space="preserve"> en el cual, además de los enlistados, es importante resaltar la expresión al final de la lista que se deberá publicar en el SECOP II “[…] </w:t>
            </w:r>
            <w:r w:rsidRPr="00843782">
              <w:rPr>
                <w:rFonts w:ascii="Verdana" w:eastAsia="Calibri" w:hAnsi="Verdana" w:cs="Arial"/>
                <w:i/>
                <w:iCs/>
              </w:rPr>
              <w:t>cualquier otro documento expedido por la Entidad Estatal durante el Proceso de Contratación</w:t>
            </w:r>
            <w:r w:rsidRPr="0007055C">
              <w:rPr>
                <w:rFonts w:ascii="Verdana" w:eastAsia="Calibri" w:hAnsi="Verdana" w:cs="Arial"/>
                <w:i/>
                <w:iCs/>
              </w:rPr>
              <w:t>”</w:t>
            </w:r>
            <w:r w:rsidRPr="0007055C">
              <w:rPr>
                <w:rFonts w:ascii="Verdana" w:eastAsia="Calibri" w:hAnsi="Verdana" w:cs="Arial"/>
              </w:rPr>
              <w:t>, por lo que se establece que dicho listado no es taxativo, sino enunciativo. Igualmente, es de notar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w:t>
            </w:r>
          </w:p>
          <w:p w14:paraId="75A75892" w14:textId="77777777" w:rsidR="00F17DB5" w:rsidRPr="0007055C" w:rsidRDefault="00F17DB5" w:rsidP="00C40146">
            <w:pPr>
              <w:spacing w:before="120" w:after="120" w:line="276" w:lineRule="auto"/>
              <w:jc w:val="both"/>
              <w:rPr>
                <w:rFonts w:ascii="Verdana" w:eastAsia="Calibri" w:hAnsi="Verdana" w:cs="Arial"/>
              </w:rPr>
            </w:pPr>
            <w:r w:rsidRPr="0007055C">
              <w:rPr>
                <w:rFonts w:ascii="Verdana" w:eastAsia="Calibri" w:hAnsi="Verdana" w:cs="Arial"/>
                <w:lang w:val="es-ES"/>
              </w:rPr>
              <w:t>Ahora bien, de acuerdo con el principio de publicidad, lo establecido por el  Decreto 1082 de 2015</w:t>
            </w:r>
            <w:r w:rsidRPr="00843782">
              <w:rPr>
                <w:rFonts w:ascii="Verdana" w:eastAsia="Calibri" w:hAnsi="Verdana" w:cs="Arial"/>
              </w:rPr>
              <w:t xml:space="preserve"> indica que </w:t>
            </w:r>
            <w:r w:rsidRPr="00843782">
              <w:rPr>
                <w:rFonts w:ascii="Verdana" w:eastAsia="Calibri" w:hAnsi="Verdana" w:cs="Arial"/>
                <w:u w:val="single"/>
              </w:rPr>
              <w:t xml:space="preserve">las Entidades Estatales tienen la obligación de publicar todos los documentos que expidan con ocasión del Proceso de </w:t>
            </w:r>
            <w:r w:rsidRPr="00843782">
              <w:rPr>
                <w:rFonts w:ascii="Verdana" w:eastAsia="Calibri" w:hAnsi="Verdana" w:cs="Arial"/>
                <w:u w:val="single"/>
              </w:rPr>
              <w:lastRenderedPageBreak/>
              <w:t>Contratación</w:t>
            </w:r>
            <w:r w:rsidRPr="00843782">
              <w:rPr>
                <w:rFonts w:ascii="Verdana" w:eastAsia="Calibri" w:hAnsi="Verdana" w:cs="Arial"/>
              </w:rPr>
              <w:t xml:space="preserve">, es decir que todos los documentos expedidos por la entidad durante las etapas precontractual, de ejecución y </w:t>
            </w:r>
            <w:r w:rsidRPr="00843782">
              <w:rPr>
                <w:rFonts w:ascii="Verdana" w:eastAsia="Calibri" w:hAnsi="Verdana" w:cs="Arial"/>
                <w:u w:val="single"/>
              </w:rPr>
              <w:t>postcontractual deberán ser publicados en SECOP dentro de los tres (3) días siguientes a su expedición</w:t>
            </w:r>
            <w:r w:rsidRPr="00843782">
              <w:rPr>
                <w:rFonts w:ascii="Verdana" w:eastAsia="Calibri" w:hAnsi="Verdana" w:cs="Arial"/>
              </w:rPr>
              <w:t>, para cumplir el deber de publicidad regulado por el artículo 2.2.1.1.1.7.1. del Decreto 1082 de 2015.</w:t>
            </w:r>
            <w:r w:rsidRPr="0007055C">
              <w:rPr>
                <w:rFonts w:ascii="Verdana" w:eastAsia="Calibri" w:hAnsi="Verdana" w:cs="Arial"/>
              </w:rPr>
              <w:t xml:space="preserve"> En ese mismo sentido, la obligatoriedad de publicar la información contractual en el Sistema Electrónico para la Contratación Pública (SECOP II) está establecida por la Ley 1150 de 2007, lo cual se desarrolla en la </w:t>
            </w:r>
            <w:r w:rsidRPr="0007055C">
              <w:rPr>
                <w:rFonts w:ascii="Verdana" w:eastAsia="Calibri" w:hAnsi="Verdana" w:cs="Arial"/>
                <w:lang w:val="es-ES"/>
              </w:rPr>
              <w:t>Circular Externa No. 003 de 2024 de Colombia Compra Eficiente</w:t>
            </w:r>
            <w:r w:rsidRPr="0007055C">
              <w:rPr>
                <w:rFonts w:ascii="Verdana" w:eastAsia="Calibri" w:hAnsi="Verdana" w:cs="Arial"/>
              </w:rPr>
              <w:t xml:space="preserve"> exigiendo a todas las entidades estatales, incluidas aquellas con regímenes contractuales especiales, la publicación de documentos relacionados con su actividad contractual en dicha plataforma.</w:t>
            </w:r>
          </w:p>
          <w:p w14:paraId="2FFDDB08" w14:textId="77777777" w:rsidR="00F17DB5" w:rsidRPr="0007055C" w:rsidRDefault="00F17DB5" w:rsidP="00C40146">
            <w:pPr>
              <w:spacing w:before="120" w:after="120" w:line="276" w:lineRule="auto"/>
              <w:jc w:val="both"/>
              <w:rPr>
                <w:rFonts w:ascii="Verdana" w:eastAsia="Calibri" w:hAnsi="Verdana" w:cs="Arial"/>
                <w:lang w:val="es-ES"/>
              </w:rPr>
            </w:pPr>
            <w:r w:rsidRPr="0007055C">
              <w:rPr>
                <w:rFonts w:ascii="Verdana" w:eastAsia="Calibri" w:hAnsi="Verdana" w:cs="Arial"/>
                <w:lang w:val="es-ES"/>
              </w:rPr>
              <w:t>En conclusión, con el fin de responder su interrogante, las entidades estatales están obligadas a publicar toda su actividad contractual en el SECOP II, lo cual corresponde, entre otros, a la publicación de los documentos expedidos por estas en ocasión del proceso, y la norma es clara cuando establece que esta publicación acoge las etapas precontractual, contractual y poscontractual, por lo que, incluso, luego de la finalización de la ejecución del contrato, se deberá publicar la información que surja luego de su terminación, obligación que incluye las modificaciones que reciba el contrato, que generen liberación de saldos.</w:t>
            </w:r>
          </w:p>
          <w:p w14:paraId="38C89228" w14:textId="77777777" w:rsidR="00F17DB5" w:rsidRPr="0007055C" w:rsidRDefault="00F17DB5" w:rsidP="00C40146">
            <w:pPr>
              <w:spacing w:before="120" w:after="120" w:line="276" w:lineRule="auto"/>
              <w:jc w:val="both"/>
              <w:rPr>
                <w:rFonts w:ascii="Verdana" w:eastAsia="Calibri" w:hAnsi="Verdana" w:cs="Arial"/>
                <w:lang w:val="es-ES"/>
              </w:rPr>
            </w:pPr>
            <w:r w:rsidRPr="0007055C">
              <w:rPr>
                <w:rFonts w:ascii="Verdana" w:eastAsia="Calibri" w:hAnsi="Verdana" w:cs="Arial"/>
              </w:rPr>
              <w:t>Sin perjuicio de lo anterior, es menester explicar que, esta obligación tiene como objetivo garantizar la transparencia, el acceso público a la información y el control social sobre la contratación pública, permitiendo que la ciudadanía tenga acceso a los documentos en un sistema unificado y oficial, el SECOP II o la plataforma transaccional que haga sus veces en el futuro.</w:t>
            </w:r>
          </w:p>
        </w:tc>
      </w:tr>
    </w:tbl>
    <w:p w14:paraId="519EE6D5" w14:textId="77777777" w:rsidR="00F17DB5" w:rsidRPr="00593A5F" w:rsidRDefault="00F17DB5" w:rsidP="00F17DB5">
      <w:pPr>
        <w:tabs>
          <w:tab w:val="left" w:pos="142"/>
          <w:tab w:val="left" w:pos="284"/>
        </w:tabs>
        <w:spacing w:after="0" w:line="276" w:lineRule="auto"/>
        <w:jc w:val="both"/>
        <w:rPr>
          <w:rFonts w:ascii="Verdana" w:eastAsia="Century Gothic" w:hAnsi="Verdana" w:cs="Century Gothic"/>
          <w:b/>
          <w:bCs/>
          <w:lang w:val="es-ES"/>
        </w:rPr>
      </w:pPr>
    </w:p>
    <w:p w14:paraId="580A6460" w14:textId="77777777" w:rsidR="00F17DB5" w:rsidRPr="00593A5F" w:rsidRDefault="00F17DB5" w:rsidP="00F17DB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21B9AADE" w14:textId="77777777" w:rsidR="00F17DB5" w:rsidRPr="00593A5F" w:rsidRDefault="00F17DB5" w:rsidP="00F17DB5">
      <w:pPr>
        <w:spacing w:after="0" w:line="276" w:lineRule="auto"/>
        <w:jc w:val="both"/>
        <w:rPr>
          <w:rFonts w:ascii="Verdana" w:eastAsia="Calibri" w:hAnsi="Verdana" w:cs="Arial"/>
          <w:color w:val="7030A0"/>
          <w:lang w:val="es-ES"/>
        </w:rPr>
      </w:pPr>
    </w:p>
    <w:p w14:paraId="6ADCC104" w14:textId="77777777" w:rsidR="00F17DB5" w:rsidRPr="00B96799" w:rsidRDefault="00F17DB5" w:rsidP="00F17DB5">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31E5A366" w14:textId="77777777" w:rsidR="00F17DB5" w:rsidRPr="00593A5F" w:rsidRDefault="00F17DB5" w:rsidP="00F17DB5">
      <w:pPr>
        <w:spacing w:after="0" w:line="276" w:lineRule="auto"/>
        <w:jc w:val="both"/>
        <w:rPr>
          <w:rFonts w:ascii="Verdana" w:eastAsia="Calibri" w:hAnsi="Verdana" w:cs="Arial"/>
          <w:color w:val="7030A0"/>
          <w:lang w:val="es-ES"/>
        </w:rPr>
      </w:pPr>
    </w:p>
    <w:p w14:paraId="51BA5E17" w14:textId="77777777" w:rsidR="00F17DB5" w:rsidRPr="005817C0" w:rsidRDefault="00F17DB5" w:rsidP="00F17DB5">
      <w:pPr>
        <w:spacing w:before="120" w:after="120" w:line="276" w:lineRule="auto"/>
        <w:jc w:val="both"/>
        <w:rPr>
          <w:rFonts w:ascii="Verdana" w:eastAsia="Times New Roman" w:hAnsi="Verdana" w:cs="Arial"/>
          <w:lang w:val="es-ES" w:eastAsia="es-ES"/>
          <w14:ligatures w14:val="standardContextual"/>
        </w:rPr>
      </w:pPr>
      <w:r w:rsidRPr="42084841">
        <w:rPr>
          <w:rFonts w:ascii="Verdana" w:eastAsia="Times New Roman" w:hAnsi="Verdana" w:cs="Arial"/>
          <w:lang w:val="es-ES" w:eastAsia="es-ES"/>
          <w14:ligatures w14:val="standardContextual"/>
        </w:rPr>
        <w:t xml:space="preserve">Uno de los postulados más importantes de un Estado Social y Democrático de Derecho es el principio de publicidad,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w:t>
      </w:r>
      <w:r w:rsidRPr="42084841">
        <w:rPr>
          <w:rFonts w:ascii="Verdana" w:eastAsia="Times New Roman" w:hAnsi="Verdana" w:cs="Arial"/>
          <w:lang w:val="es-ES" w:eastAsia="es-ES"/>
          <w14:ligatures w14:val="standardContextual"/>
        </w:rPr>
        <w:lastRenderedPageBreak/>
        <w:t>administrativa, y el artículo 74, que consagra la garantía de acceso a los documentos públicos que no gocen de reserva –y esta, además, es excepcional, pues solo procede si existe causal constitucional o legal expresa–. </w:t>
      </w:r>
    </w:p>
    <w:p w14:paraId="75B8709E" w14:textId="77777777" w:rsidR="00F17DB5" w:rsidRDefault="00F17DB5" w:rsidP="00F17DB5">
      <w:pPr>
        <w:spacing w:before="120" w:after="120" w:line="276" w:lineRule="auto"/>
        <w:ind w:firstLine="709"/>
        <w:jc w:val="both"/>
        <w:rPr>
          <w:rFonts w:ascii="Verdana" w:eastAsia="Times New Roman" w:hAnsi="Verdana" w:cs="Arial"/>
          <w:lang w:val="es-ES_tradnl" w:eastAsia="es-ES_tradnl"/>
          <w14:ligatures w14:val="standardContextual"/>
        </w:rPr>
      </w:pPr>
      <w:r w:rsidRPr="005817C0">
        <w:rPr>
          <w:rFonts w:ascii="Verdana" w:eastAsia="Times New Roman" w:hAnsi="Verdana" w:cs="Arial"/>
          <w:lang w:val="es-ES_tradnl" w:eastAsia="es-ES_tradnl"/>
          <w14:ligatures w14:val="standardContextual"/>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Pr>
          <w:rFonts w:ascii="Verdana" w:eastAsia="Times New Roman" w:hAnsi="Verdana" w:cs="Arial"/>
          <w:lang w:val="es-ES_tradnl" w:eastAsia="es-ES_tradnl"/>
          <w14:ligatures w14:val="standardContextual"/>
        </w:rPr>
        <w:t>”</w:t>
      </w:r>
      <w:r w:rsidRPr="005817C0">
        <w:rPr>
          <w:rFonts w:ascii="Verdana" w:eastAsia="Times New Roman" w:hAnsi="Verdana" w:cs="Arial"/>
          <w:vertAlign w:val="superscript"/>
          <w:lang w:val="es-ES_tradnl" w:eastAsia="es-ES_tradnl"/>
          <w14:ligatures w14:val="standardContextual"/>
        </w:rPr>
        <w:footnoteReference w:id="2"/>
      </w:r>
      <w:r w:rsidRPr="005817C0">
        <w:rPr>
          <w:rFonts w:ascii="Verdana" w:eastAsia="Times New Roman" w:hAnsi="Verdana" w:cs="Arial"/>
          <w:lang w:val="es-ES_tradnl" w:eastAsia="es-ES_tradnl"/>
          <w14:ligatures w14:val="standardContextual"/>
        </w:rPr>
        <w:t>.</w:t>
      </w:r>
    </w:p>
    <w:p w14:paraId="3FC55C8D" w14:textId="77777777" w:rsidR="00F17DB5" w:rsidRDefault="00F17DB5" w:rsidP="00F17DB5">
      <w:pPr>
        <w:spacing w:before="120" w:after="120" w:line="276" w:lineRule="auto"/>
        <w:ind w:firstLine="709"/>
        <w:jc w:val="both"/>
        <w:rPr>
          <w:rFonts w:ascii="Verdana" w:eastAsia="Times New Roman" w:hAnsi="Verdana" w:cs="Arial"/>
          <w:lang w:val="es-ES_tradnl" w:eastAsia="es-ES_tradnl"/>
          <w14:ligatures w14:val="standardContextual"/>
        </w:rPr>
      </w:pPr>
      <w:r w:rsidRPr="00E806EA">
        <w:rPr>
          <w:rFonts w:ascii="Verdana" w:eastAsia="Times New Roman" w:hAnsi="Verdana" w:cs="Arial"/>
          <w:lang w:val="es-ES_tradnl" w:eastAsia="es-ES_tradnl"/>
          <w14:ligatures w14:val="standardContextual"/>
        </w:rPr>
        <w:t xml:space="preserve">Asimismo, de acuerdo con el literal g) del artículo 11 de </w:t>
      </w:r>
      <w:r>
        <w:rPr>
          <w:rFonts w:ascii="Verdana" w:eastAsia="Times New Roman" w:hAnsi="Verdana" w:cs="Arial"/>
          <w:lang w:val="es-ES_tradnl" w:eastAsia="es-ES_tradnl"/>
          <w14:ligatures w14:val="standardContextual"/>
        </w:rPr>
        <w:t>la L</w:t>
      </w:r>
      <w:r w:rsidRPr="00E806EA">
        <w:rPr>
          <w:rFonts w:ascii="Verdana" w:eastAsia="Times New Roman" w:hAnsi="Verdana" w:cs="Arial"/>
          <w:lang w:val="es-ES_tradnl" w:eastAsia="es-ES_tradnl"/>
          <w14:ligatures w14:val="standardContextual"/>
        </w:rPr>
        <w:t>ey</w:t>
      </w:r>
      <w:r>
        <w:rPr>
          <w:rFonts w:ascii="Verdana" w:eastAsia="Times New Roman" w:hAnsi="Verdana" w:cs="Arial"/>
          <w:lang w:val="es-ES_tradnl" w:eastAsia="es-ES_tradnl"/>
          <w14:ligatures w14:val="standardContextual"/>
        </w:rPr>
        <w:t xml:space="preserve"> 1712 de 2014</w:t>
      </w:r>
      <w:r w:rsidRPr="00E806EA">
        <w:rPr>
          <w:rFonts w:ascii="Verdana" w:eastAsia="Times New Roman" w:hAnsi="Verdana" w:cs="Arial"/>
          <w:lang w:val="es-ES_tradnl" w:eastAsia="es-ES_tradnl"/>
          <w14:ligatures w14:val="standardContextual"/>
        </w:rPr>
        <w:t>,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B300BE">
        <w:rPr>
          <w:rFonts w:ascii="Verdana" w:eastAsia="Times New Roman" w:hAnsi="Verdana" w:cs="Arial"/>
          <w:vertAlign w:val="superscript"/>
          <w:lang w:val="es-ES_tradnl" w:eastAsia="es-ES_tradnl"/>
          <w14:ligatures w14:val="standardContextual"/>
        </w:rPr>
        <w:footnoteReference w:id="3"/>
      </w:r>
      <w:r w:rsidRPr="00E806EA">
        <w:rPr>
          <w:rFonts w:ascii="Verdana" w:eastAsia="Times New Roman" w:hAnsi="Verdana" w:cs="Arial"/>
          <w:lang w:val="es-ES_tradnl" w:eastAsia="es-ES_tradnl"/>
          <w14:ligatures w14:val="standardContextual"/>
        </w:rPr>
        <w:t>. 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117C7081" w14:textId="77777777" w:rsidR="00F17DB5" w:rsidRDefault="00F17DB5" w:rsidP="00F17DB5">
      <w:pPr>
        <w:tabs>
          <w:tab w:val="left" w:pos="709"/>
        </w:tabs>
        <w:spacing w:before="120" w:after="0" w:line="276" w:lineRule="auto"/>
        <w:ind w:firstLine="709"/>
        <w:jc w:val="both"/>
        <w:rPr>
          <w:rFonts w:ascii="Verdana" w:hAnsi="Verdana" w:cs="Arial"/>
          <w:shd w:val="clear" w:color="auto" w:fill="FFFFFF"/>
        </w:rPr>
      </w:pPr>
      <w:r w:rsidRPr="00052904">
        <w:rPr>
          <w:rFonts w:ascii="Verdana" w:hAnsi="Verdana" w:cs="Arial"/>
          <w:shd w:val="clear" w:color="auto" w:fill="FFFFFF"/>
        </w:rPr>
        <w:t xml:space="preserve">La expresión </w:t>
      </w:r>
      <w:r w:rsidRPr="00052904">
        <w:rPr>
          <w:rFonts w:ascii="Verdana" w:hAnsi="Verdana" w:cs="Arial"/>
          <w:i/>
          <w:iCs/>
          <w:shd w:val="clear" w:color="auto" w:fill="FFFFFF"/>
        </w:rPr>
        <w:t xml:space="preserve">Documentos del Proceso </w:t>
      </w:r>
      <w:r w:rsidRPr="00052904">
        <w:rPr>
          <w:rFonts w:ascii="Verdana" w:hAnsi="Verdana" w:cs="Arial"/>
          <w:shd w:val="clear" w:color="auto" w:fill="FFFFFF"/>
        </w:rPr>
        <w:t xml:space="preserve">está definida en el artículo 2.2.1.1.1.3.1. del Decreto 1082 de 2015, donde se establece que: “son: (a) los estudios y documentos previos; (b) el aviso de convocatoria; (c) los pliegos de condiciones o la invitación; (d) las adendas; (e) la oferta; (f) el informe de evaluación; (g) el contrato; </w:t>
      </w:r>
      <w:r w:rsidRPr="00052904">
        <w:rPr>
          <w:rFonts w:ascii="Verdana" w:hAnsi="Verdana" w:cs="Arial"/>
          <w:i/>
          <w:iCs/>
          <w:shd w:val="clear" w:color="auto" w:fill="FFFFFF"/>
        </w:rPr>
        <w:t>y cualquier otro documento expedido por la Entidad Estatal durante el Proceso de Contratación</w:t>
      </w:r>
      <w:r w:rsidRPr="00052904">
        <w:rPr>
          <w:rFonts w:ascii="Verdana" w:hAnsi="Verdana" w:cs="Arial"/>
          <w:shd w:val="clear" w:color="auto" w:fill="FFFFFF"/>
        </w:rPr>
        <w:t>”. [Énfasis fuera de texto]</w:t>
      </w:r>
    </w:p>
    <w:p w14:paraId="6DF4D230" w14:textId="77777777" w:rsidR="00F17DB5" w:rsidRDefault="00F17DB5" w:rsidP="00F17DB5">
      <w:pPr>
        <w:tabs>
          <w:tab w:val="left" w:pos="709"/>
        </w:tabs>
        <w:spacing w:before="120" w:after="0" w:line="276" w:lineRule="auto"/>
        <w:ind w:firstLine="709"/>
        <w:jc w:val="both"/>
        <w:rPr>
          <w:rFonts w:ascii="Verdana" w:hAnsi="Verdana" w:cs="Arial"/>
          <w:shd w:val="clear" w:color="auto" w:fill="FFFFFF"/>
        </w:rPr>
      </w:pPr>
      <w:r w:rsidRPr="00EF0BDA">
        <w:rPr>
          <w:rFonts w:ascii="Verdana" w:hAnsi="Verdana" w:cs="Arial"/>
          <w:shd w:val="clear" w:color="auto" w:fill="FFFFFF"/>
        </w:rPr>
        <w:lastRenderedPageBreak/>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EF0BDA">
        <w:rPr>
          <w:rFonts w:ascii="Verdana" w:hAnsi="Verdana" w:cs="Arial"/>
          <w:i/>
          <w:iCs/>
          <w:shd w:val="clear" w:color="auto" w:fill="FFFFFF"/>
        </w:rPr>
        <w:t>Ibidem</w:t>
      </w:r>
      <w:r w:rsidRPr="00EF0BDA">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w:t>
      </w:r>
    </w:p>
    <w:p w14:paraId="643066A8" w14:textId="77777777" w:rsidR="00F17DB5" w:rsidRDefault="00F17DB5" w:rsidP="00F17DB5">
      <w:pPr>
        <w:tabs>
          <w:tab w:val="left" w:pos="709"/>
        </w:tabs>
        <w:spacing w:before="120" w:after="120" w:line="276" w:lineRule="auto"/>
        <w:ind w:firstLine="709"/>
        <w:jc w:val="both"/>
        <w:rPr>
          <w:rFonts w:ascii="Verdana" w:hAnsi="Verdana" w:cs="Arial"/>
          <w:shd w:val="clear" w:color="auto" w:fill="FFFFFF"/>
        </w:rPr>
      </w:pPr>
      <w:r w:rsidRPr="00F14C13">
        <w:rPr>
          <w:rFonts w:ascii="Verdana" w:hAnsi="Verdana" w:cs="Arial"/>
          <w:shd w:val="clear" w:color="auto" w:fill="FFFFFF"/>
        </w:rPr>
        <w:t>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2FDF388A" w14:textId="77777777" w:rsidR="00F17DB5" w:rsidRPr="007D65AA" w:rsidRDefault="00F17DB5" w:rsidP="00F17DB5">
      <w:pPr>
        <w:tabs>
          <w:tab w:val="left" w:pos="709"/>
        </w:tabs>
        <w:spacing w:before="120" w:after="120" w:line="276" w:lineRule="auto"/>
        <w:ind w:firstLine="709"/>
        <w:jc w:val="both"/>
        <w:rPr>
          <w:rFonts w:ascii="Verdana" w:hAnsi="Verdana" w:cs="Arial"/>
          <w:shd w:val="clear" w:color="auto" w:fill="FFFFFF"/>
        </w:rPr>
      </w:pPr>
      <w:r w:rsidRPr="007D65AA">
        <w:rPr>
          <w:rFonts w:ascii="Verdana" w:hAnsi="Verdana" w:cs="Arial"/>
          <w:shd w:val="clear" w:color="auto" w:fill="FFFFFF"/>
        </w:rPr>
        <w:t>Con el propósito de garantizar el cumplimiento del mencionado deber de publicidad, se le asignó a la Agencia Nacional de Contratación Pública - Colombia Compra Eficiente, la función de administrar el SECOP</w:t>
      </w:r>
      <w:r w:rsidRPr="007D65AA">
        <w:rPr>
          <w:rFonts w:ascii="Verdana" w:hAnsi="Verdana" w:cs="Arial"/>
          <w:shd w:val="clear" w:color="auto" w:fill="FFFFFF"/>
          <w:vertAlign w:val="superscript"/>
        </w:rPr>
        <w:footnoteReference w:id="4"/>
      </w:r>
      <w:r w:rsidRPr="007D65AA">
        <w:rPr>
          <w:rFonts w:ascii="Verdana" w:hAnsi="Verdana" w:cs="Arial"/>
          <w:shd w:val="clear" w:color="auto" w:fill="FFFFFF"/>
        </w:rPr>
        <w:t>. Dicha plataforma ha tenido dos versiones, esto es, el SECOP I y el SECOP II. 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2188C320" w14:textId="77777777" w:rsidR="00F17DB5" w:rsidRPr="007D65AA" w:rsidRDefault="00F17DB5" w:rsidP="00F17DB5">
      <w:pPr>
        <w:tabs>
          <w:tab w:val="left" w:pos="709"/>
        </w:tabs>
        <w:spacing w:before="120" w:after="120" w:line="276" w:lineRule="auto"/>
        <w:ind w:firstLine="709"/>
        <w:jc w:val="both"/>
        <w:rPr>
          <w:rFonts w:ascii="Verdana" w:hAnsi="Verdana" w:cs="Arial"/>
          <w:shd w:val="clear" w:color="auto" w:fill="FFFFFF"/>
        </w:rPr>
      </w:pPr>
      <w:r w:rsidRPr="007D65AA">
        <w:rPr>
          <w:rFonts w:ascii="Verdana" w:hAnsi="Verdana" w:cs="Arial"/>
          <w:shd w:val="clear" w:color="auto" w:fill="FFFFFF"/>
        </w:rPr>
        <w:lastRenderedPageBreak/>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16B276EC" w14:textId="77777777" w:rsidR="00F17DB5" w:rsidRDefault="00F17DB5" w:rsidP="00F17DB5">
      <w:pPr>
        <w:spacing w:after="120" w:line="276" w:lineRule="auto"/>
        <w:ind w:firstLine="709"/>
        <w:jc w:val="both"/>
        <w:rPr>
          <w:rFonts w:ascii="Verdana" w:eastAsia="Calibri" w:hAnsi="Verdana" w:cs="Arial"/>
          <w:lang w:val="es-ES_tradnl"/>
        </w:rPr>
      </w:pPr>
      <w:r w:rsidRPr="007D65AA">
        <w:rPr>
          <w:rFonts w:ascii="Verdana" w:eastAsia="Calibri" w:hAnsi="Verdana" w:cs="Arial"/>
          <w:lang w:val="es-ES_tradnl"/>
        </w:rPr>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p>
    <w:p w14:paraId="5788FC79" w14:textId="77777777" w:rsidR="00F17DB5" w:rsidRPr="00A81666" w:rsidRDefault="00F17DB5" w:rsidP="00F17DB5">
      <w:pPr>
        <w:tabs>
          <w:tab w:val="left" w:pos="709"/>
        </w:tabs>
        <w:spacing w:before="120" w:after="120" w:line="276" w:lineRule="auto"/>
        <w:ind w:firstLine="709"/>
        <w:jc w:val="both"/>
        <w:rPr>
          <w:rStyle w:val="eop"/>
          <w:rFonts w:ascii="Verdana" w:hAnsi="Verdana" w:cs="Arial"/>
          <w:shd w:val="clear" w:color="auto" w:fill="FFFFFF"/>
        </w:rPr>
      </w:pPr>
      <w:r w:rsidRPr="00597A98">
        <w:rPr>
          <w:rFonts w:ascii="Verdana" w:hAnsi="Verdana" w:cs="Arial"/>
          <w:shd w:val="clear" w:color="auto" w:fill="FFFFFF"/>
        </w:rPr>
        <w:t xml:space="preserve">Finalmente, </w:t>
      </w:r>
      <w:r w:rsidRPr="00A81666">
        <w:rPr>
          <w:rFonts w:ascii="Verdana" w:hAnsi="Verdana" w:cs="Arial"/>
          <w:shd w:val="clear" w:color="auto" w:fill="FFFFFF"/>
        </w:rPr>
        <w:t>la obligatoriedad de publicar la información contractual en el Sistema Electrónico para la Contratación Pública (SECOP II) está establecida por</w:t>
      </w:r>
      <w:r>
        <w:rPr>
          <w:rFonts w:ascii="Verdana" w:hAnsi="Verdana" w:cs="Arial"/>
          <w:shd w:val="clear" w:color="auto" w:fill="FFFFFF"/>
        </w:rPr>
        <w:t xml:space="preserve"> </w:t>
      </w:r>
      <w:r w:rsidRPr="00A81666">
        <w:rPr>
          <w:rFonts w:ascii="Verdana" w:hAnsi="Verdana" w:cs="Arial"/>
          <w:shd w:val="clear" w:color="auto" w:fill="FFFFFF"/>
        </w:rPr>
        <w:t>la Ley 1150 de 2007,</w:t>
      </w:r>
      <w:r>
        <w:rPr>
          <w:rFonts w:ascii="Verdana" w:hAnsi="Verdana" w:cs="Arial"/>
          <w:shd w:val="clear" w:color="auto" w:fill="FFFFFF"/>
        </w:rPr>
        <w:t xml:space="preserve"> lo cual se desarrolla en la </w:t>
      </w:r>
      <w:r w:rsidRPr="007129AF">
        <w:rPr>
          <w:rFonts w:ascii="Verdana" w:eastAsia="Calibri" w:hAnsi="Verdana" w:cs="Arial"/>
          <w:lang w:val="es-ES"/>
        </w:rPr>
        <w:t>Circular Externa No. 00</w:t>
      </w:r>
      <w:r>
        <w:rPr>
          <w:rFonts w:ascii="Verdana" w:eastAsia="Calibri" w:hAnsi="Verdana" w:cs="Arial"/>
          <w:lang w:val="es-ES"/>
        </w:rPr>
        <w:t>3</w:t>
      </w:r>
      <w:r w:rsidRPr="007129AF">
        <w:rPr>
          <w:rFonts w:ascii="Verdana" w:eastAsia="Calibri" w:hAnsi="Verdana" w:cs="Arial"/>
          <w:lang w:val="es-ES"/>
        </w:rPr>
        <w:t xml:space="preserve"> de 2024</w:t>
      </w:r>
      <w:r>
        <w:rPr>
          <w:rFonts w:ascii="Verdana" w:eastAsia="Calibri" w:hAnsi="Verdana" w:cs="Arial"/>
          <w:lang w:val="es-ES"/>
        </w:rPr>
        <w:t xml:space="preserve"> de Colombia Compra Eficiente</w:t>
      </w:r>
      <w:r w:rsidRPr="00A81666">
        <w:rPr>
          <w:rFonts w:ascii="Verdana" w:hAnsi="Verdana" w:cs="Arial"/>
          <w:shd w:val="clear" w:color="auto" w:fill="FFFFFF"/>
        </w:rPr>
        <w:t xml:space="preserve"> exigiendo a todas las entidades estatales, incluidas aquellas con regímenes contractuales especiales, la publicación de documentos relacionados con su actividad contractual en dicha plataforma. Esta obligación incluye todos los documentos generados durante las fases precontractual, contractual y postcontractual, como contratos, actos administrativos e información sobre los involucrados en el proceso. </w:t>
      </w:r>
      <w:r>
        <w:rPr>
          <w:rFonts w:ascii="Verdana" w:hAnsi="Verdana" w:cs="Arial"/>
          <w:shd w:val="clear" w:color="auto" w:fill="FFFFFF"/>
        </w:rPr>
        <w:t>Esto</w:t>
      </w:r>
      <w:r w:rsidRPr="00A81666">
        <w:rPr>
          <w:rFonts w:ascii="Verdana" w:hAnsi="Verdana" w:cs="Arial"/>
          <w:shd w:val="clear" w:color="auto" w:fill="FFFFFF"/>
        </w:rPr>
        <w:t xml:space="preserve"> tiene como objetivo garantizar la transparencia, el acceso público a la información y el control social sobre la contratación pública, permitiendo que la ciudadanía tenga acceso a los documentos en un sistema unificado y oficial, el SECOP II o la plataforma transaccional que haga sus veces en el futuro.</w:t>
      </w:r>
    </w:p>
    <w:p w14:paraId="3D4A8566" w14:textId="77777777" w:rsidR="00F17DB5" w:rsidRPr="00DE35B7" w:rsidRDefault="00F17DB5" w:rsidP="00F17DB5">
      <w:pPr>
        <w:tabs>
          <w:tab w:val="left" w:pos="709"/>
        </w:tabs>
        <w:spacing w:before="120" w:after="120" w:line="276" w:lineRule="auto"/>
        <w:ind w:firstLine="709"/>
        <w:jc w:val="both"/>
        <w:rPr>
          <w:rFonts w:ascii="Verdana" w:hAnsi="Verdana" w:cs="Arial"/>
          <w:shd w:val="clear" w:color="auto" w:fill="FFFFFF"/>
        </w:rPr>
      </w:pPr>
      <w:r>
        <w:rPr>
          <w:rFonts w:ascii="Verdana" w:hAnsi="Verdana" w:cs="Arial"/>
          <w:shd w:val="clear" w:color="auto" w:fill="FFFFFF"/>
        </w:rPr>
        <w:t>Por último,</w:t>
      </w:r>
      <w:r w:rsidRPr="00DE35B7">
        <w:rPr>
          <w:rFonts w:ascii="Verdana" w:hAnsi="Verdana" w:cs="Arial"/>
          <w:shd w:val="clear" w:color="auto" w:fill="FFFFFF"/>
        </w:rPr>
        <w:t xml:space="preserve"> se precisa, que corresponderá a la Entidad Estatal, previo concepto de sus órganos asesores, dar cumplimiento a la publicación de los </w:t>
      </w:r>
      <w:r w:rsidRPr="00DE35B7">
        <w:rPr>
          <w:rFonts w:ascii="Verdana" w:hAnsi="Verdana" w:cs="Arial"/>
          <w:shd w:val="clear" w:color="auto" w:fill="FFFFFF"/>
        </w:rPr>
        <w:lastRenderedPageBreak/>
        <w:t xml:space="preserve">documentos que expiden dentro de un Proceso de Contratación en el SECOP, en cumplimiento de las disposiciones legales y reglamentarias. La responsabilidad de la información relacionada con los Procesos de Contratación contenidos en SECOP, es únicamente de la entidad contratante y sus funcionarios. </w:t>
      </w:r>
    </w:p>
    <w:p w14:paraId="6EEC72EB" w14:textId="77777777" w:rsidR="00F17DB5" w:rsidRDefault="00F17DB5" w:rsidP="00F17DB5">
      <w:pPr>
        <w:widowControl w:val="0"/>
        <w:autoSpaceDE w:val="0"/>
        <w:autoSpaceDN w:val="0"/>
        <w:spacing w:after="0" w:line="276" w:lineRule="auto"/>
        <w:jc w:val="both"/>
        <w:rPr>
          <w:rFonts w:ascii="Verdana" w:hAnsi="Verdana" w:cs="Arial"/>
        </w:rPr>
      </w:pPr>
    </w:p>
    <w:p w14:paraId="00018B8C" w14:textId="77777777" w:rsidR="00F17DB5" w:rsidRPr="00593A5F" w:rsidRDefault="00F17DB5" w:rsidP="00F17DB5">
      <w:pPr>
        <w:widowControl w:val="0"/>
        <w:autoSpaceDE w:val="0"/>
        <w:autoSpaceDN w:val="0"/>
        <w:spacing w:after="0" w:line="276" w:lineRule="auto"/>
        <w:jc w:val="both"/>
        <w:rPr>
          <w:rFonts w:ascii="Verdana" w:hAnsi="Verdana" w:cs="Arial"/>
        </w:rPr>
      </w:pPr>
    </w:p>
    <w:p w14:paraId="56533C2B" w14:textId="77777777" w:rsidR="00F17DB5" w:rsidRPr="00593A5F" w:rsidRDefault="00F17DB5" w:rsidP="00F17DB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238344F" w14:textId="77777777" w:rsidR="00F17DB5" w:rsidRPr="00593A5F" w:rsidRDefault="00F17DB5" w:rsidP="00F17DB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17DB5" w:rsidRPr="00593A5F" w14:paraId="715AD089" w14:textId="77777777" w:rsidTr="00C40146">
        <w:trPr>
          <w:trHeight w:val="870"/>
        </w:trPr>
        <w:tc>
          <w:tcPr>
            <w:tcW w:w="8647" w:type="dxa"/>
          </w:tcPr>
          <w:p w14:paraId="513B979C" w14:textId="77777777" w:rsidR="00F17DB5" w:rsidRPr="0075100A" w:rsidRDefault="00F17DB5" w:rsidP="00F17DB5">
            <w:pPr>
              <w:widowControl w:val="0"/>
              <w:numPr>
                <w:ilvl w:val="0"/>
                <w:numId w:val="17"/>
              </w:numPr>
              <w:autoSpaceDE w:val="0"/>
              <w:autoSpaceDN w:val="0"/>
              <w:spacing w:line="276" w:lineRule="auto"/>
              <w:contextualSpacing/>
              <w:jc w:val="both"/>
              <w:rPr>
                <w:rFonts w:ascii="Verdana" w:eastAsia="Calibri" w:hAnsi="Verdana" w:cs="Arial"/>
                <w:lang w:val="es-ES"/>
              </w:rPr>
            </w:pPr>
            <w:r w:rsidRPr="0075100A">
              <w:rPr>
                <w:rFonts w:ascii="Verdana" w:eastAsia="Calibri" w:hAnsi="Verdana" w:cs="Arial"/>
                <w:lang w:val="es-ES"/>
              </w:rPr>
              <w:t>Constitución Política. Artículos 74 y 209</w:t>
            </w:r>
          </w:p>
          <w:p w14:paraId="76341E80" w14:textId="77777777" w:rsidR="00F17DB5" w:rsidRPr="0075100A" w:rsidRDefault="00F17DB5" w:rsidP="00F17DB5">
            <w:pPr>
              <w:widowControl w:val="0"/>
              <w:numPr>
                <w:ilvl w:val="0"/>
                <w:numId w:val="17"/>
              </w:numPr>
              <w:autoSpaceDE w:val="0"/>
              <w:autoSpaceDN w:val="0"/>
              <w:spacing w:line="276" w:lineRule="auto"/>
              <w:contextualSpacing/>
              <w:jc w:val="both"/>
              <w:rPr>
                <w:rFonts w:ascii="Verdana" w:eastAsia="Calibri" w:hAnsi="Verdana" w:cs="Arial"/>
                <w:lang w:val="es-ES"/>
              </w:rPr>
            </w:pPr>
            <w:r w:rsidRPr="0075100A">
              <w:rPr>
                <w:rFonts w:ascii="Verdana" w:eastAsia="Calibri" w:hAnsi="Verdana" w:cs="Arial"/>
                <w:lang w:val="es-ES"/>
              </w:rPr>
              <w:t>Ley 1150 de 2007. Literal c), artículo 3</w:t>
            </w:r>
          </w:p>
          <w:p w14:paraId="488304BE" w14:textId="73EF8360" w:rsidR="00F17DB5" w:rsidRPr="0075100A" w:rsidRDefault="00F17DB5" w:rsidP="00F17DB5">
            <w:pPr>
              <w:widowControl w:val="0"/>
              <w:numPr>
                <w:ilvl w:val="0"/>
                <w:numId w:val="17"/>
              </w:numPr>
              <w:autoSpaceDE w:val="0"/>
              <w:autoSpaceDN w:val="0"/>
              <w:spacing w:line="276" w:lineRule="auto"/>
              <w:contextualSpacing/>
              <w:jc w:val="both"/>
              <w:rPr>
                <w:rFonts w:ascii="Verdana" w:eastAsia="Calibri" w:hAnsi="Verdana" w:cs="Arial"/>
                <w:lang w:val="es-ES"/>
              </w:rPr>
            </w:pPr>
            <w:r w:rsidRPr="0075100A">
              <w:rPr>
                <w:rFonts w:ascii="Verdana" w:eastAsia="Calibri" w:hAnsi="Verdana" w:cs="Arial"/>
                <w:lang w:val="es-ES"/>
              </w:rPr>
              <w:t>Ley 1712 de 2014. artículo</w:t>
            </w:r>
            <w:r w:rsidR="00CF6E08">
              <w:rPr>
                <w:rFonts w:ascii="Verdana" w:eastAsia="Calibri" w:hAnsi="Verdana" w:cs="Arial"/>
                <w:lang w:val="es-ES"/>
              </w:rPr>
              <w:t>s</w:t>
            </w:r>
            <w:r w:rsidRPr="0075100A">
              <w:rPr>
                <w:rFonts w:ascii="Verdana" w:eastAsia="Calibri" w:hAnsi="Verdana" w:cs="Arial"/>
                <w:lang w:val="es-ES"/>
              </w:rPr>
              <w:t xml:space="preserve"> </w:t>
            </w:r>
            <w:r w:rsidR="00CF6E08" w:rsidRPr="0075100A">
              <w:rPr>
                <w:rFonts w:ascii="Verdana" w:eastAsia="Calibri" w:hAnsi="Verdana" w:cs="Arial"/>
                <w:lang w:val="es-ES"/>
              </w:rPr>
              <w:t>5</w:t>
            </w:r>
            <w:r w:rsidR="00CF6E08">
              <w:rPr>
                <w:rFonts w:ascii="Verdana" w:eastAsia="Calibri" w:hAnsi="Verdana" w:cs="Arial"/>
                <w:lang w:val="es-ES"/>
              </w:rPr>
              <w:t xml:space="preserve">, </w:t>
            </w:r>
            <w:r w:rsidRPr="0075100A">
              <w:rPr>
                <w:rFonts w:ascii="Verdana" w:eastAsia="Calibri" w:hAnsi="Verdana" w:cs="Arial"/>
                <w:lang w:val="es-ES"/>
              </w:rPr>
              <w:t>9</w:t>
            </w:r>
            <w:r w:rsidR="00CF6E08" w:rsidRPr="0075100A">
              <w:rPr>
                <w:rFonts w:ascii="Verdana" w:eastAsia="Calibri" w:hAnsi="Verdana" w:cs="Arial"/>
                <w:lang w:val="es-ES"/>
              </w:rPr>
              <w:t xml:space="preserve"> </w:t>
            </w:r>
            <w:r w:rsidR="00CF6E08" w:rsidRPr="0075100A">
              <w:rPr>
                <w:rFonts w:ascii="Verdana" w:eastAsia="Calibri" w:hAnsi="Verdana" w:cs="Arial"/>
                <w:lang w:val="es-ES"/>
              </w:rPr>
              <w:t>Literal e),</w:t>
            </w:r>
            <w:r w:rsidR="00CF6E08">
              <w:rPr>
                <w:rFonts w:ascii="Verdana" w:eastAsia="Calibri" w:hAnsi="Verdana" w:cs="Arial"/>
                <w:lang w:val="es-ES"/>
              </w:rPr>
              <w:t xml:space="preserve"> y</w:t>
            </w:r>
            <w:r w:rsidR="00CF6E08" w:rsidRPr="0075100A">
              <w:rPr>
                <w:rFonts w:ascii="Verdana" w:eastAsia="Calibri" w:hAnsi="Verdana" w:cs="Arial"/>
                <w:lang w:val="es-ES"/>
              </w:rPr>
              <w:t xml:space="preserve"> </w:t>
            </w:r>
            <w:r w:rsidR="00CF6E08" w:rsidRPr="0075100A">
              <w:rPr>
                <w:rFonts w:ascii="Verdana" w:eastAsia="Calibri" w:hAnsi="Verdana" w:cs="Arial"/>
                <w:lang w:val="es-ES"/>
              </w:rPr>
              <w:t>11 Literal g)</w:t>
            </w:r>
            <w:r w:rsidR="00CF6E08">
              <w:rPr>
                <w:rFonts w:ascii="Verdana" w:eastAsia="Calibri" w:hAnsi="Verdana" w:cs="Arial"/>
                <w:lang w:val="es-ES"/>
              </w:rPr>
              <w:t>.</w:t>
            </w:r>
          </w:p>
          <w:p w14:paraId="47535BB5" w14:textId="77777777" w:rsidR="00F17DB5" w:rsidRPr="0075100A" w:rsidRDefault="00F17DB5" w:rsidP="00F17DB5">
            <w:pPr>
              <w:widowControl w:val="0"/>
              <w:numPr>
                <w:ilvl w:val="0"/>
                <w:numId w:val="17"/>
              </w:numPr>
              <w:autoSpaceDE w:val="0"/>
              <w:autoSpaceDN w:val="0"/>
              <w:spacing w:line="276" w:lineRule="auto"/>
              <w:contextualSpacing/>
              <w:jc w:val="both"/>
              <w:rPr>
                <w:rFonts w:ascii="Verdana" w:eastAsia="Calibri" w:hAnsi="Verdana" w:cs="Arial"/>
                <w:lang w:val="es-ES"/>
              </w:rPr>
            </w:pPr>
            <w:r w:rsidRPr="0075100A">
              <w:rPr>
                <w:rFonts w:ascii="Verdana" w:eastAsia="Calibri" w:hAnsi="Verdana" w:cs="Arial"/>
                <w:lang w:val="es-ES"/>
              </w:rPr>
              <w:t>Ley 2195 de 2022. Artículo 53</w:t>
            </w:r>
          </w:p>
          <w:p w14:paraId="63F21075" w14:textId="77777777" w:rsidR="00F17DB5" w:rsidRPr="0075100A" w:rsidRDefault="00F17DB5" w:rsidP="00F17DB5">
            <w:pPr>
              <w:widowControl w:val="0"/>
              <w:numPr>
                <w:ilvl w:val="0"/>
                <w:numId w:val="17"/>
              </w:numPr>
              <w:autoSpaceDE w:val="0"/>
              <w:autoSpaceDN w:val="0"/>
              <w:spacing w:line="276" w:lineRule="auto"/>
              <w:contextualSpacing/>
              <w:jc w:val="both"/>
              <w:rPr>
                <w:rFonts w:ascii="Verdana" w:eastAsia="Calibri" w:hAnsi="Verdana" w:cs="Arial"/>
                <w:lang w:val="es-ES"/>
              </w:rPr>
            </w:pPr>
            <w:r w:rsidRPr="0075100A">
              <w:rPr>
                <w:rFonts w:ascii="Verdana" w:eastAsia="Calibri" w:hAnsi="Verdana" w:cs="Arial"/>
                <w:lang w:val="es-ES"/>
              </w:rPr>
              <w:t xml:space="preserve">Decreto 1081 de 2015. Artículo </w:t>
            </w:r>
            <w:r w:rsidRPr="0075100A">
              <w:rPr>
                <w:rStyle w:val="eop"/>
                <w:rFonts w:ascii="Verdana" w:hAnsi="Verdana"/>
                <w:color w:val="000000"/>
                <w:shd w:val="clear" w:color="auto" w:fill="FFFFFF"/>
              </w:rPr>
              <w:t>2.1.1.2.1.7</w:t>
            </w:r>
          </w:p>
          <w:p w14:paraId="586E534F" w14:textId="77777777" w:rsidR="00F17DB5" w:rsidRPr="0075100A" w:rsidRDefault="00F17DB5" w:rsidP="00F17DB5">
            <w:pPr>
              <w:widowControl w:val="0"/>
              <w:numPr>
                <w:ilvl w:val="0"/>
                <w:numId w:val="17"/>
              </w:numPr>
              <w:autoSpaceDE w:val="0"/>
              <w:autoSpaceDN w:val="0"/>
              <w:spacing w:line="276" w:lineRule="auto"/>
              <w:contextualSpacing/>
              <w:jc w:val="both"/>
              <w:rPr>
                <w:rFonts w:ascii="Verdana" w:eastAsia="Calibri" w:hAnsi="Verdana" w:cs="Arial"/>
                <w:lang w:val="es-ES"/>
              </w:rPr>
            </w:pPr>
            <w:r w:rsidRPr="0075100A">
              <w:rPr>
                <w:rFonts w:ascii="Verdana" w:eastAsia="Calibri" w:hAnsi="Verdana" w:cs="Arial"/>
                <w:lang w:val="es-ES"/>
              </w:rPr>
              <w:t xml:space="preserve">Decreto 1082 de 2015. Artículo </w:t>
            </w:r>
            <w:r w:rsidRPr="0075100A">
              <w:rPr>
                <w:rStyle w:val="eop"/>
                <w:rFonts w:ascii="Verdana" w:hAnsi="Verdana"/>
                <w:color w:val="000000"/>
                <w:shd w:val="clear" w:color="auto" w:fill="FFFFFF"/>
              </w:rPr>
              <w:t>2.2.1.1.1.7.1</w:t>
            </w:r>
          </w:p>
          <w:p w14:paraId="1B7EF2BD" w14:textId="77777777" w:rsidR="00F17DB5" w:rsidRPr="0075100A" w:rsidRDefault="00F17DB5" w:rsidP="00F17DB5">
            <w:pPr>
              <w:widowControl w:val="0"/>
              <w:numPr>
                <w:ilvl w:val="0"/>
                <w:numId w:val="17"/>
              </w:numPr>
              <w:autoSpaceDE w:val="0"/>
              <w:autoSpaceDN w:val="0"/>
              <w:spacing w:line="276" w:lineRule="auto"/>
              <w:contextualSpacing/>
              <w:jc w:val="both"/>
              <w:rPr>
                <w:rFonts w:ascii="Verdana" w:eastAsia="Aptos" w:hAnsi="Verdana" w:cs="Arial"/>
              </w:rPr>
            </w:pPr>
            <w:r w:rsidRPr="0075100A">
              <w:rPr>
                <w:rFonts w:ascii="Verdana" w:eastAsia="Calibri" w:hAnsi="Verdana" w:cs="Arial"/>
                <w:lang w:val="es-ES"/>
              </w:rPr>
              <w:t xml:space="preserve">Colombia Compra Eficiente, Circular Externa Única, disponible </w:t>
            </w:r>
            <w:hyperlink r:id="rId12" w:history="1">
              <w:r w:rsidRPr="0075100A">
                <w:rPr>
                  <w:rStyle w:val="Hipervnculo"/>
                  <w:rFonts w:ascii="Verdana" w:eastAsia="Calibri" w:hAnsi="Verdana" w:cs="Arial"/>
                  <w:lang w:val="es-ES"/>
                </w:rPr>
                <w:t>aquí</w:t>
              </w:r>
            </w:hyperlink>
          </w:p>
          <w:p w14:paraId="70330BDB" w14:textId="77777777" w:rsidR="00F17DB5" w:rsidRPr="00AC742F" w:rsidRDefault="00F17DB5" w:rsidP="00F17DB5">
            <w:pPr>
              <w:pStyle w:val="Prrafodelista"/>
              <w:widowControl w:val="0"/>
              <w:numPr>
                <w:ilvl w:val="0"/>
                <w:numId w:val="17"/>
              </w:numPr>
              <w:autoSpaceDE w:val="0"/>
              <w:autoSpaceDN w:val="0"/>
              <w:spacing w:line="276" w:lineRule="auto"/>
              <w:jc w:val="both"/>
              <w:rPr>
                <w:rFonts w:ascii="Verdana" w:hAnsi="Verdana" w:cs="Arial"/>
              </w:rPr>
            </w:pPr>
            <w:r w:rsidRPr="0075100A">
              <w:rPr>
                <w:rFonts w:ascii="Verdana" w:eastAsia="Calibri" w:hAnsi="Verdana" w:cs="Arial"/>
              </w:rPr>
              <w:t>Colombia Compra Eficiente, Circular Externa No. 003 de 2024.</w:t>
            </w:r>
          </w:p>
        </w:tc>
      </w:tr>
    </w:tbl>
    <w:p w14:paraId="43FEFAE6" w14:textId="77777777" w:rsidR="00F17DB5" w:rsidRPr="00593A5F" w:rsidRDefault="00F17DB5" w:rsidP="00F17DB5">
      <w:pPr>
        <w:widowControl w:val="0"/>
        <w:autoSpaceDE w:val="0"/>
        <w:autoSpaceDN w:val="0"/>
        <w:spacing w:after="0" w:line="276" w:lineRule="auto"/>
        <w:jc w:val="both"/>
        <w:rPr>
          <w:rFonts w:ascii="Verdana" w:hAnsi="Verdana" w:cs="Arial"/>
        </w:rPr>
      </w:pPr>
    </w:p>
    <w:p w14:paraId="27EC2F62" w14:textId="77777777" w:rsidR="00F17DB5" w:rsidRPr="00593A5F" w:rsidRDefault="00F17DB5" w:rsidP="00F17DB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AE296AC" w14:textId="77777777" w:rsidR="00F17DB5" w:rsidRPr="00593A5F" w:rsidRDefault="00F17DB5" w:rsidP="00F17DB5">
      <w:pPr>
        <w:widowControl w:val="0"/>
        <w:autoSpaceDE w:val="0"/>
        <w:autoSpaceDN w:val="0"/>
        <w:spacing w:after="0" w:line="276" w:lineRule="auto"/>
        <w:jc w:val="both"/>
        <w:rPr>
          <w:rFonts w:ascii="Verdana" w:hAnsi="Verdana" w:cs="Arial"/>
        </w:rPr>
      </w:pPr>
    </w:p>
    <w:p w14:paraId="51BB16AE" w14:textId="77777777" w:rsidR="00F17DB5" w:rsidRDefault="00F17DB5" w:rsidP="00F17DB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47490F">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47490F">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w:t>
      </w:r>
      <w:r>
        <w:rPr>
          <w:rFonts w:ascii="Verdana" w:eastAsia="Calibri" w:hAnsi="Verdana" w:cs="Arial"/>
          <w:lang w:val="es-ES_tradnl" w:eastAsia="es-MX"/>
        </w:rPr>
        <w:t>,</w:t>
      </w:r>
      <w:r w:rsidRPr="0047490F">
        <w:rPr>
          <w:rFonts w:ascii="Verdana" w:eastAsia="Calibri" w:hAnsi="Verdana" w:cs="Arial"/>
          <w:lang w:val="es-ES_tradnl" w:eastAsia="es-MX"/>
        </w:rPr>
        <w:t xml:space="preserve"> C-472 del 6 de septiembre de 2021</w:t>
      </w:r>
      <w:r>
        <w:rPr>
          <w:rFonts w:ascii="Verdana" w:eastAsia="Calibri" w:hAnsi="Verdana" w:cs="Arial"/>
          <w:lang w:val="es-ES_tradnl" w:eastAsia="es-MX"/>
        </w:rPr>
        <w:t xml:space="preserve"> y C-804 de 2024</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3"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1161F505" w14:textId="77777777" w:rsidR="00F17DB5" w:rsidRDefault="00F17DB5" w:rsidP="00F17DB5">
      <w:pPr>
        <w:spacing w:after="0" w:line="240" w:lineRule="auto"/>
        <w:jc w:val="both"/>
        <w:rPr>
          <w:rFonts w:ascii="Verdana" w:hAnsi="Verdana" w:cs="Arial"/>
          <w:color w:val="000000" w:themeColor="text1"/>
          <w:shd w:val="clear" w:color="auto" w:fill="FFFFFF"/>
        </w:rPr>
      </w:pPr>
      <w:r w:rsidRPr="00F84978">
        <w:rPr>
          <w:rFonts w:ascii="Verdana" w:hAnsi="Verdana" w:cs="Arial"/>
          <w:color w:val="000000" w:themeColor="text1"/>
          <w:shd w:val="clear" w:color="auto" w:fill="FFFFFF"/>
        </w:rPr>
        <w:b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76017231" w14:textId="77777777" w:rsidR="00F17DB5" w:rsidRPr="00F84978" w:rsidRDefault="00F17DB5" w:rsidP="00F17DB5">
      <w:pPr>
        <w:spacing w:after="0" w:line="240" w:lineRule="auto"/>
        <w:jc w:val="both"/>
        <w:rPr>
          <w:rFonts w:ascii="Verdana" w:hAnsi="Verdana" w:cs="Arial"/>
          <w:color w:val="000000" w:themeColor="text1"/>
          <w:shd w:val="clear" w:color="auto" w:fill="FFFFFF"/>
        </w:rPr>
      </w:pPr>
    </w:p>
    <w:p w14:paraId="3086B68A" w14:textId="77777777" w:rsidR="00F17DB5" w:rsidRPr="00F84978" w:rsidRDefault="00F17DB5" w:rsidP="00F17DB5">
      <w:pPr>
        <w:numPr>
          <w:ilvl w:val="0"/>
          <w:numId w:val="18"/>
        </w:numPr>
        <w:spacing w:after="0" w:line="240" w:lineRule="auto"/>
        <w:jc w:val="both"/>
        <w:rPr>
          <w:rFonts w:ascii="Verdana" w:hAnsi="Verdana" w:cs="Arial"/>
          <w:color w:val="000000" w:themeColor="text1"/>
          <w:shd w:val="clear" w:color="auto" w:fill="FFFFFF"/>
        </w:rPr>
      </w:pPr>
      <w:r w:rsidRPr="00F84978">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4" w:tgtFrame="_blank" w:tooltip="Dirección URL original: https://www.colombiacompra.gov.co/content/03-documentos-tipo-para-los-procesos-de-seleccion-de-interventoria-de-obra-publica-de. Haga clic o pulse si confía en este vínculo." w:history="1">
        <w:r w:rsidRPr="00F84978">
          <w:rPr>
            <w:rStyle w:val="Hipervnculo"/>
            <w:rFonts w:ascii="Verdana" w:hAnsi="Verdana" w:cs="Arial"/>
            <w:shd w:val="clear" w:color="auto" w:fill="FFFFFF"/>
          </w:rPr>
          <w:t xml:space="preserve">03. </w:t>
        </w:r>
        <w:r w:rsidRPr="00F84978">
          <w:rPr>
            <w:rStyle w:val="Hipervnculo"/>
            <w:rFonts w:ascii="Verdana" w:hAnsi="Verdana" w:cs="Arial"/>
            <w:shd w:val="clear" w:color="auto" w:fill="FFFFFF"/>
          </w:rPr>
          <w:lastRenderedPageBreak/>
          <w:t>Documentos tipo para los procesos de selección de interventoría de obra pública de infraestructura de transporte – versión 3 | Colombia Compra Eficiente | Agencia Nacional de Contratación Pública</w:t>
        </w:r>
      </w:hyperlink>
    </w:p>
    <w:p w14:paraId="3B15A5F9" w14:textId="77777777" w:rsidR="00F17DB5" w:rsidRPr="00F84978" w:rsidRDefault="00F17DB5" w:rsidP="00F17DB5">
      <w:pPr>
        <w:spacing w:after="0" w:line="240" w:lineRule="auto"/>
        <w:ind w:left="720"/>
        <w:jc w:val="both"/>
        <w:rPr>
          <w:rFonts w:ascii="Verdana" w:hAnsi="Verdana" w:cs="Arial"/>
          <w:color w:val="000000" w:themeColor="text1"/>
          <w:shd w:val="clear" w:color="auto" w:fill="FFFFFF"/>
        </w:rPr>
      </w:pPr>
    </w:p>
    <w:p w14:paraId="488D1321" w14:textId="77777777" w:rsidR="00F17DB5" w:rsidRPr="00F84978" w:rsidRDefault="00F17DB5" w:rsidP="00F17DB5">
      <w:pPr>
        <w:numPr>
          <w:ilvl w:val="0"/>
          <w:numId w:val="18"/>
        </w:numPr>
        <w:spacing w:after="0" w:line="240" w:lineRule="auto"/>
        <w:jc w:val="both"/>
        <w:rPr>
          <w:rFonts w:ascii="Verdana" w:hAnsi="Verdana" w:cs="Arial"/>
          <w:color w:val="000000" w:themeColor="text1"/>
          <w:shd w:val="clear" w:color="auto" w:fill="FFFFFF"/>
        </w:rPr>
      </w:pPr>
      <w:r w:rsidRPr="00F84978">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F84978">
        <w:rPr>
          <w:rFonts w:ascii="Verdana" w:hAnsi="Verdana" w:cs="Arial"/>
          <w:color w:val="000000" w:themeColor="text1"/>
          <w:shd w:val="clear" w:color="auto" w:fill="FFFFFF"/>
        </w:rPr>
        <w:t> </w:t>
      </w:r>
      <w:hyperlink r:id="rId15" w:tgtFrame="_blank" w:tooltip="Dirección URL original: https://www.colombiacompra.gov.co/content/02-documentos-tipo-para-los-procesos-de-seleccion-de-consultoria-de-obra-publica-de. Haga clic o pulse si confía en este vínculo." w:history="1">
        <w:r w:rsidRPr="00F84978">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6723B260" w14:textId="77777777" w:rsidR="00F17DB5" w:rsidRPr="00F84978" w:rsidRDefault="00F17DB5" w:rsidP="00F17DB5">
      <w:pPr>
        <w:spacing w:after="0" w:line="240" w:lineRule="auto"/>
        <w:ind w:left="720"/>
        <w:jc w:val="both"/>
        <w:rPr>
          <w:rFonts w:ascii="Verdana" w:hAnsi="Verdana" w:cs="Arial"/>
          <w:color w:val="000000" w:themeColor="text1"/>
          <w:shd w:val="clear" w:color="auto" w:fill="FFFFFF"/>
        </w:rPr>
      </w:pPr>
    </w:p>
    <w:p w14:paraId="5F7F0176" w14:textId="77777777" w:rsidR="00F17DB5" w:rsidRDefault="00F17DB5" w:rsidP="00F17DB5">
      <w:pPr>
        <w:spacing w:after="0" w:line="240" w:lineRule="auto"/>
        <w:jc w:val="both"/>
        <w:rPr>
          <w:rFonts w:ascii="Verdana" w:hAnsi="Verdana" w:cs="Arial"/>
          <w:color w:val="000000" w:themeColor="text1"/>
          <w:shd w:val="clear" w:color="auto" w:fill="FFFFFF"/>
          <w:lang w:val="es-ES"/>
        </w:rPr>
      </w:pPr>
      <w:r w:rsidRPr="00F84978">
        <w:rPr>
          <w:rFonts w:ascii="Verdana" w:hAnsi="Verdana" w:cs="Arial"/>
          <w:color w:val="000000" w:themeColor="text1"/>
          <w:shd w:val="clear" w:color="auto" w:fill="FFFFFF"/>
        </w:rPr>
        <w:t>También, te contamos que ya publicamos </w:t>
      </w:r>
      <w:r w:rsidRPr="00F84978">
        <w:rPr>
          <w:rFonts w:ascii="Verdana" w:hAnsi="Verdana" w:cs="Arial"/>
          <w:b/>
          <w:bCs/>
          <w:color w:val="000000" w:themeColor="text1"/>
          <w:shd w:val="clear" w:color="auto" w:fill="FFFFFF"/>
        </w:rPr>
        <w:t>la nueva Guía de Contratación Pública Sostenible y Socialmente Responsable</w:t>
      </w:r>
      <w:r w:rsidRPr="00F84978">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6" w:tgtFrame="_blank" w:tooltip="Dirección URL original: https://www.colombiacompra.gov.co/manuales-guias-y-pliegos-tipo/manuales-y-guias/guia-de-contratacion-publica-sostenible-y-socialmente. Haga clic o pulse si confía en este vínculo." w:history="1">
        <w:r w:rsidRPr="00F84978">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2667FDFC" w14:textId="77777777" w:rsidR="00F17DB5" w:rsidRPr="00F84978" w:rsidRDefault="00F17DB5" w:rsidP="00F17DB5">
      <w:pPr>
        <w:spacing w:after="0" w:line="240" w:lineRule="auto"/>
        <w:jc w:val="both"/>
        <w:rPr>
          <w:rFonts w:ascii="Verdana" w:hAnsi="Verdana" w:cs="Arial"/>
          <w:color w:val="000000" w:themeColor="text1"/>
          <w:shd w:val="clear" w:color="auto" w:fill="FFFFFF"/>
        </w:rPr>
      </w:pPr>
    </w:p>
    <w:p w14:paraId="7E877885" w14:textId="77777777" w:rsidR="00F17DB5" w:rsidRPr="003E2460" w:rsidRDefault="00F17DB5" w:rsidP="00F17DB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E278D90" w14:textId="77777777" w:rsidR="00F17DB5" w:rsidRPr="003E2460" w:rsidRDefault="00F17DB5" w:rsidP="00F17DB5">
      <w:pPr>
        <w:spacing w:after="0" w:line="240" w:lineRule="auto"/>
        <w:jc w:val="both"/>
        <w:rPr>
          <w:rFonts w:ascii="Verdana" w:hAnsi="Verdana"/>
        </w:rPr>
      </w:pPr>
    </w:p>
    <w:p w14:paraId="3E6EA1E8" w14:textId="77777777" w:rsidR="00F17DB5" w:rsidRPr="003E2460" w:rsidRDefault="00F17DB5" w:rsidP="00F17DB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35461DE5" w14:textId="77777777" w:rsidR="00F17DB5" w:rsidRPr="003E2460" w:rsidRDefault="00F17DB5" w:rsidP="00F17DB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5DF5A126" w14:textId="77777777" w:rsidR="00F17DB5" w:rsidRPr="003E2460" w:rsidRDefault="00F17DB5" w:rsidP="00F17DB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334092B" w14:textId="77777777" w:rsidR="00F17DB5" w:rsidRPr="00593A5F" w:rsidRDefault="00F17DB5" w:rsidP="00F17DB5">
      <w:pPr>
        <w:widowControl w:val="0"/>
        <w:autoSpaceDE w:val="0"/>
        <w:autoSpaceDN w:val="0"/>
        <w:spacing w:after="0" w:line="276" w:lineRule="auto"/>
        <w:jc w:val="both"/>
        <w:rPr>
          <w:rFonts w:ascii="Verdana" w:hAnsi="Verdana" w:cs="Arial"/>
        </w:rPr>
      </w:pPr>
    </w:p>
    <w:p w14:paraId="6E5092B5" w14:textId="77777777" w:rsidR="00F17DB5" w:rsidRPr="00593A5F" w:rsidRDefault="00F17DB5" w:rsidP="00F17DB5">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4190CA9" w14:textId="77777777" w:rsidR="00F17DB5" w:rsidRPr="00593A5F" w:rsidRDefault="00F17DB5" w:rsidP="00F17DB5">
      <w:pPr>
        <w:widowControl w:val="0"/>
        <w:autoSpaceDE w:val="0"/>
        <w:autoSpaceDN w:val="0"/>
        <w:spacing w:after="0" w:line="276" w:lineRule="auto"/>
        <w:jc w:val="both"/>
        <w:rPr>
          <w:rFonts w:ascii="Verdana" w:hAnsi="Verdana" w:cs="Arial"/>
        </w:rPr>
      </w:pPr>
    </w:p>
    <w:p w14:paraId="7007803D" w14:textId="77777777" w:rsidR="00F17DB5" w:rsidRPr="00593A5F" w:rsidRDefault="00F17DB5" w:rsidP="00F17DB5">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ACFA3FC" w14:textId="6D6D58D4" w:rsidR="00F17DB5" w:rsidRPr="00593A5F" w:rsidRDefault="004E1A2D" w:rsidP="00F17DB5">
      <w:pPr>
        <w:spacing w:line="276" w:lineRule="auto"/>
        <w:jc w:val="center"/>
        <w:rPr>
          <w:rFonts w:ascii="Verdana" w:hAnsi="Verdana" w:cs="Arial"/>
          <w:color w:val="000000"/>
          <w:lang w:val="es-ES_tradnl" w:eastAsia="es-CO"/>
        </w:rPr>
      </w:pPr>
      <w:r>
        <w:rPr>
          <w:noProof/>
        </w:rPr>
        <w:drawing>
          <wp:inline distT="0" distB="0" distL="0" distR="0" wp14:anchorId="648351AB" wp14:editId="621AEA71">
            <wp:extent cx="3771429" cy="1400000"/>
            <wp:effectExtent l="0" t="0" r="635" b="0"/>
            <wp:docPr id="142888893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88933" name="Imagen 1" descr="Texto&#10;&#10;Descripción generada automáticamente"/>
                    <pic:cNvPicPr/>
                  </pic:nvPicPr>
                  <pic:blipFill>
                    <a:blip r:embed="rId17"/>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17DB5" w:rsidRPr="00417598" w14:paraId="24D5BF14" w14:textId="77777777" w:rsidTr="00C40146">
        <w:trPr>
          <w:trHeight w:val="315"/>
        </w:trPr>
        <w:tc>
          <w:tcPr>
            <w:tcW w:w="893" w:type="dxa"/>
            <w:vAlign w:val="center"/>
            <w:hideMark/>
          </w:tcPr>
          <w:p w14:paraId="3AD2F641" w14:textId="77777777" w:rsidR="00F17DB5" w:rsidRPr="00417598" w:rsidRDefault="00F17DB5" w:rsidP="00C40146">
            <w:pPr>
              <w:contextualSpacing/>
              <w:rPr>
                <w:rFonts w:ascii="Verdana" w:hAnsi="Verdana" w:cs="Arial"/>
                <w:sz w:val="16"/>
                <w:szCs w:val="16"/>
                <w:lang w:val="es-ES" w:eastAsia="es-ES"/>
              </w:rPr>
            </w:pPr>
            <w:r w:rsidRPr="00417598">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4A3DF142" w14:textId="77777777" w:rsidR="00F17DB5" w:rsidRPr="00417598" w:rsidRDefault="00F17DB5" w:rsidP="00C40146">
            <w:pPr>
              <w:contextualSpacing/>
              <w:rPr>
                <w:rStyle w:val="normaltextrun"/>
                <w:rFonts w:ascii="Verdana" w:hAnsi="Verdana"/>
                <w:sz w:val="16"/>
                <w:szCs w:val="16"/>
              </w:rPr>
            </w:pPr>
            <w:r w:rsidRPr="00417598">
              <w:rPr>
                <w:rStyle w:val="normaltextrun"/>
                <w:rFonts w:ascii="Verdana" w:hAnsi="Verdana"/>
                <w:sz w:val="16"/>
                <w:szCs w:val="16"/>
              </w:rPr>
              <w:t>Santiago Alberto Herrera Morillo</w:t>
            </w:r>
          </w:p>
          <w:p w14:paraId="455D3C0E" w14:textId="77777777" w:rsidR="00F17DB5" w:rsidRPr="00417598" w:rsidRDefault="00F17DB5" w:rsidP="00C40146">
            <w:pPr>
              <w:contextualSpacing/>
              <w:rPr>
                <w:rFonts w:ascii="Verdana" w:eastAsia="Arial" w:hAnsi="Verdana" w:cs="Arial"/>
                <w:sz w:val="16"/>
                <w:szCs w:val="16"/>
              </w:rPr>
            </w:pPr>
            <w:r w:rsidRPr="00417598">
              <w:rPr>
                <w:rStyle w:val="normaltextrun"/>
                <w:rFonts w:ascii="Verdana" w:hAnsi="Verdana"/>
                <w:sz w:val="16"/>
                <w:szCs w:val="16"/>
              </w:rPr>
              <w:t xml:space="preserve">Analista T2-02 </w:t>
            </w:r>
            <w:r w:rsidRPr="00417598">
              <w:rPr>
                <w:rStyle w:val="normaltextrun"/>
                <w:rFonts w:ascii="Verdana" w:eastAsia="Arial" w:hAnsi="Verdana" w:cs="Arial"/>
                <w:sz w:val="16"/>
                <w:szCs w:val="16"/>
              </w:rPr>
              <w:t>de la Subdirección de Gestión Contractual</w:t>
            </w:r>
          </w:p>
        </w:tc>
      </w:tr>
      <w:tr w:rsidR="00F17DB5" w:rsidRPr="00417598" w14:paraId="4C083813" w14:textId="77777777" w:rsidTr="00C40146">
        <w:trPr>
          <w:trHeight w:val="330"/>
        </w:trPr>
        <w:tc>
          <w:tcPr>
            <w:tcW w:w="893" w:type="dxa"/>
            <w:vAlign w:val="center"/>
            <w:hideMark/>
          </w:tcPr>
          <w:p w14:paraId="37101B83" w14:textId="77777777" w:rsidR="00F17DB5" w:rsidRPr="00417598" w:rsidRDefault="00F17DB5" w:rsidP="00C40146">
            <w:pPr>
              <w:contextualSpacing/>
              <w:rPr>
                <w:rFonts w:ascii="Verdana" w:hAnsi="Verdana" w:cs="Arial"/>
                <w:sz w:val="16"/>
                <w:szCs w:val="16"/>
                <w:lang w:val="es-ES" w:eastAsia="es-ES"/>
              </w:rPr>
            </w:pPr>
            <w:r w:rsidRPr="0041759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FFC41BC" w14:textId="77777777" w:rsidR="00F17DB5" w:rsidRPr="00417598" w:rsidRDefault="00F17DB5" w:rsidP="00C40146">
            <w:pPr>
              <w:pStyle w:val="paragraph"/>
              <w:spacing w:before="0" w:beforeAutospacing="0" w:after="0" w:afterAutospacing="0"/>
              <w:contextualSpacing/>
              <w:textAlignment w:val="baseline"/>
              <w:rPr>
                <w:rStyle w:val="normaltextrun"/>
                <w:rFonts w:ascii="Verdana" w:hAnsi="Verdana" w:cs="Arial"/>
                <w:sz w:val="16"/>
                <w:szCs w:val="16"/>
                <w:lang w:val="es-ES"/>
              </w:rPr>
            </w:pPr>
            <w:r w:rsidRPr="00417598">
              <w:rPr>
                <w:rStyle w:val="normaltextrun"/>
                <w:rFonts w:ascii="Verdana" w:hAnsi="Verdana" w:cs="Arial"/>
                <w:sz w:val="16"/>
                <w:szCs w:val="16"/>
                <w:lang w:val="es-ES"/>
              </w:rPr>
              <w:t>Juan Carlos González Vásquez</w:t>
            </w:r>
          </w:p>
          <w:p w14:paraId="0B72BEA3" w14:textId="77777777" w:rsidR="00F17DB5" w:rsidRPr="00417598" w:rsidRDefault="00F17DB5" w:rsidP="00C40146">
            <w:pPr>
              <w:pStyle w:val="paragraph"/>
              <w:spacing w:before="0" w:beforeAutospacing="0" w:after="0" w:afterAutospacing="0"/>
              <w:contextualSpacing/>
              <w:textAlignment w:val="baseline"/>
              <w:rPr>
                <w:rFonts w:ascii="Verdana" w:hAnsi="Verdana" w:cs="Segoe UI"/>
                <w:sz w:val="16"/>
                <w:szCs w:val="16"/>
              </w:rPr>
            </w:pPr>
            <w:r w:rsidRPr="00417598">
              <w:rPr>
                <w:rStyle w:val="normaltextrun"/>
                <w:rFonts w:ascii="Verdana" w:hAnsi="Verdana" w:cs="Arial"/>
                <w:sz w:val="16"/>
                <w:szCs w:val="16"/>
                <w:lang w:val="es-ES"/>
              </w:rPr>
              <w:t>Contratista de la Subdirección de Gestión Contractual</w:t>
            </w:r>
            <w:r w:rsidRPr="00417598">
              <w:rPr>
                <w:rStyle w:val="eop"/>
                <w:rFonts w:ascii="Verdana" w:hAnsi="Verdana" w:cs="Arial"/>
                <w:sz w:val="16"/>
                <w:szCs w:val="16"/>
              </w:rPr>
              <w:t> </w:t>
            </w:r>
          </w:p>
        </w:tc>
      </w:tr>
      <w:tr w:rsidR="00F17DB5" w:rsidRPr="00417598" w14:paraId="42F329AE" w14:textId="77777777" w:rsidTr="00C40146">
        <w:trPr>
          <w:trHeight w:val="300"/>
        </w:trPr>
        <w:tc>
          <w:tcPr>
            <w:tcW w:w="893" w:type="dxa"/>
            <w:vAlign w:val="center"/>
          </w:tcPr>
          <w:p w14:paraId="725C07F7" w14:textId="77777777" w:rsidR="00F17DB5" w:rsidRPr="00417598" w:rsidRDefault="00F17DB5" w:rsidP="00C40146">
            <w:pPr>
              <w:contextualSpacing/>
              <w:rPr>
                <w:rFonts w:ascii="Verdana" w:hAnsi="Verdana" w:cs="Arial"/>
                <w:sz w:val="16"/>
                <w:szCs w:val="16"/>
                <w:lang w:val="es-ES" w:eastAsia="es-ES"/>
              </w:rPr>
            </w:pPr>
            <w:r w:rsidRPr="0041759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FAA917B" w14:textId="77777777" w:rsidR="00F17DB5" w:rsidRPr="00417598" w:rsidRDefault="00F17DB5" w:rsidP="00C40146">
            <w:pPr>
              <w:contextualSpacing/>
              <w:rPr>
                <w:rFonts w:ascii="Verdana" w:eastAsia="Calibri" w:hAnsi="Verdana" w:cs="Arial"/>
                <w:sz w:val="16"/>
                <w:szCs w:val="16"/>
                <w:lang w:val="pt-BR" w:eastAsia="es-ES"/>
              </w:rPr>
            </w:pPr>
            <w:r w:rsidRPr="00417598">
              <w:rPr>
                <w:rFonts w:ascii="Verdana" w:eastAsia="Calibri" w:hAnsi="Verdana" w:cs="Arial"/>
                <w:sz w:val="16"/>
                <w:szCs w:val="16"/>
                <w:lang w:val="pt-BR" w:eastAsia="es-ES"/>
              </w:rPr>
              <w:t>Carolina Quintero Gacharná</w:t>
            </w:r>
          </w:p>
          <w:p w14:paraId="5D9BF42C" w14:textId="77777777" w:rsidR="00F17DB5" w:rsidRPr="00417598" w:rsidRDefault="00F17DB5" w:rsidP="00C40146">
            <w:pPr>
              <w:contextualSpacing/>
              <w:rPr>
                <w:rFonts w:ascii="Verdana" w:eastAsia="Calibri" w:hAnsi="Verdana" w:cs="Arial"/>
                <w:sz w:val="16"/>
                <w:szCs w:val="16"/>
                <w:lang w:val="pt-BR" w:eastAsia="es-ES"/>
              </w:rPr>
            </w:pPr>
            <w:r w:rsidRPr="00417598">
              <w:rPr>
                <w:rFonts w:ascii="Verdana" w:eastAsia="Calibri" w:hAnsi="Verdana" w:cs="Arial"/>
                <w:sz w:val="16"/>
                <w:szCs w:val="16"/>
                <w:lang w:eastAsia="es-ES"/>
              </w:rPr>
              <w:t>Subdirectora</w:t>
            </w:r>
            <w:r w:rsidRPr="00417598">
              <w:rPr>
                <w:rFonts w:ascii="Verdana" w:eastAsia="Calibri" w:hAnsi="Verdana" w:cs="Arial"/>
                <w:sz w:val="16"/>
                <w:szCs w:val="16"/>
                <w:lang w:val="pt-BR" w:eastAsia="es-ES"/>
              </w:rPr>
              <w:t xml:space="preserve"> de Gestión Contractual ANCP – CCE</w:t>
            </w:r>
          </w:p>
        </w:tc>
      </w:tr>
    </w:tbl>
    <w:p w14:paraId="0592CF0F" w14:textId="77777777" w:rsidR="00F17DB5" w:rsidRPr="00417598" w:rsidRDefault="00F17DB5" w:rsidP="00F17DB5">
      <w:pPr>
        <w:spacing w:after="0" w:line="240" w:lineRule="auto"/>
        <w:rPr>
          <w:rFonts w:ascii="Verdana" w:eastAsia="Times New Roman" w:hAnsi="Verdana" w:cs="Arial"/>
          <w:sz w:val="24"/>
          <w:szCs w:val="24"/>
          <w:lang w:eastAsia="es-ES"/>
        </w:rPr>
      </w:pPr>
    </w:p>
    <w:p w14:paraId="3900974D" w14:textId="77777777" w:rsidR="003D5B0D" w:rsidRPr="00F17DB5" w:rsidRDefault="003D5B0D" w:rsidP="00F17DB5"/>
    <w:sectPr w:rsidR="003D5B0D" w:rsidRPr="00F17DB5"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A78A" w14:textId="77777777" w:rsidR="00EC0473" w:rsidRDefault="00EC0473" w:rsidP="004A1847">
      <w:pPr>
        <w:spacing w:after="0" w:line="240" w:lineRule="auto"/>
      </w:pPr>
      <w:r>
        <w:separator/>
      </w:r>
    </w:p>
  </w:endnote>
  <w:endnote w:type="continuationSeparator" w:id="0">
    <w:p w14:paraId="1EAC0BD1" w14:textId="77777777" w:rsidR="00EC0473" w:rsidRDefault="00EC0473" w:rsidP="004A1847">
      <w:pPr>
        <w:spacing w:after="0" w:line="240" w:lineRule="auto"/>
      </w:pPr>
      <w:r>
        <w:continuationSeparator/>
      </w:r>
    </w:p>
  </w:endnote>
  <w:endnote w:type="continuationNotice" w:id="1">
    <w:p w14:paraId="52CF00C9" w14:textId="77777777" w:rsidR="00EC0473" w:rsidRDefault="00EC0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C7982" w14:textId="77777777" w:rsidR="00EC0473" w:rsidRDefault="00EC0473" w:rsidP="004A1847">
      <w:pPr>
        <w:spacing w:after="0" w:line="240" w:lineRule="auto"/>
      </w:pPr>
      <w:r>
        <w:separator/>
      </w:r>
    </w:p>
  </w:footnote>
  <w:footnote w:type="continuationSeparator" w:id="0">
    <w:p w14:paraId="3FD3A4A3" w14:textId="77777777" w:rsidR="00EC0473" w:rsidRDefault="00EC0473" w:rsidP="004A1847">
      <w:pPr>
        <w:spacing w:after="0" w:line="240" w:lineRule="auto"/>
      </w:pPr>
      <w:r>
        <w:continuationSeparator/>
      </w:r>
    </w:p>
  </w:footnote>
  <w:footnote w:type="continuationNotice" w:id="1">
    <w:p w14:paraId="39A596C9" w14:textId="77777777" w:rsidR="00EC0473" w:rsidRDefault="00EC0473">
      <w:pPr>
        <w:spacing w:after="0" w:line="240" w:lineRule="auto"/>
      </w:pPr>
    </w:p>
  </w:footnote>
  <w:footnote w:id="2">
    <w:p w14:paraId="5EEFF5D1" w14:textId="77777777" w:rsidR="00F17DB5" w:rsidRPr="00877512" w:rsidRDefault="00F17DB5" w:rsidP="00F17DB5">
      <w:pPr>
        <w:pStyle w:val="Textonotapie"/>
        <w:ind w:firstLine="709"/>
        <w:jc w:val="both"/>
        <w:rPr>
          <w:rFonts w:ascii="Verdana" w:hAnsi="Verdana" w:cs="Arial"/>
          <w:color w:val="000000" w:themeColor="text1"/>
          <w:sz w:val="10"/>
          <w:szCs w:val="10"/>
        </w:rPr>
      </w:pPr>
      <w:r w:rsidRPr="00877512">
        <w:rPr>
          <w:rStyle w:val="Refdenotaalpie"/>
          <w:rFonts w:ascii="Verdana" w:hAnsi="Verdana" w:cs="Arial"/>
          <w:color w:val="000000" w:themeColor="text1"/>
          <w:sz w:val="10"/>
          <w:szCs w:val="10"/>
        </w:rPr>
        <w:footnoteRef/>
      </w:r>
      <w:r w:rsidRPr="00877512">
        <w:rPr>
          <w:rFonts w:ascii="Verdana" w:hAnsi="Verdana" w:cs="Arial"/>
          <w:color w:val="000000" w:themeColor="text1"/>
          <w:sz w:val="10"/>
          <w:szCs w:val="10"/>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6B63F6C" w14:textId="77777777" w:rsidR="00F17DB5" w:rsidRPr="00877512" w:rsidRDefault="00F17DB5" w:rsidP="00F17DB5">
      <w:pPr>
        <w:pStyle w:val="Textonotapie"/>
        <w:ind w:firstLine="709"/>
        <w:jc w:val="both"/>
        <w:rPr>
          <w:rFonts w:ascii="Verdana" w:hAnsi="Verdana" w:cs="Arial"/>
          <w:color w:val="000000" w:themeColor="text1"/>
          <w:sz w:val="10"/>
          <w:szCs w:val="10"/>
        </w:rPr>
      </w:pPr>
      <w:r w:rsidRPr="00877512">
        <w:rPr>
          <w:rFonts w:ascii="Verdana" w:hAnsi="Verdana" w:cs="Arial"/>
          <w:color w:val="000000" w:themeColor="text1"/>
          <w:sz w:val="10"/>
          <w:szCs w:val="10"/>
        </w:rPr>
        <w:t>Lo anterior, sin perjuicio de las publicaciones previstas en el numeral 3 del artículo 30 de la Ley 80 de 1993.</w:t>
      </w:r>
    </w:p>
    <w:p w14:paraId="08ABECAD" w14:textId="77777777" w:rsidR="00F17DB5" w:rsidRPr="00877512" w:rsidRDefault="00F17DB5" w:rsidP="00F17DB5">
      <w:pPr>
        <w:pStyle w:val="Textonotapie"/>
        <w:ind w:firstLine="709"/>
        <w:jc w:val="both"/>
        <w:rPr>
          <w:rFonts w:ascii="Verdana" w:hAnsi="Verdana" w:cs="Arial"/>
          <w:color w:val="000000" w:themeColor="text1"/>
          <w:sz w:val="10"/>
          <w:szCs w:val="10"/>
        </w:rPr>
      </w:pPr>
      <w:r w:rsidRPr="00877512">
        <w:rPr>
          <w:rFonts w:ascii="Verdana" w:hAnsi="Verdana" w:cs="Arial"/>
          <w:color w:val="000000" w:themeColor="text1"/>
          <w:sz w:val="10"/>
          <w:szCs w:val="10"/>
        </w:rPr>
        <w:t xml:space="preserve">Con el fin de materializar los objetivos a que se refiere el inciso anterior, el Gobierno Nacional desarrollará el Sistema Electrónico para la Contratación Pública, Secop, el cual: </w:t>
      </w:r>
    </w:p>
    <w:p w14:paraId="46A3658A" w14:textId="77777777" w:rsidR="00F17DB5" w:rsidRPr="00877512" w:rsidRDefault="00F17DB5" w:rsidP="00F17DB5">
      <w:pPr>
        <w:pStyle w:val="Textonotapie"/>
        <w:ind w:firstLine="709"/>
        <w:jc w:val="both"/>
        <w:rPr>
          <w:rFonts w:ascii="Verdana" w:hAnsi="Verdana" w:cs="Arial"/>
          <w:color w:val="000000" w:themeColor="text1"/>
          <w:sz w:val="10"/>
          <w:szCs w:val="10"/>
        </w:rPr>
      </w:pPr>
      <w:r w:rsidRPr="00877512">
        <w:rPr>
          <w:rFonts w:ascii="Verdana" w:hAnsi="Verdana" w:cs="Arial"/>
          <w:color w:val="000000" w:themeColor="text1"/>
          <w:sz w:val="10"/>
          <w:szCs w:val="10"/>
        </w:rPr>
        <w:t>[…]</w:t>
      </w:r>
    </w:p>
    <w:p w14:paraId="057B3DEC" w14:textId="77777777" w:rsidR="00F17DB5" w:rsidRPr="00877512" w:rsidRDefault="00F17DB5" w:rsidP="00F17DB5">
      <w:pPr>
        <w:pStyle w:val="Textonotapie"/>
        <w:ind w:firstLine="709"/>
        <w:jc w:val="both"/>
        <w:rPr>
          <w:rFonts w:ascii="Verdana" w:hAnsi="Verdana" w:cs="Arial"/>
          <w:color w:val="000000" w:themeColor="text1"/>
          <w:sz w:val="10"/>
          <w:szCs w:val="10"/>
        </w:rPr>
      </w:pPr>
      <w:r w:rsidRPr="00877512">
        <w:rPr>
          <w:rFonts w:ascii="Verdana" w:hAnsi="Verdana" w:cs="Arial"/>
          <w:color w:val="000000" w:themeColor="text1"/>
          <w:sz w:val="10"/>
          <w:szCs w:val="10"/>
        </w:rPr>
        <w:t xml:space="preserve">c) Contará con la información oficial de la contratación realizada con dineros públicos, para lo cual establecerá los patrones a que haya lugar y se encargará de su difusión a través de canales electrónico”. </w:t>
      </w:r>
    </w:p>
    <w:p w14:paraId="64033197" w14:textId="77777777" w:rsidR="00F17DB5" w:rsidRPr="00877512" w:rsidRDefault="00F17DB5" w:rsidP="00F17DB5">
      <w:pPr>
        <w:pStyle w:val="Textonotapie"/>
        <w:ind w:firstLine="709"/>
        <w:jc w:val="both"/>
        <w:rPr>
          <w:rFonts w:ascii="Verdana" w:hAnsi="Verdana" w:cs="Arial"/>
          <w:color w:val="000000" w:themeColor="text1"/>
          <w:sz w:val="10"/>
          <w:szCs w:val="10"/>
          <w:lang w:val="es-CO"/>
        </w:rPr>
      </w:pPr>
    </w:p>
  </w:footnote>
  <w:footnote w:id="3">
    <w:p w14:paraId="69926A29" w14:textId="77777777" w:rsidR="00F17DB5" w:rsidRPr="00877512" w:rsidRDefault="00F17DB5" w:rsidP="00F17DB5">
      <w:pPr>
        <w:pStyle w:val="Textonotapie"/>
        <w:ind w:firstLine="709"/>
        <w:jc w:val="both"/>
        <w:rPr>
          <w:rFonts w:ascii="Verdana" w:hAnsi="Verdana" w:cs="Arial"/>
          <w:color w:val="000000"/>
          <w:sz w:val="10"/>
          <w:szCs w:val="10"/>
        </w:rPr>
      </w:pPr>
      <w:r w:rsidRPr="00877512">
        <w:rPr>
          <w:rStyle w:val="Refdenotaalpie"/>
          <w:rFonts w:ascii="Verdana" w:hAnsi="Verdana" w:cs="Arial"/>
          <w:color w:val="000000"/>
          <w:sz w:val="10"/>
          <w:szCs w:val="10"/>
        </w:rPr>
        <w:footnoteRef/>
      </w:r>
      <w:r w:rsidRPr="00877512">
        <w:rPr>
          <w:rFonts w:ascii="Verdana" w:hAnsi="Verdana" w:cs="Arial"/>
          <w:color w:val="000000"/>
          <w:sz w:val="10"/>
          <w:szCs w:val="10"/>
        </w:rPr>
        <w:t xml:space="preserve"> C</w:t>
      </w:r>
      <w:r w:rsidRPr="00877512">
        <w:rPr>
          <w:rFonts w:ascii="Verdana" w:eastAsia="Times New Roman" w:hAnsi="Verdana" w:cs="Arial"/>
          <w:color w:val="000000"/>
          <w:sz w:val="10"/>
          <w:szCs w:val="10"/>
          <w:lang w:val="es-ES" w:eastAsia="es-ES"/>
        </w:rPr>
        <w:t>orte Constitucional. Sentencia C‒274 de 9 de mayo de 2013. M.P. Mar</w:t>
      </w:r>
      <w:r w:rsidRPr="00877512">
        <w:rPr>
          <w:rFonts w:ascii="Verdana" w:eastAsia="Times New Roman" w:hAnsi="Verdana" w:cs="Century Gothic"/>
          <w:color w:val="000000"/>
          <w:sz w:val="10"/>
          <w:szCs w:val="10"/>
          <w:lang w:val="es-ES" w:eastAsia="es-ES"/>
        </w:rPr>
        <w:t>í</w:t>
      </w:r>
      <w:r w:rsidRPr="00877512">
        <w:rPr>
          <w:rFonts w:ascii="Verdana" w:eastAsia="Times New Roman" w:hAnsi="Verdana" w:cs="Arial"/>
          <w:color w:val="000000"/>
          <w:sz w:val="10"/>
          <w:szCs w:val="10"/>
          <w:lang w:val="es-ES" w:eastAsia="es-ES"/>
        </w:rPr>
        <w:t xml:space="preserve">a Victoria Calle Correa. </w:t>
      </w:r>
    </w:p>
    <w:p w14:paraId="30FF8DD9" w14:textId="77777777" w:rsidR="00F17DB5" w:rsidRPr="00877512" w:rsidRDefault="00F17DB5" w:rsidP="00F17DB5">
      <w:pPr>
        <w:pStyle w:val="Textonotapie"/>
        <w:ind w:firstLine="709"/>
        <w:jc w:val="both"/>
        <w:rPr>
          <w:rFonts w:ascii="Verdana" w:hAnsi="Verdana" w:cs="Arial"/>
          <w:color w:val="000000"/>
          <w:sz w:val="10"/>
          <w:szCs w:val="10"/>
          <w:lang w:val="es-CO"/>
        </w:rPr>
      </w:pPr>
    </w:p>
  </w:footnote>
  <w:footnote w:id="4">
    <w:p w14:paraId="56F18756" w14:textId="77777777" w:rsidR="00F17DB5" w:rsidRPr="00877512" w:rsidRDefault="00F17DB5" w:rsidP="00F17DB5">
      <w:pPr>
        <w:pStyle w:val="Textonotapie"/>
        <w:ind w:firstLine="708"/>
        <w:jc w:val="both"/>
        <w:rPr>
          <w:rFonts w:ascii="Verdana" w:hAnsi="Verdana" w:cs="Arial"/>
          <w:color w:val="000000"/>
          <w:sz w:val="10"/>
          <w:szCs w:val="10"/>
        </w:rPr>
      </w:pPr>
      <w:r w:rsidRPr="00877512">
        <w:rPr>
          <w:rStyle w:val="Refdenotaalpie"/>
          <w:rFonts w:ascii="Verdana" w:hAnsi="Verdana" w:cs="Arial"/>
          <w:color w:val="000000"/>
          <w:sz w:val="10"/>
          <w:szCs w:val="10"/>
        </w:rPr>
        <w:footnoteRef/>
      </w:r>
      <w:r w:rsidRPr="00877512">
        <w:rPr>
          <w:rFonts w:ascii="Verdana" w:hAnsi="Verdana" w:cs="Arial"/>
          <w:color w:val="000000"/>
          <w:sz w:val="10"/>
          <w:szCs w:val="10"/>
        </w:rPr>
        <w:t xml:space="preserve"> Decreto 4170 de 2011: “Artículo 3. Funciones: La Agencia Nacional de Contratación Pública –Colombia Compra Eficiente– ejercerá las siguientes funciones: [...]</w:t>
      </w:r>
    </w:p>
    <w:p w14:paraId="0AE1CF5A" w14:textId="77777777" w:rsidR="00F17DB5" w:rsidRPr="00877512" w:rsidRDefault="00F17DB5" w:rsidP="00F17DB5">
      <w:pPr>
        <w:pStyle w:val="Textonotapie"/>
        <w:ind w:firstLine="708"/>
        <w:jc w:val="both"/>
        <w:rPr>
          <w:rFonts w:ascii="Verdana" w:hAnsi="Verdana" w:cs="Arial"/>
          <w:color w:val="000000"/>
          <w:sz w:val="10"/>
          <w:szCs w:val="10"/>
        </w:rPr>
      </w:pPr>
      <w:r w:rsidRPr="00877512">
        <w:rPr>
          <w:rFonts w:ascii="Verdana" w:hAnsi="Verdana" w:cs="Arial"/>
          <w:color w:val="000000"/>
          <w:sz w:val="10"/>
          <w:szCs w:val="10"/>
        </w:rPr>
        <w:t xml:space="preserve">8. Desarrollar y administrar el Sistema Electrónico para la Contratación Pública (SECOP) o el que haga sus veces, y gestionar nuevos desarrollos tecnológicos en los asuntos de su competencia, teniendo en cuenta los parámetros fijados por el Consejo </w:t>
      </w:r>
      <w:proofErr w:type="gramStart"/>
      <w:r w:rsidRPr="00877512">
        <w:rPr>
          <w:rFonts w:ascii="Verdana" w:hAnsi="Verdana" w:cs="Arial"/>
          <w:color w:val="000000"/>
          <w:sz w:val="10"/>
          <w:szCs w:val="10"/>
        </w:rPr>
        <w:t>Directivo.[...]</w:t>
      </w:r>
      <w:proofErr w:type="gramEnd"/>
      <w:r w:rsidRPr="00877512">
        <w:rPr>
          <w:rFonts w:ascii="Verdana" w:hAnsi="Verdana" w:cs="Arial"/>
          <w:color w:val="000000"/>
          <w:sz w:val="10"/>
          <w:szCs w:val="1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B13"/>
      </v:shape>
    </w:pict>
  </w:numPicBullet>
  <w:abstractNum w:abstractNumId="0" w15:restartNumberingAfterBreak="0">
    <w:nsid w:val="01B82DB5"/>
    <w:multiLevelType w:val="multilevel"/>
    <w:tmpl w:val="58A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2"/>
  </w:num>
  <w:num w:numId="13" w16cid:durableId="1512908409">
    <w:abstractNumId w:val="4"/>
  </w:num>
  <w:num w:numId="14" w16cid:durableId="895897244">
    <w:abstractNumId w:val="15"/>
  </w:num>
  <w:num w:numId="15" w16cid:durableId="390349800">
    <w:abstractNumId w:val="11"/>
  </w:num>
  <w:num w:numId="16" w16cid:durableId="341274352">
    <w:abstractNumId w:val="1"/>
  </w:num>
  <w:num w:numId="17" w16cid:durableId="679089576">
    <w:abstractNumId w:val="10"/>
  </w:num>
  <w:num w:numId="18" w16cid:durableId="159261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511A0"/>
    <w:rsid w:val="001A3EB5"/>
    <w:rsid w:val="001E4177"/>
    <w:rsid w:val="001F7DC6"/>
    <w:rsid w:val="00237DF6"/>
    <w:rsid w:val="002421BB"/>
    <w:rsid w:val="002500A6"/>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24D"/>
    <w:rsid w:val="003A779E"/>
    <w:rsid w:val="003D0F4D"/>
    <w:rsid w:val="003D5B0D"/>
    <w:rsid w:val="003E0499"/>
    <w:rsid w:val="003F3941"/>
    <w:rsid w:val="00406575"/>
    <w:rsid w:val="00414C74"/>
    <w:rsid w:val="0042722E"/>
    <w:rsid w:val="0044528D"/>
    <w:rsid w:val="004A1847"/>
    <w:rsid w:val="004A305D"/>
    <w:rsid w:val="004E1A2D"/>
    <w:rsid w:val="004F21C4"/>
    <w:rsid w:val="004F685F"/>
    <w:rsid w:val="005566E8"/>
    <w:rsid w:val="00574867"/>
    <w:rsid w:val="00591460"/>
    <w:rsid w:val="005A23E4"/>
    <w:rsid w:val="005B3816"/>
    <w:rsid w:val="005C3777"/>
    <w:rsid w:val="005C4C15"/>
    <w:rsid w:val="005C5CDC"/>
    <w:rsid w:val="005D476C"/>
    <w:rsid w:val="00617484"/>
    <w:rsid w:val="006219F8"/>
    <w:rsid w:val="00665D70"/>
    <w:rsid w:val="006900D9"/>
    <w:rsid w:val="006974EA"/>
    <w:rsid w:val="00706C16"/>
    <w:rsid w:val="007226F9"/>
    <w:rsid w:val="0074427D"/>
    <w:rsid w:val="00756841"/>
    <w:rsid w:val="007649AB"/>
    <w:rsid w:val="00771D0C"/>
    <w:rsid w:val="007833AC"/>
    <w:rsid w:val="007B268C"/>
    <w:rsid w:val="007B7171"/>
    <w:rsid w:val="007C0C0F"/>
    <w:rsid w:val="007C3DC2"/>
    <w:rsid w:val="007E5497"/>
    <w:rsid w:val="007F642F"/>
    <w:rsid w:val="00806F5F"/>
    <w:rsid w:val="00820278"/>
    <w:rsid w:val="00834A8E"/>
    <w:rsid w:val="00867F95"/>
    <w:rsid w:val="008843B6"/>
    <w:rsid w:val="00891928"/>
    <w:rsid w:val="008A446D"/>
    <w:rsid w:val="008D180B"/>
    <w:rsid w:val="008D3624"/>
    <w:rsid w:val="008E7A37"/>
    <w:rsid w:val="008F0EA7"/>
    <w:rsid w:val="00923EEF"/>
    <w:rsid w:val="009316F7"/>
    <w:rsid w:val="009419F9"/>
    <w:rsid w:val="00941D31"/>
    <w:rsid w:val="0095685E"/>
    <w:rsid w:val="00961B09"/>
    <w:rsid w:val="00965334"/>
    <w:rsid w:val="0097093E"/>
    <w:rsid w:val="009774DC"/>
    <w:rsid w:val="00986AC5"/>
    <w:rsid w:val="009A0DFA"/>
    <w:rsid w:val="009B2D26"/>
    <w:rsid w:val="009C71FA"/>
    <w:rsid w:val="009C72E7"/>
    <w:rsid w:val="009D3058"/>
    <w:rsid w:val="009F3A13"/>
    <w:rsid w:val="00A122D3"/>
    <w:rsid w:val="00A137AE"/>
    <w:rsid w:val="00A17F13"/>
    <w:rsid w:val="00A20739"/>
    <w:rsid w:val="00A33C78"/>
    <w:rsid w:val="00A459C2"/>
    <w:rsid w:val="00A55A5F"/>
    <w:rsid w:val="00AB0ADB"/>
    <w:rsid w:val="00B01B1A"/>
    <w:rsid w:val="00B66319"/>
    <w:rsid w:val="00B72CD3"/>
    <w:rsid w:val="00B72FFF"/>
    <w:rsid w:val="00BC3D36"/>
    <w:rsid w:val="00BD7F72"/>
    <w:rsid w:val="00C04FB3"/>
    <w:rsid w:val="00C330EB"/>
    <w:rsid w:val="00C41061"/>
    <w:rsid w:val="00C754BE"/>
    <w:rsid w:val="00C76B1C"/>
    <w:rsid w:val="00CB6357"/>
    <w:rsid w:val="00CC1B26"/>
    <w:rsid w:val="00CF6E08"/>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0473"/>
    <w:rsid w:val="00EC38A7"/>
    <w:rsid w:val="00ED7384"/>
    <w:rsid w:val="00EE1AA8"/>
    <w:rsid w:val="00F17DB5"/>
    <w:rsid w:val="00F31EDC"/>
    <w:rsid w:val="00F462B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F17DB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17DB5"/>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44597773">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4167292">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hrome-extension://efaidnbmnnnibpcajpcglclefindmkaj/https:/www.colombiacompra.gov.co/sites/cce_public/files/cce_circulares/circular_externa_unica_version_3_vf49.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de-contratacion-publica-sostenible-y-socialmente&amp;data=05%7C02%7Csantiago.herrera%40colombiacompra.gov.co%7Cb18b651bca3a4eb8eab008dd269b400d%7C7b09041e245149d08cb179d5e3d8c1be%7C0%7C0%7C638709170414849914%7CUnknown%7CTWFpbGZsb3d8eyJFbXB0eU1hcGkiOnRydWUsIlYiOiIwLjAuMDAwMCIsIlAiOiJXaW4zMiIsIkFOIjoiTWFpbCIsIldUIjoyfQ%3D%3D%7C0%7C%7C%7C&amp;sdata=DZcOamOFLr5%2FMvTaEwyrmGH46p0E2EeVRK9EI0%2Fzyss%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lena1508@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02-documentos-tipo-para-los-procesos-de-seleccion-de-consultoria-de-obra-publica-de&amp;data=05%7C02%7Csantiago.herrera%40colombiacompra.gov.co%7Cb18b651bca3a4eb8eab008dd269b400d%7C7b09041e245149d08cb179d5e3d8c1be%7C0%7C0%7C638709170414832391%7CUnknown%7CTWFpbGZsb3d8eyJFbXB0eU1hcGkiOnRydWUsIlYiOiIwLjAuMDAwMCIsIlAiOiJXaW4zMiIsIkFOIjoiTWFpbCIsIldUIjoyfQ%3D%3D%7C0%7C%7C%7C&amp;sdata=QVD3sz0azJZZvNSHi5xF%2FpgT1wYL%2BVLBpdZyrSAKCNU%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3-documentos-tipo-para-los-procesos-de-seleccion-de-interventoria-de-obra-publica-de&amp;data=05%7C02%7Csantiago.herrera%40colombiacompra.gov.co%7Cb18b651bca3a4eb8eab008dd269b400d%7C7b09041e245149d08cb179d5e3d8c1be%7C0%7C0%7C638709170414808332%7CUnknown%7CTWFpbGZsb3d8eyJFbXB0eU1hcGkiOnRydWUsIlYiOiIwLjAuMDAwMCIsIlAiOiJXaW4zMiIsIkFOIjoiTWFpbCIsIldUIjoyfQ%3D%3D%7C0%7C%7C%7C&amp;sdata=K7MA4S7M7cwwIPsP6WrY42WST6d89ZSAhI2oxiyLwXg%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31b13d-89bf-4629-be1e-22fdf3dd34d4">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830F35543C1B419FA171669882D1EB" ma:contentTypeVersion="11" ma:contentTypeDescription="Crear nuevo documento." ma:contentTypeScope="" ma:versionID="87ac2e014c1627f3a157934fa1afc361">
  <xsd:schema xmlns:xsd="http://www.w3.org/2001/XMLSchema" xmlns:xs="http://www.w3.org/2001/XMLSchema" xmlns:p="http://schemas.microsoft.com/office/2006/metadata/properties" xmlns:ns2="b531b13d-89bf-4629-be1e-22fdf3dd34d4" xmlns:ns3="8ae15d26-076e-464e-81a7-6f76a0fb3917" targetNamespace="http://schemas.microsoft.com/office/2006/metadata/properties" ma:root="true" ma:fieldsID="133582f7afd32b7a7d2673963f8b7e7b" ns2:_="" ns3:_="">
    <xsd:import namespace="b531b13d-89bf-4629-be1e-22fdf3dd34d4"/>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b13d-89bf-4629-be1e-22fdf3dd3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b531b13d-89bf-4629-be1e-22fdf3dd34d4"/>
    <ds:schemaRef ds:uri="8ae15d26-076e-464e-81a7-6f76a0fb3917"/>
  </ds:schemaRefs>
</ds:datastoreItem>
</file>

<file path=customXml/itemProps3.xml><?xml version="1.0" encoding="utf-8"?>
<ds:datastoreItem xmlns:ds="http://schemas.openxmlformats.org/officeDocument/2006/customXml" ds:itemID="{10F44259-D3FE-48EC-96DB-A98526E8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b13d-89bf-4629-be1e-22fdf3dd34d4"/>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3641</Words>
  <Characters>20029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8</cp:revision>
  <cp:lastPrinted>2023-01-10T21:18:00Z</cp:lastPrinted>
  <dcterms:created xsi:type="dcterms:W3CDTF">2025-01-23T13:49:00Z</dcterms:created>
  <dcterms:modified xsi:type="dcterms:W3CDTF">2025-01-30T13:28:00Z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0x0101009C830F35543C1B419FA171669882D1EB</vt:lpwstr>
  </property>
  <property fmtid="{D5CDD505-2E9C-101B-9397-08002B2CF9AE}" pid="3" name="MediaServiceImageTags">
    <vt:lpwstr/>
  </property>
</Properties>
</file>